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5.xml" ContentType="application/vnd.openxmlformats-officedocument.themeOverrid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oter3.xml" ContentType="application/vnd.openxmlformats-officedocument.wordprocessingml.footer+xml"/>
  <Override PartName="/word/charts/chart8.xml" ContentType="application/vnd.openxmlformats-officedocument.drawingml.chart+xml"/>
  <Override PartName="/word/theme/themeOverride6.xml" ContentType="application/vnd.openxmlformats-officedocument.themeOverride+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displacedByCustomXml="next"/>
    <w:bookmarkEnd w:id="0" w:displacedByCustomXml="next"/>
    <w:sdt>
      <w:sdtPr>
        <w:rPr>
          <w:color w:val="4F81BD" w:themeColor="accent1"/>
        </w:rPr>
        <w:id w:val="-1629627891"/>
        <w:docPartObj>
          <w:docPartGallery w:val="Cover Pages"/>
          <w:docPartUnique/>
        </w:docPartObj>
      </w:sdtPr>
      <w:sdtEndPr>
        <w:rPr>
          <w:rFonts w:ascii="Calibri" w:eastAsiaTheme="minorHAnsi" w:hAnsi="Calibri" w:cstheme="minorBidi"/>
          <w:color w:val="auto"/>
          <w:sz w:val="20"/>
          <w:szCs w:val="22"/>
          <w:lang w:val="en-US"/>
        </w:rPr>
      </w:sdtEndPr>
      <w:sdtContent>
        <w:p w14:paraId="3A12216E" w14:textId="77777777" w:rsidR="00634C0E" w:rsidRDefault="00634C0E" w:rsidP="00634C0E">
          <w:pPr>
            <w:pStyle w:val="NoSpacing"/>
            <w:spacing w:before="1540" w:after="240"/>
            <w:jc w:val="center"/>
            <w:rPr>
              <w:color w:val="4F81BD" w:themeColor="accent1"/>
            </w:rPr>
          </w:pPr>
          <w:r w:rsidRPr="00634C0E">
            <w:rPr>
              <w:rFonts w:ascii="Calibri" w:hAnsi="Calibri" w:cs="Arial"/>
              <w:noProof/>
              <w:szCs w:val="22"/>
              <w:lang w:val="en-US"/>
            </w:rPr>
            <w:drawing>
              <wp:anchor distT="0" distB="0" distL="114300" distR="114300" simplePos="0" relativeHeight="251765248" behindDoc="0" locked="0" layoutInCell="1" allowOverlap="1" wp14:anchorId="345FA1AB" wp14:editId="53C9E2E1">
                <wp:simplePos x="0" y="0"/>
                <wp:positionH relativeFrom="margin">
                  <wp:align>center</wp:align>
                </wp:positionH>
                <wp:positionV relativeFrom="margin">
                  <wp:posOffset>599440</wp:posOffset>
                </wp:positionV>
                <wp:extent cx="4314825" cy="5048250"/>
                <wp:effectExtent l="0" t="0" r="9525" b="0"/>
                <wp:wrapSquare wrapText="bothSides"/>
                <wp:docPr id="15" name="Picture 15" descr="C:\Users\siphephelok\Pictures\UMLAWI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iphephelok\Pictures\UMLAWIRE.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14825" cy="5048250"/>
                        </a:xfrm>
                        <a:prstGeom prst="rect">
                          <a:avLst/>
                        </a:prstGeom>
                        <a:noFill/>
                        <a:ln>
                          <a:noFill/>
                        </a:ln>
                      </pic:spPr>
                    </pic:pic>
                  </a:graphicData>
                </a:graphic>
                <wp14:sizeRelV relativeFrom="margin">
                  <wp14:pctHeight>0</wp14:pctHeight>
                </wp14:sizeRelV>
              </wp:anchor>
            </w:drawing>
          </w:r>
        </w:p>
      </w:sdtContent>
    </w:sdt>
    <w:p w14:paraId="6499472F" w14:textId="77777777" w:rsidR="00634C0E" w:rsidRDefault="00634C0E" w:rsidP="00634C0E">
      <w:pPr>
        <w:jc w:val="center"/>
        <w:rPr>
          <w:rFonts w:cs="Arial"/>
          <w:b/>
          <w:sz w:val="44"/>
        </w:rPr>
      </w:pPr>
    </w:p>
    <w:p w14:paraId="674CC830" w14:textId="77777777" w:rsidR="00634C0E" w:rsidRDefault="00634C0E" w:rsidP="00634C0E">
      <w:pPr>
        <w:jc w:val="center"/>
        <w:rPr>
          <w:rFonts w:cs="Arial"/>
          <w:b/>
          <w:sz w:val="44"/>
        </w:rPr>
      </w:pPr>
    </w:p>
    <w:p w14:paraId="07A8CBC8" w14:textId="77777777" w:rsidR="00634C0E" w:rsidRDefault="00634C0E" w:rsidP="00634C0E">
      <w:pPr>
        <w:jc w:val="center"/>
        <w:rPr>
          <w:rFonts w:cs="Arial"/>
          <w:b/>
          <w:sz w:val="44"/>
        </w:rPr>
      </w:pPr>
    </w:p>
    <w:p w14:paraId="719E722C" w14:textId="77777777" w:rsidR="00634C0E" w:rsidRDefault="00634C0E" w:rsidP="00634C0E">
      <w:pPr>
        <w:jc w:val="center"/>
        <w:rPr>
          <w:rFonts w:cs="Arial"/>
          <w:b/>
          <w:sz w:val="44"/>
        </w:rPr>
      </w:pPr>
    </w:p>
    <w:p w14:paraId="668EFCDD" w14:textId="77777777" w:rsidR="00634C0E" w:rsidRDefault="00634C0E" w:rsidP="00634C0E">
      <w:pPr>
        <w:jc w:val="center"/>
        <w:rPr>
          <w:rFonts w:cs="Arial"/>
          <w:b/>
          <w:sz w:val="44"/>
        </w:rPr>
      </w:pPr>
    </w:p>
    <w:p w14:paraId="1687A64B" w14:textId="77777777" w:rsidR="00634C0E" w:rsidRDefault="00634C0E" w:rsidP="00634C0E">
      <w:pPr>
        <w:jc w:val="center"/>
        <w:rPr>
          <w:rFonts w:cs="Arial"/>
          <w:b/>
          <w:sz w:val="44"/>
        </w:rPr>
      </w:pPr>
    </w:p>
    <w:p w14:paraId="6D035652" w14:textId="77777777" w:rsidR="00634C0E" w:rsidRDefault="00634C0E" w:rsidP="00634C0E">
      <w:pPr>
        <w:jc w:val="center"/>
        <w:rPr>
          <w:rFonts w:cs="Arial"/>
          <w:b/>
          <w:sz w:val="44"/>
        </w:rPr>
      </w:pPr>
    </w:p>
    <w:p w14:paraId="34138824" w14:textId="77777777" w:rsidR="00634C0E" w:rsidRDefault="00634C0E" w:rsidP="00634C0E">
      <w:pPr>
        <w:jc w:val="center"/>
        <w:rPr>
          <w:rFonts w:cs="Arial"/>
          <w:b/>
          <w:sz w:val="44"/>
        </w:rPr>
      </w:pPr>
    </w:p>
    <w:p w14:paraId="6C5AACC2" w14:textId="77777777" w:rsidR="00634C0E" w:rsidRDefault="00634C0E" w:rsidP="00634C0E">
      <w:pPr>
        <w:jc w:val="center"/>
        <w:rPr>
          <w:rFonts w:cs="Arial"/>
          <w:b/>
          <w:sz w:val="44"/>
        </w:rPr>
      </w:pPr>
    </w:p>
    <w:p w14:paraId="6DA28CF4" w14:textId="77777777" w:rsidR="00634C0E" w:rsidRPr="003C591B" w:rsidRDefault="00634C0E" w:rsidP="00634C0E">
      <w:pPr>
        <w:jc w:val="center"/>
        <w:rPr>
          <w:rFonts w:cs="Arial"/>
          <w:b/>
          <w:sz w:val="44"/>
        </w:rPr>
      </w:pPr>
      <w:r>
        <w:rPr>
          <w:rFonts w:cs="Arial"/>
          <w:b/>
          <w:sz w:val="44"/>
        </w:rPr>
        <w:t>2018 / 2019</w:t>
      </w:r>
    </w:p>
    <w:p w14:paraId="10065DDC" w14:textId="77777777" w:rsidR="00634C0E" w:rsidRDefault="00634C0E" w:rsidP="00634C0E">
      <w:pPr>
        <w:jc w:val="center"/>
        <w:rPr>
          <w:rFonts w:cs="Arial"/>
          <w:b/>
          <w:sz w:val="44"/>
        </w:rPr>
      </w:pPr>
      <w:r>
        <w:rPr>
          <w:rFonts w:cs="Arial"/>
          <w:b/>
          <w:sz w:val="44"/>
        </w:rPr>
        <w:t>DRAFT</w:t>
      </w:r>
    </w:p>
    <w:p w14:paraId="5F4B8614" w14:textId="77777777" w:rsidR="00634C0E" w:rsidRDefault="00634C0E" w:rsidP="00634C0E">
      <w:pPr>
        <w:jc w:val="center"/>
        <w:rPr>
          <w:rFonts w:cs="Arial"/>
          <w:b/>
          <w:sz w:val="44"/>
        </w:rPr>
      </w:pPr>
      <w:r w:rsidRPr="003C591B">
        <w:rPr>
          <w:rFonts w:cs="Arial"/>
          <w:b/>
          <w:sz w:val="44"/>
        </w:rPr>
        <w:t>INTEGRATED DEVELOPMENT PLAN</w:t>
      </w:r>
    </w:p>
    <w:p w14:paraId="6F63A034" w14:textId="77777777" w:rsidR="00634C0E" w:rsidRPr="003C591B" w:rsidRDefault="00634C0E" w:rsidP="00634C0E">
      <w:pPr>
        <w:jc w:val="center"/>
        <w:rPr>
          <w:rFonts w:cs="Arial"/>
          <w:b/>
          <w:sz w:val="44"/>
        </w:rPr>
      </w:pPr>
      <w:r>
        <w:rPr>
          <w:rFonts w:cs="Arial"/>
          <w:b/>
          <w:sz w:val="44"/>
        </w:rPr>
        <w:t>REVIEW</w:t>
      </w:r>
    </w:p>
    <w:p w14:paraId="5C05DD28" w14:textId="77777777" w:rsidR="00634C0E" w:rsidRDefault="00634C0E" w:rsidP="00634C0E">
      <w:pPr>
        <w:jc w:val="center"/>
        <w:rPr>
          <w:rFonts w:cs="Arial"/>
          <w:b/>
          <w:sz w:val="40"/>
          <w:szCs w:val="48"/>
        </w:rPr>
      </w:pPr>
    </w:p>
    <w:p w14:paraId="68022185" w14:textId="160EA902" w:rsidR="00634C0E" w:rsidRDefault="00634C0E" w:rsidP="00634C0E">
      <w:pPr>
        <w:tabs>
          <w:tab w:val="left" w:pos="505"/>
          <w:tab w:val="center" w:pos="4819"/>
          <w:tab w:val="left" w:pos="8921"/>
        </w:tabs>
        <w:rPr>
          <w:rFonts w:cs="Arial"/>
          <w:sz w:val="48"/>
          <w:szCs w:val="48"/>
        </w:rPr>
      </w:pPr>
      <w:r>
        <w:rPr>
          <w:rFonts w:cs="Arial"/>
          <w:sz w:val="48"/>
          <w:szCs w:val="48"/>
        </w:rPr>
        <w:tab/>
      </w:r>
      <w:r>
        <w:rPr>
          <w:rFonts w:cs="Arial"/>
          <w:sz w:val="48"/>
          <w:szCs w:val="48"/>
        </w:rPr>
        <w:tab/>
      </w:r>
      <w:r w:rsidR="00931737">
        <w:rPr>
          <w:rFonts w:cs="Arial"/>
          <w:sz w:val="48"/>
          <w:szCs w:val="48"/>
        </w:rPr>
        <w:t>APRIL</w:t>
      </w:r>
      <w:r>
        <w:rPr>
          <w:rFonts w:cs="Arial"/>
          <w:sz w:val="48"/>
          <w:szCs w:val="48"/>
        </w:rPr>
        <w:t xml:space="preserve"> 2018</w:t>
      </w:r>
    </w:p>
    <w:p w14:paraId="34CCCAED" w14:textId="77777777" w:rsidR="00A706BB" w:rsidRPr="00881795" w:rsidRDefault="00D55BDA" w:rsidP="00395313">
      <w:pPr>
        <w:jc w:val="both"/>
        <w:rPr>
          <w:rFonts w:cs="Arial"/>
        </w:rPr>
      </w:pPr>
      <w:r w:rsidRPr="00881795">
        <w:rPr>
          <w:rFonts w:cs="Arial"/>
        </w:rPr>
        <w:fldChar w:fldCharType="begin"/>
      </w:r>
      <w:r w:rsidR="00A706BB" w:rsidRPr="00881795">
        <w:rPr>
          <w:rFonts w:cs="Arial"/>
        </w:rPr>
        <w:instrText xml:space="preserve"> SEQ CHAPTER \h \r 1</w:instrText>
      </w:r>
      <w:r w:rsidRPr="00881795">
        <w:rPr>
          <w:rFonts w:cs="Arial"/>
        </w:rPr>
        <w:fldChar w:fldCharType="end"/>
      </w:r>
    </w:p>
    <w:p w14:paraId="2F91B73F" w14:textId="77777777" w:rsidR="00976444" w:rsidRPr="00881795" w:rsidRDefault="00976444" w:rsidP="00395313">
      <w:pPr>
        <w:jc w:val="both"/>
        <w:rPr>
          <w:rStyle w:val="Hyperlink"/>
          <w:b/>
          <w:noProof/>
          <w:color w:val="auto"/>
          <w:sz w:val="28"/>
          <w:szCs w:val="28"/>
          <w:u w:val="none"/>
        </w:rPr>
      </w:pPr>
      <w:r w:rsidRPr="00881795">
        <w:rPr>
          <w:rStyle w:val="Hyperlink"/>
          <w:b/>
          <w:noProof/>
          <w:color w:val="auto"/>
          <w:sz w:val="28"/>
          <w:szCs w:val="28"/>
          <w:u w:val="none"/>
        </w:rPr>
        <w:lastRenderedPageBreak/>
        <w:t>TABLE OF CONTENTS</w:t>
      </w:r>
    </w:p>
    <w:p w14:paraId="77263046" w14:textId="77777777" w:rsidR="001D1E46" w:rsidRDefault="00D4408D">
      <w:pPr>
        <w:pStyle w:val="TOC1"/>
        <w:rPr>
          <w:rFonts w:asciiTheme="minorHAnsi" w:eastAsiaTheme="minorEastAsia" w:hAnsiTheme="minorHAnsi"/>
          <w:bCs w:val="0"/>
          <w:caps w:val="0"/>
          <w:sz w:val="22"/>
          <w:szCs w:val="22"/>
          <w:lang w:val="en-ZA" w:eastAsia="en-ZA"/>
        </w:rPr>
      </w:pPr>
      <w:r w:rsidRPr="002A4197">
        <w:rPr>
          <w:rFonts w:asciiTheme="minorHAnsi" w:hAnsiTheme="minorHAnsi" w:cstheme="minorHAnsi"/>
        </w:rPr>
        <w:fldChar w:fldCharType="begin"/>
      </w:r>
      <w:r w:rsidRPr="002A4197">
        <w:rPr>
          <w:rFonts w:asciiTheme="minorHAnsi" w:hAnsiTheme="minorHAnsi" w:cstheme="minorHAnsi"/>
        </w:rPr>
        <w:instrText xml:space="preserve"> TOC \o "3-3" \h \z \u \t "Heading 1,1,Heading 2,2" </w:instrText>
      </w:r>
      <w:r w:rsidRPr="002A4197">
        <w:rPr>
          <w:rFonts w:asciiTheme="minorHAnsi" w:hAnsiTheme="minorHAnsi" w:cstheme="minorHAnsi"/>
        </w:rPr>
        <w:fldChar w:fldCharType="separate"/>
      </w:r>
      <w:hyperlink w:anchor="_Toc510706552" w:history="1">
        <w:r w:rsidR="001D1E46" w:rsidRPr="00AC1F66">
          <w:rPr>
            <w:rStyle w:val="Hyperlink"/>
          </w:rPr>
          <w:t>SECTION A: EXECUTIVE SUMMARY</w:t>
        </w:r>
        <w:r w:rsidR="001D1E46">
          <w:rPr>
            <w:webHidden/>
          </w:rPr>
          <w:tab/>
        </w:r>
        <w:r w:rsidR="001D1E46">
          <w:rPr>
            <w:webHidden/>
          </w:rPr>
          <w:fldChar w:fldCharType="begin"/>
        </w:r>
        <w:r w:rsidR="001D1E46">
          <w:rPr>
            <w:webHidden/>
          </w:rPr>
          <w:instrText xml:space="preserve"> PAGEREF _Toc510706552 \h </w:instrText>
        </w:r>
        <w:r w:rsidR="001D1E46">
          <w:rPr>
            <w:webHidden/>
          </w:rPr>
        </w:r>
        <w:r w:rsidR="001D1E46">
          <w:rPr>
            <w:webHidden/>
          </w:rPr>
          <w:fldChar w:fldCharType="separate"/>
        </w:r>
        <w:r w:rsidR="0067023A">
          <w:rPr>
            <w:webHidden/>
          </w:rPr>
          <w:t>11</w:t>
        </w:r>
        <w:r w:rsidR="001D1E46">
          <w:rPr>
            <w:webHidden/>
          </w:rPr>
          <w:fldChar w:fldCharType="end"/>
        </w:r>
      </w:hyperlink>
    </w:p>
    <w:p w14:paraId="0F16F368"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553" w:history="1">
        <w:r w:rsidR="001D1E46" w:rsidRPr="00AC1F66">
          <w:rPr>
            <w:rStyle w:val="Hyperlink"/>
            <w:noProof/>
          </w:rPr>
          <w:t>1.1.</w:t>
        </w:r>
        <w:r w:rsidR="001D1E46">
          <w:rPr>
            <w:rFonts w:eastAsiaTheme="minorEastAsia"/>
            <w:smallCaps w:val="0"/>
            <w:noProof/>
            <w:sz w:val="22"/>
            <w:szCs w:val="22"/>
            <w:lang w:val="en-ZA" w:eastAsia="en-ZA"/>
          </w:rPr>
          <w:tab/>
        </w:r>
        <w:r w:rsidR="001D1E46" w:rsidRPr="00AC1F66">
          <w:rPr>
            <w:rStyle w:val="Hyperlink"/>
            <w:noProof/>
          </w:rPr>
          <w:t>WHO WE ARE</w:t>
        </w:r>
        <w:r w:rsidR="001D1E46">
          <w:rPr>
            <w:noProof/>
            <w:webHidden/>
          </w:rPr>
          <w:tab/>
        </w:r>
        <w:r w:rsidR="001D1E46">
          <w:rPr>
            <w:noProof/>
            <w:webHidden/>
          </w:rPr>
          <w:fldChar w:fldCharType="begin"/>
        </w:r>
        <w:r w:rsidR="001D1E46">
          <w:rPr>
            <w:noProof/>
            <w:webHidden/>
          </w:rPr>
          <w:instrText xml:space="preserve"> PAGEREF _Toc510706553 \h </w:instrText>
        </w:r>
        <w:r w:rsidR="001D1E46">
          <w:rPr>
            <w:noProof/>
            <w:webHidden/>
          </w:rPr>
        </w:r>
        <w:r w:rsidR="001D1E46">
          <w:rPr>
            <w:noProof/>
            <w:webHidden/>
          </w:rPr>
          <w:fldChar w:fldCharType="separate"/>
        </w:r>
        <w:r w:rsidR="0067023A">
          <w:rPr>
            <w:noProof/>
            <w:webHidden/>
          </w:rPr>
          <w:t>11</w:t>
        </w:r>
        <w:r w:rsidR="001D1E46">
          <w:rPr>
            <w:noProof/>
            <w:webHidden/>
          </w:rPr>
          <w:fldChar w:fldCharType="end"/>
        </w:r>
      </w:hyperlink>
    </w:p>
    <w:p w14:paraId="7E848790" w14:textId="77777777" w:rsidR="001D1E46" w:rsidRDefault="00B918A6">
      <w:pPr>
        <w:pStyle w:val="TOC2"/>
        <w:tabs>
          <w:tab w:val="left" w:pos="1000"/>
          <w:tab w:val="right" w:leader="dot" w:pos="9629"/>
        </w:tabs>
        <w:rPr>
          <w:rFonts w:eastAsiaTheme="minorEastAsia"/>
          <w:smallCaps w:val="0"/>
          <w:noProof/>
          <w:sz w:val="22"/>
          <w:szCs w:val="22"/>
          <w:lang w:val="en-ZA" w:eastAsia="en-ZA"/>
        </w:rPr>
      </w:pPr>
      <w:hyperlink w:anchor="_Toc510706554" w:history="1">
        <w:r w:rsidR="001D1E46" w:rsidRPr="00AC1F66">
          <w:rPr>
            <w:rStyle w:val="Hyperlink"/>
            <w:noProof/>
          </w:rPr>
          <w:t>1.1.1.</w:t>
        </w:r>
        <w:r w:rsidR="001D1E46">
          <w:rPr>
            <w:rFonts w:eastAsiaTheme="minorEastAsia"/>
            <w:smallCaps w:val="0"/>
            <w:noProof/>
            <w:sz w:val="22"/>
            <w:szCs w:val="22"/>
            <w:lang w:val="en-ZA" w:eastAsia="en-ZA"/>
          </w:rPr>
          <w:tab/>
        </w:r>
        <w:r w:rsidR="001D1E46" w:rsidRPr="00AC1F66">
          <w:rPr>
            <w:rStyle w:val="Hyperlink"/>
            <w:noProof/>
          </w:rPr>
          <w:t>Spatial Location within KZN</w:t>
        </w:r>
        <w:r w:rsidR="001D1E46">
          <w:rPr>
            <w:noProof/>
            <w:webHidden/>
          </w:rPr>
          <w:tab/>
        </w:r>
        <w:r w:rsidR="001D1E46">
          <w:rPr>
            <w:noProof/>
            <w:webHidden/>
          </w:rPr>
          <w:fldChar w:fldCharType="begin"/>
        </w:r>
        <w:r w:rsidR="001D1E46">
          <w:rPr>
            <w:noProof/>
            <w:webHidden/>
          </w:rPr>
          <w:instrText xml:space="preserve"> PAGEREF _Toc510706554 \h </w:instrText>
        </w:r>
        <w:r w:rsidR="001D1E46">
          <w:rPr>
            <w:noProof/>
            <w:webHidden/>
          </w:rPr>
        </w:r>
        <w:r w:rsidR="001D1E46">
          <w:rPr>
            <w:noProof/>
            <w:webHidden/>
          </w:rPr>
          <w:fldChar w:fldCharType="separate"/>
        </w:r>
        <w:r w:rsidR="0067023A">
          <w:rPr>
            <w:noProof/>
            <w:webHidden/>
          </w:rPr>
          <w:t>11</w:t>
        </w:r>
        <w:r w:rsidR="001D1E46">
          <w:rPr>
            <w:noProof/>
            <w:webHidden/>
          </w:rPr>
          <w:fldChar w:fldCharType="end"/>
        </w:r>
      </w:hyperlink>
    </w:p>
    <w:p w14:paraId="3D5194A7" w14:textId="77777777" w:rsidR="001D1E46" w:rsidRDefault="00B918A6">
      <w:pPr>
        <w:pStyle w:val="TOC2"/>
        <w:tabs>
          <w:tab w:val="left" w:pos="1000"/>
          <w:tab w:val="right" w:leader="dot" w:pos="9629"/>
        </w:tabs>
        <w:rPr>
          <w:rFonts w:eastAsiaTheme="minorEastAsia"/>
          <w:smallCaps w:val="0"/>
          <w:noProof/>
          <w:sz w:val="22"/>
          <w:szCs w:val="22"/>
          <w:lang w:val="en-ZA" w:eastAsia="en-ZA"/>
        </w:rPr>
      </w:pPr>
      <w:hyperlink w:anchor="_Toc510706555" w:history="1">
        <w:r w:rsidR="001D1E46" w:rsidRPr="00AC1F66">
          <w:rPr>
            <w:rStyle w:val="Hyperlink"/>
            <w:noProof/>
          </w:rPr>
          <w:t>1.1.2.</w:t>
        </w:r>
        <w:r w:rsidR="001D1E46">
          <w:rPr>
            <w:rFonts w:eastAsiaTheme="minorEastAsia"/>
            <w:smallCaps w:val="0"/>
            <w:noProof/>
            <w:sz w:val="22"/>
            <w:szCs w:val="22"/>
            <w:lang w:val="en-ZA" w:eastAsia="en-ZA"/>
          </w:rPr>
          <w:tab/>
        </w:r>
        <w:r w:rsidR="001D1E46" w:rsidRPr="00AC1F66">
          <w:rPr>
            <w:rStyle w:val="Hyperlink"/>
            <w:noProof/>
          </w:rPr>
          <w:t>Demographic Profile</w:t>
        </w:r>
        <w:r w:rsidR="001D1E46">
          <w:rPr>
            <w:noProof/>
            <w:webHidden/>
          </w:rPr>
          <w:tab/>
        </w:r>
        <w:r w:rsidR="001D1E46">
          <w:rPr>
            <w:noProof/>
            <w:webHidden/>
          </w:rPr>
          <w:fldChar w:fldCharType="begin"/>
        </w:r>
        <w:r w:rsidR="001D1E46">
          <w:rPr>
            <w:noProof/>
            <w:webHidden/>
          </w:rPr>
          <w:instrText xml:space="preserve"> PAGEREF _Toc510706555 \h </w:instrText>
        </w:r>
        <w:r w:rsidR="001D1E46">
          <w:rPr>
            <w:noProof/>
            <w:webHidden/>
          </w:rPr>
        </w:r>
        <w:r w:rsidR="001D1E46">
          <w:rPr>
            <w:noProof/>
            <w:webHidden/>
          </w:rPr>
          <w:fldChar w:fldCharType="separate"/>
        </w:r>
        <w:r w:rsidR="0067023A">
          <w:rPr>
            <w:noProof/>
            <w:webHidden/>
          </w:rPr>
          <w:t>12</w:t>
        </w:r>
        <w:r w:rsidR="001D1E46">
          <w:rPr>
            <w:noProof/>
            <w:webHidden/>
          </w:rPr>
          <w:fldChar w:fldCharType="end"/>
        </w:r>
      </w:hyperlink>
    </w:p>
    <w:p w14:paraId="7DC08F86" w14:textId="77777777" w:rsidR="001D1E46" w:rsidRDefault="00B918A6">
      <w:pPr>
        <w:pStyle w:val="TOC2"/>
        <w:tabs>
          <w:tab w:val="left" w:pos="1000"/>
          <w:tab w:val="right" w:leader="dot" w:pos="9629"/>
        </w:tabs>
        <w:rPr>
          <w:rFonts w:eastAsiaTheme="minorEastAsia"/>
          <w:smallCaps w:val="0"/>
          <w:noProof/>
          <w:sz w:val="22"/>
          <w:szCs w:val="22"/>
          <w:lang w:val="en-ZA" w:eastAsia="en-ZA"/>
        </w:rPr>
      </w:pPr>
      <w:hyperlink w:anchor="_Toc510706556" w:history="1">
        <w:r w:rsidR="001D1E46" w:rsidRPr="00AC1F66">
          <w:rPr>
            <w:rStyle w:val="Hyperlink"/>
            <w:noProof/>
          </w:rPr>
          <w:t>1.1.3.</w:t>
        </w:r>
        <w:r w:rsidR="001D1E46">
          <w:rPr>
            <w:rFonts w:eastAsiaTheme="minorEastAsia"/>
            <w:smallCaps w:val="0"/>
            <w:noProof/>
            <w:sz w:val="22"/>
            <w:szCs w:val="22"/>
            <w:lang w:val="en-ZA" w:eastAsia="en-ZA"/>
          </w:rPr>
          <w:tab/>
        </w:r>
        <w:r w:rsidR="001D1E46" w:rsidRPr="00AC1F66">
          <w:rPr>
            <w:rStyle w:val="Hyperlink"/>
            <w:noProof/>
          </w:rPr>
          <w:t>Land Administration</w:t>
        </w:r>
        <w:r w:rsidR="001D1E46">
          <w:rPr>
            <w:noProof/>
            <w:webHidden/>
          </w:rPr>
          <w:tab/>
        </w:r>
        <w:r w:rsidR="001D1E46">
          <w:rPr>
            <w:noProof/>
            <w:webHidden/>
          </w:rPr>
          <w:fldChar w:fldCharType="begin"/>
        </w:r>
        <w:r w:rsidR="001D1E46">
          <w:rPr>
            <w:noProof/>
            <w:webHidden/>
          </w:rPr>
          <w:instrText xml:space="preserve"> PAGEREF _Toc510706556 \h </w:instrText>
        </w:r>
        <w:r w:rsidR="001D1E46">
          <w:rPr>
            <w:noProof/>
            <w:webHidden/>
          </w:rPr>
        </w:r>
        <w:r w:rsidR="001D1E46">
          <w:rPr>
            <w:noProof/>
            <w:webHidden/>
          </w:rPr>
          <w:fldChar w:fldCharType="separate"/>
        </w:r>
        <w:r w:rsidR="0067023A">
          <w:rPr>
            <w:noProof/>
            <w:webHidden/>
          </w:rPr>
          <w:t>13</w:t>
        </w:r>
        <w:r w:rsidR="001D1E46">
          <w:rPr>
            <w:noProof/>
            <w:webHidden/>
          </w:rPr>
          <w:fldChar w:fldCharType="end"/>
        </w:r>
      </w:hyperlink>
    </w:p>
    <w:p w14:paraId="5F4F051C"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557" w:history="1">
        <w:r w:rsidR="001D1E46" w:rsidRPr="00AC1F66">
          <w:rPr>
            <w:rStyle w:val="Hyperlink"/>
            <w:noProof/>
          </w:rPr>
          <w:t>1.2.</w:t>
        </w:r>
        <w:r w:rsidR="001D1E46">
          <w:rPr>
            <w:rFonts w:eastAsiaTheme="minorEastAsia"/>
            <w:smallCaps w:val="0"/>
            <w:noProof/>
            <w:sz w:val="22"/>
            <w:szCs w:val="22"/>
            <w:lang w:val="en-ZA" w:eastAsia="en-ZA"/>
          </w:rPr>
          <w:tab/>
        </w:r>
        <w:r w:rsidR="001D1E46" w:rsidRPr="00AC1F66">
          <w:rPr>
            <w:rStyle w:val="Hyperlink"/>
            <w:noProof/>
          </w:rPr>
          <w:t>Developing the uMlalazi Integrated Development Plan</w:t>
        </w:r>
        <w:r w:rsidR="001D1E46">
          <w:rPr>
            <w:noProof/>
            <w:webHidden/>
          </w:rPr>
          <w:tab/>
        </w:r>
        <w:r w:rsidR="001D1E46">
          <w:rPr>
            <w:noProof/>
            <w:webHidden/>
          </w:rPr>
          <w:fldChar w:fldCharType="begin"/>
        </w:r>
        <w:r w:rsidR="001D1E46">
          <w:rPr>
            <w:noProof/>
            <w:webHidden/>
          </w:rPr>
          <w:instrText xml:space="preserve"> PAGEREF _Toc510706557 \h </w:instrText>
        </w:r>
        <w:r w:rsidR="001D1E46">
          <w:rPr>
            <w:noProof/>
            <w:webHidden/>
          </w:rPr>
        </w:r>
        <w:r w:rsidR="001D1E46">
          <w:rPr>
            <w:noProof/>
            <w:webHidden/>
          </w:rPr>
          <w:fldChar w:fldCharType="separate"/>
        </w:r>
        <w:r w:rsidR="0067023A">
          <w:rPr>
            <w:noProof/>
            <w:webHidden/>
          </w:rPr>
          <w:t>15</w:t>
        </w:r>
        <w:r w:rsidR="001D1E46">
          <w:rPr>
            <w:noProof/>
            <w:webHidden/>
          </w:rPr>
          <w:fldChar w:fldCharType="end"/>
        </w:r>
      </w:hyperlink>
    </w:p>
    <w:p w14:paraId="7583DFB5" w14:textId="77777777" w:rsidR="001D1E46" w:rsidRDefault="00B918A6">
      <w:pPr>
        <w:pStyle w:val="TOC2"/>
        <w:tabs>
          <w:tab w:val="left" w:pos="1000"/>
          <w:tab w:val="right" w:leader="dot" w:pos="9629"/>
        </w:tabs>
        <w:rPr>
          <w:rFonts w:eastAsiaTheme="minorEastAsia"/>
          <w:smallCaps w:val="0"/>
          <w:noProof/>
          <w:sz w:val="22"/>
          <w:szCs w:val="22"/>
          <w:lang w:val="en-ZA" w:eastAsia="en-ZA"/>
        </w:rPr>
      </w:pPr>
      <w:hyperlink w:anchor="_Toc510706558" w:history="1">
        <w:r w:rsidR="001D1E46" w:rsidRPr="00AC1F66">
          <w:rPr>
            <w:rStyle w:val="Hyperlink"/>
            <w:noProof/>
          </w:rPr>
          <w:t>1.2.1.</w:t>
        </w:r>
        <w:r w:rsidR="001D1E46">
          <w:rPr>
            <w:rFonts w:eastAsiaTheme="minorEastAsia"/>
            <w:smallCaps w:val="0"/>
            <w:noProof/>
            <w:sz w:val="22"/>
            <w:szCs w:val="22"/>
            <w:lang w:val="en-ZA" w:eastAsia="en-ZA"/>
          </w:rPr>
          <w:tab/>
        </w:r>
        <w:r w:rsidR="001D1E46" w:rsidRPr="00AC1F66">
          <w:rPr>
            <w:rStyle w:val="Hyperlink"/>
            <w:noProof/>
          </w:rPr>
          <w:t>The IDP, Budget and PMS Process Plan</w:t>
        </w:r>
        <w:r w:rsidR="001D1E46">
          <w:rPr>
            <w:noProof/>
            <w:webHidden/>
          </w:rPr>
          <w:tab/>
        </w:r>
        <w:r w:rsidR="001D1E46">
          <w:rPr>
            <w:noProof/>
            <w:webHidden/>
          </w:rPr>
          <w:fldChar w:fldCharType="begin"/>
        </w:r>
        <w:r w:rsidR="001D1E46">
          <w:rPr>
            <w:noProof/>
            <w:webHidden/>
          </w:rPr>
          <w:instrText xml:space="preserve"> PAGEREF _Toc510706558 \h </w:instrText>
        </w:r>
        <w:r w:rsidR="001D1E46">
          <w:rPr>
            <w:noProof/>
            <w:webHidden/>
          </w:rPr>
        </w:r>
        <w:r w:rsidR="001D1E46">
          <w:rPr>
            <w:noProof/>
            <w:webHidden/>
          </w:rPr>
          <w:fldChar w:fldCharType="separate"/>
        </w:r>
        <w:r w:rsidR="0067023A">
          <w:rPr>
            <w:noProof/>
            <w:webHidden/>
          </w:rPr>
          <w:t>16</w:t>
        </w:r>
        <w:r w:rsidR="001D1E46">
          <w:rPr>
            <w:noProof/>
            <w:webHidden/>
          </w:rPr>
          <w:fldChar w:fldCharType="end"/>
        </w:r>
      </w:hyperlink>
    </w:p>
    <w:p w14:paraId="5F2A091B" w14:textId="77777777" w:rsidR="001D1E46" w:rsidRDefault="00B918A6">
      <w:pPr>
        <w:pStyle w:val="TOC3"/>
        <w:rPr>
          <w:rFonts w:eastAsiaTheme="minorEastAsia"/>
          <w:i w:val="0"/>
          <w:iCs w:val="0"/>
          <w:noProof/>
          <w:sz w:val="22"/>
          <w:szCs w:val="22"/>
          <w:lang w:val="en-ZA" w:eastAsia="en-ZA"/>
        </w:rPr>
      </w:pPr>
      <w:hyperlink w:anchor="_Toc510706559" w:history="1">
        <w:r w:rsidR="001D1E46" w:rsidRPr="00AC1F66">
          <w:rPr>
            <w:rStyle w:val="Hyperlink"/>
            <w:noProof/>
          </w:rPr>
          <w:t>1.2.2.</w:t>
        </w:r>
        <w:r w:rsidR="001D1E46">
          <w:rPr>
            <w:rFonts w:eastAsiaTheme="minorEastAsia"/>
            <w:i w:val="0"/>
            <w:iCs w:val="0"/>
            <w:noProof/>
            <w:sz w:val="22"/>
            <w:szCs w:val="22"/>
            <w:lang w:val="en-ZA" w:eastAsia="en-ZA"/>
          </w:rPr>
          <w:tab/>
        </w:r>
        <w:r w:rsidR="001D1E46" w:rsidRPr="00AC1F66">
          <w:rPr>
            <w:rStyle w:val="Hyperlink"/>
            <w:noProof/>
          </w:rPr>
          <w:t>Participation</w:t>
        </w:r>
        <w:r w:rsidR="001D1E46">
          <w:rPr>
            <w:noProof/>
            <w:webHidden/>
          </w:rPr>
          <w:tab/>
        </w:r>
        <w:r w:rsidR="001D1E46">
          <w:rPr>
            <w:noProof/>
            <w:webHidden/>
          </w:rPr>
          <w:fldChar w:fldCharType="begin"/>
        </w:r>
        <w:r w:rsidR="001D1E46">
          <w:rPr>
            <w:noProof/>
            <w:webHidden/>
          </w:rPr>
          <w:instrText xml:space="preserve"> PAGEREF _Toc510706559 \h </w:instrText>
        </w:r>
        <w:r w:rsidR="001D1E46">
          <w:rPr>
            <w:noProof/>
            <w:webHidden/>
          </w:rPr>
        </w:r>
        <w:r w:rsidR="001D1E46">
          <w:rPr>
            <w:noProof/>
            <w:webHidden/>
          </w:rPr>
          <w:fldChar w:fldCharType="separate"/>
        </w:r>
        <w:r w:rsidR="0067023A">
          <w:rPr>
            <w:noProof/>
            <w:webHidden/>
          </w:rPr>
          <w:t>16</w:t>
        </w:r>
        <w:r w:rsidR="001D1E46">
          <w:rPr>
            <w:noProof/>
            <w:webHidden/>
          </w:rPr>
          <w:fldChar w:fldCharType="end"/>
        </w:r>
      </w:hyperlink>
    </w:p>
    <w:p w14:paraId="6AAC2F71" w14:textId="77777777" w:rsidR="001D1E46" w:rsidRDefault="00B918A6">
      <w:pPr>
        <w:pStyle w:val="TOC3"/>
        <w:rPr>
          <w:rFonts w:eastAsiaTheme="minorEastAsia"/>
          <w:i w:val="0"/>
          <w:iCs w:val="0"/>
          <w:noProof/>
          <w:sz w:val="22"/>
          <w:szCs w:val="22"/>
          <w:lang w:val="en-ZA" w:eastAsia="en-ZA"/>
        </w:rPr>
      </w:pPr>
      <w:hyperlink w:anchor="_Toc510706560" w:history="1">
        <w:r w:rsidR="001D1E46" w:rsidRPr="00AC1F66">
          <w:rPr>
            <w:rStyle w:val="Hyperlink"/>
            <w:noProof/>
          </w:rPr>
          <w:t>1.2.3.</w:t>
        </w:r>
        <w:r w:rsidR="001D1E46">
          <w:rPr>
            <w:rFonts w:eastAsiaTheme="minorEastAsia"/>
            <w:i w:val="0"/>
            <w:iCs w:val="0"/>
            <w:noProof/>
            <w:sz w:val="22"/>
            <w:szCs w:val="22"/>
            <w:lang w:val="en-ZA" w:eastAsia="en-ZA"/>
          </w:rPr>
          <w:tab/>
        </w:r>
        <w:r w:rsidR="001D1E46" w:rsidRPr="00AC1F66">
          <w:rPr>
            <w:rStyle w:val="Hyperlink"/>
            <w:noProof/>
          </w:rPr>
          <w:t>Community Based Planning</w:t>
        </w:r>
        <w:r w:rsidR="001D1E46">
          <w:rPr>
            <w:noProof/>
            <w:webHidden/>
          </w:rPr>
          <w:tab/>
        </w:r>
        <w:r w:rsidR="001D1E46">
          <w:rPr>
            <w:noProof/>
            <w:webHidden/>
          </w:rPr>
          <w:fldChar w:fldCharType="begin"/>
        </w:r>
        <w:r w:rsidR="001D1E46">
          <w:rPr>
            <w:noProof/>
            <w:webHidden/>
          </w:rPr>
          <w:instrText xml:space="preserve"> PAGEREF _Toc510706560 \h </w:instrText>
        </w:r>
        <w:r w:rsidR="001D1E46">
          <w:rPr>
            <w:noProof/>
            <w:webHidden/>
          </w:rPr>
        </w:r>
        <w:r w:rsidR="001D1E46">
          <w:rPr>
            <w:noProof/>
            <w:webHidden/>
          </w:rPr>
          <w:fldChar w:fldCharType="separate"/>
        </w:r>
        <w:r w:rsidR="0067023A">
          <w:rPr>
            <w:noProof/>
            <w:webHidden/>
          </w:rPr>
          <w:t>16</w:t>
        </w:r>
        <w:r w:rsidR="001D1E46">
          <w:rPr>
            <w:noProof/>
            <w:webHidden/>
          </w:rPr>
          <w:fldChar w:fldCharType="end"/>
        </w:r>
      </w:hyperlink>
    </w:p>
    <w:p w14:paraId="6AA4EBB3" w14:textId="77777777" w:rsidR="001D1E46" w:rsidRDefault="00B918A6">
      <w:pPr>
        <w:pStyle w:val="TOC3"/>
        <w:rPr>
          <w:rFonts w:eastAsiaTheme="minorEastAsia"/>
          <w:i w:val="0"/>
          <w:iCs w:val="0"/>
          <w:noProof/>
          <w:sz w:val="22"/>
          <w:szCs w:val="22"/>
          <w:lang w:val="en-ZA" w:eastAsia="en-ZA"/>
        </w:rPr>
      </w:pPr>
      <w:hyperlink w:anchor="_Toc510706561" w:history="1">
        <w:r w:rsidR="001D1E46" w:rsidRPr="00AC1F66">
          <w:rPr>
            <w:rStyle w:val="Hyperlink"/>
            <w:noProof/>
          </w:rPr>
          <w:t>1.2.4.</w:t>
        </w:r>
        <w:r w:rsidR="001D1E46">
          <w:rPr>
            <w:rFonts w:eastAsiaTheme="minorEastAsia"/>
            <w:i w:val="0"/>
            <w:iCs w:val="0"/>
            <w:noProof/>
            <w:sz w:val="22"/>
            <w:szCs w:val="22"/>
            <w:lang w:val="en-ZA" w:eastAsia="en-ZA"/>
          </w:rPr>
          <w:tab/>
        </w:r>
        <w:r w:rsidR="001D1E46" w:rsidRPr="00AC1F66">
          <w:rPr>
            <w:rStyle w:val="Hyperlink"/>
            <w:noProof/>
          </w:rPr>
          <w:t>The King Cetshwayo District’s Framework Plan</w:t>
        </w:r>
        <w:r w:rsidR="001D1E46">
          <w:rPr>
            <w:noProof/>
            <w:webHidden/>
          </w:rPr>
          <w:tab/>
        </w:r>
        <w:r w:rsidR="001D1E46">
          <w:rPr>
            <w:noProof/>
            <w:webHidden/>
          </w:rPr>
          <w:fldChar w:fldCharType="begin"/>
        </w:r>
        <w:r w:rsidR="001D1E46">
          <w:rPr>
            <w:noProof/>
            <w:webHidden/>
          </w:rPr>
          <w:instrText xml:space="preserve"> PAGEREF _Toc510706561 \h </w:instrText>
        </w:r>
        <w:r w:rsidR="001D1E46">
          <w:rPr>
            <w:noProof/>
            <w:webHidden/>
          </w:rPr>
        </w:r>
        <w:r w:rsidR="001D1E46">
          <w:rPr>
            <w:noProof/>
            <w:webHidden/>
          </w:rPr>
          <w:fldChar w:fldCharType="separate"/>
        </w:r>
        <w:r w:rsidR="0067023A">
          <w:rPr>
            <w:noProof/>
            <w:webHidden/>
          </w:rPr>
          <w:t>17</w:t>
        </w:r>
        <w:r w:rsidR="001D1E46">
          <w:rPr>
            <w:noProof/>
            <w:webHidden/>
          </w:rPr>
          <w:fldChar w:fldCharType="end"/>
        </w:r>
      </w:hyperlink>
    </w:p>
    <w:p w14:paraId="53F31036"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562" w:history="1">
        <w:r w:rsidR="001D1E46" w:rsidRPr="00AC1F66">
          <w:rPr>
            <w:rStyle w:val="Hyperlink"/>
            <w:noProof/>
          </w:rPr>
          <w:t>1.3.</w:t>
        </w:r>
        <w:r w:rsidR="001D1E46">
          <w:rPr>
            <w:rFonts w:eastAsiaTheme="minorEastAsia"/>
            <w:smallCaps w:val="0"/>
            <w:noProof/>
            <w:sz w:val="22"/>
            <w:szCs w:val="22"/>
            <w:lang w:val="en-ZA" w:eastAsia="en-ZA"/>
          </w:rPr>
          <w:tab/>
        </w:r>
        <w:r w:rsidR="001D1E46" w:rsidRPr="00AC1F66">
          <w:rPr>
            <w:rStyle w:val="Hyperlink"/>
            <w:noProof/>
          </w:rPr>
          <w:t>KEY CHALLENGES</w:t>
        </w:r>
        <w:r w:rsidR="001D1E46">
          <w:rPr>
            <w:noProof/>
            <w:webHidden/>
          </w:rPr>
          <w:tab/>
        </w:r>
        <w:r w:rsidR="001D1E46">
          <w:rPr>
            <w:noProof/>
            <w:webHidden/>
          </w:rPr>
          <w:fldChar w:fldCharType="begin"/>
        </w:r>
        <w:r w:rsidR="001D1E46">
          <w:rPr>
            <w:noProof/>
            <w:webHidden/>
          </w:rPr>
          <w:instrText xml:space="preserve"> PAGEREF _Toc510706562 \h </w:instrText>
        </w:r>
        <w:r w:rsidR="001D1E46">
          <w:rPr>
            <w:noProof/>
            <w:webHidden/>
          </w:rPr>
        </w:r>
        <w:r w:rsidR="001D1E46">
          <w:rPr>
            <w:noProof/>
            <w:webHidden/>
          </w:rPr>
          <w:fldChar w:fldCharType="separate"/>
        </w:r>
        <w:r w:rsidR="0067023A">
          <w:rPr>
            <w:noProof/>
            <w:webHidden/>
          </w:rPr>
          <w:t>17</w:t>
        </w:r>
        <w:r w:rsidR="001D1E46">
          <w:rPr>
            <w:noProof/>
            <w:webHidden/>
          </w:rPr>
          <w:fldChar w:fldCharType="end"/>
        </w:r>
      </w:hyperlink>
    </w:p>
    <w:p w14:paraId="2EC1CDD2"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563" w:history="1">
        <w:r w:rsidR="001D1E46" w:rsidRPr="00AC1F66">
          <w:rPr>
            <w:rStyle w:val="Hyperlink"/>
            <w:noProof/>
          </w:rPr>
          <w:t>1.4.</w:t>
        </w:r>
        <w:r w:rsidR="001D1E46">
          <w:rPr>
            <w:rFonts w:eastAsiaTheme="minorEastAsia"/>
            <w:smallCaps w:val="0"/>
            <w:noProof/>
            <w:sz w:val="22"/>
            <w:szCs w:val="22"/>
            <w:lang w:val="en-ZA" w:eastAsia="en-ZA"/>
          </w:rPr>
          <w:tab/>
        </w:r>
        <w:r w:rsidR="001D1E46" w:rsidRPr="00AC1F66">
          <w:rPr>
            <w:rStyle w:val="Hyperlink"/>
            <w:noProof/>
          </w:rPr>
          <w:t>The Municipality’s Long Term Vision</w:t>
        </w:r>
        <w:r w:rsidR="001D1E46">
          <w:rPr>
            <w:noProof/>
            <w:webHidden/>
          </w:rPr>
          <w:tab/>
        </w:r>
        <w:r w:rsidR="001D1E46">
          <w:rPr>
            <w:noProof/>
            <w:webHidden/>
          </w:rPr>
          <w:fldChar w:fldCharType="begin"/>
        </w:r>
        <w:r w:rsidR="001D1E46">
          <w:rPr>
            <w:noProof/>
            <w:webHidden/>
          </w:rPr>
          <w:instrText xml:space="preserve"> PAGEREF _Toc510706563 \h </w:instrText>
        </w:r>
        <w:r w:rsidR="001D1E46">
          <w:rPr>
            <w:noProof/>
            <w:webHidden/>
          </w:rPr>
        </w:r>
        <w:r w:rsidR="001D1E46">
          <w:rPr>
            <w:noProof/>
            <w:webHidden/>
          </w:rPr>
          <w:fldChar w:fldCharType="separate"/>
        </w:r>
        <w:r w:rsidR="0067023A">
          <w:rPr>
            <w:noProof/>
            <w:webHidden/>
          </w:rPr>
          <w:t>18</w:t>
        </w:r>
        <w:r w:rsidR="001D1E46">
          <w:rPr>
            <w:noProof/>
            <w:webHidden/>
          </w:rPr>
          <w:fldChar w:fldCharType="end"/>
        </w:r>
      </w:hyperlink>
    </w:p>
    <w:p w14:paraId="5C01C1D6" w14:textId="77777777" w:rsidR="001D1E46" w:rsidRDefault="00B918A6">
      <w:pPr>
        <w:pStyle w:val="TOC3"/>
        <w:rPr>
          <w:rFonts w:eastAsiaTheme="minorEastAsia"/>
          <w:i w:val="0"/>
          <w:iCs w:val="0"/>
          <w:noProof/>
          <w:sz w:val="22"/>
          <w:szCs w:val="22"/>
          <w:lang w:val="en-ZA" w:eastAsia="en-ZA"/>
        </w:rPr>
      </w:pPr>
      <w:hyperlink w:anchor="_Toc510706564" w:history="1">
        <w:r w:rsidR="001D1E46" w:rsidRPr="00AC1F66">
          <w:rPr>
            <w:rStyle w:val="Hyperlink"/>
            <w:noProof/>
          </w:rPr>
          <w:t>1.4.1.</w:t>
        </w:r>
        <w:r w:rsidR="001D1E46">
          <w:rPr>
            <w:rFonts w:eastAsiaTheme="minorEastAsia"/>
            <w:i w:val="0"/>
            <w:iCs w:val="0"/>
            <w:noProof/>
            <w:sz w:val="22"/>
            <w:szCs w:val="22"/>
            <w:lang w:val="en-ZA" w:eastAsia="en-ZA"/>
          </w:rPr>
          <w:tab/>
        </w:r>
        <w:r w:rsidR="001D1E46" w:rsidRPr="00AC1F66">
          <w:rPr>
            <w:rStyle w:val="Hyperlink"/>
            <w:noProof/>
          </w:rPr>
          <w:t>The Municipality’s Mission</w:t>
        </w:r>
        <w:r w:rsidR="001D1E46">
          <w:rPr>
            <w:noProof/>
            <w:webHidden/>
          </w:rPr>
          <w:tab/>
        </w:r>
        <w:r w:rsidR="001D1E46">
          <w:rPr>
            <w:noProof/>
            <w:webHidden/>
          </w:rPr>
          <w:fldChar w:fldCharType="begin"/>
        </w:r>
        <w:r w:rsidR="001D1E46">
          <w:rPr>
            <w:noProof/>
            <w:webHidden/>
          </w:rPr>
          <w:instrText xml:space="preserve"> PAGEREF _Toc510706564 \h </w:instrText>
        </w:r>
        <w:r w:rsidR="001D1E46">
          <w:rPr>
            <w:noProof/>
            <w:webHidden/>
          </w:rPr>
        </w:r>
        <w:r w:rsidR="001D1E46">
          <w:rPr>
            <w:noProof/>
            <w:webHidden/>
          </w:rPr>
          <w:fldChar w:fldCharType="separate"/>
        </w:r>
        <w:r w:rsidR="0067023A">
          <w:rPr>
            <w:noProof/>
            <w:webHidden/>
          </w:rPr>
          <w:t>18</w:t>
        </w:r>
        <w:r w:rsidR="001D1E46">
          <w:rPr>
            <w:noProof/>
            <w:webHidden/>
          </w:rPr>
          <w:fldChar w:fldCharType="end"/>
        </w:r>
      </w:hyperlink>
    </w:p>
    <w:p w14:paraId="4A7612B2" w14:textId="77777777" w:rsidR="001D1E46" w:rsidRDefault="00B918A6">
      <w:pPr>
        <w:pStyle w:val="TOC3"/>
        <w:rPr>
          <w:rFonts w:eastAsiaTheme="minorEastAsia"/>
          <w:i w:val="0"/>
          <w:iCs w:val="0"/>
          <w:noProof/>
          <w:sz w:val="22"/>
          <w:szCs w:val="22"/>
          <w:lang w:val="en-ZA" w:eastAsia="en-ZA"/>
        </w:rPr>
      </w:pPr>
      <w:hyperlink w:anchor="_Toc510706565" w:history="1">
        <w:r w:rsidR="001D1E46" w:rsidRPr="00AC1F66">
          <w:rPr>
            <w:rStyle w:val="Hyperlink"/>
            <w:noProof/>
          </w:rPr>
          <w:t>1.4.2.</w:t>
        </w:r>
        <w:r w:rsidR="001D1E46">
          <w:rPr>
            <w:rFonts w:eastAsiaTheme="minorEastAsia"/>
            <w:i w:val="0"/>
            <w:iCs w:val="0"/>
            <w:noProof/>
            <w:sz w:val="22"/>
            <w:szCs w:val="22"/>
            <w:lang w:val="en-ZA" w:eastAsia="en-ZA"/>
          </w:rPr>
          <w:tab/>
        </w:r>
        <w:r w:rsidR="001D1E46" w:rsidRPr="00AC1F66">
          <w:rPr>
            <w:rStyle w:val="Hyperlink"/>
            <w:noProof/>
          </w:rPr>
          <w:t>Long Term Strategic Goals and Desired Outputs</w:t>
        </w:r>
        <w:r w:rsidR="001D1E46">
          <w:rPr>
            <w:noProof/>
            <w:webHidden/>
          </w:rPr>
          <w:tab/>
        </w:r>
        <w:r w:rsidR="001D1E46">
          <w:rPr>
            <w:noProof/>
            <w:webHidden/>
          </w:rPr>
          <w:fldChar w:fldCharType="begin"/>
        </w:r>
        <w:r w:rsidR="001D1E46">
          <w:rPr>
            <w:noProof/>
            <w:webHidden/>
          </w:rPr>
          <w:instrText xml:space="preserve"> PAGEREF _Toc510706565 \h </w:instrText>
        </w:r>
        <w:r w:rsidR="001D1E46">
          <w:rPr>
            <w:noProof/>
            <w:webHidden/>
          </w:rPr>
        </w:r>
        <w:r w:rsidR="001D1E46">
          <w:rPr>
            <w:noProof/>
            <w:webHidden/>
          </w:rPr>
          <w:fldChar w:fldCharType="separate"/>
        </w:r>
        <w:r w:rsidR="0067023A">
          <w:rPr>
            <w:noProof/>
            <w:webHidden/>
          </w:rPr>
          <w:t>19</w:t>
        </w:r>
        <w:r w:rsidR="001D1E46">
          <w:rPr>
            <w:noProof/>
            <w:webHidden/>
          </w:rPr>
          <w:fldChar w:fldCharType="end"/>
        </w:r>
      </w:hyperlink>
    </w:p>
    <w:p w14:paraId="2EB81C58" w14:textId="77777777" w:rsidR="001D1E46" w:rsidRDefault="00B918A6">
      <w:pPr>
        <w:pStyle w:val="TOC3"/>
        <w:rPr>
          <w:rFonts w:eastAsiaTheme="minorEastAsia"/>
          <w:i w:val="0"/>
          <w:iCs w:val="0"/>
          <w:noProof/>
          <w:sz w:val="22"/>
          <w:szCs w:val="22"/>
          <w:lang w:val="en-ZA" w:eastAsia="en-ZA"/>
        </w:rPr>
      </w:pPr>
      <w:hyperlink w:anchor="_Toc510706566" w:history="1">
        <w:r w:rsidR="001D1E46" w:rsidRPr="00AC1F66">
          <w:rPr>
            <w:rStyle w:val="Hyperlink"/>
            <w:noProof/>
          </w:rPr>
          <w:t>1.4.3.</w:t>
        </w:r>
        <w:r w:rsidR="001D1E46">
          <w:rPr>
            <w:rFonts w:eastAsiaTheme="minorEastAsia"/>
            <w:i w:val="0"/>
            <w:iCs w:val="0"/>
            <w:noProof/>
            <w:sz w:val="22"/>
            <w:szCs w:val="22"/>
            <w:lang w:val="en-ZA" w:eastAsia="en-ZA"/>
          </w:rPr>
          <w:tab/>
        </w:r>
        <w:r w:rsidR="001D1E46" w:rsidRPr="00AC1F66">
          <w:rPr>
            <w:rStyle w:val="Hyperlink"/>
            <w:noProof/>
          </w:rPr>
          <w:t>Strategic Spatial Intervention Areas</w:t>
        </w:r>
        <w:r w:rsidR="001D1E46">
          <w:rPr>
            <w:noProof/>
            <w:webHidden/>
          </w:rPr>
          <w:tab/>
        </w:r>
        <w:r w:rsidR="001D1E46">
          <w:rPr>
            <w:noProof/>
            <w:webHidden/>
          </w:rPr>
          <w:fldChar w:fldCharType="begin"/>
        </w:r>
        <w:r w:rsidR="001D1E46">
          <w:rPr>
            <w:noProof/>
            <w:webHidden/>
          </w:rPr>
          <w:instrText xml:space="preserve"> PAGEREF _Toc510706566 \h </w:instrText>
        </w:r>
        <w:r w:rsidR="001D1E46">
          <w:rPr>
            <w:noProof/>
            <w:webHidden/>
          </w:rPr>
        </w:r>
        <w:r w:rsidR="001D1E46">
          <w:rPr>
            <w:noProof/>
            <w:webHidden/>
          </w:rPr>
          <w:fldChar w:fldCharType="separate"/>
        </w:r>
        <w:r w:rsidR="0067023A">
          <w:rPr>
            <w:noProof/>
            <w:webHidden/>
          </w:rPr>
          <w:t>21</w:t>
        </w:r>
        <w:r w:rsidR="001D1E46">
          <w:rPr>
            <w:noProof/>
            <w:webHidden/>
          </w:rPr>
          <w:fldChar w:fldCharType="end"/>
        </w:r>
      </w:hyperlink>
    </w:p>
    <w:p w14:paraId="68242219"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567" w:history="1">
        <w:r w:rsidR="001D1E46" w:rsidRPr="00AC1F66">
          <w:rPr>
            <w:rStyle w:val="Hyperlink"/>
            <w:noProof/>
          </w:rPr>
          <w:t>1.5.</w:t>
        </w:r>
        <w:r w:rsidR="001D1E46">
          <w:rPr>
            <w:rFonts w:eastAsiaTheme="minorEastAsia"/>
            <w:smallCaps w:val="0"/>
            <w:noProof/>
            <w:sz w:val="22"/>
            <w:szCs w:val="22"/>
            <w:lang w:val="en-ZA" w:eastAsia="en-ZA"/>
          </w:rPr>
          <w:tab/>
        </w:r>
        <w:r w:rsidR="001D1E46" w:rsidRPr="00AC1F66">
          <w:rPr>
            <w:rStyle w:val="Hyperlink"/>
            <w:noProof/>
          </w:rPr>
          <w:t>PERFORMANCE/PROGRESS MANAGEMENT</w:t>
        </w:r>
        <w:r w:rsidR="001D1E46">
          <w:rPr>
            <w:noProof/>
            <w:webHidden/>
          </w:rPr>
          <w:tab/>
        </w:r>
        <w:r w:rsidR="001D1E46">
          <w:rPr>
            <w:noProof/>
            <w:webHidden/>
          </w:rPr>
          <w:fldChar w:fldCharType="begin"/>
        </w:r>
        <w:r w:rsidR="001D1E46">
          <w:rPr>
            <w:noProof/>
            <w:webHidden/>
          </w:rPr>
          <w:instrText xml:space="preserve"> PAGEREF _Toc510706567 \h </w:instrText>
        </w:r>
        <w:r w:rsidR="001D1E46">
          <w:rPr>
            <w:noProof/>
            <w:webHidden/>
          </w:rPr>
        </w:r>
        <w:r w:rsidR="001D1E46">
          <w:rPr>
            <w:noProof/>
            <w:webHidden/>
          </w:rPr>
          <w:fldChar w:fldCharType="separate"/>
        </w:r>
        <w:r w:rsidR="0067023A">
          <w:rPr>
            <w:noProof/>
            <w:webHidden/>
          </w:rPr>
          <w:t>22</w:t>
        </w:r>
        <w:r w:rsidR="001D1E46">
          <w:rPr>
            <w:noProof/>
            <w:webHidden/>
          </w:rPr>
          <w:fldChar w:fldCharType="end"/>
        </w:r>
      </w:hyperlink>
    </w:p>
    <w:p w14:paraId="4D3D19E2" w14:textId="77777777" w:rsidR="001D1E46" w:rsidRDefault="00B918A6">
      <w:pPr>
        <w:pStyle w:val="TOC1"/>
        <w:rPr>
          <w:rFonts w:asciiTheme="minorHAnsi" w:eastAsiaTheme="minorEastAsia" w:hAnsiTheme="minorHAnsi"/>
          <w:bCs w:val="0"/>
          <w:caps w:val="0"/>
          <w:sz w:val="22"/>
          <w:szCs w:val="22"/>
          <w:lang w:val="en-ZA" w:eastAsia="en-ZA"/>
        </w:rPr>
      </w:pPr>
      <w:hyperlink w:anchor="_Toc510706568" w:history="1">
        <w:r w:rsidR="001D1E46" w:rsidRPr="00AC1F66">
          <w:rPr>
            <w:rStyle w:val="Hyperlink"/>
          </w:rPr>
          <w:t>SECTION B: 1 PLANNING AND ECONOMIC DEVELOPMENT PRINCIPLES</w:t>
        </w:r>
        <w:r w:rsidR="001D1E46">
          <w:rPr>
            <w:webHidden/>
          </w:rPr>
          <w:tab/>
        </w:r>
        <w:r w:rsidR="001D1E46">
          <w:rPr>
            <w:webHidden/>
          </w:rPr>
          <w:fldChar w:fldCharType="begin"/>
        </w:r>
        <w:r w:rsidR="001D1E46">
          <w:rPr>
            <w:webHidden/>
          </w:rPr>
          <w:instrText xml:space="preserve"> PAGEREF _Toc510706568 \h </w:instrText>
        </w:r>
        <w:r w:rsidR="001D1E46">
          <w:rPr>
            <w:webHidden/>
          </w:rPr>
        </w:r>
        <w:r w:rsidR="001D1E46">
          <w:rPr>
            <w:webHidden/>
          </w:rPr>
          <w:fldChar w:fldCharType="separate"/>
        </w:r>
        <w:r w:rsidR="0067023A">
          <w:rPr>
            <w:webHidden/>
          </w:rPr>
          <w:t>22</w:t>
        </w:r>
        <w:r w:rsidR="001D1E46">
          <w:rPr>
            <w:webHidden/>
          </w:rPr>
          <w:fldChar w:fldCharType="end"/>
        </w:r>
      </w:hyperlink>
    </w:p>
    <w:p w14:paraId="3C16D628" w14:textId="77777777" w:rsidR="001D1E46" w:rsidRDefault="00B918A6">
      <w:pPr>
        <w:pStyle w:val="TOC1"/>
        <w:rPr>
          <w:rFonts w:asciiTheme="minorHAnsi" w:eastAsiaTheme="minorEastAsia" w:hAnsiTheme="minorHAnsi"/>
          <w:bCs w:val="0"/>
          <w:caps w:val="0"/>
          <w:sz w:val="22"/>
          <w:szCs w:val="22"/>
          <w:lang w:val="en-ZA" w:eastAsia="en-ZA"/>
        </w:rPr>
      </w:pPr>
      <w:hyperlink w:anchor="_Toc510706569" w:history="1">
        <w:r w:rsidR="001D1E46" w:rsidRPr="00AC1F66">
          <w:rPr>
            <w:rStyle w:val="Hyperlink"/>
          </w:rPr>
          <w:t>SECTION B: 2 GOVERNMENT PRIORITIES</w:t>
        </w:r>
        <w:r w:rsidR="001D1E46">
          <w:rPr>
            <w:webHidden/>
          </w:rPr>
          <w:tab/>
        </w:r>
        <w:r w:rsidR="001D1E46">
          <w:rPr>
            <w:webHidden/>
          </w:rPr>
          <w:fldChar w:fldCharType="begin"/>
        </w:r>
        <w:r w:rsidR="001D1E46">
          <w:rPr>
            <w:webHidden/>
          </w:rPr>
          <w:instrText xml:space="preserve"> PAGEREF _Toc510706569 \h </w:instrText>
        </w:r>
        <w:r w:rsidR="001D1E46">
          <w:rPr>
            <w:webHidden/>
          </w:rPr>
        </w:r>
        <w:r w:rsidR="001D1E46">
          <w:rPr>
            <w:webHidden/>
          </w:rPr>
          <w:fldChar w:fldCharType="separate"/>
        </w:r>
        <w:r w:rsidR="0067023A">
          <w:rPr>
            <w:webHidden/>
          </w:rPr>
          <w:t>22</w:t>
        </w:r>
        <w:r w:rsidR="001D1E46">
          <w:rPr>
            <w:webHidden/>
          </w:rPr>
          <w:fldChar w:fldCharType="end"/>
        </w:r>
      </w:hyperlink>
    </w:p>
    <w:p w14:paraId="53229B51"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570" w:history="1">
        <w:r w:rsidR="001D1E46" w:rsidRPr="00AC1F66">
          <w:rPr>
            <w:rStyle w:val="Hyperlink"/>
            <w:noProof/>
          </w:rPr>
          <w:t>2.2.</w:t>
        </w:r>
        <w:r w:rsidR="001D1E46">
          <w:rPr>
            <w:rFonts w:eastAsiaTheme="minorEastAsia"/>
            <w:smallCaps w:val="0"/>
            <w:noProof/>
            <w:sz w:val="22"/>
            <w:szCs w:val="22"/>
            <w:lang w:val="en-ZA" w:eastAsia="en-ZA"/>
          </w:rPr>
          <w:tab/>
        </w:r>
        <w:r w:rsidR="001D1E46" w:rsidRPr="00AC1F66">
          <w:rPr>
            <w:rStyle w:val="Hyperlink"/>
            <w:noProof/>
          </w:rPr>
          <w:t>Government Priorities</w:t>
        </w:r>
        <w:r w:rsidR="001D1E46">
          <w:rPr>
            <w:noProof/>
            <w:webHidden/>
          </w:rPr>
          <w:tab/>
        </w:r>
        <w:r w:rsidR="001D1E46">
          <w:rPr>
            <w:noProof/>
            <w:webHidden/>
          </w:rPr>
          <w:fldChar w:fldCharType="begin"/>
        </w:r>
        <w:r w:rsidR="001D1E46">
          <w:rPr>
            <w:noProof/>
            <w:webHidden/>
          </w:rPr>
          <w:instrText xml:space="preserve"> PAGEREF _Toc510706570 \h </w:instrText>
        </w:r>
        <w:r w:rsidR="001D1E46">
          <w:rPr>
            <w:noProof/>
            <w:webHidden/>
          </w:rPr>
        </w:r>
        <w:r w:rsidR="001D1E46">
          <w:rPr>
            <w:noProof/>
            <w:webHidden/>
          </w:rPr>
          <w:fldChar w:fldCharType="separate"/>
        </w:r>
        <w:r w:rsidR="0067023A">
          <w:rPr>
            <w:noProof/>
            <w:webHidden/>
          </w:rPr>
          <w:t>22</w:t>
        </w:r>
        <w:r w:rsidR="001D1E46">
          <w:rPr>
            <w:noProof/>
            <w:webHidden/>
          </w:rPr>
          <w:fldChar w:fldCharType="end"/>
        </w:r>
      </w:hyperlink>
    </w:p>
    <w:p w14:paraId="71AD43A5"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571" w:history="1">
        <w:r w:rsidR="001D1E46" w:rsidRPr="00AC1F66">
          <w:rPr>
            <w:rStyle w:val="Hyperlink"/>
            <w:noProof/>
          </w:rPr>
          <w:t>2.1.</w:t>
        </w:r>
        <w:r w:rsidR="001D1E46">
          <w:rPr>
            <w:rFonts w:eastAsiaTheme="minorEastAsia"/>
            <w:smallCaps w:val="0"/>
            <w:noProof/>
            <w:sz w:val="22"/>
            <w:szCs w:val="22"/>
            <w:lang w:val="en-ZA" w:eastAsia="en-ZA"/>
          </w:rPr>
          <w:tab/>
        </w:r>
        <w:r w:rsidR="001D1E46" w:rsidRPr="00AC1F66">
          <w:rPr>
            <w:rStyle w:val="Hyperlink"/>
            <w:noProof/>
          </w:rPr>
          <w:t>Planning and Economic Development Principles</w:t>
        </w:r>
        <w:r w:rsidR="001D1E46">
          <w:rPr>
            <w:noProof/>
            <w:webHidden/>
          </w:rPr>
          <w:tab/>
        </w:r>
        <w:r w:rsidR="001D1E46">
          <w:rPr>
            <w:noProof/>
            <w:webHidden/>
          </w:rPr>
          <w:fldChar w:fldCharType="begin"/>
        </w:r>
        <w:r w:rsidR="001D1E46">
          <w:rPr>
            <w:noProof/>
            <w:webHidden/>
          </w:rPr>
          <w:instrText xml:space="preserve"> PAGEREF _Toc510706571 \h </w:instrText>
        </w:r>
        <w:r w:rsidR="001D1E46">
          <w:rPr>
            <w:noProof/>
            <w:webHidden/>
          </w:rPr>
        </w:r>
        <w:r w:rsidR="001D1E46">
          <w:rPr>
            <w:noProof/>
            <w:webHidden/>
          </w:rPr>
          <w:fldChar w:fldCharType="separate"/>
        </w:r>
        <w:r w:rsidR="0067023A">
          <w:rPr>
            <w:noProof/>
            <w:webHidden/>
          </w:rPr>
          <w:t>22</w:t>
        </w:r>
        <w:r w:rsidR="001D1E46">
          <w:rPr>
            <w:noProof/>
            <w:webHidden/>
          </w:rPr>
          <w:fldChar w:fldCharType="end"/>
        </w:r>
      </w:hyperlink>
    </w:p>
    <w:p w14:paraId="1F090D40" w14:textId="77777777" w:rsidR="001D1E46" w:rsidRDefault="00B918A6">
      <w:pPr>
        <w:pStyle w:val="TOC3"/>
        <w:rPr>
          <w:rFonts w:eastAsiaTheme="minorEastAsia"/>
          <w:i w:val="0"/>
          <w:iCs w:val="0"/>
          <w:noProof/>
          <w:sz w:val="22"/>
          <w:szCs w:val="22"/>
          <w:lang w:val="en-ZA" w:eastAsia="en-ZA"/>
        </w:rPr>
      </w:pPr>
      <w:hyperlink w:anchor="_Toc510706572" w:history="1">
        <w:r w:rsidR="001D1E46" w:rsidRPr="00AC1F66">
          <w:rPr>
            <w:rStyle w:val="Hyperlink"/>
            <w:noProof/>
          </w:rPr>
          <w:t>2.2.1.</w:t>
        </w:r>
        <w:r w:rsidR="001D1E46">
          <w:rPr>
            <w:rFonts w:eastAsiaTheme="minorEastAsia"/>
            <w:i w:val="0"/>
            <w:iCs w:val="0"/>
            <w:noProof/>
            <w:sz w:val="22"/>
            <w:szCs w:val="22"/>
            <w:lang w:val="en-ZA" w:eastAsia="en-ZA"/>
          </w:rPr>
          <w:tab/>
        </w:r>
        <w:r w:rsidR="001D1E46" w:rsidRPr="00AC1F66">
          <w:rPr>
            <w:rStyle w:val="Hyperlink"/>
            <w:noProof/>
          </w:rPr>
          <w:t>Sustainable Development Goals 2063</w:t>
        </w:r>
        <w:r w:rsidR="001D1E46">
          <w:rPr>
            <w:noProof/>
            <w:webHidden/>
          </w:rPr>
          <w:tab/>
        </w:r>
        <w:r w:rsidR="001D1E46">
          <w:rPr>
            <w:noProof/>
            <w:webHidden/>
          </w:rPr>
          <w:fldChar w:fldCharType="begin"/>
        </w:r>
        <w:r w:rsidR="001D1E46">
          <w:rPr>
            <w:noProof/>
            <w:webHidden/>
          </w:rPr>
          <w:instrText xml:space="preserve"> PAGEREF _Toc510706572 \h </w:instrText>
        </w:r>
        <w:r w:rsidR="001D1E46">
          <w:rPr>
            <w:noProof/>
            <w:webHidden/>
          </w:rPr>
        </w:r>
        <w:r w:rsidR="001D1E46">
          <w:rPr>
            <w:noProof/>
            <w:webHidden/>
          </w:rPr>
          <w:fldChar w:fldCharType="separate"/>
        </w:r>
        <w:r w:rsidR="0067023A">
          <w:rPr>
            <w:noProof/>
            <w:webHidden/>
          </w:rPr>
          <w:t>23</w:t>
        </w:r>
        <w:r w:rsidR="001D1E46">
          <w:rPr>
            <w:noProof/>
            <w:webHidden/>
          </w:rPr>
          <w:fldChar w:fldCharType="end"/>
        </w:r>
      </w:hyperlink>
    </w:p>
    <w:p w14:paraId="394E10EA" w14:textId="77777777" w:rsidR="001D1E46" w:rsidRDefault="00B918A6">
      <w:pPr>
        <w:pStyle w:val="TOC3"/>
        <w:rPr>
          <w:rFonts w:eastAsiaTheme="minorEastAsia"/>
          <w:i w:val="0"/>
          <w:iCs w:val="0"/>
          <w:noProof/>
          <w:sz w:val="22"/>
          <w:szCs w:val="22"/>
          <w:lang w:val="en-ZA" w:eastAsia="en-ZA"/>
        </w:rPr>
      </w:pPr>
      <w:hyperlink w:anchor="_Toc510706573" w:history="1">
        <w:r w:rsidR="001D1E46" w:rsidRPr="00AC1F66">
          <w:rPr>
            <w:rStyle w:val="Hyperlink"/>
            <w:noProof/>
          </w:rPr>
          <w:t>2.2.2.</w:t>
        </w:r>
        <w:r w:rsidR="001D1E46">
          <w:rPr>
            <w:rFonts w:eastAsiaTheme="minorEastAsia"/>
            <w:i w:val="0"/>
            <w:iCs w:val="0"/>
            <w:noProof/>
            <w:sz w:val="22"/>
            <w:szCs w:val="22"/>
            <w:lang w:val="en-ZA" w:eastAsia="en-ZA"/>
          </w:rPr>
          <w:tab/>
        </w:r>
        <w:r w:rsidR="001D1E46" w:rsidRPr="00AC1F66">
          <w:rPr>
            <w:rStyle w:val="Hyperlink"/>
            <w:noProof/>
          </w:rPr>
          <w:t>African Union Agenda 2063</w:t>
        </w:r>
        <w:r w:rsidR="001D1E46">
          <w:rPr>
            <w:noProof/>
            <w:webHidden/>
          </w:rPr>
          <w:tab/>
        </w:r>
        <w:r w:rsidR="001D1E46">
          <w:rPr>
            <w:noProof/>
            <w:webHidden/>
          </w:rPr>
          <w:fldChar w:fldCharType="begin"/>
        </w:r>
        <w:r w:rsidR="001D1E46">
          <w:rPr>
            <w:noProof/>
            <w:webHidden/>
          </w:rPr>
          <w:instrText xml:space="preserve"> PAGEREF _Toc510706573 \h </w:instrText>
        </w:r>
        <w:r w:rsidR="001D1E46">
          <w:rPr>
            <w:noProof/>
            <w:webHidden/>
          </w:rPr>
        </w:r>
        <w:r w:rsidR="001D1E46">
          <w:rPr>
            <w:noProof/>
            <w:webHidden/>
          </w:rPr>
          <w:fldChar w:fldCharType="separate"/>
        </w:r>
        <w:r w:rsidR="0067023A">
          <w:rPr>
            <w:noProof/>
            <w:webHidden/>
          </w:rPr>
          <w:t>24</w:t>
        </w:r>
        <w:r w:rsidR="001D1E46">
          <w:rPr>
            <w:noProof/>
            <w:webHidden/>
          </w:rPr>
          <w:fldChar w:fldCharType="end"/>
        </w:r>
      </w:hyperlink>
    </w:p>
    <w:p w14:paraId="02EBB17C" w14:textId="77777777" w:rsidR="001D1E46" w:rsidRDefault="00B918A6">
      <w:pPr>
        <w:pStyle w:val="TOC3"/>
        <w:rPr>
          <w:rFonts w:eastAsiaTheme="minorEastAsia"/>
          <w:i w:val="0"/>
          <w:iCs w:val="0"/>
          <w:noProof/>
          <w:sz w:val="22"/>
          <w:szCs w:val="22"/>
          <w:lang w:val="en-ZA" w:eastAsia="en-ZA"/>
        </w:rPr>
      </w:pPr>
      <w:hyperlink w:anchor="_Toc510706574" w:history="1">
        <w:r w:rsidR="001D1E46" w:rsidRPr="00AC1F66">
          <w:rPr>
            <w:rStyle w:val="Hyperlink"/>
            <w:noProof/>
          </w:rPr>
          <w:t>2.2.3.</w:t>
        </w:r>
        <w:r w:rsidR="001D1E46">
          <w:rPr>
            <w:rFonts w:eastAsiaTheme="minorEastAsia"/>
            <w:i w:val="0"/>
            <w:iCs w:val="0"/>
            <w:noProof/>
            <w:sz w:val="22"/>
            <w:szCs w:val="22"/>
            <w:lang w:val="en-ZA" w:eastAsia="en-ZA"/>
          </w:rPr>
          <w:tab/>
        </w:r>
        <w:r w:rsidR="001D1E46" w:rsidRPr="00AC1F66">
          <w:rPr>
            <w:rStyle w:val="Hyperlink"/>
            <w:noProof/>
          </w:rPr>
          <w:t>National Development Plan Priorities</w:t>
        </w:r>
        <w:r w:rsidR="001D1E46">
          <w:rPr>
            <w:noProof/>
            <w:webHidden/>
          </w:rPr>
          <w:tab/>
        </w:r>
        <w:r w:rsidR="001D1E46">
          <w:rPr>
            <w:noProof/>
            <w:webHidden/>
          </w:rPr>
          <w:fldChar w:fldCharType="begin"/>
        </w:r>
        <w:r w:rsidR="001D1E46">
          <w:rPr>
            <w:noProof/>
            <w:webHidden/>
          </w:rPr>
          <w:instrText xml:space="preserve"> PAGEREF _Toc510706574 \h </w:instrText>
        </w:r>
        <w:r w:rsidR="001D1E46">
          <w:rPr>
            <w:noProof/>
            <w:webHidden/>
          </w:rPr>
        </w:r>
        <w:r w:rsidR="001D1E46">
          <w:rPr>
            <w:noProof/>
            <w:webHidden/>
          </w:rPr>
          <w:fldChar w:fldCharType="separate"/>
        </w:r>
        <w:r w:rsidR="0067023A">
          <w:rPr>
            <w:noProof/>
            <w:webHidden/>
          </w:rPr>
          <w:t>24</w:t>
        </w:r>
        <w:r w:rsidR="001D1E46">
          <w:rPr>
            <w:noProof/>
            <w:webHidden/>
          </w:rPr>
          <w:fldChar w:fldCharType="end"/>
        </w:r>
      </w:hyperlink>
    </w:p>
    <w:p w14:paraId="270498AC" w14:textId="77777777" w:rsidR="001D1E46" w:rsidRDefault="00B918A6">
      <w:pPr>
        <w:pStyle w:val="TOC3"/>
        <w:rPr>
          <w:rFonts w:eastAsiaTheme="minorEastAsia"/>
          <w:i w:val="0"/>
          <w:iCs w:val="0"/>
          <w:noProof/>
          <w:sz w:val="22"/>
          <w:szCs w:val="22"/>
          <w:lang w:val="en-ZA" w:eastAsia="en-ZA"/>
        </w:rPr>
      </w:pPr>
      <w:hyperlink w:anchor="_Toc510706575" w:history="1">
        <w:r w:rsidR="001D1E46" w:rsidRPr="00AC1F66">
          <w:rPr>
            <w:rStyle w:val="Hyperlink"/>
            <w:noProof/>
          </w:rPr>
          <w:t>2.2.4.</w:t>
        </w:r>
        <w:r w:rsidR="001D1E46">
          <w:rPr>
            <w:rFonts w:eastAsiaTheme="minorEastAsia"/>
            <w:i w:val="0"/>
            <w:iCs w:val="0"/>
            <w:noProof/>
            <w:sz w:val="22"/>
            <w:szCs w:val="22"/>
            <w:lang w:val="en-ZA" w:eastAsia="en-ZA"/>
          </w:rPr>
          <w:tab/>
        </w:r>
        <w:r w:rsidR="001D1E46" w:rsidRPr="00AC1F66">
          <w:rPr>
            <w:rStyle w:val="Hyperlink"/>
            <w:noProof/>
          </w:rPr>
          <w:t>National Outcomes</w:t>
        </w:r>
        <w:r w:rsidR="001D1E46">
          <w:rPr>
            <w:noProof/>
            <w:webHidden/>
          </w:rPr>
          <w:tab/>
        </w:r>
        <w:r w:rsidR="001D1E46">
          <w:rPr>
            <w:noProof/>
            <w:webHidden/>
          </w:rPr>
          <w:fldChar w:fldCharType="begin"/>
        </w:r>
        <w:r w:rsidR="001D1E46">
          <w:rPr>
            <w:noProof/>
            <w:webHidden/>
          </w:rPr>
          <w:instrText xml:space="preserve"> PAGEREF _Toc510706575 \h </w:instrText>
        </w:r>
        <w:r w:rsidR="001D1E46">
          <w:rPr>
            <w:noProof/>
            <w:webHidden/>
          </w:rPr>
        </w:r>
        <w:r w:rsidR="001D1E46">
          <w:rPr>
            <w:noProof/>
            <w:webHidden/>
          </w:rPr>
          <w:fldChar w:fldCharType="separate"/>
        </w:r>
        <w:r w:rsidR="0067023A">
          <w:rPr>
            <w:noProof/>
            <w:webHidden/>
          </w:rPr>
          <w:t>26</w:t>
        </w:r>
        <w:r w:rsidR="001D1E46">
          <w:rPr>
            <w:noProof/>
            <w:webHidden/>
          </w:rPr>
          <w:fldChar w:fldCharType="end"/>
        </w:r>
      </w:hyperlink>
    </w:p>
    <w:p w14:paraId="7661C1EB" w14:textId="77777777" w:rsidR="001D1E46" w:rsidRDefault="00B918A6">
      <w:pPr>
        <w:pStyle w:val="TOC3"/>
        <w:rPr>
          <w:rFonts w:eastAsiaTheme="minorEastAsia"/>
          <w:i w:val="0"/>
          <w:iCs w:val="0"/>
          <w:noProof/>
          <w:sz w:val="22"/>
          <w:szCs w:val="22"/>
          <w:lang w:val="en-ZA" w:eastAsia="en-ZA"/>
        </w:rPr>
      </w:pPr>
      <w:hyperlink w:anchor="_Toc510706576" w:history="1">
        <w:r w:rsidR="001D1E46" w:rsidRPr="00AC1F66">
          <w:rPr>
            <w:rStyle w:val="Hyperlink"/>
            <w:noProof/>
          </w:rPr>
          <w:t>2.2.5.</w:t>
        </w:r>
        <w:r w:rsidR="001D1E46">
          <w:rPr>
            <w:rFonts w:eastAsiaTheme="minorEastAsia"/>
            <w:i w:val="0"/>
            <w:iCs w:val="0"/>
            <w:noProof/>
            <w:sz w:val="22"/>
            <w:szCs w:val="22"/>
            <w:lang w:val="en-ZA" w:eastAsia="en-ZA"/>
          </w:rPr>
          <w:tab/>
        </w:r>
        <w:r w:rsidR="001D1E46" w:rsidRPr="00AC1F66">
          <w:rPr>
            <w:rStyle w:val="Hyperlink"/>
            <w:noProof/>
          </w:rPr>
          <w:t>State of the Nation Address</w:t>
        </w:r>
        <w:r w:rsidR="001D1E46">
          <w:rPr>
            <w:noProof/>
            <w:webHidden/>
          </w:rPr>
          <w:tab/>
        </w:r>
        <w:r w:rsidR="001D1E46">
          <w:rPr>
            <w:noProof/>
            <w:webHidden/>
          </w:rPr>
          <w:fldChar w:fldCharType="begin"/>
        </w:r>
        <w:r w:rsidR="001D1E46">
          <w:rPr>
            <w:noProof/>
            <w:webHidden/>
          </w:rPr>
          <w:instrText xml:space="preserve"> PAGEREF _Toc510706576 \h </w:instrText>
        </w:r>
        <w:r w:rsidR="001D1E46">
          <w:rPr>
            <w:noProof/>
            <w:webHidden/>
          </w:rPr>
        </w:r>
        <w:r w:rsidR="001D1E46">
          <w:rPr>
            <w:noProof/>
            <w:webHidden/>
          </w:rPr>
          <w:fldChar w:fldCharType="separate"/>
        </w:r>
        <w:r w:rsidR="0067023A">
          <w:rPr>
            <w:noProof/>
            <w:webHidden/>
          </w:rPr>
          <w:t>27</w:t>
        </w:r>
        <w:r w:rsidR="001D1E46">
          <w:rPr>
            <w:noProof/>
            <w:webHidden/>
          </w:rPr>
          <w:fldChar w:fldCharType="end"/>
        </w:r>
      </w:hyperlink>
    </w:p>
    <w:p w14:paraId="1F59577F" w14:textId="77777777" w:rsidR="001D1E46" w:rsidRDefault="00B918A6">
      <w:pPr>
        <w:pStyle w:val="TOC3"/>
        <w:rPr>
          <w:rFonts w:eastAsiaTheme="minorEastAsia"/>
          <w:i w:val="0"/>
          <w:iCs w:val="0"/>
          <w:noProof/>
          <w:sz w:val="22"/>
          <w:szCs w:val="22"/>
          <w:lang w:val="en-ZA" w:eastAsia="en-ZA"/>
        </w:rPr>
      </w:pPr>
      <w:hyperlink w:anchor="_Toc510706577" w:history="1">
        <w:r w:rsidR="001D1E46" w:rsidRPr="00AC1F66">
          <w:rPr>
            <w:rStyle w:val="Hyperlink"/>
            <w:noProof/>
            <w:highlight w:val="yellow"/>
          </w:rPr>
          <w:t>2.2.6.</w:t>
        </w:r>
        <w:r w:rsidR="001D1E46">
          <w:rPr>
            <w:rFonts w:eastAsiaTheme="minorEastAsia"/>
            <w:i w:val="0"/>
            <w:iCs w:val="0"/>
            <w:noProof/>
            <w:sz w:val="22"/>
            <w:szCs w:val="22"/>
            <w:lang w:val="en-ZA" w:eastAsia="en-ZA"/>
          </w:rPr>
          <w:tab/>
        </w:r>
        <w:r w:rsidR="001D1E46" w:rsidRPr="00AC1F66">
          <w:rPr>
            <w:rStyle w:val="Hyperlink"/>
            <w:noProof/>
            <w:highlight w:val="yellow"/>
          </w:rPr>
          <w:t>State of the Province Address</w:t>
        </w:r>
        <w:r w:rsidR="001D1E46">
          <w:rPr>
            <w:noProof/>
            <w:webHidden/>
          </w:rPr>
          <w:tab/>
        </w:r>
        <w:r w:rsidR="001D1E46">
          <w:rPr>
            <w:noProof/>
            <w:webHidden/>
          </w:rPr>
          <w:fldChar w:fldCharType="begin"/>
        </w:r>
        <w:r w:rsidR="001D1E46">
          <w:rPr>
            <w:noProof/>
            <w:webHidden/>
          </w:rPr>
          <w:instrText xml:space="preserve"> PAGEREF _Toc510706577 \h </w:instrText>
        </w:r>
        <w:r w:rsidR="001D1E46">
          <w:rPr>
            <w:noProof/>
            <w:webHidden/>
          </w:rPr>
        </w:r>
        <w:r w:rsidR="001D1E46">
          <w:rPr>
            <w:noProof/>
            <w:webHidden/>
          </w:rPr>
          <w:fldChar w:fldCharType="separate"/>
        </w:r>
        <w:r w:rsidR="0067023A">
          <w:rPr>
            <w:noProof/>
            <w:webHidden/>
          </w:rPr>
          <w:t>28</w:t>
        </w:r>
        <w:r w:rsidR="001D1E46">
          <w:rPr>
            <w:noProof/>
            <w:webHidden/>
          </w:rPr>
          <w:fldChar w:fldCharType="end"/>
        </w:r>
      </w:hyperlink>
    </w:p>
    <w:p w14:paraId="417E782E" w14:textId="77777777" w:rsidR="001D1E46" w:rsidRDefault="00B918A6">
      <w:pPr>
        <w:pStyle w:val="TOC3"/>
        <w:rPr>
          <w:rFonts w:eastAsiaTheme="minorEastAsia"/>
          <w:i w:val="0"/>
          <w:iCs w:val="0"/>
          <w:noProof/>
          <w:sz w:val="22"/>
          <w:szCs w:val="22"/>
          <w:lang w:val="en-ZA" w:eastAsia="en-ZA"/>
        </w:rPr>
      </w:pPr>
      <w:hyperlink w:anchor="_Toc510706578" w:history="1">
        <w:r w:rsidR="001D1E46" w:rsidRPr="00AC1F66">
          <w:rPr>
            <w:rStyle w:val="Hyperlink"/>
            <w:noProof/>
          </w:rPr>
          <w:t>2.2.7.</w:t>
        </w:r>
        <w:r w:rsidR="001D1E46">
          <w:rPr>
            <w:rFonts w:eastAsiaTheme="minorEastAsia"/>
            <w:i w:val="0"/>
            <w:iCs w:val="0"/>
            <w:noProof/>
            <w:sz w:val="22"/>
            <w:szCs w:val="22"/>
            <w:lang w:val="en-ZA" w:eastAsia="en-ZA"/>
          </w:rPr>
          <w:tab/>
        </w:r>
        <w:r w:rsidR="001D1E46" w:rsidRPr="00AC1F66">
          <w:rPr>
            <w:rStyle w:val="Hyperlink"/>
            <w:noProof/>
          </w:rPr>
          <w:t>Provincial Growth and Development Strategy (PGDS) Goals (2035)</w:t>
        </w:r>
        <w:r w:rsidR="001D1E46">
          <w:rPr>
            <w:noProof/>
            <w:webHidden/>
          </w:rPr>
          <w:tab/>
        </w:r>
        <w:r w:rsidR="001D1E46">
          <w:rPr>
            <w:noProof/>
            <w:webHidden/>
          </w:rPr>
          <w:fldChar w:fldCharType="begin"/>
        </w:r>
        <w:r w:rsidR="001D1E46">
          <w:rPr>
            <w:noProof/>
            <w:webHidden/>
          </w:rPr>
          <w:instrText xml:space="preserve"> PAGEREF _Toc510706578 \h </w:instrText>
        </w:r>
        <w:r w:rsidR="001D1E46">
          <w:rPr>
            <w:noProof/>
            <w:webHidden/>
          </w:rPr>
        </w:r>
        <w:r w:rsidR="001D1E46">
          <w:rPr>
            <w:noProof/>
            <w:webHidden/>
          </w:rPr>
          <w:fldChar w:fldCharType="separate"/>
        </w:r>
        <w:r w:rsidR="0067023A">
          <w:rPr>
            <w:noProof/>
            <w:webHidden/>
          </w:rPr>
          <w:t>28</w:t>
        </w:r>
        <w:r w:rsidR="001D1E46">
          <w:rPr>
            <w:noProof/>
            <w:webHidden/>
          </w:rPr>
          <w:fldChar w:fldCharType="end"/>
        </w:r>
      </w:hyperlink>
    </w:p>
    <w:p w14:paraId="3354C629" w14:textId="77777777" w:rsidR="001D1E46" w:rsidRDefault="00B918A6">
      <w:pPr>
        <w:pStyle w:val="TOC3"/>
        <w:rPr>
          <w:rFonts w:eastAsiaTheme="minorEastAsia"/>
          <w:i w:val="0"/>
          <w:iCs w:val="0"/>
          <w:noProof/>
          <w:sz w:val="22"/>
          <w:szCs w:val="22"/>
          <w:lang w:val="en-ZA" w:eastAsia="en-ZA"/>
        </w:rPr>
      </w:pPr>
      <w:hyperlink w:anchor="_Toc510706580" w:history="1">
        <w:r w:rsidR="001D1E46" w:rsidRPr="00AC1F66">
          <w:rPr>
            <w:rStyle w:val="Hyperlink"/>
            <w:noProof/>
          </w:rPr>
          <w:t>2.2.8.</w:t>
        </w:r>
        <w:r w:rsidR="001D1E46">
          <w:rPr>
            <w:rFonts w:eastAsiaTheme="minorEastAsia"/>
            <w:i w:val="0"/>
            <w:iCs w:val="0"/>
            <w:noProof/>
            <w:sz w:val="22"/>
            <w:szCs w:val="22"/>
            <w:lang w:val="en-ZA" w:eastAsia="en-ZA"/>
          </w:rPr>
          <w:tab/>
        </w:r>
        <w:r w:rsidR="001D1E46" w:rsidRPr="00AC1F66">
          <w:rPr>
            <w:rStyle w:val="Hyperlink"/>
            <w:noProof/>
          </w:rPr>
          <w:t>Local Government Back to Basics Strategy</w:t>
        </w:r>
        <w:r w:rsidR="001D1E46">
          <w:rPr>
            <w:noProof/>
            <w:webHidden/>
          </w:rPr>
          <w:tab/>
        </w:r>
        <w:r w:rsidR="001D1E46">
          <w:rPr>
            <w:noProof/>
            <w:webHidden/>
          </w:rPr>
          <w:fldChar w:fldCharType="begin"/>
        </w:r>
        <w:r w:rsidR="001D1E46">
          <w:rPr>
            <w:noProof/>
            <w:webHidden/>
          </w:rPr>
          <w:instrText xml:space="preserve"> PAGEREF _Toc510706580 \h </w:instrText>
        </w:r>
        <w:r w:rsidR="001D1E46">
          <w:rPr>
            <w:noProof/>
            <w:webHidden/>
          </w:rPr>
        </w:r>
        <w:r w:rsidR="001D1E46">
          <w:rPr>
            <w:noProof/>
            <w:webHidden/>
          </w:rPr>
          <w:fldChar w:fldCharType="separate"/>
        </w:r>
        <w:r w:rsidR="0067023A">
          <w:rPr>
            <w:noProof/>
            <w:webHidden/>
          </w:rPr>
          <w:t>29</w:t>
        </w:r>
        <w:r w:rsidR="001D1E46">
          <w:rPr>
            <w:noProof/>
            <w:webHidden/>
          </w:rPr>
          <w:fldChar w:fldCharType="end"/>
        </w:r>
      </w:hyperlink>
    </w:p>
    <w:p w14:paraId="5642EF81" w14:textId="77777777" w:rsidR="001D1E46" w:rsidRDefault="00B918A6">
      <w:pPr>
        <w:pStyle w:val="TOC3"/>
        <w:rPr>
          <w:rFonts w:eastAsiaTheme="minorEastAsia"/>
          <w:i w:val="0"/>
          <w:iCs w:val="0"/>
          <w:noProof/>
          <w:sz w:val="22"/>
          <w:szCs w:val="22"/>
          <w:lang w:val="en-ZA" w:eastAsia="en-ZA"/>
        </w:rPr>
      </w:pPr>
      <w:hyperlink w:anchor="_Toc510706581" w:history="1">
        <w:r w:rsidR="001D1E46" w:rsidRPr="00AC1F66">
          <w:rPr>
            <w:rStyle w:val="Hyperlink"/>
            <w:noProof/>
          </w:rPr>
          <w:t>2.2.9.</w:t>
        </w:r>
        <w:r w:rsidR="001D1E46">
          <w:rPr>
            <w:rFonts w:eastAsiaTheme="minorEastAsia"/>
            <w:i w:val="0"/>
            <w:iCs w:val="0"/>
            <w:noProof/>
            <w:sz w:val="22"/>
            <w:szCs w:val="22"/>
            <w:lang w:val="en-ZA" w:eastAsia="en-ZA"/>
          </w:rPr>
          <w:tab/>
        </w:r>
        <w:r w:rsidR="001D1E46" w:rsidRPr="00AC1F66">
          <w:rPr>
            <w:rStyle w:val="Hyperlink"/>
            <w:noProof/>
          </w:rPr>
          <w:t>The uMlalazi LM Strategic Planning Session</w:t>
        </w:r>
        <w:r w:rsidR="001D1E46">
          <w:rPr>
            <w:noProof/>
            <w:webHidden/>
          </w:rPr>
          <w:tab/>
        </w:r>
        <w:r w:rsidR="001D1E46">
          <w:rPr>
            <w:noProof/>
            <w:webHidden/>
          </w:rPr>
          <w:fldChar w:fldCharType="begin"/>
        </w:r>
        <w:r w:rsidR="001D1E46">
          <w:rPr>
            <w:noProof/>
            <w:webHidden/>
          </w:rPr>
          <w:instrText xml:space="preserve"> PAGEREF _Toc510706581 \h </w:instrText>
        </w:r>
        <w:r w:rsidR="001D1E46">
          <w:rPr>
            <w:noProof/>
            <w:webHidden/>
          </w:rPr>
        </w:r>
        <w:r w:rsidR="001D1E46">
          <w:rPr>
            <w:noProof/>
            <w:webHidden/>
          </w:rPr>
          <w:fldChar w:fldCharType="separate"/>
        </w:r>
        <w:r w:rsidR="0067023A">
          <w:rPr>
            <w:noProof/>
            <w:webHidden/>
          </w:rPr>
          <w:t>31</w:t>
        </w:r>
        <w:r w:rsidR="001D1E46">
          <w:rPr>
            <w:noProof/>
            <w:webHidden/>
          </w:rPr>
          <w:fldChar w:fldCharType="end"/>
        </w:r>
      </w:hyperlink>
    </w:p>
    <w:p w14:paraId="60EB152F" w14:textId="77777777" w:rsidR="001D1E46" w:rsidRDefault="00B918A6">
      <w:pPr>
        <w:pStyle w:val="TOC1"/>
        <w:rPr>
          <w:rFonts w:asciiTheme="minorHAnsi" w:eastAsiaTheme="minorEastAsia" w:hAnsiTheme="minorHAnsi"/>
          <w:bCs w:val="0"/>
          <w:caps w:val="0"/>
          <w:sz w:val="22"/>
          <w:szCs w:val="22"/>
          <w:lang w:val="en-ZA" w:eastAsia="en-ZA"/>
        </w:rPr>
      </w:pPr>
      <w:hyperlink w:anchor="_Toc510706582" w:history="1">
        <w:r w:rsidR="001D1E46" w:rsidRPr="00AC1F66">
          <w:rPr>
            <w:rStyle w:val="Hyperlink"/>
          </w:rPr>
          <w:t>SECTION C:  SITUATIONAL ANALYSIS</w:t>
        </w:r>
        <w:r w:rsidR="001D1E46">
          <w:rPr>
            <w:webHidden/>
          </w:rPr>
          <w:tab/>
        </w:r>
        <w:r w:rsidR="001D1E46">
          <w:rPr>
            <w:webHidden/>
          </w:rPr>
          <w:fldChar w:fldCharType="begin"/>
        </w:r>
        <w:r w:rsidR="001D1E46">
          <w:rPr>
            <w:webHidden/>
          </w:rPr>
          <w:instrText xml:space="preserve"> PAGEREF _Toc510706582 \h </w:instrText>
        </w:r>
        <w:r w:rsidR="001D1E46">
          <w:rPr>
            <w:webHidden/>
          </w:rPr>
        </w:r>
        <w:r w:rsidR="001D1E46">
          <w:rPr>
            <w:webHidden/>
          </w:rPr>
          <w:fldChar w:fldCharType="separate"/>
        </w:r>
        <w:r w:rsidR="0067023A">
          <w:rPr>
            <w:webHidden/>
          </w:rPr>
          <w:t>32</w:t>
        </w:r>
        <w:r w:rsidR="001D1E46">
          <w:rPr>
            <w:webHidden/>
          </w:rPr>
          <w:fldChar w:fldCharType="end"/>
        </w:r>
      </w:hyperlink>
    </w:p>
    <w:p w14:paraId="35988670"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583" w:history="1">
        <w:r w:rsidR="001D1E46" w:rsidRPr="00AC1F66">
          <w:rPr>
            <w:rStyle w:val="Hyperlink"/>
            <w:noProof/>
          </w:rPr>
          <w:t>3.1.</w:t>
        </w:r>
        <w:r w:rsidR="001D1E46">
          <w:rPr>
            <w:rFonts w:eastAsiaTheme="minorEastAsia"/>
            <w:smallCaps w:val="0"/>
            <w:noProof/>
            <w:sz w:val="22"/>
            <w:szCs w:val="22"/>
            <w:lang w:val="en-ZA" w:eastAsia="en-ZA"/>
          </w:rPr>
          <w:tab/>
        </w:r>
        <w:r w:rsidR="001D1E46" w:rsidRPr="00AC1F66">
          <w:rPr>
            <w:rStyle w:val="Hyperlink"/>
            <w:noProof/>
          </w:rPr>
          <w:t>SPATIAL ANALYSIS</w:t>
        </w:r>
        <w:r w:rsidR="001D1E46">
          <w:rPr>
            <w:noProof/>
            <w:webHidden/>
          </w:rPr>
          <w:tab/>
        </w:r>
        <w:r w:rsidR="001D1E46">
          <w:rPr>
            <w:noProof/>
            <w:webHidden/>
          </w:rPr>
          <w:fldChar w:fldCharType="begin"/>
        </w:r>
        <w:r w:rsidR="001D1E46">
          <w:rPr>
            <w:noProof/>
            <w:webHidden/>
          </w:rPr>
          <w:instrText xml:space="preserve"> PAGEREF _Toc510706583 \h </w:instrText>
        </w:r>
        <w:r w:rsidR="001D1E46">
          <w:rPr>
            <w:noProof/>
            <w:webHidden/>
          </w:rPr>
        </w:r>
        <w:r w:rsidR="001D1E46">
          <w:rPr>
            <w:noProof/>
            <w:webHidden/>
          </w:rPr>
          <w:fldChar w:fldCharType="separate"/>
        </w:r>
        <w:r w:rsidR="0067023A">
          <w:rPr>
            <w:noProof/>
            <w:webHidden/>
          </w:rPr>
          <w:t>32</w:t>
        </w:r>
        <w:r w:rsidR="001D1E46">
          <w:rPr>
            <w:noProof/>
            <w:webHidden/>
          </w:rPr>
          <w:fldChar w:fldCharType="end"/>
        </w:r>
      </w:hyperlink>
    </w:p>
    <w:p w14:paraId="376A52C6" w14:textId="77777777" w:rsidR="001D1E46" w:rsidRDefault="00B918A6">
      <w:pPr>
        <w:pStyle w:val="TOC3"/>
        <w:rPr>
          <w:rFonts w:eastAsiaTheme="minorEastAsia"/>
          <w:i w:val="0"/>
          <w:iCs w:val="0"/>
          <w:noProof/>
          <w:sz w:val="22"/>
          <w:szCs w:val="22"/>
          <w:lang w:val="en-ZA" w:eastAsia="en-ZA"/>
        </w:rPr>
      </w:pPr>
      <w:hyperlink w:anchor="_Toc510706584" w:history="1">
        <w:r w:rsidR="001D1E46" w:rsidRPr="00AC1F66">
          <w:rPr>
            <w:rStyle w:val="Hyperlink"/>
            <w:noProof/>
          </w:rPr>
          <w:t>3.1.1.</w:t>
        </w:r>
        <w:r w:rsidR="001D1E46">
          <w:rPr>
            <w:rFonts w:eastAsiaTheme="minorEastAsia"/>
            <w:i w:val="0"/>
            <w:iCs w:val="0"/>
            <w:noProof/>
            <w:sz w:val="22"/>
            <w:szCs w:val="22"/>
            <w:lang w:val="en-ZA" w:eastAsia="en-ZA"/>
          </w:rPr>
          <w:tab/>
        </w:r>
        <w:r w:rsidR="001D1E46" w:rsidRPr="00AC1F66">
          <w:rPr>
            <w:rStyle w:val="Hyperlink"/>
            <w:noProof/>
          </w:rPr>
          <w:t>REGIONAL CONTEXT</w:t>
        </w:r>
        <w:r w:rsidR="001D1E46">
          <w:rPr>
            <w:noProof/>
            <w:webHidden/>
          </w:rPr>
          <w:tab/>
        </w:r>
        <w:r w:rsidR="001D1E46">
          <w:rPr>
            <w:noProof/>
            <w:webHidden/>
          </w:rPr>
          <w:fldChar w:fldCharType="begin"/>
        </w:r>
        <w:r w:rsidR="001D1E46">
          <w:rPr>
            <w:noProof/>
            <w:webHidden/>
          </w:rPr>
          <w:instrText xml:space="preserve"> PAGEREF _Toc510706584 \h </w:instrText>
        </w:r>
        <w:r w:rsidR="001D1E46">
          <w:rPr>
            <w:noProof/>
            <w:webHidden/>
          </w:rPr>
        </w:r>
        <w:r w:rsidR="001D1E46">
          <w:rPr>
            <w:noProof/>
            <w:webHidden/>
          </w:rPr>
          <w:fldChar w:fldCharType="separate"/>
        </w:r>
        <w:r w:rsidR="0067023A">
          <w:rPr>
            <w:noProof/>
            <w:webHidden/>
          </w:rPr>
          <w:t>32</w:t>
        </w:r>
        <w:r w:rsidR="001D1E46">
          <w:rPr>
            <w:noProof/>
            <w:webHidden/>
          </w:rPr>
          <w:fldChar w:fldCharType="end"/>
        </w:r>
      </w:hyperlink>
    </w:p>
    <w:p w14:paraId="04F658D7" w14:textId="77777777" w:rsidR="001D1E46" w:rsidRDefault="00B918A6">
      <w:pPr>
        <w:pStyle w:val="TOC3"/>
        <w:rPr>
          <w:rFonts w:eastAsiaTheme="minorEastAsia"/>
          <w:i w:val="0"/>
          <w:iCs w:val="0"/>
          <w:noProof/>
          <w:sz w:val="22"/>
          <w:szCs w:val="22"/>
          <w:lang w:val="en-ZA" w:eastAsia="en-ZA"/>
        </w:rPr>
      </w:pPr>
      <w:hyperlink w:anchor="_Toc510706585" w:history="1">
        <w:r w:rsidR="001D1E46" w:rsidRPr="00AC1F66">
          <w:rPr>
            <w:rStyle w:val="Hyperlink"/>
            <w:noProof/>
          </w:rPr>
          <w:t>3.1.2.</w:t>
        </w:r>
        <w:r w:rsidR="001D1E46">
          <w:rPr>
            <w:rFonts w:eastAsiaTheme="minorEastAsia"/>
            <w:i w:val="0"/>
            <w:iCs w:val="0"/>
            <w:noProof/>
            <w:sz w:val="22"/>
            <w:szCs w:val="22"/>
            <w:lang w:val="en-ZA" w:eastAsia="en-ZA"/>
          </w:rPr>
          <w:tab/>
        </w:r>
        <w:r w:rsidR="001D1E46" w:rsidRPr="00AC1F66">
          <w:rPr>
            <w:rStyle w:val="Hyperlink"/>
            <w:noProof/>
          </w:rPr>
          <w:t>ADMINISTRATIVE ENTITIES</w:t>
        </w:r>
        <w:r w:rsidR="001D1E46">
          <w:rPr>
            <w:noProof/>
            <w:webHidden/>
          </w:rPr>
          <w:tab/>
        </w:r>
        <w:r w:rsidR="001D1E46">
          <w:rPr>
            <w:noProof/>
            <w:webHidden/>
          </w:rPr>
          <w:fldChar w:fldCharType="begin"/>
        </w:r>
        <w:r w:rsidR="001D1E46">
          <w:rPr>
            <w:noProof/>
            <w:webHidden/>
          </w:rPr>
          <w:instrText xml:space="preserve"> PAGEREF _Toc510706585 \h </w:instrText>
        </w:r>
        <w:r w:rsidR="001D1E46">
          <w:rPr>
            <w:noProof/>
            <w:webHidden/>
          </w:rPr>
        </w:r>
        <w:r w:rsidR="001D1E46">
          <w:rPr>
            <w:noProof/>
            <w:webHidden/>
          </w:rPr>
          <w:fldChar w:fldCharType="separate"/>
        </w:r>
        <w:r w:rsidR="0067023A">
          <w:rPr>
            <w:noProof/>
            <w:webHidden/>
          </w:rPr>
          <w:t>33</w:t>
        </w:r>
        <w:r w:rsidR="001D1E46">
          <w:rPr>
            <w:noProof/>
            <w:webHidden/>
          </w:rPr>
          <w:fldChar w:fldCharType="end"/>
        </w:r>
      </w:hyperlink>
    </w:p>
    <w:p w14:paraId="79BADA96" w14:textId="77777777" w:rsidR="001D1E46" w:rsidRDefault="00B918A6">
      <w:pPr>
        <w:pStyle w:val="TOC3"/>
        <w:rPr>
          <w:rFonts w:eastAsiaTheme="minorEastAsia"/>
          <w:i w:val="0"/>
          <w:iCs w:val="0"/>
          <w:noProof/>
          <w:sz w:val="22"/>
          <w:szCs w:val="22"/>
          <w:lang w:val="en-ZA" w:eastAsia="en-ZA"/>
        </w:rPr>
      </w:pPr>
      <w:hyperlink w:anchor="_Toc510706586" w:history="1">
        <w:r w:rsidR="001D1E46" w:rsidRPr="00AC1F66">
          <w:rPr>
            <w:rStyle w:val="Hyperlink"/>
            <w:noProof/>
          </w:rPr>
          <w:t>3.1.3.</w:t>
        </w:r>
        <w:r w:rsidR="001D1E46">
          <w:rPr>
            <w:rFonts w:eastAsiaTheme="minorEastAsia"/>
            <w:i w:val="0"/>
            <w:iCs w:val="0"/>
            <w:noProof/>
            <w:sz w:val="22"/>
            <w:szCs w:val="22"/>
            <w:lang w:val="en-ZA" w:eastAsia="en-ZA"/>
          </w:rPr>
          <w:tab/>
        </w:r>
        <w:r w:rsidR="001D1E46" w:rsidRPr="00AC1F66">
          <w:rPr>
            <w:rStyle w:val="Hyperlink"/>
            <w:noProof/>
          </w:rPr>
          <w:t>STRUCTURING ELEMENTS</w:t>
        </w:r>
        <w:r w:rsidR="001D1E46">
          <w:rPr>
            <w:noProof/>
            <w:webHidden/>
          </w:rPr>
          <w:tab/>
        </w:r>
        <w:r w:rsidR="001D1E46">
          <w:rPr>
            <w:noProof/>
            <w:webHidden/>
          </w:rPr>
          <w:fldChar w:fldCharType="begin"/>
        </w:r>
        <w:r w:rsidR="001D1E46">
          <w:rPr>
            <w:noProof/>
            <w:webHidden/>
          </w:rPr>
          <w:instrText xml:space="preserve"> PAGEREF _Toc510706586 \h </w:instrText>
        </w:r>
        <w:r w:rsidR="001D1E46">
          <w:rPr>
            <w:noProof/>
            <w:webHidden/>
          </w:rPr>
        </w:r>
        <w:r w:rsidR="001D1E46">
          <w:rPr>
            <w:noProof/>
            <w:webHidden/>
          </w:rPr>
          <w:fldChar w:fldCharType="separate"/>
        </w:r>
        <w:r w:rsidR="0067023A">
          <w:rPr>
            <w:noProof/>
            <w:webHidden/>
          </w:rPr>
          <w:t>33</w:t>
        </w:r>
        <w:r w:rsidR="001D1E46">
          <w:rPr>
            <w:noProof/>
            <w:webHidden/>
          </w:rPr>
          <w:fldChar w:fldCharType="end"/>
        </w:r>
      </w:hyperlink>
    </w:p>
    <w:p w14:paraId="1060AC53" w14:textId="77777777" w:rsidR="001D1E46" w:rsidRDefault="00B918A6">
      <w:pPr>
        <w:pStyle w:val="TOC3"/>
        <w:rPr>
          <w:rFonts w:eastAsiaTheme="minorEastAsia"/>
          <w:i w:val="0"/>
          <w:iCs w:val="0"/>
          <w:noProof/>
          <w:sz w:val="22"/>
          <w:szCs w:val="22"/>
          <w:lang w:val="en-ZA" w:eastAsia="en-ZA"/>
        </w:rPr>
      </w:pPr>
      <w:hyperlink w:anchor="_Toc510706587" w:history="1">
        <w:r w:rsidR="001D1E46" w:rsidRPr="00AC1F66">
          <w:rPr>
            <w:rStyle w:val="Hyperlink"/>
            <w:noProof/>
          </w:rPr>
          <w:t>3.1.4.</w:t>
        </w:r>
        <w:r w:rsidR="001D1E46">
          <w:rPr>
            <w:rFonts w:eastAsiaTheme="minorEastAsia"/>
            <w:i w:val="0"/>
            <w:iCs w:val="0"/>
            <w:noProof/>
            <w:sz w:val="22"/>
            <w:szCs w:val="22"/>
            <w:lang w:val="en-ZA" w:eastAsia="en-ZA"/>
          </w:rPr>
          <w:tab/>
        </w:r>
        <w:r w:rsidR="001D1E46" w:rsidRPr="00AC1F66">
          <w:rPr>
            <w:rStyle w:val="Hyperlink"/>
            <w:noProof/>
          </w:rPr>
          <w:t>EXISTING NODES AND SETTLEMENT PATTERNS</w:t>
        </w:r>
        <w:r w:rsidR="001D1E46">
          <w:rPr>
            <w:noProof/>
            <w:webHidden/>
          </w:rPr>
          <w:tab/>
        </w:r>
        <w:r w:rsidR="001D1E46">
          <w:rPr>
            <w:noProof/>
            <w:webHidden/>
          </w:rPr>
          <w:fldChar w:fldCharType="begin"/>
        </w:r>
        <w:r w:rsidR="001D1E46">
          <w:rPr>
            <w:noProof/>
            <w:webHidden/>
          </w:rPr>
          <w:instrText xml:space="preserve"> PAGEREF _Toc510706587 \h </w:instrText>
        </w:r>
        <w:r w:rsidR="001D1E46">
          <w:rPr>
            <w:noProof/>
            <w:webHidden/>
          </w:rPr>
        </w:r>
        <w:r w:rsidR="001D1E46">
          <w:rPr>
            <w:noProof/>
            <w:webHidden/>
          </w:rPr>
          <w:fldChar w:fldCharType="separate"/>
        </w:r>
        <w:r w:rsidR="0067023A">
          <w:rPr>
            <w:noProof/>
            <w:webHidden/>
          </w:rPr>
          <w:t>36</w:t>
        </w:r>
        <w:r w:rsidR="001D1E46">
          <w:rPr>
            <w:noProof/>
            <w:webHidden/>
          </w:rPr>
          <w:fldChar w:fldCharType="end"/>
        </w:r>
      </w:hyperlink>
    </w:p>
    <w:p w14:paraId="67BF9B21" w14:textId="77777777" w:rsidR="001D1E46" w:rsidRDefault="00B918A6">
      <w:pPr>
        <w:pStyle w:val="TOC3"/>
        <w:rPr>
          <w:rFonts w:eastAsiaTheme="minorEastAsia"/>
          <w:i w:val="0"/>
          <w:iCs w:val="0"/>
          <w:noProof/>
          <w:sz w:val="22"/>
          <w:szCs w:val="22"/>
          <w:lang w:val="en-ZA" w:eastAsia="en-ZA"/>
        </w:rPr>
      </w:pPr>
      <w:hyperlink w:anchor="_Toc510706588" w:history="1">
        <w:r w:rsidR="001D1E46" w:rsidRPr="00AC1F66">
          <w:rPr>
            <w:rStyle w:val="Hyperlink"/>
            <w:noProof/>
            <w:highlight w:val="yellow"/>
          </w:rPr>
          <w:t>3.1.5.</w:t>
        </w:r>
        <w:r w:rsidR="001D1E46">
          <w:rPr>
            <w:rFonts w:eastAsiaTheme="minorEastAsia"/>
            <w:i w:val="0"/>
            <w:iCs w:val="0"/>
            <w:noProof/>
            <w:sz w:val="22"/>
            <w:szCs w:val="22"/>
            <w:lang w:val="en-ZA" w:eastAsia="en-ZA"/>
          </w:rPr>
          <w:tab/>
        </w:r>
        <w:r w:rsidR="001D1E46" w:rsidRPr="00AC1F66">
          <w:rPr>
            <w:rStyle w:val="Hyperlink"/>
            <w:noProof/>
            <w:highlight w:val="yellow"/>
          </w:rPr>
          <w:t>INTERVENTION AREAS: CORRIDORS</w:t>
        </w:r>
        <w:r w:rsidR="001D1E46">
          <w:rPr>
            <w:noProof/>
            <w:webHidden/>
          </w:rPr>
          <w:tab/>
        </w:r>
        <w:r w:rsidR="001D1E46">
          <w:rPr>
            <w:noProof/>
            <w:webHidden/>
          </w:rPr>
          <w:fldChar w:fldCharType="begin"/>
        </w:r>
        <w:r w:rsidR="001D1E46">
          <w:rPr>
            <w:noProof/>
            <w:webHidden/>
          </w:rPr>
          <w:instrText xml:space="preserve"> PAGEREF _Toc510706588 \h </w:instrText>
        </w:r>
        <w:r w:rsidR="001D1E46">
          <w:rPr>
            <w:noProof/>
            <w:webHidden/>
          </w:rPr>
        </w:r>
        <w:r w:rsidR="001D1E46">
          <w:rPr>
            <w:noProof/>
            <w:webHidden/>
          </w:rPr>
          <w:fldChar w:fldCharType="separate"/>
        </w:r>
        <w:r w:rsidR="0067023A">
          <w:rPr>
            <w:noProof/>
            <w:webHidden/>
          </w:rPr>
          <w:t>37</w:t>
        </w:r>
        <w:r w:rsidR="001D1E46">
          <w:rPr>
            <w:noProof/>
            <w:webHidden/>
          </w:rPr>
          <w:fldChar w:fldCharType="end"/>
        </w:r>
      </w:hyperlink>
    </w:p>
    <w:p w14:paraId="3CAF3CEC" w14:textId="77777777" w:rsidR="001D1E46" w:rsidRDefault="00B918A6">
      <w:pPr>
        <w:pStyle w:val="TOC3"/>
        <w:rPr>
          <w:rFonts w:eastAsiaTheme="minorEastAsia"/>
          <w:i w:val="0"/>
          <w:iCs w:val="0"/>
          <w:noProof/>
          <w:sz w:val="22"/>
          <w:szCs w:val="22"/>
          <w:lang w:val="en-ZA" w:eastAsia="en-ZA"/>
        </w:rPr>
      </w:pPr>
      <w:hyperlink w:anchor="_Toc510706589" w:history="1">
        <w:r w:rsidR="001D1E46" w:rsidRPr="00AC1F66">
          <w:rPr>
            <w:rStyle w:val="Hyperlink"/>
            <w:noProof/>
          </w:rPr>
          <w:t>3.1.6.</w:t>
        </w:r>
        <w:r w:rsidR="001D1E46">
          <w:rPr>
            <w:rFonts w:eastAsiaTheme="minorEastAsia"/>
            <w:i w:val="0"/>
            <w:iCs w:val="0"/>
            <w:noProof/>
            <w:sz w:val="22"/>
            <w:szCs w:val="22"/>
            <w:lang w:val="en-ZA" w:eastAsia="en-ZA"/>
          </w:rPr>
          <w:tab/>
        </w:r>
        <w:r w:rsidR="001D1E46" w:rsidRPr="00AC1F66">
          <w:rPr>
            <w:rStyle w:val="Hyperlink"/>
            <w:noProof/>
          </w:rPr>
          <w:t>BROAD LAND USES</w:t>
        </w:r>
        <w:r w:rsidR="001D1E46">
          <w:rPr>
            <w:noProof/>
            <w:webHidden/>
          </w:rPr>
          <w:tab/>
        </w:r>
        <w:r w:rsidR="001D1E46">
          <w:rPr>
            <w:noProof/>
            <w:webHidden/>
          </w:rPr>
          <w:fldChar w:fldCharType="begin"/>
        </w:r>
        <w:r w:rsidR="001D1E46">
          <w:rPr>
            <w:noProof/>
            <w:webHidden/>
          </w:rPr>
          <w:instrText xml:space="preserve"> PAGEREF _Toc510706589 \h </w:instrText>
        </w:r>
        <w:r w:rsidR="001D1E46">
          <w:rPr>
            <w:noProof/>
            <w:webHidden/>
          </w:rPr>
        </w:r>
        <w:r w:rsidR="001D1E46">
          <w:rPr>
            <w:noProof/>
            <w:webHidden/>
          </w:rPr>
          <w:fldChar w:fldCharType="separate"/>
        </w:r>
        <w:r w:rsidR="0067023A">
          <w:rPr>
            <w:noProof/>
            <w:webHidden/>
          </w:rPr>
          <w:t>38</w:t>
        </w:r>
        <w:r w:rsidR="001D1E46">
          <w:rPr>
            <w:noProof/>
            <w:webHidden/>
          </w:rPr>
          <w:fldChar w:fldCharType="end"/>
        </w:r>
      </w:hyperlink>
    </w:p>
    <w:p w14:paraId="29C0EDD9" w14:textId="77777777" w:rsidR="001D1E46" w:rsidRDefault="00B918A6">
      <w:pPr>
        <w:pStyle w:val="TOC3"/>
        <w:rPr>
          <w:rFonts w:eastAsiaTheme="minorEastAsia"/>
          <w:i w:val="0"/>
          <w:iCs w:val="0"/>
          <w:noProof/>
          <w:sz w:val="22"/>
          <w:szCs w:val="22"/>
          <w:lang w:val="en-ZA" w:eastAsia="en-ZA"/>
        </w:rPr>
      </w:pPr>
      <w:hyperlink w:anchor="_Toc510706590" w:history="1">
        <w:r w:rsidR="001D1E46" w:rsidRPr="00AC1F66">
          <w:rPr>
            <w:rStyle w:val="Hyperlink"/>
            <w:noProof/>
          </w:rPr>
          <w:t>3.1.7.</w:t>
        </w:r>
        <w:r w:rsidR="001D1E46">
          <w:rPr>
            <w:rFonts w:eastAsiaTheme="minorEastAsia"/>
            <w:i w:val="0"/>
            <w:iCs w:val="0"/>
            <w:noProof/>
            <w:sz w:val="22"/>
            <w:szCs w:val="22"/>
            <w:lang w:val="en-ZA" w:eastAsia="en-ZA"/>
          </w:rPr>
          <w:tab/>
        </w:r>
        <w:r w:rsidR="001D1E46" w:rsidRPr="00AC1F66">
          <w:rPr>
            <w:rStyle w:val="Hyperlink"/>
            <w:noProof/>
          </w:rPr>
          <w:t>LAND OWNERSHIP</w:t>
        </w:r>
        <w:r w:rsidR="001D1E46">
          <w:rPr>
            <w:noProof/>
            <w:webHidden/>
          </w:rPr>
          <w:tab/>
        </w:r>
        <w:r w:rsidR="001D1E46">
          <w:rPr>
            <w:noProof/>
            <w:webHidden/>
          </w:rPr>
          <w:fldChar w:fldCharType="begin"/>
        </w:r>
        <w:r w:rsidR="001D1E46">
          <w:rPr>
            <w:noProof/>
            <w:webHidden/>
          </w:rPr>
          <w:instrText xml:space="preserve"> PAGEREF _Toc510706590 \h </w:instrText>
        </w:r>
        <w:r w:rsidR="001D1E46">
          <w:rPr>
            <w:noProof/>
            <w:webHidden/>
          </w:rPr>
        </w:r>
        <w:r w:rsidR="001D1E46">
          <w:rPr>
            <w:noProof/>
            <w:webHidden/>
          </w:rPr>
          <w:fldChar w:fldCharType="separate"/>
        </w:r>
        <w:r w:rsidR="0067023A">
          <w:rPr>
            <w:noProof/>
            <w:webHidden/>
          </w:rPr>
          <w:t>39</w:t>
        </w:r>
        <w:r w:rsidR="001D1E46">
          <w:rPr>
            <w:noProof/>
            <w:webHidden/>
          </w:rPr>
          <w:fldChar w:fldCharType="end"/>
        </w:r>
      </w:hyperlink>
    </w:p>
    <w:p w14:paraId="69715594" w14:textId="77777777" w:rsidR="001D1E46" w:rsidRDefault="00B918A6">
      <w:pPr>
        <w:pStyle w:val="TOC3"/>
        <w:rPr>
          <w:rFonts w:eastAsiaTheme="minorEastAsia"/>
          <w:i w:val="0"/>
          <w:iCs w:val="0"/>
          <w:noProof/>
          <w:sz w:val="22"/>
          <w:szCs w:val="22"/>
          <w:lang w:val="en-ZA" w:eastAsia="en-ZA"/>
        </w:rPr>
      </w:pPr>
      <w:hyperlink w:anchor="_Toc510706591" w:history="1">
        <w:r w:rsidR="001D1E46" w:rsidRPr="00AC1F66">
          <w:rPr>
            <w:rStyle w:val="Hyperlink"/>
            <w:noProof/>
          </w:rPr>
          <w:t>3.1.8.</w:t>
        </w:r>
        <w:r w:rsidR="001D1E46">
          <w:rPr>
            <w:rFonts w:eastAsiaTheme="minorEastAsia"/>
            <w:i w:val="0"/>
            <w:iCs w:val="0"/>
            <w:noProof/>
            <w:sz w:val="22"/>
            <w:szCs w:val="22"/>
            <w:lang w:val="en-ZA" w:eastAsia="en-ZA"/>
          </w:rPr>
          <w:tab/>
        </w:r>
        <w:r w:rsidR="001D1E46" w:rsidRPr="00AC1F66">
          <w:rPr>
            <w:rStyle w:val="Hyperlink"/>
            <w:noProof/>
          </w:rPr>
          <w:t>LAND REFORM</w:t>
        </w:r>
        <w:r w:rsidR="001D1E46">
          <w:rPr>
            <w:noProof/>
            <w:webHidden/>
          </w:rPr>
          <w:tab/>
        </w:r>
        <w:r w:rsidR="001D1E46">
          <w:rPr>
            <w:noProof/>
            <w:webHidden/>
          </w:rPr>
          <w:fldChar w:fldCharType="begin"/>
        </w:r>
        <w:r w:rsidR="001D1E46">
          <w:rPr>
            <w:noProof/>
            <w:webHidden/>
          </w:rPr>
          <w:instrText xml:space="preserve"> PAGEREF _Toc510706591 \h </w:instrText>
        </w:r>
        <w:r w:rsidR="001D1E46">
          <w:rPr>
            <w:noProof/>
            <w:webHidden/>
          </w:rPr>
        </w:r>
        <w:r w:rsidR="001D1E46">
          <w:rPr>
            <w:noProof/>
            <w:webHidden/>
          </w:rPr>
          <w:fldChar w:fldCharType="separate"/>
        </w:r>
        <w:r w:rsidR="0067023A">
          <w:rPr>
            <w:noProof/>
            <w:webHidden/>
          </w:rPr>
          <w:t>39</w:t>
        </w:r>
        <w:r w:rsidR="001D1E46">
          <w:rPr>
            <w:noProof/>
            <w:webHidden/>
          </w:rPr>
          <w:fldChar w:fldCharType="end"/>
        </w:r>
      </w:hyperlink>
    </w:p>
    <w:p w14:paraId="3BECEE00" w14:textId="77777777" w:rsidR="001D1E46" w:rsidRDefault="00B918A6">
      <w:pPr>
        <w:pStyle w:val="TOC3"/>
        <w:rPr>
          <w:rFonts w:eastAsiaTheme="minorEastAsia"/>
          <w:i w:val="0"/>
          <w:iCs w:val="0"/>
          <w:noProof/>
          <w:sz w:val="22"/>
          <w:szCs w:val="22"/>
          <w:lang w:val="en-ZA" w:eastAsia="en-ZA"/>
        </w:rPr>
      </w:pPr>
      <w:hyperlink w:anchor="_Toc510706592" w:history="1">
        <w:r w:rsidR="001D1E46" w:rsidRPr="00AC1F66">
          <w:rPr>
            <w:rStyle w:val="Hyperlink"/>
            <w:noProof/>
          </w:rPr>
          <w:t>3.1.9.</w:t>
        </w:r>
        <w:r w:rsidR="001D1E46">
          <w:rPr>
            <w:rFonts w:eastAsiaTheme="minorEastAsia"/>
            <w:i w:val="0"/>
            <w:iCs w:val="0"/>
            <w:noProof/>
            <w:sz w:val="22"/>
            <w:szCs w:val="22"/>
            <w:lang w:val="en-ZA" w:eastAsia="en-ZA"/>
          </w:rPr>
          <w:tab/>
        </w:r>
        <w:r w:rsidR="001D1E46" w:rsidRPr="00AC1F66">
          <w:rPr>
            <w:rStyle w:val="Hyperlink"/>
            <w:noProof/>
          </w:rPr>
          <w:t>PRIVATE SECTOR DEVELOPMENTS</w:t>
        </w:r>
        <w:r w:rsidR="001D1E46">
          <w:rPr>
            <w:noProof/>
            <w:webHidden/>
          </w:rPr>
          <w:tab/>
        </w:r>
        <w:r w:rsidR="001D1E46">
          <w:rPr>
            <w:noProof/>
            <w:webHidden/>
          </w:rPr>
          <w:fldChar w:fldCharType="begin"/>
        </w:r>
        <w:r w:rsidR="001D1E46">
          <w:rPr>
            <w:noProof/>
            <w:webHidden/>
          </w:rPr>
          <w:instrText xml:space="preserve"> PAGEREF _Toc510706592 \h </w:instrText>
        </w:r>
        <w:r w:rsidR="001D1E46">
          <w:rPr>
            <w:noProof/>
            <w:webHidden/>
          </w:rPr>
        </w:r>
        <w:r w:rsidR="001D1E46">
          <w:rPr>
            <w:noProof/>
            <w:webHidden/>
          </w:rPr>
          <w:fldChar w:fldCharType="separate"/>
        </w:r>
        <w:r w:rsidR="0067023A">
          <w:rPr>
            <w:noProof/>
            <w:webHidden/>
          </w:rPr>
          <w:t>40</w:t>
        </w:r>
        <w:r w:rsidR="001D1E46">
          <w:rPr>
            <w:noProof/>
            <w:webHidden/>
          </w:rPr>
          <w:fldChar w:fldCharType="end"/>
        </w:r>
      </w:hyperlink>
    </w:p>
    <w:p w14:paraId="0B734AAC" w14:textId="77777777" w:rsidR="001D1E46" w:rsidRDefault="00B918A6">
      <w:pPr>
        <w:pStyle w:val="TOC3"/>
        <w:rPr>
          <w:rFonts w:eastAsiaTheme="minorEastAsia"/>
          <w:i w:val="0"/>
          <w:iCs w:val="0"/>
          <w:noProof/>
          <w:sz w:val="22"/>
          <w:szCs w:val="22"/>
          <w:lang w:val="en-ZA" w:eastAsia="en-ZA"/>
        </w:rPr>
      </w:pPr>
      <w:hyperlink w:anchor="_Toc510706593" w:history="1">
        <w:r w:rsidR="001D1E46" w:rsidRPr="00AC1F66">
          <w:rPr>
            <w:rStyle w:val="Hyperlink"/>
            <w:noProof/>
          </w:rPr>
          <w:t>3.1.10.</w:t>
        </w:r>
        <w:r w:rsidR="001D1E46">
          <w:rPr>
            <w:rFonts w:eastAsiaTheme="minorEastAsia"/>
            <w:i w:val="0"/>
            <w:iCs w:val="0"/>
            <w:noProof/>
            <w:sz w:val="22"/>
            <w:szCs w:val="22"/>
            <w:lang w:val="en-ZA" w:eastAsia="en-ZA"/>
          </w:rPr>
          <w:tab/>
        </w:r>
        <w:r w:rsidR="001D1E46" w:rsidRPr="00AC1F66">
          <w:rPr>
            <w:rStyle w:val="Hyperlink"/>
            <w:noProof/>
          </w:rPr>
          <w:t>LAND CAPABILITY FOR AGRICULTURAL PRODUCTION</w:t>
        </w:r>
        <w:r w:rsidR="001D1E46">
          <w:rPr>
            <w:noProof/>
            <w:webHidden/>
          </w:rPr>
          <w:tab/>
        </w:r>
        <w:r w:rsidR="001D1E46">
          <w:rPr>
            <w:noProof/>
            <w:webHidden/>
          </w:rPr>
          <w:fldChar w:fldCharType="begin"/>
        </w:r>
        <w:r w:rsidR="001D1E46">
          <w:rPr>
            <w:noProof/>
            <w:webHidden/>
          </w:rPr>
          <w:instrText xml:space="preserve"> PAGEREF _Toc510706593 \h </w:instrText>
        </w:r>
        <w:r w:rsidR="001D1E46">
          <w:rPr>
            <w:noProof/>
            <w:webHidden/>
          </w:rPr>
        </w:r>
        <w:r w:rsidR="001D1E46">
          <w:rPr>
            <w:noProof/>
            <w:webHidden/>
          </w:rPr>
          <w:fldChar w:fldCharType="separate"/>
        </w:r>
        <w:r w:rsidR="0067023A">
          <w:rPr>
            <w:noProof/>
            <w:webHidden/>
          </w:rPr>
          <w:t>40</w:t>
        </w:r>
        <w:r w:rsidR="001D1E46">
          <w:rPr>
            <w:noProof/>
            <w:webHidden/>
          </w:rPr>
          <w:fldChar w:fldCharType="end"/>
        </w:r>
      </w:hyperlink>
    </w:p>
    <w:p w14:paraId="610465B3"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594" w:history="1">
        <w:r w:rsidR="001D1E46" w:rsidRPr="00AC1F66">
          <w:rPr>
            <w:rStyle w:val="Hyperlink"/>
            <w:noProof/>
          </w:rPr>
          <w:t>3.2.</w:t>
        </w:r>
        <w:r w:rsidR="001D1E46">
          <w:rPr>
            <w:rFonts w:eastAsiaTheme="minorEastAsia"/>
            <w:smallCaps w:val="0"/>
            <w:noProof/>
            <w:sz w:val="22"/>
            <w:szCs w:val="22"/>
            <w:lang w:val="en-ZA" w:eastAsia="en-ZA"/>
          </w:rPr>
          <w:tab/>
        </w:r>
        <w:r w:rsidR="001D1E46" w:rsidRPr="00AC1F66">
          <w:rPr>
            <w:rStyle w:val="Hyperlink"/>
            <w:noProof/>
          </w:rPr>
          <w:t>ENVIRONMENTAL ANALYSIS</w:t>
        </w:r>
        <w:r w:rsidR="001D1E46">
          <w:rPr>
            <w:noProof/>
            <w:webHidden/>
          </w:rPr>
          <w:tab/>
        </w:r>
        <w:r w:rsidR="001D1E46">
          <w:rPr>
            <w:noProof/>
            <w:webHidden/>
          </w:rPr>
          <w:fldChar w:fldCharType="begin"/>
        </w:r>
        <w:r w:rsidR="001D1E46">
          <w:rPr>
            <w:noProof/>
            <w:webHidden/>
          </w:rPr>
          <w:instrText xml:space="preserve"> PAGEREF _Toc510706594 \h </w:instrText>
        </w:r>
        <w:r w:rsidR="001D1E46">
          <w:rPr>
            <w:noProof/>
            <w:webHidden/>
          </w:rPr>
        </w:r>
        <w:r w:rsidR="001D1E46">
          <w:rPr>
            <w:noProof/>
            <w:webHidden/>
          </w:rPr>
          <w:fldChar w:fldCharType="separate"/>
        </w:r>
        <w:r w:rsidR="0067023A">
          <w:rPr>
            <w:noProof/>
            <w:webHidden/>
          </w:rPr>
          <w:t>41</w:t>
        </w:r>
        <w:r w:rsidR="001D1E46">
          <w:rPr>
            <w:noProof/>
            <w:webHidden/>
          </w:rPr>
          <w:fldChar w:fldCharType="end"/>
        </w:r>
      </w:hyperlink>
    </w:p>
    <w:p w14:paraId="00BE6D3B" w14:textId="77777777" w:rsidR="001D1E46" w:rsidRDefault="00B918A6">
      <w:pPr>
        <w:pStyle w:val="TOC3"/>
        <w:rPr>
          <w:rFonts w:eastAsiaTheme="minorEastAsia"/>
          <w:i w:val="0"/>
          <w:iCs w:val="0"/>
          <w:noProof/>
          <w:sz w:val="22"/>
          <w:szCs w:val="22"/>
          <w:lang w:val="en-ZA" w:eastAsia="en-ZA"/>
        </w:rPr>
      </w:pPr>
      <w:hyperlink w:anchor="_Toc510706595" w:history="1">
        <w:r w:rsidR="001D1E46" w:rsidRPr="00AC1F66">
          <w:rPr>
            <w:rStyle w:val="Hyperlink"/>
            <w:noProof/>
          </w:rPr>
          <w:t>3.2.1.</w:t>
        </w:r>
        <w:r w:rsidR="001D1E46">
          <w:rPr>
            <w:rFonts w:eastAsiaTheme="minorEastAsia"/>
            <w:i w:val="0"/>
            <w:iCs w:val="0"/>
            <w:noProof/>
            <w:sz w:val="22"/>
            <w:szCs w:val="22"/>
            <w:lang w:val="en-ZA" w:eastAsia="en-ZA"/>
          </w:rPr>
          <w:tab/>
        </w:r>
        <w:r w:rsidR="001D1E46" w:rsidRPr="00AC1F66">
          <w:rPr>
            <w:rStyle w:val="Hyperlink"/>
            <w:noProof/>
          </w:rPr>
          <w:t>Habitats</w:t>
        </w:r>
        <w:r w:rsidR="001D1E46">
          <w:rPr>
            <w:noProof/>
            <w:webHidden/>
          </w:rPr>
          <w:tab/>
        </w:r>
        <w:r w:rsidR="001D1E46">
          <w:rPr>
            <w:noProof/>
            <w:webHidden/>
          </w:rPr>
          <w:fldChar w:fldCharType="begin"/>
        </w:r>
        <w:r w:rsidR="001D1E46">
          <w:rPr>
            <w:noProof/>
            <w:webHidden/>
          </w:rPr>
          <w:instrText xml:space="preserve"> PAGEREF _Toc510706595 \h </w:instrText>
        </w:r>
        <w:r w:rsidR="001D1E46">
          <w:rPr>
            <w:noProof/>
            <w:webHidden/>
          </w:rPr>
        </w:r>
        <w:r w:rsidR="001D1E46">
          <w:rPr>
            <w:noProof/>
            <w:webHidden/>
          </w:rPr>
          <w:fldChar w:fldCharType="separate"/>
        </w:r>
        <w:r w:rsidR="0067023A">
          <w:rPr>
            <w:noProof/>
            <w:webHidden/>
          </w:rPr>
          <w:t>41</w:t>
        </w:r>
        <w:r w:rsidR="001D1E46">
          <w:rPr>
            <w:noProof/>
            <w:webHidden/>
          </w:rPr>
          <w:fldChar w:fldCharType="end"/>
        </w:r>
      </w:hyperlink>
    </w:p>
    <w:p w14:paraId="247124CF" w14:textId="77777777" w:rsidR="001D1E46" w:rsidRDefault="00B918A6">
      <w:pPr>
        <w:pStyle w:val="TOC3"/>
        <w:rPr>
          <w:rFonts w:eastAsiaTheme="minorEastAsia"/>
          <w:i w:val="0"/>
          <w:iCs w:val="0"/>
          <w:noProof/>
          <w:sz w:val="22"/>
          <w:szCs w:val="22"/>
          <w:lang w:val="en-ZA" w:eastAsia="en-ZA"/>
        </w:rPr>
      </w:pPr>
      <w:hyperlink w:anchor="_Toc510706596" w:history="1">
        <w:r w:rsidR="001D1E46" w:rsidRPr="00AC1F66">
          <w:rPr>
            <w:rStyle w:val="Hyperlink"/>
            <w:noProof/>
          </w:rPr>
          <w:t>3.2.2.</w:t>
        </w:r>
        <w:r w:rsidR="001D1E46">
          <w:rPr>
            <w:rFonts w:eastAsiaTheme="minorEastAsia"/>
            <w:i w:val="0"/>
            <w:iCs w:val="0"/>
            <w:noProof/>
            <w:sz w:val="22"/>
            <w:szCs w:val="22"/>
            <w:lang w:val="en-ZA" w:eastAsia="en-ZA"/>
          </w:rPr>
          <w:tab/>
        </w:r>
        <w:r w:rsidR="001D1E46" w:rsidRPr="00AC1F66">
          <w:rPr>
            <w:rStyle w:val="Hyperlink"/>
            <w:noProof/>
          </w:rPr>
          <w:t>Key Hydrological Features</w:t>
        </w:r>
        <w:r w:rsidR="001D1E46">
          <w:rPr>
            <w:noProof/>
            <w:webHidden/>
          </w:rPr>
          <w:tab/>
        </w:r>
        <w:r w:rsidR="001D1E46">
          <w:rPr>
            <w:noProof/>
            <w:webHidden/>
          </w:rPr>
          <w:fldChar w:fldCharType="begin"/>
        </w:r>
        <w:r w:rsidR="001D1E46">
          <w:rPr>
            <w:noProof/>
            <w:webHidden/>
          </w:rPr>
          <w:instrText xml:space="preserve"> PAGEREF _Toc510706596 \h </w:instrText>
        </w:r>
        <w:r w:rsidR="001D1E46">
          <w:rPr>
            <w:noProof/>
            <w:webHidden/>
          </w:rPr>
        </w:r>
        <w:r w:rsidR="001D1E46">
          <w:rPr>
            <w:noProof/>
            <w:webHidden/>
          </w:rPr>
          <w:fldChar w:fldCharType="separate"/>
        </w:r>
        <w:r w:rsidR="0067023A">
          <w:rPr>
            <w:noProof/>
            <w:webHidden/>
          </w:rPr>
          <w:t>41</w:t>
        </w:r>
        <w:r w:rsidR="001D1E46">
          <w:rPr>
            <w:noProof/>
            <w:webHidden/>
          </w:rPr>
          <w:fldChar w:fldCharType="end"/>
        </w:r>
      </w:hyperlink>
    </w:p>
    <w:p w14:paraId="239DF1C5" w14:textId="77777777" w:rsidR="001D1E46" w:rsidRDefault="00B918A6">
      <w:pPr>
        <w:pStyle w:val="TOC3"/>
        <w:rPr>
          <w:rFonts w:eastAsiaTheme="minorEastAsia"/>
          <w:i w:val="0"/>
          <w:iCs w:val="0"/>
          <w:noProof/>
          <w:sz w:val="22"/>
          <w:szCs w:val="22"/>
          <w:lang w:val="en-ZA" w:eastAsia="en-ZA"/>
        </w:rPr>
      </w:pPr>
      <w:hyperlink w:anchor="_Toc510706597" w:history="1">
        <w:r w:rsidR="001D1E46" w:rsidRPr="00AC1F66">
          <w:rPr>
            <w:rStyle w:val="Hyperlink"/>
            <w:noProof/>
          </w:rPr>
          <w:t>3.2.3.</w:t>
        </w:r>
        <w:r w:rsidR="001D1E46">
          <w:rPr>
            <w:rFonts w:eastAsiaTheme="minorEastAsia"/>
            <w:i w:val="0"/>
            <w:iCs w:val="0"/>
            <w:noProof/>
            <w:sz w:val="22"/>
            <w:szCs w:val="22"/>
            <w:lang w:val="en-ZA" w:eastAsia="en-ZA"/>
          </w:rPr>
          <w:tab/>
        </w:r>
        <w:r w:rsidR="001D1E46" w:rsidRPr="00AC1F66">
          <w:rPr>
            <w:rStyle w:val="Hyperlink"/>
            <w:noProof/>
          </w:rPr>
          <w:t>Protected Areas</w:t>
        </w:r>
        <w:r w:rsidR="001D1E46">
          <w:rPr>
            <w:noProof/>
            <w:webHidden/>
          </w:rPr>
          <w:tab/>
        </w:r>
        <w:r w:rsidR="001D1E46">
          <w:rPr>
            <w:noProof/>
            <w:webHidden/>
          </w:rPr>
          <w:fldChar w:fldCharType="begin"/>
        </w:r>
        <w:r w:rsidR="001D1E46">
          <w:rPr>
            <w:noProof/>
            <w:webHidden/>
          </w:rPr>
          <w:instrText xml:space="preserve"> PAGEREF _Toc510706597 \h </w:instrText>
        </w:r>
        <w:r w:rsidR="001D1E46">
          <w:rPr>
            <w:noProof/>
            <w:webHidden/>
          </w:rPr>
        </w:r>
        <w:r w:rsidR="001D1E46">
          <w:rPr>
            <w:noProof/>
            <w:webHidden/>
          </w:rPr>
          <w:fldChar w:fldCharType="separate"/>
        </w:r>
        <w:r w:rsidR="0067023A">
          <w:rPr>
            <w:noProof/>
            <w:webHidden/>
          </w:rPr>
          <w:t>41</w:t>
        </w:r>
        <w:r w:rsidR="001D1E46">
          <w:rPr>
            <w:noProof/>
            <w:webHidden/>
          </w:rPr>
          <w:fldChar w:fldCharType="end"/>
        </w:r>
      </w:hyperlink>
    </w:p>
    <w:p w14:paraId="7D50C600" w14:textId="77777777" w:rsidR="001D1E46" w:rsidRDefault="00B918A6">
      <w:pPr>
        <w:pStyle w:val="TOC3"/>
        <w:rPr>
          <w:rFonts w:eastAsiaTheme="minorEastAsia"/>
          <w:i w:val="0"/>
          <w:iCs w:val="0"/>
          <w:noProof/>
          <w:sz w:val="22"/>
          <w:szCs w:val="22"/>
          <w:lang w:val="en-ZA" w:eastAsia="en-ZA"/>
        </w:rPr>
      </w:pPr>
      <w:hyperlink w:anchor="_Toc510706598" w:history="1">
        <w:r w:rsidR="001D1E46" w:rsidRPr="00AC1F66">
          <w:rPr>
            <w:rStyle w:val="Hyperlink"/>
            <w:noProof/>
          </w:rPr>
          <w:t>3.2.4.</w:t>
        </w:r>
        <w:r w:rsidR="001D1E46">
          <w:rPr>
            <w:rFonts w:eastAsiaTheme="minorEastAsia"/>
            <w:i w:val="0"/>
            <w:iCs w:val="0"/>
            <w:noProof/>
            <w:sz w:val="22"/>
            <w:szCs w:val="22"/>
            <w:lang w:val="en-ZA" w:eastAsia="en-ZA"/>
          </w:rPr>
          <w:tab/>
        </w:r>
        <w:r w:rsidR="001D1E46" w:rsidRPr="00AC1F66">
          <w:rPr>
            <w:rStyle w:val="Hyperlink"/>
            <w:noProof/>
          </w:rPr>
          <w:t>Biodiversity</w:t>
        </w:r>
        <w:r w:rsidR="001D1E46">
          <w:rPr>
            <w:noProof/>
            <w:webHidden/>
          </w:rPr>
          <w:tab/>
        </w:r>
        <w:r w:rsidR="001D1E46">
          <w:rPr>
            <w:noProof/>
            <w:webHidden/>
          </w:rPr>
          <w:fldChar w:fldCharType="begin"/>
        </w:r>
        <w:r w:rsidR="001D1E46">
          <w:rPr>
            <w:noProof/>
            <w:webHidden/>
          </w:rPr>
          <w:instrText xml:space="preserve"> PAGEREF _Toc510706598 \h </w:instrText>
        </w:r>
        <w:r w:rsidR="001D1E46">
          <w:rPr>
            <w:noProof/>
            <w:webHidden/>
          </w:rPr>
        </w:r>
        <w:r w:rsidR="001D1E46">
          <w:rPr>
            <w:noProof/>
            <w:webHidden/>
          </w:rPr>
          <w:fldChar w:fldCharType="separate"/>
        </w:r>
        <w:r w:rsidR="0067023A">
          <w:rPr>
            <w:noProof/>
            <w:webHidden/>
          </w:rPr>
          <w:t>42</w:t>
        </w:r>
        <w:r w:rsidR="001D1E46">
          <w:rPr>
            <w:noProof/>
            <w:webHidden/>
          </w:rPr>
          <w:fldChar w:fldCharType="end"/>
        </w:r>
      </w:hyperlink>
    </w:p>
    <w:p w14:paraId="1EC8F5BC" w14:textId="77777777" w:rsidR="001D1E46" w:rsidRDefault="00B918A6">
      <w:pPr>
        <w:pStyle w:val="TOC3"/>
        <w:rPr>
          <w:rFonts w:eastAsiaTheme="minorEastAsia"/>
          <w:i w:val="0"/>
          <w:iCs w:val="0"/>
          <w:noProof/>
          <w:sz w:val="22"/>
          <w:szCs w:val="22"/>
          <w:lang w:val="en-ZA" w:eastAsia="en-ZA"/>
        </w:rPr>
      </w:pPr>
      <w:hyperlink w:anchor="_Toc510706599" w:history="1">
        <w:r w:rsidR="001D1E46" w:rsidRPr="00AC1F66">
          <w:rPr>
            <w:rStyle w:val="Hyperlink"/>
            <w:noProof/>
          </w:rPr>
          <w:t>3.2.5.</w:t>
        </w:r>
        <w:r w:rsidR="001D1E46">
          <w:rPr>
            <w:rFonts w:eastAsiaTheme="minorEastAsia"/>
            <w:i w:val="0"/>
            <w:iCs w:val="0"/>
            <w:noProof/>
            <w:sz w:val="22"/>
            <w:szCs w:val="22"/>
            <w:lang w:val="en-ZA" w:eastAsia="en-ZA"/>
          </w:rPr>
          <w:tab/>
        </w:r>
        <w:r w:rsidR="001D1E46" w:rsidRPr="00AC1F66">
          <w:rPr>
            <w:rStyle w:val="Hyperlink"/>
            <w:noProof/>
          </w:rPr>
          <w:t>Climate Change</w:t>
        </w:r>
        <w:r w:rsidR="001D1E46">
          <w:rPr>
            <w:noProof/>
            <w:webHidden/>
          </w:rPr>
          <w:tab/>
        </w:r>
        <w:r w:rsidR="001D1E46">
          <w:rPr>
            <w:noProof/>
            <w:webHidden/>
          </w:rPr>
          <w:fldChar w:fldCharType="begin"/>
        </w:r>
        <w:r w:rsidR="001D1E46">
          <w:rPr>
            <w:noProof/>
            <w:webHidden/>
          </w:rPr>
          <w:instrText xml:space="preserve"> PAGEREF _Toc510706599 \h </w:instrText>
        </w:r>
        <w:r w:rsidR="001D1E46">
          <w:rPr>
            <w:noProof/>
            <w:webHidden/>
          </w:rPr>
        </w:r>
        <w:r w:rsidR="001D1E46">
          <w:rPr>
            <w:noProof/>
            <w:webHidden/>
          </w:rPr>
          <w:fldChar w:fldCharType="separate"/>
        </w:r>
        <w:r w:rsidR="0067023A">
          <w:rPr>
            <w:noProof/>
            <w:webHidden/>
          </w:rPr>
          <w:t>43</w:t>
        </w:r>
        <w:r w:rsidR="001D1E46">
          <w:rPr>
            <w:noProof/>
            <w:webHidden/>
          </w:rPr>
          <w:fldChar w:fldCharType="end"/>
        </w:r>
      </w:hyperlink>
    </w:p>
    <w:p w14:paraId="1E87F59B" w14:textId="77777777" w:rsidR="001D1E46" w:rsidRDefault="00B918A6">
      <w:pPr>
        <w:pStyle w:val="TOC3"/>
        <w:rPr>
          <w:rFonts w:eastAsiaTheme="minorEastAsia"/>
          <w:i w:val="0"/>
          <w:iCs w:val="0"/>
          <w:noProof/>
          <w:sz w:val="22"/>
          <w:szCs w:val="22"/>
          <w:lang w:val="en-ZA" w:eastAsia="en-ZA"/>
        </w:rPr>
      </w:pPr>
      <w:hyperlink w:anchor="_Toc510706600" w:history="1">
        <w:r w:rsidR="001D1E46" w:rsidRPr="00AC1F66">
          <w:rPr>
            <w:rStyle w:val="Hyperlink"/>
            <w:noProof/>
          </w:rPr>
          <w:t>3.2.6.</w:t>
        </w:r>
        <w:r w:rsidR="001D1E46">
          <w:rPr>
            <w:rFonts w:eastAsiaTheme="minorEastAsia"/>
            <w:i w:val="0"/>
            <w:iCs w:val="0"/>
            <w:noProof/>
            <w:sz w:val="22"/>
            <w:szCs w:val="22"/>
            <w:lang w:val="en-ZA" w:eastAsia="en-ZA"/>
          </w:rPr>
          <w:tab/>
        </w:r>
        <w:r w:rsidR="001D1E46" w:rsidRPr="00AC1F66">
          <w:rPr>
            <w:rStyle w:val="Hyperlink"/>
            <w:noProof/>
          </w:rPr>
          <w:t>Strategic Environmental Assessment</w:t>
        </w:r>
        <w:r w:rsidR="001D1E46">
          <w:rPr>
            <w:noProof/>
            <w:webHidden/>
          </w:rPr>
          <w:tab/>
        </w:r>
        <w:r w:rsidR="001D1E46">
          <w:rPr>
            <w:noProof/>
            <w:webHidden/>
          </w:rPr>
          <w:fldChar w:fldCharType="begin"/>
        </w:r>
        <w:r w:rsidR="001D1E46">
          <w:rPr>
            <w:noProof/>
            <w:webHidden/>
          </w:rPr>
          <w:instrText xml:space="preserve"> PAGEREF _Toc510706600 \h </w:instrText>
        </w:r>
        <w:r w:rsidR="001D1E46">
          <w:rPr>
            <w:noProof/>
            <w:webHidden/>
          </w:rPr>
        </w:r>
        <w:r w:rsidR="001D1E46">
          <w:rPr>
            <w:noProof/>
            <w:webHidden/>
          </w:rPr>
          <w:fldChar w:fldCharType="separate"/>
        </w:r>
        <w:r w:rsidR="0067023A">
          <w:rPr>
            <w:noProof/>
            <w:webHidden/>
          </w:rPr>
          <w:t>43</w:t>
        </w:r>
        <w:r w:rsidR="001D1E46">
          <w:rPr>
            <w:noProof/>
            <w:webHidden/>
          </w:rPr>
          <w:fldChar w:fldCharType="end"/>
        </w:r>
      </w:hyperlink>
    </w:p>
    <w:p w14:paraId="60E5F9A6" w14:textId="77777777" w:rsidR="001D1E46" w:rsidRDefault="00B918A6">
      <w:pPr>
        <w:pStyle w:val="TOC3"/>
        <w:rPr>
          <w:rFonts w:eastAsiaTheme="minorEastAsia"/>
          <w:i w:val="0"/>
          <w:iCs w:val="0"/>
          <w:noProof/>
          <w:sz w:val="22"/>
          <w:szCs w:val="22"/>
          <w:lang w:val="en-ZA" w:eastAsia="en-ZA"/>
        </w:rPr>
      </w:pPr>
      <w:hyperlink w:anchor="_Toc510706601" w:history="1">
        <w:r w:rsidR="001D1E46" w:rsidRPr="00AC1F66">
          <w:rPr>
            <w:rStyle w:val="Hyperlink"/>
            <w:rFonts w:ascii="Calibri" w:hAnsi="Calibri"/>
            <w:noProof/>
          </w:rPr>
          <w:t>3.2.7.</w:t>
        </w:r>
        <w:r w:rsidR="001D1E46">
          <w:rPr>
            <w:rFonts w:eastAsiaTheme="minorEastAsia"/>
            <w:i w:val="0"/>
            <w:iCs w:val="0"/>
            <w:noProof/>
            <w:sz w:val="22"/>
            <w:szCs w:val="22"/>
            <w:lang w:val="en-ZA" w:eastAsia="en-ZA"/>
          </w:rPr>
          <w:tab/>
        </w:r>
        <w:r w:rsidR="001D1E46" w:rsidRPr="00AC1F66">
          <w:rPr>
            <w:rStyle w:val="Hyperlink"/>
            <w:rFonts w:ascii="Calibri" w:hAnsi="Calibri"/>
            <w:noProof/>
          </w:rPr>
          <w:t>SPATIAL: SWOT ANALYSIS</w:t>
        </w:r>
        <w:r w:rsidR="001D1E46">
          <w:rPr>
            <w:noProof/>
            <w:webHidden/>
          </w:rPr>
          <w:tab/>
        </w:r>
        <w:r w:rsidR="001D1E46">
          <w:rPr>
            <w:noProof/>
            <w:webHidden/>
          </w:rPr>
          <w:fldChar w:fldCharType="begin"/>
        </w:r>
        <w:r w:rsidR="001D1E46">
          <w:rPr>
            <w:noProof/>
            <w:webHidden/>
          </w:rPr>
          <w:instrText xml:space="preserve"> PAGEREF _Toc510706601 \h </w:instrText>
        </w:r>
        <w:r w:rsidR="001D1E46">
          <w:rPr>
            <w:noProof/>
            <w:webHidden/>
          </w:rPr>
        </w:r>
        <w:r w:rsidR="001D1E46">
          <w:rPr>
            <w:noProof/>
            <w:webHidden/>
          </w:rPr>
          <w:fldChar w:fldCharType="separate"/>
        </w:r>
        <w:r w:rsidR="0067023A">
          <w:rPr>
            <w:noProof/>
            <w:webHidden/>
          </w:rPr>
          <w:t>43</w:t>
        </w:r>
        <w:r w:rsidR="001D1E46">
          <w:rPr>
            <w:noProof/>
            <w:webHidden/>
          </w:rPr>
          <w:fldChar w:fldCharType="end"/>
        </w:r>
      </w:hyperlink>
    </w:p>
    <w:p w14:paraId="71A733F0" w14:textId="77777777" w:rsidR="001D1E46" w:rsidRDefault="00B918A6">
      <w:pPr>
        <w:pStyle w:val="TOC3"/>
        <w:rPr>
          <w:rFonts w:eastAsiaTheme="minorEastAsia"/>
          <w:i w:val="0"/>
          <w:iCs w:val="0"/>
          <w:noProof/>
          <w:sz w:val="22"/>
          <w:szCs w:val="22"/>
          <w:lang w:val="en-ZA" w:eastAsia="en-ZA"/>
        </w:rPr>
      </w:pPr>
      <w:hyperlink w:anchor="_Toc510706602" w:history="1">
        <w:r w:rsidR="001D1E46" w:rsidRPr="00AC1F66">
          <w:rPr>
            <w:rStyle w:val="Hyperlink"/>
            <w:noProof/>
          </w:rPr>
          <w:t>3.2.8.</w:t>
        </w:r>
        <w:r w:rsidR="001D1E46">
          <w:rPr>
            <w:rFonts w:eastAsiaTheme="minorEastAsia"/>
            <w:i w:val="0"/>
            <w:iCs w:val="0"/>
            <w:noProof/>
            <w:sz w:val="22"/>
            <w:szCs w:val="22"/>
            <w:lang w:val="en-ZA" w:eastAsia="en-ZA"/>
          </w:rPr>
          <w:tab/>
        </w:r>
        <w:r w:rsidR="001D1E46" w:rsidRPr="00AC1F66">
          <w:rPr>
            <w:rStyle w:val="Hyperlink"/>
            <w:noProof/>
          </w:rPr>
          <w:t>ENVIRONMENTAL: SWOT ANALYSIS</w:t>
        </w:r>
        <w:r w:rsidR="001D1E46">
          <w:rPr>
            <w:noProof/>
            <w:webHidden/>
          </w:rPr>
          <w:tab/>
        </w:r>
        <w:r w:rsidR="001D1E46">
          <w:rPr>
            <w:noProof/>
            <w:webHidden/>
          </w:rPr>
          <w:fldChar w:fldCharType="begin"/>
        </w:r>
        <w:r w:rsidR="001D1E46">
          <w:rPr>
            <w:noProof/>
            <w:webHidden/>
          </w:rPr>
          <w:instrText xml:space="preserve"> PAGEREF _Toc510706602 \h </w:instrText>
        </w:r>
        <w:r w:rsidR="001D1E46">
          <w:rPr>
            <w:noProof/>
            <w:webHidden/>
          </w:rPr>
        </w:r>
        <w:r w:rsidR="001D1E46">
          <w:rPr>
            <w:noProof/>
            <w:webHidden/>
          </w:rPr>
          <w:fldChar w:fldCharType="separate"/>
        </w:r>
        <w:r w:rsidR="0067023A">
          <w:rPr>
            <w:noProof/>
            <w:webHidden/>
          </w:rPr>
          <w:t>44</w:t>
        </w:r>
        <w:r w:rsidR="001D1E46">
          <w:rPr>
            <w:noProof/>
            <w:webHidden/>
          </w:rPr>
          <w:fldChar w:fldCharType="end"/>
        </w:r>
      </w:hyperlink>
    </w:p>
    <w:p w14:paraId="368067D6"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603" w:history="1">
        <w:r w:rsidR="001D1E46" w:rsidRPr="00AC1F66">
          <w:rPr>
            <w:rStyle w:val="Hyperlink"/>
            <w:noProof/>
          </w:rPr>
          <w:t>3.3.</w:t>
        </w:r>
        <w:r w:rsidR="001D1E46">
          <w:rPr>
            <w:rFonts w:eastAsiaTheme="minorEastAsia"/>
            <w:smallCaps w:val="0"/>
            <w:noProof/>
            <w:sz w:val="22"/>
            <w:szCs w:val="22"/>
            <w:lang w:val="en-ZA" w:eastAsia="en-ZA"/>
          </w:rPr>
          <w:tab/>
        </w:r>
        <w:r w:rsidR="001D1E46" w:rsidRPr="00AC1F66">
          <w:rPr>
            <w:rStyle w:val="Hyperlink"/>
            <w:noProof/>
          </w:rPr>
          <w:t>DISASTER MANAGEMENT (SECTION UNDER REVIEW)</w:t>
        </w:r>
        <w:r w:rsidR="001D1E46">
          <w:rPr>
            <w:noProof/>
            <w:webHidden/>
          </w:rPr>
          <w:tab/>
        </w:r>
        <w:r w:rsidR="001D1E46">
          <w:rPr>
            <w:noProof/>
            <w:webHidden/>
          </w:rPr>
          <w:fldChar w:fldCharType="begin"/>
        </w:r>
        <w:r w:rsidR="001D1E46">
          <w:rPr>
            <w:noProof/>
            <w:webHidden/>
          </w:rPr>
          <w:instrText xml:space="preserve"> PAGEREF _Toc510706603 \h </w:instrText>
        </w:r>
        <w:r w:rsidR="001D1E46">
          <w:rPr>
            <w:noProof/>
            <w:webHidden/>
          </w:rPr>
        </w:r>
        <w:r w:rsidR="001D1E46">
          <w:rPr>
            <w:noProof/>
            <w:webHidden/>
          </w:rPr>
          <w:fldChar w:fldCharType="separate"/>
        </w:r>
        <w:r w:rsidR="0067023A">
          <w:rPr>
            <w:noProof/>
            <w:webHidden/>
          </w:rPr>
          <w:t>46</w:t>
        </w:r>
        <w:r w:rsidR="001D1E46">
          <w:rPr>
            <w:noProof/>
            <w:webHidden/>
          </w:rPr>
          <w:fldChar w:fldCharType="end"/>
        </w:r>
      </w:hyperlink>
    </w:p>
    <w:p w14:paraId="771C5B13" w14:textId="77777777" w:rsidR="001D1E46" w:rsidRDefault="00B918A6">
      <w:pPr>
        <w:pStyle w:val="TOC3"/>
        <w:rPr>
          <w:rFonts w:eastAsiaTheme="minorEastAsia"/>
          <w:i w:val="0"/>
          <w:iCs w:val="0"/>
          <w:noProof/>
          <w:sz w:val="22"/>
          <w:szCs w:val="22"/>
          <w:lang w:val="en-ZA" w:eastAsia="en-ZA"/>
        </w:rPr>
      </w:pPr>
      <w:hyperlink w:anchor="_Toc510706604" w:history="1">
        <w:r w:rsidR="001D1E46" w:rsidRPr="00AC1F66">
          <w:rPr>
            <w:rStyle w:val="Hyperlink"/>
            <w:noProof/>
          </w:rPr>
          <w:t>3.3.1.</w:t>
        </w:r>
        <w:r w:rsidR="001D1E46">
          <w:rPr>
            <w:rFonts w:eastAsiaTheme="minorEastAsia"/>
            <w:i w:val="0"/>
            <w:iCs w:val="0"/>
            <w:noProof/>
            <w:sz w:val="22"/>
            <w:szCs w:val="22"/>
            <w:lang w:val="en-ZA" w:eastAsia="en-ZA"/>
          </w:rPr>
          <w:tab/>
        </w:r>
        <w:r w:rsidR="001D1E46" w:rsidRPr="00AC1F66">
          <w:rPr>
            <w:rStyle w:val="Hyperlink"/>
            <w:noProof/>
          </w:rPr>
          <w:t>uMlalazi Disaster Risk Management Policy Framework</w:t>
        </w:r>
        <w:r w:rsidR="001D1E46">
          <w:rPr>
            <w:noProof/>
            <w:webHidden/>
          </w:rPr>
          <w:tab/>
        </w:r>
        <w:r w:rsidR="001D1E46">
          <w:rPr>
            <w:noProof/>
            <w:webHidden/>
          </w:rPr>
          <w:fldChar w:fldCharType="begin"/>
        </w:r>
        <w:r w:rsidR="001D1E46">
          <w:rPr>
            <w:noProof/>
            <w:webHidden/>
          </w:rPr>
          <w:instrText xml:space="preserve"> PAGEREF _Toc510706604 \h </w:instrText>
        </w:r>
        <w:r w:rsidR="001D1E46">
          <w:rPr>
            <w:noProof/>
            <w:webHidden/>
          </w:rPr>
        </w:r>
        <w:r w:rsidR="001D1E46">
          <w:rPr>
            <w:noProof/>
            <w:webHidden/>
          </w:rPr>
          <w:fldChar w:fldCharType="separate"/>
        </w:r>
        <w:r w:rsidR="0067023A">
          <w:rPr>
            <w:noProof/>
            <w:webHidden/>
          </w:rPr>
          <w:t>46</w:t>
        </w:r>
        <w:r w:rsidR="001D1E46">
          <w:rPr>
            <w:noProof/>
            <w:webHidden/>
          </w:rPr>
          <w:fldChar w:fldCharType="end"/>
        </w:r>
      </w:hyperlink>
    </w:p>
    <w:p w14:paraId="15DEDC0B" w14:textId="77777777" w:rsidR="001D1E46" w:rsidRDefault="00B918A6">
      <w:pPr>
        <w:pStyle w:val="TOC3"/>
        <w:rPr>
          <w:rFonts w:eastAsiaTheme="minorEastAsia"/>
          <w:i w:val="0"/>
          <w:iCs w:val="0"/>
          <w:noProof/>
          <w:sz w:val="22"/>
          <w:szCs w:val="22"/>
          <w:lang w:val="en-ZA" w:eastAsia="en-ZA"/>
        </w:rPr>
      </w:pPr>
      <w:hyperlink w:anchor="_Toc510706605" w:history="1">
        <w:r w:rsidR="001D1E46" w:rsidRPr="00AC1F66">
          <w:rPr>
            <w:rStyle w:val="Hyperlink"/>
            <w:noProof/>
            <w:highlight w:val="yellow"/>
          </w:rPr>
          <w:t>3.3.2.</w:t>
        </w:r>
        <w:r w:rsidR="001D1E46">
          <w:rPr>
            <w:rFonts w:eastAsiaTheme="minorEastAsia"/>
            <w:i w:val="0"/>
            <w:iCs w:val="0"/>
            <w:noProof/>
            <w:sz w:val="22"/>
            <w:szCs w:val="22"/>
            <w:lang w:val="en-ZA" w:eastAsia="en-ZA"/>
          </w:rPr>
          <w:tab/>
        </w:r>
        <w:r w:rsidR="001D1E46" w:rsidRPr="00AC1F66">
          <w:rPr>
            <w:rStyle w:val="Hyperlink"/>
            <w:noProof/>
            <w:highlight w:val="yellow"/>
          </w:rPr>
          <w:t>Risk Profiling (UNDER REVIEW)</w:t>
        </w:r>
        <w:r w:rsidR="001D1E46">
          <w:rPr>
            <w:noProof/>
            <w:webHidden/>
          </w:rPr>
          <w:tab/>
        </w:r>
        <w:r w:rsidR="001D1E46">
          <w:rPr>
            <w:noProof/>
            <w:webHidden/>
          </w:rPr>
          <w:fldChar w:fldCharType="begin"/>
        </w:r>
        <w:r w:rsidR="001D1E46">
          <w:rPr>
            <w:noProof/>
            <w:webHidden/>
          </w:rPr>
          <w:instrText xml:space="preserve"> PAGEREF _Toc510706605 \h </w:instrText>
        </w:r>
        <w:r w:rsidR="001D1E46">
          <w:rPr>
            <w:noProof/>
            <w:webHidden/>
          </w:rPr>
        </w:r>
        <w:r w:rsidR="001D1E46">
          <w:rPr>
            <w:noProof/>
            <w:webHidden/>
          </w:rPr>
          <w:fldChar w:fldCharType="separate"/>
        </w:r>
        <w:r w:rsidR="0067023A">
          <w:rPr>
            <w:noProof/>
            <w:webHidden/>
          </w:rPr>
          <w:t>46</w:t>
        </w:r>
        <w:r w:rsidR="001D1E46">
          <w:rPr>
            <w:noProof/>
            <w:webHidden/>
          </w:rPr>
          <w:fldChar w:fldCharType="end"/>
        </w:r>
      </w:hyperlink>
    </w:p>
    <w:p w14:paraId="21AC5A74" w14:textId="77777777" w:rsidR="001D1E46" w:rsidRDefault="00B918A6">
      <w:pPr>
        <w:pStyle w:val="TOC3"/>
        <w:rPr>
          <w:rFonts w:eastAsiaTheme="minorEastAsia"/>
          <w:i w:val="0"/>
          <w:iCs w:val="0"/>
          <w:noProof/>
          <w:sz w:val="22"/>
          <w:szCs w:val="22"/>
          <w:lang w:val="en-ZA" w:eastAsia="en-ZA"/>
        </w:rPr>
      </w:pPr>
      <w:hyperlink w:anchor="_Toc510706606" w:history="1">
        <w:r w:rsidR="001D1E46" w:rsidRPr="00AC1F66">
          <w:rPr>
            <w:rStyle w:val="Hyperlink"/>
            <w:noProof/>
            <w:highlight w:val="darkYellow"/>
          </w:rPr>
          <w:t>3.3.3.</w:t>
        </w:r>
        <w:r w:rsidR="001D1E46">
          <w:rPr>
            <w:rFonts w:eastAsiaTheme="minorEastAsia"/>
            <w:i w:val="0"/>
            <w:iCs w:val="0"/>
            <w:noProof/>
            <w:sz w:val="22"/>
            <w:szCs w:val="22"/>
            <w:lang w:val="en-ZA" w:eastAsia="en-ZA"/>
          </w:rPr>
          <w:tab/>
        </w:r>
        <w:r w:rsidR="001D1E46" w:rsidRPr="00AC1F66">
          <w:rPr>
            <w:rStyle w:val="Hyperlink"/>
            <w:noProof/>
            <w:highlight w:val="darkYellow"/>
          </w:rPr>
          <w:t>Safety and Security Plan (CURRENTLY BEING DEVELOPED)</w:t>
        </w:r>
        <w:r w:rsidR="001D1E46">
          <w:rPr>
            <w:noProof/>
            <w:webHidden/>
          </w:rPr>
          <w:tab/>
        </w:r>
        <w:r w:rsidR="001D1E46">
          <w:rPr>
            <w:noProof/>
            <w:webHidden/>
          </w:rPr>
          <w:fldChar w:fldCharType="begin"/>
        </w:r>
        <w:r w:rsidR="001D1E46">
          <w:rPr>
            <w:noProof/>
            <w:webHidden/>
          </w:rPr>
          <w:instrText xml:space="preserve"> PAGEREF _Toc510706606 \h </w:instrText>
        </w:r>
        <w:r w:rsidR="001D1E46">
          <w:rPr>
            <w:noProof/>
            <w:webHidden/>
          </w:rPr>
        </w:r>
        <w:r w:rsidR="001D1E46">
          <w:rPr>
            <w:noProof/>
            <w:webHidden/>
          </w:rPr>
          <w:fldChar w:fldCharType="separate"/>
        </w:r>
        <w:r w:rsidR="0067023A">
          <w:rPr>
            <w:noProof/>
            <w:webHidden/>
          </w:rPr>
          <w:t>48</w:t>
        </w:r>
        <w:r w:rsidR="001D1E46">
          <w:rPr>
            <w:noProof/>
            <w:webHidden/>
          </w:rPr>
          <w:fldChar w:fldCharType="end"/>
        </w:r>
      </w:hyperlink>
    </w:p>
    <w:p w14:paraId="6C16E06A" w14:textId="77777777" w:rsidR="001D1E46" w:rsidRDefault="00B918A6">
      <w:pPr>
        <w:pStyle w:val="TOC3"/>
        <w:rPr>
          <w:rFonts w:eastAsiaTheme="minorEastAsia"/>
          <w:i w:val="0"/>
          <w:iCs w:val="0"/>
          <w:noProof/>
          <w:sz w:val="22"/>
          <w:szCs w:val="22"/>
          <w:lang w:val="en-ZA" w:eastAsia="en-ZA"/>
        </w:rPr>
      </w:pPr>
      <w:hyperlink w:anchor="_Toc510706607" w:history="1">
        <w:r w:rsidR="001D1E46" w:rsidRPr="00AC1F66">
          <w:rPr>
            <w:rStyle w:val="Hyperlink"/>
            <w:noProof/>
          </w:rPr>
          <w:t>3.3.4.</w:t>
        </w:r>
        <w:r w:rsidR="001D1E46">
          <w:rPr>
            <w:rFonts w:eastAsiaTheme="minorEastAsia"/>
            <w:i w:val="0"/>
            <w:iCs w:val="0"/>
            <w:noProof/>
            <w:sz w:val="22"/>
            <w:szCs w:val="22"/>
            <w:lang w:val="en-ZA" w:eastAsia="en-ZA"/>
          </w:rPr>
          <w:tab/>
        </w:r>
        <w:r w:rsidR="001D1E46" w:rsidRPr="00AC1F66">
          <w:rPr>
            <w:rStyle w:val="Hyperlink"/>
            <w:noProof/>
          </w:rPr>
          <w:t>Institutional Arrangements for Disaster Management</w:t>
        </w:r>
        <w:r w:rsidR="001D1E46">
          <w:rPr>
            <w:noProof/>
            <w:webHidden/>
          </w:rPr>
          <w:tab/>
        </w:r>
        <w:r w:rsidR="001D1E46">
          <w:rPr>
            <w:noProof/>
            <w:webHidden/>
          </w:rPr>
          <w:fldChar w:fldCharType="begin"/>
        </w:r>
        <w:r w:rsidR="001D1E46">
          <w:rPr>
            <w:noProof/>
            <w:webHidden/>
          </w:rPr>
          <w:instrText xml:space="preserve"> PAGEREF _Toc510706607 \h </w:instrText>
        </w:r>
        <w:r w:rsidR="001D1E46">
          <w:rPr>
            <w:noProof/>
            <w:webHidden/>
          </w:rPr>
        </w:r>
        <w:r w:rsidR="001D1E46">
          <w:rPr>
            <w:noProof/>
            <w:webHidden/>
          </w:rPr>
          <w:fldChar w:fldCharType="separate"/>
        </w:r>
        <w:r w:rsidR="0067023A">
          <w:rPr>
            <w:noProof/>
            <w:webHidden/>
          </w:rPr>
          <w:t>48</w:t>
        </w:r>
        <w:r w:rsidR="001D1E46">
          <w:rPr>
            <w:noProof/>
            <w:webHidden/>
          </w:rPr>
          <w:fldChar w:fldCharType="end"/>
        </w:r>
      </w:hyperlink>
    </w:p>
    <w:p w14:paraId="44AC3F43" w14:textId="77777777" w:rsidR="001D1E46" w:rsidRDefault="00B918A6">
      <w:pPr>
        <w:pStyle w:val="TOC3"/>
        <w:rPr>
          <w:rFonts w:eastAsiaTheme="minorEastAsia"/>
          <w:i w:val="0"/>
          <w:iCs w:val="0"/>
          <w:noProof/>
          <w:sz w:val="22"/>
          <w:szCs w:val="22"/>
          <w:lang w:val="en-ZA" w:eastAsia="en-ZA"/>
        </w:rPr>
      </w:pPr>
      <w:hyperlink w:anchor="_Toc510706608" w:history="1">
        <w:r w:rsidR="001D1E46" w:rsidRPr="00AC1F66">
          <w:rPr>
            <w:rStyle w:val="Hyperlink"/>
            <w:noProof/>
          </w:rPr>
          <w:t>3.3.5.</w:t>
        </w:r>
        <w:r w:rsidR="001D1E46">
          <w:rPr>
            <w:rFonts w:eastAsiaTheme="minorEastAsia"/>
            <w:i w:val="0"/>
            <w:iCs w:val="0"/>
            <w:noProof/>
            <w:sz w:val="22"/>
            <w:szCs w:val="22"/>
            <w:lang w:val="en-ZA" w:eastAsia="en-ZA"/>
          </w:rPr>
          <w:tab/>
        </w:r>
        <w:r w:rsidR="001D1E46" w:rsidRPr="00AC1F66">
          <w:rPr>
            <w:rStyle w:val="Hyperlink"/>
            <w:noProof/>
          </w:rPr>
          <w:t>Infrastructural Arrangements</w:t>
        </w:r>
        <w:r w:rsidR="001D1E46">
          <w:rPr>
            <w:noProof/>
            <w:webHidden/>
          </w:rPr>
          <w:tab/>
        </w:r>
        <w:r w:rsidR="001D1E46">
          <w:rPr>
            <w:noProof/>
            <w:webHidden/>
          </w:rPr>
          <w:fldChar w:fldCharType="begin"/>
        </w:r>
        <w:r w:rsidR="001D1E46">
          <w:rPr>
            <w:noProof/>
            <w:webHidden/>
          </w:rPr>
          <w:instrText xml:space="preserve"> PAGEREF _Toc510706608 \h </w:instrText>
        </w:r>
        <w:r w:rsidR="001D1E46">
          <w:rPr>
            <w:noProof/>
            <w:webHidden/>
          </w:rPr>
        </w:r>
        <w:r w:rsidR="001D1E46">
          <w:rPr>
            <w:noProof/>
            <w:webHidden/>
          </w:rPr>
          <w:fldChar w:fldCharType="separate"/>
        </w:r>
        <w:r w:rsidR="0067023A">
          <w:rPr>
            <w:noProof/>
            <w:webHidden/>
          </w:rPr>
          <w:t>48</w:t>
        </w:r>
        <w:r w:rsidR="001D1E46">
          <w:rPr>
            <w:noProof/>
            <w:webHidden/>
          </w:rPr>
          <w:fldChar w:fldCharType="end"/>
        </w:r>
      </w:hyperlink>
    </w:p>
    <w:p w14:paraId="1F03D7D1" w14:textId="77777777" w:rsidR="001D1E46" w:rsidRDefault="00B918A6">
      <w:pPr>
        <w:pStyle w:val="TOC3"/>
        <w:rPr>
          <w:rFonts w:eastAsiaTheme="minorEastAsia"/>
          <w:i w:val="0"/>
          <w:iCs w:val="0"/>
          <w:noProof/>
          <w:sz w:val="22"/>
          <w:szCs w:val="22"/>
          <w:lang w:val="en-ZA" w:eastAsia="en-ZA"/>
        </w:rPr>
      </w:pPr>
      <w:hyperlink w:anchor="_Toc510706609" w:history="1">
        <w:r w:rsidR="001D1E46" w:rsidRPr="00AC1F66">
          <w:rPr>
            <w:rStyle w:val="Hyperlink"/>
            <w:noProof/>
          </w:rPr>
          <w:t>3.3.6.</w:t>
        </w:r>
        <w:r w:rsidR="001D1E46">
          <w:rPr>
            <w:rFonts w:eastAsiaTheme="minorEastAsia"/>
            <w:i w:val="0"/>
            <w:iCs w:val="0"/>
            <w:noProof/>
            <w:sz w:val="22"/>
            <w:szCs w:val="22"/>
            <w:lang w:val="en-ZA" w:eastAsia="en-ZA"/>
          </w:rPr>
          <w:tab/>
        </w:r>
        <w:r w:rsidR="001D1E46" w:rsidRPr="00AC1F66">
          <w:rPr>
            <w:rStyle w:val="Hyperlink"/>
            <w:noProof/>
          </w:rPr>
          <w:t>Operational Plan for Disaster Management</w:t>
        </w:r>
        <w:r w:rsidR="001D1E46">
          <w:rPr>
            <w:noProof/>
            <w:webHidden/>
          </w:rPr>
          <w:tab/>
        </w:r>
        <w:r w:rsidR="001D1E46">
          <w:rPr>
            <w:noProof/>
            <w:webHidden/>
          </w:rPr>
          <w:fldChar w:fldCharType="begin"/>
        </w:r>
        <w:r w:rsidR="001D1E46">
          <w:rPr>
            <w:noProof/>
            <w:webHidden/>
          </w:rPr>
          <w:instrText xml:space="preserve"> PAGEREF _Toc510706609 \h </w:instrText>
        </w:r>
        <w:r w:rsidR="001D1E46">
          <w:rPr>
            <w:noProof/>
            <w:webHidden/>
          </w:rPr>
        </w:r>
        <w:r w:rsidR="001D1E46">
          <w:rPr>
            <w:noProof/>
            <w:webHidden/>
          </w:rPr>
          <w:fldChar w:fldCharType="separate"/>
        </w:r>
        <w:r w:rsidR="0067023A">
          <w:rPr>
            <w:noProof/>
            <w:webHidden/>
          </w:rPr>
          <w:t>49</w:t>
        </w:r>
        <w:r w:rsidR="001D1E46">
          <w:rPr>
            <w:noProof/>
            <w:webHidden/>
          </w:rPr>
          <w:fldChar w:fldCharType="end"/>
        </w:r>
      </w:hyperlink>
    </w:p>
    <w:p w14:paraId="717B24AB" w14:textId="77777777" w:rsidR="001D1E46" w:rsidRDefault="00B918A6">
      <w:pPr>
        <w:pStyle w:val="TOC3"/>
        <w:rPr>
          <w:rFonts w:eastAsiaTheme="minorEastAsia"/>
          <w:i w:val="0"/>
          <w:iCs w:val="0"/>
          <w:noProof/>
          <w:sz w:val="22"/>
          <w:szCs w:val="22"/>
          <w:lang w:val="en-ZA" w:eastAsia="en-ZA"/>
        </w:rPr>
      </w:pPr>
      <w:hyperlink w:anchor="_Toc510706610" w:history="1">
        <w:r w:rsidR="001D1E46" w:rsidRPr="00AC1F66">
          <w:rPr>
            <w:rStyle w:val="Hyperlink"/>
            <w:noProof/>
          </w:rPr>
          <w:t>3.3.7.</w:t>
        </w:r>
        <w:r w:rsidR="001D1E46">
          <w:rPr>
            <w:rFonts w:eastAsiaTheme="minorEastAsia"/>
            <w:i w:val="0"/>
            <w:iCs w:val="0"/>
            <w:noProof/>
            <w:sz w:val="22"/>
            <w:szCs w:val="22"/>
            <w:lang w:val="en-ZA" w:eastAsia="en-ZA"/>
          </w:rPr>
          <w:tab/>
        </w:r>
        <w:r w:rsidR="001D1E46" w:rsidRPr="00AC1F66">
          <w:rPr>
            <w:rStyle w:val="Hyperlink"/>
            <w:noProof/>
          </w:rPr>
          <w:t>Identified Role Players</w:t>
        </w:r>
        <w:r w:rsidR="001D1E46">
          <w:rPr>
            <w:noProof/>
            <w:webHidden/>
          </w:rPr>
          <w:tab/>
        </w:r>
        <w:r w:rsidR="001D1E46">
          <w:rPr>
            <w:noProof/>
            <w:webHidden/>
          </w:rPr>
          <w:fldChar w:fldCharType="begin"/>
        </w:r>
        <w:r w:rsidR="001D1E46">
          <w:rPr>
            <w:noProof/>
            <w:webHidden/>
          </w:rPr>
          <w:instrText xml:space="preserve"> PAGEREF _Toc510706610 \h </w:instrText>
        </w:r>
        <w:r w:rsidR="001D1E46">
          <w:rPr>
            <w:noProof/>
            <w:webHidden/>
          </w:rPr>
        </w:r>
        <w:r w:rsidR="001D1E46">
          <w:rPr>
            <w:noProof/>
            <w:webHidden/>
          </w:rPr>
          <w:fldChar w:fldCharType="separate"/>
        </w:r>
        <w:r w:rsidR="0067023A">
          <w:rPr>
            <w:noProof/>
            <w:webHidden/>
          </w:rPr>
          <w:t>49</w:t>
        </w:r>
        <w:r w:rsidR="001D1E46">
          <w:rPr>
            <w:noProof/>
            <w:webHidden/>
          </w:rPr>
          <w:fldChar w:fldCharType="end"/>
        </w:r>
      </w:hyperlink>
    </w:p>
    <w:p w14:paraId="1C3AB9B9" w14:textId="77777777" w:rsidR="001D1E46" w:rsidRDefault="00B918A6">
      <w:pPr>
        <w:pStyle w:val="TOC3"/>
        <w:rPr>
          <w:rFonts w:eastAsiaTheme="minorEastAsia"/>
          <w:i w:val="0"/>
          <w:iCs w:val="0"/>
          <w:noProof/>
          <w:sz w:val="22"/>
          <w:szCs w:val="22"/>
          <w:lang w:val="en-ZA" w:eastAsia="en-ZA"/>
        </w:rPr>
      </w:pPr>
      <w:hyperlink w:anchor="_Toc510706611" w:history="1">
        <w:r w:rsidR="001D1E46" w:rsidRPr="00AC1F66">
          <w:rPr>
            <w:rStyle w:val="Hyperlink"/>
            <w:noProof/>
          </w:rPr>
          <w:t>3.3.8.</w:t>
        </w:r>
        <w:r w:rsidR="001D1E46">
          <w:rPr>
            <w:rFonts w:eastAsiaTheme="minorEastAsia"/>
            <w:i w:val="0"/>
            <w:iCs w:val="0"/>
            <w:noProof/>
            <w:sz w:val="22"/>
            <w:szCs w:val="22"/>
            <w:lang w:val="en-ZA" w:eastAsia="en-ZA"/>
          </w:rPr>
          <w:tab/>
        </w:r>
        <w:r w:rsidR="001D1E46" w:rsidRPr="00AC1F66">
          <w:rPr>
            <w:rStyle w:val="Hyperlink"/>
            <w:noProof/>
          </w:rPr>
          <w:t>Management Structure</w:t>
        </w:r>
        <w:r w:rsidR="001D1E46">
          <w:rPr>
            <w:noProof/>
            <w:webHidden/>
          </w:rPr>
          <w:tab/>
        </w:r>
        <w:r w:rsidR="001D1E46">
          <w:rPr>
            <w:noProof/>
            <w:webHidden/>
          </w:rPr>
          <w:fldChar w:fldCharType="begin"/>
        </w:r>
        <w:r w:rsidR="001D1E46">
          <w:rPr>
            <w:noProof/>
            <w:webHidden/>
          </w:rPr>
          <w:instrText xml:space="preserve"> PAGEREF _Toc510706611 \h </w:instrText>
        </w:r>
        <w:r w:rsidR="001D1E46">
          <w:rPr>
            <w:noProof/>
            <w:webHidden/>
          </w:rPr>
        </w:r>
        <w:r w:rsidR="001D1E46">
          <w:rPr>
            <w:noProof/>
            <w:webHidden/>
          </w:rPr>
          <w:fldChar w:fldCharType="separate"/>
        </w:r>
        <w:r w:rsidR="0067023A">
          <w:rPr>
            <w:noProof/>
            <w:webHidden/>
          </w:rPr>
          <w:t>49</w:t>
        </w:r>
        <w:r w:rsidR="001D1E46">
          <w:rPr>
            <w:noProof/>
            <w:webHidden/>
          </w:rPr>
          <w:fldChar w:fldCharType="end"/>
        </w:r>
      </w:hyperlink>
    </w:p>
    <w:p w14:paraId="13F39C97" w14:textId="77777777" w:rsidR="001D1E46" w:rsidRDefault="00B918A6">
      <w:pPr>
        <w:pStyle w:val="TOC3"/>
        <w:rPr>
          <w:rFonts w:eastAsiaTheme="minorEastAsia"/>
          <w:i w:val="0"/>
          <w:iCs w:val="0"/>
          <w:noProof/>
          <w:sz w:val="22"/>
          <w:szCs w:val="22"/>
          <w:lang w:val="en-ZA" w:eastAsia="en-ZA"/>
        </w:rPr>
      </w:pPr>
      <w:hyperlink w:anchor="_Toc510706612" w:history="1">
        <w:r w:rsidR="001D1E46" w:rsidRPr="00AC1F66">
          <w:rPr>
            <w:rStyle w:val="Hyperlink"/>
            <w:noProof/>
          </w:rPr>
          <w:t>3.3.9.</w:t>
        </w:r>
        <w:r w:rsidR="001D1E46">
          <w:rPr>
            <w:rFonts w:eastAsiaTheme="minorEastAsia"/>
            <w:i w:val="0"/>
            <w:iCs w:val="0"/>
            <w:noProof/>
            <w:sz w:val="22"/>
            <w:szCs w:val="22"/>
            <w:lang w:val="en-ZA" w:eastAsia="en-ZA"/>
          </w:rPr>
          <w:tab/>
        </w:r>
        <w:r w:rsidR="001D1E46" w:rsidRPr="00AC1F66">
          <w:rPr>
            <w:rStyle w:val="Hyperlink"/>
            <w:noProof/>
          </w:rPr>
          <w:t>Disaster Management SWOT Analysis</w:t>
        </w:r>
        <w:r w:rsidR="001D1E46">
          <w:rPr>
            <w:noProof/>
            <w:webHidden/>
          </w:rPr>
          <w:tab/>
        </w:r>
        <w:r w:rsidR="001D1E46">
          <w:rPr>
            <w:noProof/>
            <w:webHidden/>
          </w:rPr>
          <w:fldChar w:fldCharType="begin"/>
        </w:r>
        <w:r w:rsidR="001D1E46">
          <w:rPr>
            <w:noProof/>
            <w:webHidden/>
          </w:rPr>
          <w:instrText xml:space="preserve"> PAGEREF _Toc510706612 \h </w:instrText>
        </w:r>
        <w:r w:rsidR="001D1E46">
          <w:rPr>
            <w:noProof/>
            <w:webHidden/>
          </w:rPr>
        </w:r>
        <w:r w:rsidR="001D1E46">
          <w:rPr>
            <w:noProof/>
            <w:webHidden/>
          </w:rPr>
          <w:fldChar w:fldCharType="separate"/>
        </w:r>
        <w:r w:rsidR="0067023A">
          <w:rPr>
            <w:noProof/>
            <w:webHidden/>
          </w:rPr>
          <w:t>50</w:t>
        </w:r>
        <w:r w:rsidR="001D1E46">
          <w:rPr>
            <w:noProof/>
            <w:webHidden/>
          </w:rPr>
          <w:fldChar w:fldCharType="end"/>
        </w:r>
      </w:hyperlink>
    </w:p>
    <w:p w14:paraId="03CB110B"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613" w:history="1">
        <w:r w:rsidR="001D1E46" w:rsidRPr="00AC1F66">
          <w:rPr>
            <w:rStyle w:val="Hyperlink"/>
            <w:noProof/>
          </w:rPr>
          <w:t>3.4.</w:t>
        </w:r>
        <w:r w:rsidR="001D1E46">
          <w:rPr>
            <w:rFonts w:eastAsiaTheme="minorEastAsia"/>
            <w:smallCaps w:val="0"/>
            <w:noProof/>
            <w:sz w:val="22"/>
            <w:szCs w:val="22"/>
            <w:lang w:val="en-ZA" w:eastAsia="en-ZA"/>
          </w:rPr>
          <w:tab/>
        </w:r>
        <w:r w:rsidR="001D1E46" w:rsidRPr="00AC1F66">
          <w:rPr>
            <w:rStyle w:val="Hyperlink"/>
            <w:noProof/>
          </w:rPr>
          <w:t>DEMOGRAPHIC CHARACTERISTICS</w:t>
        </w:r>
        <w:r w:rsidR="001D1E46">
          <w:rPr>
            <w:noProof/>
            <w:webHidden/>
          </w:rPr>
          <w:tab/>
        </w:r>
        <w:r w:rsidR="001D1E46">
          <w:rPr>
            <w:noProof/>
            <w:webHidden/>
          </w:rPr>
          <w:fldChar w:fldCharType="begin"/>
        </w:r>
        <w:r w:rsidR="001D1E46">
          <w:rPr>
            <w:noProof/>
            <w:webHidden/>
          </w:rPr>
          <w:instrText xml:space="preserve"> PAGEREF _Toc510706613 \h </w:instrText>
        </w:r>
        <w:r w:rsidR="001D1E46">
          <w:rPr>
            <w:noProof/>
            <w:webHidden/>
          </w:rPr>
        </w:r>
        <w:r w:rsidR="001D1E46">
          <w:rPr>
            <w:noProof/>
            <w:webHidden/>
          </w:rPr>
          <w:fldChar w:fldCharType="separate"/>
        </w:r>
        <w:r w:rsidR="0067023A">
          <w:rPr>
            <w:noProof/>
            <w:webHidden/>
          </w:rPr>
          <w:t>51</w:t>
        </w:r>
        <w:r w:rsidR="001D1E46">
          <w:rPr>
            <w:noProof/>
            <w:webHidden/>
          </w:rPr>
          <w:fldChar w:fldCharType="end"/>
        </w:r>
      </w:hyperlink>
    </w:p>
    <w:p w14:paraId="205991B7" w14:textId="77777777" w:rsidR="001D1E46" w:rsidRDefault="00B918A6">
      <w:pPr>
        <w:pStyle w:val="TOC3"/>
        <w:rPr>
          <w:rFonts w:eastAsiaTheme="minorEastAsia"/>
          <w:i w:val="0"/>
          <w:iCs w:val="0"/>
          <w:noProof/>
          <w:sz w:val="22"/>
          <w:szCs w:val="22"/>
          <w:lang w:val="en-ZA" w:eastAsia="en-ZA"/>
        </w:rPr>
      </w:pPr>
      <w:hyperlink w:anchor="_Toc510706614" w:history="1">
        <w:r w:rsidR="001D1E46" w:rsidRPr="00AC1F66">
          <w:rPr>
            <w:rStyle w:val="Hyperlink"/>
            <w:noProof/>
          </w:rPr>
          <w:t>3.4.1.</w:t>
        </w:r>
        <w:r w:rsidR="001D1E46">
          <w:rPr>
            <w:rFonts w:eastAsiaTheme="minorEastAsia"/>
            <w:i w:val="0"/>
            <w:iCs w:val="0"/>
            <w:noProof/>
            <w:sz w:val="22"/>
            <w:szCs w:val="22"/>
            <w:lang w:val="en-ZA" w:eastAsia="en-ZA"/>
          </w:rPr>
          <w:tab/>
        </w:r>
        <w:r w:rsidR="001D1E46" w:rsidRPr="00AC1F66">
          <w:rPr>
            <w:rStyle w:val="Hyperlink"/>
            <w:noProof/>
          </w:rPr>
          <w:t>Demographic Indicators</w:t>
        </w:r>
        <w:r w:rsidR="001D1E46">
          <w:rPr>
            <w:noProof/>
            <w:webHidden/>
          </w:rPr>
          <w:tab/>
        </w:r>
        <w:r w:rsidR="001D1E46">
          <w:rPr>
            <w:noProof/>
            <w:webHidden/>
          </w:rPr>
          <w:fldChar w:fldCharType="begin"/>
        </w:r>
        <w:r w:rsidR="001D1E46">
          <w:rPr>
            <w:noProof/>
            <w:webHidden/>
          </w:rPr>
          <w:instrText xml:space="preserve"> PAGEREF _Toc510706614 \h </w:instrText>
        </w:r>
        <w:r w:rsidR="001D1E46">
          <w:rPr>
            <w:noProof/>
            <w:webHidden/>
          </w:rPr>
        </w:r>
        <w:r w:rsidR="001D1E46">
          <w:rPr>
            <w:noProof/>
            <w:webHidden/>
          </w:rPr>
          <w:fldChar w:fldCharType="separate"/>
        </w:r>
        <w:r w:rsidR="0067023A">
          <w:rPr>
            <w:noProof/>
            <w:webHidden/>
          </w:rPr>
          <w:t>51</w:t>
        </w:r>
        <w:r w:rsidR="001D1E46">
          <w:rPr>
            <w:noProof/>
            <w:webHidden/>
          </w:rPr>
          <w:fldChar w:fldCharType="end"/>
        </w:r>
      </w:hyperlink>
    </w:p>
    <w:p w14:paraId="2737CE3B"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615" w:history="1">
        <w:r w:rsidR="001D1E46" w:rsidRPr="00AC1F66">
          <w:rPr>
            <w:rStyle w:val="Hyperlink"/>
            <w:noProof/>
          </w:rPr>
          <w:t>3.5.</w:t>
        </w:r>
        <w:r w:rsidR="001D1E46">
          <w:rPr>
            <w:rFonts w:eastAsiaTheme="minorEastAsia"/>
            <w:smallCaps w:val="0"/>
            <w:noProof/>
            <w:sz w:val="22"/>
            <w:szCs w:val="22"/>
            <w:lang w:val="en-ZA" w:eastAsia="en-ZA"/>
          </w:rPr>
          <w:tab/>
        </w:r>
        <w:r w:rsidR="001D1E46" w:rsidRPr="00AC1F66">
          <w:rPr>
            <w:rStyle w:val="Hyperlink"/>
            <w:noProof/>
          </w:rPr>
          <w:t>MUNICIPAL TRANSFORMATION &amp; ORGANISATIONAL DEVELOPMENT ANALYSIS</w:t>
        </w:r>
        <w:r w:rsidR="001D1E46">
          <w:rPr>
            <w:noProof/>
            <w:webHidden/>
          </w:rPr>
          <w:tab/>
        </w:r>
        <w:r w:rsidR="001D1E46">
          <w:rPr>
            <w:noProof/>
            <w:webHidden/>
          </w:rPr>
          <w:fldChar w:fldCharType="begin"/>
        </w:r>
        <w:r w:rsidR="001D1E46">
          <w:rPr>
            <w:noProof/>
            <w:webHidden/>
          </w:rPr>
          <w:instrText xml:space="preserve"> PAGEREF _Toc510706615 \h </w:instrText>
        </w:r>
        <w:r w:rsidR="001D1E46">
          <w:rPr>
            <w:noProof/>
            <w:webHidden/>
          </w:rPr>
        </w:r>
        <w:r w:rsidR="001D1E46">
          <w:rPr>
            <w:noProof/>
            <w:webHidden/>
          </w:rPr>
          <w:fldChar w:fldCharType="separate"/>
        </w:r>
        <w:r w:rsidR="0067023A">
          <w:rPr>
            <w:noProof/>
            <w:webHidden/>
          </w:rPr>
          <w:t>57</w:t>
        </w:r>
        <w:r w:rsidR="001D1E46">
          <w:rPr>
            <w:noProof/>
            <w:webHidden/>
          </w:rPr>
          <w:fldChar w:fldCharType="end"/>
        </w:r>
      </w:hyperlink>
    </w:p>
    <w:p w14:paraId="22EF827B" w14:textId="77777777" w:rsidR="001D1E46" w:rsidRDefault="00B918A6">
      <w:pPr>
        <w:pStyle w:val="TOC3"/>
        <w:rPr>
          <w:rFonts w:eastAsiaTheme="minorEastAsia"/>
          <w:i w:val="0"/>
          <w:iCs w:val="0"/>
          <w:noProof/>
          <w:sz w:val="22"/>
          <w:szCs w:val="22"/>
          <w:lang w:val="en-ZA" w:eastAsia="en-ZA"/>
        </w:rPr>
      </w:pPr>
      <w:hyperlink w:anchor="_Toc510706616" w:history="1">
        <w:r w:rsidR="001D1E46" w:rsidRPr="00AC1F66">
          <w:rPr>
            <w:rStyle w:val="Hyperlink"/>
            <w:noProof/>
          </w:rPr>
          <w:t>3.5.1.</w:t>
        </w:r>
        <w:r w:rsidR="001D1E46">
          <w:rPr>
            <w:rFonts w:eastAsiaTheme="minorEastAsia"/>
            <w:i w:val="0"/>
            <w:iCs w:val="0"/>
            <w:noProof/>
            <w:sz w:val="22"/>
            <w:szCs w:val="22"/>
            <w:lang w:val="en-ZA" w:eastAsia="en-ZA"/>
          </w:rPr>
          <w:tab/>
        </w:r>
        <w:r w:rsidR="001D1E46" w:rsidRPr="00AC1F66">
          <w:rPr>
            <w:rStyle w:val="Hyperlink"/>
            <w:noProof/>
          </w:rPr>
          <w:t>MUNICIPAL TRANSFORMATION</w:t>
        </w:r>
        <w:r w:rsidR="001D1E46">
          <w:rPr>
            <w:noProof/>
            <w:webHidden/>
          </w:rPr>
          <w:tab/>
        </w:r>
        <w:r w:rsidR="001D1E46">
          <w:rPr>
            <w:noProof/>
            <w:webHidden/>
          </w:rPr>
          <w:fldChar w:fldCharType="begin"/>
        </w:r>
        <w:r w:rsidR="001D1E46">
          <w:rPr>
            <w:noProof/>
            <w:webHidden/>
          </w:rPr>
          <w:instrText xml:space="preserve"> PAGEREF _Toc510706616 \h </w:instrText>
        </w:r>
        <w:r w:rsidR="001D1E46">
          <w:rPr>
            <w:noProof/>
            <w:webHidden/>
          </w:rPr>
        </w:r>
        <w:r w:rsidR="001D1E46">
          <w:rPr>
            <w:noProof/>
            <w:webHidden/>
          </w:rPr>
          <w:fldChar w:fldCharType="separate"/>
        </w:r>
        <w:r w:rsidR="0067023A">
          <w:rPr>
            <w:noProof/>
            <w:webHidden/>
          </w:rPr>
          <w:t>57</w:t>
        </w:r>
        <w:r w:rsidR="001D1E46">
          <w:rPr>
            <w:noProof/>
            <w:webHidden/>
          </w:rPr>
          <w:fldChar w:fldCharType="end"/>
        </w:r>
      </w:hyperlink>
    </w:p>
    <w:p w14:paraId="596D6261" w14:textId="77777777" w:rsidR="001D1E46" w:rsidRDefault="00B918A6">
      <w:pPr>
        <w:pStyle w:val="TOC3"/>
        <w:rPr>
          <w:rFonts w:eastAsiaTheme="minorEastAsia"/>
          <w:i w:val="0"/>
          <w:iCs w:val="0"/>
          <w:noProof/>
          <w:sz w:val="22"/>
          <w:szCs w:val="22"/>
          <w:lang w:val="en-ZA" w:eastAsia="en-ZA"/>
        </w:rPr>
      </w:pPr>
      <w:hyperlink w:anchor="_Toc510706617" w:history="1">
        <w:r w:rsidR="001D1E46" w:rsidRPr="00AC1F66">
          <w:rPr>
            <w:rStyle w:val="Hyperlink"/>
            <w:noProof/>
          </w:rPr>
          <w:t>3.5.2.</w:t>
        </w:r>
        <w:r w:rsidR="001D1E46">
          <w:rPr>
            <w:rFonts w:eastAsiaTheme="minorEastAsia"/>
            <w:i w:val="0"/>
            <w:iCs w:val="0"/>
            <w:noProof/>
            <w:sz w:val="22"/>
            <w:szCs w:val="22"/>
            <w:lang w:val="en-ZA" w:eastAsia="en-ZA"/>
          </w:rPr>
          <w:tab/>
        </w:r>
        <w:r w:rsidR="001D1E46" w:rsidRPr="00AC1F66">
          <w:rPr>
            <w:rStyle w:val="Hyperlink"/>
            <w:noProof/>
          </w:rPr>
          <w:t>ORGANISATIONAL DEVELOPMENT</w:t>
        </w:r>
        <w:r w:rsidR="001D1E46">
          <w:rPr>
            <w:noProof/>
            <w:webHidden/>
          </w:rPr>
          <w:tab/>
        </w:r>
        <w:r w:rsidR="001D1E46">
          <w:rPr>
            <w:noProof/>
            <w:webHidden/>
          </w:rPr>
          <w:fldChar w:fldCharType="begin"/>
        </w:r>
        <w:r w:rsidR="001D1E46">
          <w:rPr>
            <w:noProof/>
            <w:webHidden/>
          </w:rPr>
          <w:instrText xml:space="preserve"> PAGEREF _Toc510706617 \h </w:instrText>
        </w:r>
        <w:r w:rsidR="001D1E46">
          <w:rPr>
            <w:noProof/>
            <w:webHidden/>
          </w:rPr>
        </w:r>
        <w:r w:rsidR="001D1E46">
          <w:rPr>
            <w:noProof/>
            <w:webHidden/>
          </w:rPr>
          <w:fldChar w:fldCharType="separate"/>
        </w:r>
        <w:r w:rsidR="0067023A">
          <w:rPr>
            <w:noProof/>
            <w:webHidden/>
          </w:rPr>
          <w:t>58</w:t>
        </w:r>
        <w:r w:rsidR="001D1E46">
          <w:rPr>
            <w:noProof/>
            <w:webHidden/>
          </w:rPr>
          <w:fldChar w:fldCharType="end"/>
        </w:r>
      </w:hyperlink>
    </w:p>
    <w:p w14:paraId="5463F7D5"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618" w:history="1">
        <w:r w:rsidR="001D1E46" w:rsidRPr="00AC1F66">
          <w:rPr>
            <w:rStyle w:val="Hyperlink"/>
            <w:noProof/>
          </w:rPr>
          <w:t>3.6.</w:t>
        </w:r>
        <w:r w:rsidR="001D1E46">
          <w:rPr>
            <w:rFonts w:eastAsiaTheme="minorEastAsia"/>
            <w:smallCaps w:val="0"/>
            <w:noProof/>
            <w:sz w:val="22"/>
            <w:szCs w:val="22"/>
            <w:lang w:val="en-ZA" w:eastAsia="en-ZA"/>
          </w:rPr>
          <w:tab/>
        </w:r>
        <w:r w:rsidR="001D1E46" w:rsidRPr="00AC1F66">
          <w:rPr>
            <w:rStyle w:val="Hyperlink"/>
            <w:noProof/>
          </w:rPr>
          <w:t>SERVICE DELIVERY &amp; INFRASTRUCTURE ANALYSIS</w:t>
        </w:r>
        <w:r w:rsidR="001D1E46">
          <w:rPr>
            <w:noProof/>
            <w:webHidden/>
          </w:rPr>
          <w:tab/>
        </w:r>
        <w:r w:rsidR="001D1E46">
          <w:rPr>
            <w:noProof/>
            <w:webHidden/>
          </w:rPr>
          <w:fldChar w:fldCharType="begin"/>
        </w:r>
        <w:r w:rsidR="001D1E46">
          <w:rPr>
            <w:noProof/>
            <w:webHidden/>
          </w:rPr>
          <w:instrText xml:space="preserve"> PAGEREF _Toc510706618 \h </w:instrText>
        </w:r>
        <w:r w:rsidR="001D1E46">
          <w:rPr>
            <w:noProof/>
            <w:webHidden/>
          </w:rPr>
        </w:r>
        <w:r w:rsidR="001D1E46">
          <w:rPr>
            <w:noProof/>
            <w:webHidden/>
          </w:rPr>
          <w:fldChar w:fldCharType="separate"/>
        </w:r>
        <w:r w:rsidR="0067023A">
          <w:rPr>
            <w:noProof/>
            <w:webHidden/>
          </w:rPr>
          <w:t>68</w:t>
        </w:r>
        <w:r w:rsidR="001D1E46">
          <w:rPr>
            <w:noProof/>
            <w:webHidden/>
          </w:rPr>
          <w:fldChar w:fldCharType="end"/>
        </w:r>
      </w:hyperlink>
    </w:p>
    <w:p w14:paraId="1A2782FE" w14:textId="77777777" w:rsidR="001D1E46" w:rsidRDefault="00B918A6">
      <w:pPr>
        <w:pStyle w:val="TOC3"/>
        <w:rPr>
          <w:rFonts w:eastAsiaTheme="minorEastAsia"/>
          <w:i w:val="0"/>
          <w:iCs w:val="0"/>
          <w:noProof/>
          <w:sz w:val="22"/>
          <w:szCs w:val="22"/>
          <w:lang w:val="en-ZA" w:eastAsia="en-ZA"/>
        </w:rPr>
      </w:pPr>
      <w:hyperlink w:anchor="_Toc510706619" w:history="1">
        <w:r w:rsidR="001D1E46" w:rsidRPr="00AC1F66">
          <w:rPr>
            <w:rStyle w:val="Hyperlink"/>
            <w:noProof/>
          </w:rPr>
          <w:t>3.6.1.</w:t>
        </w:r>
        <w:r w:rsidR="001D1E46">
          <w:rPr>
            <w:rFonts w:eastAsiaTheme="minorEastAsia"/>
            <w:i w:val="0"/>
            <w:iCs w:val="0"/>
            <w:noProof/>
            <w:sz w:val="22"/>
            <w:szCs w:val="22"/>
            <w:lang w:val="en-ZA" w:eastAsia="en-ZA"/>
          </w:rPr>
          <w:tab/>
        </w:r>
        <w:r w:rsidR="001D1E46" w:rsidRPr="00AC1F66">
          <w:rPr>
            <w:rStyle w:val="Hyperlink"/>
            <w:noProof/>
          </w:rPr>
          <w:t>Water &amp; Sanitation</w:t>
        </w:r>
        <w:r w:rsidR="001D1E46">
          <w:rPr>
            <w:noProof/>
            <w:webHidden/>
          </w:rPr>
          <w:tab/>
        </w:r>
        <w:r w:rsidR="001D1E46">
          <w:rPr>
            <w:noProof/>
            <w:webHidden/>
          </w:rPr>
          <w:fldChar w:fldCharType="begin"/>
        </w:r>
        <w:r w:rsidR="001D1E46">
          <w:rPr>
            <w:noProof/>
            <w:webHidden/>
          </w:rPr>
          <w:instrText xml:space="preserve"> PAGEREF _Toc510706619 \h </w:instrText>
        </w:r>
        <w:r w:rsidR="001D1E46">
          <w:rPr>
            <w:noProof/>
            <w:webHidden/>
          </w:rPr>
        </w:r>
        <w:r w:rsidR="001D1E46">
          <w:rPr>
            <w:noProof/>
            <w:webHidden/>
          </w:rPr>
          <w:fldChar w:fldCharType="separate"/>
        </w:r>
        <w:r w:rsidR="0067023A">
          <w:rPr>
            <w:noProof/>
            <w:webHidden/>
          </w:rPr>
          <w:t>68</w:t>
        </w:r>
        <w:r w:rsidR="001D1E46">
          <w:rPr>
            <w:noProof/>
            <w:webHidden/>
          </w:rPr>
          <w:fldChar w:fldCharType="end"/>
        </w:r>
      </w:hyperlink>
    </w:p>
    <w:p w14:paraId="78D9113A" w14:textId="77777777" w:rsidR="001D1E46" w:rsidRDefault="00B918A6">
      <w:pPr>
        <w:pStyle w:val="TOC3"/>
        <w:rPr>
          <w:rFonts w:eastAsiaTheme="minorEastAsia"/>
          <w:i w:val="0"/>
          <w:iCs w:val="0"/>
          <w:noProof/>
          <w:sz w:val="22"/>
          <w:szCs w:val="22"/>
          <w:lang w:val="en-ZA" w:eastAsia="en-ZA"/>
        </w:rPr>
      </w:pPr>
      <w:hyperlink w:anchor="_Toc510706620" w:history="1">
        <w:r w:rsidR="001D1E46" w:rsidRPr="00AC1F66">
          <w:rPr>
            <w:rStyle w:val="Hyperlink"/>
            <w:noProof/>
          </w:rPr>
          <w:t>3.6.2.</w:t>
        </w:r>
        <w:r w:rsidR="001D1E46">
          <w:rPr>
            <w:rFonts w:eastAsiaTheme="minorEastAsia"/>
            <w:i w:val="0"/>
            <w:iCs w:val="0"/>
            <w:noProof/>
            <w:sz w:val="22"/>
            <w:szCs w:val="22"/>
            <w:lang w:val="en-ZA" w:eastAsia="en-ZA"/>
          </w:rPr>
          <w:tab/>
        </w:r>
        <w:r w:rsidR="001D1E46" w:rsidRPr="00AC1F66">
          <w:rPr>
            <w:rStyle w:val="Hyperlink"/>
            <w:noProof/>
          </w:rPr>
          <w:t>SOLID WASTE MANAGEMENT</w:t>
        </w:r>
        <w:r w:rsidR="001D1E46">
          <w:rPr>
            <w:noProof/>
            <w:webHidden/>
          </w:rPr>
          <w:tab/>
        </w:r>
        <w:r w:rsidR="001D1E46">
          <w:rPr>
            <w:noProof/>
            <w:webHidden/>
          </w:rPr>
          <w:fldChar w:fldCharType="begin"/>
        </w:r>
        <w:r w:rsidR="001D1E46">
          <w:rPr>
            <w:noProof/>
            <w:webHidden/>
          </w:rPr>
          <w:instrText xml:space="preserve"> PAGEREF _Toc510706620 \h </w:instrText>
        </w:r>
        <w:r w:rsidR="001D1E46">
          <w:rPr>
            <w:noProof/>
            <w:webHidden/>
          </w:rPr>
        </w:r>
        <w:r w:rsidR="001D1E46">
          <w:rPr>
            <w:noProof/>
            <w:webHidden/>
          </w:rPr>
          <w:fldChar w:fldCharType="separate"/>
        </w:r>
        <w:r w:rsidR="0067023A">
          <w:rPr>
            <w:noProof/>
            <w:webHidden/>
          </w:rPr>
          <w:t>73</w:t>
        </w:r>
        <w:r w:rsidR="001D1E46">
          <w:rPr>
            <w:noProof/>
            <w:webHidden/>
          </w:rPr>
          <w:fldChar w:fldCharType="end"/>
        </w:r>
      </w:hyperlink>
    </w:p>
    <w:p w14:paraId="3A76DECC" w14:textId="77777777" w:rsidR="001D1E46" w:rsidRDefault="00B918A6">
      <w:pPr>
        <w:pStyle w:val="TOC3"/>
        <w:rPr>
          <w:rFonts w:eastAsiaTheme="minorEastAsia"/>
          <w:i w:val="0"/>
          <w:iCs w:val="0"/>
          <w:noProof/>
          <w:sz w:val="22"/>
          <w:szCs w:val="22"/>
          <w:lang w:val="en-ZA" w:eastAsia="en-ZA"/>
        </w:rPr>
      </w:pPr>
      <w:hyperlink w:anchor="_Toc510706621" w:history="1">
        <w:r w:rsidR="001D1E46" w:rsidRPr="00AC1F66">
          <w:rPr>
            <w:rStyle w:val="Hyperlink"/>
            <w:noProof/>
          </w:rPr>
          <w:t>3.6.3.</w:t>
        </w:r>
        <w:r w:rsidR="001D1E46">
          <w:rPr>
            <w:rFonts w:eastAsiaTheme="minorEastAsia"/>
            <w:i w:val="0"/>
            <w:iCs w:val="0"/>
            <w:noProof/>
            <w:sz w:val="22"/>
            <w:szCs w:val="22"/>
            <w:lang w:val="en-ZA" w:eastAsia="en-ZA"/>
          </w:rPr>
          <w:tab/>
        </w:r>
        <w:r w:rsidR="001D1E46" w:rsidRPr="00AC1F66">
          <w:rPr>
            <w:rStyle w:val="Hyperlink"/>
            <w:noProof/>
          </w:rPr>
          <w:t>TRANSPORTATION INFRASTRUCTURE</w:t>
        </w:r>
        <w:r w:rsidR="001D1E46">
          <w:rPr>
            <w:noProof/>
            <w:webHidden/>
          </w:rPr>
          <w:tab/>
        </w:r>
        <w:r w:rsidR="001D1E46">
          <w:rPr>
            <w:noProof/>
            <w:webHidden/>
          </w:rPr>
          <w:fldChar w:fldCharType="begin"/>
        </w:r>
        <w:r w:rsidR="001D1E46">
          <w:rPr>
            <w:noProof/>
            <w:webHidden/>
          </w:rPr>
          <w:instrText xml:space="preserve"> PAGEREF _Toc510706621 \h </w:instrText>
        </w:r>
        <w:r w:rsidR="001D1E46">
          <w:rPr>
            <w:noProof/>
            <w:webHidden/>
          </w:rPr>
        </w:r>
        <w:r w:rsidR="001D1E46">
          <w:rPr>
            <w:noProof/>
            <w:webHidden/>
          </w:rPr>
          <w:fldChar w:fldCharType="separate"/>
        </w:r>
        <w:r w:rsidR="0067023A">
          <w:rPr>
            <w:noProof/>
            <w:webHidden/>
          </w:rPr>
          <w:t>76</w:t>
        </w:r>
        <w:r w:rsidR="001D1E46">
          <w:rPr>
            <w:noProof/>
            <w:webHidden/>
          </w:rPr>
          <w:fldChar w:fldCharType="end"/>
        </w:r>
      </w:hyperlink>
    </w:p>
    <w:p w14:paraId="7D4E1458" w14:textId="77777777" w:rsidR="001D1E46" w:rsidRDefault="00B918A6">
      <w:pPr>
        <w:pStyle w:val="TOC3"/>
        <w:rPr>
          <w:rFonts w:eastAsiaTheme="minorEastAsia"/>
          <w:i w:val="0"/>
          <w:iCs w:val="0"/>
          <w:noProof/>
          <w:sz w:val="22"/>
          <w:szCs w:val="22"/>
          <w:lang w:val="en-ZA" w:eastAsia="en-ZA"/>
        </w:rPr>
      </w:pPr>
      <w:hyperlink w:anchor="_Toc510706622" w:history="1">
        <w:r w:rsidR="001D1E46" w:rsidRPr="00AC1F66">
          <w:rPr>
            <w:rStyle w:val="Hyperlink"/>
            <w:noProof/>
          </w:rPr>
          <w:t>3.6.4.</w:t>
        </w:r>
        <w:r w:rsidR="001D1E46">
          <w:rPr>
            <w:rFonts w:eastAsiaTheme="minorEastAsia"/>
            <w:i w:val="0"/>
            <w:iCs w:val="0"/>
            <w:noProof/>
            <w:sz w:val="22"/>
            <w:szCs w:val="22"/>
            <w:lang w:val="en-ZA" w:eastAsia="en-ZA"/>
          </w:rPr>
          <w:tab/>
        </w:r>
        <w:r w:rsidR="001D1E46" w:rsidRPr="00AC1F66">
          <w:rPr>
            <w:rStyle w:val="Hyperlink"/>
            <w:noProof/>
          </w:rPr>
          <w:t>ENERGY</w:t>
        </w:r>
        <w:r w:rsidR="001D1E46">
          <w:rPr>
            <w:noProof/>
            <w:webHidden/>
          </w:rPr>
          <w:tab/>
        </w:r>
        <w:r w:rsidR="001D1E46">
          <w:rPr>
            <w:noProof/>
            <w:webHidden/>
          </w:rPr>
          <w:fldChar w:fldCharType="begin"/>
        </w:r>
        <w:r w:rsidR="001D1E46">
          <w:rPr>
            <w:noProof/>
            <w:webHidden/>
          </w:rPr>
          <w:instrText xml:space="preserve"> PAGEREF _Toc510706622 \h </w:instrText>
        </w:r>
        <w:r w:rsidR="001D1E46">
          <w:rPr>
            <w:noProof/>
            <w:webHidden/>
          </w:rPr>
        </w:r>
        <w:r w:rsidR="001D1E46">
          <w:rPr>
            <w:noProof/>
            <w:webHidden/>
          </w:rPr>
          <w:fldChar w:fldCharType="separate"/>
        </w:r>
        <w:r w:rsidR="0067023A">
          <w:rPr>
            <w:noProof/>
            <w:webHidden/>
          </w:rPr>
          <w:t>81</w:t>
        </w:r>
        <w:r w:rsidR="001D1E46">
          <w:rPr>
            <w:noProof/>
            <w:webHidden/>
          </w:rPr>
          <w:fldChar w:fldCharType="end"/>
        </w:r>
      </w:hyperlink>
    </w:p>
    <w:p w14:paraId="376F64D0" w14:textId="77777777" w:rsidR="001D1E46" w:rsidRDefault="00B918A6">
      <w:pPr>
        <w:pStyle w:val="TOC3"/>
        <w:rPr>
          <w:rFonts w:eastAsiaTheme="minorEastAsia"/>
          <w:i w:val="0"/>
          <w:iCs w:val="0"/>
          <w:noProof/>
          <w:sz w:val="22"/>
          <w:szCs w:val="22"/>
          <w:lang w:val="en-ZA" w:eastAsia="en-ZA"/>
        </w:rPr>
      </w:pPr>
      <w:hyperlink w:anchor="_Toc510706623" w:history="1">
        <w:r w:rsidR="001D1E46" w:rsidRPr="00AC1F66">
          <w:rPr>
            <w:rStyle w:val="Hyperlink"/>
            <w:noProof/>
          </w:rPr>
          <w:t>3.6.5.</w:t>
        </w:r>
        <w:r w:rsidR="001D1E46">
          <w:rPr>
            <w:rFonts w:eastAsiaTheme="minorEastAsia"/>
            <w:i w:val="0"/>
            <w:iCs w:val="0"/>
            <w:noProof/>
            <w:sz w:val="22"/>
            <w:szCs w:val="22"/>
            <w:lang w:val="en-ZA" w:eastAsia="en-ZA"/>
          </w:rPr>
          <w:tab/>
        </w:r>
        <w:r w:rsidR="001D1E46" w:rsidRPr="00AC1F66">
          <w:rPr>
            <w:rStyle w:val="Hyperlink"/>
            <w:noProof/>
          </w:rPr>
          <w:t>ACCESS TO COMMUNITY FACILITIES</w:t>
        </w:r>
        <w:r w:rsidR="001D1E46">
          <w:rPr>
            <w:noProof/>
            <w:webHidden/>
          </w:rPr>
          <w:tab/>
        </w:r>
        <w:r w:rsidR="001D1E46">
          <w:rPr>
            <w:noProof/>
            <w:webHidden/>
          </w:rPr>
          <w:fldChar w:fldCharType="begin"/>
        </w:r>
        <w:r w:rsidR="001D1E46">
          <w:rPr>
            <w:noProof/>
            <w:webHidden/>
          </w:rPr>
          <w:instrText xml:space="preserve"> PAGEREF _Toc510706623 \h </w:instrText>
        </w:r>
        <w:r w:rsidR="001D1E46">
          <w:rPr>
            <w:noProof/>
            <w:webHidden/>
          </w:rPr>
        </w:r>
        <w:r w:rsidR="001D1E46">
          <w:rPr>
            <w:noProof/>
            <w:webHidden/>
          </w:rPr>
          <w:fldChar w:fldCharType="separate"/>
        </w:r>
        <w:r w:rsidR="0067023A">
          <w:rPr>
            <w:noProof/>
            <w:webHidden/>
          </w:rPr>
          <w:t>84</w:t>
        </w:r>
        <w:r w:rsidR="001D1E46">
          <w:rPr>
            <w:noProof/>
            <w:webHidden/>
          </w:rPr>
          <w:fldChar w:fldCharType="end"/>
        </w:r>
      </w:hyperlink>
    </w:p>
    <w:p w14:paraId="477B4851" w14:textId="77777777" w:rsidR="001D1E46" w:rsidRDefault="00B918A6">
      <w:pPr>
        <w:pStyle w:val="TOC3"/>
        <w:rPr>
          <w:rFonts w:eastAsiaTheme="minorEastAsia"/>
          <w:i w:val="0"/>
          <w:iCs w:val="0"/>
          <w:noProof/>
          <w:sz w:val="22"/>
          <w:szCs w:val="22"/>
          <w:lang w:val="en-ZA" w:eastAsia="en-ZA"/>
        </w:rPr>
      </w:pPr>
      <w:hyperlink w:anchor="_Toc510706624" w:history="1">
        <w:r w:rsidR="001D1E46" w:rsidRPr="00AC1F66">
          <w:rPr>
            <w:rStyle w:val="Hyperlink"/>
            <w:noProof/>
            <w:highlight w:val="yellow"/>
          </w:rPr>
          <w:t>3.6.6.</w:t>
        </w:r>
        <w:r w:rsidR="001D1E46">
          <w:rPr>
            <w:rFonts w:eastAsiaTheme="minorEastAsia"/>
            <w:i w:val="0"/>
            <w:iCs w:val="0"/>
            <w:noProof/>
            <w:sz w:val="22"/>
            <w:szCs w:val="22"/>
            <w:lang w:val="en-ZA" w:eastAsia="en-ZA"/>
          </w:rPr>
          <w:tab/>
        </w:r>
        <w:r w:rsidR="001D1E46" w:rsidRPr="00AC1F66">
          <w:rPr>
            <w:rStyle w:val="Hyperlink"/>
            <w:noProof/>
            <w:highlight w:val="yellow"/>
          </w:rPr>
          <w:t>HUMAN SETTLEMENTS</w:t>
        </w:r>
        <w:r w:rsidR="001D1E46">
          <w:rPr>
            <w:noProof/>
            <w:webHidden/>
          </w:rPr>
          <w:tab/>
        </w:r>
        <w:r w:rsidR="001D1E46">
          <w:rPr>
            <w:noProof/>
            <w:webHidden/>
          </w:rPr>
          <w:fldChar w:fldCharType="begin"/>
        </w:r>
        <w:r w:rsidR="001D1E46">
          <w:rPr>
            <w:noProof/>
            <w:webHidden/>
          </w:rPr>
          <w:instrText xml:space="preserve"> PAGEREF _Toc510706624 \h </w:instrText>
        </w:r>
        <w:r w:rsidR="001D1E46">
          <w:rPr>
            <w:noProof/>
            <w:webHidden/>
          </w:rPr>
        </w:r>
        <w:r w:rsidR="001D1E46">
          <w:rPr>
            <w:noProof/>
            <w:webHidden/>
          </w:rPr>
          <w:fldChar w:fldCharType="separate"/>
        </w:r>
        <w:r w:rsidR="0067023A">
          <w:rPr>
            <w:noProof/>
            <w:webHidden/>
          </w:rPr>
          <w:t>90</w:t>
        </w:r>
        <w:r w:rsidR="001D1E46">
          <w:rPr>
            <w:noProof/>
            <w:webHidden/>
          </w:rPr>
          <w:fldChar w:fldCharType="end"/>
        </w:r>
      </w:hyperlink>
    </w:p>
    <w:p w14:paraId="5F923393" w14:textId="77777777" w:rsidR="001D1E46" w:rsidRDefault="00B918A6">
      <w:pPr>
        <w:pStyle w:val="TOC3"/>
        <w:rPr>
          <w:rFonts w:eastAsiaTheme="minorEastAsia"/>
          <w:i w:val="0"/>
          <w:iCs w:val="0"/>
          <w:noProof/>
          <w:sz w:val="22"/>
          <w:szCs w:val="22"/>
          <w:lang w:val="en-ZA" w:eastAsia="en-ZA"/>
        </w:rPr>
      </w:pPr>
      <w:hyperlink w:anchor="_Toc510706625" w:history="1">
        <w:r w:rsidR="001D1E46" w:rsidRPr="00AC1F66">
          <w:rPr>
            <w:rStyle w:val="Hyperlink"/>
            <w:noProof/>
          </w:rPr>
          <w:t>3.6.7.</w:t>
        </w:r>
        <w:r w:rsidR="001D1E46">
          <w:rPr>
            <w:rFonts w:eastAsiaTheme="minorEastAsia"/>
            <w:i w:val="0"/>
            <w:iCs w:val="0"/>
            <w:noProof/>
            <w:sz w:val="22"/>
            <w:szCs w:val="22"/>
            <w:lang w:val="en-ZA" w:eastAsia="en-ZA"/>
          </w:rPr>
          <w:tab/>
        </w:r>
        <w:r w:rsidR="001D1E46" w:rsidRPr="00AC1F66">
          <w:rPr>
            <w:rStyle w:val="Hyperlink"/>
            <w:noProof/>
          </w:rPr>
          <w:t>TELECOMMUNICATIONS</w:t>
        </w:r>
        <w:r w:rsidR="001D1E46">
          <w:rPr>
            <w:noProof/>
            <w:webHidden/>
          </w:rPr>
          <w:tab/>
        </w:r>
        <w:r w:rsidR="001D1E46">
          <w:rPr>
            <w:noProof/>
            <w:webHidden/>
          </w:rPr>
          <w:fldChar w:fldCharType="begin"/>
        </w:r>
        <w:r w:rsidR="001D1E46">
          <w:rPr>
            <w:noProof/>
            <w:webHidden/>
          </w:rPr>
          <w:instrText xml:space="preserve"> PAGEREF _Toc510706625 \h </w:instrText>
        </w:r>
        <w:r w:rsidR="001D1E46">
          <w:rPr>
            <w:noProof/>
            <w:webHidden/>
          </w:rPr>
        </w:r>
        <w:r w:rsidR="001D1E46">
          <w:rPr>
            <w:noProof/>
            <w:webHidden/>
          </w:rPr>
          <w:fldChar w:fldCharType="separate"/>
        </w:r>
        <w:r w:rsidR="0067023A">
          <w:rPr>
            <w:noProof/>
            <w:webHidden/>
          </w:rPr>
          <w:t>96</w:t>
        </w:r>
        <w:r w:rsidR="001D1E46">
          <w:rPr>
            <w:noProof/>
            <w:webHidden/>
          </w:rPr>
          <w:fldChar w:fldCharType="end"/>
        </w:r>
      </w:hyperlink>
    </w:p>
    <w:p w14:paraId="06D17AAD" w14:textId="77777777" w:rsidR="001D1E46" w:rsidRDefault="00B918A6">
      <w:pPr>
        <w:pStyle w:val="TOC3"/>
        <w:rPr>
          <w:rFonts w:eastAsiaTheme="minorEastAsia"/>
          <w:i w:val="0"/>
          <w:iCs w:val="0"/>
          <w:noProof/>
          <w:sz w:val="22"/>
          <w:szCs w:val="22"/>
          <w:lang w:val="en-ZA" w:eastAsia="en-ZA"/>
        </w:rPr>
      </w:pPr>
      <w:hyperlink w:anchor="_Toc510706626" w:history="1">
        <w:r w:rsidR="001D1E46" w:rsidRPr="00AC1F66">
          <w:rPr>
            <w:rStyle w:val="Hyperlink"/>
            <w:noProof/>
          </w:rPr>
          <w:t>3.6.8.</w:t>
        </w:r>
        <w:r w:rsidR="001D1E46">
          <w:rPr>
            <w:rFonts w:eastAsiaTheme="minorEastAsia"/>
            <w:i w:val="0"/>
            <w:iCs w:val="0"/>
            <w:noProof/>
            <w:sz w:val="22"/>
            <w:szCs w:val="22"/>
            <w:lang w:val="en-ZA" w:eastAsia="en-ZA"/>
          </w:rPr>
          <w:tab/>
        </w:r>
        <w:r w:rsidR="001D1E46" w:rsidRPr="00AC1F66">
          <w:rPr>
            <w:rStyle w:val="Hyperlink"/>
            <w:noProof/>
          </w:rPr>
          <w:t>SERVICE DELIVERY &amp; INFRASTRUCTURE: SWOT ANALYSIS</w:t>
        </w:r>
        <w:r w:rsidR="001D1E46">
          <w:rPr>
            <w:noProof/>
            <w:webHidden/>
          </w:rPr>
          <w:tab/>
        </w:r>
        <w:r w:rsidR="001D1E46">
          <w:rPr>
            <w:noProof/>
            <w:webHidden/>
          </w:rPr>
          <w:fldChar w:fldCharType="begin"/>
        </w:r>
        <w:r w:rsidR="001D1E46">
          <w:rPr>
            <w:noProof/>
            <w:webHidden/>
          </w:rPr>
          <w:instrText xml:space="preserve"> PAGEREF _Toc510706626 \h </w:instrText>
        </w:r>
        <w:r w:rsidR="001D1E46">
          <w:rPr>
            <w:noProof/>
            <w:webHidden/>
          </w:rPr>
        </w:r>
        <w:r w:rsidR="001D1E46">
          <w:rPr>
            <w:noProof/>
            <w:webHidden/>
          </w:rPr>
          <w:fldChar w:fldCharType="separate"/>
        </w:r>
        <w:r w:rsidR="0067023A">
          <w:rPr>
            <w:noProof/>
            <w:webHidden/>
          </w:rPr>
          <w:t>97</w:t>
        </w:r>
        <w:r w:rsidR="001D1E46">
          <w:rPr>
            <w:noProof/>
            <w:webHidden/>
          </w:rPr>
          <w:fldChar w:fldCharType="end"/>
        </w:r>
      </w:hyperlink>
    </w:p>
    <w:p w14:paraId="2D5C0462"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627" w:history="1">
        <w:r w:rsidR="001D1E46" w:rsidRPr="00AC1F66">
          <w:rPr>
            <w:rStyle w:val="Hyperlink"/>
            <w:noProof/>
          </w:rPr>
          <w:t>3.7.</w:t>
        </w:r>
        <w:r w:rsidR="001D1E46">
          <w:rPr>
            <w:rFonts w:eastAsiaTheme="minorEastAsia"/>
            <w:smallCaps w:val="0"/>
            <w:noProof/>
            <w:sz w:val="22"/>
            <w:szCs w:val="22"/>
            <w:lang w:val="en-ZA" w:eastAsia="en-ZA"/>
          </w:rPr>
          <w:tab/>
        </w:r>
        <w:r w:rsidR="001D1E46" w:rsidRPr="00AC1F66">
          <w:rPr>
            <w:rStyle w:val="Hyperlink"/>
            <w:noProof/>
          </w:rPr>
          <w:t>LOCAL ECONOMIC &amp; SOCIAL DEVELOPMENT ANALYSIS</w:t>
        </w:r>
        <w:r w:rsidR="001D1E46">
          <w:rPr>
            <w:noProof/>
            <w:webHidden/>
          </w:rPr>
          <w:tab/>
        </w:r>
        <w:r w:rsidR="001D1E46">
          <w:rPr>
            <w:noProof/>
            <w:webHidden/>
          </w:rPr>
          <w:fldChar w:fldCharType="begin"/>
        </w:r>
        <w:r w:rsidR="001D1E46">
          <w:rPr>
            <w:noProof/>
            <w:webHidden/>
          </w:rPr>
          <w:instrText xml:space="preserve"> PAGEREF _Toc510706627 \h </w:instrText>
        </w:r>
        <w:r w:rsidR="001D1E46">
          <w:rPr>
            <w:noProof/>
            <w:webHidden/>
          </w:rPr>
        </w:r>
        <w:r w:rsidR="001D1E46">
          <w:rPr>
            <w:noProof/>
            <w:webHidden/>
          </w:rPr>
          <w:fldChar w:fldCharType="separate"/>
        </w:r>
        <w:r w:rsidR="0067023A">
          <w:rPr>
            <w:noProof/>
            <w:webHidden/>
          </w:rPr>
          <w:t>98</w:t>
        </w:r>
        <w:r w:rsidR="001D1E46">
          <w:rPr>
            <w:noProof/>
            <w:webHidden/>
          </w:rPr>
          <w:fldChar w:fldCharType="end"/>
        </w:r>
      </w:hyperlink>
    </w:p>
    <w:p w14:paraId="3E20ECA8" w14:textId="77777777" w:rsidR="001D1E46" w:rsidRDefault="00B918A6">
      <w:pPr>
        <w:pStyle w:val="TOC3"/>
        <w:rPr>
          <w:rFonts w:eastAsiaTheme="minorEastAsia"/>
          <w:i w:val="0"/>
          <w:iCs w:val="0"/>
          <w:noProof/>
          <w:sz w:val="22"/>
          <w:szCs w:val="22"/>
          <w:lang w:val="en-ZA" w:eastAsia="en-ZA"/>
        </w:rPr>
      </w:pPr>
      <w:hyperlink w:anchor="_Toc510706628" w:history="1">
        <w:r w:rsidR="001D1E46" w:rsidRPr="00AC1F66">
          <w:rPr>
            <w:rStyle w:val="Hyperlink"/>
            <w:noProof/>
          </w:rPr>
          <w:t>3.7.1.</w:t>
        </w:r>
        <w:r w:rsidR="001D1E46">
          <w:rPr>
            <w:rFonts w:eastAsiaTheme="minorEastAsia"/>
            <w:i w:val="0"/>
            <w:iCs w:val="0"/>
            <w:noProof/>
            <w:sz w:val="22"/>
            <w:szCs w:val="22"/>
            <w:lang w:val="en-ZA" w:eastAsia="en-ZA"/>
          </w:rPr>
          <w:tab/>
        </w:r>
        <w:r w:rsidR="001D1E46" w:rsidRPr="00AC1F66">
          <w:rPr>
            <w:rStyle w:val="Hyperlink"/>
            <w:noProof/>
          </w:rPr>
          <w:t>LOCAL ECONOMIC DEVELOPMENT ANALYSIS</w:t>
        </w:r>
        <w:r w:rsidR="001D1E46">
          <w:rPr>
            <w:noProof/>
            <w:webHidden/>
          </w:rPr>
          <w:tab/>
        </w:r>
        <w:r w:rsidR="001D1E46">
          <w:rPr>
            <w:noProof/>
            <w:webHidden/>
          </w:rPr>
          <w:fldChar w:fldCharType="begin"/>
        </w:r>
        <w:r w:rsidR="001D1E46">
          <w:rPr>
            <w:noProof/>
            <w:webHidden/>
          </w:rPr>
          <w:instrText xml:space="preserve"> PAGEREF _Toc510706628 \h </w:instrText>
        </w:r>
        <w:r w:rsidR="001D1E46">
          <w:rPr>
            <w:noProof/>
            <w:webHidden/>
          </w:rPr>
        </w:r>
        <w:r w:rsidR="001D1E46">
          <w:rPr>
            <w:noProof/>
            <w:webHidden/>
          </w:rPr>
          <w:fldChar w:fldCharType="separate"/>
        </w:r>
        <w:r w:rsidR="0067023A">
          <w:rPr>
            <w:noProof/>
            <w:webHidden/>
          </w:rPr>
          <w:t>98</w:t>
        </w:r>
        <w:r w:rsidR="001D1E46">
          <w:rPr>
            <w:noProof/>
            <w:webHidden/>
          </w:rPr>
          <w:fldChar w:fldCharType="end"/>
        </w:r>
      </w:hyperlink>
    </w:p>
    <w:p w14:paraId="1023C6B2" w14:textId="77777777" w:rsidR="001D1E46" w:rsidRDefault="00B918A6">
      <w:pPr>
        <w:pStyle w:val="TOC3"/>
        <w:rPr>
          <w:rFonts w:eastAsiaTheme="minorEastAsia"/>
          <w:i w:val="0"/>
          <w:iCs w:val="0"/>
          <w:noProof/>
          <w:sz w:val="22"/>
          <w:szCs w:val="22"/>
          <w:lang w:val="en-ZA" w:eastAsia="en-ZA"/>
        </w:rPr>
      </w:pPr>
      <w:hyperlink w:anchor="_Toc510706629" w:history="1">
        <w:r w:rsidR="001D1E46" w:rsidRPr="00AC1F66">
          <w:rPr>
            <w:rStyle w:val="Hyperlink"/>
            <w:rFonts w:eastAsia="Times New Roman" w:cs="Times New Roman"/>
            <w:b/>
            <w:bCs/>
            <w:noProof/>
          </w:rPr>
          <w:t>Employment Status (15yrs – 65yrs) (2015)</w:t>
        </w:r>
        <w:r w:rsidR="001D1E46">
          <w:rPr>
            <w:noProof/>
            <w:webHidden/>
          </w:rPr>
          <w:tab/>
        </w:r>
        <w:r w:rsidR="001D1E46">
          <w:rPr>
            <w:noProof/>
            <w:webHidden/>
          </w:rPr>
          <w:fldChar w:fldCharType="begin"/>
        </w:r>
        <w:r w:rsidR="001D1E46">
          <w:rPr>
            <w:noProof/>
            <w:webHidden/>
          </w:rPr>
          <w:instrText xml:space="preserve"> PAGEREF _Toc510706629 \h </w:instrText>
        </w:r>
        <w:r w:rsidR="001D1E46">
          <w:rPr>
            <w:noProof/>
            <w:webHidden/>
          </w:rPr>
        </w:r>
        <w:r w:rsidR="001D1E46">
          <w:rPr>
            <w:noProof/>
            <w:webHidden/>
          </w:rPr>
          <w:fldChar w:fldCharType="separate"/>
        </w:r>
        <w:r w:rsidR="0067023A">
          <w:rPr>
            <w:noProof/>
            <w:webHidden/>
          </w:rPr>
          <w:t>98</w:t>
        </w:r>
        <w:r w:rsidR="001D1E46">
          <w:rPr>
            <w:noProof/>
            <w:webHidden/>
          </w:rPr>
          <w:fldChar w:fldCharType="end"/>
        </w:r>
      </w:hyperlink>
    </w:p>
    <w:p w14:paraId="478A5016"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630" w:history="1">
        <w:r w:rsidR="001D1E46" w:rsidRPr="00AC1F66">
          <w:rPr>
            <w:rStyle w:val="Hyperlink"/>
            <w:noProof/>
          </w:rPr>
          <w:t>3.8.</w:t>
        </w:r>
        <w:r w:rsidR="001D1E46">
          <w:rPr>
            <w:rFonts w:eastAsiaTheme="minorEastAsia"/>
            <w:smallCaps w:val="0"/>
            <w:noProof/>
            <w:sz w:val="22"/>
            <w:szCs w:val="22"/>
            <w:lang w:val="en-ZA" w:eastAsia="en-ZA"/>
          </w:rPr>
          <w:tab/>
        </w:r>
        <w:r w:rsidR="001D1E46" w:rsidRPr="00AC1F66">
          <w:rPr>
            <w:rStyle w:val="Hyperlink"/>
            <w:noProof/>
          </w:rPr>
          <w:t>SOCIAL DEVELOPMENT ANALYSIS</w:t>
        </w:r>
        <w:r w:rsidR="001D1E46">
          <w:rPr>
            <w:noProof/>
            <w:webHidden/>
          </w:rPr>
          <w:tab/>
        </w:r>
        <w:r w:rsidR="001D1E46">
          <w:rPr>
            <w:noProof/>
            <w:webHidden/>
          </w:rPr>
          <w:fldChar w:fldCharType="begin"/>
        </w:r>
        <w:r w:rsidR="001D1E46">
          <w:rPr>
            <w:noProof/>
            <w:webHidden/>
          </w:rPr>
          <w:instrText xml:space="preserve"> PAGEREF _Toc510706630 \h </w:instrText>
        </w:r>
        <w:r w:rsidR="001D1E46">
          <w:rPr>
            <w:noProof/>
            <w:webHidden/>
          </w:rPr>
        </w:r>
        <w:r w:rsidR="001D1E46">
          <w:rPr>
            <w:noProof/>
            <w:webHidden/>
          </w:rPr>
          <w:fldChar w:fldCharType="separate"/>
        </w:r>
        <w:r w:rsidR="0067023A">
          <w:rPr>
            <w:noProof/>
            <w:webHidden/>
          </w:rPr>
          <w:t>115</w:t>
        </w:r>
        <w:r w:rsidR="001D1E46">
          <w:rPr>
            <w:noProof/>
            <w:webHidden/>
          </w:rPr>
          <w:fldChar w:fldCharType="end"/>
        </w:r>
      </w:hyperlink>
    </w:p>
    <w:p w14:paraId="202F4964" w14:textId="77777777" w:rsidR="001D1E46" w:rsidRDefault="00B918A6">
      <w:pPr>
        <w:pStyle w:val="TOC3"/>
        <w:rPr>
          <w:rFonts w:eastAsiaTheme="minorEastAsia"/>
          <w:i w:val="0"/>
          <w:iCs w:val="0"/>
          <w:noProof/>
          <w:sz w:val="22"/>
          <w:szCs w:val="22"/>
          <w:lang w:val="en-ZA" w:eastAsia="en-ZA"/>
        </w:rPr>
      </w:pPr>
      <w:hyperlink w:anchor="_Toc510706631" w:history="1">
        <w:r w:rsidR="001D1E46" w:rsidRPr="00AC1F66">
          <w:rPr>
            <w:rStyle w:val="Hyperlink"/>
            <w:noProof/>
          </w:rPr>
          <w:t>3.8.1.</w:t>
        </w:r>
        <w:r w:rsidR="001D1E46">
          <w:rPr>
            <w:rFonts w:eastAsiaTheme="minorEastAsia"/>
            <w:i w:val="0"/>
            <w:iCs w:val="0"/>
            <w:noProof/>
            <w:sz w:val="22"/>
            <w:szCs w:val="22"/>
            <w:lang w:val="en-ZA" w:eastAsia="en-ZA"/>
          </w:rPr>
          <w:tab/>
        </w:r>
        <w:r w:rsidR="001D1E46" w:rsidRPr="00AC1F66">
          <w:rPr>
            <w:rStyle w:val="Hyperlink"/>
            <w:noProof/>
          </w:rPr>
          <w:t>Community Based Planning</w:t>
        </w:r>
        <w:r w:rsidR="001D1E46">
          <w:rPr>
            <w:noProof/>
            <w:webHidden/>
          </w:rPr>
          <w:tab/>
        </w:r>
        <w:r w:rsidR="001D1E46">
          <w:rPr>
            <w:noProof/>
            <w:webHidden/>
          </w:rPr>
          <w:fldChar w:fldCharType="begin"/>
        </w:r>
        <w:r w:rsidR="001D1E46">
          <w:rPr>
            <w:noProof/>
            <w:webHidden/>
          </w:rPr>
          <w:instrText xml:space="preserve"> PAGEREF _Toc510706631 \h </w:instrText>
        </w:r>
        <w:r w:rsidR="001D1E46">
          <w:rPr>
            <w:noProof/>
            <w:webHidden/>
          </w:rPr>
        </w:r>
        <w:r w:rsidR="001D1E46">
          <w:rPr>
            <w:noProof/>
            <w:webHidden/>
          </w:rPr>
          <w:fldChar w:fldCharType="separate"/>
        </w:r>
        <w:r w:rsidR="0067023A">
          <w:rPr>
            <w:noProof/>
            <w:webHidden/>
          </w:rPr>
          <w:t>115</w:t>
        </w:r>
        <w:r w:rsidR="001D1E46">
          <w:rPr>
            <w:noProof/>
            <w:webHidden/>
          </w:rPr>
          <w:fldChar w:fldCharType="end"/>
        </w:r>
      </w:hyperlink>
    </w:p>
    <w:p w14:paraId="511F3C4C" w14:textId="77777777" w:rsidR="001D1E46" w:rsidRDefault="00B918A6">
      <w:pPr>
        <w:pStyle w:val="TOC3"/>
        <w:rPr>
          <w:rFonts w:eastAsiaTheme="minorEastAsia"/>
          <w:i w:val="0"/>
          <w:iCs w:val="0"/>
          <w:noProof/>
          <w:sz w:val="22"/>
          <w:szCs w:val="22"/>
          <w:lang w:val="en-ZA" w:eastAsia="en-ZA"/>
        </w:rPr>
      </w:pPr>
      <w:hyperlink w:anchor="_Toc510706632" w:history="1">
        <w:r w:rsidR="001D1E46" w:rsidRPr="00AC1F66">
          <w:rPr>
            <w:rStyle w:val="Hyperlink"/>
            <w:noProof/>
            <w:highlight w:val="yellow"/>
          </w:rPr>
          <w:t>3.8.2.</w:t>
        </w:r>
        <w:r w:rsidR="001D1E46">
          <w:rPr>
            <w:rFonts w:eastAsiaTheme="minorEastAsia"/>
            <w:i w:val="0"/>
            <w:iCs w:val="0"/>
            <w:noProof/>
            <w:sz w:val="22"/>
            <w:szCs w:val="22"/>
            <w:lang w:val="en-ZA" w:eastAsia="en-ZA"/>
          </w:rPr>
          <w:tab/>
        </w:r>
        <w:r w:rsidR="001D1E46" w:rsidRPr="00AC1F66">
          <w:rPr>
            <w:rStyle w:val="Hyperlink"/>
            <w:noProof/>
            <w:highlight w:val="yellow"/>
          </w:rPr>
          <w:t>Safety &amp; Security</w:t>
        </w:r>
        <w:r w:rsidR="001D1E46">
          <w:rPr>
            <w:noProof/>
            <w:webHidden/>
          </w:rPr>
          <w:tab/>
        </w:r>
        <w:r w:rsidR="001D1E46">
          <w:rPr>
            <w:noProof/>
            <w:webHidden/>
          </w:rPr>
          <w:fldChar w:fldCharType="begin"/>
        </w:r>
        <w:r w:rsidR="001D1E46">
          <w:rPr>
            <w:noProof/>
            <w:webHidden/>
          </w:rPr>
          <w:instrText xml:space="preserve"> PAGEREF _Toc510706632 \h </w:instrText>
        </w:r>
        <w:r w:rsidR="001D1E46">
          <w:rPr>
            <w:noProof/>
            <w:webHidden/>
          </w:rPr>
        </w:r>
        <w:r w:rsidR="001D1E46">
          <w:rPr>
            <w:noProof/>
            <w:webHidden/>
          </w:rPr>
          <w:fldChar w:fldCharType="separate"/>
        </w:r>
        <w:r w:rsidR="0067023A">
          <w:rPr>
            <w:noProof/>
            <w:webHidden/>
          </w:rPr>
          <w:t>116</w:t>
        </w:r>
        <w:r w:rsidR="001D1E46">
          <w:rPr>
            <w:noProof/>
            <w:webHidden/>
          </w:rPr>
          <w:fldChar w:fldCharType="end"/>
        </w:r>
      </w:hyperlink>
    </w:p>
    <w:p w14:paraId="36590793" w14:textId="77777777" w:rsidR="001D1E46" w:rsidRDefault="00B918A6">
      <w:pPr>
        <w:pStyle w:val="TOC3"/>
        <w:rPr>
          <w:rFonts w:eastAsiaTheme="minorEastAsia"/>
          <w:i w:val="0"/>
          <w:iCs w:val="0"/>
          <w:noProof/>
          <w:sz w:val="22"/>
          <w:szCs w:val="22"/>
          <w:lang w:val="en-ZA" w:eastAsia="en-ZA"/>
        </w:rPr>
      </w:pPr>
      <w:hyperlink w:anchor="_Toc510706633" w:history="1">
        <w:r w:rsidR="001D1E46" w:rsidRPr="00AC1F66">
          <w:rPr>
            <w:rStyle w:val="Hyperlink"/>
            <w:noProof/>
          </w:rPr>
          <w:t>3.8.3.</w:t>
        </w:r>
        <w:r w:rsidR="001D1E46">
          <w:rPr>
            <w:rFonts w:eastAsiaTheme="minorEastAsia"/>
            <w:i w:val="0"/>
            <w:iCs w:val="0"/>
            <w:noProof/>
            <w:sz w:val="22"/>
            <w:szCs w:val="22"/>
            <w:lang w:val="en-ZA" w:eastAsia="en-ZA"/>
          </w:rPr>
          <w:tab/>
        </w:r>
        <w:r w:rsidR="001D1E46" w:rsidRPr="00AC1F66">
          <w:rPr>
            <w:rStyle w:val="Hyperlink"/>
            <w:noProof/>
          </w:rPr>
          <w:t>Nation Building &amp; Social Cohesion</w:t>
        </w:r>
        <w:r w:rsidR="001D1E46">
          <w:rPr>
            <w:noProof/>
            <w:webHidden/>
          </w:rPr>
          <w:tab/>
        </w:r>
        <w:r w:rsidR="001D1E46">
          <w:rPr>
            <w:noProof/>
            <w:webHidden/>
          </w:rPr>
          <w:fldChar w:fldCharType="begin"/>
        </w:r>
        <w:r w:rsidR="001D1E46">
          <w:rPr>
            <w:noProof/>
            <w:webHidden/>
          </w:rPr>
          <w:instrText xml:space="preserve"> PAGEREF _Toc510706633 \h </w:instrText>
        </w:r>
        <w:r w:rsidR="001D1E46">
          <w:rPr>
            <w:noProof/>
            <w:webHidden/>
          </w:rPr>
        </w:r>
        <w:r w:rsidR="001D1E46">
          <w:rPr>
            <w:noProof/>
            <w:webHidden/>
          </w:rPr>
          <w:fldChar w:fldCharType="separate"/>
        </w:r>
        <w:r w:rsidR="0067023A">
          <w:rPr>
            <w:noProof/>
            <w:webHidden/>
          </w:rPr>
          <w:t>117</w:t>
        </w:r>
        <w:r w:rsidR="001D1E46">
          <w:rPr>
            <w:noProof/>
            <w:webHidden/>
          </w:rPr>
          <w:fldChar w:fldCharType="end"/>
        </w:r>
      </w:hyperlink>
    </w:p>
    <w:p w14:paraId="108475B0" w14:textId="77777777" w:rsidR="001D1E46" w:rsidRDefault="00B918A6">
      <w:pPr>
        <w:pStyle w:val="TOC3"/>
        <w:rPr>
          <w:rFonts w:eastAsiaTheme="minorEastAsia"/>
          <w:i w:val="0"/>
          <w:iCs w:val="0"/>
          <w:noProof/>
          <w:sz w:val="22"/>
          <w:szCs w:val="22"/>
          <w:lang w:val="en-ZA" w:eastAsia="en-ZA"/>
        </w:rPr>
      </w:pPr>
      <w:hyperlink w:anchor="_Toc510706634" w:history="1">
        <w:r w:rsidR="001D1E46" w:rsidRPr="00AC1F66">
          <w:rPr>
            <w:rStyle w:val="Hyperlink"/>
            <w:noProof/>
          </w:rPr>
          <w:t>3.8.4.</w:t>
        </w:r>
        <w:r w:rsidR="001D1E46">
          <w:rPr>
            <w:rFonts w:eastAsiaTheme="minorEastAsia"/>
            <w:i w:val="0"/>
            <w:iCs w:val="0"/>
            <w:noProof/>
            <w:sz w:val="22"/>
            <w:szCs w:val="22"/>
            <w:lang w:val="en-ZA" w:eastAsia="en-ZA"/>
          </w:rPr>
          <w:tab/>
        </w:r>
        <w:r w:rsidR="001D1E46" w:rsidRPr="00AC1F66">
          <w:rPr>
            <w:rStyle w:val="Hyperlink"/>
            <w:noProof/>
          </w:rPr>
          <w:t>Community Development with particular Focus on Vulnerable Groups (Special Programs)</w:t>
        </w:r>
        <w:r w:rsidR="001D1E46">
          <w:rPr>
            <w:noProof/>
            <w:webHidden/>
          </w:rPr>
          <w:tab/>
        </w:r>
        <w:r w:rsidR="001D1E46">
          <w:rPr>
            <w:noProof/>
            <w:webHidden/>
          </w:rPr>
          <w:fldChar w:fldCharType="begin"/>
        </w:r>
        <w:r w:rsidR="001D1E46">
          <w:rPr>
            <w:noProof/>
            <w:webHidden/>
          </w:rPr>
          <w:instrText xml:space="preserve"> PAGEREF _Toc510706634 \h </w:instrText>
        </w:r>
        <w:r w:rsidR="001D1E46">
          <w:rPr>
            <w:noProof/>
            <w:webHidden/>
          </w:rPr>
        </w:r>
        <w:r w:rsidR="001D1E46">
          <w:rPr>
            <w:noProof/>
            <w:webHidden/>
          </w:rPr>
          <w:fldChar w:fldCharType="separate"/>
        </w:r>
        <w:r w:rsidR="0067023A">
          <w:rPr>
            <w:noProof/>
            <w:webHidden/>
          </w:rPr>
          <w:t>117</w:t>
        </w:r>
        <w:r w:rsidR="001D1E46">
          <w:rPr>
            <w:noProof/>
            <w:webHidden/>
          </w:rPr>
          <w:fldChar w:fldCharType="end"/>
        </w:r>
      </w:hyperlink>
    </w:p>
    <w:p w14:paraId="44A387E6" w14:textId="77777777" w:rsidR="001D1E46" w:rsidRDefault="00B918A6">
      <w:pPr>
        <w:pStyle w:val="TOC3"/>
        <w:rPr>
          <w:rFonts w:eastAsiaTheme="minorEastAsia"/>
          <w:i w:val="0"/>
          <w:iCs w:val="0"/>
          <w:noProof/>
          <w:sz w:val="22"/>
          <w:szCs w:val="22"/>
          <w:lang w:val="en-ZA" w:eastAsia="en-ZA"/>
        </w:rPr>
      </w:pPr>
      <w:hyperlink w:anchor="_Toc510706635" w:history="1">
        <w:r w:rsidR="001D1E46" w:rsidRPr="00AC1F66">
          <w:rPr>
            <w:rStyle w:val="Hyperlink"/>
            <w:noProof/>
          </w:rPr>
          <w:t>3.8.4.1.</w:t>
        </w:r>
        <w:r w:rsidR="001D1E46">
          <w:rPr>
            <w:rFonts w:eastAsiaTheme="minorEastAsia"/>
            <w:i w:val="0"/>
            <w:iCs w:val="0"/>
            <w:noProof/>
            <w:sz w:val="22"/>
            <w:szCs w:val="22"/>
            <w:lang w:val="en-ZA" w:eastAsia="en-ZA"/>
          </w:rPr>
          <w:tab/>
        </w:r>
        <w:r w:rsidR="001D1E46" w:rsidRPr="00AC1F66">
          <w:rPr>
            <w:rStyle w:val="Hyperlink"/>
            <w:noProof/>
          </w:rPr>
          <w:t>Disability Structures</w:t>
        </w:r>
        <w:r w:rsidR="001D1E46">
          <w:rPr>
            <w:noProof/>
            <w:webHidden/>
          </w:rPr>
          <w:tab/>
        </w:r>
        <w:r w:rsidR="001D1E46">
          <w:rPr>
            <w:noProof/>
            <w:webHidden/>
          </w:rPr>
          <w:fldChar w:fldCharType="begin"/>
        </w:r>
        <w:r w:rsidR="001D1E46">
          <w:rPr>
            <w:noProof/>
            <w:webHidden/>
          </w:rPr>
          <w:instrText xml:space="preserve"> PAGEREF _Toc510706635 \h </w:instrText>
        </w:r>
        <w:r w:rsidR="001D1E46">
          <w:rPr>
            <w:noProof/>
            <w:webHidden/>
          </w:rPr>
        </w:r>
        <w:r w:rsidR="001D1E46">
          <w:rPr>
            <w:noProof/>
            <w:webHidden/>
          </w:rPr>
          <w:fldChar w:fldCharType="separate"/>
        </w:r>
        <w:r w:rsidR="0067023A">
          <w:rPr>
            <w:noProof/>
            <w:webHidden/>
          </w:rPr>
          <w:t>117</w:t>
        </w:r>
        <w:r w:rsidR="001D1E46">
          <w:rPr>
            <w:noProof/>
            <w:webHidden/>
          </w:rPr>
          <w:fldChar w:fldCharType="end"/>
        </w:r>
      </w:hyperlink>
    </w:p>
    <w:p w14:paraId="50A16DC7" w14:textId="77777777" w:rsidR="001D1E46" w:rsidRDefault="00B918A6">
      <w:pPr>
        <w:pStyle w:val="TOC3"/>
        <w:rPr>
          <w:rFonts w:eastAsiaTheme="minorEastAsia"/>
          <w:i w:val="0"/>
          <w:iCs w:val="0"/>
          <w:noProof/>
          <w:sz w:val="22"/>
          <w:szCs w:val="22"/>
          <w:lang w:val="en-ZA" w:eastAsia="en-ZA"/>
        </w:rPr>
      </w:pPr>
      <w:hyperlink w:anchor="_Toc510706636" w:history="1">
        <w:r w:rsidR="001D1E46" w:rsidRPr="00AC1F66">
          <w:rPr>
            <w:rStyle w:val="Hyperlink"/>
            <w:noProof/>
          </w:rPr>
          <w:t>3.8.5.</w:t>
        </w:r>
        <w:r w:rsidR="001D1E46">
          <w:rPr>
            <w:rFonts w:eastAsiaTheme="minorEastAsia"/>
            <w:i w:val="0"/>
            <w:iCs w:val="0"/>
            <w:noProof/>
            <w:sz w:val="22"/>
            <w:szCs w:val="22"/>
            <w:lang w:val="en-ZA" w:eastAsia="en-ZA"/>
          </w:rPr>
          <w:tab/>
        </w:r>
        <w:r w:rsidR="001D1E46" w:rsidRPr="00AC1F66">
          <w:rPr>
            <w:rStyle w:val="Hyperlink"/>
            <w:noProof/>
          </w:rPr>
          <w:t>Youth Development</w:t>
        </w:r>
        <w:r w:rsidR="001D1E46">
          <w:rPr>
            <w:noProof/>
            <w:webHidden/>
          </w:rPr>
          <w:tab/>
        </w:r>
        <w:r w:rsidR="001D1E46">
          <w:rPr>
            <w:noProof/>
            <w:webHidden/>
          </w:rPr>
          <w:fldChar w:fldCharType="begin"/>
        </w:r>
        <w:r w:rsidR="001D1E46">
          <w:rPr>
            <w:noProof/>
            <w:webHidden/>
          </w:rPr>
          <w:instrText xml:space="preserve"> PAGEREF _Toc510706636 \h </w:instrText>
        </w:r>
        <w:r w:rsidR="001D1E46">
          <w:rPr>
            <w:noProof/>
            <w:webHidden/>
          </w:rPr>
        </w:r>
        <w:r w:rsidR="001D1E46">
          <w:rPr>
            <w:noProof/>
            <w:webHidden/>
          </w:rPr>
          <w:fldChar w:fldCharType="separate"/>
        </w:r>
        <w:r w:rsidR="0067023A">
          <w:rPr>
            <w:noProof/>
            <w:webHidden/>
          </w:rPr>
          <w:t>118</w:t>
        </w:r>
        <w:r w:rsidR="001D1E46">
          <w:rPr>
            <w:noProof/>
            <w:webHidden/>
          </w:rPr>
          <w:fldChar w:fldCharType="end"/>
        </w:r>
      </w:hyperlink>
    </w:p>
    <w:p w14:paraId="5BFD425C" w14:textId="77777777" w:rsidR="001D1E46" w:rsidRDefault="00B918A6">
      <w:pPr>
        <w:pStyle w:val="TOC3"/>
        <w:rPr>
          <w:rFonts w:eastAsiaTheme="minorEastAsia"/>
          <w:i w:val="0"/>
          <w:iCs w:val="0"/>
          <w:noProof/>
          <w:sz w:val="22"/>
          <w:szCs w:val="22"/>
          <w:lang w:val="en-ZA" w:eastAsia="en-ZA"/>
        </w:rPr>
      </w:pPr>
      <w:hyperlink w:anchor="_Toc510706637" w:history="1">
        <w:r w:rsidR="001D1E46" w:rsidRPr="00AC1F66">
          <w:rPr>
            <w:rStyle w:val="Hyperlink"/>
            <w:noProof/>
          </w:rPr>
          <w:t>3.8.6.</w:t>
        </w:r>
        <w:r w:rsidR="001D1E46">
          <w:rPr>
            <w:rFonts w:eastAsiaTheme="minorEastAsia"/>
            <w:i w:val="0"/>
            <w:iCs w:val="0"/>
            <w:noProof/>
            <w:sz w:val="22"/>
            <w:szCs w:val="22"/>
            <w:lang w:val="en-ZA" w:eastAsia="en-ZA"/>
          </w:rPr>
          <w:tab/>
        </w:r>
        <w:r w:rsidR="001D1E46" w:rsidRPr="00AC1F66">
          <w:rPr>
            <w:rStyle w:val="Hyperlink"/>
            <w:noProof/>
          </w:rPr>
          <w:t>Vuma Youth Development Academy</w:t>
        </w:r>
        <w:r w:rsidR="001D1E46">
          <w:rPr>
            <w:noProof/>
            <w:webHidden/>
          </w:rPr>
          <w:tab/>
        </w:r>
        <w:r w:rsidR="001D1E46">
          <w:rPr>
            <w:noProof/>
            <w:webHidden/>
          </w:rPr>
          <w:fldChar w:fldCharType="begin"/>
        </w:r>
        <w:r w:rsidR="001D1E46">
          <w:rPr>
            <w:noProof/>
            <w:webHidden/>
          </w:rPr>
          <w:instrText xml:space="preserve"> PAGEREF _Toc510706637 \h </w:instrText>
        </w:r>
        <w:r w:rsidR="001D1E46">
          <w:rPr>
            <w:noProof/>
            <w:webHidden/>
          </w:rPr>
        </w:r>
        <w:r w:rsidR="001D1E46">
          <w:rPr>
            <w:noProof/>
            <w:webHidden/>
          </w:rPr>
          <w:fldChar w:fldCharType="separate"/>
        </w:r>
        <w:r w:rsidR="0067023A">
          <w:rPr>
            <w:noProof/>
            <w:webHidden/>
          </w:rPr>
          <w:t>119</w:t>
        </w:r>
        <w:r w:rsidR="001D1E46">
          <w:rPr>
            <w:noProof/>
            <w:webHidden/>
          </w:rPr>
          <w:fldChar w:fldCharType="end"/>
        </w:r>
      </w:hyperlink>
    </w:p>
    <w:p w14:paraId="1DE79FD0" w14:textId="77777777" w:rsidR="001D1E46" w:rsidRDefault="00B918A6">
      <w:pPr>
        <w:pStyle w:val="TOC3"/>
        <w:rPr>
          <w:rFonts w:eastAsiaTheme="minorEastAsia"/>
          <w:i w:val="0"/>
          <w:iCs w:val="0"/>
          <w:noProof/>
          <w:sz w:val="22"/>
          <w:szCs w:val="22"/>
          <w:lang w:val="en-ZA" w:eastAsia="en-ZA"/>
        </w:rPr>
      </w:pPr>
      <w:hyperlink w:anchor="_Toc510706638" w:history="1">
        <w:r w:rsidR="001D1E46" w:rsidRPr="00AC1F66">
          <w:rPr>
            <w:rStyle w:val="Hyperlink"/>
            <w:noProof/>
          </w:rPr>
          <w:t>3.8.7.</w:t>
        </w:r>
        <w:r w:rsidR="001D1E46">
          <w:rPr>
            <w:rFonts w:eastAsiaTheme="minorEastAsia"/>
            <w:i w:val="0"/>
            <w:iCs w:val="0"/>
            <w:noProof/>
            <w:sz w:val="22"/>
            <w:szCs w:val="22"/>
            <w:lang w:val="en-ZA" w:eastAsia="en-ZA"/>
          </w:rPr>
          <w:tab/>
        </w:r>
        <w:r w:rsidR="001D1E46" w:rsidRPr="00AC1F66">
          <w:rPr>
            <w:rStyle w:val="Hyperlink"/>
            <w:noProof/>
          </w:rPr>
          <w:t>Siza Bonke Works Program</w:t>
        </w:r>
        <w:r w:rsidR="001D1E46">
          <w:rPr>
            <w:noProof/>
            <w:webHidden/>
          </w:rPr>
          <w:tab/>
        </w:r>
        <w:r w:rsidR="001D1E46">
          <w:rPr>
            <w:noProof/>
            <w:webHidden/>
          </w:rPr>
          <w:fldChar w:fldCharType="begin"/>
        </w:r>
        <w:r w:rsidR="001D1E46">
          <w:rPr>
            <w:noProof/>
            <w:webHidden/>
          </w:rPr>
          <w:instrText xml:space="preserve"> PAGEREF _Toc510706638 \h </w:instrText>
        </w:r>
        <w:r w:rsidR="001D1E46">
          <w:rPr>
            <w:noProof/>
            <w:webHidden/>
          </w:rPr>
        </w:r>
        <w:r w:rsidR="001D1E46">
          <w:rPr>
            <w:noProof/>
            <w:webHidden/>
          </w:rPr>
          <w:fldChar w:fldCharType="separate"/>
        </w:r>
        <w:r w:rsidR="0067023A">
          <w:rPr>
            <w:noProof/>
            <w:webHidden/>
          </w:rPr>
          <w:t>120</w:t>
        </w:r>
        <w:r w:rsidR="001D1E46">
          <w:rPr>
            <w:noProof/>
            <w:webHidden/>
          </w:rPr>
          <w:fldChar w:fldCharType="end"/>
        </w:r>
      </w:hyperlink>
    </w:p>
    <w:p w14:paraId="59EAA09D" w14:textId="77777777" w:rsidR="001D1E46" w:rsidRDefault="00B918A6">
      <w:pPr>
        <w:pStyle w:val="TOC3"/>
        <w:rPr>
          <w:rFonts w:eastAsiaTheme="minorEastAsia"/>
          <w:i w:val="0"/>
          <w:iCs w:val="0"/>
          <w:noProof/>
          <w:sz w:val="22"/>
          <w:szCs w:val="22"/>
          <w:lang w:val="en-ZA" w:eastAsia="en-ZA"/>
        </w:rPr>
      </w:pPr>
      <w:hyperlink w:anchor="_Toc510706639" w:history="1">
        <w:r w:rsidR="001D1E46" w:rsidRPr="00AC1F66">
          <w:rPr>
            <w:rStyle w:val="Hyperlink"/>
            <w:noProof/>
          </w:rPr>
          <w:t>3.8.8.</w:t>
        </w:r>
        <w:r w:rsidR="001D1E46">
          <w:rPr>
            <w:rFonts w:eastAsiaTheme="minorEastAsia"/>
            <w:i w:val="0"/>
            <w:iCs w:val="0"/>
            <w:noProof/>
            <w:sz w:val="22"/>
            <w:szCs w:val="22"/>
            <w:lang w:val="en-ZA" w:eastAsia="en-ZA"/>
          </w:rPr>
          <w:tab/>
        </w:r>
        <w:r w:rsidR="001D1E46" w:rsidRPr="00AC1F66">
          <w:rPr>
            <w:rStyle w:val="Hyperlink"/>
            <w:noProof/>
          </w:rPr>
          <w:t>Health</w:t>
        </w:r>
        <w:r w:rsidR="001D1E46">
          <w:rPr>
            <w:noProof/>
            <w:webHidden/>
          </w:rPr>
          <w:tab/>
        </w:r>
        <w:r w:rsidR="001D1E46">
          <w:rPr>
            <w:noProof/>
            <w:webHidden/>
          </w:rPr>
          <w:fldChar w:fldCharType="begin"/>
        </w:r>
        <w:r w:rsidR="001D1E46">
          <w:rPr>
            <w:noProof/>
            <w:webHidden/>
          </w:rPr>
          <w:instrText xml:space="preserve"> PAGEREF _Toc510706639 \h </w:instrText>
        </w:r>
        <w:r w:rsidR="001D1E46">
          <w:rPr>
            <w:noProof/>
            <w:webHidden/>
          </w:rPr>
        </w:r>
        <w:r w:rsidR="001D1E46">
          <w:rPr>
            <w:noProof/>
            <w:webHidden/>
          </w:rPr>
          <w:fldChar w:fldCharType="separate"/>
        </w:r>
        <w:r w:rsidR="0067023A">
          <w:rPr>
            <w:noProof/>
            <w:webHidden/>
          </w:rPr>
          <w:t>120</w:t>
        </w:r>
        <w:r w:rsidR="001D1E46">
          <w:rPr>
            <w:noProof/>
            <w:webHidden/>
          </w:rPr>
          <w:fldChar w:fldCharType="end"/>
        </w:r>
      </w:hyperlink>
    </w:p>
    <w:p w14:paraId="19208DC4" w14:textId="77777777" w:rsidR="001D1E46" w:rsidRDefault="00B918A6">
      <w:pPr>
        <w:pStyle w:val="TOC3"/>
        <w:rPr>
          <w:rFonts w:eastAsiaTheme="minorEastAsia"/>
          <w:i w:val="0"/>
          <w:iCs w:val="0"/>
          <w:noProof/>
          <w:sz w:val="22"/>
          <w:szCs w:val="22"/>
          <w:lang w:val="en-ZA" w:eastAsia="en-ZA"/>
        </w:rPr>
      </w:pPr>
      <w:hyperlink w:anchor="_Toc510706640" w:history="1">
        <w:r w:rsidR="001D1E46" w:rsidRPr="00AC1F66">
          <w:rPr>
            <w:rStyle w:val="Hyperlink"/>
            <w:noProof/>
          </w:rPr>
          <w:t>3.8.9.</w:t>
        </w:r>
        <w:r w:rsidR="001D1E46">
          <w:rPr>
            <w:rFonts w:eastAsiaTheme="minorEastAsia"/>
            <w:i w:val="0"/>
            <w:iCs w:val="0"/>
            <w:noProof/>
            <w:sz w:val="22"/>
            <w:szCs w:val="22"/>
            <w:lang w:val="en-ZA" w:eastAsia="en-ZA"/>
          </w:rPr>
          <w:tab/>
        </w:r>
        <w:r w:rsidR="001D1E46" w:rsidRPr="00AC1F66">
          <w:rPr>
            <w:rStyle w:val="Hyperlink"/>
            <w:noProof/>
          </w:rPr>
          <w:t>Education</w:t>
        </w:r>
        <w:r w:rsidR="001D1E46">
          <w:rPr>
            <w:noProof/>
            <w:webHidden/>
          </w:rPr>
          <w:tab/>
        </w:r>
        <w:r w:rsidR="001D1E46">
          <w:rPr>
            <w:noProof/>
            <w:webHidden/>
          </w:rPr>
          <w:fldChar w:fldCharType="begin"/>
        </w:r>
        <w:r w:rsidR="001D1E46">
          <w:rPr>
            <w:noProof/>
            <w:webHidden/>
          </w:rPr>
          <w:instrText xml:space="preserve"> PAGEREF _Toc510706640 \h </w:instrText>
        </w:r>
        <w:r w:rsidR="001D1E46">
          <w:rPr>
            <w:noProof/>
            <w:webHidden/>
          </w:rPr>
        </w:r>
        <w:r w:rsidR="001D1E46">
          <w:rPr>
            <w:noProof/>
            <w:webHidden/>
          </w:rPr>
          <w:fldChar w:fldCharType="separate"/>
        </w:r>
        <w:r w:rsidR="0067023A">
          <w:rPr>
            <w:noProof/>
            <w:webHidden/>
          </w:rPr>
          <w:t>124</w:t>
        </w:r>
        <w:r w:rsidR="001D1E46">
          <w:rPr>
            <w:noProof/>
            <w:webHidden/>
          </w:rPr>
          <w:fldChar w:fldCharType="end"/>
        </w:r>
      </w:hyperlink>
    </w:p>
    <w:p w14:paraId="10EB4CCE" w14:textId="77777777" w:rsidR="001D1E46" w:rsidRDefault="00B918A6">
      <w:pPr>
        <w:pStyle w:val="TOC3"/>
        <w:rPr>
          <w:rFonts w:eastAsiaTheme="minorEastAsia"/>
          <w:i w:val="0"/>
          <w:iCs w:val="0"/>
          <w:noProof/>
          <w:sz w:val="22"/>
          <w:szCs w:val="22"/>
          <w:lang w:val="en-ZA" w:eastAsia="en-ZA"/>
        </w:rPr>
      </w:pPr>
      <w:hyperlink w:anchor="_Toc510706641" w:history="1">
        <w:r w:rsidR="001D1E46" w:rsidRPr="00AC1F66">
          <w:rPr>
            <w:rStyle w:val="Hyperlink"/>
            <w:noProof/>
          </w:rPr>
          <w:t>3.8.10.</w:t>
        </w:r>
        <w:r w:rsidR="001D1E46">
          <w:rPr>
            <w:rFonts w:eastAsiaTheme="minorEastAsia"/>
            <w:i w:val="0"/>
            <w:iCs w:val="0"/>
            <w:noProof/>
            <w:sz w:val="22"/>
            <w:szCs w:val="22"/>
            <w:lang w:val="en-ZA" w:eastAsia="en-ZA"/>
          </w:rPr>
          <w:tab/>
        </w:r>
        <w:r w:rsidR="001D1E46" w:rsidRPr="00AC1F66">
          <w:rPr>
            <w:rStyle w:val="Hyperlink"/>
            <w:noProof/>
          </w:rPr>
          <w:t>Arts and Culture</w:t>
        </w:r>
        <w:r w:rsidR="001D1E46">
          <w:rPr>
            <w:noProof/>
            <w:webHidden/>
          </w:rPr>
          <w:tab/>
        </w:r>
        <w:r w:rsidR="001D1E46">
          <w:rPr>
            <w:noProof/>
            <w:webHidden/>
          </w:rPr>
          <w:fldChar w:fldCharType="begin"/>
        </w:r>
        <w:r w:rsidR="001D1E46">
          <w:rPr>
            <w:noProof/>
            <w:webHidden/>
          </w:rPr>
          <w:instrText xml:space="preserve"> PAGEREF _Toc510706641 \h </w:instrText>
        </w:r>
        <w:r w:rsidR="001D1E46">
          <w:rPr>
            <w:noProof/>
            <w:webHidden/>
          </w:rPr>
        </w:r>
        <w:r w:rsidR="001D1E46">
          <w:rPr>
            <w:noProof/>
            <w:webHidden/>
          </w:rPr>
          <w:fldChar w:fldCharType="separate"/>
        </w:r>
        <w:r w:rsidR="0067023A">
          <w:rPr>
            <w:noProof/>
            <w:webHidden/>
          </w:rPr>
          <w:t>128</w:t>
        </w:r>
        <w:r w:rsidR="001D1E46">
          <w:rPr>
            <w:noProof/>
            <w:webHidden/>
          </w:rPr>
          <w:fldChar w:fldCharType="end"/>
        </w:r>
      </w:hyperlink>
    </w:p>
    <w:p w14:paraId="2DEE41F2" w14:textId="77777777" w:rsidR="001D1E46" w:rsidRDefault="00B918A6">
      <w:pPr>
        <w:pStyle w:val="TOC2"/>
        <w:tabs>
          <w:tab w:val="left" w:pos="1000"/>
          <w:tab w:val="right" w:leader="dot" w:pos="9629"/>
        </w:tabs>
        <w:rPr>
          <w:rFonts w:eastAsiaTheme="minorEastAsia"/>
          <w:smallCaps w:val="0"/>
          <w:noProof/>
          <w:sz w:val="22"/>
          <w:szCs w:val="22"/>
          <w:lang w:val="en-ZA" w:eastAsia="en-ZA"/>
        </w:rPr>
      </w:pPr>
      <w:hyperlink w:anchor="_Toc510706642" w:history="1">
        <w:r w:rsidR="001D1E46" w:rsidRPr="00AC1F66">
          <w:rPr>
            <w:rStyle w:val="Hyperlink"/>
            <w:noProof/>
          </w:rPr>
          <w:t>3.8.11.</w:t>
        </w:r>
        <w:r w:rsidR="001D1E46">
          <w:rPr>
            <w:rFonts w:eastAsiaTheme="minorEastAsia"/>
            <w:smallCaps w:val="0"/>
            <w:noProof/>
            <w:sz w:val="22"/>
            <w:szCs w:val="22"/>
            <w:lang w:val="en-ZA" w:eastAsia="en-ZA"/>
          </w:rPr>
          <w:tab/>
        </w:r>
        <w:r w:rsidR="001D1E46" w:rsidRPr="00AC1F66">
          <w:rPr>
            <w:rStyle w:val="Hyperlink"/>
            <w:noProof/>
          </w:rPr>
          <w:t>Social Development: SWOT Analysis</w:t>
        </w:r>
        <w:r w:rsidR="001D1E46">
          <w:rPr>
            <w:noProof/>
            <w:webHidden/>
          </w:rPr>
          <w:tab/>
        </w:r>
        <w:r w:rsidR="001D1E46">
          <w:rPr>
            <w:noProof/>
            <w:webHidden/>
          </w:rPr>
          <w:fldChar w:fldCharType="begin"/>
        </w:r>
        <w:r w:rsidR="001D1E46">
          <w:rPr>
            <w:noProof/>
            <w:webHidden/>
          </w:rPr>
          <w:instrText xml:space="preserve"> PAGEREF _Toc510706642 \h </w:instrText>
        </w:r>
        <w:r w:rsidR="001D1E46">
          <w:rPr>
            <w:noProof/>
            <w:webHidden/>
          </w:rPr>
        </w:r>
        <w:r w:rsidR="001D1E46">
          <w:rPr>
            <w:noProof/>
            <w:webHidden/>
          </w:rPr>
          <w:fldChar w:fldCharType="separate"/>
        </w:r>
        <w:r w:rsidR="0067023A">
          <w:rPr>
            <w:noProof/>
            <w:webHidden/>
          </w:rPr>
          <w:t>128</w:t>
        </w:r>
        <w:r w:rsidR="001D1E46">
          <w:rPr>
            <w:noProof/>
            <w:webHidden/>
          </w:rPr>
          <w:fldChar w:fldCharType="end"/>
        </w:r>
      </w:hyperlink>
    </w:p>
    <w:p w14:paraId="2864A2DA"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643" w:history="1">
        <w:r w:rsidR="001D1E46" w:rsidRPr="00AC1F66">
          <w:rPr>
            <w:rStyle w:val="Hyperlink"/>
            <w:noProof/>
          </w:rPr>
          <w:t>3.9.</w:t>
        </w:r>
        <w:r w:rsidR="001D1E46">
          <w:rPr>
            <w:rFonts w:eastAsiaTheme="minorEastAsia"/>
            <w:smallCaps w:val="0"/>
            <w:noProof/>
            <w:sz w:val="22"/>
            <w:szCs w:val="22"/>
            <w:lang w:val="en-ZA" w:eastAsia="en-ZA"/>
          </w:rPr>
          <w:tab/>
        </w:r>
        <w:r w:rsidR="001D1E46" w:rsidRPr="00AC1F66">
          <w:rPr>
            <w:rStyle w:val="Hyperlink"/>
            <w:noProof/>
          </w:rPr>
          <w:t>FINANCIAL VIABILITY &amp; MANAGEMENT ANALYSIS</w:t>
        </w:r>
        <w:r w:rsidR="001D1E46">
          <w:rPr>
            <w:noProof/>
            <w:webHidden/>
          </w:rPr>
          <w:tab/>
        </w:r>
        <w:r w:rsidR="001D1E46">
          <w:rPr>
            <w:noProof/>
            <w:webHidden/>
          </w:rPr>
          <w:fldChar w:fldCharType="begin"/>
        </w:r>
        <w:r w:rsidR="001D1E46">
          <w:rPr>
            <w:noProof/>
            <w:webHidden/>
          </w:rPr>
          <w:instrText xml:space="preserve"> PAGEREF _Toc510706643 \h </w:instrText>
        </w:r>
        <w:r w:rsidR="001D1E46">
          <w:rPr>
            <w:noProof/>
            <w:webHidden/>
          </w:rPr>
        </w:r>
        <w:r w:rsidR="001D1E46">
          <w:rPr>
            <w:noProof/>
            <w:webHidden/>
          </w:rPr>
          <w:fldChar w:fldCharType="separate"/>
        </w:r>
        <w:r w:rsidR="0067023A">
          <w:rPr>
            <w:noProof/>
            <w:webHidden/>
          </w:rPr>
          <w:t>129</w:t>
        </w:r>
        <w:r w:rsidR="001D1E46">
          <w:rPr>
            <w:noProof/>
            <w:webHidden/>
          </w:rPr>
          <w:fldChar w:fldCharType="end"/>
        </w:r>
      </w:hyperlink>
    </w:p>
    <w:p w14:paraId="37C8590A" w14:textId="77777777" w:rsidR="001D1E46" w:rsidRDefault="00B918A6">
      <w:pPr>
        <w:pStyle w:val="TOC3"/>
        <w:rPr>
          <w:rFonts w:eastAsiaTheme="minorEastAsia"/>
          <w:i w:val="0"/>
          <w:iCs w:val="0"/>
          <w:noProof/>
          <w:sz w:val="22"/>
          <w:szCs w:val="22"/>
          <w:lang w:val="en-ZA" w:eastAsia="en-ZA"/>
        </w:rPr>
      </w:pPr>
      <w:hyperlink w:anchor="_Toc510706644" w:history="1">
        <w:r w:rsidR="001D1E46" w:rsidRPr="00AC1F66">
          <w:rPr>
            <w:rStyle w:val="Hyperlink"/>
            <w:noProof/>
          </w:rPr>
          <w:t>3.9.4.</w:t>
        </w:r>
        <w:r w:rsidR="001D1E46">
          <w:rPr>
            <w:rFonts w:eastAsiaTheme="minorEastAsia"/>
            <w:i w:val="0"/>
            <w:iCs w:val="0"/>
            <w:noProof/>
            <w:sz w:val="22"/>
            <w:szCs w:val="22"/>
            <w:lang w:val="en-ZA" w:eastAsia="en-ZA"/>
          </w:rPr>
          <w:tab/>
        </w:r>
        <w:r w:rsidR="001D1E46" w:rsidRPr="00AC1F66">
          <w:rPr>
            <w:rStyle w:val="Hyperlink"/>
            <w:noProof/>
          </w:rPr>
          <w:t>The Municipal Standard Charts of Accounts (mSCOA)</w:t>
        </w:r>
        <w:r w:rsidR="001D1E46">
          <w:rPr>
            <w:noProof/>
            <w:webHidden/>
          </w:rPr>
          <w:tab/>
        </w:r>
        <w:r w:rsidR="001D1E46">
          <w:rPr>
            <w:noProof/>
            <w:webHidden/>
          </w:rPr>
          <w:fldChar w:fldCharType="begin"/>
        </w:r>
        <w:r w:rsidR="001D1E46">
          <w:rPr>
            <w:noProof/>
            <w:webHidden/>
          </w:rPr>
          <w:instrText xml:space="preserve"> PAGEREF _Toc510706644 \h </w:instrText>
        </w:r>
        <w:r w:rsidR="001D1E46">
          <w:rPr>
            <w:noProof/>
            <w:webHidden/>
          </w:rPr>
        </w:r>
        <w:r w:rsidR="001D1E46">
          <w:rPr>
            <w:noProof/>
            <w:webHidden/>
          </w:rPr>
          <w:fldChar w:fldCharType="separate"/>
        </w:r>
        <w:r w:rsidR="0067023A">
          <w:rPr>
            <w:noProof/>
            <w:webHidden/>
          </w:rPr>
          <w:t>129</w:t>
        </w:r>
        <w:r w:rsidR="001D1E46">
          <w:rPr>
            <w:noProof/>
            <w:webHidden/>
          </w:rPr>
          <w:fldChar w:fldCharType="end"/>
        </w:r>
      </w:hyperlink>
    </w:p>
    <w:p w14:paraId="1C0CB84A" w14:textId="77777777" w:rsidR="001D1E46" w:rsidRDefault="00B918A6">
      <w:pPr>
        <w:pStyle w:val="TOC3"/>
        <w:rPr>
          <w:rFonts w:eastAsiaTheme="minorEastAsia"/>
          <w:i w:val="0"/>
          <w:iCs w:val="0"/>
          <w:noProof/>
          <w:sz w:val="22"/>
          <w:szCs w:val="22"/>
          <w:lang w:val="en-ZA" w:eastAsia="en-ZA"/>
        </w:rPr>
      </w:pPr>
      <w:hyperlink w:anchor="_Toc510706645" w:history="1">
        <w:r w:rsidR="001D1E46" w:rsidRPr="00AC1F66">
          <w:rPr>
            <w:rStyle w:val="Hyperlink"/>
            <w:noProof/>
          </w:rPr>
          <w:t>3.9.5.</w:t>
        </w:r>
        <w:r w:rsidR="001D1E46">
          <w:rPr>
            <w:rFonts w:eastAsiaTheme="minorEastAsia"/>
            <w:i w:val="0"/>
            <w:iCs w:val="0"/>
            <w:noProof/>
            <w:sz w:val="22"/>
            <w:szCs w:val="22"/>
            <w:lang w:val="en-ZA" w:eastAsia="en-ZA"/>
          </w:rPr>
          <w:tab/>
        </w:r>
        <w:r w:rsidR="001D1E46" w:rsidRPr="00AC1F66">
          <w:rPr>
            <w:rStyle w:val="Hyperlink"/>
            <w:noProof/>
          </w:rPr>
          <w:t>GRAP vs mSCOA</w:t>
        </w:r>
        <w:r w:rsidR="001D1E46">
          <w:rPr>
            <w:noProof/>
            <w:webHidden/>
          </w:rPr>
          <w:tab/>
        </w:r>
        <w:r w:rsidR="001D1E46">
          <w:rPr>
            <w:noProof/>
            <w:webHidden/>
          </w:rPr>
          <w:fldChar w:fldCharType="begin"/>
        </w:r>
        <w:r w:rsidR="001D1E46">
          <w:rPr>
            <w:noProof/>
            <w:webHidden/>
          </w:rPr>
          <w:instrText xml:space="preserve"> PAGEREF _Toc510706645 \h </w:instrText>
        </w:r>
        <w:r w:rsidR="001D1E46">
          <w:rPr>
            <w:noProof/>
            <w:webHidden/>
          </w:rPr>
        </w:r>
        <w:r w:rsidR="001D1E46">
          <w:rPr>
            <w:noProof/>
            <w:webHidden/>
          </w:rPr>
          <w:fldChar w:fldCharType="separate"/>
        </w:r>
        <w:r w:rsidR="0067023A">
          <w:rPr>
            <w:noProof/>
            <w:webHidden/>
          </w:rPr>
          <w:t>129</w:t>
        </w:r>
        <w:r w:rsidR="001D1E46">
          <w:rPr>
            <w:noProof/>
            <w:webHidden/>
          </w:rPr>
          <w:fldChar w:fldCharType="end"/>
        </w:r>
      </w:hyperlink>
    </w:p>
    <w:p w14:paraId="2F06B8B0" w14:textId="77777777" w:rsidR="001D1E46" w:rsidRDefault="00B918A6">
      <w:pPr>
        <w:pStyle w:val="TOC3"/>
        <w:rPr>
          <w:rFonts w:eastAsiaTheme="minorEastAsia"/>
          <w:i w:val="0"/>
          <w:iCs w:val="0"/>
          <w:noProof/>
          <w:sz w:val="22"/>
          <w:szCs w:val="22"/>
          <w:lang w:val="en-ZA" w:eastAsia="en-ZA"/>
        </w:rPr>
      </w:pPr>
      <w:hyperlink w:anchor="_Toc510706646" w:history="1">
        <w:r w:rsidR="001D1E46" w:rsidRPr="00AC1F66">
          <w:rPr>
            <w:rStyle w:val="Hyperlink"/>
            <w:noProof/>
          </w:rPr>
          <w:t>3.9.6.</w:t>
        </w:r>
        <w:r w:rsidR="001D1E46">
          <w:rPr>
            <w:rFonts w:eastAsiaTheme="minorEastAsia"/>
            <w:i w:val="0"/>
            <w:iCs w:val="0"/>
            <w:noProof/>
            <w:sz w:val="22"/>
            <w:szCs w:val="22"/>
            <w:lang w:val="en-ZA" w:eastAsia="en-ZA"/>
          </w:rPr>
          <w:tab/>
        </w:r>
        <w:r w:rsidR="001D1E46" w:rsidRPr="00AC1F66">
          <w:rPr>
            <w:rStyle w:val="Hyperlink"/>
            <w:noProof/>
          </w:rPr>
          <w:t>mSCOA Project Steering Commitee</w:t>
        </w:r>
        <w:r w:rsidR="001D1E46">
          <w:rPr>
            <w:noProof/>
            <w:webHidden/>
          </w:rPr>
          <w:tab/>
        </w:r>
        <w:r w:rsidR="001D1E46">
          <w:rPr>
            <w:noProof/>
            <w:webHidden/>
          </w:rPr>
          <w:fldChar w:fldCharType="begin"/>
        </w:r>
        <w:r w:rsidR="001D1E46">
          <w:rPr>
            <w:noProof/>
            <w:webHidden/>
          </w:rPr>
          <w:instrText xml:space="preserve"> PAGEREF _Toc510706646 \h </w:instrText>
        </w:r>
        <w:r w:rsidR="001D1E46">
          <w:rPr>
            <w:noProof/>
            <w:webHidden/>
          </w:rPr>
        </w:r>
        <w:r w:rsidR="001D1E46">
          <w:rPr>
            <w:noProof/>
            <w:webHidden/>
          </w:rPr>
          <w:fldChar w:fldCharType="separate"/>
        </w:r>
        <w:r w:rsidR="0067023A">
          <w:rPr>
            <w:noProof/>
            <w:webHidden/>
          </w:rPr>
          <w:t>130</w:t>
        </w:r>
        <w:r w:rsidR="001D1E46">
          <w:rPr>
            <w:noProof/>
            <w:webHidden/>
          </w:rPr>
          <w:fldChar w:fldCharType="end"/>
        </w:r>
      </w:hyperlink>
    </w:p>
    <w:p w14:paraId="2FE80E8E" w14:textId="77777777" w:rsidR="001D1E46" w:rsidRDefault="00B918A6">
      <w:pPr>
        <w:pStyle w:val="TOC3"/>
        <w:rPr>
          <w:rFonts w:eastAsiaTheme="minorEastAsia"/>
          <w:i w:val="0"/>
          <w:iCs w:val="0"/>
          <w:noProof/>
          <w:sz w:val="22"/>
          <w:szCs w:val="22"/>
          <w:lang w:val="en-ZA" w:eastAsia="en-ZA"/>
        </w:rPr>
      </w:pPr>
      <w:hyperlink w:anchor="_Toc510706647" w:history="1">
        <w:r w:rsidR="001D1E46" w:rsidRPr="00AC1F66">
          <w:rPr>
            <w:rStyle w:val="Hyperlink"/>
            <w:noProof/>
          </w:rPr>
          <w:t>3.9.7.</w:t>
        </w:r>
        <w:r w:rsidR="001D1E46">
          <w:rPr>
            <w:rFonts w:eastAsiaTheme="minorEastAsia"/>
            <w:i w:val="0"/>
            <w:iCs w:val="0"/>
            <w:noProof/>
            <w:sz w:val="22"/>
            <w:szCs w:val="22"/>
            <w:lang w:val="en-ZA" w:eastAsia="en-ZA"/>
          </w:rPr>
          <w:tab/>
        </w:r>
        <w:r w:rsidR="001D1E46" w:rsidRPr="00AC1F66">
          <w:rPr>
            <w:rStyle w:val="Hyperlink"/>
            <w:noProof/>
          </w:rPr>
          <w:t>Capital Funding and Expenditure to Address Service Delivery</w:t>
        </w:r>
        <w:r w:rsidR="001D1E46">
          <w:rPr>
            <w:noProof/>
            <w:webHidden/>
          </w:rPr>
          <w:tab/>
        </w:r>
        <w:r w:rsidR="001D1E46">
          <w:rPr>
            <w:noProof/>
            <w:webHidden/>
          </w:rPr>
          <w:fldChar w:fldCharType="begin"/>
        </w:r>
        <w:r w:rsidR="001D1E46">
          <w:rPr>
            <w:noProof/>
            <w:webHidden/>
          </w:rPr>
          <w:instrText xml:space="preserve"> PAGEREF _Toc510706647 \h </w:instrText>
        </w:r>
        <w:r w:rsidR="001D1E46">
          <w:rPr>
            <w:noProof/>
            <w:webHidden/>
          </w:rPr>
        </w:r>
        <w:r w:rsidR="001D1E46">
          <w:rPr>
            <w:noProof/>
            <w:webHidden/>
          </w:rPr>
          <w:fldChar w:fldCharType="separate"/>
        </w:r>
        <w:r w:rsidR="0067023A">
          <w:rPr>
            <w:noProof/>
            <w:webHidden/>
          </w:rPr>
          <w:t>131</w:t>
        </w:r>
        <w:r w:rsidR="001D1E46">
          <w:rPr>
            <w:noProof/>
            <w:webHidden/>
          </w:rPr>
          <w:fldChar w:fldCharType="end"/>
        </w:r>
      </w:hyperlink>
    </w:p>
    <w:p w14:paraId="74833686" w14:textId="77777777" w:rsidR="001D1E46" w:rsidRDefault="00B918A6">
      <w:pPr>
        <w:pStyle w:val="TOC3"/>
        <w:rPr>
          <w:rFonts w:eastAsiaTheme="minorEastAsia"/>
          <w:i w:val="0"/>
          <w:iCs w:val="0"/>
          <w:noProof/>
          <w:sz w:val="22"/>
          <w:szCs w:val="22"/>
          <w:lang w:val="en-ZA" w:eastAsia="en-ZA"/>
        </w:rPr>
      </w:pPr>
      <w:hyperlink w:anchor="_Toc510706648" w:history="1">
        <w:r w:rsidR="001D1E46" w:rsidRPr="00AC1F66">
          <w:rPr>
            <w:rStyle w:val="Hyperlink"/>
            <w:noProof/>
          </w:rPr>
          <w:t>3.9.8.</w:t>
        </w:r>
        <w:r w:rsidR="001D1E46">
          <w:rPr>
            <w:rFonts w:eastAsiaTheme="minorEastAsia"/>
            <w:i w:val="0"/>
            <w:iCs w:val="0"/>
            <w:noProof/>
            <w:sz w:val="22"/>
            <w:szCs w:val="22"/>
            <w:lang w:val="en-ZA" w:eastAsia="en-ZA"/>
          </w:rPr>
          <w:tab/>
        </w:r>
        <w:r w:rsidR="001D1E46" w:rsidRPr="00AC1F66">
          <w:rPr>
            <w:rStyle w:val="Hyperlink"/>
            <w:noProof/>
          </w:rPr>
          <w:t>Indigent Support (including Free Basic Services)</w:t>
        </w:r>
        <w:r w:rsidR="001D1E46">
          <w:rPr>
            <w:noProof/>
            <w:webHidden/>
          </w:rPr>
          <w:tab/>
        </w:r>
        <w:r w:rsidR="001D1E46">
          <w:rPr>
            <w:noProof/>
            <w:webHidden/>
          </w:rPr>
          <w:fldChar w:fldCharType="begin"/>
        </w:r>
        <w:r w:rsidR="001D1E46">
          <w:rPr>
            <w:noProof/>
            <w:webHidden/>
          </w:rPr>
          <w:instrText xml:space="preserve"> PAGEREF _Toc510706648 \h </w:instrText>
        </w:r>
        <w:r w:rsidR="001D1E46">
          <w:rPr>
            <w:noProof/>
            <w:webHidden/>
          </w:rPr>
        </w:r>
        <w:r w:rsidR="001D1E46">
          <w:rPr>
            <w:noProof/>
            <w:webHidden/>
          </w:rPr>
          <w:fldChar w:fldCharType="separate"/>
        </w:r>
        <w:r w:rsidR="0067023A">
          <w:rPr>
            <w:noProof/>
            <w:webHidden/>
          </w:rPr>
          <w:t>134</w:t>
        </w:r>
        <w:r w:rsidR="001D1E46">
          <w:rPr>
            <w:noProof/>
            <w:webHidden/>
          </w:rPr>
          <w:fldChar w:fldCharType="end"/>
        </w:r>
      </w:hyperlink>
    </w:p>
    <w:p w14:paraId="68CFA3D2" w14:textId="77777777" w:rsidR="001D1E46" w:rsidRDefault="00B918A6">
      <w:pPr>
        <w:pStyle w:val="TOC3"/>
        <w:rPr>
          <w:rFonts w:eastAsiaTheme="minorEastAsia"/>
          <w:i w:val="0"/>
          <w:iCs w:val="0"/>
          <w:noProof/>
          <w:sz w:val="22"/>
          <w:szCs w:val="22"/>
          <w:lang w:val="en-ZA" w:eastAsia="en-ZA"/>
        </w:rPr>
      </w:pPr>
      <w:hyperlink w:anchor="_Toc510706649" w:history="1">
        <w:r w:rsidR="001D1E46" w:rsidRPr="00AC1F66">
          <w:rPr>
            <w:rStyle w:val="Hyperlink"/>
            <w:noProof/>
          </w:rPr>
          <w:t>3.9.9.</w:t>
        </w:r>
        <w:r w:rsidR="001D1E46">
          <w:rPr>
            <w:rFonts w:eastAsiaTheme="minorEastAsia"/>
            <w:i w:val="0"/>
            <w:iCs w:val="0"/>
            <w:noProof/>
            <w:sz w:val="22"/>
            <w:szCs w:val="22"/>
            <w:lang w:val="en-ZA" w:eastAsia="en-ZA"/>
          </w:rPr>
          <w:tab/>
        </w:r>
        <w:r w:rsidR="001D1E46" w:rsidRPr="00AC1F66">
          <w:rPr>
            <w:rStyle w:val="Hyperlink"/>
            <w:noProof/>
          </w:rPr>
          <w:t>Revenue Enhancement and Protection Strategies</w:t>
        </w:r>
        <w:r w:rsidR="001D1E46">
          <w:rPr>
            <w:noProof/>
            <w:webHidden/>
          </w:rPr>
          <w:tab/>
        </w:r>
        <w:r w:rsidR="001D1E46">
          <w:rPr>
            <w:noProof/>
            <w:webHidden/>
          </w:rPr>
          <w:fldChar w:fldCharType="begin"/>
        </w:r>
        <w:r w:rsidR="001D1E46">
          <w:rPr>
            <w:noProof/>
            <w:webHidden/>
          </w:rPr>
          <w:instrText xml:space="preserve"> PAGEREF _Toc510706649 \h </w:instrText>
        </w:r>
        <w:r w:rsidR="001D1E46">
          <w:rPr>
            <w:noProof/>
            <w:webHidden/>
          </w:rPr>
        </w:r>
        <w:r w:rsidR="001D1E46">
          <w:rPr>
            <w:noProof/>
            <w:webHidden/>
          </w:rPr>
          <w:fldChar w:fldCharType="separate"/>
        </w:r>
        <w:r w:rsidR="0067023A">
          <w:rPr>
            <w:noProof/>
            <w:webHidden/>
          </w:rPr>
          <w:t>135</w:t>
        </w:r>
        <w:r w:rsidR="001D1E46">
          <w:rPr>
            <w:noProof/>
            <w:webHidden/>
          </w:rPr>
          <w:fldChar w:fldCharType="end"/>
        </w:r>
      </w:hyperlink>
    </w:p>
    <w:p w14:paraId="00CC93EC" w14:textId="77777777" w:rsidR="001D1E46" w:rsidRDefault="00B918A6">
      <w:pPr>
        <w:pStyle w:val="TOC3"/>
        <w:rPr>
          <w:rFonts w:eastAsiaTheme="minorEastAsia"/>
          <w:i w:val="0"/>
          <w:iCs w:val="0"/>
          <w:noProof/>
          <w:sz w:val="22"/>
          <w:szCs w:val="22"/>
          <w:lang w:val="en-ZA" w:eastAsia="en-ZA"/>
        </w:rPr>
      </w:pPr>
      <w:hyperlink w:anchor="_Toc510706650" w:history="1">
        <w:r w:rsidR="001D1E46" w:rsidRPr="00AC1F66">
          <w:rPr>
            <w:rStyle w:val="Hyperlink"/>
            <w:noProof/>
          </w:rPr>
          <w:t>3.9.10.</w:t>
        </w:r>
        <w:r w:rsidR="001D1E46">
          <w:rPr>
            <w:rFonts w:eastAsiaTheme="minorEastAsia"/>
            <w:i w:val="0"/>
            <w:iCs w:val="0"/>
            <w:noProof/>
            <w:sz w:val="22"/>
            <w:szCs w:val="22"/>
            <w:lang w:val="en-ZA" w:eastAsia="en-ZA"/>
          </w:rPr>
          <w:tab/>
        </w:r>
        <w:r w:rsidR="001D1E46" w:rsidRPr="00AC1F66">
          <w:rPr>
            <w:rStyle w:val="Hyperlink"/>
            <w:noProof/>
          </w:rPr>
          <w:t>Municipal Consumer Debt Position</w:t>
        </w:r>
        <w:r w:rsidR="001D1E46">
          <w:rPr>
            <w:noProof/>
            <w:webHidden/>
          </w:rPr>
          <w:tab/>
        </w:r>
        <w:r w:rsidR="001D1E46">
          <w:rPr>
            <w:noProof/>
            <w:webHidden/>
          </w:rPr>
          <w:fldChar w:fldCharType="begin"/>
        </w:r>
        <w:r w:rsidR="001D1E46">
          <w:rPr>
            <w:noProof/>
            <w:webHidden/>
          </w:rPr>
          <w:instrText xml:space="preserve"> PAGEREF _Toc510706650 \h </w:instrText>
        </w:r>
        <w:r w:rsidR="001D1E46">
          <w:rPr>
            <w:noProof/>
            <w:webHidden/>
          </w:rPr>
        </w:r>
        <w:r w:rsidR="001D1E46">
          <w:rPr>
            <w:noProof/>
            <w:webHidden/>
          </w:rPr>
          <w:fldChar w:fldCharType="separate"/>
        </w:r>
        <w:r w:rsidR="0067023A">
          <w:rPr>
            <w:noProof/>
            <w:webHidden/>
          </w:rPr>
          <w:t>136</w:t>
        </w:r>
        <w:r w:rsidR="001D1E46">
          <w:rPr>
            <w:noProof/>
            <w:webHidden/>
          </w:rPr>
          <w:fldChar w:fldCharType="end"/>
        </w:r>
      </w:hyperlink>
    </w:p>
    <w:p w14:paraId="126DD9E9" w14:textId="77777777" w:rsidR="001D1E46" w:rsidRDefault="00B918A6">
      <w:pPr>
        <w:pStyle w:val="TOC3"/>
        <w:rPr>
          <w:rFonts w:eastAsiaTheme="minorEastAsia"/>
          <w:i w:val="0"/>
          <w:iCs w:val="0"/>
          <w:noProof/>
          <w:sz w:val="22"/>
          <w:szCs w:val="22"/>
          <w:lang w:val="en-ZA" w:eastAsia="en-ZA"/>
        </w:rPr>
      </w:pPr>
      <w:hyperlink w:anchor="_Toc510706653" w:history="1">
        <w:r w:rsidR="001D1E46" w:rsidRPr="00AC1F66">
          <w:rPr>
            <w:rStyle w:val="Hyperlink"/>
            <w:noProof/>
          </w:rPr>
          <w:t>3.9.11.</w:t>
        </w:r>
        <w:r w:rsidR="001D1E46">
          <w:rPr>
            <w:rFonts w:eastAsiaTheme="minorEastAsia"/>
            <w:i w:val="0"/>
            <w:iCs w:val="0"/>
            <w:noProof/>
            <w:sz w:val="22"/>
            <w:szCs w:val="22"/>
            <w:lang w:val="en-ZA" w:eastAsia="en-ZA"/>
          </w:rPr>
          <w:tab/>
        </w:r>
        <w:r w:rsidR="001D1E46" w:rsidRPr="00AC1F66">
          <w:rPr>
            <w:rStyle w:val="Hyperlink"/>
            <w:noProof/>
          </w:rPr>
          <w:t>Grants &amp; Subsidies</w:t>
        </w:r>
        <w:r w:rsidR="001D1E46">
          <w:rPr>
            <w:noProof/>
            <w:webHidden/>
          </w:rPr>
          <w:tab/>
        </w:r>
        <w:r w:rsidR="001D1E46">
          <w:rPr>
            <w:noProof/>
            <w:webHidden/>
          </w:rPr>
          <w:fldChar w:fldCharType="begin"/>
        </w:r>
        <w:r w:rsidR="001D1E46">
          <w:rPr>
            <w:noProof/>
            <w:webHidden/>
          </w:rPr>
          <w:instrText xml:space="preserve"> PAGEREF _Toc510706653 \h </w:instrText>
        </w:r>
        <w:r w:rsidR="001D1E46">
          <w:rPr>
            <w:noProof/>
            <w:webHidden/>
          </w:rPr>
        </w:r>
        <w:r w:rsidR="001D1E46">
          <w:rPr>
            <w:noProof/>
            <w:webHidden/>
          </w:rPr>
          <w:fldChar w:fldCharType="separate"/>
        </w:r>
        <w:r w:rsidR="0067023A">
          <w:rPr>
            <w:noProof/>
            <w:webHidden/>
          </w:rPr>
          <w:t>137</w:t>
        </w:r>
        <w:r w:rsidR="001D1E46">
          <w:rPr>
            <w:noProof/>
            <w:webHidden/>
          </w:rPr>
          <w:fldChar w:fldCharType="end"/>
        </w:r>
      </w:hyperlink>
    </w:p>
    <w:p w14:paraId="1B4D7B11" w14:textId="77777777" w:rsidR="001D1E46" w:rsidRDefault="00B918A6">
      <w:pPr>
        <w:pStyle w:val="TOC3"/>
        <w:rPr>
          <w:rFonts w:eastAsiaTheme="minorEastAsia"/>
          <w:i w:val="0"/>
          <w:iCs w:val="0"/>
          <w:noProof/>
          <w:sz w:val="22"/>
          <w:szCs w:val="22"/>
          <w:lang w:val="en-ZA" w:eastAsia="en-ZA"/>
        </w:rPr>
      </w:pPr>
      <w:hyperlink w:anchor="_Toc510706654" w:history="1">
        <w:r w:rsidR="001D1E46" w:rsidRPr="00AC1F66">
          <w:rPr>
            <w:rStyle w:val="Hyperlink"/>
            <w:noProof/>
          </w:rPr>
          <w:t>3.9.12.</w:t>
        </w:r>
        <w:r w:rsidR="001D1E46">
          <w:rPr>
            <w:rFonts w:eastAsiaTheme="minorEastAsia"/>
            <w:i w:val="0"/>
            <w:iCs w:val="0"/>
            <w:noProof/>
            <w:sz w:val="22"/>
            <w:szCs w:val="22"/>
            <w:lang w:val="en-ZA" w:eastAsia="en-ZA"/>
          </w:rPr>
          <w:tab/>
        </w:r>
        <w:r w:rsidR="001D1E46" w:rsidRPr="00AC1F66">
          <w:rPr>
            <w:rStyle w:val="Hyperlink"/>
            <w:noProof/>
          </w:rPr>
          <w:t>Municipal Infrastructure Assets &amp; Maintenance (Q&amp;M)</w:t>
        </w:r>
        <w:r w:rsidR="001D1E46">
          <w:rPr>
            <w:noProof/>
            <w:webHidden/>
          </w:rPr>
          <w:tab/>
        </w:r>
        <w:r w:rsidR="001D1E46">
          <w:rPr>
            <w:noProof/>
            <w:webHidden/>
          </w:rPr>
          <w:fldChar w:fldCharType="begin"/>
        </w:r>
        <w:r w:rsidR="001D1E46">
          <w:rPr>
            <w:noProof/>
            <w:webHidden/>
          </w:rPr>
          <w:instrText xml:space="preserve"> PAGEREF _Toc510706654 \h </w:instrText>
        </w:r>
        <w:r w:rsidR="001D1E46">
          <w:rPr>
            <w:noProof/>
            <w:webHidden/>
          </w:rPr>
        </w:r>
        <w:r w:rsidR="001D1E46">
          <w:rPr>
            <w:noProof/>
            <w:webHidden/>
          </w:rPr>
          <w:fldChar w:fldCharType="separate"/>
        </w:r>
        <w:r w:rsidR="0067023A">
          <w:rPr>
            <w:noProof/>
            <w:webHidden/>
          </w:rPr>
          <w:t>138</w:t>
        </w:r>
        <w:r w:rsidR="001D1E46">
          <w:rPr>
            <w:noProof/>
            <w:webHidden/>
          </w:rPr>
          <w:fldChar w:fldCharType="end"/>
        </w:r>
      </w:hyperlink>
    </w:p>
    <w:p w14:paraId="0676F03B" w14:textId="77777777" w:rsidR="001D1E46" w:rsidRDefault="00B918A6">
      <w:pPr>
        <w:pStyle w:val="TOC3"/>
        <w:rPr>
          <w:rFonts w:eastAsiaTheme="minorEastAsia"/>
          <w:i w:val="0"/>
          <w:iCs w:val="0"/>
          <w:noProof/>
          <w:sz w:val="22"/>
          <w:szCs w:val="22"/>
          <w:lang w:val="en-ZA" w:eastAsia="en-ZA"/>
        </w:rPr>
      </w:pPr>
      <w:hyperlink w:anchor="_Toc510706655" w:history="1">
        <w:r w:rsidR="001D1E46" w:rsidRPr="00AC1F66">
          <w:rPr>
            <w:rStyle w:val="Hyperlink"/>
            <w:noProof/>
          </w:rPr>
          <w:t>3.9.13.</w:t>
        </w:r>
        <w:r w:rsidR="001D1E46">
          <w:rPr>
            <w:rFonts w:eastAsiaTheme="minorEastAsia"/>
            <w:i w:val="0"/>
            <w:iCs w:val="0"/>
            <w:noProof/>
            <w:sz w:val="22"/>
            <w:szCs w:val="22"/>
            <w:lang w:val="en-ZA" w:eastAsia="en-ZA"/>
          </w:rPr>
          <w:tab/>
        </w:r>
        <w:r w:rsidR="001D1E46" w:rsidRPr="00AC1F66">
          <w:rPr>
            <w:rStyle w:val="Hyperlink"/>
            <w:noProof/>
          </w:rPr>
          <w:t>Borrowings (DBSA)</w:t>
        </w:r>
        <w:r w:rsidR="001D1E46">
          <w:rPr>
            <w:noProof/>
            <w:webHidden/>
          </w:rPr>
          <w:tab/>
        </w:r>
        <w:r w:rsidR="001D1E46">
          <w:rPr>
            <w:noProof/>
            <w:webHidden/>
          </w:rPr>
          <w:fldChar w:fldCharType="begin"/>
        </w:r>
        <w:r w:rsidR="001D1E46">
          <w:rPr>
            <w:noProof/>
            <w:webHidden/>
          </w:rPr>
          <w:instrText xml:space="preserve"> PAGEREF _Toc510706655 \h </w:instrText>
        </w:r>
        <w:r w:rsidR="001D1E46">
          <w:rPr>
            <w:noProof/>
            <w:webHidden/>
          </w:rPr>
        </w:r>
        <w:r w:rsidR="001D1E46">
          <w:rPr>
            <w:noProof/>
            <w:webHidden/>
          </w:rPr>
          <w:fldChar w:fldCharType="separate"/>
        </w:r>
        <w:r w:rsidR="0067023A">
          <w:rPr>
            <w:noProof/>
            <w:webHidden/>
          </w:rPr>
          <w:t>139</w:t>
        </w:r>
        <w:r w:rsidR="001D1E46">
          <w:rPr>
            <w:noProof/>
            <w:webHidden/>
          </w:rPr>
          <w:fldChar w:fldCharType="end"/>
        </w:r>
      </w:hyperlink>
    </w:p>
    <w:p w14:paraId="1BEAABA0" w14:textId="77777777" w:rsidR="001D1E46" w:rsidRDefault="00B918A6">
      <w:pPr>
        <w:pStyle w:val="TOC3"/>
        <w:rPr>
          <w:rFonts w:eastAsiaTheme="minorEastAsia"/>
          <w:i w:val="0"/>
          <w:iCs w:val="0"/>
          <w:noProof/>
          <w:sz w:val="22"/>
          <w:szCs w:val="22"/>
          <w:lang w:val="en-ZA" w:eastAsia="en-ZA"/>
        </w:rPr>
      </w:pPr>
      <w:hyperlink w:anchor="_Toc510706656" w:history="1">
        <w:r w:rsidR="001D1E46" w:rsidRPr="00AC1F66">
          <w:rPr>
            <w:rStyle w:val="Hyperlink"/>
            <w:noProof/>
          </w:rPr>
          <w:t>3.9.14.</w:t>
        </w:r>
        <w:r w:rsidR="001D1E46">
          <w:rPr>
            <w:rFonts w:eastAsiaTheme="minorEastAsia"/>
            <w:i w:val="0"/>
            <w:iCs w:val="0"/>
            <w:noProof/>
            <w:sz w:val="22"/>
            <w:szCs w:val="22"/>
            <w:lang w:val="en-ZA" w:eastAsia="en-ZA"/>
          </w:rPr>
          <w:tab/>
        </w:r>
        <w:r w:rsidR="001D1E46" w:rsidRPr="00AC1F66">
          <w:rPr>
            <w:rStyle w:val="Hyperlink"/>
            <w:noProof/>
          </w:rPr>
          <w:t>Municipality’s Credit Rating</w:t>
        </w:r>
        <w:r w:rsidR="001D1E46">
          <w:rPr>
            <w:noProof/>
            <w:webHidden/>
          </w:rPr>
          <w:tab/>
        </w:r>
        <w:r w:rsidR="001D1E46">
          <w:rPr>
            <w:noProof/>
            <w:webHidden/>
          </w:rPr>
          <w:fldChar w:fldCharType="begin"/>
        </w:r>
        <w:r w:rsidR="001D1E46">
          <w:rPr>
            <w:noProof/>
            <w:webHidden/>
          </w:rPr>
          <w:instrText xml:space="preserve"> PAGEREF _Toc510706656 \h </w:instrText>
        </w:r>
        <w:r w:rsidR="001D1E46">
          <w:rPr>
            <w:noProof/>
            <w:webHidden/>
          </w:rPr>
        </w:r>
        <w:r w:rsidR="001D1E46">
          <w:rPr>
            <w:noProof/>
            <w:webHidden/>
          </w:rPr>
          <w:fldChar w:fldCharType="separate"/>
        </w:r>
        <w:r w:rsidR="0067023A">
          <w:rPr>
            <w:noProof/>
            <w:webHidden/>
          </w:rPr>
          <w:t>139</w:t>
        </w:r>
        <w:r w:rsidR="001D1E46">
          <w:rPr>
            <w:noProof/>
            <w:webHidden/>
          </w:rPr>
          <w:fldChar w:fldCharType="end"/>
        </w:r>
      </w:hyperlink>
    </w:p>
    <w:p w14:paraId="14C6E8B4" w14:textId="77777777" w:rsidR="001D1E46" w:rsidRDefault="00B918A6">
      <w:pPr>
        <w:pStyle w:val="TOC3"/>
        <w:rPr>
          <w:rFonts w:eastAsiaTheme="minorEastAsia"/>
          <w:i w:val="0"/>
          <w:iCs w:val="0"/>
          <w:noProof/>
          <w:sz w:val="22"/>
          <w:szCs w:val="22"/>
          <w:lang w:val="en-ZA" w:eastAsia="en-ZA"/>
        </w:rPr>
      </w:pPr>
      <w:hyperlink w:anchor="_Toc510706657" w:history="1">
        <w:r w:rsidR="001D1E46" w:rsidRPr="00AC1F66">
          <w:rPr>
            <w:rStyle w:val="Hyperlink"/>
            <w:noProof/>
            <w:highlight w:val="yellow"/>
          </w:rPr>
          <w:t>3.9.15.</w:t>
        </w:r>
        <w:r w:rsidR="001D1E46">
          <w:rPr>
            <w:rFonts w:eastAsiaTheme="minorEastAsia"/>
            <w:i w:val="0"/>
            <w:iCs w:val="0"/>
            <w:noProof/>
            <w:sz w:val="22"/>
            <w:szCs w:val="22"/>
            <w:lang w:val="en-ZA" w:eastAsia="en-ZA"/>
          </w:rPr>
          <w:tab/>
        </w:r>
        <w:r w:rsidR="001D1E46" w:rsidRPr="00AC1F66">
          <w:rPr>
            <w:rStyle w:val="Hyperlink"/>
            <w:noProof/>
            <w:highlight w:val="yellow"/>
          </w:rPr>
          <w:t>Employee Related Costs (including councilor allowances)</w:t>
        </w:r>
        <w:r w:rsidR="001D1E46">
          <w:rPr>
            <w:noProof/>
            <w:webHidden/>
          </w:rPr>
          <w:tab/>
        </w:r>
        <w:r w:rsidR="001D1E46">
          <w:rPr>
            <w:noProof/>
            <w:webHidden/>
          </w:rPr>
          <w:fldChar w:fldCharType="begin"/>
        </w:r>
        <w:r w:rsidR="001D1E46">
          <w:rPr>
            <w:noProof/>
            <w:webHidden/>
          </w:rPr>
          <w:instrText xml:space="preserve"> PAGEREF _Toc510706657 \h </w:instrText>
        </w:r>
        <w:r w:rsidR="001D1E46">
          <w:rPr>
            <w:noProof/>
            <w:webHidden/>
          </w:rPr>
        </w:r>
        <w:r w:rsidR="001D1E46">
          <w:rPr>
            <w:noProof/>
            <w:webHidden/>
          </w:rPr>
          <w:fldChar w:fldCharType="separate"/>
        </w:r>
        <w:r w:rsidR="0067023A">
          <w:rPr>
            <w:noProof/>
            <w:webHidden/>
          </w:rPr>
          <w:t>139</w:t>
        </w:r>
        <w:r w:rsidR="001D1E46">
          <w:rPr>
            <w:noProof/>
            <w:webHidden/>
          </w:rPr>
          <w:fldChar w:fldCharType="end"/>
        </w:r>
      </w:hyperlink>
    </w:p>
    <w:p w14:paraId="2DD9F11F" w14:textId="77777777" w:rsidR="001D1E46" w:rsidRDefault="00B918A6">
      <w:pPr>
        <w:pStyle w:val="TOC3"/>
        <w:rPr>
          <w:rFonts w:eastAsiaTheme="minorEastAsia"/>
          <w:i w:val="0"/>
          <w:iCs w:val="0"/>
          <w:noProof/>
          <w:sz w:val="22"/>
          <w:szCs w:val="22"/>
          <w:lang w:val="en-ZA" w:eastAsia="en-ZA"/>
        </w:rPr>
      </w:pPr>
      <w:hyperlink w:anchor="_Toc510706658" w:history="1">
        <w:r w:rsidR="001D1E46" w:rsidRPr="00AC1F66">
          <w:rPr>
            <w:rStyle w:val="Hyperlink"/>
            <w:noProof/>
          </w:rPr>
          <w:t>3.9.16.</w:t>
        </w:r>
        <w:r w:rsidR="001D1E46">
          <w:rPr>
            <w:rFonts w:eastAsiaTheme="minorEastAsia"/>
            <w:i w:val="0"/>
            <w:iCs w:val="0"/>
            <w:noProof/>
            <w:sz w:val="22"/>
            <w:szCs w:val="22"/>
            <w:lang w:val="en-ZA" w:eastAsia="en-ZA"/>
          </w:rPr>
          <w:tab/>
        </w:r>
        <w:r w:rsidR="001D1E46" w:rsidRPr="00AC1F66">
          <w:rPr>
            <w:rStyle w:val="Hyperlink"/>
            <w:noProof/>
          </w:rPr>
          <w:t>Financial Viability/Sustainability</w:t>
        </w:r>
        <w:r w:rsidR="001D1E46">
          <w:rPr>
            <w:noProof/>
            <w:webHidden/>
          </w:rPr>
          <w:tab/>
        </w:r>
        <w:r w:rsidR="001D1E46">
          <w:rPr>
            <w:noProof/>
            <w:webHidden/>
          </w:rPr>
          <w:fldChar w:fldCharType="begin"/>
        </w:r>
        <w:r w:rsidR="001D1E46">
          <w:rPr>
            <w:noProof/>
            <w:webHidden/>
          </w:rPr>
          <w:instrText xml:space="preserve"> PAGEREF _Toc510706658 \h </w:instrText>
        </w:r>
        <w:r w:rsidR="001D1E46">
          <w:rPr>
            <w:noProof/>
            <w:webHidden/>
          </w:rPr>
        </w:r>
        <w:r w:rsidR="001D1E46">
          <w:rPr>
            <w:noProof/>
            <w:webHidden/>
          </w:rPr>
          <w:fldChar w:fldCharType="separate"/>
        </w:r>
        <w:r w:rsidR="0067023A">
          <w:rPr>
            <w:noProof/>
            <w:webHidden/>
          </w:rPr>
          <w:t>139</w:t>
        </w:r>
        <w:r w:rsidR="001D1E46">
          <w:rPr>
            <w:noProof/>
            <w:webHidden/>
          </w:rPr>
          <w:fldChar w:fldCharType="end"/>
        </w:r>
      </w:hyperlink>
    </w:p>
    <w:p w14:paraId="1D0400CA" w14:textId="77777777" w:rsidR="001D1E46" w:rsidRDefault="00B918A6">
      <w:pPr>
        <w:pStyle w:val="TOC3"/>
        <w:rPr>
          <w:rFonts w:eastAsiaTheme="minorEastAsia"/>
          <w:i w:val="0"/>
          <w:iCs w:val="0"/>
          <w:noProof/>
          <w:sz w:val="22"/>
          <w:szCs w:val="22"/>
          <w:lang w:val="en-ZA" w:eastAsia="en-ZA"/>
        </w:rPr>
      </w:pPr>
      <w:hyperlink w:anchor="_Toc510706659" w:history="1">
        <w:r w:rsidR="001D1E46" w:rsidRPr="00AC1F66">
          <w:rPr>
            <w:rStyle w:val="Hyperlink"/>
            <w:noProof/>
          </w:rPr>
          <w:t>3.9.17.</w:t>
        </w:r>
        <w:r w:rsidR="001D1E46">
          <w:rPr>
            <w:rFonts w:eastAsiaTheme="minorEastAsia"/>
            <w:i w:val="0"/>
            <w:iCs w:val="0"/>
            <w:noProof/>
            <w:sz w:val="22"/>
            <w:szCs w:val="22"/>
            <w:lang w:val="en-ZA" w:eastAsia="en-ZA"/>
          </w:rPr>
          <w:tab/>
        </w:r>
        <w:r w:rsidR="001D1E46" w:rsidRPr="00AC1F66">
          <w:rPr>
            <w:rStyle w:val="Hyperlink"/>
            <w:noProof/>
          </w:rPr>
          <w:t>Supply Chain Management (SCM)</w:t>
        </w:r>
        <w:r w:rsidR="001D1E46">
          <w:rPr>
            <w:noProof/>
            <w:webHidden/>
          </w:rPr>
          <w:tab/>
        </w:r>
        <w:r w:rsidR="001D1E46">
          <w:rPr>
            <w:noProof/>
            <w:webHidden/>
          </w:rPr>
          <w:fldChar w:fldCharType="begin"/>
        </w:r>
        <w:r w:rsidR="001D1E46">
          <w:rPr>
            <w:noProof/>
            <w:webHidden/>
          </w:rPr>
          <w:instrText xml:space="preserve"> PAGEREF _Toc510706659 \h </w:instrText>
        </w:r>
        <w:r w:rsidR="001D1E46">
          <w:rPr>
            <w:noProof/>
            <w:webHidden/>
          </w:rPr>
        </w:r>
        <w:r w:rsidR="001D1E46">
          <w:rPr>
            <w:noProof/>
            <w:webHidden/>
          </w:rPr>
          <w:fldChar w:fldCharType="separate"/>
        </w:r>
        <w:r w:rsidR="0067023A">
          <w:rPr>
            <w:noProof/>
            <w:webHidden/>
          </w:rPr>
          <w:t>140</w:t>
        </w:r>
        <w:r w:rsidR="001D1E46">
          <w:rPr>
            <w:noProof/>
            <w:webHidden/>
          </w:rPr>
          <w:fldChar w:fldCharType="end"/>
        </w:r>
      </w:hyperlink>
    </w:p>
    <w:p w14:paraId="3D9F06A5" w14:textId="77777777" w:rsidR="001D1E46" w:rsidRDefault="00B918A6">
      <w:pPr>
        <w:pStyle w:val="TOC3"/>
        <w:rPr>
          <w:rFonts w:eastAsiaTheme="minorEastAsia"/>
          <w:i w:val="0"/>
          <w:iCs w:val="0"/>
          <w:noProof/>
          <w:sz w:val="22"/>
          <w:szCs w:val="22"/>
          <w:lang w:val="en-ZA" w:eastAsia="en-ZA"/>
        </w:rPr>
      </w:pPr>
      <w:hyperlink w:anchor="_Toc510706660" w:history="1">
        <w:r w:rsidR="001D1E46" w:rsidRPr="00AC1F66">
          <w:rPr>
            <w:rStyle w:val="Hyperlink"/>
            <w:noProof/>
          </w:rPr>
          <w:t>3.9.18.</w:t>
        </w:r>
        <w:r w:rsidR="001D1E46">
          <w:rPr>
            <w:rFonts w:eastAsiaTheme="minorEastAsia"/>
            <w:i w:val="0"/>
            <w:iCs w:val="0"/>
            <w:noProof/>
            <w:sz w:val="22"/>
            <w:szCs w:val="22"/>
            <w:lang w:val="en-ZA" w:eastAsia="en-ZA"/>
          </w:rPr>
          <w:tab/>
        </w:r>
        <w:r w:rsidR="001D1E46" w:rsidRPr="00AC1F66">
          <w:rPr>
            <w:rStyle w:val="Hyperlink"/>
            <w:noProof/>
          </w:rPr>
          <w:t>Financial Viability &amp; Management: SWOT ANALYSIS</w:t>
        </w:r>
        <w:r w:rsidR="001D1E46">
          <w:rPr>
            <w:noProof/>
            <w:webHidden/>
          </w:rPr>
          <w:tab/>
        </w:r>
        <w:r w:rsidR="001D1E46">
          <w:rPr>
            <w:noProof/>
            <w:webHidden/>
          </w:rPr>
          <w:fldChar w:fldCharType="begin"/>
        </w:r>
        <w:r w:rsidR="001D1E46">
          <w:rPr>
            <w:noProof/>
            <w:webHidden/>
          </w:rPr>
          <w:instrText xml:space="preserve"> PAGEREF _Toc510706660 \h </w:instrText>
        </w:r>
        <w:r w:rsidR="001D1E46">
          <w:rPr>
            <w:noProof/>
            <w:webHidden/>
          </w:rPr>
        </w:r>
        <w:r w:rsidR="001D1E46">
          <w:rPr>
            <w:noProof/>
            <w:webHidden/>
          </w:rPr>
          <w:fldChar w:fldCharType="separate"/>
        </w:r>
        <w:r w:rsidR="0067023A">
          <w:rPr>
            <w:noProof/>
            <w:webHidden/>
          </w:rPr>
          <w:t>140</w:t>
        </w:r>
        <w:r w:rsidR="001D1E46">
          <w:rPr>
            <w:noProof/>
            <w:webHidden/>
          </w:rPr>
          <w:fldChar w:fldCharType="end"/>
        </w:r>
      </w:hyperlink>
    </w:p>
    <w:p w14:paraId="18CEC9CD" w14:textId="77777777" w:rsidR="001D1E46" w:rsidRDefault="00B918A6">
      <w:pPr>
        <w:pStyle w:val="TOC2"/>
        <w:tabs>
          <w:tab w:val="left" w:pos="1000"/>
          <w:tab w:val="right" w:leader="dot" w:pos="9629"/>
        </w:tabs>
        <w:rPr>
          <w:rFonts w:eastAsiaTheme="minorEastAsia"/>
          <w:smallCaps w:val="0"/>
          <w:noProof/>
          <w:sz w:val="22"/>
          <w:szCs w:val="22"/>
          <w:lang w:val="en-ZA" w:eastAsia="en-ZA"/>
        </w:rPr>
      </w:pPr>
      <w:hyperlink w:anchor="_Toc510706661" w:history="1">
        <w:r w:rsidR="001D1E46" w:rsidRPr="00AC1F66">
          <w:rPr>
            <w:rStyle w:val="Hyperlink"/>
            <w:noProof/>
          </w:rPr>
          <w:t>3.10.</w:t>
        </w:r>
        <w:r w:rsidR="001D1E46">
          <w:rPr>
            <w:rFonts w:eastAsiaTheme="minorEastAsia"/>
            <w:smallCaps w:val="0"/>
            <w:noProof/>
            <w:sz w:val="22"/>
            <w:szCs w:val="22"/>
            <w:lang w:val="en-ZA" w:eastAsia="en-ZA"/>
          </w:rPr>
          <w:tab/>
        </w:r>
        <w:r w:rsidR="001D1E46" w:rsidRPr="00AC1F66">
          <w:rPr>
            <w:rStyle w:val="Hyperlink"/>
            <w:noProof/>
          </w:rPr>
          <w:t>GOOD GOVERNANCE ANALYSIS</w:t>
        </w:r>
        <w:r w:rsidR="001D1E46">
          <w:rPr>
            <w:noProof/>
            <w:webHidden/>
          </w:rPr>
          <w:tab/>
        </w:r>
        <w:r w:rsidR="001D1E46">
          <w:rPr>
            <w:noProof/>
            <w:webHidden/>
          </w:rPr>
          <w:fldChar w:fldCharType="begin"/>
        </w:r>
        <w:r w:rsidR="001D1E46">
          <w:rPr>
            <w:noProof/>
            <w:webHidden/>
          </w:rPr>
          <w:instrText xml:space="preserve"> PAGEREF _Toc510706661 \h </w:instrText>
        </w:r>
        <w:r w:rsidR="001D1E46">
          <w:rPr>
            <w:noProof/>
            <w:webHidden/>
          </w:rPr>
        </w:r>
        <w:r w:rsidR="001D1E46">
          <w:rPr>
            <w:noProof/>
            <w:webHidden/>
          </w:rPr>
          <w:fldChar w:fldCharType="separate"/>
        </w:r>
        <w:r w:rsidR="0067023A">
          <w:rPr>
            <w:noProof/>
            <w:webHidden/>
          </w:rPr>
          <w:t>141</w:t>
        </w:r>
        <w:r w:rsidR="001D1E46">
          <w:rPr>
            <w:noProof/>
            <w:webHidden/>
          </w:rPr>
          <w:fldChar w:fldCharType="end"/>
        </w:r>
      </w:hyperlink>
    </w:p>
    <w:p w14:paraId="5020797D" w14:textId="77777777" w:rsidR="001D1E46" w:rsidRDefault="00B918A6">
      <w:pPr>
        <w:pStyle w:val="TOC3"/>
        <w:rPr>
          <w:rFonts w:eastAsiaTheme="minorEastAsia"/>
          <w:i w:val="0"/>
          <w:iCs w:val="0"/>
          <w:noProof/>
          <w:sz w:val="22"/>
          <w:szCs w:val="22"/>
          <w:lang w:val="en-ZA" w:eastAsia="en-ZA"/>
        </w:rPr>
      </w:pPr>
      <w:hyperlink w:anchor="_Toc510706662" w:history="1">
        <w:r w:rsidR="001D1E46" w:rsidRPr="00AC1F66">
          <w:rPr>
            <w:rStyle w:val="Hyperlink"/>
            <w:noProof/>
          </w:rPr>
          <w:t>3.10.4.</w:t>
        </w:r>
        <w:r w:rsidR="001D1E46">
          <w:rPr>
            <w:rFonts w:eastAsiaTheme="minorEastAsia"/>
            <w:i w:val="0"/>
            <w:iCs w:val="0"/>
            <w:noProof/>
            <w:sz w:val="22"/>
            <w:szCs w:val="22"/>
            <w:lang w:val="en-ZA" w:eastAsia="en-ZA"/>
          </w:rPr>
          <w:tab/>
        </w:r>
        <w:r w:rsidR="001D1E46" w:rsidRPr="00AC1F66">
          <w:rPr>
            <w:rStyle w:val="Hyperlink"/>
            <w:noProof/>
          </w:rPr>
          <w:t>National and Provincial Programs rolled-out at Municipal Level</w:t>
        </w:r>
        <w:r w:rsidR="001D1E46">
          <w:rPr>
            <w:noProof/>
            <w:webHidden/>
          </w:rPr>
          <w:tab/>
        </w:r>
        <w:r w:rsidR="001D1E46">
          <w:rPr>
            <w:noProof/>
            <w:webHidden/>
          </w:rPr>
          <w:fldChar w:fldCharType="begin"/>
        </w:r>
        <w:r w:rsidR="001D1E46">
          <w:rPr>
            <w:noProof/>
            <w:webHidden/>
          </w:rPr>
          <w:instrText xml:space="preserve"> PAGEREF _Toc510706662 \h </w:instrText>
        </w:r>
        <w:r w:rsidR="001D1E46">
          <w:rPr>
            <w:noProof/>
            <w:webHidden/>
          </w:rPr>
        </w:r>
        <w:r w:rsidR="001D1E46">
          <w:rPr>
            <w:noProof/>
            <w:webHidden/>
          </w:rPr>
          <w:fldChar w:fldCharType="separate"/>
        </w:r>
        <w:r w:rsidR="0067023A">
          <w:rPr>
            <w:noProof/>
            <w:webHidden/>
          </w:rPr>
          <w:t>141</w:t>
        </w:r>
        <w:r w:rsidR="001D1E46">
          <w:rPr>
            <w:noProof/>
            <w:webHidden/>
          </w:rPr>
          <w:fldChar w:fldCharType="end"/>
        </w:r>
      </w:hyperlink>
    </w:p>
    <w:p w14:paraId="08E19D36" w14:textId="77777777" w:rsidR="001D1E46" w:rsidRDefault="00B918A6">
      <w:pPr>
        <w:pStyle w:val="TOC3"/>
        <w:rPr>
          <w:rFonts w:eastAsiaTheme="minorEastAsia"/>
          <w:i w:val="0"/>
          <w:iCs w:val="0"/>
          <w:noProof/>
          <w:sz w:val="22"/>
          <w:szCs w:val="22"/>
          <w:lang w:val="en-ZA" w:eastAsia="en-ZA"/>
        </w:rPr>
      </w:pPr>
      <w:hyperlink w:anchor="_Toc510706663" w:history="1">
        <w:r w:rsidR="001D1E46" w:rsidRPr="00AC1F66">
          <w:rPr>
            <w:rStyle w:val="Hyperlink"/>
            <w:noProof/>
          </w:rPr>
          <w:t>3.10.5.</w:t>
        </w:r>
        <w:r w:rsidR="001D1E46">
          <w:rPr>
            <w:rFonts w:eastAsiaTheme="minorEastAsia"/>
            <w:i w:val="0"/>
            <w:iCs w:val="0"/>
            <w:noProof/>
            <w:sz w:val="22"/>
            <w:szCs w:val="22"/>
            <w:lang w:val="en-ZA" w:eastAsia="en-ZA"/>
          </w:rPr>
          <w:tab/>
        </w:r>
        <w:r w:rsidR="001D1E46" w:rsidRPr="00AC1F66">
          <w:rPr>
            <w:rStyle w:val="Hyperlink"/>
            <w:noProof/>
          </w:rPr>
          <w:t>IGR</w:t>
        </w:r>
        <w:r w:rsidR="001D1E46">
          <w:rPr>
            <w:noProof/>
            <w:webHidden/>
          </w:rPr>
          <w:tab/>
        </w:r>
        <w:r w:rsidR="001D1E46">
          <w:rPr>
            <w:noProof/>
            <w:webHidden/>
          </w:rPr>
          <w:fldChar w:fldCharType="begin"/>
        </w:r>
        <w:r w:rsidR="001D1E46">
          <w:rPr>
            <w:noProof/>
            <w:webHidden/>
          </w:rPr>
          <w:instrText xml:space="preserve"> PAGEREF _Toc510706663 \h </w:instrText>
        </w:r>
        <w:r w:rsidR="001D1E46">
          <w:rPr>
            <w:noProof/>
            <w:webHidden/>
          </w:rPr>
        </w:r>
        <w:r w:rsidR="001D1E46">
          <w:rPr>
            <w:noProof/>
            <w:webHidden/>
          </w:rPr>
          <w:fldChar w:fldCharType="separate"/>
        </w:r>
        <w:r w:rsidR="0067023A">
          <w:rPr>
            <w:noProof/>
            <w:webHidden/>
          </w:rPr>
          <w:t>148</w:t>
        </w:r>
        <w:r w:rsidR="001D1E46">
          <w:rPr>
            <w:noProof/>
            <w:webHidden/>
          </w:rPr>
          <w:fldChar w:fldCharType="end"/>
        </w:r>
      </w:hyperlink>
    </w:p>
    <w:p w14:paraId="5258CA34" w14:textId="77777777" w:rsidR="001D1E46" w:rsidRDefault="00B918A6">
      <w:pPr>
        <w:pStyle w:val="TOC3"/>
        <w:rPr>
          <w:rFonts w:eastAsiaTheme="minorEastAsia"/>
          <w:i w:val="0"/>
          <w:iCs w:val="0"/>
          <w:noProof/>
          <w:sz w:val="22"/>
          <w:szCs w:val="22"/>
          <w:lang w:val="en-ZA" w:eastAsia="en-ZA"/>
        </w:rPr>
      </w:pPr>
      <w:hyperlink w:anchor="_Toc510706664" w:history="1">
        <w:r w:rsidR="001D1E46" w:rsidRPr="00AC1F66">
          <w:rPr>
            <w:rStyle w:val="Hyperlink"/>
            <w:noProof/>
          </w:rPr>
          <w:t>3.10.6.</w:t>
        </w:r>
        <w:r w:rsidR="001D1E46">
          <w:rPr>
            <w:rFonts w:eastAsiaTheme="minorEastAsia"/>
            <w:i w:val="0"/>
            <w:iCs w:val="0"/>
            <w:noProof/>
            <w:sz w:val="22"/>
            <w:szCs w:val="22"/>
            <w:lang w:val="en-ZA" w:eastAsia="en-ZA"/>
          </w:rPr>
          <w:tab/>
        </w:r>
        <w:r w:rsidR="001D1E46" w:rsidRPr="00AC1F66">
          <w:rPr>
            <w:rStyle w:val="Hyperlink"/>
            <w:noProof/>
          </w:rPr>
          <w:t>Municipal Risk Management</w:t>
        </w:r>
        <w:r w:rsidR="001D1E46">
          <w:rPr>
            <w:noProof/>
            <w:webHidden/>
          </w:rPr>
          <w:tab/>
        </w:r>
        <w:r w:rsidR="001D1E46">
          <w:rPr>
            <w:noProof/>
            <w:webHidden/>
          </w:rPr>
          <w:fldChar w:fldCharType="begin"/>
        </w:r>
        <w:r w:rsidR="001D1E46">
          <w:rPr>
            <w:noProof/>
            <w:webHidden/>
          </w:rPr>
          <w:instrText xml:space="preserve"> PAGEREF _Toc510706664 \h </w:instrText>
        </w:r>
        <w:r w:rsidR="001D1E46">
          <w:rPr>
            <w:noProof/>
            <w:webHidden/>
          </w:rPr>
        </w:r>
        <w:r w:rsidR="001D1E46">
          <w:rPr>
            <w:noProof/>
            <w:webHidden/>
          </w:rPr>
          <w:fldChar w:fldCharType="separate"/>
        </w:r>
        <w:r w:rsidR="0067023A">
          <w:rPr>
            <w:noProof/>
            <w:webHidden/>
          </w:rPr>
          <w:t>155</w:t>
        </w:r>
        <w:r w:rsidR="001D1E46">
          <w:rPr>
            <w:noProof/>
            <w:webHidden/>
          </w:rPr>
          <w:fldChar w:fldCharType="end"/>
        </w:r>
      </w:hyperlink>
    </w:p>
    <w:p w14:paraId="3351FF76" w14:textId="77777777" w:rsidR="001D1E46" w:rsidRDefault="00B918A6">
      <w:pPr>
        <w:pStyle w:val="TOC3"/>
        <w:rPr>
          <w:rFonts w:eastAsiaTheme="minorEastAsia"/>
          <w:i w:val="0"/>
          <w:iCs w:val="0"/>
          <w:noProof/>
          <w:sz w:val="22"/>
          <w:szCs w:val="22"/>
          <w:lang w:val="en-ZA" w:eastAsia="en-ZA"/>
        </w:rPr>
      </w:pPr>
      <w:hyperlink w:anchor="_Toc510706665" w:history="1">
        <w:r w:rsidR="001D1E46" w:rsidRPr="00AC1F66">
          <w:rPr>
            <w:rStyle w:val="Hyperlink"/>
            <w:noProof/>
          </w:rPr>
          <w:t>3.10.7.</w:t>
        </w:r>
        <w:r w:rsidR="001D1E46">
          <w:rPr>
            <w:rFonts w:eastAsiaTheme="minorEastAsia"/>
            <w:i w:val="0"/>
            <w:iCs w:val="0"/>
            <w:noProof/>
            <w:sz w:val="22"/>
            <w:szCs w:val="22"/>
            <w:lang w:val="en-ZA" w:eastAsia="en-ZA"/>
          </w:rPr>
          <w:tab/>
        </w:r>
        <w:r w:rsidR="001D1E46" w:rsidRPr="00AC1F66">
          <w:rPr>
            <w:rStyle w:val="Hyperlink"/>
            <w:noProof/>
          </w:rPr>
          <w:t>Fraud &amp; Corruption</w:t>
        </w:r>
        <w:r w:rsidR="001D1E46">
          <w:rPr>
            <w:noProof/>
            <w:webHidden/>
          </w:rPr>
          <w:tab/>
        </w:r>
        <w:r w:rsidR="001D1E46">
          <w:rPr>
            <w:noProof/>
            <w:webHidden/>
          </w:rPr>
          <w:fldChar w:fldCharType="begin"/>
        </w:r>
        <w:r w:rsidR="001D1E46">
          <w:rPr>
            <w:noProof/>
            <w:webHidden/>
          </w:rPr>
          <w:instrText xml:space="preserve"> PAGEREF _Toc510706665 \h </w:instrText>
        </w:r>
        <w:r w:rsidR="001D1E46">
          <w:rPr>
            <w:noProof/>
            <w:webHidden/>
          </w:rPr>
        </w:r>
        <w:r w:rsidR="001D1E46">
          <w:rPr>
            <w:noProof/>
            <w:webHidden/>
          </w:rPr>
          <w:fldChar w:fldCharType="separate"/>
        </w:r>
        <w:r w:rsidR="0067023A">
          <w:rPr>
            <w:noProof/>
            <w:webHidden/>
          </w:rPr>
          <w:t>158</w:t>
        </w:r>
        <w:r w:rsidR="001D1E46">
          <w:rPr>
            <w:noProof/>
            <w:webHidden/>
          </w:rPr>
          <w:fldChar w:fldCharType="end"/>
        </w:r>
      </w:hyperlink>
    </w:p>
    <w:p w14:paraId="6BC23226" w14:textId="77777777" w:rsidR="001D1E46" w:rsidRDefault="00B918A6">
      <w:pPr>
        <w:pStyle w:val="TOC3"/>
        <w:rPr>
          <w:rFonts w:eastAsiaTheme="minorEastAsia"/>
          <w:i w:val="0"/>
          <w:iCs w:val="0"/>
          <w:noProof/>
          <w:sz w:val="22"/>
          <w:szCs w:val="22"/>
          <w:lang w:val="en-ZA" w:eastAsia="en-ZA"/>
        </w:rPr>
      </w:pPr>
      <w:hyperlink w:anchor="_Toc510706666" w:history="1">
        <w:r w:rsidR="001D1E46" w:rsidRPr="00AC1F66">
          <w:rPr>
            <w:rStyle w:val="Hyperlink"/>
            <w:noProof/>
          </w:rPr>
          <w:t>3.10.8.</w:t>
        </w:r>
        <w:r w:rsidR="001D1E46">
          <w:rPr>
            <w:rFonts w:eastAsiaTheme="minorEastAsia"/>
            <w:i w:val="0"/>
            <w:iCs w:val="0"/>
            <w:noProof/>
            <w:sz w:val="22"/>
            <w:szCs w:val="22"/>
            <w:lang w:val="en-ZA" w:eastAsia="en-ZA"/>
          </w:rPr>
          <w:tab/>
        </w:r>
        <w:r w:rsidR="001D1E46" w:rsidRPr="00AC1F66">
          <w:rPr>
            <w:rStyle w:val="Hyperlink"/>
            <w:noProof/>
          </w:rPr>
          <w:t>Municipal Bylaws</w:t>
        </w:r>
        <w:r w:rsidR="001D1E46">
          <w:rPr>
            <w:noProof/>
            <w:webHidden/>
          </w:rPr>
          <w:tab/>
        </w:r>
        <w:r w:rsidR="001D1E46">
          <w:rPr>
            <w:noProof/>
            <w:webHidden/>
          </w:rPr>
          <w:fldChar w:fldCharType="begin"/>
        </w:r>
        <w:r w:rsidR="001D1E46">
          <w:rPr>
            <w:noProof/>
            <w:webHidden/>
          </w:rPr>
          <w:instrText xml:space="preserve"> PAGEREF _Toc510706666 \h </w:instrText>
        </w:r>
        <w:r w:rsidR="001D1E46">
          <w:rPr>
            <w:noProof/>
            <w:webHidden/>
          </w:rPr>
        </w:r>
        <w:r w:rsidR="001D1E46">
          <w:rPr>
            <w:noProof/>
            <w:webHidden/>
          </w:rPr>
          <w:fldChar w:fldCharType="separate"/>
        </w:r>
        <w:r w:rsidR="0067023A">
          <w:rPr>
            <w:noProof/>
            <w:webHidden/>
          </w:rPr>
          <w:t>158</w:t>
        </w:r>
        <w:r w:rsidR="001D1E46">
          <w:rPr>
            <w:noProof/>
            <w:webHidden/>
          </w:rPr>
          <w:fldChar w:fldCharType="end"/>
        </w:r>
      </w:hyperlink>
    </w:p>
    <w:p w14:paraId="140AC54F" w14:textId="77777777" w:rsidR="001D1E46" w:rsidRDefault="00B918A6">
      <w:pPr>
        <w:pStyle w:val="TOC2"/>
        <w:tabs>
          <w:tab w:val="left" w:pos="1000"/>
          <w:tab w:val="right" w:leader="dot" w:pos="9629"/>
        </w:tabs>
        <w:rPr>
          <w:rFonts w:eastAsiaTheme="minorEastAsia"/>
          <w:smallCaps w:val="0"/>
          <w:noProof/>
          <w:sz w:val="22"/>
          <w:szCs w:val="22"/>
          <w:lang w:val="en-ZA" w:eastAsia="en-ZA"/>
        </w:rPr>
      </w:pPr>
      <w:hyperlink w:anchor="_Toc510706667" w:history="1">
        <w:r w:rsidR="001D1E46" w:rsidRPr="00AC1F66">
          <w:rPr>
            <w:rStyle w:val="Hyperlink"/>
            <w:noProof/>
          </w:rPr>
          <w:t>3.11.</w:t>
        </w:r>
        <w:r w:rsidR="001D1E46">
          <w:rPr>
            <w:rFonts w:eastAsiaTheme="minorEastAsia"/>
            <w:smallCaps w:val="0"/>
            <w:noProof/>
            <w:sz w:val="22"/>
            <w:szCs w:val="22"/>
            <w:lang w:val="en-ZA" w:eastAsia="en-ZA"/>
          </w:rPr>
          <w:tab/>
        </w:r>
        <w:r w:rsidR="001D1E46" w:rsidRPr="00AC1F66">
          <w:rPr>
            <w:rStyle w:val="Hyperlink"/>
            <w:noProof/>
          </w:rPr>
          <w:t>PUBLIC PARTICIPATION ANALYSIS</w:t>
        </w:r>
        <w:r w:rsidR="001D1E46">
          <w:rPr>
            <w:noProof/>
            <w:webHidden/>
          </w:rPr>
          <w:tab/>
        </w:r>
        <w:r w:rsidR="001D1E46">
          <w:rPr>
            <w:noProof/>
            <w:webHidden/>
          </w:rPr>
          <w:fldChar w:fldCharType="begin"/>
        </w:r>
        <w:r w:rsidR="001D1E46">
          <w:rPr>
            <w:noProof/>
            <w:webHidden/>
          </w:rPr>
          <w:instrText xml:space="preserve"> PAGEREF _Toc510706667 \h </w:instrText>
        </w:r>
        <w:r w:rsidR="001D1E46">
          <w:rPr>
            <w:noProof/>
            <w:webHidden/>
          </w:rPr>
        </w:r>
        <w:r w:rsidR="001D1E46">
          <w:rPr>
            <w:noProof/>
            <w:webHidden/>
          </w:rPr>
          <w:fldChar w:fldCharType="separate"/>
        </w:r>
        <w:r w:rsidR="0067023A">
          <w:rPr>
            <w:noProof/>
            <w:webHidden/>
          </w:rPr>
          <w:t>159</w:t>
        </w:r>
        <w:r w:rsidR="001D1E46">
          <w:rPr>
            <w:noProof/>
            <w:webHidden/>
          </w:rPr>
          <w:fldChar w:fldCharType="end"/>
        </w:r>
      </w:hyperlink>
    </w:p>
    <w:p w14:paraId="7C401195" w14:textId="77777777" w:rsidR="001D1E46" w:rsidRDefault="00B918A6">
      <w:pPr>
        <w:pStyle w:val="TOC3"/>
        <w:rPr>
          <w:rFonts w:eastAsiaTheme="minorEastAsia"/>
          <w:i w:val="0"/>
          <w:iCs w:val="0"/>
          <w:noProof/>
          <w:sz w:val="22"/>
          <w:szCs w:val="22"/>
          <w:lang w:val="en-ZA" w:eastAsia="en-ZA"/>
        </w:rPr>
      </w:pPr>
      <w:hyperlink w:anchor="_Toc510706668" w:history="1">
        <w:r w:rsidR="001D1E46" w:rsidRPr="00AC1F66">
          <w:rPr>
            <w:rStyle w:val="Hyperlink"/>
            <w:noProof/>
          </w:rPr>
          <w:t>3.11.4.</w:t>
        </w:r>
        <w:r w:rsidR="001D1E46">
          <w:rPr>
            <w:rFonts w:eastAsiaTheme="minorEastAsia"/>
            <w:i w:val="0"/>
            <w:iCs w:val="0"/>
            <w:noProof/>
            <w:sz w:val="22"/>
            <w:szCs w:val="22"/>
            <w:lang w:val="en-ZA" w:eastAsia="en-ZA"/>
          </w:rPr>
          <w:tab/>
        </w:r>
        <w:r w:rsidR="001D1E46" w:rsidRPr="00AC1F66">
          <w:rPr>
            <w:rStyle w:val="Hyperlink"/>
            <w:noProof/>
          </w:rPr>
          <w:t>Public Education</w:t>
        </w:r>
        <w:r w:rsidR="001D1E46">
          <w:rPr>
            <w:noProof/>
            <w:webHidden/>
          </w:rPr>
          <w:tab/>
        </w:r>
        <w:r w:rsidR="001D1E46">
          <w:rPr>
            <w:noProof/>
            <w:webHidden/>
          </w:rPr>
          <w:fldChar w:fldCharType="begin"/>
        </w:r>
        <w:r w:rsidR="001D1E46">
          <w:rPr>
            <w:noProof/>
            <w:webHidden/>
          </w:rPr>
          <w:instrText xml:space="preserve"> PAGEREF _Toc510706668 \h </w:instrText>
        </w:r>
        <w:r w:rsidR="001D1E46">
          <w:rPr>
            <w:noProof/>
            <w:webHidden/>
          </w:rPr>
        </w:r>
        <w:r w:rsidR="001D1E46">
          <w:rPr>
            <w:noProof/>
            <w:webHidden/>
          </w:rPr>
          <w:fldChar w:fldCharType="separate"/>
        </w:r>
        <w:r w:rsidR="0067023A">
          <w:rPr>
            <w:noProof/>
            <w:webHidden/>
          </w:rPr>
          <w:t>159</w:t>
        </w:r>
        <w:r w:rsidR="001D1E46">
          <w:rPr>
            <w:noProof/>
            <w:webHidden/>
          </w:rPr>
          <w:fldChar w:fldCharType="end"/>
        </w:r>
      </w:hyperlink>
    </w:p>
    <w:p w14:paraId="40EF6F93" w14:textId="77777777" w:rsidR="001D1E46" w:rsidRDefault="00B918A6">
      <w:pPr>
        <w:pStyle w:val="TOC3"/>
        <w:rPr>
          <w:rFonts w:eastAsiaTheme="minorEastAsia"/>
          <w:i w:val="0"/>
          <w:iCs w:val="0"/>
          <w:noProof/>
          <w:sz w:val="22"/>
          <w:szCs w:val="22"/>
          <w:lang w:val="en-ZA" w:eastAsia="en-ZA"/>
        </w:rPr>
      </w:pPr>
      <w:hyperlink w:anchor="_Toc510706669" w:history="1">
        <w:r w:rsidR="001D1E46" w:rsidRPr="00AC1F66">
          <w:rPr>
            <w:rStyle w:val="Hyperlink"/>
            <w:noProof/>
          </w:rPr>
          <w:t>3.11.5.</w:t>
        </w:r>
        <w:r w:rsidR="001D1E46">
          <w:rPr>
            <w:rFonts w:eastAsiaTheme="minorEastAsia"/>
            <w:i w:val="0"/>
            <w:iCs w:val="0"/>
            <w:noProof/>
            <w:sz w:val="22"/>
            <w:szCs w:val="22"/>
            <w:lang w:val="en-ZA" w:eastAsia="en-ZA"/>
          </w:rPr>
          <w:tab/>
        </w:r>
        <w:r w:rsidR="001D1E46" w:rsidRPr="00AC1F66">
          <w:rPr>
            <w:rStyle w:val="Hyperlink"/>
            <w:noProof/>
          </w:rPr>
          <w:t>Public Participation</w:t>
        </w:r>
        <w:r w:rsidR="001D1E46">
          <w:rPr>
            <w:noProof/>
            <w:webHidden/>
          </w:rPr>
          <w:tab/>
        </w:r>
        <w:r w:rsidR="001D1E46">
          <w:rPr>
            <w:noProof/>
            <w:webHidden/>
          </w:rPr>
          <w:fldChar w:fldCharType="begin"/>
        </w:r>
        <w:r w:rsidR="001D1E46">
          <w:rPr>
            <w:noProof/>
            <w:webHidden/>
          </w:rPr>
          <w:instrText xml:space="preserve"> PAGEREF _Toc510706669 \h </w:instrText>
        </w:r>
        <w:r w:rsidR="001D1E46">
          <w:rPr>
            <w:noProof/>
            <w:webHidden/>
          </w:rPr>
        </w:r>
        <w:r w:rsidR="001D1E46">
          <w:rPr>
            <w:noProof/>
            <w:webHidden/>
          </w:rPr>
          <w:fldChar w:fldCharType="separate"/>
        </w:r>
        <w:r w:rsidR="0067023A">
          <w:rPr>
            <w:noProof/>
            <w:webHidden/>
          </w:rPr>
          <w:t>159</w:t>
        </w:r>
        <w:r w:rsidR="001D1E46">
          <w:rPr>
            <w:noProof/>
            <w:webHidden/>
          </w:rPr>
          <w:fldChar w:fldCharType="end"/>
        </w:r>
      </w:hyperlink>
    </w:p>
    <w:p w14:paraId="3C982A5A" w14:textId="77777777" w:rsidR="001D1E46" w:rsidRDefault="00B918A6">
      <w:pPr>
        <w:pStyle w:val="TOC3"/>
        <w:rPr>
          <w:rFonts w:eastAsiaTheme="minorEastAsia"/>
          <w:i w:val="0"/>
          <w:iCs w:val="0"/>
          <w:noProof/>
          <w:sz w:val="22"/>
          <w:szCs w:val="22"/>
          <w:lang w:val="en-ZA" w:eastAsia="en-ZA"/>
        </w:rPr>
      </w:pPr>
      <w:hyperlink w:anchor="_Toc510706670" w:history="1">
        <w:r w:rsidR="001D1E46" w:rsidRPr="00AC1F66">
          <w:rPr>
            <w:rStyle w:val="Hyperlink"/>
            <w:noProof/>
          </w:rPr>
          <w:t>3.11.6.</w:t>
        </w:r>
        <w:r w:rsidR="001D1E46">
          <w:rPr>
            <w:rFonts w:eastAsiaTheme="minorEastAsia"/>
            <w:i w:val="0"/>
            <w:iCs w:val="0"/>
            <w:noProof/>
            <w:sz w:val="22"/>
            <w:szCs w:val="22"/>
            <w:lang w:val="en-ZA" w:eastAsia="en-ZA"/>
          </w:rPr>
          <w:tab/>
        </w:r>
        <w:r w:rsidR="001D1E46" w:rsidRPr="00AC1F66">
          <w:rPr>
            <w:rStyle w:val="Hyperlink"/>
            <w:noProof/>
          </w:rPr>
          <w:t>Performance Management</w:t>
        </w:r>
        <w:r w:rsidR="001D1E46">
          <w:rPr>
            <w:noProof/>
            <w:webHidden/>
          </w:rPr>
          <w:tab/>
        </w:r>
        <w:r w:rsidR="001D1E46">
          <w:rPr>
            <w:noProof/>
            <w:webHidden/>
          </w:rPr>
          <w:fldChar w:fldCharType="begin"/>
        </w:r>
        <w:r w:rsidR="001D1E46">
          <w:rPr>
            <w:noProof/>
            <w:webHidden/>
          </w:rPr>
          <w:instrText xml:space="preserve"> PAGEREF _Toc510706670 \h </w:instrText>
        </w:r>
        <w:r w:rsidR="001D1E46">
          <w:rPr>
            <w:noProof/>
            <w:webHidden/>
          </w:rPr>
        </w:r>
        <w:r w:rsidR="001D1E46">
          <w:rPr>
            <w:noProof/>
            <w:webHidden/>
          </w:rPr>
          <w:fldChar w:fldCharType="separate"/>
        </w:r>
        <w:r w:rsidR="0067023A">
          <w:rPr>
            <w:noProof/>
            <w:webHidden/>
          </w:rPr>
          <w:t>159</w:t>
        </w:r>
        <w:r w:rsidR="001D1E46">
          <w:rPr>
            <w:noProof/>
            <w:webHidden/>
          </w:rPr>
          <w:fldChar w:fldCharType="end"/>
        </w:r>
      </w:hyperlink>
    </w:p>
    <w:p w14:paraId="349D9144" w14:textId="77777777" w:rsidR="001D1E46" w:rsidRDefault="00B918A6">
      <w:pPr>
        <w:pStyle w:val="TOC3"/>
        <w:rPr>
          <w:rFonts w:eastAsiaTheme="minorEastAsia"/>
          <w:i w:val="0"/>
          <w:iCs w:val="0"/>
          <w:noProof/>
          <w:sz w:val="22"/>
          <w:szCs w:val="22"/>
          <w:lang w:val="en-ZA" w:eastAsia="en-ZA"/>
        </w:rPr>
      </w:pPr>
      <w:hyperlink w:anchor="_Toc510706671" w:history="1">
        <w:r w:rsidR="001D1E46" w:rsidRPr="00AC1F66">
          <w:rPr>
            <w:rStyle w:val="Hyperlink"/>
            <w:rFonts w:cs="Calibri"/>
            <w:noProof/>
          </w:rPr>
          <w:t>3.11.7.</w:t>
        </w:r>
        <w:r w:rsidR="001D1E46">
          <w:rPr>
            <w:rFonts w:eastAsiaTheme="minorEastAsia"/>
            <w:i w:val="0"/>
            <w:iCs w:val="0"/>
            <w:noProof/>
            <w:sz w:val="22"/>
            <w:szCs w:val="22"/>
            <w:lang w:val="en-ZA" w:eastAsia="en-ZA"/>
          </w:rPr>
          <w:tab/>
        </w:r>
        <w:r w:rsidR="001D1E46" w:rsidRPr="00AC1F66">
          <w:rPr>
            <w:rStyle w:val="Hyperlink"/>
            <w:noProof/>
          </w:rPr>
          <w:t>Marketing/Branding</w:t>
        </w:r>
        <w:r w:rsidR="001D1E46">
          <w:rPr>
            <w:noProof/>
            <w:webHidden/>
          </w:rPr>
          <w:tab/>
        </w:r>
        <w:r w:rsidR="001D1E46">
          <w:rPr>
            <w:noProof/>
            <w:webHidden/>
          </w:rPr>
          <w:fldChar w:fldCharType="begin"/>
        </w:r>
        <w:r w:rsidR="001D1E46">
          <w:rPr>
            <w:noProof/>
            <w:webHidden/>
          </w:rPr>
          <w:instrText xml:space="preserve"> PAGEREF _Toc510706671 \h </w:instrText>
        </w:r>
        <w:r w:rsidR="001D1E46">
          <w:rPr>
            <w:noProof/>
            <w:webHidden/>
          </w:rPr>
        </w:r>
        <w:r w:rsidR="001D1E46">
          <w:rPr>
            <w:noProof/>
            <w:webHidden/>
          </w:rPr>
          <w:fldChar w:fldCharType="separate"/>
        </w:r>
        <w:r w:rsidR="0067023A">
          <w:rPr>
            <w:noProof/>
            <w:webHidden/>
          </w:rPr>
          <w:t>160</w:t>
        </w:r>
        <w:r w:rsidR="001D1E46">
          <w:rPr>
            <w:noProof/>
            <w:webHidden/>
          </w:rPr>
          <w:fldChar w:fldCharType="end"/>
        </w:r>
      </w:hyperlink>
    </w:p>
    <w:p w14:paraId="1BDABDFD" w14:textId="77777777" w:rsidR="001D1E46" w:rsidRDefault="00B918A6">
      <w:pPr>
        <w:pStyle w:val="TOC2"/>
        <w:tabs>
          <w:tab w:val="left" w:pos="1000"/>
          <w:tab w:val="right" w:leader="dot" w:pos="9629"/>
        </w:tabs>
        <w:rPr>
          <w:rFonts w:eastAsiaTheme="minorEastAsia"/>
          <w:smallCaps w:val="0"/>
          <w:noProof/>
          <w:sz w:val="22"/>
          <w:szCs w:val="22"/>
          <w:lang w:val="en-ZA" w:eastAsia="en-ZA"/>
        </w:rPr>
      </w:pPr>
      <w:hyperlink w:anchor="_Toc510706672" w:history="1">
        <w:r w:rsidR="001D1E46" w:rsidRPr="00AC1F66">
          <w:rPr>
            <w:rStyle w:val="Hyperlink"/>
            <w:noProof/>
          </w:rPr>
          <w:t>3.12.</w:t>
        </w:r>
        <w:r w:rsidR="001D1E46">
          <w:rPr>
            <w:rFonts w:eastAsiaTheme="minorEastAsia"/>
            <w:smallCaps w:val="0"/>
            <w:noProof/>
            <w:sz w:val="22"/>
            <w:szCs w:val="22"/>
            <w:lang w:val="en-ZA" w:eastAsia="en-ZA"/>
          </w:rPr>
          <w:tab/>
        </w:r>
        <w:r w:rsidR="001D1E46" w:rsidRPr="00AC1F66">
          <w:rPr>
            <w:rStyle w:val="Hyperlink"/>
            <w:noProof/>
          </w:rPr>
          <w:t>GOOD GOVERNANCE &amp; PUBLIC PARTICIPATION: SWOT ANALYSIS</w:t>
        </w:r>
        <w:r w:rsidR="001D1E46">
          <w:rPr>
            <w:noProof/>
            <w:webHidden/>
          </w:rPr>
          <w:tab/>
        </w:r>
        <w:r w:rsidR="001D1E46">
          <w:rPr>
            <w:noProof/>
            <w:webHidden/>
          </w:rPr>
          <w:fldChar w:fldCharType="begin"/>
        </w:r>
        <w:r w:rsidR="001D1E46">
          <w:rPr>
            <w:noProof/>
            <w:webHidden/>
          </w:rPr>
          <w:instrText xml:space="preserve"> PAGEREF _Toc510706672 \h </w:instrText>
        </w:r>
        <w:r w:rsidR="001D1E46">
          <w:rPr>
            <w:noProof/>
            <w:webHidden/>
          </w:rPr>
        </w:r>
        <w:r w:rsidR="001D1E46">
          <w:rPr>
            <w:noProof/>
            <w:webHidden/>
          </w:rPr>
          <w:fldChar w:fldCharType="separate"/>
        </w:r>
        <w:r w:rsidR="0067023A">
          <w:rPr>
            <w:noProof/>
            <w:webHidden/>
          </w:rPr>
          <w:t>160</w:t>
        </w:r>
        <w:r w:rsidR="001D1E46">
          <w:rPr>
            <w:noProof/>
            <w:webHidden/>
          </w:rPr>
          <w:fldChar w:fldCharType="end"/>
        </w:r>
      </w:hyperlink>
    </w:p>
    <w:p w14:paraId="31B7560C" w14:textId="77777777" w:rsidR="001D1E46" w:rsidRDefault="00B918A6">
      <w:pPr>
        <w:pStyle w:val="TOC2"/>
        <w:tabs>
          <w:tab w:val="left" w:pos="1000"/>
          <w:tab w:val="right" w:leader="dot" w:pos="9629"/>
        </w:tabs>
        <w:rPr>
          <w:rFonts w:eastAsiaTheme="minorEastAsia"/>
          <w:smallCaps w:val="0"/>
          <w:noProof/>
          <w:sz w:val="22"/>
          <w:szCs w:val="22"/>
          <w:lang w:val="en-ZA" w:eastAsia="en-ZA"/>
        </w:rPr>
      </w:pPr>
      <w:hyperlink w:anchor="_Toc510706673" w:history="1">
        <w:r w:rsidR="001D1E46" w:rsidRPr="00AC1F66">
          <w:rPr>
            <w:rStyle w:val="Hyperlink"/>
            <w:noProof/>
          </w:rPr>
          <w:t>3.13.</w:t>
        </w:r>
        <w:r w:rsidR="001D1E46">
          <w:rPr>
            <w:rFonts w:eastAsiaTheme="minorEastAsia"/>
            <w:smallCaps w:val="0"/>
            <w:noProof/>
            <w:sz w:val="22"/>
            <w:szCs w:val="22"/>
            <w:lang w:val="en-ZA" w:eastAsia="en-ZA"/>
          </w:rPr>
          <w:tab/>
        </w:r>
        <w:r w:rsidR="001D1E46" w:rsidRPr="00AC1F66">
          <w:rPr>
            <w:rStyle w:val="Hyperlink"/>
            <w:noProof/>
          </w:rPr>
          <w:t>COMBINED SWOT ANALYSIS</w:t>
        </w:r>
        <w:r w:rsidR="001D1E46">
          <w:rPr>
            <w:noProof/>
            <w:webHidden/>
          </w:rPr>
          <w:tab/>
        </w:r>
        <w:r w:rsidR="001D1E46">
          <w:rPr>
            <w:noProof/>
            <w:webHidden/>
          </w:rPr>
          <w:fldChar w:fldCharType="begin"/>
        </w:r>
        <w:r w:rsidR="001D1E46">
          <w:rPr>
            <w:noProof/>
            <w:webHidden/>
          </w:rPr>
          <w:instrText xml:space="preserve"> PAGEREF _Toc510706673 \h </w:instrText>
        </w:r>
        <w:r w:rsidR="001D1E46">
          <w:rPr>
            <w:noProof/>
            <w:webHidden/>
          </w:rPr>
        </w:r>
        <w:r w:rsidR="001D1E46">
          <w:rPr>
            <w:noProof/>
            <w:webHidden/>
          </w:rPr>
          <w:fldChar w:fldCharType="separate"/>
        </w:r>
        <w:r w:rsidR="0067023A">
          <w:rPr>
            <w:noProof/>
            <w:webHidden/>
          </w:rPr>
          <w:t>160</w:t>
        </w:r>
        <w:r w:rsidR="001D1E46">
          <w:rPr>
            <w:noProof/>
            <w:webHidden/>
          </w:rPr>
          <w:fldChar w:fldCharType="end"/>
        </w:r>
      </w:hyperlink>
    </w:p>
    <w:p w14:paraId="616CDA9B" w14:textId="77777777" w:rsidR="001D1E46" w:rsidRDefault="00B918A6">
      <w:pPr>
        <w:pStyle w:val="TOC2"/>
        <w:tabs>
          <w:tab w:val="left" w:pos="1000"/>
          <w:tab w:val="right" w:leader="dot" w:pos="9629"/>
        </w:tabs>
        <w:rPr>
          <w:rFonts w:eastAsiaTheme="minorEastAsia"/>
          <w:smallCaps w:val="0"/>
          <w:noProof/>
          <w:sz w:val="22"/>
          <w:szCs w:val="22"/>
          <w:lang w:val="en-ZA" w:eastAsia="en-ZA"/>
        </w:rPr>
      </w:pPr>
      <w:hyperlink w:anchor="_Toc510706674" w:history="1">
        <w:r w:rsidR="001D1E46" w:rsidRPr="00AC1F66">
          <w:rPr>
            <w:rStyle w:val="Hyperlink"/>
            <w:noProof/>
          </w:rPr>
          <w:t>3.14.</w:t>
        </w:r>
        <w:r w:rsidR="001D1E46">
          <w:rPr>
            <w:rFonts w:eastAsiaTheme="minorEastAsia"/>
            <w:smallCaps w:val="0"/>
            <w:noProof/>
            <w:sz w:val="22"/>
            <w:szCs w:val="22"/>
            <w:lang w:val="en-ZA" w:eastAsia="en-ZA"/>
          </w:rPr>
          <w:tab/>
        </w:r>
        <w:r w:rsidR="001D1E46" w:rsidRPr="00AC1F66">
          <w:rPr>
            <w:rStyle w:val="Hyperlink"/>
            <w:noProof/>
          </w:rPr>
          <w:t>BROAD KEY CHALLENGES</w:t>
        </w:r>
        <w:r w:rsidR="001D1E46">
          <w:rPr>
            <w:noProof/>
            <w:webHidden/>
          </w:rPr>
          <w:tab/>
        </w:r>
        <w:r w:rsidR="001D1E46">
          <w:rPr>
            <w:noProof/>
            <w:webHidden/>
          </w:rPr>
          <w:fldChar w:fldCharType="begin"/>
        </w:r>
        <w:r w:rsidR="001D1E46">
          <w:rPr>
            <w:noProof/>
            <w:webHidden/>
          </w:rPr>
          <w:instrText xml:space="preserve"> PAGEREF _Toc510706674 \h </w:instrText>
        </w:r>
        <w:r w:rsidR="001D1E46">
          <w:rPr>
            <w:noProof/>
            <w:webHidden/>
          </w:rPr>
        </w:r>
        <w:r w:rsidR="001D1E46">
          <w:rPr>
            <w:noProof/>
            <w:webHidden/>
          </w:rPr>
          <w:fldChar w:fldCharType="separate"/>
        </w:r>
        <w:r w:rsidR="0067023A">
          <w:rPr>
            <w:noProof/>
            <w:webHidden/>
          </w:rPr>
          <w:t>161</w:t>
        </w:r>
        <w:r w:rsidR="001D1E46">
          <w:rPr>
            <w:noProof/>
            <w:webHidden/>
          </w:rPr>
          <w:fldChar w:fldCharType="end"/>
        </w:r>
      </w:hyperlink>
    </w:p>
    <w:p w14:paraId="280B5AC1" w14:textId="77777777" w:rsidR="001D1E46" w:rsidRDefault="00B918A6">
      <w:pPr>
        <w:pStyle w:val="TOC3"/>
        <w:rPr>
          <w:rFonts w:eastAsiaTheme="minorEastAsia"/>
          <w:i w:val="0"/>
          <w:iCs w:val="0"/>
          <w:noProof/>
          <w:sz w:val="22"/>
          <w:szCs w:val="22"/>
          <w:lang w:val="en-ZA" w:eastAsia="en-ZA"/>
        </w:rPr>
      </w:pPr>
      <w:hyperlink w:anchor="_Toc510706675" w:history="1">
        <w:r w:rsidR="001D1E46" w:rsidRPr="00AC1F66">
          <w:rPr>
            <w:rStyle w:val="Hyperlink"/>
            <w:noProof/>
          </w:rPr>
          <w:t>3.14.4.</w:t>
        </w:r>
        <w:r w:rsidR="001D1E46">
          <w:rPr>
            <w:rFonts w:eastAsiaTheme="minorEastAsia"/>
            <w:i w:val="0"/>
            <w:iCs w:val="0"/>
            <w:noProof/>
            <w:sz w:val="22"/>
            <w:szCs w:val="22"/>
            <w:lang w:val="en-ZA" w:eastAsia="en-ZA"/>
          </w:rPr>
          <w:tab/>
        </w:r>
        <w:r w:rsidR="001D1E46" w:rsidRPr="00AC1F66">
          <w:rPr>
            <w:rStyle w:val="Hyperlink"/>
            <w:noProof/>
          </w:rPr>
          <w:t>KPA 1: MUNICIPAL TRANSFORMATION AND ORGANISATIONAL DEVELOPMENT</w:t>
        </w:r>
        <w:r w:rsidR="001D1E46">
          <w:rPr>
            <w:noProof/>
            <w:webHidden/>
          </w:rPr>
          <w:tab/>
        </w:r>
        <w:r w:rsidR="001D1E46">
          <w:rPr>
            <w:noProof/>
            <w:webHidden/>
          </w:rPr>
          <w:fldChar w:fldCharType="begin"/>
        </w:r>
        <w:r w:rsidR="001D1E46">
          <w:rPr>
            <w:noProof/>
            <w:webHidden/>
          </w:rPr>
          <w:instrText xml:space="preserve"> PAGEREF _Toc510706675 \h </w:instrText>
        </w:r>
        <w:r w:rsidR="001D1E46">
          <w:rPr>
            <w:noProof/>
            <w:webHidden/>
          </w:rPr>
        </w:r>
        <w:r w:rsidR="001D1E46">
          <w:rPr>
            <w:noProof/>
            <w:webHidden/>
          </w:rPr>
          <w:fldChar w:fldCharType="separate"/>
        </w:r>
        <w:r w:rsidR="0067023A">
          <w:rPr>
            <w:noProof/>
            <w:webHidden/>
          </w:rPr>
          <w:t>161</w:t>
        </w:r>
        <w:r w:rsidR="001D1E46">
          <w:rPr>
            <w:noProof/>
            <w:webHidden/>
          </w:rPr>
          <w:fldChar w:fldCharType="end"/>
        </w:r>
      </w:hyperlink>
    </w:p>
    <w:p w14:paraId="56A56DE9" w14:textId="77777777" w:rsidR="001D1E46" w:rsidRDefault="00B918A6">
      <w:pPr>
        <w:pStyle w:val="TOC3"/>
        <w:rPr>
          <w:rFonts w:eastAsiaTheme="minorEastAsia"/>
          <w:i w:val="0"/>
          <w:iCs w:val="0"/>
          <w:noProof/>
          <w:sz w:val="22"/>
          <w:szCs w:val="22"/>
          <w:lang w:val="en-ZA" w:eastAsia="en-ZA"/>
        </w:rPr>
      </w:pPr>
      <w:hyperlink w:anchor="_Toc510706676" w:history="1">
        <w:r w:rsidR="001D1E46" w:rsidRPr="00AC1F66">
          <w:rPr>
            <w:rStyle w:val="Hyperlink"/>
            <w:noProof/>
          </w:rPr>
          <w:t>3.14.5.</w:t>
        </w:r>
        <w:r w:rsidR="001D1E46">
          <w:rPr>
            <w:rFonts w:eastAsiaTheme="minorEastAsia"/>
            <w:i w:val="0"/>
            <w:iCs w:val="0"/>
            <w:noProof/>
            <w:sz w:val="22"/>
            <w:szCs w:val="22"/>
            <w:lang w:val="en-ZA" w:eastAsia="en-ZA"/>
          </w:rPr>
          <w:tab/>
        </w:r>
        <w:r w:rsidR="001D1E46" w:rsidRPr="00AC1F66">
          <w:rPr>
            <w:rStyle w:val="Hyperlink"/>
            <w:noProof/>
          </w:rPr>
          <w:t>KPA 2: SERVICE DELIVERY</w:t>
        </w:r>
        <w:r w:rsidR="001D1E46">
          <w:rPr>
            <w:noProof/>
            <w:webHidden/>
          </w:rPr>
          <w:tab/>
        </w:r>
        <w:r w:rsidR="001D1E46">
          <w:rPr>
            <w:noProof/>
            <w:webHidden/>
          </w:rPr>
          <w:fldChar w:fldCharType="begin"/>
        </w:r>
        <w:r w:rsidR="001D1E46">
          <w:rPr>
            <w:noProof/>
            <w:webHidden/>
          </w:rPr>
          <w:instrText xml:space="preserve"> PAGEREF _Toc510706676 \h </w:instrText>
        </w:r>
        <w:r w:rsidR="001D1E46">
          <w:rPr>
            <w:noProof/>
            <w:webHidden/>
          </w:rPr>
        </w:r>
        <w:r w:rsidR="001D1E46">
          <w:rPr>
            <w:noProof/>
            <w:webHidden/>
          </w:rPr>
          <w:fldChar w:fldCharType="separate"/>
        </w:r>
        <w:r w:rsidR="0067023A">
          <w:rPr>
            <w:noProof/>
            <w:webHidden/>
          </w:rPr>
          <w:t>161</w:t>
        </w:r>
        <w:r w:rsidR="001D1E46">
          <w:rPr>
            <w:noProof/>
            <w:webHidden/>
          </w:rPr>
          <w:fldChar w:fldCharType="end"/>
        </w:r>
      </w:hyperlink>
    </w:p>
    <w:p w14:paraId="23766EA5" w14:textId="77777777" w:rsidR="001D1E46" w:rsidRDefault="00B918A6">
      <w:pPr>
        <w:pStyle w:val="TOC3"/>
        <w:rPr>
          <w:rFonts w:eastAsiaTheme="minorEastAsia"/>
          <w:i w:val="0"/>
          <w:iCs w:val="0"/>
          <w:noProof/>
          <w:sz w:val="22"/>
          <w:szCs w:val="22"/>
          <w:lang w:val="en-ZA" w:eastAsia="en-ZA"/>
        </w:rPr>
      </w:pPr>
      <w:hyperlink w:anchor="_Toc510706677" w:history="1">
        <w:r w:rsidR="001D1E46" w:rsidRPr="00AC1F66">
          <w:rPr>
            <w:rStyle w:val="Hyperlink"/>
            <w:noProof/>
          </w:rPr>
          <w:t>3.14.6.</w:t>
        </w:r>
        <w:r w:rsidR="001D1E46">
          <w:rPr>
            <w:rFonts w:eastAsiaTheme="minorEastAsia"/>
            <w:i w:val="0"/>
            <w:iCs w:val="0"/>
            <w:noProof/>
            <w:sz w:val="22"/>
            <w:szCs w:val="22"/>
            <w:lang w:val="en-ZA" w:eastAsia="en-ZA"/>
          </w:rPr>
          <w:tab/>
        </w:r>
        <w:r w:rsidR="001D1E46" w:rsidRPr="00AC1F66">
          <w:rPr>
            <w:rStyle w:val="Hyperlink"/>
            <w:noProof/>
          </w:rPr>
          <w:t>KPA 3: LOCAL ECONOMIC &amp; SOCIAL DEVELOPMENT</w:t>
        </w:r>
        <w:r w:rsidR="001D1E46">
          <w:rPr>
            <w:noProof/>
            <w:webHidden/>
          </w:rPr>
          <w:tab/>
        </w:r>
        <w:r w:rsidR="001D1E46">
          <w:rPr>
            <w:noProof/>
            <w:webHidden/>
          </w:rPr>
          <w:fldChar w:fldCharType="begin"/>
        </w:r>
        <w:r w:rsidR="001D1E46">
          <w:rPr>
            <w:noProof/>
            <w:webHidden/>
          </w:rPr>
          <w:instrText xml:space="preserve"> PAGEREF _Toc510706677 \h </w:instrText>
        </w:r>
        <w:r w:rsidR="001D1E46">
          <w:rPr>
            <w:noProof/>
            <w:webHidden/>
          </w:rPr>
        </w:r>
        <w:r w:rsidR="001D1E46">
          <w:rPr>
            <w:noProof/>
            <w:webHidden/>
          </w:rPr>
          <w:fldChar w:fldCharType="separate"/>
        </w:r>
        <w:r w:rsidR="0067023A">
          <w:rPr>
            <w:noProof/>
            <w:webHidden/>
          </w:rPr>
          <w:t>161</w:t>
        </w:r>
        <w:r w:rsidR="001D1E46">
          <w:rPr>
            <w:noProof/>
            <w:webHidden/>
          </w:rPr>
          <w:fldChar w:fldCharType="end"/>
        </w:r>
      </w:hyperlink>
    </w:p>
    <w:p w14:paraId="117F721B" w14:textId="77777777" w:rsidR="001D1E46" w:rsidRDefault="00B918A6">
      <w:pPr>
        <w:pStyle w:val="TOC3"/>
        <w:rPr>
          <w:rFonts w:eastAsiaTheme="minorEastAsia"/>
          <w:i w:val="0"/>
          <w:iCs w:val="0"/>
          <w:noProof/>
          <w:sz w:val="22"/>
          <w:szCs w:val="22"/>
          <w:lang w:val="en-ZA" w:eastAsia="en-ZA"/>
        </w:rPr>
      </w:pPr>
      <w:hyperlink w:anchor="_Toc510706678" w:history="1">
        <w:r w:rsidR="001D1E46" w:rsidRPr="00AC1F66">
          <w:rPr>
            <w:rStyle w:val="Hyperlink"/>
            <w:noProof/>
          </w:rPr>
          <w:t>3.14.7.</w:t>
        </w:r>
        <w:r w:rsidR="001D1E46">
          <w:rPr>
            <w:rFonts w:eastAsiaTheme="minorEastAsia"/>
            <w:i w:val="0"/>
            <w:iCs w:val="0"/>
            <w:noProof/>
            <w:sz w:val="22"/>
            <w:szCs w:val="22"/>
            <w:lang w:val="en-ZA" w:eastAsia="en-ZA"/>
          </w:rPr>
          <w:tab/>
        </w:r>
        <w:r w:rsidR="001D1E46" w:rsidRPr="00AC1F66">
          <w:rPr>
            <w:rStyle w:val="Hyperlink"/>
            <w:noProof/>
          </w:rPr>
          <w:t>KPA 4:  MUNICIPAL FINANCIAL VIABILITY AND MANAGEMENT</w:t>
        </w:r>
        <w:r w:rsidR="001D1E46">
          <w:rPr>
            <w:noProof/>
            <w:webHidden/>
          </w:rPr>
          <w:tab/>
        </w:r>
        <w:r w:rsidR="001D1E46">
          <w:rPr>
            <w:noProof/>
            <w:webHidden/>
          </w:rPr>
          <w:fldChar w:fldCharType="begin"/>
        </w:r>
        <w:r w:rsidR="001D1E46">
          <w:rPr>
            <w:noProof/>
            <w:webHidden/>
          </w:rPr>
          <w:instrText xml:space="preserve"> PAGEREF _Toc510706678 \h </w:instrText>
        </w:r>
        <w:r w:rsidR="001D1E46">
          <w:rPr>
            <w:noProof/>
            <w:webHidden/>
          </w:rPr>
        </w:r>
        <w:r w:rsidR="001D1E46">
          <w:rPr>
            <w:noProof/>
            <w:webHidden/>
          </w:rPr>
          <w:fldChar w:fldCharType="separate"/>
        </w:r>
        <w:r w:rsidR="0067023A">
          <w:rPr>
            <w:noProof/>
            <w:webHidden/>
          </w:rPr>
          <w:t>162</w:t>
        </w:r>
        <w:r w:rsidR="001D1E46">
          <w:rPr>
            <w:noProof/>
            <w:webHidden/>
          </w:rPr>
          <w:fldChar w:fldCharType="end"/>
        </w:r>
      </w:hyperlink>
    </w:p>
    <w:p w14:paraId="61493831" w14:textId="77777777" w:rsidR="001D1E46" w:rsidRDefault="00B918A6">
      <w:pPr>
        <w:pStyle w:val="TOC3"/>
        <w:rPr>
          <w:rFonts w:eastAsiaTheme="minorEastAsia"/>
          <w:i w:val="0"/>
          <w:iCs w:val="0"/>
          <w:noProof/>
          <w:sz w:val="22"/>
          <w:szCs w:val="22"/>
          <w:lang w:val="en-ZA" w:eastAsia="en-ZA"/>
        </w:rPr>
      </w:pPr>
      <w:hyperlink w:anchor="_Toc510706679" w:history="1">
        <w:r w:rsidR="001D1E46" w:rsidRPr="00AC1F66">
          <w:rPr>
            <w:rStyle w:val="Hyperlink"/>
            <w:noProof/>
          </w:rPr>
          <w:t>3.14.8.</w:t>
        </w:r>
        <w:r w:rsidR="001D1E46">
          <w:rPr>
            <w:rFonts w:eastAsiaTheme="minorEastAsia"/>
            <w:i w:val="0"/>
            <w:iCs w:val="0"/>
            <w:noProof/>
            <w:sz w:val="22"/>
            <w:szCs w:val="22"/>
            <w:lang w:val="en-ZA" w:eastAsia="en-ZA"/>
          </w:rPr>
          <w:tab/>
        </w:r>
        <w:r w:rsidR="001D1E46" w:rsidRPr="00AC1F66">
          <w:rPr>
            <w:rStyle w:val="Hyperlink"/>
            <w:noProof/>
          </w:rPr>
          <w:t>KPA 5: GOOD GOVERNANCE AND PUBLIC PARTICIPATION</w:t>
        </w:r>
        <w:r w:rsidR="001D1E46">
          <w:rPr>
            <w:noProof/>
            <w:webHidden/>
          </w:rPr>
          <w:tab/>
        </w:r>
        <w:r w:rsidR="001D1E46">
          <w:rPr>
            <w:noProof/>
            <w:webHidden/>
          </w:rPr>
          <w:fldChar w:fldCharType="begin"/>
        </w:r>
        <w:r w:rsidR="001D1E46">
          <w:rPr>
            <w:noProof/>
            <w:webHidden/>
          </w:rPr>
          <w:instrText xml:space="preserve"> PAGEREF _Toc510706679 \h </w:instrText>
        </w:r>
        <w:r w:rsidR="001D1E46">
          <w:rPr>
            <w:noProof/>
            <w:webHidden/>
          </w:rPr>
        </w:r>
        <w:r w:rsidR="001D1E46">
          <w:rPr>
            <w:noProof/>
            <w:webHidden/>
          </w:rPr>
          <w:fldChar w:fldCharType="separate"/>
        </w:r>
        <w:r w:rsidR="0067023A">
          <w:rPr>
            <w:noProof/>
            <w:webHidden/>
          </w:rPr>
          <w:t>162</w:t>
        </w:r>
        <w:r w:rsidR="001D1E46">
          <w:rPr>
            <w:noProof/>
            <w:webHidden/>
          </w:rPr>
          <w:fldChar w:fldCharType="end"/>
        </w:r>
      </w:hyperlink>
    </w:p>
    <w:p w14:paraId="50FDAD74" w14:textId="77777777" w:rsidR="001D1E46" w:rsidRDefault="00B918A6">
      <w:pPr>
        <w:pStyle w:val="TOC3"/>
        <w:rPr>
          <w:rFonts w:eastAsiaTheme="minorEastAsia"/>
          <w:i w:val="0"/>
          <w:iCs w:val="0"/>
          <w:noProof/>
          <w:sz w:val="22"/>
          <w:szCs w:val="22"/>
          <w:lang w:val="en-ZA" w:eastAsia="en-ZA"/>
        </w:rPr>
      </w:pPr>
      <w:hyperlink w:anchor="_Toc510706680" w:history="1">
        <w:r w:rsidR="001D1E46" w:rsidRPr="00AC1F66">
          <w:rPr>
            <w:rStyle w:val="Hyperlink"/>
            <w:noProof/>
          </w:rPr>
          <w:t>3.14.9.</w:t>
        </w:r>
        <w:r w:rsidR="001D1E46">
          <w:rPr>
            <w:rFonts w:eastAsiaTheme="minorEastAsia"/>
            <w:i w:val="0"/>
            <w:iCs w:val="0"/>
            <w:noProof/>
            <w:sz w:val="22"/>
            <w:szCs w:val="22"/>
            <w:lang w:val="en-ZA" w:eastAsia="en-ZA"/>
          </w:rPr>
          <w:tab/>
        </w:r>
        <w:r w:rsidR="001D1E46" w:rsidRPr="00AC1F66">
          <w:rPr>
            <w:rStyle w:val="Hyperlink"/>
            <w:noProof/>
          </w:rPr>
          <w:t>KPA 6: CROSS CUTTING ISSUES</w:t>
        </w:r>
        <w:r w:rsidR="001D1E46">
          <w:rPr>
            <w:noProof/>
            <w:webHidden/>
          </w:rPr>
          <w:tab/>
        </w:r>
        <w:r w:rsidR="001D1E46">
          <w:rPr>
            <w:noProof/>
            <w:webHidden/>
          </w:rPr>
          <w:fldChar w:fldCharType="begin"/>
        </w:r>
        <w:r w:rsidR="001D1E46">
          <w:rPr>
            <w:noProof/>
            <w:webHidden/>
          </w:rPr>
          <w:instrText xml:space="preserve"> PAGEREF _Toc510706680 \h </w:instrText>
        </w:r>
        <w:r w:rsidR="001D1E46">
          <w:rPr>
            <w:noProof/>
            <w:webHidden/>
          </w:rPr>
        </w:r>
        <w:r w:rsidR="001D1E46">
          <w:rPr>
            <w:noProof/>
            <w:webHidden/>
          </w:rPr>
          <w:fldChar w:fldCharType="separate"/>
        </w:r>
        <w:r w:rsidR="0067023A">
          <w:rPr>
            <w:noProof/>
            <w:webHidden/>
          </w:rPr>
          <w:t>162</w:t>
        </w:r>
        <w:r w:rsidR="001D1E46">
          <w:rPr>
            <w:noProof/>
            <w:webHidden/>
          </w:rPr>
          <w:fldChar w:fldCharType="end"/>
        </w:r>
      </w:hyperlink>
    </w:p>
    <w:p w14:paraId="2EF42C6F" w14:textId="77777777" w:rsidR="001D1E46" w:rsidRDefault="00B918A6">
      <w:pPr>
        <w:pStyle w:val="TOC1"/>
        <w:rPr>
          <w:rFonts w:asciiTheme="minorHAnsi" w:eastAsiaTheme="minorEastAsia" w:hAnsiTheme="minorHAnsi"/>
          <w:bCs w:val="0"/>
          <w:caps w:val="0"/>
          <w:sz w:val="22"/>
          <w:szCs w:val="22"/>
          <w:lang w:val="en-ZA" w:eastAsia="en-ZA"/>
        </w:rPr>
      </w:pPr>
      <w:hyperlink w:anchor="_Toc510706681" w:history="1">
        <w:r w:rsidR="001D1E46" w:rsidRPr="00AC1F66">
          <w:rPr>
            <w:rStyle w:val="Hyperlink"/>
          </w:rPr>
          <w:t>SECTION D: 4 VISION AND MISSION &amp; GOALS AND OBJECTIVES</w:t>
        </w:r>
        <w:r w:rsidR="001D1E46">
          <w:rPr>
            <w:webHidden/>
          </w:rPr>
          <w:tab/>
        </w:r>
        <w:r w:rsidR="001D1E46">
          <w:rPr>
            <w:webHidden/>
          </w:rPr>
          <w:fldChar w:fldCharType="begin"/>
        </w:r>
        <w:r w:rsidR="001D1E46">
          <w:rPr>
            <w:webHidden/>
          </w:rPr>
          <w:instrText xml:space="preserve"> PAGEREF _Toc510706681 \h </w:instrText>
        </w:r>
        <w:r w:rsidR="001D1E46">
          <w:rPr>
            <w:webHidden/>
          </w:rPr>
        </w:r>
        <w:r w:rsidR="001D1E46">
          <w:rPr>
            <w:webHidden/>
          </w:rPr>
          <w:fldChar w:fldCharType="separate"/>
        </w:r>
        <w:r w:rsidR="0067023A">
          <w:rPr>
            <w:webHidden/>
          </w:rPr>
          <w:t>162</w:t>
        </w:r>
        <w:r w:rsidR="001D1E46">
          <w:rPr>
            <w:webHidden/>
          </w:rPr>
          <w:fldChar w:fldCharType="end"/>
        </w:r>
      </w:hyperlink>
    </w:p>
    <w:p w14:paraId="68596A60"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682" w:history="1">
        <w:r w:rsidR="001D1E46" w:rsidRPr="00AC1F66">
          <w:rPr>
            <w:rStyle w:val="Hyperlink"/>
            <w:noProof/>
          </w:rPr>
          <w:t>4.1.</w:t>
        </w:r>
        <w:r w:rsidR="001D1E46">
          <w:rPr>
            <w:rFonts w:eastAsiaTheme="minorEastAsia"/>
            <w:smallCaps w:val="0"/>
            <w:noProof/>
            <w:sz w:val="22"/>
            <w:szCs w:val="22"/>
            <w:lang w:val="en-ZA" w:eastAsia="en-ZA"/>
          </w:rPr>
          <w:tab/>
        </w:r>
        <w:r w:rsidR="001D1E46" w:rsidRPr="00AC1F66">
          <w:rPr>
            <w:rStyle w:val="Hyperlink"/>
            <w:noProof/>
          </w:rPr>
          <w:t>STRATEGIC DEVELOPMENT RATIONALE: COMPARATIVE ADVANTAGE AREAS</w:t>
        </w:r>
        <w:r w:rsidR="001D1E46">
          <w:rPr>
            <w:noProof/>
            <w:webHidden/>
          </w:rPr>
          <w:tab/>
        </w:r>
        <w:r w:rsidR="001D1E46">
          <w:rPr>
            <w:noProof/>
            <w:webHidden/>
          </w:rPr>
          <w:fldChar w:fldCharType="begin"/>
        </w:r>
        <w:r w:rsidR="001D1E46">
          <w:rPr>
            <w:noProof/>
            <w:webHidden/>
          </w:rPr>
          <w:instrText xml:space="preserve"> PAGEREF _Toc510706682 \h </w:instrText>
        </w:r>
        <w:r w:rsidR="001D1E46">
          <w:rPr>
            <w:noProof/>
            <w:webHidden/>
          </w:rPr>
        </w:r>
        <w:r w:rsidR="001D1E46">
          <w:rPr>
            <w:noProof/>
            <w:webHidden/>
          </w:rPr>
          <w:fldChar w:fldCharType="separate"/>
        </w:r>
        <w:r w:rsidR="0067023A">
          <w:rPr>
            <w:noProof/>
            <w:webHidden/>
          </w:rPr>
          <w:t>162</w:t>
        </w:r>
        <w:r w:rsidR="001D1E46">
          <w:rPr>
            <w:noProof/>
            <w:webHidden/>
          </w:rPr>
          <w:fldChar w:fldCharType="end"/>
        </w:r>
      </w:hyperlink>
    </w:p>
    <w:p w14:paraId="4952CCBA" w14:textId="77777777" w:rsidR="001D1E46" w:rsidRDefault="00B918A6">
      <w:pPr>
        <w:pStyle w:val="TOC3"/>
        <w:rPr>
          <w:rFonts w:eastAsiaTheme="minorEastAsia"/>
          <w:i w:val="0"/>
          <w:iCs w:val="0"/>
          <w:noProof/>
          <w:sz w:val="22"/>
          <w:szCs w:val="22"/>
          <w:lang w:val="en-ZA" w:eastAsia="en-ZA"/>
        </w:rPr>
      </w:pPr>
      <w:hyperlink w:anchor="_Toc510706683" w:history="1">
        <w:r w:rsidR="001D1E46" w:rsidRPr="00AC1F66">
          <w:rPr>
            <w:rStyle w:val="Hyperlink"/>
            <w:noProof/>
          </w:rPr>
          <w:t>4.1.1.</w:t>
        </w:r>
        <w:r w:rsidR="001D1E46">
          <w:rPr>
            <w:rFonts w:eastAsiaTheme="minorEastAsia"/>
            <w:i w:val="0"/>
            <w:iCs w:val="0"/>
            <w:noProof/>
            <w:sz w:val="22"/>
            <w:szCs w:val="22"/>
            <w:lang w:val="en-ZA" w:eastAsia="en-ZA"/>
          </w:rPr>
          <w:tab/>
        </w:r>
        <w:r w:rsidR="001D1E46" w:rsidRPr="00AC1F66">
          <w:rPr>
            <w:rStyle w:val="Hyperlink"/>
            <w:noProof/>
          </w:rPr>
          <w:t>IDENTIFIED COMPARATIVE ADVANTAGES</w:t>
        </w:r>
        <w:r w:rsidR="001D1E46">
          <w:rPr>
            <w:noProof/>
            <w:webHidden/>
          </w:rPr>
          <w:tab/>
        </w:r>
        <w:r w:rsidR="001D1E46">
          <w:rPr>
            <w:noProof/>
            <w:webHidden/>
          </w:rPr>
          <w:fldChar w:fldCharType="begin"/>
        </w:r>
        <w:r w:rsidR="001D1E46">
          <w:rPr>
            <w:noProof/>
            <w:webHidden/>
          </w:rPr>
          <w:instrText xml:space="preserve"> PAGEREF _Toc510706683 \h </w:instrText>
        </w:r>
        <w:r w:rsidR="001D1E46">
          <w:rPr>
            <w:noProof/>
            <w:webHidden/>
          </w:rPr>
        </w:r>
        <w:r w:rsidR="001D1E46">
          <w:rPr>
            <w:noProof/>
            <w:webHidden/>
          </w:rPr>
          <w:fldChar w:fldCharType="separate"/>
        </w:r>
        <w:r w:rsidR="0067023A">
          <w:rPr>
            <w:noProof/>
            <w:webHidden/>
          </w:rPr>
          <w:t>163</w:t>
        </w:r>
        <w:r w:rsidR="001D1E46">
          <w:rPr>
            <w:noProof/>
            <w:webHidden/>
          </w:rPr>
          <w:fldChar w:fldCharType="end"/>
        </w:r>
      </w:hyperlink>
    </w:p>
    <w:p w14:paraId="0884CBF9"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684" w:history="1">
        <w:r w:rsidR="001D1E46" w:rsidRPr="00AC1F66">
          <w:rPr>
            <w:rStyle w:val="Hyperlink"/>
            <w:noProof/>
          </w:rPr>
          <w:t>4.2.</w:t>
        </w:r>
        <w:r w:rsidR="001D1E46">
          <w:rPr>
            <w:rFonts w:eastAsiaTheme="minorEastAsia"/>
            <w:smallCaps w:val="0"/>
            <w:noProof/>
            <w:sz w:val="22"/>
            <w:szCs w:val="22"/>
            <w:lang w:val="en-ZA" w:eastAsia="en-ZA"/>
          </w:rPr>
          <w:tab/>
        </w:r>
        <w:r w:rsidR="001D1E46" w:rsidRPr="00AC1F66">
          <w:rPr>
            <w:rStyle w:val="Hyperlink"/>
            <w:noProof/>
          </w:rPr>
          <w:t>MUNICIPAL VISION AND MISSION</w:t>
        </w:r>
        <w:r w:rsidR="001D1E46">
          <w:rPr>
            <w:noProof/>
            <w:webHidden/>
          </w:rPr>
          <w:tab/>
        </w:r>
        <w:r w:rsidR="001D1E46">
          <w:rPr>
            <w:noProof/>
            <w:webHidden/>
          </w:rPr>
          <w:fldChar w:fldCharType="begin"/>
        </w:r>
        <w:r w:rsidR="001D1E46">
          <w:rPr>
            <w:noProof/>
            <w:webHidden/>
          </w:rPr>
          <w:instrText xml:space="preserve"> PAGEREF _Toc510706684 \h </w:instrText>
        </w:r>
        <w:r w:rsidR="001D1E46">
          <w:rPr>
            <w:noProof/>
            <w:webHidden/>
          </w:rPr>
        </w:r>
        <w:r w:rsidR="001D1E46">
          <w:rPr>
            <w:noProof/>
            <w:webHidden/>
          </w:rPr>
          <w:fldChar w:fldCharType="separate"/>
        </w:r>
        <w:r w:rsidR="0067023A">
          <w:rPr>
            <w:noProof/>
            <w:webHidden/>
          </w:rPr>
          <w:t>164</w:t>
        </w:r>
        <w:r w:rsidR="001D1E46">
          <w:rPr>
            <w:noProof/>
            <w:webHidden/>
          </w:rPr>
          <w:fldChar w:fldCharType="end"/>
        </w:r>
      </w:hyperlink>
    </w:p>
    <w:p w14:paraId="6991BF1C" w14:textId="77777777" w:rsidR="001D1E46" w:rsidRDefault="00B918A6">
      <w:pPr>
        <w:pStyle w:val="TOC3"/>
        <w:rPr>
          <w:rFonts w:eastAsiaTheme="minorEastAsia"/>
          <w:i w:val="0"/>
          <w:iCs w:val="0"/>
          <w:noProof/>
          <w:sz w:val="22"/>
          <w:szCs w:val="22"/>
          <w:lang w:val="en-ZA" w:eastAsia="en-ZA"/>
        </w:rPr>
      </w:pPr>
      <w:hyperlink w:anchor="_Toc510706685" w:history="1">
        <w:r w:rsidR="001D1E46" w:rsidRPr="00AC1F66">
          <w:rPr>
            <w:rStyle w:val="Hyperlink"/>
            <w:noProof/>
          </w:rPr>
          <w:t>4.2.1.</w:t>
        </w:r>
        <w:r w:rsidR="001D1E46">
          <w:rPr>
            <w:rFonts w:eastAsiaTheme="minorEastAsia"/>
            <w:i w:val="0"/>
            <w:iCs w:val="0"/>
            <w:noProof/>
            <w:sz w:val="22"/>
            <w:szCs w:val="22"/>
            <w:lang w:val="en-ZA" w:eastAsia="en-ZA"/>
          </w:rPr>
          <w:tab/>
        </w:r>
        <w:r w:rsidR="001D1E46" w:rsidRPr="00AC1F66">
          <w:rPr>
            <w:rStyle w:val="Hyperlink"/>
            <w:noProof/>
          </w:rPr>
          <w:t>THE MUNICIPAL VISION</w:t>
        </w:r>
        <w:r w:rsidR="001D1E46">
          <w:rPr>
            <w:noProof/>
            <w:webHidden/>
          </w:rPr>
          <w:tab/>
        </w:r>
        <w:r w:rsidR="001D1E46">
          <w:rPr>
            <w:noProof/>
            <w:webHidden/>
          </w:rPr>
          <w:fldChar w:fldCharType="begin"/>
        </w:r>
        <w:r w:rsidR="001D1E46">
          <w:rPr>
            <w:noProof/>
            <w:webHidden/>
          </w:rPr>
          <w:instrText xml:space="preserve"> PAGEREF _Toc510706685 \h </w:instrText>
        </w:r>
        <w:r w:rsidR="001D1E46">
          <w:rPr>
            <w:noProof/>
            <w:webHidden/>
          </w:rPr>
        </w:r>
        <w:r w:rsidR="001D1E46">
          <w:rPr>
            <w:noProof/>
            <w:webHidden/>
          </w:rPr>
          <w:fldChar w:fldCharType="separate"/>
        </w:r>
        <w:r w:rsidR="0067023A">
          <w:rPr>
            <w:noProof/>
            <w:webHidden/>
          </w:rPr>
          <w:t>164</w:t>
        </w:r>
        <w:r w:rsidR="001D1E46">
          <w:rPr>
            <w:noProof/>
            <w:webHidden/>
          </w:rPr>
          <w:fldChar w:fldCharType="end"/>
        </w:r>
      </w:hyperlink>
    </w:p>
    <w:p w14:paraId="175D8318" w14:textId="77777777" w:rsidR="001D1E46" w:rsidRDefault="00B918A6">
      <w:pPr>
        <w:pStyle w:val="TOC3"/>
        <w:rPr>
          <w:rFonts w:eastAsiaTheme="minorEastAsia"/>
          <w:i w:val="0"/>
          <w:iCs w:val="0"/>
          <w:noProof/>
          <w:sz w:val="22"/>
          <w:szCs w:val="22"/>
          <w:lang w:val="en-ZA" w:eastAsia="en-ZA"/>
        </w:rPr>
      </w:pPr>
      <w:hyperlink w:anchor="_Toc510706686" w:history="1">
        <w:r w:rsidR="001D1E46" w:rsidRPr="00AC1F66">
          <w:rPr>
            <w:rStyle w:val="Hyperlink"/>
            <w:noProof/>
          </w:rPr>
          <w:t>4.2.2.</w:t>
        </w:r>
        <w:r w:rsidR="001D1E46">
          <w:rPr>
            <w:rFonts w:eastAsiaTheme="minorEastAsia"/>
            <w:i w:val="0"/>
            <w:iCs w:val="0"/>
            <w:noProof/>
            <w:sz w:val="22"/>
            <w:szCs w:val="22"/>
            <w:lang w:val="en-ZA" w:eastAsia="en-ZA"/>
          </w:rPr>
          <w:tab/>
        </w:r>
        <w:r w:rsidR="001D1E46" w:rsidRPr="00AC1F66">
          <w:rPr>
            <w:rStyle w:val="Hyperlink"/>
            <w:noProof/>
          </w:rPr>
          <w:t>Proposed New Mission</w:t>
        </w:r>
        <w:r w:rsidR="001D1E46">
          <w:rPr>
            <w:noProof/>
            <w:webHidden/>
          </w:rPr>
          <w:tab/>
        </w:r>
        <w:r w:rsidR="001D1E46">
          <w:rPr>
            <w:noProof/>
            <w:webHidden/>
          </w:rPr>
          <w:fldChar w:fldCharType="begin"/>
        </w:r>
        <w:r w:rsidR="001D1E46">
          <w:rPr>
            <w:noProof/>
            <w:webHidden/>
          </w:rPr>
          <w:instrText xml:space="preserve"> PAGEREF _Toc510706686 \h </w:instrText>
        </w:r>
        <w:r w:rsidR="001D1E46">
          <w:rPr>
            <w:noProof/>
            <w:webHidden/>
          </w:rPr>
        </w:r>
        <w:r w:rsidR="001D1E46">
          <w:rPr>
            <w:noProof/>
            <w:webHidden/>
          </w:rPr>
          <w:fldChar w:fldCharType="separate"/>
        </w:r>
        <w:r w:rsidR="0067023A">
          <w:rPr>
            <w:noProof/>
            <w:webHidden/>
          </w:rPr>
          <w:t>164</w:t>
        </w:r>
        <w:r w:rsidR="001D1E46">
          <w:rPr>
            <w:noProof/>
            <w:webHidden/>
          </w:rPr>
          <w:fldChar w:fldCharType="end"/>
        </w:r>
      </w:hyperlink>
    </w:p>
    <w:p w14:paraId="797AF519"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687" w:history="1">
        <w:r w:rsidR="001D1E46" w:rsidRPr="00AC1F66">
          <w:rPr>
            <w:rStyle w:val="Hyperlink"/>
            <w:noProof/>
            <w:highlight w:val="yellow"/>
          </w:rPr>
          <w:t>4.3.</w:t>
        </w:r>
        <w:r w:rsidR="001D1E46">
          <w:rPr>
            <w:rFonts w:eastAsiaTheme="minorEastAsia"/>
            <w:smallCaps w:val="0"/>
            <w:noProof/>
            <w:sz w:val="22"/>
            <w:szCs w:val="22"/>
            <w:lang w:val="en-ZA" w:eastAsia="en-ZA"/>
          </w:rPr>
          <w:tab/>
        </w:r>
        <w:r w:rsidR="001D1E46" w:rsidRPr="00AC1F66">
          <w:rPr>
            <w:rStyle w:val="Hyperlink"/>
            <w:noProof/>
            <w:highlight w:val="yellow"/>
          </w:rPr>
          <w:t>Cross Boarder Alignment with National Outcomes and Provincial Goals and Development Strategies.</w:t>
        </w:r>
        <w:r w:rsidR="001D1E46">
          <w:rPr>
            <w:noProof/>
            <w:webHidden/>
          </w:rPr>
          <w:tab/>
        </w:r>
        <w:r w:rsidR="001D1E46">
          <w:rPr>
            <w:noProof/>
            <w:webHidden/>
          </w:rPr>
          <w:fldChar w:fldCharType="begin"/>
        </w:r>
        <w:r w:rsidR="001D1E46">
          <w:rPr>
            <w:noProof/>
            <w:webHidden/>
          </w:rPr>
          <w:instrText xml:space="preserve"> PAGEREF _Toc510706687 \h </w:instrText>
        </w:r>
        <w:r w:rsidR="001D1E46">
          <w:rPr>
            <w:noProof/>
            <w:webHidden/>
          </w:rPr>
        </w:r>
        <w:r w:rsidR="001D1E46">
          <w:rPr>
            <w:noProof/>
            <w:webHidden/>
          </w:rPr>
          <w:fldChar w:fldCharType="separate"/>
        </w:r>
        <w:r w:rsidR="0067023A">
          <w:rPr>
            <w:noProof/>
            <w:webHidden/>
          </w:rPr>
          <w:t>165</w:t>
        </w:r>
        <w:r w:rsidR="001D1E46">
          <w:rPr>
            <w:noProof/>
            <w:webHidden/>
          </w:rPr>
          <w:fldChar w:fldCharType="end"/>
        </w:r>
      </w:hyperlink>
    </w:p>
    <w:p w14:paraId="7D19C7EC" w14:textId="77777777" w:rsidR="001D1E46" w:rsidRDefault="00B918A6">
      <w:pPr>
        <w:pStyle w:val="TOC1"/>
        <w:rPr>
          <w:rFonts w:asciiTheme="minorHAnsi" w:eastAsiaTheme="minorEastAsia" w:hAnsiTheme="minorHAnsi"/>
          <w:bCs w:val="0"/>
          <w:caps w:val="0"/>
          <w:sz w:val="22"/>
          <w:szCs w:val="22"/>
          <w:lang w:val="en-ZA" w:eastAsia="en-ZA"/>
        </w:rPr>
      </w:pPr>
      <w:hyperlink w:anchor="_Toc510706688" w:history="1">
        <w:r w:rsidR="001D1E46" w:rsidRPr="00AC1F66">
          <w:rPr>
            <w:rStyle w:val="Hyperlink"/>
          </w:rPr>
          <w:t>SECTION E: 5 STRATEGIC MAPPING</w:t>
        </w:r>
        <w:r w:rsidR="001D1E46">
          <w:rPr>
            <w:webHidden/>
          </w:rPr>
          <w:tab/>
        </w:r>
        <w:r w:rsidR="001D1E46">
          <w:rPr>
            <w:webHidden/>
          </w:rPr>
          <w:fldChar w:fldCharType="begin"/>
        </w:r>
        <w:r w:rsidR="001D1E46">
          <w:rPr>
            <w:webHidden/>
          </w:rPr>
          <w:instrText xml:space="preserve"> PAGEREF _Toc510706688 \h </w:instrText>
        </w:r>
        <w:r w:rsidR="001D1E46">
          <w:rPr>
            <w:webHidden/>
          </w:rPr>
        </w:r>
        <w:r w:rsidR="001D1E46">
          <w:rPr>
            <w:webHidden/>
          </w:rPr>
          <w:fldChar w:fldCharType="separate"/>
        </w:r>
        <w:r w:rsidR="0067023A">
          <w:rPr>
            <w:webHidden/>
          </w:rPr>
          <w:t>166</w:t>
        </w:r>
        <w:r w:rsidR="001D1E46">
          <w:rPr>
            <w:webHidden/>
          </w:rPr>
          <w:fldChar w:fldCharType="end"/>
        </w:r>
      </w:hyperlink>
    </w:p>
    <w:p w14:paraId="6117B513"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689" w:history="1">
        <w:r w:rsidR="001D1E46" w:rsidRPr="00AC1F66">
          <w:rPr>
            <w:rStyle w:val="Hyperlink"/>
            <w:noProof/>
          </w:rPr>
          <w:t>5.1.</w:t>
        </w:r>
        <w:r w:rsidR="001D1E46">
          <w:rPr>
            <w:rFonts w:eastAsiaTheme="minorEastAsia"/>
            <w:smallCaps w:val="0"/>
            <w:noProof/>
            <w:sz w:val="22"/>
            <w:szCs w:val="22"/>
            <w:lang w:val="en-ZA" w:eastAsia="en-ZA"/>
          </w:rPr>
          <w:tab/>
        </w:r>
        <w:r w:rsidR="001D1E46" w:rsidRPr="00AC1F66">
          <w:rPr>
            <w:rStyle w:val="Hyperlink"/>
            <w:noProof/>
          </w:rPr>
          <w:t>DEVELOPMENT CENTRES</w:t>
        </w:r>
        <w:r w:rsidR="001D1E46">
          <w:rPr>
            <w:noProof/>
            <w:webHidden/>
          </w:rPr>
          <w:tab/>
        </w:r>
        <w:r w:rsidR="001D1E46">
          <w:rPr>
            <w:noProof/>
            <w:webHidden/>
          </w:rPr>
          <w:fldChar w:fldCharType="begin"/>
        </w:r>
        <w:r w:rsidR="001D1E46">
          <w:rPr>
            <w:noProof/>
            <w:webHidden/>
          </w:rPr>
          <w:instrText xml:space="preserve"> PAGEREF _Toc510706689 \h </w:instrText>
        </w:r>
        <w:r w:rsidR="001D1E46">
          <w:rPr>
            <w:noProof/>
            <w:webHidden/>
          </w:rPr>
        </w:r>
        <w:r w:rsidR="001D1E46">
          <w:rPr>
            <w:noProof/>
            <w:webHidden/>
          </w:rPr>
          <w:fldChar w:fldCharType="separate"/>
        </w:r>
        <w:r w:rsidR="0067023A">
          <w:rPr>
            <w:noProof/>
            <w:webHidden/>
          </w:rPr>
          <w:t>166</w:t>
        </w:r>
        <w:r w:rsidR="001D1E46">
          <w:rPr>
            <w:noProof/>
            <w:webHidden/>
          </w:rPr>
          <w:fldChar w:fldCharType="end"/>
        </w:r>
      </w:hyperlink>
    </w:p>
    <w:p w14:paraId="658A7BFB" w14:textId="77777777" w:rsidR="001D1E46" w:rsidRDefault="00B918A6">
      <w:pPr>
        <w:pStyle w:val="TOC3"/>
        <w:rPr>
          <w:rFonts w:eastAsiaTheme="minorEastAsia"/>
          <w:i w:val="0"/>
          <w:iCs w:val="0"/>
          <w:noProof/>
          <w:sz w:val="22"/>
          <w:szCs w:val="22"/>
          <w:lang w:val="en-ZA" w:eastAsia="en-ZA"/>
        </w:rPr>
      </w:pPr>
      <w:hyperlink w:anchor="_Toc510706690" w:history="1">
        <w:r w:rsidR="001D1E46" w:rsidRPr="00AC1F66">
          <w:rPr>
            <w:rStyle w:val="Hyperlink"/>
            <w:noProof/>
          </w:rPr>
          <w:t>5.1.1.</w:t>
        </w:r>
        <w:r w:rsidR="001D1E46">
          <w:rPr>
            <w:rFonts w:eastAsiaTheme="minorEastAsia"/>
            <w:i w:val="0"/>
            <w:iCs w:val="0"/>
            <w:noProof/>
            <w:sz w:val="22"/>
            <w:szCs w:val="22"/>
            <w:lang w:val="en-ZA" w:eastAsia="en-ZA"/>
          </w:rPr>
          <w:tab/>
        </w:r>
        <w:r w:rsidR="001D1E46" w:rsidRPr="00AC1F66">
          <w:rPr>
            <w:rStyle w:val="Hyperlink"/>
            <w:noProof/>
          </w:rPr>
          <w:t>PRIMARY ADMINISTRATION CENTRE</w:t>
        </w:r>
        <w:r w:rsidR="001D1E46">
          <w:rPr>
            <w:noProof/>
            <w:webHidden/>
          </w:rPr>
          <w:tab/>
        </w:r>
        <w:r w:rsidR="001D1E46">
          <w:rPr>
            <w:noProof/>
            <w:webHidden/>
          </w:rPr>
          <w:fldChar w:fldCharType="begin"/>
        </w:r>
        <w:r w:rsidR="001D1E46">
          <w:rPr>
            <w:noProof/>
            <w:webHidden/>
          </w:rPr>
          <w:instrText xml:space="preserve"> PAGEREF _Toc510706690 \h </w:instrText>
        </w:r>
        <w:r w:rsidR="001D1E46">
          <w:rPr>
            <w:noProof/>
            <w:webHidden/>
          </w:rPr>
        </w:r>
        <w:r w:rsidR="001D1E46">
          <w:rPr>
            <w:noProof/>
            <w:webHidden/>
          </w:rPr>
          <w:fldChar w:fldCharType="separate"/>
        </w:r>
        <w:r w:rsidR="0067023A">
          <w:rPr>
            <w:noProof/>
            <w:webHidden/>
          </w:rPr>
          <w:t>166</w:t>
        </w:r>
        <w:r w:rsidR="001D1E46">
          <w:rPr>
            <w:noProof/>
            <w:webHidden/>
          </w:rPr>
          <w:fldChar w:fldCharType="end"/>
        </w:r>
      </w:hyperlink>
    </w:p>
    <w:p w14:paraId="0CC34379" w14:textId="77777777" w:rsidR="001D1E46" w:rsidRDefault="00B918A6">
      <w:pPr>
        <w:pStyle w:val="TOC3"/>
        <w:rPr>
          <w:rFonts w:eastAsiaTheme="minorEastAsia"/>
          <w:i w:val="0"/>
          <w:iCs w:val="0"/>
          <w:noProof/>
          <w:sz w:val="22"/>
          <w:szCs w:val="22"/>
          <w:lang w:val="en-ZA" w:eastAsia="en-ZA"/>
        </w:rPr>
      </w:pPr>
      <w:hyperlink w:anchor="_Toc510706691" w:history="1">
        <w:r w:rsidR="001D1E46" w:rsidRPr="00AC1F66">
          <w:rPr>
            <w:rStyle w:val="Hyperlink"/>
            <w:noProof/>
          </w:rPr>
          <w:t>5.1.2.</w:t>
        </w:r>
        <w:r w:rsidR="001D1E46">
          <w:rPr>
            <w:rFonts w:eastAsiaTheme="minorEastAsia"/>
            <w:i w:val="0"/>
            <w:iCs w:val="0"/>
            <w:noProof/>
            <w:sz w:val="22"/>
            <w:szCs w:val="22"/>
            <w:lang w:val="en-ZA" w:eastAsia="en-ZA"/>
          </w:rPr>
          <w:tab/>
        </w:r>
        <w:r w:rsidR="001D1E46" w:rsidRPr="00AC1F66">
          <w:rPr>
            <w:rStyle w:val="Hyperlink"/>
            <w:noProof/>
          </w:rPr>
          <w:t>SECONDARY CENTRES</w:t>
        </w:r>
        <w:r w:rsidR="001D1E46">
          <w:rPr>
            <w:noProof/>
            <w:webHidden/>
          </w:rPr>
          <w:tab/>
        </w:r>
        <w:r w:rsidR="001D1E46">
          <w:rPr>
            <w:noProof/>
            <w:webHidden/>
          </w:rPr>
          <w:fldChar w:fldCharType="begin"/>
        </w:r>
        <w:r w:rsidR="001D1E46">
          <w:rPr>
            <w:noProof/>
            <w:webHidden/>
          </w:rPr>
          <w:instrText xml:space="preserve"> PAGEREF _Toc510706691 \h </w:instrText>
        </w:r>
        <w:r w:rsidR="001D1E46">
          <w:rPr>
            <w:noProof/>
            <w:webHidden/>
          </w:rPr>
        </w:r>
        <w:r w:rsidR="001D1E46">
          <w:rPr>
            <w:noProof/>
            <w:webHidden/>
          </w:rPr>
          <w:fldChar w:fldCharType="separate"/>
        </w:r>
        <w:r w:rsidR="0067023A">
          <w:rPr>
            <w:noProof/>
            <w:webHidden/>
          </w:rPr>
          <w:t>166</w:t>
        </w:r>
        <w:r w:rsidR="001D1E46">
          <w:rPr>
            <w:noProof/>
            <w:webHidden/>
          </w:rPr>
          <w:fldChar w:fldCharType="end"/>
        </w:r>
      </w:hyperlink>
    </w:p>
    <w:p w14:paraId="3A003307" w14:textId="77777777" w:rsidR="001D1E46" w:rsidRDefault="00B918A6">
      <w:pPr>
        <w:pStyle w:val="TOC3"/>
        <w:rPr>
          <w:rFonts w:eastAsiaTheme="minorEastAsia"/>
          <w:i w:val="0"/>
          <w:iCs w:val="0"/>
          <w:noProof/>
          <w:sz w:val="22"/>
          <w:szCs w:val="22"/>
          <w:lang w:val="en-ZA" w:eastAsia="en-ZA"/>
        </w:rPr>
      </w:pPr>
      <w:hyperlink w:anchor="_Toc510706692" w:history="1">
        <w:r w:rsidR="001D1E46" w:rsidRPr="00AC1F66">
          <w:rPr>
            <w:rStyle w:val="Hyperlink"/>
            <w:noProof/>
          </w:rPr>
          <w:t>5.1.3.</w:t>
        </w:r>
        <w:r w:rsidR="001D1E46">
          <w:rPr>
            <w:rFonts w:eastAsiaTheme="minorEastAsia"/>
            <w:i w:val="0"/>
            <w:iCs w:val="0"/>
            <w:noProof/>
            <w:sz w:val="22"/>
            <w:szCs w:val="22"/>
            <w:lang w:val="en-ZA" w:eastAsia="en-ZA"/>
          </w:rPr>
          <w:tab/>
        </w:r>
        <w:r w:rsidR="001D1E46" w:rsidRPr="00AC1F66">
          <w:rPr>
            <w:rStyle w:val="Hyperlink"/>
            <w:noProof/>
          </w:rPr>
          <w:t>TERTIARY CENTRES</w:t>
        </w:r>
        <w:r w:rsidR="001D1E46">
          <w:rPr>
            <w:noProof/>
            <w:webHidden/>
          </w:rPr>
          <w:tab/>
        </w:r>
        <w:r w:rsidR="001D1E46">
          <w:rPr>
            <w:noProof/>
            <w:webHidden/>
          </w:rPr>
          <w:fldChar w:fldCharType="begin"/>
        </w:r>
        <w:r w:rsidR="001D1E46">
          <w:rPr>
            <w:noProof/>
            <w:webHidden/>
          </w:rPr>
          <w:instrText xml:space="preserve"> PAGEREF _Toc510706692 \h </w:instrText>
        </w:r>
        <w:r w:rsidR="001D1E46">
          <w:rPr>
            <w:noProof/>
            <w:webHidden/>
          </w:rPr>
        </w:r>
        <w:r w:rsidR="001D1E46">
          <w:rPr>
            <w:noProof/>
            <w:webHidden/>
          </w:rPr>
          <w:fldChar w:fldCharType="separate"/>
        </w:r>
        <w:r w:rsidR="0067023A">
          <w:rPr>
            <w:noProof/>
            <w:webHidden/>
          </w:rPr>
          <w:t>167</w:t>
        </w:r>
        <w:r w:rsidR="001D1E46">
          <w:rPr>
            <w:noProof/>
            <w:webHidden/>
          </w:rPr>
          <w:fldChar w:fldCharType="end"/>
        </w:r>
      </w:hyperlink>
    </w:p>
    <w:p w14:paraId="34B2649E" w14:textId="77777777" w:rsidR="001D1E46" w:rsidRDefault="00B918A6">
      <w:pPr>
        <w:pStyle w:val="TOC3"/>
        <w:rPr>
          <w:rFonts w:eastAsiaTheme="minorEastAsia"/>
          <w:i w:val="0"/>
          <w:iCs w:val="0"/>
          <w:noProof/>
          <w:sz w:val="22"/>
          <w:szCs w:val="22"/>
          <w:lang w:val="en-ZA" w:eastAsia="en-ZA"/>
        </w:rPr>
      </w:pPr>
      <w:hyperlink w:anchor="_Toc510706693" w:history="1">
        <w:r w:rsidR="001D1E46" w:rsidRPr="00AC1F66">
          <w:rPr>
            <w:rStyle w:val="Hyperlink"/>
            <w:noProof/>
          </w:rPr>
          <w:t>5.1.4.</w:t>
        </w:r>
        <w:r w:rsidR="001D1E46">
          <w:rPr>
            <w:rFonts w:eastAsiaTheme="minorEastAsia"/>
            <w:i w:val="0"/>
            <w:iCs w:val="0"/>
            <w:noProof/>
            <w:sz w:val="22"/>
            <w:szCs w:val="22"/>
            <w:lang w:val="en-ZA" w:eastAsia="en-ZA"/>
          </w:rPr>
          <w:tab/>
        </w:r>
        <w:r w:rsidR="001D1E46" w:rsidRPr="00AC1F66">
          <w:rPr>
            <w:rStyle w:val="Hyperlink"/>
            <w:noProof/>
          </w:rPr>
          <w:t>DEVELOPMENT CORRIDORS</w:t>
        </w:r>
        <w:r w:rsidR="001D1E46">
          <w:rPr>
            <w:noProof/>
            <w:webHidden/>
          </w:rPr>
          <w:tab/>
        </w:r>
        <w:r w:rsidR="001D1E46">
          <w:rPr>
            <w:noProof/>
            <w:webHidden/>
          </w:rPr>
          <w:fldChar w:fldCharType="begin"/>
        </w:r>
        <w:r w:rsidR="001D1E46">
          <w:rPr>
            <w:noProof/>
            <w:webHidden/>
          </w:rPr>
          <w:instrText xml:space="preserve"> PAGEREF _Toc510706693 \h </w:instrText>
        </w:r>
        <w:r w:rsidR="001D1E46">
          <w:rPr>
            <w:noProof/>
            <w:webHidden/>
          </w:rPr>
        </w:r>
        <w:r w:rsidR="001D1E46">
          <w:rPr>
            <w:noProof/>
            <w:webHidden/>
          </w:rPr>
          <w:fldChar w:fldCharType="separate"/>
        </w:r>
        <w:r w:rsidR="0067023A">
          <w:rPr>
            <w:noProof/>
            <w:webHidden/>
          </w:rPr>
          <w:t>169</w:t>
        </w:r>
        <w:r w:rsidR="001D1E46">
          <w:rPr>
            <w:noProof/>
            <w:webHidden/>
          </w:rPr>
          <w:fldChar w:fldCharType="end"/>
        </w:r>
      </w:hyperlink>
    </w:p>
    <w:p w14:paraId="3ACAC968" w14:textId="77777777" w:rsidR="001D1E46" w:rsidRDefault="00B918A6">
      <w:pPr>
        <w:pStyle w:val="TOC1"/>
        <w:rPr>
          <w:rFonts w:asciiTheme="minorHAnsi" w:eastAsiaTheme="minorEastAsia" w:hAnsiTheme="minorHAnsi"/>
          <w:bCs w:val="0"/>
          <w:caps w:val="0"/>
          <w:sz w:val="22"/>
          <w:szCs w:val="22"/>
          <w:lang w:val="en-ZA" w:eastAsia="en-ZA"/>
        </w:rPr>
      </w:pPr>
      <w:hyperlink w:anchor="_Toc510706694" w:history="1">
        <w:r w:rsidR="001D1E46" w:rsidRPr="00AC1F66">
          <w:rPr>
            <w:rStyle w:val="Hyperlink"/>
          </w:rPr>
          <w:t>SECTION E: 5.2 IMPLEMENTATION PLAN</w:t>
        </w:r>
        <w:r w:rsidR="001D1E46">
          <w:rPr>
            <w:webHidden/>
          </w:rPr>
          <w:tab/>
        </w:r>
        <w:r w:rsidR="001D1E46">
          <w:rPr>
            <w:webHidden/>
          </w:rPr>
          <w:fldChar w:fldCharType="begin"/>
        </w:r>
        <w:r w:rsidR="001D1E46">
          <w:rPr>
            <w:webHidden/>
          </w:rPr>
          <w:instrText xml:space="preserve"> PAGEREF _Toc510706694 \h </w:instrText>
        </w:r>
        <w:r w:rsidR="001D1E46">
          <w:rPr>
            <w:webHidden/>
          </w:rPr>
        </w:r>
        <w:r w:rsidR="001D1E46">
          <w:rPr>
            <w:webHidden/>
          </w:rPr>
          <w:fldChar w:fldCharType="separate"/>
        </w:r>
        <w:r w:rsidR="0067023A">
          <w:rPr>
            <w:webHidden/>
          </w:rPr>
          <w:t>181</w:t>
        </w:r>
        <w:r w:rsidR="001D1E46">
          <w:rPr>
            <w:webHidden/>
          </w:rPr>
          <w:fldChar w:fldCharType="end"/>
        </w:r>
      </w:hyperlink>
    </w:p>
    <w:p w14:paraId="109D639D" w14:textId="77777777" w:rsidR="001D1E46" w:rsidRDefault="00B918A6">
      <w:pPr>
        <w:pStyle w:val="TOC1"/>
        <w:rPr>
          <w:rFonts w:asciiTheme="minorHAnsi" w:eastAsiaTheme="minorEastAsia" w:hAnsiTheme="minorHAnsi"/>
          <w:bCs w:val="0"/>
          <w:caps w:val="0"/>
          <w:sz w:val="22"/>
          <w:szCs w:val="22"/>
          <w:lang w:val="en-ZA" w:eastAsia="en-ZA"/>
        </w:rPr>
      </w:pPr>
      <w:hyperlink w:anchor="_Toc510706695" w:history="1">
        <w:r w:rsidR="001D1E46" w:rsidRPr="00AC1F66">
          <w:rPr>
            <w:rStyle w:val="Hyperlink"/>
          </w:rPr>
          <w:t>SECTION F: 6 FINANCIAL PLAN</w:t>
        </w:r>
        <w:r w:rsidR="001D1E46">
          <w:rPr>
            <w:webHidden/>
          </w:rPr>
          <w:tab/>
        </w:r>
        <w:r w:rsidR="001D1E46">
          <w:rPr>
            <w:webHidden/>
          </w:rPr>
          <w:fldChar w:fldCharType="begin"/>
        </w:r>
        <w:r w:rsidR="001D1E46">
          <w:rPr>
            <w:webHidden/>
          </w:rPr>
          <w:instrText xml:space="preserve"> PAGEREF _Toc510706695 \h </w:instrText>
        </w:r>
        <w:r w:rsidR="001D1E46">
          <w:rPr>
            <w:webHidden/>
          </w:rPr>
        </w:r>
        <w:r w:rsidR="001D1E46">
          <w:rPr>
            <w:webHidden/>
          </w:rPr>
          <w:fldChar w:fldCharType="separate"/>
        </w:r>
        <w:r w:rsidR="0067023A">
          <w:rPr>
            <w:webHidden/>
          </w:rPr>
          <w:t>199</w:t>
        </w:r>
        <w:r w:rsidR="001D1E46">
          <w:rPr>
            <w:webHidden/>
          </w:rPr>
          <w:fldChar w:fldCharType="end"/>
        </w:r>
      </w:hyperlink>
    </w:p>
    <w:p w14:paraId="010346CB"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696" w:history="1">
        <w:r w:rsidR="001D1E46" w:rsidRPr="00AC1F66">
          <w:rPr>
            <w:rStyle w:val="Hyperlink"/>
            <w:noProof/>
          </w:rPr>
          <w:t>6.1.</w:t>
        </w:r>
        <w:r w:rsidR="001D1E46">
          <w:rPr>
            <w:rFonts w:eastAsiaTheme="minorEastAsia"/>
            <w:smallCaps w:val="0"/>
            <w:noProof/>
            <w:sz w:val="22"/>
            <w:szCs w:val="22"/>
            <w:lang w:val="en-ZA" w:eastAsia="en-ZA"/>
          </w:rPr>
          <w:tab/>
        </w:r>
        <w:r w:rsidR="001D1E46" w:rsidRPr="00AC1F66">
          <w:rPr>
            <w:rStyle w:val="Hyperlink"/>
            <w:noProof/>
          </w:rPr>
          <w:t>CAPITAL BUDGET FOR 2018/2019 FINANCIAL YEAR</w:t>
        </w:r>
        <w:r w:rsidR="001D1E46">
          <w:rPr>
            <w:noProof/>
            <w:webHidden/>
          </w:rPr>
          <w:tab/>
        </w:r>
        <w:r w:rsidR="001D1E46">
          <w:rPr>
            <w:noProof/>
            <w:webHidden/>
          </w:rPr>
          <w:fldChar w:fldCharType="begin"/>
        </w:r>
        <w:r w:rsidR="001D1E46">
          <w:rPr>
            <w:noProof/>
            <w:webHidden/>
          </w:rPr>
          <w:instrText xml:space="preserve"> PAGEREF _Toc510706696 \h </w:instrText>
        </w:r>
        <w:r w:rsidR="001D1E46">
          <w:rPr>
            <w:noProof/>
            <w:webHidden/>
          </w:rPr>
        </w:r>
        <w:r w:rsidR="001D1E46">
          <w:rPr>
            <w:noProof/>
            <w:webHidden/>
          </w:rPr>
          <w:fldChar w:fldCharType="separate"/>
        </w:r>
        <w:r w:rsidR="0067023A">
          <w:rPr>
            <w:noProof/>
            <w:webHidden/>
          </w:rPr>
          <w:t>199</w:t>
        </w:r>
        <w:r w:rsidR="001D1E46">
          <w:rPr>
            <w:noProof/>
            <w:webHidden/>
          </w:rPr>
          <w:fldChar w:fldCharType="end"/>
        </w:r>
      </w:hyperlink>
    </w:p>
    <w:p w14:paraId="75BF9B88"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697" w:history="1">
        <w:r w:rsidR="001D1E46" w:rsidRPr="00AC1F66">
          <w:rPr>
            <w:rStyle w:val="Hyperlink"/>
            <w:noProof/>
          </w:rPr>
          <w:t>6.2.</w:t>
        </w:r>
        <w:r w:rsidR="001D1E46">
          <w:rPr>
            <w:rFonts w:eastAsiaTheme="minorEastAsia"/>
            <w:smallCaps w:val="0"/>
            <w:noProof/>
            <w:sz w:val="22"/>
            <w:szCs w:val="22"/>
            <w:lang w:val="en-ZA" w:eastAsia="en-ZA"/>
          </w:rPr>
          <w:tab/>
        </w:r>
        <w:r w:rsidR="001D1E46" w:rsidRPr="00AC1F66">
          <w:rPr>
            <w:rStyle w:val="Hyperlink"/>
            <w:noProof/>
          </w:rPr>
          <w:t>PROJECTS TO BE IMPLEMENTED BY SECTOR DEPARTMENTS</w:t>
        </w:r>
        <w:r w:rsidR="001D1E46">
          <w:rPr>
            <w:noProof/>
            <w:webHidden/>
          </w:rPr>
          <w:tab/>
        </w:r>
        <w:r w:rsidR="001D1E46">
          <w:rPr>
            <w:noProof/>
            <w:webHidden/>
          </w:rPr>
          <w:fldChar w:fldCharType="begin"/>
        </w:r>
        <w:r w:rsidR="001D1E46">
          <w:rPr>
            <w:noProof/>
            <w:webHidden/>
          </w:rPr>
          <w:instrText xml:space="preserve"> PAGEREF _Toc510706697 \h </w:instrText>
        </w:r>
        <w:r w:rsidR="001D1E46">
          <w:rPr>
            <w:noProof/>
            <w:webHidden/>
          </w:rPr>
        </w:r>
        <w:r w:rsidR="001D1E46">
          <w:rPr>
            <w:noProof/>
            <w:webHidden/>
          </w:rPr>
          <w:fldChar w:fldCharType="separate"/>
        </w:r>
        <w:r w:rsidR="0067023A">
          <w:rPr>
            <w:noProof/>
            <w:webHidden/>
          </w:rPr>
          <w:t>200</w:t>
        </w:r>
        <w:r w:rsidR="001D1E46">
          <w:rPr>
            <w:noProof/>
            <w:webHidden/>
          </w:rPr>
          <w:fldChar w:fldCharType="end"/>
        </w:r>
      </w:hyperlink>
    </w:p>
    <w:p w14:paraId="52BE9CAE" w14:textId="77777777" w:rsidR="001D1E46" w:rsidRDefault="00B918A6">
      <w:pPr>
        <w:pStyle w:val="TOC3"/>
        <w:rPr>
          <w:rFonts w:eastAsiaTheme="minorEastAsia"/>
          <w:i w:val="0"/>
          <w:iCs w:val="0"/>
          <w:noProof/>
          <w:sz w:val="22"/>
          <w:szCs w:val="22"/>
          <w:lang w:val="en-ZA" w:eastAsia="en-ZA"/>
        </w:rPr>
      </w:pPr>
      <w:hyperlink w:anchor="_Toc510706698" w:history="1">
        <w:r w:rsidR="001D1E46" w:rsidRPr="00AC1F66">
          <w:rPr>
            <w:rStyle w:val="Hyperlink"/>
            <w:noProof/>
          </w:rPr>
          <w:t>6.2.1.</w:t>
        </w:r>
        <w:r w:rsidR="001D1E46">
          <w:rPr>
            <w:rFonts w:eastAsiaTheme="minorEastAsia"/>
            <w:i w:val="0"/>
            <w:iCs w:val="0"/>
            <w:noProof/>
            <w:sz w:val="22"/>
            <w:szCs w:val="22"/>
            <w:lang w:val="en-ZA" w:eastAsia="en-ZA"/>
          </w:rPr>
          <w:tab/>
        </w:r>
        <w:r w:rsidR="001D1E46" w:rsidRPr="00AC1F66">
          <w:rPr>
            <w:rStyle w:val="Hyperlink"/>
            <w:noProof/>
          </w:rPr>
          <w:t>Department of Transport: Progress on 2017/18 Projects</w:t>
        </w:r>
        <w:r w:rsidR="001D1E46">
          <w:rPr>
            <w:noProof/>
            <w:webHidden/>
          </w:rPr>
          <w:tab/>
        </w:r>
        <w:r w:rsidR="001D1E46">
          <w:rPr>
            <w:noProof/>
            <w:webHidden/>
          </w:rPr>
          <w:fldChar w:fldCharType="begin"/>
        </w:r>
        <w:r w:rsidR="001D1E46">
          <w:rPr>
            <w:noProof/>
            <w:webHidden/>
          </w:rPr>
          <w:instrText xml:space="preserve"> PAGEREF _Toc510706698 \h </w:instrText>
        </w:r>
        <w:r w:rsidR="001D1E46">
          <w:rPr>
            <w:noProof/>
            <w:webHidden/>
          </w:rPr>
        </w:r>
        <w:r w:rsidR="001D1E46">
          <w:rPr>
            <w:noProof/>
            <w:webHidden/>
          </w:rPr>
          <w:fldChar w:fldCharType="separate"/>
        </w:r>
        <w:r w:rsidR="0067023A">
          <w:rPr>
            <w:noProof/>
            <w:webHidden/>
          </w:rPr>
          <w:t>200</w:t>
        </w:r>
        <w:r w:rsidR="001D1E46">
          <w:rPr>
            <w:noProof/>
            <w:webHidden/>
          </w:rPr>
          <w:fldChar w:fldCharType="end"/>
        </w:r>
      </w:hyperlink>
    </w:p>
    <w:p w14:paraId="758D905B" w14:textId="77777777" w:rsidR="001D1E46" w:rsidRDefault="00B918A6">
      <w:pPr>
        <w:pStyle w:val="TOC3"/>
        <w:rPr>
          <w:rFonts w:eastAsiaTheme="minorEastAsia"/>
          <w:i w:val="0"/>
          <w:iCs w:val="0"/>
          <w:noProof/>
          <w:sz w:val="22"/>
          <w:szCs w:val="22"/>
          <w:lang w:val="en-ZA" w:eastAsia="en-ZA"/>
        </w:rPr>
      </w:pPr>
      <w:hyperlink w:anchor="_Toc510706699" w:history="1">
        <w:r w:rsidR="001D1E46" w:rsidRPr="00AC1F66">
          <w:rPr>
            <w:rStyle w:val="Hyperlink"/>
            <w:noProof/>
          </w:rPr>
          <w:t>6.2.2.</w:t>
        </w:r>
        <w:r w:rsidR="001D1E46">
          <w:rPr>
            <w:rFonts w:eastAsiaTheme="minorEastAsia"/>
            <w:i w:val="0"/>
            <w:iCs w:val="0"/>
            <w:noProof/>
            <w:sz w:val="22"/>
            <w:szCs w:val="22"/>
            <w:lang w:val="en-ZA" w:eastAsia="en-ZA"/>
          </w:rPr>
          <w:tab/>
        </w:r>
        <w:r w:rsidR="001D1E46" w:rsidRPr="00AC1F66">
          <w:rPr>
            <w:rStyle w:val="Hyperlink"/>
            <w:noProof/>
          </w:rPr>
          <w:t>Department of Transport: 2018/19 uMlalazi LM Planned Projects.</w:t>
        </w:r>
        <w:r w:rsidR="001D1E46">
          <w:rPr>
            <w:noProof/>
            <w:webHidden/>
          </w:rPr>
          <w:tab/>
        </w:r>
        <w:r w:rsidR="001D1E46">
          <w:rPr>
            <w:noProof/>
            <w:webHidden/>
          </w:rPr>
          <w:fldChar w:fldCharType="begin"/>
        </w:r>
        <w:r w:rsidR="001D1E46">
          <w:rPr>
            <w:noProof/>
            <w:webHidden/>
          </w:rPr>
          <w:instrText xml:space="preserve"> PAGEREF _Toc510706699 \h </w:instrText>
        </w:r>
        <w:r w:rsidR="001D1E46">
          <w:rPr>
            <w:noProof/>
            <w:webHidden/>
          </w:rPr>
        </w:r>
        <w:r w:rsidR="001D1E46">
          <w:rPr>
            <w:noProof/>
            <w:webHidden/>
          </w:rPr>
          <w:fldChar w:fldCharType="separate"/>
        </w:r>
        <w:r w:rsidR="0067023A">
          <w:rPr>
            <w:noProof/>
            <w:webHidden/>
          </w:rPr>
          <w:t>200</w:t>
        </w:r>
        <w:r w:rsidR="001D1E46">
          <w:rPr>
            <w:noProof/>
            <w:webHidden/>
          </w:rPr>
          <w:fldChar w:fldCharType="end"/>
        </w:r>
      </w:hyperlink>
    </w:p>
    <w:p w14:paraId="52E7E865" w14:textId="77777777" w:rsidR="001D1E46" w:rsidRDefault="00B918A6">
      <w:pPr>
        <w:pStyle w:val="TOC3"/>
        <w:rPr>
          <w:rFonts w:eastAsiaTheme="minorEastAsia"/>
          <w:i w:val="0"/>
          <w:iCs w:val="0"/>
          <w:noProof/>
          <w:sz w:val="22"/>
          <w:szCs w:val="22"/>
          <w:lang w:val="en-ZA" w:eastAsia="en-ZA"/>
        </w:rPr>
      </w:pPr>
      <w:hyperlink w:anchor="_Toc510706700" w:history="1">
        <w:r w:rsidR="001D1E46" w:rsidRPr="00AC1F66">
          <w:rPr>
            <w:rStyle w:val="Hyperlink"/>
            <w:noProof/>
          </w:rPr>
          <w:t>6.2.2.1.</w:t>
        </w:r>
        <w:r w:rsidR="001D1E46">
          <w:rPr>
            <w:rFonts w:eastAsiaTheme="minorEastAsia"/>
            <w:i w:val="0"/>
            <w:iCs w:val="0"/>
            <w:noProof/>
            <w:sz w:val="22"/>
            <w:szCs w:val="22"/>
            <w:lang w:val="en-ZA" w:eastAsia="en-ZA"/>
          </w:rPr>
          <w:tab/>
        </w:r>
        <w:r w:rsidR="001D1E46" w:rsidRPr="00AC1F66">
          <w:rPr>
            <w:rStyle w:val="Hyperlink"/>
            <w:noProof/>
          </w:rPr>
          <w:t>Ongoing Capital Multiyear Projects</w:t>
        </w:r>
        <w:r w:rsidR="001D1E46">
          <w:rPr>
            <w:noProof/>
            <w:webHidden/>
          </w:rPr>
          <w:tab/>
        </w:r>
        <w:r w:rsidR="001D1E46">
          <w:rPr>
            <w:noProof/>
            <w:webHidden/>
          </w:rPr>
          <w:fldChar w:fldCharType="begin"/>
        </w:r>
        <w:r w:rsidR="001D1E46">
          <w:rPr>
            <w:noProof/>
            <w:webHidden/>
          </w:rPr>
          <w:instrText xml:space="preserve"> PAGEREF _Toc510706700 \h </w:instrText>
        </w:r>
        <w:r w:rsidR="001D1E46">
          <w:rPr>
            <w:noProof/>
            <w:webHidden/>
          </w:rPr>
        </w:r>
        <w:r w:rsidR="001D1E46">
          <w:rPr>
            <w:noProof/>
            <w:webHidden/>
          </w:rPr>
          <w:fldChar w:fldCharType="separate"/>
        </w:r>
        <w:r w:rsidR="0067023A">
          <w:rPr>
            <w:noProof/>
            <w:webHidden/>
          </w:rPr>
          <w:t>200</w:t>
        </w:r>
        <w:r w:rsidR="001D1E46">
          <w:rPr>
            <w:noProof/>
            <w:webHidden/>
          </w:rPr>
          <w:fldChar w:fldCharType="end"/>
        </w:r>
      </w:hyperlink>
    </w:p>
    <w:p w14:paraId="25CB55EA" w14:textId="77777777" w:rsidR="001D1E46" w:rsidRDefault="00B918A6">
      <w:pPr>
        <w:pStyle w:val="TOC3"/>
        <w:rPr>
          <w:rFonts w:eastAsiaTheme="minorEastAsia"/>
          <w:i w:val="0"/>
          <w:iCs w:val="0"/>
          <w:noProof/>
          <w:sz w:val="22"/>
          <w:szCs w:val="22"/>
          <w:lang w:val="en-ZA" w:eastAsia="en-ZA"/>
        </w:rPr>
      </w:pPr>
      <w:hyperlink w:anchor="_Toc510706701" w:history="1">
        <w:r w:rsidR="001D1E46" w:rsidRPr="00AC1F66">
          <w:rPr>
            <w:rStyle w:val="Hyperlink"/>
            <w:noProof/>
            <w:highlight w:val="yellow"/>
          </w:rPr>
          <w:t>6.2.3.</w:t>
        </w:r>
        <w:r w:rsidR="001D1E46">
          <w:rPr>
            <w:rFonts w:eastAsiaTheme="minorEastAsia"/>
            <w:i w:val="0"/>
            <w:iCs w:val="0"/>
            <w:noProof/>
            <w:sz w:val="22"/>
            <w:szCs w:val="22"/>
            <w:lang w:val="en-ZA" w:eastAsia="en-ZA"/>
          </w:rPr>
          <w:tab/>
        </w:r>
        <w:r w:rsidR="001D1E46" w:rsidRPr="00AC1F66">
          <w:rPr>
            <w:rStyle w:val="Hyperlink"/>
            <w:noProof/>
            <w:highlight w:val="yellow"/>
          </w:rPr>
          <w:t>ESKOM &amp; SCHEDULE 5B ELECTRIFICATION PROJECTS</w:t>
        </w:r>
        <w:r w:rsidR="001D1E46">
          <w:rPr>
            <w:noProof/>
            <w:webHidden/>
          </w:rPr>
          <w:tab/>
        </w:r>
        <w:r w:rsidR="001D1E46">
          <w:rPr>
            <w:noProof/>
            <w:webHidden/>
          </w:rPr>
          <w:fldChar w:fldCharType="begin"/>
        </w:r>
        <w:r w:rsidR="001D1E46">
          <w:rPr>
            <w:noProof/>
            <w:webHidden/>
          </w:rPr>
          <w:instrText xml:space="preserve"> PAGEREF _Toc510706701 \h </w:instrText>
        </w:r>
        <w:r w:rsidR="001D1E46">
          <w:rPr>
            <w:noProof/>
            <w:webHidden/>
          </w:rPr>
        </w:r>
        <w:r w:rsidR="001D1E46">
          <w:rPr>
            <w:noProof/>
            <w:webHidden/>
          </w:rPr>
          <w:fldChar w:fldCharType="separate"/>
        </w:r>
        <w:r w:rsidR="0067023A">
          <w:rPr>
            <w:noProof/>
            <w:webHidden/>
          </w:rPr>
          <w:t>201</w:t>
        </w:r>
        <w:r w:rsidR="001D1E46">
          <w:rPr>
            <w:noProof/>
            <w:webHidden/>
          </w:rPr>
          <w:fldChar w:fldCharType="end"/>
        </w:r>
      </w:hyperlink>
    </w:p>
    <w:p w14:paraId="04ABC914" w14:textId="77777777" w:rsidR="001D1E46" w:rsidRDefault="00B918A6">
      <w:pPr>
        <w:pStyle w:val="TOC3"/>
        <w:rPr>
          <w:rFonts w:eastAsiaTheme="minorEastAsia"/>
          <w:i w:val="0"/>
          <w:iCs w:val="0"/>
          <w:noProof/>
          <w:sz w:val="22"/>
          <w:szCs w:val="22"/>
          <w:lang w:val="en-ZA" w:eastAsia="en-ZA"/>
        </w:rPr>
      </w:pPr>
      <w:hyperlink w:anchor="_Toc510706702" w:history="1">
        <w:r w:rsidR="001D1E46" w:rsidRPr="00AC1F66">
          <w:rPr>
            <w:rStyle w:val="Hyperlink"/>
            <w:noProof/>
          </w:rPr>
          <w:t>6.2.4.</w:t>
        </w:r>
        <w:r w:rsidR="001D1E46">
          <w:rPr>
            <w:rFonts w:eastAsiaTheme="minorEastAsia"/>
            <w:i w:val="0"/>
            <w:iCs w:val="0"/>
            <w:noProof/>
            <w:sz w:val="22"/>
            <w:szCs w:val="22"/>
            <w:lang w:val="en-ZA" w:eastAsia="en-ZA"/>
          </w:rPr>
          <w:tab/>
        </w:r>
        <w:r w:rsidR="001D1E46" w:rsidRPr="00AC1F66">
          <w:rPr>
            <w:rStyle w:val="Hyperlink"/>
            <w:noProof/>
          </w:rPr>
          <w:t>Private Sector Developments</w:t>
        </w:r>
        <w:r w:rsidR="001D1E46">
          <w:rPr>
            <w:noProof/>
            <w:webHidden/>
          </w:rPr>
          <w:tab/>
        </w:r>
        <w:r w:rsidR="001D1E46">
          <w:rPr>
            <w:noProof/>
            <w:webHidden/>
          </w:rPr>
          <w:fldChar w:fldCharType="begin"/>
        </w:r>
        <w:r w:rsidR="001D1E46">
          <w:rPr>
            <w:noProof/>
            <w:webHidden/>
          </w:rPr>
          <w:instrText xml:space="preserve"> PAGEREF _Toc510706702 \h </w:instrText>
        </w:r>
        <w:r w:rsidR="001D1E46">
          <w:rPr>
            <w:noProof/>
            <w:webHidden/>
          </w:rPr>
        </w:r>
        <w:r w:rsidR="001D1E46">
          <w:rPr>
            <w:noProof/>
            <w:webHidden/>
          </w:rPr>
          <w:fldChar w:fldCharType="separate"/>
        </w:r>
        <w:r w:rsidR="0067023A">
          <w:rPr>
            <w:noProof/>
            <w:webHidden/>
          </w:rPr>
          <w:t>201</w:t>
        </w:r>
        <w:r w:rsidR="001D1E46">
          <w:rPr>
            <w:noProof/>
            <w:webHidden/>
          </w:rPr>
          <w:fldChar w:fldCharType="end"/>
        </w:r>
      </w:hyperlink>
    </w:p>
    <w:p w14:paraId="4D4DBA4A" w14:textId="77777777" w:rsidR="001D1E46" w:rsidRDefault="00B918A6">
      <w:pPr>
        <w:pStyle w:val="TOC3"/>
        <w:rPr>
          <w:rFonts w:eastAsiaTheme="minorEastAsia"/>
          <w:i w:val="0"/>
          <w:iCs w:val="0"/>
          <w:noProof/>
          <w:sz w:val="22"/>
          <w:szCs w:val="22"/>
          <w:lang w:val="en-ZA" w:eastAsia="en-ZA"/>
        </w:rPr>
      </w:pPr>
      <w:hyperlink w:anchor="_Toc510706703" w:history="1">
        <w:r w:rsidR="001D1E46" w:rsidRPr="00AC1F66">
          <w:rPr>
            <w:rStyle w:val="Hyperlink"/>
            <w:noProof/>
          </w:rPr>
          <w:t>6.2.5.</w:t>
        </w:r>
        <w:r w:rsidR="001D1E46">
          <w:rPr>
            <w:rFonts w:eastAsiaTheme="minorEastAsia"/>
            <w:i w:val="0"/>
            <w:iCs w:val="0"/>
            <w:noProof/>
            <w:sz w:val="22"/>
            <w:szCs w:val="22"/>
            <w:lang w:val="en-ZA" w:eastAsia="en-ZA"/>
          </w:rPr>
          <w:tab/>
        </w:r>
        <w:r w:rsidR="001D1E46" w:rsidRPr="00AC1F66">
          <w:rPr>
            <w:rStyle w:val="Hyperlink"/>
            <w:noProof/>
          </w:rPr>
          <w:t>Department of Agriculture Projects</w:t>
        </w:r>
        <w:r w:rsidR="001D1E46">
          <w:rPr>
            <w:noProof/>
            <w:webHidden/>
          </w:rPr>
          <w:tab/>
        </w:r>
        <w:r w:rsidR="001D1E46">
          <w:rPr>
            <w:noProof/>
            <w:webHidden/>
          </w:rPr>
          <w:fldChar w:fldCharType="begin"/>
        </w:r>
        <w:r w:rsidR="001D1E46">
          <w:rPr>
            <w:noProof/>
            <w:webHidden/>
          </w:rPr>
          <w:instrText xml:space="preserve"> PAGEREF _Toc510706703 \h </w:instrText>
        </w:r>
        <w:r w:rsidR="001D1E46">
          <w:rPr>
            <w:noProof/>
            <w:webHidden/>
          </w:rPr>
        </w:r>
        <w:r w:rsidR="001D1E46">
          <w:rPr>
            <w:noProof/>
            <w:webHidden/>
          </w:rPr>
          <w:fldChar w:fldCharType="separate"/>
        </w:r>
        <w:r w:rsidR="0067023A">
          <w:rPr>
            <w:noProof/>
            <w:webHidden/>
          </w:rPr>
          <w:t>202</w:t>
        </w:r>
        <w:r w:rsidR="001D1E46">
          <w:rPr>
            <w:noProof/>
            <w:webHidden/>
          </w:rPr>
          <w:fldChar w:fldCharType="end"/>
        </w:r>
      </w:hyperlink>
    </w:p>
    <w:p w14:paraId="39F0814D" w14:textId="77777777" w:rsidR="001D1E46" w:rsidRDefault="00B918A6">
      <w:pPr>
        <w:pStyle w:val="TOC3"/>
        <w:rPr>
          <w:rFonts w:eastAsiaTheme="minorEastAsia"/>
          <w:i w:val="0"/>
          <w:iCs w:val="0"/>
          <w:noProof/>
          <w:sz w:val="22"/>
          <w:szCs w:val="22"/>
          <w:lang w:val="en-ZA" w:eastAsia="en-ZA"/>
        </w:rPr>
      </w:pPr>
      <w:hyperlink w:anchor="_Toc510706704" w:history="1">
        <w:r w:rsidR="001D1E46" w:rsidRPr="00AC1F66">
          <w:rPr>
            <w:rStyle w:val="Hyperlink"/>
            <w:noProof/>
          </w:rPr>
          <w:t>6.2.6.</w:t>
        </w:r>
        <w:r w:rsidR="001D1E46">
          <w:rPr>
            <w:rFonts w:eastAsiaTheme="minorEastAsia"/>
            <w:i w:val="0"/>
            <w:iCs w:val="0"/>
            <w:noProof/>
            <w:sz w:val="22"/>
            <w:szCs w:val="22"/>
            <w:lang w:val="en-ZA" w:eastAsia="en-ZA"/>
          </w:rPr>
          <w:tab/>
        </w:r>
        <w:r w:rsidR="001D1E46" w:rsidRPr="00AC1F66">
          <w:rPr>
            <w:rStyle w:val="Hyperlink"/>
            <w:noProof/>
          </w:rPr>
          <w:t>Department of Education</w:t>
        </w:r>
        <w:r w:rsidR="001D1E46">
          <w:rPr>
            <w:noProof/>
            <w:webHidden/>
          </w:rPr>
          <w:tab/>
        </w:r>
        <w:r w:rsidR="001D1E46">
          <w:rPr>
            <w:noProof/>
            <w:webHidden/>
          </w:rPr>
          <w:fldChar w:fldCharType="begin"/>
        </w:r>
        <w:r w:rsidR="001D1E46">
          <w:rPr>
            <w:noProof/>
            <w:webHidden/>
          </w:rPr>
          <w:instrText xml:space="preserve"> PAGEREF _Toc510706704 \h </w:instrText>
        </w:r>
        <w:r w:rsidR="001D1E46">
          <w:rPr>
            <w:noProof/>
            <w:webHidden/>
          </w:rPr>
        </w:r>
        <w:r w:rsidR="001D1E46">
          <w:rPr>
            <w:noProof/>
            <w:webHidden/>
          </w:rPr>
          <w:fldChar w:fldCharType="separate"/>
        </w:r>
        <w:r w:rsidR="0067023A">
          <w:rPr>
            <w:noProof/>
            <w:webHidden/>
          </w:rPr>
          <w:t>202</w:t>
        </w:r>
        <w:r w:rsidR="001D1E46">
          <w:rPr>
            <w:noProof/>
            <w:webHidden/>
          </w:rPr>
          <w:fldChar w:fldCharType="end"/>
        </w:r>
      </w:hyperlink>
    </w:p>
    <w:p w14:paraId="5A9D2756" w14:textId="77777777" w:rsidR="001D1E46" w:rsidRDefault="00B918A6">
      <w:pPr>
        <w:pStyle w:val="TOC3"/>
        <w:rPr>
          <w:rFonts w:eastAsiaTheme="minorEastAsia"/>
          <w:i w:val="0"/>
          <w:iCs w:val="0"/>
          <w:noProof/>
          <w:sz w:val="22"/>
          <w:szCs w:val="22"/>
          <w:lang w:val="en-ZA" w:eastAsia="en-ZA"/>
        </w:rPr>
      </w:pPr>
      <w:hyperlink w:anchor="_Toc510706705" w:history="1">
        <w:r w:rsidR="001D1E46" w:rsidRPr="00AC1F66">
          <w:rPr>
            <w:rStyle w:val="Hyperlink"/>
            <w:noProof/>
          </w:rPr>
          <w:t>6.2.7.</w:t>
        </w:r>
        <w:r w:rsidR="001D1E46">
          <w:rPr>
            <w:rFonts w:eastAsiaTheme="minorEastAsia"/>
            <w:i w:val="0"/>
            <w:iCs w:val="0"/>
            <w:noProof/>
            <w:sz w:val="22"/>
            <w:szCs w:val="22"/>
            <w:lang w:val="en-ZA" w:eastAsia="en-ZA"/>
          </w:rPr>
          <w:tab/>
        </w:r>
        <w:r w:rsidR="001D1E46" w:rsidRPr="00AC1F66">
          <w:rPr>
            <w:rStyle w:val="Hyperlink"/>
            <w:noProof/>
          </w:rPr>
          <w:t>King Cetshwayo DM: Planned Water Projects</w:t>
        </w:r>
        <w:r w:rsidR="001D1E46">
          <w:rPr>
            <w:noProof/>
            <w:webHidden/>
          </w:rPr>
          <w:tab/>
        </w:r>
        <w:r w:rsidR="001D1E46">
          <w:rPr>
            <w:noProof/>
            <w:webHidden/>
          </w:rPr>
          <w:fldChar w:fldCharType="begin"/>
        </w:r>
        <w:r w:rsidR="001D1E46">
          <w:rPr>
            <w:noProof/>
            <w:webHidden/>
          </w:rPr>
          <w:instrText xml:space="preserve"> PAGEREF _Toc510706705 \h </w:instrText>
        </w:r>
        <w:r w:rsidR="001D1E46">
          <w:rPr>
            <w:noProof/>
            <w:webHidden/>
          </w:rPr>
        </w:r>
        <w:r w:rsidR="001D1E46">
          <w:rPr>
            <w:noProof/>
            <w:webHidden/>
          </w:rPr>
          <w:fldChar w:fldCharType="separate"/>
        </w:r>
        <w:r w:rsidR="0067023A">
          <w:rPr>
            <w:noProof/>
            <w:webHidden/>
          </w:rPr>
          <w:t>203</w:t>
        </w:r>
        <w:r w:rsidR="001D1E46">
          <w:rPr>
            <w:noProof/>
            <w:webHidden/>
          </w:rPr>
          <w:fldChar w:fldCharType="end"/>
        </w:r>
      </w:hyperlink>
    </w:p>
    <w:p w14:paraId="59FAE934" w14:textId="77777777" w:rsidR="001D1E46" w:rsidRDefault="00B918A6">
      <w:pPr>
        <w:pStyle w:val="TOC3"/>
        <w:rPr>
          <w:rFonts w:eastAsiaTheme="minorEastAsia"/>
          <w:i w:val="0"/>
          <w:iCs w:val="0"/>
          <w:noProof/>
          <w:sz w:val="22"/>
          <w:szCs w:val="22"/>
          <w:lang w:val="en-ZA" w:eastAsia="en-ZA"/>
        </w:rPr>
      </w:pPr>
      <w:hyperlink w:anchor="_Toc510706706" w:history="1">
        <w:r w:rsidR="001D1E46" w:rsidRPr="00AC1F66">
          <w:rPr>
            <w:rStyle w:val="Hyperlink"/>
            <w:noProof/>
          </w:rPr>
          <w:t>6.2.7.1.</w:t>
        </w:r>
        <w:r w:rsidR="001D1E46">
          <w:rPr>
            <w:rFonts w:eastAsiaTheme="minorEastAsia"/>
            <w:i w:val="0"/>
            <w:iCs w:val="0"/>
            <w:noProof/>
            <w:sz w:val="22"/>
            <w:szCs w:val="22"/>
            <w:lang w:val="en-ZA" w:eastAsia="en-ZA"/>
          </w:rPr>
          <w:tab/>
        </w:r>
        <w:r w:rsidR="001D1E46" w:rsidRPr="00AC1F66">
          <w:rPr>
            <w:rStyle w:val="Hyperlink"/>
            <w:noProof/>
          </w:rPr>
          <w:t>KCDM Projects Due for Completion</w:t>
        </w:r>
        <w:r w:rsidR="001D1E46">
          <w:rPr>
            <w:noProof/>
            <w:webHidden/>
          </w:rPr>
          <w:tab/>
        </w:r>
        <w:r w:rsidR="001D1E46">
          <w:rPr>
            <w:noProof/>
            <w:webHidden/>
          </w:rPr>
          <w:fldChar w:fldCharType="begin"/>
        </w:r>
        <w:r w:rsidR="001D1E46">
          <w:rPr>
            <w:noProof/>
            <w:webHidden/>
          </w:rPr>
          <w:instrText xml:space="preserve"> PAGEREF _Toc510706706 \h </w:instrText>
        </w:r>
        <w:r w:rsidR="001D1E46">
          <w:rPr>
            <w:noProof/>
            <w:webHidden/>
          </w:rPr>
        </w:r>
        <w:r w:rsidR="001D1E46">
          <w:rPr>
            <w:noProof/>
            <w:webHidden/>
          </w:rPr>
          <w:fldChar w:fldCharType="separate"/>
        </w:r>
        <w:r w:rsidR="0067023A">
          <w:rPr>
            <w:noProof/>
            <w:webHidden/>
          </w:rPr>
          <w:t>203</w:t>
        </w:r>
        <w:r w:rsidR="001D1E46">
          <w:rPr>
            <w:noProof/>
            <w:webHidden/>
          </w:rPr>
          <w:fldChar w:fldCharType="end"/>
        </w:r>
      </w:hyperlink>
    </w:p>
    <w:p w14:paraId="09D15D5D" w14:textId="77777777" w:rsidR="001D1E46" w:rsidRDefault="00B918A6">
      <w:pPr>
        <w:pStyle w:val="TOC3"/>
        <w:rPr>
          <w:rFonts w:eastAsiaTheme="minorEastAsia"/>
          <w:i w:val="0"/>
          <w:iCs w:val="0"/>
          <w:noProof/>
          <w:sz w:val="22"/>
          <w:szCs w:val="22"/>
          <w:lang w:val="en-ZA" w:eastAsia="en-ZA"/>
        </w:rPr>
      </w:pPr>
      <w:hyperlink w:anchor="_Toc510706707" w:history="1">
        <w:r w:rsidR="001D1E46" w:rsidRPr="00AC1F66">
          <w:rPr>
            <w:rStyle w:val="Hyperlink"/>
            <w:noProof/>
          </w:rPr>
          <w:t>6.2.7.2.</w:t>
        </w:r>
        <w:r w:rsidR="001D1E46">
          <w:rPr>
            <w:rFonts w:eastAsiaTheme="minorEastAsia"/>
            <w:i w:val="0"/>
            <w:iCs w:val="0"/>
            <w:noProof/>
            <w:sz w:val="22"/>
            <w:szCs w:val="22"/>
            <w:lang w:val="en-ZA" w:eastAsia="en-ZA"/>
          </w:rPr>
          <w:tab/>
        </w:r>
        <w:r w:rsidR="001D1E46" w:rsidRPr="00AC1F66">
          <w:rPr>
            <w:rStyle w:val="Hyperlink"/>
            <w:noProof/>
          </w:rPr>
          <w:t>KCDM Ongoing 3 Year Sanitation Projects</w:t>
        </w:r>
        <w:r w:rsidR="001D1E46">
          <w:rPr>
            <w:noProof/>
            <w:webHidden/>
          </w:rPr>
          <w:tab/>
        </w:r>
        <w:r w:rsidR="001D1E46">
          <w:rPr>
            <w:noProof/>
            <w:webHidden/>
          </w:rPr>
          <w:fldChar w:fldCharType="begin"/>
        </w:r>
        <w:r w:rsidR="001D1E46">
          <w:rPr>
            <w:noProof/>
            <w:webHidden/>
          </w:rPr>
          <w:instrText xml:space="preserve"> PAGEREF _Toc510706707 \h </w:instrText>
        </w:r>
        <w:r w:rsidR="001D1E46">
          <w:rPr>
            <w:noProof/>
            <w:webHidden/>
          </w:rPr>
        </w:r>
        <w:r w:rsidR="001D1E46">
          <w:rPr>
            <w:noProof/>
            <w:webHidden/>
          </w:rPr>
          <w:fldChar w:fldCharType="separate"/>
        </w:r>
        <w:r w:rsidR="0067023A">
          <w:rPr>
            <w:noProof/>
            <w:webHidden/>
          </w:rPr>
          <w:t>203</w:t>
        </w:r>
        <w:r w:rsidR="001D1E46">
          <w:rPr>
            <w:noProof/>
            <w:webHidden/>
          </w:rPr>
          <w:fldChar w:fldCharType="end"/>
        </w:r>
      </w:hyperlink>
    </w:p>
    <w:p w14:paraId="3FF77AB9" w14:textId="77777777" w:rsidR="001D1E46" w:rsidRDefault="00B918A6">
      <w:pPr>
        <w:pStyle w:val="TOC3"/>
        <w:rPr>
          <w:rFonts w:eastAsiaTheme="minorEastAsia"/>
          <w:i w:val="0"/>
          <w:iCs w:val="0"/>
          <w:noProof/>
          <w:sz w:val="22"/>
          <w:szCs w:val="22"/>
          <w:lang w:val="en-ZA" w:eastAsia="en-ZA"/>
        </w:rPr>
      </w:pPr>
      <w:hyperlink w:anchor="_Toc510706708" w:history="1">
        <w:r w:rsidR="001D1E46" w:rsidRPr="00AC1F66">
          <w:rPr>
            <w:rStyle w:val="Hyperlink"/>
            <w:noProof/>
          </w:rPr>
          <w:t>6.2.7.3.</w:t>
        </w:r>
        <w:r w:rsidR="001D1E46">
          <w:rPr>
            <w:rFonts w:eastAsiaTheme="minorEastAsia"/>
            <w:i w:val="0"/>
            <w:iCs w:val="0"/>
            <w:noProof/>
            <w:sz w:val="22"/>
            <w:szCs w:val="22"/>
            <w:lang w:val="en-ZA" w:eastAsia="en-ZA"/>
          </w:rPr>
          <w:tab/>
        </w:r>
        <w:r w:rsidR="001D1E46" w:rsidRPr="00AC1F66">
          <w:rPr>
            <w:rStyle w:val="Hyperlink"/>
            <w:noProof/>
          </w:rPr>
          <w:t>KCDM Ongoing 3 Year Water Projects</w:t>
        </w:r>
        <w:r w:rsidR="001D1E46">
          <w:rPr>
            <w:noProof/>
            <w:webHidden/>
          </w:rPr>
          <w:tab/>
        </w:r>
        <w:r w:rsidR="001D1E46">
          <w:rPr>
            <w:noProof/>
            <w:webHidden/>
          </w:rPr>
          <w:fldChar w:fldCharType="begin"/>
        </w:r>
        <w:r w:rsidR="001D1E46">
          <w:rPr>
            <w:noProof/>
            <w:webHidden/>
          </w:rPr>
          <w:instrText xml:space="preserve"> PAGEREF _Toc510706708 \h </w:instrText>
        </w:r>
        <w:r w:rsidR="001D1E46">
          <w:rPr>
            <w:noProof/>
            <w:webHidden/>
          </w:rPr>
        </w:r>
        <w:r w:rsidR="001D1E46">
          <w:rPr>
            <w:noProof/>
            <w:webHidden/>
          </w:rPr>
          <w:fldChar w:fldCharType="separate"/>
        </w:r>
        <w:r w:rsidR="0067023A">
          <w:rPr>
            <w:noProof/>
            <w:webHidden/>
          </w:rPr>
          <w:t>203</w:t>
        </w:r>
        <w:r w:rsidR="001D1E46">
          <w:rPr>
            <w:noProof/>
            <w:webHidden/>
          </w:rPr>
          <w:fldChar w:fldCharType="end"/>
        </w:r>
      </w:hyperlink>
    </w:p>
    <w:p w14:paraId="142BDF0E" w14:textId="77777777" w:rsidR="001D1E46" w:rsidRDefault="00B918A6">
      <w:pPr>
        <w:pStyle w:val="TOC3"/>
        <w:rPr>
          <w:rFonts w:eastAsiaTheme="minorEastAsia"/>
          <w:i w:val="0"/>
          <w:iCs w:val="0"/>
          <w:noProof/>
          <w:sz w:val="22"/>
          <w:szCs w:val="22"/>
          <w:lang w:val="en-ZA" w:eastAsia="en-ZA"/>
        </w:rPr>
      </w:pPr>
      <w:hyperlink w:anchor="_Toc510706709" w:history="1">
        <w:r w:rsidR="001D1E46" w:rsidRPr="00AC1F66">
          <w:rPr>
            <w:rStyle w:val="Hyperlink"/>
            <w:noProof/>
          </w:rPr>
          <w:t>6.2.7.4.</w:t>
        </w:r>
        <w:r w:rsidR="001D1E46">
          <w:rPr>
            <w:rFonts w:eastAsiaTheme="minorEastAsia"/>
            <w:i w:val="0"/>
            <w:iCs w:val="0"/>
            <w:noProof/>
            <w:sz w:val="22"/>
            <w:szCs w:val="22"/>
            <w:lang w:val="en-ZA" w:eastAsia="en-ZA"/>
          </w:rPr>
          <w:tab/>
        </w:r>
        <w:r w:rsidR="001D1E46" w:rsidRPr="00AC1F66">
          <w:rPr>
            <w:rStyle w:val="Hyperlink"/>
            <w:noProof/>
          </w:rPr>
          <w:t>TRONOX 5 Year Social Investment Plan</w:t>
        </w:r>
        <w:r w:rsidR="001D1E46">
          <w:rPr>
            <w:noProof/>
            <w:webHidden/>
          </w:rPr>
          <w:tab/>
        </w:r>
        <w:r w:rsidR="001D1E46">
          <w:rPr>
            <w:noProof/>
            <w:webHidden/>
          </w:rPr>
          <w:fldChar w:fldCharType="begin"/>
        </w:r>
        <w:r w:rsidR="001D1E46">
          <w:rPr>
            <w:noProof/>
            <w:webHidden/>
          </w:rPr>
          <w:instrText xml:space="preserve"> PAGEREF _Toc510706709 \h </w:instrText>
        </w:r>
        <w:r w:rsidR="001D1E46">
          <w:rPr>
            <w:noProof/>
            <w:webHidden/>
          </w:rPr>
        </w:r>
        <w:r w:rsidR="001D1E46">
          <w:rPr>
            <w:noProof/>
            <w:webHidden/>
          </w:rPr>
          <w:fldChar w:fldCharType="separate"/>
        </w:r>
        <w:r w:rsidR="0067023A">
          <w:rPr>
            <w:noProof/>
            <w:webHidden/>
          </w:rPr>
          <w:t>204</w:t>
        </w:r>
        <w:r w:rsidR="001D1E46">
          <w:rPr>
            <w:noProof/>
            <w:webHidden/>
          </w:rPr>
          <w:fldChar w:fldCharType="end"/>
        </w:r>
      </w:hyperlink>
    </w:p>
    <w:p w14:paraId="7218D960"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710" w:history="1">
        <w:r w:rsidR="001D1E46" w:rsidRPr="00AC1F66">
          <w:rPr>
            <w:rStyle w:val="Hyperlink"/>
            <w:noProof/>
          </w:rPr>
          <w:t>6.3.</w:t>
        </w:r>
        <w:r w:rsidR="001D1E46">
          <w:rPr>
            <w:rFonts w:eastAsiaTheme="minorEastAsia"/>
            <w:smallCaps w:val="0"/>
            <w:noProof/>
            <w:sz w:val="22"/>
            <w:szCs w:val="22"/>
            <w:lang w:val="en-ZA" w:eastAsia="en-ZA"/>
          </w:rPr>
          <w:tab/>
        </w:r>
        <w:r w:rsidR="001D1E46" w:rsidRPr="00AC1F66">
          <w:rPr>
            <w:rStyle w:val="Hyperlink"/>
            <w:noProof/>
          </w:rPr>
          <w:t>REPORTS OF THE AUDITOR GENERAL AND RESPONSES</w:t>
        </w:r>
        <w:r w:rsidR="001D1E46">
          <w:rPr>
            <w:noProof/>
            <w:webHidden/>
          </w:rPr>
          <w:tab/>
        </w:r>
        <w:r w:rsidR="001D1E46">
          <w:rPr>
            <w:noProof/>
            <w:webHidden/>
          </w:rPr>
          <w:fldChar w:fldCharType="begin"/>
        </w:r>
        <w:r w:rsidR="001D1E46">
          <w:rPr>
            <w:noProof/>
            <w:webHidden/>
          </w:rPr>
          <w:instrText xml:space="preserve"> PAGEREF _Toc510706710 \h </w:instrText>
        </w:r>
        <w:r w:rsidR="001D1E46">
          <w:rPr>
            <w:noProof/>
            <w:webHidden/>
          </w:rPr>
        </w:r>
        <w:r w:rsidR="001D1E46">
          <w:rPr>
            <w:noProof/>
            <w:webHidden/>
          </w:rPr>
          <w:fldChar w:fldCharType="separate"/>
        </w:r>
        <w:r w:rsidR="0067023A">
          <w:rPr>
            <w:noProof/>
            <w:webHidden/>
          </w:rPr>
          <w:t>205</w:t>
        </w:r>
        <w:r w:rsidR="001D1E46">
          <w:rPr>
            <w:noProof/>
            <w:webHidden/>
          </w:rPr>
          <w:fldChar w:fldCharType="end"/>
        </w:r>
      </w:hyperlink>
    </w:p>
    <w:p w14:paraId="3E58280B" w14:textId="77777777" w:rsidR="001D1E46" w:rsidRDefault="00B918A6">
      <w:pPr>
        <w:pStyle w:val="TOC3"/>
        <w:rPr>
          <w:rFonts w:eastAsiaTheme="minorEastAsia"/>
          <w:i w:val="0"/>
          <w:iCs w:val="0"/>
          <w:noProof/>
          <w:sz w:val="22"/>
          <w:szCs w:val="22"/>
          <w:lang w:val="en-ZA" w:eastAsia="en-ZA"/>
        </w:rPr>
      </w:pPr>
      <w:hyperlink w:anchor="_Toc510706711" w:history="1">
        <w:r w:rsidR="001D1E46" w:rsidRPr="00AC1F66">
          <w:rPr>
            <w:rStyle w:val="Hyperlink"/>
            <w:noProof/>
          </w:rPr>
          <w:t>6.3.1.</w:t>
        </w:r>
        <w:r w:rsidR="001D1E46">
          <w:rPr>
            <w:rFonts w:eastAsiaTheme="minorEastAsia"/>
            <w:i w:val="0"/>
            <w:iCs w:val="0"/>
            <w:noProof/>
            <w:sz w:val="22"/>
            <w:szCs w:val="22"/>
            <w:lang w:val="en-ZA" w:eastAsia="en-ZA"/>
          </w:rPr>
          <w:tab/>
        </w:r>
        <w:r w:rsidR="001D1E46" w:rsidRPr="00AC1F66">
          <w:rPr>
            <w:rStyle w:val="Hyperlink"/>
            <w:noProof/>
          </w:rPr>
          <w:t>AUDITOR-GENERAL REPORT FOR THE FINANCIAL YEAR ENDING 30 JUNE 2017</w:t>
        </w:r>
        <w:r w:rsidR="001D1E46">
          <w:rPr>
            <w:noProof/>
            <w:webHidden/>
          </w:rPr>
          <w:tab/>
        </w:r>
        <w:r w:rsidR="001D1E46">
          <w:rPr>
            <w:noProof/>
            <w:webHidden/>
          </w:rPr>
          <w:fldChar w:fldCharType="begin"/>
        </w:r>
        <w:r w:rsidR="001D1E46">
          <w:rPr>
            <w:noProof/>
            <w:webHidden/>
          </w:rPr>
          <w:instrText xml:space="preserve"> PAGEREF _Toc510706711 \h </w:instrText>
        </w:r>
        <w:r w:rsidR="001D1E46">
          <w:rPr>
            <w:noProof/>
            <w:webHidden/>
          </w:rPr>
        </w:r>
        <w:r w:rsidR="001D1E46">
          <w:rPr>
            <w:noProof/>
            <w:webHidden/>
          </w:rPr>
          <w:fldChar w:fldCharType="separate"/>
        </w:r>
        <w:r w:rsidR="0067023A">
          <w:rPr>
            <w:noProof/>
            <w:webHidden/>
          </w:rPr>
          <w:t>205</w:t>
        </w:r>
        <w:r w:rsidR="001D1E46">
          <w:rPr>
            <w:noProof/>
            <w:webHidden/>
          </w:rPr>
          <w:fldChar w:fldCharType="end"/>
        </w:r>
      </w:hyperlink>
    </w:p>
    <w:p w14:paraId="570504B0" w14:textId="77777777" w:rsidR="001D1E46" w:rsidRDefault="00B918A6">
      <w:pPr>
        <w:pStyle w:val="TOC3"/>
        <w:rPr>
          <w:rFonts w:eastAsiaTheme="minorEastAsia"/>
          <w:i w:val="0"/>
          <w:iCs w:val="0"/>
          <w:noProof/>
          <w:sz w:val="22"/>
          <w:szCs w:val="22"/>
          <w:lang w:val="en-ZA" w:eastAsia="en-ZA"/>
        </w:rPr>
      </w:pPr>
      <w:hyperlink w:anchor="_Toc510706712" w:history="1">
        <w:r w:rsidR="001D1E46" w:rsidRPr="00AC1F66">
          <w:rPr>
            <w:rStyle w:val="Hyperlink"/>
            <w:noProof/>
          </w:rPr>
          <w:t>6.3.2.</w:t>
        </w:r>
        <w:r w:rsidR="001D1E46">
          <w:rPr>
            <w:rFonts w:eastAsiaTheme="minorEastAsia"/>
            <w:i w:val="0"/>
            <w:iCs w:val="0"/>
            <w:noProof/>
            <w:sz w:val="22"/>
            <w:szCs w:val="22"/>
            <w:lang w:val="en-ZA" w:eastAsia="en-ZA"/>
          </w:rPr>
          <w:tab/>
        </w:r>
        <w:r w:rsidR="001D1E46" w:rsidRPr="00AC1F66">
          <w:rPr>
            <w:rStyle w:val="Hyperlink"/>
            <w:noProof/>
          </w:rPr>
          <w:t>RESPONSES TO ISSUES RAISED BY AUDITOR GENERAL IN HIS AUDIT REPORT FOR THE YEAR ENDED 30 JUNE 2017</w:t>
        </w:r>
        <w:r w:rsidR="001D1E46">
          <w:rPr>
            <w:noProof/>
            <w:webHidden/>
          </w:rPr>
          <w:tab/>
        </w:r>
        <w:r w:rsidR="001D1E46">
          <w:rPr>
            <w:noProof/>
            <w:webHidden/>
          </w:rPr>
          <w:fldChar w:fldCharType="begin"/>
        </w:r>
        <w:r w:rsidR="001D1E46">
          <w:rPr>
            <w:noProof/>
            <w:webHidden/>
          </w:rPr>
          <w:instrText xml:space="preserve"> PAGEREF _Toc510706712 \h </w:instrText>
        </w:r>
        <w:r w:rsidR="001D1E46">
          <w:rPr>
            <w:noProof/>
            <w:webHidden/>
          </w:rPr>
        </w:r>
        <w:r w:rsidR="001D1E46">
          <w:rPr>
            <w:noProof/>
            <w:webHidden/>
          </w:rPr>
          <w:fldChar w:fldCharType="separate"/>
        </w:r>
        <w:r w:rsidR="0067023A">
          <w:rPr>
            <w:noProof/>
            <w:webHidden/>
          </w:rPr>
          <w:t>126</w:t>
        </w:r>
        <w:r w:rsidR="001D1E46">
          <w:rPr>
            <w:noProof/>
            <w:webHidden/>
          </w:rPr>
          <w:fldChar w:fldCharType="end"/>
        </w:r>
      </w:hyperlink>
    </w:p>
    <w:p w14:paraId="7691B3D8" w14:textId="77777777" w:rsidR="001D1E46" w:rsidRDefault="00B918A6">
      <w:pPr>
        <w:pStyle w:val="TOC1"/>
        <w:rPr>
          <w:rFonts w:asciiTheme="minorHAnsi" w:eastAsiaTheme="minorEastAsia" w:hAnsiTheme="minorHAnsi"/>
          <w:bCs w:val="0"/>
          <w:caps w:val="0"/>
          <w:sz w:val="22"/>
          <w:szCs w:val="22"/>
          <w:lang w:val="en-ZA" w:eastAsia="en-ZA"/>
        </w:rPr>
      </w:pPr>
      <w:hyperlink w:anchor="_Toc510706713" w:history="1">
        <w:r w:rsidR="001D1E46" w:rsidRPr="00AC1F66">
          <w:rPr>
            <w:rStyle w:val="Hyperlink"/>
          </w:rPr>
          <w:t>SECTION G: 7 ANNUAL OPERATIONAL PLAN (SDBIP)</w:t>
        </w:r>
        <w:r w:rsidR="001D1E46">
          <w:rPr>
            <w:webHidden/>
          </w:rPr>
          <w:tab/>
        </w:r>
        <w:r w:rsidR="001D1E46">
          <w:rPr>
            <w:webHidden/>
          </w:rPr>
          <w:fldChar w:fldCharType="begin"/>
        </w:r>
        <w:r w:rsidR="001D1E46">
          <w:rPr>
            <w:webHidden/>
          </w:rPr>
          <w:instrText xml:space="preserve"> PAGEREF _Toc510706713 \h </w:instrText>
        </w:r>
        <w:r w:rsidR="001D1E46">
          <w:rPr>
            <w:webHidden/>
          </w:rPr>
        </w:r>
        <w:r w:rsidR="001D1E46">
          <w:rPr>
            <w:webHidden/>
          </w:rPr>
          <w:fldChar w:fldCharType="separate"/>
        </w:r>
        <w:r w:rsidR="0067023A">
          <w:rPr>
            <w:webHidden/>
          </w:rPr>
          <w:t>0</w:t>
        </w:r>
        <w:r w:rsidR="001D1E46">
          <w:rPr>
            <w:webHidden/>
          </w:rPr>
          <w:fldChar w:fldCharType="end"/>
        </w:r>
      </w:hyperlink>
    </w:p>
    <w:p w14:paraId="4EAD527D" w14:textId="77777777" w:rsidR="001D1E46" w:rsidRDefault="00B918A6">
      <w:pPr>
        <w:pStyle w:val="TOC2"/>
        <w:tabs>
          <w:tab w:val="right" w:leader="dot" w:pos="9629"/>
        </w:tabs>
        <w:rPr>
          <w:rFonts w:eastAsiaTheme="minorEastAsia"/>
          <w:smallCaps w:val="0"/>
          <w:noProof/>
          <w:sz w:val="22"/>
          <w:szCs w:val="22"/>
          <w:lang w:val="en-ZA" w:eastAsia="en-ZA"/>
        </w:rPr>
      </w:pPr>
      <w:hyperlink w:anchor="_Toc510706714" w:history="1">
        <w:r w:rsidR="001D1E46" w:rsidRPr="00AC1F66">
          <w:rPr>
            <w:rStyle w:val="Hyperlink"/>
            <w:noProof/>
          </w:rPr>
          <w:t>7.1. ANNUAL OPERATIONAL PLAN</w:t>
        </w:r>
        <w:r w:rsidR="001D1E46">
          <w:rPr>
            <w:noProof/>
            <w:webHidden/>
          </w:rPr>
          <w:tab/>
        </w:r>
        <w:r w:rsidR="001D1E46">
          <w:rPr>
            <w:noProof/>
            <w:webHidden/>
          </w:rPr>
          <w:fldChar w:fldCharType="begin"/>
        </w:r>
        <w:r w:rsidR="001D1E46">
          <w:rPr>
            <w:noProof/>
            <w:webHidden/>
          </w:rPr>
          <w:instrText xml:space="preserve"> PAGEREF _Toc510706714 \h </w:instrText>
        </w:r>
        <w:r w:rsidR="001D1E46">
          <w:rPr>
            <w:noProof/>
            <w:webHidden/>
          </w:rPr>
        </w:r>
        <w:r w:rsidR="001D1E46">
          <w:rPr>
            <w:noProof/>
            <w:webHidden/>
          </w:rPr>
          <w:fldChar w:fldCharType="separate"/>
        </w:r>
        <w:r w:rsidR="0067023A">
          <w:rPr>
            <w:noProof/>
            <w:webHidden/>
          </w:rPr>
          <w:t>0</w:t>
        </w:r>
        <w:r w:rsidR="001D1E46">
          <w:rPr>
            <w:noProof/>
            <w:webHidden/>
          </w:rPr>
          <w:fldChar w:fldCharType="end"/>
        </w:r>
      </w:hyperlink>
    </w:p>
    <w:p w14:paraId="6A426A56" w14:textId="77777777" w:rsidR="001D1E46" w:rsidRDefault="00B918A6">
      <w:pPr>
        <w:pStyle w:val="TOC1"/>
        <w:rPr>
          <w:rFonts w:asciiTheme="minorHAnsi" w:eastAsiaTheme="minorEastAsia" w:hAnsiTheme="minorHAnsi"/>
          <w:bCs w:val="0"/>
          <w:caps w:val="0"/>
          <w:sz w:val="22"/>
          <w:szCs w:val="22"/>
          <w:lang w:val="en-ZA" w:eastAsia="en-ZA"/>
        </w:rPr>
      </w:pPr>
      <w:hyperlink w:anchor="_Toc510706715" w:history="1">
        <w:r w:rsidR="001D1E46" w:rsidRPr="00AC1F66">
          <w:rPr>
            <w:rStyle w:val="Hyperlink"/>
          </w:rPr>
          <w:t>SECTION H: 8 ORGANISATIONAL &amp; INDIVIDUAL PERFORMANCE MANAGEMENT SYSTEM</w:t>
        </w:r>
        <w:r w:rsidR="001D1E46">
          <w:rPr>
            <w:webHidden/>
          </w:rPr>
          <w:tab/>
        </w:r>
        <w:r w:rsidR="001D1E46">
          <w:rPr>
            <w:webHidden/>
          </w:rPr>
          <w:fldChar w:fldCharType="begin"/>
        </w:r>
        <w:r w:rsidR="001D1E46">
          <w:rPr>
            <w:webHidden/>
          </w:rPr>
          <w:instrText xml:space="preserve"> PAGEREF _Toc510706715 \h </w:instrText>
        </w:r>
        <w:r w:rsidR="001D1E46">
          <w:rPr>
            <w:webHidden/>
          </w:rPr>
        </w:r>
        <w:r w:rsidR="001D1E46">
          <w:rPr>
            <w:webHidden/>
          </w:rPr>
          <w:fldChar w:fldCharType="separate"/>
        </w:r>
        <w:r w:rsidR="0067023A">
          <w:rPr>
            <w:webHidden/>
          </w:rPr>
          <w:t>0</w:t>
        </w:r>
        <w:r w:rsidR="001D1E46">
          <w:rPr>
            <w:webHidden/>
          </w:rPr>
          <w:fldChar w:fldCharType="end"/>
        </w:r>
      </w:hyperlink>
    </w:p>
    <w:p w14:paraId="10F658C9"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716" w:history="1">
        <w:r w:rsidR="001D1E46" w:rsidRPr="00AC1F66">
          <w:rPr>
            <w:rStyle w:val="Hyperlink"/>
            <w:noProof/>
          </w:rPr>
          <w:t>8.1.</w:t>
        </w:r>
        <w:r w:rsidR="001D1E46">
          <w:rPr>
            <w:rFonts w:eastAsiaTheme="minorEastAsia"/>
            <w:smallCaps w:val="0"/>
            <w:noProof/>
            <w:sz w:val="22"/>
            <w:szCs w:val="22"/>
            <w:lang w:val="en-ZA" w:eastAsia="en-ZA"/>
          </w:rPr>
          <w:tab/>
        </w:r>
        <w:r w:rsidR="001D1E46" w:rsidRPr="00AC1F66">
          <w:rPr>
            <w:rStyle w:val="Hyperlink"/>
            <w:noProof/>
          </w:rPr>
          <w:t>ORGANISATIONAL &amp; INDIVIDUAL PERFORMANCE MANAGEMENT SYSTEM</w:t>
        </w:r>
        <w:r w:rsidR="001D1E46">
          <w:rPr>
            <w:noProof/>
            <w:webHidden/>
          </w:rPr>
          <w:tab/>
        </w:r>
        <w:r w:rsidR="001D1E46">
          <w:rPr>
            <w:noProof/>
            <w:webHidden/>
          </w:rPr>
          <w:fldChar w:fldCharType="begin"/>
        </w:r>
        <w:r w:rsidR="001D1E46">
          <w:rPr>
            <w:noProof/>
            <w:webHidden/>
          </w:rPr>
          <w:instrText xml:space="preserve"> PAGEREF _Toc510706716 \h </w:instrText>
        </w:r>
        <w:r w:rsidR="001D1E46">
          <w:rPr>
            <w:noProof/>
            <w:webHidden/>
          </w:rPr>
        </w:r>
        <w:r w:rsidR="001D1E46">
          <w:rPr>
            <w:noProof/>
            <w:webHidden/>
          </w:rPr>
          <w:fldChar w:fldCharType="separate"/>
        </w:r>
        <w:r w:rsidR="0067023A">
          <w:rPr>
            <w:noProof/>
            <w:webHidden/>
          </w:rPr>
          <w:t>0</w:t>
        </w:r>
        <w:r w:rsidR="001D1E46">
          <w:rPr>
            <w:noProof/>
            <w:webHidden/>
          </w:rPr>
          <w:fldChar w:fldCharType="end"/>
        </w:r>
      </w:hyperlink>
    </w:p>
    <w:p w14:paraId="55B8CDF1" w14:textId="77777777" w:rsidR="001D1E46" w:rsidRDefault="00B918A6">
      <w:pPr>
        <w:pStyle w:val="TOC3"/>
        <w:rPr>
          <w:rFonts w:eastAsiaTheme="minorEastAsia"/>
          <w:i w:val="0"/>
          <w:iCs w:val="0"/>
          <w:noProof/>
          <w:sz w:val="22"/>
          <w:szCs w:val="22"/>
          <w:lang w:val="en-ZA" w:eastAsia="en-ZA"/>
        </w:rPr>
      </w:pPr>
      <w:hyperlink w:anchor="_Toc510706717" w:history="1">
        <w:r w:rsidR="001D1E46" w:rsidRPr="00AC1F66">
          <w:rPr>
            <w:rStyle w:val="Hyperlink"/>
            <w:rFonts w:eastAsia="Times New Roman"/>
            <w:noProof/>
            <w:lang w:val="en-ZA" w:eastAsia="en-ZA"/>
          </w:rPr>
          <w:t>8.1.1.</w:t>
        </w:r>
        <w:r w:rsidR="001D1E46">
          <w:rPr>
            <w:rFonts w:eastAsiaTheme="minorEastAsia"/>
            <w:i w:val="0"/>
            <w:iCs w:val="0"/>
            <w:noProof/>
            <w:sz w:val="22"/>
            <w:szCs w:val="22"/>
            <w:lang w:val="en-ZA" w:eastAsia="en-ZA"/>
          </w:rPr>
          <w:tab/>
        </w:r>
        <w:r w:rsidR="001D1E46" w:rsidRPr="00AC1F66">
          <w:rPr>
            <w:rStyle w:val="Hyperlink"/>
            <w:rFonts w:eastAsia="Times New Roman"/>
            <w:noProof/>
            <w:lang w:val="en-ZA" w:eastAsia="en-ZA"/>
          </w:rPr>
          <w:t>Approval of SDBIP</w:t>
        </w:r>
        <w:r w:rsidR="001D1E46">
          <w:rPr>
            <w:noProof/>
            <w:webHidden/>
          </w:rPr>
          <w:tab/>
        </w:r>
        <w:r w:rsidR="001D1E46">
          <w:rPr>
            <w:noProof/>
            <w:webHidden/>
          </w:rPr>
          <w:fldChar w:fldCharType="begin"/>
        </w:r>
        <w:r w:rsidR="001D1E46">
          <w:rPr>
            <w:noProof/>
            <w:webHidden/>
          </w:rPr>
          <w:instrText xml:space="preserve"> PAGEREF _Toc510706717 \h </w:instrText>
        </w:r>
        <w:r w:rsidR="001D1E46">
          <w:rPr>
            <w:noProof/>
            <w:webHidden/>
          </w:rPr>
        </w:r>
        <w:r w:rsidR="001D1E46">
          <w:rPr>
            <w:noProof/>
            <w:webHidden/>
          </w:rPr>
          <w:fldChar w:fldCharType="separate"/>
        </w:r>
        <w:r w:rsidR="0067023A">
          <w:rPr>
            <w:noProof/>
            <w:webHidden/>
          </w:rPr>
          <w:t>0</w:t>
        </w:r>
        <w:r w:rsidR="001D1E46">
          <w:rPr>
            <w:noProof/>
            <w:webHidden/>
          </w:rPr>
          <w:fldChar w:fldCharType="end"/>
        </w:r>
      </w:hyperlink>
    </w:p>
    <w:p w14:paraId="2DC175DC" w14:textId="77777777" w:rsidR="001D1E46" w:rsidRDefault="00B918A6">
      <w:pPr>
        <w:pStyle w:val="TOC3"/>
        <w:rPr>
          <w:rFonts w:eastAsiaTheme="minorEastAsia"/>
          <w:i w:val="0"/>
          <w:iCs w:val="0"/>
          <w:noProof/>
          <w:sz w:val="22"/>
          <w:szCs w:val="22"/>
          <w:lang w:val="en-ZA" w:eastAsia="en-ZA"/>
        </w:rPr>
      </w:pPr>
      <w:hyperlink w:anchor="_Toc510706718" w:history="1">
        <w:r w:rsidR="001D1E46" w:rsidRPr="00AC1F66">
          <w:rPr>
            <w:rStyle w:val="Hyperlink"/>
            <w:rFonts w:eastAsia="Times New Roman"/>
            <w:noProof/>
            <w:lang w:val="en-ZA" w:eastAsia="en-ZA"/>
          </w:rPr>
          <w:t>8.1.2.</w:t>
        </w:r>
        <w:r w:rsidR="001D1E46">
          <w:rPr>
            <w:rFonts w:eastAsiaTheme="minorEastAsia"/>
            <w:i w:val="0"/>
            <w:iCs w:val="0"/>
            <w:noProof/>
            <w:sz w:val="22"/>
            <w:szCs w:val="22"/>
            <w:lang w:val="en-ZA" w:eastAsia="en-ZA"/>
          </w:rPr>
          <w:tab/>
        </w:r>
        <w:r w:rsidR="001D1E46" w:rsidRPr="00AC1F66">
          <w:rPr>
            <w:rStyle w:val="Hyperlink"/>
            <w:rFonts w:eastAsia="Times New Roman"/>
            <w:noProof/>
            <w:lang w:val="en-ZA" w:eastAsia="en-ZA"/>
          </w:rPr>
          <w:t>Quarterly Reporting on the SDBIP</w:t>
        </w:r>
        <w:r w:rsidR="001D1E46">
          <w:rPr>
            <w:noProof/>
            <w:webHidden/>
          </w:rPr>
          <w:tab/>
        </w:r>
        <w:r w:rsidR="001D1E46">
          <w:rPr>
            <w:noProof/>
            <w:webHidden/>
          </w:rPr>
          <w:fldChar w:fldCharType="begin"/>
        </w:r>
        <w:r w:rsidR="001D1E46">
          <w:rPr>
            <w:noProof/>
            <w:webHidden/>
          </w:rPr>
          <w:instrText xml:space="preserve"> PAGEREF _Toc510706718 \h </w:instrText>
        </w:r>
        <w:r w:rsidR="001D1E46">
          <w:rPr>
            <w:noProof/>
            <w:webHidden/>
          </w:rPr>
        </w:r>
        <w:r w:rsidR="001D1E46">
          <w:rPr>
            <w:noProof/>
            <w:webHidden/>
          </w:rPr>
          <w:fldChar w:fldCharType="separate"/>
        </w:r>
        <w:r w:rsidR="0067023A">
          <w:rPr>
            <w:noProof/>
            <w:webHidden/>
          </w:rPr>
          <w:t>0</w:t>
        </w:r>
        <w:r w:rsidR="001D1E46">
          <w:rPr>
            <w:noProof/>
            <w:webHidden/>
          </w:rPr>
          <w:fldChar w:fldCharType="end"/>
        </w:r>
      </w:hyperlink>
    </w:p>
    <w:p w14:paraId="71D3548E" w14:textId="77777777" w:rsidR="001D1E46" w:rsidRDefault="00B918A6">
      <w:pPr>
        <w:pStyle w:val="TOC3"/>
        <w:rPr>
          <w:rFonts w:eastAsiaTheme="minorEastAsia"/>
          <w:i w:val="0"/>
          <w:iCs w:val="0"/>
          <w:noProof/>
          <w:sz w:val="22"/>
          <w:szCs w:val="22"/>
          <w:lang w:val="en-ZA" w:eastAsia="en-ZA"/>
        </w:rPr>
      </w:pPr>
      <w:hyperlink w:anchor="_Toc510706719" w:history="1">
        <w:r w:rsidR="001D1E46" w:rsidRPr="00AC1F66">
          <w:rPr>
            <w:rStyle w:val="Hyperlink"/>
            <w:rFonts w:eastAsia="Times New Roman"/>
            <w:noProof/>
            <w:lang w:val="en-ZA" w:eastAsia="en-ZA"/>
          </w:rPr>
          <w:t>8.1.3.</w:t>
        </w:r>
        <w:r w:rsidR="001D1E46">
          <w:rPr>
            <w:rFonts w:eastAsiaTheme="minorEastAsia"/>
            <w:i w:val="0"/>
            <w:iCs w:val="0"/>
            <w:noProof/>
            <w:sz w:val="22"/>
            <w:szCs w:val="22"/>
            <w:lang w:val="en-ZA" w:eastAsia="en-ZA"/>
          </w:rPr>
          <w:tab/>
        </w:r>
        <w:r w:rsidR="001D1E46" w:rsidRPr="00AC1F66">
          <w:rPr>
            <w:rStyle w:val="Hyperlink"/>
            <w:rFonts w:eastAsia="Times New Roman"/>
            <w:noProof/>
            <w:lang w:val="en-ZA" w:eastAsia="en-ZA"/>
          </w:rPr>
          <w:t>Individual Performance Management</w:t>
        </w:r>
        <w:r w:rsidR="001D1E46">
          <w:rPr>
            <w:noProof/>
            <w:webHidden/>
          </w:rPr>
          <w:tab/>
        </w:r>
        <w:r w:rsidR="001D1E46">
          <w:rPr>
            <w:noProof/>
            <w:webHidden/>
          </w:rPr>
          <w:fldChar w:fldCharType="begin"/>
        </w:r>
        <w:r w:rsidR="001D1E46">
          <w:rPr>
            <w:noProof/>
            <w:webHidden/>
          </w:rPr>
          <w:instrText xml:space="preserve"> PAGEREF _Toc510706719 \h </w:instrText>
        </w:r>
        <w:r w:rsidR="001D1E46">
          <w:rPr>
            <w:noProof/>
            <w:webHidden/>
          </w:rPr>
        </w:r>
        <w:r w:rsidR="001D1E46">
          <w:rPr>
            <w:noProof/>
            <w:webHidden/>
          </w:rPr>
          <w:fldChar w:fldCharType="separate"/>
        </w:r>
        <w:r w:rsidR="0067023A">
          <w:rPr>
            <w:noProof/>
            <w:webHidden/>
          </w:rPr>
          <w:t>0</w:t>
        </w:r>
        <w:r w:rsidR="001D1E46">
          <w:rPr>
            <w:noProof/>
            <w:webHidden/>
          </w:rPr>
          <w:fldChar w:fldCharType="end"/>
        </w:r>
      </w:hyperlink>
    </w:p>
    <w:p w14:paraId="535FD168"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720" w:history="1">
        <w:r w:rsidR="001D1E46" w:rsidRPr="00AC1F66">
          <w:rPr>
            <w:rStyle w:val="Hyperlink"/>
            <w:noProof/>
          </w:rPr>
          <w:t>8.2.</w:t>
        </w:r>
        <w:r w:rsidR="001D1E46">
          <w:rPr>
            <w:rFonts w:eastAsiaTheme="minorEastAsia"/>
            <w:smallCaps w:val="0"/>
            <w:noProof/>
            <w:sz w:val="22"/>
            <w:szCs w:val="22"/>
            <w:lang w:val="en-ZA" w:eastAsia="en-ZA"/>
          </w:rPr>
          <w:tab/>
        </w:r>
        <w:r w:rsidR="001D1E46" w:rsidRPr="00AC1F66">
          <w:rPr>
            <w:rStyle w:val="Hyperlink"/>
            <w:noProof/>
          </w:rPr>
          <w:t>Performance Management Processes</w:t>
        </w:r>
        <w:r w:rsidR="001D1E46">
          <w:rPr>
            <w:noProof/>
            <w:webHidden/>
          </w:rPr>
          <w:tab/>
        </w:r>
        <w:r w:rsidR="001D1E46">
          <w:rPr>
            <w:noProof/>
            <w:webHidden/>
          </w:rPr>
          <w:fldChar w:fldCharType="begin"/>
        </w:r>
        <w:r w:rsidR="001D1E46">
          <w:rPr>
            <w:noProof/>
            <w:webHidden/>
          </w:rPr>
          <w:instrText xml:space="preserve"> PAGEREF _Toc510706720 \h </w:instrText>
        </w:r>
        <w:r w:rsidR="001D1E46">
          <w:rPr>
            <w:noProof/>
            <w:webHidden/>
          </w:rPr>
        </w:r>
        <w:r w:rsidR="001D1E46">
          <w:rPr>
            <w:noProof/>
            <w:webHidden/>
          </w:rPr>
          <w:fldChar w:fldCharType="separate"/>
        </w:r>
        <w:r w:rsidR="0067023A">
          <w:rPr>
            <w:noProof/>
            <w:webHidden/>
          </w:rPr>
          <w:t>1</w:t>
        </w:r>
        <w:r w:rsidR="001D1E46">
          <w:rPr>
            <w:noProof/>
            <w:webHidden/>
          </w:rPr>
          <w:fldChar w:fldCharType="end"/>
        </w:r>
      </w:hyperlink>
    </w:p>
    <w:p w14:paraId="1DF16C82"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721" w:history="1">
        <w:r w:rsidR="001D1E46" w:rsidRPr="00AC1F66">
          <w:rPr>
            <w:rStyle w:val="Hyperlink"/>
            <w:noProof/>
          </w:rPr>
          <w:t>8.3.</w:t>
        </w:r>
        <w:r w:rsidR="001D1E46">
          <w:rPr>
            <w:rFonts w:eastAsiaTheme="minorEastAsia"/>
            <w:smallCaps w:val="0"/>
            <w:noProof/>
            <w:sz w:val="22"/>
            <w:szCs w:val="22"/>
            <w:lang w:val="en-ZA" w:eastAsia="en-ZA"/>
          </w:rPr>
          <w:tab/>
        </w:r>
        <w:r w:rsidR="001D1E46" w:rsidRPr="00AC1F66">
          <w:rPr>
            <w:rStyle w:val="Hyperlink"/>
            <w:noProof/>
          </w:rPr>
          <w:t>Performance and Supporting Information</w:t>
        </w:r>
        <w:r w:rsidR="001D1E46">
          <w:rPr>
            <w:noProof/>
            <w:webHidden/>
          </w:rPr>
          <w:tab/>
        </w:r>
        <w:r w:rsidR="001D1E46">
          <w:rPr>
            <w:noProof/>
            <w:webHidden/>
          </w:rPr>
          <w:fldChar w:fldCharType="begin"/>
        </w:r>
        <w:r w:rsidR="001D1E46">
          <w:rPr>
            <w:noProof/>
            <w:webHidden/>
          </w:rPr>
          <w:instrText xml:space="preserve"> PAGEREF _Toc510706721 \h </w:instrText>
        </w:r>
        <w:r w:rsidR="001D1E46">
          <w:rPr>
            <w:noProof/>
            <w:webHidden/>
          </w:rPr>
        </w:r>
        <w:r w:rsidR="001D1E46">
          <w:rPr>
            <w:noProof/>
            <w:webHidden/>
          </w:rPr>
          <w:fldChar w:fldCharType="separate"/>
        </w:r>
        <w:r w:rsidR="0067023A">
          <w:rPr>
            <w:noProof/>
            <w:webHidden/>
          </w:rPr>
          <w:t>2</w:t>
        </w:r>
        <w:r w:rsidR="001D1E46">
          <w:rPr>
            <w:noProof/>
            <w:webHidden/>
          </w:rPr>
          <w:fldChar w:fldCharType="end"/>
        </w:r>
      </w:hyperlink>
    </w:p>
    <w:p w14:paraId="51DC7604" w14:textId="77777777" w:rsidR="001D1E46" w:rsidRDefault="00B918A6">
      <w:pPr>
        <w:pStyle w:val="TOC3"/>
        <w:rPr>
          <w:rFonts w:eastAsiaTheme="minorEastAsia"/>
          <w:i w:val="0"/>
          <w:iCs w:val="0"/>
          <w:noProof/>
          <w:sz w:val="22"/>
          <w:szCs w:val="22"/>
          <w:lang w:val="en-ZA" w:eastAsia="en-ZA"/>
        </w:rPr>
      </w:pPr>
      <w:hyperlink w:anchor="_Toc510706722" w:history="1">
        <w:r w:rsidR="001D1E46" w:rsidRPr="00AC1F66">
          <w:rPr>
            <w:rStyle w:val="Hyperlink"/>
            <w:rFonts w:eastAsia="Times New Roman"/>
            <w:noProof/>
            <w:lang w:eastAsia="en-ZA"/>
          </w:rPr>
          <w:t>8.3.1.</w:t>
        </w:r>
        <w:r w:rsidR="001D1E46">
          <w:rPr>
            <w:rFonts w:eastAsiaTheme="minorEastAsia"/>
            <w:i w:val="0"/>
            <w:iCs w:val="0"/>
            <w:noProof/>
            <w:sz w:val="22"/>
            <w:szCs w:val="22"/>
            <w:lang w:val="en-ZA" w:eastAsia="en-ZA"/>
          </w:rPr>
          <w:tab/>
        </w:r>
        <w:r w:rsidR="001D1E46" w:rsidRPr="00AC1F66">
          <w:rPr>
            <w:rStyle w:val="Hyperlink"/>
            <w:rFonts w:eastAsia="Times New Roman"/>
            <w:noProof/>
            <w:lang w:eastAsia="en-ZA"/>
          </w:rPr>
          <w:t>Background to Municipal Scorecard</w:t>
        </w:r>
        <w:r w:rsidR="001D1E46">
          <w:rPr>
            <w:noProof/>
            <w:webHidden/>
          </w:rPr>
          <w:tab/>
        </w:r>
        <w:r w:rsidR="001D1E46">
          <w:rPr>
            <w:noProof/>
            <w:webHidden/>
          </w:rPr>
          <w:fldChar w:fldCharType="begin"/>
        </w:r>
        <w:r w:rsidR="001D1E46">
          <w:rPr>
            <w:noProof/>
            <w:webHidden/>
          </w:rPr>
          <w:instrText xml:space="preserve"> PAGEREF _Toc510706722 \h </w:instrText>
        </w:r>
        <w:r w:rsidR="001D1E46">
          <w:rPr>
            <w:noProof/>
            <w:webHidden/>
          </w:rPr>
        </w:r>
        <w:r w:rsidR="001D1E46">
          <w:rPr>
            <w:noProof/>
            <w:webHidden/>
          </w:rPr>
          <w:fldChar w:fldCharType="separate"/>
        </w:r>
        <w:r w:rsidR="0067023A">
          <w:rPr>
            <w:noProof/>
            <w:webHidden/>
          </w:rPr>
          <w:t>2</w:t>
        </w:r>
        <w:r w:rsidR="001D1E46">
          <w:rPr>
            <w:noProof/>
            <w:webHidden/>
          </w:rPr>
          <w:fldChar w:fldCharType="end"/>
        </w:r>
      </w:hyperlink>
    </w:p>
    <w:p w14:paraId="11A8598A" w14:textId="77777777" w:rsidR="001D1E46" w:rsidRDefault="00B918A6">
      <w:pPr>
        <w:pStyle w:val="TOC2"/>
        <w:tabs>
          <w:tab w:val="left" w:pos="800"/>
          <w:tab w:val="right" w:leader="dot" w:pos="9629"/>
        </w:tabs>
        <w:rPr>
          <w:rFonts w:eastAsiaTheme="minorEastAsia"/>
          <w:smallCaps w:val="0"/>
          <w:noProof/>
          <w:sz w:val="22"/>
          <w:szCs w:val="22"/>
          <w:lang w:val="en-ZA" w:eastAsia="en-ZA"/>
        </w:rPr>
      </w:pPr>
      <w:hyperlink w:anchor="_Toc510706723" w:history="1">
        <w:r w:rsidR="001D1E46" w:rsidRPr="00AC1F66">
          <w:rPr>
            <w:rStyle w:val="Hyperlink"/>
            <w:noProof/>
          </w:rPr>
          <w:t>8.4.</w:t>
        </w:r>
        <w:r w:rsidR="001D1E46">
          <w:rPr>
            <w:rFonts w:eastAsiaTheme="minorEastAsia"/>
            <w:smallCaps w:val="0"/>
            <w:noProof/>
            <w:sz w:val="22"/>
            <w:szCs w:val="22"/>
            <w:lang w:val="en-ZA" w:eastAsia="en-ZA"/>
          </w:rPr>
          <w:tab/>
        </w:r>
        <w:r w:rsidR="001D1E46" w:rsidRPr="00AC1F66">
          <w:rPr>
            <w:rStyle w:val="Hyperlink"/>
            <w:noProof/>
          </w:rPr>
          <w:t>OPMS/TOPLAYER SDBIP (2018/2019)</w:t>
        </w:r>
        <w:r w:rsidR="001D1E46">
          <w:rPr>
            <w:noProof/>
            <w:webHidden/>
          </w:rPr>
          <w:tab/>
        </w:r>
        <w:r w:rsidR="001D1E46">
          <w:rPr>
            <w:noProof/>
            <w:webHidden/>
          </w:rPr>
          <w:fldChar w:fldCharType="begin"/>
        </w:r>
        <w:r w:rsidR="001D1E46">
          <w:rPr>
            <w:noProof/>
            <w:webHidden/>
          </w:rPr>
          <w:instrText xml:space="preserve"> PAGEREF _Toc510706723 \h </w:instrText>
        </w:r>
        <w:r w:rsidR="001D1E46">
          <w:rPr>
            <w:noProof/>
            <w:webHidden/>
          </w:rPr>
        </w:r>
        <w:r w:rsidR="001D1E46">
          <w:rPr>
            <w:noProof/>
            <w:webHidden/>
          </w:rPr>
          <w:fldChar w:fldCharType="separate"/>
        </w:r>
        <w:r w:rsidR="0067023A">
          <w:rPr>
            <w:noProof/>
            <w:webHidden/>
          </w:rPr>
          <w:t>8</w:t>
        </w:r>
        <w:r w:rsidR="001D1E46">
          <w:rPr>
            <w:noProof/>
            <w:webHidden/>
          </w:rPr>
          <w:fldChar w:fldCharType="end"/>
        </w:r>
      </w:hyperlink>
    </w:p>
    <w:p w14:paraId="027FADB2" w14:textId="77777777" w:rsidR="001D1E46" w:rsidRDefault="00B918A6">
      <w:pPr>
        <w:pStyle w:val="TOC1"/>
        <w:rPr>
          <w:rFonts w:asciiTheme="minorHAnsi" w:eastAsiaTheme="minorEastAsia" w:hAnsiTheme="minorHAnsi"/>
          <w:bCs w:val="0"/>
          <w:caps w:val="0"/>
          <w:sz w:val="22"/>
          <w:szCs w:val="22"/>
          <w:lang w:val="en-ZA" w:eastAsia="en-ZA"/>
        </w:rPr>
      </w:pPr>
      <w:hyperlink w:anchor="_Toc510706724" w:history="1">
        <w:r w:rsidR="001D1E46" w:rsidRPr="00AC1F66">
          <w:rPr>
            <w:rStyle w:val="Hyperlink"/>
          </w:rPr>
          <w:t>SECTION I: ANNEXURES</w:t>
        </w:r>
        <w:r w:rsidR="001D1E46">
          <w:rPr>
            <w:webHidden/>
          </w:rPr>
          <w:tab/>
        </w:r>
        <w:r w:rsidR="001D1E46">
          <w:rPr>
            <w:webHidden/>
          </w:rPr>
          <w:fldChar w:fldCharType="begin"/>
        </w:r>
        <w:r w:rsidR="001D1E46">
          <w:rPr>
            <w:webHidden/>
          </w:rPr>
          <w:instrText xml:space="preserve"> PAGEREF _Toc510706724 \h </w:instrText>
        </w:r>
        <w:r w:rsidR="001D1E46">
          <w:rPr>
            <w:webHidden/>
          </w:rPr>
        </w:r>
        <w:r w:rsidR="001D1E46">
          <w:rPr>
            <w:webHidden/>
          </w:rPr>
          <w:fldChar w:fldCharType="separate"/>
        </w:r>
        <w:r w:rsidR="0067023A">
          <w:rPr>
            <w:webHidden/>
          </w:rPr>
          <w:t>21</w:t>
        </w:r>
        <w:r w:rsidR="001D1E46">
          <w:rPr>
            <w:webHidden/>
          </w:rPr>
          <w:fldChar w:fldCharType="end"/>
        </w:r>
      </w:hyperlink>
    </w:p>
    <w:p w14:paraId="27A31E85" w14:textId="77777777" w:rsidR="00D4408D" w:rsidRPr="002A4197" w:rsidRDefault="00D4408D" w:rsidP="00395313">
      <w:pPr>
        <w:spacing w:line="288" w:lineRule="auto"/>
        <w:jc w:val="both"/>
        <w:rPr>
          <w:rFonts w:asciiTheme="minorHAnsi" w:hAnsiTheme="minorHAnsi" w:cstheme="minorHAnsi"/>
          <w:szCs w:val="20"/>
        </w:rPr>
      </w:pPr>
      <w:r w:rsidRPr="002A4197">
        <w:rPr>
          <w:rFonts w:asciiTheme="minorHAnsi" w:hAnsiTheme="minorHAnsi" w:cstheme="minorHAnsi"/>
          <w:szCs w:val="20"/>
        </w:rPr>
        <w:fldChar w:fldCharType="end"/>
      </w:r>
    </w:p>
    <w:p w14:paraId="37D6AB89" w14:textId="77777777" w:rsidR="007A253E" w:rsidRPr="00B364FA" w:rsidRDefault="00976444" w:rsidP="00395313">
      <w:pPr>
        <w:jc w:val="both"/>
        <w:rPr>
          <w:rStyle w:val="Hyperlink"/>
          <w:rFonts w:asciiTheme="minorHAnsi" w:hAnsiTheme="minorHAnsi" w:cstheme="minorHAnsi"/>
          <w:b/>
          <w:noProof/>
          <w:color w:val="auto"/>
          <w:szCs w:val="20"/>
          <w:u w:val="none"/>
        </w:rPr>
      </w:pPr>
      <w:r w:rsidRPr="00B364FA">
        <w:rPr>
          <w:rStyle w:val="Hyperlink"/>
          <w:rFonts w:asciiTheme="minorHAnsi" w:hAnsiTheme="minorHAnsi" w:cstheme="minorHAnsi"/>
          <w:b/>
          <w:noProof/>
          <w:color w:val="auto"/>
          <w:szCs w:val="20"/>
          <w:u w:val="none"/>
        </w:rPr>
        <w:t>LIST OF TABLES</w:t>
      </w:r>
    </w:p>
    <w:p w14:paraId="5ED4304A" w14:textId="77777777" w:rsidR="002E545D" w:rsidRDefault="00D55BDA">
      <w:pPr>
        <w:pStyle w:val="TableofFigures"/>
        <w:tabs>
          <w:tab w:val="right" w:leader="dot" w:pos="9629"/>
        </w:tabs>
        <w:rPr>
          <w:rFonts w:asciiTheme="minorHAnsi" w:eastAsiaTheme="minorEastAsia" w:hAnsiTheme="minorHAnsi" w:cstheme="minorBidi"/>
          <w:noProof/>
          <w:sz w:val="22"/>
          <w:szCs w:val="22"/>
          <w:lang w:val="en-ZA" w:eastAsia="en-ZA" w:bidi="ar-SA"/>
        </w:rPr>
      </w:pPr>
      <w:r w:rsidRPr="002A4197">
        <w:rPr>
          <w:rFonts w:asciiTheme="minorHAnsi" w:hAnsiTheme="minorHAnsi" w:cstheme="minorHAnsi"/>
        </w:rPr>
        <w:fldChar w:fldCharType="begin"/>
      </w:r>
      <w:r w:rsidR="00976444" w:rsidRPr="002A4197">
        <w:rPr>
          <w:rFonts w:asciiTheme="minorHAnsi" w:hAnsiTheme="minorHAnsi" w:cstheme="minorHAnsi"/>
        </w:rPr>
        <w:instrText xml:space="preserve"> TOC \h \z \c "Table" </w:instrText>
      </w:r>
      <w:r w:rsidRPr="002A4197">
        <w:rPr>
          <w:rFonts w:asciiTheme="minorHAnsi" w:hAnsiTheme="minorHAnsi" w:cstheme="minorHAnsi"/>
        </w:rPr>
        <w:fldChar w:fldCharType="separate"/>
      </w:r>
      <w:hyperlink w:anchor="_Toc510622251" w:history="1">
        <w:r w:rsidR="002E545D" w:rsidRPr="00DF54ED">
          <w:rPr>
            <w:rStyle w:val="Hyperlink"/>
            <w:rFonts w:eastAsiaTheme="majorEastAsia"/>
            <w:noProof/>
          </w:rPr>
          <w:t>Table 1: Demographic Profile (Census 2011 &amp; 2016)</w:t>
        </w:r>
        <w:r w:rsidR="002E545D">
          <w:rPr>
            <w:noProof/>
            <w:webHidden/>
          </w:rPr>
          <w:tab/>
        </w:r>
        <w:r w:rsidR="002E545D">
          <w:rPr>
            <w:noProof/>
            <w:webHidden/>
          </w:rPr>
          <w:fldChar w:fldCharType="begin"/>
        </w:r>
        <w:r w:rsidR="002E545D">
          <w:rPr>
            <w:noProof/>
            <w:webHidden/>
          </w:rPr>
          <w:instrText xml:space="preserve"> PAGEREF _Toc510622251 \h </w:instrText>
        </w:r>
        <w:r w:rsidR="002E545D">
          <w:rPr>
            <w:noProof/>
            <w:webHidden/>
          </w:rPr>
        </w:r>
        <w:r w:rsidR="002E545D">
          <w:rPr>
            <w:noProof/>
            <w:webHidden/>
          </w:rPr>
          <w:fldChar w:fldCharType="separate"/>
        </w:r>
        <w:r w:rsidR="0067023A">
          <w:rPr>
            <w:noProof/>
            <w:webHidden/>
          </w:rPr>
          <w:t>13</w:t>
        </w:r>
        <w:r w:rsidR="002E545D">
          <w:rPr>
            <w:noProof/>
            <w:webHidden/>
          </w:rPr>
          <w:fldChar w:fldCharType="end"/>
        </w:r>
      </w:hyperlink>
    </w:p>
    <w:p w14:paraId="0D4D8211"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52" w:history="1">
        <w:r w:rsidR="002E545D" w:rsidRPr="00DF54ED">
          <w:rPr>
            <w:rStyle w:val="Hyperlink"/>
            <w:rFonts w:eastAsiaTheme="majorEastAsia"/>
            <w:noProof/>
          </w:rPr>
          <w:t>Table 2: IDP/Public Participation Roadshows</w:t>
        </w:r>
        <w:r w:rsidR="002E545D">
          <w:rPr>
            <w:noProof/>
            <w:webHidden/>
          </w:rPr>
          <w:tab/>
        </w:r>
        <w:r w:rsidR="002E545D">
          <w:rPr>
            <w:noProof/>
            <w:webHidden/>
          </w:rPr>
          <w:fldChar w:fldCharType="begin"/>
        </w:r>
        <w:r w:rsidR="002E545D">
          <w:rPr>
            <w:noProof/>
            <w:webHidden/>
          </w:rPr>
          <w:instrText xml:space="preserve"> PAGEREF _Toc510622252 \h </w:instrText>
        </w:r>
        <w:r w:rsidR="002E545D">
          <w:rPr>
            <w:noProof/>
            <w:webHidden/>
          </w:rPr>
        </w:r>
        <w:r w:rsidR="002E545D">
          <w:rPr>
            <w:noProof/>
            <w:webHidden/>
          </w:rPr>
          <w:fldChar w:fldCharType="separate"/>
        </w:r>
        <w:r w:rsidR="0067023A">
          <w:rPr>
            <w:noProof/>
            <w:webHidden/>
          </w:rPr>
          <w:t>16</w:t>
        </w:r>
        <w:r w:rsidR="002E545D">
          <w:rPr>
            <w:noProof/>
            <w:webHidden/>
          </w:rPr>
          <w:fldChar w:fldCharType="end"/>
        </w:r>
      </w:hyperlink>
    </w:p>
    <w:p w14:paraId="71839153"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53" w:history="1">
        <w:r w:rsidR="002E545D" w:rsidRPr="00DF54ED">
          <w:rPr>
            <w:rStyle w:val="Hyperlink"/>
            <w:rFonts w:eastAsiaTheme="majorEastAsia"/>
            <w:noProof/>
          </w:rPr>
          <w:t>Table 3: Key Challenges and Description Thereof</w:t>
        </w:r>
        <w:r w:rsidR="002E545D">
          <w:rPr>
            <w:noProof/>
            <w:webHidden/>
          </w:rPr>
          <w:tab/>
        </w:r>
        <w:r w:rsidR="002E545D">
          <w:rPr>
            <w:noProof/>
            <w:webHidden/>
          </w:rPr>
          <w:fldChar w:fldCharType="begin"/>
        </w:r>
        <w:r w:rsidR="002E545D">
          <w:rPr>
            <w:noProof/>
            <w:webHidden/>
          </w:rPr>
          <w:instrText xml:space="preserve"> PAGEREF _Toc510622253 \h </w:instrText>
        </w:r>
        <w:r w:rsidR="002E545D">
          <w:rPr>
            <w:noProof/>
            <w:webHidden/>
          </w:rPr>
        </w:r>
        <w:r w:rsidR="002E545D">
          <w:rPr>
            <w:noProof/>
            <w:webHidden/>
          </w:rPr>
          <w:fldChar w:fldCharType="separate"/>
        </w:r>
        <w:r w:rsidR="0067023A">
          <w:rPr>
            <w:noProof/>
            <w:webHidden/>
          </w:rPr>
          <w:t>18</w:t>
        </w:r>
        <w:r w:rsidR="002E545D">
          <w:rPr>
            <w:noProof/>
            <w:webHidden/>
          </w:rPr>
          <w:fldChar w:fldCharType="end"/>
        </w:r>
      </w:hyperlink>
    </w:p>
    <w:p w14:paraId="5F6B2479"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54" w:history="1">
        <w:r w:rsidR="002E545D" w:rsidRPr="00DF54ED">
          <w:rPr>
            <w:rStyle w:val="Hyperlink"/>
            <w:rFonts w:eastAsiaTheme="majorEastAsia"/>
            <w:noProof/>
          </w:rPr>
          <w:t>Table 4: Outputs, Outcomes And Deliverables For 2017/18</w:t>
        </w:r>
        <w:r w:rsidR="002E545D">
          <w:rPr>
            <w:noProof/>
            <w:webHidden/>
          </w:rPr>
          <w:tab/>
        </w:r>
        <w:r w:rsidR="002E545D">
          <w:rPr>
            <w:noProof/>
            <w:webHidden/>
          </w:rPr>
          <w:fldChar w:fldCharType="begin"/>
        </w:r>
        <w:r w:rsidR="002E545D">
          <w:rPr>
            <w:noProof/>
            <w:webHidden/>
          </w:rPr>
          <w:instrText xml:space="preserve"> PAGEREF _Toc510622254 \h </w:instrText>
        </w:r>
        <w:r w:rsidR="002E545D">
          <w:rPr>
            <w:noProof/>
            <w:webHidden/>
          </w:rPr>
        </w:r>
        <w:r w:rsidR="002E545D">
          <w:rPr>
            <w:noProof/>
            <w:webHidden/>
          </w:rPr>
          <w:fldChar w:fldCharType="separate"/>
        </w:r>
        <w:r w:rsidR="0067023A">
          <w:rPr>
            <w:noProof/>
            <w:webHidden/>
          </w:rPr>
          <w:t>20</w:t>
        </w:r>
        <w:r w:rsidR="002E545D">
          <w:rPr>
            <w:noProof/>
            <w:webHidden/>
          </w:rPr>
          <w:fldChar w:fldCharType="end"/>
        </w:r>
      </w:hyperlink>
    </w:p>
    <w:p w14:paraId="2C631199"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55" w:history="1">
        <w:r w:rsidR="002E545D" w:rsidRPr="00DF54ED">
          <w:rPr>
            <w:rStyle w:val="Hyperlink"/>
            <w:rFonts w:eastAsiaTheme="majorEastAsia"/>
            <w:noProof/>
          </w:rPr>
          <w:t>Table 5: AU AGENDA 2063 GOALS</w:t>
        </w:r>
        <w:r w:rsidR="002E545D">
          <w:rPr>
            <w:noProof/>
            <w:webHidden/>
          </w:rPr>
          <w:tab/>
        </w:r>
        <w:r w:rsidR="002E545D">
          <w:rPr>
            <w:noProof/>
            <w:webHidden/>
          </w:rPr>
          <w:fldChar w:fldCharType="begin"/>
        </w:r>
        <w:r w:rsidR="002E545D">
          <w:rPr>
            <w:noProof/>
            <w:webHidden/>
          </w:rPr>
          <w:instrText xml:space="preserve"> PAGEREF _Toc510622255 \h </w:instrText>
        </w:r>
        <w:r w:rsidR="002E545D">
          <w:rPr>
            <w:noProof/>
            <w:webHidden/>
          </w:rPr>
        </w:r>
        <w:r w:rsidR="002E545D">
          <w:rPr>
            <w:noProof/>
            <w:webHidden/>
          </w:rPr>
          <w:fldChar w:fldCharType="separate"/>
        </w:r>
        <w:r w:rsidR="0067023A">
          <w:rPr>
            <w:noProof/>
            <w:webHidden/>
          </w:rPr>
          <w:t>24</w:t>
        </w:r>
        <w:r w:rsidR="002E545D">
          <w:rPr>
            <w:noProof/>
            <w:webHidden/>
          </w:rPr>
          <w:fldChar w:fldCharType="end"/>
        </w:r>
      </w:hyperlink>
    </w:p>
    <w:p w14:paraId="6FA6D3AD"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56" w:history="1">
        <w:r w:rsidR="002E545D" w:rsidRPr="00DF54ED">
          <w:rPr>
            <w:rStyle w:val="Hyperlink"/>
            <w:rFonts w:eastAsiaTheme="majorEastAsia"/>
            <w:noProof/>
          </w:rPr>
          <w:t>Table 6: National Development Plan Priorities</w:t>
        </w:r>
        <w:r w:rsidR="002E545D">
          <w:rPr>
            <w:noProof/>
            <w:webHidden/>
          </w:rPr>
          <w:tab/>
        </w:r>
        <w:r w:rsidR="002E545D">
          <w:rPr>
            <w:noProof/>
            <w:webHidden/>
          </w:rPr>
          <w:fldChar w:fldCharType="begin"/>
        </w:r>
        <w:r w:rsidR="002E545D">
          <w:rPr>
            <w:noProof/>
            <w:webHidden/>
          </w:rPr>
          <w:instrText xml:space="preserve"> PAGEREF _Toc510622256 \h </w:instrText>
        </w:r>
        <w:r w:rsidR="002E545D">
          <w:rPr>
            <w:noProof/>
            <w:webHidden/>
          </w:rPr>
        </w:r>
        <w:r w:rsidR="002E545D">
          <w:rPr>
            <w:noProof/>
            <w:webHidden/>
          </w:rPr>
          <w:fldChar w:fldCharType="separate"/>
        </w:r>
        <w:r w:rsidR="0067023A">
          <w:rPr>
            <w:noProof/>
            <w:webHidden/>
          </w:rPr>
          <w:t>25</w:t>
        </w:r>
        <w:r w:rsidR="002E545D">
          <w:rPr>
            <w:noProof/>
            <w:webHidden/>
          </w:rPr>
          <w:fldChar w:fldCharType="end"/>
        </w:r>
      </w:hyperlink>
    </w:p>
    <w:p w14:paraId="6E137D6B"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57" w:history="1">
        <w:r w:rsidR="002E545D" w:rsidRPr="00DF54ED">
          <w:rPr>
            <w:rStyle w:val="Hyperlink"/>
            <w:rFonts w:eastAsiaTheme="majorEastAsia"/>
            <w:noProof/>
          </w:rPr>
          <w:t>Table 7: 12 National Outcomes</w:t>
        </w:r>
        <w:r w:rsidR="002E545D">
          <w:rPr>
            <w:noProof/>
            <w:webHidden/>
          </w:rPr>
          <w:tab/>
        </w:r>
        <w:r w:rsidR="002E545D">
          <w:rPr>
            <w:noProof/>
            <w:webHidden/>
          </w:rPr>
          <w:fldChar w:fldCharType="begin"/>
        </w:r>
        <w:r w:rsidR="002E545D">
          <w:rPr>
            <w:noProof/>
            <w:webHidden/>
          </w:rPr>
          <w:instrText xml:space="preserve"> PAGEREF _Toc510622257 \h </w:instrText>
        </w:r>
        <w:r w:rsidR="002E545D">
          <w:rPr>
            <w:noProof/>
            <w:webHidden/>
          </w:rPr>
        </w:r>
        <w:r w:rsidR="002E545D">
          <w:rPr>
            <w:noProof/>
            <w:webHidden/>
          </w:rPr>
          <w:fldChar w:fldCharType="separate"/>
        </w:r>
        <w:r w:rsidR="0067023A">
          <w:rPr>
            <w:noProof/>
            <w:webHidden/>
          </w:rPr>
          <w:t>26</w:t>
        </w:r>
        <w:r w:rsidR="002E545D">
          <w:rPr>
            <w:noProof/>
            <w:webHidden/>
          </w:rPr>
          <w:fldChar w:fldCharType="end"/>
        </w:r>
      </w:hyperlink>
    </w:p>
    <w:p w14:paraId="7CBF6F86"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58" w:history="1">
        <w:r w:rsidR="002E545D" w:rsidRPr="00DF54ED">
          <w:rPr>
            <w:rStyle w:val="Hyperlink"/>
            <w:rFonts w:eastAsiaTheme="majorEastAsia"/>
            <w:noProof/>
          </w:rPr>
          <w:t>Table 8: PGDS Goals (2035)</w:t>
        </w:r>
        <w:r w:rsidR="002E545D">
          <w:rPr>
            <w:noProof/>
            <w:webHidden/>
          </w:rPr>
          <w:tab/>
        </w:r>
        <w:r w:rsidR="002E545D">
          <w:rPr>
            <w:noProof/>
            <w:webHidden/>
          </w:rPr>
          <w:fldChar w:fldCharType="begin"/>
        </w:r>
        <w:r w:rsidR="002E545D">
          <w:rPr>
            <w:noProof/>
            <w:webHidden/>
          </w:rPr>
          <w:instrText xml:space="preserve"> PAGEREF _Toc510622258 \h </w:instrText>
        </w:r>
        <w:r w:rsidR="002E545D">
          <w:rPr>
            <w:noProof/>
            <w:webHidden/>
          </w:rPr>
        </w:r>
        <w:r w:rsidR="002E545D">
          <w:rPr>
            <w:noProof/>
            <w:webHidden/>
          </w:rPr>
          <w:fldChar w:fldCharType="separate"/>
        </w:r>
        <w:r w:rsidR="0067023A">
          <w:rPr>
            <w:noProof/>
            <w:webHidden/>
          </w:rPr>
          <w:t>28</w:t>
        </w:r>
        <w:r w:rsidR="002E545D">
          <w:rPr>
            <w:noProof/>
            <w:webHidden/>
          </w:rPr>
          <w:fldChar w:fldCharType="end"/>
        </w:r>
      </w:hyperlink>
    </w:p>
    <w:p w14:paraId="5726590C"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59" w:history="1">
        <w:r w:rsidR="002E545D" w:rsidRPr="00DF54ED">
          <w:rPr>
            <w:rStyle w:val="Hyperlink"/>
            <w:rFonts w:eastAsiaTheme="majorEastAsia"/>
            <w:noProof/>
          </w:rPr>
          <w:t>Table 9: Status of Land Claims</w:t>
        </w:r>
        <w:r w:rsidR="002E545D">
          <w:rPr>
            <w:noProof/>
            <w:webHidden/>
          </w:rPr>
          <w:tab/>
        </w:r>
        <w:r w:rsidR="002E545D">
          <w:rPr>
            <w:noProof/>
            <w:webHidden/>
          </w:rPr>
          <w:fldChar w:fldCharType="begin"/>
        </w:r>
        <w:r w:rsidR="002E545D">
          <w:rPr>
            <w:noProof/>
            <w:webHidden/>
          </w:rPr>
          <w:instrText xml:space="preserve"> PAGEREF _Toc510622259 \h </w:instrText>
        </w:r>
        <w:r w:rsidR="002E545D">
          <w:rPr>
            <w:noProof/>
            <w:webHidden/>
          </w:rPr>
        </w:r>
        <w:r w:rsidR="002E545D">
          <w:rPr>
            <w:noProof/>
            <w:webHidden/>
          </w:rPr>
          <w:fldChar w:fldCharType="separate"/>
        </w:r>
        <w:r w:rsidR="0067023A">
          <w:rPr>
            <w:noProof/>
            <w:webHidden/>
          </w:rPr>
          <w:t>39</w:t>
        </w:r>
        <w:r w:rsidR="002E545D">
          <w:rPr>
            <w:noProof/>
            <w:webHidden/>
          </w:rPr>
          <w:fldChar w:fldCharType="end"/>
        </w:r>
      </w:hyperlink>
    </w:p>
    <w:p w14:paraId="7532F474"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60" w:history="1">
        <w:r w:rsidR="002E545D" w:rsidRPr="00DF54ED">
          <w:rPr>
            <w:rStyle w:val="Hyperlink"/>
            <w:rFonts w:eastAsiaTheme="majorEastAsia"/>
            <w:noProof/>
          </w:rPr>
          <w:t>Table 10: Ward Risk Profiling (DMP 2013)</w:t>
        </w:r>
        <w:r w:rsidR="002E545D">
          <w:rPr>
            <w:noProof/>
            <w:webHidden/>
          </w:rPr>
          <w:tab/>
        </w:r>
        <w:r w:rsidR="002E545D">
          <w:rPr>
            <w:noProof/>
            <w:webHidden/>
          </w:rPr>
          <w:fldChar w:fldCharType="begin"/>
        </w:r>
        <w:r w:rsidR="002E545D">
          <w:rPr>
            <w:noProof/>
            <w:webHidden/>
          </w:rPr>
          <w:instrText xml:space="preserve"> PAGEREF _Toc510622260 \h </w:instrText>
        </w:r>
        <w:r w:rsidR="002E545D">
          <w:rPr>
            <w:noProof/>
            <w:webHidden/>
          </w:rPr>
        </w:r>
        <w:r w:rsidR="002E545D">
          <w:rPr>
            <w:noProof/>
            <w:webHidden/>
          </w:rPr>
          <w:fldChar w:fldCharType="separate"/>
        </w:r>
        <w:r w:rsidR="0067023A">
          <w:rPr>
            <w:noProof/>
            <w:webHidden/>
          </w:rPr>
          <w:t>47</w:t>
        </w:r>
        <w:r w:rsidR="002E545D">
          <w:rPr>
            <w:noProof/>
            <w:webHidden/>
          </w:rPr>
          <w:fldChar w:fldCharType="end"/>
        </w:r>
      </w:hyperlink>
    </w:p>
    <w:p w14:paraId="3ED8F0D7"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61" w:history="1">
        <w:r w:rsidR="002E545D" w:rsidRPr="00DF54ED">
          <w:rPr>
            <w:rStyle w:val="Hyperlink"/>
            <w:rFonts w:eastAsiaTheme="majorEastAsia"/>
            <w:noProof/>
          </w:rPr>
          <w:t>Table 11: Status of Disaster Management</w:t>
        </w:r>
        <w:r w:rsidR="002E545D">
          <w:rPr>
            <w:noProof/>
            <w:webHidden/>
          </w:rPr>
          <w:tab/>
        </w:r>
        <w:r w:rsidR="002E545D">
          <w:rPr>
            <w:noProof/>
            <w:webHidden/>
          </w:rPr>
          <w:fldChar w:fldCharType="begin"/>
        </w:r>
        <w:r w:rsidR="002E545D">
          <w:rPr>
            <w:noProof/>
            <w:webHidden/>
          </w:rPr>
          <w:instrText xml:space="preserve"> PAGEREF _Toc510622261 \h </w:instrText>
        </w:r>
        <w:r w:rsidR="002E545D">
          <w:rPr>
            <w:noProof/>
            <w:webHidden/>
          </w:rPr>
        </w:r>
        <w:r w:rsidR="002E545D">
          <w:rPr>
            <w:noProof/>
            <w:webHidden/>
          </w:rPr>
          <w:fldChar w:fldCharType="separate"/>
        </w:r>
        <w:r w:rsidR="0067023A">
          <w:rPr>
            <w:noProof/>
            <w:webHidden/>
          </w:rPr>
          <w:t>49</w:t>
        </w:r>
        <w:r w:rsidR="002E545D">
          <w:rPr>
            <w:noProof/>
            <w:webHidden/>
          </w:rPr>
          <w:fldChar w:fldCharType="end"/>
        </w:r>
      </w:hyperlink>
    </w:p>
    <w:p w14:paraId="239C34C2"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62" w:history="1">
        <w:r w:rsidR="002E545D" w:rsidRPr="00DF54ED">
          <w:rPr>
            <w:rStyle w:val="Hyperlink"/>
            <w:rFonts w:eastAsiaTheme="majorEastAsia"/>
            <w:noProof/>
          </w:rPr>
          <w:t>Table 12: King Cetshwayo DM – Total Population Size per LM (2016)</w:t>
        </w:r>
        <w:r w:rsidR="002E545D">
          <w:rPr>
            <w:noProof/>
            <w:webHidden/>
          </w:rPr>
          <w:tab/>
        </w:r>
        <w:r w:rsidR="002E545D">
          <w:rPr>
            <w:noProof/>
            <w:webHidden/>
          </w:rPr>
          <w:fldChar w:fldCharType="begin"/>
        </w:r>
        <w:r w:rsidR="002E545D">
          <w:rPr>
            <w:noProof/>
            <w:webHidden/>
          </w:rPr>
          <w:instrText xml:space="preserve"> PAGEREF _Toc510622262 \h </w:instrText>
        </w:r>
        <w:r w:rsidR="002E545D">
          <w:rPr>
            <w:noProof/>
            <w:webHidden/>
          </w:rPr>
        </w:r>
        <w:r w:rsidR="002E545D">
          <w:rPr>
            <w:noProof/>
            <w:webHidden/>
          </w:rPr>
          <w:fldChar w:fldCharType="separate"/>
        </w:r>
        <w:r w:rsidR="0067023A">
          <w:rPr>
            <w:noProof/>
            <w:webHidden/>
          </w:rPr>
          <w:t>51</w:t>
        </w:r>
        <w:r w:rsidR="002E545D">
          <w:rPr>
            <w:noProof/>
            <w:webHidden/>
          </w:rPr>
          <w:fldChar w:fldCharType="end"/>
        </w:r>
      </w:hyperlink>
    </w:p>
    <w:p w14:paraId="3AA0C959"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63" w:history="1">
        <w:r w:rsidR="002E545D" w:rsidRPr="00DF54ED">
          <w:rPr>
            <w:rStyle w:val="Hyperlink"/>
            <w:rFonts w:eastAsiaTheme="majorEastAsia"/>
            <w:noProof/>
          </w:rPr>
          <w:t>Table 13: Number of Households (2016)</w:t>
        </w:r>
        <w:r w:rsidR="002E545D">
          <w:rPr>
            <w:noProof/>
            <w:webHidden/>
          </w:rPr>
          <w:tab/>
        </w:r>
        <w:r w:rsidR="002E545D">
          <w:rPr>
            <w:noProof/>
            <w:webHidden/>
          </w:rPr>
          <w:fldChar w:fldCharType="begin"/>
        </w:r>
        <w:r w:rsidR="002E545D">
          <w:rPr>
            <w:noProof/>
            <w:webHidden/>
          </w:rPr>
          <w:instrText xml:space="preserve"> PAGEREF _Toc510622263 \h </w:instrText>
        </w:r>
        <w:r w:rsidR="002E545D">
          <w:rPr>
            <w:noProof/>
            <w:webHidden/>
          </w:rPr>
        </w:r>
        <w:r w:rsidR="002E545D">
          <w:rPr>
            <w:noProof/>
            <w:webHidden/>
          </w:rPr>
          <w:fldChar w:fldCharType="separate"/>
        </w:r>
        <w:r w:rsidR="0067023A">
          <w:rPr>
            <w:noProof/>
            <w:webHidden/>
          </w:rPr>
          <w:t>52</w:t>
        </w:r>
        <w:r w:rsidR="002E545D">
          <w:rPr>
            <w:noProof/>
            <w:webHidden/>
          </w:rPr>
          <w:fldChar w:fldCharType="end"/>
        </w:r>
      </w:hyperlink>
    </w:p>
    <w:p w14:paraId="45593120"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64" w:history="1">
        <w:r w:rsidR="002E545D" w:rsidRPr="00DF54ED">
          <w:rPr>
            <w:rStyle w:val="Hyperlink"/>
            <w:rFonts w:eastAsiaTheme="majorEastAsia"/>
            <w:noProof/>
          </w:rPr>
          <w:t>Table 14: Household Demographics (CS 2016)</w:t>
        </w:r>
        <w:r w:rsidR="002E545D">
          <w:rPr>
            <w:noProof/>
            <w:webHidden/>
          </w:rPr>
          <w:tab/>
        </w:r>
        <w:r w:rsidR="002E545D">
          <w:rPr>
            <w:noProof/>
            <w:webHidden/>
          </w:rPr>
          <w:fldChar w:fldCharType="begin"/>
        </w:r>
        <w:r w:rsidR="002E545D">
          <w:rPr>
            <w:noProof/>
            <w:webHidden/>
          </w:rPr>
          <w:instrText xml:space="preserve"> PAGEREF _Toc510622264 \h </w:instrText>
        </w:r>
        <w:r w:rsidR="002E545D">
          <w:rPr>
            <w:noProof/>
            <w:webHidden/>
          </w:rPr>
        </w:r>
        <w:r w:rsidR="002E545D">
          <w:rPr>
            <w:noProof/>
            <w:webHidden/>
          </w:rPr>
          <w:fldChar w:fldCharType="separate"/>
        </w:r>
        <w:r w:rsidR="0067023A">
          <w:rPr>
            <w:noProof/>
            <w:webHidden/>
          </w:rPr>
          <w:t>52</w:t>
        </w:r>
        <w:r w:rsidR="002E545D">
          <w:rPr>
            <w:noProof/>
            <w:webHidden/>
          </w:rPr>
          <w:fldChar w:fldCharType="end"/>
        </w:r>
      </w:hyperlink>
    </w:p>
    <w:p w14:paraId="09BE71A5"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65" w:history="1">
        <w:r w:rsidR="002E545D" w:rsidRPr="00DF54ED">
          <w:rPr>
            <w:rStyle w:val="Hyperlink"/>
            <w:rFonts w:eastAsiaTheme="majorEastAsia"/>
            <w:noProof/>
          </w:rPr>
          <w:t>Table 15: % of Female Headed Households</w:t>
        </w:r>
        <w:r w:rsidR="002E545D">
          <w:rPr>
            <w:noProof/>
            <w:webHidden/>
          </w:rPr>
          <w:tab/>
        </w:r>
        <w:r w:rsidR="002E545D">
          <w:rPr>
            <w:noProof/>
            <w:webHidden/>
          </w:rPr>
          <w:fldChar w:fldCharType="begin"/>
        </w:r>
        <w:r w:rsidR="002E545D">
          <w:rPr>
            <w:noProof/>
            <w:webHidden/>
          </w:rPr>
          <w:instrText xml:space="preserve"> PAGEREF _Toc510622265 \h </w:instrText>
        </w:r>
        <w:r w:rsidR="002E545D">
          <w:rPr>
            <w:noProof/>
            <w:webHidden/>
          </w:rPr>
        </w:r>
        <w:r w:rsidR="002E545D">
          <w:rPr>
            <w:noProof/>
            <w:webHidden/>
          </w:rPr>
          <w:fldChar w:fldCharType="separate"/>
        </w:r>
        <w:r w:rsidR="0067023A">
          <w:rPr>
            <w:noProof/>
            <w:webHidden/>
          </w:rPr>
          <w:t>53</w:t>
        </w:r>
        <w:r w:rsidR="002E545D">
          <w:rPr>
            <w:noProof/>
            <w:webHidden/>
          </w:rPr>
          <w:fldChar w:fldCharType="end"/>
        </w:r>
      </w:hyperlink>
    </w:p>
    <w:p w14:paraId="6A1A7253"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66" w:history="1">
        <w:r w:rsidR="002E545D" w:rsidRPr="00DF54ED">
          <w:rPr>
            <w:rStyle w:val="Hyperlink"/>
            <w:rFonts w:eastAsiaTheme="majorEastAsia"/>
            <w:noProof/>
          </w:rPr>
          <w:t>Table 16: Gender Ratio (CS 2016)</w:t>
        </w:r>
        <w:r w:rsidR="002E545D">
          <w:rPr>
            <w:noProof/>
            <w:webHidden/>
          </w:rPr>
          <w:tab/>
        </w:r>
        <w:r w:rsidR="002E545D">
          <w:rPr>
            <w:noProof/>
            <w:webHidden/>
          </w:rPr>
          <w:fldChar w:fldCharType="begin"/>
        </w:r>
        <w:r w:rsidR="002E545D">
          <w:rPr>
            <w:noProof/>
            <w:webHidden/>
          </w:rPr>
          <w:instrText xml:space="preserve"> PAGEREF _Toc510622266 \h </w:instrText>
        </w:r>
        <w:r w:rsidR="002E545D">
          <w:rPr>
            <w:noProof/>
            <w:webHidden/>
          </w:rPr>
        </w:r>
        <w:r w:rsidR="002E545D">
          <w:rPr>
            <w:noProof/>
            <w:webHidden/>
          </w:rPr>
          <w:fldChar w:fldCharType="separate"/>
        </w:r>
        <w:r w:rsidR="0067023A">
          <w:rPr>
            <w:noProof/>
            <w:webHidden/>
          </w:rPr>
          <w:t>54</w:t>
        </w:r>
        <w:r w:rsidR="002E545D">
          <w:rPr>
            <w:noProof/>
            <w:webHidden/>
          </w:rPr>
          <w:fldChar w:fldCharType="end"/>
        </w:r>
      </w:hyperlink>
    </w:p>
    <w:p w14:paraId="13A0BA83"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67" w:history="1">
        <w:r w:rsidR="002E545D" w:rsidRPr="00DF54ED">
          <w:rPr>
            <w:rStyle w:val="Hyperlink"/>
            <w:rFonts w:eastAsiaTheme="majorEastAsia"/>
            <w:noProof/>
          </w:rPr>
          <w:t>Table 17:  Age Distribution – 2016</w:t>
        </w:r>
        <w:r w:rsidR="002E545D">
          <w:rPr>
            <w:noProof/>
            <w:webHidden/>
          </w:rPr>
          <w:tab/>
        </w:r>
        <w:r w:rsidR="002E545D">
          <w:rPr>
            <w:noProof/>
            <w:webHidden/>
          </w:rPr>
          <w:fldChar w:fldCharType="begin"/>
        </w:r>
        <w:r w:rsidR="002E545D">
          <w:rPr>
            <w:noProof/>
            <w:webHidden/>
          </w:rPr>
          <w:instrText xml:space="preserve"> PAGEREF _Toc510622267 \h </w:instrText>
        </w:r>
        <w:r w:rsidR="002E545D">
          <w:rPr>
            <w:noProof/>
            <w:webHidden/>
          </w:rPr>
        </w:r>
        <w:r w:rsidR="002E545D">
          <w:rPr>
            <w:noProof/>
            <w:webHidden/>
          </w:rPr>
          <w:fldChar w:fldCharType="separate"/>
        </w:r>
        <w:r w:rsidR="0067023A">
          <w:rPr>
            <w:noProof/>
            <w:webHidden/>
          </w:rPr>
          <w:t>54</w:t>
        </w:r>
        <w:r w:rsidR="002E545D">
          <w:rPr>
            <w:noProof/>
            <w:webHidden/>
          </w:rPr>
          <w:fldChar w:fldCharType="end"/>
        </w:r>
      </w:hyperlink>
    </w:p>
    <w:p w14:paraId="181FFDB2"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68" w:history="1">
        <w:r w:rsidR="002E545D" w:rsidRPr="00DF54ED">
          <w:rPr>
            <w:rStyle w:val="Hyperlink"/>
            <w:rFonts w:eastAsiaTheme="majorEastAsia"/>
            <w:noProof/>
          </w:rPr>
          <w:t>Table 18: Health: HIV Prevalence Source: Global Insight, 2015</w:t>
        </w:r>
        <w:r w:rsidR="002E545D">
          <w:rPr>
            <w:noProof/>
            <w:webHidden/>
          </w:rPr>
          <w:tab/>
        </w:r>
        <w:r w:rsidR="002E545D">
          <w:rPr>
            <w:noProof/>
            <w:webHidden/>
          </w:rPr>
          <w:fldChar w:fldCharType="begin"/>
        </w:r>
        <w:r w:rsidR="002E545D">
          <w:rPr>
            <w:noProof/>
            <w:webHidden/>
          </w:rPr>
          <w:instrText xml:space="preserve"> PAGEREF _Toc510622268 \h </w:instrText>
        </w:r>
        <w:r w:rsidR="002E545D">
          <w:rPr>
            <w:noProof/>
            <w:webHidden/>
          </w:rPr>
        </w:r>
        <w:r w:rsidR="002E545D">
          <w:rPr>
            <w:noProof/>
            <w:webHidden/>
          </w:rPr>
          <w:fldChar w:fldCharType="separate"/>
        </w:r>
        <w:r w:rsidR="0067023A">
          <w:rPr>
            <w:noProof/>
            <w:webHidden/>
          </w:rPr>
          <w:t>55</w:t>
        </w:r>
        <w:r w:rsidR="002E545D">
          <w:rPr>
            <w:noProof/>
            <w:webHidden/>
          </w:rPr>
          <w:fldChar w:fldCharType="end"/>
        </w:r>
      </w:hyperlink>
    </w:p>
    <w:p w14:paraId="1E5461CB"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69" w:history="1">
        <w:r w:rsidR="002E545D" w:rsidRPr="00DF54ED">
          <w:rPr>
            <w:rStyle w:val="Hyperlink"/>
            <w:rFonts w:eastAsiaTheme="majorEastAsia"/>
            <w:noProof/>
          </w:rPr>
          <w:t>Table 19: Distribution of the Highest Level of Education (Census 2016)</w:t>
        </w:r>
        <w:r w:rsidR="002E545D">
          <w:rPr>
            <w:noProof/>
            <w:webHidden/>
          </w:rPr>
          <w:tab/>
        </w:r>
        <w:r w:rsidR="002E545D">
          <w:rPr>
            <w:noProof/>
            <w:webHidden/>
          </w:rPr>
          <w:fldChar w:fldCharType="begin"/>
        </w:r>
        <w:r w:rsidR="002E545D">
          <w:rPr>
            <w:noProof/>
            <w:webHidden/>
          </w:rPr>
          <w:instrText xml:space="preserve"> PAGEREF _Toc510622269 \h </w:instrText>
        </w:r>
        <w:r w:rsidR="002E545D">
          <w:rPr>
            <w:noProof/>
            <w:webHidden/>
          </w:rPr>
        </w:r>
        <w:r w:rsidR="002E545D">
          <w:rPr>
            <w:noProof/>
            <w:webHidden/>
          </w:rPr>
          <w:fldChar w:fldCharType="separate"/>
        </w:r>
        <w:r w:rsidR="0067023A">
          <w:rPr>
            <w:noProof/>
            <w:webHidden/>
          </w:rPr>
          <w:t>56</w:t>
        </w:r>
        <w:r w:rsidR="002E545D">
          <w:rPr>
            <w:noProof/>
            <w:webHidden/>
          </w:rPr>
          <w:fldChar w:fldCharType="end"/>
        </w:r>
      </w:hyperlink>
    </w:p>
    <w:p w14:paraId="26387134"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70" w:history="1">
        <w:r w:rsidR="002E545D" w:rsidRPr="00DF54ED">
          <w:rPr>
            <w:rStyle w:val="Hyperlink"/>
            <w:rFonts w:eastAsiaTheme="majorEastAsia"/>
            <w:noProof/>
          </w:rPr>
          <w:t>Table 20: Municipal Powers and Functions</w:t>
        </w:r>
        <w:r w:rsidR="002E545D">
          <w:rPr>
            <w:noProof/>
            <w:webHidden/>
          </w:rPr>
          <w:tab/>
        </w:r>
        <w:r w:rsidR="002E545D">
          <w:rPr>
            <w:noProof/>
            <w:webHidden/>
          </w:rPr>
          <w:fldChar w:fldCharType="begin"/>
        </w:r>
        <w:r w:rsidR="002E545D">
          <w:rPr>
            <w:noProof/>
            <w:webHidden/>
          </w:rPr>
          <w:instrText xml:space="preserve"> PAGEREF _Toc510622270 \h </w:instrText>
        </w:r>
        <w:r w:rsidR="002E545D">
          <w:rPr>
            <w:noProof/>
            <w:webHidden/>
          </w:rPr>
        </w:r>
        <w:r w:rsidR="002E545D">
          <w:rPr>
            <w:noProof/>
            <w:webHidden/>
          </w:rPr>
          <w:fldChar w:fldCharType="separate"/>
        </w:r>
        <w:r w:rsidR="0067023A">
          <w:rPr>
            <w:noProof/>
            <w:webHidden/>
          </w:rPr>
          <w:t>58</w:t>
        </w:r>
        <w:r w:rsidR="002E545D">
          <w:rPr>
            <w:noProof/>
            <w:webHidden/>
          </w:rPr>
          <w:fldChar w:fldCharType="end"/>
        </w:r>
      </w:hyperlink>
    </w:p>
    <w:p w14:paraId="5E5BA42B"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71" w:history="1">
        <w:r w:rsidR="002E545D" w:rsidRPr="00DF54ED">
          <w:rPr>
            <w:rStyle w:val="Hyperlink"/>
            <w:rFonts w:eastAsiaTheme="majorEastAsia"/>
            <w:noProof/>
          </w:rPr>
          <w:t>Table 21: Staff Composition and Equity</w:t>
        </w:r>
        <w:r w:rsidR="002E545D">
          <w:rPr>
            <w:noProof/>
            <w:webHidden/>
          </w:rPr>
          <w:tab/>
        </w:r>
        <w:r w:rsidR="002E545D">
          <w:rPr>
            <w:noProof/>
            <w:webHidden/>
          </w:rPr>
          <w:fldChar w:fldCharType="begin"/>
        </w:r>
        <w:r w:rsidR="002E545D">
          <w:rPr>
            <w:noProof/>
            <w:webHidden/>
          </w:rPr>
          <w:instrText xml:space="preserve"> PAGEREF _Toc510622271 \h </w:instrText>
        </w:r>
        <w:r w:rsidR="002E545D">
          <w:rPr>
            <w:noProof/>
            <w:webHidden/>
          </w:rPr>
        </w:r>
        <w:r w:rsidR="002E545D">
          <w:rPr>
            <w:noProof/>
            <w:webHidden/>
          </w:rPr>
          <w:fldChar w:fldCharType="separate"/>
        </w:r>
        <w:r w:rsidR="0067023A">
          <w:rPr>
            <w:noProof/>
            <w:webHidden/>
          </w:rPr>
          <w:t>59</w:t>
        </w:r>
        <w:r w:rsidR="002E545D">
          <w:rPr>
            <w:noProof/>
            <w:webHidden/>
          </w:rPr>
          <w:fldChar w:fldCharType="end"/>
        </w:r>
      </w:hyperlink>
    </w:p>
    <w:p w14:paraId="7CB5DC03"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72" w:history="1">
        <w:r w:rsidR="002E545D" w:rsidRPr="00DF54ED">
          <w:rPr>
            <w:rStyle w:val="Hyperlink"/>
            <w:rFonts w:eastAsiaTheme="majorEastAsia"/>
            <w:noProof/>
          </w:rPr>
          <w:t>Table 22: Employment Equity Targets</w:t>
        </w:r>
        <w:r w:rsidR="002E545D">
          <w:rPr>
            <w:noProof/>
            <w:webHidden/>
          </w:rPr>
          <w:tab/>
        </w:r>
        <w:r w:rsidR="002E545D">
          <w:rPr>
            <w:noProof/>
            <w:webHidden/>
          </w:rPr>
          <w:fldChar w:fldCharType="begin"/>
        </w:r>
        <w:r w:rsidR="002E545D">
          <w:rPr>
            <w:noProof/>
            <w:webHidden/>
          </w:rPr>
          <w:instrText xml:space="preserve"> PAGEREF _Toc510622272 \h </w:instrText>
        </w:r>
        <w:r w:rsidR="002E545D">
          <w:rPr>
            <w:noProof/>
            <w:webHidden/>
          </w:rPr>
        </w:r>
        <w:r w:rsidR="002E545D">
          <w:rPr>
            <w:noProof/>
            <w:webHidden/>
          </w:rPr>
          <w:fldChar w:fldCharType="separate"/>
        </w:r>
        <w:r w:rsidR="0067023A">
          <w:rPr>
            <w:noProof/>
            <w:webHidden/>
          </w:rPr>
          <w:t>60</w:t>
        </w:r>
        <w:r w:rsidR="002E545D">
          <w:rPr>
            <w:noProof/>
            <w:webHidden/>
          </w:rPr>
          <w:fldChar w:fldCharType="end"/>
        </w:r>
      </w:hyperlink>
    </w:p>
    <w:p w14:paraId="67C6497C"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73" w:history="1">
        <w:r w:rsidR="002E545D" w:rsidRPr="00DF54ED">
          <w:rPr>
            <w:rStyle w:val="Hyperlink"/>
            <w:rFonts w:eastAsiaTheme="majorEastAsia"/>
            <w:noProof/>
          </w:rPr>
          <w:t>Table 23: Access to Piped Water (CS 2016)</w:t>
        </w:r>
        <w:r w:rsidR="002E545D">
          <w:rPr>
            <w:noProof/>
            <w:webHidden/>
          </w:rPr>
          <w:tab/>
        </w:r>
        <w:r w:rsidR="002E545D">
          <w:rPr>
            <w:noProof/>
            <w:webHidden/>
          </w:rPr>
          <w:fldChar w:fldCharType="begin"/>
        </w:r>
        <w:r w:rsidR="002E545D">
          <w:rPr>
            <w:noProof/>
            <w:webHidden/>
          </w:rPr>
          <w:instrText xml:space="preserve"> PAGEREF _Toc510622273 \h </w:instrText>
        </w:r>
        <w:r w:rsidR="002E545D">
          <w:rPr>
            <w:noProof/>
            <w:webHidden/>
          </w:rPr>
        </w:r>
        <w:r w:rsidR="002E545D">
          <w:rPr>
            <w:noProof/>
            <w:webHidden/>
          </w:rPr>
          <w:fldChar w:fldCharType="separate"/>
        </w:r>
        <w:r w:rsidR="0067023A">
          <w:rPr>
            <w:noProof/>
            <w:webHidden/>
          </w:rPr>
          <w:t>68</w:t>
        </w:r>
        <w:r w:rsidR="002E545D">
          <w:rPr>
            <w:noProof/>
            <w:webHidden/>
          </w:rPr>
          <w:fldChar w:fldCharType="end"/>
        </w:r>
      </w:hyperlink>
    </w:p>
    <w:p w14:paraId="3CFE178D"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74" w:history="1">
        <w:r w:rsidR="002E545D" w:rsidRPr="00DF54ED">
          <w:rPr>
            <w:rStyle w:val="Hyperlink"/>
            <w:rFonts w:eastAsiaTheme="majorEastAsia"/>
            <w:noProof/>
          </w:rPr>
          <w:t>Table 24: Water Supply Backlog in King Cetshwayo District (2015/16)</w:t>
        </w:r>
        <w:r w:rsidR="002E545D">
          <w:rPr>
            <w:noProof/>
            <w:webHidden/>
          </w:rPr>
          <w:tab/>
        </w:r>
        <w:r w:rsidR="002E545D">
          <w:rPr>
            <w:noProof/>
            <w:webHidden/>
          </w:rPr>
          <w:fldChar w:fldCharType="begin"/>
        </w:r>
        <w:r w:rsidR="002E545D">
          <w:rPr>
            <w:noProof/>
            <w:webHidden/>
          </w:rPr>
          <w:instrText xml:space="preserve"> PAGEREF _Toc510622274 \h </w:instrText>
        </w:r>
        <w:r w:rsidR="002E545D">
          <w:rPr>
            <w:noProof/>
            <w:webHidden/>
          </w:rPr>
        </w:r>
        <w:r w:rsidR="002E545D">
          <w:rPr>
            <w:noProof/>
            <w:webHidden/>
          </w:rPr>
          <w:fldChar w:fldCharType="separate"/>
        </w:r>
        <w:r w:rsidR="0067023A">
          <w:rPr>
            <w:noProof/>
            <w:webHidden/>
          </w:rPr>
          <w:t>69</w:t>
        </w:r>
        <w:r w:rsidR="002E545D">
          <w:rPr>
            <w:noProof/>
            <w:webHidden/>
          </w:rPr>
          <w:fldChar w:fldCharType="end"/>
        </w:r>
      </w:hyperlink>
    </w:p>
    <w:p w14:paraId="7ADA5F93"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75" w:history="1">
        <w:r w:rsidR="002E545D" w:rsidRPr="00DF54ED">
          <w:rPr>
            <w:rStyle w:val="Hyperlink"/>
            <w:rFonts w:eastAsiaTheme="majorEastAsia"/>
            <w:noProof/>
          </w:rPr>
          <w:t>Table 25: Community Access to Sanitation Facilities (2016)</w:t>
        </w:r>
        <w:r w:rsidR="002E545D">
          <w:rPr>
            <w:noProof/>
            <w:webHidden/>
          </w:rPr>
          <w:tab/>
        </w:r>
        <w:r w:rsidR="002E545D">
          <w:rPr>
            <w:noProof/>
            <w:webHidden/>
          </w:rPr>
          <w:fldChar w:fldCharType="begin"/>
        </w:r>
        <w:r w:rsidR="002E545D">
          <w:rPr>
            <w:noProof/>
            <w:webHidden/>
          </w:rPr>
          <w:instrText xml:space="preserve"> PAGEREF _Toc510622275 \h </w:instrText>
        </w:r>
        <w:r w:rsidR="002E545D">
          <w:rPr>
            <w:noProof/>
            <w:webHidden/>
          </w:rPr>
        </w:r>
        <w:r w:rsidR="002E545D">
          <w:rPr>
            <w:noProof/>
            <w:webHidden/>
          </w:rPr>
          <w:fldChar w:fldCharType="separate"/>
        </w:r>
        <w:r w:rsidR="0067023A">
          <w:rPr>
            <w:noProof/>
            <w:webHidden/>
          </w:rPr>
          <w:t>69</w:t>
        </w:r>
        <w:r w:rsidR="002E545D">
          <w:rPr>
            <w:noProof/>
            <w:webHidden/>
          </w:rPr>
          <w:fldChar w:fldCharType="end"/>
        </w:r>
      </w:hyperlink>
    </w:p>
    <w:p w14:paraId="26918510"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76" w:history="1">
        <w:r w:rsidR="002E545D" w:rsidRPr="00DF54ED">
          <w:rPr>
            <w:rStyle w:val="Hyperlink"/>
            <w:rFonts w:eastAsiaTheme="majorEastAsia"/>
            <w:noProof/>
          </w:rPr>
          <w:t>Table 26: Sanitation Backlogs by King Cetshwayo District (2015/16)</w:t>
        </w:r>
        <w:r w:rsidR="002E545D">
          <w:rPr>
            <w:noProof/>
            <w:webHidden/>
          </w:rPr>
          <w:tab/>
        </w:r>
        <w:r w:rsidR="002E545D">
          <w:rPr>
            <w:noProof/>
            <w:webHidden/>
          </w:rPr>
          <w:fldChar w:fldCharType="begin"/>
        </w:r>
        <w:r w:rsidR="002E545D">
          <w:rPr>
            <w:noProof/>
            <w:webHidden/>
          </w:rPr>
          <w:instrText xml:space="preserve"> PAGEREF _Toc510622276 \h </w:instrText>
        </w:r>
        <w:r w:rsidR="002E545D">
          <w:rPr>
            <w:noProof/>
            <w:webHidden/>
          </w:rPr>
        </w:r>
        <w:r w:rsidR="002E545D">
          <w:rPr>
            <w:noProof/>
            <w:webHidden/>
          </w:rPr>
          <w:fldChar w:fldCharType="separate"/>
        </w:r>
        <w:r w:rsidR="0067023A">
          <w:rPr>
            <w:noProof/>
            <w:webHidden/>
          </w:rPr>
          <w:t>70</w:t>
        </w:r>
        <w:r w:rsidR="002E545D">
          <w:rPr>
            <w:noProof/>
            <w:webHidden/>
          </w:rPr>
          <w:fldChar w:fldCharType="end"/>
        </w:r>
      </w:hyperlink>
    </w:p>
    <w:p w14:paraId="37AA77A0"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77" w:history="1">
        <w:r w:rsidR="002E545D" w:rsidRPr="00DF54ED">
          <w:rPr>
            <w:rStyle w:val="Hyperlink"/>
            <w:rFonts w:eastAsiaTheme="majorEastAsia"/>
            <w:noProof/>
          </w:rPr>
          <w:t>Table 27: Funds required for rural water scheme:</w:t>
        </w:r>
        <w:r w:rsidR="002E545D">
          <w:rPr>
            <w:noProof/>
            <w:webHidden/>
          </w:rPr>
          <w:tab/>
        </w:r>
        <w:r w:rsidR="002E545D">
          <w:rPr>
            <w:noProof/>
            <w:webHidden/>
          </w:rPr>
          <w:fldChar w:fldCharType="begin"/>
        </w:r>
        <w:r w:rsidR="002E545D">
          <w:rPr>
            <w:noProof/>
            <w:webHidden/>
          </w:rPr>
          <w:instrText xml:space="preserve"> PAGEREF _Toc510622277 \h </w:instrText>
        </w:r>
        <w:r w:rsidR="002E545D">
          <w:rPr>
            <w:noProof/>
            <w:webHidden/>
          </w:rPr>
        </w:r>
        <w:r w:rsidR="002E545D">
          <w:rPr>
            <w:noProof/>
            <w:webHidden/>
          </w:rPr>
          <w:fldChar w:fldCharType="separate"/>
        </w:r>
        <w:r w:rsidR="0067023A">
          <w:rPr>
            <w:noProof/>
            <w:webHidden/>
          </w:rPr>
          <w:t>71</w:t>
        </w:r>
        <w:r w:rsidR="002E545D">
          <w:rPr>
            <w:noProof/>
            <w:webHidden/>
          </w:rPr>
          <w:fldChar w:fldCharType="end"/>
        </w:r>
      </w:hyperlink>
    </w:p>
    <w:p w14:paraId="21BC1389"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78" w:history="1">
        <w:r w:rsidR="002E545D" w:rsidRPr="00DF54ED">
          <w:rPr>
            <w:rStyle w:val="Hyperlink"/>
            <w:rFonts w:eastAsiaTheme="majorEastAsia"/>
            <w:noProof/>
          </w:rPr>
          <w:t>Table 28: Funds required for rural sanitation/VIP:</w:t>
        </w:r>
        <w:r w:rsidR="002E545D">
          <w:rPr>
            <w:noProof/>
            <w:webHidden/>
          </w:rPr>
          <w:tab/>
        </w:r>
        <w:r w:rsidR="002E545D">
          <w:rPr>
            <w:noProof/>
            <w:webHidden/>
          </w:rPr>
          <w:fldChar w:fldCharType="begin"/>
        </w:r>
        <w:r w:rsidR="002E545D">
          <w:rPr>
            <w:noProof/>
            <w:webHidden/>
          </w:rPr>
          <w:instrText xml:space="preserve"> PAGEREF _Toc510622278 \h </w:instrText>
        </w:r>
        <w:r w:rsidR="002E545D">
          <w:rPr>
            <w:noProof/>
            <w:webHidden/>
          </w:rPr>
        </w:r>
        <w:r w:rsidR="002E545D">
          <w:rPr>
            <w:noProof/>
            <w:webHidden/>
          </w:rPr>
          <w:fldChar w:fldCharType="separate"/>
        </w:r>
        <w:r w:rsidR="0067023A">
          <w:rPr>
            <w:noProof/>
            <w:webHidden/>
          </w:rPr>
          <w:t>71</w:t>
        </w:r>
        <w:r w:rsidR="002E545D">
          <w:rPr>
            <w:noProof/>
            <w:webHidden/>
          </w:rPr>
          <w:fldChar w:fldCharType="end"/>
        </w:r>
      </w:hyperlink>
    </w:p>
    <w:p w14:paraId="47464383"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79" w:history="1">
        <w:r w:rsidR="002E545D" w:rsidRPr="00DF54ED">
          <w:rPr>
            <w:rStyle w:val="Hyperlink"/>
            <w:rFonts w:eastAsiaTheme="majorEastAsia"/>
            <w:noProof/>
          </w:rPr>
          <w:t>Table 29: Solid Waste Disposal – (CS 2016)</w:t>
        </w:r>
        <w:r w:rsidR="002E545D">
          <w:rPr>
            <w:noProof/>
            <w:webHidden/>
          </w:rPr>
          <w:tab/>
        </w:r>
        <w:r w:rsidR="002E545D">
          <w:rPr>
            <w:noProof/>
            <w:webHidden/>
          </w:rPr>
          <w:fldChar w:fldCharType="begin"/>
        </w:r>
        <w:r w:rsidR="002E545D">
          <w:rPr>
            <w:noProof/>
            <w:webHidden/>
          </w:rPr>
          <w:instrText xml:space="preserve"> PAGEREF _Toc510622279 \h </w:instrText>
        </w:r>
        <w:r w:rsidR="002E545D">
          <w:rPr>
            <w:noProof/>
            <w:webHidden/>
          </w:rPr>
        </w:r>
        <w:r w:rsidR="002E545D">
          <w:rPr>
            <w:noProof/>
            <w:webHidden/>
          </w:rPr>
          <w:fldChar w:fldCharType="separate"/>
        </w:r>
        <w:r w:rsidR="0067023A">
          <w:rPr>
            <w:noProof/>
            <w:webHidden/>
          </w:rPr>
          <w:t>73</w:t>
        </w:r>
        <w:r w:rsidR="002E545D">
          <w:rPr>
            <w:noProof/>
            <w:webHidden/>
          </w:rPr>
          <w:fldChar w:fldCharType="end"/>
        </w:r>
      </w:hyperlink>
    </w:p>
    <w:p w14:paraId="6D98E323"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80" w:history="1">
        <w:r w:rsidR="002E545D" w:rsidRPr="00DF54ED">
          <w:rPr>
            <w:rStyle w:val="Hyperlink"/>
            <w:rFonts w:eastAsiaTheme="majorEastAsia"/>
            <w:noProof/>
          </w:rPr>
          <w:t>Table 30: Frequency of Collecting and Responsible Persons for Refuse Removal (uMlalazi IWMP UNDER REVIEW)</w:t>
        </w:r>
        <w:r w:rsidR="002E545D">
          <w:rPr>
            <w:noProof/>
            <w:webHidden/>
          </w:rPr>
          <w:tab/>
        </w:r>
        <w:r w:rsidR="002E545D">
          <w:rPr>
            <w:noProof/>
            <w:webHidden/>
          </w:rPr>
          <w:fldChar w:fldCharType="begin"/>
        </w:r>
        <w:r w:rsidR="002E545D">
          <w:rPr>
            <w:noProof/>
            <w:webHidden/>
          </w:rPr>
          <w:instrText xml:space="preserve"> PAGEREF _Toc510622280 \h </w:instrText>
        </w:r>
        <w:r w:rsidR="002E545D">
          <w:rPr>
            <w:noProof/>
            <w:webHidden/>
          </w:rPr>
        </w:r>
        <w:r w:rsidR="002E545D">
          <w:rPr>
            <w:noProof/>
            <w:webHidden/>
          </w:rPr>
          <w:fldChar w:fldCharType="separate"/>
        </w:r>
        <w:r w:rsidR="0067023A">
          <w:rPr>
            <w:noProof/>
            <w:webHidden/>
          </w:rPr>
          <w:t>74</w:t>
        </w:r>
        <w:r w:rsidR="002E545D">
          <w:rPr>
            <w:noProof/>
            <w:webHidden/>
          </w:rPr>
          <w:fldChar w:fldCharType="end"/>
        </w:r>
      </w:hyperlink>
    </w:p>
    <w:p w14:paraId="1D4E9ACC"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81" w:history="1">
        <w:r w:rsidR="002E545D" w:rsidRPr="00DF54ED">
          <w:rPr>
            <w:rStyle w:val="Hyperlink"/>
            <w:rFonts w:eastAsiaTheme="majorEastAsia"/>
            <w:noProof/>
          </w:rPr>
          <w:t>Table 31: Rural Waste Removal Clusters</w:t>
        </w:r>
        <w:r w:rsidR="002E545D">
          <w:rPr>
            <w:noProof/>
            <w:webHidden/>
          </w:rPr>
          <w:tab/>
        </w:r>
        <w:r w:rsidR="002E545D">
          <w:rPr>
            <w:noProof/>
            <w:webHidden/>
          </w:rPr>
          <w:fldChar w:fldCharType="begin"/>
        </w:r>
        <w:r w:rsidR="002E545D">
          <w:rPr>
            <w:noProof/>
            <w:webHidden/>
          </w:rPr>
          <w:instrText xml:space="preserve"> PAGEREF _Toc510622281 \h </w:instrText>
        </w:r>
        <w:r w:rsidR="002E545D">
          <w:rPr>
            <w:noProof/>
            <w:webHidden/>
          </w:rPr>
        </w:r>
        <w:r w:rsidR="002E545D">
          <w:rPr>
            <w:noProof/>
            <w:webHidden/>
          </w:rPr>
          <w:fldChar w:fldCharType="separate"/>
        </w:r>
        <w:r w:rsidR="0067023A">
          <w:rPr>
            <w:noProof/>
            <w:webHidden/>
          </w:rPr>
          <w:t>75</w:t>
        </w:r>
        <w:r w:rsidR="002E545D">
          <w:rPr>
            <w:noProof/>
            <w:webHidden/>
          </w:rPr>
          <w:fldChar w:fldCharType="end"/>
        </w:r>
      </w:hyperlink>
    </w:p>
    <w:p w14:paraId="6B9538EE"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82" w:history="1">
        <w:r w:rsidR="002E545D" w:rsidRPr="00DF54ED">
          <w:rPr>
            <w:rStyle w:val="Hyperlink"/>
            <w:rFonts w:eastAsiaTheme="majorEastAsia"/>
            <w:noProof/>
          </w:rPr>
          <w:t>Table 32: Urban Roads Maintenance Plan</w:t>
        </w:r>
        <w:r w:rsidR="002E545D">
          <w:rPr>
            <w:noProof/>
            <w:webHidden/>
          </w:rPr>
          <w:tab/>
        </w:r>
        <w:r w:rsidR="002E545D">
          <w:rPr>
            <w:noProof/>
            <w:webHidden/>
          </w:rPr>
          <w:fldChar w:fldCharType="begin"/>
        </w:r>
        <w:r w:rsidR="002E545D">
          <w:rPr>
            <w:noProof/>
            <w:webHidden/>
          </w:rPr>
          <w:instrText xml:space="preserve"> PAGEREF _Toc510622282 \h </w:instrText>
        </w:r>
        <w:r w:rsidR="002E545D">
          <w:rPr>
            <w:noProof/>
            <w:webHidden/>
          </w:rPr>
        </w:r>
        <w:r w:rsidR="002E545D">
          <w:rPr>
            <w:noProof/>
            <w:webHidden/>
          </w:rPr>
          <w:fldChar w:fldCharType="separate"/>
        </w:r>
        <w:r w:rsidR="0067023A">
          <w:rPr>
            <w:noProof/>
            <w:webHidden/>
          </w:rPr>
          <w:t>80</w:t>
        </w:r>
        <w:r w:rsidR="002E545D">
          <w:rPr>
            <w:noProof/>
            <w:webHidden/>
          </w:rPr>
          <w:fldChar w:fldCharType="end"/>
        </w:r>
      </w:hyperlink>
    </w:p>
    <w:p w14:paraId="56B604D6"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83" w:history="1">
        <w:r w:rsidR="002E545D" w:rsidRPr="00DF54ED">
          <w:rPr>
            <w:rStyle w:val="Hyperlink"/>
            <w:rFonts w:eastAsiaTheme="majorEastAsia"/>
            <w:noProof/>
            <w:highlight w:val="yellow"/>
          </w:rPr>
          <w:t>Table 33: DoT Rural Roads Projects (2018/19)</w:t>
        </w:r>
        <w:r w:rsidR="002E545D">
          <w:rPr>
            <w:noProof/>
            <w:webHidden/>
          </w:rPr>
          <w:tab/>
        </w:r>
        <w:r w:rsidR="002E545D">
          <w:rPr>
            <w:noProof/>
            <w:webHidden/>
          </w:rPr>
          <w:fldChar w:fldCharType="begin"/>
        </w:r>
        <w:r w:rsidR="002E545D">
          <w:rPr>
            <w:noProof/>
            <w:webHidden/>
          </w:rPr>
          <w:instrText xml:space="preserve"> PAGEREF _Toc510622283 \h </w:instrText>
        </w:r>
        <w:r w:rsidR="002E545D">
          <w:rPr>
            <w:noProof/>
            <w:webHidden/>
          </w:rPr>
        </w:r>
        <w:r w:rsidR="002E545D">
          <w:rPr>
            <w:noProof/>
            <w:webHidden/>
          </w:rPr>
          <w:fldChar w:fldCharType="separate"/>
        </w:r>
        <w:r w:rsidR="0067023A">
          <w:rPr>
            <w:noProof/>
            <w:webHidden/>
          </w:rPr>
          <w:t>81</w:t>
        </w:r>
        <w:r w:rsidR="002E545D">
          <w:rPr>
            <w:noProof/>
            <w:webHidden/>
          </w:rPr>
          <w:fldChar w:fldCharType="end"/>
        </w:r>
      </w:hyperlink>
    </w:p>
    <w:p w14:paraId="1FE461AE"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84" w:history="1">
        <w:r w:rsidR="002E545D" w:rsidRPr="00DF54ED">
          <w:rPr>
            <w:rStyle w:val="Hyperlink"/>
            <w:rFonts w:eastAsiaTheme="majorEastAsia"/>
            <w:noProof/>
          </w:rPr>
          <w:t>Table 34: Electricity Usage – 2011 and 2016</w:t>
        </w:r>
        <w:r w:rsidR="002E545D">
          <w:rPr>
            <w:noProof/>
            <w:webHidden/>
          </w:rPr>
          <w:tab/>
        </w:r>
        <w:r w:rsidR="002E545D">
          <w:rPr>
            <w:noProof/>
            <w:webHidden/>
          </w:rPr>
          <w:fldChar w:fldCharType="begin"/>
        </w:r>
        <w:r w:rsidR="002E545D">
          <w:rPr>
            <w:noProof/>
            <w:webHidden/>
          </w:rPr>
          <w:instrText xml:space="preserve"> PAGEREF _Toc510622284 \h </w:instrText>
        </w:r>
        <w:r w:rsidR="002E545D">
          <w:rPr>
            <w:noProof/>
            <w:webHidden/>
          </w:rPr>
        </w:r>
        <w:r w:rsidR="002E545D">
          <w:rPr>
            <w:noProof/>
            <w:webHidden/>
          </w:rPr>
          <w:fldChar w:fldCharType="separate"/>
        </w:r>
        <w:r w:rsidR="0067023A">
          <w:rPr>
            <w:noProof/>
            <w:webHidden/>
          </w:rPr>
          <w:t>81</w:t>
        </w:r>
        <w:r w:rsidR="002E545D">
          <w:rPr>
            <w:noProof/>
            <w:webHidden/>
          </w:rPr>
          <w:fldChar w:fldCharType="end"/>
        </w:r>
      </w:hyperlink>
    </w:p>
    <w:p w14:paraId="1784252F"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85" w:history="1">
        <w:r w:rsidR="002E545D" w:rsidRPr="00DF54ED">
          <w:rPr>
            <w:rStyle w:val="Hyperlink"/>
            <w:rFonts w:eastAsiaTheme="majorEastAsia"/>
            <w:noProof/>
          </w:rPr>
          <w:t>Table 35: ESKOMs Infrastructure Plan</w:t>
        </w:r>
        <w:r w:rsidR="002E545D">
          <w:rPr>
            <w:noProof/>
            <w:webHidden/>
          </w:rPr>
          <w:tab/>
        </w:r>
        <w:r w:rsidR="002E545D">
          <w:rPr>
            <w:noProof/>
            <w:webHidden/>
          </w:rPr>
          <w:fldChar w:fldCharType="begin"/>
        </w:r>
        <w:r w:rsidR="002E545D">
          <w:rPr>
            <w:noProof/>
            <w:webHidden/>
          </w:rPr>
          <w:instrText xml:space="preserve"> PAGEREF _Toc510622285 \h </w:instrText>
        </w:r>
        <w:r w:rsidR="002E545D">
          <w:rPr>
            <w:noProof/>
            <w:webHidden/>
          </w:rPr>
        </w:r>
        <w:r w:rsidR="002E545D">
          <w:rPr>
            <w:noProof/>
            <w:webHidden/>
          </w:rPr>
          <w:fldChar w:fldCharType="separate"/>
        </w:r>
        <w:r w:rsidR="0067023A">
          <w:rPr>
            <w:noProof/>
            <w:webHidden/>
          </w:rPr>
          <w:t>82</w:t>
        </w:r>
        <w:r w:rsidR="002E545D">
          <w:rPr>
            <w:noProof/>
            <w:webHidden/>
          </w:rPr>
          <w:fldChar w:fldCharType="end"/>
        </w:r>
      </w:hyperlink>
    </w:p>
    <w:p w14:paraId="43932ECD"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86" w:history="1">
        <w:r w:rsidR="002E545D" w:rsidRPr="00DF54ED">
          <w:rPr>
            <w:rStyle w:val="Hyperlink"/>
            <w:rFonts w:eastAsiaTheme="majorEastAsia"/>
            <w:noProof/>
          </w:rPr>
          <w:t>Table 36: Progress of 2017/18 ESKOM Projects</w:t>
        </w:r>
        <w:r w:rsidR="002E545D">
          <w:rPr>
            <w:noProof/>
            <w:webHidden/>
          </w:rPr>
          <w:tab/>
        </w:r>
        <w:r w:rsidR="002E545D">
          <w:rPr>
            <w:noProof/>
            <w:webHidden/>
          </w:rPr>
          <w:fldChar w:fldCharType="begin"/>
        </w:r>
        <w:r w:rsidR="002E545D">
          <w:rPr>
            <w:noProof/>
            <w:webHidden/>
          </w:rPr>
          <w:instrText xml:space="preserve"> PAGEREF _Toc510622286 \h </w:instrText>
        </w:r>
        <w:r w:rsidR="002E545D">
          <w:rPr>
            <w:noProof/>
            <w:webHidden/>
          </w:rPr>
        </w:r>
        <w:r w:rsidR="002E545D">
          <w:rPr>
            <w:noProof/>
            <w:webHidden/>
          </w:rPr>
          <w:fldChar w:fldCharType="separate"/>
        </w:r>
        <w:r w:rsidR="0067023A">
          <w:rPr>
            <w:noProof/>
            <w:webHidden/>
          </w:rPr>
          <w:t>83</w:t>
        </w:r>
        <w:r w:rsidR="002E545D">
          <w:rPr>
            <w:noProof/>
            <w:webHidden/>
          </w:rPr>
          <w:fldChar w:fldCharType="end"/>
        </w:r>
      </w:hyperlink>
    </w:p>
    <w:p w14:paraId="00774731"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87" w:history="1">
        <w:r w:rsidR="002E545D" w:rsidRPr="00DF54ED">
          <w:rPr>
            <w:rStyle w:val="Hyperlink"/>
            <w:rFonts w:eastAsiaTheme="majorEastAsia"/>
            <w:noProof/>
          </w:rPr>
          <w:t>Table 37: Progress Scheduled 5B Municipal Projects</w:t>
        </w:r>
        <w:r w:rsidR="002E545D">
          <w:rPr>
            <w:noProof/>
            <w:webHidden/>
          </w:rPr>
          <w:tab/>
        </w:r>
        <w:r w:rsidR="002E545D">
          <w:rPr>
            <w:noProof/>
            <w:webHidden/>
          </w:rPr>
          <w:fldChar w:fldCharType="begin"/>
        </w:r>
        <w:r w:rsidR="002E545D">
          <w:rPr>
            <w:noProof/>
            <w:webHidden/>
          </w:rPr>
          <w:instrText xml:space="preserve"> PAGEREF _Toc510622287 \h </w:instrText>
        </w:r>
        <w:r w:rsidR="002E545D">
          <w:rPr>
            <w:noProof/>
            <w:webHidden/>
          </w:rPr>
        </w:r>
        <w:r w:rsidR="002E545D">
          <w:rPr>
            <w:noProof/>
            <w:webHidden/>
          </w:rPr>
          <w:fldChar w:fldCharType="separate"/>
        </w:r>
        <w:r w:rsidR="0067023A">
          <w:rPr>
            <w:noProof/>
            <w:webHidden/>
          </w:rPr>
          <w:t>83</w:t>
        </w:r>
        <w:r w:rsidR="002E545D">
          <w:rPr>
            <w:noProof/>
            <w:webHidden/>
          </w:rPr>
          <w:fldChar w:fldCharType="end"/>
        </w:r>
      </w:hyperlink>
    </w:p>
    <w:p w14:paraId="7AF2D8AC"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88" w:history="1">
        <w:r w:rsidR="002E545D" w:rsidRPr="00DF54ED">
          <w:rPr>
            <w:rStyle w:val="Hyperlink"/>
            <w:rFonts w:eastAsiaTheme="majorEastAsia"/>
            <w:noProof/>
          </w:rPr>
          <w:t>Table 38: Completed Electrification Projects</w:t>
        </w:r>
        <w:r w:rsidR="002E545D">
          <w:rPr>
            <w:noProof/>
            <w:webHidden/>
          </w:rPr>
          <w:tab/>
        </w:r>
        <w:r w:rsidR="002E545D">
          <w:rPr>
            <w:noProof/>
            <w:webHidden/>
          </w:rPr>
          <w:fldChar w:fldCharType="begin"/>
        </w:r>
        <w:r w:rsidR="002E545D">
          <w:rPr>
            <w:noProof/>
            <w:webHidden/>
          </w:rPr>
          <w:instrText xml:space="preserve"> PAGEREF _Toc510622288 \h </w:instrText>
        </w:r>
        <w:r w:rsidR="002E545D">
          <w:rPr>
            <w:noProof/>
            <w:webHidden/>
          </w:rPr>
        </w:r>
        <w:r w:rsidR="002E545D">
          <w:rPr>
            <w:noProof/>
            <w:webHidden/>
          </w:rPr>
          <w:fldChar w:fldCharType="separate"/>
        </w:r>
        <w:r w:rsidR="0067023A">
          <w:rPr>
            <w:noProof/>
            <w:webHidden/>
          </w:rPr>
          <w:t>83</w:t>
        </w:r>
        <w:r w:rsidR="002E545D">
          <w:rPr>
            <w:noProof/>
            <w:webHidden/>
          </w:rPr>
          <w:fldChar w:fldCharType="end"/>
        </w:r>
      </w:hyperlink>
    </w:p>
    <w:p w14:paraId="516F2F54"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89" w:history="1">
        <w:r w:rsidR="002E545D" w:rsidRPr="00DF54ED">
          <w:rPr>
            <w:rStyle w:val="Hyperlink"/>
            <w:rFonts w:eastAsiaTheme="majorEastAsia"/>
            <w:noProof/>
          </w:rPr>
          <w:t>Table 39: Eskom Network Constraints</w:t>
        </w:r>
        <w:r w:rsidR="002E545D">
          <w:rPr>
            <w:noProof/>
            <w:webHidden/>
          </w:rPr>
          <w:tab/>
        </w:r>
        <w:r w:rsidR="002E545D">
          <w:rPr>
            <w:noProof/>
            <w:webHidden/>
          </w:rPr>
          <w:fldChar w:fldCharType="begin"/>
        </w:r>
        <w:r w:rsidR="002E545D">
          <w:rPr>
            <w:noProof/>
            <w:webHidden/>
          </w:rPr>
          <w:instrText xml:space="preserve"> PAGEREF _Toc510622289 \h </w:instrText>
        </w:r>
        <w:r w:rsidR="002E545D">
          <w:rPr>
            <w:noProof/>
            <w:webHidden/>
          </w:rPr>
        </w:r>
        <w:r w:rsidR="002E545D">
          <w:rPr>
            <w:noProof/>
            <w:webHidden/>
          </w:rPr>
          <w:fldChar w:fldCharType="separate"/>
        </w:r>
        <w:r w:rsidR="0067023A">
          <w:rPr>
            <w:noProof/>
            <w:webHidden/>
          </w:rPr>
          <w:t>84</w:t>
        </w:r>
        <w:r w:rsidR="002E545D">
          <w:rPr>
            <w:noProof/>
            <w:webHidden/>
          </w:rPr>
          <w:fldChar w:fldCharType="end"/>
        </w:r>
      </w:hyperlink>
    </w:p>
    <w:p w14:paraId="31777DA9"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90" w:history="1">
        <w:r w:rsidR="002E545D" w:rsidRPr="00DF54ED">
          <w:rPr>
            <w:rStyle w:val="Hyperlink"/>
            <w:rFonts w:eastAsiaTheme="majorEastAsia"/>
            <w:noProof/>
          </w:rPr>
          <w:t>Table 40: Formal, Traditional and Informal Dwellings (2001 – 2016)</w:t>
        </w:r>
        <w:r w:rsidR="002E545D">
          <w:rPr>
            <w:noProof/>
            <w:webHidden/>
          </w:rPr>
          <w:tab/>
        </w:r>
        <w:r w:rsidR="002E545D">
          <w:rPr>
            <w:noProof/>
            <w:webHidden/>
          </w:rPr>
          <w:fldChar w:fldCharType="begin"/>
        </w:r>
        <w:r w:rsidR="002E545D">
          <w:rPr>
            <w:noProof/>
            <w:webHidden/>
          </w:rPr>
          <w:instrText xml:space="preserve"> PAGEREF _Toc510622290 \h </w:instrText>
        </w:r>
        <w:r w:rsidR="002E545D">
          <w:rPr>
            <w:noProof/>
            <w:webHidden/>
          </w:rPr>
        </w:r>
        <w:r w:rsidR="002E545D">
          <w:rPr>
            <w:noProof/>
            <w:webHidden/>
          </w:rPr>
          <w:fldChar w:fldCharType="separate"/>
        </w:r>
        <w:r w:rsidR="0067023A">
          <w:rPr>
            <w:noProof/>
            <w:webHidden/>
          </w:rPr>
          <w:t>90</w:t>
        </w:r>
        <w:r w:rsidR="002E545D">
          <w:rPr>
            <w:noProof/>
            <w:webHidden/>
          </w:rPr>
          <w:fldChar w:fldCharType="end"/>
        </w:r>
      </w:hyperlink>
    </w:p>
    <w:p w14:paraId="501C958F"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91" w:history="1">
        <w:r w:rsidR="002E545D" w:rsidRPr="00DF54ED">
          <w:rPr>
            <w:rStyle w:val="Hyperlink"/>
            <w:rFonts w:eastAsiaTheme="majorEastAsia"/>
            <w:noProof/>
          </w:rPr>
          <w:t>Table 41:  Housing Demand in Rural Areas (Draft HSP)</w:t>
        </w:r>
        <w:r w:rsidR="002E545D">
          <w:rPr>
            <w:noProof/>
            <w:webHidden/>
          </w:rPr>
          <w:tab/>
        </w:r>
        <w:r w:rsidR="002E545D">
          <w:rPr>
            <w:noProof/>
            <w:webHidden/>
          </w:rPr>
          <w:fldChar w:fldCharType="begin"/>
        </w:r>
        <w:r w:rsidR="002E545D">
          <w:rPr>
            <w:noProof/>
            <w:webHidden/>
          </w:rPr>
          <w:instrText xml:space="preserve"> PAGEREF _Toc510622291 \h </w:instrText>
        </w:r>
        <w:r w:rsidR="002E545D">
          <w:rPr>
            <w:noProof/>
            <w:webHidden/>
          </w:rPr>
        </w:r>
        <w:r w:rsidR="002E545D">
          <w:rPr>
            <w:noProof/>
            <w:webHidden/>
          </w:rPr>
          <w:fldChar w:fldCharType="separate"/>
        </w:r>
        <w:r w:rsidR="0067023A">
          <w:rPr>
            <w:noProof/>
            <w:webHidden/>
          </w:rPr>
          <w:t>91</w:t>
        </w:r>
        <w:r w:rsidR="002E545D">
          <w:rPr>
            <w:noProof/>
            <w:webHidden/>
          </w:rPr>
          <w:fldChar w:fldCharType="end"/>
        </w:r>
      </w:hyperlink>
    </w:p>
    <w:p w14:paraId="73A26EA1"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92" w:history="1">
        <w:r w:rsidR="002E545D" w:rsidRPr="00DF54ED">
          <w:rPr>
            <w:rStyle w:val="Hyperlink"/>
            <w:rFonts w:eastAsiaTheme="majorEastAsia"/>
            <w:noProof/>
          </w:rPr>
          <w:t>Table 42: Current Housing Projects</w:t>
        </w:r>
        <w:r w:rsidR="002E545D">
          <w:rPr>
            <w:noProof/>
            <w:webHidden/>
          </w:rPr>
          <w:tab/>
        </w:r>
        <w:r w:rsidR="002E545D">
          <w:rPr>
            <w:noProof/>
            <w:webHidden/>
          </w:rPr>
          <w:fldChar w:fldCharType="begin"/>
        </w:r>
        <w:r w:rsidR="002E545D">
          <w:rPr>
            <w:noProof/>
            <w:webHidden/>
          </w:rPr>
          <w:instrText xml:space="preserve"> PAGEREF _Toc510622292 \h </w:instrText>
        </w:r>
        <w:r w:rsidR="002E545D">
          <w:rPr>
            <w:noProof/>
            <w:webHidden/>
          </w:rPr>
        </w:r>
        <w:r w:rsidR="002E545D">
          <w:rPr>
            <w:noProof/>
            <w:webHidden/>
          </w:rPr>
          <w:fldChar w:fldCharType="separate"/>
        </w:r>
        <w:r w:rsidR="0067023A">
          <w:rPr>
            <w:noProof/>
            <w:webHidden/>
          </w:rPr>
          <w:t>92</w:t>
        </w:r>
        <w:r w:rsidR="002E545D">
          <w:rPr>
            <w:noProof/>
            <w:webHidden/>
          </w:rPr>
          <w:fldChar w:fldCharType="end"/>
        </w:r>
      </w:hyperlink>
    </w:p>
    <w:p w14:paraId="397B14F8"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93" w:history="1">
        <w:r w:rsidR="002E545D" w:rsidRPr="00DF54ED">
          <w:rPr>
            <w:rStyle w:val="Hyperlink"/>
            <w:rFonts w:eastAsiaTheme="majorEastAsia"/>
            <w:noProof/>
          </w:rPr>
          <w:t>Table 43: Planned Housing Projects in within the Municipal Area.</w:t>
        </w:r>
        <w:r w:rsidR="002E545D">
          <w:rPr>
            <w:noProof/>
            <w:webHidden/>
          </w:rPr>
          <w:tab/>
        </w:r>
        <w:r w:rsidR="002E545D">
          <w:rPr>
            <w:noProof/>
            <w:webHidden/>
          </w:rPr>
          <w:fldChar w:fldCharType="begin"/>
        </w:r>
        <w:r w:rsidR="002E545D">
          <w:rPr>
            <w:noProof/>
            <w:webHidden/>
          </w:rPr>
          <w:instrText xml:space="preserve"> PAGEREF _Toc510622293 \h </w:instrText>
        </w:r>
        <w:r w:rsidR="002E545D">
          <w:rPr>
            <w:noProof/>
            <w:webHidden/>
          </w:rPr>
        </w:r>
        <w:r w:rsidR="002E545D">
          <w:rPr>
            <w:noProof/>
            <w:webHidden/>
          </w:rPr>
          <w:fldChar w:fldCharType="separate"/>
        </w:r>
        <w:r w:rsidR="0067023A">
          <w:rPr>
            <w:noProof/>
            <w:webHidden/>
          </w:rPr>
          <w:t>93</w:t>
        </w:r>
        <w:r w:rsidR="002E545D">
          <w:rPr>
            <w:noProof/>
            <w:webHidden/>
          </w:rPr>
          <w:fldChar w:fldCharType="end"/>
        </w:r>
      </w:hyperlink>
    </w:p>
    <w:p w14:paraId="41E038F3"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94" w:history="1">
        <w:r w:rsidR="002E545D" w:rsidRPr="00DF54ED">
          <w:rPr>
            <w:rStyle w:val="Hyperlink"/>
            <w:rFonts w:eastAsiaTheme="majorEastAsia"/>
            <w:noProof/>
          </w:rPr>
          <w:t>Table 44: Delayed Projects</w:t>
        </w:r>
        <w:r w:rsidR="002E545D">
          <w:rPr>
            <w:noProof/>
            <w:webHidden/>
          </w:rPr>
          <w:tab/>
        </w:r>
        <w:r w:rsidR="002E545D">
          <w:rPr>
            <w:noProof/>
            <w:webHidden/>
          </w:rPr>
          <w:fldChar w:fldCharType="begin"/>
        </w:r>
        <w:r w:rsidR="002E545D">
          <w:rPr>
            <w:noProof/>
            <w:webHidden/>
          </w:rPr>
          <w:instrText xml:space="preserve"> PAGEREF _Toc510622294 \h </w:instrText>
        </w:r>
        <w:r w:rsidR="002E545D">
          <w:rPr>
            <w:noProof/>
            <w:webHidden/>
          </w:rPr>
        </w:r>
        <w:r w:rsidR="002E545D">
          <w:rPr>
            <w:noProof/>
            <w:webHidden/>
          </w:rPr>
          <w:fldChar w:fldCharType="separate"/>
        </w:r>
        <w:r w:rsidR="0067023A">
          <w:rPr>
            <w:noProof/>
            <w:webHidden/>
          </w:rPr>
          <w:t>93</w:t>
        </w:r>
        <w:r w:rsidR="002E545D">
          <w:rPr>
            <w:noProof/>
            <w:webHidden/>
          </w:rPr>
          <w:fldChar w:fldCharType="end"/>
        </w:r>
      </w:hyperlink>
    </w:p>
    <w:p w14:paraId="51F5875C"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95" w:history="1">
        <w:r w:rsidR="002E545D" w:rsidRPr="00DF54ED">
          <w:rPr>
            <w:rStyle w:val="Hyperlink"/>
            <w:rFonts w:eastAsiaTheme="majorEastAsia"/>
            <w:noProof/>
          </w:rPr>
          <w:t>Table 45: Water Backlogs</w:t>
        </w:r>
        <w:r w:rsidR="002E545D">
          <w:rPr>
            <w:noProof/>
            <w:webHidden/>
          </w:rPr>
          <w:tab/>
        </w:r>
        <w:r w:rsidR="002E545D">
          <w:rPr>
            <w:noProof/>
            <w:webHidden/>
          </w:rPr>
          <w:fldChar w:fldCharType="begin"/>
        </w:r>
        <w:r w:rsidR="002E545D">
          <w:rPr>
            <w:noProof/>
            <w:webHidden/>
          </w:rPr>
          <w:instrText xml:space="preserve"> PAGEREF _Toc510622295 \h </w:instrText>
        </w:r>
        <w:r w:rsidR="002E545D">
          <w:rPr>
            <w:noProof/>
            <w:webHidden/>
          </w:rPr>
        </w:r>
        <w:r w:rsidR="002E545D">
          <w:rPr>
            <w:noProof/>
            <w:webHidden/>
          </w:rPr>
          <w:fldChar w:fldCharType="separate"/>
        </w:r>
        <w:r w:rsidR="0067023A">
          <w:rPr>
            <w:noProof/>
            <w:webHidden/>
          </w:rPr>
          <w:t>94</w:t>
        </w:r>
        <w:r w:rsidR="002E545D">
          <w:rPr>
            <w:noProof/>
            <w:webHidden/>
          </w:rPr>
          <w:fldChar w:fldCharType="end"/>
        </w:r>
      </w:hyperlink>
    </w:p>
    <w:p w14:paraId="5356C065"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96" w:history="1">
        <w:r w:rsidR="002E545D" w:rsidRPr="00DF54ED">
          <w:rPr>
            <w:rStyle w:val="Hyperlink"/>
            <w:rFonts w:eastAsiaTheme="majorEastAsia"/>
            <w:noProof/>
          </w:rPr>
          <w:t>Table 46: Sanitation Backlogs</w:t>
        </w:r>
        <w:r w:rsidR="002E545D">
          <w:rPr>
            <w:noProof/>
            <w:webHidden/>
          </w:rPr>
          <w:tab/>
        </w:r>
        <w:r w:rsidR="002E545D">
          <w:rPr>
            <w:noProof/>
            <w:webHidden/>
          </w:rPr>
          <w:fldChar w:fldCharType="begin"/>
        </w:r>
        <w:r w:rsidR="002E545D">
          <w:rPr>
            <w:noProof/>
            <w:webHidden/>
          </w:rPr>
          <w:instrText xml:space="preserve"> PAGEREF _Toc510622296 \h </w:instrText>
        </w:r>
        <w:r w:rsidR="002E545D">
          <w:rPr>
            <w:noProof/>
            <w:webHidden/>
          </w:rPr>
        </w:r>
        <w:r w:rsidR="002E545D">
          <w:rPr>
            <w:noProof/>
            <w:webHidden/>
          </w:rPr>
          <w:fldChar w:fldCharType="separate"/>
        </w:r>
        <w:r w:rsidR="0067023A">
          <w:rPr>
            <w:noProof/>
            <w:webHidden/>
          </w:rPr>
          <w:t>94</w:t>
        </w:r>
        <w:r w:rsidR="002E545D">
          <w:rPr>
            <w:noProof/>
            <w:webHidden/>
          </w:rPr>
          <w:fldChar w:fldCharType="end"/>
        </w:r>
      </w:hyperlink>
    </w:p>
    <w:p w14:paraId="421FB2B7"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97" w:history="1">
        <w:r w:rsidR="002E545D" w:rsidRPr="00DF54ED">
          <w:rPr>
            <w:rStyle w:val="Hyperlink"/>
            <w:rFonts w:eastAsiaTheme="majorEastAsia"/>
            <w:noProof/>
          </w:rPr>
          <w:t xml:space="preserve">Table 47:  </w:t>
        </w:r>
        <w:r w:rsidR="002E545D" w:rsidRPr="00DF54ED">
          <w:rPr>
            <w:rStyle w:val="Hyperlink"/>
            <w:rFonts w:eastAsiaTheme="majorEastAsia"/>
            <w:noProof/>
            <w:lang w:val="en-ZA"/>
          </w:rPr>
          <w:t>Government Departments affected by Housing Developments</w:t>
        </w:r>
        <w:r w:rsidR="002E545D">
          <w:rPr>
            <w:noProof/>
            <w:webHidden/>
          </w:rPr>
          <w:tab/>
        </w:r>
        <w:r w:rsidR="002E545D">
          <w:rPr>
            <w:noProof/>
            <w:webHidden/>
          </w:rPr>
          <w:fldChar w:fldCharType="begin"/>
        </w:r>
        <w:r w:rsidR="002E545D">
          <w:rPr>
            <w:noProof/>
            <w:webHidden/>
          </w:rPr>
          <w:instrText xml:space="preserve"> PAGEREF _Toc510622297 \h </w:instrText>
        </w:r>
        <w:r w:rsidR="002E545D">
          <w:rPr>
            <w:noProof/>
            <w:webHidden/>
          </w:rPr>
        </w:r>
        <w:r w:rsidR="002E545D">
          <w:rPr>
            <w:noProof/>
            <w:webHidden/>
          </w:rPr>
          <w:fldChar w:fldCharType="separate"/>
        </w:r>
        <w:r w:rsidR="0067023A">
          <w:rPr>
            <w:noProof/>
            <w:webHidden/>
          </w:rPr>
          <w:t>95</w:t>
        </w:r>
        <w:r w:rsidR="002E545D">
          <w:rPr>
            <w:noProof/>
            <w:webHidden/>
          </w:rPr>
          <w:fldChar w:fldCharType="end"/>
        </w:r>
      </w:hyperlink>
    </w:p>
    <w:p w14:paraId="5517F005"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98" w:history="1">
        <w:r w:rsidR="002E545D" w:rsidRPr="00DF54ED">
          <w:rPr>
            <w:rStyle w:val="Hyperlink"/>
            <w:rFonts w:eastAsiaTheme="majorEastAsia"/>
            <w:noProof/>
          </w:rPr>
          <w:t>Table 48: Household Access to Telecommunications (2016)</w:t>
        </w:r>
        <w:r w:rsidR="002E545D">
          <w:rPr>
            <w:noProof/>
            <w:webHidden/>
          </w:rPr>
          <w:tab/>
        </w:r>
        <w:r w:rsidR="002E545D">
          <w:rPr>
            <w:noProof/>
            <w:webHidden/>
          </w:rPr>
          <w:fldChar w:fldCharType="begin"/>
        </w:r>
        <w:r w:rsidR="002E545D">
          <w:rPr>
            <w:noProof/>
            <w:webHidden/>
          </w:rPr>
          <w:instrText xml:space="preserve"> PAGEREF _Toc510622298 \h </w:instrText>
        </w:r>
        <w:r w:rsidR="002E545D">
          <w:rPr>
            <w:noProof/>
            <w:webHidden/>
          </w:rPr>
        </w:r>
        <w:r w:rsidR="002E545D">
          <w:rPr>
            <w:noProof/>
            <w:webHidden/>
          </w:rPr>
          <w:fldChar w:fldCharType="separate"/>
        </w:r>
        <w:r w:rsidR="0067023A">
          <w:rPr>
            <w:noProof/>
            <w:webHidden/>
          </w:rPr>
          <w:t>96</w:t>
        </w:r>
        <w:r w:rsidR="002E545D">
          <w:rPr>
            <w:noProof/>
            <w:webHidden/>
          </w:rPr>
          <w:fldChar w:fldCharType="end"/>
        </w:r>
      </w:hyperlink>
    </w:p>
    <w:p w14:paraId="125FCBFB"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299" w:history="1">
        <w:r w:rsidR="002E545D" w:rsidRPr="00DF54ED">
          <w:rPr>
            <w:rStyle w:val="Hyperlink"/>
            <w:rFonts w:eastAsiaTheme="majorEastAsia"/>
            <w:noProof/>
          </w:rPr>
          <w:t>Table 49: ICT SWOT Analysis</w:t>
        </w:r>
        <w:r w:rsidR="002E545D">
          <w:rPr>
            <w:noProof/>
            <w:webHidden/>
          </w:rPr>
          <w:tab/>
        </w:r>
        <w:r w:rsidR="002E545D">
          <w:rPr>
            <w:noProof/>
            <w:webHidden/>
          </w:rPr>
          <w:fldChar w:fldCharType="begin"/>
        </w:r>
        <w:r w:rsidR="002E545D">
          <w:rPr>
            <w:noProof/>
            <w:webHidden/>
          </w:rPr>
          <w:instrText xml:space="preserve"> PAGEREF _Toc510622299 \h </w:instrText>
        </w:r>
        <w:r w:rsidR="002E545D">
          <w:rPr>
            <w:noProof/>
            <w:webHidden/>
          </w:rPr>
        </w:r>
        <w:r w:rsidR="002E545D">
          <w:rPr>
            <w:noProof/>
            <w:webHidden/>
          </w:rPr>
          <w:fldChar w:fldCharType="separate"/>
        </w:r>
        <w:r w:rsidR="0067023A">
          <w:rPr>
            <w:noProof/>
            <w:webHidden/>
          </w:rPr>
          <w:t>96</w:t>
        </w:r>
        <w:r w:rsidR="002E545D">
          <w:rPr>
            <w:noProof/>
            <w:webHidden/>
          </w:rPr>
          <w:fldChar w:fldCharType="end"/>
        </w:r>
      </w:hyperlink>
    </w:p>
    <w:p w14:paraId="00211FB3"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00" w:history="1">
        <w:r w:rsidR="002E545D" w:rsidRPr="00DF54ED">
          <w:rPr>
            <w:rStyle w:val="Hyperlink"/>
            <w:rFonts w:eastAsiaTheme="majorEastAsia"/>
            <w:noProof/>
          </w:rPr>
          <w:t>Table 50: K</w:t>
        </w:r>
        <w:r w:rsidR="002E545D" w:rsidRPr="00DF54ED">
          <w:rPr>
            <w:rStyle w:val="Hyperlink"/>
            <w:rFonts w:eastAsia="Calibri"/>
            <w:noProof/>
          </w:rPr>
          <w:t>CDM Unemployment Rate</w:t>
        </w:r>
        <w:r w:rsidR="002E545D">
          <w:rPr>
            <w:noProof/>
            <w:webHidden/>
          </w:rPr>
          <w:tab/>
        </w:r>
        <w:r w:rsidR="002E545D">
          <w:rPr>
            <w:noProof/>
            <w:webHidden/>
          </w:rPr>
          <w:fldChar w:fldCharType="begin"/>
        </w:r>
        <w:r w:rsidR="002E545D">
          <w:rPr>
            <w:noProof/>
            <w:webHidden/>
          </w:rPr>
          <w:instrText xml:space="preserve"> PAGEREF _Toc510622300 \h </w:instrText>
        </w:r>
        <w:r w:rsidR="002E545D">
          <w:rPr>
            <w:noProof/>
            <w:webHidden/>
          </w:rPr>
        </w:r>
        <w:r w:rsidR="002E545D">
          <w:rPr>
            <w:noProof/>
            <w:webHidden/>
          </w:rPr>
          <w:fldChar w:fldCharType="separate"/>
        </w:r>
        <w:r w:rsidR="0067023A">
          <w:rPr>
            <w:noProof/>
            <w:webHidden/>
          </w:rPr>
          <w:t>98</w:t>
        </w:r>
        <w:r w:rsidR="002E545D">
          <w:rPr>
            <w:noProof/>
            <w:webHidden/>
          </w:rPr>
          <w:fldChar w:fldCharType="end"/>
        </w:r>
      </w:hyperlink>
    </w:p>
    <w:p w14:paraId="11C9BC65"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01" w:history="1">
        <w:r w:rsidR="002E545D" w:rsidRPr="00DF54ED">
          <w:rPr>
            <w:rStyle w:val="Hyperlink"/>
            <w:rFonts w:eastAsiaTheme="majorEastAsia"/>
            <w:noProof/>
          </w:rPr>
          <w:t>Table 51: KDCM Percentage Contribution by Sector</w:t>
        </w:r>
        <w:r w:rsidR="002E545D">
          <w:rPr>
            <w:noProof/>
            <w:webHidden/>
          </w:rPr>
          <w:tab/>
        </w:r>
        <w:r w:rsidR="002E545D">
          <w:rPr>
            <w:noProof/>
            <w:webHidden/>
          </w:rPr>
          <w:fldChar w:fldCharType="begin"/>
        </w:r>
        <w:r w:rsidR="002E545D">
          <w:rPr>
            <w:noProof/>
            <w:webHidden/>
          </w:rPr>
          <w:instrText xml:space="preserve"> PAGEREF _Toc510622301 \h </w:instrText>
        </w:r>
        <w:r w:rsidR="002E545D">
          <w:rPr>
            <w:noProof/>
            <w:webHidden/>
          </w:rPr>
        </w:r>
        <w:r w:rsidR="002E545D">
          <w:rPr>
            <w:noProof/>
            <w:webHidden/>
          </w:rPr>
          <w:fldChar w:fldCharType="separate"/>
        </w:r>
        <w:r w:rsidR="0067023A">
          <w:rPr>
            <w:noProof/>
            <w:webHidden/>
          </w:rPr>
          <w:t>100</w:t>
        </w:r>
        <w:r w:rsidR="002E545D">
          <w:rPr>
            <w:noProof/>
            <w:webHidden/>
          </w:rPr>
          <w:fldChar w:fldCharType="end"/>
        </w:r>
      </w:hyperlink>
    </w:p>
    <w:p w14:paraId="034D222C"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02" w:history="1">
        <w:r w:rsidR="002E545D" w:rsidRPr="00DF54ED">
          <w:rPr>
            <w:rStyle w:val="Hyperlink"/>
            <w:rFonts w:eastAsiaTheme="majorEastAsia"/>
            <w:noProof/>
          </w:rPr>
          <w:t>Table 52:  Average Annual Household Income in the King Cetshwayo District</w:t>
        </w:r>
        <w:r w:rsidR="002E545D">
          <w:rPr>
            <w:noProof/>
            <w:webHidden/>
          </w:rPr>
          <w:tab/>
        </w:r>
        <w:r w:rsidR="002E545D">
          <w:rPr>
            <w:noProof/>
            <w:webHidden/>
          </w:rPr>
          <w:fldChar w:fldCharType="begin"/>
        </w:r>
        <w:r w:rsidR="002E545D">
          <w:rPr>
            <w:noProof/>
            <w:webHidden/>
          </w:rPr>
          <w:instrText xml:space="preserve"> PAGEREF _Toc510622302 \h </w:instrText>
        </w:r>
        <w:r w:rsidR="002E545D">
          <w:rPr>
            <w:noProof/>
            <w:webHidden/>
          </w:rPr>
        </w:r>
        <w:r w:rsidR="002E545D">
          <w:rPr>
            <w:noProof/>
            <w:webHidden/>
          </w:rPr>
          <w:fldChar w:fldCharType="separate"/>
        </w:r>
        <w:r w:rsidR="0067023A">
          <w:rPr>
            <w:noProof/>
            <w:webHidden/>
          </w:rPr>
          <w:t>100</w:t>
        </w:r>
        <w:r w:rsidR="002E545D">
          <w:rPr>
            <w:noProof/>
            <w:webHidden/>
          </w:rPr>
          <w:fldChar w:fldCharType="end"/>
        </w:r>
      </w:hyperlink>
    </w:p>
    <w:p w14:paraId="4124ABA9"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03" w:history="1">
        <w:r w:rsidR="002E545D" w:rsidRPr="00DF54ED">
          <w:rPr>
            <w:rStyle w:val="Hyperlink"/>
            <w:rFonts w:eastAsiaTheme="majorEastAsia"/>
            <w:noProof/>
          </w:rPr>
          <w:t>Table 53: Municipal Programs/Projects for Informal Traders</w:t>
        </w:r>
        <w:r w:rsidR="002E545D">
          <w:rPr>
            <w:noProof/>
            <w:webHidden/>
          </w:rPr>
          <w:tab/>
        </w:r>
        <w:r w:rsidR="002E545D">
          <w:rPr>
            <w:noProof/>
            <w:webHidden/>
          </w:rPr>
          <w:fldChar w:fldCharType="begin"/>
        </w:r>
        <w:r w:rsidR="002E545D">
          <w:rPr>
            <w:noProof/>
            <w:webHidden/>
          </w:rPr>
          <w:instrText xml:space="preserve"> PAGEREF _Toc510622303 \h </w:instrText>
        </w:r>
        <w:r w:rsidR="002E545D">
          <w:rPr>
            <w:noProof/>
            <w:webHidden/>
          </w:rPr>
        </w:r>
        <w:r w:rsidR="002E545D">
          <w:rPr>
            <w:noProof/>
            <w:webHidden/>
          </w:rPr>
          <w:fldChar w:fldCharType="separate"/>
        </w:r>
        <w:r w:rsidR="0067023A">
          <w:rPr>
            <w:noProof/>
            <w:webHidden/>
          </w:rPr>
          <w:t>105</w:t>
        </w:r>
        <w:r w:rsidR="002E545D">
          <w:rPr>
            <w:noProof/>
            <w:webHidden/>
          </w:rPr>
          <w:fldChar w:fldCharType="end"/>
        </w:r>
      </w:hyperlink>
    </w:p>
    <w:p w14:paraId="36DA4ED7"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04" w:history="1">
        <w:r w:rsidR="002E545D" w:rsidRPr="00DF54ED">
          <w:rPr>
            <w:rStyle w:val="Hyperlink"/>
            <w:rFonts w:eastAsiaTheme="majorEastAsia"/>
            <w:noProof/>
          </w:rPr>
          <w:t>Table 54: Informal Traders Database</w:t>
        </w:r>
        <w:r w:rsidR="002E545D">
          <w:rPr>
            <w:noProof/>
            <w:webHidden/>
          </w:rPr>
          <w:tab/>
        </w:r>
        <w:r w:rsidR="002E545D">
          <w:rPr>
            <w:noProof/>
            <w:webHidden/>
          </w:rPr>
          <w:fldChar w:fldCharType="begin"/>
        </w:r>
        <w:r w:rsidR="002E545D">
          <w:rPr>
            <w:noProof/>
            <w:webHidden/>
          </w:rPr>
          <w:instrText xml:space="preserve"> PAGEREF _Toc510622304 \h </w:instrText>
        </w:r>
        <w:r w:rsidR="002E545D">
          <w:rPr>
            <w:noProof/>
            <w:webHidden/>
          </w:rPr>
        </w:r>
        <w:r w:rsidR="002E545D">
          <w:rPr>
            <w:noProof/>
            <w:webHidden/>
          </w:rPr>
          <w:fldChar w:fldCharType="separate"/>
        </w:r>
        <w:r w:rsidR="0067023A">
          <w:rPr>
            <w:noProof/>
            <w:webHidden/>
          </w:rPr>
          <w:t>106</w:t>
        </w:r>
        <w:r w:rsidR="002E545D">
          <w:rPr>
            <w:noProof/>
            <w:webHidden/>
          </w:rPr>
          <w:fldChar w:fldCharType="end"/>
        </w:r>
      </w:hyperlink>
    </w:p>
    <w:p w14:paraId="700F65FE"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05" w:history="1">
        <w:r w:rsidR="002E545D" w:rsidRPr="00DF54ED">
          <w:rPr>
            <w:rStyle w:val="Hyperlink"/>
            <w:rFonts w:eastAsiaTheme="majorEastAsia"/>
            <w:noProof/>
          </w:rPr>
          <w:t>Table 55: Economic Contribution for Agriculture</w:t>
        </w:r>
        <w:r w:rsidR="002E545D">
          <w:rPr>
            <w:noProof/>
            <w:webHidden/>
          </w:rPr>
          <w:tab/>
        </w:r>
        <w:r w:rsidR="002E545D">
          <w:rPr>
            <w:noProof/>
            <w:webHidden/>
          </w:rPr>
          <w:fldChar w:fldCharType="begin"/>
        </w:r>
        <w:r w:rsidR="002E545D">
          <w:rPr>
            <w:noProof/>
            <w:webHidden/>
          </w:rPr>
          <w:instrText xml:space="preserve"> PAGEREF _Toc510622305 \h </w:instrText>
        </w:r>
        <w:r w:rsidR="002E545D">
          <w:rPr>
            <w:noProof/>
            <w:webHidden/>
          </w:rPr>
        </w:r>
        <w:r w:rsidR="002E545D">
          <w:rPr>
            <w:noProof/>
            <w:webHidden/>
          </w:rPr>
          <w:fldChar w:fldCharType="separate"/>
        </w:r>
        <w:r w:rsidR="0067023A">
          <w:rPr>
            <w:noProof/>
            <w:webHidden/>
          </w:rPr>
          <w:t>107</w:t>
        </w:r>
        <w:r w:rsidR="002E545D">
          <w:rPr>
            <w:noProof/>
            <w:webHidden/>
          </w:rPr>
          <w:fldChar w:fldCharType="end"/>
        </w:r>
      </w:hyperlink>
    </w:p>
    <w:p w14:paraId="19C8C3F3"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06" w:history="1">
        <w:r w:rsidR="002E545D" w:rsidRPr="00DF54ED">
          <w:rPr>
            <w:rStyle w:val="Hyperlink"/>
            <w:rFonts w:eastAsiaTheme="majorEastAsia"/>
            <w:noProof/>
          </w:rPr>
          <w:t>Table 56: Department of Agriculture Projects for 2018/19</w:t>
        </w:r>
        <w:r w:rsidR="002E545D">
          <w:rPr>
            <w:noProof/>
            <w:webHidden/>
          </w:rPr>
          <w:tab/>
        </w:r>
        <w:r w:rsidR="002E545D">
          <w:rPr>
            <w:noProof/>
            <w:webHidden/>
          </w:rPr>
          <w:fldChar w:fldCharType="begin"/>
        </w:r>
        <w:r w:rsidR="002E545D">
          <w:rPr>
            <w:noProof/>
            <w:webHidden/>
          </w:rPr>
          <w:instrText xml:space="preserve"> PAGEREF _Toc510622306 \h </w:instrText>
        </w:r>
        <w:r w:rsidR="002E545D">
          <w:rPr>
            <w:noProof/>
            <w:webHidden/>
          </w:rPr>
        </w:r>
        <w:r w:rsidR="002E545D">
          <w:rPr>
            <w:noProof/>
            <w:webHidden/>
          </w:rPr>
          <w:fldChar w:fldCharType="separate"/>
        </w:r>
        <w:r w:rsidR="0067023A">
          <w:rPr>
            <w:noProof/>
            <w:webHidden/>
          </w:rPr>
          <w:t>109</w:t>
        </w:r>
        <w:r w:rsidR="002E545D">
          <w:rPr>
            <w:noProof/>
            <w:webHidden/>
          </w:rPr>
          <w:fldChar w:fldCharType="end"/>
        </w:r>
      </w:hyperlink>
    </w:p>
    <w:p w14:paraId="461212B9"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07" w:history="1">
        <w:r w:rsidR="002E545D" w:rsidRPr="00DF54ED">
          <w:rPr>
            <w:rStyle w:val="Hyperlink"/>
            <w:rFonts w:eastAsiaTheme="majorEastAsia"/>
            <w:noProof/>
          </w:rPr>
          <w:t>Table 57: uMlalazi LM – Catering and Accommodation Sector Employment and GVA</w:t>
        </w:r>
        <w:r w:rsidR="002E545D">
          <w:rPr>
            <w:noProof/>
            <w:webHidden/>
          </w:rPr>
          <w:tab/>
        </w:r>
        <w:r w:rsidR="002E545D">
          <w:rPr>
            <w:noProof/>
            <w:webHidden/>
          </w:rPr>
          <w:fldChar w:fldCharType="begin"/>
        </w:r>
        <w:r w:rsidR="002E545D">
          <w:rPr>
            <w:noProof/>
            <w:webHidden/>
          </w:rPr>
          <w:instrText xml:space="preserve"> PAGEREF _Toc510622307 \h </w:instrText>
        </w:r>
        <w:r w:rsidR="002E545D">
          <w:rPr>
            <w:noProof/>
            <w:webHidden/>
          </w:rPr>
        </w:r>
        <w:r w:rsidR="002E545D">
          <w:rPr>
            <w:noProof/>
            <w:webHidden/>
          </w:rPr>
          <w:fldChar w:fldCharType="separate"/>
        </w:r>
        <w:r w:rsidR="0067023A">
          <w:rPr>
            <w:noProof/>
            <w:webHidden/>
          </w:rPr>
          <w:t>110</w:t>
        </w:r>
        <w:r w:rsidR="002E545D">
          <w:rPr>
            <w:noProof/>
            <w:webHidden/>
          </w:rPr>
          <w:fldChar w:fldCharType="end"/>
        </w:r>
      </w:hyperlink>
    </w:p>
    <w:p w14:paraId="3E652E0E"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08" w:history="1">
        <w:r w:rsidR="002E545D" w:rsidRPr="00DF54ED">
          <w:rPr>
            <w:rStyle w:val="Hyperlink"/>
            <w:rFonts w:eastAsiaTheme="majorEastAsia"/>
            <w:noProof/>
          </w:rPr>
          <w:t>Table 58: Economic Contribution for Manufacturing (Source: Quantec 2012)</w:t>
        </w:r>
        <w:r w:rsidR="002E545D">
          <w:rPr>
            <w:noProof/>
            <w:webHidden/>
          </w:rPr>
          <w:tab/>
        </w:r>
        <w:r w:rsidR="002E545D">
          <w:rPr>
            <w:noProof/>
            <w:webHidden/>
          </w:rPr>
          <w:fldChar w:fldCharType="begin"/>
        </w:r>
        <w:r w:rsidR="002E545D">
          <w:rPr>
            <w:noProof/>
            <w:webHidden/>
          </w:rPr>
          <w:instrText xml:space="preserve"> PAGEREF _Toc510622308 \h </w:instrText>
        </w:r>
        <w:r w:rsidR="002E545D">
          <w:rPr>
            <w:noProof/>
            <w:webHidden/>
          </w:rPr>
        </w:r>
        <w:r w:rsidR="002E545D">
          <w:rPr>
            <w:noProof/>
            <w:webHidden/>
          </w:rPr>
          <w:fldChar w:fldCharType="separate"/>
        </w:r>
        <w:r w:rsidR="0067023A">
          <w:rPr>
            <w:noProof/>
            <w:webHidden/>
          </w:rPr>
          <w:t>111</w:t>
        </w:r>
        <w:r w:rsidR="002E545D">
          <w:rPr>
            <w:noProof/>
            <w:webHidden/>
          </w:rPr>
          <w:fldChar w:fldCharType="end"/>
        </w:r>
      </w:hyperlink>
    </w:p>
    <w:p w14:paraId="4AA4A9AD"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09" w:history="1">
        <w:r w:rsidR="002E545D" w:rsidRPr="00DF54ED">
          <w:rPr>
            <w:rStyle w:val="Hyperlink"/>
            <w:rFonts w:eastAsiaTheme="majorEastAsia"/>
            <w:noProof/>
          </w:rPr>
          <w:t>Table 59: Business services sector employment and GVA (Quantec 2012)</w:t>
        </w:r>
        <w:r w:rsidR="002E545D">
          <w:rPr>
            <w:noProof/>
            <w:webHidden/>
          </w:rPr>
          <w:tab/>
        </w:r>
        <w:r w:rsidR="002E545D">
          <w:rPr>
            <w:noProof/>
            <w:webHidden/>
          </w:rPr>
          <w:fldChar w:fldCharType="begin"/>
        </w:r>
        <w:r w:rsidR="002E545D">
          <w:rPr>
            <w:noProof/>
            <w:webHidden/>
          </w:rPr>
          <w:instrText xml:space="preserve"> PAGEREF _Toc510622309 \h </w:instrText>
        </w:r>
        <w:r w:rsidR="002E545D">
          <w:rPr>
            <w:noProof/>
            <w:webHidden/>
          </w:rPr>
        </w:r>
        <w:r w:rsidR="002E545D">
          <w:rPr>
            <w:noProof/>
            <w:webHidden/>
          </w:rPr>
          <w:fldChar w:fldCharType="separate"/>
        </w:r>
        <w:r w:rsidR="0067023A">
          <w:rPr>
            <w:noProof/>
            <w:webHidden/>
          </w:rPr>
          <w:t>112</w:t>
        </w:r>
        <w:r w:rsidR="002E545D">
          <w:rPr>
            <w:noProof/>
            <w:webHidden/>
          </w:rPr>
          <w:fldChar w:fldCharType="end"/>
        </w:r>
      </w:hyperlink>
    </w:p>
    <w:p w14:paraId="2A0E1C7A"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10" w:history="1">
        <w:r w:rsidR="002E545D" w:rsidRPr="00DF54ED">
          <w:rPr>
            <w:rStyle w:val="Hyperlink"/>
            <w:rFonts w:eastAsiaTheme="majorEastAsia"/>
            <w:noProof/>
          </w:rPr>
          <w:t>Table 60: Collaborative Agreements</w:t>
        </w:r>
        <w:r w:rsidR="002E545D">
          <w:rPr>
            <w:noProof/>
            <w:webHidden/>
          </w:rPr>
          <w:tab/>
        </w:r>
        <w:r w:rsidR="002E545D">
          <w:rPr>
            <w:noProof/>
            <w:webHidden/>
          </w:rPr>
          <w:fldChar w:fldCharType="begin"/>
        </w:r>
        <w:r w:rsidR="002E545D">
          <w:rPr>
            <w:noProof/>
            <w:webHidden/>
          </w:rPr>
          <w:instrText xml:space="preserve"> PAGEREF _Toc510622310 \h </w:instrText>
        </w:r>
        <w:r w:rsidR="002E545D">
          <w:rPr>
            <w:noProof/>
            <w:webHidden/>
          </w:rPr>
        </w:r>
        <w:r w:rsidR="002E545D">
          <w:rPr>
            <w:noProof/>
            <w:webHidden/>
          </w:rPr>
          <w:fldChar w:fldCharType="separate"/>
        </w:r>
        <w:r w:rsidR="0067023A">
          <w:rPr>
            <w:noProof/>
            <w:webHidden/>
          </w:rPr>
          <w:t>113</w:t>
        </w:r>
        <w:r w:rsidR="002E545D">
          <w:rPr>
            <w:noProof/>
            <w:webHidden/>
          </w:rPr>
          <w:fldChar w:fldCharType="end"/>
        </w:r>
      </w:hyperlink>
    </w:p>
    <w:p w14:paraId="7A674ADC"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11" w:history="1">
        <w:r w:rsidR="002E545D" w:rsidRPr="00DF54ED">
          <w:rPr>
            <w:rStyle w:val="Hyperlink"/>
            <w:rFonts w:eastAsiaTheme="majorEastAsia"/>
            <w:noProof/>
          </w:rPr>
          <w:t>Table 61: Top 5 Priority Infrastructure Needs by Wards</w:t>
        </w:r>
        <w:r w:rsidR="002E545D">
          <w:rPr>
            <w:noProof/>
            <w:webHidden/>
          </w:rPr>
          <w:tab/>
        </w:r>
        <w:r w:rsidR="002E545D">
          <w:rPr>
            <w:noProof/>
            <w:webHidden/>
          </w:rPr>
          <w:fldChar w:fldCharType="begin"/>
        </w:r>
        <w:r w:rsidR="002E545D">
          <w:rPr>
            <w:noProof/>
            <w:webHidden/>
          </w:rPr>
          <w:instrText xml:space="preserve"> PAGEREF _Toc510622311 \h </w:instrText>
        </w:r>
        <w:r w:rsidR="002E545D">
          <w:rPr>
            <w:noProof/>
            <w:webHidden/>
          </w:rPr>
        </w:r>
        <w:r w:rsidR="002E545D">
          <w:rPr>
            <w:noProof/>
            <w:webHidden/>
          </w:rPr>
          <w:fldChar w:fldCharType="separate"/>
        </w:r>
        <w:r w:rsidR="0067023A">
          <w:rPr>
            <w:noProof/>
            <w:webHidden/>
          </w:rPr>
          <w:t>115</w:t>
        </w:r>
        <w:r w:rsidR="002E545D">
          <w:rPr>
            <w:noProof/>
            <w:webHidden/>
          </w:rPr>
          <w:fldChar w:fldCharType="end"/>
        </w:r>
      </w:hyperlink>
    </w:p>
    <w:p w14:paraId="67AFD241"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12" w:history="1">
        <w:r w:rsidR="002E545D" w:rsidRPr="00DF54ED">
          <w:rPr>
            <w:rStyle w:val="Hyperlink"/>
            <w:rFonts w:eastAsiaTheme="majorEastAsia"/>
            <w:noProof/>
          </w:rPr>
          <w:t>Table 62: Disability Structures</w:t>
        </w:r>
        <w:r w:rsidR="002E545D">
          <w:rPr>
            <w:noProof/>
            <w:webHidden/>
          </w:rPr>
          <w:tab/>
        </w:r>
        <w:r w:rsidR="002E545D">
          <w:rPr>
            <w:noProof/>
            <w:webHidden/>
          </w:rPr>
          <w:fldChar w:fldCharType="begin"/>
        </w:r>
        <w:r w:rsidR="002E545D">
          <w:rPr>
            <w:noProof/>
            <w:webHidden/>
          </w:rPr>
          <w:instrText xml:space="preserve"> PAGEREF _Toc510622312 \h </w:instrText>
        </w:r>
        <w:r w:rsidR="002E545D">
          <w:rPr>
            <w:noProof/>
            <w:webHidden/>
          </w:rPr>
        </w:r>
        <w:r w:rsidR="002E545D">
          <w:rPr>
            <w:noProof/>
            <w:webHidden/>
          </w:rPr>
          <w:fldChar w:fldCharType="separate"/>
        </w:r>
        <w:r w:rsidR="0067023A">
          <w:rPr>
            <w:noProof/>
            <w:webHidden/>
          </w:rPr>
          <w:t>118</w:t>
        </w:r>
        <w:r w:rsidR="002E545D">
          <w:rPr>
            <w:noProof/>
            <w:webHidden/>
          </w:rPr>
          <w:fldChar w:fldCharType="end"/>
        </w:r>
      </w:hyperlink>
    </w:p>
    <w:p w14:paraId="5F21FD06"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13" w:history="1">
        <w:r w:rsidR="002E545D" w:rsidRPr="00DF54ED">
          <w:rPr>
            <w:rStyle w:val="Hyperlink"/>
            <w:rFonts w:eastAsiaTheme="majorEastAsia"/>
            <w:noProof/>
          </w:rPr>
          <w:t>Table 63: King Cetshwayo Major Causes of Death (StatsSA 2011)</w:t>
        </w:r>
        <w:r w:rsidR="002E545D">
          <w:rPr>
            <w:noProof/>
            <w:webHidden/>
          </w:rPr>
          <w:tab/>
        </w:r>
        <w:r w:rsidR="002E545D">
          <w:rPr>
            <w:noProof/>
            <w:webHidden/>
          </w:rPr>
          <w:fldChar w:fldCharType="begin"/>
        </w:r>
        <w:r w:rsidR="002E545D">
          <w:rPr>
            <w:noProof/>
            <w:webHidden/>
          </w:rPr>
          <w:instrText xml:space="preserve"> PAGEREF _Toc510622313 \h </w:instrText>
        </w:r>
        <w:r w:rsidR="002E545D">
          <w:rPr>
            <w:noProof/>
            <w:webHidden/>
          </w:rPr>
        </w:r>
        <w:r w:rsidR="002E545D">
          <w:rPr>
            <w:noProof/>
            <w:webHidden/>
          </w:rPr>
          <w:fldChar w:fldCharType="separate"/>
        </w:r>
        <w:r w:rsidR="0067023A">
          <w:rPr>
            <w:noProof/>
            <w:webHidden/>
          </w:rPr>
          <w:t>121</w:t>
        </w:r>
        <w:r w:rsidR="002E545D">
          <w:rPr>
            <w:noProof/>
            <w:webHidden/>
          </w:rPr>
          <w:fldChar w:fldCharType="end"/>
        </w:r>
      </w:hyperlink>
    </w:p>
    <w:p w14:paraId="35F4C139"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14" w:history="1">
        <w:r w:rsidR="002E545D" w:rsidRPr="00DF54ED">
          <w:rPr>
            <w:rStyle w:val="Hyperlink"/>
            <w:rFonts w:eastAsiaTheme="majorEastAsia"/>
            <w:noProof/>
          </w:rPr>
          <w:t>Table 64: HIV Prevalence in KCDM (Global Insights 2015)</w:t>
        </w:r>
        <w:r w:rsidR="002E545D">
          <w:rPr>
            <w:noProof/>
            <w:webHidden/>
          </w:rPr>
          <w:tab/>
        </w:r>
        <w:r w:rsidR="002E545D">
          <w:rPr>
            <w:noProof/>
            <w:webHidden/>
          </w:rPr>
          <w:fldChar w:fldCharType="begin"/>
        </w:r>
        <w:r w:rsidR="002E545D">
          <w:rPr>
            <w:noProof/>
            <w:webHidden/>
          </w:rPr>
          <w:instrText xml:space="preserve"> PAGEREF _Toc510622314 \h </w:instrText>
        </w:r>
        <w:r w:rsidR="002E545D">
          <w:rPr>
            <w:noProof/>
            <w:webHidden/>
          </w:rPr>
        </w:r>
        <w:r w:rsidR="002E545D">
          <w:rPr>
            <w:noProof/>
            <w:webHidden/>
          </w:rPr>
          <w:fldChar w:fldCharType="separate"/>
        </w:r>
        <w:r w:rsidR="0067023A">
          <w:rPr>
            <w:noProof/>
            <w:webHidden/>
          </w:rPr>
          <w:t>122</w:t>
        </w:r>
        <w:r w:rsidR="002E545D">
          <w:rPr>
            <w:noProof/>
            <w:webHidden/>
          </w:rPr>
          <w:fldChar w:fldCharType="end"/>
        </w:r>
      </w:hyperlink>
    </w:p>
    <w:p w14:paraId="09A56CB8"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15" w:history="1">
        <w:r w:rsidR="002E545D" w:rsidRPr="00DF54ED">
          <w:rPr>
            <w:rStyle w:val="Hyperlink"/>
            <w:rFonts w:eastAsiaTheme="majorEastAsia" w:cs="Calibri"/>
            <w:bCs/>
            <w:noProof/>
          </w:rPr>
          <w:t>Table 65: School Attendance (2016)</w:t>
        </w:r>
        <w:r w:rsidR="002E545D">
          <w:rPr>
            <w:noProof/>
            <w:webHidden/>
          </w:rPr>
          <w:tab/>
        </w:r>
        <w:r w:rsidR="002E545D">
          <w:rPr>
            <w:noProof/>
            <w:webHidden/>
          </w:rPr>
          <w:fldChar w:fldCharType="begin"/>
        </w:r>
        <w:r w:rsidR="002E545D">
          <w:rPr>
            <w:noProof/>
            <w:webHidden/>
          </w:rPr>
          <w:instrText xml:space="preserve"> PAGEREF _Toc510622315 \h </w:instrText>
        </w:r>
        <w:r w:rsidR="002E545D">
          <w:rPr>
            <w:noProof/>
            <w:webHidden/>
          </w:rPr>
        </w:r>
        <w:r w:rsidR="002E545D">
          <w:rPr>
            <w:noProof/>
            <w:webHidden/>
          </w:rPr>
          <w:fldChar w:fldCharType="separate"/>
        </w:r>
        <w:r w:rsidR="0067023A">
          <w:rPr>
            <w:noProof/>
            <w:webHidden/>
          </w:rPr>
          <w:t>124</w:t>
        </w:r>
        <w:r w:rsidR="002E545D">
          <w:rPr>
            <w:noProof/>
            <w:webHidden/>
          </w:rPr>
          <w:fldChar w:fldCharType="end"/>
        </w:r>
      </w:hyperlink>
    </w:p>
    <w:p w14:paraId="2A488D7C"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16" w:history="1">
        <w:r w:rsidR="002E545D" w:rsidRPr="00DF54ED">
          <w:rPr>
            <w:rStyle w:val="Hyperlink"/>
            <w:rFonts w:eastAsiaTheme="majorEastAsia"/>
            <w:noProof/>
          </w:rPr>
          <w:t>Table 66: Highest Education Level (CS 2016)</w:t>
        </w:r>
        <w:r w:rsidR="002E545D">
          <w:rPr>
            <w:noProof/>
            <w:webHidden/>
          </w:rPr>
          <w:tab/>
        </w:r>
        <w:r w:rsidR="002E545D">
          <w:rPr>
            <w:noProof/>
            <w:webHidden/>
          </w:rPr>
          <w:fldChar w:fldCharType="begin"/>
        </w:r>
        <w:r w:rsidR="002E545D">
          <w:rPr>
            <w:noProof/>
            <w:webHidden/>
          </w:rPr>
          <w:instrText xml:space="preserve"> PAGEREF _Toc510622316 \h </w:instrText>
        </w:r>
        <w:r w:rsidR="002E545D">
          <w:rPr>
            <w:noProof/>
            <w:webHidden/>
          </w:rPr>
        </w:r>
        <w:r w:rsidR="002E545D">
          <w:rPr>
            <w:noProof/>
            <w:webHidden/>
          </w:rPr>
          <w:fldChar w:fldCharType="separate"/>
        </w:r>
        <w:r w:rsidR="0067023A">
          <w:rPr>
            <w:noProof/>
            <w:webHidden/>
          </w:rPr>
          <w:t>125</w:t>
        </w:r>
        <w:r w:rsidR="002E545D">
          <w:rPr>
            <w:noProof/>
            <w:webHidden/>
          </w:rPr>
          <w:fldChar w:fldCharType="end"/>
        </w:r>
      </w:hyperlink>
    </w:p>
    <w:p w14:paraId="3C68A231"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17" w:history="1">
        <w:r w:rsidR="002E545D" w:rsidRPr="00DF54ED">
          <w:rPr>
            <w:rStyle w:val="Hyperlink"/>
            <w:rFonts w:eastAsiaTheme="majorEastAsia"/>
            <w:noProof/>
          </w:rPr>
          <w:t>Table 67: Components of the Capital Budget</w:t>
        </w:r>
        <w:r w:rsidR="002E545D">
          <w:rPr>
            <w:noProof/>
            <w:webHidden/>
          </w:rPr>
          <w:tab/>
        </w:r>
        <w:r w:rsidR="002E545D">
          <w:rPr>
            <w:noProof/>
            <w:webHidden/>
          </w:rPr>
          <w:fldChar w:fldCharType="begin"/>
        </w:r>
        <w:r w:rsidR="002E545D">
          <w:rPr>
            <w:noProof/>
            <w:webHidden/>
          </w:rPr>
          <w:instrText xml:space="preserve"> PAGEREF _Toc510622317 \h </w:instrText>
        </w:r>
        <w:r w:rsidR="002E545D">
          <w:rPr>
            <w:noProof/>
            <w:webHidden/>
          </w:rPr>
        </w:r>
        <w:r w:rsidR="002E545D">
          <w:rPr>
            <w:noProof/>
            <w:webHidden/>
          </w:rPr>
          <w:fldChar w:fldCharType="separate"/>
        </w:r>
        <w:r w:rsidR="0067023A">
          <w:rPr>
            <w:noProof/>
            <w:webHidden/>
          </w:rPr>
          <w:t>131</w:t>
        </w:r>
        <w:r w:rsidR="002E545D">
          <w:rPr>
            <w:noProof/>
            <w:webHidden/>
          </w:rPr>
          <w:fldChar w:fldCharType="end"/>
        </w:r>
      </w:hyperlink>
    </w:p>
    <w:p w14:paraId="15230AF8"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18" w:history="1">
        <w:r w:rsidR="002E545D" w:rsidRPr="00DF54ED">
          <w:rPr>
            <w:rStyle w:val="Hyperlink"/>
            <w:rFonts w:eastAsiaTheme="majorEastAsia"/>
            <w:noProof/>
          </w:rPr>
          <w:t xml:space="preserve">Table 68: </w:t>
        </w:r>
        <w:r w:rsidR="002E545D" w:rsidRPr="00DF54ED">
          <w:rPr>
            <w:rStyle w:val="Hyperlink"/>
            <w:rFonts w:eastAsiaTheme="majorEastAsia"/>
            <w:noProof/>
            <w:lang w:val="en-ZA" w:eastAsia="en-ZA"/>
          </w:rPr>
          <w:t>Funding for Capital Budget</w:t>
        </w:r>
        <w:r w:rsidR="002E545D">
          <w:rPr>
            <w:noProof/>
            <w:webHidden/>
          </w:rPr>
          <w:tab/>
        </w:r>
        <w:r w:rsidR="002E545D">
          <w:rPr>
            <w:noProof/>
            <w:webHidden/>
          </w:rPr>
          <w:fldChar w:fldCharType="begin"/>
        </w:r>
        <w:r w:rsidR="002E545D">
          <w:rPr>
            <w:noProof/>
            <w:webHidden/>
          </w:rPr>
          <w:instrText xml:space="preserve"> PAGEREF _Toc510622318 \h </w:instrText>
        </w:r>
        <w:r w:rsidR="002E545D">
          <w:rPr>
            <w:noProof/>
            <w:webHidden/>
          </w:rPr>
        </w:r>
        <w:r w:rsidR="002E545D">
          <w:rPr>
            <w:noProof/>
            <w:webHidden/>
          </w:rPr>
          <w:fldChar w:fldCharType="separate"/>
        </w:r>
        <w:r w:rsidR="0067023A">
          <w:rPr>
            <w:noProof/>
            <w:webHidden/>
          </w:rPr>
          <w:t>131</w:t>
        </w:r>
        <w:r w:rsidR="002E545D">
          <w:rPr>
            <w:noProof/>
            <w:webHidden/>
          </w:rPr>
          <w:fldChar w:fldCharType="end"/>
        </w:r>
      </w:hyperlink>
    </w:p>
    <w:p w14:paraId="7C688569"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19" w:history="1">
        <w:r w:rsidR="002E545D" w:rsidRPr="00DF54ED">
          <w:rPr>
            <w:rStyle w:val="Hyperlink"/>
            <w:rFonts w:eastAsiaTheme="majorEastAsia"/>
            <w:noProof/>
          </w:rPr>
          <w:t>Table 69: Capital Budget for the departments</w:t>
        </w:r>
        <w:r w:rsidR="002E545D">
          <w:rPr>
            <w:noProof/>
            <w:webHidden/>
          </w:rPr>
          <w:tab/>
        </w:r>
        <w:r w:rsidR="002E545D">
          <w:rPr>
            <w:noProof/>
            <w:webHidden/>
          </w:rPr>
          <w:fldChar w:fldCharType="begin"/>
        </w:r>
        <w:r w:rsidR="002E545D">
          <w:rPr>
            <w:noProof/>
            <w:webHidden/>
          </w:rPr>
          <w:instrText xml:space="preserve"> PAGEREF _Toc510622319 \h </w:instrText>
        </w:r>
        <w:r w:rsidR="002E545D">
          <w:rPr>
            <w:noProof/>
            <w:webHidden/>
          </w:rPr>
        </w:r>
        <w:r w:rsidR="002E545D">
          <w:rPr>
            <w:noProof/>
            <w:webHidden/>
          </w:rPr>
          <w:fldChar w:fldCharType="separate"/>
        </w:r>
        <w:r w:rsidR="0067023A">
          <w:rPr>
            <w:noProof/>
            <w:webHidden/>
          </w:rPr>
          <w:t>131</w:t>
        </w:r>
        <w:r w:rsidR="002E545D">
          <w:rPr>
            <w:noProof/>
            <w:webHidden/>
          </w:rPr>
          <w:fldChar w:fldCharType="end"/>
        </w:r>
      </w:hyperlink>
    </w:p>
    <w:p w14:paraId="50D30B9F"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20" w:history="1">
        <w:r w:rsidR="002E545D" w:rsidRPr="00DF54ED">
          <w:rPr>
            <w:rStyle w:val="Hyperlink"/>
            <w:rFonts w:eastAsiaTheme="majorEastAsia"/>
            <w:noProof/>
          </w:rPr>
          <w:t>Table 70: 3yr MIG Expenditure</w:t>
        </w:r>
        <w:r w:rsidR="002E545D">
          <w:rPr>
            <w:noProof/>
            <w:webHidden/>
          </w:rPr>
          <w:tab/>
        </w:r>
        <w:r w:rsidR="002E545D">
          <w:rPr>
            <w:noProof/>
            <w:webHidden/>
          </w:rPr>
          <w:fldChar w:fldCharType="begin"/>
        </w:r>
        <w:r w:rsidR="002E545D">
          <w:rPr>
            <w:noProof/>
            <w:webHidden/>
          </w:rPr>
          <w:instrText xml:space="preserve"> PAGEREF _Toc510622320 \h </w:instrText>
        </w:r>
        <w:r w:rsidR="002E545D">
          <w:rPr>
            <w:noProof/>
            <w:webHidden/>
          </w:rPr>
        </w:r>
        <w:r w:rsidR="002E545D">
          <w:rPr>
            <w:noProof/>
            <w:webHidden/>
          </w:rPr>
          <w:fldChar w:fldCharType="separate"/>
        </w:r>
        <w:r w:rsidR="0067023A">
          <w:rPr>
            <w:noProof/>
            <w:webHidden/>
          </w:rPr>
          <w:t>132</w:t>
        </w:r>
        <w:r w:rsidR="002E545D">
          <w:rPr>
            <w:noProof/>
            <w:webHidden/>
          </w:rPr>
          <w:fldChar w:fldCharType="end"/>
        </w:r>
      </w:hyperlink>
    </w:p>
    <w:p w14:paraId="4B71C3FA"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21" w:history="1">
        <w:r w:rsidR="002E545D" w:rsidRPr="00DF54ED">
          <w:rPr>
            <w:rStyle w:val="Hyperlink"/>
            <w:rFonts w:eastAsiaTheme="majorEastAsia"/>
            <w:noProof/>
          </w:rPr>
          <w:t>Table 71: Expenditure on Assets</w:t>
        </w:r>
        <w:r w:rsidR="002E545D">
          <w:rPr>
            <w:noProof/>
            <w:webHidden/>
          </w:rPr>
          <w:tab/>
        </w:r>
        <w:r w:rsidR="002E545D">
          <w:rPr>
            <w:noProof/>
            <w:webHidden/>
          </w:rPr>
          <w:fldChar w:fldCharType="begin"/>
        </w:r>
        <w:r w:rsidR="002E545D">
          <w:rPr>
            <w:noProof/>
            <w:webHidden/>
          </w:rPr>
          <w:instrText xml:space="preserve"> PAGEREF _Toc510622321 \h </w:instrText>
        </w:r>
        <w:r w:rsidR="002E545D">
          <w:rPr>
            <w:noProof/>
            <w:webHidden/>
          </w:rPr>
        </w:r>
        <w:r w:rsidR="002E545D">
          <w:rPr>
            <w:noProof/>
            <w:webHidden/>
          </w:rPr>
          <w:fldChar w:fldCharType="separate"/>
        </w:r>
        <w:r w:rsidR="0067023A">
          <w:rPr>
            <w:noProof/>
            <w:webHidden/>
          </w:rPr>
          <w:t>133</w:t>
        </w:r>
        <w:r w:rsidR="002E545D">
          <w:rPr>
            <w:noProof/>
            <w:webHidden/>
          </w:rPr>
          <w:fldChar w:fldCharType="end"/>
        </w:r>
      </w:hyperlink>
    </w:p>
    <w:p w14:paraId="66783944"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22" w:history="1">
        <w:r w:rsidR="002E545D" w:rsidRPr="00DF54ED">
          <w:rPr>
            <w:rStyle w:val="Hyperlink"/>
            <w:rFonts w:eastAsiaTheme="majorEastAsia"/>
            <w:noProof/>
          </w:rPr>
          <w:t>Table 72: Breakdown of Other Assets</w:t>
        </w:r>
        <w:r w:rsidR="002E545D">
          <w:rPr>
            <w:noProof/>
            <w:webHidden/>
          </w:rPr>
          <w:tab/>
        </w:r>
        <w:r w:rsidR="002E545D">
          <w:rPr>
            <w:noProof/>
            <w:webHidden/>
          </w:rPr>
          <w:fldChar w:fldCharType="begin"/>
        </w:r>
        <w:r w:rsidR="002E545D">
          <w:rPr>
            <w:noProof/>
            <w:webHidden/>
          </w:rPr>
          <w:instrText xml:space="preserve"> PAGEREF _Toc510622322 \h </w:instrText>
        </w:r>
        <w:r w:rsidR="002E545D">
          <w:rPr>
            <w:noProof/>
            <w:webHidden/>
          </w:rPr>
        </w:r>
        <w:r w:rsidR="002E545D">
          <w:rPr>
            <w:noProof/>
            <w:webHidden/>
          </w:rPr>
          <w:fldChar w:fldCharType="separate"/>
        </w:r>
        <w:r w:rsidR="0067023A">
          <w:rPr>
            <w:noProof/>
            <w:webHidden/>
          </w:rPr>
          <w:t>133</w:t>
        </w:r>
        <w:r w:rsidR="002E545D">
          <w:rPr>
            <w:noProof/>
            <w:webHidden/>
          </w:rPr>
          <w:fldChar w:fldCharType="end"/>
        </w:r>
      </w:hyperlink>
    </w:p>
    <w:p w14:paraId="2D39D1AD"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23" w:history="1">
        <w:r w:rsidR="002E545D" w:rsidRPr="00DF54ED">
          <w:rPr>
            <w:rStyle w:val="Hyperlink"/>
            <w:rFonts w:eastAsiaTheme="majorEastAsia"/>
            <w:noProof/>
          </w:rPr>
          <w:t>Table 73: Budget for the renewal of existing assets</w:t>
        </w:r>
        <w:r w:rsidR="002E545D">
          <w:rPr>
            <w:noProof/>
            <w:webHidden/>
          </w:rPr>
          <w:tab/>
        </w:r>
        <w:r w:rsidR="002E545D">
          <w:rPr>
            <w:noProof/>
            <w:webHidden/>
          </w:rPr>
          <w:fldChar w:fldCharType="begin"/>
        </w:r>
        <w:r w:rsidR="002E545D">
          <w:rPr>
            <w:noProof/>
            <w:webHidden/>
          </w:rPr>
          <w:instrText xml:space="preserve"> PAGEREF _Toc510622323 \h </w:instrText>
        </w:r>
        <w:r w:rsidR="002E545D">
          <w:rPr>
            <w:noProof/>
            <w:webHidden/>
          </w:rPr>
        </w:r>
        <w:r w:rsidR="002E545D">
          <w:rPr>
            <w:noProof/>
            <w:webHidden/>
          </w:rPr>
          <w:fldChar w:fldCharType="separate"/>
        </w:r>
        <w:r w:rsidR="0067023A">
          <w:rPr>
            <w:noProof/>
            <w:webHidden/>
          </w:rPr>
          <w:t>133</w:t>
        </w:r>
        <w:r w:rsidR="002E545D">
          <w:rPr>
            <w:noProof/>
            <w:webHidden/>
          </w:rPr>
          <w:fldChar w:fldCharType="end"/>
        </w:r>
      </w:hyperlink>
    </w:p>
    <w:p w14:paraId="1E2DA9E0"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24" w:history="1">
        <w:r w:rsidR="002E545D" w:rsidRPr="00DF54ED">
          <w:rPr>
            <w:rStyle w:val="Hyperlink"/>
            <w:rFonts w:eastAsiaTheme="majorEastAsia"/>
            <w:noProof/>
          </w:rPr>
          <w:t>Table 74: Summarised Investment Register</w:t>
        </w:r>
        <w:r w:rsidR="002E545D">
          <w:rPr>
            <w:noProof/>
            <w:webHidden/>
          </w:rPr>
          <w:tab/>
        </w:r>
        <w:r w:rsidR="002E545D">
          <w:rPr>
            <w:noProof/>
            <w:webHidden/>
          </w:rPr>
          <w:fldChar w:fldCharType="begin"/>
        </w:r>
        <w:r w:rsidR="002E545D">
          <w:rPr>
            <w:noProof/>
            <w:webHidden/>
          </w:rPr>
          <w:instrText xml:space="preserve"> PAGEREF _Toc510622324 \h </w:instrText>
        </w:r>
        <w:r w:rsidR="002E545D">
          <w:rPr>
            <w:noProof/>
            <w:webHidden/>
          </w:rPr>
        </w:r>
        <w:r w:rsidR="002E545D">
          <w:rPr>
            <w:noProof/>
            <w:webHidden/>
          </w:rPr>
          <w:fldChar w:fldCharType="separate"/>
        </w:r>
        <w:r w:rsidR="0067023A">
          <w:rPr>
            <w:noProof/>
            <w:webHidden/>
          </w:rPr>
          <w:t>134</w:t>
        </w:r>
        <w:r w:rsidR="002E545D">
          <w:rPr>
            <w:noProof/>
            <w:webHidden/>
          </w:rPr>
          <w:fldChar w:fldCharType="end"/>
        </w:r>
      </w:hyperlink>
    </w:p>
    <w:p w14:paraId="58DAA98D"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25" w:history="1">
        <w:r w:rsidR="002E545D" w:rsidRPr="00DF54ED">
          <w:rPr>
            <w:rStyle w:val="Hyperlink"/>
            <w:rFonts w:eastAsiaTheme="majorEastAsia"/>
            <w:noProof/>
          </w:rPr>
          <w:t>Table 75: Expenditure of Capital Budget over last 5 years (2013 – 2017)</w:t>
        </w:r>
        <w:r w:rsidR="002E545D">
          <w:rPr>
            <w:noProof/>
            <w:webHidden/>
          </w:rPr>
          <w:tab/>
        </w:r>
        <w:r w:rsidR="002E545D">
          <w:rPr>
            <w:noProof/>
            <w:webHidden/>
          </w:rPr>
          <w:fldChar w:fldCharType="begin"/>
        </w:r>
        <w:r w:rsidR="002E545D">
          <w:rPr>
            <w:noProof/>
            <w:webHidden/>
          </w:rPr>
          <w:instrText xml:space="preserve"> PAGEREF _Toc510622325 \h </w:instrText>
        </w:r>
        <w:r w:rsidR="002E545D">
          <w:rPr>
            <w:noProof/>
            <w:webHidden/>
          </w:rPr>
        </w:r>
        <w:r w:rsidR="002E545D">
          <w:rPr>
            <w:noProof/>
            <w:webHidden/>
          </w:rPr>
          <w:fldChar w:fldCharType="separate"/>
        </w:r>
        <w:r w:rsidR="0067023A">
          <w:rPr>
            <w:noProof/>
            <w:webHidden/>
          </w:rPr>
          <w:t>134</w:t>
        </w:r>
        <w:r w:rsidR="002E545D">
          <w:rPr>
            <w:noProof/>
            <w:webHidden/>
          </w:rPr>
          <w:fldChar w:fldCharType="end"/>
        </w:r>
      </w:hyperlink>
    </w:p>
    <w:p w14:paraId="57A76262"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26" w:history="1">
        <w:r w:rsidR="002E545D" w:rsidRPr="00DF54ED">
          <w:rPr>
            <w:rStyle w:val="Hyperlink"/>
            <w:rFonts w:eastAsiaTheme="majorEastAsia"/>
            <w:noProof/>
          </w:rPr>
          <w:t>Table 76: Eskom Free Basic Electricity</w:t>
        </w:r>
        <w:r w:rsidR="002E545D">
          <w:rPr>
            <w:noProof/>
            <w:webHidden/>
          </w:rPr>
          <w:tab/>
        </w:r>
        <w:r w:rsidR="002E545D">
          <w:rPr>
            <w:noProof/>
            <w:webHidden/>
          </w:rPr>
          <w:fldChar w:fldCharType="begin"/>
        </w:r>
        <w:r w:rsidR="002E545D">
          <w:rPr>
            <w:noProof/>
            <w:webHidden/>
          </w:rPr>
          <w:instrText xml:space="preserve"> PAGEREF _Toc510622326 \h </w:instrText>
        </w:r>
        <w:r w:rsidR="002E545D">
          <w:rPr>
            <w:noProof/>
            <w:webHidden/>
          </w:rPr>
        </w:r>
        <w:r w:rsidR="002E545D">
          <w:rPr>
            <w:noProof/>
            <w:webHidden/>
          </w:rPr>
          <w:fldChar w:fldCharType="separate"/>
        </w:r>
        <w:r w:rsidR="0067023A">
          <w:rPr>
            <w:noProof/>
            <w:webHidden/>
          </w:rPr>
          <w:t>135</w:t>
        </w:r>
        <w:r w:rsidR="002E545D">
          <w:rPr>
            <w:noProof/>
            <w:webHidden/>
          </w:rPr>
          <w:fldChar w:fldCharType="end"/>
        </w:r>
      </w:hyperlink>
    </w:p>
    <w:p w14:paraId="4B76337A"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27" w:history="1">
        <w:r w:rsidR="002E545D" w:rsidRPr="00DF54ED">
          <w:rPr>
            <w:rStyle w:val="Hyperlink"/>
            <w:rFonts w:eastAsiaTheme="majorEastAsia"/>
            <w:noProof/>
          </w:rPr>
          <w:t>Table 77: Free Basic Electricity (Municipality)</w:t>
        </w:r>
        <w:r w:rsidR="002E545D">
          <w:rPr>
            <w:noProof/>
            <w:webHidden/>
          </w:rPr>
          <w:tab/>
        </w:r>
        <w:r w:rsidR="002E545D">
          <w:rPr>
            <w:noProof/>
            <w:webHidden/>
          </w:rPr>
          <w:fldChar w:fldCharType="begin"/>
        </w:r>
        <w:r w:rsidR="002E545D">
          <w:rPr>
            <w:noProof/>
            <w:webHidden/>
          </w:rPr>
          <w:instrText xml:space="preserve"> PAGEREF _Toc510622327 \h </w:instrText>
        </w:r>
        <w:r w:rsidR="002E545D">
          <w:rPr>
            <w:noProof/>
            <w:webHidden/>
          </w:rPr>
        </w:r>
        <w:r w:rsidR="002E545D">
          <w:rPr>
            <w:noProof/>
            <w:webHidden/>
          </w:rPr>
          <w:fldChar w:fldCharType="separate"/>
        </w:r>
        <w:r w:rsidR="0067023A">
          <w:rPr>
            <w:noProof/>
            <w:webHidden/>
          </w:rPr>
          <w:t>135</w:t>
        </w:r>
        <w:r w:rsidR="002E545D">
          <w:rPr>
            <w:noProof/>
            <w:webHidden/>
          </w:rPr>
          <w:fldChar w:fldCharType="end"/>
        </w:r>
      </w:hyperlink>
    </w:p>
    <w:p w14:paraId="10A19C0D"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28" w:history="1">
        <w:r w:rsidR="002E545D" w:rsidRPr="00DF54ED">
          <w:rPr>
            <w:rStyle w:val="Hyperlink"/>
            <w:rFonts w:eastAsiaTheme="majorEastAsia"/>
            <w:noProof/>
          </w:rPr>
          <w:t>Table 78: Free Basic Refuse (Municipality)</w:t>
        </w:r>
        <w:r w:rsidR="002E545D">
          <w:rPr>
            <w:noProof/>
            <w:webHidden/>
          </w:rPr>
          <w:tab/>
        </w:r>
        <w:r w:rsidR="002E545D">
          <w:rPr>
            <w:noProof/>
            <w:webHidden/>
          </w:rPr>
          <w:fldChar w:fldCharType="begin"/>
        </w:r>
        <w:r w:rsidR="002E545D">
          <w:rPr>
            <w:noProof/>
            <w:webHidden/>
          </w:rPr>
          <w:instrText xml:space="preserve"> PAGEREF _Toc510622328 \h </w:instrText>
        </w:r>
        <w:r w:rsidR="002E545D">
          <w:rPr>
            <w:noProof/>
            <w:webHidden/>
          </w:rPr>
        </w:r>
        <w:r w:rsidR="002E545D">
          <w:rPr>
            <w:noProof/>
            <w:webHidden/>
          </w:rPr>
          <w:fldChar w:fldCharType="separate"/>
        </w:r>
        <w:r w:rsidR="0067023A">
          <w:rPr>
            <w:noProof/>
            <w:webHidden/>
          </w:rPr>
          <w:t>135</w:t>
        </w:r>
        <w:r w:rsidR="002E545D">
          <w:rPr>
            <w:noProof/>
            <w:webHidden/>
          </w:rPr>
          <w:fldChar w:fldCharType="end"/>
        </w:r>
      </w:hyperlink>
    </w:p>
    <w:p w14:paraId="22EC5233"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29" w:history="1">
        <w:r w:rsidR="002E545D" w:rsidRPr="00DF54ED">
          <w:rPr>
            <w:rStyle w:val="Hyperlink"/>
            <w:rFonts w:eastAsiaTheme="majorEastAsia"/>
            <w:noProof/>
          </w:rPr>
          <w:t>Table 79: Grants &amp; Subsidies over the MTRF (2017 – 2020)</w:t>
        </w:r>
        <w:r w:rsidR="002E545D">
          <w:rPr>
            <w:noProof/>
            <w:webHidden/>
          </w:rPr>
          <w:tab/>
        </w:r>
        <w:r w:rsidR="002E545D">
          <w:rPr>
            <w:noProof/>
            <w:webHidden/>
          </w:rPr>
          <w:fldChar w:fldCharType="begin"/>
        </w:r>
        <w:r w:rsidR="002E545D">
          <w:rPr>
            <w:noProof/>
            <w:webHidden/>
          </w:rPr>
          <w:instrText xml:space="preserve"> PAGEREF _Toc510622329 \h </w:instrText>
        </w:r>
        <w:r w:rsidR="002E545D">
          <w:rPr>
            <w:noProof/>
            <w:webHidden/>
          </w:rPr>
        </w:r>
        <w:r w:rsidR="002E545D">
          <w:rPr>
            <w:noProof/>
            <w:webHidden/>
          </w:rPr>
          <w:fldChar w:fldCharType="separate"/>
        </w:r>
        <w:r w:rsidR="0067023A">
          <w:rPr>
            <w:noProof/>
            <w:webHidden/>
          </w:rPr>
          <w:t>137</w:t>
        </w:r>
        <w:r w:rsidR="002E545D">
          <w:rPr>
            <w:noProof/>
            <w:webHidden/>
          </w:rPr>
          <w:fldChar w:fldCharType="end"/>
        </w:r>
      </w:hyperlink>
    </w:p>
    <w:p w14:paraId="5F1A4033"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30" w:history="1">
        <w:r w:rsidR="002E545D" w:rsidRPr="00DF54ED">
          <w:rPr>
            <w:rStyle w:val="Hyperlink"/>
            <w:rFonts w:eastAsiaTheme="majorEastAsia"/>
            <w:noProof/>
          </w:rPr>
          <w:t>Table 80:  Municipal Infrastructure Assets &amp; Maintenance</w:t>
        </w:r>
        <w:r w:rsidR="002E545D">
          <w:rPr>
            <w:noProof/>
            <w:webHidden/>
          </w:rPr>
          <w:tab/>
        </w:r>
        <w:r w:rsidR="002E545D">
          <w:rPr>
            <w:noProof/>
            <w:webHidden/>
          </w:rPr>
          <w:fldChar w:fldCharType="begin"/>
        </w:r>
        <w:r w:rsidR="002E545D">
          <w:rPr>
            <w:noProof/>
            <w:webHidden/>
          </w:rPr>
          <w:instrText xml:space="preserve"> PAGEREF _Toc510622330 \h </w:instrText>
        </w:r>
        <w:r w:rsidR="002E545D">
          <w:rPr>
            <w:noProof/>
            <w:webHidden/>
          </w:rPr>
        </w:r>
        <w:r w:rsidR="002E545D">
          <w:rPr>
            <w:noProof/>
            <w:webHidden/>
          </w:rPr>
          <w:fldChar w:fldCharType="separate"/>
        </w:r>
        <w:r w:rsidR="0067023A">
          <w:rPr>
            <w:noProof/>
            <w:webHidden/>
          </w:rPr>
          <w:t>138</w:t>
        </w:r>
        <w:r w:rsidR="002E545D">
          <w:rPr>
            <w:noProof/>
            <w:webHidden/>
          </w:rPr>
          <w:fldChar w:fldCharType="end"/>
        </w:r>
      </w:hyperlink>
    </w:p>
    <w:p w14:paraId="0D1DBDEC"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31" w:history="1">
        <w:r w:rsidR="002E545D" w:rsidRPr="00DF54ED">
          <w:rPr>
            <w:rStyle w:val="Hyperlink"/>
            <w:rFonts w:eastAsiaTheme="majorEastAsia"/>
            <w:noProof/>
          </w:rPr>
          <w:t>Table 81:  Municipal Borrowings over the last 5 years (2013 to 2017)</w:t>
        </w:r>
        <w:r w:rsidR="002E545D">
          <w:rPr>
            <w:noProof/>
            <w:webHidden/>
          </w:rPr>
          <w:tab/>
        </w:r>
        <w:r w:rsidR="002E545D">
          <w:rPr>
            <w:noProof/>
            <w:webHidden/>
          </w:rPr>
          <w:fldChar w:fldCharType="begin"/>
        </w:r>
        <w:r w:rsidR="002E545D">
          <w:rPr>
            <w:noProof/>
            <w:webHidden/>
          </w:rPr>
          <w:instrText xml:space="preserve"> PAGEREF _Toc510622331 \h </w:instrText>
        </w:r>
        <w:r w:rsidR="002E545D">
          <w:rPr>
            <w:noProof/>
            <w:webHidden/>
          </w:rPr>
        </w:r>
        <w:r w:rsidR="002E545D">
          <w:rPr>
            <w:noProof/>
            <w:webHidden/>
          </w:rPr>
          <w:fldChar w:fldCharType="separate"/>
        </w:r>
        <w:r w:rsidR="0067023A">
          <w:rPr>
            <w:noProof/>
            <w:webHidden/>
          </w:rPr>
          <w:t>139</w:t>
        </w:r>
        <w:r w:rsidR="002E545D">
          <w:rPr>
            <w:noProof/>
            <w:webHidden/>
          </w:rPr>
          <w:fldChar w:fldCharType="end"/>
        </w:r>
      </w:hyperlink>
    </w:p>
    <w:p w14:paraId="490BAE99"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32" w:history="1">
        <w:r w:rsidR="002E545D" w:rsidRPr="00DF54ED">
          <w:rPr>
            <w:rStyle w:val="Hyperlink"/>
            <w:rFonts w:eastAsiaTheme="majorEastAsia"/>
            <w:noProof/>
          </w:rPr>
          <w:t>Table 82:  Anticipated Employee Related Costs and Councilor Allowances (2017 – 2020)</w:t>
        </w:r>
        <w:r w:rsidR="002E545D">
          <w:rPr>
            <w:noProof/>
            <w:webHidden/>
          </w:rPr>
          <w:tab/>
        </w:r>
        <w:r w:rsidR="002E545D">
          <w:rPr>
            <w:noProof/>
            <w:webHidden/>
          </w:rPr>
          <w:fldChar w:fldCharType="begin"/>
        </w:r>
        <w:r w:rsidR="002E545D">
          <w:rPr>
            <w:noProof/>
            <w:webHidden/>
          </w:rPr>
          <w:instrText xml:space="preserve"> PAGEREF _Toc510622332 \h </w:instrText>
        </w:r>
        <w:r w:rsidR="002E545D">
          <w:rPr>
            <w:noProof/>
            <w:webHidden/>
          </w:rPr>
        </w:r>
        <w:r w:rsidR="002E545D">
          <w:rPr>
            <w:noProof/>
            <w:webHidden/>
          </w:rPr>
          <w:fldChar w:fldCharType="separate"/>
        </w:r>
        <w:r w:rsidR="0067023A">
          <w:rPr>
            <w:noProof/>
            <w:webHidden/>
          </w:rPr>
          <w:t>139</w:t>
        </w:r>
        <w:r w:rsidR="002E545D">
          <w:rPr>
            <w:noProof/>
            <w:webHidden/>
          </w:rPr>
          <w:fldChar w:fldCharType="end"/>
        </w:r>
      </w:hyperlink>
    </w:p>
    <w:p w14:paraId="6035EF55"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33" w:history="1">
        <w:r w:rsidR="002E545D" w:rsidRPr="00DF54ED">
          <w:rPr>
            <w:rStyle w:val="Hyperlink"/>
            <w:rFonts w:eastAsiaTheme="majorEastAsia"/>
            <w:noProof/>
          </w:rPr>
          <w:t>Table 83: Cost Coverage Ratio</w:t>
        </w:r>
        <w:r w:rsidR="002E545D">
          <w:rPr>
            <w:noProof/>
            <w:webHidden/>
          </w:rPr>
          <w:tab/>
        </w:r>
        <w:r w:rsidR="002E545D">
          <w:rPr>
            <w:noProof/>
            <w:webHidden/>
          </w:rPr>
          <w:fldChar w:fldCharType="begin"/>
        </w:r>
        <w:r w:rsidR="002E545D">
          <w:rPr>
            <w:noProof/>
            <w:webHidden/>
          </w:rPr>
          <w:instrText xml:space="preserve"> PAGEREF _Toc510622333 \h </w:instrText>
        </w:r>
        <w:r w:rsidR="002E545D">
          <w:rPr>
            <w:noProof/>
            <w:webHidden/>
          </w:rPr>
        </w:r>
        <w:r w:rsidR="002E545D">
          <w:rPr>
            <w:noProof/>
            <w:webHidden/>
          </w:rPr>
          <w:fldChar w:fldCharType="separate"/>
        </w:r>
        <w:r w:rsidR="0067023A">
          <w:rPr>
            <w:noProof/>
            <w:webHidden/>
          </w:rPr>
          <w:t>139</w:t>
        </w:r>
        <w:r w:rsidR="002E545D">
          <w:rPr>
            <w:noProof/>
            <w:webHidden/>
          </w:rPr>
          <w:fldChar w:fldCharType="end"/>
        </w:r>
      </w:hyperlink>
    </w:p>
    <w:p w14:paraId="102B8239"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34" w:history="1">
        <w:r w:rsidR="002E545D" w:rsidRPr="00DF54ED">
          <w:rPr>
            <w:rStyle w:val="Hyperlink"/>
            <w:rFonts w:eastAsiaTheme="majorEastAsia"/>
            <w:noProof/>
          </w:rPr>
          <w:t>Table 84: Current Ratios</w:t>
        </w:r>
        <w:r w:rsidR="002E545D">
          <w:rPr>
            <w:noProof/>
            <w:webHidden/>
          </w:rPr>
          <w:tab/>
        </w:r>
        <w:r w:rsidR="002E545D">
          <w:rPr>
            <w:noProof/>
            <w:webHidden/>
          </w:rPr>
          <w:fldChar w:fldCharType="begin"/>
        </w:r>
        <w:r w:rsidR="002E545D">
          <w:rPr>
            <w:noProof/>
            <w:webHidden/>
          </w:rPr>
          <w:instrText xml:space="preserve"> PAGEREF _Toc510622334 \h </w:instrText>
        </w:r>
        <w:r w:rsidR="002E545D">
          <w:rPr>
            <w:noProof/>
            <w:webHidden/>
          </w:rPr>
        </w:r>
        <w:r w:rsidR="002E545D">
          <w:rPr>
            <w:noProof/>
            <w:webHidden/>
          </w:rPr>
          <w:fldChar w:fldCharType="separate"/>
        </w:r>
        <w:r w:rsidR="0067023A">
          <w:rPr>
            <w:noProof/>
            <w:webHidden/>
          </w:rPr>
          <w:t>140</w:t>
        </w:r>
        <w:r w:rsidR="002E545D">
          <w:rPr>
            <w:noProof/>
            <w:webHidden/>
          </w:rPr>
          <w:fldChar w:fldCharType="end"/>
        </w:r>
      </w:hyperlink>
    </w:p>
    <w:p w14:paraId="702F7F39"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35" w:history="1">
        <w:r w:rsidR="002E545D" w:rsidRPr="00DF54ED">
          <w:rPr>
            <w:rStyle w:val="Hyperlink"/>
            <w:rFonts w:eastAsiaTheme="majorEastAsia"/>
            <w:noProof/>
          </w:rPr>
          <w:t>Table 85: Financial Ratios</w:t>
        </w:r>
        <w:r w:rsidR="002E545D">
          <w:rPr>
            <w:noProof/>
            <w:webHidden/>
          </w:rPr>
          <w:tab/>
        </w:r>
        <w:r w:rsidR="002E545D">
          <w:rPr>
            <w:noProof/>
            <w:webHidden/>
          </w:rPr>
          <w:fldChar w:fldCharType="begin"/>
        </w:r>
        <w:r w:rsidR="002E545D">
          <w:rPr>
            <w:noProof/>
            <w:webHidden/>
          </w:rPr>
          <w:instrText xml:space="preserve"> PAGEREF _Toc510622335 \h </w:instrText>
        </w:r>
        <w:r w:rsidR="002E545D">
          <w:rPr>
            <w:noProof/>
            <w:webHidden/>
          </w:rPr>
        </w:r>
        <w:r w:rsidR="002E545D">
          <w:rPr>
            <w:noProof/>
            <w:webHidden/>
          </w:rPr>
          <w:fldChar w:fldCharType="separate"/>
        </w:r>
        <w:r w:rsidR="0067023A">
          <w:rPr>
            <w:noProof/>
            <w:webHidden/>
          </w:rPr>
          <w:t>140</w:t>
        </w:r>
        <w:r w:rsidR="002E545D">
          <w:rPr>
            <w:noProof/>
            <w:webHidden/>
          </w:rPr>
          <w:fldChar w:fldCharType="end"/>
        </w:r>
      </w:hyperlink>
    </w:p>
    <w:p w14:paraId="6930A896"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36" w:history="1">
        <w:r w:rsidR="002E545D" w:rsidRPr="00DF54ED">
          <w:rPr>
            <w:rStyle w:val="Hyperlink"/>
            <w:rFonts w:eastAsiaTheme="majorEastAsia"/>
            <w:noProof/>
          </w:rPr>
          <w:t>Table 86: Financial Viability &amp; Management: SWOT ANALYSIS</w:t>
        </w:r>
        <w:r w:rsidR="002E545D">
          <w:rPr>
            <w:noProof/>
            <w:webHidden/>
          </w:rPr>
          <w:tab/>
        </w:r>
        <w:r w:rsidR="002E545D">
          <w:rPr>
            <w:noProof/>
            <w:webHidden/>
          </w:rPr>
          <w:fldChar w:fldCharType="begin"/>
        </w:r>
        <w:r w:rsidR="002E545D">
          <w:rPr>
            <w:noProof/>
            <w:webHidden/>
          </w:rPr>
          <w:instrText xml:space="preserve"> PAGEREF _Toc510622336 \h </w:instrText>
        </w:r>
        <w:r w:rsidR="002E545D">
          <w:rPr>
            <w:noProof/>
            <w:webHidden/>
          </w:rPr>
        </w:r>
        <w:r w:rsidR="002E545D">
          <w:rPr>
            <w:noProof/>
            <w:webHidden/>
          </w:rPr>
          <w:fldChar w:fldCharType="separate"/>
        </w:r>
        <w:r w:rsidR="0067023A">
          <w:rPr>
            <w:noProof/>
            <w:webHidden/>
          </w:rPr>
          <w:t>140</w:t>
        </w:r>
        <w:r w:rsidR="002E545D">
          <w:rPr>
            <w:noProof/>
            <w:webHidden/>
          </w:rPr>
          <w:fldChar w:fldCharType="end"/>
        </w:r>
      </w:hyperlink>
    </w:p>
    <w:p w14:paraId="0AC07E81"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37" w:history="1">
        <w:r w:rsidR="002E545D" w:rsidRPr="00DF54ED">
          <w:rPr>
            <w:rStyle w:val="Hyperlink"/>
            <w:rFonts w:eastAsiaTheme="majorEastAsia"/>
            <w:noProof/>
          </w:rPr>
          <w:t>Table 87:War Room functionality</w:t>
        </w:r>
        <w:r w:rsidR="002E545D">
          <w:rPr>
            <w:noProof/>
            <w:webHidden/>
          </w:rPr>
          <w:tab/>
        </w:r>
        <w:r w:rsidR="002E545D">
          <w:rPr>
            <w:noProof/>
            <w:webHidden/>
          </w:rPr>
          <w:fldChar w:fldCharType="begin"/>
        </w:r>
        <w:r w:rsidR="002E545D">
          <w:rPr>
            <w:noProof/>
            <w:webHidden/>
          </w:rPr>
          <w:instrText xml:space="preserve"> PAGEREF _Toc510622337 \h </w:instrText>
        </w:r>
        <w:r w:rsidR="002E545D">
          <w:rPr>
            <w:noProof/>
            <w:webHidden/>
          </w:rPr>
        </w:r>
        <w:r w:rsidR="002E545D">
          <w:rPr>
            <w:noProof/>
            <w:webHidden/>
          </w:rPr>
          <w:fldChar w:fldCharType="separate"/>
        </w:r>
        <w:r w:rsidR="0067023A">
          <w:rPr>
            <w:noProof/>
            <w:webHidden/>
          </w:rPr>
          <w:t>143</w:t>
        </w:r>
        <w:r w:rsidR="002E545D">
          <w:rPr>
            <w:noProof/>
            <w:webHidden/>
          </w:rPr>
          <w:fldChar w:fldCharType="end"/>
        </w:r>
      </w:hyperlink>
    </w:p>
    <w:p w14:paraId="15C1BF95"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38" w:history="1">
        <w:r w:rsidR="002E545D" w:rsidRPr="00DF54ED">
          <w:rPr>
            <w:rStyle w:val="Hyperlink"/>
            <w:rFonts w:eastAsiaTheme="majorEastAsia"/>
            <w:noProof/>
          </w:rPr>
          <w:t>Table 88: Job Creation through EPWP</w:t>
        </w:r>
        <w:r w:rsidR="002E545D">
          <w:rPr>
            <w:noProof/>
            <w:webHidden/>
          </w:rPr>
          <w:tab/>
        </w:r>
        <w:r w:rsidR="002E545D">
          <w:rPr>
            <w:noProof/>
            <w:webHidden/>
          </w:rPr>
          <w:fldChar w:fldCharType="begin"/>
        </w:r>
        <w:r w:rsidR="002E545D">
          <w:rPr>
            <w:noProof/>
            <w:webHidden/>
          </w:rPr>
          <w:instrText xml:space="preserve"> PAGEREF _Toc510622338 \h </w:instrText>
        </w:r>
        <w:r w:rsidR="002E545D">
          <w:rPr>
            <w:noProof/>
            <w:webHidden/>
          </w:rPr>
        </w:r>
        <w:r w:rsidR="002E545D">
          <w:rPr>
            <w:noProof/>
            <w:webHidden/>
          </w:rPr>
          <w:fldChar w:fldCharType="separate"/>
        </w:r>
        <w:r w:rsidR="0067023A">
          <w:rPr>
            <w:noProof/>
            <w:webHidden/>
          </w:rPr>
          <w:t>147</w:t>
        </w:r>
        <w:r w:rsidR="002E545D">
          <w:rPr>
            <w:noProof/>
            <w:webHidden/>
          </w:rPr>
          <w:fldChar w:fldCharType="end"/>
        </w:r>
      </w:hyperlink>
    </w:p>
    <w:p w14:paraId="44DF6AC1"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39" w:history="1">
        <w:r w:rsidR="002E545D" w:rsidRPr="00DF54ED">
          <w:rPr>
            <w:rStyle w:val="Hyperlink"/>
            <w:rFonts w:eastAsiaTheme="majorEastAsia"/>
            <w:noProof/>
          </w:rPr>
          <w:t>Table 89: Projects Identified For the EPWP</w:t>
        </w:r>
        <w:r w:rsidR="002E545D">
          <w:rPr>
            <w:noProof/>
            <w:webHidden/>
          </w:rPr>
          <w:tab/>
        </w:r>
        <w:r w:rsidR="002E545D">
          <w:rPr>
            <w:noProof/>
            <w:webHidden/>
          </w:rPr>
          <w:fldChar w:fldCharType="begin"/>
        </w:r>
        <w:r w:rsidR="002E545D">
          <w:rPr>
            <w:noProof/>
            <w:webHidden/>
          </w:rPr>
          <w:instrText xml:space="preserve"> PAGEREF _Toc510622339 \h </w:instrText>
        </w:r>
        <w:r w:rsidR="002E545D">
          <w:rPr>
            <w:noProof/>
            <w:webHidden/>
          </w:rPr>
        </w:r>
        <w:r w:rsidR="002E545D">
          <w:rPr>
            <w:noProof/>
            <w:webHidden/>
          </w:rPr>
          <w:fldChar w:fldCharType="separate"/>
        </w:r>
        <w:r w:rsidR="0067023A">
          <w:rPr>
            <w:noProof/>
            <w:webHidden/>
          </w:rPr>
          <w:t>147</w:t>
        </w:r>
        <w:r w:rsidR="002E545D">
          <w:rPr>
            <w:noProof/>
            <w:webHidden/>
          </w:rPr>
          <w:fldChar w:fldCharType="end"/>
        </w:r>
      </w:hyperlink>
    </w:p>
    <w:p w14:paraId="4A0F4DB9"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40" w:history="1">
        <w:r w:rsidR="002E545D" w:rsidRPr="00DF54ED">
          <w:rPr>
            <w:rStyle w:val="Hyperlink"/>
            <w:rFonts w:eastAsiaTheme="majorEastAsia"/>
            <w:noProof/>
          </w:rPr>
          <w:t>Table 90: IGR Meeting Schedule</w:t>
        </w:r>
        <w:r w:rsidR="002E545D">
          <w:rPr>
            <w:noProof/>
            <w:webHidden/>
          </w:rPr>
          <w:tab/>
        </w:r>
        <w:r w:rsidR="002E545D">
          <w:rPr>
            <w:noProof/>
            <w:webHidden/>
          </w:rPr>
          <w:fldChar w:fldCharType="begin"/>
        </w:r>
        <w:r w:rsidR="002E545D">
          <w:rPr>
            <w:noProof/>
            <w:webHidden/>
          </w:rPr>
          <w:instrText xml:space="preserve"> PAGEREF _Toc510622340 \h </w:instrText>
        </w:r>
        <w:r w:rsidR="002E545D">
          <w:rPr>
            <w:noProof/>
            <w:webHidden/>
          </w:rPr>
        </w:r>
        <w:r w:rsidR="002E545D">
          <w:rPr>
            <w:noProof/>
            <w:webHidden/>
          </w:rPr>
          <w:fldChar w:fldCharType="separate"/>
        </w:r>
        <w:r w:rsidR="0067023A">
          <w:rPr>
            <w:noProof/>
            <w:webHidden/>
          </w:rPr>
          <w:t>149</w:t>
        </w:r>
        <w:r w:rsidR="002E545D">
          <w:rPr>
            <w:noProof/>
            <w:webHidden/>
          </w:rPr>
          <w:fldChar w:fldCharType="end"/>
        </w:r>
      </w:hyperlink>
    </w:p>
    <w:p w14:paraId="4825835B"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41" w:history="1">
        <w:r w:rsidR="002E545D" w:rsidRPr="00DF54ED">
          <w:rPr>
            <w:rStyle w:val="Hyperlink"/>
            <w:rFonts w:eastAsiaTheme="majorEastAsia"/>
            <w:noProof/>
          </w:rPr>
          <w:t xml:space="preserve">Table 91: </w:t>
        </w:r>
        <w:r w:rsidR="002E545D" w:rsidRPr="00DF54ED">
          <w:rPr>
            <w:rStyle w:val="Hyperlink"/>
            <w:noProof/>
            <w:lang w:val="en-ZA" w:eastAsia="en-ZA"/>
          </w:rPr>
          <w:t>Section 80 Committees</w:t>
        </w:r>
        <w:r w:rsidR="002E545D">
          <w:rPr>
            <w:noProof/>
            <w:webHidden/>
          </w:rPr>
          <w:tab/>
        </w:r>
        <w:r w:rsidR="002E545D">
          <w:rPr>
            <w:noProof/>
            <w:webHidden/>
          </w:rPr>
          <w:fldChar w:fldCharType="begin"/>
        </w:r>
        <w:r w:rsidR="002E545D">
          <w:rPr>
            <w:noProof/>
            <w:webHidden/>
          </w:rPr>
          <w:instrText xml:space="preserve"> PAGEREF _Toc510622341 \h </w:instrText>
        </w:r>
        <w:r w:rsidR="002E545D">
          <w:rPr>
            <w:noProof/>
            <w:webHidden/>
          </w:rPr>
        </w:r>
        <w:r w:rsidR="002E545D">
          <w:rPr>
            <w:noProof/>
            <w:webHidden/>
          </w:rPr>
          <w:fldChar w:fldCharType="separate"/>
        </w:r>
        <w:r w:rsidR="0067023A">
          <w:rPr>
            <w:noProof/>
            <w:webHidden/>
          </w:rPr>
          <w:t>150</w:t>
        </w:r>
        <w:r w:rsidR="002E545D">
          <w:rPr>
            <w:noProof/>
            <w:webHidden/>
          </w:rPr>
          <w:fldChar w:fldCharType="end"/>
        </w:r>
      </w:hyperlink>
    </w:p>
    <w:p w14:paraId="622D0908"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42" w:history="1">
        <w:r w:rsidR="002E545D" w:rsidRPr="00DF54ED">
          <w:rPr>
            <w:rStyle w:val="Hyperlink"/>
            <w:rFonts w:eastAsiaTheme="majorEastAsia"/>
            <w:noProof/>
          </w:rPr>
          <w:t xml:space="preserve">Table 92: </w:t>
        </w:r>
        <w:r w:rsidR="002E545D" w:rsidRPr="00DF54ED">
          <w:rPr>
            <w:rStyle w:val="Hyperlink"/>
            <w:rFonts w:eastAsiaTheme="majorEastAsia"/>
            <w:noProof/>
            <w:lang w:val="en-ZA" w:eastAsia="en-ZA"/>
          </w:rPr>
          <w:t>Municipal Public Accounts Committee Members</w:t>
        </w:r>
        <w:r w:rsidR="002E545D">
          <w:rPr>
            <w:noProof/>
            <w:webHidden/>
          </w:rPr>
          <w:tab/>
        </w:r>
        <w:r w:rsidR="002E545D">
          <w:rPr>
            <w:noProof/>
            <w:webHidden/>
          </w:rPr>
          <w:fldChar w:fldCharType="begin"/>
        </w:r>
        <w:r w:rsidR="002E545D">
          <w:rPr>
            <w:noProof/>
            <w:webHidden/>
          </w:rPr>
          <w:instrText xml:space="preserve"> PAGEREF _Toc510622342 \h </w:instrText>
        </w:r>
        <w:r w:rsidR="002E545D">
          <w:rPr>
            <w:noProof/>
            <w:webHidden/>
          </w:rPr>
        </w:r>
        <w:r w:rsidR="002E545D">
          <w:rPr>
            <w:noProof/>
            <w:webHidden/>
          </w:rPr>
          <w:fldChar w:fldCharType="separate"/>
        </w:r>
        <w:r w:rsidR="0067023A">
          <w:rPr>
            <w:noProof/>
            <w:webHidden/>
          </w:rPr>
          <w:t>152</w:t>
        </w:r>
        <w:r w:rsidR="002E545D">
          <w:rPr>
            <w:noProof/>
            <w:webHidden/>
          </w:rPr>
          <w:fldChar w:fldCharType="end"/>
        </w:r>
      </w:hyperlink>
    </w:p>
    <w:p w14:paraId="74C062FA"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43" w:history="1">
        <w:r w:rsidR="002E545D" w:rsidRPr="00DF54ED">
          <w:rPr>
            <w:rStyle w:val="Hyperlink"/>
            <w:rFonts w:eastAsiaTheme="majorEastAsia"/>
            <w:noProof/>
          </w:rPr>
          <w:t xml:space="preserve">Table 93: </w:t>
        </w:r>
        <w:r w:rsidR="002E545D" w:rsidRPr="00DF54ED">
          <w:rPr>
            <w:rStyle w:val="Hyperlink"/>
            <w:rFonts w:eastAsiaTheme="majorEastAsia"/>
            <w:noProof/>
            <w:lang w:val="en-ZA"/>
          </w:rPr>
          <w:t>Bid Specifications Committee Members</w:t>
        </w:r>
        <w:r w:rsidR="002E545D">
          <w:rPr>
            <w:noProof/>
            <w:webHidden/>
          </w:rPr>
          <w:tab/>
        </w:r>
        <w:r w:rsidR="002E545D">
          <w:rPr>
            <w:noProof/>
            <w:webHidden/>
          </w:rPr>
          <w:fldChar w:fldCharType="begin"/>
        </w:r>
        <w:r w:rsidR="002E545D">
          <w:rPr>
            <w:noProof/>
            <w:webHidden/>
          </w:rPr>
          <w:instrText xml:space="preserve"> PAGEREF _Toc510622343 \h </w:instrText>
        </w:r>
        <w:r w:rsidR="002E545D">
          <w:rPr>
            <w:noProof/>
            <w:webHidden/>
          </w:rPr>
        </w:r>
        <w:r w:rsidR="002E545D">
          <w:rPr>
            <w:noProof/>
            <w:webHidden/>
          </w:rPr>
          <w:fldChar w:fldCharType="separate"/>
        </w:r>
        <w:r w:rsidR="0067023A">
          <w:rPr>
            <w:noProof/>
            <w:webHidden/>
          </w:rPr>
          <w:t>153</w:t>
        </w:r>
        <w:r w:rsidR="002E545D">
          <w:rPr>
            <w:noProof/>
            <w:webHidden/>
          </w:rPr>
          <w:fldChar w:fldCharType="end"/>
        </w:r>
      </w:hyperlink>
    </w:p>
    <w:p w14:paraId="13A20051"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44" w:history="1">
        <w:r w:rsidR="002E545D" w:rsidRPr="00DF54ED">
          <w:rPr>
            <w:rStyle w:val="Hyperlink"/>
            <w:rFonts w:eastAsiaTheme="majorEastAsia"/>
            <w:noProof/>
          </w:rPr>
          <w:t xml:space="preserve">Table 94: </w:t>
        </w:r>
        <w:r w:rsidR="002E545D" w:rsidRPr="00DF54ED">
          <w:rPr>
            <w:rStyle w:val="Hyperlink"/>
            <w:rFonts w:eastAsia="Calibri" w:cs="Arial"/>
            <w:noProof/>
            <w:lang w:val="en-ZA"/>
          </w:rPr>
          <w:t>Bid Evaluation Committee Members</w:t>
        </w:r>
        <w:r w:rsidR="002E545D">
          <w:rPr>
            <w:noProof/>
            <w:webHidden/>
          </w:rPr>
          <w:tab/>
        </w:r>
        <w:r w:rsidR="002E545D">
          <w:rPr>
            <w:noProof/>
            <w:webHidden/>
          </w:rPr>
          <w:fldChar w:fldCharType="begin"/>
        </w:r>
        <w:r w:rsidR="002E545D">
          <w:rPr>
            <w:noProof/>
            <w:webHidden/>
          </w:rPr>
          <w:instrText xml:space="preserve"> PAGEREF _Toc510622344 \h </w:instrText>
        </w:r>
        <w:r w:rsidR="002E545D">
          <w:rPr>
            <w:noProof/>
            <w:webHidden/>
          </w:rPr>
        </w:r>
        <w:r w:rsidR="002E545D">
          <w:rPr>
            <w:noProof/>
            <w:webHidden/>
          </w:rPr>
          <w:fldChar w:fldCharType="separate"/>
        </w:r>
        <w:r w:rsidR="0067023A">
          <w:rPr>
            <w:noProof/>
            <w:webHidden/>
          </w:rPr>
          <w:t>153</w:t>
        </w:r>
        <w:r w:rsidR="002E545D">
          <w:rPr>
            <w:noProof/>
            <w:webHidden/>
          </w:rPr>
          <w:fldChar w:fldCharType="end"/>
        </w:r>
      </w:hyperlink>
    </w:p>
    <w:p w14:paraId="48F2E1B1"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45" w:history="1">
        <w:r w:rsidR="002E545D" w:rsidRPr="00DF54ED">
          <w:rPr>
            <w:rStyle w:val="Hyperlink"/>
            <w:rFonts w:eastAsiaTheme="majorEastAsia"/>
            <w:noProof/>
          </w:rPr>
          <w:t xml:space="preserve">Table 95: </w:t>
        </w:r>
        <w:r w:rsidR="002E545D" w:rsidRPr="00DF54ED">
          <w:rPr>
            <w:rStyle w:val="Hyperlink"/>
            <w:rFonts w:eastAsiaTheme="majorEastAsia"/>
            <w:noProof/>
            <w:lang w:val="en-ZA"/>
          </w:rPr>
          <w:t>Bid Adjudication Committee Members</w:t>
        </w:r>
        <w:r w:rsidR="002E545D">
          <w:rPr>
            <w:noProof/>
            <w:webHidden/>
          </w:rPr>
          <w:tab/>
        </w:r>
        <w:r w:rsidR="002E545D">
          <w:rPr>
            <w:noProof/>
            <w:webHidden/>
          </w:rPr>
          <w:fldChar w:fldCharType="begin"/>
        </w:r>
        <w:r w:rsidR="002E545D">
          <w:rPr>
            <w:noProof/>
            <w:webHidden/>
          </w:rPr>
          <w:instrText xml:space="preserve"> PAGEREF _Toc510622345 \h </w:instrText>
        </w:r>
        <w:r w:rsidR="002E545D">
          <w:rPr>
            <w:noProof/>
            <w:webHidden/>
          </w:rPr>
        </w:r>
        <w:r w:rsidR="002E545D">
          <w:rPr>
            <w:noProof/>
            <w:webHidden/>
          </w:rPr>
          <w:fldChar w:fldCharType="separate"/>
        </w:r>
        <w:r w:rsidR="0067023A">
          <w:rPr>
            <w:noProof/>
            <w:webHidden/>
          </w:rPr>
          <w:t>153</w:t>
        </w:r>
        <w:r w:rsidR="002E545D">
          <w:rPr>
            <w:noProof/>
            <w:webHidden/>
          </w:rPr>
          <w:fldChar w:fldCharType="end"/>
        </w:r>
      </w:hyperlink>
    </w:p>
    <w:p w14:paraId="28C91AF8"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46" w:history="1">
        <w:r w:rsidR="002E545D" w:rsidRPr="00DF54ED">
          <w:rPr>
            <w:rStyle w:val="Hyperlink"/>
            <w:rFonts w:eastAsiaTheme="majorEastAsia"/>
            <w:noProof/>
          </w:rPr>
          <w:t>Table 96: Public Participation Structures</w:t>
        </w:r>
        <w:r w:rsidR="002E545D">
          <w:rPr>
            <w:noProof/>
            <w:webHidden/>
          </w:rPr>
          <w:tab/>
        </w:r>
        <w:r w:rsidR="002E545D">
          <w:rPr>
            <w:noProof/>
            <w:webHidden/>
          </w:rPr>
          <w:fldChar w:fldCharType="begin"/>
        </w:r>
        <w:r w:rsidR="002E545D">
          <w:rPr>
            <w:noProof/>
            <w:webHidden/>
          </w:rPr>
          <w:instrText xml:space="preserve"> PAGEREF _Toc510622346 \h </w:instrText>
        </w:r>
        <w:r w:rsidR="002E545D">
          <w:rPr>
            <w:noProof/>
            <w:webHidden/>
          </w:rPr>
        </w:r>
        <w:r w:rsidR="002E545D">
          <w:rPr>
            <w:noProof/>
            <w:webHidden/>
          </w:rPr>
          <w:fldChar w:fldCharType="separate"/>
        </w:r>
        <w:r w:rsidR="0067023A">
          <w:rPr>
            <w:noProof/>
            <w:webHidden/>
          </w:rPr>
          <w:t>153</w:t>
        </w:r>
        <w:r w:rsidR="002E545D">
          <w:rPr>
            <w:noProof/>
            <w:webHidden/>
          </w:rPr>
          <w:fldChar w:fldCharType="end"/>
        </w:r>
      </w:hyperlink>
    </w:p>
    <w:p w14:paraId="461C6380"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47" w:history="1">
        <w:r w:rsidR="002E545D" w:rsidRPr="00DF54ED">
          <w:rPr>
            <w:rStyle w:val="Hyperlink"/>
            <w:rFonts w:eastAsiaTheme="majorEastAsia"/>
            <w:noProof/>
          </w:rPr>
          <w:t>Table 97: Status of Municipal Policies</w:t>
        </w:r>
        <w:r w:rsidR="002E545D">
          <w:rPr>
            <w:noProof/>
            <w:webHidden/>
          </w:rPr>
          <w:tab/>
        </w:r>
        <w:r w:rsidR="002E545D">
          <w:rPr>
            <w:noProof/>
            <w:webHidden/>
          </w:rPr>
          <w:fldChar w:fldCharType="begin"/>
        </w:r>
        <w:r w:rsidR="002E545D">
          <w:rPr>
            <w:noProof/>
            <w:webHidden/>
          </w:rPr>
          <w:instrText xml:space="preserve"> PAGEREF _Toc510622347 \h </w:instrText>
        </w:r>
        <w:r w:rsidR="002E545D">
          <w:rPr>
            <w:noProof/>
            <w:webHidden/>
          </w:rPr>
        </w:r>
        <w:r w:rsidR="002E545D">
          <w:rPr>
            <w:noProof/>
            <w:webHidden/>
          </w:rPr>
          <w:fldChar w:fldCharType="separate"/>
        </w:r>
        <w:r w:rsidR="0067023A">
          <w:rPr>
            <w:noProof/>
            <w:webHidden/>
          </w:rPr>
          <w:t>154</w:t>
        </w:r>
        <w:r w:rsidR="002E545D">
          <w:rPr>
            <w:noProof/>
            <w:webHidden/>
          </w:rPr>
          <w:fldChar w:fldCharType="end"/>
        </w:r>
      </w:hyperlink>
    </w:p>
    <w:p w14:paraId="4A22034F"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48" w:history="1">
        <w:r w:rsidR="002E545D" w:rsidRPr="00DF54ED">
          <w:rPr>
            <w:rStyle w:val="Hyperlink"/>
            <w:rFonts w:eastAsiaTheme="majorEastAsia"/>
            <w:noProof/>
          </w:rPr>
          <w:t>Table 98: Unpacking of the four identified Risk Categories</w:t>
        </w:r>
        <w:r w:rsidR="002E545D">
          <w:rPr>
            <w:noProof/>
            <w:webHidden/>
          </w:rPr>
          <w:tab/>
        </w:r>
        <w:r w:rsidR="002E545D">
          <w:rPr>
            <w:noProof/>
            <w:webHidden/>
          </w:rPr>
          <w:fldChar w:fldCharType="begin"/>
        </w:r>
        <w:r w:rsidR="002E545D">
          <w:rPr>
            <w:noProof/>
            <w:webHidden/>
          </w:rPr>
          <w:instrText xml:space="preserve"> PAGEREF _Toc510622348 \h </w:instrText>
        </w:r>
        <w:r w:rsidR="002E545D">
          <w:rPr>
            <w:noProof/>
            <w:webHidden/>
          </w:rPr>
        </w:r>
        <w:r w:rsidR="002E545D">
          <w:rPr>
            <w:noProof/>
            <w:webHidden/>
          </w:rPr>
          <w:fldChar w:fldCharType="separate"/>
        </w:r>
        <w:r w:rsidR="0067023A">
          <w:rPr>
            <w:noProof/>
            <w:webHidden/>
          </w:rPr>
          <w:t>155</w:t>
        </w:r>
        <w:r w:rsidR="002E545D">
          <w:rPr>
            <w:noProof/>
            <w:webHidden/>
          </w:rPr>
          <w:fldChar w:fldCharType="end"/>
        </w:r>
      </w:hyperlink>
    </w:p>
    <w:p w14:paraId="15E5D76D"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49" w:history="1">
        <w:r w:rsidR="002E545D" w:rsidRPr="00DF54ED">
          <w:rPr>
            <w:rStyle w:val="Hyperlink"/>
            <w:rFonts w:eastAsiaTheme="majorEastAsia"/>
            <w:noProof/>
          </w:rPr>
          <w:t>Table 99: Adopted Bylaws</w:t>
        </w:r>
        <w:r w:rsidR="002E545D">
          <w:rPr>
            <w:noProof/>
            <w:webHidden/>
          </w:rPr>
          <w:tab/>
        </w:r>
        <w:r w:rsidR="002E545D">
          <w:rPr>
            <w:noProof/>
            <w:webHidden/>
          </w:rPr>
          <w:fldChar w:fldCharType="begin"/>
        </w:r>
        <w:r w:rsidR="002E545D">
          <w:rPr>
            <w:noProof/>
            <w:webHidden/>
          </w:rPr>
          <w:instrText xml:space="preserve"> PAGEREF _Toc510622349 \h </w:instrText>
        </w:r>
        <w:r w:rsidR="002E545D">
          <w:rPr>
            <w:noProof/>
            <w:webHidden/>
          </w:rPr>
        </w:r>
        <w:r w:rsidR="002E545D">
          <w:rPr>
            <w:noProof/>
            <w:webHidden/>
          </w:rPr>
          <w:fldChar w:fldCharType="separate"/>
        </w:r>
        <w:r w:rsidR="0067023A">
          <w:rPr>
            <w:noProof/>
            <w:webHidden/>
          </w:rPr>
          <w:t>158</w:t>
        </w:r>
        <w:r w:rsidR="002E545D">
          <w:rPr>
            <w:noProof/>
            <w:webHidden/>
          </w:rPr>
          <w:fldChar w:fldCharType="end"/>
        </w:r>
      </w:hyperlink>
    </w:p>
    <w:p w14:paraId="2D862F64"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50" w:history="1">
        <w:r w:rsidR="002E545D" w:rsidRPr="00DF54ED">
          <w:rPr>
            <w:rStyle w:val="Hyperlink"/>
            <w:rFonts w:eastAsiaTheme="majorEastAsia"/>
            <w:noProof/>
          </w:rPr>
          <w:t>Table 100: Public Participation Structures</w:t>
        </w:r>
        <w:r w:rsidR="002E545D">
          <w:rPr>
            <w:noProof/>
            <w:webHidden/>
          </w:rPr>
          <w:tab/>
        </w:r>
        <w:r w:rsidR="002E545D">
          <w:rPr>
            <w:noProof/>
            <w:webHidden/>
          </w:rPr>
          <w:fldChar w:fldCharType="begin"/>
        </w:r>
        <w:r w:rsidR="002E545D">
          <w:rPr>
            <w:noProof/>
            <w:webHidden/>
          </w:rPr>
          <w:instrText xml:space="preserve"> PAGEREF _Toc510622350 \h </w:instrText>
        </w:r>
        <w:r w:rsidR="002E545D">
          <w:rPr>
            <w:noProof/>
            <w:webHidden/>
          </w:rPr>
        </w:r>
        <w:r w:rsidR="002E545D">
          <w:rPr>
            <w:noProof/>
            <w:webHidden/>
          </w:rPr>
          <w:fldChar w:fldCharType="separate"/>
        </w:r>
        <w:r w:rsidR="0067023A">
          <w:rPr>
            <w:noProof/>
            <w:webHidden/>
          </w:rPr>
          <w:t>160</w:t>
        </w:r>
        <w:r w:rsidR="002E545D">
          <w:rPr>
            <w:noProof/>
            <w:webHidden/>
          </w:rPr>
          <w:fldChar w:fldCharType="end"/>
        </w:r>
      </w:hyperlink>
    </w:p>
    <w:p w14:paraId="0FD4CB0D"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51" w:history="1">
        <w:r w:rsidR="002E545D" w:rsidRPr="00DF54ED">
          <w:rPr>
            <w:rStyle w:val="Hyperlink"/>
            <w:rFonts w:eastAsiaTheme="majorEastAsia"/>
            <w:b/>
            <w:bCs/>
            <w:noProof/>
          </w:rPr>
          <w:t xml:space="preserve">Table 101: </w:t>
        </w:r>
        <w:r w:rsidR="002E545D" w:rsidRPr="00DF54ED">
          <w:rPr>
            <w:rStyle w:val="Hyperlink"/>
            <w:rFonts w:eastAsiaTheme="majorEastAsia"/>
            <w:b/>
            <w:bCs/>
            <w:iCs/>
            <w:noProof/>
          </w:rPr>
          <w:t>Upper Secondary Centers</w:t>
        </w:r>
        <w:r w:rsidR="002E545D">
          <w:rPr>
            <w:noProof/>
            <w:webHidden/>
          </w:rPr>
          <w:tab/>
        </w:r>
        <w:r w:rsidR="002E545D">
          <w:rPr>
            <w:noProof/>
            <w:webHidden/>
          </w:rPr>
          <w:fldChar w:fldCharType="begin"/>
        </w:r>
        <w:r w:rsidR="002E545D">
          <w:rPr>
            <w:noProof/>
            <w:webHidden/>
          </w:rPr>
          <w:instrText xml:space="preserve"> PAGEREF _Toc510622351 \h </w:instrText>
        </w:r>
        <w:r w:rsidR="002E545D">
          <w:rPr>
            <w:noProof/>
            <w:webHidden/>
          </w:rPr>
        </w:r>
        <w:r w:rsidR="002E545D">
          <w:rPr>
            <w:noProof/>
            <w:webHidden/>
          </w:rPr>
          <w:fldChar w:fldCharType="separate"/>
        </w:r>
        <w:r w:rsidR="0067023A">
          <w:rPr>
            <w:noProof/>
            <w:webHidden/>
          </w:rPr>
          <w:t>166</w:t>
        </w:r>
        <w:r w:rsidR="002E545D">
          <w:rPr>
            <w:noProof/>
            <w:webHidden/>
          </w:rPr>
          <w:fldChar w:fldCharType="end"/>
        </w:r>
      </w:hyperlink>
    </w:p>
    <w:p w14:paraId="717E5C47"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52" w:history="1">
        <w:r w:rsidR="002E545D" w:rsidRPr="00DF54ED">
          <w:rPr>
            <w:rStyle w:val="Hyperlink"/>
            <w:rFonts w:eastAsiaTheme="majorEastAsia"/>
            <w:b/>
            <w:bCs/>
            <w:noProof/>
          </w:rPr>
          <w:t xml:space="preserve">Table 102: </w:t>
        </w:r>
        <w:r w:rsidR="002E545D" w:rsidRPr="00DF54ED">
          <w:rPr>
            <w:rStyle w:val="Hyperlink"/>
            <w:rFonts w:eastAsiaTheme="majorEastAsia"/>
            <w:b/>
            <w:bCs/>
            <w:noProof/>
            <w:lang w:val="en-GB"/>
          </w:rPr>
          <w:t>Lower Secondary Centres</w:t>
        </w:r>
        <w:r w:rsidR="002E545D">
          <w:rPr>
            <w:noProof/>
            <w:webHidden/>
          </w:rPr>
          <w:tab/>
        </w:r>
        <w:r w:rsidR="002E545D">
          <w:rPr>
            <w:noProof/>
            <w:webHidden/>
          </w:rPr>
          <w:fldChar w:fldCharType="begin"/>
        </w:r>
        <w:r w:rsidR="002E545D">
          <w:rPr>
            <w:noProof/>
            <w:webHidden/>
          </w:rPr>
          <w:instrText xml:space="preserve"> PAGEREF _Toc510622352 \h </w:instrText>
        </w:r>
        <w:r w:rsidR="002E545D">
          <w:rPr>
            <w:noProof/>
            <w:webHidden/>
          </w:rPr>
        </w:r>
        <w:r w:rsidR="002E545D">
          <w:rPr>
            <w:noProof/>
            <w:webHidden/>
          </w:rPr>
          <w:fldChar w:fldCharType="separate"/>
        </w:r>
        <w:r w:rsidR="0067023A">
          <w:rPr>
            <w:noProof/>
            <w:webHidden/>
          </w:rPr>
          <w:t>167</w:t>
        </w:r>
        <w:r w:rsidR="002E545D">
          <w:rPr>
            <w:noProof/>
            <w:webHidden/>
          </w:rPr>
          <w:fldChar w:fldCharType="end"/>
        </w:r>
      </w:hyperlink>
    </w:p>
    <w:p w14:paraId="17A71697"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53" w:history="1">
        <w:r w:rsidR="002E545D" w:rsidRPr="00DF54ED">
          <w:rPr>
            <w:rStyle w:val="Hyperlink"/>
            <w:rFonts w:eastAsiaTheme="majorEastAsia"/>
            <w:b/>
            <w:bCs/>
            <w:noProof/>
          </w:rPr>
          <w:t>Table 103: Tertiary Centers</w:t>
        </w:r>
        <w:r w:rsidR="002E545D">
          <w:rPr>
            <w:noProof/>
            <w:webHidden/>
          </w:rPr>
          <w:tab/>
        </w:r>
        <w:r w:rsidR="002E545D">
          <w:rPr>
            <w:noProof/>
            <w:webHidden/>
          </w:rPr>
          <w:fldChar w:fldCharType="begin"/>
        </w:r>
        <w:r w:rsidR="002E545D">
          <w:rPr>
            <w:noProof/>
            <w:webHidden/>
          </w:rPr>
          <w:instrText xml:space="preserve"> PAGEREF _Toc510622353 \h </w:instrText>
        </w:r>
        <w:r w:rsidR="002E545D">
          <w:rPr>
            <w:noProof/>
            <w:webHidden/>
          </w:rPr>
        </w:r>
        <w:r w:rsidR="002E545D">
          <w:rPr>
            <w:noProof/>
            <w:webHidden/>
          </w:rPr>
          <w:fldChar w:fldCharType="separate"/>
        </w:r>
        <w:r w:rsidR="0067023A">
          <w:rPr>
            <w:noProof/>
            <w:webHidden/>
          </w:rPr>
          <w:t>167</w:t>
        </w:r>
        <w:r w:rsidR="002E545D">
          <w:rPr>
            <w:noProof/>
            <w:webHidden/>
          </w:rPr>
          <w:fldChar w:fldCharType="end"/>
        </w:r>
      </w:hyperlink>
    </w:p>
    <w:p w14:paraId="001A7002"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54" w:history="1">
        <w:r w:rsidR="002E545D" w:rsidRPr="00DF54ED">
          <w:rPr>
            <w:rStyle w:val="Hyperlink"/>
            <w:rFonts w:eastAsiaTheme="majorEastAsia"/>
            <w:b/>
            <w:bCs/>
            <w:noProof/>
          </w:rPr>
          <w:t>Table 104: Primary Corridors</w:t>
        </w:r>
        <w:r w:rsidR="002E545D">
          <w:rPr>
            <w:noProof/>
            <w:webHidden/>
          </w:rPr>
          <w:tab/>
        </w:r>
        <w:r w:rsidR="002E545D">
          <w:rPr>
            <w:noProof/>
            <w:webHidden/>
          </w:rPr>
          <w:fldChar w:fldCharType="begin"/>
        </w:r>
        <w:r w:rsidR="002E545D">
          <w:rPr>
            <w:noProof/>
            <w:webHidden/>
          </w:rPr>
          <w:instrText xml:space="preserve"> PAGEREF _Toc510622354 \h </w:instrText>
        </w:r>
        <w:r w:rsidR="002E545D">
          <w:rPr>
            <w:noProof/>
            <w:webHidden/>
          </w:rPr>
        </w:r>
        <w:r w:rsidR="002E545D">
          <w:rPr>
            <w:noProof/>
            <w:webHidden/>
          </w:rPr>
          <w:fldChar w:fldCharType="separate"/>
        </w:r>
        <w:r w:rsidR="0067023A">
          <w:rPr>
            <w:noProof/>
            <w:webHidden/>
          </w:rPr>
          <w:t>169</w:t>
        </w:r>
        <w:r w:rsidR="002E545D">
          <w:rPr>
            <w:noProof/>
            <w:webHidden/>
          </w:rPr>
          <w:fldChar w:fldCharType="end"/>
        </w:r>
      </w:hyperlink>
    </w:p>
    <w:p w14:paraId="1147A557"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55" w:history="1">
        <w:r w:rsidR="002E545D" w:rsidRPr="00DF54ED">
          <w:rPr>
            <w:rStyle w:val="Hyperlink"/>
            <w:rFonts w:eastAsiaTheme="majorEastAsia"/>
            <w:b/>
            <w:bCs/>
            <w:noProof/>
          </w:rPr>
          <w:t>Table 105: Secondary Corridors</w:t>
        </w:r>
        <w:r w:rsidR="002E545D">
          <w:rPr>
            <w:noProof/>
            <w:webHidden/>
          </w:rPr>
          <w:tab/>
        </w:r>
        <w:r w:rsidR="002E545D">
          <w:rPr>
            <w:noProof/>
            <w:webHidden/>
          </w:rPr>
          <w:fldChar w:fldCharType="begin"/>
        </w:r>
        <w:r w:rsidR="002E545D">
          <w:rPr>
            <w:noProof/>
            <w:webHidden/>
          </w:rPr>
          <w:instrText xml:space="preserve"> PAGEREF _Toc510622355 \h </w:instrText>
        </w:r>
        <w:r w:rsidR="002E545D">
          <w:rPr>
            <w:noProof/>
            <w:webHidden/>
          </w:rPr>
        </w:r>
        <w:r w:rsidR="002E545D">
          <w:rPr>
            <w:noProof/>
            <w:webHidden/>
          </w:rPr>
          <w:fldChar w:fldCharType="separate"/>
        </w:r>
        <w:r w:rsidR="0067023A">
          <w:rPr>
            <w:noProof/>
            <w:webHidden/>
          </w:rPr>
          <w:t>169</w:t>
        </w:r>
        <w:r w:rsidR="002E545D">
          <w:rPr>
            <w:noProof/>
            <w:webHidden/>
          </w:rPr>
          <w:fldChar w:fldCharType="end"/>
        </w:r>
      </w:hyperlink>
    </w:p>
    <w:p w14:paraId="049EBF52"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56" w:history="1">
        <w:r w:rsidR="002E545D" w:rsidRPr="00DF54ED">
          <w:rPr>
            <w:rStyle w:val="Hyperlink"/>
            <w:rFonts w:eastAsiaTheme="majorEastAsia"/>
            <w:b/>
            <w:bCs/>
            <w:noProof/>
          </w:rPr>
          <w:t>Table 106: Tertiary Corridors</w:t>
        </w:r>
        <w:r w:rsidR="002E545D">
          <w:rPr>
            <w:noProof/>
            <w:webHidden/>
          </w:rPr>
          <w:tab/>
        </w:r>
        <w:r w:rsidR="002E545D">
          <w:rPr>
            <w:noProof/>
            <w:webHidden/>
          </w:rPr>
          <w:fldChar w:fldCharType="begin"/>
        </w:r>
        <w:r w:rsidR="002E545D">
          <w:rPr>
            <w:noProof/>
            <w:webHidden/>
          </w:rPr>
          <w:instrText xml:space="preserve"> PAGEREF _Toc510622356 \h </w:instrText>
        </w:r>
        <w:r w:rsidR="002E545D">
          <w:rPr>
            <w:noProof/>
            <w:webHidden/>
          </w:rPr>
        </w:r>
        <w:r w:rsidR="002E545D">
          <w:rPr>
            <w:noProof/>
            <w:webHidden/>
          </w:rPr>
          <w:fldChar w:fldCharType="separate"/>
        </w:r>
        <w:r w:rsidR="0067023A">
          <w:rPr>
            <w:noProof/>
            <w:webHidden/>
          </w:rPr>
          <w:t>170</w:t>
        </w:r>
        <w:r w:rsidR="002E545D">
          <w:rPr>
            <w:noProof/>
            <w:webHidden/>
          </w:rPr>
          <w:fldChar w:fldCharType="end"/>
        </w:r>
      </w:hyperlink>
    </w:p>
    <w:p w14:paraId="591E5DEC"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57" w:history="1">
        <w:r w:rsidR="002E545D" w:rsidRPr="00DF54ED">
          <w:rPr>
            <w:rStyle w:val="Hyperlink"/>
            <w:rFonts w:eastAsiaTheme="majorEastAsia"/>
            <w:noProof/>
          </w:rPr>
          <w:t>Table 107: Implementation Plan</w:t>
        </w:r>
        <w:r w:rsidR="002E545D">
          <w:rPr>
            <w:noProof/>
            <w:webHidden/>
          </w:rPr>
          <w:tab/>
        </w:r>
        <w:r w:rsidR="002E545D">
          <w:rPr>
            <w:noProof/>
            <w:webHidden/>
          </w:rPr>
          <w:fldChar w:fldCharType="begin"/>
        </w:r>
        <w:r w:rsidR="002E545D">
          <w:rPr>
            <w:noProof/>
            <w:webHidden/>
          </w:rPr>
          <w:instrText xml:space="preserve"> PAGEREF _Toc510622357 \h </w:instrText>
        </w:r>
        <w:r w:rsidR="002E545D">
          <w:rPr>
            <w:noProof/>
            <w:webHidden/>
          </w:rPr>
        </w:r>
        <w:r w:rsidR="002E545D">
          <w:rPr>
            <w:noProof/>
            <w:webHidden/>
          </w:rPr>
          <w:fldChar w:fldCharType="separate"/>
        </w:r>
        <w:r w:rsidR="0067023A">
          <w:rPr>
            <w:noProof/>
            <w:webHidden/>
          </w:rPr>
          <w:t>198</w:t>
        </w:r>
        <w:r w:rsidR="002E545D">
          <w:rPr>
            <w:noProof/>
            <w:webHidden/>
          </w:rPr>
          <w:fldChar w:fldCharType="end"/>
        </w:r>
      </w:hyperlink>
    </w:p>
    <w:p w14:paraId="7D060E6A"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58" w:history="1">
        <w:r w:rsidR="002E545D" w:rsidRPr="00DF54ED">
          <w:rPr>
            <w:rStyle w:val="Hyperlink"/>
            <w:rFonts w:eastAsiaTheme="majorEastAsia"/>
            <w:noProof/>
          </w:rPr>
          <w:t>Table 108: The following sets out the uMlalazi Municipality’s Implementation Plan for the 2018/19 – 2022/23 Council Term</w:t>
        </w:r>
        <w:r w:rsidR="002E545D">
          <w:rPr>
            <w:noProof/>
            <w:webHidden/>
          </w:rPr>
          <w:tab/>
        </w:r>
        <w:r w:rsidR="002E545D">
          <w:rPr>
            <w:noProof/>
            <w:webHidden/>
          </w:rPr>
          <w:fldChar w:fldCharType="begin"/>
        </w:r>
        <w:r w:rsidR="002E545D">
          <w:rPr>
            <w:noProof/>
            <w:webHidden/>
          </w:rPr>
          <w:instrText xml:space="preserve"> PAGEREF _Toc510622358 \h </w:instrText>
        </w:r>
        <w:r w:rsidR="002E545D">
          <w:rPr>
            <w:noProof/>
            <w:webHidden/>
          </w:rPr>
        </w:r>
        <w:r w:rsidR="002E545D">
          <w:rPr>
            <w:noProof/>
            <w:webHidden/>
          </w:rPr>
          <w:fldChar w:fldCharType="separate"/>
        </w:r>
        <w:r w:rsidR="0067023A">
          <w:rPr>
            <w:noProof/>
            <w:webHidden/>
          </w:rPr>
          <w:t>199</w:t>
        </w:r>
        <w:r w:rsidR="002E545D">
          <w:rPr>
            <w:noProof/>
            <w:webHidden/>
          </w:rPr>
          <w:fldChar w:fldCharType="end"/>
        </w:r>
      </w:hyperlink>
    </w:p>
    <w:p w14:paraId="6C63E933"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59" w:history="1">
        <w:r w:rsidR="002E545D" w:rsidRPr="00DF54ED">
          <w:rPr>
            <w:rStyle w:val="Hyperlink"/>
            <w:rFonts w:eastAsiaTheme="majorEastAsia"/>
            <w:noProof/>
          </w:rPr>
          <w:t>Table 109: Sources of Funding for the 5-Year Capital Budget (2017/2018 to 2021/2022)</w:t>
        </w:r>
        <w:r w:rsidR="002E545D">
          <w:rPr>
            <w:noProof/>
            <w:webHidden/>
          </w:rPr>
          <w:tab/>
        </w:r>
        <w:r w:rsidR="002E545D">
          <w:rPr>
            <w:noProof/>
            <w:webHidden/>
          </w:rPr>
          <w:fldChar w:fldCharType="begin"/>
        </w:r>
        <w:r w:rsidR="002E545D">
          <w:rPr>
            <w:noProof/>
            <w:webHidden/>
          </w:rPr>
          <w:instrText xml:space="preserve"> PAGEREF _Toc510622359 \h </w:instrText>
        </w:r>
        <w:r w:rsidR="002E545D">
          <w:rPr>
            <w:noProof/>
            <w:webHidden/>
          </w:rPr>
        </w:r>
        <w:r w:rsidR="002E545D">
          <w:rPr>
            <w:noProof/>
            <w:webHidden/>
          </w:rPr>
          <w:fldChar w:fldCharType="separate"/>
        </w:r>
        <w:r w:rsidR="0067023A">
          <w:rPr>
            <w:noProof/>
            <w:webHidden/>
          </w:rPr>
          <w:t>199</w:t>
        </w:r>
        <w:r w:rsidR="002E545D">
          <w:rPr>
            <w:noProof/>
            <w:webHidden/>
          </w:rPr>
          <w:fldChar w:fldCharType="end"/>
        </w:r>
      </w:hyperlink>
    </w:p>
    <w:p w14:paraId="4FF62A8F"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60" w:history="1">
        <w:r w:rsidR="002E545D" w:rsidRPr="00DF54ED">
          <w:rPr>
            <w:rStyle w:val="Hyperlink"/>
            <w:rFonts w:eastAsiaTheme="majorEastAsia"/>
            <w:noProof/>
          </w:rPr>
          <w:t>Table 110: Responses to issues raised by auditor general</w:t>
        </w:r>
        <w:r w:rsidR="002E545D">
          <w:rPr>
            <w:noProof/>
            <w:webHidden/>
          </w:rPr>
          <w:tab/>
        </w:r>
        <w:r w:rsidR="002E545D">
          <w:rPr>
            <w:noProof/>
            <w:webHidden/>
          </w:rPr>
          <w:fldChar w:fldCharType="begin"/>
        </w:r>
        <w:r w:rsidR="002E545D">
          <w:rPr>
            <w:noProof/>
            <w:webHidden/>
          </w:rPr>
          <w:instrText xml:space="preserve"> PAGEREF _Toc510622360 \h </w:instrText>
        </w:r>
        <w:r w:rsidR="002E545D">
          <w:rPr>
            <w:noProof/>
            <w:webHidden/>
          </w:rPr>
        </w:r>
        <w:r w:rsidR="002E545D">
          <w:rPr>
            <w:noProof/>
            <w:webHidden/>
          </w:rPr>
          <w:fldChar w:fldCharType="separate"/>
        </w:r>
        <w:r w:rsidR="0067023A">
          <w:rPr>
            <w:noProof/>
            <w:webHidden/>
          </w:rPr>
          <w:t>126</w:t>
        </w:r>
        <w:r w:rsidR="002E545D">
          <w:rPr>
            <w:noProof/>
            <w:webHidden/>
          </w:rPr>
          <w:fldChar w:fldCharType="end"/>
        </w:r>
      </w:hyperlink>
    </w:p>
    <w:p w14:paraId="31CB927B"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61" w:history="1">
        <w:r w:rsidR="002E545D" w:rsidRPr="00DF54ED">
          <w:rPr>
            <w:rStyle w:val="Hyperlink"/>
            <w:rFonts w:eastAsiaTheme="majorEastAsia"/>
            <w:noProof/>
          </w:rPr>
          <w:t xml:space="preserve">Table 111: </w:t>
        </w:r>
        <w:r w:rsidR="002E545D" w:rsidRPr="00DF54ED">
          <w:rPr>
            <w:rStyle w:val="Hyperlink"/>
            <w:noProof/>
            <w:lang w:val="en-ZA" w:eastAsia="en-ZA"/>
          </w:rPr>
          <w:t>Comparative Target Achievement Information</w:t>
        </w:r>
        <w:r w:rsidR="002E545D">
          <w:rPr>
            <w:noProof/>
            <w:webHidden/>
          </w:rPr>
          <w:tab/>
        </w:r>
        <w:r w:rsidR="002E545D">
          <w:rPr>
            <w:noProof/>
            <w:webHidden/>
          </w:rPr>
          <w:fldChar w:fldCharType="begin"/>
        </w:r>
        <w:r w:rsidR="002E545D">
          <w:rPr>
            <w:noProof/>
            <w:webHidden/>
          </w:rPr>
          <w:instrText xml:space="preserve"> PAGEREF _Toc510622361 \h </w:instrText>
        </w:r>
        <w:r w:rsidR="002E545D">
          <w:rPr>
            <w:noProof/>
            <w:webHidden/>
          </w:rPr>
        </w:r>
        <w:r w:rsidR="002E545D">
          <w:rPr>
            <w:noProof/>
            <w:webHidden/>
          </w:rPr>
          <w:fldChar w:fldCharType="separate"/>
        </w:r>
        <w:r w:rsidR="0067023A">
          <w:rPr>
            <w:noProof/>
            <w:webHidden/>
          </w:rPr>
          <w:t>3</w:t>
        </w:r>
        <w:r w:rsidR="002E545D">
          <w:rPr>
            <w:noProof/>
            <w:webHidden/>
          </w:rPr>
          <w:fldChar w:fldCharType="end"/>
        </w:r>
      </w:hyperlink>
    </w:p>
    <w:p w14:paraId="69BF4D0D"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62" w:history="1">
        <w:r w:rsidR="002E545D" w:rsidRPr="00DF54ED">
          <w:rPr>
            <w:rStyle w:val="Hyperlink"/>
            <w:rFonts w:eastAsiaTheme="majorEastAsia"/>
            <w:noProof/>
          </w:rPr>
          <w:t>Table 112: Organisational Performance Management Scorecard</w:t>
        </w:r>
        <w:r w:rsidR="002E545D">
          <w:rPr>
            <w:noProof/>
            <w:webHidden/>
          </w:rPr>
          <w:tab/>
        </w:r>
        <w:r w:rsidR="002E545D">
          <w:rPr>
            <w:noProof/>
            <w:webHidden/>
          </w:rPr>
          <w:fldChar w:fldCharType="begin"/>
        </w:r>
        <w:r w:rsidR="002E545D">
          <w:rPr>
            <w:noProof/>
            <w:webHidden/>
          </w:rPr>
          <w:instrText xml:space="preserve"> PAGEREF _Toc510622362 \h </w:instrText>
        </w:r>
        <w:r w:rsidR="002E545D">
          <w:rPr>
            <w:noProof/>
            <w:webHidden/>
          </w:rPr>
        </w:r>
        <w:r w:rsidR="002E545D">
          <w:rPr>
            <w:noProof/>
            <w:webHidden/>
          </w:rPr>
          <w:fldChar w:fldCharType="separate"/>
        </w:r>
        <w:r w:rsidR="0067023A">
          <w:rPr>
            <w:noProof/>
            <w:webHidden/>
          </w:rPr>
          <w:t>20</w:t>
        </w:r>
        <w:r w:rsidR="002E545D">
          <w:rPr>
            <w:noProof/>
            <w:webHidden/>
          </w:rPr>
          <w:fldChar w:fldCharType="end"/>
        </w:r>
      </w:hyperlink>
    </w:p>
    <w:p w14:paraId="3754059E" w14:textId="77777777" w:rsidR="00B364FA" w:rsidRDefault="00D55BDA" w:rsidP="00B364FA">
      <w:pPr>
        <w:spacing w:line="288" w:lineRule="auto"/>
        <w:jc w:val="both"/>
        <w:rPr>
          <w:rFonts w:asciiTheme="minorHAnsi" w:hAnsiTheme="minorHAnsi" w:cstheme="minorHAnsi"/>
          <w:szCs w:val="20"/>
        </w:rPr>
      </w:pPr>
      <w:r w:rsidRPr="002A4197">
        <w:rPr>
          <w:rFonts w:asciiTheme="minorHAnsi" w:hAnsiTheme="minorHAnsi" w:cstheme="minorHAnsi"/>
          <w:szCs w:val="20"/>
        </w:rPr>
        <w:fldChar w:fldCharType="end"/>
      </w:r>
    </w:p>
    <w:p w14:paraId="2D68413C" w14:textId="77777777" w:rsidR="00976444" w:rsidRPr="00B364FA" w:rsidRDefault="00976444" w:rsidP="00B364FA">
      <w:pPr>
        <w:spacing w:line="288" w:lineRule="auto"/>
        <w:jc w:val="both"/>
        <w:rPr>
          <w:rStyle w:val="Hyperlink"/>
          <w:rFonts w:asciiTheme="minorHAnsi" w:hAnsiTheme="minorHAnsi" w:cstheme="minorHAnsi"/>
          <w:b/>
          <w:noProof/>
          <w:color w:val="auto"/>
          <w:szCs w:val="20"/>
          <w:u w:val="none"/>
        </w:rPr>
      </w:pPr>
      <w:r w:rsidRPr="00B364FA">
        <w:rPr>
          <w:rStyle w:val="Hyperlink"/>
          <w:rFonts w:asciiTheme="minorHAnsi" w:hAnsiTheme="minorHAnsi" w:cstheme="minorHAnsi"/>
          <w:b/>
          <w:noProof/>
          <w:color w:val="auto"/>
          <w:szCs w:val="20"/>
          <w:u w:val="none"/>
        </w:rPr>
        <w:t>LIST OF FIGURES</w:t>
      </w:r>
    </w:p>
    <w:p w14:paraId="1025356A" w14:textId="77777777" w:rsidR="002E545D" w:rsidRDefault="00FB35FD">
      <w:pPr>
        <w:pStyle w:val="TableofFigures"/>
        <w:tabs>
          <w:tab w:val="right" w:leader="dot" w:pos="9629"/>
        </w:tabs>
        <w:rPr>
          <w:rFonts w:asciiTheme="minorHAnsi" w:eastAsiaTheme="minorEastAsia" w:hAnsiTheme="minorHAnsi" w:cstheme="minorBidi"/>
          <w:noProof/>
          <w:sz w:val="22"/>
          <w:szCs w:val="22"/>
          <w:lang w:val="en-ZA" w:eastAsia="en-ZA" w:bidi="ar-SA"/>
        </w:rPr>
      </w:pPr>
      <w:r>
        <w:rPr>
          <w:rFonts w:asciiTheme="minorHAnsi" w:hAnsiTheme="minorHAnsi" w:cstheme="minorHAnsi"/>
        </w:rPr>
        <w:fldChar w:fldCharType="begin"/>
      </w:r>
      <w:r>
        <w:rPr>
          <w:rFonts w:asciiTheme="minorHAnsi" w:hAnsiTheme="minorHAnsi" w:cstheme="minorHAnsi"/>
        </w:rPr>
        <w:instrText xml:space="preserve"> TOC \h \z \c "Figure" </w:instrText>
      </w:r>
      <w:r>
        <w:rPr>
          <w:rFonts w:asciiTheme="minorHAnsi" w:hAnsiTheme="minorHAnsi" w:cstheme="minorHAnsi"/>
        </w:rPr>
        <w:fldChar w:fldCharType="separate"/>
      </w:r>
      <w:hyperlink w:anchor="_Toc510622363" w:history="1">
        <w:r w:rsidR="002E545D" w:rsidRPr="00112F9C">
          <w:rPr>
            <w:rStyle w:val="Hyperlink"/>
            <w:rFonts w:eastAsiaTheme="majorEastAsia"/>
            <w:noProof/>
          </w:rPr>
          <w:t>Figure 1: Performance Management</w:t>
        </w:r>
        <w:r w:rsidR="002E545D">
          <w:rPr>
            <w:noProof/>
            <w:webHidden/>
          </w:rPr>
          <w:tab/>
        </w:r>
        <w:r w:rsidR="002E545D">
          <w:rPr>
            <w:noProof/>
            <w:webHidden/>
          </w:rPr>
          <w:fldChar w:fldCharType="begin"/>
        </w:r>
        <w:r w:rsidR="002E545D">
          <w:rPr>
            <w:noProof/>
            <w:webHidden/>
          </w:rPr>
          <w:instrText xml:space="preserve"> PAGEREF _Toc510622363 \h </w:instrText>
        </w:r>
        <w:r w:rsidR="002E545D">
          <w:rPr>
            <w:noProof/>
            <w:webHidden/>
          </w:rPr>
        </w:r>
        <w:r w:rsidR="002E545D">
          <w:rPr>
            <w:noProof/>
            <w:webHidden/>
          </w:rPr>
          <w:fldChar w:fldCharType="separate"/>
        </w:r>
        <w:r w:rsidR="0067023A">
          <w:rPr>
            <w:noProof/>
            <w:webHidden/>
          </w:rPr>
          <w:t>22</w:t>
        </w:r>
        <w:r w:rsidR="002E545D">
          <w:rPr>
            <w:noProof/>
            <w:webHidden/>
          </w:rPr>
          <w:fldChar w:fldCharType="end"/>
        </w:r>
      </w:hyperlink>
    </w:p>
    <w:p w14:paraId="7E7ED781"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64" w:history="1">
        <w:r w:rsidR="002E545D" w:rsidRPr="00112F9C">
          <w:rPr>
            <w:rStyle w:val="Hyperlink"/>
            <w:rFonts w:eastAsiaTheme="majorEastAsia"/>
            <w:noProof/>
          </w:rPr>
          <w:t>Figure 2: UN SDGs (2016)</w:t>
        </w:r>
        <w:r w:rsidR="002E545D">
          <w:rPr>
            <w:noProof/>
            <w:webHidden/>
          </w:rPr>
          <w:tab/>
        </w:r>
        <w:r w:rsidR="002E545D">
          <w:rPr>
            <w:noProof/>
            <w:webHidden/>
          </w:rPr>
          <w:fldChar w:fldCharType="begin"/>
        </w:r>
        <w:r w:rsidR="002E545D">
          <w:rPr>
            <w:noProof/>
            <w:webHidden/>
          </w:rPr>
          <w:instrText xml:space="preserve"> PAGEREF _Toc510622364 \h </w:instrText>
        </w:r>
        <w:r w:rsidR="002E545D">
          <w:rPr>
            <w:noProof/>
            <w:webHidden/>
          </w:rPr>
        </w:r>
        <w:r w:rsidR="002E545D">
          <w:rPr>
            <w:noProof/>
            <w:webHidden/>
          </w:rPr>
          <w:fldChar w:fldCharType="separate"/>
        </w:r>
        <w:r w:rsidR="0067023A">
          <w:rPr>
            <w:noProof/>
            <w:webHidden/>
          </w:rPr>
          <w:t>24</w:t>
        </w:r>
        <w:r w:rsidR="002E545D">
          <w:rPr>
            <w:noProof/>
            <w:webHidden/>
          </w:rPr>
          <w:fldChar w:fldCharType="end"/>
        </w:r>
      </w:hyperlink>
    </w:p>
    <w:p w14:paraId="631E7250"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65" w:history="1">
        <w:r w:rsidR="002E545D" w:rsidRPr="00112F9C">
          <w:rPr>
            <w:rStyle w:val="Hyperlink"/>
            <w:rFonts w:eastAsiaTheme="majorEastAsia"/>
            <w:noProof/>
          </w:rPr>
          <w:t>Figure 3: National Development Plan Priorities</w:t>
        </w:r>
        <w:r w:rsidR="002E545D">
          <w:rPr>
            <w:noProof/>
            <w:webHidden/>
          </w:rPr>
          <w:tab/>
        </w:r>
        <w:r w:rsidR="002E545D">
          <w:rPr>
            <w:noProof/>
            <w:webHidden/>
          </w:rPr>
          <w:fldChar w:fldCharType="begin"/>
        </w:r>
        <w:r w:rsidR="002E545D">
          <w:rPr>
            <w:noProof/>
            <w:webHidden/>
          </w:rPr>
          <w:instrText xml:space="preserve"> PAGEREF _Toc510622365 \h </w:instrText>
        </w:r>
        <w:r w:rsidR="002E545D">
          <w:rPr>
            <w:noProof/>
            <w:webHidden/>
          </w:rPr>
        </w:r>
        <w:r w:rsidR="002E545D">
          <w:rPr>
            <w:noProof/>
            <w:webHidden/>
          </w:rPr>
          <w:fldChar w:fldCharType="separate"/>
        </w:r>
        <w:r w:rsidR="0067023A">
          <w:rPr>
            <w:noProof/>
            <w:webHidden/>
          </w:rPr>
          <w:t>25</w:t>
        </w:r>
        <w:r w:rsidR="002E545D">
          <w:rPr>
            <w:noProof/>
            <w:webHidden/>
          </w:rPr>
          <w:fldChar w:fldCharType="end"/>
        </w:r>
      </w:hyperlink>
    </w:p>
    <w:p w14:paraId="22144A0C"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66" w:history="1">
        <w:r w:rsidR="002E545D" w:rsidRPr="00112F9C">
          <w:rPr>
            <w:rStyle w:val="Hyperlink"/>
            <w:rFonts w:eastAsiaTheme="majorEastAsia"/>
            <w:noProof/>
          </w:rPr>
          <w:t>Figure 4: Alignment for Ingegrated Implementation</w:t>
        </w:r>
        <w:r w:rsidR="002E545D">
          <w:rPr>
            <w:noProof/>
            <w:webHidden/>
          </w:rPr>
          <w:tab/>
        </w:r>
        <w:r w:rsidR="002E545D">
          <w:rPr>
            <w:noProof/>
            <w:webHidden/>
          </w:rPr>
          <w:fldChar w:fldCharType="begin"/>
        </w:r>
        <w:r w:rsidR="002E545D">
          <w:rPr>
            <w:noProof/>
            <w:webHidden/>
          </w:rPr>
          <w:instrText xml:space="preserve"> PAGEREF _Toc510622366 \h </w:instrText>
        </w:r>
        <w:r w:rsidR="002E545D">
          <w:rPr>
            <w:noProof/>
            <w:webHidden/>
          </w:rPr>
        </w:r>
        <w:r w:rsidR="002E545D">
          <w:rPr>
            <w:noProof/>
            <w:webHidden/>
          </w:rPr>
          <w:fldChar w:fldCharType="separate"/>
        </w:r>
        <w:r w:rsidR="0067023A">
          <w:rPr>
            <w:noProof/>
            <w:webHidden/>
          </w:rPr>
          <w:t>29</w:t>
        </w:r>
        <w:r w:rsidR="002E545D">
          <w:rPr>
            <w:noProof/>
            <w:webHidden/>
          </w:rPr>
          <w:fldChar w:fldCharType="end"/>
        </w:r>
      </w:hyperlink>
    </w:p>
    <w:p w14:paraId="7F695FCF"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67" w:history="1">
        <w:r w:rsidR="002E545D" w:rsidRPr="00112F9C">
          <w:rPr>
            <w:rStyle w:val="Hyperlink"/>
            <w:rFonts w:eastAsiaTheme="majorEastAsia"/>
            <w:noProof/>
          </w:rPr>
          <w:t>Figure 5:  Age Distribution (2016)</w:t>
        </w:r>
        <w:r w:rsidR="002E545D">
          <w:rPr>
            <w:noProof/>
            <w:webHidden/>
          </w:rPr>
          <w:tab/>
        </w:r>
        <w:r w:rsidR="002E545D">
          <w:rPr>
            <w:noProof/>
            <w:webHidden/>
          </w:rPr>
          <w:fldChar w:fldCharType="begin"/>
        </w:r>
        <w:r w:rsidR="002E545D">
          <w:rPr>
            <w:noProof/>
            <w:webHidden/>
          </w:rPr>
          <w:instrText xml:space="preserve"> PAGEREF _Toc510622367 \h </w:instrText>
        </w:r>
        <w:r w:rsidR="002E545D">
          <w:rPr>
            <w:noProof/>
            <w:webHidden/>
          </w:rPr>
        </w:r>
        <w:r w:rsidR="002E545D">
          <w:rPr>
            <w:noProof/>
            <w:webHidden/>
          </w:rPr>
          <w:fldChar w:fldCharType="separate"/>
        </w:r>
        <w:r w:rsidR="0067023A">
          <w:rPr>
            <w:noProof/>
            <w:webHidden/>
          </w:rPr>
          <w:t>54</w:t>
        </w:r>
        <w:r w:rsidR="002E545D">
          <w:rPr>
            <w:noProof/>
            <w:webHidden/>
          </w:rPr>
          <w:fldChar w:fldCharType="end"/>
        </w:r>
      </w:hyperlink>
    </w:p>
    <w:p w14:paraId="088D83E9"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68" w:history="1">
        <w:r w:rsidR="002E545D" w:rsidRPr="00112F9C">
          <w:rPr>
            <w:rStyle w:val="Hyperlink"/>
            <w:rFonts w:eastAsiaTheme="majorEastAsia"/>
            <w:noProof/>
          </w:rPr>
          <w:t>Figure 6:  Office of the Mayor</w:t>
        </w:r>
        <w:r w:rsidR="002E545D">
          <w:rPr>
            <w:noProof/>
            <w:webHidden/>
          </w:rPr>
          <w:tab/>
        </w:r>
        <w:r w:rsidR="002E545D">
          <w:rPr>
            <w:noProof/>
            <w:webHidden/>
          </w:rPr>
          <w:fldChar w:fldCharType="begin"/>
        </w:r>
        <w:r w:rsidR="002E545D">
          <w:rPr>
            <w:noProof/>
            <w:webHidden/>
          </w:rPr>
          <w:instrText xml:space="preserve"> PAGEREF _Toc510622368 \h </w:instrText>
        </w:r>
        <w:r w:rsidR="002E545D">
          <w:rPr>
            <w:noProof/>
            <w:webHidden/>
          </w:rPr>
        </w:r>
        <w:r w:rsidR="002E545D">
          <w:rPr>
            <w:noProof/>
            <w:webHidden/>
          </w:rPr>
          <w:fldChar w:fldCharType="separate"/>
        </w:r>
        <w:r w:rsidR="0067023A">
          <w:rPr>
            <w:noProof/>
            <w:webHidden/>
          </w:rPr>
          <w:t>61</w:t>
        </w:r>
        <w:r w:rsidR="002E545D">
          <w:rPr>
            <w:noProof/>
            <w:webHidden/>
          </w:rPr>
          <w:fldChar w:fldCharType="end"/>
        </w:r>
      </w:hyperlink>
    </w:p>
    <w:p w14:paraId="380A30ED"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69" w:history="1">
        <w:r w:rsidR="002E545D" w:rsidRPr="00112F9C">
          <w:rPr>
            <w:rStyle w:val="Hyperlink"/>
            <w:rFonts w:eastAsiaTheme="majorEastAsia"/>
            <w:noProof/>
          </w:rPr>
          <w:t>Figure 7:  Office of the Deputy Mayor</w:t>
        </w:r>
        <w:r w:rsidR="002E545D">
          <w:rPr>
            <w:noProof/>
            <w:webHidden/>
          </w:rPr>
          <w:tab/>
        </w:r>
        <w:r w:rsidR="002E545D">
          <w:rPr>
            <w:noProof/>
            <w:webHidden/>
          </w:rPr>
          <w:fldChar w:fldCharType="begin"/>
        </w:r>
        <w:r w:rsidR="002E545D">
          <w:rPr>
            <w:noProof/>
            <w:webHidden/>
          </w:rPr>
          <w:instrText xml:space="preserve"> PAGEREF _Toc510622369 \h </w:instrText>
        </w:r>
        <w:r w:rsidR="002E545D">
          <w:rPr>
            <w:noProof/>
            <w:webHidden/>
          </w:rPr>
        </w:r>
        <w:r w:rsidR="002E545D">
          <w:rPr>
            <w:noProof/>
            <w:webHidden/>
          </w:rPr>
          <w:fldChar w:fldCharType="separate"/>
        </w:r>
        <w:r w:rsidR="0067023A">
          <w:rPr>
            <w:noProof/>
            <w:webHidden/>
          </w:rPr>
          <w:t>62</w:t>
        </w:r>
        <w:r w:rsidR="002E545D">
          <w:rPr>
            <w:noProof/>
            <w:webHidden/>
          </w:rPr>
          <w:fldChar w:fldCharType="end"/>
        </w:r>
      </w:hyperlink>
    </w:p>
    <w:p w14:paraId="7A03BF2C"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70" w:history="1">
        <w:r w:rsidR="002E545D" w:rsidRPr="00112F9C">
          <w:rPr>
            <w:rStyle w:val="Hyperlink"/>
            <w:rFonts w:eastAsiaTheme="majorEastAsia"/>
            <w:noProof/>
          </w:rPr>
          <w:t>Figure 8: Office of the Speaker</w:t>
        </w:r>
        <w:r w:rsidR="002E545D">
          <w:rPr>
            <w:noProof/>
            <w:webHidden/>
          </w:rPr>
          <w:tab/>
        </w:r>
        <w:r w:rsidR="002E545D">
          <w:rPr>
            <w:noProof/>
            <w:webHidden/>
          </w:rPr>
          <w:fldChar w:fldCharType="begin"/>
        </w:r>
        <w:r w:rsidR="002E545D">
          <w:rPr>
            <w:noProof/>
            <w:webHidden/>
          </w:rPr>
          <w:instrText xml:space="preserve"> PAGEREF _Toc510622370 \h </w:instrText>
        </w:r>
        <w:r w:rsidR="002E545D">
          <w:rPr>
            <w:noProof/>
            <w:webHidden/>
          </w:rPr>
        </w:r>
        <w:r w:rsidR="002E545D">
          <w:rPr>
            <w:noProof/>
            <w:webHidden/>
          </w:rPr>
          <w:fldChar w:fldCharType="separate"/>
        </w:r>
        <w:r w:rsidR="0067023A">
          <w:rPr>
            <w:noProof/>
            <w:webHidden/>
          </w:rPr>
          <w:t>62</w:t>
        </w:r>
        <w:r w:rsidR="002E545D">
          <w:rPr>
            <w:noProof/>
            <w:webHidden/>
          </w:rPr>
          <w:fldChar w:fldCharType="end"/>
        </w:r>
      </w:hyperlink>
    </w:p>
    <w:p w14:paraId="7CC9FB55"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71" w:history="1">
        <w:r w:rsidR="002E545D" w:rsidRPr="00112F9C">
          <w:rPr>
            <w:rStyle w:val="Hyperlink"/>
            <w:rFonts w:eastAsiaTheme="majorEastAsia"/>
            <w:noProof/>
          </w:rPr>
          <w:t>Figure 9: Office of the Chief Whip</w:t>
        </w:r>
        <w:r w:rsidR="002E545D">
          <w:rPr>
            <w:noProof/>
            <w:webHidden/>
          </w:rPr>
          <w:tab/>
        </w:r>
        <w:r w:rsidR="002E545D">
          <w:rPr>
            <w:noProof/>
            <w:webHidden/>
          </w:rPr>
          <w:fldChar w:fldCharType="begin"/>
        </w:r>
        <w:r w:rsidR="002E545D">
          <w:rPr>
            <w:noProof/>
            <w:webHidden/>
          </w:rPr>
          <w:instrText xml:space="preserve"> PAGEREF _Toc510622371 \h </w:instrText>
        </w:r>
        <w:r w:rsidR="002E545D">
          <w:rPr>
            <w:noProof/>
            <w:webHidden/>
          </w:rPr>
        </w:r>
        <w:r w:rsidR="002E545D">
          <w:rPr>
            <w:noProof/>
            <w:webHidden/>
          </w:rPr>
          <w:fldChar w:fldCharType="separate"/>
        </w:r>
        <w:r w:rsidR="0067023A">
          <w:rPr>
            <w:noProof/>
            <w:webHidden/>
          </w:rPr>
          <w:t>63</w:t>
        </w:r>
        <w:r w:rsidR="002E545D">
          <w:rPr>
            <w:noProof/>
            <w:webHidden/>
          </w:rPr>
          <w:fldChar w:fldCharType="end"/>
        </w:r>
      </w:hyperlink>
    </w:p>
    <w:p w14:paraId="6BBBF1EC"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72" w:history="1">
        <w:r w:rsidR="002E545D" w:rsidRPr="00112F9C">
          <w:rPr>
            <w:rStyle w:val="Hyperlink"/>
            <w:rFonts w:eastAsiaTheme="majorEastAsia"/>
            <w:noProof/>
          </w:rPr>
          <w:t>Figure 10: Macro Structure</w:t>
        </w:r>
        <w:r w:rsidR="002E545D">
          <w:rPr>
            <w:noProof/>
            <w:webHidden/>
          </w:rPr>
          <w:tab/>
        </w:r>
        <w:r w:rsidR="002E545D">
          <w:rPr>
            <w:noProof/>
            <w:webHidden/>
          </w:rPr>
          <w:fldChar w:fldCharType="begin"/>
        </w:r>
        <w:r w:rsidR="002E545D">
          <w:rPr>
            <w:noProof/>
            <w:webHidden/>
          </w:rPr>
          <w:instrText xml:space="preserve"> PAGEREF _Toc510622372 \h </w:instrText>
        </w:r>
        <w:r w:rsidR="002E545D">
          <w:rPr>
            <w:noProof/>
            <w:webHidden/>
          </w:rPr>
        </w:r>
        <w:r w:rsidR="002E545D">
          <w:rPr>
            <w:noProof/>
            <w:webHidden/>
          </w:rPr>
          <w:fldChar w:fldCharType="separate"/>
        </w:r>
        <w:r w:rsidR="0067023A">
          <w:rPr>
            <w:noProof/>
            <w:webHidden/>
          </w:rPr>
          <w:t>64</w:t>
        </w:r>
        <w:r w:rsidR="002E545D">
          <w:rPr>
            <w:noProof/>
            <w:webHidden/>
          </w:rPr>
          <w:fldChar w:fldCharType="end"/>
        </w:r>
      </w:hyperlink>
    </w:p>
    <w:p w14:paraId="243CE94A"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73" w:history="1">
        <w:r w:rsidR="002E545D" w:rsidRPr="00112F9C">
          <w:rPr>
            <w:rStyle w:val="Hyperlink"/>
            <w:rFonts w:eastAsiaTheme="majorEastAsia"/>
            <w:noProof/>
          </w:rPr>
          <w:t>Figure 11: Electricity Connection (CS 2016)</w:t>
        </w:r>
        <w:r w:rsidR="002E545D">
          <w:rPr>
            <w:noProof/>
            <w:webHidden/>
          </w:rPr>
          <w:tab/>
        </w:r>
        <w:r w:rsidR="002E545D">
          <w:rPr>
            <w:noProof/>
            <w:webHidden/>
          </w:rPr>
          <w:fldChar w:fldCharType="begin"/>
        </w:r>
        <w:r w:rsidR="002E545D">
          <w:rPr>
            <w:noProof/>
            <w:webHidden/>
          </w:rPr>
          <w:instrText xml:space="preserve"> PAGEREF _Toc510622373 \h </w:instrText>
        </w:r>
        <w:r w:rsidR="002E545D">
          <w:rPr>
            <w:noProof/>
            <w:webHidden/>
          </w:rPr>
        </w:r>
        <w:r w:rsidR="002E545D">
          <w:rPr>
            <w:noProof/>
            <w:webHidden/>
          </w:rPr>
          <w:fldChar w:fldCharType="separate"/>
        </w:r>
        <w:r w:rsidR="0067023A">
          <w:rPr>
            <w:noProof/>
            <w:webHidden/>
          </w:rPr>
          <w:t>81</w:t>
        </w:r>
        <w:r w:rsidR="002E545D">
          <w:rPr>
            <w:noProof/>
            <w:webHidden/>
          </w:rPr>
          <w:fldChar w:fldCharType="end"/>
        </w:r>
      </w:hyperlink>
    </w:p>
    <w:p w14:paraId="4FCE8DC7"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74" w:history="1">
        <w:r w:rsidR="002E545D" w:rsidRPr="00112F9C">
          <w:rPr>
            <w:rStyle w:val="Hyperlink"/>
            <w:rFonts w:eastAsiaTheme="majorEastAsia"/>
            <w:noProof/>
          </w:rPr>
          <w:t>Figure 12: Formal, Traditional and Informal Dwellings (CS 2016)</w:t>
        </w:r>
        <w:r w:rsidR="002E545D">
          <w:rPr>
            <w:noProof/>
            <w:webHidden/>
          </w:rPr>
          <w:tab/>
        </w:r>
        <w:r w:rsidR="002E545D">
          <w:rPr>
            <w:noProof/>
            <w:webHidden/>
          </w:rPr>
          <w:fldChar w:fldCharType="begin"/>
        </w:r>
        <w:r w:rsidR="002E545D">
          <w:rPr>
            <w:noProof/>
            <w:webHidden/>
          </w:rPr>
          <w:instrText xml:space="preserve"> PAGEREF _Toc510622374 \h </w:instrText>
        </w:r>
        <w:r w:rsidR="002E545D">
          <w:rPr>
            <w:noProof/>
            <w:webHidden/>
          </w:rPr>
        </w:r>
        <w:r w:rsidR="002E545D">
          <w:rPr>
            <w:noProof/>
            <w:webHidden/>
          </w:rPr>
          <w:fldChar w:fldCharType="separate"/>
        </w:r>
        <w:r w:rsidR="0067023A">
          <w:rPr>
            <w:noProof/>
            <w:webHidden/>
          </w:rPr>
          <w:t>90</w:t>
        </w:r>
        <w:r w:rsidR="002E545D">
          <w:rPr>
            <w:noProof/>
            <w:webHidden/>
          </w:rPr>
          <w:fldChar w:fldCharType="end"/>
        </w:r>
      </w:hyperlink>
    </w:p>
    <w:p w14:paraId="4221F996"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75" w:history="1">
        <w:r w:rsidR="002E545D" w:rsidRPr="00112F9C">
          <w:rPr>
            <w:rStyle w:val="Hyperlink"/>
            <w:rFonts w:eastAsiaTheme="majorEastAsia"/>
            <w:noProof/>
          </w:rPr>
          <w:t>Figure 13: Organisational Structure of the Housing Unit</w:t>
        </w:r>
        <w:r w:rsidR="002E545D">
          <w:rPr>
            <w:noProof/>
            <w:webHidden/>
          </w:rPr>
          <w:tab/>
        </w:r>
        <w:r w:rsidR="002E545D">
          <w:rPr>
            <w:noProof/>
            <w:webHidden/>
          </w:rPr>
          <w:fldChar w:fldCharType="begin"/>
        </w:r>
        <w:r w:rsidR="002E545D">
          <w:rPr>
            <w:noProof/>
            <w:webHidden/>
          </w:rPr>
          <w:instrText xml:space="preserve"> PAGEREF _Toc510622375 \h </w:instrText>
        </w:r>
        <w:r w:rsidR="002E545D">
          <w:rPr>
            <w:noProof/>
            <w:webHidden/>
          </w:rPr>
        </w:r>
        <w:r w:rsidR="002E545D">
          <w:rPr>
            <w:noProof/>
            <w:webHidden/>
          </w:rPr>
          <w:fldChar w:fldCharType="separate"/>
        </w:r>
        <w:r w:rsidR="0067023A">
          <w:rPr>
            <w:noProof/>
            <w:webHidden/>
          </w:rPr>
          <w:t>93</w:t>
        </w:r>
        <w:r w:rsidR="002E545D">
          <w:rPr>
            <w:noProof/>
            <w:webHidden/>
          </w:rPr>
          <w:fldChar w:fldCharType="end"/>
        </w:r>
      </w:hyperlink>
    </w:p>
    <w:p w14:paraId="2C70D7B8"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76" w:history="1">
        <w:r w:rsidR="002E545D" w:rsidRPr="00112F9C">
          <w:rPr>
            <w:rStyle w:val="Hyperlink"/>
            <w:rFonts w:eastAsiaTheme="majorEastAsia"/>
            <w:noProof/>
          </w:rPr>
          <w:t>Figure 14: KCDM Unemployment Rate (Global Insights 2015)</w:t>
        </w:r>
        <w:r w:rsidR="002E545D">
          <w:rPr>
            <w:noProof/>
            <w:webHidden/>
          </w:rPr>
          <w:tab/>
        </w:r>
        <w:r w:rsidR="002E545D">
          <w:rPr>
            <w:noProof/>
            <w:webHidden/>
          </w:rPr>
          <w:fldChar w:fldCharType="begin"/>
        </w:r>
        <w:r w:rsidR="002E545D">
          <w:rPr>
            <w:noProof/>
            <w:webHidden/>
          </w:rPr>
          <w:instrText xml:space="preserve"> PAGEREF _Toc510622376 \h </w:instrText>
        </w:r>
        <w:r w:rsidR="002E545D">
          <w:rPr>
            <w:noProof/>
            <w:webHidden/>
          </w:rPr>
        </w:r>
        <w:r w:rsidR="002E545D">
          <w:rPr>
            <w:noProof/>
            <w:webHidden/>
          </w:rPr>
          <w:fldChar w:fldCharType="separate"/>
        </w:r>
        <w:r w:rsidR="0067023A">
          <w:rPr>
            <w:noProof/>
            <w:webHidden/>
          </w:rPr>
          <w:t>99</w:t>
        </w:r>
        <w:r w:rsidR="002E545D">
          <w:rPr>
            <w:noProof/>
            <w:webHidden/>
          </w:rPr>
          <w:fldChar w:fldCharType="end"/>
        </w:r>
      </w:hyperlink>
    </w:p>
    <w:p w14:paraId="00107AB9"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77" w:history="1">
        <w:r w:rsidR="002E545D" w:rsidRPr="00112F9C">
          <w:rPr>
            <w:rStyle w:val="Hyperlink"/>
            <w:rFonts w:eastAsiaTheme="majorEastAsia"/>
            <w:noProof/>
          </w:rPr>
          <w:t>Figure 15: Familly of Municipalities Share in KCDM GDP</w:t>
        </w:r>
        <w:r w:rsidR="002E545D">
          <w:rPr>
            <w:noProof/>
            <w:webHidden/>
          </w:rPr>
          <w:tab/>
        </w:r>
        <w:r w:rsidR="002E545D">
          <w:rPr>
            <w:noProof/>
            <w:webHidden/>
          </w:rPr>
          <w:fldChar w:fldCharType="begin"/>
        </w:r>
        <w:r w:rsidR="002E545D">
          <w:rPr>
            <w:noProof/>
            <w:webHidden/>
          </w:rPr>
          <w:instrText xml:space="preserve"> PAGEREF _Toc510622377 \h </w:instrText>
        </w:r>
        <w:r w:rsidR="002E545D">
          <w:rPr>
            <w:noProof/>
            <w:webHidden/>
          </w:rPr>
        </w:r>
        <w:r w:rsidR="002E545D">
          <w:rPr>
            <w:noProof/>
            <w:webHidden/>
          </w:rPr>
          <w:fldChar w:fldCharType="separate"/>
        </w:r>
        <w:r w:rsidR="0067023A">
          <w:rPr>
            <w:noProof/>
            <w:webHidden/>
          </w:rPr>
          <w:t>99</w:t>
        </w:r>
        <w:r w:rsidR="002E545D">
          <w:rPr>
            <w:noProof/>
            <w:webHidden/>
          </w:rPr>
          <w:fldChar w:fldCharType="end"/>
        </w:r>
      </w:hyperlink>
    </w:p>
    <w:p w14:paraId="1340CC9F"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78" w:history="1">
        <w:r w:rsidR="002E545D" w:rsidRPr="00112F9C">
          <w:rPr>
            <w:rStyle w:val="Hyperlink"/>
            <w:rFonts w:eastAsiaTheme="majorEastAsia"/>
            <w:noProof/>
          </w:rPr>
          <w:t>Figure 16: King Cetshwayo District Municipality Economic Performance</w:t>
        </w:r>
        <w:r w:rsidR="002E545D">
          <w:rPr>
            <w:noProof/>
            <w:webHidden/>
          </w:rPr>
          <w:tab/>
        </w:r>
        <w:r w:rsidR="002E545D">
          <w:rPr>
            <w:noProof/>
            <w:webHidden/>
          </w:rPr>
          <w:fldChar w:fldCharType="begin"/>
        </w:r>
        <w:r w:rsidR="002E545D">
          <w:rPr>
            <w:noProof/>
            <w:webHidden/>
          </w:rPr>
          <w:instrText xml:space="preserve"> PAGEREF _Toc510622378 \h </w:instrText>
        </w:r>
        <w:r w:rsidR="002E545D">
          <w:rPr>
            <w:noProof/>
            <w:webHidden/>
          </w:rPr>
        </w:r>
        <w:r w:rsidR="002E545D">
          <w:rPr>
            <w:noProof/>
            <w:webHidden/>
          </w:rPr>
          <w:fldChar w:fldCharType="separate"/>
        </w:r>
        <w:r w:rsidR="0067023A">
          <w:rPr>
            <w:noProof/>
            <w:webHidden/>
          </w:rPr>
          <w:t>100</w:t>
        </w:r>
        <w:r w:rsidR="002E545D">
          <w:rPr>
            <w:noProof/>
            <w:webHidden/>
          </w:rPr>
          <w:fldChar w:fldCharType="end"/>
        </w:r>
      </w:hyperlink>
    </w:p>
    <w:p w14:paraId="37F6B932"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79" w:history="1">
        <w:r w:rsidR="002E545D" w:rsidRPr="00112F9C">
          <w:rPr>
            <w:rStyle w:val="Hyperlink"/>
            <w:rFonts w:eastAsiaTheme="majorEastAsia"/>
            <w:noProof/>
          </w:rPr>
          <w:t>Figure 17:  Average Annual Household Income.</w:t>
        </w:r>
        <w:r w:rsidR="002E545D" w:rsidRPr="00112F9C">
          <w:rPr>
            <w:rStyle w:val="Hyperlink"/>
            <w:rFonts w:eastAsiaTheme="majorEastAsia"/>
            <w:noProof/>
            <w:lang w:val="en-ZA" w:eastAsia="en-ZA"/>
          </w:rPr>
          <w:t xml:space="preserve"> </w:t>
        </w:r>
        <w:r w:rsidR="002E545D">
          <w:rPr>
            <w:noProof/>
            <w:webHidden/>
          </w:rPr>
          <w:tab/>
        </w:r>
        <w:r w:rsidR="002E545D">
          <w:rPr>
            <w:noProof/>
            <w:webHidden/>
          </w:rPr>
          <w:fldChar w:fldCharType="begin"/>
        </w:r>
        <w:r w:rsidR="002E545D">
          <w:rPr>
            <w:noProof/>
            <w:webHidden/>
          </w:rPr>
          <w:instrText xml:space="preserve"> PAGEREF _Toc510622379 \h </w:instrText>
        </w:r>
        <w:r w:rsidR="002E545D">
          <w:rPr>
            <w:noProof/>
            <w:webHidden/>
          </w:rPr>
        </w:r>
        <w:r w:rsidR="002E545D">
          <w:rPr>
            <w:noProof/>
            <w:webHidden/>
          </w:rPr>
          <w:fldChar w:fldCharType="separate"/>
        </w:r>
        <w:r w:rsidR="0067023A">
          <w:rPr>
            <w:noProof/>
            <w:webHidden/>
          </w:rPr>
          <w:t>101</w:t>
        </w:r>
        <w:r w:rsidR="002E545D">
          <w:rPr>
            <w:noProof/>
            <w:webHidden/>
          </w:rPr>
          <w:fldChar w:fldCharType="end"/>
        </w:r>
      </w:hyperlink>
    </w:p>
    <w:p w14:paraId="0F2B7499"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80" w:history="1">
        <w:r w:rsidR="002E545D" w:rsidRPr="00112F9C">
          <w:rPr>
            <w:rStyle w:val="Hyperlink"/>
            <w:rFonts w:eastAsiaTheme="majorEastAsia"/>
            <w:noProof/>
          </w:rPr>
          <w:t>Figure 18: Annual Household Income (CS 2016)</w:t>
        </w:r>
        <w:r w:rsidR="002E545D">
          <w:rPr>
            <w:noProof/>
            <w:webHidden/>
          </w:rPr>
          <w:tab/>
        </w:r>
        <w:r w:rsidR="002E545D">
          <w:rPr>
            <w:noProof/>
            <w:webHidden/>
          </w:rPr>
          <w:fldChar w:fldCharType="begin"/>
        </w:r>
        <w:r w:rsidR="002E545D">
          <w:rPr>
            <w:noProof/>
            <w:webHidden/>
          </w:rPr>
          <w:instrText xml:space="preserve"> PAGEREF _Toc510622380 \h </w:instrText>
        </w:r>
        <w:r w:rsidR="002E545D">
          <w:rPr>
            <w:noProof/>
            <w:webHidden/>
          </w:rPr>
        </w:r>
        <w:r w:rsidR="002E545D">
          <w:rPr>
            <w:noProof/>
            <w:webHidden/>
          </w:rPr>
          <w:fldChar w:fldCharType="separate"/>
        </w:r>
        <w:r w:rsidR="0067023A">
          <w:rPr>
            <w:noProof/>
            <w:webHidden/>
          </w:rPr>
          <w:t>101</w:t>
        </w:r>
        <w:r w:rsidR="002E545D">
          <w:rPr>
            <w:noProof/>
            <w:webHidden/>
          </w:rPr>
          <w:fldChar w:fldCharType="end"/>
        </w:r>
      </w:hyperlink>
    </w:p>
    <w:p w14:paraId="1124D326"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81" w:history="1">
        <w:r w:rsidR="002E545D" w:rsidRPr="00112F9C">
          <w:rPr>
            <w:rStyle w:val="Hyperlink"/>
            <w:rFonts w:eastAsiaTheme="majorEastAsia"/>
            <w:noProof/>
            <w:highlight w:val="red"/>
          </w:rPr>
          <w:t>Figure 19: SMME Sector Share (2013 LED Strategy)</w:t>
        </w:r>
        <w:r w:rsidR="002E545D">
          <w:rPr>
            <w:noProof/>
            <w:webHidden/>
          </w:rPr>
          <w:tab/>
        </w:r>
        <w:r w:rsidR="002E545D">
          <w:rPr>
            <w:noProof/>
            <w:webHidden/>
          </w:rPr>
          <w:fldChar w:fldCharType="begin"/>
        </w:r>
        <w:r w:rsidR="002E545D">
          <w:rPr>
            <w:noProof/>
            <w:webHidden/>
          </w:rPr>
          <w:instrText xml:space="preserve"> PAGEREF _Toc510622381 \h </w:instrText>
        </w:r>
        <w:r w:rsidR="002E545D">
          <w:rPr>
            <w:noProof/>
            <w:webHidden/>
          </w:rPr>
        </w:r>
        <w:r w:rsidR="002E545D">
          <w:rPr>
            <w:noProof/>
            <w:webHidden/>
          </w:rPr>
          <w:fldChar w:fldCharType="separate"/>
        </w:r>
        <w:r w:rsidR="0067023A">
          <w:rPr>
            <w:noProof/>
            <w:webHidden/>
          </w:rPr>
          <w:t>103</w:t>
        </w:r>
        <w:r w:rsidR="002E545D">
          <w:rPr>
            <w:noProof/>
            <w:webHidden/>
          </w:rPr>
          <w:fldChar w:fldCharType="end"/>
        </w:r>
      </w:hyperlink>
    </w:p>
    <w:p w14:paraId="4CC509CF"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82" w:history="1">
        <w:r w:rsidR="002E545D" w:rsidRPr="00112F9C">
          <w:rPr>
            <w:rStyle w:val="Hyperlink"/>
            <w:rFonts w:eastAsiaTheme="majorEastAsia"/>
            <w:noProof/>
          </w:rPr>
          <w:t>Figure 20: GVA contribution within manufacturing sector in uMlalazi, 2011 (Quantec 2012)</w:t>
        </w:r>
        <w:r w:rsidR="002E545D">
          <w:rPr>
            <w:noProof/>
            <w:webHidden/>
          </w:rPr>
          <w:tab/>
        </w:r>
        <w:r w:rsidR="002E545D">
          <w:rPr>
            <w:noProof/>
            <w:webHidden/>
          </w:rPr>
          <w:fldChar w:fldCharType="begin"/>
        </w:r>
        <w:r w:rsidR="002E545D">
          <w:rPr>
            <w:noProof/>
            <w:webHidden/>
          </w:rPr>
          <w:instrText xml:space="preserve"> PAGEREF _Toc510622382 \h </w:instrText>
        </w:r>
        <w:r w:rsidR="002E545D">
          <w:rPr>
            <w:noProof/>
            <w:webHidden/>
          </w:rPr>
        </w:r>
        <w:r w:rsidR="002E545D">
          <w:rPr>
            <w:noProof/>
            <w:webHidden/>
          </w:rPr>
          <w:fldChar w:fldCharType="separate"/>
        </w:r>
        <w:r w:rsidR="0067023A">
          <w:rPr>
            <w:noProof/>
            <w:webHidden/>
          </w:rPr>
          <w:t>112</w:t>
        </w:r>
        <w:r w:rsidR="002E545D">
          <w:rPr>
            <w:noProof/>
            <w:webHidden/>
          </w:rPr>
          <w:fldChar w:fldCharType="end"/>
        </w:r>
      </w:hyperlink>
    </w:p>
    <w:p w14:paraId="3E161C19"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83" w:history="1">
        <w:r w:rsidR="002E545D" w:rsidRPr="00112F9C">
          <w:rPr>
            <w:rStyle w:val="Hyperlink"/>
            <w:rFonts w:eastAsiaTheme="majorEastAsia"/>
            <w:noProof/>
          </w:rPr>
          <w:t>Figure 21: CBP Cycle Process</w:t>
        </w:r>
        <w:r w:rsidR="002E545D">
          <w:rPr>
            <w:noProof/>
            <w:webHidden/>
          </w:rPr>
          <w:tab/>
        </w:r>
        <w:r w:rsidR="002E545D">
          <w:rPr>
            <w:noProof/>
            <w:webHidden/>
          </w:rPr>
          <w:fldChar w:fldCharType="begin"/>
        </w:r>
        <w:r w:rsidR="002E545D">
          <w:rPr>
            <w:noProof/>
            <w:webHidden/>
          </w:rPr>
          <w:instrText xml:space="preserve"> PAGEREF _Toc510622383 \h </w:instrText>
        </w:r>
        <w:r w:rsidR="002E545D">
          <w:rPr>
            <w:noProof/>
            <w:webHidden/>
          </w:rPr>
        </w:r>
        <w:r w:rsidR="002E545D">
          <w:rPr>
            <w:noProof/>
            <w:webHidden/>
          </w:rPr>
          <w:fldChar w:fldCharType="separate"/>
        </w:r>
        <w:r w:rsidR="0067023A">
          <w:rPr>
            <w:noProof/>
            <w:webHidden/>
          </w:rPr>
          <w:t>115</w:t>
        </w:r>
        <w:r w:rsidR="002E545D">
          <w:rPr>
            <w:noProof/>
            <w:webHidden/>
          </w:rPr>
          <w:fldChar w:fldCharType="end"/>
        </w:r>
      </w:hyperlink>
    </w:p>
    <w:p w14:paraId="7140B303"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84" w:history="1">
        <w:r w:rsidR="002E545D" w:rsidRPr="00112F9C">
          <w:rPr>
            <w:rStyle w:val="Hyperlink"/>
            <w:rFonts w:eastAsiaTheme="majorEastAsia"/>
            <w:noProof/>
          </w:rPr>
          <w:t>Figure 22: MSCOA Segments</w:t>
        </w:r>
        <w:r w:rsidR="002E545D">
          <w:rPr>
            <w:noProof/>
            <w:webHidden/>
          </w:rPr>
          <w:tab/>
        </w:r>
        <w:r w:rsidR="002E545D">
          <w:rPr>
            <w:noProof/>
            <w:webHidden/>
          </w:rPr>
          <w:fldChar w:fldCharType="begin"/>
        </w:r>
        <w:r w:rsidR="002E545D">
          <w:rPr>
            <w:noProof/>
            <w:webHidden/>
          </w:rPr>
          <w:instrText xml:space="preserve"> PAGEREF _Toc510622384 \h </w:instrText>
        </w:r>
        <w:r w:rsidR="002E545D">
          <w:rPr>
            <w:noProof/>
            <w:webHidden/>
          </w:rPr>
        </w:r>
        <w:r w:rsidR="002E545D">
          <w:rPr>
            <w:noProof/>
            <w:webHidden/>
          </w:rPr>
          <w:fldChar w:fldCharType="separate"/>
        </w:r>
        <w:r w:rsidR="0067023A">
          <w:rPr>
            <w:noProof/>
            <w:webHidden/>
          </w:rPr>
          <w:t>129</w:t>
        </w:r>
        <w:r w:rsidR="002E545D">
          <w:rPr>
            <w:noProof/>
            <w:webHidden/>
          </w:rPr>
          <w:fldChar w:fldCharType="end"/>
        </w:r>
      </w:hyperlink>
    </w:p>
    <w:p w14:paraId="5A206250"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85" w:history="1">
        <w:r w:rsidR="002E545D" w:rsidRPr="00112F9C">
          <w:rPr>
            <w:rStyle w:val="Hyperlink"/>
            <w:rFonts w:eastAsiaTheme="majorEastAsia"/>
            <w:noProof/>
          </w:rPr>
          <w:t xml:space="preserve">Figure 23: </w:t>
        </w:r>
        <w:r w:rsidR="002E545D" w:rsidRPr="00112F9C">
          <w:rPr>
            <w:rStyle w:val="Hyperlink"/>
            <w:rFonts w:eastAsiaTheme="majorEastAsia"/>
            <w:noProof/>
            <w:lang w:val="en-ZA" w:eastAsia="en-ZA"/>
          </w:rPr>
          <w:t>EPWP uMlalazi Municipality Co-ordination Structure</w:t>
        </w:r>
        <w:r w:rsidR="002E545D">
          <w:rPr>
            <w:noProof/>
            <w:webHidden/>
          </w:rPr>
          <w:tab/>
        </w:r>
        <w:r w:rsidR="002E545D">
          <w:rPr>
            <w:noProof/>
            <w:webHidden/>
          </w:rPr>
          <w:fldChar w:fldCharType="begin"/>
        </w:r>
        <w:r w:rsidR="002E545D">
          <w:rPr>
            <w:noProof/>
            <w:webHidden/>
          </w:rPr>
          <w:instrText xml:space="preserve"> PAGEREF _Toc510622385 \h </w:instrText>
        </w:r>
        <w:r w:rsidR="002E545D">
          <w:rPr>
            <w:noProof/>
            <w:webHidden/>
          </w:rPr>
        </w:r>
        <w:r w:rsidR="002E545D">
          <w:rPr>
            <w:noProof/>
            <w:webHidden/>
          </w:rPr>
          <w:fldChar w:fldCharType="separate"/>
        </w:r>
        <w:r w:rsidR="0067023A">
          <w:rPr>
            <w:noProof/>
            <w:webHidden/>
          </w:rPr>
          <w:t>146</w:t>
        </w:r>
        <w:r w:rsidR="002E545D">
          <w:rPr>
            <w:noProof/>
            <w:webHidden/>
          </w:rPr>
          <w:fldChar w:fldCharType="end"/>
        </w:r>
      </w:hyperlink>
    </w:p>
    <w:p w14:paraId="27688A61"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86" w:history="1">
        <w:r w:rsidR="002E545D" w:rsidRPr="00112F9C">
          <w:rPr>
            <w:rStyle w:val="Hyperlink"/>
            <w:rFonts w:eastAsiaTheme="majorEastAsia"/>
            <w:noProof/>
          </w:rPr>
          <w:t>Figure 24: Four Risk Categories</w:t>
        </w:r>
        <w:r w:rsidR="002E545D">
          <w:rPr>
            <w:noProof/>
            <w:webHidden/>
          </w:rPr>
          <w:tab/>
        </w:r>
        <w:r w:rsidR="002E545D">
          <w:rPr>
            <w:noProof/>
            <w:webHidden/>
          </w:rPr>
          <w:fldChar w:fldCharType="begin"/>
        </w:r>
        <w:r w:rsidR="002E545D">
          <w:rPr>
            <w:noProof/>
            <w:webHidden/>
          </w:rPr>
          <w:instrText xml:space="preserve"> PAGEREF _Toc510622386 \h </w:instrText>
        </w:r>
        <w:r w:rsidR="002E545D">
          <w:rPr>
            <w:noProof/>
            <w:webHidden/>
          </w:rPr>
        </w:r>
        <w:r w:rsidR="002E545D">
          <w:rPr>
            <w:noProof/>
            <w:webHidden/>
          </w:rPr>
          <w:fldChar w:fldCharType="separate"/>
        </w:r>
        <w:r w:rsidR="0067023A">
          <w:rPr>
            <w:noProof/>
            <w:webHidden/>
          </w:rPr>
          <w:t>155</w:t>
        </w:r>
        <w:r w:rsidR="002E545D">
          <w:rPr>
            <w:noProof/>
            <w:webHidden/>
          </w:rPr>
          <w:fldChar w:fldCharType="end"/>
        </w:r>
      </w:hyperlink>
    </w:p>
    <w:p w14:paraId="7091739E"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87" w:history="1">
        <w:r w:rsidR="002E545D" w:rsidRPr="00112F9C">
          <w:rPr>
            <w:rStyle w:val="Hyperlink"/>
            <w:rFonts w:eastAsiaTheme="majorEastAsia"/>
            <w:noProof/>
          </w:rPr>
          <w:t>Figure 25: Top 10 Organisational Risks</w:t>
        </w:r>
        <w:r w:rsidR="002E545D">
          <w:rPr>
            <w:noProof/>
            <w:webHidden/>
          </w:rPr>
          <w:tab/>
        </w:r>
        <w:r w:rsidR="002E545D">
          <w:rPr>
            <w:noProof/>
            <w:webHidden/>
          </w:rPr>
          <w:fldChar w:fldCharType="begin"/>
        </w:r>
        <w:r w:rsidR="002E545D">
          <w:rPr>
            <w:noProof/>
            <w:webHidden/>
          </w:rPr>
          <w:instrText xml:space="preserve"> PAGEREF _Toc510622387 \h </w:instrText>
        </w:r>
        <w:r w:rsidR="002E545D">
          <w:rPr>
            <w:noProof/>
            <w:webHidden/>
          </w:rPr>
        </w:r>
        <w:r w:rsidR="002E545D">
          <w:rPr>
            <w:noProof/>
            <w:webHidden/>
          </w:rPr>
          <w:fldChar w:fldCharType="separate"/>
        </w:r>
        <w:r w:rsidR="0067023A">
          <w:rPr>
            <w:noProof/>
            <w:webHidden/>
          </w:rPr>
          <w:t>157</w:t>
        </w:r>
        <w:r w:rsidR="002E545D">
          <w:rPr>
            <w:noProof/>
            <w:webHidden/>
          </w:rPr>
          <w:fldChar w:fldCharType="end"/>
        </w:r>
      </w:hyperlink>
    </w:p>
    <w:p w14:paraId="170D6013"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88" w:history="1">
        <w:r w:rsidR="002E545D" w:rsidRPr="00112F9C">
          <w:rPr>
            <w:rStyle w:val="Hyperlink"/>
            <w:rFonts w:eastAsiaTheme="majorEastAsia"/>
            <w:noProof/>
          </w:rPr>
          <w:t>Figure 26: Summary of Performance Management Framework</w:t>
        </w:r>
        <w:r w:rsidR="002E545D">
          <w:rPr>
            <w:noProof/>
            <w:webHidden/>
          </w:rPr>
          <w:tab/>
        </w:r>
        <w:r w:rsidR="002E545D">
          <w:rPr>
            <w:noProof/>
            <w:webHidden/>
          </w:rPr>
          <w:fldChar w:fldCharType="begin"/>
        </w:r>
        <w:r w:rsidR="002E545D">
          <w:rPr>
            <w:noProof/>
            <w:webHidden/>
          </w:rPr>
          <w:instrText xml:space="preserve"> PAGEREF _Toc510622388 \h </w:instrText>
        </w:r>
        <w:r w:rsidR="002E545D">
          <w:rPr>
            <w:noProof/>
            <w:webHidden/>
          </w:rPr>
        </w:r>
        <w:r w:rsidR="002E545D">
          <w:rPr>
            <w:noProof/>
            <w:webHidden/>
          </w:rPr>
          <w:fldChar w:fldCharType="separate"/>
        </w:r>
        <w:r w:rsidR="0067023A">
          <w:rPr>
            <w:noProof/>
            <w:webHidden/>
          </w:rPr>
          <w:t>1</w:t>
        </w:r>
        <w:r w:rsidR="002E545D">
          <w:rPr>
            <w:noProof/>
            <w:webHidden/>
          </w:rPr>
          <w:fldChar w:fldCharType="end"/>
        </w:r>
      </w:hyperlink>
    </w:p>
    <w:p w14:paraId="772B6D20"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89" w:history="1">
        <w:r w:rsidR="002E545D" w:rsidRPr="00112F9C">
          <w:rPr>
            <w:rStyle w:val="Hyperlink"/>
            <w:rFonts w:eastAsiaTheme="majorEastAsia"/>
            <w:noProof/>
          </w:rPr>
          <w:t xml:space="preserve">Figure 27: </w:t>
        </w:r>
        <w:r w:rsidR="002E545D" w:rsidRPr="00112F9C">
          <w:rPr>
            <w:rStyle w:val="Hyperlink"/>
            <w:i/>
            <w:iCs/>
            <w:noProof/>
            <w:lang w:val="en-ZA" w:eastAsia="en-ZA"/>
          </w:rPr>
          <w:t>Comparative Target Achievement Information</w:t>
        </w:r>
        <w:r w:rsidR="002E545D">
          <w:rPr>
            <w:noProof/>
            <w:webHidden/>
          </w:rPr>
          <w:tab/>
        </w:r>
        <w:r w:rsidR="002E545D">
          <w:rPr>
            <w:noProof/>
            <w:webHidden/>
          </w:rPr>
          <w:fldChar w:fldCharType="begin"/>
        </w:r>
        <w:r w:rsidR="002E545D">
          <w:rPr>
            <w:noProof/>
            <w:webHidden/>
          </w:rPr>
          <w:instrText xml:space="preserve"> PAGEREF _Toc510622389 \h </w:instrText>
        </w:r>
        <w:r w:rsidR="002E545D">
          <w:rPr>
            <w:noProof/>
            <w:webHidden/>
          </w:rPr>
        </w:r>
        <w:r w:rsidR="002E545D">
          <w:rPr>
            <w:noProof/>
            <w:webHidden/>
          </w:rPr>
          <w:fldChar w:fldCharType="separate"/>
        </w:r>
        <w:r w:rsidR="0067023A">
          <w:rPr>
            <w:noProof/>
            <w:webHidden/>
          </w:rPr>
          <w:t>3</w:t>
        </w:r>
        <w:r w:rsidR="002E545D">
          <w:rPr>
            <w:noProof/>
            <w:webHidden/>
          </w:rPr>
          <w:fldChar w:fldCharType="end"/>
        </w:r>
      </w:hyperlink>
    </w:p>
    <w:p w14:paraId="5806559E"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90" w:history="1">
        <w:r w:rsidR="002E545D" w:rsidRPr="00112F9C">
          <w:rPr>
            <w:rStyle w:val="Hyperlink"/>
            <w:rFonts w:eastAsiaTheme="majorEastAsia"/>
            <w:noProof/>
          </w:rPr>
          <w:t xml:space="preserve">Figure 28: </w:t>
        </w:r>
        <w:r w:rsidR="002E545D" w:rsidRPr="00112F9C">
          <w:rPr>
            <w:rStyle w:val="Hyperlink"/>
            <w:i/>
            <w:iCs/>
            <w:noProof/>
            <w:lang w:val="en-ZA" w:eastAsia="en-ZA"/>
          </w:rPr>
          <w:t>Target Achievement per Directorate</w:t>
        </w:r>
        <w:r w:rsidR="002E545D">
          <w:rPr>
            <w:noProof/>
            <w:webHidden/>
          </w:rPr>
          <w:tab/>
        </w:r>
        <w:r w:rsidR="002E545D">
          <w:rPr>
            <w:noProof/>
            <w:webHidden/>
          </w:rPr>
          <w:fldChar w:fldCharType="begin"/>
        </w:r>
        <w:r w:rsidR="002E545D">
          <w:rPr>
            <w:noProof/>
            <w:webHidden/>
          </w:rPr>
          <w:instrText xml:space="preserve"> PAGEREF _Toc510622390 \h </w:instrText>
        </w:r>
        <w:r w:rsidR="002E545D">
          <w:rPr>
            <w:noProof/>
            <w:webHidden/>
          </w:rPr>
        </w:r>
        <w:r w:rsidR="002E545D">
          <w:rPr>
            <w:noProof/>
            <w:webHidden/>
          </w:rPr>
          <w:fldChar w:fldCharType="separate"/>
        </w:r>
        <w:r w:rsidR="0067023A">
          <w:rPr>
            <w:noProof/>
            <w:webHidden/>
          </w:rPr>
          <w:t>4</w:t>
        </w:r>
        <w:r w:rsidR="002E545D">
          <w:rPr>
            <w:noProof/>
            <w:webHidden/>
          </w:rPr>
          <w:fldChar w:fldCharType="end"/>
        </w:r>
      </w:hyperlink>
    </w:p>
    <w:p w14:paraId="060F64F2" w14:textId="77777777" w:rsidR="002E545D"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510622391" w:history="1">
        <w:r w:rsidR="002E545D" w:rsidRPr="00112F9C">
          <w:rPr>
            <w:rStyle w:val="Hyperlink"/>
            <w:rFonts w:eastAsiaTheme="majorEastAsia"/>
            <w:noProof/>
          </w:rPr>
          <w:t xml:space="preserve">Figure 29: </w:t>
        </w:r>
        <w:r w:rsidR="002E545D" w:rsidRPr="00112F9C">
          <w:rPr>
            <w:rStyle w:val="Hyperlink"/>
            <w:i/>
            <w:iCs/>
            <w:noProof/>
            <w:lang w:val="en-ZA" w:eastAsia="en-ZA"/>
          </w:rPr>
          <w:t>Target Achievement per KPA</w:t>
        </w:r>
        <w:r w:rsidR="002E545D">
          <w:rPr>
            <w:noProof/>
            <w:webHidden/>
          </w:rPr>
          <w:tab/>
        </w:r>
        <w:r w:rsidR="002E545D">
          <w:rPr>
            <w:noProof/>
            <w:webHidden/>
          </w:rPr>
          <w:fldChar w:fldCharType="begin"/>
        </w:r>
        <w:r w:rsidR="002E545D">
          <w:rPr>
            <w:noProof/>
            <w:webHidden/>
          </w:rPr>
          <w:instrText xml:space="preserve"> PAGEREF _Toc510622391 \h </w:instrText>
        </w:r>
        <w:r w:rsidR="002E545D">
          <w:rPr>
            <w:noProof/>
            <w:webHidden/>
          </w:rPr>
        </w:r>
        <w:r w:rsidR="002E545D">
          <w:rPr>
            <w:noProof/>
            <w:webHidden/>
          </w:rPr>
          <w:fldChar w:fldCharType="separate"/>
        </w:r>
        <w:r w:rsidR="0067023A">
          <w:rPr>
            <w:noProof/>
            <w:webHidden/>
          </w:rPr>
          <w:t>4</w:t>
        </w:r>
        <w:r w:rsidR="002E545D">
          <w:rPr>
            <w:noProof/>
            <w:webHidden/>
          </w:rPr>
          <w:fldChar w:fldCharType="end"/>
        </w:r>
      </w:hyperlink>
    </w:p>
    <w:p w14:paraId="55934865" w14:textId="77777777" w:rsidR="001078EE" w:rsidRPr="002A4197" w:rsidRDefault="00FB35FD" w:rsidP="00395313">
      <w:pPr>
        <w:spacing w:line="288" w:lineRule="auto"/>
        <w:jc w:val="both"/>
        <w:rPr>
          <w:rFonts w:asciiTheme="minorHAnsi" w:hAnsiTheme="minorHAnsi" w:cstheme="minorHAnsi"/>
          <w:szCs w:val="20"/>
        </w:rPr>
      </w:pPr>
      <w:r>
        <w:rPr>
          <w:rFonts w:asciiTheme="minorHAnsi" w:eastAsia="Times New Roman" w:hAnsiTheme="minorHAnsi" w:cstheme="minorHAnsi"/>
          <w:szCs w:val="20"/>
          <w:lang w:bidi="en-US"/>
        </w:rPr>
        <w:fldChar w:fldCharType="end"/>
      </w:r>
    </w:p>
    <w:p w14:paraId="0E4D2668" w14:textId="77777777" w:rsidR="00976444" w:rsidRPr="00B364FA" w:rsidRDefault="00976444" w:rsidP="00395313">
      <w:pPr>
        <w:jc w:val="both"/>
        <w:rPr>
          <w:rStyle w:val="Hyperlink"/>
          <w:rFonts w:asciiTheme="minorHAnsi" w:hAnsiTheme="minorHAnsi" w:cstheme="minorHAnsi"/>
          <w:b/>
          <w:noProof/>
          <w:color w:val="auto"/>
          <w:szCs w:val="20"/>
          <w:u w:val="none"/>
        </w:rPr>
      </w:pPr>
      <w:r w:rsidRPr="00B364FA">
        <w:rPr>
          <w:rStyle w:val="Hyperlink"/>
          <w:rFonts w:asciiTheme="minorHAnsi" w:hAnsiTheme="minorHAnsi" w:cstheme="minorHAnsi"/>
          <w:b/>
          <w:noProof/>
          <w:color w:val="auto"/>
          <w:szCs w:val="20"/>
          <w:u w:val="none"/>
        </w:rPr>
        <w:t>LIST OF MAPS</w:t>
      </w:r>
    </w:p>
    <w:p w14:paraId="40C723D8" w14:textId="77777777" w:rsidR="00033C76" w:rsidRDefault="00D55BDA">
      <w:pPr>
        <w:pStyle w:val="TableofFigures"/>
        <w:tabs>
          <w:tab w:val="right" w:leader="dot" w:pos="9629"/>
        </w:tabs>
        <w:rPr>
          <w:rFonts w:asciiTheme="minorHAnsi" w:eastAsiaTheme="minorEastAsia" w:hAnsiTheme="minorHAnsi" w:cstheme="minorBidi"/>
          <w:noProof/>
          <w:sz w:val="22"/>
          <w:szCs w:val="22"/>
          <w:lang w:val="en-ZA" w:eastAsia="en-ZA" w:bidi="ar-SA"/>
        </w:rPr>
      </w:pPr>
      <w:r w:rsidRPr="002A4197">
        <w:rPr>
          <w:rFonts w:asciiTheme="minorHAnsi" w:hAnsiTheme="minorHAnsi" w:cstheme="minorHAnsi"/>
        </w:rPr>
        <w:fldChar w:fldCharType="begin"/>
      </w:r>
      <w:r w:rsidR="00976444" w:rsidRPr="002A4197">
        <w:rPr>
          <w:rFonts w:asciiTheme="minorHAnsi" w:hAnsiTheme="minorHAnsi" w:cstheme="minorHAnsi"/>
        </w:rPr>
        <w:instrText xml:space="preserve"> TOC \h \z \c "Map" </w:instrText>
      </w:r>
      <w:r w:rsidRPr="002A4197">
        <w:rPr>
          <w:rFonts w:asciiTheme="minorHAnsi" w:hAnsiTheme="minorHAnsi" w:cstheme="minorHAnsi"/>
        </w:rPr>
        <w:fldChar w:fldCharType="separate"/>
      </w:r>
      <w:hyperlink w:anchor="_Toc481468916" w:history="1">
        <w:r w:rsidR="00033C76" w:rsidRPr="006A2369">
          <w:rPr>
            <w:rStyle w:val="Hyperlink"/>
            <w:rFonts w:eastAsiaTheme="majorEastAsia"/>
            <w:noProof/>
          </w:rPr>
          <w:t>Map 1: Regional Context</w:t>
        </w:r>
        <w:r w:rsidR="00033C76">
          <w:rPr>
            <w:noProof/>
            <w:webHidden/>
          </w:rPr>
          <w:tab/>
        </w:r>
        <w:r w:rsidR="00033C76">
          <w:rPr>
            <w:noProof/>
            <w:webHidden/>
          </w:rPr>
          <w:fldChar w:fldCharType="begin"/>
        </w:r>
        <w:r w:rsidR="00033C76">
          <w:rPr>
            <w:noProof/>
            <w:webHidden/>
          </w:rPr>
          <w:instrText xml:space="preserve"> PAGEREF _Toc481468916 \h </w:instrText>
        </w:r>
        <w:r w:rsidR="00033C76">
          <w:rPr>
            <w:noProof/>
            <w:webHidden/>
          </w:rPr>
        </w:r>
        <w:r w:rsidR="00033C76">
          <w:rPr>
            <w:noProof/>
            <w:webHidden/>
          </w:rPr>
          <w:fldChar w:fldCharType="separate"/>
        </w:r>
        <w:r w:rsidR="0067023A">
          <w:rPr>
            <w:noProof/>
            <w:webHidden/>
          </w:rPr>
          <w:t>12</w:t>
        </w:r>
        <w:r w:rsidR="00033C76">
          <w:rPr>
            <w:noProof/>
            <w:webHidden/>
          </w:rPr>
          <w:fldChar w:fldCharType="end"/>
        </w:r>
      </w:hyperlink>
    </w:p>
    <w:p w14:paraId="32B6FAEC"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17" w:history="1">
        <w:r w:rsidR="00033C76" w:rsidRPr="006A2369">
          <w:rPr>
            <w:rStyle w:val="Hyperlink"/>
            <w:rFonts w:eastAsiaTheme="majorEastAsia"/>
            <w:noProof/>
          </w:rPr>
          <w:t>Map 2: Administrative Entities: Electoral Wards and Traditional Authority Areas</w:t>
        </w:r>
        <w:r w:rsidR="00033C76">
          <w:rPr>
            <w:noProof/>
            <w:webHidden/>
          </w:rPr>
          <w:tab/>
        </w:r>
        <w:r w:rsidR="00033C76">
          <w:rPr>
            <w:noProof/>
            <w:webHidden/>
          </w:rPr>
          <w:fldChar w:fldCharType="begin"/>
        </w:r>
        <w:r w:rsidR="00033C76">
          <w:rPr>
            <w:noProof/>
            <w:webHidden/>
          </w:rPr>
          <w:instrText xml:space="preserve"> PAGEREF _Toc481468917 \h </w:instrText>
        </w:r>
        <w:r w:rsidR="00033C76">
          <w:rPr>
            <w:noProof/>
            <w:webHidden/>
          </w:rPr>
        </w:r>
        <w:r w:rsidR="00033C76">
          <w:rPr>
            <w:noProof/>
            <w:webHidden/>
          </w:rPr>
          <w:fldChar w:fldCharType="separate"/>
        </w:r>
        <w:r w:rsidR="0067023A">
          <w:rPr>
            <w:noProof/>
            <w:webHidden/>
          </w:rPr>
          <w:t>14</w:t>
        </w:r>
        <w:r w:rsidR="00033C76">
          <w:rPr>
            <w:noProof/>
            <w:webHidden/>
          </w:rPr>
          <w:fldChar w:fldCharType="end"/>
        </w:r>
      </w:hyperlink>
    </w:p>
    <w:p w14:paraId="30C50754"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18" w:history="1">
        <w:r w:rsidR="00033C76" w:rsidRPr="006A2369">
          <w:rPr>
            <w:rStyle w:val="Hyperlink"/>
            <w:rFonts w:eastAsiaTheme="majorEastAsia"/>
            <w:noProof/>
          </w:rPr>
          <w:t>Map 3: Spatial Intervention Areas</w:t>
        </w:r>
        <w:r w:rsidR="00033C76">
          <w:rPr>
            <w:noProof/>
            <w:webHidden/>
          </w:rPr>
          <w:tab/>
        </w:r>
        <w:r w:rsidR="00033C76">
          <w:rPr>
            <w:noProof/>
            <w:webHidden/>
          </w:rPr>
          <w:fldChar w:fldCharType="begin"/>
        </w:r>
        <w:r w:rsidR="00033C76">
          <w:rPr>
            <w:noProof/>
            <w:webHidden/>
          </w:rPr>
          <w:instrText xml:space="preserve"> PAGEREF _Toc481468918 \h </w:instrText>
        </w:r>
        <w:r w:rsidR="00033C76">
          <w:rPr>
            <w:noProof/>
            <w:webHidden/>
          </w:rPr>
        </w:r>
        <w:r w:rsidR="00033C76">
          <w:rPr>
            <w:noProof/>
            <w:webHidden/>
          </w:rPr>
          <w:fldChar w:fldCharType="separate"/>
        </w:r>
        <w:r w:rsidR="0067023A">
          <w:rPr>
            <w:noProof/>
            <w:webHidden/>
          </w:rPr>
          <w:t>21</w:t>
        </w:r>
        <w:r w:rsidR="00033C76">
          <w:rPr>
            <w:noProof/>
            <w:webHidden/>
          </w:rPr>
          <w:fldChar w:fldCharType="end"/>
        </w:r>
      </w:hyperlink>
    </w:p>
    <w:p w14:paraId="11B6E1F5" w14:textId="2A41DD79"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19" w:history="1">
        <w:r w:rsidR="00033C76" w:rsidRPr="006A2369">
          <w:rPr>
            <w:rStyle w:val="Hyperlink"/>
            <w:rFonts w:eastAsiaTheme="majorEastAsia"/>
            <w:noProof/>
          </w:rPr>
          <w:t>Map 4: Regional Context</w:t>
        </w:r>
        <w:r w:rsidR="00033C76">
          <w:rPr>
            <w:noProof/>
            <w:webHidden/>
          </w:rPr>
          <w:tab/>
        </w:r>
        <w:r w:rsidR="00033C76">
          <w:rPr>
            <w:noProof/>
            <w:webHidden/>
          </w:rPr>
          <w:fldChar w:fldCharType="begin"/>
        </w:r>
        <w:r w:rsidR="00033C76">
          <w:rPr>
            <w:noProof/>
            <w:webHidden/>
          </w:rPr>
          <w:instrText xml:space="preserve"> PAGEREF _Toc481468919 \h </w:instrText>
        </w:r>
        <w:r w:rsidR="00033C76">
          <w:rPr>
            <w:noProof/>
            <w:webHidden/>
          </w:rPr>
        </w:r>
        <w:r w:rsidR="00033C76">
          <w:rPr>
            <w:noProof/>
            <w:webHidden/>
          </w:rPr>
          <w:fldChar w:fldCharType="separate"/>
        </w:r>
        <w:r w:rsidR="0067023A">
          <w:rPr>
            <w:b/>
            <w:bCs/>
            <w:noProof/>
            <w:webHidden/>
          </w:rPr>
          <w:t>Error! Bookmark not defined.</w:t>
        </w:r>
        <w:r w:rsidR="00033C76">
          <w:rPr>
            <w:noProof/>
            <w:webHidden/>
          </w:rPr>
          <w:fldChar w:fldCharType="end"/>
        </w:r>
      </w:hyperlink>
    </w:p>
    <w:p w14:paraId="30072F93"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20" w:history="1">
        <w:r w:rsidR="00033C76" w:rsidRPr="006A2369">
          <w:rPr>
            <w:rStyle w:val="Hyperlink"/>
            <w:rFonts w:eastAsiaTheme="majorEastAsia"/>
            <w:noProof/>
          </w:rPr>
          <w:t>Map 5: Administrative Entities: Traditional Authorities</w:t>
        </w:r>
        <w:r w:rsidR="00033C76">
          <w:rPr>
            <w:noProof/>
            <w:webHidden/>
          </w:rPr>
          <w:tab/>
        </w:r>
        <w:r w:rsidR="00033C76">
          <w:rPr>
            <w:noProof/>
            <w:webHidden/>
          </w:rPr>
          <w:fldChar w:fldCharType="begin"/>
        </w:r>
        <w:r w:rsidR="00033C76">
          <w:rPr>
            <w:noProof/>
            <w:webHidden/>
          </w:rPr>
          <w:instrText xml:space="preserve"> PAGEREF _Toc481468920 \h </w:instrText>
        </w:r>
        <w:r w:rsidR="00033C76">
          <w:rPr>
            <w:noProof/>
            <w:webHidden/>
          </w:rPr>
        </w:r>
        <w:r w:rsidR="00033C76">
          <w:rPr>
            <w:noProof/>
            <w:webHidden/>
          </w:rPr>
          <w:fldChar w:fldCharType="separate"/>
        </w:r>
        <w:r w:rsidR="0067023A">
          <w:rPr>
            <w:noProof/>
            <w:webHidden/>
          </w:rPr>
          <w:t>34</w:t>
        </w:r>
        <w:r w:rsidR="00033C76">
          <w:rPr>
            <w:noProof/>
            <w:webHidden/>
          </w:rPr>
          <w:fldChar w:fldCharType="end"/>
        </w:r>
      </w:hyperlink>
    </w:p>
    <w:p w14:paraId="1EB8DD64"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21" w:history="1">
        <w:r w:rsidR="00033C76" w:rsidRPr="006A2369">
          <w:rPr>
            <w:rStyle w:val="Hyperlink"/>
            <w:rFonts w:eastAsiaTheme="majorEastAsia"/>
            <w:noProof/>
          </w:rPr>
          <w:t>Map 6: uMlalazi LM Locality Map</w:t>
        </w:r>
        <w:r w:rsidR="00033C76">
          <w:rPr>
            <w:noProof/>
            <w:webHidden/>
          </w:rPr>
          <w:tab/>
        </w:r>
        <w:r w:rsidR="00033C76">
          <w:rPr>
            <w:noProof/>
            <w:webHidden/>
          </w:rPr>
          <w:fldChar w:fldCharType="begin"/>
        </w:r>
        <w:r w:rsidR="00033C76">
          <w:rPr>
            <w:noProof/>
            <w:webHidden/>
          </w:rPr>
          <w:instrText xml:space="preserve"> PAGEREF _Toc481468921 \h </w:instrText>
        </w:r>
        <w:r w:rsidR="00033C76">
          <w:rPr>
            <w:noProof/>
            <w:webHidden/>
          </w:rPr>
        </w:r>
        <w:r w:rsidR="00033C76">
          <w:rPr>
            <w:noProof/>
            <w:webHidden/>
          </w:rPr>
          <w:fldChar w:fldCharType="separate"/>
        </w:r>
        <w:r w:rsidR="0067023A">
          <w:rPr>
            <w:noProof/>
            <w:webHidden/>
          </w:rPr>
          <w:t>35</w:t>
        </w:r>
        <w:r w:rsidR="00033C76">
          <w:rPr>
            <w:noProof/>
            <w:webHidden/>
          </w:rPr>
          <w:fldChar w:fldCharType="end"/>
        </w:r>
      </w:hyperlink>
    </w:p>
    <w:p w14:paraId="351207A4"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22" w:history="1">
        <w:r w:rsidR="00033C76" w:rsidRPr="006A2369">
          <w:rPr>
            <w:rStyle w:val="Hyperlink"/>
            <w:rFonts w:eastAsiaTheme="majorEastAsia"/>
            <w:noProof/>
          </w:rPr>
          <w:t>Map 7: Existing Nodes and Settlements</w:t>
        </w:r>
        <w:r w:rsidR="00033C76">
          <w:rPr>
            <w:noProof/>
            <w:webHidden/>
          </w:rPr>
          <w:tab/>
        </w:r>
        <w:r w:rsidR="00033C76">
          <w:rPr>
            <w:noProof/>
            <w:webHidden/>
          </w:rPr>
          <w:fldChar w:fldCharType="begin"/>
        </w:r>
        <w:r w:rsidR="00033C76">
          <w:rPr>
            <w:noProof/>
            <w:webHidden/>
          </w:rPr>
          <w:instrText xml:space="preserve"> PAGEREF _Toc481468922 \h </w:instrText>
        </w:r>
        <w:r w:rsidR="00033C76">
          <w:rPr>
            <w:noProof/>
            <w:webHidden/>
          </w:rPr>
        </w:r>
        <w:r w:rsidR="00033C76">
          <w:rPr>
            <w:noProof/>
            <w:webHidden/>
          </w:rPr>
          <w:fldChar w:fldCharType="separate"/>
        </w:r>
        <w:r w:rsidR="0067023A">
          <w:rPr>
            <w:noProof/>
            <w:webHidden/>
          </w:rPr>
          <w:t>36</w:t>
        </w:r>
        <w:r w:rsidR="00033C76">
          <w:rPr>
            <w:noProof/>
            <w:webHidden/>
          </w:rPr>
          <w:fldChar w:fldCharType="end"/>
        </w:r>
      </w:hyperlink>
    </w:p>
    <w:p w14:paraId="0FBBEEE8"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23" w:history="1">
        <w:r w:rsidR="00033C76" w:rsidRPr="006A2369">
          <w:rPr>
            <w:rStyle w:val="Hyperlink"/>
            <w:rFonts w:eastAsiaTheme="majorEastAsia"/>
            <w:b/>
            <w:noProof/>
          </w:rPr>
          <w:t>Map 8:  Intervention Areas: Corridors</w:t>
        </w:r>
        <w:r w:rsidR="00033C76">
          <w:rPr>
            <w:noProof/>
            <w:webHidden/>
          </w:rPr>
          <w:tab/>
        </w:r>
        <w:r w:rsidR="00033C76">
          <w:rPr>
            <w:noProof/>
            <w:webHidden/>
          </w:rPr>
          <w:fldChar w:fldCharType="begin"/>
        </w:r>
        <w:r w:rsidR="00033C76">
          <w:rPr>
            <w:noProof/>
            <w:webHidden/>
          </w:rPr>
          <w:instrText xml:space="preserve"> PAGEREF _Toc481468923 \h </w:instrText>
        </w:r>
        <w:r w:rsidR="00033C76">
          <w:rPr>
            <w:noProof/>
            <w:webHidden/>
          </w:rPr>
        </w:r>
        <w:r w:rsidR="00033C76">
          <w:rPr>
            <w:noProof/>
            <w:webHidden/>
          </w:rPr>
          <w:fldChar w:fldCharType="separate"/>
        </w:r>
        <w:r w:rsidR="0067023A">
          <w:rPr>
            <w:noProof/>
            <w:webHidden/>
          </w:rPr>
          <w:t>37</w:t>
        </w:r>
        <w:r w:rsidR="00033C76">
          <w:rPr>
            <w:noProof/>
            <w:webHidden/>
          </w:rPr>
          <w:fldChar w:fldCharType="end"/>
        </w:r>
      </w:hyperlink>
    </w:p>
    <w:p w14:paraId="37C8E2F8"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24" w:history="1">
        <w:r w:rsidR="00033C76" w:rsidRPr="006A2369">
          <w:rPr>
            <w:rStyle w:val="Hyperlink"/>
            <w:rFonts w:eastAsiaTheme="majorEastAsia"/>
            <w:noProof/>
          </w:rPr>
          <w:t>Map 9:  Broad Land Uses</w:t>
        </w:r>
        <w:r w:rsidR="00033C76">
          <w:rPr>
            <w:noProof/>
            <w:webHidden/>
          </w:rPr>
          <w:tab/>
        </w:r>
        <w:r w:rsidR="00033C76">
          <w:rPr>
            <w:noProof/>
            <w:webHidden/>
          </w:rPr>
          <w:fldChar w:fldCharType="begin"/>
        </w:r>
        <w:r w:rsidR="00033C76">
          <w:rPr>
            <w:noProof/>
            <w:webHidden/>
          </w:rPr>
          <w:instrText xml:space="preserve"> PAGEREF _Toc481468924 \h </w:instrText>
        </w:r>
        <w:r w:rsidR="00033C76">
          <w:rPr>
            <w:noProof/>
            <w:webHidden/>
          </w:rPr>
        </w:r>
        <w:r w:rsidR="00033C76">
          <w:rPr>
            <w:noProof/>
            <w:webHidden/>
          </w:rPr>
          <w:fldChar w:fldCharType="separate"/>
        </w:r>
        <w:r w:rsidR="0067023A">
          <w:rPr>
            <w:noProof/>
            <w:webHidden/>
          </w:rPr>
          <w:t>38</w:t>
        </w:r>
        <w:r w:rsidR="00033C76">
          <w:rPr>
            <w:noProof/>
            <w:webHidden/>
          </w:rPr>
          <w:fldChar w:fldCharType="end"/>
        </w:r>
      </w:hyperlink>
    </w:p>
    <w:p w14:paraId="30B80FC6"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25" w:history="1">
        <w:r w:rsidR="00033C76" w:rsidRPr="006A2369">
          <w:rPr>
            <w:rStyle w:val="Hyperlink"/>
            <w:rFonts w:eastAsiaTheme="majorEastAsia"/>
            <w:noProof/>
          </w:rPr>
          <w:t>Map 10: Land Ownership</w:t>
        </w:r>
        <w:r w:rsidR="00033C76">
          <w:rPr>
            <w:noProof/>
            <w:webHidden/>
          </w:rPr>
          <w:tab/>
        </w:r>
        <w:r w:rsidR="00033C76">
          <w:rPr>
            <w:noProof/>
            <w:webHidden/>
          </w:rPr>
          <w:fldChar w:fldCharType="begin"/>
        </w:r>
        <w:r w:rsidR="00033C76">
          <w:rPr>
            <w:noProof/>
            <w:webHidden/>
          </w:rPr>
          <w:instrText xml:space="preserve"> PAGEREF _Toc481468925 \h </w:instrText>
        </w:r>
        <w:r w:rsidR="00033C76">
          <w:rPr>
            <w:noProof/>
            <w:webHidden/>
          </w:rPr>
        </w:r>
        <w:r w:rsidR="00033C76">
          <w:rPr>
            <w:noProof/>
            <w:webHidden/>
          </w:rPr>
          <w:fldChar w:fldCharType="separate"/>
        </w:r>
        <w:r w:rsidR="0067023A">
          <w:rPr>
            <w:noProof/>
            <w:webHidden/>
          </w:rPr>
          <w:t>39</w:t>
        </w:r>
        <w:r w:rsidR="00033C76">
          <w:rPr>
            <w:noProof/>
            <w:webHidden/>
          </w:rPr>
          <w:fldChar w:fldCharType="end"/>
        </w:r>
      </w:hyperlink>
    </w:p>
    <w:p w14:paraId="2041E3F1"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26" w:history="1">
        <w:r w:rsidR="00033C76" w:rsidRPr="006A2369">
          <w:rPr>
            <w:rStyle w:val="Hyperlink"/>
            <w:rFonts w:eastAsiaTheme="majorEastAsia" w:cs="Calibri"/>
            <w:b/>
            <w:noProof/>
          </w:rPr>
          <w:t>Map 11: Land Capability</w:t>
        </w:r>
        <w:r w:rsidR="00033C76">
          <w:rPr>
            <w:noProof/>
            <w:webHidden/>
          </w:rPr>
          <w:tab/>
        </w:r>
        <w:r w:rsidR="00033C76">
          <w:rPr>
            <w:noProof/>
            <w:webHidden/>
          </w:rPr>
          <w:fldChar w:fldCharType="begin"/>
        </w:r>
        <w:r w:rsidR="00033C76">
          <w:rPr>
            <w:noProof/>
            <w:webHidden/>
          </w:rPr>
          <w:instrText xml:space="preserve"> PAGEREF _Toc481468926 \h </w:instrText>
        </w:r>
        <w:r w:rsidR="00033C76">
          <w:rPr>
            <w:noProof/>
            <w:webHidden/>
          </w:rPr>
        </w:r>
        <w:r w:rsidR="00033C76">
          <w:rPr>
            <w:noProof/>
            <w:webHidden/>
          </w:rPr>
          <w:fldChar w:fldCharType="separate"/>
        </w:r>
        <w:r w:rsidR="0067023A">
          <w:rPr>
            <w:noProof/>
            <w:webHidden/>
          </w:rPr>
          <w:t>40</w:t>
        </w:r>
        <w:r w:rsidR="00033C76">
          <w:rPr>
            <w:noProof/>
            <w:webHidden/>
          </w:rPr>
          <w:fldChar w:fldCharType="end"/>
        </w:r>
      </w:hyperlink>
    </w:p>
    <w:p w14:paraId="1AD25332"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27" w:history="1">
        <w:r w:rsidR="00033C76" w:rsidRPr="006A2369">
          <w:rPr>
            <w:rStyle w:val="Hyperlink"/>
            <w:rFonts w:eastAsiaTheme="majorEastAsia"/>
            <w:noProof/>
          </w:rPr>
          <w:t>Map 12:  Population Density</w:t>
        </w:r>
        <w:r w:rsidR="00033C76">
          <w:rPr>
            <w:noProof/>
            <w:webHidden/>
          </w:rPr>
          <w:tab/>
        </w:r>
        <w:r w:rsidR="00033C76">
          <w:rPr>
            <w:noProof/>
            <w:webHidden/>
          </w:rPr>
          <w:fldChar w:fldCharType="begin"/>
        </w:r>
        <w:r w:rsidR="00033C76">
          <w:rPr>
            <w:noProof/>
            <w:webHidden/>
          </w:rPr>
          <w:instrText xml:space="preserve"> PAGEREF _Toc481468927 \h </w:instrText>
        </w:r>
        <w:r w:rsidR="00033C76">
          <w:rPr>
            <w:noProof/>
            <w:webHidden/>
          </w:rPr>
        </w:r>
        <w:r w:rsidR="00033C76">
          <w:rPr>
            <w:noProof/>
            <w:webHidden/>
          </w:rPr>
          <w:fldChar w:fldCharType="separate"/>
        </w:r>
        <w:r w:rsidR="0067023A">
          <w:rPr>
            <w:noProof/>
            <w:webHidden/>
          </w:rPr>
          <w:t>51</w:t>
        </w:r>
        <w:r w:rsidR="00033C76">
          <w:rPr>
            <w:noProof/>
            <w:webHidden/>
          </w:rPr>
          <w:fldChar w:fldCharType="end"/>
        </w:r>
      </w:hyperlink>
    </w:p>
    <w:p w14:paraId="11CE52F3"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28" w:history="1">
        <w:r w:rsidR="00033C76" w:rsidRPr="006A2369">
          <w:rPr>
            <w:rStyle w:val="Hyperlink"/>
            <w:rFonts w:eastAsiaTheme="majorEastAsia"/>
            <w:b/>
            <w:noProof/>
          </w:rPr>
          <w:t>Map 13:  Settlement Patterns</w:t>
        </w:r>
        <w:r w:rsidR="00033C76">
          <w:rPr>
            <w:noProof/>
            <w:webHidden/>
          </w:rPr>
          <w:tab/>
        </w:r>
        <w:r w:rsidR="00033C76">
          <w:rPr>
            <w:noProof/>
            <w:webHidden/>
          </w:rPr>
          <w:fldChar w:fldCharType="begin"/>
        </w:r>
        <w:r w:rsidR="00033C76">
          <w:rPr>
            <w:noProof/>
            <w:webHidden/>
          </w:rPr>
          <w:instrText xml:space="preserve"> PAGEREF _Toc481468928 \h </w:instrText>
        </w:r>
        <w:r w:rsidR="00033C76">
          <w:rPr>
            <w:noProof/>
            <w:webHidden/>
          </w:rPr>
        </w:r>
        <w:r w:rsidR="00033C76">
          <w:rPr>
            <w:noProof/>
            <w:webHidden/>
          </w:rPr>
          <w:fldChar w:fldCharType="separate"/>
        </w:r>
        <w:r w:rsidR="0067023A">
          <w:rPr>
            <w:noProof/>
            <w:webHidden/>
          </w:rPr>
          <w:t>53</w:t>
        </w:r>
        <w:r w:rsidR="00033C76">
          <w:rPr>
            <w:noProof/>
            <w:webHidden/>
          </w:rPr>
          <w:fldChar w:fldCharType="end"/>
        </w:r>
      </w:hyperlink>
    </w:p>
    <w:p w14:paraId="3350E714"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29" w:history="1">
        <w:r w:rsidR="00033C76" w:rsidRPr="006A2369">
          <w:rPr>
            <w:rStyle w:val="Hyperlink"/>
            <w:rFonts w:eastAsiaTheme="majorEastAsia"/>
            <w:noProof/>
          </w:rPr>
          <w:t>Map 14: Water Reticulation (2016)</w:t>
        </w:r>
        <w:r w:rsidR="00033C76">
          <w:rPr>
            <w:noProof/>
            <w:webHidden/>
          </w:rPr>
          <w:tab/>
        </w:r>
        <w:r w:rsidR="00033C76">
          <w:rPr>
            <w:noProof/>
            <w:webHidden/>
          </w:rPr>
          <w:fldChar w:fldCharType="begin"/>
        </w:r>
        <w:r w:rsidR="00033C76">
          <w:rPr>
            <w:noProof/>
            <w:webHidden/>
          </w:rPr>
          <w:instrText xml:space="preserve"> PAGEREF _Toc481468929 \h </w:instrText>
        </w:r>
        <w:r w:rsidR="00033C76">
          <w:rPr>
            <w:noProof/>
            <w:webHidden/>
          </w:rPr>
        </w:r>
        <w:r w:rsidR="00033C76">
          <w:rPr>
            <w:noProof/>
            <w:webHidden/>
          </w:rPr>
          <w:fldChar w:fldCharType="separate"/>
        </w:r>
        <w:r w:rsidR="0067023A">
          <w:rPr>
            <w:noProof/>
            <w:webHidden/>
          </w:rPr>
          <w:t>72</w:t>
        </w:r>
        <w:r w:rsidR="00033C76">
          <w:rPr>
            <w:noProof/>
            <w:webHidden/>
          </w:rPr>
          <w:fldChar w:fldCharType="end"/>
        </w:r>
      </w:hyperlink>
    </w:p>
    <w:p w14:paraId="41BDC9F3"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30" w:history="1">
        <w:r w:rsidR="00033C76" w:rsidRPr="006A2369">
          <w:rPr>
            <w:rStyle w:val="Hyperlink"/>
            <w:rFonts w:eastAsiaTheme="majorEastAsia"/>
            <w:noProof/>
          </w:rPr>
          <w:t>Map 15: Transport Routes</w:t>
        </w:r>
        <w:r w:rsidR="00033C76">
          <w:rPr>
            <w:noProof/>
            <w:webHidden/>
          </w:rPr>
          <w:tab/>
        </w:r>
        <w:r w:rsidR="00033C76">
          <w:rPr>
            <w:noProof/>
            <w:webHidden/>
          </w:rPr>
          <w:fldChar w:fldCharType="begin"/>
        </w:r>
        <w:r w:rsidR="00033C76">
          <w:rPr>
            <w:noProof/>
            <w:webHidden/>
          </w:rPr>
          <w:instrText xml:space="preserve"> PAGEREF _Toc481468930 \h </w:instrText>
        </w:r>
        <w:r w:rsidR="00033C76">
          <w:rPr>
            <w:noProof/>
            <w:webHidden/>
          </w:rPr>
        </w:r>
        <w:r w:rsidR="00033C76">
          <w:rPr>
            <w:noProof/>
            <w:webHidden/>
          </w:rPr>
          <w:fldChar w:fldCharType="separate"/>
        </w:r>
        <w:r w:rsidR="0067023A">
          <w:rPr>
            <w:noProof/>
            <w:webHidden/>
          </w:rPr>
          <w:t>78</w:t>
        </w:r>
        <w:r w:rsidR="00033C76">
          <w:rPr>
            <w:noProof/>
            <w:webHidden/>
          </w:rPr>
          <w:fldChar w:fldCharType="end"/>
        </w:r>
      </w:hyperlink>
    </w:p>
    <w:p w14:paraId="28F94765"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31" w:history="1">
        <w:r w:rsidR="00033C76" w:rsidRPr="006A2369">
          <w:rPr>
            <w:rStyle w:val="Hyperlink"/>
            <w:rFonts w:eastAsiaTheme="majorEastAsia"/>
            <w:noProof/>
          </w:rPr>
          <w:t>Map 16: Electrification Map</w:t>
        </w:r>
        <w:r w:rsidR="00033C76">
          <w:rPr>
            <w:noProof/>
            <w:webHidden/>
          </w:rPr>
          <w:tab/>
        </w:r>
        <w:r w:rsidR="00033C76">
          <w:rPr>
            <w:noProof/>
            <w:webHidden/>
          </w:rPr>
          <w:fldChar w:fldCharType="begin"/>
        </w:r>
        <w:r w:rsidR="00033C76">
          <w:rPr>
            <w:noProof/>
            <w:webHidden/>
          </w:rPr>
          <w:instrText xml:space="preserve"> PAGEREF _Toc481468931 \h </w:instrText>
        </w:r>
        <w:r w:rsidR="00033C76">
          <w:rPr>
            <w:noProof/>
            <w:webHidden/>
          </w:rPr>
        </w:r>
        <w:r w:rsidR="00033C76">
          <w:rPr>
            <w:noProof/>
            <w:webHidden/>
          </w:rPr>
          <w:fldChar w:fldCharType="separate"/>
        </w:r>
        <w:r w:rsidR="0067023A">
          <w:rPr>
            <w:noProof/>
            <w:webHidden/>
          </w:rPr>
          <w:t>84</w:t>
        </w:r>
        <w:r w:rsidR="00033C76">
          <w:rPr>
            <w:noProof/>
            <w:webHidden/>
          </w:rPr>
          <w:fldChar w:fldCharType="end"/>
        </w:r>
      </w:hyperlink>
    </w:p>
    <w:p w14:paraId="7E34B88B"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32" w:history="1">
        <w:r w:rsidR="00033C76" w:rsidRPr="006A2369">
          <w:rPr>
            <w:rStyle w:val="Hyperlink"/>
            <w:rFonts w:eastAsiaTheme="majorEastAsia"/>
            <w:noProof/>
          </w:rPr>
          <w:t>Map 17: Access to Cemeteries</w:t>
        </w:r>
        <w:r w:rsidR="00033C76">
          <w:rPr>
            <w:noProof/>
            <w:webHidden/>
          </w:rPr>
          <w:tab/>
        </w:r>
        <w:r w:rsidR="00033C76">
          <w:rPr>
            <w:noProof/>
            <w:webHidden/>
          </w:rPr>
          <w:fldChar w:fldCharType="begin"/>
        </w:r>
        <w:r w:rsidR="00033C76">
          <w:rPr>
            <w:noProof/>
            <w:webHidden/>
          </w:rPr>
          <w:instrText xml:space="preserve"> PAGEREF _Toc481468932 \h </w:instrText>
        </w:r>
        <w:r w:rsidR="00033C76">
          <w:rPr>
            <w:noProof/>
            <w:webHidden/>
          </w:rPr>
        </w:r>
        <w:r w:rsidR="00033C76">
          <w:rPr>
            <w:noProof/>
            <w:webHidden/>
          </w:rPr>
          <w:fldChar w:fldCharType="separate"/>
        </w:r>
        <w:r w:rsidR="0067023A">
          <w:rPr>
            <w:noProof/>
            <w:webHidden/>
          </w:rPr>
          <w:t>85</w:t>
        </w:r>
        <w:r w:rsidR="00033C76">
          <w:rPr>
            <w:noProof/>
            <w:webHidden/>
          </w:rPr>
          <w:fldChar w:fldCharType="end"/>
        </w:r>
      </w:hyperlink>
    </w:p>
    <w:p w14:paraId="479897F1"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33" w:history="1">
        <w:r w:rsidR="00033C76" w:rsidRPr="006A2369">
          <w:rPr>
            <w:rStyle w:val="Hyperlink"/>
            <w:rFonts w:eastAsiaTheme="majorEastAsia"/>
            <w:noProof/>
          </w:rPr>
          <w:t>Map 18: Access to Courts</w:t>
        </w:r>
        <w:r w:rsidR="00033C76">
          <w:rPr>
            <w:noProof/>
            <w:webHidden/>
          </w:rPr>
          <w:tab/>
        </w:r>
        <w:r w:rsidR="00033C76">
          <w:rPr>
            <w:noProof/>
            <w:webHidden/>
          </w:rPr>
          <w:fldChar w:fldCharType="begin"/>
        </w:r>
        <w:r w:rsidR="00033C76">
          <w:rPr>
            <w:noProof/>
            <w:webHidden/>
          </w:rPr>
          <w:instrText xml:space="preserve"> PAGEREF _Toc481468933 \h </w:instrText>
        </w:r>
        <w:r w:rsidR="00033C76">
          <w:rPr>
            <w:noProof/>
            <w:webHidden/>
          </w:rPr>
        </w:r>
        <w:r w:rsidR="00033C76">
          <w:rPr>
            <w:noProof/>
            <w:webHidden/>
          </w:rPr>
          <w:fldChar w:fldCharType="separate"/>
        </w:r>
        <w:r w:rsidR="0067023A">
          <w:rPr>
            <w:noProof/>
            <w:webHidden/>
          </w:rPr>
          <w:t>86</w:t>
        </w:r>
        <w:r w:rsidR="00033C76">
          <w:rPr>
            <w:noProof/>
            <w:webHidden/>
          </w:rPr>
          <w:fldChar w:fldCharType="end"/>
        </w:r>
      </w:hyperlink>
    </w:p>
    <w:p w14:paraId="4409E4AC"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34" w:history="1">
        <w:r w:rsidR="00033C76" w:rsidRPr="006A2369">
          <w:rPr>
            <w:rStyle w:val="Hyperlink"/>
            <w:rFonts w:eastAsiaTheme="majorEastAsia"/>
            <w:noProof/>
          </w:rPr>
          <w:t>Map 19: Access to Community Centers / Halls</w:t>
        </w:r>
        <w:r w:rsidR="00033C76">
          <w:rPr>
            <w:noProof/>
            <w:webHidden/>
          </w:rPr>
          <w:tab/>
        </w:r>
        <w:r w:rsidR="00033C76">
          <w:rPr>
            <w:noProof/>
            <w:webHidden/>
          </w:rPr>
          <w:fldChar w:fldCharType="begin"/>
        </w:r>
        <w:r w:rsidR="00033C76">
          <w:rPr>
            <w:noProof/>
            <w:webHidden/>
          </w:rPr>
          <w:instrText xml:space="preserve"> PAGEREF _Toc481468934 \h </w:instrText>
        </w:r>
        <w:r w:rsidR="00033C76">
          <w:rPr>
            <w:noProof/>
            <w:webHidden/>
          </w:rPr>
        </w:r>
        <w:r w:rsidR="00033C76">
          <w:rPr>
            <w:noProof/>
            <w:webHidden/>
          </w:rPr>
          <w:fldChar w:fldCharType="separate"/>
        </w:r>
        <w:r w:rsidR="0067023A">
          <w:rPr>
            <w:noProof/>
            <w:webHidden/>
          </w:rPr>
          <w:t>87</w:t>
        </w:r>
        <w:r w:rsidR="00033C76">
          <w:rPr>
            <w:noProof/>
            <w:webHidden/>
          </w:rPr>
          <w:fldChar w:fldCharType="end"/>
        </w:r>
      </w:hyperlink>
    </w:p>
    <w:p w14:paraId="4A967872"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35" w:history="1">
        <w:r w:rsidR="00033C76" w:rsidRPr="006A2369">
          <w:rPr>
            <w:rStyle w:val="Hyperlink"/>
            <w:rFonts w:eastAsiaTheme="majorEastAsia"/>
            <w:noProof/>
          </w:rPr>
          <w:t>Map 20: Access to Pension Pay Points</w:t>
        </w:r>
        <w:r w:rsidR="00033C76">
          <w:rPr>
            <w:noProof/>
            <w:webHidden/>
          </w:rPr>
          <w:tab/>
        </w:r>
        <w:r w:rsidR="00033C76">
          <w:rPr>
            <w:noProof/>
            <w:webHidden/>
          </w:rPr>
          <w:fldChar w:fldCharType="begin"/>
        </w:r>
        <w:r w:rsidR="00033C76">
          <w:rPr>
            <w:noProof/>
            <w:webHidden/>
          </w:rPr>
          <w:instrText xml:space="preserve"> PAGEREF _Toc481468935 \h </w:instrText>
        </w:r>
        <w:r w:rsidR="00033C76">
          <w:rPr>
            <w:noProof/>
            <w:webHidden/>
          </w:rPr>
        </w:r>
        <w:r w:rsidR="00033C76">
          <w:rPr>
            <w:noProof/>
            <w:webHidden/>
          </w:rPr>
          <w:fldChar w:fldCharType="separate"/>
        </w:r>
        <w:r w:rsidR="0067023A">
          <w:rPr>
            <w:noProof/>
            <w:webHidden/>
          </w:rPr>
          <w:t>88</w:t>
        </w:r>
        <w:r w:rsidR="00033C76">
          <w:rPr>
            <w:noProof/>
            <w:webHidden/>
          </w:rPr>
          <w:fldChar w:fldCharType="end"/>
        </w:r>
      </w:hyperlink>
    </w:p>
    <w:p w14:paraId="09977EB7"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36" w:history="1">
        <w:r w:rsidR="00033C76" w:rsidRPr="006A2369">
          <w:rPr>
            <w:rStyle w:val="Hyperlink"/>
            <w:rFonts w:eastAsiaTheme="majorEastAsia"/>
            <w:noProof/>
          </w:rPr>
          <w:t>Map 21: Access to Sport Fields / Facilities</w:t>
        </w:r>
        <w:r w:rsidR="00033C76">
          <w:rPr>
            <w:noProof/>
            <w:webHidden/>
          </w:rPr>
          <w:tab/>
        </w:r>
        <w:r w:rsidR="00033C76">
          <w:rPr>
            <w:noProof/>
            <w:webHidden/>
          </w:rPr>
          <w:fldChar w:fldCharType="begin"/>
        </w:r>
        <w:r w:rsidR="00033C76">
          <w:rPr>
            <w:noProof/>
            <w:webHidden/>
          </w:rPr>
          <w:instrText xml:space="preserve"> PAGEREF _Toc481468936 \h </w:instrText>
        </w:r>
        <w:r w:rsidR="00033C76">
          <w:rPr>
            <w:noProof/>
            <w:webHidden/>
          </w:rPr>
        </w:r>
        <w:r w:rsidR="00033C76">
          <w:rPr>
            <w:noProof/>
            <w:webHidden/>
          </w:rPr>
          <w:fldChar w:fldCharType="separate"/>
        </w:r>
        <w:r w:rsidR="0067023A">
          <w:rPr>
            <w:noProof/>
            <w:webHidden/>
          </w:rPr>
          <w:t>89</w:t>
        </w:r>
        <w:r w:rsidR="00033C76">
          <w:rPr>
            <w:noProof/>
            <w:webHidden/>
          </w:rPr>
          <w:fldChar w:fldCharType="end"/>
        </w:r>
      </w:hyperlink>
    </w:p>
    <w:p w14:paraId="13E4E908"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37" w:history="1">
        <w:r w:rsidR="00033C76" w:rsidRPr="006A2369">
          <w:rPr>
            <w:rStyle w:val="Hyperlink"/>
            <w:rFonts w:eastAsiaTheme="majorEastAsia"/>
            <w:noProof/>
          </w:rPr>
          <w:t>Map 22: Agriculture Potential Areas</w:t>
        </w:r>
        <w:r w:rsidR="00033C76">
          <w:rPr>
            <w:noProof/>
            <w:webHidden/>
          </w:rPr>
          <w:tab/>
        </w:r>
        <w:r w:rsidR="00033C76">
          <w:rPr>
            <w:noProof/>
            <w:webHidden/>
          </w:rPr>
          <w:fldChar w:fldCharType="begin"/>
        </w:r>
        <w:r w:rsidR="00033C76">
          <w:rPr>
            <w:noProof/>
            <w:webHidden/>
          </w:rPr>
          <w:instrText xml:space="preserve"> PAGEREF _Toc481468937 \h </w:instrText>
        </w:r>
        <w:r w:rsidR="00033C76">
          <w:rPr>
            <w:noProof/>
            <w:webHidden/>
          </w:rPr>
        </w:r>
        <w:r w:rsidR="00033C76">
          <w:rPr>
            <w:noProof/>
            <w:webHidden/>
          </w:rPr>
          <w:fldChar w:fldCharType="separate"/>
        </w:r>
        <w:r w:rsidR="0067023A">
          <w:rPr>
            <w:noProof/>
            <w:webHidden/>
          </w:rPr>
          <w:t>108</w:t>
        </w:r>
        <w:r w:rsidR="00033C76">
          <w:rPr>
            <w:noProof/>
            <w:webHidden/>
          </w:rPr>
          <w:fldChar w:fldCharType="end"/>
        </w:r>
      </w:hyperlink>
    </w:p>
    <w:p w14:paraId="4FCC945F"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38" w:history="1">
        <w:r w:rsidR="00033C76" w:rsidRPr="006A2369">
          <w:rPr>
            <w:rStyle w:val="Hyperlink"/>
            <w:rFonts w:eastAsiaTheme="majorEastAsia" w:cs="Calibri"/>
            <w:b/>
            <w:bCs/>
            <w:noProof/>
          </w:rPr>
          <w:t>Map 23: Access to Health Facilities</w:t>
        </w:r>
        <w:r w:rsidR="00033C76">
          <w:rPr>
            <w:noProof/>
            <w:webHidden/>
          </w:rPr>
          <w:tab/>
        </w:r>
        <w:r w:rsidR="00033C76">
          <w:rPr>
            <w:noProof/>
            <w:webHidden/>
          </w:rPr>
          <w:fldChar w:fldCharType="begin"/>
        </w:r>
        <w:r w:rsidR="00033C76">
          <w:rPr>
            <w:noProof/>
            <w:webHidden/>
          </w:rPr>
          <w:instrText xml:space="preserve"> PAGEREF _Toc481468938 \h </w:instrText>
        </w:r>
        <w:r w:rsidR="00033C76">
          <w:rPr>
            <w:noProof/>
            <w:webHidden/>
          </w:rPr>
        </w:r>
        <w:r w:rsidR="00033C76">
          <w:rPr>
            <w:noProof/>
            <w:webHidden/>
          </w:rPr>
          <w:fldChar w:fldCharType="separate"/>
        </w:r>
        <w:r w:rsidR="0067023A">
          <w:rPr>
            <w:noProof/>
            <w:webHidden/>
          </w:rPr>
          <w:t>123</w:t>
        </w:r>
        <w:r w:rsidR="00033C76">
          <w:rPr>
            <w:noProof/>
            <w:webHidden/>
          </w:rPr>
          <w:fldChar w:fldCharType="end"/>
        </w:r>
      </w:hyperlink>
    </w:p>
    <w:p w14:paraId="7664F0C0"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39" w:history="1">
        <w:r w:rsidR="00033C76" w:rsidRPr="006A2369">
          <w:rPr>
            <w:rStyle w:val="Hyperlink"/>
            <w:rFonts w:eastAsiaTheme="majorEastAsia"/>
            <w:noProof/>
          </w:rPr>
          <w:t>Map 24: Access to Education Facilities</w:t>
        </w:r>
        <w:r w:rsidR="00033C76">
          <w:rPr>
            <w:noProof/>
            <w:webHidden/>
          </w:rPr>
          <w:tab/>
        </w:r>
        <w:r w:rsidR="00033C76">
          <w:rPr>
            <w:noProof/>
            <w:webHidden/>
          </w:rPr>
          <w:fldChar w:fldCharType="begin"/>
        </w:r>
        <w:r w:rsidR="00033C76">
          <w:rPr>
            <w:noProof/>
            <w:webHidden/>
          </w:rPr>
          <w:instrText xml:space="preserve"> PAGEREF _Toc481468939 \h </w:instrText>
        </w:r>
        <w:r w:rsidR="00033C76">
          <w:rPr>
            <w:noProof/>
            <w:webHidden/>
          </w:rPr>
        </w:r>
        <w:r w:rsidR="00033C76">
          <w:rPr>
            <w:noProof/>
            <w:webHidden/>
          </w:rPr>
          <w:fldChar w:fldCharType="separate"/>
        </w:r>
        <w:r w:rsidR="0067023A">
          <w:rPr>
            <w:noProof/>
            <w:webHidden/>
          </w:rPr>
          <w:t>126</w:t>
        </w:r>
        <w:r w:rsidR="00033C76">
          <w:rPr>
            <w:noProof/>
            <w:webHidden/>
          </w:rPr>
          <w:fldChar w:fldCharType="end"/>
        </w:r>
      </w:hyperlink>
    </w:p>
    <w:p w14:paraId="1974F9B4"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40" w:history="1">
        <w:r w:rsidR="00033C76" w:rsidRPr="006A2369">
          <w:rPr>
            <w:rStyle w:val="Hyperlink"/>
            <w:rFonts w:eastAsiaTheme="majorEastAsia"/>
            <w:noProof/>
          </w:rPr>
          <w:t>Map 25:  Access to crèches</w:t>
        </w:r>
        <w:r w:rsidR="00033C76">
          <w:rPr>
            <w:noProof/>
            <w:webHidden/>
          </w:rPr>
          <w:tab/>
        </w:r>
        <w:r w:rsidR="00033C76">
          <w:rPr>
            <w:noProof/>
            <w:webHidden/>
          </w:rPr>
          <w:fldChar w:fldCharType="begin"/>
        </w:r>
        <w:r w:rsidR="00033C76">
          <w:rPr>
            <w:noProof/>
            <w:webHidden/>
          </w:rPr>
          <w:instrText xml:space="preserve"> PAGEREF _Toc481468940 \h </w:instrText>
        </w:r>
        <w:r w:rsidR="00033C76">
          <w:rPr>
            <w:noProof/>
            <w:webHidden/>
          </w:rPr>
        </w:r>
        <w:r w:rsidR="00033C76">
          <w:rPr>
            <w:noProof/>
            <w:webHidden/>
          </w:rPr>
          <w:fldChar w:fldCharType="separate"/>
        </w:r>
        <w:r w:rsidR="0067023A">
          <w:rPr>
            <w:noProof/>
            <w:webHidden/>
          </w:rPr>
          <w:t>127</w:t>
        </w:r>
        <w:r w:rsidR="00033C76">
          <w:rPr>
            <w:noProof/>
            <w:webHidden/>
          </w:rPr>
          <w:fldChar w:fldCharType="end"/>
        </w:r>
      </w:hyperlink>
    </w:p>
    <w:p w14:paraId="379C1CEC"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41" w:history="1">
        <w:r w:rsidR="00033C76" w:rsidRPr="006A2369">
          <w:rPr>
            <w:rStyle w:val="Hyperlink"/>
            <w:rFonts w:eastAsiaTheme="majorEastAsia"/>
            <w:noProof/>
          </w:rPr>
          <w:t>Map 26:  Nodes and Settlements</w:t>
        </w:r>
        <w:r w:rsidR="00033C76">
          <w:rPr>
            <w:noProof/>
            <w:webHidden/>
          </w:rPr>
          <w:tab/>
        </w:r>
        <w:r w:rsidR="00033C76">
          <w:rPr>
            <w:noProof/>
            <w:webHidden/>
          </w:rPr>
          <w:fldChar w:fldCharType="begin"/>
        </w:r>
        <w:r w:rsidR="00033C76">
          <w:rPr>
            <w:noProof/>
            <w:webHidden/>
          </w:rPr>
          <w:instrText xml:space="preserve"> PAGEREF _Toc481468941 \h </w:instrText>
        </w:r>
        <w:r w:rsidR="00033C76">
          <w:rPr>
            <w:noProof/>
            <w:webHidden/>
          </w:rPr>
        </w:r>
        <w:r w:rsidR="00033C76">
          <w:rPr>
            <w:noProof/>
            <w:webHidden/>
          </w:rPr>
          <w:fldChar w:fldCharType="separate"/>
        </w:r>
        <w:r w:rsidR="0067023A">
          <w:rPr>
            <w:noProof/>
            <w:webHidden/>
          </w:rPr>
          <w:t>171</w:t>
        </w:r>
        <w:r w:rsidR="00033C76">
          <w:rPr>
            <w:noProof/>
            <w:webHidden/>
          </w:rPr>
          <w:fldChar w:fldCharType="end"/>
        </w:r>
      </w:hyperlink>
    </w:p>
    <w:p w14:paraId="7B0E5BDA"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42" w:history="1">
        <w:r w:rsidR="00033C76" w:rsidRPr="006A2369">
          <w:rPr>
            <w:rStyle w:val="Hyperlink"/>
            <w:rFonts w:eastAsiaTheme="majorEastAsia"/>
            <w:noProof/>
          </w:rPr>
          <w:t>Map 27: Corridors</w:t>
        </w:r>
        <w:r w:rsidR="00033C76">
          <w:rPr>
            <w:noProof/>
            <w:webHidden/>
          </w:rPr>
          <w:tab/>
        </w:r>
        <w:r w:rsidR="00033C76">
          <w:rPr>
            <w:noProof/>
            <w:webHidden/>
          </w:rPr>
          <w:fldChar w:fldCharType="begin"/>
        </w:r>
        <w:r w:rsidR="00033C76">
          <w:rPr>
            <w:noProof/>
            <w:webHidden/>
          </w:rPr>
          <w:instrText xml:space="preserve"> PAGEREF _Toc481468942 \h </w:instrText>
        </w:r>
        <w:r w:rsidR="00033C76">
          <w:rPr>
            <w:noProof/>
            <w:webHidden/>
          </w:rPr>
        </w:r>
        <w:r w:rsidR="00033C76">
          <w:rPr>
            <w:noProof/>
            <w:webHidden/>
          </w:rPr>
          <w:fldChar w:fldCharType="separate"/>
        </w:r>
        <w:r w:rsidR="0067023A">
          <w:rPr>
            <w:noProof/>
            <w:webHidden/>
          </w:rPr>
          <w:t>172</w:t>
        </w:r>
        <w:r w:rsidR="00033C76">
          <w:rPr>
            <w:noProof/>
            <w:webHidden/>
          </w:rPr>
          <w:fldChar w:fldCharType="end"/>
        </w:r>
      </w:hyperlink>
    </w:p>
    <w:p w14:paraId="70E6BD64"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43" w:history="1">
        <w:r w:rsidR="00033C76" w:rsidRPr="006A2369">
          <w:rPr>
            <w:rStyle w:val="Hyperlink"/>
            <w:rFonts w:eastAsiaTheme="majorEastAsia"/>
            <w:noProof/>
          </w:rPr>
          <w:t>Map 28: Areas with Socio-economic Needs</w:t>
        </w:r>
        <w:r w:rsidR="00033C76">
          <w:rPr>
            <w:noProof/>
            <w:webHidden/>
          </w:rPr>
          <w:tab/>
        </w:r>
        <w:r w:rsidR="00033C76">
          <w:rPr>
            <w:noProof/>
            <w:webHidden/>
          </w:rPr>
          <w:fldChar w:fldCharType="begin"/>
        </w:r>
        <w:r w:rsidR="00033C76">
          <w:rPr>
            <w:noProof/>
            <w:webHidden/>
          </w:rPr>
          <w:instrText xml:space="preserve"> PAGEREF _Toc481468943 \h </w:instrText>
        </w:r>
        <w:r w:rsidR="00033C76">
          <w:rPr>
            <w:noProof/>
            <w:webHidden/>
          </w:rPr>
        </w:r>
        <w:r w:rsidR="00033C76">
          <w:rPr>
            <w:noProof/>
            <w:webHidden/>
          </w:rPr>
          <w:fldChar w:fldCharType="separate"/>
        </w:r>
        <w:r w:rsidR="0067023A">
          <w:rPr>
            <w:noProof/>
            <w:webHidden/>
          </w:rPr>
          <w:t>174</w:t>
        </w:r>
        <w:r w:rsidR="00033C76">
          <w:rPr>
            <w:noProof/>
            <w:webHidden/>
          </w:rPr>
          <w:fldChar w:fldCharType="end"/>
        </w:r>
      </w:hyperlink>
    </w:p>
    <w:p w14:paraId="5EFCA7A0"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44" w:history="1">
        <w:r w:rsidR="00033C76" w:rsidRPr="006A2369">
          <w:rPr>
            <w:rStyle w:val="Hyperlink"/>
            <w:rFonts w:eastAsiaTheme="majorEastAsia"/>
            <w:noProof/>
          </w:rPr>
          <w:t>Map 29: Areas with Infrastructural Needs</w:t>
        </w:r>
        <w:r w:rsidR="00033C76">
          <w:rPr>
            <w:noProof/>
            <w:webHidden/>
          </w:rPr>
          <w:tab/>
        </w:r>
        <w:r w:rsidR="00033C76">
          <w:rPr>
            <w:noProof/>
            <w:webHidden/>
          </w:rPr>
          <w:fldChar w:fldCharType="begin"/>
        </w:r>
        <w:r w:rsidR="00033C76">
          <w:rPr>
            <w:noProof/>
            <w:webHidden/>
          </w:rPr>
          <w:instrText xml:space="preserve"> PAGEREF _Toc481468944 \h </w:instrText>
        </w:r>
        <w:r w:rsidR="00033C76">
          <w:rPr>
            <w:noProof/>
            <w:webHidden/>
          </w:rPr>
        </w:r>
        <w:r w:rsidR="00033C76">
          <w:rPr>
            <w:noProof/>
            <w:webHidden/>
          </w:rPr>
          <w:fldChar w:fldCharType="separate"/>
        </w:r>
        <w:r w:rsidR="0067023A">
          <w:rPr>
            <w:noProof/>
            <w:webHidden/>
          </w:rPr>
          <w:t>175</w:t>
        </w:r>
        <w:r w:rsidR="00033C76">
          <w:rPr>
            <w:noProof/>
            <w:webHidden/>
          </w:rPr>
          <w:fldChar w:fldCharType="end"/>
        </w:r>
      </w:hyperlink>
    </w:p>
    <w:p w14:paraId="1DB7A089"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45" w:history="1">
        <w:r w:rsidR="00033C76" w:rsidRPr="006A2369">
          <w:rPr>
            <w:rStyle w:val="Hyperlink"/>
            <w:rFonts w:eastAsiaTheme="majorEastAsia"/>
            <w:noProof/>
          </w:rPr>
          <w:t>Map 30:  Land Capability for Agricultural Development in Relation to Poverty</w:t>
        </w:r>
        <w:r w:rsidR="00033C76">
          <w:rPr>
            <w:noProof/>
            <w:webHidden/>
          </w:rPr>
          <w:tab/>
        </w:r>
        <w:r w:rsidR="00033C76">
          <w:rPr>
            <w:noProof/>
            <w:webHidden/>
          </w:rPr>
          <w:fldChar w:fldCharType="begin"/>
        </w:r>
        <w:r w:rsidR="00033C76">
          <w:rPr>
            <w:noProof/>
            <w:webHidden/>
          </w:rPr>
          <w:instrText xml:space="preserve"> PAGEREF _Toc481468945 \h </w:instrText>
        </w:r>
        <w:r w:rsidR="00033C76">
          <w:rPr>
            <w:noProof/>
            <w:webHidden/>
          </w:rPr>
        </w:r>
        <w:r w:rsidR="00033C76">
          <w:rPr>
            <w:noProof/>
            <w:webHidden/>
          </w:rPr>
          <w:fldChar w:fldCharType="separate"/>
        </w:r>
        <w:r w:rsidR="0067023A">
          <w:rPr>
            <w:noProof/>
            <w:webHidden/>
          </w:rPr>
          <w:t>176</w:t>
        </w:r>
        <w:r w:rsidR="00033C76">
          <w:rPr>
            <w:noProof/>
            <w:webHidden/>
          </w:rPr>
          <w:fldChar w:fldCharType="end"/>
        </w:r>
      </w:hyperlink>
    </w:p>
    <w:p w14:paraId="28966177"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46" w:history="1">
        <w:r w:rsidR="00033C76" w:rsidRPr="006A2369">
          <w:rPr>
            <w:rStyle w:val="Hyperlink"/>
            <w:rFonts w:eastAsiaTheme="majorEastAsia"/>
            <w:noProof/>
          </w:rPr>
          <w:t>Map 31:  Population Density and Access to Nodes</w:t>
        </w:r>
        <w:r w:rsidR="00033C76">
          <w:rPr>
            <w:noProof/>
            <w:webHidden/>
          </w:rPr>
          <w:tab/>
        </w:r>
        <w:r w:rsidR="00033C76">
          <w:rPr>
            <w:noProof/>
            <w:webHidden/>
          </w:rPr>
          <w:fldChar w:fldCharType="begin"/>
        </w:r>
        <w:r w:rsidR="00033C76">
          <w:rPr>
            <w:noProof/>
            <w:webHidden/>
          </w:rPr>
          <w:instrText xml:space="preserve"> PAGEREF _Toc481468946 \h </w:instrText>
        </w:r>
        <w:r w:rsidR="00033C76">
          <w:rPr>
            <w:noProof/>
            <w:webHidden/>
          </w:rPr>
        </w:r>
        <w:r w:rsidR="00033C76">
          <w:rPr>
            <w:noProof/>
            <w:webHidden/>
          </w:rPr>
          <w:fldChar w:fldCharType="separate"/>
        </w:r>
        <w:r w:rsidR="0067023A">
          <w:rPr>
            <w:noProof/>
            <w:webHidden/>
          </w:rPr>
          <w:t>177</w:t>
        </w:r>
        <w:r w:rsidR="00033C76">
          <w:rPr>
            <w:noProof/>
            <w:webHidden/>
          </w:rPr>
          <w:fldChar w:fldCharType="end"/>
        </w:r>
      </w:hyperlink>
    </w:p>
    <w:p w14:paraId="2C25E6D3"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47" w:history="1">
        <w:r w:rsidR="00033C76" w:rsidRPr="006A2369">
          <w:rPr>
            <w:rStyle w:val="Hyperlink"/>
            <w:rFonts w:eastAsiaTheme="majorEastAsia"/>
            <w:noProof/>
          </w:rPr>
          <w:t>Map 32:  Intervention Areas: Human Resources and Community Development</w:t>
        </w:r>
        <w:r w:rsidR="00033C76">
          <w:rPr>
            <w:noProof/>
            <w:webHidden/>
          </w:rPr>
          <w:tab/>
        </w:r>
        <w:r w:rsidR="00033C76">
          <w:rPr>
            <w:noProof/>
            <w:webHidden/>
          </w:rPr>
          <w:fldChar w:fldCharType="begin"/>
        </w:r>
        <w:r w:rsidR="00033C76">
          <w:rPr>
            <w:noProof/>
            <w:webHidden/>
          </w:rPr>
          <w:instrText xml:space="preserve"> PAGEREF _Toc481468947 \h </w:instrText>
        </w:r>
        <w:r w:rsidR="00033C76">
          <w:rPr>
            <w:noProof/>
            <w:webHidden/>
          </w:rPr>
        </w:r>
        <w:r w:rsidR="00033C76">
          <w:rPr>
            <w:noProof/>
            <w:webHidden/>
          </w:rPr>
          <w:fldChar w:fldCharType="separate"/>
        </w:r>
        <w:r w:rsidR="0067023A">
          <w:rPr>
            <w:noProof/>
            <w:webHidden/>
          </w:rPr>
          <w:t>178</w:t>
        </w:r>
        <w:r w:rsidR="00033C76">
          <w:rPr>
            <w:noProof/>
            <w:webHidden/>
          </w:rPr>
          <w:fldChar w:fldCharType="end"/>
        </w:r>
      </w:hyperlink>
    </w:p>
    <w:p w14:paraId="45150944"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48" w:history="1">
        <w:r w:rsidR="00033C76" w:rsidRPr="006A2369">
          <w:rPr>
            <w:rStyle w:val="Hyperlink"/>
            <w:rFonts w:eastAsiaTheme="majorEastAsia"/>
            <w:noProof/>
          </w:rPr>
          <w:t>Map 33: Intervention Areas: Job Creation</w:t>
        </w:r>
        <w:r w:rsidR="00033C76">
          <w:rPr>
            <w:noProof/>
            <w:webHidden/>
          </w:rPr>
          <w:tab/>
        </w:r>
        <w:r w:rsidR="00033C76">
          <w:rPr>
            <w:noProof/>
            <w:webHidden/>
          </w:rPr>
          <w:fldChar w:fldCharType="begin"/>
        </w:r>
        <w:r w:rsidR="00033C76">
          <w:rPr>
            <w:noProof/>
            <w:webHidden/>
          </w:rPr>
          <w:instrText xml:space="preserve"> PAGEREF _Toc481468948 \h </w:instrText>
        </w:r>
        <w:r w:rsidR="00033C76">
          <w:rPr>
            <w:noProof/>
            <w:webHidden/>
          </w:rPr>
        </w:r>
        <w:r w:rsidR="00033C76">
          <w:rPr>
            <w:noProof/>
            <w:webHidden/>
          </w:rPr>
          <w:fldChar w:fldCharType="separate"/>
        </w:r>
        <w:r w:rsidR="0067023A">
          <w:rPr>
            <w:noProof/>
            <w:webHidden/>
          </w:rPr>
          <w:t>179</w:t>
        </w:r>
        <w:r w:rsidR="00033C76">
          <w:rPr>
            <w:noProof/>
            <w:webHidden/>
          </w:rPr>
          <w:fldChar w:fldCharType="end"/>
        </w:r>
      </w:hyperlink>
    </w:p>
    <w:p w14:paraId="53113CA9" w14:textId="77777777" w:rsidR="00033C76" w:rsidRDefault="00B918A6">
      <w:pPr>
        <w:pStyle w:val="TableofFigures"/>
        <w:tabs>
          <w:tab w:val="right" w:leader="dot" w:pos="9629"/>
        </w:tabs>
        <w:rPr>
          <w:rFonts w:asciiTheme="minorHAnsi" w:eastAsiaTheme="minorEastAsia" w:hAnsiTheme="minorHAnsi" w:cstheme="minorBidi"/>
          <w:noProof/>
          <w:sz w:val="22"/>
          <w:szCs w:val="22"/>
          <w:lang w:val="en-ZA" w:eastAsia="en-ZA" w:bidi="ar-SA"/>
        </w:rPr>
      </w:pPr>
      <w:hyperlink w:anchor="_Toc481468949" w:history="1">
        <w:r w:rsidR="00033C76" w:rsidRPr="006A2369">
          <w:rPr>
            <w:rStyle w:val="Hyperlink"/>
            <w:rFonts w:eastAsiaTheme="majorEastAsia"/>
            <w:noProof/>
          </w:rPr>
          <w:t>Map 34: Combined Focus Areas</w:t>
        </w:r>
        <w:r w:rsidR="00033C76">
          <w:rPr>
            <w:noProof/>
            <w:webHidden/>
          </w:rPr>
          <w:tab/>
        </w:r>
        <w:r w:rsidR="00033C76">
          <w:rPr>
            <w:noProof/>
            <w:webHidden/>
          </w:rPr>
          <w:fldChar w:fldCharType="begin"/>
        </w:r>
        <w:r w:rsidR="00033C76">
          <w:rPr>
            <w:noProof/>
            <w:webHidden/>
          </w:rPr>
          <w:instrText xml:space="preserve"> PAGEREF _Toc481468949 \h </w:instrText>
        </w:r>
        <w:r w:rsidR="00033C76">
          <w:rPr>
            <w:noProof/>
            <w:webHidden/>
          </w:rPr>
        </w:r>
        <w:r w:rsidR="00033C76">
          <w:rPr>
            <w:noProof/>
            <w:webHidden/>
          </w:rPr>
          <w:fldChar w:fldCharType="separate"/>
        </w:r>
        <w:r w:rsidR="0067023A">
          <w:rPr>
            <w:noProof/>
            <w:webHidden/>
          </w:rPr>
          <w:t>180</w:t>
        </w:r>
        <w:r w:rsidR="00033C76">
          <w:rPr>
            <w:noProof/>
            <w:webHidden/>
          </w:rPr>
          <w:fldChar w:fldCharType="end"/>
        </w:r>
      </w:hyperlink>
    </w:p>
    <w:p w14:paraId="5750F9C2" w14:textId="77777777" w:rsidR="006B5179" w:rsidRDefault="00D55BDA" w:rsidP="006B5179">
      <w:pPr>
        <w:spacing w:line="288" w:lineRule="auto"/>
        <w:jc w:val="both"/>
      </w:pPr>
      <w:r w:rsidRPr="002A4197">
        <w:rPr>
          <w:rFonts w:asciiTheme="minorHAnsi" w:hAnsiTheme="minorHAnsi" w:cstheme="minorHAnsi"/>
          <w:szCs w:val="20"/>
        </w:rPr>
        <w:fldChar w:fldCharType="end"/>
      </w:r>
      <w:r w:rsidR="00B364FA" w:rsidRPr="00881795">
        <w:t xml:space="preserve"> </w:t>
      </w:r>
    </w:p>
    <w:p w14:paraId="26F96030" w14:textId="77777777" w:rsidR="008506DD" w:rsidRPr="003F38EE" w:rsidRDefault="008506DD" w:rsidP="006B5179">
      <w:pPr>
        <w:spacing w:line="288" w:lineRule="auto"/>
        <w:jc w:val="both"/>
        <w:rPr>
          <w:b/>
        </w:rPr>
      </w:pPr>
      <w:r w:rsidRPr="003F38EE">
        <w:rPr>
          <w:b/>
        </w:rPr>
        <w:t>LIST OF ABBREVIATIONS</w:t>
      </w:r>
    </w:p>
    <w:p w14:paraId="47EBDDCA" w14:textId="77777777" w:rsidR="00191984" w:rsidRDefault="00191984" w:rsidP="00395313">
      <w:pPr>
        <w:spacing w:line="240" w:lineRule="auto"/>
        <w:contextualSpacing/>
        <w:jc w:val="both"/>
        <w:rPr>
          <w:szCs w:val="20"/>
        </w:rPr>
      </w:pPr>
      <w:r>
        <w:rPr>
          <w:szCs w:val="20"/>
        </w:rPr>
        <w:t>AG</w:t>
      </w:r>
      <w:r>
        <w:rPr>
          <w:szCs w:val="20"/>
        </w:rPr>
        <w:tab/>
      </w:r>
      <w:r>
        <w:rPr>
          <w:szCs w:val="20"/>
        </w:rPr>
        <w:tab/>
        <w:t>:</w:t>
      </w:r>
      <w:r>
        <w:rPr>
          <w:szCs w:val="20"/>
        </w:rPr>
        <w:tab/>
      </w:r>
      <w:r>
        <w:rPr>
          <w:szCs w:val="20"/>
        </w:rPr>
        <w:tab/>
        <w:t>Auditor General</w:t>
      </w:r>
    </w:p>
    <w:p w14:paraId="3EA86BBE" w14:textId="77777777" w:rsidR="00191984" w:rsidRDefault="00191984" w:rsidP="00395313">
      <w:pPr>
        <w:spacing w:line="240" w:lineRule="auto"/>
        <w:contextualSpacing/>
        <w:jc w:val="both"/>
        <w:rPr>
          <w:szCs w:val="20"/>
        </w:rPr>
      </w:pPr>
      <w:r>
        <w:rPr>
          <w:szCs w:val="20"/>
        </w:rPr>
        <w:t>AFS</w:t>
      </w:r>
      <w:r>
        <w:rPr>
          <w:szCs w:val="20"/>
        </w:rPr>
        <w:tab/>
      </w:r>
      <w:r>
        <w:rPr>
          <w:szCs w:val="20"/>
        </w:rPr>
        <w:tab/>
        <w:t>:</w:t>
      </w:r>
      <w:r>
        <w:rPr>
          <w:szCs w:val="20"/>
        </w:rPr>
        <w:tab/>
      </w:r>
      <w:r>
        <w:rPr>
          <w:szCs w:val="20"/>
        </w:rPr>
        <w:tab/>
        <w:t xml:space="preserve">Annual </w:t>
      </w:r>
      <w:r w:rsidR="00C40E56">
        <w:rPr>
          <w:szCs w:val="20"/>
        </w:rPr>
        <w:t>Financial</w:t>
      </w:r>
      <w:r>
        <w:rPr>
          <w:szCs w:val="20"/>
        </w:rPr>
        <w:t xml:space="preserve"> Statements</w:t>
      </w:r>
    </w:p>
    <w:p w14:paraId="5E3A3E4D" w14:textId="77777777" w:rsidR="00191984" w:rsidRDefault="00191984" w:rsidP="00395313">
      <w:pPr>
        <w:spacing w:line="240" w:lineRule="auto"/>
        <w:contextualSpacing/>
        <w:jc w:val="both"/>
        <w:rPr>
          <w:szCs w:val="20"/>
        </w:rPr>
      </w:pPr>
      <w:r>
        <w:rPr>
          <w:szCs w:val="20"/>
        </w:rPr>
        <w:t>B2B</w:t>
      </w:r>
      <w:r>
        <w:rPr>
          <w:szCs w:val="20"/>
        </w:rPr>
        <w:tab/>
      </w:r>
      <w:r>
        <w:rPr>
          <w:szCs w:val="20"/>
        </w:rPr>
        <w:tab/>
        <w:t>:</w:t>
      </w:r>
      <w:r>
        <w:rPr>
          <w:szCs w:val="20"/>
        </w:rPr>
        <w:tab/>
      </w:r>
      <w:r>
        <w:rPr>
          <w:szCs w:val="20"/>
        </w:rPr>
        <w:tab/>
        <w:t>Back to Basics</w:t>
      </w:r>
    </w:p>
    <w:p w14:paraId="7B74E77C" w14:textId="77777777" w:rsidR="008506DD" w:rsidRPr="00881795" w:rsidRDefault="008506DD" w:rsidP="00395313">
      <w:pPr>
        <w:spacing w:line="240" w:lineRule="auto"/>
        <w:contextualSpacing/>
        <w:jc w:val="both"/>
        <w:rPr>
          <w:szCs w:val="20"/>
        </w:rPr>
      </w:pPr>
      <w:r w:rsidRPr="00881795">
        <w:rPr>
          <w:szCs w:val="20"/>
        </w:rPr>
        <w:t>BBBEE</w:t>
      </w:r>
      <w:r w:rsidRPr="00881795">
        <w:rPr>
          <w:szCs w:val="20"/>
        </w:rPr>
        <w:tab/>
      </w:r>
      <w:r w:rsidRPr="00881795">
        <w:rPr>
          <w:szCs w:val="20"/>
        </w:rPr>
        <w:tab/>
        <w:t xml:space="preserve">: </w:t>
      </w:r>
      <w:r w:rsidRPr="00881795">
        <w:rPr>
          <w:szCs w:val="20"/>
        </w:rPr>
        <w:tab/>
      </w:r>
      <w:r w:rsidRPr="00881795">
        <w:rPr>
          <w:szCs w:val="20"/>
        </w:rPr>
        <w:tab/>
        <w:t xml:space="preserve">Broad Based Black Economic Empowerment </w:t>
      </w:r>
    </w:p>
    <w:p w14:paraId="4EE1863E" w14:textId="77777777" w:rsidR="00191984" w:rsidRDefault="00191984" w:rsidP="00395313">
      <w:pPr>
        <w:spacing w:line="240" w:lineRule="auto"/>
        <w:contextualSpacing/>
        <w:jc w:val="both"/>
        <w:rPr>
          <w:szCs w:val="20"/>
        </w:rPr>
      </w:pPr>
      <w:r>
        <w:rPr>
          <w:szCs w:val="20"/>
        </w:rPr>
        <w:t>COGTA</w:t>
      </w:r>
      <w:r>
        <w:rPr>
          <w:szCs w:val="20"/>
        </w:rPr>
        <w:tab/>
      </w:r>
      <w:r>
        <w:rPr>
          <w:szCs w:val="20"/>
        </w:rPr>
        <w:tab/>
        <w:t>:</w:t>
      </w:r>
      <w:r>
        <w:rPr>
          <w:szCs w:val="20"/>
        </w:rPr>
        <w:tab/>
      </w:r>
      <w:r>
        <w:rPr>
          <w:szCs w:val="20"/>
        </w:rPr>
        <w:tab/>
        <w:t xml:space="preserve">KZN </w:t>
      </w:r>
      <w:r w:rsidR="00C40E56">
        <w:rPr>
          <w:szCs w:val="20"/>
        </w:rPr>
        <w:t>Dept.</w:t>
      </w:r>
      <w:r>
        <w:rPr>
          <w:szCs w:val="20"/>
        </w:rPr>
        <w:t xml:space="preserve"> of Co-Operative Governance and Traditional Affairs</w:t>
      </w:r>
    </w:p>
    <w:p w14:paraId="3CE7DEA7" w14:textId="77777777" w:rsidR="00191984" w:rsidRDefault="00191984" w:rsidP="00395313">
      <w:pPr>
        <w:spacing w:line="240" w:lineRule="auto"/>
        <w:contextualSpacing/>
        <w:jc w:val="both"/>
        <w:rPr>
          <w:szCs w:val="20"/>
        </w:rPr>
      </w:pPr>
      <w:r>
        <w:rPr>
          <w:szCs w:val="20"/>
        </w:rPr>
        <w:t>CLLR</w:t>
      </w:r>
      <w:r>
        <w:rPr>
          <w:szCs w:val="20"/>
        </w:rPr>
        <w:tab/>
      </w:r>
      <w:r>
        <w:rPr>
          <w:szCs w:val="20"/>
        </w:rPr>
        <w:tab/>
        <w:t>:</w:t>
      </w:r>
      <w:r>
        <w:rPr>
          <w:szCs w:val="20"/>
        </w:rPr>
        <w:tab/>
      </w:r>
      <w:r>
        <w:rPr>
          <w:szCs w:val="20"/>
        </w:rPr>
        <w:tab/>
      </w:r>
      <w:r w:rsidR="00C40E56">
        <w:rPr>
          <w:szCs w:val="20"/>
        </w:rPr>
        <w:t>Councilor</w:t>
      </w:r>
    </w:p>
    <w:p w14:paraId="26557640" w14:textId="77777777" w:rsidR="006B5179" w:rsidRDefault="006B5179" w:rsidP="00395313">
      <w:pPr>
        <w:spacing w:line="240" w:lineRule="auto"/>
        <w:contextualSpacing/>
        <w:jc w:val="both"/>
        <w:rPr>
          <w:szCs w:val="20"/>
        </w:rPr>
      </w:pPr>
      <w:r>
        <w:rPr>
          <w:szCs w:val="20"/>
        </w:rPr>
        <w:t>CS 2016</w:t>
      </w:r>
      <w:r>
        <w:rPr>
          <w:szCs w:val="20"/>
        </w:rPr>
        <w:tab/>
      </w:r>
      <w:r>
        <w:rPr>
          <w:szCs w:val="20"/>
        </w:rPr>
        <w:tab/>
        <w:t>:</w:t>
      </w:r>
      <w:r>
        <w:rPr>
          <w:szCs w:val="20"/>
        </w:rPr>
        <w:tab/>
      </w:r>
      <w:r>
        <w:rPr>
          <w:szCs w:val="20"/>
        </w:rPr>
        <w:tab/>
        <w:t>Census Community Survey 2016</w:t>
      </w:r>
    </w:p>
    <w:p w14:paraId="37A636F7" w14:textId="77777777" w:rsidR="00191984" w:rsidRPr="00881795" w:rsidRDefault="00191984" w:rsidP="00395313">
      <w:pPr>
        <w:spacing w:line="240" w:lineRule="auto"/>
        <w:contextualSpacing/>
        <w:jc w:val="both"/>
        <w:rPr>
          <w:szCs w:val="20"/>
        </w:rPr>
      </w:pPr>
      <w:r>
        <w:rPr>
          <w:szCs w:val="20"/>
        </w:rPr>
        <w:t>CWP</w:t>
      </w:r>
      <w:r>
        <w:rPr>
          <w:szCs w:val="20"/>
        </w:rPr>
        <w:tab/>
      </w:r>
      <w:r>
        <w:rPr>
          <w:szCs w:val="20"/>
        </w:rPr>
        <w:tab/>
        <w:t>:</w:t>
      </w:r>
      <w:r>
        <w:rPr>
          <w:szCs w:val="20"/>
        </w:rPr>
        <w:tab/>
      </w:r>
      <w:r>
        <w:rPr>
          <w:szCs w:val="20"/>
        </w:rPr>
        <w:tab/>
        <w:t xml:space="preserve">Community Works Program </w:t>
      </w:r>
    </w:p>
    <w:p w14:paraId="7E9760AB" w14:textId="77777777" w:rsidR="008506DD" w:rsidRPr="00881795" w:rsidRDefault="008506DD" w:rsidP="00395313">
      <w:pPr>
        <w:spacing w:line="240" w:lineRule="auto"/>
        <w:contextualSpacing/>
        <w:jc w:val="both"/>
        <w:rPr>
          <w:szCs w:val="20"/>
        </w:rPr>
      </w:pPr>
      <w:r w:rsidRPr="00881795">
        <w:rPr>
          <w:szCs w:val="20"/>
        </w:rPr>
        <w:t>DMP</w:t>
      </w:r>
      <w:r w:rsidRPr="00881795">
        <w:rPr>
          <w:szCs w:val="20"/>
        </w:rPr>
        <w:tab/>
      </w:r>
      <w:r w:rsidRPr="00881795">
        <w:rPr>
          <w:szCs w:val="20"/>
        </w:rPr>
        <w:tab/>
        <w:t>:</w:t>
      </w:r>
      <w:r w:rsidRPr="00881795">
        <w:rPr>
          <w:szCs w:val="20"/>
        </w:rPr>
        <w:tab/>
      </w:r>
      <w:r w:rsidRPr="00881795">
        <w:rPr>
          <w:szCs w:val="20"/>
        </w:rPr>
        <w:tab/>
        <w:t>Disaster Management Plan</w:t>
      </w:r>
    </w:p>
    <w:p w14:paraId="10647024" w14:textId="77777777" w:rsidR="008506DD" w:rsidRDefault="008506DD" w:rsidP="00395313">
      <w:pPr>
        <w:spacing w:line="240" w:lineRule="auto"/>
        <w:contextualSpacing/>
        <w:jc w:val="both"/>
        <w:rPr>
          <w:szCs w:val="20"/>
        </w:rPr>
      </w:pPr>
      <w:r w:rsidRPr="00881795">
        <w:rPr>
          <w:szCs w:val="20"/>
        </w:rPr>
        <w:t>DM</w:t>
      </w:r>
      <w:r w:rsidRPr="00881795">
        <w:rPr>
          <w:szCs w:val="20"/>
        </w:rPr>
        <w:tab/>
      </w:r>
      <w:r w:rsidRPr="00881795">
        <w:rPr>
          <w:szCs w:val="20"/>
        </w:rPr>
        <w:tab/>
        <w:t>:</w:t>
      </w:r>
      <w:r w:rsidRPr="00881795">
        <w:rPr>
          <w:szCs w:val="20"/>
        </w:rPr>
        <w:tab/>
      </w:r>
      <w:r w:rsidRPr="00881795">
        <w:rPr>
          <w:szCs w:val="20"/>
        </w:rPr>
        <w:tab/>
      </w:r>
      <w:r w:rsidR="003C03FA">
        <w:rPr>
          <w:szCs w:val="20"/>
        </w:rPr>
        <w:t>District</w:t>
      </w:r>
      <w:r w:rsidRPr="00881795">
        <w:rPr>
          <w:szCs w:val="20"/>
        </w:rPr>
        <w:t xml:space="preserve"> Municipality</w:t>
      </w:r>
    </w:p>
    <w:p w14:paraId="782EDDD5" w14:textId="77777777" w:rsidR="00191984" w:rsidRDefault="00191984" w:rsidP="00395313">
      <w:pPr>
        <w:spacing w:line="240" w:lineRule="auto"/>
        <w:contextualSpacing/>
        <w:jc w:val="both"/>
        <w:rPr>
          <w:szCs w:val="20"/>
        </w:rPr>
      </w:pPr>
      <w:r>
        <w:rPr>
          <w:szCs w:val="20"/>
        </w:rPr>
        <w:t>DHS</w:t>
      </w:r>
      <w:r>
        <w:rPr>
          <w:szCs w:val="20"/>
        </w:rPr>
        <w:tab/>
      </w:r>
      <w:r>
        <w:rPr>
          <w:szCs w:val="20"/>
        </w:rPr>
        <w:tab/>
        <w:t>:</w:t>
      </w:r>
      <w:r>
        <w:rPr>
          <w:szCs w:val="20"/>
        </w:rPr>
        <w:tab/>
      </w:r>
      <w:r>
        <w:rPr>
          <w:szCs w:val="20"/>
        </w:rPr>
        <w:tab/>
        <w:t>KZN Department of Human Settlements</w:t>
      </w:r>
    </w:p>
    <w:p w14:paraId="39011C88" w14:textId="77777777" w:rsidR="00191984" w:rsidRDefault="00191984" w:rsidP="00395313">
      <w:pPr>
        <w:spacing w:line="240" w:lineRule="auto"/>
        <w:contextualSpacing/>
        <w:jc w:val="both"/>
        <w:rPr>
          <w:szCs w:val="20"/>
        </w:rPr>
      </w:pPr>
      <w:r>
        <w:rPr>
          <w:szCs w:val="20"/>
        </w:rPr>
        <w:t>DOT</w:t>
      </w:r>
      <w:r>
        <w:rPr>
          <w:szCs w:val="20"/>
        </w:rPr>
        <w:tab/>
      </w:r>
      <w:r>
        <w:rPr>
          <w:szCs w:val="20"/>
        </w:rPr>
        <w:tab/>
        <w:t>:</w:t>
      </w:r>
      <w:r>
        <w:rPr>
          <w:szCs w:val="20"/>
        </w:rPr>
        <w:tab/>
      </w:r>
      <w:r>
        <w:rPr>
          <w:szCs w:val="20"/>
        </w:rPr>
        <w:tab/>
        <w:t>Department of Transport</w:t>
      </w:r>
    </w:p>
    <w:p w14:paraId="7AB05376" w14:textId="77777777" w:rsidR="00191984" w:rsidRPr="00881795" w:rsidRDefault="00191984" w:rsidP="00395313">
      <w:pPr>
        <w:spacing w:line="240" w:lineRule="auto"/>
        <w:contextualSpacing/>
        <w:jc w:val="both"/>
        <w:rPr>
          <w:szCs w:val="20"/>
        </w:rPr>
      </w:pPr>
      <w:r>
        <w:rPr>
          <w:szCs w:val="20"/>
        </w:rPr>
        <w:t>DOH</w:t>
      </w:r>
      <w:r>
        <w:rPr>
          <w:szCs w:val="20"/>
        </w:rPr>
        <w:tab/>
      </w:r>
      <w:r>
        <w:rPr>
          <w:szCs w:val="20"/>
        </w:rPr>
        <w:tab/>
        <w:t>:</w:t>
      </w:r>
      <w:r>
        <w:rPr>
          <w:szCs w:val="20"/>
        </w:rPr>
        <w:tab/>
      </w:r>
      <w:r>
        <w:rPr>
          <w:szCs w:val="20"/>
        </w:rPr>
        <w:tab/>
        <w:t>Department of Health</w:t>
      </w:r>
    </w:p>
    <w:p w14:paraId="597ECFB3" w14:textId="77777777" w:rsidR="008506DD" w:rsidRPr="00881795" w:rsidRDefault="008506DD" w:rsidP="00395313">
      <w:pPr>
        <w:spacing w:line="240" w:lineRule="auto"/>
        <w:contextualSpacing/>
        <w:jc w:val="both"/>
        <w:rPr>
          <w:szCs w:val="20"/>
        </w:rPr>
      </w:pPr>
      <w:r w:rsidRPr="00881795">
        <w:rPr>
          <w:szCs w:val="20"/>
        </w:rPr>
        <w:t>DW</w:t>
      </w:r>
      <w:r w:rsidR="005F327F">
        <w:rPr>
          <w:szCs w:val="20"/>
        </w:rPr>
        <w:t>S</w:t>
      </w:r>
      <w:r w:rsidRPr="00881795">
        <w:rPr>
          <w:szCs w:val="20"/>
        </w:rPr>
        <w:tab/>
      </w:r>
      <w:r w:rsidRPr="00881795">
        <w:rPr>
          <w:szCs w:val="20"/>
        </w:rPr>
        <w:tab/>
        <w:t>:</w:t>
      </w:r>
      <w:r w:rsidRPr="00881795">
        <w:rPr>
          <w:szCs w:val="20"/>
        </w:rPr>
        <w:tab/>
      </w:r>
      <w:r w:rsidRPr="00881795">
        <w:rPr>
          <w:szCs w:val="20"/>
        </w:rPr>
        <w:tab/>
        <w:t xml:space="preserve">Department of Water </w:t>
      </w:r>
      <w:r w:rsidR="005F327F">
        <w:rPr>
          <w:szCs w:val="20"/>
        </w:rPr>
        <w:t>&amp; Sanitation</w:t>
      </w:r>
    </w:p>
    <w:p w14:paraId="70F2ED5A" w14:textId="77777777" w:rsidR="008506DD" w:rsidRDefault="008506DD" w:rsidP="00395313">
      <w:pPr>
        <w:spacing w:line="240" w:lineRule="auto"/>
        <w:contextualSpacing/>
        <w:jc w:val="both"/>
        <w:rPr>
          <w:szCs w:val="20"/>
        </w:rPr>
      </w:pPr>
      <w:r w:rsidRPr="00881795">
        <w:rPr>
          <w:szCs w:val="20"/>
        </w:rPr>
        <w:t>EE</w:t>
      </w:r>
      <w:r w:rsidRPr="00881795">
        <w:rPr>
          <w:szCs w:val="20"/>
        </w:rPr>
        <w:tab/>
      </w:r>
      <w:r w:rsidRPr="00881795">
        <w:rPr>
          <w:szCs w:val="20"/>
        </w:rPr>
        <w:tab/>
        <w:t>:</w:t>
      </w:r>
      <w:r w:rsidRPr="00881795">
        <w:rPr>
          <w:szCs w:val="20"/>
        </w:rPr>
        <w:tab/>
      </w:r>
      <w:r w:rsidRPr="00881795">
        <w:rPr>
          <w:szCs w:val="20"/>
        </w:rPr>
        <w:tab/>
        <w:t>Employment Equity</w:t>
      </w:r>
    </w:p>
    <w:p w14:paraId="3288820B" w14:textId="77777777" w:rsidR="00191984" w:rsidRDefault="00191984" w:rsidP="00395313">
      <w:pPr>
        <w:spacing w:line="240" w:lineRule="auto"/>
        <w:contextualSpacing/>
        <w:jc w:val="both"/>
        <w:rPr>
          <w:szCs w:val="20"/>
        </w:rPr>
      </w:pPr>
      <w:r>
        <w:rPr>
          <w:szCs w:val="20"/>
        </w:rPr>
        <w:t>ECD</w:t>
      </w:r>
      <w:r>
        <w:rPr>
          <w:szCs w:val="20"/>
        </w:rPr>
        <w:tab/>
      </w:r>
      <w:r>
        <w:rPr>
          <w:szCs w:val="20"/>
        </w:rPr>
        <w:tab/>
        <w:t>:</w:t>
      </w:r>
      <w:r>
        <w:rPr>
          <w:szCs w:val="20"/>
        </w:rPr>
        <w:tab/>
      </w:r>
      <w:r>
        <w:rPr>
          <w:szCs w:val="20"/>
        </w:rPr>
        <w:tab/>
        <w:t>Early Childhood Development</w:t>
      </w:r>
    </w:p>
    <w:p w14:paraId="39F1ACA6" w14:textId="77777777" w:rsidR="00191984" w:rsidRPr="00881795" w:rsidRDefault="00191984" w:rsidP="00395313">
      <w:pPr>
        <w:spacing w:line="240" w:lineRule="auto"/>
        <w:contextualSpacing/>
        <w:jc w:val="both"/>
        <w:rPr>
          <w:szCs w:val="20"/>
        </w:rPr>
      </w:pPr>
      <w:r>
        <w:rPr>
          <w:szCs w:val="20"/>
        </w:rPr>
        <w:t>EPWP</w:t>
      </w:r>
      <w:r>
        <w:rPr>
          <w:szCs w:val="20"/>
        </w:rPr>
        <w:tab/>
      </w:r>
      <w:r>
        <w:rPr>
          <w:szCs w:val="20"/>
        </w:rPr>
        <w:tab/>
        <w:t>:</w:t>
      </w:r>
      <w:r>
        <w:rPr>
          <w:szCs w:val="20"/>
        </w:rPr>
        <w:tab/>
      </w:r>
      <w:r>
        <w:rPr>
          <w:szCs w:val="20"/>
        </w:rPr>
        <w:tab/>
        <w:t>Expanded Public Works Program</w:t>
      </w:r>
    </w:p>
    <w:p w14:paraId="07792F2E" w14:textId="77777777" w:rsidR="008506DD" w:rsidRPr="00881795" w:rsidRDefault="008506DD" w:rsidP="00395313">
      <w:pPr>
        <w:spacing w:line="240" w:lineRule="auto"/>
        <w:contextualSpacing/>
        <w:jc w:val="both"/>
        <w:rPr>
          <w:szCs w:val="20"/>
        </w:rPr>
      </w:pPr>
      <w:r w:rsidRPr="00881795">
        <w:rPr>
          <w:szCs w:val="20"/>
        </w:rPr>
        <w:t>EEP</w:t>
      </w:r>
      <w:r w:rsidRPr="00881795">
        <w:rPr>
          <w:szCs w:val="20"/>
        </w:rPr>
        <w:tab/>
      </w:r>
      <w:r w:rsidRPr="00881795">
        <w:rPr>
          <w:szCs w:val="20"/>
        </w:rPr>
        <w:tab/>
        <w:t>:</w:t>
      </w:r>
      <w:r w:rsidRPr="00881795">
        <w:rPr>
          <w:szCs w:val="20"/>
        </w:rPr>
        <w:tab/>
      </w:r>
      <w:r w:rsidRPr="00881795">
        <w:rPr>
          <w:szCs w:val="20"/>
        </w:rPr>
        <w:tab/>
        <w:t>Employment Equity Plan</w:t>
      </w:r>
    </w:p>
    <w:p w14:paraId="4F13A724" w14:textId="77777777" w:rsidR="008506DD" w:rsidRDefault="008506DD" w:rsidP="00395313">
      <w:pPr>
        <w:spacing w:line="240" w:lineRule="auto"/>
        <w:contextualSpacing/>
        <w:jc w:val="both"/>
        <w:rPr>
          <w:szCs w:val="20"/>
        </w:rPr>
      </w:pPr>
      <w:r w:rsidRPr="00881795">
        <w:rPr>
          <w:szCs w:val="20"/>
        </w:rPr>
        <w:t>EMP</w:t>
      </w:r>
      <w:r w:rsidRPr="00881795">
        <w:rPr>
          <w:szCs w:val="20"/>
        </w:rPr>
        <w:tab/>
      </w:r>
      <w:r w:rsidRPr="00881795">
        <w:rPr>
          <w:szCs w:val="20"/>
        </w:rPr>
        <w:tab/>
        <w:t>:</w:t>
      </w:r>
      <w:r w:rsidRPr="00881795">
        <w:rPr>
          <w:szCs w:val="20"/>
        </w:rPr>
        <w:tab/>
      </w:r>
      <w:r w:rsidRPr="00881795">
        <w:rPr>
          <w:szCs w:val="20"/>
        </w:rPr>
        <w:tab/>
        <w:t>Environmental Management Plan</w:t>
      </w:r>
    </w:p>
    <w:p w14:paraId="3FFFE918" w14:textId="77777777" w:rsidR="00191984" w:rsidRPr="00881795" w:rsidRDefault="00191984" w:rsidP="00395313">
      <w:pPr>
        <w:spacing w:line="240" w:lineRule="auto"/>
        <w:contextualSpacing/>
        <w:jc w:val="both"/>
        <w:rPr>
          <w:szCs w:val="20"/>
        </w:rPr>
      </w:pPr>
      <w:r>
        <w:rPr>
          <w:szCs w:val="20"/>
        </w:rPr>
        <w:t>ESH</w:t>
      </w:r>
      <w:r>
        <w:rPr>
          <w:szCs w:val="20"/>
        </w:rPr>
        <w:tab/>
      </w:r>
      <w:r>
        <w:rPr>
          <w:szCs w:val="20"/>
        </w:rPr>
        <w:tab/>
        <w:t>:</w:t>
      </w:r>
      <w:r>
        <w:rPr>
          <w:szCs w:val="20"/>
        </w:rPr>
        <w:tab/>
      </w:r>
      <w:r>
        <w:rPr>
          <w:szCs w:val="20"/>
        </w:rPr>
        <w:tab/>
        <w:t>Eshowe (Town)</w:t>
      </w:r>
    </w:p>
    <w:p w14:paraId="579E0F77" w14:textId="77777777" w:rsidR="008506DD" w:rsidRPr="00881795" w:rsidRDefault="008506DD" w:rsidP="00395313">
      <w:pPr>
        <w:spacing w:line="240" w:lineRule="auto"/>
        <w:contextualSpacing/>
        <w:jc w:val="both"/>
        <w:rPr>
          <w:szCs w:val="20"/>
        </w:rPr>
      </w:pPr>
      <w:r w:rsidRPr="00881795">
        <w:rPr>
          <w:szCs w:val="20"/>
        </w:rPr>
        <w:t>EXCO</w:t>
      </w:r>
      <w:r w:rsidRPr="00881795">
        <w:rPr>
          <w:szCs w:val="20"/>
        </w:rPr>
        <w:tab/>
      </w:r>
      <w:r w:rsidRPr="00881795">
        <w:rPr>
          <w:szCs w:val="20"/>
        </w:rPr>
        <w:tab/>
        <w:t>:</w:t>
      </w:r>
      <w:r w:rsidRPr="00881795">
        <w:rPr>
          <w:szCs w:val="20"/>
        </w:rPr>
        <w:tab/>
      </w:r>
      <w:r w:rsidRPr="00881795">
        <w:rPr>
          <w:szCs w:val="20"/>
        </w:rPr>
        <w:tab/>
        <w:t>Executive Committee</w:t>
      </w:r>
    </w:p>
    <w:p w14:paraId="65C42896" w14:textId="77777777" w:rsidR="008506DD" w:rsidRPr="00881795" w:rsidRDefault="008506DD" w:rsidP="00395313">
      <w:pPr>
        <w:spacing w:line="240" w:lineRule="auto"/>
        <w:contextualSpacing/>
        <w:jc w:val="both"/>
        <w:rPr>
          <w:szCs w:val="20"/>
        </w:rPr>
      </w:pPr>
      <w:r w:rsidRPr="00881795">
        <w:rPr>
          <w:szCs w:val="20"/>
        </w:rPr>
        <w:t xml:space="preserve">FMG </w:t>
      </w:r>
      <w:r w:rsidRPr="00881795">
        <w:rPr>
          <w:szCs w:val="20"/>
        </w:rPr>
        <w:tab/>
      </w:r>
      <w:r w:rsidRPr="00881795">
        <w:rPr>
          <w:szCs w:val="20"/>
        </w:rPr>
        <w:tab/>
        <w:t>:</w:t>
      </w:r>
      <w:r w:rsidRPr="00881795">
        <w:rPr>
          <w:szCs w:val="20"/>
        </w:rPr>
        <w:tab/>
      </w:r>
      <w:r w:rsidRPr="00881795">
        <w:rPr>
          <w:szCs w:val="20"/>
        </w:rPr>
        <w:tab/>
        <w:t>Finance Management Grant</w:t>
      </w:r>
    </w:p>
    <w:p w14:paraId="3155F2F6" w14:textId="77777777" w:rsidR="008506DD" w:rsidRDefault="008506DD" w:rsidP="00395313">
      <w:pPr>
        <w:spacing w:line="240" w:lineRule="auto"/>
        <w:contextualSpacing/>
        <w:jc w:val="both"/>
        <w:rPr>
          <w:szCs w:val="20"/>
        </w:rPr>
      </w:pPr>
      <w:r w:rsidRPr="00881795">
        <w:rPr>
          <w:szCs w:val="20"/>
        </w:rPr>
        <w:t>GAAP</w:t>
      </w:r>
      <w:r w:rsidRPr="00881795">
        <w:rPr>
          <w:szCs w:val="20"/>
        </w:rPr>
        <w:tab/>
      </w:r>
      <w:r w:rsidRPr="00881795">
        <w:rPr>
          <w:szCs w:val="20"/>
        </w:rPr>
        <w:tab/>
        <w:t>:</w:t>
      </w:r>
      <w:r w:rsidRPr="00881795">
        <w:rPr>
          <w:szCs w:val="20"/>
        </w:rPr>
        <w:tab/>
      </w:r>
      <w:r w:rsidRPr="00881795">
        <w:rPr>
          <w:szCs w:val="20"/>
        </w:rPr>
        <w:tab/>
        <w:t xml:space="preserve">General Acceptable Accounting Practice </w:t>
      </w:r>
    </w:p>
    <w:p w14:paraId="4956937E" w14:textId="77777777" w:rsidR="0012603A" w:rsidRDefault="0012603A" w:rsidP="00395313">
      <w:pPr>
        <w:spacing w:line="240" w:lineRule="auto"/>
        <w:contextualSpacing/>
        <w:jc w:val="both"/>
        <w:rPr>
          <w:szCs w:val="20"/>
        </w:rPr>
      </w:pPr>
      <w:r>
        <w:rPr>
          <w:szCs w:val="20"/>
        </w:rPr>
        <w:t>GDP</w:t>
      </w:r>
      <w:r>
        <w:rPr>
          <w:szCs w:val="20"/>
        </w:rPr>
        <w:tab/>
      </w:r>
      <w:r>
        <w:rPr>
          <w:szCs w:val="20"/>
        </w:rPr>
        <w:tab/>
        <w:t>:</w:t>
      </w:r>
      <w:r>
        <w:rPr>
          <w:szCs w:val="20"/>
        </w:rPr>
        <w:tab/>
      </w:r>
      <w:r>
        <w:rPr>
          <w:szCs w:val="20"/>
        </w:rPr>
        <w:tab/>
        <w:t>Gross Domestic Product</w:t>
      </w:r>
    </w:p>
    <w:p w14:paraId="19653798" w14:textId="77777777" w:rsidR="00191984" w:rsidRPr="00881795" w:rsidRDefault="00191984" w:rsidP="00395313">
      <w:pPr>
        <w:spacing w:line="240" w:lineRule="auto"/>
        <w:contextualSpacing/>
        <w:jc w:val="both"/>
        <w:rPr>
          <w:szCs w:val="20"/>
        </w:rPr>
      </w:pPr>
      <w:r>
        <w:rPr>
          <w:szCs w:val="20"/>
        </w:rPr>
        <w:t>GVA</w:t>
      </w:r>
      <w:r>
        <w:rPr>
          <w:szCs w:val="20"/>
        </w:rPr>
        <w:tab/>
      </w:r>
      <w:r>
        <w:rPr>
          <w:szCs w:val="20"/>
        </w:rPr>
        <w:tab/>
        <w:t>:</w:t>
      </w:r>
      <w:r>
        <w:rPr>
          <w:szCs w:val="20"/>
        </w:rPr>
        <w:tab/>
      </w:r>
      <w:r>
        <w:rPr>
          <w:szCs w:val="20"/>
        </w:rPr>
        <w:tab/>
        <w:t>Gross Value Added</w:t>
      </w:r>
    </w:p>
    <w:p w14:paraId="5B128E7F" w14:textId="77777777" w:rsidR="008506DD" w:rsidRPr="00881795" w:rsidRDefault="008506DD" w:rsidP="00395313">
      <w:pPr>
        <w:spacing w:line="240" w:lineRule="auto"/>
        <w:contextualSpacing/>
        <w:jc w:val="both"/>
        <w:rPr>
          <w:szCs w:val="20"/>
        </w:rPr>
      </w:pPr>
      <w:r w:rsidRPr="00881795">
        <w:rPr>
          <w:szCs w:val="20"/>
        </w:rPr>
        <w:t>HH</w:t>
      </w:r>
      <w:r w:rsidRPr="00881795">
        <w:rPr>
          <w:szCs w:val="20"/>
        </w:rPr>
        <w:tab/>
      </w:r>
      <w:r w:rsidRPr="00881795">
        <w:rPr>
          <w:szCs w:val="20"/>
        </w:rPr>
        <w:tab/>
        <w:t>:</w:t>
      </w:r>
      <w:r w:rsidRPr="00881795">
        <w:rPr>
          <w:szCs w:val="20"/>
        </w:rPr>
        <w:tab/>
      </w:r>
      <w:r w:rsidRPr="00881795">
        <w:rPr>
          <w:szCs w:val="20"/>
        </w:rPr>
        <w:tab/>
        <w:t>Households</w:t>
      </w:r>
    </w:p>
    <w:p w14:paraId="71F17487" w14:textId="77777777" w:rsidR="008506DD" w:rsidRPr="00881795" w:rsidRDefault="008506DD" w:rsidP="00395313">
      <w:pPr>
        <w:spacing w:line="240" w:lineRule="auto"/>
        <w:contextualSpacing/>
        <w:jc w:val="both"/>
        <w:rPr>
          <w:szCs w:val="20"/>
        </w:rPr>
      </w:pPr>
      <w:r w:rsidRPr="00881795">
        <w:rPr>
          <w:szCs w:val="20"/>
        </w:rPr>
        <w:t>IDP</w:t>
      </w:r>
      <w:r w:rsidRPr="00881795">
        <w:rPr>
          <w:szCs w:val="20"/>
        </w:rPr>
        <w:tab/>
      </w:r>
      <w:r w:rsidRPr="00881795">
        <w:rPr>
          <w:szCs w:val="20"/>
        </w:rPr>
        <w:tab/>
        <w:t>:</w:t>
      </w:r>
      <w:r w:rsidRPr="00881795">
        <w:rPr>
          <w:szCs w:val="20"/>
        </w:rPr>
        <w:tab/>
      </w:r>
      <w:r w:rsidRPr="00881795">
        <w:rPr>
          <w:szCs w:val="20"/>
        </w:rPr>
        <w:tab/>
        <w:t>Integrated Development Plan</w:t>
      </w:r>
    </w:p>
    <w:p w14:paraId="57104971" w14:textId="77777777" w:rsidR="008506DD" w:rsidRDefault="008506DD" w:rsidP="00395313">
      <w:pPr>
        <w:spacing w:line="240" w:lineRule="auto"/>
        <w:contextualSpacing/>
        <w:jc w:val="both"/>
        <w:rPr>
          <w:szCs w:val="20"/>
        </w:rPr>
      </w:pPr>
      <w:r w:rsidRPr="00881795">
        <w:rPr>
          <w:szCs w:val="20"/>
        </w:rPr>
        <w:lastRenderedPageBreak/>
        <w:t>ITP</w:t>
      </w:r>
      <w:r w:rsidRPr="00881795">
        <w:rPr>
          <w:szCs w:val="20"/>
        </w:rPr>
        <w:tab/>
      </w:r>
      <w:r w:rsidRPr="00881795">
        <w:rPr>
          <w:szCs w:val="20"/>
        </w:rPr>
        <w:tab/>
        <w:t>:</w:t>
      </w:r>
      <w:r w:rsidRPr="00881795">
        <w:rPr>
          <w:szCs w:val="20"/>
        </w:rPr>
        <w:tab/>
      </w:r>
      <w:r w:rsidRPr="00881795">
        <w:rPr>
          <w:szCs w:val="20"/>
        </w:rPr>
        <w:tab/>
        <w:t>Integrated Transport Plan</w:t>
      </w:r>
    </w:p>
    <w:p w14:paraId="26DE4B32" w14:textId="77777777" w:rsidR="00191984" w:rsidRPr="00881795" w:rsidRDefault="00191984" w:rsidP="00395313">
      <w:pPr>
        <w:spacing w:line="240" w:lineRule="auto"/>
        <w:contextualSpacing/>
        <w:jc w:val="both"/>
        <w:rPr>
          <w:szCs w:val="20"/>
        </w:rPr>
      </w:pPr>
      <w:r>
        <w:rPr>
          <w:szCs w:val="20"/>
        </w:rPr>
        <w:t>ITB</w:t>
      </w:r>
      <w:r>
        <w:rPr>
          <w:szCs w:val="20"/>
        </w:rPr>
        <w:tab/>
      </w:r>
      <w:r>
        <w:rPr>
          <w:szCs w:val="20"/>
        </w:rPr>
        <w:tab/>
        <w:t>:</w:t>
      </w:r>
      <w:r>
        <w:rPr>
          <w:szCs w:val="20"/>
        </w:rPr>
        <w:tab/>
      </w:r>
      <w:r>
        <w:rPr>
          <w:szCs w:val="20"/>
        </w:rPr>
        <w:tab/>
        <w:t>Ingonyama Trust Board</w:t>
      </w:r>
    </w:p>
    <w:p w14:paraId="38F77A28" w14:textId="77777777" w:rsidR="008506DD" w:rsidRDefault="008506DD" w:rsidP="00395313">
      <w:pPr>
        <w:spacing w:line="240" w:lineRule="auto"/>
        <w:contextualSpacing/>
        <w:jc w:val="both"/>
        <w:rPr>
          <w:szCs w:val="20"/>
        </w:rPr>
      </w:pPr>
      <w:r w:rsidRPr="00881795">
        <w:rPr>
          <w:szCs w:val="20"/>
        </w:rPr>
        <w:t>KPA</w:t>
      </w:r>
      <w:r w:rsidRPr="00881795">
        <w:rPr>
          <w:szCs w:val="20"/>
        </w:rPr>
        <w:tab/>
      </w:r>
      <w:r w:rsidRPr="00881795">
        <w:rPr>
          <w:szCs w:val="20"/>
        </w:rPr>
        <w:tab/>
        <w:t>:</w:t>
      </w:r>
      <w:r w:rsidRPr="00881795">
        <w:rPr>
          <w:szCs w:val="20"/>
        </w:rPr>
        <w:tab/>
      </w:r>
      <w:r w:rsidRPr="00881795">
        <w:rPr>
          <w:szCs w:val="20"/>
        </w:rPr>
        <w:tab/>
        <w:t>Key Performance Area</w:t>
      </w:r>
    </w:p>
    <w:p w14:paraId="091624D4" w14:textId="77777777" w:rsidR="00AC26D7" w:rsidRPr="00881795" w:rsidRDefault="00AC26D7" w:rsidP="00395313">
      <w:pPr>
        <w:spacing w:line="240" w:lineRule="auto"/>
        <w:contextualSpacing/>
        <w:jc w:val="both"/>
        <w:rPr>
          <w:szCs w:val="20"/>
        </w:rPr>
      </w:pPr>
      <w:r>
        <w:rPr>
          <w:szCs w:val="20"/>
        </w:rPr>
        <w:t>KCDM</w:t>
      </w:r>
      <w:r>
        <w:rPr>
          <w:szCs w:val="20"/>
        </w:rPr>
        <w:tab/>
      </w:r>
      <w:r>
        <w:rPr>
          <w:szCs w:val="20"/>
        </w:rPr>
        <w:tab/>
        <w:t>:</w:t>
      </w:r>
      <w:r>
        <w:rPr>
          <w:szCs w:val="20"/>
        </w:rPr>
        <w:tab/>
      </w:r>
      <w:r>
        <w:rPr>
          <w:szCs w:val="20"/>
        </w:rPr>
        <w:tab/>
        <w:t xml:space="preserve">King Cetshwayo </w:t>
      </w:r>
      <w:r w:rsidR="003C03FA">
        <w:rPr>
          <w:szCs w:val="20"/>
        </w:rPr>
        <w:t>District</w:t>
      </w:r>
      <w:r>
        <w:rPr>
          <w:szCs w:val="20"/>
        </w:rPr>
        <w:t xml:space="preserve"> Municipality</w:t>
      </w:r>
    </w:p>
    <w:p w14:paraId="318F99C1" w14:textId="77777777" w:rsidR="008506DD" w:rsidRDefault="008506DD" w:rsidP="00395313">
      <w:pPr>
        <w:spacing w:line="240" w:lineRule="auto"/>
        <w:contextualSpacing/>
        <w:jc w:val="both"/>
        <w:rPr>
          <w:szCs w:val="20"/>
        </w:rPr>
      </w:pPr>
      <w:r w:rsidRPr="00881795">
        <w:rPr>
          <w:szCs w:val="20"/>
        </w:rPr>
        <w:t>KPI</w:t>
      </w:r>
      <w:r w:rsidRPr="00881795">
        <w:rPr>
          <w:szCs w:val="20"/>
        </w:rPr>
        <w:tab/>
      </w:r>
      <w:r w:rsidRPr="00881795">
        <w:rPr>
          <w:szCs w:val="20"/>
        </w:rPr>
        <w:tab/>
        <w:t>:</w:t>
      </w:r>
      <w:r w:rsidRPr="00881795">
        <w:rPr>
          <w:szCs w:val="20"/>
        </w:rPr>
        <w:tab/>
      </w:r>
      <w:r w:rsidRPr="00881795">
        <w:rPr>
          <w:szCs w:val="20"/>
        </w:rPr>
        <w:tab/>
        <w:t>Key Performance Indicator</w:t>
      </w:r>
    </w:p>
    <w:p w14:paraId="6D0A588D" w14:textId="77777777" w:rsidR="00191984" w:rsidRPr="00881795" w:rsidRDefault="00191984" w:rsidP="00395313">
      <w:pPr>
        <w:spacing w:line="240" w:lineRule="auto"/>
        <w:contextualSpacing/>
        <w:jc w:val="both"/>
        <w:rPr>
          <w:szCs w:val="20"/>
        </w:rPr>
      </w:pPr>
      <w:r>
        <w:rPr>
          <w:szCs w:val="20"/>
        </w:rPr>
        <w:t>KZN</w:t>
      </w:r>
      <w:r>
        <w:rPr>
          <w:szCs w:val="20"/>
        </w:rPr>
        <w:tab/>
      </w:r>
      <w:r>
        <w:rPr>
          <w:szCs w:val="20"/>
        </w:rPr>
        <w:tab/>
        <w:t>:</w:t>
      </w:r>
      <w:r>
        <w:rPr>
          <w:szCs w:val="20"/>
        </w:rPr>
        <w:tab/>
      </w:r>
      <w:r>
        <w:rPr>
          <w:szCs w:val="20"/>
        </w:rPr>
        <w:tab/>
        <w:t>Kwa-Zulu Natal</w:t>
      </w:r>
    </w:p>
    <w:p w14:paraId="40F41874" w14:textId="77777777" w:rsidR="008506DD" w:rsidRPr="00881795" w:rsidRDefault="008506DD" w:rsidP="00395313">
      <w:pPr>
        <w:spacing w:line="240" w:lineRule="auto"/>
        <w:contextualSpacing/>
        <w:jc w:val="both"/>
        <w:rPr>
          <w:szCs w:val="20"/>
        </w:rPr>
      </w:pPr>
      <w:r w:rsidRPr="00881795">
        <w:rPr>
          <w:szCs w:val="20"/>
        </w:rPr>
        <w:t>LED</w:t>
      </w:r>
      <w:r w:rsidRPr="00881795">
        <w:rPr>
          <w:szCs w:val="20"/>
        </w:rPr>
        <w:tab/>
      </w:r>
      <w:r w:rsidRPr="00881795">
        <w:rPr>
          <w:szCs w:val="20"/>
        </w:rPr>
        <w:tab/>
        <w:t>:</w:t>
      </w:r>
      <w:r w:rsidRPr="00881795">
        <w:rPr>
          <w:szCs w:val="20"/>
        </w:rPr>
        <w:tab/>
      </w:r>
      <w:r w:rsidRPr="00881795">
        <w:rPr>
          <w:szCs w:val="20"/>
        </w:rPr>
        <w:tab/>
        <w:t>Local Economic Development</w:t>
      </w:r>
    </w:p>
    <w:p w14:paraId="6F5ADE19" w14:textId="77777777" w:rsidR="008506DD" w:rsidRPr="00881795" w:rsidRDefault="008506DD" w:rsidP="00395313">
      <w:pPr>
        <w:spacing w:line="240" w:lineRule="auto"/>
        <w:contextualSpacing/>
        <w:jc w:val="both"/>
        <w:rPr>
          <w:szCs w:val="20"/>
        </w:rPr>
      </w:pPr>
      <w:r w:rsidRPr="00881795">
        <w:rPr>
          <w:szCs w:val="20"/>
        </w:rPr>
        <w:t>LUMS</w:t>
      </w:r>
      <w:r w:rsidRPr="00881795">
        <w:rPr>
          <w:szCs w:val="20"/>
        </w:rPr>
        <w:tab/>
      </w:r>
      <w:r w:rsidRPr="00881795">
        <w:rPr>
          <w:szCs w:val="20"/>
        </w:rPr>
        <w:tab/>
        <w:t>:</w:t>
      </w:r>
      <w:r w:rsidRPr="00881795">
        <w:rPr>
          <w:szCs w:val="20"/>
        </w:rPr>
        <w:tab/>
      </w:r>
      <w:r w:rsidRPr="00881795">
        <w:rPr>
          <w:szCs w:val="20"/>
        </w:rPr>
        <w:tab/>
        <w:t>Land Use Management System</w:t>
      </w:r>
    </w:p>
    <w:p w14:paraId="0C075B9F" w14:textId="77777777" w:rsidR="008506DD" w:rsidRPr="00881795" w:rsidRDefault="008506DD" w:rsidP="00395313">
      <w:pPr>
        <w:spacing w:line="240" w:lineRule="auto"/>
        <w:contextualSpacing/>
        <w:jc w:val="both"/>
        <w:rPr>
          <w:szCs w:val="20"/>
        </w:rPr>
      </w:pPr>
      <w:r w:rsidRPr="00881795">
        <w:rPr>
          <w:szCs w:val="20"/>
        </w:rPr>
        <w:t>LM</w:t>
      </w:r>
      <w:r w:rsidRPr="00881795">
        <w:rPr>
          <w:szCs w:val="20"/>
        </w:rPr>
        <w:tab/>
      </w:r>
      <w:r w:rsidRPr="00881795">
        <w:rPr>
          <w:szCs w:val="20"/>
        </w:rPr>
        <w:tab/>
        <w:t>:</w:t>
      </w:r>
      <w:r w:rsidRPr="00881795">
        <w:rPr>
          <w:szCs w:val="20"/>
        </w:rPr>
        <w:tab/>
      </w:r>
      <w:r w:rsidRPr="00881795">
        <w:rPr>
          <w:szCs w:val="20"/>
        </w:rPr>
        <w:tab/>
        <w:t>Local Municipality</w:t>
      </w:r>
    </w:p>
    <w:p w14:paraId="1152A407" w14:textId="77777777" w:rsidR="008506DD" w:rsidRPr="00881795" w:rsidRDefault="008506DD" w:rsidP="00395313">
      <w:pPr>
        <w:spacing w:line="240" w:lineRule="auto"/>
        <w:contextualSpacing/>
        <w:jc w:val="both"/>
        <w:rPr>
          <w:szCs w:val="20"/>
        </w:rPr>
      </w:pPr>
      <w:r w:rsidRPr="00881795">
        <w:rPr>
          <w:szCs w:val="20"/>
        </w:rPr>
        <w:t>MIG</w:t>
      </w:r>
      <w:r w:rsidRPr="00881795">
        <w:rPr>
          <w:szCs w:val="20"/>
        </w:rPr>
        <w:tab/>
      </w:r>
      <w:r w:rsidRPr="00881795">
        <w:rPr>
          <w:szCs w:val="20"/>
        </w:rPr>
        <w:tab/>
        <w:t>:</w:t>
      </w:r>
      <w:r w:rsidRPr="00881795">
        <w:rPr>
          <w:szCs w:val="20"/>
        </w:rPr>
        <w:tab/>
      </w:r>
      <w:r w:rsidRPr="00881795">
        <w:rPr>
          <w:szCs w:val="20"/>
        </w:rPr>
        <w:tab/>
        <w:t>Municipal Infrastructure Grant</w:t>
      </w:r>
    </w:p>
    <w:p w14:paraId="2A6B5C0A" w14:textId="77777777" w:rsidR="008506DD" w:rsidRPr="00881795" w:rsidRDefault="008506DD" w:rsidP="00395313">
      <w:pPr>
        <w:spacing w:line="240" w:lineRule="auto"/>
        <w:contextualSpacing/>
        <w:jc w:val="both"/>
        <w:rPr>
          <w:szCs w:val="20"/>
        </w:rPr>
      </w:pPr>
      <w:r w:rsidRPr="00881795">
        <w:rPr>
          <w:szCs w:val="20"/>
        </w:rPr>
        <w:t xml:space="preserve">MFMA </w:t>
      </w:r>
      <w:r w:rsidRPr="00881795">
        <w:rPr>
          <w:szCs w:val="20"/>
        </w:rPr>
        <w:tab/>
      </w:r>
      <w:r w:rsidRPr="00881795">
        <w:rPr>
          <w:szCs w:val="20"/>
        </w:rPr>
        <w:tab/>
        <w:t>:</w:t>
      </w:r>
      <w:r w:rsidRPr="00881795">
        <w:rPr>
          <w:szCs w:val="20"/>
        </w:rPr>
        <w:tab/>
      </w:r>
      <w:r w:rsidRPr="00881795">
        <w:rPr>
          <w:szCs w:val="20"/>
        </w:rPr>
        <w:tab/>
        <w:t>Municipal Finance Management Act</w:t>
      </w:r>
    </w:p>
    <w:p w14:paraId="73B6A7A6" w14:textId="77777777" w:rsidR="008506DD" w:rsidRDefault="008506DD" w:rsidP="00395313">
      <w:pPr>
        <w:spacing w:line="240" w:lineRule="auto"/>
        <w:contextualSpacing/>
        <w:jc w:val="both"/>
        <w:rPr>
          <w:szCs w:val="20"/>
        </w:rPr>
      </w:pPr>
      <w:r w:rsidRPr="00881795">
        <w:rPr>
          <w:szCs w:val="20"/>
        </w:rPr>
        <w:t>MPAC</w:t>
      </w:r>
      <w:r w:rsidRPr="00881795">
        <w:rPr>
          <w:szCs w:val="20"/>
        </w:rPr>
        <w:tab/>
      </w:r>
      <w:r w:rsidRPr="00881795">
        <w:rPr>
          <w:szCs w:val="20"/>
        </w:rPr>
        <w:tab/>
        <w:t>:</w:t>
      </w:r>
      <w:r w:rsidRPr="00881795">
        <w:rPr>
          <w:szCs w:val="20"/>
        </w:rPr>
        <w:tab/>
      </w:r>
      <w:r w:rsidRPr="00881795">
        <w:rPr>
          <w:szCs w:val="20"/>
        </w:rPr>
        <w:tab/>
        <w:t>Municipal Public Accounts Committee</w:t>
      </w:r>
    </w:p>
    <w:p w14:paraId="414A781A" w14:textId="77777777" w:rsidR="00191984" w:rsidRPr="00881795" w:rsidRDefault="00191984" w:rsidP="00395313">
      <w:pPr>
        <w:spacing w:line="240" w:lineRule="auto"/>
        <w:contextualSpacing/>
        <w:jc w:val="both"/>
        <w:rPr>
          <w:szCs w:val="20"/>
        </w:rPr>
      </w:pPr>
      <w:r>
        <w:rPr>
          <w:szCs w:val="20"/>
        </w:rPr>
        <w:t>MTZ</w:t>
      </w:r>
      <w:r>
        <w:rPr>
          <w:szCs w:val="20"/>
        </w:rPr>
        <w:tab/>
      </w:r>
      <w:r>
        <w:rPr>
          <w:szCs w:val="20"/>
        </w:rPr>
        <w:tab/>
        <w:t>:</w:t>
      </w:r>
      <w:r>
        <w:rPr>
          <w:szCs w:val="20"/>
        </w:rPr>
        <w:tab/>
      </w:r>
      <w:r>
        <w:rPr>
          <w:szCs w:val="20"/>
        </w:rPr>
        <w:tab/>
        <w:t>Mtunzini (Town)</w:t>
      </w:r>
    </w:p>
    <w:p w14:paraId="60EE4D64" w14:textId="77777777" w:rsidR="008506DD" w:rsidRPr="00881795" w:rsidRDefault="008506DD" w:rsidP="00395313">
      <w:pPr>
        <w:spacing w:line="240" w:lineRule="auto"/>
        <w:contextualSpacing/>
        <w:jc w:val="both"/>
        <w:rPr>
          <w:szCs w:val="20"/>
        </w:rPr>
      </w:pPr>
      <w:r w:rsidRPr="00881795">
        <w:rPr>
          <w:szCs w:val="20"/>
        </w:rPr>
        <w:t>MANCO</w:t>
      </w:r>
      <w:r w:rsidR="00191984">
        <w:rPr>
          <w:szCs w:val="20"/>
        </w:rPr>
        <w:tab/>
      </w:r>
      <w:r w:rsidRPr="00881795">
        <w:rPr>
          <w:szCs w:val="20"/>
        </w:rPr>
        <w:tab/>
        <w:t>:</w:t>
      </w:r>
      <w:r w:rsidRPr="00881795">
        <w:rPr>
          <w:szCs w:val="20"/>
        </w:rPr>
        <w:tab/>
      </w:r>
      <w:r w:rsidRPr="00881795">
        <w:rPr>
          <w:szCs w:val="20"/>
        </w:rPr>
        <w:tab/>
        <w:t>Management Committee</w:t>
      </w:r>
    </w:p>
    <w:p w14:paraId="311BEE43" w14:textId="77777777" w:rsidR="008506DD" w:rsidRDefault="008506DD" w:rsidP="00395313">
      <w:pPr>
        <w:spacing w:line="240" w:lineRule="auto"/>
        <w:contextualSpacing/>
        <w:jc w:val="both"/>
        <w:rPr>
          <w:szCs w:val="20"/>
        </w:rPr>
      </w:pPr>
      <w:r w:rsidRPr="00881795">
        <w:rPr>
          <w:szCs w:val="20"/>
        </w:rPr>
        <w:t>NEMA</w:t>
      </w:r>
      <w:r w:rsidRPr="00881795">
        <w:rPr>
          <w:szCs w:val="20"/>
        </w:rPr>
        <w:tab/>
      </w:r>
      <w:r w:rsidRPr="00881795">
        <w:rPr>
          <w:szCs w:val="20"/>
        </w:rPr>
        <w:tab/>
        <w:t>:</w:t>
      </w:r>
      <w:r w:rsidRPr="00881795">
        <w:rPr>
          <w:szCs w:val="20"/>
        </w:rPr>
        <w:tab/>
      </w:r>
      <w:r w:rsidRPr="00881795">
        <w:rPr>
          <w:szCs w:val="20"/>
        </w:rPr>
        <w:tab/>
        <w:t>National Environmental Management Act</w:t>
      </w:r>
    </w:p>
    <w:p w14:paraId="179060A0" w14:textId="77777777" w:rsidR="00191984" w:rsidRPr="00881795" w:rsidRDefault="00191984" w:rsidP="00395313">
      <w:pPr>
        <w:spacing w:line="240" w:lineRule="auto"/>
        <w:contextualSpacing/>
        <w:jc w:val="both"/>
        <w:rPr>
          <w:szCs w:val="20"/>
        </w:rPr>
      </w:pPr>
      <w:r>
        <w:rPr>
          <w:szCs w:val="20"/>
        </w:rPr>
        <w:t>NGO</w:t>
      </w:r>
      <w:r>
        <w:rPr>
          <w:szCs w:val="20"/>
        </w:rPr>
        <w:tab/>
      </w:r>
      <w:r>
        <w:rPr>
          <w:szCs w:val="20"/>
        </w:rPr>
        <w:tab/>
        <w:t>:</w:t>
      </w:r>
      <w:r>
        <w:rPr>
          <w:szCs w:val="20"/>
        </w:rPr>
        <w:tab/>
      </w:r>
      <w:r>
        <w:rPr>
          <w:szCs w:val="20"/>
        </w:rPr>
        <w:tab/>
        <w:t xml:space="preserve">Non-Governmental </w:t>
      </w:r>
      <w:r w:rsidR="00C40E56">
        <w:rPr>
          <w:szCs w:val="20"/>
        </w:rPr>
        <w:t>Organization</w:t>
      </w:r>
    </w:p>
    <w:p w14:paraId="18D79D43" w14:textId="77777777" w:rsidR="008506DD" w:rsidRPr="00881795" w:rsidRDefault="008506DD" w:rsidP="00395313">
      <w:pPr>
        <w:spacing w:line="240" w:lineRule="auto"/>
        <w:contextualSpacing/>
        <w:jc w:val="both"/>
        <w:rPr>
          <w:szCs w:val="20"/>
        </w:rPr>
      </w:pPr>
      <w:r w:rsidRPr="00881795">
        <w:rPr>
          <w:szCs w:val="20"/>
        </w:rPr>
        <w:t>NPA</w:t>
      </w:r>
      <w:r w:rsidRPr="00881795">
        <w:rPr>
          <w:szCs w:val="20"/>
        </w:rPr>
        <w:tab/>
      </w:r>
      <w:r w:rsidRPr="00881795">
        <w:rPr>
          <w:szCs w:val="20"/>
        </w:rPr>
        <w:tab/>
        <w:t>:</w:t>
      </w:r>
      <w:r w:rsidRPr="00881795">
        <w:rPr>
          <w:szCs w:val="20"/>
        </w:rPr>
        <w:tab/>
      </w:r>
      <w:r w:rsidRPr="00881795">
        <w:rPr>
          <w:szCs w:val="20"/>
        </w:rPr>
        <w:tab/>
        <w:t>National Prosecuting Authority</w:t>
      </w:r>
    </w:p>
    <w:p w14:paraId="22B8E397" w14:textId="77777777" w:rsidR="008506DD" w:rsidRDefault="008506DD" w:rsidP="00395313">
      <w:pPr>
        <w:spacing w:line="240" w:lineRule="auto"/>
        <w:contextualSpacing/>
        <w:jc w:val="both"/>
        <w:rPr>
          <w:szCs w:val="20"/>
        </w:rPr>
      </w:pPr>
      <w:r w:rsidRPr="00881795">
        <w:rPr>
          <w:szCs w:val="20"/>
        </w:rPr>
        <w:t>OHS</w:t>
      </w:r>
      <w:r w:rsidRPr="00881795">
        <w:rPr>
          <w:szCs w:val="20"/>
        </w:rPr>
        <w:tab/>
      </w:r>
      <w:r w:rsidRPr="00881795">
        <w:rPr>
          <w:szCs w:val="20"/>
        </w:rPr>
        <w:tab/>
        <w:t>:</w:t>
      </w:r>
      <w:r w:rsidRPr="00881795">
        <w:rPr>
          <w:szCs w:val="20"/>
        </w:rPr>
        <w:tab/>
      </w:r>
      <w:r w:rsidRPr="00881795">
        <w:rPr>
          <w:szCs w:val="20"/>
        </w:rPr>
        <w:tab/>
        <w:t>Occupational Health and Safety</w:t>
      </w:r>
    </w:p>
    <w:p w14:paraId="29FFDFF0" w14:textId="77777777" w:rsidR="00191984" w:rsidRDefault="00191984" w:rsidP="00395313">
      <w:pPr>
        <w:spacing w:line="240" w:lineRule="auto"/>
        <w:contextualSpacing/>
        <w:jc w:val="both"/>
        <w:rPr>
          <w:szCs w:val="20"/>
        </w:rPr>
      </w:pPr>
      <w:r>
        <w:rPr>
          <w:szCs w:val="20"/>
        </w:rPr>
        <w:t>OSS</w:t>
      </w:r>
      <w:r>
        <w:rPr>
          <w:szCs w:val="20"/>
        </w:rPr>
        <w:tab/>
      </w:r>
      <w:r>
        <w:rPr>
          <w:szCs w:val="20"/>
        </w:rPr>
        <w:tab/>
        <w:t>:</w:t>
      </w:r>
      <w:r>
        <w:rPr>
          <w:szCs w:val="20"/>
        </w:rPr>
        <w:tab/>
      </w:r>
      <w:r>
        <w:rPr>
          <w:szCs w:val="20"/>
        </w:rPr>
        <w:tab/>
        <w:t>Operation Sukuma Sakhe (Flagship Program)</w:t>
      </w:r>
    </w:p>
    <w:p w14:paraId="583EC9FC" w14:textId="77777777" w:rsidR="00191984" w:rsidRPr="00881795" w:rsidRDefault="00191984" w:rsidP="00395313">
      <w:pPr>
        <w:spacing w:line="240" w:lineRule="auto"/>
        <w:contextualSpacing/>
        <w:jc w:val="both"/>
        <w:rPr>
          <w:szCs w:val="20"/>
        </w:rPr>
      </w:pPr>
      <w:r>
        <w:rPr>
          <w:szCs w:val="20"/>
        </w:rPr>
        <w:t>PDA</w:t>
      </w:r>
      <w:r>
        <w:rPr>
          <w:szCs w:val="20"/>
        </w:rPr>
        <w:tab/>
      </w:r>
      <w:r>
        <w:rPr>
          <w:szCs w:val="20"/>
        </w:rPr>
        <w:tab/>
        <w:t>:</w:t>
      </w:r>
      <w:r>
        <w:rPr>
          <w:szCs w:val="20"/>
        </w:rPr>
        <w:tab/>
      </w:r>
      <w:r>
        <w:rPr>
          <w:szCs w:val="20"/>
        </w:rPr>
        <w:tab/>
      </w:r>
      <w:r w:rsidR="00B629DA">
        <w:rPr>
          <w:szCs w:val="20"/>
        </w:rPr>
        <w:t>Planning and Economic Development</w:t>
      </w:r>
      <w:r>
        <w:rPr>
          <w:szCs w:val="20"/>
        </w:rPr>
        <w:t xml:space="preserve"> Act</w:t>
      </w:r>
    </w:p>
    <w:p w14:paraId="7BD7B38B" w14:textId="77777777" w:rsidR="008506DD" w:rsidRPr="00881795" w:rsidRDefault="008506DD" w:rsidP="00395313">
      <w:pPr>
        <w:spacing w:line="240" w:lineRule="auto"/>
        <w:contextualSpacing/>
        <w:jc w:val="both"/>
        <w:rPr>
          <w:szCs w:val="20"/>
        </w:rPr>
      </w:pPr>
      <w:r w:rsidRPr="00881795">
        <w:rPr>
          <w:szCs w:val="20"/>
        </w:rPr>
        <w:t>PMS</w:t>
      </w:r>
      <w:r w:rsidRPr="00881795">
        <w:rPr>
          <w:szCs w:val="20"/>
        </w:rPr>
        <w:tab/>
      </w:r>
      <w:r w:rsidRPr="00881795">
        <w:rPr>
          <w:szCs w:val="20"/>
        </w:rPr>
        <w:tab/>
        <w:t>:</w:t>
      </w:r>
      <w:r w:rsidRPr="00881795">
        <w:rPr>
          <w:szCs w:val="20"/>
        </w:rPr>
        <w:tab/>
      </w:r>
      <w:r w:rsidRPr="00881795">
        <w:rPr>
          <w:szCs w:val="20"/>
        </w:rPr>
        <w:tab/>
        <w:t>Performance Management System</w:t>
      </w:r>
    </w:p>
    <w:p w14:paraId="1D0FC406" w14:textId="77777777" w:rsidR="008506DD" w:rsidRPr="00881795" w:rsidRDefault="008506DD" w:rsidP="00395313">
      <w:pPr>
        <w:spacing w:line="240" w:lineRule="auto"/>
        <w:contextualSpacing/>
        <w:jc w:val="both"/>
        <w:rPr>
          <w:szCs w:val="20"/>
        </w:rPr>
      </w:pPr>
      <w:r w:rsidRPr="00881795">
        <w:rPr>
          <w:szCs w:val="20"/>
        </w:rPr>
        <w:t>PGDS</w:t>
      </w:r>
      <w:r w:rsidRPr="00881795">
        <w:rPr>
          <w:szCs w:val="20"/>
        </w:rPr>
        <w:tab/>
      </w:r>
      <w:r w:rsidRPr="00881795">
        <w:rPr>
          <w:szCs w:val="20"/>
        </w:rPr>
        <w:tab/>
        <w:t>:</w:t>
      </w:r>
      <w:r w:rsidRPr="00881795">
        <w:rPr>
          <w:szCs w:val="20"/>
        </w:rPr>
        <w:tab/>
      </w:r>
      <w:r w:rsidRPr="00881795">
        <w:rPr>
          <w:szCs w:val="20"/>
        </w:rPr>
        <w:tab/>
        <w:t xml:space="preserve">Provincial Growth and Development Strategy </w:t>
      </w:r>
    </w:p>
    <w:p w14:paraId="00DFDCA5" w14:textId="77777777" w:rsidR="008506DD" w:rsidRPr="00881795" w:rsidRDefault="008506DD" w:rsidP="00395313">
      <w:pPr>
        <w:spacing w:line="240" w:lineRule="auto"/>
        <w:contextualSpacing/>
        <w:jc w:val="both"/>
        <w:rPr>
          <w:szCs w:val="20"/>
        </w:rPr>
      </w:pPr>
      <w:r w:rsidRPr="00881795">
        <w:rPr>
          <w:szCs w:val="20"/>
        </w:rPr>
        <w:t>SDBIP</w:t>
      </w:r>
      <w:r w:rsidRPr="00881795">
        <w:rPr>
          <w:szCs w:val="20"/>
        </w:rPr>
        <w:tab/>
      </w:r>
      <w:r w:rsidRPr="00881795">
        <w:rPr>
          <w:szCs w:val="20"/>
        </w:rPr>
        <w:tab/>
        <w:t>:</w:t>
      </w:r>
      <w:r w:rsidRPr="00881795">
        <w:rPr>
          <w:szCs w:val="20"/>
        </w:rPr>
        <w:tab/>
      </w:r>
      <w:r w:rsidRPr="00881795">
        <w:rPr>
          <w:szCs w:val="20"/>
        </w:rPr>
        <w:tab/>
        <w:t>Service Delivery and Budget Implementation Plan</w:t>
      </w:r>
    </w:p>
    <w:p w14:paraId="27205DD7" w14:textId="77777777" w:rsidR="008506DD" w:rsidRPr="00881795" w:rsidRDefault="008506DD" w:rsidP="00395313">
      <w:pPr>
        <w:spacing w:line="240" w:lineRule="auto"/>
        <w:contextualSpacing/>
        <w:jc w:val="both"/>
        <w:rPr>
          <w:szCs w:val="20"/>
        </w:rPr>
      </w:pPr>
      <w:r w:rsidRPr="00881795">
        <w:rPr>
          <w:szCs w:val="20"/>
        </w:rPr>
        <w:t>SDF</w:t>
      </w:r>
      <w:r w:rsidRPr="00881795">
        <w:rPr>
          <w:szCs w:val="20"/>
        </w:rPr>
        <w:tab/>
      </w:r>
      <w:r w:rsidRPr="00881795">
        <w:rPr>
          <w:szCs w:val="20"/>
        </w:rPr>
        <w:tab/>
        <w:t>:</w:t>
      </w:r>
      <w:r w:rsidRPr="00881795">
        <w:rPr>
          <w:szCs w:val="20"/>
        </w:rPr>
        <w:tab/>
      </w:r>
      <w:r w:rsidRPr="00881795">
        <w:rPr>
          <w:szCs w:val="20"/>
        </w:rPr>
        <w:tab/>
        <w:t>Spatial Development Framework</w:t>
      </w:r>
    </w:p>
    <w:p w14:paraId="1FBCC7EB" w14:textId="77777777" w:rsidR="008506DD" w:rsidRPr="00881795" w:rsidRDefault="008506DD" w:rsidP="00395313">
      <w:pPr>
        <w:spacing w:line="240" w:lineRule="auto"/>
        <w:contextualSpacing/>
        <w:jc w:val="both"/>
        <w:rPr>
          <w:szCs w:val="20"/>
        </w:rPr>
      </w:pPr>
      <w:r w:rsidRPr="00881795">
        <w:rPr>
          <w:szCs w:val="20"/>
        </w:rPr>
        <w:t>SMMEs</w:t>
      </w:r>
      <w:r w:rsidRPr="00881795">
        <w:rPr>
          <w:szCs w:val="20"/>
        </w:rPr>
        <w:tab/>
      </w:r>
      <w:r w:rsidRPr="00881795">
        <w:rPr>
          <w:szCs w:val="20"/>
        </w:rPr>
        <w:tab/>
        <w:t>:</w:t>
      </w:r>
      <w:r w:rsidRPr="00881795">
        <w:rPr>
          <w:szCs w:val="20"/>
        </w:rPr>
        <w:tab/>
      </w:r>
      <w:r w:rsidRPr="00881795">
        <w:rPr>
          <w:szCs w:val="20"/>
        </w:rPr>
        <w:tab/>
        <w:t>Small Medium and Micro Enterprises</w:t>
      </w:r>
    </w:p>
    <w:p w14:paraId="284E33F0" w14:textId="77777777" w:rsidR="008506DD" w:rsidRPr="00881795" w:rsidRDefault="008506DD" w:rsidP="00395313">
      <w:pPr>
        <w:spacing w:line="240" w:lineRule="auto"/>
        <w:contextualSpacing/>
        <w:jc w:val="both"/>
        <w:rPr>
          <w:szCs w:val="20"/>
        </w:rPr>
      </w:pPr>
      <w:r w:rsidRPr="00881795">
        <w:rPr>
          <w:szCs w:val="20"/>
        </w:rPr>
        <w:t>SCM</w:t>
      </w:r>
      <w:r w:rsidRPr="00881795">
        <w:rPr>
          <w:szCs w:val="20"/>
        </w:rPr>
        <w:tab/>
      </w:r>
      <w:r w:rsidRPr="00881795">
        <w:rPr>
          <w:szCs w:val="20"/>
        </w:rPr>
        <w:tab/>
        <w:t>:</w:t>
      </w:r>
      <w:r w:rsidRPr="00881795">
        <w:rPr>
          <w:szCs w:val="20"/>
        </w:rPr>
        <w:tab/>
      </w:r>
      <w:r w:rsidRPr="00881795">
        <w:rPr>
          <w:szCs w:val="20"/>
        </w:rPr>
        <w:tab/>
        <w:t>Supply Chain Management</w:t>
      </w:r>
    </w:p>
    <w:p w14:paraId="5B2B4ACD" w14:textId="77777777" w:rsidR="00E342C2" w:rsidRDefault="008506DD" w:rsidP="00395313">
      <w:pPr>
        <w:spacing w:line="240" w:lineRule="auto"/>
        <w:contextualSpacing/>
        <w:jc w:val="both"/>
        <w:rPr>
          <w:szCs w:val="20"/>
        </w:rPr>
      </w:pPr>
      <w:r w:rsidRPr="00881795">
        <w:rPr>
          <w:szCs w:val="20"/>
        </w:rPr>
        <w:t>SALGA</w:t>
      </w:r>
      <w:r w:rsidRPr="00881795">
        <w:rPr>
          <w:szCs w:val="20"/>
        </w:rPr>
        <w:tab/>
      </w:r>
      <w:r w:rsidRPr="00881795">
        <w:rPr>
          <w:szCs w:val="20"/>
        </w:rPr>
        <w:tab/>
        <w:t>:</w:t>
      </w:r>
      <w:r w:rsidRPr="00881795">
        <w:rPr>
          <w:szCs w:val="20"/>
        </w:rPr>
        <w:tab/>
      </w:r>
      <w:r w:rsidRPr="00881795">
        <w:rPr>
          <w:szCs w:val="20"/>
        </w:rPr>
        <w:tab/>
        <w:t>South African Local Government Association</w:t>
      </w:r>
    </w:p>
    <w:p w14:paraId="26E17D0B" w14:textId="77777777" w:rsidR="00E342C2" w:rsidRDefault="00E342C2" w:rsidP="00395313">
      <w:pPr>
        <w:spacing w:line="240" w:lineRule="auto"/>
        <w:contextualSpacing/>
        <w:jc w:val="both"/>
        <w:rPr>
          <w:szCs w:val="20"/>
        </w:rPr>
      </w:pPr>
      <w:r>
        <w:rPr>
          <w:szCs w:val="20"/>
        </w:rPr>
        <w:t>SPLUMA</w:t>
      </w:r>
      <w:r>
        <w:rPr>
          <w:szCs w:val="20"/>
        </w:rPr>
        <w:tab/>
      </w:r>
      <w:r>
        <w:rPr>
          <w:szCs w:val="20"/>
        </w:rPr>
        <w:tab/>
        <w:t>:</w:t>
      </w:r>
      <w:r>
        <w:rPr>
          <w:szCs w:val="20"/>
        </w:rPr>
        <w:tab/>
      </w:r>
      <w:r>
        <w:rPr>
          <w:szCs w:val="20"/>
        </w:rPr>
        <w:tab/>
        <w:t>Spatial Planning and Land Use Management Act</w:t>
      </w:r>
    </w:p>
    <w:p w14:paraId="3386D3A2" w14:textId="77777777" w:rsidR="008506DD" w:rsidRDefault="008506DD" w:rsidP="00395313">
      <w:pPr>
        <w:spacing w:line="240" w:lineRule="auto"/>
        <w:contextualSpacing/>
        <w:jc w:val="both"/>
        <w:rPr>
          <w:szCs w:val="20"/>
        </w:rPr>
      </w:pPr>
      <w:r w:rsidRPr="00881795">
        <w:rPr>
          <w:szCs w:val="20"/>
        </w:rPr>
        <w:t>WSDP</w:t>
      </w:r>
      <w:r w:rsidRPr="00881795">
        <w:rPr>
          <w:szCs w:val="20"/>
        </w:rPr>
        <w:tab/>
      </w:r>
      <w:r w:rsidRPr="00881795">
        <w:rPr>
          <w:szCs w:val="20"/>
        </w:rPr>
        <w:tab/>
        <w:t>:</w:t>
      </w:r>
      <w:r w:rsidRPr="00881795">
        <w:rPr>
          <w:szCs w:val="20"/>
        </w:rPr>
        <w:tab/>
      </w:r>
      <w:r w:rsidRPr="00881795">
        <w:rPr>
          <w:szCs w:val="20"/>
        </w:rPr>
        <w:tab/>
        <w:t>Water Services Development Plan</w:t>
      </w:r>
    </w:p>
    <w:p w14:paraId="5671B003" w14:textId="77777777" w:rsidR="006B5179" w:rsidRDefault="006B5179" w:rsidP="00F76980">
      <w:pPr>
        <w:spacing w:after="0"/>
        <w:rPr>
          <w:b/>
        </w:rPr>
      </w:pPr>
    </w:p>
    <w:p w14:paraId="627A4BD6" w14:textId="77777777" w:rsidR="00634C0E" w:rsidRDefault="00634C0E" w:rsidP="00F76980">
      <w:pPr>
        <w:spacing w:after="0"/>
        <w:rPr>
          <w:b/>
        </w:rPr>
      </w:pPr>
    </w:p>
    <w:p w14:paraId="08E37B50" w14:textId="77777777" w:rsidR="007A253E" w:rsidRPr="001A141F" w:rsidRDefault="007A253E" w:rsidP="00F76980">
      <w:pPr>
        <w:pStyle w:val="Heading1"/>
      </w:pPr>
      <w:bookmarkStart w:id="1" w:name="_Toc389739675"/>
      <w:bookmarkStart w:id="2" w:name="_Toc510706552"/>
      <w:r w:rsidRPr="001A141F">
        <w:t>SECTION A: EXECUTIVE SUMMARY</w:t>
      </w:r>
      <w:bookmarkEnd w:id="1"/>
      <w:bookmarkEnd w:id="2"/>
    </w:p>
    <w:p w14:paraId="19FE53A1" w14:textId="77777777" w:rsidR="007A253E" w:rsidRPr="001A141F" w:rsidRDefault="00CD214B" w:rsidP="00750180">
      <w:pPr>
        <w:pStyle w:val="Heading2"/>
        <w:numPr>
          <w:ilvl w:val="1"/>
          <w:numId w:val="56"/>
        </w:numPr>
      </w:pPr>
      <w:bookmarkStart w:id="3" w:name="_Toc510706553"/>
      <w:r w:rsidRPr="004B7841">
        <w:t>WHO WE ARE</w:t>
      </w:r>
      <w:bookmarkEnd w:id="3"/>
    </w:p>
    <w:p w14:paraId="4CDAF75E" w14:textId="77777777" w:rsidR="007F3851" w:rsidRPr="00615B2C" w:rsidRDefault="007F3851" w:rsidP="00750180">
      <w:pPr>
        <w:pStyle w:val="Heading2"/>
        <w:numPr>
          <w:ilvl w:val="2"/>
          <w:numId w:val="56"/>
        </w:numPr>
      </w:pPr>
      <w:bookmarkStart w:id="4" w:name="_Toc510706554"/>
      <w:r w:rsidRPr="00615B2C">
        <w:t>Spatial Location within KZN</w:t>
      </w:r>
      <w:bookmarkEnd w:id="4"/>
    </w:p>
    <w:p w14:paraId="0750AD9D" w14:textId="77777777" w:rsidR="007F3851" w:rsidRDefault="007F3851" w:rsidP="00395313">
      <w:pPr>
        <w:spacing w:after="0" w:line="240" w:lineRule="auto"/>
        <w:jc w:val="both"/>
        <w:rPr>
          <w:szCs w:val="20"/>
        </w:rPr>
      </w:pPr>
    </w:p>
    <w:p w14:paraId="3D21190E" w14:textId="77777777" w:rsidR="007F3851" w:rsidRPr="00AF1C43" w:rsidRDefault="0025416F" w:rsidP="005D3F50">
      <w:pPr>
        <w:spacing w:line="240" w:lineRule="auto"/>
        <w:jc w:val="both"/>
        <w:rPr>
          <w:szCs w:val="20"/>
        </w:rPr>
      </w:pPr>
      <w:r w:rsidRPr="00AF1C43">
        <w:rPr>
          <w:szCs w:val="20"/>
        </w:rPr>
        <w:t>uMlal</w:t>
      </w:r>
      <w:r w:rsidR="003D4E86">
        <w:rPr>
          <w:szCs w:val="20"/>
        </w:rPr>
        <w:t>azi Local Municipality (KZN284)</w:t>
      </w:r>
      <w:r w:rsidR="0012603A" w:rsidRPr="00AF1C43">
        <w:rPr>
          <w:szCs w:val="20"/>
        </w:rPr>
        <w:t xml:space="preserve"> </w:t>
      </w:r>
      <w:r w:rsidRPr="00AF1C43">
        <w:rPr>
          <w:szCs w:val="20"/>
        </w:rPr>
        <w:t xml:space="preserve">is situated along the north eastern coast of </w:t>
      </w:r>
      <w:r w:rsidR="00C40E56" w:rsidRPr="00AF1C43">
        <w:rPr>
          <w:szCs w:val="20"/>
        </w:rPr>
        <w:t>Kwa Zulu</w:t>
      </w:r>
      <w:r w:rsidRPr="00AF1C43">
        <w:rPr>
          <w:szCs w:val="20"/>
        </w:rPr>
        <w:t xml:space="preserve"> Natal</w:t>
      </w:r>
      <w:r w:rsidR="00634C0E">
        <w:rPr>
          <w:szCs w:val="20"/>
        </w:rPr>
        <w:t>, 125</w:t>
      </w:r>
      <w:r w:rsidR="002741BE" w:rsidRPr="00AF1C43">
        <w:rPr>
          <w:szCs w:val="20"/>
        </w:rPr>
        <w:t xml:space="preserve">km north east of Durban. </w:t>
      </w:r>
      <w:r w:rsidR="00FF3D3E" w:rsidRPr="00AF1C43">
        <w:rPr>
          <w:rFonts w:cs="Calibri"/>
          <w:color w:val="000000" w:themeColor="text1"/>
          <w:szCs w:val="20"/>
        </w:rPr>
        <w:t>The eastern portion of uMlalazi Local Municipality lies on the N2 Nation</w:t>
      </w:r>
      <w:r w:rsidR="00997657" w:rsidRPr="00AF1C43">
        <w:rPr>
          <w:rFonts w:cs="Calibri"/>
          <w:color w:val="000000" w:themeColor="text1"/>
          <w:szCs w:val="20"/>
        </w:rPr>
        <w:t>al</w:t>
      </w:r>
      <w:r w:rsidR="00FF3D3E" w:rsidRPr="00AF1C43">
        <w:rPr>
          <w:rFonts w:cs="Calibri"/>
          <w:color w:val="000000" w:themeColor="text1"/>
          <w:szCs w:val="20"/>
        </w:rPr>
        <w:t xml:space="preserve"> and Provincial Development Corridor linking two major economic hubs of Richards Bay and Durban. </w:t>
      </w:r>
      <w:r w:rsidR="0086064C" w:rsidRPr="00AF1C43">
        <w:rPr>
          <w:rFonts w:cs="Calibri"/>
          <w:color w:val="000000" w:themeColor="text1"/>
          <w:szCs w:val="20"/>
        </w:rPr>
        <w:t>UMlalazi municipality</w:t>
      </w:r>
      <w:r w:rsidR="0086064C" w:rsidRPr="00AF1C43">
        <w:rPr>
          <w:szCs w:val="20"/>
        </w:rPr>
        <w:t xml:space="preserve"> is located within </w:t>
      </w:r>
      <w:r w:rsidR="001D792E" w:rsidRPr="00AF1C43">
        <w:rPr>
          <w:szCs w:val="20"/>
        </w:rPr>
        <w:t>King Cetshwayo</w:t>
      </w:r>
      <w:r w:rsidR="0086064C" w:rsidRPr="00AF1C43">
        <w:rPr>
          <w:szCs w:val="20"/>
        </w:rPr>
        <w:t xml:space="preserve"> </w:t>
      </w:r>
      <w:r w:rsidR="003C03FA" w:rsidRPr="00AF1C43">
        <w:rPr>
          <w:szCs w:val="20"/>
        </w:rPr>
        <w:t>District</w:t>
      </w:r>
      <w:r w:rsidR="00926054" w:rsidRPr="00AF1C43">
        <w:rPr>
          <w:szCs w:val="20"/>
        </w:rPr>
        <w:t>, which comprises of five</w:t>
      </w:r>
      <w:r w:rsidR="0086064C" w:rsidRPr="00AF1C43">
        <w:rPr>
          <w:szCs w:val="20"/>
        </w:rPr>
        <w:t xml:space="preserve"> local municipalities namely;</w:t>
      </w:r>
    </w:p>
    <w:p w14:paraId="39CB10B1" w14:textId="77777777" w:rsidR="007F3851" w:rsidRPr="002741BE" w:rsidRDefault="00BB5238" w:rsidP="00E31338">
      <w:pPr>
        <w:pStyle w:val="ListParagraph"/>
        <w:numPr>
          <w:ilvl w:val="0"/>
          <w:numId w:val="1"/>
        </w:numPr>
        <w:spacing w:line="288" w:lineRule="auto"/>
        <w:jc w:val="both"/>
        <w:rPr>
          <w:szCs w:val="20"/>
        </w:rPr>
      </w:pPr>
      <w:r w:rsidRPr="00AF1C43">
        <w:rPr>
          <w:szCs w:val="20"/>
        </w:rPr>
        <w:t>u</w:t>
      </w:r>
      <w:r w:rsidR="007F3851" w:rsidRPr="00AF1C43">
        <w:rPr>
          <w:szCs w:val="20"/>
        </w:rPr>
        <w:t xml:space="preserve">Mfolozi </w:t>
      </w:r>
      <w:r w:rsidR="002741BE" w:rsidRPr="00AF1C43">
        <w:rPr>
          <w:szCs w:val="20"/>
        </w:rPr>
        <w:t>LM</w:t>
      </w:r>
      <w:r w:rsidR="007F3851" w:rsidRPr="00AF1C43">
        <w:rPr>
          <w:szCs w:val="20"/>
        </w:rPr>
        <w:tab/>
      </w:r>
      <w:r w:rsidR="007F3851" w:rsidRPr="00AF1C43">
        <w:rPr>
          <w:szCs w:val="20"/>
        </w:rPr>
        <w:tab/>
        <w:t>(</w:t>
      </w:r>
      <w:r w:rsidR="007F3851" w:rsidRPr="002741BE">
        <w:rPr>
          <w:szCs w:val="20"/>
        </w:rPr>
        <w:t>KZ 281)</w:t>
      </w:r>
    </w:p>
    <w:p w14:paraId="3E4C31A4" w14:textId="77777777" w:rsidR="007F3851" w:rsidRPr="002741BE" w:rsidRDefault="007F3851" w:rsidP="00E31338">
      <w:pPr>
        <w:pStyle w:val="ListParagraph"/>
        <w:numPr>
          <w:ilvl w:val="0"/>
          <w:numId w:val="1"/>
        </w:numPr>
        <w:spacing w:line="288" w:lineRule="auto"/>
        <w:jc w:val="both"/>
        <w:rPr>
          <w:szCs w:val="20"/>
        </w:rPr>
      </w:pPr>
      <w:r w:rsidRPr="002741BE">
        <w:rPr>
          <w:szCs w:val="20"/>
        </w:rPr>
        <w:t xml:space="preserve">uMhlathuze </w:t>
      </w:r>
      <w:r w:rsidR="002741BE">
        <w:rPr>
          <w:szCs w:val="20"/>
        </w:rPr>
        <w:t>LM</w:t>
      </w:r>
      <w:r w:rsidRPr="002741BE">
        <w:rPr>
          <w:szCs w:val="20"/>
        </w:rPr>
        <w:tab/>
        <w:t>(KZ 282)</w:t>
      </w:r>
    </w:p>
    <w:p w14:paraId="0C19242B" w14:textId="77777777" w:rsidR="007F3851" w:rsidRPr="002741BE" w:rsidRDefault="007F3851" w:rsidP="00E31338">
      <w:pPr>
        <w:pStyle w:val="ListParagraph"/>
        <w:numPr>
          <w:ilvl w:val="0"/>
          <w:numId w:val="1"/>
        </w:numPr>
        <w:spacing w:line="288" w:lineRule="auto"/>
        <w:jc w:val="both"/>
        <w:rPr>
          <w:szCs w:val="20"/>
        </w:rPr>
      </w:pPr>
      <w:r w:rsidRPr="002741BE">
        <w:rPr>
          <w:szCs w:val="20"/>
        </w:rPr>
        <w:t xml:space="preserve">uMlalazi </w:t>
      </w:r>
      <w:r w:rsidR="002741BE">
        <w:rPr>
          <w:szCs w:val="20"/>
        </w:rPr>
        <w:t>LM</w:t>
      </w:r>
      <w:r w:rsidRPr="002741BE">
        <w:rPr>
          <w:szCs w:val="20"/>
        </w:rPr>
        <w:tab/>
      </w:r>
      <w:r w:rsidRPr="002741BE">
        <w:rPr>
          <w:szCs w:val="20"/>
        </w:rPr>
        <w:tab/>
        <w:t>(KZ 284)</w:t>
      </w:r>
    </w:p>
    <w:p w14:paraId="3B8D32F4" w14:textId="77777777" w:rsidR="007F3851" w:rsidRPr="002741BE" w:rsidRDefault="007F3851" w:rsidP="00E31338">
      <w:pPr>
        <w:pStyle w:val="ListParagraph"/>
        <w:numPr>
          <w:ilvl w:val="0"/>
          <w:numId w:val="1"/>
        </w:numPr>
        <w:spacing w:line="288" w:lineRule="auto"/>
        <w:jc w:val="both"/>
        <w:rPr>
          <w:szCs w:val="20"/>
        </w:rPr>
      </w:pPr>
      <w:r w:rsidRPr="002741BE">
        <w:rPr>
          <w:szCs w:val="20"/>
        </w:rPr>
        <w:t xml:space="preserve">Mthonjaneni </w:t>
      </w:r>
      <w:r w:rsidR="002741BE">
        <w:rPr>
          <w:szCs w:val="20"/>
        </w:rPr>
        <w:t>LM</w:t>
      </w:r>
      <w:r w:rsidRPr="002741BE">
        <w:rPr>
          <w:szCs w:val="20"/>
        </w:rPr>
        <w:tab/>
        <w:t>(KZ 285)</w:t>
      </w:r>
    </w:p>
    <w:p w14:paraId="32E8905C" w14:textId="77777777" w:rsidR="007F3851" w:rsidRPr="00C8326A" w:rsidRDefault="007F3851" w:rsidP="00E31338">
      <w:pPr>
        <w:pStyle w:val="ListParagraph"/>
        <w:numPr>
          <w:ilvl w:val="0"/>
          <w:numId w:val="1"/>
        </w:numPr>
        <w:spacing w:line="288" w:lineRule="auto"/>
        <w:jc w:val="both"/>
        <w:rPr>
          <w:szCs w:val="20"/>
        </w:rPr>
      </w:pPr>
      <w:r w:rsidRPr="00C8326A">
        <w:rPr>
          <w:szCs w:val="20"/>
        </w:rPr>
        <w:t>Nkandla</w:t>
      </w:r>
      <w:r w:rsidR="002741BE" w:rsidRPr="00C8326A">
        <w:rPr>
          <w:szCs w:val="20"/>
        </w:rPr>
        <w:t xml:space="preserve"> LM</w:t>
      </w:r>
      <w:r w:rsidRPr="00C8326A">
        <w:rPr>
          <w:szCs w:val="20"/>
        </w:rPr>
        <w:tab/>
      </w:r>
      <w:r w:rsidRPr="00C8326A">
        <w:rPr>
          <w:szCs w:val="20"/>
        </w:rPr>
        <w:tab/>
        <w:t>(KZ 286)</w:t>
      </w:r>
    </w:p>
    <w:p w14:paraId="1EF6EB78" w14:textId="77777777" w:rsidR="002741BE" w:rsidRPr="00C8326A" w:rsidRDefault="00FF3D3E" w:rsidP="00395313">
      <w:pPr>
        <w:jc w:val="both"/>
        <w:rPr>
          <w:rFonts w:cs="Calibri"/>
          <w:color w:val="000000" w:themeColor="text1"/>
          <w:szCs w:val="20"/>
        </w:rPr>
      </w:pPr>
      <w:r w:rsidRPr="00C8326A">
        <w:rPr>
          <w:rFonts w:cs="Calibri"/>
          <w:color w:val="000000" w:themeColor="text1"/>
          <w:szCs w:val="20"/>
        </w:rPr>
        <w:t xml:space="preserve">It is </w:t>
      </w:r>
      <w:r w:rsidR="00703CE6" w:rsidRPr="003B206E">
        <w:rPr>
          <w:rFonts w:cs="Calibri"/>
          <w:color w:val="000000" w:themeColor="text1"/>
          <w:szCs w:val="20"/>
        </w:rPr>
        <w:t>bordered</w:t>
      </w:r>
      <w:r w:rsidRPr="003B206E">
        <w:rPr>
          <w:rFonts w:cs="Calibri"/>
          <w:color w:val="000000" w:themeColor="text1"/>
          <w:szCs w:val="20"/>
        </w:rPr>
        <w:t xml:space="preserve"> by ILembe </w:t>
      </w:r>
      <w:r w:rsidR="003C03FA" w:rsidRPr="003B206E">
        <w:rPr>
          <w:rFonts w:cs="Calibri"/>
          <w:color w:val="000000" w:themeColor="text1"/>
          <w:szCs w:val="20"/>
        </w:rPr>
        <w:t>District</w:t>
      </w:r>
      <w:r w:rsidRPr="003B206E">
        <w:rPr>
          <w:rFonts w:cs="Calibri"/>
          <w:color w:val="000000" w:themeColor="text1"/>
          <w:szCs w:val="20"/>
        </w:rPr>
        <w:t xml:space="preserve"> Municipality (Mandeni</w:t>
      </w:r>
      <w:r w:rsidR="00C8326A" w:rsidRPr="003B206E">
        <w:rPr>
          <w:rFonts w:cs="Calibri"/>
          <w:color w:val="000000" w:themeColor="text1"/>
          <w:szCs w:val="20"/>
        </w:rPr>
        <w:t xml:space="preserve"> </w:t>
      </w:r>
      <w:r w:rsidRPr="003B206E">
        <w:rPr>
          <w:rFonts w:cs="Calibri"/>
          <w:color w:val="000000" w:themeColor="text1"/>
          <w:szCs w:val="20"/>
        </w:rPr>
        <w:t>Municipality to the south and Maphumulo Municipality to the southwest). Towards the wester</w:t>
      </w:r>
      <w:r w:rsidR="00C8326A" w:rsidRPr="003B206E">
        <w:rPr>
          <w:rFonts w:cs="Calibri"/>
          <w:color w:val="000000" w:themeColor="text1"/>
          <w:szCs w:val="20"/>
        </w:rPr>
        <w:t>n</w:t>
      </w:r>
      <w:r w:rsidRPr="003B206E">
        <w:rPr>
          <w:rFonts w:cs="Calibri"/>
          <w:color w:val="000000" w:themeColor="text1"/>
          <w:szCs w:val="20"/>
        </w:rPr>
        <w:t xml:space="preserve"> regions, the municipality boarders</w:t>
      </w:r>
      <w:r w:rsidR="00C8326A" w:rsidRPr="003B206E">
        <w:rPr>
          <w:rFonts w:cs="Calibri"/>
          <w:color w:val="000000" w:themeColor="text1"/>
          <w:szCs w:val="20"/>
        </w:rPr>
        <w:t xml:space="preserve"> Nkandla Municipality and Mthonjaneni Municipality, and to the north,</w:t>
      </w:r>
      <w:r w:rsidR="0012603A" w:rsidRPr="003B206E">
        <w:rPr>
          <w:rFonts w:cs="Calibri"/>
          <w:color w:val="000000" w:themeColor="text1"/>
          <w:szCs w:val="20"/>
        </w:rPr>
        <w:t xml:space="preserve"> it is bordered by</w:t>
      </w:r>
      <w:r w:rsidR="00C8326A" w:rsidRPr="003B206E">
        <w:rPr>
          <w:rFonts w:cs="Calibri"/>
          <w:color w:val="000000" w:themeColor="text1"/>
          <w:szCs w:val="20"/>
        </w:rPr>
        <w:t xml:space="preserve"> uMhlathuze municipality. The municipality borders on the Indian Ocean on the eastern coastline which stretches approximately 1</w:t>
      </w:r>
      <w:r w:rsidR="00634C0E">
        <w:rPr>
          <w:rFonts w:cs="Calibri"/>
          <w:color w:val="000000" w:themeColor="text1"/>
          <w:szCs w:val="20"/>
        </w:rPr>
        <w:t>9</w:t>
      </w:r>
      <w:r w:rsidR="00C8326A" w:rsidRPr="003B206E">
        <w:rPr>
          <w:rFonts w:cs="Calibri"/>
          <w:color w:val="000000" w:themeColor="text1"/>
          <w:szCs w:val="20"/>
        </w:rPr>
        <w:t xml:space="preserve">km, </w:t>
      </w:r>
      <w:r w:rsidR="00FA6500" w:rsidRPr="003B206E">
        <w:rPr>
          <w:rFonts w:cs="Calibri"/>
          <w:color w:val="000000" w:themeColor="text1"/>
          <w:szCs w:val="20"/>
        </w:rPr>
        <w:t>from the borders of</w:t>
      </w:r>
      <w:r w:rsidR="00C8326A" w:rsidRPr="003B206E">
        <w:rPr>
          <w:rFonts w:cs="Calibri"/>
          <w:color w:val="000000" w:themeColor="text1"/>
          <w:szCs w:val="20"/>
        </w:rPr>
        <w:t xml:space="preserve"> Mandeni municipality to uMhlathuze Municipality.</w:t>
      </w:r>
      <w:r w:rsidR="00FA6500" w:rsidRPr="003B206E">
        <w:rPr>
          <w:rFonts w:cs="Calibri"/>
          <w:color w:val="000000" w:themeColor="text1"/>
          <w:szCs w:val="20"/>
        </w:rPr>
        <w:t xml:space="preserve"> Geographically</w:t>
      </w:r>
      <w:r w:rsidR="00C8326A" w:rsidRPr="003B206E">
        <w:rPr>
          <w:rFonts w:cs="Calibri"/>
          <w:color w:val="000000" w:themeColor="text1"/>
          <w:szCs w:val="20"/>
        </w:rPr>
        <w:t>, the municipal</w:t>
      </w:r>
      <w:r w:rsidR="00C8326A" w:rsidRPr="00C8326A">
        <w:rPr>
          <w:rFonts w:cs="Calibri"/>
          <w:color w:val="000000" w:themeColor="text1"/>
          <w:szCs w:val="20"/>
        </w:rPr>
        <w:t xml:space="preserve"> area </w:t>
      </w:r>
      <w:r w:rsidR="00FA6500" w:rsidRPr="00C8326A">
        <w:rPr>
          <w:rFonts w:cs="Calibri"/>
          <w:color w:val="000000" w:themeColor="text1"/>
          <w:szCs w:val="20"/>
        </w:rPr>
        <w:t>covers 2</w:t>
      </w:r>
      <w:r w:rsidR="00C8326A" w:rsidRPr="00C8326A">
        <w:rPr>
          <w:rFonts w:cs="Calibri"/>
          <w:color w:val="000000" w:themeColor="text1"/>
          <w:szCs w:val="20"/>
        </w:rPr>
        <w:t xml:space="preserve"> 217km², one of the largest local authority areas in South Africa. </w:t>
      </w:r>
      <w:r w:rsidR="00C8326A" w:rsidRPr="00C8326A">
        <w:rPr>
          <w:rFonts w:cs="Calibri"/>
          <w:color w:val="000000" w:themeColor="text1"/>
          <w:szCs w:val="20"/>
        </w:rPr>
        <w:lastRenderedPageBreak/>
        <w:t>There are 2</w:t>
      </w:r>
      <w:r w:rsidR="00926054">
        <w:rPr>
          <w:rFonts w:cs="Calibri"/>
          <w:color w:val="000000" w:themeColor="text1"/>
          <w:szCs w:val="20"/>
        </w:rPr>
        <w:t>7</w:t>
      </w:r>
      <w:r w:rsidR="00FA6500">
        <w:rPr>
          <w:rFonts w:cs="Calibri"/>
          <w:color w:val="000000" w:themeColor="text1"/>
          <w:szCs w:val="20"/>
        </w:rPr>
        <w:t xml:space="preserve"> electoral</w:t>
      </w:r>
      <w:r w:rsidR="00C8326A" w:rsidRPr="00C8326A">
        <w:rPr>
          <w:rFonts w:cs="Calibri"/>
          <w:color w:val="000000" w:themeColor="text1"/>
          <w:szCs w:val="20"/>
        </w:rPr>
        <w:t xml:space="preserve"> wards and 14 tribal authority areas</w:t>
      </w:r>
      <w:r w:rsidR="00FA6500">
        <w:rPr>
          <w:rFonts w:cs="Calibri"/>
          <w:color w:val="000000" w:themeColor="text1"/>
          <w:szCs w:val="20"/>
        </w:rPr>
        <w:t xml:space="preserve"> of which </w:t>
      </w:r>
      <w:r w:rsidR="00C40E56">
        <w:rPr>
          <w:rFonts w:cs="Calibri"/>
          <w:color w:val="000000" w:themeColor="text1"/>
          <w:szCs w:val="20"/>
        </w:rPr>
        <w:t>A</w:t>
      </w:r>
      <w:r w:rsidR="00703CE6">
        <w:rPr>
          <w:rFonts w:cs="Calibri"/>
          <w:color w:val="000000" w:themeColor="text1"/>
          <w:szCs w:val="20"/>
        </w:rPr>
        <w:t>maKhosi</w:t>
      </w:r>
      <w:r w:rsidR="00FA6500">
        <w:rPr>
          <w:rFonts w:cs="Calibri"/>
          <w:color w:val="000000" w:themeColor="text1"/>
          <w:szCs w:val="20"/>
        </w:rPr>
        <w:t xml:space="preserve"> are custodians thereof on behalf of the Ingonyama Trust Board</w:t>
      </w:r>
      <w:r w:rsidR="00C8326A" w:rsidRPr="00C8326A">
        <w:rPr>
          <w:rFonts w:cs="Calibri"/>
          <w:color w:val="000000" w:themeColor="text1"/>
          <w:szCs w:val="20"/>
        </w:rPr>
        <w:t>.</w:t>
      </w:r>
    </w:p>
    <w:p w14:paraId="01B43077" w14:textId="77777777" w:rsidR="005A3DE1" w:rsidRDefault="005A3DE1" w:rsidP="005A3DE1">
      <w:pPr>
        <w:autoSpaceDE w:val="0"/>
        <w:autoSpaceDN w:val="0"/>
        <w:adjustRightInd w:val="0"/>
        <w:jc w:val="both"/>
        <w:rPr>
          <w:rFonts w:cs="Calibri"/>
          <w:color w:val="000000" w:themeColor="text1"/>
          <w:szCs w:val="20"/>
          <w:lang w:bidi="en-US"/>
        </w:rPr>
      </w:pPr>
      <w:r w:rsidRPr="00881795">
        <w:rPr>
          <w:rFonts w:cs="Calibri"/>
          <w:color w:val="000000" w:themeColor="text1"/>
          <w:szCs w:val="20"/>
          <w:lang w:bidi="en-US"/>
        </w:rPr>
        <w:t>The uMlalazi Municipality is crossed by a number of important transportation routes, such as the N2 Motorway between Durban and Richards Bay, the R34 between Richards Bay/Empangeni and Nkwaleni valley to the north of Eshowe, and the R66 from the N2 Motorway to Gingindlovu, Eshowe, Melmoth, Ulundi and Vryheid. The</w:t>
      </w:r>
      <w:r w:rsidR="004371A3">
        <w:rPr>
          <w:rFonts w:cs="Calibri"/>
          <w:color w:val="000000" w:themeColor="text1"/>
          <w:szCs w:val="20"/>
          <w:lang w:bidi="en-US"/>
        </w:rPr>
        <w:t xml:space="preserve"> famous King Shaka (Zulu)</w:t>
      </w:r>
      <w:r>
        <w:rPr>
          <w:rFonts w:cs="Calibri"/>
          <w:color w:val="000000" w:themeColor="text1"/>
          <w:szCs w:val="20"/>
          <w:lang w:bidi="en-US"/>
        </w:rPr>
        <w:t xml:space="preserve"> Heritage Route</w:t>
      </w:r>
      <w:r w:rsidRPr="00881795">
        <w:rPr>
          <w:rFonts w:cs="Calibri"/>
          <w:color w:val="000000" w:themeColor="text1"/>
          <w:szCs w:val="20"/>
          <w:lang w:bidi="en-US"/>
        </w:rPr>
        <w:t xml:space="preserve"> R66</w:t>
      </w:r>
      <w:r>
        <w:rPr>
          <w:rFonts w:cs="Calibri"/>
          <w:color w:val="000000" w:themeColor="text1"/>
          <w:szCs w:val="20"/>
          <w:lang w:bidi="en-US"/>
        </w:rPr>
        <w:t xml:space="preserve"> has a lot of historical and cultural significance and is </w:t>
      </w:r>
      <w:r w:rsidR="00703CE6">
        <w:rPr>
          <w:rFonts w:cs="Calibri"/>
          <w:color w:val="000000" w:themeColor="text1"/>
          <w:szCs w:val="20"/>
          <w:lang w:bidi="en-US"/>
        </w:rPr>
        <w:t>promoted</w:t>
      </w:r>
      <w:r>
        <w:rPr>
          <w:rFonts w:cs="Calibri"/>
          <w:color w:val="000000" w:themeColor="text1"/>
          <w:szCs w:val="20"/>
          <w:lang w:bidi="en-US"/>
        </w:rPr>
        <w:t xml:space="preserve"> a tourism route.</w:t>
      </w:r>
    </w:p>
    <w:p w14:paraId="78B3FED9" w14:textId="77777777" w:rsidR="007F3851" w:rsidRPr="00E12267" w:rsidRDefault="00B450DD" w:rsidP="002F62F0">
      <w:pPr>
        <w:pStyle w:val="Caption"/>
      </w:pPr>
      <w:bookmarkStart w:id="5" w:name="_Toc481468916"/>
      <w:r>
        <w:t xml:space="preserve">Map </w:t>
      </w:r>
      <w:r w:rsidR="00B918A6">
        <w:fldChar w:fldCharType="begin"/>
      </w:r>
      <w:r w:rsidR="00B918A6">
        <w:instrText xml:space="preserve"> SEQ Map \* ARABIC </w:instrText>
      </w:r>
      <w:r w:rsidR="00B918A6">
        <w:fldChar w:fldCharType="separate"/>
      </w:r>
      <w:r w:rsidR="0067023A">
        <w:rPr>
          <w:noProof/>
        </w:rPr>
        <w:t>1</w:t>
      </w:r>
      <w:r w:rsidR="00B918A6">
        <w:rPr>
          <w:noProof/>
        </w:rPr>
        <w:fldChar w:fldCharType="end"/>
      </w:r>
      <w:r>
        <w:t xml:space="preserve">: </w:t>
      </w:r>
      <w:r w:rsidR="007F3851" w:rsidRPr="00B450DD">
        <w:t>Regional Context</w:t>
      </w:r>
      <w:bookmarkEnd w:id="5"/>
    </w:p>
    <w:p w14:paraId="4B2BFAE4" w14:textId="7CB64DC7" w:rsidR="001D1E46" w:rsidRDefault="001D1E46" w:rsidP="001D1E46">
      <w:pPr>
        <w:jc w:val="both"/>
        <w:rPr>
          <w:rFonts w:cs="Calibri"/>
          <w:noProof/>
          <w:color w:val="000000" w:themeColor="text1"/>
          <w:szCs w:val="20"/>
          <w:lang w:val="en-ZA" w:eastAsia="en-ZA"/>
        </w:rPr>
      </w:pPr>
      <w:r w:rsidRPr="00E9338C">
        <w:rPr>
          <w:rFonts w:cs="Calibri"/>
          <w:noProof/>
          <w:color w:val="000000" w:themeColor="text1"/>
          <w:szCs w:val="20"/>
          <w:lang w:val="en-ZA" w:eastAsia="en-ZA"/>
        </w:rPr>
        <w:object w:dxaOrig="12630" w:dyaOrig="8940" w14:anchorId="6EE790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75pt;height:281.25pt" o:ole="">
            <v:imagedata r:id="rId9" o:title=""/>
          </v:shape>
          <o:OLEObject Type="Embed" ProgID="AcroExch.Document.11" ShapeID="_x0000_i1025" DrawAspect="Content" ObjectID="_1587449248" r:id="rId10"/>
        </w:object>
      </w:r>
    </w:p>
    <w:p w14:paraId="64597619" w14:textId="7144C941" w:rsidR="004965C7" w:rsidRPr="00881795" w:rsidRDefault="007F3851" w:rsidP="001D1E46">
      <w:pPr>
        <w:jc w:val="both"/>
        <w:rPr>
          <w:rFonts w:cs="Calibri"/>
          <w:color w:val="000000" w:themeColor="text1"/>
          <w:szCs w:val="20"/>
          <w:lang w:bidi="en-US"/>
        </w:rPr>
      </w:pPr>
      <w:r w:rsidRPr="00881795">
        <w:rPr>
          <w:rFonts w:cs="Calibri"/>
          <w:color w:val="000000" w:themeColor="text1"/>
          <w:szCs w:val="20"/>
          <w:lang w:bidi="en-US"/>
        </w:rPr>
        <w:t>Eshowe, Mtunzini and Gingindlovu form the three main towns of uMlalazi Municipality. The town of Eshowe is of great historical significance in that it is the bi</w:t>
      </w:r>
      <w:r w:rsidR="00997657">
        <w:rPr>
          <w:rFonts w:cs="Calibri"/>
          <w:color w:val="000000" w:themeColor="text1"/>
          <w:szCs w:val="20"/>
          <w:lang w:bidi="en-US"/>
        </w:rPr>
        <w:t xml:space="preserve">rthplace of </w:t>
      </w:r>
      <w:r w:rsidR="003600EB">
        <w:rPr>
          <w:rFonts w:cs="Calibri"/>
          <w:color w:val="000000" w:themeColor="text1"/>
          <w:szCs w:val="20"/>
          <w:lang w:bidi="en-US"/>
        </w:rPr>
        <w:t>King Cetshwayo</w:t>
      </w:r>
      <w:r w:rsidR="00997657">
        <w:rPr>
          <w:rFonts w:cs="Calibri"/>
          <w:color w:val="000000" w:themeColor="text1"/>
          <w:szCs w:val="20"/>
          <w:lang w:bidi="en-US"/>
        </w:rPr>
        <w:t>, who was K</w:t>
      </w:r>
      <w:r w:rsidRPr="00881795">
        <w:rPr>
          <w:rFonts w:cs="Calibri"/>
          <w:color w:val="000000" w:themeColor="text1"/>
          <w:szCs w:val="20"/>
          <w:lang w:bidi="en-US"/>
        </w:rPr>
        <w:t xml:space="preserve">ing of the Zulu’s during the Anglo-Zulu War of 1879. </w:t>
      </w:r>
      <w:r w:rsidR="004965C7" w:rsidRPr="00881795">
        <w:rPr>
          <w:rFonts w:cs="Calibri"/>
          <w:color w:val="000000" w:themeColor="text1"/>
          <w:szCs w:val="20"/>
          <w:lang w:bidi="en-US"/>
        </w:rPr>
        <w:t>The population distribution in the municipal area is characterized by relatively high population densities within urban nodes, and low densities in rural areas.  The municipal area is dominated by tribal areas and 14 Tribal Authorities exist within the</w:t>
      </w:r>
      <w:r w:rsidR="004965C7">
        <w:rPr>
          <w:rFonts w:cs="Calibri"/>
          <w:color w:val="000000" w:themeColor="text1"/>
          <w:szCs w:val="20"/>
          <w:lang w:bidi="en-US"/>
        </w:rPr>
        <w:t xml:space="preserve"> municipal</w:t>
      </w:r>
      <w:r w:rsidR="004965C7" w:rsidRPr="00881795">
        <w:rPr>
          <w:rFonts w:cs="Calibri"/>
          <w:color w:val="000000" w:themeColor="text1"/>
          <w:szCs w:val="20"/>
          <w:lang w:bidi="en-US"/>
        </w:rPr>
        <w:t xml:space="preserve"> area.  </w:t>
      </w:r>
    </w:p>
    <w:p w14:paraId="571487EE" w14:textId="77777777" w:rsidR="007F3851" w:rsidRPr="00615B2C" w:rsidRDefault="007F3851" w:rsidP="00750180">
      <w:pPr>
        <w:pStyle w:val="Heading2"/>
        <w:numPr>
          <w:ilvl w:val="2"/>
          <w:numId w:val="56"/>
        </w:numPr>
      </w:pPr>
      <w:bookmarkStart w:id="6" w:name="_Toc510706555"/>
      <w:r w:rsidRPr="00615B2C">
        <w:t>Demographic Profile</w:t>
      </w:r>
      <w:bookmarkEnd w:id="6"/>
    </w:p>
    <w:tbl>
      <w:tblPr>
        <w:tblW w:w="5016" w:type="pct"/>
        <w:tblCellMar>
          <w:left w:w="0" w:type="dxa"/>
          <w:right w:w="0" w:type="dxa"/>
        </w:tblCellMar>
        <w:tblLook w:val="0600" w:firstRow="0" w:lastRow="0" w:firstColumn="0" w:lastColumn="0" w:noHBand="1" w:noVBand="1"/>
      </w:tblPr>
      <w:tblGrid>
        <w:gridCol w:w="2391"/>
        <w:gridCol w:w="2434"/>
        <w:gridCol w:w="1401"/>
        <w:gridCol w:w="1760"/>
        <w:gridCol w:w="1664"/>
      </w:tblGrid>
      <w:tr w:rsidR="001D792E" w:rsidRPr="00CF74E4" w14:paraId="07AB0C3E" w14:textId="77777777" w:rsidTr="003C1703">
        <w:trPr>
          <w:trHeight w:val="378"/>
        </w:trPr>
        <w:tc>
          <w:tcPr>
            <w:tcW w:w="5000" w:type="pct"/>
            <w:gridSpan w:val="5"/>
            <w:tcBorders>
              <w:top w:val="single" w:sz="8" w:space="0" w:color="9BBB59"/>
              <w:left w:val="single" w:sz="8" w:space="0" w:color="9BBB59"/>
              <w:bottom w:val="single" w:sz="8" w:space="0" w:color="9BBB59"/>
              <w:right w:val="single" w:sz="8" w:space="0" w:color="9BBB59"/>
            </w:tcBorders>
            <w:shd w:val="clear" w:color="auto" w:fill="92D050"/>
            <w:tcMar>
              <w:top w:w="15" w:type="dxa"/>
              <w:left w:w="108" w:type="dxa"/>
              <w:bottom w:w="0" w:type="dxa"/>
              <w:right w:w="108" w:type="dxa"/>
            </w:tcMar>
            <w:hideMark/>
          </w:tcPr>
          <w:p w14:paraId="49AF900D" w14:textId="77777777" w:rsidR="001D792E" w:rsidRPr="003C1703" w:rsidRDefault="001D792E" w:rsidP="001D792E">
            <w:pPr>
              <w:spacing w:before="60" w:after="0"/>
              <w:jc w:val="center"/>
              <w:rPr>
                <w:rFonts w:ascii="Arial" w:eastAsia="Times New Roman" w:hAnsi="Arial" w:cs="Arial"/>
                <w:b/>
                <w:sz w:val="16"/>
                <w:szCs w:val="36"/>
                <w:lang w:val="en-ZA" w:eastAsia="en-ZA"/>
              </w:rPr>
            </w:pPr>
            <w:r w:rsidRPr="003C1703">
              <w:rPr>
                <w:rFonts w:eastAsia="Times New Roman" w:cs="Times New Roman"/>
                <w:b/>
                <w:bCs/>
                <w:color w:val="006699"/>
                <w:kern w:val="24"/>
                <w:sz w:val="16"/>
                <w:szCs w:val="56"/>
                <w:lang w:val="en-ZA" w:eastAsia="en-ZA"/>
              </w:rPr>
              <w:t>UMLALAZI MUNICIPAL AREA</w:t>
            </w:r>
          </w:p>
          <w:p w14:paraId="6F360D59" w14:textId="77777777" w:rsidR="001D792E" w:rsidRPr="003C1703" w:rsidRDefault="001D792E" w:rsidP="00BB5238">
            <w:pPr>
              <w:tabs>
                <w:tab w:val="left" w:pos="650"/>
              </w:tabs>
              <w:spacing w:before="60" w:after="0"/>
              <w:jc w:val="center"/>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Area 2 21</w:t>
            </w:r>
            <w:r w:rsidR="00BB5238">
              <w:rPr>
                <w:rFonts w:eastAsia="Times New Roman" w:cs="Times New Roman"/>
                <w:b/>
                <w:bCs/>
                <w:color w:val="006699"/>
                <w:kern w:val="24"/>
                <w:sz w:val="16"/>
                <w:szCs w:val="40"/>
                <w:lang w:val="en-ZA" w:eastAsia="en-ZA"/>
              </w:rPr>
              <w:t>7</w:t>
            </w:r>
            <w:r w:rsidRPr="003C1703">
              <w:rPr>
                <w:rFonts w:eastAsia="Times New Roman" w:cs="Times New Roman"/>
                <w:b/>
                <w:bCs/>
                <w:color w:val="006699"/>
                <w:kern w:val="24"/>
                <w:sz w:val="16"/>
                <w:szCs w:val="40"/>
                <w:lang w:val="en-ZA" w:eastAsia="en-ZA"/>
              </w:rPr>
              <w:t xml:space="preserve"> km²</w:t>
            </w:r>
          </w:p>
        </w:tc>
      </w:tr>
      <w:tr w:rsidR="001D792E" w:rsidRPr="00CF74E4" w14:paraId="03502A32" w14:textId="77777777" w:rsidTr="003C1703">
        <w:trPr>
          <w:trHeight w:val="206"/>
        </w:trPr>
        <w:tc>
          <w:tcPr>
            <w:tcW w:w="2500" w:type="pct"/>
            <w:gridSpan w:val="2"/>
            <w:tcBorders>
              <w:top w:val="single" w:sz="8" w:space="0" w:color="9BBB59"/>
              <w:left w:val="single" w:sz="8" w:space="0" w:color="9BBB59"/>
              <w:bottom w:val="single" w:sz="8" w:space="0" w:color="9BBB59"/>
              <w:right w:val="single" w:sz="8" w:space="0" w:color="9BBB59"/>
            </w:tcBorders>
            <w:shd w:val="clear" w:color="auto" w:fill="B6DDE8"/>
            <w:tcMar>
              <w:top w:w="15" w:type="dxa"/>
              <w:left w:w="108" w:type="dxa"/>
              <w:bottom w:w="0" w:type="dxa"/>
              <w:right w:w="108" w:type="dxa"/>
            </w:tcMar>
            <w:hideMark/>
          </w:tcPr>
          <w:p w14:paraId="48015235" w14:textId="77777777" w:rsidR="001D792E" w:rsidRPr="003C1703" w:rsidRDefault="001D792E" w:rsidP="001D792E">
            <w:pPr>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INDICATOR</w:t>
            </w:r>
          </w:p>
        </w:tc>
        <w:tc>
          <w:tcPr>
            <w:tcW w:w="726" w:type="pct"/>
            <w:tcBorders>
              <w:top w:val="single" w:sz="8" w:space="0" w:color="9BBB59"/>
              <w:left w:val="single" w:sz="8" w:space="0" w:color="9BBB59"/>
              <w:bottom w:val="single" w:sz="8" w:space="0" w:color="9BBB59"/>
              <w:right w:val="single" w:sz="8" w:space="0" w:color="9BBB59"/>
            </w:tcBorders>
            <w:shd w:val="clear" w:color="auto" w:fill="B6DDE8"/>
            <w:tcMar>
              <w:top w:w="15" w:type="dxa"/>
              <w:left w:w="108" w:type="dxa"/>
              <w:bottom w:w="0" w:type="dxa"/>
              <w:right w:w="108" w:type="dxa"/>
            </w:tcMar>
            <w:hideMark/>
          </w:tcPr>
          <w:p w14:paraId="75BB911E" w14:textId="77777777" w:rsidR="001D792E" w:rsidRPr="003C1703" w:rsidRDefault="001D792E" w:rsidP="001D792E">
            <w:pPr>
              <w:tabs>
                <w:tab w:val="center" w:pos="2233"/>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2001</w:t>
            </w:r>
          </w:p>
        </w:tc>
        <w:tc>
          <w:tcPr>
            <w:tcW w:w="912" w:type="pct"/>
            <w:tcBorders>
              <w:top w:val="single" w:sz="8" w:space="0" w:color="9BBB59"/>
              <w:left w:val="single" w:sz="8" w:space="0" w:color="9BBB59"/>
              <w:bottom w:val="single" w:sz="8" w:space="0" w:color="9BBB59"/>
              <w:right w:val="single" w:sz="8" w:space="0" w:color="006699"/>
            </w:tcBorders>
            <w:shd w:val="clear" w:color="auto" w:fill="B6DDE8"/>
            <w:tcMar>
              <w:top w:w="15" w:type="dxa"/>
              <w:left w:w="108" w:type="dxa"/>
              <w:bottom w:w="0" w:type="dxa"/>
              <w:right w:w="108" w:type="dxa"/>
            </w:tcMar>
            <w:hideMark/>
          </w:tcPr>
          <w:p w14:paraId="37BB323F" w14:textId="77777777" w:rsidR="001D792E" w:rsidRPr="003C1703" w:rsidRDefault="001D792E" w:rsidP="001D792E">
            <w:pPr>
              <w:tabs>
                <w:tab w:val="center" w:pos="2233"/>
              </w:tabs>
              <w:spacing w:before="60" w:after="0"/>
              <w:ind w:left="115"/>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2011</w:t>
            </w:r>
          </w:p>
        </w:tc>
        <w:tc>
          <w:tcPr>
            <w:tcW w:w="861" w:type="pct"/>
            <w:tcBorders>
              <w:top w:val="single" w:sz="8" w:space="0" w:color="9BBB59"/>
              <w:left w:val="single" w:sz="8" w:space="0" w:color="006699"/>
              <w:bottom w:val="single" w:sz="8" w:space="0" w:color="9BBB59"/>
              <w:right w:val="single" w:sz="8" w:space="0" w:color="9BBB59"/>
            </w:tcBorders>
            <w:shd w:val="clear" w:color="auto" w:fill="B6DDE8"/>
            <w:tcMar>
              <w:top w:w="15" w:type="dxa"/>
              <w:left w:w="108" w:type="dxa"/>
              <w:bottom w:w="0" w:type="dxa"/>
              <w:right w:w="108" w:type="dxa"/>
            </w:tcMar>
            <w:hideMark/>
          </w:tcPr>
          <w:p w14:paraId="23836897"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2016</w:t>
            </w:r>
          </w:p>
        </w:tc>
      </w:tr>
      <w:tr w:rsidR="001D792E" w:rsidRPr="00CF74E4" w14:paraId="2A71F1D3" w14:textId="77777777" w:rsidTr="003C1703">
        <w:trPr>
          <w:trHeight w:val="211"/>
        </w:trPr>
        <w:tc>
          <w:tcPr>
            <w:tcW w:w="2500" w:type="pct"/>
            <w:gridSpan w:val="2"/>
            <w:tcBorders>
              <w:top w:val="single" w:sz="8" w:space="0" w:color="9BBB59"/>
              <w:left w:val="single" w:sz="8" w:space="0" w:color="9BBB59"/>
              <w:bottom w:val="single" w:sz="8" w:space="0" w:color="9BBB59"/>
              <w:right w:val="single" w:sz="8" w:space="0" w:color="9BBB59"/>
            </w:tcBorders>
            <w:shd w:val="clear" w:color="auto" w:fill="E6EED5"/>
            <w:tcMar>
              <w:top w:w="15" w:type="dxa"/>
              <w:left w:w="108" w:type="dxa"/>
              <w:bottom w:w="0" w:type="dxa"/>
              <w:right w:w="108" w:type="dxa"/>
            </w:tcMar>
            <w:hideMark/>
          </w:tcPr>
          <w:p w14:paraId="356F82A0"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 xml:space="preserve">Population </w:t>
            </w:r>
          </w:p>
        </w:tc>
        <w:tc>
          <w:tcPr>
            <w:tcW w:w="726" w:type="pct"/>
            <w:tcBorders>
              <w:top w:val="single" w:sz="8" w:space="0" w:color="9BBB59"/>
              <w:left w:val="single" w:sz="8" w:space="0" w:color="9BBB59"/>
              <w:bottom w:val="single" w:sz="8" w:space="0" w:color="9BBB59"/>
              <w:right w:val="single" w:sz="8" w:space="0" w:color="9BBB59"/>
            </w:tcBorders>
            <w:shd w:val="clear" w:color="auto" w:fill="E6EED5"/>
            <w:tcMar>
              <w:top w:w="15" w:type="dxa"/>
              <w:left w:w="108" w:type="dxa"/>
              <w:bottom w:w="0" w:type="dxa"/>
              <w:right w:w="108" w:type="dxa"/>
            </w:tcMar>
            <w:hideMark/>
          </w:tcPr>
          <w:p w14:paraId="11F31264"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221 078</w:t>
            </w:r>
          </w:p>
        </w:tc>
        <w:tc>
          <w:tcPr>
            <w:tcW w:w="912" w:type="pct"/>
            <w:tcBorders>
              <w:top w:val="single" w:sz="8" w:space="0" w:color="9BBB59"/>
              <w:left w:val="single" w:sz="8" w:space="0" w:color="9BBB59"/>
              <w:bottom w:val="single" w:sz="8" w:space="0" w:color="9BBB59"/>
              <w:right w:val="single" w:sz="8" w:space="0" w:color="006699"/>
            </w:tcBorders>
            <w:shd w:val="clear" w:color="auto" w:fill="E6EED5"/>
            <w:tcMar>
              <w:top w:w="15" w:type="dxa"/>
              <w:left w:w="108" w:type="dxa"/>
              <w:bottom w:w="0" w:type="dxa"/>
              <w:right w:w="108" w:type="dxa"/>
            </w:tcMar>
            <w:hideMark/>
          </w:tcPr>
          <w:p w14:paraId="35153DC7"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213 601</w:t>
            </w:r>
          </w:p>
        </w:tc>
        <w:tc>
          <w:tcPr>
            <w:tcW w:w="861" w:type="pct"/>
            <w:tcBorders>
              <w:top w:val="single" w:sz="8" w:space="0" w:color="9BBB59"/>
              <w:left w:val="single" w:sz="8" w:space="0" w:color="006699"/>
              <w:bottom w:val="single" w:sz="8" w:space="0" w:color="9BBB59"/>
              <w:right w:val="single" w:sz="8" w:space="0" w:color="9BBB59"/>
            </w:tcBorders>
            <w:shd w:val="clear" w:color="auto" w:fill="E6EED5"/>
            <w:tcMar>
              <w:top w:w="15" w:type="dxa"/>
              <w:left w:w="108" w:type="dxa"/>
              <w:bottom w:w="0" w:type="dxa"/>
              <w:right w:w="108" w:type="dxa"/>
            </w:tcMar>
            <w:hideMark/>
          </w:tcPr>
          <w:p w14:paraId="0AEFBEA8"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223 140</w:t>
            </w:r>
          </w:p>
        </w:tc>
      </w:tr>
      <w:tr w:rsidR="001D792E" w:rsidRPr="00CF74E4" w14:paraId="30C34A3B" w14:textId="77777777" w:rsidTr="003C1703">
        <w:trPr>
          <w:trHeight w:val="211"/>
        </w:trPr>
        <w:tc>
          <w:tcPr>
            <w:tcW w:w="2500" w:type="pct"/>
            <w:gridSpan w:val="2"/>
            <w:tcBorders>
              <w:top w:val="single" w:sz="8" w:space="0" w:color="9BBB59"/>
              <w:left w:val="single" w:sz="8" w:space="0" w:color="9BBB59"/>
              <w:bottom w:val="single" w:sz="8" w:space="0" w:color="9BBB59"/>
              <w:right w:val="single" w:sz="8" w:space="0" w:color="9BBB59"/>
            </w:tcBorders>
            <w:shd w:val="clear" w:color="auto" w:fill="E6EED5"/>
            <w:tcMar>
              <w:top w:w="15" w:type="dxa"/>
              <w:left w:w="108" w:type="dxa"/>
              <w:bottom w:w="0" w:type="dxa"/>
              <w:right w:w="108" w:type="dxa"/>
            </w:tcMar>
            <w:hideMark/>
          </w:tcPr>
          <w:p w14:paraId="7056E75E"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Population Growth Rate</w:t>
            </w:r>
          </w:p>
        </w:tc>
        <w:tc>
          <w:tcPr>
            <w:tcW w:w="726" w:type="pct"/>
            <w:tcBorders>
              <w:top w:val="single" w:sz="8" w:space="0" w:color="9BBB59"/>
              <w:left w:val="single" w:sz="8" w:space="0" w:color="9BBB59"/>
              <w:bottom w:val="single" w:sz="8" w:space="0" w:color="9BBB59"/>
              <w:right w:val="single" w:sz="8" w:space="0" w:color="9BBB59"/>
            </w:tcBorders>
            <w:shd w:val="clear" w:color="auto" w:fill="auto"/>
            <w:tcMar>
              <w:top w:w="15" w:type="dxa"/>
              <w:left w:w="108" w:type="dxa"/>
              <w:bottom w:w="0" w:type="dxa"/>
              <w:right w:w="108" w:type="dxa"/>
            </w:tcMar>
            <w:hideMark/>
          </w:tcPr>
          <w:p w14:paraId="50F6F86F"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-0.8</w:t>
            </w:r>
          </w:p>
        </w:tc>
        <w:tc>
          <w:tcPr>
            <w:tcW w:w="912" w:type="pct"/>
            <w:tcBorders>
              <w:top w:val="single" w:sz="8" w:space="0" w:color="9BBB59"/>
              <w:left w:val="single" w:sz="8" w:space="0" w:color="9BBB59"/>
              <w:bottom w:val="single" w:sz="8" w:space="0" w:color="9BBB59"/>
              <w:right w:val="single" w:sz="8" w:space="0" w:color="006699"/>
            </w:tcBorders>
            <w:shd w:val="clear" w:color="auto" w:fill="E6EED5"/>
            <w:tcMar>
              <w:top w:w="15" w:type="dxa"/>
              <w:left w:w="108" w:type="dxa"/>
              <w:bottom w:w="0" w:type="dxa"/>
              <w:right w:w="108" w:type="dxa"/>
            </w:tcMar>
            <w:hideMark/>
          </w:tcPr>
          <w:p w14:paraId="2DA59AC2"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-0.3</w:t>
            </w:r>
          </w:p>
        </w:tc>
        <w:tc>
          <w:tcPr>
            <w:tcW w:w="861" w:type="pct"/>
            <w:tcBorders>
              <w:top w:val="single" w:sz="8" w:space="0" w:color="9BBB59"/>
              <w:left w:val="single" w:sz="8" w:space="0" w:color="006699"/>
              <w:bottom w:val="single" w:sz="8" w:space="0" w:color="9BBB59"/>
              <w:right w:val="single" w:sz="8" w:space="0" w:color="9BBB59"/>
            </w:tcBorders>
            <w:shd w:val="clear" w:color="auto" w:fill="E6EED5"/>
            <w:tcMar>
              <w:top w:w="15" w:type="dxa"/>
              <w:left w:w="108" w:type="dxa"/>
              <w:bottom w:w="0" w:type="dxa"/>
              <w:right w:w="108" w:type="dxa"/>
            </w:tcMar>
            <w:hideMark/>
          </w:tcPr>
          <w:p w14:paraId="452ED58D" w14:textId="77777777" w:rsidR="001D792E" w:rsidRPr="003C1703" w:rsidRDefault="00E02FCF"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0.8</w:t>
            </w:r>
          </w:p>
        </w:tc>
      </w:tr>
      <w:tr w:rsidR="001D792E" w:rsidRPr="00CF74E4" w14:paraId="4DA1BC29" w14:textId="77777777" w:rsidTr="003C1703">
        <w:trPr>
          <w:trHeight w:val="211"/>
        </w:trPr>
        <w:tc>
          <w:tcPr>
            <w:tcW w:w="2500" w:type="pct"/>
            <w:gridSpan w:val="2"/>
            <w:tcBorders>
              <w:top w:val="single" w:sz="8" w:space="0" w:color="9BBB59"/>
              <w:left w:val="single" w:sz="8" w:space="0" w:color="9BBB59"/>
              <w:bottom w:val="single" w:sz="8" w:space="0" w:color="9BBB59"/>
              <w:right w:val="single" w:sz="8" w:space="0" w:color="9BBB59"/>
            </w:tcBorders>
            <w:shd w:val="clear" w:color="auto" w:fill="E6EED5"/>
            <w:tcMar>
              <w:top w:w="15" w:type="dxa"/>
              <w:left w:w="108" w:type="dxa"/>
              <w:bottom w:w="0" w:type="dxa"/>
              <w:right w:w="108" w:type="dxa"/>
            </w:tcMar>
            <w:hideMark/>
          </w:tcPr>
          <w:p w14:paraId="4F038243"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Households</w:t>
            </w:r>
          </w:p>
        </w:tc>
        <w:tc>
          <w:tcPr>
            <w:tcW w:w="726" w:type="pct"/>
            <w:tcBorders>
              <w:top w:val="single" w:sz="8" w:space="0" w:color="9BBB59"/>
              <w:left w:val="single" w:sz="8" w:space="0" w:color="9BBB59"/>
              <w:bottom w:val="single" w:sz="8" w:space="0" w:color="9BBB59"/>
              <w:right w:val="single" w:sz="8" w:space="0" w:color="9BBB59"/>
            </w:tcBorders>
            <w:shd w:val="clear" w:color="auto" w:fill="E6EED5"/>
            <w:tcMar>
              <w:top w:w="15" w:type="dxa"/>
              <w:left w:w="108" w:type="dxa"/>
              <w:bottom w:w="0" w:type="dxa"/>
              <w:right w:w="108" w:type="dxa"/>
            </w:tcMar>
            <w:hideMark/>
          </w:tcPr>
          <w:p w14:paraId="54A93375"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38 446</w:t>
            </w:r>
          </w:p>
        </w:tc>
        <w:tc>
          <w:tcPr>
            <w:tcW w:w="912" w:type="pct"/>
            <w:tcBorders>
              <w:top w:val="single" w:sz="8" w:space="0" w:color="9BBB59"/>
              <w:left w:val="single" w:sz="8" w:space="0" w:color="9BBB59"/>
              <w:bottom w:val="single" w:sz="8" w:space="0" w:color="9BBB59"/>
              <w:right w:val="single" w:sz="8" w:space="0" w:color="006699"/>
            </w:tcBorders>
            <w:shd w:val="clear" w:color="auto" w:fill="E6EED5"/>
            <w:tcMar>
              <w:top w:w="15" w:type="dxa"/>
              <w:left w:w="108" w:type="dxa"/>
              <w:bottom w:w="0" w:type="dxa"/>
              <w:right w:w="108" w:type="dxa"/>
            </w:tcMar>
            <w:hideMark/>
          </w:tcPr>
          <w:p w14:paraId="7A27F7A7"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45 062</w:t>
            </w:r>
          </w:p>
        </w:tc>
        <w:tc>
          <w:tcPr>
            <w:tcW w:w="861" w:type="pct"/>
            <w:tcBorders>
              <w:top w:val="single" w:sz="8" w:space="0" w:color="9BBB59"/>
              <w:left w:val="single" w:sz="8" w:space="0" w:color="006699"/>
              <w:bottom w:val="single" w:sz="8" w:space="0" w:color="9BBB59"/>
              <w:right w:val="single" w:sz="8" w:space="0" w:color="9BBB59"/>
            </w:tcBorders>
            <w:shd w:val="clear" w:color="auto" w:fill="E6EED5"/>
            <w:tcMar>
              <w:top w:w="15" w:type="dxa"/>
              <w:left w:w="108" w:type="dxa"/>
              <w:bottom w:w="0" w:type="dxa"/>
              <w:right w:w="108" w:type="dxa"/>
            </w:tcMar>
            <w:hideMark/>
          </w:tcPr>
          <w:p w14:paraId="6A54ADF0"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46 953</w:t>
            </w:r>
          </w:p>
        </w:tc>
      </w:tr>
      <w:tr w:rsidR="001D792E" w:rsidRPr="00CF74E4" w14:paraId="3D50C0D8" w14:textId="77777777" w:rsidTr="003C1703">
        <w:trPr>
          <w:trHeight w:val="211"/>
        </w:trPr>
        <w:tc>
          <w:tcPr>
            <w:tcW w:w="2500" w:type="pct"/>
            <w:gridSpan w:val="2"/>
            <w:tcBorders>
              <w:top w:val="single" w:sz="8" w:space="0" w:color="9BBB59"/>
              <w:left w:val="single" w:sz="8" w:space="0" w:color="9BBB59"/>
              <w:bottom w:val="single" w:sz="8" w:space="0" w:color="9BBB59"/>
              <w:right w:val="single" w:sz="8" w:space="0" w:color="9BBB59"/>
            </w:tcBorders>
            <w:shd w:val="clear" w:color="auto" w:fill="E6EED5"/>
            <w:tcMar>
              <w:top w:w="15" w:type="dxa"/>
              <w:left w:w="108" w:type="dxa"/>
              <w:bottom w:w="0" w:type="dxa"/>
              <w:right w:w="108" w:type="dxa"/>
            </w:tcMar>
            <w:hideMark/>
          </w:tcPr>
          <w:p w14:paraId="50BC40EB"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People per Household</w:t>
            </w:r>
          </w:p>
        </w:tc>
        <w:tc>
          <w:tcPr>
            <w:tcW w:w="726" w:type="pct"/>
            <w:tcBorders>
              <w:top w:val="single" w:sz="8" w:space="0" w:color="9BBB59"/>
              <w:left w:val="single" w:sz="8" w:space="0" w:color="9BBB59"/>
              <w:bottom w:val="single" w:sz="8" w:space="0" w:color="9BBB59"/>
              <w:right w:val="single" w:sz="8" w:space="0" w:color="9BBB59"/>
            </w:tcBorders>
            <w:shd w:val="clear" w:color="auto" w:fill="auto"/>
            <w:tcMar>
              <w:top w:w="15" w:type="dxa"/>
              <w:left w:w="108" w:type="dxa"/>
              <w:bottom w:w="0" w:type="dxa"/>
              <w:right w:w="108" w:type="dxa"/>
            </w:tcMar>
            <w:hideMark/>
          </w:tcPr>
          <w:p w14:paraId="611350E9"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5.4</w:t>
            </w:r>
          </w:p>
        </w:tc>
        <w:tc>
          <w:tcPr>
            <w:tcW w:w="912" w:type="pct"/>
            <w:tcBorders>
              <w:top w:val="single" w:sz="8" w:space="0" w:color="9BBB59"/>
              <w:left w:val="single" w:sz="8" w:space="0" w:color="9BBB59"/>
              <w:bottom w:val="single" w:sz="8" w:space="0" w:color="9BBB59"/>
              <w:right w:val="single" w:sz="8" w:space="0" w:color="006699"/>
            </w:tcBorders>
            <w:shd w:val="clear" w:color="auto" w:fill="E6EED5"/>
            <w:tcMar>
              <w:top w:w="15" w:type="dxa"/>
              <w:left w:w="108" w:type="dxa"/>
              <w:bottom w:w="0" w:type="dxa"/>
              <w:right w:w="108" w:type="dxa"/>
            </w:tcMar>
            <w:hideMark/>
          </w:tcPr>
          <w:p w14:paraId="3D13D6CF"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4.6</w:t>
            </w:r>
          </w:p>
        </w:tc>
        <w:tc>
          <w:tcPr>
            <w:tcW w:w="861" w:type="pct"/>
            <w:tcBorders>
              <w:top w:val="single" w:sz="8" w:space="0" w:color="9BBB59"/>
              <w:left w:val="single" w:sz="8" w:space="0" w:color="006699"/>
              <w:bottom w:val="single" w:sz="8" w:space="0" w:color="9BBB59"/>
              <w:right w:val="single" w:sz="8" w:space="0" w:color="9BBB59"/>
            </w:tcBorders>
            <w:shd w:val="clear" w:color="auto" w:fill="E6EED5"/>
            <w:tcMar>
              <w:top w:w="15" w:type="dxa"/>
              <w:left w:w="108" w:type="dxa"/>
              <w:bottom w:w="0" w:type="dxa"/>
              <w:right w:w="108" w:type="dxa"/>
            </w:tcMar>
            <w:hideMark/>
          </w:tcPr>
          <w:p w14:paraId="3D2486B6"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 xml:space="preserve"> 4.8</w:t>
            </w:r>
          </w:p>
        </w:tc>
      </w:tr>
      <w:tr w:rsidR="001D792E" w:rsidRPr="00CF74E4" w14:paraId="6927DA24" w14:textId="77777777" w:rsidTr="003C1703">
        <w:trPr>
          <w:trHeight w:val="211"/>
        </w:trPr>
        <w:tc>
          <w:tcPr>
            <w:tcW w:w="1239" w:type="pct"/>
            <w:vMerge w:val="restart"/>
            <w:tcBorders>
              <w:top w:val="single" w:sz="8" w:space="0" w:color="9BBB59"/>
              <w:left w:val="single" w:sz="8" w:space="0" w:color="9BBB59"/>
              <w:bottom w:val="single" w:sz="8" w:space="0" w:color="9BBB59"/>
              <w:right w:val="single" w:sz="8" w:space="0" w:color="9BBB59"/>
            </w:tcBorders>
            <w:shd w:val="clear" w:color="auto" w:fill="E6EED5"/>
            <w:tcMar>
              <w:top w:w="15" w:type="dxa"/>
              <w:left w:w="108" w:type="dxa"/>
              <w:bottom w:w="0" w:type="dxa"/>
              <w:right w:w="108" w:type="dxa"/>
            </w:tcMar>
            <w:hideMark/>
          </w:tcPr>
          <w:p w14:paraId="5E02F84E"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Gender breakdown</w:t>
            </w:r>
          </w:p>
        </w:tc>
        <w:tc>
          <w:tcPr>
            <w:tcW w:w="1261" w:type="pct"/>
            <w:tcBorders>
              <w:top w:val="single" w:sz="8" w:space="0" w:color="9BBB59"/>
              <w:left w:val="single" w:sz="8" w:space="0" w:color="9BBB59"/>
              <w:bottom w:val="single" w:sz="8" w:space="0" w:color="9BBB59"/>
              <w:right w:val="single" w:sz="8" w:space="0" w:color="9BBB59"/>
            </w:tcBorders>
            <w:shd w:val="clear" w:color="auto" w:fill="E6EED5"/>
            <w:tcMar>
              <w:top w:w="15" w:type="dxa"/>
              <w:left w:w="108" w:type="dxa"/>
              <w:bottom w:w="0" w:type="dxa"/>
              <w:right w:w="108" w:type="dxa"/>
            </w:tcMar>
            <w:hideMark/>
          </w:tcPr>
          <w:p w14:paraId="32FCC05F"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Males</w:t>
            </w:r>
          </w:p>
        </w:tc>
        <w:tc>
          <w:tcPr>
            <w:tcW w:w="726" w:type="pct"/>
            <w:tcBorders>
              <w:top w:val="single" w:sz="8" w:space="0" w:color="9BBB59"/>
              <w:left w:val="single" w:sz="8" w:space="0" w:color="9BBB59"/>
              <w:bottom w:val="single" w:sz="8" w:space="0" w:color="9BBB59"/>
              <w:right w:val="single" w:sz="8" w:space="0" w:color="9BBB59"/>
            </w:tcBorders>
            <w:shd w:val="clear" w:color="auto" w:fill="E6EED5"/>
            <w:tcMar>
              <w:top w:w="15" w:type="dxa"/>
              <w:left w:w="108" w:type="dxa"/>
              <w:bottom w:w="0" w:type="dxa"/>
              <w:right w:w="108" w:type="dxa"/>
            </w:tcMar>
            <w:hideMark/>
          </w:tcPr>
          <w:p w14:paraId="256CD5E7"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45.3%</w:t>
            </w:r>
          </w:p>
        </w:tc>
        <w:tc>
          <w:tcPr>
            <w:tcW w:w="912" w:type="pct"/>
            <w:tcBorders>
              <w:top w:val="single" w:sz="8" w:space="0" w:color="9BBB59"/>
              <w:left w:val="single" w:sz="8" w:space="0" w:color="9BBB59"/>
              <w:bottom w:val="single" w:sz="8" w:space="0" w:color="9BBB59"/>
              <w:right w:val="single" w:sz="8" w:space="0" w:color="006699"/>
            </w:tcBorders>
            <w:shd w:val="clear" w:color="auto" w:fill="E6EED5"/>
            <w:tcMar>
              <w:top w:w="15" w:type="dxa"/>
              <w:left w:w="108" w:type="dxa"/>
              <w:bottom w:w="0" w:type="dxa"/>
              <w:right w:w="108" w:type="dxa"/>
            </w:tcMar>
            <w:hideMark/>
          </w:tcPr>
          <w:p w14:paraId="5B56CD24"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44.7 %</w:t>
            </w:r>
          </w:p>
        </w:tc>
        <w:tc>
          <w:tcPr>
            <w:tcW w:w="861" w:type="pct"/>
            <w:tcBorders>
              <w:top w:val="single" w:sz="8" w:space="0" w:color="9BBB59"/>
              <w:left w:val="single" w:sz="8" w:space="0" w:color="006699"/>
              <w:bottom w:val="single" w:sz="8" w:space="0" w:color="9BBB59"/>
              <w:right w:val="single" w:sz="8" w:space="0" w:color="9BBB59"/>
            </w:tcBorders>
            <w:shd w:val="clear" w:color="auto" w:fill="E6EED5"/>
            <w:tcMar>
              <w:top w:w="15" w:type="dxa"/>
              <w:left w:w="108" w:type="dxa"/>
              <w:bottom w:w="0" w:type="dxa"/>
              <w:right w:w="108" w:type="dxa"/>
            </w:tcMar>
            <w:hideMark/>
          </w:tcPr>
          <w:p w14:paraId="2C08D032"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47%</w:t>
            </w:r>
          </w:p>
        </w:tc>
      </w:tr>
      <w:tr w:rsidR="001D792E" w:rsidRPr="00CF74E4" w14:paraId="3FC56383" w14:textId="77777777" w:rsidTr="003C1703">
        <w:trPr>
          <w:trHeight w:val="225"/>
        </w:trPr>
        <w:tc>
          <w:tcPr>
            <w:tcW w:w="1239" w:type="pct"/>
            <w:vMerge/>
            <w:tcBorders>
              <w:top w:val="single" w:sz="8" w:space="0" w:color="9BBB59"/>
              <w:left w:val="single" w:sz="8" w:space="0" w:color="9BBB59"/>
              <w:bottom w:val="single" w:sz="8" w:space="0" w:color="9BBB59"/>
              <w:right w:val="single" w:sz="8" w:space="0" w:color="9BBB59"/>
            </w:tcBorders>
            <w:vAlign w:val="center"/>
            <w:hideMark/>
          </w:tcPr>
          <w:p w14:paraId="38E877F6" w14:textId="77777777" w:rsidR="001D792E" w:rsidRPr="003C1703" w:rsidRDefault="001D792E" w:rsidP="001D792E">
            <w:pPr>
              <w:spacing w:after="0" w:line="240" w:lineRule="auto"/>
              <w:rPr>
                <w:rFonts w:ascii="Arial" w:eastAsia="Times New Roman" w:hAnsi="Arial" w:cs="Arial"/>
                <w:b/>
                <w:sz w:val="16"/>
                <w:szCs w:val="36"/>
                <w:lang w:val="en-ZA" w:eastAsia="en-ZA"/>
              </w:rPr>
            </w:pPr>
          </w:p>
        </w:tc>
        <w:tc>
          <w:tcPr>
            <w:tcW w:w="1261" w:type="pct"/>
            <w:tcBorders>
              <w:top w:val="single" w:sz="8" w:space="0" w:color="9BBB59"/>
              <w:left w:val="single" w:sz="8" w:space="0" w:color="9BBB59"/>
              <w:bottom w:val="single" w:sz="8" w:space="0" w:color="9BBB59"/>
              <w:right w:val="single" w:sz="8" w:space="0" w:color="9BBB59"/>
            </w:tcBorders>
            <w:shd w:val="clear" w:color="auto" w:fill="auto"/>
            <w:tcMar>
              <w:top w:w="15" w:type="dxa"/>
              <w:left w:w="108" w:type="dxa"/>
              <w:bottom w:w="0" w:type="dxa"/>
              <w:right w:w="108" w:type="dxa"/>
            </w:tcMar>
            <w:hideMark/>
          </w:tcPr>
          <w:p w14:paraId="494EECE3"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Females</w:t>
            </w:r>
          </w:p>
        </w:tc>
        <w:tc>
          <w:tcPr>
            <w:tcW w:w="726" w:type="pct"/>
            <w:tcBorders>
              <w:top w:val="single" w:sz="8" w:space="0" w:color="9BBB59"/>
              <w:left w:val="single" w:sz="8" w:space="0" w:color="9BBB59"/>
              <w:bottom w:val="single" w:sz="8" w:space="0" w:color="9BBB59"/>
              <w:right w:val="single" w:sz="8" w:space="0" w:color="9BBB59"/>
            </w:tcBorders>
            <w:shd w:val="clear" w:color="auto" w:fill="E6EED5"/>
            <w:tcMar>
              <w:top w:w="15" w:type="dxa"/>
              <w:left w:w="108" w:type="dxa"/>
              <w:bottom w:w="0" w:type="dxa"/>
              <w:right w:w="108" w:type="dxa"/>
            </w:tcMar>
            <w:hideMark/>
          </w:tcPr>
          <w:p w14:paraId="73E2961B"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54.7%</w:t>
            </w:r>
          </w:p>
        </w:tc>
        <w:tc>
          <w:tcPr>
            <w:tcW w:w="912" w:type="pct"/>
            <w:tcBorders>
              <w:top w:val="single" w:sz="8" w:space="0" w:color="9BBB59"/>
              <w:left w:val="single" w:sz="8" w:space="0" w:color="9BBB59"/>
              <w:bottom w:val="single" w:sz="8" w:space="0" w:color="9BBB59"/>
              <w:right w:val="single" w:sz="8" w:space="0" w:color="006699"/>
            </w:tcBorders>
            <w:shd w:val="clear" w:color="auto" w:fill="auto"/>
            <w:tcMar>
              <w:top w:w="15" w:type="dxa"/>
              <w:left w:w="108" w:type="dxa"/>
              <w:bottom w:w="0" w:type="dxa"/>
              <w:right w:w="108" w:type="dxa"/>
            </w:tcMar>
            <w:hideMark/>
          </w:tcPr>
          <w:p w14:paraId="56A57B40"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55.3 %</w:t>
            </w:r>
          </w:p>
        </w:tc>
        <w:tc>
          <w:tcPr>
            <w:tcW w:w="861" w:type="pct"/>
            <w:tcBorders>
              <w:top w:val="single" w:sz="8" w:space="0" w:color="9BBB59"/>
              <w:left w:val="single" w:sz="8" w:space="0" w:color="006699"/>
              <w:bottom w:val="single" w:sz="8" w:space="0" w:color="9BBB59"/>
              <w:right w:val="single" w:sz="8" w:space="0" w:color="9BBB59"/>
            </w:tcBorders>
            <w:shd w:val="clear" w:color="auto" w:fill="auto"/>
            <w:tcMar>
              <w:top w:w="15" w:type="dxa"/>
              <w:left w:w="108" w:type="dxa"/>
              <w:bottom w:w="0" w:type="dxa"/>
              <w:right w:w="108" w:type="dxa"/>
            </w:tcMar>
            <w:hideMark/>
          </w:tcPr>
          <w:p w14:paraId="25762064"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53%</w:t>
            </w:r>
          </w:p>
        </w:tc>
      </w:tr>
      <w:tr w:rsidR="001D792E" w:rsidRPr="00CF74E4" w14:paraId="358D05E0" w14:textId="77777777" w:rsidTr="003C1703">
        <w:trPr>
          <w:trHeight w:val="211"/>
        </w:trPr>
        <w:tc>
          <w:tcPr>
            <w:tcW w:w="1239" w:type="pct"/>
            <w:vMerge w:val="restart"/>
            <w:tcBorders>
              <w:top w:val="single" w:sz="8" w:space="0" w:color="9BBB59"/>
              <w:left w:val="single" w:sz="8" w:space="0" w:color="9BBB59"/>
              <w:bottom w:val="single" w:sz="8" w:space="0" w:color="9BBB59"/>
              <w:right w:val="single" w:sz="8" w:space="0" w:color="9BBB59"/>
            </w:tcBorders>
            <w:shd w:val="clear" w:color="auto" w:fill="E6EED5"/>
            <w:tcMar>
              <w:top w:w="15" w:type="dxa"/>
              <w:left w:w="108" w:type="dxa"/>
              <w:bottom w:w="0" w:type="dxa"/>
              <w:right w:w="108" w:type="dxa"/>
            </w:tcMar>
            <w:hideMark/>
          </w:tcPr>
          <w:p w14:paraId="12876180"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Age breakdown</w:t>
            </w:r>
          </w:p>
        </w:tc>
        <w:tc>
          <w:tcPr>
            <w:tcW w:w="1261" w:type="pct"/>
            <w:tcBorders>
              <w:top w:val="single" w:sz="8" w:space="0" w:color="9BBB59"/>
              <w:left w:val="single" w:sz="8" w:space="0" w:color="9BBB59"/>
              <w:bottom w:val="single" w:sz="8" w:space="0" w:color="9BBB59"/>
              <w:right w:val="single" w:sz="8" w:space="0" w:color="9BBB59"/>
            </w:tcBorders>
            <w:shd w:val="clear" w:color="auto" w:fill="E6EED5"/>
            <w:tcMar>
              <w:top w:w="15" w:type="dxa"/>
              <w:left w:w="108" w:type="dxa"/>
              <w:bottom w:w="0" w:type="dxa"/>
              <w:right w:w="108" w:type="dxa"/>
            </w:tcMar>
            <w:hideMark/>
          </w:tcPr>
          <w:p w14:paraId="6EB414DC"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 xml:space="preserve">0 – 14    </w:t>
            </w:r>
          </w:p>
        </w:tc>
        <w:tc>
          <w:tcPr>
            <w:tcW w:w="726" w:type="pct"/>
            <w:tcBorders>
              <w:top w:val="single" w:sz="8" w:space="0" w:color="9BBB59"/>
              <w:left w:val="single" w:sz="8" w:space="0" w:color="9BBB59"/>
              <w:bottom w:val="single" w:sz="8" w:space="0" w:color="9BBB59"/>
              <w:right w:val="single" w:sz="8" w:space="0" w:color="9BBB59"/>
            </w:tcBorders>
            <w:shd w:val="clear" w:color="auto" w:fill="E6EED5"/>
            <w:tcMar>
              <w:top w:w="15" w:type="dxa"/>
              <w:left w:w="108" w:type="dxa"/>
              <w:bottom w:w="0" w:type="dxa"/>
              <w:right w:w="108" w:type="dxa"/>
            </w:tcMar>
            <w:hideMark/>
          </w:tcPr>
          <w:p w14:paraId="0D911FF4"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39.6%</w:t>
            </w:r>
          </w:p>
        </w:tc>
        <w:tc>
          <w:tcPr>
            <w:tcW w:w="912" w:type="pct"/>
            <w:tcBorders>
              <w:top w:val="single" w:sz="8" w:space="0" w:color="9BBB59"/>
              <w:left w:val="single" w:sz="8" w:space="0" w:color="9BBB59"/>
              <w:bottom w:val="single" w:sz="8" w:space="0" w:color="9BBB59"/>
              <w:right w:val="single" w:sz="8" w:space="0" w:color="006699"/>
            </w:tcBorders>
            <w:shd w:val="clear" w:color="auto" w:fill="E6EED5"/>
            <w:tcMar>
              <w:top w:w="15" w:type="dxa"/>
              <w:left w:w="108" w:type="dxa"/>
              <w:bottom w:w="0" w:type="dxa"/>
              <w:right w:w="108" w:type="dxa"/>
            </w:tcMar>
            <w:hideMark/>
          </w:tcPr>
          <w:p w14:paraId="13839A00"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37.2 %</w:t>
            </w:r>
          </w:p>
        </w:tc>
        <w:tc>
          <w:tcPr>
            <w:tcW w:w="861" w:type="pct"/>
            <w:tcBorders>
              <w:top w:val="single" w:sz="8" w:space="0" w:color="9BBB59"/>
              <w:left w:val="single" w:sz="8" w:space="0" w:color="006699"/>
              <w:bottom w:val="single" w:sz="8" w:space="0" w:color="9BBB59"/>
              <w:right w:val="single" w:sz="8" w:space="0" w:color="9BBB59"/>
            </w:tcBorders>
            <w:shd w:val="clear" w:color="auto" w:fill="E6EED5"/>
            <w:tcMar>
              <w:top w:w="15" w:type="dxa"/>
              <w:left w:w="108" w:type="dxa"/>
              <w:bottom w:w="0" w:type="dxa"/>
              <w:right w:w="108" w:type="dxa"/>
            </w:tcMar>
            <w:hideMark/>
          </w:tcPr>
          <w:p w14:paraId="3AB7BAFB"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43 %</w:t>
            </w:r>
          </w:p>
        </w:tc>
      </w:tr>
      <w:tr w:rsidR="001D792E" w:rsidRPr="00CF74E4" w14:paraId="47F0938C" w14:textId="77777777" w:rsidTr="003C1703">
        <w:trPr>
          <w:trHeight w:val="211"/>
        </w:trPr>
        <w:tc>
          <w:tcPr>
            <w:tcW w:w="1239" w:type="pct"/>
            <w:vMerge/>
            <w:tcBorders>
              <w:top w:val="single" w:sz="8" w:space="0" w:color="9BBB59"/>
              <w:left w:val="single" w:sz="8" w:space="0" w:color="9BBB59"/>
              <w:bottom w:val="single" w:sz="8" w:space="0" w:color="9BBB59"/>
              <w:right w:val="single" w:sz="8" w:space="0" w:color="9BBB59"/>
            </w:tcBorders>
            <w:vAlign w:val="center"/>
            <w:hideMark/>
          </w:tcPr>
          <w:p w14:paraId="7E274248" w14:textId="77777777" w:rsidR="001D792E" w:rsidRPr="003C1703" w:rsidRDefault="001D792E" w:rsidP="001D792E">
            <w:pPr>
              <w:spacing w:after="0" w:line="240" w:lineRule="auto"/>
              <w:rPr>
                <w:rFonts w:ascii="Arial" w:eastAsia="Times New Roman" w:hAnsi="Arial" w:cs="Arial"/>
                <w:b/>
                <w:sz w:val="16"/>
                <w:szCs w:val="36"/>
                <w:lang w:val="en-ZA" w:eastAsia="en-ZA"/>
              </w:rPr>
            </w:pPr>
          </w:p>
        </w:tc>
        <w:tc>
          <w:tcPr>
            <w:tcW w:w="1261" w:type="pct"/>
            <w:tcBorders>
              <w:top w:val="single" w:sz="8" w:space="0" w:color="9BBB59"/>
              <w:left w:val="single" w:sz="8" w:space="0" w:color="9BBB59"/>
              <w:bottom w:val="single" w:sz="8" w:space="0" w:color="9BBB59"/>
              <w:right w:val="single" w:sz="8" w:space="0" w:color="9BBB59"/>
            </w:tcBorders>
            <w:shd w:val="clear" w:color="auto" w:fill="auto"/>
            <w:tcMar>
              <w:top w:w="15" w:type="dxa"/>
              <w:left w:w="108" w:type="dxa"/>
              <w:bottom w:w="0" w:type="dxa"/>
              <w:right w:w="108" w:type="dxa"/>
            </w:tcMar>
            <w:hideMark/>
          </w:tcPr>
          <w:p w14:paraId="4326B12D"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 xml:space="preserve">15 – 64  </w:t>
            </w:r>
          </w:p>
        </w:tc>
        <w:tc>
          <w:tcPr>
            <w:tcW w:w="726" w:type="pct"/>
            <w:tcBorders>
              <w:top w:val="single" w:sz="8" w:space="0" w:color="9BBB59"/>
              <w:left w:val="single" w:sz="8" w:space="0" w:color="9BBB59"/>
              <w:bottom w:val="single" w:sz="8" w:space="0" w:color="9BBB59"/>
              <w:right w:val="single" w:sz="8" w:space="0" w:color="9BBB59"/>
            </w:tcBorders>
            <w:shd w:val="clear" w:color="auto" w:fill="E6EED5"/>
            <w:tcMar>
              <w:top w:w="15" w:type="dxa"/>
              <w:left w:w="108" w:type="dxa"/>
              <w:bottom w:w="0" w:type="dxa"/>
              <w:right w:w="108" w:type="dxa"/>
            </w:tcMar>
            <w:hideMark/>
          </w:tcPr>
          <w:p w14:paraId="3E67F047"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55.1%</w:t>
            </w:r>
          </w:p>
        </w:tc>
        <w:tc>
          <w:tcPr>
            <w:tcW w:w="912" w:type="pct"/>
            <w:tcBorders>
              <w:top w:val="single" w:sz="8" w:space="0" w:color="9BBB59"/>
              <w:left w:val="single" w:sz="8" w:space="0" w:color="9BBB59"/>
              <w:bottom w:val="single" w:sz="8" w:space="0" w:color="9BBB59"/>
              <w:right w:val="single" w:sz="8" w:space="0" w:color="006699"/>
            </w:tcBorders>
            <w:shd w:val="clear" w:color="auto" w:fill="auto"/>
            <w:tcMar>
              <w:top w:w="15" w:type="dxa"/>
              <w:left w:w="108" w:type="dxa"/>
              <w:bottom w:w="0" w:type="dxa"/>
              <w:right w:w="108" w:type="dxa"/>
            </w:tcMar>
            <w:hideMark/>
          </w:tcPr>
          <w:p w14:paraId="3479A0F8"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54.1 %</w:t>
            </w:r>
          </w:p>
        </w:tc>
        <w:tc>
          <w:tcPr>
            <w:tcW w:w="861" w:type="pct"/>
            <w:tcBorders>
              <w:top w:val="single" w:sz="8" w:space="0" w:color="9BBB59"/>
              <w:left w:val="single" w:sz="8" w:space="0" w:color="006699"/>
              <w:bottom w:val="single" w:sz="8" w:space="0" w:color="9BBB59"/>
              <w:right w:val="single" w:sz="8" w:space="0" w:color="9BBB59"/>
            </w:tcBorders>
            <w:shd w:val="clear" w:color="auto" w:fill="auto"/>
            <w:tcMar>
              <w:top w:w="15" w:type="dxa"/>
              <w:left w:w="108" w:type="dxa"/>
              <w:bottom w:w="0" w:type="dxa"/>
              <w:right w:w="108" w:type="dxa"/>
            </w:tcMar>
            <w:hideMark/>
          </w:tcPr>
          <w:p w14:paraId="39212761"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49 %</w:t>
            </w:r>
          </w:p>
        </w:tc>
      </w:tr>
      <w:tr w:rsidR="001D792E" w:rsidRPr="00CF74E4" w14:paraId="05A893E2" w14:textId="77777777" w:rsidTr="003C1703">
        <w:trPr>
          <w:trHeight w:val="40"/>
        </w:trPr>
        <w:tc>
          <w:tcPr>
            <w:tcW w:w="1239" w:type="pct"/>
            <w:vMerge/>
            <w:tcBorders>
              <w:top w:val="single" w:sz="8" w:space="0" w:color="9BBB59"/>
              <w:left w:val="single" w:sz="8" w:space="0" w:color="9BBB59"/>
              <w:bottom w:val="single" w:sz="8" w:space="0" w:color="9BBB59"/>
              <w:right w:val="single" w:sz="8" w:space="0" w:color="9BBB59"/>
            </w:tcBorders>
            <w:vAlign w:val="center"/>
            <w:hideMark/>
          </w:tcPr>
          <w:p w14:paraId="73593D7E" w14:textId="77777777" w:rsidR="001D792E" w:rsidRPr="003C1703" w:rsidRDefault="001D792E" w:rsidP="001D792E">
            <w:pPr>
              <w:spacing w:after="0" w:line="240" w:lineRule="auto"/>
              <w:rPr>
                <w:rFonts w:ascii="Arial" w:eastAsia="Times New Roman" w:hAnsi="Arial" w:cs="Arial"/>
                <w:b/>
                <w:sz w:val="16"/>
                <w:szCs w:val="36"/>
                <w:lang w:val="en-ZA" w:eastAsia="en-ZA"/>
              </w:rPr>
            </w:pPr>
          </w:p>
        </w:tc>
        <w:tc>
          <w:tcPr>
            <w:tcW w:w="1261" w:type="pct"/>
            <w:tcBorders>
              <w:top w:val="single" w:sz="8" w:space="0" w:color="9BBB59"/>
              <w:left w:val="single" w:sz="8" w:space="0" w:color="9BBB59"/>
              <w:bottom w:val="single" w:sz="8" w:space="0" w:color="9BBB59"/>
              <w:right w:val="single" w:sz="8" w:space="0" w:color="9BBB59"/>
            </w:tcBorders>
            <w:shd w:val="clear" w:color="auto" w:fill="E6EED5"/>
            <w:tcMar>
              <w:top w:w="15" w:type="dxa"/>
              <w:left w:w="108" w:type="dxa"/>
              <w:bottom w:w="0" w:type="dxa"/>
              <w:right w:w="108" w:type="dxa"/>
            </w:tcMar>
            <w:hideMark/>
          </w:tcPr>
          <w:p w14:paraId="41991098"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 xml:space="preserve">65 +        </w:t>
            </w:r>
          </w:p>
        </w:tc>
        <w:tc>
          <w:tcPr>
            <w:tcW w:w="726" w:type="pct"/>
            <w:tcBorders>
              <w:top w:val="single" w:sz="8" w:space="0" w:color="9BBB59"/>
              <w:left w:val="single" w:sz="8" w:space="0" w:color="9BBB59"/>
              <w:bottom w:val="single" w:sz="8" w:space="0" w:color="9BBB59"/>
              <w:right w:val="single" w:sz="8" w:space="0" w:color="9BBB59"/>
            </w:tcBorders>
            <w:shd w:val="clear" w:color="auto" w:fill="E6EED5"/>
            <w:tcMar>
              <w:top w:w="15" w:type="dxa"/>
              <w:left w:w="108" w:type="dxa"/>
              <w:bottom w:w="0" w:type="dxa"/>
              <w:right w:w="108" w:type="dxa"/>
            </w:tcMar>
            <w:hideMark/>
          </w:tcPr>
          <w:p w14:paraId="281E80F2"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5.2%</w:t>
            </w:r>
          </w:p>
        </w:tc>
        <w:tc>
          <w:tcPr>
            <w:tcW w:w="912" w:type="pct"/>
            <w:tcBorders>
              <w:top w:val="single" w:sz="8" w:space="0" w:color="9BBB59"/>
              <w:left w:val="single" w:sz="8" w:space="0" w:color="9BBB59"/>
              <w:bottom w:val="single" w:sz="8" w:space="0" w:color="9BBB59"/>
              <w:right w:val="single" w:sz="8" w:space="0" w:color="006699"/>
            </w:tcBorders>
            <w:shd w:val="clear" w:color="auto" w:fill="E6EED5"/>
            <w:tcMar>
              <w:top w:w="15" w:type="dxa"/>
              <w:left w:w="108" w:type="dxa"/>
              <w:bottom w:w="0" w:type="dxa"/>
              <w:right w:w="108" w:type="dxa"/>
            </w:tcMar>
            <w:hideMark/>
          </w:tcPr>
          <w:p w14:paraId="354582B4"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5.6 %</w:t>
            </w:r>
          </w:p>
        </w:tc>
        <w:tc>
          <w:tcPr>
            <w:tcW w:w="861" w:type="pct"/>
            <w:tcBorders>
              <w:top w:val="single" w:sz="8" w:space="0" w:color="9BBB59"/>
              <w:left w:val="single" w:sz="8" w:space="0" w:color="006699"/>
              <w:bottom w:val="single" w:sz="8" w:space="0" w:color="9BBB59"/>
              <w:right w:val="single" w:sz="8" w:space="0" w:color="9BBB59"/>
            </w:tcBorders>
            <w:shd w:val="clear" w:color="auto" w:fill="E6EED5"/>
            <w:tcMar>
              <w:top w:w="15" w:type="dxa"/>
              <w:left w:w="108" w:type="dxa"/>
              <w:bottom w:w="0" w:type="dxa"/>
              <w:right w:w="108" w:type="dxa"/>
            </w:tcMar>
            <w:hideMark/>
          </w:tcPr>
          <w:p w14:paraId="46B41579" w14:textId="77777777" w:rsidR="001D792E" w:rsidRPr="003C1703" w:rsidRDefault="001D792E" w:rsidP="001D792E">
            <w:pPr>
              <w:tabs>
                <w:tab w:val="left" w:pos="650"/>
              </w:tabs>
              <w:spacing w:before="60" w:after="0"/>
              <w:jc w:val="both"/>
              <w:rPr>
                <w:rFonts w:ascii="Arial" w:eastAsia="Times New Roman" w:hAnsi="Arial" w:cs="Arial"/>
                <w:b/>
                <w:sz w:val="16"/>
                <w:szCs w:val="36"/>
                <w:lang w:val="en-ZA" w:eastAsia="en-ZA"/>
              </w:rPr>
            </w:pPr>
            <w:r w:rsidRPr="003C1703">
              <w:rPr>
                <w:rFonts w:eastAsia="Times New Roman" w:cs="Times New Roman"/>
                <w:b/>
                <w:bCs/>
                <w:color w:val="006699"/>
                <w:kern w:val="24"/>
                <w:sz w:val="16"/>
                <w:szCs w:val="40"/>
                <w:lang w:val="en-ZA" w:eastAsia="en-ZA"/>
              </w:rPr>
              <w:t>8%</w:t>
            </w:r>
          </w:p>
        </w:tc>
      </w:tr>
    </w:tbl>
    <w:p w14:paraId="2F3DFF2C" w14:textId="77777777" w:rsidR="007F3851" w:rsidRPr="00881795" w:rsidRDefault="00B450DD" w:rsidP="002F62F0">
      <w:pPr>
        <w:pStyle w:val="Caption"/>
      </w:pPr>
      <w:bookmarkStart w:id="7" w:name="_Toc510622251"/>
      <w:r>
        <w:lastRenderedPageBreak/>
        <w:t xml:space="preserve">Table </w:t>
      </w:r>
      <w:r w:rsidR="00B918A6">
        <w:fldChar w:fldCharType="begin"/>
      </w:r>
      <w:r w:rsidR="00B918A6">
        <w:instrText xml:space="preserve"> SEQ Table \* ARABIC </w:instrText>
      </w:r>
      <w:r w:rsidR="00B918A6">
        <w:fldChar w:fldCharType="separate"/>
      </w:r>
      <w:r w:rsidR="0067023A">
        <w:rPr>
          <w:noProof/>
        </w:rPr>
        <w:t>1</w:t>
      </w:r>
      <w:r w:rsidR="00B918A6">
        <w:rPr>
          <w:noProof/>
        </w:rPr>
        <w:fldChar w:fldCharType="end"/>
      </w:r>
      <w:r>
        <w:t xml:space="preserve">: </w:t>
      </w:r>
      <w:r w:rsidR="00457710">
        <w:t>De</w:t>
      </w:r>
      <w:r w:rsidR="001D792E">
        <w:t>mographic Profile (Census</w:t>
      </w:r>
      <w:r w:rsidR="00457710">
        <w:t xml:space="preserve"> 2011</w:t>
      </w:r>
      <w:r w:rsidR="001D792E">
        <w:t xml:space="preserve"> &amp; 2016</w:t>
      </w:r>
      <w:r w:rsidR="00457710">
        <w:t>)</w:t>
      </w:r>
      <w:bookmarkEnd w:id="7"/>
    </w:p>
    <w:p w14:paraId="78730C0E" w14:textId="77777777" w:rsidR="00A60634" w:rsidRDefault="00457710" w:rsidP="00395313">
      <w:pPr>
        <w:spacing w:after="0" w:line="240" w:lineRule="auto"/>
        <w:jc w:val="both"/>
        <w:rPr>
          <w:szCs w:val="20"/>
        </w:rPr>
      </w:pPr>
      <w:r>
        <w:rPr>
          <w:szCs w:val="20"/>
        </w:rPr>
        <w:t>The demographic profile table above indicates that the population within the municipality has gradually d</w:t>
      </w:r>
      <w:r w:rsidR="00A60634">
        <w:rPr>
          <w:szCs w:val="20"/>
        </w:rPr>
        <w:t>eclined between 2001 and 2011 but has increased noticeably from 2011 to 2016</w:t>
      </w:r>
      <w:r>
        <w:rPr>
          <w:szCs w:val="20"/>
        </w:rPr>
        <w:t xml:space="preserve">. </w:t>
      </w:r>
      <w:r w:rsidR="00A60634">
        <w:rPr>
          <w:szCs w:val="20"/>
        </w:rPr>
        <w:t>This has, in turn, turned the population growth rate from a negative growth rate to a positive growth rate. This may be attributed to a better standard of living in terms of service delivery and practicing of a more sustainable livelihood.</w:t>
      </w:r>
      <w:r w:rsidR="00167EFA">
        <w:rPr>
          <w:szCs w:val="20"/>
        </w:rPr>
        <w:t xml:space="preserve"> From the 2016 statistics by StatsSA, there is also an indication that there is less of an outward migration trend and the growth in the number of children between 0 – 14 (37% - 43%) indicates that the birt</w:t>
      </w:r>
      <w:r w:rsidR="00130F92">
        <w:rPr>
          <w:szCs w:val="20"/>
        </w:rPr>
        <w:t>h rate has increased from 2011 to</w:t>
      </w:r>
      <w:r w:rsidR="00167EFA">
        <w:rPr>
          <w:szCs w:val="20"/>
        </w:rPr>
        <w:t xml:space="preserve"> 2016. </w:t>
      </w:r>
      <w:r w:rsidR="00A60634">
        <w:rPr>
          <w:szCs w:val="20"/>
        </w:rPr>
        <w:t xml:space="preserve"> This positive change in population growth will hence translate to more financial capacitation from National Treasury for service delivery.</w:t>
      </w:r>
      <w:r w:rsidR="00167EFA">
        <w:rPr>
          <w:szCs w:val="20"/>
        </w:rPr>
        <w:t xml:space="preserve"> </w:t>
      </w:r>
    </w:p>
    <w:p w14:paraId="70A26374" w14:textId="77777777" w:rsidR="00A60634" w:rsidRDefault="00A60634" w:rsidP="00395313">
      <w:pPr>
        <w:spacing w:after="0" w:line="240" w:lineRule="auto"/>
        <w:jc w:val="both"/>
        <w:rPr>
          <w:szCs w:val="20"/>
        </w:rPr>
      </w:pPr>
    </w:p>
    <w:p w14:paraId="20CE4869" w14:textId="77777777" w:rsidR="007F3851" w:rsidRPr="00EE77CC" w:rsidRDefault="00686A2C" w:rsidP="00750180">
      <w:pPr>
        <w:pStyle w:val="Heading2"/>
        <w:numPr>
          <w:ilvl w:val="2"/>
          <w:numId w:val="56"/>
        </w:numPr>
      </w:pPr>
      <w:bookmarkStart w:id="8" w:name="_Toc510706556"/>
      <w:r w:rsidRPr="00EE77CC">
        <w:t>Land Administration</w:t>
      </w:r>
      <w:bookmarkEnd w:id="8"/>
    </w:p>
    <w:p w14:paraId="24BCB3F2" w14:textId="77777777" w:rsidR="007F3851" w:rsidRPr="00881795" w:rsidRDefault="007F3851" w:rsidP="00395313">
      <w:pPr>
        <w:spacing w:after="0" w:line="240" w:lineRule="auto"/>
        <w:jc w:val="both"/>
        <w:rPr>
          <w:szCs w:val="20"/>
        </w:rPr>
      </w:pPr>
    </w:p>
    <w:p w14:paraId="76500F8C" w14:textId="77777777" w:rsidR="00595558" w:rsidRPr="00686A2C" w:rsidRDefault="00426658" w:rsidP="00395313">
      <w:pPr>
        <w:spacing w:after="0" w:line="240" w:lineRule="auto"/>
        <w:jc w:val="both"/>
      </w:pPr>
      <w:r w:rsidRPr="00881795">
        <w:t xml:space="preserve">The </w:t>
      </w:r>
      <w:r w:rsidR="00686A2C">
        <w:t xml:space="preserve">uMlalazi </w:t>
      </w:r>
      <w:r w:rsidRPr="00881795">
        <w:t xml:space="preserve">Municipality </w:t>
      </w:r>
      <w:r w:rsidR="00686A2C">
        <w:t>is made up of</w:t>
      </w:r>
      <w:r w:rsidRPr="00881795">
        <w:t xml:space="preserve"> 2</w:t>
      </w:r>
      <w:r w:rsidR="003C54C6">
        <w:t>7</w:t>
      </w:r>
      <w:r w:rsidRPr="00881795">
        <w:t xml:space="preserve"> electoral wards, with wards 2 to 6 being the largest. The map below depicts the Administrative </w:t>
      </w:r>
      <w:r w:rsidR="007E283D" w:rsidRPr="00881795">
        <w:t>Ent</w:t>
      </w:r>
      <w:r w:rsidR="00686A2C">
        <w:t xml:space="preserve">ities.  The municipality is predominantly rural in character and the Ingonyama Trust Board is the majority land owner within uMlalazi municipality with a total of </w:t>
      </w:r>
      <w:r w:rsidR="00595558">
        <w:t>14</w:t>
      </w:r>
      <w:r w:rsidR="00686A2C">
        <w:rPr>
          <w:color w:val="FF0000"/>
        </w:rPr>
        <w:t xml:space="preserve"> </w:t>
      </w:r>
      <w:r w:rsidR="00686A2C">
        <w:t xml:space="preserve">Traditional Authority Areas </w:t>
      </w:r>
      <w:r w:rsidR="00096174">
        <w:t xml:space="preserve">of which the traditional </w:t>
      </w:r>
      <w:r w:rsidR="00C40E56">
        <w:t>AmaKhosi</w:t>
      </w:r>
      <w:r w:rsidR="00096174">
        <w:t xml:space="preserve"> are custodians thereof.</w:t>
      </w:r>
    </w:p>
    <w:p w14:paraId="78715662" w14:textId="77777777" w:rsidR="00C368A0" w:rsidRDefault="00C368A0" w:rsidP="00395313">
      <w:pPr>
        <w:spacing w:after="0" w:line="240" w:lineRule="auto"/>
        <w:jc w:val="both"/>
        <w:sectPr w:rsidR="00C368A0" w:rsidSect="00634C0E">
          <w:headerReference w:type="default" r:id="rId11"/>
          <w:footerReference w:type="default" r:id="rId12"/>
          <w:footerReference w:type="first" r:id="rId13"/>
          <w:pgSz w:w="11907" w:h="16839" w:code="9"/>
          <w:pgMar w:top="568" w:right="1134" w:bottom="851" w:left="1134" w:header="720" w:footer="720" w:gutter="0"/>
          <w:pgNumType w:start="0"/>
          <w:cols w:space="720"/>
          <w:titlePg/>
          <w:docGrid w:linePitch="360"/>
        </w:sectPr>
      </w:pPr>
    </w:p>
    <w:p w14:paraId="742DF1EE" w14:textId="27767B81" w:rsidR="00C368A0" w:rsidRDefault="002F62F0" w:rsidP="00E5396E">
      <w:pPr>
        <w:pStyle w:val="NoSpacing"/>
        <w:sectPr w:rsidR="00C368A0" w:rsidSect="00C368A0">
          <w:pgSz w:w="16839" w:h="11907" w:orient="landscape" w:code="9"/>
          <w:pgMar w:top="1134" w:right="851" w:bottom="1134" w:left="851" w:header="720" w:footer="720" w:gutter="0"/>
          <w:cols w:space="720"/>
          <w:titlePg/>
          <w:docGrid w:linePitch="360"/>
        </w:sectPr>
      </w:pPr>
      <w:r w:rsidRPr="002F62F0">
        <w:object w:dxaOrig="12631" w:dyaOrig="8940" w14:anchorId="62ED4810">
          <v:shape id="_x0000_i1026" type="#_x0000_t75" style="width:798pt;height:438.75pt" o:ole="">
            <v:imagedata r:id="rId14" o:title=""/>
          </v:shape>
          <o:OLEObject Type="Embed" ProgID="AcroExch.Document.11" ShapeID="_x0000_i1026" DrawAspect="Content" ObjectID="_1587449249" r:id="rId15"/>
        </w:object>
      </w:r>
      <w:bookmarkStart w:id="9" w:name="_Toc481468917"/>
      <w:r w:rsidR="00B450DD">
        <w:t xml:space="preserve">Map </w:t>
      </w:r>
      <w:r w:rsidR="00E5396E">
        <w:fldChar w:fldCharType="begin"/>
      </w:r>
      <w:r w:rsidR="00E5396E">
        <w:instrText xml:space="preserve"> SEQ Map \* ARABIC </w:instrText>
      </w:r>
      <w:r w:rsidR="00E5396E">
        <w:fldChar w:fldCharType="separate"/>
      </w:r>
      <w:r w:rsidR="0067023A">
        <w:rPr>
          <w:noProof/>
        </w:rPr>
        <w:t>2</w:t>
      </w:r>
      <w:r w:rsidR="00E5396E">
        <w:rPr>
          <w:noProof/>
        </w:rPr>
        <w:fldChar w:fldCharType="end"/>
      </w:r>
      <w:r w:rsidR="00B450DD">
        <w:t xml:space="preserve">: </w:t>
      </w:r>
      <w:r w:rsidR="007E283D" w:rsidRPr="00E12267">
        <w:t>Administrative Entities: Electoral Wards</w:t>
      </w:r>
      <w:r w:rsidR="008300F4">
        <w:t xml:space="preserve"> and Tradi</w:t>
      </w:r>
      <w:r w:rsidR="00C40E56">
        <w:t>ti</w:t>
      </w:r>
      <w:r w:rsidR="008300F4">
        <w:t>onal Authority Areas</w:t>
      </w:r>
      <w:bookmarkEnd w:id="9"/>
    </w:p>
    <w:p w14:paraId="21A72B9A" w14:textId="77777777" w:rsidR="00D33BDB" w:rsidRPr="00615B2C" w:rsidRDefault="00510AAD" w:rsidP="00750180">
      <w:pPr>
        <w:pStyle w:val="Heading2"/>
        <w:numPr>
          <w:ilvl w:val="1"/>
          <w:numId w:val="56"/>
        </w:numPr>
      </w:pPr>
      <w:bookmarkStart w:id="10" w:name="_Toc510706557"/>
      <w:r w:rsidRPr="00615B2C">
        <w:lastRenderedPageBreak/>
        <w:t>Developing the uMlalazi Integrated Development Plan</w:t>
      </w:r>
      <w:bookmarkEnd w:id="10"/>
    </w:p>
    <w:p w14:paraId="25407B67" w14:textId="77777777" w:rsidR="006121DA" w:rsidRPr="005214A8" w:rsidRDefault="006121DA" w:rsidP="00395313">
      <w:pPr>
        <w:spacing w:after="0" w:line="288" w:lineRule="auto"/>
        <w:jc w:val="both"/>
        <w:rPr>
          <w:szCs w:val="20"/>
        </w:rPr>
      </w:pPr>
    </w:p>
    <w:p w14:paraId="35CAEAB2" w14:textId="77777777" w:rsidR="006121DA" w:rsidRDefault="006121DA" w:rsidP="00395313">
      <w:pPr>
        <w:spacing w:after="0" w:line="288" w:lineRule="auto"/>
        <w:jc w:val="both"/>
        <w:rPr>
          <w:szCs w:val="20"/>
        </w:rPr>
      </w:pPr>
      <w:r>
        <w:rPr>
          <w:szCs w:val="20"/>
        </w:rPr>
        <w:t xml:space="preserve">The IDP is an </w:t>
      </w:r>
      <w:r w:rsidR="00703CE6">
        <w:rPr>
          <w:szCs w:val="20"/>
        </w:rPr>
        <w:t>overarching</w:t>
      </w:r>
      <w:r>
        <w:rPr>
          <w:szCs w:val="20"/>
        </w:rPr>
        <w:t xml:space="preserve"> strategic tool that guides and informs </w:t>
      </w:r>
      <w:r w:rsidR="00AD1B15">
        <w:rPr>
          <w:szCs w:val="20"/>
        </w:rPr>
        <w:t xml:space="preserve">all </w:t>
      </w:r>
      <w:r w:rsidR="00B629DA">
        <w:rPr>
          <w:szCs w:val="20"/>
        </w:rPr>
        <w:t>Planning and Economic Development</w:t>
      </w:r>
      <w:r w:rsidR="00AD1B15">
        <w:rPr>
          <w:szCs w:val="20"/>
        </w:rPr>
        <w:t xml:space="preserve">, and decisions taken regarding planning, management and development within the municipality. Further to this, the IDP provides for effective performance monitoring, evaluation and measureable development frameworks with key performance areas, indicators and performance targets. The following table </w:t>
      </w:r>
      <w:r w:rsidR="00703CE6">
        <w:rPr>
          <w:szCs w:val="20"/>
        </w:rPr>
        <w:t>summarizes</w:t>
      </w:r>
      <w:r w:rsidR="00AD1B15">
        <w:rPr>
          <w:szCs w:val="20"/>
        </w:rPr>
        <w:t xml:space="preserve"> the IDP process per review.</w:t>
      </w:r>
    </w:p>
    <w:p w14:paraId="449A850E" w14:textId="77777777" w:rsidR="00AD1B15" w:rsidRDefault="00AD1B15" w:rsidP="00395313">
      <w:pPr>
        <w:spacing w:after="0" w:line="288" w:lineRule="auto"/>
        <w:jc w:val="both"/>
        <w:rPr>
          <w:szCs w:val="20"/>
        </w:rPr>
      </w:pPr>
      <w:r>
        <w:rPr>
          <w:noProof/>
          <w:szCs w:val="20"/>
        </w:rPr>
        <w:drawing>
          <wp:inline distT="0" distB="0" distL="0" distR="0" wp14:anchorId="43F287A5" wp14:editId="4A4AAC1E">
            <wp:extent cx="6238875" cy="2333625"/>
            <wp:effectExtent l="0" t="0" r="9525" b="0"/>
            <wp:docPr id="145" name="Diagram 14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14:paraId="76EF547B" w14:textId="77777777" w:rsidR="005214A8" w:rsidRDefault="002F62F0" w:rsidP="002F62F0">
      <w:pPr>
        <w:pStyle w:val="Caption"/>
      </w:pPr>
      <w:r>
        <w:t xml:space="preserve"> Figure </w:t>
      </w:r>
      <w:r w:rsidR="00EA1D2E">
        <w:t>5</w:t>
      </w:r>
      <w:r>
        <w:t xml:space="preserve">: </w:t>
      </w:r>
      <w:r w:rsidR="005214A8" w:rsidRPr="0039485F">
        <w:t>IDP PROCESS</w:t>
      </w:r>
    </w:p>
    <w:p w14:paraId="5688F030" w14:textId="77777777" w:rsidR="002F62F0" w:rsidRDefault="002F62F0" w:rsidP="005940CC">
      <w:pPr>
        <w:spacing w:after="0" w:line="288" w:lineRule="auto"/>
        <w:jc w:val="both"/>
        <w:rPr>
          <w:szCs w:val="20"/>
        </w:rPr>
      </w:pPr>
    </w:p>
    <w:p w14:paraId="5E7344DE" w14:textId="77777777" w:rsidR="004965C7" w:rsidRDefault="004965C7" w:rsidP="005940CC">
      <w:pPr>
        <w:spacing w:after="0" w:line="288" w:lineRule="auto"/>
        <w:jc w:val="both"/>
        <w:rPr>
          <w:szCs w:val="20"/>
        </w:rPr>
      </w:pPr>
    </w:p>
    <w:p w14:paraId="0725D3EA" w14:textId="77777777" w:rsidR="004965C7" w:rsidRDefault="00A521CF" w:rsidP="009A3709">
      <w:pPr>
        <w:spacing w:line="288" w:lineRule="auto"/>
        <w:jc w:val="both"/>
        <w:rPr>
          <w:szCs w:val="20"/>
        </w:rPr>
      </w:pPr>
      <w:r>
        <w:rPr>
          <w:szCs w:val="20"/>
        </w:rPr>
        <w:t>The core South African planning systems are essential in developing a credible IDP.</w:t>
      </w:r>
      <w:r w:rsidR="005E0FEA">
        <w:rPr>
          <w:szCs w:val="20"/>
        </w:rPr>
        <w:t xml:space="preserve"> National, Provincial and Regional long term</w:t>
      </w:r>
      <w:r>
        <w:rPr>
          <w:szCs w:val="20"/>
        </w:rPr>
        <w:t xml:space="preserve"> strategic</w:t>
      </w:r>
      <w:r w:rsidR="005E0FEA">
        <w:rPr>
          <w:szCs w:val="20"/>
        </w:rPr>
        <w:t xml:space="preserve"> developmental plans inform the review of the municipality’s IDP.</w:t>
      </w:r>
      <w:r>
        <w:rPr>
          <w:szCs w:val="20"/>
        </w:rPr>
        <w:t>Hence the uMlalazi Municipality IDP</w:t>
      </w:r>
      <w:r w:rsidR="005E0FEA">
        <w:rPr>
          <w:szCs w:val="20"/>
        </w:rPr>
        <w:t xml:space="preserve"> is strategically aligned to the following imparitives;</w:t>
      </w:r>
    </w:p>
    <w:p w14:paraId="513F74A0" w14:textId="77777777" w:rsidR="005E0FEA" w:rsidRDefault="009A3709" w:rsidP="00750180">
      <w:pPr>
        <w:pStyle w:val="ListParagraph"/>
        <w:numPr>
          <w:ilvl w:val="0"/>
          <w:numId w:val="92"/>
        </w:numPr>
        <w:spacing w:after="0" w:line="288" w:lineRule="auto"/>
        <w:jc w:val="both"/>
        <w:rPr>
          <w:szCs w:val="20"/>
        </w:rPr>
      </w:pPr>
      <w:r>
        <w:rPr>
          <w:szCs w:val="20"/>
        </w:rPr>
        <w:t>Alignment to the NDP and PDGS and DGDP;</w:t>
      </w:r>
    </w:p>
    <w:p w14:paraId="0A69F5F2" w14:textId="77777777" w:rsidR="009A3709" w:rsidRDefault="009A3709" w:rsidP="00750180">
      <w:pPr>
        <w:pStyle w:val="ListParagraph"/>
        <w:numPr>
          <w:ilvl w:val="0"/>
          <w:numId w:val="92"/>
        </w:numPr>
        <w:spacing w:after="0" w:line="288" w:lineRule="auto"/>
        <w:jc w:val="both"/>
        <w:rPr>
          <w:szCs w:val="20"/>
        </w:rPr>
      </w:pPr>
      <w:r>
        <w:rPr>
          <w:szCs w:val="20"/>
        </w:rPr>
        <w:t>Strategic mandates (SONA, SOPA, SODA)</w:t>
      </w:r>
    </w:p>
    <w:p w14:paraId="1E0CF3E6" w14:textId="77777777" w:rsidR="009A3709" w:rsidRDefault="009A3709" w:rsidP="00750180">
      <w:pPr>
        <w:pStyle w:val="ListParagraph"/>
        <w:numPr>
          <w:ilvl w:val="0"/>
          <w:numId w:val="92"/>
        </w:numPr>
        <w:spacing w:after="0" w:line="288" w:lineRule="auto"/>
        <w:jc w:val="both"/>
        <w:rPr>
          <w:szCs w:val="20"/>
        </w:rPr>
      </w:pPr>
      <w:r>
        <w:rPr>
          <w:szCs w:val="20"/>
        </w:rPr>
        <w:t>Implementation of RET, Operation Pakisa, B2B</w:t>
      </w:r>
    </w:p>
    <w:p w14:paraId="71F56DC2" w14:textId="77777777" w:rsidR="009A3709" w:rsidRDefault="009A3709" w:rsidP="00750180">
      <w:pPr>
        <w:pStyle w:val="ListParagraph"/>
        <w:numPr>
          <w:ilvl w:val="0"/>
          <w:numId w:val="92"/>
        </w:numPr>
        <w:spacing w:after="0" w:line="288" w:lineRule="auto"/>
        <w:jc w:val="both"/>
        <w:rPr>
          <w:szCs w:val="20"/>
        </w:rPr>
      </w:pPr>
      <w:r>
        <w:rPr>
          <w:szCs w:val="20"/>
        </w:rPr>
        <w:t>Public Participation and community  engagements through the Mayoral Roadshows and CBPs</w:t>
      </w:r>
    </w:p>
    <w:p w14:paraId="6F8095F2" w14:textId="77777777" w:rsidR="007A3A17" w:rsidRDefault="007A3A17" w:rsidP="00750180">
      <w:pPr>
        <w:pStyle w:val="ListParagraph"/>
        <w:numPr>
          <w:ilvl w:val="0"/>
          <w:numId w:val="92"/>
        </w:numPr>
        <w:spacing w:after="0" w:line="288" w:lineRule="auto"/>
        <w:jc w:val="both"/>
        <w:rPr>
          <w:szCs w:val="20"/>
        </w:rPr>
      </w:pPr>
      <w:r>
        <w:rPr>
          <w:szCs w:val="20"/>
        </w:rPr>
        <w:t>MEC Comments as well as the Assessments Criteria from the KZN CoGTA</w:t>
      </w:r>
      <w:r w:rsidR="003719F1">
        <w:rPr>
          <w:szCs w:val="20"/>
        </w:rPr>
        <w:t>.</w:t>
      </w:r>
    </w:p>
    <w:p w14:paraId="33056977" w14:textId="77777777" w:rsidR="003719F1" w:rsidRDefault="003719F1" w:rsidP="00750180">
      <w:pPr>
        <w:pStyle w:val="ListParagraph"/>
        <w:numPr>
          <w:ilvl w:val="0"/>
          <w:numId w:val="92"/>
        </w:numPr>
        <w:spacing w:after="0" w:line="288" w:lineRule="auto"/>
        <w:jc w:val="both"/>
        <w:rPr>
          <w:szCs w:val="20"/>
        </w:rPr>
      </w:pPr>
      <w:r>
        <w:rPr>
          <w:szCs w:val="20"/>
        </w:rPr>
        <w:t>Annual Strategic Planning Session to review the strategic thrust of the IDP</w:t>
      </w:r>
    </w:p>
    <w:p w14:paraId="71ABBA24" w14:textId="77777777" w:rsidR="009A3709" w:rsidRDefault="009A3709" w:rsidP="009A3709">
      <w:pPr>
        <w:spacing w:after="0" w:line="288" w:lineRule="auto"/>
        <w:jc w:val="both"/>
        <w:rPr>
          <w:szCs w:val="20"/>
        </w:rPr>
      </w:pPr>
    </w:p>
    <w:p w14:paraId="6410F4F5" w14:textId="77777777" w:rsidR="005214A8" w:rsidRDefault="006810C8" w:rsidP="00395313">
      <w:pPr>
        <w:spacing w:after="0" w:line="288" w:lineRule="auto"/>
        <w:jc w:val="both"/>
        <w:rPr>
          <w:szCs w:val="20"/>
        </w:rPr>
      </w:pPr>
      <w:r>
        <w:rPr>
          <w:szCs w:val="20"/>
        </w:rPr>
        <w:t>Legislatively the development of the IDP is in terms of the Chapter 5 of the Local Government Municipal Systems Act 32 of 2000 as amended.</w:t>
      </w:r>
    </w:p>
    <w:p w14:paraId="79923AD6" w14:textId="77777777" w:rsidR="005214A8" w:rsidRDefault="005214A8" w:rsidP="00395313">
      <w:pPr>
        <w:spacing w:after="0" w:line="288" w:lineRule="auto"/>
        <w:jc w:val="both"/>
        <w:rPr>
          <w:szCs w:val="20"/>
        </w:rPr>
      </w:pPr>
    </w:p>
    <w:p w14:paraId="79E809CB" w14:textId="77777777" w:rsidR="005214A8" w:rsidRDefault="00F67A53" w:rsidP="00395313">
      <w:pPr>
        <w:spacing w:after="0" w:line="288" w:lineRule="auto"/>
        <w:jc w:val="both"/>
        <w:rPr>
          <w:szCs w:val="20"/>
        </w:rPr>
      </w:pPr>
      <w:r>
        <w:rPr>
          <w:noProof/>
          <w:szCs w:val="20"/>
        </w:rPr>
        <mc:AlternateContent>
          <mc:Choice Requires="wps">
            <w:drawing>
              <wp:anchor distT="0" distB="0" distL="114300" distR="114300" simplePos="0" relativeHeight="251663872" behindDoc="0" locked="0" layoutInCell="1" allowOverlap="1" wp14:anchorId="2DB9D94F" wp14:editId="4DD28071">
                <wp:simplePos x="0" y="0"/>
                <wp:positionH relativeFrom="margin">
                  <wp:align>right</wp:align>
                </wp:positionH>
                <wp:positionV relativeFrom="paragraph">
                  <wp:posOffset>-162560</wp:posOffset>
                </wp:positionV>
                <wp:extent cx="6076950" cy="1866900"/>
                <wp:effectExtent l="0" t="0" r="19050" b="19050"/>
                <wp:wrapNone/>
                <wp:docPr id="1" name="Rounded Rectangle 1"/>
                <wp:cNvGraphicFramePr/>
                <a:graphic xmlns:a="http://schemas.openxmlformats.org/drawingml/2006/main">
                  <a:graphicData uri="http://schemas.microsoft.com/office/word/2010/wordprocessingShape">
                    <wps:wsp>
                      <wps:cNvSpPr/>
                      <wps:spPr>
                        <a:xfrm>
                          <a:off x="0" y="0"/>
                          <a:ext cx="6076950" cy="1866900"/>
                        </a:xfrm>
                        <a:prstGeom prst="roundRect">
                          <a:avLst/>
                        </a:prstGeom>
                      </wps:spPr>
                      <wps:style>
                        <a:lnRef idx="2">
                          <a:schemeClr val="accent1"/>
                        </a:lnRef>
                        <a:fillRef idx="1">
                          <a:schemeClr val="lt1"/>
                        </a:fillRef>
                        <a:effectRef idx="0">
                          <a:schemeClr val="accent1"/>
                        </a:effectRef>
                        <a:fontRef idx="minor">
                          <a:schemeClr val="dk1"/>
                        </a:fontRef>
                      </wps:style>
                      <wps:txbx>
                        <w:txbxContent>
                          <w:p w14:paraId="01F2075B" w14:textId="77777777" w:rsidR="0067023A" w:rsidRPr="00F67A53" w:rsidRDefault="0067023A" w:rsidP="00F67A53">
                            <w:pPr>
                              <w:autoSpaceDE w:val="0"/>
                              <w:autoSpaceDN w:val="0"/>
                              <w:adjustRightInd w:val="0"/>
                              <w:spacing w:after="0" w:line="240" w:lineRule="auto"/>
                              <w:jc w:val="both"/>
                              <w:rPr>
                                <w:b/>
                                <w:i/>
                                <w:color w:val="31849B" w:themeColor="accent5" w:themeShade="BF"/>
                                <w:szCs w:val="20"/>
                              </w:rPr>
                            </w:pPr>
                            <w:r w:rsidRPr="00F67A53">
                              <w:rPr>
                                <w:b/>
                                <w:i/>
                                <w:color w:val="31849B" w:themeColor="accent5" w:themeShade="BF"/>
                                <w:szCs w:val="20"/>
                              </w:rPr>
                              <w:t>The adoption of the Integrated Development Plans is contemplated in terms of Chapter 5 (Section 25 (1)) of the Municipal Systems Act 32 of 2000 which provides that;</w:t>
                            </w:r>
                          </w:p>
                          <w:p w14:paraId="3D10CD87" w14:textId="77777777" w:rsidR="0067023A" w:rsidRPr="00F67A53" w:rsidRDefault="0067023A" w:rsidP="00F67A53">
                            <w:pPr>
                              <w:autoSpaceDE w:val="0"/>
                              <w:autoSpaceDN w:val="0"/>
                              <w:adjustRightInd w:val="0"/>
                              <w:spacing w:after="0" w:line="240" w:lineRule="auto"/>
                              <w:rPr>
                                <w:b/>
                                <w:i/>
                                <w:color w:val="31849B" w:themeColor="accent5" w:themeShade="BF"/>
                                <w:szCs w:val="20"/>
                              </w:rPr>
                            </w:pPr>
                            <w:r w:rsidRPr="00F67A53">
                              <w:rPr>
                                <w:b/>
                                <w:i/>
                                <w:color w:val="31849B" w:themeColor="accent5" w:themeShade="BF"/>
                                <w:szCs w:val="20"/>
                              </w:rPr>
                              <w:t>Each municipal council must, within a prescribed period after the start of its elected term, adopt a single, all inclusive and strategic plan for the development of the municipality which –</w:t>
                            </w:r>
                          </w:p>
                          <w:p w14:paraId="48A998F9" w14:textId="77777777" w:rsidR="0067023A" w:rsidRPr="00F67A53" w:rsidRDefault="0067023A" w:rsidP="00750180">
                            <w:pPr>
                              <w:numPr>
                                <w:ilvl w:val="0"/>
                                <w:numId w:val="26"/>
                              </w:numPr>
                              <w:autoSpaceDE w:val="0"/>
                              <w:autoSpaceDN w:val="0"/>
                              <w:adjustRightInd w:val="0"/>
                              <w:spacing w:after="0" w:line="240" w:lineRule="auto"/>
                              <w:rPr>
                                <w:b/>
                                <w:i/>
                                <w:color w:val="31849B" w:themeColor="accent5" w:themeShade="BF"/>
                                <w:szCs w:val="20"/>
                              </w:rPr>
                            </w:pPr>
                            <w:r w:rsidRPr="00F67A53">
                              <w:rPr>
                                <w:b/>
                                <w:i/>
                                <w:color w:val="31849B" w:themeColor="accent5" w:themeShade="BF"/>
                                <w:szCs w:val="20"/>
                              </w:rPr>
                              <w:t>links, integrates and coordinates plans and takes into account proposals for the development of the municipality;</w:t>
                            </w:r>
                          </w:p>
                          <w:p w14:paraId="2D5E6CA3" w14:textId="77777777" w:rsidR="0067023A" w:rsidRPr="00F67A53" w:rsidRDefault="0067023A" w:rsidP="00750180">
                            <w:pPr>
                              <w:numPr>
                                <w:ilvl w:val="0"/>
                                <w:numId w:val="26"/>
                              </w:numPr>
                              <w:autoSpaceDE w:val="0"/>
                              <w:autoSpaceDN w:val="0"/>
                              <w:adjustRightInd w:val="0"/>
                              <w:spacing w:after="0" w:line="240" w:lineRule="auto"/>
                              <w:rPr>
                                <w:b/>
                                <w:i/>
                                <w:color w:val="31849B" w:themeColor="accent5" w:themeShade="BF"/>
                                <w:szCs w:val="20"/>
                              </w:rPr>
                            </w:pPr>
                            <w:r w:rsidRPr="00F67A53">
                              <w:rPr>
                                <w:b/>
                                <w:i/>
                                <w:color w:val="31849B" w:themeColor="accent5" w:themeShade="BF"/>
                                <w:szCs w:val="20"/>
                              </w:rPr>
                              <w:t>Aligns the resources and capacity of the municipality with the implementation of the plan;</w:t>
                            </w:r>
                          </w:p>
                          <w:p w14:paraId="1A7A7D70" w14:textId="77777777" w:rsidR="0067023A" w:rsidRPr="00F67A53" w:rsidRDefault="0067023A" w:rsidP="00750180">
                            <w:pPr>
                              <w:numPr>
                                <w:ilvl w:val="0"/>
                                <w:numId w:val="26"/>
                              </w:numPr>
                              <w:autoSpaceDE w:val="0"/>
                              <w:autoSpaceDN w:val="0"/>
                              <w:adjustRightInd w:val="0"/>
                              <w:spacing w:after="0" w:line="240" w:lineRule="auto"/>
                              <w:rPr>
                                <w:b/>
                                <w:i/>
                                <w:color w:val="31849B" w:themeColor="accent5" w:themeShade="BF"/>
                                <w:szCs w:val="20"/>
                              </w:rPr>
                            </w:pPr>
                            <w:r w:rsidRPr="00F67A53">
                              <w:rPr>
                                <w:b/>
                                <w:i/>
                                <w:color w:val="31849B" w:themeColor="accent5" w:themeShade="BF"/>
                                <w:szCs w:val="20"/>
                              </w:rPr>
                              <w:t>Complies with the provisions of this Chapter; and</w:t>
                            </w:r>
                          </w:p>
                          <w:p w14:paraId="682AEB75" w14:textId="77777777" w:rsidR="0067023A" w:rsidRPr="00F67A53" w:rsidRDefault="0067023A" w:rsidP="00750180">
                            <w:pPr>
                              <w:numPr>
                                <w:ilvl w:val="0"/>
                                <w:numId w:val="26"/>
                              </w:numPr>
                              <w:autoSpaceDE w:val="0"/>
                              <w:autoSpaceDN w:val="0"/>
                              <w:adjustRightInd w:val="0"/>
                              <w:spacing w:after="0" w:line="240" w:lineRule="auto"/>
                              <w:rPr>
                                <w:b/>
                                <w:i/>
                                <w:color w:val="31849B" w:themeColor="accent5" w:themeShade="BF"/>
                                <w:szCs w:val="20"/>
                              </w:rPr>
                            </w:pPr>
                            <w:r w:rsidRPr="00F67A53">
                              <w:rPr>
                                <w:b/>
                                <w:i/>
                                <w:color w:val="31849B" w:themeColor="accent5" w:themeShade="BF"/>
                                <w:szCs w:val="20"/>
                              </w:rPr>
                              <w:t>Is compatible with national and provincial development plans and planning requirements binding on the municipality in terms of relevant legislations.</w:t>
                            </w:r>
                          </w:p>
                          <w:p w14:paraId="5197C311" w14:textId="77777777" w:rsidR="0067023A" w:rsidRPr="00F67A53" w:rsidRDefault="0067023A" w:rsidP="006A2739">
                            <w:pPr>
                              <w:jc w:val="center"/>
                              <w:rPr>
                                <w:i/>
                                <w:sz w:val="1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B9D94F" id="Rounded Rectangle 1" o:spid="_x0000_s1026" style="position:absolute;left:0;text-align:left;margin-left:427.3pt;margin-top:-12.8pt;width:478.5pt;height:147pt;z-index:2516638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" fillcolor="white [3201]" strokecolor="#4f81bd [3204]" strokeweight="2pt">
                <v:textbox>
                  <w:txbxContent>
                    <w:p w14:paraId="01F2075B" w14:textId="77777777" w:rsidR="0067023A" w:rsidRPr="00F67A53" w:rsidRDefault="0067023A" w:rsidP="00F67A53">
                      <w:pPr>
                        <w:autoSpaceDE w:val="0"/>
                        <w:autoSpaceDN w:val="0"/>
                        <w:adjustRightInd w:val="0"/>
                        <w:spacing w:after="0" w:line="240" w:lineRule="auto"/>
                        <w:jc w:val="both"/>
                        <w:rPr>
                          <w:b/>
                          <w:i/>
                          <w:color w:val="31849B" w:themeColor="accent5" w:themeShade="BF"/>
                          <w:szCs w:val="20"/>
                        </w:rPr>
                      </w:pPr>
                      <w:r w:rsidRPr="00F67A53">
                        <w:rPr>
                          <w:b/>
                          <w:i/>
                          <w:color w:val="31849B" w:themeColor="accent5" w:themeShade="BF"/>
                          <w:szCs w:val="20"/>
                        </w:rPr>
                        <w:t>The adoption of the Integrated Development Plans is contemplated in terms of Chapter 5 (Section 25 (1)) of the Municipal Systems Act 32 of 2000 which provides that;</w:t>
                      </w:r>
                    </w:p>
                    <w:p w14:paraId="3D10CD87" w14:textId="77777777" w:rsidR="0067023A" w:rsidRPr="00F67A53" w:rsidRDefault="0067023A" w:rsidP="00F67A53">
                      <w:pPr>
                        <w:autoSpaceDE w:val="0"/>
                        <w:autoSpaceDN w:val="0"/>
                        <w:adjustRightInd w:val="0"/>
                        <w:spacing w:after="0" w:line="240" w:lineRule="auto"/>
                        <w:rPr>
                          <w:b/>
                          <w:i/>
                          <w:color w:val="31849B" w:themeColor="accent5" w:themeShade="BF"/>
                          <w:szCs w:val="20"/>
                        </w:rPr>
                      </w:pPr>
                      <w:r w:rsidRPr="00F67A53">
                        <w:rPr>
                          <w:b/>
                          <w:i/>
                          <w:color w:val="31849B" w:themeColor="accent5" w:themeShade="BF"/>
                          <w:szCs w:val="20"/>
                        </w:rPr>
                        <w:t>Each municipal council must, within a prescribed period after the start of its elected term, adopt a single, all inclusive and strategic plan for the development of the municipality which –</w:t>
                      </w:r>
                    </w:p>
                    <w:p w14:paraId="48A998F9" w14:textId="77777777" w:rsidR="0067023A" w:rsidRPr="00F67A53" w:rsidRDefault="0067023A" w:rsidP="00750180">
                      <w:pPr>
                        <w:numPr>
                          <w:ilvl w:val="0"/>
                          <w:numId w:val="26"/>
                        </w:numPr>
                        <w:autoSpaceDE w:val="0"/>
                        <w:autoSpaceDN w:val="0"/>
                        <w:adjustRightInd w:val="0"/>
                        <w:spacing w:after="0" w:line="240" w:lineRule="auto"/>
                        <w:rPr>
                          <w:b/>
                          <w:i/>
                          <w:color w:val="31849B" w:themeColor="accent5" w:themeShade="BF"/>
                          <w:szCs w:val="20"/>
                        </w:rPr>
                      </w:pPr>
                      <w:r w:rsidRPr="00F67A53">
                        <w:rPr>
                          <w:b/>
                          <w:i/>
                          <w:color w:val="31849B" w:themeColor="accent5" w:themeShade="BF"/>
                          <w:szCs w:val="20"/>
                        </w:rPr>
                        <w:t>links, integrates and coordinates plans and takes into account proposals for the development of the municipality;</w:t>
                      </w:r>
                    </w:p>
                    <w:p w14:paraId="2D5E6CA3" w14:textId="77777777" w:rsidR="0067023A" w:rsidRPr="00F67A53" w:rsidRDefault="0067023A" w:rsidP="00750180">
                      <w:pPr>
                        <w:numPr>
                          <w:ilvl w:val="0"/>
                          <w:numId w:val="26"/>
                        </w:numPr>
                        <w:autoSpaceDE w:val="0"/>
                        <w:autoSpaceDN w:val="0"/>
                        <w:adjustRightInd w:val="0"/>
                        <w:spacing w:after="0" w:line="240" w:lineRule="auto"/>
                        <w:rPr>
                          <w:b/>
                          <w:i/>
                          <w:color w:val="31849B" w:themeColor="accent5" w:themeShade="BF"/>
                          <w:szCs w:val="20"/>
                        </w:rPr>
                      </w:pPr>
                      <w:r w:rsidRPr="00F67A53">
                        <w:rPr>
                          <w:b/>
                          <w:i/>
                          <w:color w:val="31849B" w:themeColor="accent5" w:themeShade="BF"/>
                          <w:szCs w:val="20"/>
                        </w:rPr>
                        <w:t>Aligns the resources and capacity of the municipality with the implementation of the plan;</w:t>
                      </w:r>
                    </w:p>
                    <w:p w14:paraId="1A7A7D70" w14:textId="77777777" w:rsidR="0067023A" w:rsidRPr="00F67A53" w:rsidRDefault="0067023A" w:rsidP="00750180">
                      <w:pPr>
                        <w:numPr>
                          <w:ilvl w:val="0"/>
                          <w:numId w:val="26"/>
                        </w:numPr>
                        <w:autoSpaceDE w:val="0"/>
                        <w:autoSpaceDN w:val="0"/>
                        <w:adjustRightInd w:val="0"/>
                        <w:spacing w:after="0" w:line="240" w:lineRule="auto"/>
                        <w:rPr>
                          <w:b/>
                          <w:i/>
                          <w:color w:val="31849B" w:themeColor="accent5" w:themeShade="BF"/>
                          <w:szCs w:val="20"/>
                        </w:rPr>
                      </w:pPr>
                      <w:r w:rsidRPr="00F67A53">
                        <w:rPr>
                          <w:b/>
                          <w:i/>
                          <w:color w:val="31849B" w:themeColor="accent5" w:themeShade="BF"/>
                          <w:szCs w:val="20"/>
                        </w:rPr>
                        <w:t>Complies with the provisions of this Chapter; and</w:t>
                      </w:r>
                    </w:p>
                    <w:p w14:paraId="682AEB75" w14:textId="77777777" w:rsidR="0067023A" w:rsidRPr="00F67A53" w:rsidRDefault="0067023A" w:rsidP="00750180">
                      <w:pPr>
                        <w:numPr>
                          <w:ilvl w:val="0"/>
                          <w:numId w:val="26"/>
                        </w:numPr>
                        <w:autoSpaceDE w:val="0"/>
                        <w:autoSpaceDN w:val="0"/>
                        <w:adjustRightInd w:val="0"/>
                        <w:spacing w:after="0" w:line="240" w:lineRule="auto"/>
                        <w:rPr>
                          <w:b/>
                          <w:i/>
                          <w:color w:val="31849B" w:themeColor="accent5" w:themeShade="BF"/>
                          <w:szCs w:val="20"/>
                        </w:rPr>
                      </w:pPr>
                      <w:r w:rsidRPr="00F67A53">
                        <w:rPr>
                          <w:b/>
                          <w:i/>
                          <w:color w:val="31849B" w:themeColor="accent5" w:themeShade="BF"/>
                          <w:szCs w:val="20"/>
                        </w:rPr>
                        <w:t>Is compatible with national and provincial development plans and planning requirements binding on the municipality in terms of relevant legislations.</w:t>
                      </w:r>
                    </w:p>
                    <w:p w14:paraId="5197C311" w14:textId="77777777" w:rsidR="0067023A" w:rsidRPr="00F67A53" w:rsidRDefault="0067023A" w:rsidP="006A2739">
                      <w:pPr>
                        <w:jc w:val="center"/>
                        <w:rPr>
                          <w:i/>
                          <w:sz w:val="14"/>
                        </w:rPr>
                      </w:pPr>
                    </w:p>
                  </w:txbxContent>
                </v:textbox>
                <w10:wrap anchorx="margin"/>
              </v:roundrect>
            </w:pict>
          </mc:Fallback>
        </mc:AlternateContent>
      </w:r>
    </w:p>
    <w:p w14:paraId="55CC99DF" w14:textId="77777777" w:rsidR="006A2739" w:rsidRDefault="006A2739" w:rsidP="00395313">
      <w:pPr>
        <w:spacing w:after="0" w:line="288" w:lineRule="auto"/>
        <w:jc w:val="both"/>
        <w:rPr>
          <w:szCs w:val="20"/>
        </w:rPr>
      </w:pPr>
    </w:p>
    <w:p w14:paraId="2537D3DC" w14:textId="77777777" w:rsidR="006A2739" w:rsidRDefault="006A2739" w:rsidP="00395313">
      <w:pPr>
        <w:spacing w:after="0" w:line="288" w:lineRule="auto"/>
        <w:jc w:val="both"/>
        <w:rPr>
          <w:szCs w:val="20"/>
        </w:rPr>
      </w:pPr>
    </w:p>
    <w:p w14:paraId="69C75C36" w14:textId="77777777" w:rsidR="006A2739" w:rsidRDefault="006A2739" w:rsidP="00395313">
      <w:pPr>
        <w:spacing w:after="0" w:line="288" w:lineRule="auto"/>
        <w:jc w:val="both"/>
        <w:rPr>
          <w:szCs w:val="20"/>
        </w:rPr>
      </w:pPr>
    </w:p>
    <w:p w14:paraId="202973C9" w14:textId="77777777" w:rsidR="006A2739" w:rsidRDefault="006A2739" w:rsidP="00395313">
      <w:pPr>
        <w:spacing w:after="0" w:line="288" w:lineRule="auto"/>
        <w:jc w:val="both"/>
        <w:rPr>
          <w:szCs w:val="20"/>
        </w:rPr>
      </w:pPr>
    </w:p>
    <w:p w14:paraId="714BBCA2" w14:textId="77777777" w:rsidR="006A2739" w:rsidRDefault="006A2739" w:rsidP="00395313">
      <w:pPr>
        <w:spacing w:after="0" w:line="288" w:lineRule="auto"/>
        <w:jc w:val="both"/>
        <w:rPr>
          <w:szCs w:val="20"/>
        </w:rPr>
      </w:pPr>
    </w:p>
    <w:p w14:paraId="01909229" w14:textId="77777777" w:rsidR="006A2739" w:rsidRDefault="006A2739" w:rsidP="00395313">
      <w:pPr>
        <w:spacing w:after="0" w:line="288" w:lineRule="auto"/>
        <w:jc w:val="both"/>
        <w:rPr>
          <w:szCs w:val="20"/>
        </w:rPr>
      </w:pPr>
    </w:p>
    <w:p w14:paraId="2243D363" w14:textId="77777777" w:rsidR="006A2739" w:rsidRDefault="006A2739" w:rsidP="00395313">
      <w:pPr>
        <w:spacing w:after="0" w:line="288" w:lineRule="auto"/>
        <w:jc w:val="both"/>
        <w:rPr>
          <w:szCs w:val="20"/>
        </w:rPr>
      </w:pPr>
    </w:p>
    <w:p w14:paraId="1F11420D" w14:textId="77777777" w:rsidR="006A2739" w:rsidRDefault="006A2739" w:rsidP="00395313">
      <w:pPr>
        <w:spacing w:after="0" w:line="288" w:lineRule="auto"/>
        <w:jc w:val="both"/>
        <w:rPr>
          <w:szCs w:val="20"/>
        </w:rPr>
      </w:pPr>
    </w:p>
    <w:p w14:paraId="741FBDD4" w14:textId="77777777" w:rsidR="006A2739" w:rsidRDefault="006A2739" w:rsidP="00395313">
      <w:pPr>
        <w:spacing w:after="0" w:line="288" w:lineRule="auto"/>
        <w:jc w:val="both"/>
        <w:rPr>
          <w:szCs w:val="20"/>
        </w:rPr>
      </w:pPr>
    </w:p>
    <w:p w14:paraId="00C2730E" w14:textId="77777777" w:rsidR="00422523" w:rsidRPr="00D200EA" w:rsidRDefault="00200D05" w:rsidP="00750180">
      <w:pPr>
        <w:pStyle w:val="Heading2"/>
        <w:numPr>
          <w:ilvl w:val="2"/>
          <w:numId w:val="56"/>
        </w:numPr>
        <w:spacing w:after="240"/>
      </w:pPr>
      <w:bookmarkStart w:id="11" w:name="_Toc510706558"/>
      <w:r>
        <w:lastRenderedPageBreak/>
        <w:t xml:space="preserve">The IDP, </w:t>
      </w:r>
      <w:r w:rsidR="00422523" w:rsidRPr="00D200EA">
        <w:t>Budget</w:t>
      </w:r>
      <w:r>
        <w:t xml:space="preserve"> and PMS</w:t>
      </w:r>
      <w:r w:rsidR="00422523" w:rsidRPr="00D200EA">
        <w:t xml:space="preserve"> Process Plan</w:t>
      </w:r>
      <w:bookmarkEnd w:id="11"/>
    </w:p>
    <w:p w14:paraId="3EC493B6" w14:textId="77777777" w:rsidR="00E6009A" w:rsidRDefault="004833F4" w:rsidP="00D91A9F">
      <w:pPr>
        <w:autoSpaceDE w:val="0"/>
        <w:autoSpaceDN w:val="0"/>
        <w:adjustRightInd w:val="0"/>
        <w:jc w:val="both"/>
        <w:rPr>
          <w:szCs w:val="20"/>
        </w:rPr>
      </w:pPr>
      <w:r w:rsidRPr="00422523">
        <w:rPr>
          <w:szCs w:val="20"/>
        </w:rPr>
        <w:t xml:space="preserve">The Process Plan </w:t>
      </w:r>
      <w:r w:rsidR="00D33BDB" w:rsidRPr="00422523">
        <w:rPr>
          <w:szCs w:val="20"/>
        </w:rPr>
        <w:t xml:space="preserve">was prepared and adopted by Council </w:t>
      </w:r>
      <w:r w:rsidRPr="00422523">
        <w:rPr>
          <w:szCs w:val="20"/>
        </w:rPr>
        <w:t>as per</w:t>
      </w:r>
      <w:r w:rsidR="00D33BDB" w:rsidRPr="00422523">
        <w:rPr>
          <w:szCs w:val="20"/>
        </w:rPr>
        <w:t xml:space="preserve"> the requirements of the Municipal Systems Act (32 of 2000)</w:t>
      </w:r>
      <w:r w:rsidRPr="00422523">
        <w:rPr>
          <w:szCs w:val="20"/>
        </w:rPr>
        <w:t xml:space="preserve"> which mandates municipalities to review IDP</w:t>
      </w:r>
      <w:r w:rsidR="00D33BDB" w:rsidRPr="00422523">
        <w:rPr>
          <w:szCs w:val="20"/>
        </w:rPr>
        <w:t xml:space="preserve">. This process plan aligns the </w:t>
      </w:r>
      <w:r w:rsidRPr="00422523">
        <w:rPr>
          <w:szCs w:val="20"/>
        </w:rPr>
        <w:t>four</w:t>
      </w:r>
      <w:r w:rsidR="00D33BDB" w:rsidRPr="00422523">
        <w:rPr>
          <w:szCs w:val="20"/>
        </w:rPr>
        <w:t xml:space="preserve"> processes of the IDP, the </w:t>
      </w:r>
      <w:r w:rsidR="00703CE6" w:rsidRPr="00422523">
        <w:rPr>
          <w:szCs w:val="20"/>
        </w:rPr>
        <w:t>Budget,</w:t>
      </w:r>
      <w:r w:rsidRPr="00422523">
        <w:rPr>
          <w:szCs w:val="20"/>
        </w:rPr>
        <w:t xml:space="preserve"> SDBIP </w:t>
      </w:r>
      <w:r w:rsidR="00D33BDB" w:rsidRPr="00422523">
        <w:rPr>
          <w:szCs w:val="20"/>
        </w:rPr>
        <w:t>and the Performance Management System.</w:t>
      </w:r>
      <w:r w:rsidRPr="00422523">
        <w:rPr>
          <w:szCs w:val="20"/>
        </w:rPr>
        <w:t xml:space="preserve"> The purpose is to ensure that Local Communities</w:t>
      </w:r>
      <w:r w:rsidR="00296BE0">
        <w:rPr>
          <w:szCs w:val="20"/>
        </w:rPr>
        <w:t xml:space="preserve"> participated</w:t>
      </w:r>
      <w:r w:rsidRPr="00422523">
        <w:rPr>
          <w:szCs w:val="20"/>
        </w:rPr>
        <w:t xml:space="preserve"> in the Development, implementation and review of the municipal Performance.</w:t>
      </w:r>
      <w:r w:rsidR="00D33BDB" w:rsidRPr="00422523">
        <w:rPr>
          <w:szCs w:val="20"/>
        </w:rPr>
        <w:t xml:space="preserve"> </w:t>
      </w:r>
      <w:r w:rsidR="00A0221A" w:rsidRPr="00422523">
        <w:rPr>
          <w:szCs w:val="20"/>
        </w:rPr>
        <w:t>The 201</w:t>
      </w:r>
      <w:r w:rsidR="006810C8">
        <w:rPr>
          <w:szCs w:val="20"/>
        </w:rPr>
        <w:t>8</w:t>
      </w:r>
      <w:r w:rsidR="005940CC">
        <w:rPr>
          <w:szCs w:val="20"/>
        </w:rPr>
        <w:t>/1</w:t>
      </w:r>
      <w:r w:rsidR="006810C8">
        <w:rPr>
          <w:szCs w:val="20"/>
        </w:rPr>
        <w:t>9</w:t>
      </w:r>
      <w:r w:rsidRPr="00422523">
        <w:rPr>
          <w:szCs w:val="20"/>
        </w:rPr>
        <w:t xml:space="preserve"> </w:t>
      </w:r>
      <w:r w:rsidR="00D33BDB" w:rsidRPr="00422523">
        <w:rPr>
          <w:szCs w:val="20"/>
        </w:rPr>
        <w:t>Process</w:t>
      </w:r>
      <w:r w:rsidR="00D764CA">
        <w:rPr>
          <w:szCs w:val="20"/>
        </w:rPr>
        <w:t xml:space="preserve"> Plan was adopted by Council </w:t>
      </w:r>
      <w:r w:rsidR="00EF66AB">
        <w:rPr>
          <w:szCs w:val="20"/>
        </w:rPr>
        <w:t>on the 29</w:t>
      </w:r>
      <w:r w:rsidR="00EF66AB" w:rsidRPr="00EF66AB">
        <w:rPr>
          <w:szCs w:val="20"/>
          <w:vertAlign w:val="superscript"/>
        </w:rPr>
        <w:t>th</w:t>
      </w:r>
      <w:r w:rsidR="00EF66AB">
        <w:rPr>
          <w:szCs w:val="20"/>
        </w:rPr>
        <w:t xml:space="preserve"> of August 2017 (UMC 8/17/18)</w:t>
      </w:r>
      <w:r w:rsidR="00422523" w:rsidRPr="00422523">
        <w:rPr>
          <w:szCs w:val="20"/>
        </w:rPr>
        <w:t>. The</w:t>
      </w:r>
      <w:r w:rsidR="00EF66AB">
        <w:rPr>
          <w:szCs w:val="20"/>
        </w:rPr>
        <w:t xml:space="preserve"> 2018/19</w:t>
      </w:r>
      <w:r w:rsidR="00422523" w:rsidRPr="00422523">
        <w:rPr>
          <w:szCs w:val="20"/>
        </w:rPr>
        <w:t xml:space="preserve"> IDP and Budget Process Plan </w:t>
      </w:r>
      <w:r w:rsidR="00EF66AB">
        <w:rPr>
          <w:szCs w:val="20"/>
        </w:rPr>
        <w:t>encompasses</w:t>
      </w:r>
      <w:r w:rsidR="00422523" w:rsidRPr="00422523">
        <w:rPr>
          <w:szCs w:val="20"/>
        </w:rPr>
        <w:t xml:space="preserve"> the following:</w:t>
      </w:r>
    </w:p>
    <w:p w14:paraId="16638CBB" w14:textId="77777777" w:rsidR="00422523" w:rsidRDefault="00422523" w:rsidP="00750180">
      <w:pPr>
        <w:numPr>
          <w:ilvl w:val="0"/>
          <w:numId w:val="27"/>
        </w:numPr>
        <w:autoSpaceDE w:val="0"/>
        <w:autoSpaceDN w:val="0"/>
        <w:adjustRightInd w:val="0"/>
        <w:spacing w:after="0" w:line="360" w:lineRule="auto"/>
        <w:jc w:val="both"/>
        <w:rPr>
          <w:szCs w:val="20"/>
        </w:rPr>
      </w:pPr>
      <w:r w:rsidRPr="00422523">
        <w:rPr>
          <w:szCs w:val="20"/>
        </w:rPr>
        <w:t xml:space="preserve">A </w:t>
      </w:r>
      <w:r w:rsidR="00997657">
        <w:rPr>
          <w:szCs w:val="20"/>
        </w:rPr>
        <w:t>program</w:t>
      </w:r>
      <w:r w:rsidRPr="00422523">
        <w:rPr>
          <w:szCs w:val="20"/>
        </w:rPr>
        <w:t xml:space="preserve"> specifying the timeframes for the different planning steps;</w:t>
      </w:r>
    </w:p>
    <w:p w14:paraId="041A9830" w14:textId="77777777" w:rsidR="00E6009A" w:rsidRPr="00422523" w:rsidRDefault="00E6009A" w:rsidP="00750180">
      <w:pPr>
        <w:numPr>
          <w:ilvl w:val="0"/>
          <w:numId w:val="27"/>
        </w:numPr>
        <w:autoSpaceDE w:val="0"/>
        <w:autoSpaceDN w:val="0"/>
        <w:adjustRightInd w:val="0"/>
        <w:spacing w:after="0" w:line="360" w:lineRule="auto"/>
        <w:jc w:val="both"/>
        <w:rPr>
          <w:szCs w:val="20"/>
        </w:rPr>
      </w:pPr>
      <w:r>
        <w:rPr>
          <w:szCs w:val="20"/>
        </w:rPr>
        <w:t>The structures that will manage the process;</w:t>
      </w:r>
    </w:p>
    <w:p w14:paraId="0B4D0A09" w14:textId="77777777" w:rsidR="00422523" w:rsidRPr="00422523" w:rsidRDefault="00422523" w:rsidP="00750180">
      <w:pPr>
        <w:numPr>
          <w:ilvl w:val="0"/>
          <w:numId w:val="27"/>
        </w:numPr>
        <w:autoSpaceDE w:val="0"/>
        <w:autoSpaceDN w:val="0"/>
        <w:adjustRightInd w:val="0"/>
        <w:spacing w:after="0" w:line="360" w:lineRule="auto"/>
        <w:jc w:val="both"/>
        <w:rPr>
          <w:szCs w:val="20"/>
        </w:rPr>
      </w:pPr>
      <w:r w:rsidRPr="00422523">
        <w:rPr>
          <w:szCs w:val="20"/>
        </w:rPr>
        <w:t>Appropriate mechanisms, processes and procedures for consultation and participation of local communities, organs of state, traditional authorities and other role players in the IDP review and budget formulation processes; and</w:t>
      </w:r>
    </w:p>
    <w:p w14:paraId="2586AF46" w14:textId="77777777" w:rsidR="003B7BBF" w:rsidRDefault="00422523" w:rsidP="00750180">
      <w:pPr>
        <w:numPr>
          <w:ilvl w:val="0"/>
          <w:numId w:val="27"/>
        </w:numPr>
        <w:autoSpaceDE w:val="0"/>
        <w:autoSpaceDN w:val="0"/>
        <w:adjustRightInd w:val="0"/>
        <w:spacing w:after="0" w:line="360" w:lineRule="auto"/>
        <w:jc w:val="both"/>
        <w:rPr>
          <w:szCs w:val="20"/>
        </w:rPr>
      </w:pPr>
      <w:r w:rsidRPr="00EE77CC">
        <w:rPr>
          <w:szCs w:val="20"/>
        </w:rPr>
        <w:t>Cost estimates for the review process.</w:t>
      </w:r>
    </w:p>
    <w:p w14:paraId="3AFEC627" w14:textId="77777777" w:rsidR="00E6009A" w:rsidRPr="001E7668" w:rsidRDefault="001E7668" w:rsidP="00750180">
      <w:pPr>
        <w:pStyle w:val="Heading3"/>
        <w:numPr>
          <w:ilvl w:val="2"/>
          <w:numId w:val="56"/>
        </w:numPr>
        <w:spacing w:after="240"/>
      </w:pPr>
      <w:r w:rsidRPr="001E7668">
        <w:t xml:space="preserve"> </w:t>
      </w:r>
      <w:bookmarkStart w:id="12" w:name="_Toc510706559"/>
      <w:r w:rsidRPr="001E7668">
        <w:t>Participation</w:t>
      </w:r>
      <w:bookmarkEnd w:id="12"/>
    </w:p>
    <w:p w14:paraId="5B04A912" w14:textId="77777777" w:rsidR="005164C2" w:rsidRPr="00296BE0" w:rsidRDefault="005164C2" w:rsidP="00395313">
      <w:pPr>
        <w:autoSpaceDE w:val="0"/>
        <w:autoSpaceDN w:val="0"/>
        <w:adjustRightInd w:val="0"/>
        <w:spacing w:after="0" w:line="360" w:lineRule="auto"/>
        <w:jc w:val="both"/>
        <w:rPr>
          <w:rFonts w:asciiTheme="minorHAnsi" w:eastAsia="Times New Roman" w:hAnsiTheme="minorHAnsi" w:cstheme="minorHAnsi"/>
          <w:bCs/>
        </w:rPr>
      </w:pPr>
      <w:r w:rsidRPr="00296BE0">
        <w:rPr>
          <w:rFonts w:asciiTheme="minorHAnsi" w:eastAsia="Times New Roman" w:hAnsiTheme="minorHAnsi" w:cstheme="minorHAnsi"/>
          <w:bCs/>
        </w:rPr>
        <w:t>In order to ensure the uMlalazi Municipality achieves effective inclusion within the process of developing the IDP and Budget, the municipality utilizes the following mechanisms as required in terms of Chapter 4 of the Municipal Systems Act 32 of 2000;</w:t>
      </w:r>
    </w:p>
    <w:p w14:paraId="5CD70EC0" w14:textId="77777777" w:rsidR="005164C2" w:rsidRPr="00296BE0" w:rsidRDefault="005164C2" w:rsidP="00750180">
      <w:pPr>
        <w:pStyle w:val="ListParagraph"/>
        <w:numPr>
          <w:ilvl w:val="0"/>
          <w:numId w:val="28"/>
        </w:numPr>
        <w:autoSpaceDE w:val="0"/>
        <w:autoSpaceDN w:val="0"/>
        <w:adjustRightInd w:val="0"/>
        <w:spacing w:after="0" w:line="240" w:lineRule="auto"/>
        <w:jc w:val="both"/>
        <w:rPr>
          <w:rFonts w:asciiTheme="minorHAnsi" w:eastAsia="Times New Roman" w:hAnsiTheme="minorHAnsi" w:cstheme="minorHAnsi"/>
          <w:bCs/>
        </w:rPr>
      </w:pPr>
      <w:r w:rsidRPr="00296BE0">
        <w:rPr>
          <w:rFonts w:asciiTheme="minorHAnsi" w:eastAsia="Times New Roman" w:hAnsiTheme="minorHAnsi" w:cstheme="minorHAnsi"/>
          <w:bCs/>
        </w:rPr>
        <w:t>Public Notices and/or Loud Hailing</w:t>
      </w:r>
    </w:p>
    <w:p w14:paraId="415DB537" w14:textId="77777777" w:rsidR="005164C2" w:rsidRPr="00296BE0" w:rsidRDefault="005164C2" w:rsidP="00750180">
      <w:pPr>
        <w:pStyle w:val="ListParagraph"/>
        <w:numPr>
          <w:ilvl w:val="0"/>
          <w:numId w:val="28"/>
        </w:numPr>
        <w:autoSpaceDE w:val="0"/>
        <w:autoSpaceDN w:val="0"/>
        <w:adjustRightInd w:val="0"/>
        <w:spacing w:after="0" w:line="240" w:lineRule="auto"/>
        <w:jc w:val="both"/>
        <w:rPr>
          <w:rFonts w:asciiTheme="minorHAnsi" w:eastAsia="Times New Roman" w:hAnsiTheme="minorHAnsi" w:cstheme="minorHAnsi"/>
          <w:bCs/>
        </w:rPr>
      </w:pPr>
      <w:r w:rsidRPr="00296BE0">
        <w:rPr>
          <w:rFonts w:asciiTheme="minorHAnsi" w:eastAsia="Times New Roman" w:hAnsiTheme="minorHAnsi" w:cstheme="minorHAnsi"/>
          <w:bCs/>
        </w:rPr>
        <w:t>Roadshows</w:t>
      </w:r>
    </w:p>
    <w:p w14:paraId="42FDD42D" w14:textId="77777777" w:rsidR="005164C2" w:rsidRPr="00296BE0" w:rsidRDefault="005164C2" w:rsidP="00750180">
      <w:pPr>
        <w:pStyle w:val="ListParagraph"/>
        <w:numPr>
          <w:ilvl w:val="0"/>
          <w:numId w:val="28"/>
        </w:numPr>
        <w:autoSpaceDE w:val="0"/>
        <w:autoSpaceDN w:val="0"/>
        <w:adjustRightInd w:val="0"/>
        <w:spacing w:after="0" w:line="240" w:lineRule="auto"/>
        <w:jc w:val="both"/>
        <w:rPr>
          <w:rFonts w:asciiTheme="minorHAnsi" w:eastAsia="Times New Roman" w:hAnsiTheme="minorHAnsi" w:cstheme="minorHAnsi"/>
          <w:bCs/>
        </w:rPr>
      </w:pPr>
      <w:r w:rsidRPr="00296BE0">
        <w:rPr>
          <w:rFonts w:asciiTheme="minorHAnsi" w:eastAsia="Times New Roman" w:hAnsiTheme="minorHAnsi" w:cstheme="minorHAnsi"/>
          <w:bCs/>
        </w:rPr>
        <w:t>Advertisements</w:t>
      </w:r>
    </w:p>
    <w:p w14:paraId="1EC189FB" w14:textId="77777777" w:rsidR="00BC424B" w:rsidRDefault="005164C2" w:rsidP="00750180">
      <w:pPr>
        <w:pStyle w:val="ListParagraph"/>
        <w:numPr>
          <w:ilvl w:val="0"/>
          <w:numId w:val="28"/>
        </w:numPr>
        <w:autoSpaceDE w:val="0"/>
        <w:autoSpaceDN w:val="0"/>
        <w:adjustRightInd w:val="0"/>
        <w:spacing w:after="0" w:line="240" w:lineRule="auto"/>
        <w:jc w:val="both"/>
        <w:rPr>
          <w:rFonts w:asciiTheme="minorHAnsi" w:eastAsia="Times New Roman" w:hAnsiTheme="minorHAnsi" w:cstheme="minorHAnsi"/>
          <w:bCs/>
        </w:rPr>
      </w:pPr>
      <w:r w:rsidRPr="00296BE0">
        <w:rPr>
          <w:rFonts w:asciiTheme="minorHAnsi" w:eastAsia="Times New Roman" w:hAnsiTheme="minorHAnsi" w:cstheme="minorHAnsi"/>
          <w:bCs/>
        </w:rPr>
        <w:t>Newsletters</w:t>
      </w:r>
    </w:p>
    <w:p w14:paraId="01D72E8A" w14:textId="77777777" w:rsidR="00D91A9F" w:rsidRDefault="00D91A9F" w:rsidP="00750180">
      <w:pPr>
        <w:pStyle w:val="ListParagraph"/>
        <w:numPr>
          <w:ilvl w:val="0"/>
          <w:numId w:val="28"/>
        </w:numPr>
        <w:autoSpaceDE w:val="0"/>
        <w:autoSpaceDN w:val="0"/>
        <w:adjustRightInd w:val="0"/>
        <w:spacing w:after="0" w:line="240" w:lineRule="auto"/>
        <w:jc w:val="both"/>
        <w:rPr>
          <w:rFonts w:asciiTheme="minorHAnsi" w:eastAsia="Times New Roman" w:hAnsiTheme="minorHAnsi" w:cstheme="minorHAnsi"/>
          <w:bCs/>
        </w:rPr>
      </w:pPr>
      <w:r>
        <w:rPr>
          <w:rFonts w:asciiTheme="minorHAnsi" w:eastAsia="Times New Roman" w:hAnsiTheme="minorHAnsi" w:cstheme="minorHAnsi"/>
          <w:bCs/>
        </w:rPr>
        <w:t>Social Media</w:t>
      </w:r>
    </w:p>
    <w:p w14:paraId="37211B22" w14:textId="77777777" w:rsidR="00D91A9F" w:rsidRPr="00D91A9F" w:rsidRDefault="00D91A9F" w:rsidP="00750180">
      <w:pPr>
        <w:pStyle w:val="ListParagraph"/>
        <w:numPr>
          <w:ilvl w:val="0"/>
          <w:numId w:val="28"/>
        </w:numPr>
        <w:autoSpaceDE w:val="0"/>
        <w:autoSpaceDN w:val="0"/>
        <w:adjustRightInd w:val="0"/>
        <w:spacing w:after="0" w:line="240" w:lineRule="auto"/>
        <w:jc w:val="both"/>
        <w:rPr>
          <w:rFonts w:asciiTheme="minorHAnsi" w:eastAsia="Times New Roman" w:hAnsiTheme="minorHAnsi" w:cstheme="minorHAnsi"/>
          <w:bCs/>
        </w:rPr>
      </w:pPr>
      <w:r>
        <w:rPr>
          <w:rFonts w:asciiTheme="minorHAnsi" w:eastAsia="Times New Roman" w:hAnsiTheme="minorHAnsi" w:cstheme="minorHAnsi"/>
          <w:bCs/>
        </w:rPr>
        <w:t>Radio Stations</w:t>
      </w:r>
    </w:p>
    <w:p w14:paraId="0C1AA745" w14:textId="77777777" w:rsidR="00D91A9F" w:rsidRPr="002F62F0" w:rsidRDefault="00D91A9F" w:rsidP="00D91A9F">
      <w:pPr>
        <w:pStyle w:val="ListParagraph"/>
        <w:autoSpaceDE w:val="0"/>
        <w:autoSpaceDN w:val="0"/>
        <w:adjustRightInd w:val="0"/>
        <w:spacing w:after="0" w:line="240" w:lineRule="auto"/>
        <w:jc w:val="both"/>
        <w:rPr>
          <w:rFonts w:asciiTheme="minorHAnsi" w:eastAsia="Times New Roman" w:hAnsiTheme="minorHAnsi" w:cstheme="minorHAnsi"/>
          <w:bCs/>
        </w:rPr>
      </w:pPr>
    </w:p>
    <w:p w14:paraId="758FCA38" w14:textId="77777777" w:rsidR="005164C2" w:rsidRPr="002F62F0" w:rsidRDefault="00BC424B" w:rsidP="00750180">
      <w:pPr>
        <w:pStyle w:val="Heading3"/>
        <w:numPr>
          <w:ilvl w:val="2"/>
          <w:numId w:val="56"/>
        </w:numPr>
        <w:spacing w:after="240"/>
      </w:pPr>
      <w:bookmarkStart w:id="13" w:name="_Toc510706560"/>
      <w:r w:rsidRPr="002F62F0">
        <w:t>Community Based Planning</w:t>
      </w:r>
      <w:bookmarkEnd w:id="13"/>
    </w:p>
    <w:p w14:paraId="284DC37A" w14:textId="77777777" w:rsidR="00BC424B" w:rsidRPr="00FF0EE3" w:rsidRDefault="00FF0EE3" w:rsidP="00BC424B">
      <w:pPr>
        <w:autoSpaceDE w:val="0"/>
        <w:autoSpaceDN w:val="0"/>
        <w:adjustRightInd w:val="0"/>
        <w:spacing w:after="0" w:line="360" w:lineRule="auto"/>
        <w:jc w:val="both"/>
        <w:rPr>
          <w:rFonts w:asciiTheme="minorHAnsi" w:eastAsia="Times New Roman" w:hAnsiTheme="minorHAnsi" w:cstheme="minorHAnsi"/>
          <w:bCs/>
        </w:rPr>
      </w:pPr>
      <w:r w:rsidRPr="00FF0EE3">
        <w:rPr>
          <w:rFonts w:asciiTheme="minorHAnsi" w:eastAsia="Times New Roman" w:hAnsiTheme="minorHAnsi" w:cstheme="minorHAnsi"/>
          <w:bCs/>
        </w:rPr>
        <w:t>As</w:t>
      </w:r>
      <w:r w:rsidR="00BC424B" w:rsidRPr="00FF0EE3">
        <w:rPr>
          <w:rFonts w:asciiTheme="minorHAnsi" w:eastAsia="Times New Roman" w:hAnsiTheme="minorHAnsi" w:cstheme="minorHAnsi"/>
          <w:bCs/>
        </w:rPr>
        <w:t xml:space="preserve"> part of the </w:t>
      </w:r>
      <w:r w:rsidRPr="00FF0EE3">
        <w:rPr>
          <w:rFonts w:asciiTheme="minorHAnsi" w:eastAsia="Times New Roman" w:hAnsiTheme="minorHAnsi" w:cstheme="minorHAnsi"/>
          <w:bCs/>
        </w:rPr>
        <w:t>review process of thi</w:t>
      </w:r>
      <w:r w:rsidR="00BC424B" w:rsidRPr="00FF0EE3">
        <w:rPr>
          <w:rFonts w:asciiTheme="minorHAnsi" w:eastAsia="Times New Roman" w:hAnsiTheme="minorHAnsi" w:cstheme="minorHAnsi"/>
          <w:bCs/>
        </w:rPr>
        <w:t xml:space="preserve"> ID</w:t>
      </w:r>
      <w:r w:rsidRPr="00FF0EE3">
        <w:rPr>
          <w:rFonts w:asciiTheme="minorHAnsi" w:eastAsia="Times New Roman" w:hAnsiTheme="minorHAnsi" w:cstheme="minorHAnsi"/>
          <w:bCs/>
        </w:rPr>
        <w:t>P and Budget</w:t>
      </w:r>
      <w:r w:rsidR="00BC424B" w:rsidRPr="00FF0EE3">
        <w:rPr>
          <w:rFonts w:asciiTheme="minorHAnsi" w:eastAsia="Times New Roman" w:hAnsiTheme="minorHAnsi" w:cstheme="minorHAnsi"/>
          <w:bCs/>
        </w:rPr>
        <w:t xml:space="preserve">, </w:t>
      </w:r>
      <w:r w:rsidRPr="00FF0EE3">
        <w:rPr>
          <w:rFonts w:asciiTheme="minorHAnsi" w:eastAsia="Times New Roman" w:hAnsiTheme="minorHAnsi" w:cstheme="minorHAnsi"/>
          <w:bCs/>
        </w:rPr>
        <w:t xml:space="preserve">and in compliance with the MSA 2000 and MFMA 2003, </w:t>
      </w:r>
      <w:r w:rsidR="00BC424B" w:rsidRPr="00FF0EE3">
        <w:rPr>
          <w:rFonts w:asciiTheme="minorHAnsi" w:eastAsia="Times New Roman" w:hAnsiTheme="minorHAnsi" w:cstheme="minorHAnsi"/>
          <w:bCs/>
        </w:rPr>
        <w:t xml:space="preserve">the municipality </w:t>
      </w:r>
      <w:r w:rsidRPr="00FF0EE3">
        <w:rPr>
          <w:rFonts w:asciiTheme="minorHAnsi" w:eastAsia="Times New Roman" w:hAnsiTheme="minorHAnsi" w:cstheme="minorHAnsi"/>
          <w:bCs/>
        </w:rPr>
        <w:t>conducted a Community Based Planning process in the form of IDP/Budget Roadshows</w:t>
      </w:r>
      <w:r w:rsidR="00BC424B" w:rsidRPr="00FF0EE3">
        <w:rPr>
          <w:rFonts w:asciiTheme="minorHAnsi" w:eastAsia="Times New Roman" w:hAnsiTheme="minorHAnsi" w:cstheme="minorHAnsi"/>
          <w:bCs/>
        </w:rPr>
        <w:t>, so as to re-affirm service delivery needs and the municipality’s commitment to service delivery and effective public participation. This process</w:t>
      </w:r>
      <w:r w:rsidRPr="00FF0EE3">
        <w:rPr>
          <w:rFonts w:asciiTheme="minorHAnsi" w:eastAsia="Times New Roman" w:hAnsiTheme="minorHAnsi" w:cstheme="minorHAnsi"/>
          <w:bCs/>
        </w:rPr>
        <w:t xml:space="preserve"> also</w:t>
      </w:r>
      <w:r w:rsidR="00BC424B" w:rsidRPr="00FF0EE3">
        <w:rPr>
          <w:rFonts w:asciiTheme="minorHAnsi" w:eastAsia="Times New Roman" w:hAnsiTheme="minorHAnsi" w:cstheme="minorHAnsi"/>
          <w:bCs/>
        </w:rPr>
        <w:t xml:space="preserve"> aims at ensuring th</w:t>
      </w:r>
      <w:r w:rsidR="00732A7C" w:rsidRPr="00FF0EE3">
        <w:rPr>
          <w:rFonts w:asciiTheme="minorHAnsi" w:eastAsia="Times New Roman" w:hAnsiTheme="minorHAnsi" w:cstheme="minorHAnsi"/>
          <w:bCs/>
        </w:rPr>
        <w:t>at the Batho Pele principles</w:t>
      </w:r>
      <w:r w:rsidR="00BC424B" w:rsidRPr="00FF0EE3">
        <w:rPr>
          <w:rFonts w:asciiTheme="minorHAnsi" w:eastAsia="Times New Roman" w:hAnsiTheme="minorHAnsi" w:cstheme="minorHAnsi"/>
          <w:bCs/>
        </w:rPr>
        <w:t xml:space="preserve"> remain the priority of the municipality, while incorporating Back to Basic Strategy and Community Based Planning.</w:t>
      </w:r>
    </w:p>
    <w:tbl>
      <w:tblPr>
        <w:tblStyle w:val="TableGrid26"/>
        <w:tblW w:w="10145" w:type="dxa"/>
        <w:tblLook w:val="04A0" w:firstRow="1" w:lastRow="0" w:firstColumn="1" w:lastColumn="0" w:noHBand="0" w:noVBand="1"/>
      </w:tblPr>
      <w:tblGrid>
        <w:gridCol w:w="846"/>
        <w:gridCol w:w="1843"/>
        <w:gridCol w:w="3118"/>
        <w:gridCol w:w="4338"/>
      </w:tblGrid>
      <w:tr w:rsidR="00B73063" w:rsidRPr="00B73063" w14:paraId="3F348C30" w14:textId="77777777" w:rsidTr="00B73063">
        <w:trPr>
          <w:trHeight w:val="89"/>
        </w:trPr>
        <w:tc>
          <w:tcPr>
            <w:tcW w:w="846" w:type="dxa"/>
            <w:shd w:val="clear" w:color="auto" w:fill="595959"/>
          </w:tcPr>
          <w:p w14:paraId="4A50DFFC" w14:textId="77777777" w:rsidR="00B73063" w:rsidRPr="00B73063" w:rsidRDefault="00B73063" w:rsidP="00B73063">
            <w:pPr>
              <w:tabs>
                <w:tab w:val="left" w:pos="877"/>
              </w:tabs>
              <w:spacing w:after="160" w:line="259" w:lineRule="auto"/>
              <w:outlineLvl w:val="0"/>
              <w:rPr>
                <w:rFonts w:cs="Calibri"/>
                <w:b/>
                <w:bCs/>
                <w:color w:val="FFFFFF"/>
                <w:lang w:val="en-ZA"/>
              </w:rPr>
            </w:pPr>
            <w:r w:rsidRPr="00B73063">
              <w:rPr>
                <w:rFonts w:cs="Calibri"/>
                <w:b/>
                <w:bCs/>
                <w:color w:val="FFFFFF"/>
                <w:lang w:val="en-ZA"/>
              </w:rPr>
              <w:t>Cluster</w:t>
            </w:r>
          </w:p>
        </w:tc>
        <w:tc>
          <w:tcPr>
            <w:tcW w:w="1843" w:type="dxa"/>
            <w:shd w:val="clear" w:color="auto" w:fill="595959"/>
          </w:tcPr>
          <w:p w14:paraId="1BAD9706" w14:textId="77777777" w:rsidR="00B73063" w:rsidRPr="00B73063" w:rsidRDefault="00B73063" w:rsidP="00B73063">
            <w:pPr>
              <w:tabs>
                <w:tab w:val="left" w:pos="877"/>
              </w:tabs>
              <w:spacing w:after="160" w:line="259" w:lineRule="auto"/>
              <w:outlineLvl w:val="0"/>
              <w:rPr>
                <w:rFonts w:cs="Calibri"/>
                <w:b/>
                <w:bCs/>
                <w:color w:val="FFFFFF"/>
                <w:lang w:val="en-ZA"/>
              </w:rPr>
            </w:pPr>
            <w:r w:rsidRPr="00B73063">
              <w:rPr>
                <w:rFonts w:cs="Calibri"/>
                <w:b/>
                <w:bCs/>
                <w:color w:val="FFFFFF"/>
                <w:lang w:val="en-ZA"/>
              </w:rPr>
              <w:t xml:space="preserve">Date </w:t>
            </w:r>
          </w:p>
        </w:tc>
        <w:tc>
          <w:tcPr>
            <w:tcW w:w="3118" w:type="dxa"/>
            <w:shd w:val="clear" w:color="auto" w:fill="595959"/>
          </w:tcPr>
          <w:p w14:paraId="6D8777CD" w14:textId="77777777" w:rsidR="00B73063" w:rsidRPr="00B73063" w:rsidRDefault="00B73063" w:rsidP="00B73063">
            <w:pPr>
              <w:tabs>
                <w:tab w:val="left" w:pos="877"/>
              </w:tabs>
              <w:spacing w:after="160" w:line="259" w:lineRule="auto"/>
              <w:outlineLvl w:val="0"/>
              <w:rPr>
                <w:rFonts w:cs="Calibri"/>
                <w:b/>
                <w:bCs/>
                <w:color w:val="FFFFFF"/>
                <w:lang w:val="en-ZA"/>
              </w:rPr>
            </w:pPr>
            <w:r w:rsidRPr="00B73063">
              <w:rPr>
                <w:rFonts w:cs="Calibri"/>
                <w:b/>
                <w:bCs/>
                <w:color w:val="FFFFFF"/>
                <w:lang w:val="en-ZA"/>
              </w:rPr>
              <w:t xml:space="preserve">Wards </w:t>
            </w:r>
          </w:p>
        </w:tc>
        <w:tc>
          <w:tcPr>
            <w:tcW w:w="4338" w:type="dxa"/>
            <w:shd w:val="clear" w:color="auto" w:fill="595959"/>
          </w:tcPr>
          <w:p w14:paraId="010BDD47" w14:textId="77777777" w:rsidR="00B73063" w:rsidRPr="00B73063" w:rsidRDefault="00B73063" w:rsidP="00B73063">
            <w:pPr>
              <w:tabs>
                <w:tab w:val="left" w:pos="877"/>
              </w:tabs>
              <w:spacing w:after="160" w:line="259" w:lineRule="auto"/>
              <w:outlineLvl w:val="0"/>
              <w:rPr>
                <w:rFonts w:cs="Calibri"/>
                <w:b/>
                <w:bCs/>
                <w:color w:val="FFFFFF"/>
                <w:lang w:val="en-ZA"/>
              </w:rPr>
            </w:pPr>
            <w:r w:rsidRPr="00B73063">
              <w:rPr>
                <w:rFonts w:cs="Calibri"/>
                <w:b/>
                <w:bCs/>
                <w:color w:val="FFFFFF"/>
                <w:lang w:val="en-ZA"/>
              </w:rPr>
              <w:t xml:space="preserve">Venue </w:t>
            </w:r>
          </w:p>
        </w:tc>
      </w:tr>
      <w:tr w:rsidR="00B73063" w:rsidRPr="00B73063" w14:paraId="283AE4FC" w14:textId="77777777" w:rsidTr="009259F3">
        <w:trPr>
          <w:trHeight w:val="87"/>
        </w:trPr>
        <w:tc>
          <w:tcPr>
            <w:tcW w:w="846" w:type="dxa"/>
          </w:tcPr>
          <w:p w14:paraId="5DF2EB66"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1</w:t>
            </w:r>
          </w:p>
        </w:tc>
        <w:tc>
          <w:tcPr>
            <w:tcW w:w="1843" w:type="dxa"/>
          </w:tcPr>
          <w:p w14:paraId="4B3D84D1"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24 October 2017</w:t>
            </w:r>
          </w:p>
        </w:tc>
        <w:tc>
          <w:tcPr>
            <w:tcW w:w="3118" w:type="dxa"/>
          </w:tcPr>
          <w:p w14:paraId="121D1AD3"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Wards (15, 16, 17, 18 &amp; 19)</w:t>
            </w:r>
          </w:p>
        </w:tc>
        <w:tc>
          <w:tcPr>
            <w:tcW w:w="4338" w:type="dxa"/>
          </w:tcPr>
          <w:p w14:paraId="019ABC6A"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Gingindlovu Town Hall</w:t>
            </w:r>
          </w:p>
        </w:tc>
      </w:tr>
      <w:tr w:rsidR="00B73063" w:rsidRPr="00B73063" w14:paraId="1EC26586" w14:textId="77777777" w:rsidTr="009259F3">
        <w:trPr>
          <w:trHeight w:val="89"/>
        </w:trPr>
        <w:tc>
          <w:tcPr>
            <w:tcW w:w="846" w:type="dxa"/>
          </w:tcPr>
          <w:p w14:paraId="766F4D0B"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2</w:t>
            </w:r>
          </w:p>
        </w:tc>
        <w:tc>
          <w:tcPr>
            <w:tcW w:w="1843" w:type="dxa"/>
          </w:tcPr>
          <w:p w14:paraId="26EB9EDD"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16 November 2017</w:t>
            </w:r>
          </w:p>
        </w:tc>
        <w:tc>
          <w:tcPr>
            <w:tcW w:w="3118" w:type="dxa"/>
          </w:tcPr>
          <w:p w14:paraId="383A49E5"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Wards (20, 21 &amp; 22)</w:t>
            </w:r>
          </w:p>
        </w:tc>
        <w:tc>
          <w:tcPr>
            <w:tcW w:w="4338" w:type="dxa"/>
          </w:tcPr>
          <w:p w14:paraId="2F31A637"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KwaGolela Sports Field</w:t>
            </w:r>
          </w:p>
        </w:tc>
      </w:tr>
      <w:tr w:rsidR="00B73063" w:rsidRPr="00B73063" w14:paraId="7F3D64CA" w14:textId="77777777" w:rsidTr="009259F3">
        <w:trPr>
          <w:trHeight w:val="87"/>
        </w:trPr>
        <w:tc>
          <w:tcPr>
            <w:tcW w:w="846" w:type="dxa"/>
          </w:tcPr>
          <w:p w14:paraId="22BD7B7B"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3</w:t>
            </w:r>
          </w:p>
        </w:tc>
        <w:tc>
          <w:tcPr>
            <w:tcW w:w="1843" w:type="dxa"/>
          </w:tcPr>
          <w:p w14:paraId="5A36E131"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31 October 2017</w:t>
            </w:r>
          </w:p>
        </w:tc>
        <w:tc>
          <w:tcPr>
            <w:tcW w:w="3118" w:type="dxa"/>
          </w:tcPr>
          <w:p w14:paraId="066A07E5"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 xml:space="preserve">Wards (9, 10, 26 &amp; 27) </w:t>
            </w:r>
          </w:p>
        </w:tc>
        <w:tc>
          <w:tcPr>
            <w:tcW w:w="4338" w:type="dxa"/>
          </w:tcPr>
          <w:p w14:paraId="2CBD8FAB"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Nkume Sports Field (Joint IDP R/Shows)</w:t>
            </w:r>
          </w:p>
        </w:tc>
      </w:tr>
      <w:tr w:rsidR="00B73063" w:rsidRPr="00B73063" w14:paraId="687ABA09" w14:textId="77777777" w:rsidTr="009259F3">
        <w:trPr>
          <w:trHeight w:val="89"/>
        </w:trPr>
        <w:tc>
          <w:tcPr>
            <w:tcW w:w="846" w:type="dxa"/>
          </w:tcPr>
          <w:p w14:paraId="71509922"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4</w:t>
            </w:r>
          </w:p>
        </w:tc>
        <w:tc>
          <w:tcPr>
            <w:tcW w:w="1843" w:type="dxa"/>
          </w:tcPr>
          <w:p w14:paraId="3C0FA204"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14 November 2017</w:t>
            </w:r>
          </w:p>
        </w:tc>
        <w:tc>
          <w:tcPr>
            <w:tcW w:w="3118" w:type="dxa"/>
          </w:tcPr>
          <w:p w14:paraId="3EC74640"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Wards (1, 2, 3, 4 &amp; 8)</w:t>
            </w:r>
          </w:p>
        </w:tc>
        <w:tc>
          <w:tcPr>
            <w:tcW w:w="4338" w:type="dxa"/>
          </w:tcPr>
          <w:p w14:paraId="7DDED412"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Batshazwayo Sportsfield</w:t>
            </w:r>
          </w:p>
        </w:tc>
      </w:tr>
      <w:tr w:rsidR="00B73063" w:rsidRPr="00B73063" w14:paraId="2085E207" w14:textId="77777777" w:rsidTr="009259F3">
        <w:trPr>
          <w:trHeight w:val="87"/>
        </w:trPr>
        <w:tc>
          <w:tcPr>
            <w:tcW w:w="846" w:type="dxa"/>
          </w:tcPr>
          <w:p w14:paraId="473FE314"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5</w:t>
            </w:r>
          </w:p>
        </w:tc>
        <w:tc>
          <w:tcPr>
            <w:tcW w:w="1843" w:type="dxa"/>
          </w:tcPr>
          <w:p w14:paraId="78F7611C"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17 November 2017</w:t>
            </w:r>
          </w:p>
        </w:tc>
        <w:tc>
          <w:tcPr>
            <w:tcW w:w="3118" w:type="dxa"/>
          </w:tcPr>
          <w:p w14:paraId="45557020"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Wards (23, 24 &amp; 25)</w:t>
            </w:r>
          </w:p>
        </w:tc>
        <w:tc>
          <w:tcPr>
            <w:tcW w:w="4338" w:type="dxa"/>
          </w:tcPr>
          <w:p w14:paraId="79BB4653"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Nqoleni Sportsfield</w:t>
            </w:r>
          </w:p>
        </w:tc>
      </w:tr>
      <w:tr w:rsidR="00B73063" w:rsidRPr="00B73063" w14:paraId="61055189" w14:textId="77777777" w:rsidTr="009259F3">
        <w:trPr>
          <w:trHeight w:val="91"/>
        </w:trPr>
        <w:tc>
          <w:tcPr>
            <w:tcW w:w="846" w:type="dxa"/>
          </w:tcPr>
          <w:p w14:paraId="4B3CF465"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6</w:t>
            </w:r>
          </w:p>
        </w:tc>
        <w:tc>
          <w:tcPr>
            <w:tcW w:w="1843" w:type="dxa"/>
          </w:tcPr>
          <w:p w14:paraId="7C7895F6"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7 November 2017</w:t>
            </w:r>
          </w:p>
        </w:tc>
        <w:tc>
          <w:tcPr>
            <w:tcW w:w="3118" w:type="dxa"/>
          </w:tcPr>
          <w:p w14:paraId="391E0550"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Wards (5, 6 &amp; 7)</w:t>
            </w:r>
          </w:p>
        </w:tc>
        <w:tc>
          <w:tcPr>
            <w:tcW w:w="4338" w:type="dxa"/>
          </w:tcPr>
          <w:p w14:paraId="4FBEAD25"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Saroni Hall</w:t>
            </w:r>
          </w:p>
        </w:tc>
      </w:tr>
      <w:tr w:rsidR="00B73063" w:rsidRPr="00B73063" w14:paraId="548F887C" w14:textId="77777777" w:rsidTr="009259F3">
        <w:trPr>
          <w:trHeight w:val="91"/>
        </w:trPr>
        <w:tc>
          <w:tcPr>
            <w:tcW w:w="846" w:type="dxa"/>
          </w:tcPr>
          <w:p w14:paraId="2415E098"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7</w:t>
            </w:r>
          </w:p>
        </w:tc>
        <w:tc>
          <w:tcPr>
            <w:tcW w:w="1843" w:type="dxa"/>
          </w:tcPr>
          <w:p w14:paraId="7655E94D"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10 November 2017</w:t>
            </w:r>
          </w:p>
        </w:tc>
        <w:tc>
          <w:tcPr>
            <w:tcW w:w="3118" w:type="dxa"/>
          </w:tcPr>
          <w:p w14:paraId="58E4371E"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Wards (11, 12, 13 &amp; 14)</w:t>
            </w:r>
          </w:p>
        </w:tc>
        <w:tc>
          <w:tcPr>
            <w:tcW w:w="4338" w:type="dxa"/>
          </w:tcPr>
          <w:p w14:paraId="46235563" w14:textId="77777777" w:rsidR="00B73063" w:rsidRPr="00B73063" w:rsidRDefault="00B73063" w:rsidP="00B73063">
            <w:pPr>
              <w:tabs>
                <w:tab w:val="left" w:pos="877"/>
              </w:tabs>
              <w:spacing w:after="160" w:line="259" w:lineRule="auto"/>
              <w:outlineLvl w:val="0"/>
              <w:rPr>
                <w:rFonts w:cs="Calibri"/>
                <w:b/>
                <w:bCs/>
                <w:lang w:val="en-ZA"/>
              </w:rPr>
            </w:pPr>
            <w:r w:rsidRPr="00B73063">
              <w:rPr>
                <w:rFonts w:cs="Calibri"/>
                <w:b/>
                <w:bCs/>
                <w:lang w:val="en-ZA"/>
              </w:rPr>
              <w:t xml:space="preserve">King Dinuzulu </w:t>
            </w:r>
          </w:p>
        </w:tc>
      </w:tr>
    </w:tbl>
    <w:p w14:paraId="2173EEDD" w14:textId="77777777" w:rsidR="00E6009A" w:rsidRPr="00DD1F0F" w:rsidRDefault="00DD1F0F" w:rsidP="002F62F0">
      <w:pPr>
        <w:pStyle w:val="Caption"/>
      </w:pPr>
      <w:bookmarkStart w:id="14" w:name="_Toc510622252"/>
      <w:r>
        <w:t xml:space="preserve">Table </w:t>
      </w:r>
      <w:r w:rsidR="00B918A6">
        <w:fldChar w:fldCharType="begin"/>
      </w:r>
      <w:r w:rsidR="00B918A6">
        <w:instrText xml:space="preserve"> SEQ Table \* ARABIC </w:instrText>
      </w:r>
      <w:r w:rsidR="00B918A6">
        <w:fldChar w:fldCharType="separate"/>
      </w:r>
      <w:r w:rsidR="0067023A">
        <w:rPr>
          <w:noProof/>
        </w:rPr>
        <w:t>2</w:t>
      </w:r>
      <w:r w:rsidR="00B918A6">
        <w:rPr>
          <w:noProof/>
        </w:rPr>
        <w:fldChar w:fldCharType="end"/>
      </w:r>
      <w:r w:rsidR="00C4671E">
        <w:t>:</w:t>
      </w:r>
      <w:r w:rsidR="00E8067F">
        <w:t xml:space="preserve"> </w:t>
      </w:r>
      <w:r w:rsidR="00A3398B">
        <w:t>IDP/Public Participation Roadshows</w:t>
      </w:r>
      <w:bookmarkEnd w:id="14"/>
    </w:p>
    <w:p w14:paraId="779F6AC0" w14:textId="187EF1DC" w:rsidR="00D33BDB" w:rsidRPr="00DD1F0F" w:rsidRDefault="00881795" w:rsidP="00750180">
      <w:pPr>
        <w:pStyle w:val="Heading3"/>
        <w:numPr>
          <w:ilvl w:val="2"/>
          <w:numId w:val="56"/>
        </w:numPr>
      </w:pPr>
      <w:bookmarkStart w:id="15" w:name="_Toc510706561"/>
      <w:r w:rsidRPr="00DD1F0F">
        <w:lastRenderedPageBreak/>
        <w:t xml:space="preserve">The </w:t>
      </w:r>
      <w:r w:rsidR="001D792E">
        <w:t>King Cetshwayo</w:t>
      </w:r>
      <w:r w:rsidRPr="00DD1F0F">
        <w:t xml:space="preserve"> </w:t>
      </w:r>
      <w:r w:rsidR="003C03FA">
        <w:t>District</w:t>
      </w:r>
      <w:r w:rsidRPr="00DD1F0F">
        <w:t>’s Framework Plan</w:t>
      </w:r>
      <w:bookmarkEnd w:id="15"/>
      <w:r w:rsidRPr="00DD1F0F">
        <w:t xml:space="preserve"> </w:t>
      </w:r>
    </w:p>
    <w:p w14:paraId="39CF391E" w14:textId="77777777" w:rsidR="00514FBA" w:rsidRPr="00881795" w:rsidRDefault="00514FBA" w:rsidP="00395313">
      <w:pPr>
        <w:autoSpaceDE w:val="0"/>
        <w:autoSpaceDN w:val="0"/>
        <w:adjustRightInd w:val="0"/>
        <w:spacing w:after="0" w:line="240" w:lineRule="auto"/>
        <w:jc w:val="both"/>
        <w:rPr>
          <w:rFonts w:cs="Century Gothic"/>
          <w:color w:val="000000"/>
          <w:szCs w:val="20"/>
          <w:lang w:val="en-ZA"/>
        </w:rPr>
      </w:pPr>
    </w:p>
    <w:p w14:paraId="5DCF06FE" w14:textId="77777777" w:rsidR="00514FBA" w:rsidRDefault="00514FBA" w:rsidP="00395313">
      <w:pPr>
        <w:autoSpaceDE w:val="0"/>
        <w:autoSpaceDN w:val="0"/>
        <w:adjustRightInd w:val="0"/>
        <w:spacing w:after="0"/>
        <w:jc w:val="both"/>
        <w:rPr>
          <w:rFonts w:cs="Century Gothic"/>
          <w:color w:val="000000"/>
          <w:szCs w:val="20"/>
          <w:lang w:val="en-ZA"/>
        </w:rPr>
      </w:pPr>
      <w:r w:rsidRPr="00881795">
        <w:rPr>
          <w:rFonts w:cs="Century Gothic"/>
          <w:color w:val="000000"/>
          <w:szCs w:val="20"/>
          <w:lang w:val="en-ZA"/>
        </w:rPr>
        <w:t>The</w:t>
      </w:r>
      <w:r w:rsidR="00A96738">
        <w:rPr>
          <w:rFonts w:cs="Century Gothic"/>
          <w:color w:val="000000"/>
          <w:szCs w:val="20"/>
          <w:lang w:val="en-ZA"/>
        </w:rPr>
        <w:t xml:space="preserve"> KCDM IDP</w:t>
      </w:r>
      <w:r w:rsidRPr="00881795">
        <w:rPr>
          <w:rFonts w:cs="Century Gothic"/>
          <w:color w:val="000000"/>
          <w:szCs w:val="20"/>
          <w:lang w:val="en-ZA"/>
        </w:rPr>
        <w:t xml:space="preserve"> Framework</w:t>
      </w:r>
      <w:r w:rsidR="00A96738">
        <w:rPr>
          <w:rFonts w:cs="Century Gothic"/>
          <w:color w:val="000000"/>
          <w:szCs w:val="20"/>
          <w:lang w:val="en-ZA"/>
        </w:rPr>
        <w:t xml:space="preserve"> Plan</w:t>
      </w:r>
      <w:r w:rsidRPr="00881795">
        <w:rPr>
          <w:rFonts w:cs="Century Gothic"/>
          <w:color w:val="000000"/>
          <w:szCs w:val="20"/>
          <w:lang w:val="en-ZA"/>
        </w:rPr>
        <w:t xml:space="preserve"> ensure</w:t>
      </w:r>
      <w:r w:rsidR="00FE386C">
        <w:rPr>
          <w:rFonts w:cs="Century Gothic"/>
          <w:color w:val="000000"/>
          <w:szCs w:val="20"/>
          <w:lang w:val="en-ZA"/>
        </w:rPr>
        <w:t xml:space="preserve">s that there is </w:t>
      </w:r>
      <w:r w:rsidRPr="00881795">
        <w:rPr>
          <w:rFonts w:cs="Century Gothic"/>
          <w:color w:val="000000"/>
          <w:szCs w:val="20"/>
          <w:lang w:val="en-ZA"/>
        </w:rPr>
        <w:t xml:space="preserve">alignment and integration of activities, projects and programmes between the IDPs of </w:t>
      </w:r>
      <w:r w:rsidR="001D792E">
        <w:rPr>
          <w:rFonts w:cs="Century Gothic"/>
          <w:color w:val="000000"/>
          <w:szCs w:val="20"/>
          <w:lang w:val="en-ZA"/>
        </w:rPr>
        <w:t>King Cetshwayo</w:t>
      </w:r>
      <w:r w:rsidRPr="00881795">
        <w:rPr>
          <w:rFonts w:cs="Century Gothic"/>
          <w:color w:val="000000"/>
          <w:szCs w:val="20"/>
          <w:lang w:val="en-ZA"/>
        </w:rPr>
        <w:t xml:space="preserve"> </w:t>
      </w:r>
      <w:r w:rsidR="003C03FA">
        <w:rPr>
          <w:rFonts w:cs="Century Gothic"/>
          <w:color w:val="000000"/>
          <w:szCs w:val="20"/>
          <w:lang w:val="en-ZA"/>
        </w:rPr>
        <w:t>District</w:t>
      </w:r>
      <w:r w:rsidRPr="00881795">
        <w:rPr>
          <w:rFonts w:cs="Century Gothic"/>
          <w:color w:val="000000"/>
          <w:szCs w:val="20"/>
          <w:lang w:val="en-ZA"/>
        </w:rPr>
        <w:t xml:space="preserve"> Municipality and its Local Municipalities which are uMlalazi, uMhlathuze, </w:t>
      </w:r>
      <w:r w:rsidR="00A65859">
        <w:rPr>
          <w:rFonts w:cs="Century Gothic"/>
          <w:color w:val="000000"/>
          <w:szCs w:val="20"/>
          <w:lang w:val="en-ZA"/>
        </w:rPr>
        <w:t>uMfolozi and</w:t>
      </w:r>
      <w:r w:rsidRPr="00881795">
        <w:rPr>
          <w:rFonts w:cs="Century Gothic"/>
          <w:color w:val="000000"/>
          <w:szCs w:val="20"/>
          <w:lang w:val="en-ZA"/>
        </w:rPr>
        <w:t xml:space="preserve"> Nkandla Local Municipalities.</w:t>
      </w:r>
    </w:p>
    <w:p w14:paraId="6A4C28F8" w14:textId="77777777" w:rsidR="007132F7" w:rsidRPr="00FE386C" w:rsidRDefault="009259F3" w:rsidP="00750180">
      <w:pPr>
        <w:pStyle w:val="Heading2"/>
        <w:numPr>
          <w:ilvl w:val="1"/>
          <w:numId w:val="56"/>
        </w:numPr>
        <w:rPr>
          <w:color w:val="FF0000"/>
        </w:rPr>
      </w:pPr>
      <w:bookmarkStart w:id="16" w:name="_Toc510706562"/>
      <w:r w:rsidRPr="00FE386C">
        <w:rPr>
          <w:color w:val="FF0000"/>
        </w:rPr>
        <w:t>KEY CHALLENGES</w:t>
      </w:r>
      <w:bookmarkEnd w:id="16"/>
    </w:p>
    <w:p w14:paraId="06CCA51D" w14:textId="77777777" w:rsidR="009259F3" w:rsidRPr="00FE386C" w:rsidRDefault="009259F3" w:rsidP="009259F3">
      <w:pPr>
        <w:spacing w:after="0" w:line="240" w:lineRule="auto"/>
        <w:rPr>
          <w:color w:val="FF0000"/>
        </w:rPr>
      </w:pPr>
    </w:p>
    <w:tbl>
      <w:tblPr>
        <w:tblStyle w:val="TableGrid28"/>
        <w:tblW w:w="9562" w:type="dxa"/>
        <w:tblLook w:val="04A0" w:firstRow="1" w:lastRow="0" w:firstColumn="1" w:lastColumn="0" w:noHBand="0" w:noVBand="1"/>
      </w:tblPr>
      <w:tblGrid>
        <w:gridCol w:w="2848"/>
        <w:gridCol w:w="3326"/>
        <w:gridCol w:w="3388"/>
      </w:tblGrid>
      <w:tr w:rsidR="006822A5" w:rsidRPr="006822A5" w14:paraId="31A33DA5" w14:textId="77777777" w:rsidTr="00DF06B6">
        <w:trPr>
          <w:trHeight w:val="258"/>
          <w:tblHeader/>
        </w:trPr>
        <w:tc>
          <w:tcPr>
            <w:tcW w:w="2848" w:type="dxa"/>
            <w:shd w:val="clear" w:color="auto" w:fill="D9E2F3"/>
          </w:tcPr>
          <w:p w14:paraId="2D7D54C4" w14:textId="77777777" w:rsidR="006822A5" w:rsidRPr="006822A5" w:rsidRDefault="006822A5" w:rsidP="006822A5">
            <w:pPr>
              <w:rPr>
                <w:rFonts w:eastAsia="Calibri" w:cs="Times New Roman"/>
                <w:b/>
              </w:rPr>
            </w:pPr>
            <w:r w:rsidRPr="006822A5">
              <w:rPr>
                <w:rFonts w:eastAsia="Calibri" w:cs="Times New Roman"/>
                <w:b/>
              </w:rPr>
              <w:t>KEY PERFORMANCE AREA</w:t>
            </w:r>
          </w:p>
        </w:tc>
        <w:tc>
          <w:tcPr>
            <w:tcW w:w="3326" w:type="dxa"/>
            <w:shd w:val="clear" w:color="auto" w:fill="D9E2F3"/>
          </w:tcPr>
          <w:p w14:paraId="3C29AB23" w14:textId="77777777" w:rsidR="006822A5" w:rsidRPr="006822A5" w:rsidRDefault="006822A5" w:rsidP="006822A5">
            <w:pPr>
              <w:rPr>
                <w:rFonts w:eastAsia="Calibri" w:cs="Times New Roman"/>
                <w:b/>
              </w:rPr>
            </w:pPr>
            <w:r w:rsidRPr="006822A5">
              <w:rPr>
                <w:rFonts w:eastAsia="Calibri" w:cs="Times New Roman"/>
                <w:b/>
              </w:rPr>
              <w:t xml:space="preserve">KEY CHALLENGE </w:t>
            </w:r>
          </w:p>
        </w:tc>
        <w:tc>
          <w:tcPr>
            <w:tcW w:w="3388" w:type="dxa"/>
            <w:shd w:val="clear" w:color="auto" w:fill="D9E2F3"/>
          </w:tcPr>
          <w:p w14:paraId="25971F94" w14:textId="77777777" w:rsidR="006822A5" w:rsidRPr="006822A5" w:rsidRDefault="006822A5" w:rsidP="006822A5">
            <w:pPr>
              <w:jc w:val="both"/>
              <w:rPr>
                <w:rFonts w:eastAsia="Calibri" w:cs="Times New Roman"/>
                <w:b/>
              </w:rPr>
            </w:pPr>
            <w:r w:rsidRPr="006822A5">
              <w:rPr>
                <w:rFonts w:eastAsia="Calibri" w:cs="Times New Roman"/>
                <w:b/>
              </w:rPr>
              <w:t>DESCRIPTION</w:t>
            </w:r>
          </w:p>
        </w:tc>
      </w:tr>
      <w:tr w:rsidR="006822A5" w:rsidRPr="006822A5" w14:paraId="07D70969" w14:textId="77777777" w:rsidTr="00DF06B6">
        <w:trPr>
          <w:trHeight w:val="258"/>
        </w:trPr>
        <w:tc>
          <w:tcPr>
            <w:tcW w:w="2848" w:type="dxa"/>
            <w:vMerge w:val="restart"/>
          </w:tcPr>
          <w:p w14:paraId="5E80A45A" w14:textId="77777777" w:rsidR="006822A5" w:rsidRPr="006822A5" w:rsidRDefault="006822A5" w:rsidP="006822A5">
            <w:pPr>
              <w:rPr>
                <w:rFonts w:eastAsia="Calibri" w:cs="Times New Roman"/>
              </w:rPr>
            </w:pPr>
            <w:r w:rsidRPr="006822A5">
              <w:rPr>
                <w:rFonts w:eastAsia="Calibri" w:cs="Times New Roman"/>
              </w:rPr>
              <w:t>MUNICIPAL TRANSFORMATION AND INSTITUTIONAL DEVELOPMENT</w:t>
            </w:r>
          </w:p>
        </w:tc>
        <w:tc>
          <w:tcPr>
            <w:tcW w:w="3326" w:type="dxa"/>
          </w:tcPr>
          <w:p w14:paraId="082E007E" w14:textId="77777777" w:rsidR="006822A5" w:rsidRPr="006822A5" w:rsidRDefault="006822A5" w:rsidP="006822A5">
            <w:pPr>
              <w:rPr>
                <w:rFonts w:eastAsia="Calibri" w:cs="Times New Roman"/>
              </w:rPr>
            </w:pPr>
            <w:r w:rsidRPr="006822A5">
              <w:rPr>
                <w:rFonts w:eastAsia="Calibri" w:cs="Times New Roman"/>
              </w:rPr>
              <w:t>Insufficient Skills Development</w:t>
            </w:r>
          </w:p>
        </w:tc>
        <w:tc>
          <w:tcPr>
            <w:tcW w:w="3388" w:type="dxa"/>
          </w:tcPr>
          <w:p w14:paraId="67D5958C" w14:textId="77777777" w:rsidR="006822A5" w:rsidRPr="006822A5" w:rsidRDefault="006822A5" w:rsidP="006822A5">
            <w:pPr>
              <w:jc w:val="both"/>
              <w:rPr>
                <w:rFonts w:eastAsia="Calibri" w:cs="Times New Roman"/>
                <w:sz w:val="18"/>
              </w:rPr>
            </w:pPr>
            <w:r w:rsidRPr="006822A5">
              <w:rPr>
                <w:rFonts w:eastAsia="Calibri" w:cs="Times New Roman"/>
                <w:sz w:val="18"/>
              </w:rPr>
              <w:t xml:space="preserve">The skills audit undertaken annually identifies the skills gaps, but the WSP is not fully implemented </w:t>
            </w:r>
          </w:p>
        </w:tc>
      </w:tr>
      <w:tr w:rsidR="006822A5" w:rsidRPr="006822A5" w14:paraId="2ACB2CE2" w14:textId="77777777" w:rsidTr="00DF06B6">
        <w:trPr>
          <w:trHeight w:val="258"/>
        </w:trPr>
        <w:tc>
          <w:tcPr>
            <w:tcW w:w="2848" w:type="dxa"/>
            <w:vMerge/>
          </w:tcPr>
          <w:p w14:paraId="5F90A3AF" w14:textId="77777777" w:rsidR="006822A5" w:rsidRPr="006822A5" w:rsidRDefault="006822A5" w:rsidP="006822A5">
            <w:pPr>
              <w:rPr>
                <w:rFonts w:eastAsia="Calibri" w:cs="Times New Roman"/>
              </w:rPr>
            </w:pPr>
          </w:p>
        </w:tc>
        <w:tc>
          <w:tcPr>
            <w:tcW w:w="3326" w:type="dxa"/>
          </w:tcPr>
          <w:p w14:paraId="4AE466A9" w14:textId="77777777" w:rsidR="006822A5" w:rsidRPr="006822A5" w:rsidRDefault="006822A5" w:rsidP="006822A5">
            <w:pPr>
              <w:rPr>
                <w:rFonts w:eastAsia="Calibri" w:cs="Times New Roman"/>
              </w:rPr>
            </w:pPr>
            <w:r w:rsidRPr="006822A5">
              <w:rPr>
                <w:rFonts w:eastAsia="Calibri" w:cs="Times New Roman"/>
              </w:rPr>
              <w:t>ICT Audit Query</w:t>
            </w:r>
          </w:p>
        </w:tc>
        <w:tc>
          <w:tcPr>
            <w:tcW w:w="3388" w:type="dxa"/>
          </w:tcPr>
          <w:p w14:paraId="3743456D" w14:textId="77777777" w:rsidR="006822A5" w:rsidRPr="006822A5" w:rsidRDefault="006822A5" w:rsidP="006822A5">
            <w:pPr>
              <w:jc w:val="both"/>
              <w:rPr>
                <w:rFonts w:eastAsia="Calibri" w:cs="Times New Roman"/>
                <w:sz w:val="18"/>
              </w:rPr>
            </w:pPr>
            <w:r w:rsidRPr="006822A5">
              <w:rPr>
                <w:rFonts w:eastAsia="Calibri" w:cs="Times New Roman"/>
                <w:sz w:val="18"/>
              </w:rPr>
              <w:t>The AG audit indicated that the Municipality’s ICT systems are somewhat ineffective and outdated.</w:t>
            </w:r>
          </w:p>
        </w:tc>
      </w:tr>
      <w:tr w:rsidR="006822A5" w:rsidRPr="006822A5" w14:paraId="5B3566D3" w14:textId="77777777" w:rsidTr="00DF06B6">
        <w:trPr>
          <w:trHeight w:val="269"/>
        </w:trPr>
        <w:tc>
          <w:tcPr>
            <w:tcW w:w="2848" w:type="dxa"/>
            <w:vMerge/>
          </w:tcPr>
          <w:p w14:paraId="4F859C1D" w14:textId="77777777" w:rsidR="006822A5" w:rsidRPr="006822A5" w:rsidRDefault="006822A5" w:rsidP="006822A5">
            <w:pPr>
              <w:rPr>
                <w:rFonts w:eastAsia="Calibri" w:cs="Times New Roman"/>
              </w:rPr>
            </w:pPr>
          </w:p>
        </w:tc>
        <w:tc>
          <w:tcPr>
            <w:tcW w:w="3326" w:type="dxa"/>
          </w:tcPr>
          <w:p w14:paraId="53C2DF59" w14:textId="77777777" w:rsidR="006822A5" w:rsidRPr="006822A5" w:rsidRDefault="006822A5" w:rsidP="006822A5">
            <w:pPr>
              <w:rPr>
                <w:rFonts w:eastAsia="Calibri" w:cs="Times New Roman"/>
              </w:rPr>
            </w:pPr>
            <w:r w:rsidRPr="006822A5">
              <w:rPr>
                <w:rFonts w:eastAsia="Calibri" w:cs="Times New Roman"/>
              </w:rPr>
              <w:t>Outdated &amp; Inadequate Policies</w:t>
            </w:r>
          </w:p>
        </w:tc>
        <w:tc>
          <w:tcPr>
            <w:tcW w:w="3388" w:type="dxa"/>
          </w:tcPr>
          <w:p w14:paraId="75FF38DD" w14:textId="77777777" w:rsidR="006822A5" w:rsidRPr="006822A5" w:rsidRDefault="006822A5" w:rsidP="006822A5">
            <w:pPr>
              <w:jc w:val="both"/>
              <w:rPr>
                <w:rFonts w:eastAsia="Calibri" w:cs="Times New Roman"/>
                <w:sz w:val="18"/>
              </w:rPr>
            </w:pPr>
            <w:r w:rsidRPr="006822A5">
              <w:rPr>
                <w:rFonts w:eastAsia="Calibri" w:cs="Times New Roman"/>
                <w:sz w:val="18"/>
              </w:rPr>
              <w:t xml:space="preserve">The municipality does not have a policy register in place which should identify outdated policies and those due for review. </w:t>
            </w:r>
          </w:p>
        </w:tc>
      </w:tr>
      <w:tr w:rsidR="006822A5" w:rsidRPr="006822A5" w14:paraId="7D0F2208" w14:textId="77777777" w:rsidTr="00DF06B6">
        <w:trPr>
          <w:trHeight w:val="258"/>
        </w:trPr>
        <w:tc>
          <w:tcPr>
            <w:tcW w:w="2848" w:type="dxa"/>
            <w:vMerge/>
          </w:tcPr>
          <w:p w14:paraId="2AB6A643" w14:textId="77777777" w:rsidR="006822A5" w:rsidRPr="006822A5" w:rsidRDefault="006822A5" w:rsidP="006822A5">
            <w:pPr>
              <w:rPr>
                <w:rFonts w:eastAsia="Calibri" w:cs="Times New Roman"/>
              </w:rPr>
            </w:pPr>
          </w:p>
        </w:tc>
        <w:tc>
          <w:tcPr>
            <w:tcW w:w="3326" w:type="dxa"/>
          </w:tcPr>
          <w:p w14:paraId="3C152A9D" w14:textId="77777777" w:rsidR="006822A5" w:rsidRPr="006822A5" w:rsidRDefault="006822A5" w:rsidP="006822A5">
            <w:pPr>
              <w:rPr>
                <w:rFonts w:eastAsia="Calibri" w:cs="Times New Roman"/>
              </w:rPr>
            </w:pPr>
            <w:r w:rsidRPr="006822A5">
              <w:rPr>
                <w:rFonts w:eastAsia="Calibri" w:cs="Times New Roman"/>
              </w:rPr>
              <w:t>Ineffective Internal &amp; external Communication</w:t>
            </w:r>
          </w:p>
        </w:tc>
        <w:tc>
          <w:tcPr>
            <w:tcW w:w="3388" w:type="dxa"/>
          </w:tcPr>
          <w:p w14:paraId="13108D73" w14:textId="77777777" w:rsidR="006822A5" w:rsidRPr="006822A5" w:rsidRDefault="006822A5" w:rsidP="006822A5">
            <w:pPr>
              <w:jc w:val="both"/>
              <w:rPr>
                <w:rFonts w:eastAsia="Calibri" w:cs="Times New Roman"/>
                <w:sz w:val="18"/>
              </w:rPr>
            </w:pPr>
            <w:r w:rsidRPr="006822A5">
              <w:rPr>
                <w:rFonts w:eastAsia="Calibri" w:cs="Times New Roman"/>
                <w:sz w:val="18"/>
              </w:rPr>
              <w:t>The municipality recently adopted the communication strategy and the implementation thereof needs to monitored effectively.</w:t>
            </w:r>
          </w:p>
        </w:tc>
      </w:tr>
      <w:tr w:rsidR="006822A5" w:rsidRPr="006822A5" w14:paraId="5BA6E907" w14:textId="77777777" w:rsidTr="00DF06B6">
        <w:trPr>
          <w:trHeight w:val="258"/>
        </w:trPr>
        <w:tc>
          <w:tcPr>
            <w:tcW w:w="2848" w:type="dxa"/>
            <w:vMerge/>
          </w:tcPr>
          <w:p w14:paraId="48998205" w14:textId="77777777" w:rsidR="006822A5" w:rsidRPr="006822A5" w:rsidRDefault="006822A5" w:rsidP="006822A5">
            <w:pPr>
              <w:rPr>
                <w:rFonts w:eastAsia="Calibri" w:cs="Times New Roman"/>
              </w:rPr>
            </w:pPr>
          </w:p>
        </w:tc>
        <w:tc>
          <w:tcPr>
            <w:tcW w:w="3326" w:type="dxa"/>
          </w:tcPr>
          <w:p w14:paraId="441DD00F" w14:textId="77777777" w:rsidR="006822A5" w:rsidRPr="006822A5" w:rsidRDefault="006822A5" w:rsidP="006822A5">
            <w:pPr>
              <w:rPr>
                <w:rFonts w:eastAsia="Calibri" w:cs="Times New Roman"/>
              </w:rPr>
            </w:pPr>
            <w:r w:rsidRPr="006822A5">
              <w:rPr>
                <w:rFonts w:eastAsia="Calibri" w:cs="Times New Roman"/>
              </w:rPr>
              <w:t>Non achievement of Employment Equity Targets</w:t>
            </w:r>
          </w:p>
        </w:tc>
        <w:tc>
          <w:tcPr>
            <w:tcW w:w="3388" w:type="dxa"/>
          </w:tcPr>
          <w:p w14:paraId="46C3ABE9" w14:textId="4CC9C2CB" w:rsidR="006822A5" w:rsidRPr="006822A5" w:rsidRDefault="00DF06B6" w:rsidP="006822A5">
            <w:pPr>
              <w:jc w:val="both"/>
              <w:rPr>
                <w:rFonts w:eastAsia="Calibri" w:cs="Times New Roman"/>
                <w:sz w:val="18"/>
              </w:rPr>
            </w:pPr>
            <w:r>
              <w:rPr>
                <w:rFonts w:eastAsia="Calibri" w:cs="Times New Roman"/>
                <w:sz w:val="18"/>
              </w:rPr>
              <w:t>The muni</w:t>
            </w:r>
            <w:r w:rsidR="006822A5" w:rsidRPr="006822A5">
              <w:rPr>
                <w:rFonts w:eastAsia="Calibri" w:cs="Times New Roman"/>
                <w:sz w:val="18"/>
              </w:rPr>
              <w:t>cipality needs to continuously  implement the EE</w:t>
            </w:r>
            <w:r>
              <w:rPr>
                <w:rFonts w:eastAsia="Calibri" w:cs="Times New Roman"/>
                <w:sz w:val="18"/>
              </w:rPr>
              <w:t>P</w:t>
            </w:r>
            <w:r w:rsidR="006822A5" w:rsidRPr="006822A5">
              <w:rPr>
                <w:rFonts w:eastAsia="Calibri" w:cs="Times New Roman"/>
                <w:sz w:val="18"/>
              </w:rPr>
              <w:t xml:space="preserve"> Targets in order to address the EEP backlog</w:t>
            </w:r>
          </w:p>
        </w:tc>
      </w:tr>
      <w:tr w:rsidR="006822A5" w:rsidRPr="006822A5" w14:paraId="51192C3D" w14:textId="77777777" w:rsidTr="00DF06B6">
        <w:trPr>
          <w:trHeight w:val="258"/>
        </w:trPr>
        <w:tc>
          <w:tcPr>
            <w:tcW w:w="2848" w:type="dxa"/>
            <w:vMerge/>
          </w:tcPr>
          <w:p w14:paraId="2D469426" w14:textId="77777777" w:rsidR="006822A5" w:rsidRPr="006822A5" w:rsidRDefault="006822A5" w:rsidP="006822A5">
            <w:pPr>
              <w:rPr>
                <w:rFonts w:eastAsia="Calibri" w:cs="Times New Roman"/>
              </w:rPr>
            </w:pPr>
          </w:p>
        </w:tc>
        <w:tc>
          <w:tcPr>
            <w:tcW w:w="3326" w:type="dxa"/>
          </w:tcPr>
          <w:p w14:paraId="07AE5125" w14:textId="77777777" w:rsidR="006822A5" w:rsidRPr="006822A5" w:rsidRDefault="006822A5" w:rsidP="006822A5">
            <w:pPr>
              <w:rPr>
                <w:rFonts w:eastAsia="Calibri" w:cs="Times New Roman"/>
              </w:rPr>
            </w:pPr>
            <w:r w:rsidRPr="006822A5">
              <w:rPr>
                <w:rFonts w:eastAsia="Calibri" w:cs="Times New Roman"/>
              </w:rPr>
              <w:t>Inadequate Compliance with Archives Act</w:t>
            </w:r>
          </w:p>
        </w:tc>
        <w:tc>
          <w:tcPr>
            <w:tcW w:w="3388" w:type="dxa"/>
          </w:tcPr>
          <w:p w14:paraId="456BBC07" w14:textId="77777777" w:rsidR="006822A5" w:rsidRPr="006822A5" w:rsidRDefault="006822A5" w:rsidP="006822A5">
            <w:pPr>
              <w:jc w:val="both"/>
              <w:rPr>
                <w:rFonts w:eastAsia="Calibri" w:cs="Times New Roman"/>
                <w:sz w:val="18"/>
              </w:rPr>
            </w:pPr>
            <w:r w:rsidRPr="006822A5">
              <w:rPr>
                <w:rFonts w:eastAsia="Calibri" w:cs="Times New Roman"/>
                <w:sz w:val="18"/>
              </w:rPr>
              <w:t>The IA findings reflected negatively in te4rms of compliance with Archives Act thus posing a risk organizational risk</w:t>
            </w:r>
          </w:p>
        </w:tc>
      </w:tr>
      <w:tr w:rsidR="006822A5" w:rsidRPr="006822A5" w14:paraId="06E6E274" w14:textId="77777777" w:rsidTr="00DF06B6">
        <w:trPr>
          <w:trHeight w:val="258"/>
        </w:trPr>
        <w:tc>
          <w:tcPr>
            <w:tcW w:w="2848" w:type="dxa"/>
            <w:vMerge w:val="restart"/>
          </w:tcPr>
          <w:p w14:paraId="4DC2F5E1" w14:textId="77777777" w:rsidR="006822A5" w:rsidRPr="006822A5" w:rsidRDefault="006822A5" w:rsidP="006822A5">
            <w:pPr>
              <w:rPr>
                <w:rFonts w:eastAsia="Calibri" w:cs="Times New Roman"/>
              </w:rPr>
            </w:pPr>
            <w:r w:rsidRPr="006822A5">
              <w:rPr>
                <w:rFonts w:eastAsia="Calibri" w:cs="Times New Roman"/>
              </w:rPr>
              <w:t>BASIC SERVICE DELIVERY</w:t>
            </w:r>
          </w:p>
        </w:tc>
        <w:tc>
          <w:tcPr>
            <w:tcW w:w="3326" w:type="dxa"/>
          </w:tcPr>
          <w:p w14:paraId="4B5F8AC9" w14:textId="77777777" w:rsidR="006822A5" w:rsidRPr="006822A5" w:rsidRDefault="006822A5" w:rsidP="006822A5">
            <w:pPr>
              <w:rPr>
                <w:rFonts w:eastAsia="Calibri" w:cs="Times New Roman"/>
              </w:rPr>
            </w:pPr>
            <w:r w:rsidRPr="006822A5">
              <w:rPr>
                <w:rFonts w:eastAsia="Calibri" w:cs="Times New Roman"/>
              </w:rPr>
              <w:t>Service Delivery Backlogs</w:t>
            </w:r>
          </w:p>
        </w:tc>
        <w:tc>
          <w:tcPr>
            <w:tcW w:w="3388" w:type="dxa"/>
          </w:tcPr>
          <w:p w14:paraId="2B5C16E4" w14:textId="77777777" w:rsidR="006822A5" w:rsidRPr="006822A5" w:rsidRDefault="006822A5" w:rsidP="006822A5">
            <w:pPr>
              <w:jc w:val="both"/>
              <w:rPr>
                <w:rFonts w:eastAsia="Calibri" w:cs="Times New Roman"/>
                <w:sz w:val="18"/>
              </w:rPr>
            </w:pPr>
            <w:r w:rsidRPr="006822A5">
              <w:rPr>
                <w:rFonts w:eastAsia="Calibri" w:cs="Times New Roman"/>
                <w:sz w:val="18"/>
              </w:rPr>
              <w:t>There still exists some service delivery backlogs.</w:t>
            </w:r>
          </w:p>
        </w:tc>
      </w:tr>
      <w:tr w:rsidR="006822A5" w:rsidRPr="006822A5" w14:paraId="45B688A3" w14:textId="77777777" w:rsidTr="00DF06B6">
        <w:trPr>
          <w:trHeight w:val="258"/>
        </w:trPr>
        <w:tc>
          <w:tcPr>
            <w:tcW w:w="2848" w:type="dxa"/>
            <w:vMerge/>
          </w:tcPr>
          <w:p w14:paraId="628A2367" w14:textId="77777777" w:rsidR="006822A5" w:rsidRPr="006822A5" w:rsidRDefault="006822A5" w:rsidP="006822A5">
            <w:pPr>
              <w:rPr>
                <w:rFonts w:eastAsia="Calibri" w:cs="Times New Roman"/>
              </w:rPr>
            </w:pPr>
          </w:p>
        </w:tc>
        <w:tc>
          <w:tcPr>
            <w:tcW w:w="3326" w:type="dxa"/>
          </w:tcPr>
          <w:p w14:paraId="687D0726" w14:textId="77777777" w:rsidR="006822A5" w:rsidRPr="006822A5" w:rsidRDefault="006822A5" w:rsidP="006822A5">
            <w:pPr>
              <w:rPr>
                <w:rFonts w:eastAsia="Calibri" w:cs="Times New Roman"/>
              </w:rPr>
            </w:pPr>
            <w:r w:rsidRPr="006822A5">
              <w:rPr>
                <w:rFonts w:eastAsia="Calibri" w:cs="Times New Roman"/>
              </w:rPr>
              <w:t>Lack of formalized trading areas</w:t>
            </w:r>
          </w:p>
        </w:tc>
        <w:tc>
          <w:tcPr>
            <w:tcW w:w="3388" w:type="dxa"/>
          </w:tcPr>
          <w:p w14:paraId="1F8829C1" w14:textId="77777777" w:rsidR="006822A5" w:rsidRPr="006822A5" w:rsidRDefault="006822A5" w:rsidP="006822A5">
            <w:pPr>
              <w:jc w:val="both"/>
              <w:rPr>
                <w:rFonts w:eastAsia="Calibri" w:cs="Times New Roman"/>
                <w:sz w:val="18"/>
              </w:rPr>
            </w:pPr>
            <w:r w:rsidRPr="006822A5">
              <w:rPr>
                <w:rFonts w:eastAsia="Calibri" w:cs="Times New Roman"/>
                <w:sz w:val="18"/>
              </w:rPr>
              <w:t xml:space="preserve">There are still insufficient formalized trading areas in the urban and rural areas thus negatively impacting on LED. </w:t>
            </w:r>
          </w:p>
        </w:tc>
      </w:tr>
      <w:tr w:rsidR="006822A5" w:rsidRPr="006822A5" w14:paraId="65FCBD0C" w14:textId="77777777" w:rsidTr="00DF06B6">
        <w:trPr>
          <w:trHeight w:val="258"/>
        </w:trPr>
        <w:tc>
          <w:tcPr>
            <w:tcW w:w="2848" w:type="dxa"/>
            <w:vMerge/>
          </w:tcPr>
          <w:p w14:paraId="06A49F8C" w14:textId="77777777" w:rsidR="006822A5" w:rsidRPr="006822A5" w:rsidRDefault="006822A5" w:rsidP="006822A5">
            <w:pPr>
              <w:rPr>
                <w:rFonts w:eastAsia="Calibri" w:cs="Times New Roman"/>
              </w:rPr>
            </w:pPr>
          </w:p>
        </w:tc>
        <w:tc>
          <w:tcPr>
            <w:tcW w:w="3326" w:type="dxa"/>
          </w:tcPr>
          <w:p w14:paraId="74897886" w14:textId="77777777" w:rsidR="006822A5" w:rsidRPr="006822A5" w:rsidRDefault="006822A5" w:rsidP="006822A5">
            <w:pPr>
              <w:rPr>
                <w:rFonts w:eastAsia="Calibri" w:cs="Times New Roman"/>
              </w:rPr>
            </w:pPr>
            <w:r w:rsidRPr="006822A5">
              <w:rPr>
                <w:rFonts w:eastAsia="Calibri" w:cs="Times New Roman"/>
              </w:rPr>
              <w:t>Natural Disasters</w:t>
            </w:r>
          </w:p>
        </w:tc>
        <w:tc>
          <w:tcPr>
            <w:tcW w:w="3388" w:type="dxa"/>
          </w:tcPr>
          <w:p w14:paraId="58E1B57F" w14:textId="77777777" w:rsidR="006822A5" w:rsidRPr="006822A5" w:rsidRDefault="006822A5" w:rsidP="006822A5">
            <w:pPr>
              <w:jc w:val="both"/>
              <w:rPr>
                <w:rFonts w:eastAsia="Calibri" w:cs="Times New Roman"/>
                <w:sz w:val="18"/>
              </w:rPr>
            </w:pPr>
            <w:r w:rsidRPr="006822A5">
              <w:rPr>
                <w:rFonts w:eastAsia="Calibri" w:cs="Times New Roman"/>
                <w:sz w:val="18"/>
              </w:rPr>
              <w:t xml:space="preserve">The municipal area is prone to natural disasters and the as the municipal area is so large in extent, the capacity to mitigate disasters is sometimes inefficient </w:t>
            </w:r>
          </w:p>
        </w:tc>
      </w:tr>
      <w:tr w:rsidR="008B335E" w:rsidRPr="006822A5" w14:paraId="580CB735" w14:textId="77777777" w:rsidTr="00DF06B6">
        <w:trPr>
          <w:trHeight w:val="258"/>
        </w:trPr>
        <w:tc>
          <w:tcPr>
            <w:tcW w:w="2848" w:type="dxa"/>
            <w:vMerge w:val="restart"/>
          </w:tcPr>
          <w:p w14:paraId="2BED757D" w14:textId="77777777" w:rsidR="008B335E" w:rsidRPr="006822A5" w:rsidRDefault="008B335E" w:rsidP="006822A5">
            <w:pPr>
              <w:rPr>
                <w:rFonts w:eastAsia="Calibri" w:cs="Times New Roman"/>
              </w:rPr>
            </w:pPr>
            <w:r w:rsidRPr="006822A5">
              <w:rPr>
                <w:rFonts w:eastAsia="Calibri" w:cs="Times New Roman"/>
              </w:rPr>
              <w:t>LOCAL ECONOMIC &amp; SOCIAL DEVELOPMENT</w:t>
            </w:r>
          </w:p>
        </w:tc>
        <w:tc>
          <w:tcPr>
            <w:tcW w:w="3326" w:type="dxa"/>
          </w:tcPr>
          <w:p w14:paraId="4FC1071D" w14:textId="77777777" w:rsidR="008B335E" w:rsidRPr="006822A5" w:rsidRDefault="008B335E" w:rsidP="006822A5">
            <w:pPr>
              <w:rPr>
                <w:rFonts w:eastAsia="Calibri" w:cs="Times New Roman"/>
              </w:rPr>
            </w:pPr>
            <w:r w:rsidRPr="006822A5">
              <w:rPr>
                <w:rFonts w:eastAsia="Calibri" w:cs="Times New Roman"/>
              </w:rPr>
              <w:t>Slow progress on LED &amp; Tourism Development in uMlalazi Municipality</w:t>
            </w:r>
          </w:p>
        </w:tc>
        <w:tc>
          <w:tcPr>
            <w:tcW w:w="3388" w:type="dxa"/>
          </w:tcPr>
          <w:p w14:paraId="3B3AC10C" w14:textId="77777777" w:rsidR="008B335E" w:rsidRPr="006822A5" w:rsidRDefault="008B335E" w:rsidP="006822A5">
            <w:pPr>
              <w:jc w:val="both"/>
              <w:rPr>
                <w:rFonts w:eastAsia="Calibri" w:cs="Times New Roman"/>
                <w:sz w:val="18"/>
              </w:rPr>
            </w:pPr>
            <w:r w:rsidRPr="006822A5">
              <w:rPr>
                <w:rFonts w:eastAsia="Calibri" w:cs="Times New Roman"/>
                <w:sz w:val="18"/>
              </w:rPr>
              <w:t>The municipality has a wealth of Agriculture and tourism resources which are not fully exploited to promote LED.</w:t>
            </w:r>
          </w:p>
        </w:tc>
      </w:tr>
      <w:tr w:rsidR="008B335E" w:rsidRPr="006822A5" w14:paraId="48A5752A" w14:textId="77777777" w:rsidTr="00DF06B6">
        <w:trPr>
          <w:trHeight w:val="258"/>
        </w:trPr>
        <w:tc>
          <w:tcPr>
            <w:tcW w:w="2848" w:type="dxa"/>
            <w:vMerge/>
          </w:tcPr>
          <w:p w14:paraId="7ADD61E3" w14:textId="77777777" w:rsidR="008B335E" w:rsidRPr="006822A5" w:rsidRDefault="008B335E" w:rsidP="006822A5">
            <w:pPr>
              <w:rPr>
                <w:rFonts w:eastAsia="Calibri" w:cs="Times New Roman"/>
              </w:rPr>
            </w:pPr>
          </w:p>
        </w:tc>
        <w:tc>
          <w:tcPr>
            <w:tcW w:w="3326" w:type="dxa"/>
          </w:tcPr>
          <w:p w14:paraId="1A01486A" w14:textId="77777777" w:rsidR="008B335E" w:rsidRPr="006822A5" w:rsidRDefault="008B335E" w:rsidP="006822A5">
            <w:pPr>
              <w:rPr>
                <w:rFonts w:eastAsia="Calibri" w:cs="Times New Roman"/>
              </w:rPr>
            </w:pPr>
            <w:r w:rsidRPr="006822A5">
              <w:rPr>
                <w:rFonts w:eastAsia="Calibri" w:cs="Times New Roman"/>
              </w:rPr>
              <w:t>Unemployment</w:t>
            </w:r>
          </w:p>
        </w:tc>
        <w:tc>
          <w:tcPr>
            <w:tcW w:w="3388" w:type="dxa"/>
          </w:tcPr>
          <w:p w14:paraId="3E43C33B" w14:textId="77777777" w:rsidR="008B335E" w:rsidRPr="006822A5" w:rsidRDefault="008B335E" w:rsidP="006822A5">
            <w:pPr>
              <w:jc w:val="both"/>
              <w:rPr>
                <w:rFonts w:eastAsia="Calibri" w:cs="Times New Roman"/>
                <w:sz w:val="18"/>
              </w:rPr>
            </w:pPr>
            <w:r w:rsidRPr="006822A5">
              <w:rPr>
                <w:rFonts w:eastAsia="Calibri" w:cs="Times New Roman"/>
                <w:sz w:val="18"/>
              </w:rPr>
              <w:t xml:space="preserve">The municipality still has a high unemployment rate and much needs to be done by all sectors to improve this.  </w:t>
            </w:r>
          </w:p>
        </w:tc>
      </w:tr>
      <w:tr w:rsidR="008B335E" w:rsidRPr="006822A5" w14:paraId="2AD632C1" w14:textId="77777777" w:rsidTr="00DF06B6">
        <w:trPr>
          <w:trHeight w:val="258"/>
        </w:trPr>
        <w:tc>
          <w:tcPr>
            <w:tcW w:w="2848" w:type="dxa"/>
            <w:vMerge/>
          </w:tcPr>
          <w:p w14:paraId="0E8CB815" w14:textId="77777777" w:rsidR="008B335E" w:rsidRPr="006822A5" w:rsidRDefault="008B335E" w:rsidP="006822A5">
            <w:pPr>
              <w:rPr>
                <w:rFonts w:eastAsia="Calibri" w:cs="Times New Roman"/>
              </w:rPr>
            </w:pPr>
          </w:p>
        </w:tc>
        <w:tc>
          <w:tcPr>
            <w:tcW w:w="3326" w:type="dxa"/>
          </w:tcPr>
          <w:p w14:paraId="477EBFB7" w14:textId="77777777" w:rsidR="008B335E" w:rsidRPr="006822A5" w:rsidRDefault="008B335E" w:rsidP="006822A5">
            <w:pPr>
              <w:rPr>
                <w:rFonts w:eastAsia="Calibri" w:cs="Times New Roman"/>
              </w:rPr>
            </w:pPr>
            <w:r w:rsidRPr="006822A5">
              <w:rPr>
                <w:rFonts w:eastAsia="Calibri" w:cs="Times New Roman"/>
              </w:rPr>
              <w:t>Crime</w:t>
            </w:r>
          </w:p>
        </w:tc>
        <w:tc>
          <w:tcPr>
            <w:tcW w:w="3388" w:type="dxa"/>
          </w:tcPr>
          <w:p w14:paraId="648DB143" w14:textId="77777777" w:rsidR="008B335E" w:rsidRPr="006822A5" w:rsidRDefault="008B335E" w:rsidP="006822A5">
            <w:pPr>
              <w:jc w:val="both"/>
              <w:rPr>
                <w:rFonts w:eastAsia="Calibri" w:cs="Times New Roman"/>
                <w:sz w:val="18"/>
              </w:rPr>
            </w:pPr>
            <w:r w:rsidRPr="006822A5">
              <w:rPr>
                <w:rFonts w:eastAsia="Calibri" w:cs="Times New Roman"/>
                <w:sz w:val="18"/>
              </w:rPr>
              <w:t xml:space="preserve">The scourge of crime negatively impacts the GDP and the development of the municipality. </w:t>
            </w:r>
          </w:p>
        </w:tc>
      </w:tr>
      <w:tr w:rsidR="006822A5" w:rsidRPr="006822A5" w14:paraId="5EF361BE" w14:textId="77777777" w:rsidTr="00DF06B6">
        <w:trPr>
          <w:trHeight w:val="258"/>
        </w:trPr>
        <w:tc>
          <w:tcPr>
            <w:tcW w:w="2848" w:type="dxa"/>
            <w:vMerge w:val="restart"/>
          </w:tcPr>
          <w:p w14:paraId="7665E0AA" w14:textId="77777777" w:rsidR="006822A5" w:rsidRPr="006822A5" w:rsidRDefault="006822A5" w:rsidP="006822A5">
            <w:pPr>
              <w:rPr>
                <w:rFonts w:eastAsia="Calibri" w:cs="Times New Roman"/>
                <w:color w:val="000000"/>
              </w:rPr>
            </w:pPr>
            <w:r w:rsidRPr="006822A5">
              <w:rPr>
                <w:rFonts w:eastAsia="Calibri" w:cs="Times New Roman"/>
                <w:color w:val="000000"/>
              </w:rPr>
              <w:t>MUNICIPAL FINANCIAL VIABILITY AND MANAGEMENT</w:t>
            </w:r>
          </w:p>
        </w:tc>
        <w:tc>
          <w:tcPr>
            <w:tcW w:w="3326" w:type="dxa"/>
          </w:tcPr>
          <w:p w14:paraId="3D68CFB2" w14:textId="77777777" w:rsidR="006822A5" w:rsidRPr="006822A5" w:rsidRDefault="00A60E2A" w:rsidP="006822A5">
            <w:pPr>
              <w:contextualSpacing/>
              <w:rPr>
                <w:rFonts w:eastAsia="Calibri" w:cs="Times New Roman"/>
                <w:color w:val="000000"/>
              </w:rPr>
            </w:pPr>
            <w:r w:rsidRPr="006822A5">
              <w:rPr>
                <w:rFonts w:eastAsia="Calibri" w:cs="Times New Roman"/>
                <w:color w:val="000000"/>
              </w:rPr>
              <w:t>Insufficient Revenue Sources</w:t>
            </w:r>
          </w:p>
        </w:tc>
        <w:tc>
          <w:tcPr>
            <w:tcW w:w="3388" w:type="dxa"/>
          </w:tcPr>
          <w:p w14:paraId="78F4B5E7" w14:textId="77777777" w:rsidR="006822A5" w:rsidRPr="006822A5" w:rsidRDefault="006822A5" w:rsidP="006822A5">
            <w:pPr>
              <w:jc w:val="both"/>
              <w:rPr>
                <w:rFonts w:eastAsia="Calibri" w:cs="Times New Roman"/>
                <w:color w:val="000000"/>
                <w:sz w:val="18"/>
              </w:rPr>
            </w:pPr>
            <w:r w:rsidRPr="006822A5">
              <w:rPr>
                <w:rFonts w:eastAsia="Calibri" w:cs="Times New Roman"/>
                <w:color w:val="000000"/>
                <w:sz w:val="18"/>
              </w:rPr>
              <w:t>The municipality is largely dependent on grants for service delivery and there is therefore a need to investigate other revenue sources.</w:t>
            </w:r>
          </w:p>
        </w:tc>
      </w:tr>
      <w:tr w:rsidR="006822A5" w:rsidRPr="006822A5" w14:paraId="5A408253" w14:textId="77777777" w:rsidTr="00DF06B6">
        <w:trPr>
          <w:trHeight w:val="258"/>
        </w:trPr>
        <w:tc>
          <w:tcPr>
            <w:tcW w:w="2848" w:type="dxa"/>
            <w:vMerge/>
          </w:tcPr>
          <w:p w14:paraId="39F9958F" w14:textId="77777777" w:rsidR="006822A5" w:rsidRPr="006822A5" w:rsidRDefault="006822A5" w:rsidP="006822A5">
            <w:pPr>
              <w:rPr>
                <w:rFonts w:eastAsia="Calibri" w:cs="Times New Roman"/>
                <w:color w:val="000000"/>
              </w:rPr>
            </w:pPr>
          </w:p>
        </w:tc>
        <w:tc>
          <w:tcPr>
            <w:tcW w:w="3326" w:type="dxa"/>
          </w:tcPr>
          <w:p w14:paraId="36EB5921" w14:textId="77777777" w:rsidR="006822A5" w:rsidRPr="006822A5" w:rsidRDefault="00A60E2A" w:rsidP="006822A5">
            <w:pPr>
              <w:contextualSpacing/>
              <w:rPr>
                <w:rFonts w:eastAsia="Calibri" w:cs="Times New Roman"/>
                <w:color w:val="000000"/>
              </w:rPr>
            </w:pPr>
            <w:r w:rsidRPr="006822A5">
              <w:rPr>
                <w:rFonts w:eastAsia="Calibri" w:cs="Times New Roman"/>
                <w:color w:val="000000"/>
              </w:rPr>
              <w:t xml:space="preserve">Insufficient Infrastructure Maintenance </w:t>
            </w:r>
          </w:p>
        </w:tc>
        <w:tc>
          <w:tcPr>
            <w:tcW w:w="3388" w:type="dxa"/>
          </w:tcPr>
          <w:p w14:paraId="7DC71A15" w14:textId="7342D65C" w:rsidR="006822A5" w:rsidRPr="006822A5" w:rsidRDefault="006822A5" w:rsidP="006822A5">
            <w:pPr>
              <w:jc w:val="both"/>
              <w:rPr>
                <w:rFonts w:eastAsia="Calibri" w:cs="Times New Roman"/>
                <w:color w:val="000000"/>
                <w:sz w:val="18"/>
              </w:rPr>
            </w:pPr>
            <w:r w:rsidRPr="006822A5">
              <w:rPr>
                <w:rFonts w:eastAsia="Calibri" w:cs="Times New Roman"/>
                <w:color w:val="000000"/>
                <w:sz w:val="18"/>
              </w:rPr>
              <w:t xml:space="preserve">The Pavement Management Systems is not being fully implemented due to financial </w:t>
            </w:r>
            <w:r w:rsidR="00DF06B6">
              <w:rPr>
                <w:rFonts w:eastAsia="Calibri" w:cs="Times New Roman"/>
                <w:color w:val="000000"/>
                <w:sz w:val="18"/>
              </w:rPr>
              <w:t>in</w:t>
            </w:r>
            <w:r w:rsidRPr="006822A5">
              <w:rPr>
                <w:rFonts w:eastAsia="Calibri" w:cs="Times New Roman"/>
                <w:color w:val="000000"/>
                <w:sz w:val="18"/>
              </w:rPr>
              <w:t>capacity.</w:t>
            </w:r>
          </w:p>
        </w:tc>
      </w:tr>
      <w:tr w:rsidR="006822A5" w:rsidRPr="006822A5" w14:paraId="3AFB436F" w14:textId="77777777" w:rsidTr="00DF06B6">
        <w:trPr>
          <w:trHeight w:val="258"/>
        </w:trPr>
        <w:tc>
          <w:tcPr>
            <w:tcW w:w="2848" w:type="dxa"/>
            <w:vMerge/>
          </w:tcPr>
          <w:p w14:paraId="77D49D2A" w14:textId="77777777" w:rsidR="006822A5" w:rsidRPr="006822A5" w:rsidRDefault="006822A5" w:rsidP="006822A5">
            <w:pPr>
              <w:rPr>
                <w:rFonts w:eastAsia="Calibri" w:cs="Times New Roman"/>
                <w:color w:val="000000"/>
              </w:rPr>
            </w:pPr>
          </w:p>
        </w:tc>
        <w:tc>
          <w:tcPr>
            <w:tcW w:w="3326" w:type="dxa"/>
          </w:tcPr>
          <w:p w14:paraId="329E4D7E" w14:textId="77777777" w:rsidR="006822A5" w:rsidRPr="006822A5" w:rsidRDefault="00A60E2A" w:rsidP="006822A5">
            <w:pPr>
              <w:contextualSpacing/>
              <w:rPr>
                <w:rFonts w:eastAsia="Calibri" w:cs="Times New Roman"/>
                <w:color w:val="000000"/>
              </w:rPr>
            </w:pPr>
            <w:r w:rsidRPr="006822A5">
              <w:rPr>
                <w:rFonts w:eastAsia="Calibri" w:cs="Times New Roman"/>
                <w:color w:val="000000"/>
              </w:rPr>
              <w:t xml:space="preserve">Poor Monitoring </w:t>
            </w:r>
            <w:r w:rsidR="006822A5" w:rsidRPr="006822A5">
              <w:rPr>
                <w:rFonts w:eastAsia="Calibri" w:cs="Times New Roman"/>
                <w:color w:val="000000"/>
              </w:rPr>
              <w:t xml:space="preserve">of </w:t>
            </w:r>
            <w:r w:rsidRPr="006822A5">
              <w:rPr>
                <w:rFonts w:eastAsia="Calibri" w:cs="Times New Roman"/>
                <w:color w:val="000000"/>
              </w:rPr>
              <w:t>Service Providers</w:t>
            </w:r>
          </w:p>
        </w:tc>
        <w:tc>
          <w:tcPr>
            <w:tcW w:w="3388" w:type="dxa"/>
          </w:tcPr>
          <w:p w14:paraId="7E0FB0B6" w14:textId="77777777" w:rsidR="006822A5" w:rsidRPr="006822A5" w:rsidRDefault="006822A5" w:rsidP="006822A5">
            <w:pPr>
              <w:jc w:val="both"/>
              <w:rPr>
                <w:rFonts w:eastAsia="Calibri" w:cs="Times New Roman"/>
                <w:color w:val="000000"/>
                <w:sz w:val="18"/>
              </w:rPr>
            </w:pPr>
            <w:r w:rsidRPr="006822A5">
              <w:rPr>
                <w:rFonts w:eastAsia="Calibri" w:cs="Times New Roman"/>
                <w:color w:val="000000"/>
                <w:sz w:val="18"/>
              </w:rPr>
              <w:t>Monitoring of service providers is not done monthly in order to ensure early warning signs of poor performance.</w:t>
            </w:r>
          </w:p>
        </w:tc>
      </w:tr>
      <w:tr w:rsidR="006822A5" w:rsidRPr="006822A5" w14:paraId="3CB6E249" w14:textId="77777777" w:rsidTr="00DF06B6">
        <w:trPr>
          <w:trHeight w:val="258"/>
        </w:trPr>
        <w:tc>
          <w:tcPr>
            <w:tcW w:w="2848" w:type="dxa"/>
            <w:vMerge/>
          </w:tcPr>
          <w:p w14:paraId="5456C2FA" w14:textId="77777777" w:rsidR="006822A5" w:rsidRPr="006822A5" w:rsidRDefault="006822A5" w:rsidP="006822A5">
            <w:pPr>
              <w:rPr>
                <w:rFonts w:eastAsia="Calibri" w:cs="Times New Roman"/>
                <w:color w:val="000000"/>
              </w:rPr>
            </w:pPr>
          </w:p>
        </w:tc>
        <w:tc>
          <w:tcPr>
            <w:tcW w:w="3326" w:type="dxa"/>
          </w:tcPr>
          <w:p w14:paraId="1F82DFDE" w14:textId="77777777" w:rsidR="006822A5" w:rsidRPr="006822A5" w:rsidRDefault="006822A5" w:rsidP="006822A5">
            <w:pPr>
              <w:contextualSpacing/>
              <w:rPr>
                <w:rFonts w:eastAsia="Calibri" w:cs="Times New Roman"/>
                <w:color w:val="000000"/>
              </w:rPr>
            </w:pPr>
            <w:r w:rsidRPr="006822A5">
              <w:rPr>
                <w:rFonts w:eastAsia="Calibri" w:cs="Times New Roman"/>
                <w:color w:val="000000"/>
              </w:rPr>
              <w:t>Inadequate Financial Performance</w:t>
            </w:r>
          </w:p>
        </w:tc>
        <w:tc>
          <w:tcPr>
            <w:tcW w:w="3388" w:type="dxa"/>
          </w:tcPr>
          <w:p w14:paraId="7AD30277" w14:textId="77777777" w:rsidR="006822A5" w:rsidRPr="006822A5" w:rsidRDefault="006822A5" w:rsidP="006822A5">
            <w:pPr>
              <w:jc w:val="both"/>
              <w:rPr>
                <w:rFonts w:eastAsia="Calibri" w:cs="Times New Roman"/>
                <w:color w:val="000000"/>
                <w:sz w:val="18"/>
              </w:rPr>
            </w:pPr>
            <w:r w:rsidRPr="006822A5">
              <w:rPr>
                <w:rFonts w:eastAsia="Calibri" w:cs="Times New Roman"/>
                <w:color w:val="000000"/>
                <w:sz w:val="18"/>
              </w:rPr>
              <w:t xml:space="preserve">The municipality’s debtors age analysis still indicates outstanding debts that are over 120 days. </w:t>
            </w:r>
          </w:p>
          <w:p w14:paraId="0C127FA0" w14:textId="77777777" w:rsidR="006822A5" w:rsidRPr="006822A5" w:rsidRDefault="006822A5" w:rsidP="006822A5">
            <w:pPr>
              <w:jc w:val="both"/>
              <w:rPr>
                <w:rFonts w:eastAsia="Calibri" w:cs="Times New Roman"/>
                <w:color w:val="000000"/>
                <w:sz w:val="18"/>
              </w:rPr>
            </w:pPr>
            <w:r w:rsidRPr="006822A5">
              <w:rPr>
                <w:rFonts w:eastAsia="Calibri" w:cs="Times New Roman"/>
                <w:color w:val="000000"/>
                <w:sz w:val="18"/>
              </w:rPr>
              <w:t xml:space="preserve">Capital expenditure is below the 90% target. </w:t>
            </w:r>
          </w:p>
        </w:tc>
      </w:tr>
      <w:tr w:rsidR="006822A5" w:rsidRPr="006822A5" w14:paraId="2C091D82" w14:textId="77777777" w:rsidTr="00DF06B6">
        <w:trPr>
          <w:trHeight w:val="258"/>
        </w:trPr>
        <w:tc>
          <w:tcPr>
            <w:tcW w:w="2848" w:type="dxa"/>
            <w:vMerge/>
          </w:tcPr>
          <w:p w14:paraId="4F13D718" w14:textId="77777777" w:rsidR="006822A5" w:rsidRPr="006822A5" w:rsidRDefault="006822A5" w:rsidP="006822A5">
            <w:pPr>
              <w:rPr>
                <w:rFonts w:eastAsia="Calibri" w:cs="Times New Roman"/>
                <w:color w:val="000000"/>
              </w:rPr>
            </w:pPr>
          </w:p>
        </w:tc>
        <w:tc>
          <w:tcPr>
            <w:tcW w:w="3326" w:type="dxa"/>
          </w:tcPr>
          <w:p w14:paraId="472FA5FC" w14:textId="77777777" w:rsidR="006822A5" w:rsidRPr="006822A5" w:rsidRDefault="006822A5" w:rsidP="006822A5">
            <w:pPr>
              <w:contextualSpacing/>
              <w:rPr>
                <w:rFonts w:eastAsia="Calibri" w:cs="Times New Roman"/>
                <w:color w:val="000000"/>
              </w:rPr>
            </w:pPr>
            <w:r w:rsidRPr="006822A5">
              <w:rPr>
                <w:rFonts w:eastAsia="Calibri" w:cs="Times New Roman"/>
                <w:color w:val="000000"/>
              </w:rPr>
              <w:t>Electricity Losses</w:t>
            </w:r>
          </w:p>
        </w:tc>
        <w:tc>
          <w:tcPr>
            <w:tcW w:w="3388" w:type="dxa"/>
          </w:tcPr>
          <w:p w14:paraId="09FF8E77" w14:textId="77777777" w:rsidR="006822A5" w:rsidRPr="006822A5" w:rsidRDefault="006822A5" w:rsidP="006822A5">
            <w:pPr>
              <w:jc w:val="both"/>
              <w:rPr>
                <w:rFonts w:eastAsia="Calibri" w:cs="Times New Roman"/>
                <w:color w:val="000000"/>
                <w:sz w:val="18"/>
              </w:rPr>
            </w:pPr>
            <w:r w:rsidRPr="006822A5">
              <w:rPr>
                <w:rFonts w:eastAsia="Calibri" w:cs="Times New Roman"/>
                <w:color w:val="000000"/>
                <w:sz w:val="18"/>
              </w:rPr>
              <w:t xml:space="preserve">Electricity losses remains a challenge which always affect the AG Audit findings. </w:t>
            </w:r>
          </w:p>
        </w:tc>
      </w:tr>
      <w:tr w:rsidR="006822A5" w:rsidRPr="006822A5" w14:paraId="104289F6" w14:textId="77777777" w:rsidTr="00DF06B6">
        <w:trPr>
          <w:trHeight w:val="258"/>
        </w:trPr>
        <w:tc>
          <w:tcPr>
            <w:tcW w:w="2848" w:type="dxa"/>
            <w:vMerge w:val="restart"/>
          </w:tcPr>
          <w:p w14:paraId="74BDD97E" w14:textId="77777777" w:rsidR="006822A5" w:rsidRPr="006822A5" w:rsidRDefault="006822A5" w:rsidP="006822A5">
            <w:pPr>
              <w:rPr>
                <w:rFonts w:eastAsia="Calibri" w:cs="Times New Roman"/>
                <w:color w:val="000000"/>
              </w:rPr>
            </w:pPr>
            <w:r w:rsidRPr="006822A5">
              <w:rPr>
                <w:rFonts w:eastAsia="Calibri" w:cs="Times New Roman"/>
                <w:color w:val="000000"/>
              </w:rPr>
              <w:lastRenderedPageBreak/>
              <w:t>GOOD GOVERNANCE AND PUBLIC PARTICIPATION</w:t>
            </w:r>
          </w:p>
          <w:p w14:paraId="324DABBD" w14:textId="77777777" w:rsidR="006822A5" w:rsidRPr="006822A5" w:rsidRDefault="006822A5" w:rsidP="006822A5">
            <w:pPr>
              <w:contextualSpacing/>
              <w:rPr>
                <w:rFonts w:eastAsia="Calibri" w:cs="Times New Roman"/>
                <w:color w:val="000000"/>
              </w:rPr>
            </w:pPr>
          </w:p>
        </w:tc>
        <w:tc>
          <w:tcPr>
            <w:tcW w:w="3326" w:type="dxa"/>
          </w:tcPr>
          <w:p w14:paraId="68C239F7" w14:textId="77777777" w:rsidR="006822A5" w:rsidRPr="006822A5" w:rsidRDefault="00A60E2A" w:rsidP="006822A5">
            <w:pPr>
              <w:contextualSpacing/>
              <w:rPr>
                <w:rFonts w:eastAsia="Calibri" w:cs="Times New Roman"/>
                <w:color w:val="000000"/>
              </w:rPr>
            </w:pPr>
            <w:r w:rsidRPr="006822A5">
              <w:rPr>
                <w:rFonts w:eastAsia="Calibri" w:cs="Times New Roman"/>
                <w:color w:val="000000"/>
                <w:highlight w:val="yellow"/>
              </w:rPr>
              <w:t>Unqualified Audit Opinion</w:t>
            </w:r>
          </w:p>
        </w:tc>
        <w:tc>
          <w:tcPr>
            <w:tcW w:w="3388" w:type="dxa"/>
          </w:tcPr>
          <w:p w14:paraId="7E369D6E" w14:textId="77777777" w:rsidR="006822A5" w:rsidRPr="006822A5" w:rsidRDefault="006822A5" w:rsidP="006822A5">
            <w:pPr>
              <w:jc w:val="both"/>
              <w:rPr>
                <w:rFonts w:eastAsia="Calibri" w:cs="Times New Roman"/>
                <w:sz w:val="18"/>
              </w:rPr>
            </w:pPr>
            <w:r w:rsidRPr="006822A5">
              <w:rPr>
                <w:rFonts w:eastAsia="Calibri" w:cs="Times New Roman"/>
                <w:sz w:val="18"/>
              </w:rPr>
              <w:t>The municipality is yet to receive a clean audit.</w:t>
            </w:r>
          </w:p>
        </w:tc>
      </w:tr>
      <w:tr w:rsidR="006822A5" w:rsidRPr="006822A5" w14:paraId="7FF913E0" w14:textId="77777777" w:rsidTr="00DF06B6">
        <w:trPr>
          <w:trHeight w:val="258"/>
        </w:trPr>
        <w:tc>
          <w:tcPr>
            <w:tcW w:w="2848" w:type="dxa"/>
            <w:vMerge/>
          </w:tcPr>
          <w:p w14:paraId="63B365BA" w14:textId="77777777" w:rsidR="006822A5" w:rsidRPr="006822A5" w:rsidRDefault="006822A5" w:rsidP="006822A5">
            <w:pPr>
              <w:rPr>
                <w:rFonts w:eastAsia="Calibri" w:cs="Times New Roman"/>
              </w:rPr>
            </w:pPr>
          </w:p>
        </w:tc>
        <w:tc>
          <w:tcPr>
            <w:tcW w:w="3326" w:type="dxa"/>
          </w:tcPr>
          <w:p w14:paraId="745275B8" w14:textId="77777777" w:rsidR="006822A5" w:rsidRPr="006822A5" w:rsidRDefault="00A60E2A" w:rsidP="006822A5">
            <w:pPr>
              <w:rPr>
                <w:rFonts w:eastAsia="Calibri" w:cs="Times New Roman"/>
                <w:color w:val="000000"/>
              </w:rPr>
            </w:pPr>
            <w:r w:rsidRPr="006822A5">
              <w:rPr>
                <w:rFonts w:eastAsia="Calibri" w:cs="Times New Roman"/>
                <w:color w:val="000000"/>
                <w:highlight w:val="yellow"/>
              </w:rPr>
              <w:t>Poor participation in HIV/Aids</w:t>
            </w:r>
            <w:r w:rsidR="006822A5" w:rsidRPr="006822A5">
              <w:rPr>
                <w:rFonts w:eastAsia="Calibri" w:cs="Times New Roman"/>
                <w:color w:val="000000"/>
              </w:rPr>
              <w:t xml:space="preserve"> Program</w:t>
            </w:r>
          </w:p>
        </w:tc>
        <w:tc>
          <w:tcPr>
            <w:tcW w:w="3388" w:type="dxa"/>
          </w:tcPr>
          <w:p w14:paraId="1A7B1C4A" w14:textId="77777777" w:rsidR="006822A5" w:rsidRPr="006822A5" w:rsidRDefault="006822A5" w:rsidP="006822A5">
            <w:pPr>
              <w:jc w:val="both"/>
              <w:rPr>
                <w:rFonts w:eastAsia="Calibri" w:cs="Times New Roman"/>
                <w:sz w:val="18"/>
              </w:rPr>
            </w:pPr>
            <w:r w:rsidRPr="006822A5">
              <w:rPr>
                <w:rFonts w:eastAsia="Calibri" w:cs="Times New Roman"/>
                <w:sz w:val="18"/>
              </w:rPr>
              <w:t>The HIV/AIDS infection rate still remains high and little is done to minimize the spread of HIV/AIDS</w:t>
            </w:r>
          </w:p>
        </w:tc>
      </w:tr>
      <w:tr w:rsidR="006822A5" w:rsidRPr="006822A5" w14:paraId="12BFEB58" w14:textId="77777777" w:rsidTr="00DF06B6">
        <w:trPr>
          <w:trHeight w:val="258"/>
        </w:trPr>
        <w:tc>
          <w:tcPr>
            <w:tcW w:w="2848" w:type="dxa"/>
            <w:vMerge/>
          </w:tcPr>
          <w:p w14:paraId="117C8624" w14:textId="77777777" w:rsidR="006822A5" w:rsidRPr="006822A5" w:rsidRDefault="006822A5" w:rsidP="006822A5">
            <w:pPr>
              <w:rPr>
                <w:rFonts w:eastAsia="Calibri" w:cs="Times New Roman"/>
              </w:rPr>
            </w:pPr>
          </w:p>
        </w:tc>
        <w:tc>
          <w:tcPr>
            <w:tcW w:w="3326" w:type="dxa"/>
          </w:tcPr>
          <w:p w14:paraId="7132E007" w14:textId="77777777" w:rsidR="006822A5" w:rsidRPr="006822A5" w:rsidRDefault="006822A5" w:rsidP="006822A5">
            <w:pPr>
              <w:contextualSpacing/>
              <w:rPr>
                <w:rFonts w:eastAsia="Calibri" w:cs="Times New Roman"/>
                <w:color w:val="000000"/>
              </w:rPr>
            </w:pPr>
            <w:r w:rsidRPr="006822A5">
              <w:rPr>
                <w:rFonts w:eastAsia="Calibri" w:cs="Times New Roman"/>
                <w:color w:val="000000"/>
              </w:rPr>
              <w:t xml:space="preserve">Poor Public Participation Initiatives </w:t>
            </w:r>
          </w:p>
        </w:tc>
        <w:tc>
          <w:tcPr>
            <w:tcW w:w="3388" w:type="dxa"/>
          </w:tcPr>
          <w:p w14:paraId="47C95B49" w14:textId="77777777" w:rsidR="006822A5" w:rsidRPr="006822A5" w:rsidRDefault="006822A5" w:rsidP="006822A5">
            <w:pPr>
              <w:jc w:val="both"/>
              <w:rPr>
                <w:rFonts w:eastAsia="Calibri" w:cs="Times New Roman"/>
                <w:sz w:val="18"/>
              </w:rPr>
            </w:pPr>
            <w:r w:rsidRPr="006822A5">
              <w:rPr>
                <w:rFonts w:eastAsia="Calibri" w:cs="Times New Roman"/>
                <w:sz w:val="18"/>
              </w:rPr>
              <w:t>The majority of ward committees are non-functional due to poor public participation initiatives.</w:t>
            </w:r>
          </w:p>
        </w:tc>
      </w:tr>
      <w:tr w:rsidR="006822A5" w:rsidRPr="006822A5" w14:paraId="4FB2AF5E" w14:textId="77777777" w:rsidTr="00DF06B6">
        <w:trPr>
          <w:trHeight w:val="258"/>
        </w:trPr>
        <w:tc>
          <w:tcPr>
            <w:tcW w:w="2848" w:type="dxa"/>
            <w:vMerge/>
          </w:tcPr>
          <w:p w14:paraId="67B4510E" w14:textId="77777777" w:rsidR="006822A5" w:rsidRPr="006822A5" w:rsidRDefault="006822A5" w:rsidP="006822A5">
            <w:pPr>
              <w:rPr>
                <w:rFonts w:eastAsia="Calibri" w:cs="Times New Roman"/>
              </w:rPr>
            </w:pPr>
          </w:p>
        </w:tc>
        <w:tc>
          <w:tcPr>
            <w:tcW w:w="3326" w:type="dxa"/>
          </w:tcPr>
          <w:p w14:paraId="0B9667DF" w14:textId="77777777" w:rsidR="006822A5" w:rsidRPr="006822A5" w:rsidRDefault="006822A5" w:rsidP="006822A5">
            <w:pPr>
              <w:rPr>
                <w:rFonts w:eastAsia="Calibri" w:cs="Times New Roman"/>
                <w:color w:val="000000"/>
              </w:rPr>
            </w:pPr>
            <w:r w:rsidRPr="006822A5">
              <w:rPr>
                <w:rFonts w:eastAsia="Calibri" w:cs="Times New Roman"/>
                <w:color w:val="000000"/>
              </w:rPr>
              <w:t>Poor implementation of Batho Pele</w:t>
            </w:r>
          </w:p>
        </w:tc>
        <w:tc>
          <w:tcPr>
            <w:tcW w:w="3388" w:type="dxa"/>
          </w:tcPr>
          <w:p w14:paraId="241B8B10" w14:textId="77777777" w:rsidR="006822A5" w:rsidRPr="006822A5" w:rsidRDefault="006822A5" w:rsidP="006822A5">
            <w:pPr>
              <w:jc w:val="both"/>
              <w:rPr>
                <w:rFonts w:eastAsia="Calibri" w:cs="Times New Roman"/>
                <w:sz w:val="18"/>
              </w:rPr>
            </w:pPr>
            <w:r w:rsidRPr="006822A5">
              <w:rPr>
                <w:rFonts w:eastAsia="Calibri" w:cs="Times New Roman"/>
                <w:sz w:val="18"/>
              </w:rPr>
              <w:t>The Service delivery charter and the Batho Pele Policy has been developed but is lacking implementation</w:t>
            </w:r>
          </w:p>
        </w:tc>
      </w:tr>
      <w:tr w:rsidR="006822A5" w:rsidRPr="006822A5" w14:paraId="242B86C4" w14:textId="77777777" w:rsidTr="00DF06B6">
        <w:trPr>
          <w:trHeight w:val="258"/>
        </w:trPr>
        <w:tc>
          <w:tcPr>
            <w:tcW w:w="2848" w:type="dxa"/>
            <w:vMerge/>
          </w:tcPr>
          <w:p w14:paraId="14FE78BA" w14:textId="77777777" w:rsidR="006822A5" w:rsidRPr="006822A5" w:rsidRDefault="006822A5" w:rsidP="006822A5">
            <w:pPr>
              <w:rPr>
                <w:rFonts w:eastAsia="Calibri" w:cs="Times New Roman"/>
              </w:rPr>
            </w:pPr>
          </w:p>
        </w:tc>
        <w:tc>
          <w:tcPr>
            <w:tcW w:w="3326" w:type="dxa"/>
          </w:tcPr>
          <w:p w14:paraId="016A274E" w14:textId="77777777" w:rsidR="006822A5" w:rsidRPr="006822A5" w:rsidRDefault="006822A5" w:rsidP="006822A5">
            <w:pPr>
              <w:rPr>
                <w:rFonts w:eastAsia="Calibri" w:cs="Times New Roman"/>
                <w:color w:val="000000"/>
              </w:rPr>
            </w:pPr>
            <w:r w:rsidRPr="006822A5">
              <w:rPr>
                <w:rFonts w:eastAsia="Calibri" w:cs="Times New Roman"/>
                <w:color w:val="000000"/>
              </w:rPr>
              <w:t>Poor participation of amaKhosi</w:t>
            </w:r>
          </w:p>
        </w:tc>
        <w:tc>
          <w:tcPr>
            <w:tcW w:w="3388" w:type="dxa"/>
          </w:tcPr>
          <w:p w14:paraId="6072837F" w14:textId="77777777" w:rsidR="006822A5" w:rsidRPr="006822A5" w:rsidRDefault="006822A5" w:rsidP="006822A5">
            <w:pPr>
              <w:jc w:val="both"/>
              <w:rPr>
                <w:rFonts w:eastAsia="Calibri" w:cs="Times New Roman"/>
                <w:sz w:val="18"/>
              </w:rPr>
            </w:pPr>
            <w:r w:rsidRPr="006822A5">
              <w:rPr>
                <w:rFonts w:eastAsia="Calibri" w:cs="Times New Roman"/>
                <w:sz w:val="18"/>
              </w:rPr>
              <w:t>There are 10 amaKhosi which form part of Council, however, the majority of them do not attend.</w:t>
            </w:r>
          </w:p>
        </w:tc>
      </w:tr>
    </w:tbl>
    <w:p w14:paraId="1E54EF86" w14:textId="06660A53" w:rsidR="00E9338C" w:rsidRDefault="006822A5" w:rsidP="006822A5">
      <w:pPr>
        <w:pStyle w:val="Caption"/>
        <w:rPr>
          <w:color w:val="FF0000"/>
        </w:rPr>
      </w:pPr>
      <w:bookmarkStart w:id="17" w:name="_Toc510622253"/>
      <w:r>
        <w:t xml:space="preserve">Table </w:t>
      </w:r>
      <w:r w:rsidR="00B918A6">
        <w:fldChar w:fldCharType="begin"/>
      </w:r>
      <w:r w:rsidR="00B918A6">
        <w:instrText xml:space="preserve"> SEQ Table \* ARABIC </w:instrText>
      </w:r>
      <w:r w:rsidR="00B918A6">
        <w:fldChar w:fldCharType="separate"/>
      </w:r>
      <w:r w:rsidR="0067023A">
        <w:rPr>
          <w:noProof/>
        </w:rPr>
        <w:t>3</w:t>
      </w:r>
      <w:r w:rsidR="00B918A6">
        <w:rPr>
          <w:noProof/>
        </w:rPr>
        <w:fldChar w:fldCharType="end"/>
      </w:r>
      <w:r>
        <w:t>: Key Challenges and Description Thereof</w:t>
      </w:r>
      <w:bookmarkEnd w:id="17"/>
    </w:p>
    <w:p w14:paraId="5D12FB5A" w14:textId="1E3B64D1" w:rsidR="00D4718F" w:rsidRDefault="00872354" w:rsidP="00750180">
      <w:pPr>
        <w:pStyle w:val="Heading2"/>
        <w:numPr>
          <w:ilvl w:val="1"/>
          <w:numId w:val="56"/>
        </w:numPr>
      </w:pPr>
      <w:bookmarkStart w:id="18" w:name="_Toc510706563"/>
      <w:r>
        <w:t>The Municipality’s</w:t>
      </w:r>
      <w:r w:rsidR="00DB33DE">
        <w:t xml:space="preserve"> </w:t>
      </w:r>
      <w:r w:rsidR="00D24875" w:rsidRPr="00D200EA">
        <w:t>Long Term</w:t>
      </w:r>
      <w:r w:rsidR="007A253E" w:rsidRPr="00D200EA">
        <w:t xml:space="preserve"> Vision</w:t>
      </w:r>
      <w:bookmarkEnd w:id="18"/>
    </w:p>
    <w:p w14:paraId="3C41A3BB" w14:textId="77777777" w:rsidR="00D4718F" w:rsidRDefault="00D4718F" w:rsidP="00D4718F">
      <w:pPr>
        <w:spacing w:after="0" w:line="288" w:lineRule="auto"/>
        <w:jc w:val="both"/>
        <w:rPr>
          <w:b/>
          <w:szCs w:val="20"/>
        </w:rPr>
      </w:pPr>
    </w:p>
    <w:p w14:paraId="6B21074D" w14:textId="620FC663" w:rsidR="005E2E40" w:rsidRDefault="00D4718F" w:rsidP="00D4718F">
      <w:pPr>
        <w:spacing w:after="0" w:line="288" w:lineRule="auto"/>
        <w:jc w:val="both"/>
        <w:rPr>
          <w:szCs w:val="20"/>
        </w:rPr>
      </w:pPr>
      <w:r>
        <w:rPr>
          <w:szCs w:val="20"/>
        </w:rPr>
        <w:t xml:space="preserve">During the municipal annual strategic planning session which was held in </w:t>
      </w:r>
      <w:r w:rsidR="00A7173A">
        <w:rPr>
          <w:szCs w:val="20"/>
        </w:rPr>
        <w:t>Richards Bay</w:t>
      </w:r>
      <w:r>
        <w:rPr>
          <w:szCs w:val="20"/>
        </w:rPr>
        <w:t xml:space="preserve">, management as well as the chairperson’s of the portfolio committee resolved to </w:t>
      </w:r>
      <w:r w:rsidR="005E2E40">
        <w:rPr>
          <w:szCs w:val="20"/>
        </w:rPr>
        <w:t>keep</w:t>
      </w:r>
      <w:r>
        <w:rPr>
          <w:szCs w:val="20"/>
        </w:rPr>
        <w:t xml:space="preserve"> the existing m</w:t>
      </w:r>
      <w:r w:rsidR="00DB33DE">
        <w:rPr>
          <w:szCs w:val="20"/>
        </w:rPr>
        <w:t xml:space="preserve">unicipal </w:t>
      </w:r>
      <w:r w:rsidR="005E2E40">
        <w:rPr>
          <w:szCs w:val="20"/>
        </w:rPr>
        <w:t xml:space="preserve">vision. The municipality’s vision thus remains as follows; </w:t>
      </w:r>
    </w:p>
    <w:p w14:paraId="6BEC3C60" w14:textId="77777777" w:rsidR="007A253E" w:rsidRPr="00881795" w:rsidRDefault="007A253E" w:rsidP="00395313">
      <w:pPr>
        <w:spacing w:after="0" w:line="288" w:lineRule="auto"/>
        <w:ind w:left="360"/>
        <w:jc w:val="both"/>
        <w:rPr>
          <w:szCs w:val="20"/>
        </w:rPr>
      </w:pPr>
    </w:p>
    <w:p w14:paraId="60D520FD" w14:textId="77777777" w:rsidR="00AD30B6" w:rsidRPr="00881795" w:rsidRDefault="00881795" w:rsidP="00395313">
      <w:pPr>
        <w:jc w:val="both"/>
        <w:rPr>
          <w:szCs w:val="20"/>
          <w:lang w:bidi="en-US"/>
        </w:rPr>
      </w:pPr>
      <w:r>
        <w:rPr>
          <w:noProof/>
          <w:szCs w:val="20"/>
        </w:rPr>
        <mc:AlternateContent>
          <mc:Choice Requires="wps">
            <w:drawing>
              <wp:inline distT="0" distB="0" distL="0" distR="0" wp14:anchorId="1F96599A" wp14:editId="65F827A9">
                <wp:extent cx="6118698" cy="1809344"/>
                <wp:effectExtent l="57150" t="38100" r="73025" b="95885"/>
                <wp:docPr id="129"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698" cy="1809344"/>
                        </a:xfrm>
                        <a:prstGeom prst="rect">
                          <a:avLst/>
                        </a:prstGeom>
                        <a:ln>
                          <a:headEnd/>
                          <a:tailEnd/>
                        </a:ln>
                      </wps:spPr>
                      <wps:style>
                        <a:lnRef idx="1">
                          <a:schemeClr val="accent3"/>
                        </a:lnRef>
                        <a:fillRef idx="2">
                          <a:schemeClr val="accent3"/>
                        </a:fillRef>
                        <a:effectRef idx="1">
                          <a:schemeClr val="accent3"/>
                        </a:effectRef>
                        <a:fontRef idx="minor">
                          <a:schemeClr val="dk1"/>
                        </a:fontRef>
                      </wps:style>
                      <wps:txbx>
                        <w:txbxContent>
                          <w:p w14:paraId="50B4D674" w14:textId="77777777" w:rsidR="0067023A" w:rsidRPr="00DB33DE" w:rsidRDefault="0067023A" w:rsidP="0091061F">
                            <w:pPr>
                              <w:pStyle w:val="NormalWeb"/>
                              <w:spacing w:before="0" w:beforeAutospacing="0" w:after="200" w:afterAutospacing="0"/>
                              <w:jc w:val="center"/>
                              <w:textAlignment w:val="baseline"/>
                              <w:rPr>
                                <w:rFonts w:ascii="Calibri" w:hAnsi="Calibri"/>
                                <w:b/>
                                <w:sz w:val="36"/>
                                <w:szCs w:val="28"/>
                              </w:rPr>
                            </w:pPr>
                            <w:r w:rsidRPr="00DB33DE">
                              <w:rPr>
                                <w:rFonts w:ascii="Calibri" w:hAnsi="Calibri"/>
                                <w:b/>
                                <w:sz w:val="36"/>
                                <w:szCs w:val="28"/>
                              </w:rPr>
                              <w:t>VISION:</w:t>
                            </w:r>
                          </w:p>
                          <w:p w14:paraId="4493F6FC" w14:textId="77777777" w:rsidR="0067023A" w:rsidRPr="00D4718F" w:rsidRDefault="0067023A" w:rsidP="0091061F">
                            <w:pPr>
                              <w:pStyle w:val="NormalWeb"/>
                              <w:spacing w:before="0" w:beforeAutospacing="0" w:after="200" w:afterAutospacing="0"/>
                              <w:jc w:val="center"/>
                              <w:textAlignment w:val="baseline"/>
                              <w:rPr>
                                <w:rFonts w:ascii="Calibri" w:hAnsi="Calibri"/>
                                <w:sz w:val="36"/>
                                <w:szCs w:val="28"/>
                              </w:rPr>
                            </w:pPr>
                            <w:r w:rsidRPr="00D4718F">
                              <w:rPr>
                                <w:rFonts w:ascii="Calibri" w:hAnsi="Calibri"/>
                                <w:sz w:val="36"/>
                                <w:szCs w:val="28"/>
                              </w:rPr>
                              <w:t>“A model municipality for community empowerment and provision of services by a transformed institution in an area where e</w:t>
                            </w:r>
                            <w:r>
                              <w:rPr>
                                <w:rFonts w:ascii="Calibri" w:hAnsi="Calibri"/>
                                <w:sz w:val="36"/>
                                <w:szCs w:val="28"/>
                              </w:rPr>
                              <w:t>veryone lives in harmony by 2035</w:t>
                            </w:r>
                            <w:r w:rsidRPr="00D4718F">
                              <w:rPr>
                                <w:rFonts w:ascii="Calibri" w:hAnsi="Calibri"/>
                                <w:sz w:val="36"/>
                                <w:szCs w:val="28"/>
                              </w:rPr>
                              <w:t>”</w:t>
                            </w:r>
                          </w:p>
                          <w:p w14:paraId="7B76E906" w14:textId="77777777" w:rsidR="0067023A" w:rsidRPr="0091233B" w:rsidRDefault="0067023A" w:rsidP="0091061F">
                            <w:pPr>
                              <w:pStyle w:val="NormalWeb"/>
                              <w:spacing w:before="0" w:beforeAutospacing="0" w:after="200" w:afterAutospacing="0"/>
                              <w:jc w:val="center"/>
                              <w:textAlignment w:val="baseline"/>
                              <w:rPr>
                                <w:rFonts w:ascii="Calibri" w:hAnsi="Calibri"/>
                                <w:sz w:val="28"/>
                                <w:szCs w:val="28"/>
                              </w:rPr>
                            </w:pPr>
                          </w:p>
                        </w:txbxContent>
                      </wps:txbx>
                      <wps:bodyPr/>
                    </wps:wsp>
                  </a:graphicData>
                </a:graphic>
              </wp:inline>
            </w:drawing>
          </mc:Choice>
          <mc:Fallback>
            <w:pict>
              <v:shapetype w14:anchorId="1F96599A" id="_x0000_t202" coordsize="21600,21600" o:spt="202" path="m,l,21600r21600,l21600,xe">
                <v:stroke joinstyle="miter"/>
                <v:path gradientshapeok="t" o:connecttype="rect"/>
              </v:shapetype>
              <v:shape id="Text Box 128" o:spid="_x0000_s1027" type="#_x0000_t202" style="width:481.8pt;height:14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" fillcolor="#cdddac [1622]" strokecolor="#94b64e [3046]">
                <v:fill color2="#f0f4e6 [502]" rotate="t" angle="180" colors="0 #dafda7;22938f #e4fdc2;1 #f5ffe6" focus="100%" type="gradient"/>
                <v:shadow on="t" color="black" opacity="24903f" origin=",.5" offset="0,.55556mm"/>
                <v:textbox>
                  <w:txbxContent>
                    <w:p w14:paraId="50B4D674" w14:textId="77777777" w:rsidR="0067023A" w:rsidRPr="00DB33DE" w:rsidRDefault="0067023A" w:rsidP="0091061F">
                      <w:pPr>
                        <w:pStyle w:val="NormalWeb"/>
                        <w:spacing w:before="0" w:beforeAutospacing="0" w:after="200" w:afterAutospacing="0"/>
                        <w:jc w:val="center"/>
                        <w:textAlignment w:val="baseline"/>
                        <w:rPr>
                          <w:rFonts w:ascii="Calibri" w:hAnsi="Calibri"/>
                          <w:b/>
                          <w:sz w:val="36"/>
                          <w:szCs w:val="28"/>
                        </w:rPr>
                      </w:pPr>
                      <w:r w:rsidRPr="00DB33DE">
                        <w:rPr>
                          <w:rFonts w:ascii="Calibri" w:hAnsi="Calibri"/>
                          <w:b/>
                          <w:sz w:val="36"/>
                          <w:szCs w:val="28"/>
                        </w:rPr>
                        <w:t>VISION:</w:t>
                      </w:r>
                    </w:p>
                    <w:p w14:paraId="4493F6FC" w14:textId="77777777" w:rsidR="0067023A" w:rsidRPr="00D4718F" w:rsidRDefault="0067023A" w:rsidP="0091061F">
                      <w:pPr>
                        <w:pStyle w:val="NormalWeb"/>
                        <w:spacing w:before="0" w:beforeAutospacing="0" w:after="200" w:afterAutospacing="0"/>
                        <w:jc w:val="center"/>
                        <w:textAlignment w:val="baseline"/>
                        <w:rPr>
                          <w:rFonts w:ascii="Calibri" w:hAnsi="Calibri"/>
                          <w:sz w:val="36"/>
                          <w:szCs w:val="28"/>
                        </w:rPr>
                      </w:pPr>
                      <w:r w:rsidRPr="00D4718F">
                        <w:rPr>
                          <w:rFonts w:ascii="Calibri" w:hAnsi="Calibri"/>
                          <w:sz w:val="36"/>
                          <w:szCs w:val="28"/>
                        </w:rPr>
                        <w:t>“A model municipality for community empowerment and provision of services by a transformed institution in an area where e</w:t>
                      </w:r>
                      <w:r>
                        <w:rPr>
                          <w:rFonts w:ascii="Calibri" w:hAnsi="Calibri"/>
                          <w:sz w:val="36"/>
                          <w:szCs w:val="28"/>
                        </w:rPr>
                        <w:t>veryone lives in harmony by 2035</w:t>
                      </w:r>
                      <w:r w:rsidRPr="00D4718F">
                        <w:rPr>
                          <w:rFonts w:ascii="Calibri" w:hAnsi="Calibri"/>
                          <w:sz w:val="36"/>
                          <w:szCs w:val="28"/>
                        </w:rPr>
                        <w:t>”</w:t>
                      </w:r>
                    </w:p>
                    <w:p w14:paraId="7B76E906" w14:textId="77777777" w:rsidR="0067023A" w:rsidRPr="0091233B" w:rsidRDefault="0067023A" w:rsidP="0091061F">
                      <w:pPr>
                        <w:pStyle w:val="NormalWeb"/>
                        <w:spacing w:before="0" w:beforeAutospacing="0" w:after="200" w:afterAutospacing="0"/>
                        <w:jc w:val="center"/>
                        <w:textAlignment w:val="baseline"/>
                        <w:rPr>
                          <w:rFonts w:ascii="Calibri" w:hAnsi="Calibri"/>
                          <w:sz w:val="28"/>
                          <w:szCs w:val="28"/>
                        </w:rPr>
                      </w:pPr>
                    </w:p>
                  </w:txbxContent>
                </v:textbox>
                <w10:anchorlock/>
              </v:shape>
            </w:pict>
          </mc:Fallback>
        </mc:AlternateContent>
      </w:r>
    </w:p>
    <w:p w14:paraId="6B5F7C53" w14:textId="77777777" w:rsidR="00DB33DE" w:rsidRDefault="00872354" w:rsidP="00750180">
      <w:pPr>
        <w:pStyle w:val="Heading3"/>
        <w:numPr>
          <w:ilvl w:val="2"/>
          <w:numId w:val="56"/>
        </w:numPr>
      </w:pPr>
      <w:bookmarkStart w:id="19" w:name="_Toc510706564"/>
      <w:r>
        <w:t>The Municipality’s</w:t>
      </w:r>
      <w:r w:rsidR="00DB33DE">
        <w:t xml:space="preserve"> Mission</w:t>
      </w:r>
      <w:bookmarkEnd w:id="19"/>
    </w:p>
    <w:p w14:paraId="49316401" w14:textId="77777777" w:rsidR="00DB33DE" w:rsidRDefault="00DB33DE" w:rsidP="00DB33DE">
      <w:pPr>
        <w:spacing w:after="0" w:line="288" w:lineRule="auto"/>
        <w:jc w:val="both"/>
        <w:rPr>
          <w:b/>
          <w:szCs w:val="20"/>
        </w:rPr>
      </w:pPr>
    </w:p>
    <w:p w14:paraId="06D64AEA" w14:textId="123A9EEE" w:rsidR="00DB33DE" w:rsidRDefault="00DB33DE" w:rsidP="00DB33DE">
      <w:pPr>
        <w:spacing w:after="0" w:line="288" w:lineRule="auto"/>
        <w:jc w:val="both"/>
        <w:rPr>
          <w:szCs w:val="20"/>
        </w:rPr>
      </w:pPr>
      <w:r>
        <w:rPr>
          <w:szCs w:val="20"/>
        </w:rPr>
        <w:t>As part of the revision of the long term vision for the municipality, inevitably the mission will also be amended to be in line with the new proposed vision. Below are the commitments, in the form of mission statements, in which the municipality proposes to adopt;</w:t>
      </w:r>
    </w:p>
    <w:p w14:paraId="6604B099" w14:textId="77777777" w:rsidR="00DB33DE" w:rsidRDefault="00DB33DE" w:rsidP="00DB33DE">
      <w:pPr>
        <w:spacing w:after="0" w:line="288" w:lineRule="auto"/>
        <w:jc w:val="both"/>
        <w:rPr>
          <w:szCs w:val="20"/>
        </w:rPr>
      </w:pPr>
    </w:p>
    <w:p w14:paraId="5CF7C342" w14:textId="77777777" w:rsidR="00DB33DE" w:rsidRPr="00DB33DE" w:rsidRDefault="00DB33DE" w:rsidP="00DB33DE">
      <w:pPr>
        <w:spacing w:after="0" w:line="288" w:lineRule="auto"/>
        <w:jc w:val="both"/>
        <w:rPr>
          <w:szCs w:val="20"/>
        </w:rPr>
      </w:pPr>
      <w:r w:rsidRPr="00DB33DE">
        <w:rPr>
          <w:b/>
          <w:i/>
          <w:szCs w:val="20"/>
        </w:rPr>
        <w:t>The uMlalazi municipality in partnership with its community will strive to:</w:t>
      </w:r>
    </w:p>
    <w:p w14:paraId="280AA779" w14:textId="77777777" w:rsidR="00CD1C1C" w:rsidRDefault="00DB33DE" w:rsidP="00750180">
      <w:pPr>
        <w:pStyle w:val="ListParagraph"/>
        <w:numPr>
          <w:ilvl w:val="0"/>
          <w:numId w:val="44"/>
        </w:numPr>
        <w:spacing w:after="0" w:line="288" w:lineRule="auto"/>
        <w:jc w:val="both"/>
        <w:rPr>
          <w:szCs w:val="20"/>
        </w:rPr>
      </w:pPr>
      <w:r w:rsidRPr="00DB33DE">
        <w:rPr>
          <w:szCs w:val="20"/>
        </w:rPr>
        <w:t xml:space="preserve"> Create sustainable and better services for all; </w:t>
      </w:r>
    </w:p>
    <w:p w14:paraId="3BC7A765" w14:textId="77777777" w:rsidR="00DB33DE" w:rsidRDefault="00DB33DE" w:rsidP="00750180">
      <w:pPr>
        <w:pStyle w:val="ListParagraph"/>
        <w:numPr>
          <w:ilvl w:val="0"/>
          <w:numId w:val="44"/>
        </w:numPr>
        <w:spacing w:after="0" w:line="288" w:lineRule="auto"/>
        <w:jc w:val="both"/>
        <w:rPr>
          <w:szCs w:val="20"/>
        </w:rPr>
      </w:pPr>
      <w:r w:rsidRPr="00DB33DE">
        <w:rPr>
          <w:szCs w:val="20"/>
        </w:rPr>
        <w:t>Ensure a skilled, mo</w:t>
      </w:r>
      <w:r>
        <w:rPr>
          <w:szCs w:val="20"/>
        </w:rPr>
        <w:t>tivated and committed workforce;</w:t>
      </w:r>
    </w:p>
    <w:p w14:paraId="756DB0BE" w14:textId="77777777" w:rsidR="00DB33DE" w:rsidRDefault="00DB33DE" w:rsidP="00750180">
      <w:pPr>
        <w:pStyle w:val="ListParagraph"/>
        <w:numPr>
          <w:ilvl w:val="0"/>
          <w:numId w:val="44"/>
        </w:numPr>
        <w:spacing w:after="0" w:line="288" w:lineRule="auto"/>
        <w:jc w:val="both"/>
        <w:rPr>
          <w:szCs w:val="20"/>
        </w:rPr>
      </w:pPr>
      <w:r w:rsidRPr="00DB33DE">
        <w:rPr>
          <w:szCs w:val="20"/>
        </w:rPr>
        <w:t xml:space="preserve">Create mutual trust and understanding between the municipality and the community through effective communication </w:t>
      </w:r>
    </w:p>
    <w:p w14:paraId="0C226E2D" w14:textId="77777777" w:rsidR="00DB33DE" w:rsidRDefault="00DB33DE" w:rsidP="00750180">
      <w:pPr>
        <w:pStyle w:val="ListParagraph"/>
        <w:numPr>
          <w:ilvl w:val="0"/>
          <w:numId w:val="44"/>
        </w:numPr>
        <w:spacing w:after="0" w:line="288" w:lineRule="auto"/>
        <w:jc w:val="both"/>
        <w:rPr>
          <w:szCs w:val="20"/>
        </w:rPr>
      </w:pPr>
      <w:r w:rsidRPr="00DB33DE">
        <w:rPr>
          <w:szCs w:val="20"/>
        </w:rPr>
        <w:t xml:space="preserve">Emphasize better usage of resources; </w:t>
      </w:r>
    </w:p>
    <w:p w14:paraId="1FE95F49" w14:textId="77777777" w:rsidR="00DB33DE" w:rsidRDefault="00DB33DE" w:rsidP="00750180">
      <w:pPr>
        <w:pStyle w:val="ListParagraph"/>
        <w:numPr>
          <w:ilvl w:val="0"/>
          <w:numId w:val="44"/>
        </w:numPr>
        <w:spacing w:after="0" w:line="288" w:lineRule="auto"/>
        <w:jc w:val="both"/>
        <w:rPr>
          <w:szCs w:val="20"/>
        </w:rPr>
      </w:pPr>
      <w:r w:rsidRPr="00DB33DE">
        <w:rPr>
          <w:szCs w:val="20"/>
        </w:rPr>
        <w:t>Provide infrastructure and build investor confidence;</w:t>
      </w:r>
    </w:p>
    <w:p w14:paraId="56F92A11" w14:textId="77777777" w:rsidR="00DB33DE" w:rsidRDefault="00DB33DE" w:rsidP="00750180">
      <w:pPr>
        <w:pStyle w:val="ListParagraph"/>
        <w:numPr>
          <w:ilvl w:val="0"/>
          <w:numId w:val="44"/>
        </w:numPr>
        <w:spacing w:after="0" w:line="288" w:lineRule="auto"/>
        <w:jc w:val="both"/>
        <w:rPr>
          <w:szCs w:val="20"/>
        </w:rPr>
      </w:pPr>
      <w:r w:rsidRPr="00DB33DE">
        <w:rPr>
          <w:szCs w:val="20"/>
        </w:rPr>
        <w:t xml:space="preserve">Enhance Batho - Pele principles and B2B pillars; </w:t>
      </w:r>
    </w:p>
    <w:p w14:paraId="2FCFB102" w14:textId="77777777" w:rsidR="00DB33DE" w:rsidRDefault="00DB33DE" w:rsidP="00750180">
      <w:pPr>
        <w:pStyle w:val="ListParagraph"/>
        <w:numPr>
          <w:ilvl w:val="0"/>
          <w:numId w:val="44"/>
        </w:numPr>
        <w:spacing w:after="0" w:line="288" w:lineRule="auto"/>
        <w:jc w:val="both"/>
        <w:rPr>
          <w:szCs w:val="20"/>
        </w:rPr>
      </w:pPr>
      <w:r w:rsidRPr="00DB33DE">
        <w:rPr>
          <w:szCs w:val="20"/>
        </w:rPr>
        <w:t xml:space="preserve">Create a safe environment for all; </w:t>
      </w:r>
    </w:p>
    <w:p w14:paraId="4DC6639B" w14:textId="77777777" w:rsidR="00DB33DE" w:rsidRDefault="00DB33DE" w:rsidP="00750180">
      <w:pPr>
        <w:pStyle w:val="ListParagraph"/>
        <w:numPr>
          <w:ilvl w:val="0"/>
          <w:numId w:val="44"/>
        </w:numPr>
        <w:spacing w:after="0" w:line="288" w:lineRule="auto"/>
        <w:jc w:val="both"/>
        <w:rPr>
          <w:szCs w:val="20"/>
        </w:rPr>
      </w:pPr>
      <w:r w:rsidRPr="00DB33DE">
        <w:rPr>
          <w:szCs w:val="20"/>
        </w:rPr>
        <w:t xml:space="preserve">Improve the Green Economy of our community by partnering with all stakeholders to create clean &amp; safe place where people live and work; </w:t>
      </w:r>
    </w:p>
    <w:p w14:paraId="4EE80EE5" w14:textId="77777777" w:rsidR="00DB33DE" w:rsidRDefault="00DB33DE" w:rsidP="00750180">
      <w:pPr>
        <w:pStyle w:val="ListParagraph"/>
        <w:numPr>
          <w:ilvl w:val="0"/>
          <w:numId w:val="44"/>
        </w:numPr>
        <w:spacing w:after="0" w:line="288" w:lineRule="auto"/>
        <w:jc w:val="both"/>
        <w:rPr>
          <w:szCs w:val="20"/>
        </w:rPr>
      </w:pPr>
      <w:r w:rsidRPr="00DB33DE">
        <w:rPr>
          <w:szCs w:val="20"/>
        </w:rPr>
        <w:t>Ensure effective land use management that take cognizance of sound environmental practices;</w:t>
      </w:r>
    </w:p>
    <w:p w14:paraId="37903C03" w14:textId="77777777" w:rsidR="00DB33DE" w:rsidRDefault="00DB33DE" w:rsidP="00750180">
      <w:pPr>
        <w:pStyle w:val="ListParagraph"/>
        <w:numPr>
          <w:ilvl w:val="0"/>
          <w:numId w:val="44"/>
        </w:numPr>
        <w:spacing w:after="0" w:line="288" w:lineRule="auto"/>
        <w:jc w:val="both"/>
        <w:rPr>
          <w:szCs w:val="20"/>
        </w:rPr>
      </w:pPr>
      <w:r w:rsidRPr="00DB33DE">
        <w:rPr>
          <w:szCs w:val="20"/>
        </w:rPr>
        <w:t xml:space="preserve">Enhance good governance through leadership excellence &amp; community participation; </w:t>
      </w:r>
    </w:p>
    <w:p w14:paraId="335B0A3E" w14:textId="77777777" w:rsidR="00DB33DE" w:rsidRDefault="00DB33DE" w:rsidP="00750180">
      <w:pPr>
        <w:pStyle w:val="ListParagraph"/>
        <w:numPr>
          <w:ilvl w:val="0"/>
          <w:numId w:val="44"/>
        </w:numPr>
        <w:spacing w:after="0" w:line="288" w:lineRule="auto"/>
        <w:jc w:val="both"/>
        <w:rPr>
          <w:szCs w:val="20"/>
        </w:rPr>
      </w:pPr>
      <w:r w:rsidRPr="00DB33DE">
        <w:rPr>
          <w:szCs w:val="20"/>
        </w:rPr>
        <w:lastRenderedPageBreak/>
        <w:t xml:space="preserve">Facilitate institutional transformation; </w:t>
      </w:r>
    </w:p>
    <w:p w14:paraId="46A4CD7B" w14:textId="77777777" w:rsidR="00DB33DE" w:rsidRDefault="00DB33DE" w:rsidP="00750180">
      <w:pPr>
        <w:pStyle w:val="ListParagraph"/>
        <w:numPr>
          <w:ilvl w:val="0"/>
          <w:numId w:val="44"/>
        </w:numPr>
        <w:spacing w:after="0" w:line="288" w:lineRule="auto"/>
        <w:jc w:val="both"/>
        <w:rPr>
          <w:szCs w:val="20"/>
        </w:rPr>
      </w:pPr>
      <w:r w:rsidRPr="00DB33DE">
        <w:rPr>
          <w:szCs w:val="20"/>
        </w:rPr>
        <w:t>Ensure continued sound financial management;</w:t>
      </w:r>
    </w:p>
    <w:p w14:paraId="3B6BC32C" w14:textId="77777777" w:rsidR="00DB33DE" w:rsidRDefault="00DB33DE" w:rsidP="00750180">
      <w:pPr>
        <w:pStyle w:val="ListParagraph"/>
        <w:numPr>
          <w:ilvl w:val="0"/>
          <w:numId w:val="44"/>
        </w:numPr>
        <w:spacing w:after="0" w:line="288" w:lineRule="auto"/>
        <w:jc w:val="both"/>
        <w:rPr>
          <w:szCs w:val="20"/>
        </w:rPr>
      </w:pPr>
      <w:r w:rsidRPr="00DB33DE">
        <w:rPr>
          <w:szCs w:val="20"/>
        </w:rPr>
        <w:t>Provide services to the entire community with diligence and empathy; and</w:t>
      </w:r>
    </w:p>
    <w:p w14:paraId="302B4082" w14:textId="77777777" w:rsidR="00DB33DE" w:rsidRPr="00DB33DE" w:rsidRDefault="00DB33DE" w:rsidP="00750180">
      <w:pPr>
        <w:pStyle w:val="ListParagraph"/>
        <w:numPr>
          <w:ilvl w:val="0"/>
          <w:numId w:val="44"/>
        </w:numPr>
        <w:spacing w:after="0" w:line="288" w:lineRule="auto"/>
        <w:jc w:val="both"/>
        <w:rPr>
          <w:szCs w:val="20"/>
        </w:rPr>
      </w:pPr>
      <w:r w:rsidRPr="00DB33DE">
        <w:rPr>
          <w:szCs w:val="20"/>
        </w:rPr>
        <w:t>Apply good and transparent corporate governance to promote community prosperity</w:t>
      </w:r>
    </w:p>
    <w:p w14:paraId="065686AF" w14:textId="77777777" w:rsidR="007A253E" w:rsidRPr="005A36DE" w:rsidRDefault="00104C41" w:rsidP="00750180">
      <w:pPr>
        <w:pStyle w:val="Heading3"/>
        <w:numPr>
          <w:ilvl w:val="2"/>
          <w:numId w:val="56"/>
        </w:numPr>
        <w:spacing w:after="240"/>
      </w:pPr>
      <w:bookmarkStart w:id="20" w:name="_Toc510706565"/>
      <w:r w:rsidRPr="005A36DE">
        <w:t>Long Term Strategic Goals</w:t>
      </w:r>
      <w:r w:rsidR="00E433B1" w:rsidRPr="005A36DE">
        <w:t xml:space="preserve"> and Desired Outputs</w:t>
      </w:r>
      <w:bookmarkEnd w:id="20"/>
      <w:r w:rsidR="00DB33DE" w:rsidRPr="005A36DE">
        <w:t xml:space="preserve"> </w:t>
      </w:r>
    </w:p>
    <w:p w14:paraId="407997AE" w14:textId="77777777" w:rsidR="00E8145E" w:rsidRDefault="00331FEB" w:rsidP="00395313">
      <w:pPr>
        <w:spacing w:after="0" w:line="288" w:lineRule="auto"/>
        <w:ind w:left="495"/>
        <w:jc w:val="both"/>
        <w:rPr>
          <w:szCs w:val="20"/>
        </w:rPr>
      </w:pPr>
      <w:r>
        <w:rPr>
          <w:szCs w:val="20"/>
        </w:rPr>
        <w:t>The u</w:t>
      </w:r>
      <w:r w:rsidR="00A05DB4">
        <w:rPr>
          <w:szCs w:val="20"/>
        </w:rPr>
        <w:t>Mlalazi Municipality has developed the following strategic goals to mitigate the key challenges.</w:t>
      </w:r>
      <w:r w:rsidR="00104C41">
        <w:rPr>
          <w:szCs w:val="20"/>
        </w:rPr>
        <w:t xml:space="preserve"> These</w:t>
      </w:r>
      <w:r w:rsidR="00A05DB4">
        <w:rPr>
          <w:szCs w:val="20"/>
        </w:rPr>
        <w:t xml:space="preserve"> strategic </w:t>
      </w:r>
      <w:r w:rsidR="00104C41">
        <w:rPr>
          <w:szCs w:val="20"/>
        </w:rPr>
        <w:t>goals are directly linked to the municipal developmental vision</w:t>
      </w:r>
      <w:r w:rsidR="001C435F">
        <w:rPr>
          <w:szCs w:val="20"/>
        </w:rPr>
        <w:t xml:space="preserve"> for 2030</w:t>
      </w:r>
      <w:r w:rsidR="00A05DB4">
        <w:rPr>
          <w:szCs w:val="20"/>
        </w:rPr>
        <w:t>, which is linked to N</w:t>
      </w:r>
      <w:r w:rsidR="00D254F4">
        <w:rPr>
          <w:szCs w:val="20"/>
        </w:rPr>
        <w:t xml:space="preserve">ational and </w:t>
      </w:r>
      <w:r w:rsidR="00A05DB4">
        <w:rPr>
          <w:szCs w:val="20"/>
        </w:rPr>
        <w:t>P</w:t>
      </w:r>
      <w:r w:rsidR="00D254F4">
        <w:rPr>
          <w:szCs w:val="20"/>
        </w:rPr>
        <w:t xml:space="preserve">rovincial goals. </w:t>
      </w:r>
    </w:p>
    <w:p w14:paraId="13BCB938" w14:textId="77777777" w:rsidR="00B80F75" w:rsidRDefault="00B80F75" w:rsidP="00750180">
      <w:pPr>
        <w:pStyle w:val="ListParagraph"/>
        <w:numPr>
          <w:ilvl w:val="0"/>
          <w:numId w:val="46"/>
        </w:numPr>
        <w:ind w:left="1418" w:hanging="567"/>
        <w:sectPr w:rsidR="00B80F75" w:rsidSect="00200D05">
          <w:pgSz w:w="11907" w:h="16839" w:code="9"/>
          <w:pgMar w:top="1276" w:right="1134" w:bottom="851" w:left="1134" w:header="720" w:footer="345" w:gutter="0"/>
          <w:cols w:space="720"/>
          <w:titlePg/>
          <w:docGrid w:linePitch="360"/>
        </w:sectPr>
      </w:pPr>
    </w:p>
    <w:tbl>
      <w:tblPr>
        <w:tblStyle w:val="TableGrid27"/>
        <w:tblpPr w:leftFromText="180" w:rightFromText="180" w:vertAnchor="page" w:horzAnchor="margin" w:tblpXSpec="center" w:tblpY="615"/>
        <w:tblW w:w="15285" w:type="dxa"/>
        <w:tblLook w:val="04A0" w:firstRow="1" w:lastRow="0" w:firstColumn="1" w:lastColumn="0" w:noHBand="0" w:noVBand="1"/>
      </w:tblPr>
      <w:tblGrid>
        <w:gridCol w:w="1806"/>
        <w:gridCol w:w="2286"/>
        <w:gridCol w:w="1631"/>
        <w:gridCol w:w="1306"/>
        <w:gridCol w:w="1796"/>
        <w:gridCol w:w="1958"/>
        <w:gridCol w:w="1958"/>
        <w:gridCol w:w="2544"/>
      </w:tblGrid>
      <w:tr w:rsidR="00366E30" w:rsidRPr="00366E30" w14:paraId="442F1AB5" w14:textId="77777777" w:rsidTr="00A3398B">
        <w:trPr>
          <w:trHeight w:val="391"/>
          <w:tblHeader/>
        </w:trPr>
        <w:tc>
          <w:tcPr>
            <w:tcW w:w="1806" w:type="dxa"/>
            <w:shd w:val="clear" w:color="auto" w:fill="AEAAAA"/>
          </w:tcPr>
          <w:p w14:paraId="4A1A4600" w14:textId="77777777" w:rsidR="00366E30" w:rsidRPr="00366E30" w:rsidRDefault="00366E30" w:rsidP="00366E30">
            <w:pPr>
              <w:rPr>
                <w:rFonts w:eastAsia="Calibri" w:cs="Times New Roman"/>
                <w:b/>
                <w:sz w:val="16"/>
              </w:rPr>
            </w:pPr>
            <w:r w:rsidRPr="00366E30">
              <w:rPr>
                <w:rFonts w:eastAsia="Calibri" w:cs="Times New Roman"/>
                <w:b/>
                <w:sz w:val="16"/>
              </w:rPr>
              <w:lastRenderedPageBreak/>
              <w:t>NDP</w:t>
            </w:r>
          </w:p>
        </w:tc>
        <w:tc>
          <w:tcPr>
            <w:tcW w:w="2286" w:type="dxa"/>
            <w:shd w:val="clear" w:color="auto" w:fill="AEAAAA"/>
          </w:tcPr>
          <w:p w14:paraId="6CFC51BA" w14:textId="77777777" w:rsidR="00366E30" w:rsidRPr="00366E30" w:rsidRDefault="00366E30" w:rsidP="00366E30">
            <w:pPr>
              <w:rPr>
                <w:rFonts w:eastAsia="Calibri" w:cs="Times New Roman"/>
                <w:b/>
                <w:sz w:val="16"/>
              </w:rPr>
            </w:pPr>
            <w:r w:rsidRPr="00366E30">
              <w:rPr>
                <w:rFonts w:eastAsia="Calibri" w:cs="Times New Roman"/>
                <w:b/>
                <w:sz w:val="16"/>
              </w:rPr>
              <w:t>PGDS/DGDP</w:t>
            </w:r>
          </w:p>
        </w:tc>
        <w:tc>
          <w:tcPr>
            <w:tcW w:w="1631" w:type="dxa"/>
            <w:shd w:val="clear" w:color="auto" w:fill="AEAAAA"/>
          </w:tcPr>
          <w:p w14:paraId="26D843B5" w14:textId="77777777" w:rsidR="00366E30" w:rsidRPr="00366E30" w:rsidRDefault="00366E30" w:rsidP="00366E30">
            <w:pPr>
              <w:rPr>
                <w:rFonts w:eastAsia="Calibri" w:cs="Times New Roman"/>
                <w:b/>
                <w:sz w:val="16"/>
              </w:rPr>
            </w:pPr>
            <w:r w:rsidRPr="00366E30">
              <w:rPr>
                <w:rFonts w:eastAsia="Calibri" w:cs="Times New Roman"/>
                <w:b/>
                <w:sz w:val="16"/>
              </w:rPr>
              <w:t>KCDM IDP GOALS</w:t>
            </w:r>
          </w:p>
        </w:tc>
        <w:tc>
          <w:tcPr>
            <w:tcW w:w="1306" w:type="dxa"/>
            <w:shd w:val="clear" w:color="auto" w:fill="AEAAAA"/>
          </w:tcPr>
          <w:p w14:paraId="51AA4966" w14:textId="77777777" w:rsidR="00366E30" w:rsidRPr="00366E30" w:rsidRDefault="00366E30" w:rsidP="00366E30">
            <w:pPr>
              <w:rPr>
                <w:rFonts w:eastAsia="Calibri" w:cs="Times New Roman"/>
                <w:b/>
                <w:sz w:val="16"/>
              </w:rPr>
            </w:pPr>
            <w:r w:rsidRPr="00366E30">
              <w:rPr>
                <w:rFonts w:eastAsia="Calibri" w:cs="Times New Roman"/>
                <w:b/>
                <w:sz w:val="16"/>
              </w:rPr>
              <w:t>B2B</w:t>
            </w:r>
          </w:p>
        </w:tc>
        <w:tc>
          <w:tcPr>
            <w:tcW w:w="1796" w:type="dxa"/>
            <w:shd w:val="clear" w:color="auto" w:fill="AEAAAA"/>
          </w:tcPr>
          <w:p w14:paraId="0CCEB54F" w14:textId="77777777" w:rsidR="00366E30" w:rsidRPr="00366E30" w:rsidRDefault="00366E30" w:rsidP="00366E30">
            <w:pPr>
              <w:rPr>
                <w:rFonts w:eastAsia="Calibri" w:cs="Times New Roman"/>
                <w:b/>
                <w:sz w:val="16"/>
              </w:rPr>
            </w:pPr>
            <w:r w:rsidRPr="00366E30">
              <w:rPr>
                <w:rFonts w:eastAsia="Calibri" w:cs="Times New Roman"/>
                <w:b/>
                <w:sz w:val="16"/>
              </w:rPr>
              <w:t>NKPAs (GOALS)</w:t>
            </w:r>
          </w:p>
        </w:tc>
        <w:tc>
          <w:tcPr>
            <w:tcW w:w="1958" w:type="dxa"/>
            <w:shd w:val="clear" w:color="auto" w:fill="AEAAAA"/>
          </w:tcPr>
          <w:p w14:paraId="710E56B6" w14:textId="77777777" w:rsidR="00366E30" w:rsidRPr="00366E30" w:rsidRDefault="00366E30" w:rsidP="00366E30">
            <w:pPr>
              <w:rPr>
                <w:rFonts w:eastAsia="Calibri" w:cs="Times New Roman"/>
                <w:b/>
                <w:sz w:val="16"/>
              </w:rPr>
            </w:pPr>
            <w:r w:rsidRPr="00366E30">
              <w:rPr>
                <w:rFonts w:eastAsia="Calibri" w:cs="Times New Roman"/>
                <w:b/>
                <w:sz w:val="16"/>
              </w:rPr>
              <w:t>LM STRATEGIC GOALS</w:t>
            </w:r>
          </w:p>
        </w:tc>
        <w:tc>
          <w:tcPr>
            <w:tcW w:w="1958" w:type="dxa"/>
            <w:shd w:val="clear" w:color="auto" w:fill="AEAAAA"/>
          </w:tcPr>
          <w:p w14:paraId="4E217B1A" w14:textId="77777777" w:rsidR="00366E30" w:rsidRPr="00366E30" w:rsidRDefault="00366E30" w:rsidP="00366E30">
            <w:pPr>
              <w:rPr>
                <w:rFonts w:eastAsia="Calibri" w:cs="Times New Roman"/>
                <w:b/>
                <w:sz w:val="16"/>
              </w:rPr>
            </w:pPr>
            <w:r w:rsidRPr="00366E30">
              <w:rPr>
                <w:rFonts w:eastAsia="Calibri" w:cs="Times New Roman"/>
                <w:b/>
                <w:sz w:val="16"/>
              </w:rPr>
              <w:t>OBLECTIVES</w:t>
            </w:r>
          </w:p>
        </w:tc>
        <w:tc>
          <w:tcPr>
            <w:tcW w:w="2544" w:type="dxa"/>
            <w:shd w:val="clear" w:color="auto" w:fill="AEAAAA"/>
          </w:tcPr>
          <w:p w14:paraId="757C7F5D" w14:textId="77777777" w:rsidR="00366E30" w:rsidRPr="00366E30" w:rsidRDefault="00366E30" w:rsidP="00366E30">
            <w:pPr>
              <w:rPr>
                <w:rFonts w:eastAsia="Calibri" w:cs="Times New Roman"/>
                <w:b/>
                <w:sz w:val="14"/>
                <w:szCs w:val="14"/>
              </w:rPr>
            </w:pPr>
            <w:r w:rsidRPr="00366E30">
              <w:rPr>
                <w:rFonts w:eastAsia="Calibri" w:cs="Times New Roman"/>
                <w:b/>
                <w:sz w:val="14"/>
                <w:szCs w:val="14"/>
              </w:rPr>
              <w:t>STRATEGY</w:t>
            </w:r>
          </w:p>
        </w:tc>
      </w:tr>
      <w:tr w:rsidR="00366E30" w:rsidRPr="00366E30" w14:paraId="25FB153E" w14:textId="77777777" w:rsidTr="00A3398B">
        <w:trPr>
          <w:trHeight w:val="805"/>
        </w:trPr>
        <w:tc>
          <w:tcPr>
            <w:tcW w:w="1806" w:type="dxa"/>
          </w:tcPr>
          <w:p w14:paraId="5E205869" w14:textId="77777777" w:rsidR="00366E30" w:rsidRPr="00366E30" w:rsidRDefault="00366E30" w:rsidP="00366E30">
            <w:pPr>
              <w:rPr>
                <w:rFonts w:eastAsia="Calibri" w:cs="Times New Roman"/>
                <w:sz w:val="16"/>
              </w:rPr>
            </w:pPr>
            <w:r w:rsidRPr="00366E30">
              <w:rPr>
                <w:rFonts w:eastAsia="Calibri" w:cs="Times New Roman"/>
                <w:sz w:val="16"/>
              </w:rPr>
              <w:t>Build a capable state</w:t>
            </w:r>
          </w:p>
          <w:p w14:paraId="19EC9900" w14:textId="77777777" w:rsidR="00366E30" w:rsidRPr="00366E30" w:rsidRDefault="00366E30" w:rsidP="00366E30">
            <w:pPr>
              <w:rPr>
                <w:rFonts w:eastAsia="Calibri" w:cs="Times New Roman"/>
                <w:sz w:val="16"/>
              </w:rPr>
            </w:pPr>
            <w:r w:rsidRPr="00366E30">
              <w:rPr>
                <w:rFonts w:eastAsia="Calibri" w:cs="Times New Roman"/>
                <w:sz w:val="16"/>
              </w:rPr>
              <w:t>Fight corruption</w:t>
            </w:r>
          </w:p>
        </w:tc>
        <w:tc>
          <w:tcPr>
            <w:tcW w:w="2286" w:type="dxa"/>
          </w:tcPr>
          <w:p w14:paraId="24B65B36" w14:textId="77777777" w:rsidR="00366E30" w:rsidRPr="00366E30" w:rsidRDefault="00366E30" w:rsidP="00366E30">
            <w:pPr>
              <w:rPr>
                <w:rFonts w:eastAsia="Calibri" w:cs="Times New Roman"/>
                <w:sz w:val="16"/>
              </w:rPr>
            </w:pPr>
            <w:r w:rsidRPr="00366E30">
              <w:rPr>
                <w:rFonts w:eastAsia="Calibri" w:cs="Times New Roman"/>
                <w:sz w:val="16"/>
              </w:rPr>
              <w:t>Human Resource Development</w:t>
            </w:r>
          </w:p>
          <w:p w14:paraId="02D5E1AA" w14:textId="77777777" w:rsidR="00366E30" w:rsidRPr="00366E30" w:rsidRDefault="00366E30" w:rsidP="00366E30">
            <w:pPr>
              <w:rPr>
                <w:rFonts w:eastAsia="Calibri" w:cs="Times New Roman"/>
                <w:sz w:val="16"/>
              </w:rPr>
            </w:pPr>
            <w:r w:rsidRPr="00366E30">
              <w:rPr>
                <w:rFonts w:eastAsia="Calibri" w:cs="Times New Roman"/>
                <w:sz w:val="16"/>
              </w:rPr>
              <w:t>Human &amp;Community Development</w:t>
            </w:r>
          </w:p>
          <w:p w14:paraId="623EEF54" w14:textId="77777777" w:rsidR="00366E30" w:rsidRPr="00366E30" w:rsidRDefault="00366E30" w:rsidP="00366E30">
            <w:pPr>
              <w:rPr>
                <w:rFonts w:eastAsia="Calibri" w:cs="Times New Roman"/>
                <w:sz w:val="16"/>
              </w:rPr>
            </w:pPr>
            <w:r w:rsidRPr="00366E30">
              <w:rPr>
                <w:rFonts w:eastAsia="Calibri" w:cs="Times New Roman"/>
                <w:sz w:val="16"/>
              </w:rPr>
              <w:t>Governance and Policy</w:t>
            </w:r>
          </w:p>
        </w:tc>
        <w:tc>
          <w:tcPr>
            <w:tcW w:w="1631" w:type="dxa"/>
          </w:tcPr>
          <w:p w14:paraId="237048AE" w14:textId="77777777" w:rsidR="00366E30" w:rsidRPr="00366E30" w:rsidRDefault="00366E30" w:rsidP="00366E30">
            <w:pPr>
              <w:rPr>
                <w:rFonts w:eastAsia="Calibri" w:cs="Times New Roman"/>
                <w:sz w:val="16"/>
              </w:rPr>
            </w:pPr>
            <w:r w:rsidRPr="00366E30">
              <w:rPr>
                <w:rFonts w:eastAsia="Calibri" w:cs="Times New Roman"/>
                <w:sz w:val="16"/>
              </w:rPr>
              <w:t>Municipal Transformation, Organizational and Human Resource Development</w:t>
            </w:r>
          </w:p>
        </w:tc>
        <w:tc>
          <w:tcPr>
            <w:tcW w:w="1306" w:type="dxa"/>
          </w:tcPr>
          <w:p w14:paraId="25A0F98E" w14:textId="77777777" w:rsidR="00366E30" w:rsidRPr="00366E30" w:rsidRDefault="00366E30" w:rsidP="00366E30">
            <w:pPr>
              <w:rPr>
                <w:rFonts w:eastAsia="Calibri" w:cs="Times New Roman"/>
                <w:sz w:val="16"/>
              </w:rPr>
            </w:pPr>
            <w:r w:rsidRPr="00366E30">
              <w:rPr>
                <w:rFonts w:eastAsia="Calibri" w:cs="Times New Roman"/>
                <w:sz w:val="16"/>
              </w:rPr>
              <w:t>Institutional Capacity</w:t>
            </w:r>
          </w:p>
        </w:tc>
        <w:tc>
          <w:tcPr>
            <w:tcW w:w="1796" w:type="dxa"/>
          </w:tcPr>
          <w:p w14:paraId="2B9274DC" w14:textId="77777777" w:rsidR="00366E30" w:rsidRPr="00366E30" w:rsidRDefault="00366E30" w:rsidP="00366E30">
            <w:pPr>
              <w:rPr>
                <w:rFonts w:eastAsia="Calibri" w:cs="Times New Roman"/>
                <w:sz w:val="16"/>
              </w:rPr>
            </w:pPr>
            <w:r w:rsidRPr="00366E30">
              <w:rPr>
                <w:rFonts w:eastAsia="Calibri" w:cs="Times New Roman"/>
                <w:sz w:val="16"/>
              </w:rPr>
              <w:t>Municipal Transformation and Institutional Development</w:t>
            </w:r>
          </w:p>
        </w:tc>
        <w:tc>
          <w:tcPr>
            <w:tcW w:w="1958" w:type="dxa"/>
          </w:tcPr>
          <w:p w14:paraId="2C99DF36" w14:textId="77777777" w:rsidR="00366E30" w:rsidRPr="00366E30" w:rsidRDefault="00366E30" w:rsidP="00366E30">
            <w:pPr>
              <w:rPr>
                <w:rFonts w:eastAsia="Calibri" w:cs="Times New Roman"/>
                <w:sz w:val="16"/>
              </w:rPr>
            </w:pPr>
            <w:r w:rsidRPr="00366E30">
              <w:rPr>
                <w:rFonts w:eastAsia="Calibri" w:cs="Times New Roman"/>
                <w:sz w:val="16"/>
              </w:rPr>
              <w:t>Municipal Transformation, Institutional and Human Resource Development</w:t>
            </w:r>
          </w:p>
        </w:tc>
        <w:tc>
          <w:tcPr>
            <w:tcW w:w="1958" w:type="dxa"/>
          </w:tcPr>
          <w:p w14:paraId="2614D271" w14:textId="77777777" w:rsidR="00366E30" w:rsidRPr="00366E30" w:rsidRDefault="00366E30" w:rsidP="00366E30">
            <w:pPr>
              <w:rPr>
                <w:rFonts w:eastAsia="Calibri" w:cs="Times New Roman"/>
                <w:sz w:val="14"/>
              </w:rPr>
            </w:pPr>
            <w:r w:rsidRPr="00366E30">
              <w:rPr>
                <w:rFonts w:eastAsia="Calibri" w:cs="Times New Roman"/>
                <w:sz w:val="14"/>
              </w:rPr>
              <w:t>To Develop the Institution and to Facilitate Institutional Transformation</w:t>
            </w:r>
          </w:p>
          <w:p w14:paraId="07D9F8E5" w14:textId="77777777" w:rsidR="00366E30" w:rsidRPr="00366E30" w:rsidRDefault="00366E30" w:rsidP="00366E30">
            <w:pPr>
              <w:rPr>
                <w:rFonts w:eastAsia="Calibri" w:cs="Times New Roman"/>
                <w:sz w:val="14"/>
              </w:rPr>
            </w:pPr>
          </w:p>
          <w:p w14:paraId="502E1360" w14:textId="77777777" w:rsidR="00366E30" w:rsidRPr="00366E30" w:rsidRDefault="00366E30" w:rsidP="00366E30">
            <w:pPr>
              <w:rPr>
                <w:rFonts w:eastAsia="Calibri" w:cs="Times New Roman"/>
                <w:sz w:val="16"/>
              </w:rPr>
            </w:pPr>
            <w:r w:rsidRPr="00366E30">
              <w:rPr>
                <w:rFonts w:eastAsia="Calibri" w:cs="Times New Roman"/>
                <w:sz w:val="14"/>
              </w:rPr>
              <w:t xml:space="preserve">To Support and Implement Internship,  and In-service Training Programs </w:t>
            </w:r>
          </w:p>
        </w:tc>
        <w:tc>
          <w:tcPr>
            <w:tcW w:w="2544" w:type="dxa"/>
          </w:tcPr>
          <w:p w14:paraId="12AA2DD5" w14:textId="77777777" w:rsidR="00366E30" w:rsidRPr="00366E30" w:rsidRDefault="00366E30" w:rsidP="00366E30">
            <w:pPr>
              <w:rPr>
                <w:rFonts w:eastAsia="Calibri" w:cs="Times New Roman"/>
                <w:sz w:val="14"/>
                <w:szCs w:val="14"/>
              </w:rPr>
            </w:pPr>
            <w:r w:rsidRPr="00366E30">
              <w:rPr>
                <w:rFonts w:eastAsia="Calibri" w:cs="Times New Roman"/>
                <w:sz w:val="14"/>
                <w:szCs w:val="14"/>
              </w:rPr>
              <w:t>Improve ICT within the Institution</w:t>
            </w:r>
          </w:p>
          <w:p w14:paraId="25AD03B2" w14:textId="77777777" w:rsidR="00366E30" w:rsidRPr="00366E30" w:rsidRDefault="00366E30" w:rsidP="00366E30">
            <w:pPr>
              <w:rPr>
                <w:rFonts w:eastAsia="Calibri" w:cs="Times New Roman"/>
                <w:sz w:val="14"/>
                <w:szCs w:val="14"/>
              </w:rPr>
            </w:pPr>
            <w:r w:rsidRPr="00366E30">
              <w:rPr>
                <w:rFonts w:eastAsia="Calibri" w:cs="Times New Roman"/>
                <w:sz w:val="14"/>
                <w:szCs w:val="14"/>
              </w:rPr>
              <w:t>Training and Capacitating of Staff</w:t>
            </w:r>
          </w:p>
          <w:p w14:paraId="797389CB" w14:textId="77777777" w:rsidR="00366E30" w:rsidRPr="00366E30" w:rsidRDefault="00366E30" w:rsidP="00366E30">
            <w:pPr>
              <w:rPr>
                <w:rFonts w:eastAsia="Calibri" w:cs="Times New Roman"/>
                <w:sz w:val="14"/>
                <w:szCs w:val="14"/>
              </w:rPr>
            </w:pPr>
            <w:r w:rsidRPr="00366E30">
              <w:rPr>
                <w:rFonts w:eastAsia="Calibri" w:cs="Times New Roman"/>
                <w:sz w:val="14"/>
                <w:szCs w:val="14"/>
              </w:rPr>
              <w:t>Training of Councilors</w:t>
            </w:r>
          </w:p>
          <w:p w14:paraId="607A318C" w14:textId="77777777" w:rsidR="00366E30" w:rsidRPr="00366E30" w:rsidRDefault="00366E30" w:rsidP="00366E30">
            <w:pPr>
              <w:rPr>
                <w:rFonts w:eastAsia="Calibri" w:cs="Times New Roman"/>
                <w:sz w:val="14"/>
                <w:szCs w:val="14"/>
              </w:rPr>
            </w:pPr>
            <w:r w:rsidRPr="00366E30">
              <w:rPr>
                <w:rFonts w:eastAsia="Calibri" w:cs="Times New Roman"/>
                <w:sz w:val="14"/>
                <w:szCs w:val="14"/>
              </w:rPr>
              <w:t>Internships and In-service Training</w:t>
            </w:r>
          </w:p>
          <w:p w14:paraId="4ACBAAFD" w14:textId="77777777" w:rsidR="00366E30" w:rsidRPr="00366E30" w:rsidRDefault="00366E30" w:rsidP="00366E30">
            <w:pPr>
              <w:rPr>
                <w:rFonts w:eastAsia="Calibri" w:cs="Times New Roman"/>
                <w:sz w:val="14"/>
                <w:szCs w:val="14"/>
              </w:rPr>
            </w:pPr>
            <w:r w:rsidRPr="00366E30">
              <w:rPr>
                <w:rFonts w:eastAsia="Calibri" w:cs="Times New Roman"/>
                <w:sz w:val="14"/>
                <w:szCs w:val="14"/>
              </w:rPr>
              <w:t>Employee Wellness</w:t>
            </w:r>
          </w:p>
          <w:p w14:paraId="026B91AB" w14:textId="77777777" w:rsidR="00366E30" w:rsidRPr="00366E30" w:rsidRDefault="00366E30" w:rsidP="00366E30">
            <w:pPr>
              <w:rPr>
                <w:rFonts w:eastAsia="Calibri" w:cs="Times New Roman"/>
                <w:sz w:val="14"/>
                <w:szCs w:val="14"/>
              </w:rPr>
            </w:pPr>
            <w:r w:rsidRPr="00366E30">
              <w:rPr>
                <w:rFonts w:eastAsia="Calibri" w:cs="Times New Roman"/>
                <w:sz w:val="14"/>
                <w:szCs w:val="14"/>
              </w:rPr>
              <w:t>Filling of Critical Posts</w:t>
            </w:r>
          </w:p>
          <w:p w14:paraId="73BFF3DB" w14:textId="77777777" w:rsidR="00366E30" w:rsidRPr="00366E30" w:rsidRDefault="00366E30" w:rsidP="00366E30">
            <w:pPr>
              <w:rPr>
                <w:rFonts w:eastAsia="Calibri" w:cs="Times New Roman"/>
                <w:sz w:val="14"/>
                <w:szCs w:val="14"/>
              </w:rPr>
            </w:pPr>
            <w:r w:rsidRPr="00366E30">
              <w:rPr>
                <w:rFonts w:eastAsia="Calibri" w:cs="Times New Roman"/>
                <w:sz w:val="14"/>
                <w:szCs w:val="14"/>
              </w:rPr>
              <w:t>Job Evaluations</w:t>
            </w:r>
          </w:p>
        </w:tc>
      </w:tr>
      <w:tr w:rsidR="00366E30" w:rsidRPr="00366E30" w14:paraId="59BFFA98" w14:textId="77777777" w:rsidTr="00A3398B">
        <w:trPr>
          <w:trHeight w:val="746"/>
        </w:trPr>
        <w:tc>
          <w:tcPr>
            <w:tcW w:w="1806" w:type="dxa"/>
          </w:tcPr>
          <w:p w14:paraId="2C6ABFAB" w14:textId="77777777" w:rsidR="00366E30" w:rsidRPr="00366E30" w:rsidRDefault="00366E30" w:rsidP="00366E30">
            <w:pPr>
              <w:rPr>
                <w:rFonts w:eastAsia="Calibri" w:cs="Times New Roman"/>
                <w:sz w:val="16"/>
              </w:rPr>
            </w:pPr>
            <w:r w:rsidRPr="00366E30">
              <w:rPr>
                <w:rFonts w:eastAsia="Calibri" w:cs="Times New Roman"/>
                <w:sz w:val="16"/>
              </w:rPr>
              <w:t>Create jobs</w:t>
            </w:r>
          </w:p>
          <w:p w14:paraId="1647DC4A" w14:textId="77777777" w:rsidR="00366E30" w:rsidRPr="00366E30" w:rsidRDefault="00366E30" w:rsidP="00366E30">
            <w:pPr>
              <w:rPr>
                <w:rFonts w:eastAsia="Calibri" w:cs="Times New Roman"/>
                <w:sz w:val="16"/>
              </w:rPr>
            </w:pPr>
            <w:r w:rsidRPr="00366E30">
              <w:rPr>
                <w:rFonts w:eastAsia="Calibri" w:cs="Times New Roman"/>
                <w:sz w:val="16"/>
              </w:rPr>
              <w:t>Use Resources Properly</w:t>
            </w:r>
          </w:p>
          <w:p w14:paraId="5DDABC34" w14:textId="77777777" w:rsidR="00366E30" w:rsidRPr="00366E30" w:rsidRDefault="00366E30" w:rsidP="00366E30">
            <w:pPr>
              <w:rPr>
                <w:rFonts w:eastAsia="Calibri" w:cs="Times New Roman"/>
                <w:sz w:val="16"/>
              </w:rPr>
            </w:pPr>
            <w:r w:rsidRPr="00366E30">
              <w:rPr>
                <w:rFonts w:eastAsia="Calibri" w:cs="Times New Roman"/>
                <w:sz w:val="16"/>
              </w:rPr>
              <w:t>Inclusive Planning</w:t>
            </w:r>
          </w:p>
          <w:p w14:paraId="2B72EF02" w14:textId="77777777" w:rsidR="00366E30" w:rsidRPr="00366E30" w:rsidRDefault="00366E30" w:rsidP="00366E30">
            <w:pPr>
              <w:rPr>
                <w:rFonts w:eastAsia="Calibri" w:cs="Times New Roman"/>
                <w:sz w:val="16"/>
              </w:rPr>
            </w:pPr>
            <w:r w:rsidRPr="00366E30">
              <w:rPr>
                <w:rFonts w:eastAsia="Calibri" w:cs="Times New Roman"/>
                <w:sz w:val="16"/>
              </w:rPr>
              <w:t>Build a Capable State</w:t>
            </w:r>
          </w:p>
        </w:tc>
        <w:tc>
          <w:tcPr>
            <w:tcW w:w="2286" w:type="dxa"/>
          </w:tcPr>
          <w:p w14:paraId="7347EA94" w14:textId="77777777" w:rsidR="00366E30" w:rsidRPr="00366E30" w:rsidRDefault="00366E30" w:rsidP="00366E30">
            <w:pPr>
              <w:rPr>
                <w:rFonts w:eastAsia="Calibri" w:cs="Times New Roman"/>
                <w:sz w:val="16"/>
              </w:rPr>
            </w:pPr>
            <w:r w:rsidRPr="00366E30">
              <w:rPr>
                <w:rFonts w:eastAsia="Calibri" w:cs="Times New Roman"/>
                <w:sz w:val="16"/>
              </w:rPr>
              <w:t>Inclusive Economic Growth</w:t>
            </w:r>
          </w:p>
          <w:p w14:paraId="28FF1B37" w14:textId="77777777" w:rsidR="00366E30" w:rsidRPr="00366E30" w:rsidRDefault="00366E30" w:rsidP="00366E30">
            <w:pPr>
              <w:rPr>
                <w:rFonts w:eastAsia="Calibri" w:cs="Times New Roman"/>
                <w:sz w:val="16"/>
              </w:rPr>
            </w:pPr>
            <w:r w:rsidRPr="00366E30">
              <w:rPr>
                <w:rFonts w:eastAsia="Calibri" w:cs="Times New Roman"/>
                <w:sz w:val="16"/>
              </w:rPr>
              <w:t>Human &amp; Community Development</w:t>
            </w:r>
          </w:p>
          <w:p w14:paraId="5DC3D2BD" w14:textId="77777777" w:rsidR="00366E30" w:rsidRPr="00366E30" w:rsidRDefault="00366E30" w:rsidP="00366E30">
            <w:pPr>
              <w:rPr>
                <w:rFonts w:eastAsia="Calibri" w:cs="Times New Roman"/>
                <w:sz w:val="16"/>
              </w:rPr>
            </w:pPr>
            <w:r w:rsidRPr="00366E30">
              <w:rPr>
                <w:rFonts w:eastAsia="Calibri" w:cs="Times New Roman"/>
                <w:sz w:val="16"/>
              </w:rPr>
              <w:t>Strategic Infrastructure</w:t>
            </w:r>
          </w:p>
        </w:tc>
        <w:tc>
          <w:tcPr>
            <w:tcW w:w="1631" w:type="dxa"/>
          </w:tcPr>
          <w:p w14:paraId="3C787A9F" w14:textId="77777777" w:rsidR="00366E30" w:rsidRPr="00366E30" w:rsidRDefault="00366E30" w:rsidP="00366E30">
            <w:pPr>
              <w:rPr>
                <w:rFonts w:eastAsia="Calibri" w:cs="Times New Roman"/>
                <w:sz w:val="16"/>
              </w:rPr>
            </w:pPr>
            <w:r w:rsidRPr="00366E30">
              <w:rPr>
                <w:rFonts w:eastAsia="Calibri" w:cs="Times New Roman"/>
                <w:sz w:val="16"/>
              </w:rPr>
              <w:t>Radical Local Economic and Rural Development and Food Security</w:t>
            </w:r>
          </w:p>
        </w:tc>
        <w:tc>
          <w:tcPr>
            <w:tcW w:w="1306" w:type="dxa"/>
          </w:tcPr>
          <w:p w14:paraId="7504F70E" w14:textId="77777777" w:rsidR="00366E30" w:rsidRPr="00366E30" w:rsidRDefault="00366E30" w:rsidP="00366E30">
            <w:pPr>
              <w:rPr>
                <w:rFonts w:eastAsia="Calibri" w:cs="Times New Roman"/>
                <w:sz w:val="16"/>
              </w:rPr>
            </w:pPr>
            <w:r w:rsidRPr="00366E30">
              <w:rPr>
                <w:rFonts w:eastAsia="Calibri" w:cs="Times New Roman"/>
                <w:sz w:val="16"/>
              </w:rPr>
              <w:t>Basic Services</w:t>
            </w:r>
          </w:p>
        </w:tc>
        <w:tc>
          <w:tcPr>
            <w:tcW w:w="1796" w:type="dxa"/>
          </w:tcPr>
          <w:p w14:paraId="5A86D75C" w14:textId="77777777" w:rsidR="00366E30" w:rsidRPr="00366E30" w:rsidRDefault="00366E30" w:rsidP="00366E30">
            <w:pPr>
              <w:rPr>
                <w:rFonts w:eastAsia="Calibri" w:cs="Times New Roman"/>
                <w:sz w:val="16"/>
              </w:rPr>
            </w:pPr>
            <w:r w:rsidRPr="00366E30">
              <w:rPr>
                <w:rFonts w:eastAsia="Calibri" w:cs="Times New Roman"/>
                <w:sz w:val="16"/>
              </w:rPr>
              <w:t>Local Economic and Social Development</w:t>
            </w:r>
          </w:p>
        </w:tc>
        <w:tc>
          <w:tcPr>
            <w:tcW w:w="1958" w:type="dxa"/>
          </w:tcPr>
          <w:p w14:paraId="0200C742" w14:textId="77777777" w:rsidR="00366E30" w:rsidRPr="00366E30" w:rsidRDefault="00366E30" w:rsidP="00366E30">
            <w:pPr>
              <w:rPr>
                <w:rFonts w:eastAsia="Calibri" w:cs="Times New Roman"/>
                <w:sz w:val="16"/>
              </w:rPr>
            </w:pPr>
            <w:r w:rsidRPr="00366E30">
              <w:rPr>
                <w:rFonts w:eastAsia="Calibri" w:cs="Times New Roman"/>
                <w:sz w:val="16"/>
              </w:rPr>
              <w:t>Radical Local Economic Development and accelerated economic growth.</w:t>
            </w:r>
          </w:p>
        </w:tc>
        <w:tc>
          <w:tcPr>
            <w:tcW w:w="1958" w:type="dxa"/>
          </w:tcPr>
          <w:p w14:paraId="72E8D27D" w14:textId="77777777" w:rsidR="00366E30" w:rsidRPr="00366E30" w:rsidRDefault="00366E30" w:rsidP="00366E30">
            <w:pPr>
              <w:rPr>
                <w:rFonts w:eastAsia="Calibri" w:cs="Times New Roman"/>
                <w:sz w:val="14"/>
              </w:rPr>
            </w:pPr>
            <w:r w:rsidRPr="00366E30">
              <w:rPr>
                <w:rFonts w:eastAsia="Calibri" w:cs="Times New Roman"/>
                <w:sz w:val="14"/>
              </w:rPr>
              <w:t xml:space="preserve">To Facilitate and Support Accelerated Economic Development </w:t>
            </w:r>
          </w:p>
          <w:p w14:paraId="68E0095C" w14:textId="77777777" w:rsidR="00366E30" w:rsidRPr="00366E30" w:rsidRDefault="00366E30" w:rsidP="00366E30">
            <w:pPr>
              <w:rPr>
                <w:rFonts w:eastAsia="Calibri" w:cs="Times New Roman"/>
                <w:sz w:val="16"/>
              </w:rPr>
            </w:pPr>
          </w:p>
          <w:p w14:paraId="75D3FA3E" w14:textId="77777777" w:rsidR="00366E30" w:rsidRPr="00366E30" w:rsidRDefault="00366E30" w:rsidP="00366E30">
            <w:pPr>
              <w:rPr>
                <w:rFonts w:eastAsia="Calibri" w:cs="Times New Roman"/>
                <w:sz w:val="16"/>
              </w:rPr>
            </w:pPr>
            <w:r w:rsidRPr="00366E30">
              <w:rPr>
                <w:rFonts w:eastAsia="Calibri" w:cs="Times New Roman"/>
                <w:sz w:val="14"/>
              </w:rPr>
              <w:t xml:space="preserve">To effectively contribute towards the reduction of unemployment. </w:t>
            </w:r>
          </w:p>
        </w:tc>
        <w:tc>
          <w:tcPr>
            <w:tcW w:w="2544" w:type="dxa"/>
          </w:tcPr>
          <w:p w14:paraId="603404F9" w14:textId="77777777" w:rsidR="00366E30" w:rsidRPr="00366E30" w:rsidRDefault="00366E30" w:rsidP="00366E30">
            <w:pPr>
              <w:rPr>
                <w:rFonts w:eastAsia="Calibri" w:cs="Times New Roman"/>
                <w:sz w:val="14"/>
                <w:szCs w:val="14"/>
              </w:rPr>
            </w:pPr>
            <w:r w:rsidRPr="00366E30">
              <w:rPr>
                <w:rFonts w:eastAsia="Calibri" w:cs="Times New Roman"/>
                <w:sz w:val="14"/>
                <w:szCs w:val="14"/>
              </w:rPr>
              <w:t>Agriculture Development</w:t>
            </w:r>
          </w:p>
          <w:p w14:paraId="46AFA663" w14:textId="77777777" w:rsidR="00366E30" w:rsidRPr="00366E30" w:rsidRDefault="00366E30" w:rsidP="00366E30">
            <w:pPr>
              <w:rPr>
                <w:rFonts w:eastAsia="Calibri" w:cs="Times New Roman"/>
                <w:sz w:val="14"/>
                <w:szCs w:val="14"/>
              </w:rPr>
            </w:pPr>
            <w:r w:rsidRPr="00366E30">
              <w:rPr>
                <w:rFonts w:eastAsia="Calibri" w:cs="Times New Roman"/>
                <w:sz w:val="14"/>
                <w:szCs w:val="14"/>
              </w:rPr>
              <w:t>Tourism Development</w:t>
            </w:r>
          </w:p>
          <w:p w14:paraId="5B8F0D50" w14:textId="77777777" w:rsidR="00366E30" w:rsidRPr="00366E30" w:rsidRDefault="00366E30" w:rsidP="00366E30">
            <w:pPr>
              <w:rPr>
                <w:rFonts w:eastAsia="Calibri" w:cs="Times New Roman"/>
                <w:sz w:val="14"/>
                <w:szCs w:val="14"/>
              </w:rPr>
            </w:pPr>
            <w:r w:rsidRPr="00366E30">
              <w:rPr>
                <w:rFonts w:eastAsia="Calibri" w:cs="Times New Roman"/>
                <w:sz w:val="14"/>
                <w:szCs w:val="14"/>
              </w:rPr>
              <w:t>Industrial Development</w:t>
            </w:r>
          </w:p>
          <w:p w14:paraId="19FE9EBD" w14:textId="77777777" w:rsidR="00366E30" w:rsidRPr="00366E30" w:rsidRDefault="00366E30" w:rsidP="00366E30">
            <w:pPr>
              <w:rPr>
                <w:rFonts w:eastAsia="Calibri" w:cs="Times New Roman"/>
                <w:sz w:val="14"/>
                <w:szCs w:val="14"/>
              </w:rPr>
            </w:pPr>
            <w:r w:rsidRPr="00366E30">
              <w:rPr>
                <w:rFonts w:eastAsia="Calibri" w:cs="Times New Roman"/>
                <w:sz w:val="14"/>
                <w:szCs w:val="14"/>
              </w:rPr>
              <w:t>SMME Development/Support Youth Development</w:t>
            </w:r>
          </w:p>
          <w:p w14:paraId="581C88FB" w14:textId="77777777" w:rsidR="00366E30" w:rsidRPr="00366E30" w:rsidRDefault="00366E30" w:rsidP="00366E30">
            <w:pPr>
              <w:rPr>
                <w:rFonts w:eastAsia="Calibri" w:cs="Times New Roman"/>
                <w:sz w:val="14"/>
                <w:szCs w:val="14"/>
              </w:rPr>
            </w:pPr>
            <w:r w:rsidRPr="00366E30">
              <w:rPr>
                <w:rFonts w:eastAsia="Calibri" w:cs="Times New Roman"/>
                <w:sz w:val="14"/>
                <w:szCs w:val="14"/>
              </w:rPr>
              <w:t>Job Creation</w:t>
            </w:r>
          </w:p>
        </w:tc>
      </w:tr>
      <w:tr w:rsidR="00366E30" w:rsidRPr="00366E30" w14:paraId="17BA5808" w14:textId="77777777" w:rsidTr="00A3398B">
        <w:trPr>
          <w:trHeight w:val="581"/>
        </w:trPr>
        <w:tc>
          <w:tcPr>
            <w:tcW w:w="1806" w:type="dxa"/>
          </w:tcPr>
          <w:p w14:paraId="34FD8B43" w14:textId="77777777" w:rsidR="00366E30" w:rsidRPr="00366E30" w:rsidRDefault="00366E30" w:rsidP="00366E30">
            <w:pPr>
              <w:rPr>
                <w:rFonts w:eastAsia="Calibri" w:cs="Times New Roman"/>
                <w:sz w:val="16"/>
              </w:rPr>
            </w:pPr>
            <w:r w:rsidRPr="00366E30">
              <w:rPr>
                <w:rFonts w:eastAsia="Calibri" w:cs="Times New Roman"/>
                <w:sz w:val="16"/>
              </w:rPr>
              <w:t>Expand Infrastructure</w:t>
            </w:r>
          </w:p>
          <w:p w14:paraId="7DD44E58" w14:textId="77777777" w:rsidR="00366E30" w:rsidRPr="00366E30" w:rsidRDefault="00366E30" w:rsidP="00366E30">
            <w:pPr>
              <w:rPr>
                <w:rFonts w:eastAsia="Calibri" w:cs="Times New Roman"/>
                <w:sz w:val="16"/>
              </w:rPr>
            </w:pPr>
            <w:r w:rsidRPr="00366E30">
              <w:rPr>
                <w:rFonts w:eastAsia="Calibri" w:cs="Times New Roman"/>
                <w:sz w:val="16"/>
              </w:rPr>
              <w:t>Use resources properly</w:t>
            </w:r>
          </w:p>
          <w:p w14:paraId="54CE9156" w14:textId="77777777" w:rsidR="00366E30" w:rsidRPr="00366E30" w:rsidRDefault="00366E30" w:rsidP="00366E30">
            <w:pPr>
              <w:rPr>
                <w:rFonts w:eastAsia="Calibri" w:cs="Times New Roman"/>
                <w:sz w:val="16"/>
              </w:rPr>
            </w:pPr>
            <w:r w:rsidRPr="00366E30">
              <w:rPr>
                <w:rFonts w:eastAsia="Calibri" w:cs="Times New Roman"/>
                <w:sz w:val="16"/>
              </w:rPr>
              <w:t>Inclusive planning</w:t>
            </w:r>
          </w:p>
        </w:tc>
        <w:tc>
          <w:tcPr>
            <w:tcW w:w="2286" w:type="dxa"/>
          </w:tcPr>
          <w:p w14:paraId="13AA6464" w14:textId="77777777" w:rsidR="00366E30" w:rsidRPr="00366E30" w:rsidRDefault="00366E30" w:rsidP="00366E30">
            <w:pPr>
              <w:rPr>
                <w:rFonts w:eastAsia="Calibri" w:cs="Times New Roman"/>
                <w:sz w:val="16"/>
              </w:rPr>
            </w:pPr>
            <w:r w:rsidRPr="00366E30">
              <w:rPr>
                <w:rFonts w:eastAsia="Calibri" w:cs="Times New Roman"/>
                <w:sz w:val="16"/>
              </w:rPr>
              <w:t>Strategic Infrastructure</w:t>
            </w:r>
          </w:p>
          <w:p w14:paraId="0ADA0322" w14:textId="77777777" w:rsidR="00366E30" w:rsidRPr="00366E30" w:rsidRDefault="00366E30" w:rsidP="00366E30">
            <w:pPr>
              <w:rPr>
                <w:rFonts w:eastAsia="Calibri" w:cs="Times New Roman"/>
                <w:sz w:val="16"/>
              </w:rPr>
            </w:pPr>
            <w:r w:rsidRPr="00366E30">
              <w:rPr>
                <w:rFonts w:eastAsia="Calibri" w:cs="Times New Roman"/>
                <w:sz w:val="16"/>
              </w:rPr>
              <w:t>Spatial Equity</w:t>
            </w:r>
          </w:p>
        </w:tc>
        <w:tc>
          <w:tcPr>
            <w:tcW w:w="1631" w:type="dxa"/>
          </w:tcPr>
          <w:p w14:paraId="68B6E8AB" w14:textId="77777777" w:rsidR="00366E30" w:rsidRPr="00366E30" w:rsidRDefault="00366E30" w:rsidP="00366E30">
            <w:pPr>
              <w:rPr>
                <w:rFonts w:eastAsia="Calibri" w:cs="Times New Roman"/>
                <w:sz w:val="16"/>
              </w:rPr>
            </w:pPr>
            <w:r w:rsidRPr="00366E30">
              <w:rPr>
                <w:rFonts w:eastAsia="Calibri" w:cs="Times New Roman"/>
                <w:sz w:val="16"/>
              </w:rPr>
              <w:t>Infrastructure and Basic Service Delivery</w:t>
            </w:r>
          </w:p>
        </w:tc>
        <w:tc>
          <w:tcPr>
            <w:tcW w:w="1306" w:type="dxa"/>
          </w:tcPr>
          <w:p w14:paraId="4C08E69A" w14:textId="77777777" w:rsidR="00366E30" w:rsidRPr="00366E30" w:rsidRDefault="00366E30" w:rsidP="00366E30">
            <w:pPr>
              <w:rPr>
                <w:rFonts w:eastAsia="Calibri" w:cs="Times New Roman"/>
                <w:sz w:val="16"/>
              </w:rPr>
            </w:pPr>
            <w:r w:rsidRPr="00366E30">
              <w:rPr>
                <w:rFonts w:eastAsia="Calibri" w:cs="Times New Roman"/>
                <w:sz w:val="16"/>
              </w:rPr>
              <w:t>Basic Services</w:t>
            </w:r>
          </w:p>
        </w:tc>
        <w:tc>
          <w:tcPr>
            <w:tcW w:w="1796" w:type="dxa"/>
          </w:tcPr>
          <w:p w14:paraId="0C836CCD" w14:textId="77777777" w:rsidR="00366E30" w:rsidRPr="00366E30" w:rsidRDefault="00366E30" w:rsidP="00366E30">
            <w:pPr>
              <w:rPr>
                <w:rFonts w:eastAsia="Calibri" w:cs="Times New Roman"/>
                <w:sz w:val="16"/>
              </w:rPr>
            </w:pPr>
            <w:r w:rsidRPr="00366E30">
              <w:rPr>
                <w:rFonts w:eastAsia="Calibri" w:cs="Times New Roman"/>
                <w:sz w:val="16"/>
              </w:rPr>
              <w:t>Basic Service Delivery</w:t>
            </w:r>
          </w:p>
        </w:tc>
        <w:tc>
          <w:tcPr>
            <w:tcW w:w="1958" w:type="dxa"/>
          </w:tcPr>
          <w:p w14:paraId="28F1B98F" w14:textId="77777777" w:rsidR="00366E30" w:rsidRPr="00366E30" w:rsidRDefault="00366E30" w:rsidP="00366E30">
            <w:pPr>
              <w:rPr>
                <w:rFonts w:eastAsia="Calibri" w:cs="Times New Roman"/>
                <w:sz w:val="16"/>
              </w:rPr>
            </w:pPr>
            <w:r w:rsidRPr="00366E30">
              <w:rPr>
                <w:rFonts w:eastAsia="Calibri" w:cs="Times New Roman"/>
                <w:sz w:val="16"/>
              </w:rPr>
              <w:t>Continued Basic Service Delivery and Strategic Infrastructure Development</w:t>
            </w:r>
          </w:p>
        </w:tc>
        <w:tc>
          <w:tcPr>
            <w:tcW w:w="1958" w:type="dxa"/>
          </w:tcPr>
          <w:p w14:paraId="5C68688E" w14:textId="77777777" w:rsidR="00366E30" w:rsidRPr="00366E30" w:rsidRDefault="00366E30" w:rsidP="00366E30">
            <w:pPr>
              <w:rPr>
                <w:rFonts w:eastAsia="Calibri" w:cs="Times New Roman"/>
                <w:sz w:val="14"/>
              </w:rPr>
            </w:pPr>
            <w:r w:rsidRPr="00366E30">
              <w:rPr>
                <w:rFonts w:eastAsia="Calibri" w:cs="Times New Roman"/>
                <w:sz w:val="14"/>
              </w:rPr>
              <w:t>To Provide and Maintain Infrastructure and Services to All, With Special Emphasis on Rural Communities in a Sustainable Manner</w:t>
            </w:r>
          </w:p>
        </w:tc>
        <w:tc>
          <w:tcPr>
            <w:tcW w:w="2544" w:type="dxa"/>
          </w:tcPr>
          <w:p w14:paraId="2C8005F9" w14:textId="77777777" w:rsidR="00366E30" w:rsidRPr="00366E30" w:rsidRDefault="00366E30" w:rsidP="00366E30">
            <w:pPr>
              <w:rPr>
                <w:rFonts w:eastAsia="Calibri" w:cs="Times New Roman"/>
                <w:sz w:val="14"/>
                <w:szCs w:val="14"/>
              </w:rPr>
            </w:pPr>
            <w:r w:rsidRPr="00366E30">
              <w:rPr>
                <w:rFonts w:eastAsia="Calibri" w:cs="Times New Roman"/>
                <w:sz w:val="14"/>
                <w:szCs w:val="14"/>
              </w:rPr>
              <w:t>New Roads, Causeways, Speed Humps &amp; Sidewalks</w:t>
            </w:r>
          </w:p>
          <w:p w14:paraId="4671FAFF" w14:textId="77777777" w:rsidR="00366E30" w:rsidRPr="00366E30" w:rsidRDefault="00366E30" w:rsidP="00366E30">
            <w:pPr>
              <w:rPr>
                <w:rFonts w:eastAsia="Calibri" w:cs="Times New Roman"/>
                <w:sz w:val="14"/>
                <w:szCs w:val="14"/>
              </w:rPr>
            </w:pPr>
            <w:r w:rsidRPr="00366E30">
              <w:rPr>
                <w:rFonts w:eastAsia="Calibri" w:cs="Times New Roman"/>
                <w:sz w:val="14"/>
                <w:szCs w:val="14"/>
              </w:rPr>
              <w:t>Maintenance of Existing Infrastructure</w:t>
            </w:r>
          </w:p>
          <w:p w14:paraId="1DB6E4CD" w14:textId="77777777" w:rsidR="00366E30" w:rsidRPr="00366E30" w:rsidRDefault="00366E30" w:rsidP="00366E30">
            <w:pPr>
              <w:rPr>
                <w:rFonts w:eastAsia="Calibri" w:cs="Times New Roman"/>
                <w:sz w:val="14"/>
                <w:szCs w:val="14"/>
              </w:rPr>
            </w:pPr>
            <w:r w:rsidRPr="00366E30">
              <w:rPr>
                <w:rFonts w:eastAsia="Calibri" w:cs="Times New Roman"/>
                <w:sz w:val="14"/>
                <w:szCs w:val="14"/>
              </w:rPr>
              <w:t>Provision of  Electricity</w:t>
            </w:r>
          </w:p>
          <w:p w14:paraId="0C744FFD" w14:textId="77777777" w:rsidR="00366E30" w:rsidRPr="00366E30" w:rsidRDefault="00366E30" w:rsidP="00366E30">
            <w:pPr>
              <w:rPr>
                <w:rFonts w:eastAsia="Calibri" w:cs="Times New Roman"/>
                <w:sz w:val="14"/>
                <w:szCs w:val="14"/>
              </w:rPr>
            </w:pPr>
            <w:r w:rsidRPr="00366E30">
              <w:rPr>
                <w:rFonts w:eastAsia="Calibri" w:cs="Times New Roman"/>
                <w:sz w:val="14"/>
                <w:szCs w:val="14"/>
              </w:rPr>
              <w:t>Refuse Removal</w:t>
            </w:r>
          </w:p>
          <w:p w14:paraId="652D4346" w14:textId="77777777" w:rsidR="00366E30" w:rsidRPr="00366E30" w:rsidRDefault="00366E30" w:rsidP="00366E30">
            <w:pPr>
              <w:rPr>
                <w:rFonts w:eastAsia="Calibri" w:cs="Times New Roman"/>
                <w:sz w:val="14"/>
                <w:szCs w:val="14"/>
              </w:rPr>
            </w:pPr>
            <w:r w:rsidRPr="00366E30">
              <w:rPr>
                <w:rFonts w:eastAsia="Calibri" w:cs="Times New Roman"/>
                <w:sz w:val="14"/>
                <w:szCs w:val="14"/>
              </w:rPr>
              <w:t xml:space="preserve">Accelerate Provision of Housing </w:t>
            </w:r>
          </w:p>
          <w:p w14:paraId="147AAE46" w14:textId="77777777" w:rsidR="00366E30" w:rsidRPr="00366E30" w:rsidRDefault="00366E30" w:rsidP="00366E30">
            <w:pPr>
              <w:rPr>
                <w:rFonts w:eastAsia="Calibri" w:cs="Times New Roman"/>
                <w:sz w:val="14"/>
                <w:szCs w:val="14"/>
              </w:rPr>
            </w:pPr>
            <w:r w:rsidRPr="00366E30">
              <w:rPr>
                <w:rFonts w:eastAsia="Calibri" w:cs="Times New Roman"/>
                <w:sz w:val="14"/>
                <w:szCs w:val="14"/>
              </w:rPr>
              <w:t>Provision of Recreational Facilities</w:t>
            </w:r>
          </w:p>
          <w:p w14:paraId="417C5EBD" w14:textId="77777777" w:rsidR="00366E30" w:rsidRPr="00366E30" w:rsidRDefault="00366E30" w:rsidP="00366E30">
            <w:pPr>
              <w:rPr>
                <w:rFonts w:eastAsia="Calibri" w:cs="Times New Roman"/>
                <w:sz w:val="14"/>
                <w:szCs w:val="14"/>
              </w:rPr>
            </w:pPr>
            <w:r w:rsidRPr="00366E30">
              <w:rPr>
                <w:rFonts w:eastAsia="Calibri" w:cs="Times New Roman"/>
                <w:sz w:val="14"/>
                <w:szCs w:val="14"/>
              </w:rPr>
              <w:t>Effective Management of Disasters</w:t>
            </w:r>
          </w:p>
          <w:p w14:paraId="5B4B520C" w14:textId="77777777" w:rsidR="00366E30" w:rsidRPr="00366E30" w:rsidRDefault="00366E30" w:rsidP="00366E30">
            <w:pPr>
              <w:rPr>
                <w:rFonts w:eastAsia="Calibri" w:cs="Times New Roman"/>
                <w:sz w:val="14"/>
                <w:szCs w:val="14"/>
              </w:rPr>
            </w:pPr>
            <w:r w:rsidRPr="00366E30">
              <w:rPr>
                <w:rFonts w:eastAsia="Calibri" w:cs="Times New Roman"/>
                <w:sz w:val="14"/>
                <w:szCs w:val="14"/>
              </w:rPr>
              <w:t>Storm Water Management</w:t>
            </w:r>
          </w:p>
          <w:p w14:paraId="73978AF2" w14:textId="77777777" w:rsidR="00366E30" w:rsidRPr="00366E30" w:rsidRDefault="00366E30" w:rsidP="00366E30">
            <w:pPr>
              <w:rPr>
                <w:rFonts w:eastAsia="Calibri" w:cs="Times New Roman"/>
                <w:sz w:val="14"/>
                <w:szCs w:val="14"/>
              </w:rPr>
            </w:pPr>
            <w:r w:rsidRPr="00366E30">
              <w:rPr>
                <w:rFonts w:eastAsia="Calibri" w:cs="Times New Roman"/>
                <w:sz w:val="14"/>
                <w:szCs w:val="14"/>
              </w:rPr>
              <w:t>Free Basic Services</w:t>
            </w:r>
          </w:p>
        </w:tc>
      </w:tr>
      <w:tr w:rsidR="00366E30" w:rsidRPr="00366E30" w14:paraId="3762D4FF" w14:textId="77777777" w:rsidTr="00A3398B">
        <w:trPr>
          <w:trHeight w:val="551"/>
        </w:trPr>
        <w:tc>
          <w:tcPr>
            <w:tcW w:w="1806" w:type="dxa"/>
          </w:tcPr>
          <w:p w14:paraId="62CFF6F5" w14:textId="77777777" w:rsidR="00366E30" w:rsidRPr="00366E30" w:rsidRDefault="00366E30" w:rsidP="00366E30">
            <w:pPr>
              <w:rPr>
                <w:rFonts w:eastAsia="Calibri" w:cs="Times New Roman"/>
                <w:sz w:val="16"/>
              </w:rPr>
            </w:pPr>
            <w:r w:rsidRPr="00366E30">
              <w:rPr>
                <w:rFonts w:eastAsia="Calibri" w:cs="Times New Roman"/>
                <w:sz w:val="16"/>
              </w:rPr>
              <w:t>Expand Infrastructure</w:t>
            </w:r>
          </w:p>
          <w:p w14:paraId="5F41FCDA" w14:textId="77777777" w:rsidR="00366E30" w:rsidRPr="00366E30" w:rsidRDefault="00366E30" w:rsidP="00366E30">
            <w:pPr>
              <w:rPr>
                <w:rFonts w:eastAsia="Calibri" w:cs="Times New Roman"/>
                <w:sz w:val="16"/>
              </w:rPr>
            </w:pPr>
            <w:r w:rsidRPr="00366E30">
              <w:rPr>
                <w:rFonts w:eastAsia="Calibri" w:cs="Times New Roman"/>
                <w:sz w:val="16"/>
              </w:rPr>
              <w:t>Use Resources Properly</w:t>
            </w:r>
          </w:p>
          <w:p w14:paraId="018E2DF6" w14:textId="77777777" w:rsidR="00366E30" w:rsidRPr="00366E30" w:rsidRDefault="00366E30" w:rsidP="00366E30">
            <w:pPr>
              <w:rPr>
                <w:rFonts w:eastAsia="Calibri" w:cs="Times New Roman"/>
                <w:sz w:val="16"/>
              </w:rPr>
            </w:pPr>
            <w:r w:rsidRPr="00366E30">
              <w:rPr>
                <w:rFonts w:eastAsia="Calibri" w:cs="Times New Roman"/>
                <w:sz w:val="16"/>
              </w:rPr>
              <w:t>Inclusive Planning</w:t>
            </w:r>
          </w:p>
        </w:tc>
        <w:tc>
          <w:tcPr>
            <w:tcW w:w="2286" w:type="dxa"/>
          </w:tcPr>
          <w:p w14:paraId="4685E606" w14:textId="77777777" w:rsidR="00366E30" w:rsidRPr="00366E30" w:rsidRDefault="00366E30" w:rsidP="00366E30">
            <w:pPr>
              <w:rPr>
                <w:rFonts w:eastAsia="Calibri" w:cs="Times New Roman"/>
                <w:sz w:val="16"/>
              </w:rPr>
            </w:pPr>
            <w:r w:rsidRPr="00366E30">
              <w:rPr>
                <w:rFonts w:eastAsia="Calibri" w:cs="Times New Roman"/>
                <w:sz w:val="16"/>
              </w:rPr>
              <w:t>Inclusive Economic Growth</w:t>
            </w:r>
          </w:p>
          <w:p w14:paraId="19D63BBD" w14:textId="77777777" w:rsidR="00366E30" w:rsidRPr="00366E30" w:rsidRDefault="00366E30" w:rsidP="00366E30">
            <w:pPr>
              <w:rPr>
                <w:rFonts w:eastAsia="Calibri" w:cs="Times New Roman"/>
                <w:sz w:val="16"/>
              </w:rPr>
            </w:pPr>
            <w:r w:rsidRPr="00366E30">
              <w:rPr>
                <w:rFonts w:eastAsia="Calibri" w:cs="Times New Roman"/>
                <w:sz w:val="16"/>
              </w:rPr>
              <w:t>Governance and Policy</w:t>
            </w:r>
          </w:p>
        </w:tc>
        <w:tc>
          <w:tcPr>
            <w:tcW w:w="1631" w:type="dxa"/>
          </w:tcPr>
          <w:p w14:paraId="4ABE9282" w14:textId="77777777" w:rsidR="00366E30" w:rsidRPr="00366E30" w:rsidRDefault="00366E30" w:rsidP="00366E30">
            <w:pPr>
              <w:rPr>
                <w:rFonts w:eastAsia="Calibri" w:cs="Times New Roman"/>
                <w:sz w:val="16"/>
              </w:rPr>
            </w:pPr>
            <w:r w:rsidRPr="00366E30">
              <w:rPr>
                <w:rFonts w:eastAsia="Calibri" w:cs="Times New Roman"/>
                <w:sz w:val="16"/>
              </w:rPr>
              <w:t>Sound Financial Management and Viability</w:t>
            </w:r>
          </w:p>
        </w:tc>
        <w:tc>
          <w:tcPr>
            <w:tcW w:w="1306" w:type="dxa"/>
          </w:tcPr>
          <w:p w14:paraId="0C075EB2" w14:textId="77777777" w:rsidR="00366E30" w:rsidRPr="00366E30" w:rsidRDefault="00366E30" w:rsidP="00366E30">
            <w:pPr>
              <w:rPr>
                <w:rFonts w:eastAsia="Calibri" w:cs="Times New Roman"/>
                <w:sz w:val="16"/>
              </w:rPr>
            </w:pPr>
            <w:r w:rsidRPr="00366E30">
              <w:rPr>
                <w:rFonts w:eastAsia="Calibri" w:cs="Times New Roman"/>
                <w:sz w:val="16"/>
              </w:rPr>
              <w:t>Financial Management</w:t>
            </w:r>
          </w:p>
        </w:tc>
        <w:tc>
          <w:tcPr>
            <w:tcW w:w="1796" w:type="dxa"/>
          </w:tcPr>
          <w:p w14:paraId="11C8817F" w14:textId="77777777" w:rsidR="00366E30" w:rsidRPr="00366E30" w:rsidRDefault="00366E30" w:rsidP="00366E30">
            <w:pPr>
              <w:rPr>
                <w:rFonts w:eastAsia="Calibri" w:cs="Times New Roman"/>
                <w:sz w:val="16"/>
              </w:rPr>
            </w:pPr>
            <w:r w:rsidRPr="00366E30">
              <w:rPr>
                <w:rFonts w:eastAsia="Calibri" w:cs="Times New Roman"/>
                <w:sz w:val="16"/>
              </w:rPr>
              <w:t>Financial Viability and Management</w:t>
            </w:r>
          </w:p>
        </w:tc>
        <w:tc>
          <w:tcPr>
            <w:tcW w:w="1958" w:type="dxa"/>
          </w:tcPr>
          <w:p w14:paraId="541CACC4" w14:textId="77777777" w:rsidR="00366E30" w:rsidRPr="00366E30" w:rsidRDefault="00366E30" w:rsidP="00366E30">
            <w:pPr>
              <w:rPr>
                <w:rFonts w:eastAsia="Calibri" w:cs="Times New Roman"/>
                <w:sz w:val="16"/>
              </w:rPr>
            </w:pPr>
            <w:r w:rsidRPr="00366E30">
              <w:rPr>
                <w:rFonts w:eastAsia="Calibri" w:cs="Times New Roman"/>
                <w:sz w:val="16"/>
              </w:rPr>
              <w:t>Financial Viability and Sound Financial Management</w:t>
            </w:r>
          </w:p>
        </w:tc>
        <w:tc>
          <w:tcPr>
            <w:tcW w:w="1958" w:type="dxa"/>
          </w:tcPr>
          <w:p w14:paraId="6B1CCDEB" w14:textId="77777777" w:rsidR="00366E30" w:rsidRPr="00366E30" w:rsidRDefault="00366E30" w:rsidP="00366E30">
            <w:pPr>
              <w:rPr>
                <w:rFonts w:eastAsia="Calibri" w:cs="Times New Roman"/>
                <w:sz w:val="16"/>
              </w:rPr>
            </w:pPr>
            <w:r w:rsidRPr="00366E30">
              <w:rPr>
                <w:rFonts w:eastAsia="Calibri" w:cs="Times New Roman"/>
                <w:sz w:val="14"/>
              </w:rPr>
              <w:t xml:space="preserve">To Ensure Continued Sound Financial Management </w:t>
            </w:r>
          </w:p>
        </w:tc>
        <w:tc>
          <w:tcPr>
            <w:tcW w:w="2544" w:type="dxa"/>
          </w:tcPr>
          <w:p w14:paraId="4B148DBB" w14:textId="77777777" w:rsidR="00366E30" w:rsidRPr="00366E30" w:rsidRDefault="00366E30" w:rsidP="00366E30">
            <w:pPr>
              <w:rPr>
                <w:rFonts w:eastAsia="Calibri" w:cs="Times New Roman"/>
                <w:sz w:val="14"/>
                <w:szCs w:val="14"/>
              </w:rPr>
            </w:pPr>
            <w:r w:rsidRPr="00366E30">
              <w:rPr>
                <w:rFonts w:eastAsia="Calibri" w:cs="Times New Roman"/>
                <w:sz w:val="14"/>
                <w:szCs w:val="14"/>
              </w:rPr>
              <w:t xml:space="preserve">Effective Debt Collection/ Management </w:t>
            </w:r>
          </w:p>
          <w:p w14:paraId="6E8E255C" w14:textId="77777777" w:rsidR="00366E30" w:rsidRPr="00366E30" w:rsidRDefault="00366E30" w:rsidP="00366E30">
            <w:pPr>
              <w:rPr>
                <w:rFonts w:eastAsia="Calibri" w:cs="Times New Roman"/>
                <w:sz w:val="14"/>
                <w:szCs w:val="14"/>
              </w:rPr>
            </w:pPr>
            <w:r w:rsidRPr="00366E30">
              <w:rPr>
                <w:rFonts w:eastAsia="Calibri" w:cs="Times New Roman"/>
                <w:sz w:val="14"/>
                <w:szCs w:val="14"/>
              </w:rPr>
              <w:t>Accelerated Revenue Enhancement</w:t>
            </w:r>
          </w:p>
          <w:p w14:paraId="5E3C1FE0" w14:textId="77777777" w:rsidR="00366E30" w:rsidRPr="00366E30" w:rsidRDefault="00366E30" w:rsidP="00366E30">
            <w:pPr>
              <w:rPr>
                <w:rFonts w:eastAsia="Calibri" w:cs="Times New Roman"/>
                <w:sz w:val="14"/>
                <w:szCs w:val="14"/>
              </w:rPr>
            </w:pPr>
            <w:r w:rsidRPr="00366E30">
              <w:rPr>
                <w:rFonts w:eastAsia="Calibri" w:cs="Times New Roman"/>
                <w:sz w:val="14"/>
                <w:szCs w:val="14"/>
              </w:rPr>
              <w:t>Improve Spending</w:t>
            </w:r>
          </w:p>
          <w:p w14:paraId="439FAC1E" w14:textId="77777777" w:rsidR="00366E30" w:rsidRPr="00366E30" w:rsidRDefault="00366E30" w:rsidP="00366E30">
            <w:pPr>
              <w:rPr>
                <w:rFonts w:eastAsia="Calibri" w:cs="Times New Roman"/>
                <w:sz w:val="14"/>
                <w:szCs w:val="14"/>
              </w:rPr>
            </w:pPr>
            <w:r w:rsidRPr="00366E30">
              <w:rPr>
                <w:rFonts w:eastAsia="Calibri" w:cs="Times New Roman"/>
                <w:sz w:val="14"/>
                <w:szCs w:val="14"/>
              </w:rPr>
              <w:t>Effective Management of Employee Related Cost Expenditure</w:t>
            </w:r>
          </w:p>
          <w:p w14:paraId="5F9AC946" w14:textId="77777777" w:rsidR="00366E30" w:rsidRPr="00366E30" w:rsidRDefault="00366E30" w:rsidP="00366E30">
            <w:pPr>
              <w:rPr>
                <w:rFonts w:eastAsia="Calibri" w:cs="Times New Roman"/>
                <w:sz w:val="14"/>
                <w:szCs w:val="14"/>
              </w:rPr>
            </w:pPr>
            <w:r w:rsidRPr="00366E30">
              <w:rPr>
                <w:rFonts w:eastAsia="Calibri" w:cs="Times New Roman"/>
                <w:sz w:val="14"/>
                <w:szCs w:val="14"/>
              </w:rPr>
              <w:t>Monitor SP Performance</w:t>
            </w:r>
          </w:p>
          <w:p w14:paraId="50285C1E" w14:textId="77777777" w:rsidR="00366E30" w:rsidRPr="00366E30" w:rsidRDefault="00366E30" w:rsidP="00366E30">
            <w:pPr>
              <w:rPr>
                <w:rFonts w:eastAsia="Calibri" w:cs="Times New Roman"/>
                <w:sz w:val="14"/>
                <w:szCs w:val="14"/>
              </w:rPr>
            </w:pPr>
            <w:r w:rsidRPr="00366E30">
              <w:rPr>
                <w:rFonts w:eastAsia="Calibri" w:cs="Times New Roman"/>
                <w:sz w:val="14"/>
                <w:szCs w:val="14"/>
              </w:rPr>
              <w:t xml:space="preserve">Effective Asset Management </w:t>
            </w:r>
          </w:p>
        </w:tc>
      </w:tr>
      <w:tr w:rsidR="00366E30" w:rsidRPr="00366E30" w14:paraId="29E09117" w14:textId="77777777" w:rsidTr="00A3398B">
        <w:trPr>
          <w:trHeight w:val="75"/>
        </w:trPr>
        <w:tc>
          <w:tcPr>
            <w:tcW w:w="1806" w:type="dxa"/>
          </w:tcPr>
          <w:p w14:paraId="65921C44" w14:textId="77777777" w:rsidR="00366E30" w:rsidRPr="00366E30" w:rsidRDefault="00366E30" w:rsidP="00366E30">
            <w:pPr>
              <w:rPr>
                <w:rFonts w:eastAsia="Calibri" w:cs="Times New Roman"/>
                <w:sz w:val="16"/>
              </w:rPr>
            </w:pPr>
            <w:r w:rsidRPr="00366E30">
              <w:rPr>
                <w:rFonts w:eastAsia="Calibri" w:cs="Times New Roman"/>
                <w:sz w:val="16"/>
              </w:rPr>
              <w:t>Use resources properly</w:t>
            </w:r>
          </w:p>
          <w:p w14:paraId="3153508B" w14:textId="77777777" w:rsidR="00366E30" w:rsidRPr="00366E30" w:rsidRDefault="00366E30" w:rsidP="00366E30">
            <w:pPr>
              <w:rPr>
                <w:rFonts w:eastAsia="Calibri" w:cs="Times New Roman"/>
                <w:sz w:val="16"/>
              </w:rPr>
            </w:pPr>
            <w:r w:rsidRPr="00366E30">
              <w:rPr>
                <w:rFonts w:eastAsia="Calibri" w:cs="Times New Roman"/>
                <w:sz w:val="16"/>
              </w:rPr>
              <w:t>Build a capable state</w:t>
            </w:r>
          </w:p>
          <w:p w14:paraId="6445B74A" w14:textId="77777777" w:rsidR="00366E30" w:rsidRPr="00366E30" w:rsidRDefault="00366E30" w:rsidP="00366E30">
            <w:pPr>
              <w:rPr>
                <w:rFonts w:eastAsia="Calibri" w:cs="Times New Roman"/>
                <w:sz w:val="16"/>
              </w:rPr>
            </w:pPr>
            <w:r w:rsidRPr="00366E30">
              <w:rPr>
                <w:rFonts w:eastAsia="Calibri" w:cs="Times New Roman"/>
                <w:sz w:val="16"/>
              </w:rPr>
              <w:t>Fight corruption</w:t>
            </w:r>
          </w:p>
          <w:p w14:paraId="61958712" w14:textId="77777777" w:rsidR="00366E30" w:rsidRPr="00366E30" w:rsidRDefault="00366E30" w:rsidP="00366E30">
            <w:pPr>
              <w:rPr>
                <w:rFonts w:eastAsia="Calibri" w:cs="Times New Roman"/>
                <w:sz w:val="16"/>
              </w:rPr>
            </w:pPr>
            <w:r w:rsidRPr="00366E30">
              <w:rPr>
                <w:rFonts w:eastAsia="Calibri" w:cs="Times New Roman"/>
                <w:sz w:val="16"/>
              </w:rPr>
              <w:t>Unite the nation</w:t>
            </w:r>
          </w:p>
        </w:tc>
        <w:tc>
          <w:tcPr>
            <w:tcW w:w="2286" w:type="dxa"/>
          </w:tcPr>
          <w:p w14:paraId="406B9AAD" w14:textId="77777777" w:rsidR="00366E30" w:rsidRPr="00366E30" w:rsidRDefault="00366E30" w:rsidP="00366E30">
            <w:pPr>
              <w:rPr>
                <w:rFonts w:eastAsia="Calibri" w:cs="Times New Roman"/>
                <w:sz w:val="16"/>
              </w:rPr>
            </w:pPr>
            <w:r w:rsidRPr="00366E30">
              <w:rPr>
                <w:rFonts w:eastAsia="Calibri" w:cs="Times New Roman"/>
                <w:sz w:val="16"/>
              </w:rPr>
              <w:t>Governance and Policy</w:t>
            </w:r>
          </w:p>
        </w:tc>
        <w:tc>
          <w:tcPr>
            <w:tcW w:w="1631" w:type="dxa"/>
          </w:tcPr>
          <w:p w14:paraId="7B19B037" w14:textId="77777777" w:rsidR="00366E30" w:rsidRPr="00366E30" w:rsidRDefault="00366E30" w:rsidP="00366E30">
            <w:pPr>
              <w:rPr>
                <w:rFonts w:eastAsia="Calibri" w:cs="Times New Roman"/>
                <w:sz w:val="16"/>
              </w:rPr>
            </w:pPr>
            <w:r w:rsidRPr="00366E30">
              <w:rPr>
                <w:rFonts w:eastAsia="Calibri" w:cs="Times New Roman"/>
                <w:sz w:val="16"/>
              </w:rPr>
              <w:t>Good Governance and Public Participation</w:t>
            </w:r>
          </w:p>
        </w:tc>
        <w:tc>
          <w:tcPr>
            <w:tcW w:w="1306" w:type="dxa"/>
          </w:tcPr>
          <w:p w14:paraId="238A383A" w14:textId="77777777" w:rsidR="00366E30" w:rsidRPr="00366E30" w:rsidRDefault="00366E30" w:rsidP="00366E30">
            <w:pPr>
              <w:rPr>
                <w:rFonts w:eastAsia="Calibri" w:cs="Times New Roman"/>
                <w:sz w:val="16"/>
              </w:rPr>
            </w:pPr>
            <w:r w:rsidRPr="00366E30">
              <w:rPr>
                <w:rFonts w:eastAsia="Calibri" w:cs="Times New Roman"/>
                <w:sz w:val="16"/>
              </w:rPr>
              <w:t xml:space="preserve">Good Governance </w:t>
            </w:r>
          </w:p>
          <w:p w14:paraId="089BC17F" w14:textId="77777777" w:rsidR="00366E30" w:rsidRPr="00366E30" w:rsidRDefault="00366E30" w:rsidP="00366E30">
            <w:pPr>
              <w:rPr>
                <w:rFonts w:eastAsia="Calibri" w:cs="Times New Roman"/>
                <w:sz w:val="16"/>
              </w:rPr>
            </w:pPr>
            <w:r w:rsidRPr="00366E30">
              <w:rPr>
                <w:rFonts w:eastAsia="Calibri" w:cs="Times New Roman"/>
                <w:sz w:val="16"/>
              </w:rPr>
              <w:t>Public Participation</w:t>
            </w:r>
          </w:p>
        </w:tc>
        <w:tc>
          <w:tcPr>
            <w:tcW w:w="1796" w:type="dxa"/>
          </w:tcPr>
          <w:p w14:paraId="5A5ACFFF" w14:textId="77777777" w:rsidR="00366E30" w:rsidRPr="00366E30" w:rsidRDefault="00366E30" w:rsidP="00366E30">
            <w:pPr>
              <w:rPr>
                <w:rFonts w:eastAsia="Calibri" w:cs="Times New Roman"/>
                <w:sz w:val="16"/>
              </w:rPr>
            </w:pPr>
            <w:r w:rsidRPr="00366E30">
              <w:rPr>
                <w:rFonts w:eastAsia="Calibri" w:cs="Times New Roman"/>
                <w:sz w:val="16"/>
              </w:rPr>
              <w:t>Good Governance and Public Participation</w:t>
            </w:r>
          </w:p>
        </w:tc>
        <w:tc>
          <w:tcPr>
            <w:tcW w:w="1958" w:type="dxa"/>
          </w:tcPr>
          <w:p w14:paraId="68EA3F94" w14:textId="77777777" w:rsidR="00366E30" w:rsidRPr="00366E30" w:rsidRDefault="00366E30" w:rsidP="00366E30">
            <w:pPr>
              <w:rPr>
                <w:rFonts w:eastAsia="Calibri" w:cs="Times New Roman"/>
                <w:sz w:val="16"/>
              </w:rPr>
            </w:pPr>
            <w:r w:rsidRPr="00366E30">
              <w:rPr>
                <w:rFonts w:eastAsia="Calibri" w:cs="Times New Roman"/>
                <w:sz w:val="16"/>
              </w:rPr>
              <w:t>Good Governance and Public Participation</w:t>
            </w:r>
          </w:p>
        </w:tc>
        <w:tc>
          <w:tcPr>
            <w:tcW w:w="1958" w:type="dxa"/>
          </w:tcPr>
          <w:p w14:paraId="7D95F7B7" w14:textId="77777777" w:rsidR="00366E30" w:rsidRPr="00366E30" w:rsidRDefault="00366E30" w:rsidP="00366E30">
            <w:pPr>
              <w:rPr>
                <w:rFonts w:eastAsia="Calibri" w:cs="Times New Roman"/>
                <w:sz w:val="16"/>
              </w:rPr>
            </w:pPr>
            <w:r w:rsidRPr="00366E30">
              <w:rPr>
                <w:rFonts w:eastAsia="Calibri" w:cs="Times New Roman"/>
                <w:sz w:val="14"/>
              </w:rPr>
              <w:t>To Promote a Culture of Public Participatory Democracy and Social Cohesion</w:t>
            </w:r>
          </w:p>
        </w:tc>
        <w:tc>
          <w:tcPr>
            <w:tcW w:w="2544" w:type="dxa"/>
          </w:tcPr>
          <w:p w14:paraId="7D4D1758" w14:textId="77777777" w:rsidR="00366E30" w:rsidRPr="00366E30" w:rsidRDefault="00366E30" w:rsidP="00366E30">
            <w:pPr>
              <w:rPr>
                <w:rFonts w:eastAsia="Calibri" w:cs="Times New Roman"/>
                <w:sz w:val="14"/>
                <w:szCs w:val="14"/>
              </w:rPr>
            </w:pPr>
            <w:r w:rsidRPr="00366E30">
              <w:rPr>
                <w:rFonts w:eastAsia="Calibri" w:cs="Times New Roman"/>
                <w:sz w:val="14"/>
                <w:szCs w:val="14"/>
              </w:rPr>
              <w:t>Complaints Management</w:t>
            </w:r>
          </w:p>
          <w:p w14:paraId="11859284" w14:textId="77777777" w:rsidR="00366E30" w:rsidRPr="00366E30" w:rsidRDefault="00366E30" w:rsidP="00366E30">
            <w:pPr>
              <w:rPr>
                <w:rFonts w:eastAsia="Calibri" w:cs="Times New Roman"/>
                <w:sz w:val="14"/>
                <w:szCs w:val="14"/>
              </w:rPr>
            </w:pPr>
            <w:r w:rsidRPr="00366E30">
              <w:rPr>
                <w:rFonts w:eastAsia="Calibri" w:cs="Times New Roman"/>
                <w:sz w:val="14"/>
                <w:szCs w:val="14"/>
              </w:rPr>
              <w:t>Keeping With BATO-PELE Principles</w:t>
            </w:r>
          </w:p>
          <w:p w14:paraId="4C529C0F" w14:textId="77777777" w:rsidR="00366E30" w:rsidRPr="00366E30" w:rsidRDefault="00366E30" w:rsidP="00366E30">
            <w:pPr>
              <w:rPr>
                <w:rFonts w:eastAsia="Calibri" w:cs="Times New Roman"/>
                <w:sz w:val="14"/>
                <w:szCs w:val="14"/>
              </w:rPr>
            </w:pPr>
            <w:r w:rsidRPr="00366E30">
              <w:rPr>
                <w:rFonts w:eastAsia="Calibri" w:cs="Times New Roman"/>
                <w:sz w:val="14"/>
                <w:szCs w:val="14"/>
              </w:rPr>
              <w:t>Develop SDIP</w:t>
            </w:r>
          </w:p>
          <w:p w14:paraId="1839B794" w14:textId="77777777" w:rsidR="00366E30" w:rsidRPr="00366E30" w:rsidRDefault="00366E30" w:rsidP="00366E30">
            <w:pPr>
              <w:rPr>
                <w:rFonts w:eastAsia="Calibri" w:cs="Times New Roman"/>
                <w:sz w:val="14"/>
                <w:szCs w:val="14"/>
              </w:rPr>
            </w:pPr>
            <w:r w:rsidRPr="00366E30">
              <w:rPr>
                <w:rFonts w:eastAsia="Calibri" w:cs="Times New Roman"/>
                <w:sz w:val="14"/>
                <w:szCs w:val="14"/>
              </w:rPr>
              <w:t>Fully Functional Ward Committees</w:t>
            </w:r>
          </w:p>
          <w:p w14:paraId="79447138" w14:textId="77777777" w:rsidR="00366E30" w:rsidRPr="00366E30" w:rsidRDefault="00366E30" w:rsidP="00366E30">
            <w:pPr>
              <w:rPr>
                <w:rFonts w:eastAsia="Calibri" w:cs="Times New Roman"/>
                <w:sz w:val="14"/>
                <w:szCs w:val="14"/>
              </w:rPr>
            </w:pPr>
            <w:r w:rsidRPr="00366E30">
              <w:rPr>
                <w:rFonts w:eastAsia="Calibri" w:cs="Times New Roman"/>
                <w:sz w:val="14"/>
                <w:szCs w:val="14"/>
              </w:rPr>
              <w:t>Special Programs (Target Groups)</w:t>
            </w:r>
          </w:p>
          <w:p w14:paraId="51B863FC" w14:textId="77777777" w:rsidR="00366E30" w:rsidRPr="00366E30" w:rsidRDefault="00366E30" w:rsidP="00366E30">
            <w:pPr>
              <w:rPr>
                <w:rFonts w:eastAsia="Calibri" w:cs="Times New Roman"/>
                <w:sz w:val="14"/>
                <w:szCs w:val="14"/>
              </w:rPr>
            </w:pPr>
            <w:r w:rsidRPr="00366E30">
              <w:rPr>
                <w:rFonts w:eastAsia="Calibri" w:cs="Times New Roman"/>
                <w:sz w:val="14"/>
                <w:szCs w:val="14"/>
              </w:rPr>
              <w:t>Public Relations/Communications</w:t>
            </w:r>
          </w:p>
        </w:tc>
      </w:tr>
      <w:tr w:rsidR="00366E30" w:rsidRPr="00366E30" w14:paraId="03F5A4D9" w14:textId="77777777" w:rsidTr="00A3398B">
        <w:trPr>
          <w:trHeight w:val="75"/>
        </w:trPr>
        <w:tc>
          <w:tcPr>
            <w:tcW w:w="1806" w:type="dxa"/>
          </w:tcPr>
          <w:p w14:paraId="272AF154" w14:textId="77777777" w:rsidR="00366E30" w:rsidRPr="00366E30" w:rsidRDefault="00366E30" w:rsidP="00366E30">
            <w:pPr>
              <w:rPr>
                <w:rFonts w:eastAsia="Calibri" w:cs="Times New Roman"/>
                <w:sz w:val="16"/>
              </w:rPr>
            </w:pPr>
            <w:r w:rsidRPr="00366E30">
              <w:rPr>
                <w:rFonts w:eastAsia="Calibri" w:cs="Times New Roman"/>
                <w:sz w:val="16"/>
              </w:rPr>
              <w:t>Expand Infrastructure</w:t>
            </w:r>
          </w:p>
          <w:p w14:paraId="3578F26B" w14:textId="77777777" w:rsidR="00366E30" w:rsidRPr="00366E30" w:rsidRDefault="00366E30" w:rsidP="00366E30">
            <w:pPr>
              <w:rPr>
                <w:rFonts w:eastAsia="Calibri" w:cs="Times New Roman"/>
                <w:sz w:val="16"/>
              </w:rPr>
            </w:pPr>
            <w:r w:rsidRPr="00366E30">
              <w:rPr>
                <w:rFonts w:eastAsia="Calibri" w:cs="Times New Roman"/>
                <w:sz w:val="16"/>
              </w:rPr>
              <w:t>Inclusive Planning</w:t>
            </w:r>
          </w:p>
        </w:tc>
        <w:tc>
          <w:tcPr>
            <w:tcW w:w="2286" w:type="dxa"/>
          </w:tcPr>
          <w:p w14:paraId="7BF8B09C" w14:textId="77777777" w:rsidR="00366E30" w:rsidRPr="00366E30" w:rsidRDefault="00366E30" w:rsidP="00366E30">
            <w:pPr>
              <w:rPr>
                <w:rFonts w:eastAsia="Calibri" w:cs="Times New Roman"/>
                <w:sz w:val="16"/>
              </w:rPr>
            </w:pPr>
            <w:r w:rsidRPr="00366E30">
              <w:rPr>
                <w:rFonts w:eastAsia="Calibri" w:cs="Times New Roman"/>
                <w:sz w:val="16"/>
              </w:rPr>
              <w:t>Inclusive Economic Growth</w:t>
            </w:r>
          </w:p>
          <w:p w14:paraId="0E9C444A" w14:textId="77777777" w:rsidR="00366E30" w:rsidRPr="00366E30" w:rsidRDefault="00366E30" w:rsidP="00366E30">
            <w:pPr>
              <w:rPr>
                <w:rFonts w:eastAsia="Calibri" w:cs="Times New Roman"/>
                <w:sz w:val="16"/>
              </w:rPr>
            </w:pPr>
            <w:r w:rsidRPr="00366E30">
              <w:rPr>
                <w:rFonts w:eastAsia="Calibri" w:cs="Times New Roman"/>
                <w:sz w:val="16"/>
              </w:rPr>
              <w:t>Strategic Infrastructure</w:t>
            </w:r>
          </w:p>
          <w:p w14:paraId="1BF488DA" w14:textId="77777777" w:rsidR="00366E30" w:rsidRPr="00366E30" w:rsidRDefault="00366E30" w:rsidP="00366E30">
            <w:pPr>
              <w:rPr>
                <w:rFonts w:eastAsia="Calibri" w:cs="Times New Roman"/>
                <w:sz w:val="16"/>
              </w:rPr>
            </w:pPr>
            <w:r w:rsidRPr="00366E30">
              <w:rPr>
                <w:rFonts w:eastAsia="Calibri" w:cs="Times New Roman"/>
                <w:sz w:val="16"/>
              </w:rPr>
              <w:t>Environmental Sustainability</w:t>
            </w:r>
          </w:p>
          <w:p w14:paraId="0F32CEFE" w14:textId="77777777" w:rsidR="00366E30" w:rsidRPr="00366E30" w:rsidRDefault="00366E30" w:rsidP="00366E30">
            <w:pPr>
              <w:rPr>
                <w:rFonts w:eastAsia="Calibri" w:cs="Times New Roman"/>
                <w:sz w:val="16"/>
              </w:rPr>
            </w:pPr>
            <w:r w:rsidRPr="00366E30">
              <w:rPr>
                <w:rFonts w:eastAsia="Calibri" w:cs="Times New Roman"/>
                <w:sz w:val="16"/>
              </w:rPr>
              <w:t>Spatial Equity</w:t>
            </w:r>
          </w:p>
        </w:tc>
        <w:tc>
          <w:tcPr>
            <w:tcW w:w="1631" w:type="dxa"/>
          </w:tcPr>
          <w:p w14:paraId="2B3B97CD" w14:textId="77777777" w:rsidR="00366E30" w:rsidRPr="00366E30" w:rsidRDefault="00366E30" w:rsidP="00366E30">
            <w:pPr>
              <w:rPr>
                <w:rFonts w:eastAsia="Calibri" w:cs="Times New Roman"/>
                <w:sz w:val="16"/>
              </w:rPr>
            </w:pPr>
            <w:r w:rsidRPr="00366E30">
              <w:rPr>
                <w:rFonts w:eastAsia="Calibri" w:cs="Times New Roman"/>
                <w:sz w:val="16"/>
              </w:rPr>
              <w:t>Coordinated Planning, Spatial Equity, Coastal and Environmental Management</w:t>
            </w:r>
          </w:p>
        </w:tc>
        <w:tc>
          <w:tcPr>
            <w:tcW w:w="1306" w:type="dxa"/>
          </w:tcPr>
          <w:p w14:paraId="283B6FC9" w14:textId="77777777" w:rsidR="00366E30" w:rsidRPr="00366E30" w:rsidRDefault="00366E30" w:rsidP="00366E30">
            <w:pPr>
              <w:rPr>
                <w:rFonts w:eastAsia="Calibri" w:cs="Times New Roman"/>
                <w:sz w:val="16"/>
              </w:rPr>
            </w:pPr>
          </w:p>
        </w:tc>
        <w:tc>
          <w:tcPr>
            <w:tcW w:w="1796" w:type="dxa"/>
          </w:tcPr>
          <w:p w14:paraId="0B3C4378" w14:textId="77777777" w:rsidR="00366E30" w:rsidRPr="00366E30" w:rsidRDefault="00366E30" w:rsidP="00366E30">
            <w:pPr>
              <w:rPr>
                <w:rFonts w:eastAsia="Calibri" w:cs="Times New Roman"/>
                <w:sz w:val="16"/>
              </w:rPr>
            </w:pPr>
            <w:r w:rsidRPr="00366E30">
              <w:rPr>
                <w:rFonts w:eastAsia="Calibri" w:cs="Times New Roman"/>
                <w:sz w:val="16"/>
              </w:rPr>
              <w:t xml:space="preserve">Cross Cutting </w:t>
            </w:r>
          </w:p>
        </w:tc>
        <w:tc>
          <w:tcPr>
            <w:tcW w:w="1958" w:type="dxa"/>
          </w:tcPr>
          <w:p w14:paraId="21F51715" w14:textId="77777777" w:rsidR="00366E30" w:rsidRPr="00366E30" w:rsidRDefault="00366E30" w:rsidP="00366E30">
            <w:pPr>
              <w:rPr>
                <w:rFonts w:eastAsia="Calibri" w:cs="Times New Roman"/>
                <w:sz w:val="16"/>
              </w:rPr>
            </w:pPr>
            <w:r w:rsidRPr="00366E30">
              <w:rPr>
                <w:rFonts w:eastAsia="Calibri" w:cs="Times New Roman"/>
                <w:sz w:val="16"/>
              </w:rPr>
              <w:t xml:space="preserve">Co-ordinated Spatial Development Planning and Environmental Management </w:t>
            </w:r>
          </w:p>
        </w:tc>
        <w:tc>
          <w:tcPr>
            <w:tcW w:w="1958" w:type="dxa"/>
          </w:tcPr>
          <w:p w14:paraId="528334DA" w14:textId="77777777" w:rsidR="00366E30" w:rsidRPr="00366E30" w:rsidRDefault="00366E30" w:rsidP="00366E30">
            <w:pPr>
              <w:rPr>
                <w:rFonts w:eastAsia="Calibri" w:cs="Times New Roman"/>
                <w:sz w:val="14"/>
              </w:rPr>
            </w:pPr>
            <w:r w:rsidRPr="00366E30">
              <w:rPr>
                <w:rFonts w:eastAsia="Calibri" w:cs="Times New Roman"/>
                <w:sz w:val="14"/>
              </w:rPr>
              <w:t xml:space="preserve">To ensure coordinated Land Use Management, Taking cognizance of Sound Environmental Practices  </w:t>
            </w:r>
          </w:p>
          <w:p w14:paraId="0E8F8031" w14:textId="77777777" w:rsidR="00366E30" w:rsidRPr="00366E30" w:rsidRDefault="00366E30" w:rsidP="00366E30">
            <w:pPr>
              <w:rPr>
                <w:rFonts w:eastAsia="Calibri" w:cs="Times New Roman"/>
                <w:sz w:val="14"/>
              </w:rPr>
            </w:pPr>
          </w:p>
          <w:p w14:paraId="323587FB" w14:textId="77777777" w:rsidR="00366E30" w:rsidRPr="00366E30" w:rsidRDefault="00366E30" w:rsidP="00366E30">
            <w:pPr>
              <w:rPr>
                <w:rFonts w:eastAsia="Calibri" w:cs="Times New Roman"/>
                <w:sz w:val="16"/>
              </w:rPr>
            </w:pPr>
            <w:r w:rsidRPr="00366E30">
              <w:rPr>
                <w:rFonts w:eastAsia="Calibri" w:cs="Times New Roman"/>
                <w:color w:val="FF0000"/>
                <w:sz w:val="14"/>
              </w:rPr>
              <w:t>To Develop a Credible and Implementable IDP</w:t>
            </w:r>
          </w:p>
        </w:tc>
        <w:tc>
          <w:tcPr>
            <w:tcW w:w="2544" w:type="dxa"/>
          </w:tcPr>
          <w:p w14:paraId="4AAE7A28" w14:textId="77777777" w:rsidR="00366E30" w:rsidRPr="00366E30" w:rsidRDefault="00366E30" w:rsidP="00366E30">
            <w:pPr>
              <w:rPr>
                <w:rFonts w:eastAsia="Calibri" w:cs="Times New Roman"/>
                <w:color w:val="FF0000"/>
                <w:sz w:val="14"/>
                <w:szCs w:val="14"/>
              </w:rPr>
            </w:pPr>
            <w:r w:rsidRPr="00366E30">
              <w:rPr>
                <w:rFonts w:eastAsia="Calibri" w:cs="Times New Roman"/>
                <w:color w:val="FF0000"/>
                <w:sz w:val="14"/>
                <w:szCs w:val="14"/>
              </w:rPr>
              <w:t>LUMS (Bylaw Enforcement)</w:t>
            </w:r>
          </w:p>
          <w:p w14:paraId="22911F6F" w14:textId="77777777" w:rsidR="00366E30" w:rsidRPr="00366E30" w:rsidRDefault="00366E30" w:rsidP="00366E30">
            <w:pPr>
              <w:rPr>
                <w:rFonts w:eastAsia="Calibri" w:cs="Times New Roman"/>
                <w:color w:val="FF0000"/>
                <w:sz w:val="14"/>
                <w:szCs w:val="14"/>
              </w:rPr>
            </w:pPr>
            <w:r w:rsidRPr="00366E30">
              <w:rPr>
                <w:rFonts w:eastAsia="Calibri" w:cs="Times New Roman"/>
                <w:color w:val="FF0000"/>
                <w:sz w:val="14"/>
                <w:szCs w:val="14"/>
              </w:rPr>
              <w:t>Effective Building Controls</w:t>
            </w:r>
          </w:p>
          <w:p w14:paraId="346FA311" w14:textId="77777777" w:rsidR="00366E30" w:rsidRPr="00366E30" w:rsidRDefault="00366E30" w:rsidP="00366E30">
            <w:pPr>
              <w:rPr>
                <w:rFonts w:eastAsia="Calibri" w:cs="Times New Roman"/>
                <w:color w:val="FF0000"/>
                <w:sz w:val="14"/>
                <w:szCs w:val="14"/>
              </w:rPr>
            </w:pPr>
            <w:r w:rsidRPr="00366E30">
              <w:rPr>
                <w:rFonts w:eastAsia="Calibri" w:cs="Times New Roman"/>
                <w:color w:val="FF0000"/>
                <w:sz w:val="14"/>
                <w:szCs w:val="14"/>
              </w:rPr>
              <w:t>Coordinated Spatial Development</w:t>
            </w:r>
          </w:p>
          <w:p w14:paraId="39CF906D" w14:textId="77777777" w:rsidR="00366E30" w:rsidRPr="00366E30" w:rsidRDefault="00366E30" w:rsidP="00366E30">
            <w:pPr>
              <w:rPr>
                <w:rFonts w:eastAsia="Calibri" w:cs="Times New Roman"/>
                <w:color w:val="FF0000"/>
                <w:sz w:val="14"/>
                <w:szCs w:val="14"/>
              </w:rPr>
            </w:pPr>
            <w:r w:rsidRPr="00366E30">
              <w:rPr>
                <w:rFonts w:eastAsia="Calibri" w:cs="Times New Roman"/>
                <w:color w:val="FF0000"/>
                <w:sz w:val="14"/>
                <w:szCs w:val="14"/>
              </w:rPr>
              <w:t>Environmental Management</w:t>
            </w:r>
          </w:p>
          <w:p w14:paraId="6AE489D9" w14:textId="77777777" w:rsidR="00366E30" w:rsidRPr="00366E30" w:rsidRDefault="00366E30" w:rsidP="00366E30">
            <w:pPr>
              <w:rPr>
                <w:rFonts w:eastAsia="Calibri" w:cs="Times New Roman"/>
                <w:color w:val="FF0000"/>
                <w:sz w:val="14"/>
                <w:szCs w:val="14"/>
              </w:rPr>
            </w:pPr>
            <w:r w:rsidRPr="00366E30">
              <w:rPr>
                <w:rFonts w:eastAsia="Calibri" w:cs="Times New Roman"/>
                <w:color w:val="FF0000"/>
                <w:sz w:val="14"/>
                <w:szCs w:val="14"/>
              </w:rPr>
              <w:t>Effective/ Participative IDP Roadshows.</w:t>
            </w:r>
          </w:p>
          <w:p w14:paraId="5C894B62" w14:textId="77777777" w:rsidR="00366E30" w:rsidRPr="00366E30" w:rsidRDefault="00366E30" w:rsidP="00366E30">
            <w:pPr>
              <w:rPr>
                <w:rFonts w:eastAsia="Calibri" w:cs="Times New Roman"/>
                <w:color w:val="FF0000"/>
                <w:sz w:val="14"/>
                <w:szCs w:val="14"/>
              </w:rPr>
            </w:pPr>
            <w:r w:rsidRPr="00366E30">
              <w:rPr>
                <w:rFonts w:eastAsia="Calibri" w:cs="Times New Roman"/>
                <w:color w:val="FF0000"/>
                <w:sz w:val="14"/>
                <w:szCs w:val="14"/>
              </w:rPr>
              <w:t>Community Based Planning</w:t>
            </w:r>
          </w:p>
          <w:p w14:paraId="1A1DCAB1" w14:textId="77777777" w:rsidR="00366E30" w:rsidRPr="00366E30" w:rsidRDefault="00366E30" w:rsidP="00366E30">
            <w:pPr>
              <w:rPr>
                <w:rFonts w:eastAsia="Calibri" w:cs="Times New Roman"/>
                <w:sz w:val="14"/>
                <w:szCs w:val="14"/>
              </w:rPr>
            </w:pPr>
            <w:r w:rsidRPr="00366E30">
              <w:rPr>
                <w:rFonts w:eastAsia="Calibri" w:cs="Times New Roman"/>
                <w:color w:val="FF0000"/>
                <w:sz w:val="14"/>
                <w:szCs w:val="14"/>
              </w:rPr>
              <w:t>Improve IDP Ranking</w:t>
            </w:r>
          </w:p>
        </w:tc>
      </w:tr>
      <w:tr w:rsidR="00366E30" w:rsidRPr="00366E30" w14:paraId="1FF386AF" w14:textId="77777777" w:rsidTr="00A3398B">
        <w:trPr>
          <w:trHeight w:val="516"/>
        </w:trPr>
        <w:tc>
          <w:tcPr>
            <w:tcW w:w="1806" w:type="dxa"/>
            <w:shd w:val="clear" w:color="auto" w:fill="AEAAAA"/>
          </w:tcPr>
          <w:p w14:paraId="01C1C352" w14:textId="77777777" w:rsidR="00366E30" w:rsidRPr="00366E30" w:rsidRDefault="00366E30" w:rsidP="00366E30">
            <w:pPr>
              <w:rPr>
                <w:rFonts w:eastAsia="Calibri" w:cs="Times New Roman"/>
                <w:sz w:val="16"/>
              </w:rPr>
            </w:pPr>
            <w:r w:rsidRPr="00366E30">
              <w:rPr>
                <w:rFonts w:eastAsia="Calibri" w:cs="Times New Roman"/>
                <w:sz w:val="16"/>
              </w:rPr>
              <w:t>Quality Education</w:t>
            </w:r>
          </w:p>
          <w:p w14:paraId="016ED3E5" w14:textId="77777777" w:rsidR="00366E30" w:rsidRPr="00366E30" w:rsidRDefault="00366E30" w:rsidP="00366E30">
            <w:pPr>
              <w:rPr>
                <w:rFonts w:eastAsia="Calibri" w:cs="Times New Roman"/>
                <w:sz w:val="16"/>
              </w:rPr>
            </w:pPr>
            <w:r w:rsidRPr="00366E30">
              <w:rPr>
                <w:rFonts w:eastAsia="Calibri" w:cs="Times New Roman"/>
                <w:sz w:val="16"/>
              </w:rPr>
              <w:t>Quality Healthcare</w:t>
            </w:r>
          </w:p>
          <w:p w14:paraId="13C3A707" w14:textId="77777777" w:rsidR="00366E30" w:rsidRPr="00366E30" w:rsidRDefault="00366E30" w:rsidP="00366E30">
            <w:pPr>
              <w:rPr>
                <w:rFonts w:eastAsia="Calibri" w:cs="Times New Roman"/>
                <w:sz w:val="16"/>
              </w:rPr>
            </w:pPr>
            <w:r w:rsidRPr="00366E30">
              <w:rPr>
                <w:rFonts w:eastAsia="Calibri" w:cs="Times New Roman"/>
                <w:sz w:val="16"/>
              </w:rPr>
              <w:t>Unite The Nation</w:t>
            </w:r>
          </w:p>
        </w:tc>
        <w:tc>
          <w:tcPr>
            <w:tcW w:w="2286" w:type="dxa"/>
            <w:shd w:val="clear" w:color="auto" w:fill="AEAAAA"/>
          </w:tcPr>
          <w:p w14:paraId="53EB6FCF" w14:textId="77777777" w:rsidR="00366E30" w:rsidRPr="00366E30" w:rsidRDefault="00366E30" w:rsidP="00366E30">
            <w:pPr>
              <w:rPr>
                <w:rFonts w:eastAsia="Calibri" w:cs="Times New Roman"/>
                <w:sz w:val="16"/>
              </w:rPr>
            </w:pPr>
            <w:r w:rsidRPr="00366E30">
              <w:rPr>
                <w:rFonts w:eastAsia="Calibri" w:cs="Times New Roman"/>
                <w:sz w:val="16"/>
              </w:rPr>
              <w:t>Human &amp;Community Development</w:t>
            </w:r>
          </w:p>
        </w:tc>
        <w:tc>
          <w:tcPr>
            <w:tcW w:w="1631" w:type="dxa"/>
            <w:shd w:val="clear" w:color="auto" w:fill="AEAAAA"/>
          </w:tcPr>
          <w:p w14:paraId="0A2D2EBA" w14:textId="77777777" w:rsidR="00366E30" w:rsidRPr="00366E30" w:rsidRDefault="00366E30" w:rsidP="00366E30">
            <w:pPr>
              <w:rPr>
                <w:rFonts w:eastAsia="Calibri" w:cs="Times New Roman"/>
                <w:sz w:val="16"/>
              </w:rPr>
            </w:pPr>
            <w:r w:rsidRPr="00366E30">
              <w:rPr>
                <w:rFonts w:eastAsia="Calibri" w:cs="Times New Roman"/>
                <w:sz w:val="16"/>
              </w:rPr>
              <w:t>Social Services, Human and Community Development</w:t>
            </w:r>
          </w:p>
        </w:tc>
        <w:tc>
          <w:tcPr>
            <w:tcW w:w="1306" w:type="dxa"/>
            <w:shd w:val="clear" w:color="auto" w:fill="AEAAAA"/>
          </w:tcPr>
          <w:p w14:paraId="0266490D" w14:textId="77777777" w:rsidR="00366E30" w:rsidRPr="00366E30" w:rsidRDefault="00366E30" w:rsidP="00366E30">
            <w:pPr>
              <w:rPr>
                <w:rFonts w:eastAsia="Calibri" w:cs="Times New Roman"/>
                <w:sz w:val="16"/>
              </w:rPr>
            </w:pPr>
            <w:r w:rsidRPr="00366E30">
              <w:rPr>
                <w:rFonts w:eastAsia="Calibri" w:cs="Times New Roman"/>
                <w:sz w:val="16"/>
              </w:rPr>
              <w:t>Basic Services</w:t>
            </w:r>
          </w:p>
        </w:tc>
        <w:tc>
          <w:tcPr>
            <w:tcW w:w="1796" w:type="dxa"/>
            <w:shd w:val="clear" w:color="auto" w:fill="AEAAAA"/>
          </w:tcPr>
          <w:p w14:paraId="290D2308" w14:textId="77777777" w:rsidR="00366E30" w:rsidRPr="00366E30" w:rsidRDefault="00366E30" w:rsidP="00366E30">
            <w:pPr>
              <w:rPr>
                <w:rFonts w:eastAsia="Calibri" w:cs="Times New Roman"/>
                <w:sz w:val="16"/>
              </w:rPr>
            </w:pPr>
            <w:r w:rsidRPr="00366E30">
              <w:rPr>
                <w:rFonts w:eastAsia="Calibri" w:cs="Times New Roman"/>
                <w:sz w:val="16"/>
              </w:rPr>
              <w:t>Social Development**</w:t>
            </w:r>
          </w:p>
        </w:tc>
        <w:tc>
          <w:tcPr>
            <w:tcW w:w="1958" w:type="dxa"/>
            <w:shd w:val="clear" w:color="auto" w:fill="AEAAAA"/>
          </w:tcPr>
          <w:p w14:paraId="7805C34C" w14:textId="77777777" w:rsidR="00366E30" w:rsidRPr="00366E30" w:rsidRDefault="00366E30" w:rsidP="00366E30">
            <w:pPr>
              <w:rPr>
                <w:rFonts w:eastAsia="Calibri" w:cs="Times New Roman"/>
                <w:sz w:val="16"/>
              </w:rPr>
            </w:pPr>
            <w:r w:rsidRPr="00366E30">
              <w:rPr>
                <w:rFonts w:eastAsia="Calibri" w:cs="Times New Roman"/>
                <w:sz w:val="16"/>
              </w:rPr>
              <w:t>Social and Community Development</w:t>
            </w:r>
          </w:p>
        </w:tc>
        <w:tc>
          <w:tcPr>
            <w:tcW w:w="1958" w:type="dxa"/>
            <w:shd w:val="clear" w:color="auto" w:fill="AEAAAA"/>
          </w:tcPr>
          <w:p w14:paraId="10221FD7" w14:textId="77777777" w:rsidR="00366E30" w:rsidRPr="00366E30" w:rsidRDefault="00366E30" w:rsidP="00366E30">
            <w:pPr>
              <w:rPr>
                <w:rFonts w:eastAsia="Calibri" w:cs="Times New Roman"/>
                <w:sz w:val="14"/>
              </w:rPr>
            </w:pPr>
            <w:r w:rsidRPr="00366E30">
              <w:rPr>
                <w:rFonts w:eastAsia="Calibri" w:cs="Times New Roman"/>
                <w:sz w:val="14"/>
              </w:rPr>
              <w:t xml:space="preserve">To Mitigate the impact of HIV/AIDS </w:t>
            </w:r>
          </w:p>
          <w:p w14:paraId="082C3DDF" w14:textId="77777777" w:rsidR="00366E30" w:rsidRPr="00366E30" w:rsidRDefault="00366E30" w:rsidP="00366E30">
            <w:pPr>
              <w:rPr>
                <w:rFonts w:eastAsia="Calibri" w:cs="Times New Roman"/>
                <w:sz w:val="14"/>
              </w:rPr>
            </w:pPr>
          </w:p>
          <w:p w14:paraId="244E416C" w14:textId="77777777" w:rsidR="00366E30" w:rsidRPr="00366E30" w:rsidRDefault="00366E30" w:rsidP="00366E30">
            <w:pPr>
              <w:rPr>
                <w:rFonts w:eastAsia="Calibri" w:cs="Times New Roman"/>
                <w:sz w:val="16"/>
              </w:rPr>
            </w:pPr>
            <w:r w:rsidRPr="00366E30">
              <w:rPr>
                <w:rFonts w:eastAsia="Calibri" w:cs="Times New Roman"/>
                <w:color w:val="FF0000"/>
                <w:sz w:val="14"/>
              </w:rPr>
              <w:t>To Facilitate and Support Social Cohesion and Social Development Initaitives</w:t>
            </w:r>
          </w:p>
        </w:tc>
        <w:tc>
          <w:tcPr>
            <w:tcW w:w="2544" w:type="dxa"/>
            <w:shd w:val="clear" w:color="auto" w:fill="AEAAAA"/>
          </w:tcPr>
          <w:p w14:paraId="6930828E" w14:textId="77777777" w:rsidR="00366E30" w:rsidRPr="00366E30" w:rsidRDefault="00366E30" w:rsidP="00366E30">
            <w:pPr>
              <w:rPr>
                <w:rFonts w:eastAsia="Calibri" w:cs="Times New Roman"/>
                <w:sz w:val="14"/>
                <w:szCs w:val="14"/>
              </w:rPr>
            </w:pPr>
            <w:r w:rsidRPr="00366E30">
              <w:rPr>
                <w:rFonts w:eastAsia="Calibri" w:cs="Times New Roman"/>
                <w:sz w:val="14"/>
                <w:szCs w:val="14"/>
              </w:rPr>
              <w:t>Reduction of HIV/AIDS Infections</w:t>
            </w:r>
          </w:p>
          <w:p w14:paraId="050D75E1" w14:textId="77777777" w:rsidR="00366E30" w:rsidRPr="00366E30" w:rsidRDefault="00366E30" w:rsidP="00366E30">
            <w:pPr>
              <w:rPr>
                <w:rFonts w:eastAsia="Calibri" w:cs="Times New Roman"/>
                <w:sz w:val="14"/>
                <w:szCs w:val="14"/>
              </w:rPr>
            </w:pPr>
          </w:p>
          <w:p w14:paraId="706FE89D" w14:textId="77777777" w:rsidR="00366E30" w:rsidRPr="00366E30" w:rsidRDefault="00366E30" w:rsidP="00366E30">
            <w:pPr>
              <w:rPr>
                <w:rFonts w:eastAsia="Calibri" w:cs="Times New Roman"/>
                <w:sz w:val="14"/>
                <w:szCs w:val="14"/>
              </w:rPr>
            </w:pPr>
            <w:r w:rsidRPr="00366E30">
              <w:rPr>
                <w:rFonts w:eastAsia="Calibri" w:cs="Times New Roman"/>
                <w:sz w:val="14"/>
                <w:szCs w:val="14"/>
              </w:rPr>
              <w:t>Community Support Programs and Initiatives</w:t>
            </w:r>
          </w:p>
          <w:p w14:paraId="103BD1DD" w14:textId="77777777" w:rsidR="00366E30" w:rsidRPr="00366E30" w:rsidRDefault="00366E30" w:rsidP="00366E30">
            <w:pPr>
              <w:rPr>
                <w:rFonts w:eastAsia="Calibri" w:cs="Times New Roman"/>
                <w:sz w:val="14"/>
                <w:szCs w:val="14"/>
              </w:rPr>
            </w:pPr>
          </w:p>
          <w:p w14:paraId="61EEC474" w14:textId="77777777" w:rsidR="00366E30" w:rsidRPr="00366E30" w:rsidRDefault="00366E30" w:rsidP="00366E30">
            <w:pPr>
              <w:rPr>
                <w:rFonts w:eastAsia="Calibri" w:cs="Times New Roman"/>
                <w:sz w:val="14"/>
                <w:szCs w:val="14"/>
              </w:rPr>
            </w:pPr>
            <w:r w:rsidRPr="00366E30">
              <w:rPr>
                <w:rFonts w:eastAsia="Calibri" w:cs="Times New Roman"/>
                <w:sz w:val="14"/>
                <w:szCs w:val="14"/>
              </w:rPr>
              <w:t>Operation Sukuma Sakhe</w:t>
            </w:r>
          </w:p>
        </w:tc>
      </w:tr>
    </w:tbl>
    <w:p w14:paraId="5C82BAAB" w14:textId="77777777" w:rsidR="00586F5F" w:rsidRPr="007D7A0C" w:rsidRDefault="005A36DE" w:rsidP="007D7A0C">
      <w:pPr>
        <w:pStyle w:val="Caption"/>
      </w:pPr>
      <w:bookmarkStart w:id="21" w:name="_Toc510622254"/>
      <w:r>
        <w:t xml:space="preserve">Table </w:t>
      </w:r>
      <w:r w:rsidR="00B918A6">
        <w:fldChar w:fldCharType="begin"/>
      </w:r>
      <w:r w:rsidR="00B918A6">
        <w:instrText xml:space="preserve"> SEQ Table \* ARABIC </w:instrText>
      </w:r>
      <w:r w:rsidR="00B918A6">
        <w:fldChar w:fldCharType="separate"/>
      </w:r>
      <w:r w:rsidR="0067023A">
        <w:rPr>
          <w:noProof/>
        </w:rPr>
        <w:t>4</w:t>
      </w:r>
      <w:r w:rsidR="00B918A6">
        <w:rPr>
          <w:noProof/>
        </w:rPr>
        <w:fldChar w:fldCharType="end"/>
      </w:r>
      <w:r>
        <w:t xml:space="preserve">: </w:t>
      </w:r>
      <w:r w:rsidRPr="005A36DE">
        <w:t>Outputs, Outcome</w:t>
      </w:r>
      <w:r>
        <w:t>s And Deliverables For 2017/18</w:t>
      </w:r>
      <w:bookmarkEnd w:id="21"/>
      <w:r>
        <w:t xml:space="preserve"> </w:t>
      </w:r>
    </w:p>
    <w:p w14:paraId="1E401CD2" w14:textId="15C910FB" w:rsidR="005A36DE" w:rsidRDefault="00963C1D" w:rsidP="00750180">
      <w:pPr>
        <w:pStyle w:val="Heading3"/>
        <w:numPr>
          <w:ilvl w:val="2"/>
          <w:numId w:val="56"/>
        </w:numPr>
        <w:spacing w:after="240"/>
      </w:pPr>
      <w:bookmarkStart w:id="22" w:name="_Toc510706566"/>
      <w:r w:rsidRPr="005A36DE">
        <w:lastRenderedPageBreak/>
        <w:t>Strategic Spatial Intervention Areas</w:t>
      </w:r>
      <w:bookmarkEnd w:id="22"/>
    </w:p>
    <w:p w14:paraId="1C9E70F1" w14:textId="77777777" w:rsidR="001B4DC5" w:rsidRPr="005A36DE" w:rsidRDefault="007D7A0C" w:rsidP="007D7A0C">
      <w:pPr>
        <w:pStyle w:val="Caption"/>
        <w:sectPr w:rsidR="001B4DC5" w:rsidRPr="005A36DE" w:rsidSect="00B80F75">
          <w:pgSz w:w="16839" w:h="11907" w:orient="landscape" w:code="9"/>
          <w:pgMar w:top="1134" w:right="1276" w:bottom="1134" w:left="851" w:header="720" w:footer="345" w:gutter="0"/>
          <w:cols w:space="720"/>
          <w:titlePg/>
          <w:docGrid w:linePitch="360"/>
        </w:sectPr>
      </w:pPr>
      <w:bookmarkStart w:id="23" w:name="_Toc481468918"/>
      <w:r w:rsidRPr="005A36DE">
        <w:rPr>
          <w:noProof/>
          <w:szCs w:val="22"/>
        </w:rPr>
        <w:drawing>
          <wp:anchor distT="0" distB="0" distL="114300" distR="114300" simplePos="0" relativeHeight="251743744" behindDoc="0" locked="0" layoutInCell="1" allowOverlap="1" wp14:anchorId="7C165981" wp14:editId="0074A546">
            <wp:simplePos x="0" y="0"/>
            <wp:positionH relativeFrom="margin">
              <wp:posOffset>95250</wp:posOffset>
            </wp:positionH>
            <wp:positionV relativeFrom="margin">
              <wp:posOffset>623570</wp:posOffset>
            </wp:positionV>
            <wp:extent cx="8971280" cy="5327015"/>
            <wp:effectExtent l="0" t="0" r="1270" b="6985"/>
            <wp:wrapSquare wrapText="bothSides"/>
            <wp:docPr id="28678" name="Picture 28678" descr="C:\Users\siphephelok\Desktop\S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C:\Users\siphephelok\Desktop\SDF.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971280" cy="5327015"/>
                    </a:xfrm>
                    <a:prstGeom prst="rect">
                      <a:avLst/>
                    </a:prstGeom>
                    <a:noFill/>
                    <a:ln>
                      <a:noFill/>
                    </a:ln>
                  </pic:spPr>
                </pic:pic>
              </a:graphicData>
            </a:graphic>
            <wp14:sizeRelV relativeFrom="margin">
              <wp14:pctHeight>0</wp14:pctHeight>
            </wp14:sizeRelV>
          </wp:anchor>
        </w:drawing>
      </w:r>
      <w:r w:rsidR="005A36DE">
        <w:t xml:space="preserve">Map </w:t>
      </w:r>
      <w:r w:rsidR="00B918A6">
        <w:fldChar w:fldCharType="begin"/>
      </w:r>
      <w:r w:rsidR="00B918A6">
        <w:instrText xml:space="preserve"> SEQ Map \* ARABIC </w:instrText>
      </w:r>
      <w:r w:rsidR="00B918A6">
        <w:fldChar w:fldCharType="separate"/>
      </w:r>
      <w:r w:rsidR="0067023A">
        <w:rPr>
          <w:noProof/>
        </w:rPr>
        <w:t>3</w:t>
      </w:r>
      <w:r w:rsidR="00B918A6">
        <w:rPr>
          <w:noProof/>
        </w:rPr>
        <w:fldChar w:fldCharType="end"/>
      </w:r>
      <w:r w:rsidR="005A36DE">
        <w:t>: Spatial Intervention Areas</w:t>
      </w:r>
      <w:bookmarkEnd w:id="23"/>
    </w:p>
    <w:p w14:paraId="055FA06D" w14:textId="2C5D7199" w:rsidR="007A253E" w:rsidRPr="00FB011B" w:rsidRDefault="00583D3B" w:rsidP="00750180">
      <w:pPr>
        <w:pStyle w:val="Heading2"/>
        <w:numPr>
          <w:ilvl w:val="1"/>
          <w:numId w:val="56"/>
        </w:numPr>
      </w:pPr>
      <w:bookmarkStart w:id="24" w:name="_Toc510706567"/>
      <w:r w:rsidRPr="00FB011B">
        <w:lastRenderedPageBreak/>
        <w:t>PERFORMANCE</w:t>
      </w:r>
      <w:r w:rsidR="006F3CE9">
        <w:t>/PROGRESS</w:t>
      </w:r>
      <w:r w:rsidRPr="00FB011B">
        <w:t xml:space="preserve"> MANAGEMENT</w:t>
      </w:r>
      <w:bookmarkEnd w:id="24"/>
    </w:p>
    <w:p w14:paraId="409A2507" w14:textId="77777777" w:rsidR="007A253E" w:rsidRPr="00881795" w:rsidRDefault="007A253E" w:rsidP="00395313">
      <w:pPr>
        <w:spacing w:after="0" w:line="288" w:lineRule="auto"/>
        <w:jc w:val="both"/>
        <w:rPr>
          <w:szCs w:val="20"/>
        </w:rPr>
      </w:pPr>
    </w:p>
    <w:p w14:paraId="748B568E" w14:textId="77777777" w:rsidR="0039019C" w:rsidRPr="00583D3B" w:rsidRDefault="001D508E" w:rsidP="00395313">
      <w:pPr>
        <w:spacing w:after="0" w:line="288" w:lineRule="auto"/>
        <w:jc w:val="both"/>
        <w:rPr>
          <w:szCs w:val="20"/>
        </w:rPr>
      </w:pPr>
      <w:r w:rsidRPr="00583D3B">
        <w:rPr>
          <w:szCs w:val="20"/>
        </w:rPr>
        <w:t>T</w:t>
      </w:r>
      <w:r w:rsidR="00B43B1D" w:rsidRPr="00583D3B">
        <w:rPr>
          <w:szCs w:val="20"/>
        </w:rPr>
        <w:t xml:space="preserve">he progress will be </w:t>
      </w:r>
      <w:r w:rsidR="00EF4534" w:rsidRPr="00583D3B">
        <w:rPr>
          <w:szCs w:val="20"/>
        </w:rPr>
        <w:t>measured</w:t>
      </w:r>
      <w:r w:rsidR="00B43B1D" w:rsidRPr="00583D3B">
        <w:rPr>
          <w:szCs w:val="20"/>
        </w:rPr>
        <w:t xml:space="preserve"> through the </w:t>
      </w:r>
      <w:r w:rsidR="00A87D5E" w:rsidRPr="00583D3B">
        <w:rPr>
          <w:szCs w:val="20"/>
        </w:rPr>
        <w:t>Organizational</w:t>
      </w:r>
      <w:r w:rsidR="00B43B1D" w:rsidRPr="00583D3B">
        <w:rPr>
          <w:szCs w:val="20"/>
        </w:rPr>
        <w:t xml:space="preserve"> Performance Management Scorecard</w:t>
      </w:r>
      <w:r w:rsidR="00EF4534" w:rsidRPr="00583D3B">
        <w:rPr>
          <w:szCs w:val="20"/>
        </w:rPr>
        <w:t xml:space="preserve"> (OPMS)</w:t>
      </w:r>
      <w:r w:rsidR="00B43B1D" w:rsidRPr="00583D3B">
        <w:rPr>
          <w:szCs w:val="20"/>
        </w:rPr>
        <w:t xml:space="preserve"> and the Service Delivery, Budget, Implementation Plan</w:t>
      </w:r>
      <w:r w:rsidR="00EF4534" w:rsidRPr="00583D3B">
        <w:rPr>
          <w:szCs w:val="20"/>
        </w:rPr>
        <w:t xml:space="preserve"> (SDBIP)</w:t>
      </w:r>
      <w:r w:rsidR="00B43B1D" w:rsidRPr="00583D3B">
        <w:rPr>
          <w:szCs w:val="20"/>
        </w:rPr>
        <w:t xml:space="preserve">. The targets that will be set for the OPMS will be more strategic and linked to the Municipal Managers Performance and the operational targets will be set </w:t>
      </w:r>
      <w:r w:rsidR="00EF4534" w:rsidRPr="00583D3B">
        <w:rPr>
          <w:szCs w:val="20"/>
        </w:rPr>
        <w:t>for</w:t>
      </w:r>
      <w:r w:rsidR="00B43B1D" w:rsidRPr="00583D3B">
        <w:rPr>
          <w:szCs w:val="20"/>
        </w:rPr>
        <w:t xml:space="preserve"> the SDBIP </w:t>
      </w:r>
      <w:r w:rsidR="00EF4534" w:rsidRPr="00583D3B">
        <w:rPr>
          <w:szCs w:val="20"/>
        </w:rPr>
        <w:t>and will be linked to the Performance of the Managers directly accountable to the Municipal Manager. These will</w:t>
      </w:r>
      <w:r w:rsidRPr="00583D3B">
        <w:rPr>
          <w:szCs w:val="20"/>
        </w:rPr>
        <w:t xml:space="preserve"> be provided in the final IDP Review Document</w:t>
      </w:r>
      <w:r w:rsidR="00583D3B" w:rsidRPr="00583D3B">
        <w:rPr>
          <w:szCs w:val="20"/>
        </w:rPr>
        <w:t>. The flow chart below illustrates the performance management system.</w:t>
      </w:r>
    </w:p>
    <w:p w14:paraId="20847DB3" w14:textId="77777777" w:rsidR="00332ECF" w:rsidRDefault="00332ECF" w:rsidP="00395313">
      <w:pPr>
        <w:spacing w:after="0" w:line="288" w:lineRule="auto"/>
        <w:jc w:val="both"/>
        <w:rPr>
          <w:i/>
          <w:szCs w:val="20"/>
        </w:rPr>
      </w:pPr>
    </w:p>
    <w:p w14:paraId="15D6F61A" w14:textId="77777777" w:rsidR="00332ECF" w:rsidRDefault="00332ECF" w:rsidP="00395313">
      <w:pPr>
        <w:spacing w:after="0" w:line="288" w:lineRule="auto"/>
        <w:jc w:val="both"/>
        <w:rPr>
          <w:i/>
          <w:szCs w:val="20"/>
        </w:rPr>
      </w:pPr>
      <w:r>
        <w:rPr>
          <w:i/>
          <w:noProof/>
          <w:szCs w:val="20"/>
        </w:rPr>
        <w:drawing>
          <wp:inline distT="0" distB="0" distL="0" distR="0" wp14:anchorId="15F52834" wp14:editId="79140816">
            <wp:extent cx="6047740" cy="3904615"/>
            <wp:effectExtent l="0" t="0" r="0" b="635"/>
            <wp:docPr id="28707" name="Picture 28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47740" cy="3904615"/>
                    </a:xfrm>
                    <a:prstGeom prst="rect">
                      <a:avLst/>
                    </a:prstGeom>
                    <a:noFill/>
                  </pic:spPr>
                </pic:pic>
              </a:graphicData>
            </a:graphic>
          </wp:inline>
        </w:drawing>
      </w:r>
    </w:p>
    <w:p w14:paraId="72ABEE27" w14:textId="77777777" w:rsidR="00332ECF" w:rsidRPr="00325D72" w:rsidRDefault="00325D72" w:rsidP="00325D72">
      <w:pPr>
        <w:pStyle w:val="Caption"/>
      </w:pPr>
      <w:bookmarkStart w:id="25" w:name="_Toc510622363"/>
      <w:r>
        <w:t xml:space="preserve">Figure </w:t>
      </w:r>
      <w:r w:rsidR="00B918A6">
        <w:fldChar w:fldCharType="begin"/>
      </w:r>
      <w:r w:rsidR="00B918A6">
        <w:instrText xml:space="preserve"> SEQ Figure \* ARABIC </w:instrText>
      </w:r>
      <w:r w:rsidR="00B918A6">
        <w:fldChar w:fldCharType="separate"/>
      </w:r>
      <w:r w:rsidR="0067023A">
        <w:rPr>
          <w:noProof/>
        </w:rPr>
        <w:t>1</w:t>
      </w:r>
      <w:r w:rsidR="00B918A6">
        <w:rPr>
          <w:noProof/>
        </w:rPr>
        <w:fldChar w:fldCharType="end"/>
      </w:r>
      <w:r>
        <w:t>: Performance Management</w:t>
      </w:r>
      <w:bookmarkEnd w:id="25"/>
    </w:p>
    <w:p w14:paraId="48DC3C8A" w14:textId="4DABCCF6" w:rsidR="00666691" w:rsidRPr="00666691" w:rsidRDefault="00D33BDB" w:rsidP="00D200EA">
      <w:pPr>
        <w:pStyle w:val="Heading1"/>
      </w:pPr>
      <w:bookmarkStart w:id="26" w:name="_Toc389739676"/>
      <w:bookmarkStart w:id="27" w:name="_Toc510706568"/>
      <w:r w:rsidRPr="00D200EA">
        <w:t>SECTION</w:t>
      </w:r>
      <w:r w:rsidR="00D200EA">
        <w:t xml:space="preserve"> B: 1 </w:t>
      </w:r>
      <w:r w:rsidR="00B629DA">
        <w:t>PLANNING AND ECONOMIC DEVELOPMENT</w:t>
      </w:r>
      <w:r w:rsidR="007A253E" w:rsidRPr="00881795">
        <w:t xml:space="preserve"> PRINCIPLE</w:t>
      </w:r>
      <w:bookmarkEnd w:id="26"/>
      <w:r w:rsidR="00FC4162" w:rsidRPr="00B85837">
        <w:t>S</w:t>
      </w:r>
      <w:bookmarkEnd w:id="27"/>
    </w:p>
    <w:p w14:paraId="440B430A" w14:textId="77777777" w:rsidR="007A253E" w:rsidRPr="00881795" w:rsidRDefault="00D200EA" w:rsidP="00D200EA">
      <w:pPr>
        <w:pStyle w:val="Heading1"/>
      </w:pPr>
      <w:bookmarkStart w:id="28" w:name="_Toc389739677"/>
      <w:bookmarkStart w:id="29" w:name="_Toc510706569"/>
      <w:r>
        <w:t>SECTION B</w:t>
      </w:r>
      <w:r w:rsidR="00D33BDB" w:rsidRPr="00881795">
        <w:t>:</w:t>
      </w:r>
      <w:r>
        <w:t xml:space="preserve"> 2</w:t>
      </w:r>
      <w:r w:rsidRPr="00881795">
        <w:t xml:space="preserve"> GOVERNMENT</w:t>
      </w:r>
      <w:r w:rsidR="007A253E" w:rsidRPr="00881795">
        <w:t xml:space="preserve"> P</w:t>
      </w:r>
      <w:r w:rsidR="00D33BDB" w:rsidRPr="00881795">
        <w:t>RIORITIES</w:t>
      </w:r>
      <w:bookmarkEnd w:id="28"/>
      <w:bookmarkEnd w:id="29"/>
    </w:p>
    <w:p w14:paraId="7F17A65A" w14:textId="77777777" w:rsidR="00481D9D" w:rsidRPr="005A36DE" w:rsidRDefault="00481D9D" w:rsidP="00750180">
      <w:pPr>
        <w:pStyle w:val="Heading2"/>
        <w:numPr>
          <w:ilvl w:val="1"/>
          <w:numId w:val="39"/>
        </w:numPr>
      </w:pPr>
      <w:bookmarkStart w:id="30" w:name="_Toc510706570"/>
      <w:bookmarkStart w:id="31" w:name="_Toc350093358"/>
      <w:bookmarkStart w:id="32" w:name="_Toc389739678"/>
      <w:r w:rsidRPr="005A36DE">
        <w:t>Government Priorities</w:t>
      </w:r>
      <w:bookmarkEnd w:id="30"/>
    </w:p>
    <w:p w14:paraId="4955D516" w14:textId="77777777" w:rsidR="004B6367" w:rsidRPr="00B364FA" w:rsidRDefault="004B6367" w:rsidP="00750180">
      <w:pPr>
        <w:pStyle w:val="Heading2"/>
        <w:numPr>
          <w:ilvl w:val="1"/>
          <w:numId w:val="57"/>
        </w:numPr>
      </w:pPr>
      <w:bookmarkStart w:id="33" w:name="_Toc510706571"/>
      <w:r>
        <w:t>Planning and Economic Development</w:t>
      </w:r>
      <w:r w:rsidRPr="00B364FA">
        <w:t xml:space="preserve"> Principles</w:t>
      </w:r>
      <w:bookmarkEnd w:id="33"/>
      <w:r w:rsidRPr="00B364FA">
        <w:t xml:space="preserve"> </w:t>
      </w:r>
    </w:p>
    <w:p w14:paraId="7CDC99B6" w14:textId="77777777" w:rsidR="004B6367" w:rsidRPr="003A4BF8" w:rsidRDefault="004B6367" w:rsidP="004B6367">
      <w:pPr>
        <w:pStyle w:val="ListParagraph"/>
        <w:spacing w:after="0" w:line="240" w:lineRule="auto"/>
        <w:ind w:left="495"/>
        <w:jc w:val="both"/>
        <w:rPr>
          <w:b/>
          <w:szCs w:val="20"/>
        </w:rPr>
      </w:pPr>
    </w:p>
    <w:p w14:paraId="3601CA76" w14:textId="77777777" w:rsidR="004B6367" w:rsidRPr="00881795" w:rsidRDefault="004B6367" w:rsidP="004B6367">
      <w:pPr>
        <w:spacing w:line="288" w:lineRule="auto"/>
        <w:jc w:val="both"/>
        <w:rPr>
          <w:szCs w:val="20"/>
        </w:rPr>
      </w:pPr>
      <w:r>
        <w:rPr>
          <w:szCs w:val="20"/>
        </w:rPr>
        <w:t xml:space="preserve">Planning and Economic Development at local level functions in terms of, and in alignment with National and Provincial policy frameworks. The functions in terms of Planning and Economic Development at municipal level should be implied by the following principles;  </w:t>
      </w:r>
    </w:p>
    <w:p w14:paraId="7DC0E7B5" w14:textId="77777777" w:rsidR="004B6367" w:rsidRPr="00447E3A" w:rsidRDefault="004B6367" w:rsidP="00750180">
      <w:pPr>
        <w:pStyle w:val="ListParagraph"/>
        <w:numPr>
          <w:ilvl w:val="0"/>
          <w:numId w:val="46"/>
        </w:numPr>
        <w:ind w:left="709" w:hanging="425"/>
        <w:jc w:val="both"/>
        <w:rPr>
          <w:szCs w:val="20"/>
        </w:rPr>
      </w:pPr>
      <w:r w:rsidRPr="00447E3A">
        <w:rPr>
          <w:szCs w:val="20"/>
        </w:rPr>
        <w:t>Development / investment must only happen in locations that are sustainable (NSDP,SPLUMA)</w:t>
      </w:r>
    </w:p>
    <w:p w14:paraId="6C85F899" w14:textId="77777777" w:rsidR="004B6367" w:rsidRPr="00447E3A" w:rsidRDefault="004B6367" w:rsidP="00750180">
      <w:pPr>
        <w:pStyle w:val="ListParagraph"/>
        <w:numPr>
          <w:ilvl w:val="0"/>
          <w:numId w:val="46"/>
        </w:numPr>
        <w:ind w:left="709" w:hanging="425"/>
        <w:jc w:val="both"/>
        <w:rPr>
          <w:szCs w:val="20"/>
        </w:rPr>
      </w:pPr>
      <w:r w:rsidRPr="00447E3A">
        <w:rPr>
          <w:szCs w:val="20"/>
        </w:rPr>
        <w:t>The discouragement of urban sprawl by encouraging settlement at existing and proposed nodes and settlement corridors, whilst also promoting densification. Future settlement and economic development opportunities should be channeled into activity corridors and nodes that are adjacent to or that link the main growth centers (DFA Principles)</w:t>
      </w:r>
    </w:p>
    <w:p w14:paraId="6A9EEA82" w14:textId="77777777" w:rsidR="004B6367" w:rsidRPr="00447E3A" w:rsidRDefault="004B6367" w:rsidP="00750180">
      <w:pPr>
        <w:pStyle w:val="ListParagraph"/>
        <w:numPr>
          <w:ilvl w:val="0"/>
          <w:numId w:val="46"/>
        </w:numPr>
        <w:ind w:left="709" w:hanging="425"/>
        <w:jc w:val="both"/>
        <w:rPr>
          <w:szCs w:val="20"/>
        </w:rPr>
      </w:pPr>
      <w:r w:rsidRPr="00447E3A">
        <w:rPr>
          <w:szCs w:val="20"/>
        </w:rPr>
        <w:lastRenderedPageBreak/>
        <w:t>The direction of new development towards logical infill areas (DFA Principles)</w:t>
      </w:r>
    </w:p>
    <w:p w14:paraId="6D9770D7" w14:textId="77777777" w:rsidR="004B6367" w:rsidRPr="00447E3A" w:rsidRDefault="004B6367" w:rsidP="00750180">
      <w:pPr>
        <w:pStyle w:val="ListParagraph"/>
        <w:numPr>
          <w:ilvl w:val="0"/>
          <w:numId w:val="46"/>
        </w:numPr>
        <w:ind w:left="709" w:hanging="425"/>
        <w:jc w:val="both"/>
        <w:rPr>
          <w:szCs w:val="20"/>
        </w:rPr>
      </w:pPr>
      <w:r w:rsidRPr="00447E3A">
        <w:rPr>
          <w:szCs w:val="20"/>
        </w:rPr>
        <w:t>Compact urban form is desirable (DFA Principles)</w:t>
      </w:r>
    </w:p>
    <w:p w14:paraId="65D0CC5C" w14:textId="77777777" w:rsidR="004B6367" w:rsidRPr="00447E3A" w:rsidRDefault="004B6367" w:rsidP="00750180">
      <w:pPr>
        <w:pStyle w:val="ListParagraph"/>
        <w:numPr>
          <w:ilvl w:val="0"/>
          <w:numId w:val="46"/>
        </w:numPr>
        <w:ind w:left="709" w:hanging="425"/>
        <w:jc w:val="both"/>
        <w:rPr>
          <w:szCs w:val="20"/>
        </w:rPr>
      </w:pPr>
      <w:r w:rsidRPr="00447E3A">
        <w:rPr>
          <w:szCs w:val="20"/>
        </w:rPr>
        <w:t>Development should be within limited resources (financial, institutional and physical). Development must optimize the use of existing resources and infrastructure in a sustainable manner (DFA Principles, SPLUMA, CRDP, National Strategy on Sustainable Development)</w:t>
      </w:r>
    </w:p>
    <w:p w14:paraId="163CC0C3" w14:textId="77777777" w:rsidR="004B6367" w:rsidRPr="00447E3A" w:rsidRDefault="004B6367" w:rsidP="00750180">
      <w:pPr>
        <w:pStyle w:val="ListParagraph"/>
        <w:numPr>
          <w:ilvl w:val="0"/>
          <w:numId w:val="46"/>
        </w:numPr>
        <w:ind w:left="709" w:hanging="425"/>
        <w:jc w:val="both"/>
        <w:rPr>
          <w:szCs w:val="20"/>
        </w:rPr>
      </w:pPr>
      <w:r w:rsidRPr="00447E3A">
        <w:rPr>
          <w:szCs w:val="20"/>
        </w:rPr>
        <w:t>Stimulate and reinforce cross boundary linkages.</w:t>
      </w:r>
    </w:p>
    <w:p w14:paraId="33BBBC6D" w14:textId="77777777" w:rsidR="004B6367" w:rsidRPr="00447E3A" w:rsidRDefault="004B6367" w:rsidP="00750180">
      <w:pPr>
        <w:pStyle w:val="ListParagraph"/>
        <w:numPr>
          <w:ilvl w:val="0"/>
          <w:numId w:val="46"/>
        </w:numPr>
        <w:ind w:left="709" w:hanging="425"/>
        <w:jc w:val="both"/>
        <w:rPr>
          <w:szCs w:val="20"/>
        </w:rPr>
      </w:pPr>
      <w:r w:rsidRPr="00447E3A">
        <w:rPr>
          <w:szCs w:val="20"/>
        </w:rPr>
        <w:t>Basic services (water, sanitation, access and energy) must be provided to all households (NSDP)</w:t>
      </w:r>
    </w:p>
    <w:p w14:paraId="4438754B" w14:textId="77777777" w:rsidR="004B6367" w:rsidRPr="00447E3A" w:rsidRDefault="004B6367" w:rsidP="00750180">
      <w:pPr>
        <w:pStyle w:val="ListParagraph"/>
        <w:numPr>
          <w:ilvl w:val="0"/>
          <w:numId w:val="46"/>
        </w:numPr>
        <w:ind w:left="709" w:hanging="425"/>
        <w:jc w:val="both"/>
        <w:rPr>
          <w:szCs w:val="20"/>
        </w:rPr>
      </w:pPr>
      <w:r w:rsidRPr="00447E3A">
        <w:rPr>
          <w:szCs w:val="20"/>
        </w:rPr>
        <w:t>Development / investment should be focused on localities of economic growth and/or economic potential (NSDP)</w:t>
      </w:r>
    </w:p>
    <w:p w14:paraId="44F893F7" w14:textId="77777777" w:rsidR="004B6367" w:rsidRPr="00447E3A" w:rsidRDefault="004B6367" w:rsidP="00750180">
      <w:pPr>
        <w:pStyle w:val="ListParagraph"/>
        <w:numPr>
          <w:ilvl w:val="0"/>
          <w:numId w:val="46"/>
        </w:numPr>
        <w:ind w:left="709" w:hanging="425"/>
        <w:jc w:val="both"/>
        <w:rPr>
          <w:szCs w:val="20"/>
        </w:rPr>
      </w:pPr>
      <w:r w:rsidRPr="00447E3A">
        <w:rPr>
          <w:szCs w:val="20"/>
        </w:rPr>
        <w:t>In localities with low demonstrated economic potential, development / investment must concentrate primarily on human capital development by providing education and training, social transfers such as grants and poverty-relief programs (NSDP)</w:t>
      </w:r>
    </w:p>
    <w:p w14:paraId="0F513CC8" w14:textId="77777777" w:rsidR="004B6367" w:rsidRPr="00447E3A" w:rsidRDefault="004B6367" w:rsidP="00750180">
      <w:pPr>
        <w:pStyle w:val="ListParagraph"/>
        <w:numPr>
          <w:ilvl w:val="0"/>
          <w:numId w:val="46"/>
        </w:numPr>
        <w:ind w:left="709" w:hanging="425"/>
        <w:jc w:val="both"/>
        <w:rPr>
          <w:szCs w:val="20"/>
        </w:rPr>
      </w:pPr>
      <w:r w:rsidRPr="00447E3A">
        <w:rPr>
          <w:szCs w:val="20"/>
        </w:rPr>
        <w:t>Land development procedures must include provisions that accommodate access to secure tenure (SPLUMA)</w:t>
      </w:r>
    </w:p>
    <w:p w14:paraId="3A957429" w14:textId="77777777" w:rsidR="004B6367" w:rsidRPr="00447E3A" w:rsidRDefault="004B6367" w:rsidP="00750180">
      <w:pPr>
        <w:pStyle w:val="ListParagraph"/>
        <w:numPr>
          <w:ilvl w:val="0"/>
          <w:numId w:val="46"/>
        </w:numPr>
        <w:ind w:left="709" w:hanging="425"/>
        <w:jc w:val="both"/>
        <w:rPr>
          <w:szCs w:val="20"/>
        </w:rPr>
      </w:pPr>
      <w:r w:rsidRPr="00447E3A">
        <w:rPr>
          <w:szCs w:val="20"/>
        </w:rPr>
        <w:t>Prime and unique agricultural land, the environment and other protected lands must be protected and land must be safely utilized (SPLUMA)</w:t>
      </w:r>
    </w:p>
    <w:p w14:paraId="129628E1" w14:textId="77777777" w:rsidR="004B6367" w:rsidRPr="00447E3A" w:rsidRDefault="004B6367" w:rsidP="00750180">
      <w:pPr>
        <w:pStyle w:val="ListParagraph"/>
        <w:numPr>
          <w:ilvl w:val="0"/>
          <w:numId w:val="46"/>
        </w:numPr>
        <w:ind w:left="709" w:hanging="425"/>
        <w:jc w:val="both"/>
        <w:rPr>
          <w:szCs w:val="20"/>
        </w:rPr>
      </w:pPr>
      <w:r w:rsidRPr="00447E3A">
        <w:rPr>
          <w:szCs w:val="20"/>
        </w:rPr>
        <w:t xml:space="preserve">Engagement with stakeholder representatives on policy, planning and implementation at national, sectorial and local levels is central to achieving coherent and effective </w:t>
      </w:r>
      <w:r>
        <w:rPr>
          <w:szCs w:val="20"/>
        </w:rPr>
        <w:t>Planning and Economic Development</w:t>
      </w:r>
      <w:r w:rsidRPr="00447E3A">
        <w:rPr>
          <w:szCs w:val="20"/>
        </w:rPr>
        <w:t xml:space="preserve"> (SPLUMA).</w:t>
      </w:r>
    </w:p>
    <w:p w14:paraId="25AB0D5E" w14:textId="77777777" w:rsidR="004B6367" w:rsidRPr="00447E3A" w:rsidRDefault="004B6367" w:rsidP="00750180">
      <w:pPr>
        <w:pStyle w:val="ListParagraph"/>
        <w:numPr>
          <w:ilvl w:val="0"/>
          <w:numId w:val="46"/>
        </w:numPr>
        <w:ind w:left="709" w:hanging="425"/>
        <w:jc w:val="both"/>
        <w:rPr>
          <w:szCs w:val="20"/>
        </w:rPr>
      </w:pPr>
      <w:r w:rsidRPr="00447E3A">
        <w:rPr>
          <w:szCs w:val="20"/>
        </w:rPr>
        <w:t>If there is a need to low-income housing, it must be provided in close proximity to areas of opportunity (Breaking New Ground: from Housing to Sustainable Human Settlements)</w:t>
      </w:r>
    </w:p>
    <w:p w14:paraId="2E2C8985" w14:textId="77777777" w:rsidR="004B6367" w:rsidRPr="00447E3A" w:rsidRDefault="004B6367" w:rsidP="00750180">
      <w:pPr>
        <w:pStyle w:val="ListParagraph"/>
        <w:numPr>
          <w:ilvl w:val="0"/>
          <w:numId w:val="46"/>
        </w:numPr>
        <w:ind w:left="709" w:hanging="425"/>
        <w:jc w:val="both"/>
        <w:rPr>
          <w:szCs w:val="20"/>
        </w:rPr>
      </w:pPr>
      <w:r w:rsidRPr="00447E3A">
        <w:rPr>
          <w:szCs w:val="20"/>
        </w:rPr>
        <w:t>During planning processes and subsequent development, the reduction of resource use, as well as the carbon intensity of the economy, must be promoted (National Strategy on Sustainable Development)</w:t>
      </w:r>
    </w:p>
    <w:p w14:paraId="7DA479E5" w14:textId="77777777" w:rsidR="004B6367" w:rsidRPr="00447E3A" w:rsidRDefault="004B6367" w:rsidP="00750180">
      <w:pPr>
        <w:pStyle w:val="ListParagraph"/>
        <w:numPr>
          <w:ilvl w:val="0"/>
          <w:numId w:val="46"/>
        </w:numPr>
        <w:ind w:left="709" w:hanging="425"/>
        <w:jc w:val="both"/>
        <w:rPr>
          <w:szCs w:val="20"/>
        </w:rPr>
      </w:pPr>
      <w:r w:rsidRPr="00447E3A">
        <w:rPr>
          <w:szCs w:val="20"/>
        </w:rPr>
        <w:t>Environmentally responsible behavior must be promoted through incentives and disincentives (National Strategy on Sustainable Development, KZN PGDS).</w:t>
      </w:r>
    </w:p>
    <w:p w14:paraId="29E54A71" w14:textId="77777777" w:rsidR="004B6367" w:rsidRPr="00447E3A" w:rsidRDefault="004B6367" w:rsidP="00750180">
      <w:pPr>
        <w:pStyle w:val="ListParagraph"/>
        <w:numPr>
          <w:ilvl w:val="0"/>
          <w:numId w:val="46"/>
        </w:numPr>
        <w:ind w:left="709" w:hanging="425"/>
        <w:jc w:val="both"/>
        <w:rPr>
          <w:szCs w:val="20"/>
        </w:rPr>
      </w:pPr>
      <w:r w:rsidRPr="00447E3A">
        <w:rPr>
          <w:szCs w:val="20"/>
        </w:rPr>
        <w:t>The principle of self-sufficiency must be promoted. Development must be located in a way that reduces the need to travel, especially by car and enables people as far as possible to meet their needs locally. Furthermore, the principle is underpinned by an assessment of each areas unique competency towards its own self-reliance and need to consider the environment, human skills, infrastructure and capital available to a specific area and how it could contribute to increase its self-sufficiency (KZN PGDS)</w:t>
      </w:r>
    </w:p>
    <w:p w14:paraId="5C659B74" w14:textId="77777777" w:rsidR="004B6367" w:rsidRPr="00447E3A" w:rsidRDefault="004B6367" w:rsidP="00750180">
      <w:pPr>
        <w:pStyle w:val="ListParagraph"/>
        <w:numPr>
          <w:ilvl w:val="0"/>
          <w:numId w:val="46"/>
        </w:numPr>
        <w:spacing w:after="0"/>
        <w:ind w:left="709" w:hanging="425"/>
        <w:jc w:val="both"/>
        <w:rPr>
          <w:szCs w:val="20"/>
        </w:rPr>
      </w:pPr>
      <w:r w:rsidRPr="00447E3A">
        <w:rPr>
          <w:szCs w:val="20"/>
        </w:rPr>
        <w:t>Planning and subsequent development must strive to provide the highest level of accessibility to resources, services and opportunities (KZN PGDS)</w:t>
      </w:r>
    </w:p>
    <w:p w14:paraId="41099924" w14:textId="77777777" w:rsidR="00964A5D" w:rsidRDefault="00964A5D" w:rsidP="00750180">
      <w:pPr>
        <w:pStyle w:val="Heading3"/>
        <w:numPr>
          <w:ilvl w:val="2"/>
          <w:numId w:val="39"/>
        </w:numPr>
        <w:spacing w:after="240"/>
      </w:pPr>
      <w:bookmarkStart w:id="34" w:name="_Toc510706572"/>
      <w:r w:rsidRPr="00964A5D">
        <w:t>Sustainable Development Goals</w:t>
      </w:r>
      <w:r w:rsidR="00C94DC9">
        <w:t xml:space="preserve"> 2063</w:t>
      </w:r>
      <w:bookmarkEnd w:id="34"/>
    </w:p>
    <w:p w14:paraId="2844D86A" w14:textId="054F95AF" w:rsidR="00FE5675" w:rsidRDefault="00FE73CC" w:rsidP="00FE5675">
      <w:pPr>
        <w:jc w:val="both"/>
      </w:pPr>
      <w:r w:rsidRPr="00FE5675">
        <w:t xml:space="preserve">The United Nations </w:t>
      </w:r>
      <w:r w:rsidR="00FE5675">
        <w:t xml:space="preserve">adopted the Sustainable </w:t>
      </w:r>
      <w:r w:rsidR="008D5C75">
        <w:t>Development</w:t>
      </w:r>
      <w:r w:rsidR="00FE5675">
        <w:t xml:space="preserve"> Goals (SDGs) in 2016. The SDGs were developed and adopted to counteract to challenges of achieving the </w:t>
      </w:r>
      <w:r w:rsidR="008D5C75">
        <w:t>Millennium</w:t>
      </w:r>
      <w:r w:rsidR="00FE5675">
        <w:t xml:space="preserve"> Development Goals. Various challenges were identified that resulted in the </w:t>
      </w:r>
      <w:r w:rsidR="008D5C75">
        <w:t>non-achievement</w:t>
      </w:r>
      <w:r w:rsidR="00FE5675">
        <w:t xml:space="preserve"> of the MDGs and therefore the SDGs would then be developed with refined methodologies and strategies that would address the challenges of the MDGs. The SDGs proposes 17 new goals</w:t>
      </w:r>
      <w:r w:rsidR="00C94DC9" w:rsidRPr="00C94DC9">
        <w:t xml:space="preserve"> 231 Indicators divided into 3 Tiers</w:t>
      </w:r>
      <w:r w:rsidR="00FE5675">
        <w:t xml:space="preserve"> as opposed to 8 MDGs</w:t>
      </w:r>
      <w:r w:rsidR="006F3CE9">
        <w:t>.</w:t>
      </w:r>
    </w:p>
    <w:p w14:paraId="742F2848" w14:textId="77777777" w:rsidR="003E6A30" w:rsidRDefault="003E6A30" w:rsidP="00FE5675">
      <w:pPr>
        <w:jc w:val="both"/>
      </w:pPr>
    </w:p>
    <w:p w14:paraId="502940D3" w14:textId="77777777" w:rsidR="003E6A30" w:rsidRDefault="003E6A30" w:rsidP="00FE5675">
      <w:pPr>
        <w:jc w:val="both"/>
      </w:pPr>
      <w:r>
        <w:rPr>
          <w:noProof/>
        </w:rPr>
        <w:drawing>
          <wp:inline distT="0" distB="0" distL="0" distR="0" wp14:anchorId="10873E5A" wp14:editId="2F6FB26D">
            <wp:extent cx="6120765" cy="990600"/>
            <wp:effectExtent l="0" t="0" r="0" b="0"/>
            <wp:docPr id="41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3"/>
                    <a:srcRect b="67630"/>
                    <a:stretch/>
                  </pic:blipFill>
                  <pic:spPr>
                    <a:xfrm>
                      <a:off x="0" y="0"/>
                      <a:ext cx="6120765" cy="990600"/>
                    </a:xfrm>
                    <a:prstGeom prst="rect">
                      <a:avLst/>
                    </a:prstGeom>
                  </pic:spPr>
                </pic:pic>
              </a:graphicData>
            </a:graphic>
          </wp:inline>
        </w:drawing>
      </w:r>
    </w:p>
    <w:p w14:paraId="59A8C36E" w14:textId="77777777" w:rsidR="003E6A30" w:rsidRDefault="003E6A30" w:rsidP="00FE5675">
      <w:pPr>
        <w:jc w:val="both"/>
      </w:pPr>
      <w:r>
        <w:rPr>
          <w:noProof/>
        </w:rPr>
        <w:lastRenderedPageBreak/>
        <w:drawing>
          <wp:inline distT="0" distB="0" distL="0" distR="0" wp14:anchorId="6B1CCE1F" wp14:editId="4B1C62E3">
            <wp:extent cx="6120765" cy="1029335"/>
            <wp:effectExtent l="0" t="0" r="0" b="0"/>
            <wp:docPr id="410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pic:cNvPicPr>
                      <a:picLocks noChangeAspect="1"/>
                    </pic:cNvPicPr>
                  </pic:nvPicPr>
                  <pic:blipFill rotWithShape="1">
                    <a:blip r:embed="rId23"/>
                    <a:srcRect t="32649" b="34981"/>
                    <a:stretch/>
                  </pic:blipFill>
                  <pic:spPr>
                    <a:xfrm>
                      <a:off x="0" y="0"/>
                      <a:ext cx="6120765" cy="1029335"/>
                    </a:xfrm>
                    <a:prstGeom prst="rect">
                      <a:avLst/>
                    </a:prstGeom>
                  </pic:spPr>
                </pic:pic>
              </a:graphicData>
            </a:graphic>
          </wp:inline>
        </w:drawing>
      </w:r>
    </w:p>
    <w:p w14:paraId="3A5E3890" w14:textId="77777777" w:rsidR="003E6A30" w:rsidRDefault="003E6A30" w:rsidP="00FE5675">
      <w:pPr>
        <w:jc w:val="both"/>
      </w:pPr>
      <w:r>
        <w:rPr>
          <w:noProof/>
        </w:rPr>
        <w:drawing>
          <wp:inline distT="0" distB="0" distL="0" distR="0" wp14:anchorId="1B0A8066" wp14:editId="7CEC8C0A">
            <wp:extent cx="6120765" cy="1078230"/>
            <wp:effectExtent l="0" t="0" r="0" b="7620"/>
            <wp:docPr id="2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pic:cNvPicPr>
                      <a:picLocks noChangeAspect="1"/>
                    </pic:cNvPicPr>
                  </pic:nvPicPr>
                  <pic:blipFill rotWithShape="1">
                    <a:blip r:embed="rId23"/>
                    <a:srcRect t="64974"/>
                    <a:stretch/>
                  </pic:blipFill>
                  <pic:spPr>
                    <a:xfrm>
                      <a:off x="0" y="0"/>
                      <a:ext cx="6120765" cy="1078230"/>
                    </a:xfrm>
                    <a:prstGeom prst="rect">
                      <a:avLst/>
                    </a:prstGeom>
                  </pic:spPr>
                </pic:pic>
              </a:graphicData>
            </a:graphic>
          </wp:inline>
        </w:drawing>
      </w:r>
    </w:p>
    <w:p w14:paraId="4BACD1D7" w14:textId="77777777" w:rsidR="003E6A30" w:rsidRDefault="00325D72" w:rsidP="00325D72">
      <w:pPr>
        <w:pStyle w:val="Caption"/>
      </w:pPr>
      <w:bookmarkStart w:id="35" w:name="_Toc510622364"/>
      <w:r>
        <w:t xml:space="preserve">Figure </w:t>
      </w:r>
      <w:r w:rsidR="00B918A6">
        <w:fldChar w:fldCharType="begin"/>
      </w:r>
      <w:r w:rsidR="00B918A6">
        <w:instrText xml:space="preserve"> SEQ Figure \* ARABIC </w:instrText>
      </w:r>
      <w:r w:rsidR="00B918A6">
        <w:fldChar w:fldCharType="separate"/>
      </w:r>
      <w:r w:rsidR="0067023A">
        <w:rPr>
          <w:noProof/>
        </w:rPr>
        <w:t>2</w:t>
      </w:r>
      <w:r w:rsidR="00B918A6">
        <w:rPr>
          <w:noProof/>
        </w:rPr>
        <w:fldChar w:fldCharType="end"/>
      </w:r>
      <w:r>
        <w:t xml:space="preserve">: </w:t>
      </w:r>
      <w:r w:rsidR="003E6A30">
        <w:t>UN SDGs (2016)</w:t>
      </w:r>
      <w:bookmarkEnd w:id="35"/>
    </w:p>
    <w:p w14:paraId="3FFB03AA" w14:textId="77777777" w:rsidR="003E6A30" w:rsidRDefault="00DD58CB" w:rsidP="00C94DC9">
      <w:pPr>
        <w:jc w:val="both"/>
      </w:pPr>
      <w:r>
        <w:t>The SDGs are an overaching principal document which should then inform all government plans including th</w:t>
      </w:r>
      <w:r w:rsidR="00C94DC9">
        <w:t>e NDP which has s</w:t>
      </w:r>
      <w:r>
        <w:t>ince been reviewed in 2016 to incorpate the provisions of the new SDGs with</w:t>
      </w:r>
      <w:r w:rsidR="00C94DC9">
        <w:t>i</w:t>
      </w:r>
      <w:r>
        <w:t xml:space="preserve">n the national sphere. </w:t>
      </w:r>
      <w:r w:rsidR="00C94DC9" w:rsidRPr="00C94DC9">
        <w:t>Stats SA, DPME, Planning Commission, DIRCO and Sector departments</w:t>
      </w:r>
      <w:r w:rsidR="00C94DC9">
        <w:t xml:space="preserve"> are</w:t>
      </w:r>
      <w:r w:rsidR="00C94DC9" w:rsidRPr="00C94DC9">
        <w:t xml:space="preserve"> to work together on</w:t>
      </w:r>
      <w:r w:rsidR="00C94DC9">
        <w:t xml:space="preserve"> the</w:t>
      </w:r>
      <w:r w:rsidR="00C94DC9" w:rsidRPr="00C94DC9">
        <w:t xml:space="preserve"> S</w:t>
      </w:r>
      <w:r w:rsidR="00C94DC9">
        <w:t xml:space="preserve">outh </w:t>
      </w:r>
      <w:r w:rsidR="00C94DC9" w:rsidRPr="00C94DC9">
        <w:t>A</w:t>
      </w:r>
      <w:r w:rsidR="00C94DC9">
        <w:t>frican p</w:t>
      </w:r>
      <w:r w:rsidR="00C94DC9" w:rsidRPr="00C94DC9">
        <w:t>erspective on</w:t>
      </w:r>
      <w:r w:rsidR="00C94DC9">
        <w:t xml:space="preserve"> the</w:t>
      </w:r>
      <w:r w:rsidR="00C94DC9" w:rsidRPr="00C94DC9">
        <w:t xml:space="preserve"> SDGs</w:t>
      </w:r>
      <w:r w:rsidR="00C94DC9">
        <w:t>. The b</w:t>
      </w:r>
      <w:r w:rsidR="00C94DC9" w:rsidRPr="00C94DC9">
        <w:t>asis for the</w:t>
      </w:r>
      <w:r w:rsidR="00C94DC9">
        <w:t xml:space="preserve"> SA</w:t>
      </w:r>
      <w:r w:rsidR="00C94DC9" w:rsidRPr="00C94DC9">
        <w:t xml:space="preserve"> perspective</w:t>
      </w:r>
      <w:r w:rsidR="00C94DC9">
        <w:t>and respond to the SDGs</w:t>
      </w:r>
      <w:r w:rsidR="00C94DC9" w:rsidRPr="00C94DC9">
        <w:t xml:space="preserve"> is the N</w:t>
      </w:r>
      <w:r w:rsidR="00C94DC9">
        <w:t xml:space="preserve">ational </w:t>
      </w:r>
      <w:r w:rsidR="00C94DC9" w:rsidRPr="00C94DC9">
        <w:t>D</w:t>
      </w:r>
      <w:r w:rsidR="00C94DC9">
        <w:t xml:space="preserve">evelopment </w:t>
      </w:r>
      <w:r w:rsidR="00C94DC9" w:rsidRPr="00C94DC9">
        <w:t>P</w:t>
      </w:r>
      <w:r w:rsidR="00C94DC9">
        <w:t>lan. The uMlalazi LM IDP will seek to ultimately align its strategic goals to those of the SDGs to ensure that the LM responds responsibly and actively to the SDGs thus ensuring a meaningful contribution to the success in the implementation of the SDGs.</w:t>
      </w:r>
    </w:p>
    <w:p w14:paraId="1BC87371" w14:textId="77777777" w:rsidR="003E6A30" w:rsidRPr="005A36DE" w:rsidRDefault="00C94DC9" w:rsidP="00750180">
      <w:pPr>
        <w:pStyle w:val="Heading3"/>
        <w:numPr>
          <w:ilvl w:val="2"/>
          <w:numId w:val="39"/>
        </w:numPr>
        <w:spacing w:after="240"/>
      </w:pPr>
      <w:bookmarkStart w:id="36" w:name="_Toc510706573"/>
      <w:r w:rsidRPr="005A36DE">
        <w:t>Af</w:t>
      </w:r>
      <w:r w:rsidR="006D43DB" w:rsidRPr="005A36DE">
        <w:t>r</w:t>
      </w:r>
      <w:r w:rsidRPr="005A36DE">
        <w:t>ican Union Agenda 2063</w:t>
      </w:r>
      <w:bookmarkEnd w:id="36"/>
      <w:r w:rsidRPr="005A36DE">
        <w:t xml:space="preserve"> </w:t>
      </w:r>
    </w:p>
    <w:p w14:paraId="740171FE" w14:textId="77777777" w:rsidR="003E6A30" w:rsidRPr="003E6A30" w:rsidRDefault="00C94DC9" w:rsidP="00C94DC9">
      <w:pPr>
        <w:jc w:val="both"/>
      </w:pPr>
      <w:r>
        <w:t xml:space="preserve">The AU </w:t>
      </w:r>
      <w:r w:rsidRPr="00C94DC9">
        <w:t>Agenda 2063 is a strategic framework for the socio-economic transformation of the continent over the next 50 years. It builds on, and seeks to accelerate the implementation of past and existing continental initiatives for growth and sustainable development</w:t>
      </w:r>
      <w:r>
        <w:t>.</w:t>
      </w:r>
      <w:r w:rsidRPr="00C94DC9">
        <w:t xml:space="preserve"> </w:t>
      </w:r>
      <w:r>
        <w:t>The AU Agenda was a</w:t>
      </w:r>
      <w:r w:rsidRPr="00C94DC9">
        <w:t xml:space="preserve">dopted in January 2015, in Addis Ababa, Ethiopia by the 24th African Union (AU) Assembly of Heads of State and Government </w:t>
      </w:r>
      <w:r>
        <w:t xml:space="preserve">chaired by the then Chairwoman, Her Excellency Dr Nkosazana Dlamini – Zuma. </w:t>
      </w:r>
      <w:r w:rsidR="00972355">
        <w:t>It consists of f</w:t>
      </w:r>
      <w:r w:rsidR="00972355" w:rsidRPr="00972355">
        <w:t>ive ten year implementation plan</w:t>
      </w:r>
      <w:r w:rsidR="00972355">
        <w:t>s</w:t>
      </w:r>
      <w:r w:rsidR="00972355" w:rsidRPr="00972355">
        <w:t xml:space="preserve"> – the first plan</w:t>
      </w:r>
      <w:r w:rsidR="00972355">
        <w:t xml:space="preserve"> is</w:t>
      </w:r>
      <w:r w:rsidR="00972355" w:rsidRPr="00972355">
        <w:t xml:space="preserve"> 2014-2023</w:t>
      </w:r>
      <w:r w:rsidR="00972355">
        <w:t>.</w:t>
      </w:r>
    </w:p>
    <w:tbl>
      <w:tblPr>
        <w:tblStyle w:val="TableGrid"/>
        <w:tblpPr w:leftFromText="180" w:rightFromText="180" w:vertAnchor="text" w:horzAnchor="margin" w:tblpY="-19"/>
        <w:tblW w:w="0" w:type="auto"/>
        <w:tblLook w:val="04A0" w:firstRow="1" w:lastRow="0" w:firstColumn="1" w:lastColumn="0" w:noHBand="0" w:noVBand="1"/>
      </w:tblPr>
      <w:tblGrid>
        <w:gridCol w:w="988"/>
        <w:gridCol w:w="8641"/>
      </w:tblGrid>
      <w:tr w:rsidR="001C4A99" w:rsidRPr="001C4A99" w14:paraId="779D0A18" w14:textId="77777777" w:rsidTr="001C4A99">
        <w:tc>
          <w:tcPr>
            <w:tcW w:w="988" w:type="dxa"/>
            <w:shd w:val="clear" w:color="auto" w:fill="C6D9F1" w:themeFill="text2" w:themeFillTint="33"/>
          </w:tcPr>
          <w:p w14:paraId="767F0319" w14:textId="77777777" w:rsidR="001C4A99" w:rsidRPr="001C4A99" w:rsidRDefault="001C4A99" w:rsidP="001C4A99">
            <w:pPr>
              <w:jc w:val="both"/>
              <w:rPr>
                <w:b/>
              </w:rPr>
            </w:pPr>
            <w:bookmarkStart w:id="37" w:name="_Toc350093359"/>
            <w:bookmarkStart w:id="38" w:name="_Toc389739680"/>
            <w:bookmarkEnd w:id="31"/>
            <w:bookmarkEnd w:id="32"/>
            <w:r w:rsidRPr="001C4A99">
              <w:rPr>
                <w:b/>
              </w:rPr>
              <w:t>GOAL 1</w:t>
            </w:r>
          </w:p>
        </w:tc>
        <w:tc>
          <w:tcPr>
            <w:tcW w:w="8641" w:type="dxa"/>
            <w:shd w:val="clear" w:color="auto" w:fill="C6D9F1" w:themeFill="text2" w:themeFillTint="33"/>
          </w:tcPr>
          <w:p w14:paraId="01A6D098" w14:textId="77777777" w:rsidR="001C4A99" w:rsidRPr="001C4A99" w:rsidRDefault="001C4A99" w:rsidP="001C4A99">
            <w:pPr>
              <w:jc w:val="both"/>
              <w:rPr>
                <w:b/>
              </w:rPr>
            </w:pPr>
            <w:r w:rsidRPr="001C4A99">
              <w:rPr>
                <w:b/>
              </w:rPr>
              <w:t>A prosperous Africa based on inclusive growth and sustainable development</w:t>
            </w:r>
          </w:p>
        </w:tc>
      </w:tr>
      <w:tr w:rsidR="001C4A99" w:rsidRPr="001C4A99" w14:paraId="6CA7AB89" w14:textId="77777777" w:rsidTr="001C4A99">
        <w:tc>
          <w:tcPr>
            <w:tcW w:w="988" w:type="dxa"/>
            <w:shd w:val="clear" w:color="auto" w:fill="F2DBDB" w:themeFill="accent2" w:themeFillTint="33"/>
          </w:tcPr>
          <w:p w14:paraId="5E99215F" w14:textId="77777777" w:rsidR="001C4A99" w:rsidRPr="001C4A99" w:rsidRDefault="001C4A99" w:rsidP="001C4A99">
            <w:pPr>
              <w:jc w:val="both"/>
              <w:rPr>
                <w:b/>
              </w:rPr>
            </w:pPr>
            <w:r w:rsidRPr="001C4A99">
              <w:rPr>
                <w:b/>
              </w:rPr>
              <w:t>GOAL 2</w:t>
            </w:r>
          </w:p>
        </w:tc>
        <w:tc>
          <w:tcPr>
            <w:tcW w:w="8641" w:type="dxa"/>
            <w:shd w:val="clear" w:color="auto" w:fill="F2DBDB" w:themeFill="accent2" w:themeFillTint="33"/>
          </w:tcPr>
          <w:p w14:paraId="33A2190C" w14:textId="77777777" w:rsidR="001C4A99" w:rsidRPr="001C4A99" w:rsidRDefault="001C4A99" w:rsidP="001C4A99">
            <w:pPr>
              <w:jc w:val="both"/>
              <w:rPr>
                <w:b/>
              </w:rPr>
            </w:pPr>
            <w:r w:rsidRPr="001C4A99">
              <w:rPr>
                <w:b/>
              </w:rPr>
              <w:t>An integrated continent, politically united and based on the ideals of Pan-Africanism and the vision of Africa’s Renaissance</w:t>
            </w:r>
          </w:p>
        </w:tc>
      </w:tr>
      <w:tr w:rsidR="001C4A99" w:rsidRPr="001C4A99" w14:paraId="7D722129" w14:textId="77777777" w:rsidTr="001C4A99">
        <w:tc>
          <w:tcPr>
            <w:tcW w:w="988" w:type="dxa"/>
            <w:shd w:val="clear" w:color="auto" w:fill="CCC0D9" w:themeFill="accent4" w:themeFillTint="66"/>
          </w:tcPr>
          <w:p w14:paraId="776CA03A" w14:textId="77777777" w:rsidR="001C4A99" w:rsidRPr="001C4A99" w:rsidRDefault="001C4A99" w:rsidP="001C4A99">
            <w:pPr>
              <w:jc w:val="both"/>
              <w:rPr>
                <w:b/>
              </w:rPr>
            </w:pPr>
            <w:r w:rsidRPr="001C4A99">
              <w:rPr>
                <w:b/>
              </w:rPr>
              <w:t>GOAL 3</w:t>
            </w:r>
          </w:p>
        </w:tc>
        <w:tc>
          <w:tcPr>
            <w:tcW w:w="8641" w:type="dxa"/>
            <w:shd w:val="clear" w:color="auto" w:fill="CCC0D9" w:themeFill="accent4" w:themeFillTint="66"/>
          </w:tcPr>
          <w:p w14:paraId="1D4BBBD8" w14:textId="77777777" w:rsidR="001C4A99" w:rsidRPr="001C4A99" w:rsidRDefault="001C4A99" w:rsidP="001C4A99">
            <w:pPr>
              <w:jc w:val="both"/>
              <w:rPr>
                <w:b/>
              </w:rPr>
            </w:pPr>
            <w:r w:rsidRPr="001C4A99">
              <w:rPr>
                <w:b/>
              </w:rPr>
              <w:t>An Africa of good governance, democracy, respect for human rights, justice and the rule of law</w:t>
            </w:r>
          </w:p>
        </w:tc>
      </w:tr>
      <w:tr w:rsidR="001C4A99" w:rsidRPr="001C4A99" w14:paraId="03C90785" w14:textId="77777777" w:rsidTr="001C4A99">
        <w:tc>
          <w:tcPr>
            <w:tcW w:w="988" w:type="dxa"/>
            <w:shd w:val="clear" w:color="auto" w:fill="DAEEF3" w:themeFill="accent5" w:themeFillTint="33"/>
          </w:tcPr>
          <w:p w14:paraId="1E6F1DFA" w14:textId="77777777" w:rsidR="001C4A99" w:rsidRPr="001C4A99" w:rsidRDefault="001C4A99" w:rsidP="001C4A99">
            <w:pPr>
              <w:jc w:val="both"/>
              <w:rPr>
                <w:b/>
              </w:rPr>
            </w:pPr>
            <w:r w:rsidRPr="001C4A99">
              <w:rPr>
                <w:b/>
              </w:rPr>
              <w:t>GOAL 4</w:t>
            </w:r>
          </w:p>
        </w:tc>
        <w:tc>
          <w:tcPr>
            <w:tcW w:w="8641" w:type="dxa"/>
            <w:shd w:val="clear" w:color="auto" w:fill="DAEEF3" w:themeFill="accent5" w:themeFillTint="33"/>
          </w:tcPr>
          <w:p w14:paraId="27DDD1DE" w14:textId="77777777" w:rsidR="001C4A99" w:rsidRPr="001C4A99" w:rsidRDefault="001C4A99" w:rsidP="001C4A99">
            <w:pPr>
              <w:jc w:val="both"/>
              <w:rPr>
                <w:b/>
              </w:rPr>
            </w:pPr>
            <w:r w:rsidRPr="001C4A99">
              <w:rPr>
                <w:b/>
              </w:rPr>
              <w:t>A peaceful and secure Africa</w:t>
            </w:r>
          </w:p>
        </w:tc>
      </w:tr>
      <w:tr w:rsidR="001C4A99" w:rsidRPr="001C4A99" w14:paraId="1F4E824C" w14:textId="77777777" w:rsidTr="0064152A">
        <w:trPr>
          <w:trHeight w:val="292"/>
        </w:trPr>
        <w:tc>
          <w:tcPr>
            <w:tcW w:w="988" w:type="dxa"/>
            <w:shd w:val="clear" w:color="auto" w:fill="FBD4B4" w:themeFill="accent6" w:themeFillTint="66"/>
          </w:tcPr>
          <w:p w14:paraId="523232EF" w14:textId="77777777" w:rsidR="001C4A99" w:rsidRPr="001C4A99" w:rsidRDefault="001C4A99" w:rsidP="001C4A99">
            <w:pPr>
              <w:jc w:val="both"/>
              <w:rPr>
                <w:b/>
              </w:rPr>
            </w:pPr>
            <w:r w:rsidRPr="001C4A99">
              <w:rPr>
                <w:b/>
              </w:rPr>
              <w:t>GOAL 5</w:t>
            </w:r>
          </w:p>
        </w:tc>
        <w:tc>
          <w:tcPr>
            <w:tcW w:w="8641" w:type="dxa"/>
            <w:shd w:val="clear" w:color="auto" w:fill="FBD4B4" w:themeFill="accent6" w:themeFillTint="66"/>
          </w:tcPr>
          <w:p w14:paraId="6AD8EED0" w14:textId="77777777" w:rsidR="001C4A99" w:rsidRPr="001C4A99" w:rsidRDefault="001C4A99" w:rsidP="00130F92">
            <w:pPr>
              <w:jc w:val="both"/>
              <w:rPr>
                <w:b/>
              </w:rPr>
            </w:pPr>
            <w:r w:rsidRPr="00972355">
              <w:rPr>
                <w:b/>
              </w:rPr>
              <w:t>An Africa with a strong cultural identity, common heritage, shared values and ethics</w:t>
            </w:r>
          </w:p>
        </w:tc>
      </w:tr>
      <w:tr w:rsidR="001C4A99" w:rsidRPr="001C4A99" w14:paraId="6AB65928" w14:textId="77777777" w:rsidTr="001C4A99">
        <w:tc>
          <w:tcPr>
            <w:tcW w:w="988" w:type="dxa"/>
            <w:shd w:val="clear" w:color="auto" w:fill="CEE268"/>
          </w:tcPr>
          <w:p w14:paraId="21E96445" w14:textId="77777777" w:rsidR="001C4A99" w:rsidRPr="001C4A99" w:rsidRDefault="001C4A99" w:rsidP="001C4A99">
            <w:pPr>
              <w:jc w:val="both"/>
              <w:rPr>
                <w:b/>
              </w:rPr>
            </w:pPr>
            <w:r w:rsidRPr="001C4A99">
              <w:rPr>
                <w:b/>
              </w:rPr>
              <w:t>GOAL 6</w:t>
            </w:r>
          </w:p>
        </w:tc>
        <w:tc>
          <w:tcPr>
            <w:tcW w:w="8641" w:type="dxa"/>
            <w:shd w:val="clear" w:color="auto" w:fill="CEE268"/>
          </w:tcPr>
          <w:p w14:paraId="11B8698F" w14:textId="77777777" w:rsidR="001C4A99" w:rsidRPr="001C4A99" w:rsidRDefault="001C4A99" w:rsidP="001C4A99">
            <w:pPr>
              <w:jc w:val="both"/>
              <w:rPr>
                <w:b/>
              </w:rPr>
            </w:pPr>
            <w:r w:rsidRPr="00972355">
              <w:rPr>
                <w:b/>
              </w:rPr>
              <w:t xml:space="preserve">An Africa whose development is people-driven, relying on the potential of African people, especially its women and </w:t>
            </w:r>
            <w:r w:rsidRPr="001C4A99">
              <w:rPr>
                <w:b/>
              </w:rPr>
              <w:t xml:space="preserve">youth, and caring for children </w:t>
            </w:r>
          </w:p>
        </w:tc>
      </w:tr>
      <w:tr w:rsidR="001C4A99" w:rsidRPr="001C4A99" w14:paraId="331F167F" w14:textId="77777777" w:rsidTr="001C4A99">
        <w:tc>
          <w:tcPr>
            <w:tcW w:w="988" w:type="dxa"/>
            <w:shd w:val="clear" w:color="auto" w:fill="948A54" w:themeFill="background2" w:themeFillShade="80"/>
          </w:tcPr>
          <w:p w14:paraId="708734EF" w14:textId="77777777" w:rsidR="001C4A99" w:rsidRPr="001C4A99" w:rsidRDefault="001C4A99" w:rsidP="001C4A99">
            <w:pPr>
              <w:jc w:val="both"/>
              <w:rPr>
                <w:b/>
              </w:rPr>
            </w:pPr>
            <w:r w:rsidRPr="001C4A99">
              <w:rPr>
                <w:b/>
              </w:rPr>
              <w:t>GOAL 7</w:t>
            </w:r>
          </w:p>
        </w:tc>
        <w:tc>
          <w:tcPr>
            <w:tcW w:w="8641" w:type="dxa"/>
            <w:shd w:val="clear" w:color="auto" w:fill="948A54" w:themeFill="background2" w:themeFillShade="80"/>
          </w:tcPr>
          <w:p w14:paraId="0E06BA20" w14:textId="77777777" w:rsidR="001C4A99" w:rsidRPr="001C4A99" w:rsidRDefault="001C4A99" w:rsidP="001C4A99">
            <w:pPr>
              <w:jc w:val="both"/>
              <w:rPr>
                <w:b/>
              </w:rPr>
            </w:pPr>
            <w:r w:rsidRPr="001C4A99">
              <w:rPr>
                <w:b/>
              </w:rPr>
              <w:t>Africa as a strong, united and influential global player and partner</w:t>
            </w:r>
          </w:p>
        </w:tc>
      </w:tr>
    </w:tbl>
    <w:p w14:paraId="4AAEDACE" w14:textId="77777777" w:rsidR="001C4A99" w:rsidRDefault="001C4A99" w:rsidP="002F62F0">
      <w:pPr>
        <w:pStyle w:val="Caption"/>
      </w:pPr>
      <w:bookmarkStart w:id="39" w:name="_Toc510622255"/>
      <w:r>
        <w:t xml:space="preserve">Table </w:t>
      </w:r>
      <w:r w:rsidR="00B918A6">
        <w:fldChar w:fldCharType="begin"/>
      </w:r>
      <w:r w:rsidR="00B918A6">
        <w:instrText xml:space="preserve"> SEQ Table \* ARABIC </w:instrText>
      </w:r>
      <w:r w:rsidR="00B918A6">
        <w:fldChar w:fldCharType="separate"/>
      </w:r>
      <w:r w:rsidR="0067023A">
        <w:rPr>
          <w:noProof/>
        </w:rPr>
        <w:t>5</w:t>
      </w:r>
      <w:r w:rsidR="00B918A6">
        <w:rPr>
          <w:noProof/>
        </w:rPr>
        <w:fldChar w:fldCharType="end"/>
      </w:r>
      <w:r>
        <w:t>: AU AGENDA 2063 GOALS</w:t>
      </w:r>
      <w:bookmarkEnd w:id="39"/>
    </w:p>
    <w:p w14:paraId="310CF46B" w14:textId="77777777" w:rsidR="001C4A99" w:rsidRDefault="001C4A99" w:rsidP="001C4A99">
      <w:r>
        <w:t>The AU f</w:t>
      </w:r>
      <w:r w:rsidRPr="001C4A99">
        <w:t>ormulated indicators for tracking the implementation of the first ten years of agenda 2063.</w:t>
      </w:r>
      <w:r>
        <w:t xml:space="preserve"> The AU Working Committee has further a</w:t>
      </w:r>
      <w:r w:rsidRPr="001C4A99">
        <w:t>ligned</w:t>
      </w:r>
      <w:r>
        <w:t xml:space="preserve"> the </w:t>
      </w:r>
      <w:r w:rsidRPr="001C4A99">
        <w:t>SDG indicators to Agenda 2063 and the NDP (can only be finalized once the SDG and Agenda 2063 indicators are adopted)</w:t>
      </w:r>
      <w:r>
        <w:t>. Costing</w:t>
      </w:r>
      <w:r w:rsidRPr="001C4A99">
        <w:t xml:space="preserve"> the measurement framework for the f</w:t>
      </w:r>
      <w:r>
        <w:t xml:space="preserve">irst ten years of Agenda 2063 </w:t>
      </w:r>
      <w:r w:rsidRPr="001C4A99">
        <w:t>for both Agenda 2063 and SDGs the cost of producing statistics in the African continent is est</w:t>
      </w:r>
      <w:r>
        <w:t>imated at 5billion USD per year.</w:t>
      </w:r>
    </w:p>
    <w:p w14:paraId="59096FB5" w14:textId="3E5B0973" w:rsidR="00D200EA" w:rsidRPr="005A36DE" w:rsidRDefault="00FF2447" w:rsidP="00750180">
      <w:pPr>
        <w:pStyle w:val="Heading3"/>
        <w:numPr>
          <w:ilvl w:val="2"/>
          <w:numId w:val="39"/>
        </w:numPr>
        <w:spacing w:after="240"/>
      </w:pPr>
      <w:bookmarkStart w:id="40" w:name="_Toc510706574"/>
      <w:r w:rsidRPr="005A36DE">
        <w:t xml:space="preserve">National </w:t>
      </w:r>
      <w:r w:rsidR="00B364FA" w:rsidRPr="005A36DE">
        <w:t xml:space="preserve">Development </w:t>
      </w:r>
      <w:r w:rsidRPr="005A36DE">
        <w:t>Plan Priorities</w:t>
      </w:r>
      <w:bookmarkEnd w:id="37"/>
      <w:bookmarkEnd w:id="38"/>
      <w:bookmarkEnd w:id="40"/>
    </w:p>
    <w:p w14:paraId="5A0F4D7E" w14:textId="77777777" w:rsidR="00FF2447" w:rsidRPr="00881795" w:rsidRDefault="00FF2447" w:rsidP="00395313">
      <w:pPr>
        <w:jc w:val="both"/>
        <w:rPr>
          <w:rFonts w:cs="Arial"/>
          <w:color w:val="000000"/>
          <w:szCs w:val="20"/>
        </w:rPr>
      </w:pPr>
      <w:r w:rsidRPr="00881795">
        <w:rPr>
          <w:rFonts w:cs="Arial"/>
          <w:color w:val="000000"/>
          <w:szCs w:val="20"/>
        </w:rPr>
        <w:t xml:space="preserve">The National Planning Commission </w:t>
      </w:r>
      <w:r w:rsidR="002C5375">
        <w:rPr>
          <w:rFonts w:cs="Arial"/>
          <w:color w:val="000000"/>
          <w:szCs w:val="20"/>
        </w:rPr>
        <w:t>formulated</w:t>
      </w:r>
      <w:r w:rsidRPr="00881795">
        <w:rPr>
          <w:rFonts w:cs="Arial"/>
          <w:color w:val="000000"/>
          <w:szCs w:val="20"/>
        </w:rPr>
        <w:t xml:space="preserve"> t</w:t>
      </w:r>
      <w:r w:rsidR="002C5375">
        <w:rPr>
          <w:rFonts w:cs="Arial"/>
          <w:color w:val="000000"/>
          <w:szCs w:val="20"/>
        </w:rPr>
        <w:t xml:space="preserve">he National Development Plan of which </w:t>
      </w:r>
      <w:r w:rsidRPr="00881795">
        <w:rPr>
          <w:rFonts w:cs="Arial"/>
          <w:color w:val="000000"/>
          <w:szCs w:val="20"/>
        </w:rPr>
        <w:t>its priorities</w:t>
      </w:r>
      <w:r w:rsidR="002C5375">
        <w:rPr>
          <w:rFonts w:cs="Arial"/>
          <w:color w:val="000000"/>
          <w:szCs w:val="20"/>
        </w:rPr>
        <w:t xml:space="preserve"> are ai</w:t>
      </w:r>
      <w:r w:rsidR="001B1B9D">
        <w:rPr>
          <w:rFonts w:cs="Arial"/>
          <w:color w:val="000000"/>
          <w:szCs w:val="20"/>
        </w:rPr>
        <w:t xml:space="preserve">med at achieving the vision 2035 as amended </w:t>
      </w:r>
      <w:r w:rsidR="002C5375">
        <w:rPr>
          <w:rFonts w:cs="Arial"/>
          <w:color w:val="000000"/>
          <w:szCs w:val="20"/>
        </w:rPr>
        <w:t xml:space="preserve">wherein extreme poverty is eliminated and </w:t>
      </w:r>
      <w:r w:rsidR="003600EB">
        <w:rPr>
          <w:rFonts w:cs="Arial"/>
          <w:color w:val="000000"/>
          <w:szCs w:val="20"/>
        </w:rPr>
        <w:t>inequality</w:t>
      </w:r>
      <w:r w:rsidR="002C5375">
        <w:rPr>
          <w:rFonts w:cs="Arial"/>
          <w:color w:val="000000"/>
          <w:szCs w:val="20"/>
        </w:rPr>
        <w:t xml:space="preserve"> reduced and opportunities are </w:t>
      </w:r>
      <w:r w:rsidR="003600EB">
        <w:rPr>
          <w:rFonts w:cs="Arial"/>
          <w:color w:val="000000"/>
          <w:szCs w:val="20"/>
        </w:rPr>
        <w:t>abundant</w:t>
      </w:r>
      <w:r w:rsidR="002C5375">
        <w:rPr>
          <w:rFonts w:cs="Arial"/>
          <w:color w:val="000000"/>
          <w:szCs w:val="20"/>
        </w:rPr>
        <w:t xml:space="preserve">. Hence the municipality has developed strategies </w:t>
      </w:r>
      <w:r w:rsidR="00F44ADF">
        <w:rPr>
          <w:rFonts w:cs="Arial"/>
          <w:color w:val="000000"/>
          <w:szCs w:val="20"/>
        </w:rPr>
        <w:t>so as to align to the objectives and priorities of the ND</w:t>
      </w:r>
      <w:r w:rsidR="00130F92">
        <w:rPr>
          <w:rFonts w:cs="Arial"/>
          <w:color w:val="000000"/>
          <w:szCs w:val="20"/>
        </w:rPr>
        <w:t>P</w:t>
      </w:r>
      <w:r w:rsidR="00F44ADF">
        <w:rPr>
          <w:rFonts w:cs="Arial"/>
          <w:color w:val="000000"/>
          <w:szCs w:val="20"/>
        </w:rPr>
        <w:t xml:space="preserve"> which are summarized as follows;</w:t>
      </w:r>
    </w:p>
    <w:p w14:paraId="181CB357" w14:textId="77777777" w:rsidR="00FF2447" w:rsidRPr="00881795" w:rsidRDefault="005A36DE" w:rsidP="005A36DE">
      <w:pPr>
        <w:pStyle w:val="Caption"/>
        <w:rPr>
          <w:rFonts w:cs="Arial"/>
        </w:rPr>
      </w:pPr>
      <w:bookmarkStart w:id="41" w:name="_Toc510622256"/>
      <w:bookmarkStart w:id="42" w:name="_Toc389739681"/>
      <w:r>
        <w:lastRenderedPageBreak/>
        <w:t xml:space="preserve">Table </w:t>
      </w:r>
      <w:r w:rsidR="00B918A6">
        <w:fldChar w:fldCharType="begin"/>
      </w:r>
      <w:r w:rsidR="00B918A6">
        <w:instrText xml:space="preserve"> SEQ Table \* ARABIC </w:instrText>
      </w:r>
      <w:r w:rsidR="00B918A6">
        <w:fldChar w:fldCharType="separate"/>
      </w:r>
      <w:r w:rsidR="0067023A">
        <w:rPr>
          <w:noProof/>
        </w:rPr>
        <w:t>6</w:t>
      </w:r>
      <w:r w:rsidR="00B918A6">
        <w:rPr>
          <w:noProof/>
        </w:rPr>
        <w:fldChar w:fldCharType="end"/>
      </w:r>
      <w:r>
        <w:t xml:space="preserve">: </w:t>
      </w:r>
      <w:r w:rsidR="00FF2447" w:rsidRPr="00881795">
        <w:t xml:space="preserve">National </w:t>
      </w:r>
      <w:r w:rsidR="00B364FA">
        <w:t xml:space="preserve">Development </w:t>
      </w:r>
      <w:r w:rsidR="00FF2447" w:rsidRPr="00881795">
        <w:t>Plan Priorities</w:t>
      </w:r>
      <w:bookmarkEnd w:id="41"/>
      <w:r w:rsidR="00FF2447" w:rsidRPr="00881795">
        <w:t xml:space="preserve"> </w:t>
      </w:r>
      <w:bookmarkEnd w:id="4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0"/>
        <w:gridCol w:w="2522"/>
        <w:gridCol w:w="5207"/>
      </w:tblGrid>
      <w:tr w:rsidR="00FF2447" w:rsidRPr="00881795" w14:paraId="1580E4D1" w14:textId="77777777" w:rsidTr="00B17A4D">
        <w:trPr>
          <w:tblHeader/>
        </w:trPr>
        <w:tc>
          <w:tcPr>
            <w:tcW w:w="1951" w:type="dxa"/>
            <w:shd w:val="clear" w:color="auto" w:fill="DAEEF3" w:themeFill="accent5" w:themeFillTint="33"/>
            <w:vAlign w:val="center"/>
          </w:tcPr>
          <w:p w14:paraId="2018DEE8" w14:textId="77777777" w:rsidR="006C2C96" w:rsidRDefault="00FF2447" w:rsidP="006C2C96">
            <w:pPr>
              <w:pStyle w:val="NormalWeb"/>
              <w:spacing w:before="0" w:beforeAutospacing="0" w:after="0" w:afterAutospacing="0"/>
              <w:jc w:val="center"/>
              <w:rPr>
                <w:rFonts w:ascii="Calibri" w:hAnsi="Calibri" w:cs="Arial"/>
                <w:b/>
                <w:color w:val="000000"/>
                <w:sz w:val="20"/>
                <w:szCs w:val="20"/>
              </w:rPr>
            </w:pPr>
            <w:r w:rsidRPr="00881795">
              <w:rPr>
                <w:rFonts w:ascii="Calibri" w:hAnsi="Calibri" w:cs="Arial"/>
                <w:b/>
                <w:color w:val="000000"/>
                <w:sz w:val="20"/>
                <w:szCs w:val="20"/>
              </w:rPr>
              <w:t xml:space="preserve">No. </w:t>
            </w:r>
          </w:p>
          <w:p w14:paraId="752C3D00" w14:textId="77777777" w:rsidR="00FF2447" w:rsidRPr="00881795" w:rsidRDefault="00FF2447" w:rsidP="006C2C96">
            <w:pPr>
              <w:pStyle w:val="NormalWeb"/>
              <w:spacing w:before="0" w:beforeAutospacing="0" w:after="0" w:afterAutospacing="0"/>
              <w:jc w:val="center"/>
              <w:rPr>
                <w:rFonts w:ascii="Calibri" w:hAnsi="Calibri" w:cs="Arial"/>
                <w:b/>
                <w:color w:val="000000"/>
                <w:sz w:val="20"/>
                <w:szCs w:val="20"/>
              </w:rPr>
            </w:pPr>
            <w:r w:rsidRPr="006C2C96">
              <w:rPr>
                <w:rFonts w:ascii="Calibri" w:hAnsi="Calibri" w:cs="Arial"/>
                <w:b/>
                <w:color w:val="000000"/>
                <w:sz w:val="16"/>
                <w:szCs w:val="20"/>
              </w:rPr>
              <w:t>(in no specific order)</w:t>
            </w:r>
          </w:p>
        </w:tc>
        <w:tc>
          <w:tcPr>
            <w:tcW w:w="2572" w:type="dxa"/>
            <w:shd w:val="clear" w:color="auto" w:fill="DAEEF3" w:themeFill="accent5" w:themeFillTint="33"/>
            <w:vAlign w:val="center"/>
          </w:tcPr>
          <w:p w14:paraId="3D2D1738" w14:textId="77777777" w:rsidR="00FF2447" w:rsidRPr="00881795" w:rsidRDefault="00FF2447" w:rsidP="006C2C96">
            <w:pPr>
              <w:pStyle w:val="NormalWeb"/>
              <w:spacing w:before="0" w:beforeAutospacing="0" w:after="0" w:afterAutospacing="0"/>
              <w:jc w:val="center"/>
              <w:rPr>
                <w:rFonts w:ascii="Calibri" w:hAnsi="Calibri" w:cs="Arial"/>
                <w:b/>
                <w:color w:val="000000"/>
                <w:sz w:val="20"/>
                <w:szCs w:val="20"/>
              </w:rPr>
            </w:pPr>
            <w:r w:rsidRPr="00881795">
              <w:rPr>
                <w:rFonts w:ascii="Calibri" w:hAnsi="Calibri" w:cs="Arial"/>
                <w:b/>
                <w:color w:val="000000"/>
                <w:sz w:val="20"/>
                <w:szCs w:val="20"/>
              </w:rPr>
              <w:t>National  Plan Priorities</w:t>
            </w:r>
          </w:p>
        </w:tc>
        <w:tc>
          <w:tcPr>
            <w:tcW w:w="5332" w:type="dxa"/>
            <w:shd w:val="clear" w:color="auto" w:fill="DAEEF3" w:themeFill="accent5" w:themeFillTint="33"/>
            <w:vAlign w:val="center"/>
          </w:tcPr>
          <w:p w14:paraId="05E0A0AE" w14:textId="57D7779C" w:rsidR="00FF2447" w:rsidRPr="008C6A5B" w:rsidRDefault="00D3506B" w:rsidP="00061B23">
            <w:pPr>
              <w:pStyle w:val="ListParagraph"/>
              <w:ind w:left="34"/>
              <w:rPr>
                <w:rFonts w:cs="Arial"/>
                <w:b/>
                <w:szCs w:val="20"/>
              </w:rPr>
            </w:pPr>
            <w:r w:rsidRPr="008C6A5B">
              <w:rPr>
                <w:rFonts w:cs="Arial"/>
                <w:b/>
                <w:szCs w:val="20"/>
              </w:rPr>
              <w:t>Municipal</w:t>
            </w:r>
            <w:r w:rsidR="00061B23" w:rsidRPr="008C6A5B">
              <w:rPr>
                <w:rFonts w:cs="Arial"/>
                <w:b/>
                <w:szCs w:val="20"/>
              </w:rPr>
              <w:t xml:space="preserve"> Strategic Objective</w:t>
            </w:r>
            <w:r w:rsidR="008C6A5B">
              <w:rPr>
                <w:rFonts w:cs="Arial"/>
                <w:b/>
                <w:szCs w:val="20"/>
              </w:rPr>
              <w:t>s</w:t>
            </w:r>
          </w:p>
        </w:tc>
      </w:tr>
      <w:tr w:rsidR="00FF2447" w:rsidRPr="00881795" w14:paraId="542080BA" w14:textId="77777777" w:rsidTr="006C2C96">
        <w:tc>
          <w:tcPr>
            <w:tcW w:w="1951" w:type="dxa"/>
          </w:tcPr>
          <w:p w14:paraId="0CD6E2D9" w14:textId="77777777" w:rsidR="00FF2447" w:rsidRPr="00881795" w:rsidRDefault="00FF2447" w:rsidP="00395313">
            <w:pPr>
              <w:pStyle w:val="NormalWeb"/>
              <w:spacing w:before="0" w:beforeAutospacing="0" w:after="0" w:afterAutospacing="0"/>
              <w:jc w:val="both"/>
              <w:rPr>
                <w:rFonts w:ascii="Calibri" w:hAnsi="Calibri" w:cs="Arial"/>
                <w:color w:val="000000"/>
                <w:sz w:val="20"/>
                <w:szCs w:val="20"/>
              </w:rPr>
            </w:pPr>
            <w:r w:rsidRPr="00881795">
              <w:rPr>
                <w:rFonts w:ascii="Calibri" w:hAnsi="Calibri" w:cs="Arial"/>
                <w:color w:val="000000"/>
                <w:sz w:val="20"/>
                <w:szCs w:val="20"/>
              </w:rPr>
              <w:t>1</w:t>
            </w:r>
          </w:p>
        </w:tc>
        <w:tc>
          <w:tcPr>
            <w:tcW w:w="2572" w:type="dxa"/>
          </w:tcPr>
          <w:p w14:paraId="2AC945CC" w14:textId="77777777" w:rsidR="00FF2447" w:rsidRPr="00881795" w:rsidRDefault="00FF2447" w:rsidP="00395313">
            <w:pPr>
              <w:pStyle w:val="NormalWeb"/>
              <w:spacing w:before="0" w:beforeAutospacing="0" w:after="0" w:afterAutospacing="0"/>
              <w:jc w:val="both"/>
              <w:rPr>
                <w:rFonts w:ascii="Calibri" w:hAnsi="Calibri" w:cs="Arial"/>
                <w:color w:val="000000"/>
                <w:sz w:val="20"/>
                <w:szCs w:val="20"/>
              </w:rPr>
            </w:pPr>
            <w:r w:rsidRPr="00881795">
              <w:rPr>
                <w:rFonts w:ascii="Calibri" w:hAnsi="Calibri" w:cs="Arial"/>
                <w:color w:val="000000"/>
                <w:sz w:val="20"/>
                <w:szCs w:val="20"/>
              </w:rPr>
              <w:t>Create jobs</w:t>
            </w:r>
          </w:p>
        </w:tc>
        <w:tc>
          <w:tcPr>
            <w:tcW w:w="5332" w:type="dxa"/>
          </w:tcPr>
          <w:p w14:paraId="1396532C" w14:textId="77777777" w:rsidR="00061B23" w:rsidRPr="008C6A5B" w:rsidRDefault="00061B23" w:rsidP="00750180">
            <w:pPr>
              <w:pStyle w:val="ListParagraph"/>
              <w:numPr>
                <w:ilvl w:val="0"/>
                <w:numId w:val="108"/>
              </w:numPr>
              <w:spacing w:after="0" w:line="240" w:lineRule="auto"/>
              <w:jc w:val="both"/>
              <w:rPr>
                <w:rFonts w:cs="Arial"/>
                <w:b/>
                <w:szCs w:val="20"/>
              </w:rPr>
            </w:pPr>
            <w:r w:rsidRPr="008C6A5B">
              <w:rPr>
                <w:rFonts w:cs="Arial"/>
                <w:b/>
                <w:szCs w:val="20"/>
              </w:rPr>
              <w:t xml:space="preserve">To Facilitate and Support Accelerated Economic Development </w:t>
            </w:r>
          </w:p>
          <w:p w14:paraId="09016D85" w14:textId="77777777" w:rsidR="00061B23" w:rsidRPr="008C6A5B" w:rsidRDefault="00061B23" w:rsidP="00061B23">
            <w:pPr>
              <w:spacing w:after="0" w:line="240" w:lineRule="auto"/>
              <w:jc w:val="both"/>
              <w:rPr>
                <w:rFonts w:cs="Arial"/>
                <w:b/>
                <w:szCs w:val="20"/>
              </w:rPr>
            </w:pPr>
          </w:p>
          <w:p w14:paraId="58DDE82A" w14:textId="16D33314" w:rsidR="008D14B5" w:rsidRPr="008C6A5B" w:rsidRDefault="00061B23" w:rsidP="00750180">
            <w:pPr>
              <w:pStyle w:val="ListParagraph"/>
              <w:numPr>
                <w:ilvl w:val="0"/>
                <w:numId w:val="107"/>
              </w:numPr>
              <w:spacing w:after="0" w:line="240" w:lineRule="auto"/>
              <w:jc w:val="both"/>
              <w:rPr>
                <w:rFonts w:cs="Arial"/>
                <w:szCs w:val="20"/>
              </w:rPr>
            </w:pPr>
            <w:r w:rsidRPr="008C6A5B">
              <w:rPr>
                <w:rFonts w:cs="Arial"/>
                <w:b/>
                <w:szCs w:val="20"/>
              </w:rPr>
              <w:t>To effectively contribute towards the reduction of unemployment.</w:t>
            </w:r>
          </w:p>
        </w:tc>
      </w:tr>
      <w:tr w:rsidR="00FF2447" w:rsidRPr="00881795" w14:paraId="5EA6EB15" w14:textId="77777777" w:rsidTr="006C2C96">
        <w:tc>
          <w:tcPr>
            <w:tcW w:w="1951" w:type="dxa"/>
          </w:tcPr>
          <w:p w14:paraId="7DF747DE" w14:textId="77777777" w:rsidR="00FF2447" w:rsidRPr="00881795" w:rsidRDefault="00FF2447" w:rsidP="00395313">
            <w:pPr>
              <w:pStyle w:val="NormalWeb"/>
              <w:spacing w:before="0" w:beforeAutospacing="0" w:after="0" w:afterAutospacing="0"/>
              <w:jc w:val="both"/>
              <w:rPr>
                <w:rFonts w:ascii="Calibri" w:hAnsi="Calibri" w:cs="Arial"/>
                <w:color w:val="000000"/>
                <w:sz w:val="20"/>
                <w:szCs w:val="20"/>
              </w:rPr>
            </w:pPr>
            <w:r w:rsidRPr="00881795">
              <w:rPr>
                <w:rFonts w:ascii="Calibri" w:hAnsi="Calibri" w:cs="Arial"/>
                <w:color w:val="000000"/>
                <w:sz w:val="20"/>
                <w:szCs w:val="20"/>
              </w:rPr>
              <w:t>2</w:t>
            </w:r>
          </w:p>
        </w:tc>
        <w:tc>
          <w:tcPr>
            <w:tcW w:w="2572" w:type="dxa"/>
          </w:tcPr>
          <w:p w14:paraId="128D09DC" w14:textId="77777777" w:rsidR="00FF2447" w:rsidRPr="00881795" w:rsidRDefault="00FF2447" w:rsidP="00395313">
            <w:pPr>
              <w:pStyle w:val="NormalWeb"/>
              <w:spacing w:before="0" w:beforeAutospacing="0" w:after="0" w:afterAutospacing="0"/>
              <w:jc w:val="both"/>
              <w:rPr>
                <w:rFonts w:ascii="Calibri" w:hAnsi="Calibri" w:cs="Arial"/>
                <w:color w:val="000000"/>
                <w:sz w:val="20"/>
                <w:szCs w:val="20"/>
              </w:rPr>
            </w:pPr>
            <w:r w:rsidRPr="00881795">
              <w:rPr>
                <w:rFonts w:ascii="Calibri" w:hAnsi="Calibri" w:cs="Arial"/>
                <w:color w:val="000000"/>
                <w:sz w:val="20"/>
                <w:szCs w:val="20"/>
              </w:rPr>
              <w:t>Expand infrastructure</w:t>
            </w:r>
          </w:p>
        </w:tc>
        <w:tc>
          <w:tcPr>
            <w:tcW w:w="5332" w:type="dxa"/>
          </w:tcPr>
          <w:p w14:paraId="286FA8AE" w14:textId="69D91E81" w:rsidR="008D14B5" w:rsidRPr="008C6A5B" w:rsidRDefault="00061B23" w:rsidP="00750180">
            <w:pPr>
              <w:pStyle w:val="NormalWeb"/>
              <w:numPr>
                <w:ilvl w:val="0"/>
                <w:numId w:val="107"/>
              </w:numPr>
              <w:spacing w:before="0" w:beforeAutospacing="0" w:after="0" w:afterAutospacing="0"/>
              <w:jc w:val="both"/>
              <w:rPr>
                <w:rFonts w:ascii="Calibri" w:hAnsi="Calibri" w:cs="Arial"/>
                <w:b/>
                <w:sz w:val="20"/>
                <w:szCs w:val="20"/>
              </w:rPr>
            </w:pPr>
            <w:r w:rsidRPr="008C6A5B">
              <w:rPr>
                <w:rFonts w:ascii="Calibri" w:hAnsi="Calibri" w:cs="Arial"/>
                <w:b/>
                <w:sz w:val="20"/>
                <w:szCs w:val="20"/>
              </w:rPr>
              <w:t>To Provide and Maintain Infrastructure and Services to All, With Special Emphasis on Rural Communities in a Sustainable Manner</w:t>
            </w:r>
          </w:p>
        </w:tc>
      </w:tr>
      <w:tr w:rsidR="00FF2447" w:rsidRPr="00881795" w14:paraId="7A1A8F30" w14:textId="77777777" w:rsidTr="006C2C96">
        <w:tc>
          <w:tcPr>
            <w:tcW w:w="1951" w:type="dxa"/>
          </w:tcPr>
          <w:p w14:paraId="44957698" w14:textId="77777777" w:rsidR="00FF2447" w:rsidRPr="00881795" w:rsidRDefault="00FF2447" w:rsidP="00395313">
            <w:pPr>
              <w:pStyle w:val="NormalWeb"/>
              <w:spacing w:before="0" w:beforeAutospacing="0" w:after="0" w:afterAutospacing="0"/>
              <w:jc w:val="both"/>
              <w:rPr>
                <w:rFonts w:ascii="Calibri" w:hAnsi="Calibri" w:cs="Arial"/>
                <w:color w:val="000000"/>
                <w:sz w:val="20"/>
                <w:szCs w:val="20"/>
              </w:rPr>
            </w:pPr>
            <w:r w:rsidRPr="00881795">
              <w:rPr>
                <w:rFonts w:ascii="Calibri" w:hAnsi="Calibri" w:cs="Arial"/>
                <w:color w:val="000000"/>
                <w:sz w:val="20"/>
                <w:szCs w:val="20"/>
              </w:rPr>
              <w:t>3</w:t>
            </w:r>
          </w:p>
        </w:tc>
        <w:tc>
          <w:tcPr>
            <w:tcW w:w="2572" w:type="dxa"/>
          </w:tcPr>
          <w:p w14:paraId="34F389A0" w14:textId="77777777" w:rsidR="00FF2447" w:rsidRPr="00881795" w:rsidRDefault="00FF2447" w:rsidP="00395313">
            <w:pPr>
              <w:pStyle w:val="NormalWeb"/>
              <w:spacing w:before="0" w:beforeAutospacing="0" w:after="0" w:afterAutospacing="0"/>
              <w:jc w:val="both"/>
              <w:rPr>
                <w:rFonts w:ascii="Calibri" w:hAnsi="Calibri" w:cs="Arial"/>
                <w:color w:val="000000"/>
                <w:sz w:val="20"/>
                <w:szCs w:val="20"/>
              </w:rPr>
            </w:pPr>
            <w:r w:rsidRPr="00881795">
              <w:rPr>
                <w:rFonts w:ascii="Calibri" w:hAnsi="Calibri" w:cs="Arial"/>
                <w:color w:val="000000"/>
                <w:sz w:val="20"/>
                <w:szCs w:val="20"/>
              </w:rPr>
              <w:t>Use resources properly</w:t>
            </w:r>
          </w:p>
        </w:tc>
        <w:tc>
          <w:tcPr>
            <w:tcW w:w="5332" w:type="dxa"/>
          </w:tcPr>
          <w:p w14:paraId="0C257CCF" w14:textId="77777777" w:rsidR="008D14B5" w:rsidRPr="008C6A5B" w:rsidRDefault="008C6A5B" w:rsidP="00750180">
            <w:pPr>
              <w:pStyle w:val="NormalWeb"/>
              <w:numPr>
                <w:ilvl w:val="0"/>
                <w:numId w:val="107"/>
              </w:numPr>
              <w:spacing w:before="0" w:beforeAutospacing="0" w:after="0" w:afterAutospacing="0"/>
              <w:jc w:val="both"/>
              <w:rPr>
                <w:rFonts w:ascii="Calibri" w:hAnsi="Calibri" w:cs="Arial"/>
                <w:b/>
                <w:sz w:val="20"/>
                <w:szCs w:val="20"/>
              </w:rPr>
            </w:pPr>
            <w:r w:rsidRPr="008C6A5B">
              <w:rPr>
                <w:rFonts w:ascii="Calibri" w:hAnsi="Calibri" w:cs="Arial"/>
                <w:b/>
                <w:sz w:val="20"/>
                <w:szCs w:val="20"/>
              </w:rPr>
              <w:t>To Ensure Continued Sound Financial Management</w:t>
            </w:r>
          </w:p>
          <w:p w14:paraId="1C295E7C" w14:textId="4003C1E7" w:rsidR="008C6A5B" w:rsidRPr="008C6A5B" w:rsidRDefault="008C6A5B" w:rsidP="00750180">
            <w:pPr>
              <w:pStyle w:val="NormalWeb"/>
              <w:numPr>
                <w:ilvl w:val="0"/>
                <w:numId w:val="107"/>
              </w:numPr>
              <w:spacing w:before="0" w:beforeAutospacing="0" w:after="0" w:afterAutospacing="0"/>
              <w:jc w:val="both"/>
              <w:rPr>
                <w:rFonts w:ascii="Calibri" w:hAnsi="Calibri" w:cs="Arial"/>
                <w:b/>
                <w:sz w:val="20"/>
                <w:szCs w:val="20"/>
              </w:rPr>
            </w:pPr>
            <w:r w:rsidRPr="008C6A5B">
              <w:rPr>
                <w:rFonts w:ascii="Calibri" w:hAnsi="Calibri" w:cs="Arial"/>
                <w:b/>
                <w:sz w:val="20"/>
                <w:szCs w:val="20"/>
              </w:rPr>
              <w:t>To Promote a Culture of Public Participatory Democracy and Social Cohesion</w:t>
            </w:r>
          </w:p>
        </w:tc>
      </w:tr>
      <w:tr w:rsidR="00FF2447" w:rsidRPr="00881795" w14:paraId="4AD542AC" w14:textId="77777777" w:rsidTr="006C2C96">
        <w:tc>
          <w:tcPr>
            <w:tcW w:w="1951" w:type="dxa"/>
          </w:tcPr>
          <w:p w14:paraId="67F423F7" w14:textId="77777777" w:rsidR="00FF2447" w:rsidRPr="00881795" w:rsidRDefault="00FF2447" w:rsidP="00395313">
            <w:pPr>
              <w:pStyle w:val="NormalWeb"/>
              <w:spacing w:before="0" w:beforeAutospacing="0" w:after="0" w:afterAutospacing="0"/>
              <w:jc w:val="both"/>
              <w:rPr>
                <w:rFonts w:ascii="Calibri" w:hAnsi="Calibri" w:cs="Arial"/>
                <w:color w:val="000000"/>
                <w:sz w:val="20"/>
                <w:szCs w:val="20"/>
              </w:rPr>
            </w:pPr>
            <w:r w:rsidRPr="00881795">
              <w:rPr>
                <w:rFonts w:ascii="Calibri" w:hAnsi="Calibri" w:cs="Arial"/>
                <w:color w:val="000000"/>
                <w:sz w:val="20"/>
                <w:szCs w:val="20"/>
              </w:rPr>
              <w:t>4</w:t>
            </w:r>
          </w:p>
        </w:tc>
        <w:tc>
          <w:tcPr>
            <w:tcW w:w="2572" w:type="dxa"/>
          </w:tcPr>
          <w:p w14:paraId="1C149A91" w14:textId="77777777" w:rsidR="00FF2447" w:rsidRPr="00881795" w:rsidRDefault="00FF2447" w:rsidP="00395313">
            <w:pPr>
              <w:pStyle w:val="NormalWeb"/>
              <w:spacing w:before="0" w:beforeAutospacing="0" w:after="0" w:afterAutospacing="0"/>
              <w:jc w:val="both"/>
              <w:rPr>
                <w:rFonts w:ascii="Calibri" w:hAnsi="Calibri" w:cs="Arial"/>
                <w:color w:val="000000"/>
                <w:sz w:val="20"/>
                <w:szCs w:val="20"/>
              </w:rPr>
            </w:pPr>
            <w:r w:rsidRPr="00881795">
              <w:rPr>
                <w:rFonts w:ascii="Calibri" w:hAnsi="Calibri" w:cs="Arial"/>
                <w:color w:val="000000"/>
                <w:sz w:val="20"/>
                <w:szCs w:val="20"/>
              </w:rPr>
              <w:t>Inclusive planning</w:t>
            </w:r>
          </w:p>
        </w:tc>
        <w:tc>
          <w:tcPr>
            <w:tcW w:w="5332" w:type="dxa"/>
          </w:tcPr>
          <w:p w14:paraId="5ADA1644" w14:textId="77777777" w:rsidR="00FF2447" w:rsidRPr="008C6A5B" w:rsidRDefault="008C6A5B" w:rsidP="00750180">
            <w:pPr>
              <w:pStyle w:val="ListParagraph"/>
              <w:numPr>
                <w:ilvl w:val="0"/>
                <w:numId w:val="109"/>
              </w:numPr>
              <w:spacing w:after="0" w:line="240" w:lineRule="auto"/>
              <w:jc w:val="both"/>
              <w:rPr>
                <w:rFonts w:cs="Arial"/>
                <w:b/>
                <w:szCs w:val="20"/>
              </w:rPr>
            </w:pPr>
            <w:r w:rsidRPr="008C6A5B">
              <w:rPr>
                <w:rFonts w:cs="Arial"/>
                <w:b/>
                <w:szCs w:val="20"/>
              </w:rPr>
              <w:t>To Promote a Culture of Public Participatory Democracy and Social Cohesion</w:t>
            </w:r>
          </w:p>
          <w:p w14:paraId="4C04D2AA" w14:textId="77777777" w:rsidR="008C6A5B" w:rsidRPr="008C6A5B" w:rsidRDefault="008C6A5B" w:rsidP="00750180">
            <w:pPr>
              <w:pStyle w:val="ListParagraph"/>
              <w:numPr>
                <w:ilvl w:val="0"/>
                <w:numId w:val="109"/>
              </w:numPr>
              <w:spacing w:after="0" w:line="240" w:lineRule="auto"/>
              <w:jc w:val="both"/>
              <w:rPr>
                <w:rFonts w:cs="Arial"/>
                <w:b/>
                <w:szCs w:val="20"/>
              </w:rPr>
            </w:pPr>
            <w:r w:rsidRPr="008C6A5B">
              <w:rPr>
                <w:rFonts w:cs="Arial"/>
                <w:b/>
                <w:szCs w:val="20"/>
              </w:rPr>
              <w:t xml:space="preserve">To ensure coordinated Land Use Management, Taking cognizance of Sound Environmental Practices  </w:t>
            </w:r>
          </w:p>
          <w:p w14:paraId="3C9C14C3" w14:textId="13745C6F" w:rsidR="008C6A5B" w:rsidRPr="008C6A5B" w:rsidRDefault="008C6A5B" w:rsidP="00750180">
            <w:pPr>
              <w:pStyle w:val="ListParagraph"/>
              <w:numPr>
                <w:ilvl w:val="0"/>
                <w:numId w:val="109"/>
              </w:numPr>
              <w:spacing w:after="0" w:line="240" w:lineRule="auto"/>
              <w:jc w:val="both"/>
              <w:rPr>
                <w:rFonts w:cs="Arial"/>
                <w:b/>
                <w:szCs w:val="20"/>
              </w:rPr>
            </w:pPr>
            <w:r w:rsidRPr="008C6A5B">
              <w:rPr>
                <w:rFonts w:cs="Arial"/>
                <w:b/>
                <w:szCs w:val="20"/>
              </w:rPr>
              <w:t>To Develop a Credible and Implementable IDP</w:t>
            </w:r>
          </w:p>
        </w:tc>
      </w:tr>
      <w:tr w:rsidR="00FF2447" w:rsidRPr="00881795" w14:paraId="216534F9" w14:textId="77777777" w:rsidTr="006C2C96">
        <w:tc>
          <w:tcPr>
            <w:tcW w:w="1951" w:type="dxa"/>
          </w:tcPr>
          <w:p w14:paraId="726BA569" w14:textId="77777777" w:rsidR="00FF2447" w:rsidRPr="00881795" w:rsidRDefault="00FF2447" w:rsidP="00395313">
            <w:pPr>
              <w:pStyle w:val="NormalWeb"/>
              <w:spacing w:before="0" w:beforeAutospacing="0" w:after="0" w:afterAutospacing="0"/>
              <w:jc w:val="both"/>
              <w:rPr>
                <w:rFonts w:ascii="Calibri" w:hAnsi="Calibri" w:cs="Arial"/>
                <w:color w:val="000000"/>
                <w:sz w:val="20"/>
                <w:szCs w:val="20"/>
              </w:rPr>
            </w:pPr>
            <w:r w:rsidRPr="00881795">
              <w:rPr>
                <w:rFonts w:ascii="Calibri" w:hAnsi="Calibri" w:cs="Arial"/>
                <w:color w:val="000000"/>
                <w:sz w:val="20"/>
                <w:szCs w:val="20"/>
              </w:rPr>
              <w:t>5</w:t>
            </w:r>
          </w:p>
        </w:tc>
        <w:tc>
          <w:tcPr>
            <w:tcW w:w="2572" w:type="dxa"/>
          </w:tcPr>
          <w:p w14:paraId="26B5A0B0" w14:textId="77777777" w:rsidR="00FF2447" w:rsidRPr="00881795" w:rsidRDefault="00FF2447" w:rsidP="00395313">
            <w:pPr>
              <w:pStyle w:val="NormalWeb"/>
              <w:spacing w:before="0" w:beforeAutospacing="0" w:after="0" w:afterAutospacing="0"/>
              <w:jc w:val="both"/>
              <w:rPr>
                <w:rFonts w:ascii="Calibri" w:hAnsi="Calibri" w:cs="Arial"/>
                <w:color w:val="000000"/>
                <w:sz w:val="20"/>
                <w:szCs w:val="20"/>
              </w:rPr>
            </w:pPr>
            <w:r w:rsidRPr="00881795">
              <w:rPr>
                <w:rFonts w:ascii="Calibri" w:hAnsi="Calibri" w:cs="Arial"/>
                <w:color w:val="000000"/>
                <w:sz w:val="20"/>
                <w:szCs w:val="20"/>
              </w:rPr>
              <w:t>Quality education</w:t>
            </w:r>
          </w:p>
        </w:tc>
        <w:tc>
          <w:tcPr>
            <w:tcW w:w="5332" w:type="dxa"/>
          </w:tcPr>
          <w:p w14:paraId="20E23703" w14:textId="3EE283DA" w:rsidR="00FF2447" w:rsidRPr="008C6A5B" w:rsidRDefault="008C6A5B" w:rsidP="00750180">
            <w:pPr>
              <w:pStyle w:val="NormalWeb"/>
              <w:numPr>
                <w:ilvl w:val="0"/>
                <w:numId w:val="113"/>
              </w:numPr>
              <w:spacing w:before="0" w:beforeAutospacing="0" w:after="0" w:afterAutospacing="0"/>
              <w:jc w:val="both"/>
              <w:rPr>
                <w:rFonts w:ascii="Calibri" w:hAnsi="Calibri" w:cs="Arial"/>
                <w:b/>
                <w:sz w:val="20"/>
                <w:szCs w:val="20"/>
              </w:rPr>
            </w:pPr>
            <w:r w:rsidRPr="008C6A5B">
              <w:rPr>
                <w:rFonts w:ascii="Calibri" w:hAnsi="Calibri" w:cs="Arial"/>
                <w:b/>
                <w:sz w:val="20"/>
                <w:szCs w:val="20"/>
              </w:rPr>
              <w:t>Facilitate Early Childhood Development</w:t>
            </w:r>
          </w:p>
        </w:tc>
      </w:tr>
      <w:tr w:rsidR="00FF2447" w:rsidRPr="00881795" w14:paraId="5BBFF1A5" w14:textId="77777777" w:rsidTr="006C2C96">
        <w:tc>
          <w:tcPr>
            <w:tcW w:w="1951" w:type="dxa"/>
          </w:tcPr>
          <w:p w14:paraId="42AE07DA" w14:textId="77777777" w:rsidR="00FF2447" w:rsidRPr="00881795" w:rsidRDefault="00FF2447" w:rsidP="00395313">
            <w:pPr>
              <w:pStyle w:val="NormalWeb"/>
              <w:spacing w:before="0" w:beforeAutospacing="0" w:after="0" w:afterAutospacing="0"/>
              <w:jc w:val="both"/>
              <w:rPr>
                <w:rFonts w:ascii="Calibri" w:hAnsi="Calibri" w:cs="Arial"/>
                <w:color w:val="000000"/>
                <w:sz w:val="20"/>
                <w:szCs w:val="20"/>
              </w:rPr>
            </w:pPr>
            <w:r w:rsidRPr="00881795">
              <w:rPr>
                <w:rFonts w:ascii="Calibri" w:hAnsi="Calibri" w:cs="Arial"/>
                <w:color w:val="000000"/>
                <w:sz w:val="20"/>
                <w:szCs w:val="20"/>
              </w:rPr>
              <w:t>6</w:t>
            </w:r>
          </w:p>
        </w:tc>
        <w:tc>
          <w:tcPr>
            <w:tcW w:w="2572" w:type="dxa"/>
          </w:tcPr>
          <w:p w14:paraId="29701668" w14:textId="77777777" w:rsidR="00FF2447" w:rsidRPr="00881795" w:rsidRDefault="00FF2447" w:rsidP="00395313">
            <w:pPr>
              <w:pStyle w:val="NormalWeb"/>
              <w:spacing w:before="0" w:beforeAutospacing="0" w:after="0" w:afterAutospacing="0"/>
              <w:jc w:val="both"/>
              <w:rPr>
                <w:rFonts w:ascii="Calibri" w:hAnsi="Calibri" w:cs="Arial"/>
                <w:color w:val="000000"/>
                <w:sz w:val="20"/>
                <w:szCs w:val="20"/>
              </w:rPr>
            </w:pPr>
            <w:r w:rsidRPr="00881795">
              <w:rPr>
                <w:rFonts w:ascii="Calibri" w:hAnsi="Calibri" w:cs="Arial"/>
                <w:color w:val="000000"/>
                <w:sz w:val="20"/>
                <w:szCs w:val="20"/>
              </w:rPr>
              <w:t>Quality healthcare</w:t>
            </w:r>
          </w:p>
        </w:tc>
        <w:tc>
          <w:tcPr>
            <w:tcW w:w="5332" w:type="dxa"/>
          </w:tcPr>
          <w:p w14:paraId="4C184FF3" w14:textId="451EC631" w:rsidR="00FF2447" w:rsidRPr="008C6A5B" w:rsidRDefault="008C6A5B" w:rsidP="00750180">
            <w:pPr>
              <w:pStyle w:val="NormalWeb"/>
              <w:numPr>
                <w:ilvl w:val="0"/>
                <w:numId w:val="112"/>
              </w:numPr>
              <w:spacing w:before="0" w:beforeAutospacing="0" w:after="0" w:afterAutospacing="0"/>
              <w:jc w:val="both"/>
              <w:rPr>
                <w:rFonts w:ascii="Calibri" w:hAnsi="Calibri" w:cs="Arial"/>
                <w:b/>
                <w:sz w:val="20"/>
                <w:szCs w:val="20"/>
              </w:rPr>
            </w:pPr>
            <w:r w:rsidRPr="008C6A5B">
              <w:rPr>
                <w:rFonts w:ascii="Calibri" w:hAnsi="Calibri" w:cs="Arial"/>
                <w:b/>
                <w:sz w:val="20"/>
                <w:szCs w:val="20"/>
              </w:rPr>
              <w:t>To Mitigate the impact of HIV/AIDS</w:t>
            </w:r>
          </w:p>
        </w:tc>
      </w:tr>
      <w:tr w:rsidR="00FF2447" w:rsidRPr="00881795" w14:paraId="235CB641" w14:textId="77777777" w:rsidTr="008C6A5B">
        <w:trPr>
          <w:trHeight w:val="1060"/>
        </w:trPr>
        <w:tc>
          <w:tcPr>
            <w:tcW w:w="1951" w:type="dxa"/>
          </w:tcPr>
          <w:p w14:paraId="6DA63502" w14:textId="77777777" w:rsidR="00FF2447" w:rsidRPr="00881795" w:rsidRDefault="00FF2447" w:rsidP="00395313">
            <w:pPr>
              <w:pStyle w:val="NormalWeb"/>
              <w:spacing w:before="0" w:beforeAutospacing="0" w:after="0" w:afterAutospacing="0"/>
              <w:jc w:val="both"/>
              <w:rPr>
                <w:rFonts w:ascii="Calibri" w:hAnsi="Calibri" w:cs="Arial"/>
                <w:color w:val="000000"/>
                <w:sz w:val="20"/>
                <w:szCs w:val="20"/>
              </w:rPr>
            </w:pPr>
            <w:r w:rsidRPr="00881795">
              <w:rPr>
                <w:rFonts w:ascii="Calibri" w:hAnsi="Calibri" w:cs="Arial"/>
                <w:color w:val="000000"/>
                <w:sz w:val="20"/>
                <w:szCs w:val="20"/>
              </w:rPr>
              <w:t>7</w:t>
            </w:r>
          </w:p>
        </w:tc>
        <w:tc>
          <w:tcPr>
            <w:tcW w:w="2572" w:type="dxa"/>
          </w:tcPr>
          <w:p w14:paraId="1C4C876A" w14:textId="77777777" w:rsidR="00FF2447" w:rsidRPr="00881795" w:rsidRDefault="00FF2447" w:rsidP="00395313">
            <w:pPr>
              <w:pStyle w:val="NormalWeb"/>
              <w:spacing w:before="0" w:beforeAutospacing="0" w:after="0" w:afterAutospacing="0"/>
              <w:jc w:val="both"/>
              <w:rPr>
                <w:rFonts w:ascii="Calibri" w:hAnsi="Calibri" w:cs="Arial"/>
                <w:color w:val="000000"/>
                <w:sz w:val="20"/>
                <w:szCs w:val="20"/>
              </w:rPr>
            </w:pPr>
            <w:r w:rsidRPr="00881795">
              <w:rPr>
                <w:rFonts w:ascii="Calibri" w:hAnsi="Calibri" w:cs="Arial"/>
                <w:color w:val="000000"/>
                <w:sz w:val="20"/>
                <w:szCs w:val="20"/>
              </w:rPr>
              <w:t>Build a capable state</w:t>
            </w:r>
          </w:p>
        </w:tc>
        <w:tc>
          <w:tcPr>
            <w:tcW w:w="5332" w:type="dxa"/>
          </w:tcPr>
          <w:p w14:paraId="2D529085" w14:textId="77777777" w:rsidR="008C6A5B" w:rsidRPr="008C6A5B" w:rsidRDefault="008C6A5B" w:rsidP="00750180">
            <w:pPr>
              <w:pStyle w:val="NormalWeb"/>
              <w:numPr>
                <w:ilvl w:val="0"/>
                <w:numId w:val="110"/>
              </w:numPr>
              <w:spacing w:after="0"/>
              <w:jc w:val="both"/>
              <w:rPr>
                <w:rFonts w:ascii="Calibri" w:hAnsi="Calibri" w:cs="Arial"/>
                <w:b/>
                <w:sz w:val="20"/>
                <w:szCs w:val="20"/>
              </w:rPr>
            </w:pPr>
            <w:r w:rsidRPr="008C6A5B">
              <w:rPr>
                <w:rFonts w:ascii="Calibri" w:hAnsi="Calibri" w:cs="Arial"/>
                <w:b/>
                <w:sz w:val="20"/>
                <w:szCs w:val="20"/>
              </w:rPr>
              <w:t>To Develop the Institution and to Facilitate Institutional Transformation</w:t>
            </w:r>
          </w:p>
          <w:p w14:paraId="3EF3A062" w14:textId="537F01D3" w:rsidR="00FF2447" w:rsidRPr="008C6A5B" w:rsidRDefault="008C6A5B" w:rsidP="00750180">
            <w:pPr>
              <w:pStyle w:val="NormalWeb"/>
              <w:numPr>
                <w:ilvl w:val="0"/>
                <w:numId w:val="110"/>
              </w:numPr>
              <w:spacing w:before="0" w:beforeAutospacing="0" w:after="0"/>
              <w:jc w:val="both"/>
              <w:rPr>
                <w:rFonts w:ascii="Calibri" w:hAnsi="Calibri" w:cs="Arial"/>
                <w:sz w:val="20"/>
                <w:szCs w:val="20"/>
              </w:rPr>
            </w:pPr>
            <w:r w:rsidRPr="008C6A5B">
              <w:rPr>
                <w:rFonts w:ascii="Calibri" w:hAnsi="Calibri" w:cs="Arial"/>
                <w:b/>
                <w:sz w:val="20"/>
                <w:szCs w:val="20"/>
              </w:rPr>
              <w:t>To Support and Implement Internship,  and In-service Training Programs</w:t>
            </w:r>
          </w:p>
        </w:tc>
      </w:tr>
      <w:tr w:rsidR="00FF2447" w:rsidRPr="00881795" w14:paraId="3336F70D" w14:textId="77777777" w:rsidTr="006C2C96">
        <w:tc>
          <w:tcPr>
            <w:tcW w:w="1951" w:type="dxa"/>
          </w:tcPr>
          <w:p w14:paraId="36C8AF9C" w14:textId="77777777" w:rsidR="00FF2447" w:rsidRPr="00881795" w:rsidRDefault="00FF2447" w:rsidP="00395313">
            <w:pPr>
              <w:pStyle w:val="NormalWeb"/>
              <w:spacing w:before="0" w:beforeAutospacing="0" w:after="0" w:afterAutospacing="0"/>
              <w:jc w:val="both"/>
              <w:rPr>
                <w:rFonts w:ascii="Calibri" w:hAnsi="Calibri" w:cs="Arial"/>
                <w:color w:val="000000"/>
                <w:sz w:val="20"/>
                <w:szCs w:val="20"/>
              </w:rPr>
            </w:pPr>
            <w:r w:rsidRPr="00881795">
              <w:rPr>
                <w:rFonts w:ascii="Calibri" w:hAnsi="Calibri" w:cs="Arial"/>
                <w:color w:val="000000"/>
                <w:sz w:val="20"/>
                <w:szCs w:val="20"/>
              </w:rPr>
              <w:t>8</w:t>
            </w:r>
          </w:p>
        </w:tc>
        <w:tc>
          <w:tcPr>
            <w:tcW w:w="2572" w:type="dxa"/>
          </w:tcPr>
          <w:p w14:paraId="4C05BEE6" w14:textId="77777777" w:rsidR="00FF2447" w:rsidRPr="00881795" w:rsidRDefault="00FF2447" w:rsidP="00395313">
            <w:pPr>
              <w:pStyle w:val="NormalWeb"/>
              <w:spacing w:before="0" w:beforeAutospacing="0" w:after="0" w:afterAutospacing="0"/>
              <w:jc w:val="both"/>
              <w:rPr>
                <w:rFonts w:ascii="Calibri" w:hAnsi="Calibri" w:cs="Arial"/>
                <w:color w:val="000000"/>
                <w:sz w:val="20"/>
                <w:szCs w:val="20"/>
              </w:rPr>
            </w:pPr>
            <w:r w:rsidRPr="00881795">
              <w:rPr>
                <w:rFonts w:ascii="Calibri" w:hAnsi="Calibri" w:cs="Arial"/>
                <w:color w:val="000000"/>
                <w:sz w:val="20"/>
                <w:szCs w:val="20"/>
              </w:rPr>
              <w:t>Fight corruption</w:t>
            </w:r>
          </w:p>
        </w:tc>
        <w:tc>
          <w:tcPr>
            <w:tcW w:w="5332" w:type="dxa"/>
          </w:tcPr>
          <w:p w14:paraId="6C65C5D7" w14:textId="77777777" w:rsidR="00FF2447" w:rsidRPr="008C6A5B" w:rsidRDefault="008C6A5B" w:rsidP="00750180">
            <w:pPr>
              <w:pStyle w:val="NormalWeb"/>
              <w:numPr>
                <w:ilvl w:val="0"/>
                <w:numId w:val="111"/>
              </w:numPr>
              <w:spacing w:before="0" w:beforeAutospacing="0" w:after="0" w:afterAutospacing="0"/>
              <w:jc w:val="both"/>
              <w:rPr>
                <w:rFonts w:ascii="Calibri" w:hAnsi="Calibri" w:cs="Arial"/>
                <w:b/>
                <w:sz w:val="20"/>
                <w:szCs w:val="20"/>
              </w:rPr>
            </w:pPr>
            <w:r w:rsidRPr="008C6A5B">
              <w:rPr>
                <w:rFonts w:ascii="Calibri" w:hAnsi="Calibri" w:cs="Arial"/>
                <w:b/>
                <w:sz w:val="20"/>
                <w:szCs w:val="20"/>
              </w:rPr>
              <w:t>To Promote a Culture of Public Participatory Democracy and Social Cohesion</w:t>
            </w:r>
          </w:p>
          <w:p w14:paraId="1379657C" w14:textId="7625E554" w:rsidR="008C6A5B" w:rsidRPr="008C6A5B" w:rsidRDefault="008C6A5B" w:rsidP="00750180">
            <w:pPr>
              <w:pStyle w:val="ListParagraph"/>
              <w:numPr>
                <w:ilvl w:val="0"/>
                <w:numId w:val="111"/>
              </w:numPr>
              <w:rPr>
                <w:rFonts w:eastAsia="Times New Roman" w:cs="Arial"/>
                <w:b/>
                <w:szCs w:val="20"/>
              </w:rPr>
            </w:pPr>
            <w:r w:rsidRPr="008C6A5B">
              <w:rPr>
                <w:rFonts w:eastAsia="Times New Roman" w:cs="Arial"/>
                <w:b/>
                <w:szCs w:val="20"/>
              </w:rPr>
              <w:t>To Ensure Continued Sound Financial Management</w:t>
            </w:r>
          </w:p>
        </w:tc>
      </w:tr>
      <w:tr w:rsidR="00FF2447" w:rsidRPr="00881795" w14:paraId="7064BE25" w14:textId="77777777" w:rsidTr="008C6A5B">
        <w:trPr>
          <w:trHeight w:val="267"/>
        </w:trPr>
        <w:tc>
          <w:tcPr>
            <w:tcW w:w="1951" w:type="dxa"/>
          </w:tcPr>
          <w:p w14:paraId="5EB07F9E" w14:textId="77777777" w:rsidR="00FF2447" w:rsidRPr="00881795" w:rsidRDefault="00FF2447" w:rsidP="00395313">
            <w:pPr>
              <w:pStyle w:val="NormalWeb"/>
              <w:spacing w:before="0" w:beforeAutospacing="0" w:after="0" w:afterAutospacing="0"/>
              <w:jc w:val="both"/>
              <w:rPr>
                <w:rFonts w:ascii="Calibri" w:hAnsi="Calibri" w:cs="Arial"/>
                <w:color w:val="000000"/>
                <w:sz w:val="20"/>
                <w:szCs w:val="20"/>
              </w:rPr>
            </w:pPr>
            <w:r w:rsidRPr="00881795">
              <w:rPr>
                <w:rFonts w:ascii="Calibri" w:hAnsi="Calibri" w:cs="Arial"/>
                <w:color w:val="000000"/>
                <w:sz w:val="20"/>
                <w:szCs w:val="20"/>
              </w:rPr>
              <w:t>9</w:t>
            </w:r>
          </w:p>
        </w:tc>
        <w:tc>
          <w:tcPr>
            <w:tcW w:w="2572" w:type="dxa"/>
          </w:tcPr>
          <w:p w14:paraId="341CBEB2" w14:textId="77777777" w:rsidR="00FF2447" w:rsidRPr="00881795" w:rsidRDefault="00FF2447" w:rsidP="00395313">
            <w:pPr>
              <w:pStyle w:val="NormalWeb"/>
              <w:spacing w:before="0" w:beforeAutospacing="0" w:after="0" w:afterAutospacing="0"/>
              <w:jc w:val="both"/>
              <w:rPr>
                <w:rFonts w:ascii="Calibri" w:hAnsi="Calibri" w:cs="Arial"/>
                <w:color w:val="000000"/>
                <w:sz w:val="20"/>
                <w:szCs w:val="20"/>
              </w:rPr>
            </w:pPr>
            <w:r w:rsidRPr="00881795">
              <w:rPr>
                <w:rFonts w:ascii="Calibri" w:hAnsi="Calibri" w:cs="Arial"/>
                <w:color w:val="000000"/>
                <w:sz w:val="20"/>
                <w:szCs w:val="20"/>
              </w:rPr>
              <w:t>Unite the nation</w:t>
            </w:r>
          </w:p>
        </w:tc>
        <w:tc>
          <w:tcPr>
            <w:tcW w:w="5332" w:type="dxa"/>
          </w:tcPr>
          <w:p w14:paraId="379F2BEC" w14:textId="59794C5F" w:rsidR="008D14B5" w:rsidRPr="008C6A5B" w:rsidRDefault="008C6A5B" w:rsidP="00750180">
            <w:pPr>
              <w:pStyle w:val="NormalWeb"/>
              <w:numPr>
                <w:ilvl w:val="0"/>
                <w:numId w:val="114"/>
              </w:numPr>
              <w:spacing w:before="0" w:beforeAutospacing="0" w:after="0" w:afterAutospacing="0"/>
              <w:jc w:val="both"/>
              <w:rPr>
                <w:rFonts w:ascii="Calibri" w:hAnsi="Calibri" w:cs="Arial"/>
                <w:b/>
                <w:sz w:val="20"/>
                <w:szCs w:val="20"/>
              </w:rPr>
            </w:pPr>
            <w:r w:rsidRPr="008C6A5B">
              <w:rPr>
                <w:rFonts w:ascii="Calibri" w:hAnsi="Calibri" w:cs="Arial"/>
                <w:b/>
                <w:sz w:val="20"/>
                <w:szCs w:val="20"/>
              </w:rPr>
              <w:t>To Promote a Culture of Public Participatory Democracy and Social Cohesion</w:t>
            </w:r>
          </w:p>
        </w:tc>
      </w:tr>
    </w:tbl>
    <w:p w14:paraId="106DB4F0" w14:textId="77777777" w:rsidR="00DD6295" w:rsidRDefault="00DD6295" w:rsidP="002F62F0">
      <w:pPr>
        <w:pStyle w:val="Caption"/>
      </w:pPr>
    </w:p>
    <w:p w14:paraId="5BC3225E" w14:textId="77777777" w:rsidR="00DD6295" w:rsidRDefault="00DD6295" w:rsidP="002F62F0">
      <w:pPr>
        <w:pStyle w:val="Caption"/>
      </w:pPr>
    </w:p>
    <w:p w14:paraId="680A5F6A" w14:textId="3BD2CCA4" w:rsidR="00F44ADF" w:rsidRDefault="00556FCC" w:rsidP="00556FCC">
      <w:pPr>
        <w:pStyle w:val="Caption"/>
      </w:pPr>
      <w:bookmarkStart w:id="43" w:name="_Toc510622365"/>
      <w:r>
        <w:t xml:space="preserve">Figure </w:t>
      </w:r>
      <w:r w:rsidR="00B918A6">
        <w:fldChar w:fldCharType="begin"/>
      </w:r>
      <w:r w:rsidR="00B918A6">
        <w:instrText xml:space="preserve"> SEQ Figure \* ARABIC </w:instrText>
      </w:r>
      <w:r w:rsidR="00B918A6">
        <w:fldChar w:fldCharType="separate"/>
      </w:r>
      <w:r w:rsidR="0067023A">
        <w:rPr>
          <w:noProof/>
        </w:rPr>
        <w:t>3</w:t>
      </w:r>
      <w:r w:rsidR="00B918A6">
        <w:rPr>
          <w:noProof/>
        </w:rPr>
        <w:fldChar w:fldCharType="end"/>
      </w:r>
      <w:r>
        <w:t xml:space="preserve">: </w:t>
      </w:r>
      <w:r w:rsidR="00F44ADF">
        <w:t>National Development Plan Priorities</w:t>
      </w:r>
      <w:bookmarkEnd w:id="43"/>
    </w:p>
    <w:p w14:paraId="70FB5B98" w14:textId="77777777" w:rsidR="00F44ADF" w:rsidRDefault="00F44ADF" w:rsidP="00C77315">
      <w:pPr>
        <w:spacing w:after="0"/>
        <w:jc w:val="both"/>
        <w:rPr>
          <w:rFonts w:cs="Arial"/>
          <w:szCs w:val="20"/>
        </w:rPr>
      </w:pPr>
    </w:p>
    <w:p w14:paraId="75F5BA3F" w14:textId="77777777" w:rsidR="00F44ADF" w:rsidRDefault="00F44ADF" w:rsidP="00C77315">
      <w:pPr>
        <w:spacing w:after="0"/>
        <w:jc w:val="both"/>
        <w:rPr>
          <w:rFonts w:cs="Arial"/>
          <w:szCs w:val="20"/>
        </w:rPr>
      </w:pPr>
      <w:r>
        <w:rPr>
          <w:noProof/>
        </w:rPr>
        <w:drawing>
          <wp:inline distT="0" distB="0" distL="0" distR="0" wp14:anchorId="19C5444F" wp14:editId="3FDA5B19">
            <wp:extent cx="6161405" cy="2714625"/>
            <wp:effectExtent l="0" t="0" r="0" b="9525"/>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63619" cy="2715600"/>
                    </a:xfrm>
                    <a:prstGeom prst="rect">
                      <a:avLst/>
                    </a:prstGeom>
                    <a:noFill/>
                    <a:ln>
                      <a:noFill/>
                    </a:ln>
                    <a:extLst/>
                  </pic:spPr>
                </pic:pic>
              </a:graphicData>
            </a:graphic>
          </wp:inline>
        </w:drawing>
      </w:r>
    </w:p>
    <w:p w14:paraId="6EF6EF9B" w14:textId="77777777" w:rsidR="00FF2447" w:rsidRPr="00481D9D" w:rsidRDefault="00FF2447" w:rsidP="00750180">
      <w:pPr>
        <w:pStyle w:val="Heading3"/>
        <w:numPr>
          <w:ilvl w:val="2"/>
          <w:numId w:val="39"/>
        </w:numPr>
        <w:spacing w:after="240"/>
        <w:rPr>
          <w:b w:val="0"/>
          <w:szCs w:val="20"/>
        </w:rPr>
      </w:pPr>
      <w:bookmarkStart w:id="44" w:name="_Toc350093360"/>
      <w:bookmarkStart w:id="45" w:name="_Toc389739682"/>
      <w:bookmarkStart w:id="46" w:name="_Toc510706575"/>
      <w:r w:rsidRPr="00D200EA">
        <w:lastRenderedPageBreak/>
        <w:t>National Outcomes</w:t>
      </w:r>
      <w:bookmarkEnd w:id="44"/>
      <w:bookmarkEnd w:id="45"/>
      <w:bookmarkEnd w:id="46"/>
    </w:p>
    <w:p w14:paraId="1252FCBB" w14:textId="77777777" w:rsidR="00FF2447" w:rsidRPr="00881795" w:rsidRDefault="00FF2447" w:rsidP="00395313">
      <w:pPr>
        <w:pStyle w:val="Default"/>
        <w:jc w:val="both"/>
        <w:rPr>
          <w:color w:val="auto"/>
          <w:sz w:val="20"/>
          <w:szCs w:val="20"/>
        </w:rPr>
      </w:pPr>
      <w:r w:rsidRPr="00881795">
        <w:rPr>
          <w:color w:val="auto"/>
          <w:sz w:val="20"/>
          <w:szCs w:val="20"/>
        </w:rPr>
        <w:t xml:space="preserve">The 12 National Outcomes that all provincial governments must align to are: </w:t>
      </w:r>
    </w:p>
    <w:p w14:paraId="14B6494F" w14:textId="77777777" w:rsidR="00FF2447" w:rsidRPr="00881795" w:rsidRDefault="00FF2447" w:rsidP="00395313">
      <w:pPr>
        <w:pStyle w:val="Default"/>
        <w:jc w:val="both"/>
        <w:rPr>
          <w:color w:val="auto"/>
          <w:sz w:val="20"/>
          <w:szCs w:val="20"/>
        </w:rPr>
      </w:pPr>
    </w:p>
    <w:p w14:paraId="30271818" w14:textId="77777777" w:rsidR="00FF2447" w:rsidRPr="00881795" w:rsidRDefault="00481D9D" w:rsidP="002F62F0">
      <w:pPr>
        <w:pStyle w:val="Caption"/>
      </w:pPr>
      <w:bookmarkStart w:id="47" w:name="_Toc510622257"/>
      <w:bookmarkStart w:id="48" w:name="_Toc389739683"/>
      <w:r>
        <w:t xml:space="preserve">Table </w:t>
      </w:r>
      <w:r w:rsidR="00B918A6">
        <w:fldChar w:fldCharType="begin"/>
      </w:r>
      <w:r w:rsidR="00B918A6">
        <w:instrText xml:space="preserve"> SEQ Table \* ARABIC </w:instrText>
      </w:r>
      <w:r w:rsidR="00B918A6">
        <w:fldChar w:fldCharType="separate"/>
      </w:r>
      <w:r w:rsidR="0067023A">
        <w:rPr>
          <w:noProof/>
        </w:rPr>
        <w:t>7</w:t>
      </w:r>
      <w:r w:rsidR="00B918A6">
        <w:rPr>
          <w:noProof/>
        </w:rPr>
        <w:fldChar w:fldCharType="end"/>
      </w:r>
      <w:r>
        <w:t xml:space="preserve">: </w:t>
      </w:r>
      <w:r w:rsidR="00FF2447" w:rsidRPr="00881795">
        <w:t>12 National Outcomes</w:t>
      </w:r>
      <w:bookmarkEnd w:id="47"/>
      <w:r w:rsidR="00FF2447" w:rsidRPr="00881795">
        <w:t xml:space="preserve"> </w:t>
      </w:r>
      <w:bookmarkEnd w:id="48"/>
    </w:p>
    <w:tbl>
      <w:tblPr>
        <w:tblStyle w:val="TableGrid"/>
        <w:tblW w:w="0" w:type="auto"/>
        <w:tblLook w:val="04A0" w:firstRow="1" w:lastRow="0" w:firstColumn="1" w:lastColumn="0" w:noHBand="0" w:noVBand="1"/>
      </w:tblPr>
      <w:tblGrid>
        <w:gridCol w:w="1700"/>
        <w:gridCol w:w="2717"/>
        <w:gridCol w:w="5212"/>
      </w:tblGrid>
      <w:tr w:rsidR="00FF2447" w:rsidRPr="00881795" w14:paraId="7036EA6B" w14:textId="77777777" w:rsidTr="00B17A4D">
        <w:trPr>
          <w:trHeight w:val="441"/>
          <w:tblHeader/>
        </w:trPr>
        <w:tc>
          <w:tcPr>
            <w:tcW w:w="1750" w:type="dxa"/>
            <w:shd w:val="clear" w:color="auto" w:fill="DAEEF3" w:themeFill="accent5" w:themeFillTint="33"/>
            <w:vAlign w:val="center"/>
          </w:tcPr>
          <w:p w14:paraId="66D413A1" w14:textId="77777777" w:rsidR="00FF2447" w:rsidRPr="00881795" w:rsidRDefault="00FF2447" w:rsidP="006C2C96">
            <w:pPr>
              <w:jc w:val="center"/>
              <w:rPr>
                <w:rFonts w:cs="Arial"/>
                <w:b/>
                <w:szCs w:val="20"/>
              </w:rPr>
            </w:pPr>
            <w:r w:rsidRPr="00881795">
              <w:rPr>
                <w:rFonts w:cs="Arial"/>
                <w:b/>
                <w:szCs w:val="20"/>
              </w:rPr>
              <w:t>No.</w:t>
            </w:r>
          </w:p>
        </w:tc>
        <w:tc>
          <w:tcPr>
            <w:tcW w:w="2771" w:type="dxa"/>
            <w:shd w:val="clear" w:color="auto" w:fill="DAEEF3" w:themeFill="accent5" w:themeFillTint="33"/>
            <w:vAlign w:val="center"/>
          </w:tcPr>
          <w:p w14:paraId="7101E931" w14:textId="77777777" w:rsidR="00FF2447" w:rsidRPr="00881795" w:rsidRDefault="00FF2447" w:rsidP="006C2C96">
            <w:pPr>
              <w:jc w:val="center"/>
              <w:rPr>
                <w:rFonts w:cs="Arial"/>
                <w:b/>
                <w:szCs w:val="20"/>
              </w:rPr>
            </w:pPr>
            <w:r w:rsidRPr="00881795">
              <w:rPr>
                <w:rFonts w:cs="Arial"/>
                <w:b/>
                <w:szCs w:val="20"/>
              </w:rPr>
              <w:t>National Outcome</w:t>
            </w:r>
          </w:p>
        </w:tc>
        <w:tc>
          <w:tcPr>
            <w:tcW w:w="5333" w:type="dxa"/>
            <w:shd w:val="clear" w:color="auto" w:fill="DAEEF3" w:themeFill="accent5" w:themeFillTint="33"/>
            <w:vAlign w:val="center"/>
          </w:tcPr>
          <w:p w14:paraId="715BF79B" w14:textId="52A29084" w:rsidR="00FF2447" w:rsidRPr="00881795" w:rsidRDefault="00572E95" w:rsidP="006C2C96">
            <w:pPr>
              <w:pStyle w:val="ListParagraph"/>
              <w:ind w:left="34"/>
              <w:jc w:val="center"/>
              <w:rPr>
                <w:rFonts w:cs="Arial"/>
                <w:b/>
                <w:szCs w:val="20"/>
              </w:rPr>
            </w:pPr>
            <w:r>
              <w:rPr>
                <w:rFonts w:cs="Arial"/>
                <w:b/>
                <w:szCs w:val="20"/>
              </w:rPr>
              <w:t>Municipal Strategic Objectives</w:t>
            </w:r>
          </w:p>
        </w:tc>
      </w:tr>
      <w:tr w:rsidR="00FF2447" w:rsidRPr="00881795" w14:paraId="3070AB48" w14:textId="77777777" w:rsidTr="00FF2447">
        <w:tc>
          <w:tcPr>
            <w:tcW w:w="1750" w:type="dxa"/>
          </w:tcPr>
          <w:p w14:paraId="05CC077B" w14:textId="77777777" w:rsidR="00FF2447" w:rsidRPr="00881795" w:rsidRDefault="00FF2447" w:rsidP="00395313">
            <w:pPr>
              <w:jc w:val="both"/>
              <w:rPr>
                <w:rFonts w:cs="Arial"/>
                <w:szCs w:val="20"/>
              </w:rPr>
            </w:pPr>
            <w:r w:rsidRPr="00881795">
              <w:rPr>
                <w:rFonts w:cs="Arial"/>
                <w:szCs w:val="20"/>
              </w:rPr>
              <w:t>1</w:t>
            </w:r>
          </w:p>
        </w:tc>
        <w:tc>
          <w:tcPr>
            <w:tcW w:w="2771" w:type="dxa"/>
          </w:tcPr>
          <w:p w14:paraId="7F47AFDA" w14:textId="77777777" w:rsidR="00FF2447" w:rsidRPr="00881795" w:rsidRDefault="00FF2447" w:rsidP="00395313">
            <w:pPr>
              <w:jc w:val="both"/>
              <w:rPr>
                <w:rFonts w:cs="Arial"/>
                <w:szCs w:val="20"/>
              </w:rPr>
            </w:pPr>
            <w:r w:rsidRPr="00881795">
              <w:rPr>
                <w:rFonts w:cs="Arial"/>
                <w:szCs w:val="20"/>
              </w:rPr>
              <w:t>Quality basic education</w:t>
            </w:r>
          </w:p>
        </w:tc>
        <w:tc>
          <w:tcPr>
            <w:tcW w:w="5333" w:type="dxa"/>
          </w:tcPr>
          <w:p w14:paraId="7C324AE8" w14:textId="77777777" w:rsidR="00FF2447" w:rsidRPr="00FC4162" w:rsidRDefault="00FC4162" w:rsidP="00750180">
            <w:pPr>
              <w:pStyle w:val="ListParagraph"/>
              <w:numPr>
                <w:ilvl w:val="0"/>
                <w:numId w:val="47"/>
              </w:numPr>
              <w:jc w:val="both"/>
              <w:rPr>
                <w:rFonts w:cs="Arial"/>
                <w:szCs w:val="20"/>
              </w:rPr>
            </w:pPr>
            <w:r w:rsidRPr="008C6A5B">
              <w:rPr>
                <w:rFonts w:cs="Arial"/>
                <w:b/>
                <w:szCs w:val="20"/>
              </w:rPr>
              <w:t>Facilitate early childhood development</w:t>
            </w:r>
          </w:p>
        </w:tc>
      </w:tr>
      <w:tr w:rsidR="00FF2447" w:rsidRPr="00881795" w14:paraId="5850057E" w14:textId="77777777" w:rsidTr="00FF2447">
        <w:tc>
          <w:tcPr>
            <w:tcW w:w="1750" w:type="dxa"/>
          </w:tcPr>
          <w:p w14:paraId="6D67AC84" w14:textId="77777777" w:rsidR="00FF2447" w:rsidRPr="00881795" w:rsidRDefault="00FF2447" w:rsidP="00395313">
            <w:pPr>
              <w:jc w:val="both"/>
              <w:rPr>
                <w:rFonts w:cs="Arial"/>
                <w:szCs w:val="20"/>
              </w:rPr>
            </w:pPr>
            <w:r w:rsidRPr="00881795">
              <w:rPr>
                <w:rFonts w:cs="Arial"/>
                <w:szCs w:val="20"/>
              </w:rPr>
              <w:t>2</w:t>
            </w:r>
          </w:p>
        </w:tc>
        <w:tc>
          <w:tcPr>
            <w:tcW w:w="2771" w:type="dxa"/>
          </w:tcPr>
          <w:p w14:paraId="3D52291B" w14:textId="77777777" w:rsidR="00FF2447" w:rsidRPr="00881795" w:rsidRDefault="00FF2447" w:rsidP="00395313">
            <w:pPr>
              <w:jc w:val="both"/>
              <w:rPr>
                <w:rFonts w:cs="Arial"/>
                <w:szCs w:val="20"/>
              </w:rPr>
            </w:pPr>
            <w:r w:rsidRPr="00881795">
              <w:rPr>
                <w:rFonts w:cs="Arial"/>
                <w:szCs w:val="20"/>
              </w:rPr>
              <w:t>A long and healthy life for all South Africans</w:t>
            </w:r>
          </w:p>
        </w:tc>
        <w:tc>
          <w:tcPr>
            <w:tcW w:w="5333" w:type="dxa"/>
          </w:tcPr>
          <w:p w14:paraId="13FFD30B" w14:textId="326BAB28" w:rsidR="00FF2447" w:rsidRPr="008C6A5B" w:rsidRDefault="008C6A5B" w:rsidP="00750180">
            <w:pPr>
              <w:pStyle w:val="ListParagraph"/>
              <w:numPr>
                <w:ilvl w:val="0"/>
                <w:numId w:val="47"/>
              </w:numPr>
              <w:jc w:val="both"/>
              <w:rPr>
                <w:rFonts w:cs="Arial"/>
                <w:szCs w:val="20"/>
              </w:rPr>
            </w:pPr>
            <w:r w:rsidRPr="008C6A5B">
              <w:rPr>
                <w:rFonts w:cs="Arial"/>
                <w:b/>
                <w:szCs w:val="20"/>
              </w:rPr>
              <w:t>To Mitigate the impact of HIV/AIDS</w:t>
            </w:r>
          </w:p>
        </w:tc>
      </w:tr>
      <w:tr w:rsidR="00FF2447" w:rsidRPr="00881795" w14:paraId="5DC6C3E7" w14:textId="77777777" w:rsidTr="00FF2447">
        <w:tc>
          <w:tcPr>
            <w:tcW w:w="1750" w:type="dxa"/>
          </w:tcPr>
          <w:p w14:paraId="10EF8AF8" w14:textId="77777777" w:rsidR="00FF2447" w:rsidRPr="00881795" w:rsidRDefault="00FF2447" w:rsidP="00395313">
            <w:pPr>
              <w:jc w:val="both"/>
              <w:rPr>
                <w:rFonts w:cs="Arial"/>
                <w:szCs w:val="20"/>
              </w:rPr>
            </w:pPr>
            <w:r w:rsidRPr="00881795">
              <w:rPr>
                <w:rFonts w:cs="Arial"/>
                <w:szCs w:val="20"/>
              </w:rPr>
              <w:t>3</w:t>
            </w:r>
          </w:p>
        </w:tc>
        <w:tc>
          <w:tcPr>
            <w:tcW w:w="2771" w:type="dxa"/>
          </w:tcPr>
          <w:p w14:paraId="50B2F78D" w14:textId="77777777" w:rsidR="00FF2447" w:rsidRPr="00881795" w:rsidRDefault="00FF2447" w:rsidP="00395313">
            <w:pPr>
              <w:jc w:val="both"/>
              <w:rPr>
                <w:rFonts w:cs="Arial"/>
                <w:szCs w:val="20"/>
              </w:rPr>
            </w:pPr>
            <w:r w:rsidRPr="00881795">
              <w:rPr>
                <w:rFonts w:cs="Arial"/>
                <w:szCs w:val="20"/>
              </w:rPr>
              <w:t>All people in South Africa are and feel safe</w:t>
            </w:r>
          </w:p>
        </w:tc>
        <w:tc>
          <w:tcPr>
            <w:tcW w:w="5333" w:type="dxa"/>
          </w:tcPr>
          <w:p w14:paraId="498DBE35" w14:textId="52ABB1EC" w:rsidR="00B47F0F" w:rsidRPr="008C6A5B" w:rsidRDefault="008C6A5B" w:rsidP="00750180">
            <w:pPr>
              <w:pStyle w:val="ListParagraph"/>
              <w:numPr>
                <w:ilvl w:val="0"/>
                <w:numId w:val="47"/>
              </w:numPr>
              <w:jc w:val="both"/>
              <w:rPr>
                <w:rFonts w:cs="Arial"/>
                <w:szCs w:val="20"/>
              </w:rPr>
            </w:pPr>
            <w:r w:rsidRPr="008C6A5B">
              <w:rPr>
                <w:rFonts w:cs="Arial"/>
                <w:b/>
                <w:szCs w:val="20"/>
              </w:rPr>
              <w:t>To Promote a Culture of Public Participatory Democracy and Social Cohesion</w:t>
            </w:r>
          </w:p>
        </w:tc>
      </w:tr>
      <w:tr w:rsidR="00FF2447" w:rsidRPr="00881795" w14:paraId="1B3F0133" w14:textId="77777777" w:rsidTr="00FF2447">
        <w:tc>
          <w:tcPr>
            <w:tcW w:w="1750" w:type="dxa"/>
          </w:tcPr>
          <w:p w14:paraId="2D566E27" w14:textId="77777777" w:rsidR="00FF2447" w:rsidRPr="00881795" w:rsidRDefault="00FF2447" w:rsidP="00395313">
            <w:pPr>
              <w:jc w:val="both"/>
              <w:rPr>
                <w:rFonts w:cs="Arial"/>
                <w:szCs w:val="20"/>
              </w:rPr>
            </w:pPr>
            <w:r w:rsidRPr="00881795">
              <w:rPr>
                <w:rFonts w:cs="Arial"/>
                <w:szCs w:val="20"/>
              </w:rPr>
              <w:t>4</w:t>
            </w:r>
          </w:p>
        </w:tc>
        <w:tc>
          <w:tcPr>
            <w:tcW w:w="2771" w:type="dxa"/>
          </w:tcPr>
          <w:p w14:paraId="67CCA3F5" w14:textId="77777777" w:rsidR="00FF2447" w:rsidRPr="00881795" w:rsidRDefault="00FF2447" w:rsidP="00395313">
            <w:pPr>
              <w:jc w:val="both"/>
              <w:rPr>
                <w:rFonts w:cs="Arial"/>
                <w:szCs w:val="20"/>
              </w:rPr>
            </w:pPr>
            <w:r w:rsidRPr="00881795">
              <w:rPr>
                <w:rFonts w:cs="Arial"/>
                <w:szCs w:val="20"/>
              </w:rPr>
              <w:t>Decent employment through inclusive economic growth</w:t>
            </w:r>
          </w:p>
        </w:tc>
        <w:tc>
          <w:tcPr>
            <w:tcW w:w="5333" w:type="dxa"/>
          </w:tcPr>
          <w:p w14:paraId="16864140" w14:textId="2AA871E7" w:rsidR="00572E95" w:rsidRPr="00572E95" w:rsidRDefault="00572E95" w:rsidP="00750180">
            <w:pPr>
              <w:pStyle w:val="ListParagraph"/>
              <w:numPr>
                <w:ilvl w:val="0"/>
                <w:numId w:val="47"/>
              </w:numPr>
              <w:jc w:val="both"/>
              <w:rPr>
                <w:rFonts w:cs="Arial"/>
                <w:b/>
                <w:szCs w:val="20"/>
              </w:rPr>
            </w:pPr>
            <w:r w:rsidRPr="00572E95">
              <w:rPr>
                <w:rFonts w:cs="Arial"/>
                <w:b/>
                <w:szCs w:val="20"/>
              </w:rPr>
              <w:t xml:space="preserve">To Facilitate and Support Accelerated Economic Development </w:t>
            </w:r>
          </w:p>
          <w:p w14:paraId="6854E0BF" w14:textId="1B0BB195" w:rsidR="00972486" w:rsidRPr="00572E95" w:rsidRDefault="00572E95" w:rsidP="00750180">
            <w:pPr>
              <w:pStyle w:val="ListParagraph"/>
              <w:numPr>
                <w:ilvl w:val="0"/>
                <w:numId w:val="47"/>
              </w:numPr>
              <w:jc w:val="both"/>
              <w:rPr>
                <w:rFonts w:cs="Arial"/>
                <w:szCs w:val="20"/>
              </w:rPr>
            </w:pPr>
            <w:r w:rsidRPr="00572E95">
              <w:rPr>
                <w:rFonts w:cs="Arial"/>
                <w:b/>
                <w:szCs w:val="20"/>
              </w:rPr>
              <w:t>To effectively contribute towards the reduction of unemployment</w:t>
            </w:r>
            <w:r w:rsidRPr="00572E95">
              <w:rPr>
                <w:rFonts w:cs="Arial"/>
                <w:szCs w:val="20"/>
              </w:rPr>
              <w:t>.</w:t>
            </w:r>
          </w:p>
        </w:tc>
      </w:tr>
      <w:tr w:rsidR="00FF2447" w:rsidRPr="00881795" w14:paraId="191144E2" w14:textId="77777777" w:rsidTr="00FF2447">
        <w:tc>
          <w:tcPr>
            <w:tcW w:w="1750" w:type="dxa"/>
          </w:tcPr>
          <w:p w14:paraId="5B1DB4C7" w14:textId="77777777" w:rsidR="00FF2447" w:rsidRPr="00881795" w:rsidRDefault="00FF2447" w:rsidP="00395313">
            <w:pPr>
              <w:jc w:val="both"/>
              <w:rPr>
                <w:rFonts w:cs="Arial"/>
                <w:szCs w:val="20"/>
              </w:rPr>
            </w:pPr>
            <w:r w:rsidRPr="00881795">
              <w:rPr>
                <w:rFonts w:cs="Arial"/>
                <w:szCs w:val="20"/>
              </w:rPr>
              <w:t>5</w:t>
            </w:r>
          </w:p>
        </w:tc>
        <w:tc>
          <w:tcPr>
            <w:tcW w:w="2771" w:type="dxa"/>
          </w:tcPr>
          <w:p w14:paraId="1DAD196D" w14:textId="77777777" w:rsidR="00FF2447" w:rsidRPr="00881795" w:rsidRDefault="00FF2447" w:rsidP="00395313">
            <w:pPr>
              <w:jc w:val="both"/>
              <w:rPr>
                <w:rFonts w:cs="Arial"/>
                <w:szCs w:val="20"/>
              </w:rPr>
            </w:pPr>
            <w:r w:rsidRPr="00881795">
              <w:rPr>
                <w:rFonts w:cs="Arial"/>
                <w:szCs w:val="20"/>
              </w:rPr>
              <w:t>Skilled and capable workforce to support an inclusive growth path</w:t>
            </w:r>
          </w:p>
        </w:tc>
        <w:tc>
          <w:tcPr>
            <w:tcW w:w="5333" w:type="dxa"/>
          </w:tcPr>
          <w:p w14:paraId="7DFFD5E4" w14:textId="31E340FC" w:rsidR="00572E95" w:rsidRPr="00572E95" w:rsidRDefault="00572E95" w:rsidP="00750180">
            <w:pPr>
              <w:pStyle w:val="ListParagraph"/>
              <w:numPr>
                <w:ilvl w:val="0"/>
                <w:numId w:val="115"/>
              </w:numPr>
              <w:jc w:val="both"/>
              <w:rPr>
                <w:rFonts w:cs="Arial"/>
                <w:b/>
                <w:szCs w:val="20"/>
              </w:rPr>
            </w:pPr>
            <w:r w:rsidRPr="00572E95">
              <w:rPr>
                <w:rFonts w:cs="Arial"/>
                <w:b/>
                <w:szCs w:val="20"/>
              </w:rPr>
              <w:t>To Develop the Institution and to Facilitate Institutional Transformation</w:t>
            </w:r>
          </w:p>
          <w:p w14:paraId="77447A35" w14:textId="7640DE5B" w:rsidR="0056489D" w:rsidRPr="00572E95" w:rsidRDefault="00572E95" w:rsidP="00750180">
            <w:pPr>
              <w:pStyle w:val="ListParagraph"/>
              <w:numPr>
                <w:ilvl w:val="0"/>
                <w:numId w:val="115"/>
              </w:numPr>
              <w:jc w:val="both"/>
              <w:rPr>
                <w:rFonts w:cs="Arial"/>
                <w:szCs w:val="20"/>
              </w:rPr>
            </w:pPr>
            <w:r w:rsidRPr="00572E95">
              <w:rPr>
                <w:rFonts w:cs="Arial"/>
                <w:b/>
                <w:szCs w:val="20"/>
              </w:rPr>
              <w:t>To Support and Implement Internship,  and In-service Training Programs</w:t>
            </w:r>
          </w:p>
        </w:tc>
      </w:tr>
      <w:tr w:rsidR="00FF2447" w:rsidRPr="00881795" w14:paraId="1389979E" w14:textId="77777777" w:rsidTr="00FF2447">
        <w:tc>
          <w:tcPr>
            <w:tcW w:w="1750" w:type="dxa"/>
          </w:tcPr>
          <w:p w14:paraId="468C4EDE" w14:textId="77777777" w:rsidR="00FF2447" w:rsidRPr="00881795" w:rsidRDefault="00FF2447" w:rsidP="00395313">
            <w:pPr>
              <w:jc w:val="both"/>
              <w:rPr>
                <w:rFonts w:cs="Arial"/>
                <w:szCs w:val="20"/>
              </w:rPr>
            </w:pPr>
            <w:r w:rsidRPr="00881795">
              <w:rPr>
                <w:rFonts w:cs="Arial"/>
                <w:szCs w:val="20"/>
              </w:rPr>
              <w:t>6</w:t>
            </w:r>
          </w:p>
        </w:tc>
        <w:tc>
          <w:tcPr>
            <w:tcW w:w="2771" w:type="dxa"/>
          </w:tcPr>
          <w:p w14:paraId="0FBA8068" w14:textId="77777777" w:rsidR="00FF2447" w:rsidRPr="00881795" w:rsidRDefault="00FF2447" w:rsidP="00395313">
            <w:pPr>
              <w:jc w:val="both"/>
              <w:rPr>
                <w:rFonts w:cs="Arial"/>
                <w:szCs w:val="20"/>
              </w:rPr>
            </w:pPr>
            <w:r w:rsidRPr="00881795">
              <w:rPr>
                <w:rFonts w:cs="Arial"/>
                <w:szCs w:val="20"/>
              </w:rPr>
              <w:t>An efficient, competitive and responsive infrastructure network</w:t>
            </w:r>
          </w:p>
        </w:tc>
        <w:tc>
          <w:tcPr>
            <w:tcW w:w="5333" w:type="dxa"/>
          </w:tcPr>
          <w:p w14:paraId="65B95F4A" w14:textId="12589623" w:rsidR="00972486" w:rsidRPr="00572E95" w:rsidRDefault="00572E95" w:rsidP="00750180">
            <w:pPr>
              <w:pStyle w:val="NormalWeb"/>
              <w:numPr>
                <w:ilvl w:val="0"/>
                <w:numId w:val="116"/>
              </w:numPr>
              <w:spacing w:before="0" w:beforeAutospacing="0" w:after="0" w:afterAutospacing="0"/>
              <w:jc w:val="both"/>
              <w:rPr>
                <w:rFonts w:ascii="Calibri" w:hAnsi="Calibri" w:cs="Arial"/>
                <w:b/>
                <w:sz w:val="20"/>
                <w:szCs w:val="20"/>
              </w:rPr>
            </w:pPr>
            <w:r w:rsidRPr="00572E95">
              <w:rPr>
                <w:rFonts w:ascii="Calibri" w:hAnsi="Calibri" w:cs="Arial"/>
                <w:b/>
                <w:sz w:val="20"/>
                <w:szCs w:val="20"/>
              </w:rPr>
              <w:t>To Provide and Maintain Infrastructure and Services to All, With Special Emphasis on Rural Communities in a Sustainable Manner</w:t>
            </w:r>
          </w:p>
        </w:tc>
      </w:tr>
      <w:tr w:rsidR="00FF2447" w:rsidRPr="00881795" w14:paraId="4C7427F4" w14:textId="77777777" w:rsidTr="00FF2447">
        <w:tc>
          <w:tcPr>
            <w:tcW w:w="1750" w:type="dxa"/>
          </w:tcPr>
          <w:p w14:paraId="208A33EF" w14:textId="77777777" w:rsidR="00FF2447" w:rsidRPr="00881795" w:rsidRDefault="00FF2447" w:rsidP="00395313">
            <w:pPr>
              <w:jc w:val="both"/>
              <w:rPr>
                <w:rFonts w:cs="Arial"/>
                <w:szCs w:val="20"/>
              </w:rPr>
            </w:pPr>
            <w:r w:rsidRPr="00881795">
              <w:rPr>
                <w:rFonts w:cs="Arial"/>
                <w:szCs w:val="20"/>
              </w:rPr>
              <w:t>7</w:t>
            </w:r>
          </w:p>
        </w:tc>
        <w:tc>
          <w:tcPr>
            <w:tcW w:w="2771" w:type="dxa"/>
          </w:tcPr>
          <w:p w14:paraId="70F71FC1" w14:textId="77777777" w:rsidR="00FF2447" w:rsidRPr="00881795" w:rsidRDefault="00FF2447" w:rsidP="00395313">
            <w:pPr>
              <w:jc w:val="both"/>
              <w:rPr>
                <w:rFonts w:cs="Arial"/>
                <w:szCs w:val="20"/>
              </w:rPr>
            </w:pPr>
            <w:r w:rsidRPr="00881795">
              <w:rPr>
                <w:rFonts w:cs="Arial"/>
                <w:szCs w:val="20"/>
              </w:rPr>
              <w:t>Vibrant, equitable, sustainable rural communities contributing towards food security for all</w:t>
            </w:r>
          </w:p>
        </w:tc>
        <w:tc>
          <w:tcPr>
            <w:tcW w:w="5333" w:type="dxa"/>
          </w:tcPr>
          <w:p w14:paraId="1FAF4E32" w14:textId="7079EA8F" w:rsidR="00572E95" w:rsidRPr="00572E95" w:rsidRDefault="00572E95" w:rsidP="00750180">
            <w:pPr>
              <w:pStyle w:val="ListParagraph"/>
              <w:numPr>
                <w:ilvl w:val="0"/>
                <w:numId w:val="116"/>
              </w:numPr>
              <w:jc w:val="both"/>
              <w:rPr>
                <w:rFonts w:cs="Arial"/>
                <w:b/>
                <w:szCs w:val="20"/>
              </w:rPr>
            </w:pPr>
            <w:r w:rsidRPr="00572E95">
              <w:rPr>
                <w:rFonts w:cs="Arial"/>
                <w:b/>
                <w:szCs w:val="20"/>
              </w:rPr>
              <w:t xml:space="preserve">To Facilitate and Support Accelerated Economic Development </w:t>
            </w:r>
          </w:p>
          <w:p w14:paraId="01876FBB" w14:textId="77777777" w:rsidR="00DA01B0" w:rsidRPr="00572E95" w:rsidRDefault="00572E95" w:rsidP="00750180">
            <w:pPr>
              <w:pStyle w:val="ListParagraph"/>
              <w:numPr>
                <w:ilvl w:val="0"/>
                <w:numId w:val="116"/>
              </w:numPr>
              <w:jc w:val="both"/>
              <w:rPr>
                <w:rFonts w:cs="Arial"/>
                <w:szCs w:val="20"/>
              </w:rPr>
            </w:pPr>
            <w:r w:rsidRPr="00572E95">
              <w:rPr>
                <w:rFonts w:cs="Arial"/>
                <w:b/>
                <w:szCs w:val="20"/>
              </w:rPr>
              <w:t>To effectively contribute toward</w:t>
            </w:r>
            <w:r>
              <w:rPr>
                <w:rFonts w:cs="Arial"/>
                <w:b/>
                <w:szCs w:val="20"/>
              </w:rPr>
              <w:t>s the reduction of unemployment.</w:t>
            </w:r>
          </w:p>
          <w:p w14:paraId="521360C4" w14:textId="67484DE7" w:rsidR="00572E95" w:rsidRPr="00572E95" w:rsidRDefault="00572E95" w:rsidP="00750180">
            <w:pPr>
              <w:pStyle w:val="ListParagraph"/>
              <w:numPr>
                <w:ilvl w:val="0"/>
                <w:numId w:val="116"/>
              </w:numPr>
              <w:rPr>
                <w:rFonts w:cs="Arial"/>
                <w:b/>
                <w:szCs w:val="20"/>
              </w:rPr>
            </w:pPr>
            <w:r w:rsidRPr="00572E95">
              <w:rPr>
                <w:rFonts w:cs="Arial"/>
                <w:b/>
                <w:szCs w:val="20"/>
              </w:rPr>
              <w:t xml:space="preserve">To ensure coordinated Land Use Management, Taking cognizance of Sound Environmental Practices  </w:t>
            </w:r>
          </w:p>
        </w:tc>
      </w:tr>
      <w:tr w:rsidR="00FF2447" w:rsidRPr="00881795" w14:paraId="72396E2F" w14:textId="77777777" w:rsidTr="00FF2447">
        <w:tc>
          <w:tcPr>
            <w:tcW w:w="1750" w:type="dxa"/>
          </w:tcPr>
          <w:p w14:paraId="1F2D92EF" w14:textId="43D61387" w:rsidR="00FF2447" w:rsidRPr="00881795" w:rsidRDefault="00FF2447" w:rsidP="00395313">
            <w:pPr>
              <w:jc w:val="both"/>
              <w:rPr>
                <w:rFonts w:cs="Arial"/>
                <w:szCs w:val="20"/>
              </w:rPr>
            </w:pPr>
            <w:r w:rsidRPr="00881795">
              <w:rPr>
                <w:rFonts w:cs="Arial"/>
                <w:szCs w:val="20"/>
              </w:rPr>
              <w:t>8</w:t>
            </w:r>
          </w:p>
        </w:tc>
        <w:tc>
          <w:tcPr>
            <w:tcW w:w="2771" w:type="dxa"/>
          </w:tcPr>
          <w:p w14:paraId="326AA5C1" w14:textId="77777777" w:rsidR="00FF2447" w:rsidRPr="00881795" w:rsidRDefault="00FF2447" w:rsidP="00395313">
            <w:pPr>
              <w:jc w:val="both"/>
              <w:rPr>
                <w:rFonts w:cs="Arial"/>
                <w:szCs w:val="20"/>
              </w:rPr>
            </w:pPr>
            <w:r w:rsidRPr="00881795">
              <w:rPr>
                <w:rFonts w:cs="Arial"/>
                <w:szCs w:val="20"/>
              </w:rPr>
              <w:t>Sustainable human settlements and improved quality of household life</w:t>
            </w:r>
          </w:p>
        </w:tc>
        <w:tc>
          <w:tcPr>
            <w:tcW w:w="5333" w:type="dxa"/>
          </w:tcPr>
          <w:p w14:paraId="08862499" w14:textId="77777777" w:rsidR="00DA01B0" w:rsidRDefault="00572E95" w:rsidP="00750180">
            <w:pPr>
              <w:pStyle w:val="ListParagraph"/>
              <w:numPr>
                <w:ilvl w:val="0"/>
                <w:numId w:val="117"/>
              </w:numPr>
              <w:rPr>
                <w:rFonts w:cs="Arial"/>
                <w:b/>
                <w:szCs w:val="20"/>
              </w:rPr>
            </w:pPr>
            <w:r w:rsidRPr="00572E95">
              <w:rPr>
                <w:rFonts w:cs="Arial"/>
                <w:b/>
                <w:szCs w:val="20"/>
              </w:rPr>
              <w:t xml:space="preserve">To ensure coordinated Land Use Management, Taking cognizance of Sound Environmental Practices  </w:t>
            </w:r>
          </w:p>
          <w:p w14:paraId="14E00C02" w14:textId="68253824" w:rsidR="00572E95" w:rsidRPr="00572E95" w:rsidRDefault="00572E95" w:rsidP="00750180">
            <w:pPr>
              <w:pStyle w:val="ListParagraph"/>
              <w:numPr>
                <w:ilvl w:val="0"/>
                <w:numId w:val="117"/>
              </w:numPr>
              <w:rPr>
                <w:rFonts w:cs="Arial"/>
                <w:b/>
                <w:szCs w:val="20"/>
              </w:rPr>
            </w:pPr>
            <w:r w:rsidRPr="008C6A5B">
              <w:rPr>
                <w:rFonts w:cs="Arial"/>
                <w:b/>
                <w:szCs w:val="20"/>
              </w:rPr>
              <w:t>To Develop a Credible and Implementable IDP</w:t>
            </w:r>
          </w:p>
        </w:tc>
      </w:tr>
      <w:tr w:rsidR="00FF2447" w:rsidRPr="00881795" w14:paraId="68C79E12" w14:textId="77777777" w:rsidTr="00FF2447">
        <w:tc>
          <w:tcPr>
            <w:tcW w:w="1750" w:type="dxa"/>
          </w:tcPr>
          <w:p w14:paraId="2044E987" w14:textId="77777777" w:rsidR="00FF2447" w:rsidRPr="00881795" w:rsidRDefault="00FF2447" w:rsidP="00395313">
            <w:pPr>
              <w:jc w:val="both"/>
              <w:rPr>
                <w:rFonts w:cs="Arial"/>
                <w:szCs w:val="20"/>
              </w:rPr>
            </w:pPr>
            <w:r w:rsidRPr="00881795">
              <w:rPr>
                <w:rFonts w:cs="Arial"/>
                <w:szCs w:val="20"/>
              </w:rPr>
              <w:t>9</w:t>
            </w:r>
          </w:p>
        </w:tc>
        <w:tc>
          <w:tcPr>
            <w:tcW w:w="2771" w:type="dxa"/>
          </w:tcPr>
          <w:p w14:paraId="0EBF9B9D" w14:textId="77777777" w:rsidR="00FF2447" w:rsidRPr="00881795" w:rsidRDefault="00FF2447" w:rsidP="00395313">
            <w:pPr>
              <w:jc w:val="both"/>
              <w:rPr>
                <w:rFonts w:cs="Arial"/>
                <w:szCs w:val="20"/>
              </w:rPr>
            </w:pPr>
            <w:r w:rsidRPr="00881795">
              <w:rPr>
                <w:rFonts w:cs="Arial"/>
                <w:szCs w:val="20"/>
              </w:rPr>
              <w:t>Responsive, accountable, effective and efficient local government system</w:t>
            </w:r>
          </w:p>
        </w:tc>
        <w:tc>
          <w:tcPr>
            <w:tcW w:w="5333" w:type="dxa"/>
          </w:tcPr>
          <w:p w14:paraId="21C7BDCE" w14:textId="77777777" w:rsidR="00572E95" w:rsidRPr="008C6A5B" w:rsidRDefault="00572E95" w:rsidP="00750180">
            <w:pPr>
              <w:pStyle w:val="NormalWeb"/>
              <w:numPr>
                <w:ilvl w:val="0"/>
                <w:numId w:val="107"/>
              </w:numPr>
              <w:spacing w:before="0" w:beforeAutospacing="0" w:after="0" w:afterAutospacing="0"/>
              <w:jc w:val="both"/>
              <w:rPr>
                <w:rFonts w:ascii="Calibri" w:hAnsi="Calibri" w:cs="Arial"/>
                <w:b/>
                <w:sz w:val="20"/>
                <w:szCs w:val="20"/>
              </w:rPr>
            </w:pPr>
            <w:r w:rsidRPr="008C6A5B">
              <w:rPr>
                <w:rFonts w:ascii="Calibri" w:hAnsi="Calibri" w:cs="Arial"/>
                <w:b/>
                <w:sz w:val="20"/>
                <w:szCs w:val="20"/>
              </w:rPr>
              <w:t>To Ensure Continued Sound Financial Management</w:t>
            </w:r>
          </w:p>
          <w:p w14:paraId="4DF5C65C" w14:textId="06C94774" w:rsidR="00964303" w:rsidRPr="00572E95" w:rsidRDefault="00572E95" w:rsidP="00750180">
            <w:pPr>
              <w:pStyle w:val="ListParagraph"/>
              <w:numPr>
                <w:ilvl w:val="0"/>
                <w:numId w:val="107"/>
              </w:numPr>
              <w:jc w:val="both"/>
              <w:rPr>
                <w:rFonts w:cs="Arial"/>
                <w:szCs w:val="20"/>
              </w:rPr>
            </w:pPr>
            <w:r w:rsidRPr="00572E95">
              <w:rPr>
                <w:rFonts w:cs="Arial"/>
                <w:b/>
                <w:szCs w:val="20"/>
              </w:rPr>
              <w:t>To Promote a Culture of Public Participatory Democracy and Social Cohesion</w:t>
            </w:r>
          </w:p>
        </w:tc>
      </w:tr>
      <w:tr w:rsidR="00FF2447" w:rsidRPr="00881795" w14:paraId="7603B77E" w14:textId="77777777" w:rsidTr="00FF2447">
        <w:tc>
          <w:tcPr>
            <w:tcW w:w="1750" w:type="dxa"/>
          </w:tcPr>
          <w:p w14:paraId="4D0812E6" w14:textId="77777777" w:rsidR="00FF2447" w:rsidRPr="00881795" w:rsidRDefault="00FF2447" w:rsidP="00395313">
            <w:pPr>
              <w:jc w:val="both"/>
              <w:rPr>
                <w:rFonts w:cs="Arial"/>
                <w:szCs w:val="20"/>
              </w:rPr>
            </w:pPr>
            <w:r w:rsidRPr="00881795">
              <w:rPr>
                <w:rFonts w:cs="Arial"/>
                <w:szCs w:val="20"/>
              </w:rPr>
              <w:t>10</w:t>
            </w:r>
          </w:p>
        </w:tc>
        <w:tc>
          <w:tcPr>
            <w:tcW w:w="2771" w:type="dxa"/>
          </w:tcPr>
          <w:p w14:paraId="49C9CCC8" w14:textId="77777777" w:rsidR="00FF2447" w:rsidRPr="00881795" w:rsidRDefault="00FF2447" w:rsidP="00395313">
            <w:pPr>
              <w:jc w:val="both"/>
              <w:rPr>
                <w:rFonts w:cs="Arial"/>
                <w:szCs w:val="20"/>
              </w:rPr>
            </w:pPr>
            <w:r w:rsidRPr="00881795">
              <w:rPr>
                <w:rFonts w:cs="Arial"/>
                <w:szCs w:val="20"/>
              </w:rPr>
              <w:t>Protect and enhance our environmental assets and natural resources</w:t>
            </w:r>
          </w:p>
        </w:tc>
        <w:tc>
          <w:tcPr>
            <w:tcW w:w="5333" w:type="dxa"/>
          </w:tcPr>
          <w:p w14:paraId="5DC1FC95" w14:textId="529FF839" w:rsidR="00B47F0F" w:rsidRPr="00572E95" w:rsidRDefault="00572E95" w:rsidP="00750180">
            <w:pPr>
              <w:pStyle w:val="ListParagraph"/>
              <w:numPr>
                <w:ilvl w:val="0"/>
                <w:numId w:val="118"/>
              </w:numPr>
              <w:rPr>
                <w:rFonts w:cs="Arial"/>
                <w:szCs w:val="20"/>
              </w:rPr>
            </w:pPr>
            <w:r w:rsidRPr="00572E95">
              <w:rPr>
                <w:rFonts w:cs="Arial"/>
                <w:b/>
                <w:szCs w:val="20"/>
              </w:rPr>
              <w:t xml:space="preserve">To ensure coordinated Land Use Management, Taking cognizance of Sound Environmental Practices  </w:t>
            </w:r>
          </w:p>
        </w:tc>
      </w:tr>
      <w:tr w:rsidR="00FF2447" w:rsidRPr="00881795" w14:paraId="07BC90E2" w14:textId="77777777" w:rsidTr="00FF2447">
        <w:tc>
          <w:tcPr>
            <w:tcW w:w="1750" w:type="dxa"/>
          </w:tcPr>
          <w:p w14:paraId="07A3550A" w14:textId="77777777" w:rsidR="00FF2447" w:rsidRPr="00881795" w:rsidRDefault="00FF2447" w:rsidP="00395313">
            <w:pPr>
              <w:jc w:val="both"/>
              <w:rPr>
                <w:rFonts w:cs="Arial"/>
                <w:szCs w:val="20"/>
              </w:rPr>
            </w:pPr>
            <w:r w:rsidRPr="00881795">
              <w:rPr>
                <w:rFonts w:cs="Arial"/>
                <w:szCs w:val="20"/>
              </w:rPr>
              <w:t>11</w:t>
            </w:r>
          </w:p>
        </w:tc>
        <w:tc>
          <w:tcPr>
            <w:tcW w:w="2771" w:type="dxa"/>
          </w:tcPr>
          <w:p w14:paraId="20020247" w14:textId="77777777" w:rsidR="00FF2447" w:rsidRPr="00881795" w:rsidRDefault="00FF2447" w:rsidP="00395313">
            <w:pPr>
              <w:jc w:val="both"/>
              <w:rPr>
                <w:rFonts w:cs="Arial"/>
                <w:szCs w:val="20"/>
              </w:rPr>
            </w:pPr>
            <w:r w:rsidRPr="00881795">
              <w:rPr>
                <w:rFonts w:cs="Arial"/>
                <w:szCs w:val="20"/>
              </w:rPr>
              <w:t>Create a better South Africa, a better Africa, and a better world</w:t>
            </w:r>
          </w:p>
        </w:tc>
        <w:tc>
          <w:tcPr>
            <w:tcW w:w="5333" w:type="dxa"/>
          </w:tcPr>
          <w:p w14:paraId="081E26A1" w14:textId="77777777" w:rsidR="00FF2447" w:rsidRPr="00572E95" w:rsidRDefault="006B6590" w:rsidP="00750180">
            <w:pPr>
              <w:pStyle w:val="ListParagraph"/>
              <w:numPr>
                <w:ilvl w:val="0"/>
                <w:numId w:val="118"/>
              </w:numPr>
              <w:jc w:val="both"/>
              <w:rPr>
                <w:rFonts w:cs="Arial"/>
                <w:b/>
                <w:szCs w:val="20"/>
              </w:rPr>
            </w:pPr>
            <w:r w:rsidRPr="00572E95">
              <w:rPr>
                <w:rFonts w:cs="Arial"/>
                <w:b/>
                <w:szCs w:val="20"/>
              </w:rPr>
              <w:t>All</w:t>
            </w:r>
          </w:p>
        </w:tc>
      </w:tr>
      <w:tr w:rsidR="00FF2447" w:rsidRPr="00881795" w14:paraId="519F1A38" w14:textId="77777777" w:rsidTr="00FF2447">
        <w:tc>
          <w:tcPr>
            <w:tcW w:w="1750" w:type="dxa"/>
          </w:tcPr>
          <w:p w14:paraId="680EEFE3" w14:textId="77777777" w:rsidR="00FF2447" w:rsidRPr="00881795" w:rsidRDefault="00FF2447" w:rsidP="00395313">
            <w:pPr>
              <w:jc w:val="both"/>
              <w:rPr>
                <w:rFonts w:cs="Arial"/>
                <w:szCs w:val="20"/>
              </w:rPr>
            </w:pPr>
            <w:r w:rsidRPr="00881795">
              <w:rPr>
                <w:rFonts w:cs="Arial"/>
                <w:szCs w:val="20"/>
              </w:rPr>
              <w:t>12</w:t>
            </w:r>
          </w:p>
        </w:tc>
        <w:tc>
          <w:tcPr>
            <w:tcW w:w="2771" w:type="dxa"/>
          </w:tcPr>
          <w:p w14:paraId="2015C3BD" w14:textId="77777777" w:rsidR="00FF2447" w:rsidRPr="00881795" w:rsidRDefault="00FF2447" w:rsidP="00395313">
            <w:pPr>
              <w:jc w:val="both"/>
              <w:rPr>
                <w:rFonts w:cs="Arial"/>
                <w:szCs w:val="20"/>
              </w:rPr>
            </w:pPr>
            <w:r w:rsidRPr="00881795">
              <w:rPr>
                <w:rFonts w:cs="Arial"/>
                <w:szCs w:val="20"/>
              </w:rPr>
              <w:t>An efficient, effective and development oriented public service and an empowered, fair and inclusive citizenship</w:t>
            </w:r>
          </w:p>
        </w:tc>
        <w:tc>
          <w:tcPr>
            <w:tcW w:w="5333" w:type="dxa"/>
          </w:tcPr>
          <w:p w14:paraId="7E02EF31" w14:textId="77777777" w:rsidR="00FF2447" w:rsidRPr="00572E95" w:rsidRDefault="006B6590" w:rsidP="00750180">
            <w:pPr>
              <w:pStyle w:val="ListParagraph"/>
              <w:numPr>
                <w:ilvl w:val="0"/>
                <w:numId w:val="118"/>
              </w:numPr>
              <w:jc w:val="both"/>
              <w:rPr>
                <w:rFonts w:cs="Arial"/>
                <w:b/>
                <w:szCs w:val="20"/>
              </w:rPr>
            </w:pPr>
            <w:r w:rsidRPr="00572E95">
              <w:rPr>
                <w:rFonts w:cs="Arial"/>
                <w:b/>
                <w:szCs w:val="20"/>
              </w:rPr>
              <w:t>All</w:t>
            </w:r>
          </w:p>
        </w:tc>
      </w:tr>
      <w:tr w:rsidR="00173B5E" w:rsidRPr="00881795" w14:paraId="212454D1" w14:textId="77777777" w:rsidTr="00FF2447">
        <w:tc>
          <w:tcPr>
            <w:tcW w:w="1750" w:type="dxa"/>
          </w:tcPr>
          <w:p w14:paraId="5FBDB414" w14:textId="77777777" w:rsidR="00173B5E" w:rsidRPr="00881795" w:rsidRDefault="00173B5E" w:rsidP="00395313">
            <w:pPr>
              <w:jc w:val="both"/>
              <w:rPr>
                <w:rFonts w:cs="Arial"/>
                <w:szCs w:val="20"/>
              </w:rPr>
            </w:pPr>
            <w:r>
              <w:rPr>
                <w:rFonts w:cs="Arial"/>
                <w:szCs w:val="20"/>
              </w:rPr>
              <w:t>13</w:t>
            </w:r>
          </w:p>
        </w:tc>
        <w:tc>
          <w:tcPr>
            <w:tcW w:w="2771" w:type="dxa"/>
          </w:tcPr>
          <w:p w14:paraId="0BB24606" w14:textId="77777777" w:rsidR="00173B5E" w:rsidRPr="00881795" w:rsidRDefault="00173B5E" w:rsidP="00395313">
            <w:pPr>
              <w:jc w:val="both"/>
              <w:rPr>
                <w:rFonts w:cs="Arial"/>
                <w:szCs w:val="20"/>
              </w:rPr>
            </w:pPr>
            <w:r w:rsidRPr="00173B5E">
              <w:rPr>
                <w:rFonts w:cs="Arial"/>
                <w:szCs w:val="20"/>
              </w:rPr>
              <w:t>An inclusive and responsive social protection system</w:t>
            </w:r>
          </w:p>
        </w:tc>
        <w:tc>
          <w:tcPr>
            <w:tcW w:w="5333" w:type="dxa"/>
          </w:tcPr>
          <w:p w14:paraId="6555A525" w14:textId="77777777" w:rsidR="00367720" w:rsidRPr="00572E95" w:rsidRDefault="00572E95" w:rsidP="00750180">
            <w:pPr>
              <w:pStyle w:val="ListParagraph"/>
              <w:numPr>
                <w:ilvl w:val="0"/>
                <w:numId w:val="118"/>
              </w:numPr>
              <w:jc w:val="both"/>
              <w:rPr>
                <w:rFonts w:cs="Arial"/>
                <w:b/>
                <w:szCs w:val="20"/>
              </w:rPr>
            </w:pPr>
            <w:r w:rsidRPr="00572E95">
              <w:rPr>
                <w:rFonts w:cs="Arial"/>
                <w:b/>
                <w:szCs w:val="20"/>
              </w:rPr>
              <w:t>To Promote a Culture of Public Participatory Democracy and Social Cohesion</w:t>
            </w:r>
          </w:p>
          <w:p w14:paraId="31122BBA" w14:textId="6E036926" w:rsidR="00572E95" w:rsidRPr="00572E95" w:rsidRDefault="00572E95" w:rsidP="00750180">
            <w:pPr>
              <w:pStyle w:val="ListParagraph"/>
              <w:numPr>
                <w:ilvl w:val="0"/>
                <w:numId w:val="118"/>
              </w:numPr>
              <w:jc w:val="both"/>
              <w:rPr>
                <w:rFonts w:cs="Arial"/>
                <w:szCs w:val="20"/>
              </w:rPr>
            </w:pPr>
            <w:r w:rsidRPr="00572E95">
              <w:rPr>
                <w:rFonts w:cs="Arial"/>
                <w:b/>
                <w:szCs w:val="20"/>
              </w:rPr>
              <w:t>To Mitigate the impact of HIV/AIDS</w:t>
            </w:r>
          </w:p>
        </w:tc>
      </w:tr>
      <w:tr w:rsidR="00173B5E" w:rsidRPr="00881795" w14:paraId="3BC368B6" w14:textId="77777777" w:rsidTr="00572E95">
        <w:trPr>
          <w:trHeight w:val="1388"/>
        </w:trPr>
        <w:tc>
          <w:tcPr>
            <w:tcW w:w="1750" w:type="dxa"/>
          </w:tcPr>
          <w:p w14:paraId="09D68C07" w14:textId="77777777" w:rsidR="00173B5E" w:rsidRDefault="00173B5E" w:rsidP="00395313">
            <w:pPr>
              <w:jc w:val="both"/>
              <w:rPr>
                <w:rFonts w:cs="Arial"/>
                <w:szCs w:val="20"/>
              </w:rPr>
            </w:pPr>
            <w:r>
              <w:rPr>
                <w:rFonts w:cs="Arial"/>
                <w:szCs w:val="20"/>
              </w:rPr>
              <w:t>14</w:t>
            </w:r>
          </w:p>
        </w:tc>
        <w:tc>
          <w:tcPr>
            <w:tcW w:w="2771" w:type="dxa"/>
          </w:tcPr>
          <w:p w14:paraId="06C6A191" w14:textId="77777777" w:rsidR="00173B5E" w:rsidRPr="00173B5E" w:rsidRDefault="00173B5E" w:rsidP="00395313">
            <w:pPr>
              <w:jc w:val="both"/>
              <w:rPr>
                <w:rFonts w:cs="Arial"/>
                <w:szCs w:val="20"/>
              </w:rPr>
            </w:pPr>
            <w:r w:rsidRPr="00173B5E">
              <w:rPr>
                <w:rFonts w:cs="Arial"/>
                <w:szCs w:val="20"/>
              </w:rPr>
              <w:t>Nation Building and Social Cohesion</w:t>
            </w:r>
          </w:p>
        </w:tc>
        <w:tc>
          <w:tcPr>
            <w:tcW w:w="5333" w:type="dxa"/>
          </w:tcPr>
          <w:p w14:paraId="76DDF315" w14:textId="07F17B77" w:rsidR="00623BAF" w:rsidRPr="00572E95" w:rsidRDefault="00572E95" w:rsidP="00750180">
            <w:pPr>
              <w:pStyle w:val="ListParagraph"/>
              <w:numPr>
                <w:ilvl w:val="0"/>
                <w:numId w:val="119"/>
              </w:numPr>
              <w:jc w:val="both"/>
              <w:rPr>
                <w:rFonts w:cs="Arial"/>
                <w:b/>
                <w:szCs w:val="20"/>
              </w:rPr>
            </w:pPr>
            <w:r w:rsidRPr="00572E95">
              <w:rPr>
                <w:rFonts w:cs="Arial"/>
                <w:b/>
                <w:szCs w:val="20"/>
              </w:rPr>
              <w:t>To Promote a Culture of Public Participatory Democracy and Social Cohesion</w:t>
            </w:r>
          </w:p>
        </w:tc>
      </w:tr>
    </w:tbl>
    <w:p w14:paraId="5294E02A" w14:textId="77777777" w:rsidR="00FF2447" w:rsidRDefault="00FF2447" w:rsidP="00750180">
      <w:pPr>
        <w:pStyle w:val="Heading3"/>
        <w:numPr>
          <w:ilvl w:val="2"/>
          <w:numId w:val="39"/>
        </w:numPr>
        <w:spacing w:after="240"/>
      </w:pPr>
      <w:bookmarkStart w:id="49" w:name="_Toc350093362"/>
      <w:bookmarkStart w:id="50" w:name="_Toc389739686"/>
      <w:bookmarkStart w:id="51" w:name="_Toc510706576"/>
      <w:r w:rsidRPr="00D200EA">
        <w:lastRenderedPageBreak/>
        <w:t>State of the Nation Address</w:t>
      </w:r>
      <w:bookmarkEnd w:id="49"/>
      <w:bookmarkEnd w:id="50"/>
      <w:bookmarkEnd w:id="51"/>
    </w:p>
    <w:p w14:paraId="34688120" w14:textId="77777777" w:rsidR="00821D95" w:rsidRPr="00061B23" w:rsidRDefault="00821D95" w:rsidP="00821D95">
      <w:pPr>
        <w:spacing w:after="0" w:line="240" w:lineRule="auto"/>
        <w:jc w:val="both"/>
      </w:pPr>
      <w:r w:rsidRPr="00061B23">
        <w:t xml:space="preserve">The President of the Republic of South Africa, His Excellency President </w:t>
      </w:r>
      <w:r w:rsidR="00653182" w:rsidRPr="00061B23">
        <w:t>Cyril Ramaphosa</w:t>
      </w:r>
      <w:r w:rsidRPr="00061B23">
        <w:t xml:space="preserve"> delivered the very much anticipated Stat</w:t>
      </w:r>
      <w:r w:rsidR="00653182" w:rsidRPr="00061B23">
        <w:t>e of the Nation Address on the 16</w:t>
      </w:r>
      <w:r w:rsidRPr="00061B23">
        <w:t xml:space="preserve">th of February 2017. The Presidents opening speech highlighted Governments commitment toward economic transformation and emancipation, thereby introducing the SONA </w:t>
      </w:r>
      <w:r w:rsidR="00653182" w:rsidRPr="00061B23">
        <w:t>with a commemoration to the Former President Nelson Mandeni, the President quoted</w:t>
      </w:r>
      <w:r w:rsidRPr="00061B23">
        <w:t>;</w:t>
      </w:r>
    </w:p>
    <w:p w14:paraId="282E889C" w14:textId="77777777" w:rsidR="00BA6959" w:rsidRPr="00061B23" w:rsidRDefault="00BA6959" w:rsidP="00821D95">
      <w:pPr>
        <w:spacing w:after="0" w:line="240" w:lineRule="auto"/>
        <w:jc w:val="both"/>
      </w:pPr>
    </w:p>
    <w:p w14:paraId="1C3B964D" w14:textId="77777777" w:rsidR="00821D95" w:rsidRPr="00061B23" w:rsidRDefault="00821D95" w:rsidP="00821D95">
      <w:pPr>
        <w:spacing w:after="0" w:line="240" w:lineRule="auto"/>
        <w:jc w:val="both"/>
        <w:rPr>
          <w:b/>
        </w:rPr>
      </w:pPr>
      <w:r w:rsidRPr="00061B23">
        <w:rPr>
          <w:b/>
        </w:rPr>
        <w:t>“</w:t>
      </w:r>
      <w:r w:rsidR="00653182" w:rsidRPr="00061B23">
        <w:rPr>
          <w:b/>
        </w:rPr>
        <w:t>In celebrating the centenary of Nelson Mandela we are not merely honouring the past, we are building the future</w:t>
      </w:r>
      <w:r w:rsidRPr="00061B23">
        <w:rPr>
          <w:b/>
        </w:rPr>
        <w:t>.”</w:t>
      </w:r>
    </w:p>
    <w:p w14:paraId="3501C258" w14:textId="77777777" w:rsidR="00BA6959" w:rsidRPr="00061B23" w:rsidRDefault="00BA6959" w:rsidP="00821D95">
      <w:pPr>
        <w:spacing w:after="0" w:line="240" w:lineRule="auto"/>
        <w:jc w:val="both"/>
      </w:pPr>
    </w:p>
    <w:p w14:paraId="1F89708E" w14:textId="77777777" w:rsidR="00821D95" w:rsidRPr="00061B23" w:rsidRDefault="00821D95" w:rsidP="00821D95">
      <w:pPr>
        <w:spacing w:after="0" w:line="240" w:lineRule="auto"/>
        <w:jc w:val="both"/>
      </w:pPr>
      <w:r w:rsidRPr="00061B23">
        <w:t>The President</w:t>
      </w:r>
      <w:r w:rsidR="00653182" w:rsidRPr="00061B23">
        <w:t xml:space="preserve"> announced that</w:t>
      </w:r>
      <w:r w:rsidRPr="00061B23">
        <w:t xml:space="preserve"> </w:t>
      </w:r>
      <w:r w:rsidR="00653182" w:rsidRPr="00061B23">
        <w:t>this year, government will be initiating measures to set the country on a new path of growth, employment and transformation. As part of this he highlighted the following key focus areas;</w:t>
      </w:r>
    </w:p>
    <w:p w14:paraId="76AFAF1B" w14:textId="77777777" w:rsidR="00BA6959" w:rsidRPr="00061B23" w:rsidRDefault="00BA6959" w:rsidP="00821D95">
      <w:pPr>
        <w:spacing w:after="0" w:line="240" w:lineRule="auto"/>
        <w:jc w:val="both"/>
      </w:pPr>
    </w:p>
    <w:p w14:paraId="4CDD8F80" w14:textId="77777777" w:rsidR="00A752E2" w:rsidRPr="00061B23" w:rsidRDefault="00A752E2" w:rsidP="00A752E2">
      <w:pPr>
        <w:spacing w:line="240" w:lineRule="auto"/>
        <w:rPr>
          <w:b/>
        </w:rPr>
      </w:pPr>
      <w:r w:rsidRPr="00061B23">
        <w:rPr>
          <w:b/>
        </w:rPr>
        <w:t xml:space="preserve">Economic Growth </w:t>
      </w:r>
    </w:p>
    <w:p w14:paraId="6AD70288" w14:textId="77777777" w:rsidR="00653182" w:rsidRPr="00061B23" w:rsidRDefault="00653182" w:rsidP="00750180">
      <w:pPr>
        <w:pStyle w:val="ListParagraph"/>
        <w:numPr>
          <w:ilvl w:val="0"/>
          <w:numId w:val="47"/>
        </w:numPr>
        <w:spacing w:after="0" w:line="240" w:lineRule="auto"/>
      </w:pPr>
      <w:r w:rsidRPr="00061B23">
        <w:t>(Youth) Job Creation</w:t>
      </w:r>
    </w:p>
    <w:p w14:paraId="5588FDDC" w14:textId="77777777" w:rsidR="00653182" w:rsidRPr="00061B23" w:rsidRDefault="00653182" w:rsidP="00750180">
      <w:pPr>
        <w:pStyle w:val="ListParagraph"/>
        <w:numPr>
          <w:ilvl w:val="0"/>
          <w:numId w:val="47"/>
        </w:numPr>
        <w:spacing w:after="0" w:line="240" w:lineRule="auto"/>
      </w:pPr>
      <w:r w:rsidRPr="00061B23">
        <w:t>Jobs Summit to align the efforts of every sector and every stakeholder behind the imperative of job creation.</w:t>
      </w:r>
    </w:p>
    <w:p w14:paraId="037FD4D7" w14:textId="77777777" w:rsidR="00653182" w:rsidRPr="00061B23" w:rsidRDefault="00653182" w:rsidP="00750180">
      <w:pPr>
        <w:pStyle w:val="ListParagraph"/>
        <w:numPr>
          <w:ilvl w:val="0"/>
          <w:numId w:val="47"/>
        </w:numPr>
        <w:spacing w:after="0" w:line="240" w:lineRule="auto"/>
      </w:pPr>
      <w:r w:rsidRPr="00061B23">
        <w:t>Investment Conference targeting both domestic and international investors.</w:t>
      </w:r>
    </w:p>
    <w:p w14:paraId="5A14EF81" w14:textId="77777777" w:rsidR="00653182" w:rsidRPr="00061B23" w:rsidRDefault="00653182" w:rsidP="00750180">
      <w:pPr>
        <w:pStyle w:val="ListParagraph"/>
        <w:numPr>
          <w:ilvl w:val="0"/>
          <w:numId w:val="47"/>
        </w:numPr>
        <w:spacing w:after="0" w:line="240" w:lineRule="auto"/>
      </w:pPr>
      <w:r w:rsidRPr="00061B23">
        <w:t>Re-Industrialization to promote greater investment in key manufacturing sectors through the strategic use of incentives and other measures.</w:t>
      </w:r>
    </w:p>
    <w:p w14:paraId="703518ED" w14:textId="77777777" w:rsidR="00653182" w:rsidRPr="00061B23" w:rsidRDefault="00A752E2" w:rsidP="00750180">
      <w:pPr>
        <w:pStyle w:val="ListParagraph"/>
        <w:numPr>
          <w:ilvl w:val="0"/>
          <w:numId w:val="47"/>
        </w:numPr>
        <w:spacing w:after="0" w:line="240" w:lineRule="auto"/>
      </w:pPr>
      <w:r w:rsidRPr="00061B23">
        <w:t xml:space="preserve">Development of a </w:t>
      </w:r>
      <w:r w:rsidR="00653182" w:rsidRPr="00061B23">
        <w:t>L</w:t>
      </w:r>
      <w:r w:rsidRPr="00061B23">
        <w:t>ocalization P</w:t>
      </w:r>
      <w:r w:rsidR="00653182" w:rsidRPr="00061B23">
        <w:t>rogramme, through which products like textile, clothing, furniture, rail rolling stock and water meters are designated for local procurement.</w:t>
      </w:r>
    </w:p>
    <w:p w14:paraId="400A3FF9" w14:textId="77777777" w:rsidR="00653182" w:rsidRPr="00061B23" w:rsidRDefault="00A752E2" w:rsidP="00750180">
      <w:pPr>
        <w:pStyle w:val="ListParagraph"/>
        <w:numPr>
          <w:ilvl w:val="0"/>
          <w:numId w:val="47"/>
        </w:numPr>
        <w:spacing w:after="0" w:line="240" w:lineRule="auto"/>
      </w:pPr>
      <w:r w:rsidRPr="00061B23">
        <w:t>Implementation of the  preferential procurement and the black industrialists programme to target (mostly) woman producers</w:t>
      </w:r>
    </w:p>
    <w:p w14:paraId="6445014E" w14:textId="77777777" w:rsidR="00A752E2" w:rsidRPr="00061B23" w:rsidRDefault="00A752E2" w:rsidP="00750180">
      <w:pPr>
        <w:pStyle w:val="ListParagraph"/>
        <w:numPr>
          <w:ilvl w:val="0"/>
          <w:numId w:val="47"/>
        </w:numPr>
        <w:spacing w:after="0" w:line="240" w:lineRule="auto"/>
      </w:pPr>
      <w:r w:rsidRPr="00061B23">
        <w:t>Radical Economic Transformation to fundamentally improve the position of black women and communities in the economy</w:t>
      </w:r>
    </w:p>
    <w:p w14:paraId="465002F9" w14:textId="77777777" w:rsidR="00A752E2" w:rsidRPr="00061B23" w:rsidRDefault="00A752E2" w:rsidP="00A752E2">
      <w:pPr>
        <w:spacing w:after="0" w:line="240" w:lineRule="auto"/>
      </w:pPr>
    </w:p>
    <w:p w14:paraId="068EEB0B" w14:textId="77777777" w:rsidR="00A752E2" w:rsidRPr="00061B23" w:rsidRDefault="00A752E2" w:rsidP="00A752E2">
      <w:pPr>
        <w:spacing w:line="240" w:lineRule="auto"/>
        <w:rPr>
          <w:b/>
        </w:rPr>
      </w:pPr>
      <w:r w:rsidRPr="00061B23">
        <w:rPr>
          <w:b/>
        </w:rPr>
        <w:t>Youth Development</w:t>
      </w:r>
    </w:p>
    <w:p w14:paraId="33DBBDA5" w14:textId="77777777" w:rsidR="00A752E2" w:rsidRPr="00061B23" w:rsidRDefault="00A752E2" w:rsidP="00750180">
      <w:pPr>
        <w:pStyle w:val="ListParagraph"/>
        <w:numPr>
          <w:ilvl w:val="0"/>
          <w:numId w:val="47"/>
        </w:numPr>
        <w:spacing w:after="0" w:line="240" w:lineRule="auto"/>
      </w:pPr>
      <w:r w:rsidRPr="00061B23">
        <w:t>Government will draw young people in far greater numbers into productive economic activity through programmes such as the Employment Tax Incentive.</w:t>
      </w:r>
    </w:p>
    <w:p w14:paraId="100722B5" w14:textId="77777777" w:rsidR="00A752E2" w:rsidRPr="00061B23" w:rsidRDefault="00A752E2" w:rsidP="00750180">
      <w:pPr>
        <w:pStyle w:val="ListParagraph"/>
        <w:numPr>
          <w:ilvl w:val="0"/>
          <w:numId w:val="47"/>
        </w:numPr>
        <w:spacing w:after="0" w:line="240" w:lineRule="auto"/>
      </w:pPr>
      <w:r w:rsidRPr="00061B23">
        <w:t>Youth Employment Service Initiative will be launched which will place unemployed youth in paid internships in companies across the economy.</w:t>
      </w:r>
    </w:p>
    <w:p w14:paraId="7CCB4355" w14:textId="77777777" w:rsidR="00A752E2" w:rsidRPr="00061B23" w:rsidRDefault="00A752E2" w:rsidP="00750180">
      <w:pPr>
        <w:pStyle w:val="ListParagraph"/>
        <w:numPr>
          <w:ilvl w:val="0"/>
          <w:numId w:val="47"/>
        </w:numPr>
        <w:spacing w:after="0" w:line="240" w:lineRule="auto"/>
      </w:pPr>
      <w:r w:rsidRPr="00061B23">
        <w:t>Establishment of a Youth Working Group.</w:t>
      </w:r>
    </w:p>
    <w:p w14:paraId="1CE2FBF5" w14:textId="77777777" w:rsidR="0093441F" w:rsidRPr="00061B23" w:rsidRDefault="0093441F" w:rsidP="0093441F">
      <w:pPr>
        <w:spacing w:after="0" w:line="240" w:lineRule="auto"/>
      </w:pPr>
    </w:p>
    <w:p w14:paraId="4AE8A505" w14:textId="77777777" w:rsidR="0093441F" w:rsidRPr="00061B23" w:rsidRDefault="0093441F" w:rsidP="0093441F">
      <w:pPr>
        <w:spacing w:after="0" w:line="240" w:lineRule="auto"/>
        <w:rPr>
          <w:b/>
        </w:rPr>
      </w:pPr>
      <w:r w:rsidRPr="00061B23">
        <w:rPr>
          <w:b/>
        </w:rPr>
        <w:t>Infrastructure Development</w:t>
      </w:r>
    </w:p>
    <w:p w14:paraId="5A0F8170" w14:textId="77777777" w:rsidR="0093441F" w:rsidRPr="00061B23" w:rsidRDefault="0093441F" w:rsidP="00750180">
      <w:pPr>
        <w:pStyle w:val="ListParagraph"/>
        <w:numPr>
          <w:ilvl w:val="0"/>
          <w:numId w:val="100"/>
        </w:numPr>
        <w:spacing w:before="240" w:line="240" w:lineRule="auto"/>
      </w:pPr>
      <w:r w:rsidRPr="00061B23">
        <w:t>Ensuring improvements in the budgeting and monitoring systems.</w:t>
      </w:r>
    </w:p>
    <w:p w14:paraId="1FE5909D" w14:textId="77777777" w:rsidR="00653182" w:rsidRPr="00061B23" w:rsidRDefault="0093441F" w:rsidP="00750180">
      <w:pPr>
        <w:pStyle w:val="ListParagraph"/>
        <w:numPr>
          <w:ilvl w:val="0"/>
          <w:numId w:val="100"/>
        </w:numPr>
        <w:spacing w:before="240" w:line="240" w:lineRule="auto"/>
      </w:pPr>
      <w:r w:rsidRPr="00061B23">
        <w:t>Improve the integration of projects</w:t>
      </w:r>
    </w:p>
    <w:p w14:paraId="44E9923B" w14:textId="77777777" w:rsidR="0093441F" w:rsidRPr="00061B23" w:rsidRDefault="0093441F" w:rsidP="0093441F">
      <w:pPr>
        <w:spacing w:before="240" w:line="240" w:lineRule="auto"/>
        <w:rPr>
          <w:b/>
        </w:rPr>
      </w:pPr>
      <w:r w:rsidRPr="00061B23">
        <w:rPr>
          <w:b/>
        </w:rPr>
        <w:t xml:space="preserve">Mining </w:t>
      </w:r>
    </w:p>
    <w:p w14:paraId="4F9BA7F1" w14:textId="77777777" w:rsidR="0093441F" w:rsidRPr="00061B23" w:rsidRDefault="0093441F" w:rsidP="00750180">
      <w:pPr>
        <w:pStyle w:val="ListParagraph"/>
        <w:numPr>
          <w:ilvl w:val="0"/>
          <w:numId w:val="101"/>
        </w:numPr>
        <w:spacing w:before="240" w:line="240" w:lineRule="auto"/>
      </w:pPr>
      <w:r w:rsidRPr="00061B23">
        <w:t xml:space="preserve">Grow the sector, </w:t>
      </w:r>
    </w:p>
    <w:p w14:paraId="21869F78" w14:textId="77777777" w:rsidR="0093441F" w:rsidRPr="00061B23" w:rsidRDefault="0093441F" w:rsidP="00750180">
      <w:pPr>
        <w:pStyle w:val="ListParagraph"/>
        <w:numPr>
          <w:ilvl w:val="0"/>
          <w:numId w:val="101"/>
        </w:numPr>
        <w:spacing w:before="240" w:line="240" w:lineRule="auto"/>
      </w:pPr>
      <w:r w:rsidRPr="00061B23">
        <w:t xml:space="preserve">Attract new investment, </w:t>
      </w:r>
    </w:p>
    <w:p w14:paraId="44A08D0B" w14:textId="77777777" w:rsidR="0093441F" w:rsidRPr="00061B23" w:rsidRDefault="0093441F" w:rsidP="00750180">
      <w:pPr>
        <w:pStyle w:val="ListParagraph"/>
        <w:numPr>
          <w:ilvl w:val="0"/>
          <w:numId w:val="101"/>
        </w:numPr>
        <w:spacing w:before="240" w:line="240" w:lineRule="auto"/>
      </w:pPr>
      <w:r w:rsidRPr="00061B23">
        <w:t xml:space="preserve">Create jobs </w:t>
      </w:r>
    </w:p>
    <w:p w14:paraId="5E4FBFA7" w14:textId="77777777" w:rsidR="0093441F" w:rsidRPr="00061B23" w:rsidRDefault="0093441F" w:rsidP="0093441F">
      <w:pPr>
        <w:spacing w:before="240" w:line="240" w:lineRule="auto"/>
        <w:rPr>
          <w:b/>
        </w:rPr>
      </w:pPr>
      <w:r w:rsidRPr="00061B23">
        <w:rPr>
          <w:b/>
        </w:rPr>
        <w:t>Small Business Development</w:t>
      </w:r>
    </w:p>
    <w:p w14:paraId="34784FA5" w14:textId="77777777" w:rsidR="00653182" w:rsidRPr="00061B23" w:rsidRDefault="0093441F" w:rsidP="00750180">
      <w:pPr>
        <w:pStyle w:val="ListParagraph"/>
        <w:numPr>
          <w:ilvl w:val="0"/>
          <w:numId w:val="102"/>
        </w:numPr>
        <w:spacing w:after="0" w:line="240" w:lineRule="auto"/>
      </w:pPr>
      <w:r w:rsidRPr="00061B23">
        <w:t>30% of public procurement to go to SMMEs, cooperatives and township and rural enterprises.</w:t>
      </w:r>
    </w:p>
    <w:p w14:paraId="06944EF4" w14:textId="77777777" w:rsidR="0093441F" w:rsidRPr="00061B23" w:rsidRDefault="0093441F" w:rsidP="00750180">
      <w:pPr>
        <w:pStyle w:val="ListParagraph"/>
        <w:numPr>
          <w:ilvl w:val="0"/>
          <w:numId w:val="102"/>
        </w:numPr>
        <w:spacing w:after="0" w:line="240" w:lineRule="auto"/>
      </w:pPr>
      <w:r w:rsidRPr="00061B23">
        <w:t>Establishment of a Small Business and Innovation Fund targeted at start-ups.</w:t>
      </w:r>
    </w:p>
    <w:p w14:paraId="02A58A3C" w14:textId="77777777" w:rsidR="0093441F" w:rsidRPr="00061B23" w:rsidRDefault="0093441F" w:rsidP="00750180">
      <w:pPr>
        <w:pStyle w:val="ListParagraph"/>
        <w:numPr>
          <w:ilvl w:val="0"/>
          <w:numId w:val="102"/>
        </w:numPr>
        <w:spacing w:after="0" w:line="240" w:lineRule="auto"/>
      </w:pPr>
      <w:r w:rsidRPr="00061B23">
        <w:t>Funding of entrepreneurs with disabilities through programmes such as the Amavulandlela Funding Scheme.</w:t>
      </w:r>
    </w:p>
    <w:p w14:paraId="23B4DDFD" w14:textId="77777777" w:rsidR="00653182" w:rsidRPr="00061B23" w:rsidRDefault="00653182" w:rsidP="00653182">
      <w:pPr>
        <w:spacing w:after="0" w:line="240" w:lineRule="auto"/>
      </w:pPr>
    </w:p>
    <w:p w14:paraId="6CB5039C" w14:textId="77777777" w:rsidR="00653182" w:rsidRPr="00061B23" w:rsidRDefault="0093441F" w:rsidP="00821D95">
      <w:pPr>
        <w:spacing w:after="0" w:line="240" w:lineRule="auto"/>
        <w:jc w:val="both"/>
        <w:rPr>
          <w:b/>
        </w:rPr>
      </w:pPr>
      <w:r w:rsidRPr="00061B23">
        <w:rPr>
          <w:b/>
        </w:rPr>
        <w:t>Agriculture Development</w:t>
      </w:r>
    </w:p>
    <w:p w14:paraId="77585A33" w14:textId="77777777" w:rsidR="00653182" w:rsidRPr="00061B23" w:rsidRDefault="0093441F" w:rsidP="00750180">
      <w:pPr>
        <w:pStyle w:val="ListParagraph"/>
        <w:numPr>
          <w:ilvl w:val="0"/>
          <w:numId w:val="103"/>
        </w:numPr>
        <w:spacing w:before="240" w:after="0" w:line="240" w:lineRule="auto"/>
        <w:jc w:val="both"/>
      </w:pPr>
      <w:r w:rsidRPr="00061B23">
        <w:t>Accelerate Land Redistribution Programme</w:t>
      </w:r>
    </w:p>
    <w:p w14:paraId="13895156" w14:textId="77777777" w:rsidR="00653182" w:rsidRPr="00061B23" w:rsidRDefault="001E7AD8" w:rsidP="00750180">
      <w:pPr>
        <w:pStyle w:val="ListParagraph"/>
        <w:numPr>
          <w:ilvl w:val="0"/>
          <w:numId w:val="103"/>
        </w:numPr>
        <w:spacing w:before="240" w:after="0" w:line="240" w:lineRule="auto"/>
        <w:jc w:val="both"/>
      </w:pPr>
      <w:r w:rsidRPr="00061B23">
        <w:t>E</w:t>
      </w:r>
      <w:r w:rsidR="0093441F" w:rsidRPr="00061B23">
        <w:t>xpropriati</w:t>
      </w:r>
      <w:r w:rsidRPr="00061B23">
        <w:t>on of land without compensation to be implemented in a way that increases agricultural production, improves food security.</w:t>
      </w:r>
    </w:p>
    <w:p w14:paraId="16021EFF" w14:textId="77777777" w:rsidR="001E7AD8" w:rsidRPr="00061B23" w:rsidRDefault="001E7AD8" w:rsidP="001E7AD8">
      <w:pPr>
        <w:spacing w:before="240" w:after="0" w:line="240" w:lineRule="auto"/>
        <w:jc w:val="both"/>
        <w:rPr>
          <w:b/>
        </w:rPr>
      </w:pPr>
    </w:p>
    <w:p w14:paraId="6A6BCC70" w14:textId="77777777" w:rsidR="001E7AD8" w:rsidRPr="00061B23" w:rsidRDefault="001E7AD8" w:rsidP="001E7AD8">
      <w:pPr>
        <w:spacing w:before="240" w:after="0" w:line="240" w:lineRule="auto"/>
        <w:jc w:val="both"/>
        <w:rPr>
          <w:b/>
        </w:rPr>
      </w:pPr>
      <w:r w:rsidRPr="00061B23">
        <w:rPr>
          <w:b/>
        </w:rPr>
        <w:lastRenderedPageBreak/>
        <w:t>Tourism Development</w:t>
      </w:r>
    </w:p>
    <w:p w14:paraId="448EE08B" w14:textId="77777777" w:rsidR="001E7AD8" w:rsidRPr="00061B23" w:rsidRDefault="001E7AD8" w:rsidP="00750180">
      <w:pPr>
        <w:pStyle w:val="ListParagraph"/>
        <w:numPr>
          <w:ilvl w:val="0"/>
          <w:numId w:val="104"/>
        </w:numPr>
        <w:spacing w:before="240" w:after="0" w:line="240" w:lineRule="auto"/>
        <w:jc w:val="both"/>
      </w:pPr>
      <w:r w:rsidRPr="00061B23">
        <w:t>Enhance support for destination marketing in key tourism markets.</w:t>
      </w:r>
    </w:p>
    <w:p w14:paraId="38491800" w14:textId="77777777" w:rsidR="001E7AD8" w:rsidRPr="00061B23" w:rsidRDefault="001E7AD8" w:rsidP="00750180">
      <w:pPr>
        <w:pStyle w:val="ListParagraph"/>
        <w:numPr>
          <w:ilvl w:val="0"/>
          <w:numId w:val="104"/>
        </w:numPr>
        <w:spacing w:before="240" w:after="0" w:line="240" w:lineRule="auto"/>
        <w:jc w:val="both"/>
      </w:pPr>
      <w:r w:rsidRPr="00061B23">
        <w:t>Reduce regulatory barriers and develop emerging tourism businesses.</w:t>
      </w:r>
    </w:p>
    <w:p w14:paraId="672A9A3B" w14:textId="77777777" w:rsidR="001E7AD8" w:rsidRPr="00061B23" w:rsidRDefault="001E7AD8" w:rsidP="001E7AD8">
      <w:pPr>
        <w:spacing w:before="240" w:after="0" w:line="240" w:lineRule="auto"/>
        <w:jc w:val="both"/>
        <w:rPr>
          <w:b/>
        </w:rPr>
      </w:pPr>
      <w:r w:rsidRPr="00061B23">
        <w:rPr>
          <w:b/>
        </w:rPr>
        <w:t>Science, Technology and Innovation.</w:t>
      </w:r>
    </w:p>
    <w:p w14:paraId="686BA84A" w14:textId="77777777" w:rsidR="001E7AD8" w:rsidRPr="00061B23" w:rsidRDefault="001E7AD8" w:rsidP="00750180">
      <w:pPr>
        <w:pStyle w:val="ListParagraph"/>
        <w:numPr>
          <w:ilvl w:val="0"/>
          <w:numId w:val="105"/>
        </w:numPr>
        <w:spacing w:before="240" w:after="0" w:line="240" w:lineRule="auto"/>
        <w:jc w:val="both"/>
      </w:pPr>
      <w:r w:rsidRPr="00061B23">
        <w:t>Establishment of a Digital Industrial Revolution Commission</w:t>
      </w:r>
    </w:p>
    <w:p w14:paraId="05241D71" w14:textId="77777777" w:rsidR="001E7AD8" w:rsidRPr="00061B23" w:rsidRDefault="001E7AD8" w:rsidP="001E7AD8">
      <w:pPr>
        <w:spacing w:before="240" w:after="0" w:line="240" w:lineRule="auto"/>
        <w:jc w:val="both"/>
        <w:rPr>
          <w:b/>
        </w:rPr>
      </w:pPr>
      <w:r w:rsidRPr="00061B23">
        <w:rPr>
          <w:b/>
        </w:rPr>
        <w:t>International Trading</w:t>
      </w:r>
    </w:p>
    <w:p w14:paraId="558A2382" w14:textId="77777777" w:rsidR="001E7AD8" w:rsidRPr="00061B23" w:rsidRDefault="001E7AD8" w:rsidP="00750180">
      <w:pPr>
        <w:pStyle w:val="ListParagraph"/>
        <w:numPr>
          <w:ilvl w:val="0"/>
          <w:numId w:val="105"/>
        </w:numPr>
        <w:spacing w:before="240" w:after="0" w:line="240" w:lineRule="auto"/>
        <w:jc w:val="both"/>
      </w:pPr>
      <w:r w:rsidRPr="00061B23">
        <w:t>Tripartite Free Trade Area Agreement which brings together SADC, COMESA and the East African Community.</w:t>
      </w:r>
    </w:p>
    <w:p w14:paraId="2F81198E" w14:textId="77777777" w:rsidR="001E7AD8" w:rsidRPr="00061B23" w:rsidRDefault="001E7AD8" w:rsidP="001E7AD8">
      <w:pPr>
        <w:spacing w:before="240" w:after="0" w:line="240" w:lineRule="auto"/>
        <w:jc w:val="both"/>
        <w:rPr>
          <w:b/>
        </w:rPr>
      </w:pPr>
      <w:r w:rsidRPr="00061B23">
        <w:rPr>
          <w:b/>
        </w:rPr>
        <w:t>Education</w:t>
      </w:r>
    </w:p>
    <w:p w14:paraId="06BE2293" w14:textId="77777777" w:rsidR="001E7AD8" w:rsidRPr="00061B23" w:rsidRDefault="001E7AD8" w:rsidP="00750180">
      <w:pPr>
        <w:pStyle w:val="ListParagraph"/>
        <w:numPr>
          <w:ilvl w:val="0"/>
          <w:numId w:val="105"/>
        </w:numPr>
        <w:spacing w:before="240" w:after="0" w:line="240" w:lineRule="auto"/>
        <w:jc w:val="both"/>
        <w:rPr>
          <w:b/>
        </w:rPr>
      </w:pPr>
      <w:r w:rsidRPr="00061B23">
        <w:t>Roll Out of Free Education</w:t>
      </w:r>
    </w:p>
    <w:p w14:paraId="4741078A" w14:textId="77777777" w:rsidR="001E7AD8" w:rsidRPr="00061B23" w:rsidRDefault="001E7AD8" w:rsidP="00750180">
      <w:pPr>
        <w:pStyle w:val="ListParagraph"/>
        <w:numPr>
          <w:ilvl w:val="0"/>
          <w:numId w:val="105"/>
        </w:numPr>
        <w:spacing w:before="240" w:after="0" w:line="240" w:lineRule="auto"/>
        <w:jc w:val="both"/>
        <w:rPr>
          <w:b/>
        </w:rPr>
      </w:pPr>
      <w:r w:rsidRPr="00061B23">
        <w:t>Bursary Schemes</w:t>
      </w:r>
    </w:p>
    <w:p w14:paraId="24CB246F" w14:textId="77777777" w:rsidR="001E7AD8" w:rsidRPr="00061B23" w:rsidRDefault="001E7AD8" w:rsidP="001E7AD8">
      <w:pPr>
        <w:spacing w:before="240" w:after="0" w:line="240" w:lineRule="auto"/>
        <w:jc w:val="both"/>
        <w:rPr>
          <w:b/>
        </w:rPr>
      </w:pPr>
      <w:r w:rsidRPr="00061B23">
        <w:rPr>
          <w:b/>
        </w:rPr>
        <w:t>Health</w:t>
      </w:r>
    </w:p>
    <w:p w14:paraId="20416E00" w14:textId="77777777" w:rsidR="001E7AD8" w:rsidRPr="001E7AD8" w:rsidRDefault="001E7AD8" w:rsidP="00750180">
      <w:pPr>
        <w:pStyle w:val="ListParagraph"/>
        <w:numPr>
          <w:ilvl w:val="0"/>
          <w:numId w:val="106"/>
        </w:numPr>
        <w:spacing w:before="240" w:after="0" w:line="240" w:lineRule="auto"/>
        <w:jc w:val="both"/>
        <w:rPr>
          <w:b/>
          <w:color w:val="FF0000"/>
        </w:rPr>
      </w:pPr>
      <w:r w:rsidRPr="00061B23">
        <w:t>Roll out and implementation of universal health coverage through the National Health Insurance</w:t>
      </w:r>
      <w:r w:rsidRPr="001E7AD8">
        <w:rPr>
          <w:b/>
          <w:color w:val="FF0000"/>
        </w:rPr>
        <w:t>.</w:t>
      </w:r>
    </w:p>
    <w:p w14:paraId="0925A7E8" w14:textId="77777777" w:rsidR="00653182" w:rsidRDefault="00653182" w:rsidP="00821D95">
      <w:pPr>
        <w:spacing w:after="0" w:line="240" w:lineRule="auto"/>
        <w:jc w:val="both"/>
        <w:rPr>
          <w:color w:val="FF0000"/>
        </w:rPr>
      </w:pPr>
    </w:p>
    <w:p w14:paraId="04A721B6" w14:textId="77777777" w:rsidR="000B1EB8" w:rsidRPr="00794E07" w:rsidRDefault="000B1EB8" w:rsidP="00750180">
      <w:pPr>
        <w:pStyle w:val="Heading3"/>
        <w:numPr>
          <w:ilvl w:val="2"/>
          <w:numId w:val="39"/>
        </w:numPr>
        <w:spacing w:after="240"/>
        <w:rPr>
          <w:highlight w:val="yellow"/>
        </w:rPr>
      </w:pPr>
      <w:bookmarkStart w:id="52" w:name="_Toc510706577"/>
      <w:r w:rsidRPr="00794E07">
        <w:rPr>
          <w:highlight w:val="yellow"/>
        </w:rPr>
        <w:t>State of the Province Address</w:t>
      </w:r>
      <w:bookmarkEnd w:id="52"/>
    </w:p>
    <w:p w14:paraId="1AC4FFF6" w14:textId="77777777" w:rsidR="00FF2447" w:rsidRDefault="001D0DD1" w:rsidP="00750180">
      <w:pPr>
        <w:pStyle w:val="Heading3"/>
        <w:numPr>
          <w:ilvl w:val="2"/>
          <w:numId w:val="39"/>
        </w:numPr>
        <w:spacing w:after="240"/>
      </w:pPr>
      <w:bookmarkStart w:id="53" w:name="_Toc350093364"/>
      <w:bookmarkStart w:id="54" w:name="_Toc389739687"/>
      <w:bookmarkStart w:id="55" w:name="_Toc510706578"/>
      <w:r w:rsidRPr="00D200EA">
        <w:t>P</w:t>
      </w:r>
      <w:r w:rsidR="00FF2447" w:rsidRPr="00D200EA">
        <w:t>rovincial Growth and Development Strategy (PGDS) Goals</w:t>
      </w:r>
      <w:bookmarkEnd w:id="53"/>
      <w:bookmarkEnd w:id="54"/>
      <w:r w:rsidR="00787435">
        <w:t xml:space="preserve"> </w:t>
      </w:r>
      <w:r w:rsidR="007F0B76">
        <w:t>(2035)</w:t>
      </w:r>
      <w:bookmarkEnd w:id="55"/>
    </w:p>
    <w:p w14:paraId="129C46BA" w14:textId="77777777" w:rsidR="001C4A99" w:rsidRPr="007F0B76" w:rsidRDefault="001C4A99" w:rsidP="007F0B76">
      <w:pPr>
        <w:jc w:val="center"/>
        <w:rPr>
          <w:b/>
          <w:sz w:val="24"/>
        </w:rPr>
      </w:pPr>
      <w:r w:rsidRPr="007F0B76">
        <w:rPr>
          <w:b/>
          <w:sz w:val="24"/>
        </w:rPr>
        <w:t>KwaZulu-Natal will be a prosperous Province; with a healthy, secure and skilled population; living in dignity and harmony;</w:t>
      </w:r>
      <w:r w:rsidR="007F0B76" w:rsidRPr="007F0B76">
        <w:rPr>
          <w:b/>
          <w:sz w:val="24"/>
        </w:rPr>
        <w:t xml:space="preserve"> </w:t>
      </w:r>
      <w:r w:rsidRPr="007F0B76">
        <w:rPr>
          <w:b/>
          <w:sz w:val="24"/>
        </w:rPr>
        <w:t>acting as a gateway to Africa and the World</w:t>
      </w:r>
      <w:r w:rsidR="007F0B76" w:rsidRPr="007F0B76">
        <w:rPr>
          <w:b/>
          <w:sz w:val="24"/>
        </w:rPr>
        <w:t>.</w:t>
      </w:r>
    </w:p>
    <w:p w14:paraId="1052168E" w14:textId="77777777" w:rsidR="00FF2447" w:rsidRPr="00881795" w:rsidRDefault="00FF2447" w:rsidP="002F62F0">
      <w:pPr>
        <w:pStyle w:val="Caption"/>
        <w:rPr>
          <w:rFonts w:cs="Arial"/>
        </w:rPr>
      </w:pPr>
      <w:bookmarkStart w:id="56" w:name="_Toc389739688"/>
      <w:bookmarkStart w:id="57" w:name="_Toc510622258"/>
      <w:r w:rsidRPr="00881795">
        <w:t xml:space="preserve">Table </w:t>
      </w:r>
      <w:r w:rsidR="00B918A6">
        <w:fldChar w:fldCharType="begin"/>
      </w:r>
      <w:r w:rsidR="00B918A6">
        <w:instrText xml:space="preserve"> SEQ Table \* ARABIC </w:instrText>
      </w:r>
      <w:r w:rsidR="00B918A6">
        <w:fldChar w:fldCharType="separate"/>
      </w:r>
      <w:r w:rsidR="0067023A">
        <w:rPr>
          <w:noProof/>
        </w:rPr>
        <w:t>8</w:t>
      </w:r>
      <w:r w:rsidR="00B918A6">
        <w:rPr>
          <w:noProof/>
        </w:rPr>
        <w:fldChar w:fldCharType="end"/>
      </w:r>
      <w:r w:rsidRPr="00881795">
        <w:t xml:space="preserve">: PGDS Goals </w:t>
      </w:r>
      <w:bookmarkEnd w:id="56"/>
      <w:r w:rsidR="007F0B76">
        <w:t>(2035)</w:t>
      </w:r>
      <w:bookmarkEnd w:id="5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9"/>
        <w:gridCol w:w="2709"/>
        <w:gridCol w:w="5221"/>
      </w:tblGrid>
      <w:tr w:rsidR="00FF2447" w:rsidRPr="00881795" w14:paraId="27847066" w14:textId="77777777" w:rsidTr="00DD58CB">
        <w:trPr>
          <w:tblHeader/>
        </w:trPr>
        <w:tc>
          <w:tcPr>
            <w:tcW w:w="1699" w:type="dxa"/>
            <w:shd w:val="clear" w:color="auto" w:fill="DAEEF3" w:themeFill="accent5" w:themeFillTint="33"/>
          </w:tcPr>
          <w:p w14:paraId="3837F5EA" w14:textId="77777777" w:rsidR="00FF2447" w:rsidRPr="00881795" w:rsidRDefault="00FF2447" w:rsidP="007F0B76">
            <w:pPr>
              <w:spacing w:after="0" w:line="240" w:lineRule="auto"/>
              <w:jc w:val="both"/>
              <w:rPr>
                <w:b/>
                <w:szCs w:val="20"/>
              </w:rPr>
            </w:pPr>
            <w:r w:rsidRPr="00881795">
              <w:rPr>
                <w:b/>
                <w:szCs w:val="20"/>
              </w:rPr>
              <w:t>No.</w:t>
            </w:r>
          </w:p>
        </w:tc>
        <w:tc>
          <w:tcPr>
            <w:tcW w:w="2709" w:type="dxa"/>
            <w:shd w:val="clear" w:color="auto" w:fill="DAEEF3" w:themeFill="accent5" w:themeFillTint="33"/>
          </w:tcPr>
          <w:p w14:paraId="55E1F1EA" w14:textId="77777777" w:rsidR="00FF2447" w:rsidRPr="00881795" w:rsidRDefault="00FF2447" w:rsidP="007F0B76">
            <w:pPr>
              <w:spacing w:after="0" w:line="240" w:lineRule="auto"/>
              <w:jc w:val="both"/>
              <w:rPr>
                <w:b/>
                <w:szCs w:val="20"/>
              </w:rPr>
            </w:pPr>
            <w:r w:rsidRPr="00881795">
              <w:rPr>
                <w:b/>
                <w:szCs w:val="20"/>
              </w:rPr>
              <w:t>PGDS Strategic Goal</w:t>
            </w:r>
          </w:p>
        </w:tc>
        <w:tc>
          <w:tcPr>
            <w:tcW w:w="5221" w:type="dxa"/>
            <w:shd w:val="clear" w:color="auto" w:fill="DAEEF3" w:themeFill="accent5" w:themeFillTint="33"/>
          </w:tcPr>
          <w:p w14:paraId="580A8B07" w14:textId="7B914560" w:rsidR="00FF2447" w:rsidRPr="00881795" w:rsidRDefault="00572E95" w:rsidP="007F0B76">
            <w:pPr>
              <w:spacing w:after="0" w:line="240" w:lineRule="auto"/>
              <w:jc w:val="both"/>
              <w:rPr>
                <w:b/>
                <w:szCs w:val="20"/>
              </w:rPr>
            </w:pPr>
            <w:r>
              <w:rPr>
                <w:rFonts w:cs="Arial"/>
                <w:b/>
                <w:szCs w:val="20"/>
              </w:rPr>
              <w:t>Municipal Strategic Objectives</w:t>
            </w:r>
          </w:p>
        </w:tc>
      </w:tr>
      <w:tr w:rsidR="00FF2447" w:rsidRPr="00881795" w14:paraId="1CE67FC3" w14:textId="77777777" w:rsidTr="00DD58CB">
        <w:tc>
          <w:tcPr>
            <w:tcW w:w="1699" w:type="dxa"/>
          </w:tcPr>
          <w:p w14:paraId="1ED8BF44" w14:textId="77777777" w:rsidR="00FF2447" w:rsidRPr="00881795" w:rsidRDefault="00FF2447" w:rsidP="007F0B76">
            <w:pPr>
              <w:spacing w:after="0" w:line="240" w:lineRule="auto"/>
              <w:jc w:val="both"/>
              <w:rPr>
                <w:szCs w:val="20"/>
              </w:rPr>
            </w:pPr>
            <w:r w:rsidRPr="00881795">
              <w:rPr>
                <w:szCs w:val="20"/>
              </w:rPr>
              <w:t>1</w:t>
            </w:r>
          </w:p>
        </w:tc>
        <w:tc>
          <w:tcPr>
            <w:tcW w:w="2709" w:type="dxa"/>
          </w:tcPr>
          <w:p w14:paraId="7C2E4EBE" w14:textId="77777777" w:rsidR="00FF2447" w:rsidRPr="00881795" w:rsidRDefault="00787435" w:rsidP="007F0B76">
            <w:pPr>
              <w:spacing w:after="0" w:line="240" w:lineRule="auto"/>
              <w:jc w:val="both"/>
              <w:rPr>
                <w:szCs w:val="20"/>
              </w:rPr>
            </w:pPr>
            <w:r>
              <w:rPr>
                <w:szCs w:val="20"/>
              </w:rPr>
              <w:t>Inclusive Economic Growth</w:t>
            </w:r>
          </w:p>
        </w:tc>
        <w:tc>
          <w:tcPr>
            <w:tcW w:w="5221" w:type="dxa"/>
          </w:tcPr>
          <w:p w14:paraId="72D25236" w14:textId="77777777" w:rsidR="00F206E6" w:rsidRDefault="00F206E6" w:rsidP="00EC0A3F">
            <w:pPr>
              <w:pStyle w:val="ListParagraph"/>
              <w:numPr>
                <w:ilvl w:val="0"/>
                <w:numId w:val="20"/>
              </w:numPr>
              <w:spacing w:line="240" w:lineRule="auto"/>
              <w:jc w:val="both"/>
              <w:rPr>
                <w:b/>
                <w:szCs w:val="20"/>
              </w:rPr>
            </w:pPr>
            <w:r w:rsidRPr="00F206E6">
              <w:rPr>
                <w:b/>
                <w:szCs w:val="20"/>
              </w:rPr>
              <w:t xml:space="preserve">To Facilitate and Support Accelerated Economic Development </w:t>
            </w:r>
          </w:p>
          <w:p w14:paraId="57E9EE00" w14:textId="77777777" w:rsidR="00F206E6" w:rsidRPr="00F206E6" w:rsidRDefault="00F206E6" w:rsidP="00F206E6">
            <w:pPr>
              <w:pStyle w:val="ListParagraph"/>
              <w:spacing w:line="240" w:lineRule="auto"/>
              <w:ind w:left="360"/>
              <w:jc w:val="both"/>
              <w:rPr>
                <w:szCs w:val="20"/>
              </w:rPr>
            </w:pPr>
          </w:p>
          <w:p w14:paraId="716A7A66" w14:textId="2FC67D35" w:rsidR="00FF2447" w:rsidRPr="00881795" w:rsidRDefault="00F206E6" w:rsidP="00EC0A3F">
            <w:pPr>
              <w:pStyle w:val="ListParagraph"/>
              <w:numPr>
                <w:ilvl w:val="0"/>
                <w:numId w:val="20"/>
              </w:numPr>
              <w:spacing w:line="240" w:lineRule="auto"/>
              <w:jc w:val="both"/>
              <w:rPr>
                <w:szCs w:val="20"/>
              </w:rPr>
            </w:pPr>
            <w:r w:rsidRPr="00F206E6">
              <w:rPr>
                <w:b/>
                <w:szCs w:val="20"/>
              </w:rPr>
              <w:t>To effectively contribute towards the reduction of unemployment.</w:t>
            </w:r>
          </w:p>
        </w:tc>
      </w:tr>
      <w:tr w:rsidR="00FF2447" w:rsidRPr="00881795" w14:paraId="4DCA65CD" w14:textId="77777777" w:rsidTr="00DD58CB">
        <w:trPr>
          <w:trHeight w:val="544"/>
        </w:trPr>
        <w:tc>
          <w:tcPr>
            <w:tcW w:w="1699" w:type="dxa"/>
          </w:tcPr>
          <w:p w14:paraId="51C0141C" w14:textId="77777777" w:rsidR="00FF2447" w:rsidRPr="00881795" w:rsidRDefault="00FF2447" w:rsidP="007F0B76">
            <w:pPr>
              <w:spacing w:after="0" w:line="240" w:lineRule="auto"/>
              <w:jc w:val="both"/>
              <w:rPr>
                <w:szCs w:val="20"/>
              </w:rPr>
            </w:pPr>
            <w:r w:rsidRPr="00881795">
              <w:rPr>
                <w:szCs w:val="20"/>
              </w:rPr>
              <w:t>2</w:t>
            </w:r>
          </w:p>
        </w:tc>
        <w:tc>
          <w:tcPr>
            <w:tcW w:w="2709" w:type="dxa"/>
          </w:tcPr>
          <w:p w14:paraId="50D05FD2" w14:textId="77777777" w:rsidR="00FF2447" w:rsidRPr="00881795" w:rsidRDefault="00FF2447" w:rsidP="007F0B76">
            <w:pPr>
              <w:spacing w:after="0" w:line="240" w:lineRule="auto"/>
              <w:jc w:val="both"/>
              <w:rPr>
                <w:szCs w:val="20"/>
              </w:rPr>
            </w:pPr>
            <w:r w:rsidRPr="00881795">
              <w:rPr>
                <w:szCs w:val="20"/>
              </w:rPr>
              <w:t>Human Resource Development</w:t>
            </w:r>
          </w:p>
        </w:tc>
        <w:tc>
          <w:tcPr>
            <w:tcW w:w="5221" w:type="dxa"/>
          </w:tcPr>
          <w:p w14:paraId="790C1094" w14:textId="7705B95A" w:rsidR="00B67066" w:rsidRPr="00B67066" w:rsidRDefault="00B67066" w:rsidP="00EC0A3F">
            <w:pPr>
              <w:pStyle w:val="NormalWeb"/>
              <w:numPr>
                <w:ilvl w:val="0"/>
                <w:numId w:val="22"/>
              </w:numPr>
              <w:spacing w:after="0"/>
              <w:jc w:val="both"/>
              <w:rPr>
                <w:rFonts w:ascii="Calibri" w:hAnsi="Calibri"/>
                <w:b/>
                <w:sz w:val="20"/>
                <w:szCs w:val="20"/>
              </w:rPr>
            </w:pPr>
            <w:r w:rsidRPr="00B67066">
              <w:rPr>
                <w:rFonts w:ascii="Calibri" w:hAnsi="Calibri"/>
                <w:b/>
                <w:sz w:val="20"/>
                <w:szCs w:val="20"/>
              </w:rPr>
              <w:t>To Develop the Institution and to Facilitate Institutional Transformation</w:t>
            </w:r>
          </w:p>
          <w:p w14:paraId="7AB0055B" w14:textId="71132324" w:rsidR="0056489D" w:rsidRPr="00964303" w:rsidRDefault="00B67066" w:rsidP="00EC0A3F">
            <w:pPr>
              <w:pStyle w:val="NormalWeb"/>
              <w:numPr>
                <w:ilvl w:val="0"/>
                <w:numId w:val="22"/>
              </w:numPr>
              <w:spacing w:after="0"/>
              <w:jc w:val="both"/>
              <w:rPr>
                <w:rFonts w:ascii="Calibri" w:hAnsi="Calibri"/>
                <w:sz w:val="20"/>
                <w:szCs w:val="20"/>
              </w:rPr>
            </w:pPr>
            <w:r w:rsidRPr="00B67066">
              <w:rPr>
                <w:rFonts w:ascii="Calibri" w:hAnsi="Calibri"/>
                <w:b/>
                <w:sz w:val="20"/>
                <w:szCs w:val="20"/>
              </w:rPr>
              <w:t>To Support and Implement Internship,  and In-service Training Programs</w:t>
            </w:r>
          </w:p>
        </w:tc>
      </w:tr>
      <w:tr w:rsidR="00FF2447" w:rsidRPr="00881795" w14:paraId="764DFBEB" w14:textId="77777777" w:rsidTr="00DD58CB">
        <w:tc>
          <w:tcPr>
            <w:tcW w:w="1699" w:type="dxa"/>
          </w:tcPr>
          <w:p w14:paraId="68B0391F" w14:textId="77777777" w:rsidR="00FF2447" w:rsidRPr="00881795" w:rsidRDefault="00FF2447" w:rsidP="007F0B76">
            <w:pPr>
              <w:spacing w:after="0" w:line="240" w:lineRule="auto"/>
              <w:jc w:val="both"/>
              <w:rPr>
                <w:szCs w:val="20"/>
              </w:rPr>
            </w:pPr>
            <w:r w:rsidRPr="00881795">
              <w:rPr>
                <w:szCs w:val="20"/>
              </w:rPr>
              <w:t>3</w:t>
            </w:r>
          </w:p>
        </w:tc>
        <w:tc>
          <w:tcPr>
            <w:tcW w:w="2709" w:type="dxa"/>
          </w:tcPr>
          <w:p w14:paraId="4B8C3753" w14:textId="77777777" w:rsidR="00FF2447" w:rsidRPr="00881795" w:rsidRDefault="00FF2447" w:rsidP="007F0B76">
            <w:pPr>
              <w:spacing w:after="0" w:line="240" w:lineRule="auto"/>
              <w:jc w:val="both"/>
              <w:rPr>
                <w:szCs w:val="20"/>
              </w:rPr>
            </w:pPr>
            <w:r w:rsidRPr="00881795">
              <w:rPr>
                <w:szCs w:val="20"/>
              </w:rPr>
              <w:t>Human and Community Development</w:t>
            </w:r>
          </w:p>
        </w:tc>
        <w:tc>
          <w:tcPr>
            <w:tcW w:w="5221" w:type="dxa"/>
          </w:tcPr>
          <w:p w14:paraId="77295049" w14:textId="77777777" w:rsidR="00716400" w:rsidRPr="00B67066" w:rsidRDefault="00B67066" w:rsidP="00EC0A3F">
            <w:pPr>
              <w:pStyle w:val="ListParagraph"/>
              <w:numPr>
                <w:ilvl w:val="0"/>
                <w:numId w:val="23"/>
              </w:numPr>
              <w:spacing w:line="240" w:lineRule="auto"/>
              <w:jc w:val="both"/>
              <w:rPr>
                <w:b/>
                <w:szCs w:val="20"/>
              </w:rPr>
            </w:pPr>
            <w:r w:rsidRPr="00B67066">
              <w:rPr>
                <w:b/>
                <w:szCs w:val="20"/>
              </w:rPr>
              <w:t>To Support and Implement Internship,  and In-service Training Programs</w:t>
            </w:r>
          </w:p>
          <w:p w14:paraId="1E9604A9" w14:textId="77777777" w:rsidR="00B67066" w:rsidRPr="00B67066" w:rsidRDefault="00B67066" w:rsidP="00EC0A3F">
            <w:pPr>
              <w:pStyle w:val="ListParagraph"/>
              <w:numPr>
                <w:ilvl w:val="0"/>
                <w:numId w:val="23"/>
              </w:numPr>
              <w:spacing w:line="240" w:lineRule="auto"/>
              <w:jc w:val="both"/>
              <w:rPr>
                <w:b/>
                <w:szCs w:val="20"/>
              </w:rPr>
            </w:pPr>
            <w:r w:rsidRPr="00B67066">
              <w:rPr>
                <w:b/>
                <w:szCs w:val="20"/>
              </w:rPr>
              <w:t>To Promote a Culture of Public Participatory Democracy and Social Cohesion</w:t>
            </w:r>
          </w:p>
          <w:p w14:paraId="270F3F6C" w14:textId="77777777" w:rsidR="00B67066" w:rsidRPr="00B67066" w:rsidRDefault="00B67066" w:rsidP="00EC0A3F">
            <w:pPr>
              <w:pStyle w:val="ListParagraph"/>
              <w:numPr>
                <w:ilvl w:val="0"/>
                <w:numId w:val="23"/>
              </w:numPr>
              <w:spacing w:line="240" w:lineRule="auto"/>
              <w:jc w:val="both"/>
              <w:rPr>
                <w:b/>
                <w:szCs w:val="20"/>
              </w:rPr>
            </w:pPr>
            <w:r w:rsidRPr="00B67066">
              <w:rPr>
                <w:b/>
                <w:szCs w:val="20"/>
              </w:rPr>
              <w:t xml:space="preserve">To Facilitate and Support Accelerated Economic Development </w:t>
            </w:r>
          </w:p>
          <w:p w14:paraId="60D1AE5E" w14:textId="77777777" w:rsidR="00B67066" w:rsidRDefault="00B67066" w:rsidP="00EC0A3F">
            <w:pPr>
              <w:pStyle w:val="ListParagraph"/>
              <w:numPr>
                <w:ilvl w:val="0"/>
                <w:numId w:val="23"/>
              </w:numPr>
              <w:spacing w:line="240" w:lineRule="auto"/>
              <w:jc w:val="both"/>
              <w:rPr>
                <w:szCs w:val="20"/>
              </w:rPr>
            </w:pPr>
            <w:r w:rsidRPr="00B67066">
              <w:rPr>
                <w:b/>
                <w:szCs w:val="20"/>
              </w:rPr>
              <w:t>To effectively contribute towards the reduction of unemployment</w:t>
            </w:r>
            <w:r w:rsidRPr="00B67066">
              <w:rPr>
                <w:szCs w:val="20"/>
              </w:rPr>
              <w:t>.</w:t>
            </w:r>
          </w:p>
          <w:p w14:paraId="590029BC" w14:textId="671B42D5" w:rsidR="00B67066" w:rsidRPr="00881795" w:rsidRDefault="00B67066" w:rsidP="00EC0A3F">
            <w:pPr>
              <w:pStyle w:val="ListParagraph"/>
              <w:numPr>
                <w:ilvl w:val="0"/>
                <w:numId w:val="23"/>
              </w:numPr>
              <w:spacing w:line="240" w:lineRule="auto"/>
              <w:jc w:val="both"/>
              <w:rPr>
                <w:szCs w:val="20"/>
              </w:rPr>
            </w:pPr>
            <w:r>
              <w:rPr>
                <w:b/>
                <w:szCs w:val="20"/>
              </w:rPr>
              <w:t>To develop a credible IDP</w:t>
            </w:r>
          </w:p>
        </w:tc>
      </w:tr>
      <w:tr w:rsidR="00FF2447" w:rsidRPr="00881795" w14:paraId="5D3D7701" w14:textId="77777777" w:rsidTr="00DD58CB">
        <w:tc>
          <w:tcPr>
            <w:tcW w:w="1699" w:type="dxa"/>
          </w:tcPr>
          <w:p w14:paraId="28C6526B" w14:textId="77777777" w:rsidR="00FF2447" w:rsidRPr="00881795" w:rsidRDefault="00FF2447" w:rsidP="007F0B76">
            <w:pPr>
              <w:spacing w:after="0" w:line="240" w:lineRule="auto"/>
              <w:jc w:val="both"/>
              <w:rPr>
                <w:szCs w:val="20"/>
              </w:rPr>
            </w:pPr>
            <w:r w:rsidRPr="00881795">
              <w:rPr>
                <w:szCs w:val="20"/>
              </w:rPr>
              <w:t>4</w:t>
            </w:r>
          </w:p>
        </w:tc>
        <w:tc>
          <w:tcPr>
            <w:tcW w:w="2709" w:type="dxa"/>
          </w:tcPr>
          <w:p w14:paraId="5B54AA03" w14:textId="77777777" w:rsidR="00FF2447" w:rsidRPr="00881795" w:rsidRDefault="00FF2447" w:rsidP="007F0B76">
            <w:pPr>
              <w:spacing w:after="0" w:line="240" w:lineRule="auto"/>
              <w:jc w:val="both"/>
              <w:rPr>
                <w:szCs w:val="20"/>
              </w:rPr>
            </w:pPr>
            <w:r w:rsidRPr="00881795">
              <w:rPr>
                <w:szCs w:val="20"/>
              </w:rPr>
              <w:t>Strategic Infrastructure</w:t>
            </w:r>
          </w:p>
        </w:tc>
        <w:tc>
          <w:tcPr>
            <w:tcW w:w="5221" w:type="dxa"/>
          </w:tcPr>
          <w:p w14:paraId="1BDFDACB" w14:textId="77777777" w:rsidR="00716400" w:rsidRDefault="00B67066" w:rsidP="00EC0A3F">
            <w:pPr>
              <w:pStyle w:val="NormalWeb"/>
              <w:numPr>
                <w:ilvl w:val="0"/>
                <w:numId w:val="21"/>
              </w:numPr>
              <w:spacing w:before="0" w:beforeAutospacing="0" w:after="0" w:afterAutospacing="0"/>
              <w:jc w:val="both"/>
              <w:rPr>
                <w:rFonts w:ascii="Calibri" w:hAnsi="Calibri"/>
                <w:b/>
                <w:sz w:val="20"/>
                <w:szCs w:val="20"/>
              </w:rPr>
            </w:pPr>
            <w:r w:rsidRPr="00B67066">
              <w:rPr>
                <w:rFonts w:ascii="Calibri" w:hAnsi="Calibri"/>
                <w:b/>
                <w:sz w:val="20"/>
                <w:szCs w:val="20"/>
              </w:rPr>
              <w:t>To Provide and Maintain Infrastructure and Services to All, With Special Emphasis on Rural Communities in a Sustainable Manner</w:t>
            </w:r>
          </w:p>
          <w:p w14:paraId="2A6AC612" w14:textId="4F81DF26" w:rsidR="00B67066" w:rsidRPr="00B67066" w:rsidRDefault="00B67066" w:rsidP="00EC0A3F">
            <w:pPr>
              <w:pStyle w:val="NormalWeb"/>
              <w:numPr>
                <w:ilvl w:val="0"/>
                <w:numId w:val="21"/>
              </w:numPr>
              <w:spacing w:before="0" w:beforeAutospacing="0" w:after="0" w:afterAutospacing="0"/>
              <w:jc w:val="both"/>
              <w:rPr>
                <w:rFonts w:ascii="Calibri" w:hAnsi="Calibri"/>
                <w:b/>
                <w:sz w:val="20"/>
                <w:szCs w:val="20"/>
              </w:rPr>
            </w:pPr>
            <w:r w:rsidRPr="00B67066">
              <w:rPr>
                <w:rFonts w:ascii="Calibri" w:hAnsi="Calibri"/>
                <w:b/>
                <w:sz w:val="20"/>
                <w:szCs w:val="20"/>
              </w:rPr>
              <w:lastRenderedPageBreak/>
              <w:t xml:space="preserve">To ensure coordinated Land Use Management, Taking cognizance of Sound Environmental Practices  </w:t>
            </w:r>
          </w:p>
        </w:tc>
      </w:tr>
      <w:tr w:rsidR="00FF2447" w:rsidRPr="00881795" w14:paraId="6A19BA03" w14:textId="77777777" w:rsidTr="00DD58CB">
        <w:tc>
          <w:tcPr>
            <w:tcW w:w="1699" w:type="dxa"/>
          </w:tcPr>
          <w:p w14:paraId="1A0B52BC" w14:textId="77777777" w:rsidR="00FF2447" w:rsidRPr="00881795" w:rsidRDefault="00FF2447" w:rsidP="007F0B76">
            <w:pPr>
              <w:spacing w:after="0" w:line="240" w:lineRule="auto"/>
              <w:jc w:val="both"/>
              <w:rPr>
                <w:szCs w:val="20"/>
              </w:rPr>
            </w:pPr>
            <w:r w:rsidRPr="00881795">
              <w:rPr>
                <w:szCs w:val="20"/>
              </w:rPr>
              <w:lastRenderedPageBreak/>
              <w:t>5</w:t>
            </w:r>
          </w:p>
        </w:tc>
        <w:tc>
          <w:tcPr>
            <w:tcW w:w="2709" w:type="dxa"/>
          </w:tcPr>
          <w:p w14:paraId="3F71A2F4" w14:textId="77777777" w:rsidR="00FF2447" w:rsidRPr="00881795" w:rsidRDefault="007F0B76" w:rsidP="007F0B76">
            <w:pPr>
              <w:spacing w:after="0" w:line="240" w:lineRule="auto"/>
              <w:jc w:val="both"/>
              <w:rPr>
                <w:szCs w:val="20"/>
              </w:rPr>
            </w:pPr>
            <w:r>
              <w:rPr>
                <w:szCs w:val="20"/>
              </w:rPr>
              <w:t>Environmental Sustainability</w:t>
            </w:r>
          </w:p>
        </w:tc>
        <w:tc>
          <w:tcPr>
            <w:tcW w:w="5221" w:type="dxa"/>
          </w:tcPr>
          <w:p w14:paraId="661C6348" w14:textId="3821E259" w:rsidR="007F0B76" w:rsidRPr="00881795" w:rsidRDefault="00B67066" w:rsidP="00EC0A3F">
            <w:pPr>
              <w:pStyle w:val="ListParagraph"/>
              <w:numPr>
                <w:ilvl w:val="0"/>
                <w:numId w:val="21"/>
              </w:numPr>
              <w:spacing w:after="0" w:line="240" w:lineRule="auto"/>
              <w:jc w:val="both"/>
              <w:rPr>
                <w:szCs w:val="20"/>
              </w:rPr>
            </w:pPr>
            <w:r w:rsidRPr="00B67066">
              <w:rPr>
                <w:b/>
                <w:szCs w:val="20"/>
              </w:rPr>
              <w:t xml:space="preserve">To ensure coordinated Land Use Management, Taking cognizance of Sound Environmental Practices  </w:t>
            </w:r>
          </w:p>
        </w:tc>
      </w:tr>
      <w:tr w:rsidR="00FF2447" w:rsidRPr="00881795" w14:paraId="0CB8CD3B" w14:textId="77777777" w:rsidTr="00B67066">
        <w:trPr>
          <w:trHeight w:val="274"/>
        </w:trPr>
        <w:tc>
          <w:tcPr>
            <w:tcW w:w="1699" w:type="dxa"/>
          </w:tcPr>
          <w:p w14:paraId="780204C4" w14:textId="77777777" w:rsidR="00FF2447" w:rsidRPr="00881795" w:rsidRDefault="00FF2447" w:rsidP="007F0B76">
            <w:pPr>
              <w:spacing w:after="0" w:line="240" w:lineRule="auto"/>
              <w:jc w:val="both"/>
              <w:rPr>
                <w:szCs w:val="20"/>
              </w:rPr>
            </w:pPr>
            <w:r w:rsidRPr="00881795">
              <w:rPr>
                <w:szCs w:val="20"/>
              </w:rPr>
              <w:t>6</w:t>
            </w:r>
          </w:p>
        </w:tc>
        <w:tc>
          <w:tcPr>
            <w:tcW w:w="2709" w:type="dxa"/>
          </w:tcPr>
          <w:p w14:paraId="007DC0D4" w14:textId="77777777" w:rsidR="00FF2447" w:rsidRPr="00881795" w:rsidRDefault="00FF2447" w:rsidP="007F0B76">
            <w:pPr>
              <w:spacing w:after="0" w:line="240" w:lineRule="auto"/>
              <w:jc w:val="both"/>
              <w:rPr>
                <w:szCs w:val="20"/>
              </w:rPr>
            </w:pPr>
            <w:r w:rsidRPr="00881795">
              <w:rPr>
                <w:szCs w:val="20"/>
              </w:rPr>
              <w:t>Governance and Policy</w:t>
            </w:r>
          </w:p>
        </w:tc>
        <w:tc>
          <w:tcPr>
            <w:tcW w:w="5221" w:type="dxa"/>
          </w:tcPr>
          <w:p w14:paraId="5C8245B3" w14:textId="57FD51BB" w:rsidR="0056489D" w:rsidRPr="00B67066" w:rsidRDefault="00B67066" w:rsidP="00EC0A3F">
            <w:pPr>
              <w:pStyle w:val="ListParagraph"/>
              <w:numPr>
                <w:ilvl w:val="0"/>
                <w:numId w:val="24"/>
              </w:numPr>
              <w:spacing w:line="240" w:lineRule="auto"/>
              <w:jc w:val="both"/>
              <w:rPr>
                <w:rFonts w:cs="Arial"/>
                <w:b/>
                <w:color w:val="000000"/>
                <w:szCs w:val="20"/>
              </w:rPr>
            </w:pPr>
            <w:r w:rsidRPr="00B67066">
              <w:rPr>
                <w:rFonts w:cs="Arial"/>
                <w:b/>
                <w:color w:val="000000"/>
                <w:szCs w:val="20"/>
              </w:rPr>
              <w:t>To Promote a Culture of Public Participatory Democracy and Social Cohesion</w:t>
            </w:r>
          </w:p>
        </w:tc>
      </w:tr>
      <w:tr w:rsidR="00FF2447" w:rsidRPr="00881795" w14:paraId="349A5759" w14:textId="77777777" w:rsidTr="00DD58CB">
        <w:tc>
          <w:tcPr>
            <w:tcW w:w="1699" w:type="dxa"/>
          </w:tcPr>
          <w:p w14:paraId="28A604CF" w14:textId="77777777" w:rsidR="00FF2447" w:rsidRPr="00881795" w:rsidRDefault="00FF2447" w:rsidP="007F0B76">
            <w:pPr>
              <w:spacing w:after="0" w:line="240" w:lineRule="auto"/>
              <w:jc w:val="both"/>
              <w:rPr>
                <w:szCs w:val="20"/>
              </w:rPr>
            </w:pPr>
            <w:r w:rsidRPr="00881795">
              <w:rPr>
                <w:szCs w:val="20"/>
              </w:rPr>
              <w:t>7</w:t>
            </w:r>
          </w:p>
        </w:tc>
        <w:tc>
          <w:tcPr>
            <w:tcW w:w="2709" w:type="dxa"/>
          </w:tcPr>
          <w:p w14:paraId="041351C5" w14:textId="77777777" w:rsidR="00FF2447" w:rsidRPr="00881795" w:rsidRDefault="00FF2447" w:rsidP="007F0B76">
            <w:pPr>
              <w:spacing w:after="0" w:line="240" w:lineRule="auto"/>
              <w:jc w:val="both"/>
              <w:rPr>
                <w:szCs w:val="20"/>
              </w:rPr>
            </w:pPr>
            <w:r w:rsidRPr="00881795">
              <w:rPr>
                <w:szCs w:val="20"/>
              </w:rPr>
              <w:t>Spatial Equity</w:t>
            </w:r>
          </w:p>
        </w:tc>
        <w:tc>
          <w:tcPr>
            <w:tcW w:w="5221" w:type="dxa"/>
          </w:tcPr>
          <w:p w14:paraId="5B470A3E" w14:textId="77777777" w:rsidR="007F0B76" w:rsidRPr="00B67066" w:rsidRDefault="00B67066" w:rsidP="00EC0A3F">
            <w:pPr>
              <w:pStyle w:val="ListParagraph"/>
              <w:numPr>
                <w:ilvl w:val="0"/>
                <w:numId w:val="25"/>
              </w:numPr>
              <w:spacing w:line="240" w:lineRule="auto"/>
              <w:rPr>
                <w:szCs w:val="20"/>
              </w:rPr>
            </w:pPr>
            <w:r w:rsidRPr="00B67066">
              <w:rPr>
                <w:b/>
                <w:szCs w:val="20"/>
              </w:rPr>
              <w:t xml:space="preserve">To ensure coordinated Land Use Management, Taking cognizance of Sound Environmental Practices  </w:t>
            </w:r>
          </w:p>
          <w:p w14:paraId="21181996" w14:textId="4F60C709" w:rsidR="00B67066" w:rsidRPr="007F0B76" w:rsidRDefault="00B67066" w:rsidP="00EC0A3F">
            <w:pPr>
              <w:pStyle w:val="ListParagraph"/>
              <w:numPr>
                <w:ilvl w:val="0"/>
                <w:numId w:val="25"/>
              </w:numPr>
              <w:spacing w:line="240" w:lineRule="auto"/>
              <w:rPr>
                <w:szCs w:val="20"/>
              </w:rPr>
            </w:pPr>
            <w:r>
              <w:rPr>
                <w:b/>
                <w:szCs w:val="20"/>
              </w:rPr>
              <w:t>To develop a credible IDP</w:t>
            </w:r>
          </w:p>
        </w:tc>
      </w:tr>
    </w:tbl>
    <w:p w14:paraId="2015D297" w14:textId="77777777" w:rsidR="00DD58CB" w:rsidRDefault="00DD58CB" w:rsidP="00DD58CB">
      <w:pPr>
        <w:pStyle w:val="Heading3"/>
        <w:spacing w:after="240"/>
      </w:pPr>
      <w:bookmarkStart w:id="58" w:name="_Toc478727237"/>
      <w:bookmarkStart w:id="59" w:name="_Toc479079768"/>
      <w:bookmarkStart w:id="60" w:name="_Toc479684545"/>
      <w:bookmarkStart w:id="61" w:name="_Toc480450392"/>
      <w:bookmarkStart w:id="62" w:name="_Toc481136261"/>
      <w:bookmarkStart w:id="63" w:name="_Toc481136689"/>
      <w:bookmarkStart w:id="64" w:name="_Toc481469146"/>
      <w:bookmarkStart w:id="65" w:name="_Toc481474601"/>
      <w:bookmarkStart w:id="66" w:name="_Toc481474872"/>
      <w:bookmarkStart w:id="67" w:name="_Toc481475038"/>
      <w:bookmarkStart w:id="68" w:name="_Toc481475439"/>
      <w:bookmarkStart w:id="69" w:name="_Toc485715477"/>
      <w:bookmarkStart w:id="70" w:name="_Toc485716030"/>
      <w:bookmarkStart w:id="71" w:name="_Toc510622106"/>
      <w:bookmarkStart w:id="72" w:name="_Toc510706579"/>
      <w:r w:rsidRPr="00DD58CB">
        <w:rPr>
          <w:noProof/>
        </w:rPr>
        <w:drawing>
          <wp:inline distT="0" distB="0" distL="0" distR="0" wp14:anchorId="36E5A41A" wp14:editId="22D54101">
            <wp:extent cx="6047740" cy="2714625"/>
            <wp:effectExtent l="0" t="0" r="0" b="9525"/>
            <wp:docPr id="4102" name="Picture 4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078300" cy="2728342"/>
                    </a:xfrm>
                    <a:prstGeom prst="rect">
                      <a:avLst/>
                    </a:prstGeom>
                  </pic:spPr>
                </pic:pic>
              </a:graphicData>
            </a:graphic>
          </wp:inline>
        </w:drawing>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003CBBDB" w14:textId="77777777" w:rsidR="00DD58CB" w:rsidRDefault="00556FCC" w:rsidP="00556FCC">
      <w:pPr>
        <w:pStyle w:val="Caption"/>
      </w:pPr>
      <w:bookmarkStart w:id="73" w:name="_Toc510622366"/>
      <w:r>
        <w:t xml:space="preserve">Figure </w:t>
      </w:r>
      <w:r w:rsidR="00B918A6">
        <w:fldChar w:fldCharType="begin"/>
      </w:r>
      <w:r w:rsidR="00B918A6">
        <w:instrText xml:space="preserve"> SEQ Figure \* ARABIC </w:instrText>
      </w:r>
      <w:r w:rsidR="00B918A6">
        <w:fldChar w:fldCharType="separate"/>
      </w:r>
      <w:r w:rsidR="0067023A">
        <w:rPr>
          <w:noProof/>
        </w:rPr>
        <w:t>4</w:t>
      </w:r>
      <w:r w:rsidR="00B918A6">
        <w:rPr>
          <w:noProof/>
        </w:rPr>
        <w:fldChar w:fldCharType="end"/>
      </w:r>
      <w:r w:rsidR="00DD6295">
        <w:t xml:space="preserve">: </w:t>
      </w:r>
      <w:r w:rsidR="00DD58CB">
        <w:t>Alignment for Ingegrated Implementation</w:t>
      </w:r>
      <w:bookmarkEnd w:id="73"/>
    </w:p>
    <w:p w14:paraId="491B9789" w14:textId="77777777" w:rsidR="00C368A0" w:rsidRDefault="00C368A0" w:rsidP="00750180">
      <w:pPr>
        <w:pStyle w:val="Heading3"/>
        <w:numPr>
          <w:ilvl w:val="2"/>
          <w:numId w:val="39"/>
        </w:numPr>
        <w:spacing w:after="240"/>
      </w:pPr>
      <w:bookmarkStart w:id="74" w:name="_Toc510706580"/>
      <w:r w:rsidRPr="00D200EA">
        <w:t>Local Government Back to Basics Strategy</w:t>
      </w:r>
      <w:bookmarkEnd w:id="74"/>
      <w:r w:rsidR="001B1B9D">
        <w:t xml:space="preserve"> </w:t>
      </w:r>
    </w:p>
    <w:p w14:paraId="42913989" w14:textId="77777777" w:rsidR="00554C9F" w:rsidRPr="00187DA6" w:rsidRDefault="00554C9F" w:rsidP="00554C9F">
      <w:pPr>
        <w:jc w:val="both"/>
      </w:pPr>
      <w:r w:rsidRPr="00187DA6">
        <w:t>KwaZulu-Natal’s municipalities have committed themselves to implementing the Back to Basics Programme, which aims to revitalise basic service delivery. KZN Premier and Co-operative Governance and Traditional Affairs MEC launched the campaign in Pietermaritzburg on Tuesday, 17 February 2015. A declaration of intent was signed between the provincial government and the South African Local Government Association, which represents all municipalities, through which all parties committed implementing the Back to Basics programmes.</w:t>
      </w:r>
    </w:p>
    <w:p w14:paraId="585923A5" w14:textId="77777777" w:rsidR="00554C9F" w:rsidRPr="00187DA6" w:rsidRDefault="00F51BCB" w:rsidP="00554C9F">
      <w:pPr>
        <w:jc w:val="both"/>
      </w:pPr>
      <w:r w:rsidRPr="00187DA6">
        <w:t>The programme consists of</w:t>
      </w:r>
      <w:r w:rsidR="00554C9F" w:rsidRPr="00187DA6">
        <w:t xml:space="preserve"> five pillars, namely:</w:t>
      </w:r>
    </w:p>
    <w:p w14:paraId="6EB959D7" w14:textId="77777777" w:rsidR="00554C9F" w:rsidRPr="00187DA6" w:rsidRDefault="00554C9F" w:rsidP="00750180">
      <w:pPr>
        <w:pStyle w:val="ListParagraph"/>
        <w:numPr>
          <w:ilvl w:val="0"/>
          <w:numId w:val="93"/>
        </w:numPr>
        <w:jc w:val="both"/>
      </w:pPr>
      <w:r w:rsidRPr="00187DA6">
        <w:t>Provision of basic services – creating decent living conditions;</w:t>
      </w:r>
    </w:p>
    <w:p w14:paraId="57B87255" w14:textId="77777777" w:rsidR="00554C9F" w:rsidRPr="00187DA6" w:rsidRDefault="00554C9F" w:rsidP="00750180">
      <w:pPr>
        <w:pStyle w:val="ListParagraph"/>
        <w:numPr>
          <w:ilvl w:val="0"/>
          <w:numId w:val="93"/>
        </w:numPr>
        <w:jc w:val="both"/>
      </w:pPr>
      <w:r w:rsidRPr="00187DA6">
        <w:t>Good governance;</w:t>
      </w:r>
    </w:p>
    <w:p w14:paraId="5A071001" w14:textId="77777777" w:rsidR="00554C9F" w:rsidRPr="00187DA6" w:rsidRDefault="00554C9F" w:rsidP="00750180">
      <w:pPr>
        <w:pStyle w:val="ListParagraph"/>
        <w:numPr>
          <w:ilvl w:val="0"/>
          <w:numId w:val="93"/>
        </w:numPr>
        <w:jc w:val="both"/>
      </w:pPr>
      <w:r w:rsidRPr="00187DA6">
        <w:t>Public participation;</w:t>
      </w:r>
    </w:p>
    <w:p w14:paraId="5BFDCA22" w14:textId="77777777" w:rsidR="00554C9F" w:rsidRPr="00187DA6" w:rsidRDefault="00554C9F" w:rsidP="00750180">
      <w:pPr>
        <w:pStyle w:val="ListParagraph"/>
        <w:numPr>
          <w:ilvl w:val="0"/>
          <w:numId w:val="93"/>
        </w:numPr>
        <w:jc w:val="both"/>
      </w:pPr>
      <w:r w:rsidRPr="00187DA6">
        <w:t>Financial management;</w:t>
      </w:r>
    </w:p>
    <w:p w14:paraId="3240570A" w14:textId="77777777" w:rsidR="00554C9F" w:rsidRPr="00187DA6" w:rsidRDefault="00554C9F" w:rsidP="00750180">
      <w:pPr>
        <w:pStyle w:val="ListParagraph"/>
        <w:numPr>
          <w:ilvl w:val="0"/>
          <w:numId w:val="93"/>
        </w:numPr>
        <w:jc w:val="both"/>
      </w:pPr>
      <w:r w:rsidRPr="00187DA6">
        <w:t>Institutional capacity.</w:t>
      </w:r>
    </w:p>
    <w:p w14:paraId="6957E88E" w14:textId="77777777" w:rsidR="00554C9F" w:rsidRDefault="00554C9F" w:rsidP="00554C9F">
      <w:pPr>
        <w:jc w:val="both"/>
      </w:pPr>
      <w:r w:rsidRPr="00187DA6">
        <w:t xml:space="preserve">This wide-ranging programme is aimed at rekindling the spirit of effective service delivery, efficient administration and clean governance. </w:t>
      </w:r>
      <w:r w:rsidR="00F51BCB" w:rsidRPr="00187DA6">
        <w:t xml:space="preserve">During the Launch, the Premier indicated that each municipality must on a continuous basis, </w:t>
      </w:r>
      <w:r w:rsidRPr="00187DA6">
        <w:t>reflect whether or not in the daily execution of our duties as elected r</w:t>
      </w:r>
      <w:r w:rsidR="00F51BCB" w:rsidRPr="00187DA6">
        <w:t>epresentatives and officials, local government is</w:t>
      </w:r>
      <w:r w:rsidRPr="00187DA6">
        <w:t xml:space="preserve"> improving the lives of the people. </w:t>
      </w:r>
    </w:p>
    <w:p w14:paraId="78D2D096" w14:textId="77777777" w:rsidR="001D1E46" w:rsidRDefault="001D1E46" w:rsidP="00554C9F">
      <w:pPr>
        <w:jc w:val="both"/>
      </w:pPr>
    </w:p>
    <w:p w14:paraId="5D8204A1" w14:textId="77777777" w:rsidR="001D1E46" w:rsidRPr="00187DA6" w:rsidRDefault="001D1E46" w:rsidP="00554C9F">
      <w:pPr>
        <w:jc w:val="both"/>
      </w:pPr>
    </w:p>
    <w:p w14:paraId="6C818C30" w14:textId="77777777" w:rsidR="00554C9F" w:rsidRPr="00187DA6" w:rsidRDefault="00554C9F" w:rsidP="00554C9F">
      <w:pPr>
        <w:jc w:val="both"/>
      </w:pPr>
      <w:r w:rsidRPr="00187DA6">
        <w:lastRenderedPageBreak/>
        <w:t>The following are the progress made by uMlalazi Municipality in terms of the five Back to Basics Pillars:-</w:t>
      </w:r>
    </w:p>
    <w:p w14:paraId="40EC1043" w14:textId="77777777" w:rsidR="00554C9F" w:rsidRPr="00187DA6" w:rsidRDefault="00554C9F" w:rsidP="00554C9F">
      <w:pPr>
        <w:jc w:val="both"/>
        <w:rPr>
          <w:b/>
        </w:rPr>
      </w:pPr>
      <w:r w:rsidRPr="00187DA6">
        <w:rPr>
          <w:b/>
        </w:rPr>
        <w:t>Basic Services: Creating decent living conditions</w:t>
      </w:r>
    </w:p>
    <w:p w14:paraId="3B38B9E0" w14:textId="77777777" w:rsidR="00554C9F" w:rsidRPr="00187DA6" w:rsidRDefault="00554C9F" w:rsidP="00554C9F">
      <w:pPr>
        <w:jc w:val="both"/>
      </w:pPr>
      <w:r w:rsidRPr="00187DA6">
        <w:t xml:space="preserve">The Municipality has a Pavement Management System for infrastructure in the urban areas, however there is still a challenge that the Rural Asset Management System (RAMS) is still not finalized by the District. The funding was provided to the District municipality through the Department of Transport and is waiting for the finalization of the process in order to develop its own plan for rural asset maintenance. </w:t>
      </w:r>
    </w:p>
    <w:p w14:paraId="0A3F908F" w14:textId="77777777" w:rsidR="00554C9F" w:rsidRPr="00187DA6" w:rsidRDefault="00554C9F" w:rsidP="00554C9F">
      <w:pPr>
        <w:jc w:val="both"/>
      </w:pPr>
      <w:r w:rsidRPr="00187DA6">
        <w:t>The Electricity losses still remains a challenge, it is above the norm (5-12%) it increased to 1</w:t>
      </w:r>
      <w:r w:rsidR="00F51BCB" w:rsidRPr="00187DA6">
        <w:t xml:space="preserve">4.21% and every effort is being </w:t>
      </w:r>
      <w:r w:rsidRPr="00187DA6">
        <w:t>made to reduce these losses.</w:t>
      </w:r>
    </w:p>
    <w:p w14:paraId="43996AAE" w14:textId="77777777" w:rsidR="00554C9F" w:rsidRPr="00187DA6" w:rsidRDefault="00554C9F" w:rsidP="00554C9F">
      <w:pPr>
        <w:jc w:val="both"/>
      </w:pPr>
      <w:r w:rsidRPr="00187DA6">
        <w:t>Free basics services are provided in terms of electricity an</w:t>
      </w:r>
      <w:r w:rsidR="00F51BCB" w:rsidRPr="00187DA6">
        <w:t>d refuse services, however the m</w:t>
      </w:r>
      <w:r w:rsidRPr="00187DA6">
        <w:t xml:space="preserve">unicipality does not have an Indigent Register. Currently </w:t>
      </w:r>
      <w:r w:rsidR="00F51BCB" w:rsidRPr="00187DA6">
        <w:t>the municipality is</w:t>
      </w:r>
      <w:r w:rsidRPr="00187DA6">
        <w:t xml:space="preserve"> providing free basic refuse services to a large number of households in the rural areas</w:t>
      </w:r>
      <w:r w:rsidR="00F51BCB" w:rsidRPr="00187DA6">
        <w:t xml:space="preserve"> and urban areas</w:t>
      </w:r>
      <w:r w:rsidRPr="00187DA6">
        <w:t>.</w:t>
      </w:r>
      <w:r w:rsidR="00F51BCB" w:rsidRPr="00187DA6">
        <w:t xml:space="preserve"> The municipality has a challenge with developing the indigent register and therefore will </w:t>
      </w:r>
      <w:r w:rsidRPr="00187DA6">
        <w:t>only be able to identify</w:t>
      </w:r>
      <w:r w:rsidR="00F51BCB" w:rsidRPr="00187DA6">
        <w:t xml:space="preserve"> and </w:t>
      </w:r>
      <w:r w:rsidR="001A5AE0" w:rsidRPr="00187DA6">
        <w:t xml:space="preserve">quantify </w:t>
      </w:r>
      <w:r w:rsidRPr="00187DA6">
        <w:t xml:space="preserve">the </w:t>
      </w:r>
      <w:r w:rsidR="00F51BCB" w:rsidRPr="00187DA6">
        <w:t xml:space="preserve">extent and impact </w:t>
      </w:r>
      <w:r w:rsidR="001A5AE0" w:rsidRPr="00187DA6">
        <w:t>of these free basic services.</w:t>
      </w:r>
    </w:p>
    <w:p w14:paraId="6F9E7FE8" w14:textId="77777777" w:rsidR="00554C9F" w:rsidRPr="00187DA6" w:rsidRDefault="00554C9F" w:rsidP="00554C9F">
      <w:pPr>
        <w:jc w:val="both"/>
        <w:rPr>
          <w:b/>
        </w:rPr>
      </w:pPr>
      <w:r w:rsidRPr="00187DA6">
        <w:rPr>
          <w:b/>
        </w:rPr>
        <w:t xml:space="preserve">Good Governance </w:t>
      </w:r>
    </w:p>
    <w:p w14:paraId="2E9DDA4C" w14:textId="77777777" w:rsidR="00554C9F" w:rsidRPr="00187DA6" w:rsidRDefault="00554C9F" w:rsidP="00554C9F">
      <w:pPr>
        <w:jc w:val="both"/>
      </w:pPr>
      <w:r w:rsidRPr="00187DA6">
        <w:t>The</w:t>
      </w:r>
      <w:r w:rsidR="001A5AE0" w:rsidRPr="00187DA6">
        <w:t xml:space="preserve"> Municipality is performing</w:t>
      </w:r>
      <w:r w:rsidRPr="00187DA6">
        <w:t xml:space="preserve"> well in terms of ensuring that Council meetings take place. The Oversight committees are functional, and municipal officials do attend the District IGR forum meetings.</w:t>
      </w:r>
    </w:p>
    <w:p w14:paraId="78CC688D" w14:textId="77777777" w:rsidR="00554C9F" w:rsidRPr="00187DA6" w:rsidRDefault="00554C9F" w:rsidP="00554C9F">
      <w:pPr>
        <w:jc w:val="both"/>
      </w:pPr>
      <w:r w:rsidRPr="00187DA6">
        <w:t xml:space="preserve">There is an </w:t>
      </w:r>
      <w:r w:rsidR="001A5AE0" w:rsidRPr="00187DA6">
        <w:t>anti-corruption policy in place. It does however require a review as there are</w:t>
      </w:r>
      <w:r w:rsidRPr="00187DA6">
        <w:t xml:space="preserve"> insufficient measures in place to ensure that the strategies are is implemented effectively.</w:t>
      </w:r>
    </w:p>
    <w:p w14:paraId="54D3EC59" w14:textId="77777777" w:rsidR="00554C9F" w:rsidRPr="00187DA6" w:rsidRDefault="00554C9F" w:rsidP="00554C9F">
      <w:pPr>
        <w:jc w:val="both"/>
      </w:pPr>
      <w:r w:rsidRPr="00187DA6">
        <w:t>The Municipality has a compliance system in place to ensure compliance with legislation, however the enforcement o</w:t>
      </w:r>
      <w:r w:rsidR="001A5AE0" w:rsidRPr="00187DA6">
        <w:t>f Bylaws is not very effective.</w:t>
      </w:r>
    </w:p>
    <w:p w14:paraId="497A2B8F" w14:textId="77777777" w:rsidR="00554C9F" w:rsidRPr="00187DA6" w:rsidRDefault="00554C9F" w:rsidP="00554C9F">
      <w:pPr>
        <w:jc w:val="both"/>
        <w:rPr>
          <w:b/>
        </w:rPr>
      </w:pPr>
      <w:r w:rsidRPr="00187DA6">
        <w:rPr>
          <w:b/>
        </w:rPr>
        <w:t xml:space="preserve">Public Participation </w:t>
      </w:r>
    </w:p>
    <w:p w14:paraId="6EE5DADF" w14:textId="77777777" w:rsidR="00187DA6" w:rsidRPr="00187DA6" w:rsidRDefault="001A5AE0" w:rsidP="00554C9F">
      <w:pPr>
        <w:jc w:val="both"/>
      </w:pPr>
      <w:r w:rsidRPr="00187DA6">
        <w:t xml:space="preserve">While there are some challenges </w:t>
      </w:r>
      <w:r w:rsidR="00554C9F" w:rsidRPr="00187DA6">
        <w:t>with regard to the f</w:t>
      </w:r>
      <w:r w:rsidRPr="00187DA6">
        <w:t>unctionality of ward committees, most wards</w:t>
      </w:r>
      <w:r w:rsidR="00554C9F" w:rsidRPr="00187DA6">
        <w:t xml:space="preserve"> The Councillors are holding meetings but certain wards are failing to submit sectoral reports and C</w:t>
      </w:r>
      <w:r w:rsidR="00187DA6" w:rsidRPr="00187DA6">
        <w:t>ouncillor report.</w:t>
      </w:r>
      <w:r w:rsidR="00554C9F" w:rsidRPr="00187DA6">
        <w:t xml:space="preserve"> </w:t>
      </w:r>
      <w:r w:rsidR="00187DA6" w:rsidRPr="00187DA6">
        <w:t>I</w:t>
      </w:r>
      <w:r w:rsidR="00554C9F" w:rsidRPr="00187DA6">
        <w:t xml:space="preserve">t would seem that there is a gap in terms of the Ward Committee training as Councillors are not trained to an extent where they are able to submit the documents in terms of COGTA requirements. It is recommended that a further extensive training be undertaken by COGTA. The public participation </w:t>
      </w:r>
      <w:r w:rsidR="00187DA6" w:rsidRPr="00187DA6">
        <w:t>programs</w:t>
      </w:r>
      <w:r w:rsidR="00554C9F" w:rsidRPr="00187DA6">
        <w:t xml:space="preserve"> ar</w:t>
      </w:r>
      <w:r w:rsidR="00187DA6" w:rsidRPr="00187DA6">
        <w:t>e only done during the IDP and B</w:t>
      </w:r>
      <w:r w:rsidR="00554C9F" w:rsidRPr="00187DA6">
        <w:t xml:space="preserve">udget roadshows. </w:t>
      </w:r>
    </w:p>
    <w:p w14:paraId="030A999F" w14:textId="77777777" w:rsidR="00554C9F" w:rsidRPr="00187DA6" w:rsidRDefault="00554C9F" w:rsidP="00554C9F">
      <w:pPr>
        <w:jc w:val="both"/>
        <w:rPr>
          <w:b/>
        </w:rPr>
      </w:pPr>
      <w:r w:rsidRPr="00187DA6">
        <w:rPr>
          <w:b/>
        </w:rPr>
        <w:t xml:space="preserve">Financial Management </w:t>
      </w:r>
    </w:p>
    <w:p w14:paraId="48B41EEF" w14:textId="77777777" w:rsidR="00554C9F" w:rsidRPr="00187DA6" w:rsidRDefault="00554C9F" w:rsidP="00554C9F">
      <w:pPr>
        <w:jc w:val="both"/>
      </w:pPr>
      <w:r w:rsidRPr="00187DA6">
        <w:t>The Municipal has not received any disclaimers</w:t>
      </w:r>
      <w:r w:rsidR="00187DA6" w:rsidRPr="00187DA6">
        <w:t xml:space="preserve"> from the Auditor General. The municipality continues to be growing concern as t</w:t>
      </w:r>
      <w:r w:rsidRPr="00187DA6">
        <w:t>he budget is realistic and based on cash available</w:t>
      </w:r>
      <w:r w:rsidR="00187DA6" w:rsidRPr="00187DA6">
        <w:t xml:space="preserve">. </w:t>
      </w:r>
      <w:r w:rsidRPr="00187DA6">
        <w:t>Debt collection Policy is</w:t>
      </w:r>
      <w:r w:rsidR="00187DA6" w:rsidRPr="00187DA6">
        <w:t xml:space="preserve"> in place and is implemented effectively. The </w:t>
      </w:r>
      <w:r w:rsidRPr="00187DA6">
        <w:t>SCM Unit</w:t>
      </w:r>
      <w:r w:rsidR="00187DA6" w:rsidRPr="00187DA6">
        <w:t xml:space="preserve"> has been capacitated and </w:t>
      </w:r>
      <w:r w:rsidRPr="00187DA6">
        <w:t>is functioning effectively</w:t>
      </w:r>
      <w:r w:rsidR="00187DA6" w:rsidRPr="00187DA6">
        <w:t xml:space="preserve"> as well.</w:t>
      </w:r>
    </w:p>
    <w:p w14:paraId="41139D2E" w14:textId="77777777" w:rsidR="00554C9F" w:rsidRPr="00187DA6" w:rsidRDefault="00554C9F" w:rsidP="00554C9F">
      <w:pPr>
        <w:jc w:val="both"/>
        <w:rPr>
          <w:b/>
        </w:rPr>
      </w:pPr>
      <w:r w:rsidRPr="00187DA6">
        <w:rPr>
          <w:b/>
        </w:rPr>
        <w:t xml:space="preserve">Institutional Capacity </w:t>
      </w:r>
    </w:p>
    <w:p w14:paraId="2881BCD6" w14:textId="77777777" w:rsidR="00554C9F" w:rsidRDefault="00187DA6" w:rsidP="00554C9F">
      <w:pPr>
        <w:jc w:val="both"/>
      </w:pPr>
      <w:r w:rsidRPr="00187DA6">
        <w:t>The appointments of all Section 54/56 positions have been finalized. All Directors have been appointed with the exception of the Director Planning and Economic Development which is still awaiting the MEC’s concurrence. T</w:t>
      </w:r>
      <w:r w:rsidR="00554C9F" w:rsidRPr="00187DA6">
        <w:t xml:space="preserve">he Municipality reviewed its organogram </w:t>
      </w:r>
      <w:r w:rsidRPr="00187DA6">
        <w:t>and it’s in line in terms of the human capacity required to fulfill the municipality’s vision</w:t>
      </w:r>
      <w:r w:rsidR="00554C9F" w:rsidRPr="00187DA6">
        <w:t>, however all posts cannot be budgeted for due to budget constraint.</w:t>
      </w:r>
      <w:r w:rsidRPr="00187DA6">
        <w:t xml:space="preserve"> The </w:t>
      </w:r>
      <w:r w:rsidR="00554C9F" w:rsidRPr="00187DA6">
        <w:tab/>
        <w:t>Human</w:t>
      </w:r>
      <w:r w:rsidRPr="00187DA6">
        <w:t xml:space="preserve"> </w:t>
      </w:r>
      <w:r w:rsidR="00554C9F" w:rsidRPr="00187DA6">
        <w:t>Resources department continuously provides training to Councillors and staff.</w:t>
      </w:r>
      <w:r w:rsidRPr="00187DA6">
        <w:t xml:space="preserve"> </w:t>
      </w:r>
      <w:r w:rsidR="00554C9F" w:rsidRPr="00187DA6">
        <w:t>The municipality has a staff retention policy. Skills Development is being implemented.</w:t>
      </w:r>
    </w:p>
    <w:p w14:paraId="057AE44C" w14:textId="77777777" w:rsidR="008B335E" w:rsidRDefault="008B335E" w:rsidP="00554C9F">
      <w:pPr>
        <w:jc w:val="both"/>
      </w:pPr>
    </w:p>
    <w:p w14:paraId="5694EB9C" w14:textId="77777777" w:rsidR="008B335E" w:rsidRDefault="008B335E" w:rsidP="00554C9F">
      <w:pPr>
        <w:jc w:val="both"/>
      </w:pPr>
    </w:p>
    <w:p w14:paraId="2A1F9BC3" w14:textId="77777777" w:rsidR="008B335E" w:rsidRDefault="008B335E" w:rsidP="00554C9F">
      <w:pPr>
        <w:jc w:val="both"/>
      </w:pPr>
    </w:p>
    <w:p w14:paraId="19A74462" w14:textId="77777777" w:rsidR="008B335E" w:rsidRPr="00554C9F" w:rsidRDefault="008B335E" w:rsidP="00554C9F">
      <w:pPr>
        <w:jc w:val="both"/>
        <w:rPr>
          <w:color w:val="FF0000"/>
        </w:rPr>
      </w:pPr>
    </w:p>
    <w:p w14:paraId="14363064" w14:textId="77777777" w:rsidR="00F1546C" w:rsidRPr="005A36DE" w:rsidRDefault="00F1546C" w:rsidP="00750180">
      <w:pPr>
        <w:pStyle w:val="Heading3"/>
        <w:numPr>
          <w:ilvl w:val="2"/>
          <w:numId w:val="39"/>
        </w:numPr>
        <w:spacing w:after="240"/>
      </w:pPr>
      <w:bookmarkStart w:id="75" w:name="_Toc510706581"/>
      <w:r w:rsidRPr="005A36DE">
        <w:t>The uMlalazi LM Strategic Planning Session</w:t>
      </w:r>
      <w:bookmarkEnd w:id="75"/>
    </w:p>
    <w:p w14:paraId="7DEB2D36" w14:textId="77777777" w:rsidR="00F1546C" w:rsidRPr="00F1546C" w:rsidRDefault="00187DA6" w:rsidP="00F1546C">
      <w:pPr>
        <w:spacing w:after="0" w:line="240" w:lineRule="auto"/>
        <w:ind w:right="80"/>
        <w:jc w:val="both"/>
        <w:rPr>
          <w:szCs w:val="20"/>
        </w:rPr>
      </w:pPr>
      <w:r>
        <w:rPr>
          <w:szCs w:val="20"/>
        </w:rPr>
        <w:t>The uMlalazi Municipality held</w:t>
      </w:r>
      <w:r w:rsidR="00F1546C">
        <w:rPr>
          <w:szCs w:val="20"/>
        </w:rPr>
        <w:t xml:space="preserve"> its annual strategic planning session to pave the developmental path toward service delivery moving forward</w:t>
      </w:r>
      <w:r w:rsidR="00F1546C" w:rsidRPr="00991551">
        <w:rPr>
          <w:szCs w:val="20"/>
        </w:rPr>
        <w:t>.</w:t>
      </w:r>
      <w:r w:rsidR="00F1546C" w:rsidRPr="00F1546C">
        <w:rPr>
          <w:szCs w:val="20"/>
        </w:rPr>
        <w:t xml:space="preserve"> The e</w:t>
      </w:r>
      <w:r w:rsidR="00F1546C" w:rsidRPr="00991551">
        <w:rPr>
          <w:szCs w:val="20"/>
        </w:rPr>
        <w:t>xpectation</w:t>
      </w:r>
      <w:r w:rsidR="00F1546C" w:rsidRPr="00F1546C">
        <w:rPr>
          <w:szCs w:val="20"/>
        </w:rPr>
        <w:t xml:space="preserve"> was</w:t>
      </w:r>
      <w:r w:rsidR="00F1546C" w:rsidRPr="00991551">
        <w:rPr>
          <w:szCs w:val="20"/>
        </w:rPr>
        <w:t xml:space="preserve"> that the strategic session will take forward the vision</w:t>
      </w:r>
      <w:r>
        <w:rPr>
          <w:szCs w:val="20"/>
        </w:rPr>
        <w:t xml:space="preserve"> through the implementation of the strategic goals and objective that are in line with the emphasis of the political mandate as well as new government imperatives</w:t>
      </w:r>
      <w:r w:rsidR="00F1546C" w:rsidRPr="00991551">
        <w:rPr>
          <w:szCs w:val="20"/>
        </w:rPr>
        <w:t>.</w:t>
      </w:r>
    </w:p>
    <w:p w14:paraId="42327C5C" w14:textId="77777777" w:rsidR="00F1546C" w:rsidRDefault="00F1546C" w:rsidP="00F1546C">
      <w:pPr>
        <w:spacing w:after="0" w:line="240" w:lineRule="auto"/>
        <w:ind w:right="80"/>
        <w:rPr>
          <w:szCs w:val="20"/>
        </w:rPr>
      </w:pPr>
    </w:p>
    <w:p w14:paraId="25D9A61F" w14:textId="77777777" w:rsidR="00F1546C" w:rsidRPr="00991551" w:rsidRDefault="00F1546C" w:rsidP="00F1546C">
      <w:pPr>
        <w:spacing w:after="0" w:line="240" w:lineRule="auto"/>
        <w:ind w:right="80"/>
        <w:rPr>
          <w:szCs w:val="20"/>
        </w:rPr>
      </w:pPr>
      <w:r w:rsidRPr="00F1546C">
        <w:rPr>
          <w:szCs w:val="20"/>
        </w:rPr>
        <w:t>The Mayor of uMlalazi LM, His Worship Cllr TB Zulu emphasized that administration focuses on the following matters;</w:t>
      </w:r>
    </w:p>
    <w:p w14:paraId="29C6BECB" w14:textId="77777777" w:rsidR="00F1546C" w:rsidRPr="00F1546C" w:rsidRDefault="00F1546C" w:rsidP="00F1546C">
      <w:pPr>
        <w:spacing w:after="0" w:line="240" w:lineRule="auto"/>
        <w:ind w:right="100"/>
        <w:jc w:val="both"/>
        <w:rPr>
          <w:szCs w:val="20"/>
        </w:rPr>
      </w:pPr>
    </w:p>
    <w:p w14:paraId="489228D1" w14:textId="77777777" w:rsidR="00187DA6" w:rsidRPr="00187DA6" w:rsidRDefault="00187DA6" w:rsidP="00750180">
      <w:pPr>
        <w:numPr>
          <w:ilvl w:val="0"/>
          <w:numId w:val="96"/>
        </w:numPr>
        <w:spacing w:after="160" w:line="259" w:lineRule="auto"/>
        <w:contextualSpacing/>
        <w:jc w:val="both"/>
      </w:pPr>
      <w:r>
        <w:t>The understanding that the municipality is a s</w:t>
      </w:r>
      <w:r w:rsidRPr="00187DA6">
        <w:t>ervice delivery institution and not an industry</w:t>
      </w:r>
      <w:r>
        <w:t>. We (officials) need to u</w:t>
      </w:r>
      <w:r w:rsidRPr="00187DA6">
        <w:t xml:space="preserve">nderstand that we are public servants – working for a sphere of government – </w:t>
      </w:r>
      <w:r>
        <w:t xml:space="preserve">whose </w:t>
      </w:r>
      <w:r w:rsidRPr="00187DA6">
        <w:t>mandate is to deliver services to the people</w:t>
      </w:r>
      <w:r>
        <w:t>. Staff needs to practice ethical codes of good conduct.</w:t>
      </w:r>
    </w:p>
    <w:p w14:paraId="2A34C72C" w14:textId="77777777" w:rsidR="00187DA6" w:rsidRPr="00187DA6" w:rsidRDefault="00187DA6" w:rsidP="00750180">
      <w:pPr>
        <w:numPr>
          <w:ilvl w:val="0"/>
          <w:numId w:val="96"/>
        </w:numPr>
        <w:spacing w:after="160" w:line="259" w:lineRule="auto"/>
        <w:contextualSpacing/>
        <w:jc w:val="both"/>
      </w:pPr>
      <w:r>
        <w:t>The year 2018 is the 2</w:t>
      </w:r>
      <w:r w:rsidRPr="00187DA6">
        <w:rPr>
          <w:vertAlign w:val="superscript"/>
        </w:rPr>
        <w:t>nd</w:t>
      </w:r>
      <w:r>
        <w:t xml:space="preserve"> </w:t>
      </w:r>
      <w:r w:rsidRPr="00187DA6">
        <w:t>year in</w:t>
      </w:r>
      <w:r>
        <w:t xml:space="preserve"> the 2016</w:t>
      </w:r>
      <w:r w:rsidRPr="00187DA6">
        <w:t>/</w:t>
      </w:r>
      <w:r>
        <w:t xml:space="preserve">17 – </w:t>
      </w:r>
      <w:r w:rsidRPr="00187DA6">
        <w:t>2021</w:t>
      </w:r>
      <w:r>
        <w:t>/22 Council term of office as Councillors were</w:t>
      </w:r>
      <w:r w:rsidRPr="00187DA6">
        <w:t xml:space="preserve"> elected on 3rd August 2016 (actual declaration of election on 10 August 2016)</w:t>
      </w:r>
      <w:r>
        <w:t>. The first r</w:t>
      </w:r>
      <w:r w:rsidRPr="00187DA6">
        <w:t>eview of 4th generation IDP should contain what the people want</w:t>
      </w:r>
      <w:r>
        <w:t xml:space="preserve"> in terms of the CBP, </w:t>
      </w:r>
      <w:r w:rsidRPr="00187DA6">
        <w:t>as they are</w:t>
      </w:r>
      <w:r>
        <w:t xml:space="preserve"> the ones who have elected and who politicians (and ultimately the municipality)</w:t>
      </w:r>
      <w:r w:rsidRPr="00187DA6">
        <w:t xml:space="preserve"> represent</w:t>
      </w:r>
      <w:r>
        <w:t>s. At this level the municipality</w:t>
      </w:r>
      <w:r w:rsidRPr="00187DA6">
        <w:t xml:space="preserve"> should driv</w:t>
      </w:r>
      <w:r>
        <w:t>e that delivery that must see positive changes</w:t>
      </w:r>
      <w:r w:rsidRPr="00187DA6">
        <w:t xml:space="preserve"> </w:t>
      </w:r>
      <w:r>
        <w:t>the lives of the</w:t>
      </w:r>
      <w:r w:rsidRPr="00187DA6">
        <w:t xml:space="preserve"> communities</w:t>
      </w:r>
      <w:r>
        <w:t xml:space="preserve"> at large.</w:t>
      </w:r>
    </w:p>
    <w:p w14:paraId="45C9B661" w14:textId="77777777" w:rsidR="00187DA6" w:rsidRPr="00187DA6" w:rsidRDefault="00187DA6" w:rsidP="00750180">
      <w:pPr>
        <w:numPr>
          <w:ilvl w:val="0"/>
          <w:numId w:val="96"/>
        </w:numPr>
        <w:spacing w:after="160" w:line="259" w:lineRule="auto"/>
        <w:contextualSpacing/>
        <w:jc w:val="both"/>
      </w:pPr>
      <w:r>
        <w:t xml:space="preserve">The </w:t>
      </w:r>
      <w:r w:rsidRPr="00187DA6">
        <w:t>municipality</w:t>
      </w:r>
      <w:r>
        <w:t xml:space="preserve"> has grown from </w:t>
      </w:r>
      <w:r w:rsidRPr="00187DA6">
        <w:t>26 wards to 27 wards</w:t>
      </w:r>
      <w:r>
        <w:t xml:space="preserve"> and also Councillors have grown from</w:t>
      </w:r>
      <w:r w:rsidRPr="00187DA6">
        <w:t xml:space="preserve"> </w:t>
      </w:r>
      <w:r>
        <w:t xml:space="preserve">52 </w:t>
      </w:r>
      <w:r w:rsidRPr="00187DA6">
        <w:t>to 54</w:t>
      </w:r>
      <w:r>
        <w:t xml:space="preserve">. </w:t>
      </w:r>
      <w:r w:rsidRPr="00187DA6">
        <w:t>This indicates</w:t>
      </w:r>
      <w:r>
        <w:t xml:space="preserve"> the strain that is added on the municipality’s meagre resources that are</w:t>
      </w:r>
      <w:r w:rsidRPr="00187DA6">
        <w:t xml:space="preserve"> need</w:t>
      </w:r>
      <w:r>
        <w:t>ed</w:t>
      </w:r>
      <w:r w:rsidRPr="00187DA6">
        <w:t xml:space="preserve"> to</w:t>
      </w:r>
      <w:r>
        <w:t xml:space="preserve"> be</w:t>
      </w:r>
      <w:r w:rsidRPr="00187DA6">
        <w:t xml:space="preserve"> utilize</w:t>
      </w:r>
      <w:r>
        <w:t>d</w:t>
      </w:r>
      <w:r w:rsidRPr="00187DA6">
        <w:t xml:space="preserve"> to provide services</w:t>
      </w:r>
      <w:r>
        <w:t xml:space="preserve">. </w:t>
      </w:r>
      <w:r w:rsidRPr="00187DA6">
        <w:t>With all this growth and the</w:t>
      </w:r>
      <w:r>
        <w:t xml:space="preserve"> first</w:t>
      </w:r>
      <w:r w:rsidRPr="00187DA6">
        <w:t xml:space="preserve"> year already</w:t>
      </w:r>
      <w:r>
        <w:t xml:space="preserve"> completed, the  municipality</w:t>
      </w:r>
      <w:r w:rsidRPr="00187DA6">
        <w:t xml:space="preserve"> should be aware </w:t>
      </w:r>
    </w:p>
    <w:p w14:paraId="66668772" w14:textId="77777777" w:rsidR="00187DA6" w:rsidRPr="00187DA6" w:rsidRDefault="00187DA6" w:rsidP="00750180">
      <w:pPr>
        <w:numPr>
          <w:ilvl w:val="0"/>
          <w:numId w:val="96"/>
        </w:numPr>
        <w:spacing w:after="160" w:line="259" w:lineRule="auto"/>
        <w:contextualSpacing/>
        <w:jc w:val="both"/>
      </w:pPr>
      <w:r>
        <w:t>There are h</w:t>
      </w:r>
      <w:r w:rsidRPr="00187DA6">
        <w:t>igh expectations from the municipality – people out there are not thinking of private sector</w:t>
      </w:r>
      <w:r>
        <w:t xml:space="preserve"> for employment and economic opportunities but looking at the municipality. The municipality should therefore </w:t>
      </w:r>
      <w:r w:rsidRPr="00187DA6">
        <w:t>create an environment where investors will invest to create jobs for everyone</w:t>
      </w:r>
      <w:r>
        <w:t>.</w:t>
      </w:r>
    </w:p>
    <w:p w14:paraId="4A985B91" w14:textId="64B92390" w:rsidR="00187DA6" w:rsidRDefault="00187DA6" w:rsidP="00750180">
      <w:pPr>
        <w:numPr>
          <w:ilvl w:val="0"/>
          <w:numId w:val="96"/>
        </w:numPr>
        <w:spacing w:after="160" w:line="259" w:lineRule="auto"/>
        <w:contextualSpacing/>
        <w:jc w:val="both"/>
      </w:pPr>
      <w:r>
        <w:t>The municipality is recovering</w:t>
      </w:r>
      <w:r w:rsidRPr="00187DA6">
        <w:t xml:space="preserve"> fr</w:t>
      </w:r>
      <w:r>
        <w:t>om a year which was tough</w:t>
      </w:r>
      <w:r w:rsidRPr="00187DA6">
        <w:t xml:space="preserve"> – more tough in our local space</w:t>
      </w:r>
      <w:r>
        <w:t>. Ref</w:t>
      </w:r>
      <w:r w:rsidRPr="00187DA6">
        <w:t>lect</w:t>
      </w:r>
      <w:r>
        <w:t>ing</w:t>
      </w:r>
      <w:r w:rsidRPr="00187DA6">
        <w:t xml:space="preserve"> </w:t>
      </w:r>
      <w:r>
        <w:t>back around this time in 2017 where the there</w:t>
      </w:r>
      <w:r w:rsidRPr="00187DA6">
        <w:t xml:space="preserve"> beg</w:t>
      </w:r>
      <w:r>
        <w:t>un a civil</w:t>
      </w:r>
      <w:r w:rsidRPr="00187DA6">
        <w:t xml:space="preserve"> unrest in our municipality – which culminated into a devastating service delivery protest by residents of Ward 12 and to a certain extent Ward 13.</w:t>
      </w:r>
      <w:r>
        <w:t xml:space="preserve"> The </w:t>
      </w:r>
      <w:r w:rsidRPr="00187DA6">
        <w:t>protest was the first of its kind north of the Tugela River</w:t>
      </w:r>
      <w:r>
        <w:t>. Somehow, somewhere the municipality</w:t>
      </w:r>
      <w:r w:rsidRPr="00187DA6">
        <w:t xml:space="preserve"> should find mechanisms of ensuring that in as much as service providers can convince </w:t>
      </w:r>
      <w:r>
        <w:t>us that they can do the job, the municipality</w:t>
      </w:r>
      <w:r w:rsidRPr="00187DA6">
        <w:t xml:space="preserve"> must be able to detect the faulty lines within the empty promises – this would have avoided the situation  </w:t>
      </w:r>
    </w:p>
    <w:p w14:paraId="51FDB054" w14:textId="77777777" w:rsidR="00187DA6" w:rsidRPr="00187DA6" w:rsidRDefault="00187DA6" w:rsidP="00750180">
      <w:pPr>
        <w:numPr>
          <w:ilvl w:val="0"/>
          <w:numId w:val="96"/>
        </w:numPr>
        <w:spacing w:after="160" w:line="259" w:lineRule="auto"/>
        <w:contextualSpacing/>
        <w:jc w:val="both"/>
      </w:pPr>
      <w:r>
        <w:t>The municipality must also c</w:t>
      </w:r>
      <w:r w:rsidRPr="00187DA6">
        <w:t>ontinuously try and find ways or mechanisms that will assist to get the right people for the right job</w:t>
      </w:r>
      <w:r>
        <w:t xml:space="preserve"> by a</w:t>
      </w:r>
      <w:r w:rsidRPr="00187DA6">
        <w:t>ttract</w:t>
      </w:r>
      <w:r>
        <w:t>ing</w:t>
      </w:r>
      <w:r w:rsidRPr="00187DA6">
        <w:t xml:space="preserve"> </w:t>
      </w:r>
      <w:r>
        <w:t>the best qualified people to the</w:t>
      </w:r>
      <w:r w:rsidRPr="00187DA6">
        <w:t xml:space="preserve"> municipality</w:t>
      </w:r>
      <w:r>
        <w:t>.</w:t>
      </w:r>
      <w:r w:rsidRPr="00187DA6">
        <w:t xml:space="preserve"> </w:t>
      </w:r>
    </w:p>
    <w:p w14:paraId="0C625A84" w14:textId="77777777" w:rsidR="00187DA6" w:rsidRPr="00187DA6" w:rsidRDefault="00187DA6" w:rsidP="00750180">
      <w:pPr>
        <w:numPr>
          <w:ilvl w:val="0"/>
          <w:numId w:val="96"/>
        </w:numPr>
        <w:spacing w:after="160" w:line="259" w:lineRule="auto"/>
        <w:contextualSpacing/>
        <w:jc w:val="both"/>
      </w:pPr>
      <w:r>
        <w:t xml:space="preserve">There exists </w:t>
      </w:r>
      <w:r w:rsidRPr="00187DA6">
        <w:t xml:space="preserve">a gap between local government and </w:t>
      </w:r>
      <w:r>
        <w:t xml:space="preserve">sector </w:t>
      </w:r>
      <w:r w:rsidRPr="00187DA6">
        <w:t xml:space="preserve">departments </w:t>
      </w:r>
      <w:r>
        <w:t>that operate within the</w:t>
      </w:r>
      <w:r w:rsidRPr="00187DA6">
        <w:t xml:space="preserve"> local</w:t>
      </w:r>
      <w:r>
        <w:t xml:space="preserve"> sphere. The municipality needs to strengthen relations and communications with sector departments</w:t>
      </w:r>
      <w:r w:rsidRPr="00187DA6">
        <w:t xml:space="preserve"> </w:t>
      </w:r>
    </w:p>
    <w:p w14:paraId="34371ED2" w14:textId="77777777" w:rsidR="00187DA6" w:rsidRDefault="00187DA6" w:rsidP="00750180">
      <w:pPr>
        <w:numPr>
          <w:ilvl w:val="0"/>
          <w:numId w:val="96"/>
        </w:numPr>
        <w:spacing w:after="160" w:line="259" w:lineRule="auto"/>
        <w:contextualSpacing/>
        <w:jc w:val="both"/>
      </w:pPr>
      <w:r>
        <w:t>The municipality knows its</w:t>
      </w:r>
      <w:r w:rsidRPr="00187DA6">
        <w:t xml:space="preserve"> strength</w:t>
      </w:r>
      <w:r>
        <w:t>s</w:t>
      </w:r>
      <w:r w:rsidRPr="00187DA6">
        <w:t xml:space="preserve"> and poten</w:t>
      </w:r>
      <w:r>
        <w:t>tial – Agriculture and Tourism</w:t>
      </w:r>
      <w:r w:rsidRPr="00187DA6">
        <w:t xml:space="preserve"> – </w:t>
      </w:r>
      <w:r>
        <w:t>yet little is being done with respect to these. The municipality needs to coordinate with the DoA and EDTEA and uMTA to be able to guide each other in terms of agriculture and tourism.</w:t>
      </w:r>
    </w:p>
    <w:p w14:paraId="41A61FDA" w14:textId="77777777" w:rsidR="00187DA6" w:rsidRDefault="00187DA6" w:rsidP="00750180">
      <w:pPr>
        <w:numPr>
          <w:ilvl w:val="0"/>
          <w:numId w:val="96"/>
        </w:numPr>
        <w:spacing w:after="160" w:line="259" w:lineRule="auto"/>
        <w:contextualSpacing/>
        <w:jc w:val="both"/>
      </w:pPr>
      <w:r>
        <w:t>The municipality is being commended for good audit outcome. However, the IDP rating dropped and management should do more to ensure that the rating are better.</w:t>
      </w:r>
    </w:p>
    <w:p w14:paraId="1D20C590" w14:textId="77777777" w:rsidR="00187DA6" w:rsidRDefault="00187DA6" w:rsidP="00750180">
      <w:pPr>
        <w:numPr>
          <w:ilvl w:val="0"/>
          <w:numId w:val="96"/>
        </w:numPr>
        <w:spacing w:after="160" w:line="259" w:lineRule="auto"/>
        <w:contextualSpacing/>
        <w:jc w:val="both"/>
      </w:pPr>
      <w:r>
        <w:t>The departure of the Director Engineering put pressure on the MIG spending and risked a reduction in the MIG allocation. To avoid this the administration must consider timeous planning as it is known by February what allocation is going to be received, administration should then be more proactive in ensuring that projects commence on the first day of the financial year.</w:t>
      </w:r>
    </w:p>
    <w:p w14:paraId="0D47F736" w14:textId="77777777" w:rsidR="00187DA6" w:rsidRDefault="00187DA6" w:rsidP="00750180">
      <w:pPr>
        <w:numPr>
          <w:ilvl w:val="0"/>
          <w:numId w:val="96"/>
        </w:numPr>
        <w:spacing w:after="160" w:line="259" w:lineRule="auto"/>
        <w:contextualSpacing/>
        <w:jc w:val="both"/>
      </w:pPr>
      <w:r>
        <w:t xml:space="preserve">The municipality should focus more on its competitive advantage, the municipality has 19 km of coastline with is not being developed, exploited (in terms of tourism) not effective utilised. There needs to be and investment attraction strategy. There are however two major hindrances to development – Legal Challenges and Bulk Infrastructure needs </w:t>
      </w:r>
    </w:p>
    <w:p w14:paraId="1CE39A8D" w14:textId="77777777" w:rsidR="00187DA6" w:rsidRDefault="00187DA6" w:rsidP="00750180">
      <w:pPr>
        <w:numPr>
          <w:ilvl w:val="0"/>
          <w:numId w:val="96"/>
        </w:numPr>
        <w:spacing w:after="160" w:line="259" w:lineRule="auto"/>
        <w:contextualSpacing/>
        <w:jc w:val="both"/>
      </w:pPr>
      <w:r>
        <w:t>There is government policy</w:t>
      </w:r>
      <w:r w:rsidRPr="00187DA6">
        <w:t xml:space="preserve"> in KZN that is going to move to the rest of South Africa</w:t>
      </w:r>
      <w:r>
        <w:t xml:space="preserve"> forward that is</w:t>
      </w:r>
      <w:r w:rsidRPr="00187DA6">
        <w:t xml:space="preserve"> – </w:t>
      </w:r>
      <w:r>
        <w:t>R</w:t>
      </w:r>
      <w:r w:rsidRPr="00187DA6">
        <w:t xml:space="preserve">adical </w:t>
      </w:r>
      <w:r>
        <w:t xml:space="preserve">Socio-Economic Transformation. The municipality should ensure that all municipal policies are aligned to this policy. Focus should be to </w:t>
      </w:r>
      <w:r w:rsidRPr="00187DA6">
        <w:t>ensure that our people our local people are developed</w:t>
      </w:r>
      <w:r>
        <w:t>; the</w:t>
      </w:r>
      <w:r w:rsidRPr="00187DA6">
        <w:t xml:space="preserve"> disabled people are developed</w:t>
      </w:r>
      <w:r>
        <w:t xml:space="preserve">; </w:t>
      </w:r>
      <w:r w:rsidRPr="00187DA6">
        <w:t>women are assisted and developed</w:t>
      </w:r>
      <w:r>
        <w:t>.</w:t>
      </w:r>
    </w:p>
    <w:p w14:paraId="62ACD515" w14:textId="77777777" w:rsidR="00187DA6" w:rsidRDefault="00187DA6" w:rsidP="00750180">
      <w:pPr>
        <w:numPr>
          <w:ilvl w:val="0"/>
          <w:numId w:val="96"/>
        </w:numPr>
        <w:spacing w:after="160" w:line="259" w:lineRule="auto"/>
        <w:contextualSpacing/>
        <w:jc w:val="both"/>
      </w:pPr>
      <w:r>
        <w:t xml:space="preserve">The municipality should amend/review its policy on subcontracting which is a thorny issue across the municipality. The SCM policies must be transparent and simple enough to ensure the people know what to </w:t>
      </w:r>
      <w:r>
        <w:lastRenderedPageBreak/>
        <w:t>expect. The municipality must ensure that it assist the</w:t>
      </w:r>
      <w:r w:rsidRPr="00187DA6">
        <w:t xml:space="preserve"> local contractors </w:t>
      </w:r>
      <w:r>
        <w:t>– if there is a gap that exists, the municipality should then workshop them</w:t>
      </w:r>
      <w:r w:rsidRPr="00187DA6">
        <w:t xml:space="preserve"> together with the Chamber of Business</w:t>
      </w:r>
      <w:r>
        <w:t>.</w:t>
      </w:r>
    </w:p>
    <w:p w14:paraId="1B7779DF" w14:textId="77777777" w:rsidR="00F1546C" w:rsidRDefault="00F1546C" w:rsidP="00F1546C">
      <w:pPr>
        <w:spacing w:after="0" w:line="240" w:lineRule="auto"/>
        <w:ind w:right="100"/>
        <w:jc w:val="both"/>
        <w:rPr>
          <w:szCs w:val="20"/>
        </w:rPr>
      </w:pPr>
    </w:p>
    <w:p w14:paraId="05EAEECD" w14:textId="77777777" w:rsidR="007A253E" w:rsidRPr="00881795" w:rsidRDefault="007A253E" w:rsidP="00D200EA">
      <w:pPr>
        <w:pStyle w:val="Heading1"/>
      </w:pPr>
      <w:bookmarkStart w:id="76" w:name="_Toc389739689"/>
      <w:bookmarkStart w:id="77" w:name="_Toc510706582"/>
      <w:r w:rsidRPr="00881795">
        <w:t xml:space="preserve">SECTION C:  SITUATIONAL </w:t>
      </w:r>
      <w:r w:rsidRPr="00D200EA">
        <w:t>ANALYSIS</w:t>
      </w:r>
      <w:bookmarkEnd w:id="76"/>
      <w:bookmarkEnd w:id="77"/>
    </w:p>
    <w:p w14:paraId="20D7E3F9" w14:textId="77777777" w:rsidR="001D0DD1" w:rsidRPr="005A36DE" w:rsidRDefault="001D0DD1" w:rsidP="00750180">
      <w:pPr>
        <w:pStyle w:val="Heading2"/>
        <w:numPr>
          <w:ilvl w:val="1"/>
          <w:numId w:val="29"/>
        </w:numPr>
      </w:pPr>
      <w:bookmarkStart w:id="78" w:name="_Toc389739690"/>
      <w:bookmarkStart w:id="79" w:name="_Toc510706583"/>
      <w:r w:rsidRPr="005A36DE">
        <w:t>S</w:t>
      </w:r>
      <w:r w:rsidR="007A253E" w:rsidRPr="005A36DE">
        <w:t>PATIAL ANALYSIS</w:t>
      </w:r>
      <w:bookmarkStart w:id="80" w:name="_Toc389739691"/>
      <w:bookmarkEnd w:id="78"/>
      <w:bookmarkEnd w:id="79"/>
    </w:p>
    <w:p w14:paraId="15519576" w14:textId="77777777" w:rsidR="007A253E" w:rsidRPr="005A36DE" w:rsidRDefault="00DD6295" w:rsidP="00750180">
      <w:pPr>
        <w:pStyle w:val="Heading3"/>
        <w:numPr>
          <w:ilvl w:val="2"/>
          <w:numId w:val="29"/>
        </w:numPr>
      </w:pPr>
      <w:bookmarkStart w:id="81" w:name="_Toc510706584"/>
      <w:r w:rsidRPr="005A36DE">
        <w:t>REGIONAL CONTEXT</w:t>
      </w:r>
      <w:bookmarkEnd w:id="80"/>
      <w:bookmarkEnd w:id="81"/>
    </w:p>
    <w:p w14:paraId="75DF86B6" w14:textId="77777777" w:rsidR="001D0DD1" w:rsidRDefault="001D0DD1" w:rsidP="001D0DD1">
      <w:pPr>
        <w:spacing w:after="0" w:line="240" w:lineRule="auto"/>
        <w:jc w:val="both"/>
        <w:rPr>
          <w:szCs w:val="20"/>
        </w:rPr>
      </w:pPr>
    </w:p>
    <w:p w14:paraId="1B3FF2D3" w14:textId="77777777" w:rsidR="00C83C08" w:rsidRPr="00AF1C43" w:rsidRDefault="00C83C08" w:rsidP="00C83C08">
      <w:pPr>
        <w:spacing w:line="240" w:lineRule="auto"/>
        <w:jc w:val="both"/>
        <w:rPr>
          <w:szCs w:val="20"/>
        </w:rPr>
      </w:pPr>
      <w:bookmarkStart w:id="82" w:name="_Toc389739694"/>
      <w:r w:rsidRPr="00AF1C43">
        <w:rPr>
          <w:szCs w:val="20"/>
        </w:rPr>
        <w:t>uMlal</w:t>
      </w:r>
      <w:r>
        <w:rPr>
          <w:szCs w:val="20"/>
        </w:rPr>
        <w:t>azi Local Municipality (KZN284)</w:t>
      </w:r>
      <w:r w:rsidRPr="00AF1C43">
        <w:rPr>
          <w:szCs w:val="20"/>
        </w:rPr>
        <w:t xml:space="preserve"> is situated along the north eastern coast of Kwa Zulu Natal</w:t>
      </w:r>
      <w:r>
        <w:rPr>
          <w:szCs w:val="20"/>
        </w:rPr>
        <w:t>, 125</w:t>
      </w:r>
      <w:r w:rsidRPr="00AF1C43">
        <w:rPr>
          <w:szCs w:val="20"/>
        </w:rPr>
        <w:t xml:space="preserve">km north east of Durban. </w:t>
      </w:r>
      <w:r w:rsidRPr="00AF1C43">
        <w:rPr>
          <w:rFonts w:cs="Calibri"/>
          <w:color w:val="000000" w:themeColor="text1"/>
          <w:szCs w:val="20"/>
        </w:rPr>
        <w:t>The eastern portion of uMlalazi Local Municipality lies on the N2 National and Provincial Development Corridor linking two major economic hubs of Richards Bay and Durban. UMlalazi municipality</w:t>
      </w:r>
      <w:r w:rsidRPr="00AF1C43">
        <w:rPr>
          <w:szCs w:val="20"/>
        </w:rPr>
        <w:t xml:space="preserve"> is located within King Cetshwayo District, which comprises of five local municipalities namely;</w:t>
      </w:r>
    </w:p>
    <w:p w14:paraId="7F53421E" w14:textId="77777777" w:rsidR="00C83C08" w:rsidRPr="002741BE" w:rsidRDefault="00C83C08" w:rsidP="00C83C08">
      <w:pPr>
        <w:pStyle w:val="ListParagraph"/>
        <w:numPr>
          <w:ilvl w:val="0"/>
          <w:numId w:val="1"/>
        </w:numPr>
        <w:spacing w:line="288" w:lineRule="auto"/>
        <w:jc w:val="both"/>
        <w:rPr>
          <w:szCs w:val="20"/>
        </w:rPr>
      </w:pPr>
      <w:r w:rsidRPr="00AF1C43">
        <w:rPr>
          <w:szCs w:val="20"/>
        </w:rPr>
        <w:t>uMfolozi LM</w:t>
      </w:r>
      <w:r w:rsidRPr="00AF1C43">
        <w:rPr>
          <w:szCs w:val="20"/>
        </w:rPr>
        <w:tab/>
      </w:r>
      <w:r w:rsidRPr="00AF1C43">
        <w:rPr>
          <w:szCs w:val="20"/>
        </w:rPr>
        <w:tab/>
        <w:t>(</w:t>
      </w:r>
      <w:r w:rsidRPr="002741BE">
        <w:rPr>
          <w:szCs w:val="20"/>
        </w:rPr>
        <w:t>KZ 281)</w:t>
      </w:r>
    </w:p>
    <w:p w14:paraId="381C8551" w14:textId="77777777" w:rsidR="00C83C08" w:rsidRPr="002741BE" w:rsidRDefault="00C83C08" w:rsidP="00C83C08">
      <w:pPr>
        <w:pStyle w:val="ListParagraph"/>
        <w:numPr>
          <w:ilvl w:val="0"/>
          <w:numId w:val="1"/>
        </w:numPr>
        <w:spacing w:line="288" w:lineRule="auto"/>
        <w:jc w:val="both"/>
        <w:rPr>
          <w:szCs w:val="20"/>
        </w:rPr>
      </w:pPr>
      <w:r w:rsidRPr="002741BE">
        <w:rPr>
          <w:szCs w:val="20"/>
        </w:rPr>
        <w:t xml:space="preserve">uMhlathuze </w:t>
      </w:r>
      <w:r>
        <w:rPr>
          <w:szCs w:val="20"/>
        </w:rPr>
        <w:t>LM</w:t>
      </w:r>
      <w:r w:rsidRPr="002741BE">
        <w:rPr>
          <w:szCs w:val="20"/>
        </w:rPr>
        <w:tab/>
        <w:t>(KZ 282)</w:t>
      </w:r>
    </w:p>
    <w:p w14:paraId="39333730" w14:textId="77777777" w:rsidR="00C83C08" w:rsidRPr="002741BE" w:rsidRDefault="00C83C08" w:rsidP="00C83C08">
      <w:pPr>
        <w:pStyle w:val="ListParagraph"/>
        <w:numPr>
          <w:ilvl w:val="0"/>
          <w:numId w:val="1"/>
        </w:numPr>
        <w:spacing w:line="288" w:lineRule="auto"/>
        <w:jc w:val="both"/>
        <w:rPr>
          <w:szCs w:val="20"/>
        </w:rPr>
      </w:pPr>
      <w:r w:rsidRPr="002741BE">
        <w:rPr>
          <w:szCs w:val="20"/>
        </w:rPr>
        <w:t xml:space="preserve">uMlalazi </w:t>
      </w:r>
      <w:r>
        <w:rPr>
          <w:szCs w:val="20"/>
        </w:rPr>
        <w:t>LM</w:t>
      </w:r>
      <w:r w:rsidRPr="002741BE">
        <w:rPr>
          <w:szCs w:val="20"/>
        </w:rPr>
        <w:tab/>
      </w:r>
      <w:r w:rsidRPr="002741BE">
        <w:rPr>
          <w:szCs w:val="20"/>
        </w:rPr>
        <w:tab/>
        <w:t>(KZ 284)</w:t>
      </w:r>
    </w:p>
    <w:p w14:paraId="7CD90034" w14:textId="77777777" w:rsidR="00C83C08" w:rsidRPr="002741BE" w:rsidRDefault="00C83C08" w:rsidP="00C83C08">
      <w:pPr>
        <w:pStyle w:val="ListParagraph"/>
        <w:numPr>
          <w:ilvl w:val="0"/>
          <w:numId w:val="1"/>
        </w:numPr>
        <w:spacing w:line="288" w:lineRule="auto"/>
        <w:jc w:val="both"/>
        <w:rPr>
          <w:szCs w:val="20"/>
        </w:rPr>
      </w:pPr>
      <w:r w:rsidRPr="002741BE">
        <w:rPr>
          <w:szCs w:val="20"/>
        </w:rPr>
        <w:t xml:space="preserve">Mthonjaneni </w:t>
      </w:r>
      <w:r>
        <w:rPr>
          <w:szCs w:val="20"/>
        </w:rPr>
        <w:t>LM</w:t>
      </w:r>
      <w:r w:rsidRPr="002741BE">
        <w:rPr>
          <w:szCs w:val="20"/>
        </w:rPr>
        <w:tab/>
        <w:t>(KZ 285)</w:t>
      </w:r>
    </w:p>
    <w:p w14:paraId="2BE9CDF1" w14:textId="77777777" w:rsidR="00C83C08" w:rsidRPr="00C8326A" w:rsidRDefault="00C83C08" w:rsidP="00C83C08">
      <w:pPr>
        <w:pStyle w:val="ListParagraph"/>
        <w:numPr>
          <w:ilvl w:val="0"/>
          <w:numId w:val="1"/>
        </w:numPr>
        <w:spacing w:line="288" w:lineRule="auto"/>
        <w:jc w:val="both"/>
        <w:rPr>
          <w:szCs w:val="20"/>
        </w:rPr>
      </w:pPr>
      <w:r w:rsidRPr="00C8326A">
        <w:rPr>
          <w:szCs w:val="20"/>
        </w:rPr>
        <w:t>Nkandla LM</w:t>
      </w:r>
      <w:r w:rsidRPr="00C8326A">
        <w:rPr>
          <w:szCs w:val="20"/>
        </w:rPr>
        <w:tab/>
      </w:r>
      <w:r w:rsidRPr="00C8326A">
        <w:rPr>
          <w:szCs w:val="20"/>
        </w:rPr>
        <w:tab/>
        <w:t>(KZ 286)</w:t>
      </w:r>
    </w:p>
    <w:p w14:paraId="438E648D" w14:textId="77777777" w:rsidR="00C83C08" w:rsidRPr="00C8326A" w:rsidRDefault="00C83C08" w:rsidP="00C83C08">
      <w:pPr>
        <w:jc w:val="both"/>
        <w:rPr>
          <w:rFonts w:cs="Calibri"/>
          <w:color w:val="000000" w:themeColor="text1"/>
          <w:szCs w:val="20"/>
        </w:rPr>
      </w:pPr>
      <w:r w:rsidRPr="00C8326A">
        <w:rPr>
          <w:rFonts w:cs="Calibri"/>
          <w:color w:val="000000" w:themeColor="text1"/>
          <w:szCs w:val="20"/>
        </w:rPr>
        <w:t xml:space="preserve">It is </w:t>
      </w:r>
      <w:r w:rsidRPr="003B206E">
        <w:rPr>
          <w:rFonts w:cs="Calibri"/>
          <w:color w:val="000000" w:themeColor="text1"/>
          <w:szCs w:val="20"/>
        </w:rPr>
        <w:t>bordered by ILembe District Municipality (Mandeni Municipality to the south and Maphumulo Municipality to the southwest). Towards the western regions, the municipality boarders Nkandla Municipality and Mthonjaneni Municipality, and to the north, it is bordered by uMhlathuze municipality. The municipality borders on the Indian Ocean on the eastern coastline which stretches approximately 1</w:t>
      </w:r>
      <w:r>
        <w:rPr>
          <w:rFonts w:cs="Calibri"/>
          <w:color w:val="000000" w:themeColor="text1"/>
          <w:szCs w:val="20"/>
        </w:rPr>
        <w:t>9</w:t>
      </w:r>
      <w:r w:rsidRPr="003B206E">
        <w:rPr>
          <w:rFonts w:cs="Calibri"/>
          <w:color w:val="000000" w:themeColor="text1"/>
          <w:szCs w:val="20"/>
        </w:rPr>
        <w:t>km, from the borders of Mandeni municipality to uMhlathuze Municipality. Geographically, the municipal</w:t>
      </w:r>
      <w:r w:rsidRPr="00C8326A">
        <w:rPr>
          <w:rFonts w:cs="Calibri"/>
          <w:color w:val="000000" w:themeColor="text1"/>
          <w:szCs w:val="20"/>
        </w:rPr>
        <w:t xml:space="preserve"> area covers 2 217km², one of the largest local authority areas in South Africa. There are 2</w:t>
      </w:r>
      <w:r>
        <w:rPr>
          <w:rFonts w:cs="Calibri"/>
          <w:color w:val="000000" w:themeColor="text1"/>
          <w:szCs w:val="20"/>
        </w:rPr>
        <w:t>7 electoral</w:t>
      </w:r>
      <w:r w:rsidRPr="00C8326A">
        <w:rPr>
          <w:rFonts w:cs="Calibri"/>
          <w:color w:val="000000" w:themeColor="text1"/>
          <w:szCs w:val="20"/>
        </w:rPr>
        <w:t xml:space="preserve"> wards and 14 tribal authority areas</w:t>
      </w:r>
      <w:r>
        <w:rPr>
          <w:rFonts w:cs="Calibri"/>
          <w:color w:val="000000" w:themeColor="text1"/>
          <w:szCs w:val="20"/>
        </w:rPr>
        <w:t xml:space="preserve"> of which AmaKhosi are custodians thereof on behalf of the Ingonyama Trust Board</w:t>
      </w:r>
      <w:r w:rsidRPr="00C8326A">
        <w:rPr>
          <w:rFonts w:cs="Calibri"/>
          <w:color w:val="000000" w:themeColor="text1"/>
          <w:szCs w:val="20"/>
        </w:rPr>
        <w:t>.</w:t>
      </w:r>
    </w:p>
    <w:p w14:paraId="48B4526F" w14:textId="77777777" w:rsidR="00C83C08" w:rsidRDefault="00C83C08" w:rsidP="00C83C08">
      <w:pPr>
        <w:autoSpaceDE w:val="0"/>
        <w:autoSpaceDN w:val="0"/>
        <w:adjustRightInd w:val="0"/>
        <w:jc w:val="both"/>
        <w:rPr>
          <w:rFonts w:cs="Calibri"/>
          <w:color w:val="000000" w:themeColor="text1"/>
          <w:szCs w:val="20"/>
          <w:lang w:bidi="en-US"/>
        </w:rPr>
      </w:pPr>
      <w:r w:rsidRPr="00881795">
        <w:rPr>
          <w:rFonts w:cs="Calibri"/>
          <w:color w:val="000000" w:themeColor="text1"/>
          <w:szCs w:val="20"/>
          <w:lang w:bidi="en-US"/>
        </w:rPr>
        <w:t>The uMlalazi Municipality is crossed by a number of important transportation routes, such as the N2 Motorway between Durban and Richards Bay, the R34 between Richards Bay/Empangeni and Nkwaleni valley to the north of Eshowe, and the R66 from the N2 Motorway to Gingindlovu, Eshowe, Melmoth, Ulundi and Vryheid. The</w:t>
      </w:r>
      <w:r>
        <w:rPr>
          <w:rFonts w:cs="Calibri"/>
          <w:color w:val="000000" w:themeColor="text1"/>
          <w:szCs w:val="20"/>
          <w:lang w:bidi="en-US"/>
        </w:rPr>
        <w:t xml:space="preserve"> famous King Shaka (Zulu) Heritage Route</w:t>
      </w:r>
      <w:r w:rsidRPr="00881795">
        <w:rPr>
          <w:rFonts w:cs="Calibri"/>
          <w:color w:val="000000" w:themeColor="text1"/>
          <w:szCs w:val="20"/>
          <w:lang w:bidi="en-US"/>
        </w:rPr>
        <w:t xml:space="preserve"> R66</w:t>
      </w:r>
      <w:r>
        <w:rPr>
          <w:rFonts w:cs="Calibri"/>
          <w:color w:val="000000" w:themeColor="text1"/>
          <w:szCs w:val="20"/>
          <w:lang w:bidi="en-US"/>
        </w:rPr>
        <w:t xml:space="preserve"> has a lot of historical and cultural significance and is promoted a tourism route.</w:t>
      </w:r>
    </w:p>
    <w:p w14:paraId="48CB44AA" w14:textId="328A0D5D" w:rsidR="00C83C08" w:rsidRPr="00E12267" w:rsidRDefault="00C83C08" w:rsidP="00C83C08">
      <w:pPr>
        <w:pStyle w:val="Caption"/>
      </w:pPr>
      <w:r>
        <w:t xml:space="preserve">Map </w:t>
      </w:r>
      <w:r w:rsidR="00B918A6">
        <w:fldChar w:fldCharType="begin"/>
      </w:r>
      <w:r w:rsidR="00B918A6">
        <w:instrText xml:space="preserve"> SEQ Map \* ARABIC </w:instrText>
      </w:r>
      <w:r w:rsidR="00B918A6">
        <w:fldChar w:fldCharType="separate"/>
      </w:r>
      <w:r w:rsidR="0067023A">
        <w:rPr>
          <w:noProof/>
        </w:rPr>
        <w:t>4</w:t>
      </w:r>
      <w:r w:rsidR="00B918A6">
        <w:rPr>
          <w:noProof/>
        </w:rPr>
        <w:fldChar w:fldCharType="end"/>
      </w:r>
      <w:r>
        <w:t xml:space="preserve">: </w:t>
      </w:r>
      <w:r w:rsidRPr="00B450DD">
        <w:t>Regional Context</w:t>
      </w:r>
      <w:r w:rsidR="001D1E46" w:rsidRPr="00A7173A">
        <w:rPr>
          <w:color w:val="000000" w:themeColor="text1"/>
        </w:rPr>
        <w:object w:dxaOrig="12630" w:dyaOrig="8940" w14:anchorId="372A1648">
          <v:shape id="_x0000_i1027" type="#_x0000_t75" style="width:489.75pt;height:234pt" o:ole="">
            <v:imagedata r:id="rId9" o:title=""/>
          </v:shape>
          <o:OLEObject Type="Embed" ProgID="AcroExch.Document.11" ShapeID="_x0000_i1027" DrawAspect="Content" ObjectID="_1587449250" r:id="rId26"/>
        </w:object>
      </w:r>
    </w:p>
    <w:p w14:paraId="39160D84" w14:textId="1D2BDF81" w:rsidR="00C83C08" w:rsidRDefault="00C83C08" w:rsidP="00C83C08">
      <w:pPr>
        <w:jc w:val="both"/>
        <w:rPr>
          <w:rFonts w:cs="Calibri"/>
          <w:color w:val="000000" w:themeColor="text1"/>
          <w:szCs w:val="20"/>
        </w:rPr>
      </w:pPr>
    </w:p>
    <w:p w14:paraId="1E11600A" w14:textId="77777777" w:rsidR="00C83C08" w:rsidRPr="00881795" w:rsidRDefault="00C83C08" w:rsidP="00C83C08">
      <w:pPr>
        <w:rPr>
          <w:rFonts w:cs="Calibri"/>
          <w:color w:val="000000" w:themeColor="text1"/>
          <w:szCs w:val="20"/>
          <w:lang w:bidi="en-US"/>
        </w:rPr>
      </w:pPr>
      <w:r w:rsidRPr="00881795">
        <w:rPr>
          <w:rFonts w:cs="Calibri"/>
          <w:color w:val="000000" w:themeColor="text1"/>
          <w:szCs w:val="20"/>
          <w:lang w:bidi="en-US"/>
        </w:rPr>
        <w:t>Eshowe, Mtunzini and Gingindlovu form the three main towns of uMlalazi Municipality. The town of Eshowe is of great historical significance in that it is the bi</w:t>
      </w:r>
      <w:r>
        <w:rPr>
          <w:rFonts w:cs="Calibri"/>
          <w:color w:val="000000" w:themeColor="text1"/>
          <w:szCs w:val="20"/>
          <w:lang w:bidi="en-US"/>
        </w:rPr>
        <w:t>rthplace of King Cetshwayo, who was K</w:t>
      </w:r>
      <w:r w:rsidRPr="00881795">
        <w:rPr>
          <w:rFonts w:cs="Calibri"/>
          <w:color w:val="000000" w:themeColor="text1"/>
          <w:szCs w:val="20"/>
          <w:lang w:bidi="en-US"/>
        </w:rPr>
        <w:t>ing of the Zulu’s during the Anglo-Zulu War of 1879. The population distribution in the municipal area is characterized by relatively high population densities within urban nodes, and low densities in rural areas.  The municipal area is dominated by tribal areas and 14 Tribal Authorities exist within the</w:t>
      </w:r>
      <w:r>
        <w:rPr>
          <w:rFonts w:cs="Calibri"/>
          <w:color w:val="000000" w:themeColor="text1"/>
          <w:szCs w:val="20"/>
          <w:lang w:bidi="en-US"/>
        </w:rPr>
        <w:t xml:space="preserve"> municipal</w:t>
      </w:r>
      <w:r w:rsidRPr="00881795">
        <w:rPr>
          <w:rFonts w:cs="Calibri"/>
          <w:color w:val="000000" w:themeColor="text1"/>
          <w:szCs w:val="20"/>
          <w:lang w:bidi="en-US"/>
        </w:rPr>
        <w:t xml:space="preserve"> area.  </w:t>
      </w:r>
    </w:p>
    <w:p w14:paraId="1B9E265E" w14:textId="71FA1DBC" w:rsidR="007A253E" w:rsidRPr="00D200EA" w:rsidRDefault="004D7441" w:rsidP="00750180">
      <w:pPr>
        <w:pStyle w:val="Heading3"/>
        <w:numPr>
          <w:ilvl w:val="2"/>
          <w:numId w:val="29"/>
        </w:numPr>
        <w:spacing w:after="240"/>
      </w:pPr>
      <w:bookmarkStart w:id="83" w:name="_Toc510706585"/>
      <w:r w:rsidRPr="00D200EA">
        <w:t>ADMINISTRATIVE ENTITIES</w:t>
      </w:r>
      <w:bookmarkEnd w:id="82"/>
      <w:bookmarkEnd w:id="83"/>
    </w:p>
    <w:p w14:paraId="1D32A99C" w14:textId="77777777" w:rsidR="00C81AF0" w:rsidRPr="004C05FB" w:rsidRDefault="00C81AF0" w:rsidP="00750180">
      <w:pPr>
        <w:pStyle w:val="ListParagraph"/>
        <w:numPr>
          <w:ilvl w:val="0"/>
          <w:numId w:val="94"/>
        </w:numPr>
        <w:autoSpaceDE w:val="0"/>
        <w:autoSpaceDN w:val="0"/>
        <w:adjustRightInd w:val="0"/>
        <w:jc w:val="both"/>
        <w:rPr>
          <w:rFonts w:cs="Calibri"/>
          <w:color w:val="000000" w:themeColor="text1"/>
          <w:szCs w:val="20"/>
        </w:rPr>
      </w:pPr>
      <w:r w:rsidRPr="004C05FB">
        <w:rPr>
          <w:rFonts w:cs="Calibri"/>
          <w:color w:val="000000" w:themeColor="text1"/>
          <w:szCs w:val="20"/>
        </w:rPr>
        <w:t>The administrative</w:t>
      </w:r>
      <w:r w:rsidR="004C05FB" w:rsidRPr="004C05FB">
        <w:rPr>
          <w:rFonts w:cs="Calibri"/>
          <w:color w:val="000000" w:themeColor="text1"/>
          <w:szCs w:val="20"/>
        </w:rPr>
        <w:t xml:space="preserve"> city, </w:t>
      </w:r>
      <w:r w:rsidRPr="004C05FB">
        <w:rPr>
          <w:rFonts w:cs="Calibri"/>
          <w:color w:val="000000" w:themeColor="text1"/>
          <w:szCs w:val="20"/>
        </w:rPr>
        <w:t xml:space="preserve">service </w:t>
      </w:r>
      <w:r w:rsidR="00997657" w:rsidRPr="004C05FB">
        <w:rPr>
          <w:rFonts w:cs="Calibri"/>
          <w:color w:val="000000" w:themeColor="text1"/>
          <w:szCs w:val="20"/>
        </w:rPr>
        <w:t>center</w:t>
      </w:r>
      <w:r w:rsidRPr="004C05FB">
        <w:rPr>
          <w:rFonts w:cs="Calibri"/>
          <w:color w:val="000000" w:themeColor="text1"/>
          <w:szCs w:val="20"/>
        </w:rPr>
        <w:t xml:space="preserve"> </w:t>
      </w:r>
      <w:r w:rsidR="004C05FB" w:rsidRPr="004C05FB">
        <w:rPr>
          <w:rFonts w:cs="Calibri"/>
          <w:color w:val="000000" w:themeColor="text1"/>
          <w:szCs w:val="20"/>
        </w:rPr>
        <w:t xml:space="preserve">and the location of the main administrative offices </w:t>
      </w:r>
      <w:r w:rsidRPr="004C05FB">
        <w:rPr>
          <w:rFonts w:cs="Calibri"/>
          <w:color w:val="000000" w:themeColor="text1"/>
          <w:szCs w:val="20"/>
        </w:rPr>
        <w:t>of the uMlalazi Municipality is Eshowe, where a numbe</w:t>
      </w:r>
      <w:r w:rsidR="004C05FB" w:rsidRPr="004C05FB">
        <w:rPr>
          <w:rFonts w:cs="Calibri"/>
          <w:color w:val="000000" w:themeColor="text1"/>
          <w:szCs w:val="20"/>
        </w:rPr>
        <w:t>r of government departments are also</w:t>
      </w:r>
      <w:r w:rsidRPr="004C05FB">
        <w:rPr>
          <w:rFonts w:cs="Calibri"/>
          <w:color w:val="000000" w:themeColor="text1"/>
          <w:szCs w:val="20"/>
        </w:rPr>
        <w:t xml:space="preserve"> established. It is also a service </w:t>
      </w:r>
      <w:r w:rsidR="00997657" w:rsidRPr="004C05FB">
        <w:rPr>
          <w:rFonts w:cs="Calibri"/>
          <w:color w:val="000000" w:themeColor="text1"/>
          <w:szCs w:val="20"/>
        </w:rPr>
        <w:t>center</w:t>
      </w:r>
      <w:r w:rsidRPr="004C05FB">
        <w:rPr>
          <w:rFonts w:cs="Calibri"/>
          <w:color w:val="000000" w:themeColor="text1"/>
          <w:szCs w:val="20"/>
        </w:rPr>
        <w:t xml:space="preserve"> for its agricultural hinterland. </w:t>
      </w:r>
    </w:p>
    <w:p w14:paraId="3BA187C2" w14:textId="77777777" w:rsidR="004C05FB" w:rsidRPr="004C05FB" w:rsidRDefault="00C81AF0" w:rsidP="00750180">
      <w:pPr>
        <w:pStyle w:val="ListParagraph"/>
        <w:numPr>
          <w:ilvl w:val="0"/>
          <w:numId w:val="94"/>
        </w:numPr>
        <w:autoSpaceDE w:val="0"/>
        <w:autoSpaceDN w:val="0"/>
        <w:adjustRightInd w:val="0"/>
        <w:jc w:val="both"/>
        <w:rPr>
          <w:rFonts w:cs="Calibri"/>
          <w:color w:val="000000" w:themeColor="text1"/>
          <w:szCs w:val="20"/>
        </w:rPr>
      </w:pPr>
      <w:r w:rsidRPr="004C05FB">
        <w:rPr>
          <w:rFonts w:cs="Calibri"/>
          <w:color w:val="000000" w:themeColor="text1"/>
          <w:szCs w:val="20"/>
        </w:rPr>
        <w:t xml:space="preserve">Mtunzini </w:t>
      </w:r>
      <w:r w:rsidR="004C05FB" w:rsidRPr="004C05FB">
        <w:rPr>
          <w:rFonts w:cs="Calibri"/>
          <w:color w:val="000000" w:themeColor="text1"/>
          <w:szCs w:val="20"/>
        </w:rPr>
        <w:t>functions as a coastal tourist jewel for the municipality as tourist usually visit while travelling north/south of the province on the N2 and R102. The coatal town services areas of Ward 19, 20, 21 and 22 as well as the southern wards of the Mhlathuze Municipality</w:t>
      </w:r>
      <w:r w:rsidRPr="004C05FB">
        <w:rPr>
          <w:rFonts w:cs="Calibri"/>
          <w:color w:val="000000" w:themeColor="text1"/>
          <w:szCs w:val="20"/>
        </w:rPr>
        <w:t>. There is a strong emphasis on</w:t>
      </w:r>
      <w:r w:rsidR="004C05FB" w:rsidRPr="004C05FB">
        <w:rPr>
          <w:rFonts w:cs="Calibri"/>
          <w:color w:val="000000" w:themeColor="text1"/>
          <w:szCs w:val="20"/>
        </w:rPr>
        <w:t xml:space="preserve"> the</w:t>
      </w:r>
      <w:r w:rsidRPr="004C05FB">
        <w:rPr>
          <w:rFonts w:cs="Calibri"/>
          <w:color w:val="000000" w:themeColor="text1"/>
          <w:szCs w:val="20"/>
        </w:rPr>
        <w:t xml:space="preserve"> conservation</w:t>
      </w:r>
      <w:r w:rsidR="004C05FB" w:rsidRPr="004C05FB">
        <w:rPr>
          <w:rFonts w:cs="Calibri"/>
          <w:color w:val="000000" w:themeColor="text1"/>
          <w:szCs w:val="20"/>
        </w:rPr>
        <w:t xml:space="preserve"> of the coastal environmental features within the Mtunzini. </w:t>
      </w:r>
    </w:p>
    <w:p w14:paraId="3EE1FF42" w14:textId="77777777" w:rsidR="00DA5B36" w:rsidRPr="004C05FB" w:rsidRDefault="00C81AF0" w:rsidP="00750180">
      <w:pPr>
        <w:pStyle w:val="ListParagraph"/>
        <w:numPr>
          <w:ilvl w:val="0"/>
          <w:numId w:val="94"/>
        </w:numPr>
        <w:autoSpaceDE w:val="0"/>
        <w:autoSpaceDN w:val="0"/>
        <w:adjustRightInd w:val="0"/>
        <w:rPr>
          <w:rFonts w:cs="Calibri"/>
          <w:color w:val="000000" w:themeColor="text1"/>
          <w:szCs w:val="20"/>
        </w:rPr>
      </w:pPr>
      <w:r w:rsidRPr="004C05FB">
        <w:rPr>
          <w:rFonts w:cs="Calibri"/>
          <w:color w:val="000000" w:themeColor="text1"/>
          <w:szCs w:val="20"/>
        </w:rPr>
        <w:t xml:space="preserve">Gingindlovu is a much smaller urban node rendering basic services to the immediate population of the area. </w:t>
      </w:r>
      <w:r w:rsidR="004C05FB">
        <w:rPr>
          <w:rFonts w:cs="Calibri"/>
          <w:color w:val="000000" w:themeColor="text1"/>
          <w:szCs w:val="20"/>
        </w:rPr>
        <w:t xml:space="preserve">Gingindlovu has a huge potential to be established as logistics hub and industrial zone. The town also services the northern wards of Mandeni Municipality </w:t>
      </w:r>
    </w:p>
    <w:p w14:paraId="7F0A6263" w14:textId="77777777" w:rsidR="00DA5B36" w:rsidRPr="00DD6295" w:rsidRDefault="00DA5B36" w:rsidP="00750180">
      <w:pPr>
        <w:pStyle w:val="Heading3"/>
        <w:numPr>
          <w:ilvl w:val="2"/>
          <w:numId w:val="29"/>
        </w:numPr>
        <w:spacing w:after="240"/>
      </w:pPr>
      <w:bookmarkStart w:id="84" w:name="_Toc389739697"/>
      <w:bookmarkStart w:id="85" w:name="_Toc510706586"/>
      <w:r w:rsidRPr="00DD6295">
        <w:t>STRUCTURING ELEMENTS</w:t>
      </w:r>
      <w:bookmarkEnd w:id="84"/>
      <w:bookmarkEnd w:id="85"/>
    </w:p>
    <w:p w14:paraId="4C6D60E2" w14:textId="77777777" w:rsidR="00DA5B36" w:rsidRPr="00881795" w:rsidRDefault="00DA5B36" w:rsidP="00E31338">
      <w:pPr>
        <w:pStyle w:val="ListParagraph"/>
        <w:numPr>
          <w:ilvl w:val="0"/>
          <w:numId w:val="1"/>
        </w:numPr>
        <w:spacing w:line="288" w:lineRule="auto"/>
        <w:jc w:val="both"/>
        <w:rPr>
          <w:szCs w:val="20"/>
        </w:rPr>
      </w:pPr>
      <w:r w:rsidRPr="00881795">
        <w:rPr>
          <w:szCs w:val="20"/>
        </w:rPr>
        <w:t>Coastline of approximately 1</w:t>
      </w:r>
      <w:r w:rsidR="0038705A">
        <w:rPr>
          <w:szCs w:val="20"/>
        </w:rPr>
        <w:t>9</w:t>
      </w:r>
      <w:r w:rsidRPr="00881795">
        <w:rPr>
          <w:szCs w:val="20"/>
        </w:rPr>
        <w:t>kms forms the south-eastern boundary of the Municipal Area</w:t>
      </w:r>
    </w:p>
    <w:p w14:paraId="1B2A8DC1" w14:textId="77777777" w:rsidR="00DA5B36" w:rsidRPr="00881795" w:rsidRDefault="00DA5B36" w:rsidP="00E31338">
      <w:pPr>
        <w:pStyle w:val="ListParagraph"/>
        <w:numPr>
          <w:ilvl w:val="0"/>
          <w:numId w:val="1"/>
        </w:numPr>
        <w:spacing w:line="288" w:lineRule="auto"/>
        <w:jc w:val="both"/>
        <w:rPr>
          <w:szCs w:val="20"/>
        </w:rPr>
      </w:pPr>
      <w:r w:rsidRPr="00881795">
        <w:rPr>
          <w:szCs w:val="20"/>
        </w:rPr>
        <w:t xml:space="preserve">Scattered, low density settlement pattern evident on Ingonyama Trust land in the south-western third and the north-eastern third of the Municipal Area </w:t>
      </w:r>
    </w:p>
    <w:p w14:paraId="4A8CDBD0" w14:textId="77777777" w:rsidR="00DA5B36" w:rsidRPr="00881795" w:rsidRDefault="0038705A" w:rsidP="00E31338">
      <w:pPr>
        <w:pStyle w:val="ListParagraph"/>
        <w:numPr>
          <w:ilvl w:val="0"/>
          <w:numId w:val="1"/>
        </w:numPr>
        <w:spacing w:line="288" w:lineRule="auto"/>
        <w:jc w:val="both"/>
        <w:rPr>
          <w:szCs w:val="20"/>
        </w:rPr>
      </w:pPr>
      <w:r>
        <w:rPr>
          <w:szCs w:val="20"/>
        </w:rPr>
        <w:t>Ezemvelo</w:t>
      </w:r>
      <w:r w:rsidR="00DA5B36" w:rsidRPr="00881795">
        <w:rPr>
          <w:szCs w:val="20"/>
        </w:rPr>
        <w:t xml:space="preserve"> Coastal Reserve (the uMlalazi Reserve and the Amatikulu Reserve) along the coast</w:t>
      </w:r>
      <w:r w:rsidR="00E207A6">
        <w:rPr>
          <w:szCs w:val="20"/>
        </w:rPr>
        <w:t xml:space="preserve"> and</w:t>
      </w:r>
      <w:r>
        <w:rPr>
          <w:szCs w:val="20"/>
        </w:rPr>
        <w:t xml:space="preserve"> potential for Blue Flag Status and Costal Development for Tourism</w:t>
      </w:r>
    </w:p>
    <w:p w14:paraId="18D984F8" w14:textId="77777777" w:rsidR="00DA5B36" w:rsidRPr="00881795" w:rsidRDefault="00DA5B36" w:rsidP="00E31338">
      <w:pPr>
        <w:pStyle w:val="ListParagraph"/>
        <w:numPr>
          <w:ilvl w:val="0"/>
          <w:numId w:val="1"/>
        </w:numPr>
        <w:spacing w:line="288" w:lineRule="auto"/>
        <w:jc w:val="both"/>
        <w:rPr>
          <w:szCs w:val="20"/>
        </w:rPr>
      </w:pPr>
      <w:r w:rsidRPr="00881795">
        <w:rPr>
          <w:szCs w:val="20"/>
        </w:rPr>
        <w:t>N2 National Road traverses through the Municipal Area along its south-eastern boundary on the lower lying coastal plains.</w:t>
      </w:r>
      <w:r w:rsidR="00E207A6">
        <w:rPr>
          <w:szCs w:val="20"/>
        </w:rPr>
        <w:t xml:space="preserve"> Heritage Route R66 traverses from west (Gingindlovu) east towards Melmoth thereby connecting the N2 with the highlands. </w:t>
      </w:r>
    </w:p>
    <w:p w14:paraId="6BCEDFBB" w14:textId="77777777" w:rsidR="00DA5B36" w:rsidRDefault="00DA5B36" w:rsidP="00E31338">
      <w:pPr>
        <w:pStyle w:val="ListParagraph"/>
        <w:numPr>
          <w:ilvl w:val="0"/>
          <w:numId w:val="1"/>
        </w:numPr>
        <w:spacing w:line="288" w:lineRule="auto"/>
        <w:jc w:val="both"/>
        <w:rPr>
          <w:szCs w:val="20"/>
        </w:rPr>
      </w:pPr>
      <w:r w:rsidRPr="00881795">
        <w:rPr>
          <w:szCs w:val="20"/>
        </w:rPr>
        <w:t>The central and northern parts, as well as the north-western and north-eastern parts, of the Municipal Area are characterized by undulating topography.</w:t>
      </w:r>
    </w:p>
    <w:p w14:paraId="7A69E744" w14:textId="77777777" w:rsidR="007903DE" w:rsidRPr="00881795" w:rsidRDefault="007903DE" w:rsidP="00E31338">
      <w:pPr>
        <w:pStyle w:val="ListParagraph"/>
        <w:numPr>
          <w:ilvl w:val="0"/>
          <w:numId w:val="1"/>
        </w:numPr>
        <w:spacing w:line="288" w:lineRule="auto"/>
        <w:jc w:val="both"/>
        <w:rPr>
          <w:szCs w:val="20"/>
        </w:rPr>
      </w:pPr>
      <w:r>
        <w:rPr>
          <w:szCs w:val="20"/>
        </w:rPr>
        <w:t xml:space="preserve">Tourism potential exist with </w:t>
      </w:r>
      <w:r w:rsidR="00703CE6">
        <w:rPr>
          <w:szCs w:val="20"/>
        </w:rPr>
        <w:t>pristine</w:t>
      </w:r>
      <w:r>
        <w:rPr>
          <w:szCs w:val="20"/>
        </w:rPr>
        <w:t xml:space="preserve"> beaches, natural rain forest, Zulu heritage</w:t>
      </w:r>
    </w:p>
    <w:p w14:paraId="4BDA0FEB" w14:textId="77777777" w:rsidR="007903DE" w:rsidRDefault="00DA5B36" w:rsidP="00E31338">
      <w:pPr>
        <w:pStyle w:val="ListParagraph"/>
        <w:numPr>
          <w:ilvl w:val="0"/>
          <w:numId w:val="1"/>
        </w:numPr>
        <w:spacing w:line="288" w:lineRule="auto"/>
        <w:rPr>
          <w:szCs w:val="20"/>
        </w:rPr>
      </w:pPr>
      <w:r w:rsidRPr="00881795">
        <w:rPr>
          <w:szCs w:val="20"/>
        </w:rPr>
        <w:t xml:space="preserve">The R66 Main Road traverses through the </w:t>
      </w:r>
      <w:r w:rsidR="00997657" w:rsidRPr="00881795">
        <w:rPr>
          <w:szCs w:val="20"/>
        </w:rPr>
        <w:t>center</w:t>
      </w:r>
      <w:r w:rsidRPr="00881795">
        <w:rPr>
          <w:szCs w:val="20"/>
        </w:rPr>
        <w:t xml:space="preserve"> of the municipal area from south to north, providing a road link between Durban, Ulundi and Vryheid.</w:t>
      </w:r>
    </w:p>
    <w:p w14:paraId="07A179B9" w14:textId="77777777" w:rsidR="007903DE" w:rsidRDefault="007903DE" w:rsidP="00E31338">
      <w:pPr>
        <w:pStyle w:val="ListParagraph"/>
        <w:numPr>
          <w:ilvl w:val="0"/>
          <w:numId w:val="1"/>
        </w:numPr>
        <w:spacing w:line="288" w:lineRule="auto"/>
        <w:rPr>
          <w:szCs w:val="20"/>
        </w:rPr>
      </w:pPr>
      <w:r>
        <w:rPr>
          <w:szCs w:val="20"/>
        </w:rPr>
        <w:t xml:space="preserve">Mining activity </w:t>
      </w:r>
      <w:r w:rsidR="0038705A">
        <w:rPr>
          <w:szCs w:val="20"/>
        </w:rPr>
        <w:t>at</w:t>
      </w:r>
      <w:r>
        <w:rPr>
          <w:szCs w:val="20"/>
        </w:rPr>
        <w:t xml:space="preserve"> Fairbreeze will enhance local GDP, thereby improving standard of living</w:t>
      </w:r>
      <w:r w:rsidR="00C53894">
        <w:rPr>
          <w:szCs w:val="20"/>
        </w:rPr>
        <w:t>.</w:t>
      </w:r>
    </w:p>
    <w:p w14:paraId="58C76F65" w14:textId="77777777" w:rsidR="0038705A" w:rsidRDefault="00E207A6" w:rsidP="00191984">
      <w:pPr>
        <w:pStyle w:val="ListParagraph"/>
        <w:numPr>
          <w:ilvl w:val="0"/>
          <w:numId w:val="1"/>
        </w:numPr>
        <w:spacing w:line="288" w:lineRule="auto"/>
        <w:rPr>
          <w:szCs w:val="20"/>
        </w:rPr>
      </w:pPr>
      <w:r w:rsidRPr="00191984">
        <w:rPr>
          <w:szCs w:val="20"/>
        </w:rPr>
        <w:t>Abundant developable</w:t>
      </w:r>
      <w:r w:rsidR="0038705A">
        <w:rPr>
          <w:szCs w:val="20"/>
        </w:rPr>
        <w:t xml:space="preserve"> land</w:t>
      </w:r>
    </w:p>
    <w:p w14:paraId="76095094" w14:textId="77777777" w:rsidR="0038705A" w:rsidRDefault="0038705A" w:rsidP="00191984">
      <w:pPr>
        <w:pStyle w:val="ListParagraph"/>
        <w:numPr>
          <w:ilvl w:val="0"/>
          <w:numId w:val="1"/>
        </w:numPr>
        <w:spacing w:line="288" w:lineRule="auto"/>
        <w:rPr>
          <w:szCs w:val="20"/>
        </w:rPr>
      </w:pPr>
      <w:r>
        <w:rPr>
          <w:szCs w:val="20"/>
        </w:rPr>
        <w:t xml:space="preserve">The municipality is largely characterised by </w:t>
      </w:r>
      <w:r w:rsidR="00E207A6" w:rsidRPr="00191984">
        <w:rPr>
          <w:szCs w:val="20"/>
        </w:rPr>
        <w:t xml:space="preserve">Agricultural </w:t>
      </w:r>
      <w:r w:rsidR="00703CE6" w:rsidRPr="00191984">
        <w:rPr>
          <w:szCs w:val="20"/>
        </w:rPr>
        <w:t>Land</w:t>
      </w:r>
    </w:p>
    <w:p w14:paraId="5E652444" w14:textId="77777777" w:rsidR="00BF281A" w:rsidRDefault="0038705A" w:rsidP="00191984">
      <w:pPr>
        <w:pStyle w:val="ListParagraph"/>
        <w:numPr>
          <w:ilvl w:val="0"/>
          <w:numId w:val="1"/>
        </w:numPr>
        <w:spacing w:line="288" w:lineRule="auto"/>
        <w:rPr>
          <w:szCs w:val="20"/>
        </w:rPr>
        <w:sectPr w:rsidR="00BF281A" w:rsidSect="007431EE">
          <w:pgSz w:w="11907" w:h="16839" w:code="9"/>
          <w:pgMar w:top="1276" w:right="1134" w:bottom="851" w:left="1134" w:header="720" w:footer="345" w:gutter="0"/>
          <w:cols w:space="720"/>
          <w:titlePg/>
          <w:docGrid w:linePitch="360"/>
        </w:sectPr>
      </w:pPr>
      <w:r>
        <w:rPr>
          <w:szCs w:val="20"/>
        </w:rPr>
        <w:t>Agricultural Node within Nkwaleni Valley.</w:t>
      </w:r>
      <w:r>
        <w:rPr>
          <w:szCs w:val="20"/>
        </w:rPr>
        <w:br/>
      </w:r>
    </w:p>
    <w:p w14:paraId="692D311F" w14:textId="77777777" w:rsidR="00191984" w:rsidRDefault="00191984" w:rsidP="00BF281A">
      <w:pPr>
        <w:spacing w:line="288" w:lineRule="auto"/>
        <w:rPr>
          <w:szCs w:val="20"/>
        </w:rPr>
      </w:pPr>
    </w:p>
    <w:p w14:paraId="05C26C19" w14:textId="77777777" w:rsidR="00BF281A" w:rsidRDefault="00BF281A" w:rsidP="00BF281A">
      <w:pPr>
        <w:spacing w:line="288" w:lineRule="auto"/>
        <w:rPr>
          <w:szCs w:val="20"/>
        </w:rPr>
      </w:pPr>
    </w:p>
    <w:p w14:paraId="0EB9BBE6" w14:textId="77777777" w:rsidR="00BF281A" w:rsidRDefault="00BF281A" w:rsidP="00BF281A">
      <w:pPr>
        <w:spacing w:line="288" w:lineRule="auto"/>
        <w:rPr>
          <w:szCs w:val="20"/>
        </w:rPr>
      </w:pPr>
    </w:p>
    <w:p w14:paraId="066A1E9B" w14:textId="77777777" w:rsidR="00BF281A" w:rsidRDefault="00BF281A" w:rsidP="00BF281A">
      <w:pPr>
        <w:spacing w:line="288" w:lineRule="auto"/>
        <w:rPr>
          <w:szCs w:val="20"/>
        </w:rPr>
      </w:pPr>
    </w:p>
    <w:p w14:paraId="3024CEB1" w14:textId="77777777" w:rsidR="00BF281A" w:rsidRDefault="00BF281A" w:rsidP="00BF281A">
      <w:pPr>
        <w:spacing w:line="288" w:lineRule="auto"/>
        <w:rPr>
          <w:szCs w:val="20"/>
        </w:rPr>
        <w:sectPr w:rsidR="00BF281A" w:rsidSect="00BF281A">
          <w:type w:val="continuous"/>
          <w:pgSz w:w="11907" w:h="16839" w:code="9"/>
          <w:pgMar w:top="1276" w:right="1134" w:bottom="851" w:left="1134" w:header="720" w:footer="345" w:gutter="0"/>
          <w:cols w:space="720"/>
          <w:titlePg/>
          <w:docGrid w:linePitch="360"/>
        </w:sectPr>
      </w:pPr>
    </w:p>
    <w:p w14:paraId="0F1A207D" w14:textId="77777777" w:rsidR="00BF281A" w:rsidRDefault="00BF281A" w:rsidP="00BF281A">
      <w:pPr>
        <w:spacing w:line="288" w:lineRule="auto"/>
        <w:rPr>
          <w:szCs w:val="20"/>
        </w:rPr>
        <w:sectPr w:rsidR="00BF281A" w:rsidSect="00BF281A">
          <w:type w:val="continuous"/>
          <w:pgSz w:w="11907" w:h="16839" w:code="9"/>
          <w:pgMar w:top="1276" w:right="1134" w:bottom="851" w:left="1134" w:header="720" w:footer="345" w:gutter="0"/>
          <w:cols w:space="720"/>
          <w:titlePg/>
          <w:docGrid w:linePitch="360"/>
        </w:sectPr>
      </w:pPr>
    </w:p>
    <w:p w14:paraId="785D1A1F" w14:textId="77777777" w:rsidR="00BF281A" w:rsidRPr="00BF281A" w:rsidRDefault="00013C53" w:rsidP="00BF281A">
      <w:pPr>
        <w:spacing w:line="288" w:lineRule="auto"/>
        <w:rPr>
          <w:szCs w:val="20"/>
        </w:rPr>
      </w:pPr>
      <w:r w:rsidRPr="002F62F0">
        <w:object w:dxaOrig="12630" w:dyaOrig="8940" w14:anchorId="19D7728E">
          <v:shape id="_x0000_i1028" type="#_x0000_t75" style="width:800.25pt;height:438.75pt" o:ole="">
            <v:imagedata r:id="rId27" o:title=""/>
          </v:shape>
          <o:OLEObject Type="Embed" ProgID="AcroExch.Document.11" ShapeID="_x0000_i1028" DrawAspect="Content" ObjectID="_1587449251" r:id="rId28"/>
        </w:object>
      </w:r>
    </w:p>
    <w:p w14:paraId="26C018BD" w14:textId="77777777" w:rsidR="00BF281A" w:rsidRDefault="00191984" w:rsidP="002F62F0">
      <w:pPr>
        <w:pStyle w:val="Caption"/>
      </w:pPr>
      <w:bookmarkStart w:id="86" w:name="_Toc481468920"/>
      <w:r>
        <w:t xml:space="preserve">Map </w:t>
      </w:r>
      <w:r w:rsidR="00B918A6">
        <w:fldChar w:fldCharType="begin"/>
      </w:r>
      <w:r w:rsidR="00B918A6">
        <w:instrText xml:space="preserve"> SEQ Map \* ARABIC </w:instrText>
      </w:r>
      <w:r w:rsidR="00B918A6">
        <w:fldChar w:fldCharType="separate"/>
      </w:r>
      <w:r w:rsidR="0067023A">
        <w:rPr>
          <w:noProof/>
        </w:rPr>
        <w:t>5</w:t>
      </w:r>
      <w:r w:rsidR="00B918A6">
        <w:rPr>
          <w:noProof/>
        </w:rPr>
        <w:fldChar w:fldCharType="end"/>
      </w:r>
      <w:r>
        <w:t xml:space="preserve">: </w:t>
      </w:r>
      <w:r w:rsidRPr="00191984">
        <w:t>Administrative Entities: Traditional Authorities</w:t>
      </w:r>
      <w:bookmarkEnd w:id="86"/>
    </w:p>
    <w:p w14:paraId="3281DFB4" w14:textId="77777777" w:rsidR="00BF281A" w:rsidRDefault="00BF281A" w:rsidP="00191984">
      <w:pPr>
        <w:spacing w:line="288" w:lineRule="auto"/>
        <w:rPr>
          <w:szCs w:val="20"/>
        </w:rPr>
      </w:pPr>
    </w:p>
    <w:p w14:paraId="3B6FDC73" w14:textId="77777777" w:rsidR="00BF281A" w:rsidRPr="00191984" w:rsidRDefault="00BF281A" w:rsidP="00191984">
      <w:pPr>
        <w:spacing w:line="288" w:lineRule="auto"/>
        <w:rPr>
          <w:szCs w:val="20"/>
        </w:rPr>
        <w:sectPr w:rsidR="00BF281A" w:rsidRPr="00191984" w:rsidSect="00BF281A">
          <w:pgSz w:w="16839" w:h="11907" w:orient="landscape" w:code="9"/>
          <w:pgMar w:top="1134" w:right="1276" w:bottom="1134" w:left="851" w:header="720" w:footer="345" w:gutter="0"/>
          <w:cols w:space="720"/>
          <w:titlePg/>
          <w:docGrid w:linePitch="360"/>
        </w:sectPr>
      </w:pPr>
    </w:p>
    <w:p w14:paraId="4D68FC5F" w14:textId="77777777" w:rsidR="00447E3A" w:rsidRDefault="00191984" w:rsidP="002F62F0">
      <w:pPr>
        <w:pStyle w:val="Caption"/>
      </w:pPr>
      <w:bookmarkStart w:id="87" w:name="_Toc481468921"/>
      <w:r>
        <w:t xml:space="preserve">Map </w:t>
      </w:r>
      <w:r w:rsidR="00B918A6">
        <w:fldChar w:fldCharType="begin"/>
      </w:r>
      <w:r w:rsidR="00B918A6">
        <w:instrText xml:space="preserve"> SEQ Map \* ARABIC </w:instrText>
      </w:r>
      <w:r w:rsidR="00B918A6">
        <w:fldChar w:fldCharType="separate"/>
      </w:r>
      <w:r w:rsidR="0067023A">
        <w:rPr>
          <w:noProof/>
        </w:rPr>
        <w:t>6</w:t>
      </w:r>
      <w:r w:rsidR="00B918A6">
        <w:rPr>
          <w:noProof/>
        </w:rPr>
        <w:fldChar w:fldCharType="end"/>
      </w:r>
      <w:r>
        <w:t>: uMlalazi LM Locality Map</w:t>
      </w:r>
      <w:bookmarkEnd w:id="87"/>
      <w:r>
        <w:t xml:space="preserve"> </w:t>
      </w:r>
    </w:p>
    <w:p w14:paraId="4FA6A51F" w14:textId="77777777" w:rsidR="00191984" w:rsidRDefault="00191984" w:rsidP="00DA5B36">
      <w:pPr>
        <w:spacing w:line="288" w:lineRule="auto"/>
        <w:jc w:val="both"/>
      </w:pPr>
      <w:r w:rsidRPr="00191984">
        <w:rPr>
          <w:noProof/>
        </w:rPr>
        <w:drawing>
          <wp:inline distT="0" distB="0" distL="0" distR="0" wp14:anchorId="79526642" wp14:editId="6929E66A">
            <wp:extent cx="9620250" cy="5019675"/>
            <wp:effectExtent l="38100" t="38100" r="38100" b="47625"/>
            <wp:docPr id="28674" name="Picture 28674" descr="C:\Users\siphephelok\Desktop\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siphephelok\Desktop\333.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620250" cy="5019675"/>
                    </a:xfrm>
                    <a:prstGeom prst="rect">
                      <a:avLst/>
                    </a:prstGeom>
                    <a:noFill/>
                    <a:ln w="28575">
                      <a:solidFill>
                        <a:schemeClr val="tx1"/>
                      </a:solidFill>
                    </a:ln>
                  </pic:spPr>
                </pic:pic>
              </a:graphicData>
            </a:graphic>
          </wp:inline>
        </w:drawing>
      </w:r>
    </w:p>
    <w:p w14:paraId="47198395" w14:textId="77777777" w:rsidR="00191984" w:rsidRDefault="00191984" w:rsidP="00DA5B36">
      <w:pPr>
        <w:spacing w:line="288" w:lineRule="auto"/>
        <w:jc w:val="both"/>
      </w:pPr>
    </w:p>
    <w:p w14:paraId="38D9C57E" w14:textId="77777777" w:rsidR="00B543F8" w:rsidRPr="00D200EA" w:rsidRDefault="00B543F8" w:rsidP="00750180">
      <w:pPr>
        <w:pStyle w:val="Heading3"/>
        <w:numPr>
          <w:ilvl w:val="2"/>
          <w:numId w:val="29"/>
        </w:numPr>
        <w:spacing w:after="240"/>
      </w:pPr>
      <w:bookmarkStart w:id="88" w:name="_Toc510706587"/>
      <w:r w:rsidRPr="00D200EA">
        <w:lastRenderedPageBreak/>
        <w:t>EXISTING NODES AND SETTLEMENT PATTERNS</w:t>
      </w:r>
      <w:bookmarkEnd w:id="88"/>
    </w:p>
    <w:p w14:paraId="157A4EDD" w14:textId="77777777" w:rsidR="00B543F8" w:rsidRDefault="00D200EA" w:rsidP="00B543F8">
      <w:pPr>
        <w:spacing w:line="288" w:lineRule="auto"/>
        <w:jc w:val="both"/>
      </w:pPr>
      <w:r>
        <w:t>Nodes and</w:t>
      </w:r>
      <w:r w:rsidR="00B543F8">
        <w:t xml:space="preserve"> </w:t>
      </w:r>
      <w:r>
        <w:t>settlements are</w:t>
      </w:r>
      <w:r w:rsidR="00B543F8">
        <w:t xml:space="preserve"> located along main transport routes.  Accessibility to nodes in the pockets in the rural pockets between main roads is generally poor. The municipality is in the process of developing nodal development plans for rural areas to enhance the character of rural areas and developing a framework that will attract potential investment in rural areas.</w:t>
      </w:r>
    </w:p>
    <w:p w14:paraId="103030D5" w14:textId="77777777" w:rsidR="00B543F8" w:rsidRDefault="00B543F8" w:rsidP="002F62F0">
      <w:pPr>
        <w:pStyle w:val="Caption"/>
      </w:pPr>
      <w:bookmarkStart w:id="89" w:name="_Toc481468922"/>
      <w:r>
        <w:t xml:space="preserve">Map </w:t>
      </w:r>
      <w:r w:rsidR="00B918A6">
        <w:fldChar w:fldCharType="begin"/>
      </w:r>
      <w:r w:rsidR="00B918A6">
        <w:instrText xml:space="preserve"> SEQ Map \* ARABIC </w:instrText>
      </w:r>
      <w:r w:rsidR="00B918A6">
        <w:fldChar w:fldCharType="separate"/>
      </w:r>
      <w:r w:rsidR="0067023A">
        <w:rPr>
          <w:noProof/>
        </w:rPr>
        <w:t>7</w:t>
      </w:r>
      <w:r w:rsidR="00B918A6">
        <w:rPr>
          <w:noProof/>
        </w:rPr>
        <w:fldChar w:fldCharType="end"/>
      </w:r>
      <w:r>
        <w:t>: Existing Nodes and Settlements</w:t>
      </w:r>
      <w:bookmarkEnd w:id="89"/>
    </w:p>
    <w:p w14:paraId="23CE05DE" w14:textId="77777777" w:rsidR="00447E3A" w:rsidRDefault="00447E3A" w:rsidP="00DA5B36">
      <w:pPr>
        <w:spacing w:line="288" w:lineRule="auto"/>
        <w:jc w:val="both"/>
        <w:rPr>
          <w:noProof/>
          <w:szCs w:val="20"/>
          <w:lang w:val="en-ZA" w:eastAsia="en-ZA"/>
        </w:rPr>
      </w:pPr>
    </w:p>
    <w:p w14:paraId="31C3C8C0" w14:textId="77777777" w:rsidR="00D068AE" w:rsidRDefault="00D068AE" w:rsidP="00DA5B36">
      <w:pPr>
        <w:spacing w:line="288" w:lineRule="auto"/>
        <w:jc w:val="both"/>
        <w:sectPr w:rsidR="00D068AE" w:rsidSect="00447E3A">
          <w:type w:val="continuous"/>
          <w:pgSz w:w="16839" w:h="11907" w:orient="landscape" w:code="9"/>
          <w:pgMar w:top="1134" w:right="851" w:bottom="1134" w:left="851" w:header="720" w:footer="720" w:gutter="0"/>
          <w:cols w:space="720"/>
          <w:titlePg/>
          <w:docGrid w:linePitch="360"/>
        </w:sectPr>
      </w:pPr>
      <w:r w:rsidRPr="00D068AE">
        <w:rPr>
          <w:noProof/>
        </w:rPr>
        <w:drawing>
          <wp:inline distT="0" distB="0" distL="0" distR="0" wp14:anchorId="077954D7" wp14:editId="54B877E6">
            <wp:extent cx="8734425" cy="4524375"/>
            <wp:effectExtent l="0" t="0" r="9525" b="9525"/>
            <wp:docPr id="28679" name="Picture 28679" descr="C:\Users\siphephelok\Desktop\Nodes and Settleme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C:\Users\siphephelok\Desktop\Nodes and Settlements.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734425" cy="4524375"/>
                    </a:xfrm>
                    <a:prstGeom prst="rect">
                      <a:avLst/>
                    </a:prstGeom>
                    <a:noFill/>
                    <a:ln>
                      <a:noFill/>
                    </a:ln>
                  </pic:spPr>
                </pic:pic>
              </a:graphicData>
            </a:graphic>
          </wp:inline>
        </w:drawing>
      </w:r>
    </w:p>
    <w:p w14:paraId="3EF942F2" w14:textId="77777777" w:rsidR="00B543F8" w:rsidRPr="004C05FB" w:rsidRDefault="00B543F8" w:rsidP="00750180">
      <w:pPr>
        <w:pStyle w:val="Heading3"/>
        <w:numPr>
          <w:ilvl w:val="2"/>
          <w:numId w:val="29"/>
        </w:numPr>
        <w:spacing w:after="240"/>
        <w:rPr>
          <w:highlight w:val="yellow"/>
        </w:rPr>
      </w:pPr>
      <w:bookmarkStart w:id="90" w:name="_Toc510706588"/>
      <w:r w:rsidRPr="004C05FB">
        <w:rPr>
          <w:highlight w:val="yellow"/>
        </w:rPr>
        <w:lastRenderedPageBreak/>
        <w:t>INTERVENTION AREAS: CORRIDORS</w:t>
      </w:r>
      <w:bookmarkEnd w:id="90"/>
      <w:r w:rsidRPr="004C05FB">
        <w:rPr>
          <w:highlight w:val="yellow"/>
        </w:rPr>
        <w:t xml:space="preserve"> </w:t>
      </w:r>
    </w:p>
    <w:p w14:paraId="7B8A058B" w14:textId="77777777" w:rsidR="00B543F8" w:rsidRPr="00B2477F" w:rsidRDefault="00B2477F" w:rsidP="00B2477F">
      <w:pPr>
        <w:keepNext/>
        <w:rPr>
          <w:b/>
        </w:rPr>
      </w:pPr>
      <w:bookmarkStart w:id="91" w:name="_Toc481468923"/>
      <w:r w:rsidRPr="00B543F8">
        <w:rPr>
          <w:b/>
          <w:noProof/>
        </w:rPr>
        <w:drawing>
          <wp:anchor distT="0" distB="0" distL="114300" distR="114300" simplePos="0" relativeHeight="251698688" behindDoc="0" locked="0" layoutInCell="1" allowOverlap="1" wp14:anchorId="43DC8A72" wp14:editId="7EB813B9">
            <wp:simplePos x="0" y="0"/>
            <wp:positionH relativeFrom="margin">
              <wp:posOffset>77470</wp:posOffset>
            </wp:positionH>
            <wp:positionV relativeFrom="margin">
              <wp:align>center</wp:align>
            </wp:positionV>
            <wp:extent cx="9491345" cy="4740910"/>
            <wp:effectExtent l="0" t="0" r="0" b="2540"/>
            <wp:wrapSquare wrapText="bothSides"/>
            <wp:docPr id="43010" name="Picture 43010" descr="C:\Users\DR NGIDI\Downloads\Corridors_24May2015_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DR NGIDI\Downloads\Corridors_24May2015_a3.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491345" cy="47409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2477F">
        <w:rPr>
          <w:b/>
        </w:rPr>
        <w:t xml:space="preserve">Map </w:t>
      </w:r>
      <w:r w:rsidRPr="00B2477F">
        <w:rPr>
          <w:b/>
        </w:rPr>
        <w:fldChar w:fldCharType="begin"/>
      </w:r>
      <w:r w:rsidRPr="00B2477F">
        <w:rPr>
          <w:b/>
        </w:rPr>
        <w:instrText xml:space="preserve"> SEQ Map \* ARABIC </w:instrText>
      </w:r>
      <w:r w:rsidRPr="00B2477F">
        <w:rPr>
          <w:b/>
        </w:rPr>
        <w:fldChar w:fldCharType="separate"/>
      </w:r>
      <w:r w:rsidR="0067023A">
        <w:rPr>
          <w:b/>
          <w:noProof/>
        </w:rPr>
        <w:t>8</w:t>
      </w:r>
      <w:r w:rsidRPr="00B2477F">
        <w:rPr>
          <w:b/>
        </w:rPr>
        <w:fldChar w:fldCharType="end"/>
      </w:r>
      <w:r w:rsidRPr="00B2477F">
        <w:rPr>
          <w:b/>
        </w:rPr>
        <w:t>:  Intervention Areas: Corridors</w:t>
      </w:r>
      <w:bookmarkEnd w:id="91"/>
    </w:p>
    <w:p w14:paraId="79039835" w14:textId="77777777" w:rsidR="00B543F8" w:rsidRDefault="00B543F8" w:rsidP="00E207A6"/>
    <w:p w14:paraId="19F32D0E" w14:textId="77777777" w:rsidR="00B543F8" w:rsidRDefault="00B543F8" w:rsidP="00E207A6">
      <w:pPr>
        <w:sectPr w:rsidR="00B543F8" w:rsidSect="00B543F8">
          <w:type w:val="continuous"/>
          <w:pgSz w:w="16839" w:h="11907" w:orient="landscape" w:code="9"/>
          <w:pgMar w:top="1134" w:right="1276" w:bottom="1134" w:left="851" w:header="720" w:footer="720" w:gutter="0"/>
          <w:cols w:space="720"/>
          <w:titlePg/>
          <w:docGrid w:linePitch="360"/>
        </w:sectPr>
      </w:pPr>
    </w:p>
    <w:p w14:paraId="2114390C" w14:textId="77777777" w:rsidR="007A253E" w:rsidRPr="00D200EA" w:rsidRDefault="004D7441" w:rsidP="00750180">
      <w:pPr>
        <w:pStyle w:val="Heading3"/>
        <w:numPr>
          <w:ilvl w:val="2"/>
          <w:numId w:val="29"/>
        </w:numPr>
        <w:spacing w:after="240"/>
      </w:pPr>
      <w:bookmarkStart w:id="92" w:name="_Toc389739699"/>
      <w:bookmarkStart w:id="93" w:name="_Toc510706589"/>
      <w:r w:rsidRPr="00D200EA">
        <w:lastRenderedPageBreak/>
        <w:t>BROAD LAND USES</w:t>
      </w:r>
      <w:bookmarkEnd w:id="92"/>
      <w:bookmarkEnd w:id="93"/>
    </w:p>
    <w:p w14:paraId="1FDD355D" w14:textId="77777777" w:rsidR="00816BE7" w:rsidRPr="00881795" w:rsidRDefault="00816BE7" w:rsidP="00395313">
      <w:pPr>
        <w:jc w:val="both"/>
        <w:rPr>
          <w:rFonts w:cs="Calibri"/>
          <w:color w:val="000000" w:themeColor="text1"/>
        </w:rPr>
      </w:pPr>
      <w:r w:rsidRPr="00881795">
        <w:rPr>
          <w:rFonts w:cs="Calibri"/>
          <w:color w:val="000000" w:themeColor="text1"/>
        </w:rPr>
        <w:t xml:space="preserve">The uMlalazi Area is dominated by a band of commercial farms covering an area from the west of Eshowe and along the R68 to Gingindlovu and northwards along the N2 Motorway to north of Mtunzini. One isolated area of commercial farming is located in the north of the municipal area and straddles the R34, and includes the Nkwaleni Valley.  These areas are characterized by intensive agricultural practices, where land management is of the highest order. </w:t>
      </w:r>
    </w:p>
    <w:p w14:paraId="0454E683" w14:textId="77777777" w:rsidR="00816BE7" w:rsidRDefault="00816BE7" w:rsidP="00395313">
      <w:pPr>
        <w:jc w:val="both"/>
        <w:rPr>
          <w:rFonts w:cs="Calibri"/>
          <w:color w:val="000000" w:themeColor="text1"/>
        </w:rPr>
      </w:pPr>
      <w:r w:rsidRPr="00881795">
        <w:rPr>
          <w:rFonts w:cs="Calibri"/>
          <w:color w:val="000000" w:themeColor="text1"/>
        </w:rPr>
        <w:t xml:space="preserve">Agricultural production is focused on sugar cane, some timber production and citrus farming occurs in the Nkwaleni </w:t>
      </w:r>
      <w:r w:rsidR="00703CE6" w:rsidRPr="00881795">
        <w:rPr>
          <w:rFonts w:cs="Calibri"/>
          <w:color w:val="000000" w:themeColor="text1"/>
        </w:rPr>
        <w:t>Valley. The</w:t>
      </w:r>
      <w:r w:rsidRPr="00881795">
        <w:rPr>
          <w:rFonts w:cs="Calibri"/>
          <w:color w:val="000000" w:themeColor="text1"/>
        </w:rPr>
        <w:t xml:space="preserve"> largest portion of the municipal area is covered by land in the ownership of the Ngonyama Trust and farming activities are extensive. This area is also characterized by poor land management practices and presents a challenge in respect of the unlocking of the agricultural potential that exists. This area also accommodates scattered residential settlements posing considerable pressures in respect of the provision of basic services. The provision of water and sanitation is addressed in the uMlalazi IDP and the improvement of roads and accessibility also features prominently in the identified capital projects.</w:t>
      </w:r>
    </w:p>
    <w:p w14:paraId="481BEC22" w14:textId="77777777" w:rsidR="00A11771" w:rsidRPr="00881795" w:rsidRDefault="00A11771" w:rsidP="00395313">
      <w:pPr>
        <w:autoSpaceDE w:val="0"/>
        <w:autoSpaceDN w:val="0"/>
        <w:adjustRightInd w:val="0"/>
        <w:jc w:val="both"/>
        <w:rPr>
          <w:rFonts w:cs="Calibri"/>
          <w:color w:val="000000" w:themeColor="text1"/>
          <w:szCs w:val="20"/>
          <w:lang w:bidi="en-US"/>
        </w:rPr>
      </w:pPr>
      <w:r w:rsidRPr="00881795">
        <w:rPr>
          <w:rFonts w:cs="Calibri"/>
          <w:color w:val="000000" w:themeColor="text1"/>
          <w:szCs w:val="20"/>
          <w:lang w:bidi="en-US"/>
        </w:rPr>
        <w:t xml:space="preserve">The uMlalazi Area features some important conservation areas that require careful management in the unfolding development pattern: </w:t>
      </w:r>
    </w:p>
    <w:p w14:paraId="723EA532" w14:textId="77777777" w:rsidR="00A11771" w:rsidRPr="00881795" w:rsidRDefault="00A11771" w:rsidP="00E31338">
      <w:pPr>
        <w:pStyle w:val="ListParagraph"/>
        <w:numPr>
          <w:ilvl w:val="0"/>
          <w:numId w:val="1"/>
        </w:numPr>
        <w:spacing w:line="288" w:lineRule="auto"/>
        <w:jc w:val="both"/>
        <w:rPr>
          <w:szCs w:val="20"/>
        </w:rPr>
      </w:pPr>
      <w:r w:rsidRPr="00881795">
        <w:rPr>
          <w:szCs w:val="20"/>
        </w:rPr>
        <w:t>The Ongoye Forest is located in the east of the municipal area and is a nature reserve, attracting local and foreign visitors.</w:t>
      </w:r>
    </w:p>
    <w:p w14:paraId="68546EFD" w14:textId="77777777" w:rsidR="00A11771" w:rsidRPr="00881795" w:rsidRDefault="00A11771" w:rsidP="00E31338">
      <w:pPr>
        <w:pStyle w:val="ListParagraph"/>
        <w:numPr>
          <w:ilvl w:val="0"/>
          <w:numId w:val="1"/>
        </w:numPr>
        <w:spacing w:line="288" w:lineRule="auto"/>
        <w:jc w:val="both"/>
        <w:rPr>
          <w:szCs w:val="20"/>
        </w:rPr>
      </w:pPr>
      <w:r w:rsidRPr="00881795">
        <w:rPr>
          <w:szCs w:val="20"/>
        </w:rPr>
        <w:t>The Entumeni Nature Reserve, which is located to the west of Eshowe and will also require protection.</w:t>
      </w:r>
    </w:p>
    <w:p w14:paraId="0A32DB9F" w14:textId="77777777" w:rsidR="00A11771" w:rsidRPr="00881795" w:rsidRDefault="00A11771" w:rsidP="00E31338">
      <w:pPr>
        <w:pStyle w:val="ListParagraph"/>
        <w:numPr>
          <w:ilvl w:val="0"/>
          <w:numId w:val="1"/>
        </w:numPr>
        <w:spacing w:line="288" w:lineRule="auto"/>
        <w:jc w:val="both"/>
        <w:rPr>
          <w:szCs w:val="20"/>
        </w:rPr>
      </w:pPr>
      <w:r w:rsidRPr="00881795">
        <w:rPr>
          <w:szCs w:val="20"/>
        </w:rPr>
        <w:t>The Mbongolwane Wetland, which is at present not demarcated, but will be protected. It will be identified as a Management Area in terms of the uMlalazi Land Use Management System.</w:t>
      </w:r>
    </w:p>
    <w:p w14:paraId="5C2011F7" w14:textId="77777777" w:rsidR="00A11771" w:rsidRPr="00881795" w:rsidRDefault="00A11771" w:rsidP="00E31338">
      <w:pPr>
        <w:pStyle w:val="ListParagraph"/>
        <w:numPr>
          <w:ilvl w:val="0"/>
          <w:numId w:val="1"/>
        </w:numPr>
        <w:spacing w:line="288" w:lineRule="auto"/>
        <w:jc w:val="both"/>
        <w:rPr>
          <w:szCs w:val="20"/>
        </w:rPr>
      </w:pPr>
      <w:r w:rsidRPr="00881795">
        <w:rPr>
          <w:szCs w:val="20"/>
        </w:rPr>
        <w:t>The Dhlinza Forest, which is located within the town of Eshowe and is a nature reserve.</w:t>
      </w:r>
    </w:p>
    <w:p w14:paraId="555E1B34" w14:textId="77777777" w:rsidR="00EE1EB8" w:rsidRPr="00881795" w:rsidRDefault="00A11771" w:rsidP="00395313">
      <w:pPr>
        <w:autoSpaceDE w:val="0"/>
        <w:autoSpaceDN w:val="0"/>
        <w:adjustRightInd w:val="0"/>
        <w:jc w:val="both"/>
        <w:rPr>
          <w:rFonts w:cs="Calibri"/>
          <w:color w:val="000000" w:themeColor="text1"/>
          <w:szCs w:val="20"/>
          <w:lang w:bidi="en-US"/>
        </w:rPr>
      </w:pPr>
      <w:r w:rsidRPr="00881795">
        <w:rPr>
          <w:rFonts w:cs="Calibri"/>
          <w:color w:val="000000" w:themeColor="text1"/>
          <w:szCs w:val="20"/>
          <w:lang w:bidi="en-US"/>
        </w:rPr>
        <w:t xml:space="preserve">One of the outstanding features in the uMlalazi Area is the coastal zone from north of Mtunzini to the </w:t>
      </w:r>
      <w:r w:rsidR="00703CE6" w:rsidRPr="00881795">
        <w:rPr>
          <w:rFonts w:cs="Calibri"/>
          <w:color w:val="000000" w:themeColor="text1"/>
          <w:szCs w:val="20"/>
          <w:lang w:bidi="en-US"/>
        </w:rPr>
        <w:t>Amatikulu</w:t>
      </w:r>
      <w:r w:rsidRPr="00881795">
        <w:rPr>
          <w:rFonts w:cs="Calibri"/>
          <w:color w:val="000000" w:themeColor="text1"/>
          <w:szCs w:val="20"/>
          <w:lang w:bidi="en-US"/>
        </w:rPr>
        <w:t xml:space="preserve"> River mouth. It covers an area of approximately 17km in length. This coastline presents outstanding opportunities in respect of tourism and recreational facilities. The so-called Siyaya Coastal Park will be included as a Management Area in terms of the uMlalazi Land Use Management System.</w:t>
      </w:r>
    </w:p>
    <w:p w14:paraId="16467801" w14:textId="77777777" w:rsidR="00EE1EB8" w:rsidRPr="00881795" w:rsidRDefault="00EE1EB8" w:rsidP="00395313">
      <w:pPr>
        <w:autoSpaceDE w:val="0"/>
        <w:autoSpaceDN w:val="0"/>
        <w:adjustRightInd w:val="0"/>
        <w:jc w:val="both"/>
        <w:rPr>
          <w:rFonts w:cs="Calibri"/>
          <w:color w:val="000000" w:themeColor="text1"/>
          <w:szCs w:val="20"/>
          <w:lang w:bidi="en-US"/>
        </w:rPr>
      </w:pPr>
      <w:r w:rsidRPr="00881795">
        <w:rPr>
          <w:rFonts w:cs="Calibri"/>
          <w:color w:val="000000" w:themeColor="text1"/>
          <w:szCs w:val="20"/>
          <w:lang w:bidi="en-US"/>
        </w:rPr>
        <w:t xml:space="preserve">It must also be noted that there are mining rights allocated to areas south of Mtunzini, which </w:t>
      </w:r>
      <w:r w:rsidR="00357750">
        <w:rPr>
          <w:rFonts w:cs="Calibri"/>
          <w:color w:val="000000" w:themeColor="text1"/>
          <w:szCs w:val="20"/>
          <w:lang w:bidi="en-US"/>
        </w:rPr>
        <w:t>are</w:t>
      </w:r>
      <w:r w:rsidRPr="00881795">
        <w:rPr>
          <w:rFonts w:cs="Calibri"/>
          <w:color w:val="000000" w:themeColor="text1"/>
          <w:szCs w:val="20"/>
          <w:lang w:bidi="en-US"/>
        </w:rPr>
        <w:t xml:space="preserve"> no</w:t>
      </w:r>
      <w:r w:rsidR="00357750">
        <w:rPr>
          <w:rFonts w:cs="Calibri"/>
          <w:color w:val="000000" w:themeColor="text1"/>
          <w:szCs w:val="20"/>
          <w:lang w:bidi="en-US"/>
        </w:rPr>
        <w:t>t</w:t>
      </w:r>
      <w:r w:rsidRPr="00881795">
        <w:rPr>
          <w:rFonts w:cs="Calibri"/>
          <w:color w:val="000000" w:themeColor="text1"/>
          <w:szCs w:val="20"/>
          <w:lang w:bidi="en-US"/>
        </w:rPr>
        <w:t xml:space="preserve"> clearly reflected on the map below.  </w:t>
      </w:r>
    </w:p>
    <w:p w14:paraId="2876773C" w14:textId="77777777" w:rsidR="00816BE7" w:rsidRPr="00881795" w:rsidRDefault="0011139F" w:rsidP="00395313">
      <w:pPr>
        <w:jc w:val="both"/>
        <w:rPr>
          <w:rFonts w:cs="Calibri"/>
          <w:color w:val="000000" w:themeColor="text1"/>
        </w:rPr>
      </w:pPr>
      <w:r w:rsidRPr="00881795">
        <w:rPr>
          <w:noProof/>
        </w:rPr>
        <w:drawing>
          <wp:anchor distT="0" distB="0" distL="114300" distR="114300" simplePos="0" relativeHeight="251605504" behindDoc="0" locked="0" layoutInCell="1" allowOverlap="1" wp14:anchorId="76D99804" wp14:editId="14A9BC61">
            <wp:simplePos x="0" y="0"/>
            <wp:positionH relativeFrom="column">
              <wp:posOffset>5193665</wp:posOffset>
            </wp:positionH>
            <wp:positionV relativeFrom="paragraph">
              <wp:posOffset>1678305</wp:posOffset>
            </wp:positionV>
            <wp:extent cx="1073426" cy="1411357"/>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73426" cy="1411357"/>
                    </a:xfrm>
                    <a:prstGeom prst="rect">
                      <a:avLst/>
                    </a:prstGeom>
                  </pic:spPr>
                </pic:pic>
              </a:graphicData>
            </a:graphic>
            <wp14:sizeRelV relativeFrom="margin">
              <wp14:pctHeight>0</wp14:pctHeight>
            </wp14:sizeRelV>
          </wp:anchor>
        </w:drawing>
      </w:r>
      <w:r w:rsidRPr="00881795">
        <w:rPr>
          <w:noProof/>
        </w:rPr>
        <w:drawing>
          <wp:inline distT="0" distB="0" distL="0" distR="0" wp14:anchorId="4EAC9082" wp14:editId="4D3098B4">
            <wp:extent cx="6091905" cy="2828925"/>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stretch>
                      <a:fillRect/>
                    </a:stretch>
                  </pic:blipFill>
                  <pic:spPr>
                    <a:xfrm>
                      <a:off x="0" y="0"/>
                      <a:ext cx="6104296" cy="2834679"/>
                    </a:xfrm>
                    <a:prstGeom prst="rect">
                      <a:avLst/>
                    </a:prstGeom>
                  </pic:spPr>
                </pic:pic>
              </a:graphicData>
            </a:graphic>
          </wp:inline>
        </w:drawing>
      </w:r>
    </w:p>
    <w:p w14:paraId="63C90D77" w14:textId="77777777" w:rsidR="00816BE7" w:rsidRPr="00881795" w:rsidRDefault="001D256F" w:rsidP="002F62F0">
      <w:pPr>
        <w:pStyle w:val="Caption"/>
      </w:pPr>
      <w:bookmarkStart w:id="94" w:name="_Toc389737508"/>
      <w:bookmarkStart w:id="95" w:name="_Toc389739700"/>
      <w:bookmarkStart w:id="96" w:name="_Toc481468924"/>
      <w:r w:rsidRPr="00881795">
        <w:t xml:space="preserve">Map </w:t>
      </w:r>
      <w:r w:rsidR="00B918A6">
        <w:fldChar w:fldCharType="begin"/>
      </w:r>
      <w:r w:rsidR="00B918A6">
        <w:instrText xml:space="preserve"> SEQ Map \* ARABIC </w:instrText>
      </w:r>
      <w:r w:rsidR="00B918A6">
        <w:fldChar w:fldCharType="separate"/>
      </w:r>
      <w:r w:rsidR="0067023A">
        <w:rPr>
          <w:noProof/>
        </w:rPr>
        <w:t>9</w:t>
      </w:r>
      <w:r w:rsidR="00B918A6">
        <w:rPr>
          <w:noProof/>
        </w:rPr>
        <w:fldChar w:fldCharType="end"/>
      </w:r>
      <w:r w:rsidRPr="00881795">
        <w:t>:  Broad Land Uses</w:t>
      </w:r>
      <w:bookmarkEnd w:id="94"/>
      <w:bookmarkEnd w:id="95"/>
      <w:bookmarkEnd w:id="96"/>
    </w:p>
    <w:p w14:paraId="331671D0" w14:textId="53BD54B0" w:rsidR="007A253E" w:rsidRPr="00D200EA" w:rsidRDefault="004D7441" w:rsidP="00750180">
      <w:pPr>
        <w:pStyle w:val="Heading3"/>
        <w:numPr>
          <w:ilvl w:val="2"/>
          <w:numId w:val="29"/>
        </w:numPr>
        <w:spacing w:after="240"/>
      </w:pPr>
      <w:bookmarkStart w:id="97" w:name="_Toc389739701"/>
      <w:bookmarkStart w:id="98" w:name="_Toc510706590"/>
      <w:r w:rsidRPr="00D200EA">
        <w:lastRenderedPageBreak/>
        <w:t>LAND OWNERSHIP</w:t>
      </w:r>
      <w:bookmarkEnd w:id="97"/>
      <w:bookmarkEnd w:id="98"/>
    </w:p>
    <w:p w14:paraId="7F18FB65" w14:textId="77777777" w:rsidR="00EE6AD6" w:rsidRPr="00EE6AD6" w:rsidRDefault="00EE6AD6" w:rsidP="00EE6AD6">
      <w:r w:rsidRPr="00EE6AD6">
        <w:t>There are isolated pockets of state land evident in the central parts and the northern parts of the Municipal Area.  Further, as indicated previously, there are private commercial farms in the south-east, the central parts and the northern parts of the Municipal Area.  The balance of the Municipal Area is Ingonyama Trusts Areas.</w:t>
      </w:r>
    </w:p>
    <w:p w14:paraId="7C7152CA" w14:textId="77777777" w:rsidR="0084469E" w:rsidRPr="00881795" w:rsidRDefault="00BF281A" w:rsidP="00395313">
      <w:pPr>
        <w:spacing w:line="288" w:lineRule="auto"/>
        <w:jc w:val="both"/>
        <w:rPr>
          <w:szCs w:val="20"/>
        </w:rPr>
      </w:pPr>
      <w:r w:rsidRPr="00BF281A">
        <w:rPr>
          <w:noProof/>
          <w:szCs w:val="20"/>
        </w:rPr>
        <w:drawing>
          <wp:inline distT="0" distB="0" distL="0" distR="0" wp14:anchorId="5C5F042F" wp14:editId="44307443">
            <wp:extent cx="6120765" cy="4283053"/>
            <wp:effectExtent l="19050" t="19050" r="13335" b="22860"/>
            <wp:docPr id="57" name="Picture 57" descr="C:\Users\siphephelok\Desktop\Landownershi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iphephelok\Desktop\Landownership.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765" cy="4283053"/>
                    </a:xfrm>
                    <a:prstGeom prst="rect">
                      <a:avLst/>
                    </a:prstGeom>
                    <a:noFill/>
                    <a:ln w="9525">
                      <a:solidFill>
                        <a:schemeClr val="tx1"/>
                      </a:solidFill>
                    </a:ln>
                  </pic:spPr>
                </pic:pic>
              </a:graphicData>
            </a:graphic>
          </wp:inline>
        </w:drawing>
      </w:r>
    </w:p>
    <w:p w14:paraId="22820E63" w14:textId="77777777" w:rsidR="00F91D18" w:rsidRPr="00881795" w:rsidRDefault="00F91D18" w:rsidP="002F62F0">
      <w:pPr>
        <w:pStyle w:val="Caption"/>
      </w:pPr>
      <w:bookmarkStart w:id="99" w:name="_Toc325627807"/>
      <w:bookmarkStart w:id="100" w:name="_Toc389737510"/>
      <w:bookmarkStart w:id="101" w:name="_Toc389739702"/>
      <w:bookmarkStart w:id="102" w:name="_Toc481468925"/>
      <w:r w:rsidRPr="00881795">
        <w:t xml:space="preserve">Map </w:t>
      </w:r>
      <w:r w:rsidR="00D55BDA" w:rsidRPr="00881795">
        <w:fldChar w:fldCharType="begin"/>
      </w:r>
      <w:r w:rsidRPr="00881795">
        <w:instrText xml:space="preserve"> SEQ Map \* ARABIC </w:instrText>
      </w:r>
      <w:r w:rsidR="00D55BDA" w:rsidRPr="00881795">
        <w:fldChar w:fldCharType="separate"/>
      </w:r>
      <w:r w:rsidR="0067023A">
        <w:rPr>
          <w:noProof/>
        </w:rPr>
        <w:t>10</w:t>
      </w:r>
      <w:r w:rsidR="00D55BDA" w:rsidRPr="00881795">
        <w:fldChar w:fldCharType="end"/>
      </w:r>
      <w:r w:rsidRPr="00881795">
        <w:t>: Land Ownership</w:t>
      </w:r>
      <w:bookmarkEnd w:id="99"/>
      <w:bookmarkEnd w:id="100"/>
      <w:bookmarkEnd w:id="101"/>
      <w:bookmarkEnd w:id="102"/>
    </w:p>
    <w:p w14:paraId="726EC14E" w14:textId="77777777" w:rsidR="00F91D18" w:rsidRPr="00881795" w:rsidRDefault="00F91D18" w:rsidP="00395313">
      <w:pPr>
        <w:spacing w:line="288" w:lineRule="auto"/>
        <w:jc w:val="both"/>
        <w:rPr>
          <w:szCs w:val="20"/>
        </w:rPr>
      </w:pPr>
    </w:p>
    <w:p w14:paraId="1DFAC945" w14:textId="77777777" w:rsidR="007A253E" w:rsidRPr="00D200EA" w:rsidRDefault="004D7441" w:rsidP="00750180">
      <w:pPr>
        <w:pStyle w:val="Heading3"/>
        <w:numPr>
          <w:ilvl w:val="2"/>
          <w:numId w:val="29"/>
        </w:numPr>
        <w:spacing w:after="240"/>
      </w:pPr>
      <w:bookmarkStart w:id="103" w:name="_Toc389739703"/>
      <w:bookmarkStart w:id="104" w:name="_Toc510706591"/>
      <w:r w:rsidRPr="00D200EA">
        <w:t xml:space="preserve">LAND </w:t>
      </w:r>
      <w:r w:rsidR="006025A0" w:rsidRPr="00D200EA">
        <w:t>REFORM</w:t>
      </w:r>
      <w:bookmarkEnd w:id="103"/>
      <w:bookmarkEnd w:id="104"/>
    </w:p>
    <w:p w14:paraId="39082054" w14:textId="77777777" w:rsidR="0084469E" w:rsidRPr="00881795" w:rsidRDefault="0011139F" w:rsidP="00395313">
      <w:pPr>
        <w:spacing w:line="288" w:lineRule="auto"/>
        <w:jc w:val="both"/>
        <w:rPr>
          <w:szCs w:val="20"/>
        </w:rPr>
      </w:pPr>
      <w:r w:rsidRPr="00881795">
        <w:rPr>
          <w:rFonts w:cs="Calibri"/>
          <w:noProof/>
          <w:color w:val="000000" w:themeColor="text1"/>
        </w:rPr>
        <w:drawing>
          <wp:inline distT="0" distB="0" distL="0" distR="0" wp14:anchorId="11E90B7B" wp14:editId="346A18B2">
            <wp:extent cx="3733643" cy="1275126"/>
            <wp:effectExtent l="0" t="0" r="635" b="1270"/>
            <wp:docPr id="2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750392" cy="1280846"/>
                    </a:xfrm>
                    <a:prstGeom prst="rect">
                      <a:avLst/>
                    </a:prstGeom>
                    <a:noFill/>
                    <a:ln w="9525">
                      <a:noFill/>
                      <a:miter lim="800000"/>
                      <a:headEnd/>
                      <a:tailEnd/>
                    </a:ln>
                  </pic:spPr>
                </pic:pic>
              </a:graphicData>
            </a:graphic>
          </wp:inline>
        </w:drawing>
      </w:r>
    </w:p>
    <w:p w14:paraId="07CCFC34" w14:textId="77777777" w:rsidR="001508EB" w:rsidRDefault="00F91D18" w:rsidP="002F62F0">
      <w:pPr>
        <w:pStyle w:val="Caption"/>
      </w:pPr>
      <w:bookmarkStart w:id="105" w:name="_Toc389737512"/>
      <w:bookmarkStart w:id="106" w:name="_Toc389739704"/>
      <w:bookmarkStart w:id="107" w:name="_Toc510622259"/>
      <w:r w:rsidRPr="00881795">
        <w:t xml:space="preserve">Table </w:t>
      </w:r>
      <w:r w:rsidR="00B918A6">
        <w:fldChar w:fldCharType="begin"/>
      </w:r>
      <w:r w:rsidR="00B918A6">
        <w:instrText xml:space="preserve"> SEQ Table \* ARABIC </w:instrText>
      </w:r>
      <w:r w:rsidR="00B918A6">
        <w:fldChar w:fldCharType="separate"/>
      </w:r>
      <w:r w:rsidR="0067023A">
        <w:rPr>
          <w:noProof/>
        </w:rPr>
        <w:t>9</w:t>
      </w:r>
      <w:r w:rsidR="00B918A6">
        <w:rPr>
          <w:noProof/>
        </w:rPr>
        <w:fldChar w:fldCharType="end"/>
      </w:r>
      <w:r w:rsidRPr="00881795">
        <w:t>: Status of Land Claims</w:t>
      </w:r>
      <w:bookmarkEnd w:id="105"/>
      <w:bookmarkEnd w:id="106"/>
      <w:bookmarkEnd w:id="107"/>
    </w:p>
    <w:p w14:paraId="5DF40785" w14:textId="77777777" w:rsidR="001508EB" w:rsidRDefault="001508EB" w:rsidP="001508EB">
      <w:r>
        <w:t xml:space="preserve">Settled land claims constitute some 1.75% of the Municipal Area (or some 38.74km2).  Land claims which have been </w:t>
      </w:r>
      <w:r w:rsidR="006D43DB">
        <w:pgNum/>
      </w:r>
      <w:r w:rsidR="006D43DB">
        <w:t>azette</w:t>
      </w:r>
      <w:r>
        <w:t xml:space="preserve"> but not yet settled affects some 2.66% (or 59.07km2) of the Municipal Area.</w:t>
      </w:r>
      <w:r w:rsidR="00FC0758">
        <w:t xml:space="preserve"> The </w:t>
      </w:r>
      <w:r w:rsidR="00AE22E9">
        <w:t>following farms are under land claims as provided by the Land Claims Court;</w:t>
      </w:r>
    </w:p>
    <w:p w14:paraId="75D14EBB" w14:textId="77777777" w:rsidR="00AE22E9" w:rsidRDefault="00AE22E9" w:rsidP="001508EB"/>
    <w:p w14:paraId="79C65ED5" w14:textId="77777777" w:rsidR="00AE22E9" w:rsidRDefault="00AE22E9" w:rsidP="00750180">
      <w:pPr>
        <w:pStyle w:val="ListParagraph"/>
        <w:numPr>
          <w:ilvl w:val="0"/>
          <w:numId w:val="87"/>
        </w:numPr>
        <w:spacing w:after="0"/>
      </w:pPr>
      <w:r>
        <w:lastRenderedPageBreak/>
        <w:t>The Farm Obanjeni Portions: 17853; 9394; 10059; 9141; 9387)</w:t>
      </w:r>
    </w:p>
    <w:p w14:paraId="4A30F7CE" w14:textId="77777777" w:rsidR="00AE22E9" w:rsidRDefault="00AE22E9" w:rsidP="00750180">
      <w:pPr>
        <w:pStyle w:val="ListParagraph"/>
        <w:numPr>
          <w:ilvl w:val="0"/>
          <w:numId w:val="87"/>
        </w:numPr>
        <w:spacing w:after="0"/>
      </w:pPr>
      <w:r>
        <w:t>The Farm Ranch (Portions: 11368)</w:t>
      </w:r>
    </w:p>
    <w:p w14:paraId="539F7F5D" w14:textId="77777777" w:rsidR="00AE22E9" w:rsidRDefault="00AE22E9" w:rsidP="00750180">
      <w:pPr>
        <w:pStyle w:val="ListParagraph"/>
        <w:numPr>
          <w:ilvl w:val="0"/>
          <w:numId w:val="87"/>
        </w:numPr>
        <w:spacing w:after="0"/>
      </w:pPr>
      <w:r>
        <w:t>The Farm Balcomb (Portions: 15241)</w:t>
      </w:r>
    </w:p>
    <w:p w14:paraId="28E5F159" w14:textId="77777777" w:rsidR="00AE22E9" w:rsidRDefault="00AE22E9" w:rsidP="00750180">
      <w:pPr>
        <w:pStyle w:val="ListParagraph"/>
        <w:numPr>
          <w:ilvl w:val="0"/>
          <w:numId w:val="87"/>
        </w:numPr>
        <w:spacing w:after="0"/>
      </w:pPr>
      <w:r>
        <w:t>The Farm Hall (Portions: 14196)</w:t>
      </w:r>
    </w:p>
    <w:p w14:paraId="18689FA7" w14:textId="77777777" w:rsidR="00AE22E9" w:rsidRDefault="00AE22E9" w:rsidP="00750180">
      <w:pPr>
        <w:pStyle w:val="ListParagraph"/>
        <w:numPr>
          <w:ilvl w:val="0"/>
          <w:numId w:val="87"/>
        </w:numPr>
        <w:spacing w:after="0"/>
      </w:pPr>
      <w:r>
        <w:t>The Farm Garland (Portions: 15475)</w:t>
      </w:r>
    </w:p>
    <w:p w14:paraId="00C1859D" w14:textId="77777777" w:rsidR="00AE22E9" w:rsidRDefault="00AE22E9" w:rsidP="00750180">
      <w:pPr>
        <w:pStyle w:val="ListParagraph"/>
        <w:numPr>
          <w:ilvl w:val="0"/>
          <w:numId w:val="87"/>
        </w:numPr>
        <w:spacing w:after="0"/>
      </w:pPr>
      <w:r>
        <w:t>The Farm Enyezane (Portions: 9348; 10617)</w:t>
      </w:r>
    </w:p>
    <w:p w14:paraId="1B2F9781" w14:textId="77777777" w:rsidR="00AE22E9" w:rsidRDefault="00AE22E9" w:rsidP="00750180">
      <w:pPr>
        <w:pStyle w:val="ListParagraph"/>
        <w:numPr>
          <w:ilvl w:val="0"/>
          <w:numId w:val="87"/>
        </w:numPr>
        <w:spacing w:after="0"/>
      </w:pPr>
      <w:r>
        <w:t>The Farm uMlalazi (Portions 14081; 9705; 10011; 9116; 9667; 13684; 10263; 10072; 9707; 12848; 14798)</w:t>
      </w:r>
    </w:p>
    <w:p w14:paraId="0BD3DD93" w14:textId="77777777" w:rsidR="00AE22E9" w:rsidRDefault="00AE22E9" w:rsidP="00750180">
      <w:pPr>
        <w:pStyle w:val="ListParagraph"/>
        <w:numPr>
          <w:ilvl w:val="0"/>
          <w:numId w:val="87"/>
        </w:numPr>
        <w:spacing w:after="0"/>
      </w:pPr>
      <w:r>
        <w:t>The Farm Emoyeni (Portions: 10344; 9105; 12613)</w:t>
      </w:r>
    </w:p>
    <w:p w14:paraId="59E807BC" w14:textId="77777777" w:rsidR="00AE22E9" w:rsidRDefault="00AE22E9" w:rsidP="00750180">
      <w:pPr>
        <w:pStyle w:val="ListParagraph"/>
        <w:numPr>
          <w:ilvl w:val="0"/>
          <w:numId w:val="87"/>
        </w:numPr>
        <w:spacing w:after="0"/>
      </w:pPr>
      <w:r>
        <w:t>The Farm Darling Estate uMlalazi (Portions: 14752)</w:t>
      </w:r>
    </w:p>
    <w:p w14:paraId="357DA9C0" w14:textId="77777777" w:rsidR="00AE22E9" w:rsidRDefault="00AE22E9" w:rsidP="00750180">
      <w:pPr>
        <w:pStyle w:val="ListParagraph"/>
        <w:numPr>
          <w:ilvl w:val="0"/>
          <w:numId w:val="87"/>
        </w:numPr>
        <w:spacing w:after="0"/>
      </w:pPr>
      <w:r>
        <w:t>The Farm Nuwers (</w:t>
      </w:r>
      <w:r w:rsidR="007B065A">
        <w:t>Portion</w:t>
      </w:r>
      <w:r>
        <w:t>: 15242)</w:t>
      </w:r>
    </w:p>
    <w:p w14:paraId="30E602DE" w14:textId="77777777" w:rsidR="00AE22E9" w:rsidRDefault="00AE22E9" w:rsidP="00750180">
      <w:pPr>
        <w:pStyle w:val="ListParagraph"/>
        <w:numPr>
          <w:ilvl w:val="0"/>
          <w:numId w:val="87"/>
        </w:numPr>
        <w:spacing w:after="0"/>
      </w:pPr>
      <w:r>
        <w:t>The Farm Balton Rouge (Portions :17433)</w:t>
      </w:r>
    </w:p>
    <w:p w14:paraId="0308C981" w14:textId="77777777" w:rsidR="00AE22E9" w:rsidRDefault="00AE22E9" w:rsidP="00750180">
      <w:pPr>
        <w:pStyle w:val="ListParagraph"/>
        <w:numPr>
          <w:ilvl w:val="0"/>
          <w:numId w:val="87"/>
        </w:numPr>
        <w:spacing w:after="0"/>
      </w:pPr>
      <w:r>
        <w:t>The Farm Carlyle (13747)</w:t>
      </w:r>
    </w:p>
    <w:p w14:paraId="03271EF4" w14:textId="77777777" w:rsidR="00F91D18" w:rsidRPr="00881795" w:rsidRDefault="00AE22E9" w:rsidP="00750180">
      <w:pPr>
        <w:pStyle w:val="ListParagraph"/>
        <w:numPr>
          <w:ilvl w:val="0"/>
          <w:numId w:val="87"/>
        </w:numPr>
        <w:spacing w:after="0"/>
      </w:pPr>
      <w:r>
        <w:t>uMlalazi Nature Reserve</w:t>
      </w:r>
    </w:p>
    <w:p w14:paraId="0EDB15E4" w14:textId="77777777" w:rsidR="00544B05" w:rsidRDefault="00544B05" w:rsidP="00750180">
      <w:pPr>
        <w:pStyle w:val="Heading3"/>
        <w:numPr>
          <w:ilvl w:val="2"/>
          <w:numId w:val="29"/>
        </w:numPr>
        <w:spacing w:after="240"/>
      </w:pPr>
      <w:bookmarkStart w:id="108" w:name="_Toc389739706"/>
      <w:bookmarkStart w:id="109" w:name="_Toc510706592"/>
      <w:r w:rsidRPr="00D200EA">
        <w:t>PRIVATE SECTOR DEVELOPMENTS</w:t>
      </w:r>
      <w:bookmarkEnd w:id="108"/>
      <w:bookmarkEnd w:id="109"/>
    </w:p>
    <w:p w14:paraId="05E38C7E" w14:textId="77777777" w:rsidR="006C55C6" w:rsidRDefault="00130F92" w:rsidP="00F23F87">
      <w:pPr>
        <w:jc w:val="both"/>
      </w:pPr>
      <w:r>
        <w:t>The uMlalazi Municipality is in</w:t>
      </w:r>
      <w:r w:rsidR="00C81244">
        <w:t xml:space="preserve"> support of all private sector development</w:t>
      </w:r>
      <w:r w:rsidR="006C55C6">
        <w:t xml:space="preserve">s which are adequately applied through the SPLUMA channels. The Joint Municipal Planning Tribunal </w:t>
      </w:r>
      <w:r w:rsidR="007B065A">
        <w:t>assesses</w:t>
      </w:r>
      <w:r w:rsidR="006C55C6">
        <w:t xml:space="preserve"> and facilitate all developments to be in libe with the provisions of the Act. However, various projects are stagnant due insufficient bulk services in terms of water and sanitation. </w:t>
      </w:r>
    </w:p>
    <w:p w14:paraId="05916043" w14:textId="77777777" w:rsidR="007A253E" w:rsidRPr="00D200EA" w:rsidRDefault="004D7441" w:rsidP="00750180">
      <w:pPr>
        <w:pStyle w:val="Heading3"/>
        <w:numPr>
          <w:ilvl w:val="2"/>
          <w:numId w:val="29"/>
        </w:numPr>
        <w:spacing w:after="240"/>
      </w:pPr>
      <w:bookmarkStart w:id="110" w:name="_Toc389739718"/>
      <w:bookmarkStart w:id="111" w:name="_Toc510706593"/>
      <w:r w:rsidRPr="00D200EA">
        <w:t>LAND CAPABILITY</w:t>
      </w:r>
      <w:r w:rsidR="00EE1EB8" w:rsidRPr="00D200EA">
        <w:t xml:space="preserve"> FOR AGRICULTURAL PRODUCTION</w:t>
      </w:r>
      <w:bookmarkEnd w:id="110"/>
      <w:bookmarkEnd w:id="111"/>
    </w:p>
    <w:p w14:paraId="3526AB3F" w14:textId="77777777" w:rsidR="00F91D18" w:rsidRPr="00881795" w:rsidRDefault="00C81244" w:rsidP="00395313">
      <w:pPr>
        <w:spacing w:line="288" w:lineRule="auto"/>
        <w:jc w:val="both"/>
        <w:rPr>
          <w:szCs w:val="20"/>
        </w:rPr>
      </w:pPr>
      <w:r w:rsidRPr="00881795">
        <w:rPr>
          <w:rFonts w:cs="Calibri"/>
          <w:noProof/>
          <w:color w:val="000000" w:themeColor="text1"/>
        </w:rPr>
        <w:drawing>
          <wp:anchor distT="0" distB="0" distL="114300" distR="114300" simplePos="0" relativeHeight="251617792" behindDoc="0" locked="0" layoutInCell="1" allowOverlap="1" wp14:anchorId="6542222E" wp14:editId="35261D6C">
            <wp:simplePos x="0" y="0"/>
            <wp:positionH relativeFrom="column">
              <wp:posOffset>5414010</wp:posOffset>
            </wp:positionH>
            <wp:positionV relativeFrom="paragraph">
              <wp:posOffset>167005</wp:posOffset>
            </wp:positionV>
            <wp:extent cx="1143000" cy="2366645"/>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6" cstate="print"/>
                    <a:srcRect/>
                    <a:stretch>
                      <a:fillRect/>
                    </a:stretch>
                  </pic:blipFill>
                  <pic:spPr bwMode="auto">
                    <a:xfrm>
                      <a:off x="0" y="0"/>
                      <a:ext cx="1143000" cy="236664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191984" w:rsidRPr="00881795">
        <w:rPr>
          <w:rFonts w:cs="Calibri"/>
          <w:noProof/>
          <w:color w:val="000000" w:themeColor="text1"/>
          <w:szCs w:val="20"/>
        </w:rPr>
        <w:drawing>
          <wp:anchor distT="0" distB="0" distL="114300" distR="114300" simplePos="0" relativeHeight="251614720" behindDoc="0" locked="0" layoutInCell="1" allowOverlap="1" wp14:anchorId="1243827E" wp14:editId="42F1CF79">
            <wp:simplePos x="0" y="0"/>
            <wp:positionH relativeFrom="page">
              <wp:posOffset>3743325</wp:posOffset>
            </wp:positionH>
            <wp:positionV relativeFrom="paragraph">
              <wp:posOffset>2386330</wp:posOffset>
            </wp:positionV>
            <wp:extent cx="3581400" cy="1094740"/>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81400" cy="109474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1163F4" w:rsidRPr="00881795">
        <w:rPr>
          <w:rFonts w:cs="Calibri"/>
          <w:noProof/>
          <w:color w:val="000000" w:themeColor="text1"/>
        </w:rPr>
        <w:drawing>
          <wp:inline distT="0" distB="0" distL="0" distR="0" wp14:anchorId="51B13B88" wp14:editId="1745C3CC">
            <wp:extent cx="5235247" cy="3032125"/>
            <wp:effectExtent l="0" t="0" r="3810" b="0"/>
            <wp:docPr id="3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8" cstate="print"/>
                    <a:srcRect/>
                    <a:stretch>
                      <a:fillRect/>
                    </a:stretch>
                  </pic:blipFill>
                  <pic:spPr bwMode="auto">
                    <a:xfrm>
                      <a:off x="0" y="0"/>
                      <a:ext cx="5243512" cy="3036912"/>
                    </a:xfrm>
                    <a:prstGeom prst="rect">
                      <a:avLst/>
                    </a:prstGeom>
                    <a:noFill/>
                    <a:ln w="9525">
                      <a:noFill/>
                      <a:miter lim="800000"/>
                      <a:headEnd/>
                      <a:tailEnd/>
                    </a:ln>
                  </pic:spPr>
                </pic:pic>
              </a:graphicData>
            </a:graphic>
          </wp:inline>
        </w:drawing>
      </w:r>
    </w:p>
    <w:p w14:paraId="27846D6B" w14:textId="77777777" w:rsidR="00951A8E" w:rsidRPr="00881795" w:rsidRDefault="004859F9" w:rsidP="00395313">
      <w:pPr>
        <w:spacing w:line="288" w:lineRule="auto"/>
        <w:jc w:val="both"/>
        <w:outlineLvl w:val="0"/>
        <w:rPr>
          <w:b/>
          <w:szCs w:val="20"/>
        </w:rPr>
      </w:pPr>
      <w:bookmarkStart w:id="112" w:name="_Toc325627809"/>
      <w:bookmarkStart w:id="113" w:name="_Toc389739720"/>
      <w:bookmarkStart w:id="114" w:name="_Toc481468926"/>
      <w:r w:rsidRPr="00881795">
        <w:rPr>
          <w:rFonts w:cs="Calibri"/>
          <w:b/>
          <w:color w:val="000000" w:themeColor="text1"/>
          <w:szCs w:val="20"/>
        </w:rPr>
        <w:t>M</w:t>
      </w:r>
      <w:r w:rsidR="00951A8E" w:rsidRPr="00881795">
        <w:rPr>
          <w:rFonts w:cs="Calibri"/>
          <w:b/>
          <w:color w:val="000000" w:themeColor="text1"/>
          <w:szCs w:val="20"/>
        </w:rPr>
        <w:t xml:space="preserve">ap </w:t>
      </w:r>
      <w:r w:rsidR="00D55BDA" w:rsidRPr="00881795">
        <w:rPr>
          <w:rFonts w:cs="Calibri"/>
          <w:b/>
          <w:color w:val="000000" w:themeColor="text1"/>
          <w:szCs w:val="20"/>
        </w:rPr>
        <w:fldChar w:fldCharType="begin"/>
      </w:r>
      <w:r w:rsidR="00951A8E" w:rsidRPr="00881795">
        <w:rPr>
          <w:rFonts w:cs="Calibri"/>
          <w:b/>
          <w:color w:val="000000" w:themeColor="text1"/>
          <w:szCs w:val="20"/>
        </w:rPr>
        <w:instrText xml:space="preserve"> SEQ Map \* ARABIC </w:instrText>
      </w:r>
      <w:r w:rsidR="00D55BDA" w:rsidRPr="00881795">
        <w:rPr>
          <w:rFonts w:cs="Calibri"/>
          <w:b/>
          <w:color w:val="000000" w:themeColor="text1"/>
          <w:szCs w:val="20"/>
        </w:rPr>
        <w:fldChar w:fldCharType="separate"/>
      </w:r>
      <w:r w:rsidR="0067023A">
        <w:rPr>
          <w:rFonts w:cs="Calibri"/>
          <w:b/>
          <w:noProof/>
          <w:color w:val="000000" w:themeColor="text1"/>
          <w:szCs w:val="20"/>
        </w:rPr>
        <w:t>11</w:t>
      </w:r>
      <w:r w:rsidR="00D55BDA" w:rsidRPr="00881795">
        <w:rPr>
          <w:rFonts w:cs="Calibri"/>
          <w:b/>
          <w:color w:val="000000" w:themeColor="text1"/>
          <w:szCs w:val="20"/>
        </w:rPr>
        <w:fldChar w:fldCharType="end"/>
      </w:r>
      <w:r w:rsidR="00951A8E" w:rsidRPr="00881795">
        <w:rPr>
          <w:rFonts w:cs="Calibri"/>
          <w:b/>
          <w:color w:val="000000" w:themeColor="text1"/>
          <w:szCs w:val="20"/>
        </w:rPr>
        <w:t>: Land Capability</w:t>
      </w:r>
      <w:bookmarkEnd w:id="112"/>
      <w:bookmarkEnd w:id="113"/>
      <w:bookmarkEnd w:id="114"/>
    </w:p>
    <w:p w14:paraId="1E6667DB" w14:textId="77777777" w:rsidR="00AF4CD3" w:rsidRDefault="00AF4CD3" w:rsidP="00395313">
      <w:pPr>
        <w:spacing w:line="288" w:lineRule="auto"/>
        <w:jc w:val="both"/>
        <w:rPr>
          <w:szCs w:val="20"/>
        </w:rPr>
      </w:pPr>
    </w:p>
    <w:p w14:paraId="59AB090F" w14:textId="77777777" w:rsidR="00951A8E" w:rsidRDefault="00AF4CD3" w:rsidP="00395313">
      <w:pPr>
        <w:spacing w:line="288" w:lineRule="auto"/>
        <w:jc w:val="both"/>
        <w:rPr>
          <w:szCs w:val="20"/>
        </w:rPr>
      </w:pPr>
      <w:r>
        <w:rPr>
          <w:szCs w:val="20"/>
        </w:rPr>
        <w:t xml:space="preserve"> </w:t>
      </w:r>
      <w:r w:rsidR="001508EB" w:rsidRPr="001508EB">
        <w:rPr>
          <w:szCs w:val="20"/>
        </w:rPr>
        <w:t>Most of the high potential agricultural land is in private ownership.  This land is located along the coastal strip between Mtunzini and Gingindlovu – on the lower lying areas.  It is also located in the area surrounding the town of Eshowe and extending to the west thereof.  There is also some very high potential agricultural land situated in the north-eastern part of the Municipal Area.</w:t>
      </w:r>
    </w:p>
    <w:p w14:paraId="11876FC0" w14:textId="77777777" w:rsidR="007A253E" w:rsidRPr="00DD6295" w:rsidRDefault="004D7441" w:rsidP="00750180">
      <w:pPr>
        <w:pStyle w:val="Heading2"/>
        <w:numPr>
          <w:ilvl w:val="1"/>
          <w:numId w:val="29"/>
        </w:numPr>
      </w:pPr>
      <w:bookmarkStart w:id="115" w:name="_Toc389739721"/>
      <w:bookmarkStart w:id="116" w:name="_Toc510706594"/>
      <w:r w:rsidRPr="00DD6295">
        <w:lastRenderedPageBreak/>
        <w:t>ENVIRONMENTAL ANALYSIS</w:t>
      </w:r>
      <w:bookmarkEnd w:id="115"/>
      <w:bookmarkEnd w:id="116"/>
    </w:p>
    <w:p w14:paraId="13D6D06D" w14:textId="77777777" w:rsidR="00654EDF" w:rsidRDefault="0084469E" w:rsidP="00750180">
      <w:pPr>
        <w:pStyle w:val="Heading3"/>
        <w:numPr>
          <w:ilvl w:val="2"/>
          <w:numId w:val="29"/>
        </w:numPr>
      </w:pPr>
      <w:bookmarkStart w:id="117" w:name="_Toc389739722"/>
      <w:bookmarkStart w:id="118" w:name="_Toc510706595"/>
      <w:r w:rsidRPr="00881795">
        <w:t>Habitats</w:t>
      </w:r>
      <w:bookmarkEnd w:id="117"/>
      <w:bookmarkEnd w:id="118"/>
    </w:p>
    <w:p w14:paraId="33069780" w14:textId="77777777" w:rsidR="00951A8E" w:rsidRPr="00881795" w:rsidRDefault="00951A8E" w:rsidP="00395313">
      <w:pPr>
        <w:autoSpaceDE w:val="0"/>
        <w:autoSpaceDN w:val="0"/>
        <w:adjustRightInd w:val="0"/>
        <w:jc w:val="both"/>
        <w:rPr>
          <w:rFonts w:cs="Calibri"/>
          <w:color w:val="000000" w:themeColor="text1"/>
        </w:rPr>
      </w:pPr>
      <w:r w:rsidRPr="00881795">
        <w:rPr>
          <w:rFonts w:cs="Calibri"/>
          <w:color w:val="000000" w:themeColor="text1"/>
        </w:rPr>
        <w:t>The following critical habitat types exist within the municipality:</w:t>
      </w:r>
    </w:p>
    <w:p w14:paraId="1EEEE24B" w14:textId="77777777" w:rsidR="00951A8E" w:rsidRPr="00881795" w:rsidRDefault="00951A8E" w:rsidP="00E31338">
      <w:pPr>
        <w:pStyle w:val="ListParagraph"/>
        <w:numPr>
          <w:ilvl w:val="0"/>
          <w:numId w:val="1"/>
        </w:numPr>
        <w:spacing w:line="288" w:lineRule="auto"/>
        <w:jc w:val="both"/>
        <w:rPr>
          <w:szCs w:val="20"/>
        </w:rPr>
      </w:pPr>
      <w:r w:rsidRPr="00881795">
        <w:rPr>
          <w:szCs w:val="20"/>
        </w:rPr>
        <w:t>Coastal Dune forest</w:t>
      </w:r>
    </w:p>
    <w:p w14:paraId="4D6C1416" w14:textId="77777777" w:rsidR="00951A8E" w:rsidRPr="00881795" w:rsidRDefault="00951A8E" w:rsidP="00E31338">
      <w:pPr>
        <w:pStyle w:val="ListParagraph"/>
        <w:numPr>
          <w:ilvl w:val="0"/>
          <w:numId w:val="1"/>
        </w:numPr>
        <w:spacing w:line="288" w:lineRule="auto"/>
        <w:jc w:val="both"/>
        <w:rPr>
          <w:szCs w:val="20"/>
        </w:rPr>
      </w:pPr>
      <w:r w:rsidRPr="00881795">
        <w:rPr>
          <w:szCs w:val="20"/>
        </w:rPr>
        <w:t>Riverine / riparian and swamp forest</w:t>
      </w:r>
    </w:p>
    <w:p w14:paraId="464B7CB7" w14:textId="77777777" w:rsidR="00951A8E" w:rsidRPr="00881795" w:rsidRDefault="00951A8E" w:rsidP="00E31338">
      <w:pPr>
        <w:pStyle w:val="ListParagraph"/>
        <w:numPr>
          <w:ilvl w:val="0"/>
          <w:numId w:val="1"/>
        </w:numPr>
        <w:spacing w:line="288" w:lineRule="auto"/>
        <w:jc w:val="both"/>
        <w:rPr>
          <w:szCs w:val="20"/>
        </w:rPr>
      </w:pPr>
      <w:r w:rsidRPr="00881795">
        <w:rPr>
          <w:szCs w:val="20"/>
        </w:rPr>
        <w:t>Secondary grassland</w:t>
      </w:r>
    </w:p>
    <w:p w14:paraId="58FC4176" w14:textId="77777777" w:rsidR="00951A8E" w:rsidRPr="00881795" w:rsidRDefault="00951A8E" w:rsidP="00E31338">
      <w:pPr>
        <w:pStyle w:val="ListParagraph"/>
        <w:numPr>
          <w:ilvl w:val="0"/>
          <w:numId w:val="1"/>
        </w:numPr>
        <w:spacing w:line="288" w:lineRule="auto"/>
        <w:jc w:val="both"/>
        <w:rPr>
          <w:szCs w:val="20"/>
        </w:rPr>
      </w:pPr>
      <w:r w:rsidRPr="00881795">
        <w:rPr>
          <w:szCs w:val="20"/>
        </w:rPr>
        <w:t>Wetland</w:t>
      </w:r>
    </w:p>
    <w:p w14:paraId="6068228F" w14:textId="77777777" w:rsidR="00951A8E" w:rsidRPr="00881795" w:rsidRDefault="00951A8E" w:rsidP="00E31338">
      <w:pPr>
        <w:pStyle w:val="ListParagraph"/>
        <w:numPr>
          <w:ilvl w:val="0"/>
          <w:numId w:val="1"/>
        </w:numPr>
        <w:spacing w:line="288" w:lineRule="auto"/>
        <w:jc w:val="both"/>
        <w:rPr>
          <w:szCs w:val="20"/>
        </w:rPr>
      </w:pPr>
      <w:r w:rsidRPr="00881795">
        <w:rPr>
          <w:szCs w:val="20"/>
        </w:rPr>
        <w:t>Estuaries (</w:t>
      </w:r>
      <w:r w:rsidR="009C075D" w:rsidRPr="00881795">
        <w:rPr>
          <w:szCs w:val="20"/>
        </w:rPr>
        <w:t>uMlalazi</w:t>
      </w:r>
      <w:r w:rsidRPr="00881795">
        <w:rPr>
          <w:szCs w:val="20"/>
        </w:rPr>
        <w:t xml:space="preserve"> and Siyaya)</w:t>
      </w:r>
    </w:p>
    <w:p w14:paraId="1602A7DC" w14:textId="77777777" w:rsidR="00951A8E" w:rsidRPr="00881795" w:rsidRDefault="00951A8E" w:rsidP="00E31338">
      <w:pPr>
        <w:pStyle w:val="ListParagraph"/>
        <w:numPr>
          <w:ilvl w:val="0"/>
          <w:numId w:val="1"/>
        </w:numPr>
        <w:spacing w:line="288" w:lineRule="auto"/>
        <w:jc w:val="both"/>
        <w:rPr>
          <w:szCs w:val="20"/>
        </w:rPr>
      </w:pPr>
      <w:r w:rsidRPr="00881795">
        <w:rPr>
          <w:szCs w:val="20"/>
        </w:rPr>
        <w:t>Mangrove swamp and salt flats</w:t>
      </w:r>
    </w:p>
    <w:p w14:paraId="7EEE6993" w14:textId="77777777" w:rsidR="00951A8E" w:rsidRPr="00881795" w:rsidRDefault="00951A8E" w:rsidP="00E31338">
      <w:pPr>
        <w:pStyle w:val="ListParagraph"/>
        <w:numPr>
          <w:ilvl w:val="0"/>
          <w:numId w:val="1"/>
        </w:numPr>
        <w:spacing w:line="288" w:lineRule="auto"/>
        <w:jc w:val="both"/>
        <w:rPr>
          <w:szCs w:val="20"/>
        </w:rPr>
      </w:pPr>
      <w:r w:rsidRPr="00881795">
        <w:rPr>
          <w:szCs w:val="20"/>
        </w:rPr>
        <w:t xml:space="preserve">Open space within the towns </w:t>
      </w:r>
    </w:p>
    <w:p w14:paraId="1B55379F" w14:textId="77777777" w:rsidR="00951A8E" w:rsidRPr="00881795" w:rsidRDefault="00951A8E" w:rsidP="00E31338">
      <w:pPr>
        <w:pStyle w:val="ListParagraph"/>
        <w:numPr>
          <w:ilvl w:val="0"/>
          <w:numId w:val="1"/>
        </w:numPr>
        <w:spacing w:line="288" w:lineRule="auto"/>
        <w:jc w:val="both"/>
        <w:rPr>
          <w:szCs w:val="20"/>
        </w:rPr>
      </w:pPr>
      <w:r w:rsidRPr="00881795">
        <w:rPr>
          <w:szCs w:val="20"/>
        </w:rPr>
        <w:t xml:space="preserve">Natural vegetation </w:t>
      </w:r>
    </w:p>
    <w:p w14:paraId="2F43951F" w14:textId="77777777" w:rsidR="00951A8E" w:rsidRPr="00881795" w:rsidRDefault="00951A8E" w:rsidP="00E31338">
      <w:pPr>
        <w:pStyle w:val="ListParagraph"/>
        <w:numPr>
          <w:ilvl w:val="0"/>
          <w:numId w:val="1"/>
        </w:numPr>
        <w:spacing w:line="288" w:lineRule="auto"/>
        <w:jc w:val="both"/>
        <w:rPr>
          <w:szCs w:val="20"/>
        </w:rPr>
      </w:pPr>
      <w:r w:rsidRPr="00881795">
        <w:rPr>
          <w:szCs w:val="20"/>
        </w:rPr>
        <w:t>Open woodland and forests</w:t>
      </w:r>
    </w:p>
    <w:p w14:paraId="4EBC8F3E" w14:textId="77777777" w:rsidR="0084469E" w:rsidRPr="00DD6295" w:rsidRDefault="0084469E" w:rsidP="00750180">
      <w:pPr>
        <w:pStyle w:val="Heading3"/>
        <w:numPr>
          <w:ilvl w:val="2"/>
          <w:numId w:val="29"/>
        </w:numPr>
      </w:pPr>
      <w:bookmarkStart w:id="119" w:name="_Toc389739723"/>
      <w:bookmarkStart w:id="120" w:name="_Toc510706596"/>
      <w:r w:rsidRPr="00DD6295">
        <w:t>Key Hydrological Features</w:t>
      </w:r>
      <w:bookmarkEnd w:id="119"/>
      <w:bookmarkEnd w:id="120"/>
    </w:p>
    <w:p w14:paraId="32D01437" w14:textId="77777777" w:rsidR="00951A8E" w:rsidRPr="00881795" w:rsidRDefault="00951A8E" w:rsidP="00395313">
      <w:pPr>
        <w:autoSpaceDE w:val="0"/>
        <w:autoSpaceDN w:val="0"/>
        <w:adjustRightInd w:val="0"/>
        <w:jc w:val="both"/>
        <w:rPr>
          <w:rFonts w:cs="Calibri"/>
          <w:color w:val="000000" w:themeColor="text1"/>
        </w:rPr>
      </w:pPr>
      <w:r w:rsidRPr="00881795">
        <w:rPr>
          <w:rFonts w:cs="Calibri"/>
          <w:color w:val="000000" w:themeColor="text1"/>
        </w:rPr>
        <w:t>The municipality has two key hydrological features including the following:</w:t>
      </w:r>
    </w:p>
    <w:p w14:paraId="73A461E3" w14:textId="77777777" w:rsidR="00951A8E" w:rsidRPr="00A12D19" w:rsidRDefault="00951A8E" w:rsidP="00750180">
      <w:pPr>
        <w:pStyle w:val="Heading4"/>
        <w:numPr>
          <w:ilvl w:val="3"/>
          <w:numId w:val="29"/>
        </w:numPr>
        <w:spacing w:after="240"/>
      </w:pPr>
      <w:bookmarkStart w:id="121" w:name="_Toc291152478"/>
      <w:bookmarkStart w:id="122" w:name="_Toc317688665"/>
      <w:bookmarkStart w:id="123" w:name="_Toc389739724"/>
      <w:r w:rsidRPr="00A12D19">
        <w:t xml:space="preserve">The </w:t>
      </w:r>
      <w:r w:rsidR="009E256B" w:rsidRPr="00A12D19">
        <w:t>u</w:t>
      </w:r>
      <w:r w:rsidRPr="00A12D19">
        <w:t xml:space="preserve">Mlalazi </w:t>
      </w:r>
      <w:r w:rsidRPr="00DD6295">
        <w:t>Estuary</w:t>
      </w:r>
      <w:bookmarkEnd w:id="121"/>
      <w:bookmarkEnd w:id="122"/>
      <w:bookmarkEnd w:id="123"/>
    </w:p>
    <w:p w14:paraId="044C2E7D" w14:textId="77777777" w:rsidR="00963CF7" w:rsidRPr="00881795" w:rsidRDefault="00963CF7" w:rsidP="00395313">
      <w:pPr>
        <w:autoSpaceDE w:val="0"/>
        <w:autoSpaceDN w:val="0"/>
        <w:adjustRightInd w:val="0"/>
        <w:jc w:val="both"/>
        <w:rPr>
          <w:rFonts w:cs="Calibri"/>
          <w:szCs w:val="20"/>
        </w:rPr>
      </w:pPr>
      <w:bookmarkStart w:id="124" w:name="_Toc291152479"/>
      <w:bookmarkStart w:id="125" w:name="_Toc317688666"/>
      <w:r w:rsidRPr="00881795">
        <w:rPr>
          <w:rFonts w:cs="Calibri"/>
          <w:color w:val="000000" w:themeColor="text1"/>
          <w:szCs w:val="20"/>
        </w:rPr>
        <w:t xml:space="preserve">The estuary is easily accessible by </w:t>
      </w:r>
      <w:r w:rsidR="00770C7F" w:rsidRPr="00881795">
        <w:rPr>
          <w:rFonts w:cs="Calibri"/>
          <w:color w:val="000000" w:themeColor="text1"/>
          <w:szCs w:val="20"/>
        </w:rPr>
        <w:t>road and</w:t>
      </w:r>
      <w:r w:rsidRPr="00881795">
        <w:rPr>
          <w:rFonts w:cs="Calibri"/>
          <w:color w:val="000000" w:themeColor="text1"/>
          <w:szCs w:val="20"/>
        </w:rPr>
        <w:t xml:space="preserve"> lies below the Mtunzini Village. The river is approximately 54 km long with a catchment area of 492 sq. km. </w:t>
      </w:r>
      <w:r w:rsidR="00703CE6" w:rsidRPr="00881795">
        <w:rPr>
          <w:rFonts w:cs="Calibri"/>
          <w:color w:val="000000" w:themeColor="text1"/>
          <w:szCs w:val="20"/>
        </w:rPr>
        <w:t>approximately</w:t>
      </w:r>
      <w:r w:rsidRPr="00881795">
        <w:rPr>
          <w:rFonts w:cs="Calibri"/>
          <w:color w:val="000000" w:themeColor="text1"/>
          <w:szCs w:val="20"/>
        </w:rPr>
        <w:t xml:space="preserve"> 46% of the catchment land-cover of the </w:t>
      </w:r>
      <w:r w:rsidR="007B065A" w:rsidRPr="00881795">
        <w:rPr>
          <w:rFonts w:cs="Calibri"/>
          <w:color w:val="000000" w:themeColor="text1"/>
          <w:szCs w:val="20"/>
        </w:rPr>
        <w:t>UMlalazi</w:t>
      </w:r>
      <w:r w:rsidRPr="00881795">
        <w:rPr>
          <w:rFonts w:cs="Calibri"/>
          <w:color w:val="000000" w:themeColor="text1"/>
          <w:szCs w:val="20"/>
        </w:rPr>
        <w:t xml:space="preserve"> system is agriculture and consists mainly subsistence farming, sugar cane and commercial forestry. About 1% of the catchment is urban comprising mainly the residential and industrial developments associated with of the coastal village of </w:t>
      </w:r>
      <w:r w:rsidR="007B065A" w:rsidRPr="00881795">
        <w:rPr>
          <w:rFonts w:cs="Calibri"/>
          <w:color w:val="000000" w:themeColor="text1"/>
          <w:szCs w:val="20"/>
        </w:rPr>
        <w:t>Mthunzini</w:t>
      </w:r>
      <w:r w:rsidRPr="00881795">
        <w:rPr>
          <w:rFonts w:cs="Calibri"/>
          <w:color w:val="000000" w:themeColor="text1"/>
          <w:szCs w:val="20"/>
        </w:rPr>
        <w:t xml:space="preserve"> and the town of Eshowe further inland. The catchment does not appear to be degraded and about 53% of the catchment is natural. This natural vegetation is comprised of grassland, </w:t>
      </w:r>
      <w:r w:rsidR="00703CE6" w:rsidRPr="00881795">
        <w:rPr>
          <w:rFonts w:cs="Calibri"/>
          <w:color w:val="000000" w:themeColor="text1"/>
          <w:szCs w:val="20"/>
        </w:rPr>
        <w:t>bush land</w:t>
      </w:r>
      <w:r w:rsidRPr="00881795">
        <w:rPr>
          <w:rFonts w:cs="Calibri"/>
          <w:color w:val="000000" w:themeColor="text1"/>
          <w:szCs w:val="20"/>
        </w:rPr>
        <w:t xml:space="preserve"> and forest. There have however been reports of bank erosion as a result of ploughing close to the river’s edge. 72 % of the catchment falls within traditional Ingonyama trust area. The surrounds of the estuary however are owned by the state and managed by Ezemvelo KZN </w:t>
      </w:r>
      <w:r w:rsidR="00A25189" w:rsidRPr="00881795">
        <w:rPr>
          <w:rFonts w:cs="Calibri"/>
          <w:color w:val="000000" w:themeColor="text1"/>
          <w:szCs w:val="20"/>
        </w:rPr>
        <w:t>Wildlife</w:t>
      </w:r>
      <w:r w:rsidRPr="00881795">
        <w:rPr>
          <w:rFonts w:cs="Calibri"/>
          <w:color w:val="000000" w:themeColor="text1"/>
          <w:szCs w:val="20"/>
        </w:rPr>
        <w:t xml:space="preserve">. </w:t>
      </w:r>
      <w:r w:rsidRPr="00881795">
        <w:rPr>
          <w:rFonts w:cs="Calibri"/>
          <w:szCs w:val="20"/>
        </w:rPr>
        <w:t xml:space="preserve"> </w:t>
      </w:r>
    </w:p>
    <w:p w14:paraId="79A02FF9" w14:textId="77777777" w:rsidR="00951A8E" w:rsidRPr="00DD6295" w:rsidRDefault="00951A8E" w:rsidP="00750180">
      <w:pPr>
        <w:pStyle w:val="Heading4"/>
        <w:numPr>
          <w:ilvl w:val="3"/>
          <w:numId w:val="29"/>
        </w:numPr>
      </w:pPr>
      <w:bookmarkStart w:id="126" w:name="_Toc389739725"/>
      <w:r w:rsidRPr="00DD6295">
        <w:t>The Mbongolwane Wetlands</w:t>
      </w:r>
      <w:bookmarkEnd w:id="124"/>
      <w:bookmarkEnd w:id="125"/>
      <w:bookmarkEnd w:id="126"/>
    </w:p>
    <w:p w14:paraId="115D5700" w14:textId="77777777" w:rsidR="00DA5B36" w:rsidRDefault="00963CF7" w:rsidP="00844630">
      <w:pPr>
        <w:spacing w:before="240" w:after="0" w:line="288" w:lineRule="auto"/>
        <w:jc w:val="both"/>
        <w:rPr>
          <w:rFonts w:cs="Calibri"/>
          <w:szCs w:val="20"/>
        </w:rPr>
      </w:pPr>
      <w:r w:rsidRPr="00881795">
        <w:rPr>
          <w:rFonts w:cs="Calibri"/>
          <w:szCs w:val="20"/>
        </w:rPr>
        <w:t>The Mbongolwane</w:t>
      </w:r>
      <w:r w:rsidR="009549C8">
        <w:rPr>
          <w:rFonts w:cs="Calibri"/>
          <w:szCs w:val="20"/>
        </w:rPr>
        <w:t xml:space="preserve"> Wetlands</w:t>
      </w:r>
      <w:r w:rsidRPr="00881795">
        <w:rPr>
          <w:rFonts w:cs="Calibri"/>
          <w:szCs w:val="20"/>
        </w:rPr>
        <w:t xml:space="preserve"> </w:t>
      </w:r>
      <w:r w:rsidR="00770C7F">
        <w:rPr>
          <w:rFonts w:cs="Calibri"/>
          <w:szCs w:val="20"/>
        </w:rPr>
        <w:t>has survived despite the fact th</w:t>
      </w:r>
      <w:r w:rsidR="009549C8">
        <w:rPr>
          <w:rFonts w:cs="Calibri"/>
          <w:szCs w:val="20"/>
        </w:rPr>
        <w:t xml:space="preserve">at most </w:t>
      </w:r>
      <w:r w:rsidRPr="00881795">
        <w:rPr>
          <w:rFonts w:cs="Calibri"/>
          <w:szCs w:val="20"/>
        </w:rPr>
        <w:t>wetlands</w:t>
      </w:r>
      <w:r w:rsidR="009549C8">
        <w:rPr>
          <w:rFonts w:cs="Calibri"/>
          <w:szCs w:val="20"/>
        </w:rPr>
        <w:t xml:space="preserve"> within the municipal area</w:t>
      </w:r>
      <w:r w:rsidRPr="00881795">
        <w:rPr>
          <w:rFonts w:cs="Calibri"/>
          <w:szCs w:val="20"/>
        </w:rPr>
        <w:t xml:space="preserve"> have been drained to make land available for commercial agriculture and this wetland system is </w:t>
      </w:r>
      <w:r w:rsidR="00770C7F">
        <w:rPr>
          <w:rFonts w:cs="Calibri"/>
          <w:szCs w:val="20"/>
        </w:rPr>
        <w:t>therefore</w:t>
      </w:r>
      <w:r w:rsidR="00770C7F" w:rsidRPr="00881795">
        <w:rPr>
          <w:rFonts w:cs="Calibri"/>
          <w:szCs w:val="20"/>
        </w:rPr>
        <w:t xml:space="preserve"> </w:t>
      </w:r>
      <w:r w:rsidRPr="00881795">
        <w:rPr>
          <w:rFonts w:cs="Calibri"/>
          <w:szCs w:val="20"/>
        </w:rPr>
        <w:t>particularly critical. Mbongolwane</w:t>
      </w:r>
      <w:r w:rsidR="009549C8">
        <w:rPr>
          <w:rFonts w:cs="Calibri"/>
          <w:szCs w:val="20"/>
        </w:rPr>
        <w:t xml:space="preserve"> wetland is about 400 hectares and </w:t>
      </w:r>
      <w:r w:rsidRPr="00881795">
        <w:rPr>
          <w:rFonts w:cs="Calibri"/>
          <w:szCs w:val="20"/>
        </w:rPr>
        <w:t>is a prime example of a read marsh and remains wet even through the dry season.  The wetland is a source of reds used in the weaving of traditional mats. While a large majority of the wetland remains under natural vegetation certain parts of the wetland have been drained for culti</w:t>
      </w:r>
      <w:r w:rsidR="009549C8">
        <w:rPr>
          <w:rFonts w:cs="Calibri"/>
          <w:szCs w:val="20"/>
        </w:rPr>
        <w:t xml:space="preserve">vation of root vegetables. </w:t>
      </w:r>
    </w:p>
    <w:p w14:paraId="44DF5213" w14:textId="77777777" w:rsidR="0084469E" w:rsidRPr="00DD6295" w:rsidRDefault="0084469E" w:rsidP="00750180">
      <w:pPr>
        <w:pStyle w:val="Heading3"/>
        <w:numPr>
          <w:ilvl w:val="2"/>
          <w:numId w:val="29"/>
        </w:numPr>
      </w:pPr>
      <w:bookmarkStart w:id="127" w:name="_Toc389739726"/>
      <w:bookmarkStart w:id="128" w:name="_Toc510706597"/>
      <w:r w:rsidRPr="00DD6295">
        <w:t>Protected Areas</w:t>
      </w:r>
      <w:bookmarkEnd w:id="127"/>
      <w:bookmarkEnd w:id="128"/>
    </w:p>
    <w:p w14:paraId="465C69C9" w14:textId="77777777" w:rsidR="00CE7C5B" w:rsidRDefault="00CE7C5B" w:rsidP="00395313">
      <w:pPr>
        <w:autoSpaceDE w:val="0"/>
        <w:autoSpaceDN w:val="0"/>
        <w:adjustRightInd w:val="0"/>
        <w:jc w:val="both"/>
        <w:rPr>
          <w:rFonts w:cs="Calibri"/>
          <w:color w:val="000000" w:themeColor="text1"/>
        </w:rPr>
      </w:pPr>
      <w:r w:rsidRPr="00881795">
        <w:rPr>
          <w:rFonts w:cs="Calibri"/>
          <w:color w:val="000000" w:themeColor="text1"/>
        </w:rPr>
        <w:t xml:space="preserve">The Municipality has 4 proclaimed protected areas. These include the following: </w:t>
      </w:r>
    </w:p>
    <w:p w14:paraId="6253176A" w14:textId="77777777" w:rsidR="00CE7C5B" w:rsidRPr="00DD6295" w:rsidRDefault="00CE7C5B" w:rsidP="00750180">
      <w:pPr>
        <w:pStyle w:val="Heading4"/>
        <w:numPr>
          <w:ilvl w:val="3"/>
          <w:numId w:val="29"/>
        </w:numPr>
        <w:spacing w:after="240"/>
      </w:pPr>
      <w:bookmarkStart w:id="129" w:name="_Toc291152481"/>
      <w:bookmarkStart w:id="130" w:name="_Toc317688668"/>
      <w:bookmarkStart w:id="131" w:name="_Toc389739727"/>
      <w:r w:rsidRPr="00DD6295">
        <w:t>Dlinza Forest</w:t>
      </w:r>
      <w:bookmarkEnd w:id="129"/>
      <w:bookmarkEnd w:id="130"/>
      <w:bookmarkEnd w:id="131"/>
    </w:p>
    <w:p w14:paraId="28B61DB8" w14:textId="77777777" w:rsidR="00963CF7" w:rsidRPr="00881795" w:rsidRDefault="00963CF7" w:rsidP="00395313">
      <w:pPr>
        <w:autoSpaceDE w:val="0"/>
        <w:autoSpaceDN w:val="0"/>
        <w:adjustRightInd w:val="0"/>
        <w:jc w:val="both"/>
        <w:rPr>
          <w:rFonts w:cs="Calibri"/>
          <w:color w:val="000000" w:themeColor="text1"/>
          <w:szCs w:val="20"/>
        </w:rPr>
      </w:pPr>
      <w:r w:rsidRPr="00881795">
        <w:rPr>
          <w:rFonts w:cs="Calibri"/>
          <w:szCs w:val="20"/>
        </w:rPr>
        <w:t>Established in 1947, this 250 ha forest is uniquely situated within the urban environment of Eshowe. The Dlinza Forest historically provided a burial site for the Zulu dead during the Anglo-Zulu War in Eshowe</w:t>
      </w:r>
      <w:r w:rsidR="00DA5B36">
        <w:rPr>
          <w:rFonts w:cs="Calibri"/>
          <w:szCs w:val="20"/>
        </w:rPr>
        <w:t xml:space="preserve">. </w:t>
      </w:r>
      <w:r w:rsidRPr="00881795">
        <w:rPr>
          <w:rFonts w:cs="Calibri"/>
          <w:szCs w:val="20"/>
        </w:rPr>
        <w:t>The forest is best known for its birds</w:t>
      </w:r>
      <w:r w:rsidR="00DA5B36">
        <w:rPr>
          <w:rFonts w:cs="Calibri"/>
          <w:szCs w:val="20"/>
        </w:rPr>
        <w:t>, t</w:t>
      </w:r>
      <w:r w:rsidRPr="00881795">
        <w:rPr>
          <w:rFonts w:cs="Calibri"/>
          <w:szCs w:val="20"/>
        </w:rPr>
        <w:t xml:space="preserve">wo species in particular, the Spotted Thrush and Delagorgues </w:t>
      </w:r>
      <w:r w:rsidR="00703CE6" w:rsidRPr="00881795">
        <w:rPr>
          <w:rFonts w:cs="Calibri"/>
          <w:szCs w:val="20"/>
        </w:rPr>
        <w:t>Pigeon</w:t>
      </w:r>
      <w:r w:rsidRPr="00881795">
        <w:rPr>
          <w:rFonts w:cs="Calibri"/>
          <w:szCs w:val="20"/>
        </w:rPr>
        <w:t xml:space="preserve"> are sought after by birdwatchers in the forest. Numerous other beautiful species such as Green Coucal, Grey Cuckoo Shrike, Narina Trogon, Trumpeter Hornbill, </w:t>
      </w:r>
      <w:r w:rsidR="00A25189" w:rsidRPr="00881795">
        <w:rPr>
          <w:rFonts w:cs="Calibri"/>
          <w:szCs w:val="20"/>
        </w:rPr>
        <w:t>Red backed</w:t>
      </w:r>
      <w:r w:rsidRPr="00881795">
        <w:rPr>
          <w:rFonts w:cs="Calibri"/>
          <w:szCs w:val="20"/>
        </w:rPr>
        <w:t xml:space="preserve"> Mannikin, Green Twinspot and Crowned </w:t>
      </w:r>
      <w:r w:rsidR="00703CE6" w:rsidRPr="00881795">
        <w:rPr>
          <w:rFonts w:cs="Calibri"/>
          <w:szCs w:val="20"/>
        </w:rPr>
        <w:t>Eagle are</w:t>
      </w:r>
      <w:r w:rsidRPr="00881795">
        <w:rPr>
          <w:rFonts w:cs="Calibri"/>
          <w:szCs w:val="20"/>
        </w:rPr>
        <w:t xml:space="preserve"> found in the forest. </w:t>
      </w:r>
      <w:r w:rsidRPr="00881795">
        <w:rPr>
          <w:rFonts w:cs="Calibri"/>
          <w:color w:val="000000" w:themeColor="text1"/>
          <w:szCs w:val="20"/>
        </w:rPr>
        <w:t xml:space="preserve">Numerous tree plaques provide information of biological interest and describe Zulu medicinal </w:t>
      </w:r>
      <w:r w:rsidR="009549C8">
        <w:rPr>
          <w:rFonts w:cs="Calibri"/>
          <w:color w:val="000000" w:themeColor="text1"/>
          <w:szCs w:val="20"/>
        </w:rPr>
        <w:t xml:space="preserve">use of the various trees. </w:t>
      </w:r>
    </w:p>
    <w:p w14:paraId="6D9ED802" w14:textId="77777777" w:rsidR="00CE7C5B" w:rsidRPr="00DD6295" w:rsidRDefault="00102172" w:rsidP="00750180">
      <w:pPr>
        <w:pStyle w:val="Heading4"/>
        <w:numPr>
          <w:ilvl w:val="3"/>
          <w:numId w:val="29"/>
        </w:numPr>
        <w:spacing w:after="240"/>
      </w:pPr>
      <w:bookmarkStart w:id="132" w:name="_Toc291152482"/>
      <w:bookmarkStart w:id="133" w:name="_Toc317688669"/>
      <w:bookmarkStart w:id="134" w:name="_Toc389739728"/>
      <w:r w:rsidRPr="00DD6295">
        <w:lastRenderedPageBreak/>
        <w:t>Entumeni Forest</w:t>
      </w:r>
      <w:bookmarkEnd w:id="132"/>
      <w:bookmarkEnd w:id="133"/>
      <w:bookmarkEnd w:id="134"/>
    </w:p>
    <w:p w14:paraId="01D1BF77" w14:textId="77777777" w:rsidR="00102172" w:rsidRDefault="00497884" w:rsidP="00395313">
      <w:pPr>
        <w:autoSpaceDE w:val="0"/>
        <w:autoSpaceDN w:val="0"/>
        <w:adjustRightInd w:val="0"/>
        <w:jc w:val="both"/>
        <w:rPr>
          <w:rFonts w:cstheme="minorHAnsi"/>
          <w:color w:val="000000" w:themeColor="text1"/>
          <w:szCs w:val="20"/>
        </w:rPr>
      </w:pPr>
      <w:r w:rsidRPr="00881795">
        <w:rPr>
          <w:rFonts w:cs="Calibri"/>
          <w:color w:val="000000" w:themeColor="text1"/>
          <w:szCs w:val="20"/>
        </w:rPr>
        <w:t xml:space="preserve">Established in 1970, this little-known 750 ha reserve consists largely of a gorge covered by forest. It can be found approximately 20 km from </w:t>
      </w:r>
      <w:r w:rsidRPr="00881795">
        <w:rPr>
          <w:rFonts w:cs="Calibri"/>
          <w:szCs w:val="20"/>
        </w:rPr>
        <w:t>Eshowe on the Nkandla/</w:t>
      </w:r>
      <w:r w:rsidR="00703CE6" w:rsidRPr="00881795">
        <w:rPr>
          <w:rFonts w:cs="Calibri"/>
          <w:szCs w:val="20"/>
        </w:rPr>
        <w:t>Ntumeni</w:t>
      </w:r>
      <w:r w:rsidR="00703CE6">
        <w:rPr>
          <w:rFonts w:cs="Calibri"/>
          <w:szCs w:val="20"/>
        </w:rPr>
        <w:t xml:space="preserve"> R</w:t>
      </w:r>
      <w:r w:rsidR="00703CE6" w:rsidRPr="00881795">
        <w:rPr>
          <w:rFonts w:cs="Calibri"/>
          <w:szCs w:val="20"/>
        </w:rPr>
        <w:t>oad</w:t>
      </w:r>
      <w:r w:rsidRPr="00881795">
        <w:rPr>
          <w:rFonts w:cs="Calibri"/>
          <w:color w:val="000000" w:themeColor="text1"/>
          <w:szCs w:val="20"/>
        </w:rPr>
        <w:t xml:space="preserve">. The </w:t>
      </w:r>
      <w:r w:rsidR="00A87D5E">
        <w:rPr>
          <w:rFonts w:cs="Calibri"/>
          <w:color w:val="000000" w:themeColor="text1"/>
          <w:szCs w:val="20"/>
        </w:rPr>
        <w:t>Ntumeni</w:t>
      </w:r>
      <w:r w:rsidR="009549C8">
        <w:rPr>
          <w:rFonts w:cs="Calibri"/>
          <w:color w:val="000000" w:themeColor="text1"/>
          <w:szCs w:val="20"/>
        </w:rPr>
        <w:t xml:space="preserve"> Forest is located on a </w:t>
      </w:r>
      <w:r w:rsidRPr="00881795">
        <w:rPr>
          <w:rFonts w:cs="Calibri"/>
          <w:color w:val="000000" w:themeColor="text1"/>
          <w:szCs w:val="20"/>
        </w:rPr>
        <w:t>beautiful but strenuous terrain</w:t>
      </w:r>
      <w:r w:rsidR="009549C8">
        <w:rPr>
          <w:rFonts w:cs="Calibri"/>
          <w:color w:val="000000" w:themeColor="text1"/>
          <w:szCs w:val="20"/>
        </w:rPr>
        <w:t>, and consists of a</w:t>
      </w:r>
      <w:r w:rsidRPr="00881795">
        <w:rPr>
          <w:rFonts w:cs="Calibri"/>
          <w:color w:val="000000" w:themeColor="text1"/>
          <w:szCs w:val="20"/>
        </w:rPr>
        <w:t xml:space="preserve"> spectacular waterfall on the Ngoje stream. At this point the rare Longtailed Wagtails are often observed along the stream. Birding can be very rewarding with species such as </w:t>
      </w:r>
      <w:r w:rsidR="00703CE6" w:rsidRPr="00881795">
        <w:rPr>
          <w:rFonts w:cs="Calibri"/>
          <w:color w:val="000000" w:themeColor="text1"/>
          <w:szCs w:val="20"/>
        </w:rPr>
        <w:t>Delagorgues</w:t>
      </w:r>
      <w:r w:rsidRPr="00881795">
        <w:rPr>
          <w:rFonts w:cs="Calibri"/>
          <w:color w:val="000000" w:themeColor="text1"/>
          <w:szCs w:val="20"/>
        </w:rPr>
        <w:t xml:space="preserve"> Pigeon, Brown Robin, </w:t>
      </w:r>
      <w:r w:rsidR="00703CE6" w:rsidRPr="00881795">
        <w:rPr>
          <w:rFonts w:cs="Calibri"/>
          <w:color w:val="000000" w:themeColor="text1"/>
          <w:szCs w:val="20"/>
        </w:rPr>
        <w:t>Yellow streaked</w:t>
      </w:r>
      <w:r w:rsidRPr="00881795">
        <w:rPr>
          <w:rFonts w:cs="Calibri"/>
          <w:color w:val="000000" w:themeColor="text1"/>
          <w:szCs w:val="20"/>
        </w:rPr>
        <w:t xml:space="preserve"> Bulbul, Olive Woodpecker, Grey Cuckoo shrike and Black Cuckoo. As with the Dlinza Forest, both blue duiker and bushbuck occur in the forest. The </w:t>
      </w:r>
      <w:r w:rsidRPr="00881795">
        <w:rPr>
          <w:rFonts w:cstheme="minorHAnsi"/>
          <w:color w:val="000000" w:themeColor="text1"/>
          <w:szCs w:val="20"/>
        </w:rPr>
        <w:t xml:space="preserve">grasslands in the reserve are home to a herd of zebra, and numerous grassland bird species such as the Lazy and Croaking Cisticola. </w:t>
      </w:r>
    </w:p>
    <w:p w14:paraId="66AAD9B9" w14:textId="77777777" w:rsidR="00CE7C5B" w:rsidRPr="00DD6295" w:rsidRDefault="00102172" w:rsidP="00750180">
      <w:pPr>
        <w:pStyle w:val="Heading4"/>
        <w:numPr>
          <w:ilvl w:val="3"/>
          <w:numId w:val="29"/>
        </w:numPr>
        <w:spacing w:after="240"/>
      </w:pPr>
      <w:bookmarkStart w:id="135" w:name="_Toc291152483"/>
      <w:bookmarkStart w:id="136" w:name="_Toc317688670"/>
      <w:bookmarkStart w:id="137" w:name="_Toc389739729"/>
      <w:r w:rsidRPr="00DD6295">
        <w:t>Ongoye Forest</w:t>
      </w:r>
      <w:bookmarkEnd w:id="135"/>
      <w:bookmarkEnd w:id="136"/>
      <w:bookmarkEnd w:id="137"/>
    </w:p>
    <w:p w14:paraId="436F6F77" w14:textId="77777777" w:rsidR="00102172" w:rsidRPr="00881795" w:rsidRDefault="00497884" w:rsidP="00395313">
      <w:pPr>
        <w:autoSpaceDE w:val="0"/>
        <w:autoSpaceDN w:val="0"/>
        <w:adjustRightInd w:val="0"/>
        <w:jc w:val="both"/>
        <w:rPr>
          <w:rFonts w:cstheme="minorHAnsi"/>
          <w:color w:val="000000" w:themeColor="text1"/>
          <w:szCs w:val="20"/>
        </w:rPr>
      </w:pPr>
      <w:r w:rsidRPr="00881795">
        <w:rPr>
          <w:rFonts w:cstheme="minorHAnsi"/>
          <w:szCs w:val="20"/>
        </w:rPr>
        <w:t>Ongoye Forest is an exceptionally rare and diverse habitat. It is probably the most famous example of the extremely rare scarp forests. The Ongoye mountain range is well-drained by numerous fast-flowing streams such as the uMlalazi and its tributaries the Thondo and the Intuze arising from valley-head springs and is of great importance as a water catchment area.  It has large array of rare and</w:t>
      </w:r>
      <w:r w:rsidRPr="00881795">
        <w:rPr>
          <w:rFonts w:cstheme="minorHAnsi"/>
          <w:color w:val="000000" w:themeColor="text1"/>
          <w:szCs w:val="20"/>
        </w:rPr>
        <w:t xml:space="preserve"> endemic tree and plant species </w:t>
      </w:r>
      <w:r w:rsidR="00796F42">
        <w:rPr>
          <w:rFonts w:cstheme="minorHAnsi"/>
          <w:color w:val="000000" w:themeColor="text1"/>
          <w:szCs w:val="20"/>
        </w:rPr>
        <w:t xml:space="preserve">which </w:t>
      </w:r>
      <w:r w:rsidRPr="00881795">
        <w:rPr>
          <w:rFonts w:cstheme="minorHAnsi"/>
          <w:color w:val="000000" w:themeColor="text1"/>
          <w:szCs w:val="20"/>
        </w:rPr>
        <w:t>include magnificent giant umzimbeet, Millettia sutherlundii, forest mangosteen Garcinia gerrardii, forest water berry, Syzygium gerrardii and pondoland fig Ficus bizanae amongst others. The cycads Encephalartos ngoyanus and Encephalartos villosus are also found here. Birding and hiking are also very popular all year round. There are about 130 bird species found on the reserve. The green barbet is endemic to the forest. Bushbuck, red duiker and red squirrel are also found. The giant Wood</w:t>
      </w:r>
      <w:r w:rsidR="006D43DB">
        <w:rPr>
          <w:rFonts w:cstheme="minorHAnsi"/>
          <w:color w:val="000000" w:themeColor="text1"/>
          <w:szCs w:val="20"/>
        </w:rPr>
        <w:t>’</w:t>
      </w:r>
      <w:r w:rsidRPr="00881795">
        <w:rPr>
          <w:rFonts w:cstheme="minorHAnsi"/>
          <w:color w:val="000000" w:themeColor="text1"/>
          <w:szCs w:val="20"/>
        </w:rPr>
        <w:t xml:space="preserve">s cycad, Encephalartos woodii, now extinct in the wild, but surviving at the botanic gardens in Durban only occurred here. In the past, Ongoye forest was protected by the Zulu Royal household because of the medicinal value of the plants found there. </w:t>
      </w:r>
    </w:p>
    <w:p w14:paraId="2514103C" w14:textId="77777777" w:rsidR="00CE7C5B" w:rsidRPr="00DD6295" w:rsidRDefault="00A87D5E" w:rsidP="00750180">
      <w:pPr>
        <w:pStyle w:val="Heading4"/>
        <w:numPr>
          <w:ilvl w:val="3"/>
          <w:numId w:val="29"/>
        </w:numPr>
        <w:spacing w:after="240"/>
      </w:pPr>
      <w:bookmarkStart w:id="138" w:name="_Toc291152484"/>
      <w:bookmarkStart w:id="139" w:name="_Toc317688671"/>
      <w:bookmarkStart w:id="140" w:name="_Toc389739730"/>
      <w:r w:rsidRPr="00DD6295">
        <w:t>U</w:t>
      </w:r>
      <w:r w:rsidR="006D43DB" w:rsidRPr="00DD6295">
        <w:t>m</w:t>
      </w:r>
      <w:r w:rsidRPr="00DD6295">
        <w:t>lalazi</w:t>
      </w:r>
      <w:r w:rsidR="00102172" w:rsidRPr="00DD6295">
        <w:t xml:space="preserve"> Coastal Nature Reserve</w:t>
      </w:r>
      <w:bookmarkEnd w:id="138"/>
      <w:bookmarkEnd w:id="139"/>
      <w:bookmarkEnd w:id="140"/>
    </w:p>
    <w:p w14:paraId="0DBF85C6" w14:textId="77777777" w:rsidR="00796F42" w:rsidRDefault="00761900" w:rsidP="00395313">
      <w:pPr>
        <w:autoSpaceDE w:val="0"/>
        <w:autoSpaceDN w:val="0"/>
        <w:adjustRightInd w:val="0"/>
        <w:jc w:val="both"/>
        <w:rPr>
          <w:rFonts w:cstheme="minorHAnsi"/>
          <w:szCs w:val="20"/>
        </w:rPr>
      </w:pPr>
      <w:r w:rsidRPr="00881795">
        <w:rPr>
          <w:rFonts w:cstheme="minorHAnsi"/>
          <w:color w:val="000000" w:themeColor="text1"/>
          <w:szCs w:val="20"/>
        </w:rPr>
        <w:t xml:space="preserve">This coastal reserve is situated one km from Mtunzini on the KwaZulu-Natal North Coast. </w:t>
      </w:r>
      <w:r w:rsidR="00A87D5E" w:rsidRPr="00881795">
        <w:rPr>
          <w:rFonts w:cstheme="minorHAnsi"/>
          <w:color w:val="000000" w:themeColor="text1"/>
          <w:szCs w:val="20"/>
        </w:rPr>
        <w:t>U</w:t>
      </w:r>
      <w:r w:rsidR="006D43DB" w:rsidRPr="00881795">
        <w:rPr>
          <w:rFonts w:cstheme="minorHAnsi"/>
          <w:color w:val="000000" w:themeColor="text1"/>
          <w:szCs w:val="20"/>
        </w:rPr>
        <w:t>m</w:t>
      </w:r>
      <w:r w:rsidR="00A87D5E" w:rsidRPr="00881795">
        <w:rPr>
          <w:rFonts w:cstheme="minorHAnsi"/>
          <w:color w:val="000000" w:themeColor="text1"/>
          <w:szCs w:val="20"/>
        </w:rPr>
        <w:t>lalazi</w:t>
      </w:r>
      <w:r w:rsidRPr="00881795">
        <w:rPr>
          <w:rFonts w:cstheme="minorHAnsi"/>
          <w:color w:val="000000" w:themeColor="text1"/>
          <w:szCs w:val="20"/>
        </w:rPr>
        <w:t xml:space="preserve"> was established as a protected area in 1948 and is 1 028 hectares in extent. Home of the palmnut vulture, which is one of the rarest birds of prey in South Africa.</w:t>
      </w:r>
      <w:r w:rsidR="00796F42" w:rsidRPr="00796F42">
        <w:rPr>
          <w:rFonts w:cstheme="minorHAnsi"/>
          <w:szCs w:val="20"/>
        </w:rPr>
        <w:t xml:space="preserve"> </w:t>
      </w:r>
      <w:r w:rsidR="00796F42" w:rsidRPr="00881795">
        <w:rPr>
          <w:rFonts w:cstheme="minorHAnsi"/>
          <w:szCs w:val="20"/>
        </w:rPr>
        <w:t>There is an easy walk through one of the best examples of mangrove swamps in South Africa, where several species of. Wildflowers and a great variety of bird life can be seen</w:t>
      </w:r>
    </w:p>
    <w:p w14:paraId="077BA459" w14:textId="77777777" w:rsidR="00761900" w:rsidRPr="00DD6295" w:rsidRDefault="00761900" w:rsidP="00750180">
      <w:pPr>
        <w:pStyle w:val="Heading3"/>
        <w:numPr>
          <w:ilvl w:val="2"/>
          <w:numId w:val="29"/>
        </w:numPr>
        <w:spacing w:after="240"/>
      </w:pPr>
      <w:bookmarkStart w:id="141" w:name="_Toc389739731"/>
      <w:bookmarkStart w:id="142" w:name="_Toc510706598"/>
      <w:r w:rsidRPr="00DD6295">
        <w:t>Biodiversity</w:t>
      </w:r>
      <w:bookmarkEnd w:id="141"/>
      <w:bookmarkEnd w:id="142"/>
    </w:p>
    <w:p w14:paraId="2D5C8C47" w14:textId="77777777" w:rsidR="007D3718" w:rsidRPr="00AA2B4F" w:rsidRDefault="00761900" w:rsidP="00395313">
      <w:pPr>
        <w:autoSpaceDE w:val="0"/>
        <w:autoSpaceDN w:val="0"/>
        <w:adjustRightInd w:val="0"/>
        <w:jc w:val="both"/>
        <w:rPr>
          <w:rFonts w:cstheme="minorHAnsi"/>
          <w:color w:val="000000" w:themeColor="text1"/>
          <w:szCs w:val="20"/>
        </w:rPr>
      </w:pPr>
      <w:r w:rsidRPr="00AA2B4F">
        <w:rPr>
          <w:rFonts w:cstheme="minorHAnsi"/>
          <w:color w:val="000000" w:themeColor="text1"/>
          <w:szCs w:val="20"/>
        </w:rPr>
        <w:t xml:space="preserve">The </w:t>
      </w:r>
      <w:r w:rsidR="0042744B" w:rsidRPr="00AA2B4F">
        <w:rPr>
          <w:rFonts w:cstheme="minorHAnsi"/>
          <w:color w:val="000000" w:themeColor="text1"/>
          <w:szCs w:val="20"/>
        </w:rPr>
        <w:t>uMlalazi M</w:t>
      </w:r>
      <w:r w:rsidRPr="00AA2B4F">
        <w:rPr>
          <w:rFonts w:cstheme="minorHAnsi"/>
          <w:color w:val="000000" w:themeColor="text1"/>
          <w:szCs w:val="20"/>
        </w:rPr>
        <w:t xml:space="preserve">unicipality lies </w:t>
      </w:r>
      <w:r w:rsidR="0042744B" w:rsidRPr="00AA2B4F">
        <w:rPr>
          <w:rFonts w:cstheme="minorHAnsi"/>
          <w:color w:val="000000" w:themeColor="text1"/>
          <w:szCs w:val="20"/>
        </w:rPr>
        <w:t>with</w:t>
      </w:r>
      <w:r w:rsidRPr="00AA2B4F">
        <w:rPr>
          <w:rFonts w:cstheme="minorHAnsi"/>
          <w:color w:val="000000" w:themeColor="text1"/>
          <w:szCs w:val="20"/>
        </w:rPr>
        <w:t>in the Maputaland Coastal Plain, and its biodiversity is of particular importance in a biodiversity-rich country, from a nature conservation perspective, for intrinsic reasons, and for the ecosystem services (as below) it provides, as it occurs within one of the two biodiversity hotspots</w:t>
      </w:r>
      <w:r w:rsidR="0042744B" w:rsidRPr="00AA2B4F">
        <w:rPr>
          <w:rFonts w:cstheme="minorHAnsi"/>
          <w:color w:val="000000" w:themeColor="text1"/>
          <w:szCs w:val="20"/>
        </w:rPr>
        <w:t>.</w:t>
      </w:r>
    </w:p>
    <w:p w14:paraId="527E3E22" w14:textId="77777777" w:rsidR="00761900" w:rsidRPr="00DD6295" w:rsidRDefault="00761900" w:rsidP="00750180">
      <w:pPr>
        <w:pStyle w:val="Heading4"/>
        <w:numPr>
          <w:ilvl w:val="3"/>
          <w:numId w:val="29"/>
        </w:numPr>
        <w:spacing w:after="240"/>
      </w:pPr>
      <w:bookmarkStart w:id="143" w:name="_Toc291152487"/>
      <w:bookmarkStart w:id="144" w:name="_Toc317688674"/>
      <w:bookmarkStart w:id="145" w:name="_Toc389739733"/>
      <w:r w:rsidRPr="00DD6295">
        <w:t xml:space="preserve">Summary Status of uMlalazi Weed Eradication </w:t>
      </w:r>
      <w:bookmarkEnd w:id="143"/>
      <w:bookmarkEnd w:id="144"/>
      <w:bookmarkEnd w:id="145"/>
      <w:r w:rsidR="00A25189" w:rsidRPr="00DD6295">
        <w:t>Program</w:t>
      </w:r>
    </w:p>
    <w:p w14:paraId="50227CFC" w14:textId="77777777" w:rsidR="00761900" w:rsidRPr="00AA2B4F" w:rsidRDefault="00761900" w:rsidP="00395313">
      <w:pPr>
        <w:autoSpaceDE w:val="0"/>
        <w:autoSpaceDN w:val="0"/>
        <w:adjustRightInd w:val="0"/>
        <w:jc w:val="both"/>
        <w:rPr>
          <w:rFonts w:cstheme="minorHAnsi"/>
          <w:color w:val="000000" w:themeColor="text1"/>
          <w:szCs w:val="20"/>
        </w:rPr>
      </w:pPr>
      <w:r w:rsidRPr="00AA2B4F">
        <w:rPr>
          <w:rFonts w:cstheme="minorHAnsi"/>
          <w:color w:val="000000" w:themeColor="text1"/>
          <w:szCs w:val="20"/>
        </w:rPr>
        <w:t xml:space="preserve">The following provides a brief summary of the uMlalazi Weed Eradication </w:t>
      </w:r>
      <w:r w:rsidR="00A25189" w:rsidRPr="00AA2B4F">
        <w:rPr>
          <w:rFonts w:cstheme="minorHAnsi"/>
          <w:color w:val="000000" w:themeColor="text1"/>
          <w:szCs w:val="20"/>
        </w:rPr>
        <w:t>Program</w:t>
      </w:r>
      <w:r w:rsidRPr="00AA2B4F">
        <w:rPr>
          <w:rFonts w:cstheme="minorHAnsi"/>
          <w:color w:val="000000" w:themeColor="text1"/>
          <w:szCs w:val="20"/>
        </w:rPr>
        <w:t>:</w:t>
      </w:r>
    </w:p>
    <w:p w14:paraId="5621B932" w14:textId="77777777" w:rsidR="00761900" w:rsidRPr="00AA2B4F" w:rsidRDefault="00761900" w:rsidP="00E31338">
      <w:pPr>
        <w:pStyle w:val="ListParagraph"/>
        <w:numPr>
          <w:ilvl w:val="0"/>
          <w:numId w:val="1"/>
        </w:numPr>
        <w:spacing w:line="288" w:lineRule="auto"/>
        <w:jc w:val="both"/>
        <w:rPr>
          <w:rFonts w:cstheme="minorHAnsi"/>
          <w:szCs w:val="20"/>
        </w:rPr>
      </w:pPr>
      <w:r w:rsidRPr="00AA2B4F">
        <w:rPr>
          <w:rFonts w:cstheme="minorHAnsi"/>
          <w:szCs w:val="20"/>
        </w:rPr>
        <w:t xml:space="preserve">The uMlalazi Municipality improved its weed eradication </w:t>
      </w:r>
      <w:r w:rsidR="00A25189" w:rsidRPr="00AA2B4F">
        <w:rPr>
          <w:rFonts w:cstheme="minorHAnsi"/>
          <w:szCs w:val="20"/>
        </w:rPr>
        <w:t>program</w:t>
      </w:r>
      <w:r w:rsidR="00742E01">
        <w:rPr>
          <w:rFonts w:cstheme="minorHAnsi"/>
          <w:szCs w:val="20"/>
        </w:rPr>
        <w:t>.</w:t>
      </w:r>
    </w:p>
    <w:p w14:paraId="66CA9159" w14:textId="77777777" w:rsidR="00761900" w:rsidRPr="00AA2B4F" w:rsidRDefault="00761900" w:rsidP="00E31338">
      <w:pPr>
        <w:pStyle w:val="ListParagraph"/>
        <w:numPr>
          <w:ilvl w:val="0"/>
          <w:numId w:val="1"/>
        </w:numPr>
        <w:spacing w:line="288" w:lineRule="auto"/>
        <w:jc w:val="both"/>
        <w:rPr>
          <w:rFonts w:cstheme="minorHAnsi"/>
          <w:szCs w:val="20"/>
        </w:rPr>
      </w:pPr>
      <w:r w:rsidRPr="00AA2B4F">
        <w:rPr>
          <w:rFonts w:cstheme="minorHAnsi"/>
          <w:szCs w:val="20"/>
        </w:rPr>
        <w:t xml:space="preserve">Special </w:t>
      </w:r>
      <w:r w:rsidR="00A25189" w:rsidRPr="00AA2B4F">
        <w:rPr>
          <w:rFonts w:cstheme="minorHAnsi"/>
          <w:szCs w:val="20"/>
        </w:rPr>
        <w:t>programs</w:t>
      </w:r>
      <w:r w:rsidRPr="00AA2B4F">
        <w:rPr>
          <w:rFonts w:cstheme="minorHAnsi"/>
          <w:szCs w:val="20"/>
        </w:rPr>
        <w:t xml:space="preserve"> are in place to draw weedicide; </w:t>
      </w:r>
    </w:p>
    <w:p w14:paraId="0436E98A" w14:textId="77777777" w:rsidR="00761900" w:rsidRPr="00AA2B4F" w:rsidRDefault="00761900" w:rsidP="00E31338">
      <w:pPr>
        <w:pStyle w:val="ListParagraph"/>
        <w:numPr>
          <w:ilvl w:val="0"/>
          <w:numId w:val="1"/>
        </w:numPr>
        <w:spacing w:line="288" w:lineRule="auto"/>
        <w:jc w:val="both"/>
        <w:rPr>
          <w:rFonts w:cstheme="minorHAnsi"/>
          <w:szCs w:val="20"/>
        </w:rPr>
      </w:pPr>
      <w:r w:rsidRPr="00AA2B4F">
        <w:rPr>
          <w:rFonts w:cstheme="minorHAnsi"/>
          <w:szCs w:val="20"/>
        </w:rPr>
        <w:t xml:space="preserve">The weed eradication </w:t>
      </w:r>
      <w:r w:rsidR="00A25189" w:rsidRPr="00AA2B4F">
        <w:rPr>
          <w:rFonts w:cstheme="minorHAnsi"/>
          <w:szCs w:val="20"/>
        </w:rPr>
        <w:t>program</w:t>
      </w:r>
      <w:r w:rsidRPr="00AA2B4F">
        <w:rPr>
          <w:rFonts w:cstheme="minorHAnsi"/>
          <w:szCs w:val="20"/>
        </w:rPr>
        <w:t xml:space="preserve"> for Mtunzini is conducted by the Mtunzini Conservancy and finances are provided by the uMlalazi Municipality.</w:t>
      </w:r>
    </w:p>
    <w:p w14:paraId="49A9FD51" w14:textId="77777777" w:rsidR="00761900" w:rsidRPr="00AA2B4F" w:rsidRDefault="00761900" w:rsidP="00E31338">
      <w:pPr>
        <w:pStyle w:val="ListParagraph"/>
        <w:numPr>
          <w:ilvl w:val="0"/>
          <w:numId w:val="1"/>
        </w:numPr>
        <w:spacing w:line="288" w:lineRule="auto"/>
        <w:jc w:val="both"/>
        <w:rPr>
          <w:rFonts w:cstheme="minorHAnsi"/>
          <w:szCs w:val="20"/>
        </w:rPr>
      </w:pPr>
      <w:r w:rsidRPr="00AA2B4F">
        <w:rPr>
          <w:rFonts w:cstheme="minorHAnsi"/>
          <w:szCs w:val="20"/>
        </w:rPr>
        <w:t xml:space="preserve">The Gingindlovu weed eradication </w:t>
      </w:r>
      <w:r w:rsidR="00A25189" w:rsidRPr="00AA2B4F">
        <w:rPr>
          <w:rFonts w:cstheme="minorHAnsi"/>
          <w:szCs w:val="20"/>
        </w:rPr>
        <w:t>program</w:t>
      </w:r>
      <w:r w:rsidRPr="00AA2B4F">
        <w:rPr>
          <w:rFonts w:cstheme="minorHAnsi"/>
          <w:szCs w:val="20"/>
        </w:rPr>
        <w:t xml:space="preserve"> is undertaken by the uMlalazi Municipality and temporary workers are employed as a job creation project and trained.  </w:t>
      </w:r>
    </w:p>
    <w:p w14:paraId="1967F062" w14:textId="77777777" w:rsidR="00761900" w:rsidRPr="00AA2B4F" w:rsidRDefault="00761900" w:rsidP="00E31338">
      <w:pPr>
        <w:pStyle w:val="ListParagraph"/>
        <w:numPr>
          <w:ilvl w:val="0"/>
          <w:numId w:val="1"/>
        </w:numPr>
        <w:spacing w:line="288" w:lineRule="auto"/>
        <w:jc w:val="both"/>
        <w:rPr>
          <w:rFonts w:cstheme="minorHAnsi"/>
          <w:szCs w:val="20"/>
        </w:rPr>
      </w:pPr>
      <w:r w:rsidRPr="00AA2B4F">
        <w:rPr>
          <w:rFonts w:cstheme="minorHAnsi"/>
          <w:szCs w:val="20"/>
        </w:rPr>
        <w:t xml:space="preserve">The Eshowe weed eradication </w:t>
      </w:r>
      <w:r w:rsidR="00A25189" w:rsidRPr="00AA2B4F">
        <w:rPr>
          <w:rFonts w:cstheme="minorHAnsi"/>
          <w:szCs w:val="20"/>
        </w:rPr>
        <w:t>program</w:t>
      </w:r>
      <w:r w:rsidRPr="00AA2B4F">
        <w:rPr>
          <w:rFonts w:cstheme="minorHAnsi"/>
          <w:szCs w:val="20"/>
        </w:rPr>
        <w:t xml:space="preserve"> was outsourced and consequently the contractor has been employed by the Municipality as the skill member who now coordinates temporary workers as a job creation project and supervises the weed eradication </w:t>
      </w:r>
      <w:r w:rsidR="00A25189" w:rsidRPr="00AA2B4F">
        <w:rPr>
          <w:rFonts w:cstheme="minorHAnsi"/>
          <w:szCs w:val="20"/>
        </w:rPr>
        <w:t>program</w:t>
      </w:r>
      <w:r w:rsidRPr="00AA2B4F">
        <w:rPr>
          <w:rFonts w:cstheme="minorHAnsi"/>
          <w:szCs w:val="20"/>
        </w:rPr>
        <w:t>.</w:t>
      </w:r>
    </w:p>
    <w:p w14:paraId="437D9EEB" w14:textId="77777777" w:rsidR="00761900" w:rsidRPr="00AA2B4F" w:rsidRDefault="00761900" w:rsidP="00E31338">
      <w:pPr>
        <w:pStyle w:val="ListParagraph"/>
        <w:numPr>
          <w:ilvl w:val="0"/>
          <w:numId w:val="1"/>
        </w:numPr>
        <w:spacing w:line="288" w:lineRule="auto"/>
        <w:jc w:val="both"/>
        <w:rPr>
          <w:rFonts w:cstheme="minorHAnsi"/>
          <w:szCs w:val="20"/>
        </w:rPr>
      </w:pPr>
      <w:r w:rsidRPr="00AA2B4F">
        <w:rPr>
          <w:rFonts w:cstheme="minorHAnsi"/>
          <w:szCs w:val="20"/>
        </w:rPr>
        <w:t>The urban areas of Mtunzini, Gingindlovu and Eshowe have respective teams with one permanent employee and the rest made up of temporary staff and have collectively eradicated + 400 ha of noxious weeds.</w:t>
      </w:r>
    </w:p>
    <w:p w14:paraId="45466381" w14:textId="77777777" w:rsidR="00761900" w:rsidRPr="00AA2B4F" w:rsidRDefault="00761900" w:rsidP="00E31338">
      <w:pPr>
        <w:pStyle w:val="ListParagraph"/>
        <w:numPr>
          <w:ilvl w:val="0"/>
          <w:numId w:val="1"/>
        </w:numPr>
        <w:spacing w:line="288" w:lineRule="auto"/>
        <w:jc w:val="both"/>
        <w:rPr>
          <w:rFonts w:cstheme="minorHAnsi"/>
          <w:color w:val="000000" w:themeColor="text1"/>
          <w:szCs w:val="20"/>
        </w:rPr>
      </w:pPr>
      <w:r w:rsidRPr="00AA2B4F">
        <w:rPr>
          <w:rFonts w:cstheme="minorHAnsi"/>
          <w:color w:val="000000" w:themeColor="text1"/>
          <w:szCs w:val="20"/>
        </w:rPr>
        <w:lastRenderedPageBreak/>
        <w:t xml:space="preserve">The municipality supplies KZN Wildlife with herbicide which is </w:t>
      </w:r>
      <w:r w:rsidR="00703CE6" w:rsidRPr="00AA2B4F">
        <w:rPr>
          <w:rFonts w:cstheme="minorHAnsi"/>
          <w:color w:val="000000" w:themeColor="text1"/>
          <w:szCs w:val="20"/>
        </w:rPr>
        <w:t>then</w:t>
      </w:r>
      <w:r w:rsidR="00703CE6">
        <w:rPr>
          <w:rFonts w:cstheme="minorHAnsi"/>
          <w:color w:val="000000" w:themeColor="text1"/>
          <w:szCs w:val="20"/>
        </w:rPr>
        <w:t>,</w:t>
      </w:r>
      <w:r w:rsidR="00357750" w:rsidRPr="00AA2B4F">
        <w:rPr>
          <w:rFonts w:cstheme="minorHAnsi"/>
          <w:color w:val="000000" w:themeColor="text1"/>
          <w:szCs w:val="20"/>
        </w:rPr>
        <w:t xml:space="preserve"> in turn,</w:t>
      </w:r>
      <w:r w:rsidRPr="00AA2B4F">
        <w:rPr>
          <w:rFonts w:cstheme="minorHAnsi"/>
          <w:color w:val="000000" w:themeColor="text1"/>
          <w:szCs w:val="20"/>
        </w:rPr>
        <w:t xml:space="preserve"> through an approved </w:t>
      </w:r>
      <w:r w:rsidR="00A25189" w:rsidRPr="00AA2B4F">
        <w:rPr>
          <w:rFonts w:cstheme="minorHAnsi"/>
          <w:color w:val="000000" w:themeColor="text1"/>
          <w:szCs w:val="20"/>
        </w:rPr>
        <w:t>program</w:t>
      </w:r>
      <w:r w:rsidRPr="00AA2B4F">
        <w:rPr>
          <w:rFonts w:cstheme="minorHAnsi"/>
          <w:color w:val="000000" w:themeColor="text1"/>
          <w:szCs w:val="20"/>
        </w:rPr>
        <w:t xml:space="preserve"> distributed to the residents free of charge.</w:t>
      </w:r>
    </w:p>
    <w:p w14:paraId="3864264D" w14:textId="77777777" w:rsidR="00761900" w:rsidRDefault="00761900" w:rsidP="00E31338">
      <w:pPr>
        <w:pStyle w:val="ListParagraph"/>
        <w:numPr>
          <w:ilvl w:val="0"/>
          <w:numId w:val="1"/>
        </w:numPr>
        <w:spacing w:line="288" w:lineRule="auto"/>
        <w:jc w:val="both"/>
        <w:rPr>
          <w:rFonts w:cstheme="minorHAnsi"/>
          <w:szCs w:val="20"/>
        </w:rPr>
      </w:pPr>
      <w:r w:rsidRPr="00AA2B4F">
        <w:rPr>
          <w:rFonts w:cstheme="minorHAnsi"/>
          <w:szCs w:val="20"/>
        </w:rPr>
        <w:t>The uMlalazi Municipality through its statutory Community Services Committee advises all aspects of the environment.</w:t>
      </w:r>
      <w:r w:rsidR="00357750" w:rsidRPr="00AA2B4F">
        <w:rPr>
          <w:rFonts w:cstheme="minorHAnsi"/>
          <w:szCs w:val="20"/>
        </w:rPr>
        <w:t xml:space="preserve">  </w:t>
      </w:r>
      <w:r w:rsidRPr="00AA2B4F">
        <w:rPr>
          <w:rFonts w:cstheme="minorHAnsi"/>
          <w:szCs w:val="20"/>
        </w:rPr>
        <w:t>This Committee</w:t>
      </w:r>
      <w:r w:rsidR="00357750" w:rsidRPr="00AA2B4F">
        <w:rPr>
          <w:rFonts w:cstheme="minorHAnsi"/>
          <w:szCs w:val="20"/>
        </w:rPr>
        <w:t xml:space="preserve"> </w:t>
      </w:r>
      <w:r w:rsidRPr="00AA2B4F">
        <w:rPr>
          <w:rFonts w:cstheme="minorHAnsi"/>
          <w:szCs w:val="20"/>
        </w:rPr>
        <w:t>was instrumental in the compilation of a letter of agreement between the uMlalazi Municipality, the Department of Environmental and Agricultural Affairs which is a guideline pertaining to environmental impacts and relevant legislation all of which streamlines development in rural and urban areas.</w:t>
      </w:r>
    </w:p>
    <w:p w14:paraId="751E3B06" w14:textId="77777777" w:rsidR="0084469E" w:rsidRDefault="0084469E" w:rsidP="00750180">
      <w:pPr>
        <w:pStyle w:val="Heading3"/>
        <w:numPr>
          <w:ilvl w:val="2"/>
          <w:numId w:val="29"/>
        </w:numPr>
        <w:spacing w:after="240"/>
      </w:pPr>
      <w:bookmarkStart w:id="146" w:name="_Toc389739735"/>
      <w:bookmarkStart w:id="147" w:name="_Toc510706599"/>
      <w:r w:rsidRPr="004530F5">
        <w:t>Climate Change</w:t>
      </w:r>
      <w:bookmarkEnd w:id="146"/>
      <w:bookmarkEnd w:id="147"/>
      <w:r w:rsidR="00AF4CD3" w:rsidRPr="004530F5">
        <w:t xml:space="preserve"> </w:t>
      </w:r>
    </w:p>
    <w:p w14:paraId="23CB5A54" w14:textId="662687D9" w:rsidR="004F718F" w:rsidRPr="004F718F" w:rsidRDefault="004F718F" w:rsidP="004F718F">
      <w:pPr>
        <w:jc w:val="both"/>
      </w:pPr>
      <w:r w:rsidRPr="004F718F">
        <w:t>As part of the municipality’s response to climate change, the District Environmental Management Framework requires that all district projects including that of local municipalities incorporate Climate Change mitigation &amp; adaptation measures. A simple thing as making sure that all new buildings have energy efficient lighting goes a long way. The National Department of Environmental Affairs has a Climate Change “LETS RESPOND” tool kit that is available to serve as a guide for municipalities in initiating Climate Change Mitigation &amp; Adaptation plans.</w:t>
      </w:r>
    </w:p>
    <w:p w14:paraId="4B5519D0" w14:textId="77777777" w:rsidR="006025A0" w:rsidRPr="004530F5" w:rsidRDefault="006025A0" w:rsidP="00750180">
      <w:pPr>
        <w:pStyle w:val="Heading3"/>
        <w:numPr>
          <w:ilvl w:val="2"/>
          <w:numId w:val="29"/>
        </w:numPr>
        <w:spacing w:after="240"/>
      </w:pPr>
      <w:bookmarkStart w:id="148" w:name="_Toc389739739"/>
      <w:bookmarkStart w:id="149" w:name="_Toc510706600"/>
      <w:r w:rsidRPr="004530F5">
        <w:t>Strategic Environmental Assessment</w:t>
      </w:r>
      <w:bookmarkEnd w:id="148"/>
      <w:bookmarkEnd w:id="149"/>
    </w:p>
    <w:p w14:paraId="1ACC1D7A" w14:textId="77777777" w:rsidR="00F455E0" w:rsidRPr="00F455E0" w:rsidRDefault="00F455E0" w:rsidP="000544C5">
      <w:pPr>
        <w:jc w:val="both"/>
      </w:pPr>
      <w:r>
        <w:t xml:space="preserve">The </w:t>
      </w:r>
      <w:r w:rsidR="001D792E">
        <w:t>King Cetshwayo</w:t>
      </w:r>
      <w:r>
        <w:t xml:space="preserve"> </w:t>
      </w:r>
      <w:r w:rsidR="003C03FA">
        <w:t>District</w:t>
      </w:r>
      <w:r>
        <w:t xml:space="preserve"> Municipality is reviewing the Environmental Management Framework, the purpose of which is to </w:t>
      </w:r>
      <w:r w:rsidR="000544C5">
        <w:t xml:space="preserve">secure environmental protection and to promote sustainability and environmental co-operative governance. The overall objective of the EMF is to guide environmental </w:t>
      </w:r>
      <w:r w:rsidR="00A87D5E">
        <w:t>decisions</w:t>
      </w:r>
      <w:r w:rsidR="000544C5">
        <w:t xml:space="preserve"> making within the district. In view of the development of this framework, the uMlalazi municipality will subsequently review its Strategic Environmental Assessment in order to align with the provisions and strategic imperatives of the EMF. The development of the SEA will form part of the full review of the 5 year IDP and SDF.</w:t>
      </w:r>
    </w:p>
    <w:p w14:paraId="23938DCA" w14:textId="77777777" w:rsidR="006025A0" w:rsidRPr="00881795" w:rsidRDefault="00520B3A" w:rsidP="00750180">
      <w:pPr>
        <w:pStyle w:val="Heading3"/>
        <w:numPr>
          <w:ilvl w:val="2"/>
          <w:numId w:val="29"/>
        </w:numPr>
        <w:jc w:val="both"/>
        <w:rPr>
          <w:rFonts w:ascii="Calibri" w:hAnsi="Calibri"/>
        </w:rPr>
      </w:pPr>
      <w:bookmarkStart w:id="150" w:name="_Toc389739740"/>
      <w:bookmarkStart w:id="151" w:name="_Toc510706601"/>
      <w:r w:rsidRPr="00881795">
        <w:rPr>
          <w:rFonts w:ascii="Calibri" w:hAnsi="Calibri"/>
        </w:rPr>
        <w:t>SPATIAL: SWOT ANALYSIS</w:t>
      </w:r>
      <w:bookmarkEnd w:id="150"/>
      <w:bookmarkEnd w:id="151"/>
    </w:p>
    <w:p w14:paraId="6EB34842" w14:textId="77777777" w:rsidR="00202916" w:rsidRPr="004530F5" w:rsidRDefault="00202916" w:rsidP="00750180">
      <w:pPr>
        <w:pStyle w:val="Heading4"/>
        <w:numPr>
          <w:ilvl w:val="3"/>
          <w:numId w:val="29"/>
        </w:numPr>
        <w:spacing w:after="240"/>
      </w:pPr>
      <w:bookmarkStart w:id="152" w:name="_Toc389739741"/>
      <w:r w:rsidRPr="004530F5">
        <w:t>Strengths / Opportunities</w:t>
      </w:r>
      <w:bookmarkEnd w:id="152"/>
    </w:p>
    <w:p w14:paraId="6EE80FEC" w14:textId="77777777" w:rsidR="00202916" w:rsidRPr="00881795" w:rsidRDefault="00202916" w:rsidP="00E31338">
      <w:pPr>
        <w:pStyle w:val="ListParagraph"/>
        <w:numPr>
          <w:ilvl w:val="0"/>
          <w:numId w:val="1"/>
        </w:numPr>
        <w:spacing w:line="288" w:lineRule="auto"/>
        <w:jc w:val="both"/>
        <w:rPr>
          <w:szCs w:val="20"/>
        </w:rPr>
      </w:pPr>
      <w:r w:rsidRPr="00881795">
        <w:rPr>
          <w:szCs w:val="20"/>
        </w:rPr>
        <w:t>The feasibility of initiating tourism development opportunities along the Tugela River needs to be investigated.</w:t>
      </w:r>
    </w:p>
    <w:p w14:paraId="57B7CBFE" w14:textId="77777777" w:rsidR="00202916" w:rsidRPr="00881795" w:rsidRDefault="00202916" w:rsidP="00E31338">
      <w:pPr>
        <w:pStyle w:val="ListParagraph"/>
        <w:numPr>
          <w:ilvl w:val="0"/>
          <w:numId w:val="1"/>
        </w:numPr>
        <w:spacing w:line="288" w:lineRule="auto"/>
        <w:jc w:val="both"/>
        <w:rPr>
          <w:szCs w:val="20"/>
        </w:rPr>
      </w:pPr>
      <w:r w:rsidRPr="00881795">
        <w:rPr>
          <w:szCs w:val="20"/>
        </w:rPr>
        <w:t>The municipality borders on the Indian Ocean and has a coastline of approximately 17km.  This coastline presents outstanding opportunities in respect of tourism and recreational facilities.</w:t>
      </w:r>
    </w:p>
    <w:p w14:paraId="4119A178" w14:textId="77777777" w:rsidR="00202916" w:rsidRPr="00881795" w:rsidRDefault="00202916" w:rsidP="00E31338">
      <w:pPr>
        <w:pStyle w:val="ListParagraph"/>
        <w:numPr>
          <w:ilvl w:val="0"/>
          <w:numId w:val="1"/>
        </w:numPr>
        <w:spacing w:line="288" w:lineRule="auto"/>
        <w:jc w:val="both"/>
        <w:rPr>
          <w:szCs w:val="20"/>
        </w:rPr>
      </w:pPr>
      <w:r w:rsidRPr="00881795">
        <w:rPr>
          <w:szCs w:val="20"/>
        </w:rPr>
        <w:t>The Goedertrouw/Phobane Dam offers the opportunity for a range of water sports, together with camping and picnic spots. It is supplementary to the areas of eco-tourism in the uMlalazi area.</w:t>
      </w:r>
    </w:p>
    <w:p w14:paraId="0F545C67" w14:textId="77777777" w:rsidR="00202916" w:rsidRPr="00881795" w:rsidRDefault="00202916" w:rsidP="00E31338">
      <w:pPr>
        <w:pStyle w:val="ListParagraph"/>
        <w:numPr>
          <w:ilvl w:val="0"/>
          <w:numId w:val="1"/>
        </w:numPr>
        <w:spacing w:line="288" w:lineRule="auto"/>
        <w:jc w:val="both"/>
        <w:rPr>
          <w:szCs w:val="20"/>
        </w:rPr>
      </w:pPr>
      <w:r w:rsidRPr="00881795">
        <w:rPr>
          <w:szCs w:val="20"/>
        </w:rPr>
        <w:t xml:space="preserve">The beauty and ambiance with particular reference to the coast, the lagoon, indigenous forests and the activities of the conservancies active in the area is an asset which has a considerable impact on the tourism potential of the municipality. </w:t>
      </w:r>
    </w:p>
    <w:p w14:paraId="32698CCC" w14:textId="77777777" w:rsidR="00A3641A" w:rsidRPr="003943A7" w:rsidRDefault="00202916" w:rsidP="00E31338">
      <w:pPr>
        <w:pStyle w:val="ListParagraph"/>
        <w:numPr>
          <w:ilvl w:val="0"/>
          <w:numId w:val="1"/>
        </w:numPr>
        <w:spacing w:line="288" w:lineRule="auto"/>
        <w:jc w:val="both"/>
        <w:rPr>
          <w:szCs w:val="20"/>
        </w:rPr>
      </w:pPr>
      <w:r w:rsidRPr="003943A7">
        <w:rPr>
          <w:szCs w:val="20"/>
        </w:rPr>
        <w:t>The uMlalazi Municipality is crossed by a number of important transportation routes, such as the N2 Motorway between Durban and Richards Bay, the R34 between Richards Bay/Empangeni and Nkwaleni valley to the north of Eshowe, and the R66 from the N2 Motorway to Gingindlovu, Eshowe, Melmoth, Ulundi and Vryheid.</w:t>
      </w:r>
    </w:p>
    <w:p w14:paraId="164B3C7D" w14:textId="77777777" w:rsidR="00202916" w:rsidRPr="004530F5" w:rsidRDefault="00202916" w:rsidP="00750180">
      <w:pPr>
        <w:pStyle w:val="Heading4"/>
        <w:numPr>
          <w:ilvl w:val="3"/>
          <w:numId w:val="29"/>
        </w:numPr>
        <w:spacing w:after="240"/>
      </w:pPr>
      <w:bookmarkStart w:id="153" w:name="_Toc389739742"/>
      <w:r w:rsidRPr="004530F5">
        <w:t>Weaknesses / Threats</w:t>
      </w:r>
      <w:bookmarkEnd w:id="153"/>
    </w:p>
    <w:p w14:paraId="5F5C3ABC" w14:textId="77777777" w:rsidR="00202916" w:rsidRPr="00881795" w:rsidRDefault="00202916" w:rsidP="00E31338">
      <w:pPr>
        <w:pStyle w:val="ListParagraph"/>
        <w:numPr>
          <w:ilvl w:val="0"/>
          <w:numId w:val="1"/>
        </w:numPr>
        <w:spacing w:line="288" w:lineRule="auto"/>
        <w:jc w:val="both"/>
        <w:rPr>
          <w:szCs w:val="20"/>
        </w:rPr>
      </w:pPr>
      <w:r w:rsidRPr="00881795">
        <w:rPr>
          <w:szCs w:val="20"/>
        </w:rPr>
        <w:t>In many instances, the Traditional Authority areas are characterized by poor land management practices that presents a challenge in respect of the unlocking of the agricultural potential that exists. This is exacerbated by poor “allocation of land” practices.  The roll-out of wall-to-wall rural Planning Schemes will assist greatly in this regard.</w:t>
      </w:r>
    </w:p>
    <w:p w14:paraId="70462865" w14:textId="77777777" w:rsidR="00202916" w:rsidRPr="00881795" w:rsidRDefault="00202916" w:rsidP="00E31338">
      <w:pPr>
        <w:pStyle w:val="ListParagraph"/>
        <w:numPr>
          <w:ilvl w:val="0"/>
          <w:numId w:val="1"/>
        </w:numPr>
        <w:spacing w:line="288" w:lineRule="auto"/>
        <w:jc w:val="both"/>
        <w:rPr>
          <w:szCs w:val="20"/>
        </w:rPr>
      </w:pPr>
      <w:r w:rsidRPr="00881795">
        <w:rPr>
          <w:szCs w:val="20"/>
        </w:rPr>
        <w:t>Traditional Authority areas also accommodate scattered settlement on undulating land, posing considerable pressures in respect of the provision of basic services.</w:t>
      </w:r>
    </w:p>
    <w:p w14:paraId="4E888C53" w14:textId="77777777" w:rsidR="00202916" w:rsidRPr="00881795" w:rsidRDefault="00202916" w:rsidP="00E31338">
      <w:pPr>
        <w:pStyle w:val="ListParagraph"/>
        <w:numPr>
          <w:ilvl w:val="0"/>
          <w:numId w:val="1"/>
        </w:numPr>
        <w:spacing w:line="288" w:lineRule="auto"/>
        <w:jc w:val="both"/>
        <w:rPr>
          <w:szCs w:val="20"/>
        </w:rPr>
      </w:pPr>
      <w:r w:rsidRPr="00881795">
        <w:rPr>
          <w:szCs w:val="20"/>
        </w:rPr>
        <w:t>The urbanization rate is increasing in the municipal area and appropriate responses are required to adequately accommodate this tendency.</w:t>
      </w:r>
    </w:p>
    <w:p w14:paraId="677C19B3" w14:textId="77777777" w:rsidR="00202916" w:rsidRPr="00881795" w:rsidRDefault="00202916" w:rsidP="00E31338">
      <w:pPr>
        <w:pStyle w:val="ListParagraph"/>
        <w:numPr>
          <w:ilvl w:val="0"/>
          <w:numId w:val="1"/>
        </w:numPr>
        <w:spacing w:line="288" w:lineRule="auto"/>
        <w:jc w:val="both"/>
        <w:rPr>
          <w:szCs w:val="20"/>
        </w:rPr>
      </w:pPr>
      <w:r w:rsidRPr="00881795">
        <w:rPr>
          <w:szCs w:val="20"/>
        </w:rPr>
        <w:lastRenderedPageBreak/>
        <w:t>Rural access roads are in a poor state of repair.  This is acerbated by the fact that no sphere of government is clear on who is responsible for these roads.</w:t>
      </w:r>
    </w:p>
    <w:p w14:paraId="1EF2E828" w14:textId="77777777" w:rsidR="008D47E8" w:rsidRDefault="00202916" w:rsidP="00E31338">
      <w:pPr>
        <w:pStyle w:val="ListParagraph"/>
        <w:numPr>
          <w:ilvl w:val="0"/>
          <w:numId w:val="1"/>
        </w:numPr>
        <w:spacing w:line="288" w:lineRule="auto"/>
        <w:jc w:val="both"/>
        <w:rPr>
          <w:szCs w:val="20"/>
        </w:rPr>
      </w:pPr>
      <w:r w:rsidRPr="003943A7">
        <w:rPr>
          <w:szCs w:val="20"/>
        </w:rPr>
        <w:t>Communities tend to settle in proximity to rivers and streams, mostly without due consideration of flood lines along these water courses.</w:t>
      </w:r>
    </w:p>
    <w:p w14:paraId="67C1113C" w14:textId="77777777" w:rsidR="008D47E8" w:rsidRPr="00C40E56" w:rsidRDefault="008D47E8" w:rsidP="00750180">
      <w:pPr>
        <w:pStyle w:val="Heading3"/>
        <w:numPr>
          <w:ilvl w:val="2"/>
          <w:numId w:val="29"/>
        </w:numPr>
      </w:pPr>
      <w:bookmarkStart w:id="154" w:name="_Toc389739743"/>
      <w:bookmarkStart w:id="155" w:name="_Toc510706602"/>
      <w:r w:rsidRPr="00C40E56">
        <w:t>ENVIRONMENTAL: SWOT ANALYSIS</w:t>
      </w:r>
      <w:bookmarkEnd w:id="154"/>
      <w:bookmarkEnd w:id="155"/>
    </w:p>
    <w:p w14:paraId="74BF084E" w14:textId="77777777" w:rsidR="008D47E8" w:rsidRPr="00881795" w:rsidRDefault="008D47E8" w:rsidP="00395313">
      <w:pPr>
        <w:jc w:val="both"/>
        <w:rPr>
          <w:rFonts w:cs="Calibri"/>
          <w:color w:val="000000" w:themeColor="text1"/>
        </w:rPr>
      </w:pPr>
      <w:r w:rsidRPr="00881795">
        <w:rPr>
          <w:rFonts w:cs="Calibri"/>
          <w:color w:val="000000" w:themeColor="text1"/>
        </w:rPr>
        <w:t>The “key environmental issues” are reflected hereunder in the form of a “SWOT” analysis:</w:t>
      </w:r>
    </w:p>
    <w:p w14:paraId="5FAE8C8C" w14:textId="77777777" w:rsidR="008D47E8" w:rsidRPr="00881795" w:rsidRDefault="008D47E8" w:rsidP="00750180">
      <w:pPr>
        <w:pStyle w:val="Heading4"/>
        <w:numPr>
          <w:ilvl w:val="3"/>
          <w:numId w:val="29"/>
        </w:numPr>
      </w:pPr>
      <w:bookmarkStart w:id="156" w:name="_Toc291152490"/>
      <w:bookmarkStart w:id="157" w:name="_Toc317688677"/>
      <w:bookmarkStart w:id="158" w:name="_Toc389739744"/>
      <w:r w:rsidRPr="00007B8F">
        <w:t>Strengths</w:t>
      </w:r>
      <w:bookmarkEnd w:id="156"/>
      <w:bookmarkEnd w:id="157"/>
      <w:bookmarkEnd w:id="158"/>
    </w:p>
    <w:p w14:paraId="4652CC92" w14:textId="77777777" w:rsidR="008D47E8" w:rsidRPr="00881795" w:rsidRDefault="008D47E8" w:rsidP="00E31338">
      <w:pPr>
        <w:pStyle w:val="ListParagraph"/>
        <w:numPr>
          <w:ilvl w:val="0"/>
          <w:numId w:val="1"/>
        </w:numPr>
        <w:spacing w:line="288" w:lineRule="auto"/>
        <w:jc w:val="both"/>
        <w:rPr>
          <w:szCs w:val="20"/>
        </w:rPr>
      </w:pPr>
      <w:r w:rsidRPr="00881795">
        <w:rPr>
          <w:szCs w:val="20"/>
        </w:rPr>
        <w:t xml:space="preserve">The beauty and ambiance with particular reference to the coast, the lagoon, indigenous forests and the activities of the conservancies active in the area is an asset which has a considerable impact on the tourism potential of the municipality. The strong ties that have been forged between the uMlalazi Local Municipality and the </w:t>
      </w:r>
      <w:r w:rsidR="001D792E">
        <w:rPr>
          <w:szCs w:val="20"/>
        </w:rPr>
        <w:t>King Cetshwayo</w:t>
      </w:r>
      <w:r w:rsidRPr="00881795">
        <w:rPr>
          <w:szCs w:val="20"/>
        </w:rPr>
        <w:t xml:space="preserve"> </w:t>
      </w:r>
      <w:r w:rsidR="003C03FA">
        <w:rPr>
          <w:szCs w:val="20"/>
        </w:rPr>
        <w:t>District</w:t>
      </w:r>
      <w:r w:rsidRPr="00881795">
        <w:rPr>
          <w:szCs w:val="20"/>
        </w:rPr>
        <w:t xml:space="preserve"> Municipality </w:t>
      </w:r>
      <w:r w:rsidR="00A25189" w:rsidRPr="00881795">
        <w:rPr>
          <w:szCs w:val="20"/>
        </w:rPr>
        <w:t>support</w:t>
      </w:r>
      <w:r w:rsidRPr="00881795">
        <w:rPr>
          <w:szCs w:val="20"/>
        </w:rPr>
        <w:t xml:space="preserve"> the development and promotion of tourism. The act that Mtunzini was the first town to be declared as a conservancy makes a large contribution to the ambiance of the municipality and greatly contributes to the tourism potential in the area.</w:t>
      </w:r>
    </w:p>
    <w:p w14:paraId="717EE496" w14:textId="77777777" w:rsidR="00A2639B" w:rsidRDefault="008D47E8" w:rsidP="00E31338">
      <w:pPr>
        <w:pStyle w:val="ListParagraph"/>
        <w:numPr>
          <w:ilvl w:val="0"/>
          <w:numId w:val="1"/>
        </w:numPr>
        <w:spacing w:after="0" w:line="288" w:lineRule="auto"/>
        <w:jc w:val="both"/>
        <w:outlineLvl w:val="0"/>
        <w:rPr>
          <w:szCs w:val="20"/>
        </w:rPr>
      </w:pPr>
      <w:r w:rsidRPr="00A2639B">
        <w:rPr>
          <w:szCs w:val="20"/>
        </w:rPr>
        <w:t>The municipality has a strong focus on social and community based project, which is demonstrated in the vision with particular reference to a single integrated community and service delivery.</w:t>
      </w:r>
    </w:p>
    <w:p w14:paraId="2C144FBF" w14:textId="77777777" w:rsidR="008D47E8" w:rsidRPr="00A2639B" w:rsidRDefault="008D47E8" w:rsidP="00E31338">
      <w:pPr>
        <w:pStyle w:val="ListParagraph"/>
        <w:numPr>
          <w:ilvl w:val="0"/>
          <w:numId w:val="1"/>
        </w:numPr>
        <w:spacing w:after="0" w:line="288" w:lineRule="auto"/>
        <w:jc w:val="both"/>
        <w:outlineLvl w:val="0"/>
        <w:rPr>
          <w:szCs w:val="20"/>
        </w:rPr>
      </w:pPr>
      <w:r w:rsidRPr="00A2639B">
        <w:rPr>
          <w:szCs w:val="20"/>
        </w:rPr>
        <w:t>The area has good agricultural potential.</w:t>
      </w:r>
    </w:p>
    <w:p w14:paraId="2244129A" w14:textId="77777777" w:rsidR="008D47E8" w:rsidRPr="00881795" w:rsidRDefault="008D47E8" w:rsidP="00E31338">
      <w:pPr>
        <w:pStyle w:val="ListParagraph"/>
        <w:numPr>
          <w:ilvl w:val="0"/>
          <w:numId w:val="1"/>
        </w:numPr>
        <w:spacing w:line="288" w:lineRule="auto"/>
        <w:jc w:val="both"/>
        <w:rPr>
          <w:szCs w:val="20"/>
        </w:rPr>
      </w:pPr>
      <w:r w:rsidRPr="00881795">
        <w:rPr>
          <w:szCs w:val="20"/>
        </w:rPr>
        <w:t>The indigenous ecosystems provide habitat for medicinal plants, a rich resource for homeopathic and traditional medicines and these areas include the Ongoye, Dhlinza and Ntumeni Forests.</w:t>
      </w:r>
    </w:p>
    <w:p w14:paraId="288A6AF9" w14:textId="77777777" w:rsidR="008D47E8" w:rsidRPr="00881795" w:rsidRDefault="008D47E8" w:rsidP="00E31338">
      <w:pPr>
        <w:pStyle w:val="ListParagraph"/>
        <w:numPr>
          <w:ilvl w:val="0"/>
          <w:numId w:val="1"/>
        </w:numPr>
        <w:spacing w:line="288" w:lineRule="auto"/>
        <w:jc w:val="both"/>
        <w:rPr>
          <w:szCs w:val="20"/>
        </w:rPr>
      </w:pPr>
      <w:r w:rsidRPr="00881795">
        <w:rPr>
          <w:szCs w:val="20"/>
        </w:rPr>
        <w:t>A coastal and lagoon experience is provided with attractive urban nodes.</w:t>
      </w:r>
    </w:p>
    <w:p w14:paraId="6136A1CE" w14:textId="77777777" w:rsidR="008D47E8" w:rsidRPr="00881795" w:rsidRDefault="008D47E8" w:rsidP="00E31338">
      <w:pPr>
        <w:pStyle w:val="ListParagraph"/>
        <w:numPr>
          <w:ilvl w:val="0"/>
          <w:numId w:val="1"/>
        </w:numPr>
        <w:spacing w:line="288" w:lineRule="auto"/>
        <w:jc w:val="both"/>
        <w:rPr>
          <w:szCs w:val="20"/>
        </w:rPr>
      </w:pPr>
      <w:r w:rsidRPr="00881795">
        <w:rPr>
          <w:szCs w:val="20"/>
        </w:rPr>
        <w:t>The municipality presents a large unskilled labour force serving as an attraction for any form of industry that could invest in the area.</w:t>
      </w:r>
    </w:p>
    <w:p w14:paraId="07EA4364" w14:textId="77777777" w:rsidR="008D47E8" w:rsidRPr="00881795" w:rsidRDefault="008D47E8" w:rsidP="00E31338">
      <w:pPr>
        <w:pStyle w:val="ListParagraph"/>
        <w:numPr>
          <w:ilvl w:val="0"/>
          <w:numId w:val="1"/>
        </w:numPr>
        <w:spacing w:line="288" w:lineRule="auto"/>
        <w:jc w:val="both"/>
      </w:pPr>
      <w:r w:rsidRPr="00A2639B">
        <w:rPr>
          <w:szCs w:val="20"/>
        </w:rPr>
        <w:t>Access to trade routes is available via the N2 Motorway but some access difficulties are experienced from the inland</w:t>
      </w:r>
      <w:r w:rsidR="00A2639B" w:rsidRPr="00A2639B">
        <w:rPr>
          <w:szCs w:val="20"/>
        </w:rPr>
        <w:t xml:space="preserve"> areas of the municipality.</w:t>
      </w:r>
    </w:p>
    <w:p w14:paraId="412807DA" w14:textId="77777777" w:rsidR="008D47E8" w:rsidRPr="00881795" w:rsidRDefault="008D47E8" w:rsidP="00E31338">
      <w:pPr>
        <w:pStyle w:val="ListParagraph"/>
        <w:numPr>
          <w:ilvl w:val="0"/>
          <w:numId w:val="1"/>
        </w:numPr>
        <w:spacing w:line="288" w:lineRule="auto"/>
        <w:jc w:val="both"/>
        <w:rPr>
          <w:szCs w:val="20"/>
        </w:rPr>
      </w:pPr>
      <w:r w:rsidRPr="00881795">
        <w:rPr>
          <w:szCs w:val="20"/>
        </w:rPr>
        <w:t>The municipality demonstrates a substantial conservation “feel” demonstrated by the protected areas in existence.</w:t>
      </w:r>
    </w:p>
    <w:p w14:paraId="37C21CB3" w14:textId="77777777" w:rsidR="008D47E8" w:rsidRPr="00881795" w:rsidRDefault="008D47E8" w:rsidP="00E31338">
      <w:pPr>
        <w:pStyle w:val="ListParagraph"/>
        <w:numPr>
          <w:ilvl w:val="0"/>
          <w:numId w:val="1"/>
        </w:numPr>
        <w:spacing w:line="288" w:lineRule="auto"/>
        <w:jc w:val="both"/>
        <w:rPr>
          <w:szCs w:val="20"/>
        </w:rPr>
      </w:pPr>
      <w:r w:rsidRPr="00881795">
        <w:rPr>
          <w:szCs w:val="20"/>
        </w:rPr>
        <w:t>The municipality has a high value ecosystem good and services as a result of the indigenous forest and grasslands.</w:t>
      </w:r>
    </w:p>
    <w:p w14:paraId="2CD3C516" w14:textId="77777777" w:rsidR="008D47E8" w:rsidRPr="00881795" w:rsidRDefault="008D47E8" w:rsidP="00E31338">
      <w:pPr>
        <w:pStyle w:val="ListParagraph"/>
        <w:numPr>
          <w:ilvl w:val="0"/>
          <w:numId w:val="1"/>
        </w:numPr>
        <w:spacing w:line="288" w:lineRule="auto"/>
        <w:jc w:val="both"/>
        <w:rPr>
          <w:szCs w:val="20"/>
        </w:rPr>
      </w:pPr>
      <w:r w:rsidRPr="00881795">
        <w:rPr>
          <w:szCs w:val="20"/>
        </w:rPr>
        <w:t>The region’s scenic public open space provides many goods and services which contribute to the regional tourism potential.</w:t>
      </w:r>
    </w:p>
    <w:p w14:paraId="533CB076" w14:textId="77777777" w:rsidR="008D47E8" w:rsidRPr="003943A7" w:rsidRDefault="008D47E8" w:rsidP="00E31338">
      <w:pPr>
        <w:pStyle w:val="ListParagraph"/>
        <w:numPr>
          <w:ilvl w:val="0"/>
          <w:numId w:val="1"/>
        </w:numPr>
        <w:spacing w:after="0" w:line="240" w:lineRule="auto"/>
        <w:jc w:val="both"/>
        <w:outlineLvl w:val="0"/>
        <w:rPr>
          <w:szCs w:val="20"/>
        </w:rPr>
      </w:pPr>
      <w:r w:rsidRPr="003943A7">
        <w:rPr>
          <w:szCs w:val="20"/>
        </w:rPr>
        <w:t>Two conservancies and four protected areas are in existence within the municipal area and there is further potential for increasing the conservation areas with a commensurate improvement in tourism potential and biodiversity service delivery.</w:t>
      </w:r>
    </w:p>
    <w:p w14:paraId="5A4A860B" w14:textId="77777777" w:rsidR="008D47E8" w:rsidRPr="00007B8F" w:rsidRDefault="008D47E8" w:rsidP="00750180">
      <w:pPr>
        <w:pStyle w:val="Heading4"/>
        <w:numPr>
          <w:ilvl w:val="3"/>
          <w:numId w:val="29"/>
        </w:numPr>
      </w:pPr>
      <w:bookmarkStart w:id="159" w:name="_Toc291152491"/>
      <w:bookmarkStart w:id="160" w:name="_Toc317688678"/>
      <w:bookmarkStart w:id="161" w:name="_Toc389739748"/>
      <w:r w:rsidRPr="00007B8F">
        <w:t>Weaknesses</w:t>
      </w:r>
      <w:bookmarkEnd w:id="159"/>
      <w:bookmarkEnd w:id="160"/>
      <w:bookmarkEnd w:id="161"/>
    </w:p>
    <w:p w14:paraId="78053267" w14:textId="77777777" w:rsidR="008D47E8" w:rsidRPr="00881795" w:rsidRDefault="008D47E8" w:rsidP="00E31338">
      <w:pPr>
        <w:pStyle w:val="ListParagraph"/>
        <w:numPr>
          <w:ilvl w:val="0"/>
          <w:numId w:val="1"/>
        </w:numPr>
        <w:spacing w:line="288" w:lineRule="auto"/>
        <w:jc w:val="both"/>
        <w:rPr>
          <w:szCs w:val="20"/>
        </w:rPr>
      </w:pPr>
      <w:r w:rsidRPr="00881795">
        <w:rPr>
          <w:szCs w:val="20"/>
        </w:rPr>
        <w:t>The alignment between municipalities at the local level, the district municipality and the provincial government departments requires strengthening, particularly between the local and district municipality level on the one hand and the provincial government departments on the other.</w:t>
      </w:r>
    </w:p>
    <w:p w14:paraId="7A6B9486" w14:textId="77777777" w:rsidR="008D47E8" w:rsidRPr="00881795" w:rsidRDefault="008D47E8" w:rsidP="00E31338">
      <w:pPr>
        <w:pStyle w:val="ListParagraph"/>
        <w:numPr>
          <w:ilvl w:val="0"/>
          <w:numId w:val="1"/>
        </w:numPr>
        <w:spacing w:line="288" w:lineRule="auto"/>
        <w:jc w:val="both"/>
        <w:rPr>
          <w:szCs w:val="20"/>
        </w:rPr>
      </w:pPr>
      <w:r w:rsidRPr="00881795">
        <w:rPr>
          <w:szCs w:val="20"/>
        </w:rPr>
        <w:t xml:space="preserve">The implementation of the ward committee system </w:t>
      </w:r>
      <w:r w:rsidR="00AD630F" w:rsidRPr="00881795">
        <w:rPr>
          <w:szCs w:val="20"/>
        </w:rPr>
        <w:t>shows</w:t>
      </w:r>
      <w:r w:rsidRPr="00881795">
        <w:rPr>
          <w:szCs w:val="20"/>
        </w:rPr>
        <w:t xml:space="preserve"> improve communication within the uMlalazi Local Municipality, an area which showed earlier weaknesses.</w:t>
      </w:r>
    </w:p>
    <w:p w14:paraId="0C2DC34E" w14:textId="77777777" w:rsidR="008D47E8" w:rsidRPr="00881795" w:rsidRDefault="008D47E8" w:rsidP="00E31338">
      <w:pPr>
        <w:pStyle w:val="ListParagraph"/>
        <w:numPr>
          <w:ilvl w:val="0"/>
          <w:numId w:val="1"/>
        </w:numPr>
        <w:spacing w:line="288" w:lineRule="auto"/>
        <w:jc w:val="both"/>
        <w:rPr>
          <w:szCs w:val="20"/>
        </w:rPr>
      </w:pPr>
      <w:r w:rsidRPr="00881795">
        <w:rPr>
          <w:szCs w:val="20"/>
        </w:rPr>
        <w:t xml:space="preserve">Service delivery within the municipality is problematical due to the large area of the municipality and the sparsely populated character thereof. This has resulted in community dissatisfaction with the integrated development planning process in which external service providers regularly fail to deliver.  </w:t>
      </w:r>
    </w:p>
    <w:p w14:paraId="52AA4D18" w14:textId="77777777" w:rsidR="008D47E8" w:rsidRPr="00881795" w:rsidRDefault="008D47E8" w:rsidP="00E31338">
      <w:pPr>
        <w:pStyle w:val="ListParagraph"/>
        <w:numPr>
          <w:ilvl w:val="0"/>
          <w:numId w:val="1"/>
        </w:numPr>
        <w:spacing w:line="288" w:lineRule="auto"/>
        <w:jc w:val="both"/>
        <w:rPr>
          <w:szCs w:val="20"/>
        </w:rPr>
      </w:pPr>
      <w:r w:rsidRPr="00881795">
        <w:rPr>
          <w:szCs w:val="20"/>
        </w:rPr>
        <w:t>Poverty and unemployment is rife within the rural areas of the municipality. A large proportion of the population within the municipality is not within the employable age group and this further complicates measures for the alleviation of poverty levels.</w:t>
      </w:r>
    </w:p>
    <w:p w14:paraId="6A5C6FAD" w14:textId="77777777" w:rsidR="008D47E8" w:rsidRPr="00881795" w:rsidRDefault="008D47E8" w:rsidP="00E31338">
      <w:pPr>
        <w:pStyle w:val="ListParagraph"/>
        <w:numPr>
          <w:ilvl w:val="0"/>
          <w:numId w:val="1"/>
        </w:numPr>
        <w:spacing w:line="288" w:lineRule="auto"/>
        <w:jc w:val="both"/>
        <w:rPr>
          <w:szCs w:val="20"/>
        </w:rPr>
      </w:pPr>
      <w:r w:rsidRPr="00881795">
        <w:rPr>
          <w:szCs w:val="20"/>
        </w:rPr>
        <w:t>The lack of a tourism skills base and capital investment in respect of tourism development and promotion has limited the ability of the municipality to realize its tourism potential.</w:t>
      </w:r>
    </w:p>
    <w:p w14:paraId="77353781" w14:textId="77777777" w:rsidR="008D47E8" w:rsidRPr="00881795" w:rsidRDefault="008D47E8" w:rsidP="00E31338">
      <w:pPr>
        <w:pStyle w:val="ListParagraph"/>
        <w:numPr>
          <w:ilvl w:val="0"/>
          <w:numId w:val="1"/>
        </w:numPr>
        <w:spacing w:line="288" w:lineRule="auto"/>
        <w:jc w:val="both"/>
      </w:pPr>
      <w:r w:rsidRPr="00A2639B">
        <w:rPr>
          <w:szCs w:val="20"/>
        </w:rPr>
        <w:t>Access to markets from the rural areas is limited and problematical and places limitations on agricultural and tourism potential</w:t>
      </w:r>
      <w:r w:rsidR="00A2639B" w:rsidRPr="00A2639B">
        <w:rPr>
          <w:szCs w:val="20"/>
        </w:rPr>
        <w:t>.</w:t>
      </w:r>
    </w:p>
    <w:p w14:paraId="4F9F5323" w14:textId="77777777" w:rsidR="008D47E8" w:rsidRPr="00881795" w:rsidRDefault="008D47E8" w:rsidP="00E31338">
      <w:pPr>
        <w:pStyle w:val="ListParagraph"/>
        <w:numPr>
          <w:ilvl w:val="0"/>
          <w:numId w:val="1"/>
        </w:numPr>
        <w:spacing w:line="288" w:lineRule="auto"/>
        <w:jc w:val="both"/>
        <w:rPr>
          <w:szCs w:val="20"/>
        </w:rPr>
      </w:pPr>
      <w:r w:rsidRPr="00881795">
        <w:rPr>
          <w:szCs w:val="20"/>
        </w:rPr>
        <w:lastRenderedPageBreak/>
        <w:t>The absence of an environmental chapter as well as from the vision of the municipality is to be corrected by the completion of the Strategic Environmental Assessment and the Environmental Management Plan.</w:t>
      </w:r>
    </w:p>
    <w:p w14:paraId="2E45488C" w14:textId="77777777" w:rsidR="008D47E8" w:rsidRPr="00881795" w:rsidRDefault="008D47E8" w:rsidP="00E31338">
      <w:pPr>
        <w:pStyle w:val="ListParagraph"/>
        <w:numPr>
          <w:ilvl w:val="0"/>
          <w:numId w:val="1"/>
        </w:numPr>
        <w:spacing w:line="288" w:lineRule="auto"/>
        <w:jc w:val="both"/>
        <w:rPr>
          <w:szCs w:val="20"/>
        </w:rPr>
      </w:pPr>
      <w:r w:rsidRPr="00881795">
        <w:rPr>
          <w:szCs w:val="20"/>
        </w:rPr>
        <w:t>Littering is a serious problem in the urban areas of the municipality and has ecological, animal and human health and aesthetic impacts with negative consequences for the tourism potential and general health in the area.</w:t>
      </w:r>
    </w:p>
    <w:p w14:paraId="32FCECBD" w14:textId="77777777" w:rsidR="008D47E8" w:rsidRPr="00881795" w:rsidRDefault="008D47E8" w:rsidP="00E31338">
      <w:pPr>
        <w:pStyle w:val="ListParagraph"/>
        <w:numPr>
          <w:ilvl w:val="0"/>
          <w:numId w:val="1"/>
        </w:numPr>
        <w:spacing w:line="288" w:lineRule="auto"/>
        <w:jc w:val="both"/>
        <w:rPr>
          <w:szCs w:val="20"/>
        </w:rPr>
      </w:pPr>
      <w:r w:rsidRPr="00881795">
        <w:rPr>
          <w:szCs w:val="20"/>
        </w:rPr>
        <w:t>The degradation of wetlands is occurring as a result of cultivation and artificial drainage, river nitrification, dams, urbanization, soil erosion and alien plant invasion and has serious consequences for ecological function and water quality.</w:t>
      </w:r>
    </w:p>
    <w:p w14:paraId="2C12EC3F" w14:textId="77777777" w:rsidR="008D47E8" w:rsidRPr="00881795" w:rsidRDefault="008D47E8" w:rsidP="00E31338">
      <w:pPr>
        <w:pStyle w:val="ListParagraph"/>
        <w:numPr>
          <w:ilvl w:val="0"/>
          <w:numId w:val="1"/>
        </w:numPr>
        <w:spacing w:line="288" w:lineRule="auto"/>
        <w:jc w:val="both"/>
        <w:rPr>
          <w:szCs w:val="20"/>
        </w:rPr>
      </w:pPr>
      <w:r w:rsidRPr="00881795">
        <w:rPr>
          <w:szCs w:val="20"/>
        </w:rPr>
        <w:t>Informal housing along the banks of rivers and streams and near major transportation routes is a weakness requiring attention. Informal housing has substantial impacts in respect of water pollution due to a lack of sanitation, aesthetics, poor land management and health and safety.</w:t>
      </w:r>
    </w:p>
    <w:p w14:paraId="6CFE01B4" w14:textId="77777777" w:rsidR="008D47E8" w:rsidRPr="00007B8F" w:rsidRDefault="008D47E8" w:rsidP="00750180">
      <w:pPr>
        <w:pStyle w:val="Heading4"/>
        <w:numPr>
          <w:ilvl w:val="3"/>
          <w:numId w:val="29"/>
        </w:numPr>
      </w:pPr>
      <w:bookmarkStart w:id="162" w:name="_Toc291152492"/>
      <w:bookmarkStart w:id="163" w:name="_Toc317688679"/>
      <w:bookmarkStart w:id="164" w:name="_Toc389739752"/>
      <w:r w:rsidRPr="00007B8F">
        <w:t>Opportunities</w:t>
      </w:r>
      <w:bookmarkEnd w:id="162"/>
      <w:bookmarkEnd w:id="163"/>
      <w:bookmarkEnd w:id="164"/>
    </w:p>
    <w:p w14:paraId="679447E8" w14:textId="77777777" w:rsidR="008D47E8" w:rsidRPr="00881795" w:rsidRDefault="008D47E8" w:rsidP="00E31338">
      <w:pPr>
        <w:pStyle w:val="ListParagraph"/>
        <w:numPr>
          <w:ilvl w:val="0"/>
          <w:numId w:val="1"/>
        </w:numPr>
        <w:spacing w:line="288" w:lineRule="auto"/>
        <w:jc w:val="both"/>
        <w:rPr>
          <w:szCs w:val="20"/>
        </w:rPr>
      </w:pPr>
      <w:r w:rsidRPr="00881795">
        <w:rPr>
          <w:szCs w:val="20"/>
        </w:rPr>
        <w:t>Social upliftment as a result of economic growth is expected.</w:t>
      </w:r>
    </w:p>
    <w:p w14:paraId="3E977050" w14:textId="77777777" w:rsidR="008D47E8" w:rsidRPr="00881795" w:rsidRDefault="008D47E8" w:rsidP="00E31338">
      <w:pPr>
        <w:pStyle w:val="ListParagraph"/>
        <w:numPr>
          <w:ilvl w:val="0"/>
          <w:numId w:val="1"/>
        </w:numPr>
        <w:spacing w:line="288" w:lineRule="auto"/>
        <w:jc w:val="both"/>
        <w:rPr>
          <w:szCs w:val="20"/>
        </w:rPr>
      </w:pPr>
      <w:r w:rsidRPr="00881795">
        <w:rPr>
          <w:szCs w:val="20"/>
        </w:rPr>
        <w:t>Economic growth is expected in areas of tourism in areas such as the coastline, near protected areas and indigenous forests.</w:t>
      </w:r>
    </w:p>
    <w:p w14:paraId="52BC8F84" w14:textId="77777777" w:rsidR="008D47E8" w:rsidRPr="00881795" w:rsidRDefault="008D47E8" w:rsidP="00E31338">
      <w:pPr>
        <w:pStyle w:val="ListParagraph"/>
        <w:numPr>
          <w:ilvl w:val="0"/>
          <w:numId w:val="1"/>
        </w:numPr>
        <w:spacing w:line="288" w:lineRule="auto"/>
        <w:jc w:val="both"/>
        <w:rPr>
          <w:szCs w:val="20"/>
        </w:rPr>
      </w:pPr>
      <w:r w:rsidRPr="00881795">
        <w:rPr>
          <w:szCs w:val="20"/>
        </w:rPr>
        <w:t>Agri-industry opportunities exist inland and are related to agricultural produce such as sugarcane.</w:t>
      </w:r>
    </w:p>
    <w:p w14:paraId="26DAAEB8" w14:textId="77777777" w:rsidR="008D47E8" w:rsidRPr="00881795" w:rsidRDefault="00AD630F" w:rsidP="00E31338">
      <w:pPr>
        <w:pStyle w:val="ListParagraph"/>
        <w:numPr>
          <w:ilvl w:val="0"/>
          <w:numId w:val="1"/>
        </w:numPr>
        <w:spacing w:line="288" w:lineRule="auto"/>
        <w:jc w:val="both"/>
        <w:rPr>
          <w:szCs w:val="20"/>
        </w:rPr>
      </w:pPr>
      <w:r w:rsidRPr="00881795">
        <w:rPr>
          <w:szCs w:val="20"/>
        </w:rPr>
        <w:t>No</w:t>
      </w:r>
      <w:r w:rsidR="008D47E8" w:rsidRPr="00881795">
        <w:rPr>
          <w:szCs w:val="20"/>
        </w:rPr>
        <w:t>des or the various forms of development should be carefully selected or identified.</w:t>
      </w:r>
    </w:p>
    <w:p w14:paraId="2E6D94AC" w14:textId="77777777" w:rsidR="008D47E8" w:rsidRPr="00881795" w:rsidRDefault="008D47E8" w:rsidP="00E31338">
      <w:pPr>
        <w:pStyle w:val="ListParagraph"/>
        <w:numPr>
          <w:ilvl w:val="0"/>
          <w:numId w:val="1"/>
        </w:numPr>
        <w:spacing w:line="288" w:lineRule="auto"/>
        <w:jc w:val="both"/>
        <w:rPr>
          <w:szCs w:val="20"/>
        </w:rPr>
      </w:pPr>
      <w:r w:rsidRPr="00881795">
        <w:rPr>
          <w:szCs w:val="20"/>
        </w:rPr>
        <w:t>The provision of housing together with basic services particularly in the rural areas and the formalization of current informal and overcrowded settlements present an opportunity.</w:t>
      </w:r>
    </w:p>
    <w:p w14:paraId="3CED5D6E" w14:textId="77777777" w:rsidR="008D47E8" w:rsidRPr="00881795" w:rsidRDefault="008D47E8" w:rsidP="00E31338">
      <w:pPr>
        <w:pStyle w:val="ListParagraph"/>
        <w:numPr>
          <w:ilvl w:val="0"/>
          <w:numId w:val="1"/>
        </w:numPr>
        <w:spacing w:line="288" w:lineRule="auto"/>
        <w:jc w:val="both"/>
        <w:rPr>
          <w:szCs w:val="20"/>
        </w:rPr>
      </w:pPr>
      <w:r w:rsidRPr="00881795">
        <w:rPr>
          <w:szCs w:val="20"/>
        </w:rPr>
        <w:t>Informing the communities at “grass-root” level will serve to integrate development and inform communities of development opportunities in its area.</w:t>
      </w:r>
    </w:p>
    <w:p w14:paraId="792621B8" w14:textId="77777777" w:rsidR="008D47E8" w:rsidRPr="00881795" w:rsidRDefault="008D47E8" w:rsidP="00E31338">
      <w:pPr>
        <w:pStyle w:val="ListParagraph"/>
        <w:numPr>
          <w:ilvl w:val="0"/>
          <w:numId w:val="1"/>
        </w:numPr>
        <w:spacing w:line="288" w:lineRule="auto"/>
        <w:jc w:val="both"/>
        <w:rPr>
          <w:szCs w:val="20"/>
        </w:rPr>
      </w:pPr>
      <w:r w:rsidRPr="00881795">
        <w:rPr>
          <w:szCs w:val="20"/>
        </w:rPr>
        <w:t>The broadening of the municipality’s rates base through the valuation of the rural areas and commercial farming areas will increase internal funds available for the funding of capital projects.</w:t>
      </w:r>
    </w:p>
    <w:p w14:paraId="46E88B1A" w14:textId="77777777" w:rsidR="008D47E8" w:rsidRPr="00881795" w:rsidRDefault="008D47E8" w:rsidP="00E31338">
      <w:pPr>
        <w:pStyle w:val="ListParagraph"/>
        <w:numPr>
          <w:ilvl w:val="0"/>
          <w:numId w:val="1"/>
        </w:numPr>
        <w:spacing w:line="288" w:lineRule="auto"/>
        <w:jc w:val="both"/>
        <w:rPr>
          <w:szCs w:val="20"/>
        </w:rPr>
      </w:pPr>
      <w:r w:rsidRPr="00881795">
        <w:rPr>
          <w:szCs w:val="20"/>
        </w:rPr>
        <w:t>The N2 Motorway offers a corridor of opportunities in respect of tourism and agriculture.</w:t>
      </w:r>
    </w:p>
    <w:p w14:paraId="622D36A4" w14:textId="77777777" w:rsidR="008D47E8" w:rsidRPr="00881795" w:rsidRDefault="008D47E8" w:rsidP="00E31338">
      <w:pPr>
        <w:pStyle w:val="ListParagraph"/>
        <w:numPr>
          <w:ilvl w:val="0"/>
          <w:numId w:val="1"/>
        </w:numPr>
        <w:spacing w:line="288" w:lineRule="auto"/>
        <w:jc w:val="both"/>
        <w:rPr>
          <w:szCs w:val="20"/>
        </w:rPr>
      </w:pPr>
      <w:r w:rsidRPr="00881795">
        <w:rPr>
          <w:szCs w:val="20"/>
        </w:rPr>
        <w:t>Development in an integrated manner will discourage piecemeal development.</w:t>
      </w:r>
    </w:p>
    <w:p w14:paraId="7B961561" w14:textId="77777777" w:rsidR="008D47E8" w:rsidRPr="00881795" w:rsidRDefault="00A87D5E" w:rsidP="00E31338">
      <w:pPr>
        <w:pStyle w:val="ListParagraph"/>
        <w:numPr>
          <w:ilvl w:val="0"/>
          <w:numId w:val="1"/>
        </w:numPr>
        <w:spacing w:line="288" w:lineRule="auto"/>
        <w:jc w:val="both"/>
        <w:rPr>
          <w:szCs w:val="20"/>
        </w:rPr>
      </w:pPr>
      <w:r w:rsidRPr="00881795">
        <w:rPr>
          <w:szCs w:val="20"/>
        </w:rPr>
        <w:t>Optimization</w:t>
      </w:r>
      <w:r w:rsidR="008D47E8" w:rsidRPr="00881795">
        <w:rPr>
          <w:szCs w:val="20"/>
        </w:rPr>
        <w:t xml:space="preserve"> of tourism potential in the area in tandem with environmental sustainability can aid poverty alleviation.</w:t>
      </w:r>
    </w:p>
    <w:p w14:paraId="47BF2858" w14:textId="77777777" w:rsidR="008D47E8" w:rsidRPr="00881795" w:rsidRDefault="008D47E8" w:rsidP="00E31338">
      <w:pPr>
        <w:pStyle w:val="ListParagraph"/>
        <w:numPr>
          <w:ilvl w:val="0"/>
          <w:numId w:val="1"/>
        </w:numPr>
        <w:spacing w:line="288" w:lineRule="auto"/>
        <w:jc w:val="both"/>
        <w:rPr>
          <w:szCs w:val="20"/>
        </w:rPr>
      </w:pPr>
      <w:r w:rsidRPr="00881795">
        <w:rPr>
          <w:szCs w:val="20"/>
        </w:rPr>
        <w:t>Improved tourism signage will also enhance tourism opportunities.</w:t>
      </w:r>
    </w:p>
    <w:p w14:paraId="0B7B866C" w14:textId="77777777" w:rsidR="008D47E8" w:rsidRPr="00881795" w:rsidRDefault="008D47E8" w:rsidP="00E31338">
      <w:pPr>
        <w:pStyle w:val="ListParagraph"/>
        <w:numPr>
          <w:ilvl w:val="0"/>
          <w:numId w:val="1"/>
        </w:numPr>
        <w:spacing w:line="288" w:lineRule="auto"/>
        <w:jc w:val="both"/>
        <w:rPr>
          <w:szCs w:val="20"/>
        </w:rPr>
      </w:pPr>
      <w:r w:rsidRPr="00881795">
        <w:rPr>
          <w:szCs w:val="20"/>
        </w:rPr>
        <w:t>Non-industrial labour intensive recycling of waste presets opportunities for employment throughout the municipality.</w:t>
      </w:r>
    </w:p>
    <w:p w14:paraId="1CE09788" w14:textId="77777777" w:rsidR="008D47E8" w:rsidRPr="00881795" w:rsidRDefault="008D47E8" w:rsidP="00E31338">
      <w:pPr>
        <w:pStyle w:val="ListParagraph"/>
        <w:numPr>
          <w:ilvl w:val="0"/>
          <w:numId w:val="1"/>
        </w:numPr>
        <w:spacing w:line="288" w:lineRule="auto"/>
        <w:jc w:val="both"/>
        <w:rPr>
          <w:szCs w:val="20"/>
        </w:rPr>
      </w:pPr>
      <w:r w:rsidRPr="00881795">
        <w:rPr>
          <w:szCs w:val="20"/>
        </w:rPr>
        <w:t>The creation of an interlinked open space system using the protected areas and rivers and streams to enhance the aesthetical appeal of the area.</w:t>
      </w:r>
    </w:p>
    <w:p w14:paraId="6F21FC05" w14:textId="77777777" w:rsidR="008D47E8" w:rsidRPr="00881795" w:rsidRDefault="008D47E8" w:rsidP="00E31338">
      <w:pPr>
        <w:pStyle w:val="ListParagraph"/>
        <w:numPr>
          <w:ilvl w:val="0"/>
          <w:numId w:val="1"/>
        </w:numPr>
        <w:spacing w:line="288" w:lineRule="auto"/>
        <w:jc w:val="both"/>
        <w:rPr>
          <w:szCs w:val="20"/>
        </w:rPr>
      </w:pPr>
      <w:r w:rsidRPr="00881795">
        <w:rPr>
          <w:szCs w:val="20"/>
        </w:rPr>
        <w:t>The introduction of a Land Use Management System (LUMS) for the entire municipal area.</w:t>
      </w:r>
    </w:p>
    <w:p w14:paraId="05CE2DD4" w14:textId="77777777" w:rsidR="008D47E8" w:rsidRPr="00881795" w:rsidRDefault="008D47E8" w:rsidP="00E31338">
      <w:pPr>
        <w:pStyle w:val="ListParagraph"/>
        <w:numPr>
          <w:ilvl w:val="0"/>
          <w:numId w:val="1"/>
        </w:numPr>
        <w:spacing w:line="288" w:lineRule="auto"/>
        <w:jc w:val="both"/>
        <w:rPr>
          <w:szCs w:val="20"/>
        </w:rPr>
      </w:pPr>
      <w:r w:rsidRPr="00881795">
        <w:rPr>
          <w:szCs w:val="20"/>
        </w:rPr>
        <w:t>Some important species of fauna and flora exist within the municipality and is of educational and tourism value.</w:t>
      </w:r>
    </w:p>
    <w:p w14:paraId="51C0C19B" w14:textId="77777777" w:rsidR="008D47E8" w:rsidRPr="00881795" w:rsidRDefault="008D47E8" w:rsidP="00E31338">
      <w:pPr>
        <w:pStyle w:val="ListParagraph"/>
        <w:numPr>
          <w:ilvl w:val="0"/>
          <w:numId w:val="1"/>
        </w:numPr>
        <w:spacing w:line="288" w:lineRule="auto"/>
        <w:jc w:val="both"/>
        <w:rPr>
          <w:szCs w:val="20"/>
        </w:rPr>
      </w:pPr>
      <w:r w:rsidRPr="00881795">
        <w:rPr>
          <w:szCs w:val="20"/>
        </w:rPr>
        <w:t>The area is linked to the “Valley of the Kings” by the R66 transportation route and presents a tourism opportunity.</w:t>
      </w:r>
    </w:p>
    <w:p w14:paraId="6AD03BDC" w14:textId="77777777" w:rsidR="008D47E8" w:rsidRPr="00881795" w:rsidRDefault="008D47E8" w:rsidP="00E31338">
      <w:pPr>
        <w:pStyle w:val="ListParagraph"/>
        <w:numPr>
          <w:ilvl w:val="0"/>
          <w:numId w:val="1"/>
        </w:numPr>
        <w:spacing w:line="288" w:lineRule="auto"/>
        <w:jc w:val="both"/>
        <w:rPr>
          <w:szCs w:val="20"/>
        </w:rPr>
      </w:pPr>
      <w:r w:rsidRPr="00881795">
        <w:rPr>
          <w:szCs w:val="20"/>
        </w:rPr>
        <w:t>The area offers a pleasant climate that will also encourage tourism.</w:t>
      </w:r>
    </w:p>
    <w:p w14:paraId="51955DFB" w14:textId="77777777" w:rsidR="008D47E8" w:rsidRPr="00007B8F" w:rsidRDefault="008D47E8" w:rsidP="00750180">
      <w:pPr>
        <w:pStyle w:val="Heading4"/>
        <w:numPr>
          <w:ilvl w:val="3"/>
          <w:numId w:val="29"/>
        </w:numPr>
      </w:pPr>
      <w:bookmarkStart w:id="165" w:name="_Toc291152493"/>
      <w:bookmarkStart w:id="166" w:name="_Toc317688680"/>
      <w:bookmarkStart w:id="167" w:name="_Toc389739756"/>
      <w:r w:rsidRPr="00007B8F">
        <w:t>Threats</w:t>
      </w:r>
      <w:bookmarkEnd w:id="165"/>
      <w:bookmarkEnd w:id="166"/>
      <w:bookmarkEnd w:id="167"/>
    </w:p>
    <w:p w14:paraId="6A435826" w14:textId="77777777" w:rsidR="008D47E8" w:rsidRPr="00881795" w:rsidRDefault="008D47E8" w:rsidP="00E31338">
      <w:pPr>
        <w:pStyle w:val="ListParagraph"/>
        <w:numPr>
          <w:ilvl w:val="0"/>
          <w:numId w:val="1"/>
        </w:numPr>
        <w:spacing w:line="288" w:lineRule="auto"/>
        <w:jc w:val="both"/>
        <w:rPr>
          <w:szCs w:val="20"/>
        </w:rPr>
      </w:pPr>
      <w:r w:rsidRPr="00881795">
        <w:rPr>
          <w:szCs w:val="20"/>
        </w:rPr>
        <w:t>The categorization of the uMlalazi Local Municipality as a “low-impact municipality” is a negative influence on the overall image of the municipality, particularly in respect of its ability to render essential services.</w:t>
      </w:r>
    </w:p>
    <w:p w14:paraId="34998E36" w14:textId="77777777" w:rsidR="008D47E8" w:rsidRPr="00881795" w:rsidRDefault="008D47E8" w:rsidP="00E31338">
      <w:pPr>
        <w:pStyle w:val="ListParagraph"/>
        <w:numPr>
          <w:ilvl w:val="0"/>
          <w:numId w:val="1"/>
        </w:numPr>
        <w:spacing w:line="288" w:lineRule="auto"/>
        <w:jc w:val="both"/>
        <w:rPr>
          <w:szCs w:val="20"/>
        </w:rPr>
      </w:pPr>
      <w:r w:rsidRPr="00881795">
        <w:rPr>
          <w:szCs w:val="20"/>
        </w:rPr>
        <w:t>There is a high prevalence of water borne diseases as a result of the lack of formal engineering services.</w:t>
      </w:r>
    </w:p>
    <w:p w14:paraId="01F17062" w14:textId="77777777" w:rsidR="008D47E8" w:rsidRPr="00881795" w:rsidRDefault="008D47E8" w:rsidP="00E31338">
      <w:pPr>
        <w:pStyle w:val="ListParagraph"/>
        <w:numPr>
          <w:ilvl w:val="0"/>
          <w:numId w:val="1"/>
        </w:numPr>
        <w:spacing w:line="288" w:lineRule="auto"/>
        <w:jc w:val="both"/>
        <w:rPr>
          <w:szCs w:val="20"/>
        </w:rPr>
      </w:pPr>
      <w:r w:rsidRPr="00881795">
        <w:rPr>
          <w:szCs w:val="20"/>
        </w:rPr>
        <w:t xml:space="preserve">The prevalence of HIV/Aids in the </w:t>
      </w:r>
      <w:r w:rsidR="00A87D5E" w:rsidRPr="00881795">
        <w:rPr>
          <w:szCs w:val="20"/>
        </w:rPr>
        <w:t>Kwa Zulu</w:t>
      </w:r>
      <w:r w:rsidRPr="00881795">
        <w:rPr>
          <w:szCs w:val="20"/>
        </w:rPr>
        <w:t xml:space="preserve"> Natal Province is alarmingly high and represents a serious threat to economic development in general. </w:t>
      </w:r>
    </w:p>
    <w:p w14:paraId="26710D03" w14:textId="77777777" w:rsidR="008D47E8" w:rsidRPr="00881795" w:rsidRDefault="008D47E8" w:rsidP="00E31338">
      <w:pPr>
        <w:pStyle w:val="ListParagraph"/>
        <w:numPr>
          <w:ilvl w:val="0"/>
          <w:numId w:val="1"/>
        </w:numPr>
        <w:spacing w:line="288" w:lineRule="auto"/>
        <w:jc w:val="both"/>
        <w:rPr>
          <w:szCs w:val="20"/>
        </w:rPr>
      </w:pPr>
      <w:r w:rsidRPr="00881795">
        <w:rPr>
          <w:szCs w:val="20"/>
        </w:rPr>
        <w:t>Development pressures will be experienced along the coastline and particularly in Mtunzini as an urban area on the coastline.</w:t>
      </w:r>
    </w:p>
    <w:p w14:paraId="5A0CE26A" w14:textId="77777777" w:rsidR="008D47E8" w:rsidRPr="00881795" w:rsidRDefault="008D47E8" w:rsidP="00E31338">
      <w:pPr>
        <w:pStyle w:val="ListParagraph"/>
        <w:numPr>
          <w:ilvl w:val="0"/>
          <w:numId w:val="1"/>
        </w:numPr>
        <w:spacing w:line="288" w:lineRule="auto"/>
        <w:jc w:val="both"/>
        <w:rPr>
          <w:szCs w:val="20"/>
        </w:rPr>
      </w:pPr>
      <w:r w:rsidRPr="00881795">
        <w:rPr>
          <w:szCs w:val="20"/>
        </w:rPr>
        <w:t>Much of the population is involved in migrant labour as a result of the lack of employment opportunities within the municipal area and this has severe social impacts.</w:t>
      </w:r>
    </w:p>
    <w:p w14:paraId="3B56E170" w14:textId="77777777" w:rsidR="008D47E8" w:rsidRPr="00881795" w:rsidRDefault="008D47E8" w:rsidP="00E31338">
      <w:pPr>
        <w:pStyle w:val="ListParagraph"/>
        <w:numPr>
          <w:ilvl w:val="0"/>
          <w:numId w:val="1"/>
        </w:numPr>
        <w:spacing w:line="288" w:lineRule="auto"/>
        <w:jc w:val="both"/>
        <w:rPr>
          <w:szCs w:val="20"/>
        </w:rPr>
      </w:pPr>
      <w:r w:rsidRPr="00881795">
        <w:rPr>
          <w:szCs w:val="20"/>
        </w:rPr>
        <w:lastRenderedPageBreak/>
        <w:t>High illiteracy rates prevail within the municipality and are a limitation for the population restricting it to unskilled jobs with a commensurate threat in respect of economic and earnings potential.</w:t>
      </w:r>
    </w:p>
    <w:p w14:paraId="0F1352DE" w14:textId="77777777" w:rsidR="008D47E8" w:rsidRPr="00881795" w:rsidRDefault="008D47E8" w:rsidP="00E31338">
      <w:pPr>
        <w:pStyle w:val="ListParagraph"/>
        <w:numPr>
          <w:ilvl w:val="0"/>
          <w:numId w:val="1"/>
        </w:numPr>
        <w:spacing w:line="288" w:lineRule="auto"/>
        <w:jc w:val="both"/>
        <w:rPr>
          <w:szCs w:val="20"/>
        </w:rPr>
      </w:pPr>
      <w:r w:rsidRPr="00881795">
        <w:rPr>
          <w:szCs w:val="20"/>
        </w:rPr>
        <w:t>Poor farming practices in the rural areas in particular are a threat to agricultural production.</w:t>
      </w:r>
    </w:p>
    <w:p w14:paraId="735EC591" w14:textId="77777777" w:rsidR="008D47E8" w:rsidRPr="00881795" w:rsidRDefault="008D47E8" w:rsidP="00E31338">
      <w:pPr>
        <w:pStyle w:val="ListParagraph"/>
        <w:numPr>
          <w:ilvl w:val="0"/>
          <w:numId w:val="1"/>
        </w:numPr>
        <w:spacing w:line="288" w:lineRule="auto"/>
        <w:jc w:val="both"/>
        <w:rPr>
          <w:szCs w:val="20"/>
        </w:rPr>
      </w:pPr>
      <w:r w:rsidRPr="00881795">
        <w:rPr>
          <w:szCs w:val="20"/>
        </w:rPr>
        <w:t>There is a lack of infrastructure maintenance impacting negatively on the aesthetics of the municipality.</w:t>
      </w:r>
    </w:p>
    <w:p w14:paraId="15CE515A" w14:textId="77777777" w:rsidR="008D47E8" w:rsidRPr="00881795" w:rsidRDefault="008D47E8" w:rsidP="00E31338">
      <w:pPr>
        <w:pStyle w:val="ListParagraph"/>
        <w:numPr>
          <w:ilvl w:val="0"/>
          <w:numId w:val="1"/>
        </w:numPr>
        <w:spacing w:line="288" w:lineRule="auto"/>
        <w:jc w:val="both"/>
        <w:rPr>
          <w:szCs w:val="20"/>
        </w:rPr>
      </w:pPr>
      <w:r w:rsidRPr="00881795">
        <w:rPr>
          <w:szCs w:val="20"/>
        </w:rPr>
        <w:t>Monoculture is resulting in a loss of both genetic and biodiversity goods and services produced in the area.</w:t>
      </w:r>
    </w:p>
    <w:p w14:paraId="27139EF9" w14:textId="77777777" w:rsidR="008D47E8" w:rsidRPr="00881795" w:rsidRDefault="008D47E8" w:rsidP="00E31338">
      <w:pPr>
        <w:pStyle w:val="ListParagraph"/>
        <w:numPr>
          <w:ilvl w:val="0"/>
          <w:numId w:val="1"/>
        </w:numPr>
        <w:spacing w:line="288" w:lineRule="auto"/>
        <w:jc w:val="both"/>
        <w:rPr>
          <w:szCs w:val="20"/>
        </w:rPr>
      </w:pPr>
      <w:r w:rsidRPr="00881795">
        <w:rPr>
          <w:szCs w:val="20"/>
        </w:rPr>
        <w:t>Alien vegetation has a negative impact on water resources in the area.</w:t>
      </w:r>
    </w:p>
    <w:p w14:paraId="36C66F8E" w14:textId="77777777" w:rsidR="008D47E8" w:rsidRPr="00881795" w:rsidRDefault="008D47E8" w:rsidP="00E31338">
      <w:pPr>
        <w:pStyle w:val="ListParagraph"/>
        <w:numPr>
          <w:ilvl w:val="0"/>
          <w:numId w:val="1"/>
        </w:numPr>
        <w:spacing w:line="288" w:lineRule="auto"/>
        <w:jc w:val="both"/>
        <w:rPr>
          <w:szCs w:val="20"/>
        </w:rPr>
      </w:pPr>
      <w:r w:rsidRPr="00881795">
        <w:rPr>
          <w:szCs w:val="20"/>
        </w:rPr>
        <w:t>There is a limited understanding of the downstream impacts of environmental degradation with apathy towards offenders.</w:t>
      </w:r>
    </w:p>
    <w:p w14:paraId="75B25DCB" w14:textId="77777777" w:rsidR="008D47E8" w:rsidRPr="00881795" w:rsidRDefault="008D47E8" w:rsidP="00E31338">
      <w:pPr>
        <w:pStyle w:val="ListParagraph"/>
        <w:numPr>
          <w:ilvl w:val="0"/>
          <w:numId w:val="1"/>
        </w:numPr>
        <w:spacing w:line="288" w:lineRule="auto"/>
        <w:jc w:val="both"/>
        <w:rPr>
          <w:szCs w:val="20"/>
        </w:rPr>
      </w:pPr>
      <w:r w:rsidRPr="00881795">
        <w:rPr>
          <w:szCs w:val="20"/>
        </w:rPr>
        <w:t>The subdivision of agricultural land into small entities often results in non-viable agricultural production units.</w:t>
      </w:r>
    </w:p>
    <w:p w14:paraId="56C53253" w14:textId="77777777" w:rsidR="008D47E8" w:rsidRPr="00881795" w:rsidRDefault="008D47E8" w:rsidP="00E31338">
      <w:pPr>
        <w:pStyle w:val="ListParagraph"/>
        <w:numPr>
          <w:ilvl w:val="0"/>
          <w:numId w:val="1"/>
        </w:numPr>
        <w:spacing w:line="288" w:lineRule="auto"/>
        <w:jc w:val="both"/>
        <w:rPr>
          <w:szCs w:val="20"/>
        </w:rPr>
      </w:pPr>
      <w:r w:rsidRPr="00881795">
        <w:rPr>
          <w:szCs w:val="20"/>
        </w:rPr>
        <w:t>The use of pit latrines in low-cost housing development will lead to environmental problems.</w:t>
      </w:r>
    </w:p>
    <w:p w14:paraId="66288479" w14:textId="77777777" w:rsidR="008D47E8" w:rsidRPr="00881795" w:rsidRDefault="008D47E8" w:rsidP="00E31338">
      <w:pPr>
        <w:pStyle w:val="ListParagraph"/>
        <w:numPr>
          <w:ilvl w:val="0"/>
          <w:numId w:val="1"/>
        </w:numPr>
        <w:spacing w:line="288" w:lineRule="auto"/>
        <w:jc w:val="both"/>
        <w:rPr>
          <w:szCs w:val="20"/>
        </w:rPr>
      </w:pPr>
      <w:r w:rsidRPr="00881795">
        <w:rPr>
          <w:szCs w:val="20"/>
        </w:rPr>
        <w:t>The migration of biodiversity up and down altitudinal gradients is critical to the survival of species during global climatic events. Monoculture has created islands of biodiversity in the municipality which inhibits the ability of ecosystems to adapt and migrate.</w:t>
      </w:r>
    </w:p>
    <w:p w14:paraId="3B6F0C7F" w14:textId="77777777" w:rsidR="00423134" w:rsidRPr="00DD50CB" w:rsidRDefault="008D47E8" w:rsidP="00DD50CB">
      <w:pPr>
        <w:pStyle w:val="ListParagraph"/>
        <w:numPr>
          <w:ilvl w:val="0"/>
          <w:numId w:val="1"/>
        </w:numPr>
        <w:spacing w:line="288" w:lineRule="auto"/>
        <w:jc w:val="both"/>
        <w:rPr>
          <w:szCs w:val="20"/>
        </w:rPr>
      </w:pPr>
      <w:r w:rsidRPr="00881795">
        <w:rPr>
          <w:szCs w:val="20"/>
        </w:rPr>
        <w:t xml:space="preserve">The lack of rehabilitation in some areas is an identified problem. </w:t>
      </w:r>
    </w:p>
    <w:p w14:paraId="2E3F2540" w14:textId="77777777" w:rsidR="00654EDF" w:rsidRPr="00CC6F3F" w:rsidRDefault="004D7441" w:rsidP="00750180">
      <w:pPr>
        <w:pStyle w:val="Heading2"/>
        <w:numPr>
          <w:ilvl w:val="1"/>
          <w:numId w:val="29"/>
        </w:numPr>
      </w:pPr>
      <w:bookmarkStart w:id="168" w:name="_Toc389739762"/>
      <w:bookmarkStart w:id="169" w:name="_Toc510706603"/>
      <w:r w:rsidRPr="00CC6F3F">
        <w:t>DISASTER MANAGEMENT</w:t>
      </w:r>
      <w:bookmarkEnd w:id="168"/>
      <w:r w:rsidR="00B3789C">
        <w:t xml:space="preserve"> </w:t>
      </w:r>
      <w:r w:rsidR="00B3789C" w:rsidRPr="00B3789C">
        <w:rPr>
          <w:color w:val="FF0000"/>
        </w:rPr>
        <w:t>(SECTION UNDER REVIEW)</w:t>
      </w:r>
      <w:bookmarkEnd w:id="169"/>
    </w:p>
    <w:p w14:paraId="4784DC2B" w14:textId="2D5F3350" w:rsidR="00EC1AA4" w:rsidRPr="00EC1AA4" w:rsidRDefault="00C84C6B" w:rsidP="00750180">
      <w:pPr>
        <w:pStyle w:val="Heading3"/>
        <w:numPr>
          <w:ilvl w:val="2"/>
          <w:numId w:val="29"/>
        </w:numPr>
        <w:spacing w:after="240"/>
      </w:pPr>
      <w:bookmarkStart w:id="170" w:name="_Toc510706604"/>
      <w:r>
        <w:t>uM</w:t>
      </w:r>
      <w:r w:rsidR="00703CE6">
        <w:t>lalazi</w:t>
      </w:r>
      <w:r w:rsidR="009E67D7">
        <w:t xml:space="preserve"> Disaster </w:t>
      </w:r>
      <w:r w:rsidR="00EC1AA4">
        <w:t>Risk Management Policy Framework</w:t>
      </w:r>
      <w:bookmarkEnd w:id="170"/>
    </w:p>
    <w:p w14:paraId="4EFF483E" w14:textId="787F62EF" w:rsidR="009E67D7" w:rsidRPr="009E67D7" w:rsidRDefault="00C84C6B" w:rsidP="009E67D7">
      <w:pPr>
        <w:jc w:val="both"/>
        <w:rPr>
          <w:rFonts w:cs="Calibri"/>
          <w:color w:val="000000" w:themeColor="text1"/>
        </w:rPr>
      </w:pPr>
      <w:r w:rsidRPr="009E67D7">
        <w:rPr>
          <w:rFonts w:cs="Calibri"/>
          <w:color w:val="000000" w:themeColor="text1"/>
        </w:rPr>
        <w:t>UMlalazi</w:t>
      </w:r>
      <w:r w:rsidR="009E67D7" w:rsidRPr="009E67D7">
        <w:rPr>
          <w:rFonts w:cs="Calibri"/>
          <w:color w:val="000000" w:themeColor="text1"/>
        </w:rPr>
        <w:t xml:space="preserve"> Local Municipality faces increasing levels of disaster risk. It is exposed to a wide range of natural hazards, including severe storms that can trigger widespread hardship and devastation. The Municipality’s extensive agriculture industry, coupled to the major transportation routes, inside the municipality as well as those leading to other major centers, present numerous catastrophic and hazardous materials threats. In addition to these natural and human-induced threats and despite ongoing progress to extend essential services to poor urban and rural communities, large numbers of people live in conditions of chronic disaster vulnerability – in underdeveloped, ecologically fragile or marginal areas – where they face recurrent natural and other threats that range from flooding to informal settlement fires.</w:t>
      </w:r>
      <w:r w:rsidR="009E67D7" w:rsidRPr="009E67D7">
        <w:t xml:space="preserve"> </w:t>
      </w:r>
      <w:r w:rsidR="009E67D7" w:rsidRPr="009E67D7">
        <w:rPr>
          <w:rFonts w:cs="Calibri"/>
          <w:color w:val="000000" w:themeColor="text1"/>
        </w:rPr>
        <w:t>The uMlalazi disaster management Policy Framework is the legal instrument specified by the Act to address such needs for consistency across multiple interest groups, by providing a coherent, transparent and inclusive policy on disaster management appropriate for the Municipality of uMlalazi as a whole.</w:t>
      </w:r>
      <w:r w:rsidR="00556A9C">
        <w:rPr>
          <w:rFonts w:cs="Calibri"/>
          <w:color w:val="000000" w:themeColor="text1"/>
        </w:rPr>
        <w:t xml:space="preserve"> </w:t>
      </w:r>
      <w:r w:rsidR="009E67D7" w:rsidRPr="009E67D7">
        <w:rPr>
          <w:rFonts w:cs="Calibri"/>
          <w:color w:val="000000" w:themeColor="text1"/>
        </w:rPr>
        <w:t xml:space="preserve">In this context, the disaster risk management framework of uMlalazi Local Municipality recognizes a diversity of risks and disasters that occur or may occur in its Municipal area of responsibility, and gives priority to developmental measures that reduce the vulnerability of disaster-prone areas, communities and households. </w:t>
      </w:r>
    </w:p>
    <w:p w14:paraId="32835E92" w14:textId="77777777" w:rsidR="00B624A9" w:rsidRDefault="009E67D7" w:rsidP="009E67D7">
      <w:pPr>
        <w:jc w:val="both"/>
        <w:rPr>
          <w:rFonts w:cs="Calibri"/>
          <w:color w:val="000000" w:themeColor="text1"/>
        </w:rPr>
      </w:pPr>
      <w:r w:rsidRPr="009E67D7">
        <w:rPr>
          <w:rFonts w:cs="Calibri"/>
          <w:color w:val="000000" w:themeColor="text1"/>
        </w:rPr>
        <w:t>Also, in keeping with international and national best practice, the uMlalazi disaster risk management framework places explicit emphasis on the risk reduction concepts of disaster prevention and mitigation, as the core principles to guide disaster risk management in the area.</w:t>
      </w:r>
    </w:p>
    <w:p w14:paraId="74CFDE07" w14:textId="1E630564" w:rsidR="00EC1AA4" w:rsidRPr="00055792" w:rsidRDefault="009E67D7" w:rsidP="00750180">
      <w:pPr>
        <w:pStyle w:val="Heading3"/>
        <w:numPr>
          <w:ilvl w:val="2"/>
          <w:numId w:val="29"/>
        </w:numPr>
        <w:spacing w:after="240"/>
        <w:rPr>
          <w:highlight w:val="yellow"/>
        </w:rPr>
      </w:pPr>
      <w:bookmarkStart w:id="171" w:name="_Toc510706605"/>
      <w:r w:rsidRPr="00055792">
        <w:rPr>
          <w:highlight w:val="yellow"/>
        </w:rPr>
        <w:t>Risk Profiling</w:t>
      </w:r>
      <w:r w:rsidR="00055792">
        <w:rPr>
          <w:highlight w:val="yellow"/>
        </w:rPr>
        <w:t xml:space="preserve"> (UNDER REVIEW)</w:t>
      </w:r>
      <w:bookmarkEnd w:id="171"/>
    </w:p>
    <w:tbl>
      <w:tblPr>
        <w:tblStyle w:val="TableGrid"/>
        <w:tblW w:w="9827" w:type="dxa"/>
        <w:tblLayout w:type="fixed"/>
        <w:tblLook w:val="04A0" w:firstRow="1" w:lastRow="0" w:firstColumn="1" w:lastColumn="0" w:noHBand="0" w:noVBand="1"/>
      </w:tblPr>
      <w:tblGrid>
        <w:gridCol w:w="1969"/>
        <w:gridCol w:w="1201"/>
        <w:gridCol w:w="644"/>
        <w:gridCol w:w="644"/>
        <w:gridCol w:w="645"/>
        <w:gridCol w:w="644"/>
        <w:gridCol w:w="644"/>
        <w:gridCol w:w="744"/>
        <w:gridCol w:w="759"/>
        <w:gridCol w:w="645"/>
        <w:gridCol w:w="644"/>
        <w:gridCol w:w="644"/>
      </w:tblGrid>
      <w:tr w:rsidR="00EC1AA4" w:rsidRPr="00544057" w14:paraId="14CD38A3" w14:textId="77777777" w:rsidTr="008F3D5C">
        <w:trPr>
          <w:trHeight w:val="974"/>
          <w:tblHeader/>
        </w:trPr>
        <w:tc>
          <w:tcPr>
            <w:tcW w:w="1969" w:type="dxa"/>
          </w:tcPr>
          <w:p w14:paraId="6585AE53" w14:textId="77777777" w:rsidR="00EC1AA4" w:rsidRPr="00544057" w:rsidRDefault="00EC1AA4" w:rsidP="00332ECF">
            <w:pPr>
              <w:pStyle w:val="NoSpacing"/>
              <w:jc w:val="center"/>
              <w:rPr>
                <w:rFonts w:ascii="Calibri" w:eastAsiaTheme="minorHAnsi" w:hAnsi="Calibri" w:cs="Calibri"/>
                <w:b/>
                <w:color w:val="000000" w:themeColor="text1"/>
                <w:sz w:val="20"/>
                <w:szCs w:val="22"/>
                <w:lang w:val="en-US"/>
              </w:rPr>
            </w:pPr>
          </w:p>
          <w:p w14:paraId="547D82B0" w14:textId="77777777" w:rsidR="00EC1AA4" w:rsidRPr="00544057" w:rsidRDefault="00EC1AA4" w:rsidP="00332ECF">
            <w:pPr>
              <w:pStyle w:val="NoSpacing"/>
              <w:jc w:val="center"/>
              <w:rPr>
                <w:rFonts w:ascii="Calibri" w:eastAsiaTheme="minorHAnsi" w:hAnsi="Calibri" w:cs="Calibri"/>
                <w:b/>
                <w:color w:val="000000" w:themeColor="text1"/>
                <w:sz w:val="20"/>
                <w:szCs w:val="22"/>
                <w:lang w:val="en-US"/>
              </w:rPr>
            </w:pPr>
          </w:p>
          <w:p w14:paraId="6E0B8049" w14:textId="77777777" w:rsidR="00EC1AA4" w:rsidRPr="00544057" w:rsidRDefault="00EC1AA4" w:rsidP="00332ECF">
            <w:pPr>
              <w:pStyle w:val="NoSpacing"/>
              <w:jc w:val="center"/>
              <w:rPr>
                <w:rFonts w:ascii="Calibri" w:eastAsiaTheme="minorHAnsi" w:hAnsi="Calibri" w:cs="Calibri"/>
                <w:b/>
                <w:color w:val="000000" w:themeColor="text1"/>
                <w:sz w:val="20"/>
                <w:szCs w:val="22"/>
                <w:lang w:val="en-US"/>
              </w:rPr>
            </w:pPr>
            <w:r w:rsidRPr="00544057">
              <w:rPr>
                <w:rFonts w:ascii="Calibri" w:eastAsiaTheme="minorHAnsi" w:hAnsi="Calibri" w:cs="Calibri"/>
                <w:b/>
                <w:color w:val="000000" w:themeColor="text1"/>
                <w:sz w:val="20"/>
                <w:szCs w:val="22"/>
                <w:lang w:val="en-US"/>
              </w:rPr>
              <w:t>RISK</w:t>
            </w:r>
          </w:p>
        </w:tc>
        <w:tc>
          <w:tcPr>
            <w:tcW w:w="1201" w:type="dxa"/>
            <w:shd w:val="clear" w:color="auto" w:fill="FFC000"/>
            <w:textDirection w:val="btLr"/>
          </w:tcPr>
          <w:p w14:paraId="4A45755E" w14:textId="77777777" w:rsidR="00EC1AA4" w:rsidRPr="00544057" w:rsidRDefault="00EC1AA4" w:rsidP="00332ECF">
            <w:pPr>
              <w:pStyle w:val="NoSpacing"/>
              <w:jc w:val="center"/>
              <w:rPr>
                <w:rFonts w:ascii="Calibri" w:eastAsiaTheme="minorHAnsi" w:hAnsi="Calibri" w:cs="Calibri"/>
                <w:b/>
                <w:color w:val="000000" w:themeColor="text1"/>
                <w:sz w:val="20"/>
                <w:szCs w:val="22"/>
                <w:lang w:val="en-US"/>
              </w:rPr>
            </w:pPr>
            <w:r w:rsidRPr="00544057">
              <w:rPr>
                <w:rFonts w:ascii="Calibri" w:eastAsiaTheme="minorHAnsi" w:hAnsi="Calibri" w:cs="Calibri"/>
                <w:b/>
                <w:color w:val="000000" w:themeColor="text1"/>
                <w:sz w:val="20"/>
                <w:szCs w:val="22"/>
                <w:lang w:val="en-US"/>
              </w:rPr>
              <w:t>DROUGHT</w:t>
            </w:r>
          </w:p>
          <w:p w14:paraId="65B472EF" w14:textId="77777777" w:rsidR="00EC1AA4" w:rsidRPr="00544057" w:rsidRDefault="00EC1AA4" w:rsidP="00332ECF">
            <w:pPr>
              <w:pStyle w:val="NoSpacing"/>
              <w:jc w:val="center"/>
              <w:rPr>
                <w:rFonts w:ascii="Calibri" w:eastAsiaTheme="minorHAnsi" w:hAnsi="Calibri" w:cs="Calibri"/>
                <w:b/>
                <w:color w:val="000000" w:themeColor="text1"/>
                <w:sz w:val="20"/>
                <w:szCs w:val="22"/>
                <w:lang w:val="en-US"/>
              </w:rPr>
            </w:pPr>
          </w:p>
          <w:p w14:paraId="56AA2838" w14:textId="77777777" w:rsidR="00EC1AA4" w:rsidRPr="00544057" w:rsidRDefault="00EC1AA4" w:rsidP="00332ECF">
            <w:pPr>
              <w:pStyle w:val="NoSpacing"/>
              <w:jc w:val="center"/>
              <w:rPr>
                <w:rFonts w:ascii="Calibri" w:eastAsiaTheme="minorHAnsi" w:hAnsi="Calibri" w:cs="Calibri"/>
                <w:b/>
                <w:color w:val="000000" w:themeColor="text1"/>
                <w:sz w:val="20"/>
                <w:szCs w:val="22"/>
                <w:lang w:val="en-US"/>
              </w:rPr>
            </w:pPr>
          </w:p>
        </w:tc>
        <w:tc>
          <w:tcPr>
            <w:tcW w:w="644" w:type="dxa"/>
            <w:shd w:val="clear" w:color="auto" w:fill="FB2805"/>
            <w:textDirection w:val="btLr"/>
          </w:tcPr>
          <w:p w14:paraId="58D5CDAD" w14:textId="77777777" w:rsidR="00EC1AA4" w:rsidRPr="00544057" w:rsidRDefault="00EC1AA4" w:rsidP="00332ECF">
            <w:pPr>
              <w:pStyle w:val="NoSpacing"/>
              <w:jc w:val="center"/>
              <w:rPr>
                <w:rFonts w:ascii="Calibri" w:eastAsiaTheme="minorHAnsi" w:hAnsi="Calibri" w:cs="Calibri"/>
                <w:b/>
                <w:color w:val="000000" w:themeColor="text1"/>
                <w:sz w:val="20"/>
                <w:szCs w:val="22"/>
                <w:lang w:val="en-US"/>
              </w:rPr>
            </w:pPr>
            <w:r w:rsidRPr="00544057">
              <w:rPr>
                <w:rFonts w:ascii="Calibri" w:eastAsiaTheme="minorHAnsi" w:hAnsi="Calibri" w:cs="Calibri"/>
                <w:b/>
                <w:color w:val="000000" w:themeColor="text1"/>
                <w:sz w:val="20"/>
                <w:szCs w:val="22"/>
                <w:lang w:val="en-US"/>
              </w:rPr>
              <w:t>FIRE</w:t>
            </w:r>
          </w:p>
        </w:tc>
        <w:tc>
          <w:tcPr>
            <w:tcW w:w="644" w:type="dxa"/>
            <w:shd w:val="clear" w:color="auto" w:fill="00B0F0"/>
            <w:textDirection w:val="btLr"/>
          </w:tcPr>
          <w:p w14:paraId="1D403DD1" w14:textId="77777777" w:rsidR="00EC1AA4" w:rsidRPr="00544057" w:rsidRDefault="00EC1AA4" w:rsidP="00332ECF">
            <w:pPr>
              <w:pStyle w:val="NoSpacing"/>
              <w:jc w:val="center"/>
              <w:rPr>
                <w:rFonts w:ascii="Calibri" w:eastAsiaTheme="minorHAnsi" w:hAnsi="Calibri" w:cs="Calibri"/>
                <w:b/>
                <w:color w:val="000000" w:themeColor="text1"/>
                <w:sz w:val="20"/>
                <w:szCs w:val="22"/>
                <w:lang w:val="en-US"/>
              </w:rPr>
            </w:pPr>
            <w:r w:rsidRPr="00544057">
              <w:rPr>
                <w:rFonts w:ascii="Calibri" w:eastAsiaTheme="minorHAnsi" w:hAnsi="Calibri" w:cs="Calibri"/>
                <w:b/>
                <w:color w:val="000000" w:themeColor="text1"/>
                <w:sz w:val="20"/>
                <w:szCs w:val="22"/>
                <w:lang w:val="en-US"/>
              </w:rPr>
              <w:t>FLOOD</w:t>
            </w:r>
          </w:p>
        </w:tc>
        <w:tc>
          <w:tcPr>
            <w:tcW w:w="645" w:type="dxa"/>
            <w:shd w:val="clear" w:color="auto" w:fill="BFBFBF" w:themeFill="background1" w:themeFillShade="BF"/>
            <w:textDirection w:val="btLr"/>
          </w:tcPr>
          <w:p w14:paraId="449037D8" w14:textId="77777777" w:rsidR="00EC1AA4" w:rsidRPr="00544057" w:rsidRDefault="00EC1AA4" w:rsidP="00332ECF">
            <w:pPr>
              <w:pStyle w:val="NoSpacing"/>
              <w:jc w:val="center"/>
              <w:rPr>
                <w:rFonts w:ascii="Calibri" w:eastAsiaTheme="minorHAnsi" w:hAnsi="Calibri" w:cs="Calibri"/>
                <w:b/>
                <w:color w:val="000000" w:themeColor="text1"/>
                <w:sz w:val="20"/>
                <w:szCs w:val="22"/>
                <w:lang w:val="en-US"/>
              </w:rPr>
            </w:pPr>
            <w:r w:rsidRPr="00544057">
              <w:rPr>
                <w:rFonts w:ascii="Calibri" w:eastAsiaTheme="minorHAnsi" w:hAnsi="Calibri" w:cs="Calibri"/>
                <w:b/>
                <w:color w:val="000000" w:themeColor="text1"/>
                <w:sz w:val="20"/>
                <w:szCs w:val="22"/>
                <w:lang w:val="en-US"/>
              </w:rPr>
              <w:t>TORNADO</w:t>
            </w:r>
          </w:p>
        </w:tc>
        <w:tc>
          <w:tcPr>
            <w:tcW w:w="644" w:type="dxa"/>
            <w:shd w:val="clear" w:color="auto" w:fill="92D050"/>
            <w:textDirection w:val="btLr"/>
          </w:tcPr>
          <w:p w14:paraId="6BBB26CB" w14:textId="77777777" w:rsidR="00EC1AA4" w:rsidRPr="00544057" w:rsidRDefault="00EC1AA4" w:rsidP="00332ECF">
            <w:pPr>
              <w:pStyle w:val="NoSpacing"/>
              <w:jc w:val="center"/>
              <w:rPr>
                <w:rFonts w:ascii="Calibri" w:eastAsiaTheme="minorHAnsi" w:hAnsi="Calibri" w:cs="Calibri"/>
                <w:b/>
                <w:color w:val="000000" w:themeColor="text1"/>
                <w:sz w:val="20"/>
                <w:szCs w:val="22"/>
                <w:lang w:val="en-US"/>
              </w:rPr>
            </w:pPr>
            <w:r w:rsidRPr="00544057">
              <w:rPr>
                <w:rFonts w:ascii="Calibri" w:eastAsiaTheme="minorHAnsi" w:hAnsi="Calibri" w:cs="Calibri"/>
                <w:b/>
                <w:color w:val="000000" w:themeColor="text1"/>
                <w:sz w:val="20"/>
                <w:szCs w:val="22"/>
                <w:lang w:val="en-US"/>
              </w:rPr>
              <w:t>EPIDEMIC</w:t>
            </w:r>
          </w:p>
        </w:tc>
        <w:tc>
          <w:tcPr>
            <w:tcW w:w="644" w:type="dxa"/>
            <w:shd w:val="clear" w:color="auto" w:fill="C4BC96" w:themeFill="background2" w:themeFillShade="BF"/>
            <w:textDirection w:val="btLr"/>
          </w:tcPr>
          <w:p w14:paraId="05CC24F9" w14:textId="77777777" w:rsidR="00EC1AA4" w:rsidRPr="00544057" w:rsidRDefault="00EC1AA4" w:rsidP="00332ECF">
            <w:pPr>
              <w:pStyle w:val="NoSpacing"/>
              <w:jc w:val="center"/>
              <w:rPr>
                <w:rFonts w:ascii="Calibri" w:eastAsiaTheme="minorHAnsi" w:hAnsi="Calibri" w:cs="Calibri"/>
                <w:b/>
                <w:color w:val="000000" w:themeColor="text1"/>
                <w:sz w:val="20"/>
                <w:szCs w:val="22"/>
                <w:lang w:val="en-US"/>
              </w:rPr>
            </w:pPr>
            <w:r w:rsidRPr="00544057">
              <w:rPr>
                <w:rFonts w:ascii="Calibri" w:eastAsiaTheme="minorHAnsi" w:hAnsi="Calibri" w:cs="Calibri"/>
                <w:b/>
                <w:color w:val="000000" w:themeColor="text1"/>
                <w:sz w:val="20"/>
                <w:szCs w:val="22"/>
                <w:lang w:val="en-US"/>
              </w:rPr>
              <w:t>STORM</w:t>
            </w:r>
          </w:p>
        </w:tc>
        <w:tc>
          <w:tcPr>
            <w:tcW w:w="744" w:type="dxa"/>
            <w:shd w:val="clear" w:color="auto" w:fill="FDE9D9" w:themeFill="accent6" w:themeFillTint="33"/>
            <w:textDirection w:val="btLr"/>
          </w:tcPr>
          <w:p w14:paraId="03B3153D" w14:textId="77777777" w:rsidR="00EC1AA4" w:rsidRPr="00544057" w:rsidRDefault="00EC1AA4" w:rsidP="00332ECF">
            <w:pPr>
              <w:pStyle w:val="NoSpacing"/>
              <w:jc w:val="center"/>
              <w:rPr>
                <w:rFonts w:ascii="Calibri" w:eastAsiaTheme="minorHAnsi" w:hAnsi="Calibri" w:cs="Calibri"/>
                <w:b/>
                <w:color w:val="000000" w:themeColor="text1"/>
                <w:sz w:val="20"/>
                <w:szCs w:val="22"/>
                <w:lang w:val="en-US"/>
              </w:rPr>
            </w:pPr>
            <w:r w:rsidRPr="00544057">
              <w:rPr>
                <w:rFonts w:ascii="Calibri" w:eastAsiaTheme="minorHAnsi" w:hAnsi="Calibri" w:cs="Calibri"/>
                <w:b/>
                <w:color w:val="000000" w:themeColor="text1"/>
                <w:sz w:val="20"/>
                <w:szCs w:val="22"/>
                <w:lang w:val="en-US"/>
              </w:rPr>
              <w:t>TIDAL SURGE</w:t>
            </w:r>
          </w:p>
        </w:tc>
        <w:tc>
          <w:tcPr>
            <w:tcW w:w="759" w:type="dxa"/>
            <w:shd w:val="clear" w:color="auto" w:fill="CCC0D9" w:themeFill="accent4" w:themeFillTint="66"/>
            <w:textDirection w:val="btLr"/>
          </w:tcPr>
          <w:p w14:paraId="08428228" w14:textId="77777777" w:rsidR="00EC1AA4" w:rsidRPr="00544057" w:rsidRDefault="00EC1AA4" w:rsidP="00332ECF">
            <w:pPr>
              <w:pStyle w:val="NoSpacing"/>
              <w:jc w:val="center"/>
              <w:rPr>
                <w:rFonts w:ascii="Calibri" w:eastAsiaTheme="minorHAnsi" w:hAnsi="Calibri" w:cs="Calibri"/>
                <w:b/>
                <w:color w:val="000000" w:themeColor="text1"/>
                <w:sz w:val="20"/>
                <w:szCs w:val="22"/>
                <w:lang w:val="en-US"/>
              </w:rPr>
            </w:pPr>
            <w:r w:rsidRPr="00544057">
              <w:rPr>
                <w:rFonts w:ascii="Calibri" w:eastAsiaTheme="minorHAnsi" w:hAnsi="Calibri" w:cs="Calibri"/>
                <w:b/>
                <w:color w:val="000000" w:themeColor="text1"/>
                <w:sz w:val="20"/>
                <w:szCs w:val="22"/>
                <w:lang w:val="en-US"/>
              </w:rPr>
              <w:t>HAZMAT</w:t>
            </w:r>
          </w:p>
        </w:tc>
        <w:tc>
          <w:tcPr>
            <w:tcW w:w="645" w:type="dxa"/>
            <w:shd w:val="clear" w:color="auto" w:fill="FFFF00"/>
            <w:textDirection w:val="btLr"/>
          </w:tcPr>
          <w:p w14:paraId="7A87E676" w14:textId="77777777" w:rsidR="00EC1AA4" w:rsidRPr="00544057" w:rsidRDefault="00EC1AA4" w:rsidP="00332ECF">
            <w:pPr>
              <w:pStyle w:val="NoSpacing"/>
              <w:jc w:val="center"/>
              <w:rPr>
                <w:rFonts w:ascii="Calibri" w:eastAsiaTheme="minorHAnsi" w:hAnsi="Calibri" w:cs="Calibri"/>
                <w:b/>
                <w:color w:val="000000" w:themeColor="text1"/>
                <w:sz w:val="20"/>
                <w:szCs w:val="22"/>
                <w:lang w:val="en-US"/>
              </w:rPr>
            </w:pPr>
            <w:r w:rsidRPr="00544057">
              <w:rPr>
                <w:rFonts w:ascii="Calibri" w:eastAsiaTheme="minorHAnsi" w:hAnsi="Calibri" w:cs="Calibri"/>
                <w:b/>
                <w:color w:val="000000" w:themeColor="text1"/>
                <w:sz w:val="20"/>
                <w:szCs w:val="22"/>
                <w:lang w:val="en-US"/>
              </w:rPr>
              <w:t>AVIATION</w:t>
            </w:r>
          </w:p>
        </w:tc>
        <w:tc>
          <w:tcPr>
            <w:tcW w:w="644" w:type="dxa"/>
            <w:shd w:val="clear" w:color="auto" w:fill="94E9F4"/>
            <w:textDirection w:val="btLr"/>
          </w:tcPr>
          <w:p w14:paraId="4AA123F8" w14:textId="77777777" w:rsidR="00EC1AA4" w:rsidRPr="00544057" w:rsidRDefault="00EC1AA4" w:rsidP="00332ECF">
            <w:pPr>
              <w:pStyle w:val="NoSpacing"/>
              <w:jc w:val="center"/>
              <w:rPr>
                <w:rFonts w:ascii="Calibri" w:eastAsiaTheme="minorHAnsi" w:hAnsi="Calibri" w:cs="Calibri"/>
                <w:b/>
                <w:color w:val="000000" w:themeColor="text1"/>
                <w:sz w:val="20"/>
                <w:szCs w:val="22"/>
                <w:lang w:val="en-US"/>
              </w:rPr>
            </w:pPr>
            <w:r w:rsidRPr="00544057">
              <w:rPr>
                <w:rFonts w:ascii="Calibri" w:eastAsiaTheme="minorHAnsi" w:hAnsi="Calibri" w:cs="Calibri"/>
                <w:b/>
                <w:color w:val="000000" w:themeColor="text1"/>
                <w:sz w:val="20"/>
                <w:szCs w:val="22"/>
                <w:lang w:val="en-US"/>
              </w:rPr>
              <w:t>MARITIME</w:t>
            </w:r>
          </w:p>
        </w:tc>
        <w:tc>
          <w:tcPr>
            <w:tcW w:w="644" w:type="dxa"/>
            <w:shd w:val="clear" w:color="auto" w:fill="FF9900"/>
            <w:textDirection w:val="btLr"/>
          </w:tcPr>
          <w:p w14:paraId="22EDB88A" w14:textId="77777777" w:rsidR="00EC1AA4" w:rsidRPr="00544057" w:rsidRDefault="00EC1AA4" w:rsidP="00332ECF">
            <w:pPr>
              <w:pStyle w:val="NoSpacing"/>
              <w:jc w:val="center"/>
              <w:rPr>
                <w:rFonts w:ascii="Calibri" w:eastAsiaTheme="minorHAnsi" w:hAnsi="Calibri" w:cs="Calibri"/>
                <w:b/>
                <w:color w:val="000000" w:themeColor="text1"/>
                <w:sz w:val="20"/>
                <w:szCs w:val="22"/>
                <w:lang w:val="en-US"/>
              </w:rPr>
            </w:pPr>
            <w:r w:rsidRPr="00544057">
              <w:rPr>
                <w:rFonts w:ascii="Calibri" w:eastAsiaTheme="minorHAnsi" w:hAnsi="Calibri" w:cs="Calibri"/>
                <w:b/>
                <w:color w:val="000000" w:themeColor="text1"/>
                <w:sz w:val="20"/>
                <w:szCs w:val="22"/>
                <w:lang w:val="en-US"/>
              </w:rPr>
              <w:t>RAILWAY</w:t>
            </w:r>
          </w:p>
        </w:tc>
      </w:tr>
      <w:tr w:rsidR="00EC1AA4" w14:paraId="060D9F90" w14:textId="77777777" w:rsidTr="00556A9C">
        <w:trPr>
          <w:trHeight w:val="217"/>
        </w:trPr>
        <w:tc>
          <w:tcPr>
            <w:tcW w:w="1969" w:type="dxa"/>
          </w:tcPr>
          <w:p w14:paraId="20028907"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Ward 1</w:t>
            </w:r>
          </w:p>
        </w:tc>
        <w:tc>
          <w:tcPr>
            <w:tcW w:w="1201" w:type="dxa"/>
          </w:tcPr>
          <w:p w14:paraId="1C4F93C8"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33E52903"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79632B42"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6C7F74A4"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70AAA68B"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5DC42325"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44" w:type="dxa"/>
          </w:tcPr>
          <w:p w14:paraId="48853DFF"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759" w:type="dxa"/>
          </w:tcPr>
          <w:p w14:paraId="3AA84DA2"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5" w:type="dxa"/>
          </w:tcPr>
          <w:p w14:paraId="65B70C34"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3A5C0440"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771BF186"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r>
      <w:tr w:rsidR="00EC1AA4" w14:paraId="00C61FE7" w14:textId="77777777" w:rsidTr="00556A9C">
        <w:trPr>
          <w:trHeight w:val="229"/>
        </w:trPr>
        <w:tc>
          <w:tcPr>
            <w:tcW w:w="1969" w:type="dxa"/>
          </w:tcPr>
          <w:p w14:paraId="53AF10C8"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Ward 2</w:t>
            </w:r>
          </w:p>
        </w:tc>
        <w:tc>
          <w:tcPr>
            <w:tcW w:w="1201" w:type="dxa"/>
          </w:tcPr>
          <w:p w14:paraId="7E23AEB5"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39F23EBB"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1D5D51D8"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20199101"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0FDC9C6C"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1D699289"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44" w:type="dxa"/>
          </w:tcPr>
          <w:p w14:paraId="76274731"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759" w:type="dxa"/>
          </w:tcPr>
          <w:p w14:paraId="5BE31032"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5" w:type="dxa"/>
          </w:tcPr>
          <w:p w14:paraId="30F12F7F"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2FB7F31B"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3EF60FBA"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r>
      <w:tr w:rsidR="00EC1AA4" w14:paraId="5952F05D" w14:textId="77777777" w:rsidTr="00556A9C">
        <w:trPr>
          <w:trHeight w:val="217"/>
        </w:trPr>
        <w:tc>
          <w:tcPr>
            <w:tcW w:w="1969" w:type="dxa"/>
          </w:tcPr>
          <w:p w14:paraId="4BC27F6A"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Ward 3</w:t>
            </w:r>
          </w:p>
        </w:tc>
        <w:tc>
          <w:tcPr>
            <w:tcW w:w="1201" w:type="dxa"/>
          </w:tcPr>
          <w:p w14:paraId="7F9EDC92"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0C80DB42"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46681D29"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233391DA"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0C6F1783"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1CE5C2BA"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44" w:type="dxa"/>
          </w:tcPr>
          <w:p w14:paraId="356C0DA5"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759" w:type="dxa"/>
          </w:tcPr>
          <w:p w14:paraId="0D545600"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5" w:type="dxa"/>
          </w:tcPr>
          <w:p w14:paraId="7773F66B"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36C15E75"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33518473"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r>
      <w:tr w:rsidR="00EC1AA4" w14:paraId="524B2661" w14:textId="77777777" w:rsidTr="00556A9C">
        <w:trPr>
          <w:trHeight w:val="217"/>
        </w:trPr>
        <w:tc>
          <w:tcPr>
            <w:tcW w:w="1969" w:type="dxa"/>
          </w:tcPr>
          <w:p w14:paraId="5DDC0FA7"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Ward 4</w:t>
            </w:r>
          </w:p>
        </w:tc>
        <w:tc>
          <w:tcPr>
            <w:tcW w:w="1201" w:type="dxa"/>
          </w:tcPr>
          <w:p w14:paraId="5E515AC6"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7214475A"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0F023757"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6311D0F5"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3D8A245D"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77A1EA0F"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44" w:type="dxa"/>
          </w:tcPr>
          <w:p w14:paraId="199D3F55"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759" w:type="dxa"/>
          </w:tcPr>
          <w:p w14:paraId="40935959"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5" w:type="dxa"/>
          </w:tcPr>
          <w:p w14:paraId="6FD79162"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3BF14594"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320704AD"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r>
      <w:tr w:rsidR="00EC1AA4" w14:paraId="60D3143C" w14:textId="77777777" w:rsidTr="00556A9C">
        <w:trPr>
          <w:trHeight w:val="229"/>
        </w:trPr>
        <w:tc>
          <w:tcPr>
            <w:tcW w:w="1969" w:type="dxa"/>
          </w:tcPr>
          <w:p w14:paraId="280C46A9"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Ward 5</w:t>
            </w:r>
          </w:p>
        </w:tc>
        <w:tc>
          <w:tcPr>
            <w:tcW w:w="1201" w:type="dxa"/>
          </w:tcPr>
          <w:p w14:paraId="79FF78B0"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58C5FA16"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3E180B76"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3B7C962B"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3599C378"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66EC8FE2"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44" w:type="dxa"/>
          </w:tcPr>
          <w:p w14:paraId="1C58C146"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759" w:type="dxa"/>
          </w:tcPr>
          <w:p w14:paraId="13FB4AB0"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5" w:type="dxa"/>
          </w:tcPr>
          <w:p w14:paraId="2A6CF484"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30ED36BC"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1759886A"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r>
      <w:tr w:rsidR="00EC1AA4" w14:paraId="5658A9EA" w14:textId="77777777" w:rsidTr="00556A9C">
        <w:trPr>
          <w:trHeight w:val="217"/>
        </w:trPr>
        <w:tc>
          <w:tcPr>
            <w:tcW w:w="1969" w:type="dxa"/>
          </w:tcPr>
          <w:p w14:paraId="1CBC37D0"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Ward 6</w:t>
            </w:r>
          </w:p>
        </w:tc>
        <w:tc>
          <w:tcPr>
            <w:tcW w:w="1201" w:type="dxa"/>
          </w:tcPr>
          <w:p w14:paraId="7BB5DD42"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0AF61DBF"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1EDFEA1A"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0F24A663"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0C0FED9F"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5A1BB571"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44" w:type="dxa"/>
          </w:tcPr>
          <w:p w14:paraId="740C913B"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759" w:type="dxa"/>
          </w:tcPr>
          <w:p w14:paraId="212C74D4"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5" w:type="dxa"/>
          </w:tcPr>
          <w:p w14:paraId="418AAE2D"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0048C0EE"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021E1001"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r>
      <w:tr w:rsidR="00EC1AA4" w14:paraId="06B1453B" w14:textId="77777777" w:rsidTr="00556A9C">
        <w:trPr>
          <w:trHeight w:val="217"/>
        </w:trPr>
        <w:tc>
          <w:tcPr>
            <w:tcW w:w="1969" w:type="dxa"/>
          </w:tcPr>
          <w:p w14:paraId="227B5D06"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Ward 7</w:t>
            </w:r>
          </w:p>
        </w:tc>
        <w:tc>
          <w:tcPr>
            <w:tcW w:w="1201" w:type="dxa"/>
          </w:tcPr>
          <w:p w14:paraId="71AC7FBA"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01ACE687"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61148881"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6BC5B74C"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1B15C7D0"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2D9F2AF0"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44" w:type="dxa"/>
          </w:tcPr>
          <w:p w14:paraId="4E3F11C1"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759" w:type="dxa"/>
          </w:tcPr>
          <w:p w14:paraId="6498E769"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5" w:type="dxa"/>
          </w:tcPr>
          <w:p w14:paraId="58F2A03A"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6EF9BF4A"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7E2C5B23"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r>
      <w:tr w:rsidR="00EC1AA4" w14:paraId="14AA3826" w14:textId="77777777" w:rsidTr="00556A9C">
        <w:trPr>
          <w:trHeight w:val="229"/>
        </w:trPr>
        <w:tc>
          <w:tcPr>
            <w:tcW w:w="1969" w:type="dxa"/>
          </w:tcPr>
          <w:p w14:paraId="59B9911E"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Ward 8</w:t>
            </w:r>
          </w:p>
        </w:tc>
        <w:tc>
          <w:tcPr>
            <w:tcW w:w="1201" w:type="dxa"/>
          </w:tcPr>
          <w:p w14:paraId="3F011DF1"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28E66B90"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2AB931F4"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1DBE31CA"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2488C530"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2E017BC2"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44" w:type="dxa"/>
          </w:tcPr>
          <w:p w14:paraId="09F59999"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759" w:type="dxa"/>
          </w:tcPr>
          <w:p w14:paraId="2E122713"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5" w:type="dxa"/>
          </w:tcPr>
          <w:p w14:paraId="0971C8FD"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6D385784"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25825957"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r>
      <w:tr w:rsidR="00EC1AA4" w14:paraId="039FBF31" w14:textId="77777777" w:rsidTr="00556A9C">
        <w:trPr>
          <w:trHeight w:val="217"/>
        </w:trPr>
        <w:tc>
          <w:tcPr>
            <w:tcW w:w="1969" w:type="dxa"/>
          </w:tcPr>
          <w:p w14:paraId="6138BF9A"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Ward 9</w:t>
            </w:r>
          </w:p>
        </w:tc>
        <w:tc>
          <w:tcPr>
            <w:tcW w:w="1201" w:type="dxa"/>
          </w:tcPr>
          <w:p w14:paraId="591B60D1"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0A5E2505"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58BEE44A"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2E48E2EB"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3D362AC3"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62134910"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44" w:type="dxa"/>
          </w:tcPr>
          <w:p w14:paraId="18E6DCEE"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759" w:type="dxa"/>
          </w:tcPr>
          <w:p w14:paraId="6BB66270"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5" w:type="dxa"/>
          </w:tcPr>
          <w:p w14:paraId="4EEB4392"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328C0CA2"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41CD7F77"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r>
      <w:tr w:rsidR="00EC1AA4" w14:paraId="66A76649" w14:textId="77777777" w:rsidTr="00556A9C">
        <w:trPr>
          <w:trHeight w:val="217"/>
        </w:trPr>
        <w:tc>
          <w:tcPr>
            <w:tcW w:w="1969" w:type="dxa"/>
          </w:tcPr>
          <w:p w14:paraId="22766ECE"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lastRenderedPageBreak/>
              <w:t>Ward 10</w:t>
            </w:r>
          </w:p>
        </w:tc>
        <w:tc>
          <w:tcPr>
            <w:tcW w:w="1201" w:type="dxa"/>
          </w:tcPr>
          <w:p w14:paraId="34858A90"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022172DC"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58400C68"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2C28CB40"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340A1C16"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02E43690"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44" w:type="dxa"/>
          </w:tcPr>
          <w:p w14:paraId="080DD921"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759" w:type="dxa"/>
          </w:tcPr>
          <w:p w14:paraId="164F7DEA"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5" w:type="dxa"/>
          </w:tcPr>
          <w:p w14:paraId="029E49F3"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0D87B29B"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29DB8C70"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r>
      <w:tr w:rsidR="00EC1AA4" w14:paraId="0EAECB00" w14:textId="77777777" w:rsidTr="00556A9C">
        <w:trPr>
          <w:trHeight w:val="229"/>
        </w:trPr>
        <w:tc>
          <w:tcPr>
            <w:tcW w:w="1969" w:type="dxa"/>
          </w:tcPr>
          <w:p w14:paraId="3F0BEC8D"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Ward 11</w:t>
            </w:r>
          </w:p>
        </w:tc>
        <w:tc>
          <w:tcPr>
            <w:tcW w:w="1201" w:type="dxa"/>
          </w:tcPr>
          <w:p w14:paraId="477EC047"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64A34293"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663DF8FC"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7285D7DA"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13B6AD26"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621D5475"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44" w:type="dxa"/>
          </w:tcPr>
          <w:p w14:paraId="1A3DFB8D"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759" w:type="dxa"/>
          </w:tcPr>
          <w:p w14:paraId="56E80B0A"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1EFC6F07"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553C24B3"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7F58D9F7"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r>
      <w:tr w:rsidR="00EC1AA4" w14:paraId="2BD0627B" w14:textId="77777777" w:rsidTr="00556A9C">
        <w:trPr>
          <w:trHeight w:val="217"/>
        </w:trPr>
        <w:tc>
          <w:tcPr>
            <w:tcW w:w="1969" w:type="dxa"/>
          </w:tcPr>
          <w:p w14:paraId="62AE72A0"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Ward 12</w:t>
            </w:r>
          </w:p>
        </w:tc>
        <w:tc>
          <w:tcPr>
            <w:tcW w:w="1201" w:type="dxa"/>
          </w:tcPr>
          <w:p w14:paraId="597043BB"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42E35472"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262B6864"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6A508909"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2EA60DC4"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336AD678"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44" w:type="dxa"/>
          </w:tcPr>
          <w:p w14:paraId="24B29143"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759" w:type="dxa"/>
          </w:tcPr>
          <w:p w14:paraId="717B7EBE"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5" w:type="dxa"/>
          </w:tcPr>
          <w:p w14:paraId="29BA4333"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69B0BEE3"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3C97EF9E"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r>
      <w:tr w:rsidR="00EC1AA4" w14:paraId="7163E89C" w14:textId="77777777" w:rsidTr="00556A9C">
        <w:trPr>
          <w:trHeight w:val="229"/>
        </w:trPr>
        <w:tc>
          <w:tcPr>
            <w:tcW w:w="1969" w:type="dxa"/>
          </w:tcPr>
          <w:p w14:paraId="745ED99A"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Ward 13</w:t>
            </w:r>
          </w:p>
        </w:tc>
        <w:tc>
          <w:tcPr>
            <w:tcW w:w="1201" w:type="dxa"/>
          </w:tcPr>
          <w:p w14:paraId="75CEEFBD"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1ED01D2C"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30FBF009"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4C3454F2"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0EABB34A"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6C09DC85"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44" w:type="dxa"/>
          </w:tcPr>
          <w:p w14:paraId="515DD4D3"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759" w:type="dxa"/>
          </w:tcPr>
          <w:p w14:paraId="17BA7BE5"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5" w:type="dxa"/>
          </w:tcPr>
          <w:p w14:paraId="682FC07A"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0AF802AF"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678B9870"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r>
      <w:tr w:rsidR="00EC1AA4" w14:paraId="3E766CF8" w14:textId="77777777" w:rsidTr="00556A9C">
        <w:trPr>
          <w:trHeight w:val="217"/>
        </w:trPr>
        <w:tc>
          <w:tcPr>
            <w:tcW w:w="1969" w:type="dxa"/>
          </w:tcPr>
          <w:p w14:paraId="20DFA667"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Ward 14</w:t>
            </w:r>
          </w:p>
        </w:tc>
        <w:tc>
          <w:tcPr>
            <w:tcW w:w="1201" w:type="dxa"/>
          </w:tcPr>
          <w:p w14:paraId="3EFF8F77"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6D2F9E19"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56D10510"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2BBC2AE1"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6CC5BB13"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78A6B0B9"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44" w:type="dxa"/>
          </w:tcPr>
          <w:p w14:paraId="2DD6ADE8"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759" w:type="dxa"/>
          </w:tcPr>
          <w:p w14:paraId="1FDA6B22"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5" w:type="dxa"/>
          </w:tcPr>
          <w:p w14:paraId="194CC6A1"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316CC8B5"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355CA6C4"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r>
      <w:tr w:rsidR="00EC1AA4" w14:paraId="2617776D" w14:textId="77777777" w:rsidTr="00556A9C">
        <w:trPr>
          <w:trHeight w:val="217"/>
        </w:trPr>
        <w:tc>
          <w:tcPr>
            <w:tcW w:w="1969" w:type="dxa"/>
          </w:tcPr>
          <w:p w14:paraId="603F2FAC"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Ward 15</w:t>
            </w:r>
          </w:p>
        </w:tc>
        <w:tc>
          <w:tcPr>
            <w:tcW w:w="1201" w:type="dxa"/>
          </w:tcPr>
          <w:p w14:paraId="7314C18F"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7E527040"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3BA93745"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65BA1AD2"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2FA3D271"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3ACCFEF6"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44" w:type="dxa"/>
          </w:tcPr>
          <w:p w14:paraId="655DE8E6"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759" w:type="dxa"/>
          </w:tcPr>
          <w:p w14:paraId="5EBCAEF9"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5" w:type="dxa"/>
          </w:tcPr>
          <w:p w14:paraId="0791641F"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6FBAAEAF"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67CC5CF8"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r>
      <w:tr w:rsidR="00EC1AA4" w14:paraId="5B18FAF8" w14:textId="77777777" w:rsidTr="00556A9C">
        <w:trPr>
          <w:trHeight w:val="229"/>
        </w:trPr>
        <w:tc>
          <w:tcPr>
            <w:tcW w:w="1969" w:type="dxa"/>
          </w:tcPr>
          <w:p w14:paraId="6D4D6890"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Ward 16</w:t>
            </w:r>
          </w:p>
        </w:tc>
        <w:tc>
          <w:tcPr>
            <w:tcW w:w="1201" w:type="dxa"/>
          </w:tcPr>
          <w:p w14:paraId="4DB13F98"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23E1779F"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1BB6DA97"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50ECA5CD"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21A1863C"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4CA780B1"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44" w:type="dxa"/>
          </w:tcPr>
          <w:p w14:paraId="5100D86C"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759" w:type="dxa"/>
          </w:tcPr>
          <w:p w14:paraId="287B8413"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5" w:type="dxa"/>
          </w:tcPr>
          <w:p w14:paraId="25868267"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3445776B"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68032114"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r>
      <w:tr w:rsidR="00EC1AA4" w14:paraId="5EE15003" w14:textId="77777777" w:rsidTr="00556A9C">
        <w:trPr>
          <w:trHeight w:val="217"/>
        </w:trPr>
        <w:tc>
          <w:tcPr>
            <w:tcW w:w="1969" w:type="dxa"/>
          </w:tcPr>
          <w:p w14:paraId="6860DBDA"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Ward 17</w:t>
            </w:r>
          </w:p>
        </w:tc>
        <w:tc>
          <w:tcPr>
            <w:tcW w:w="1201" w:type="dxa"/>
          </w:tcPr>
          <w:p w14:paraId="66DF1947"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17D9A5E4"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13BDE14A"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767895F7"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0B1E2CE1"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1FAC68DD"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44" w:type="dxa"/>
          </w:tcPr>
          <w:p w14:paraId="343FB7CF"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759" w:type="dxa"/>
          </w:tcPr>
          <w:p w14:paraId="0B7B4BA8"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5" w:type="dxa"/>
          </w:tcPr>
          <w:p w14:paraId="14121C23"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15CE35B9"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22EFA6DE"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r>
      <w:tr w:rsidR="00EC1AA4" w14:paraId="2E3BAD14" w14:textId="77777777" w:rsidTr="00556A9C">
        <w:trPr>
          <w:trHeight w:val="217"/>
        </w:trPr>
        <w:tc>
          <w:tcPr>
            <w:tcW w:w="1969" w:type="dxa"/>
          </w:tcPr>
          <w:p w14:paraId="04C77A3B"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Ward 18</w:t>
            </w:r>
          </w:p>
        </w:tc>
        <w:tc>
          <w:tcPr>
            <w:tcW w:w="1201" w:type="dxa"/>
          </w:tcPr>
          <w:p w14:paraId="73A8D590"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2F15F4FE"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78647B87"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41E3E048"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5E1FF5E8"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0B29B7A0"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44" w:type="dxa"/>
          </w:tcPr>
          <w:p w14:paraId="5A762FA5"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759" w:type="dxa"/>
          </w:tcPr>
          <w:p w14:paraId="030EA177"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5" w:type="dxa"/>
          </w:tcPr>
          <w:p w14:paraId="63550182"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4F27C9AB"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4470961D"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r>
      <w:tr w:rsidR="00EC1AA4" w14:paraId="6E7F0CE0" w14:textId="77777777" w:rsidTr="00556A9C">
        <w:trPr>
          <w:trHeight w:val="229"/>
        </w:trPr>
        <w:tc>
          <w:tcPr>
            <w:tcW w:w="1969" w:type="dxa"/>
          </w:tcPr>
          <w:p w14:paraId="426BAA3D"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Ward 19</w:t>
            </w:r>
          </w:p>
        </w:tc>
        <w:tc>
          <w:tcPr>
            <w:tcW w:w="1201" w:type="dxa"/>
          </w:tcPr>
          <w:p w14:paraId="376EB50F"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2D24E48E"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7B60E8D5"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4FD13DFF"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29443AFA"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39974C68"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44" w:type="dxa"/>
          </w:tcPr>
          <w:p w14:paraId="7C5B0579"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59" w:type="dxa"/>
          </w:tcPr>
          <w:p w14:paraId="4AEDEF0A"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5" w:type="dxa"/>
          </w:tcPr>
          <w:p w14:paraId="24F824AE"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5EA3FD14"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5430C83F"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r>
      <w:tr w:rsidR="00EC1AA4" w14:paraId="137B1B5D" w14:textId="77777777" w:rsidTr="00556A9C">
        <w:trPr>
          <w:trHeight w:val="217"/>
        </w:trPr>
        <w:tc>
          <w:tcPr>
            <w:tcW w:w="1969" w:type="dxa"/>
          </w:tcPr>
          <w:p w14:paraId="1B1DCE1C"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Ward 20</w:t>
            </w:r>
          </w:p>
        </w:tc>
        <w:tc>
          <w:tcPr>
            <w:tcW w:w="1201" w:type="dxa"/>
          </w:tcPr>
          <w:p w14:paraId="6178CED4"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72A37FDE"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056D5439"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4E44C9D3"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3FFF898E"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494CE7A0"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44" w:type="dxa"/>
          </w:tcPr>
          <w:p w14:paraId="265EB334"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759" w:type="dxa"/>
          </w:tcPr>
          <w:p w14:paraId="1A0D8FB6"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5" w:type="dxa"/>
          </w:tcPr>
          <w:p w14:paraId="154EE6FA"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0EFFBE98"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043F826C"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r>
      <w:tr w:rsidR="00EC1AA4" w14:paraId="4011A7FC" w14:textId="77777777" w:rsidTr="00556A9C">
        <w:trPr>
          <w:trHeight w:val="217"/>
        </w:trPr>
        <w:tc>
          <w:tcPr>
            <w:tcW w:w="1969" w:type="dxa"/>
          </w:tcPr>
          <w:p w14:paraId="74D5861D"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Ward 21</w:t>
            </w:r>
          </w:p>
        </w:tc>
        <w:tc>
          <w:tcPr>
            <w:tcW w:w="1201" w:type="dxa"/>
          </w:tcPr>
          <w:p w14:paraId="3E8703BE"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5CA75794"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1AD7B484"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6034E712"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68918370"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316C6117"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44" w:type="dxa"/>
          </w:tcPr>
          <w:p w14:paraId="25D57D6F"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759" w:type="dxa"/>
          </w:tcPr>
          <w:p w14:paraId="0A39C925"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5" w:type="dxa"/>
          </w:tcPr>
          <w:p w14:paraId="65E63E4C"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4CF0C9BE"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4C785996"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r>
      <w:tr w:rsidR="00EC1AA4" w14:paraId="5EFB0F38" w14:textId="77777777" w:rsidTr="00556A9C">
        <w:trPr>
          <w:trHeight w:val="229"/>
        </w:trPr>
        <w:tc>
          <w:tcPr>
            <w:tcW w:w="1969" w:type="dxa"/>
          </w:tcPr>
          <w:p w14:paraId="006635E2"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Ward 22</w:t>
            </w:r>
          </w:p>
        </w:tc>
        <w:tc>
          <w:tcPr>
            <w:tcW w:w="1201" w:type="dxa"/>
          </w:tcPr>
          <w:p w14:paraId="6C2DCF94"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34814E9D"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5FB1A9D6"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3DCD578D"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09A489C7"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08464AB3"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44" w:type="dxa"/>
          </w:tcPr>
          <w:p w14:paraId="0BAC595F"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759" w:type="dxa"/>
          </w:tcPr>
          <w:p w14:paraId="6DED48A8"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5" w:type="dxa"/>
          </w:tcPr>
          <w:p w14:paraId="4309493F"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564BC53C"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33DA7659"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r>
      <w:tr w:rsidR="00EC1AA4" w14:paraId="1914D79C" w14:textId="77777777" w:rsidTr="00556A9C">
        <w:trPr>
          <w:trHeight w:val="217"/>
        </w:trPr>
        <w:tc>
          <w:tcPr>
            <w:tcW w:w="1969" w:type="dxa"/>
          </w:tcPr>
          <w:p w14:paraId="6083BDD8"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Ward 23</w:t>
            </w:r>
          </w:p>
        </w:tc>
        <w:tc>
          <w:tcPr>
            <w:tcW w:w="1201" w:type="dxa"/>
          </w:tcPr>
          <w:p w14:paraId="3916F3E4"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4097454C"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064A5BCA"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6DB00C6D"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15D9ACB5"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5AC36003"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44" w:type="dxa"/>
          </w:tcPr>
          <w:p w14:paraId="14473F24"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759" w:type="dxa"/>
          </w:tcPr>
          <w:p w14:paraId="0C4DF8B6"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5" w:type="dxa"/>
          </w:tcPr>
          <w:p w14:paraId="264B0D2D"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28452D86"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00F02DAC"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r>
      <w:tr w:rsidR="00EC1AA4" w14:paraId="52A24DA3" w14:textId="77777777" w:rsidTr="00556A9C">
        <w:trPr>
          <w:trHeight w:val="217"/>
        </w:trPr>
        <w:tc>
          <w:tcPr>
            <w:tcW w:w="1969" w:type="dxa"/>
          </w:tcPr>
          <w:p w14:paraId="4FA03105"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Ward 24</w:t>
            </w:r>
          </w:p>
        </w:tc>
        <w:tc>
          <w:tcPr>
            <w:tcW w:w="1201" w:type="dxa"/>
          </w:tcPr>
          <w:p w14:paraId="4F857EBF"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4F5C3329"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1F239A91"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33ED6B04"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362F5717"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512CD0A4"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44" w:type="dxa"/>
          </w:tcPr>
          <w:p w14:paraId="3F4D01C3"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759" w:type="dxa"/>
          </w:tcPr>
          <w:p w14:paraId="08497C0C"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5" w:type="dxa"/>
          </w:tcPr>
          <w:p w14:paraId="0628828C"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5B24F273"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33760B75"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r>
      <w:tr w:rsidR="00EC1AA4" w14:paraId="08EA2113" w14:textId="77777777" w:rsidTr="00556A9C">
        <w:trPr>
          <w:trHeight w:val="229"/>
        </w:trPr>
        <w:tc>
          <w:tcPr>
            <w:tcW w:w="1969" w:type="dxa"/>
          </w:tcPr>
          <w:p w14:paraId="378940A7"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Ward 25</w:t>
            </w:r>
          </w:p>
        </w:tc>
        <w:tc>
          <w:tcPr>
            <w:tcW w:w="1201" w:type="dxa"/>
          </w:tcPr>
          <w:p w14:paraId="278229BA"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47877CFE"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33D2ED7F"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3DEDF714"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6D2CA137"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6431AAD9"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44" w:type="dxa"/>
          </w:tcPr>
          <w:p w14:paraId="60742803"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759" w:type="dxa"/>
          </w:tcPr>
          <w:p w14:paraId="632FEB7B"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5" w:type="dxa"/>
          </w:tcPr>
          <w:p w14:paraId="4069B935"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32F2F2D5"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2D5AA148"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r>
      <w:tr w:rsidR="00EC1AA4" w14:paraId="5FB18005" w14:textId="77777777" w:rsidTr="00556A9C">
        <w:trPr>
          <w:trHeight w:val="229"/>
        </w:trPr>
        <w:tc>
          <w:tcPr>
            <w:tcW w:w="1969" w:type="dxa"/>
          </w:tcPr>
          <w:p w14:paraId="1903882F"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Ward 26</w:t>
            </w:r>
          </w:p>
        </w:tc>
        <w:tc>
          <w:tcPr>
            <w:tcW w:w="1201" w:type="dxa"/>
          </w:tcPr>
          <w:p w14:paraId="378C21FB"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160068C9"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28C0AF41"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5" w:type="dxa"/>
          </w:tcPr>
          <w:p w14:paraId="031007FD"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190F314E"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644" w:type="dxa"/>
          </w:tcPr>
          <w:p w14:paraId="76E3403F" w14:textId="77777777" w:rsidR="00EC1AA4" w:rsidRPr="00544057" w:rsidRDefault="00EC1AA4" w:rsidP="00332ECF">
            <w:pPr>
              <w:pStyle w:val="NoSpacing"/>
              <w:rPr>
                <w:rFonts w:ascii="Calibri" w:eastAsiaTheme="minorHAnsi" w:hAnsi="Calibri" w:cs="Calibri"/>
                <w:color w:val="000000" w:themeColor="text1"/>
                <w:sz w:val="20"/>
                <w:szCs w:val="22"/>
                <w:lang w:val="en-US"/>
              </w:rPr>
            </w:pPr>
            <w:r w:rsidRPr="00544057">
              <w:rPr>
                <w:rFonts w:ascii="Calibri" w:eastAsiaTheme="minorHAnsi" w:hAnsi="Calibri" w:cs="Calibri"/>
                <w:color w:val="000000" w:themeColor="text1"/>
                <w:sz w:val="20"/>
                <w:szCs w:val="22"/>
                <w:lang w:val="en-US"/>
              </w:rPr>
              <w:t>X</w:t>
            </w:r>
          </w:p>
        </w:tc>
        <w:tc>
          <w:tcPr>
            <w:tcW w:w="744" w:type="dxa"/>
          </w:tcPr>
          <w:p w14:paraId="0724A99A"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759" w:type="dxa"/>
          </w:tcPr>
          <w:p w14:paraId="248B1E09"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5" w:type="dxa"/>
          </w:tcPr>
          <w:p w14:paraId="080C15BE"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52AABEAA"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c>
          <w:tcPr>
            <w:tcW w:w="644" w:type="dxa"/>
          </w:tcPr>
          <w:p w14:paraId="7B6152C6" w14:textId="77777777" w:rsidR="00EC1AA4" w:rsidRPr="00544057" w:rsidRDefault="00EC1AA4" w:rsidP="00332ECF">
            <w:pPr>
              <w:pStyle w:val="NoSpacing"/>
              <w:rPr>
                <w:rFonts w:ascii="Calibri" w:eastAsiaTheme="minorHAnsi" w:hAnsi="Calibri" w:cs="Calibri"/>
                <w:color w:val="000000" w:themeColor="text1"/>
                <w:sz w:val="20"/>
                <w:szCs w:val="22"/>
                <w:lang w:val="en-US"/>
              </w:rPr>
            </w:pPr>
          </w:p>
        </w:tc>
      </w:tr>
      <w:tr w:rsidR="006D43DB" w14:paraId="6CC5F8D5" w14:textId="77777777" w:rsidTr="008F3D5C">
        <w:trPr>
          <w:trHeight w:val="229"/>
        </w:trPr>
        <w:tc>
          <w:tcPr>
            <w:tcW w:w="1969" w:type="dxa"/>
            <w:shd w:val="clear" w:color="auto" w:fill="auto"/>
          </w:tcPr>
          <w:p w14:paraId="37893707" w14:textId="77777777" w:rsidR="006D43DB" w:rsidRPr="00544057" w:rsidRDefault="006D43DB" w:rsidP="00332ECF">
            <w:pPr>
              <w:pStyle w:val="NoSpacing"/>
              <w:rPr>
                <w:rFonts w:ascii="Calibri" w:eastAsiaTheme="minorHAnsi" w:hAnsi="Calibri" w:cs="Calibri"/>
                <w:color w:val="000000" w:themeColor="text1"/>
                <w:sz w:val="20"/>
                <w:szCs w:val="22"/>
                <w:lang w:val="en-US"/>
              </w:rPr>
            </w:pPr>
            <w:r>
              <w:rPr>
                <w:rFonts w:ascii="Calibri" w:eastAsiaTheme="minorHAnsi" w:hAnsi="Calibri" w:cs="Calibri"/>
                <w:color w:val="000000" w:themeColor="text1"/>
                <w:sz w:val="20"/>
                <w:szCs w:val="22"/>
                <w:lang w:val="en-US"/>
              </w:rPr>
              <w:t>Ward 27</w:t>
            </w:r>
          </w:p>
        </w:tc>
        <w:tc>
          <w:tcPr>
            <w:tcW w:w="1201" w:type="dxa"/>
            <w:shd w:val="clear" w:color="auto" w:fill="auto"/>
          </w:tcPr>
          <w:p w14:paraId="2610E102" w14:textId="77777777" w:rsidR="006D43DB" w:rsidRPr="00544057" w:rsidRDefault="006D43DB" w:rsidP="00332ECF">
            <w:pPr>
              <w:pStyle w:val="NoSpacing"/>
              <w:rPr>
                <w:rFonts w:ascii="Calibri" w:eastAsiaTheme="minorHAnsi" w:hAnsi="Calibri" w:cs="Calibri"/>
                <w:color w:val="000000" w:themeColor="text1"/>
                <w:sz w:val="20"/>
                <w:szCs w:val="22"/>
                <w:lang w:val="en-US"/>
              </w:rPr>
            </w:pPr>
            <w:r>
              <w:rPr>
                <w:rFonts w:ascii="Calibri" w:eastAsiaTheme="minorHAnsi" w:hAnsi="Calibri" w:cs="Calibri"/>
                <w:color w:val="000000" w:themeColor="text1"/>
                <w:sz w:val="20"/>
                <w:szCs w:val="22"/>
                <w:lang w:val="en-US"/>
              </w:rPr>
              <w:t>X</w:t>
            </w:r>
          </w:p>
        </w:tc>
        <w:tc>
          <w:tcPr>
            <w:tcW w:w="644" w:type="dxa"/>
            <w:shd w:val="clear" w:color="auto" w:fill="auto"/>
          </w:tcPr>
          <w:p w14:paraId="7094DEEB" w14:textId="77777777" w:rsidR="006D43DB" w:rsidRPr="00544057" w:rsidRDefault="006D43DB" w:rsidP="00332ECF">
            <w:pPr>
              <w:pStyle w:val="NoSpacing"/>
              <w:rPr>
                <w:rFonts w:ascii="Calibri" w:eastAsiaTheme="minorHAnsi" w:hAnsi="Calibri" w:cs="Calibri"/>
                <w:color w:val="000000" w:themeColor="text1"/>
                <w:sz w:val="20"/>
                <w:szCs w:val="22"/>
                <w:lang w:val="en-US"/>
              </w:rPr>
            </w:pPr>
            <w:r>
              <w:rPr>
                <w:rFonts w:ascii="Calibri" w:eastAsiaTheme="minorHAnsi" w:hAnsi="Calibri" w:cs="Calibri"/>
                <w:color w:val="000000" w:themeColor="text1"/>
                <w:sz w:val="20"/>
                <w:szCs w:val="22"/>
                <w:lang w:val="en-US"/>
              </w:rPr>
              <w:t>X</w:t>
            </w:r>
          </w:p>
        </w:tc>
        <w:tc>
          <w:tcPr>
            <w:tcW w:w="644" w:type="dxa"/>
            <w:shd w:val="clear" w:color="auto" w:fill="auto"/>
          </w:tcPr>
          <w:p w14:paraId="1A38CB5E" w14:textId="77777777" w:rsidR="006D43DB" w:rsidRPr="00544057" w:rsidRDefault="006D43DB" w:rsidP="00332ECF">
            <w:pPr>
              <w:pStyle w:val="NoSpacing"/>
              <w:rPr>
                <w:rFonts w:ascii="Calibri" w:eastAsiaTheme="minorHAnsi" w:hAnsi="Calibri" w:cs="Calibri"/>
                <w:color w:val="000000" w:themeColor="text1"/>
                <w:sz w:val="20"/>
                <w:szCs w:val="22"/>
                <w:lang w:val="en-US"/>
              </w:rPr>
            </w:pPr>
            <w:r>
              <w:rPr>
                <w:rFonts w:ascii="Calibri" w:eastAsiaTheme="minorHAnsi" w:hAnsi="Calibri" w:cs="Calibri"/>
                <w:color w:val="000000" w:themeColor="text1"/>
                <w:sz w:val="20"/>
                <w:szCs w:val="22"/>
                <w:lang w:val="en-US"/>
              </w:rPr>
              <w:t>X</w:t>
            </w:r>
          </w:p>
        </w:tc>
        <w:tc>
          <w:tcPr>
            <w:tcW w:w="645" w:type="dxa"/>
            <w:shd w:val="clear" w:color="auto" w:fill="auto"/>
          </w:tcPr>
          <w:p w14:paraId="0FDEA181" w14:textId="77777777" w:rsidR="006D43DB" w:rsidRPr="00544057" w:rsidRDefault="006D43DB" w:rsidP="00332ECF">
            <w:pPr>
              <w:pStyle w:val="NoSpacing"/>
              <w:rPr>
                <w:rFonts w:ascii="Calibri" w:eastAsiaTheme="minorHAnsi" w:hAnsi="Calibri" w:cs="Calibri"/>
                <w:color w:val="000000" w:themeColor="text1"/>
                <w:sz w:val="20"/>
                <w:szCs w:val="22"/>
                <w:lang w:val="en-US"/>
              </w:rPr>
            </w:pPr>
          </w:p>
        </w:tc>
        <w:tc>
          <w:tcPr>
            <w:tcW w:w="644" w:type="dxa"/>
            <w:shd w:val="clear" w:color="auto" w:fill="auto"/>
          </w:tcPr>
          <w:p w14:paraId="6AE688DC" w14:textId="77777777" w:rsidR="006D43DB" w:rsidRPr="00544057" w:rsidRDefault="006D43DB" w:rsidP="00332ECF">
            <w:pPr>
              <w:pStyle w:val="NoSpacing"/>
              <w:rPr>
                <w:rFonts w:ascii="Calibri" w:eastAsiaTheme="minorHAnsi" w:hAnsi="Calibri" w:cs="Calibri"/>
                <w:color w:val="000000" w:themeColor="text1"/>
                <w:sz w:val="20"/>
                <w:szCs w:val="22"/>
                <w:lang w:val="en-US"/>
              </w:rPr>
            </w:pPr>
            <w:r>
              <w:rPr>
                <w:rFonts w:ascii="Calibri" w:eastAsiaTheme="minorHAnsi" w:hAnsi="Calibri" w:cs="Calibri"/>
                <w:color w:val="000000" w:themeColor="text1"/>
                <w:sz w:val="20"/>
                <w:szCs w:val="22"/>
                <w:lang w:val="en-US"/>
              </w:rPr>
              <w:t>X</w:t>
            </w:r>
          </w:p>
        </w:tc>
        <w:tc>
          <w:tcPr>
            <w:tcW w:w="644" w:type="dxa"/>
            <w:shd w:val="clear" w:color="auto" w:fill="auto"/>
          </w:tcPr>
          <w:p w14:paraId="291D4633" w14:textId="77777777" w:rsidR="006D43DB" w:rsidRPr="00544057" w:rsidRDefault="006D43DB" w:rsidP="00332ECF">
            <w:pPr>
              <w:pStyle w:val="NoSpacing"/>
              <w:rPr>
                <w:rFonts w:ascii="Calibri" w:eastAsiaTheme="minorHAnsi" w:hAnsi="Calibri" w:cs="Calibri"/>
                <w:color w:val="000000" w:themeColor="text1"/>
                <w:sz w:val="20"/>
                <w:szCs w:val="22"/>
                <w:lang w:val="en-US"/>
              </w:rPr>
            </w:pPr>
            <w:r>
              <w:rPr>
                <w:rFonts w:ascii="Calibri" w:eastAsiaTheme="minorHAnsi" w:hAnsi="Calibri" w:cs="Calibri"/>
                <w:color w:val="000000" w:themeColor="text1"/>
                <w:sz w:val="20"/>
                <w:szCs w:val="22"/>
                <w:lang w:val="en-US"/>
              </w:rPr>
              <w:t>X</w:t>
            </w:r>
          </w:p>
        </w:tc>
        <w:tc>
          <w:tcPr>
            <w:tcW w:w="744" w:type="dxa"/>
          </w:tcPr>
          <w:p w14:paraId="631AEA1E" w14:textId="77777777" w:rsidR="006D43DB" w:rsidRPr="00544057" w:rsidRDefault="006D43DB" w:rsidP="00332ECF">
            <w:pPr>
              <w:pStyle w:val="NoSpacing"/>
              <w:rPr>
                <w:rFonts w:ascii="Calibri" w:eastAsiaTheme="minorHAnsi" w:hAnsi="Calibri" w:cs="Calibri"/>
                <w:color w:val="000000" w:themeColor="text1"/>
                <w:sz w:val="20"/>
                <w:szCs w:val="22"/>
                <w:lang w:val="en-US"/>
              </w:rPr>
            </w:pPr>
          </w:p>
        </w:tc>
        <w:tc>
          <w:tcPr>
            <w:tcW w:w="759" w:type="dxa"/>
          </w:tcPr>
          <w:p w14:paraId="1A9467B4" w14:textId="77777777" w:rsidR="006D43DB" w:rsidRPr="00544057" w:rsidRDefault="006D43DB" w:rsidP="00332ECF">
            <w:pPr>
              <w:pStyle w:val="NoSpacing"/>
              <w:rPr>
                <w:rFonts w:ascii="Calibri" w:eastAsiaTheme="minorHAnsi" w:hAnsi="Calibri" w:cs="Calibri"/>
                <w:color w:val="000000" w:themeColor="text1"/>
                <w:sz w:val="20"/>
                <w:szCs w:val="22"/>
                <w:lang w:val="en-US"/>
              </w:rPr>
            </w:pPr>
          </w:p>
        </w:tc>
        <w:tc>
          <w:tcPr>
            <w:tcW w:w="645" w:type="dxa"/>
          </w:tcPr>
          <w:p w14:paraId="4A5B1FF5" w14:textId="77777777" w:rsidR="006D43DB" w:rsidRPr="00544057" w:rsidRDefault="006D43DB" w:rsidP="00332ECF">
            <w:pPr>
              <w:pStyle w:val="NoSpacing"/>
              <w:rPr>
                <w:rFonts w:ascii="Calibri" w:eastAsiaTheme="minorHAnsi" w:hAnsi="Calibri" w:cs="Calibri"/>
                <w:color w:val="000000" w:themeColor="text1"/>
                <w:sz w:val="20"/>
                <w:szCs w:val="22"/>
                <w:lang w:val="en-US"/>
              </w:rPr>
            </w:pPr>
          </w:p>
        </w:tc>
        <w:tc>
          <w:tcPr>
            <w:tcW w:w="644" w:type="dxa"/>
          </w:tcPr>
          <w:p w14:paraId="24E5E35B" w14:textId="77777777" w:rsidR="006D43DB" w:rsidRPr="00544057" w:rsidRDefault="006D43DB" w:rsidP="00332ECF">
            <w:pPr>
              <w:pStyle w:val="NoSpacing"/>
              <w:rPr>
                <w:rFonts w:ascii="Calibri" w:eastAsiaTheme="minorHAnsi" w:hAnsi="Calibri" w:cs="Calibri"/>
                <w:color w:val="000000" w:themeColor="text1"/>
                <w:sz w:val="20"/>
                <w:szCs w:val="22"/>
                <w:lang w:val="en-US"/>
              </w:rPr>
            </w:pPr>
          </w:p>
        </w:tc>
        <w:tc>
          <w:tcPr>
            <w:tcW w:w="644" w:type="dxa"/>
          </w:tcPr>
          <w:p w14:paraId="224FDC5F" w14:textId="77777777" w:rsidR="006D43DB" w:rsidRPr="00544057" w:rsidRDefault="006D43DB" w:rsidP="00332ECF">
            <w:pPr>
              <w:pStyle w:val="NoSpacing"/>
              <w:rPr>
                <w:rFonts w:ascii="Calibri" w:eastAsiaTheme="minorHAnsi" w:hAnsi="Calibri" w:cs="Calibri"/>
                <w:color w:val="000000" w:themeColor="text1"/>
                <w:sz w:val="20"/>
                <w:szCs w:val="22"/>
                <w:lang w:val="en-US"/>
              </w:rPr>
            </w:pPr>
          </w:p>
        </w:tc>
      </w:tr>
    </w:tbl>
    <w:p w14:paraId="01E7F8CC" w14:textId="77777777" w:rsidR="00332ECF" w:rsidRDefault="00332ECF" w:rsidP="002F62F0">
      <w:pPr>
        <w:pStyle w:val="Caption"/>
      </w:pPr>
      <w:bookmarkStart w:id="172" w:name="_Toc510622260"/>
      <w:r>
        <w:t xml:space="preserve">Table </w:t>
      </w:r>
      <w:r w:rsidR="00B918A6">
        <w:fldChar w:fldCharType="begin"/>
      </w:r>
      <w:r w:rsidR="00B918A6">
        <w:instrText xml:space="preserve"> SEQ Table \* ARABIC </w:instrText>
      </w:r>
      <w:r w:rsidR="00B918A6">
        <w:fldChar w:fldCharType="separate"/>
      </w:r>
      <w:r w:rsidR="0067023A">
        <w:rPr>
          <w:noProof/>
        </w:rPr>
        <w:t>10</w:t>
      </w:r>
      <w:r w:rsidR="00B918A6">
        <w:rPr>
          <w:noProof/>
        </w:rPr>
        <w:fldChar w:fldCharType="end"/>
      </w:r>
      <w:r>
        <w:t>: Ward Risk Profiling</w:t>
      </w:r>
      <w:r w:rsidR="00787435">
        <w:t xml:space="preserve"> (DMP 2013)</w:t>
      </w:r>
      <w:bookmarkEnd w:id="172"/>
    </w:p>
    <w:p w14:paraId="3B404F80" w14:textId="77777777" w:rsidR="009E67D7" w:rsidRDefault="009E67D7" w:rsidP="009E67D7">
      <w:pPr>
        <w:jc w:val="both"/>
        <w:rPr>
          <w:rFonts w:cs="Calibri"/>
          <w:color w:val="000000" w:themeColor="text1"/>
        </w:rPr>
      </w:pPr>
      <w:r w:rsidRPr="009E67D7">
        <w:rPr>
          <w:rFonts w:cs="Calibri"/>
          <w:color w:val="000000" w:themeColor="text1"/>
        </w:rPr>
        <w:t xml:space="preserve">In terms of Section 53 of the Disaster Managements Act of 2002 (Act 57 of 2002), each municipality (Metropolitan, </w:t>
      </w:r>
      <w:r w:rsidR="003C03FA">
        <w:rPr>
          <w:rFonts w:cs="Calibri"/>
          <w:color w:val="000000" w:themeColor="text1"/>
        </w:rPr>
        <w:t>District</w:t>
      </w:r>
      <w:r w:rsidRPr="009E67D7">
        <w:rPr>
          <w:rFonts w:cs="Calibri"/>
          <w:color w:val="000000" w:themeColor="text1"/>
        </w:rPr>
        <w:t xml:space="preserve"> and Local) must prepare a Disaster Risk Management Plan for its area of responsibility. In order to develop a Disaster Risk Management Plan, it is necessary to conduct a Risk Analysis which will identify and </w:t>
      </w:r>
      <w:r w:rsidR="00A25189" w:rsidRPr="009E67D7">
        <w:rPr>
          <w:rFonts w:cs="Calibri"/>
          <w:color w:val="000000" w:themeColor="text1"/>
        </w:rPr>
        <w:t>priorities</w:t>
      </w:r>
      <w:r w:rsidRPr="009E67D7">
        <w:rPr>
          <w:rFonts w:cs="Calibri"/>
          <w:color w:val="000000" w:themeColor="text1"/>
        </w:rPr>
        <w:t xml:space="preserve"> potential hazards and threats that are likely to occur within the area of responsibility of the Municipality.   </w:t>
      </w:r>
      <w:r>
        <w:rPr>
          <w:rFonts w:cs="Calibri"/>
          <w:color w:val="000000" w:themeColor="text1"/>
        </w:rPr>
        <w:t xml:space="preserve">For this process to be effective, detailed </w:t>
      </w:r>
      <w:r w:rsidRPr="009E67D7">
        <w:rPr>
          <w:rFonts w:cs="Calibri"/>
          <w:color w:val="000000" w:themeColor="text1"/>
        </w:rPr>
        <w:t>indigenous knowledge</w:t>
      </w:r>
      <w:r>
        <w:rPr>
          <w:rFonts w:cs="Calibri"/>
          <w:color w:val="000000" w:themeColor="text1"/>
        </w:rPr>
        <w:t xml:space="preserve"> is to be sought from the local people in each ward</w:t>
      </w:r>
      <w:r w:rsidR="00544057">
        <w:rPr>
          <w:rFonts w:cs="Calibri"/>
          <w:color w:val="000000" w:themeColor="text1"/>
        </w:rPr>
        <w:t xml:space="preserve">. Physical inspections of each ward is also required in order to be </w:t>
      </w:r>
      <w:r w:rsidR="00703CE6">
        <w:rPr>
          <w:rFonts w:cs="Calibri"/>
          <w:color w:val="000000" w:themeColor="text1"/>
        </w:rPr>
        <w:t>acquainted</w:t>
      </w:r>
      <w:r w:rsidR="00544057">
        <w:rPr>
          <w:rFonts w:cs="Calibri"/>
          <w:color w:val="000000" w:themeColor="text1"/>
        </w:rPr>
        <w:t xml:space="preserve"> with the physical characteristics of each ward, the terrain, the altitude, environmental features and any other aspects that could have (positive or negative) implications on disasters. </w:t>
      </w:r>
    </w:p>
    <w:p w14:paraId="2D36AD7B" w14:textId="77777777" w:rsidR="00B624A9" w:rsidRDefault="00544057" w:rsidP="00395313">
      <w:pPr>
        <w:jc w:val="both"/>
        <w:rPr>
          <w:rFonts w:cs="Calibri"/>
          <w:color w:val="000000" w:themeColor="text1"/>
        </w:rPr>
      </w:pPr>
      <w:r>
        <w:rPr>
          <w:rFonts w:cs="Calibri"/>
          <w:color w:val="000000" w:themeColor="text1"/>
        </w:rPr>
        <w:t xml:space="preserve">From the above table, it is apparent that the most common risks identified by members in each community are; drought, fire, flooding, storm/tornadoes and epidemics. </w:t>
      </w:r>
      <w:r w:rsidR="007273FF">
        <w:rPr>
          <w:rFonts w:cs="Calibri"/>
          <w:color w:val="000000" w:themeColor="text1"/>
        </w:rPr>
        <w:t xml:space="preserve">Through this process of risk profiling, the municipality can now </w:t>
      </w:r>
      <w:r w:rsidR="007273FF" w:rsidRPr="007273FF">
        <w:rPr>
          <w:rFonts w:cs="Calibri"/>
          <w:color w:val="000000" w:themeColor="text1"/>
        </w:rPr>
        <w:t>give priority to developmental measures that reduce the vulnerability of disaster-prone areas, communities and households.</w:t>
      </w:r>
    </w:p>
    <w:p w14:paraId="02D3F935" w14:textId="3C0C9852" w:rsidR="0044326E" w:rsidRDefault="002D43D5" w:rsidP="00395313">
      <w:pPr>
        <w:jc w:val="both"/>
        <w:rPr>
          <w:rFonts w:cs="Calibri"/>
          <w:color w:val="000000" w:themeColor="text1"/>
        </w:rPr>
      </w:pPr>
      <w:r>
        <w:rPr>
          <w:noProof/>
        </w:rPr>
        <w:lastRenderedPageBreak/>
        <w:drawing>
          <wp:inline distT="0" distB="0" distL="0" distR="0" wp14:anchorId="4A3C67EB" wp14:editId="48982EAA">
            <wp:extent cx="6120765" cy="4485736"/>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32478" cy="4494320"/>
                    </a:xfrm>
                    <a:prstGeom prst="rect">
                      <a:avLst/>
                    </a:prstGeom>
                  </pic:spPr>
                </pic:pic>
              </a:graphicData>
            </a:graphic>
          </wp:inline>
        </w:drawing>
      </w:r>
    </w:p>
    <w:p w14:paraId="7477E1B5" w14:textId="7138CC7D" w:rsidR="002D43D5" w:rsidRDefault="002D43D5" w:rsidP="002D43D5">
      <w:pPr>
        <w:pStyle w:val="Caption"/>
        <w:rPr>
          <w:color w:val="000000" w:themeColor="text1"/>
        </w:rPr>
      </w:pPr>
      <w:r>
        <w:t xml:space="preserve">Map </w:t>
      </w:r>
      <w:r w:rsidR="00B918A6">
        <w:fldChar w:fldCharType="begin"/>
      </w:r>
      <w:r w:rsidR="00B918A6">
        <w:instrText xml:space="preserve"> SEQ Map \* ARABIC </w:instrText>
      </w:r>
      <w:r w:rsidR="00B918A6">
        <w:fldChar w:fldCharType="separate"/>
      </w:r>
      <w:r w:rsidR="0067023A">
        <w:rPr>
          <w:noProof/>
        </w:rPr>
        <w:t>12</w:t>
      </w:r>
      <w:r w:rsidR="00B918A6">
        <w:rPr>
          <w:noProof/>
        </w:rPr>
        <w:fldChar w:fldCharType="end"/>
      </w:r>
      <w:r>
        <w:t>: Disaster Incident Mapping</w:t>
      </w:r>
    </w:p>
    <w:p w14:paraId="57D28EBD" w14:textId="5582072D" w:rsidR="00055792" w:rsidRPr="00055792" w:rsidRDefault="00055792" w:rsidP="00750180">
      <w:pPr>
        <w:pStyle w:val="Heading3"/>
        <w:numPr>
          <w:ilvl w:val="2"/>
          <w:numId w:val="29"/>
        </w:numPr>
        <w:spacing w:after="240"/>
        <w:rPr>
          <w:highlight w:val="darkYellow"/>
        </w:rPr>
      </w:pPr>
      <w:bookmarkStart w:id="173" w:name="_Toc510706606"/>
      <w:r w:rsidRPr="00055792">
        <w:rPr>
          <w:highlight w:val="darkYellow"/>
        </w:rPr>
        <w:t>Safety and Security Plan</w:t>
      </w:r>
      <w:r>
        <w:rPr>
          <w:highlight w:val="darkYellow"/>
        </w:rPr>
        <w:t xml:space="preserve"> (CURRENTLY BEING DEVELOPED)</w:t>
      </w:r>
      <w:bookmarkEnd w:id="173"/>
    </w:p>
    <w:p w14:paraId="43BAD874" w14:textId="715A64C2" w:rsidR="00055792" w:rsidRPr="00055792" w:rsidRDefault="00055792" w:rsidP="00055792">
      <w:pPr>
        <w:jc w:val="both"/>
      </w:pPr>
      <w:r>
        <w:t>The Municipality is in the process of developing the Safety and Security Plan (SSP) for the entire municipal area. The plan is being developed in-house with the assistance of the Department of Community Safety and Liaison. The SSP will address issues of combating and mitigating crime and implementing strategies in ensuring the safety of the populace of the municipality.</w:t>
      </w:r>
    </w:p>
    <w:p w14:paraId="25AA1935" w14:textId="77777777" w:rsidR="00B22ED7" w:rsidRPr="004530F5" w:rsidRDefault="007273FF" w:rsidP="00750180">
      <w:pPr>
        <w:pStyle w:val="Heading3"/>
        <w:numPr>
          <w:ilvl w:val="2"/>
          <w:numId w:val="29"/>
        </w:numPr>
        <w:spacing w:after="240"/>
      </w:pPr>
      <w:bookmarkStart w:id="174" w:name="_Toc510706607"/>
      <w:r w:rsidRPr="004530F5">
        <w:t xml:space="preserve">Institutional </w:t>
      </w:r>
      <w:r w:rsidR="00B22ED7" w:rsidRPr="004530F5">
        <w:t>Arrangements for Disaster Management</w:t>
      </w:r>
      <w:bookmarkEnd w:id="174"/>
    </w:p>
    <w:p w14:paraId="0995D1B6" w14:textId="77777777" w:rsidR="00B87684" w:rsidRDefault="00B22ED7" w:rsidP="007273FF">
      <w:pPr>
        <w:jc w:val="both"/>
        <w:rPr>
          <w:rFonts w:cs="Calibri"/>
          <w:color w:val="000000" w:themeColor="text1"/>
        </w:rPr>
      </w:pPr>
      <w:r w:rsidRPr="00B22ED7">
        <w:rPr>
          <w:rFonts w:cs="Calibri"/>
          <w:color w:val="000000" w:themeColor="text1"/>
        </w:rPr>
        <w:t>Disaster Management</w:t>
      </w:r>
      <w:r>
        <w:rPr>
          <w:rFonts w:cs="Calibri"/>
          <w:color w:val="000000" w:themeColor="text1"/>
        </w:rPr>
        <w:t xml:space="preserve"> is within the </w:t>
      </w:r>
      <w:r w:rsidR="004F718F">
        <w:rPr>
          <w:rFonts w:cs="Calibri"/>
          <w:color w:val="000000" w:themeColor="text1"/>
        </w:rPr>
        <w:t>Protection Services</w:t>
      </w:r>
      <w:r w:rsidR="00252EDE">
        <w:rPr>
          <w:rFonts w:cs="Calibri"/>
          <w:color w:val="000000" w:themeColor="text1"/>
        </w:rPr>
        <w:t xml:space="preserve"> </w:t>
      </w:r>
      <w:r w:rsidR="002551B8">
        <w:rPr>
          <w:rFonts w:cs="Calibri"/>
          <w:color w:val="000000" w:themeColor="text1"/>
        </w:rPr>
        <w:t>Unit which has been merged with the Community Services Department</w:t>
      </w:r>
      <w:r w:rsidR="00252EDE">
        <w:rPr>
          <w:rFonts w:cs="Calibri"/>
          <w:color w:val="000000" w:themeColor="text1"/>
        </w:rPr>
        <w:t>.</w:t>
      </w:r>
      <w:r w:rsidR="008B6403">
        <w:rPr>
          <w:rFonts w:cs="Calibri"/>
          <w:color w:val="000000" w:themeColor="text1"/>
        </w:rPr>
        <w:t xml:space="preserve"> </w:t>
      </w:r>
      <w:r w:rsidR="00F70E51">
        <w:rPr>
          <w:rFonts w:cs="Calibri"/>
          <w:color w:val="000000" w:themeColor="text1"/>
        </w:rPr>
        <w:t xml:space="preserve">Although there is a need to capacitate the unit, the municipality has made progress in terms of filling the DMO vacancy with a suitably qualified officer to efficiently carry out disaster management functions.  The Disaster Management unit </w:t>
      </w:r>
      <w:r w:rsidR="007B4AE2">
        <w:rPr>
          <w:rFonts w:cs="Calibri"/>
          <w:color w:val="000000" w:themeColor="text1"/>
        </w:rPr>
        <w:t xml:space="preserve">(DMU) </w:t>
      </w:r>
      <w:r w:rsidR="00F70E51">
        <w:rPr>
          <w:rFonts w:cs="Calibri"/>
          <w:color w:val="000000" w:themeColor="text1"/>
        </w:rPr>
        <w:t>is also capacitated with</w:t>
      </w:r>
      <w:r w:rsidR="00B3789C">
        <w:rPr>
          <w:rFonts w:cs="Calibri"/>
          <w:color w:val="000000" w:themeColor="text1"/>
        </w:rPr>
        <w:t xml:space="preserve"> a Chief Fire Officer, Lead Fireman, </w:t>
      </w:r>
      <w:r w:rsidR="00F70E51">
        <w:rPr>
          <w:rFonts w:cs="Calibri"/>
          <w:color w:val="000000" w:themeColor="text1"/>
        </w:rPr>
        <w:t xml:space="preserve"> 10 qualified fire fighter as well as 12 cadet fire fighters. In terms of EPWP, there are contracted beneficiaries from the program who participate in </w:t>
      </w:r>
      <w:r w:rsidR="007B4AE2">
        <w:rPr>
          <w:rFonts w:cs="Calibri"/>
          <w:color w:val="000000" w:themeColor="text1"/>
        </w:rPr>
        <w:t>Working for Fire and Weed E</w:t>
      </w:r>
      <w:r w:rsidR="004F718F">
        <w:rPr>
          <w:rFonts w:cs="Calibri"/>
          <w:color w:val="000000" w:themeColor="text1"/>
        </w:rPr>
        <w:t>radication Program. The post of</w:t>
      </w:r>
      <w:r w:rsidR="007B4AE2">
        <w:rPr>
          <w:rFonts w:cs="Calibri"/>
          <w:color w:val="000000" w:themeColor="text1"/>
        </w:rPr>
        <w:t xml:space="preserve"> Manager Environmental Health has also been filled and this unit also assist the DMU in terms of environmental considerations taken when managing and preventing disasters.</w:t>
      </w:r>
    </w:p>
    <w:p w14:paraId="539AE338" w14:textId="77777777" w:rsidR="00B87684" w:rsidRPr="004530F5" w:rsidRDefault="00B87684" w:rsidP="00750180">
      <w:pPr>
        <w:pStyle w:val="Heading3"/>
        <w:numPr>
          <w:ilvl w:val="2"/>
          <w:numId w:val="29"/>
        </w:numPr>
        <w:spacing w:after="240"/>
      </w:pPr>
      <w:bookmarkStart w:id="175" w:name="_Toc510706608"/>
      <w:r w:rsidRPr="004530F5">
        <w:t xml:space="preserve">Infrastructural </w:t>
      </w:r>
      <w:r w:rsidR="007B4AE2" w:rsidRPr="004530F5">
        <w:t>Arrangements</w:t>
      </w:r>
      <w:bookmarkEnd w:id="175"/>
      <w:r w:rsidR="007B4AE2" w:rsidRPr="004530F5">
        <w:t xml:space="preserve"> </w:t>
      </w:r>
    </w:p>
    <w:p w14:paraId="780BCCB5" w14:textId="77777777" w:rsidR="00C4287E" w:rsidRDefault="007B4AE2" w:rsidP="00FA72BE">
      <w:pPr>
        <w:jc w:val="both"/>
      </w:pPr>
      <w:r w:rsidRPr="007B4AE2">
        <w:rPr>
          <w:rFonts w:cs="Calibri"/>
          <w:color w:val="000000" w:themeColor="text1"/>
        </w:rPr>
        <w:t>The uMlalazi Municipality has two fire stations situated in Gingindlovu and Eshowe. There are appeals for the municipality to establish a two satellite fire stations in Mbongolwane and KwaBulawayo.</w:t>
      </w:r>
      <w:r>
        <w:rPr>
          <w:rFonts w:cs="Calibri"/>
          <w:color w:val="000000" w:themeColor="text1"/>
        </w:rPr>
        <w:t xml:space="preserve"> The</w:t>
      </w:r>
      <w:r w:rsidR="00931814">
        <w:rPr>
          <w:rFonts w:cs="Calibri"/>
          <w:color w:val="000000" w:themeColor="text1"/>
        </w:rPr>
        <w:t xml:space="preserve"> </w:t>
      </w:r>
      <w:r>
        <w:rPr>
          <w:rFonts w:cs="Calibri"/>
          <w:color w:val="000000" w:themeColor="text1"/>
        </w:rPr>
        <w:t xml:space="preserve">main objective of the municipality is to construct new fully equipped fire and emergency service centers in Eshowe and Mtunzini which will benefit residents, businesses and the agricultural sector around these areas and the community at large. The second </w:t>
      </w:r>
      <w:r>
        <w:rPr>
          <w:rFonts w:cs="Calibri"/>
          <w:color w:val="000000" w:themeColor="text1"/>
        </w:rPr>
        <w:lastRenderedPageBreak/>
        <w:t xml:space="preserve">objective in terms disaster management is to refurbish the Gingindlovu Fire Station. These centers will ensure optimal provision of fire and rescue serves in towns and surrounding areas. The municipality has hence undertaken the process of </w:t>
      </w:r>
      <w:r w:rsidR="00931814">
        <w:rPr>
          <w:rFonts w:cs="Calibri"/>
          <w:color w:val="000000" w:themeColor="text1"/>
        </w:rPr>
        <w:t xml:space="preserve">the reconstruction of the existing fire </w:t>
      </w:r>
      <w:r w:rsidR="004F718F">
        <w:rPr>
          <w:rFonts w:cs="Calibri"/>
          <w:color w:val="000000" w:themeColor="text1"/>
        </w:rPr>
        <w:t>stations.</w:t>
      </w:r>
    </w:p>
    <w:p w14:paraId="77B93522" w14:textId="77777777" w:rsidR="00B22ED7" w:rsidRPr="00EC1AA4" w:rsidRDefault="00EC1AA4" w:rsidP="002F62F0">
      <w:pPr>
        <w:pStyle w:val="Caption"/>
      </w:pPr>
      <w:bookmarkStart w:id="176" w:name="_Toc510622261"/>
      <w:r>
        <w:t xml:space="preserve">Table </w:t>
      </w:r>
      <w:r w:rsidR="00B918A6">
        <w:fldChar w:fldCharType="begin"/>
      </w:r>
      <w:r w:rsidR="00B918A6">
        <w:instrText xml:space="preserve"> SEQ Table \* ARABIC </w:instrText>
      </w:r>
      <w:r w:rsidR="00B918A6">
        <w:fldChar w:fldCharType="separate"/>
      </w:r>
      <w:r w:rsidR="0067023A">
        <w:rPr>
          <w:noProof/>
        </w:rPr>
        <w:t>11</w:t>
      </w:r>
      <w:r w:rsidR="00B918A6">
        <w:rPr>
          <w:noProof/>
        </w:rPr>
        <w:fldChar w:fldCharType="end"/>
      </w:r>
      <w:r>
        <w:t xml:space="preserve">: </w:t>
      </w:r>
      <w:r w:rsidR="003D3843" w:rsidRPr="00EC1AA4">
        <w:t xml:space="preserve">Status of </w:t>
      </w:r>
      <w:r w:rsidR="00703CE6" w:rsidRPr="00EC1AA4">
        <w:t>Disaster</w:t>
      </w:r>
      <w:r w:rsidR="003D3843" w:rsidRPr="00EC1AA4">
        <w:t xml:space="preserve"> Management</w:t>
      </w:r>
      <w:bookmarkEnd w:id="176"/>
    </w:p>
    <w:tbl>
      <w:tblPr>
        <w:tblStyle w:val="TableGrid"/>
        <w:tblW w:w="9621" w:type="dxa"/>
        <w:tblLook w:val="0420" w:firstRow="1" w:lastRow="0" w:firstColumn="0" w:lastColumn="0" w:noHBand="0" w:noVBand="1"/>
      </w:tblPr>
      <w:tblGrid>
        <w:gridCol w:w="5098"/>
        <w:gridCol w:w="4523"/>
      </w:tblGrid>
      <w:tr w:rsidR="00095B80" w:rsidRPr="007273FF" w14:paraId="1E742CCE" w14:textId="77777777" w:rsidTr="00C4287E">
        <w:trPr>
          <w:trHeight w:val="132"/>
          <w:tblHeader/>
        </w:trPr>
        <w:tc>
          <w:tcPr>
            <w:tcW w:w="5098" w:type="dxa"/>
            <w:shd w:val="clear" w:color="auto" w:fill="DAEEF3" w:themeFill="accent5" w:themeFillTint="33"/>
            <w:vAlign w:val="center"/>
            <w:hideMark/>
          </w:tcPr>
          <w:p w14:paraId="17386372" w14:textId="77777777" w:rsidR="00095B80" w:rsidRPr="00B22ED7" w:rsidRDefault="00095B80" w:rsidP="00EC1AA4">
            <w:pPr>
              <w:pStyle w:val="NoSpacing"/>
              <w:jc w:val="center"/>
              <w:rPr>
                <w:rFonts w:ascii="Calibri" w:eastAsiaTheme="minorHAnsi" w:hAnsi="Calibri" w:cs="Calibri"/>
                <w:b/>
                <w:color w:val="000000" w:themeColor="text1"/>
                <w:sz w:val="20"/>
                <w:szCs w:val="22"/>
                <w:lang w:val="en-US"/>
              </w:rPr>
            </w:pPr>
            <w:r w:rsidRPr="00B22ED7">
              <w:rPr>
                <w:rFonts w:ascii="Calibri" w:eastAsiaTheme="minorHAnsi" w:hAnsi="Calibri" w:cs="Calibri"/>
                <w:b/>
                <w:color w:val="000000" w:themeColor="text1"/>
                <w:sz w:val="20"/>
                <w:szCs w:val="22"/>
                <w:lang w:val="en-US"/>
              </w:rPr>
              <w:t>INSTITUTIONAL INDICATORS</w:t>
            </w:r>
          </w:p>
        </w:tc>
        <w:tc>
          <w:tcPr>
            <w:tcW w:w="4523" w:type="dxa"/>
            <w:shd w:val="clear" w:color="auto" w:fill="DAEEF3" w:themeFill="accent5" w:themeFillTint="33"/>
            <w:vAlign w:val="center"/>
            <w:hideMark/>
          </w:tcPr>
          <w:p w14:paraId="694BDD42" w14:textId="77777777" w:rsidR="00095B80" w:rsidRPr="00B22ED7" w:rsidRDefault="00095B80" w:rsidP="00EC1AA4">
            <w:pPr>
              <w:pStyle w:val="NoSpacing"/>
              <w:jc w:val="center"/>
              <w:rPr>
                <w:rFonts w:ascii="Calibri" w:eastAsiaTheme="minorHAnsi" w:hAnsi="Calibri" w:cs="Calibri"/>
                <w:b/>
                <w:color w:val="000000" w:themeColor="text1"/>
                <w:sz w:val="20"/>
                <w:szCs w:val="22"/>
                <w:lang w:val="en-US"/>
              </w:rPr>
            </w:pPr>
            <w:r w:rsidRPr="00B22ED7">
              <w:rPr>
                <w:rFonts w:ascii="Calibri" w:eastAsiaTheme="minorHAnsi" w:hAnsi="Calibri" w:cs="Calibri"/>
                <w:b/>
                <w:color w:val="000000" w:themeColor="text1"/>
                <w:sz w:val="20"/>
                <w:szCs w:val="22"/>
                <w:lang w:val="en-US"/>
              </w:rPr>
              <w:t>STATUS</w:t>
            </w:r>
          </w:p>
        </w:tc>
      </w:tr>
      <w:tr w:rsidR="00095B80" w:rsidRPr="007273FF" w14:paraId="062A7C7D" w14:textId="77777777" w:rsidTr="00095B80">
        <w:trPr>
          <w:trHeight w:val="188"/>
        </w:trPr>
        <w:tc>
          <w:tcPr>
            <w:tcW w:w="5098" w:type="dxa"/>
            <w:hideMark/>
          </w:tcPr>
          <w:p w14:paraId="69E7B007" w14:textId="77777777" w:rsidR="00095B80" w:rsidRPr="00B22ED7" w:rsidRDefault="00095B80" w:rsidP="00EC1AA4">
            <w:pPr>
              <w:pStyle w:val="NoSpacing"/>
              <w:jc w:val="left"/>
              <w:rPr>
                <w:rFonts w:ascii="Calibri" w:eastAsiaTheme="minorHAnsi" w:hAnsi="Calibri" w:cs="Calibri"/>
                <w:color w:val="000000" w:themeColor="text1"/>
                <w:sz w:val="20"/>
                <w:szCs w:val="22"/>
                <w:lang w:val="en-US"/>
              </w:rPr>
            </w:pPr>
            <w:r w:rsidRPr="00B22ED7">
              <w:rPr>
                <w:rFonts w:ascii="Calibri" w:eastAsiaTheme="minorHAnsi" w:hAnsi="Calibri" w:cs="Calibri"/>
                <w:color w:val="000000" w:themeColor="text1"/>
                <w:sz w:val="20"/>
                <w:szCs w:val="22"/>
                <w:lang w:val="en-US"/>
              </w:rPr>
              <w:t>1. Disaster Management Plan</w:t>
            </w:r>
          </w:p>
        </w:tc>
        <w:tc>
          <w:tcPr>
            <w:tcW w:w="4523" w:type="dxa"/>
            <w:hideMark/>
          </w:tcPr>
          <w:p w14:paraId="7858EA89" w14:textId="77777777" w:rsidR="00095B80" w:rsidRPr="00B22ED7" w:rsidRDefault="00095B80" w:rsidP="00EC1AA4">
            <w:pPr>
              <w:pStyle w:val="NoSpacing"/>
              <w:jc w:val="left"/>
              <w:rPr>
                <w:rFonts w:ascii="Calibri" w:eastAsiaTheme="minorHAnsi" w:hAnsi="Calibri" w:cs="Calibri"/>
                <w:color w:val="000000" w:themeColor="text1"/>
                <w:sz w:val="20"/>
                <w:szCs w:val="22"/>
                <w:lang w:val="en-US"/>
              </w:rPr>
            </w:pPr>
            <w:r>
              <w:rPr>
                <w:rFonts w:ascii="Calibri" w:eastAsiaTheme="minorHAnsi" w:hAnsi="Calibri" w:cs="Calibri"/>
                <w:color w:val="000000" w:themeColor="text1"/>
                <w:sz w:val="20"/>
                <w:szCs w:val="22"/>
                <w:lang w:val="en-US"/>
              </w:rPr>
              <w:t>A</w:t>
            </w:r>
            <w:r w:rsidRPr="00B22ED7">
              <w:rPr>
                <w:rFonts w:ascii="Calibri" w:eastAsiaTheme="minorHAnsi" w:hAnsi="Calibri" w:cs="Calibri"/>
                <w:color w:val="000000" w:themeColor="text1"/>
                <w:sz w:val="20"/>
                <w:szCs w:val="22"/>
                <w:lang w:val="en-US"/>
              </w:rPr>
              <w:t>pproved 3/2013</w:t>
            </w:r>
          </w:p>
        </w:tc>
      </w:tr>
      <w:tr w:rsidR="00095B80" w:rsidRPr="007273FF" w14:paraId="31A57ADB" w14:textId="77777777" w:rsidTr="00095B80">
        <w:trPr>
          <w:trHeight w:val="241"/>
        </w:trPr>
        <w:tc>
          <w:tcPr>
            <w:tcW w:w="5098" w:type="dxa"/>
            <w:hideMark/>
          </w:tcPr>
          <w:p w14:paraId="26F67E7C" w14:textId="77777777" w:rsidR="00095B80" w:rsidRPr="00B22ED7" w:rsidRDefault="00095B80" w:rsidP="00EC1AA4">
            <w:pPr>
              <w:pStyle w:val="NoSpacing"/>
              <w:jc w:val="left"/>
              <w:rPr>
                <w:rFonts w:ascii="Calibri" w:eastAsiaTheme="minorHAnsi" w:hAnsi="Calibri" w:cs="Calibri"/>
                <w:color w:val="000000" w:themeColor="text1"/>
                <w:sz w:val="20"/>
                <w:szCs w:val="22"/>
                <w:lang w:val="en-US"/>
              </w:rPr>
            </w:pPr>
            <w:r w:rsidRPr="00B22ED7">
              <w:rPr>
                <w:rFonts w:ascii="Calibri" w:eastAsiaTheme="minorHAnsi" w:hAnsi="Calibri" w:cs="Calibri"/>
                <w:color w:val="000000" w:themeColor="text1"/>
                <w:sz w:val="20"/>
                <w:szCs w:val="22"/>
                <w:lang w:val="en-US"/>
              </w:rPr>
              <w:t>2. Disaster Management Policy Framework</w:t>
            </w:r>
          </w:p>
        </w:tc>
        <w:tc>
          <w:tcPr>
            <w:tcW w:w="4523" w:type="dxa"/>
            <w:hideMark/>
          </w:tcPr>
          <w:p w14:paraId="595F21EE" w14:textId="77777777" w:rsidR="00095B80" w:rsidRPr="00B22ED7" w:rsidRDefault="00095B80" w:rsidP="00095B80">
            <w:pPr>
              <w:pStyle w:val="NoSpacing"/>
              <w:jc w:val="left"/>
              <w:rPr>
                <w:rFonts w:ascii="Calibri" w:eastAsiaTheme="minorHAnsi" w:hAnsi="Calibri" w:cs="Calibri"/>
                <w:color w:val="000000" w:themeColor="text1"/>
                <w:sz w:val="20"/>
                <w:szCs w:val="22"/>
                <w:lang w:val="en-US"/>
              </w:rPr>
            </w:pPr>
            <w:r>
              <w:rPr>
                <w:rFonts w:ascii="Calibri" w:eastAsiaTheme="minorHAnsi" w:hAnsi="Calibri" w:cs="Calibri"/>
                <w:color w:val="000000" w:themeColor="text1"/>
                <w:sz w:val="20"/>
                <w:szCs w:val="22"/>
                <w:lang w:val="en-US"/>
              </w:rPr>
              <w:t>A</w:t>
            </w:r>
            <w:r w:rsidRPr="00B22ED7">
              <w:rPr>
                <w:rFonts w:ascii="Calibri" w:eastAsiaTheme="minorHAnsi" w:hAnsi="Calibri" w:cs="Calibri"/>
                <w:color w:val="000000" w:themeColor="text1"/>
                <w:sz w:val="20"/>
                <w:szCs w:val="22"/>
                <w:lang w:val="en-US"/>
              </w:rPr>
              <w:t>pproved 06/2012</w:t>
            </w:r>
          </w:p>
        </w:tc>
      </w:tr>
      <w:tr w:rsidR="00095B80" w:rsidRPr="007273FF" w14:paraId="2E40F8AB" w14:textId="77777777" w:rsidTr="00095B80">
        <w:trPr>
          <w:trHeight w:val="260"/>
        </w:trPr>
        <w:tc>
          <w:tcPr>
            <w:tcW w:w="5098" w:type="dxa"/>
            <w:hideMark/>
          </w:tcPr>
          <w:p w14:paraId="346703C4" w14:textId="77777777" w:rsidR="00095B80" w:rsidRPr="00B22ED7" w:rsidRDefault="00095B80" w:rsidP="00EC1AA4">
            <w:pPr>
              <w:pStyle w:val="NoSpacing"/>
              <w:jc w:val="left"/>
              <w:rPr>
                <w:rFonts w:ascii="Calibri" w:eastAsiaTheme="minorHAnsi" w:hAnsi="Calibri" w:cs="Calibri"/>
                <w:color w:val="000000" w:themeColor="text1"/>
                <w:sz w:val="20"/>
                <w:szCs w:val="22"/>
                <w:lang w:val="en-US"/>
              </w:rPr>
            </w:pPr>
            <w:r w:rsidRPr="00B22ED7">
              <w:rPr>
                <w:rFonts w:ascii="Calibri" w:eastAsiaTheme="minorHAnsi" w:hAnsi="Calibri" w:cs="Calibri"/>
                <w:color w:val="000000" w:themeColor="text1"/>
                <w:sz w:val="20"/>
                <w:szCs w:val="22"/>
                <w:lang w:val="en-US"/>
              </w:rPr>
              <w:t>3. Disaster Management Interdepartmental Committee</w:t>
            </w:r>
          </w:p>
        </w:tc>
        <w:tc>
          <w:tcPr>
            <w:tcW w:w="4523" w:type="dxa"/>
            <w:hideMark/>
          </w:tcPr>
          <w:p w14:paraId="6F0858BB" w14:textId="77777777" w:rsidR="00095B80" w:rsidRPr="00B22ED7" w:rsidRDefault="00095B80" w:rsidP="00EC1AA4">
            <w:pPr>
              <w:pStyle w:val="NoSpacing"/>
              <w:jc w:val="left"/>
              <w:rPr>
                <w:rFonts w:ascii="Calibri" w:eastAsiaTheme="minorHAnsi" w:hAnsi="Calibri" w:cs="Calibri"/>
                <w:color w:val="000000" w:themeColor="text1"/>
                <w:sz w:val="20"/>
                <w:szCs w:val="22"/>
                <w:lang w:val="en-US"/>
              </w:rPr>
            </w:pPr>
            <w:r w:rsidRPr="00B22ED7">
              <w:rPr>
                <w:rFonts w:ascii="Calibri" w:eastAsiaTheme="minorHAnsi" w:hAnsi="Calibri" w:cs="Calibri"/>
                <w:color w:val="000000" w:themeColor="text1"/>
                <w:sz w:val="20"/>
                <w:szCs w:val="22"/>
                <w:lang w:val="en-US"/>
              </w:rPr>
              <w:t xml:space="preserve">In place                                                                     </w:t>
            </w:r>
          </w:p>
        </w:tc>
      </w:tr>
      <w:tr w:rsidR="00095B80" w:rsidRPr="007273FF" w14:paraId="0AA07F44" w14:textId="77777777" w:rsidTr="00095B80">
        <w:trPr>
          <w:trHeight w:val="184"/>
        </w:trPr>
        <w:tc>
          <w:tcPr>
            <w:tcW w:w="5098" w:type="dxa"/>
            <w:hideMark/>
          </w:tcPr>
          <w:p w14:paraId="0D907FFB" w14:textId="77777777" w:rsidR="00095B80" w:rsidRPr="00B22ED7" w:rsidRDefault="00095B80" w:rsidP="00EC1AA4">
            <w:pPr>
              <w:pStyle w:val="NoSpacing"/>
              <w:jc w:val="left"/>
              <w:rPr>
                <w:rFonts w:ascii="Calibri" w:eastAsiaTheme="minorHAnsi" w:hAnsi="Calibri" w:cs="Calibri"/>
                <w:color w:val="000000" w:themeColor="text1"/>
                <w:sz w:val="20"/>
                <w:szCs w:val="22"/>
                <w:lang w:val="en-US"/>
              </w:rPr>
            </w:pPr>
            <w:r w:rsidRPr="00B22ED7">
              <w:rPr>
                <w:rFonts w:ascii="Calibri" w:eastAsiaTheme="minorHAnsi" w:hAnsi="Calibri" w:cs="Calibri"/>
                <w:color w:val="000000" w:themeColor="text1"/>
                <w:sz w:val="20"/>
                <w:szCs w:val="22"/>
                <w:lang w:val="en-US"/>
              </w:rPr>
              <w:t>4. Disaster Management Portfolio Committee</w:t>
            </w:r>
          </w:p>
        </w:tc>
        <w:tc>
          <w:tcPr>
            <w:tcW w:w="4523" w:type="dxa"/>
            <w:hideMark/>
          </w:tcPr>
          <w:p w14:paraId="7B8A7B13" w14:textId="77777777" w:rsidR="00095B80" w:rsidRPr="00B22ED7" w:rsidRDefault="00095B80" w:rsidP="00EC1AA4">
            <w:pPr>
              <w:pStyle w:val="NoSpacing"/>
              <w:jc w:val="left"/>
              <w:rPr>
                <w:rFonts w:ascii="Calibri" w:eastAsiaTheme="minorHAnsi" w:hAnsi="Calibri" w:cs="Calibri"/>
                <w:color w:val="000000" w:themeColor="text1"/>
                <w:sz w:val="20"/>
                <w:szCs w:val="22"/>
                <w:lang w:val="en-US"/>
              </w:rPr>
            </w:pPr>
            <w:r w:rsidRPr="00B22ED7">
              <w:rPr>
                <w:rFonts w:ascii="Calibri" w:eastAsiaTheme="minorHAnsi" w:hAnsi="Calibri" w:cs="Calibri"/>
                <w:color w:val="000000" w:themeColor="text1"/>
                <w:sz w:val="20"/>
                <w:szCs w:val="22"/>
                <w:lang w:val="en-US"/>
              </w:rPr>
              <w:t>In place</w:t>
            </w:r>
          </w:p>
        </w:tc>
      </w:tr>
      <w:tr w:rsidR="00095B80" w:rsidRPr="007273FF" w14:paraId="50FF6E17" w14:textId="77777777" w:rsidTr="00095B80">
        <w:trPr>
          <w:trHeight w:val="218"/>
        </w:trPr>
        <w:tc>
          <w:tcPr>
            <w:tcW w:w="5098" w:type="dxa"/>
            <w:hideMark/>
          </w:tcPr>
          <w:p w14:paraId="4A3F14D1" w14:textId="77777777" w:rsidR="00095B80" w:rsidRPr="00B22ED7" w:rsidRDefault="00095B80" w:rsidP="00EC1AA4">
            <w:pPr>
              <w:pStyle w:val="NoSpacing"/>
              <w:jc w:val="left"/>
              <w:rPr>
                <w:rFonts w:ascii="Calibri" w:eastAsiaTheme="minorHAnsi" w:hAnsi="Calibri" w:cs="Calibri"/>
                <w:color w:val="000000" w:themeColor="text1"/>
                <w:sz w:val="20"/>
                <w:szCs w:val="22"/>
                <w:lang w:val="en-US"/>
              </w:rPr>
            </w:pPr>
            <w:r w:rsidRPr="00B22ED7">
              <w:rPr>
                <w:rFonts w:ascii="Calibri" w:eastAsiaTheme="minorHAnsi" w:hAnsi="Calibri" w:cs="Calibri"/>
                <w:color w:val="000000" w:themeColor="text1"/>
                <w:sz w:val="20"/>
                <w:szCs w:val="22"/>
                <w:lang w:val="en-US"/>
              </w:rPr>
              <w:t>5. Disaster Management Advisory Forum</w:t>
            </w:r>
          </w:p>
        </w:tc>
        <w:tc>
          <w:tcPr>
            <w:tcW w:w="4523" w:type="dxa"/>
            <w:hideMark/>
          </w:tcPr>
          <w:p w14:paraId="710E69D8" w14:textId="77777777" w:rsidR="00095B80" w:rsidRPr="00B22ED7" w:rsidRDefault="00095B80" w:rsidP="00EC1AA4">
            <w:pPr>
              <w:pStyle w:val="NoSpacing"/>
              <w:jc w:val="left"/>
              <w:rPr>
                <w:rFonts w:ascii="Calibri" w:eastAsiaTheme="minorHAnsi" w:hAnsi="Calibri" w:cs="Calibri"/>
                <w:color w:val="000000" w:themeColor="text1"/>
                <w:sz w:val="20"/>
                <w:szCs w:val="22"/>
                <w:lang w:val="en-US"/>
              </w:rPr>
            </w:pPr>
            <w:r w:rsidRPr="00B22ED7">
              <w:rPr>
                <w:rFonts w:ascii="Calibri" w:eastAsiaTheme="minorHAnsi" w:hAnsi="Calibri" w:cs="Calibri"/>
                <w:color w:val="000000" w:themeColor="text1"/>
                <w:sz w:val="20"/>
                <w:szCs w:val="22"/>
                <w:lang w:val="en-US"/>
              </w:rPr>
              <w:t>Operational</w:t>
            </w:r>
          </w:p>
        </w:tc>
      </w:tr>
      <w:tr w:rsidR="00095B80" w:rsidRPr="007273FF" w14:paraId="513BF38E" w14:textId="77777777" w:rsidTr="00095B80">
        <w:trPr>
          <w:trHeight w:val="414"/>
        </w:trPr>
        <w:tc>
          <w:tcPr>
            <w:tcW w:w="5098" w:type="dxa"/>
            <w:hideMark/>
          </w:tcPr>
          <w:p w14:paraId="722F5479" w14:textId="77777777" w:rsidR="00095B80" w:rsidRPr="00095B80" w:rsidRDefault="00095B80" w:rsidP="00EC1AA4">
            <w:pPr>
              <w:pStyle w:val="NoSpacing"/>
              <w:jc w:val="left"/>
              <w:rPr>
                <w:rFonts w:ascii="Calibri" w:eastAsiaTheme="minorHAnsi" w:hAnsi="Calibri" w:cs="Calibri"/>
                <w:sz w:val="20"/>
                <w:szCs w:val="22"/>
                <w:lang w:val="en-US"/>
              </w:rPr>
            </w:pPr>
            <w:r w:rsidRPr="00095B80">
              <w:rPr>
                <w:rFonts w:ascii="Calibri" w:eastAsiaTheme="minorHAnsi" w:hAnsi="Calibri" w:cs="Calibri"/>
                <w:sz w:val="20"/>
                <w:szCs w:val="22"/>
                <w:lang w:val="en-US"/>
              </w:rPr>
              <w:t>6. Disaster Management Personnel</w:t>
            </w:r>
          </w:p>
        </w:tc>
        <w:tc>
          <w:tcPr>
            <w:tcW w:w="4523" w:type="dxa"/>
            <w:hideMark/>
          </w:tcPr>
          <w:p w14:paraId="1CC8AA48" w14:textId="77777777" w:rsidR="00B3789C" w:rsidRDefault="00B3789C" w:rsidP="00EC1AA4">
            <w:pPr>
              <w:pStyle w:val="NoSpacing"/>
              <w:jc w:val="left"/>
              <w:rPr>
                <w:rFonts w:ascii="Calibri" w:eastAsiaTheme="minorHAnsi" w:hAnsi="Calibri" w:cs="Calibri"/>
                <w:sz w:val="20"/>
                <w:szCs w:val="22"/>
                <w:lang w:val="en-US"/>
              </w:rPr>
            </w:pPr>
            <w:r>
              <w:rPr>
                <w:rFonts w:ascii="Calibri" w:eastAsiaTheme="minorHAnsi" w:hAnsi="Calibri" w:cs="Calibri"/>
                <w:sz w:val="20"/>
                <w:szCs w:val="22"/>
                <w:lang w:val="en-US"/>
              </w:rPr>
              <w:t>1 x Chief Fire Officer</w:t>
            </w:r>
          </w:p>
          <w:p w14:paraId="59395D9A" w14:textId="77777777" w:rsidR="00B3789C" w:rsidRDefault="00B3789C" w:rsidP="00EC1AA4">
            <w:pPr>
              <w:pStyle w:val="NoSpacing"/>
              <w:jc w:val="left"/>
              <w:rPr>
                <w:rFonts w:ascii="Calibri" w:eastAsiaTheme="minorHAnsi" w:hAnsi="Calibri" w:cs="Calibri"/>
                <w:sz w:val="20"/>
                <w:szCs w:val="22"/>
                <w:lang w:val="en-US"/>
              </w:rPr>
            </w:pPr>
            <w:r>
              <w:rPr>
                <w:rFonts w:ascii="Calibri" w:eastAsiaTheme="minorHAnsi" w:hAnsi="Calibri" w:cs="Calibri"/>
                <w:sz w:val="20"/>
                <w:szCs w:val="22"/>
                <w:lang w:val="en-US"/>
              </w:rPr>
              <w:t>1 x Lead Fireman</w:t>
            </w:r>
          </w:p>
          <w:p w14:paraId="08C8C7CC" w14:textId="77777777" w:rsidR="00095B80" w:rsidRPr="00095B80" w:rsidRDefault="00095B80" w:rsidP="00EC1AA4">
            <w:pPr>
              <w:pStyle w:val="NoSpacing"/>
              <w:jc w:val="left"/>
              <w:rPr>
                <w:rFonts w:ascii="Calibri" w:eastAsiaTheme="minorHAnsi" w:hAnsi="Calibri" w:cs="Calibri"/>
                <w:sz w:val="20"/>
                <w:szCs w:val="22"/>
                <w:lang w:val="en-US"/>
              </w:rPr>
            </w:pPr>
            <w:r w:rsidRPr="00095B80">
              <w:rPr>
                <w:rFonts w:ascii="Calibri" w:eastAsiaTheme="minorHAnsi" w:hAnsi="Calibri" w:cs="Calibri"/>
                <w:sz w:val="20"/>
                <w:szCs w:val="22"/>
                <w:lang w:val="en-US"/>
              </w:rPr>
              <w:t>1 x DMO</w:t>
            </w:r>
          </w:p>
          <w:p w14:paraId="19A59156" w14:textId="77777777" w:rsidR="00095B80" w:rsidRPr="00095B80" w:rsidRDefault="00095B80" w:rsidP="00EC1AA4">
            <w:pPr>
              <w:pStyle w:val="NoSpacing"/>
              <w:jc w:val="left"/>
              <w:rPr>
                <w:rFonts w:ascii="Calibri" w:eastAsiaTheme="minorHAnsi" w:hAnsi="Calibri" w:cs="Calibri"/>
                <w:sz w:val="20"/>
                <w:szCs w:val="22"/>
                <w:lang w:val="en-US"/>
              </w:rPr>
            </w:pPr>
            <w:r w:rsidRPr="00095B80">
              <w:rPr>
                <w:rFonts w:ascii="Calibri" w:eastAsiaTheme="minorHAnsi" w:hAnsi="Calibri" w:cs="Calibri"/>
                <w:sz w:val="20"/>
                <w:szCs w:val="22"/>
                <w:lang w:val="en-US"/>
              </w:rPr>
              <w:t xml:space="preserve">10 x Qualified </w:t>
            </w:r>
            <w:r w:rsidR="00A87D5E" w:rsidRPr="00095B80">
              <w:rPr>
                <w:rFonts w:ascii="Calibri" w:eastAsiaTheme="minorHAnsi" w:hAnsi="Calibri" w:cs="Calibri"/>
                <w:sz w:val="20"/>
                <w:szCs w:val="22"/>
                <w:lang w:val="en-US"/>
              </w:rPr>
              <w:t>Firefighters</w:t>
            </w:r>
          </w:p>
          <w:p w14:paraId="7FC55ADE" w14:textId="77777777" w:rsidR="00095B80" w:rsidRPr="00095B80" w:rsidRDefault="00095B80" w:rsidP="00EC1AA4">
            <w:pPr>
              <w:pStyle w:val="NoSpacing"/>
              <w:jc w:val="left"/>
              <w:rPr>
                <w:rFonts w:ascii="Calibri" w:eastAsiaTheme="minorHAnsi" w:hAnsi="Calibri" w:cs="Calibri"/>
                <w:sz w:val="20"/>
                <w:szCs w:val="22"/>
                <w:lang w:val="en-US"/>
              </w:rPr>
            </w:pPr>
            <w:r w:rsidRPr="00095B80">
              <w:rPr>
                <w:rFonts w:ascii="Calibri" w:eastAsiaTheme="minorHAnsi" w:hAnsi="Calibri" w:cs="Calibri"/>
                <w:sz w:val="20"/>
                <w:szCs w:val="22"/>
                <w:lang w:val="en-US"/>
              </w:rPr>
              <w:t>12 x Cadet Firefighters</w:t>
            </w:r>
          </w:p>
        </w:tc>
      </w:tr>
    </w:tbl>
    <w:p w14:paraId="03FB60A3" w14:textId="77777777" w:rsidR="00EC1AA4" w:rsidRPr="004530F5" w:rsidRDefault="00EC1AA4" w:rsidP="00750180">
      <w:pPr>
        <w:pStyle w:val="Heading3"/>
        <w:numPr>
          <w:ilvl w:val="2"/>
          <w:numId w:val="29"/>
        </w:numPr>
        <w:spacing w:after="240"/>
      </w:pPr>
      <w:bookmarkStart w:id="177" w:name="_Toc510706609"/>
      <w:r w:rsidRPr="004530F5">
        <w:t>Operational Plan for Disaster Management</w:t>
      </w:r>
      <w:bookmarkEnd w:id="177"/>
      <w:r w:rsidRPr="004530F5">
        <w:t xml:space="preserve"> </w:t>
      </w:r>
    </w:p>
    <w:p w14:paraId="5DB6FCB8" w14:textId="77777777" w:rsidR="00702F22" w:rsidRPr="00702F22" w:rsidRDefault="00702F22" w:rsidP="00702F22">
      <w:pPr>
        <w:jc w:val="both"/>
        <w:rPr>
          <w:rFonts w:cs="Calibri"/>
          <w:color w:val="000000" w:themeColor="text1"/>
        </w:rPr>
      </w:pPr>
      <w:r w:rsidRPr="00702F22">
        <w:rPr>
          <w:rFonts w:cs="Calibri"/>
          <w:color w:val="000000" w:themeColor="text1"/>
        </w:rPr>
        <w:t>In terms of the provisions of the uMlalazi Disaster Risk Management Polic</w:t>
      </w:r>
      <w:r>
        <w:rPr>
          <w:rFonts w:cs="Calibri"/>
          <w:color w:val="000000" w:themeColor="text1"/>
        </w:rPr>
        <w:t>y Framework, the Municipality has</w:t>
      </w:r>
      <w:r w:rsidRPr="00702F22">
        <w:rPr>
          <w:rFonts w:cs="Calibri"/>
          <w:color w:val="000000" w:themeColor="text1"/>
        </w:rPr>
        <w:t xml:space="preserve"> develop</w:t>
      </w:r>
      <w:r>
        <w:rPr>
          <w:rFonts w:cs="Calibri"/>
          <w:color w:val="000000" w:themeColor="text1"/>
        </w:rPr>
        <w:t>ed</w:t>
      </w:r>
      <w:r w:rsidRPr="00702F22">
        <w:rPr>
          <w:rFonts w:cs="Calibri"/>
          <w:color w:val="000000" w:themeColor="text1"/>
        </w:rPr>
        <w:t xml:space="preserve"> Operational Plans which are aimed at:-</w:t>
      </w:r>
    </w:p>
    <w:p w14:paraId="5009FED4" w14:textId="77777777" w:rsidR="00702F22" w:rsidRPr="00702F22" w:rsidRDefault="00702F22" w:rsidP="00750180">
      <w:pPr>
        <w:pStyle w:val="ListParagraph"/>
        <w:numPr>
          <w:ilvl w:val="0"/>
          <w:numId w:val="30"/>
        </w:numPr>
        <w:spacing w:after="0"/>
        <w:jc w:val="both"/>
        <w:rPr>
          <w:rFonts w:cs="Calibri"/>
          <w:color w:val="000000" w:themeColor="text1"/>
        </w:rPr>
      </w:pPr>
      <w:r>
        <w:rPr>
          <w:rFonts w:cs="Calibri"/>
          <w:color w:val="000000" w:themeColor="text1"/>
        </w:rPr>
        <w:t xml:space="preserve">Defining </w:t>
      </w:r>
      <w:r w:rsidRPr="00702F22">
        <w:rPr>
          <w:rFonts w:cs="Calibri"/>
          <w:color w:val="000000" w:themeColor="text1"/>
        </w:rPr>
        <w:t>Response Protocols;</w:t>
      </w:r>
    </w:p>
    <w:p w14:paraId="2A81D8A5" w14:textId="77777777" w:rsidR="00702F22" w:rsidRPr="00702F22" w:rsidRDefault="00702F22" w:rsidP="00750180">
      <w:pPr>
        <w:pStyle w:val="ListParagraph"/>
        <w:numPr>
          <w:ilvl w:val="0"/>
          <w:numId w:val="30"/>
        </w:numPr>
        <w:spacing w:after="0"/>
        <w:jc w:val="both"/>
        <w:rPr>
          <w:rFonts w:cs="Calibri"/>
          <w:color w:val="000000" w:themeColor="text1"/>
        </w:rPr>
      </w:pPr>
      <w:r w:rsidRPr="00702F22">
        <w:rPr>
          <w:rFonts w:cs="Calibri"/>
          <w:color w:val="000000" w:themeColor="text1"/>
        </w:rPr>
        <w:t>Contingency Planning</w:t>
      </w:r>
    </w:p>
    <w:p w14:paraId="5260EC4F" w14:textId="77777777" w:rsidR="00702F22" w:rsidRPr="00702F22" w:rsidRDefault="00702F22" w:rsidP="00750180">
      <w:pPr>
        <w:pStyle w:val="ListParagraph"/>
        <w:numPr>
          <w:ilvl w:val="0"/>
          <w:numId w:val="30"/>
        </w:numPr>
        <w:spacing w:after="0"/>
        <w:jc w:val="both"/>
        <w:rPr>
          <w:rFonts w:cs="Calibri"/>
          <w:color w:val="000000" w:themeColor="text1"/>
        </w:rPr>
      </w:pPr>
      <w:r w:rsidRPr="00702F22">
        <w:rPr>
          <w:rFonts w:cs="Calibri"/>
          <w:color w:val="000000" w:themeColor="text1"/>
        </w:rPr>
        <w:t>Access to Resources for:</w:t>
      </w:r>
    </w:p>
    <w:p w14:paraId="6B567FA5" w14:textId="77777777" w:rsidR="00702F22" w:rsidRPr="00702F22" w:rsidRDefault="00702F22" w:rsidP="00750180">
      <w:pPr>
        <w:pStyle w:val="ListParagraph"/>
        <w:numPr>
          <w:ilvl w:val="1"/>
          <w:numId w:val="31"/>
        </w:numPr>
        <w:spacing w:after="0"/>
        <w:jc w:val="both"/>
        <w:rPr>
          <w:rFonts w:cs="Calibri"/>
          <w:color w:val="000000" w:themeColor="text1"/>
        </w:rPr>
      </w:pPr>
      <w:r w:rsidRPr="00702F22">
        <w:rPr>
          <w:rFonts w:cs="Calibri"/>
          <w:color w:val="000000" w:themeColor="text1"/>
        </w:rPr>
        <w:t>Immediate relief;</w:t>
      </w:r>
    </w:p>
    <w:p w14:paraId="706BBAD3" w14:textId="77777777" w:rsidR="00702F22" w:rsidRPr="00702F22" w:rsidRDefault="00702F22" w:rsidP="00750180">
      <w:pPr>
        <w:pStyle w:val="ListParagraph"/>
        <w:numPr>
          <w:ilvl w:val="1"/>
          <w:numId w:val="31"/>
        </w:numPr>
        <w:spacing w:after="0"/>
        <w:jc w:val="both"/>
        <w:rPr>
          <w:rFonts w:cs="Calibri"/>
          <w:color w:val="000000" w:themeColor="text1"/>
        </w:rPr>
      </w:pPr>
      <w:r w:rsidRPr="00702F22">
        <w:rPr>
          <w:rFonts w:cs="Calibri"/>
          <w:color w:val="000000" w:themeColor="text1"/>
        </w:rPr>
        <w:t>Equipment; and</w:t>
      </w:r>
    </w:p>
    <w:p w14:paraId="6FEB216B" w14:textId="77777777" w:rsidR="00702F22" w:rsidRPr="00702F22" w:rsidRDefault="00702F22" w:rsidP="00750180">
      <w:pPr>
        <w:pStyle w:val="ListParagraph"/>
        <w:numPr>
          <w:ilvl w:val="1"/>
          <w:numId w:val="31"/>
        </w:numPr>
        <w:spacing w:after="0"/>
        <w:jc w:val="both"/>
        <w:rPr>
          <w:rFonts w:cs="Calibri"/>
          <w:color w:val="000000" w:themeColor="text1"/>
        </w:rPr>
      </w:pPr>
      <w:r w:rsidRPr="00702F22">
        <w:rPr>
          <w:rFonts w:cs="Calibri"/>
          <w:color w:val="000000" w:themeColor="text1"/>
        </w:rPr>
        <w:t>Recovery and rehabilitation.</w:t>
      </w:r>
    </w:p>
    <w:p w14:paraId="2A6DEDF3" w14:textId="77777777" w:rsidR="00702F22" w:rsidRPr="00702F22" w:rsidRDefault="00702F22" w:rsidP="00750180">
      <w:pPr>
        <w:pStyle w:val="ListParagraph"/>
        <w:numPr>
          <w:ilvl w:val="0"/>
          <w:numId w:val="30"/>
        </w:numPr>
        <w:spacing w:after="0"/>
        <w:jc w:val="both"/>
        <w:rPr>
          <w:rFonts w:cs="Calibri"/>
          <w:color w:val="000000" w:themeColor="text1"/>
        </w:rPr>
      </w:pPr>
      <w:r w:rsidRPr="00702F22">
        <w:rPr>
          <w:rFonts w:cs="Calibri"/>
          <w:color w:val="000000" w:themeColor="text1"/>
        </w:rPr>
        <w:t>Guidelines for:</w:t>
      </w:r>
    </w:p>
    <w:p w14:paraId="564E424A" w14:textId="77777777" w:rsidR="00702F22" w:rsidRPr="00702F22" w:rsidRDefault="00702F22" w:rsidP="00750180">
      <w:pPr>
        <w:pStyle w:val="ListParagraph"/>
        <w:numPr>
          <w:ilvl w:val="0"/>
          <w:numId w:val="32"/>
        </w:numPr>
        <w:spacing w:after="0"/>
        <w:jc w:val="both"/>
        <w:rPr>
          <w:rFonts w:cs="Calibri"/>
          <w:color w:val="000000" w:themeColor="text1"/>
        </w:rPr>
      </w:pPr>
      <w:r w:rsidRPr="00702F22">
        <w:rPr>
          <w:rFonts w:cs="Calibri"/>
          <w:color w:val="000000" w:themeColor="text1"/>
        </w:rPr>
        <w:t>Funding; and</w:t>
      </w:r>
    </w:p>
    <w:p w14:paraId="135207DF" w14:textId="77777777" w:rsidR="00702F22" w:rsidRPr="00702F22" w:rsidRDefault="00702F22" w:rsidP="00750180">
      <w:pPr>
        <w:pStyle w:val="ListParagraph"/>
        <w:numPr>
          <w:ilvl w:val="0"/>
          <w:numId w:val="32"/>
        </w:numPr>
        <w:spacing w:after="0"/>
        <w:jc w:val="both"/>
        <w:rPr>
          <w:rFonts w:cs="Calibri"/>
          <w:color w:val="000000" w:themeColor="text1"/>
        </w:rPr>
      </w:pPr>
      <w:r w:rsidRPr="00702F22">
        <w:rPr>
          <w:rFonts w:cs="Calibri"/>
          <w:color w:val="000000" w:themeColor="text1"/>
        </w:rPr>
        <w:t>Declaration of a Municipal State of Disaster.</w:t>
      </w:r>
    </w:p>
    <w:p w14:paraId="4D04BA92" w14:textId="77777777" w:rsidR="00CB6AC5" w:rsidRPr="004530F5" w:rsidRDefault="00EF5F14" w:rsidP="00750180">
      <w:pPr>
        <w:pStyle w:val="Heading3"/>
        <w:numPr>
          <w:ilvl w:val="2"/>
          <w:numId w:val="29"/>
        </w:numPr>
        <w:spacing w:after="240"/>
      </w:pPr>
      <w:bookmarkStart w:id="178" w:name="_Toc291152473"/>
      <w:bookmarkStart w:id="179" w:name="_Toc389739772"/>
      <w:bookmarkStart w:id="180" w:name="_Toc510706610"/>
      <w:r w:rsidRPr="004530F5">
        <w:t>Identified Role Players</w:t>
      </w:r>
      <w:bookmarkEnd w:id="178"/>
      <w:bookmarkEnd w:id="179"/>
      <w:bookmarkEnd w:id="180"/>
    </w:p>
    <w:p w14:paraId="49765498" w14:textId="77777777" w:rsidR="00CB6AC5" w:rsidRPr="00881795" w:rsidRDefault="00CB6AC5" w:rsidP="00395313">
      <w:pPr>
        <w:jc w:val="both"/>
        <w:rPr>
          <w:rFonts w:cs="Calibri"/>
          <w:color w:val="000000" w:themeColor="text1"/>
        </w:rPr>
      </w:pPr>
      <w:r w:rsidRPr="00881795">
        <w:rPr>
          <w:rFonts w:cs="Calibri"/>
          <w:color w:val="000000" w:themeColor="text1"/>
        </w:rPr>
        <w:t>The key role players in the uMlalazi Disaster Management Plan have been identified and are actively involved therein. These role players are:</w:t>
      </w:r>
    </w:p>
    <w:p w14:paraId="5B983817" w14:textId="77777777" w:rsidR="00CB6AC5" w:rsidRPr="00556FCC" w:rsidRDefault="00B629DA" w:rsidP="00E31338">
      <w:pPr>
        <w:pStyle w:val="ListParagraph"/>
        <w:numPr>
          <w:ilvl w:val="0"/>
          <w:numId w:val="1"/>
        </w:numPr>
        <w:spacing w:line="288" w:lineRule="auto"/>
        <w:jc w:val="both"/>
        <w:rPr>
          <w:szCs w:val="20"/>
        </w:rPr>
      </w:pPr>
      <w:r>
        <w:rPr>
          <w:szCs w:val="20"/>
        </w:rPr>
        <w:t>T</w:t>
      </w:r>
      <w:r w:rsidR="00CB6AC5" w:rsidRPr="00881795">
        <w:rPr>
          <w:szCs w:val="20"/>
        </w:rPr>
        <w:t xml:space="preserve">he Municipal </w:t>
      </w:r>
      <w:r w:rsidR="00CB6AC5" w:rsidRPr="00556FCC">
        <w:rPr>
          <w:szCs w:val="20"/>
        </w:rPr>
        <w:t>Manager and the five departmental managers;</w:t>
      </w:r>
    </w:p>
    <w:p w14:paraId="79ACA145" w14:textId="77777777" w:rsidR="00CB6AC5" w:rsidRPr="00556FCC" w:rsidRDefault="00B629DA" w:rsidP="00E31338">
      <w:pPr>
        <w:pStyle w:val="ListParagraph"/>
        <w:numPr>
          <w:ilvl w:val="0"/>
          <w:numId w:val="1"/>
        </w:numPr>
        <w:spacing w:line="288" w:lineRule="auto"/>
        <w:jc w:val="both"/>
        <w:rPr>
          <w:szCs w:val="20"/>
        </w:rPr>
      </w:pPr>
      <w:r w:rsidRPr="00556FCC">
        <w:rPr>
          <w:szCs w:val="20"/>
        </w:rPr>
        <w:t>The Director Community Se</w:t>
      </w:r>
      <w:r w:rsidR="009842EE" w:rsidRPr="00556FCC">
        <w:rPr>
          <w:szCs w:val="20"/>
        </w:rPr>
        <w:t>rvices</w:t>
      </w:r>
      <w:r w:rsidR="00CB6AC5" w:rsidRPr="00556FCC">
        <w:rPr>
          <w:szCs w:val="20"/>
        </w:rPr>
        <w:t xml:space="preserve"> is key </w:t>
      </w:r>
      <w:r w:rsidR="00703CE6" w:rsidRPr="00556FCC">
        <w:rPr>
          <w:szCs w:val="20"/>
        </w:rPr>
        <w:t>to</w:t>
      </w:r>
      <w:r w:rsidR="00CB6AC5" w:rsidRPr="00556FCC">
        <w:rPr>
          <w:szCs w:val="20"/>
        </w:rPr>
        <w:t xml:space="preserve"> the overall structure;</w:t>
      </w:r>
    </w:p>
    <w:p w14:paraId="6EB3C8E1" w14:textId="77777777" w:rsidR="00CB6AC5" w:rsidRPr="00556FCC" w:rsidRDefault="00B629DA" w:rsidP="00E31338">
      <w:pPr>
        <w:pStyle w:val="ListParagraph"/>
        <w:numPr>
          <w:ilvl w:val="0"/>
          <w:numId w:val="1"/>
        </w:numPr>
        <w:spacing w:line="288" w:lineRule="auto"/>
        <w:jc w:val="both"/>
        <w:rPr>
          <w:szCs w:val="20"/>
        </w:rPr>
      </w:pPr>
      <w:r w:rsidRPr="00556FCC">
        <w:rPr>
          <w:szCs w:val="20"/>
        </w:rPr>
        <w:t>Non</w:t>
      </w:r>
      <w:r w:rsidR="00CB6AC5" w:rsidRPr="00556FCC">
        <w:rPr>
          <w:szCs w:val="20"/>
        </w:rPr>
        <w:t xml:space="preserve">-governmental </w:t>
      </w:r>
      <w:r w:rsidR="00A87D5E" w:rsidRPr="00556FCC">
        <w:rPr>
          <w:szCs w:val="20"/>
        </w:rPr>
        <w:t>organizations</w:t>
      </w:r>
      <w:r w:rsidR="00CB6AC5" w:rsidRPr="00556FCC">
        <w:rPr>
          <w:szCs w:val="20"/>
        </w:rPr>
        <w:t xml:space="preserve"> (NGO’s);</w:t>
      </w:r>
    </w:p>
    <w:p w14:paraId="022E407A" w14:textId="77777777" w:rsidR="00CB6AC5" w:rsidRPr="00556FCC" w:rsidRDefault="00B629DA" w:rsidP="00E31338">
      <w:pPr>
        <w:pStyle w:val="ListParagraph"/>
        <w:numPr>
          <w:ilvl w:val="0"/>
          <w:numId w:val="1"/>
        </w:numPr>
        <w:spacing w:line="288" w:lineRule="auto"/>
        <w:jc w:val="both"/>
        <w:rPr>
          <w:szCs w:val="20"/>
        </w:rPr>
      </w:pPr>
      <w:r w:rsidRPr="00556FCC">
        <w:rPr>
          <w:szCs w:val="20"/>
        </w:rPr>
        <w:t>C</w:t>
      </w:r>
      <w:r w:rsidR="00CB6AC5" w:rsidRPr="00556FCC">
        <w:rPr>
          <w:szCs w:val="20"/>
        </w:rPr>
        <w:t>om</w:t>
      </w:r>
      <w:r w:rsidRPr="00556FCC">
        <w:rPr>
          <w:szCs w:val="20"/>
        </w:rPr>
        <w:t>munity based organization (CBO’s</w:t>
      </w:r>
      <w:r w:rsidR="00CB6AC5" w:rsidRPr="00556FCC">
        <w:rPr>
          <w:szCs w:val="20"/>
        </w:rPr>
        <w:t>);</w:t>
      </w:r>
    </w:p>
    <w:p w14:paraId="436C289D" w14:textId="77777777" w:rsidR="00CB6AC5" w:rsidRPr="00556FCC" w:rsidRDefault="00B629DA" w:rsidP="00E31338">
      <w:pPr>
        <w:pStyle w:val="ListParagraph"/>
        <w:numPr>
          <w:ilvl w:val="0"/>
          <w:numId w:val="1"/>
        </w:numPr>
        <w:spacing w:line="288" w:lineRule="auto"/>
        <w:jc w:val="both"/>
        <w:rPr>
          <w:szCs w:val="20"/>
        </w:rPr>
      </w:pPr>
      <w:r w:rsidRPr="00556FCC">
        <w:rPr>
          <w:szCs w:val="20"/>
        </w:rPr>
        <w:t>T</w:t>
      </w:r>
      <w:r w:rsidR="00CB6AC5" w:rsidRPr="00556FCC">
        <w:rPr>
          <w:szCs w:val="20"/>
        </w:rPr>
        <w:t>he South African Police Service (SAPS);</w:t>
      </w:r>
    </w:p>
    <w:p w14:paraId="275EF3E5" w14:textId="77777777" w:rsidR="00CB6AC5" w:rsidRPr="00556FCC" w:rsidRDefault="00B629DA" w:rsidP="00E31338">
      <w:pPr>
        <w:pStyle w:val="ListParagraph"/>
        <w:numPr>
          <w:ilvl w:val="0"/>
          <w:numId w:val="1"/>
        </w:numPr>
        <w:spacing w:line="288" w:lineRule="auto"/>
        <w:jc w:val="both"/>
        <w:rPr>
          <w:szCs w:val="20"/>
        </w:rPr>
      </w:pPr>
      <w:r w:rsidRPr="00556FCC">
        <w:rPr>
          <w:szCs w:val="20"/>
        </w:rPr>
        <w:t>T</w:t>
      </w:r>
      <w:r w:rsidR="00CB6AC5" w:rsidRPr="00556FCC">
        <w:rPr>
          <w:szCs w:val="20"/>
        </w:rPr>
        <w:t xml:space="preserve">he South African National </w:t>
      </w:r>
      <w:r w:rsidR="00703CE6" w:rsidRPr="00556FCC">
        <w:rPr>
          <w:szCs w:val="20"/>
        </w:rPr>
        <w:t>Defen</w:t>
      </w:r>
      <w:r w:rsidRPr="00556FCC">
        <w:rPr>
          <w:szCs w:val="20"/>
        </w:rPr>
        <w:t>c</w:t>
      </w:r>
      <w:r w:rsidR="00703CE6" w:rsidRPr="00556FCC">
        <w:rPr>
          <w:szCs w:val="20"/>
        </w:rPr>
        <w:t>e</w:t>
      </w:r>
      <w:r w:rsidR="00CB6AC5" w:rsidRPr="00556FCC">
        <w:rPr>
          <w:szCs w:val="20"/>
        </w:rPr>
        <w:t xml:space="preserve"> Force (SANDF);</w:t>
      </w:r>
    </w:p>
    <w:p w14:paraId="00BF4F0B" w14:textId="77777777" w:rsidR="00CB6AC5" w:rsidRPr="00881795" w:rsidRDefault="00B629DA" w:rsidP="00E31338">
      <w:pPr>
        <w:pStyle w:val="ListParagraph"/>
        <w:numPr>
          <w:ilvl w:val="0"/>
          <w:numId w:val="1"/>
        </w:numPr>
        <w:spacing w:line="288" w:lineRule="auto"/>
        <w:jc w:val="both"/>
        <w:rPr>
          <w:szCs w:val="20"/>
        </w:rPr>
      </w:pPr>
      <w:r w:rsidRPr="00556FCC">
        <w:rPr>
          <w:szCs w:val="20"/>
        </w:rPr>
        <w:t>P</w:t>
      </w:r>
      <w:r w:rsidR="00CB6AC5" w:rsidRPr="00556FCC">
        <w:rPr>
          <w:szCs w:val="20"/>
        </w:rPr>
        <w:t>rivate companies and enterprise</w:t>
      </w:r>
      <w:r w:rsidR="00CB6AC5" w:rsidRPr="00881795">
        <w:rPr>
          <w:szCs w:val="20"/>
        </w:rPr>
        <w:t>s; and</w:t>
      </w:r>
    </w:p>
    <w:p w14:paraId="46480AF9" w14:textId="77777777" w:rsidR="00CB6AC5" w:rsidRDefault="00703CE6" w:rsidP="00E31338">
      <w:pPr>
        <w:pStyle w:val="ListParagraph"/>
        <w:numPr>
          <w:ilvl w:val="0"/>
          <w:numId w:val="1"/>
        </w:numPr>
        <w:spacing w:line="288" w:lineRule="auto"/>
        <w:jc w:val="both"/>
        <w:rPr>
          <w:szCs w:val="20"/>
        </w:rPr>
      </w:pPr>
      <w:r w:rsidRPr="00881795">
        <w:rPr>
          <w:szCs w:val="20"/>
        </w:rPr>
        <w:t>The</w:t>
      </w:r>
      <w:r w:rsidR="00CB6AC5" w:rsidRPr="00881795">
        <w:rPr>
          <w:szCs w:val="20"/>
        </w:rPr>
        <w:t xml:space="preserve"> local commercial sector.</w:t>
      </w:r>
    </w:p>
    <w:p w14:paraId="54D9D237" w14:textId="77777777" w:rsidR="00CB6AC5" w:rsidRPr="004530F5" w:rsidRDefault="00EF5F14" w:rsidP="00750180">
      <w:pPr>
        <w:pStyle w:val="Heading3"/>
        <w:numPr>
          <w:ilvl w:val="2"/>
          <w:numId w:val="29"/>
        </w:numPr>
        <w:spacing w:after="240"/>
      </w:pPr>
      <w:bookmarkStart w:id="181" w:name="_Toc291152474"/>
      <w:bookmarkStart w:id="182" w:name="_Toc389739773"/>
      <w:bookmarkStart w:id="183" w:name="_Toc510706611"/>
      <w:r w:rsidRPr="004530F5">
        <w:t>Management Structure</w:t>
      </w:r>
      <w:bookmarkEnd w:id="181"/>
      <w:bookmarkEnd w:id="182"/>
      <w:bookmarkEnd w:id="183"/>
    </w:p>
    <w:p w14:paraId="43627287" w14:textId="77777777" w:rsidR="00CB6AC5" w:rsidRPr="00881795" w:rsidRDefault="00CB6AC5" w:rsidP="00395313">
      <w:pPr>
        <w:jc w:val="both"/>
        <w:rPr>
          <w:rFonts w:cs="Calibri"/>
          <w:color w:val="000000" w:themeColor="text1"/>
        </w:rPr>
      </w:pPr>
      <w:r w:rsidRPr="00881795">
        <w:rPr>
          <w:rFonts w:cs="Calibri"/>
          <w:color w:val="000000" w:themeColor="text1"/>
        </w:rPr>
        <w:t>The management structure for the uMlalazi Disaster Management Plan is the following:</w:t>
      </w:r>
    </w:p>
    <w:p w14:paraId="32D08A1F" w14:textId="77777777" w:rsidR="00CB6AC5" w:rsidRPr="00881795" w:rsidRDefault="00CB6AC5" w:rsidP="00E31338">
      <w:pPr>
        <w:pStyle w:val="ListParagraph"/>
        <w:numPr>
          <w:ilvl w:val="0"/>
          <w:numId w:val="1"/>
        </w:numPr>
        <w:spacing w:line="288" w:lineRule="auto"/>
        <w:jc w:val="both"/>
        <w:rPr>
          <w:szCs w:val="20"/>
        </w:rPr>
      </w:pPr>
      <w:r w:rsidRPr="00881795">
        <w:rPr>
          <w:szCs w:val="20"/>
        </w:rPr>
        <w:t>The Municipal Manager and a Management Committee consisting of senior officials of the municipality execute the core management function.</w:t>
      </w:r>
    </w:p>
    <w:p w14:paraId="054FA261" w14:textId="77777777" w:rsidR="00CB6AC5" w:rsidRPr="00881795" w:rsidRDefault="00CB6AC5" w:rsidP="00E31338">
      <w:pPr>
        <w:pStyle w:val="ListParagraph"/>
        <w:numPr>
          <w:ilvl w:val="0"/>
          <w:numId w:val="1"/>
        </w:numPr>
        <w:spacing w:line="288" w:lineRule="auto"/>
        <w:jc w:val="both"/>
        <w:rPr>
          <w:szCs w:val="20"/>
        </w:rPr>
      </w:pPr>
      <w:r w:rsidRPr="00881795">
        <w:rPr>
          <w:szCs w:val="20"/>
        </w:rPr>
        <w:lastRenderedPageBreak/>
        <w:t xml:space="preserve">A Health and Medical Committee which is headed by the Manager of Community Services and includes as members thereof the Senior Medical Superintendent of the Eshowe Provincial Hospital, the </w:t>
      </w:r>
      <w:r w:rsidR="003C03FA">
        <w:rPr>
          <w:szCs w:val="20"/>
        </w:rPr>
        <w:t>District</w:t>
      </w:r>
      <w:r w:rsidRPr="00881795">
        <w:rPr>
          <w:szCs w:val="20"/>
        </w:rPr>
        <w:t xml:space="preserve"> Surgeon, Senior Health Nurse and others.</w:t>
      </w:r>
    </w:p>
    <w:p w14:paraId="5B1511EB" w14:textId="77777777" w:rsidR="00CB6AC5" w:rsidRPr="00881795" w:rsidRDefault="00CB6AC5" w:rsidP="00E31338">
      <w:pPr>
        <w:pStyle w:val="ListParagraph"/>
        <w:numPr>
          <w:ilvl w:val="0"/>
          <w:numId w:val="1"/>
        </w:numPr>
        <w:spacing w:line="288" w:lineRule="auto"/>
        <w:jc w:val="both"/>
        <w:rPr>
          <w:szCs w:val="20"/>
        </w:rPr>
      </w:pPr>
      <w:r w:rsidRPr="00881795">
        <w:rPr>
          <w:szCs w:val="20"/>
        </w:rPr>
        <w:t xml:space="preserve">A Welfare and Relief Committee which is headed by the Manager Corporate Services of the municipality with other officials of the municipality. </w:t>
      </w:r>
    </w:p>
    <w:p w14:paraId="525D446E" w14:textId="77777777" w:rsidR="000D7D07" w:rsidRDefault="00CB6AC5" w:rsidP="00E31338">
      <w:pPr>
        <w:pStyle w:val="ListParagraph"/>
        <w:numPr>
          <w:ilvl w:val="0"/>
          <w:numId w:val="1"/>
        </w:numPr>
        <w:spacing w:line="288" w:lineRule="auto"/>
        <w:jc w:val="both"/>
        <w:rPr>
          <w:szCs w:val="20"/>
        </w:rPr>
      </w:pPr>
      <w:r w:rsidRPr="000D7D07">
        <w:rPr>
          <w:szCs w:val="20"/>
        </w:rPr>
        <w:t>A Response and Rescue Committee headed by</w:t>
      </w:r>
      <w:r w:rsidR="009842EE">
        <w:rPr>
          <w:szCs w:val="20"/>
        </w:rPr>
        <w:t xml:space="preserve"> the Director Community Services</w:t>
      </w:r>
      <w:r w:rsidRPr="000D7D07">
        <w:rPr>
          <w:szCs w:val="20"/>
        </w:rPr>
        <w:t xml:space="preserve"> of the municipality with representation thereon by the Provincial </w:t>
      </w:r>
      <w:r w:rsidR="000D7D07" w:rsidRPr="000D7D07">
        <w:rPr>
          <w:szCs w:val="20"/>
        </w:rPr>
        <w:t>Area Manager</w:t>
      </w:r>
      <w:r w:rsidRPr="000D7D07">
        <w:rPr>
          <w:szCs w:val="20"/>
        </w:rPr>
        <w:t xml:space="preserve"> of the </w:t>
      </w:r>
      <w:r w:rsidR="00A87D5E" w:rsidRPr="000D7D07">
        <w:rPr>
          <w:szCs w:val="20"/>
        </w:rPr>
        <w:t>Kwa Zulu</w:t>
      </w:r>
      <w:r w:rsidRPr="000D7D07">
        <w:rPr>
          <w:szCs w:val="20"/>
        </w:rPr>
        <w:t xml:space="preserve"> Natal Department of Transport, the Station Commissioner of the South African Police Service</w:t>
      </w:r>
      <w:r w:rsidR="000D7D07" w:rsidRPr="000D7D07">
        <w:rPr>
          <w:szCs w:val="20"/>
        </w:rPr>
        <w:t>.</w:t>
      </w:r>
      <w:r w:rsidRPr="000D7D07">
        <w:rPr>
          <w:szCs w:val="20"/>
        </w:rPr>
        <w:t xml:space="preserve"> </w:t>
      </w:r>
    </w:p>
    <w:p w14:paraId="5F17048E" w14:textId="77777777" w:rsidR="00CB6AC5" w:rsidRPr="000D7D07" w:rsidRDefault="00CB6AC5" w:rsidP="00E31338">
      <w:pPr>
        <w:pStyle w:val="ListParagraph"/>
        <w:numPr>
          <w:ilvl w:val="0"/>
          <w:numId w:val="1"/>
        </w:numPr>
        <w:spacing w:line="288" w:lineRule="auto"/>
        <w:jc w:val="both"/>
        <w:rPr>
          <w:szCs w:val="20"/>
        </w:rPr>
      </w:pPr>
      <w:r w:rsidRPr="000D7D07">
        <w:rPr>
          <w:szCs w:val="20"/>
        </w:rPr>
        <w:t xml:space="preserve">A Reconstruction Committee headed by the Manager Engineering Services of the municipality, officials of the municipality and the General Manager of the </w:t>
      </w:r>
      <w:r w:rsidR="00A87D5E" w:rsidRPr="000D7D07">
        <w:rPr>
          <w:szCs w:val="20"/>
        </w:rPr>
        <w:t>Kwa Zulu</w:t>
      </w:r>
      <w:r w:rsidRPr="000D7D07">
        <w:rPr>
          <w:szCs w:val="20"/>
        </w:rPr>
        <w:t xml:space="preserve"> Natal Department of Transport.</w:t>
      </w:r>
    </w:p>
    <w:p w14:paraId="11169833" w14:textId="77777777" w:rsidR="00CB6AC5" w:rsidRPr="00881795" w:rsidRDefault="00CB6AC5" w:rsidP="00E31338">
      <w:pPr>
        <w:pStyle w:val="ListParagraph"/>
        <w:numPr>
          <w:ilvl w:val="0"/>
          <w:numId w:val="1"/>
        </w:numPr>
        <w:spacing w:line="288" w:lineRule="auto"/>
        <w:jc w:val="both"/>
        <w:rPr>
          <w:szCs w:val="20"/>
        </w:rPr>
      </w:pPr>
      <w:r w:rsidRPr="00881795">
        <w:rPr>
          <w:szCs w:val="20"/>
        </w:rPr>
        <w:t>A Development Committee headed by the Manager Financial Services of the municipality and other officials of that department</w:t>
      </w:r>
    </w:p>
    <w:p w14:paraId="2AD9A37C" w14:textId="77777777" w:rsidR="009F0529" w:rsidRPr="004530F5" w:rsidRDefault="003600EB" w:rsidP="00750180">
      <w:pPr>
        <w:pStyle w:val="Heading3"/>
        <w:numPr>
          <w:ilvl w:val="2"/>
          <w:numId w:val="29"/>
        </w:numPr>
        <w:spacing w:after="240"/>
      </w:pPr>
      <w:bookmarkStart w:id="184" w:name="_Toc510706612"/>
      <w:r w:rsidRPr="004530F5">
        <w:t>Disaster</w:t>
      </w:r>
      <w:r w:rsidR="009F0529" w:rsidRPr="004530F5">
        <w:t xml:space="preserve"> Management SWOT Analysis</w:t>
      </w:r>
      <w:bookmarkEnd w:id="184"/>
    </w:p>
    <w:tbl>
      <w:tblPr>
        <w:tblStyle w:val="TableGrid"/>
        <w:tblW w:w="0" w:type="auto"/>
        <w:tblLook w:val="04A0" w:firstRow="1" w:lastRow="0" w:firstColumn="1" w:lastColumn="0" w:noHBand="0" w:noVBand="1"/>
      </w:tblPr>
      <w:tblGrid>
        <w:gridCol w:w="4621"/>
        <w:gridCol w:w="4621"/>
      </w:tblGrid>
      <w:tr w:rsidR="009F0529" w:rsidRPr="008F44ED" w14:paraId="3B42486A" w14:textId="77777777" w:rsidTr="00626818">
        <w:trPr>
          <w:tblHeader/>
        </w:trPr>
        <w:tc>
          <w:tcPr>
            <w:tcW w:w="4621" w:type="dxa"/>
            <w:shd w:val="clear" w:color="auto" w:fill="DAEEF3" w:themeFill="accent5" w:themeFillTint="33"/>
          </w:tcPr>
          <w:p w14:paraId="7A61A668" w14:textId="77777777" w:rsidR="009F0529" w:rsidRPr="008F44ED" w:rsidRDefault="009F0529" w:rsidP="009F0529">
            <w:pPr>
              <w:jc w:val="center"/>
              <w:rPr>
                <w:rFonts w:asciiTheme="minorHAnsi" w:hAnsiTheme="minorHAnsi"/>
                <w:b/>
                <w:lang w:val="en-ZA"/>
              </w:rPr>
            </w:pPr>
            <w:r w:rsidRPr="008F44ED">
              <w:rPr>
                <w:rFonts w:asciiTheme="minorHAnsi" w:hAnsiTheme="minorHAnsi"/>
                <w:b/>
                <w:lang w:val="en-ZA"/>
              </w:rPr>
              <w:t>STRENGTHS</w:t>
            </w:r>
          </w:p>
        </w:tc>
        <w:tc>
          <w:tcPr>
            <w:tcW w:w="4621" w:type="dxa"/>
            <w:shd w:val="clear" w:color="auto" w:fill="DAEEF3" w:themeFill="accent5" w:themeFillTint="33"/>
          </w:tcPr>
          <w:p w14:paraId="0F39E63C" w14:textId="77777777" w:rsidR="009F0529" w:rsidRPr="008F44ED" w:rsidRDefault="009F0529" w:rsidP="009F0529">
            <w:pPr>
              <w:jc w:val="center"/>
              <w:rPr>
                <w:rFonts w:asciiTheme="minorHAnsi" w:hAnsiTheme="minorHAnsi"/>
                <w:b/>
                <w:lang w:val="en-ZA"/>
              </w:rPr>
            </w:pPr>
            <w:r w:rsidRPr="008F44ED">
              <w:rPr>
                <w:rFonts w:asciiTheme="minorHAnsi" w:hAnsiTheme="minorHAnsi"/>
                <w:b/>
                <w:lang w:val="en-ZA"/>
              </w:rPr>
              <w:t>WEAKNESSES</w:t>
            </w:r>
          </w:p>
        </w:tc>
      </w:tr>
      <w:tr w:rsidR="009F0529" w:rsidRPr="008F44ED" w14:paraId="3533AE15" w14:textId="77777777" w:rsidTr="002B27F0">
        <w:tc>
          <w:tcPr>
            <w:tcW w:w="4621" w:type="dxa"/>
          </w:tcPr>
          <w:p w14:paraId="78E0E252" w14:textId="77777777" w:rsidR="009F0529" w:rsidRPr="008F44ED" w:rsidRDefault="009F0529" w:rsidP="00750180">
            <w:pPr>
              <w:numPr>
                <w:ilvl w:val="0"/>
                <w:numId w:val="51"/>
              </w:numPr>
              <w:contextualSpacing/>
              <w:rPr>
                <w:rFonts w:asciiTheme="minorHAnsi" w:hAnsiTheme="minorHAnsi"/>
                <w:lang w:val="en-ZA"/>
              </w:rPr>
            </w:pPr>
            <w:r w:rsidRPr="008F44ED">
              <w:rPr>
                <w:rFonts w:asciiTheme="minorHAnsi" w:hAnsiTheme="minorHAnsi"/>
                <w:lang w:val="en-ZA"/>
              </w:rPr>
              <w:t>Disaster Risk Management Policy Framework is effectively in place</w:t>
            </w:r>
          </w:p>
          <w:p w14:paraId="66575F7E" w14:textId="77777777" w:rsidR="009F0529" w:rsidRPr="008F44ED" w:rsidRDefault="009F0529" w:rsidP="00750180">
            <w:pPr>
              <w:numPr>
                <w:ilvl w:val="0"/>
                <w:numId w:val="51"/>
              </w:numPr>
              <w:contextualSpacing/>
              <w:rPr>
                <w:rFonts w:asciiTheme="minorHAnsi" w:hAnsiTheme="minorHAnsi"/>
                <w:lang w:val="en-ZA"/>
              </w:rPr>
            </w:pPr>
            <w:r w:rsidRPr="008F44ED">
              <w:rPr>
                <w:rFonts w:asciiTheme="minorHAnsi" w:hAnsiTheme="minorHAnsi"/>
                <w:lang w:val="en-ZA"/>
              </w:rPr>
              <w:t>Risk Assessment has been conducted to identify all Disaster Risks and have formulated a Disaster Reduction model to mitigate casual disaster risks.</w:t>
            </w:r>
          </w:p>
          <w:p w14:paraId="40F760C8" w14:textId="77777777" w:rsidR="009F0529" w:rsidRPr="008F44ED" w:rsidRDefault="009F0529" w:rsidP="00750180">
            <w:pPr>
              <w:numPr>
                <w:ilvl w:val="0"/>
                <w:numId w:val="51"/>
              </w:numPr>
              <w:contextualSpacing/>
              <w:rPr>
                <w:rFonts w:asciiTheme="minorHAnsi" w:hAnsiTheme="minorHAnsi"/>
                <w:lang w:val="en-ZA"/>
              </w:rPr>
            </w:pPr>
            <w:r w:rsidRPr="008F44ED">
              <w:rPr>
                <w:rFonts w:asciiTheme="minorHAnsi" w:hAnsiTheme="minorHAnsi"/>
                <w:lang w:val="en-ZA"/>
              </w:rPr>
              <w:t>Operational Plan effectively in place.</w:t>
            </w:r>
          </w:p>
          <w:p w14:paraId="6D48A3BB" w14:textId="77777777" w:rsidR="009F0529" w:rsidRDefault="009F0529" w:rsidP="00750180">
            <w:pPr>
              <w:numPr>
                <w:ilvl w:val="0"/>
                <w:numId w:val="51"/>
              </w:numPr>
              <w:contextualSpacing/>
              <w:rPr>
                <w:rFonts w:asciiTheme="minorHAnsi" w:hAnsiTheme="minorHAnsi"/>
                <w:lang w:val="en-ZA"/>
              </w:rPr>
            </w:pPr>
            <w:r w:rsidRPr="008F44ED">
              <w:rPr>
                <w:rFonts w:asciiTheme="minorHAnsi" w:hAnsiTheme="minorHAnsi"/>
                <w:lang w:val="en-ZA"/>
              </w:rPr>
              <w:t>10 Fire Fighters employed to combat disasters.</w:t>
            </w:r>
          </w:p>
          <w:p w14:paraId="16BE3D4A" w14:textId="77777777" w:rsidR="00AA7D71" w:rsidRPr="00AA7D71" w:rsidRDefault="00AA7D71" w:rsidP="00750180">
            <w:pPr>
              <w:numPr>
                <w:ilvl w:val="0"/>
                <w:numId w:val="51"/>
              </w:numPr>
              <w:contextualSpacing/>
              <w:rPr>
                <w:rFonts w:asciiTheme="minorHAnsi" w:hAnsiTheme="minorHAnsi"/>
                <w:lang w:val="en-ZA"/>
              </w:rPr>
            </w:pPr>
            <w:r>
              <w:rPr>
                <w:rFonts w:asciiTheme="minorHAnsi" w:hAnsiTheme="minorHAnsi"/>
                <w:lang w:val="en-ZA"/>
              </w:rPr>
              <w:t>12 Fire Cadets</w:t>
            </w:r>
          </w:p>
          <w:p w14:paraId="1B41F935" w14:textId="77777777" w:rsidR="009F0529" w:rsidRPr="008F44ED" w:rsidRDefault="009F0529" w:rsidP="00750180">
            <w:pPr>
              <w:numPr>
                <w:ilvl w:val="0"/>
                <w:numId w:val="51"/>
              </w:numPr>
              <w:contextualSpacing/>
              <w:rPr>
                <w:rFonts w:asciiTheme="minorHAnsi" w:hAnsiTheme="minorHAnsi"/>
                <w:lang w:val="en-ZA"/>
              </w:rPr>
            </w:pPr>
            <w:r w:rsidRPr="008F44ED">
              <w:rPr>
                <w:rFonts w:asciiTheme="minorHAnsi" w:hAnsiTheme="minorHAnsi"/>
                <w:lang w:val="en-ZA"/>
              </w:rPr>
              <w:t>Training provided to fire fighters</w:t>
            </w:r>
          </w:p>
          <w:p w14:paraId="4D021801" w14:textId="77777777" w:rsidR="009F0529" w:rsidRPr="008F44ED" w:rsidRDefault="009F0529" w:rsidP="00750180">
            <w:pPr>
              <w:numPr>
                <w:ilvl w:val="0"/>
                <w:numId w:val="51"/>
              </w:numPr>
              <w:contextualSpacing/>
              <w:rPr>
                <w:rFonts w:asciiTheme="minorHAnsi" w:hAnsiTheme="minorHAnsi"/>
                <w:lang w:val="en-ZA"/>
              </w:rPr>
            </w:pPr>
            <w:r w:rsidRPr="008F44ED">
              <w:rPr>
                <w:rFonts w:asciiTheme="minorHAnsi" w:hAnsiTheme="minorHAnsi"/>
                <w:lang w:val="en-ZA"/>
              </w:rPr>
              <w:t>2 active Fire stations and 3 Fire Trucks and 2 Fire Bakkies and 1 Disaster management vehicle.</w:t>
            </w:r>
          </w:p>
          <w:p w14:paraId="645FCF94" w14:textId="77777777" w:rsidR="009F0529" w:rsidRPr="008F44ED" w:rsidRDefault="009F0529" w:rsidP="00750180">
            <w:pPr>
              <w:numPr>
                <w:ilvl w:val="0"/>
                <w:numId w:val="51"/>
              </w:numPr>
              <w:contextualSpacing/>
              <w:rPr>
                <w:rFonts w:asciiTheme="minorHAnsi" w:hAnsiTheme="minorHAnsi"/>
                <w:lang w:val="en-ZA"/>
              </w:rPr>
            </w:pPr>
            <w:r w:rsidRPr="008F44ED">
              <w:rPr>
                <w:rFonts w:asciiTheme="minorHAnsi" w:hAnsiTheme="minorHAnsi"/>
                <w:lang w:val="en-ZA"/>
              </w:rPr>
              <w:t xml:space="preserve">Fire Hydrants to be install on street curbs. </w:t>
            </w:r>
          </w:p>
          <w:p w14:paraId="4AAB4C36" w14:textId="77777777" w:rsidR="009F0529" w:rsidRPr="008F44ED" w:rsidRDefault="009F0529" w:rsidP="00750180">
            <w:pPr>
              <w:numPr>
                <w:ilvl w:val="0"/>
                <w:numId w:val="51"/>
              </w:numPr>
              <w:contextualSpacing/>
              <w:rPr>
                <w:rFonts w:asciiTheme="minorHAnsi" w:hAnsiTheme="minorHAnsi"/>
                <w:lang w:val="en-ZA"/>
              </w:rPr>
            </w:pPr>
            <w:r w:rsidRPr="008F44ED">
              <w:rPr>
                <w:rFonts w:asciiTheme="minorHAnsi" w:hAnsiTheme="minorHAnsi"/>
                <w:lang w:val="en-ZA"/>
              </w:rPr>
              <w:t>Catchment Management Forum is operational.</w:t>
            </w:r>
          </w:p>
          <w:p w14:paraId="28979F97" w14:textId="77777777" w:rsidR="009F0529" w:rsidRPr="008F44ED" w:rsidRDefault="009F0529" w:rsidP="00750180">
            <w:pPr>
              <w:numPr>
                <w:ilvl w:val="0"/>
                <w:numId w:val="51"/>
              </w:numPr>
              <w:contextualSpacing/>
              <w:rPr>
                <w:rFonts w:asciiTheme="minorHAnsi" w:hAnsiTheme="minorHAnsi"/>
                <w:lang w:val="en-ZA"/>
              </w:rPr>
            </w:pPr>
            <w:r w:rsidRPr="008F44ED">
              <w:rPr>
                <w:rFonts w:asciiTheme="minorHAnsi" w:hAnsiTheme="minorHAnsi"/>
                <w:lang w:val="en-ZA"/>
              </w:rPr>
              <w:t>Budget for Humanitarian Assistance and Disaster Relief</w:t>
            </w:r>
          </w:p>
          <w:p w14:paraId="5BD233E1" w14:textId="77777777" w:rsidR="009F0529" w:rsidRPr="008F44ED" w:rsidRDefault="009F0529" w:rsidP="00750180">
            <w:pPr>
              <w:numPr>
                <w:ilvl w:val="0"/>
                <w:numId w:val="51"/>
              </w:numPr>
              <w:contextualSpacing/>
              <w:rPr>
                <w:rFonts w:asciiTheme="minorHAnsi" w:hAnsiTheme="minorHAnsi"/>
                <w:lang w:val="en-ZA"/>
              </w:rPr>
            </w:pPr>
            <w:r w:rsidRPr="008F44ED">
              <w:rPr>
                <w:rFonts w:asciiTheme="minorHAnsi" w:hAnsiTheme="minorHAnsi"/>
                <w:lang w:val="en-ZA"/>
              </w:rPr>
              <w:t>Land Use Management Scheme in place.</w:t>
            </w:r>
          </w:p>
        </w:tc>
        <w:tc>
          <w:tcPr>
            <w:tcW w:w="4621" w:type="dxa"/>
          </w:tcPr>
          <w:p w14:paraId="2A1D1847" w14:textId="77777777" w:rsidR="009F0529" w:rsidRPr="008F44ED" w:rsidRDefault="009F0529" w:rsidP="00750180">
            <w:pPr>
              <w:numPr>
                <w:ilvl w:val="0"/>
                <w:numId w:val="51"/>
              </w:numPr>
              <w:contextualSpacing/>
              <w:rPr>
                <w:rFonts w:asciiTheme="minorHAnsi" w:hAnsiTheme="minorHAnsi"/>
                <w:lang w:val="en-ZA"/>
              </w:rPr>
            </w:pPr>
            <w:r w:rsidRPr="008F44ED">
              <w:rPr>
                <w:rFonts w:asciiTheme="minorHAnsi" w:hAnsiTheme="minorHAnsi"/>
                <w:lang w:val="en-ZA"/>
              </w:rPr>
              <w:t>Funding arrangements for Disaster Management insufficient.</w:t>
            </w:r>
          </w:p>
          <w:p w14:paraId="393937F5" w14:textId="77777777" w:rsidR="009F0529" w:rsidRPr="008F44ED" w:rsidRDefault="009F0529" w:rsidP="00750180">
            <w:pPr>
              <w:numPr>
                <w:ilvl w:val="0"/>
                <w:numId w:val="51"/>
              </w:numPr>
              <w:contextualSpacing/>
              <w:rPr>
                <w:rFonts w:asciiTheme="minorHAnsi" w:hAnsiTheme="minorHAnsi"/>
                <w:lang w:val="en-ZA"/>
              </w:rPr>
            </w:pPr>
            <w:r w:rsidRPr="008F44ED">
              <w:rPr>
                <w:rFonts w:asciiTheme="minorHAnsi" w:hAnsiTheme="minorHAnsi"/>
                <w:lang w:val="en-ZA"/>
              </w:rPr>
              <w:t xml:space="preserve">Shortage of Staff </w:t>
            </w:r>
          </w:p>
          <w:p w14:paraId="63247583" w14:textId="77777777" w:rsidR="009F0529" w:rsidRPr="008F44ED" w:rsidRDefault="009F0529" w:rsidP="00750180">
            <w:pPr>
              <w:numPr>
                <w:ilvl w:val="0"/>
                <w:numId w:val="51"/>
              </w:numPr>
              <w:contextualSpacing/>
              <w:rPr>
                <w:rFonts w:asciiTheme="minorHAnsi" w:hAnsiTheme="minorHAnsi"/>
                <w:lang w:val="en-ZA"/>
              </w:rPr>
            </w:pPr>
            <w:r w:rsidRPr="008F44ED">
              <w:rPr>
                <w:rFonts w:asciiTheme="minorHAnsi" w:hAnsiTheme="minorHAnsi"/>
                <w:lang w:val="en-ZA"/>
              </w:rPr>
              <w:t xml:space="preserve">Poor Road Infrastructure in rural areas and overall topography makes rural areas inaccessible </w:t>
            </w:r>
          </w:p>
          <w:p w14:paraId="08BD15AF" w14:textId="77777777" w:rsidR="009F0529" w:rsidRPr="008F44ED" w:rsidRDefault="009F0529" w:rsidP="00750180">
            <w:pPr>
              <w:numPr>
                <w:ilvl w:val="0"/>
                <w:numId w:val="51"/>
              </w:numPr>
              <w:contextualSpacing/>
              <w:rPr>
                <w:rFonts w:asciiTheme="minorHAnsi" w:hAnsiTheme="minorHAnsi"/>
                <w:lang w:val="en-ZA"/>
              </w:rPr>
            </w:pPr>
            <w:r w:rsidRPr="008F44ED">
              <w:rPr>
                <w:rFonts w:asciiTheme="minorHAnsi" w:hAnsiTheme="minorHAnsi"/>
                <w:lang w:val="en-ZA"/>
              </w:rPr>
              <w:t>Slow Water and Sanitation projects.</w:t>
            </w:r>
          </w:p>
          <w:p w14:paraId="58F58E0C" w14:textId="77777777" w:rsidR="009F0529" w:rsidRPr="008F44ED" w:rsidRDefault="009F0529" w:rsidP="00750180">
            <w:pPr>
              <w:numPr>
                <w:ilvl w:val="0"/>
                <w:numId w:val="51"/>
              </w:numPr>
              <w:contextualSpacing/>
              <w:rPr>
                <w:rFonts w:asciiTheme="minorHAnsi" w:hAnsiTheme="minorHAnsi"/>
                <w:lang w:val="en-ZA"/>
              </w:rPr>
            </w:pPr>
            <w:r w:rsidRPr="008F44ED">
              <w:rPr>
                <w:rFonts w:asciiTheme="minorHAnsi" w:hAnsiTheme="minorHAnsi"/>
                <w:lang w:val="en-ZA"/>
              </w:rPr>
              <w:t>Unplanned allocation of TA land</w:t>
            </w:r>
          </w:p>
          <w:p w14:paraId="5F575A65" w14:textId="77777777" w:rsidR="009F0529" w:rsidRPr="008F44ED" w:rsidRDefault="009F0529" w:rsidP="00AA7D71">
            <w:pPr>
              <w:ind w:left="720"/>
              <w:contextualSpacing/>
              <w:rPr>
                <w:rFonts w:asciiTheme="minorHAnsi" w:hAnsiTheme="minorHAnsi"/>
                <w:lang w:val="en-ZA"/>
              </w:rPr>
            </w:pPr>
          </w:p>
        </w:tc>
      </w:tr>
      <w:tr w:rsidR="009F0529" w:rsidRPr="008F44ED" w14:paraId="66D8030A" w14:textId="77777777" w:rsidTr="00626818">
        <w:tc>
          <w:tcPr>
            <w:tcW w:w="4621" w:type="dxa"/>
            <w:shd w:val="clear" w:color="auto" w:fill="DAEEF3" w:themeFill="accent5" w:themeFillTint="33"/>
          </w:tcPr>
          <w:p w14:paraId="1AAA29DB" w14:textId="77777777" w:rsidR="009F0529" w:rsidRPr="008F44ED" w:rsidRDefault="009F0529" w:rsidP="009F0529">
            <w:pPr>
              <w:jc w:val="center"/>
              <w:rPr>
                <w:rFonts w:asciiTheme="minorHAnsi" w:hAnsiTheme="minorHAnsi"/>
                <w:b/>
                <w:lang w:val="en-ZA"/>
              </w:rPr>
            </w:pPr>
            <w:r w:rsidRPr="008F44ED">
              <w:rPr>
                <w:rFonts w:asciiTheme="minorHAnsi" w:hAnsiTheme="minorHAnsi"/>
                <w:b/>
                <w:lang w:val="en-ZA"/>
              </w:rPr>
              <w:t>OPPORTUNITES</w:t>
            </w:r>
          </w:p>
        </w:tc>
        <w:tc>
          <w:tcPr>
            <w:tcW w:w="4621" w:type="dxa"/>
            <w:shd w:val="clear" w:color="auto" w:fill="DAEEF3" w:themeFill="accent5" w:themeFillTint="33"/>
          </w:tcPr>
          <w:p w14:paraId="0D148251" w14:textId="77777777" w:rsidR="009F0529" w:rsidRPr="008F44ED" w:rsidRDefault="009F0529" w:rsidP="009F0529">
            <w:pPr>
              <w:jc w:val="center"/>
              <w:rPr>
                <w:rFonts w:asciiTheme="minorHAnsi" w:hAnsiTheme="minorHAnsi"/>
                <w:b/>
                <w:lang w:val="en-ZA"/>
              </w:rPr>
            </w:pPr>
            <w:r w:rsidRPr="008F44ED">
              <w:rPr>
                <w:rFonts w:asciiTheme="minorHAnsi" w:hAnsiTheme="minorHAnsi"/>
                <w:b/>
                <w:lang w:val="en-ZA"/>
              </w:rPr>
              <w:t>THREATS</w:t>
            </w:r>
          </w:p>
        </w:tc>
      </w:tr>
      <w:tr w:rsidR="009F0529" w:rsidRPr="008F44ED" w14:paraId="054ECDD5" w14:textId="77777777" w:rsidTr="002B27F0">
        <w:tc>
          <w:tcPr>
            <w:tcW w:w="4621" w:type="dxa"/>
          </w:tcPr>
          <w:p w14:paraId="07F97785" w14:textId="77777777" w:rsidR="009F0529" w:rsidRPr="008F44ED" w:rsidRDefault="009F0529" w:rsidP="00750180">
            <w:pPr>
              <w:numPr>
                <w:ilvl w:val="0"/>
                <w:numId w:val="53"/>
              </w:numPr>
              <w:contextualSpacing/>
              <w:rPr>
                <w:rFonts w:asciiTheme="minorHAnsi" w:hAnsiTheme="minorHAnsi"/>
                <w:lang w:val="en-ZA"/>
              </w:rPr>
            </w:pPr>
            <w:r w:rsidRPr="008F44ED">
              <w:rPr>
                <w:rFonts w:asciiTheme="minorHAnsi" w:hAnsiTheme="minorHAnsi"/>
                <w:lang w:val="en-ZA"/>
              </w:rPr>
              <w:t>Rural Fire prevention programs</w:t>
            </w:r>
          </w:p>
          <w:p w14:paraId="086AD77A" w14:textId="77777777" w:rsidR="009F0529" w:rsidRPr="008F44ED" w:rsidRDefault="009F0529" w:rsidP="00750180">
            <w:pPr>
              <w:numPr>
                <w:ilvl w:val="0"/>
                <w:numId w:val="53"/>
              </w:numPr>
              <w:contextualSpacing/>
              <w:rPr>
                <w:rFonts w:asciiTheme="minorHAnsi" w:hAnsiTheme="minorHAnsi"/>
                <w:lang w:val="en-ZA"/>
              </w:rPr>
            </w:pPr>
            <w:r w:rsidRPr="008F44ED">
              <w:rPr>
                <w:rFonts w:asciiTheme="minorHAnsi" w:hAnsiTheme="minorHAnsi"/>
                <w:lang w:val="en-ZA"/>
              </w:rPr>
              <w:t>Upgrading of Fire fighting/ Disaster infrastructure.</w:t>
            </w:r>
          </w:p>
          <w:p w14:paraId="05D9129B" w14:textId="77777777" w:rsidR="009F0529" w:rsidRPr="008F44ED" w:rsidRDefault="009F0529" w:rsidP="00750180">
            <w:pPr>
              <w:numPr>
                <w:ilvl w:val="0"/>
                <w:numId w:val="53"/>
              </w:numPr>
              <w:contextualSpacing/>
              <w:rPr>
                <w:rFonts w:asciiTheme="minorHAnsi" w:hAnsiTheme="minorHAnsi"/>
                <w:lang w:val="en-ZA"/>
              </w:rPr>
            </w:pPr>
            <w:r w:rsidRPr="008F44ED">
              <w:rPr>
                <w:rFonts w:asciiTheme="minorHAnsi" w:hAnsiTheme="minorHAnsi"/>
                <w:lang w:val="en-ZA"/>
              </w:rPr>
              <w:t>EPWP Programs (Working on Fire, Food for waste,)</w:t>
            </w:r>
          </w:p>
          <w:p w14:paraId="73AB6905" w14:textId="77777777" w:rsidR="009F0529" w:rsidRPr="008F44ED" w:rsidRDefault="009F0529" w:rsidP="00750180">
            <w:pPr>
              <w:numPr>
                <w:ilvl w:val="0"/>
                <w:numId w:val="53"/>
              </w:numPr>
              <w:contextualSpacing/>
              <w:rPr>
                <w:rFonts w:asciiTheme="minorHAnsi" w:hAnsiTheme="minorHAnsi"/>
                <w:lang w:val="en-ZA"/>
              </w:rPr>
            </w:pPr>
            <w:r w:rsidRPr="008F44ED">
              <w:rPr>
                <w:rFonts w:asciiTheme="minorHAnsi" w:hAnsiTheme="minorHAnsi"/>
                <w:lang w:val="en-ZA"/>
              </w:rPr>
              <w:t>OSS flagship program.</w:t>
            </w:r>
          </w:p>
          <w:p w14:paraId="11E8E52C" w14:textId="77777777" w:rsidR="009F0529" w:rsidRPr="008F44ED" w:rsidRDefault="009F0529" w:rsidP="00750180">
            <w:pPr>
              <w:numPr>
                <w:ilvl w:val="0"/>
                <w:numId w:val="53"/>
              </w:numPr>
              <w:contextualSpacing/>
              <w:rPr>
                <w:rFonts w:asciiTheme="minorHAnsi" w:hAnsiTheme="minorHAnsi"/>
                <w:lang w:val="en-ZA"/>
              </w:rPr>
            </w:pPr>
            <w:r w:rsidRPr="008F44ED">
              <w:rPr>
                <w:rFonts w:asciiTheme="minorHAnsi" w:hAnsiTheme="minorHAnsi"/>
                <w:lang w:val="en-ZA"/>
              </w:rPr>
              <w:t>Awareness Campaigns in Communities and schools.</w:t>
            </w:r>
          </w:p>
          <w:p w14:paraId="2EAC824E" w14:textId="77777777" w:rsidR="009F0529" w:rsidRPr="008F44ED" w:rsidRDefault="009F0529" w:rsidP="00750180">
            <w:pPr>
              <w:numPr>
                <w:ilvl w:val="0"/>
                <w:numId w:val="53"/>
              </w:numPr>
              <w:contextualSpacing/>
              <w:rPr>
                <w:rFonts w:asciiTheme="minorHAnsi" w:hAnsiTheme="minorHAnsi"/>
                <w:lang w:val="en-ZA"/>
              </w:rPr>
            </w:pPr>
            <w:r w:rsidRPr="008F44ED">
              <w:rPr>
                <w:rFonts w:asciiTheme="minorHAnsi" w:hAnsiTheme="minorHAnsi"/>
                <w:lang w:val="en-ZA"/>
              </w:rPr>
              <w:t>Rural Housing Developments</w:t>
            </w:r>
          </w:p>
          <w:p w14:paraId="2B0FC274" w14:textId="77777777" w:rsidR="009F0529" w:rsidRPr="008F44ED" w:rsidRDefault="009F0529" w:rsidP="00750180">
            <w:pPr>
              <w:numPr>
                <w:ilvl w:val="0"/>
                <w:numId w:val="53"/>
              </w:numPr>
              <w:contextualSpacing/>
              <w:rPr>
                <w:rFonts w:asciiTheme="minorHAnsi" w:hAnsiTheme="minorHAnsi"/>
                <w:lang w:val="en-ZA"/>
              </w:rPr>
            </w:pPr>
            <w:r w:rsidRPr="008F44ED">
              <w:rPr>
                <w:rFonts w:asciiTheme="minorHAnsi" w:hAnsiTheme="minorHAnsi"/>
                <w:lang w:val="en-ZA"/>
              </w:rPr>
              <w:t>Fast track electrification projects</w:t>
            </w:r>
          </w:p>
          <w:p w14:paraId="16A3A6FF" w14:textId="77777777" w:rsidR="009F0529" w:rsidRPr="008F44ED" w:rsidRDefault="009F0529" w:rsidP="00750180">
            <w:pPr>
              <w:numPr>
                <w:ilvl w:val="0"/>
                <w:numId w:val="53"/>
              </w:numPr>
              <w:contextualSpacing/>
              <w:rPr>
                <w:rFonts w:asciiTheme="minorHAnsi" w:hAnsiTheme="minorHAnsi"/>
                <w:lang w:val="en-ZA"/>
              </w:rPr>
            </w:pPr>
            <w:r w:rsidRPr="008F44ED">
              <w:rPr>
                <w:rFonts w:asciiTheme="minorHAnsi" w:hAnsiTheme="minorHAnsi"/>
                <w:lang w:val="en-ZA"/>
              </w:rPr>
              <w:t>Satellite fire station.</w:t>
            </w:r>
          </w:p>
          <w:p w14:paraId="1F4A49B9" w14:textId="77777777" w:rsidR="009F0529" w:rsidRPr="008F44ED" w:rsidRDefault="003600EB" w:rsidP="00750180">
            <w:pPr>
              <w:numPr>
                <w:ilvl w:val="0"/>
                <w:numId w:val="53"/>
              </w:numPr>
              <w:contextualSpacing/>
              <w:rPr>
                <w:rFonts w:asciiTheme="minorHAnsi" w:hAnsiTheme="minorHAnsi"/>
                <w:lang w:val="en-ZA"/>
              </w:rPr>
            </w:pPr>
            <w:r w:rsidRPr="008F44ED">
              <w:rPr>
                <w:rFonts w:asciiTheme="minorHAnsi" w:hAnsiTheme="minorHAnsi"/>
                <w:lang w:val="en-ZA"/>
              </w:rPr>
              <w:t>Sidewalks</w:t>
            </w:r>
            <w:r w:rsidR="009F0529" w:rsidRPr="008F44ED">
              <w:rPr>
                <w:rFonts w:asciiTheme="minorHAnsi" w:hAnsiTheme="minorHAnsi"/>
                <w:lang w:val="en-ZA"/>
              </w:rPr>
              <w:t xml:space="preserve"> to prevent road accidents.</w:t>
            </w:r>
          </w:p>
          <w:p w14:paraId="7FFB03D0" w14:textId="77777777" w:rsidR="009F0529" w:rsidRPr="008F44ED" w:rsidRDefault="009F0529" w:rsidP="00750180">
            <w:pPr>
              <w:numPr>
                <w:ilvl w:val="0"/>
                <w:numId w:val="53"/>
              </w:numPr>
              <w:contextualSpacing/>
              <w:rPr>
                <w:rFonts w:asciiTheme="minorHAnsi" w:hAnsiTheme="minorHAnsi"/>
                <w:lang w:val="en-ZA"/>
              </w:rPr>
            </w:pPr>
            <w:r w:rsidRPr="008F44ED">
              <w:rPr>
                <w:rFonts w:asciiTheme="minorHAnsi" w:hAnsiTheme="minorHAnsi"/>
                <w:lang w:val="en-ZA"/>
              </w:rPr>
              <w:t>Installation of lightning conductors.</w:t>
            </w:r>
          </w:p>
          <w:p w14:paraId="5BCE38F3" w14:textId="77777777" w:rsidR="009F0529" w:rsidRPr="008F44ED" w:rsidRDefault="009F0529" w:rsidP="00750180">
            <w:pPr>
              <w:numPr>
                <w:ilvl w:val="0"/>
                <w:numId w:val="53"/>
              </w:numPr>
              <w:contextualSpacing/>
              <w:rPr>
                <w:rFonts w:asciiTheme="minorHAnsi" w:hAnsiTheme="minorHAnsi"/>
                <w:lang w:val="en-ZA"/>
              </w:rPr>
            </w:pPr>
          </w:p>
          <w:p w14:paraId="116B9BD2" w14:textId="77777777" w:rsidR="009F0529" w:rsidRPr="008F44ED" w:rsidRDefault="009F0529" w:rsidP="009F0529">
            <w:pPr>
              <w:rPr>
                <w:rFonts w:asciiTheme="minorHAnsi" w:hAnsiTheme="minorHAnsi"/>
                <w:lang w:val="en-ZA"/>
              </w:rPr>
            </w:pPr>
          </w:p>
        </w:tc>
        <w:tc>
          <w:tcPr>
            <w:tcW w:w="4621" w:type="dxa"/>
          </w:tcPr>
          <w:p w14:paraId="68457D16" w14:textId="77777777" w:rsidR="009F0529" w:rsidRPr="008F44ED" w:rsidRDefault="009F0529" w:rsidP="00750180">
            <w:pPr>
              <w:numPr>
                <w:ilvl w:val="0"/>
                <w:numId w:val="52"/>
              </w:numPr>
              <w:contextualSpacing/>
              <w:rPr>
                <w:rFonts w:asciiTheme="minorHAnsi" w:hAnsiTheme="minorHAnsi"/>
                <w:lang w:val="en-ZA"/>
              </w:rPr>
            </w:pPr>
            <w:r w:rsidRPr="008F44ED">
              <w:rPr>
                <w:rFonts w:asciiTheme="minorHAnsi" w:hAnsiTheme="minorHAnsi"/>
                <w:lang w:val="en-ZA"/>
              </w:rPr>
              <w:t>Water shortage/Drought</w:t>
            </w:r>
          </w:p>
          <w:p w14:paraId="4CDC9EDE" w14:textId="77777777" w:rsidR="009F0529" w:rsidRPr="008F44ED" w:rsidRDefault="009F0529" w:rsidP="00750180">
            <w:pPr>
              <w:numPr>
                <w:ilvl w:val="0"/>
                <w:numId w:val="52"/>
              </w:numPr>
              <w:contextualSpacing/>
              <w:rPr>
                <w:rFonts w:asciiTheme="minorHAnsi" w:hAnsiTheme="minorHAnsi"/>
                <w:lang w:val="en-ZA"/>
              </w:rPr>
            </w:pPr>
            <w:r w:rsidRPr="008F44ED">
              <w:rPr>
                <w:rFonts w:asciiTheme="minorHAnsi" w:hAnsiTheme="minorHAnsi"/>
                <w:lang w:val="en-ZA"/>
              </w:rPr>
              <w:t>Alien weeds in rivers</w:t>
            </w:r>
          </w:p>
          <w:p w14:paraId="46C77760" w14:textId="77777777" w:rsidR="009F0529" w:rsidRPr="008F44ED" w:rsidRDefault="009F0529" w:rsidP="00750180">
            <w:pPr>
              <w:numPr>
                <w:ilvl w:val="0"/>
                <w:numId w:val="52"/>
              </w:numPr>
              <w:contextualSpacing/>
              <w:rPr>
                <w:rFonts w:asciiTheme="minorHAnsi" w:hAnsiTheme="minorHAnsi"/>
                <w:lang w:val="en-ZA"/>
              </w:rPr>
            </w:pPr>
            <w:r w:rsidRPr="008F44ED">
              <w:rPr>
                <w:rFonts w:asciiTheme="minorHAnsi" w:hAnsiTheme="minorHAnsi"/>
                <w:lang w:val="en-ZA"/>
              </w:rPr>
              <w:t>(Sugar Cane) Fires</w:t>
            </w:r>
          </w:p>
          <w:p w14:paraId="6D3B77B6" w14:textId="77777777" w:rsidR="009F0529" w:rsidRPr="008F44ED" w:rsidRDefault="009F0529" w:rsidP="00750180">
            <w:pPr>
              <w:numPr>
                <w:ilvl w:val="0"/>
                <w:numId w:val="52"/>
              </w:numPr>
              <w:contextualSpacing/>
              <w:rPr>
                <w:rFonts w:asciiTheme="minorHAnsi" w:hAnsiTheme="minorHAnsi"/>
                <w:lang w:val="en-ZA"/>
              </w:rPr>
            </w:pPr>
            <w:r w:rsidRPr="008F44ED">
              <w:rPr>
                <w:rFonts w:asciiTheme="minorHAnsi" w:hAnsiTheme="minorHAnsi"/>
                <w:lang w:val="en-ZA"/>
              </w:rPr>
              <w:t>Slums/Informal Settlements – unsafe practices.</w:t>
            </w:r>
          </w:p>
          <w:p w14:paraId="1D6C7928" w14:textId="77777777" w:rsidR="009F0529" w:rsidRPr="008F44ED" w:rsidRDefault="009F0529" w:rsidP="00750180">
            <w:pPr>
              <w:numPr>
                <w:ilvl w:val="0"/>
                <w:numId w:val="52"/>
              </w:numPr>
              <w:contextualSpacing/>
              <w:rPr>
                <w:rFonts w:asciiTheme="minorHAnsi" w:hAnsiTheme="minorHAnsi"/>
                <w:lang w:val="en-ZA"/>
              </w:rPr>
            </w:pPr>
            <w:r w:rsidRPr="008F44ED">
              <w:rPr>
                <w:rFonts w:asciiTheme="minorHAnsi" w:hAnsiTheme="minorHAnsi"/>
                <w:lang w:val="en-ZA"/>
              </w:rPr>
              <w:t xml:space="preserve">Crime </w:t>
            </w:r>
          </w:p>
          <w:p w14:paraId="6570A6B5" w14:textId="77777777" w:rsidR="009F0529" w:rsidRPr="008F44ED" w:rsidRDefault="009F0529" w:rsidP="00750180">
            <w:pPr>
              <w:numPr>
                <w:ilvl w:val="0"/>
                <w:numId w:val="52"/>
              </w:numPr>
              <w:contextualSpacing/>
              <w:rPr>
                <w:rFonts w:asciiTheme="minorHAnsi" w:hAnsiTheme="minorHAnsi"/>
                <w:lang w:val="en-ZA"/>
              </w:rPr>
            </w:pPr>
            <w:r w:rsidRPr="008F44ED">
              <w:rPr>
                <w:rFonts w:asciiTheme="minorHAnsi" w:hAnsiTheme="minorHAnsi"/>
                <w:lang w:val="en-ZA"/>
              </w:rPr>
              <w:t>Road Accidents.</w:t>
            </w:r>
          </w:p>
          <w:p w14:paraId="2DB849EB" w14:textId="77777777" w:rsidR="009F0529" w:rsidRPr="008F44ED" w:rsidRDefault="009F0529" w:rsidP="00750180">
            <w:pPr>
              <w:numPr>
                <w:ilvl w:val="0"/>
                <w:numId w:val="52"/>
              </w:numPr>
              <w:contextualSpacing/>
              <w:rPr>
                <w:rFonts w:asciiTheme="minorHAnsi" w:hAnsiTheme="minorHAnsi"/>
                <w:lang w:val="en-ZA"/>
              </w:rPr>
            </w:pPr>
            <w:r w:rsidRPr="008F44ED">
              <w:rPr>
                <w:rFonts w:asciiTheme="minorHAnsi" w:hAnsiTheme="minorHAnsi"/>
                <w:lang w:val="en-ZA"/>
              </w:rPr>
              <w:t>Some rural households rely on candles for lighting and fire for cooking.</w:t>
            </w:r>
          </w:p>
          <w:p w14:paraId="11F87FE2" w14:textId="77777777" w:rsidR="009F0529" w:rsidRPr="008F44ED" w:rsidRDefault="009F0529" w:rsidP="00750180">
            <w:pPr>
              <w:numPr>
                <w:ilvl w:val="0"/>
                <w:numId w:val="52"/>
              </w:numPr>
              <w:contextualSpacing/>
              <w:rPr>
                <w:rFonts w:asciiTheme="minorHAnsi" w:hAnsiTheme="minorHAnsi"/>
                <w:lang w:val="en-ZA"/>
              </w:rPr>
            </w:pPr>
            <w:r w:rsidRPr="008F44ED">
              <w:rPr>
                <w:rFonts w:asciiTheme="minorHAnsi" w:hAnsiTheme="minorHAnsi"/>
                <w:lang w:val="en-ZA"/>
              </w:rPr>
              <w:t>Climate Change</w:t>
            </w:r>
          </w:p>
        </w:tc>
      </w:tr>
    </w:tbl>
    <w:p w14:paraId="3B3B17DB" w14:textId="77777777" w:rsidR="00C4287E" w:rsidRDefault="00C4287E" w:rsidP="00C4287E">
      <w:bookmarkStart w:id="185" w:name="_Toc389739774"/>
    </w:p>
    <w:p w14:paraId="650EFE3A" w14:textId="77777777" w:rsidR="0037082E" w:rsidRPr="00EC1AA4" w:rsidRDefault="0037082E" w:rsidP="00750180">
      <w:pPr>
        <w:pStyle w:val="Heading2"/>
        <w:numPr>
          <w:ilvl w:val="1"/>
          <w:numId w:val="29"/>
        </w:numPr>
      </w:pPr>
      <w:bookmarkStart w:id="186" w:name="_Toc510706613"/>
      <w:r w:rsidRPr="00EC1AA4">
        <w:lastRenderedPageBreak/>
        <w:t>DEMOGRAPHIC CHARACTERISTICS</w:t>
      </w:r>
      <w:bookmarkEnd w:id="185"/>
      <w:bookmarkEnd w:id="186"/>
    </w:p>
    <w:p w14:paraId="0B3BF6D4" w14:textId="77777777" w:rsidR="0037082E" w:rsidRPr="004530F5" w:rsidRDefault="00897642" w:rsidP="00750180">
      <w:pPr>
        <w:pStyle w:val="Heading3"/>
        <w:numPr>
          <w:ilvl w:val="2"/>
          <w:numId w:val="29"/>
        </w:numPr>
      </w:pPr>
      <w:bookmarkStart w:id="187" w:name="_Toc389739775"/>
      <w:bookmarkStart w:id="188" w:name="_Toc510706614"/>
      <w:r w:rsidRPr="004530F5">
        <w:t>Demographic Indicators</w:t>
      </w:r>
      <w:bookmarkEnd w:id="187"/>
      <w:bookmarkEnd w:id="188"/>
    </w:p>
    <w:p w14:paraId="1678CAE1" w14:textId="77777777" w:rsidR="00423134" w:rsidRDefault="00423134" w:rsidP="00750180">
      <w:pPr>
        <w:pStyle w:val="Heading4"/>
        <w:numPr>
          <w:ilvl w:val="3"/>
          <w:numId w:val="29"/>
        </w:numPr>
      </w:pPr>
      <w:bookmarkStart w:id="189" w:name="_Toc350093406"/>
      <w:bookmarkStart w:id="190" w:name="_Toc389739776"/>
      <w:r w:rsidRPr="004530F5">
        <w:t>Population Size</w:t>
      </w:r>
      <w:bookmarkEnd w:id="189"/>
      <w:bookmarkEnd w:id="190"/>
    </w:p>
    <w:tbl>
      <w:tblPr>
        <w:tblStyle w:val="PlainTable11"/>
        <w:tblW w:w="5128" w:type="pct"/>
        <w:tblLook w:val="04A0" w:firstRow="1" w:lastRow="0" w:firstColumn="1" w:lastColumn="0" w:noHBand="0" w:noVBand="1"/>
      </w:tblPr>
      <w:tblGrid>
        <w:gridCol w:w="2205"/>
        <w:gridCol w:w="1014"/>
        <w:gridCol w:w="1046"/>
        <w:gridCol w:w="1330"/>
        <w:gridCol w:w="901"/>
        <w:gridCol w:w="1268"/>
        <w:gridCol w:w="1269"/>
        <w:gridCol w:w="843"/>
      </w:tblGrid>
      <w:tr w:rsidR="00AB3846" w:rsidRPr="00AB3846" w14:paraId="579B62CA" w14:textId="77777777" w:rsidTr="00AB3846">
        <w:trPr>
          <w:cnfStyle w:val="100000000000" w:firstRow="1" w:lastRow="0" w:firstColumn="0" w:lastColumn="0" w:oddVBand="0" w:evenVBand="0" w:oddHBand="0"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1124" w:type="pct"/>
            <w:shd w:val="clear" w:color="auto" w:fill="000000" w:themeFill="text1"/>
            <w:hideMark/>
          </w:tcPr>
          <w:p w14:paraId="330BE57E" w14:textId="77777777" w:rsidR="00AB3846" w:rsidRPr="00AB3846" w:rsidRDefault="00AB3846" w:rsidP="00AB3846">
            <w:pPr>
              <w:rPr>
                <w:rFonts w:ascii="Arial" w:eastAsia="Times New Roman" w:hAnsi="Arial" w:cs="Arial"/>
                <w:sz w:val="16"/>
                <w:szCs w:val="20"/>
                <w:lang w:eastAsia="en-ZA"/>
              </w:rPr>
            </w:pPr>
            <w:r w:rsidRPr="00AB3846">
              <w:rPr>
                <w:rFonts w:ascii="Arial" w:eastAsia="Times New Roman" w:hAnsi="Arial" w:cs="Arial"/>
                <w:sz w:val="16"/>
                <w:szCs w:val="20"/>
                <w:lang w:eastAsia="en-ZA"/>
              </w:rPr>
              <w:t>Population group of Head</w:t>
            </w:r>
          </w:p>
        </w:tc>
        <w:tc>
          <w:tcPr>
            <w:tcW w:w="521" w:type="pct"/>
            <w:shd w:val="clear" w:color="auto" w:fill="000000" w:themeFill="text1"/>
            <w:hideMark/>
          </w:tcPr>
          <w:p w14:paraId="6A6FDEC0" w14:textId="77777777" w:rsidR="00AB3846" w:rsidRPr="00AB3846" w:rsidRDefault="00AB3846" w:rsidP="00AB384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Black African</w:t>
            </w:r>
          </w:p>
        </w:tc>
        <w:tc>
          <w:tcPr>
            <w:tcW w:w="537" w:type="pct"/>
            <w:shd w:val="clear" w:color="auto" w:fill="000000" w:themeFill="text1"/>
            <w:hideMark/>
          </w:tcPr>
          <w:p w14:paraId="60C14CA1" w14:textId="77777777" w:rsidR="00AB3846" w:rsidRPr="00AB3846" w:rsidRDefault="00AB3846" w:rsidP="00AB384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Coloured</w:t>
            </w:r>
          </w:p>
        </w:tc>
        <w:tc>
          <w:tcPr>
            <w:tcW w:w="681" w:type="pct"/>
            <w:shd w:val="clear" w:color="auto" w:fill="000000" w:themeFill="text1"/>
            <w:hideMark/>
          </w:tcPr>
          <w:p w14:paraId="72A5B75E" w14:textId="77777777" w:rsidR="00AB3846" w:rsidRPr="00AB3846" w:rsidRDefault="00AB3846" w:rsidP="00AB384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Indian/Asian</w:t>
            </w:r>
          </w:p>
        </w:tc>
        <w:tc>
          <w:tcPr>
            <w:tcW w:w="464" w:type="pct"/>
            <w:shd w:val="clear" w:color="auto" w:fill="000000" w:themeFill="text1"/>
            <w:hideMark/>
          </w:tcPr>
          <w:p w14:paraId="5A788D27" w14:textId="77777777" w:rsidR="00AB3846" w:rsidRPr="00AB3846" w:rsidRDefault="00AB3846" w:rsidP="00AB384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White</w:t>
            </w:r>
          </w:p>
        </w:tc>
        <w:tc>
          <w:tcPr>
            <w:tcW w:w="589" w:type="pct"/>
            <w:shd w:val="clear" w:color="auto" w:fill="000000" w:themeFill="text1"/>
            <w:hideMark/>
          </w:tcPr>
          <w:p w14:paraId="5DCC02AF" w14:textId="77777777" w:rsidR="00AB3846" w:rsidRPr="00AB3846" w:rsidRDefault="00AB3846" w:rsidP="00AB384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Other</w:t>
            </w:r>
          </w:p>
        </w:tc>
        <w:tc>
          <w:tcPr>
            <w:tcW w:w="650" w:type="pct"/>
            <w:shd w:val="clear" w:color="auto" w:fill="000000" w:themeFill="text1"/>
            <w:hideMark/>
          </w:tcPr>
          <w:p w14:paraId="768FD487" w14:textId="77777777" w:rsidR="00AB3846" w:rsidRPr="00AB3846" w:rsidRDefault="00AB3846" w:rsidP="00AB3846">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Total</w:t>
            </w:r>
          </w:p>
        </w:tc>
        <w:tc>
          <w:tcPr>
            <w:tcW w:w="434" w:type="pct"/>
            <w:shd w:val="clear" w:color="auto" w:fill="000000" w:themeFill="text1"/>
          </w:tcPr>
          <w:p w14:paraId="06D940E6" w14:textId="77777777" w:rsidR="00AB3846" w:rsidRPr="00AB3846" w:rsidRDefault="00AB3846" w:rsidP="00AB3846">
            <w:pPr>
              <w:jc w:val="right"/>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 share in KZN</w:t>
            </w:r>
          </w:p>
        </w:tc>
      </w:tr>
      <w:tr w:rsidR="00AB3846" w:rsidRPr="00AB3846" w14:paraId="45881EC1" w14:textId="77777777" w:rsidTr="00AB3846">
        <w:trPr>
          <w:cnfStyle w:val="000000100000" w:firstRow="0" w:lastRow="0" w:firstColumn="0" w:lastColumn="0" w:oddVBand="0" w:evenVBand="0" w:oddHBand="1" w:evenHBand="0" w:firstRowFirstColumn="0" w:firstRowLastColumn="0" w:lastRowFirstColumn="0" w:lastRowLastColumn="0"/>
          <w:trHeight w:val="354"/>
        </w:trPr>
        <w:tc>
          <w:tcPr>
            <w:cnfStyle w:val="001000000000" w:firstRow="0" w:lastRow="0" w:firstColumn="1" w:lastColumn="0" w:oddVBand="0" w:evenVBand="0" w:oddHBand="0" w:evenHBand="0" w:firstRowFirstColumn="0" w:firstRowLastColumn="0" w:lastRowFirstColumn="0" w:lastRowLastColumn="0"/>
            <w:tcW w:w="1124" w:type="pct"/>
            <w:noWrap/>
            <w:hideMark/>
          </w:tcPr>
          <w:p w14:paraId="7F29B1CD" w14:textId="77777777" w:rsidR="00AB3846" w:rsidRPr="00AB3846" w:rsidRDefault="00AB3846" w:rsidP="00AB3846">
            <w:pPr>
              <w:rPr>
                <w:rFonts w:ascii="Arial" w:eastAsia="Times New Roman" w:hAnsi="Arial" w:cs="Arial"/>
                <w:sz w:val="16"/>
                <w:szCs w:val="20"/>
                <w:lang w:eastAsia="en-ZA"/>
              </w:rPr>
            </w:pPr>
            <w:r w:rsidRPr="00AB3846">
              <w:rPr>
                <w:rFonts w:ascii="Arial" w:eastAsia="Times New Roman" w:hAnsi="Arial" w:cs="Arial"/>
                <w:sz w:val="16"/>
                <w:szCs w:val="20"/>
                <w:lang w:eastAsia="en-ZA"/>
              </w:rPr>
              <w:t>KwaZulu-Natal</w:t>
            </w:r>
          </w:p>
        </w:tc>
        <w:tc>
          <w:tcPr>
            <w:tcW w:w="521" w:type="pct"/>
            <w:noWrap/>
            <w:hideMark/>
          </w:tcPr>
          <w:p w14:paraId="7D96FE2E" w14:textId="77777777" w:rsidR="00AB3846" w:rsidRPr="00AB3846" w:rsidRDefault="00AB3846" w:rsidP="00AB384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18"/>
                <w:szCs w:val="20"/>
                <w:lang w:eastAsia="en-ZA"/>
              </w:rPr>
            </w:pPr>
            <w:r w:rsidRPr="00AB3846">
              <w:rPr>
                <w:rFonts w:ascii="Arial" w:eastAsia="Times New Roman" w:hAnsi="Arial" w:cs="Arial"/>
                <w:b/>
                <w:sz w:val="18"/>
                <w:szCs w:val="20"/>
                <w:lang w:eastAsia="en-ZA"/>
              </w:rPr>
              <w:t>9626245</w:t>
            </w:r>
          </w:p>
        </w:tc>
        <w:tc>
          <w:tcPr>
            <w:tcW w:w="537" w:type="pct"/>
            <w:noWrap/>
            <w:hideMark/>
          </w:tcPr>
          <w:p w14:paraId="24A21C87" w14:textId="77777777" w:rsidR="00AB3846" w:rsidRPr="00AB3846" w:rsidRDefault="00AB3846" w:rsidP="00AB384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18"/>
                <w:szCs w:val="20"/>
                <w:lang w:eastAsia="en-ZA"/>
              </w:rPr>
            </w:pPr>
            <w:r w:rsidRPr="00AB3846">
              <w:rPr>
                <w:rFonts w:ascii="Arial" w:eastAsia="Times New Roman" w:hAnsi="Arial" w:cs="Arial"/>
                <w:b/>
                <w:sz w:val="18"/>
                <w:szCs w:val="20"/>
                <w:lang w:eastAsia="en-ZA"/>
              </w:rPr>
              <w:t>131447</w:t>
            </w:r>
          </w:p>
        </w:tc>
        <w:tc>
          <w:tcPr>
            <w:tcW w:w="681" w:type="pct"/>
            <w:noWrap/>
            <w:hideMark/>
          </w:tcPr>
          <w:p w14:paraId="7A2D3D95" w14:textId="77777777" w:rsidR="00AB3846" w:rsidRPr="00AB3846" w:rsidRDefault="00AB3846" w:rsidP="00AB384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18"/>
                <w:szCs w:val="20"/>
                <w:lang w:eastAsia="en-ZA"/>
              </w:rPr>
            </w:pPr>
            <w:r w:rsidRPr="00AB3846">
              <w:rPr>
                <w:rFonts w:ascii="Arial" w:eastAsia="Times New Roman" w:hAnsi="Arial" w:cs="Arial"/>
                <w:b/>
                <w:sz w:val="18"/>
                <w:szCs w:val="20"/>
                <w:lang w:eastAsia="en-ZA"/>
              </w:rPr>
              <w:t>874180</w:t>
            </w:r>
          </w:p>
        </w:tc>
        <w:tc>
          <w:tcPr>
            <w:tcW w:w="464" w:type="pct"/>
            <w:noWrap/>
            <w:hideMark/>
          </w:tcPr>
          <w:p w14:paraId="34A07577" w14:textId="77777777" w:rsidR="00AB3846" w:rsidRPr="00AB3846" w:rsidRDefault="00AB3846" w:rsidP="00AB384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18"/>
                <w:szCs w:val="20"/>
                <w:lang w:eastAsia="en-ZA"/>
              </w:rPr>
            </w:pPr>
            <w:r w:rsidRPr="00AB3846">
              <w:rPr>
                <w:rFonts w:ascii="Arial" w:eastAsia="Times New Roman" w:hAnsi="Arial" w:cs="Arial"/>
                <w:b/>
                <w:sz w:val="18"/>
                <w:szCs w:val="20"/>
                <w:lang w:eastAsia="en-ZA"/>
              </w:rPr>
              <w:t>432831</w:t>
            </w:r>
          </w:p>
        </w:tc>
        <w:tc>
          <w:tcPr>
            <w:tcW w:w="589" w:type="pct"/>
            <w:noWrap/>
            <w:hideMark/>
          </w:tcPr>
          <w:p w14:paraId="0AC72549" w14:textId="77777777" w:rsidR="00AB3846" w:rsidRPr="00AB3846" w:rsidRDefault="00AB3846" w:rsidP="00AB384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18"/>
                <w:szCs w:val="20"/>
                <w:lang w:eastAsia="en-ZA"/>
              </w:rPr>
            </w:pPr>
            <w:r w:rsidRPr="00AB3846">
              <w:rPr>
                <w:rFonts w:ascii="Arial" w:eastAsia="Times New Roman" w:hAnsi="Arial" w:cs="Arial"/>
                <w:b/>
                <w:sz w:val="18"/>
                <w:szCs w:val="20"/>
                <w:lang w:eastAsia="en-ZA"/>
              </w:rPr>
              <w:t>535,4031488</w:t>
            </w:r>
          </w:p>
        </w:tc>
        <w:tc>
          <w:tcPr>
            <w:tcW w:w="650" w:type="pct"/>
            <w:noWrap/>
            <w:hideMark/>
          </w:tcPr>
          <w:p w14:paraId="14EE06D6" w14:textId="77777777" w:rsidR="00AB3846" w:rsidRPr="00AB3846" w:rsidRDefault="00AB3846" w:rsidP="00AB384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18"/>
                <w:szCs w:val="20"/>
                <w:lang w:eastAsia="en-ZA"/>
              </w:rPr>
            </w:pPr>
            <w:r w:rsidRPr="00AB3846">
              <w:rPr>
                <w:rFonts w:ascii="Arial" w:eastAsia="Times New Roman" w:hAnsi="Arial" w:cs="Arial"/>
                <w:b/>
                <w:sz w:val="18"/>
                <w:szCs w:val="20"/>
                <w:lang w:eastAsia="en-ZA"/>
              </w:rPr>
              <w:t>11065239</w:t>
            </w:r>
          </w:p>
        </w:tc>
        <w:tc>
          <w:tcPr>
            <w:tcW w:w="434" w:type="pct"/>
          </w:tcPr>
          <w:p w14:paraId="0A8904C1" w14:textId="77777777" w:rsidR="00AB3846" w:rsidRPr="00AB3846" w:rsidRDefault="00AB3846" w:rsidP="00AB384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18"/>
                <w:szCs w:val="20"/>
                <w:lang w:eastAsia="en-ZA"/>
              </w:rPr>
            </w:pPr>
            <w:r w:rsidRPr="00AB3846">
              <w:rPr>
                <w:rFonts w:ascii="Arial" w:eastAsia="Times New Roman" w:hAnsi="Arial" w:cs="Arial"/>
                <w:b/>
                <w:sz w:val="18"/>
                <w:szCs w:val="20"/>
                <w:lang w:eastAsia="en-ZA"/>
              </w:rPr>
              <w:t>100</w:t>
            </w:r>
          </w:p>
        </w:tc>
      </w:tr>
      <w:tr w:rsidR="00AB3846" w:rsidRPr="00AB3846" w14:paraId="50696406" w14:textId="77777777" w:rsidTr="00AB3846">
        <w:trPr>
          <w:trHeight w:val="224"/>
        </w:trPr>
        <w:tc>
          <w:tcPr>
            <w:cnfStyle w:val="001000000000" w:firstRow="0" w:lastRow="0" w:firstColumn="1" w:lastColumn="0" w:oddVBand="0" w:evenVBand="0" w:oddHBand="0" w:evenHBand="0" w:firstRowFirstColumn="0" w:firstRowLastColumn="0" w:lastRowFirstColumn="0" w:lastRowLastColumn="0"/>
            <w:tcW w:w="1124" w:type="pct"/>
            <w:noWrap/>
            <w:hideMark/>
          </w:tcPr>
          <w:p w14:paraId="1210A643" w14:textId="77777777" w:rsidR="00AB3846" w:rsidRPr="00AB3846" w:rsidRDefault="00AB3846" w:rsidP="00AB3846">
            <w:pPr>
              <w:rPr>
                <w:rFonts w:ascii="Arial" w:eastAsia="Times New Roman" w:hAnsi="Arial" w:cs="Arial"/>
                <w:sz w:val="16"/>
                <w:szCs w:val="20"/>
                <w:lang w:eastAsia="en-ZA"/>
              </w:rPr>
            </w:pPr>
            <w:r w:rsidRPr="00AB3846">
              <w:rPr>
                <w:rFonts w:ascii="Arial" w:eastAsia="Times New Roman" w:hAnsi="Arial" w:cs="Arial"/>
                <w:sz w:val="16"/>
                <w:szCs w:val="20"/>
                <w:lang w:eastAsia="en-ZA"/>
              </w:rPr>
              <w:t>DC28: KCDM</w:t>
            </w:r>
          </w:p>
        </w:tc>
        <w:tc>
          <w:tcPr>
            <w:tcW w:w="521" w:type="pct"/>
            <w:noWrap/>
            <w:hideMark/>
          </w:tcPr>
          <w:p w14:paraId="23C70B25" w14:textId="77777777" w:rsidR="00AB3846" w:rsidRPr="00AB3846" w:rsidRDefault="00AB3846" w:rsidP="00AB3846">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920496</w:t>
            </w:r>
          </w:p>
        </w:tc>
        <w:tc>
          <w:tcPr>
            <w:tcW w:w="537" w:type="pct"/>
            <w:noWrap/>
            <w:hideMark/>
          </w:tcPr>
          <w:p w14:paraId="260343C3" w14:textId="77777777" w:rsidR="00AB3846" w:rsidRPr="00AB3846" w:rsidRDefault="00AB3846" w:rsidP="00AB3846">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4458</w:t>
            </w:r>
          </w:p>
        </w:tc>
        <w:tc>
          <w:tcPr>
            <w:tcW w:w="681" w:type="pct"/>
            <w:noWrap/>
            <w:hideMark/>
          </w:tcPr>
          <w:p w14:paraId="664B67F4" w14:textId="77777777" w:rsidR="00AB3846" w:rsidRPr="00AB3846" w:rsidRDefault="00AB3846" w:rsidP="00AB3846">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17795</w:t>
            </w:r>
          </w:p>
        </w:tc>
        <w:tc>
          <w:tcPr>
            <w:tcW w:w="464" w:type="pct"/>
            <w:noWrap/>
            <w:hideMark/>
          </w:tcPr>
          <w:p w14:paraId="75DFECDB" w14:textId="77777777" w:rsidR="00AB3846" w:rsidRPr="00AB3846" w:rsidRDefault="00AB3846" w:rsidP="00AB3846">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28385</w:t>
            </w:r>
          </w:p>
        </w:tc>
        <w:tc>
          <w:tcPr>
            <w:tcW w:w="589" w:type="pct"/>
            <w:noWrap/>
            <w:hideMark/>
          </w:tcPr>
          <w:p w14:paraId="2A8E7902" w14:textId="77777777" w:rsidR="00AB3846" w:rsidRPr="00AB3846" w:rsidRDefault="00AB3846" w:rsidP="00AB3846">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0</w:t>
            </w:r>
          </w:p>
        </w:tc>
        <w:tc>
          <w:tcPr>
            <w:tcW w:w="650" w:type="pct"/>
            <w:noWrap/>
            <w:hideMark/>
          </w:tcPr>
          <w:p w14:paraId="36C5077C" w14:textId="77777777" w:rsidR="00AB3846" w:rsidRPr="00AB3846" w:rsidRDefault="00AB3846" w:rsidP="00AB3846">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971134</w:t>
            </w:r>
          </w:p>
        </w:tc>
        <w:tc>
          <w:tcPr>
            <w:tcW w:w="434" w:type="pct"/>
          </w:tcPr>
          <w:p w14:paraId="3FBCFE02" w14:textId="77777777" w:rsidR="00AB3846" w:rsidRPr="00AB3846" w:rsidRDefault="00AB3846" w:rsidP="00AB3846">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8,8</w:t>
            </w:r>
          </w:p>
        </w:tc>
      </w:tr>
      <w:tr w:rsidR="00AB3846" w:rsidRPr="00AB3846" w14:paraId="6D3D216F" w14:textId="77777777" w:rsidTr="00AB3846">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1124" w:type="pct"/>
            <w:noWrap/>
            <w:hideMark/>
          </w:tcPr>
          <w:p w14:paraId="762F1716" w14:textId="77777777" w:rsidR="00AB3846" w:rsidRPr="00AB3846" w:rsidRDefault="00AB3846" w:rsidP="00AB3846">
            <w:pPr>
              <w:rPr>
                <w:rFonts w:ascii="Arial" w:eastAsia="Times New Roman" w:hAnsi="Arial" w:cs="Arial"/>
                <w:sz w:val="16"/>
                <w:szCs w:val="20"/>
                <w:lang w:eastAsia="en-ZA"/>
              </w:rPr>
            </w:pPr>
            <w:r w:rsidRPr="00AB3846">
              <w:rPr>
                <w:rFonts w:ascii="Arial" w:eastAsia="Times New Roman" w:hAnsi="Arial" w:cs="Arial"/>
                <w:sz w:val="16"/>
                <w:szCs w:val="20"/>
                <w:lang w:eastAsia="en-ZA"/>
              </w:rPr>
              <w:t xml:space="preserve">KZN281 : </w:t>
            </w:r>
            <w:r>
              <w:rPr>
                <w:rFonts w:ascii="Arial" w:eastAsia="Times New Roman" w:hAnsi="Arial" w:cs="Arial"/>
                <w:sz w:val="16"/>
                <w:szCs w:val="20"/>
                <w:lang w:eastAsia="en-ZA"/>
              </w:rPr>
              <w:t>u</w:t>
            </w:r>
            <w:r w:rsidRPr="00AB3846">
              <w:rPr>
                <w:rFonts w:ascii="Arial" w:eastAsia="Times New Roman" w:hAnsi="Arial" w:cs="Arial"/>
                <w:sz w:val="16"/>
                <w:szCs w:val="20"/>
                <w:lang w:eastAsia="en-ZA"/>
              </w:rPr>
              <w:t>Mfolozi</w:t>
            </w:r>
          </w:p>
        </w:tc>
        <w:tc>
          <w:tcPr>
            <w:tcW w:w="521" w:type="pct"/>
            <w:noWrap/>
            <w:hideMark/>
          </w:tcPr>
          <w:p w14:paraId="0795B031" w14:textId="77777777" w:rsidR="00AB3846" w:rsidRPr="00AB3846" w:rsidRDefault="00AB3846" w:rsidP="00AB384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143713</w:t>
            </w:r>
          </w:p>
        </w:tc>
        <w:tc>
          <w:tcPr>
            <w:tcW w:w="537" w:type="pct"/>
            <w:noWrap/>
            <w:hideMark/>
          </w:tcPr>
          <w:p w14:paraId="1494EB65" w14:textId="77777777" w:rsidR="00AB3846" w:rsidRPr="00AB3846" w:rsidRDefault="00AB3846" w:rsidP="00AB384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254</w:t>
            </w:r>
          </w:p>
        </w:tc>
        <w:tc>
          <w:tcPr>
            <w:tcW w:w="681" w:type="pct"/>
            <w:noWrap/>
            <w:hideMark/>
          </w:tcPr>
          <w:p w14:paraId="30173FE2" w14:textId="77777777" w:rsidR="00AB3846" w:rsidRPr="00AB3846" w:rsidRDefault="00AB3846" w:rsidP="00AB384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18</w:t>
            </w:r>
          </w:p>
        </w:tc>
        <w:tc>
          <w:tcPr>
            <w:tcW w:w="464" w:type="pct"/>
            <w:noWrap/>
            <w:hideMark/>
          </w:tcPr>
          <w:p w14:paraId="06FA91CE" w14:textId="77777777" w:rsidR="00AB3846" w:rsidRPr="00AB3846" w:rsidRDefault="00AB3846" w:rsidP="00AB384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376</w:t>
            </w:r>
          </w:p>
        </w:tc>
        <w:tc>
          <w:tcPr>
            <w:tcW w:w="589" w:type="pct"/>
            <w:noWrap/>
            <w:hideMark/>
          </w:tcPr>
          <w:p w14:paraId="55B83100" w14:textId="77777777" w:rsidR="00AB3846" w:rsidRPr="00AB3846" w:rsidRDefault="00AB3846" w:rsidP="00AB384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0</w:t>
            </w:r>
          </w:p>
        </w:tc>
        <w:tc>
          <w:tcPr>
            <w:tcW w:w="650" w:type="pct"/>
            <w:noWrap/>
            <w:hideMark/>
          </w:tcPr>
          <w:p w14:paraId="163CAA70" w14:textId="77777777" w:rsidR="00AB3846" w:rsidRPr="00AB3846" w:rsidRDefault="00AB3846" w:rsidP="00AB384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144362</w:t>
            </w:r>
          </w:p>
        </w:tc>
        <w:tc>
          <w:tcPr>
            <w:tcW w:w="434" w:type="pct"/>
          </w:tcPr>
          <w:p w14:paraId="30635192" w14:textId="77777777" w:rsidR="00AB3846" w:rsidRPr="00AB3846" w:rsidRDefault="00AB3846" w:rsidP="00AB3846">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1,3</w:t>
            </w:r>
          </w:p>
        </w:tc>
      </w:tr>
      <w:tr w:rsidR="00AB3846" w:rsidRPr="00AB3846" w14:paraId="013CB4BC" w14:textId="77777777" w:rsidTr="00AB3846">
        <w:trPr>
          <w:trHeight w:val="224"/>
        </w:trPr>
        <w:tc>
          <w:tcPr>
            <w:cnfStyle w:val="001000000000" w:firstRow="0" w:lastRow="0" w:firstColumn="1" w:lastColumn="0" w:oddVBand="0" w:evenVBand="0" w:oddHBand="0" w:evenHBand="0" w:firstRowFirstColumn="0" w:firstRowLastColumn="0" w:lastRowFirstColumn="0" w:lastRowLastColumn="0"/>
            <w:tcW w:w="1124" w:type="pct"/>
            <w:noWrap/>
            <w:hideMark/>
          </w:tcPr>
          <w:p w14:paraId="5D387F88" w14:textId="77777777" w:rsidR="00AB3846" w:rsidRPr="00AB3846" w:rsidRDefault="00AB3846" w:rsidP="00AB3846">
            <w:pPr>
              <w:rPr>
                <w:rFonts w:ascii="Arial" w:eastAsia="Times New Roman" w:hAnsi="Arial" w:cs="Arial"/>
                <w:sz w:val="16"/>
                <w:szCs w:val="20"/>
                <w:lang w:eastAsia="en-ZA"/>
              </w:rPr>
            </w:pPr>
            <w:r w:rsidRPr="00AB3846">
              <w:rPr>
                <w:rFonts w:ascii="Arial" w:eastAsia="Times New Roman" w:hAnsi="Arial" w:cs="Arial"/>
                <w:sz w:val="16"/>
                <w:szCs w:val="20"/>
                <w:lang w:eastAsia="en-ZA"/>
              </w:rPr>
              <w:t>KZN282 : uMhlathuze</w:t>
            </w:r>
          </w:p>
        </w:tc>
        <w:tc>
          <w:tcPr>
            <w:tcW w:w="521" w:type="pct"/>
            <w:noWrap/>
            <w:hideMark/>
          </w:tcPr>
          <w:p w14:paraId="5B8166F0" w14:textId="77777777" w:rsidR="00AB3846" w:rsidRPr="00AB3846" w:rsidRDefault="00AB3846" w:rsidP="00AB3846">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367151</w:t>
            </w:r>
          </w:p>
        </w:tc>
        <w:tc>
          <w:tcPr>
            <w:tcW w:w="537" w:type="pct"/>
            <w:noWrap/>
            <w:hideMark/>
          </w:tcPr>
          <w:p w14:paraId="0E56D98F" w14:textId="77777777" w:rsidR="00AB3846" w:rsidRPr="00AB3846" w:rsidRDefault="00AB3846" w:rsidP="00AB3846">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3073</w:t>
            </w:r>
          </w:p>
        </w:tc>
        <w:tc>
          <w:tcPr>
            <w:tcW w:w="681" w:type="pct"/>
            <w:noWrap/>
            <w:hideMark/>
          </w:tcPr>
          <w:p w14:paraId="34E50AA8" w14:textId="77777777" w:rsidR="00AB3846" w:rsidRPr="00AB3846" w:rsidRDefault="00AB3846" w:rsidP="00AB3846">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15399</w:t>
            </w:r>
          </w:p>
        </w:tc>
        <w:tc>
          <w:tcPr>
            <w:tcW w:w="464" w:type="pct"/>
            <w:noWrap/>
            <w:hideMark/>
          </w:tcPr>
          <w:p w14:paraId="51D6A25A" w14:textId="77777777" w:rsidR="00AB3846" w:rsidRPr="00AB3846" w:rsidRDefault="00AB3846" w:rsidP="00AB3846">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24841</w:t>
            </w:r>
          </w:p>
        </w:tc>
        <w:tc>
          <w:tcPr>
            <w:tcW w:w="589" w:type="pct"/>
            <w:noWrap/>
            <w:hideMark/>
          </w:tcPr>
          <w:p w14:paraId="321F2FF0" w14:textId="77777777" w:rsidR="00AB3846" w:rsidRPr="00AB3846" w:rsidRDefault="00AB3846" w:rsidP="00AB3846">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0</w:t>
            </w:r>
          </w:p>
        </w:tc>
        <w:tc>
          <w:tcPr>
            <w:tcW w:w="650" w:type="pct"/>
            <w:noWrap/>
            <w:hideMark/>
          </w:tcPr>
          <w:p w14:paraId="717ECA79" w14:textId="77777777" w:rsidR="00AB3846" w:rsidRPr="00AB3846" w:rsidRDefault="00AB3846" w:rsidP="00AB3846">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410464</w:t>
            </w:r>
          </w:p>
        </w:tc>
        <w:tc>
          <w:tcPr>
            <w:tcW w:w="434" w:type="pct"/>
          </w:tcPr>
          <w:p w14:paraId="282A7E51" w14:textId="77777777" w:rsidR="00AB3846" w:rsidRPr="00AB3846" w:rsidRDefault="00AB3846" w:rsidP="00AB3846">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3,7</w:t>
            </w:r>
          </w:p>
        </w:tc>
      </w:tr>
      <w:tr w:rsidR="00AB3846" w:rsidRPr="00AB3846" w14:paraId="0543E3B2" w14:textId="77777777" w:rsidTr="00AB3846">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1124" w:type="pct"/>
            <w:shd w:val="clear" w:color="auto" w:fill="FDE9D9" w:themeFill="accent6" w:themeFillTint="33"/>
            <w:noWrap/>
            <w:hideMark/>
          </w:tcPr>
          <w:p w14:paraId="10EE3278" w14:textId="77777777" w:rsidR="00AB3846" w:rsidRPr="00AB3846" w:rsidRDefault="00AB3846" w:rsidP="00AB3846">
            <w:pPr>
              <w:rPr>
                <w:rFonts w:ascii="Arial" w:eastAsia="Times New Roman" w:hAnsi="Arial" w:cs="Arial"/>
                <w:sz w:val="18"/>
                <w:szCs w:val="20"/>
                <w:lang w:eastAsia="en-ZA"/>
              </w:rPr>
            </w:pPr>
            <w:r w:rsidRPr="00AB3846">
              <w:rPr>
                <w:rFonts w:ascii="Arial" w:eastAsia="Times New Roman" w:hAnsi="Arial" w:cs="Arial"/>
                <w:sz w:val="18"/>
                <w:szCs w:val="20"/>
                <w:lang w:eastAsia="en-ZA"/>
              </w:rPr>
              <w:t>KZN284 : uMlalazi</w:t>
            </w:r>
          </w:p>
        </w:tc>
        <w:tc>
          <w:tcPr>
            <w:tcW w:w="521" w:type="pct"/>
            <w:shd w:val="clear" w:color="auto" w:fill="FDE9D9" w:themeFill="accent6" w:themeFillTint="33"/>
            <w:noWrap/>
            <w:hideMark/>
          </w:tcPr>
          <w:p w14:paraId="1D12D27B" w14:textId="77777777" w:rsidR="00AB3846" w:rsidRPr="00AB3846" w:rsidRDefault="00AB3846" w:rsidP="00AB384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18"/>
                <w:szCs w:val="20"/>
                <w:lang w:eastAsia="en-ZA"/>
              </w:rPr>
            </w:pPr>
            <w:r w:rsidRPr="00AB3846">
              <w:rPr>
                <w:rFonts w:ascii="Arial" w:eastAsia="Times New Roman" w:hAnsi="Arial" w:cs="Arial"/>
                <w:b/>
                <w:sz w:val="18"/>
                <w:szCs w:val="20"/>
                <w:lang w:eastAsia="en-ZA"/>
              </w:rPr>
              <w:t>217029</w:t>
            </w:r>
          </w:p>
        </w:tc>
        <w:tc>
          <w:tcPr>
            <w:tcW w:w="537" w:type="pct"/>
            <w:shd w:val="clear" w:color="auto" w:fill="FDE9D9" w:themeFill="accent6" w:themeFillTint="33"/>
            <w:noWrap/>
            <w:hideMark/>
          </w:tcPr>
          <w:p w14:paraId="76217017" w14:textId="77777777" w:rsidR="00AB3846" w:rsidRPr="00AB3846" w:rsidRDefault="00AB3846" w:rsidP="00AB384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18"/>
                <w:szCs w:val="20"/>
                <w:lang w:eastAsia="en-ZA"/>
              </w:rPr>
            </w:pPr>
            <w:r w:rsidRPr="00AB3846">
              <w:rPr>
                <w:rFonts w:ascii="Arial" w:eastAsia="Times New Roman" w:hAnsi="Arial" w:cs="Arial"/>
                <w:b/>
                <w:sz w:val="18"/>
                <w:szCs w:val="20"/>
                <w:lang w:eastAsia="en-ZA"/>
              </w:rPr>
              <w:t>1068</w:t>
            </w:r>
          </w:p>
        </w:tc>
        <w:tc>
          <w:tcPr>
            <w:tcW w:w="681" w:type="pct"/>
            <w:shd w:val="clear" w:color="auto" w:fill="FDE9D9" w:themeFill="accent6" w:themeFillTint="33"/>
            <w:noWrap/>
            <w:hideMark/>
          </w:tcPr>
          <w:p w14:paraId="7BD61BC6" w14:textId="77777777" w:rsidR="00AB3846" w:rsidRPr="00AB3846" w:rsidRDefault="00AB3846" w:rsidP="00AB384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18"/>
                <w:szCs w:val="20"/>
                <w:lang w:eastAsia="en-ZA"/>
              </w:rPr>
            </w:pPr>
            <w:r w:rsidRPr="00AB3846">
              <w:rPr>
                <w:rFonts w:ascii="Arial" w:eastAsia="Times New Roman" w:hAnsi="Arial" w:cs="Arial"/>
                <w:b/>
                <w:sz w:val="18"/>
                <w:szCs w:val="20"/>
                <w:lang w:eastAsia="en-ZA"/>
              </w:rPr>
              <w:t>2210</w:t>
            </w:r>
          </w:p>
        </w:tc>
        <w:tc>
          <w:tcPr>
            <w:tcW w:w="464" w:type="pct"/>
            <w:shd w:val="clear" w:color="auto" w:fill="FDE9D9" w:themeFill="accent6" w:themeFillTint="33"/>
            <w:noWrap/>
            <w:hideMark/>
          </w:tcPr>
          <w:p w14:paraId="5FF47570" w14:textId="77777777" w:rsidR="00AB3846" w:rsidRPr="00AB3846" w:rsidRDefault="00AB3846" w:rsidP="00AB384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18"/>
                <w:szCs w:val="20"/>
                <w:lang w:eastAsia="en-ZA"/>
              </w:rPr>
            </w:pPr>
            <w:r w:rsidRPr="00AB3846">
              <w:rPr>
                <w:rFonts w:ascii="Arial" w:eastAsia="Times New Roman" w:hAnsi="Arial" w:cs="Arial"/>
                <w:b/>
                <w:sz w:val="18"/>
                <w:szCs w:val="20"/>
                <w:lang w:eastAsia="en-ZA"/>
              </w:rPr>
              <w:t>2832</w:t>
            </w:r>
          </w:p>
        </w:tc>
        <w:tc>
          <w:tcPr>
            <w:tcW w:w="589" w:type="pct"/>
            <w:shd w:val="clear" w:color="auto" w:fill="FDE9D9" w:themeFill="accent6" w:themeFillTint="33"/>
            <w:noWrap/>
            <w:hideMark/>
          </w:tcPr>
          <w:p w14:paraId="404A22ED" w14:textId="77777777" w:rsidR="00AB3846" w:rsidRPr="00AB3846" w:rsidRDefault="00AB3846" w:rsidP="00AB384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18"/>
                <w:szCs w:val="20"/>
                <w:lang w:eastAsia="en-ZA"/>
              </w:rPr>
            </w:pPr>
            <w:r w:rsidRPr="00AB3846">
              <w:rPr>
                <w:rFonts w:ascii="Arial" w:eastAsia="Times New Roman" w:hAnsi="Arial" w:cs="Arial"/>
                <w:b/>
                <w:sz w:val="18"/>
                <w:szCs w:val="20"/>
                <w:lang w:eastAsia="en-ZA"/>
              </w:rPr>
              <w:t>0</w:t>
            </w:r>
          </w:p>
        </w:tc>
        <w:tc>
          <w:tcPr>
            <w:tcW w:w="650" w:type="pct"/>
            <w:shd w:val="clear" w:color="auto" w:fill="FDE9D9" w:themeFill="accent6" w:themeFillTint="33"/>
            <w:noWrap/>
            <w:hideMark/>
          </w:tcPr>
          <w:p w14:paraId="772AC4BF" w14:textId="77777777" w:rsidR="00AB3846" w:rsidRPr="00AB3846" w:rsidRDefault="00AB3846" w:rsidP="00AB384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18"/>
                <w:szCs w:val="20"/>
                <w:lang w:eastAsia="en-ZA"/>
              </w:rPr>
            </w:pPr>
            <w:r w:rsidRPr="00AB3846">
              <w:rPr>
                <w:rFonts w:ascii="Arial" w:eastAsia="Times New Roman" w:hAnsi="Arial" w:cs="Arial"/>
                <w:b/>
                <w:sz w:val="18"/>
                <w:szCs w:val="20"/>
                <w:lang w:eastAsia="en-ZA"/>
              </w:rPr>
              <w:t>223139</w:t>
            </w:r>
          </w:p>
        </w:tc>
        <w:tc>
          <w:tcPr>
            <w:tcW w:w="434" w:type="pct"/>
            <w:shd w:val="clear" w:color="auto" w:fill="FDE9D9" w:themeFill="accent6" w:themeFillTint="33"/>
          </w:tcPr>
          <w:p w14:paraId="3ECACDBF" w14:textId="77777777" w:rsidR="00AB3846" w:rsidRPr="00AB3846" w:rsidRDefault="00AB3846" w:rsidP="00AB3846">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sz w:val="18"/>
                <w:szCs w:val="20"/>
                <w:lang w:eastAsia="en-ZA"/>
              </w:rPr>
            </w:pPr>
            <w:r w:rsidRPr="00AB3846">
              <w:rPr>
                <w:rFonts w:ascii="Arial" w:eastAsia="Times New Roman" w:hAnsi="Arial" w:cs="Arial"/>
                <w:b/>
                <w:sz w:val="18"/>
                <w:szCs w:val="20"/>
                <w:lang w:eastAsia="en-ZA"/>
              </w:rPr>
              <w:t>2,0</w:t>
            </w:r>
          </w:p>
        </w:tc>
      </w:tr>
      <w:tr w:rsidR="00AB3846" w:rsidRPr="00AB3846" w14:paraId="7A579C93" w14:textId="77777777" w:rsidTr="00AB3846">
        <w:trPr>
          <w:trHeight w:val="224"/>
        </w:trPr>
        <w:tc>
          <w:tcPr>
            <w:cnfStyle w:val="001000000000" w:firstRow="0" w:lastRow="0" w:firstColumn="1" w:lastColumn="0" w:oddVBand="0" w:evenVBand="0" w:oddHBand="0" w:evenHBand="0" w:firstRowFirstColumn="0" w:firstRowLastColumn="0" w:lastRowFirstColumn="0" w:lastRowLastColumn="0"/>
            <w:tcW w:w="1124" w:type="pct"/>
            <w:noWrap/>
            <w:hideMark/>
          </w:tcPr>
          <w:p w14:paraId="1882C5D6" w14:textId="77777777" w:rsidR="00AB3846" w:rsidRPr="00AB3846" w:rsidRDefault="00AB3846" w:rsidP="00AB3846">
            <w:pPr>
              <w:rPr>
                <w:rFonts w:ascii="Arial" w:eastAsia="Times New Roman" w:hAnsi="Arial" w:cs="Arial"/>
                <w:sz w:val="16"/>
                <w:szCs w:val="20"/>
                <w:lang w:eastAsia="en-ZA"/>
              </w:rPr>
            </w:pPr>
            <w:r w:rsidRPr="00AB3846">
              <w:rPr>
                <w:rFonts w:ascii="Arial" w:eastAsia="Times New Roman" w:hAnsi="Arial" w:cs="Arial"/>
                <w:sz w:val="16"/>
                <w:szCs w:val="20"/>
                <w:lang w:eastAsia="en-ZA"/>
              </w:rPr>
              <w:t>KZN285 : Mthonjaneni</w:t>
            </w:r>
          </w:p>
        </w:tc>
        <w:tc>
          <w:tcPr>
            <w:tcW w:w="521" w:type="pct"/>
            <w:noWrap/>
            <w:hideMark/>
          </w:tcPr>
          <w:p w14:paraId="6BEC4F9F" w14:textId="77777777" w:rsidR="00AB3846" w:rsidRPr="00AB3846" w:rsidRDefault="00AB3846" w:rsidP="00AB3846">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78544</w:t>
            </w:r>
          </w:p>
        </w:tc>
        <w:tc>
          <w:tcPr>
            <w:tcW w:w="537" w:type="pct"/>
            <w:noWrap/>
            <w:hideMark/>
          </w:tcPr>
          <w:p w14:paraId="63B77F65" w14:textId="77777777" w:rsidR="00AB3846" w:rsidRPr="00AB3846" w:rsidRDefault="00AB3846" w:rsidP="00AB3846">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63</w:t>
            </w:r>
          </w:p>
        </w:tc>
        <w:tc>
          <w:tcPr>
            <w:tcW w:w="681" w:type="pct"/>
            <w:noWrap/>
            <w:hideMark/>
          </w:tcPr>
          <w:p w14:paraId="119F309E" w14:textId="77777777" w:rsidR="00AB3846" w:rsidRPr="00AB3846" w:rsidRDefault="00AB3846" w:rsidP="00AB3846">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0</w:t>
            </w:r>
          </w:p>
        </w:tc>
        <w:tc>
          <w:tcPr>
            <w:tcW w:w="464" w:type="pct"/>
            <w:noWrap/>
            <w:hideMark/>
          </w:tcPr>
          <w:p w14:paraId="2318D898" w14:textId="77777777" w:rsidR="00AB3846" w:rsidRPr="00AB3846" w:rsidRDefault="00AB3846" w:rsidP="00AB3846">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277</w:t>
            </w:r>
          </w:p>
        </w:tc>
        <w:tc>
          <w:tcPr>
            <w:tcW w:w="589" w:type="pct"/>
            <w:noWrap/>
            <w:hideMark/>
          </w:tcPr>
          <w:p w14:paraId="0B3A05BB" w14:textId="77777777" w:rsidR="00AB3846" w:rsidRPr="00AB3846" w:rsidRDefault="00AB3846" w:rsidP="00AB3846">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0</w:t>
            </w:r>
          </w:p>
        </w:tc>
        <w:tc>
          <w:tcPr>
            <w:tcW w:w="650" w:type="pct"/>
            <w:noWrap/>
            <w:hideMark/>
          </w:tcPr>
          <w:p w14:paraId="4BFA877D" w14:textId="77777777" w:rsidR="00AB3846" w:rsidRPr="00AB3846" w:rsidRDefault="00AB3846" w:rsidP="00AB3846">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78883</w:t>
            </w:r>
          </w:p>
        </w:tc>
        <w:tc>
          <w:tcPr>
            <w:tcW w:w="434" w:type="pct"/>
          </w:tcPr>
          <w:p w14:paraId="652C94DC" w14:textId="77777777" w:rsidR="00AB3846" w:rsidRPr="00AB3846" w:rsidRDefault="00AB3846" w:rsidP="00AB3846">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0,7</w:t>
            </w:r>
          </w:p>
        </w:tc>
      </w:tr>
      <w:tr w:rsidR="00AB3846" w:rsidRPr="00AB3846" w14:paraId="10E702F8" w14:textId="77777777" w:rsidTr="00AB3846">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1124" w:type="pct"/>
            <w:noWrap/>
            <w:hideMark/>
          </w:tcPr>
          <w:p w14:paraId="0E1EBFBF" w14:textId="77777777" w:rsidR="00AB3846" w:rsidRPr="00AB3846" w:rsidRDefault="00AB3846" w:rsidP="00AB3846">
            <w:pPr>
              <w:rPr>
                <w:rFonts w:ascii="Arial" w:eastAsia="Times New Roman" w:hAnsi="Arial" w:cs="Arial"/>
                <w:sz w:val="16"/>
                <w:szCs w:val="20"/>
                <w:lang w:eastAsia="en-ZA"/>
              </w:rPr>
            </w:pPr>
            <w:r w:rsidRPr="00AB3846">
              <w:rPr>
                <w:rFonts w:ascii="Arial" w:eastAsia="Times New Roman" w:hAnsi="Arial" w:cs="Arial"/>
                <w:sz w:val="16"/>
                <w:szCs w:val="20"/>
                <w:lang w:eastAsia="en-ZA"/>
              </w:rPr>
              <w:t>KZN286 : Nkandla</w:t>
            </w:r>
          </w:p>
        </w:tc>
        <w:tc>
          <w:tcPr>
            <w:tcW w:w="521" w:type="pct"/>
            <w:noWrap/>
            <w:hideMark/>
          </w:tcPr>
          <w:p w14:paraId="4CAEBE1B" w14:textId="77777777" w:rsidR="00AB3846" w:rsidRPr="00AB3846" w:rsidRDefault="00AB3846" w:rsidP="00AB384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114060</w:t>
            </w:r>
          </w:p>
        </w:tc>
        <w:tc>
          <w:tcPr>
            <w:tcW w:w="537" w:type="pct"/>
            <w:noWrap/>
            <w:hideMark/>
          </w:tcPr>
          <w:p w14:paraId="66BFE2BB" w14:textId="77777777" w:rsidR="00AB3846" w:rsidRPr="00AB3846" w:rsidRDefault="00AB3846" w:rsidP="00AB384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0</w:t>
            </w:r>
          </w:p>
        </w:tc>
        <w:tc>
          <w:tcPr>
            <w:tcW w:w="681" w:type="pct"/>
            <w:noWrap/>
            <w:hideMark/>
          </w:tcPr>
          <w:p w14:paraId="6A6A005D" w14:textId="77777777" w:rsidR="00AB3846" w:rsidRPr="00AB3846" w:rsidRDefault="00AB3846" w:rsidP="00AB384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166</w:t>
            </w:r>
          </w:p>
        </w:tc>
        <w:tc>
          <w:tcPr>
            <w:tcW w:w="464" w:type="pct"/>
            <w:noWrap/>
            <w:hideMark/>
          </w:tcPr>
          <w:p w14:paraId="7F9CE738" w14:textId="77777777" w:rsidR="00AB3846" w:rsidRPr="00AB3846" w:rsidRDefault="00AB3846" w:rsidP="00AB384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58</w:t>
            </w:r>
          </w:p>
        </w:tc>
        <w:tc>
          <w:tcPr>
            <w:tcW w:w="589" w:type="pct"/>
            <w:noWrap/>
            <w:hideMark/>
          </w:tcPr>
          <w:p w14:paraId="415F3DB7" w14:textId="77777777" w:rsidR="00AB3846" w:rsidRPr="00AB3846" w:rsidRDefault="00AB3846" w:rsidP="00AB384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0</w:t>
            </w:r>
          </w:p>
        </w:tc>
        <w:tc>
          <w:tcPr>
            <w:tcW w:w="650" w:type="pct"/>
            <w:noWrap/>
            <w:hideMark/>
          </w:tcPr>
          <w:p w14:paraId="7DCF5E62" w14:textId="77777777" w:rsidR="00AB3846" w:rsidRPr="00AB3846" w:rsidRDefault="00AB3846" w:rsidP="00AB3846">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114283</w:t>
            </w:r>
          </w:p>
        </w:tc>
        <w:tc>
          <w:tcPr>
            <w:tcW w:w="434" w:type="pct"/>
          </w:tcPr>
          <w:p w14:paraId="1764CBB1" w14:textId="77777777" w:rsidR="00AB3846" w:rsidRPr="00AB3846" w:rsidRDefault="00AB3846" w:rsidP="00AB3846">
            <w:pPr>
              <w:spacing w:line="259" w:lineRule="auto"/>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20"/>
                <w:lang w:eastAsia="en-ZA"/>
              </w:rPr>
            </w:pPr>
            <w:r w:rsidRPr="00AB3846">
              <w:rPr>
                <w:rFonts w:ascii="Arial" w:eastAsia="Times New Roman" w:hAnsi="Arial" w:cs="Arial"/>
                <w:sz w:val="16"/>
                <w:szCs w:val="20"/>
                <w:lang w:eastAsia="en-ZA"/>
              </w:rPr>
              <w:t>1,0</w:t>
            </w:r>
          </w:p>
        </w:tc>
      </w:tr>
    </w:tbl>
    <w:p w14:paraId="0969AA61" w14:textId="77777777" w:rsidR="002B29B3" w:rsidRPr="00881795" w:rsidRDefault="00AB3846" w:rsidP="002F62F0">
      <w:pPr>
        <w:pStyle w:val="Caption"/>
      </w:pPr>
      <w:bookmarkStart w:id="191" w:name="_Toc510622262"/>
      <w:r>
        <w:t xml:space="preserve">Table </w:t>
      </w:r>
      <w:r w:rsidR="00B918A6">
        <w:fldChar w:fldCharType="begin"/>
      </w:r>
      <w:r w:rsidR="00B918A6">
        <w:instrText xml:space="preserve"> SEQ Table \* ARABIC </w:instrText>
      </w:r>
      <w:r w:rsidR="00B918A6">
        <w:fldChar w:fldCharType="separate"/>
      </w:r>
      <w:r w:rsidR="0067023A">
        <w:rPr>
          <w:noProof/>
        </w:rPr>
        <w:t>12</w:t>
      </w:r>
      <w:r w:rsidR="00B918A6">
        <w:rPr>
          <w:noProof/>
        </w:rPr>
        <w:fldChar w:fldCharType="end"/>
      </w:r>
      <w:bookmarkStart w:id="192" w:name="_Toc389739778"/>
      <w:r>
        <w:t>:</w:t>
      </w:r>
      <w:r w:rsidR="002B29B3" w:rsidRPr="00881795">
        <w:t xml:space="preserve"> </w:t>
      </w:r>
      <w:r w:rsidR="001D792E">
        <w:t>King Cetshwayo</w:t>
      </w:r>
      <w:r w:rsidR="002B29B3" w:rsidRPr="00881795">
        <w:t xml:space="preserve"> DM – Total Population Size per LM (201</w:t>
      </w:r>
      <w:r w:rsidR="00787435">
        <w:t>6</w:t>
      </w:r>
      <w:r w:rsidR="002B29B3" w:rsidRPr="00881795">
        <w:t>)</w:t>
      </w:r>
      <w:bookmarkEnd w:id="191"/>
      <w:bookmarkEnd w:id="192"/>
      <w:r w:rsidR="003677A7">
        <w:tab/>
      </w:r>
      <w:r w:rsidR="003677A7">
        <w:tab/>
      </w:r>
    </w:p>
    <w:p w14:paraId="35BA0D40" w14:textId="77777777" w:rsidR="002B29B3" w:rsidRPr="00881795" w:rsidRDefault="001D0DD1" w:rsidP="001D0DD1">
      <w:pPr>
        <w:jc w:val="both"/>
      </w:pPr>
      <w:r>
        <w:rPr>
          <w:szCs w:val="20"/>
        </w:rPr>
        <w:t xml:space="preserve">The total population size of the </w:t>
      </w:r>
      <w:r w:rsidR="001D792E">
        <w:rPr>
          <w:szCs w:val="20"/>
        </w:rPr>
        <w:t>King Cetshwayo</w:t>
      </w:r>
      <w:r>
        <w:rPr>
          <w:szCs w:val="20"/>
        </w:rPr>
        <w:t xml:space="preserve"> </w:t>
      </w:r>
      <w:r w:rsidR="003C03FA">
        <w:rPr>
          <w:szCs w:val="20"/>
        </w:rPr>
        <w:t>District</w:t>
      </w:r>
      <w:r>
        <w:rPr>
          <w:szCs w:val="20"/>
        </w:rPr>
        <w:t xml:space="preserve"> Municipality has i</w:t>
      </w:r>
      <w:r w:rsidR="00E8034B">
        <w:rPr>
          <w:szCs w:val="20"/>
        </w:rPr>
        <w:t>ncreased from</w:t>
      </w:r>
      <w:r>
        <w:rPr>
          <w:szCs w:val="20"/>
        </w:rPr>
        <w:t xml:space="preserve"> 907,519 in 2011</w:t>
      </w:r>
      <w:r w:rsidR="00FA72BE">
        <w:rPr>
          <w:szCs w:val="20"/>
        </w:rPr>
        <w:t xml:space="preserve"> to</w:t>
      </w:r>
      <w:r w:rsidR="00AB3846">
        <w:rPr>
          <w:szCs w:val="20"/>
        </w:rPr>
        <w:t xml:space="preserve"> 971 134</w:t>
      </w:r>
      <w:r w:rsidR="00E8034B">
        <w:rPr>
          <w:szCs w:val="20"/>
        </w:rPr>
        <w:t xml:space="preserve"> in 2016</w:t>
      </w:r>
      <w:r>
        <w:rPr>
          <w:szCs w:val="20"/>
        </w:rPr>
        <w:t xml:space="preserve">.  </w:t>
      </w:r>
      <w:r>
        <w:rPr>
          <w:rFonts w:eastAsia="Times New Roman" w:cs="Times New Roman"/>
          <w:color w:val="000000"/>
          <w:szCs w:val="20"/>
        </w:rPr>
        <w:t xml:space="preserve"> </w:t>
      </w:r>
      <w:r w:rsidR="00703CE6">
        <w:rPr>
          <w:rFonts w:eastAsia="Times New Roman" w:cs="Times New Roman"/>
          <w:color w:val="000000"/>
          <w:szCs w:val="20"/>
        </w:rPr>
        <w:t>UMlalazi</w:t>
      </w:r>
      <w:r w:rsidR="00E8034B">
        <w:rPr>
          <w:rFonts w:eastAsia="Times New Roman" w:cs="Times New Roman"/>
          <w:color w:val="000000"/>
          <w:szCs w:val="20"/>
        </w:rPr>
        <w:t xml:space="preserve"> has also increased significantly over</w:t>
      </w:r>
      <w:r>
        <w:rPr>
          <w:rFonts w:eastAsia="Times New Roman" w:cs="Times New Roman"/>
          <w:color w:val="000000"/>
          <w:szCs w:val="20"/>
        </w:rPr>
        <w:t xml:space="preserve"> same time period</w:t>
      </w:r>
      <w:r w:rsidR="00E8034B">
        <w:rPr>
          <w:rFonts w:eastAsia="Times New Roman" w:cs="Times New Roman"/>
          <w:color w:val="000000"/>
          <w:szCs w:val="20"/>
        </w:rPr>
        <w:t>. This translates in better standards of living thus decreasing the mortality rate. This could also be a result of a higher birth rate since 2011, which could be a worrying factor in terms of health and birth control among families.</w:t>
      </w:r>
    </w:p>
    <w:p w14:paraId="3D9B2B10" w14:textId="77777777" w:rsidR="001D0DD1" w:rsidRPr="00AB3846" w:rsidRDefault="001D0DD1" w:rsidP="00750180">
      <w:pPr>
        <w:pStyle w:val="Heading4"/>
        <w:numPr>
          <w:ilvl w:val="3"/>
          <w:numId w:val="29"/>
        </w:numPr>
        <w:spacing w:after="240"/>
      </w:pPr>
      <w:bookmarkStart w:id="193" w:name="_Toc389739782"/>
      <w:r w:rsidRPr="00AB3846">
        <w:t xml:space="preserve">Population Density </w:t>
      </w:r>
      <w:bookmarkEnd w:id="193"/>
    </w:p>
    <w:p w14:paraId="04CFE45A" w14:textId="77777777" w:rsidR="00E20FA5" w:rsidRDefault="00FA72BE" w:rsidP="00C4287E">
      <w:pPr>
        <w:jc w:val="both"/>
        <w:rPr>
          <w:szCs w:val="20"/>
        </w:rPr>
      </w:pPr>
      <w:r>
        <w:rPr>
          <w:noProof/>
          <w:szCs w:val="20"/>
        </w:rPr>
        <w:drawing>
          <wp:anchor distT="0" distB="0" distL="114300" distR="114300" simplePos="0" relativeHeight="251763200" behindDoc="0" locked="0" layoutInCell="1" allowOverlap="1" wp14:anchorId="6A753875" wp14:editId="2E03C80E">
            <wp:simplePos x="0" y="0"/>
            <wp:positionH relativeFrom="margin">
              <wp:posOffset>4838700</wp:posOffset>
            </wp:positionH>
            <wp:positionV relativeFrom="margin">
              <wp:posOffset>7345045</wp:posOffset>
            </wp:positionV>
            <wp:extent cx="1054735" cy="1231265"/>
            <wp:effectExtent l="0" t="0" r="0" b="698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54735" cy="1231265"/>
                    </a:xfrm>
                    <a:prstGeom prst="rect">
                      <a:avLst/>
                    </a:prstGeom>
                    <a:noFill/>
                  </pic:spPr>
                </pic:pic>
              </a:graphicData>
            </a:graphic>
          </wp:anchor>
        </w:drawing>
      </w:r>
      <w:r w:rsidRPr="00881795">
        <w:rPr>
          <w:noProof/>
        </w:rPr>
        <w:drawing>
          <wp:anchor distT="0" distB="0" distL="114300" distR="114300" simplePos="0" relativeHeight="251761152" behindDoc="0" locked="0" layoutInCell="1" allowOverlap="1" wp14:anchorId="621E9BF9" wp14:editId="4B5285F5">
            <wp:simplePos x="0" y="0"/>
            <wp:positionH relativeFrom="margin">
              <wp:align>left</wp:align>
            </wp:positionH>
            <wp:positionV relativeFrom="margin">
              <wp:posOffset>5297170</wp:posOffset>
            </wp:positionV>
            <wp:extent cx="5943600" cy="2819400"/>
            <wp:effectExtent l="0" t="0" r="0" b="0"/>
            <wp:wrapSquare wrapText="bothSides"/>
            <wp:docPr id="43022" name="Picture 43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3600" cy="2819400"/>
                    </a:xfrm>
                    <a:prstGeom prst="rect">
                      <a:avLst/>
                    </a:prstGeom>
                  </pic:spPr>
                </pic:pic>
              </a:graphicData>
            </a:graphic>
            <wp14:sizeRelH relativeFrom="margin">
              <wp14:pctWidth>0</wp14:pctWidth>
            </wp14:sizeRelH>
            <wp14:sizeRelV relativeFrom="margin">
              <wp14:pctHeight>0</wp14:pctHeight>
            </wp14:sizeRelV>
          </wp:anchor>
        </w:drawing>
      </w:r>
      <w:r w:rsidR="001D0DD1">
        <w:rPr>
          <w:szCs w:val="20"/>
        </w:rPr>
        <w:t>The area surrounding the town of Eshowe has the highest population Density, i.e. More than 300 persons per km</w:t>
      </w:r>
      <w:r w:rsidR="001D0DD1">
        <w:rPr>
          <w:szCs w:val="20"/>
          <w:vertAlign w:val="superscript"/>
        </w:rPr>
        <w:t>2</w:t>
      </w:r>
      <w:r w:rsidR="001D0DD1">
        <w:rPr>
          <w:szCs w:val="20"/>
        </w:rPr>
        <w:t xml:space="preserve">.  The Eshowe, Gingindlovu and Mtunzini triangle also has relatively high population density, i.e. </w:t>
      </w:r>
      <w:r w:rsidR="00C4287E">
        <w:rPr>
          <w:szCs w:val="20"/>
        </w:rPr>
        <w:t xml:space="preserve">between 201 and 300 persons per </w:t>
      </w:r>
      <w:r w:rsidR="001D0DD1">
        <w:rPr>
          <w:szCs w:val="20"/>
        </w:rPr>
        <w:t>km</w:t>
      </w:r>
      <w:r w:rsidR="001D0DD1">
        <w:rPr>
          <w:szCs w:val="20"/>
          <w:vertAlign w:val="superscript"/>
        </w:rPr>
        <w:t>2</w:t>
      </w:r>
      <w:r w:rsidR="00095B80">
        <w:rPr>
          <w:szCs w:val="20"/>
        </w:rPr>
        <w:t>.</w:t>
      </w:r>
    </w:p>
    <w:p w14:paraId="3677F483" w14:textId="77777777" w:rsidR="00FA72BE" w:rsidRDefault="00FA72BE" w:rsidP="00C4287E">
      <w:pPr>
        <w:jc w:val="both"/>
        <w:rPr>
          <w:szCs w:val="20"/>
        </w:rPr>
      </w:pPr>
    </w:p>
    <w:p w14:paraId="32EC18B0" w14:textId="77777777" w:rsidR="00284CFA" w:rsidRDefault="00284CFA" w:rsidP="002F62F0">
      <w:pPr>
        <w:pStyle w:val="Caption"/>
      </w:pPr>
      <w:bookmarkStart w:id="194" w:name="_Toc389739783"/>
      <w:bookmarkStart w:id="195" w:name="_Toc481468927"/>
      <w:r w:rsidRPr="00881795">
        <w:t xml:space="preserve">Map </w:t>
      </w:r>
      <w:r w:rsidR="00B918A6">
        <w:fldChar w:fldCharType="begin"/>
      </w:r>
      <w:r w:rsidR="00B918A6">
        <w:instrText xml:space="preserve"> SEQ Map \* ARABIC </w:instrText>
      </w:r>
      <w:r w:rsidR="00B918A6">
        <w:fldChar w:fldCharType="separate"/>
      </w:r>
      <w:r w:rsidR="0067023A">
        <w:rPr>
          <w:noProof/>
        </w:rPr>
        <w:t>13</w:t>
      </w:r>
      <w:r w:rsidR="00B918A6">
        <w:rPr>
          <w:noProof/>
        </w:rPr>
        <w:fldChar w:fldCharType="end"/>
      </w:r>
      <w:r w:rsidRPr="00881795">
        <w:t>:  Population Density</w:t>
      </w:r>
      <w:bookmarkEnd w:id="194"/>
      <w:bookmarkEnd w:id="195"/>
    </w:p>
    <w:p w14:paraId="267BDC46" w14:textId="77777777" w:rsidR="00DD50CB" w:rsidRPr="00DD50CB" w:rsidRDefault="00DD50CB" w:rsidP="00DD50CB"/>
    <w:p w14:paraId="78BE3614" w14:textId="77777777" w:rsidR="00423134" w:rsidRPr="00AB3846" w:rsidRDefault="00423134" w:rsidP="00750180">
      <w:pPr>
        <w:pStyle w:val="Heading4"/>
        <w:numPr>
          <w:ilvl w:val="3"/>
          <w:numId w:val="29"/>
        </w:numPr>
        <w:spacing w:after="240"/>
      </w:pPr>
      <w:bookmarkStart w:id="196" w:name="_Toc350093410"/>
      <w:bookmarkStart w:id="197" w:name="_Toc389739788"/>
      <w:r w:rsidRPr="00AB3846">
        <w:lastRenderedPageBreak/>
        <w:t>Households</w:t>
      </w:r>
      <w:bookmarkEnd w:id="196"/>
      <w:bookmarkEnd w:id="197"/>
    </w:p>
    <w:p w14:paraId="342D9680" w14:textId="77777777" w:rsidR="00423134" w:rsidRPr="003677A7" w:rsidRDefault="00423134" w:rsidP="00750180">
      <w:pPr>
        <w:pStyle w:val="Heading5"/>
        <w:numPr>
          <w:ilvl w:val="4"/>
          <w:numId w:val="29"/>
        </w:numPr>
      </w:pPr>
      <w:bookmarkStart w:id="198" w:name="_Toc350093411"/>
      <w:bookmarkStart w:id="199" w:name="_Toc389739789"/>
      <w:r w:rsidRPr="003677A7">
        <w:t>Number of Households</w:t>
      </w:r>
      <w:bookmarkEnd w:id="198"/>
      <w:r w:rsidR="00284CFA" w:rsidRPr="003677A7">
        <w:t xml:space="preserve">, Household Distribution and </w:t>
      </w:r>
      <w:r w:rsidR="005F0293" w:rsidRPr="003677A7">
        <w:t>Average Household Size</w:t>
      </w:r>
      <w:bookmarkEnd w:id="199"/>
    </w:p>
    <w:p w14:paraId="53F38271" w14:textId="77777777" w:rsidR="00423134" w:rsidRDefault="00423134" w:rsidP="00AB3846">
      <w:pPr>
        <w:pStyle w:val="Caption"/>
        <w:spacing w:after="0"/>
      </w:pPr>
    </w:p>
    <w:tbl>
      <w:tblPr>
        <w:tblStyle w:val="TableGrid1"/>
        <w:tblW w:w="9329" w:type="dxa"/>
        <w:tblLook w:val="04A0" w:firstRow="1" w:lastRow="0" w:firstColumn="1" w:lastColumn="0" w:noHBand="0" w:noVBand="1"/>
      </w:tblPr>
      <w:tblGrid>
        <w:gridCol w:w="3608"/>
        <w:gridCol w:w="1907"/>
        <w:gridCol w:w="1907"/>
        <w:gridCol w:w="1907"/>
      </w:tblGrid>
      <w:tr w:rsidR="0071239F" w:rsidRPr="00881795" w14:paraId="1DD3A06A" w14:textId="77777777" w:rsidTr="0071239F">
        <w:trPr>
          <w:trHeight w:val="276"/>
        </w:trPr>
        <w:tc>
          <w:tcPr>
            <w:tcW w:w="3608" w:type="dxa"/>
            <w:shd w:val="clear" w:color="auto" w:fill="DAEEF3" w:themeFill="accent5" w:themeFillTint="33"/>
            <w:noWrap/>
            <w:hideMark/>
          </w:tcPr>
          <w:p w14:paraId="3FE01001" w14:textId="77777777" w:rsidR="0071239F" w:rsidRPr="00881795" w:rsidRDefault="0071239F" w:rsidP="00395313">
            <w:pPr>
              <w:jc w:val="both"/>
              <w:rPr>
                <w:rFonts w:cs="Times New Roman"/>
                <w:b/>
                <w:bCs/>
                <w:color w:val="000000"/>
                <w:szCs w:val="20"/>
              </w:rPr>
            </w:pPr>
            <w:r w:rsidRPr="00881795">
              <w:rPr>
                <w:rFonts w:cs="Times New Roman"/>
                <w:b/>
                <w:bCs/>
                <w:color w:val="000000"/>
                <w:szCs w:val="20"/>
              </w:rPr>
              <w:t>uMlalazi</w:t>
            </w:r>
          </w:p>
        </w:tc>
        <w:tc>
          <w:tcPr>
            <w:tcW w:w="1907" w:type="dxa"/>
            <w:shd w:val="clear" w:color="auto" w:fill="DAEEF3" w:themeFill="accent5" w:themeFillTint="33"/>
            <w:noWrap/>
            <w:hideMark/>
          </w:tcPr>
          <w:p w14:paraId="11D2BFDF" w14:textId="77777777" w:rsidR="0071239F" w:rsidRPr="00881795" w:rsidRDefault="0071239F" w:rsidP="00395313">
            <w:pPr>
              <w:jc w:val="both"/>
              <w:rPr>
                <w:rFonts w:cs="Times New Roman"/>
                <w:b/>
                <w:bCs/>
                <w:color w:val="000000"/>
                <w:szCs w:val="20"/>
              </w:rPr>
            </w:pPr>
            <w:r w:rsidRPr="00881795">
              <w:rPr>
                <w:rFonts w:cs="Times New Roman"/>
                <w:b/>
                <w:bCs/>
                <w:color w:val="000000"/>
                <w:szCs w:val="20"/>
              </w:rPr>
              <w:t>2001</w:t>
            </w:r>
          </w:p>
        </w:tc>
        <w:tc>
          <w:tcPr>
            <w:tcW w:w="1907" w:type="dxa"/>
            <w:shd w:val="clear" w:color="auto" w:fill="DAEEF3" w:themeFill="accent5" w:themeFillTint="33"/>
            <w:noWrap/>
            <w:hideMark/>
          </w:tcPr>
          <w:p w14:paraId="5D1788C1" w14:textId="77777777" w:rsidR="0071239F" w:rsidRPr="00881795" w:rsidRDefault="0071239F" w:rsidP="00395313">
            <w:pPr>
              <w:jc w:val="both"/>
              <w:rPr>
                <w:rFonts w:cs="Times New Roman"/>
                <w:b/>
                <w:bCs/>
                <w:color w:val="000000"/>
                <w:szCs w:val="20"/>
              </w:rPr>
            </w:pPr>
            <w:r w:rsidRPr="00881795">
              <w:rPr>
                <w:rFonts w:cs="Times New Roman"/>
                <w:b/>
                <w:bCs/>
                <w:color w:val="000000"/>
                <w:szCs w:val="20"/>
              </w:rPr>
              <w:t>2011</w:t>
            </w:r>
          </w:p>
        </w:tc>
        <w:tc>
          <w:tcPr>
            <w:tcW w:w="1907" w:type="dxa"/>
            <w:shd w:val="clear" w:color="auto" w:fill="DAEEF3" w:themeFill="accent5" w:themeFillTint="33"/>
          </w:tcPr>
          <w:p w14:paraId="6AE63D89" w14:textId="77777777" w:rsidR="0071239F" w:rsidRPr="00881795" w:rsidRDefault="0071239F" w:rsidP="00395313">
            <w:pPr>
              <w:jc w:val="both"/>
              <w:rPr>
                <w:rFonts w:cs="Times New Roman"/>
                <w:b/>
                <w:bCs/>
                <w:color w:val="000000"/>
                <w:szCs w:val="20"/>
              </w:rPr>
            </w:pPr>
            <w:r>
              <w:rPr>
                <w:rFonts w:cs="Times New Roman"/>
                <w:b/>
                <w:bCs/>
                <w:color w:val="000000"/>
                <w:szCs w:val="20"/>
              </w:rPr>
              <w:t>20</w:t>
            </w:r>
            <w:r w:rsidR="00FC5376">
              <w:rPr>
                <w:rFonts w:cs="Times New Roman"/>
                <w:b/>
                <w:bCs/>
                <w:color w:val="000000"/>
                <w:szCs w:val="20"/>
              </w:rPr>
              <w:t>16</w:t>
            </w:r>
          </w:p>
        </w:tc>
      </w:tr>
      <w:tr w:rsidR="0071239F" w:rsidRPr="00881795" w14:paraId="7F8593EF" w14:textId="77777777" w:rsidTr="0071239F">
        <w:trPr>
          <w:trHeight w:val="276"/>
        </w:trPr>
        <w:tc>
          <w:tcPr>
            <w:tcW w:w="3608" w:type="dxa"/>
            <w:noWrap/>
            <w:hideMark/>
          </w:tcPr>
          <w:p w14:paraId="5ABDCEDC" w14:textId="77777777" w:rsidR="0071239F" w:rsidRPr="00881795" w:rsidRDefault="0071239F" w:rsidP="00395313">
            <w:pPr>
              <w:jc w:val="both"/>
              <w:rPr>
                <w:rFonts w:cs="Times New Roman"/>
                <w:b/>
                <w:bCs/>
                <w:color w:val="000000"/>
                <w:szCs w:val="20"/>
              </w:rPr>
            </w:pPr>
            <w:r w:rsidRPr="00881795">
              <w:rPr>
                <w:rFonts w:cs="Times New Roman"/>
                <w:b/>
                <w:bCs/>
                <w:color w:val="000000"/>
                <w:szCs w:val="20"/>
              </w:rPr>
              <w:t>Total Population</w:t>
            </w:r>
          </w:p>
        </w:tc>
        <w:tc>
          <w:tcPr>
            <w:tcW w:w="1907" w:type="dxa"/>
            <w:hideMark/>
          </w:tcPr>
          <w:p w14:paraId="3EB5AB48" w14:textId="77777777" w:rsidR="0071239F" w:rsidRPr="00881795" w:rsidRDefault="0071239F" w:rsidP="00395313">
            <w:pPr>
              <w:jc w:val="both"/>
              <w:rPr>
                <w:rFonts w:cs="Times New Roman"/>
                <w:color w:val="000000"/>
                <w:szCs w:val="20"/>
              </w:rPr>
            </w:pPr>
            <w:r w:rsidRPr="00881795">
              <w:rPr>
                <w:rFonts w:cs="Times New Roman"/>
                <w:color w:val="000000"/>
                <w:szCs w:val="20"/>
              </w:rPr>
              <w:t>209 777</w:t>
            </w:r>
          </w:p>
        </w:tc>
        <w:tc>
          <w:tcPr>
            <w:tcW w:w="1907" w:type="dxa"/>
            <w:hideMark/>
          </w:tcPr>
          <w:p w14:paraId="5A78CF6F" w14:textId="77777777" w:rsidR="0071239F" w:rsidRPr="00881795" w:rsidRDefault="0071239F" w:rsidP="00395313">
            <w:pPr>
              <w:jc w:val="both"/>
              <w:rPr>
                <w:rFonts w:cs="Times New Roman"/>
                <w:color w:val="000000"/>
                <w:szCs w:val="20"/>
              </w:rPr>
            </w:pPr>
            <w:r w:rsidRPr="00881795">
              <w:rPr>
                <w:rFonts w:cs="Times New Roman"/>
                <w:color w:val="000000"/>
                <w:szCs w:val="20"/>
              </w:rPr>
              <w:t>206 961</w:t>
            </w:r>
          </w:p>
        </w:tc>
        <w:tc>
          <w:tcPr>
            <w:tcW w:w="1907" w:type="dxa"/>
          </w:tcPr>
          <w:p w14:paraId="67BAACD7" w14:textId="77777777" w:rsidR="0071239F" w:rsidRPr="00881795" w:rsidRDefault="00C97418" w:rsidP="00395313">
            <w:pPr>
              <w:jc w:val="both"/>
              <w:rPr>
                <w:rFonts w:cs="Times New Roman"/>
                <w:color w:val="000000"/>
                <w:szCs w:val="20"/>
              </w:rPr>
            </w:pPr>
            <w:r>
              <w:rPr>
                <w:rFonts w:cs="Times New Roman"/>
                <w:color w:val="000000"/>
                <w:szCs w:val="20"/>
              </w:rPr>
              <w:t>223 139</w:t>
            </w:r>
          </w:p>
        </w:tc>
      </w:tr>
      <w:tr w:rsidR="0071239F" w:rsidRPr="00881795" w14:paraId="13479EF8" w14:textId="77777777" w:rsidTr="0071239F">
        <w:trPr>
          <w:trHeight w:val="276"/>
        </w:trPr>
        <w:tc>
          <w:tcPr>
            <w:tcW w:w="3608" w:type="dxa"/>
            <w:noWrap/>
            <w:hideMark/>
          </w:tcPr>
          <w:p w14:paraId="4289443D" w14:textId="77777777" w:rsidR="0071239F" w:rsidRPr="00881795" w:rsidRDefault="0071239F" w:rsidP="00395313">
            <w:pPr>
              <w:jc w:val="both"/>
              <w:rPr>
                <w:rFonts w:cs="Times New Roman"/>
                <w:b/>
                <w:bCs/>
                <w:color w:val="000000"/>
                <w:szCs w:val="20"/>
              </w:rPr>
            </w:pPr>
            <w:r w:rsidRPr="00881795">
              <w:rPr>
                <w:rFonts w:cs="Times New Roman"/>
                <w:b/>
                <w:bCs/>
                <w:color w:val="000000"/>
                <w:szCs w:val="20"/>
              </w:rPr>
              <w:t>Number of Households</w:t>
            </w:r>
          </w:p>
        </w:tc>
        <w:tc>
          <w:tcPr>
            <w:tcW w:w="1907" w:type="dxa"/>
            <w:hideMark/>
          </w:tcPr>
          <w:p w14:paraId="270BC149" w14:textId="77777777" w:rsidR="0071239F" w:rsidRPr="00881795" w:rsidRDefault="0071239F" w:rsidP="00395313">
            <w:pPr>
              <w:jc w:val="both"/>
              <w:rPr>
                <w:rFonts w:cs="Times New Roman"/>
                <w:color w:val="212121"/>
                <w:szCs w:val="20"/>
              </w:rPr>
            </w:pPr>
            <w:r w:rsidRPr="00881795">
              <w:rPr>
                <w:rFonts w:cs="Times New Roman"/>
                <w:color w:val="212121"/>
                <w:szCs w:val="20"/>
              </w:rPr>
              <w:t>38 446</w:t>
            </w:r>
          </w:p>
        </w:tc>
        <w:tc>
          <w:tcPr>
            <w:tcW w:w="1907" w:type="dxa"/>
            <w:hideMark/>
          </w:tcPr>
          <w:p w14:paraId="0902E14B" w14:textId="77777777" w:rsidR="0071239F" w:rsidRPr="00881795" w:rsidRDefault="0071239F" w:rsidP="00395313">
            <w:pPr>
              <w:jc w:val="both"/>
              <w:rPr>
                <w:rFonts w:cs="Times New Roman"/>
                <w:color w:val="212121"/>
                <w:szCs w:val="20"/>
              </w:rPr>
            </w:pPr>
            <w:r w:rsidRPr="00881795">
              <w:rPr>
                <w:rFonts w:cs="Times New Roman"/>
                <w:color w:val="212121"/>
                <w:szCs w:val="20"/>
              </w:rPr>
              <w:t>45 062</w:t>
            </w:r>
          </w:p>
        </w:tc>
        <w:tc>
          <w:tcPr>
            <w:tcW w:w="1907" w:type="dxa"/>
          </w:tcPr>
          <w:p w14:paraId="4E89B092" w14:textId="77777777" w:rsidR="0071239F" w:rsidRPr="00881795" w:rsidRDefault="00FC5376" w:rsidP="00395313">
            <w:pPr>
              <w:jc w:val="both"/>
              <w:rPr>
                <w:rFonts w:cs="Times New Roman"/>
                <w:color w:val="212121"/>
                <w:szCs w:val="20"/>
              </w:rPr>
            </w:pPr>
            <w:r>
              <w:rPr>
                <w:rFonts w:cs="Times New Roman"/>
                <w:color w:val="212121"/>
                <w:szCs w:val="20"/>
              </w:rPr>
              <w:t>46 953</w:t>
            </w:r>
          </w:p>
        </w:tc>
      </w:tr>
      <w:tr w:rsidR="0071239F" w:rsidRPr="00881795" w14:paraId="269CD52F" w14:textId="77777777" w:rsidTr="0071239F">
        <w:trPr>
          <w:trHeight w:val="276"/>
        </w:trPr>
        <w:tc>
          <w:tcPr>
            <w:tcW w:w="3608" w:type="dxa"/>
            <w:noWrap/>
            <w:hideMark/>
          </w:tcPr>
          <w:p w14:paraId="3DAA3FF9" w14:textId="77777777" w:rsidR="0071239F" w:rsidRPr="00881795" w:rsidRDefault="0071239F" w:rsidP="00395313">
            <w:pPr>
              <w:jc w:val="both"/>
              <w:rPr>
                <w:rFonts w:cs="Times New Roman"/>
                <w:b/>
                <w:bCs/>
                <w:color w:val="000000"/>
                <w:szCs w:val="20"/>
              </w:rPr>
            </w:pPr>
            <w:r w:rsidRPr="00881795">
              <w:rPr>
                <w:rFonts w:cs="Times New Roman"/>
                <w:b/>
                <w:bCs/>
                <w:color w:val="000000"/>
                <w:szCs w:val="20"/>
              </w:rPr>
              <w:t>Average Household Size</w:t>
            </w:r>
          </w:p>
        </w:tc>
        <w:tc>
          <w:tcPr>
            <w:tcW w:w="1907" w:type="dxa"/>
            <w:hideMark/>
          </w:tcPr>
          <w:p w14:paraId="47650FEB" w14:textId="77777777" w:rsidR="0071239F" w:rsidRPr="00881795" w:rsidRDefault="0071239F" w:rsidP="00395313">
            <w:pPr>
              <w:jc w:val="both"/>
              <w:rPr>
                <w:rFonts w:cs="Times New Roman"/>
                <w:color w:val="000000"/>
                <w:szCs w:val="20"/>
              </w:rPr>
            </w:pPr>
            <w:r w:rsidRPr="00881795">
              <w:rPr>
                <w:rFonts w:cs="Times New Roman"/>
                <w:color w:val="000000"/>
                <w:szCs w:val="20"/>
              </w:rPr>
              <w:t>5.4</w:t>
            </w:r>
          </w:p>
        </w:tc>
        <w:tc>
          <w:tcPr>
            <w:tcW w:w="1907" w:type="dxa"/>
            <w:hideMark/>
          </w:tcPr>
          <w:p w14:paraId="0B2089C2" w14:textId="77777777" w:rsidR="0071239F" w:rsidRPr="00881795" w:rsidRDefault="0071239F" w:rsidP="00395313">
            <w:pPr>
              <w:jc w:val="both"/>
              <w:rPr>
                <w:rFonts w:cs="Times New Roman"/>
                <w:color w:val="000000"/>
                <w:szCs w:val="20"/>
              </w:rPr>
            </w:pPr>
            <w:r w:rsidRPr="00881795">
              <w:rPr>
                <w:rFonts w:cs="Times New Roman"/>
                <w:color w:val="000000"/>
                <w:szCs w:val="20"/>
              </w:rPr>
              <w:t>4.6</w:t>
            </w:r>
          </w:p>
        </w:tc>
        <w:tc>
          <w:tcPr>
            <w:tcW w:w="1907" w:type="dxa"/>
          </w:tcPr>
          <w:p w14:paraId="7A5193B7" w14:textId="77777777" w:rsidR="0071239F" w:rsidRPr="00881795" w:rsidRDefault="00AC26D7" w:rsidP="00395313">
            <w:pPr>
              <w:jc w:val="both"/>
              <w:rPr>
                <w:rFonts w:cs="Times New Roman"/>
                <w:color w:val="000000"/>
                <w:szCs w:val="20"/>
              </w:rPr>
            </w:pPr>
            <w:r>
              <w:rPr>
                <w:rFonts w:cs="Times New Roman"/>
                <w:color w:val="000000"/>
                <w:szCs w:val="20"/>
              </w:rPr>
              <w:t>4.8</w:t>
            </w:r>
          </w:p>
        </w:tc>
      </w:tr>
    </w:tbl>
    <w:p w14:paraId="69AB2FBB" w14:textId="77777777" w:rsidR="003677A7" w:rsidRDefault="003677A7" w:rsidP="002F62F0">
      <w:pPr>
        <w:pStyle w:val="Caption"/>
      </w:pPr>
      <w:bookmarkStart w:id="200" w:name="_Toc510622263"/>
      <w:r>
        <w:t xml:space="preserve">Table </w:t>
      </w:r>
      <w:r w:rsidR="00B918A6">
        <w:fldChar w:fldCharType="begin"/>
      </w:r>
      <w:r w:rsidR="00B918A6">
        <w:instrText xml:space="preserve"> SEQ Table \* ARABIC </w:instrText>
      </w:r>
      <w:r w:rsidR="00B918A6">
        <w:fldChar w:fldCharType="separate"/>
      </w:r>
      <w:r w:rsidR="0067023A">
        <w:rPr>
          <w:noProof/>
        </w:rPr>
        <w:t>13</w:t>
      </w:r>
      <w:r w:rsidR="00B918A6">
        <w:rPr>
          <w:noProof/>
        </w:rPr>
        <w:fldChar w:fldCharType="end"/>
      </w:r>
      <w:r>
        <w:t>: Number of Households</w:t>
      </w:r>
      <w:r w:rsidR="00FC5376">
        <w:t xml:space="preserve"> (2016)</w:t>
      </w:r>
      <w:bookmarkEnd w:id="200"/>
    </w:p>
    <w:tbl>
      <w:tblPr>
        <w:tblW w:w="9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3840"/>
        <w:gridCol w:w="960"/>
        <w:gridCol w:w="960"/>
        <w:gridCol w:w="960"/>
      </w:tblGrid>
      <w:tr w:rsidR="00FC5376" w:rsidRPr="00FC5376" w14:paraId="20F1AE40" w14:textId="77777777" w:rsidTr="00FC5376">
        <w:trPr>
          <w:trHeight w:val="330"/>
        </w:trPr>
        <w:tc>
          <w:tcPr>
            <w:tcW w:w="2700" w:type="dxa"/>
            <w:shd w:val="clear" w:color="auto" w:fill="92D050"/>
            <w:vAlign w:val="center"/>
          </w:tcPr>
          <w:p w14:paraId="675319F5" w14:textId="77777777" w:rsidR="00FC5376" w:rsidRPr="00FC5376" w:rsidRDefault="00FC5376" w:rsidP="00FC5376">
            <w:pPr>
              <w:spacing w:after="0" w:line="240" w:lineRule="auto"/>
              <w:jc w:val="center"/>
              <w:rPr>
                <w:b/>
                <w:sz w:val="22"/>
                <w:szCs w:val="20"/>
              </w:rPr>
            </w:pPr>
            <w:r w:rsidRPr="00FC5376">
              <w:rPr>
                <w:b/>
                <w:sz w:val="22"/>
                <w:szCs w:val="20"/>
              </w:rPr>
              <w:t>INDICATOR</w:t>
            </w:r>
          </w:p>
        </w:tc>
        <w:tc>
          <w:tcPr>
            <w:tcW w:w="3840" w:type="dxa"/>
            <w:shd w:val="clear" w:color="auto" w:fill="92D050"/>
            <w:noWrap/>
            <w:vAlign w:val="bottom"/>
          </w:tcPr>
          <w:p w14:paraId="7A17C3F6" w14:textId="77777777" w:rsidR="00FC5376" w:rsidRPr="00FC5376" w:rsidRDefault="00FC5376" w:rsidP="00FC5376">
            <w:pPr>
              <w:spacing w:after="0" w:line="240" w:lineRule="auto"/>
              <w:jc w:val="center"/>
              <w:rPr>
                <w:b/>
                <w:sz w:val="22"/>
                <w:szCs w:val="20"/>
              </w:rPr>
            </w:pPr>
            <w:r>
              <w:rPr>
                <w:b/>
                <w:sz w:val="22"/>
                <w:szCs w:val="20"/>
              </w:rPr>
              <w:t>CATEGORY</w:t>
            </w:r>
          </w:p>
        </w:tc>
        <w:tc>
          <w:tcPr>
            <w:tcW w:w="960" w:type="dxa"/>
            <w:shd w:val="clear" w:color="auto" w:fill="92D050"/>
            <w:noWrap/>
            <w:vAlign w:val="bottom"/>
          </w:tcPr>
          <w:p w14:paraId="7CC5AD26" w14:textId="77777777" w:rsidR="00FC5376" w:rsidRPr="00FC5376" w:rsidRDefault="00FC5376" w:rsidP="00FC5376">
            <w:pPr>
              <w:spacing w:after="0" w:line="240" w:lineRule="auto"/>
              <w:jc w:val="center"/>
              <w:rPr>
                <w:b/>
                <w:sz w:val="22"/>
                <w:szCs w:val="20"/>
              </w:rPr>
            </w:pPr>
            <w:r w:rsidRPr="00FC5376">
              <w:rPr>
                <w:b/>
                <w:sz w:val="22"/>
                <w:szCs w:val="20"/>
              </w:rPr>
              <w:t>KZN</w:t>
            </w:r>
          </w:p>
        </w:tc>
        <w:tc>
          <w:tcPr>
            <w:tcW w:w="960" w:type="dxa"/>
            <w:shd w:val="clear" w:color="auto" w:fill="92D050"/>
            <w:noWrap/>
            <w:vAlign w:val="bottom"/>
          </w:tcPr>
          <w:p w14:paraId="46908384" w14:textId="77777777" w:rsidR="00FC5376" w:rsidRPr="00FC5376" w:rsidRDefault="00FC5376" w:rsidP="00FC5376">
            <w:pPr>
              <w:spacing w:after="0" w:line="240" w:lineRule="auto"/>
              <w:jc w:val="center"/>
              <w:rPr>
                <w:b/>
                <w:sz w:val="22"/>
                <w:szCs w:val="20"/>
              </w:rPr>
            </w:pPr>
            <w:r w:rsidRPr="00FC5376">
              <w:rPr>
                <w:b/>
                <w:sz w:val="22"/>
                <w:szCs w:val="20"/>
              </w:rPr>
              <w:t>KCDM</w:t>
            </w:r>
          </w:p>
        </w:tc>
        <w:tc>
          <w:tcPr>
            <w:tcW w:w="960" w:type="dxa"/>
            <w:shd w:val="clear" w:color="auto" w:fill="92D050"/>
            <w:noWrap/>
            <w:vAlign w:val="bottom"/>
          </w:tcPr>
          <w:p w14:paraId="31122A68" w14:textId="77777777" w:rsidR="00FC5376" w:rsidRPr="00FC5376" w:rsidRDefault="00FC5376" w:rsidP="00FC5376">
            <w:pPr>
              <w:spacing w:after="0" w:line="240" w:lineRule="auto"/>
              <w:jc w:val="center"/>
              <w:rPr>
                <w:b/>
                <w:sz w:val="22"/>
                <w:szCs w:val="20"/>
              </w:rPr>
            </w:pPr>
            <w:r w:rsidRPr="00FC5376">
              <w:rPr>
                <w:b/>
                <w:sz w:val="22"/>
                <w:szCs w:val="20"/>
              </w:rPr>
              <w:t>uMLM</w:t>
            </w:r>
          </w:p>
        </w:tc>
      </w:tr>
      <w:tr w:rsidR="00FC5376" w:rsidRPr="00FC5376" w14:paraId="1CB3C9D3" w14:textId="77777777" w:rsidTr="00FC5376">
        <w:trPr>
          <w:trHeight w:val="330"/>
        </w:trPr>
        <w:tc>
          <w:tcPr>
            <w:tcW w:w="2700" w:type="dxa"/>
            <w:shd w:val="clear" w:color="auto" w:fill="FDE9D9" w:themeFill="accent6" w:themeFillTint="33"/>
            <w:vAlign w:val="center"/>
            <w:hideMark/>
          </w:tcPr>
          <w:p w14:paraId="72B69840" w14:textId="77777777" w:rsidR="00FC5376" w:rsidRPr="00FC5376" w:rsidRDefault="00FC5376" w:rsidP="00FC5376">
            <w:pPr>
              <w:spacing w:after="0" w:line="240" w:lineRule="auto"/>
              <w:rPr>
                <w:b/>
                <w:szCs w:val="20"/>
              </w:rPr>
            </w:pPr>
            <w:r w:rsidRPr="00FC5376">
              <w:rPr>
                <w:b/>
                <w:szCs w:val="20"/>
              </w:rPr>
              <w:t>Number of households</w:t>
            </w:r>
          </w:p>
        </w:tc>
        <w:tc>
          <w:tcPr>
            <w:tcW w:w="3840" w:type="dxa"/>
            <w:shd w:val="clear" w:color="auto" w:fill="FDE9D9" w:themeFill="accent6" w:themeFillTint="33"/>
            <w:noWrap/>
            <w:vAlign w:val="bottom"/>
            <w:hideMark/>
          </w:tcPr>
          <w:p w14:paraId="61FBC8A2" w14:textId="77777777" w:rsidR="00FC5376" w:rsidRPr="00FC5376" w:rsidRDefault="00FC5376" w:rsidP="00FC5376">
            <w:pPr>
              <w:spacing w:after="0" w:line="240" w:lineRule="auto"/>
              <w:rPr>
                <w:szCs w:val="20"/>
              </w:rPr>
            </w:pPr>
            <w:r w:rsidRPr="00FC5376">
              <w:rPr>
                <w:szCs w:val="20"/>
              </w:rPr>
              <w:t>Number of households</w:t>
            </w:r>
          </w:p>
        </w:tc>
        <w:tc>
          <w:tcPr>
            <w:tcW w:w="960" w:type="dxa"/>
            <w:shd w:val="clear" w:color="auto" w:fill="FDE9D9" w:themeFill="accent6" w:themeFillTint="33"/>
            <w:noWrap/>
            <w:vAlign w:val="bottom"/>
            <w:hideMark/>
          </w:tcPr>
          <w:p w14:paraId="134CD296" w14:textId="77777777" w:rsidR="00FC5376" w:rsidRPr="00FC5376" w:rsidRDefault="00FC5376" w:rsidP="00FC5376">
            <w:pPr>
              <w:spacing w:after="0" w:line="240" w:lineRule="auto"/>
              <w:jc w:val="right"/>
              <w:rPr>
                <w:szCs w:val="20"/>
              </w:rPr>
            </w:pPr>
            <w:r w:rsidRPr="00FC5376">
              <w:rPr>
                <w:szCs w:val="20"/>
              </w:rPr>
              <w:t>2875843</w:t>
            </w:r>
          </w:p>
        </w:tc>
        <w:tc>
          <w:tcPr>
            <w:tcW w:w="960" w:type="dxa"/>
            <w:shd w:val="clear" w:color="auto" w:fill="FDE9D9" w:themeFill="accent6" w:themeFillTint="33"/>
            <w:noWrap/>
            <w:vAlign w:val="bottom"/>
            <w:hideMark/>
          </w:tcPr>
          <w:p w14:paraId="05376EE8" w14:textId="77777777" w:rsidR="00FC5376" w:rsidRPr="00FC5376" w:rsidRDefault="00FC5376" w:rsidP="00FC5376">
            <w:pPr>
              <w:spacing w:after="0" w:line="240" w:lineRule="auto"/>
              <w:jc w:val="right"/>
              <w:rPr>
                <w:szCs w:val="20"/>
              </w:rPr>
            </w:pPr>
            <w:r w:rsidRPr="00FC5376">
              <w:rPr>
                <w:szCs w:val="20"/>
              </w:rPr>
              <w:t>225797</w:t>
            </w:r>
          </w:p>
        </w:tc>
        <w:tc>
          <w:tcPr>
            <w:tcW w:w="960" w:type="dxa"/>
            <w:shd w:val="clear" w:color="auto" w:fill="FDE9D9" w:themeFill="accent6" w:themeFillTint="33"/>
            <w:noWrap/>
            <w:vAlign w:val="bottom"/>
            <w:hideMark/>
          </w:tcPr>
          <w:p w14:paraId="3AA6666A" w14:textId="77777777" w:rsidR="00FC5376" w:rsidRPr="00FC5376" w:rsidRDefault="00FC5376" w:rsidP="00FC5376">
            <w:pPr>
              <w:spacing w:after="0" w:line="240" w:lineRule="auto"/>
              <w:jc w:val="right"/>
              <w:rPr>
                <w:szCs w:val="20"/>
              </w:rPr>
            </w:pPr>
            <w:r w:rsidRPr="00FC5376">
              <w:rPr>
                <w:szCs w:val="20"/>
              </w:rPr>
              <w:t>46953</w:t>
            </w:r>
          </w:p>
        </w:tc>
      </w:tr>
      <w:tr w:rsidR="00FC5376" w:rsidRPr="00FC5376" w14:paraId="3C75D9DB" w14:textId="77777777" w:rsidTr="00FC5376">
        <w:trPr>
          <w:trHeight w:val="300"/>
        </w:trPr>
        <w:tc>
          <w:tcPr>
            <w:tcW w:w="2700" w:type="dxa"/>
            <w:vMerge w:val="restart"/>
            <w:shd w:val="clear" w:color="auto" w:fill="DDD9C3" w:themeFill="background2" w:themeFillShade="E6"/>
            <w:vAlign w:val="center"/>
            <w:hideMark/>
          </w:tcPr>
          <w:p w14:paraId="38526AE9" w14:textId="77777777" w:rsidR="00FC5376" w:rsidRPr="00FC5376" w:rsidRDefault="00FC5376" w:rsidP="00FC5376">
            <w:pPr>
              <w:spacing w:after="0" w:line="240" w:lineRule="auto"/>
              <w:rPr>
                <w:b/>
                <w:szCs w:val="20"/>
              </w:rPr>
            </w:pPr>
            <w:r w:rsidRPr="00FC5376">
              <w:rPr>
                <w:b/>
                <w:szCs w:val="20"/>
              </w:rPr>
              <w:t>Household percentage share by population group</w:t>
            </w:r>
          </w:p>
        </w:tc>
        <w:tc>
          <w:tcPr>
            <w:tcW w:w="3840" w:type="dxa"/>
            <w:shd w:val="clear" w:color="auto" w:fill="DDD9C3" w:themeFill="background2" w:themeFillShade="E6"/>
            <w:noWrap/>
            <w:vAlign w:val="bottom"/>
            <w:hideMark/>
          </w:tcPr>
          <w:p w14:paraId="4CDC3C85" w14:textId="77777777" w:rsidR="00FC5376" w:rsidRPr="00FC5376" w:rsidRDefault="00FC5376" w:rsidP="00FC5376">
            <w:pPr>
              <w:spacing w:after="0" w:line="240" w:lineRule="auto"/>
              <w:rPr>
                <w:szCs w:val="20"/>
              </w:rPr>
            </w:pPr>
            <w:r w:rsidRPr="00FC5376">
              <w:rPr>
                <w:szCs w:val="20"/>
              </w:rPr>
              <w:t>Black/African</w:t>
            </w:r>
          </w:p>
        </w:tc>
        <w:tc>
          <w:tcPr>
            <w:tcW w:w="960" w:type="dxa"/>
            <w:shd w:val="clear" w:color="auto" w:fill="DDD9C3" w:themeFill="background2" w:themeFillShade="E6"/>
            <w:noWrap/>
            <w:vAlign w:val="bottom"/>
            <w:hideMark/>
          </w:tcPr>
          <w:p w14:paraId="380A85EB" w14:textId="77777777" w:rsidR="00FC5376" w:rsidRPr="00FC5376" w:rsidRDefault="00FC5376" w:rsidP="00FC5376">
            <w:pPr>
              <w:spacing w:after="0" w:line="240" w:lineRule="auto"/>
              <w:jc w:val="right"/>
              <w:rPr>
                <w:szCs w:val="20"/>
              </w:rPr>
            </w:pPr>
            <w:r w:rsidRPr="00FC5376">
              <w:rPr>
                <w:szCs w:val="20"/>
              </w:rPr>
              <w:t>2443359</w:t>
            </w:r>
          </w:p>
        </w:tc>
        <w:tc>
          <w:tcPr>
            <w:tcW w:w="960" w:type="dxa"/>
            <w:shd w:val="clear" w:color="auto" w:fill="DDD9C3" w:themeFill="background2" w:themeFillShade="E6"/>
            <w:noWrap/>
            <w:vAlign w:val="bottom"/>
            <w:hideMark/>
          </w:tcPr>
          <w:p w14:paraId="06C06CC7" w14:textId="77777777" w:rsidR="00FC5376" w:rsidRPr="00FC5376" w:rsidRDefault="00FC5376" w:rsidP="00FC5376">
            <w:pPr>
              <w:spacing w:after="0" w:line="240" w:lineRule="auto"/>
              <w:jc w:val="right"/>
              <w:rPr>
                <w:szCs w:val="20"/>
              </w:rPr>
            </w:pPr>
            <w:r w:rsidRPr="00FC5376">
              <w:rPr>
                <w:szCs w:val="20"/>
              </w:rPr>
              <w:t>210446</w:t>
            </w:r>
          </w:p>
        </w:tc>
        <w:tc>
          <w:tcPr>
            <w:tcW w:w="960" w:type="dxa"/>
            <w:shd w:val="clear" w:color="auto" w:fill="DDD9C3" w:themeFill="background2" w:themeFillShade="E6"/>
            <w:noWrap/>
            <w:vAlign w:val="bottom"/>
            <w:hideMark/>
          </w:tcPr>
          <w:p w14:paraId="1F19D10E" w14:textId="77777777" w:rsidR="00FC5376" w:rsidRPr="00FC5376" w:rsidRDefault="00FC5376" w:rsidP="00FC5376">
            <w:pPr>
              <w:spacing w:after="0" w:line="240" w:lineRule="auto"/>
              <w:jc w:val="right"/>
              <w:rPr>
                <w:szCs w:val="20"/>
              </w:rPr>
            </w:pPr>
            <w:r w:rsidRPr="00FC5376">
              <w:rPr>
                <w:szCs w:val="20"/>
              </w:rPr>
              <w:t>44958</w:t>
            </w:r>
          </w:p>
        </w:tc>
      </w:tr>
      <w:tr w:rsidR="00FC5376" w:rsidRPr="00FC5376" w14:paraId="19D6A9F5" w14:textId="77777777" w:rsidTr="00FC5376">
        <w:trPr>
          <w:trHeight w:val="300"/>
        </w:trPr>
        <w:tc>
          <w:tcPr>
            <w:tcW w:w="2700" w:type="dxa"/>
            <w:vMerge/>
            <w:shd w:val="clear" w:color="auto" w:fill="DDD9C3" w:themeFill="background2" w:themeFillShade="E6"/>
            <w:vAlign w:val="center"/>
            <w:hideMark/>
          </w:tcPr>
          <w:p w14:paraId="10338340" w14:textId="77777777" w:rsidR="00FC5376" w:rsidRPr="00FC5376" w:rsidRDefault="00FC5376" w:rsidP="00FC5376">
            <w:pPr>
              <w:spacing w:after="0" w:line="240" w:lineRule="auto"/>
              <w:rPr>
                <w:b/>
                <w:szCs w:val="20"/>
              </w:rPr>
            </w:pPr>
          </w:p>
        </w:tc>
        <w:tc>
          <w:tcPr>
            <w:tcW w:w="3840" w:type="dxa"/>
            <w:shd w:val="clear" w:color="auto" w:fill="DDD9C3" w:themeFill="background2" w:themeFillShade="E6"/>
            <w:noWrap/>
            <w:vAlign w:val="bottom"/>
            <w:hideMark/>
          </w:tcPr>
          <w:p w14:paraId="233ED5D0" w14:textId="77777777" w:rsidR="00FC5376" w:rsidRPr="00FC5376" w:rsidRDefault="00FC5376" w:rsidP="00FC5376">
            <w:pPr>
              <w:spacing w:after="0" w:line="240" w:lineRule="auto"/>
              <w:rPr>
                <w:szCs w:val="20"/>
              </w:rPr>
            </w:pPr>
            <w:r w:rsidRPr="00FC5376">
              <w:rPr>
                <w:szCs w:val="20"/>
              </w:rPr>
              <w:t>Coloured</w:t>
            </w:r>
          </w:p>
        </w:tc>
        <w:tc>
          <w:tcPr>
            <w:tcW w:w="960" w:type="dxa"/>
            <w:shd w:val="clear" w:color="auto" w:fill="DDD9C3" w:themeFill="background2" w:themeFillShade="E6"/>
            <w:noWrap/>
            <w:vAlign w:val="bottom"/>
            <w:hideMark/>
          </w:tcPr>
          <w:p w14:paraId="3C9D62CE" w14:textId="77777777" w:rsidR="00FC5376" w:rsidRPr="00FC5376" w:rsidRDefault="00FC5376" w:rsidP="00FC5376">
            <w:pPr>
              <w:spacing w:after="0" w:line="240" w:lineRule="auto"/>
              <w:jc w:val="right"/>
              <w:rPr>
                <w:szCs w:val="20"/>
              </w:rPr>
            </w:pPr>
            <w:r w:rsidRPr="00FC5376">
              <w:rPr>
                <w:szCs w:val="20"/>
              </w:rPr>
              <w:t>50955</w:t>
            </w:r>
          </w:p>
        </w:tc>
        <w:tc>
          <w:tcPr>
            <w:tcW w:w="960" w:type="dxa"/>
            <w:shd w:val="clear" w:color="auto" w:fill="DDD9C3" w:themeFill="background2" w:themeFillShade="E6"/>
            <w:noWrap/>
            <w:vAlign w:val="bottom"/>
            <w:hideMark/>
          </w:tcPr>
          <w:p w14:paraId="7CE4554B" w14:textId="77777777" w:rsidR="00FC5376" w:rsidRPr="00FC5376" w:rsidRDefault="00FC5376" w:rsidP="00FC5376">
            <w:pPr>
              <w:spacing w:after="0" w:line="240" w:lineRule="auto"/>
              <w:jc w:val="right"/>
              <w:rPr>
                <w:szCs w:val="20"/>
              </w:rPr>
            </w:pPr>
            <w:r w:rsidRPr="00FC5376">
              <w:rPr>
                <w:szCs w:val="20"/>
              </w:rPr>
              <w:t>2128</w:t>
            </w:r>
          </w:p>
        </w:tc>
        <w:tc>
          <w:tcPr>
            <w:tcW w:w="960" w:type="dxa"/>
            <w:shd w:val="clear" w:color="auto" w:fill="DDD9C3" w:themeFill="background2" w:themeFillShade="E6"/>
            <w:noWrap/>
            <w:vAlign w:val="bottom"/>
            <w:hideMark/>
          </w:tcPr>
          <w:p w14:paraId="5EA923FE" w14:textId="77777777" w:rsidR="00FC5376" w:rsidRPr="00FC5376" w:rsidRDefault="00FC5376" w:rsidP="00FC5376">
            <w:pPr>
              <w:spacing w:after="0" w:line="240" w:lineRule="auto"/>
              <w:jc w:val="right"/>
              <w:rPr>
                <w:szCs w:val="20"/>
              </w:rPr>
            </w:pPr>
            <w:r w:rsidRPr="00FC5376">
              <w:rPr>
                <w:szCs w:val="20"/>
              </w:rPr>
              <w:t>513</w:t>
            </w:r>
          </w:p>
        </w:tc>
      </w:tr>
      <w:tr w:rsidR="00FC5376" w:rsidRPr="00FC5376" w14:paraId="2051E64E" w14:textId="77777777" w:rsidTr="00FC5376">
        <w:trPr>
          <w:trHeight w:val="300"/>
        </w:trPr>
        <w:tc>
          <w:tcPr>
            <w:tcW w:w="2700" w:type="dxa"/>
            <w:vMerge/>
            <w:shd w:val="clear" w:color="auto" w:fill="DDD9C3" w:themeFill="background2" w:themeFillShade="E6"/>
            <w:vAlign w:val="center"/>
            <w:hideMark/>
          </w:tcPr>
          <w:p w14:paraId="5B42D7F2" w14:textId="77777777" w:rsidR="00FC5376" w:rsidRPr="00FC5376" w:rsidRDefault="00FC5376" w:rsidP="00FC5376">
            <w:pPr>
              <w:spacing w:after="0" w:line="240" w:lineRule="auto"/>
              <w:rPr>
                <w:b/>
                <w:szCs w:val="20"/>
              </w:rPr>
            </w:pPr>
          </w:p>
        </w:tc>
        <w:tc>
          <w:tcPr>
            <w:tcW w:w="3840" w:type="dxa"/>
            <w:shd w:val="clear" w:color="auto" w:fill="DDD9C3" w:themeFill="background2" w:themeFillShade="E6"/>
            <w:noWrap/>
            <w:vAlign w:val="bottom"/>
            <w:hideMark/>
          </w:tcPr>
          <w:p w14:paraId="2E6344BE" w14:textId="77777777" w:rsidR="00FC5376" w:rsidRPr="00FC5376" w:rsidRDefault="00FC5376" w:rsidP="00FC5376">
            <w:pPr>
              <w:spacing w:after="0" w:line="240" w:lineRule="auto"/>
              <w:rPr>
                <w:szCs w:val="20"/>
              </w:rPr>
            </w:pPr>
            <w:r w:rsidRPr="00FC5376">
              <w:rPr>
                <w:szCs w:val="20"/>
              </w:rPr>
              <w:t>Indian/Asian</w:t>
            </w:r>
          </w:p>
        </w:tc>
        <w:tc>
          <w:tcPr>
            <w:tcW w:w="960" w:type="dxa"/>
            <w:shd w:val="clear" w:color="auto" w:fill="DDD9C3" w:themeFill="background2" w:themeFillShade="E6"/>
            <w:noWrap/>
            <w:vAlign w:val="bottom"/>
            <w:hideMark/>
          </w:tcPr>
          <w:p w14:paraId="31510118" w14:textId="77777777" w:rsidR="00FC5376" w:rsidRPr="00FC5376" w:rsidRDefault="00FC5376" w:rsidP="00FC5376">
            <w:pPr>
              <w:spacing w:after="0" w:line="240" w:lineRule="auto"/>
              <w:jc w:val="right"/>
              <w:rPr>
                <w:szCs w:val="20"/>
              </w:rPr>
            </w:pPr>
            <w:r w:rsidRPr="00FC5376">
              <w:rPr>
                <w:szCs w:val="20"/>
              </w:rPr>
              <w:t>246441</w:t>
            </w:r>
          </w:p>
        </w:tc>
        <w:tc>
          <w:tcPr>
            <w:tcW w:w="960" w:type="dxa"/>
            <w:shd w:val="clear" w:color="auto" w:fill="DDD9C3" w:themeFill="background2" w:themeFillShade="E6"/>
            <w:noWrap/>
            <w:vAlign w:val="bottom"/>
            <w:hideMark/>
          </w:tcPr>
          <w:p w14:paraId="0BA3C7EB" w14:textId="77777777" w:rsidR="00FC5376" w:rsidRPr="00FC5376" w:rsidRDefault="00FC5376" w:rsidP="00FC5376">
            <w:pPr>
              <w:spacing w:after="0" w:line="240" w:lineRule="auto"/>
              <w:jc w:val="right"/>
              <w:rPr>
                <w:szCs w:val="20"/>
              </w:rPr>
            </w:pPr>
            <w:r w:rsidRPr="00FC5376">
              <w:rPr>
                <w:szCs w:val="20"/>
              </w:rPr>
              <w:t>5018</w:t>
            </w:r>
          </w:p>
        </w:tc>
        <w:tc>
          <w:tcPr>
            <w:tcW w:w="960" w:type="dxa"/>
            <w:shd w:val="clear" w:color="auto" w:fill="DDD9C3" w:themeFill="background2" w:themeFillShade="E6"/>
            <w:noWrap/>
            <w:vAlign w:val="bottom"/>
            <w:hideMark/>
          </w:tcPr>
          <w:p w14:paraId="25393FD0" w14:textId="77777777" w:rsidR="00FC5376" w:rsidRPr="00FC5376" w:rsidRDefault="00FC5376" w:rsidP="00FC5376">
            <w:pPr>
              <w:spacing w:after="0" w:line="240" w:lineRule="auto"/>
              <w:jc w:val="right"/>
              <w:rPr>
                <w:szCs w:val="20"/>
              </w:rPr>
            </w:pPr>
            <w:r w:rsidRPr="00FC5376">
              <w:rPr>
                <w:szCs w:val="20"/>
              </w:rPr>
              <w:t>636</w:t>
            </w:r>
          </w:p>
        </w:tc>
      </w:tr>
      <w:tr w:rsidR="00FC5376" w:rsidRPr="00FC5376" w14:paraId="5B213400" w14:textId="77777777" w:rsidTr="00FC5376">
        <w:trPr>
          <w:trHeight w:val="300"/>
        </w:trPr>
        <w:tc>
          <w:tcPr>
            <w:tcW w:w="2700" w:type="dxa"/>
            <w:vMerge/>
            <w:shd w:val="clear" w:color="auto" w:fill="DDD9C3" w:themeFill="background2" w:themeFillShade="E6"/>
            <w:vAlign w:val="center"/>
            <w:hideMark/>
          </w:tcPr>
          <w:p w14:paraId="00FD0CB7" w14:textId="77777777" w:rsidR="00FC5376" w:rsidRPr="00FC5376" w:rsidRDefault="00FC5376" w:rsidP="00FC5376">
            <w:pPr>
              <w:spacing w:after="0" w:line="240" w:lineRule="auto"/>
              <w:rPr>
                <w:b/>
                <w:szCs w:val="20"/>
              </w:rPr>
            </w:pPr>
          </w:p>
        </w:tc>
        <w:tc>
          <w:tcPr>
            <w:tcW w:w="3840" w:type="dxa"/>
            <w:shd w:val="clear" w:color="auto" w:fill="DDD9C3" w:themeFill="background2" w:themeFillShade="E6"/>
            <w:noWrap/>
            <w:vAlign w:val="bottom"/>
            <w:hideMark/>
          </w:tcPr>
          <w:p w14:paraId="06DD7BCF" w14:textId="77777777" w:rsidR="00FC5376" w:rsidRPr="00FC5376" w:rsidRDefault="00FC5376" w:rsidP="00FC5376">
            <w:pPr>
              <w:spacing w:after="0" w:line="240" w:lineRule="auto"/>
              <w:rPr>
                <w:szCs w:val="20"/>
              </w:rPr>
            </w:pPr>
            <w:r w:rsidRPr="00FC5376">
              <w:rPr>
                <w:szCs w:val="20"/>
              </w:rPr>
              <w:t>White</w:t>
            </w:r>
          </w:p>
        </w:tc>
        <w:tc>
          <w:tcPr>
            <w:tcW w:w="960" w:type="dxa"/>
            <w:shd w:val="clear" w:color="auto" w:fill="DDD9C3" w:themeFill="background2" w:themeFillShade="E6"/>
            <w:noWrap/>
            <w:vAlign w:val="bottom"/>
            <w:hideMark/>
          </w:tcPr>
          <w:p w14:paraId="79E377EF" w14:textId="77777777" w:rsidR="00FC5376" w:rsidRPr="00FC5376" w:rsidRDefault="00FC5376" w:rsidP="00FC5376">
            <w:pPr>
              <w:spacing w:after="0" w:line="240" w:lineRule="auto"/>
              <w:jc w:val="right"/>
              <w:rPr>
                <w:szCs w:val="20"/>
              </w:rPr>
            </w:pPr>
            <w:r w:rsidRPr="00FC5376">
              <w:rPr>
                <w:szCs w:val="20"/>
              </w:rPr>
              <w:t>168005</w:t>
            </w:r>
          </w:p>
        </w:tc>
        <w:tc>
          <w:tcPr>
            <w:tcW w:w="960" w:type="dxa"/>
            <w:shd w:val="clear" w:color="auto" w:fill="DDD9C3" w:themeFill="background2" w:themeFillShade="E6"/>
            <w:noWrap/>
            <w:vAlign w:val="bottom"/>
            <w:hideMark/>
          </w:tcPr>
          <w:p w14:paraId="267CF8F6" w14:textId="77777777" w:rsidR="00FC5376" w:rsidRPr="00FC5376" w:rsidRDefault="00FC5376" w:rsidP="00FC5376">
            <w:pPr>
              <w:spacing w:after="0" w:line="240" w:lineRule="auto"/>
              <w:jc w:val="right"/>
              <w:rPr>
                <w:szCs w:val="20"/>
              </w:rPr>
            </w:pPr>
            <w:r w:rsidRPr="00FC5376">
              <w:rPr>
                <w:szCs w:val="20"/>
              </w:rPr>
              <w:t>10091</w:t>
            </w:r>
          </w:p>
        </w:tc>
        <w:tc>
          <w:tcPr>
            <w:tcW w:w="960" w:type="dxa"/>
            <w:shd w:val="clear" w:color="auto" w:fill="DDD9C3" w:themeFill="background2" w:themeFillShade="E6"/>
            <w:noWrap/>
            <w:vAlign w:val="bottom"/>
            <w:hideMark/>
          </w:tcPr>
          <w:p w14:paraId="2367AB3E" w14:textId="77777777" w:rsidR="00FC5376" w:rsidRPr="00FC5376" w:rsidRDefault="00FC5376" w:rsidP="00FC5376">
            <w:pPr>
              <w:spacing w:after="0" w:line="240" w:lineRule="auto"/>
              <w:jc w:val="right"/>
              <w:rPr>
                <w:szCs w:val="20"/>
              </w:rPr>
            </w:pPr>
            <w:r w:rsidRPr="00FC5376">
              <w:rPr>
                <w:szCs w:val="20"/>
              </w:rPr>
              <w:t>1220</w:t>
            </w:r>
          </w:p>
        </w:tc>
      </w:tr>
      <w:tr w:rsidR="00FC5376" w:rsidRPr="00FC5376" w14:paraId="24814CBE" w14:textId="77777777" w:rsidTr="00FC5376">
        <w:trPr>
          <w:trHeight w:val="300"/>
        </w:trPr>
        <w:tc>
          <w:tcPr>
            <w:tcW w:w="2700" w:type="dxa"/>
            <w:vMerge w:val="restart"/>
            <w:shd w:val="clear" w:color="auto" w:fill="DBE5F1" w:themeFill="accent1" w:themeFillTint="33"/>
            <w:vAlign w:val="center"/>
            <w:hideMark/>
          </w:tcPr>
          <w:p w14:paraId="23D4D2F9" w14:textId="77777777" w:rsidR="00FC5376" w:rsidRPr="00FC5376" w:rsidRDefault="00FC5376" w:rsidP="00FC5376">
            <w:pPr>
              <w:spacing w:after="0" w:line="240" w:lineRule="auto"/>
              <w:rPr>
                <w:b/>
                <w:szCs w:val="20"/>
              </w:rPr>
            </w:pPr>
            <w:r w:rsidRPr="00FC5376">
              <w:rPr>
                <w:b/>
                <w:szCs w:val="20"/>
              </w:rPr>
              <w:t>Head of household (gender)</w:t>
            </w:r>
          </w:p>
        </w:tc>
        <w:tc>
          <w:tcPr>
            <w:tcW w:w="3840" w:type="dxa"/>
            <w:shd w:val="clear" w:color="auto" w:fill="DBE5F1" w:themeFill="accent1" w:themeFillTint="33"/>
            <w:noWrap/>
            <w:vAlign w:val="bottom"/>
            <w:hideMark/>
          </w:tcPr>
          <w:p w14:paraId="36AE4E4F" w14:textId="77777777" w:rsidR="00FC5376" w:rsidRPr="00FC5376" w:rsidRDefault="00FC5376" w:rsidP="00FC5376">
            <w:pPr>
              <w:spacing w:after="0" w:line="240" w:lineRule="auto"/>
              <w:rPr>
                <w:szCs w:val="20"/>
              </w:rPr>
            </w:pPr>
            <w:r w:rsidRPr="00FC5376">
              <w:rPr>
                <w:szCs w:val="20"/>
              </w:rPr>
              <w:t>Male</w:t>
            </w:r>
          </w:p>
        </w:tc>
        <w:tc>
          <w:tcPr>
            <w:tcW w:w="960" w:type="dxa"/>
            <w:shd w:val="clear" w:color="auto" w:fill="DBE5F1" w:themeFill="accent1" w:themeFillTint="33"/>
            <w:noWrap/>
            <w:vAlign w:val="bottom"/>
            <w:hideMark/>
          </w:tcPr>
          <w:p w14:paraId="57FEFAD9" w14:textId="77777777" w:rsidR="00FC5376" w:rsidRPr="00FC5376" w:rsidRDefault="00FC5376" w:rsidP="00FC5376">
            <w:pPr>
              <w:spacing w:after="0" w:line="240" w:lineRule="auto"/>
              <w:jc w:val="right"/>
              <w:rPr>
                <w:szCs w:val="20"/>
              </w:rPr>
            </w:pPr>
            <w:r w:rsidRPr="00FC5376">
              <w:rPr>
                <w:szCs w:val="20"/>
              </w:rPr>
              <w:t>2414213</w:t>
            </w:r>
          </w:p>
        </w:tc>
        <w:tc>
          <w:tcPr>
            <w:tcW w:w="960" w:type="dxa"/>
            <w:shd w:val="clear" w:color="auto" w:fill="DBE5F1" w:themeFill="accent1" w:themeFillTint="33"/>
            <w:noWrap/>
            <w:vAlign w:val="bottom"/>
            <w:hideMark/>
          </w:tcPr>
          <w:p w14:paraId="6BEA41FA" w14:textId="77777777" w:rsidR="00FC5376" w:rsidRPr="00FC5376" w:rsidRDefault="00FC5376" w:rsidP="00FC5376">
            <w:pPr>
              <w:spacing w:after="0" w:line="240" w:lineRule="auto"/>
              <w:jc w:val="right"/>
              <w:rPr>
                <w:szCs w:val="20"/>
              </w:rPr>
            </w:pPr>
            <w:r w:rsidRPr="00FC5376">
              <w:rPr>
                <w:szCs w:val="20"/>
              </w:rPr>
              <w:t>192351</w:t>
            </w:r>
          </w:p>
        </w:tc>
        <w:tc>
          <w:tcPr>
            <w:tcW w:w="960" w:type="dxa"/>
            <w:shd w:val="clear" w:color="auto" w:fill="DBE5F1" w:themeFill="accent1" w:themeFillTint="33"/>
            <w:noWrap/>
            <w:vAlign w:val="bottom"/>
            <w:hideMark/>
          </w:tcPr>
          <w:p w14:paraId="14F20A49" w14:textId="77777777" w:rsidR="00FC5376" w:rsidRPr="00FC5376" w:rsidRDefault="00FC5376" w:rsidP="00FC5376">
            <w:pPr>
              <w:spacing w:after="0" w:line="240" w:lineRule="auto"/>
              <w:jc w:val="right"/>
              <w:rPr>
                <w:szCs w:val="20"/>
              </w:rPr>
            </w:pPr>
            <w:r w:rsidRPr="00FC5376">
              <w:rPr>
                <w:szCs w:val="20"/>
              </w:rPr>
              <w:t>39765</w:t>
            </w:r>
          </w:p>
        </w:tc>
      </w:tr>
      <w:tr w:rsidR="00FC5376" w:rsidRPr="00FC5376" w14:paraId="1C189C0D" w14:textId="77777777" w:rsidTr="00FC5376">
        <w:trPr>
          <w:trHeight w:val="300"/>
        </w:trPr>
        <w:tc>
          <w:tcPr>
            <w:tcW w:w="2700" w:type="dxa"/>
            <w:vMerge/>
            <w:shd w:val="clear" w:color="auto" w:fill="DBE5F1" w:themeFill="accent1" w:themeFillTint="33"/>
            <w:vAlign w:val="center"/>
            <w:hideMark/>
          </w:tcPr>
          <w:p w14:paraId="0F69CDAC" w14:textId="77777777" w:rsidR="00FC5376" w:rsidRPr="00FC5376" w:rsidRDefault="00FC5376" w:rsidP="00FC5376">
            <w:pPr>
              <w:spacing w:after="0" w:line="240" w:lineRule="auto"/>
              <w:rPr>
                <w:b/>
                <w:szCs w:val="20"/>
              </w:rPr>
            </w:pPr>
          </w:p>
        </w:tc>
        <w:tc>
          <w:tcPr>
            <w:tcW w:w="3840" w:type="dxa"/>
            <w:shd w:val="clear" w:color="auto" w:fill="DBE5F1" w:themeFill="accent1" w:themeFillTint="33"/>
            <w:noWrap/>
            <w:vAlign w:val="bottom"/>
            <w:hideMark/>
          </w:tcPr>
          <w:p w14:paraId="6903FF3F" w14:textId="77777777" w:rsidR="00FC5376" w:rsidRPr="00FC5376" w:rsidRDefault="00FC5376" w:rsidP="00FC5376">
            <w:pPr>
              <w:spacing w:after="0" w:line="240" w:lineRule="auto"/>
              <w:rPr>
                <w:szCs w:val="20"/>
              </w:rPr>
            </w:pPr>
            <w:r w:rsidRPr="00FC5376">
              <w:rPr>
                <w:szCs w:val="20"/>
              </w:rPr>
              <w:t>Female</w:t>
            </w:r>
          </w:p>
        </w:tc>
        <w:tc>
          <w:tcPr>
            <w:tcW w:w="960" w:type="dxa"/>
            <w:shd w:val="clear" w:color="auto" w:fill="DBE5F1" w:themeFill="accent1" w:themeFillTint="33"/>
            <w:noWrap/>
            <w:vAlign w:val="bottom"/>
            <w:hideMark/>
          </w:tcPr>
          <w:p w14:paraId="596403D4" w14:textId="77777777" w:rsidR="00FC5376" w:rsidRPr="00FC5376" w:rsidRDefault="00FC5376" w:rsidP="00FC5376">
            <w:pPr>
              <w:spacing w:after="0" w:line="240" w:lineRule="auto"/>
              <w:jc w:val="right"/>
              <w:rPr>
                <w:szCs w:val="20"/>
              </w:rPr>
            </w:pPr>
            <w:r w:rsidRPr="00FC5376">
              <w:rPr>
                <w:szCs w:val="20"/>
              </w:rPr>
              <w:t>2249740</w:t>
            </w:r>
          </w:p>
        </w:tc>
        <w:tc>
          <w:tcPr>
            <w:tcW w:w="960" w:type="dxa"/>
            <w:shd w:val="clear" w:color="auto" w:fill="DBE5F1" w:themeFill="accent1" w:themeFillTint="33"/>
            <w:noWrap/>
            <w:vAlign w:val="bottom"/>
            <w:hideMark/>
          </w:tcPr>
          <w:p w14:paraId="6CF3C417" w14:textId="77777777" w:rsidR="00FC5376" w:rsidRPr="00FC5376" w:rsidRDefault="00FC5376" w:rsidP="00FC5376">
            <w:pPr>
              <w:spacing w:after="0" w:line="240" w:lineRule="auto"/>
              <w:jc w:val="right"/>
              <w:rPr>
                <w:szCs w:val="20"/>
              </w:rPr>
            </w:pPr>
            <w:r w:rsidRPr="00FC5376">
              <w:rPr>
                <w:szCs w:val="20"/>
              </w:rPr>
              <w:t>183432</w:t>
            </w:r>
          </w:p>
        </w:tc>
        <w:tc>
          <w:tcPr>
            <w:tcW w:w="960" w:type="dxa"/>
            <w:shd w:val="clear" w:color="auto" w:fill="DBE5F1" w:themeFill="accent1" w:themeFillTint="33"/>
            <w:noWrap/>
            <w:vAlign w:val="bottom"/>
            <w:hideMark/>
          </w:tcPr>
          <w:p w14:paraId="5EB68BA8" w14:textId="77777777" w:rsidR="00FC5376" w:rsidRPr="00FC5376" w:rsidRDefault="00FC5376" w:rsidP="00FC5376">
            <w:pPr>
              <w:spacing w:after="0" w:line="240" w:lineRule="auto"/>
              <w:jc w:val="right"/>
              <w:rPr>
                <w:szCs w:val="20"/>
              </w:rPr>
            </w:pPr>
            <w:r w:rsidRPr="00FC5376">
              <w:rPr>
                <w:szCs w:val="20"/>
              </w:rPr>
              <w:t>39920</w:t>
            </w:r>
          </w:p>
        </w:tc>
      </w:tr>
      <w:tr w:rsidR="00FC5376" w:rsidRPr="00FC5376" w14:paraId="6B22C8F1" w14:textId="77777777" w:rsidTr="00DD50CB">
        <w:trPr>
          <w:trHeight w:val="300"/>
        </w:trPr>
        <w:tc>
          <w:tcPr>
            <w:tcW w:w="2700" w:type="dxa"/>
            <w:vMerge w:val="restart"/>
            <w:shd w:val="clear" w:color="auto" w:fill="CCC0D9" w:themeFill="accent4" w:themeFillTint="66"/>
            <w:vAlign w:val="center"/>
            <w:hideMark/>
          </w:tcPr>
          <w:p w14:paraId="77276766" w14:textId="77777777" w:rsidR="00FC5376" w:rsidRPr="00FC5376" w:rsidRDefault="00FC5376" w:rsidP="00FC5376">
            <w:pPr>
              <w:spacing w:after="0" w:line="240" w:lineRule="auto"/>
              <w:rPr>
                <w:b/>
                <w:szCs w:val="20"/>
              </w:rPr>
            </w:pPr>
            <w:r w:rsidRPr="00FC5376">
              <w:rPr>
                <w:b/>
                <w:szCs w:val="20"/>
              </w:rPr>
              <w:t xml:space="preserve">Main dwelling </w:t>
            </w:r>
          </w:p>
        </w:tc>
        <w:tc>
          <w:tcPr>
            <w:tcW w:w="3840" w:type="dxa"/>
            <w:shd w:val="clear" w:color="auto" w:fill="CCC0D9" w:themeFill="accent4" w:themeFillTint="66"/>
            <w:noWrap/>
            <w:vAlign w:val="bottom"/>
            <w:hideMark/>
          </w:tcPr>
          <w:p w14:paraId="3DB6BB9A" w14:textId="77777777" w:rsidR="00FC5376" w:rsidRPr="00FC5376" w:rsidRDefault="00FC5376" w:rsidP="00FC5376">
            <w:pPr>
              <w:spacing w:after="0" w:line="240" w:lineRule="auto"/>
              <w:rPr>
                <w:szCs w:val="20"/>
              </w:rPr>
            </w:pPr>
            <w:r w:rsidRPr="00FC5376">
              <w:rPr>
                <w:szCs w:val="20"/>
              </w:rPr>
              <w:t>Formal</w:t>
            </w:r>
          </w:p>
        </w:tc>
        <w:tc>
          <w:tcPr>
            <w:tcW w:w="960" w:type="dxa"/>
            <w:shd w:val="clear" w:color="auto" w:fill="CCC0D9" w:themeFill="accent4" w:themeFillTint="66"/>
            <w:noWrap/>
            <w:vAlign w:val="bottom"/>
            <w:hideMark/>
          </w:tcPr>
          <w:p w14:paraId="2647CD0D" w14:textId="77777777" w:rsidR="00FC5376" w:rsidRPr="00FC5376" w:rsidRDefault="00FC5376" w:rsidP="00FC5376">
            <w:pPr>
              <w:spacing w:after="0" w:line="240" w:lineRule="auto"/>
              <w:jc w:val="right"/>
              <w:rPr>
                <w:szCs w:val="20"/>
              </w:rPr>
            </w:pPr>
            <w:r w:rsidRPr="00FC5376">
              <w:rPr>
                <w:szCs w:val="20"/>
              </w:rPr>
              <w:t>2090067</w:t>
            </w:r>
          </w:p>
        </w:tc>
        <w:tc>
          <w:tcPr>
            <w:tcW w:w="960" w:type="dxa"/>
            <w:shd w:val="clear" w:color="auto" w:fill="CCC0D9" w:themeFill="accent4" w:themeFillTint="66"/>
            <w:noWrap/>
            <w:vAlign w:val="bottom"/>
            <w:hideMark/>
          </w:tcPr>
          <w:p w14:paraId="2B9237DA" w14:textId="77777777" w:rsidR="00FC5376" w:rsidRPr="00FC5376" w:rsidRDefault="00FC5376" w:rsidP="00FC5376">
            <w:pPr>
              <w:spacing w:after="0" w:line="240" w:lineRule="auto"/>
              <w:jc w:val="right"/>
              <w:rPr>
                <w:szCs w:val="20"/>
              </w:rPr>
            </w:pPr>
            <w:r w:rsidRPr="00FC5376">
              <w:rPr>
                <w:szCs w:val="20"/>
              </w:rPr>
              <w:t>159371</w:t>
            </w:r>
          </w:p>
        </w:tc>
        <w:tc>
          <w:tcPr>
            <w:tcW w:w="960" w:type="dxa"/>
            <w:shd w:val="clear" w:color="auto" w:fill="CCC0D9" w:themeFill="accent4" w:themeFillTint="66"/>
            <w:noWrap/>
            <w:vAlign w:val="bottom"/>
            <w:hideMark/>
          </w:tcPr>
          <w:p w14:paraId="23756EA7" w14:textId="77777777" w:rsidR="00FC5376" w:rsidRPr="00FC5376" w:rsidRDefault="00FC5376" w:rsidP="00FC5376">
            <w:pPr>
              <w:spacing w:after="0" w:line="240" w:lineRule="auto"/>
              <w:jc w:val="right"/>
              <w:rPr>
                <w:szCs w:val="20"/>
              </w:rPr>
            </w:pPr>
            <w:r w:rsidRPr="00FC5376">
              <w:rPr>
                <w:szCs w:val="20"/>
              </w:rPr>
              <w:t>29285</w:t>
            </w:r>
          </w:p>
        </w:tc>
      </w:tr>
      <w:tr w:rsidR="00FC5376" w:rsidRPr="00FC5376" w14:paraId="7B02965A" w14:textId="77777777" w:rsidTr="00DD50CB">
        <w:trPr>
          <w:trHeight w:val="300"/>
        </w:trPr>
        <w:tc>
          <w:tcPr>
            <w:tcW w:w="2700" w:type="dxa"/>
            <w:vMerge/>
            <w:shd w:val="clear" w:color="auto" w:fill="CCC0D9" w:themeFill="accent4" w:themeFillTint="66"/>
            <w:vAlign w:val="center"/>
            <w:hideMark/>
          </w:tcPr>
          <w:p w14:paraId="3083C24F" w14:textId="77777777" w:rsidR="00FC5376" w:rsidRPr="00FC5376" w:rsidRDefault="00FC5376" w:rsidP="00FC5376">
            <w:pPr>
              <w:spacing w:after="0" w:line="240" w:lineRule="auto"/>
              <w:rPr>
                <w:szCs w:val="20"/>
              </w:rPr>
            </w:pPr>
          </w:p>
        </w:tc>
        <w:tc>
          <w:tcPr>
            <w:tcW w:w="3840" w:type="dxa"/>
            <w:shd w:val="clear" w:color="auto" w:fill="CCC0D9" w:themeFill="accent4" w:themeFillTint="66"/>
            <w:noWrap/>
            <w:vAlign w:val="bottom"/>
            <w:hideMark/>
          </w:tcPr>
          <w:p w14:paraId="49C214CF" w14:textId="77777777" w:rsidR="00FC5376" w:rsidRPr="00FC5376" w:rsidRDefault="00FC5376" w:rsidP="00FC5376">
            <w:pPr>
              <w:spacing w:after="0" w:line="240" w:lineRule="auto"/>
              <w:rPr>
                <w:szCs w:val="20"/>
              </w:rPr>
            </w:pPr>
            <w:r w:rsidRPr="00FC5376">
              <w:rPr>
                <w:szCs w:val="20"/>
              </w:rPr>
              <w:t>Informal</w:t>
            </w:r>
          </w:p>
        </w:tc>
        <w:tc>
          <w:tcPr>
            <w:tcW w:w="960" w:type="dxa"/>
            <w:shd w:val="clear" w:color="auto" w:fill="CCC0D9" w:themeFill="accent4" w:themeFillTint="66"/>
            <w:noWrap/>
            <w:vAlign w:val="bottom"/>
            <w:hideMark/>
          </w:tcPr>
          <w:p w14:paraId="35A5274F" w14:textId="77777777" w:rsidR="00FC5376" w:rsidRPr="00FC5376" w:rsidRDefault="00FC5376" w:rsidP="00FC5376">
            <w:pPr>
              <w:spacing w:after="0" w:line="240" w:lineRule="auto"/>
              <w:jc w:val="right"/>
              <w:rPr>
                <w:szCs w:val="20"/>
              </w:rPr>
            </w:pPr>
            <w:r w:rsidRPr="00FC5376">
              <w:rPr>
                <w:szCs w:val="20"/>
              </w:rPr>
              <w:t>246272</w:t>
            </w:r>
          </w:p>
        </w:tc>
        <w:tc>
          <w:tcPr>
            <w:tcW w:w="960" w:type="dxa"/>
            <w:shd w:val="clear" w:color="auto" w:fill="CCC0D9" w:themeFill="accent4" w:themeFillTint="66"/>
            <w:noWrap/>
            <w:vAlign w:val="bottom"/>
            <w:hideMark/>
          </w:tcPr>
          <w:p w14:paraId="1BE1E0F0" w14:textId="77777777" w:rsidR="00FC5376" w:rsidRPr="00FC5376" w:rsidRDefault="00FC5376" w:rsidP="00FC5376">
            <w:pPr>
              <w:spacing w:after="0" w:line="240" w:lineRule="auto"/>
              <w:jc w:val="right"/>
              <w:rPr>
                <w:szCs w:val="20"/>
              </w:rPr>
            </w:pPr>
            <w:r w:rsidRPr="00FC5376">
              <w:rPr>
                <w:szCs w:val="20"/>
              </w:rPr>
              <w:t>7535</w:t>
            </w:r>
          </w:p>
        </w:tc>
        <w:tc>
          <w:tcPr>
            <w:tcW w:w="960" w:type="dxa"/>
            <w:shd w:val="clear" w:color="auto" w:fill="CCC0D9" w:themeFill="accent4" w:themeFillTint="66"/>
            <w:noWrap/>
            <w:vAlign w:val="bottom"/>
            <w:hideMark/>
          </w:tcPr>
          <w:p w14:paraId="437F057E" w14:textId="77777777" w:rsidR="00FC5376" w:rsidRPr="00FC5376" w:rsidRDefault="00FC5376" w:rsidP="00FC5376">
            <w:pPr>
              <w:spacing w:after="0" w:line="240" w:lineRule="auto"/>
              <w:jc w:val="right"/>
              <w:rPr>
                <w:szCs w:val="20"/>
              </w:rPr>
            </w:pPr>
            <w:r w:rsidRPr="00FC5376">
              <w:rPr>
                <w:szCs w:val="20"/>
              </w:rPr>
              <w:t>490</w:t>
            </w:r>
          </w:p>
        </w:tc>
      </w:tr>
      <w:tr w:rsidR="00FC5376" w:rsidRPr="00FC5376" w14:paraId="6B6CE7A8" w14:textId="77777777" w:rsidTr="00DD50CB">
        <w:trPr>
          <w:trHeight w:val="300"/>
        </w:trPr>
        <w:tc>
          <w:tcPr>
            <w:tcW w:w="2700" w:type="dxa"/>
            <w:vMerge/>
            <w:shd w:val="clear" w:color="auto" w:fill="CCC0D9" w:themeFill="accent4" w:themeFillTint="66"/>
            <w:vAlign w:val="center"/>
            <w:hideMark/>
          </w:tcPr>
          <w:p w14:paraId="2D4EE3E5" w14:textId="77777777" w:rsidR="00FC5376" w:rsidRPr="00FC5376" w:rsidRDefault="00FC5376" w:rsidP="00FC5376">
            <w:pPr>
              <w:spacing w:after="0" w:line="240" w:lineRule="auto"/>
              <w:rPr>
                <w:szCs w:val="20"/>
              </w:rPr>
            </w:pPr>
          </w:p>
        </w:tc>
        <w:tc>
          <w:tcPr>
            <w:tcW w:w="3840" w:type="dxa"/>
            <w:shd w:val="clear" w:color="auto" w:fill="CCC0D9" w:themeFill="accent4" w:themeFillTint="66"/>
            <w:noWrap/>
            <w:vAlign w:val="bottom"/>
            <w:hideMark/>
          </w:tcPr>
          <w:p w14:paraId="4689A2EE" w14:textId="77777777" w:rsidR="00FC5376" w:rsidRPr="00FC5376" w:rsidRDefault="00FC5376" w:rsidP="00FC5376">
            <w:pPr>
              <w:spacing w:after="0" w:line="240" w:lineRule="auto"/>
              <w:rPr>
                <w:szCs w:val="20"/>
              </w:rPr>
            </w:pPr>
            <w:r w:rsidRPr="00FC5376">
              <w:rPr>
                <w:szCs w:val="20"/>
              </w:rPr>
              <w:t>Traditional</w:t>
            </w:r>
          </w:p>
        </w:tc>
        <w:tc>
          <w:tcPr>
            <w:tcW w:w="960" w:type="dxa"/>
            <w:shd w:val="clear" w:color="auto" w:fill="CCC0D9" w:themeFill="accent4" w:themeFillTint="66"/>
            <w:noWrap/>
            <w:vAlign w:val="bottom"/>
            <w:hideMark/>
          </w:tcPr>
          <w:p w14:paraId="293C5D07" w14:textId="77777777" w:rsidR="00FC5376" w:rsidRPr="00FC5376" w:rsidRDefault="00FC5376" w:rsidP="00FC5376">
            <w:pPr>
              <w:spacing w:after="0" w:line="240" w:lineRule="auto"/>
              <w:jc w:val="right"/>
              <w:rPr>
                <w:szCs w:val="20"/>
              </w:rPr>
            </w:pPr>
            <w:r w:rsidRPr="00FC5376">
              <w:rPr>
                <w:szCs w:val="20"/>
              </w:rPr>
              <w:t>520244</w:t>
            </w:r>
          </w:p>
        </w:tc>
        <w:tc>
          <w:tcPr>
            <w:tcW w:w="960" w:type="dxa"/>
            <w:shd w:val="clear" w:color="auto" w:fill="CCC0D9" w:themeFill="accent4" w:themeFillTint="66"/>
            <w:noWrap/>
            <w:vAlign w:val="bottom"/>
            <w:hideMark/>
          </w:tcPr>
          <w:p w14:paraId="0BC9A3D9" w14:textId="77777777" w:rsidR="00FC5376" w:rsidRPr="00FC5376" w:rsidRDefault="00FC5376" w:rsidP="00FC5376">
            <w:pPr>
              <w:spacing w:after="0" w:line="240" w:lineRule="auto"/>
              <w:jc w:val="right"/>
              <w:rPr>
                <w:szCs w:val="20"/>
              </w:rPr>
            </w:pPr>
            <w:r w:rsidRPr="00FC5376">
              <w:rPr>
                <w:szCs w:val="20"/>
              </w:rPr>
              <w:t>58094</w:t>
            </w:r>
          </w:p>
        </w:tc>
        <w:tc>
          <w:tcPr>
            <w:tcW w:w="960" w:type="dxa"/>
            <w:shd w:val="clear" w:color="auto" w:fill="CCC0D9" w:themeFill="accent4" w:themeFillTint="66"/>
            <w:noWrap/>
            <w:vAlign w:val="bottom"/>
            <w:hideMark/>
          </w:tcPr>
          <w:p w14:paraId="519F6830" w14:textId="77777777" w:rsidR="00FC5376" w:rsidRPr="00FC5376" w:rsidRDefault="00FC5376" w:rsidP="00FC5376">
            <w:pPr>
              <w:spacing w:after="0" w:line="240" w:lineRule="auto"/>
              <w:jc w:val="right"/>
              <w:rPr>
                <w:szCs w:val="20"/>
              </w:rPr>
            </w:pPr>
            <w:r w:rsidRPr="00FC5376">
              <w:rPr>
                <w:szCs w:val="20"/>
              </w:rPr>
              <w:t>16974</w:t>
            </w:r>
          </w:p>
        </w:tc>
      </w:tr>
      <w:tr w:rsidR="00FC5376" w:rsidRPr="00FC5376" w14:paraId="405112CD" w14:textId="77777777" w:rsidTr="00DD50CB">
        <w:trPr>
          <w:trHeight w:val="300"/>
        </w:trPr>
        <w:tc>
          <w:tcPr>
            <w:tcW w:w="2700" w:type="dxa"/>
            <w:vMerge/>
            <w:shd w:val="clear" w:color="auto" w:fill="CCC0D9" w:themeFill="accent4" w:themeFillTint="66"/>
            <w:vAlign w:val="center"/>
            <w:hideMark/>
          </w:tcPr>
          <w:p w14:paraId="4BFFF94A" w14:textId="77777777" w:rsidR="00FC5376" w:rsidRPr="00FC5376" w:rsidRDefault="00FC5376" w:rsidP="00FC5376">
            <w:pPr>
              <w:spacing w:after="0" w:line="240" w:lineRule="auto"/>
              <w:rPr>
                <w:szCs w:val="20"/>
              </w:rPr>
            </w:pPr>
          </w:p>
        </w:tc>
        <w:tc>
          <w:tcPr>
            <w:tcW w:w="3840" w:type="dxa"/>
            <w:shd w:val="clear" w:color="auto" w:fill="CCC0D9" w:themeFill="accent4" w:themeFillTint="66"/>
            <w:noWrap/>
            <w:vAlign w:val="bottom"/>
            <w:hideMark/>
          </w:tcPr>
          <w:p w14:paraId="360B5D08" w14:textId="77777777" w:rsidR="00FC5376" w:rsidRPr="00FC5376" w:rsidRDefault="00FC5376" w:rsidP="00FC5376">
            <w:pPr>
              <w:spacing w:after="0" w:line="240" w:lineRule="auto"/>
              <w:rPr>
                <w:szCs w:val="20"/>
              </w:rPr>
            </w:pPr>
            <w:r w:rsidRPr="00FC5376">
              <w:rPr>
                <w:szCs w:val="20"/>
              </w:rPr>
              <w:t>Other</w:t>
            </w:r>
          </w:p>
        </w:tc>
        <w:tc>
          <w:tcPr>
            <w:tcW w:w="960" w:type="dxa"/>
            <w:shd w:val="clear" w:color="auto" w:fill="CCC0D9" w:themeFill="accent4" w:themeFillTint="66"/>
            <w:noWrap/>
            <w:vAlign w:val="bottom"/>
            <w:hideMark/>
          </w:tcPr>
          <w:p w14:paraId="6CFCCAE1" w14:textId="77777777" w:rsidR="00FC5376" w:rsidRPr="00FC5376" w:rsidRDefault="00FC5376" w:rsidP="00FC5376">
            <w:pPr>
              <w:spacing w:after="0" w:line="240" w:lineRule="auto"/>
              <w:jc w:val="right"/>
              <w:rPr>
                <w:szCs w:val="20"/>
              </w:rPr>
            </w:pPr>
            <w:r w:rsidRPr="00FC5376">
              <w:rPr>
                <w:szCs w:val="20"/>
              </w:rPr>
              <w:t>19062</w:t>
            </w:r>
          </w:p>
        </w:tc>
        <w:tc>
          <w:tcPr>
            <w:tcW w:w="960" w:type="dxa"/>
            <w:shd w:val="clear" w:color="auto" w:fill="CCC0D9" w:themeFill="accent4" w:themeFillTint="66"/>
            <w:noWrap/>
            <w:vAlign w:val="bottom"/>
            <w:hideMark/>
          </w:tcPr>
          <w:p w14:paraId="390004D0" w14:textId="77777777" w:rsidR="00FC5376" w:rsidRPr="00FC5376" w:rsidRDefault="00FC5376" w:rsidP="00FC5376">
            <w:pPr>
              <w:spacing w:after="0" w:line="240" w:lineRule="auto"/>
              <w:jc w:val="right"/>
              <w:rPr>
                <w:szCs w:val="20"/>
              </w:rPr>
            </w:pPr>
            <w:r w:rsidRPr="00FC5376">
              <w:rPr>
                <w:szCs w:val="20"/>
              </w:rPr>
              <w:t>798</w:t>
            </w:r>
          </w:p>
        </w:tc>
        <w:tc>
          <w:tcPr>
            <w:tcW w:w="960" w:type="dxa"/>
            <w:shd w:val="clear" w:color="auto" w:fill="CCC0D9" w:themeFill="accent4" w:themeFillTint="66"/>
            <w:noWrap/>
            <w:vAlign w:val="bottom"/>
            <w:hideMark/>
          </w:tcPr>
          <w:p w14:paraId="50C568C4" w14:textId="77777777" w:rsidR="00FC5376" w:rsidRPr="00FC5376" w:rsidRDefault="00FC5376" w:rsidP="00FC5376">
            <w:pPr>
              <w:spacing w:after="0" w:line="240" w:lineRule="auto"/>
              <w:jc w:val="right"/>
              <w:rPr>
                <w:szCs w:val="20"/>
              </w:rPr>
            </w:pPr>
            <w:r w:rsidRPr="00FC5376">
              <w:rPr>
                <w:szCs w:val="20"/>
              </w:rPr>
              <w:t>204</w:t>
            </w:r>
          </w:p>
        </w:tc>
      </w:tr>
    </w:tbl>
    <w:p w14:paraId="014B1606" w14:textId="77777777" w:rsidR="00FC5376" w:rsidRDefault="00E02FCF" w:rsidP="002F62F0">
      <w:pPr>
        <w:pStyle w:val="Caption"/>
      </w:pPr>
      <w:bookmarkStart w:id="201" w:name="_Toc510622264"/>
      <w:r>
        <w:t xml:space="preserve">Table </w:t>
      </w:r>
      <w:r w:rsidR="00B918A6">
        <w:fldChar w:fldCharType="begin"/>
      </w:r>
      <w:r w:rsidR="00B918A6">
        <w:instrText xml:space="preserve"> SEQ Table \* ARABIC </w:instrText>
      </w:r>
      <w:r w:rsidR="00B918A6">
        <w:fldChar w:fldCharType="separate"/>
      </w:r>
      <w:r w:rsidR="0067023A">
        <w:rPr>
          <w:noProof/>
        </w:rPr>
        <w:t>14</w:t>
      </w:r>
      <w:r w:rsidR="00B918A6">
        <w:rPr>
          <w:noProof/>
        </w:rPr>
        <w:fldChar w:fldCharType="end"/>
      </w:r>
      <w:r>
        <w:t>: Household Demographics</w:t>
      </w:r>
      <w:r w:rsidR="00DD50CB">
        <w:t xml:space="preserve"> (CS 2016)</w:t>
      </w:r>
      <w:bookmarkEnd w:id="201"/>
    </w:p>
    <w:p w14:paraId="38988599" w14:textId="77777777" w:rsidR="001D0DD1" w:rsidRDefault="001D0DD1" w:rsidP="001D0DD1">
      <w:pPr>
        <w:jc w:val="both"/>
        <w:rPr>
          <w:szCs w:val="20"/>
        </w:rPr>
      </w:pPr>
      <w:r>
        <w:rPr>
          <w:szCs w:val="20"/>
        </w:rPr>
        <w:t xml:space="preserve">The above indicates that, </w:t>
      </w:r>
      <w:r w:rsidR="00AC26D7">
        <w:rPr>
          <w:szCs w:val="20"/>
        </w:rPr>
        <w:t xml:space="preserve">with the increase in population due to various reason, </w:t>
      </w:r>
      <w:r>
        <w:rPr>
          <w:szCs w:val="20"/>
        </w:rPr>
        <w:t>there has been an increase in the number of house</w:t>
      </w:r>
      <w:r w:rsidR="00AC26D7">
        <w:rPr>
          <w:szCs w:val="20"/>
        </w:rPr>
        <w:t>holds over the period of 2011 and 2016</w:t>
      </w:r>
      <w:r>
        <w:rPr>
          <w:szCs w:val="20"/>
        </w:rPr>
        <w:t xml:space="preserve">.  </w:t>
      </w:r>
      <w:r w:rsidR="00AC26D7">
        <w:rPr>
          <w:szCs w:val="20"/>
        </w:rPr>
        <w:t>The increase in the number of households can also be attributed to the fact that the municipality continues to provide housing to the destitute. The municipality has to date completed two rural housing projects, two urban low cost housing and is in the process of completing the third rural housing project. It is also worth mentioning that there seems to be steady increase in the number of female headed households which may be attributed to the urban migration of males to seek better rmployment opportunities in lager neibouring cities such as uMhlathuze and KwaDukuza.</w:t>
      </w:r>
    </w:p>
    <w:p w14:paraId="4E4A18DF" w14:textId="77777777" w:rsidR="00284CFA" w:rsidRPr="00C97418" w:rsidRDefault="00284CFA" w:rsidP="00750180">
      <w:pPr>
        <w:pStyle w:val="Heading5"/>
        <w:numPr>
          <w:ilvl w:val="4"/>
          <w:numId w:val="29"/>
        </w:numPr>
        <w:spacing w:after="240"/>
      </w:pPr>
      <w:bookmarkStart w:id="202" w:name="_Toc389739792"/>
      <w:r w:rsidRPr="00C97418">
        <w:t>Household Distribution</w:t>
      </w:r>
      <w:bookmarkEnd w:id="202"/>
    </w:p>
    <w:p w14:paraId="0BA90399" w14:textId="77777777" w:rsidR="001D0DD1" w:rsidRDefault="001D0DD1" w:rsidP="001D0DD1">
      <w:pPr>
        <w:rPr>
          <w:szCs w:val="20"/>
        </w:rPr>
      </w:pPr>
      <w:r>
        <w:rPr>
          <w:szCs w:val="20"/>
        </w:rPr>
        <w:t>Households are more densely settled in the area surrounding Eshowe town and to the east thereof.  The settlement pattern in the remainder of the Municipal area is low density scattered settlement.</w:t>
      </w:r>
      <w:r w:rsidR="00095B80">
        <w:rPr>
          <w:szCs w:val="20"/>
        </w:rPr>
        <w:t xml:space="preserve"> The Settlement pattern also shows that there are denser settlements along corridors and major routes, which may indicate that people are settling closer to access to transportation.</w:t>
      </w:r>
    </w:p>
    <w:p w14:paraId="6DFBBD3A" w14:textId="77777777" w:rsidR="00FA72BE" w:rsidRDefault="00FA72BE" w:rsidP="001D0DD1">
      <w:pPr>
        <w:rPr>
          <w:szCs w:val="20"/>
        </w:rPr>
      </w:pPr>
    </w:p>
    <w:p w14:paraId="6D974032" w14:textId="77777777" w:rsidR="00FA72BE" w:rsidRDefault="00FA72BE" w:rsidP="001D0DD1">
      <w:pPr>
        <w:rPr>
          <w:szCs w:val="20"/>
        </w:rPr>
      </w:pPr>
    </w:p>
    <w:p w14:paraId="5E86AE2E" w14:textId="77777777" w:rsidR="00FA72BE" w:rsidRDefault="00FA72BE" w:rsidP="001D0DD1">
      <w:pPr>
        <w:rPr>
          <w:szCs w:val="20"/>
        </w:rPr>
      </w:pPr>
    </w:p>
    <w:p w14:paraId="6FD509D4" w14:textId="77777777" w:rsidR="00FA72BE" w:rsidRDefault="00FA72BE" w:rsidP="001D0DD1">
      <w:pPr>
        <w:rPr>
          <w:szCs w:val="20"/>
        </w:rPr>
      </w:pPr>
    </w:p>
    <w:p w14:paraId="5AE6F22A" w14:textId="77777777" w:rsidR="00FA72BE" w:rsidRDefault="00FA72BE" w:rsidP="001D0DD1">
      <w:pPr>
        <w:rPr>
          <w:szCs w:val="20"/>
        </w:rPr>
      </w:pPr>
    </w:p>
    <w:p w14:paraId="68E521AD" w14:textId="77777777" w:rsidR="00C97418" w:rsidRDefault="00C97418" w:rsidP="001D0DD1">
      <w:pPr>
        <w:rPr>
          <w:szCs w:val="20"/>
        </w:rPr>
      </w:pPr>
    </w:p>
    <w:p w14:paraId="3949E3AF" w14:textId="77777777" w:rsidR="00FA72BE" w:rsidRDefault="00FA72BE" w:rsidP="001D0DD1">
      <w:pPr>
        <w:rPr>
          <w:szCs w:val="20"/>
        </w:rPr>
      </w:pPr>
    </w:p>
    <w:p w14:paraId="62B07163" w14:textId="77777777" w:rsidR="00284CFA" w:rsidRDefault="00844630" w:rsidP="00C97418">
      <w:pPr>
        <w:spacing w:after="0"/>
        <w:rPr>
          <w:b/>
        </w:rPr>
      </w:pPr>
      <w:bookmarkStart w:id="203" w:name="_Toc481468928"/>
      <w:r w:rsidRPr="003943A7">
        <w:rPr>
          <w:b/>
          <w:noProof/>
        </w:rPr>
        <w:lastRenderedPageBreak/>
        <w:drawing>
          <wp:anchor distT="0" distB="0" distL="114300" distR="114300" simplePos="0" relativeHeight="251627008" behindDoc="0" locked="0" layoutInCell="1" allowOverlap="1" wp14:anchorId="37E9F46D" wp14:editId="2552CD12">
            <wp:simplePos x="0" y="0"/>
            <wp:positionH relativeFrom="column">
              <wp:posOffset>2820655</wp:posOffset>
            </wp:positionH>
            <wp:positionV relativeFrom="paragraph">
              <wp:posOffset>3281355</wp:posOffset>
            </wp:positionV>
            <wp:extent cx="1617980" cy="439420"/>
            <wp:effectExtent l="0" t="0" r="1270" b="0"/>
            <wp:wrapNone/>
            <wp:docPr id="43026" name="Picture 4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617980" cy="439420"/>
                    </a:xfrm>
                    <a:prstGeom prst="rect">
                      <a:avLst/>
                    </a:prstGeom>
                  </pic:spPr>
                </pic:pic>
              </a:graphicData>
            </a:graphic>
          </wp:anchor>
        </w:drawing>
      </w:r>
      <w:bookmarkStart w:id="204" w:name="_Toc389739793"/>
      <w:r w:rsidR="00284CFA" w:rsidRPr="003943A7">
        <w:rPr>
          <w:b/>
        </w:rPr>
        <w:t xml:space="preserve">Map </w:t>
      </w:r>
      <w:r w:rsidR="003943A7" w:rsidRPr="003943A7">
        <w:rPr>
          <w:b/>
        </w:rPr>
        <w:fldChar w:fldCharType="begin"/>
      </w:r>
      <w:r w:rsidR="003943A7" w:rsidRPr="003943A7">
        <w:rPr>
          <w:b/>
        </w:rPr>
        <w:instrText xml:space="preserve"> SEQ Map \* ARABIC </w:instrText>
      </w:r>
      <w:r w:rsidR="003943A7" w:rsidRPr="003943A7">
        <w:rPr>
          <w:b/>
        </w:rPr>
        <w:fldChar w:fldCharType="separate"/>
      </w:r>
      <w:r w:rsidR="0067023A">
        <w:rPr>
          <w:b/>
          <w:noProof/>
        </w:rPr>
        <w:t>14</w:t>
      </w:r>
      <w:r w:rsidR="003943A7" w:rsidRPr="003943A7">
        <w:rPr>
          <w:b/>
          <w:noProof/>
        </w:rPr>
        <w:fldChar w:fldCharType="end"/>
      </w:r>
      <w:r w:rsidR="00284CFA" w:rsidRPr="003943A7">
        <w:rPr>
          <w:b/>
        </w:rPr>
        <w:t xml:space="preserve">:  </w:t>
      </w:r>
      <w:bookmarkEnd w:id="204"/>
      <w:r w:rsidR="00095B80">
        <w:rPr>
          <w:b/>
        </w:rPr>
        <w:t>Settlement Patterns</w:t>
      </w:r>
      <w:bookmarkEnd w:id="203"/>
    </w:p>
    <w:p w14:paraId="25FAC160" w14:textId="77777777" w:rsidR="00095B80" w:rsidRDefault="00095B80" w:rsidP="003943A7">
      <w:pPr>
        <w:jc w:val="both"/>
        <w:rPr>
          <w:b/>
        </w:rPr>
      </w:pPr>
      <w:r w:rsidRPr="00095B80">
        <w:rPr>
          <w:b/>
          <w:noProof/>
        </w:rPr>
        <w:drawing>
          <wp:inline distT="0" distB="0" distL="0" distR="0" wp14:anchorId="7491EC59" wp14:editId="1D25171B">
            <wp:extent cx="6120765" cy="4344716"/>
            <wp:effectExtent l="0" t="0" r="0" b="0"/>
            <wp:docPr id="28672" name="Picture 28672" descr="C:\Users\siphephelok\Desktop\Settlement Patter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iphephelok\Desktop\Settlement Patterns.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0765" cy="4344716"/>
                    </a:xfrm>
                    <a:prstGeom prst="rect">
                      <a:avLst/>
                    </a:prstGeom>
                    <a:noFill/>
                    <a:ln>
                      <a:noFill/>
                    </a:ln>
                  </pic:spPr>
                </pic:pic>
              </a:graphicData>
            </a:graphic>
          </wp:inline>
        </w:drawing>
      </w:r>
    </w:p>
    <w:p w14:paraId="1FD9549F" w14:textId="77777777" w:rsidR="00284CFA" w:rsidRPr="00C97418" w:rsidRDefault="001D0DD1" w:rsidP="00750180">
      <w:pPr>
        <w:pStyle w:val="Heading5"/>
        <w:numPr>
          <w:ilvl w:val="4"/>
          <w:numId w:val="29"/>
        </w:numPr>
        <w:spacing w:after="240"/>
      </w:pPr>
      <w:r w:rsidRPr="00C97418">
        <w:t>Average Household Size</w:t>
      </w:r>
    </w:p>
    <w:p w14:paraId="6F901BF2" w14:textId="77777777" w:rsidR="001D0DD1" w:rsidRDefault="00E02FCF" w:rsidP="001D0DD1">
      <w:pPr>
        <w:jc w:val="both"/>
        <w:rPr>
          <w:szCs w:val="20"/>
        </w:rPr>
      </w:pPr>
      <w:r w:rsidRPr="00621E76">
        <w:rPr>
          <w:szCs w:val="20"/>
        </w:rPr>
        <w:t>There has been a noticable</w:t>
      </w:r>
      <w:r w:rsidR="00BB1DFF" w:rsidRPr="00621E76">
        <w:rPr>
          <w:szCs w:val="20"/>
        </w:rPr>
        <w:t xml:space="preserve"> in</w:t>
      </w:r>
      <w:r w:rsidR="001D0DD1" w:rsidRPr="00621E76">
        <w:rPr>
          <w:szCs w:val="20"/>
        </w:rPr>
        <w:t>crease in</w:t>
      </w:r>
      <w:r w:rsidR="001D0DD1" w:rsidRPr="001D0DD1">
        <w:rPr>
          <w:szCs w:val="20"/>
        </w:rPr>
        <w:t xml:space="preserve"> Average Hous</w:t>
      </w:r>
      <w:r w:rsidR="00AC26D7">
        <w:rPr>
          <w:szCs w:val="20"/>
        </w:rPr>
        <w:t>ehold Sizes between 2011</w:t>
      </w:r>
      <w:r>
        <w:rPr>
          <w:szCs w:val="20"/>
        </w:rPr>
        <w:t xml:space="preserve"> and 2016,</w:t>
      </w:r>
      <w:r w:rsidR="001D0DD1" w:rsidRPr="001D0DD1">
        <w:rPr>
          <w:szCs w:val="20"/>
        </w:rPr>
        <w:t xml:space="preserve"> from an average of </w:t>
      </w:r>
      <w:r>
        <w:rPr>
          <w:szCs w:val="20"/>
        </w:rPr>
        <w:t xml:space="preserve">4.6 </w:t>
      </w:r>
      <w:r w:rsidR="001D0DD1" w:rsidRPr="001D0DD1">
        <w:rPr>
          <w:szCs w:val="20"/>
        </w:rPr>
        <w:t>persons</w:t>
      </w:r>
      <w:r>
        <w:rPr>
          <w:szCs w:val="20"/>
        </w:rPr>
        <w:t xml:space="preserve"> to 4.8 persons per household</w:t>
      </w:r>
      <w:r w:rsidR="001D0DD1" w:rsidRPr="001D0DD1">
        <w:rPr>
          <w:szCs w:val="20"/>
        </w:rPr>
        <w:t>.</w:t>
      </w:r>
      <w:r>
        <w:rPr>
          <w:szCs w:val="20"/>
        </w:rPr>
        <w:t xml:space="preserve"> This is even though the number of households has increased. This could be due to the face that the municipality has lessened the burden over crowding in households with the provision of houses especially in rural areas. This may also be attributed to the outward migration of youth whom are of a working, to seek employment in other municipalities. </w:t>
      </w:r>
      <w:r w:rsidR="001D0DD1" w:rsidRPr="001D0DD1">
        <w:rPr>
          <w:szCs w:val="20"/>
        </w:rPr>
        <w:t xml:space="preserve"> </w:t>
      </w:r>
      <w:r w:rsidR="001D0DD1" w:rsidRPr="00430DF6">
        <w:rPr>
          <w:szCs w:val="20"/>
        </w:rPr>
        <w:t>The largest households (more than 6 members per household) are located in Wards 22 and 24, in the north-eastern part of the Municipal Area.</w:t>
      </w:r>
      <w:r w:rsidR="001D0DD1">
        <w:rPr>
          <w:szCs w:val="20"/>
        </w:rPr>
        <w:t xml:space="preserve"> </w:t>
      </w:r>
      <w:r w:rsidR="001D0DD1" w:rsidRPr="00430DF6">
        <w:rPr>
          <w:szCs w:val="20"/>
        </w:rPr>
        <w:t>Whilst the population density in Eshowe town and surrounds is the highest in the Municipal Area, Household Sizes are also the smallest</w:t>
      </w:r>
      <w:r w:rsidR="001D0DD1">
        <w:rPr>
          <w:szCs w:val="20"/>
        </w:rPr>
        <w:t>, i.e. less or equal to 4 members per household.</w:t>
      </w:r>
    </w:p>
    <w:p w14:paraId="068CF7FF" w14:textId="77777777" w:rsidR="00423134" w:rsidRPr="00C97418" w:rsidRDefault="00423134" w:rsidP="00750180">
      <w:pPr>
        <w:pStyle w:val="Heading5"/>
        <w:numPr>
          <w:ilvl w:val="4"/>
          <w:numId w:val="29"/>
        </w:numPr>
        <w:spacing w:after="240"/>
      </w:pPr>
      <w:bookmarkStart w:id="205" w:name="_Toc350093413"/>
      <w:bookmarkStart w:id="206" w:name="_Toc389739798"/>
      <w:r w:rsidRPr="00C97418">
        <w:t>Female Headed Households</w:t>
      </w:r>
      <w:bookmarkEnd w:id="205"/>
      <w:bookmarkEnd w:id="206"/>
    </w:p>
    <w:p w14:paraId="6912A676" w14:textId="77777777" w:rsidR="00423134" w:rsidRDefault="00C97418" w:rsidP="00C97418">
      <w:pPr>
        <w:pStyle w:val="Caption"/>
      </w:pPr>
      <w:bookmarkStart w:id="207" w:name="_Toc389739799"/>
      <w:bookmarkStart w:id="208" w:name="_Toc510622265"/>
      <w:r>
        <w:t xml:space="preserve">Table </w:t>
      </w:r>
      <w:r w:rsidR="00B918A6">
        <w:fldChar w:fldCharType="begin"/>
      </w:r>
      <w:r w:rsidR="00B918A6">
        <w:instrText xml:space="preserve"> SEQ Table \* ARABIC </w:instrText>
      </w:r>
      <w:r w:rsidR="00B918A6">
        <w:fldChar w:fldCharType="separate"/>
      </w:r>
      <w:r w:rsidR="0067023A">
        <w:rPr>
          <w:noProof/>
        </w:rPr>
        <w:t>15</w:t>
      </w:r>
      <w:r w:rsidR="00B918A6">
        <w:rPr>
          <w:noProof/>
        </w:rPr>
        <w:fldChar w:fldCharType="end"/>
      </w:r>
      <w:r>
        <w:t xml:space="preserve">: </w:t>
      </w:r>
      <w:r w:rsidR="00423134" w:rsidRPr="00881795">
        <w:t>% of Female Headed Households</w:t>
      </w:r>
      <w:bookmarkEnd w:id="207"/>
      <w:bookmarkEnd w:id="208"/>
    </w:p>
    <w:tbl>
      <w:tblPr>
        <w:tblStyle w:val="TableGrid1"/>
        <w:tblW w:w="8317" w:type="dxa"/>
        <w:tblLook w:val="04A0" w:firstRow="1" w:lastRow="0" w:firstColumn="1" w:lastColumn="0" w:noHBand="0" w:noVBand="1"/>
      </w:tblPr>
      <w:tblGrid>
        <w:gridCol w:w="3604"/>
        <w:gridCol w:w="1045"/>
        <w:gridCol w:w="1834"/>
        <w:gridCol w:w="1834"/>
      </w:tblGrid>
      <w:tr w:rsidR="00E02FCF" w:rsidRPr="00881795" w14:paraId="02C6D12C" w14:textId="77777777" w:rsidTr="00C97418">
        <w:trPr>
          <w:trHeight w:val="164"/>
        </w:trPr>
        <w:tc>
          <w:tcPr>
            <w:tcW w:w="3604" w:type="dxa"/>
            <w:shd w:val="clear" w:color="auto" w:fill="DAEEF3" w:themeFill="accent5" w:themeFillTint="33"/>
            <w:hideMark/>
          </w:tcPr>
          <w:p w14:paraId="0B88D8E2" w14:textId="77777777" w:rsidR="00E02FCF" w:rsidRPr="00881795" w:rsidRDefault="00E02FCF" w:rsidP="00395313">
            <w:pPr>
              <w:jc w:val="both"/>
              <w:rPr>
                <w:rFonts w:cs="Arial"/>
                <w:b/>
                <w:color w:val="222222"/>
                <w:szCs w:val="20"/>
              </w:rPr>
            </w:pPr>
            <w:r w:rsidRPr="00881795">
              <w:rPr>
                <w:rFonts w:cs="Arial"/>
                <w:b/>
                <w:color w:val="222222"/>
                <w:szCs w:val="20"/>
              </w:rPr>
              <w:t>uMlalazi</w:t>
            </w:r>
          </w:p>
        </w:tc>
        <w:tc>
          <w:tcPr>
            <w:tcW w:w="1045" w:type="dxa"/>
            <w:shd w:val="clear" w:color="auto" w:fill="DAEEF3" w:themeFill="accent5" w:themeFillTint="33"/>
            <w:hideMark/>
          </w:tcPr>
          <w:p w14:paraId="1BF50BAE" w14:textId="77777777" w:rsidR="00E02FCF" w:rsidRPr="00881795" w:rsidRDefault="00E02FCF" w:rsidP="00395313">
            <w:pPr>
              <w:jc w:val="both"/>
              <w:rPr>
                <w:rFonts w:cs="Arial"/>
                <w:b/>
                <w:color w:val="222222"/>
                <w:szCs w:val="20"/>
              </w:rPr>
            </w:pPr>
            <w:r w:rsidRPr="00881795">
              <w:rPr>
                <w:rFonts w:cs="Arial"/>
                <w:b/>
                <w:color w:val="222222"/>
                <w:szCs w:val="20"/>
              </w:rPr>
              <w:t>2001</w:t>
            </w:r>
          </w:p>
        </w:tc>
        <w:tc>
          <w:tcPr>
            <w:tcW w:w="1834" w:type="dxa"/>
            <w:shd w:val="clear" w:color="auto" w:fill="DAEEF3" w:themeFill="accent5" w:themeFillTint="33"/>
            <w:hideMark/>
          </w:tcPr>
          <w:p w14:paraId="22CDC0D2" w14:textId="77777777" w:rsidR="00E02FCF" w:rsidRPr="00881795" w:rsidRDefault="00E02FCF" w:rsidP="00395313">
            <w:pPr>
              <w:jc w:val="both"/>
              <w:rPr>
                <w:rFonts w:cs="Arial"/>
                <w:b/>
                <w:color w:val="000000"/>
                <w:szCs w:val="20"/>
              </w:rPr>
            </w:pPr>
            <w:r w:rsidRPr="00881795">
              <w:rPr>
                <w:rFonts w:cs="Arial"/>
                <w:b/>
                <w:color w:val="000000"/>
                <w:szCs w:val="20"/>
              </w:rPr>
              <w:t>2011</w:t>
            </w:r>
          </w:p>
        </w:tc>
        <w:tc>
          <w:tcPr>
            <w:tcW w:w="1834" w:type="dxa"/>
            <w:shd w:val="clear" w:color="auto" w:fill="DAEEF3" w:themeFill="accent5" w:themeFillTint="33"/>
          </w:tcPr>
          <w:p w14:paraId="4A6AEB04" w14:textId="77777777" w:rsidR="00E02FCF" w:rsidRPr="00881795" w:rsidRDefault="00E02FCF" w:rsidP="00395313">
            <w:pPr>
              <w:jc w:val="both"/>
              <w:rPr>
                <w:rFonts w:cs="Arial"/>
                <w:b/>
                <w:color w:val="000000"/>
                <w:szCs w:val="20"/>
              </w:rPr>
            </w:pPr>
            <w:r>
              <w:rPr>
                <w:rFonts w:cs="Arial"/>
                <w:b/>
                <w:color w:val="000000"/>
                <w:szCs w:val="20"/>
              </w:rPr>
              <w:t>2016</w:t>
            </w:r>
          </w:p>
        </w:tc>
      </w:tr>
      <w:tr w:rsidR="00E02FCF" w:rsidRPr="00881795" w14:paraId="6C48C946" w14:textId="77777777" w:rsidTr="00C97418">
        <w:trPr>
          <w:trHeight w:val="315"/>
        </w:trPr>
        <w:tc>
          <w:tcPr>
            <w:tcW w:w="3604" w:type="dxa"/>
            <w:hideMark/>
          </w:tcPr>
          <w:p w14:paraId="20533ADC" w14:textId="77777777" w:rsidR="00E02FCF" w:rsidRPr="00881795" w:rsidRDefault="00E02FCF" w:rsidP="00395313">
            <w:pPr>
              <w:jc w:val="both"/>
              <w:rPr>
                <w:rFonts w:cs="Arial"/>
                <w:color w:val="000000"/>
                <w:szCs w:val="20"/>
              </w:rPr>
            </w:pPr>
            <w:r w:rsidRPr="00881795">
              <w:rPr>
                <w:rFonts w:cs="Arial"/>
                <w:color w:val="000000"/>
                <w:szCs w:val="20"/>
              </w:rPr>
              <w:t>No. of household headed by women</w:t>
            </w:r>
          </w:p>
        </w:tc>
        <w:tc>
          <w:tcPr>
            <w:tcW w:w="1045" w:type="dxa"/>
            <w:hideMark/>
          </w:tcPr>
          <w:p w14:paraId="3405D467" w14:textId="77777777" w:rsidR="00E02FCF" w:rsidRPr="00881795" w:rsidRDefault="00E02FCF" w:rsidP="00395313">
            <w:pPr>
              <w:jc w:val="both"/>
              <w:rPr>
                <w:rFonts w:cs="Arial"/>
                <w:color w:val="000000"/>
                <w:szCs w:val="20"/>
              </w:rPr>
            </w:pPr>
            <w:r w:rsidRPr="00881795">
              <w:rPr>
                <w:rFonts w:cs="Arial"/>
                <w:color w:val="000000"/>
                <w:szCs w:val="20"/>
              </w:rPr>
              <w:t>22 157</w:t>
            </w:r>
          </w:p>
        </w:tc>
        <w:tc>
          <w:tcPr>
            <w:tcW w:w="1834" w:type="dxa"/>
            <w:hideMark/>
          </w:tcPr>
          <w:p w14:paraId="5EB25306" w14:textId="77777777" w:rsidR="00E02FCF" w:rsidRPr="00881795" w:rsidRDefault="00E02FCF" w:rsidP="00395313">
            <w:pPr>
              <w:jc w:val="both"/>
              <w:rPr>
                <w:rFonts w:cs="Arial"/>
                <w:color w:val="000000"/>
                <w:szCs w:val="20"/>
              </w:rPr>
            </w:pPr>
            <w:r w:rsidRPr="00881795">
              <w:rPr>
                <w:rFonts w:cs="Arial"/>
                <w:color w:val="000000"/>
                <w:szCs w:val="20"/>
              </w:rPr>
              <w:t>24 913</w:t>
            </w:r>
          </w:p>
        </w:tc>
        <w:tc>
          <w:tcPr>
            <w:tcW w:w="1834" w:type="dxa"/>
          </w:tcPr>
          <w:p w14:paraId="7A2804B0" w14:textId="77777777" w:rsidR="00E02FCF" w:rsidRPr="00881795" w:rsidRDefault="002A2610" w:rsidP="00395313">
            <w:pPr>
              <w:jc w:val="both"/>
              <w:rPr>
                <w:rFonts w:cs="Arial"/>
                <w:color w:val="000000"/>
                <w:szCs w:val="20"/>
              </w:rPr>
            </w:pPr>
            <w:r w:rsidRPr="002A2610">
              <w:rPr>
                <w:rFonts w:cs="Arial"/>
                <w:color w:val="000000"/>
                <w:szCs w:val="20"/>
              </w:rPr>
              <w:t>39920</w:t>
            </w:r>
          </w:p>
        </w:tc>
      </w:tr>
      <w:tr w:rsidR="00E02FCF" w:rsidRPr="00881795" w14:paraId="7BACE3D6" w14:textId="77777777" w:rsidTr="00C97418">
        <w:trPr>
          <w:trHeight w:val="315"/>
        </w:trPr>
        <w:tc>
          <w:tcPr>
            <w:tcW w:w="3604" w:type="dxa"/>
            <w:hideMark/>
          </w:tcPr>
          <w:p w14:paraId="3F5E6DA7" w14:textId="77777777" w:rsidR="00E02FCF" w:rsidRPr="00881795" w:rsidRDefault="00E02FCF" w:rsidP="00395313">
            <w:pPr>
              <w:jc w:val="both"/>
              <w:rPr>
                <w:rFonts w:cs="Arial"/>
                <w:color w:val="000000"/>
                <w:szCs w:val="20"/>
              </w:rPr>
            </w:pPr>
            <w:r w:rsidRPr="00881795">
              <w:rPr>
                <w:rFonts w:cs="Arial"/>
                <w:color w:val="000000"/>
                <w:szCs w:val="20"/>
              </w:rPr>
              <w:t>% of female headed households</w:t>
            </w:r>
          </w:p>
        </w:tc>
        <w:tc>
          <w:tcPr>
            <w:tcW w:w="1045" w:type="dxa"/>
            <w:hideMark/>
          </w:tcPr>
          <w:p w14:paraId="24A176D0" w14:textId="77777777" w:rsidR="00E02FCF" w:rsidRPr="00881795" w:rsidRDefault="00E02FCF" w:rsidP="00395313">
            <w:pPr>
              <w:jc w:val="both"/>
              <w:rPr>
                <w:rFonts w:cs="Arial"/>
                <w:color w:val="000000"/>
                <w:szCs w:val="20"/>
              </w:rPr>
            </w:pPr>
            <w:r w:rsidRPr="00881795">
              <w:rPr>
                <w:rFonts w:cs="Arial"/>
                <w:color w:val="000000"/>
                <w:szCs w:val="20"/>
              </w:rPr>
              <w:t>57,6</w:t>
            </w:r>
          </w:p>
        </w:tc>
        <w:tc>
          <w:tcPr>
            <w:tcW w:w="1834" w:type="dxa"/>
            <w:hideMark/>
          </w:tcPr>
          <w:p w14:paraId="6157C68D" w14:textId="77777777" w:rsidR="00E02FCF" w:rsidRPr="00881795" w:rsidRDefault="00E02FCF" w:rsidP="00395313">
            <w:pPr>
              <w:jc w:val="both"/>
              <w:rPr>
                <w:rFonts w:cs="Arial"/>
                <w:color w:val="000000"/>
                <w:szCs w:val="20"/>
              </w:rPr>
            </w:pPr>
            <w:r w:rsidRPr="00881795">
              <w:rPr>
                <w:rFonts w:cs="Arial"/>
                <w:color w:val="000000"/>
                <w:szCs w:val="20"/>
              </w:rPr>
              <w:t>55,3</w:t>
            </w:r>
          </w:p>
        </w:tc>
        <w:tc>
          <w:tcPr>
            <w:tcW w:w="1834" w:type="dxa"/>
          </w:tcPr>
          <w:p w14:paraId="7F6909E0" w14:textId="77777777" w:rsidR="00E02FCF" w:rsidRPr="00881795" w:rsidRDefault="002A2610" w:rsidP="00395313">
            <w:pPr>
              <w:jc w:val="both"/>
              <w:rPr>
                <w:rFonts w:cs="Arial"/>
                <w:color w:val="000000"/>
                <w:szCs w:val="20"/>
              </w:rPr>
            </w:pPr>
            <w:r>
              <w:rPr>
                <w:rFonts w:cs="Arial"/>
                <w:color w:val="000000"/>
                <w:szCs w:val="20"/>
              </w:rPr>
              <w:t>53</w:t>
            </w:r>
          </w:p>
        </w:tc>
      </w:tr>
    </w:tbl>
    <w:p w14:paraId="32AD868C" w14:textId="77777777" w:rsidR="001D0DD1" w:rsidRDefault="001D0DD1" w:rsidP="002F62F0">
      <w:pPr>
        <w:pStyle w:val="Caption"/>
      </w:pPr>
      <w:bookmarkStart w:id="209" w:name="_Toc350093590"/>
      <w:bookmarkStart w:id="210" w:name="_Toc389739804"/>
    </w:p>
    <w:p w14:paraId="460F81CD" w14:textId="370CDE5B" w:rsidR="00423134" w:rsidRPr="00C97418" w:rsidRDefault="00423134" w:rsidP="00750180">
      <w:pPr>
        <w:pStyle w:val="Heading4"/>
        <w:numPr>
          <w:ilvl w:val="3"/>
          <w:numId w:val="29"/>
        </w:numPr>
      </w:pPr>
      <w:bookmarkStart w:id="211" w:name="_Toc350093415"/>
      <w:bookmarkStart w:id="212" w:name="_Toc389739805"/>
      <w:bookmarkEnd w:id="209"/>
      <w:bookmarkEnd w:id="210"/>
      <w:r w:rsidRPr="00C97418">
        <w:t>Gender Ratio</w:t>
      </w:r>
      <w:bookmarkEnd w:id="211"/>
      <w:bookmarkEnd w:id="212"/>
    </w:p>
    <w:p w14:paraId="5BF36040" w14:textId="77777777" w:rsidR="002A2610" w:rsidRDefault="002A2610" w:rsidP="002A2610">
      <w:r>
        <w:t>In terms of the gender ratio demographics by StatsSA, it is evident that there remain to be more females within the population of uMlalazi LM than that of males. This could also be an attribute to there being a more female headed households than men.</w:t>
      </w:r>
    </w:p>
    <w:p w14:paraId="22C05BBB" w14:textId="77777777" w:rsidR="00C97418" w:rsidRDefault="00C97418" w:rsidP="002A2610"/>
    <w:tbl>
      <w:tblPr>
        <w:tblW w:w="8087" w:type="dxa"/>
        <w:tblLook w:val="04A0" w:firstRow="1" w:lastRow="0" w:firstColumn="1" w:lastColumn="0" w:noHBand="0" w:noVBand="1"/>
      </w:tblPr>
      <w:tblGrid>
        <w:gridCol w:w="3002"/>
        <w:gridCol w:w="3003"/>
        <w:gridCol w:w="1203"/>
        <w:gridCol w:w="879"/>
      </w:tblGrid>
      <w:tr w:rsidR="00964A5D" w:rsidRPr="00964A5D" w14:paraId="624F0803" w14:textId="77777777" w:rsidTr="00964A5D">
        <w:trPr>
          <w:trHeight w:val="264"/>
        </w:trPr>
        <w:tc>
          <w:tcPr>
            <w:tcW w:w="0" w:type="auto"/>
            <w:tcBorders>
              <w:top w:val="single" w:sz="4" w:space="0" w:color="auto"/>
              <w:left w:val="single" w:sz="8" w:space="0" w:color="auto"/>
              <w:bottom w:val="single" w:sz="4" w:space="0" w:color="000000"/>
              <w:right w:val="single" w:sz="4" w:space="0" w:color="auto"/>
            </w:tcBorders>
            <w:shd w:val="clear" w:color="auto" w:fill="000000" w:themeFill="text1"/>
            <w:vAlign w:val="center"/>
          </w:tcPr>
          <w:p w14:paraId="488BDEAA" w14:textId="77777777" w:rsidR="00964A5D" w:rsidRPr="00964A5D" w:rsidRDefault="00964A5D" w:rsidP="002A2610">
            <w:pPr>
              <w:spacing w:after="0" w:line="240" w:lineRule="auto"/>
              <w:rPr>
                <w:b/>
              </w:rPr>
            </w:pPr>
            <w:r w:rsidRPr="00964A5D">
              <w:rPr>
                <w:b/>
              </w:rPr>
              <w:lastRenderedPageBreak/>
              <w:t>INDICATOR</w:t>
            </w:r>
          </w:p>
        </w:tc>
        <w:tc>
          <w:tcPr>
            <w:tcW w:w="0" w:type="auto"/>
            <w:tcBorders>
              <w:top w:val="single" w:sz="4" w:space="0" w:color="auto"/>
              <w:left w:val="nil"/>
              <w:bottom w:val="single" w:sz="4" w:space="0" w:color="auto"/>
              <w:right w:val="single" w:sz="4" w:space="0" w:color="auto"/>
            </w:tcBorders>
            <w:shd w:val="clear" w:color="auto" w:fill="000000" w:themeFill="text1"/>
            <w:noWrap/>
            <w:vAlign w:val="bottom"/>
          </w:tcPr>
          <w:p w14:paraId="38E9EF68" w14:textId="77777777" w:rsidR="00964A5D" w:rsidRPr="00964A5D" w:rsidRDefault="00964A5D" w:rsidP="002A2610">
            <w:pPr>
              <w:spacing w:after="0" w:line="240" w:lineRule="auto"/>
              <w:rPr>
                <w:b/>
              </w:rPr>
            </w:pPr>
            <w:r w:rsidRPr="00964A5D">
              <w:rPr>
                <w:b/>
              </w:rPr>
              <w:t>TYPE</w:t>
            </w:r>
          </w:p>
        </w:tc>
        <w:tc>
          <w:tcPr>
            <w:tcW w:w="0" w:type="auto"/>
            <w:tcBorders>
              <w:top w:val="single" w:sz="4" w:space="0" w:color="auto"/>
              <w:left w:val="nil"/>
              <w:bottom w:val="single" w:sz="4" w:space="0" w:color="auto"/>
              <w:right w:val="single" w:sz="4" w:space="0" w:color="auto"/>
            </w:tcBorders>
            <w:shd w:val="clear" w:color="auto" w:fill="000000" w:themeFill="text1"/>
            <w:noWrap/>
            <w:vAlign w:val="bottom"/>
          </w:tcPr>
          <w:p w14:paraId="019245D9" w14:textId="77777777" w:rsidR="00964A5D" w:rsidRPr="00964A5D" w:rsidRDefault="00964A5D" w:rsidP="002A2610">
            <w:pPr>
              <w:spacing w:after="0" w:line="240" w:lineRule="auto"/>
              <w:jc w:val="center"/>
              <w:rPr>
                <w:b/>
              </w:rPr>
            </w:pPr>
            <w:r w:rsidRPr="00964A5D">
              <w:rPr>
                <w:b/>
              </w:rPr>
              <w:t>NUMBER</w:t>
            </w:r>
          </w:p>
        </w:tc>
        <w:tc>
          <w:tcPr>
            <w:tcW w:w="0" w:type="auto"/>
            <w:tcBorders>
              <w:top w:val="single" w:sz="4" w:space="0" w:color="auto"/>
              <w:left w:val="nil"/>
              <w:bottom w:val="single" w:sz="4" w:space="0" w:color="auto"/>
              <w:right w:val="single" w:sz="4" w:space="0" w:color="auto"/>
            </w:tcBorders>
            <w:shd w:val="clear" w:color="auto" w:fill="000000" w:themeFill="text1"/>
            <w:noWrap/>
            <w:vAlign w:val="bottom"/>
          </w:tcPr>
          <w:p w14:paraId="638E39DF" w14:textId="77777777" w:rsidR="00964A5D" w:rsidRPr="00964A5D" w:rsidRDefault="00964A5D" w:rsidP="00964A5D">
            <w:pPr>
              <w:spacing w:after="0" w:line="240" w:lineRule="auto"/>
              <w:rPr>
                <w:b/>
              </w:rPr>
            </w:pPr>
            <w:r w:rsidRPr="00964A5D">
              <w:rPr>
                <w:b/>
              </w:rPr>
              <w:t>%</w:t>
            </w:r>
          </w:p>
        </w:tc>
      </w:tr>
      <w:tr w:rsidR="002A2610" w:rsidRPr="002A2610" w14:paraId="75C73869" w14:textId="77777777" w:rsidTr="002A2610">
        <w:trPr>
          <w:trHeight w:val="264"/>
        </w:trPr>
        <w:tc>
          <w:tcPr>
            <w:tcW w:w="0" w:type="auto"/>
            <w:vMerge w:val="restart"/>
            <w:tcBorders>
              <w:top w:val="single" w:sz="4" w:space="0" w:color="auto"/>
              <w:left w:val="single" w:sz="8" w:space="0" w:color="auto"/>
              <w:bottom w:val="single" w:sz="4" w:space="0" w:color="000000"/>
              <w:right w:val="single" w:sz="4" w:space="0" w:color="auto"/>
            </w:tcBorders>
            <w:shd w:val="clear" w:color="auto" w:fill="auto"/>
            <w:vAlign w:val="center"/>
            <w:hideMark/>
          </w:tcPr>
          <w:p w14:paraId="0CF344E4" w14:textId="77777777" w:rsidR="002A2610" w:rsidRPr="002A2610" w:rsidRDefault="002A2610" w:rsidP="002A2610">
            <w:pPr>
              <w:spacing w:after="0" w:line="240" w:lineRule="auto"/>
            </w:pPr>
            <w:r w:rsidRPr="002A2610">
              <w:t>Gender</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BA6A496" w14:textId="77777777" w:rsidR="002A2610" w:rsidRPr="002A2610" w:rsidRDefault="002A2610" w:rsidP="002A2610">
            <w:pPr>
              <w:spacing w:after="0" w:line="240" w:lineRule="auto"/>
            </w:pPr>
            <w:r w:rsidRPr="002A2610">
              <w:t>Male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304EC73" w14:textId="77777777" w:rsidR="002A2610" w:rsidRPr="002A2610" w:rsidRDefault="002A2610" w:rsidP="002A2610">
            <w:pPr>
              <w:spacing w:after="0" w:line="240" w:lineRule="auto"/>
              <w:jc w:val="center"/>
            </w:pPr>
            <w:r w:rsidRPr="002A2610">
              <w:t>103 773</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EEFEF97" w14:textId="77777777" w:rsidR="002A2610" w:rsidRPr="002A2610" w:rsidRDefault="002A2610" w:rsidP="002A2610">
            <w:pPr>
              <w:spacing w:after="0" w:line="240" w:lineRule="auto"/>
              <w:jc w:val="center"/>
            </w:pPr>
            <w:r w:rsidRPr="002A2610">
              <w:t>47,0%</w:t>
            </w:r>
          </w:p>
        </w:tc>
      </w:tr>
      <w:tr w:rsidR="002A2610" w:rsidRPr="002A2610" w14:paraId="68566BA9" w14:textId="77777777" w:rsidTr="002A2610">
        <w:trPr>
          <w:trHeight w:val="264"/>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76CC1C10" w14:textId="77777777" w:rsidR="002A2610" w:rsidRPr="002A2610" w:rsidRDefault="002A2610" w:rsidP="002A2610">
            <w:pPr>
              <w:spacing w:after="0" w:line="240" w:lineRule="auto"/>
            </w:pPr>
          </w:p>
        </w:tc>
        <w:tc>
          <w:tcPr>
            <w:tcW w:w="0" w:type="auto"/>
            <w:tcBorders>
              <w:top w:val="nil"/>
              <w:left w:val="nil"/>
              <w:bottom w:val="single" w:sz="4" w:space="0" w:color="auto"/>
              <w:right w:val="single" w:sz="4" w:space="0" w:color="auto"/>
            </w:tcBorders>
            <w:shd w:val="clear" w:color="auto" w:fill="auto"/>
            <w:noWrap/>
            <w:vAlign w:val="bottom"/>
            <w:hideMark/>
          </w:tcPr>
          <w:p w14:paraId="0F5D7ED6" w14:textId="77777777" w:rsidR="002A2610" w:rsidRPr="002A2610" w:rsidRDefault="002A2610" w:rsidP="002A2610">
            <w:pPr>
              <w:spacing w:after="0" w:line="240" w:lineRule="auto"/>
            </w:pPr>
            <w:r w:rsidRPr="002A2610">
              <w:t>Female</w:t>
            </w:r>
          </w:p>
        </w:tc>
        <w:tc>
          <w:tcPr>
            <w:tcW w:w="0" w:type="auto"/>
            <w:tcBorders>
              <w:top w:val="nil"/>
              <w:left w:val="nil"/>
              <w:bottom w:val="single" w:sz="4" w:space="0" w:color="auto"/>
              <w:right w:val="single" w:sz="4" w:space="0" w:color="auto"/>
            </w:tcBorders>
            <w:shd w:val="clear" w:color="auto" w:fill="auto"/>
            <w:noWrap/>
            <w:vAlign w:val="bottom"/>
            <w:hideMark/>
          </w:tcPr>
          <w:p w14:paraId="10D7964F" w14:textId="77777777" w:rsidR="002A2610" w:rsidRPr="002A2610" w:rsidRDefault="002A2610" w:rsidP="002A2610">
            <w:pPr>
              <w:spacing w:after="0" w:line="240" w:lineRule="auto"/>
              <w:jc w:val="center"/>
            </w:pPr>
            <w:r w:rsidRPr="002A2610">
              <w:t>119 367</w:t>
            </w:r>
          </w:p>
        </w:tc>
        <w:tc>
          <w:tcPr>
            <w:tcW w:w="0" w:type="auto"/>
            <w:tcBorders>
              <w:top w:val="nil"/>
              <w:left w:val="nil"/>
              <w:bottom w:val="single" w:sz="4" w:space="0" w:color="auto"/>
              <w:right w:val="single" w:sz="4" w:space="0" w:color="auto"/>
            </w:tcBorders>
            <w:shd w:val="clear" w:color="auto" w:fill="auto"/>
            <w:noWrap/>
            <w:vAlign w:val="bottom"/>
            <w:hideMark/>
          </w:tcPr>
          <w:p w14:paraId="39AE21E0" w14:textId="77777777" w:rsidR="002A2610" w:rsidRPr="002A2610" w:rsidRDefault="002A2610" w:rsidP="002A2610">
            <w:pPr>
              <w:spacing w:after="0" w:line="240" w:lineRule="auto"/>
              <w:jc w:val="center"/>
            </w:pPr>
            <w:r w:rsidRPr="002A2610">
              <w:t>53,0%</w:t>
            </w:r>
          </w:p>
        </w:tc>
      </w:tr>
      <w:tr w:rsidR="002A2610" w:rsidRPr="002A2610" w14:paraId="38A4D9B2" w14:textId="77777777" w:rsidTr="002A2610">
        <w:trPr>
          <w:trHeight w:val="264"/>
        </w:trPr>
        <w:tc>
          <w:tcPr>
            <w:tcW w:w="0" w:type="auto"/>
            <w:tcBorders>
              <w:top w:val="nil"/>
              <w:left w:val="single" w:sz="8" w:space="0" w:color="auto"/>
              <w:bottom w:val="single" w:sz="4" w:space="0" w:color="auto"/>
              <w:right w:val="single" w:sz="4" w:space="0" w:color="auto"/>
            </w:tcBorders>
            <w:shd w:val="clear" w:color="auto" w:fill="auto"/>
            <w:vAlign w:val="bottom"/>
            <w:hideMark/>
          </w:tcPr>
          <w:p w14:paraId="566D11B4" w14:textId="77777777" w:rsidR="002A2610" w:rsidRPr="002A2610" w:rsidRDefault="002A2610" w:rsidP="002A2610">
            <w:pPr>
              <w:spacing w:after="0" w:line="240" w:lineRule="auto"/>
            </w:pPr>
            <w:r w:rsidRPr="002A2610">
              <w:t>Sex ratio male/100 females</w:t>
            </w:r>
          </w:p>
        </w:tc>
        <w:tc>
          <w:tcPr>
            <w:tcW w:w="0" w:type="auto"/>
            <w:tcBorders>
              <w:top w:val="nil"/>
              <w:left w:val="nil"/>
              <w:bottom w:val="single" w:sz="4" w:space="0" w:color="auto"/>
              <w:right w:val="single" w:sz="4" w:space="0" w:color="auto"/>
            </w:tcBorders>
            <w:shd w:val="clear" w:color="auto" w:fill="auto"/>
            <w:noWrap/>
            <w:vAlign w:val="bottom"/>
            <w:hideMark/>
          </w:tcPr>
          <w:p w14:paraId="314D0207" w14:textId="77777777" w:rsidR="002A2610" w:rsidRPr="002A2610" w:rsidRDefault="002A2610" w:rsidP="002A2610">
            <w:pPr>
              <w:spacing w:after="0" w:line="240" w:lineRule="auto"/>
            </w:pPr>
            <w:r w:rsidRPr="002A2610">
              <w:t>Sex ratio male/100 females</w:t>
            </w:r>
          </w:p>
        </w:tc>
        <w:tc>
          <w:tcPr>
            <w:tcW w:w="0" w:type="auto"/>
            <w:tcBorders>
              <w:top w:val="nil"/>
              <w:left w:val="nil"/>
              <w:bottom w:val="single" w:sz="4" w:space="0" w:color="auto"/>
              <w:right w:val="single" w:sz="4" w:space="0" w:color="auto"/>
            </w:tcBorders>
            <w:shd w:val="clear" w:color="auto" w:fill="auto"/>
            <w:noWrap/>
            <w:vAlign w:val="bottom"/>
            <w:hideMark/>
          </w:tcPr>
          <w:p w14:paraId="7253A600" w14:textId="77777777" w:rsidR="002A2610" w:rsidRPr="002A2610" w:rsidRDefault="002A2610" w:rsidP="002A2610">
            <w:pPr>
              <w:spacing w:after="0" w:line="240" w:lineRule="auto"/>
              <w:jc w:val="center"/>
            </w:pPr>
            <w:r w:rsidRPr="002A2610">
              <w:t>89,5</w:t>
            </w:r>
          </w:p>
        </w:tc>
        <w:tc>
          <w:tcPr>
            <w:tcW w:w="0" w:type="auto"/>
            <w:tcBorders>
              <w:top w:val="nil"/>
              <w:left w:val="nil"/>
              <w:bottom w:val="single" w:sz="4" w:space="0" w:color="auto"/>
              <w:right w:val="single" w:sz="4" w:space="0" w:color="auto"/>
            </w:tcBorders>
            <w:shd w:val="clear" w:color="auto" w:fill="auto"/>
            <w:noWrap/>
            <w:vAlign w:val="bottom"/>
            <w:hideMark/>
          </w:tcPr>
          <w:p w14:paraId="0E143794" w14:textId="77777777" w:rsidR="002A2610" w:rsidRPr="002A2610" w:rsidRDefault="002A2610" w:rsidP="002A2610">
            <w:pPr>
              <w:spacing w:after="0" w:line="240" w:lineRule="auto"/>
              <w:jc w:val="center"/>
            </w:pPr>
            <w:r w:rsidRPr="002A2610">
              <w:t>86,9</w:t>
            </w:r>
          </w:p>
        </w:tc>
      </w:tr>
    </w:tbl>
    <w:p w14:paraId="27404C98" w14:textId="77777777" w:rsidR="00423134" w:rsidRDefault="002A2610" w:rsidP="002F62F0">
      <w:pPr>
        <w:pStyle w:val="Caption"/>
      </w:pPr>
      <w:bookmarkStart w:id="213" w:name="_Toc510622266"/>
      <w:r>
        <w:t xml:space="preserve">Table </w:t>
      </w:r>
      <w:r w:rsidR="00B918A6">
        <w:fldChar w:fldCharType="begin"/>
      </w:r>
      <w:r w:rsidR="00B918A6">
        <w:instrText xml:space="preserve"> SEQ Table \* ARABIC </w:instrText>
      </w:r>
      <w:r w:rsidR="00B918A6">
        <w:fldChar w:fldCharType="separate"/>
      </w:r>
      <w:r w:rsidR="0067023A">
        <w:rPr>
          <w:noProof/>
        </w:rPr>
        <w:t>16</w:t>
      </w:r>
      <w:r w:rsidR="00B918A6">
        <w:rPr>
          <w:noProof/>
        </w:rPr>
        <w:fldChar w:fldCharType="end"/>
      </w:r>
      <w:r>
        <w:t>: Gender Ratio (CS 2016)</w:t>
      </w:r>
      <w:bookmarkEnd w:id="213"/>
    </w:p>
    <w:p w14:paraId="68C72F45" w14:textId="7A917C09" w:rsidR="00423134" w:rsidRDefault="00423134" w:rsidP="00750180">
      <w:pPr>
        <w:pStyle w:val="Heading4"/>
        <w:numPr>
          <w:ilvl w:val="3"/>
          <w:numId w:val="29"/>
        </w:numPr>
        <w:ind w:left="1134" w:hanging="1134"/>
        <w:jc w:val="both"/>
        <w:rPr>
          <w:rFonts w:ascii="Calibri" w:hAnsi="Calibri"/>
          <w:i/>
        </w:rPr>
      </w:pPr>
      <w:bookmarkStart w:id="214" w:name="_Toc350093416"/>
      <w:bookmarkStart w:id="215" w:name="_Toc389739809"/>
      <w:r w:rsidRPr="00881795">
        <w:rPr>
          <w:rFonts w:ascii="Calibri" w:hAnsi="Calibri"/>
          <w:i/>
        </w:rPr>
        <w:t>Age Distribution</w:t>
      </w:r>
      <w:bookmarkEnd w:id="214"/>
      <w:bookmarkEnd w:id="215"/>
    </w:p>
    <w:tbl>
      <w:tblPr>
        <w:tblW w:w="8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5"/>
        <w:gridCol w:w="2772"/>
        <w:gridCol w:w="1861"/>
      </w:tblGrid>
      <w:tr w:rsidR="00176CBD" w:rsidRPr="00176CBD" w14:paraId="2253650D" w14:textId="77777777" w:rsidTr="00176CBD">
        <w:trPr>
          <w:trHeight w:val="261"/>
        </w:trPr>
        <w:tc>
          <w:tcPr>
            <w:tcW w:w="3525" w:type="dxa"/>
            <w:shd w:val="clear" w:color="auto" w:fill="000000" w:themeFill="text1"/>
            <w:noWrap/>
            <w:vAlign w:val="bottom"/>
            <w:hideMark/>
          </w:tcPr>
          <w:p w14:paraId="3C6D51EB" w14:textId="77777777" w:rsidR="00176CBD" w:rsidRPr="00176CBD" w:rsidRDefault="00176CBD" w:rsidP="00176CBD">
            <w:pPr>
              <w:spacing w:after="0" w:line="240" w:lineRule="auto"/>
              <w:rPr>
                <w:b/>
              </w:rPr>
            </w:pPr>
            <w:r w:rsidRPr="00176CBD">
              <w:rPr>
                <w:b/>
              </w:rPr>
              <w:t> Age</w:t>
            </w:r>
          </w:p>
        </w:tc>
        <w:tc>
          <w:tcPr>
            <w:tcW w:w="2772" w:type="dxa"/>
            <w:shd w:val="clear" w:color="auto" w:fill="000000" w:themeFill="text1"/>
            <w:vAlign w:val="center"/>
            <w:hideMark/>
          </w:tcPr>
          <w:p w14:paraId="48EC74C5" w14:textId="77777777" w:rsidR="00176CBD" w:rsidRPr="00176CBD" w:rsidRDefault="00176CBD" w:rsidP="00176CBD">
            <w:pPr>
              <w:spacing w:after="0" w:line="240" w:lineRule="auto"/>
              <w:jc w:val="center"/>
              <w:rPr>
                <w:b/>
              </w:rPr>
            </w:pPr>
            <w:r w:rsidRPr="00176CBD">
              <w:rPr>
                <w:b/>
              </w:rPr>
              <w:t>Male</w:t>
            </w:r>
          </w:p>
        </w:tc>
        <w:tc>
          <w:tcPr>
            <w:tcW w:w="1861" w:type="dxa"/>
            <w:shd w:val="clear" w:color="auto" w:fill="000000" w:themeFill="text1"/>
            <w:vAlign w:val="center"/>
            <w:hideMark/>
          </w:tcPr>
          <w:p w14:paraId="32487F96" w14:textId="77777777" w:rsidR="00176CBD" w:rsidRPr="00176CBD" w:rsidRDefault="00176CBD" w:rsidP="00176CBD">
            <w:pPr>
              <w:spacing w:after="0" w:line="240" w:lineRule="auto"/>
              <w:jc w:val="center"/>
              <w:rPr>
                <w:b/>
              </w:rPr>
            </w:pPr>
            <w:r w:rsidRPr="00176CBD">
              <w:rPr>
                <w:b/>
              </w:rPr>
              <w:t>Female</w:t>
            </w:r>
          </w:p>
        </w:tc>
      </w:tr>
      <w:tr w:rsidR="00176CBD" w:rsidRPr="00176CBD" w14:paraId="77518800" w14:textId="77777777" w:rsidTr="00176CBD">
        <w:trPr>
          <w:trHeight w:val="261"/>
        </w:trPr>
        <w:tc>
          <w:tcPr>
            <w:tcW w:w="3525" w:type="dxa"/>
            <w:shd w:val="clear" w:color="auto" w:fill="auto"/>
            <w:vAlign w:val="center"/>
            <w:hideMark/>
          </w:tcPr>
          <w:p w14:paraId="7458691A" w14:textId="77777777" w:rsidR="00176CBD" w:rsidRPr="00176CBD" w:rsidRDefault="00176CBD" w:rsidP="00176CBD">
            <w:pPr>
              <w:spacing w:after="0" w:line="240" w:lineRule="auto"/>
            </w:pPr>
            <w:r w:rsidRPr="00176CBD">
              <w:t>00-04</w:t>
            </w:r>
          </w:p>
        </w:tc>
        <w:tc>
          <w:tcPr>
            <w:tcW w:w="2772" w:type="dxa"/>
            <w:shd w:val="clear" w:color="auto" w:fill="auto"/>
            <w:noWrap/>
            <w:vAlign w:val="bottom"/>
            <w:hideMark/>
          </w:tcPr>
          <w:p w14:paraId="7EC51249" w14:textId="77777777" w:rsidR="00176CBD" w:rsidRPr="00176CBD" w:rsidRDefault="00176CBD" w:rsidP="00176CBD">
            <w:pPr>
              <w:spacing w:after="0" w:line="240" w:lineRule="auto"/>
              <w:jc w:val="right"/>
            </w:pPr>
            <w:r w:rsidRPr="00176CBD">
              <w:t>16733</w:t>
            </w:r>
          </w:p>
        </w:tc>
        <w:tc>
          <w:tcPr>
            <w:tcW w:w="1861" w:type="dxa"/>
            <w:shd w:val="clear" w:color="auto" w:fill="auto"/>
            <w:noWrap/>
            <w:vAlign w:val="bottom"/>
            <w:hideMark/>
          </w:tcPr>
          <w:p w14:paraId="695B86DC" w14:textId="77777777" w:rsidR="00176CBD" w:rsidRPr="00176CBD" w:rsidRDefault="00176CBD" w:rsidP="00176CBD">
            <w:pPr>
              <w:spacing w:after="0" w:line="240" w:lineRule="auto"/>
              <w:jc w:val="right"/>
            </w:pPr>
            <w:r w:rsidRPr="00176CBD">
              <w:t>17325</w:t>
            </w:r>
          </w:p>
        </w:tc>
      </w:tr>
      <w:tr w:rsidR="00176CBD" w:rsidRPr="00176CBD" w14:paraId="4F419C7C" w14:textId="77777777" w:rsidTr="00176CBD">
        <w:trPr>
          <w:trHeight w:val="261"/>
        </w:trPr>
        <w:tc>
          <w:tcPr>
            <w:tcW w:w="3525" w:type="dxa"/>
            <w:shd w:val="clear" w:color="auto" w:fill="auto"/>
            <w:vAlign w:val="center"/>
            <w:hideMark/>
          </w:tcPr>
          <w:p w14:paraId="0DDB5F4A" w14:textId="77777777" w:rsidR="00176CBD" w:rsidRPr="00176CBD" w:rsidRDefault="00176CBD" w:rsidP="00176CBD">
            <w:pPr>
              <w:spacing w:after="0" w:line="240" w:lineRule="auto"/>
            </w:pPr>
            <w:r w:rsidRPr="00176CBD">
              <w:t>05-09</w:t>
            </w:r>
          </w:p>
        </w:tc>
        <w:tc>
          <w:tcPr>
            <w:tcW w:w="2772" w:type="dxa"/>
            <w:shd w:val="clear" w:color="auto" w:fill="auto"/>
            <w:noWrap/>
            <w:vAlign w:val="bottom"/>
            <w:hideMark/>
          </w:tcPr>
          <w:p w14:paraId="33E353F4" w14:textId="77777777" w:rsidR="00176CBD" w:rsidRPr="00176CBD" w:rsidRDefault="00176CBD" w:rsidP="00176CBD">
            <w:pPr>
              <w:spacing w:after="0" w:line="240" w:lineRule="auto"/>
              <w:jc w:val="right"/>
            </w:pPr>
            <w:r w:rsidRPr="00176CBD">
              <w:t>15931</w:t>
            </w:r>
          </w:p>
        </w:tc>
        <w:tc>
          <w:tcPr>
            <w:tcW w:w="1861" w:type="dxa"/>
            <w:shd w:val="clear" w:color="auto" w:fill="auto"/>
            <w:noWrap/>
            <w:vAlign w:val="bottom"/>
            <w:hideMark/>
          </w:tcPr>
          <w:p w14:paraId="331888B7" w14:textId="77777777" w:rsidR="00176CBD" w:rsidRPr="00176CBD" w:rsidRDefault="00176CBD" w:rsidP="00176CBD">
            <w:pPr>
              <w:spacing w:after="0" w:line="240" w:lineRule="auto"/>
              <w:jc w:val="right"/>
            </w:pPr>
            <w:r w:rsidRPr="00176CBD">
              <w:t>15781</w:t>
            </w:r>
          </w:p>
        </w:tc>
      </w:tr>
      <w:tr w:rsidR="00176CBD" w:rsidRPr="00176CBD" w14:paraId="3BCE63D3" w14:textId="77777777" w:rsidTr="00176CBD">
        <w:trPr>
          <w:trHeight w:val="261"/>
        </w:trPr>
        <w:tc>
          <w:tcPr>
            <w:tcW w:w="3525" w:type="dxa"/>
            <w:shd w:val="clear" w:color="auto" w:fill="auto"/>
            <w:vAlign w:val="center"/>
            <w:hideMark/>
          </w:tcPr>
          <w:p w14:paraId="231D303E" w14:textId="77777777" w:rsidR="00176CBD" w:rsidRPr="00176CBD" w:rsidRDefault="00176CBD" w:rsidP="00176CBD">
            <w:pPr>
              <w:spacing w:after="0" w:line="240" w:lineRule="auto"/>
            </w:pPr>
            <w:r w:rsidRPr="00176CBD">
              <w:t>10-14</w:t>
            </w:r>
          </w:p>
        </w:tc>
        <w:tc>
          <w:tcPr>
            <w:tcW w:w="2772" w:type="dxa"/>
            <w:shd w:val="clear" w:color="auto" w:fill="auto"/>
            <w:noWrap/>
            <w:vAlign w:val="bottom"/>
            <w:hideMark/>
          </w:tcPr>
          <w:p w14:paraId="31D08348" w14:textId="77777777" w:rsidR="00176CBD" w:rsidRPr="00176CBD" w:rsidRDefault="00176CBD" w:rsidP="00176CBD">
            <w:pPr>
              <w:spacing w:after="0" w:line="240" w:lineRule="auto"/>
              <w:jc w:val="right"/>
            </w:pPr>
            <w:r w:rsidRPr="00176CBD">
              <w:t>16042</w:t>
            </w:r>
          </w:p>
        </w:tc>
        <w:tc>
          <w:tcPr>
            <w:tcW w:w="1861" w:type="dxa"/>
            <w:shd w:val="clear" w:color="auto" w:fill="auto"/>
            <w:noWrap/>
            <w:vAlign w:val="bottom"/>
            <w:hideMark/>
          </w:tcPr>
          <w:p w14:paraId="274922F2" w14:textId="77777777" w:rsidR="00176CBD" w:rsidRPr="00176CBD" w:rsidRDefault="00176CBD" w:rsidP="00176CBD">
            <w:pPr>
              <w:spacing w:after="0" w:line="240" w:lineRule="auto"/>
              <w:jc w:val="right"/>
            </w:pPr>
            <w:r w:rsidRPr="00176CBD">
              <w:t>14554</w:t>
            </w:r>
          </w:p>
        </w:tc>
      </w:tr>
      <w:tr w:rsidR="00176CBD" w:rsidRPr="00176CBD" w14:paraId="1395D1FC" w14:textId="77777777" w:rsidTr="00176CBD">
        <w:trPr>
          <w:trHeight w:val="261"/>
        </w:trPr>
        <w:tc>
          <w:tcPr>
            <w:tcW w:w="3525" w:type="dxa"/>
            <w:shd w:val="clear" w:color="auto" w:fill="auto"/>
            <w:vAlign w:val="center"/>
            <w:hideMark/>
          </w:tcPr>
          <w:p w14:paraId="77D85B2F" w14:textId="77777777" w:rsidR="00176CBD" w:rsidRPr="00176CBD" w:rsidRDefault="00176CBD" w:rsidP="00176CBD">
            <w:pPr>
              <w:spacing w:after="0" w:line="240" w:lineRule="auto"/>
            </w:pPr>
            <w:r w:rsidRPr="00176CBD">
              <w:t>15-19</w:t>
            </w:r>
          </w:p>
        </w:tc>
        <w:tc>
          <w:tcPr>
            <w:tcW w:w="2772" w:type="dxa"/>
            <w:shd w:val="clear" w:color="auto" w:fill="auto"/>
            <w:noWrap/>
            <w:vAlign w:val="bottom"/>
            <w:hideMark/>
          </w:tcPr>
          <w:p w14:paraId="422F097E" w14:textId="77777777" w:rsidR="00176CBD" w:rsidRPr="00176CBD" w:rsidRDefault="00176CBD" w:rsidP="00176CBD">
            <w:pPr>
              <w:spacing w:after="0" w:line="240" w:lineRule="auto"/>
              <w:jc w:val="right"/>
            </w:pPr>
            <w:r w:rsidRPr="00176CBD">
              <w:t>10754</w:t>
            </w:r>
          </w:p>
        </w:tc>
        <w:tc>
          <w:tcPr>
            <w:tcW w:w="1861" w:type="dxa"/>
            <w:shd w:val="clear" w:color="auto" w:fill="auto"/>
            <w:noWrap/>
            <w:vAlign w:val="bottom"/>
            <w:hideMark/>
          </w:tcPr>
          <w:p w14:paraId="218C0483" w14:textId="77777777" w:rsidR="00176CBD" w:rsidRPr="00176CBD" w:rsidRDefault="00176CBD" w:rsidP="00176CBD">
            <w:pPr>
              <w:spacing w:after="0" w:line="240" w:lineRule="auto"/>
              <w:jc w:val="right"/>
            </w:pPr>
            <w:r w:rsidRPr="00176CBD">
              <w:t>11172</w:t>
            </w:r>
          </w:p>
        </w:tc>
      </w:tr>
      <w:tr w:rsidR="00176CBD" w:rsidRPr="00176CBD" w14:paraId="38E7697D" w14:textId="77777777" w:rsidTr="00176CBD">
        <w:trPr>
          <w:trHeight w:val="261"/>
        </w:trPr>
        <w:tc>
          <w:tcPr>
            <w:tcW w:w="3525" w:type="dxa"/>
            <w:shd w:val="clear" w:color="auto" w:fill="auto"/>
            <w:vAlign w:val="center"/>
            <w:hideMark/>
          </w:tcPr>
          <w:p w14:paraId="75A57374" w14:textId="77777777" w:rsidR="00176CBD" w:rsidRPr="00176CBD" w:rsidRDefault="00176CBD" w:rsidP="00176CBD">
            <w:pPr>
              <w:spacing w:after="0" w:line="240" w:lineRule="auto"/>
            </w:pPr>
            <w:r w:rsidRPr="00176CBD">
              <w:t>20-24</w:t>
            </w:r>
          </w:p>
        </w:tc>
        <w:tc>
          <w:tcPr>
            <w:tcW w:w="2772" w:type="dxa"/>
            <w:shd w:val="clear" w:color="auto" w:fill="auto"/>
            <w:noWrap/>
            <w:vAlign w:val="bottom"/>
            <w:hideMark/>
          </w:tcPr>
          <w:p w14:paraId="674B3135" w14:textId="77777777" w:rsidR="00176CBD" w:rsidRPr="00176CBD" w:rsidRDefault="00176CBD" w:rsidP="00176CBD">
            <w:pPr>
              <w:spacing w:after="0" w:line="240" w:lineRule="auto"/>
              <w:jc w:val="right"/>
            </w:pPr>
            <w:r w:rsidRPr="00176CBD">
              <w:t>9103</w:t>
            </w:r>
          </w:p>
        </w:tc>
        <w:tc>
          <w:tcPr>
            <w:tcW w:w="1861" w:type="dxa"/>
            <w:shd w:val="clear" w:color="auto" w:fill="auto"/>
            <w:noWrap/>
            <w:vAlign w:val="bottom"/>
            <w:hideMark/>
          </w:tcPr>
          <w:p w14:paraId="4AABB910" w14:textId="77777777" w:rsidR="00176CBD" w:rsidRPr="00176CBD" w:rsidRDefault="00176CBD" w:rsidP="00176CBD">
            <w:pPr>
              <w:spacing w:after="0" w:line="240" w:lineRule="auto"/>
              <w:jc w:val="right"/>
            </w:pPr>
            <w:r w:rsidRPr="00176CBD">
              <w:t>9898</w:t>
            </w:r>
          </w:p>
        </w:tc>
      </w:tr>
      <w:tr w:rsidR="00176CBD" w:rsidRPr="00176CBD" w14:paraId="69FC620E" w14:textId="77777777" w:rsidTr="00176CBD">
        <w:trPr>
          <w:trHeight w:val="261"/>
        </w:trPr>
        <w:tc>
          <w:tcPr>
            <w:tcW w:w="3525" w:type="dxa"/>
            <w:shd w:val="clear" w:color="auto" w:fill="auto"/>
            <w:vAlign w:val="center"/>
            <w:hideMark/>
          </w:tcPr>
          <w:p w14:paraId="20C6AF9D" w14:textId="77777777" w:rsidR="00176CBD" w:rsidRPr="00176CBD" w:rsidRDefault="00176CBD" w:rsidP="00176CBD">
            <w:pPr>
              <w:spacing w:after="0" w:line="240" w:lineRule="auto"/>
            </w:pPr>
            <w:r w:rsidRPr="00176CBD">
              <w:t>25-29</w:t>
            </w:r>
          </w:p>
        </w:tc>
        <w:tc>
          <w:tcPr>
            <w:tcW w:w="2772" w:type="dxa"/>
            <w:shd w:val="clear" w:color="auto" w:fill="auto"/>
            <w:noWrap/>
            <w:vAlign w:val="bottom"/>
            <w:hideMark/>
          </w:tcPr>
          <w:p w14:paraId="014BCD4A" w14:textId="77777777" w:rsidR="00176CBD" w:rsidRPr="00176CBD" w:rsidRDefault="00176CBD" w:rsidP="00176CBD">
            <w:pPr>
              <w:spacing w:after="0" w:line="240" w:lineRule="auto"/>
              <w:jc w:val="right"/>
            </w:pPr>
            <w:r w:rsidRPr="00176CBD">
              <w:t>8318</w:t>
            </w:r>
          </w:p>
        </w:tc>
        <w:tc>
          <w:tcPr>
            <w:tcW w:w="1861" w:type="dxa"/>
            <w:shd w:val="clear" w:color="auto" w:fill="auto"/>
            <w:noWrap/>
            <w:vAlign w:val="bottom"/>
            <w:hideMark/>
          </w:tcPr>
          <w:p w14:paraId="540F4CA6" w14:textId="77777777" w:rsidR="00176CBD" w:rsidRPr="00176CBD" w:rsidRDefault="00176CBD" w:rsidP="00176CBD">
            <w:pPr>
              <w:spacing w:after="0" w:line="240" w:lineRule="auto"/>
              <w:jc w:val="right"/>
            </w:pPr>
            <w:r w:rsidRPr="00176CBD">
              <w:t>9405</w:t>
            </w:r>
          </w:p>
        </w:tc>
      </w:tr>
      <w:tr w:rsidR="00176CBD" w:rsidRPr="00176CBD" w14:paraId="13A1389A" w14:textId="77777777" w:rsidTr="00176CBD">
        <w:trPr>
          <w:trHeight w:val="261"/>
        </w:trPr>
        <w:tc>
          <w:tcPr>
            <w:tcW w:w="3525" w:type="dxa"/>
            <w:shd w:val="clear" w:color="auto" w:fill="auto"/>
            <w:vAlign w:val="center"/>
            <w:hideMark/>
          </w:tcPr>
          <w:p w14:paraId="124AB204" w14:textId="77777777" w:rsidR="00176CBD" w:rsidRPr="00176CBD" w:rsidRDefault="00176CBD" w:rsidP="00176CBD">
            <w:pPr>
              <w:spacing w:after="0" w:line="240" w:lineRule="auto"/>
            </w:pPr>
            <w:r w:rsidRPr="00176CBD">
              <w:t>30-34</w:t>
            </w:r>
          </w:p>
        </w:tc>
        <w:tc>
          <w:tcPr>
            <w:tcW w:w="2772" w:type="dxa"/>
            <w:shd w:val="clear" w:color="auto" w:fill="auto"/>
            <w:noWrap/>
            <w:vAlign w:val="bottom"/>
            <w:hideMark/>
          </w:tcPr>
          <w:p w14:paraId="569C11C1" w14:textId="77777777" w:rsidR="00176CBD" w:rsidRPr="00176CBD" w:rsidRDefault="00176CBD" w:rsidP="00176CBD">
            <w:pPr>
              <w:spacing w:after="0" w:line="240" w:lineRule="auto"/>
              <w:jc w:val="right"/>
            </w:pPr>
            <w:r w:rsidRPr="00176CBD">
              <w:t>5303</w:t>
            </w:r>
          </w:p>
        </w:tc>
        <w:tc>
          <w:tcPr>
            <w:tcW w:w="1861" w:type="dxa"/>
            <w:shd w:val="clear" w:color="auto" w:fill="auto"/>
            <w:noWrap/>
            <w:vAlign w:val="bottom"/>
            <w:hideMark/>
          </w:tcPr>
          <w:p w14:paraId="3C61EBD6" w14:textId="77777777" w:rsidR="00176CBD" w:rsidRPr="00176CBD" w:rsidRDefault="00176CBD" w:rsidP="00176CBD">
            <w:pPr>
              <w:spacing w:after="0" w:line="240" w:lineRule="auto"/>
              <w:jc w:val="right"/>
            </w:pPr>
            <w:r w:rsidRPr="00176CBD">
              <w:t>7170</w:t>
            </w:r>
          </w:p>
        </w:tc>
      </w:tr>
      <w:tr w:rsidR="00176CBD" w:rsidRPr="00176CBD" w14:paraId="6A5A3CC8" w14:textId="77777777" w:rsidTr="00176CBD">
        <w:trPr>
          <w:trHeight w:val="261"/>
        </w:trPr>
        <w:tc>
          <w:tcPr>
            <w:tcW w:w="3525" w:type="dxa"/>
            <w:shd w:val="clear" w:color="auto" w:fill="auto"/>
            <w:vAlign w:val="center"/>
            <w:hideMark/>
          </w:tcPr>
          <w:p w14:paraId="2B0526D7" w14:textId="77777777" w:rsidR="00176CBD" w:rsidRPr="00176CBD" w:rsidRDefault="00176CBD" w:rsidP="00176CBD">
            <w:pPr>
              <w:spacing w:after="0" w:line="240" w:lineRule="auto"/>
            </w:pPr>
            <w:r w:rsidRPr="00176CBD">
              <w:t>35-39</w:t>
            </w:r>
          </w:p>
        </w:tc>
        <w:tc>
          <w:tcPr>
            <w:tcW w:w="2772" w:type="dxa"/>
            <w:shd w:val="clear" w:color="auto" w:fill="auto"/>
            <w:noWrap/>
            <w:vAlign w:val="bottom"/>
            <w:hideMark/>
          </w:tcPr>
          <w:p w14:paraId="7FAFD719" w14:textId="77777777" w:rsidR="00176CBD" w:rsidRPr="00176CBD" w:rsidRDefault="00176CBD" w:rsidP="00176CBD">
            <w:pPr>
              <w:spacing w:after="0" w:line="240" w:lineRule="auto"/>
              <w:jc w:val="right"/>
            </w:pPr>
            <w:r w:rsidRPr="00176CBD">
              <w:t>4284</w:t>
            </w:r>
          </w:p>
        </w:tc>
        <w:tc>
          <w:tcPr>
            <w:tcW w:w="1861" w:type="dxa"/>
            <w:shd w:val="clear" w:color="auto" w:fill="auto"/>
            <w:noWrap/>
            <w:vAlign w:val="bottom"/>
            <w:hideMark/>
          </w:tcPr>
          <w:p w14:paraId="17DBE7D9" w14:textId="77777777" w:rsidR="00176CBD" w:rsidRPr="00176CBD" w:rsidRDefault="00176CBD" w:rsidP="00176CBD">
            <w:pPr>
              <w:spacing w:after="0" w:line="240" w:lineRule="auto"/>
              <w:jc w:val="right"/>
            </w:pPr>
            <w:r w:rsidRPr="00176CBD">
              <w:t>5376</w:t>
            </w:r>
          </w:p>
        </w:tc>
      </w:tr>
      <w:tr w:rsidR="00176CBD" w:rsidRPr="00176CBD" w14:paraId="7F1DF4A6" w14:textId="77777777" w:rsidTr="00176CBD">
        <w:trPr>
          <w:trHeight w:val="261"/>
        </w:trPr>
        <w:tc>
          <w:tcPr>
            <w:tcW w:w="3525" w:type="dxa"/>
            <w:shd w:val="clear" w:color="auto" w:fill="auto"/>
            <w:vAlign w:val="center"/>
            <w:hideMark/>
          </w:tcPr>
          <w:p w14:paraId="22DAB367" w14:textId="77777777" w:rsidR="00176CBD" w:rsidRPr="00176CBD" w:rsidRDefault="00176CBD" w:rsidP="00176CBD">
            <w:pPr>
              <w:spacing w:after="0" w:line="240" w:lineRule="auto"/>
            </w:pPr>
            <w:r w:rsidRPr="00176CBD">
              <w:t>40-44</w:t>
            </w:r>
          </w:p>
        </w:tc>
        <w:tc>
          <w:tcPr>
            <w:tcW w:w="2772" w:type="dxa"/>
            <w:shd w:val="clear" w:color="auto" w:fill="auto"/>
            <w:noWrap/>
            <w:vAlign w:val="bottom"/>
            <w:hideMark/>
          </w:tcPr>
          <w:p w14:paraId="3B213BBA" w14:textId="77777777" w:rsidR="00176CBD" w:rsidRPr="00176CBD" w:rsidRDefault="00176CBD" w:rsidP="00176CBD">
            <w:pPr>
              <w:spacing w:after="0" w:line="240" w:lineRule="auto"/>
              <w:jc w:val="right"/>
            </w:pPr>
            <w:r w:rsidRPr="00176CBD">
              <w:t>3785</w:t>
            </w:r>
          </w:p>
        </w:tc>
        <w:tc>
          <w:tcPr>
            <w:tcW w:w="1861" w:type="dxa"/>
            <w:shd w:val="clear" w:color="auto" w:fill="auto"/>
            <w:noWrap/>
            <w:vAlign w:val="bottom"/>
            <w:hideMark/>
          </w:tcPr>
          <w:p w14:paraId="04FD2916" w14:textId="77777777" w:rsidR="00176CBD" w:rsidRPr="00176CBD" w:rsidRDefault="00176CBD" w:rsidP="00176CBD">
            <w:pPr>
              <w:spacing w:after="0" w:line="240" w:lineRule="auto"/>
              <w:jc w:val="right"/>
            </w:pPr>
            <w:r w:rsidRPr="00176CBD">
              <w:t>4626</w:t>
            </w:r>
          </w:p>
        </w:tc>
      </w:tr>
      <w:tr w:rsidR="00176CBD" w:rsidRPr="00176CBD" w14:paraId="6DEAA826" w14:textId="77777777" w:rsidTr="00176CBD">
        <w:trPr>
          <w:trHeight w:val="261"/>
        </w:trPr>
        <w:tc>
          <w:tcPr>
            <w:tcW w:w="3525" w:type="dxa"/>
            <w:shd w:val="clear" w:color="auto" w:fill="auto"/>
            <w:vAlign w:val="center"/>
            <w:hideMark/>
          </w:tcPr>
          <w:p w14:paraId="3B3F8555" w14:textId="77777777" w:rsidR="00176CBD" w:rsidRPr="00176CBD" w:rsidRDefault="00176CBD" w:rsidP="00176CBD">
            <w:pPr>
              <w:spacing w:after="0" w:line="240" w:lineRule="auto"/>
            </w:pPr>
            <w:r w:rsidRPr="00176CBD">
              <w:t>45-49</w:t>
            </w:r>
          </w:p>
        </w:tc>
        <w:tc>
          <w:tcPr>
            <w:tcW w:w="2772" w:type="dxa"/>
            <w:shd w:val="clear" w:color="auto" w:fill="auto"/>
            <w:noWrap/>
            <w:vAlign w:val="bottom"/>
            <w:hideMark/>
          </w:tcPr>
          <w:p w14:paraId="0EEADFA1" w14:textId="77777777" w:rsidR="00176CBD" w:rsidRPr="00176CBD" w:rsidRDefault="00176CBD" w:rsidP="00176CBD">
            <w:pPr>
              <w:spacing w:after="0" w:line="240" w:lineRule="auto"/>
              <w:jc w:val="right"/>
            </w:pPr>
            <w:r w:rsidRPr="00176CBD">
              <w:t>3027</w:t>
            </w:r>
          </w:p>
        </w:tc>
        <w:tc>
          <w:tcPr>
            <w:tcW w:w="1861" w:type="dxa"/>
            <w:shd w:val="clear" w:color="auto" w:fill="auto"/>
            <w:noWrap/>
            <w:vAlign w:val="bottom"/>
            <w:hideMark/>
          </w:tcPr>
          <w:p w14:paraId="6391DD7B" w14:textId="77777777" w:rsidR="00176CBD" w:rsidRPr="00176CBD" w:rsidRDefault="00176CBD" w:rsidP="00176CBD">
            <w:pPr>
              <w:spacing w:after="0" w:line="240" w:lineRule="auto"/>
              <w:jc w:val="right"/>
            </w:pPr>
            <w:r w:rsidRPr="00176CBD">
              <w:t>4354</w:t>
            </w:r>
          </w:p>
        </w:tc>
      </w:tr>
      <w:tr w:rsidR="00176CBD" w:rsidRPr="00176CBD" w14:paraId="12E01889" w14:textId="77777777" w:rsidTr="00176CBD">
        <w:trPr>
          <w:trHeight w:val="261"/>
        </w:trPr>
        <w:tc>
          <w:tcPr>
            <w:tcW w:w="3525" w:type="dxa"/>
            <w:shd w:val="clear" w:color="auto" w:fill="auto"/>
            <w:vAlign w:val="center"/>
            <w:hideMark/>
          </w:tcPr>
          <w:p w14:paraId="5E41AC4B" w14:textId="77777777" w:rsidR="00176CBD" w:rsidRPr="00176CBD" w:rsidRDefault="00176CBD" w:rsidP="00176CBD">
            <w:pPr>
              <w:spacing w:after="0" w:line="240" w:lineRule="auto"/>
            </w:pPr>
            <w:r w:rsidRPr="00176CBD">
              <w:t>50-54</w:t>
            </w:r>
          </w:p>
        </w:tc>
        <w:tc>
          <w:tcPr>
            <w:tcW w:w="2772" w:type="dxa"/>
            <w:shd w:val="clear" w:color="auto" w:fill="auto"/>
            <w:noWrap/>
            <w:vAlign w:val="bottom"/>
            <w:hideMark/>
          </w:tcPr>
          <w:p w14:paraId="187BA811" w14:textId="77777777" w:rsidR="00176CBD" w:rsidRPr="00176CBD" w:rsidRDefault="00176CBD" w:rsidP="00176CBD">
            <w:pPr>
              <w:spacing w:after="0" w:line="240" w:lineRule="auto"/>
              <w:jc w:val="right"/>
            </w:pPr>
            <w:r w:rsidRPr="00176CBD">
              <w:t>2419</w:t>
            </w:r>
          </w:p>
        </w:tc>
        <w:tc>
          <w:tcPr>
            <w:tcW w:w="1861" w:type="dxa"/>
            <w:shd w:val="clear" w:color="auto" w:fill="auto"/>
            <w:noWrap/>
            <w:vAlign w:val="bottom"/>
            <w:hideMark/>
          </w:tcPr>
          <w:p w14:paraId="5AEB6074" w14:textId="77777777" w:rsidR="00176CBD" w:rsidRPr="00176CBD" w:rsidRDefault="00176CBD" w:rsidP="00176CBD">
            <w:pPr>
              <w:spacing w:after="0" w:line="240" w:lineRule="auto"/>
              <w:jc w:val="right"/>
            </w:pPr>
            <w:r w:rsidRPr="00176CBD">
              <w:t>4724</w:t>
            </w:r>
          </w:p>
        </w:tc>
      </w:tr>
      <w:tr w:rsidR="00176CBD" w:rsidRPr="00176CBD" w14:paraId="088670A5" w14:textId="77777777" w:rsidTr="00176CBD">
        <w:trPr>
          <w:trHeight w:val="261"/>
        </w:trPr>
        <w:tc>
          <w:tcPr>
            <w:tcW w:w="3525" w:type="dxa"/>
            <w:shd w:val="clear" w:color="auto" w:fill="auto"/>
            <w:vAlign w:val="center"/>
            <w:hideMark/>
          </w:tcPr>
          <w:p w14:paraId="3A1A03CE" w14:textId="77777777" w:rsidR="00176CBD" w:rsidRPr="00176CBD" w:rsidRDefault="00176CBD" w:rsidP="00176CBD">
            <w:pPr>
              <w:spacing w:after="0" w:line="240" w:lineRule="auto"/>
            </w:pPr>
            <w:r w:rsidRPr="00176CBD">
              <w:t>55-59</w:t>
            </w:r>
          </w:p>
        </w:tc>
        <w:tc>
          <w:tcPr>
            <w:tcW w:w="2772" w:type="dxa"/>
            <w:shd w:val="clear" w:color="auto" w:fill="auto"/>
            <w:noWrap/>
            <w:vAlign w:val="bottom"/>
            <w:hideMark/>
          </w:tcPr>
          <w:p w14:paraId="1310CCFB" w14:textId="77777777" w:rsidR="00176CBD" w:rsidRPr="00176CBD" w:rsidRDefault="00176CBD" w:rsidP="00176CBD">
            <w:pPr>
              <w:spacing w:after="0" w:line="240" w:lineRule="auto"/>
              <w:jc w:val="right"/>
            </w:pPr>
            <w:r w:rsidRPr="00176CBD">
              <w:t>2344</w:t>
            </w:r>
          </w:p>
        </w:tc>
        <w:tc>
          <w:tcPr>
            <w:tcW w:w="1861" w:type="dxa"/>
            <w:shd w:val="clear" w:color="auto" w:fill="auto"/>
            <w:noWrap/>
            <w:vAlign w:val="bottom"/>
            <w:hideMark/>
          </w:tcPr>
          <w:p w14:paraId="0694762E" w14:textId="77777777" w:rsidR="00176CBD" w:rsidRPr="00176CBD" w:rsidRDefault="00176CBD" w:rsidP="00176CBD">
            <w:pPr>
              <w:spacing w:after="0" w:line="240" w:lineRule="auto"/>
              <w:jc w:val="right"/>
            </w:pPr>
            <w:r w:rsidRPr="00176CBD">
              <w:t>3744</w:t>
            </w:r>
          </w:p>
        </w:tc>
      </w:tr>
      <w:tr w:rsidR="00176CBD" w:rsidRPr="00176CBD" w14:paraId="2329DA95" w14:textId="77777777" w:rsidTr="00176CBD">
        <w:trPr>
          <w:trHeight w:val="261"/>
        </w:trPr>
        <w:tc>
          <w:tcPr>
            <w:tcW w:w="3525" w:type="dxa"/>
            <w:shd w:val="clear" w:color="auto" w:fill="auto"/>
            <w:vAlign w:val="center"/>
            <w:hideMark/>
          </w:tcPr>
          <w:p w14:paraId="289C2AAE" w14:textId="77777777" w:rsidR="00176CBD" w:rsidRPr="00176CBD" w:rsidRDefault="00176CBD" w:rsidP="00176CBD">
            <w:pPr>
              <w:spacing w:after="0" w:line="240" w:lineRule="auto"/>
            </w:pPr>
            <w:r w:rsidRPr="00176CBD">
              <w:t>60-64</w:t>
            </w:r>
          </w:p>
        </w:tc>
        <w:tc>
          <w:tcPr>
            <w:tcW w:w="2772" w:type="dxa"/>
            <w:shd w:val="clear" w:color="auto" w:fill="auto"/>
            <w:noWrap/>
            <w:vAlign w:val="bottom"/>
            <w:hideMark/>
          </w:tcPr>
          <w:p w14:paraId="0A1E2CA8" w14:textId="77777777" w:rsidR="00176CBD" w:rsidRPr="00176CBD" w:rsidRDefault="00176CBD" w:rsidP="00176CBD">
            <w:pPr>
              <w:spacing w:after="0" w:line="240" w:lineRule="auto"/>
              <w:jc w:val="right"/>
            </w:pPr>
            <w:r w:rsidRPr="00176CBD">
              <w:t>2088</w:t>
            </w:r>
          </w:p>
        </w:tc>
        <w:tc>
          <w:tcPr>
            <w:tcW w:w="1861" w:type="dxa"/>
            <w:shd w:val="clear" w:color="auto" w:fill="auto"/>
            <w:noWrap/>
            <w:vAlign w:val="bottom"/>
            <w:hideMark/>
          </w:tcPr>
          <w:p w14:paraId="42A3DB88" w14:textId="77777777" w:rsidR="00176CBD" w:rsidRPr="00176CBD" w:rsidRDefault="00176CBD" w:rsidP="00176CBD">
            <w:pPr>
              <w:spacing w:after="0" w:line="240" w:lineRule="auto"/>
              <w:jc w:val="right"/>
            </w:pPr>
            <w:r w:rsidRPr="00176CBD">
              <w:t>3235</w:t>
            </w:r>
          </w:p>
        </w:tc>
      </w:tr>
      <w:tr w:rsidR="00176CBD" w:rsidRPr="00176CBD" w14:paraId="1A292B93" w14:textId="77777777" w:rsidTr="00176CBD">
        <w:trPr>
          <w:trHeight w:val="261"/>
        </w:trPr>
        <w:tc>
          <w:tcPr>
            <w:tcW w:w="3525" w:type="dxa"/>
            <w:shd w:val="clear" w:color="auto" w:fill="auto"/>
            <w:vAlign w:val="center"/>
            <w:hideMark/>
          </w:tcPr>
          <w:p w14:paraId="17B3485E" w14:textId="77777777" w:rsidR="00176CBD" w:rsidRPr="00176CBD" w:rsidRDefault="00176CBD" w:rsidP="00176CBD">
            <w:pPr>
              <w:spacing w:after="0" w:line="240" w:lineRule="auto"/>
            </w:pPr>
            <w:r w:rsidRPr="00176CBD">
              <w:t>65-69</w:t>
            </w:r>
          </w:p>
        </w:tc>
        <w:tc>
          <w:tcPr>
            <w:tcW w:w="2772" w:type="dxa"/>
            <w:shd w:val="clear" w:color="auto" w:fill="auto"/>
            <w:noWrap/>
            <w:vAlign w:val="bottom"/>
            <w:hideMark/>
          </w:tcPr>
          <w:p w14:paraId="53EC0781" w14:textId="77777777" w:rsidR="00176CBD" w:rsidRPr="00176CBD" w:rsidRDefault="00176CBD" w:rsidP="00176CBD">
            <w:pPr>
              <w:spacing w:after="0" w:line="240" w:lineRule="auto"/>
              <w:jc w:val="right"/>
            </w:pPr>
            <w:r w:rsidRPr="00176CBD">
              <w:t>1602</w:t>
            </w:r>
          </w:p>
        </w:tc>
        <w:tc>
          <w:tcPr>
            <w:tcW w:w="1861" w:type="dxa"/>
            <w:shd w:val="clear" w:color="auto" w:fill="auto"/>
            <w:noWrap/>
            <w:vAlign w:val="bottom"/>
            <w:hideMark/>
          </w:tcPr>
          <w:p w14:paraId="20E8B309" w14:textId="77777777" w:rsidR="00176CBD" w:rsidRPr="00176CBD" w:rsidRDefault="00176CBD" w:rsidP="00176CBD">
            <w:pPr>
              <w:spacing w:after="0" w:line="240" w:lineRule="auto"/>
              <w:jc w:val="right"/>
            </w:pPr>
            <w:r w:rsidRPr="00176CBD">
              <w:t>3267</w:t>
            </w:r>
          </w:p>
        </w:tc>
      </w:tr>
      <w:tr w:rsidR="00176CBD" w:rsidRPr="00176CBD" w14:paraId="7DFACDF8" w14:textId="77777777" w:rsidTr="00176CBD">
        <w:trPr>
          <w:trHeight w:val="261"/>
        </w:trPr>
        <w:tc>
          <w:tcPr>
            <w:tcW w:w="3525" w:type="dxa"/>
            <w:shd w:val="clear" w:color="auto" w:fill="auto"/>
            <w:vAlign w:val="center"/>
            <w:hideMark/>
          </w:tcPr>
          <w:p w14:paraId="38796EEF" w14:textId="77777777" w:rsidR="00176CBD" w:rsidRPr="00176CBD" w:rsidRDefault="00176CBD" w:rsidP="00176CBD">
            <w:pPr>
              <w:spacing w:after="0" w:line="240" w:lineRule="auto"/>
            </w:pPr>
            <w:r w:rsidRPr="00176CBD">
              <w:t>70-74</w:t>
            </w:r>
          </w:p>
        </w:tc>
        <w:tc>
          <w:tcPr>
            <w:tcW w:w="2772" w:type="dxa"/>
            <w:shd w:val="clear" w:color="auto" w:fill="auto"/>
            <w:noWrap/>
            <w:vAlign w:val="bottom"/>
            <w:hideMark/>
          </w:tcPr>
          <w:p w14:paraId="25A19A12" w14:textId="77777777" w:rsidR="00176CBD" w:rsidRPr="00176CBD" w:rsidRDefault="00176CBD" w:rsidP="00176CBD">
            <w:pPr>
              <w:spacing w:after="0" w:line="240" w:lineRule="auto"/>
              <w:jc w:val="right"/>
            </w:pPr>
            <w:r w:rsidRPr="00176CBD">
              <w:t>1112</w:t>
            </w:r>
          </w:p>
        </w:tc>
        <w:tc>
          <w:tcPr>
            <w:tcW w:w="1861" w:type="dxa"/>
            <w:shd w:val="clear" w:color="auto" w:fill="auto"/>
            <w:noWrap/>
            <w:vAlign w:val="bottom"/>
            <w:hideMark/>
          </w:tcPr>
          <w:p w14:paraId="43A076CF" w14:textId="77777777" w:rsidR="00176CBD" w:rsidRPr="00176CBD" w:rsidRDefault="00176CBD" w:rsidP="00176CBD">
            <w:pPr>
              <w:spacing w:after="0" w:line="240" w:lineRule="auto"/>
              <w:jc w:val="right"/>
            </w:pPr>
            <w:r w:rsidRPr="00176CBD">
              <w:t>1776</w:t>
            </w:r>
          </w:p>
        </w:tc>
      </w:tr>
      <w:tr w:rsidR="00176CBD" w:rsidRPr="00176CBD" w14:paraId="4C55CB68" w14:textId="77777777" w:rsidTr="00176CBD">
        <w:trPr>
          <w:trHeight w:val="261"/>
        </w:trPr>
        <w:tc>
          <w:tcPr>
            <w:tcW w:w="3525" w:type="dxa"/>
            <w:shd w:val="clear" w:color="auto" w:fill="auto"/>
            <w:vAlign w:val="center"/>
            <w:hideMark/>
          </w:tcPr>
          <w:p w14:paraId="19BC9D14" w14:textId="77777777" w:rsidR="00176CBD" w:rsidRPr="00176CBD" w:rsidRDefault="00176CBD" w:rsidP="00176CBD">
            <w:pPr>
              <w:spacing w:after="0" w:line="240" w:lineRule="auto"/>
            </w:pPr>
            <w:r w:rsidRPr="00176CBD">
              <w:t>75-79</w:t>
            </w:r>
          </w:p>
        </w:tc>
        <w:tc>
          <w:tcPr>
            <w:tcW w:w="2772" w:type="dxa"/>
            <w:shd w:val="clear" w:color="auto" w:fill="auto"/>
            <w:noWrap/>
            <w:vAlign w:val="bottom"/>
            <w:hideMark/>
          </w:tcPr>
          <w:p w14:paraId="73E2D703" w14:textId="77777777" w:rsidR="00176CBD" w:rsidRPr="00176CBD" w:rsidRDefault="00176CBD" w:rsidP="00176CBD">
            <w:pPr>
              <w:spacing w:after="0" w:line="240" w:lineRule="auto"/>
              <w:jc w:val="right"/>
            </w:pPr>
            <w:r w:rsidRPr="00176CBD">
              <w:t>516</w:t>
            </w:r>
          </w:p>
        </w:tc>
        <w:tc>
          <w:tcPr>
            <w:tcW w:w="1861" w:type="dxa"/>
            <w:shd w:val="clear" w:color="auto" w:fill="auto"/>
            <w:noWrap/>
            <w:vAlign w:val="bottom"/>
            <w:hideMark/>
          </w:tcPr>
          <w:p w14:paraId="605F8A9E" w14:textId="77777777" w:rsidR="00176CBD" w:rsidRPr="00176CBD" w:rsidRDefault="00176CBD" w:rsidP="00176CBD">
            <w:pPr>
              <w:spacing w:after="0" w:line="240" w:lineRule="auto"/>
              <w:jc w:val="right"/>
            </w:pPr>
            <w:r w:rsidRPr="00176CBD">
              <w:t>1483</w:t>
            </w:r>
          </w:p>
        </w:tc>
      </w:tr>
      <w:tr w:rsidR="00176CBD" w:rsidRPr="00176CBD" w14:paraId="35FAA4C3" w14:textId="77777777" w:rsidTr="00176CBD">
        <w:trPr>
          <w:trHeight w:val="261"/>
        </w:trPr>
        <w:tc>
          <w:tcPr>
            <w:tcW w:w="3525" w:type="dxa"/>
            <w:shd w:val="clear" w:color="auto" w:fill="auto"/>
            <w:vAlign w:val="center"/>
            <w:hideMark/>
          </w:tcPr>
          <w:p w14:paraId="12691FDD" w14:textId="77777777" w:rsidR="00176CBD" w:rsidRPr="00176CBD" w:rsidRDefault="00176CBD" w:rsidP="00176CBD">
            <w:pPr>
              <w:spacing w:after="0" w:line="240" w:lineRule="auto"/>
            </w:pPr>
            <w:r w:rsidRPr="00176CBD">
              <w:t>80-84</w:t>
            </w:r>
          </w:p>
        </w:tc>
        <w:tc>
          <w:tcPr>
            <w:tcW w:w="2772" w:type="dxa"/>
            <w:shd w:val="clear" w:color="auto" w:fill="auto"/>
            <w:noWrap/>
            <w:vAlign w:val="bottom"/>
            <w:hideMark/>
          </w:tcPr>
          <w:p w14:paraId="65F814E9" w14:textId="77777777" w:rsidR="00176CBD" w:rsidRPr="00176CBD" w:rsidRDefault="00176CBD" w:rsidP="00176CBD">
            <w:pPr>
              <w:spacing w:after="0" w:line="240" w:lineRule="auto"/>
              <w:jc w:val="right"/>
            </w:pPr>
            <w:r w:rsidRPr="00176CBD">
              <w:t>212</w:t>
            </w:r>
          </w:p>
        </w:tc>
        <w:tc>
          <w:tcPr>
            <w:tcW w:w="1861" w:type="dxa"/>
            <w:shd w:val="clear" w:color="auto" w:fill="auto"/>
            <w:noWrap/>
            <w:vAlign w:val="bottom"/>
            <w:hideMark/>
          </w:tcPr>
          <w:p w14:paraId="79470E40" w14:textId="77777777" w:rsidR="00176CBD" w:rsidRPr="00176CBD" w:rsidRDefault="00176CBD" w:rsidP="00176CBD">
            <w:pPr>
              <w:spacing w:after="0" w:line="240" w:lineRule="auto"/>
              <w:jc w:val="right"/>
            </w:pPr>
            <w:r w:rsidRPr="00176CBD">
              <w:t>690</w:t>
            </w:r>
          </w:p>
        </w:tc>
      </w:tr>
      <w:tr w:rsidR="00176CBD" w:rsidRPr="00176CBD" w14:paraId="58B60F9E" w14:textId="77777777" w:rsidTr="00176CBD">
        <w:trPr>
          <w:trHeight w:val="261"/>
        </w:trPr>
        <w:tc>
          <w:tcPr>
            <w:tcW w:w="3525" w:type="dxa"/>
            <w:shd w:val="clear" w:color="auto" w:fill="auto"/>
            <w:vAlign w:val="center"/>
            <w:hideMark/>
          </w:tcPr>
          <w:p w14:paraId="6B8F9BE3" w14:textId="77777777" w:rsidR="00176CBD" w:rsidRPr="00176CBD" w:rsidRDefault="00176CBD" w:rsidP="00176CBD">
            <w:pPr>
              <w:spacing w:after="0" w:line="240" w:lineRule="auto"/>
            </w:pPr>
            <w:r w:rsidRPr="00176CBD">
              <w:t>85+</w:t>
            </w:r>
          </w:p>
        </w:tc>
        <w:tc>
          <w:tcPr>
            <w:tcW w:w="2772" w:type="dxa"/>
            <w:shd w:val="clear" w:color="auto" w:fill="auto"/>
            <w:noWrap/>
            <w:vAlign w:val="bottom"/>
            <w:hideMark/>
          </w:tcPr>
          <w:p w14:paraId="7F5C4581" w14:textId="77777777" w:rsidR="00176CBD" w:rsidRPr="00176CBD" w:rsidRDefault="00176CBD" w:rsidP="00176CBD">
            <w:pPr>
              <w:spacing w:after="0" w:line="240" w:lineRule="auto"/>
              <w:jc w:val="right"/>
            </w:pPr>
            <w:r w:rsidRPr="00176CBD">
              <w:t>199</w:t>
            </w:r>
          </w:p>
        </w:tc>
        <w:tc>
          <w:tcPr>
            <w:tcW w:w="1861" w:type="dxa"/>
            <w:shd w:val="clear" w:color="auto" w:fill="auto"/>
            <w:noWrap/>
            <w:vAlign w:val="bottom"/>
            <w:hideMark/>
          </w:tcPr>
          <w:p w14:paraId="11E35163" w14:textId="77777777" w:rsidR="00176CBD" w:rsidRPr="00176CBD" w:rsidRDefault="00176CBD" w:rsidP="00176CBD">
            <w:pPr>
              <w:spacing w:after="0" w:line="240" w:lineRule="auto"/>
              <w:jc w:val="right"/>
            </w:pPr>
            <w:r w:rsidRPr="00176CBD">
              <w:t>787</w:t>
            </w:r>
          </w:p>
        </w:tc>
      </w:tr>
      <w:tr w:rsidR="00176CBD" w:rsidRPr="00176CBD" w14:paraId="14C4A3F0" w14:textId="77777777" w:rsidTr="00176CBD">
        <w:trPr>
          <w:trHeight w:val="261"/>
        </w:trPr>
        <w:tc>
          <w:tcPr>
            <w:tcW w:w="3525" w:type="dxa"/>
            <w:shd w:val="clear" w:color="auto" w:fill="auto"/>
            <w:noWrap/>
            <w:vAlign w:val="bottom"/>
            <w:hideMark/>
          </w:tcPr>
          <w:p w14:paraId="5B81F345" w14:textId="77777777" w:rsidR="00176CBD" w:rsidRPr="00176CBD" w:rsidRDefault="00176CBD" w:rsidP="00176CBD">
            <w:pPr>
              <w:spacing w:after="0" w:line="240" w:lineRule="auto"/>
            </w:pPr>
            <w:r w:rsidRPr="00176CBD">
              <w:t>223 140</w:t>
            </w:r>
          </w:p>
        </w:tc>
        <w:tc>
          <w:tcPr>
            <w:tcW w:w="2772" w:type="dxa"/>
            <w:shd w:val="clear" w:color="auto" w:fill="auto"/>
            <w:noWrap/>
            <w:vAlign w:val="bottom"/>
            <w:hideMark/>
          </w:tcPr>
          <w:p w14:paraId="235E73DD" w14:textId="77777777" w:rsidR="00176CBD" w:rsidRPr="00176CBD" w:rsidRDefault="00176CBD" w:rsidP="00176CBD">
            <w:pPr>
              <w:spacing w:after="0" w:line="240" w:lineRule="auto"/>
            </w:pPr>
            <w:r w:rsidRPr="00176CBD">
              <w:t>103772</w:t>
            </w:r>
          </w:p>
        </w:tc>
        <w:tc>
          <w:tcPr>
            <w:tcW w:w="1861" w:type="dxa"/>
            <w:shd w:val="clear" w:color="auto" w:fill="auto"/>
            <w:noWrap/>
            <w:vAlign w:val="bottom"/>
            <w:hideMark/>
          </w:tcPr>
          <w:p w14:paraId="798F97EF" w14:textId="77777777" w:rsidR="00176CBD" w:rsidRPr="00176CBD" w:rsidRDefault="00176CBD" w:rsidP="00176CBD">
            <w:pPr>
              <w:spacing w:after="0" w:line="240" w:lineRule="auto"/>
            </w:pPr>
            <w:r w:rsidRPr="00176CBD">
              <w:t>119367</w:t>
            </w:r>
          </w:p>
        </w:tc>
      </w:tr>
    </w:tbl>
    <w:p w14:paraId="56D1E842" w14:textId="77777777" w:rsidR="00423134" w:rsidRPr="00881795" w:rsidRDefault="00423134" w:rsidP="002F62F0">
      <w:pPr>
        <w:pStyle w:val="Caption"/>
      </w:pPr>
      <w:bookmarkStart w:id="216" w:name="_Toc389739810"/>
      <w:bookmarkStart w:id="217" w:name="_Toc510622267"/>
      <w:r w:rsidRPr="00881795">
        <w:t xml:space="preserve">Table </w:t>
      </w:r>
      <w:r w:rsidR="00D55BDA" w:rsidRPr="00881795">
        <w:fldChar w:fldCharType="begin"/>
      </w:r>
      <w:r w:rsidRPr="00881795">
        <w:instrText xml:space="preserve"> SEQ Table \* ARABIC </w:instrText>
      </w:r>
      <w:r w:rsidR="00D55BDA" w:rsidRPr="00881795">
        <w:fldChar w:fldCharType="separate"/>
      </w:r>
      <w:r w:rsidR="0067023A">
        <w:rPr>
          <w:noProof/>
        </w:rPr>
        <w:t>17</w:t>
      </w:r>
      <w:r w:rsidR="00D55BDA" w:rsidRPr="00881795">
        <w:fldChar w:fldCharType="end"/>
      </w:r>
      <w:r w:rsidRPr="00881795">
        <w:t xml:space="preserve">:  Age Distribution – </w:t>
      </w:r>
      <w:bookmarkEnd w:id="216"/>
      <w:r w:rsidR="00176CBD">
        <w:t>2016</w:t>
      </w:r>
      <w:bookmarkEnd w:id="217"/>
    </w:p>
    <w:p w14:paraId="4DC7FD0C" w14:textId="77777777" w:rsidR="002A2610" w:rsidRDefault="00176CBD" w:rsidP="00395313">
      <w:pPr>
        <w:spacing w:line="288" w:lineRule="auto"/>
        <w:jc w:val="both"/>
      </w:pPr>
      <w:r>
        <w:rPr>
          <w:noProof/>
        </w:rPr>
        <w:drawing>
          <wp:inline distT="0" distB="0" distL="0" distR="0" wp14:anchorId="32F43B8E" wp14:editId="5E9D7AC5">
            <wp:extent cx="4999990" cy="2830749"/>
            <wp:effectExtent l="0" t="0" r="10160" b="8255"/>
            <wp:docPr id="53" name="Chart 53">
              <a:extLst xmlns:a="http://schemas.openxmlformats.org/drawingml/2006/main">
                <a:ext uri="{FF2B5EF4-FFF2-40B4-BE49-F238E27FC236}">
                  <a16:creationId xmlns:arto="http://schemas.microsoft.com/office/word/2006/arto"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00000000-0008-0000-01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0C43A3BB" w14:textId="77777777" w:rsidR="00423134" w:rsidRPr="00881795" w:rsidRDefault="00556FCC" w:rsidP="00556FCC">
      <w:pPr>
        <w:pStyle w:val="Caption"/>
      </w:pPr>
      <w:bookmarkStart w:id="218" w:name="_Toc350093594"/>
      <w:bookmarkStart w:id="219" w:name="_Toc389739812"/>
      <w:bookmarkStart w:id="220" w:name="_Toc510622367"/>
      <w:r>
        <w:t xml:space="preserve">Figure </w:t>
      </w:r>
      <w:r w:rsidR="00B918A6">
        <w:fldChar w:fldCharType="begin"/>
      </w:r>
      <w:r w:rsidR="00B918A6">
        <w:instrText xml:space="preserve"> SEQ Figure \* ARABIC </w:instrText>
      </w:r>
      <w:r w:rsidR="00B918A6">
        <w:fldChar w:fldCharType="separate"/>
      </w:r>
      <w:r w:rsidR="0067023A">
        <w:rPr>
          <w:noProof/>
        </w:rPr>
        <w:t>5</w:t>
      </w:r>
      <w:r w:rsidR="00B918A6">
        <w:rPr>
          <w:noProof/>
        </w:rPr>
        <w:fldChar w:fldCharType="end"/>
      </w:r>
      <w:r w:rsidR="00423134" w:rsidRPr="00881795">
        <w:t>:  Age Distribution (201</w:t>
      </w:r>
      <w:r w:rsidR="00176CBD">
        <w:t>6</w:t>
      </w:r>
      <w:r w:rsidR="00423134" w:rsidRPr="00881795">
        <w:t>)</w:t>
      </w:r>
      <w:bookmarkEnd w:id="218"/>
      <w:bookmarkEnd w:id="219"/>
      <w:bookmarkEnd w:id="220"/>
    </w:p>
    <w:p w14:paraId="19ED05C4" w14:textId="77777777" w:rsidR="00565308" w:rsidRPr="00881795" w:rsidRDefault="00423134" w:rsidP="00E010F8">
      <w:pPr>
        <w:spacing w:line="288" w:lineRule="auto"/>
        <w:jc w:val="both"/>
        <w:rPr>
          <w:szCs w:val="20"/>
        </w:rPr>
      </w:pPr>
      <w:r w:rsidRPr="003943A7">
        <w:rPr>
          <w:szCs w:val="20"/>
        </w:rPr>
        <w:t>There is a steady increase in the number of people per age category from 20 years and older.  This means that the pyramid structure, as presented in the graph is indicating a broadening trend from people aged 20 years and older.  The population is becoming older.  It is typical of developing countries.  Further, the age distribution also indicates a reduction in the age categories of 5 yrs to 19yrs.  What is however interesting to note is the number of persons in the age category 0 to 4 y</w:t>
      </w:r>
      <w:r w:rsidR="008347C3">
        <w:rPr>
          <w:szCs w:val="20"/>
        </w:rPr>
        <w:t>rs (or from 2011 to 2016</w:t>
      </w:r>
      <w:r w:rsidRPr="003943A7">
        <w:rPr>
          <w:szCs w:val="20"/>
        </w:rPr>
        <w:t xml:space="preserve">) has increased </w:t>
      </w:r>
      <w:r w:rsidR="008347C3">
        <w:rPr>
          <w:szCs w:val="20"/>
        </w:rPr>
        <w:t xml:space="preserve">significantly indicating that poor birth control is practiced </w:t>
      </w:r>
      <w:r w:rsidR="008347C3">
        <w:rPr>
          <w:szCs w:val="20"/>
        </w:rPr>
        <w:lastRenderedPageBreak/>
        <w:t>and no family planning is taking place.</w:t>
      </w:r>
      <w:r w:rsidR="00C97418">
        <w:rPr>
          <w:szCs w:val="20"/>
        </w:rPr>
        <w:t xml:space="preserve"> When further analyzing the population pyramid, it depicts noticeable declines in the categories of of primary education, secondary education tertiary education and throughout the employable ages. This could indicate that at these categories, that particular population tends to leave the municipality in search for better opportunities. </w:t>
      </w:r>
    </w:p>
    <w:p w14:paraId="3502F8F6" w14:textId="77777777" w:rsidR="001B3CC4" w:rsidRDefault="005D6DBA" w:rsidP="00750180">
      <w:pPr>
        <w:pStyle w:val="Heading4"/>
        <w:numPr>
          <w:ilvl w:val="3"/>
          <w:numId w:val="29"/>
        </w:numPr>
      </w:pPr>
      <w:bookmarkStart w:id="221" w:name="_Toc202582524"/>
      <w:bookmarkStart w:id="222" w:name="_Toc234658393"/>
      <w:bookmarkStart w:id="223" w:name="_Toc303000367"/>
      <w:bookmarkStart w:id="224" w:name="_Toc316560942"/>
      <w:bookmarkStart w:id="225" w:name="_Toc389739813"/>
      <w:r w:rsidRPr="00806B49">
        <w:t>Health</w:t>
      </w:r>
      <w:bookmarkEnd w:id="221"/>
      <w:bookmarkEnd w:id="222"/>
      <w:bookmarkEnd w:id="223"/>
      <w:bookmarkEnd w:id="224"/>
      <w:bookmarkEnd w:id="225"/>
      <w:r w:rsidR="0099337D" w:rsidRPr="00806B49">
        <w:t>: HIV/AIDS Prevalence</w:t>
      </w:r>
    </w:p>
    <w:tbl>
      <w:tblPr>
        <w:tblStyle w:val="TableGrid"/>
        <w:tblW w:w="0" w:type="auto"/>
        <w:tblLook w:val="04A0" w:firstRow="1" w:lastRow="0" w:firstColumn="1" w:lastColumn="0" w:noHBand="0" w:noVBand="1"/>
      </w:tblPr>
      <w:tblGrid>
        <w:gridCol w:w="2122"/>
        <w:gridCol w:w="1984"/>
        <w:gridCol w:w="2693"/>
        <w:gridCol w:w="2830"/>
      </w:tblGrid>
      <w:tr w:rsidR="001234BA" w:rsidRPr="00E21F9F" w14:paraId="11D362D8" w14:textId="77777777" w:rsidTr="00E21F9F">
        <w:tc>
          <w:tcPr>
            <w:tcW w:w="2122" w:type="dxa"/>
            <w:shd w:val="clear" w:color="auto" w:fill="000000" w:themeFill="text1"/>
          </w:tcPr>
          <w:p w14:paraId="4E15B727" w14:textId="77777777" w:rsidR="001234BA" w:rsidRPr="00E21F9F" w:rsidRDefault="001234BA" w:rsidP="001234BA">
            <w:pPr>
              <w:rPr>
                <w:b/>
              </w:rPr>
            </w:pPr>
          </w:p>
        </w:tc>
        <w:tc>
          <w:tcPr>
            <w:tcW w:w="1984" w:type="dxa"/>
            <w:shd w:val="clear" w:color="auto" w:fill="000000" w:themeFill="text1"/>
          </w:tcPr>
          <w:p w14:paraId="32203F71" w14:textId="77777777" w:rsidR="001234BA" w:rsidRPr="00E21F9F" w:rsidRDefault="001234BA" w:rsidP="001234BA">
            <w:pPr>
              <w:rPr>
                <w:b/>
              </w:rPr>
            </w:pPr>
            <w:r w:rsidRPr="00E21F9F">
              <w:rPr>
                <w:b/>
              </w:rPr>
              <w:t>TOTAL POPULATION</w:t>
            </w:r>
          </w:p>
        </w:tc>
        <w:tc>
          <w:tcPr>
            <w:tcW w:w="2693" w:type="dxa"/>
            <w:shd w:val="clear" w:color="auto" w:fill="000000" w:themeFill="text1"/>
          </w:tcPr>
          <w:p w14:paraId="1A2E9796" w14:textId="77777777" w:rsidR="001234BA" w:rsidRPr="00E21F9F" w:rsidRDefault="006300DB" w:rsidP="001234BA">
            <w:pPr>
              <w:rPr>
                <w:b/>
              </w:rPr>
            </w:pPr>
            <w:r w:rsidRPr="00E21F9F">
              <w:rPr>
                <w:b/>
              </w:rPr>
              <w:t>HIV POSITIVE % ESTIMATES</w:t>
            </w:r>
          </w:p>
          <w:p w14:paraId="087A1E8D" w14:textId="77777777" w:rsidR="006300DB" w:rsidRPr="00E21F9F" w:rsidRDefault="006300DB" w:rsidP="006300DB">
            <w:pPr>
              <w:jc w:val="center"/>
              <w:rPr>
                <w:b/>
              </w:rPr>
            </w:pPr>
            <w:r w:rsidRPr="00E21F9F">
              <w:rPr>
                <w:b/>
              </w:rPr>
              <w:t>(2014)</w:t>
            </w:r>
          </w:p>
        </w:tc>
        <w:tc>
          <w:tcPr>
            <w:tcW w:w="2830" w:type="dxa"/>
            <w:shd w:val="clear" w:color="auto" w:fill="000000" w:themeFill="text1"/>
          </w:tcPr>
          <w:p w14:paraId="4FF2BE85" w14:textId="77777777" w:rsidR="001234BA" w:rsidRPr="00E21F9F" w:rsidRDefault="006300DB" w:rsidP="001234BA">
            <w:pPr>
              <w:rPr>
                <w:b/>
              </w:rPr>
            </w:pPr>
            <w:r w:rsidRPr="00E21F9F">
              <w:rPr>
                <w:b/>
              </w:rPr>
              <w:t>AIDS DEATHS % ESTIMATES</w:t>
            </w:r>
          </w:p>
          <w:p w14:paraId="2E83D01B" w14:textId="77777777" w:rsidR="006300DB" w:rsidRPr="00E21F9F" w:rsidRDefault="006300DB" w:rsidP="006300DB">
            <w:pPr>
              <w:jc w:val="center"/>
              <w:rPr>
                <w:b/>
              </w:rPr>
            </w:pPr>
            <w:r w:rsidRPr="00E21F9F">
              <w:rPr>
                <w:b/>
              </w:rPr>
              <w:t>(2014)</w:t>
            </w:r>
          </w:p>
        </w:tc>
      </w:tr>
      <w:tr w:rsidR="001234BA" w14:paraId="25A301F3" w14:textId="77777777" w:rsidTr="006300DB">
        <w:tc>
          <w:tcPr>
            <w:tcW w:w="2122" w:type="dxa"/>
          </w:tcPr>
          <w:p w14:paraId="7583B36F" w14:textId="77777777" w:rsidR="001234BA" w:rsidRDefault="006300DB" w:rsidP="001234BA">
            <w:r>
              <w:t>KWAZULU NATAL</w:t>
            </w:r>
          </w:p>
        </w:tc>
        <w:tc>
          <w:tcPr>
            <w:tcW w:w="1984" w:type="dxa"/>
          </w:tcPr>
          <w:p w14:paraId="5887A7A7" w14:textId="77777777" w:rsidR="001234BA" w:rsidRDefault="006300DB" w:rsidP="001234BA">
            <w:r>
              <w:t>10 508 110</w:t>
            </w:r>
          </w:p>
        </w:tc>
        <w:tc>
          <w:tcPr>
            <w:tcW w:w="2693" w:type="dxa"/>
          </w:tcPr>
          <w:p w14:paraId="67379519" w14:textId="77777777" w:rsidR="001234BA" w:rsidRDefault="006300DB" w:rsidP="001234BA">
            <w:r>
              <w:t>14.9</w:t>
            </w:r>
          </w:p>
        </w:tc>
        <w:tc>
          <w:tcPr>
            <w:tcW w:w="2830" w:type="dxa"/>
          </w:tcPr>
          <w:p w14:paraId="5A5FBB58" w14:textId="77777777" w:rsidR="001234BA" w:rsidRDefault="006300DB" w:rsidP="001234BA">
            <w:r>
              <w:t>1</w:t>
            </w:r>
          </w:p>
        </w:tc>
      </w:tr>
      <w:tr w:rsidR="001234BA" w14:paraId="7EAB7CFC" w14:textId="77777777" w:rsidTr="006300DB">
        <w:tc>
          <w:tcPr>
            <w:tcW w:w="2122" w:type="dxa"/>
          </w:tcPr>
          <w:p w14:paraId="798E9F17" w14:textId="77777777" w:rsidR="001234BA" w:rsidRDefault="006300DB" w:rsidP="001234BA">
            <w:r>
              <w:t>KCDM</w:t>
            </w:r>
          </w:p>
        </w:tc>
        <w:tc>
          <w:tcPr>
            <w:tcW w:w="1984" w:type="dxa"/>
          </w:tcPr>
          <w:p w14:paraId="6F7A310F" w14:textId="77777777" w:rsidR="001234BA" w:rsidRDefault="006300DB" w:rsidP="001234BA">
            <w:r>
              <w:t>917 958</w:t>
            </w:r>
          </w:p>
        </w:tc>
        <w:tc>
          <w:tcPr>
            <w:tcW w:w="2693" w:type="dxa"/>
          </w:tcPr>
          <w:p w14:paraId="3DB90875" w14:textId="77777777" w:rsidR="001234BA" w:rsidRDefault="006300DB" w:rsidP="001234BA">
            <w:r>
              <w:t>14.7</w:t>
            </w:r>
          </w:p>
        </w:tc>
        <w:tc>
          <w:tcPr>
            <w:tcW w:w="2830" w:type="dxa"/>
          </w:tcPr>
          <w:p w14:paraId="7E863BA7" w14:textId="77777777" w:rsidR="001234BA" w:rsidRDefault="006300DB" w:rsidP="001234BA">
            <w:r>
              <w:t>1</w:t>
            </w:r>
          </w:p>
        </w:tc>
      </w:tr>
      <w:tr w:rsidR="001234BA" w14:paraId="37BAAB95" w14:textId="77777777" w:rsidTr="006300DB">
        <w:tc>
          <w:tcPr>
            <w:tcW w:w="2122" w:type="dxa"/>
          </w:tcPr>
          <w:p w14:paraId="13E6D18D" w14:textId="77777777" w:rsidR="001234BA" w:rsidRDefault="006300DB" w:rsidP="001234BA">
            <w:r>
              <w:t>UMFOLOZI</w:t>
            </w:r>
          </w:p>
        </w:tc>
        <w:tc>
          <w:tcPr>
            <w:tcW w:w="1984" w:type="dxa"/>
          </w:tcPr>
          <w:p w14:paraId="1901C765" w14:textId="77777777" w:rsidR="001234BA" w:rsidRDefault="006300DB" w:rsidP="001234BA">
            <w:r>
              <w:t>128 241</w:t>
            </w:r>
          </w:p>
        </w:tc>
        <w:tc>
          <w:tcPr>
            <w:tcW w:w="2693" w:type="dxa"/>
          </w:tcPr>
          <w:p w14:paraId="744B37DE" w14:textId="77777777" w:rsidR="001234BA" w:rsidRDefault="006300DB" w:rsidP="001234BA">
            <w:r>
              <w:t>15.4</w:t>
            </w:r>
          </w:p>
        </w:tc>
        <w:tc>
          <w:tcPr>
            <w:tcW w:w="2830" w:type="dxa"/>
          </w:tcPr>
          <w:p w14:paraId="04AB391C" w14:textId="77777777" w:rsidR="001234BA" w:rsidRDefault="006300DB" w:rsidP="001234BA">
            <w:r>
              <w:t>1.1</w:t>
            </w:r>
          </w:p>
        </w:tc>
      </w:tr>
      <w:tr w:rsidR="001234BA" w14:paraId="2BCA198B" w14:textId="77777777" w:rsidTr="006300DB">
        <w:tc>
          <w:tcPr>
            <w:tcW w:w="2122" w:type="dxa"/>
          </w:tcPr>
          <w:p w14:paraId="0F5546C1" w14:textId="77777777" w:rsidR="001234BA" w:rsidRDefault="006300DB" w:rsidP="001234BA">
            <w:r>
              <w:t>UMHLATHUZE</w:t>
            </w:r>
          </w:p>
        </w:tc>
        <w:tc>
          <w:tcPr>
            <w:tcW w:w="1984" w:type="dxa"/>
          </w:tcPr>
          <w:p w14:paraId="55880280" w14:textId="77777777" w:rsidR="001234BA" w:rsidRDefault="006300DB" w:rsidP="001234BA">
            <w:r>
              <w:t xml:space="preserve">347 429 </w:t>
            </w:r>
          </w:p>
        </w:tc>
        <w:tc>
          <w:tcPr>
            <w:tcW w:w="2693" w:type="dxa"/>
          </w:tcPr>
          <w:p w14:paraId="5DD4BEAB" w14:textId="77777777" w:rsidR="001234BA" w:rsidRDefault="006300DB" w:rsidP="001234BA">
            <w:r>
              <w:t>15.8</w:t>
            </w:r>
          </w:p>
        </w:tc>
        <w:tc>
          <w:tcPr>
            <w:tcW w:w="2830" w:type="dxa"/>
          </w:tcPr>
          <w:p w14:paraId="45A37B9D" w14:textId="77777777" w:rsidR="001234BA" w:rsidRDefault="006300DB" w:rsidP="001234BA">
            <w:r>
              <w:t>1.1</w:t>
            </w:r>
          </w:p>
        </w:tc>
      </w:tr>
      <w:tr w:rsidR="006300DB" w14:paraId="744F569B" w14:textId="77777777" w:rsidTr="006300DB">
        <w:tc>
          <w:tcPr>
            <w:tcW w:w="2122" w:type="dxa"/>
          </w:tcPr>
          <w:p w14:paraId="0342A55E" w14:textId="77777777" w:rsidR="006300DB" w:rsidRDefault="006300DB" w:rsidP="001234BA">
            <w:r>
              <w:t>UMLALAZI</w:t>
            </w:r>
          </w:p>
        </w:tc>
        <w:tc>
          <w:tcPr>
            <w:tcW w:w="1984" w:type="dxa"/>
          </w:tcPr>
          <w:p w14:paraId="2ECEBFA5" w14:textId="77777777" w:rsidR="006300DB" w:rsidRDefault="006300DB" w:rsidP="001234BA">
            <w:r>
              <w:t>213 224</w:t>
            </w:r>
          </w:p>
        </w:tc>
        <w:tc>
          <w:tcPr>
            <w:tcW w:w="2693" w:type="dxa"/>
          </w:tcPr>
          <w:p w14:paraId="4C9AF522" w14:textId="77777777" w:rsidR="006300DB" w:rsidRDefault="00E21F9F" w:rsidP="001234BA">
            <w:r>
              <w:t>13.8</w:t>
            </w:r>
          </w:p>
        </w:tc>
        <w:tc>
          <w:tcPr>
            <w:tcW w:w="2830" w:type="dxa"/>
          </w:tcPr>
          <w:p w14:paraId="6FBB022C" w14:textId="77777777" w:rsidR="006300DB" w:rsidRDefault="00E21F9F" w:rsidP="001234BA">
            <w:r>
              <w:t>0.9</w:t>
            </w:r>
          </w:p>
        </w:tc>
      </w:tr>
      <w:tr w:rsidR="006300DB" w14:paraId="17E5B5DE" w14:textId="77777777" w:rsidTr="006300DB">
        <w:tc>
          <w:tcPr>
            <w:tcW w:w="2122" w:type="dxa"/>
          </w:tcPr>
          <w:p w14:paraId="22BA65A2" w14:textId="77777777" w:rsidR="006300DB" w:rsidRDefault="00E21F9F" w:rsidP="001234BA">
            <w:r>
              <w:t>MTHONJANENI</w:t>
            </w:r>
          </w:p>
        </w:tc>
        <w:tc>
          <w:tcPr>
            <w:tcW w:w="1984" w:type="dxa"/>
          </w:tcPr>
          <w:p w14:paraId="63D9ABED" w14:textId="77777777" w:rsidR="006300DB" w:rsidRDefault="00E21F9F" w:rsidP="001234BA">
            <w:r>
              <w:t>47 320</w:t>
            </w:r>
          </w:p>
        </w:tc>
        <w:tc>
          <w:tcPr>
            <w:tcW w:w="2693" w:type="dxa"/>
          </w:tcPr>
          <w:p w14:paraId="30A58627" w14:textId="77777777" w:rsidR="006300DB" w:rsidRDefault="00E21F9F" w:rsidP="001234BA">
            <w:r>
              <w:t>14.4</w:t>
            </w:r>
          </w:p>
        </w:tc>
        <w:tc>
          <w:tcPr>
            <w:tcW w:w="2830" w:type="dxa"/>
          </w:tcPr>
          <w:p w14:paraId="591864F3" w14:textId="77777777" w:rsidR="006300DB" w:rsidRDefault="00E21F9F" w:rsidP="001234BA">
            <w:r>
              <w:t>1</w:t>
            </w:r>
          </w:p>
        </w:tc>
      </w:tr>
      <w:tr w:rsidR="006300DB" w14:paraId="619992A2" w14:textId="77777777" w:rsidTr="006300DB">
        <w:tc>
          <w:tcPr>
            <w:tcW w:w="2122" w:type="dxa"/>
          </w:tcPr>
          <w:p w14:paraId="627EB53A" w14:textId="77777777" w:rsidR="006300DB" w:rsidRDefault="00E21F9F" w:rsidP="001234BA">
            <w:r>
              <w:t>NKANDLA</w:t>
            </w:r>
          </w:p>
        </w:tc>
        <w:tc>
          <w:tcPr>
            <w:tcW w:w="1984" w:type="dxa"/>
          </w:tcPr>
          <w:p w14:paraId="31FB5906" w14:textId="77777777" w:rsidR="006300DB" w:rsidRDefault="00E21F9F" w:rsidP="001234BA">
            <w:r>
              <w:t>110 084</w:t>
            </w:r>
          </w:p>
        </w:tc>
        <w:tc>
          <w:tcPr>
            <w:tcW w:w="2693" w:type="dxa"/>
          </w:tcPr>
          <w:p w14:paraId="129304B0" w14:textId="77777777" w:rsidR="006300DB" w:rsidRDefault="00E21F9F" w:rsidP="001234BA">
            <w:r>
              <w:t>13.2</w:t>
            </w:r>
          </w:p>
        </w:tc>
        <w:tc>
          <w:tcPr>
            <w:tcW w:w="2830" w:type="dxa"/>
          </w:tcPr>
          <w:p w14:paraId="2D278EAF" w14:textId="77777777" w:rsidR="006300DB" w:rsidRDefault="00E21F9F" w:rsidP="001234BA">
            <w:r>
              <w:t>0.9</w:t>
            </w:r>
          </w:p>
        </w:tc>
      </w:tr>
    </w:tbl>
    <w:p w14:paraId="5B9B407E" w14:textId="77777777" w:rsidR="008347C3" w:rsidRPr="008347C3" w:rsidRDefault="00E21F9F" w:rsidP="00E21F9F">
      <w:pPr>
        <w:pStyle w:val="Caption"/>
        <w:rPr>
          <w:b w:val="0"/>
          <w:color w:val="000000" w:themeColor="text1"/>
        </w:rPr>
      </w:pPr>
      <w:bookmarkStart w:id="226" w:name="_Toc510622268"/>
      <w:r>
        <w:t xml:space="preserve">Table </w:t>
      </w:r>
      <w:r w:rsidR="00B918A6">
        <w:fldChar w:fldCharType="begin"/>
      </w:r>
      <w:r w:rsidR="00B918A6">
        <w:instrText xml:space="preserve"> SEQ Table \* ARABIC </w:instrText>
      </w:r>
      <w:r w:rsidR="00B918A6">
        <w:fldChar w:fldCharType="separate"/>
      </w:r>
      <w:r w:rsidR="0067023A">
        <w:rPr>
          <w:noProof/>
        </w:rPr>
        <w:t>18</w:t>
      </w:r>
      <w:r w:rsidR="00B918A6">
        <w:rPr>
          <w:noProof/>
        </w:rPr>
        <w:fldChar w:fldCharType="end"/>
      </w:r>
      <w:r>
        <w:t xml:space="preserve">: </w:t>
      </w:r>
      <w:r w:rsidR="00806B49" w:rsidRPr="00806B49">
        <w:rPr>
          <w:color w:val="000000" w:themeColor="text1"/>
        </w:rPr>
        <w:t xml:space="preserve">Health: HIV Prevalence </w:t>
      </w:r>
      <w:r w:rsidR="008347C3" w:rsidRPr="00806B49">
        <w:rPr>
          <w:color w:val="000000" w:themeColor="text1"/>
        </w:rPr>
        <w:t>Source: Global Insight, 2015</w:t>
      </w:r>
      <w:bookmarkEnd w:id="226"/>
    </w:p>
    <w:p w14:paraId="6E061456" w14:textId="77777777" w:rsidR="008347C3" w:rsidRDefault="005D6DBA" w:rsidP="00395313">
      <w:pPr>
        <w:tabs>
          <w:tab w:val="left" w:pos="720"/>
        </w:tabs>
        <w:jc w:val="both"/>
        <w:rPr>
          <w:rFonts w:cs="Calibri"/>
          <w:color w:val="000000" w:themeColor="text1"/>
          <w:szCs w:val="20"/>
        </w:rPr>
      </w:pPr>
      <w:r w:rsidRPr="005D6DBA">
        <w:rPr>
          <w:rFonts w:cs="Calibri"/>
          <w:color w:val="000000" w:themeColor="text1"/>
          <w:szCs w:val="20"/>
        </w:rPr>
        <w:t xml:space="preserve">HIV/AIDS has had a major impact on both the quality of life of communities and families and on the economy. A number of initiatives have been implemented through the National Department of Health to combat the current epidemic however major challenges still remain. </w:t>
      </w:r>
    </w:p>
    <w:p w14:paraId="7A471D07" w14:textId="77777777" w:rsidR="008347C3" w:rsidRDefault="008347C3" w:rsidP="008347C3">
      <w:pPr>
        <w:tabs>
          <w:tab w:val="left" w:pos="720"/>
        </w:tabs>
        <w:jc w:val="both"/>
        <w:rPr>
          <w:rFonts w:cs="Calibri"/>
          <w:color w:val="000000" w:themeColor="text1"/>
          <w:szCs w:val="20"/>
        </w:rPr>
      </w:pPr>
      <w:r w:rsidRPr="008347C3">
        <w:rPr>
          <w:rFonts w:cs="Calibri"/>
          <w:color w:val="000000" w:themeColor="text1"/>
          <w:szCs w:val="20"/>
        </w:rPr>
        <w:t xml:space="preserve">Table 10 depicts KZN and </w:t>
      </w:r>
      <w:r>
        <w:rPr>
          <w:rFonts w:cs="Calibri"/>
          <w:color w:val="000000" w:themeColor="text1"/>
          <w:szCs w:val="20"/>
        </w:rPr>
        <w:t>KCDM</w:t>
      </w:r>
      <w:r w:rsidRPr="008347C3">
        <w:rPr>
          <w:rFonts w:cs="Calibri"/>
          <w:color w:val="000000" w:themeColor="text1"/>
          <w:szCs w:val="20"/>
        </w:rPr>
        <w:t xml:space="preserve"> HIV positive estimates and AIDS deaths estimates for the years 2003 and 2014. The percentage of HIV positive estimates in KZN increased from 13.4 per cent in 2003 to 14.9 per cent in 2014. The proportion of AIDS deaths was estimated at a low 1 per cent in KZN in the year 2014. </w:t>
      </w:r>
      <w:r>
        <w:rPr>
          <w:rFonts w:cs="Calibri"/>
          <w:color w:val="000000" w:themeColor="text1"/>
          <w:szCs w:val="20"/>
        </w:rPr>
        <w:t>KCDM</w:t>
      </w:r>
      <w:r w:rsidRPr="008347C3">
        <w:rPr>
          <w:rFonts w:cs="Calibri"/>
          <w:color w:val="000000" w:themeColor="text1"/>
          <w:szCs w:val="20"/>
        </w:rPr>
        <w:t xml:space="preserve"> followed almost similar trend for the HIV positive estimates from 13.7 per cent in 20</w:t>
      </w:r>
      <w:r>
        <w:rPr>
          <w:rFonts w:cs="Calibri"/>
          <w:color w:val="000000" w:themeColor="text1"/>
          <w:szCs w:val="20"/>
        </w:rPr>
        <w:t>05 to 14.7 per cent in 2014.  Within uMlalazi LM, the HIV prevalence shows a slig</w:t>
      </w:r>
      <w:r w:rsidR="00E61E8A">
        <w:rPr>
          <w:rFonts w:cs="Calibri"/>
          <w:color w:val="000000" w:themeColor="text1"/>
          <w:szCs w:val="20"/>
        </w:rPr>
        <w:t>ht increase of 0.6% from 2003 to</w:t>
      </w:r>
      <w:r>
        <w:rPr>
          <w:rFonts w:cs="Calibri"/>
          <w:color w:val="000000" w:themeColor="text1"/>
          <w:szCs w:val="20"/>
        </w:rPr>
        <w:t xml:space="preserve"> 2014.</w:t>
      </w:r>
    </w:p>
    <w:p w14:paraId="15318411" w14:textId="77777777" w:rsidR="005D6DBA" w:rsidRPr="00E21F9F" w:rsidRDefault="005D6DBA" w:rsidP="00750180">
      <w:pPr>
        <w:pStyle w:val="Heading4"/>
        <w:numPr>
          <w:ilvl w:val="3"/>
          <w:numId w:val="29"/>
        </w:numPr>
      </w:pPr>
      <w:r w:rsidRPr="00E21F9F">
        <w:t>Education</w:t>
      </w:r>
    </w:p>
    <w:p w14:paraId="27A430A8" w14:textId="77777777" w:rsidR="00610DFF" w:rsidRPr="00164A30" w:rsidRDefault="00610DFF" w:rsidP="00164A30">
      <w:pPr>
        <w:spacing w:line="288" w:lineRule="auto"/>
        <w:jc w:val="both"/>
        <w:rPr>
          <w:szCs w:val="20"/>
        </w:rPr>
      </w:pPr>
      <w:r w:rsidRPr="00610DFF">
        <w:rPr>
          <w:szCs w:val="20"/>
        </w:rPr>
        <w:t>The figure below displays the distribution of the highest level of educa</w:t>
      </w:r>
      <w:r>
        <w:rPr>
          <w:szCs w:val="20"/>
        </w:rPr>
        <w:t>ti</w:t>
      </w:r>
      <w:r w:rsidR="00164A30">
        <w:rPr>
          <w:szCs w:val="20"/>
        </w:rPr>
        <w:t xml:space="preserve">on received by the population: </w:t>
      </w:r>
    </w:p>
    <w:tbl>
      <w:tblPr>
        <w:tblW w:w="9019" w:type="dxa"/>
        <w:tblLook w:val="04A0" w:firstRow="1" w:lastRow="0" w:firstColumn="1" w:lastColumn="0" w:noHBand="0" w:noVBand="1"/>
      </w:tblPr>
      <w:tblGrid>
        <w:gridCol w:w="4125"/>
        <w:gridCol w:w="3164"/>
        <w:gridCol w:w="951"/>
        <w:gridCol w:w="779"/>
      </w:tblGrid>
      <w:tr w:rsidR="00164A30" w:rsidRPr="00164A30" w14:paraId="58D5F65A" w14:textId="77777777" w:rsidTr="00E61E8A">
        <w:trPr>
          <w:trHeight w:val="231"/>
          <w:tblHeader/>
        </w:trPr>
        <w:tc>
          <w:tcPr>
            <w:tcW w:w="0" w:type="auto"/>
            <w:tcBorders>
              <w:top w:val="single" w:sz="4" w:space="0" w:color="auto"/>
              <w:left w:val="single" w:sz="4" w:space="0" w:color="auto"/>
              <w:bottom w:val="single" w:sz="8" w:space="0" w:color="000000"/>
              <w:right w:val="single" w:sz="4" w:space="0" w:color="auto"/>
            </w:tcBorders>
            <w:shd w:val="clear" w:color="auto" w:fill="000000" w:themeFill="text1"/>
            <w:vAlign w:val="center"/>
          </w:tcPr>
          <w:p w14:paraId="60EB6483" w14:textId="77777777" w:rsidR="00164A30" w:rsidRPr="00164A30" w:rsidRDefault="00164A30" w:rsidP="008347C3">
            <w:pPr>
              <w:spacing w:after="0" w:line="240" w:lineRule="auto"/>
              <w:rPr>
                <w:b/>
                <w:sz w:val="22"/>
                <w:szCs w:val="20"/>
              </w:rPr>
            </w:pPr>
            <w:r w:rsidRPr="00164A30">
              <w:rPr>
                <w:b/>
                <w:sz w:val="22"/>
                <w:szCs w:val="20"/>
              </w:rPr>
              <w:t>INDICATOR</w:t>
            </w:r>
          </w:p>
        </w:tc>
        <w:tc>
          <w:tcPr>
            <w:tcW w:w="0" w:type="auto"/>
            <w:tcBorders>
              <w:top w:val="single" w:sz="4" w:space="0" w:color="auto"/>
              <w:left w:val="nil"/>
              <w:bottom w:val="single" w:sz="4" w:space="0" w:color="auto"/>
              <w:right w:val="single" w:sz="4" w:space="0" w:color="auto"/>
            </w:tcBorders>
            <w:shd w:val="clear" w:color="auto" w:fill="000000" w:themeFill="text1"/>
            <w:noWrap/>
            <w:vAlign w:val="bottom"/>
          </w:tcPr>
          <w:p w14:paraId="417BDA5E" w14:textId="77777777" w:rsidR="00164A30" w:rsidRPr="00164A30" w:rsidRDefault="00164A30" w:rsidP="008347C3">
            <w:pPr>
              <w:spacing w:after="0" w:line="240" w:lineRule="auto"/>
              <w:rPr>
                <w:b/>
                <w:sz w:val="22"/>
                <w:szCs w:val="20"/>
              </w:rPr>
            </w:pPr>
            <w:r w:rsidRPr="00164A30">
              <w:rPr>
                <w:b/>
                <w:sz w:val="22"/>
                <w:szCs w:val="20"/>
              </w:rPr>
              <w:t>OPTION</w:t>
            </w:r>
          </w:p>
        </w:tc>
        <w:tc>
          <w:tcPr>
            <w:tcW w:w="0" w:type="auto"/>
            <w:tcBorders>
              <w:top w:val="single" w:sz="4" w:space="0" w:color="auto"/>
              <w:left w:val="nil"/>
              <w:bottom w:val="single" w:sz="4" w:space="0" w:color="auto"/>
              <w:right w:val="single" w:sz="4" w:space="0" w:color="auto"/>
            </w:tcBorders>
            <w:shd w:val="clear" w:color="auto" w:fill="000000" w:themeFill="text1"/>
            <w:noWrap/>
            <w:vAlign w:val="bottom"/>
          </w:tcPr>
          <w:p w14:paraId="47752DC0" w14:textId="77777777" w:rsidR="00164A30" w:rsidRPr="00164A30" w:rsidRDefault="00164A30" w:rsidP="008347C3">
            <w:pPr>
              <w:spacing w:after="0" w:line="240" w:lineRule="auto"/>
              <w:jc w:val="center"/>
              <w:rPr>
                <w:b/>
                <w:sz w:val="22"/>
                <w:szCs w:val="20"/>
              </w:rPr>
            </w:pPr>
            <w:r w:rsidRPr="00164A30">
              <w:rPr>
                <w:b/>
                <w:sz w:val="22"/>
                <w:szCs w:val="20"/>
              </w:rPr>
              <w:t>NO.</w:t>
            </w:r>
          </w:p>
        </w:tc>
        <w:tc>
          <w:tcPr>
            <w:tcW w:w="0" w:type="auto"/>
            <w:tcBorders>
              <w:top w:val="single" w:sz="4" w:space="0" w:color="auto"/>
              <w:left w:val="nil"/>
              <w:bottom w:val="single" w:sz="4" w:space="0" w:color="auto"/>
              <w:right w:val="single" w:sz="4" w:space="0" w:color="auto"/>
            </w:tcBorders>
            <w:shd w:val="clear" w:color="auto" w:fill="000000" w:themeFill="text1"/>
            <w:noWrap/>
            <w:vAlign w:val="bottom"/>
          </w:tcPr>
          <w:p w14:paraId="75690446" w14:textId="77777777" w:rsidR="00164A30" w:rsidRPr="00164A30" w:rsidRDefault="00164A30" w:rsidP="008347C3">
            <w:pPr>
              <w:spacing w:after="0" w:line="240" w:lineRule="auto"/>
              <w:jc w:val="center"/>
              <w:rPr>
                <w:b/>
                <w:sz w:val="22"/>
                <w:szCs w:val="20"/>
              </w:rPr>
            </w:pPr>
            <w:r w:rsidRPr="00164A30">
              <w:rPr>
                <w:b/>
                <w:sz w:val="22"/>
                <w:szCs w:val="20"/>
              </w:rPr>
              <w:t>(%)</w:t>
            </w:r>
          </w:p>
        </w:tc>
      </w:tr>
      <w:tr w:rsidR="008347C3" w:rsidRPr="008347C3" w14:paraId="7567C5D2" w14:textId="77777777" w:rsidTr="008347C3">
        <w:trPr>
          <w:trHeight w:val="231"/>
        </w:trPr>
        <w:tc>
          <w:tcPr>
            <w:tcW w:w="0" w:type="auto"/>
            <w:vMerge w:val="restart"/>
            <w:tcBorders>
              <w:top w:val="single" w:sz="4" w:space="0" w:color="auto"/>
              <w:left w:val="single" w:sz="4" w:space="0" w:color="auto"/>
              <w:bottom w:val="single" w:sz="8" w:space="0" w:color="000000"/>
              <w:right w:val="single" w:sz="4" w:space="0" w:color="auto"/>
            </w:tcBorders>
            <w:shd w:val="clear" w:color="auto" w:fill="F2F2F2" w:themeFill="background1" w:themeFillShade="F2"/>
            <w:vAlign w:val="center"/>
            <w:hideMark/>
          </w:tcPr>
          <w:p w14:paraId="2358BD87" w14:textId="77777777" w:rsidR="008347C3" w:rsidRPr="008347C3" w:rsidRDefault="008347C3" w:rsidP="008347C3">
            <w:pPr>
              <w:spacing w:after="0" w:line="240" w:lineRule="auto"/>
              <w:rPr>
                <w:szCs w:val="20"/>
              </w:rPr>
            </w:pPr>
            <w:r w:rsidRPr="008347C3">
              <w:rPr>
                <w:szCs w:val="20"/>
              </w:rPr>
              <w:t>Current school attendance</w:t>
            </w:r>
          </w:p>
        </w:tc>
        <w:tc>
          <w:tcPr>
            <w:tcW w:w="0" w:type="auto"/>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1E6BADED" w14:textId="77777777" w:rsidR="008347C3" w:rsidRPr="008347C3" w:rsidRDefault="008347C3" w:rsidP="008347C3">
            <w:pPr>
              <w:spacing w:after="0" w:line="240" w:lineRule="auto"/>
              <w:rPr>
                <w:szCs w:val="20"/>
              </w:rPr>
            </w:pPr>
            <w:r w:rsidRPr="008347C3">
              <w:rPr>
                <w:szCs w:val="20"/>
              </w:rPr>
              <w:t>Yes</w:t>
            </w:r>
          </w:p>
        </w:tc>
        <w:tc>
          <w:tcPr>
            <w:tcW w:w="0" w:type="auto"/>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23FC1452" w14:textId="77777777" w:rsidR="008347C3" w:rsidRPr="008347C3" w:rsidRDefault="008347C3" w:rsidP="008347C3">
            <w:pPr>
              <w:spacing w:after="0" w:line="240" w:lineRule="auto"/>
              <w:jc w:val="center"/>
              <w:rPr>
                <w:szCs w:val="20"/>
              </w:rPr>
            </w:pPr>
            <w:r w:rsidRPr="008347C3">
              <w:rPr>
                <w:szCs w:val="20"/>
              </w:rPr>
              <w:t>93 857</w:t>
            </w:r>
          </w:p>
        </w:tc>
        <w:tc>
          <w:tcPr>
            <w:tcW w:w="0" w:type="auto"/>
            <w:tcBorders>
              <w:top w:val="single" w:sz="4" w:space="0" w:color="auto"/>
              <w:left w:val="nil"/>
              <w:bottom w:val="single" w:sz="4" w:space="0" w:color="auto"/>
              <w:right w:val="single" w:sz="4" w:space="0" w:color="auto"/>
            </w:tcBorders>
            <w:shd w:val="clear" w:color="auto" w:fill="F2F2F2" w:themeFill="background1" w:themeFillShade="F2"/>
            <w:noWrap/>
            <w:vAlign w:val="bottom"/>
            <w:hideMark/>
          </w:tcPr>
          <w:p w14:paraId="18A4629C" w14:textId="77777777" w:rsidR="008347C3" w:rsidRPr="008347C3" w:rsidRDefault="008347C3" w:rsidP="008347C3">
            <w:pPr>
              <w:spacing w:after="0" w:line="240" w:lineRule="auto"/>
              <w:jc w:val="center"/>
              <w:rPr>
                <w:szCs w:val="20"/>
              </w:rPr>
            </w:pPr>
            <w:r w:rsidRPr="008347C3">
              <w:rPr>
                <w:szCs w:val="20"/>
              </w:rPr>
              <w:t>42%</w:t>
            </w:r>
          </w:p>
        </w:tc>
      </w:tr>
      <w:tr w:rsidR="008347C3" w:rsidRPr="008347C3" w14:paraId="1AE34D07" w14:textId="77777777" w:rsidTr="008347C3">
        <w:trPr>
          <w:trHeight w:val="231"/>
        </w:trPr>
        <w:tc>
          <w:tcPr>
            <w:tcW w:w="0" w:type="auto"/>
            <w:vMerge/>
            <w:tcBorders>
              <w:top w:val="single" w:sz="4" w:space="0" w:color="auto"/>
              <w:left w:val="single" w:sz="4" w:space="0" w:color="auto"/>
              <w:bottom w:val="single" w:sz="8" w:space="0" w:color="000000"/>
              <w:right w:val="single" w:sz="4" w:space="0" w:color="auto"/>
            </w:tcBorders>
            <w:shd w:val="clear" w:color="auto" w:fill="F2F2F2" w:themeFill="background1" w:themeFillShade="F2"/>
            <w:vAlign w:val="center"/>
            <w:hideMark/>
          </w:tcPr>
          <w:p w14:paraId="291D109C"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F2F2F2" w:themeFill="background1" w:themeFillShade="F2"/>
            <w:noWrap/>
            <w:vAlign w:val="bottom"/>
            <w:hideMark/>
          </w:tcPr>
          <w:p w14:paraId="5B130C4F" w14:textId="77777777" w:rsidR="008347C3" w:rsidRPr="008347C3" w:rsidRDefault="008347C3" w:rsidP="008347C3">
            <w:pPr>
              <w:spacing w:after="0" w:line="240" w:lineRule="auto"/>
              <w:rPr>
                <w:szCs w:val="20"/>
              </w:rPr>
            </w:pPr>
            <w:r w:rsidRPr="008347C3">
              <w:rPr>
                <w:szCs w:val="20"/>
              </w:rPr>
              <w:t xml:space="preserve">No </w:t>
            </w:r>
          </w:p>
        </w:tc>
        <w:tc>
          <w:tcPr>
            <w:tcW w:w="0" w:type="auto"/>
            <w:tcBorders>
              <w:top w:val="nil"/>
              <w:left w:val="nil"/>
              <w:bottom w:val="single" w:sz="4" w:space="0" w:color="auto"/>
              <w:right w:val="single" w:sz="4" w:space="0" w:color="auto"/>
            </w:tcBorders>
            <w:shd w:val="clear" w:color="auto" w:fill="F2F2F2" w:themeFill="background1" w:themeFillShade="F2"/>
            <w:noWrap/>
            <w:vAlign w:val="bottom"/>
            <w:hideMark/>
          </w:tcPr>
          <w:p w14:paraId="04CC1229" w14:textId="77777777" w:rsidR="008347C3" w:rsidRPr="008347C3" w:rsidRDefault="008347C3" w:rsidP="008347C3">
            <w:pPr>
              <w:spacing w:after="0" w:line="240" w:lineRule="auto"/>
              <w:jc w:val="center"/>
              <w:rPr>
                <w:szCs w:val="20"/>
              </w:rPr>
            </w:pPr>
            <w:r w:rsidRPr="008347C3">
              <w:rPr>
                <w:szCs w:val="20"/>
              </w:rPr>
              <w:t>129 241</w:t>
            </w:r>
          </w:p>
        </w:tc>
        <w:tc>
          <w:tcPr>
            <w:tcW w:w="0" w:type="auto"/>
            <w:tcBorders>
              <w:top w:val="nil"/>
              <w:left w:val="nil"/>
              <w:bottom w:val="single" w:sz="4" w:space="0" w:color="auto"/>
              <w:right w:val="single" w:sz="4" w:space="0" w:color="auto"/>
            </w:tcBorders>
            <w:shd w:val="clear" w:color="auto" w:fill="F2F2F2" w:themeFill="background1" w:themeFillShade="F2"/>
            <w:noWrap/>
            <w:vAlign w:val="bottom"/>
            <w:hideMark/>
          </w:tcPr>
          <w:p w14:paraId="23E1721B" w14:textId="77777777" w:rsidR="008347C3" w:rsidRPr="008347C3" w:rsidRDefault="008347C3" w:rsidP="008347C3">
            <w:pPr>
              <w:spacing w:after="0" w:line="240" w:lineRule="auto"/>
              <w:jc w:val="center"/>
              <w:rPr>
                <w:szCs w:val="20"/>
              </w:rPr>
            </w:pPr>
            <w:r w:rsidRPr="008347C3">
              <w:rPr>
                <w:szCs w:val="20"/>
              </w:rPr>
              <w:t>58%</w:t>
            </w:r>
          </w:p>
        </w:tc>
      </w:tr>
      <w:tr w:rsidR="008347C3" w:rsidRPr="008347C3" w14:paraId="132373F6" w14:textId="77777777" w:rsidTr="008347C3">
        <w:trPr>
          <w:trHeight w:val="231"/>
        </w:trPr>
        <w:tc>
          <w:tcPr>
            <w:tcW w:w="0" w:type="auto"/>
            <w:vMerge/>
            <w:tcBorders>
              <w:top w:val="single" w:sz="4" w:space="0" w:color="auto"/>
              <w:left w:val="single" w:sz="4" w:space="0" w:color="auto"/>
              <w:bottom w:val="single" w:sz="8" w:space="0" w:color="000000"/>
              <w:right w:val="single" w:sz="4" w:space="0" w:color="auto"/>
            </w:tcBorders>
            <w:shd w:val="clear" w:color="auto" w:fill="F2F2F2" w:themeFill="background1" w:themeFillShade="F2"/>
            <w:vAlign w:val="center"/>
            <w:hideMark/>
          </w:tcPr>
          <w:p w14:paraId="1D0EC981"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F2F2F2" w:themeFill="background1" w:themeFillShade="F2"/>
            <w:noWrap/>
            <w:vAlign w:val="bottom"/>
            <w:hideMark/>
          </w:tcPr>
          <w:p w14:paraId="5B552A09" w14:textId="77777777" w:rsidR="008347C3" w:rsidRPr="008347C3" w:rsidRDefault="008347C3" w:rsidP="008347C3">
            <w:pPr>
              <w:spacing w:after="0" w:line="240" w:lineRule="auto"/>
              <w:rPr>
                <w:szCs w:val="20"/>
              </w:rPr>
            </w:pPr>
            <w:r w:rsidRPr="008347C3">
              <w:rPr>
                <w:szCs w:val="20"/>
              </w:rPr>
              <w:t>Don’t know</w:t>
            </w:r>
          </w:p>
        </w:tc>
        <w:tc>
          <w:tcPr>
            <w:tcW w:w="0" w:type="auto"/>
            <w:tcBorders>
              <w:top w:val="nil"/>
              <w:left w:val="nil"/>
              <w:bottom w:val="single" w:sz="4" w:space="0" w:color="auto"/>
              <w:right w:val="single" w:sz="4" w:space="0" w:color="auto"/>
            </w:tcBorders>
            <w:shd w:val="clear" w:color="auto" w:fill="F2F2F2" w:themeFill="background1" w:themeFillShade="F2"/>
            <w:noWrap/>
            <w:vAlign w:val="bottom"/>
            <w:hideMark/>
          </w:tcPr>
          <w:p w14:paraId="6D3A82BE" w14:textId="77777777" w:rsidR="008347C3" w:rsidRPr="008347C3" w:rsidRDefault="008347C3" w:rsidP="008347C3">
            <w:pPr>
              <w:spacing w:after="0" w:line="240" w:lineRule="auto"/>
              <w:jc w:val="center"/>
              <w:rPr>
                <w:szCs w:val="20"/>
              </w:rPr>
            </w:pPr>
            <w:r w:rsidRPr="008347C3">
              <w:rPr>
                <w:szCs w:val="20"/>
              </w:rPr>
              <w:t>42</w:t>
            </w:r>
          </w:p>
        </w:tc>
        <w:tc>
          <w:tcPr>
            <w:tcW w:w="0" w:type="auto"/>
            <w:tcBorders>
              <w:top w:val="nil"/>
              <w:left w:val="nil"/>
              <w:bottom w:val="single" w:sz="4" w:space="0" w:color="auto"/>
              <w:right w:val="single" w:sz="4" w:space="0" w:color="auto"/>
            </w:tcBorders>
            <w:shd w:val="clear" w:color="auto" w:fill="F2F2F2" w:themeFill="background1" w:themeFillShade="F2"/>
            <w:noWrap/>
            <w:vAlign w:val="bottom"/>
            <w:hideMark/>
          </w:tcPr>
          <w:p w14:paraId="78B6AD4E" w14:textId="77777777" w:rsidR="008347C3" w:rsidRPr="008347C3" w:rsidRDefault="008347C3" w:rsidP="008347C3">
            <w:pPr>
              <w:spacing w:after="0" w:line="240" w:lineRule="auto"/>
              <w:jc w:val="center"/>
              <w:rPr>
                <w:szCs w:val="20"/>
              </w:rPr>
            </w:pPr>
            <w:r w:rsidRPr="008347C3">
              <w:rPr>
                <w:szCs w:val="20"/>
              </w:rPr>
              <w:t>0%</w:t>
            </w:r>
          </w:p>
        </w:tc>
      </w:tr>
      <w:tr w:rsidR="008347C3" w:rsidRPr="008347C3" w14:paraId="47A53414" w14:textId="77777777" w:rsidTr="008347C3">
        <w:trPr>
          <w:trHeight w:val="241"/>
        </w:trPr>
        <w:tc>
          <w:tcPr>
            <w:tcW w:w="0" w:type="auto"/>
            <w:vMerge/>
            <w:tcBorders>
              <w:top w:val="single" w:sz="4" w:space="0" w:color="auto"/>
              <w:left w:val="single" w:sz="4" w:space="0" w:color="auto"/>
              <w:bottom w:val="single" w:sz="8" w:space="0" w:color="000000"/>
              <w:right w:val="single" w:sz="4" w:space="0" w:color="auto"/>
            </w:tcBorders>
            <w:shd w:val="clear" w:color="auto" w:fill="F2F2F2" w:themeFill="background1" w:themeFillShade="F2"/>
            <w:vAlign w:val="center"/>
            <w:hideMark/>
          </w:tcPr>
          <w:p w14:paraId="52246A20" w14:textId="77777777" w:rsidR="008347C3" w:rsidRPr="008347C3" w:rsidRDefault="008347C3" w:rsidP="008347C3">
            <w:pPr>
              <w:spacing w:after="0" w:line="240" w:lineRule="auto"/>
              <w:rPr>
                <w:szCs w:val="20"/>
              </w:rPr>
            </w:pPr>
          </w:p>
        </w:tc>
        <w:tc>
          <w:tcPr>
            <w:tcW w:w="0" w:type="auto"/>
            <w:tcBorders>
              <w:top w:val="nil"/>
              <w:left w:val="nil"/>
              <w:bottom w:val="single" w:sz="8" w:space="0" w:color="auto"/>
              <w:right w:val="single" w:sz="4" w:space="0" w:color="auto"/>
            </w:tcBorders>
            <w:shd w:val="clear" w:color="auto" w:fill="F2F2F2" w:themeFill="background1" w:themeFillShade="F2"/>
            <w:noWrap/>
            <w:vAlign w:val="bottom"/>
            <w:hideMark/>
          </w:tcPr>
          <w:p w14:paraId="5A082B95" w14:textId="77777777" w:rsidR="008347C3" w:rsidRPr="008347C3" w:rsidRDefault="008347C3" w:rsidP="008347C3">
            <w:pPr>
              <w:spacing w:after="0" w:line="240" w:lineRule="auto"/>
              <w:rPr>
                <w:szCs w:val="20"/>
              </w:rPr>
            </w:pPr>
            <w:r w:rsidRPr="008347C3">
              <w:rPr>
                <w:szCs w:val="20"/>
              </w:rPr>
              <w:t>Total</w:t>
            </w:r>
          </w:p>
        </w:tc>
        <w:tc>
          <w:tcPr>
            <w:tcW w:w="0" w:type="auto"/>
            <w:tcBorders>
              <w:top w:val="nil"/>
              <w:left w:val="nil"/>
              <w:bottom w:val="single" w:sz="8" w:space="0" w:color="auto"/>
              <w:right w:val="single" w:sz="4" w:space="0" w:color="auto"/>
            </w:tcBorders>
            <w:shd w:val="clear" w:color="auto" w:fill="F2F2F2" w:themeFill="background1" w:themeFillShade="F2"/>
            <w:noWrap/>
            <w:vAlign w:val="bottom"/>
            <w:hideMark/>
          </w:tcPr>
          <w:p w14:paraId="067CEACB" w14:textId="77777777" w:rsidR="008347C3" w:rsidRPr="008347C3" w:rsidRDefault="008347C3" w:rsidP="008347C3">
            <w:pPr>
              <w:spacing w:after="0" w:line="240" w:lineRule="auto"/>
              <w:jc w:val="center"/>
              <w:rPr>
                <w:szCs w:val="20"/>
              </w:rPr>
            </w:pPr>
            <w:r w:rsidRPr="008347C3">
              <w:rPr>
                <w:szCs w:val="20"/>
              </w:rPr>
              <w:t>223 140</w:t>
            </w:r>
          </w:p>
        </w:tc>
        <w:tc>
          <w:tcPr>
            <w:tcW w:w="0" w:type="auto"/>
            <w:tcBorders>
              <w:top w:val="nil"/>
              <w:left w:val="nil"/>
              <w:bottom w:val="single" w:sz="8" w:space="0" w:color="auto"/>
              <w:right w:val="single" w:sz="4" w:space="0" w:color="auto"/>
            </w:tcBorders>
            <w:shd w:val="clear" w:color="auto" w:fill="F2F2F2" w:themeFill="background1" w:themeFillShade="F2"/>
            <w:noWrap/>
            <w:vAlign w:val="bottom"/>
            <w:hideMark/>
          </w:tcPr>
          <w:p w14:paraId="0148244C" w14:textId="77777777" w:rsidR="008347C3" w:rsidRPr="008347C3" w:rsidRDefault="008347C3" w:rsidP="008347C3">
            <w:pPr>
              <w:spacing w:after="0" w:line="240" w:lineRule="auto"/>
              <w:jc w:val="center"/>
              <w:rPr>
                <w:szCs w:val="20"/>
              </w:rPr>
            </w:pPr>
            <w:r w:rsidRPr="008347C3">
              <w:rPr>
                <w:szCs w:val="20"/>
              </w:rPr>
              <w:t>100%</w:t>
            </w:r>
          </w:p>
        </w:tc>
      </w:tr>
      <w:tr w:rsidR="008347C3" w:rsidRPr="008347C3" w14:paraId="44684C2B" w14:textId="77777777" w:rsidTr="008347C3">
        <w:trPr>
          <w:trHeight w:val="231"/>
        </w:trPr>
        <w:tc>
          <w:tcPr>
            <w:tcW w:w="0" w:type="auto"/>
            <w:vMerge w:val="restart"/>
            <w:tcBorders>
              <w:top w:val="nil"/>
              <w:left w:val="single" w:sz="4" w:space="0" w:color="auto"/>
              <w:bottom w:val="single" w:sz="8" w:space="0" w:color="000000"/>
              <w:right w:val="single" w:sz="4" w:space="0" w:color="auto"/>
            </w:tcBorders>
            <w:shd w:val="clear" w:color="auto" w:fill="DDD9C3" w:themeFill="background2" w:themeFillShade="E6"/>
            <w:vAlign w:val="center"/>
            <w:hideMark/>
          </w:tcPr>
          <w:p w14:paraId="27CBAD26" w14:textId="77777777" w:rsidR="008347C3" w:rsidRPr="008347C3" w:rsidRDefault="008347C3" w:rsidP="008347C3">
            <w:pPr>
              <w:spacing w:after="0" w:line="240" w:lineRule="auto"/>
              <w:rPr>
                <w:szCs w:val="20"/>
              </w:rPr>
            </w:pPr>
            <w:r w:rsidRPr="008347C3">
              <w:rPr>
                <w:szCs w:val="20"/>
              </w:rPr>
              <w:t>Current school attendance (by gender)</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BBE4D7E" w14:textId="77777777" w:rsidR="008347C3" w:rsidRPr="008347C3" w:rsidRDefault="008347C3" w:rsidP="008347C3">
            <w:pPr>
              <w:spacing w:after="0" w:line="240" w:lineRule="auto"/>
              <w:rPr>
                <w:szCs w:val="20"/>
              </w:rPr>
            </w:pPr>
            <w:r w:rsidRPr="008347C3">
              <w:rPr>
                <w:szCs w:val="20"/>
              </w:rPr>
              <w:t>Yes (Male)</w:t>
            </w:r>
          </w:p>
        </w:tc>
        <w:tc>
          <w:tcPr>
            <w:tcW w:w="0" w:type="auto"/>
            <w:tcBorders>
              <w:top w:val="nil"/>
              <w:left w:val="nil"/>
              <w:bottom w:val="single" w:sz="4" w:space="0" w:color="auto"/>
              <w:right w:val="single" w:sz="4" w:space="0" w:color="auto"/>
            </w:tcBorders>
            <w:shd w:val="clear" w:color="auto" w:fill="DDD9C3" w:themeFill="background2" w:themeFillShade="E6"/>
            <w:noWrap/>
            <w:vAlign w:val="bottom"/>
            <w:hideMark/>
          </w:tcPr>
          <w:p w14:paraId="5EAFA793" w14:textId="77777777" w:rsidR="008347C3" w:rsidRPr="008347C3" w:rsidRDefault="008347C3" w:rsidP="008347C3">
            <w:pPr>
              <w:spacing w:after="0" w:line="240" w:lineRule="auto"/>
              <w:jc w:val="center"/>
              <w:rPr>
                <w:szCs w:val="20"/>
              </w:rPr>
            </w:pPr>
            <w:r w:rsidRPr="008347C3">
              <w:rPr>
                <w:szCs w:val="20"/>
              </w:rPr>
              <w:t>47 298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3BC9336" w14:textId="77777777" w:rsidR="008347C3" w:rsidRPr="008347C3" w:rsidRDefault="008347C3" w:rsidP="008347C3">
            <w:pPr>
              <w:spacing w:after="0" w:line="240" w:lineRule="auto"/>
              <w:jc w:val="center"/>
              <w:rPr>
                <w:szCs w:val="20"/>
              </w:rPr>
            </w:pPr>
            <w:r w:rsidRPr="008347C3">
              <w:rPr>
                <w:szCs w:val="20"/>
              </w:rPr>
              <w:t>45,6%</w:t>
            </w:r>
          </w:p>
        </w:tc>
      </w:tr>
      <w:tr w:rsidR="008347C3" w:rsidRPr="008347C3" w14:paraId="3435528E" w14:textId="77777777" w:rsidTr="008347C3">
        <w:trPr>
          <w:trHeight w:val="231"/>
        </w:trPr>
        <w:tc>
          <w:tcPr>
            <w:tcW w:w="0" w:type="auto"/>
            <w:vMerge/>
            <w:tcBorders>
              <w:top w:val="nil"/>
              <w:left w:val="single" w:sz="4" w:space="0" w:color="auto"/>
              <w:bottom w:val="single" w:sz="8" w:space="0" w:color="000000"/>
              <w:right w:val="single" w:sz="4" w:space="0" w:color="auto"/>
            </w:tcBorders>
            <w:shd w:val="clear" w:color="auto" w:fill="DDD9C3" w:themeFill="background2" w:themeFillShade="E6"/>
            <w:vAlign w:val="center"/>
            <w:hideMark/>
          </w:tcPr>
          <w:p w14:paraId="703EE762"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83F8BAB" w14:textId="77777777" w:rsidR="008347C3" w:rsidRPr="008347C3" w:rsidRDefault="008347C3" w:rsidP="008347C3">
            <w:pPr>
              <w:spacing w:after="0" w:line="240" w:lineRule="auto"/>
              <w:rPr>
                <w:szCs w:val="20"/>
              </w:rPr>
            </w:pPr>
            <w:r w:rsidRPr="008347C3">
              <w:rPr>
                <w:szCs w:val="20"/>
              </w:rPr>
              <w:t>No (Male)</w:t>
            </w:r>
          </w:p>
        </w:tc>
        <w:tc>
          <w:tcPr>
            <w:tcW w:w="0" w:type="auto"/>
            <w:tcBorders>
              <w:top w:val="nil"/>
              <w:left w:val="nil"/>
              <w:bottom w:val="single" w:sz="4" w:space="0" w:color="auto"/>
              <w:right w:val="single" w:sz="4" w:space="0" w:color="auto"/>
            </w:tcBorders>
            <w:shd w:val="clear" w:color="auto" w:fill="DDD9C3" w:themeFill="background2" w:themeFillShade="E6"/>
            <w:noWrap/>
            <w:vAlign w:val="bottom"/>
            <w:hideMark/>
          </w:tcPr>
          <w:p w14:paraId="78DDFCB4" w14:textId="77777777" w:rsidR="008347C3" w:rsidRPr="008347C3" w:rsidRDefault="008347C3" w:rsidP="008347C3">
            <w:pPr>
              <w:spacing w:after="0" w:line="240" w:lineRule="auto"/>
              <w:jc w:val="center"/>
              <w:rPr>
                <w:szCs w:val="20"/>
              </w:rPr>
            </w:pPr>
            <w:r w:rsidRPr="008347C3">
              <w:rPr>
                <w:szCs w:val="20"/>
              </w:rPr>
              <w:t>56 434</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77348092" w14:textId="77777777" w:rsidR="008347C3" w:rsidRPr="008347C3" w:rsidRDefault="008347C3" w:rsidP="008347C3">
            <w:pPr>
              <w:spacing w:after="0" w:line="240" w:lineRule="auto"/>
              <w:jc w:val="center"/>
              <w:rPr>
                <w:szCs w:val="20"/>
              </w:rPr>
            </w:pPr>
            <w:r w:rsidRPr="008347C3">
              <w:rPr>
                <w:szCs w:val="20"/>
              </w:rPr>
              <w:t>54,4%</w:t>
            </w:r>
          </w:p>
        </w:tc>
      </w:tr>
      <w:tr w:rsidR="008347C3" w:rsidRPr="008347C3" w14:paraId="3136F4E4" w14:textId="77777777" w:rsidTr="008347C3">
        <w:trPr>
          <w:trHeight w:val="231"/>
        </w:trPr>
        <w:tc>
          <w:tcPr>
            <w:tcW w:w="0" w:type="auto"/>
            <w:vMerge/>
            <w:tcBorders>
              <w:top w:val="nil"/>
              <w:left w:val="single" w:sz="4" w:space="0" w:color="auto"/>
              <w:bottom w:val="single" w:sz="8" w:space="0" w:color="000000"/>
              <w:right w:val="single" w:sz="4" w:space="0" w:color="auto"/>
            </w:tcBorders>
            <w:shd w:val="clear" w:color="auto" w:fill="DDD9C3" w:themeFill="background2" w:themeFillShade="E6"/>
            <w:vAlign w:val="center"/>
            <w:hideMark/>
          </w:tcPr>
          <w:p w14:paraId="7CACF29D"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11E479DB" w14:textId="77777777" w:rsidR="008347C3" w:rsidRPr="008347C3" w:rsidRDefault="008347C3" w:rsidP="008347C3">
            <w:pPr>
              <w:spacing w:after="0" w:line="240" w:lineRule="auto"/>
              <w:rPr>
                <w:szCs w:val="20"/>
              </w:rPr>
            </w:pPr>
            <w:r w:rsidRPr="008347C3">
              <w:rPr>
                <w:szCs w:val="20"/>
              </w:rPr>
              <w:t>Do not know (Male)</w:t>
            </w:r>
          </w:p>
        </w:tc>
        <w:tc>
          <w:tcPr>
            <w:tcW w:w="0" w:type="auto"/>
            <w:tcBorders>
              <w:top w:val="nil"/>
              <w:left w:val="nil"/>
              <w:bottom w:val="single" w:sz="4" w:space="0" w:color="auto"/>
              <w:right w:val="single" w:sz="4" w:space="0" w:color="auto"/>
            </w:tcBorders>
            <w:shd w:val="clear" w:color="auto" w:fill="DDD9C3" w:themeFill="background2" w:themeFillShade="E6"/>
            <w:noWrap/>
            <w:vAlign w:val="bottom"/>
            <w:hideMark/>
          </w:tcPr>
          <w:p w14:paraId="0523941D" w14:textId="77777777" w:rsidR="008347C3" w:rsidRPr="008347C3" w:rsidRDefault="008347C3" w:rsidP="008347C3">
            <w:pPr>
              <w:spacing w:after="0" w:line="240" w:lineRule="auto"/>
              <w:jc w:val="center"/>
              <w:rPr>
                <w:szCs w:val="20"/>
              </w:rPr>
            </w:pPr>
            <w:r w:rsidRPr="008347C3">
              <w:rPr>
                <w:szCs w:val="20"/>
              </w:rPr>
              <w:t>42</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0F5CFF0" w14:textId="77777777" w:rsidR="008347C3" w:rsidRPr="008347C3" w:rsidRDefault="008347C3" w:rsidP="008347C3">
            <w:pPr>
              <w:spacing w:after="0" w:line="240" w:lineRule="auto"/>
              <w:jc w:val="center"/>
              <w:rPr>
                <w:szCs w:val="20"/>
              </w:rPr>
            </w:pPr>
            <w:r w:rsidRPr="008347C3">
              <w:rPr>
                <w:szCs w:val="20"/>
              </w:rPr>
              <w:t>0,0%</w:t>
            </w:r>
          </w:p>
        </w:tc>
      </w:tr>
      <w:tr w:rsidR="008347C3" w:rsidRPr="008347C3" w14:paraId="37510863" w14:textId="77777777" w:rsidTr="008347C3">
        <w:trPr>
          <w:trHeight w:val="231"/>
        </w:trPr>
        <w:tc>
          <w:tcPr>
            <w:tcW w:w="0" w:type="auto"/>
            <w:vMerge/>
            <w:tcBorders>
              <w:top w:val="nil"/>
              <w:left w:val="single" w:sz="4" w:space="0" w:color="auto"/>
              <w:bottom w:val="single" w:sz="8" w:space="0" w:color="000000"/>
              <w:right w:val="single" w:sz="4" w:space="0" w:color="auto"/>
            </w:tcBorders>
            <w:shd w:val="clear" w:color="auto" w:fill="DDD9C3" w:themeFill="background2" w:themeFillShade="E6"/>
            <w:vAlign w:val="center"/>
            <w:hideMark/>
          </w:tcPr>
          <w:p w14:paraId="245DAC57"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38A95375" w14:textId="77777777" w:rsidR="008347C3" w:rsidRPr="008347C3" w:rsidRDefault="008347C3" w:rsidP="008347C3">
            <w:pPr>
              <w:spacing w:after="0" w:line="240" w:lineRule="auto"/>
              <w:rPr>
                <w:szCs w:val="20"/>
              </w:rPr>
            </w:pPr>
            <w:r w:rsidRPr="008347C3">
              <w:rPr>
                <w:szCs w:val="20"/>
              </w:rPr>
              <w:t>Yes (Female)</w:t>
            </w:r>
          </w:p>
        </w:tc>
        <w:tc>
          <w:tcPr>
            <w:tcW w:w="0" w:type="auto"/>
            <w:tcBorders>
              <w:top w:val="nil"/>
              <w:left w:val="nil"/>
              <w:bottom w:val="single" w:sz="4" w:space="0" w:color="auto"/>
              <w:right w:val="single" w:sz="4" w:space="0" w:color="auto"/>
            </w:tcBorders>
            <w:shd w:val="clear" w:color="auto" w:fill="DDD9C3" w:themeFill="background2" w:themeFillShade="E6"/>
            <w:noWrap/>
            <w:vAlign w:val="bottom"/>
            <w:hideMark/>
          </w:tcPr>
          <w:p w14:paraId="52F37EC7" w14:textId="77777777" w:rsidR="008347C3" w:rsidRPr="008347C3" w:rsidRDefault="008347C3" w:rsidP="008347C3">
            <w:pPr>
              <w:spacing w:after="0" w:line="240" w:lineRule="auto"/>
              <w:jc w:val="center"/>
              <w:rPr>
                <w:szCs w:val="20"/>
              </w:rPr>
            </w:pPr>
            <w:r w:rsidRPr="008347C3">
              <w:rPr>
                <w:szCs w:val="20"/>
              </w:rPr>
              <w:t>46 559</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625378E0" w14:textId="77777777" w:rsidR="008347C3" w:rsidRPr="008347C3" w:rsidRDefault="008347C3" w:rsidP="008347C3">
            <w:pPr>
              <w:spacing w:after="0" w:line="240" w:lineRule="auto"/>
              <w:jc w:val="center"/>
              <w:rPr>
                <w:szCs w:val="20"/>
              </w:rPr>
            </w:pPr>
            <w:r w:rsidRPr="008347C3">
              <w:rPr>
                <w:szCs w:val="20"/>
              </w:rPr>
              <w:t>39,0%</w:t>
            </w:r>
          </w:p>
        </w:tc>
      </w:tr>
      <w:tr w:rsidR="008347C3" w:rsidRPr="008347C3" w14:paraId="3BAA5B78" w14:textId="77777777" w:rsidTr="008347C3">
        <w:trPr>
          <w:trHeight w:val="231"/>
        </w:trPr>
        <w:tc>
          <w:tcPr>
            <w:tcW w:w="0" w:type="auto"/>
            <w:vMerge/>
            <w:tcBorders>
              <w:top w:val="nil"/>
              <w:left w:val="single" w:sz="4" w:space="0" w:color="auto"/>
              <w:bottom w:val="single" w:sz="8" w:space="0" w:color="000000"/>
              <w:right w:val="single" w:sz="4" w:space="0" w:color="auto"/>
            </w:tcBorders>
            <w:shd w:val="clear" w:color="auto" w:fill="DDD9C3" w:themeFill="background2" w:themeFillShade="E6"/>
            <w:vAlign w:val="center"/>
            <w:hideMark/>
          </w:tcPr>
          <w:p w14:paraId="3ABB7DBB"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45D33883" w14:textId="77777777" w:rsidR="008347C3" w:rsidRPr="008347C3" w:rsidRDefault="008347C3" w:rsidP="008347C3">
            <w:pPr>
              <w:spacing w:after="0" w:line="240" w:lineRule="auto"/>
              <w:rPr>
                <w:szCs w:val="20"/>
              </w:rPr>
            </w:pPr>
            <w:r w:rsidRPr="008347C3">
              <w:rPr>
                <w:szCs w:val="20"/>
              </w:rPr>
              <w:t>No (Female)</w:t>
            </w:r>
          </w:p>
        </w:tc>
        <w:tc>
          <w:tcPr>
            <w:tcW w:w="0" w:type="auto"/>
            <w:tcBorders>
              <w:top w:val="nil"/>
              <w:left w:val="nil"/>
              <w:bottom w:val="single" w:sz="4" w:space="0" w:color="auto"/>
              <w:right w:val="single" w:sz="4" w:space="0" w:color="auto"/>
            </w:tcBorders>
            <w:shd w:val="clear" w:color="auto" w:fill="DDD9C3" w:themeFill="background2" w:themeFillShade="E6"/>
            <w:noWrap/>
            <w:vAlign w:val="bottom"/>
            <w:hideMark/>
          </w:tcPr>
          <w:p w14:paraId="532BE1AA" w14:textId="77777777" w:rsidR="008347C3" w:rsidRPr="008347C3" w:rsidRDefault="008347C3" w:rsidP="008347C3">
            <w:pPr>
              <w:spacing w:after="0" w:line="240" w:lineRule="auto"/>
              <w:jc w:val="center"/>
              <w:rPr>
                <w:szCs w:val="20"/>
              </w:rPr>
            </w:pPr>
            <w:r w:rsidRPr="008347C3">
              <w:rPr>
                <w:szCs w:val="20"/>
              </w:rPr>
              <w:t>72 808</w:t>
            </w:r>
          </w:p>
        </w:tc>
        <w:tc>
          <w:tcPr>
            <w:tcW w:w="0" w:type="auto"/>
            <w:tcBorders>
              <w:top w:val="nil"/>
              <w:left w:val="nil"/>
              <w:bottom w:val="single" w:sz="4" w:space="0" w:color="auto"/>
              <w:right w:val="single" w:sz="4" w:space="0" w:color="auto"/>
            </w:tcBorders>
            <w:shd w:val="clear" w:color="auto" w:fill="DDD9C3" w:themeFill="background2" w:themeFillShade="E6"/>
            <w:noWrap/>
            <w:vAlign w:val="center"/>
            <w:hideMark/>
          </w:tcPr>
          <w:p w14:paraId="557D1C0F" w14:textId="77777777" w:rsidR="008347C3" w:rsidRPr="008347C3" w:rsidRDefault="008347C3" w:rsidP="008347C3">
            <w:pPr>
              <w:spacing w:after="0" w:line="240" w:lineRule="auto"/>
              <w:jc w:val="center"/>
              <w:rPr>
                <w:szCs w:val="20"/>
              </w:rPr>
            </w:pPr>
            <w:r w:rsidRPr="008347C3">
              <w:rPr>
                <w:szCs w:val="20"/>
              </w:rPr>
              <w:t>61,0%</w:t>
            </w:r>
          </w:p>
        </w:tc>
      </w:tr>
      <w:tr w:rsidR="008347C3" w:rsidRPr="008347C3" w14:paraId="3D69CEE5" w14:textId="77777777" w:rsidTr="008347C3">
        <w:trPr>
          <w:trHeight w:val="241"/>
        </w:trPr>
        <w:tc>
          <w:tcPr>
            <w:tcW w:w="0" w:type="auto"/>
            <w:vMerge/>
            <w:tcBorders>
              <w:top w:val="nil"/>
              <w:left w:val="single" w:sz="4" w:space="0" w:color="auto"/>
              <w:bottom w:val="single" w:sz="8" w:space="0" w:color="000000"/>
              <w:right w:val="single" w:sz="4" w:space="0" w:color="auto"/>
            </w:tcBorders>
            <w:vAlign w:val="center"/>
            <w:hideMark/>
          </w:tcPr>
          <w:p w14:paraId="1183D347" w14:textId="77777777" w:rsidR="008347C3" w:rsidRPr="008347C3" w:rsidRDefault="008347C3" w:rsidP="008347C3">
            <w:pPr>
              <w:spacing w:after="0" w:line="240" w:lineRule="auto"/>
              <w:rPr>
                <w:szCs w:val="20"/>
              </w:rPr>
            </w:pPr>
          </w:p>
        </w:tc>
        <w:tc>
          <w:tcPr>
            <w:tcW w:w="0" w:type="auto"/>
            <w:tcBorders>
              <w:top w:val="nil"/>
              <w:left w:val="nil"/>
              <w:bottom w:val="single" w:sz="8" w:space="0" w:color="auto"/>
              <w:right w:val="single" w:sz="4" w:space="0" w:color="auto"/>
            </w:tcBorders>
            <w:shd w:val="clear" w:color="auto" w:fill="DDD9C3" w:themeFill="background2" w:themeFillShade="E6"/>
            <w:noWrap/>
            <w:vAlign w:val="center"/>
            <w:hideMark/>
          </w:tcPr>
          <w:p w14:paraId="094D059E" w14:textId="77777777" w:rsidR="008347C3" w:rsidRPr="008347C3" w:rsidRDefault="008347C3" w:rsidP="008347C3">
            <w:pPr>
              <w:spacing w:after="0" w:line="240" w:lineRule="auto"/>
              <w:rPr>
                <w:szCs w:val="20"/>
              </w:rPr>
            </w:pPr>
            <w:r w:rsidRPr="008347C3">
              <w:rPr>
                <w:szCs w:val="20"/>
              </w:rPr>
              <w:t>Do not know (Female)</w:t>
            </w:r>
          </w:p>
        </w:tc>
        <w:tc>
          <w:tcPr>
            <w:tcW w:w="0" w:type="auto"/>
            <w:tcBorders>
              <w:top w:val="nil"/>
              <w:left w:val="nil"/>
              <w:bottom w:val="single" w:sz="8" w:space="0" w:color="auto"/>
              <w:right w:val="single" w:sz="4" w:space="0" w:color="auto"/>
            </w:tcBorders>
            <w:shd w:val="clear" w:color="auto" w:fill="DDD9C3" w:themeFill="background2" w:themeFillShade="E6"/>
            <w:noWrap/>
            <w:vAlign w:val="bottom"/>
            <w:hideMark/>
          </w:tcPr>
          <w:p w14:paraId="6ADD2210" w14:textId="77777777" w:rsidR="008347C3" w:rsidRPr="008347C3" w:rsidRDefault="008347C3" w:rsidP="008347C3">
            <w:pPr>
              <w:spacing w:after="0" w:line="240" w:lineRule="auto"/>
              <w:jc w:val="center"/>
              <w:rPr>
                <w:szCs w:val="20"/>
              </w:rPr>
            </w:pPr>
            <w:r w:rsidRPr="008347C3">
              <w:rPr>
                <w:szCs w:val="20"/>
              </w:rPr>
              <w:t>0</w:t>
            </w:r>
          </w:p>
        </w:tc>
        <w:tc>
          <w:tcPr>
            <w:tcW w:w="0" w:type="auto"/>
            <w:tcBorders>
              <w:top w:val="nil"/>
              <w:left w:val="nil"/>
              <w:bottom w:val="single" w:sz="8" w:space="0" w:color="auto"/>
              <w:right w:val="single" w:sz="4" w:space="0" w:color="auto"/>
            </w:tcBorders>
            <w:shd w:val="clear" w:color="auto" w:fill="DDD9C3" w:themeFill="background2" w:themeFillShade="E6"/>
            <w:noWrap/>
            <w:vAlign w:val="center"/>
            <w:hideMark/>
          </w:tcPr>
          <w:p w14:paraId="4070AB56" w14:textId="77777777" w:rsidR="008347C3" w:rsidRPr="008347C3" w:rsidRDefault="008347C3" w:rsidP="008347C3">
            <w:pPr>
              <w:spacing w:after="0" w:line="240" w:lineRule="auto"/>
              <w:jc w:val="center"/>
              <w:rPr>
                <w:szCs w:val="20"/>
              </w:rPr>
            </w:pPr>
            <w:r w:rsidRPr="008347C3">
              <w:rPr>
                <w:szCs w:val="20"/>
              </w:rPr>
              <w:t>0,0%</w:t>
            </w:r>
          </w:p>
        </w:tc>
      </w:tr>
      <w:tr w:rsidR="008347C3" w:rsidRPr="008347C3" w14:paraId="1AF437EB" w14:textId="77777777" w:rsidTr="008347C3">
        <w:trPr>
          <w:trHeight w:val="231"/>
        </w:trPr>
        <w:tc>
          <w:tcPr>
            <w:tcW w:w="0" w:type="auto"/>
            <w:vMerge w:val="restart"/>
            <w:tcBorders>
              <w:top w:val="nil"/>
              <w:left w:val="single" w:sz="4" w:space="0" w:color="auto"/>
              <w:bottom w:val="single" w:sz="4" w:space="0" w:color="000000"/>
              <w:right w:val="single" w:sz="4" w:space="0" w:color="auto"/>
            </w:tcBorders>
            <w:shd w:val="clear" w:color="auto" w:fill="DBE5F1" w:themeFill="accent1" w:themeFillTint="33"/>
            <w:vAlign w:val="center"/>
            <w:hideMark/>
          </w:tcPr>
          <w:p w14:paraId="1F32FA10" w14:textId="77777777" w:rsidR="008347C3" w:rsidRPr="008347C3" w:rsidRDefault="008347C3" w:rsidP="008347C3">
            <w:pPr>
              <w:spacing w:after="0" w:line="240" w:lineRule="auto"/>
              <w:rPr>
                <w:szCs w:val="20"/>
              </w:rPr>
            </w:pPr>
            <w:r w:rsidRPr="008347C3">
              <w:rPr>
                <w:szCs w:val="20"/>
              </w:rPr>
              <w:t>Current school attendance (by race)</w:t>
            </w: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01B00D9C" w14:textId="77777777" w:rsidR="008347C3" w:rsidRPr="008347C3" w:rsidRDefault="008347C3" w:rsidP="008347C3">
            <w:pPr>
              <w:spacing w:after="0" w:line="240" w:lineRule="auto"/>
              <w:rPr>
                <w:szCs w:val="20"/>
              </w:rPr>
            </w:pPr>
            <w:r w:rsidRPr="008347C3">
              <w:rPr>
                <w:szCs w:val="20"/>
              </w:rPr>
              <w:t>Yes (Black African)</w:t>
            </w: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5A06CC52" w14:textId="77777777" w:rsidR="008347C3" w:rsidRPr="008347C3" w:rsidRDefault="008347C3" w:rsidP="008347C3">
            <w:pPr>
              <w:spacing w:after="0" w:line="240" w:lineRule="auto"/>
              <w:jc w:val="center"/>
              <w:rPr>
                <w:szCs w:val="20"/>
              </w:rPr>
            </w:pPr>
            <w:r w:rsidRPr="008347C3">
              <w:rPr>
                <w:szCs w:val="20"/>
              </w:rPr>
              <w:t>92 722</w:t>
            </w:r>
          </w:p>
        </w:tc>
        <w:tc>
          <w:tcPr>
            <w:tcW w:w="0" w:type="auto"/>
            <w:tcBorders>
              <w:top w:val="nil"/>
              <w:left w:val="nil"/>
              <w:bottom w:val="single" w:sz="4" w:space="0" w:color="auto"/>
              <w:right w:val="single" w:sz="4" w:space="0" w:color="auto"/>
            </w:tcBorders>
            <w:shd w:val="clear" w:color="auto" w:fill="DBE5F1" w:themeFill="accent1" w:themeFillTint="33"/>
            <w:noWrap/>
            <w:vAlign w:val="center"/>
            <w:hideMark/>
          </w:tcPr>
          <w:p w14:paraId="51D95DE7" w14:textId="77777777" w:rsidR="008347C3" w:rsidRPr="008347C3" w:rsidRDefault="008347C3" w:rsidP="008347C3">
            <w:pPr>
              <w:spacing w:after="0" w:line="240" w:lineRule="auto"/>
              <w:jc w:val="center"/>
              <w:rPr>
                <w:szCs w:val="20"/>
              </w:rPr>
            </w:pPr>
            <w:r w:rsidRPr="008347C3">
              <w:rPr>
                <w:szCs w:val="20"/>
              </w:rPr>
              <w:t>42,7%</w:t>
            </w:r>
          </w:p>
        </w:tc>
      </w:tr>
      <w:tr w:rsidR="008347C3" w:rsidRPr="008347C3" w14:paraId="17C389A6" w14:textId="77777777" w:rsidTr="008347C3">
        <w:trPr>
          <w:trHeight w:val="231"/>
        </w:trPr>
        <w:tc>
          <w:tcPr>
            <w:tcW w:w="0" w:type="auto"/>
            <w:vMerge/>
            <w:tcBorders>
              <w:top w:val="nil"/>
              <w:left w:val="single" w:sz="4" w:space="0" w:color="auto"/>
              <w:bottom w:val="single" w:sz="4" w:space="0" w:color="000000"/>
              <w:right w:val="single" w:sz="4" w:space="0" w:color="auto"/>
            </w:tcBorders>
            <w:shd w:val="clear" w:color="auto" w:fill="DBE5F1" w:themeFill="accent1" w:themeFillTint="33"/>
            <w:vAlign w:val="center"/>
            <w:hideMark/>
          </w:tcPr>
          <w:p w14:paraId="2611F369"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19B3D019" w14:textId="77777777" w:rsidR="008347C3" w:rsidRPr="008347C3" w:rsidRDefault="008347C3" w:rsidP="008347C3">
            <w:pPr>
              <w:spacing w:after="0" w:line="240" w:lineRule="auto"/>
              <w:rPr>
                <w:szCs w:val="20"/>
              </w:rPr>
            </w:pPr>
            <w:r w:rsidRPr="008347C3">
              <w:rPr>
                <w:szCs w:val="20"/>
              </w:rPr>
              <w:t>No (Black African)</w:t>
            </w: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22431777" w14:textId="77777777" w:rsidR="008347C3" w:rsidRPr="008347C3" w:rsidRDefault="008347C3" w:rsidP="008347C3">
            <w:pPr>
              <w:spacing w:after="0" w:line="240" w:lineRule="auto"/>
              <w:jc w:val="center"/>
              <w:rPr>
                <w:szCs w:val="20"/>
              </w:rPr>
            </w:pPr>
            <w:r w:rsidRPr="008347C3">
              <w:rPr>
                <w:szCs w:val="20"/>
              </w:rPr>
              <w:t>124 439</w:t>
            </w:r>
          </w:p>
        </w:tc>
        <w:tc>
          <w:tcPr>
            <w:tcW w:w="0" w:type="auto"/>
            <w:tcBorders>
              <w:top w:val="nil"/>
              <w:left w:val="nil"/>
              <w:bottom w:val="single" w:sz="4" w:space="0" w:color="auto"/>
              <w:right w:val="single" w:sz="4" w:space="0" w:color="auto"/>
            </w:tcBorders>
            <w:shd w:val="clear" w:color="auto" w:fill="DBE5F1" w:themeFill="accent1" w:themeFillTint="33"/>
            <w:noWrap/>
            <w:vAlign w:val="center"/>
            <w:hideMark/>
          </w:tcPr>
          <w:p w14:paraId="02E7F58B" w14:textId="77777777" w:rsidR="008347C3" w:rsidRPr="008347C3" w:rsidRDefault="008347C3" w:rsidP="008347C3">
            <w:pPr>
              <w:spacing w:after="0" w:line="240" w:lineRule="auto"/>
              <w:jc w:val="center"/>
              <w:rPr>
                <w:szCs w:val="20"/>
              </w:rPr>
            </w:pPr>
            <w:r w:rsidRPr="008347C3">
              <w:rPr>
                <w:szCs w:val="20"/>
              </w:rPr>
              <w:t>57,3%</w:t>
            </w:r>
          </w:p>
        </w:tc>
      </w:tr>
      <w:tr w:rsidR="008347C3" w:rsidRPr="008347C3" w14:paraId="485327EE" w14:textId="77777777" w:rsidTr="008347C3">
        <w:trPr>
          <w:trHeight w:val="231"/>
        </w:trPr>
        <w:tc>
          <w:tcPr>
            <w:tcW w:w="0" w:type="auto"/>
            <w:vMerge/>
            <w:tcBorders>
              <w:top w:val="nil"/>
              <w:left w:val="single" w:sz="4" w:space="0" w:color="auto"/>
              <w:bottom w:val="single" w:sz="4" w:space="0" w:color="000000"/>
              <w:right w:val="single" w:sz="4" w:space="0" w:color="auto"/>
            </w:tcBorders>
            <w:shd w:val="clear" w:color="auto" w:fill="DBE5F1" w:themeFill="accent1" w:themeFillTint="33"/>
            <w:vAlign w:val="center"/>
            <w:hideMark/>
          </w:tcPr>
          <w:p w14:paraId="438468F8"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49BBBD65" w14:textId="77777777" w:rsidR="008347C3" w:rsidRPr="008347C3" w:rsidRDefault="008347C3" w:rsidP="008347C3">
            <w:pPr>
              <w:spacing w:after="0" w:line="240" w:lineRule="auto"/>
              <w:rPr>
                <w:szCs w:val="20"/>
              </w:rPr>
            </w:pPr>
            <w:r w:rsidRPr="008347C3">
              <w:rPr>
                <w:szCs w:val="20"/>
              </w:rPr>
              <w:t>Do not know (Black African)</w:t>
            </w: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425DBA96" w14:textId="77777777" w:rsidR="008347C3" w:rsidRPr="008347C3" w:rsidRDefault="008347C3" w:rsidP="008347C3">
            <w:pPr>
              <w:spacing w:after="0" w:line="240" w:lineRule="auto"/>
              <w:jc w:val="center"/>
              <w:rPr>
                <w:szCs w:val="20"/>
              </w:rPr>
            </w:pPr>
            <w:r w:rsidRPr="008347C3">
              <w:rPr>
                <w:szCs w:val="20"/>
              </w:rPr>
              <w:t>42</w:t>
            </w:r>
          </w:p>
        </w:tc>
        <w:tc>
          <w:tcPr>
            <w:tcW w:w="0" w:type="auto"/>
            <w:tcBorders>
              <w:top w:val="nil"/>
              <w:left w:val="nil"/>
              <w:bottom w:val="single" w:sz="4" w:space="0" w:color="auto"/>
              <w:right w:val="single" w:sz="4" w:space="0" w:color="auto"/>
            </w:tcBorders>
            <w:shd w:val="clear" w:color="auto" w:fill="DBE5F1" w:themeFill="accent1" w:themeFillTint="33"/>
            <w:noWrap/>
            <w:vAlign w:val="center"/>
            <w:hideMark/>
          </w:tcPr>
          <w:p w14:paraId="20CBDFBD" w14:textId="77777777" w:rsidR="008347C3" w:rsidRPr="008347C3" w:rsidRDefault="008347C3" w:rsidP="008347C3">
            <w:pPr>
              <w:spacing w:after="0" w:line="240" w:lineRule="auto"/>
              <w:jc w:val="center"/>
              <w:rPr>
                <w:szCs w:val="20"/>
              </w:rPr>
            </w:pPr>
            <w:r w:rsidRPr="008347C3">
              <w:rPr>
                <w:szCs w:val="20"/>
              </w:rPr>
              <w:t>0,0%</w:t>
            </w:r>
          </w:p>
        </w:tc>
      </w:tr>
      <w:tr w:rsidR="008347C3" w:rsidRPr="008347C3" w14:paraId="21EB68D4" w14:textId="77777777" w:rsidTr="008347C3">
        <w:trPr>
          <w:trHeight w:val="231"/>
        </w:trPr>
        <w:tc>
          <w:tcPr>
            <w:tcW w:w="0" w:type="auto"/>
            <w:vMerge/>
            <w:tcBorders>
              <w:top w:val="nil"/>
              <w:left w:val="single" w:sz="4" w:space="0" w:color="auto"/>
              <w:bottom w:val="single" w:sz="4" w:space="0" w:color="000000"/>
              <w:right w:val="single" w:sz="4" w:space="0" w:color="auto"/>
            </w:tcBorders>
            <w:shd w:val="clear" w:color="auto" w:fill="DBE5F1" w:themeFill="accent1" w:themeFillTint="33"/>
            <w:vAlign w:val="center"/>
            <w:hideMark/>
          </w:tcPr>
          <w:p w14:paraId="392FC03C"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77EE916A" w14:textId="77777777" w:rsidR="008347C3" w:rsidRPr="008347C3" w:rsidRDefault="008347C3" w:rsidP="008347C3">
            <w:pPr>
              <w:spacing w:after="0" w:line="240" w:lineRule="auto"/>
              <w:rPr>
                <w:szCs w:val="20"/>
              </w:rPr>
            </w:pPr>
            <w:r w:rsidRPr="008347C3">
              <w:rPr>
                <w:szCs w:val="20"/>
              </w:rPr>
              <w:t>Yes (Coloured)</w:t>
            </w: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164D84A0" w14:textId="77777777" w:rsidR="008347C3" w:rsidRPr="008347C3" w:rsidRDefault="008347C3" w:rsidP="008347C3">
            <w:pPr>
              <w:spacing w:after="0" w:line="240" w:lineRule="auto"/>
              <w:jc w:val="center"/>
              <w:rPr>
                <w:szCs w:val="20"/>
              </w:rPr>
            </w:pPr>
            <w:r w:rsidRPr="008347C3">
              <w:rPr>
                <w:szCs w:val="20"/>
              </w:rPr>
              <w:t>173</w:t>
            </w:r>
          </w:p>
        </w:tc>
        <w:tc>
          <w:tcPr>
            <w:tcW w:w="0" w:type="auto"/>
            <w:tcBorders>
              <w:top w:val="nil"/>
              <w:left w:val="nil"/>
              <w:bottom w:val="single" w:sz="4" w:space="0" w:color="auto"/>
              <w:right w:val="single" w:sz="4" w:space="0" w:color="auto"/>
            </w:tcBorders>
            <w:shd w:val="clear" w:color="auto" w:fill="DBE5F1" w:themeFill="accent1" w:themeFillTint="33"/>
            <w:noWrap/>
            <w:vAlign w:val="center"/>
            <w:hideMark/>
          </w:tcPr>
          <w:p w14:paraId="36E59E01" w14:textId="77777777" w:rsidR="008347C3" w:rsidRPr="008347C3" w:rsidRDefault="008347C3" w:rsidP="008347C3">
            <w:pPr>
              <w:spacing w:after="0" w:line="240" w:lineRule="auto"/>
              <w:jc w:val="center"/>
              <w:rPr>
                <w:szCs w:val="20"/>
              </w:rPr>
            </w:pPr>
            <w:r w:rsidRPr="008347C3">
              <w:rPr>
                <w:szCs w:val="20"/>
              </w:rPr>
              <w:t>18,8%</w:t>
            </w:r>
          </w:p>
        </w:tc>
      </w:tr>
      <w:tr w:rsidR="008347C3" w:rsidRPr="008347C3" w14:paraId="34AAE8DF" w14:textId="77777777" w:rsidTr="008347C3">
        <w:trPr>
          <w:trHeight w:val="231"/>
        </w:trPr>
        <w:tc>
          <w:tcPr>
            <w:tcW w:w="0" w:type="auto"/>
            <w:vMerge/>
            <w:tcBorders>
              <w:top w:val="nil"/>
              <w:left w:val="single" w:sz="4" w:space="0" w:color="auto"/>
              <w:bottom w:val="single" w:sz="4" w:space="0" w:color="000000"/>
              <w:right w:val="single" w:sz="4" w:space="0" w:color="auto"/>
            </w:tcBorders>
            <w:shd w:val="clear" w:color="auto" w:fill="DBE5F1" w:themeFill="accent1" w:themeFillTint="33"/>
            <w:vAlign w:val="center"/>
            <w:hideMark/>
          </w:tcPr>
          <w:p w14:paraId="5F214609"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1A88A9E1" w14:textId="77777777" w:rsidR="008347C3" w:rsidRPr="008347C3" w:rsidRDefault="008347C3" w:rsidP="008347C3">
            <w:pPr>
              <w:spacing w:after="0" w:line="240" w:lineRule="auto"/>
              <w:rPr>
                <w:szCs w:val="20"/>
              </w:rPr>
            </w:pPr>
            <w:r w:rsidRPr="008347C3">
              <w:rPr>
                <w:szCs w:val="20"/>
              </w:rPr>
              <w:t>No (Coloured)</w:t>
            </w: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07E9D1B7" w14:textId="77777777" w:rsidR="008347C3" w:rsidRPr="008347C3" w:rsidRDefault="008347C3" w:rsidP="008347C3">
            <w:pPr>
              <w:spacing w:after="0" w:line="240" w:lineRule="auto"/>
              <w:jc w:val="center"/>
              <w:rPr>
                <w:szCs w:val="20"/>
              </w:rPr>
            </w:pPr>
            <w:r w:rsidRPr="008347C3">
              <w:rPr>
                <w:szCs w:val="20"/>
              </w:rPr>
              <w:t>748</w:t>
            </w:r>
          </w:p>
        </w:tc>
        <w:tc>
          <w:tcPr>
            <w:tcW w:w="0" w:type="auto"/>
            <w:tcBorders>
              <w:top w:val="nil"/>
              <w:left w:val="nil"/>
              <w:bottom w:val="single" w:sz="4" w:space="0" w:color="auto"/>
              <w:right w:val="single" w:sz="4" w:space="0" w:color="auto"/>
            </w:tcBorders>
            <w:shd w:val="clear" w:color="auto" w:fill="DBE5F1" w:themeFill="accent1" w:themeFillTint="33"/>
            <w:noWrap/>
            <w:vAlign w:val="center"/>
            <w:hideMark/>
          </w:tcPr>
          <w:p w14:paraId="301F1D11" w14:textId="77777777" w:rsidR="008347C3" w:rsidRPr="008347C3" w:rsidRDefault="008347C3" w:rsidP="008347C3">
            <w:pPr>
              <w:spacing w:after="0" w:line="240" w:lineRule="auto"/>
              <w:jc w:val="center"/>
              <w:rPr>
                <w:szCs w:val="20"/>
              </w:rPr>
            </w:pPr>
            <w:r w:rsidRPr="008347C3">
              <w:rPr>
                <w:szCs w:val="20"/>
              </w:rPr>
              <w:t>81,2%</w:t>
            </w:r>
          </w:p>
        </w:tc>
      </w:tr>
      <w:tr w:rsidR="008347C3" w:rsidRPr="008347C3" w14:paraId="6F1E7D1E" w14:textId="77777777" w:rsidTr="008347C3">
        <w:trPr>
          <w:trHeight w:val="231"/>
        </w:trPr>
        <w:tc>
          <w:tcPr>
            <w:tcW w:w="0" w:type="auto"/>
            <w:vMerge/>
            <w:tcBorders>
              <w:top w:val="nil"/>
              <w:left w:val="single" w:sz="4" w:space="0" w:color="auto"/>
              <w:bottom w:val="single" w:sz="4" w:space="0" w:color="000000"/>
              <w:right w:val="single" w:sz="4" w:space="0" w:color="auto"/>
            </w:tcBorders>
            <w:shd w:val="clear" w:color="auto" w:fill="DBE5F1" w:themeFill="accent1" w:themeFillTint="33"/>
            <w:vAlign w:val="center"/>
            <w:hideMark/>
          </w:tcPr>
          <w:p w14:paraId="1BB488BB"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77EE3FFA" w14:textId="77777777" w:rsidR="008347C3" w:rsidRPr="008347C3" w:rsidRDefault="008347C3" w:rsidP="008347C3">
            <w:pPr>
              <w:spacing w:after="0" w:line="240" w:lineRule="auto"/>
              <w:rPr>
                <w:szCs w:val="20"/>
              </w:rPr>
            </w:pPr>
            <w:r w:rsidRPr="008347C3">
              <w:rPr>
                <w:szCs w:val="20"/>
              </w:rPr>
              <w:t>Do not know (Coloured)</w:t>
            </w: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0A19560E" w14:textId="77777777" w:rsidR="008347C3" w:rsidRPr="008347C3" w:rsidRDefault="008347C3" w:rsidP="008347C3">
            <w:pPr>
              <w:spacing w:after="0" w:line="240" w:lineRule="auto"/>
              <w:jc w:val="center"/>
              <w:rPr>
                <w:szCs w:val="20"/>
              </w:rPr>
            </w:pPr>
            <w:r w:rsidRPr="008347C3">
              <w:rPr>
                <w:szCs w:val="20"/>
              </w:rPr>
              <w:t>0</w:t>
            </w:r>
          </w:p>
        </w:tc>
        <w:tc>
          <w:tcPr>
            <w:tcW w:w="0" w:type="auto"/>
            <w:tcBorders>
              <w:top w:val="nil"/>
              <w:left w:val="nil"/>
              <w:bottom w:val="single" w:sz="4" w:space="0" w:color="auto"/>
              <w:right w:val="single" w:sz="4" w:space="0" w:color="auto"/>
            </w:tcBorders>
            <w:shd w:val="clear" w:color="auto" w:fill="DBE5F1" w:themeFill="accent1" w:themeFillTint="33"/>
            <w:noWrap/>
            <w:vAlign w:val="center"/>
            <w:hideMark/>
          </w:tcPr>
          <w:p w14:paraId="090710DC" w14:textId="77777777" w:rsidR="008347C3" w:rsidRPr="008347C3" w:rsidRDefault="008347C3" w:rsidP="008347C3">
            <w:pPr>
              <w:spacing w:after="0" w:line="240" w:lineRule="auto"/>
              <w:jc w:val="center"/>
              <w:rPr>
                <w:szCs w:val="20"/>
              </w:rPr>
            </w:pPr>
            <w:r w:rsidRPr="008347C3">
              <w:rPr>
                <w:szCs w:val="20"/>
              </w:rPr>
              <w:t>0,0%</w:t>
            </w:r>
          </w:p>
        </w:tc>
      </w:tr>
      <w:tr w:rsidR="008347C3" w:rsidRPr="008347C3" w14:paraId="5749D760" w14:textId="77777777" w:rsidTr="008347C3">
        <w:trPr>
          <w:trHeight w:val="231"/>
        </w:trPr>
        <w:tc>
          <w:tcPr>
            <w:tcW w:w="0" w:type="auto"/>
            <w:vMerge/>
            <w:tcBorders>
              <w:top w:val="nil"/>
              <w:left w:val="single" w:sz="4" w:space="0" w:color="auto"/>
              <w:bottom w:val="single" w:sz="4" w:space="0" w:color="000000"/>
              <w:right w:val="single" w:sz="4" w:space="0" w:color="auto"/>
            </w:tcBorders>
            <w:shd w:val="clear" w:color="auto" w:fill="DBE5F1" w:themeFill="accent1" w:themeFillTint="33"/>
            <w:vAlign w:val="center"/>
            <w:hideMark/>
          </w:tcPr>
          <w:p w14:paraId="7FB2E6C0"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0D4B4186" w14:textId="77777777" w:rsidR="008347C3" w:rsidRPr="008347C3" w:rsidRDefault="008347C3" w:rsidP="008347C3">
            <w:pPr>
              <w:spacing w:after="0" w:line="240" w:lineRule="auto"/>
              <w:rPr>
                <w:szCs w:val="20"/>
              </w:rPr>
            </w:pPr>
            <w:r w:rsidRPr="008347C3">
              <w:rPr>
                <w:szCs w:val="20"/>
              </w:rPr>
              <w:t>Yes (Indian/Asian)</w:t>
            </w: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1B1D6934" w14:textId="77777777" w:rsidR="008347C3" w:rsidRPr="008347C3" w:rsidRDefault="008347C3" w:rsidP="008347C3">
            <w:pPr>
              <w:spacing w:after="0" w:line="240" w:lineRule="auto"/>
              <w:jc w:val="center"/>
              <w:rPr>
                <w:szCs w:val="20"/>
              </w:rPr>
            </w:pPr>
            <w:r w:rsidRPr="008347C3">
              <w:rPr>
                <w:szCs w:val="20"/>
              </w:rPr>
              <w:t>633</w:t>
            </w:r>
          </w:p>
        </w:tc>
        <w:tc>
          <w:tcPr>
            <w:tcW w:w="0" w:type="auto"/>
            <w:tcBorders>
              <w:top w:val="nil"/>
              <w:left w:val="nil"/>
              <w:bottom w:val="single" w:sz="4" w:space="0" w:color="auto"/>
              <w:right w:val="single" w:sz="4" w:space="0" w:color="auto"/>
            </w:tcBorders>
            <w:shd w:val="clear" w:color="auto" w:fill="DBE5F1" w:themeFill="accent1" w:themeFillTint="33"/>
            <w:noWrap/>
            <w:vAlign w:val="center"/>
            <w:hideMark/>
          </w:tcPr>
          <w:p w14:paraId="5259BA38" w14:textId="77777777" w:rsidR="008347C3" w:rsidRPr="008347C3" w:rsidRDefault="008347C3" w:rsidP="008347C3">
            <w:pPr>
              <w:spacing w:after="0" w:line="240" w:lineRule="auto"/>
              <w:jc w:val="center"/>
              <w:rPr>
                <w:szCs w:val="20"/>
              </w:rPr>
            </w:pPr>
            <w:r w:rsidRPr="008347C3">
              <w:rPr>
                <w:szCs w:val="20"/>
              </w:rPr>
              <w:t>29,5%</w:t>
            </w:r>
          </w:p>
        </w:tc>
      </w:tr>
      <w:tr w:rsidR="008347C3" w:rsidRPr="008347C3" w14:paraId="76DF4B88" w14:textId="77777777" w:rsidTr="008347C3">
        <w:trPr>
          <w:trHeight w:val="231"/>
        </w:trPr>
        <w:tc>
          <w:tcPr>
            <w:tcW w:w="0" w:type="auto"/>
            <w:vMerge/>
            <w:tcBorders>
              <w:top w:val="nil"/>
              <w:left w:val="single" w:sz="4" w:space="0" w:color="auto"/>
              <w:bottom w:val="single" w:sz="4" w:space="0" w:color="000000"/>
              <w:right w:val="single" w:sz="4" w:space="0" w:color="auto"/>
            </w:tcBorders>
            <w:shd w:val="clear" w:color="auto" w:fill="DBE5F1" w:themeFill="accent1" w:themeFillTint="33"/>
            <w:vAlign w:val="center"/>
            <w:hideMark/>
          </w:tcPr>
          <w:p w14:paraId="46D86055"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75F46A47" w14:textId="77777777" w:rsidR="008347C3" w:rsidRPr="008347C3" w:rsidRDefault="008347C3" w:rsidP="008347C3">
            <w:pPr>
              <w:spacing w:after="0" w:line="240" w:lineRule="auto"/>
              <w:rPr>
                <w:szCs w:val="20"/>
              </w:rPr>
            </w:pPr>
            <w:r w:rsidRPr="008347C3">
              <w:rPr>
                <w:szCs w:val="20"/>
              </w:rPr>
              <w:t>No (Indian/Asian)</w:t>
            </w: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3C9E17FC" w14:textId="77777777" w:rsidR="008347C3" w:rsidRPr="008347C3" w:rsidRDefault="008347C3" w:rsidP="008347C3">
            <w:pPr>
              <w:spacing w:after="0" w:line="240" w:lineRule="auto"/>
              <w:jc w:val="center"/>
              <w:rPr>
                <w:szCs w:val="20"/>
              </w:rPr>
            </w:pPr>
            <w:r w:rsidRPr="008347C3">
              <w:rPr>
                <w:szCs w:val="20"/>
              </w:rPr>
              <w:t>1 516</w:t>
            </w:r>
          </w:p>
        </w:tc>
        <w:tc>
          <w:tcPr>
            <w:tcW w:w="0" w:type="auto"/>
            <w:tcBorders>
              <w:top w:val="nil"/>
              <w:left w:val="nil"/>
              <w:bottom w:val="single" w:sz="4" w:space="0" w:color="auto"/>
              <w:right w:val="single" w:sz="4" w:space="0" w:color="auto"/>
            </w:tcBorders>
            <w:shd w:val="clear" w:color="auto" w:fill="DBE5F1" w:themeFill="accent1" w:themeFillTint="33"/>
            <w:noWrap/>
            <w:vAlign w:val="center"/>
            <w:hideMark/>
          </w:tcPr>
          <w:p w14:paraId="180AF17F" w14:textId="77777777" w:rsidR="008347C3" w:rsidRPr="008347C3" w:rsidRDefault="008347C3" w:rsidP="008347C3">
            <w:pPr>
              <w:spacing w:after="0" w:line="240" w:lineRule="auto"/>
              <w:jc w:val="center"/>
              <w:rPr>
                <w:szCs w:val="20"/>
              </w:rPr>
            </w:pPr>
            <w:r w:rsidRPr="008347C3">
              <w:rPr>
                <w:szCs w:val="20"/>
              </w:rPr>
              <w:t>70,5%</w:t>
            </w:r>
          </w:p>
        </w:tc>
      </w:tr>
      <w:tr w:rsidR="008347C3" w:rsidRPr="008347C3" w14:paraId="144265CD" w14:textId="77777777" w:rsidTr="008347C3">
        <w:trPr>
          <w:trHeight w:val="231"/>
        </w:trPr>
        <w:tc>
          <w:tcPr>
            <w:tcW w:w="0" w:type="auto"/>
            <w:vMerge/>
            <w:tcBorders>
              <w:top w:val="nil"/>
              <w:left w:val="single" w:sz="4" w:space="0" w:color="auto"/>
              <w:bottom w:val="single" w:sz="4" w:space="0" w:color="000000"/>
              <w:right w:val="single" w:sz="4" w:space="0" w:color="auto"/>
            </w:tcBorders>
            <w:shd w:val="clear" w:color="auto" w:fill="DBE5F1" w:themeFill="accent1" w:themeFillTint="33"/>
            <w:vAlign w:val="center"/>
            <w:hideMark/>
          </w:tcPr>
          <w:p w14:paraId="6F619BA9"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0E9D9AF5" w14:textId="77777777" w:rsidR="008347C3" w:rsidRPr="008347C3" w:rsidRDefault="008347C3" w:rsidP="008347C3">
            <w:pPr>
              <w:spacing w:after="0" w:line="240" w:lineRule="auto"/>
              <w:rPr>
                <w:szCs w:val="20"/>
              </w:rPr>
            </w:pPr>
            <w:r w:rsidRPr="008347C3">
              <w:rPr>
                <w:szCs w:val="20"/>
              </w:rPr>
              <w:t>Do not know (Indian/Asian)</w:t>
            </w: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4F4E6685" w14:textId="77777777" w:rsidR="008347C3" w:rsidRPr="008347C3" w:rsidRDefault="008347C3" w:rsidP="008347C3">
            <w:pPr>
              <w:spacing w:after="0" w:line="240" w:lineRule="auto"/>
              <w:jc w:val="center"/>
              <w:rPr>
                <w:szCs w:val="20"/>
              </w:rPr>
            </w:pPr>
            <w:r w:rsidRPr="008347C3">
              <w:rPr>
                <w:szCs w:val="20"/>
              </w:rPr>
              <w:t>0</w:t>
            </w:r>
          </w:p>
        </w:tc>
        <w:tc>
          <w:tcPr>
            <w:tcW w:w="0" w:type="auto"/>
            <w:tcBorders>
              <w:top w:val="nil"/>
              <w:left w:val="nil"/>
              <w:bottom w:val="single" w:sz="4" w:space="0" w:color="auto"/>
              <w:right w:val="single" w:sz="4" w:space="0" w:color="auto"/>
            </w:tcBorders>
            <w:shd w:val="clear" w:color="auto" w:fill="DBE5F1" w:themeFill="accent1" w:themeFillTint="33"/>
            <w:noWrap/>
            <w:vAlign w:val="center"/>
            <w:hideMark/>
          </w:tcPr>
          <w:p w14:paraId="0DBFDB07" w14:textId="77777777" w:rsidR="008347C3" w:rsidRPr="008347C3" w:rsidRDefault="008347C3" w:rsidP="008347C3">
            <w:pPr>
              <w:spacing w:after="0" w:line="240" w:lineRule="auto"/>
              <w:jc w:val="center"/>
              <w:rPr>
                <w:szCs w:val="20"/>
              </w:rPr>
            </w:pPr>
            <w:r w:rsidRPr="008347C3">
              <w:rPr>
                <w:szCs w:val="20"/>
              </w:rPr>
              <w:t>0,0%</w:t>
            </w:r>
          </w:p>
        </w:tc>
      </w:tr>
      <w:tr w:rsidR="008347C3" w:rsidRPr="008347C3" w14:paraId="449C3C31" w14:textId="77777777" w:rsidTr="008347C3">
        <w:trPr>
          <w:trHeight w:val="231"/>
        </w:trPr>
        <w:tc>
          <w:tcPr>
            <w:tcW w:w="0" w:type="auto"/>
            <w:vMerge/>
            <w:tcBorders>
              <w:top w:val="nil"/>
              <w:left w:val="single" w:sz="4" w:space="0" w:color="auto"/>
              <w:bottom w:val="single" w:sz="4" w:space="0" w:color="000000"/>
              <w:right w:val="single" w:sz="4" w:space="0" w:color="auto"/>
            </w:tcBorders>
            <w:shd w:val="clear" w:color="auto" w:fill="DBE5F1" w:themeFill="accent1" w:themeFillTint="33"/>
            <w:vAlign w:val="center"/>
            <w:hideMark/>
          </w:tcPr>
          <w:p w14:paraId="52481D2C"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33940790" w14:textId="77777777" w:rsidR="008347C3" w:rsidRPr="008347C3" w:rsidRDefault="008347C3" w:rsidP="008347C3">
            <w:pPr>
              <w:spacing w:after="0" w:line="240" w:lineRule="auto"/>
              <w:rPr>
                <w:szCs w:val="20"/>
              </w:rPr>
            </w:pPr>
            <w:r w:rsidRPr="008347C3">
              <w:rPr>
                <w:szCs w:val="20"/>
              </w:rPr>
              <w:t>Yes (White)</w:t>
            </w: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50F2EC57" w14:textId="77777777" w:rsidR="008347C3" w:rsidRPr="008347C3" w:rsidRDefault="008347C3" w:rsidP="008347C3">
            <w:pPr>
              <w:spacing w:after="0" w:line="240" w:lineRule="auto"/>
              <w:jc w:val="center"/>
              <w:rPr>
                <w:szCs w:val="20"/>
              </w:rPr>
            </w:pPr>
            <w:r w:rsidRPr="008347C3">
              <w:rPr>
                <w:szCs w:val="20"/>
              </w:rPr>
              <w:t>329</w:t>
            </w:r>
          </w:p>
        </w:tc>
        <w:tc>
          <w:tcPr>
            <w:tcW w:w="0" w:type="auto"/>
            <w:tcBorders>
              <w:top w:val="nil"/>
              <w:left w:val="nil"/>
              <w:bottom w:val="single" w:sz="4" w:space="0" w:color="auto"/>
              <w:right w:val="single" w:sz="4" w:space="0" w:color="auto"/>
            </w:tcBorders>
            <w:shd w:val="clear" w:color="auto" w:fill="DBE5F1" w:themeFill="accent1" w:themeFillTint="33"/>
            <w:noWrap/>
            <w:vAlign w:val="center"/>
            <w:hideMark/>
          </w:tcPr>
          <w:p w14:paraId="126194F5" w14:textId="77777777" w:rsidR="008347C3" w:rsidRPr="008347C3" w:rsidRDefault="008347C3" w:rsidP="008347C3">
            <w:pPr>
              <w:spacing w:after="0" w:line="240" w:lineRule="auto"/>
              <w:jc w:val="center"/>
              <w:rPr>
                <w:szCs w:val="20"/>
              </w:rPr>
            </w:pPr>
            <w:r w:rsidRPr="008347C3">
              <w:rPr>
                <w:szCs w:val="20"/>
              </w:rPr>
              <w:t>11,5%</w:t>
            </w:r>
          </w:p>
        </w:tc>
      </w:tr>
      <w:tr w:rsidR="008347C3" w:rsidRPr="008347C3" w14:paraId="27CC04A0" w14:textId="77777777" w:rsidTr="008347C3">
        <w:trPr>
          <w:trHeight w:val="231"/>
        </w:trPr>
        <w:tc>
          <w:tcPr>
            <w:tcW w:w="0" w:type="auto"/>
            <w:vMerge/>
            <w:tcBorders>
              <w:top w:val="nil"/>
              <w:left w:val="single" w:sz="4" w:space="0" w:color="auto"/>
              <w:bottom w:val="single" w:sz="4" w:space="0" w:color="000000"/>
              <w:right w:val="single" w:sz="4" w:space="0" w:color="auto"/>
            </w:tcBorders>
            <w:shd w:val="clear" w:color="auto" w:fill="DBE5F1" w:themeFill="accent1" w:themeFillTint="33"/>
            <w:vAlign w:val="center"/>
            <w:hideMark/>
          </w:tcPr>
          <w:p w14:paraId="38BDFEB1"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6BE08C70" w14:textId="77777777" w:rsidR="008347C3" w:rsidRPr="008347C3" w:rsidRDefault="008347C3" w:rsidP="008347C3">
            <w:pPr>
              <w:spacing w:after="0" w:line="240" w:lineRule="auto"/>
              <w:rPr>
                <w:szCs w:val="20"/>
              </w:rPr>
            </w:pPr>
            <w:r w:rsidRPr="008347C3">
              <w:rPr>
                <w:szCs w:val="20"/>
              </w:rPr>
              <w:t>No (White)</w:t>
            </w: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2078911C" w14:textId="77777777" w:rsidR="008347C3" w:rsidRPr="008347C3" w:rsidRDefault="008347C3" w:rsidP="008347C3">
            <w:pPr>
              <w:spacing w:after="0" w:line="240" w:lineRule="auto"/>
              <w:jc w:val="center"/>
              <w:rPr>
                <w:szCs w:val="20"/>
              </w:rPr>
            </w:pPr>
            <w:r w:rsidRPr="008347C3">
              <w:rPr>
                <w:szCs w:val="20"/>
              </w:rPr>
              <w:t>2 539</w:t>
            </w:r>
          </w:p>
        </w:tc>
        <w:tc>
          <w:tcPr>
            <w:tcW w:w="0" w:type="auto"/>
            <w:tcBorders>
              <w:top w:val="nil"/>
              <w:left w:val="nil"/>
              <w:bottom w:val="single" w:sz="4" w:space="0" w:color="auto"/>
              <w:right w:val="single" w:sz="4" w:space="0" w:color="auto"/>
            </w:tcBorders>
            <w:shd w:val="clear" w:color="auto" w:fill="DBE5F1" w:themeFill="accent1" w:themeFillTint="33"/>
            <w:noWrap/>
            <w:vAlign w:val="center"/>
            <w:hideMark/>
          </w:tcPr>
          <w:p w14:paraId="4C63B2B7" w14:textId="77777777" w:rsidR="008347C3" w:rsidRPr="008347C3" w:rsidRDefault="008347C3" w:rsidP="008347C3">
            <w:pPr>
              <w:spacing w:after="0" w:line="240" w:lineRule="auto"/>
              <w:jc w:val="center"/>
              <w:rPr>
                <w:szCs w:val="20"/>
              </w:rPr>
            </w:pPr>
            <w:r w:rsidRPr="008347C3">
              <w:rPr>
                <w:szCs w:val="20"/>
              </w:rPr>
              <w:t>88,5%</w:t>
            </w:r>
          </w:p>
        </w:tc>
      </w:tr>
      <w:tr w:rsidR="008347C3" w:rsidRPr="008347C3" w14:paraId="47A27C90" w14:textId="77777777" w:rsidTr="008347C3">
        <w:trPr>
          <w:trHeight w:val="231"/>
        </w:trPr>
        <w:tc>
          <w:tcPr>
            <w:tcW w:w="0" w:type="auto"/>
            <w:vMerge/>
            <w:tcBorders>
              <w:top w:val="nil"/>
              <w:left w:val="single" w:sz="4" w:space="0" w:color="auto"/>
              <w:bottom w:val="single" w:sz="4" w:space="0" w:color="000000"/>
              <w:right w:val="single" w:sz="4" w:space="0" w:color="auto"/>
            </w:tcBorders>
            <w:shd w:val="clear" w:color="auto" w:fill="DBE5F1" w:themeFill="accent1" w:themeFillTint="33"/>
            <w:vAlign w:val="center"/>
            <w:hideMark/>
          </w:tcPr>
          <w:p w14:paraId="58DA486A"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4918DFA0" w14:textId="77777777" w:rsidR="008347C3" w:rsidRPr="008347C3" w:rsidRDefault="008347C3" w:rsidP="008347C3">
            <w:pPr>
              <w:spacing w:after="0" w:line="240" w:lineRule="auto"/>
              <w:rPr>
                <w:szCs w:val="20"/>
              </w:rPr>
            </w:pPr>
            <w:r w:rsidRPr="008347C3">
              <w:rPr>
                <w:szCs w:val="20"/>
              </w:rPr>
              <w:t>Do not know (White)</w:t>
            </w: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5A47E426" w14:textId="77777777" w:rsidR="008347C3" w:rsidRPr="008347C3" w:rsidRDefault="008347C3" w:rsidP="008347C3">
            <w:pPr>
              <w:spacing w:after="0" w:line="240" w:lineRule="auto"/>
              <w:jc w:val="center"/>
              <w:rPr>
                <w:szCs w:val="20"/>
              </w:rPr>
            </w:pPr>
            <w:r w:rsidRPr="008347C3">
              <w:rPr>
                <w:szCs w:val="20"/>
              </w:rPr>
              <w:t>0</w:t>
            </w:r>
          </w:p>
        </w:tc>
        <w:tc>
          <w:tcPr>
            <w:tcW w:w="0" w:type="auto"/>
            <w:tcBorders>
              <w:top w:val="nil"/>
              <w:left w:val="nil"/>
              <w:bottom w:val="single" w:sz="4" w:space="0" w:color="auto"/>
              <w:right w:val="single" w:sz="4" w:space="0" w:color="auto"/>
            </w:tcBorders>
            <w:shd w:val="clear" w:color="auto" w:fill="DBE5F1" w:themeFill="accent1" w:themeFillTint="33"/>
            <w:noWrap/>
            <w:vAlign w:val="center"/>
            <w:hideMark/>
          </w:tcPr>
          <w:p w14:paraId="13087CA5" w14:textId="77777777" w:rsidR="008347C3" w:rsidRPr="008347C3" w:rsidRDefault="008347C3" w:rsidP="008347C3">
            <w:pPr>
              <w:spacing w:after="0" w:line="240" w:lineRule="auto"/>
              <w:jc w:val="center"/>
              <w:rPr>
                <w:szCs w:val="20"/>
              </w:rPr>
            </w:pPr>
            <w:r w:rsidRPr="008347C3">
              <w:rPr>
                <w:szCs w:val="20"/>
              </w:rPr>
              <w:t>0,0%</w:t>
            </w:r>
          </w:p>
        </w:tc>
      </w:tr>
      <w:tr w:rsidR="008347C3" w:rsidRPr="008347C3" w14:paraId="1271EB23" w14:textId="77777777" w:rsidTr="008347C3">
        <w:trPr>
          <w:trHeight w:val="231"/>
        </w:trPr>
        <w:tc>
          <w:tcPr>
            <w:tcW w:w="0" w:type="auto"/>
            <w:vMerge w:val="restart"/>
            <w:tcBorders>
              <w:top w:val="nil"/>
              <w:left w:val="single" w:sz="4" w:space="0" w:color="auto"/>
              <w:bottom w:val="single" w:sz="8" w:space="0" w:color="000000"/>
              <w:right w:val="single" w:sz="4" w:space="0" w:color="auto"/>
            </w:tcBorders>
            <w:shd w:val="clear" w:color="auto" w:fill="F2DBDB" w:themeFill="accent2" w:themeFillTint="33"/>
            <w:vAlign w:val="center"/>
            <w:hideMark/>
          </w:tcPr>
          <w:p w14:paraId="3F918A1D" w14:textId="77777777" w:rsidR="008347C3" w:rsidRPr="008347C3" w:rsidRDefault="008347C3" w:rsidP="008347C3">
            <w:pPr>
              <w:spacing w:after="0" w:line="240" w:lineRule="auto"/>
              <w:rPr>
                <w:szCs w:val="20"/>
              </w:rPr>
            </w:pPr>
            <w:r w:rsidRPr="008347C3">
              <w:rPr>
                <w:szCs w:val="20"/>
              </w:rPr>
              <w:t>Highest level of education</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4D6C404B" w14:textId="77777777" w:rsidR="008347C3" w:rsidRPr="008347C3" w:rsidRDefault="008347C3" w:rsidP="008347C3">
            <w:pPr>
              <w:spacing w:after="0" w:line="240" w:lineRule="auto"/>
              <w:rPr>
                <w:szCs w:val="20"/>
              </w:rPr>
            </w:pPr>
            <w:r w:rsidRPr="008347C3">
              <w:rPr>
                <w:szCs w:val="20"/>
              </w:rPr>
              <w:t>No schooling</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4CEB5B35" w14:textId="77777777" w:rsidR="008347C3" w:rsidRPr="008347C3" w:rsidRDefault="008347C3" w:rsidP="008347C3">
            <w:pPr>
              <w:spacing w:after="0" w:line="240" w:lineRule="auto"/>
              <w:jc w:val="center"/>
              <w:rPr>
                <w:szCs w:val="20"/>
              </w:rPr>
            </w:pPr>
            <w:r w:rsidRPr="008347C3">
              <w:rPr>
                <w:szCs w:val="20"/>
              </w:rPr>
              <w:t>54 316</w:t>
            </w:r>
          </w:p>
        </w:tc>
        <w:tc>
          <w:tcPr>
            <w:tcW w:w="0" w:type="auto"/>
            <w:tcBorders>
              <w:top w:val="nil"/>
              <w:left w:val="nil"/>
              <w:bottom w:val="single" w:sz="4" w:space="0" w:color="auto"/>
              <w:right w:val="single" w:sz="4" w:space="0" w:color="auto"/>
            </w:tcBorders>
            <w:shd w:val="clear" w:color="auto" w:fill="F2DBDB" w:themeFill="accent2" w:themeFillTint="33"/>
            <w:noWrap/>
            <w:vAlign w:val="center"/>
            <w:hideMark/>
          </w:tcPr>
          <w:p w14:paraId="7C16D18C" w14:textId="77777777" w:rsidR="008347C3" w:rsidRPr="008347C3" w:rsidRDefault="008347C3" w:rsidP="008347C3">
            <w:pPr>
              <w:spacing w:after="0" w:line="240" w:lineRule="auto"/>
              <w:jc w:val="center"/>
              <w:rPr>
                <w:szCs w:val="20"/>
              </w:rPr>
            </w:pPr>
            <w:r w:rsidRPr="008347C3">
              <w:rPr>
                <w:szCs w:val="20"/>
              </w:rPr>
              <w:t>24,4%</w:t>
            </w:r>
          </w:p>
        </w:tc>
      </w:tr>
      <w:tr w:rsidR="008347C3" w:rsidRPr="008347C3" w14:paraId="7A7C42FA" w14:textId="77777777" w:rsidTr="008347C3">
        <w:trPr>
          <w:trHeight w:val="231"/>
        </w:trPr>
        <w:tc>
          <w:tcPr>
            <w:tcW w:w="0" w:type="auto"/>
            <w:vMerge/>
            <w:tcBorders>
              <w:top w:val="nil"/>
              <w:left w:val="single" w:sz="4" w:space="0" w:color="auto"/>
              <w:bottom w:val="single" w:sz="8" w:space="0" w:color="000000"/>
              <w:right w:val="single" w:sz="4" w:space="0" w:color="auto"/>
            </w:tcBorders>
            <w:shd w:val="clear" w:color="auto" w:fill="F2DBDB" w:themeFill="accent2" w:themeFillTint="33"/>
            <w:vAlign w:val="center"/>
            <w:hideMark/>
          </w:tcPr>
          <w:p w14:paraId="37565A2F"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06CE86F5" w14:textId="77777777" w:rsidR="008347C3" w:rsidRPr="008347C3" w:rsidRDefault="008347C3" w:rsidP="008347C3">
            <w:pPr>
              <w:spacing w:after="0" w:line="240" w:lineRule="auto"/>
              <w:rPr>
                <w:szCs w:val="20"/>
              </w:rPr>
            </w:pPr>
            <w:r w:rsidRPr="008347C3">
              <w:rPr>
                <w:szCs w:val="20"/>
              </w:rPr>
              <w:t>Primary</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3C1C1C3A" w14:textId="77777777" w:rsidR="008347C3" w:rsidRPr="008347C3" w:rsidRDefault="008347C3" w:rsidP="008347C3">
            <w:pPr>
              <w:spacing w:after="0" w:line="240" w:lineRule="auto"/>
              <w:jc w:val="center"/>
              <w:rPr>
                <w:szCs w:val="20"/>
              </w:rPr>
            </w:pPr>
            <w:r w:rsidRPr="008347C3">
              <w:rPr>
                <w:szCs w:val="20"/>
              </w:rPr>
              <w:t>78 596</w:t>
            </w:r>
          </w:p>
        </w:tc>
        <w:tc>
          <w:tcPr>
            <w:tcW w:w="0" w:type="auto"/>
            <w:tcBorders>
              <w:top w:val="nil"/>
              <w:left w:val="nil"/>
              <w:bottom w:val="single" w:sz="4" w:space="0" w:color="auto"/>
              <w:right w:val="single" w:sz="4" w:space="0" w:color="auto"/>
            </w:tcBorders>
            <w:shd w:val="clear" w:color="auto" w:fill="F2DBDB" w:themeFill="accent2" w:themeFillTint="33"/>
            <w:noWrap/>
            <w:vAlign w:val="center"/>
            <w:hideMark/>
          </w:tcPr>
          <w:p w14:paraId="1D73B1E4" w14:textId="77777777" w:rsidR="008347C3" w:rsidRPr="008347C3" w:rsidRDefault="008347C3" w:rsidP="008347C3">
            <w:pPr>
              <w:spacing w:after="0" w:line="240" w:lineRule="auto"/>
              <w:jc w:val="center"/>
              <w:rPr>
                <w:szCs w:val="20"/>
              </w:rPr>
            </w:pPr>
            <w:r w:rsidRPr="008347C3">
              <w:rPr>
                <w:szCs w:val="20"/>
              </w:rPr>
              <w:t>35,4%</w:t>
            </w:r>
          </w:p>
        </w:tc>
      </w:tr>
      <w:tr w:rsidR="008347C3" w:rsidRPr="008347C3" w14:paraId="13F48B0F" w14:textId="77777777" w:rsidTr="008347C3">
        <w:trPr>
          <w:trHeight w:val="231"/>
        </w:trPr>
        <w:tc>
          <w:tcPr>
            <w:tcW w:w="0" w:type="auto"/>
            <w:vMerge/>
            <w:tcBorders>
              <w:top w:val="nil"/>
              <w:left w:val="single" w:sz="4" w:space="0" w:color="auto"/>
              <w:bottom w:val="single" w:sz="8" w:space="0" w:color="000000"/>
              <w:right w:val="single" w:sz="4" w:space="0" w:color="auto"/>
            </w:tcBorders>
            <w:shd w:val="clear" w:color="auto" w:fill="F2DBDB" w:themeFill="accent2" w:themeFillTint="33"/>
            <w:vAlign w:val="center"/>
            <w:hideMark/>
          </w:tcPr>
          <w:p w14:paraId="0C227825"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2167D8B8" w14:textId="77777777" w:rsidR="008347C3" w:rsidRPr="008347C3" w:rsidRDefault="008347C3" w:rsidP="008347C3">
            <w:pPr>
              <w:spacing w:after="0" w:line="240" w:lineRule="auto"/>
              <w:rPr>
                <w:szCs w:val="20"/>
              </w:rPr>
            </w:pPr>
            <w:r w:rsidRPr="008347C3">
              <w:rPr>
                <w:szCs w:val="20"/>
              </w:rPr>
              <w:t>Some Secondary</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27F1C3F1" w14:textId="77777777" w:rsidR="008347C3" w:rsidRPr="008347C3" w:rsidRDefault="008347C3" w:rsidP="008347C3">
            <w:pPr>
              <w:spacing w:after="0" w:line="240" w:lineRule="auto"/>
              <w:jc w:val="center"/>
              <w:rPr>
                <w:szCs w:val="20"/>
              </w:rPr>
            </w:pPr>
            <w:r w:rsidRPr="008347C3">
              <w:rPr>
                <w:szCs w:val="20"/>
              </w:rPr>
              <w:t>51 203</w:t>
            </w:r>
          </w:p>
        </w:tc>
        <w:tc>
          <w:tcPr>
            <w:tcW w:w="0" w:type="auto"/>
            <w:tcBorders>
              <w:top w:val="nil"/>
              <w:left w:val="nil"/>
              <w:bottom w:val="single" w:sz="4" w:space="0" w:color="auto"/>
              <w:right w:val="single" w:sz="4" w:space="0" w:color="auto"/>
            </w:tcBorders>
            <w:shd w:val="clear" w:color="auto" w:fill="F2DBDB" w:themeFill="accent2" w:themeFillTint="33"/>
            <w:noWrap/>
            <w:vAlign w:val="center"/>
            <w:hideMark/>
          </w:tcPr>
          <w:p w14:paraId="00F6B7C4" w14:textId="77777777" w:rsidR="008347C3" w:rsidRPr="008347C3" w:rsidRDefault="008347C3" w:rsidP="008347C3">
            <w:pPr>
              <w:spacing w:after="0" w:line="240" w:lineRule="auto"/>
              <w:jc w:val="center"/>
              <w:rPr>
                <w:szCs w:val="20"/>
              </w:rPr>
            </w:pPr>
            <w:r w:rsidRPr="008347C3">
              <w:rPr>
                <w:szCs w:val="20"/>
              </w:rPr>
              <w:t>23,0%</w:t>
            </w:r>
          </w:p>
        </w:tc>
      </w:tr>
      <w:tr w:rsidR="008347C3" w:rsidRPr="008347C3" w14:paraId="3D59D874" w14:textId="77777777" w:rsidTr="008347C3">
        <w:trPr>
          <w:trHeight w:val="231"/>
        </w:trPr>
        <w:tc>
          <w:tcPr>
            <w:tcW w:w="0" w:type="auto"/>
            <w:vMerge/>
            <w:tcBorders>
              <w:top w:val="nil"/>
              <w:left w:val="single" w:sz="4" w:space="0" w:color="auto"/>
              <w:bottom w:val="single" w:sz="8" w:space="0" w:color="000000"/>
              <w:right w:val="single" w:sz="4" w:space="0" w:color="auto"/>
            </w:tcBorders>
            <w:shd w:val="clear" w:color="auto" w:fill="F2DBDB" w:themeFill="accent2" w:themeFillTint="33"/>
            <w:vAlign w:val="center"/>
            <w:hideMark/>
          </w:tcPr>
          <w:p w14:paraId="2787826A"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14A2D1D3" w14:textId="77777777" w:rsidR="008347C3" w:rsidRPr="008347C3" w:rsidRDefault="008347C3" w:rsidP="008347C3">
            <w:pPr>
              <w:spacing w:after="0" w:line="240" w:lineRule="auto"/>
              <w:rPr>
                <w:szCs w:val="20"/>
              </w:rPr>
            </w:pPr>
            <w:r w:rsidRPr="008347C3">
              <w:rPr>
                <w:szCs w:val="20"/>
              </w:rPr>
              <w:t>Matric</w:t>
            </w:r>
          </w:p>
        </w:tc>
        <w:tc>
          <w:tcPr>
            <w:tcW w:w="0" w:type="auto"/>
            <w:tcBorders>
              <w:top w:val="nil"/>
              <w:left w:val="nil"/>
              <w:bottom w:val="single" w:sz="4" w:space="0" w:color="auto"/>
              <w:right w:val="single" w:sz="4" w:space="0" w:color="auto"/>
            </w:tcBorders>
            <w:shd w:val="clear" w:color="auto" w:fill="F2DBDB" w:themeFill="accent2" w:themeFillTint="33"/>
            <w:noWrap/>
            <w:vAlign w:val="bottom"/>
            <w:hideMark/>
          </w:tcPr>
          <w:p w14:paraId="4558350D" w14:textId="77777777" w:rsidR="008347C3" w:rsidRPr="008347C3" w:rsidRDefault="008347C3" w:rsidP="008347C3">
            <w:pPr>
              <w:spacing w:after="0" w:line="240" w:lineRule="auto"/>
              <w:jc w:val="center"/>
              <w:rPr>
                <w:szCs w:val="20"/>
              </w:rPr>
            </w:pPr>
            <w:r w:rsidRPr="008347C3">
              <w:rPr>
                <w:szCs w:val="20"/>
              </w:rPr>
              <w:t>31 668</w:t>
            </w:r>
          </w:p>
        </w:tc>
        <w:tc>
          <w:tcPr>
            <w:tcW w:w="0" w:type="auto"/>
            <w:tcBorders>
              <w:top w:val="nil"/>
              <w:left w:val="nil"/>
              <w:bottom w:val="single" w:sz="4" w:space="0" w:color="auto"/>
              <w:right w:val="single" w:sz="4" w:space="0" w:color="auto"/>
            </w:tcBorders>
            <w:shd w:val="clear" w:color="auto" w:fill="F2DBDB" w:themeFill="accent2" w:themeFillTint="33"/>
            <w:noWrap/>
            <w:vAlign w:val="center"/>
            <w:hideMark/>
          </w:tcPr>
          <w:p w14:paraId="63F8080D" w14:textId="77777777" w:rsidR="008347C3" w:rsidRPr="008347C3" w:rsidRDefault="008347C3" w:rsidP="008347C3">
            <w:pPr>
              <w:spacing w:after="0" w:line="240" w:lineRule="auto"/>
              <w:jc w:val="center"/>
              <w:rPr>
                <w:szCs w:val="20"/>
              </w:rPr>
            </w:pPr>
            <w:r w:rsidRPr="008347C3">
              <w:rPr>
                <w:szCs w:val="20"/>
              </w:rPr>
              <w:t>14,3%</w:t>
            </w:r>
          </w:p>
        </w:tc>
      </w:tr>
      <w:tr w:rsidR="008347C3" w:rsidRPr="008347C3" w14:paraId="4B390E80" w14:textId="77777777" w:rsidTr="008347C3">
        <w:trPr>
          <w:trHeight w:val="241"/>
        </w:trPr>
        <w:tc>
          <w:tcPr>
            <w:tcW w:w="0" w:type="auto"/>
            <w:vMerge/>
            <w:tcBorders>
              <w:top w:val="nil"/>
              <w:left w:val="single" w:sz="4" w:space="0" w:color="auto"/>
              <w:bottom w:val="single" w:sz="8" w:space="0" w:color="000000"/>
              <w:right w:val="single" w:sz="4" w:space="0" w:color="auto"/>
            </w:tcBorders>
            <w:shd w:val="clear" w:color="auto" w:fill="F2DBDB" w:themeFill="accent2" w:themeFillTint="33"/>
            <w:vAlign w:val="center"/>
            <w:hideMark/>
          </w:tcPr>
          <w:p w14:paraId="3AD1AC0A" w14:textId="77777777" w:rsidR="008347C3" w:rsidRPr="008347C3" w:rsidRDefault="008347C3" w:rsidP="008347C3">
            <w:pPr>
              <w:spacing w:after="0" w:line="240" w:lineRule="auto"/>
              <w:rPr>
                <w:szCs w:val="20"/>
              </w:rPr>
            </w:pPr>
          </w:p>
        </w:tc>
        <w:tc>
          <w:tcPr>
            <w:tcW w:w="0" w:type="auto"/>
            <w:tcBorders>
              <w:top w:val="nil"/>
              <w:left w:val="nil"/>
              <w:bottom w:val="single" w:sz="8" w:space="0" w:color="auto"/>
              <w:right w:val="single" w:sz="4" w:space="0" w:color="auto"/>
            </w:tcBorders>
            <w:shd w:val="clear" w:color="auto" w:fill="F2DBDB" w:themeFill="accent2" w:themeFillTint="33"/>
            <w:noWrap/>
            <w:vAlign w:val="bottom"/>
            <w:hideMark/>
          </w:tcPr>
          <w:p w14:paraId="18C1C391" w14:textId="77777777" w:rsidR="008347C3" w:rsidRPr="008347C3" w:rsidRDefault="008347C3" w:rsidP="008347C3">
            <w:pPr>
              <w:spacing w:after="0" w:line="240" w:lineRule="auto"/>
              <w:rPr>
                <w:szCs w:val="20"/>
              </w:rPr>
            </w:pPr>
            <w:r w:rsidRPr="008347C3">
              <w:rPr>
                <w:szCs w:val="20"/>
              </w:rPr>
              <w:t>Tertiary</w:t>
            </w:r>
          </w:p>
        </w:tc>
        <w:tc>
          <w:tcPr>
            <w:tcW w:w="0" w:type="auto"/>
            <w:tcBorders>
              <w:top w:val="nil"/>
              <w:left w:val="nil"/>
              <w:bottom w:val="single" w:sz="8" w:space="0" w:color="auto"/>
              <w:right w:val="single" w:sz="4" w:space="0" w:color="auto"/>
            </w:tcBorders>
            <w:shd w:val="clear" w:color="auto" w:fill="F2DBDB" w:themeFill="accent2" w:themeFillTint="33"/>
            <w:noWrap/>
            <w:vAlign w:val="bottom"/>
            <w:hideMark/>
          </w:tcPr>
          <w:p w14:paraId="5C785389" w14:textId="77777777" w:rsidR="008347C3" w:rsidRPr="008347C3" w:rsidRDefault="008347C3" w:rsidP="008347C3">
            <w:pPr>
              <w:spacing w:after="0" w:line="240" w:lineRule="auto"/>
              <w:jc w:val="center"/>
              <w:rPr>
                <w:szCs w:val="20"/>
              </w:rPr>
            </w:pPr>
            <w:r w:rsidRPr="008347C3">
              <w:rPr>
                <w:szCs w:val="20"/>
              </w:rPr>
              <w:t>6 406</w:t>
            </w:r>
          </w:p>
        </w:tc>
        <w:tc>
          <w:tcPr>
            <w:tcW w:w="0" w:type="auto"/>
            <w:tcBorders>
              <w:top w:val="nil"/>
              <w:left w:val="nil"/>
              <w:bottom w:val="single" w:sz="8" w:space="0" w:color="auto"/>
              <w:right w:val="single" w:sz="4" w:space="0" w:color="auto"/>
            </w:tcBorders>
            <w:shd w:val="clear" w:color="auto" w:fill="F2DBDB" w:themeFill="accent2" w:themeFillTint="33"/>
            <w:noWrap/>
            <w:vAlign w:val="center"/>
            <w:hideMark/>
          </w:tcPr>
          <w:p w14:paraId="0F29A203" w14:textId="77777777" w:rsidR="008347C3" w:rsidRPr="008347C3" w:rsidRDefault="008347C3" w:rsidP="008347C3">
            <w:pPr>
              <w:spacing w:after="0" w:line="240" w:lineRule="auto"/>
              <w:jc w:val="center"/>
              <w:rPr>
                <w:szCs w:val="20"/>
              </w:rPr>
            </w:pPr>
            <w:r w:rsidRPr="008347C3">
              <w:rPr>
                <w:szCs w:val="20"/>
              </w:rPr>
              <w:t>2,9%</w:t>
            </w:r>
          </w:p>
        </w:tc>
      </w:tr>
      <w:tr w:rsidR="008347C3" w:rsidRPr="008347C3" w14:paraId="2B6693EB" w14:textId="77777777" w:rsidTr="008347C3">
        <w:trPr>
          <w:trHeight w:val="231"/>
        </w:trPr>
        <w:tc>
          <w:tcPr>
            <w:tcW w:w="0" w:type="auto"/>
            <w:vMerge w:val="restart"/>
            <w:tcBorders>
              <w:top w:val="nil"/>
              <w:left w:val="single" w:sz="4" w:space="0" w:color="auto"/>
              <w:bottom w:val="single" w:sz="8" w:space="0" w:color="000000"/>
              <w:right w:val="single" w:sz="4" w:space="0" w:color="auto"/>
            </w:tcBorders>
            <w:shd w:val="clear" w:color="auto" w:fill="EAF1DD" w:themeFill="accent3" w:themeFillTint="33"/>
            <w:vAlign w:val="center"/>
            <w:hideMark/>
          </w:tcPr>
          <w:p w14:paraId="66EE344A" w14:textId="77777777" w:rsidR="008347C3" w:rsidRPr="008347C3" w:rsidRDefault="008347C3" w:rsidP="008347C3">
            <w:pPr>
              <w:spacing w:after="0" w:line="240" w:lineRule="auto"/>
              <w:rPr>
                <w:szCs w:val="20"/>
              </w:rPr>
            </w:pPr>
            <w:r w:rsidRPr="008347C3">
              <w:rPr>
                <w:szCs w:val="20"/>
              </w:rPr>
              <w:t>Highest level of education (by gender)</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5B58FB62" w14:textId="77777777" w:rsidR="008347C3" w:rsidRPr="008347C3" w:rsidRDefault="008347C3" w:rsidP="008347C3">
            <w:pPr>
              <w:spacing w:after="0" w:line="240" w:lineRule="auto"/>
              <w:rPr>
                <w:szCs w:val="20"/>
              </w:rPr>
            </w:pPr>
            <w:r w:rsidRPr="008347C3">
              <w:rPr>
                <w:szCs w:val="20"/>
              </w:rPr>
              <w:t>No schooling (Males)</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7FB0CC25" w14:textId="77777777" w:rsidR="008347C3" w:rsidRPr="008347C3" w:rsidRDefault="008347C3" w:rsidP="008347C3">
            <w:pPr>
              <w:spacing w:after="0" w:line="240" w:lineRule="auto"/>
              <w:jc w:val="center"/>
              <w:rPr>
                <w:szCs w:val="20"/>
              </w:rPr>
            </w:pPr>
            <w:r w:rsidRPr="008347C3">
              <w:rPr>
                <w:szCs w:val="20"/>
              </w:rPr>
              <w:t>23 560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C9496B6" w14:textId="77777777" w:rsidR="008347C3" w:rsidRPr="008347C3" w:rsidRDefault="008347C3" w:rsidP="008347C3">
            <w:pPr>
              <w:spacing w:after="0" w:line="240" w:lineRule="auto"/>
              <w:jc w:val="center"/>
              <w:rPr>
                <w:szCs w:val="20"/>
              </w:rPr>
            </w:pPr>
            <w:r w:rsidRPr="008347C3">
              <w:rPr>
                <w:szCs w:val="20"/>
              </w:rPr>
              <w:t>22,8%</w:t>
            </w:r>
          </w:p>
        </w:tc>
      </w:tr>
      <w:tr w:rsidR="008347C3" w:rsidRPr="008347C3" w14:paraId="135B175C" w14:textId="77777777" w:rsidTr="008347C3">
        <w:trPr>
          <w:trHeight w:val="231"/>
        </w:trPr>
        <w:tc>
          <w:tcPr>
            <w:tcW w:w="0" w:type="auto"/>
            <w:vMerge/>
            <w:tcBorders>
              <w:top w:val="nil"/>
              <w:left w:val="single" w:sz="4" w:space="0" w:color="auto"/>
              <w:bottom w:val="single" w:sz="8" w:space="0" w:color="000000"/>
              <w:right w:val="single" w:sz="4" w:space="0" w:color="auto"/>
            </w:tcBorders>
            <w:shd w:val="clear" w:color="auto" w:fill="EAF1DD" w:themeFill="accent3" w:themeFillTint="33"/>
            <w:vAlign w:val="center"/>
            <w:hideMark/>
          </w:tcPr>
          <w:p w14:paraId="19456302"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15F405E4" w14:textId="77777777" w:rsidR="008347C3" w:rsidRPr="008347C3" w:rsidRDefault="008347C3" w:rsidP="008347C3">
            <w:pPr>
              <w:spacing w:after="0" w:line="240" w:lineRule="auto"/>
              <w:rPr>
                <w:szCs w:val="20"/>
              </w:rPr>
            </w:pPr>
            <w:r w:rsidRPr="008347C3">
              <w:rPr>
                <w:szCs w:val="20"/>
              </w:rPr>
              <w:t>No schooling (Females)</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4D92BE37" w14:textId="77777777" w:rsidR="008347C3" w:rsidRPr="008347C3" w:rsidRDefault="008347C3" w:rsidP="008347C3">
            <w:pPr>
              <w:spacing w:after="0" w:line="240" w:lineRule="auto"/>
              <w:jc w:val="center"/>
              <w:rPr>
                <w:szCs w:val="20"/>
              </w:rPr>
            </w:pPr>
            <w:r w:rsidRPr="008347C3">
              <w:rPr>
                <w:szCs w:val="20"/>
              </w:rPr>
              <w:t>30 756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1981B46" w14:textId="77777777" w:rsidR="008347C3" w:rsidRPr="008347C3" w:rsidRDefault="008347C3" w:rsidP="008347C3">
            <w:pPr>
              <w:spacing w:after="0" w:line="240" w:lineRule="auto"/>
              <w:jc w:val="center"/>
              <w:rPr>
                <w:szCs w:val="20"/>
              </w:rPr>
            </w:pPr>
            <w:r w:rsidRPr="008347C3">
              <w:rPr>
                <w:szCs w:val="20"/>
              </w:rPr>
              <w:t>25,9%</w:t>
            </w:r>
          </w:p>
        </w:tc>
      </w:tr>
      <w:tr w:rsidR="008347C3" w:rsidRPr="008347C3" w14:paraId="79411800" w14:textId="77777777" w:rsidTr="008347C3">
        <w:trPr>
          <w:trHeight w:val="231"/>
        </w:trPr>
        <w:tc>
          <w:tcPr>
            <w:tcW w:w="0" w:type="auto"/>
            <w:vMerge/>
            <w:tcBorders>
              <w:top w:val="nil"/>
              <w:left w:val="single" w:sz="4" w:space="0" w:color="auto"/>
              <w:bottom w:val="single" w:sz="8" w:space="0" w:color="000000"/>
              <w:right w:val="single" w:sz="4" w:space="0" w:color="auto"/>
            </w:tcBorders>
            <w:shd w:val="clear" w:color="auto" w:fill="EAF1DD" w:themeFill="accent3" w:themeFillTint="33"/>
            <w:vAlign w:val="center"/>
            <w:hideMark/>
          </w:tcPr>
          <w:p w14:paraId="289BF07A"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016539D0" w14:textId="77777777" w:rsidR="008347C3" w:rsidRPr="008347C3" w:rsidRDefault="008347C3" w:rsidP="008347C3">
            <w:pPr>
              <w:spacing w:after="0" w:line="240" w:lineRule="auto"/>
              <w:rPr>
                <w:szCs w:val="20"/>
              </w:rPr>
            </w:pPr>
            <w:r w:rsidRPr="008347C3">
              <w:rPr>
                <w:szCs w:val="20"/>
              </w:rPr>
              <w:t>Primary Schooling (Males)</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23678A99" w14:textId="77777777" w:rsidR="008347C3" w:rsidRPr="008347C3" w:rsidRDefault="008347C3" w:rsidP="008347C3">
            <w:pPr>
              <w:spacing w:after="0" w:line="240" w:lineRule="auto"/>
              <w:jc w:val="center"/>
              <w:rPr>
                <w:szCs w:val="20"/>
              </w:rPr>
            </w:pPr>
            <w:r w:rsidRPr="008347C3">
              <w:rPr>
                <w:szCs w:val="20"/>
              </w:rPr>
              <w:t>38 890</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63CE59A" w14:textId="77777777" w:rsidR="008347C3" w:rsidRPr="008347C3" w:rsidRDefault="008347C3" w:rsidP="008347C3">
            <w:pPr>
              <w:spacing w:after="0" w:line="240" w:lineRule="auto"/>
              <w:jc w:val="center"/>
              <w:rPr>
                <w:szCs w:val="20"/>
              </w:rPr>
            </w:pPr>
            <w:r w:rsidRPr="008347C3">
              <w:rPr>
                <w:szCs w:val="20"/>
              </w:rPr>
              <w:t>37,7%</w:t>
            </w:r>
          </w:p>
        </w:tc>
      </w:tr>
      <w:tr w:rsidR="008347C3" w:rsidRPr="008347C3" w14:paraId="58A17625" w14:textId="77777777" w:rsidTr="008347C3">
        <w:trPr>
          <w:trHeight w:val="231"/>
        </w:trPr>
        <w:tc>
          <w:tcPr>
            <w:tcW w:w="0" w:type="auto"/>
            <w:vMerge/>
            <w:tcBorders>
              <w:top w:val="nil"/>
              <w:left w:val="single" w:sz="4" w:space="0" w:color="auto"/>
              <w:bottom w:val="single" w:sz="8" w:space="0" w:color="000000"/>
              <w:right w:val="single" w:sz="4" w:space="0" w:color="auto"/>
            </w:tcBorders>
            <w:shd w:val="clear" w:color="auto" w:fill="EAF1DD" w:themeFill="accent3" w:themeFillTint="33"/>
            <w:vAlign w:val="center"/>
            <w:hideMark/>
          </w:tcPr>
          <w:p w14:paraId="5142B26F"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06C41EAD" w14:textId="77777777" w:rsidR="008347C3" w:rsidRPr="008347C3" w:rsidRDefault="008347C3" w:rsidP="008347C3">
            <w:pPr>
              <w:spacing w:after="0" w:line="240" w:lineRule="auto"/>
              <w:rPr>
                <w:szCs w:val="20"/>
              </w:rPr>
            </w:pPr>
            <w:r w:rsidRPr="008347C3">
              <w:rPr>
                <w:szCs w:val="20"/>
              </w:rPr>
              <w:t>Primary Schooling (Females)</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2CD977DD" w14:textId="77777777" w:rsidR="008347C3" w:rsidRPr="008347C3" w:rsidRDefault="008347C3" w:rsidP="008347C3">
            <w:pPr>
              <w:spacing w:after="0" w:line="240" w:lineRule="auto"/>
              <w:jc w:val="center"/>
              <w:rPr>
                <w:szCs w:val="20"/>
              </w:rPr>
            </w:pPr>
            <w:r w:rsidRPr="008347C3">
              <w:rPr>
                <w:szCs w:val="20"/>
              </w:rPr>
              <w:t>39 706</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DD828C9" w14:textId="77777777" w:rsidR="008347C3" w:rsidRPr="008347C3" w:rsidRDefault="008347C3" w:rsidP="008347C3">
            <w:pPr>
              <w:spacing w:after="0" w:line="240" w:lineRule="auto"/>
              <w:jc w:val="center"/>
              <w:rPr>
                <w:szCs w:val="20"/>
              </w:rPr>
            </w:pPr>
            <w:r w:rsidRPr="008347C3">
              <w:rPr>
                <w:szCs w:val="20"/>
              </w:rPr>
              <w:t>33,4%</w:t>
            </w:r>
          </w:p>
        </w:tc>
      </w:tr>
      <w:tr w:rsidR="008347C3" w:rsidRPr="008347C3" w14:paraId="05ED5101" w14:textId="77777777" w:rsidTr="008347C3">
        <w:trPr>
          <w:trHeight w:val="231"/>
        </w:trPr>
        <w:tc>
          <w:tcPr>
            <w:tcW w:w="0" w:type="auto"/>
            <w:vMerge/>
            <w:tcBorders>
              <w:top w:val="nil"/>
              <w:left w:val="single" w:sz="4" w:space="0" w:color="auto"/>
              <w:bottom w:val="single" w:sz="8" w:space="0" w:color="000000"/>
              <w:right w:val="single" w:sz="4" w:space="0" w:color="auto"/>
            </w:tcBorders>
            <w:shd w:val="clear" w:color="auto" w:fill="EAF1DD" w:themeFill="accent3" w:themeFillTint="33"/>
            <w:vAlign w:val="center"/>
            <w:hideMark/>
          </w:tcPr>
          <w:p w14:paraId="453E3C16"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7F93FF3D" w14:textId="77777777" w:rsidR="008347C3" w:rsidRPr="008347C3" w:rsidRDefault="008347C3" w:rsidP="008347C3">
            <w:pPr>
              <w:spacing w:after="0" w:line="240" w:lineRule="auto"/>
              <w:rPr>
                <w:szCs w:val="20"/>
              </w:rPr>
            </w:pPr>
            <w:r w:rsidRPr="008347C3">
              <w:rPr>
                <w:szCs w:val="20"/>
              </w:rPr>
              <w:t>Some Secondary (Males)</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6BB3D2E6" w14:textId="77777777" w:rsidR="008347C3" w:rsidRPr="008347C3" w:rsidRDefault="008347C3" w:rsidP="008347C3">
            <w:pPr>
              <w:spacing w:after="0" w:line="240" w:lineRule="auto"/>
              <w:jc w:val="center"/>
              <w:rPr>
                <w:szCs w:val="20"/>
              </w:rPr>
            </w:pPr>
            <w:r w:rsidRPr="008347C3">
              <w:rPr>
                <w:szCs w:val="20"/>
              </w:rPr>
              <w:t>23 714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CAEB89D" w14:textId="77777777" w:rsidR="008347C3" w:rsidRPr="008347C3" w:rsidRDefault="008347C3" w:rsidP="008347C3">
            <w:pPr>
              <w:spacing w:after="0" w:line="240" w:lineRule="auto"/>
              <w:jc w:val="center"/>
              <w:rPr>
                <w:szCs w:val="20"/>
              </w:rPr>
            </w:pPr>
            <w:r w:rsidRPr="008347C3">
              <w:rPr>
                <w:szCs w:val="20"/>
              </w:rPr>
              <w:t>23,0%</w:t>
            </w:r>
          </w:p>
        </w:tc>
      </w:tr>
      <w:tr w:rsidR="008347C3" w:rsidRPr="008347C3" w14:paraId="2F3F1BA0" w14:textId="77777777" w:rsidTr="008347C3">
        <w:trPr>
          <w:trHeight w:val="231"/>
        </w:trPr>
        <w:tc>
          <w:tcPr>
            <w:tcW w:w="0" w:type="auto"/>
            <w:vMerge/>
            <w:tcBorders>
              <w:top w:val="nil"/>
              <w:left w:val="single" w:sz="4" w:space="0" w:color="auto"/>
              <w:bottom w:val="single" w:sz="8" w:space="0" w:color="000000"/>
              <w:right w:val="single" w:sz="4" w:space="0" w:color="auto"/>
            </w:tcBorders>
            <w:shd w:val="clear" w:color="auto" w:fill="EAF1DD" w:themeFill="accent3" w:themeFillTint="33"/>
            <w:vAlign w:val="center"/>
            <w:hideMark/>
          </w:tcPr>
          <w:p w14:paraId="7C49517A"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23C7A56A" w14:textId="77777777" w:rsidR="008347C3" w:rsidRPr="008347C3" w:rsidRDefault="008347C3" w:rsidP="008347C3">
            <w:pPr>
              <w:spacing w:after="0" w:line="240" w:lineRule="auto"/>
              <w:rPr>
                <w:szCs w:val="20"/>
              </w:rPr>
            </w:pPr>
            <w:r w:rsidRPr="008347C3">
              <w:rPr>
                <w:szCs w:val="20"/>
              </w:rPr>
              <w:t>Some Secondary (Females)</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3D21A328" w14:textId="77777777" w:rsidR="008347C3" w:rsidRPr="008347C3" w:rsidRDefault="008347C3" w:rsidP="008347C3">
            <w:pPr>
              <w:spacing w:after="0" w:line="240" w:lineRule="auto"/>
              <w:jc w:val="center"/>
              <w:rPr>
                <w:szCs w:val="20"/>
              </w:rPr>
            </w:pPr>
            <w:r w:rsidRPr="008347C3">
              <w:rPr>
                <w:szCs w:val="20"/>
              </w:rPr>
              <w:t>27 489</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E7D1297" w14:textId="77777777" w:rsidR="008347C3" w:rsidRPr="008347C3" w:rsidRDefault="008347C3" w:rsidP="008347C3">
            <w:pPr>
              <w:spacing w:after="0" w:line="240" w:lineRule="auto"/>
              <w:jc w:val="center"/>
              <w:rPr>
                <w:szCs w:val="20"/>
              </w:rPr>
            </w:pPr>
            <w:r w:rsidRPr="008347C3">
              <w:rPr>
                <w:szCs w:val="20"/>
              </w:rPr>
              <w:t>23,1%</w:t>
            </w:r>
          </w:p>
        </w:tc>
      </w:tr>
      <w:tr w:rsidR="008347C3" w:rsidRPr="008347C3" w14:paraId="4F5DFF2A" w14:textId="77777777" w:rsidTr="008347C3">
        <w:trPr>
          <w:trHeight w:val="231"/>
        </w:trPr>
        <w:tc>
          <w:tcPr>
            <w:tcW w:w="0" w:type="auto"/>
            <w:vMerge/>
            <w:tcBorders>
              <w:top w:val="nil"/>
              <w:left w:val="single" w:sz="4" w:space="0" w:color="auto"/>
              <w:bottom w:val="single" w:sz="8" w:space="0" w:color="000000"/>
              <w:right w:val="single" w:sz="4" w:space="0" w:color="auto"/>
            </w:tcBorders>
            <w:shd w:val="clear" w:color="auto" w:fill="EAF1DD" w:themeFill="accent3" w:themeFillTint="33"/>
            <w:vAlign w:val="center"/>
            <w:hideMark/>
          </w:tcPr>
          <w:p w14:paraId="23138AC4"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3FBF392D" w14:textId="77777777" w:rsidR="008347C3" w:rsidRPr="008347C3" w:rsidRDefault="008347C3" w:rsidP="008347C3">
            <w:pPr>
              <w:spacing w:after="0" w:line="240" w:lineRule="auto"/>
              <w:rPr>
                <w:szCs w:val="20"/>
              </w:rPr>
            </w:pPr>
            <w:r w:rsidRPr="008347C3">
              <w:rPr>
                <w:szCs w:val="20"/>
              </w:rPr>
              <w:t>Matric (Males)</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26014120" w14:textId="77777777" w:rsidR="008347C3" w:rsidRPr="008347C3" w:rsidRDefault="008347C3" w:rsidP="008347C3">
            <w:pPr>
              <w:spacing w:after="0" w:line="240" w:lineRule="auto"/>
              <w:jc w:val="center"/>
              <w:rPr>
                <w:szCs w:val="20"/>
              </w:rPr>
            </w:pPr>
            <w:r w:rsidRPr="008347C3">
              <w:rPr>
                <w:szCs w:val="20"/>
              </w:rPr>
              <w:t>14 284</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192C30EF" w14:textId="77777777" w:rsidR="008347C3" w:rsidRPr="008347C3" w:rsidRDefault="008347C3" w:rsidP="008347C3">
            <w:pPr>
              <w:spacing w:after="0" w:line="240" w:lineRule="auto"/>
              <w:jc w:val="center"/>
              <w:rPr>
                <w:szCs w:val="20"/>
              </w:rPr>
            </w:pPr>
            <w:r w:rsidRPr="008347C3">
              <w:rPr>
                <w:szCs w:val="20"/>
              </w:rPr>
              <w:t>13,8%</w:t>
            </w:r>
          </w:p>
        </w:tc>
      </w:tr>
      <w:tr w:rsidR="008347C3" w:rsidRPr="008347C3" w14:paraId="720191B9" w14:textId="77777777" w:rsidTr="008347C3">
        <w:trPr>
          <w:trHeight w:val="231"/>
        </w:trPr>
        <w:tc>
          <w:tcPr>
            <w:tcW w:w="0" w:type="auto"/>
            <w:vMerge/>
            <w:tcBorders>
              <w:top w:val="nil"/>
              <w:left w:val="single" w:sz="4" w:space="0" w:color="auto"/>
              <w:bottom w:val="single" w:sz="8" w:space="0" w:color="000000"/>
              <w:right w:val="single" w:sz="4" w:space="0" w:color="auto"/>
            </w:tcBorders>
            <w:shd w:val="clear" w:color="auto" w:fill="EAF1DD" w:themeFill="accent3" w:themeFillTint="33"/>
            <w:vAlign w:val="center"/>
            <w:hideMark/>
          </w:tcPr>
          <w:p w14:paraId="6412CCE4"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04B307A" w14:textId="77777777" w:rsidR="008347C3" w:rsidRPr="008347C3" w:rsidRDefault="008347C3" w:rsidP="008347C3">
            <w:pPr>
              <w:spacing w:after="0" w:line="240" w:lineRule="auto"/>
              <w:rPr>
                <w:szCs w:val="20"/>
              </w:rPr>
            </w:pPr>
            <w:r w:rsidRPr="008347C3">
              <w:rPr>
                <w:szCs w:val="20"/>
              </w:rPr>
              <w:t>Matric (Females)</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1F8F9682" w14:textId="77777777" w:rsidR="008347C3" w:rsidRPr="008347C3" w:rsidRDefault="008347C3" w:rsidP="008347C3">
            <w:pPr>
              <w:spacing w:after="0" w:line="240" w:lineRule="auto"/>
              <w:jc w:val="center"/>
              <w:rPr>
                <w:szCs w:val="20"/>
              </w:rPr>
            </w:pPr>
            <w:r w:rsidRPr="008347C3">
              <w:rPr>
                <w:szCs w:val="20"/>
              </w:rPr>
              <w:t>17 385</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628DB910" w14:textId="77777777" w:rsidR="008347C3" w:rsidRPr="008347C3" w:rsidRDefault="008347C3" w:rsidP="008347C3">
            <w:pPr>
              <w:spacing w:after="0" w:line="240" w:lineRule="auto"/>
              <w:jc w:val="center"/>
              <w:rPr>
                <w:szCs w:val="20"/>
              </w:rPr>
            </w:pPr>
            <w:r w:rsidRPr="008347C3">
              <w:rPr>
                <w:szCs w:val="20"/>
              </w:rPr>
              <w:t>14,6%</w:t>
            </w:r>
          </w:p>
        </w:tc>
      </w:tr>
      <w:tr w:rsidR="008347C3" w:rsidRPr="008347C3" w14:paraId="6C779FB6" w14:textId="77777777" w:rsidTr="008347C3">
        <w:trPr>
          <w:trHeight w:val="231"/>
        </w:trPr>
        <w:tc>
          <w:tcPr>
            <w:tcW w:w="0" w:type="auto"/>
            <w:vMerge/>
            <w:tcBorders>
              <w:top w:val="nil"/>
              <w:left w:val="single" w:sz="4" w:space="0" w:color="auto"/>
              <w:bottom w:val="single" w:sz="8" w:space="0" w:color="000000"/>
              <w:right w:val="single" w:sz="4" w:space="0" w:color="auto"/>
            </w:tcBorders>
            <w:shd w:val="clear" w:color="auto" w:fill="EAF1DD" w:themeFill="accent3" w:themeFillTint="33"/>
            <w:vAlign w:val="center"/>
            <w:hideMark/>
          </w:tcPr>
          <w:p w14:paraId="41404A29"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5A69ECB9" w14:textId="77777777" w:rsidR="008347C3" w:rsidRPr="008347C3" w:rsidRDefault="008347C3" w:rsidP="008347C3">
            <w:pPr>
              <w:spacing w:after="0" w:line="240" w:lineRule="auto"/>
              <w:rPr>
                <w:szCs w:val="20"/>
              </w:rPr>
            </w:pPr>
            <w:r w:rsidRPr="008347C3">
              <w:rPr>
                <w:szCs w:val="20"/>
              </w:rPr>
              <w:t>Tertiary (Males)</w:t>
            </w:r>
          </w:p>
        </w:tc>
        <w:tc>
          <w:tcPr>
            <w:tcW w:w="0" w:type="auto"/>
            <w:tcBorders>
              <w:top w:val="nil"/>
              <w:left w:val="nil"/>
              <w:bottom w:val="single" w:sz="4" w:space="0" w:color="auto"/>
              <w:right w:val="single" w:sz="4" w:space="0" w:color="auto"/>
            </w:tcBorders>
            <w:shd w:val="clear" w:color="auto" w:fill="EAF1DD" w:themeFill="accent3" w:themeFillTint="33"/>
            <w:noWrap/>
            <w:vAlign w:val="bottom"/>
            <w:hideMark/>
          </w:tcPr>
          <w:p w14:paraId="2CAB4947" w14:textId="77777777" w:rsidR="008347C3" w:rsidRPr="008347C3" w:rsidRDefault="008347C3" w:rsidP="008347C3">
            <w:pPr>
              <w:spacing w:after="0" w:line="240" w:lineRule="auto"/>
              <w:jc w:val="center"/>
              <w:rPr>
                <w:szCs w:val="20"/>
              </w:rPr>
            </w:pPr>
            <w:r w:rsidRPr="008347C3">
              <w:rPr>
                <w:szCs w:val="20"/>
              </w:rPr>
              <w:t>2 832</w:t>
            </w:r>
          </w:p>
        </w:tc>
        <w:tc>
          <w:tcPr>
            <w:tcW w:w="0" w:type="auto"/>
            <w:tcBorders>
              <w:top w:val="nil"/>
              <w:left w:val="nil"/>
              <w:bottom w:val="single" w:sz="4" w:space="0" w:color="auto"/>
              <w:right w:val="single" w:sz="4" w:space="0" w:color="auto"/>
            </w:tcBorders>
            <w:shd w:val="clear" w:color="auto" w:fill="EAF1DD" w:themeFill="accent3" w:themeFillTint="33"/>
            <w:noWrap/>
            <w:vAlign w:val="center"/>
            <w:hideMark/>
          </w:tcPr>
          <w:p w14:paraId="4226FAFD" w14:textId="77777777" w:rsidR="008347C3" w:rsidRPr="008347C3" w:rsidRDefault="008347C3" w:rsidP="008347C3">
            <w:pPr>
              <w:spacing w:after="0" w:line="240" w:lineRule="auto"/>
              <w:jc w:val="center"/>
              <w:rPr>
                <w:szCs w:val="20"/>
              </w:rPr>
            </w:pPr>
            <w:r w:rsidRPr="008347C3">
              <w:rPr>
                <w:szCs w:val="20"/>
              </w:rPr>
              <w:t>2,7%</w:t>
            </w:r>
          </w:p>
        </w:tc>
      </w:tr>
      <w:tr w:rsidR="008347C3" w:rsidRPr="008347C3" w14:paraId="42F7AA84" w14:textId="77777777" w:rsidTr="008347C3">
        <w:trPr>
          <w:trHeight w:val="241"/>
        </w:trPr>
        <w:tc>
          <w:tcPr>
            <w:tcW w:w="0" w:type="auto"/>
            <w:vMerge/>
            <w:tcBorders>
              <w:top w:val="nil"/>
              <w:left w:val="single" w:sz="4" w:space="0" w:color="auto"/>
              <w:bottom w:val="single" w:sz="8" w:space="0" w:color="000000"/>
              <w:right w:val="single" w:sz="4" w:space="0" w:color="auto"/>
            </w:tcBorders>
            <w:shd w:val="clear" w:color="auto" w:fill="EAF1DD" w:themeFill="accent3" w:themeFillTint="33"/>
            <w:vAlign w:val="center"/>
            <w:hideMark/>
          </w:tcPr>
          <w:p w14:paraId="44370739" w14:textId="77777777" w:rsidR="008347C3" w:rsidRPr="008347C3" w:rsidRDefault="008347C3" w:rsidP="008347C3">
            <w:pPr>
              <w:spacing w:after="0" w:line="240" w:lineRule="auto"/>
              <w:rPr>
                <w:szCs w:val="20"/>
              </w:rPr>
            </w:pPr>
          </w:p>
        </w:tc>
        <w:tc>
          <w:tcPr>
            <w:tcW w:w="0" w:type="auto"/>
            <w:tcBorders>
              <w:top w:val="nil"/>
              <w:left w:val="nil"/>
              <w:bottom w:val="single" w:sz="8" w:space="0" w:color="auto"/>
              <w:right w:val="single" w:sz="4" w:space="0" w:color="auto"/>
            </w:tcBorders>
            <w:shd w:val="clear" w:color="auto" w:fill="EAF1DD" w:themeFill="accent3" w:themeFillTint="33"/>
            <w:noWrap/>
            <w:vAlign w:val="center"/>
            <w:hideMark/>
          </w:tcPr>
          <w:p w14:paraId="0E1CE429" w14:textId="77777777" w:rsidR="008347C3" w:rsidRPr="008347C3" w:rsidRDefault="008347C3" w:rsidP="008347C3">
            <w:pPr>
              <w:spacing w:after="0" w:line="240" w:lineRule="auto"/>
              <w:rPr>
                <w:szCs w:val="20"/>
              </w:rPr>
            </w:pPr>
            <w:r w:rsidRPr="008347C3">
              <w:rPr>
                <w:szCs w:val="20"/>
              </w:rPr>
              <w:t>Tertiary (Females)</w:t>
            </w:r>
          </w:p>
        </w:tc>
        <w:tc>
          <w:tcPr>
            <w:tcW w:w="0" w:type="auto"/>
            <w:tcBorders>
              <w:top w:val="nil"/>
              <w:left w:val="nil"/>
              <w:bottom w:val="single" w:sz="8" w:space="0" w:color="auto"/>
              <w:right w:val="single" w:sz="4" w:space="0" w:color="auto"/>
            </w:tcBorders>
            <w:shd w:val="clear" w:color="auto" w:fill="EAF1DD" w:themeFill="accent3" w:themeFillTint="33"/>
            <w:noWrap/>
            <w:vAlign w:val="bottom"/>
            <w:hideMark/>
          </w:tcPr>
          <w:p w14:paraId="0569B331" w14:textId="77777777" w:rsidR="008347C3" w:rsidRPr="008347C3" w:rsidRDefault="008347C3" w:rsidP="008347C3">
            <w:pPr>
              <w:spacing w:after="0" w:line="240" w:lineRule="auto"/>
              <w:jc w:val="center"/>
              <w:rPr>
                <w:szCs w:val="20"/>
              </w:rPr>
            </w:pPr>
            <w:r w:rsidRPr="008347C3">
              <w:rPr>
                <w:szCs w:val="20"/>
              </w:rPr>
              <w:t>3 574</w:t>
            </w:r>
          </w:p>
        </w:tc>
        <w:tc>
          <w:tcPr>
            <w:tcW w:w="0" w:type="auto"/>
            <w:tcBorders>
              <w:top w:val="nil"/>
              <w:left w:val="nil"/>
              <w:bottom w:val="single" w:sz="8" w:space="0" w:color="auto"/>
              <w:right w:val="single" w:sz="4" w:space="0" w:color="auto"/>
            </w:tcBorders>
            <w:shd w:val="clear" w:color="auto" w:fill="EAF1DD" w:themeFill="accent3" w:themeFillTint="33"/>
            <w:noWrap/>
            <w:vAlign w:val="center"/>
            <w:hideMark/>
          </w:tcPr>
          <w:p w14:paraId="430C1E6A" w14:textId="77777777" w:rsidR="008347C3" w:rsidRPr="008347C3" w:rsidRDefault="008347C3" w:rsidP="008347C3">
            <w:pPr>
              <w:spacing w:after="0" w:line="240" w:lineRule="auto"/>
              <w:jc w:val="center"/>
              <w:rPr>
                <w:szCs w:val="20"/>
              </w:rPr>
            </w:pPr>
            <w:r w:rsidRPr="008347C3">
              <w:rPr>
                <w:szCs w:val="20"/>
              </w:rPr>
              <w:t>3,0%</w:t>
            </w:r>
          </w:p>
        </w:tc>
      </w:tr>
      <w:tr w:rsidR="008347C3" w:rsidRPr="008347C3" w14:paraId="7CDF1A33" w14:textId="77777777" w:rsidTr="008347C3">
        <w:trPr>
          <w:trHeight w:val="231"/>
        </w:trPr>
        <w:tc>
          <w:tcPr>
            <w:tcW w:w="0" w:type="auto"/>
            <w:vMerge w:val="restart"/>
            <w:tcBorders>
              <w:top w:val="nil"/>
              <w:left w:val="single" w:sz="4" w:space="0" w:color="auto"/>
              <w:bottom w:val="single" w:sz="4" w:space="0" w:color="000000"/>
              <w:right w:val="single" w:sz="4" w:space="0" w:color="auto"/>
            </w:tcBorders>
            <w:shd w:val="clear" w:color="auto" w:fill="FDE9D9" w:themeFill="accent6" w:themeFillTint="33"/>
            <w:vAlign w:val="center"/>
            <w:hideMark/>
          </w:tcPr>
          <w:p w14:paraId="325553E9" w14:textId="77777777" w:rsidR="008347C3" w:rsidRPr="008347C3" w:rsidRDefault="008347C3" w:rsidP="008347C3">
            <w:pPr>
              <w:spacing w:after="0" w:line="240" w:lineRule="auto"/>
              <w:rPr>
                <w:szCs w:val="20"/>
              </w:rPr>
            </w:pPr>
            <w:r w:rsidRPr="008347C3">
              <w:rPr>
                <w:szCs w:val="20"/>
              </w:rPr>
              <w:t>Highest level of education (by race)</w:t>
            </w: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0E80CFD7" w14:textId="77777777" w:rsidR="008347C3" w:rsidRPr="008347C3" w:rsidRDefault="008347C3" w:rsidP="008347C3">
            <w:pPr>
              <w:spacing w:after="0" w:line="240" w:lineRule="auto"/>
              <w:rPr>
                <w:szCs w:val="20"/>
              </w:rPr>
            </w:pPr>
            <w:r w:rsidRPr="008347C3">
              <w:rPr>
                <w:szCs w:val="20"/>
              </w:rPr>
              <w:t>No schooling (Black African)</w:t>
            </w:r>
          </w:p>
        </w:tc>
        <w:tc>
          <w:tcPr>
            <w:tcW w:w="0" w:type="auto"/>
            <w:tcBorders>
              <w:top w:val="nil"/>
              <w:left w:val="nil"/>
              <w:bottom w:val="single" w:sz="4" w:space="0" w:color="auto"/>
              <w:right w:val="nil"/>
            </w:tcBorders>
            <w:shd w:val="clear" w:color="auto" w:fill="FDE9D9" w:themeFill="accent6" w:themeFillTint="33"/>
            <w:noWrap/>
            <w:vAlign w:val="bottom"/>
            <w:hideMark/>
          </w:tcPr>
          <w:p w14:paraId="7EB21570" w14:textId="77777777" w:rsidR="008347C3" w:rsidRPr="008347C3" w:rsidRDefault="008347C3" w:rsidP="008347C3">
            <w:pPr>
              <w:spacing w:after="0" w:line="240" w:lineRule="auto"/>
              <w:jc w:val="center"/>
              <w:rPr>
                <w:szCs w:val="20"/>
              </w:rPr>
            </w:pPr>
            <w:r w:rsidRPr="008347C3">
              <w:rPr>
                <w:szCs w:val="20"/>
              </w:rPr>
              <w:t>53 645</w:t>
            </w:r>
          </w:p>
        </w:tc>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center"/>
            <w:hideMark/>
          </w:tcPr>
          <w:p w14:paraId="10ED5B95" w14:textId="77777777" w:rsidR="008347C3" w:rsidRPr="008347C3" w:rsidRDefault="008347C3" w:rsidP="008347C3">
            <w:pPr>
              <w:spacing w:after="0" w:line="240" w:lineRule="auto"/>
              <w:jc w:val="center"/>
              <w:rPr>
                <w:szCs w:val="20"/>
              </w:rPr>
            </w:pPr>
            <w:r w:rsidRPr="008347C3">
              <w:rPr>
                <w:szCs w:val="20"/>
              </w:rPr>
              <w:t>24,8%</w:t>
            </w:r>
          </w:p>
        </w:tc>
      </w:tr>
      <w:tr w:rsidR="008347C3" w:rsidRPr="008347C3" w14:paraId="1E9CE26B" w14:textId="77777777" w:rsidTr="008347C3">
        <w:trPr>
          <w:trHeight w:val="231"/>
        </w:trPr>
        <w:tc>
          <w:tcPr>
            <w:tcW w:w="0" w:type="auto"/>
            <w:vMerge/>
            <w:tcBorders>
              <w:top w:val="nil"/>
              <w:left w:val="single" w:sz="4" w:space="0" w:color="auto"/>
              <w:bottom w:val="single" w:sz="4" w:space="0" w:color="000000"/>
              <w:right w:val="single" w:sz="4" w:space="0" w:color="auto"/>
            </w:tcBorders>
            <w:shd w:val="clear" w:color="auto" w:fill="FDE9D9" w:themeFill="accent6" w:themeFillTint="33"/>
            <w:vAlign w:val="center"/>
            <w:hideMark/>
          </w:tcPr>
          <w:p w14:paraId="15FD03C7"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686967A" w14:textId="77777777" w:rsidR="008347C3" w:rsidRPr="008347C3" w:rsidRDefault="008347C3" w:rsidP="008347C3">
            <w:pPr>
              <w:spacing w:after="0" w:line="240" w:lineRule="auto"/>
              <w:rPr>
                <w:szCs w:val="20"/>
              </w:rPr>
            </w:pPr>
            <w:r w:rsidRPr="008347C3">
              <w:rPr>
                <w:szCs w:val="20"/>
              </w:rPr>
              <w:t>No schooling (Coloured)</w:t>
            </w:r>
          </w:p>
        </w:tc>
        <w:tc>
          <w:tcPr>
            <w:tcW w:w="0" w:type="auto"/>
            <w:tcBorders>
              <w:top w:val="nil"/>
              <w:left w:val="nil"/>
              <w:bottom w:val="single" w:sz="4" w:space="0" w:color="auto"/>
              <w:right w:val="nil"/>
            </w:tcBorders>
            <w:shd w:val="clear" w:color="auto" w:fill="FDE9D9" w:themeFill="accent6" w:themeFillTint="33"/>
            <w:noWrap/>
            <w:vAlign w:val="bottom"/>
            <w:hideMark/>
          </w:tcPr>
          <w:p w14:paraId="14478E1B" w14:textId="77777777" w:rsidR="008347C3" w:rsidRPr="008347C3" w:rsidRDefault="008347C3" w:rsidP="008347C3">
            <w:pPr>
              <w:spacing w:after="0" w:line="240" w:lineRule="auto"/>
              <w:jc w:val="center"/>
              <w:rPr>
                <w:szCs w:val="20"/>
              </w:rPr>
            </w:pPr>
            <w:r w:rsidRPr="008347C3">
              <w:rPr>
                <w:szCs w:val="20"/>
              </w:rPr>
              <w:t>102</w:t>
            </w:r>
          </w:p>
        </w:tc>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center"/>
            <w:hideMark/>
          </w:tcPr>
          <w:p w14:paraId="182355BD" w14:textId="77777777" w:rsidR="008347C3" w:rsidRPr="008347C3" w:rsidRDefault="008347C3" w:rsidP="008347C3">
            <w:pPr>
              <w:spacing w:after="0" w:line="240" w:lineRule="auto"/>
              <w:jc w:val="center"/>
              <w:rPr>
                <w:szCs w:val="20"/>
              </w:rPr>
            </w:pPr>
            <w:r w:rsidRPr="008347C3">
              <w:rPr>
                <w:szCs w:val="20"/>
              </w:rPr>
              <w:t>11,3%</w:t>
            </w:r>
          </w:p>
        </w:tc>
      </w:tr>
      <w:tr w:rsidR="008347C3" w:rsidRPr="008347C3" w14:paraId="19FB2D4E" w14:textId="77777777" w:rsidTr="008347C3">
        <w:trPr>
          <w:trHeight w:val="231"/>
        </w:trPr>
        <w:tc>
          <w:tcPr>
            <w:tcW w:w="0" w:type="auto"/>
            <w:vMerge/>
            <w:tcBorders>
              <w:top w:val="nil"/>
              <w:left w:val="single" w:sz="4" w:space="0" w:color="auto"/>
              <w:bottom w:val="single" w:sz="4" w:space="0" w:color="000000"/>
              <w:right w:val="single" w:sz="4" w:space="0" w:color="auto"/>
            </w:tcBorders>
            <w:shd w:val="clear" w:color="auto" w:fill="FDE9D9" w:themeFill="accent6" w:themeFillTint="33"/>
            <w:vAlign w:val="center"/>
            <w:hideMark/>
          </w:tcPr>
          <w:p w14:paraId="03A6E38A"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473CF3E" w14:textId="77777777" w:rsidR="008347C3" w:rsidRPr="008347C3" w:rsidRDefault="008347C3" w:rsidP="008347C3">
            <w:pPr>
              <w:spacing w:after="0" w:line="240" w:lineRule="auto"/>
              <w:rPr>
                <w:szCs w:val="20"/>
              </w:rPr>
            </w:pPr>
            <w:r w:rsidRPr="008347C3">
              <w:rPr>
                <w:szCs w:val="20"/>
              </w:rPr>
              <w:t>No schooling (Indian/Asian)</w:t>
            </w:r>
          </w:p>
        </w:tc>
        <w:tc>
          <w:tcPr>
            <w:tcW w:w="0" w:type="auto"/>
            <w:tcBorders>
              <w:top w:val="nil"/>
              <w:left w:val="nil"/>
              <w:bottom w:val="single" w:sz="4" w:space="0" w:color="auto"/>
              <w:right w:val="nil"/>
            </w:tcBorders>
            <w:shd w:val="clear" w:color="auto" w:fill="FDE9D9" w:themeFill="accent6" w:themeFillTint="33"/>
            <w:noWrap/>
            <w:vAlign w:val="bottom"/>
            <w:hideMark/>
          </w:tcPr>
          <w:p w14:paraId="59E25A82" w14:textId="77777777" w:rsidR="008347C3" w:rsidRPr="008347C3" w:rsidRDefault="008347C3" w:rsidP="008347C3">
            <w:pPr>
              <w:spacing w:after="0" w:line="240" w:lineRule="auto"/>
              <w:jc w:val="center"/>
              <w:rPr>
                <w:szCs w:val="20"/>
              </w:rPr>
            </w:pPr>
            <w:r w:rsidRPr="008347C3">
              <w:rPr>
                <w:szCs w:val="20"/>
              </w:rPr>
              <w:t>288</w:t>
            </w:r>
          </w:p>
        </w:tc>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center"/>
            <w:hideMark/>
          </w:tcPr>
          <w:p w14:paraId="5BB71706" w14:textId="77777777" w:rsidR="008347C3" w:rsidRPr="008347C3" w:rsidRDefault="008347C3" w:rsidP="008347C3">
            <w:pPr>
              <w:spacing w:after="0" w:line="240" w:lineRule="auto"/>
              <w:jc w:val="center"/>
              <w:rPr>
                <w:szCs w:val="20"/>
              </w:rPr>
            </w:pPr>
            <w:r w:rsidRPr="008347C3">
              <w:rPr>
                <w:szCs w:val="20"/>
              </w:rPr>
              <w:t>13,4%</w:t>
            </w:r>
          </w:p>
        </w:tc>
      </w:tr>
      <w:tr w:rsidR="008347C3" w:rsidRPr="008347C3" w14:paraId="768969CD" w14:textId="77777777" w:rsidTr="008347C3">
        <w:trPr>
          <w:trHeight w:val="231"/>
        </w:trPr>
        <w:tc>
          <w:tcPr>
            <w:tcW w:w="0" w:type="auto"/>
            <w:vMerge/>
            <w:tcBorders>
              <w:top w:val="nil"/>
              <w:left w:val="single" w:sz="4" w:space="0" w:color="auto"/>
              <w:bottom w:val="single" w:sz="4" w:space="0" w:color="000000"/>
              <w:right w:val="single" w:sz="4" w:space="0" w:color="auto"/>
            </w:tcBorders>
            <w:shd w:val="clear" w:color="auto" w:fill="FDE9D9" w:themeFill="accent6" w:themeFillTint="33"/>
            <w:vAlign w:val="center"/>
            <w:hideMark/>
          </w:tcPr>
          <w:p w14:paraId="5405C0EF"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7BC7621E" w14:textId="77777777" w:rsidR="008347C3" w:rsidRPr="008347C3" w:rsidRDefault="008347C3" w:rsidP="008347C3">
            <w:pPr>
              <w:spacing w:after="0" w:line="240" w:lineRule="auto"/>
              <w:rPr>
                <w:szCs w:val="20"/>
              </w:rPr>
            </w:pPr>
            <w:r w:rsidRPr="008347C3">
              <w:rPr>
                <w:szCs w:val="20"/>
              </w:rPr>
              <w:t>No schooling (White)</w:t>
            </w:r>
          </w:p>
        </w:tc>
        <w:tc>
          <w:tcPr>
            <w:tcW w:w="0" w:type="auto"/>
            <w:tcBorders>
              <w:top w:val="nil"/>
              <w:left w:val="nil"/>
              <w:bottom w:val="single" w:sz="4" w:space="0" w:color="auto"/>
              <w:right w:val="nil"/>
            </w:tcBorders>
            <w:shd w:val="clear" w:color="auto" w:fill="FDE9D9" w:themeFill="accent6" w:themeFillTint="33"/>
            <w:noWrap/>
            <w:vAlign w:val="bottom"/>
            <w:hideMark/>
          </w:tcPr>
          <w:p w14:paraId="2B0C1C2D" w14:textId="77777777" w:rsidR="008347C3" w:rsidRPr="008347C3" w:rsidRDefault="008347C3" w:rsidP="008347C3">
            <w:pPr>
              <w:spacing w:after="0" w:line="240" w:lineRule="auto"/>
              <w:jc w:val="center"/>
              <w:rPr>
                <w:szCs w:val="20"/>
              </w:rPr>
            </w:pPr>
            <w:r w:rsidRPr="008347C3">
              <w:rPr>
                <w:szCs w:val="20"/>
              </w:rPr>
              <w:t>281</w:t>
            </w:r>
          </w:p>
        </w:tc>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center"/>
            <w:hideMark/>
          </w:tcPr>
          <w:p w14:paraId="0AA1A6D2" w14:textId="77777777" w:rsidR="008347C3" w:rsidRPr="008347C3" w:rsidRDefault="008347C3" w:rsidP="008347C3">
            <w:pPr>
              <w:spacing w:after="0" w:line="240" w:lineRule="auto"/>
              <w:jc w:val="center"/>
              <w:rPr>
                <w:szCs w:val="20"/>
              </w:rPr>
            </w:pPr>
            <w:r w:rsidRPr="008347C3">
              <w:rPr>
                <w:szCs w:val="20"/>
              </w:rPr>
              <w:t>9,9%</w:t>
            </w:r>
          </w:p>
        </w:tc>
      </w:tr>
      <w:tr w:rsidR="008347C3" w:rsidRPr="008347C3" w14:paraId="5D7C4496" w14:textId="77777777" w:rsidTr="008347C3">
        <w:trPr>
          <w:trHeight w:val="231"/>
        </w:trPr>
        <w:tc>
          <w:tcPr>
            <w:tcW w:w="0" w:type="auto"/>
            <w:vMerge/>
            <w:tcBorders>
              <w:top w:val="nil"/>
              <w:left w:val="single" w:sz="4" w:space="0" w:color="auto"/>
              <w:bottom w:val="single" w:sz="4" w:space="0" w:color="000000"/>
              <w:right w:val="single" w:sz="4" w:space="0" w:color="auto"/>
            </w:tcBorders>
            <w:shd w:val="clear" w:color="auto" w:fill="FDE9D9" w:themeFill="accent6" w:themeFillTint="33"/>
            <w:vAlign w:val="center"/>
            <w:hideMark/>
          </w:tcPr>
          <w:p w14:paraId="10ACE16D"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5350C121" w14:textId="77777777" w:rsidR="008347C3" w:rsidRPr="008347C3" w:rsidRDefault="008347C3" w:rsidP="008347C3">
            <w:pPr>
              <w:spacing w:after="0" w:line="240" w:lineRule="auto"/>
              <w:rPr>
                <w:szCs w:val="20"/>
              </w:rPr>
            </w:pPr>
            <w:r w:rsidRPr="008347C3">
              <w:rPr>
                <w:szCs w:val="20"/>
              </w:rPr>
              <w:t>Primary Schooling (Black African)</w:t>
            </w:r>
          </w:p>
        </w:tc>
        <w:tc>
          <w:tcPr>
            <w:tcW w:w="0" w:type="auto"/>
            <w:tcBorders>
              <w:top w:val="nil"/>
              <w:left w:val="nil"/>
              <w:bottom w:val="single" w:sz="4" w:space="0" w:color="auto"/>
              <w:right w:val="nil"/>
            </w:tcBorders>
            <w:shd w:val="clear" w:color="auto" w:fill="FDE9D9" w:themeFill="accent6" w:themeFillTint="33"/>
            <w:noWrap/>
            <w:vAlign w:val="bottom"/>
            <w:hideMark/>
          </w:tcPr>
          <w:p w14:paraId="5C0DE11C" w14:textId="77777777" w:rsidR="008347C3" w:rsidRPr="008347C3" w:rsidRDefault="008347C3" w:rsidP="008347C3">
            <w:pPr>
              <w:spacing w:after="0" w:line="240" w:lineRule="auto"/>
              <w:jc w:val="center"/>
              <w:rPr>
                <w:szCs w:val="20"/>
              </w:rPr>
            </w:pPr>
            <w:r w:rsidRPr="008347C3">
              <w:rPr>
                <w:szCs w:val="20"/>
              </w:rPr>
              <w:t>77 503</w:t>
            </w:r>
          </w:p>
        </w:tc>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center"/>
            <w:hideMark/>
          </w:tcPr>
          <w:p w14:paraId="1B81CC03" w14:textId="77777777" w:rsidR="008347C3" w:rsidRPr="008347C3" w:rsidRDefault="008347C3" w:rsidP="008347C3">
            <w:pPr>
              <w:spacing w:after="0" w:line="240" w:lineRule="auto"/>
              <w:jc w:val="center"/>
              <w:rPr>
                <w:szCs w:val="20"/>
              </w:rPr>
            </w:pPr>
            <w:r w:rsidRPr="008347C3">
              <w:rPr>
                <w:szCs w:val="20"/>
              </w:rPr>
              <w:t>35,8%</w:t>
            </w:r>
          </w:p>
        </w:tc>
      </w:tr>
      <w:tr w:rsidR="008347C3" w:rsidRPr="008347C3" w14:paraId="5C9F1FB7" w14:textId="77777777" w:rsidTr="008347C3">
        <w:trPr>
          <w:trHeight w:val="231"/>
        </w:trPr>
        <w:tc>
          <w:tcPr>
            <w:tcW w:w="0" w:type="auto"/>
            <w:vMerge/>
            <w:tcBorders>
              <w:top w:val="nil"/>
              <w:left w:val="single" w:sz="4" w:space="0" w:color="auto"/>
              <w:bottom w:val="single" w:sz="4" w:space="0" w:color="000000"/>
              <w:right w:val="single" w:sz="4" w:space="0" w:color="auto"/>
            </w:tcBorders>
            <w:shd w:val="clear" w:color="auto" w:fill="FDE9D9" w:themeFill="accent6" w:themeFillTint="33"/>
            <w:vAlign w:val="center"/>
            <w:hideMark/>
          </w:tcPr>
          <w:p w14:paraId="036022DC"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A2608C6" w14:textId="77777777" w:rsidR="008347C3" w:rsidRPr="008347C3" w:rsidRDefault="008347C3" w:rsidP="008347C3">
            <w:pPr>
              <w:spacing w:after="0" w:line="240" w:lineRule="auto"/>
              <w:rPr>
                <w:szCs w:val="20"/>
              </w:rPr>
            </w:pPr>
            <w:r w:rsidRPr="008347C3">
              <w:rPr>
                <w:szCs w:val="20"/>
              </w:rPr>
              <w:t>Primary Schooling (Coloured)</w:t>
            </w:r>
          </w:p>
        </w:tc>
        <w:tc>
          <w:tcPr>
            <w:tcW w:w="0" w:type="auto"/>
            <w:tcBorders>
              <w:top w:val="nil"/>
              <w:left w:val="nil"/>
              <w:bottom w:val="single" w:sz="4" w:space="0" w:color="auto"/>
              <w:right w:val="nil"/>
            </w:tcBorders>
            <w:shd w:val="clear" w:color="auto" w:fill="FDE9D9" w:themeFill="accent6" w:themeFillTint="33"/>
            <w:noWrap/>
            <w:vAlign w:val="bottom"/>
            <w:hideMark/>
          </w:tcPr>
          <w:p w14:paraId="402B45E8" w14:textId="77777777" w:rsidR="008347C3" w:rsidRPr="008347C3" w:rsidRDefault="008347C3" w:rsidP="008347C3">
            <w:pPr>
              <w:spacing w:after="0" w:line="240" w:lineRule="auto"/>
              <w:jc w:val="center"/>
              <w:rPr>
                <w:szCs w:val="20"/>
              </w:rPr>
            </w:pPr>
            <w:r w:rsidRPr="008347C3">
              <w:rPr>
                <w:szCs w:val="20"/>
              </w:rPr>
              <w:t>168</w:t>
            </w:r>
          </w:p>
        </w:tc>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center"/>
            <w:hideMark/>
          </w:tcPr>
          <w:p w14:paraId="5725B50A" w14:textId="77777777" w:rsidR="008347C3" w:rsidRPr="008347C3" w:rsidRDefault="008347C3" w:rsidP="008347C3">
            <w:pPr>
              <w:spacing w:after="0" w:line="240" w:lineRule="auto"/>
              <w:jc w:val="center"/>
              <w:rPr>
                <w:szCs w:val="20"/>
              </w:rPr>
            </w:pPr>
            <w:r w:rsidRPr="008347C3">
              <w:rPr>
                <w:szCs w:val="20"/>
              </w:rPr>
              <w:t>18,6%</w:t>
            </w:r>
          </w:p>
        </w:tc>
      </w:tr>
      <w:tr w:rsidR="008347C3" w:rsidRPr="008347C3" w14:paraId="774C9E79" w14:textId="77777777" w:rsidTr="008347C3">
        <w:trPr>
          <w:trHeight w:val="231"/>
        </w:trPr>
        <w:tc>
          <w:tcPr>
            <w:tcW w:w="0" w:type="auto"/>
            <w:vMerge/>
            <w:tcBorders>
              <w:top w:val="nil"/>
              <w:left w:val="single" w:sz="4" w:space="0" w:color="auto"/>
              <w:bottom w:val="single" w:sz="4" w:space="0" w:color="000000"/>
              <w:right w:val="single" w:sz="4" w:space="0" w:color="auto"/>
            </w:tcBorders>
            <w:shd w:val="clear" w:color="auto" w:fill="FDE9D9" w:themeFill="accent6" w:themeFillTint="33"/>
            <w:vAlign w:val="center"/>
            <w:hideMark/>
          </w:tcPr>
          <w:p w14:paraId="5F909C93"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49D39F39" w14:textId="77777777" w:rsidR="008347C3" w:rsidRPr="008347C3" w:rsidRDefault="008347C3" w:rsidP="008347C3">
            <w:pPr>
              <w:spacing w:after="0" w:line="240" w:lineRule="auto"/>
              <w:rPr>
                <w:szCs w:val="20"/>
              </w:rPr>
            </w:pPr>
            <w:r w:rsidRPr="008347C3">
              <w:rPr>
                <w:szCs w:val="20"/>
              </w:rPr>
              <w:t>Primary Schooling (Indian/Asian)</w:t>
            </w:r>
          </w:p>
        </w:tc>
        <w:tc>
          <w:tcPr>
            <w:tcW w:w="0" w:type="auto"/>
            <w:tcBorders>
              <w:top w:val="nil"/>
              <w:left w:val="nil"/>
              <w:bottom w:val="single" w:sz="4" w:space="0" w:color="auto"/>
              <w:right w:val="nil"/>
            </w:tcBorders>
            <w:shd w:val="clear" w:color="auto" w:fill="FDE9D9" w:themeFill="accent6" w:themeFillTint="33"/>
            <w:noWrap/>
            <w:vAlign w:val="bottom"/>
            <w:hideMark/>
          </w:tcPr>
          <w:p w14:paraId="56903628" w14:textId="77777777" w:rsidR="008347C3" w:rsidRPr="008347C3" w:rsidRDefault="008347C3" w:rsidP="008347C3">
            <w:pPr>
              <w:spacing w:after="0" w:line="240" w:lineRule="auto"/>
              <w:jc w:val="center"/>
              <w:rPr>
                <w:szCs w:val="20"/>
              </w:rPr>
            </w:pPr>
            <w:r w:rsidRPr="008347C3">
              <w:rPr>
                <w:szCs w:val="20"/>
              </w:rPr>
              <w:t>590</w:t>
            </w:r>
          </w:p>
        </w:tc>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center"/>
            <w:hideMark/>
          </w:tcPr>
          <w:p w14:paraId="757A7E4F" w14:textId="77777777" w:rsidR="008347C3" w:rsidRPr="008347C3" w:rsidRDefault="008347C3" w:rsidP="008347C3">
            <w:pPr>
              <w:spacing w:after="0" w:line="240" w:lineRule="auto"/>
              <w:jc w:val="center"/>
              <w:rPr>
                <w:szCs w:val="20"/>
              </w:rPr>
            </w:pPr>
            <w:r w:rsidRPr="008347C3">
              <w:rPr>
                <w:szCs w:val="20"/>
              </w:rPr>
              <w:t>27,5%</w:t>
            </w:r>
          </w:p>
        </w:tc>
      </w:tr>
      <w:tr w:rsidR="008347C3" w:rsidRPr="008347C3" w14:paraId="5234A82C" w14:textId="77777777" w:rsidTr="008347C3">
        <w:trPr>
          <w:trHeight w:val="231"/>
        </w:trPr>
        <w:tc>
          <w:tcPr>
            <w:tcW w:w="0" w:type="auto"/>
            <w:vMerge/>
            <w:tcBorders>
              <w:top w:val="nil"/>
              <w:left w:val="single" w:sz="4" w:space="0" w:color="auto"/>
              <w:bottom w:val="single" w:sz="4" w:space="0" w:color="000000"/>
              <w:right w:val="single" w:sz="4" w:space="0" w:color="auto"/>
            </w:tcBorders>
            <w:shd w:val="clear" w:color="auto" w:fill="FDE9D9" w:themeFill="accent6" w:themeFillTint="33"/>
            <w:vAlign w:val="center"/>
            <w:hideMark/>
          </w:tcPr>
          <w:p w14:paraId="516878E0"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2FF1F906" w14:textId="77777777" w:rsidR="008347C3" w:rsidRPr="008347C3" w:rsidRDefault="008347C3" w:rsidP="008347C3">
            <w:pPr>
              <w:spacing w:after="0" w:line="240" w:lineRule="auto"/>
              <w:rPr>
                <w:szCs w:val="20"/>
              </w:rPr>
            </w:pPr>
            <w:r w:rsidRPr="008347C3">
              <w:rPr>
                <w:szCs w:val="20"/>
              </w:rPr>
              <w:t>Primary Schooling (White)</w:t>
            </w:r>
          </w:p>
        </w:tc>
        <w:tc>
          <w:tcPr>
            <w:tcW w:w="0" w:type="auto"/>
            <w:tcBorders>
              <w:top w:val="nil"/>
              <w:left w:val="nil"/>
              <w:bottom w:val="single" w:sz="4" w:space="0" w:color="auto"/>
              <w:right w:val="nil"/>
            </w:tcBorders>
            <w:shd w:val="clear" w:color="auto" w:fill="FDE9D9" w:themeFill="accent6" w:themeFillTint="33"/>
            <w:noWrap/>
            <w:vAlign w:val="bottom"/>
            <w:hideMark/>
          </w:tcPr>
          <w:p w14:paraId="70EB383D" w14:textId="77777777" w:rsidR="008347C3" w:rsidRPr="008347C3" w:rsidRDefault="008347C3" w:rsidP="008347C3">
            <w:pPr>
              <w:spacing w:after="0" w:line="240" w:lineRule="auto"/>
              <w:jc w:val="center"/>
              <w:rPr>
                <w:szCs w:val="20"/>
              </w:rPr>
            </w:pPr>
            <w:r w:rsidRPr="008347C3">
              <w:rPr>
                <w:szCs w:val="20"/>
              </w:rPr>
              <w:t>335</w:t>
            </w:r>
          </w:p>
        </w:tc>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center"/>
            <w:hideMark/>
          </w:tcPr>
          <w:p w14:paraId="0AD96CEE" w14:textId="77777777" w:rsidR="008347C3" w:rsidRPr="008347C3" w:rsidRDefault="008347C3" w:rsidP="008347C3">
            <w:pPr>
              <w:spacing w:after="0" w:line="240" w:lineRule="auto"/>
              <w:jc w:val="center"/>
              <w:rPr>
                <w:szCs w:val="20"/>
              </w:rPr>
            </w:pPr>
            <w:r w:rsidRPr="008347C3">
              <w:rPr>
                <w:szCs w:val="20"/>
              </w:rPr>
              <w:t>11,8%</w:t>
            </w:r>
          </w:p>
        </w:tc>
      </w:tr>
      <w:tr w:rsidR="008347C3" w:rsidRPr="008347C3" w14:paraId="6620606A" w14:textId="77777777" w:rsidTr="008347C3">
        <w:trPr>
          <w:trHeight w:val="231"/>
        </w:trPr>
        <w:tc>
          <w:tcPr>
            <w:tcW w:w="0" w:type="auto"/>
            <w:vMerge/>
            <w:tcBorders>
              <w:top w:val="nil"/>
              <w:left w:val="single" w:sz="4" w:space="0" w:color="auto"/>
              <w:bottom w:val="single" w:sz="4" w:space="0" w:color="000000"/>
              <w:right w:val="single" w:sz="4" w:space="0" w:color="auto"/>
            </w:tcBorders>
            <w:shd w:val="clear" w:color="auto" w:fill="FDE9D9" w:themeFill="accent6" w:themeFillTint="33"/>
            <w:vAlign w:val="center"/>
            <w:hideMark/>
          </w:tcPr>
          <w:p w14:paraId="4924854A"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191A318A" w14:textId="77777777" w:rsidR="008347C3" w:rsidRPr="008347C3" w:rsidRDefault="008347C3" w:rsidP="008347C3">
            <w:pPr>
              <w:spacing w:after="0" w:line="240" w:lineRule="auto"/>
              <w:rPr>
                <w:szCs w:val="20"/>
              </w:rPr>
            </w:pPr>
            <w:r w:rsidRPr="008347C3">
              <w:rPr>
                <w:szCs w:val="20"/>
              </w:rPr>
              <w:t>Some Secondary (Black African)</w:t>
            </w:r>
          </w:p>
        </w:tc>
        <w:tc>
          <w:tcPr>
            <w:tcW w:w="0" w:type="auto"/>
            <w:tcBorders>
              <w:top w:val="nil"/>
              <w:left w:val="nil"/>
              <w:bottom w:val="single" w:sz="4" w:space="0" w:color="auto"/>
              <w:right w:val="nil"/>
            </w:tcBorders>
            <w:shd w:val="clear" w:color="auto" w:fill="FDE9D9" w:themeFill="accent6" w:themeFillTint="33"/>
            <w:noWrap/>
            <w:vAlign w:val="bottom"/>
            <w:hideMark/>
          </w:tcPr>
          <w:p w14:paraId="1CEB43D1" w14:textId="77777777" w:rsidR="008347C3" w:rsidRPr="008347C3" w:rsidRDefault="008347C3" w:rsidP="008347C3">
            <w:pPr>
              <w:spacing w:after="0" w:line="240" w:lineRule="auto"/>
              <w:jc w:val="center"/>
              <w:rPr>
                <w:szCs w:val="20"/>
              </w:rPr>
            </w:pPr>
            <w:r w:rsidRPr="008347C3">
              <w:rPr>
                <w:szCs w:val="20"/>
              </w:rPr>
              <w:t>49 901</w:t>
            </w:r>
          </w:p>
        </w:tc>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center"/>
            <w:hideMark/>
          </w:tcPr>
          <w:p w14:paraId="089563C0" w14:textId="77777777" w:rsidR="008347C3" w:rsidRPr="008347C3" w:rsidRDefault="008347C3" w:rsidP="008347C3">
            <w:pPr>
              <w:spacing w:after="0" w:line="240" w:lineRule="auto"/>
              <w:jc w:val="center"/>
              <w:rPr>
                <w:szCs w:val="20"/>
              </w:rPr>
            </w:pPr>
            <w:r w:rsidRPr="008347C3">
              <w:rPr>
                <w:szCs w:val="20"/>
              </w:rPr>
              <w:t>23,1%</w:t>
            </w:r>
          </w:p>
        </w:tc>
      </w:tr>
      <w:tr w:rsidR="008347C3" w:rsidRPr="008347C3" w14:paraId="1463C5BE" w14:textId="77777777" w:rsidTr="008347C3">
        <w:trPr>
          <w:trHeight w:val="231"/>
        </w:trPr>
        <w:tc>
          <w:tcPr>
            <w:tcW w:w="0" w:type="auto"/>
            <w:vMerge/>
            <w:tcBorders>
              <w:top w:val="nil"/>
              <w:left w:val="single" w:sz="4" w:space="0" w:color="auto"/>
              <w:bottom w:val="single" w:sz="4" w:space="0" w:color="000000"/>
              <w:right w:val="single" w:sz="4" w:space="0" w:color="auto"/>
            </w:tcBorders>
            <w:shd w:val="clear" w:color="auto" w:fill="FDE9D9" w:themeFill="accent6" w:themeFillTint="33"/>
            <w:vAlign w:val="center"/>
            <w:hideMark/>
          </w:tcPr>
          <w:p w14:paraId="031FAE09"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FDE9D9" w:themeFill="accent6" w:themeFillTint="33"/>
            <w:noWrap/>
            <w:vAlign w:val="center"/>
            <w:hideMark/>
          </w:tcPr>
          <w:p w14:paraId="7164357B" w14:textId="77777777" w:rsidR="008347C3" w:rsidRPr="008347C3" w:rsidRDefault="008347C3" w:rsidP="008347C3">
            <w:pPr>
              <w:spacing w:after="0" w:line="240" w:lineRule="auto"/>
              <w:rPr>
                <w:szCs w:val="20"/>
              </w:rPr>
            </w:pPr>
            <w:r w:rsidRPr="008347C3">
              <w:rPr>
                <w:szCs w:val="20"/>
              </w:rPr>
              <w:t>Some Secondary (Coloured)</w:t>
            </w:r>
          </w:p>
        </w:tc>
        <w:tc>
          <w:tcPr>
            <w:tcW w:w="0" w:type="auto"/>
            <w:tcBorders>
              <w:top w:val="nil"/>
              <w:left w:val="nil"/>
              <w:bottom w:val="single" w:sz="4" w:space="0" w:color="auto"/>
              <w:right w:val="nil"/>
            </w:tcBorders>
            <w:shd w:val="clear" w:color="auto" w:fill="FDE9D9" w:themeFill="accent6" w:themeFillTint="33"/>
            <w:noWrap/>
            <w:vAlign w:val="bottom"/>
            <w:hideMark/>
          </w:tcPr>
          <w:p w14:paraId="2C64A1F4" w14:textId="77777777" w:rsidR="008347C3" w:rsidRPr="008347C3" w:rsidRDefault="008347C3" w:rsidP="008347C3">
            <w:pPr>
              <w:spacing w:after="0" w:line="240" w:lineRule="auto"/>
              <w:jc w:val="center"/>
              <w:rPr>
                <w:szCs w:val="20"/>
              </w:rPr>
            </w:pPr>
            <w:r w:rsidRPr="008347C3">
              <w:rPr>
                <w:szCs w:val="20"/>
              </w:rPr>
              <w:t>277</w:t>
            </w:r>
          </w:p>
        </w:tc>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center"/>
            <w:hideMark/>
          </w:tcPr>
          <w:p w14:paraId="2BA5D832" w14:textId="77777777" w:rsidR="008347C3" w:rsidRPr="008347C3" w:rsidRDefault="008347C3" w:rsidP="008347C3">
            <w:pPr>
              <w:spacing w:after="0" w:line="240" w:lineRule="auto"/>
              <w:jc w:val="center"/>
              <w:rPr>
                <w:szCs w:val="20"/>
              </w:rPr>
            </w:pPr>
            <w:r w:rsidRPr="008347C3">
              <w:rPr>
                <w:szCs w:val="20"/>
              </w:rPr>
              <w:t>30,7%</w:t>
            </w:r>
          </w:p>
        </w:tc>
      </w:tr>
      <w:tr w:rsidR="008347C3" w:rsidRPr="008347C3" w14:paraId="6D7873E5" w14:textId="77777777" w:rsidTr="008347C3">
        <w:trPr>
          <w:trHeight w:val="231"/>
        </w:trPr>
        <w:tc>
          <w:tcPr>
            <w:tcW w:w="0" w:type="auto"/>
            <w:vMerge/>
            <w:tcBorders>
              <w:top w:val="nil"/>
              <w:left w:val="single" w:sz="4" w:space="0" w:color="auto"/>
              <w:bottom w:val="single" w:sz="4" w:space="0" w:color="000000"/>
              <w:right w:val="single" w:sz="4" w:space="0" w:color="auto"/>
            </w:tcBorders>
            <w:shd w:val="clear" w:color="auto" w:fill="FDE9D9" w:themeFill="accent6" w:themeFillTint="33"/>
            <w:vAlign w:val="center"/>
            <w:hideMark/>
          </w:tcPr>
          <w:p w14:paraId="52A5B9C0"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FDE9D9" w:themeFill="accent6" w:themeFillTint="33"/>
            <w:noWrap/>
            <w:vAlign w:val="bottom"/>
            <w:hideMark/>
          </w:tcPr>
          <w:p w14:paraId="3AD3EFA4" w14:textId="77777777" w:rsidR="008347C3" w:rsidRPr="008347C3" w:rsidRDefault="008347C3" w:rsidP="008347C3">
            <w:pPr>
              <w:spacing w:after="0" w:line="240" w:lineRule="auto"/>
              <w:rPr>
                <w:szCs w:val="20"/>
              </w:rPr>
            </w:pPr>
            <w:r w:rsidRPr="008347C3">
              <w:rPr>
                <w:szCs w:val="20"/>
              </w:rPr>
              <w:t>Some Secondary (Indian/Asian)</w:t>
            </w:r>
          </w:p>
        </w:tc>
        <w:tc>
          <w:tcPr>
            <w:tcW w:w="0" w:type="auto"/>
            <w:tcBorders>
              <w:top w:val="nil"/>
              <w:left w:val="nil"/>
              <w:bottom w:val="single" w:sz="4" w:space="0" w:color="auto"/>
              <w:right w:val="nil"/>
            </w:tcBorders>
            <w:shd w:val="clear" w:color="auto" w:fill="FDE9D9" w:themeFill="accent6" w:themeFillTint="33"/>
            <w:noWrap/>
            <w:vAlign w:val="bottom"/>
            <w:hideMark/>
          </w:tcPr>
          <w:p w14:paraId="6F9D27D7" w14:textId="77777777" w:rsidR="008347C3" w:rsidRPr="008347C3" w:rsidRDefault="008347C3" w:rsidP="008347C3">
            <w:pPr>
              <w:spacing w:after="0" w:line="240" w:lineRule="auto"/>
              <w:jc w:val="center"/>
              <w:rPr>
                <w:szCs w:val="20"/>
              </w:rPr>
            </w:pPr>
            <w:r w:rsidRPr="008347C3">
              <w:rPr>
                <w:szCs w:val="20"/>
              </w:rPr>
              <w:t>546</w:t>
            </w:r>
          </w:p>
        </w:tc>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center"/>
            <w:hideMark/>
          </w:tcPr>
          <w:p w14:paraId="7B0E44F5" w14:textId="77777777" w:rsidR="008347C3" w:rsidRPr="008347C3" w:rsidRDefault="008347C3" w:rsidP="008347C3">
            <w:pPr>
              <w:spacing w:after="0" w:line="240" w:lineRule="auto"/>
              <w:jc w:val="center"/>
              <w:rPr>
                <w:szCs w:val="20"/>
              </w:rPr>
            </w:pPr>
            <w:r w:rsidRPr="008347C3">
              <w:rPr>
                <w:szCs w:val="20"/>
              </w:rPr>
              <w:t>25,4%</w:t>
            </w:r>
          </w:p>
        </w:tc>
      </w:tr>
      <w:tr w:rsidR="008347C3" w:rsidRPr="008347C3" w14:paraId="4FDB99CA" w14:textId="77777777" w:rsidTr="008347C3">
        <w:trPr>
          <w:trHeight w:val="231"/>
        </w:trPr>
        <w:tc>
          <w:tcPr>
            <w:tcW w:w="0" w:type="auto"/>
            <w:vMerge/>
            <w:tcBorders>
              <w:top w:val="nil"/>
              <w:left w:val="single" w:sz="4" w:space="0" w:color="auto"/>
              <w:bottom w:val="single" w:sz="4" w:space="0" w:color="000000"/>
              <w:right w:val="single" w:sz="4" w:space="0" w:color="auto"/>
            </w:tcBorders>
            <w:shd w:val="clear" w:color="auto" w:fill="FDE9D9" w:themeFill="accent6" w:themeFillTint="33"/>
            <w:vAlign w:val="center"/>
            <w:hideMark/>
          </w:tcPr>
          <w:p w14:paraId="41031300"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FDE9D9" w:themeFill="accent6" w:themeFillTint="33"/>
            <w:noWrap/>
            <w:vAlign w:val="center"/>
            <w:hideMark/>
          </w:tcPr>
          <w:p w14:paraId="2DFCB5C0" w14:textId="77777777" w:rsidR="008347C3" w:rsidRPr="008347C3" w:rsidRDefault="008347C3" w:rsidP="008347C3">
            <w:pPr>
              <w:spacing w:after="0" w:line="240" w:lineRule="auto"/>
              <w:rPr>
                <w:szCs w:val="20"/>
              </w:rPr>
            </w:pPr>
            <w:r w:rsidRPr="008347C3">
              <w:rPr>
                <w:szCs w:val="20"/>
              </w:rPr>
              <w:t>Some Secondary (White)</w:t>
            </w:r>
          </w:p>
        </w:tc>
        <w:tc>
          <w:tcPr>
            <w:tcW w:w="0" w:type="auto"/>
            <w:tcBorders>
              <w:top w:val="nil"/>
              <w:left w:val="nil"/>
              <w:bottom w:val="single" w:sz="4" w:space="0" w:color="auto"/>
              <w:right w:val="nil"/>
            </w:tcBorders>
            <w:shd w:val="clear" w:color="auto" w:fill="FDE9D9" w:themeFill="accent6" w:themeFillTint="33"/>
            <w:noWrap/>
            <w:vAlign w:val="bottom"/>
            <w:hideMark/>
          </w:tcPr>
          <w:p w14:paraId="52D55CEB" w14:textId="77777777" w:rsidR="008347C3" w:rsidRPr="008347C3" w:rsidRDefault="008347C3" w:rsidP="008347C3">
            <w:pPr>
              <w:spacing w:after="0" w:line="240" w:lineRule="auto"/>
              <w:jc w:val="center"/>
              <w:rPr>
                <w:szCs w:val="20"/>
              </w:rPr>
            </w:pPr>
            <w:r w:rsidRPr="008347C3">
              <w:rPr>
                <w:szCs w:val="20"/>
              </w:rPr>
              <w:t>479</w:t>
            </w:r>
          </w:p>
        </w:tc>
        <w:tc>
          <w:tcPr>
            <w:tcW w:w="0" w:type="auto"/>
            <w:tcBorders>
              <w:top w:val="nil"/>
              <w:left w:val="single" w:sz="4" w:space="0" w:color="auto"/>
              <w:bottom w:val="single" w:sz="4" w:space="0" w:color="auto"/>
              <w:right w:val="single" w:sz="4" w:space="0" w:color="auto"/>
            </w:tcBorders>
            <w:shd w:val="clear" w:color="auto" w:fill="FDE9D9" w:themeFill="accent6" w:themeFillTint="33"/>
            <w:noWrap/>
            <w:vAlign w:val="center"/>
            <w:hideMark/>
          </w:tcPr>
          <w:p w14:paraId="5E5A78DD" w14:textId="77777777" w:rsidR="008347C3" w:rsidRPr="008347C3" w:rsidRDefault="008347C3" w:rsidP="008347C3">
            <w:pPr>
              <w:spacing w:after="0" w:line="240" w:lineRule="auto"/>
              <w:jc w:val="center"/>
              <w:rPr>
                <w:szCs w:val="20"/>
              </w:rPr>
            </w:pPr>
            <w:r w:rsidRPr="008347C3">
              <w:rPr>
                <w:szCs w:val="20"/>
              </w:rPr>
              <w:t>16,8%</w:t>
            </w:r>
          </w:p>
        </w:tc>
      </w:tr>
      <w:tr w:rsidR="008347C3" w:rsidRPr="008347C3" w14:paraId="1ABF9990" w14:textId="77777777" w:rsidTr="008347C3">
        <w:trPr>
          <w:trHeight w:val="231"/>
        </w:trPr>
        <w:tc>
          <w:tcPr>
            <w:tcW w:w="0" w:type="auto"/>
            <w:vMerge/>
            <w:tcBorders>
              <w:top w:val="nil"/>
              <w:left w:val="single" w:sz="4" w:space="0" w:color="auto"/>
              <w:bottom w:val="single" w:sz="4" w:space="0" w:color="000000"/>
              <w:right w:val="single" w:sz="4" w:space="0" w:color="auto"/>
            </w:tcBorders>
            <w:vAlign w:val="center"/>
            <w:hideMark/>
          </w:tcPr>
          <w:p w14:paraId="36A7BC9D"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5BFBB1E5" w14:textId="77777777" w:rsidR="008347C3" w:rsidRPr="008347C3" w:rsidRDefault="008347C3" w:rsidP="008347C3">
            <w:pPr>
              <w:spacing w:after="0" w:line="240" w:lineRule="auto"/>
              <w:rPr>
                <w:szCs w:val="20"/>
              </w:rPr>
            </w:pPr>
            <w:r w:rsidRPr="008347C3">
              <w:rPr>
                <w:szCs w:val="20"/>
              </w:rPr>
              <w:t>Matric (Black African)</w:t>
            </w:r>
          </w:p>
        </w:tc>
        <w:tc>
          <w:tcPr>
            <w:tcW w:w="0" w:type="auto"/>
            <w:tcBorders>
              <w:top w:val="nil"/>
              <w:left w:val="nil"/>
              <w:bottom w:val="single" w:sz="4" w:space="0" w:color="auto"/>
              <w:right w:val="nil"/>
            </w:tcBorders>
            <w:shd w:val="clear" w:color="auto" w:fill="auto"/>
            <w:noWrap/>
            <w:vAlign w:val="bottom"/>
            <w:hideMark/>
          </w:tcPr>
          <w:p w14:paraId="61E47661" w14:textId="77777777" w:rsidR="008347C3" w:rsidRPr="008347C3" w:rsidRDefault="008347C3" w:rsidP="008347C3">
            <w:pPr>
              <w:spacing w:after="0" w:line="240" w:lineRule="auto"/>
              <w:jc w:val="center"/>
              <w:rPr>
                <w:szCs w:val="20"/>
              </w:rPr>
            </w:pPr>
            <w:r w:rsidRPr="008347C3">
              <w:rPr>
                <w:szCs w:val="20"/>
              </w:rPr>
              <w:t>29 859</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9E5F6D" w14:textId="77777777" w:rsidR="008347C3" w:rsidRPr="008347C3" w:rsidRDefault="008347C3" w:rsidP="008347C3">
            <w:pPr>
              <w:spacing w:after="0" w:line="240" w:lineRule="auto"/>
              <w:jc w:val="center"/>
              <w:rPr>
                <w:szCs w:val="20"/>
              </w:rPr>
            </w:pPr>
            <w:r w:rsidRPr="008347C3">
              <w:rPr>
                <w:szCs w:val="20"/>
              </w:rPr>
              <w:t>13,8%</w:t>
            </w:r>
          </w:p>
        </w:tc>
      </w:tr>
      <w:tr w:rsidR="008347C3" w:rsidRPr="008347C3" w14:paraId="3B5FA1C1" w14:textId="77777777" w:rsidTr="008347C3">
        <w:trPr>
          <w:trHeight w:val="231"/>
        </w:trPr>
        <w:tc>
          <w:tcPr>
            <w:tcW w:w="0" w:type="auto"/>
            <w:vMerge/>
            <w:tcBorders>
              <w:top w:val="nil"/>
              <w:left w:val="single" w:sz="4" w:space="0" w:color="auto"/>
              <w:bottom w:val="single" w:sz="4" w:space="0" w:color="000000"/>
              <w:right w:val="single" w:sz="4" w:space="0" w:color="auto"/>
            </w:tcBorders>
            <w:vAlign w:val="center"/>
            <w:hideMark/>
          </w:tcPr>
          <w:p w14:paraId="4372EF4C"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2B53031D" w14:textId="77777777" w:rsidR="008347C3" w:rsidRPr="008347C3" w:rsidRDefault="008347C3" w:rsidP="008347C3">
            <w:pPr>
              <w:spacing w:after="0" w:line="240" w:lineRule="auto"/>
              <w:rPr>
                <w:szCs w:val="20"/>
              </w:rPr>
            </w:pPr>
            <w:r w:rsidRPr="008347C3">
              <w:rPr>
                <w:szCs w:val="20"/>
              </w:rPr>
              <w:t>Matric (Coloured)</w:t>
            </w:r>
          </w:p>
        </w:tc>
        <w:tc>
          <w:tcPr>
            <w:tcW w:w="0" w:type="auto"/>
            <w:tcBorders>
              <w:top w:val="nil"/>
              <w:left w:val="nil"/>
              <w:bottom w:val="single" w:sz="4" w:space="0" w:color="auto"/>
              <w:right w:val="nil"/>
            </w:tcBorders>
            <w:shd w:val="clear" w:color="auto" w:fill="auto"/>
            <w:noWrap/>
            <w:vAlign w:val="bottom"/>
            <w:hideMark/>
          </w:tcPr>
          <w:p w14:paraId="2AAB3479" w14:textId="77777777" w:rsidR="008347C3" w:rsidRPr="008347C3" w:rsidRDefault="008347C3" w:rsidP="008347C3">
            <w:pPr>
              <w:spacing w:after="0" w:line="240" w:lineRule="auto"/>
              <w:jc w:val="center"/>
              <w:rPr>
                <w:szCs w:val="20"/>
              </w:rPr>
            </w:pPr>
            <w:r w:rsidRPr="008347C3">
              <w:rPr>
                <w:szCs w:val="20"/>
              </w:rPr>
              <w:t>339</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508BDA2" w14:textId="77777777" w:rsidR="008347C3" w:rsidRPr="008347C3" w:rsidRDefault="008347C3" w:rsidP="008347C3">
            <w:pPr>
              <w:spacing w:after="0" w:line="240" w:lineRule="auto"/>
              <w:jc w:val="center"/>
              <w:rPr>
                <w:szCs w:val="20"/>
              </w:rPr>
            </w:pPr>
            <w:r w:rsidRPr="008347C3">
              <w:rPr>
                <w:szCs w:val="20"/>
              </w:rPr>
              <w:t>37,6%</w:t>
            </w:r>
          </w:p>
        </w:tc>
      </w:tr>
      <w:tr w:rsidR="008347C3" w:rsidRPr="008347C3" w14:paraId="778C5CE2" w14:textId="77777777" w:rsidTr="008347C3">
        <w:trPr>
          <w:trHeight w:val="231"/>
        </w:trPr>
        <w:tc>
          <w:tcPr>
            <w:tcW w:w="0" w:type="auto"/>
            <w:vMerge/>
            <w:tcBorders>
              <w:top w:val="nil"/>
              <w:left w:val="single" w:sz="4" w:space="0" w:color="auto"/>
              <w:bottom w:val="single" w:sz="4" w:space="0" w:color="000000"/>
              <w:right w:val="single" w:sz="4" w:space="0" w:color="auto"/>
            </w:tcBorders>
            <w:vAlign w:val="center"/>
            <w:hideMark/>
          </w:tcPr>
          <w:p w14:paraId="5ECD41E7"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03661E21" w14:textId="77777777" w:rsidR="008347C3" w:rsidRPr="008347C3" w:rsidRDefault="008347C3" w:rsidP="008347C3">
            <w:pPr>
              <w:spacing w:after="0" w:line="240" w:lineRule="auto"/>
              <w:rPr>
                <w:szCs w:val="20"/>
              </w:rPr>
            </w:pPr>
            <w:r w:rsidRPr="008347C3">
              <w:rPr>
                <w:szCs w:val="20"/>
              </w:rPr>
              <w:t>Matric (Indian/Asian)</w:t>
            </w:r>
          </w:p>
        </w:tc>
        <w:tc>
          <w:tcPr>
            <w:tcW w:w="0" w:type="auto"/>
            <w:tcBorders>
              <w:top w:val="nil"/>
              <w:left w:val="nil"/>
              <w:bottom w:val="single" w:sz="4" w:space="0" w:color="auto"/>
              <w:right w:val="nil"/>
            </w:tcBorders>
            <w:shd w:val="clear" w:color="auto" w:fill="auto"/>
            <w:noWrap/>
            <w:vAlign w:val="bottom"/>
            <w:hideMark/>
          </w:tcPr>
          <w:p w14:paraId="7F9E77FB" w14:textId="77777777" w:rsidR="008347C3" w:rsidRPr="008347C3" w:rsidRDefault="008347C3" w:rsidP="008347C3">
            <w:pPr>
              <w:spacing w:after="0" w:line="240" w:lineRule="auto"/>
              <w:jc w:val="center"/>
              <w:rPr>
                <w:szCs w:val="20"/>
              </w:rPr>
            </w:pPr>
            <w:r w:rsidRPr="008347C3">
              <w:rPr>
                <w:szCs w:val="20"/>
              </w:rPr>
              <w:t>632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6DC786" w14:textId="77777777" w:rsidR="008347C3" w:rsidRPr="008347C3" w:rsidRDefault="008347C3" w:rsidP="008347C3">
            <w:pPr>
              <w:spacing w:after="0" w:line="240" w:lineRule="auto"/>
              <w:jc w:val="center"/>
              <w:rPr>
                <w:szCs w:val="20"/>
              </w:rPr>
            </w:pPr>
            <w:r w:rsidRPr="008347C3">
              <w:rPr>
                <w:szCs w:val="20"/>
              </w:rPr>
              <w:t>29,4%</w:t>
            </w:r>
          </w:p>
        </w:tc>
      </w:tr>
      <w:tr w:rsidR="008347C3" w:rsidRPr="008347C3" w14:paraId="6849648B" w14:textId="77777777" w:rsidTr="008347C3">
        <w:trPr>
          <w:trHeight w:val="231"/>
        </w:trPr>
        <w:tc>
          <w:tcPr>
            <w:tcW w:w="0" w:type="auto"/>
            <w:vMerge/>
            <w:tcBorders>
              <w:top w:val="nil"/>
              <w:left w:val="single" w:sz="4" w:space="0" w:color="auto"/>
              <w:bottom w:val="single" w:sz="4" w:space="0" w:color="000000"/>
              <w:right w:val="single" w:sz="4" w:space="0" w:color="auto"/>
            </w:tcBorders>
            <w:vAlign w:val="center"/>
            <w:hideMark/>
          </w:tcPr>
          <w:p w14:paraId="5ED43805"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0E7603A4" w14:textId="77777777" w:rsidR="008347C3" w:rsidRPr="008347C3" w:rsidRDefault="008347C3" w:rsidP="008347C3">
            <w:pPr>
              <w:spacing w:after="0" w:line="240" w:lineRule="auto"/>
              <w:rPr>
                <w:szCs w:val="20"/>
              </w:rPr>
            </w:pPr>
            <w:r w:rsidRPr="008347C3">
              <w:rPr>
                <w:szCs w:val="20"/>
              </w:rPr>
              <w:t>Matric (White)</w:t>
            </w:r>
          </w:p>
        </w:tc>
        <w:tc>
          <w:tcPr>
            <w:tcW w:w="0" w:type="auto"/>
            <w:tcBorders>
              <w:top w:val="nil"/>
              <w:left w:val="nil"/>
              <w:bottom w:val="single" w:sz="4" w:space="0" w:color="auto"/>
              <w:right w:val="nil"/>
            </w:tcBorders>
            <w:shd w:val="clear" w:color="auto" w:fill="auto"/>
            <w:noWrap/>
            <w:vAlign w:val="bottom"/>
            <w:hideMark/>
          </w:tcPr>
          <w:p w14:paraId="60766CAA" w14:textId="77777777" w:rsidR="008347C3" w:rsidRPr="008347C3" w:rsidRDefault="008347C3" w:rsidP="008347C3">
            <w:pPr>
              <w:spacing w:after="0" w:line="240" w:lineRule="auto"/>
              <w:jc w:val="center"/>
              <w:rPr>
                <w:szCs w:val="20"/>
              </w:rPr>
            </w:pPr>
            <w:r w:rsidRPr="008347C3">
              <w:rPr>
                <w:szCs w:val="20"/>
              </w:rPr>
              <w:t>839</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A33978A" w14:textId="77777777" w:rsidR="008347C3" w:rsidRPr="008347C3" w:rsidRDefault="008347C3" w:rsidP="008347C3">
            <w:pPr>
              <w:spacing w:after="0" w:line="240" w:lineRule="auto"/>
              <w:jc w:val="center"/>
              <w:rPr>
                <w:szCs w:val="20"/>
              </w:rPr>
            </w:pPr>
            <w:r w:rsidRPr="008347C3">
              <w:rPr>
                <w:szCs w:val="20"/>
              </w:rPr>
              <w:t>29,5%</w:t>
            </w:r>
          </w:p>
        </w:tc>
      </w:tr>
      <w:tr w:rsidR="008347C3" w:rsidRPr="008347C3" w14:paraId="3C9CEE8F" w14:textId="77777777" w:rsidTr="008347C3">
        <w:trPr>
          <w:trHeight w:val="231"/>
        </w:trPr>
        <w:tc>
          <w:tcPr>
            <w:tcW w:w="0" w:type="auto"/>
            <w:vMerge/>
            <w:tcBorders>
              <w:top w:val="nil"/>
              <w:left w:val="single" w:sz="4" w:space="0" w:color="auto"/>
              <w:bottom w:val="single" w:sz="4" w:space="0" w:color="000000"/>
              <w:right w:val="single" w:sz="4" w:space="0" w:color="auto"/>
            </w:tcBorders>
            <w:vAlign w:val="center"/>
            <w:hideMark/>
          </w:tcPr>
          <w:p w14:paraId="62A31969"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2612C715" w14:textId="77777777" w:rsidR="008347C3" w:rsidRPr="008347C3" w:rsidRDefault="008347C3" w:rsidP="008347C3">
            <w:pPr>
              <w:spacing w:after="0" w:line="240" w:lineRule="auto"/>
              <w:rPr>
                <w:szCs w:val="20"/>
              </w:rPr>
            </w:pPr>
            <w:r w:rsidRPr="008347C3">
              <w:rPr>
                <w:szCs w:val="20"/>
              </w:rPr>
              <w:t>Tertiary (Black African)</w:t>
            </w:r>
          </w:p>
        </w:tc>
        <w:tc>
          <w:tcPr>
            <w:tcW w:w="0" w:type="auto"/>
            <w:tcBorders>
              <w:top w:val="nil"/>
              <w:left w:val="nil"/>
              <w:bottom w:val="single" w:sz="4" w:space="0" w:color="auto"/>
              <w:right w:val="nil"/>
            </w:tcBorders>
            <w:shd w:val="clear" w:color="auto" w:fill="auto"/>
            <w:noWrap/>
            <w:vAlign w:val="bottom"/>
            <w:hideMark/>
          </w:tcPr>
          <w:p w14:paraId="396C46B9" w14:textId="77777777" w:rsidR="008347C3" w:rsidRPr="008347C3" w:rsidRDefault="008347C3" w:rsidP="008347C3">
            <w:pPr>
              <w:spacing w:after="0" w:line="240" w:lineRule="auto"/>
              <w:jc w:val="center"/>
              <w:rPr>
                <w:szCs w:val="20"/>
              </w:rPr>
            </w:pPr>
            <w:r w:rsidRPr="008347C3">
              <w:rPr>
                <w:szCs w:val="20"/>
              </w:rPr>
              <w:t>5 384</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9E1F5BC" w14:textId="77777777" w:rsidR="008347C3" w:rsidRPr="008347C3" w:rsidRDefault="008347C3" w:rsidP="008347C3">
            <w:pPr>
              <w:spacing w:after="0" w:line="240" w:lineRule="auto"/>
              <w:jc w:val="center"/>
              <w:rPr>
                <w:szCs w:val="20"/>
              </w:rPr>
            </w:pPr>
            <w:r w:rsidRPr="008347C3">
              <w:rPr>
                <w:szCs w:val="20"/>
              </w:rPr>
              <w:t>2,5%</w:t>
            </w:r>
          </w:p>
        </w:tc>
      </w:tr>
      <w:tr w:rsidR="008347C3" w:rsidRPr="008347C3" w14:paraId="3403F4FC" w14:textId="77777777" w:rsidTr="008347C3">
        <w:trPr>
          <w:trHeight w:val="231"/>
        </w:trPr>
        <w:tc>
          <w:tcPr>
            <w:tcW w:w="0" w:type="auto"/>
            <w:vMerge/>
            <w:tcBorders>
              <w:top w:val="nil"/>
              <w:left w:val="single" w:sz="4" w:space="0" w:color="auto"/>
              <w:bottom w:val="single" w:sz="4" w:space="0" w:color="000000"/>
              <w:right w:val="single" w:sz="4" w:space="0" w:color="auto"/>
            </w:tcBorders>
            <w:vAlign w:val="center"/>
            <w:hideMark/>
          </w:tcPr>
          <w:p w14:paraId="6B78C5CE"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13495238" w14:textId="77777777" w:rsidR="008347C3" w:rsidRPr="008347C3" w:rsidRDefault="008347C3" w:rsidP="008347C3">
            <w:pPr>
              <w:spacing w:after="0" w:line="240" w:lineRule="auto"/>
              <w:rPr>
                <w:szCs w:val="20"/>
              </w:rPr>
            </w:pPr>
            <w:r w:rsidRPr="008347C3">
              <w:rPr>
                <w:szCs w:val="20"/>
              </w:rPr>
              <w:t>Tertiary (Coloured)</w:t>
            </w:r>
          </w:p>
        </w:tc>
        <w:tc>
          <w:tcPr>
            <w:tcW w:w="0" w:type="auto"/>
            <w:tcBorders>
              <w:top w:val="nil"/>
              <w:left w:val="nil"/>
              <w:bottom w:val="single" w:sz="4" w:space="0" w:color="auto"/>
              <w:right w:val="nil"/>
            </w:tcBorders>
            <w:shd w:val="clear" w:color="auto" w:fill="auto"/>
            <w:noWrap/>
            <w:vAlign w:val="bottom"/>
            <w:hideMark/>
          </w:tcPr>
          <w:p w14:paraId="7EE3F4D9" w14:textId="77777777" w:rsidR="008347C3" w:rsidRPr="008347C3" w:rsidRDefault="008347C3" w:rsidP="008347C3">
            <w:pPr>
              <w:spacing w:after="0" w:line="240" w:lineRule="auto"/>
              <w:jc w:val="center"/>
              <w:rPr>
                <w:szCs w:val="20"/>
              </w:rPr>
            </w:pPr>
            <w:r w:rsidRPr="008347C3">
              <w:rPr>
                <w:szCs w:val="20"/>
              </w:rPr>
              <w:t>15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35261E" w14:textId="77777777" w:rsidR="008347C3" w:rsidRPr="008347C3" w:rsidRDefault="008347C3" w:rsidP="008347C3">
            <w:pPr>
              <w:spacing w:after="0" w:line="240" w:lineRule="auto"/>
              <w:jc w:val="center"/>
              <w:rPr>
                <w:szCs w:val="20"/>
              </w:rPr>
            </w:pPr>
            <w:r w:rsidRPr="008347C3">
              <w:rPr>
                <w:szCs w:val="20"/>
              </w:rPr>
              <w:t>1,7%</w:t>
            </w:r>
          </w:p>
        </w:tc>
      </w:tr>
      <w:tr w:rsidR="008347C3" w:rsidRPr="008347C3" w14:paraId="19DF141A" w14:textId="77777777" w:rsidTr="008347C3">
        <w:trPr>
          <w:trHeight w:val="231"/>
        </w:trPr>
        <w:tc>
          <w:tcPr>
            <w:tcW w:w="0" w:type="auto"/>
            <w:vMerge/>
            <w:tcBorders>
              <w:top w:val="nil"/>
              <w:left w:val="single" w:sz="4" w:space="0" w:color="auto"/>
              <w:bottom w:val="single" w:sz="4" w:space="0" w:color="000000"/>
              <w:right w:val="single" w:sz="4" w:space="0" w:color="auto"/>
            </w:tcBorders>
            <w:vAlign w:val="center"/>
            <w:hideMark/>
          </w:tcPr>
          <w:p w14:paraId="16DA4835"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4F10D8DE" w14:textId="77777777" w:rsidR="008347C3" w:rsidRPr="008347C3" w:rsidRDefault="008347C3" w:rsidP="008347C3">
            <w:pPr>
              <w:spacing w:after="0" w:line="240" w:lineRule="auto"/>
              <w:rPr>
                <w:szCs w:val="20"/>
              </w:rPr>
            </w:pPr>
            <w:r w:rsidRPr="008347C3">
              <w:rPr>
                <w:szCs w:val="20"/>
              </w:rPr>
              <w:t>Tertiary (Indian/Asian)</w:t>
            </w:r>
          </w:p>
        </w:tc>
        <w:tc>
          <w:tcPr>
            <w:tcW w:w="0" w:type="auto"/>
            <w:tcBorders>
              <w:top w:val="nil"/>
              <w:left w:val="nil"/>
              <w:bottom w:val="single" w:sz="4" w:space="0" w:color="auto"/>
              <w:right w:val="nil"/>
            </w:tcBorders>
            <w:shd w:val="clear" w:color="auto" w:fill="auto"/>
            <w:noWrap/>
            <w:vAlign w:val="bottom"/>
            <w:hideMark/>
          </w:tcPr>
          <w:p w14:paraId="545C9EA7" w14:textId="77777777" w:rsidR="008347C3" w:rsidRPr="008347C3" w:rsidRDefault="008347C3" w:rsidP="008347C3">
            <w:pPr>
              <w:spacing w:after="0" w:line="240" w:lineRule="auto"/>
              <w:jc w:val="center"/>
              <w:rPr>
                <w:szCs w:val="20"/>
              </w:rPr>
            </w:pPr>
            <w:r w:rsidRPr="008347C3">
              <w:rPr>
                <w:szCs w:val="20"/>
              </w:rPr>
              <w:t>93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3F5CFD" w14:textId="77777777" w:rsidR="008347C3" w:rsidRPr="008347C3" w:rsidRDefault="008347C3" w:rsidP="008347C3">
            <w:pPr>
              <w:spacing w:after="0" w:line="240" w:lineRule="auto"/>
              <w:jc w:val="center"/>
              <w:rPr>
                <w:szCs w:val="20"/>
              </w:rPr>
            </w:pPr>
            <w:r w:rsidRPr="008347C3">
              <w:rPr>
                <w:szCs w:val="20"/>
              </w:rPr>
              <w:t>4,3%</w:t>
            </w:r>
          </w:p>
        </w:tc>
      </w:tr>
      <w:tr w:rsidR="008347C3" w:rsidRPr="008347C3" w14:paraId="052066A3" w14:textId="77777777" w:rsidTr="008347C3">
        <w:trPr>
          <w:trHeight w:val="231"/>
        </w:trPr>
        <w:tc>
          <w:tcPr>
            <w:tcW w:w="0" w:type="auto"/>
            <w:vMerge/>
            <w:tcBorders>
              <w:top w:val="nil"/>
              <w:left w:val="single" w:sz="4" w:space="0" w:color="auto"/>
              <w:bottom w:val="single" w:sz="4" w:space="0" w:color="000000"/>
              <w:right w:val="single" w:sz="4" w:space="0" w:color="auto"/>
            </w:tcBorders>
            <w:vAlign w:val="center"/>
            <w:hideMark/>
          </w:tcPr>
          <w:p w14:paraId="1E12FA26"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auto"/>
            <w:noWrap/>
            <w:vAlign w:val="center"/>
            <w:hideMark/>
          </w:tcPr>
          <w:p w14:paraId="59133756" w14:textId="77777777" w:rsidR="008347C3" w:rsidRPr="008347C3" w:rsidRDefault="008347C3" w:rsidP="008347C3">
            <w:pPr>
              <w:spacing w:after="0" w:line="240" w:lineRule="auto"/>
              <w:rPr>
                <w:szCs w:val="20"/>
              </w:rPr>
            </w:pPr>
            <w:r w:rsidRPr="008347C3">
              <w:rPr>
                <w:szCs w:val="20"/>
              </w:rPr>
              <w:t>Tertiary (White)</w:t>
            </w:r>
          </w:p>
        </w:tc>
        <w:tc>
          <w:tcPr>
            <w:tcW w:w="0" w:type="auto"/>
            <w:tcBorders>
              <w:top w:val="nil"/>
              <w:left w:val="nil"/>
              <w:bottom w:val="single" w:sz="4" w:space="0" w:color="auto"/>
              <w:right w:val="nil"/>
            </w:tcBorders>
            <w:shd w:val="clear" w:color="auto" w:fill="auto"/>
            <w:noWrap/>
            <w:vAlign w:val="bottom"/>
            <w:hideMark/>
          </w:tcPr>
          <w:p w14:paraId="513EBEC0" w14:textId="77777777" w:rsidR="008347C3" w:rsidRPr="008347C3" w:rsidRDefault="008347C3" w:rsidP="008347C3">
            <w:pPr>
              <w:spacing w:after="0" w:line="240" w:lineRule="auto"/>
              <w:jc w:val="center"/>
              <w:rPr>
                <w:szCs w:val="20"/>
              </w:rPr>
            </w:pPr>
            <w:r w:rsidRPr="008347C3">
              <w:rPr>
                <w:szCs w:val="20"/>
              </w:rPr>
              <w:t>914</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F28A3CA" w14:textId="77777777" w:rsidR="008347C3" w:rsidRPr="008347C3" w:rsidRDefault="008347C3" w:rsidP="008347C3">
            <w:pPr>
              <w:spacing w:after="0" w:line="240" w:lineRule="auto"/>
              <w:jc w:val="center"/>
              <w:rPr>
                <w:szCs w:val="20"/>
              </w:rPr>
            </w:pPr>
            <w:r w:rsidRPr="008347C3">
              <w:rPr>
                <w:szCs w:val="20"/>
              </w:rPr>
              <w:t>32,1%</w:t>
            </w:r>
          </w:p>
        </w:tc>
      </w:tr>
      <w:tr w:rsidR="008347C3" w:rsidRPr="008347C3" w14:paraId="6C188F05" w14:textId="77777777" w:rsidTr="00164A30">
        <w:trPr>
          <w:trHeight w:val="210"/>
        </w:trPr>
        <w:tc>
          <w:tcPr>
            <w:tcW w:w="0" w:type="auto"/>
            <w:tcBorders>
              <w:top w:val="nil"/>
              <w:left w:val="single" w:sz="4" w:space="0" w:color="auto"/>
              <w:bottom w:val="single" w:sz="8" w:space="0" w:color="auto"/>
              <w:right w:val="single" w:sz="4" w:space="0" w:color="auto"/>
            </w:tcBorders>
            <w:shd w:val="clear" w:color="auto" w:fill="E5DFEC" w:themeFill="accent4" w:themeFillTint="33"/>
            <w:vAlign w:val="center"/>
            <w:hideMark/>
          </w:tcPr>
          <w:p w14:paraId="470E1E35" w14:textId="77777777" w:rsidR="008347C3" w:rsidRPr="008347C3" w:rsidRDefault="008347C3" w:rsidP="008347C3">
            <w:pPr>
              <w:spacing w:after="0" w:line="240" w:lineRule="auto"/>
              <w:rPr>
                <w:szCs w:val="20"/>
              </w:rPr>
            </w:pPr>
            <w:r w:rsidRPr="008347C3">
              <w:rPr>
                <w:szCs w:val="20"/>
              </w:rPr>
              <w:t>Matric (20+ age group)</w:t>
            </w:r>
          </w:p>
        </w:tc>
        <w:tc>
          <w:tcPr>
            <w:tcW w:w="0" w:type="auto"/>
            <w:tcBorders>
              <w:top w:val="nil"/>
              <w:left w:val="nil"/>
              <w:bottom w:val="single" w:sz="8" w:space="0" w:color="auto"/>
              <w:right w:val="single" w:sz="4" w:space="0" w:color="auto"/>
            </w:tcBorders>
            <w:shd w:val="clear" w:color="auto" w:fill="E5DFEC" w:themeFill="accent4" w:themeFillTint="33"/>
            <w:noWrap/>
            <w:vAlign w:val="center"/>
            <w:hideMark/>
          </w:tcPr>
          <w:p w14:paraId="03A9AA6E" w14:textId="77777777" w:rsidR="008347C3" w:rsidRPr="008347C3" w:rsidRDefault="008347C3" w:rsidP="008347C3">
            <w:pPr>
              <w:spacing w:after="0" w:line="240" w:lineRule="auto"/>
              <w:rPr>
                <w:szCs w:val="20"/>
              </w:rPr>
            </w:pPr>
            <w:r w:rsidRPr="008347C3">
              <w:rPr>
                <w:szCs w:val="20"/>
              </w:rPr>
              <w:t>Total</w:t>
            </w:r>
          </w:p>
        </w:tc>
        <w:tc>
          <w:tcPr>
            <w:tcW w:w="0" w:type="auto"/>
            <w:tcBorders>
              <w:top w:val="nil"/>
              <w:left w:val="nil"/>
              <w:bottom w:val="single" w:sz="8" w:space="0" w:color="auto"/>
              <w:right w:val="single" w:sz="4" w:space="0" w:color="auto"/>
            </w:tcBorders>
            <w:shd w:val="clear" w:color="auto" w:fill="E5DFEC" w:themeFill="accent4" w:themeFillTint="33"/>
            <w:noWrap/>
            <w:vAlign w:val="bottom"/>
            <w:hideMark/>
          </w:tcPr>
          <w:p w14:paraId="1EFBE2E7" w14:textId="77777777" w:rsidR="008347C3" w:rsidRPr="008347C3" w:rsidRDefault="008347C3" w:rsidP="008347C3">
            <w:pPr>
              <w:spacing w:after="0" w:line="240" w:lineRule="auto"/>
              <w:jc w:val="center"/>
              <w:rPr>
                <w:szCs w:val="20"/>
              </w:rPr>
            </w:pPr>
            <w:r w:rsidRPr="008347C3">
              <w:rPr>
                <w:szCs w:val="20"/>
              </w:rPr>
              <w:t>29 728</w:t>
            </w:r>
          </w:p>
        </w:tc>
        <w:tc>
          <w:tcPr>
            <w:tcW w:w="0" w:type="auto"/>
            <w:tcBorders>
              <w:top w:val="nil"/>
              <w:left w:val="nil"/>
              <w:bottom w:val="single" w:sz="8" w:space="0" w:color="auto"/>
              <w:right w:val="single" w:sz="4" w:space="0" w:color="auto"/>
            </w:tcBorders>
            <w:shd w:val="clear" w:color="auto" w:fill="E5DFEC" w:themeFill="accent4" w:themeFillTint="33"/>
            <w:noWrap/>
            <w:vAlign w:val="center"/>
            <w:hideMark/>
          </w:tcPr>
          <w:p w14:paraId="403C8073" w14:textId="77777777" w:rsidR="008347C3" w:rsidRPr="008347C3" w:rsidRDefault="008347C3" w:rsidP="008347C3">
            <w:pPr>
              <w:spacing w:after="0" w:line="240" w:lineRule="auto"/>
              <w:jc w:val="center"/>
              <w:rPr>
                <w:szCs w:val="20"/>
              </w:rPr>
            </w:pPr>
            <w:r w:rsidRPr="008347C3">
              <w:rPr>
                <w:szCs w:val="20"/>
              </w:rPr>
              <w:t>28,4%</w:t>
            </w:r>
          </w:p>
        </w:tc>
      </w:tr>
      <w:tr w:rsidR="008347C3" w:rsidRPr="008347C3" w14:paraId="70D420EA" w14:textId="77777777" w:rsidTr="00164A30">
        <w:trPr>
          <w:trHeight w:val="231"/>
        </w:trPr>
        <w:tc>
          <w:tcPr>
            <w:tcW w:w="0" w:type="auto"/>
            <w:vMerge w:val="restart"/>
            <w:tcBorders>
              <w:top w:val="nil"/>
              <w:left w:val="single" w:sz="4" w:space="0" w:color="auto"/>
              <w:bottom w:val="single" w:sz="8" w:space="0" w:color="000000"/>
              <w:right w:val="single" w:sz="4" w:space="0" w:color="auto"/>
            </w:tcBorders>
            <w:shd w:val="clear" w:color="auto" w:fill="E5DFEC" w:themeFill="accent4" w:themeFillTint="33"/>
            <w:vAlign w:val="center"/>
            <w:hideMark/>
          </w:tcPr>
          <w:p w14:paraId="0533AB74" w14:textId="77777777" w:rsidR="008347C3" w:rsidRPr="008347C3" w:rsidRDefault="008347C3" w:rsidP="008347C3">
            <w:pPr>
              <w:spacing w:after="0" w:line="240" w:lineRule="auto"/>
              <w:rPr>
                <w:szCs w:val="20"/>
              </w:rPr>
            </w:pPr>
            <w:r w:rsidRPr="008347C3">
              <w:rPr>
                <w:szCs w:val="20"/>
              </w:rPr>
              <w:t>Matric (20+ age group by gender)</w:t>
            </w:r>
          </w:p>
        </w:tc>
        <w:tc>
          <w:tcPr>
            <w:tcW w:w="0" w:type="auto"/>
            <w:tcBorders>
              <w:top w:val="nil"/>
              <w:left w:val="nil"/>
              <w:bottom w:val="single" w:sz="4" w:space="0" w:color="auto"/>
              <w:right w:val="single" w:sz="4" w:space="0" w:color="auto"/>
            </w:tcBorders>
            <w:shd w:val="clear" w:color="auto" w:fill="E5DFEC" w:themeFill="accent4" w:themeFillTint="33"/>
            <w:noWrap/>
            <w:vAlign w:val="center"/>
            <w:hideMark/>
          </w:tcPr>
          <w:p w14:paraId="2A4545B4" w14:textId="77777777" w:rsidR="008347C3" w:rsidRPr="008347C3" w:rsidRDefault="008347C3" w:rsidP="008347C3">
            <w:pPr>
              <w:spacing w:after="0" w:line="240" w:lineRule="auto"/>
              <w:rPr>
                <w:szCs w:val="20"/>
              </w:rPr>
            </w:pPr>
            <w:r w:rsidRPr="008347C3">
              <w:rPr>
                <w:szCs w:val="20"/>
              </w:rPr>
              <w:t>Male</w:t>
            </w:r>
          </w:p>
        </w:tc>
        <w:tc>
          <w:tcPr>
            <w:tcW w:w="0" w:type="auto"/>
            <w:tcBorders>
              <w:top w:val="nil"/>
              <w:left w:val="nil"/>
              <w:bottom w:val="single" w:sz="4" w:space="0" w:color="auto"/>
              <w:right w:val="single" w:sz="4" w:space="0" w:color="auto"/>
            </w:tcBorders>
            <w:shd w:val="clear" w:color="auto" w:fill="E5DFEC" w:themeFill="accent4" w:themeFillTint="33"/>
            <w:noWrap/>
            <w:vAlign w:val="bottom"/>
            <w:hideMark/>
          </w:tcPr>
          <w:p w14:paraId="3E8FC596" w14:textId="77777777" w:rsidR="008347C3" w:rsidRPr="008347C3" w:rsidRDefault="008347C3" w:rsidP="008347C3">
            <w:pPr>
              <w:spacing w:after="0" w:line="240" w:lineRule="auto"/>
              <w:jc w:val="center"/>
              <w:rPr>
                <w:szCs w:val="20"/>
              </w:rPr>
            </w:pPr>
            <w:r w:rsidRPr="008347C3">
              <w:rPr>
                <w:szCs w:val="20"/>
              </w:rPr>
              <w:t>13 496</w:t>
            </w:r>
          </w:p>
        </w:tc>
        <w:tc>
          <w:tcPr>
            <w:tcW w:w="0" w:type="auto"/>
            <w:tcBorders>
              <w:top w:val="nil"/>
              <w:left w:val="nil"/>
              <w:bottom w:val="single" w:sz="4" w:space="0" w:color="auto"/>
              <w:right w:val="single" w:sz="4" w:space="0" w:color="auto"/>
            </w:tcBorders>
            <w:shd w:val="clear" w:color="auto" w:fill="E5DFEC" w:themeFill="accent4" w:themeFillTint="33"/>
            <w:noWrap/>
            <w:vAlign w:val="center"/>
            <w:hideMark/>
          </w:tcPr>
          <w:p w14:paraId="2C9BD200" w14:textId="77777777" w:rsidR="008347C3" w:rsidRPr="008347C3" w:rsidRDefault="008347C3" w:rsidP="008347C3">
            <w:pPr>
              <w:spacing w:after="0" w:line="240" w:lineRule="auto"/>
              <w:jc w:val="center"/>
              <w:rPr>
                <w:szCs w:val="20"/>
              </w:rPr>
            </w:pPr>
            <w:r w:rsidRPr="008347C3">
              <w:rPr>
                <w:szCs w:val="20"/>
              </w:rPr>
              <w:t>30,5%</w:t>
            </w:r>
          </w:p>
        </w:tc>
      </w:tr>
      <w:tr w:rsidR="008347C3" w:rsidRPr="008347C3" w14:paraId="0AED25E7" w14:textId="77777777" w:rsidTr="00164A30">
        <w:trPr>
          <w:trHeight w:val="241"/>
        </w:trPr>
        <w:tc>
          <w:tcPr>
            <w:tcW w:w="0" w:type="auto"/>
            <w:vMerge/>
            <w:tcBorders>
              <w:top w:val="nil"/>
              <w:left w:val="single" w:sz="4" w:space="0" w:color="auto"/>
              <w:bottom w:val="single" w:sz="8" w:space="0" w:color="000000"/>
              <w:right w:val="single" w:sz="4" w:space="0" w:color="auto"/>
            </w:tcBorders>
            <w:shd w:val="clear" w:color="auto" w:fill="E5DFEC" w:themeFill="accent4" w:themeFillTint="33"/>
            <w:vAlign w:val="center"/>
            <w:hideMark/>
          </w:tcPr>
          <w:p w14:paraId="14FFA5D3" w14:textId="77777777" w:rsidR="008347C3" w:rsidRPr="008347C3" w:rsidRDefault="008347C3" w:rsidP="008347C3">
            <w:pPr>
              <w:spacing w:after="0" w:line="240" w:lineRule="auto"/>
              <w:rPr>
                <w:szCs w:val="20"/>
              </w:rPr>
            </w:pPr>
          </w:p>
        </w:tc>
        <w:tc>
          <w:tcPr>
            <w:tcW w:w="0" w:type="auto"/>
            <w:tcBorders>
              <w:top w:val="nil"/>
              <w:left w:val="nil"/>
              <w:bottom w:val="single" w:sz="8" w:space="0" w:color="auto"/>
              <w:right w:val="single" w:sz="4" w:space="0" w:color="auto"/>
            </w:tcBorders>
            <w:shd w:val="clear" w:color="auto" w:fill="E5DFEC" w:themeFill="accent4" w:themeFillTint="33"/>
            <w:noWrap/>
            <w:vAlign w:val="center"/>
            <w:hideMark/>
          </w:tcPr>
          <w:p w14:paraId="2E894A06" w14:textId="77777777" w:rsidR="008347C3" w:rsidRPr="008347C3" w:rsidRDefault="008347C3" w:rsidP="008347C3">
            <w:pPr>
              <w:spacing w:after="0" w:line="240" w:lineRule="auto"/>
              <w:rPr>
                <w:szCs w:val="20"/>
              </w:rPr>
            </w:pPr>
            <w:r w:rsidRPr="008347C3">
              <w:rPr>
                <w:szCs w:val="20"/>
              </w:rPr>
              <w:t>Female</w:t>
            </w:r>
          </w:p>
        </w:tc>
        <w:tc>
          <w:tcPr>
            <w:tcW w:w="0" w:type="auto"/>
            <w:tcBorders>
              <w:top w:val="nil"/>
              <w:left w:val="nil"/>
              <w:bottom w:val="single" w:sz="8" w:space="0" w:color="auto"/>
              <w:right w:val="single" w:sz="4" w:space="0" w:color="auto"/>
            </w:tcBorders>
            <w:shd w:val="clear" w:color="auto" w:fill="E5DFEC" w:themeFill="accent4" w:themeFillTint="33"/>
            <w:noWrap/>
            <w:vAlign w:val="bottom"/>
            <w:hideMark/>
          </w:tcPr>
          <w:p w14:paraId="63E98EC3" w14:textId="77777777" w:rsidR="008347C3" w:rsidRPr="008347C3" w:rsidRDefault="008347C3" w:rsidP="008347C3">
            <w:pPr>
              <w:spacing w:after="0" w:line="240" w:lineRule="auto"/>
              <w:jc w:val="center"/>
              <w:rPr>
                <w:szCs w:val="20"/>
              </w:rPr>
            </w:pPr>
            <w:r w:rsidRPr="008347C3">
              <w:rPr>
                <w:szCs w:val="20"/>
              </w:rPr>
              <w:t>16 232</w:t>
            </w:r>
          </w:p>
        </w:tc>
        <w:tc>
          <w:tcPr>
            <w:tcW w:w="0" w:type="auto"/>
            <w:tcBorders>
              <w:top w:val="nil"/>
              <w:left w:val="nil"/>
              <w:bottom w:val="single" w:sz="8" w:space="0" w:color="auto"/>
              <w:right w:val="single" w:sz="4" w:space="0" w:color="auto"/>
            </w:tcBorders>
            <w:shd w:val="clear" w:color="auto" w:fill="E5DFEC" w:themeFill="accent4" w:themeFillTint="33"/>
            <w:noWrap/>
            <w:vAlign w:val="center"/>
            <w:hideMark/>
          </w:tcPr>
          <w:p w14:paraId="1216ACBA" w14:textId="77777777" w:rsidR="008347C3" w:rsidRPr="008347C3" w:rsidRDefault="008347C3" w:rsidP="008347C3">
            <w:pPr>
              <w:spacing w:after="0" w:line="240" w:lineRule="auto"/>
              <w:jc w:val="center"/>
              <w:rPr>
                <w:szCs w:val="20"/>
              </w:rPr>
            </w:pPr>
            <w:r w:rsidRPr="008347C3">
              <w:rPr>
                <w:szCs w:val="20"/>
              </w:rPr>
              <w:t>26,8%</w:t>
            </w:r>
          </w:p>
        </w:tc>
      </w:tr>
      <w:tr w:rsidR="008347C3" w:rsidRPr="008347C3" w14:paraId="19DD6995" w14:textId="77777777" w:rsidTr="00164A30">
        <w:trPr>
          <w:trHeight w:val="231"/>
        </w:trPr>
        <w:tc>
          <w:tcPr>
            <w:tcW w:w="0" w:type="auto"/>
            <w:vMerge w:val="restart"/>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46D3C996" w14:textId="77777777" w:rsidR="008347C3" w:rsidRPr="008347C3" w:rsidRDefault="008347C3" w:rsidP="008347C3">
            <w:pPr>
              <w:spacing w:after="0" w:line="240" w:lineRule="auto"/>
              <w:rPr>
                <w:szCs w:val="20"/>
              </w:rPr>
            </w:pPr>
            <w:r w:rsidRPr="008347C3">
              <w:rPr>
                <w:szCs w:val="20"/>
              </w:rPr>
              <w:t>Matric (20+ age group by population group)</w:t>
            </w:r>
          </w:p>
        </w:tc>
        <w:tc>
          <w:tcPr>
            <w:tcW w:w="0" w:type="auto"/>
            <w:tcBorders>
              <w:top w:val="nil"/>
              <w:left w:val="nil"/>
              <w:bottom w:val="single" w:sz="4" w:space="0" w:color="auto"/>
              <w:right w:val="single" w:sz="4" w:space="0" w:color="auto"/>
            </w:tcBorders>
            <w:shd w:val="clear" w:color="auto" w:fill="E5DFEC" w:themeFill="accent4" w:themeFillTint="33"/>
            <w:noWrap/>
            <w:vAlign w:val="center"/>
            <w:hideMark/>
          </w:tcPr>
          <w:p w14:paraId="45E961F3" w14:textId="77777777" w:rsidR="008347C3" w:rsidRPr="008347C3" w:rsidRDefault="008347C3" w:rsidP="008347C3">
            <w:pPr>
              <w:spacing w:after="0" w:line="240" w:lineRule="auto"/>
              <w:rPr>
                <w:szCs w:val="20"/>
              </w:rPr>
            </w:pPr>
            <w:r w:rsidRPr="008347C3">
              <w:rPr>
                <w:szCs w:val="20"/>
              </w:rPr>
              <w:t>Black African</w:t>
            </w:r>
          </w:p>
        </w:tc>
        <w:tc>
          <w:tcPr>
            <w:tcW w:w="0" w:type="auto"/>
            <w:tcBorders>
              <w:top w:val="nil"/>
              <w:left w:val="nil"/>
              <w:bottom w:val="single" w:sz="4" w:space="0" w:color="auto"/>
              <w:right w:val="single" w:sz="4" w:space="0" w:color="auto"/>
            </w:tcBorders>
            <w:shd w:val="clear" w:color="auto" w:fill="E5DFEC" w:themeFill="accent4" w:themeFillTint="33"/>
            <w:noWrap/>
            <w:vAlign w:val="bottom"/>
            <w:hideMark/>
          </w:tcPr>
          <w:p w14:paraId="255F74AE" w14:textId="77777777" w:rsidR="008347C3" w:rsidRPr="008347C3" w:rsidRDefault="008347C3" w:rsidP="008347C3">
            <w:pPr>
              <w:spacing w:after="0" w:line="240" w:lineRule="auto"/>
              <w:jc w:val="center"/>
              <w:rPr>
                <w:szCs w:val="20"/>
              </w:rPr>
            </w:pPr>
            <w:r w:rsidRPr="008347C3">
              <w:rPr>
                <w:szCs w:val="20"/>
              </w:rPr>
              <w:t>28 013</w:t>
            </w:r>
          </w:p>
        </w:tc>
        <w:tc>
          <w:tcPr>
            <w:tcW w:w="0" w:type="auto"/>
            <w:tcBorders>
              <w:top w:val="nil"/>
              <w:left w:val="nil"/>
              <w:bottom w:val="single" w:sz="4" w:space="0" w:color="auto"/>
              <w:right w:val="single" w:sz="4" w:space="0" w:color="auto"/>
            </w:tcBorders>
            <w:shd w:val="clear" w:color="auto" w:fill="E5DFEC" w:themeFill="accent4" w:themeFillTint="33"/>
            <w:noWrap/>
            <w:vAlign w:val="center"/>
            <w:hideMark/>
          </w:tcPr>
          <w:p w14:paraId="5A0C0309" w14:textId="77777777" w:rsidR="008347C3" w:rsidRPr="008347C3" w:rsidRDefault="008347C3" w:rsidP="008347C3">
            <w:pPr>
              <w:spacing w:after="0" w:line="240" w:lineRule="auto"/>
              <w:jc w:val="center"/>
              <w:rPr>
                <w:szCs w:val="20"/>
              </w:rPr>
            </w:pPr>
            <w:r w:rsidRPr="008347C3">
              <w:rPr>
                <w:szCs w:val="20"/>
              </w:rPr>
              <w:t>27,9%</w:t>
            </w:r>
          </w:p>
        </w:tc>
      </w:tr>
      <w:tr w:rsidR="008347C3" w:rsidRPr="008347C3" w14:paraId="1473E5A2" w14:textId="77777777" w:rsidTr="00164A30">
        <w:trPr>
          <w:trHeight w:val="231"/>
        </w:trPr>
        <w:tc>
          <w:tcPr>
            <w:tcW w:w="0" w:type="auto"/>
            <w:vMerge/>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5E282F86"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E5DFEC" w:themeFill="accent4" w:themeFillTint="33"/>
            <w:noWrap/>
            <w:vAlign w:val="center"/>
            <w:hideMark/>
          </w:tcPr>
          <w:p w14:paraId="46B422F0" w14:textId="77777777" w:rsidR="008347C3" w:rsidRPr="008347C3" w:rsidRDefault="008347C3" w:rsidP="008347C3">
            <w:pPr>
              <w:spacing w:after="0" w:line="240" w:lineRule="auto"/>
              <w:rPr>
                <w:szCs w:val="20"/>
              </w:rPr>
            </w:pPr>
            <w:r w:rsidRPr="008347C3">
              <w:rPr>
                <w:szCs w:val="20"/>
              </w:rPr>
              <w:t>Coloured</w:t>
            </w:r>
          </w:p>
        </w:tc>
        <w:tc>
          <w:tcPr>
            <w:tcW w:w="0" w:type="auto"/>
            <w:tcBorders>
              <w:top w:val="nil"/>
              <w:left w:val="nil"/>
              <w:bottom w:val="single" w:sz="4" w:space="0" w:color="auto"/>
              <w:right w:val="single" w:sz="4" w:space="0" w:color="auto"/>
            </w:tcBorders>
            <w:shd w:val="clear" w:color="auto" w:fill="E5DFEC" w:themeFill="accent4" w:themeFillTint="33"/>
            <w:noWrap/>
            <w:vAlign w:val="bottom"/>
            <w:hideMark/>
          </w:tcPr>
          <w:p w14:paraId="07AD2350" w14:textId="77777777" w:rsidR="008347C3" w:rsidRPr="008347C3" w:rsidRDefault="008347C3" w:rsidP="008347C3">
            <w:pPr>
              <w:spacing w:after="0" w:line="240" w:lineRule="auto"/>
              <w:jc w:val="center"/>
              <w:rPr>
                <w:szCs w:val="20"/>
              </w:rPr>
            </w:pPr>
            <w:r w:rsidRPr="008347C3">
              <w:rPr>
                <w:szCs w:val="20"/>
              </w:rPr>
              <w:t>317</w:t>
            </w:r>
          </w:p>
        </w:tc>
        <w:tc>
          <w:tcPr>
            <w:tcW w:w="0" w:type="auto"/>
            <w:tcBorders>
              <w:top w:val="nil"/>
              <w:left w:val="nil"/>
              <w:bottom w:val="single" w:sz="4" w:space="0" w:color="auto"/>
              <w:right w:val="single" w:sz="4" w:space="0" w:color="auto"/>
            </w:tcBorders>
            <w:shd w:val="clear" w:color="auto" w:fill="E5DFEC" w:themeFill="accent4" w:themeFillTint="33"/>
            <w:noWrap/>
            <w:vAlign w:val="center"/>
            <w:hideMark/>
          </w:tcPr>
          <w:p w14:paraId="18306A8A" w14:textId="77777777" w:rsidR="008347C3" w:rsidRPr="008347C3" w:rsidRDefault="008347C3" w:rsidP="008347C3">
            <w:pPr>
              <w:spacing w:after="0" w:line="240" w:lineRule="auto"/>
              <w:jc w:val="center"/>
              <w:rPr>
                <w:szCs w:val="20"/>
              </w:rPr>
            </w:pPr>
            <w:r w:rsidRPr="008347C3">
              <w:rPr>
                <w:szCs w:val="20"/>
              </w:rPr>
              <w:t>47,5%</w:t>
            </w:r>
          </w:p>
        </w:tc>
      </w:tr>
      <w:tr w:rsidR="008347C3" w:rsidRPr="008347C3" w14:paraId="5AA02AC5" w14:textId="77777777" w:rsidTr="00164A30">
        <w:trPr>
          <w:trHeight w:val="231"/>
        </w:trPr>
        <w:tc>
          <w:tcPr>
            <w:tcW w:w="0" w:type="auto"/>
            <w:vMerge/>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3D3D45DA"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E5DFEC" w:themeFill="accent4" w:themeFillTint="33"/>
            <w:noWrap/>
            <w:vAlign w:val="center"/>
            <w:hideMark/>
          </w:tcPr>
          <w:p w14:paraId="72AD9967" w14:textId="77777777" w:rsidR="008347C3" w:rsidRPr="008347C3" w:rsidRDefault="008347C3" w:rsidP="008347C3">
            <w:pPr>
              <w:spacing w:after="0" w:line="240" w:lineRule="auto"/>
              <w:rPr>
                <w:szCs w:val="20"/>
              </w:rPr>
            </w:pPr>
            <w:r w:rsidRPr="008347C3">
              <w:rPr>
                <w:szCs w:val="20"/>
              </w:rPr>
              <w:t>Indian/Asian</w:t>
            </w:r>
          </w:p>
        </w:tc>
        <w:tc>
          <w:tcPr>
            <w:tcW w:w="0" w:type="auto"/>
            <w:tcBorders>
              <w:top w:val="nil"/>
              <w:left w:val="nil"/>
              <w:bottom w:val="single" w:sz="4" w:space="0" w:color="auto"/>
              <w:right w:val="single" w:sz="4" w:space="0" w:color="auto"/>
            </w:tcBorders>
            <w:shd w:val="clear" w:color="auto" w:fill="E5DFEC" w:themeFill="accent4" w:themeFillTint="33"/>
            <w:noWrap/>
            <w:vAlign w:val="bottom"/>
            <w:hideMark/>
          </w:tcPr>
          <w:p w14:paraId="08E30320" w14:textId="77777777" w:rsidR="008347C3" w:rsidRPr="008347C3" w:rsidRDefault="008347C3" w:rsidP="008347C3">
            <w:pPr>
              <w:spacing w:after="0" w:line="240" w:lineRule="auto"/>
              <w:jc w:val="center"/>
              <w:rPr>
                <w:szCs w:val="20"/>
              </w:rPr>
            </w:pPr>
            <w:r w:rsidRPr="008347C3">
              <w:rPr>
                <w:szCs w:val="20"/>
              </w:rPr>
              <w:t>558</w:t>
            </w:r>
          </w:p>
        </w:tc>
        <w:tc>
          <w:tcPr>
            <w:tcW w:w="0" w:type="auto"/>
            <w:tcBorders>
              <w:top w:val="nil"/>
              <w:left w:val="nil"/>
              <w:bottom w:val="single" w:sz="4" w:space="0" w:color="auto"/>
              <w:right w:val="single" w:sz="4" w:space="0" w:color="auto"/>
            </w:tcBorders>
            <w:shd w:val="clear" w:color="auto" w:fill="E5DFEC" w:themeFill="accent4" w:themeFillTint="33"/>
            <w:noWrap/>
            <w:vAlign w:val="center"/>
            <w:hideMark/>
          </w:tcPr>
          <w:p w14:paraId="07FB9C19" w14:textId="77777777" w:rsidR="008347C3" w:rsidRPr="008347C3" w:rsidRDefault="008347C3" w:rsidP="008347C3">
            <w:pPr>
              <w:spacing w:after="0" w:line="240" w:lineRule="auto"/>
              <w:jc w:val="center"/>
              <w:rPr>
                <w:szCs w:val="20"/>
              </w:rPr>
            </w:pPr>
            <w:r w:rsidRPr="008347C3">
              <w:rPr>
                <w:szCs w:val="20"/>
              </w:rPr>
              <w:t>41,6%</w:t>
            </w:r>
          </w:p>
        </w:tc>
      </w:tr>
      <w:tr w:rsidR="008347C3" w:rsidRPr="008347C3" w14:paraId="0757F426" w14:textId="77777777" w:rsidTr="00164A30">
        <w:trPr>
          <w:trHeight w:val="231"/>
        </w:trPr>
        <w:tc>
          <w:tcPr>
            <w:tcW w:w="0" w:type="auto"/>
            <w:vMerge/>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4D95B08A" w14:textId="77777777" w:rsidR="008347C3" w:rsidRPr="008347C3" w:rsidRDefault="008347C3" w:rsidP="008347C3">
            <w:pPr>
              <w:spacing w:after="0" w:line="240" w:lineRule="auto"/>
              <w:rPr>
                <w:szCs w:val="20"/>
              </w:rPr>
            </w:pPr>
          </w:p>
        </w:tc>
        <w:tc>
          <w:tcPr>
            <w:tcW w:w="0" w:type="auto"/>
            <w:tcBorders>
              <w:top w:val="nil"/>
              <w:left w:val="nil"/>
              <w:bottom w:val="single" w:sz="4" w:space="0" w:color="auto"/>
              <w:right w:val="single" w:sz="4" w:space="0" w:color="auto"/>
            </w:tcBorders>
            <w:shd w:val="clear" w:color="auto" w:fill="E5DFEC" w:themeFill="accent4" w:themeFillTint="33"/>
            <w:noWrap/>
            <w:vAlign w:val="center"/>
            <w:hideMark/>
          </w:tcPr>
          <w:p w14:paraId="02A28A55" w14:textId="77777777" w:rsidR="008347C3" w:rsidRPr="008347C3" w:rsidRDefault="008347C3" w:rsidP="008347C3">
            <w:pPr>
              <w:spacing w:after="0" w:line="240" w:lineRule="auto"/>
              <w:rPr>
                <w:szCs w:val="20"/>
              </w:rPr>
            </w:pPr>
            <w:r w:rsidRPr="008347C3">
              <w:rPr>
                <w:szCs w:val="20"/>
              </w:rPr>
              <w:t>White</w:t>
            </w:r>
          </w:p>
        </w:tc>
        <w:tc>
          <w:tcPr>
            <w:tcW w:w="0" w:type="auto"/>
            <w:tcBorders>
              <w:top w:val="nil"/>
              <w:left w:val="nil"/>
              <w:bottom w:val="single" w:sz="4" w:space="0" w:color="auto"/>
              <w:right w:val="single" w:sz="4" w:space="0" w:color="auto"/>
            </w:tcBorders>
            <w:shd w:val="clear" w:color="auto" w:fill="E5DFEC" w:themeFill="accent4" w:themeFillTint="33"/>
            <w:noWrap/>
            <w:vAlign w:val="bottom"/>
            <w:hideMark/>
          </w:tcPr>
          <w:p w14:paraId="30A19D72" w14:textId="77777777" w:rsidR="008347C3" w:rsidRPr="008347C3" w:rsidRDefault="008347C3" w:rsidP="008347C3">
            <w:pPr>
              <w:spacing w:after="0" w:line="240" w:lineRule="auto"/>
              <w:jc w:val="center"/>
              <w:rPr>
                <w:szCs w:val="20"/>
              </w:rPr>
            </w:pPr>
            <w:r w:rsidRPr="008347C3">
              <w:rPr>
                <w:szCs w:val="20"/>
              </w:rPr>
              <w:t>839</w:t>
            </w:r>
          </w:p>
        </w:tc>
        <w:tc>
          <w:tcPr>
            <w:tcW w:w="0" w:type="auto"/>
            <w:tcBorders>
              <w:top w:val="nil"/>
              <w:left w:val="nil"/>
              <w:bottom w:val="single" w:sz="4" w:space="0" w:color="auto"/>
              <w:right w:val="single" w:sz="4" w:space="0" w:color="auto"/>
            </w:tcBorders>
            <w:shd w:val="clear" w:color="auto" w:fill="E5DFEC" w:themeFill="accent4" w:themeFillTint="33"/>
            <w:noWrap/>
            <w:vAlign w:val="center"/>
            <w:hideMark/>
          </w:tcPr>
          <w:p w14:paraId="4321EB98" w14:textId="77777777" w:rsidR="008347C3" w:rsidRPr="008347C3" w:rsidRDefault="008347C3" w:rsidP="008347C3">
            <w:pPr>
              <w:spacing w:after="0" w:line="240" w:lineRule="auto"/>
              <w:jc w:val="center"/>
              <w:rPr>
                <w:szCs w:val="20"/>
              </w:rPr>
            </w:pPr>
            <w:r w:rsidRPr="008347C3">
              <w:rPr>
                <w:szCs w:val="20"/>
              </w:rPr>
              <w:t>36,9%</w:t>
            </w:r>
          </w:p>
        </w:tc>
      </w:tr>
    </w:tbl>
    <w:p w14:paraId="543E05AF" w14:textId="77777777" w:rsidR="005D6DBA" w:rsidRDefault="00164A30" w:rsidP="002F62F0">
      <w:pPr>
        <w:pStyle w:val="Caption"/>
      </w:pPr>
      <w:bookmarkStart w:id="227" w:name="_Toc510622269"/>
      <w:r>
        <w:t xml:space="preserve">Table </w:t>
      </w:r>
      <w:r w:rsidR="00B918A6">
        <w:fldChar w:fldCharType="begin"/>
      </w:r>
      <w:r w:rsidR="00B918A6">
        <w:instrText xml:space="preserve"> SEQ Table \* ARABIC </w:instrText>
      </w:r>
      <w:r w:rsidR="00B918A6">
        <w:fldChar w:fldCharType="separate"/>
      </w:r>
      <w:r w:rsidR="0067023A">
        <w:rPr>
          <w:noProof/>
        </w:rPr>
        <w:t>19</w:t>
      </w:r>
      <w:r w:rsidR="00B918A6">
        <w:rPr>
          <w:noProof/>
        </w:rPr>
        <w:fldChar w:fldCharType="end"/>
      </w:r>
      <w:r>
        <w:t xml:space="preserve">: </w:t>
      </w:r>
      <w:r w:rsidRPr="00164A30">
        <w:t>Distribution of the Highest Level of Education (Census 2016)</w:t>
      </w:r>
      <w:bookmarkEnd w:id="227"/>
    </w:p>
    <w:p w14:paraId="6A6CE709" w14:textId="77777777" w:rsidR="00164A30" w:rsidRDefault="00164A30" w:rsidP="00164A30"/>
    <w:p w14:paraId="6EE823A7" w14:textId="77777777" w:rsidR="00FA72BE" w:rsidRDefault="00FA72BE" w:rsidP="00164A30"/>
    <w:p w14:paraId="5AACA046" w14:textId="77777777" w:rsidR="00FA72BE" w:rsidRDefault="00FA72BE" w:rsidP="00164A30"/>
    <w:p w14:paraId="2B8D78C5" w14:textId="77777777" w:rsidR="0037082E" w:rsidRPr="002E13D2" w:rsidRDefault="0037082E" w:rsidP="00750180">
      <w:pPr>
        <w:pStyle w:val="Heading2"/>
        <w:numPr>
          <w:ilvl w:val="1"/>
          <w:numId w:val="29"/>
        </w:numPr>
      </w:pPr>
      <w:bookmarkStart w:id="228" w:name="_Toc389739817"/>
      <w:bookmarkStart w:id="229" w:name="_Toc510706615"/>
      <w:r w:rsidRPr="00E21F9F">
        <w:lastRenderedPageBreak/>
        <w:t>MUNICIPAL TRANSFORMATION &amp; ORGANISATIONAL DEVELOPMENT ANALYSI</w:t>
      </w:r>
      <w:r w:rsidRPr="002E13D2">
        <w:t>S</w:t>
      </w:r>
      <w:bookmarkEnd w:id="228"/>
      <w:bookmarkEnd w:id="229"/>
    </w:p>
    <w:p w14:paraId="6D5EE126" w14:textId="77777777" w:rsidR="0037082E" w:rsidRPr="00E21F9F" w:rsidRDefault="004D7441" w:rsidP="00750180">
      <w:pPr>
        <w:pStyle w:val="Heading3"/>
        <w:numPr>
          <w:ilvl w:val="2"/>
          <w:numId w:val="29"/>
        </w:numPr>
        <w:spacing w:after="240"/>
      </w:pPr>
      <w:bookmarkStart w:id="230" w:name="_Toc389739818"/>
      <w:bookmarkStart w:id="231" w:name="_Toc510706616"/>
      <w:r w:rsidRPr="00E21F9F">
        <w:t>MUNICIPAL TRANSFORMATION</w:t>
      </w:r>
      <w:bookmarkEnd w:id="230"/>
      <w:bookmarkEnd w:id="231"/>
    </w:p>
    <w:p w14:paraId="6BF068DC" w14:textId="10060BAA" w:rsidR="005868E1" w:rsidRDefault="001D0DD1" w:rsidP="001D0DD1">
      <w:pPr>
        <w:spacing w:line="288" w:lineRule="auto"/>
        <w:jc w:val="both"/>
        <w:rPr>
          <w:szCs w:val="20"/>
        </w:rPr>
      </w:pPr>
      <w:r>
        <w:rPr>
          <w:szCs w:val="20"/>
        </w:rPr>
        <w:t xml:space="preserve">Municipal Transformation plays an integral role in the maximizing of sustainable service delivery. </w:t>
      </w:r>
      <w:r w:rsidR="004453E6">
        <w:rPr>
          <w:szCs w:val="20"/>
        </w:rPr>
        <w:t>u</w:t>
      </w:r>
      <w:r w:rsidR="00703CE6">
        <w:rPr>
          <w:szCs w:val="20"/>
        </w:rPr>
        <w:t>Mlalazi</w:t>
      </w:r>
      <w:r>
        <w:rPr>
          <w:szCs w:val="20"/>
        </w:rPr>
        <w:t xml:space="preserve"> Municipality operates within a sphere of continuous progressive transformation. This is made possible through the implementation of transformative strategies which will ultimately feed into building a strong municipal administrative system and processes. </w:t>
      </w:r>
      <w:bookmarkStart w:id="232" w:name="_Toc389739819"/>
      <w:r w:rsidR="005868E1">
        <w:rPr>
          <w:szCs w:val="20"/>
        </w:rPr>
        <w:t xml:space="preserve">The municipality is </w:t>
      </w:r>
      <w:r w:rsidR="00E02796">
        <w:rPr>
          <w:szCs w:val="20"/>
        </w:rPr>
        <w:t xml:space="preserve">geared </w:t>
      </w:r>
      <w:r w:rsidR="00730A89">
        <w:rPr>
          <w:szCs w:val="20"/>
        </w:rPr>
        <w:t>towards the transformation through the development and implementation of the following plans;</w:t>
      </w:r>
    </w:p>
    <w:p w14:paraId="00F3BC15" w14:textId="70586DCA" w:rsidR="00CB19A9" w:rsidRPr="004065DC" w:rsidRDefault="00730A89" w:rsidP="00750180">
      <w:pPr>
        <w:pStyle w:val="ListParagraph"/>
        <w:numPr>
          <w:ilvl w:val="3"/>
          <w:numId w:val="29"/>
        </w:numPr>
        <w:spacing w:line="288" w:lineRule="auto"/>
        <w:jc w:val="both"/>
        <w:rPr>
          <w:szCs w:val="20"/>
          <w:highlight w:val="yellow"/>
        </w:rPr>
      </w:pPr>
      <w:r w:rsidRPr="004065DC">
        <w:rPr>
          <w:b/>
          <w:szCs w:val="20"/>
          <w:highlight w:val="yellow"/>
        </w:rPr>
        <w:t>Human Resource Strategy</w:t>
      </w:r>
      <w:r w:rsidR="00733F1D" w:rsidRPr="004065DC">
        <w:rPr>
          <w:b/>
          <w:szCs w:val="20"/>
          <w:highlight w:val="yellow"/>
        </w:rPr>
        <w:t xml:space="preserve"> </w:t>
      </w:r>
    </w:p>
    <w:p w14:paraId="2183245C" w14:textId="0B78E0D6" w:rsidR="00730A89" w:rsidRDefault="00CB19A9" w:rsidP="00CB19A9">
      <w:pPr>
        <w:spacing w:line="288" w:lineRule="auto"/>
        <w:jc w:val="both"/>
        <w:rPr>
          <w:szCs w:val="20"/>
        </w:rPr>
      </w:pPr>
      <w:r w:rsidRPr="00CB19A9">
        <w:rPr>
          <w:szCs w:val="20"/>
        </w:rPr>
        <w:t xml:space="preserve">The HR Strategy is in place and was adopted </w:t>
      </w:r>
      <w:r w:rsidRPr="004065DC">
        <w:rPr>
          <w:szCs w:val="20"/>
        </w:rPr>
        <w:t>on the</w:t>
      </w:r>
      <w:r w:rsidR="00A31F26" w:rsidRPr="004065DC">
        <w:rPr>
          <w:szCs w:val="20"/>
        </w:rPr>
        <w:t xml:space="preserve"> 30</w:t>
      </w:r>
      <w:r w:rsidR="00A31F26" w:rsidRPr="004065DC">
        <w:rPr>
          <w:szCs w:val="20"/>
          <w:vertAlign w:val="superscript"/>
        </w:rPr>
        <w:t>th</w:t>
      </w:r>
      <w:r w:rsidR="00A31F26" w:rsidRPr="004065DC">
        <w:rPr>
          <w:szCs w:val="20"/>
        </w:rPr>
        <w:t xml:space="preserve"> of June 2015</w:t>
      </w:r>
      <w:r w:rsidR="00733F1D" w:rsidRPr="004065DC">
        <w:rPr>
          <w:szCs w:val="20"/>
        </w:rPr>
        <w:t xml:space="preserve"> and submitted to the Local </w:t>
      </w:r>
      <w:r w:rsidR="00A31F26" w:rsidRPr="004065DC">
        <w:rPr>
          <w:szCs w:val="20"/>
        </w:rPr>
        <w:t>Labour Forum for monitoring and implementation.</w:t>
      </w:r>
      <w:r w:rsidR="00733F1D" w:rsidRPr="004065DC">
        <w:rPr>
          <w:szCs w:val="20"/>
        </w:rPr>
        <w:t xml:space="preserve"> </w:t>
      </w:r>
      <w:r w:rsidR="00E64C76" w:rsidRPr="004065DC">
        <w:rPr>
          <w:szCs w:val="20"/>
        </w:rPr>
        <w:t xml:space="preserve">The main objectives of the </w:t>
      </w:r>
      <w:r w:rsidR="00E64C76">
        <w:rPr>
          <w:szCs w:val="20"/>
        </w:rPr>
        <w:t>HR Strategy are;</w:t>
      </w:r>
    </w:p>
    <w:p w14:paraId="3F168FC6" w14:textId="77777777" w:rsidR="00E64C76" w:rsidRPr="00E64C76" w:rsidRDefault="00E64C76" w:rsidP="00750180">
      <w:pPr>
        <w:pStyle w:val="ListParagraph"/>
        <w:numPr>
          <w:ilvl w:val="0"/>
          <w:numId w:val="95"/>
        </w:numPr>
        <w:spacing w:line="288" w:lineRule="auto"/>
        <w:jc w:val="both"/>
        <w:rPr>
          <w:szCs w:val="20"/>
        </w:rPr>
      </w:pPr>
      <w:r w:rsidRPr="00E64C76">
        <w:rPr>
          <w:szCs w:val="20"/>
        </w:rPr>
        <w:t>To ensure that the management team is aligned in its views on what is the organizations’ cultural fit.</w:t>
      </w:r>
    </w:p>
    <w:p w14:paraId="5F9686AB" w14:textId="77777777" w:rsidR="00E64C76" w:rsidRPr="00E64C76" w:rsidRDefault="00E64C76" w:rsidP="00750180">
      <w:pPr>
        <w:pStyle w:val="ListParagraph"/>
        <w:numPr>
          <w:ilvl w:val="0"/>
          <w:numId w:val="95"/>
        </w:numPr>
        <w:spacing w:line="288" w:lineRule="auto"/>
        <w:jc w:val="both"/>
        <w:rPr>
          <w:szCs w:val="20"/>
        </w:rPr>
      </w:pPr>
      <w:r w:rsidRPr="00E64C76">
        <w:rPr>
          <w:szCs w:val="20"/>
        </w:rPr>
        <w:t>To attract and retain critical skills by using world-class recruitment and selection strategies and talent management.</w:t>
      </w:r>
    </w:p>
    <w:p w14:paraId="2CB9274A" w14:textId="77777777" w:rsidR="00E64C76" w:rsidRPr="00E64C76" w:rsidRDefault="00E64C76" w:rsidP="00750180">
      <w:pPr>
        <w:pStyle w:val="ListParagraph"/>
        <w:numPr>
          <w:ilvl w:val="0"/>
          <w:numId w:val="95"/>
        </w:numPr>
        <w:spacing w:line="288" w:lineRule="auto"/>
        <w:jc w:val="both"/>
        <w:rPr>
          <w:szCs w:val="20"/>
        </w:rPr>
      </w:pPr>
      <w:r w:rsidRPr="00E64C76">
        <w:rPr>
          <w:szCs w:val="20"/>
        </w:rPr>
        <w:t>To maintain a credible performance management system across the entire organization to maximize employees contribution to the achievement of business objectives</w:t>
      </w:r>
    </w:p>
    <w:p w14:paraId="5624FB34" w14:textId="77777777" w:rsidR="00E64C76" w:rsidRPr="00E64C76" w:rsidRDefault="00E64C76" w:rsidP="00750180">
      <w:pPr>
        <w:pStyle w:val="ListParagraph"/>
        <w:numPr>
          <w:ilvl w:val="0"/>
          <w:numId w:val="95"/>
        </w:numPr>
        <w:spacing w:line="288" w:lineRule="auto"/>
        <w:jc w:val="both"/>
        <w:rPr>
          <w:szCs w:val="20"/>
        </w:rPr>
      </w:pPr>
      <w:r w:rsidRPr="00E64C76">
        <w:rPr>
          <w:szCs w:val="20"/>
        </w:rPr>
        <w:t>To implement and drive Employment Equity in order to give effect to the agreed plan</w:t>
      </w:r>
    </w:p>
    <w:p w14:paraId="63C5D201" w14:textId="77777777" w:rsidR="00E64C76" w:rsidRPr="00E64C76" w:rsidRDefault="00E64C76" w:rsidP="00750180">
      <w:pPr>
        <w:pStyle w:val="ListParagraph"/>
        <w:numPr>
          <w:ilvl w:val="0"/>
          <w:numId w:val="95"/>
        </w:numPr>
        <w:spacing w:line="288" w:lineRule="auto"/>
        <w:jc w:val="both"/>
        <w:rPr>
          <w:szCs w:val="20"/>
        </w:rPr>
      </w:pPr>
      <w:r w:rsidRPr="00E64C76">
        <w:rPr>
          <w:szCs w:val="20"/>
        </w:rPr>
        <w:t>To develop Competency Based Training and Development to ensure that the municipality has the right skills and leadership in alignment with national and provincial view</w:t>
      </w:r>
    </w:p>
    <w:p w14:paraId="37166195" w14:textId="77777777" w:rsidR="00E64C76" w:rsidRPr="00E64C76" w:rsidRDefault="00E64C76" w:rsidP="00750180">
      <w:pPr>
        <w:pStyle w:val="ListParagraph"/>
        <w:numPr>
          <w:ilvl w:val="0"/>
          <w:numId w:val="95"/>
        </w:numPr>
        <w:spacing w:line="288" w:lineRule="auto"/>
        <w:jc w:val="both"/>
        <w:rPr>
          <w:szCs w:val="20"/>
        </w:rPr>
      </w:pPr>
      <w:r w:rsidRPr="00E64C76">
        <w:rPr>
          <w:szCs w:val="20"/>
        </w:rPr>
        <w:t>To regularly develop and review an updated HR policies and procedures – to ensure common understanding –by all stakeholders</w:t>
      </w:r>
    </w:p>
    <w:p w14:paraId="70AA5636" w14:textId="77777777" w:rsidR="00E64C76" w:rsidRPr="00E64C76" w:rsidRDefault="00E64C76" w:rsidP="00750180">
      <w:pPr>
        <w:pStyle w:val="ListParagraph"/>
        <w:numPr>
          <w:ilvl w:val="0"/>
          <w:numId w:val="95"/>
        </w:numPr>
        <w:spacing w:line="288" w:lineRule="auto"/>
        <w:jc w:val="both"/>
        <w:rPr>
          <w:szCs w:val="20"/>
        </w:rPr>
      </w:pPr>
      <w:r w:rsidRPr="00E64C76">
        <w:rPr>
          <w:szCs w:val="20"/>
        </w:rPr>
        <w:t xml:space="preserve">To focus on skills audits by assessing the people capabilities- in order to identify opportunities for further growth and development (career development and succession planning including focus on Integrated Development Planning) </w:t>
      </w:r>
    </w:p>
    <w:p w14:paraId="51BA4197" w14:textId="77777777" w:rsidR="0004660B" w:rsidRDefault="00E64C76" w:rsidP="00750180">
      <w:pPr>
        <w:pStyle w:val="ListParagraph"/>
        <w:numPr>
          <w:ilvl w:val="0"/>
          <w:numId w:val="95"/>
        </w:numPr>
        <w:spacing w:before="240" w:line="288" w:lineRule="auto"/>
        <w:jc w:val="both"/>
        <w:rPr>
          <w:szCs w:val="20"/>
        </w:rPr>
      </w:pPr>
      <w:r w:rsidRPr="00E64C76">
        <w:rPr>
          <w:szCs w:val="20"/>
        </w:rPr>
        <w:t>To ensure through initial induction that new employees enter the organization effectively and are introduced to the organizational culture and behaviours.</w:t>
      </w:r>
    </w:p>
    <w:p w14:paraId="5A1980DA" w14:textId="5C84E358" w:rsidR="003F1888" w:rsidRDefault="003F1888" w:rsidP="00750180">
      <w:pPr>
        <w:pStyle w:val="Heading5"/>
        <w:numPr>
          <w:ilvl w:val="4"/>
          <w:numId w:val="29"/>
        </w:numPr>
      </w:pPr>
      <w:r>
        <w:t>Implementation of the HR Strategy</w:t>
      </w:r>
    </w:p>
    <w:p w14:paraId="07F5A3F1" w14:textId="77777777" w:rsidR="003F1888" w:rsidRDefault="003F1888" w:rsidP="00750180">
      <w:pPr>
        <w:pStyle w:val="ListParagraph"/>
        <w:numPr>
          <w:ilvl w:val="0"/>
          <w:numId w:val="120"/>
        </w:numPr>
        <w:spacing w:before="240"/>
        <w:jc w:val="both"/>
      </w:pPr>
      <w:r>
        <w:t>The municipality holds weekly management committee meetings to ensure that the organizational culture is maintained. Human Resources is a standing item in MANCO where HR issues such as the Organogram, trainings, attendances etc.</w:t>
      </w:r>
    </w:p>
    <w:p w14:paraId="66D7044E" w14:textId="77777777" w:rsidR="00845866" w:rsidRDefault="003F1888" w:rsidP="00750180">
      <w:pPr>
        <w:pStyle w:val="ListParagraph"/>
        <w:numPr>
          <w:ilvl w:val="0"/>
          <w:numId w:val="120"/>
        </w:numPr>
        <w:spacing w:before="240"/>
        <w:jc w:val="both"/>
      </w:pPr>
      <w:r>
        <w:t>Critical skills are retained in terms of the skills retention policy, whereby staff is constantly trained thereby ensuring capabilities for suitable for promotions.</w:t>
      </w:r>
      <w:r w:rsidR="00335CF7" w:rsidRPr="00335CF7">
        <w:t xml:space="preserve"> </w:t>
      </w:r>
      <w:r w:rsidR="00845866">
        <w:t>All vacant positions are advertised in terms of the employment equity plan and the selection process is determined by the EEEP</w:t>
      </w:r>
    </w:p>
    <w:p w14:paraId="7008C0A5" w14:textId="1312F92C" w:rsidR="003F1888" w:rsidRDefault="003F1888" w:rsidP="00750180">
      <w:pPr>
        <w:pStyle w:val="ListParagraph"/>
        <w:numPr>
          <w:ilvl w:val="0"/>
          <w:numId w:val="120"/>
        </w:numPr>
        <w:spacing w:before="240"/>
        <w:jc w:val="both"/>
      </w:pPr>
      <w:r>
        <w:t>The municipality implemented a web based automated Performance Management System which monitors performance throughout the organization. This system requires that milestones targets be accounted for in terms of them being achieved and the provision of correctional</w:t>
      </w:r>
      <w:r w:rsidR="00335CF7">
        <w:t xml:space="preserve"> measures if they are not achieved. This ensure that all the strategic objectives of the municipality are achieved.</w:t>
      </w:r>
    </w:p>
    <w:p w14:paraId="3D83A1E3" w14:textId="77D3FE4C" w:rsidR="00335CF7" w:rsidRDefault="00335CF7" w:rsidP="00750180">
      <w:pPr>
        <w:pStyle w:val="ListParagraph"/>
        <w:numPr>
          <w:ilvl w:val="0"/>
          <w:numId w:val="120"/>
        </w:numPr>
        <w:spacing w:before="240"/>
        <w:jc w:val="both"/>
      </w:pPr>
      <w:r>
        <w:t>All senior managers (S54/56) undergo a competency testing through SALGA prior to their appointment. The gaps in training for those managers are identified during this process which informs the Personal Development Plan. Employees and Councillors are provided with CPMD and MFMP trainings.</w:t>
      </w:r>
    </w:p>
    <w:p w14:paraId="3F569662" w14:textId="412FF208" w:rsidR="00335CF7" w:rsidRDefault="00335CF7" w:rsidP="00750180">
      <w:pPr>
        <w:pStyle w:val="ListParagraph"/>
        <w:numPr>
          <w:ilvl w:val="0"/>
          <w:numId w:val="120"/>
        </w:numPr>
        <w:spacing w:before="240"/>
        <w:jc w:val="both"/>
      </w:pPr>
      <w:r>
        <w:t>The HR Policies are continuously reviewed and workshopped to the relevant stakeholders</w:t>
      </w:r>
    </w:p>
    <w:p w14:paraId="7A9C8171" w14:textId="5DFC301C" w:rsidR="00845866" w:rsidRDefault="00845866" w:rsidP="00750180">
      <w:pPr>
        <w:pStyle w:val="ListParagraph"/>
        <w:numPr>
          <w:ilvl w:val="0"/>
          <w:numId w:val="120"/>
        </w:numPr>
        <w:spacing w:before="240"/>
        <w:jc w:val="both"/>
      </w:pPr>
      <w:r>
        <w:t>Annual skills audits are undertaken and this informs the workplace skills plan as a means for identifying opportunities for further growth and development.</w:t>
      </w:r>
    </w:p>
    <w:p w14:paraId="61CD1BFF" w14:textId="6D7AF7B0" w:rsidR="00845866" w:rsidRDefault="00845866" w:rsidP="00750180">
      <w:pPr>
        <w:pStyle w:val="ListParagraph"/>
        <w:numPr>
          <w:ilvl w:val="0"/>
          <w:numId w:val="120"/>
        </w:numPr>
        <w:spacing w:before="240"/>
        <w:jc w:val="both"/>
      </w:pPr>
      <w:r>
        <w:t>Continuous induction programs are undertaken to introduce new employees to the organisation culture.</w:t>
      </w:r>
    </w:p>
    <w:p w14:paraId="65EB2A25" w14:textId="3B720FA6" w:rsidR="00220557" w:rsidRPr="009054CB" w:rsidRDefault="00220557" w:rsidP="00750180">
      <w:pPr>
        <w:pStyle w:val="ListParagraph"/>
        <w:numPr>
          <w:ilvl w:val="3"/>
          <w:numId w:val="29"/>
        </w:numPr>
        <w:spacing w:line="288" w:lineRule="auto"/>
        <w:jc w:val="both"/>
        <w:rPr>
          <w:b/>
          <w:szCs w:val="20"/>
        </w:rPr>
      </w:pPr>
      <w:r w:rsidRPr="009054CB">
        <w:rPr>
          <w:b/>
          <w:szCs w:val="20"/>
        </w:rPr>
        <w:lastRenderedPageBreak/>
        <w:t>Work Place Skills Plan</w:t>
      </w:r>
      <w:r w:rsidR="00733F1D">
        <w:rPr>
          <w:b/>
          <w:szCs w:val="20"/>
        </w:rPr>
        <w:t xml:space="preserve"> </w:t>
      </w:r>
    </w:p>
    <w:p w14:paraId="305BA26E" w14:textId="77777777" w:rsidR="004065DC" w:rsidRDefault="0079025E" w:rsidP="00733F1D">
      <w:pPr>
        <w:spacing w:line="288" w:lineRule="auto"/>
        <w:jc w:val="both"/>
        <w:rPr>
          <w:szCs w:val="20"/>
        </w:rPr>
      </w:pPr>
      <w:r>
        <w:rPr>
          <w:szCs w:val="20"/>
        </w:rPr>
        <w:t>Municipalities are required to develop the Workplace Skills Plan</w:t>
      </w:r>
      <w:r w:rsidRPr="0079025E">
        <w:t xml:space="preserve"> </w:t>
      </w:r>
      <w:r>
        <w:t>in terms of t</w:t>
      </w:r>
      <w:r w:rsidRPr="0079025E">
        <w:rPr>
          <w:szCs w:val="20"/>
        </w:rPr>
        <w:t>he Skills Development Act (Act No. 97 of 1998)</w:t>
      </w:r>
      <w:r>
        <w:rPr>
          <w:szCs w:val="20"/>
        </w:rPr>
        <w:t xml:space="preserve">. The </w:t>
      </w:r>
      <w:r w:rsidRPr="0079025E">
        <w:rPr>
          <w:szCs w:val="20"/>
        </w:rPr>
        <w:t>Workplace skills plans (WSP)</w:t>
      </w:r>
      <w:r>
        <w:rPr>
          <w:szCs w:val="20"/>
        </w:rPr>
        <w:t xml:space="preserve"> identifies the</w:t>
      </w:r>
      <w:r w:rsidRPr="0079025E">
        <w:rPr>
          <w:szCs w:val="20"/>
        </w:rPr>
        <w:t xml:space="preserve"> skills needs in </w:t>
      </w:r>
      <w:r>
        <w:rPr>
          <w:szCs w:val="20"/>
        </w:rPr>
        <w:t>the municipality</w:t>
      </w:r>
      <w:r w:rsidRPr="0079025E">
        <w:rPr>
          <w:szCs w:val="20"/>
        </w:rPr>
        <w:t xml:space="preserve"> and describe</w:t>
      </w:r>
      <w:r>
        <w:rPr>
          <w:szCs w:val="20"/>
        </w:rPr>
        <w:t>s</w:t>
      </w:r>
      <w:r w:rsidRPr="0079025E">
        <w:rPr>
          <w:szCs w:val="20"/>
        </w:rPr>
        <w:t xml:space="preserve"> the range of skills development in</w:t>
      </w:r>
      <w:r>
        <w:rPr>
          <w:szCs w:val="20"/>
        </w:rPr>
        <w:t>terventions that the municipality</w:t>
      </w:r>
      <w:r w:rsidRPr="0079025E">
        <w:rPr>
          <w:szCs w:val="20"/>
        </w:rPr>
        <w:t xml:space="preserve"> will use to address these needs.</w:t>
      </w:r>
      <w:r>
        <w:rPr>
          <w:szCs w:val="20"/>
        </w:rPr>
        <w:t xml:space="preserve"> </w:t>
      </w:r>
      <w:r w:rsidR="00733F1D">
        <w:rPr>
          <w:szCs w:val="20"/>
        </w:rPr>
        <w:t>As part of this, H</w:t>
      </w:r>
      <w:r w:rsidR="0062492D">
        <w:rPr>
          <w:szCs w:val="20"/>
        </w:rPr>
        <w:t>uman Resources</w:t>
      </w:r>
      <w:r w:rsidR="00733F1D">
        <w:rPr>
          <w:szCs w:val="20"/>
        </w:rPr>
        <w:t xml:space="preserve"> </w:t>
      </w:r>
      <w:r w:rsidR="0062492D">
        <w:rPr>
          <w:szCs w:val="20"/>
        </w:rPr>
        <w:t>Department</w:t>
      </w:r>
      <w:r w:rsidR="00733F1D">
        <w:rPr>
          <w:szCs w:val="20"/>
        </w:rPr>
        <w:t xml:space="preserve"> rolls out a</w:t>
      </w:r>
      <w:r w:rsidR="0062492D">
        <w:rPr>
          <w:szCs w:val="20"/>
        </w:rPr>
        <w:t xml:space="preserve"> full</w:t>
      </w:r>
      <w:r w:rsidR="00733F1D">
        <w:rPr>
          <w:szCs w:val="20"/>
        </w:rPr>
        <w:t xml:space="preserve"> skills audit annually to develop and update the skills profile, which provides important data for the training and career development of each municipal staff. </w:t>
      </w:r>
    </w:p>
    <w:p w14:paraId="02CFC86A" w14:textId="3164152C" w:rsidR="004065DC" w:rsidRDefault="00733F1D" w:rsidP="00733F1D">
      <w:pPr>
        <w:spacing w:line="288" w:lineRule="auto"/>
        <w:jc w:val="both"/>
        <w:rPr>
          <w:color w:val="FF0000"/>
          <w:szCs w:val="20"/>
        </w:rPr>
      </w:pPr>
      <w:r>
        <w:rPr>
          <w:szCs w:val="20"/>
        </w:rPr>
        <w:t>The</w:t>
      </w:r>
      <w:r w:rsidR="0062492D">
        <w:rPr>
          <w:szCs w:val="20"/>
        </w:rPr>
        <w:t xml:space="preserve"> current</w:t>
      </w:r>
      <w:r>
        <w:rPr>
          <w:szCs w:val="20"/>
        </w:rPr>
        <w:t xml:space="preserve"> </w:t>
      </w:r>
      <w:r w:rsidR="0062492D">
        <w:rPr>
          <w:szCs w:val="20"/>
        </w:rPr>
        <w:t>m</w:t>
      </w:r>
      <w:r>
        <w:rPr>
          <w:szCs w:val="20"/>
        </w:rPr>
        <w:t xml:space="preserve">unicipality’s </w:t>
      </w:r>
      <w:r w:rsidRPr="009054CB">
        <w:rPr>
          <w:szCs w:val="20"/>
        </w:rPr>
        <w:t>Workplace Skills Plan</w:t>
      </w:r>
      <w:r>
        <w:rPr>
          <w:szCs w:val="20"/>
        </w:rPr>
        <w:t xml:space="preserve"> was</w:t>
      </w:r>
      <w:r w:rsidRPr="009054CB">
        <w:rPr>
          <w:szCs w:val="20"/>
        </w:rPr>
        <w:t xml:space="preserve"> </w:t>
      </w:r>
      <w:r w:rsidR="004065DC">
        <w:rPr>
          <w:szCs w:val="20"/>
        </w:rPr>
        <w:t>adopted on the 30</w:t>
      </w:r>
      <w:r w:rsidR="004065DC" w:rsidRPr="004065DC">
        <w:rPr>
          <w:szCs w:val="20"/>
          <w:vertAlign w:val="superscript"/>
        </w:rPr>
        <w:t>th</w:t>
      </w:r>
      <w:r w:rsidR="004065DC">
        <w:rPr>
          <w:szCs w:val="20"/>
        </w:rPr>
        <w:t xml:space="preserve"> of April 2017</w:t>
      </w:r>
      <w:r w:rsidRPr="0062492D">
        <w:rPr>
          <w:color w:val="FF0000"/>
          <w:szCs w:val="20"/>
        </w:rPr>
        <w:t xml:space="preserve"> </w:t>
      </w:r>
      <w:r w:rsidRPr="009054CB">
        <w:rPr>
          <w:szCs w:val="20"/>
        </w:rPr>
        <w:t xml:space="preserve">and submitted to the LGSETA for consideration and municipality implements training interventions in accordance with the plan. </w:t>
      </w:r>
      <w:r w:rsidR="004065DC">
        <w:rPr>
          <w:szCs w:val="20"/>
        </w:rPr>
        <w:t>As part of the WSP the municipality develops an Annual Training Report which will indicate skills development and training needs of all the employees and Councillo</w:t>
      </w:r>
      <w:r w:rsidR="004065DC" w:rsidRPr="00097BC8">
        <w:rPr>
          <w:color w:val="0070C0"/>
          <w:szCs w:val="20"/>
        </w:rPr>
        <w:t>rs. The municipality is currently developing the 2018/19</w:t>
      </w:r>
      <w:r w:rsidR="00845866" w:rsidRPr="00097BC8">
        <w:rPr>
          <w:color w:val="0070C0"/>
          <w:szCs w:val="20"/>
        </w:rPr>
        <w:t xml:space="preserve"> </w:t>
      </w:r>
      <w:r w:rsidR="004065DC" w:rsidRPr="00097BC8">
        <w:rPr>
          <w:color w:val="0070C0"/>
          <w:szCs w:val="20"/>
        </w:rPr>
        <w:t>W</w:t>
      </w:r>
      <w:r w:rsidR="00845866" w:rsidRPr="00097BC8">
        <w:rPr>
          <w:color w:val="0070C0"/>
          <w:szCs w:val="20"/>
        </w:rPr>
        <w:t>S</w:t>
      </w:r>
      <w:r w:rsidR="004065DC" w:rsidRPr="00097BC8">
        <w:rPr>
          <w:color w:val="0070C0"/>
          <w:szCs w:val="20"/>
        </w:rPr>
        <w:t>P and ATR which will be adopted and submitted no later than 30 April 2018. The HR Department is doing extensive consultations to establish the key skills development areas of each employee</w:t>
      </w:r>
      <w:r w:rsidR="000878D3" w:rsidRPr="00097BC8">
        <w:rPr>
          <w:color w:val="0070C0"/>
          <w:szCs w:val="20"/>
        </w:rPr>
        <w:t>. Below is a table quantifying the number of trainings implemented through the WSP</w:t>
      </w:r>
    </w:p>
    <w:tbl>
      <w:tblPr>
        <w:tblStyle w:val="TableGrid"/>
        <w:tblW w:w="0" w:type="auto"/>
        <w:tblLook w:val="04A0" w:firstRow="1" w:lastRow="0" w:firstColumn="1" w:lastColumn="0" w:noHBand="0" w:noVBand="1"/>
      </w:tblPr>
      <w:tblGrid>
        <w:gridCol w:w="3539"/>
        <w:gridCol w:w="2880"/>
      </w:tblGrid>
      <w:tr w:rsidR="004065DC" w:rsidRPr="004065DC" w14:paraId="5FFA25C7" w14:textId="77777777" w:rsidTr="004065DC">
        <w:tc>
          <w:tcPr>
            <w:tcW w:w="3539" w:type="dxa"/>
            <w:shd w:val="clear" w:color="auto" w:fill="BFBFBF" w:themeFill="background1" w:themeFillShade="BF"/>
          </w:tcPr>
          <w:p w14:paraId="12BD2FA4" w14:textId="7627BC0D" w:rsidR="004065DC" w:rsidRPr="004065DC" w:rsidRDefault="004065DC" w:rsidP="00733F1D">
            <w:pPr>
              <w:spacing w:line="288" w:lineRule="auto"/>
              <w:jc w:val="both"/>
              <w:rPr>
                <w:b/>
                <w:szCs w:val="20"/>
              </w:rPr>
            </w:pPr>
            <w:r w:rsidRPr="004065DC">
              <w:rPr>
                <w:b/>
                <w:szCs w:val="20"/>
              </w:rPr>
              <w:t>ITEM</w:t>
            </w:r>
          </w:p>
        </w:tc>
        <w:tc>
          <w:tcPr>
            <w:tcW w:w="2880" w:type="dxa"/>
            <w:shd w:val="clear" w:color="auto" w:fill="BFBFBF" w:themeFill="background1" w:themeFillShade="BF"/>
          </w:tcPr>
          <w:p w14:paraId="7ED96930" w14:textId="6D6633C2" w:rsidR="004065DC" w:rsidRPr="004065DC" w:rsidRDefault="004065DC" w:rsidP="00733F1D">
            <w:pPr>
              <w:spacing w:line="288" w:lineRule="auto"/>
              <w:jc w:val="both"/>
              <w:rPr>
                <w:b/>
                <w:szCs w:val="20"/>
              </w:rPr>
            </w:pPr>
            <w:r w:rsidRPr="004065DC">
              <w:rPr>
                <w:b/>
                <w:szCs w:val="20"/>
              </w:rPr>
              <w:t>QUANTITY</w:t>
            </w:r>
          </w:p>
        </w:tc>
      </w:tr>
      <w:tr w:rsidR="004065DC" w:rsidRPr="004065DC" w14:paraId="3B2A2317" w14:textId="77777777" w:rsidTr="004065DC">
        <w:tc>
          <w:tcPr>
            <w:tcW w:w="3539" w:type="dxa"/>
          </w:tcPr>
          <w:p w14:paraId="1A8836E9" w14:textId="3214039A" w:rsidR="004065DC" w:rsidRPr="004065DC" w:rsidRDefault="004065DC" w:rsidP="00733F1D">
            <w:pPr>
              <w:spacing w:line="288" w:lineRule="auto"/>
              <w:jc w:val="both"/>
              <w:rPr>
                <w:szCs w:val="20"/>
              </w:rPr>
            </w:pPr>
            <w:r w:rsidRPr="004065DC">
              <w:rPr>
                <w:szCs w:val="20"/>
              </w:rPr>
              <w:t>Number of Employee</w:t>
            </w:r>
            <w:r>
              <w:rPr>
                <w:szCs w:val="20"/>
              </w:rPr>
              <w:t>s</w:t>
            </w:r>
            <w:r w:rsidR="00097BC8">
              <w:rPr>
                <w:szCs w:val="20"/>
              </w:rPr>
              <w:t xml:space="preserve"> Trained </w:t>
            </w:r>
          </w:p>
        </w:tc>
        <w:tc>
          <w:tcPr>
            <w:tcW w:w="2880" w:type="dxa"/>
          </w:tcPr>
          <w:p w14:paraId="76AF4688" w14:textId="0A3FD457" w:rsidR="004065DC" w:rsidRPr="004065DC" w:rsidRDefault="004065DC" w:rsidP="00733F1D">
            <w:pPr>
              <w:spacing w:line="288" w:lineRule="auto"/>
              <w:jc w:val="both"/>
              <w:rPr>
                <w:szCs w:val="20"/>
              </w:rPr>
            </w:pPr>
            <w:r>
              <w:rPr>
                <w:szCs w:val="20"/>
              </w:rPr>
              <w:t>43</w:t>
            </w:r>
          </w:p>
        </w:tc>
      </w:tr>
      <w:tr w:rsidR="004065DC" w:rsidRPr="004065DC" w14:paraId="6EC9441C" w14:textId="77777777" w:rsidTr="004065DC">
        <w:tc>
          <w:tcPr>
            <w:tcW w:w="3539" w:type="dxa"/>
          </w:tcPr>
          <w:p w14:paraId="5A910C42" w14:textId="0F249A4A" w:rsidR="004065DC" w:rsidRPr="000878D3" w:rsidRDefault="004065DC" w:rsidP="00733F1D">
            <w:pPr>
              <w:spacing w:line="288" w:lineRule="auto"/>
              <w:jc w:val="both"/>
              <w:rPr>
                <w:szCs w:val="20"/>
                <w:highlight w:val="yellow"/>
              </w:rPr>
            </w:pPr>
            <w:r w:rsidRPr="000878D3">
              <w:rPr>
                <w:szCs w:val="20"/>
                <w:highlight w:val="yellow"/>
              </w:rPr>
              <w:t>Number of Councillors Trained</w:t>
            </w:r>
          </w:p>
        </w:tc>
        <w:tc>
          <w:tcPr>
            <w:tcW w:w="2880" w:type="dxa"/>
          </w:tcPr>
          <w:p w14:paraId="09903731" w14:textId="678CFBE5" w:rsidR="004065DC" w:rsidRPr="000878D3" w:rsidRDefault="00845866" w:rsidP="00733F1D">
            <w:pPr>
              <w:spacing w:line="288" w:lineRule="auto"/>
              <w:jc w:val="both"/>
              <w:rPr>
                <w:szCs w:val="20"/>
                <w:highlight w:val="yellow"/>
              </w:rPr>
            </w:pPr>
            <w:r>
              <w:rPr>
                <w:szCs w:val="20"/>
                <w:highlight w:val="yellow"/>
              </w:rPr>
              <w:t>54</w:t>
            </w:r>
          </w:p>
        </w:tc>
      </w:tr>
    </w:tbl>
    <w:p w14:paraId="0E312AAE" w14:textId="77777777" w:rsidR="0037082E" w:rsidRPr="00E21F9F" w:rsidRDefault="004D7441" w:rsidP="00750180">
      <w:pPr>
        <w:pStyle w:val="Heading3"/>
        <w:numPr>
          <w:ilvl w:val="2"/>
          <w:numId w:val="29"/>
        </w:numPr>
      </w:pPr>
      <w:bookmarkStart w:id="233" w:name="_Toc389739820"/>
      <w:bookmarkStart w:id="234" w:name="_Toc510706617"/>
      <w:bookmarkEnd w:id="232"/>
      <w:r w:rsidRPr="00E21F9F">
        <w:t>ORGANISATIONAL DEVELOPMENT</w:t>
      </w:r>
      <w:bookmarkEnd w:id="233"/>
      <w:bookmarkEnd w:id="234"/>
    </w:p>
    <w:p w14:paraId="0F3F1641" w14:textId="77777777" w:rsidR="0037082E" w:rsidRPr="00E21F9F" w:rsidRDefault="0037082E" w:rsidP="00750180">
      <w:pPr>
        <w:pStyle w:val="Heading4"/>
        <w:numPr>
          <w:ilvl w:val="3"/>
          <w:numId w:val="29"/>
        </w:numPr>
        <w:spacing w:after="240"/>
      </w:pPr>
      <w:bookmarkStart w:id="235" w:name="_Toc389739821"/>
      <w:r w:rsidRPr="00E21F9F">
        <w:t>Institutional Arrangements</w:t>
      </w:r>
      <w:bookmarkEnd w:id="235"/>
    </w:p>
    <w:p w14:paraId="02456235" w14:textId="77777777" w:rsidR="00AB7988" w:rsidRPr="00881795" w:rsidRDefault="00AB7988" w:rsidP="00395313">
      <w:pPr>
        <w:autoSpaceDE w:val="0"/>
        <w:autoSpaceDN w:val="0"/>
        <w:adjustRightInd w:val="0"/>
        <w:jc w:val="both"/>
        <w:rPr>
          <w:rFonts w:cs="Calibri"/>
          <w:color w:val="000000" w:themeColor="text1"/>
        </w:rPr>
      </w:pPr>
      <w:r w:rsidRPr="00881795">
        <w:rPr>
          <w:rFonts w:cs="Calibri"/>
          <w:color w:val="000000" w:themeColor="text1"/>
        </w:rPr>
        <w:t xml:space="preserve">The structure established to manage all aspects of the Municipality is </w:t>
      </w:r>
      <w:r w:rsidR="00A87D5E" w:rsidRPr="00881795">
        <w:rPr>
          <w:rFonts w:cs="Calibri"/>
          <w:color w:val="000000" w:themeColor="text1"/>
        </w:rPr>
        <w:t>summarized</w:t>
      </w:r>
      <w:r w:rsidRPr="00881795">
        <w:rPr>
          <w:rFonts w:cs="Calibri"/>
          <w:color w:val="000000" w:themeColor="text1"/>
        </w:rPr>
        <w:t xml:space="preserve"> as follows:</w:t>
      </w:r>
    </w:p>
    <w:p w14:paraId="3AD52D46" w14:textId="77777777" w:rsidR="00AB7988" w:rsidRPr="00881795" w:rsidRDefault="00AB7988" w:rsidP="00395313">
      <w:pPr>
        <w:jc w:val="both"/>
        <w:rPr>
          <w:rFonts w:cs="Calibri"/>
          <w:color w:val="000000" w:themeColor="text1"/>
        </w:rPr>
      </w:pPr>
      <w:r w:rsidRPr="00881795">
        <w:rPr>
          <w:rFonts w:cs="Calibri"/>
          <w:color w:val="000000" w:themeColor="text1"/>
        </w:rPr>
        <w:t xml:space="preserve">The Council Executive/Committee </w:t>
      </w:r>
      <w:r w:rsidR="00D815F2" w:rsidRPr="00881795">
        <w:rPr>
          <w:rFonts w:cs="Calibri"/>
          <w:color w:val="000000" w:themeColor="text1"/>
        </w:rPr>
        <w:t>served by the Municipal Manager.</w:t>
      </w:r>
    </w:p>
    <w:p w14:paraId="1F369BBE" w14:textId="77777777" w:rsidR="00AB7988" w:rsidRPr="00881795" w:rsidRDefault="00BB1DFF" w:rsidP="00395313">
      <w:pPr>
        <w:jc w:val="both"/>
        <w:rPr>
          <w:rFonts w:cs="Calibri"/>
          <w:color w:val="000000" w:themeColor="text1"/>
        </w:rPr>
      </w:pPr>
      <w:r>
        <w:rPr>
          <w:rFonts w:cs="Calibri"/>
          <w:color w:val="000000" w:themeColor="text1"/>
        </w:rPr>
        <w:t>The uMlalazi Municipality has f</w:t>
      </w:r>
      <w:r w:rsidR="00B629DA">
        <w:rPr>
          <w:rFonts w:cs="Calibri"/>
          <w:color w:val="000000" w:themeColor="text1"/>
        </w:rPr>
        <w:t xml:space="preserve">ive </w:t>
      </w:r>
      <w:r w:rsidR="00AB7988" w:rsidRPr="00881795">
        <w:rPr>
          <w:rFonts w:cs="Calibri"/>
          <w:color w:val="000000" w:themeColor="text1"/>
        </w:rPr>
        <w:t>departments, namely:</w:t>
      </w:r>
    </w:p>
    <w:p w14:paraId="0D01932E" w14:textId="77777777" w:rsidR="00AB7988" w:rsidRPr="00881795" w:rsidRDefault="00AB7988" w:rsidP="00E31338">
      <w:pPr>
        <w:pStyle w:val="ListParagraph"/>
        <w:numPr>
          <w:ilvl w:val="0"/>
          <w:numId w:val="1"/>
        </w:numPr>
        <w:spacing w:line="288" w:lineRule="auto"/>
        <w:jc w:val="both"/>
        <w:rPr>
          <w:szCs w:val="20"/>
        </w:rPr>
      </w:pPr>
      <w:r w:rsidRPr="00881795">
        <w:rPr>
          <w:szCs w:val="20"/>
        </w:rPr>
        <w:t>Engineering Services;</w:t>
      </w:r>
    </w:p>
    <w:p w14:paraId="1078064F" w14:textId="77777777" w:rsidR="00AB7988" w:rsidRPr="00881795" w:rsidRDefault="00AB7988" w:rsidP="00E31338">
      <w:pPr>
        <w:pStyle w:val="ListParagraph"/>
        <w:numPr>
          <w:ilvl w:val="0"/>
          <w:numId w:val="1"/>
        </w:numPr>
        <w:spacing w:line="288" w:lineRule="auto"/>
        <w:jc w:val="both"/>
        <w:rPr>
          <w:szCs w:val="20"/>
        </w:rPr>
      </w:pPr>
      <w:r w:rsidRPr="00881795">
        <w:rPr>
          <w:szCs w:val="20"/>
        </w:rPr>
        <w:t>Community Services</w:t>
      </w:r>
      <w:r w:rsidR="0004660B">
        <w:rPr>
          <w:szCs w:val="20"/>
        </w:rPr>
        <w:t xml:space="preserve"> and Public Safety</w:t>
      </w:r>
      <w:r w:rsidRPr="00881795">
        <w:rPr>
          <w:szCs w:val="20"/>
        </w:rPr>
        <w:t>;</w:t>
      </w:r>
    </w:p>
    <w:p w14:paraId="6796B9D2" w14:textId="77777777" w:rsidR="00AB7988" w:rsidRPr="00881795" w:rsidRDefault="00AB7988" w:rsidP="00E31338">
      <w:pPr>
        <w:pStyle w:val="ListParagraph"/>
        <w:numPr>
          <w:ilvl w:val="0"/>
          <w:numId w:val="1"/>
        </w:numPr>
        <w:spacing w:line="288" w:lineRule="auto"/>
        <w:jc w:val="both"/>
        <w:rPr>
          <w:szCs w:val="20"/>
        </w:rPr>
      </w:pPr>
      <w:r w:rsidRPr="00881795">
        <w:rPr>
          <w:szCs w:val="20"/>
        </w:rPr>
        <w:t xml:space="preserve">Financial Services; </w:t>
      </w:r>
    </w:p>
    <w:p w14:paraId="1C63A52D" w14:textId="77777777" w:rsidR="00AB7988" w:rsidRPr="00881795" w:rsidRDefault="00AB7988" w:rsidP="00E31338">
      <w:pPr>
        <w:pStyle w:val="ListParagraph"/>
        <w:numPr>
          <w:ilvl w:val="0"/>
          <w:numId w:val="1"/>
        </w:numPr>
        <w:spacing w:line="288" w:lineRule="auto"/>
        <w:jc w:val="both"/>
        <w:rPr>
          <w:szCs w:val="20"/>
        </w:rPr>
      </w:pPr>
      <w:r w:rsidRPr="00881795">
        <w:rPr>
          <w:szCs w:val="20"/>
        </w:rPr>
        <w:t>Corporate Services</w:t>
      </w:r>
      <w:r w:rsidR="00A91428">
        <w:rPr>
          <w:szCs w:val="20"/>
        </w:rPr>
        <w:t>;</w:t>
      </w:r>
      <w:r w:rsidR="00A91428" w:rsidRPr="00A91428">
        <w:rPr>
          <w:szCs w:val="20"/>
        </w:rPr>
        <w:t xml:space="preserve"> </w:t>
      </w:r>
      <w:r w:rsidR="00A91428" w:rsidRPr="00881795">
        <w:rPr>
          <w:szCs w:val="20"/>
        </w:rPr>
        <w:t>and</w:t>
      </w:r>
    </w:p>
    <w:p w14:paraId="35C47ACD" w14:textId="77777777" w:rsidR="00A9572E" w:rsidRPr="00881795" w:rsidRDefault="00A9572E" w:rsidP="00E31338">
      <w:pPr>
        <w:pStyle w:val="ListParagraph"/>
        <w:numPr>
          <w:ilvl w:val="0"/>
          <w:numId w:val="1"/>
        </w:numPr>
        <w:spacing w:line="288" w:lineRule="auto"/>
        <w:jc w:val="both"/>
        <w:rPr>
          <w:szCs w:val="20"/>
        </w:rPr>
      </w:pPr>
      <w:r w:rsidRPr="00881795">
        <w:rPr>
          <w:szCs w:val="20"/>
        </w:rPr>
        <w:t xml:space="preserve">Planning and </w:t>
      </w:r>
      <w:r w:rsidR="00B629DA">
        <w:rPr>
          <w:szCs w:val="20"/>
        </w:rPr>
        <w:t xml:space="preserve">Economic </w:t>
      </w:r>
      <w:r w:rsidRPr="00881795">
        <w:rPr>
          <w:szCs w:val="20"/>
        </w:rPr>
        <w:t>Development</w:t>
      </w:r>
    </w:p>
    <w:p w14:paraId="4DA7E0F0" w14:textId="77777777" w:rsidR="0037082E" w:rsidRPr="00E21F9F" w:rsidRDefault="0037082E" w:rsidP="00750180">
      <w:pPr>
        <w:pStyle w:val="Heading4"/>
        <w:numPr>
          <w:ilvl w:val="3"/>
          <w:numId w:val="29"/>
        </w:numPr>
      </w:pPr>
      <w:bookmarkStart w:id="236" w:name="_Toc389739822"/>
      <w:r w:rsidRPr="00E21F9F">
        <w:t>Powers &amp; Functions</w:t>
      </w:r>
      <w:bookmarkEnd w:id="236"/>
    </w:p>
    <w:p w14:paraId="3C6D488E" w14:textId="77777777" w:rsidR="00AB7988" w:rsidRPr="00881795" w:rsidRDefault="00AB7988" w:rsidP="00395313">
      <w:pPr>
        <w:autoSpaceDE w:val="0"/>
        <w:autoSpaceDN w:val="0"/>
        <w:adjustRightInd w:val="0"/>
        <w:jc w:val="both"/>
        <w:rPr>
          <w:rFonts w:cs="Calibri"/>
          <w:color w:val="000000" w:themeColor="text1"/>
        </w:rPr>
      </w:pPr>
      <w:r w:rsidRPr="00881795">
        <w:rPr>
          <w:rFonts w:cs="Calibri"/>
          <w:color w:val="000000" w:themeColor="text1"/>
        </w:rPr>
        <w:t>The following table indicates the Powers and Functions for uMlalazi Municipality:</w:t>
      </w:r>
    </w:p>
    <w:p w14:paraId="4785429B" w14:textId="77777777" w:rsidR="00AB7988" w:rsidRPr="00881795" w:rsidRDefault="00F1014C" w:rsidP="00F1014C">
      <w:pPr>
        <w:pStyle w:val="Caption"/>
      </w:pPr>
      <w:bookmarkStart w:id="237" w:name="_Toc288723514"/>
      <w:bookmarkStart w:id="238" w:name="_Toc325627921"/>
      <w:bookmarkStart w:id="239" w:name="_Toc389739823"/>
      <w:bookmarkStart w:id="240" w:name="_Toc510622270"/>
      <w:r>
        <w:t xml:space="preserve">Table </w:t>
      </w:r>
      <w:r w:rsidR="00B918A6">
        <w:fldChar w:fldCharType="begin"/>
      </w:r>
      <w:r w:rsidR="00B918A6">
        <w:instrText xml:space="preserve"> SEQ Table \* ARABIC </w:instrText>
      </w:r>
      <w:r w:rsidR="00B918A6">
        <w:fldChar w:fldCharType="separate"/>
      </w:r>
      <w:r w:rsidR="0067023A">
        <w:rPr>
          <w:noProof/>
        </w:rPr>
        <w:t>20</w:t>
      </w:r>
      <w:r w:rsidR="00B918A6">
        <w:rPr>
          <w:noProof/>
        </w:rPr>
        <w:fldChar w:fldCharType="end"/>
      </w:r>
      <w:r>
        <w:t>:</w:t>
      </w:r>
      <w:r w:rsidR="00AB7988" w:rsidRPr="00881795">
        <w:t xml:space="preserve"> Municipal Powers and Functions</w:t>
      </w:r>
      <w:bookmarkEnd w:id="237"/>
      <w:bookmarkEnd w:id="238"/>
      <w:bookmarkEnd w:id="239"/>
      <w:bookmarkEnd w:id="2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3201"/>
        <w:gridCol w:w="3201"/>
      </w:tblGrid>
      <w:tr w:rsidR="00AB7988" w:rsidRPr="00727B00" w14:paraId="65A38D1B" w14:textId="77777777" w:rsidTr="00B17A4D">
        <w:trPr>
          <w:tblHeader/>
        </w:trPr>
        <w:tc>
          <w:tcPr>
            <w:tcW w:w="3391" w:type="dxa"/>
            <w:shd w:val="clear" w:color="auto" w:fill="DAEEF3" w:themeFill="accent5" w:themeFillTint="33"/>
          </w:tcPr>
          <w:p w14:paraId="5E591809" w14:textId="77777777" w:rsidR="00AB7988" w:rsidRPr="00727B00" w:rsidRDefault="00AB7988" w:rsidP="0004660B">
            <w:pPr>
              <w:spacing w:after="0" w:line="240" w:lineRule="auto"/>
              <w:jc w:val="both"/>
              <w:rPr>
                <w:rFonts w:cs="Calibri"/>
                <w:b/>
                <w:color w:val="000000" w:themeColor="text1"/>
                <w:sz w:val="14"/>
              </w:rPr>
            </w:pPr>
            <w:r w:rsidRPr="00727B00">
              <w:rPr>
                <w:rFonts w:cs="Calibri"/>
                <w:b/>
                <w:color w:val="000000" w:themeColor="text1"/>
                <w:sz w:val="14"/>
              </w:rPr>
              <w:t>LOCAL FUNCTION</w:t>
            </w:r>
          </w:p>
        </w:tc>
        <w:tc>
          <w:tcPr>
            <w:tcW w:w="3391" w:type="dxa"/>
            <w:shd w:val="clear" w:color="auto" w:fill="DAEEF3" w:themeFill="accent5" w:themeFillTint="33"/>
          </w:tcPr>
          <w:p w14:paraId="1AFC0868" w14:textId="77777777" w:rsidR="00AB7988" w:rsidRPr="00727B00" w:rsidRDefault="00AB7988" w:rsidP="0004660B">
            <w:pPr>
              <w:spacing w:after="0" w:line="240" w:lineRule="auto"/>
              <w:jc w:val="both"/>
              <w:rPr>
                <w:rFonts w:cs="Calibri"/>
                <w:b/>
                <w:color w:val="000000" w:themeColor="text1"/>
                <w:sz w:val="14"/>
              </w:rPr>
            </w:pPr>
            <w:r w:rsidRPr="00727B00">
              <w:rPr>
                <w:rFonts w:cs="Calibri"/>
                <w:b/>
                <w:color w:val="000000" w:themeColor="text1"/>
                <w:sz w:val="14"/>
              </w:rPr>
              <w:t>DISTRICT FUNCTION</w:t>
            </w:r>
          </w:p>
        </w:tc>
        <w:tc>
          <w:tcPr>
            <w:tcW w:w="3391" w:type="dxa"/>
            <w:shd w:val="clear" w:color="auto" w:fill="DAEEF3" w:themeFill="accent5" w:themeFillTint="33"/>
          </w:tcPr>
          <w:p w14:paraId="51DB5047" w14:textId="77777777" w:rsidR="00AB7988" w:rsidRPr="00727B00" w:rsidRDefault="00AB7988" w:rsidP="0004660B">
            <w:pPr>
              <w:spacing w:after="0" w:line="240" w:lineRule="auto"/>
              <w:jc w:val="both"/>
              <w:rPr>
                <w:rFonts w:cs="Calibri"/>
                <w:b/>
                <w:color w:val="000000" w:themeColor="text1"/>
                <w:sz w:val="14"/>
              </w:rPr>
            </w:pPr>
            <w:r w:rsidRPr="00727B00">
              <w:rPr>
                <w:rFonts w:cs="Calibri"/>
                <w:b/>
                <w:color w:val="000000" w:themeColor="text1"/>
                <w:sz w:val="14"/>
              </w:rPr>
              <w:t>SHARED FUNCTION</w:t>
            </w:r>
          </w:p>
        </w:tc>
      </w:tr>
      <w:tr w:rsidR="00AB7988" w:rsidRPr="00727B00" w14:paraId="2886A3E9" w14:textId="77777777" w:rsidTr="00727B00">
        <w:trPr>
          <w:trHeight w:val="60"/>
        </w:trPr>
        <w:tc>
          <w:tcPr>
            <w:tcW w:w="3391" w:type="dxa"/>
          </w:tcPr>
          <w:p w14:paraId="4E69326E"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 xml:space="preserve">Air Pollution Control </w:t>
            </w:r>
          </w:p>
          <w:p w14:paraId="34C075D6"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Building Regulations Enforcement</w:t>
            </w:r>
          </w:p>
          <w:p w14:paraId="56755E58" w14:textId="77777777" w:rsidR="00D815F2" w:rsidRPr="00727B00" w:rsidRDefault="00D815F2" w:rsidP="0004660B">
            <w:pPr>
              <w:pStyle w:val="ListParagraph"/>
              <w:numPr>
                <w:ilvl w:val="0"/>
                <w:numId w:val="1"/>
              </w:numPr>
              <w:spacing w:after="0" w:line="240" w:lineRule="auto"/>
              <w:jc w:val="both"/>
              <w:rPr>
                <w:sz w:val="14"/>
                <w:szCs w:val="20"/>
              </w:rPr>
            </w:pPr>
            <w:r w:rsidRPr="00727B00">
              <w:rPr>
                <w:sz w:val="14"/>
                <w:szCs w:val="20"/>
              </w:rPr>
              <w:t>Planning and</w:t>
            </w:r>
            <w:r w:rsidR="00B629DA" w:rsidRPr="00727B00">
              <w:rPr>
                <w:sz w:val="14"/>
                <w:szCs w:val="20"/>
              </w:rPr>
              <w:t xml:space="preserve"> Economic</w:t>
            </w:r>
            <w:r w:rsidRPr="00727B00">
              <w:rPr>
                <w:sz w:val="14"/>
                <w:szCs w:val="20"/>
              </w:rPr>
              <w:t xml:space="preserve"> Development control</w:t>
            </w:r>
          </w:p>
          <w:p w14:paraId="6FB13A5F"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Child-Care Facilities</w:t>
            </w:r>
          </w:p>
          <w:p w14:paraId="7D1937A2"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 xml:space="preserve">Pontoons, Jetties, Ferries, Piers, </w:t>
            </w:r>
            <w:r w:rsidR="00A87D5E" w:rsidRPr="00727B00">
              <w:rPr>
                <w:sz w:val="14"/>
                <w:szCs w:val="20"/>
              </w:rPr>
              <w:t>Harbors</w:t>
            </w:r>
          </w:p>
          <w:p w14:paraId="4B783C0F"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Storm Water Management (Built-Up Areas)</w:t>
            </w:r>
          </w:p>
          <w:p w14:paraId="5EA4EF2D"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Trading Regulations</w:t>
            </w:r>
          </w:p>
          <w:p w14:paraId="7878887B"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Beaches and Amusement Facilities</w:t>
            </w:r>
          </w:p>
          <w:p w14:paraId="4318CF8B"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Billboards and Display of Advertisements in Public Places</w:t>
            </w:r>
          </w:p>
          <w:p w14:paraId="29DEE0E3"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Cleansing</w:t>
            </w:r>
          </w:p>
          <w:p w14:paraId="666632B0"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Control of Public Nuisances</w:t>
            </w:r>
          </w:p>
          <w:p w14:paraId="79B37C0D"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Control of Sale of Liquor to the Public</w:t>
            </w:r>
          </w:p>
          <w:p w14:paraId="75AAF10F"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Facilities for the Accommodation, Care and Burial of Animals</w:t>
            </w:r>
          </w:p>
          <w:p w14:paraId="39EED3D8"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Fencing and Fences</w:t>
            </w:r>
          </w:p>
          <w:p w14:paraId="1A41E801"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Licensing of Dogs</w:t>
            </w:r>
          </w:p>
          <w:p w14:paraId="6D6E1C5E"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lastRenderedPageBreak/>
              <w:t>Local Amenities</w:t>
            </w:r>
          </w:p>
          <w:p w14:paraId="34433038"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Local Sports Facilities</w:t>
            </w:r>
          </w:p>
          <w:p w14:paraId="109DA7BE"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Municipal Parks and Recreation</w:t>
            </w:r>
          </w:p>
          <w:p w14:paraId="0B38DDDF"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Noise Pollution</w:t>
            </w:r>
          </w:p>
          <w:p w14:paraId="1FA4702E"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Pounds</w:t>
            </w:r>
          </w:p>
          <w:p w14:paraId="02706916"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Public Places</w:t>
            </w:r>
          </w:p>
          <w:p w14:paraId="2D7C1256"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Street Trading</w:t>
            </w:r>
          </w:p>
          <w:p w14:paraId="0BD84091"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Street Lighting</w:t>
            </w:r>
          </w:p>
          <w:p w14:paraId="0231C48F"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Traffic and Parking</w:t>
            </w:r>
          </w:p>
        </w:tc>
        <w:tc>
          <w:tcPr>
            <w:tcW w:w="3391" w:type="dxa"/>
          </w:tcPr>
          <w:p w14:paraId="4A4E592C"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lastRenderedPageBreak/>
              <w:t xml:space="preserve">Electricity Reticulation </w:t>
            </w:r>
          </w:p>
          <w:p w14:paraId="3ABFC1CE"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Municipal Health Services</w:t>
            </w:r>
          </w:p>
          <w:p w14:paraId="697ADDFD"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Potable Water</w:t>
            </w:r>
          </w:p>
          <w:p w14:paraId="29A3312A"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Sanitation</w:t>
            </w:r>
          </w:p>
          <w:p w14:paraId="74A1F491" w14:textId="77777777" w:rsidR="00AB7988" w:rsidRPr="00727B00" w:rsidRDefault="00AB7988" w:rsidP="0004660B">
            <w:pPr>
              <w:pStyle w:val="ListParagraph"/>
              <w:spacing w:after="0" w:line="240" w:lineRule="auto"/>
              <w:ind w:left="360"/>
              <w:jc w:val="both"/>
              <w:rPr>
                <w:sz w:val="14"/>
                <w:szCs w:val="20"/>
              </w:rPr>
            </w:pPr>
          </w:p>
        </w:tc>
        <w:tc>
          <w:tcPr>
            <w:tcW w:w="3391" w:type="dxa"/>
          </w:tcPr>
          <w:p w14:paraId="0430567D"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Fire Fighting Services</w:t>
            </w:r>
          </w:p>
          <w:p w14:paraId="4D72BDF8"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Local Tourism</w:t>
            </w:r>
          </w:p>
          <w:p w14:paraId="45EEB4A6"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Municipal Airport</w:t>
            </w:r>
          </w:p>
          <w:p w14:paraId="7195312C"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Municipal Planning</w:t>
            </w:r>
          </w:p>
          <w:p w14:paraId="038C6245"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Municipal Public Transport</w:t>
            </w:r>
          </w:p>
          <w:p w14:paraId="3BA29927"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 xml:space="preserve">Cemeteries, Funeral </w:t>
            </w:r>
            <w:r w:rsidR="00A87D5E" w:rsidRPr="00727B00">
              <w:rPr>
                <w:sz w:val="14"/>
                <w:szCs w:val="20"/>
              </w:rPr>
              <w:t>Parlors</w:t>
            </w:r>
            <w:r w:rsidRPr="00727B00">
              <w:rPr>
                <w:sz w:val="14"/>
                <w:szCs w:val="20"/>
              </w:rPr>
              <w:t xml:space="preserve"> and Crematoria</w:t>
            </w:r>
          </w:p>
          <w:p w14:paraId="67DA4DD3"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Markets</w:t>
            </w:r>
          </w:p>
          <w:p w14:paraId="3CE87DA1"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Municipal Abattoirs</w:t>
            </w:r>
          </w:p>
          <w:p w14:paraId="3E286B7F"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Municipal Roads</w:t>
            </w:r>
          </w:p>
          <w:p w14:paraId="2FB0B118" w14:textId="77777777" w:rsidR="00AB7988" w:rsidRPr="00727B00" w:rsidRDefault="00AB7988" w:rsidP="0004660B">
            <w:pPr>
              <w:pStyle w:val="ListParagraph"/>
              <w:numPr>
                <w:ilvl w:val="0"/>
                <w:numId w:val="1"/>
              </w:numPr>
              <w:spacing w:after="0" w:line="240" w:lineRule="auto"/>
              <w:jc w:val="both"/>
              <w:rPr>
                <w:sz w:val="14"/>
                <w:szCs w:val="20"/>
              </w:rPr>
            </w:pPr>
            <w:r w:rsidRPr="00727B00">
              <w:rPr>
                <w:sz w:val="14"/>
                <w:szCs w:val="20"/>
              </w:rPr>
              <w:t>Refuse Removal, Refuse Dumps and Solid Waste</w:t>
            </w:r>
          </w:p>
        </w:tc>
      </w:tr>
    </w:tbl>
    <w:p w14:paraId="504AF257" w14:textId="77777777" w:rsidR="00A91428" w:rsidRPr="0004660B" w:rsidRDefault="000F10F0" w:rsidP="00750180">
      <w:pPr>
        <w:pStyle w:val="Heading4"/>
        <w:numPr>
          <w:ilvl w:val="3"/>
          <w:numId w:val="29"/>
        </w:numPr>
        <w:spacing w:after="240"/>
        <w:rPr>
          <w:highlight w:val="red"/>
        </w:rPr>
      </w:pPr>
      <w:r w:rsidRPr="0004660B">
        <w:rPr>
          <w:highlight w:val="red"/>
        </w:rPr>
        <w:t xml:space="preserve">Staff </w:t>
      </w:r>
      <w:r w:rsidR="00703CE6" w:rsidRPr="0004660B">
        <w:rPr>
          <w:highlight w:val="red"/>
        </w:rPr>
        <w:t>Composition</w:t>
      </w:r>
      <w:r w:rsidRPr="0004660B">
        <w:rPr>
          <w:highlight w:val="red"/>
        </w:rPr>
        <w:t xml:space="preserve"> and Equity </w:t>
      </w:r>
      <w:r w:rsidR="00A91428" w:rsidRPr="0004660B">
        <w:rPr>
          <w:highlight w:val="red"/>
        </w:rPr>
        <w:t>(Employment Equity)</w:t>
      </w:r>
      <w:r w:rsidR="00B3789C">
        <w:rPr>
          <w:highlight w:val="red"/>
        </w:rPr>
        <w:t xml:space="preserve"> – SUBJECT TO REVIEW</w:t>
      </w:r>
    </w:p>
    <w:p w14:paraId="663FE57F" w14:textId="77777777" w:rsidR="00727B00" w:rsidRPr="00727B00" w:rsidRDefault="00727B00" w:rsidP="00727B00">
      <w:pPr>
        <w:spacing w:line="288" w:lineRule="auto"/>
        <w:jc w:val="both"/>
        <w:rPr>
          <w:szCs w:val="20"/>
        </w:rPr>
      </w:pPr>
      <w:r w:rsidRPr="00727B00">
        <w:rPr>
          <w:szCs w:val="20"/>
        </w:rPr>
        <w:t>The Municipality has an Employment Equity Plan in place, as part of the HR Plan and it is being implemented.  It is reviewed annually. Further to this, through this plan, the municipality has developed progressive strategies to overcome the following challenges in which the municipality is faced with;</w:t>
      </w:r>
    </w:p>
    <w:p w14:paraId="3C541693" w14:textId="77777777" w:rsidR="00727B00" w:rsidRPr="00727B00" w:rsidRDefault="00727B00" w:rsidP="00727B00">
      <w:pPr>
        <w:spacing w:after="0" w:line="288" w:lineRule="auto"/>
        <w:jc w:val="both"/>
        <w:rPr>
          <w:szCs w:val="20"/>
        </w:rPr>
      </w:pPr>
      <w:r w:rsidRPr="00727B00">
        <w:rPr>
          <w:szCs w:val="20"/>
        </w:rPr>
        <w:t>•</w:t>
      </w:r>
      <w:r w:rsidRPr="00727B00">
        <w:rPr>
          <w:szCs w:val="20"/>
        </w:rPr>
        <w:tab/>
        <w:t>Human resource capacity constraints.</w:t>
      </w:r>
    </w:p>
    <w:p w14:paraId="00F2CC4A" w14:textId="77777777" w:rsidR="00727B00" w:rsidRPr="00727B00" w:rsidRDefault="00727B00" w:rsidP="00727B00">
      <w:pPr>
        <w:spacing w:after="0" w:line="288" w:lineRule="auto"/>
        <w:jc w:val="both"/>
        <w:rPr>
          <w:szCs w:val="20"/>
        </w:rPr>
      </w:pPr>
      <w:r w:rsidRPr="00727B00">
        <w:rPr>
          <w:szCs w:val="20"/>
        </w:rPr>
        <w:t>•</w:t>
      </w:r>
      <w:r w:rsidRPr="00727B00">
        <w:rPr>
          <w:szCs w:val="20"/>
        </w:rPr>
        <w:tab/>
        <w:t>Shortage of skilled staff within the organization</w:t>
      </w:r>
    </w:p>
    <w:p w14:paraId="7D93DFE9" w14:textId="77777777" w:rsidR="00727B00" w:rsidRPr="00727B00" w:rsidRDefault="00727B00" w:rsidP="00727B00">
      <w:pPr>
        <w:spacing w:after="0" w:line="288" w:lineRule="auto"/>
        <w:jc w:val="both"/>
        <w:rPr>
          <w:szCs w:val="20"/>
        </w:rPr>
      </w:pPr>
      <w:r w:rsidRPr="00727B00">
        <w:rPr>
          <w:szCs w:val="20"/>
        </w:rPr>
        <w:t>•</w:t>
      </w:r>
      <w:r w:rsidRPr="00727B00">
        <w:rPr>
          <w:szCs w:val="20"/>
        </w:rPr>
        <w:tab/>
        <w:t>Improve the management of service providers</w:t>
      </w:r>
    </w:p>
    <w:p w14:paraId="2D01F438" w14:textId="77777777" w:rsidR="00727B00" w:rsidRDefault="00727B00" w:rsidP="00727B00">
      <w:pPr>
        <w:spacing w:after="0" w:line="288" w:lineRule="auto"/>
        <w:jc w:val="both"/>
        <w:rPr>
          <w:szCs w:val="20"/>
        </w:rPr>
      </w:pPr>
      <w:r w:rsidRPr="00727B00">
        <w:rPr>
          <w:szCs w:val="20"/>
        </w:rPr>
        <w:t>•</w:t>
      </w:r>
      <w:r w:rsidRPr="00727B00">
        <w:rPr>
          <w:szCs w:val="20"/>
        </w:rPr>
        <w:tab/>
        <w:t>Improve and continuously upgrade ICT within the organization</w:t>
      </w:r>
    </w:p>
    <w:p w14:paraId="6F36768E" w14:textId="77777777" w:rsidR="00DF06B6" w:rsidRDefault="00DF06B6" w:rsidP="00581FF3">
      <w:pPr>
        <w:spacing w:line="288" w:lineRule="auto"/>
        <w:jc w:val="both"/>
        <w:rPr>
          <w:szCs w:val="20"/>
        </w:rPr>
      </w:pPr>
    </w:p>
    <w:p w14:paraId="5D95BD3C" w14:textId="77777777" w:rsidR="00581FF3" w:rsidRDefault="00581FF3" w:rsidP="00581FF3">
      <w:pPr>
        <w:spacing w:line="288" w:lineRule="auto"/>
        <w:jc w:val="both"/>
        <w:rPr>
          <w:szCs w:val="20"/>
        </w:rPr>
      </w:pPr>
      <w:r>
        <w:rPr>
          <w:szCs w:val="20"/>
        </w:rPr>
        <w:t xml:space="preserve">The following table depicts the staff </w:t>
      </w:r>
      <w:r w:rsidR="00703CE6">
        <w:rPr>
          <w:szCs w:val="20"/>
        </w:rPr>
        <w:t>composition</w:t>
      </w:r>
      <w:r>
        <w:rPr>
          <w:szCs w:val="20"/>
        </w:rPr>
        <w:t xml:space="preserve"> of the uMlalazi Municipality. The information only reflects the staff that is permanently employed by the municipality. </w:t>
      </w:r>
      <w:r w:rsidR="00703CE6">
        <w:rPr>
          <w:szCs w:val="20"/>
        </w:rPr>
        <w:t>Councilors</w:t>
      </w:r>
      <w:r>
        <w:rPr>
          <w:szCs w:val="20"/>
        </w:rPr>
        <w:t>, Temporary staff and EPWP employees are not accounted for in this table. The Sta</w:t>
      </w:r>
      <w:r w:rsidR="00B3789C">
        <w:rPr>
          <w:szCs w:val="20"/>
        </w:rPr>
        <w:t>ff composition of a total of 409</w:t>
      </w:r>
      <w:r>
        <w:rPr>
          <w:szCs w:val="20"/>
        </w:rPr>
        <w:t xml:space="preserve"> fixed employees, categorizes staff into race and gender.</w:t>
      </w:r>
    </w:p>
    <w:p w14:paraId="54898D73" w14:textId="77777777" w:rsidR="00B3789C" w:rsidRDefault="00B3789C" w:rsidP="00F1014C">
      <w:pPr>
        <w:spacing w:after="0" w:line="288" w:lineRule="auto"/>
        <w:jc w:val="both"/>
        <w:rPr>
          <w:szCs w:val="20"/>
        </w:rPr>
      </w:pPr>
      <w:r>
        <w:rPr>
          <w:noProof/>
        </w:rPr>
        <w:drawing>
          <wp:inline distT="0" distB="0" distL="0" distR="0" wp14:anchorId="5A7BBCA5" wp14:editId="5800E10E">
            <wp:extent cx="5693134" cy="2962627"/>
            <wp:effectExtent l="57150" t="57150" r="117475" b="1238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693811" cy="2962979"/>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3C0448C6" w14:textId="77777777" w:rsidR="008A37A4" w:rsidRDefault="00D35C0F" w:rsidP="00F1014C">
      <w:pPr>
        <w:pStyle w:val="Caption"/>
        <w:spacing w:after="0"/>
      </w:pPr>
      <w:bookmarkStart w:id="241" w:name="_Toc510622271"/>
      <w:r>
        <w:t xml:space="preserve">Table </w:t>
      </w:r>
      <w:r w:rsidR="00B918A6">
        <w:fldChar w:fldCharType="begin"/>
      </w:r>
      <w:r w:rsidR="00B918A6">
        <w:instrText xml:space="preserve"> SEQ Table \* ARABIC </w:instrText>
      </w:r>
      <w:r w:rsidR="00B918A6">
        <w:fldChar w:fldCharType="separate"/>
      </w:r>
      <w:r w:rsidR="0067023A">
        <w:rPr>
          <w:noProof/>
        </w:rPr>
        <w:t>21</w:t>
      </w:r>
      <w:r w:rsidR="00B918A6">
        <w:rPr>
          <w:noProof/>
        </w:rPr>
        <w:fldChar w:fldCharType="end"/>
      </w:r>
      <w:r>
        <w:t>: Staff Composition and Equity</w:t>
      </w:r>
      <w:bookmarkEnd w:id="241"/>
    </w:p>
    <w:p w14:paraId="34DE2AE3" w14:textId="77777777" w:rsidR="000878D3" w:rsidRDefault="000878D3" w:rsidP="000878D3"/>
    <w:p w14:paraId="4B9E57DD" w14:textId="4CBE9195" w:rsidR="000878D3" w:rsidRPr="00034077" w:rsidRDefault="000878D3" w:rsidP="00750180">
      <w:pPr>
        <w:pStyle w:val="Heading4"/>
        <w:numPr>
          <w:ilvl w:val="3"/>
          <w:numId w:val="29"/>
        </w:numPr>
        <w:spacing w:after="240"/>
        <w:rPr>
          <w:highlight w:val="yellow"/>
        </w:rPr>
      </w:pPr>
      <w:bookmarkStart w:id="242" w:name="_Toc389739824"/>
      <w:r w:rsidRPr="00034077">
        <w:rPr>
          <w:highlight w:val="yellow"/>
        </w:rPr>
        <w:t>Employment Equity Plan Targets</w:t>
      </w:r>
    </w:p>
    <w:p w14:paraId="330E7581" w14:textId="5BE8CF77" w:rsidR="000878D3" w:rsidRPr="00034077" w:rsidRDefault="00DC12E1" w:rsidP="00DC12E1">
      <w:pPr>
        <w:jc w:val="both"/>
        <w:rPr>
          <w:highlight w:val="yellow"/>
        </w:rPr>
      </w:pPr>
      <w:r w:rsidRPr="00034077">
        <w:rPr>
          <w:highlight w:val="yellow"/>
        </w:rPr>
        <w:t xml:space="preserve">The table below </w:t>
      </w:r>
      <w:r w:rsidR="00034077" w:rsidRPr="00034077">
        <w:rPr>
          <w:highlight w:val="yellow"/>
        </w:rPr>
        <w:t>depicts</w:t>
      </w:r>
      <w:r w:rsidRPr="00034077">
        <w:rPr>
          <w:highlight w:val="yellow"/>
        </w:rPr>
        <w:t xml:space="preserve"> the municipality’s employee equity targets which are numerical goals required to be achieved by 2020.. The municipality sets is targeting to achieve this demographic and gender equity within the institution. The municipality has</w:t>
      </w:r>
      <w:r w:rsidR="00B21E16" w:rsidRPr="00034077">
        <w:rPr>
          <w:highlight w:val="yellow"/>
        </w:rPr>
        <w:t>,</w:t>
      </w:r>
      <w:r w:rsidRPr="00034077">
        <w:rPr>
          <w:highlight w:val="yellow"/>
        </w:rPr>
        <w:t xml:space="preserve"> in compliance with the</w:t>
      </w:r>
      <w:r w:rsidR="00B21E16" w:rsidRPr="00034077">
        <w:rPr>
          <w:highlight w:val="yellow"/>
        </w:rPr>
        <w:t xml:space="preserve"> EEP</w:t>
      </w:r>
      <w:r w:rsidRPr="00034077">
        <w:rPr>
          <w:highlight w:val="yellow"/>
        </w:rPr>
        <w:t xml:space="preserve"> targets, employed two female Senior Managers at top management level.</w:t>
      </w:r>
    </w:p>
    <w:p w14:paraId="3914C34C" w14:textId="643CB1C8" w:rsidR="00B21E16" w:rsidRDefault="00B21E16" w:rsidP="00DC12E1">
      <w:pPr>
        <w:jc w:val="both"/>
        <w:rPr>
          <w:highlight w:val="red"/>
        </w:rPr>
      </w:pPr>
      <w:r>
        <w:rPr>
          <w:noProof/>
        </w:rPr>
        <w:lastRenderedPageBreak/>
        <w:drawing>
          <wp:inline distT="0" distB="0" distL="0" distR="0" wp14:anchorId="3C06B783" wp14:editId="68BAE053">
            <wp:extent cx="5267325" cy="30956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67325" cy="3095625"/>
                    </a:xfrm>
                    <a:prstGeom prst="rect">
                      <a:avLst/>
                    </a:prstGeom>
                  </pic:spPr>
                </pic:pic>
              </a:graphicData>
            </a:graphic>
          </wp:inline>
        </w:drawing>
      </w:r>
    </w:p>
    <w:p w14:paraId="077D3980" w14:textId="6ED03D92" w:rsidR="00B21E16" w:rsidRPr="00B21E16" w:rsidRDefault="00B21E16" w:rsidP="00B21E16">
      <w:pPr>
        <w:pStyle w:val="Caption"/>
        <w:rPr>
          <w:highlight w:val="red"/>
        </w:rPr>
      </w:pPr>
      <w:bookmarkStart w:id="243" w:name="_Toc510622272"/>
      <w:r>
        <w:t xml:space="preserve">Table </w:t>
      </w:r>
      <w:r w:rsidR="00B918A6">
        <w:fldChar w:fldCharType="begin"/>
      </w:r>
      <w:r w:rsidR="00B918A6">
        <w:instrText xml:space="preserve"> SEQ Table \* ARABIC </w:instrText>
      </w:r>
      <w:r w:rsidR="00B918A6">
        <w:fldChar w:fldCharType="separate"/>
      </w:r>
      <w:r w:rsidR="0067023A">
        <w:rPr>
          <w:noProof/>
        </w:rPr>
        <w:t>22</w:t>
      </w:r>
      <w:r w:rsidR="00B918A6">
        <w:rPr>
          <w:noProof/>
        </w:rPr>
        <w:fldChar w:fldCharType="end"/>
      </w:r>
      <w:r>
        <w:t xml:space="preserve">: </w:t>
      </w:r>
      <w:r w:rsidRPr="00B21E16">
        <w:t>Employment Equity Target</w:t>
      </w:r>
      <w:r>
        <w:t>s</w:t>
      </w:r>
      <w:bookmarkEnd w:id="243"/>
    </w:p>
    <w:p w14:paraId="715489A7" w14:textId="44CFB2D0" w:rsidR="00881973" w:rsidRPr="008B335E" w:rsidRDefault="003D6BAA" w:rsidP="00750180">
      <w:pPr>
        <w:pStyle w:val="Heading4"/>
        <w:numPr>
          <w:ilvl w:val="3"/>
          <w:numId w:val="29"/>
        </w:numPr>
        <w:spacing w:after="240"/>
        <w:rPr>
          <w:highlight w:val="yellow"/>
        </w:rPr>
      </w:pPr>
      <w:r w:rsidRPr="008B335E">
        <w:rPr>
          <w:highlight w:val="yellow"/>
        </w:rPr>
        <w:t xml:space="preserve">Vacancy Rate </w:t>
      </w:r>
    </w:p>
    <w:p w14:paraId="6F0BAA4E" w14:textId="4BB461B0" w:rsidR="00881973" w:rsidRPr="008B335E" w:rsidRDefault="00881973" w:rsidP="00881973">
      <w:pPr>
        <w:rPr>
          <w:highlight w:val="yellow"/>
        </w:rPr>
      </w:pPr>
      <w:r w:rsidRPr="008B335E">
        <w:rPr>
          <w:highlight w:val="yellow"/>
        </w:rPr>
        <w:t>The municipality has a fully-fledged staff component of 392 employees and there are 17 vacancies. The Vacancy rate is therefore 4%. The municipality will entensify its financial capacity to fill these vacancies within 3 months in accordance with the Collective Agreements.</w:t>
      </w:r>
    </w:p>
    <w:p w14:paraId="47AEA975" w14:textId="37627684" w:rsidR="00A16360" w:rsidRPr="008B335E" w:rsidRDefault="00A87D5E" w:rsidP="00750180">
      <w:pPr>
        <w:pStyle w:val="Heading4"/>
        <w:numPr>
          <w:ilvl w:val="3"/>
          <w:numId w:val="29"/>
        </w:numPr>
        <w:spacing w:after="240"/>
        <w:rPr>
          <w:highlight w:val="yellow"/>
        </w:rPr>
      </w:pPr>
      <w:r w:rsidRPr="008B335E">
        <w:rPr>
          <w:highlight w:val="yellow"/>
        </w:rPr>
        <w:t>Organizational</w:t>
      </w:r>
      <w:r w:rsidR="0037082E" w:rsidRPr="008B335E">
        <w:rPr>
          <w:highlight w:val="yellow"/>
        </w:rPr>
        <w:t xml:space="preserve"> Structure / Organogram</w:t>
      </w:r>
      <w:bookmarkEnd w:id="242"/>
      <w:r w:rsidR="00164A30" w:rsidRPr="008B335E">
        <w:rPr>
          <w:highlight w:val="yellow"/>
        </w:rPr>
        <w:t xml:space="preserve"> </w:t>
      </w:r>
      <w:r w:rsidR="00727B00" w:rsidRPr="008B335E">
        <w:rPr>
          <w:highlight w:val="yellow"/>
        </w:rPr>
        <w:t>(Subject to Review)</w:t>
      </w:r>
    </w:p>
    <w:p w14:paraId="12A7C4E0" w14:textId="29247D48" w:rsidR="00070F62" w:rsidRPr="00845866" w:rsidRDefault="00070F62" w:rsidP="00070F62">
      <w:pPr>
        <w:jc w:val="both"/>
        <w:rPr>
          <w:highlight w:val="yellow"/>
        </w:rPr>
      </w:pPr>
      <w:r w:rsidRPr="003D6BAA">
        <w:rPr>
          <w:highlight w:val="yellow"/>
        </w:rPr>
        <w:t xml:space="preserve">The municipality </w:t>
      </w:r>
      <w:r w:rsidR="00406783" w:rsidRPr="003D6BAA">
        <w:rPr>
          <w:highlight w:val="yellow"/>
        </w:rPr>
        <w:t>adopted the new organogram in March 2017</w:t>
      </w:r>
      <w:r w:rsidR="00845866">
        <w:rPr>
          <w:highlight w:val="yellow"/>
        </w:rPr>
        <w:t xml:space="preserve"> and is annually reviewed with the IDP</w:t>
      </w:r>
      <w:r w:rsidRPr="003D6BAA">
        <w:rPr>
          <w:highlight w:val="yellow"/>
        </w:rPr>
        <w:t xml:space="preserve">. </w:t>
      </w:r>
      <w:r w:rsidR="00845866">
        <w:rPr>
          <w:highlight w:val="yellow"/>
        </w:rPr>
        <w:t>Additional new positions will only be filled upon availability of financial resources</w:t>
      </w:r>
      <w:r w:rsidR="0059766D" w:rsidRPr="003D6BAA">
        <w:rPr>
          <w:highlight w:val="yellow"/>
        </w:rPr>
        <w:t xml:space="preserve">. </w:t>
      </w:r>
      <w:r w:rsidR="00436ABB" w:rsidRPr="003D6BAA">
        <w:rPr>
          <w:highlight w:val="yellow"/>
        </w:rPr>
        <w:t xml:space="preserve">Further to this, the municipality has employed capable and experienced staff </w:t>
      </w:r>
      <w:r w:rsidR="00A87D5E" w:rsidRPr="003D6BAA">
        <w:rPr>
          <w:highlight w:val="yellow"/>
        </w:rPr>
        <w:t>within</w:t>
      </w:r>
      <w:r w:rsidR="00436ABB" w:rsidRPr="003D6BAA">
        <w:rPr>
          <w:highlight w:val="yellow"/>
        </w:rPr>
        <w:t xml:space="preserve"> various sections of the organization so as to</w:t>
      </w:r>
      <w:r w:rsidR="0001759C" w:rsidRPr="003D6BAA">
        <w:rPr>
          <w:highlight w:val="yellow"/>
        </w:rPr>
        <w:t xml:space="preserve"> align itself with the requirements SPLUM</w:t>
      </w:r>
      <w:r w:rsidR="0059766D" w:rsidRPr="003D6BAA">
        <w:rPr>
          <w:highlight w:val="yellow"/>
        </w:rPr>
        <w:t>A which has taken effect</w:t>
      </w:r>
      <w:r w:rsidR="00AA7D71" w:rsidRPr="003D6BAA">
        <w:rPr>
          <w:highlight w:val="yellow"/>
        </w:rPr>
        <w:t>.</w:t>
      </w:r>
    </w:p>
    <w:p w14:paraId="77E6F910" w14:textId="77777777" w:rsidR="00845866" w:rsidRDefault="00845866" w:rsidP="002F62F0">
      <w:pPr>
        <w:pStyle w:val="Caption"/>
      </w:pPr>
      <w:bookmarkStart w:id="244" w:name="_Toc389739825"/>
    </w:p>
    <w:p w14:paraId="72EDC6B5" w14:textId="77777777" w:rsidR="00845866" w:rsidRDefault="00845866" w:rsidP="002F62F0">
      <w:pPr>
        <w:pStyle w:val="Caption"/>
      </w:pPr>
    </w:p>
    <w:p w14:paraId="26ECFD2D" w14:textId="77777777" w:rsidR="00845866" w:rsidRDefault="00845866" w:rsidP="002F62F0">
      <w:pPr>
        <w:pStyle w:val="Caption"/>
      </w:pPr>
    </w:p>
    <w:p w14:paraId="6CB95EB8" w14:textId="77777777" w:rsidR="00845866" w:rsidRDefault="00845866" w:rsidP="002F62F0">
      <w:pPr>
        <w:pStyle w:val="Caption"/>
      </w:pPr>
    </w:p>
    <w:p w14:paraId="1E739B9A" w14:textId="77777777" w:rsidR="00845866" w:rsidRDefault="00845866" w:rsidP="002F62F0">
      <w:pPr>
        <w:pStyle w:val="Caption"/>
      </w:pPr>
    </w:p>
    <w:p w14:paraId="54252601" w14:textId="77777777" w:rsidR="00845866" w:rsidRDefault="00845866" w:rsidP="002F62F0">
      <w:pPr>
        <w:pStyle w:val="Caption"/>
      </w:pPr>
    </w:p>
    <w:p w14:paraId="302FE402" w14:textId="77777777" w:rsidR="00845866" w:rsidRDefault="00845866" w:rsidP="002F62F0">
      <w:pPr>
        <w:pStyle w:val="Caption"/>
      </w:pPr>
    </w:p>
    <w:p w14:paraId="384AECEE" w14:textId="77777777" w:rsidR="00845866" w:rsidRDefault="00845866" w:rsidP="002F62F0">
      <w:pPr>
        <w:pStyle w:val="Caption"/>
      </w:pPr>
    </w:p>
    <w:p w14:paraId="2D7035E3" w14:textId="77777777" w:rsidR="00845866" w:rsidRDefault="00845866" w:rsidP="002F62F0">
      <w:pPr>
        <w:pStyle w:val="Caption"/>
      </w:pPr>
    </w:p>
    <w:p w14:paraId="44D00D9F" w14:textId="77777777" w:rsidR="00845866" w:rsidRDefault="00845866" w:rsidP="002F62F0">
      <w:pPr>
        <w:pStyle w:val="Caption"/>
      </w:pPr>
    </w:p>
    <w:p w14:paraId="7CA76386" w14:textId="77777777" w:rsidR="00845866" w:rsidRDefault="00845866" w:rsidP="002F62F0">
      <w:pPr>
        <w:pStyle w:val="Caption"/>
      </w:pPr>
    </w:p>
    <w:bookmarkEnd w:id="244"/>
    <w:p w14:paraId="15506294" w14:textId="68CB480B" w:rsidR="002F3002" w:rsidRDefault="00881973" w:rsidP="00395313">
      <w:pPr>
        <w:spacing w:line="288" w:lineRule="auto"/>
        <w:jc w:val="both"/>
        <w:rPr>
          <w:szCs w:val="20"/>
        </w:rPr>
      </w:pPr>
      <w:r>
        <w:rPr>
          <w:noProof/>
        </w:rPr>
        <w:lastRenderedPageBreak/>
        <w:drawing>
          <wp:inline distT="0" distB="0" distL="0" distR="0" wp14:anchorId="5997C4C2" wp14:editId="0B6823B7">
            <wp:extent cx="6120765" cy="39243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3924300"/>
                    </a:xfrm>
                    <a:prstGeom prst="rect">
                      <a:avLst/>
                    </a:prstGeom>
                  </pic:spPr>
                </pic:pic>
              </a:graphicData>
            </a:graphic>
          </wp:inline>
        </w:drawing>
      </w:r>
    </w:p>
    <w:p w14:paraId="7EDD93FA" w14:textId="6AF02479" w:rsidR="00DF06B6" w:rsidRDefault="00DF06B6" w:rsidP="00DF06B6">
      <w:pPr>
        <w:pStyle w:val="Caption"/>
      </w:pPr>
      <w:r>
        <w:t xml:space="preserve">Figure </w:t>
      </w:r>
      <w:r w:rsidR="00B918A6">
        <w:fldChar w:fldCharType="begin"/>
      </w:r>
      <w:r w:rsidR="00B918A6">
        <w:instrText xml:space="preserve"> SEQ Figure \* ARABIC </w:instrText>
      </w:r>
      <w:r w:rsidR="00B918A6">
        <w:fldChar w:fldCharType="separate"/>
      </w:r>
      <w:r w:rsidR="0067023A">
        <w:rPr>
          <w:noProof/>
        </w:rPr>
        <w:t>6</w:t>
      </w:r>
      <w:r w:rsidR="00B918A6">
        <w:rPr>
          <w:noProof/>
        </w:rPr>
        <w:fldChar w:fldCharType="end"/>
      </w:r>
      <w:r>
        <w:t xml:space="preserve">: Political Office Bearers </w:t>
      </w:r>
    </w:p>
    <w:p w14:paraId="1582DA3E" w14:textId="77777777" w:rsidR="00DF06B6" w:rsidRPr="00881795" w:rsidRDefault="00DF06B6" w:rsidP="00395313">
      <w:pPr>
        <w:spacing w:line="288" w:lineRule="auto"/>
        <w:jc w:val="both"/>
        <w:rPr>
          <w:szCs w:val="20"/>
        </w:rPr>
      </w:pPr>
    </w:p>
    <w:p w14:paraId="47E289A1" w14:textId="6B1A115E" w:rsidR="00BE1DE8" w:rsidRDefault="00881973" w:rsidP="002F62F0">
      <w:pPr>
        <w:pStyle w:val="Caption"/>
      </w:pPr>
      <w:bookmarkStart w:id="245" w:name="_Toc389739826"/>
      <w:r>
        <w:rPr>
          <w:noProof/>
        </w:rPr>
        <w:drawing>
          <wp:inline distT="0" distB="0" distL="0" distR="0" wp14:anchorId="62193EDA" wp14:editId="1B513FD3">
            <wp:extent cx="6120765" cy="3864334"/>
            <wp:effectExtent l="0" t="0" r="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3018" cy="3865756"/>
                    </a:xfrm>
                    <a:prstGeom prst="rect">
                      <a:avLst/>
                    </a:prstGeom>
                  </pic:spPr>
                </pic:pic>
              </a:graphicData>
            </a:graphic>
          </wp:inline>
        </w:drawing>
      </w:r>
    </w:p>
    <w:p w14:paraId="58C6B25D" w14:textId="5D8095BA" w:rsidR="002F3002" w:rsidRPr="00EF3F61" w:rsidRDefault="00565308" w:rsidP="002F62F0">
      <w:pPr>
        <w:pStyle w:val="Caption"/>
      </w:pPr>
      <w:bookmarkStart w:id="246" w:name="_Toc510622368"/>
      <w:r w:rsidRPr="00EF3F61">
        <w:t xml:space="preserve">Figure </w:t>
      </w:r>
      <w:r w:rsidR="00B918A6">
        <w:fldChar w:fldCharType="begin"/>
      </w:r>
      <w:r w:rsidR="00B918A6">
        <w:instrText xml:space="preserve"> SEQ Figure \* ARABIC </w:instrText>
      </w:r>
      <w:r w:rsidR="00B918A6">
        <w:fldChar w:fldCharType="separate"/>
      </w:r>
      <w:r w:rsidR="0067023A">
        <w:rPr>
          <w:noProof/>
        </w:rPr>
        <w:t>7</w:t>
      </w:r>
      <w:r w:rsidR="00B918A6">
        <w:rPr>
          <w:noProof/>
        </w:rPr>
        <w:fldChar w:fldCharType="end"/>
      </w:r>
      <w:r w:rsidR="002F3002" w:rsidRPr="00EF3F61">
        <w:t xml:space="preserve">:  </w:t>
      </w:r>
      <w:r w:rsidR="00920D0C" w:rsidRPr="00EF3F61">
        <w:t>Office of the Mayor</w:t>
      </w:r>
      <w:bookmarkEnd w:id="245"/>
      <w:bookmarkEnd w:id="246"/>
    </w:p>
    <w:p w14:paraId="59B5818F" w14:textId="22E4B472" w:rsidR="002F3002" w:rsidRPr="00881795" w:rsidRDefault="00881973" w:rsidP="00395313">
      <w:pPr>
        <w:spacing w:line="288" w:lineRule="auto"/>
        <w:jc w:val="both"/>
        <w:rPr>
          <w:szCs w:val="20"/>
        </w:rPr>
      </w:pPr>
      <w:r>
        <w:rPr>
          <w:noProof/>
        </w:rPr>
        <w:lastRenderedPageBreak/>
        <w:drawing>
          <wp:inline distT="0" distB="0" distL="0" distR="0" wp14:anchorId="3AEB3E59" wp14:editId="626C92AD">
            <wp:extent cx="6120765" cy="38766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0765" cy="3876675"/>
                    </a:xfrm>
                    <a:prstGeom prst="rect">
                      <a:avLst/>
                    </a:prstGeom>
                  </pic:spPr>
                </pic:pic>
              </a:graphicData>
            </a:graphic>
          </wp:inline>
        </w:drawing>
      </w:r>
    </w:p>
    <w:p w14:paraId="23383ABF" w14:textId="77777777" w:rsidR="00070F62" w:rsidRPr="00881795" w:rsidRDefault="00070F62" w:rsidP="002F62F0">
      <w:pPr>
        <w:pStyle w:val="Caption"/>
      </w:pPr>
      <w:bookmarkStart w:id="247" w:name="_Toc389739827"/>
      <w:bookmarkStart w:id="248" w:name="_Toc510622369"/>
      <w:r w:rsidRPr="00881795">
        <w:t xml:space="preserve">Figure </w:t>
      </w:r>
      <w:r w:rsidR="00B918A6">
        <w:fldChar w:fldCharType="begin"/>
      </w:r>
      <w:r w:rsidR="00B918A6">
        <w:instrText xml:space="preserve"> SEQ Figure \* ARABIC </w:instrText>
      </w:r>
      <w:r w:rsidR="00B918A6">
        <w:fldChar w:fldCharType="separate"/>
      </w:r>
      <w:r w:rsidR="0067023A">
        <w:rPr>
          <w:noProof/>
        </w:rPr>
        <w:t>8</w:t>
      </w:r>
      <w:r w:rsidR="00B918A6">
        <w:rPr>
          <w:noProof/>
        </w:rPr>
        <w:fldChar w:fldCharType="end"/>
      </w:r>
      <w:r w:rsidRPr="00881795">
        <w:t>:  Office of the Deputy Mayor</w:t>
      </w:r>
      <w:bookmarkEnd w:id="247"/>
      <w:bookmarkEnd w:id="248"/>
    </w:p>
    <w:p w14:paraId="3F32652A" w14:textId="45CF788C" w:rsidR="00F815DF" w:rsidRDefault="00845866" w:rsidP="00395313">
      <w:pPr>
        <w:jc w:val="both"/>
        <w:rPr>
          <w:b/>
          <w:bCs/>
          <w:szCs w:val="18"/>
        </w:rPr>
      </w:pPr>
      <w:r>
        <w:rPr>
          <w:noProof/>
        </w:rPr>
        <w:drawing>
          <wp:inline distT="0" distB="0" distL="0" distR="0" wp14:anchorId="43505B51" wp14:editId="26D8C41A">
            <wp:extent cx="6120765" cy="4227195"/>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765" cy="4227195"/>
                    </a:xfrm>
                    <a:prstGeom prst="rect">
                      <a:avLst/>
                    </a:prstGeom>
                  </pic:spPr>
                </pic:pic>
              </a:graphicData>
            </a:graphic>
          </wp:inline>
        </w:drawing>
      </w:r>
    </w:p>
    <w:p w14:paraId="0B5FC371" w14:textId="77777777" w:rsidR="002F3002" w:rsidRPr="00881795" w:rsidRDefault="002F3002" w:rsidP="002F62F0">
      <w:pPr>
        <w:pStyle w:val="Caption"/>
      </w:pPr>
      <w:bookmarkStart w:id="249" w:name="_Toc389739828"/>
      <w:bookmarkStart w:id="250" w:name="_Toc510622370"/>
      <w:r w:rsidRPr="00881795">
        <w:t xml:space="preserve">Figure </w:t>
      </w:r>
      <w:r w:rsidR="00B918A6">
        <w:fldChar w:fldCharType="begin"/>
      </w:r>
      <w:r w:rsidR="00B918A6">
        <w:instrText xml:space="preserve"> SEQ Figure \* ARABIC </w:instrText>
      </w:r>
      <w:r w:rsidR="00B918A6">
        <w:fldChar w:fldCharType="separate"/>
      </w:r>
      <w:r w:rsidR="0067023A">
        <w:rPr>
          <w:noProof/>
        </w:rPr>
        <w:t>9</w:t>
      </w:r>
      <w:r w:rsidR="00B918A6">
        <w:rPr>
          <w:noProof/>
        </w:rPr>
        <w:fldChar w:fldCharType="end"/>
      </w:r>
      <w:r w:rsidR="00565308">
        <w:rPr>
          <w:noProof/>
        </w:rPr>
        <w:t>:</w:t>
      </w:r>
      <w:r w:rsidR="00920D0C" w:rsidRPr="00881795">
        <w:t xml:space="preserve"> Office of the Speaker</w:t>
      </w:r>
      <w:bookmarkEnd w:id="249"/>
      <w:bookmarkEnd w:id="250"/>
    </w:p>
    <w:p w14:paraId="7C4E1CB9" w14:textId="232619A4" w:rsidR="0001759C" w:rsidRDefault="0059369C" w:rsidP="002F62F0">
      <w:pPr>
        <w:pStyle w:val="Caption"/>
      </w:pPr>
      <w:bookmarkStart w:id="251" w:name="_Toc389739829"/>
      <w:r>
        <w:rPr>
          <w:noProof/>
        </w:rPr>
        <w:lastRenderedPageBreak/>
        <w:drawing>
          <wp:inline distT="0" distB="0" distL="0" distR="0" wp14:anchorId="07B26187" wp14:editId="464D7B18">
            <wp:extent cx="6120765" cy="33432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20765" cy="3343275"/>
                    </a:xfrm>
                    <a:prstGeom prst="rect">
                      <a:avLst/>
                    </a:prstGeom>
                  </pic:spPr>
                </pic:pic>
              </a:graphicData>
            </a:graphic>
          </wp:inline>
        </w:drawing>
      </w:r>
    </w:p>
    <w:p w14:paraId="5BB0EF99" w14:textId="67434F23" w:rsidR="008A37A4" w:rsidRPr="00881795" w:rsidRDefault="00556FCC" w:rsidP="00556FCC">
      <w:pPr>
        <w:pStyle w:val="Caption"/>
      </w:pPr>
      <w:bookmarkStart w:id="252" w:name="_Toc510622371"/>
      <w:r>
        <w:t xml:space="preserve">Figure </w:t>
      </w:r>
      <w:r w:rsidR="00B918A6">
        <w:fldChar w:fldCharType="begin"/>
      </w:r>
      <w:r w:rsidR="00B918A6">
        <w:instrText xml:space="preserve"> SEQ Figure \* ARABIC </w:instrText>
      </w:r>
      <w:r w:rsidR="00B918A6">
        <w:fldChar w:fldCharType="separate"/>
      </w:r>
      <w:r w:rsidR="0067023A">
        <w:rPr>
          <w:noProof/>
        </w:rPr>
        <w:t>10</w:t>
      </w:r>
      <w:r w:rsidR="00B918A6">
        <w:rPr>
          <w:noProof/>
        </w:rPr>
        <w:fldChar w:fldCharType="end"/>
      </w:r>
      <w:r w:rsidR="008A37A4" w:rsidRPr="00881795">
        <w:t>: Office of the Chief Whip</w:t>
      </w:r>
      <w:bookmarkEnd w:id="251"/>
      <w:bookmarkEnd w:id="252"/>
    </w:p>
    <w:p w14:paraId="2DE4AD4E" w14:textId="77777777" w:rsidR="00AE55F2" w:rsidRPr="008A37A4" w:rsidRDefault="00AE55F2" w:rsidP="008A37A4">
      <w:pPr>
        <w:rPr>
          <w:szCs w:val="20"/>
        </w:rPr>
        <w:sectPr w:rsidR="00AE55F2" w:rsidRPr="008A37A4" w:rsidSect="00732C0E">
          <w:pgSz w:w="11907" w:h="16839" w:code="9"/>
          <w:pgMar w:top="1276" w:right="1134" w:bottom="851" w:left="1134" w:header="720" w:footer="720" w:gutter="0"/>
          <w:cols w:space="720"/>
          <w:titlePg/>
          <w:docGrid w:linePitch="360"/>
        </w:sectPr>
      </w:pPr>
    </w:p>
    <w:p w14:paraId="38D95251" w14:textId="77777777" w:rsidR="00920D0C" w:rsidRPr="00881795" w:rsidRDefault="00920D0C" w:rsidP="00395313">
      <w:pPr>
        <w:jc w:val="both"/>
      </w:pPr>
    </w:p>
    <w:p w14:paraId="0437C41F" w14:textId="77777777" w:rsidR="00920D0C" w:rsidRPr="00881795" w:rsidRDefault="00556FCC" w:rsidP="00556FCC">
      <w:pPr>
        <w:pStyle w:val="Caption"/>
      </w:pPr>
      <w:bookmarkStart w:id="253" w:name="_Toc389739830"/>
      <w:bookmarkStart w:id="254" w:name="_Toc510622372"/>
      <w:r>
        <w:t xml:space="preserve">Figure </w:t>
      </w:r>
      <w:r w:rsidR="00B918A6">
        <w:fldChar w:fldCharType="begin"/>
      </w:r>
      <w:r w:rsidR="00B918A6">
        <w:instrText xml:space="preserve"> SEQ Figure \* ARABIC </w:instrText>
      </w:r>
      <w:r w:rsidR="00B918A6">
        <w:fldChar w:fldCharType="separate"/>
      </w:r>
      <w:r w:rsidR="0067023A">
        <w:rPr>
          <w:noProof/>
        </w:rPr>
        <w:t>11</w:t>
      </w:r>
      <w:r w:rsidR="00B918A6">
        <w:rPr>
          <w:noProof/>
        </w:rPr>
        <w:fldChar w:fldCharType="end"/>
      </w:r>
      <w:r w:rsidR="00920D0C" w:rsidRPr="00881795">
        <w:t>: Macro Structure</w:t>
      </w:r>
      <w:bookmarkEnd w:id="253"/>
      <w:bookmarkEnd w:id="254"/>
    </w:p>
    <w:p w14:paraId="3BEBD5DB" w14:textId="434C38DC" w:rsidR="00AE55F2" w:rsidRPr="00881795" w:rsidRDefault="0059369C" w:rsidP="00395313">
      <w:pPr>
        <w:spacing w:line="288" w:lineRule="auto"/>
        <w:jc w:val="both"/>
        <w:rPr>
          <w:szCs w:val="20"/>
        </w:rPr>
        <w:sectPr w:rsidR="00AE55F2" w:rsidRPr="00881795" w:rsidSect="000A2E48">
          <w:pgSz w:w="16839" w:h="11907" w:orient="landscape" w:code="9"/>
          <w:pgMar w:top="1134" w:right="851" w:bottom="1134" w:left="851" w:header="720" w:footer="720" w:gutter="0"/>
          <w:cols w:space="720"/>
          <w:docGrid w:linePitch="360"/>
        </w:sectPr>
      </w:pPr>
      <w:r>
        <w:rPr>
          <w:noProof/>
        </w:rPr>
        <w:drawing>
          <wp:inline distT="0" distB="0" distL="0" distR="0" wp14:anchorId="5E2E3586" wp14:editId="6160565B">
            <wp:extent cx="9258300" cy="53721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9258300" cy="5372100"/>
                    </a:xfrm>
                    <a:prstGeom prst="rect">
                      <a:avLst/>
                    </a:prstGeom>
                  </pic:spPr>
                </pic:pic>
              </a:graphicData>
            </a:graphic>
          </wp:inline>
        </w:drawing>
      </w:r>
    </w:p>
    <w:p w14:paraId="61781769" w14:textId="77777777" w:rsidR="002F3002" w:rsidRPr="00881795" w:rsidRDefault="002F3002" w:rsidP="00395313">
      <w:pPr>
        <w:spacing w:line="288" w:lineRule="auto"/>
        <w:jc w:val="both"/>
        <w:rPr>
          <w:szCs w:val="20"/>
        </w:rPr>
      </w:pPr>
    </w:p>
    <w:p w14:paraId="572703B7" w14:textId="77777777" w:rsidR="0037082E" w:rsidRPr="0004660B" w:rsidRDefault="0037082E" w:rsidP="00750180">
      <w:pPr>
        <w:pStyle w:val="Heading4"/>
        <w:numPr>
          <w:ilvl w:val="3"/>
          <w:numId w:val="29"/>
        </w:numPr>
        <w:spacing w:after="240"/>
        <w:rPr>
          <w:highlight w:val="yellow"/>
        </w:rPr>
      </w:pPr>
      <w:bookmarkStart w:id="255" w:name="_Toc389739838"/>
      <w:r w:rsidRPr="0004660B">
        <w:rPr>
          <w:highlight w:val="yellow"/>
        </w:rPr>
        <w:t>Municipal Institutional Capacity</w:t>
      </w:r>
      <w:r w:rsidR="00565308" w:rsidRPr="0004660B">
        <w:rPr>
          <w:highlight w:val="yellow"/>
        </w:rPr>
        <w:t xml:space="preserve"> </w:t>
      </w:r>
      <w:r w:rsidR="00AB7988" w:rsidRPr="0004660B">
        <w:rPr>
          <w:highlight w:val="yellow"/>
        </w:rPr>
        <w:t>&amp; Critical Posts</w:t>
      </w:r>
      <w:bookmarkEnd w:id="255"/>
    </w:p>
    <w:p w14:paraId="0EC664E4" w14:textId="77777777" w:rsidR="00AB7988" w:rsidRPr="000F10F0" w:rsidRDefault="00AB7988" w:rsidP="00750180">
      <w:pPr>
        <w:pStyle w:val="Heading5"/>
        <w:numPr>
          <w:ilvl w:val="4"/>
          <w:numId w:val="29"/>
        </w:numPr>
        <w:spacing w:after="240"/>
      </w:pPr>
      <w:bookmarkStart w:id="256" w:name="_Toc389739839"/>
      <w:r w:rsidRPr="000F10F0">
        <w:t>Critical Posts</w:t>
      </w:r>
      <w:bookmarkEnd w:id="256"/>
    </w:p>
    <w:p w14:paraId="6C193766" w14:textId="77777777" w:rsidR="0004660B" w:rsidRDefault="00AB7988" w:rsidP="00395313">
      <w:pPr>
        <w:spacing w:line="288" w:lineRule="auto"/>
        <w:jc w:val="both"/>
        <w:rPr>
          <w:szCs w:val="20"/>
        </w:rPr>
      </w:pPr>
      <w:r w:rsidRPr="00881795">
        <w:rPr>
          <w:szCs w:val="20"/>
        </w:rPr>
        <w:t>The posts of Municipal Manager, as well as all Section 56 posts, are</w:t>
      </w:r>
      <w:r w:rsidR="0004660B">
        <w:rPr>
          <w:szCs w:val="20"/>
        </w:rPr>
        <w:t xml:space="preserve"> considered as critical posts. </w:t>
      </w:r>
      <w:r w:rsidR="003D6BAA">
        <w:rPr>
          <w:szCs w:val="20"/>
        </w:rPr>
        <w:t>All Top Management (Director and MM) posts have been filled with exception of the Director for Planning and Economic Development which is still awaiting concurrence and approval from the MEC for KZN CoGTA.</w:t>
      </w:r>
    </w:p>
    <w:p w14:paraId="1E6F2337" w14:textId="77777777" w:rsidR="00AA32A1" w:rsidRPr="00F1014C" w:rsidRDefault="00AA32A1" w:rsidP="00750180">
      <w:pPr>
        <w:pStyle w:val="Heading5"/>
        <w:numPr>
          <w:ilvl w:val="4"/>
          <w:numId w:val="29"/>
        </w:numPr>
        <w:spacing w:after="240"/>
      </w:pPr>
      <w:bookmarkStart w:id="257" w:name="_Toc389739840"/>
      <w:r w:rsidRPr="00F1014C">
        <w:t>Institutional Capacity</w:t>
      </w:r>
      <w:bookmarkEnd w:id="257"/>
      <w:r w:rsidR="00B87445" w:rsidRPr="00F1014C">
        <w:t xml:space="preserve"> </w:t>
      </w:r>
    </w:p>
    <w:p w14:paraId="28A6C2D5" w14:textId="77777777" w:rsidR="00AA32A1" w:rsidRPr="00164A30" w:rsidRDefault="00AA32A1" w:rsidP="00395313">
      <w:pPr>
        <w:jc w:val="both"/>
        <w:rPr>
          <w:rFonts w:cs="Calibri"/>
          <w:color w:val="FF0000"/>
        </w:rPr>
      </w:pPr>
      <w:r w:rsidRPr="00881795">
        <w:rPr>
          <w:rFonts w:cs="Calibri"/>
          <w:color w:val="000000" w:themeColor="text1"/>
        </w:rPr>
        <w:t xml:space="preserve">As indicated previously, the Municipality has the following </w:t>
      </w:r>
      <w:r w:rsidR="00F65645">
        <w:rPr>
          <w:rFonts w:cs="Calibri"/>
          <w:color w:val="000000" w:themeColor="text1"/>
        </w:rPr>
        <w:t>f</w:t>
      </w:r>
      <w:r w:rsidR="00697E8B">
        <w:rPr>
          <w:rFonts w:cs="Calibri"/>
          <w:color w:val="000000" w:themeColor="text1"/>
        </w:rPr>
        <w:t xml:space="preserve">ive </w:t>
      </w:r>
      <w:r w:rsidRPr="00881795">
        <w:rPr>
          <w:rFonts w:cs="Calibri"/>
          <w:color w:val="000000" w:themeColor="text1"/>
        </w:rPr>
        <w:t>Departments</w:t>
      </w:r>
      <w:r w:rsidR="00697E8B">
        <w:rPr>
          <w:rFonts w:cs="Calibri"/>
          <w:color w:val="000000" w:themeColor="text1"/>
        </w:rPr>
        <w:t>.</w:t>
      </w:r>
    </w:p>
    <w:p w14:paraId="208D34A8" w14:textId="77777777" w:rsidR="00AA32A1" w:rsidRPr="00881795" w:rsidRDefault="00AA32A1" w:rsidP="00E31338">
      <w:pPr>
        <w:pStyle w:val="ListParagraph"/>
        <w:numPr>
          <w:ilvl w:val="0"/>
          <w:numId w:val="1"/>
        </w:numPr>
        <w:spacing w:line="288" w:lineRule="auto"/>
        <w:jc w:val="both"/>
        <w:rPr>
          <w:szCs w:val="20"/>
        </w:rPr>
      </w:pPr>
      <w:r w:rsidRPr="00881795">
        <w:rPr>
          <w:szCs w:val="20"/>
        </w:rPr>
        <w:t>Engineering Services;</w:t>
      </w:r>
    </w:p>
    <w:p w14:paraId="6429CB40" w14:textId="77777777" w:rsidR="00AA32A1" w:rsidRPr="00881795" w:rsidRDefault="00AA32A1" w:rsidP="00E31338">
      <w:pPr>
        <w:pStyle w:val="ListParagraph"/>
        <w:numPr>
          <w:ilvl w:val="0"/>
          <w:numId w:val="1"/>
        </w:numPr>
        <w:spacing w:line="288" w:lineRule="auto"/>
        <w:jc w:val="both"/>
        <w:rPr>
          <w:szCs w:val="20"/>
        </w:rPr>
      </w:pPr>
      <w:r w:rsidRPr="00881795">
        <w:rPr>
          <w:szCs w:val="20"/>
        </w:rPr>
        <w:t>Community</w:t>
      </w:r>
      <w:r w:rsidR="00697E8B">
        <w:rPr>
          <w:szCs w:val="20"/>
        </w:rPr>
        <w:t xml:space="preserve"> Services</w:t>
      </w:r>
    </w:p>
    <w:p w14:paraId="32673543" w14:textId="77777777" w:rsidR="00AA32A1" w:rsidRPr="00881795" w:rsidRDefault="00697E8B" w:rsidP="00E31338">
      <w:pPr>
        <w:pStyle w:val="ListParagraph"/>
        <w:numPr>
          <w:ilvl w:val="0"/>
          <w:numId w:val="1"/>
        </w:numPr>
        <w:spacing w:line="288" w:lineRule="auto"/>
        <w:jc w:val="both"/>
        <w:rPr>
          <w:szCs w:val="20"/>
        </w:rPr>
      </w:pPr>
      <w:r>
        <w:rPr>
          <w:szCs w:val="20"/>
        </w:rPr>
        <w:t>Financial Services;</w:t>
      </w:r>
    </w:p>
    <w:p w14:paraId="3C730B1B" w14:textId="77777777" w:rsidR="00AA32A1" w:rsidRPr="00881795" w:rsidRDefault="00AA32A1" w:rsidP="00E31338">
      <w:pPr>
        <w:pStyle w:val="ListParagraph"/>
        <w:numPr>
          <w:ilvl w:val="0"/>
          <w:numId w:val="1"/>
        </w:numPr>
        <w:spacing w:line="288" w:lineRule="auto"/>
        <w:jc w:val="both"/>
        <w:rPr>
          <w:szCs w:val="20"/>
        </w:rPr>
      </w:pPr>
      <w:r w:rsidRPr="00881795">
        <w:rPr>
          <w:szCs w:val="20"/>
        </w:rPr>
        <w:t>Corporate Services.</w:t>
      </w:r>
    </w:p>
    <w:p w14:paraId="247DD464" w14:textId="77777777" w:rsidR="0013458A" w:rsidRPr="00881795" w:rsidRDefault="0013458A" w:rsidP="00E31338">
      <w:pPr>
        <w:pStyle w:val="ListParagraph"/>
        <w:numPr>
          <w:ilvl w:val="0"/>
          <w:numId w:val="1"/>
        </w:numPr>
        <w:spacing w:line="288" w:lineRule="auto"/>
        <w:jc w:val="both"/>
        <w:rPr>
          <w:szCs w:val="20"/>
        </w:rPr>
      </w:pPr>
      <w:r w:rsidRPr="00881795">
        <w:rPr>
          <w:szCs w:val="20"/>
        </w:rPr>
        <w:t xml:space="preserve">Planning and </w:t>
      </w:r>
      <w:r w:rsidR="00B629DA">
        <w:rPr>
          <w:szCs w:val="20"/>
        </w:rPr>
        <w:t xml:space="preserve">Economic </w:t>
      </w:r>
      <w:r w:rsidRPr="00881795">
        <w:rPr>
          <w:szCs w:val="20"/>
        </w:rPr>
        <w:t>Development</w:t>
      </w:r>
    </w:p>
    <w:p w14:paraId="0A49C20B" w14:textId="77777777" w:rsidR="00AA32A1" w:rsidRPr="00881795" w:rsidRDefault="00AA32A1" w:rsidP="00395313">
      <w:pPr>
        <w:jc w:val="both"/>
        <w:rPr>
          <w:rFonts w:cs="Calibri"/>
          <w:color w:val="000000" w:themeColor="text1"/>
        </w:rPr>
      </w:pPr>
      <w:r w:rsidRPr="00881795">
        <w:rPr>
          <w:rFonts w:cs="Calibri"/>
          <w:color w:val="000000" w:themeColor="text1"/>
        </w:rPr>
        <w:t>The following provides an overview of the above Departments:</w:t>
      </w:r>
    </w:p>
    <w:p w14:paraId="4AA5DEEF" w14:textId="77777777" w:rsidR="00AA32A1" w:rsidRDefault="007E542E" w:rsidP="00750180">
      <w:pPr>
        <w:pStyle w:val="Heading6"/>
        <w:numPr>
          <w:ilvl w:val="5"/>
          <w:numId w:val="29"/>
        </w:numPr>
        <w:rPr>
          <w:lang w:eastAsia="en-ZA"/>
        </w:rPr>
      </w:pPr>
      <w:r>
        <w:rPr>
          <w:lang w:eastAsia="en-ZA"/>
        </w:rPr>
        <w:t>Office of the Municipal Manager</w:t>
      </w:r>
    </w:p>
    <w:p w14:paraId="586666D7" w14:textId="77777777" w:rsidR="0002626E" w:rsidRDefault="00E11A59" w:rsidP="00750180">
      <w:pPr>
        <w:pStyle w:val="ListParagraph"/>
        <w:numPr>
          <w:ilvl w:val="0"/>
          <w:numId w:val="97"/>
        </w:numPr>
        <w:spacing w:before="240"/>
        <w:rPr>
          <w:lang w:eastAsia="en-ZA"/>
        </w:rPr>
      </w:pPr>
      <w:r>
        <w:rPr>
          <w:lang w:eastAsia="en-ZA"/>
        </w:rPr>
        <w:t>Compliance</w:t>
      </w:r>
      <w:r w:rsidR="0062492D">
        <w:rPr>
          <w:lang w:eastAsia="en-ZA"/>
        </w:rPr>
        <w:t xml:space="preserve"> and Legal</w:t>
      </w:r>
    </w:p>
    <w:p w14:paraId="6B843526" w14:textId="77777777" w:rsidR="007E542E" w:rsidRDefault="0062492D" w:rsidP="00750180">
      <w:pPr>
        <w:pStyle w:val="ListParagraph"/>
        <w:numPr>
          <w:ilvl w:val="0"/>
          <w:numId w:val="97"/>
        </w:numPr>
        <w:rPr>
          <w:lang w:eastAsia="en-ZA"/>
        </w:rPr>
      </w:pPr>
      <w:r>
        <w:rPr>
          <w:lang w:eastAsia="en-ZA"/>
        </w:rPr>
        <w:t>Performance Management</w:t>
      </w:r>
    </w:p>
    <w:p w14:paraId="49F7D3FD" w14:textId="77777777" w:rsidR="0002626E" w:rsidRDefault="00E11A59" w:rsidP="00750180">
      <w:pPr>
        <w:pStyle w:val="ListParagraph"/>
        <w:numPr>
          <w:ilvl w:val="0"/>
          <w:numId w:val="97"/>
        </w:numPr>
        <w:rPr>
          <w:lang w:eastAsia="en-ZA"/>
        </w:rPr>
      </w:pPr>
      <w:r>
        <w:rPr>
          <w:lang w:eastAsia="en-ZA"/>
        </w:rPr>
        <w:t>Internal A</w:t>
      </w:r>
      <w:r w:rsidR="0062492D">
        <w:rPr>
          <w:lang w:eastAsia="en-ZA"/>
        </w:rPr>
        <w:t>udit</w:t>
      </w:r>
    </w:p>
    <w:p w14:paraId="438C5B04" w14:textId="77777777" w:rsidR="0062492D" w:rsidRDefault="0062492D" w:rsidP="00750180">
      <w:pPr>
        <w:pStyle w:val="ListParagraph"/>
        <w:numPr>
          <w:ilvl w:val="0"/>
          <w:numId w:val="97"/>
        </w:numPr>
        <w:rPr>
          <w:lang w:eastAsia="en-ZA"/>
        </w:rPr>
      </w:pPr>
      <w:r>
        <w:rPr>
          <w:lang w:eastAsia="en-ZA"/>
        </w:rPr>
        <w:t xml:space="preserve">Public Participation </w:t>
      </w:r>
    </w:p>
    <w:p w14:paraId="7A8C7494" w14:textId="77777777" w:rsidR="00567055" w:rsidRDefault="00567055" w:rsidP="00567055">
      <w:pPr>
        <w:pStyle w:val="ListParagraph"/>
        <w:ind w:left="1440"/>
        <w:rPr>
          <w:lang w:eastAsia="en-ZA"/>
        </w:rPr>
      </w:pPr>
    </w:p>
    <w:p w14:paraId="79614095" w14:textId="77777777" w:rsidR="00C36A5F" w:rsidRPr="00F1014C" w:rsidRDefault="0002626E" w:rsidP="00750180">
      <w:pPr>
        <w:pStyle w:val="Heading6"/>
        <w:numPr>
          <w:ilvl w:val="5"/>
          <w:numId w:val="29"/>
        </w:numPr>
        <w:rPr>
          <w:lang w:eastAsia="en-ZA"/>
        </w:rPr>
      </w:pPr>
      <w:r w:rsidRPr="00F1014C">
        <w:rPr>
          <w:lang w:eastAsia="en-ZA"/>
        </w:rPr>
        <w:t>Engineering Services Department</w:t>
      </w:r>
    </w:p>
    <w:p w14:paraId="22F786D9" w14:textId="77777777" w:rsidR="0062492D" w:rsidRDefault="0062492D" w:rsidP="0062492D">
      <w:pPr>
        <w:pStyle w:val="ListParagraph"/>
        <w:rPr>
          <w:lang w:eastAsia="en-ZA"/>
        </w:rPr>
      </w:pPr>
    </w:p>
    <w:p w14:paraId="0CFCE9E8" w14:textId="77777777" w:rsidR="00453ABE" w:rsidRDefault="0002626E" w:rsidP="00750180">
      <w:pPr>
        <w:pStyle w:val="ListParagraph"/>
        <w:numPr>
          <w:ilvl w:val="0"/>
          <w:numId w:val="66"/>
        </w:numPr>
        <w:rPr>
          <w:lang w:eastAsia="en-ZA"/>
        </w:rPr>
      </w:pPr>
      <w:r>
        <w:rPr>
          <w:lang w:eastAsia="en-ZA"/>
        </w:rPr>
        <w:t xml:space="preserve">Civil Services (Roads and storm water; Sidewalks etc.) </w:t>
      </w:r>
    </w:p>
    <w:p w14:paraId="5DA63029" w14:textId="77777777" w:rsidR="0002626E" w:rsidRDefault="0002626E" w:rsidP="00750180">
      <w:pPr>
        <w:pStyle w:val="ListParagraph"/>
        <w:numPr>
          <w:ilvl w:val="0"/>
          <w:numId w:val="66"/>
        </w:numPr>
        <w:rPr>
          <w:lang w:eastAsia="en-ZA"/>
        </w:rPr>
      </w:pPr>
      <w:r>
        <w:rPr>
          <w:lang w:eastAsia="en-ZA"/>
        </w:rPr>
        <w:t>Municipal Building Maintenance Services</w:t>
      </w:r>
    </w:p>
    <w:p w14:paraId="4B928EA7" w14:textId="77777777" w:rsidR="00453ABE" w:rsidRDefault="0002626E" w:rsidP="00750180">
      <w:pPr>
        <w:pStyle w:val="ListParagraph"/>
        <w:numPr>
          <w:ilvl w:val="0"/>
          <w:numId w:val="66"/>
        </w:numPr>
        <w:rPr>
          <w:lang w:eastAsia="en-ZA"/>
        </w:rPr>
      </w:pPr>
      <w:r>
        <w:rPr>
          <w:lang w:eastAsia="en-ZA"/>
        </w:rPr>
        <w:t>Civil Infrastructure Planning, Construction &amp; Routine Maintenance</w:t>
      </w:r>
    </w:p>
    <w:p w14:paraId="50777CE0" w14:textId="77777777" w:rsidR="0002626E" w:rsidRDefault="0002626E" w:rsidP="00750180">
      <w:pPr>
        <w:pStyle w:val="ListParagraph"/>
        <w:numPr>
          <w:ilvl w:val="0"/>
          <w:numId w:val="66"/>
        </w:numPr>
        <w:rPr>
          <w:lang w:eastAsia="en-ZA"/>
        </w:rPr>
      </w:pPr>
      <w:r>
        <w:rPr>
          <w:lang w:eastAsia="en-ZA"/>
        </w:rPr>
        <w:t>Project Management Unit</w:t>
      </w:r>
    </w:p>
    <w:p w14:paraId="12FE7FE9" w14:textId="77777777" w:rsidR="0002626E" w:rsidRDefault="00453ABE" w:rsidP="00750180">
      <w:pPr>
        <w:pStyle w:val="ListParagraph"/>
        <w:numPr>
          <w:ilvl w:val="0"/>
          <w:numId w:val="66"/>
        </w:numPr>
        <w:rPr>
          <w:lang w:eastAsia="en-ZA"/>
        </w:rPr>
      </w:pPr>
      <w:r>
        <w:rPr>
          <w:lang w:eastAsia="en-ZA"/>
        </w:rPr>
        <w:t>Electrical &amp; Me</w:t>
      </w:r>
      <w:r w:rsidR="0002626E">
        <w:rPr>
          <w:lang w:eastAsia="en-ZA"/>
        </w:rPr>
        <w:t>chanical</w:t>
      </w:r>
    </w:p>
    <w:p w14:paraId="487DBBA6" w14:textId="77777777" w:rsidR="00AA32A1" w:rsidRPr="00F1014C" w:rsidRDefault="00B87445" w:rsidP="00750180">
      <w:pPr>
        <w:pStyle w:val="Heading6"/>
        <w:numPr>
          <w:ilvl w:val="5"/>
          <w:numId w:val="29"/>
        </w:numPr>
        <w:rPr>
          <w:lang w:eastAsia="en-ZA"/>
        </w:rPr>
      </w:pPr>
      <w:r w:rsidRPr="00F1014C">
        <w:rPr>
          <w:lang w:eastAsia="en-ZA"/>
        </w:rPr>
        <w:t>Finance Department</w:t>
      </w:r>
    </w:p>
    <w:p w14:paraId="1A94BD61" w14:textId="77777777" w:rsidR="00B87445" w:rsidRDefault="00B87445" w:rsidP="00750180">
      <w:pPr>
        <w:pStyle w:val="ListParagraph"/>
        <w:numPr>
          <w:ilvl w:val="0"/>
          <w:numId w:val="67"/>
        </w:numPr>
        <w:rPr>
          <w:lang w:eastAsia="en-ZA"/>
        </w:rPr>
      </w:pPr>
      <w:r>
        <w:rPr>
          <w:lang w:eastAsia="en-ZA"/>
        </w:rPr>
        <w:t>Revenue</w:t>
      </w:r>
    </w:p>
    <w:p w14:paraId="5731DF32" w14:textId="77777777" w:rsidR="00B87445" w:rsidRDefault="00B87445" w:rsidP="00750180">
      <w:pPr>
        <w:pStyle w:val="ListParagraph"/>
        <w:numPr>
          <w:ilvl w:val="0"/>
          <w:numId w:val="67"/>
        </w:numPr>
        <w:rPr>
          <w:lang w:eastAsia="en-ZA"/>
        </w:rPr>
      </w:pPr>
      <w:r>
        <w:rPr>
          <w:lang w:eastAsia="en-ZA"/>
        </w:rPr>
        <w:t>Expenditure</w:t>
      </w:r>
    </w:p>
    <w:p w14:paraId="2F4C5A68" w14:textId="77777777" w:rsidR="00B87445" w:rsidRDefault="00B87445" w:rsidP="00750180">
      <w:pPr>
        <w:pStyle w:val="ListParagraph"/>
        <w:numPr>
          <w:ilvl w:val="0"/>
          <w:numId w:val="67"/>
        </w:numPr>
        <w:rPr>
          <w:lang w:eastAsia="en-ZA"/>
        </w:rPr>
      </w:pPr>
      <w:r>
        <w:rPr>
          <w:lang w:eastAsia="en-ZA"/>
        </w:rPr>
        <w:t>Supply Chain Management</w:t>
      </w:r>
    </w:p>
    <w:p w14:paraId="1F350812" w14:textId="77777777" w:rsidR="00B87445" w:rsidRDefault="00B87445" w:rsidP="00750180">
      <w:pPr>
        <w:pStyle w:val="ListParagraph"/>
        <w:numPr>
          <w:ilvl w:val="0"/>
          <w:numId w:val="67"/>
        </w:numPr>
        <w:rPr>
          <w:lang w:eastAsia="en-ZA"/>
        </w:rPr>
      </w:pPr>
      <w:r>
        <w:rPr>
          <w:lang w:eastAsia="en-ZA"/>
        </w:rPr>
        <w:t>Budget and Financial Reporting</w:t>
      </w:r>
    </w:p>
    <w:p w14:paraId="50836E88" w14:textId="77777777" w:rsidR="00DB6679" w:rsidRDefault="00DB6679" w:rsidP="00DB6679">
      <w:pPr>
        <w:pStyle w:val="ListParagraph"/>
        <w:rPr>
          <w:lang w:eastAsia="en-ZA"/>
        </w:rPr>
      </w:pPr>
    </w:p>
    <w:p w14:paraId="5D3448FF" w14:textId="77777777" w:rsidR="00AA32A1" w:rsidRPr="00F1014C" w:rsidRDefault="00C262DC" w:rsidP="00750180">
      <w:pPr>
        <w:pStyle w:val="Heading6"/>
        <w:numPr>
          <w:ilvl w:val="5"/>
          <w:numId w:val="29"/>
        </w:numPr>
        <w:spacing w:after="240"/>
        <w:rPr>
          <w:lang w:eastAsia="en-ZA"/>
        </w:rPr>
      </w:pPr>
      <w:r w:rsidRPr="00F1014C">
        <w:rPr>
          <w:lang w:eastAsia="en-ZA"/>
        </w:rPr>
        <w:t>C</w:t>
      </w:r>
      <w:r w:rsidR="00DB6679" w:rsidRPr="00F1014C">
        <w:rPr>
          <w:lang w:eastAsia="en-ZA"/>
        </w:rPr>
        <w:t>orporate Services Department</w:t>
      </w:r>
    </w:p>
    <w:p w14:paraId="39E14690" w14:textId="77777777" w:rsidR="00F23F87" w:rsidRDefault="00DB6679" w:rsidP="00750180">
      <w:pPr>
        <w:pStyle w:val="ListParagraph"/>
        <w:numPr>
          <w:ilvl w:val="0"/>
          <w:numId w:val="68"/>
        </w:numPr>
        <w:spacing w:after="0"/>
        <w:rPr>
          <w:lang w:eastAsia="en-ZA"/>
        </w:rPr>
      </w:pPr>
      <w:r>
        <w:rPr>
          <w:lang w:eastAsia="en-ZA"/>
        </w:rPr>
        <w:t xml:space="preserve">Human Resource Management </w:t>
      </w:r>
    </w:p>
    <w:p w14:paraId="125CD9AF" w14:textId="77777777" w:rsidR="00DB6679" w:rsidRDefault="00DB6679" w:rsidP="00750180">
      <w:pPr>
        <w:pStyle w:val="ListParagraph"/>
        <w:numPr>
          <w:ilvl w:val="0"/>
          <w:numId w:val="68"/>
        </w:numPr>
        <w:spacing w:after="0"/>
        <w:rPr>
          <w:lang w:eastAsia="en-ZA"/>
        </w:rPr>
      </w:pPr>
      <w:r>
        <w:rPr>
          <w:lang w:eastAsia="en-ZA"/>
        </w:rPr>
        <w:t>ICT</w:t>
      </w:r>
    </w:p>
    <w:p w14:paraId="0F17BA1C" w14:textId="77777777" w:rsidR="00DB6679" w:rsidRDefault="00DB6679" w:rsidP="00750180">
      <w:pPr>
        <w:pStyle w:val="ListParagraph"/>
        <w:numPr>
          <w:ilvl w:val="0"/>
          <w:numId w:val="68"/>
        </w:numPr>
        <w:spacing w:after="0"/>
        <w:rPr>
          <w:lang w:eastAsia="en-ZA"/>
        </w:rPr>
      </w:pPr>
      <w:r>
        <w:rPr>
          <w:lang w:eastAsia="en-ZA"/>
        </w:rPr>
        <w:t>Administration</w:t>
      </w:r>
    </w:p>
    <w:p w14:paraId="1C4B8C1B" w14:textId="77777777" w:rsidR="00DB6679" w:rsidRDefault="00DB6679" w:rsidP="00750180">
      <w:pPr>
        <w:pStyle w:val="ListParagraph"/>
        <w:numPr>
          <w:ilvl w:val="0"/>
          <w:numId w:val="68"/>
        </w:numPr>
        <w:spacing w:after="0"/>
        <w:rPr>
          <w:lang w:eastAsia="en-ZA"/>
        </w:rPr>
      </w:pPr>
      <w:r>
        <w:rPr>
          <w:lang w:eastAsia="en-ZA"/>
        </w:rPr>
        <w:t>Corporate Services</w:t>
      </w:r>
    </w:p>
    <w:p w14:paraId="194AA9AC" w14:textId="77777777" w:rsidR="00F23F87" w:rsidRDefault="00DB6679" w:rsidP="00750180">
      <w:pPr>
        <w:pStyle w:val="ListParagraph"/>
        <w:numPr>
          <w:ilvl w:val="0"/>
          <w:numId w:val="68"/>
        </w:numPr>
        <w:spacing w:after="0"/>
        <w:rPr>
          <w:lang w:eastAsia="en-ZA"/>
        </w:rPr>
      </w:pPr>
      <w:r>
        <w:rPr>
          <w:lang w:eastAsia="en-ZA"/>
        </w:rPr>
        <w:t xml:space="preserve">Registry and Archives </w:t>
      </w:r>
    </w:p>
    <w:p w14:paraId="605BF85C" w14:textId="77777777" w:rsidR="00DB6679" w:rsidRDefault="00DB6679" w:rsidP="00750180">
      <w:pPr>
        <w:pStyle w:val="ListParagraph"/>
        <w:numPr>
          <w:ilvl w:val="0"/>
          <w:numId w:val="68"/>
        </w:numPr>
        <w:spacing w:after="0"/>
        <w:rPr>
          <w:lang w:eastAsia="en-ZA"/>
        </w:rPr>
      </w:pPr>
      <w:r>
        <w:rPr>
          <w:lang w:eastAsia="en-ZA"/>
        </w:rPr>
        <w:t>Secretariat</w:t>
      </w:r>
    </w:p>
    <w:p w14:paraId="4353C933" w14:textId="77777777" w:rsidR="00662C5A" w:rsidRDefault="00662C5A" w:rsidP="00662C5A">
      <w:pPr>
        <w:spacing w:after="0"/>
        <w:rPr>
          <w:lang w:eastAsia="en-ZA"/>
        </w:rPr>
      </w:pPr>
    </w:p>
    <w:p w14:paraId="005A72F6" w14:textId="77777777" w:rsidR="00FB111F" w:rsidRPr="0043515F" w:rsidRDefault="00FB111F" w:rsidP="00750180">
      <w:pPr>
        <w:pStyle w:val="Heading6"/>
        <w:numPr>
          <w:ilvl w:val="5"/>
          <w:numId w:val="29"/>
        </w:numPr>
        <w:spacing w:after="240"/>
        <w:rPr>
          <w:lang w:eastAsia="en-ZA"/>
        </w:rPr>
      </w:pPr>
      <w:r w:rsidRPr="0043515F">
        <w:rPr>
          <w:lang w:eastAsia="en-ZA"/>
        </w:rPr>
        <w:lastRenderedPageBreak/>
        <w:t>Community Services Department.</w:t>
      </w:r>
    </w:p>
    <w:p w14:paraId="28F8FB25" w14:textId="77777777" w:rsidR="00F45812" w:rsidRPr="0062492D" w:rsidRDefault="0062492D" w:rsidP="00750180">
      <w:pPr>
        <w:pStyle w:val="ListParagraph"/>
        <w:numPr>
          <w:ilvl w:val="0"/>
          <w:numId w:val="98"/>
        </w:numPr>
        <w:spacing w:after="0" w:line="0" w:lineRule="atLeast"/>
        <w:jc w:val="both"/>
        <w:rPr>
          <w:rFonts w:ascii="Trebuchet MS" w:eastAsia="Trebuchet MS" w:hAnsi="Trebuchet MS" w:cs="Arial"/>
          <w:sz w:val="18"/>
          <w:szCs w:val="20"/>
          <w:lang w:val="en-ZA" w:eastAsia="en-ZA"/>
        </w:rPr>
      </w:pPr>
      <w:r w:rsidRPr="0062492D">
        <w:rPr>
          <w:rFonts w:ascii="Trebuchet MS" w:eastAsia="Trebuchet MS" w:hAnsi="Trebuchet MS" w:cs="Arial"/>
          <w:sz w:val="18"/>
          <w:szCs w:val="20"/>
          <w:lang w:val="en-ZA" w:eastAsia="en-ZA"/>
        </w:rPr>
        <w:t>Waste management</w:t>
      </w:r>
    </w:p>
    <w:p w14:paraId="72C7819F" w14:textId="77777777" w:rsidR="00F45812" w:rsidRDefault="0062492D" w:rsidP="00750180">
      <w:pPr>
        <w:pStyle w:val="ListParagraph"/>
        <w:numPr>
          <w:ilvl w:val="0"/>
          <w:numId w:val="98"/>
        </w:numPr>
        <w:rPr>
          <w:lang w:eastAsia="en-ZA"/>
        </w:rPr>
      </w:pPr>
      <w:r>
        <w:rPr>
          <w:lang w:eastAsia="en-ZA"/>
        </w:rPr>
        <w:t>Sustainable</w:t>
      </w:r>
      <w:r w:rsidR="00F45812">
        <w:rPr>
          <w:lang w:eastAsia="en-ZA"/>
        </w:rPr>
        <w:t xml:space="preserve"> Job creation</w:t>
      </w:r>
    </w:p>
    <w:p w14:paraId="6AC4AE6A" w14:textId="77777777" w:rsidR="00F45812" w:rsidRDefault="0062492D" w:rsidP="00750180">
      <w:pPr>
        <w:pStyle w:val="ListParagraph"/>
        <w:numPr>
          <w:ilvl w:val="0"/>
          <w:numId w:val="98"/>
        </w:numPr>
        <w:rPr>
          <w:lang w:eastAsia="en-ZA"/>
        </w:rPr>
      </w:pPr>
      <w:r>
        <w:rPr>
          <w:lang w:eastAsia="en-ZA"/>
        </w:rPr>
        <w:t>Waste M</w:t>
      </w:r>
      <w:r w:rsidR="00FB111F" w:rsidRPr="00F45812">
        <w:rPr>
          <w:lang w:eastAsia="en-ZA"/>
        </w:rPr>
        <w:t>anagement</w:t>
      </w:r>
      <w:r w:rsidR="0043515F">
        <w:rPr>
          <w:lang w:eastAsia="en-ZA"/>
        </w:rPr>
        <w:t xml:space="preserve"> Successes</w:t>
      </w:r>
    </w:p>
    <w:p w14:paraId="166409E1" w14:textId="77777777" w:rsidR="0043515F" w:rsidRPr="0062492D" w:rsidRDefault="0062492D" w:rsidP="00750180">
      <w:pPr>
        <w:pStyle w:val="ListParagraph"/>
        <w:numPr>
          <w:ilvl w:val="0"/>
          <w:numId w:val="98"/>
        </w:numPr>
        <w:rPr>
          <w:rFonts w:cs="Calibri"/>
          <w:szCs w:val="20"/>
          <w:lang w:eastAsia="en-ZA"/>
        </w:rPr>
      </w:pPr>
      <w:r w:rsidRPr="0062492D">
        <w:rPr>
          <w:rFonts w:cs="Calibri"/>
          <w:szCs w:val="20"/>
          <w:lang w:eastAsia="en-ZA"/>
        </w:rPr>
        <w:t>Protective Services Unit</w:t>
      </w:r>
    </w:p>
    <w:p w14:paraId="16DBA979" w14:textId="77777777" w:rsidR="00BD2D25" w:rsidRDefault="003D6BAA" w:rsidP="00750180">
      <w:pPr>
        <w:pStyle w:val="Heading6"/>
        <w:numPr>
          <w:ilvl w:val="5"/>
          <w:numId w:val="29"/>
        </w:numPr>
        <w:spacing w:after="240"/>
        <w:rPr>
          <w:lang w:eastAsia="en-ZA"/>
        </w:rPr>
      </w:pPr>
      <w:r w:rsidRPr="0043515F">
        <w:rPr>
          <w:lang w:eastAsia="en-ZA"/>
        </w:rPr>
        <w:t>Planning</w:t>
      </w:r>
      <w:r w:rsidR="00990FD8">
        <w:rPr>
          <w:lang w:eastAsia="en-ZA"/>
        </w:rPr>
        <w:t xml:space="preserve"> and </w:t>
      </w:r>
      <w:r>
        <w:rPr>
          <w:lang w:eastAsia="en-ZA"/>
        </w:rPr>
        <w:t>Economic</w:t>
      </w:r>
      <w:r w:rsidR="00BD2D25" w:rsidRPr="0043515F">
        <w:rPr>
          <w:lang w:eastAsia="en-ZA"/>
        </w:rPr>
        <w:t xml:space="preserve"> Development</w:t>
      </w:r>
    </w:p>
    <w:p w14:paraId="04014B4C" w14:textId="77777777" w:rsidR="00BD2D25" w:rsidRDefault="00BD2D25" w:rsidP="00750180">
      <w:pPr>
        <w:pStyle w:val="ListParagraph"/>
        <w:numPr>
          <w:ilvl w:val="0"/>
          <w:numId w:val="69"/>
        </w:numPr>
        <w:spacing w:after="0" w:line="240" w:lineRule="auto"/>
        <w:rPr>
          <w:lang w:eastAsia="en-ZA"/>
        </w:rPr>
      </w:pPr>
      <w:r>
        <w:rPr>
          <w:lang w:eastAsia="en-ZA"/>
        </w:rPr>
        <w:t>Town Planning (Spatial, Statutory and Landuse Management)</w:t>
      </w:r>
    </w:p>
    <w:p w14:paraId="40B248E6" w14:textId="77777777" w:rsidR="00BD2D25" w:rsidRDefault="00BD2D25" w:rsidP="00750180">
      <w:pPr>
        <w:pStyle w:val="ListParagraph"/>
        <w:numPr>
          <w:ilvl w:val="0"/>
          <w:numId w:val="69"/>
        </w:numPr>
        <w:spacing w:after="0" w:line="240" w:lineRule="auto"/>
        <w:rPr>
          <w:lang w:eastAsia="en-ZA"/>
        </w:rPr>
      </w:pPr>
      <w:r>
        <w:rPr>
          <w:lang w:eastAsia="en-ZA"/>
        </w:rPr>
        <w:t xml:space="preserve">Integrated Development Planning (Strategic Planning and Policy Development) </w:t>
      </w:r>
    </w:p>
    <w:p w14:paraId="12A3726E" w14:textId="77777777" w:rsidR="00BD2D25" w:rsidRDefault="00BD2D25" w:rsidP="00750180">
      <w:pPr>
        <w:pStyle w:val="ListParagraph"/>
        <w:numPr>
          <w:ilvl w:val="0"/>
          <w:numId w:val="69"/>
        </w:numPr>
        <w:spacing w:after="0" w:line="240" w:lineRule="auto"/>
        <w:rPr>
          <w:lang w:eastAsia="en-ZA"/>
        </w:rPr>
      </w:pPr>
      <w:r>
        <w:rPr>
          <w:lang w:eastAsia="en-ZA"/>
        </w:rPr>
        <w:t>Human Settlement (Urban and Rural, Rental, Title Deeds, Slum Clearance</w:t>
      </w:r>
    </w:p>
    <w:p w14:paraId="23699565" w14:textId="77777777" w:rsidR="00BD2D25" w:rsidRDefault="00BD2D25" w:rsidP="00750180">
      <w:pPr>
        <w:pStyle w:val="ListParagraph"/>
        <w:numPr>
          <w:ilvl w:val="0"/>
          <w:numId w:val="69"/>
        </w:numPr>
        <w:spacing w:after="0" w:line="240" w:lineRule="auto"/>
        <w:rPr>
          <w:lang w:eastAsia="en-ZA"/>
        </w:rPr>
      </w:pPr>
      <w:r>
        <w:rPr>
          <w:lang w:eastAsia="en-ZA"/>
        </w:rPr>
        <w:t xml:space="preserve">Building Control (Building Plan Examining, Building Inspectorate), </w:t>
      </w:r>
    </w:p>
    <w:p w14:paraId="2494F658" w14:textId="77777777" w:rsidR="00BD2D25" w:rsidRDefault="00BD2D25" w:rsidP="00750180">
      <w:pPr>
        <w:pStyle w:val="ListParagraph"/>
        <w:numPr>
          <w:ilvl w:val="0"/>
          <w:numId w:val="69"/>
        </w:numPr>
        <w:spacing w:line="240" w:lineRule="auto"/>
        <w:rPr>
          <w:lang w:eastAsia="en-ZA"/>
        </w:rPr>
      </w:pPr>
      <w:r>
        <w:rPr>
          <w:lang w:eastAsia="en-ZA"/>
        </w:rPr>
        <w:t>Local Economic Development and Tourism</w:t>
      </w:r>
    </w:p>
    <w:p w14:paraId="01BB5FB8" w14:textId="77777777" w:rsidR="006712E9" w:rsidRPr="0043515F" w:rsidRDefault="00595738" w:rsidP="00750180">
      <w:pPr>
        <w:pStyle w:val="Heading4"/>
        <w:numPr>
          <w:ilvl w:val="3"/>
          <w:numId w:val="29"/>
        </w:numPr>
        <w:spacing w:after="240"/>
      </w:pPr>
      <w:bookmarkStart w:id="258" w:name="_Toc389739856"/>
      <w:r w:rsidRPr="0043515F">
        <w:t>The Spatial Planning and Land Use Management Act and Its</w:t>
      </w:r>
      <w:r w:rsidR="006712E9" w:rsidRPr="0043515F">
        <w:t xml:space="preserve"> Implementation</w:t>
      </w:r>
    </w:p>
    <w:p w14:paraId="0C53CFD7" w14:textId="77777777" w:rsidR="00595738" w:rsidRPr="00595738" w:rsidRDefault="00595738" w:rsidP="00595738">
      <w:pPr>
        <w:spacing w:after="0" w:line="240" w:lineRule="auto"/>
        <w:contextualSpacing/>
        <w:jc w:val="both"/>
      </w:pPr>
      <w:r w:rsidRPr="00595738">
        <w:t xml:space="preserve">The Spatial Planning and Land Use Management Act 13 of 2013 (SPLUMA) came into effect on the 1st July 2015 as per gazette notice number 38828 published on 27 May 2015. The Minister of Rural Development and Land Reform has also gazetted and published the final SPLUMA Regulations in terms of section 54 (1) of the SPLUMA on the 23 March 2015. </w:t>
      </w:r>
    </w:p>
    <w:p w14:paraId="06593537" w14:textId="77777777" w:rsidR="00595738" w:rsidRPr="00595738" w:rsidRDefault="00595738" w:rsidP="00595738">
      <w:pPr>
        <w:spacing w:after="0" w:line="240" w:lineRule="auto"/>
        <w:contextualSpacing/>
        <w:jc w:val="both"/>
      </w:pPr>
    </w:p>
    <w:p w14:paraId="275B3BBD" w14:textId="77777777" w:rsidR="00595738" w:rsidRPr="00595738" w:rsidRDefault="00595738" w:rsidP="00595738">
      <w:pPr>
        <w:spacing w:after="0" w:line="240" w:lineRule="auto"/>
        <w:contextualSpacing/>
        <w:jc w:val="both"/>
      </w:pPr>
      <w:r w:rsidRPr="00595738">
        <w:t>With regard to development application processes, the municipality is still continuing to use the existing planning legislation to the extent that it is not inconsistent with the SPLUMA (Section 2(2) of SPLUMA) until such time that the by-laws and systems are adopted by Council.</w:t>
      </w:r>
    </w:p>
    <w:p w14:paraId="720F9827" w14:textId="77777777" w:rsidR="00595738" w:rsidRPr="00595738" w:rsidRDefault="00595738" w:rsidP="00595738">
      <w:pPr>
        <w:spacing w:after="0" w:line="240" w:lineRule="auto"/>
        <w:contextualSpacing/>
        <w:jc w:val="both"/>
      </w:pPr>
    </w:p>
    <w:p w14:paraId="5B4D08F3" w14:textId="77777777" w:rsidR="00595738" w:rsidRPr="00595738" w:rsidRDefault="00595738" w:rsidP="00595738">
      <w:pPr>
        <w:spacing w:after="0" w:line="240" w:lineRule="auto"/>
        <w:contextualSpacing/>
        <w:jc w:val="both"/>
      </w:pPr>
      <w:r w:rsidRPr="00595738">
        <w:t xml:space="preserve">The </w:t>
      </w:r>
      <w:r w:rsidR="001D792E">
        <w:t>King Cetshwayo</w:t>
      </w:r>
      <w:r w:rsidRPr="00595738">
        <w:t xml:space="preserve"> </w:t>
      </w:r>
      <w:r w:rsidR="003C03FA">
        <w:t>District</w:t>
      </w:r>
      <w:r w:rsidRPr="00595738">
        <w:t xml:space="preserve"> municipality resolved to establish </w:t>
      </w:r>
      <w:r w:rsidR="000F0FB8" w:rsidRPr="00595738">
        <w:t>a</w:t>
      </w:r>
      <w:r w:rsidRPr="00595738">
        <w:t xml:space="preserve"> </w:t>
      </w:r>
      <w:r w:rsidR="001D792E">
        <w:t>King Cetshwayo</w:t>
      </w:r>
      <w:r w:rsidRPr="00595738">
        <w:t xml:space="preserve"> South Joint Municipal Planning Tribunal (JMPT), a committee which consists of members from </w:t>
      </w:r>
      <w:r w:rsidR="001D792E">
        <w:t>King Cetshwayo</w:t>
      </w:r>
      <w:r w:rsidRPr="00595738">
        <w:t xml:space="preserve"> </w:t>
      </w:r>
      <w:r w:rsidR="003C03FA">
        <w:t>District</w:t>
      </w:r>
      <w:r w:rsidRPr="00595738">
        <w:t xml:space="preserve"> Municipality, uMlalazi, Nkandla and Mthonjaneni Local Municipality and a </w:t>
      </w:r>
      <w:r w:rsidR="001D792E">
        <w:t>King Cetshwayo</w:t>
      </w:r>
      <w:r w:rsidRPr="00595738">
        <w:t xml:space="preserve"> North Joint Municipal Planning Tribunal which consists of the remaining municipalities in the district.</w:t>
      </w:r>
    </w:p>
    <w:p w14:paraId="355D4AFD" w14:textId="77777777" w:rsidR="00595738" w:rsidRPr="00595738" w:rsidRDefault="00595738" w:rsidP="00595738">
      <w:pPr>
        <w:spacing w:after="0" w:line="240" w:lineRule="auto"/>
        <w:contextualSpacing/>
        <w:jc w:val="both"/>
      </w:pPr>
    </w:p>
    <w:p w14:paraId="57129749" w14:textId="77777777" w:rsidR="00595738" w:rsidRPr="00595738" w:rsidRDefault="00595738" w:rsidP="00595738">
      <w:pPr>
        <w:spacing w:after="0"/>
        <w:jc w:val="both"/>
      </w:pPr>
      <w:r w:rsidRPr="00595738">
        <w:t xml:space="preserve">The advert calling for nominations for membership of </w:t>
      </w:r>
      <w:r w:rsidR="001D792E">
        <w:t>King Cetshwayo</w:t>
      </w:r>
      <w:r w:rsidRPr="00595738">
        <w:t xml:space="preserve"> South (JMPT) was placed on the Zululand Observer and Ilanga and the closing date for nominations was 30 October 2015. The Evaluation committee met on 21 January 2016 to evaluate nominations received. </w:t>
      </w:r>
    </w:p>
    <w:p w14:paraId="7F42C161" w14:textId="77777777" w:rsidR="00595738" w:rsidRPr="00595738" w:rsidRDefault="00595738" w:rsidP="00595738">
      <w:pPr>
        <w:spacing w:after="0"/>
        <w:jc w:val="both"/>
      </w:pPr>
    </w:p>
    <w:p w14:paraId="3F019BBA" w14:textId="77777777" w:rsidR="00595738" w:rsidRPr="00595738" w:rsidRDefault="00595738" w:rsidP="00595738">
      <w:pPr>
        <w:spacing w:after="0"/>
        <w:jc w:val="both"/>
      </w:pPr>
      <w:r w:rsidRPr="00595738">
        <w:t xml:space="preserve">After thorough assessment of the applications received, the following nominees were appointed as internal members of the </w:t>
      </w:r>
      <w:r w:rsidR="001D792E">
        <w:t>King Cetshwayo</w:t>
      </w:r>
      <w:r w:rsidRPr="00595738">
        <w:t xml:space="preserve"> South Joint Municipal Planning Tribunal Committee: </w:t>
      </w:r>
    </w:p>
    <w:p w14:paraId="3BC00138" w14:textId="77777777" w:rsidR="00595738" w:rsidRPr="00595738" w:rsidRDefault="00595738" w:rsidP="00595738">
      <w:pPr>
        <w:spacing w:after="0" w:line="240" w:lineRule="auto"/>
        <w:contextualSpacing/>
        <w:jc w:val="both"/>
      </w:pPr>
    </w:p>
    <w:tbl>
      <w:tblPr>
        <w:tblStyle w:val="TableGrid"/>
        <w:tblW w:w="8086" w:type="dxa"/>
        <w:tblInd w:w="137" w:type="dxa"/>
        <w:tblLook w:val="04A0" w:firstRow="1" w:lastRow="0" w:firstColumn="1" w:lastColumn="0" w:noHBand="0" w:noVBand="1"/>
      </w:tblPr>
      <w:tblGrid>
        <w:gridCol w:w="4739"/>
        <w:gridCol w:w="3347"/>
      </w:tblGrid>
      <w:tr w:rsidR="00595738" w:rsidRPr="00607B46" w14:paraId="256C5A30" w14:textId="77777777" w:rsidTr="00607B46">
        <w:tc>
          <w:tcPr>
            <w:tcW w:w="4739" w:type="dxa"/>
            <w:shd w:val="clear" w:color="auto" w:fill="000000" w:themeFill="text1"/>
          </w:tcPr>
          <w:p w14:paraId="4FFB823B" w14:textId="77777777" w:rsidR="00595738" w:rsidRPr="00607B46" w:rsidRDefault="00595738" w:rsidP="00595738">
            <w:pPr>
              <w:rPr>
                <w:b/>
              </w:rPr>
            </w:pPr>
            <w:r w:rsidRPr="00607B46">
              <w:rPr>
                <w:b/>
              </w:rPr>
              <w:t>INTERNAL MEMBERS</w:t>
            </w:r>
          </w:p>
        </w:tc>
        <w:tc>
          <w:tcPr>
            <w:tcW w:w="3347" w:type="dxa"/>
            <w:shd w:val="clear" w:color="auto" w:fill="000000" w:themeFill="text1"/>
          </w:tcPr>
          <w:p w14:paraId="7EBFF6CF" w14:textId="77777777" w:rsidR="00595738" w:rsidRPr="00607B46" w:rsidRDefault="00595738" w:rsidP="00595738">
            <w:pPr>
              <w:rPr>
                <w:b/>
              </w:rPr>
            </w:pPr>
            <w:r w:rsidRPr="00607B46">
              <w:rPr>
                <w:b/>
              </w:rPr>
              <w:t>MUNICIPALITY AND NOMINATED FIELD</w:t>
            </w:r>
          </w:p>
        </w:tc>
      </w:tr>
      <w:tr w:rsidR="00595738" w:rsidRPr="00595738" w14:paraId="62E86C79" w14:textId="77777777" w:rsidTr="00595738">
        <w:tc>
          <w:tcPr>
            <w:tcW w:w="4739" w:type="dxa"/>
          </w:tcPr>
          <w:p w14:paraId="48CCA7FF" w14:textId="77777777" w:rsidR="00595738" w:rsidRPr="00607B46" w:rsidRDefault="00595738" w:rsidP="00750180">
            <w:pPr>
              <w:numPr>
                <w:ilvl w:val="0"/>
                <w:numId w:val="62"/>
              </w:numPr>
              <w:ind w:left="317" w:hanging="283"/>
              <w:contextualSpacing/>
              <w:jc w:val="both"/>
              <w:rPr>
                <w:sz w:val="18"/>
              </w:rPr>
            </w:pPr>
            <w:r w:rsidRPr="00607B46">
              <w:rPr>
                <w:sz w:val="18"/>
              </w:rPr>
              <w:t xml:space="preserve">Thembinkosi Jele </w:t>
            </w:r>
          </w:p>
        </w:tc>
        <w:tc>
          <w:tcPr>
            <w:tcW w:w="3347" w:type="dxa"/>
          </w:tcPr>
          <w:p w14:paraId="6E55C331" w14:textId="77777777" w:rsidR="00595738" w:rsidRPr="00607B46" w:rsidRDefault="001D792E" w:rsidP="00595738">
            <w:pPr>
              <w:jc w:val="both"/>
              <w:rPr>
                <w:sz w:val="18"/>
              </w:rPr>
            </w:pPr>
            <w:r w:rsidRPr="00607B46">
              <w:rPr>
                <w:sz w:val="18"/>
              </w:rPr>
              <w:t>King Cetshwayo</w:t>
            </w:r>
            <w:r w:rsidR="00595738" w:rsidRPr="00607B46">
              <w:rPr>
                <w:sz w:val="18"/>
              </w:rPr>
              <w:t xml:space="preserve"> </w:t>
            </w:r>
            <w:r w:rsidR="003C03FA">
              <w:rPr>
                <w:sz w:val="18"/>
              </w:rPr>
              <w:t>District</w:t>
            </w:r>
            <w:r w:rsidR="00595738" w:rsidRPr="00607B46">
              <w:rPr>
                <w:sz w:val="18"/>
              </w:rPr>
              <w:t xml:space="preserve"> Municipality</w:t>
            </w:r>
          </w:p>
          <w:p w14:paraId="6B2E1BAB" w14:textId="77777777" w:rsidR="00595738" w:rsidRPr="00607B46" w:rsidRDefault="00595738" w:rsidP="00595738">
            <w:pPr>
              <w:jc w:val="center"/>
              <w:rPr>
                <w:sz w:val="18"/>
              </w:rPr>
            </w:pPr>
            <w:r w:rsidRPr="00607B46">
              <w:rPr>
                <w:sz w:val="18"/>
              </w:rPr>
              <w:t>Engineering</w:t>
            </w:r>
          </w:p>
        </w:tc>
      </w:tr>
      <w:tr w:rsidR="00595738" w:rsidRPr="00595738" w14:paraId="482DEEA4" w14:textId="77777777" w:rsidTr="00595738">
        <w:tc>
          <w:tcPr>
            <w:tcW w:w="4739" w:type="dxa"/>
          </w:tcPr>
          <w:p w14:paraId="099659D1" w14:textId="77777777" w:rsidR="00595738" w:rsidRPr="00607B46" w:rsidRDefault="00595738" w:rsidP="00750180">
            <w:pPr>
              <w:numPr>
                <w:ilvl w:val="0"/>
                <w:numId w:val="62"/>
              </w:numPr>
              <w:ind w:left="317" w:hanging="283"/>
              <w:contextualSpacing/>
              <w:jc w:val="both"/>
              <w:rPr>
                <w:sz w:val="18"/>
              </w:rPr>
            </w:pPr>
            <w:r w:rsidRPr="00607B46">
              <w:rPr>
                <w:sz w:val="18"/>
              </w:rPr>
              <w:t xml:space="preserve">Gcina Dlamini </w:t>
            </w:r>
          </w:p>
        </w:tc>
        <w:tc>
          <w:tcPr>
            <w:tcW w:w="3347" w:type="dxa"/>
          </w:tcPr>
          <w:p w14:paraId="68006411" w14:textId="77777777" w:rsidR="00595738" w:rsidRPr="00607B46" w:rsidRDefault="001D792E" w:rsidP="00595738">
            <w:pPr>
              <w:jc w:val="both"/>
              <w:rPr>
                <w:sz w:val="18"/>
              </w:rPr>
            </w:pPr>
            <w:r w:rsidRPr="00607B46">
              <w:rPr>
                <w:sz w:val="18"/>
              </w:rPr>
              <w:t>King Cetshwayo</w:t>
            </w:r>
            <w:r w:rsidR="00595738" w:rsidRPr="00607B46">
              <w:rPr>
                <w:sz w:val="18"/>
              </w:rPr>
              <w:t xml:space="preserve"> </w:t>
            </w:r>
            <w:r w:rsidR="003C03FA">
              <w:rPr>
                <w:sz w:val="18"/>
              </w:rPr>
              <w:t>District</w:t>
            </w:r>
            <w:r w:rsidR="00595738" w:rsidRPr="00607B46">
              <w:rPr>
                <w:sz w:val="18"/>
              </w:rPr>
              <w:t xml:space="preserve"> Municipality</w:t>
            </w:r>
          </w:p>
          <w:p w14:paraId="720BC267" w14:textId="77777777" w:rsidR="00595738" w:rsidRPr="00607B46" w:rsidRDefault="00595738" w:rsidP="00595738">
            <w:pPr>
              <w:jc w:val="center"/>
              <w:rPr>
                <w:sz w:val="18"/>
              </w:rPr>
            </w:pPr>
            <w:r w:rsidRPr="00607B46">
              <w:rPr>
                <w:sz w:val="18"/>
              </w:rPr>
              <w:t>Land Legal</w:t>
            </w:r>
          </w:p>
        </w:tc>
      </w:tr>
      <w:tr w:rsidR="00595738" w:rsidRPr="00595738" w14:paraId="34E000A3" w14:textId="77777777" w:rsidTr="00595738">
        <w:tc>
          <w:tcPr>
            <w:tcW w:w="4739" w:type="dxa"/>
          </w:tcPr>
          <w:p w14:paraId="2528E1EC" w14:textId="77777777" w:rsidR="00595738" w:rsidRPr="00607B46" w:rsidRDefault="00595738" w:rsidP="00750180">
            <w:pPr>
              <w:numPr>
                <w:ilvl w:val="0"/>
                <w:numId w:val="62"/>
              </w:numPr>
              <w:ind w:left="317" w:hanging="283"/>
              <w:contextualSpacing/>
              <w:jc w:val="both"/>
              <w:rPr>
                <w:sz w:val="18"/>
              </w:rPr>
            </w:pPr>
            <w:r w:rsidRPr="00607B46">
              <w:rPr>
                <w:sz w:val="18"/>
              </w:rPr>
              <w:t xml:space="preserve">Wisdom Mpofu </w:t>
            </w:r>
          </w:p>
        </w:tc>
        <w:tc>
          <w:tcPr>
            <w:tcW w:w="3347" w:type="dxa"/>
          </w:tcPr>
          <w:p w14:paraId="2C6FD422" w14:textId="77777777" w:rsidR="00595738" w:rsidRPr="00607B46" w:rsidRDefault="001D792E" w:rsidP="00595738">
            <w:pPr>
              <w:jc w:val="both"/>
              <w:rPr>
                <w:sz w:val="18"/>
              </w:rPr>
            </w:pPr>
            <w:r w:rsidRPr="00607B46">
              <w:rPr>
                <w:sz w:val="18"/>
              </w:rPr>
              <w:t>King Cetshwayo</w:t>
            </w:r>
            <w:r w:rsidR="00595738" w:rsidRPr="00607B46">
              <w:rPr>
                <w:sz w:val="18"/>
              </w:rPr>
              <w:t xml:space="preserve"> </w:t>
            </w:r>
            <w:r w:rsidR="003C03FA">
              <w:rPr>
                <w:sz w:val="18"/>
              </w:rPr>
              <w:t>District</w:t>
            </w:r>
            <w:r w:rsidR="00595738" w:rsidRPr="00607B46">
              <w:rPr>
                <w:sz w:val="18"/>
              </w:rPr>
              <w:t xml:space="preserve"> Municipality</w:t>
            </w:r>
          </w:p>
          <w:p w14:paraId="5929D512" w14:textId="77777777" w:rsidR="00595738" w:rsidRPr="00607B46" w:rsidRDefault="00595738" w:rsidP="00595738">
            <w:pPr>
              <w:jc w:val="center"/>
              <w:rPr>
                <w:sz w:val="18"/>
              </w:rPr>
            </w:pPr>
            <w:r w:rsidRPr="00607B46">
              <w:rPr>
                <w:sz w:val="18"/>
              </w:rPr>
              <w:t>Planning</w:t>
            </w:r>
          </w:p>
        </w:tc>
      </w:tr>
      <w:tr w:rsidR="00595738" w:rsidRPr="00595738" w14:paraId="6A951EC2" w14:textId="77777777" w:rsidTr="00595738">
        <w:tc>
          <w:tcPr>
            <w:tcW w:w="4739" w:type="dxa"/>
          </w:tcPr>
          <w:p w14:paraId="108532AD" w14:textId="77777777" w:rsidR="00595738" w:rsidRPr="00607B46" w:rsidRDefault="00595738" w:rsidP="00750180">
            <w:pPr>
              <w:numPr>
                <w:ilvl w:val="0"/>
                <w:numId w:val="62"/>
              </w:numPr>
              <w:ind w:left="317" w:hanging="283"/>
              <w:contextualSpacing/>
              <w:jc w:val="both"/>
              <w:rPr>
                <w:sz w:val="18"/>
              </w:rPr>
            </w:pPr>
            <w:r w:rsidRPr="00607B46">
              <w:rPr>
                <w:sz w:val="18"/>
              </w:rPr>
              <w:t xml:space="preserve">Gift Mathalise </w:t>
            </w:r>
          </w:p>
        </w:tc>
        <w:tc>
          <w:tcPr>
            <w:tcW w:w="3347" w:type="dxa"/>
          </w:tcPr>
          <w:p w14:paraId="60F5D8EF" w14:textId="77777777" w:rsidR="00595738" w:rsidRPr="00607B46" w:rsidRDefault="001D792E" w:rsidP="00595738">
            <w:pPr>
              <w:jc w:val="both"/>
              <w:rPr>
                <w:sz w:val="18"/>
              </w:rPr>
            </w:pPr>
            <w:r w:rsidRPr="00607B46">
              <w:rPr>
                <w:sz w:val="18"/>
              </w:rPr>
              <w:t>King Cetshwayo</w:t>
            </w:r>
            <w:r w:rsidR="00595738" w:rsidRPr="00607B46">
              <w:rPr>
                <w:sz w:val="18"/>
              </w:rPr>
              <w:t xml:space="preserve"> </w:t>
            </w:r>
            <w:r w:rsidR="003C03FA">
              <w:rPr>
                <w:sz w:val="18"/>
              </w:rPr>
              <w:t>District</w:t>
            </w:r>
            <w:r w:rsidR="00595738" w:rsidRPr="00607B46">
              <w:rPr>
                <w:sz w:val="18"/>
              </w:rPr>
              <w:t xml:space="preserve"> Municipality</w:t>
            </w:r>
          </w:p>
          <w:p w14:paraId="52902A9B" w14:textId="77777777" w:rsidR="00595738" w:rsidRPr="00607B46" w:rsidRDefault="00595738" w:rsidP="00595738">
            <w:pPr>
              <w:jc w:val="center"/>
              <w:rPr>
                <w:sz w:val="18"/>
              </w:rPr>
            </w:pPr>
            <w:r w:rsidRPr="00607B46">
              <w:rPr>
                <w:sz w:val="18"/>
              </w:rPr>
              <w:t>Planning</w:t>
            </w:r>
          </w:p>
          <w:p w14:paraId="7FBF57B8" w14:textId="77777777" w:rsidR="00595738" w:rsidRPr="00607B46" w:rsidRDefault="00595738" w:rsidP="00595738">
            <w:pPr>
              <w:jc w:val="center"/>
              <w:rPr>
                <w:sz w:val="18"/>
              </w:rPr>
            </w:pPr>
            <w:r w:rsidRPr="00607B46">
              <w:rPr>
                <w:sz w:val="18"/>
              </w:rPr>
              <w:t>Vise chairperson</w:t>
            </w:r>
          </w:p>
        </w:tc>
      </w:tr>
      <w:tr w:rsidR="00595738" w:rsidRPr="00595738" w14:paraId="4C4C2B2A" w14:textId="77777777" w:rsidTr="00595738">
        <w:tc>
          <w:tcPr>
            <w:tcW w:w="4739" w:type="dxa"/>
          </w:tcPr>
          <w:p w14:paraId="75C9EE7C" w14:textId="77777777" w:rsidR="00595738" w:rsidRPr="00607B46" w:rsidRDefault="00595738" w:rsidP="00750180">
            <w:pPr>
              <w:numPr>
                <w:ilvl w:val="0"/>
                <w:numId w:val="62"/>
              </w:numPr>
              <w:ind w:left="317" w:hanging="283"/>
              <w:contextualSpacing/>
              <w:jc w:val="both"/>
              <w:rPr>
                <w:sz w:val="18"/>
              </w:rPr>
            </w:pPr>
            <w:r w:rsidRPr="00607B46">
              <w:rPr>
                <w:sz w:val="18"/>
              </w:rPr>
              <w:t xml:space="preserve">Khethokule Zondi </w:t>
            </w:r>
          </w:p>
        </w:tc>
        <w:tc>
          <w:tcPr>
            <w:tcW w:w="3347" w:type="dxa"/>
          </w:tcPr>
          <w:p w14:paraId="5ECF0E78" w14:textId="77777777" w:rsidR="00595738" w:rsidRPr="00607B46" w:rsidRDefault="00595738" w:rsidP="00595738">
            <w:pPr>
              <w:jc w:val="both"/>
              <w:rPr>
                <w:sz w:val="18"/>
              </w:rPr>
            </w:pPr>
            <w:r w:rsidRPr="00607B46">
              <w:rPr>
                <w:sz w:val="18"/>
              </w:rPr>
              <w:t>Nkandla Local Municipality</w:t>
            </w:r>
          </w:p>
          <w:p w14:paraId="486B0283" w14:textId="77777777" w:rsidR="00595738" w:rsidRPr="00607B46" w:rsidRDefault="00595738" w:rsidP="00595738">
            <w:pPr>
              <w:jc w:val="center"/>
              <w:rPr>
                <w:sz w:val="18"/>
              </w:rPr>
            </w:pPr>
            <w:r w:rsidRPr="00607B46">
              <w:rPr>
                <w:sz w:val="18"/>
              </w:rPr>
              <w:t>Engineering</w:t>
            </w:r>
          </w:p>
        </w:tc>
      </w:tr>
      <w:tr w:rsidR="00595738" w:rsidRPr="00595738" w14:paraId="3CB7EDF4" w14:textId="77777777" w:rsidTr="00595738">
        <w:tc>
          <w:tcPr>
            <w:tcW w:w="4739" w:type="dxa"/>
          </w:tcPr>
          <w:p w14:paraId="2120C05A" w14:textId="77777777" w:rsidR="00595738" w:rsidRPr="00607B46" w:rsidRDefault="00595738" w:rsidP="00750180">
            <w:pPr>
              <w:numPr>
                <w:ilvl w:val="0"/>
                <w:numId w:val="62"/>
              </w:numPr>
              <w:ind w:left="317" w:hanging="283"/>
              <w:contextualSpacing/>
              <w:jc w:val="both"/>
              <w:rPr>
                <w:sz w:val="18"/>
              </w:rPr>
            </w:pPr>
            <w:r w:rsidRPr="00607B46">
              <w:rPr>
                <w:sz w:val="18"/>
              </w:rPr>
              <w:t xml:space="preserve">Mthobisi Shezi </w:t>
            </w:r>
          </w:p>
        </w:tc>
        <w:tc>
          <w:tcPr>
            <w:tcW w:w="3347" w:type="dxa"/>
          </w:tcPr>
          <w:p w14:paraId="00800B39" w14:textId="77777777" w:rsidR="00595738" w:rsidRPr="00607B46" w:rsidRDefault="00595738" w:rsidP="00595738">
            <w:pPr>
              <w:jc w:val="both"/>
              <w:rPr>
                <w:sz w:val="18"/>
              </w:rPr>
            </w:pPr>
            <w:r w:rsidRPr="00607B46">
              <w:rPr>
                <w:sz w:val="18"/>
              </w:rPr>
              <w:t>Nkandla Local Municipality</w:t>
            </w:r>
          </w:p>
          <w:p w14:paraId="4B3B4AF8" w14:textId="77777777" w:rsidR="00595738" w:rsidRPr="00607B46" w:rsidRDefault="00595738" w:rsidP="00595738">
            <w:pPr>
              <w:jc w:val="center"/>
              <w:rPr>
                <w:sz w:val="18"/>
              </w:rPr>
            </w:pPr>
            <w:r w:rsidRPr="00607B46">
              <w:rPr>
                <w:sz w:val="18"/>
              </w:rPr>
              <w:t>Engineering</w:t>
            </w:r>
          </w:p>
        </w:tc>
      </w:tr>
      <w:tr w:rsidR="00595738" w:rsidRPr="00595738" w14:paraId="0B330333" w14:textId="77777777" w:rsidTr="00595738">
        <w:tc>
          <w:tcPr>
            <w:tcW w:w="4739" w:type="dxa"/>
          </w:tcPr>
          <w:p w14:paraId="7730711F" w14:textId="77777777" w:rsidR="00595738" w:rsidRPr="00607B46" w:rsidRDefault="00595738" w:rsidP="00750180">
            <w:pPr>
              <w:numPr>
                <w:ilvl w:val="0"/>
                <w:numId w:val="62"/>
              </w:numPr>
              <w:ind w:left="317" w:hanging="283"/>
              <w:contextualSpacing/>
              <w:jc w:val="both"/>
              <w:rPr>
                <w:sz w:val="18"/>
              </w:rPr>
            </w:pPr>
            <w:r w:rsidRPr="00607B46">
              <w:rPr>
                <w:sz w:val="18"/>
              </w:rPr>
              <w:t xml:space="preserve">Ntuthuho Mhlongo </w:t>
            </w:r>
          </w:p>
        </w:tc>
        <w:tc>
          <w:tcPr>
            <w:tcW w:w="3347" w:type="dxa"/>
          </w:tcPr>
          <w:p w14:paraId="1870970B" w14:textId="77777777" w:rsidR="00595738" w:rsidRPr="00607B46" w:rsidRDefault="00595738" w:rsidP="00595738">
            <w:pPr>
              <w:jc w:val="both"/>
              <w:rPr>
                <w:sz w:val="18"/>
              </w:rPr>
            </w:pPr>
            <w:r w:rsidRPr="00607B46">
              <w:rPr>
                <w:sz w:val="18"/>
              </w:rPr>
              <w:t>Nkandla Local Municipality</w:t>
            </w:r>
          </w:p>
          <w:p w14:paraId="325F4050" w14:textId="77777777" w:rsidR="00595738" w:rsidRPr="00607B46" w:rsidRDefault="00595738" w:rsidP="00595738">
            <w:pPr>
              <w:jc w:val="center"/>
              <w:rPr>
                <w:sz w:val="18"/>
              </w:rPr>
            </w:pPr>
            <w:r w:rsidRPr="00607B46">
              <w:rPr>
                <w:sz w:val="18"/>
              </w:rPr>
              <w:t>Planning</w:t>
            </w:r>
          </w:p>
        </w:tc>
      </w:tr>
      <w:tr w:rsidR="00595738" w:rsidRPr="00595738" w14:paraId="176D1078" w14:textId="77777777" w:rsidTr="00595738">
        <w:tc>
          <w:tcPr>
            <w:tcW w:w="4739" w:type="dxa"/>
          </w:tcPr>
          <w:p w14:paraId="3F0E6F9A" w14:textId="77777777" w:rsidR="00595738" w:rsidRPr="00607B46" w:rsidRDefault="00595738" w:rsidP="00750180">
            <w:pPr>
              <w:numPr>
                <w:ilvl w:val="0"/>
                <w:numId w:val="62"/>
              </w:numPr>
              <w:ind w:left="317" w:hanging="283"/>
              <w:contextualSpacing/>
              <w:jc w:val="both"/>
              <w:rPr>
                <w:sz w:val="18"/>
              </w:rPr>
            </w:pPr>
            <w:r w:rsidRPr="00607B46">
              <w:rPr>
                <w:sz w:val="18"/>
              </w:rPr>
              <w:t xml:space="preserve">Mthokozisi Ngubane </w:t>
            </w:r>
          </w:p>
        </w:tc>
        <w:tc>
          <w:tcPr>
            <w:tcW w:w="3347" w:type="dxa"/>
          </w:tcPr>
          <w:p w14:paraId="27DC4A01" w14:textId="77777777" w:rsidR="00595738" w:rsidRPr="00607B46" w:rsidRDefault="00595738" w:rsidP="00595738">
            <w:pPr>
              <w:jc w:val="center"/>
              <w:rPr>
                <w:sz w:val="18"/>
              </w:rPr>
            </w:pPr>
            <w:r w:rsidRPr="00607B46">
              <w:rPr>
                <w:sz w:val="18"/>
              </w:rPr>
              <w:t>uMlalazi local Municipality</w:t>
            </w:r>
          </w:p>
          <w:p w14:paraId="490FC0C9" w14:textId="77777777" w:rsidR="00595738" w:rsidRPr="00607B46" w:rsidRDefault="00595738" w:rsidP="00595738">
            <w:pPr>
              <w:jc w:val="center"/>
              <w:rPr>
                <w:sz w:val="18"/>
              </w:rPr>
            </w:pPr>
            <w:r w:rsidRPr="00607B46">
              <w:rPr>
                <w:sz w:val="18"/>
              </w:rPr>
              <w:t>Planning</w:t>
            </w:r>
          </w:p>
          <w:p w14:paraId="7C63B03D" w14:textId="77777777" w:rsidR="00595738" w:rsidRPr="00607B46" w:rsidRDefault="00595738" w:rsidP="00595738">
            <w:pPr>
              <w:jc w:val="center"/>
              <w:rPr>
                <w:sz w:val="18"/>
              </w:rPr>
            </w:pPr>
            <w:r w:rsidRPr="00607B46">
              <w:rPr>
                <w:sz w:val="18"/>
              </w:rPr>
              <w:t>Chairperson</w:t>
            </w:r>
          </w:p>
        </w:tc>
      </w:tr>
      <w:tr w:rsidR="00595738" w:rsidRPr="00595738" w14:paraId="4053EAA4" w14:textId="77777777" w:rsidTr="00595738">
        <w:tc>
          <w:tcPr>
            <w:tcW w:w="4739" w:type="dxa"/>
          </w:tcPr>
          <w:p w14:paraId="4E1D8C42" w14:textId="77777777" w:rsidR="00595738" w:rsidRPr="00607B46" w:rsidRDefault="00595738" w:rsidP="00750180">
            <w:pPr>
              <w:numPr>
                <w:ilvl w:val="0"/>
                <w:numId w:val="62"/>
              </w:numPr>
              <w:ind w:left="317" w:hanging="283"/>
              <w:contextualSpacing/>
              <w:jc w:val="both"/>
              <w:rPr>
                <w:sz w:val="18"/>
              </w:rPr>
            </w:pPr>
            <w:r w:rsidRPr="00607B46">
              <w:rPr>
                <w:sz w:val="18"/>
              </w:rPr>
              <w:t xml:space="preserve">Wenzile Sibiya </w:t>
            </w:r>
          </w:p>
        </w:tc>
        <w:tc>
          <w:tcPr>
            <w:tcW w:w="3347" w:type="dxa"/>
          </w:tcPr>
          <w:p w14:paraId="5E9A9073" w14:textId="77777777" w:rsidR="00595738" w:rsidRPr="00607B46" w:rsidRDefault="00595738" w:rsidP="00595738">
            <w:pPr>
              <w:jc w:val="center"/>
              <w:rPr>
                <w:sz w:val="18"/>
              </w:rPr>
            </w:pPr>
            <w:r w:rsidRPr="00607B46">
              <w:rPr>
                <w:sz w:val="18"/>
              </w:rPr>
              <w:t>uMlalazi local Municipality</w:t>
            </w:r>
          </w:p>
          <w:p w14:paraId="6AA468C3" w14:textId="77777777" w:rsidR="00595738" w:rsidRPr="00607B46" w:rsidRDefault="00595738" w:rsidP="00595738">
            <w:pPr>
              <w:jc w:val="center"/>
              <w:rPr>
                <w:sz w:val="18"/>
              </w:rPr>
            </w:pPr>
            <w:r w:rsidRPr="00607B46">
              <w:rPr>
                <w:sz w:val="18"/>
              </w:rPr>
              <w:t>Planning</w:t>
            </w:r>
          </w:p>
        </w:tc>
      </w:tr>
      <w:tr w:rsidR="00595738" w:rsidRPr="00595738" w14:paraId="625ECA17" w14:textId="77777777" w:rsidTr="00595738">
        <w:tc>
          <w:tcPr>
            <w:tcW w:w="4739" w:type="dxa"/>
          </w:tcPr>
          <w:p w14:paraId="6E5D5B55" w14:textId="77777777" w:rsidR="00595738" w:rsidRPr="00607B46" w:rsidRDefault="00595738" w:rsidP="00750180">
            <w:pPr>
              <w:numPr>
                <w:ilvl w:val="0"/>
                <w:numId w:val="62"/>
              </w:numPr>
              <w:ind w:left="317" w:hanging="283"/>
              <w:contextualSpacing/>
              <w:jc w:val="both"/>
              <w:rPr>
                <w:sz w:val="18"/>
              </w:rPr>
            </w:pPr>
            <w:r w:rsidRPr="00607B46">
              <w:rPr>
                <w:sz w:val="18"/>
              </w:rPr>
              <w:lastRenderedPageBreak/>
              <w:t xml:space="preserve">Helman Dlamini </w:t>
            </w:r>
          </w:p>
        </w:tc>
        <w:tc>
          <w:tcPr>
            <w:tcW w:w="3347" w:type="dxa"/>
          </w:tcPr>
          <w:p w14:paraId="0E85D035" w14:textId="77777777" w:rsidR="00595738" w:rsidRPr="00607B46" w:rsidRDefault="00595738" w:rsidP="00595738">
            <w:pPr>
              <w:jc w:val="center"/>
              <w:rPr>
                <w:sz w:val="18"/>
              </w:rPr>
            </w:pPr>
            <w:r w:rsidRPr="00607B46">
              <w:rPr>
                <w:sz w:val="18"/>
              </w:rPr>
              <w:t>uMlalazi local Municipality</w:t>
            </w:r>
          </w:p>
          <w:p w14:paraId="3E912C57" w14:textId="77777777" w:rsidR="00595738" w:rsidRPr="00607B46" w:rsidRDefault="00595738" w:rsidP="00595738">
            <w:pPr>
              <w:jc w:val="center"/>
              <w:rPr>
                <w:sz w:val="18"/>
              </w:rPr>
            </w:pPr>
            <w:r w:rsidRPr="00607B46">
              <w:rPr>
                <w:sz w:val="18"/>
              </w:rPr>
              <w:t>Engineering</w:t>
            </w:r>
          </w:p>
        </w:tc>
      </w:tr>
      <w:tr w:rsidR="00595738" w:rsidRPr="00595738" w14:paraId="52EC0D35" w14:textId="77777777" w:rsidTr="00595738">
        <w:tc>
          <w:tcPr>
            <w:tcW w:w="4739" w:type="dxa"/>
          </w:tcPr>
          <w:p w14:paraId="697BAEF1" w14:textId="77777777" w:rsidR="00595738" w:rsidRPr="00607B46" w:rsidRDefault="00595738" w:rsidP="00750180">
            <w:pPr>
              <w:numPr>
                <w:ilvl w:val="0"/>
                <w:numId w:val="62"/>
              </w:numPr>
              <w:ind w:left="317" w:hanging="283"/>
              <w:contextualSpacing/>
              <w:jc w:val="both"/>
              <w:rPr>
                <w:sz w:val="18"/>
              </w:rPr>
            </w:pPr>
            <w:r w:rsidRPr="00607B46">
              <w:rPr>
                <w:sz w:val="18"/>
              </w:rPr>
              <w:t xml:space="preserve">Suzie Van Der Westhuizen </w:t>
            </w:r>
          </w:p>
        </w:tc>
        <w:tc>
          <w:tcPr>
            <w:tcW w:w="3347" w:type="dxa"/>
          </w:tcPr>
          <w:p w14:paraId="48F3448B" w14:textId="77777777" w:rsidR="00595738" w:rsidRPr="00607B46" w:rsidRDefault="00595738" w:rsidP="00595738">
            <w:pPr>
              <w:jc w:val="center"/>
              <w:rPr>
                <w:sz w:val="18"/>
              </w:rPr>
            </w:pPr>
            <w:r w:rsidRPr="00607B46">
              <w:rPr>
                <w:sz w:val="18"/>
              </w:rPr>
              <w:t>uMlalazi local Municipality</w:t>
            </w:r>
          </w:p>
          <w:p w14:paraId="37995F0A" w14:textId="77777777" w:rsidR="00595738" w:rsidRPr="00607B46" w:rsidRDefault="00595738" w:rsidP="00595738">
            <w:pPr>
              <w:jc w:val="center"/>
              <w:rPr>
                <w:sz w:val="18"/>
              </w:rPr>
            </w:pPr>
            <w:r w:rsidRPr="00607B46">
              <w:rPr>
                <w:sz w:val="18"/>
              </w:rPr>
              <w:t>Land Legal</w:t>
            </w:r>
          </w:p>
          <w:p w14:paraId="11DFD49C" w14:textId="77777777" w:rsidR="00595738" w:rsidRPr="00607B46" w:rsidRDefault="00595738" w:rsidP="00595738">
            <w:pPr>
              <w:jc w:val="center"/>
              <w:rPr>
                <w:sz w:val="18"/>
              </w:rPr>
            </w:pPr>
            <w:r w:rsidRPr="00607B46">
              <w:rPr>
                <w:sz w:val="18"/>
              </w:rPr>
              <w:t>Administrative Officer</w:t>
            </w:r>
          </w:p>
        </w:tc>
      </w:tr>
      <w:tr w:rsidR="00595738" w:rsidRPr="00595738" w14:paraId="30D07BD9" w14:textId="77777777" w:rsidTr="00595738">
        <w:tc>
          <w:tcPr>
            <w:tcW w:w="4739" w:type="dxa"/>
          </w:tcPr>
          <w:p w14:paraId="44C38E5C" w14:textId="77777777" w:rsidR="00595738" w:rsidRPr="00607B46" w:rsidRDefault="00595738" w:rsidP="00750180">
            <w:pPr>
              <w:numPr>
                <w:ilvl w:val="0"/>
                <w:numId w:val="62"/>
              </w:numPr>
              <w:ind w:left="317" w:hanging="283"/>
              <w:contextualSpacing/>
              <w:jc w:val="both"/>
              <w:rPr>
                <w:sz w:val="18"/>
              </w:rPr>
            </w:pPr>
            <w:r w:rsidRPr="00607B46">
              <w:rPr>
                <w:sz w:val="18"/>
              </w:rPr>
              <w:t xml:space="preserve">Jaap Le Granje </w:t>
            </w:r>
          </w:p>
        </w:tc>
        <w:tc>
          <w:tcPr>
            <w:tcW w:w="3347" w:type="dxa"/>
          </w:tcPr>
          <w:p w14:paraId="1D392CAD" w14:textId="77777777" w:rsidR="00595738" w:rsidRPr="00607B46" w:rsidRDefault="00595738" w:rsidP="00595738">
            <w:pPr>
              <w:jc w:val="center"/>
              <w:rPr>
                <w:sz w:val="18"/>
              </w:rPr>
            </w:pPr>
            <w:r w:rsidRPr="00607B46">
              <w:rPr>
                <w:sz w:val="18"/>
              </w:rPr>
              <w:t>uMlalazi local Municipality</w:t>
            </w:r>
          </w:p>
          <w:p w14:paraId="3573A6BD" w14:textId="77777777" w:rsidR="00595738" w:rsidRPr="00607B46" w:rsidRDefault="00595738" w:rsidP="00595738">
            <w:pPr>
              <w:jc w:val="center"/>
              <w:rPr>
                <w:sz w:val="18"/>
              </w:rPr>
            </w:pPr>
            <w:r w:rsidRPr="00607B46">
              <w:rPr>
                <w:sz w:val="18"/>
              </w:rPr>
              <w:t>Engineering-Electrical</w:t>
            </w:r>
          </w:p>
        </w:tc>
      </w:tr>
      <w:tr w:rsidR="00595738" w:rsidRPr="00595738" w14:paraId="6320F5D7" w14:textId="77777777" w:rsidTr="00595738">
        <w:tc>
          <w:tcPr>
            <w:tcW w:w="4739" w:type="dxa"/>
          </w:tcPr>
          <w:p w14:paraId="492C0FD8" w14:textId="77777777" w:rsidR="00595738" w:rsidRPr="00607B46" w:rsidRDefault="00595738" w:rsidP="00750180">
            <w:pPr>
              <w:numPr>
                <w:ilvl w:val="0"/>
                <w:numId w:val="62"/>
              </w:numPr>
              <w:ind w:left="317" w:hanging="283"/>
              <w:contextualSpacing/>
              <w:jc w:val="both"/>
              <w:rPr>
                <w:sz w:val="18"/>
              </w:rPr>
            </w:pPr>
            <w:r w:rsidRPr="00607B46">
              <w:rPr>
                <w:sz w:val="18"/>
              </w:rPr>
              <w:t xml:space="preserve">N Mathonsi </w:t>
            </w:r>
          </w:p>
        </w:tc>
        <w:tc>
          <w:tcPr>
            <w:tcW w:w="3347" w:type="dxa"/>
          </w:tcPr>
          <w:p w14:paraId="3A68AD68" w14:textId="77777777" w:rsidR="00595738" w:rsidRPr="00607B46" w:rsidRDefault="00595738" w:rsidP="00595738">
            <w:pPr>
              <w:jc w:val="both"/>
              <w:rPr>
                <w:sz w:val="18"/>
              </w:rPr>
            </w:pPr>
            <w:r w:rsidRPr="00607B46">
              <w:rPr>
                <w:sz w:val="18"/>
              </w:rPr>
              <w:t>Mthonjaneni Local Municipality</w:t>
            </w:r>
          </w:p>
          <w:p w14:paraId="5CD143C0" w14:textId="77777777" w:rsidR="00595738" w:rsidRPr="00607B46" w:rsidRDefault="00595738" w:rsidP="00595738">
            <w:pPr>
              <w:jc w:val="center"/>
              <w:rPr>
                <w:sz w:val="18"/>
              </w:rPr>
            </w:pPr>
            <w:r w:rsidRPr="00607B46">
              <w:rPr>
                <w:sz w:val="18"/>
              </w:rPr>
              <w:t>Planning</w:t>
            </w:r>
          </w:p>
        </w:tc>
      </w:tr>
      <w:tr w:rsidR="00595738" w:rsidRPr="00595738" w14:paraId="558C0E4A" w14:textId="77777777" w:rsidTr="00595738">
        <w:tc>
          <w:tcPr>
            <w:tcW w:w="4739" w:type="dxa"/>
          </w:tcPr>
          <w:p w14:paraId="028411D3" w14:textId="77777777" w:rsidR="00595738" w:rsidRPr="00607B46" w:rsidRDefault="00595738" w:rsidP="00750180">
            <w:pPr>
              <w:numPr>
                <w:ilvl w:val="0"/>
                <w:numId w:val="62"/>
              </w:numPr>
              <w:ind w:left="317" w:hanging="283"/>
              <w:contextualSpacing/>
              <w:jc w:val="both"/>
              <w:rPr>
                <w:sz w:val="18"/>
              </w:rPr>
            </w:pPr>
            <w:r w:rsidRPr="00607B46">
              <w:rPr>
                <w:sz w:val="18"/>
              </w:rPr>
              <w:t xml:space="preserve">P Vilakazi </w:t>
            </w:r>
          </w:p>
        </w:tc>
        <w:tc>
          <w:tcPr>
            <w:tcW w:w="3347" w:type="dxa"/>
          </w:tcPr>
          <w:p w14:paraId="1FAC8187" w14:textId="77777777" w:rsidR="00595738" w:rsidRPr="00607B46" w:rsidRDefault="00595738" w:rsidP="00595738">
            <w:pPr>
              <w:jc w:val="both"/>
              <w:rPr>
                <w:sz w:val="18"/>
              </w:rPr>
            </w:pPr>
            <w:r w:rsidRPr="00607B46">
              <w:rPr>
                <w:sz w:val="18"/>
              </w:rPr>
              <w:t>Mthonjaneni Local Municipality</w:t>
            </w:r>
          </w:p>
          <w:p w14:paraId="37F1E286" w14:textId="77777777" w:rsidR="00595738" w:rsidRPr="00607B46" w:rsidRDefault="00595738" w:rsidP="00595738">
            <w:pPr>
              <w:jc w:val="center"/>
              <w:rPr>
                <w:sz w:val="18"/>
              </w:rPr>
            </w:pPr>
            <w:r w:rsidRPr="00607B46">
              <w:rPr>
                <w:sz w:val="18"/>
              </w:rPr>
              <w:t>Local Economic Development</w:t>
            </w:r>
          </w:p>
        </w:tc>
      </w:tr>
      <w:tr w:rsidR="00595738" w:rsidRPr="00595738" w14:paraId="189B4D70" w14:textId="77777777" w:rsidTr="00595738">
        <w:tc>
          <w:tcPr>
            <w:tcW w:w="4739" w:type="dxa"/>
          </w:tcPr>
          <w:p w14:paraId="790CFE07" w14:textId="77777777" w:rsidR="00595738" w:rsidRPr="00607B46" w:rsidRDefault="00595738" w:rsidP="00750180">
            <w:pPr>
              <w:numPr>
                <w:ilvl w:val="0"/>
                <w:numId w:val="62"/>
              </w:numPr>
              <w:ind w:left="317" w:hanging="283"/>
              <w:contextualSpacing/>
              <w:jc w:val="both"/>
              <w:rPr>
                <w:sz w:val="18"/>
              </w:rPr>
            </w:pPr>
            <w:r w:rsidRPr="00607B46">
              <w:rPr>
                <w:sz w:val="18"/>
              </w:rPr>
              <w:t xml:space="preserve">D Horne </w:t>
            </w:r>
          </w:p>
        </w:tc>
        <w:tc>
          <w:tcPr>
            <w:tcW w:w="3347" w:type="dxa"/>
          </w:tcPr>
          <w:p w14:paraId="027A47E3" w14:textId="77777777" w:rsidR="00595738" w:rsidRPr="00607B46" w:rsidRDefault="00595738" w:rsidP="00595738">
            <w:pPr>
              <w:jc w:val="both"/>
              <w:rPr>
                <w:sz w:val="18"/>
              </w:rPr>
            </w:pPr>
            <w:r w:rsidRPr="00607B46">
              <w:rPr>
                <w:sz w:val="18"/>
              </w:rPr>
              <w:t>Mthonjaneni Local Municipality</w:t>
            </w:r>
          </w:p>
          <w:p w14:paraId="28246DF6" w14:textId="77777777" w:rsidR="00595738" w:rsidRPr="00607B46" w:rsidRDefault="000F0FB8" w:rsidP="000F0FB8">
            <w:pPr>
              <w:jc w:val="center"/>
              <w:rPr>
                <w:sz w:val="18"/>
              </w:rPr>
            </w:pPr>
            <w:r w:rsidRPr="00607B46">
              <w:rPr>
                <w:sz w:val="18"/>
              </w:rPr>
              <w:t>Traffic</w:t>
            </w:r>
            <w:r w:rsidR="00595738" w:rsidRPr="00607B46">
              <w:rPr>
                <w:sz w:val="18"/>
              </w:rPr>
              <w:t xml:space="preserve"> </w:t>
            </w:r>
          </w:p>
        </w:tc>
      </w:tr>
      <w:tr w:rsidR="00595738" w:rsidRPr="00595738" w14:paraId="4CCB2A90" w14:textId="77777777" w:rsidTr="00595738">
        <w:tc>
          <w:tcPr>
            <w:tcW w:w="4739" w:type="dxa"/>
          </w:tcPr>
          <w:p w14:paraId="18F68EB7" w14:textId="77777777" w:rsidR="00595738" w:rsidRPr="00607B46" w:rsidRDefault="00595738" w:rsidP="00750180">
            <w:pPr>
              <w:numPr>
                <w:ilvl w:val="0"/>
                <w:numId w:val="62"/>
              </w:numPr>
              <w:ind w:left="317" w:hanging="283"/>
              <w:contextualSpacing/>
              <w:jc w:val="both"/>
              <w:rPr>
                <w:sz w:val="18"/>
              </w:rPr>
            </w:pPr>
            <w:r w:rsidRPr="00607B46">
              <w:rPr>
                <w:sz w:val="18"/>
              </w:rPr>
              <w:t xml:space="preserve">N Zikhali </w:t>
            </w:r>
          </w:p>
        </w:tc>
        <w:tc>
          <w:tcPr>
            <w:tcW w:w="3347" w:type="dxa"/>
          </w:tcPr>
          <w:p w14:paraId="45CDD1D4" w14:textId="77777777" w:rsidR="00595738" w:rsidRPr="00607B46" w:rsidRDefault="00595738" w:rsidP="00595738">
            <w:pPr>
              <w:jc w:val="both"/>
              <w:rPr>
                <w:sz w:val="18"/>
              </w:rPr>
            </w:pPr>
            <w:r w:rsidRPr="00607B46">
              <w:rPr>
                <w:sz w:val="18"/>
              </w:rPr>
              <w:t>Mthonjaneni Local Municipality</w:t>
            </w:r>
          </w:p>
          <w:p w14:paraId="03F79992" w14:textId="77777777" w:rsidR="00595738" w:rsidRPr="00607B46" w:rsidRDefault="00595738" w:rsidP="00595738">
            <w:pPr>
              <w:jc w:val="center"/>
              <w:rPr>
                <w:sz w:val="18"/>
              </w:rPr>
            </w:pPr>
            <w:r w:rsidRPr="00607B46">
              <w:rPr>
                <w:sz w:val="18"/>
              </w:rPr>
              <w:t>Engineering</w:t>
            </w:r>
          </w:p>
        </w:tc>
      </w:tr>
    </w:tbl>
    <w:p w14:paraId="292CBCD1" w14:textId="77777777" w:rsidR="00595738" w:rsidRPr="00595738" w:rsidRDefault="00595738" w:rsidP="00595738">
      <w:pPr>
        <w:spacing w:after="0" w:line="240" w:lineRule="auto"/>
        <w:contextualSpacing/>
        <w:jc w:val="both"/>
      </w:pPr>
    </w:p>
    <w:p w14:paraId="345463FC" w14:textId="77777777" w:rsidR="00595738" w:rsidRPr="00595738" w:rsidRDefault="00595738" w:rsidP="00595738">
      <w:pPr>
        <w:spacing w:after="0"/>
        <w:jc w:val="both"/>
      </w:pPr>
      <w:r w:rsidRPr="00595738">
        <w:t xml:space="preserve">The following nominees were appointed as external private members of the </w:t>
      </w:r>
      <w:r w:rsidR="001D792E">
        <w:t>King Cetshwayo</w:t>
      </w:r>
      <w:r w:rsidRPr="00595738">
        <w:t xml:space="preserve"> South Joint Municipal Planning Tribunal Committee:</w:t>
      </w:r>
    </w:p>
    <w:p w14:paraId="248C8E05" w14:textId="77777777" w:rsidR="00595738" w:rsidRPr="00595738" w:rsidRDefault="00595738" w:rsidP="00595738">
      <w:pPr>
        <w:spacing w:after="0"/>
        <w:jc w:val="both"/>
      </w:pPr>
    </w:p>
    <w:tbl>
      <w:tblPr>
        <w:tblStyle w:val="TableGrid"/>
        <w:tblW w:w="0" w:type="auto"/>
        <w:tblInd w:w="137" w:type="dxa"/>
        <w:tblLook w:val="04A0" w:firstRow="1" w:lastRow="0" w:firstColumn="1" w:lastColumn="0" w:noHBand="0" w:noVBand="1"/>
      </w:tblPr>
      <w:tblGrid>
        <w:gridCol w:w="4363"/>
        <w:gridCol w:w="3302"/>
      </w:tblGrid>
      <w:tr w:rsidR="00595738" w:rsidRPr="00607B46" w14:paraId="3A1BD84D" w14:textId="77777777" w:rsidTr="00607B46">
        <w:tc>
          <w:tcPr>
            <w:tcW w:w="4363" w:type="dxa"/>
            <w:shd w:val="clear" w:color="auto" w:fill="000000" w:themeFill="text1"/>
          </w:tcPr>
          <w:p w14:paraId="3F3116A1" w14:textId="77777777" w:rsidR="00595738" w:rsidRPr="00607B46" w:rsidRDefault="00595738" w:rsidP="00595738">
            <w:pPr>
              <w:jc w:val="both"/>
              <w:rPr>
                <w:b/>
              </w:rPr>
            </w:pPr>
            <w:r w:rsidRPr="00607B46">
              <w:rPr>
                <w:b/>
              </w:rPr>
              <w:t>EXTERNAL MEMBERS</w:t>
            </w:r>
          </w:p>
        </w:tc>
        <w:tc>
          <w:tcPr>
            <w:tcW w:w="3302" w:type="dxa"/>
            <w:shd w:val="clear" w:color="auto" w:fill="000000" w:themeFill="text1"/>
          </w:tcPr>
          <w:p w14:paraId="593DFCE6" w14:textId="77777777" w:rsidR="00595738" w:rsidRPr="00607B46" w:rsidRDefault="00595738" w:rsidP="00595738">
            <w:pPr>
              <w:jc w:val="both"/>
              <w:rPr>
                <w:b/>
              </w:rPr>
            </w:pPr>
            <w:r w:rsidRPr="00607B46">
              <w:rPr>
                <w:b/>
              </w:rPr>
              <w:t>NOMINATED FIELD</w:t>
            </w:r>
          </w:p>
        </w:tc>
      </w:tr>
      <w:tr w:rsidR="00595738" w:rsidRPr="00595738" w14:paraId="13A928CA" w14:textId="77777777" w:rsidTr="00595738">
        <w:tc>
          <w:tcPr>
            <w:tcW w:w="4363" w:type="dxa"/>
          </w:tcPr>
          <w:p w14:paraId="5945C628" w14:textId="77777777" w:rsidR="00595738" w:rsidRPr="00595738" w:rsidRDefault="00595738" w:rsidP="00750180">
            <w:pPr>
              <w:numPr>
                <w:ilvl w:val="0"/>
                <w:numId w:val="63"/>
              </w:numPr>
              <w:ind w:left="0"/>
              <w:contextualSpacing/>
              <w:jc w:val="both"/>
            </w:pPr>
            <w:r w:rsidRPr="00595738">
              <w:t xml:space="preserve">Thulani Nkosi </w:t>
            </w:r>
          </w:p>
        </w:tc>
        <w:tc>
          <w:tcPr>
            <w:tcW w:w="3302" w:type="dxa"/>
          </w:tcPr>
          <w:p w14:paraId="64CFD19C" w14:textId="77777777" w:rsidR="00595738" w:rsidRPr="00595738" w:rsidRDefault="00595738" w:rsidP="00595738">
            <w:pPr>
              <w:jc w:val="both"/>
            </w:pPr>
            <w:r w:rsidRPr="00595738">
              <w:t>Land Legal</w:t>
            </w:r>
          </w:p>
        </w:tc>
      </w:tr>
      <w:tr w:rsidR="00595738" w:rsidRPr="00595738" w14:paraId="4C63AC9B" w14:textId="77777777" w:rsidTr="00595738">
        <w:tc>
          <w:tcPr>
            <w:tcW w:w="4363" w:type="dxa"/>
          </w:tcPr>
          <w:p w14:paraId="5B8E7C10" w14:textId="77777777" w:rsidR="00595738" w:rsidRPr="00595738" w:rsidRDefault="00595738" w:rsidP="00750180">
            <w:pPr>
              <w:numPr>
                <w:ilvl w:val="0"/>
                <w:numId w:val="63"/>
              </w:numPr>
              <w:ind w:left="0"/>
              <w:contextualSpacing/>
              <w:jc w:val="both"/>
            </w:pPr>
            <w:r w:rsidRPr="00595738">
              <w:t xml:space="preserve">Sibongiseni Maseko </w:t>
            </w:r>
          </w:p>
        </w:tc>
        <w:tc>
          <w:tcPr>
            <w:tcW w:w="3302" w:type="dxa"/>
          </w:tcPr>
          <w:p w14:paraId="043A51E0" w14:textId="77777777" w:rsidR="00595738" w:rsidRPr="00595738" w:rsidRDefault="00595738" w:rsidP="00595738">
            <w:pPr>
              <w:jc w:val="both"/>
            </w:pPr>
            <w:r w:rsidRPr="00595738">
              <w:t>Planning</w:t>
            </w:r>
          </w:p>
        </w:tc>
      </w:tr>
      <w:tr w:rsidR="00595738" w:rsidRPr="00595738" w14:paraId="1EE216AB" w14:textId="77777777" w:rsidTr="00595738">
        <w:tc>
          <w:tcPr>
            <w:tcW w:w="4363" w:type="dxa"/>
          </w:tcPr>
          <w:p w14:paraId="26E192EC" w14:textId="77777777" w:rsidR="00595738" w:rsidRPr="00595738" w:rsidRDefault="00595738" w:rsidP="00750180">
            <w:pPr>
              <w:numPr>
                <w:ilvl w:val="0"/>
                <w:numId w:val="63"/>
              </w:numPr>
              <w:ind w:left="0"/>
              <w:contextualSpacing/>
              <w:jc w:val="both"/>
            </w:pPr>
            <w:r w:rsidRPr="00595738">
              <w:t>Thamsanga Majola</w:t>
            </w:r>
          </w:p>
        </w:tc>
        <w:tc>
          <w:tcPr>
            <w:tcW w:w="3302" w:type="dxa"/>
          </w:tcPr>
          <w:p w14:paraId="36CE2EB1" w14:textId="77777777" w:rsidR="00595738" w:rsidRPr="00595738" w:rsidRDefault="00595738" w:rsidP="00595738">
            <w:pPr>
              <w:jc w:val="both"/>
            </w:pPr>
            <w:r w:rsidRPr="00595738">
              <w:t>Land Legal</w:t>
            </w:r>
          </w:p>
        </w:tc>
      </w:tr>
      <w:tr w:rsidR="00595738" w:rsidRPr="00595738" w14:paraId="18A5FBBA" w14:textId="77777777" w:rsidTr="00595738">
        <w:tc>
          <w:tcPr>
            <w:tcW w:w="4363" w:type="dxa"/>
          </w:tcPr>
          <w:p w14:paraId="628C53D8" w14:textId="77777777" w:rsidR="00595738" w:rsidRPr="00595738" w:rsidRDefault="00595738" w:rsidP="00750180">
            <w:pPr>
              <w:numPr>
                <w:ilvl w:val="0"/>
                <w:numId w:val="63"/>
              </w:numPr>
              <w:ind w:left="0"/>
              <w:contextualSpacing/>
              <w:jc w:val="both"/>
            </w:pPr>
            <w:r w:rsidRPr="00595738">
              <w:t xml:space="preserve">Aubrey Ngcobo </w:t>
            </w:r>
          </w:p>
        </w:tc>
        <w:tc>
          <w:tcPr>
            <w:tcW w:w="3302" w:type="dxa"/>
          </w:tcPr>
          <w:p w14:paraId="3C796860" w14:textId="77777777" w:rsidR="00595738" w:rsidRPr="00595738" w:rsidRDefault="00595738" w:rsidP="00595738">
            <w:pPr>
              <w:jc w:val="both"/>
            </w:pPr>
            <w:r w:rsidRPr="00595738">
              <w:t>Land Legal</w:t>
            </w:r>
          </w:p>
        </w:tc>
      </w:tr>
      <w:tr w:rsidR="00595738" w:rsidRPr="00595738" w14:paraId="7029B2D7" w14:textId="77777777" w:rsidTr="00595738">
        <w:tc>
          <w:tcPr>
            <w:tcW w:w="4363" w:type="dxa"/>
          </w:tcPr>
          <w:p w14:paraId="32B6C1AC" w14:textId="77777777" w:rsidR="00595738" w:rsidRPr="00595738" w:rsidRDefault="00595738" w:rsidP="00750180">
            <w:pPr>
              <w:numPr>
                <w:ilvl w:val="0"/>
                <w:numId w:val="63"/>
              </w:numPr>
              <w:ind w:left="0"/>
              <w:contextualSpacing/>
              <w:jc w:val="both"/>
            </w:pPr>
            <w:r w:rsidRPr="00595738">
              <w:t xml:space="preserve">Nomfuneko Mkhize </w:t>
            </w:r>
          </w:p>
        </w:tc>
        <w:tc>
          <w:tcPr>
            <w:tcW w:w="3302" w:type="dxa"/>
          </w:tcPr>
          <w:p w14:paraId="2830B8AE" w14:textId="77777777" w:rsidR="00595738" w:rsidRPr="00595738" w:rsidRDefault="00595738" w:rsidP="00595738">
            <w:pPr>
              <w:jc w:val="both"/>
            </w:pPr>
            <w:r w:rsidRPr="00595738">
              <w:t>Land Legal</w:t>
            </w:r>
          </w:p>
        </w:tc>
      </w:tr>
      <w:tr w:rsidR="00595738" w:rsidRPr="00595738" w14:paraId="0D39FB75" w14:textId="77777777" w:rsidTr="00595738">
        <w:tc>
          <w:tcPr>
            <w:tcW w:w="4363" w:type="dxa"/>
          </w:tcPr>
          <w:p w14:paraId="0ABED4D3" w14:textId="77777777" w:rsidR="00595738" w:rsidRPr="00595738" w:rsidRDefault="00595738" w:rsidP="00750180">
            <w:pPr>
              <w:numPr>
                <w:ilvl w:val="0"/>
                <w:numId w:val="63"/>
              </w:numPr>
              <w:ind w:left="0"/>
              <w:contextualSpacing/>
              <w:jc w:val="both"/>
            </w:pPr>
            <w:r w:rsidRPr="00595738">
              <w:t xml:space="preserve">Lulama Miya </w:t>
            </w:r>
          </w:p>
        </w:tc>
        <w:tc>
          <w:tcPr>
            <w:tcW w:w="3302" w:type="dxa"/>
          </w:tcPr>
          <w:p w14:paraId="55F759B9" w14:textId="77777777" w:rsidR="00595738" w:rsidRPr="00595738" w:rsidRDefault="00595738" w:rsidP="00595738">
            <w:pPr>
              <w:jc w:val="both"/>
            </w:pPr>
            <w:r w:rsidRPr="00595738">
              <w:t>Land Legal</w:t>
            </w:r>
          </w:p>
        </w:tc>
      </w:tr>
      <w:tr w:rsidR="00595738" w:rsidRPr="00595738" w14:paraId="7DB14859" w14:textId="77777777" w:rsidTr="00595738">
        <w:tc>
          <w:tcPr>
            <w:tcW w:w="4363" w:type="dxa"/>
          </w:tcPr>
          <w:p w14:paraId="0470648A" w14:textId="77777777" w:rsidR="00595738" w:rsidRPr="00595738" w:rsidRDefault="00595738" w:rsidP="00750180">
            <w:pPr>
              <w:numPr>
                <w:ilvl w:val="0"/>
                <w:numId w:val="63"/>
              </w:numPr>
              <w:ind w:left="0"/>
              <w:contextualSpacing/>
              <w:jc w:val="both"/>
            </w:pPr>
            <w:r w:rsidRPr="00595738">
              <w:t xml:space="preserve">C P Cele </w:t>
            </w:r>
          </w:p>
        </w:tc>
        <w:tc>
          <w:tcPr>
            <w:tcW w:w="3302" w:type="dxa"/>
          </w:tcPr>
          <w:p w14:paraId="66CDBBFA" w14:textId="77777777" w:rsidR="00595738" w:rsidRPr="00595738" w:rsidRDefault="00595738" w:rsidP="00595738">
            <w:pPr>
              <w:jc w:val="both"/>
            </w:pPr>
            <w:r w:rsidRPr="00595738">
              <w:t>Planning</w:t>
            </w:r>
          </w:p>
        </w:tc>
      </w:tr>
      <w:tr w:rsidR="00595738" w:rsidRPr="00595738" w14:paraId="2744992A" w14:textId="77777777" w:rsidTr="00595738">
        <w:tc>
          <w:tcPr>
            <w:tcW w:w="4363" w:type="dxa"/>
          </w:tcPr>
          <w:p w14:paraId="15317911" w14:textId="77777777" w:rsidR="00595738" w:rsidRPr="00595738" w:rsidRDefault="00595738" w:rsidP="00750180">
            <w:pPr>
              <w:numPr>
                <w:ilvl w:val="0"/>
                <w:numId w:val="63"/>
              </w:numPr>
              <w:ind w:left="0"/>
              <w:contextualSpacing/>
              <w:jc w:val="both"/>
            </w:pPr>
            <w:r w:rsidRPr="00595738">
              <w:t xml:space="preserve">Robert Wilson </w:t>
            </w:r>
          </w:p>
        </w:tc>
        <w:tc>
          <w:tcPr>
            <w:tcW w:w="3302" w:type="dxa"/>
          </w:tcPr>
          <w:p w14:paraId="25FE4909" w14:textId="77777777" w:rsidR="00595738" w:rsidRPr="00595738" w:rsidRDefault="00595738" w:rsidP="00595738">
            <w:pPr>
              <w:jc w:val="both"/>
            </w:pPr>
            <w:r w:rsidRPr="00595738">
              <w:t>Planning</w:t>
            </w:r>
          </w:p>
        </w:tc>
      </w:tr>
    </w:tbl>
    <w:p w14:paraId="0DB4B142" w14:textId="77777777" w:rsidR="00595738" w:rsidRPr="00595738" w:rsidRDefault="00595738" w:rsidP="00595738">
      <w:pPr>
        <w:spacing w:after="0"/>
        <w:jc w:val="both"/>
      </w:pPr>
    </w:p>
    <w:p w14:paraId="6800F203" w14:textId="77777777" w:rsidR="00595738" w:rsidRPr="00595738" w:rsidRDefault="00595738" w:rsidP="00595738">
      <w:pPr>
        <w:tabs>
          <w:tab w:val="left" w:pos="993"/>
        </w:tabs>
        <w:spacing w:after="0"/>
        <w:jc w:val="both"/>
      </w:pPr>
      <w:r w:rsidRPr="00595738">
        <w:t xml:space="preserve">It shall be noted that the external members will be paid by </w:t>
      </w:r>
      <w:r w:rsidR="001D792E">
        <w:t>King Cetshwayo</w:t>
      </w:r>
      <w:r w:rsidRPr="00595738">
        <w:t xml:space="preserve"> </w:t>
      </w:r>
      <w:r w:rsidR="003C03FA">
        <w:t>District</w:t>
      </w:r>
      <w:r w:rsidRPr="00595738">
        <w:t xml:space="preserve"> Municipality an amount of R750.00 per hour with maximum of R3000 per meeting and the internal members will not be paid since there are the employees of the state. Travelling costs to external members will also be paid as per Department of Transport rates.</w:t>
      </w:r>
    </w:p>
    <w:p w14:paraId="07515069" w14:textId="77777777" w:rsidR="00595738" w:rsidRPr="00595738" w:rsidRDefault="00595738" w:rsidP="00595738">
      <w:pPr>
        <w:tabs>
          <w:tab w:val="left" w:pos="993"/>
        </w:tabs>
        <w:spacing w:after="0"/>
      </w:pPr>
    </w:p>
    <w:p w14:paraId="55866E29" w14:textId="77777777" w:rsidR="00595738" w:rsidRPr="00595738" w:rsidRDefault="00595738" w:rsidP="00595738">
      <w:pPr>
        <w:tabs>
          <w:tab w:val="left" w:pos="993"/>
        </w:tabs>
        <w:spacing w:after="0"/>
      </w:pPr>
      <w:r w:rsidRPr="00595738">
        <w:t>The three Local Mu</w:t>
      </w:r>
      <w:r w:rsidR="0062492D">
        <w:t>nicipalities (Nkandla, Mthonjan</w:t>
      </w:r>
      <w:r w:rsidRPr="00595738">
        <w:t xml:space="preserve">eni and uMlalazi) will share the cost of advertising the appointed members of </w:t>
      </w:r>
      <w:r w:rsidR="001D792E">
        <w:t>King Cetshwayo</w:t>
      </w:r>
      <w:r w:rsidRPr="00595738">
        <w:t xml:space="preserve"> South MPT and divide amongst the each other. </w:t>
      </w:r>
    </w:p>
    <w:p w14:paraId="213D0692" w14:textId="77777777" w:rsidR="006712E9" w:rsidRPr="006712E9" w:rsidRDefault="006712E9" w:rsidP="006712E9"/>
    <w:p w14:paraId="3D31C331" w14:textId="77777777" w:rsidR="0037082E" w:rsidRPr="00AF5D50" w:rsidRDefault="005A204C" w:rsidP="00750180">
      <w:pPr>
        <w:pStyle w:val="Heading4"/>
        <w:numPr>
          <w:ilvl w:val="3"/>
          <w:numId w:val="29"/>
        </w:numPr>
        <w:spacing w:after="240"/>
        <w:rPr>
          <w:highlight w:val="yellow"/>
        </w:rPr>
      </w:pPr>
      <w:r w:rsidRPr="00AF5D50">
        <w:rPr>
          <w:highlight w:val="yellow"/>
        </w:rPr>
        <w:t xml:space="preserve">Municipal Transformation &amp; </w:t>
      </w:r>
      <w:r w:rsidR="000F0FB8" w:rsidRPr="00AF5D50">
        <w:rPr>
          <w:highlight w:val="yellow"/>
        </w:rPr>
        <w:t>Organizational</w:t>
      </w:r>
      <w:r w:rsidRPr="00AF5D50">
        <w:rPr>
          <w:highlight w:val="yellow"/>
        </w:rPr>
        <w:t xml:space="preserve"> Development</w:t>
      </w:r>
      <w:r w:rsidR="004D7441" w:rsidRPr="00AF5D50">
        <w:rPr>
          <w:highlight w:val="yellow"/>
        </w:rPr>
        <w:t>: SWOT ANALYSIS</w:t>
      </w:r>
      <w:bookmarkEnd w:id="258"/>
      <w:r w:rsidR="00607B46" w:rsidRPr="00AF5D50">
        <w:rPr>
          <w:highlight w:val="yellow"/>
        </w:rPr>
        <w:t xml:space="preserve"> </w:t>
      </w:r>
    </w:p>
    <w:p w14:paraId="3919F276" w14:textId="77777777" w:rsidR="000C68E5" w:rsidRPr="00881795" w:rsidRDefault="000C68E5" w:rsidP="00750180">
      <w:pPr>
        <w:pStyle w:val="Heading5"/>
        <w:numPr>
          <w:ilvl w:val="4"/>
          <w:numId w:val="29"/>
        </w:numPr>
      </w:pPr>
      <w:bookmarkStart w:id="259" w:name="_Toc389739857"/>
      <w:r w:rsidRPr="00881795">
        <w:t>Strengths</w:t>
      </w:r>
      <w:bookmarkEnd w:id="259"/>
    </w:p>
    <w:p w14:paraId="33777388" w14:textId="77777777" w:rsidR="000C68E5" w:rsidRPr="00881795" w:rsidRDefault="000C68E5" w:rsidP="00E31338">
      <w:pPr>
        <w:pStyle w:val="ListParagraph"/>
        <w:numPr>
          <w:ilvl w:val="0"/>
          <w:numId w:val="1"/>
        </w:numPr>
        <w:spacing w:line="288" w:lineRule="auto"/>
        <w:jc w:val="both"/>
        <w:rPr>
          <w:szCs w:val="20"/>
        </w:rPr>
      </w:pPr>
      <w:r w:rsidRPr="00881795">
        <w:rPr>
          <w:szCs w:val="20"/>
        </w:rPr>
        <w:t>Sound financial management system</w:t>
      </w:r>
    </w:p>
    <w:p w14:paraId="0897FA02" w14:textId="77777777" w:rsidR="000C68E5" w:rsidRPr="00881795" w:rsidRDefault="000C68E5" w:rsidP="00E31338">
      <w:pPr>
        <w:pStyle w:val="ListParagraph"/>
        <w:numPr>
          <w:ilvl w:val="0"/>
          <w:numId w:val="1"/>
        </w:numPr>
        <w:spacing w:line="288" w:lineRule="auto"/>
        <w:jc w:val="both"/>
        <w:rPr>
          <w:szCs w:val="20"/>
        </w:rPr>
      </w:pPr>
      <w:r w:rsidRPr="00881795">
        <w:rPr>
          <w:szCs w:val="20"/>
        </w:rPr>
        <w:t>Sound Financial Policies and the Implementation thereof</w:t>
      </w:r>
    </w:p>
    <w:p w14:paraId="495ECAC9" w14:textId="77777777" w:rsidR="000C68E5" w:rsidRPr="00881795" w:rsidRDefault="000C68E5" w:rsidP="00E31338">
      <w:pPr>
        <w:pStyle w:val="ListParagraph"/>
        <w:numPr>
          <w:ilvl w:val="0"/>
          <w:numId w:val="1"/>
        </w:numPr>
        <w:spacing w:line="288" w:lineRule="auto"/>
        <w:jc w:val="both"/>
        <w:rPr>
          <w:szCs w:val="20"/>
        </w:rPr>
      </w:pPr>
      <w:r w:rsidRPr="00881795">
        <w:rPr>
          <w:szCs w:val="20"/>
        </w:rPr>
        <w:t>Competent and capacitated staff</w:t>
      </w:r>
    </w:p>
    <w:p w14:paraId="5496535D" w14:textId="77777777" w:rsidR="000C68E5" w:rsidRPr="0043515F" w:rsidRDefault="000C68E5" w:rsidP="00750180">
      <w:pPr>
        <w:pStyle w:val="Heading5"/>
        <w:numPr>
          <w:ilvl w:val="4"/>
          <w:numId w:val="29"/>
        </w:numPr>
      </w:pPr>
      <w:bookmarkStart w:id="260" w:name="_Toc389739858"/>
      <w:r w:rsidRPr="0043515F">
        <w:t>Weaknesses</w:t>
      </w:r>
      <w:bookmarkEnd w:id="260"/>
    </w:p>
    <w:p w14:paraId="26090887" w14:textId="77777777" w:rsidR="000C68E5" w:rsidRPr="00881795" w:rsidRDefault="000C68E5" w:rsidP="00E31338">
      <w:pPr>
        <w:pStyle w:val="ListParagraph"/>
        <w:numPr>
          <w:ilvl w:val="0"/>
          <w:numId w:val="1"/>
        </w:numPr>
        <w:spacing w:line="288" w:lineRule="auto"/>
        <w:jc w:val="both"/>
        <w:rPr>
          <w:szCs w:val="20"/>
        </w:rPr>
      </w:pPr>
      <w:r w:rsidRPr="00881795">
        <w:rPr>
          <w:szCs w:val="20"/>
        </w:rPr>
        <w:t>Retention of technical Staff is problematic</w:t>
      </w:r>
    </w:p>
    <w:p w14:paraId="4398F28B" w14:textId="77777777" w:rsidR="000C68E5" w:rsidRPr="00881795" w:rsidRDefault="000C68E5" w:rsidP="00E31338">
      <w:pPr>
        <w:pStyle w:val="ListParagraph"/>
        <w:numPr>
          <w:ilvl w:val="0"/>
          <w:numId w:val="1"/>
        </w:numPr>
        <w:spacing w:line="288" w:lineRule="auto"/>
        <w:jc w:val="both"/>
        <w:rPr>
          <w:szCs w:val="20"/>
        </w:rPr>
      </w:pPr>
      <w:r w:rsidRPr="00881795">
        <w:rPr>
          <w:szCs w:val="20"/>
        </w:rPr>
        <w:t>Contract Management can be improved</w:t>
      </w:r>
    </w:p>
    <w:p w14:paraId="5D9D8D9E" w14:textId="77777777" w:rsidR="000C68E5" w:rsidRPr="00881795" w:rsidRDefault="000C68E5" w:rsidP="00E31338">
      <w:pPr>
        <w:pStyle w:val="ListParagraph"/>
        <w:numPr>
          <w:ilvl w:val="0"/>
          <w:numId w:val="1"/>
        </w:numPr>
        <w:spacing w:line="288" w:lineRule="auto"/>
        <w:jc w:val="both"/>
        <w:rPr>
          <w:szCs w:val="20"/>
        </w:rPr>
      </w:pPr>
      <w:r w:rsidRPr="00881795">
        <w:rPr>
          <w:szCs w:val="20"/>
        </w:rPr>
        <w:t>Lack in staff capacity in all Departments</w:t>
      </w:r>
    </w:p>
    <w:p w14:paraId="004EDF69" w14:textId="77777777" w:rsidR="000C68E5" w:rsidRPr="00881795" w:rsidRDefault="000C68E5" w:rsidP="00E31338">
      <w:pPr>
        <w:pStyle w:val="ListParagraph"/>
        <w:numPr>
          <w:ilvl w:val="0"/>
          <w:numId w:val="1"/>
        </w:numPr>
        <w:spacing w:line="288" w:lineRule="auto"/>
        <w:jc w:val="both"/>
        <w:rPr>
          <w:szCs w:val="20"/>
        </w:rPr>
      </w:pPr>
      <w:r w:rsidRPr="00881795">
        <w:rPr>
          <w:szCs w:val="20"/>
        </w:rPr>
        <w:t>Lack of capacity to deal with legal issues</w:t>
      </w:r>
    </w:p>
    <w:p w14:paraId="6CDD8008" w14:textId="77777777" w:rsidR="000C68E5" w:rsidRPr="00881795" w:rsidRDefault="000C68E5" w:rsidP="00E31338">
      <w:pPr>
        <w:pStyle w:val="ListParagraph"/>
        <w:numPr>
          <w:ilvl w:val="0"/>
          <w:numId w:val="1"/>
        </w:numPr>
        <w:spacing w:line="288" w:lineRule="auto"/>
        <w:jc w:val="both"/>
        <w:rPr>
          <w:szCs w:val="20"/>
        </w:rPr>
      </w:pPr>
      <w:r w:rsidRPr="00881795">
        <w:rPr>
          <w:szCs w:val="20"/>
        </w:rPr>
        <w:t>Lack of funds</w:t>
      </w:r>
    </w:p>
    <w:p w14:paraId="0885984A" w14:textId="77777777" w:rsidR="000C68E5" w:rsidRPr="00881795" w:rsidRDefault="000C68E5" w:rsidP="00E31338">
      <w:pPr>
        <w:pStyle w:val="ListParagraph"/>
        <w:numPr>
          <w:ilvl w:val="0"/>
          <w:numId w:val="1"/>
        </w:numPr>
        <w:spacing w:line="288" w:lineRule="auto"/>
        <w:jc w:val="both"/>
        <w:rPr>
          <w:szCs w:val="20"/>
        </w:rPr>
      </w:pPr>
      <w:r w:rsidRPr="00881795">
        <w:rPr>
          <w:szCs w:val="20"/>
        </w:rPr>
        <w:t>Inappropriate allocation of functions</w:t>
      </w:r>
    </w:p>
    <w:p w14:paraId="0830079B" w14:textId="77777777" w:rsidR="000C68E5" w:rsidRPr="00881795" w:rsidRDefault="000C68E5" w:rsidP="00E31338">
      <w:pPr>
        <w:pStyle w:val="ListParagraph"/>
        <w:numPr>
          <w:ilvl w:val="0"/>
          <w:numId w:val="1"/>
        </w:numPr>
        <w:spacing w:line="288" w:lineRule="auto"/>
        <w:jc w:val="both"/>
        <w:rPr>
          <w:szCs w:val="20"/>
        </w:rPr>
      </w:pPr>
      <w:r w:rsidRPr="00881795">
        <w:rPr>
          <w:szCs w:val="20"/>
        </w:rPr>
        <w:t>Employment equity can still be improved upon</w:t>
      </w:r>
    </w:p>
    <w:p w14:paraId="35A08C0B" w14:textId="77777777" w:rsidR="000C68E5" w:rsidRPr="00881795" w:rsidRDefault="000C68E5" w:rsidP="00E31338">
      <w:pPr>
        <w:pStyle w:val="ListParagraph"/>
        <w:numPr>
          <w:ilvl w:val="0"/>
          <w:numId w:val="1"/>
        </w:numPr>
        <w:spacing w:line="288" w:lineRule="auto"/>
        <w:jc w:val="both"/>
        <w:rPr>
          <w:szCs w:val="20"/>
        </w:rPr>
      </w:pPr>
      <w:r w:rsidRPr="00881795">
        <w:rPr>
          <w:szCs w:val="20"/>
        </w:rPr>
        <w:t xml:space="preserve">No employee assistance </w:t>
      </w:r>
      <w:r w:rsidR="00A25189" w:rsidRPr="00881795">
        <w:rPr>
          <w:szCs w:val="20"/>
        </w:rPr>
        <w:t>program</w:t>
      </w:r>
      <w:r w:rsidRPr="00881795">
        <w:rPr>
          <w:szCs w:val="20"/>
        </w:rPr>
        <w:t xml:space="preserve"> in place</w:t>
      </w:r>
    </w:p>
    <w:p w14:paraId="6B294774" w14:textId="77777777" w:rsidR="000C68E5" w:rsidRPr="00881795" w:rsidRDefault="000C68E5" w:rsidP="00E31338">
      <w:pPr>
        <w:pStyle w:val="ListParagraph"/>
        <w:numPr>
          <w:ilvl w:val="0"/>
          <w:numId w:val="1"/>
        </w:numPr>
        <w:spacing w:line="288" w:lineRule="auto"/>
        <w:jc w:val="both"/>
        <w:rPr>
          <w:szCs w:val="20"/>
        </w:rPr>
      </w:pPr>
      <w:r w:rsidRPr="00881795">
        <w:rPr>
          <w:szCs w:val="20"/>
        </w:rPr>
        <w:t>Lack of office space in general</w:t>
      </w:r>
    </w:p>
    <w:p w14:paraId="29A71598" w14:textId="77777777" w:rsidR="000C68E5" w:rsidRPr="00881795" w:rsidRDefault="000C68E5" w:rsidP="00E31338">
      <w:pPr>
        <w:pStyle w:val="ListParagraph"/>
        <w:numPr>
          <w:ilvl w:val="0"/>
          <w:numId w:val="1"/>
        </w:numPr>
        <w:spacing w:line="288" w:lineRule="auto"/>
        <w:jc w:val="both"/>
        <w:rPr>
          <w:szCs w:val="20"/>
        </w:rPr>
      </w:pPr>
      <w:r w:rsidRPr="00881795">
        <w:rPr>
          <w:szCs w:val="20"/>
        </w:rPr>
        <w:t xml:space="preserve">Two Civic </w:t>
      </w:r>
      <w:r w:rsidR="00A25189" w:rsidRPr="00881795">
        <w:rPr>
          <w:szCs w:val="20"/>
        </w:rPr>
        <w:t>Centers</w:t>
      </w:r>
      <w:r w:rsidRPr="00881795">
        <w:rPr>
          <w:szCs w:val="20"/>
        </w:rPr>
        <w:t xml:space="preserve">, instead of only one </w:t>
      </w:r>
    </w:p>
    <w:p w14:paraId="09F423CA" w14:textId="77777777" w:rsidR="000C68E5" w:rsidRPr="00881795" w:rsidRDefault="000C68E5" w:rsidP="00E31338">
      <w:pPr>
        <w:pStyle w:val="ListParagraph"/>
        <w:numPr>
          <w:ilvl w:val="0"/>
          <w:numId w:val="1"/>
        </w:numPr>
        <w:spacing w:line="288" w:lineRule="auto"/>
        <w:jc w:val="both"/>
        <w:rPr>
          <w:szCs w:val="20"/>
        </w:rPr>
      </w:pPr>
      <w:r w:rsidRPr="00881795">
        <w:rPr>
          <w:szCs w:val="20"/>
        </w:rPr>
        <w:lastRenderedPageBreak/>
        <w:t>Lack of Fire Fighting Tenders</w:t>
      </w:r>
    </w:p>
    <w:p w14:paraId="760DBF5E" w14:textId="77777777" w:rsidR="000C68E5" w:rsidRPr="00881795" w:rsidRDefault="000C68E5" w:rsidP="00E31338">
      <w:pPr>
        <w:pStyle w:val="ListParagraph"/>
        <w:numPr>
          <w:ilvl w:val="0"/>
          <w:numId w:val="1"/>
        </w:numPr>
        <w:spacing w:line="288" w:lineRule="auto"/>
        <w:jc w:val="both"/>
        <w:rPr>
          <w:szCs w:val="20"/>
        </w:rPr>
      </w:pPr>
      <w:r w:rsidRPr="00881795">
        <w:rPr>
          <w:szCs w:val="20"/>
        </w:rPr>
        <w:t>Non-compliance with the Fire Services Protection Act (not sufficient staff, not sufficient fire tenders)</w:t>
      </w:r>
    </w:p>
    <w:p w14:paraId="087361D4" w14:textId="77777777" w:rsidR="000C68E5" w:rsidRPr="00881795" w:rsidRDefault="000C68E5" w:rsidP="00E31338">
      <w:pPr>
        <w:pStyle w:val="ListParagraph"/>
        <w:numPr>
          <w:ilvl w:val="0"/>
          <w:numId w:val="1"/>
        </w:numPr>
        <w:spacing w:line="288" w:lineRule="auto"/>
        <w:jc w:val="both"/>
        <w:rPr>
          <w:szCs w:val="20"/>
        </w:rPr>
      </w:pPr>
      <w:r w:rsidRPr="00881795">
        <w:rPr>
          <w:szCs w:val="20"/>
        </w:rPr>
        <w:t>Lack of adequate office space at the Eshowe Testing Station</w:t>
      </w:r>
    </w:p>
    <w:p w14:paraId="4D7CAC0D" w14:textId="77777777" w:rsidR="000C68E5" w:rsidRPr="00881795" w:rsidRDefault="000C68E5" w:rsidP="00E31338">
      <w:pPr>
        <w:pStyle w:val="ListParagraph"/>
        <w:numPr>
          <w:ilvl w:val="0"/>
          <w:numId w:val="1"/>
        </w:numPr>
        <w:spacing w:line="288" w:lineRule="auto"/>
        <w:jc w:val="both"/>
        <w:rPr>
          <w:szCs w:val="20"/>
        </w:rPr>
      </w:pPr>
      <w:r w:rsidRPr="00881795">
        <w:rPr>
          <w:szCs w:val="20"/>
        </w:rPr>
        <w:t>Insufficient security at municipal buildings</w:t>
      </w:r>
    </w:p>
    <w:p w14:paraId="42E144BE" w14:textId="77777777" w:rsidR="000C68E5" w:rsidRDefault="000C68E5" w:rsidP="00E31338">
      <w:pPr>
        <w:pStyle w:val="ListParagraph"/>
        <w:numPr>
          <w:ilvl w:val="0"/>
          <w:numId w:val="1"/>
        </w:numPr>
        <w:spacing w:line="288" w:lineRule="auto"/>
        <w:jc w:val="both"/>
        <w:rPr>
          <w:szCs w:val="20"/>
        </w:rPr>
      </w:pPr>
      <w:r w:rsidRPr="00881795">
        <w:rPr>
          <w:szCs w:val="20"/>
        </w:rPr>
        <w:t>Some Departments lack up-to-date computer equipment and software</w:t>
      </w:r>
    </w:p>
    <w:p w14:paraId="5716F494" w14:textId="77777777" w:rsidR="0037082E" w:rsidRPr="0043515F" w:rsidRDefault="0037082E" w:rsidP="00750180">
      <w:pPr>
        <w:pStyle w:val="Heading2"/>
        <w:numPr>
          <w:ilvl w:val="1"/>
          <w:numId w:val="29"/>
        </w:numPr>
      </w:pPr>
      <w:bookmarkStart w:id="261" w:name="_Toc389739859"/>
      <w:bookmarkStart w:id="262" w:name="_Toc510706618"/>
      <w:r w:rsidRPr="0043515F">
        <w:t>SERVICE DELIVERY &amp; INFRASTRUCTURE ANALYSIS</w:t>
      </w:r>
      <w:bookmarkEnd w:id="261"/>
      <w:bookmarkEnd w:id="262"/>
    </w:p>
    <w:p w14:paraId="26B1BD84" w14:textId="77777777" w:rsidR="0037082E" w:rsidRPr="00AC3959" w:rsidRDefault="00407352" w:rsidP="00750180">
      <w:pPr>
        <w:pStyle w:val="Heading3"/>
        <w:numPr>
          <w:ilvl w:val="2"/>
          <w:numId w:val="29"/>
        </w:numPr>
        <w:spacing w:after="240"/>
        <w:rPr>
          <w:sz w:val="22"/>
        </w:rPr>
      </w:pPr>
      <w:bookmarkStart w:id="263" w:name="_Toc389739860"/>
      <w:bookmarkStart w:id="264" w:name="_Toc510706619"/>
      <w:r w:rsidRPr="00881795">
        <w:t>Water &amp; Sanitation</w:t>
      </w:r>
      <w:bookmarkEnd w:id="263"/>
      <w:bookmarkEnd w:id="264"/>
      <w:r w:rsidR="00C6411B">
        <w:t xml:space="preserve"> </w:t>
      </w:r>
    </w:p>
    <w:p w14:paraId="0BC02C13" w14:textId="77777777" w:rsidR="00755976" w:rsidRDefault="00755976" w:rsidP="00755976">
      <w:pPr>
        <w:jc w:val="both"/>
      </w:pPr>
      <w:r w:rsidRPr="00755976">
        <w:rPr>
          <w:rFonts w:cs="Calibri"/>
          <w:color w:val="000000" w:themeColor="text1"/>
        </w:rPr>
        <w:t xml:space="preserve">King Cetshwayo </w:t>
      </w:r>
      <w:r w:rsidR="003C03FA">
        <w:rPr>
          <w:rFonts w:cs="Calibri"/>
          <w:color w:val="000000" w:themeColor="text1"/>
        </w:rPr>
        <w:t>District</w:t>
      </w:r>
      <w:r w:rsidRPr="00755976">
        <w:rPr>
          <w:rFonts w:cs="Calibri"/>
          <w:color w:val="000000" w:themeColor="text1"/>
        </w:rPr>
        <w:t xml:space="preserve"> Municipality, in terms of the Water Services Act, is the Water Services Authority in respect of its area of jurisdiction, apart from the City of uMhlathuze.</w:t>
      </w:r>
      <w:r w:rsidR="0062492D">
        <w:rPr>
          <w:rFonts w:cs="Calibri"/>
          <w:color w:val="000000" w:themeColor="text1"/>
        </w:rPr>
        <w:t xml:space="preserve"> </w:t>
      </w:r>
      <w:r w:rsidRPr="00755976">
        <w:rPr>
          <w:rFonts w:cs="Calibri"/>
          <w:color w:val="000000" w:themeColor="text1"/>
        </w:rPr>
        <w:t xml:space="preserve">The WSA has a duty to all consumers, or potential consumers, in its area of jurisdiction to progressively ensure efficient, affordable, economical and sustainable access to water supply and sanitation (collectively referred to as water services). As a WSA, King Cetshwayo </w:t>
      </w:r>
      <w:r w:rsidR="003C03FA">
        <w:rPr>
          <w:rFonts w:cs="Calibri"/>
          <w:color w:val="000000" w:themeColor="text1"/>
        </w:rPr>
        <w:t>District</w:t>
      </w:r>
      <w:r w:rsidRPr="00755976">
        <w:rPr>
          <w:rFonts w:cs="Calibri"/>
          <w:color w:val="000000" w:themeColor="text1"/>
        </w:rPr>
        <w:t xml:space="preserve"> Municipality focuses on water services and on providing at least a basic level of service to consumers in its area of jurisdiction.</w:t>
      </w:r>
    </w:p>
    <w:p w14:paraId="66679471" w14:textId="77777777" w:rsidR="001D0ED5" w:rsidRPr="001D0ED5" w:rsidRDefault="00407352" w:rsidP="00750180">
      <w:pPr>
        <w:pStyle w:val="Heading4"/>
        <w:numPr>
          <w:ilvl w:val="3"/>
          <w:numId w:val="29"/>
        </w:numPr>
        <w:spacing w:after="240"/>
      </w:pPr>
      <w:bookmarkStart w:id="265" w:name="_Toc389739861"/>
      <w:r w:rsidRPr="00AC3959">
        <w:t>Water</w:t>
      </w:r>
      <w:bookmarkEnd w:id="265"/>
    </w:p>
    <w:p w14:paraId="2EB68E17" w14:textId="77777777" w:rsidR="00755976" w:rsidRPr="00755976" w:rsidRDefault="00755976" w:rsidP="00755976">
      <w:pPr>
        <w:jc w:val="both"/>
        <w:rPr>
          <w:rFonts w:cs="Calibri"/>
          <w:color w:val="000000" w:themeColor="text1"/>
        </w:rPr>
      </w:pPr>
      <w:r w:rsidRPr="00755976">
        <w:rPr>
          <w:rFonts w:cs="Calibri"/>
          <w:color w:val="000000" w:themeColor="text1"/>
        </w:rPr>
        <w:t xml:space="preserve">King Cetshwayo </w:t>
      </w:r>
      <w:r w:rsidR="003C03FA">
        <w:rPr>
          <w:rFonts w:cs="Calibri"/>
          <w:color w:val="000000" w:themeColor="text1"/>
        </w:rPr>
        <w:t>District</w:t>
      </w:r>
      <w:r w:rsidRPr="00755976">
        <w:rPr>
          <w:rFonts w:cs="Calibri"/>
          <w:color w:val="000000" w:themeColor="text1"/>
        </w:rPr>
        <w:t xml:space="preserve"> Municipality as WSA has a number of initiatives underway, notably:</w:t>
      </w:r>
    </w:p>
    <w:p w14:paraId="2C75D66F" w14:textId="77777777" w:rsidR="00755976" w:rsidRPr="00755976" w:rsidRDefault="00755976" w:rsidP="00750180">
      <w:pPr>
        <w:pStyle w:val="ListParagraph"/>
        <w:numPr>
          <w:ilvl w:val="0"/>
          <w:numId w:val="70"/>
        </w:numPr>
        <w:rPr>
          <w:rFonts w:cs="Calibri"/>
          <w:color w:val="000000" w:themeColor="text1"/>
        </w:rPr>
      </w:pPr>
      <w:r w:rsidRPr="00755976">
        <w:rPr>
          <w:rFonts w:cs="Calibri"/>
          <w:color w:val="000000" w:themeColor="text1"/>
        </w:rPr>
        <w:t>Water loss management strategy</w:t>
      </w:r>
    </w:p>
    <w:p w14:paraId="3FB01E24" w14:textId="77777777" w:rsidR="00755976" w:rsidRPr="00755976" w:rsidRDefault="00755976" w:rsidP="00750180">
      <w:pPr>
        <w:pStyle w:val="ListParagraph"/>
        <w:numPr>
          <w:ilvl w:val="0"/>
          <w:numId w:val="70"/>
        </w:numPr>
        <w:rPr>
          <w:rFonts w:cs="Calibri"/>
          <w:color w:val="000000" w:themeColor="text1"/>
        </w:rPr>
      </w:pPr>
      <w:r w:rsidRPr="00755976">
        <w:rPr>
          <w:rFonts w:cs="Calibri"/>
          <w:color w:val="000000" w:themeColor="text1"/>
        </w:rPr>
        <w:t>Water meter installation</w:t>
      </w:r>
    </w:p>
    <w:p w14:paraId="62811F4C" w14:textId="77777777" w:rsidR="00755976" w:rsidRDefault="00755976" w:rsidP="00750180">
      <w:pPr>
        <w:pStyle w:val="ListParagraph"/>
        <w:numPr>
          <w:ilvl w:val="0"/>
          <w:numId w:val="70"/>
        </w:numPr>
        <w:rPr>
          <w:rFonts w:cs="Calibri"/>
          <w:color w:val="000000" w:themeColor="text1"/>
        </w:rPr>
      </w:pPr>
      <w:r w:rsidRPr="00755976">
        <w:rPr>
          <w:rFonts w:cs="Calibri"/>
          <w:color w:val="000000" w:themeColor="text1"/>
        </w:rPr>
        <w:t>Water quality improvement interventions</w:t>
      </w:r>
    </w:p>
    <w:p w14:paraId="0E9A86BF" w14:textId="77777777" w:rsidR="00E449C1" w:rsidRDefault="00F569D2" w:rsidP="00845866">
      <w:pPr>
        <w:jc w:val="both"/>
        <w:rPr>
          <w:rFonts w:cs="Calibri"/>
          <w:color w:val="000000" w:themeColor="text1"/>
        </w:rPr>
      </w:pPr>
      <w:r w:rsidRPr="00F569D2">
        <w:rPr>
          <w:rFonts w:cs="Calibri"/>
          <w:color w:val="000000" w:themeColor="text1"/>
        </w:rPr>
        <w:t xml:space="preserve">When WSDP was going under review, WSD introduced a work based WSDP which resulted in change of scope for the appointed consultant and started with this work based WSDP. The scope of the work based WSDP was broad which resulted in it being done in phases since it exceeded the appointment of the consultant. Phase 1 &amp; 2 of the work based WSDP was completed in April 2016 and Technical services is still doing the planning for phase 3 which will be implemented in 2017/18. </w:t>
      </w:r>
      <w:r w:rsidR="00755976" w:rsidRPr="00755976">
        <w:rPr>
          <w:rFonts w:cs="Calibri"/>
          <w:color w:val="000000" w:themeColor="text1"/>
        </w:rPr>
        <w:t>The Water Services Development Plan (WSDP) is an important tool in achieving set objectives and feeds information into the Integrated Development Plan (IDP).</w:t>
      </w:r>
    </w:p>
    <w:p w14:paraId="59300296" w14:textId="77777777" w:rsidR="00B67486" w:rsidRDefault="00755976" w:rsidP="00845866">
      <w:pPr>
        <w:jc w:val="both"/>
        <w:rPr>
          <w:rFonts w:cs="Calibri"/>
          <w:color w:val="000000" w:themeColor="text1"/>
        </w:rPr>
      </w:pPr>
      <w:r>
        <w:rPr>
          <w:rFonts w:cs="Calibri"/>
          <w:color w:val="000000" w:themeColor="text1"/>
        </w:rPr>
        <w:t xml:space="preserve"> According to the 2016 Community Survey from </w:t>
      </w:r>
      <w:r w:rsidRPr="00AC3959">
        <w:rPr>
          <w:rFonts w:cs="Calibri"/>
          <w:color w:val="000000" w:themeColor="text1"/>
        </w:rPr>
        <w:t>StatsSA, uMlala</w:t>
      </w:r>
      <w:r w:rsidR="00BB1DFF" w:rsidRPr="00AC3959">
        <w:rPr>
          <w:rFonts w:cs="Calibri"/>
          <w:color w:val="000000" w:themeColor="text1"/>
        </w:rPr>
        <w:t>zi</w:t>
      </w:r>
      <w:r>
        <w:rPr>
          <w:rFonts w:cs="Calibri"/>
          <w:color w:val="000000" w:themeColor="text1"/>
        </w:rPr>
        <w:t xml:space="preserve"> Municipality has 7154 (15.2%) households with access to piped water within the dwelling, where 13 351 (28.4%) have access to piped water within the yard. It is concerning to note that almost 13% of households depend on streams and rivers as their main source of water supply. This has hazardous impacts on the health of the population and ultimately their economic productivity.</w:t>
      </w:r>
    </w:p>
    <w:tbl>
      <w:tblPr>
        <w:tblW w:w="4898" w:type="pct"/>
        <w:tblLook w:val="04A0" w:firstRow="1" w:lastRow="0" w:firstColumn="1" w:lastColumn="0" w:noHBand="0" w:noVBand="1"/>
      </w:tblPr>
      <w:tblGrid>
        <w:gridCol w:w="1630"/>
        <w:gridCol w:w="3685"/>
        <w:gridCol w:w="1509"/>
        <w:gridCol w:w="2609"/>
      </w:tblGrid>
      <w:tr w:rsidR="00755976" w:rsidRPr="00755976" w14:paraId="63D51099" w14:textId="77777777" w:rsidTr="00F65645">
        <w:trPr>
          <w:trHeight w:val="263"/>
          <w:tblHeader/>
        </w:trPr>
        <w:tc>
          <w:tcPr>
            <w:tcW w:w="864" w:type="pct"/>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21E00CFC" w14:textId="77777777" w:rsidR="00755976" w:rsidRPr="00755976" w:rsidRDefault="00755976" w:rsidP="00755976">
            <w:pPr>
              <w:spacing w:after="0" w:line="240" w:lineRule="auto"/>
              <w:jc w:val="center"/>
              <w:rPr>
                <w:rFonts w:cs="Calibri"/>
                <w:b/>
                <w:color w:val="FFFFFF" w:themeColor="background1"/>
              </w:rPr>
            </w:pPr>
            <w:r w:rsidRPr="00755976">
              <w:rPr>
                <w:rFonts w:cs="Calibri"/>
                <w:b/>
                <w:color w:val="FFFFFF" w:themeColor="background1"/>
              </w:rPr>
              <w:t>INDICATOR</w:t>
            </w:r>
          </w:p>
        </w:tc>
        <w:tc>
          <w:tcPr>
            <w:tcW w:w="1953" w:type="pct"/>
            <w:tcBorders>
              <w:top w:val="single" w:sz="4" w:space="0" w:color="auto"/>
              <w:left w:val="nil"/>
              <w:bottom w:val="single" w:sz="4" w:space="0" w:color="auto"/>
              <w:right w:val="single" w:sz="4" w:space="0" w:color="auto"/>
            </w:tcBorders>
            <w:shd w:val="clear" w:color="auto" w:fill="000000" w:themeFill="text1"/>
            <w:noWrap/>
            <w:vAlign w:val="bottom"/>
          </w:tcPr>
          <w:p w14:paraId="2B5EE6E1" w14:textId="77777777" w:rsidR="00755976" w:rsidRPr="00755976" w:rsidRDefault="00755976" w:rsidP="00755976">
            <w:pPr>
              <w:spacing w:after="0" w:line="240" w:lineRule="auto"/>
              <w:jc w:val="center"/>
              <w:rPr>
                <w:rFonts w:cs="Calibri"/>
                <w:b/>
                <w:color w:val="FFFFFF" w:themeColor="background1"/>
              </w:rPr>
            </w:pPr>
            <w:r w:rsidRPr="00755976">
              <w:rPr>
                <w:rFonts w:cs="Calibri"/>
                <w:b/>
                <w:color w:val="FFFFFF" w:themeColor="background1"/>
              </w:rPr>
              <w:t>TYPE</w:t>
            </w:r>
          </w:p>
        </w:tc>
        <w:tc>
          <w:tcPr>
            <w:tcW w:w="800" w:type="pct"/>
            <w:tcBorders>
              <w:top w:val="single" w:sz="4" w:space="0" w:color="auto"/>
              <w:left w:val="nil"/>
              <w:bottom w:val="single" w:sz="4" w:space="0" w:color="auto"/>
              <w:right w:val="single" w:sz="4" w:space="0" w:color="auto"/>
            </w:tcBorders>
            <w:shd w:val="clear" w:color="auto" w:fill="000000" w:themeFill="text1"/>
            <w:noWrap/>
            <w:vAlign w:val="bottom"/>
          </w:tcPr>
          <w:p w14:paraId="72CC1C94" w14:textId="77777777" w:rsidR="00755976" w:rsidRPr="00755976" w:rsidRDefault="00755976" w:rsidP="00755976">
            <w:pPr>
              <w:spacing w:after="0" w:line="240" w:lineRule="auto"/>
              <w:jc w:val="center"/>
              <w:rPr>
                <w:rFonts w:cs="Calibri"/>
                <w:b/>
                <w:color w:val="FFFFFF" w:themeColor="background1"/>
              </w:rPr>
            </w:pPr>
            <w:r w:rsidRPr="00755976">
              <w:rPr>
                <w:rFonts w:cs="Calibri"/>
                <w:b/>
                <w:color w:val="FFFFFF" w:themeColor="background1"/>
              </w:rPr>
              <w:t>NUMBER</w:t>
            </w:r>
          </w:p>
        </w:tc>
        <w:tc>
          <w:tcPr>
            <w:tcW w:w="1383" w:type="pct"/>
            <w:tcBorders>
              <w:top w:val="single" w:sz="4" w:space="0" w:color="auto"/>
              <w:left w:val="nil"/>
              <w:bottom w:val="single" w:sz="4" w:space="0" w:color="auto"/>
              <w:right w:val="single" w:sz="4" w:space="0" w:color="auto"/>
            </w:tcBorders>
            <w:shd w:val="clear" w:color="auto" w:fill="000000" w:themeFill="text1"/>
            <w:noWrap/>
            <w:vAlign w:val="bottom"/>
          </w:tcPr>
          <w:p w14:paraId="1B71479D" w14:textId="77777777" w:rsidR="00755976" w:rsidRPr="00755976" w:rsidRDefault="00755976" w:rsidP="00755976">
            <w:pPr>
              <w:spacing w:after="0" w:line="240" w:lineRule="auto"/>
              <w:jc w:val="center"/>
              <w:rPr>
                <w:rFonts w:cs="Calibri"/>
                <w:b/>
                <w:color w:val="FFFFFF" w:themeColor="background1"/>
              </w:rPr>
            </w:pPr>
            <w:r w:rsidRPr="00755976">
              <w:rPr>
                <w:rFonts w:cs="Calibri"/>
                <w:b/>
                <w:color w:val="FFFFFF" w:themeColor="background1"/>
              </w:rPr>
              <w:t>PERCENTAGE</w:t>
            </w:r>
          </w:p>
        </w:tc>
      </w:tr>
      <w:tr w:rsidR="00755976" w:rsidRPr="00755976" w14:paraId="050D5B54" w14:textId="77777777" w:rsidTr="00E449C1">
        <w:trPr>
          <w:trHeight w:val="263"/>
        </w:trPr>
        <w:tc>
          <w:tcPr>
            <w:tcW w:w="8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EAB11E" w14:textId="77777777" w:rsidR="00755976" w:rsidRPr="00755976" w:rsidRDefault="00755976" w:rsidP="00755976">
            <w:pPr>
              <w:spacing w:after="0" w:line="240" w:lineRule="auto"/>
              <w:rPr>
                <w:rFonts w:cs="Calibri"/>
                <w:color w:val="000000" w:themeColor="text1"/>
              </w:rPr>
            </w:pPr>
            <w:bookmarkStart w:id="266" w:name="_Toc389739862"/>
            <w:r w:rsidRPr="00755976">
              <w:rPr>
                <w:rFonts w:cs="Calibri"/>
                <w:color w:val="000000" w:themeColor="text1"/>
              </w:rPr>
              <w:t>Main source of drinking water</w:t>
            </w:r>
          </w:p>
        </w:tc>
        <w:tc>
          <w:tcPr>
            <w:tcW w:w="1953" w:type="pct"/>
            <w:tcBorders>
              <w:top w:val="single" w:sz="4" w:space="0" w:color="auto"/>
              <w:left w:val="nil"/>
              <w:bottom w:val="single" w:sz="4" w:space="0" w:color="auto"/>
              <w:right w:val="single" w:sz="4" w:space="0" w:color="auto"/>
            </w:tcBorders>
            <w:shd w:val="clear" w:color="auto" w:fill="auto"/>
            <w:noWrap/>
            <w:vAlign w:val="bottom"/>
            <w:hideMark/>
          </w:tcPr>
          <w:p w14:paraId="6999CF8C" w14:textId="77777777" w:rsidR="00755976" w:rsidRPr="00755976" w:rsidRDefault="00755976" w:rsidP="00755976">
            <w:pPr>
              <w:spacing w:after="0" w:line="240" w:lineRule="auto"/>
              <w:rPr>
                <w:rFonts w:cs="Calibri"/>
                <w:color w:val="000000" w:themeColor="text1"/>
              </w:rPr>
            </w:pPr>
            <w:r w:rsidRPr="00755976">
              <w:rPr>
                <w:rFonts w:cs="Calibri"/>
                <w:color w:val="000000" w:themeColor="text1"/>
              </w:rPr>
              <w:t>Piped (tap) water inside dwelling</w:t>
            </w:r>
          </w:p>
        </w:tc>
        <w:tc>
          <w:tcPr>
            <w:tcW w:w="800" w:type="pct"/>
            <w:tcBorders>
              <w:top w:val="single" w:sz="4" w:space="0" w:color="auto"/>
              <w:left w:val="nil"/>
              <w:bottom w:val="single" w:sz="4" w:space="0" w:color="auto"/>
              <w:right w:val="single" w:sz="4" w:space="0" w:color="auto"/>
            </w:tcBorders>
            <w:shd w:val="clear" w:color="auto" w:fill="auto"/>
            <w:noWrap/>
            <w:vAlign w:val="bottom"/>
            <w:hideMark/>
          </w:tcPr>
          <w:p w14:paraId="4CBC0D3E" w14:textId="77777777" w:rsidR="00755976" w:rsidRPr="00755976" w:rsidRDefault="00755976" w:rsidP="00755976">
            <w:pPr>
              <w:spacing w:after="0" w:line="240" w:lineRule="auto"/>
              <w:jc w:val="center"/>
              <w:rPr>
                <w:rFonts w:cs="Calibri"/>
                <w:color w:val="000000" w:themeColor="text1"/>
              </w:rPr>
            </w:pPr>
            <w:r w:rsidRPr="00755976">
              <w:rPr>
                <w:rFonts w:cs="Calibri"/>
                <w:color w:val="000000" w:themeColor="text1"/>
              </w:rPr>
              <w:t>7 154</w:t>
            </w:r>
          </w:p>
        </w:tc>
        <w:tc>
          <w:tcPr>
            <w:tcW w:w="1383" w:type="pct"/>
            <w:tcBorders>
              <w:top w:val="single" w:sz="4" w:space="0" w:color="auto"/>
              <w:left w:val="nil"/>
              <w:bottom w:val="single" w:sz="4" w:space="0" w:color="auto"/>
              <w:right w:val="single" w:sz="4" w:space="0" w:color="auto"/>
            </w:tcBorders>
            <w:shd w:val="clear" w:color="auto" w:fill="auto"/>
            <w:noWrap/>
            <w:vAlign w:val="bottom"/>
            <w:hideMark/>
          </w:tcPr>
          <w:p w14:paraId="6554E621" w14:textId="77777777" w:rsidR="00755976" w:rsidRPr="00755976" w:rsidRDefault="00755976" w:rsidP="00755976">
            <w:pPr>
              <w:spacing w:after="0" w:line="240" w:lineRule="auto"/>
              <w:jc w:val="center"/>
              <w:rPr>
                <w:rFonts w:cs="Calibri"/>
                <w:color w:val="000000" w:themeColor="text1"/>
              </w:rPr>
            </w:pPr>
            <w:r w:rsidRPr="00755976">
              <w:rPr>
                <w:rFonts w:cs="Calibri"/>
                <w:color w:val="000000" w:themeColor="text1"/>
              </w:rPr>
              <w:t>15,2%</w:t>
            </w:r>
          </w:p>
        </w:tc>
      </w:tr>
      <w:tr w:rsidR="00755976" w:rsidRPr="00755976" w14:paraId="510E5229" w14:textId="77777777" w:rsidTr="00E449C1">
        <w:trPr>
          <w:trHeight w:val="263"/>
        </w:trPr>
        <w:tc>
          <w:tcPr>
            <w:tcW w:w="864" w:type="pct"/>
            <w:vMerge/>
            <w:tcBorders>
              <w:top w:val="single" w:sz="4" w:space="0" w:color="auto"/>
              <w:left w:val="single" w:sz="4" w:space="0" w:color="auto"/>
              <w:bottom w:val="single" w:sz="4" w:space="0" w:color="auto"/>
              <w:right w:val="single" w:sz="4" w:space="0" w:color="auto"/>
            </w:tcBorders>
            <w:vAlign w:val="center"/>
            <w:hideMark/>
          </w:tcPr>
          <w:p w14:paraId="6C756919" w14:textId="77777777" w:rsidR="00755976" w:rsidRPr="00755976" w:rsidRDefault="00755976" w:rsidP="00755976">
            <w:pPr>
              <w:spacing w:after="0" w:line="240" w:lineRule="auto"/>
              <w:rPr>
                <w:rFonts w:cs="Calibri"/>
                <w:color w:val="000000" w:themeColor="text1"/>
              </w:rPr>
            </w:pPr>
          </w:p>
        </w:tc>
        <w:tc>
          <w:tcPr>
            <w:tcW w:w="1953" w:type="pct"/>
            <w:tcBorders>
              <w:top w:val="nil"/>
              <w:left w:val="nil"/>
              <w:bottom w:val="single" w:sz="4" w:space="0" w:color="auto"/>
              <w:right w:val="single" w:sz="4" w:space="0" w:color="auto"/>
            </w:tcBorders>
            <w:shd w:val="clear" w:color="auto" w:fill="auto"/>
            <w:noWrap/>
            <w:vAlign w:val="bottom"/>
            <w:hideMark/>
          </w:tcPr>
          <w:p w14:paraId="6F4DDE23" w14:textId="77777777" w:rsidR="00755976" w:rsidRPr="00755976" w:rsidRDefault="00755976" w:rsidP="00755976">
            <w:pPr>
              <w:spacing w:after="0" w:line="240" w:lineRule="auto"/>
              <w:rPr>
                <w:rFonts w:cs="Calibri"/>
                <w:color w:val="000000" w:themeColor="text1"/>
              </w:rPr>
            </w:pPr>
            <w:r w:rsidRPr="00755976">
              <w:rPr>
                <w:rFonts w:cs="Calibri"/>
                <w:color w:val="000000" w:themeColor="text1"/>
              </w:rPr>
              <w:t>Piped (tap) water inside yard</w:t>
            </w:r>
          </w:p>
        </w:tc>
        <w:tc>
          <w:tcPr>
            <w:tcW w:w="800" w:type="pct"/>
            <w:tcBorders>
              <w:top w:val="nil"/>
              <w:left w:val="nil"/>
              <w:bottom w:val="single" w:sz="4" w:space="0" w:color="auto"/>
              <w:right w:val="single" w:sz="4" w:space="0" w:color="auto"/>
            </w:tcBorders>
            <w:shd w:val="clear" w:color="auto" w:fill="auto"/>
            <w:noWrap/>
            <w:vAlign w:val="bottom"/>
            <w:hideMark/>
          </w:tcPr>
          <w:p w14:paraId="194FE0E0" w14:textId="77777777" w:rsidR="00755976" w:rsidRPr="00755976" w:rsidRDefault="00755976" w:rsidP="00755976">
            <w:pPr>
              <w:spacing w:after="0" w:line="240" w:lineRule="auto"/>
              <w:jc w:val="center"/>
              <w:rPr>
                <w:rFonts w:cs="Calibri"/>
                <w:color w:val="000000" w:themeColor="text1"/>
              </w:rPr>
            </w:pPr>
            <w:r w:rsidRPr="00755976">
              <w:rPr>
                <w:rFonts w:cs="Calibri"/>
                <w:color w:val="000000" w:themeColor="text1"/>
              </w:rPr>
              <w:t>13 351</w:t>
            </w:r>
          </w:p>
        </w:tc>
        <w:tc>
          <w:tcPr>
            <w:tcW w:w="1383" w:type="pct"/>
            <w:tcBorders>
              <w:top w:val="nil"/>
              <w:left w:val="nil"/>
              <w:bottom w:val="single" w:sz="4" w:space="0" w:color="auto"/>
              <w:right w:val="single" w:sz="4" w:space="0" w:color="auto"/>
            </w:tcBorders>
            <w:shd w:val="clear" w:color="auto" w:fill="auto"/>
            <w:noWrap/>
            <w:vAlign w:val="bottom"/>
            <w:hideMark/>
          </w:tcPr>
          <w:p w14:paraId="2872A41A" w14:textId="77777777" w:rsidR="00755976" w:rsidRPr="00755976" w:rsidRDefault="00755976" w:rsidP="00755976">
            <w:pPr>
              <w:spacing w:after="0" w:line="240" w:lineRule="auto"/>
              <w:jc w:val="center"/>
              <w:rPr>
                <w:rFonts w:cs="Calibri"/>
                <w:color w:val="000000" w:themeColor="text1"/>
              </w:rPr>
            </w:pPr>
            <w:r w:rsidRPr="00755976">
              <w:rPr>
                <w:rFonts w:cs="Calibri"/>
                <w:color w:val="000000" w:themeColor="text1"/>
              </w:rPr>
              <w:t>28,4%</w:t>
            </w:r>
          </w:p>
        </w:tc>
      </w:tr>
      <w:tr w:rsidR="00755976" w:rsidRPr="00755976" w14:paraId="5368BFFD" w14:textId="77777777" w:rsidTr="00E449C1">
        <w:trPr>
          <w:trHeight w:val="263"/>
        </w:trPr>
        <w:tc>
          <w:tcPr>
            <w:tcW w:w="864" w:type="pct"/>
            <w:vMerge/>
            <w:tcBorders>
              <w:top w:val="single" w:sz="4" w:space="0" w:color="auto"/>
              <w:left w:val="single" w:sz="4" w:space="0" w:color="auto"/>
              <w:bottom w:val="single" w:sz="4" w:space="0" w:color="auto"/>
              <w:right w:val="single" w:sz="4" w:space="0" w:color="auto"/>
            </w:tcBorders>
            <w:vAlign w:val="center"/>
            <w:hideMark/>
          </w:tcPr>
          <w:p w14:paraId="2D72CB22" w14:textId="77777777" w:rsidR="00755976" w:rsidRPr="00755976" w:rsidRDefault="00755976" w:rsidP="00755976">
            <w:pPr>
              <w:spacing w:after="0" w:line="240" w:lineRule="auto"/>
              <w:rPr>
                <w:rFonts w:cs="Calibri"/>
                <w:color w:val="000000" w:themeColor="text1"/>
              </w:rPr>
            </w:pPr>
          </w:p>
        </w:tc>
        <w:tc>
          <w:tcPr>
            <w:tcW w:w="1953" w:type="pct"/>
            <w:tcBorders>
              <w:top w:val="nil"/>
              <w:left w:val="nil"/>
              <w:bottom w:val="single" w:sz="4" w:space="0" w:color="auto"/>
              <w:right w:val="single" w:sz="4" w:space="0" w:color="auto"/>
            </w:tcBorders>
            <w:shd w:val="clear" w:color="auto" w:fill="auto"/>
            <w:noWrap/>
            <w:vAlign w:val="bottom"/>
            <w:hideMark/>
          </w:tcPr>
          <w:p w14:paraId="27E7A1D5" w14:textId="77777777" w:rsidR="00755976" w:rsidRPr="00755976" w:rsidRDefault="00755976" w:rsidP="00755976">
            <w:pPr>
              <w:spacing w:after="0" w:line="240" w:lineRule="auto"/>
              <w:rPr>
                <w:rFonts w:cs="Calibri"/>
                <w:color w:val="000000" w:themeColor="text1"/>
              </w:rPr>
            </w:pPr>
            <w:r w:rsidRPr="00755976">
              <w:rPr>
                <w:rFonts w:cs="Calibri"/>
                <w:color w:val="000000" w:themeColor="text1"/>
              </w:rPr>
              <w:t>Piped water on communal stand</w:t>
            </w:r>
          </w:p>
        </w:tc>
        <w:tc>
          <w:tcPr>
            <w:tcW w:w="800" w:type="pct"/>
            <w:tcBorders>
              <w:top w:val="nil"/>
              <w:left w:val="nil"/>
              <w:bottom w:val="single" w:sz="4" w:space="0" w:color="auto"/>
              <w:right w:val="single" w:sz="4" w:space="0" w:color="auto"/>
            </w:tcBorders>
            <w:shd w:val="clear" w:color="auto" w:fill="auto"/>
            <w:noWrap/>
            <w:vAlign w:val="bottom"/>
            <w:hideMark/>
          </w:tcPr>
          <w:p w14:paraId="7C3830FB" w14:textId="77777777" w:rsidR="00755976" w:rsidRPr="00755976" w:rsidRDefault="00755976" w:rsidP="00755976">
            <w:pPr>
              <w:spacing w:after="0" w:line="240" w:lineRule="auto"/>
              <w:jc w:val="center"/>
              <w:rPr>
                <w:rFonts w:cs="Calibri"/>
                <w:color w:val="000000" w:themeColor="text1"/>
              </w:rPr>
            </w:pPr>
            <w:r w:rsidRPr="00755976">
              <w:rPr>
                <w:rFonts w:cs="Calibri"/>
                <w:color w:val="000000" w:themeColor="text1"/>
              </w:rPr>
              <w:t>8 244</w:t>
            </w:r>
          </w:p>
        </w:tc>
        <w:tc>
          <w:tcPr>
            <w:tcW w:w="1383" w:type="pct"/>
            <w:tcBorders>
              <w:top w:val="nil"/>
              <w:left w:val="nil"/>
              <w:bottom w:val="single" w:sz="4" w:space="0" w:color="auto"/>
              <w:right w:val="single" w:sz="4" w:space="0" w:color="auto"/>
            </w:tcBorders>
            <w:shd w:val="clear" w:color="auto" w:fill="auto"/>
            <w:noWrap/>
            <w:vAlign w:val="bottom"/>
            <w:hideMark/>
          </w:tcPr>
          <w:p w14:paraId="12BC0DC3" w14:textId="77777777" w:rsidR="00755976" w:rsidRPr="00755976" w:rsidRDefault="00755976" w:rsidP="00755976">
            <w:pPr>
              <w:spacing w:after="0" w:line="240" w:lineRule="auto"/>
              <w:jc w:val="center"/>
              <w:rPr>
                <w:rFonts w:cs="Calibri"/>
                <w:color w:val="000000" w:themeColor="text1"/>
              </w:rPr>
            </w:pPr>
            <w:r w:rsidRPr="00755976">
              <w:rPr>
                <w:rFonts w:cs="Calibri"/>
                <w:color w:val="000000" w:themeColor="text1"/>
              </w:rPr>
              <w:t>17,6%</w:t>
            </w:r>
          </w:p>
        </w:tc>
      </w:tr>
      <w:tr w:rsidR="00755976" w:rsidRPr="00755976" w14:paraId="792DF193" w14:textId="77777777" w:rsidTr="00E449C1">
        <w:trPr>
          <w:trHeight w:val="263"/>
        </w:trPr>
        <w:tc>
          <w:tcPr>
            <w:tcW w:w="864" w:type="pct"/>
            <w:vMerge/>
            <w:tcBorders>
              <w:top w:val="single" w:sz="4" w:space="0" w:color="auto"/>
              <w:left w:val="single" w:sz="4" w:space="0" w:color="auto"/>
              <w:bottom w:val="single" w:sz="4" w:space="0" w:color="auto"/>
              <w:right w:val="single" w:sz="4" w:space="0" w:color="auto"/>
            </w:tcBorders>
            <w:vAlign w:val="center"/>
            <w:hideMark/>
          </w:tcPr>
          <w:p w14:paraId="749A380E" w14:textId="77777777" w:rsidR="00755976" w:rsidRPr="00755976" w:rsidRDefault="00755976" w:rsidP="00755976">
            <w:pPr>
              <w:spacing w:after="0" w:line="240" w:lineRule="auto"/>
              <w:rPr>
                <w:rFonts w:cs="Calibri"/>
                <w:color w:val="000000" w:themeColor="text1"/>
              </w:rPr>
            </w:pPr>
          </w:p>
        </w:tc>
        <w:tc>
          <w:tcPr>
            <w:tcW w:w="1953" w:type="pct"/>
            <w:tcBorders>
              <w:top w:val="nil"/>
              <w:left w:val="nil"/>
              <w:bottom w:val="single" w:sz="4" w:space="0" w:color="auto"/>
              <w:right w:val="single" w:sz="4" w:space="0" w:color="auto"/>
            </w:tcBorders>
            <w:shd w:val="clear" w:color="auto" w:fill="auto"/>
            <w:noWrap/>
            <w:vAlign w:val="bottom"/>
            <w:hideMark/>
          </w:tcPr>
          <w:p w14:paraId="5B65678C" w14:textId="77777777" w:rsidR="00755976" w:rsidRPr="00755976" w:rsidRDefault="00755976" w:rsidP="00755976">
            <w:pPr>
              <w:spacing w:after="0" w:line="240" w:lineRule="auto"/>
              <w:rPr>
                <w:rFonts w:cs="Calibri"/>
                <w:color w:val="000000" w:themeColor="text1"/>
              </w:rPr>
            </w:pPr>
            <w:r w:rsidRPr="00755976">
              <w:rPr>
                <w:rFonts w:cs="Calibri"/>
                <w:color w:val="000000" w:themeColor="text1"/>
              </w:rPr>
              <w:t>Borehole in yard</w:t>
            </w:r>
          </w:p>
        </w:tc>
        <w:tc>
          <w:tcPr>
            <w:tcW w:w="800" w:type="pct"/>
            <w:tcBorders>
              <w:top w:val="nil"/>
              <w:left w:val="nil"/>
              <w:bottom w:val="single" w:sz="4" w:space="0" w:color="auto"/>
              <w:right w:val="single" w:sz="4" w:space="0" w:color="auto"/>
            </w:tcBorders>
            <w:shd w:val="clear" w:color="auto" w:fill="auto"/>
            <w:noWrap/>
            <w:vAlign w:val="bottom"/>
            <w:hideMark/>
          </w:tcPr>
          <w:p w14:paraId="5C424671" w14:textId="77777777" w:rsidR="00755976" w:rsidRPr="00755976" w:rsidRDefault="00755976" w:rsidP="00755976">
            <w:pPr>
              <w:spacing w:after="0" w:line="240" w:lineRule="auto"/>
              <w:jc w:val="center"/>
              <w:rPr>
                <w:rFonts w:cs="Calibri"/>
                <w:color w:val="000000" w:themeColor="text1"/>
              </w:rPr>
            </w:pPr>
            <w:r w:rsidRPr="00755976">
              <w:rPr>
                <w:rFonts w:cs="Calibri"/>
                <w:color w:val="000000" w:themeColor="text1"/>
              </w:rPr>
              <w:t>308</w:t>
            </w:r>
          </w:p>
        </w:tc>
        <w:tc>
          <w:tcPr>
            <w:tcW w:w="1383" w:type="pct"/>
            <w:tcBorders>
              <w:top w:val="nil"/>
              <w:left w:val="nil"/>
              <w:bottom w:val="single" w:sz="4" w:space="0" w:color="auto"/>
              <w:right w:val="single" w:sz="4" w:space="0" w:color="auto"/>
            </w:tcBorders>
            <w:shd w:val="clear" w:color="auto" w:fill="auto"/>
            <w:noWrap/>
            <w:vAlign w:val="bottom"/>
            <w:hideMark/>
          </w:tcPr>
          <w:p w14:paraId="75953C0F" w14:textId="77777777" w:rsidR="00755976" w:rsidRPr="00755976" w:rsidRDefault="00755976" w:rsidP="00755976">
            <w:pPr>
              <w:spacing w:after="0" w:line="240" w:lineRule="auto"/>
              <w:jc w:val="center"/>
              <w:rPr>
                <w:rFonts w:cs="Calibri"/>
                <w:color w:val="000000" w:themeColor="text1"/>
              </w:rPr>
            </w:pPr>
            <w:r w:rsidRPr="00755976">
              <w:rPr>
                <w:rFonts w:cs="Calibri"/>
                <w:color w:val="000000" w:themeColor="text1"/>
              </w:rPr>
              <w:t>0,7%</w:t>
            </w:r>
          </w:p>
        </w:tc>
      </w:tr>
      <w:tr w:rsidR="00755976" w:rsidRPr="00755976" w14:paraId="3D3E00A2" w14:textId="77777777" w:rsidTr="00E449C1">
        <w:trPr>
          <w:trHeight w:val="263"/>
        </w:trPr>
        <w:tc>
          <w:tcPr>
            <w:tcW w:w="864" w:type="pct"/>
            <w:vMerge/>
            <w:tcBorders>
              <w:top w:val="single" w:sz="4" w:space="0" w:color="auto"/>
              <w:left w:val="single" w:sz="4" w:space="0" w:color="auto"/>
              <w:bottom w:val="single" w:sz="4" w:space="0" w:color="auto"/>
              <w:right w:val="single" w:sz="4" w:space="0" w:color="auto"/>
            </w:tcBorders>
            <w:vAlign w:val="center"/>
            <w:hideMark/>
          </w:tcPr>
          <w:p w14:paraId="7299846B" w14:textId="77777777" w:rsidR="00755976" w:rsidRPr="00755976" w:rsidRDefault="00755976" w:rsidP="00755976">
            <w:pPr>
              <w:spacing w:after="0" w:line="240" w:lineRule="auto"/>
              <w:rPr>
                <w:rFonts w:cs="Calibri"/>
                <w:color w:val="000000" w:themeColor="text1"/>
              </w:rPr>
            </w:pPr>
          </w:p>
        </w:tc>
        <w:tc>
          <w:tcPr>
            <w:tcW w:w="1953" w:type="pct"/>
            <w:tcBorders>
              <w:top w:val="nil"/>
              <w:left w:val="nil"/>
              <w:bottom w:val="single" w:sz="4" w:space="0" w:color="auto"/>
              <w:right w:val="single" w:sz="4" w:space="0" w:color="auto"/>
            </w:tcBorders>
            <w:shd w:val="clear" w:color="auto" w:fill="auto"/>
            <w:noWrap/>
            <w:vAlign w:val="bottom"/>
            <w:hideMark/>
          </w:tcPr>
          <w:p w14:paraId="0679EBFE" w14:textId="77777777" w:rsidR="00755976" w:rsidRPr="00755976" w:rsidRDefault="00755976" w:rsidP="00755976">
            <w:pPr>
              <w:spacing w:after="0" w:line="240" w:lineRule="auto"/>
              <w:rPr>
                <w:rFonts w:cs="Calibri"/>
                <w:color w:val="000000" w:themeColor="text1"/>
              </w:rPr>
            </w:pPr>
            <w:r w:rsidRPr="00755976">
              <w:rPr>
                <w:rFonts w:cs="Calibri"/>
                <w:color w:val="000000" w:themeColor="text1"/>
              </w:rPr>
              <w:t>Rain-water tank in yard</w:t>
            </w:r>
          </w:p>
        </w:tc>
        <w:tc>
          <w:tcPr>
            <w:tcW w:w="800" w:type="pct"/>
            <w:tcBorders>
              <w:top w:val="nil"/>
              <w:left w:val="nil"/>
              <w:bottom w:val="single" w:sz="4" w:space="0" w:color="auto"/>
              <w:right w:val="single" w:sz="4" w:space="0" w:color="auto"/>
            </w:tcBorders>
            <w:shd w:val="clear" w:color="auto" w:fill="auto"/>
            <w:noWrap/>
            <w:vAlign w:val="bottom"/>
            <w:hideMark/>
          </w:tcPr>
          <w:p w14:paraId="0E5F3124" w14:textId="77777777" w:rsidR="00755976" w:rsidRPr="00755976" w:rsidRDefault="00755976" w:rsidP="00755976">
            <w:pPr>
              <w:spacing w:after="0" w:line="240" w:lineRule="auto"/>
              <w:jc w:val="center"/>
              <w:rPr>
                <w:rFonts w:cs="Calibri"/>
                <w:color w:val="000000" w:themeColor="text1"/>
              </w:rPr>
            </w:pPr>
            <w:r w:rsidRPr="00755976">
              <w:rPr>
                <w:rFonts w:cs="Calibri"/>
                <w:color w:val="000000" w:themeColor="text1"/>
              </w:rPr>
              <w:t>815</w:t>
            </w:r>
          </w:p>
        </w:tc>
        <w:tc>
          <w:tcPr>
            <w:tcW w:w="1383" w:type="pct"/>
            <w:tcBorders>
              <w:top w:val="nil"/>
              <w:left w:val="nil"/>
              <w:bottom w:val="single" w:sz="4" w:space="0" w:color="auto"/>
              <w:right w:val="single" w:sz="4" w:space="0" w:color="auto"/>
            </w:tcBorders>
            <w:shd w:val="clear" w:color="auto" w:fill="auto"/>
            <w:noWrap/>
            <w:vAlign w:val="bottom"/>
            <w:hideMark/>
          </w:tcPr>
          <w:p w14:paraId="74ECD897" w14:textId="77777777" w:rsidR="00755976" w:rsidRPr="00755976" w:rsidRDefault="00755976" w:rsidP="00755976">
            <w:pPr>
              <w:spacing w:after="0" w:line="240" w:lineRule="auto"/>
              <w:jc w:val="center"/>
              <w:rPr>
                <w:rFonts w:cs="Calibri"/>
                <w:color w:val="000000" w:themeColor="text1"/>
              </w:rPr>
            </w:pPr>
            <w:r w:rsidRPr="00755976">
              <w:rPr>
                <w:rFonts w:cs="Calibri"/>
                <w:color w:val="000000" w:themeColor="text1"/>
              </w:rPr>
              <w:t>1,7%</w:t>
            </w:r>
          </w:p>
        </w:tc>
      </w:tr>
      <w:tr w:rsidR="00755976" w:rsidRPr="00755976" w14:paraId="55D9CFC2" w14:textId="77777777" w:rsidTr="00E449C1">
        <w:trPr>
          <w:trHeight w:val="263"/>
        </w:trPr>
        <w:tc>
          <w:tcPr>
            <w:tcW w:w="864" w:type="pct"/>
            <w:vMerge/>
            <w:tcBorders>
              <w:top w:val="single" w:sz="4" w:space="0" w:color="auto"/>
              <w:left w:val="single" w:sz="4" w:space="0" w:color="auto"/>
              <w:bottom w:val="single" w:sz="4" w:space="0" w:color="auto"/>
              <w:right w:val="single" w:sz="4" w:space="0" w:color="auto"/>
            </w:tcBorders>
            <w:vAlign w:val="center"/>
            <w:hideMark/>
          </w:tcPr>
          <w:p w14:paraId="0EAB105C" w14:textId="77777777" w:rsidR="00755976" w:rsidRPr="00755976" w:rsidRDefault="00755976" w:rsidP="00755976">
            <w:pPr>
              <w:spacing w:after="0" w:line="240" w:lineRule="auto"/>
              <w:rPr>
                <w:rFonts w:cs="Calibri"/>
                <w:color w:val="000000" w:themeColor="text1"/>
              </w:rPr>
            </w:pPr>
          </w:p>
        </w:tc>
        <w:tc>
          <w:tcPr>
            <w:tcW w:w="1953" w:type="pct"/>
            <w:tcBorders>
              <w:top w:val="nil"/>
              <w:left w:val="nil"/>
              <w:bottom w:val="single" w:sz="4" w:space="0" w:color="auto"/>
              <w:right w:val="single" w:sz="4" w:space="0" w:color="auto"/>
            </w:tcBorders>
            <w:shd w:val="clear" w:color="auto" w:fill="auto"/>
            <w:noWrap/>
            <w:vAlign w:val="bottom"/>
            <w:hideMark/>
          </w:tcPr>
          <w:p w14:paraId="539F542A" w14:textId="77777777" w:rsidR="00755976" w:rsidRPr="00755976" w:rsidRDefault="00755976" w:rsidP="00755976">
            <w:pPr>
              <w:spacing w:after="0" w:line="240" w:lineRule="auto"/>
              <w:rPr>
                <w:rFonts w:cs="Calibri"/>
                <w:color w:val="000000" w:themeColor="text1"/>
              </w:rPr>
            </w:pPr>
            <w:r w:rsidRPr="00755976">
              <w:rPr>
                <w:rFonts w:cs="Calibri"/>
                <w:color w:val="000000" w:themeColor="text1"/>
              </w:rPr>
              <w:t>Neighbours tap</w:t>
            </w:r>
          </w:p>
        </w:tc>
        <w:tc>
          <w:tcPr>
            <w:tcW w:w="800" w:type="pct"/>
            <w:tcBorders>
              <w:top w:val="nil"/>
              <w:left w:val="nil"/>
              <w:bottom w:val="single" w:sz="4" w:space="0" w:color="auto"/>
              <w:right w:val="single" w:sz="4" w:space="0" w:color="auto"/>
            </w:tcBorders>
            <w:shd w:val="clear" w:color="auto" w:fill="auto"/>
            <w:noWrap/>
            <w:vAlign w:val="bottom"/>
            <w:hideMark/>
          </w:tcPr>
          <w:p w14:paraId="226CB8AF" w14:textId="77777777" w:rsidR="00755976" w:rsidRPr="00755976" w:rsidRDefault="00755976" w:rsidP="00755976">
            <w:pPr>
              <w:spacing w:after="0" w:line="240" w:lineRule="auto"/>
              <w:jc w:val="center"/>
              <w:rPr>
                <w:rFonts w:cs="Calibri"/>
                <w:color w:val="000000" w:themeColor="text1"/>
              </w:rPr>
            </w:pPr>
            <w:r w:rsidRPr="00755976">
              <w:rPr>
                <w:rFonts w:cs="Calibri"/>
                <w:color w:val="000000" w:themeColor="text1"/>
              </w:rPr>
              <w:t>758</w:t>
            </w:r>
          </w:p>
        </w:tc>
        <w:tc>
          <w:tcPr>
            <w:tcW w:w="1383" w:type="pct"/>
            <w:tcBorders>
              <w:top w:val="nil"/>
              <w:left w:val="nil"/>
              <w:bottom w:val="single" w:sz="4" w:space="0" w:color="auto"/>
              <w:right w:val="single" w:sz="4" w:space="0" w:color="auto"/>
            </w:tcBorders>
            <w:shd w:val="clear" w:color="auto" w:fill="auto"/>
            <w:noWrap/>
            <w:vAlign w:val="bottom"/>
            <w:hideMark/>
          </w:tcPr>
          <w:p w14:paraId="3FF5DADB" w14:textId="77777777" w:rsidR="00755976" w:rsidRPr="00755976" w:rsidRDefault="00755976" w:rsidP="00755976">
            <w:pPr>
              <w:spacing w:after="0" w:line="240" w:lineRule="auto"/>
              <w:jc w:val="center"/>
              <w:rPr>
                <w:rFonts w:cs="Calibri"/>
                <w:color w:val="000000" w:themeColor="text1"/>
              </w:rPr>
            </w:pPr>
            <w:r w:rsidRPr="00755976">
              <w:rPr>
                <w:rFonts w:cs="Calibri"/>
                <w:color w:val="000000" w:themeColor="text1"/>
              </w:rPr>
              <w:t>1,6%</w:t>
            </w:r>
          </w:p>
        </w:tc>
      </w:tr>
      <w:tr w:rsidR="00755976" w:rsidRPr="00755976" w14:paraId="3F454376" w14:textId="77777777" w:rsidTr="00E449C1">
        <w:trPr>
          <w:trHeight w:val="263"/>
        </w:trPr>
        <w:tc>
          <w:tcPr>
            <w:tcW w:w="864" w:type="pct"/>
            <w:vMerge/>
            <w:tcBorders>
              <w:top w:val="single" w:sz="4" w:space="0" w:color="auto"/>
              <w:left w:val="single" w:sz="4" w:space="0" w:color="auto"/>
              <w:bottom w:val="single" w:sz="4" w:space="0" w:color="auto"/>
              <w:right w:val="single" w:sz="4" w:space="0" w:color="auto"/>
            </w:tcBorders>
            <w:vAlign w:val="center"/>
            <w:hideMark/>
          </w:tcPr>
          <w:p w14:paraId="20043B44" w14:textId="77777777" w:rsidR="00755976" w:rsidRPr="00755976" w:rsidRDefault="00755976" w:rsidP="00755976">
            <w:pPr>
              <w:spacing w:after="0" w:line="240" w:lineRule="auto"/>
              <w:rPr>
                <w:rFonts w:cs="Calibri"/>
                <w:color w:val="000000" w:themeColor="text1"/>
              </w:rPr>
            </w:pPr>
          </w:p>
        </w:tc>
        <w:tc>
          <w:tcPr>
            <w:tcW w:w="1953" w:type="pct"/>
            <w:tcBorders>
              <w:top w:val="nil"/>
              <w:left w:val="nil"/>
              <w:bottom w:val="single" w:sz="4" w:space="0" w:color="auto"/>
              <w:right w:val="single" w:sz="4" w:space="0" w:color="auto"/>
            </w:tcBorders>
            <w:shd w:val="clear" w:color="auto" w:fill="auto"/>
            <w:noWrap/>
            <w:vAlign w:val="bottom"/>
            <w:hideMark/>
          </w:tcPr>
          <w:p w14:paraId="5D6267DC" w14:textId="77777777" w:rsidR="00755976" w:rsidRPr="00755976" w:rsidRDefault="00755976" w:rsidP="00755976">
            <w:pPr>
              <w:spacing w:after="0" w:line="240" w:lineRule="auto"/>
              <w:rPr>
                <w:rFonts w:cs="Calibri"/>
                <w:color w:val="000000" w:themeColor="text1"/>
              </w:rPr>
            </w:pPr>
            <w:r w:rsidRPr="00755976">
              <w:rPr>
                <w:rFonts w:cs="Calibri"/>
                <w:color w:val="000000" w:themeColor="text1"/>
              </w:rPr>
              <w:t>Public/communal tap</w:t>
            </w:r>
          </w:p>
        </w:tc>
        <w:tc>
          <w:tcPr>
            <w:tcW w:w="800" w:type="pct"/>
            <w:tcBorders>
              <w:top w:val="nil"/>
              <w:left w:val="nil"/>
              <w:bottom w:val="single" w:sz="4" w:space="0" w:color="auto"/>
              <w:right w:val="single" w:sz="4" w:space="0" w:color="auto"/>
            </w:tcBorders>
            <w:shd w:val="clear" w:color="auto" w:fill="auto"/>
            <w:noWrap/>
            <w:vAlign w:val="bottom"/>
            <w:hideMark/>
          </w:tcPr>
          <w:p w14:paraId="233739B1" w14:textId="77777777" w:rsidR="00755976" w:rsidRPr="00755976" w:rsidRDefault="00755976" w:rsidP="00755976">
            <w:pPr>
              <w:spacing w:after="0" w:line="240" w:lineRule="auto"/>
              <w:jc w:val="center"/>
              <w:rPr>
                <w:rFonts w:cs="Calibri"/>
                <w:color w:val="000000" w:themeColor="text1"/>
              </w:rPr>
            </w:pPr>
            <w:r w:rsidRPr="00755976">
              <w:rPr>
                <w:rFonts w:cs="Calibri"/>
                <w:color w:val="000000" w:themeColor="text1"/>
              </w:rPr>
              <w:t>4 831</w:t>
            </w:r>
          </w:p>
        </w:tc>
        <w:tc>
          <w:tcPr>
            <w:tcW w:w="1383" w:type="pct"/>
            <w:tcBorders>
              <w:top w:val="nil"/>
              <w:left w:val="nil"/>
              <w:bottom w:val="single" w:sz="4" w:space="0" w:color="auto"/>
              <w:right w:val="single" w:sz="4" w:space="0" w:color="auto"/>
            </w:tcBorders>
            <w:shd w:val="clear" w:color="auto" w:fill="auto"/>
            <w:noWrap/>
            <w:vAlign w:val="bottom"/>
            <w:hideMark/>
          </w:tcPr>
          <w:p w14:paraId="18ACFBD1" w14:textId="77777777" w:rsidR="00755976" w:rsidRPr="00755976" w:rsidRDefault="00755976" w:rsidP="00755976">
            <w:pPr>
              <w:spacing w:after="0" w:line="240" w:lineRule="auto"/>
              <w:jc w:val="center"/>
              <w:rPr>
                <w:rFonts w:cs="Calibri"/>
                <w:color w:val="000000" w:themeColor="text1"/>
              </w:rPr>
            </w:pPr>
            <w:r w:rsidRPr="00755976">
              <w:rPr>
                <w:rFonts w:cs="Calibri"/>
                <w:color w:val="000000" w:themeColor="text1"/>
              </w:rPr>
              <w:t>10,3%</w:t>
            </w:r>
          </w:p>
        </w:tc>
      </w:tr>
      <w:tr w:rsidR="00755976" w:rsidRPr="00755976" w14:paraId="6035A48E" w14:textId="77777777" w:rsidTr="00E449C1">
        <w:trPr>
          <w:trHeight w:val="263"/>
        </w:trPr>
        <w:tc>
          <w:tcPr>
            <w:tcW w:w="864" w:type="pct"/>
            <w:vMerge/>
            <w:tcBorders>
              <w:top w:val="single" w:sz="4" w:space="0" w:color="auto"/>
              <w:left w:val="single" w:sz="4" w:space="0" w:color="auto"/>
              <w:bottom w:val="single" w:sz="4" w:space="0" w:color="auto"/>
              <w:right w:val="single" w:sz="4" w:space="0" w:color="auto"/>
            </w:tcBorders>
            <w:vAlign w:val="center"/>
            <w:hideMark/>
          </w:tcPr>
          <w:p w14:paraId="5F39EB18" w14:textId="77777777" w:rsidR="00755976" w:rsidRPr="00755976" w:rsidRDefault="00755976" w:rsidP="00755976">
            <w:pPr>
              <w:spacing w:after="0" w:line="240" w:lineRule="auto"/>
              <w:rPr>
                <w:rFonts w:cs="Calibri"/>
                <w:color w:val="000000" w:themeColor="text1"/>
              </w:rPr>
            </w:pPr>
          </w:p>
        </w:tc>
        <w:tc>
          <w:tcPr>
            <w:tcW w:w="1953" w:type="pct"/>
            <w:tcBorders>
              <w:top w:val="nil"/>
              <w:left w:val="nil"/>
              <w:bottom w:val="single" w:sz="4" w:space="0" w:color="auto"/>
              <w:right w:val="single" w:sz="4" w:space="0" w:color="auto"/>
            </w:tcBorders>
            <w:shd w:val="clear" w:color="auto" w:fill="auto"/>
            <w:noWrap/>
            <w:vAlign w:val="bottom"/>
            <w:hideMark/>
          </w:tcPr>
          <w:p w14:paraId="4BFCE0C5" w14:textId="77777777" w:rsidR="00755976" w:rsidRPr="00755976" w:rsidRDefault="00755976" w:rsidP="00755976">
            <w:pPr>
              <w:spacing w:after="0" w:line="240" w:lineRule="auto"/>
              <w:rPr>
                <w:rFonts w:cs="Calibri"/>
                <w:color w:val="000000" w:themeColor="text1"/>
              </w:rPr>
            </w:pPr>
            <w:r w:rsidRPr="00755976">
              <w:rPr>
                <w:rFonts w:cs="Calibri"/>
                <w:color w:val="000000" w:themeColor="text1"/>
              </w:rPr>
              <w:t>Water-carrier/tanker</w:t>
            </w:r>
          </w:p>
        </w:tc>
        <w:tc>
          <w:tcPr>
            <w:tcW w:w="800" w:type="pct"/>
            <w:tcBorders>
              <w:top w:val="nil"/>
              <w:left w:val="nil"/>
              <w:bottom w:val="single" w:sz="4" w:space="0" w:color="auto"/>
              <w:right w:val="single" w:sz="4" w:space="0" w:color="auto"/>
            </w:tcBorders>
            <w:shd w:val="clear" w:color="auto" w:fill="auto"/>
            <w:noWrap/>
            <w:vAlign w:val="bottom"/>
            <w:hideMark/>
          </w:tcPr>
          <w:p w14:paraId="3F47B25E" w14:textId="77777777" w:rsidR="00755976" w:rsidRPr="00755976" w:rsidRDefault="00755976" w:rsidP="00755976">
            <w:pPr>
              <w:spacing w:after="0" w:line="240" w:lineRule="auto"/>
              <w:jc w:val="center"/>
              <w:rPr>
                <w:rFonts w:cs="Calibri"/>
                <w:color w:val="000000" w:themeColor="text1"/>
              </w:rPr>
            </w:pPr>
            <w:r w:rsidRPr="00755976">
              <w:rPr>
                <w:rFonts w:cs="Calibri"/>
                <w:color w:val="000000" w:themeColor="text1"/>
              </w:rPr>
              <w:t>3 479</w:t>
            </w:r>
          </w:p>
        </w:tc>
        <w:tc>
          <w:tcPr>
            <w:tcW w:w="1383" w:type="pct"/>
            <w:tcBorders>
              <w:top w:val="nil"/>
              <w:left w:val="nil"/>
              <w:bottom w:val="single" w:sz="4" w:space="0" w:color="auto"/>
              <w:right w:val="single" w:sz="4" w:space="0" w:color="auto"/>
            </w:tcBorders>
            <w:shd w:val="clear" w:color="auto" w:fill="auto"/>
            <w:noWrap/>
            <w:vAlign w:val="bottom"/>
            <w:hideMark/>
          </w:tcPr>
          <w:p w14:paraId="3C92A0F5" w14:textId="77777777" w:rsidR="00755976" w:rsidRPr="00755976" w:rsidRDefault="00755976" w:rsidP="00755976">
            <w:pPr>
              <w:spacing w:after="0" w:line="240" w:lineRule="auto"/>
              <w:jc w:val="center"/>
              <w:rPr>
                <w:rFonts w:cs="Calibri"/>
                <w:color w:val="000000" w:themeColor="text1"/>
              </w:rPr>
            </w:pPr>
            <w:r w:rsidRPr="00755976">
              <w:rPr>
                <w:rFonts w:cs="Calibri"/>
                <w:color w:val="000000" w:themeColor="text1"/>
              </w:rPr>
              <w:t>7,4%</w:t>
            </w:r>
          </w:p>
        </w:tc>
      </w:tr>
      <w:tr w:rsidR="00755976" w:rsidRPr="00755976" w14:paraId="063C7065" w14:textId="77777777" w:rsidTr="00E449C1">
        <w:trPr>
          <w:trHeight w:val="263"/>
        </w:trPr>
        <w:tc>
          <w:tcPr>
            <w:tcW w:w="864" w:type="pct"/>
            <w:vMerge/>
            <w:tcBorders>
              <w:top w:val="single" w:sz="4" w:space="0" w:color="auto"/>
              <w:left w:val="single" w:sz="4" w:space="0" w:color="auto"/>
              <w:bottom w:val="single" w:sz="4" w:space="0" w:color="auto"/>
              <w:right w:val="single" w:sz="4" w:space="0" w:color="auto"/>
            </w:tcBorders>
            <w:vAlign w:val="center"/>
            <w:hideMark/>
          </w:tcPr>
          <w:p w14:paraId="04F6B55B" w14:textId="77777777" w:rsidR="00755976" w:rsidRPr="00755976" w:rsidRDefault="00755976" w:rsidP="00755976">
            <w:pPr>
              <w:spacing w:after="0" w:line="240" w:lineRule="auto"/>
              <w:rPr>
                <w:rFonts w:cs="Calibri"/>
                <w:color w:val="000000" w:themeColor="text1"/>
              </w:rPr>
            </w:pPr>
          </w:p>
        </w:tc>
        <w:tc>
          <w:tcPr>
            <w:tcW w:w="1953" w:type="pct"/>
            <w:tcBorders>
              <w:top w:val="nil"/>
              <w:left w:val="nil"/>
              <w:bottom w:val="single" w:sz="4" w:space="0" w:color="auto"/>
              <w:right w:val="single" w:sz="4" w:space="0" w:color="auto"/>
            </w:tcBorders>
            <w:shd w:val="clear" w:color="auto" w:fill="auto"/>
            <w:noWrap/>
            <w:vAlign w:val="bottom"/>
            <w:hideMark/>
          </w:tcPr>
          <w:p w14:paraId="07980867" w14:textId="77777777" w:rsidR="00755976" w:rsidRPr="00755976" w:rsidRDefault="00755976" w:rsidP="00755976">
            <w:pPr>
              <w:spacing w:after="0" w:line="240" w:lineRule="auto"/>
              <w:rPr>
                <w:rFonts w:cs="Calibri"/>
                <w:color w:val="000000" w:themeColor="text1"/>
              </w:rPr>
            </w:pPr>
            <w:r w:rsidRPr="00755976">
              <w:rPr>
                <w:rFonts w:cs="Calibri"/>
                <w:color w:val="000000" w:themeColor="text1"/>
              </w:rPr>
              <w:t>Borehole outside yard</w:t>
            </w:r>
          </w:p>
        </w:tc>
        <w:tc>
          <w:tcPr>
            <w:tcW w:w="800" w:type="pct"/>
            <w:tcBorders>
              <w:top w:val="nil"/>
              <w:left w:val="nil"/>
              <w:bottom w:val="single" w:sz="4" w:space="0" w:color="auto"/>
              <w:right w:val="single" w:sz="4" w:space="0" w:color="auto"/>
            </w:tcBorders>
            <w:shd w:val="clear" w:color="auto" w:fill="auto"/>
            <w:noWrap/>
            <w:vAlign w:val="bottom"/>
            <w:hideMark/>
          </w:tcPr>
          <w:p w14:paraId="6E870E90" w14:textId="77777777" w:rsidR="00755976" w:rsidRPr="00755976" w:rsidRDefault="00755976" w:rsidP="00755976">
            <w:pPr>
              <w:spacing w:after="0" w:line="240" w:lineRule="auto"/>
              <w:jc w:val="center"/>
              <w:rPr>
                <w:rFonts w:cs="Calibri"/>
                <w:color w:val="000000" w:themeColor="text1"/>
              </w:rPr>
            </w:pPr>
            <w:r w:rsidRPr="00755976">
              <w:rPr>
                <w:rFonts w:cs="Calibri"/>
                <w:color w:val="000000" w:themeColor="text1"/>
              </w:rPr>
              <w:t>1 228</w:t>
            </w:r>
          </w:p>
        </w:tc>
        <w:tc>
          <w:tcPr>
            <w:tcW w:w="1383" w:type="pct"/>
            <w:tcBorders>
              <w:top w:val="nil"/>
              <w:left w:val="nil"/>
              <w:bottom w:val="single" w:sz="4" w:space="0" w:color="auto"/>
              <w:right w:val="single" w:sz="4" w:space="0" w:color="auto"/>
            </w:tcBorders>
            <w:shd w:val="clear" w:color="auto" w:fill="auto"/>
            <w:noWrap/>
            <w:vAlign w:val="bottom"/>
            <w:hideMark/>
          </w:tcPr>
          <w:p w14:paraId="4E469E87" w14:textId="77777777" w:rsidR="00755976" w:rsidRPr="00755976" w:rsidRDefault="00755976" w:rsidP="00755976">
            <w:pPr>
              <w:spacing w:after="0" w:line="240" w:lineRule="auto"/>
              <w:jc w:val="center"/>
              <w:rPr>
                <w:rFonts w:cs="Calibri"/>
                <w:color w:val="000000" w:themeColor="text1"/>
              </w:rPr>
            </w:pPr>
            <w:r w:rsidRPr="00755976">
              <w:rPr>
                <w:rFonts w:cs="Calibri"/>
                <w:color w:val="000000" w:themeColor="text1"/>
              </w:rPr>
              <w:t>2,6%</w:t>
            </w:r>
          </w:p>
        </w:tc>
      </w:tr>
      <w:tr w:rsidR="00755976" w:rsidRPr="00755976" w14:paraId="5D471954" w14:textId="77777777" w:rsidTr="00E449C1">
        <w:trPr>
          <w:trHeight w:val="263"/>
        </w:trPr>
        <w:tc>
          <w:tcPr>
            <w:tcW w:w="864" w:type="pct"/>
            <w:vMerge/>
            <w:tcBorders>
              <w:top w:val="single" w:sz="4" w:space="0" w:color="auto"/>
              <w:left w:val="single" w:sz="4" w:space="0" w:color="auto"/>
              <w:bottom w:val="single" w:sz="4" w:space="0" w:color="auto"/>
              <w:right w:val="single" w:sz="4" w:space="0" w:color="auto"/>
            </w:tcBorders>
            <w:vAlign w:val="center"/>
            <w:hideMark/>
          </w:tcPr>
          <w:p w14:paraId="57B093E1" w14:textId="77777777" w:rsidR="00755976" w:rsidRPr="00755976" w:rsidRDefault="00755976" w:rsidP="00755976">
            <w:pPr>
              <w:spacing w:after="0" w:line="240" w:lineRule="auto"/>
              <w:rPr>
                <w:rFonts w:cs="Calibri"/>
                <w:color w:val="000000" w:themeColor="text1"/>
              </w:rPr>
            </w:pPr>
          </w:p>
        </w:tc>
        <w:tc>
          <w:tcPr>
            <w:tcW w:w="1953" w:type="pct"/>
            <w:tcBorders>
              <w:top w:val="nil"/>
              <w:left w:val="nil"/>
              <w:bottom w:val="single" w:sz="4" w:space="0" w:color="auto"/>
              <w:right w:val="single" w:sz="4" w:space="0" w:color="auto"/>
            </w:tcBorders>
            <w:shd w:val="clear" w:color="auto" w:fill="auto"/>
            <w:noWrap/>
            <w:vAlign w:val="bottom"/>
            <w:hideMark/>
          </w:tcPr>
          <w:p w14:paraId="2C25F9A1" w14:textId="77777777" w:rsidR="00755976" w:rsidRPr="00755976" w:rsidRDefault="00755976" w:rsidP="00755976">
            <w:pPr>
              <w:spacing w:after="0" w:line="240" w:lineRule="auto"/>
              <w:rPr>
                <w:rFonts w:cs="Calibri"/>
                <w:color w:val="000000" w:themeColor="text1"/>
              </w:rPr>
            </w:pPr>
            <w:r w:rsidRPr="00755976">
              <w:rPr>
                <w:rFonts w:cs="Calibri"/>
                <w:color w:val="000000" w:themeColor="text1"/>
              </w:rPr>
              <w:t>Flowing water/stream/river</w:t>
            </w:r>
          </w:p>
        </w:tc>
        <w:tc>
          <w:tcPr>
            <w:tcW w:w="800" w:type="pct"/>
            <w:tcBorders>
              <w:top w:val="nil"/>
              <w:left w:val="nil"/>
              <w:bottom w:val="single" w:sz="4" w:space="0" w:color="auto"/>
              <w:right w:val="single" w:sz="4" w:space="0" w:color="auto"/>
            </w:tcBorders>
            <w:shd w:val="clear" w:color="auto" w:fill="auto"/>
            <w:noWrap/>
            <w:vAlign w:val="bottom"/>
            <w:hideMark/>
          </w:tcPr>
          <w:p w14:paraId="47E655A0" w14:textId="77777777" w:rsidR="00755976" w:rsidRPr="00755976" w:rsidRDefault="00755976" w:rsidP="00755976">
            <w:pPr>
              <w:spacing w:after="0" w:line="240" w:lineRule="auto"/>
              <w:jc w:val="center"/>
              <w:rPr>
                <w:rFonts w:cs="Calibri"/>
                <w:color w:val="000000" w:themeColor="text1"/>
              </w:rPr>
            </w:pPr>
            <w:r w:rsidRPr="00755976">
              <w:rPr>
                <w:rFonts w:cs="Calibri"/>
                <w:color w:val="000000" w:themeColor="text1"/>
              </w:rPr>
              <w:t>6 063</w:t>
            </w:r>
          </w:p>
        </w:tc>
        <w:tc>
          <w:tcPr>
            <w:tcW w:w="1383" w:type="pct"/>
            <w:tcBorders>
              <w:top w:val="nil"/>
              <w:left w:val="nil"/>
              <w:bottom w:val="single" w:sz="4" w:space="0" w:color="auto"/>
              <w:right w:val="single" w:sz="4" w:space="0" w:color="auto"/>
            </w:tcBorders>
            <w:shd w:val="clear" w:color="auto" w:fill="auto"/>
            <w:noWrap/>
            <w:vAlign w:val="bottom"/>
            <w:hideMark/>
          </w:tcPr>
          <w:p w14:paraId="6A6FC78B" w14:textId="77777777" w:rsidR="00755976" w:rsidRPr="00755976" w:rsidRDefault="00755976" w:rsidP="00755976">
            <w:pPr>
              <w:spacing w:after="0" w:line="240" w:lineRule="auto"/>
              <w:jc w:val="center"/>
              <w:rPr>
                <w:rFonts w:cs="Calibri"/>
                <w:color w:val="000000" w:themeColor="text1"/>
              </w:rPr>
            </w:pPr>
            <w:r w:rsidRPr="00755976">
              <w:rPr>
                <w:rFonts w:cs="Calibri"/>
                <w:color w:val="000000" w:themeColor="text1"/>
              </w:rPr>
              <w:t>12,9%</w:t>
            </w:r>
          </w:p>
        </w:tc>
      </w:tr>
      <w:tr w:rsidR="00755976" w:rsidRPr="00755976" w14:paraId="68318AAB" w14:textId="77777777" w:rsidTr="00E449C1">
        <w:trPr>
          <w:trHeight w:val="263"/>
        </w:trPr>
        <w:tc>
          <w:tcPr>
            <w:tcW w:w="864" w:type="pct"/>
            <w:vMerge/>
            <w:tcBorders>
              <w:top w:val="single" w:sz="4" w:space="0" w:color="auto"/>
              <w:left w:val="single" w:sz="4" w:space="0" w:color="auto"/>
              <w:bottom w:val="single" w:sz="4" w:space="0" w:color="auto"/>
              <w:right w:val="single" w:sz="4" w:space="0" w:color="auto"/>
            </w:tcBorders>
            <w:vAlign w:val="center"/>
            <w:hideMark/>
          </w:tcPr>
          <w:p w14:paraId="0BA392B2" w14:textId="77777777" w:rsidR="00755976" w:rsidRPr="00755976" w:rsidRDefault="00755976" w:rsidP="00755976">
            <w:pPr>
              <w:spacing w:after="0" w:line="240" w:lineRule="auto"/>
              <w:rPr>
                <w:rFonts w:cs="Calibri"/>
                <w:color w:val="000000" w:themeColor="text1"/>
              </w:rPr>
            </w:pPr>
          </w:p>
        </w:tc>
        <w:tc>
          <w:tcPr>
            <w:tcW w:w="1953" w:type="pct"/>
            <w:tcBorders>
              <w:top w:val="nil"/>
              <w:left w:val="nil"/>
              <w:bottom w:val="single" w:sz="4" w:space="0" w:color="auto"/>
              <w:right w:val="single" w:sz="4" w:space="0" w:color="auto"/>
            </w:tcBorders>
            <w:shd w:val="clear" w:color="auto" w:fill="auto"/>
            <w:noWrap/>
            <w:vAlign w:val="bottom"/>
            <w:hideMark/>
          </w:tcPr>
          <w:p w14:paraId="1D3F6EB6" w14:textId="77777777" w:rsidR="00755976" w:rsidRPr="00755976" w:rsidRDefault="00755976" w:rsidP="00755976">
            <w:pPr>
              <w:spacing w:after="0" w:line="240" w:lineRule="auto"/>
              <w:rPr>
                <w:rFonts w:cs="Calibri"/>
                <w:color w:val="000000" w:themeColor="text1"/>
              </w:rPr>
            </w:pPr>
            <w:r w:rsidRPr="00755976">
              <w:rPr>
                <w:rFonts w:cs="Calibri"/>
                <w:color w:val="000000" w:themeColor="text1"/>
              </w:rPr>
              <w:t>Well</w:t>
            </w:r>
          </w:p>
        </w:tc>
        <w:tc>
          <w:tcPr>
            <w:tcW w:w="800" w:type="pct"/>
            <w:tcBorders>
              <w:top w:val="nil"/>
              <w:left w:val="nil"/>
              <w:bottom w:val="single" w:sz="4" w:space="0" w:color="auto"/>
              <w:right w:val="single" w:sz="4" w:space="0" w:color="auto"/>
            </w:tcBorders>
            <w:shd w:val="clear" w:color="auto" w:fill="auto"/>
            <w:noWrap/>
            <w:vAlign w:val="bottom"/>
            <w:hideMark/>
          </w:tcPr>
          <w:p w14:paraId="258710DD" w14:textId="77777777" w:rsidR="00755976" w:rsidRPr="00755976" w:rsidRDefault="00755976" w:rsidP="00755976">
            <w:pPr>
              <w:spacing w:after="0" w:line="240" w:lineRule="auto"/>
              <w:jc w:val="center"/>
              <w:rPr>
                <w:rFonts w:cs="Calibri"/>
                <w:color w:val="000000" w:themeColor="text1"/>
              </w:rPr>
            </w:pPr>
            <w:r w:rsidRPr="00755976">
              <w:rPr>
                <w:rFonts w:cs="Calibri"/>
                <w:color w:val="000000" w:themeColor="text1"/>
              </w:rPr>
              <w:t>0</w:t>
            </w:r>
          </w:p>
        </w:tc>
        <w:tc>
          <w:tcPr>
            <w:tcW w:w="1383" w:type="pct"/>
            <w:tcBorders>
              <w:top w:val="nil"/>
              <w:left w:val="nil"/>
              <w:bottom w:val="single" w:sz="4" w:space="0" w:color="auto"/>
              <w:right w:val="single" w:sz="4" w:space="0" w:color="auto"/>
            </w:tcBorders>
            <w:shd w:val="clear" w:color="auto" w:fill="auto"/>
            <w:noWrap/>
            <w:vAlign w:val="bottom"/>
            <w:hideMark/>
          </w:tcPr>
          <w:p w14:paraId="499EB278" w14:textId="77777777" w:rsidR="00755976" w:rsidRPr="00755976" w:rsidRDefault="00755976" w:rsidP="00755976">
            <w:pPr>
              <w:spacing w:after="0" w:line="240" w:lineRule="auto"/>
              <w:jc w:val="center"/>
              <w:rPr>
                <w:rFonts w:cs="Calibri"/>
                <w:color w:val="000000" w:themeColor="text1"/>
              </w:rPr>
            </w:pPr>
            <w:r w:rsidRPr="00755976">
              <w:rPr>
                <w:rFonts w:cs="Calibri"/>
                <w:color w:val="000000" w:themeColor="text1"/>
              </w:rPr>
              <w:t>0,0%</w:t>
            </w:r>
          </w:p>
        </w:tc>
      </w:tr>
      <w:tr w:rsidR="00755976" w:rsidRPr="00755976" w14:paraId="6521A6BB" w14:textId="77777777" w:rsidTr="00E449C1">
        <w:trPr>
          <w:trHeight w:val="263"/>
        </w:trPr>
        <w:tc>
          <w:tcPr>
            <w:tcW w:w="864" w:type="pct"/>
            <w:vMerge/>
            <w:tcBorders>
              <w:top w:val="single" w:sz="4" w:space="0" w:color="auto"/>
              <w:left w:val="single" w:sz="4" w:space="0" w:color="auto"/>
              <w:bottom w:val="single" w:sz="4" w:space="0" w:color="auto"/>
              <w:right w:val="single" w:sz="4" w:space="0" w:color="auto"/>
            </w:tcBorders>
            <w:vAlign w:val="center"/>
            <w:hideMark/>
          </w:tcPr>
          <w:p w14:paraId="4FA1C399" w14:textId="77777777" w:rsidR="00755976" w:rsidRPr="00755976" w:rsidRDefault="00755976" w:rsidP="00755976">
            <w:pPr>
              <w:spacing w:after="0" w:line="240" w:lineRule="auto"/>
              <w:rPr>
                <w:rFonts w:cs="Calibri"/>
                <w:color w:val="000000" w:themeColor="text1"/>
              </w:rPr>
            </w:pPr>
          </w:p>
        </w:tc>
        <w:tc>
          <w:tcPr>
            <w:tcW w:w="1953" w:type="pct"/>
            <w:tcBorders>
              <w:top w:val="nil"/>
              <w:left w:val="nil"/>
              <w:bottom w:val="single" w:sz="4" w:space="0" w:color="auto"/>
              <w:right w:val="single" w:sz="4" w:space="0" w:color="auto"/>
            </w:tcBorders>
            <w:shd w:val="clear" w:color="auto" w:fill="auto"/>
            <w:noWrap/>
            <w:vAlign w:val="bottom"/>
            <w:hideMark/>
          </w:tcPr>
          <w:p w14:paraId="0BD999A1" w14:textId="77777777" w:rsidR="00755976" w:rsidRPr="00755976" w:rsidRDefault="00755976" w:rsidP="00755976">
            <w:pPr>
              <w:spacing w:after="0" w:line="240" w:lineRule="auto"/>
              <w:rPr>
                <w:rFonts w:cs="Calibri"/>
                <w:color w:val="000000" w:themeColor="text1"/>
              </w:rPr>
            </w:pPr>
            <w:r w:rsidRPr="00755976">
              <w:rPr>
                <w:rFonts w:cs="Calibri"/>
                <w:color w:val="000000" w:themeColor="text1"/>
              </w:rPr>
              <w:t>Spring</w:t>
            </w:r>
          </w:p>
        </w:tc>
        <w:tc>
          <w:tcPr>
            <w:tcW w:w="800" w:type="pct"/>
            <w:tcBorders>
              <w:top w:val="nil"/>
              <w:left w:val="nil"/>
              <w:bottom w:val="single" w:sz="4" w:space="0" w:color="auto"/>
              <w:right w:val="single" w:sz="4" w:space="0" w:color="auto"/>
            </w:tcBorders>
            <w:shd w:val="clear" w:color="auto" w:fill="auto"/>
            <w:noWrap/>
            <w:vAlign w:val="bottom"/>
            <w:hideMark/>
          </w:tcPr>
          <w:p w14:paraId="35E76F2F" w14:textId="77777777" w:rsidR="00755976" w:rsidRPr="00755976" w:rsidRDefault="00755976" w:rsidP="00755976">
            <w:pPr>
              <w:spacing w:after="0" w:line="240" w:lineRule="auto"/>
              <w:jc w:val="center"/>
              <w:rPr>
                <w:rFonts w:cs="Calibri"/>
                <w:color w:val="000000" w:themeColor="text1"/>
              </w:rPr>
            </w:pPr>
            <w:r w:rsidRPr="00755976">
              <w:rPr>
                <w:rFonts w:cs="Calibri"/>
                <w:color w:val="000000" w:themeColor="text1"/>
              </w:rPr>
              <w:t>552</w:t>
            </w:r>
          </w:p>
        </w:tc>
        <w:tc>
          <w:tcPr>
            <w:tcW w:w="1383" w:type="pct"/>
            <w:tcBorders>
              <w:top w:val="nil"/>
              <w:left w:val="nil"/>
              <w:bottom w:val="single" w:sz="4" w:space="0" w:color="auto"/>
              <w:right w:val="single" w:sz="4" w:space="0" w:color="auto"/>
            </w:tcBorders>
            <w:shd w:val="clear" w:color="auto" w:fill="auto"/>
            <w:noWrap/>
            <w:vAlign w:val="bottom"/>
            <w:hideMark/>
          </w:tcPr>
          <w:p w14:paraId="0AA132AC" w14:textId="77777777" w:rsidR="00755976" w:rsidRPr="00755976" w:rsidRDefault="00755976" w:rsidP="00755976">
            <w:pPr>
              <w:spacing w:after="0" w:line="240" w:lineRule="auto"/>
              <w:jc w:val="center"/>
              <w:rPr>
                <w:rFonts w:cs="Calibri"/>
                <w:color w:val="000000" w:themeColor="text1"/>
              </w:rPr>
            </w:pPr>
            <w:r w:rsidRPr="00755976">
              <w:rPr>
                <w:rFonts w:cs="Calibri"/>
                <w:color w:val="000000" w:themeColor="text1"/>
              </w:rPr>
              <w:t>1,2%</w:t>
            </w:r>
          </w:p>
        </w:tc>
      </w:tr>
      <w:tr w:rsidR="00755976" w:rsidRPr="00755976" w14:paraId="0FE5134A" w14:textId="77777777" w:rsidTr="00E449C1">
        <w:trPr>
          <w:trHeight w:val="263"/>
        </w:trPr>
        <w:tc>
          <w:tcPr>
            <w:tcW w:w="864" w:type="pct"/>
            <w:vMerge/>
            <w:tcBorders>
              <w:top w:val="single" w:sz="4" w:space="0" w:color="auto"/>
              <w:left w:val="single" w:sz="4" w:space="0" w:color="auto"/>
              <w:bottom w:val="single" w:sz="4" w:space="0" w:color="auto"/>
              <w:right w:val="single" w:sz="4" w:space="0" w:color="auto"/>
            </w:tcBorders>
            <w:vAlign w:val="center"/>
            <w:hideMark/>
          </w:tcPr>
          <w:p w14:paraId="57064141" w14:textId="77777777" w:rsidR="00755976" w:rsidRPr="00755976" w:rsidRDefault="00755976" w:rsidP="00755976">
            <w:pPr>
              <w:spacing w:after="0" w:line="240" w:lineRule="auto"/>
              <w:rPr>
                <w:rFonts w:cs="Calibri"/>
                <w:color w:val="000000" w:themeColor="text1"/>
              </w:rPr>
            </w:pPr>
          </w:p>
        </w:tc>
        <w:tc>
          <w:tcPr>
            <w:tcW w:w="1953" w:type="pct"/>
            <w:tcBorders>
              <w:top w:val="nil"/>
              <w:left w:val="nil"/>
              <w:bottom w:val="single" w:sz="4" w:space="0" w:color="auto"/>
              <w:right w:val="single" w:sz="4" w:space="0" w:color="auto"/>
            </w:tcBorders>
            <w:shd w:val="clear" w:color="auto" w:fill="auto"/>
            <w:noWrap/>
            <w:vAlign w:val="bottom"/>
            <w:hideMark/>
          </w:tcPr>
          <w:p w14:paraId="260234FB" w14:textId="77777777" w:rsidR="00755976" w:rsidRPr="00755976" w:rsidRDefault="00755976" w:rsidP="00755976">
            <w:pPr>
              <w:spacing w:after="0" w:line="240" w:lineRule="auto"/>
              <w:rPr>
                <w:rFonts w:cs="Calibri"/>
                <w:color w:val="000000" w:themeColor="text1"/>
              </w:rPr>
            </w:pPr>
            <w:r w:rsidRPr="00755976">
              <w:rPr>
                <w:rFonts w:cs="Calibri"/>
                <w:color w:val="000000" w:themeColor="text1"/>
              </w:rPr>
              <w:t>Other</w:t>
            </w:r>
          </w:p>
        </w:tc>
        <w:tc>
          <w:tcPr>
            <w:tcW w:w="800" w:type="pct"/>
            <w:tcBorders>
              <w:top w:val="nil"/>
              <w:left w:val="nil"/>
              <w:bottom w:val="single" w:sz="4" w:space="0" w:color="auto"/>
              <w:right w:val="single" w:sz="4" w:space="0" w:color="auto"/>
            </w:tcBorders>
            <w:shd w:val="clear" w:color="auto" w:fill="auto"/>
            <w:noWrap/>
            <w:vAlign w:val="bottom"/>
            <w:hideMark/>
          </w:tcPr>
          <w:p w14:paraId="3DB736E8" w14:textId="77777777" w:rsidR="00755976" w:rsidRPr="00755976" w:rsidRDefault="00755976" w:rsidP="00755976">
            <w:pPr>
              <w:spacing w:after="0" w:line="240" w:lineRule="auto"/>
              <w:jc w:val="center"/>
              <w:rPr>
                <w:rFonts w:cs="Calibri"/>
                <w:color w:val="000000" w:themeColor="text1"/>
              </w:rPr>
            </w:pPr>
            <w:r w:rsidRPr="00755976">
              <w:rPr>
                <w:rFonts w:cs="Calibri"/>
                <w:color w:val="000000" w:themeColor="text1"/>
              </w:rPr>
              <w:t>169</w:t>
            </w:r>
          </w:p>
        </w:tc>
        <w:tc>
          <w:tcPr>
            <w:tcW w:w="1383" w:type="pct"/>
            <w:tcBorders>
              <w:top w:val="nil"/>
              <w:left w:val="nil"/>
              <w:bottom w:val="single" w:sz="4" w:space="0" w:color="auto"/>
              <w:right w:val="single" w:sz="4" w:space="0" w:color="auto"/>
            </w:tcBorders>
            <w:shd w:val="clear" w:color="auto" w:fill="auto"/>
            <w:noWrap/>
            <w:vAlign w:val="bottom"/>
            <w:hideMark/>
          </w:tcPr>
          <w:p w14:paraId="38C24530" w14:textId="77777777" w:rsidR="00755976" w:rsidRPr="00755976" w:rsidRDefault="00755976" w:rsidP="00755976">
            <w:pPr>
              <w:spacing w:after="0" w:line="240" w:lineRule="auto"/>
              <w:jc w:val="center"/>
              <w:rPr>
                <w:rFonts w:cs="Calibri"/>
                <w:color w:val="000000" w:themeColor="text1"/>
              </w:rPr>
            </w:pPr>
            <w:r w:rsidRPr="00755976">
              <w:rPr>
                <w:rFonts w:cs="Calibri"/>
                <w:color w:val="000000" w:themeColor="text1"/>
              </w:rPr>
              <w:t>0,4%</w:t>
            </w:r>
          </w:p>
        </w:tc>
      </w:tr>
    </w:tbl>
    <w:p w14:paraId="6221B0FB" w14:textId="77777777" w:rsidR="00407352" w:rsidRPr="00881795" w:rsidRDefault="00407352" w:rsidP="002F62F0">
      <w:pPr>
        <w:pStyle w:val="Caption"/>
      </w:pPr>
      <w:bookmarkStart w:id="267" w:name="_Toc510622273"/>
      <w:r w:rsidRPr="00881795">
        <w:t xml:space="preserve">Table </w:t>
      </w:r>
      <w:r w:rsidR="00D55BDA" w:rsidRPr="00881795">
        <w:fldChar w:fldCharType="begin"/>
      </w:r>
      <w:r w:rsidRPr="00881795">
        <w:instrText xml:space="preserve"> SEQ Table \* ARABIC </w:instrText>
      </w:r>
      <w:r w:rsidR="00D55BDA" w:rsidRPr="00881795">
        <w:fldChar w:fldCharType="separate"/>
      </w:r>
      <w:r w:rsidR="0067023A">
        <w:rPr>
          <w:noProof/>
        </w:rPr>
        <w:t>23</w:t>
      </w:r>
      <w:r w:rsidR="00D55BDA" w:rsidRPr="00881795">
        <w:fldChar w:fldCharType="end"/>
      </w:r>
      <w:r w:rsidRPr="00881795">
        <w:t xml:space="preserve">: Access to Piped Water </w:t>
      </w:r>
      <w:bookmarkEnd w:id="266"/>
      <w:r w:rsidR="00755976">
        <w:t xml:space="preserve">(CS </w:t>
      </w:r>
      <w:r w:rsidR="00B84798">
        <w:t>2016</w:t>
      </w:r>
      <w:r w:rsidR="00755976">
        <w:t>)</w:t>
      </w:r>
      <w:bookmarkEnd w:id="267"/>
    </w:p>
    <w:p w14:paraId="418F88BE" w14:textId="77777777" w:rsidR="00E449C1" w:rsidRDefault="00E449C1" w:rsidP="002F62F0">
      <w:pPr>
        <w:pStyle w:val="Caption"/>
      </w:pPr>
      <w:bookmarkStart w:id="268" w:name="_Toc257289530"/>
      <w:bookmarkStart w:id="269" w:name="_Toc325627951"/>
    </w:p>
    <w:bookmarkEnd w:id="268"/>
    <w:bookmarkEnd w:id="269"/>
    <w:p w14:paraId="735568A5" w14:textId="77777777" w:rsidR="00E449C1" w:rsidRPr="00E449C1" w:rsidRDefault="00E449C1" w:rsidP="00750180">
      <w:pPr>
        <w:pStyle w:val="Heading5"/>
        <w:numPr>
          <w:ilvl w:val="4"/>
          <w:numId w:val="29"/>
        </w:numPr>
        <w:spacing w:after="240"/>
      </w:pPr>
      <w:r w:rsidRPr="00E449C1">
        <w:lastRenderedPageBreak/>
        <w:t>Water Backlogs</w:t>
      </w:r>
    </w:p>
    <w:p w14:paraId="2E9C7076" w14:textId="77777777" w:rsidR="00E449C1" w:rsidRDefault="00E449C1" w:rsidP="00E449C1">
      <w:r>
        <w:t>The strategies to eradicate backlogs by KCDM is summarized as follows:</w:t>
      </w:r>
    </w:p>
    <w:p w14:paraId="429335B6" w14:textId="77777777" w:rsidR="00E449C1" w:rsidRDefault="00E449C1" w:rsidP="00750180">
      <w:pPr>
        <w:pStyle w:val="ListParagraph"/>
        <w:numPr>
          <w:ilvl w:val="0"/>
          <w:numId w:val="71"/>
        </w:numPr>
      </w:pPr>
      <w:r>
        <w:t xml:space="preserve">To provide at least 90% of the backlog population with a water volume of 5l/capita/day within a 1000m walking distance, and; </w:t>
      </w:r>
    </w:p>
    <w:p w14:paraId="24804E9A" w14:textId="77777777" w:rsidR="00E449C1" w:rsidRDefault="00E449C1" w:rsidP="00750180">
      <w:pPr>
        <w:pStyle w:val="ListParagraph"/>
        <w:numPr>
          <w:ilvl w:val="0"/>
          <w:numId w:val="71"/>
        </w:numPr>
      </w:pPr>
      <w:r>
        <w:t>To provide at least 35% of the backlog population with water to the RDP level of service, i.e. 100l/capacity/day.</w:t>
      </w:r>
    </w:p>
    <w:p w14:paraId="6954285C" w14:textId="77777777" w:rsidR="00100208" w:rsidRDefault="00100208" w:rsidP="00100208">
      <w:pPr>
        <w:jc w:val="both"/>
      </w:pPr>
      <w:r w:rsidRPr="00100208">
        <w:t xml:space="preserve">In addition to the above, there are about 220 small, stand-alone supply schemes in the </w:t>
      </w:r>
      <w:r w:rsidR="003C03FA">
        <w:t>District</w:t>
      </w:r>
      <w:r w:rsidRPr="00100208">
        <w:t xml:space="preserve"> that supply water to many rural areas. At least 145 of these schemes are fed by boreholes or springs. However, these groundwater resources are either not reliable of too low-yielding to be relied upon for the establishment of bulk supply systems. For this reason surface water resources are relied upon to a greater degree to feed the bulk water systems while groundwater resources are used in the interim to maintain existing services levels and provide a survival level of service in remote grey and drought affected areas in the </w:t>
      </w:r>
      <w:r w:rsidR="003C03FA">
        <w:t>District</w:t>
      </w:r>
      <w:r w:rsidRPr="00100208">
        <w:t>.</w:t>
      </w:r>
    </w:p>
    <w:p w14:paraId="5C9D3706" w14:textId="77777777" w:rsidR="00E449C1" w:rsidRPr="00E449C1" w:rsidRDefault="00E449C1" w:rsidP="002F62F0">
      <w:pPr>
        <w:pStyle w:val="Caption"/>
      </w:pPr>
      <w:bookmarkStart w:id="270" w:name="_Toc510622274"/>
      <w:r>
        <w:t xml:space="preserve">Table </w:t>
      </w:r>
      <w:r w:rsidR="00B918A6">
        <w:fldChar w:fldCharType="begin"/>
      </w:r>
      <w:r w:rsidR="00B918A6">
        <w:instrText xml:space="preserve"> SEQ Table \* ARABIC </w:instrText>
      </w:r>
      <w:r w:rsidR="00B918A6">
        <w:fldChar w:fldCharType="separate"/>
      </w:r>
      <w:r w:rsidR="0067023A">
        <w:rPr>
          <w:noProof/>
        </w:rPr>
        <w:t>24</w:t>
      </w:r>
      <w:r w:rsidR="00B918A6">
        <w:rPr>
          <w:noProof/>
        </w:rPr>
        <w:fldChar w:fldCharType="end"/>
      </w:r>
      <w:r>
        <w:t xml:space="preserve">: </w:t>
      </w:r>
      <w:r w:rsidRPr="000A41FE">
        <w:t xml:space="preserve">Water Supply Backlog in </w:t>
      </w:r>
      <w:r>
        <w:t>King Cetshwayo</w:t>
      </w:r>
      <w:r w:rsidRPr="000A41FE">
        <w:t xml:space="preserve"> </w:t>
      </w:r>
      <w:r w:rsidR="003C03FA">
        <w:t>District</w:t>
      </w:r>
      <w:r w:rsidRPr="000A41FE">
        <w:t xml:space="preserve"> </w:t>
      </w:r>
      <w:r>
        <w:t>(2015/16</w:t>
      </w:r>
      <w:r w:rsidRPr="000A41FE">
        <w:t>)</w:t>
      </w:r>
      <w:bookmarkEnd w:id="270"/>
    </w:p>
    <w:tbl>
      <w:tblPr>
        <w:tblW w:w="9384" w:type="dxa"/>
        <w:tblCellMar>
          <w:left w:w="0" w:type="dxa"/>
          <w:right w:w="0" w:type="dxa"/>
        </w:tblCellMar>
        <w:tblLook w:val="0600" w:firstRow="0" w:lastRow="0" w:firstColumn="0" w:lastColumn="0" w:noHBand="1" w:noVBand="1"/>
      </w:tblPr>
      <w:tblGrid>
        <w:gridCol w:w="2440"/>
        <w:gridCol w:w="1132"/>
        <w:gridCol w:w="1043"/>
        <w:gridCol w:w="1367"/>
        <w:gridCol w:w="1134"/>
        <w:gridCol w:w="1039"/>
        <w:gridCol w:w="1229"/>
      </w:tblGrid>
      <w:tr w:rsidR="00E449C1" w:rsidRPr="00E449C1" w14:paraId="28703848" w14:textId="77777777" w:rsidTr="00E449C1">
        <w:trPr>
          <w:trHeight w:val="236"/>
        </w:trPr>
        <w:tc>
          <w:tcPr>
            <w:tcW w:w="2440" w:type="dxa"/>
            <w:tcBorders>
              <w:top w:val="single" w:sz="8" w:space="0" w:color="000000"/>
              <w:left w:val="single" w:sz="8" w:space="0" w:color="000000"/>
              <w:bottom w:val="single" w:sz="8" w:space="0" w:color="000000"/>
              <w:right w:val="single" w:sz="8" w:space="0" w:color="000000"/>
            </w:tcBorders>
            <w:shd w:val="clear" w:color="auto" w:fill="000000" w:themeFill="text1"/>
            <w:tcMar>
              <w:top w:w="28" w:type="dxa"/>
              <w:left w:w="28" w:type="dxa"/>
              <w:bottom w:w="28" w:type="dxa"/>
              <w:right w:w="28" w:type="dxa"/>
            </w:tcMar>
            <w:vAlign w:val="center"/>
            <w:hideMark/>
          </w:tcPr>
          <w:p w14:paraId="1654C6B6" w14:textId="77777777" w:rsidR="00E449C1" w:rsidRPr="00E449C1" w:rsidRDefault="00E449C1" w:rsidP="00E449C1">
            <w:pPr>
              <w:spacing w:after="0" w:line="240" w:lineRule="auto"/>
              <w:rPr>
                <w:rFonts w:cs="Calibri"/>
                <w:b/>
                <w:color w:val="FFFFFF" w:themeColor="background1"/>
              </w:rPr>
            </w:pPr>
            <w:r w:rsidRPr="00E449C1">
              <w:rPr>
                <w:rFonts w:cs="Calibri"/>
                <w:b/>
                <w:color w:val="FFFFFF" w:themeColor="background1"/>
              </w:rPr>
              <w:t>Municipality</w:t>
            </w:r>
          </w:p>
        </w:tc>
        <w:tc>
          <w:tcPr>
            <w:tcW w:w="1132" w:type="dxa"/>
            <w:tcBorders>
              <w:top w:val="single" w:sz="8" w:space="0" w:color="000000"/>
              <w:left w:val="single" w:sz="8" w:space="0" w:color="000000"/>
              <w:bottom w:val="single" w:sz="8" w:space="0" w:color="000000"/>
              <w:right w:val="single" w:sz="8" w:space="0" w:color="000000"/>
            </w:tcBorders>
            <w:shd w:val="clear" w:color="auto" w:fill="000000" w:themeFill="text1"/>
            <w:tcMar>
              <w:top w:w="28" w:type="dxa"/>
              <w:left w:w="28" w:type="dxa"/>
              <w:bottom w:w="28" w:type="dxa"/>
              <w:right w:w="28" w:type="dxa"/>
            </w:tcMar>
            <w:vAlign w:val="center"/>
            <w:hideMark/>
          </w:tcPr>
          <w:p w14:paraId="4D57EC50" w14:textId="77777777" w:rsidR="00E449C1" w:rsidRPr="00E449C1" w:rsidRDefault="00E449C1" w:rsidP="00E449C1">
            <w:pPr>
              <w:spacing w:after="0" w:line="240" w:lineRule="auto"/>
              <w:jc w:val="center"/>
              <w:rPr>
                <w:rFonts w:cs="Calibri"/>
                <w:b/>
                <w:color w:val="FFFFFF" w:themeColor="background1"/>
              </w:rPr>
            </w:pPr>
            <w:r w:rsidRPr="00E449C1">
              <w:rPr>
                <w:rFonts w:cs="Calibri"/>
                <w:b/>
                <w:color w:val="FFFFFF" w:themeColor="background1"/>
              </w:rPr>
              <w:t>2001 / 2002 Households</w:t>
            </w:r>
          </w:p>
        </w:tc>
        <w:tc>
          <w:tcPr>
            <w:tcW w:w="1043" w:type="dxa"/>
            <w:tcBorders>
              <w:top w:val="single" w:sz="8" w:space="0" w:color="000000"/>
              <w:left w:val="single" w:sz="8" w:space="0" w:color="000000"/>
              <w:bottom w:val="single" w:sz="8" w:space="0" w:color="000000"/>
              <w:right w:val="single" w:sz="8" w:space="0" w:color="000000"/>
            </w:tcBorders>
            <w:shd w:val="clear" w:color="auto" w:fill="000000" w:themeFill="text1"/>
            <w:tcMar>
              <w:top w:w="28" w:type="dxa"/>
              <w:left w:w="28" w:type="dxa"/>
              <w:bottom w:w="28" w:type="dxa"/>
              <w:right w:w="28" w:type="dxa"/>
            </w:tcMar>
            <w:vAlign w:val="center"/>
            <w:hideMark/>
          </w:tcPr>
          <w:p w14:paraId="41119BBE" w14:textId="77777777" w:rsidR="00E449C1" w:rsidRPr="00E449C1" w:rsidRDefault="00E449C1" w:rsidP="00E449C1">
            <w:pPr>
              <w:spacing w:after="0" w:line="240" w:lineRule="auto"/>
              <w:jc w:val="center"/>
              <w:rPr>
                <w:rFonts w:cs="Calibri"/>
                <w:b/>
                <w:color w:val="FFFFFF" w:themeColor="background1"/>
              </w:rPr>
            </w:pPr>
            <w:r w:rsidRPr="00E449C1">
              <w:rPr>
                <w:rFonts w:cs="Calibri"/>
                <w:b/>
                <w:color w:val="FFFFFF" w:themeColor="background1"/>
              </w:rPr>
              <w:t xml:space="preserve">2001/2002 </w:t>
            </w:r>
          </w:p>
          <w:p w14:paraId="5B90AA54" w14:textId="77777777" w:rsidR="00E449C1" w:rsidRPr="00E449C1" w:rsidRDefault="00E449C1" w:rsidP="00E449C1">
            <w:pPr>
              <w:spacing w:after="0" w:line="240" w:lineRule="auto"/>
              <w:jc w:val="center"/>
              <w:rPr>
                <w:rFonts w:cs="Calibri"/>
                <w:b/>
                <w:color w:val="FFFFFF" w:themeColor="background1"/>
              </w:rPr>
            </w:pPr>
            <w:r w:rsidRPr="00E449C1">
              <w:rPr>
                <w:rFonts w:cs="Calibri"/>
                <w:b/>
                <w:color w:val="FFFFFF" w:themeColor="background1"/>
              </w:rPr>
              <w:t>% Backlog</w:t>
            </w:r>
          </w:p>
        </w:tc>
        <w:tc>
          <w:tcPr>
            <w:tcW w:w="1367" w:type="dxa"/>
            <w:tcBorders>
              <w:top w:val="single" w:sz="8" w:space="0" w:color="000000"/>
              <w:left w:val="single" w:sz="8" w:space="0" w:color="000000"/>
              <w:bottom w:val="single" w:sz="8" w:space="0" w:color="000000"/>
              <w:right w:val="single" w:sz="8" w:space="0" w:color="000000"/>
            </w:tcBorders>
            <w:shd w:val="clear" w:color="auto" w:fill="000000" w:themeFill="text1"/>
            <w:tcMar>
              <w:top w:w="28" w:type="dxa"/>
              <w:left w:w="28" w:type="dxa"/>
              <w:bottom w:w="28" w:type="dxa"/>
              <w:right w:w="28" w:type="dxa"/>
            </w:tcMar>
            <w:vAlign w:val="center"/>
          </w:tcPr>
          <w:p w14:paraId="57E33E58" w14:textId="77777777" w:rsidR="00E449C1" w:rsidRPr="00E449C1" w:rsidRDefault="00E449C1" w:rsidP="00E449C1">
            <w:pPr>
              <w:spacing w:after="0" w:line="240" w:lineRule="auto"/>
              <w:jc w:val="center"/>
              <w:rPr>
                <w:rFonts w:cs="Calibri"/>
                <w:b/>
                <w:color w:val="FFFFFF" w:themeColor="background1"/>
              </w:rPr>
            </w:pPr>
            <w:r w:rsidRPr="00E449C1">
              <w:rPr>
                <w:rFonts w:cs="Calibri"/>
                <w:b/>
                <w:color w:val="FFFFFF" w:themeColor="background1"/>
              </w:rPr>
              <w:t>2011 Households</w:t>
            </w:r>
          </w:p>
        </w:tc>
        <w:tc>
          <w:tcPr>
            <w:tcW w:w="1134" w:type="dxa"/>
            <w:tcBorders>
              <w:top w:val="single" w:sz="8" w:space="0" w:color="000000"/>
              <w:left w:val="single" w:sz="8" w:space="0" w:color="000000"/>
              <w:bottom w:val="single" w:sz="8" w:space="0" w:color="000000"/>
              <w:right w:val="single" w:sz="8" w:space="0" w:color="000000"/>
            </w:tcBorders>
            <w:shd w:val="clear" w:color="auto" w:fill="000000" w:themeFill="text1"/>
            <w:tcMar>
              <w:top w:w="28" w:type="dxa"/>
              <w:left w:w="28" w:type="dxa"/>
              <w:bottom w:w="28" w:type="dxa"/>
              <w:right w:w="28" w:type="dxa"/>
            </w:tcMar>
            <w:vAlign w:val="center"/>
            <w:hideMark/>
          </w:tcPr>
          <w:p w14:paraId="43DB8A0A" w14:textId="77777777" w:rsidR="00E449C1" w:rsidRPr="00E449C1" w:rsidRDefault="00E449C1" w:rsidP="00E449C1">
            <w:pPr>
              <w:spacing w:after="0" w:line="240" w:lineRule="auto"/>
              <w:jc w:val="center"/>
              <w:rPr>
                <w:rFonts w:cs="Calibri"/>
                <w:b/>
                <w:color w:val="FFFFFF" w:themeColor="background1"/>
              </w:rPr>
            </w:pPr>
            <w:r w:rsidRPr="00E449C1">
              <w:rPr>
                <w:rFonts w:cs="Calibri"/>
                <w:b/>
                <w:color w:val="FFFFFF" w:themeColor="background1"/>
              </w:rPr>
              <w:t>Households with Water</w:t>
            </w:r>
          </w:p>
        </w:tc>
        <w:tc>
          <w:tcPr>
            <w:tcW w:w="1039" w:type="dxa"/>
            <w:tcBorders>
              <w:top w:val="single" w:sz="8" w:space="0" w:color="000000"/>
              <w:left w:val="single" w:sz="8" w:space="0" w:color="000000"/>
              <w:bottom w:val="single" w:sz="8" w:space="0" w:color="000000"/>
              <w:right w:val="single" w:sz="8" w:space="0" w:color="000000"/>
            </w:tcBorders>
            <w:shd w:val="clear" w:color="auto" w:fill="000000" w:themeFill="text1"/>
            <w:tcMar>
              <w:top w:w="28" w:type="dxa"/>
              <w:left w:w="28" w:type="dxa"/>
              <w:bottom w:w="28" w:type="dxa"/>
              <w:right w:w="28" w:type="dxa"/>
            </w:tcMar>
            <w:vAlign w:val="center"/>
            <w:hideMark/>
          </w:tcPr>
          <w:p w14:paraId="584B73D4" w14:textId="77777777" w:rsidR="00E449C1" w:rsidRPr="00E449C1" w:rsidRDefault="00E449C1" w:rsidP="00E449C1">
            <w:pPr>
              <w:spacing w:after="0" w:line="240" w:lineRule="auto"/>
              <w:jc w:val="center"/>
              <w:rPr>
                <w:rFonts w:cs="Calibri"/>
                <w:b/>
                <w:color w:val="FFFFFF" w:themeColor="background1"/>
              </w:rPr>
            </w:pPr>
            <w:r w:rsidRPr="00E449C1">
              <w:rPr>
                <w:rFonts w:cs="Calibri"/>
                <w:b/>
                <w:color w:val="FFFFFF" w:themeColor="background1"/>
              </w:rPr>
              <w:t>Household without Water</w:t>
            </w:r>
          </w:p>
        </w:tc>
        <w:tc>
          <w:tcPr>
            <w:tcW w:w="1229" w:type="dxa"/>
            <w:tcBorders>
              <w:top w:val="single" w:sz="8" w:space="0" w:color="000000"/>
              <w:left w:val="single" w:sz="8" w:space="0" w:color="000000"/>
              <w:bottom w:val="single" w:sz="8" w:space="0" w:color="000000"/>
              <w:right w:val="single" w:sz="8" w:space="0" w:color="000000"/>
            </w:tcBorders>
            <w:shd w:val="clear" w:color="auto" w:fill="000000" w:themeFill="text1"/>
            <w:tcMar>
              <w:top w:w="28" w:type="dxa"/>
              <w:left w:w="28" w:type="dxa"/>
              <w:bottom w:w="28" w:type="dxa"/>
              <w:right w:w="28" w:type="dxa"/>
            </w:tcMar>
            <w:vAlign w:val="center"/>
            <w:hideMark/>
          </w:tcPr>
          <w:p w14:paraId="61A76FD2" w14:textId="77777777" w:rsidR="00E449C1" w:rsidRPr="00E449C1" w:rsidRDefault="00E449C1" w:rsidP="00E449C1">
            <w:pPr>
              <w:spacing w:after="0" w:line="240" w:lineRule="auto"/>
              <w:jc w:val="center"/>
              <w:rPr>
                <w:rFonts w:cs="Calibri"/>
                <w:b/>
                <w:color w:val="FFFFFF" w:themeColor="background1"/>
              </w:rPr>
            </w:pPr>
            <w:r w:rsidRPr="00E449C1">
              <w:rPr>
                <w:rFonts w:cs="Calibri"/>
                <w:b/>
                <w:color w:val="FFFFFF" w:themeColor="background1"/>
              </w:rPr>
              <w:t xml:space="preserve">2015/2016 </w:t>
            </w:r>
          </w:p>
          <w:p w14:paraId="6F79A307" w14:textId="77777777" w:rsidR="00E449C1" w:rsidRPr="00E449C1" w:rsidRDefault="00E449C1" w:rsidP="00E449C1">
            <w:pPr>
              <w:spacing w:after="0" w:line="240" w:lineRule="auto"/>
              <w:jc w:val="center"/>
              <w:rPr>
                <w:rFonts w:cs="Calibri"/>
                <w:b/>
                <w:color w:val="FFFFFF" w:themeColor="background1"/>
              </w:rPr>
            </w:pPr>
            <w:r w:rsidRPr="00E449C1">
              <w:rPr>
                <w:rFonts w:cs="Calibri"/>
                <w:b/>
                <w:color w:val="FFFFFF" w:themeColor="background1"/>
              </w:rPr>
              <w:t>% Backlog</w:t>
            </w:r>
          </w:p>
        </w:tc>
      </w:tr>
      <w:tr w:rsidR="00E449C1" w:rsidRPr="00E449C1" w14:paraId="5B9C1023" w14:textId="77777777" w:rsidTr="00E449C1">
        <w:trPr>
          <w:trHeight w:val="20"/>
        </w:trPr>
        <w:tc>
          <w:tcPr>
            <w:tcW w:w="2440" w:type="dxa"/>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742BFBFE" w14:textId="77777777" w:rsidR="00E449C1" w:rsidRPr="00E449C1" w:rsidRDefault="00E449C1" w:rsidP="00E449C1">
            <w:pPr>
              <w:spacing w:after="0" w:line="240" w:lineRule="auto"/>
              <w:rPr>
                <w:rFonts w:cs="Calibri"/>
                <w:b/>
                <w:color w:val="000000" w:themeColor="text1"/>
              </w:rPr>
            </w:pPr>
            <w:r w:rsidRPr="00E449C1">
              <w:rPr>
                <w:rFonts w:cs="Calibri"/>
                <w:b/>
                <w:color w:val="000000" w:themeColor="text1"/>
              </w:rPr>
              <w:t>uMfolozi  (KZ281)</w:t>
            </w:r>
          </w:p>
        </w:tc>
        <w:tc>
          <w:tcPr>
            <w:tcW w:w="1132" w:type="dxa"/>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566F374F" w14:textId="77777777" w:rsidR="00E449C1" w:rsidRPr="00E449C1" w:rsidRDefault="00E449C1" w:rsidP="00E449C1">
            <w:pPr>
              <w:spacing w:after="0" w:line="240" w:lineRule="auto"/>
              <w:jc w:val="center"/>
              <w:rPr>
                <w:rFonts w:cs="Calibri"/>
                <w:color w:val="000000" w:themeColor="text1"/>
              </w:rPr>
            </w:pPr>
            <w:r w:rsidRPr="00E449C1">
              <w:rPr>
                <w:rFonts w:cs="Calibri"/>
                <w:color w:val="000000" w:themeColor="text1"/>
              </w:rPr>
              <w:t>12664</w:t>
            </w:r>
          </w:p>
        </w:tc>
        <w:tc>
          <w:tcPr>
            <w:tcW w:w="1043" w:type="dxa"/>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03A9AB3E" w14:textId="77777777" w:rsidR="00E449C1" w:rsidRPr="00E449C1" w:rsidRDefault="00E449C1" w:rsidP="00E449C1">
            <w:pPr>
              <w:spacing w:after="0" w:line="240" w:lineRule="auto"/>
              <w:jc w:val="center"/>
              <w:rPr>
                <w:rFonts w:cs="Calibri"/>
                <w:color w:val="000000" w:themeColor="text1"/>
              </w:rPr>
            </w:pPr>
            <w:r w:rsidRPr="00E449C1">
              <w:rPr>
                <w:rFonts w:cs="Calibri"/>
                <w:color w:val="000000" w:themeColor="text1"/>
              </w:rPr>
              <w:t>97.%</w:t>
            </w:r>
          </w:p>
        </w:tc>
        <w:tc>
          <w:tcPr>
            <w:tcW w:w="1367" w:type="dxa"/>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tcPr>
          <w:p w14:paraId="1F1B1F53" w14:textId="77777777" w:rsidR="00E449C1" w:rsidRPr="00E449C1" w:rsidRDefault="00E449C1" w:rsidP="00E449C1">
            <w:pPr>
              <w:spacing w:after="0"/>
              <w:jc w:val="center"/>
              <w:rPr>
                <w:rFonts w:cs="Calibri"/>
                <w:color w:val="000000" w:themeColor="text1"/>
              </w:rPr>
            </w:pPr>
            <w:r w:rsidRPr="00E449C1">
              <w:rPr>
                <w:rFonts w:cs="Calibri"/>
                <w:color w:val="000000" w:themeColor="text1"/>
              </w:rPr>
              <w:t xml:space="preserve">25584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6E8D76A9" w14:textId="77777777" w:rsidR="00E449C1" w:rsidRPr="00E449C1" w:rsidRDefault="00E449C1" w:rsidP="00E449C1">
            <w:pPr>
              <w:spacing w:after="0" w:line="360" w:lineRule="auto"/>
              <w:jc w:val="center"/>
              <w:rPr>
                <w:rFonts w:cs="Calibri"/>
                <w:color w:val="000000" w:themeColor="text1"/>
              </w:rPr>
            </w:pPr>
            <w:r w:rsidRPr="00E449C1">
              <w:rPr>
                <w:rFonts w:cs="Calibri"/>
                <w:color w:val="000000" w:themeColor="text1"/>
              </w:rPr>
              <w:t xml:space="preserve">17744 </w:t>
            </w:r>
          </w:p>
        </w:tc>
        <w:tc>
          <w:tcPr>
            <w:tcW w:w="1039" w:type="dxa"/>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440E247C" w14:textId="77777777" w:rsidR="00E449C1" w:rsidRPr="00E449C1" w:rsidRDefault="00E449C1" w:rsidP="00E449C1">
            <w:pPr>
              <w:spacing w:after="0" w:line="360" w:lineRule="auto"/>
              <w:jc w:val="center"/>
              <w:rPr>
                <w:rFonts w:cs="Calibri"/>
                <w:color w:val="000000" w:themeColor="text1"/>
              </w:rPr>
            </w:pPr>
            <w:r w:rsidRPr="00E449C1">
              <w:rPr>
                <w:rFonts w:cs="Calibri"/>
                <w:color w:val="000000" w:themeColor="text1"/>
              </w:rPr>
              <w:t xml:space="preserve">7 840 </w:t>
            </w:r>
          </w:p>
        </w:tc>
        <w:tc>
          <w:tcPr>
            <w:tcW w:w="1229" w:type="dxa"/>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6D9A82E2" w14:textId="77777777" w:rsidR="00E449C1" w:rsidRPr="00E449C1" w:rsidRDefault="00E449C1" w:rsidP="00E449C1">
            <w:pPr>
              <w:spacing w:after="0" w:line="360" w:lineRule="auto"/>
              <w:jc w:val="center"/>
              <w:rPr>
                <w:rFonts w:cs="Calibri"/>
                <w:color w:val="000000" w:themeColor="text1"/>
              </w:rPr>
            </w:pPr>
            <w:r w:rsidRPr="00E449C1">
              <w:rPr>
                <w:rFonts w:cs="Calibri"/>
                <w:color w:val="000000" w:themeColor="text1"/>
              </w:rPr>
              <w:t xml:space="preserve">34% </w:t>
            </w:r>
          </w:p>
        </w:tc>
      </w:tr>
      <w:tr w:rsidR="00E449C1" w:rsidRPr="00E449C1" w14:paraId="49ADC941" w14:textId="77777777" w:rsidTr="00E449C1">
        <w:trPr>
          <w:trHeight w:val="20"/>
        </w:trPr>
        <w:tc>
          <w:tcPr>
            <w:tcW w:w="2440"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28" w:type="dxa"/>
              <w:left w:w="28" w:type="dxa"/>
              <w:bottom w:w="28" w:type="dxa"/>
              <w:right w:w="28" w:type="dxa"/>
            </w:tcMar>
            <w:vAlign w:val="center"/>
            <w:hideMark/>
          </w:tcPr>
          <w:p w14:paraId="0D23E842" w14:textId="77777777" w:rsidR="00E449C1" w:rsidRPr="00E449C1" w:rsidRDefault="00E449C1" w:rsidP="00E449C1">
            <w:pPr>
              <w:spacing w:after="0" w:line="240" w:lineRule="auto"/>
              <w:rPr>
                <w:rFonts w:cs="Calibri"/>
                <w:b/>
                <w:color w:val="000000" w:themeColor="text1"/>
              </w:rPr>
            </w:pPr>
            <w:r w:rsidRPr="00E449C1">
              <w:rPr>
                <w:rFonts w:cs="Calibri"/>
                <w:b/>
                <w:color w:val="000000" w:themeColor="text1"/>
              </w:rPr>
              <w:t>uMlalazi (KZ284)</w:t>
            </w:r>
          </w:p>
        </w:tc>
        <w:tc>
          <w:tcPr>
            <w:tcW w:w="1132"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28" w:type="dxa"/>
              <w:left w:w="28" w:type="dxa"/>
              <w:bottom w:w="28" w:type="dxa"/>
              <w:right w:w="28" w:type="dxa"/>
            </w:tcMar>
            <w:vAlign w:val="center"/>
            <w:hideMark/>
          </w:tcPr>
          <w:p w14:paraId="3591E1C7" w14:textId="77777777" w:rsidR="00E449C1" w:rsidRPr="00E449C1" w:rsidRDefault="00E449C1" w:rsidP="00E449C1">
            <w:pPr>
              <w:spacing w:after="0" w:line="240" w:lineRule="auto"/>
              <w:jc w:val="center"/>
              <w:rPr>
                <w:rFonts w:cs="Calibri"/>
                <w:b/>
                <w:color w:val="000000" w:themeColor="text1"/>
              </w:rPr>
            </w:pPr>
            <w:r w:rsidRPr="00E449C1">
              <w:rPr>
                <w:rFonts w:cs="Calibri"/>
                <w:b/>
                <w:color w:val="000000" w:themeColor="text1"/>
              </w:rPr>
              <w:t>34484</w:t>
            </w:r>
          </w:p>
        </w:tc>
        <w:tc>
          <w:tcPr>
            <w:tcW w:w="1043"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28" w:type="dxa"/>
              <w:left w:w="28" w:type="dxa"/>
              <w:bottom w:w="28" w:type="dxa"/>
              <w:right w:w="28" w:type="dxa"/>
            </w:tcMar>
            <w:vAlign w:val="center"/>
            <w:hideMark/>
          </w:tcPr>
          <w:p w14:paraId="388F52CE" w14:textId="77777777" w:rsidR="00E449C1" w:rsidRPr="00E449C1" w:rsidRDefault="00E449C1" w:rsidP="00E449C1">
            <w:pPr>
              <w:spacing w:after="0" w:line="240" w:lineRule="auto"/>
              <w:jc w:val="center"/>
              <w:rPr>
                <w:rFonts w:cs="Calibri"/>
                <w:b/>
                <w:color w:val="000000" w:themeColor="text1"/>
              </w:rPr>
            </w:pPr>
            <w:r w:rsidRPr="00E449C1">
              <w:rPr>
                <w:rFonts w:cs="Calibri"/>
                <w:b/>
                <w:color w:val="000000" w:themeColor="text1"/>
              </w:rPr>
              <w:t>82%</w:t>
            </w:r>
          </w:p>
        </w:tc>
        <w:tc>
          <w:tcPr>
            <w:tcW w:w="1367"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28" w:type="dxa"/>
              <w:left w:w="28" w:type="dxa"/>
              <w:bottom w:w="28" w:type="dxa"/>
              <w:right w:w="28" w:type="dxa"/>
            </w:tcMar>
          </w:tcPr>
          <w:p w14:paraId="6D68758F" w14:textId="77777777" w:rsidR="00E449C1" w:rsidRPr="00E449C1" w:rsidRDefault="00E449C1" w:rsidP="00E449C1">
            <w:pPr>
              <w:spacing w:after="0"/>
              <w:jc w:val="center"/>
              <w:rPr>
                <w:rFonts w:cs="Calibri"/>
                <w:b/>
                <w:color w:val="000000" w:themeColor="text1"/>
              </w:rPr>
            </w:pPr>
            <w:r w:rsidRPr="00E449C1">
              <w:rPr>
                <w:rFonts w:cs="Calibri"/>
                <w:b/>
                <w:color w:val="000000" w:themeColor="text1"/>
              </w:rPr>
              <w:t xml:space="preserve">45062 </w:t>
            </w:r>
          </w:p>
        </w:tc>
        <w:tc>
          <w:tcPr>
            <w:tcW w:w="1134"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28" w:type="dxa"/>
              <w:left w:w="28" w:type="dxa"/>
              <w:bottom w:w="28" w:type="dxa"/>
              <w:right w:w="28" w:type="dxa"/>
            </w:tcMar>
            <w:vAlign w:val="center"/>
            <w:hideMark/>
          </w:tcPr>
          <w:p w14:paraId="5B72EF26" w14:textId="77777777" w:rsidR="00E449C1" w:rsidRPr="00E449C1" w:rsidRDefault="00E449C1" w:rsidP="00E449C1">
            <w:pPr>
              <w:spacing w:after="0" w:line="360" w:lineRule="auto"/>
              <w:jc w:val="center"/>
              <w:rPr>
                <w:rFonts w:cs="Calibri"/>
                <w:b/>
                <w:color w:val="000000" w:themeColor="text1"/>
              </w:rPr>
            </w:pPr>
            <w:r w:rsidRPr="00E449C1">
              <w:rPr>
                <w:rFonts w:cs="Calibri"/>
                <w:b/>
                <w:color w:val="000000" w:themeColor="text1"/>
              </w:rPr>
              <w:t xml:space="preserve">25 034 </w:t>
            </w:r>
          </w:p>
        </w:tc>
        <w:tc>
          <w:tcPr>
            <w:tcW w:w="1039"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28" w:type="dxa"/>
              <w:left w:w="28" w:type="dxa"/>
              <w:bottom w:w="28" w:type="dxa"/>
              <w:right w:w="28" w:type="dxa"/>
            </w:tcMar>
            <w:vAlign w:val="center"/>
            <w:hideMark/>
          </w:tcPr>
          <w:p w14:paraId="634D7CEA" w14:textId="77777777" w:rsidR="00E449C1" w:rsidRPr="00E449C1" w:rsidRDefault="00E449C1" w:rsidP="00E449C1">
            <w:pPr>
              <w:spacing w:after="0" w:line="360" w:lineRule="auto"/>
              <w:jc w:val="center"/>
              <w:rPr>
                <w:rFonts w:cs="Calibri"/>
                <w:b/>
                <w:color w:val="000000" w:themeColor="text1"/>
              </w:rPr>
            </w:pPr>
            <w:r w:rsidRPr="00E449C1">
              <w:rPr>
                <w:rFonts w:cs="Calibri"/>
                <w:b/>
                <w:color w:val="000000" w:themeColor="text1"/>
              </w:rPr>
              <w:t xml:space="preserve">20 028 </w:t>
            </w:r>
          </w:p>
        </w:tc>
        <w:tc>
          <w:tcPr>
            <w:tcW w:w="1229" w:type="dxa"/>
            <w:tcBorders>
              <w:top w:val="single" w:sz="8" w:space="0" w:color="000000"/>
              <w:left w:val="single" w:sz="8" w:space="0" w:color="000000"/>
              <w:bottom w:val="single" w:sz="8" w:space="0" w:color="000000"/>
              <w:right w:val="single" w:sz="8" w:space="0" w:color="000000"/>
            </w:tcBorders>
            <w:shd w:val="clear" w:color="auto" w:fill="D6E3BC" w:themeFill="accent3" w:themeFillTint="66"/>
            <w:tcMar>
              <w:top w:w="28" w:type="dxa"/>
              <w:left w:w="28" w:type="dxa"/>
              <w:bottom w:w="28" w:type="dxa"/>
              <w:right w:w="28" w:type="dxa"/>
            </w:tcMar>
            <w:vAlign w:val="center"/>
            <w:hideMark/>
          </w:tcPr>
          <w:p w14:paraId="2EBDFD5E" w14:textId="77777777" w:rsidR="00E449C1" w:rsidRPr="00E449C1" w:rsidRDefault="00E449C1" w:rsidP="00E449C1">
            <w:pPr>
              <w:spacing w:after="0" w:line="360" w:lineRule="auto"/>
              <w:jc w:val="center"/>
              <w:rPr>
                <w:rFonts w:cs="Calibri"/>
                <w:b/>
                <w:color w:val="000000" w:themeColor="text1"/>
              </w:rPr>
            </w:pPr>
            <w:r w:rsidRPr="00E449C1">
              <w:rPr>
                <w:rFonts w:cs="Calibri"/>
                <w:b/>
                <w:color w:val="000000" w:themeColor="text1"/>
              </w:rPr>
              <w:t xml:space="preserve">44% </w:t>
            </w:r>
          </w:p>
        </w:tc>
      </w:tr>
      <w:tr w:rsidR="00E449C1" w:rsidRPr="00E449C1" w14:paraId="0A363226" w14:textId="77777777" w:rsidTr="00E449C1">
        <w:trPr>
          <w:trHeight w:val="20"/>
        </w:trPr>
        <w:tc>
          <w:tcPr>
            <w:tcW w:w="2440" w:type="dxa"/>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2B0E8EBE" w14:textId="77777777" w:rsidR="00E449C1" w:rsidRPr="00E449C1" w:rsidRDefault="00E449C1" w:rsidP="00E449C1">
            <w:pPr>
              <w:spacing w:after="0" w:line="240" w:lineRule="auto"/>
              <w:rPr>
                <w:rFonts w:cs="Calibri"/>
                <w:b/>
                <w:color w:val="000000" w:themeColor="text1"/>
              </w:rPr>
            </w:pPr>
            <w:r w:rsidRPr="00E449C1">
              <w:rPr>
                <w:rFonts w:cs="Calibri"/>
                <w:b/>
                <w:color w:val="000000" w:themeColor="text1"/>
              </w:rPr>
              <w:t>Mthonjaneni (KZ285)</w:t>
            </w:r>
          </w:p>
        </w:tc>
        <w:tc>
          <w:tcPr>
            <w:tcW w:w="1132" w:type="dxa"/>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6886D77A" w14:textId="77777777" w:rsidR="00E449C1" w:rsidRPr="00E449C1" w:rsidRDefault="00E449C1" w:rsidP="00E449C1">
            <w:pPr>
              <w:spacing w:after="0" w:line="240" w:lineRule="auto"/>
              <w:jc w:val="center"/>
              <w:rPr>
                <w:rFonts w:cs="Calibri"/>
                <w:color w:val="000000" w:themeColor="text1"/>
              </w:rPr>
            </w:pPr>
            <w:r w:rsidRPr="00E449C1">
              <w:rPr>
                <w:rFonts w:cs="Calibri"/>
                <w:color w:val="000000" w:themeColor="text1"/>
              </w:rPr>
              <w:t>6056</w:t>
            </w:r>
          </w:p>
        </w:tc>
        <w:tc>
          <w:tcPr>
            <w:tcW w:w="1043" w:type="dxa"/>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180555F7" w14:textId="77777777" w:rsidR="00E449C1" w:rsidRPr="00E449C1" w:rsidRDefault="00E449C1" w:rsidP="00E449C1">
            <w:pPr>
              <w:spacing w:after="0" w:line="240" w:lineRule="auto"/>
              <w:jc w:val="center"/>
              <w:rPr>
                <w:rFonts w:cs="Calibri"/>
                <w:color w:val="000000" w:themeColor="text1"/>
              </w:rPr>
            </w:pPr>
            <w:r w:rsidRPr="00E449C1">
              <w:rPr>
                <w:rFonts w:cs="Calibri"/>
                <w:color w:val="000000" w:themeColor="text1"/>
              </w:rPr>
              <w:t>78%</w:t>
            </w:r>
          </w:p>
        </w:tc>
        <w:tc>
          <w:tcPr>
            <w:tcW w:w="1367" w:type="dxa"/>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tcPr>
          <w:p w14:paraId="1FBF94C3" w14:textId="77777777" w:rsidR="00E449C1" w:rsidRPr="00E449C1" w:rsidRDefault="00E449C1" w:rsidP="00E449C1">
            <w:pPr>
              <w:spacing w:after="0"/>
              <w:jc w:val="center"/>
              <w:rPr>
                <w:rFonts w:cs="Calibri"/>
                <w:color w:val="000000" w:themeColor="text1"/>
              </w:rPr>
            </w:pPr>
            <w:r w:rsidRPr="00E449C1">
              <w:rPr>
                <w:rFonts w:cs="Calibri"/>
                <w:color w:val="000000" w:themeColor="text1"/>
              </w:rPr>
              <w:t xml:space="preserve">10433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13BAC0E1" w14:textId="77777777" w:rsidR="00E449C1" w:rsidRPr="00E449C1" w:rsidRDefault="00E449C1" w:rsidP="00E449C1">
            <w:pPr>
              <w:spacing w:after="0" w:line="360" w:lineRule="auto"/>
              <w:jc w:val="center"/>
              <w:rPr>
                <w:rFonts w:cs="Calibri"/>
                <w:color w:val="000000" w:themeColor="text1"/>
              </w:rPr>
            </w:pPr>
            <w:r w:rsidRPr="00E449C1">
              <w:rPr>
                <w:rFonts w:cs="Calibri"/>
                <w:color w:val="000000" w:themeColor="text1"/>
              </w:rPr>
              <w:t xml:space="preserve">7407 </w:t>
            </w:r>
          </w:p>
        </w:tc>
        <w:tc>
          <w:tcPr>
            <w:tcW w:w="1039" w:type="dxa"/>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7E862883" w14:textId="77777777" w:rsidR="00E449C1" w:rsidRPr="00E449C1" w:rsidRDefault="00E449C1" w:rsidP="00E449C1">
            <w:pPr>
              <w:spacing w:after="0" w:line="360" w:lineRule="auto"/>
              <w:jc w:val="center"/>
              <w:rPr>
                <w:rFonts w:cs="Calibri"/>
                <w:color w:val="000000" w:themeColor="text1"/>
              </w:rPr>
            </w:pPr>
            <w:r w:rsidRPr="00E449C1">
              <w:rPr>
                <w:rFonts w:cs="Calibri"/>
                <w:color w:val="000000" w:themeColor="text1"/>
              </w:rPr>
              <w:t>3026</w:t>
            </w:r>
          </w:p>
        </w:tc>
        <w:tc>
          <w:tcPr>
            <w:tcW w:w="1229" w:type="dxa"/>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7BCD334E" w14:textId="77777777" w:rsidR="00E449C1" w:rsidRPr="00E449C1" w:rsidRDefault="00E449C1" w:rsidP="00E449C1">
            <w:pPr>
              <w:spacing w:after="0" w:line="360" w:lineRule="auto"/>
              <w:jc w:val="center"/>
              <w:rPr>
                <w:rFonts w:cs="Calibri"/>
                <w:color w:val="000000" w:themeColor="text1"/>
              </w:rPr>
            </w:pPr>
            <w:r w:rsidRPr="00E449C1">
              <w:rPr>
                <w:rFonts w:cs="Calibri"/>
                <w:color w:val="000000" w:themeColor="text1"/>
              </w:rPr>
              <w:t xml:space="preserve">29% </w:t>
            </w:r>
          </w:p>
        </w:tc>
      </w:tr>
      <w:tr w:rsidR="00E449C1" w:rsidRPr="00E449C1" w14:paraId="158A0511" w14:textId="77777777" w:rsidTr="00E449C1">
        <w:trPr>
          <w:trHeight w:val="20"/>
        </w:trPr>
        <w:tc>
          <w:tcPr>
            <w:tcW w:w="2440" w:type="dxa"/>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5C2E8431" w14:textId="77777777" w:rsidR="00E449C1" w:rsidRPr="00E449C1" w:rsidRDefault="00E449C1" w:rsidP="00E449C1">
            <w:pPr>
              <w:spacing w:after="0" w:line="240" w:lineRule="auto"/>
              <w:rPr>
                <w:rFonts w:cs="Calibri"/>
                <w:b/>
                <w:color w:val="000000" w:themeColor="text1"/>
              </w:rPr>
            </w:pPr>
            <w:r w:rsidRPr="00E449C1">
              <w:rPr>
                <w:rFonts w:cs="Calibri"/>
                <w:b/>
                <w:color w:val="000000" w:themeColor="text1"/>
              </w:rPr>
              <w:t>Nkandla (KZ286)</w:t>
            </w:r>
          </w:p>
        </w:tc>
        <w:tc>
          <w:tcPr>
            <w:tcW w:w="1132" w:type="dxa"/>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7F9221F7" w14:textId="77777777" w:rsidR="00E449C1" w:rsidRPr="00E449C1" w:rsidRDefault="00E449C1" w:rsidP="00E449C1">
            <w:pPr>
              <w:spacing w:after="0" w:line="240" w:lineRule="auto"/>
              <w:jc w:val="center"/>
              <w:rPr>
                <w:rFonts w:cs="Calibri"/>
                <w:color w:val="000000" w:themeColor="text1"/>
              </w:rPr>
            </w:pPr>
            <w:r w:rsidRPr="00E449C1">
              <w:rPr>
                <w:rFonts w:cs="Calibri"/>
                <w:color w:val="000000" w:themeColor="text1"/>
              </w:rPr>
              <w:t>21085</w:t>
            </w:r>
          </w:p>
        </w:tc>
        <w:tc>
          <w:tcPr>
            <w:tcW w:w="1043" w:type="dxa"/>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242DFC97" w14:textId="77777777" w:rsidR="00E449C1" w:rsidRPr="00E449C1" w:rsidRDefault="00E449C1" w:rsidP="00E449C1">
            <w:pPr>
              <w:spacing w:after="0" w:line="240" w:lineRule="auto"/>
              <w:jc w:val="center"/>
              <w:rPr>
                <w:rFonts w:cs="Calibri"/>
                <w:color w:val="000000" w:themeColor="text1"/>
              </w:rPr>
            </w:pPr>
            <w:r w:rsidRPr="00E449C1">
              <w:rPr>
                <w:rFonts w:cs="Calibri"/>
                <w:color w:val="000000" w:themeColor="text1"/>
              </w:rPr>
              <w:t>72%</w:t>
            </w:r>
          </w:p>
        </w:tc>
        <w:tc>
          <w:tcPr>
            <w:tcW w:w="1367" w:type="dxa"/>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tcPr>
          <w:p w14:paraId="133FEA13" w14:textId="77777777" w:rsidR="00E449C1" w:rsidRPr="00E449C1" w:rsidRDefault="00E449C1" w:rsidP="00E449C1">
            <w:pPr>
              <w:spacing w:after="0"/>
              <w:jc w:val="center"/>
              <w:rPr>
                <w:rFonts w:cs="Calibri"/>
                <w:color w:val="000000" w:themeColor="text1"/>
              </w:rPr>
            </w:pPr>
            <w:r w:rsidRPr="00E449C1">
              <w:rPr>
                <w:rFonts w:cs="Calibri"/>
                <w:color w:val="000000" w:themeColor="text1"/>
              </w:rPr>
              <w:t xml:space="preserve">22463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16039DBE" w14:textId="77777777" w:rsidR="00E449C1" w:rsidRPr="00E449C1" w:rsidRDefault="00E449C1" w:rsidP="00E449C1">
            <w:pPr>
              <w:spacing w:after="0" w:line="360" w:lineRule="auto"/>
              <w:jc w:val="center"/>
              <w:rPr>
                <w:rFonts w:cs="Calibri"/>
                <w:color w:val="000000" w:themeColor="text1"/>
              </w:rPr>
            </w:pPr>
            <w:r w:rsidRPr="00E449C1">
              <w:rPr>
                <w:rFonts w:cs="Calibri"/>
                <w:color w:val="000000" w:themeColor="text1"/>
              </w:rPr>
              <w:t xml:space="preserve">15499 </w:t>
            </w:r>
          </w:p>
        </w:tc>
        <w:tc>
          <w:tcPr>
            <w:tcW w:w="1039" w:type="dxa"/>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23C73666" w14:textId="77777777" w:rsidR="00E449C1" w:rsidRPr="00E449C1" w:rsidRDefault="00E449C1" w:rsidP="00E449C1">
            <w:pPr>
              <w:spacing w:after="0" w:line="360" w:lineRule="auto"/>
              <w:jc w:val="center"/>
              <w:rPr>
                <w:rFonts w:cs="Calibri"/>
                <w:color w:val="000000" w:themeColor="text1"/>
              </w:rPr>
            </w:pPr>
            <w:r w:rsidRPr="00E449C1">
              <w:rPr>
                <w:rFonts w:cs="Calibri"/>
                <w:color w:val="000000" w:themeColor="text1"/>
              </w:rPr>
              <w:t xml:space="preserve">6964 </w:t>
            </w:r>
          </w:p>
        </w:tc>
        <w:tc>
          <w:tcPr>
            <w:tcW w:w="1229" w:type="dxa"/>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2C7EBF9F" w14:textId="77777777" w:rsidR="00E449C1" w:rsidRPr="00E449C1" w:rsidRDefault="00E449C1" w:rsidP="00E449C1">
            <w:pPr>
              <w:spacing w:after="0" w:line="360" w:lineRule="auto"/>
              <w:jc w:val="center"/>
              <w:rPr>
                <w:rFonts w:cs="Calibri"/>
                <w:color w:val="000000" w:themeColor="text1"/>
              </w:rPr>
            </w:pPr>
            <w:r w:rsidRPr="00E449C1">
              <w:rPr>
                <w:rFonts w:cs="Calibri"/>
                <w:color w:val="000000" w:themeColor="text1"/>
              </w:rPr>
              <w:t xml:space="preserve">31% </w:t>
            </w:r>
          </w:p>
        </w:tc>
      </w:tr>
      <w:tr w:rsidR="00E449C1" w:rsidRPr="00E449C1" w14:paraId="03EF2B52" w14:textId="77777777" w:rsidTr="00E449C1">
        <w:trPr>
          <w:trHeight w:val="20"/>
        </w:trPr>
        <w:tc>
          <w:tcPr>
            <w:tcW w:w="2440" w:type="dxa"/>
            <w:tcBorders>
              <w:top w:val="single" w:sz="8" w:space="0" w:color="000000"/>
              <w:left w:val="single" w:sz="8" w:space="0" w:color="000000"/>
              <w:bottom w:val="single" w:sz="8" w:space="0" w:color="000000"/>
              <w:right w:val="single" w:sz="8" w:space="0" w:color="000000"/>
            </w:tcBorders>
            <w:shd w:val="clear" w:color="auto" w:fill="FFC000"/>
            <w:tcMar>
              <w:top w:w="28" w:type="dxa"/>
              <w:left w:w="28" w:type="dxa"/>
              <w:bottom w:w="28" w:type="dxa"/>
              <w:right w:w="28" w:type="dxa"/>
            </w:tcMar>
            <w:vAlign w:val="center"/>
            <w:hideMark/>
          </w:tcPr>
          <w:p w14:paraId="6AF10988" w14:textId="77777777" w:rsidR="00E449C1" w:rsidRPr="00E449C1" w:rsidRDefault="00E449C1" w:rsidP="00E449C1">
            <w:pPr>
              <w:spacing w:after="0" w:line="240" w:lineRule="auto"/>
              <w:rPr>
                <w:rFonts w:cs="Calibri"/>
                <w:b/>
                <w:color w:val="000000" w:themeColor="text1"/>
              </w:rPr>
            </w:pPr>
            <w:r w:rsidRPr="00E449C1">
              <w:rPr>
                <w:rFonts w:cs="Calibri"/>
                <w:b/>
                <w:color w:val="000000" w:themeColor="text1"/>
              </w:rPr>
              <w:t>Total</w:t>
            </w:r>
          </w:p>
        </w:tc>
        <w:tc>
          <w:tcPr>
            <w:tcW w:w="1132" w:type="dxa"/>
            <w:tcBorders>
              <w:top w:val="single" w:sz="8" w:space="0" w:color="000000"/>
              <w:left w:val="single" w:sz="8" w:space="0" w:color="000000"/>
              <w:bottom w:val="single" w:sz="8" w:space="0" w:color="000000"/>
              <w:right w:val="single" w:sz="8" w:space="0" w:color="000000"/>
            </w:tcBorders>
            <w:shd w:val="clear" w:color="auto" w:fill="FFC000"/>
            <w:tcMar>
              <w:top w:w="28" w:type="dxa"/>
              <w:left w:w="28" w:type="dxa"/>
              <w:bottom w:w="28" w:type="dxa"/>
              <w:right w:w="28" w:type="dxa"/>
            </w:tcMar>
            <w:vAlign w:val="center"/>
            <w:hideMark/>
          </w:tcPr>
          <w:p w14:paraId="3C0794A0" w14:textId="77777777" w:rsidR="00E449C1" w:rsidRPr="00E449C1" w:rsidRDefault="00E449C1" w:rsidP="00E449C1">
            <w:pPr>
              <w:spacing w:after="0" w:line="240" w:lineRule="auto"/>
              <w:jc w:val="center"/>
              <w:rPr>
                <w:rFonts w:cs="Calibri"/>
                <w:b/>
                <w:color w:val="000000" w:themeColor="text1"/>
              </w:rPr>
            </w:pPr>
            <w:r w:rsidRPr="00E449C1">
              <w:rPr>
                <w:rFonts w:cs="Calibri"/>
                <w:b/>
                <w:color w:val="000000" w:themeColor="text1"/>
              </w:rPr>
              <w:t>82817</w:t>
            </w:r>
          </w:p>
        </w:tc>
        <w:tc>
          <w:tcPr>
            <w:tcW w:w="1043" w:type="dxa"/>
            <w:tcBorders>
              <w:top w:val="single" w:sz="8" w:space="0" w:color="000000"/>
              <w:left w:val="single" w:sz="8" w:space="0" w:color="000000"/>
              <w:bottom w:val="single" w:sz="8" w:space="0" w:color="000000"/>
              <w:right w:val="single" w:sz="8" w:space="0" w:color="000000"/>
            </w:tcBorders>
            <w:shd w:val="clear" w:color="auto" w:fill="FFC000"/>
            <w:tcMar>
              <w:top w:w="28" w:type="dxa"/>
              <w:left w:w="28" w:type="dxa"/>
              <w:bottom w:w="28" w:type="dxa"/>
              <w:right w:w="28" w:type="dxa"/>
            </w:tcMar>
            <w:vAlign w:val="center"/>
            <w:hideMark/>
          </w:tcPr>
          <w:p w14:paraId="09DD9F76" w14:textId="77777777" w:rsidR="00E449C1" w:rsidRPr="00E449C1" w:rsidRDefault="00E449C1" w:rsidP="00E449C1">
            <w:pPr>
              <w:spacing w:after="0" w:line="240" w:lineRule="auto"/>
              <w:jc w:val="center"/>
              <w:rPr>
                <w:rFonts w:cs="Calibri"/>
                <w:b/>
                <w:color w:val="000000" w:themeColor="text1"/>
              </w:rPr>
            </w:pPr>
            <w:r w:rsidRPr="00E449C1">
              <w:rPr>
                <w:rFonts w:cs="Calibri"/>
                <w:b/>
                <w:color w:val="000000" w:themeColor="text1"/>
              </w:rPr>
              <w:t>81%</w:t>
            </w:r>
          </w:p>
        </w:tc>
        <w:tc>
          <w:tcPr>
            <w:tcW w:w="1367" w:type="dxa"/>
            <w:tcBorders>
              <w:top w:val="single" w:sz="8" w:space="0" w:color="000000"/>
              <w:left w:val="single" w:sz="8" w:space="0" w:color="000000"/>
              <w:bottom w:val="single" w:sz="8" w:space="0" w:color="000000"/>
              <w:right w:val="single" w:sz="8" w:space="0" w:color="000000"/>
            </w:tcBorders>
            <w:shd w:val="clear" w:color="auto" w:fill="FFC000"/>
            <w:tcMar>
              <w:top w:w="28" w:type="dxa"/>
              <w:left w:w="28" w:type="dxa"/>
              <w:bottom w:w="28" w:type="dxa"/>
              <w:right w:w="28" w:type="dxa"/>
            </w:tcMar>
            <w:vAlign w:val="center"/>
          </w:tcPr>
          <w:p w14:paraId="163B2379" w14:textId="77777777" w:rsidR="00E449C1" w:rsidRPr="00E449C1" w:rsidRDefault="00E449C1" w:rsidP="00E449C1">
            <w:pPr>
              <w:spacing w:after="0" w:line="240" w:lineRule="auto"/>
              <w:jc w:val="center"/>
              <w:rPr>
                <w:rFonts w:cs="Calibri"/>
                <w:b/>
                <w:color w:val="000000" w:themeColor="text1"/>
              </w:rPr>
            </w:pPr>
            <w:r w:rsidRPr="00E449C1">
              <w:rPr>
                <w:rFonts w:cs="Calibri"/>
                <w:b/>
                <w:color w:val="000000" w:themeColor="text1"/>
              </w:rPr>
              <w:t>116 367</w:t>
            </w:r>
          </w:p>
        </w:tc>
        <w:tc>
          <w:tcPr>
            <w:tcW w:w="1134" w:type="dxa"/>
            <w:tcBorders>
              <w:top w:val="single" w:sz="8" w:space="0" w:color="000000"/>
              <w:left w:val="single" w:sz="8" w:space="0" w:color="000000"/>
              <w:bottom w:val="single" w:sz="8" w:space="0" w:color="000000"/>
              <w:right w:val="single" w:sz="8" w:space="0" w:color="000000"/>
            </w:tcBorders>
            <w:shd w:val="clear" w:color="auto" w:fill="FFC000"/>
            <w:tcMar>
              <w:top w:w="28" w:type="dxa"/>
              <w:left w:w="28" w:type="dxa"/>
              <w:bottom w:w="28" w:type="dxa"/>
              <w:right w:w="28" w:type="dxa"/>
            </w:tcMar>
            <w:vAlign w:val="center"/>
            <w:hideMark/>
          </w:tcPr>
          <w:p w14:paraId="75CC95DF" w14:textId="77777777" w:rsidR="00E449C1" w:rsidRPr="00E449C1" w:rsidRDefault="00E449C1" w:rsidP="00E449C1">
            <w:pPr>
              <w:spacing w:after="0" w:line="240" w:lineRule="auto"/>
              <w:jc w:val="center"/>
              <w:rPr>
                <w:rFonts w:cs="Calibri"/>
                <w:b/>
                <w:color w:val="000000" w:themeColor="text1"/>
              </w:rPr>
            </w:pPr>
            <w:r w:rsidRPr="00E449C1">
              <w:rPr>
                <w:rFonts w:cs="Calibri"/>
                <w:b/>
                <w:color w:val="000000" w:themeColor="text1"/>
              </w:rPr>
              <w:t xml:space="preserve">74494 </w:t>
            </w:r>
          </w:p>
        </w:tc>
        <w:tc>
          <w:tcPr>
            <w:tcW w:w="1039" w:type="dxa"/>
            <w:tcBorders>
              <w:top w:val="single" w:sz="8" w:space="0" w:color="000000"/>
              <w:left w:val="single" w:sz="8" w:space="0" w:color="000000"/>
              <w:bottom w:val="single" w:sz="8" w:space="0" w:color="000000"/>
              <w:right w:val="single" w:sz="8" w:space="0" w:color="000000"/>
            </w:tcBorders>
            <w:shd w:val="clear" w:color="auto" w:fill="FFC000"/>
            <w:tcMar>
              <w:top w:w="28" w:type="dxa"/>
              <w:left w:w="28" w:type="dxa"/>
              <w:bottom w:w="28" w:type="dxa"/>
              <w:right w:w="28" w:type="dxa"/>
            </w:tcMar>
            <w:vAlign w:val="center"/>
            <w:hideMark/>
          </w:tcPr>
          <w:p w14:paraId="449E7FB3" w14:textId="77777777" w:rsidR="00E449C1" w:rsidRPr="00E449C1" w:rsidRDefault="00E449C1" w:rsidP="00E449C1">
            <w:pPr>
              <w:spacing w:after="0" w:line="240" w:lineRule="auto"/>
              <w:jc w:val="center"/>
              <w:rPr>
                <w:rFonts w:cs="Calibri"/>
                <w:b/>
                <w:color w:val="000000" w:themeColor="text1"/>
              </w:rPr>
            </w:pPr>
            <w:r w:rsidRPr="00E449C1">
              <w:rPr>
                <w:rFonts w:cs="Calibri"/>
                <w:b/>
                <w:color w:val="000000" w:themeColor="text1"/>
              </w:rPr>
              <w:t>41874</w:t>
            </w:r>
          </w:p>
        </w:tc>
        <w:tc>
          <w:tcPr>
            <w:tcW w:w="1229" w:type="dxa"/>
            <w:tcBorders>
              <w:top w:val="single" w:sz="8" w:space="0" w:color="000000"/>
              <w:left w:val="single" w:sz="8" w:space="0" w:color="000000"/>
              <w:bottom w:val="single" w:sz="8" w:space="0" w:color="000000"/>
              <w:right w:val="single" w:sz="8" w:space="0" w:color="000000"/>
            </w:tcBorders>
            <w:shd w:val="clear" w:color="auto" w:fill="FFC000"/>
            <w:tcMar>
              <w:top w:w="28" w:type="dxa"/>
              <w:left w:w="28" w:type="dxa"/>
              <w:bottom w:w="28" w:type="dxa"/>
              <w:right w:w="28" w:type="dxa"/>
            </w:tcMar>
            <w:vAlign w:val="center"/>
            <w:hideMark/>
          </w:tcPr>
          <w:p w14:paraId="0F95E141" w14:textId="77777777" w:rsidR="00E449C1" w:rsidRPr="00E449C1" w:rsidRDefault="00E449C1" w:rsidP="00E449C1">
            <w:pPr>
              <w:spacing w:after="0" w:line="240" w:lineRule="auto"/>
              <w:jc w:val="center"/>
              <w:rPr>
                <w:rFonts w:cs="Calibri"/>
                <w:b/>
                <w:color w:val="000000" w:themeColor="text1"/>
              </w:rPr>
            </w:pPr>
            <w:r w:rsidRPr="00E449C1">
              <w:rPr>
                <w:rFonts w:cs="Calibri"/>
                <w:b/>
                <w:color w:val="000000" w:themeColor="text1"/>
              </w:rPr>
              <w:t xml:space="preserve">36 % </w:t>
            </w:r>
          </w:p>
        </w:tc>
      </w:tr>
    </w:tbl>
    <w:p w14:paraId="095D9ED1" w14:textId="77777777" w:rsidR="00B67486" w:rsidRDefault="00FC1332" w:rsidP="00395313">
      <w:pPr>
        <w:jc w:val="both"/>
        <w:outlineLvl w:val="0"/>
        <w:rPr>
          <w:rFonts w:cs="Calibri"/>
          <w:i/>
          <w:color w:val="000000" w:themeColor="text1"/>
        </w:rPr>
      </w:pPr>
      <w:r>
        <w:rPr>
          <w:rFonts w:cs="Calibri"/>
          <w:i/>
          <w:color w:val="000000" w:themeColor="text1"/>
        </w:rPr>
        <w:t xml:space="preserve">Source: </w:t>
      </w:r>
      <w:r w:rsidR="001D792E">
        <w:rPr>
          <w:rFonts w:cs="Calibri"/>
          <w:i/>
          <w:color w:val="000000" w:themeColor="text1"/>
        </w:rPr>
        <w:t>King Cetshwayo</w:t>
      </w:r>
      <w:r>
        <w:rPr>
          <w:rFonts w:cs="Calibri"/>
          <w:i/>
          <w:color w:val="000000" w:themeColor="text1"/>
        </w:rPr>
        <w:t xml:space="preserve"> DM </w:t>
      </w:r>
    </w:p>
    <w:p w14:paraId="67A269FA" w14:textId="77777777" w:rsidR="00407352" w:rsidRPr="00AC3959" w:rsidRDefault="00407352" w:rsidP="00750180">
      <w:pPr>
        <w:pStyle w:val="Heading4"/>
        <w:numPr>
          <w:ilvl w:val="3"/>
          <w:numId w:val="29"/>
        </w:numPr>
        <w:spacing w:after="240"/>
      </w:pPr>
      <w:bookmarkStart w:id="271" w:name="_Toc350093436"/>
      <w:bookmarkStart w:id="272" w:name="_Toc389739871"/>
      <w:bookmarkStart w:id="273" w:name="_Toc257289531"/>
      <w:r w:rsidRPr="00AC3959">
        <w:t>Sanitation</w:t>
      </w:r>
      <w:bookmarkEnd w:id="271"/>
      <w:bookmarkEnd w:id="272"/>
    </w:p>
    <w:p w14:paraId="5CC8828C" w14:textId="77777777" w:rsidR="00100208" w:rsidRDefault="00100208" w:rsidP="00B51FBC">
      <w:pPr>
        <w:jc w:val="both"/>
      </w:pPr>
      <w:r>
        <w:t xml:space="preserve">KCDM has extensively covered sanitation facilitites in all four local municipalitites except in uMlalazi LM where there is still backlog of 22% which is to be finished by 2017/18. The Technical services department is however busy with the planning for quantifying of the infills in all local municipalities within KCDM by 2017. The table below indicate statistics from the 2016 Community Survey conducted by StatsSA.  </w:t>
      </w:r>
      <w:r w:rsidR="00B51FBC">
        <w:t>The below indicates that the majority of the households within uMLM have some access to sanitary facilities with almost 3% use other unconventional means.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686"/>
        <w:gridCol w:w="1134"/>
        <w:gridCol w:w="850"/>
        <w:gridCol w:w="1134"/>
        <w:gridCol w:w="1129"/>
      </w:tblGrid>
      <w:tr w:rsidR="00F569D2" w:rsidRPr="00B84798" w14:paraId="26B92A1F" w14:textId="77777777" w:rsidTr="00F569D2">
        <w:trPr>
          <w:trHeight w:val="300"/>
          <w:tblHeader/>
        </w:trPr>
        <w:tc>
          <w:tcPr>
            <w:tcW w:w="1696" w:type="dxa"/>
            <w:shd w:val="clear" w:color="auto" w:fill="000000" w:themeFill="text1"/>
            <w:vAlign w:val="center"/>
          </w:tcPr>
          <w:p w14:paraId="13450FD3" w14:textId="77777777" w:rsidR="00F569D2" w:rsidRPr="00B84798" w:rsidRDefault="00F569D2" w:rsidP="00F569D2">
            <w:pPr>
              <w:spacing w:after="0" w:line="240" w:lineRule="auto"/>
              <w:jc w:val="center"/>
              <w:rPr>
                <w:b/>
                <w:szCs w:val="20"/>
              </w:rPr>
            </w:pPr>
            <w:r w:rsidRPr="00B84798">
              <w:rPr>
                <w:b/>
                <w:szCs w:val="20"/>
              </w:rPr>
              <w:t>INDICATOR</w:t>
            </w:r>
          </w:p>
        </w:tc>
        <w:tc>
          <w:tcPr>
            <w:tcW w:w="3686" w:type="dxa"/>
            <w:shd w:val="clear" w:color="auto" w:fill="000000" w:themeFill="text1"/>
            <w:noWrap/>
            <w:vAlign w:val="center"/>
          </w:tcPr>
          <w:p w14:paraId="5B7CD8C2" w14:textId="77777777" w:rsidR="00F569D2" w:rsidRPr="00B84798" w:rsidRDefault="00F569D2" w:rsidP="00F569D2">
            <w:pPr>
              <w:spacing w:after="0" w:line="240" w:lineRule="auto"/>
              <w:jc w:val="center"/>
              <w:rPr>
                <w:b/>
                <w:szCs w:val="20"/>
              </w:rPr>
            </w:pPr>
            <w:r w:rsidRPr="00B84798">
              <w:rPr>
                <w:b/>
                <w:szCs w:val="20"/>
              </w:rPr>
              <w:t>TYPE</w:t>
            </w:r>
          </w:p>
        </w:tc>
        <w:tc>
          <w:tcPr>
            <w:tcW w:w="1134" w:type="dxa"/>
            <w:shd w:val="clear" w:color="auto" w:fill="000000" w:themeFill="text1"/>
            <w:noWrap/>
            <w:vAlign w:val="center"/>
          </w:tcPr>
          <w:p w14:paraId="5F9472C6" w14:textId="77777777" w:rsidR="00F569D2" w:rsidRPr="00B84798" w:rsidRDefault="00F569D2" w:rsidP="00F569D2">
            <w:pPr>
              <w:spacing w:after="0" w:line="240" w:lineRule="auto"/>
              <w:jc w:val="center"/>
              <w:rPr>
                <w:b/>
                <w:szCs w:val="20"/>
              </w:rPr>
            </w:pPr>
            <w:r w:rsidRPr="00B84798">
              <w:rPr>
                <w:b/>
                <w:szCs w:val="20"/>
              </w:rPr>
              <w:t>KZN</w:t>
            </w:r>
          </w:p>
        </w:tc>
        <w:tc>
          <w:tcPr>
            <w:tcW w:w="850" w:type="dxa"/>
            <w:shd w:val="clear" w:color="auto" w:fill="000000" w:themeFill="text1"/>
            <w:noWrap/>
            <w:vAlign w:val="center"/>
          </w:tcPr>
          <w:p w14:paraId="5D041023" w14:textId="77777777" w:rsidR="00F569D2" w:rsidRPr="00B84798" w:rsidRDefault="00F569D2" w:rsidP="00F569D2">
            <w:pPr>
              <w:spacing w:after="0" w:line="240" w:lineRule="auto"/>
              <w:jc w:val="center"/>
              <w:rPr>
                <w:b/>
                <w:szCs w:val="20"/>
              </w:rPr>
            </w:pPr>
            <w:r w:rsidRPr="00B84798">
              <w:rPr>
                <w:b/>
                <w:szCs w:val="20"/>
              </w:rPr>
              <w:t>KCDM</w:t>
            </w:r>
          </w:p>
        </w:tc>
        <w:tc>
          <w:tcPr>
            <w:tcW w:w="1134" w:type="dxa"/>
            <w:shd w:val="clear" w:color="auto" w:fill="000000" w:themeFill="text1"/>
            <w:noWrap/>
            <w:vAlign w:val="center"/>
          </w:tcPr>
          <w:p w14:paraId="7FEBF25E" w14:textId="77777777" w:rsidR="00F569D2" w:rsidRPr="00B84798" w:rsidRDefault="00F569D2" w:rsidP="00F569D2">
            <w:pPr>
              <w:spacing w:after="0" w:line="240" w:lineRule="auto"/>
              <w:jc w:val="center"/>
              <w:rPr>
                <w:b/>
                <w:szCs w:val="20"/>
              </w:rPr>
            </w:pPr>
            <w:r w:rsidRPr="00B84798">
              <w:rPr>
                <w:b/>
                <w:szCs w:val="20"/>
              </w:rPr>
              <w:t>uMLM</w:t>
            </w:r>
          </w:p>
        </w:tc>
        <w:tc>
          <w:tcPr>
            <w:tcW w:w="1129" w:type="dxa"/>
            <w:shd w:val="clear" w:color="auto" w:fill="000000" w:themeFill="text1"/>
            <w:vAlign w:val="center"/>
          </w:tcPr>
          <w:p w14:paraId="19BDF052" w14:textId="77777777" w:rsidR="00F569D2" w:rsidRPr="00B84798" w:rsidRDefault="00BA3715" w:rsidP="00F569D2">
            <w:pPr>
              <w:spacing w:after="0" w:line="240" w:lineRule="auto"/>
              <w:jc w:val="center"/>
              <w:rPr>
                <w:b/>
                <w:szCs w:val="20"/>
              </w:rPr>
            </w:pPr>
            <w:r>
              <w:rPr>
                <w:b/>
                <w:szCs w:val="20"/>
              </w:rPr>
              <w:t>uMLM</w:t>
            </w:r>
            <w:r w:rsidR="00F569D2">
              <w:rPr>
                <w:b/>
                <w:szCs w:val="20"/>
              </w:rPr>
              <w:t xml:space="preserve"> (%)</w:t>
            </w:r>
          </w:p>
        </w:tc>
      </w:tr>
      <w:tr w:rsidR="00F569D2" w:rsidRPr="00B84798" w14:paraId="681F219E" w14:textId="77777777" w:rsidTr="00F569D2">
        <w:trPr>
          <w:trHeight w:val="300"/>
        </w:trPr>
        <w:tc>
          <w:tcPr>
            <w:tcW w:w="1696" w:type="dxa"/>
            <w:vMerge w:val="restart"/>
            <w:shd w:val="clear" w:color="auto" w:fill="auto"/>
            <w:vAlign w:val="center"/>
            <w:hideMark/>
          </w:tcPr>
          <w:p w14:paraId="2891A0CF" w14:textId="77777777" w:rsidR="00F569D2" w:rsidRPr="00B84798" w:rsidRDefault="00F569D2" w:rsidP="00F569D2">
            <w:pPr>
              <w:spacing w:after="0" w:line="240" w:lineRule="auto"/>
              <w:jc w:val="center"/>
              <w:rPr>
                <w:szCs w:val="20"/>
              </w:rPr>
            </w:pPr>
            <w:r w:rsidRPr="00B84798">
              <w:rPr>
                <w:szCs w:val="20"/>
              </w:rPr>
              <w:t>Main type of toilet facility used</w:t>
            </w:r>
          </w:p>
        </w:tc>
        <w:tc>
          <w:tcPr>
            <w:tcW w:w="3686" w:type="dxa"/>
            <w:shd w:val="clear" w:color="auto" w:fill="auto"/>
            <w:noWrap/>
            <w:vAlign w:val="center"/>
            <w:hideMark/>
          </w:tcPr>
          <w:p w14:paraId="75D2EBDB" w14:textId="77777777" w:rsidR="00F569D2" w:rsidRPr="00B84798" w:rsidRDefault="00F569D2" w:rsidP="00F569D2">
            <w:pPr>
              <w:spacing w:after="0" w:line="240" w:lineRule="auto"/>
              <w:jc w:val="center"/>
              <w:rPr>
                <w:szCs w:val="20"/>
              </w:rPr>
            </w:pPr>
            <w:r w:rsidRPr="00B84798">
              <w:rPr>
                <w:szCs w:val="20"/>
              </w:rPr>
              <w:t>Flush toilet (Sewage system/sceptic tank</w:t>
            </w:r>
          </w:p>
        </w:tc>
        <w:tc>
          <w:tcPr>
            <w:tcW w:w="1134" w:type="dxa"/>
            <w:shd w:val="clear" w:color="auto" w:fill="auto"/>
            <w:noWrap/>
            <w:vAlign w:val="center"/>
            <w:hideMark/>
          </w:tcPr>
          <w:p w14:paraId="37AF156A" w14:textId="77777777" w:rsidR="00F569D2" w:rsidRPr="00B84798" w:rsidRDefault="00F569D2" w:rsidP="00F569D2">
            <w:pPr>
              <w:spacing w:after="0" w:line="240" w:lineRule="auto"/>
              <w:jc w:val="center"/>
              <w:rPr>
                <w:szCs w:val="20"/>
              </w:rPr>
            </w:pPr>
            <w:r w:rsidRPr="00B84798">
              <w:rPr>
                <w:szCs w:val="20"/>
              </w:rPr>
              <w:t>1345349</w:t>
            </w:r>
          </w:p>
        </w:tc>
        <w:tc>
          <w:tcPr>
            <w:tcW w:w="850" w:type="dxa"/>
            <w:shd w:val="clear" w:color="auto" w:fill="auto"/>
            <w:noWrap/>
            <w:vAlign w:val="center"/>
            <w:hideMark/>
          </w:tcPr>
          <w:p w14:paraId="52D549DD" w14:textId="77777777" w:rsidR="00F569D2" w:rsidRPr="00B84798" w:rsidRDefault="00F569D2" w:rsidP="00F569D2">
            <w:pPr>
              <w:spacing w:after="0" w:line="240" w:lineRule="auto"/>
              <w:jc w:val="center"/>
              <w:rPr>
                <w:szCs w:val="20"/>
              </w:rPr>
            </w:pPr>
            <w:r w:rsidRPr="00B84798">
              <w:rPr>
                <w:szCs w:val="20"/>
              </w:rPr>
              <w:t>70590</w:t>
            </w:r>
          </w:p>
        </w:tc>
        <w:tc>
          <w:tcPr>
            <w:tcW w:w="1134" w:type="dxa"/>
            <w:shd w:val="clear" w:color="auto" w:fill="auto"/>
            <w:noWrap/>
            <w:vAlign w:val="center"/>
            <w:hideMark/>
          </w:tcPr>
          <w:p w14:paraId="5B7F92A1" w14:textId="77777777" w:rsidR="00F569D2" w:rsidRPr="00B84798" w:rsidRDefault="00F569D2" w:rsidP="00F569D2">
            <w:pPr>
              <w:spacing w:after="0" w:line="240" w:lineRule="auto"/>
              <w:jc w:val="center"/>
              <w:rPr>
                <w:szCs w:val="20"/>
              </w:rPr>
            </w:pPr>
            <w:r w:rsidRPr="00B84798">
              <w:rPr>
                <w:szCs w:val="20"/>
              </w:rPr>
              <w:t>8279</w:t>
            </w:r>
          </w:p>
        </w:tc>
        <w:tc>
          <w:tcPr>
            <w:tcW w:w="1129" w:type="dxa"/>
            <w:vAlign w:val="center"/>
          </w:tcPr>
          <w:p w14:paraId="4829012E" w14:textId="77777777" w:rsidR="00F569D2" w:rsidRPr="00D018F8" w:rsidRDefault="00F569D2" w:rsidP="00F569D2">
            <w:pPr>
              <w:jc w:val="center"/>
            </w:pPr>
            <w:r w:rsidRPr="00D018F8">
              <w:t>20,0%</w:t>
            </w:r>
          </w:p>
        </w:tc>
      </w:tr>
      <w:tr w:rsidR="00F569D2" w:rsidRPr="00B84798" w14:paraId="1973A9BF" w14:textId="77777777" w:rsidTr="00F569D2">
        <w:trPr>
          <w:trHeight w:val="300"/>
        </w:trPr>
        <w:tc>
          <w:tcPr>
            <w:tcW w:w="1696" w:type="dxa"/>
            <w:vMerge/>
            <w:vAlign w:val="center"/>
            <w:hideMark/>
          </w:tcPr>
          <w:p w14:paraId="0D59976C" w14:textId="77777777" w:rsidR="00F569D2" w:rsidRPr="00B84798" w:rsidRDefault="00F569D2" w:rsidP="00F569D2">
            <w:pPr>
              <w:spacing w:after="0" w:line="240" w:lineRule="auto"/>
              <w:jc w:val="center"/>
              <w:rPr>
                <w:szCs w:val="20"/>
              </w:rPr>
            </w:pPr>
          </w:p>
        </w:tc>
        <w:tc>
          <w:tcPr>
            <w:tcW w:w="3686" w:type="dxa"/>
            <w:shd w:val="clear" w:color="auto" w:fill="auto"/>
            <w:noWrap/>
            <w:vAlign w:val="center"/>
            <w:hideMark/>
          </w:tcPr>
          <w:p w14:paraId="4112C8BA" w14:textId="77777777" w:rsidR="00F569D2" w:rsidRPr="00B84798" w:rsidRDefault="00F569D2" w:rsidP="00F569D2">
            <w:pPr>
              <w:spacing w:after="0" w:line="240" w:lineRule="auto"/>
              <w:jc w:val="center"/>
              <w:rPr>
                <w:szCs w:val="20"/>
              </w:rPr>
            </w:pPr>
            <w:r w:rsidRPr="00B84798">
              <w:rPr>
                <w:szCs w:val="20"/>
              </w:rPr>
              <w:t>Chemical toilet</w:t>
            </w:r>
          </w:p>
        </w:tc>
        <w:tc>
          <w:tcPr>
            <w:tcW w:w="1134" w:type="dxa"/>
            <w:shd w:val="clear" w:color="auto" w:fill="auto"/>
            <w:noWrap/>
            <w:vAlign w:val="center"/>
            <w:hideMark/>
          </w:tcPr>
          <w:p w14:paraId="08AB4DC8" w14:textId="77777777" w:rsidR="00F569D2" w:rsidRPr="00B84798" w:rsidRDefault="00F569D2" w:rsidP="00F569D2">
            <w:pPr>
              <w:spacing w:after="0" w:line="240" w:lineRule="auto"/>
              <w:jc w:val="center"/>
              <w:rPr>
                <w:szCs w:val="20"/>
              </w:rPr>
            </w:pPr>
            <w:r w:rsidRPr="00B84798">
              <w:rPr>
                <w:szCs w:val="20"/>
              </w:rPr>
              <w:t>421037</w:t>
            </w:r>
          </w:p>
        </w:tc>
        <w:tc>
          <w:tcPr>
            <w:tcW w:w="850" w:type="dxa"/>
            <w:shd w:val="clear" w:color="auto" w:fill="auto"/>
            <w:noWrap/>
            <w:vAlign w:val="center"/>
            <w:hideMark/>
          </w:tcPr>
          <w:p w14:paraId="2ED3ACB3" w14:textId="77777777" w:rsidR="00F569D2" w:rsidRPr="00B84798" w:rsidRDefault="00F569D2" w:rsidP="00F569D2">
            <w:pPr>
              <w:spacing w:after="0" w:line="240" w:lineRule="auto"/>
              <w:jc w:val="center"/>
              <w:rPr>
                <w:szCs w:val="20"/>
              </w:rPr>
            </w:pPr>
            <w:r w:rsidRPr="00B84798">
              <w:rPr>
                <w:szCs w:val="20"/>
              </w:rPr>
              <w:t>58474</w:t>
            </w:r>
          </w:p>
        </w:tc>
        <w:tc>
          <w:tcPr>
            <w:tcW w:w="1134" w:type="dxa"/>
            <w:shd w:val="clear" w:color="auto" w:fill="auto"/>
            <w:noWrap/>
            <w:vAlign w:val="center"/>
            <w:hideMark/>
          </w:tcPr>
          <w:p w14:paraId="09952DF7" w14:textId="77777777" w:rsidR="00F569D2" w:rsidRPr="00B84798" w:rsidRDefault="00F569D2" w:rsidP="00F569D2">
            <w:pPr>
              <w:spacing w:after="0" w:line="240" w:lineRule="auto"/>
              <w:jc w:val="center"/>
              <w:rPr>
                <w:szCs w:val="20"/>
              </w:rPr>
            </w:pPr>
            <w:r w:rsidRPr="00B84798">
              <w:rPr>
                <w:szCs w:val="20"/>
              </w:rPr>
              <w:t>9827</w:t>
            </w:r>
          </w:p>
        </w:tc>
        <w:tc>
          <w:tcPr>
            <w:tcW w:w="1129" w:type="dxa"/>
            <w:vAlign w:val="center"/>
          </w:tcPr>
          <w:p w14:paraId="3B111587" w14:textId="77777777" w:rsidR="00F569D2" w:rsidRPr="00D018F8" w:rsidRDefault="00F569D2" w:rsidP="00F569D2">
            <w:pPr>
              <w:jc w:val="center"/>
            </w:pPr>
            <w:r w:rsidRPr="00D018F8">
              <w:t>23,8%</w:t>
            </w:r>
          </w:p>
        </w:tc>
      </w:tr>
      <w:tr w:rsidR="00F569D2" w:rsidRPr="00B84798" w14:paraId="48A36967" w14:textId="77777777" w:rsidTr="00F569D2">
        <w:trPr>
          <w:trHeight w:val="300"/>
        </w:trPr>
        <w:tc>
          <w:tcPr>
            <w:tcW w:w="1696" w:type="dxa"/>
            <w:vMerge/>
            <w:vAlign w:val="center"/>
            <w:hideMark/>
          </w:tcPr>
          <w:p w14:paraId="0543C5BA" w14:textId="77777777" w:rsidR="00F569D2" w:rsidRPr="00B84798" w:rsidRDefault="00F569D2" w:rsidP="00F569D2">
            <w:pPr>
              <w:spacing w:after="0" w:line="240" w:lineRule="auto"/>
              <w:jc w:val="center"/>
              <w:rPr>
                <w:szCs w:val="20"/>
              </w:rPr>
            </w:pPr>
          </w:p>
        </w:tc>
        <w:tc>
          <w:tcPr>
            <w:tcW w:w="3686" w:type="dxa"/>
            <w:shd w:val="clear" w:color="auto" w:fill="auto"/>
            <w:noWrap/>
            <w:vAlign w:val="center"/>
            <w:hideMark/>
          </w:tcPr>
          <w:p w14:paraId="14053309" w14:textId="77777777" w:rsidR="00F569D2" w:rsidRPr="00B84798" w:rsidRDefault="00F569D2" w:rsidP="00F569D2">
            <w:pPr>
              <w:spacing w:after="0" w:line="240" w:lineRule="auto"/>
              <w:jc w:val="center"/>
              <w:rPr>
                <w:szCs w:val="20"/>
              </w:rPr>
            </w:pPr>
            <w:r w:rsidRPr="00B84798">
              <w:rPr>
                <w:szCs w:val="20"/>
              </w:rPr>
              <w:t>Pit latrine (with/without) ventilation</w:t>
            </w:r>
          </w:p>
        </w:tc>
        <w:tc>
          <w:tcPr>
            <w:tcW w:w="1134" w:type="dxa"/>
            <w:shd w:val="clear" w:color="auto" w:fill="auto"/>
            <w:noWrap/>
            <w:vAlign w:val="center"/>
            <w:hideMark/>
          </w:tcPr>
          <w:p w14:paraId="2683982B" w14:textId="77777777" w:rsidR="00F569D2" w:rsidRPr="00B84798" w:rsidRDefault="00F569D2" w:rsidP="00F569D2">
            <w:pPr>
              <w:spacing w:after="0" w:line="240" w:lineRule="auto"/>
              <w:jc w:val="center"/>
              <w:rPr>
                <w:szCs w:val="20"/>
              </w:rPr>
            </w:pPr>
            <w:r w:rsidRPr="00B84798">
              <w:rPr>
                <w:szCs w:val="20"/>
              </w:rPr>
              <w:t>876969</w:t>
            </w:r>
          </w:p>
        </w:tc>
        <w:tc>
          <w:tcPr>
            <w:tcW w:w="850" w:type="dxa"/>
            <w:shd w:val="clear" w:color="auto" w:fill="auto"/>
            <w:noWrap/>
            <w:vAlign w:val="center"/>
            <w:hideMark/>
          </w:tcPr>
          <w:p w14:paraId="2171706E" w14:textId="77777777" w:rsidR="00F569D2" w:rsidRPr="00B84798" w:rsidRDefault="00F569D2" w:rsidP="00F569D2">
            <w:pPr>
              <w:spacing w:after="0" w:line="240" w:lineRule="auto"/>
              <w:jc w:val="center"/>
              <w:rPr>
                <w:szCs w:val="20"/>
              </w:rPr>
            </w:pPr>
            <w:r w:rsidRPr="00B84798">
              <w:rPr>
                <w:szCs w:val="20"/>
              </w:rPr>
              <w:t>82936</w:t>
            </w:r>
          </w:p>
        </w:tc>
        <w:tc>
          <w:tcPr>
            <w:tcW w:w="1134" w:type="dxa"/>
            <w:shd w:val="clear" w:color="auto" w:fill="auto"/>
            <w:noWrap/>
            <w:vAlign w:val="center"/>
            <w:hideMark/>
          </w:tcPr>
          <w:p w14:paraId="17F2F864" w14:textId="77777777" w:rsidR="00F569D2" w:rsidRPr="00B84798" w:rsidRDefault="00F569D2" w:rsidP="00F569D2">
            <w:pPr>
              <w:spacing w:after="0" w:line="240" w:lineRule="auto"/>
              <w:jc w:val="center"/>
              <w:rPr>
                <w:szCs w:val="20"/>
              </w:rPr>
            </w:pPr>
            <w:r w:rsidRPr="00B84798">
              <w:rPr>
                <w:szCs w:val="20"/>
              </w:rPr>
              <w:t>22242</w:t>
            </w:r>
          </w:p>
        </w:tc>
        <w:tc>
          <w:tcPr>
            <w:tcW w:w="1129" w:type="dxa"/>
            <w:vAlign w:val="center"/>
          </w:tcPr>
          <w:p w14:paraId="5F2FD24B" w14:textId="77777777" w:rsidR="00F569D2" w:rsidRPr="00D018F8" w:rsidRDefault="00F569D2" w:rsidP="00F569D2">
            <w:pPr>
              <w:jc w:val="center"/>
            </w:pPr>
            <w:r w:rsidRPr="00D018F8">
              <w:t>53,8%</w:t>
            </w:r>
          </w:p>
        </w:tc>
      </w:tr>
      <w:tr w:rsidR="00F569D2" w:rsidRPr="00B84798" w14:paraId="5718E8AD" w14:textId="77777777" w:rsidTr="00F569D2">
        <w:trPr>
          <w:trHeight w:val="300"/>
        </w:trPr>
        <w:tc>
          <w:tcPr>
            <w:tcW w:w="1696" w:type="dxa"/>
            <w:vMerge/>
            <w:vAlign w:val="center"/>
            <w:hideMark/>
          </w:tcPr>
          <w:p w14:paraId="400F6C4F" w14:textId="77777777" w:rsidR="00F569D2" w:rsidRPr="00B84798" w:rsidRDefault="00F569D2" w:rsidP="00F569D2">
            <w:pPr>
              <w:spacing w:after="0" w:line="240" w:lineRule="auto"/>
              <w:jc w:val="center"/>
              <w:rPr>
                <w:szCs w:val="20"/>
              </w:rPr>
            </w:pPr>
          </w:p>
        </w:tc>
        <w:tc>
          <w:tcPr>
            <w:tcW w:w="3686" w:type="dxa"/>
            <w:shd w:val="clear" w:color="auto" w:fill="auto"/>
            <w:noWrap/>
            <w:vAlign w:val="center"/>
            <w:hideMark/>
          </w:tcPr>
          <w:p w14:paraId="2ABAEF03" w14:textId="77777777" w:rsidR="00F569D2" w:rsidRPr="00B84798" w:rsidRDefault="00F569D2" w:rsidP="00F569D2">
            <w:pPr>
              <w:spacing w:after="0" w:line="240" w:lineRule="auto"/>
              <w:jc w:val="center"/>
              <w:rPr>
                <w:szCs w:val="20"/>
              </w:rPr>
            </w:pPr>
            <w:r w:rsidRPr="00B84798">
              <w:rPr>
                <w:szCs w:val="20"/>
              </w:rPr>
              <w:t>Ecological toilet (e.g. urine diversion, enviroloo)</w:t>
            </w:r>
          </w:p>
        </w:tc>
        <w:tc>
          <w:tcPr>
            <w:tcW w:w="1134" w:type="dxa"/>
            <w:shd w:val="clear" w:color="auto" w:fill="auto"/>
            <w:noWrap/>
            <w:vAlign w:val="center"/>
            <w:hideMark/>
          </w:tcPr>
          <w:p w14:paraId="60701789" w14:textId="77777777" w:rsidR="00F569D2" w:rsidRPr="00B84798" w:rsidRDefault="00F569D2" w:rsidP="00F569D2">
            <w:pPr>
              <w:spacing w:after="0" w:line="240" w:lineRule="auto"/>
              <w:jc w:val="center"/>
              <w:rPr>
                <w:szCs w:val="20"/>
              </w:rPr>
            </w:pPr>
            <w:r w:rsidRPr="00B84798">
              <w:rPr>
                <w:szCs w:val="20"/>
              </w:rPr>
              <w:t>20299</w:t>
            </w:r>
          </w:p>
        </w:tc>
        <w:tc>
          <w:tcPr>
            <w:tcW w:w="850" w:type="dxa"/>
            <w:shd w:val="clear" w:color="auto" w:fill="auto"/>
            <w:noWrap/>
            <w:vAlign w:val="center"/>
            <w:hideMark/>
          </w:tcPr>
          <w:p w14:paraId="4743CD9E" w14:textId="77777777" w:rsidR="00F569D2" w:rsidRPr="00B84798" w:rsidRDefault="00F569D2" w:rsidP="00F569D2">
            <w:pPr>
              <w:spacing w:after="0" w:line="240" w:lineRule="auto"/>
              <w:jc w:val="center"/>
              <w:rPr>
                <w:szCs w:val="20"/>
              </w:rPr>
            </w:pPr>
            <w:r w:rsidRPr="00B84798">
              <w:rPr>
                <w:szCs w:val="20"/>
              </w:rPr>
              <w:t>1411</w:t>
            </w:r>
          </w:p>
        </w:tc>
        <w:tc>
          <w:tcPr>
            <w:tcW w:w="1134" w:type="dxa"/>
            <w:shd w:val="clear" w:color="auto" w:fill="auto"/>
            <w:noWrap/>
            <w:vAlign w:val="center"/>
            <w:hideMark/>
          </w:tcPr>
          <w:p w14:paraId="0F3400FD" w14:textId="77777777" w:rsidR="00F569D2" w:rsidRPr="00B84798" w:rsidRDefault="00F569D2" w:rsidP="00F569D2">
            <w:pPr>
              <w:spacing w:after="0" w:line="240" w:lineRule="auto"/>
              <w:jc w:val="center"/>
              <w:rPr>
                <w:szCs w:val="20"/>
              </w:rPr>
            </w:pPr>
            <w:r w:rsidRPr="00B84798">
              <w:rPr>
                <w:szCs w:val="20"/>
              </w:rPr>
              <w:t>686</w:t>
            </w:r>
          </w:p>
        </w:tc>
        <w:tc>
          <w:tcPr>
            <w:tcW w:w="1129" w:type="dxa"/>
            <w:vAlign w:val="center"/>
          </w:tcPr>
          <w:p w14:paraId="5916B48A" w14:textId="77777777" w:rsidR="00F569D2" w:rsidRPr="00D018F8" w:rsidRDefault="00F569D2" w:rsidP="00F569D2">
            <w:pPr>
              <w:jc w:val="center"/>
            </w:pPr>
            <w:r w:rsidRPr="00D018F8">
              <w:t>1,7%</w:t>
            </w:r>
          </w:p>
        </w:tc>
      </w:tr>
      <w:tr w:rsidR="00F569D2" w:rsidRPr="00B84798" w14:paraId="2D3F5E75" w14:textId="77777777" w:rsidTr="00F569D2">
        <w:trPr>
          <w:trHeight w:val="300"/>
        </w:trPr>
        <w:tc>
          <w:tcPr>
            <w:tcW w:w="1696" w:type="dxa"/>
            <w:vMerge/>
            <w:vAlign w:val="center"/>
            <w:hideMark/>
          </w:tcPr>
          <w:p w14:paraId="71A306D1" w14:textId="77777777" w:rsidR="00F569D2" w:rsidRPr="00B84798" w:rsidRDefault="00F569D2" w:rsidP="00F569D2">
            <w:pPr>
              <w:spacing w:after="0" w:line="240" w:lineRule="auto"/>
              <w:jc w:val="center"/>
              <w:rPr>
                <w:szCs w:val="20"/>
              </w:rPr>
            </w:pPr>
          </w:p>
        </w:tc>
        <w:tc>
          <w:tcPr>
            <w:tcW w:w="3686" w:type="dxa"/>
            <w:shd w:val="clear" w:color="auto" w:fill="auto"/>
            <w:noWrap/>
            <w:vAlign w:val="center"/>
            <w:hideMark/>
          </w:tcPr>
          <w:p w14:paraId="16497531" w14:textId="77777777" w:rsidR="00F569D2" w:rsidRPr="00B84798" w:rsidRDefault="00F569D2" w:rsidP="00F569D2">
            <w:pPr>
              <w:spacing w:after="0" w:line="240" w:lineRule="auto"/>
              <w:jc w:val="center"/>
              <w:rPr>
                <w:szCs w:val="20"/>
              </w:rPr>
            </w:pPr>
            <w:r w:rsidRPr="00B84798">
              <w:rPr>
                <w:szCs w:val="20"/>
              </w:rPr>
              <w:t>Bucket toilet (collected by municipality/Emptied by household</w:t>
            </w:r>
          </w:p>
        </w:tc>
        <w:tc>
          <w:tcPr>
            <w:tcW w:w="1134" w:type="dxa"/>
            <w:shd w:val="clear" w:color="auto" w:fill="auto"/>
            <w:noWrap/>
            <w:vAlign w:val="center"/>
            <w:hideMark/>
          </w:tcPr>
          <w:p w14:paraId="1B21969F" w14:textId="77777777" w:rsidR="00F569D2" w:rsidRPr="00B84798" w:rsidRDefault="00F569D2" w:rsidP="00F569D2">
            <w:pPr>
              <w:spacing w:after="0" w:line="240" w:lineRule="auto"/>
              <w:jc w:val="center"/>
              <w:rPr>
                <w:szCs w:val="20"/>
              </w:rPr>
            </w:pPr>
            <w:r w:rsidRPr="00B84798">
              <w:rPr>
                <w:szCs w:val="20"/>
              </w:rPr>
              <w:t>50655</w:t>
            </w:r>
          </w:p>
        </w:tc>
        <w:tc>
          <w:tcPr>
            <w:tcW w:w="850" w:type="dxa"/>
            <w:shd w:val="clear" w:color="auto" w:fill="auto"/>
            <w:noWrap/>
            <w:vAlign w:val="center"/>
            <w:hideMark/>
          </w:tcPr>
          <w:p w14:paraId="729BFF9D" w14:textId="77777777" w:rsidR="00F569D2" w:rsidRPr="00B84798" w:rsidRDefault="00F569D2" w:rsidP="00F569D2">
            <w:pPr>
              <w:spacing w:after="0" w:line="240" w:lineRule="auto"/>
              <w:jc w:val="center"/>
              <w:rPr>
                <w:szCs w:val="20"/>
              </w:rPr>
            </w:pPr>
            <w:r w:rsidRPr="00B84798">
              <w:rPr>
                <w:szCs w:val="20"/>
              </w:rPr>
              <w:t>1874</w:t>
            </w:r>
          </w:p>
        </w:tc>
        <w:tc>
          <w:tcPr>
            <w:tcW w:w="1134" w:type="dxa"/>
            <w:shd w:val="clear" w:color="auto" w:fill="auto"/>
            <w:noWrap/>
            <w:vAlign w:val="center"/>
            <w:hideMark/>
          </w:tcPr>
          <w:p w14:paraId="65AA3088" w14:textId="77777777" w:rsidR="00F569D2" w:rsidRPr="00B84798" w:rsidRDefault="00F569D2" w:rsidP="00F569D2">
            <w:pPr>
              <w:spacing w:after="0" w:line="240" w:lineRule="auto"/>
              <w:jc w:val="center"/>
              <w:rPr>
                <w:szCs w:val="20"/>
              </w:rPr>
            </w:pPr>
            <w:r w:rsidRPr="00B84798">
              <w:rPr>
                <w:szCs w:val="20"/>
              </w:rPr>
              <w:t>290</w:t>
            </w:r>
          </w:p>
        </w:tc>
        <w:tc>
          <w:tcPr>
            <w:tcW w:w="1129" w:type="dxa"/>
            <w:vAlign w:val="center"/>
          </w:tcPr>
          <w:p w14:paraId="4D14AD0B" w14:textId="77777777" w:rsidR="00F569D2" w:rsidRDefault="00F569D2" w:rsidP="00F569D2">
            <w:pPr>
              <w:jc w:val="center"/>
            </w:pPr>
            <w:r w:rsidRPr="00D018F8">
              <w:t>0,7%</w:t>
            </w:r>
          </w:p>
        </w:tc>
      </w:tr>
    </w:tbl>
    <w:p w14:paraId="731771B6" w14:textId="77777777" w:rsidR="00407352" w:rsidRPr="00881795" w:rsidRDefault="00407352" w:rsidP="002F62F0">
      <w:pPr>
        <w:pStyle w:val="Caption"/>
      </w:pPr>
      <w:bookmarkStart w:id="274" w:name="_Toc389739872"/>
      <w:bookmarkStart w:id="275" w:name="_Toc510622275"/>
      <w:r w:rsidRPr="00881795">
        <w:t xml:space="preserve">Table </w:t>
      </w:r>
      <w:r w:rsidR="00D55BDA" w:rsidRPr="00881795">
        <w:fldChar w:fldCharType="begin"/>
      </w:r>
      <w:r w:rsidRPr="00881795">
        <w:instrText xml:space="preserve"> SEQ Table \* ARABIC </w:instrText>
      </w:r>
      <w:r w:rsidR="00D55BDA" w:rsidRPr="00881795">
        <w:fldChar w:fldCharType="separate"/>
      </w:r>
      <w:r w:rsidR="0067023A">
        <w:rPr>
          <w:noProof/>
        </w:rPr>
        <w:t>25</w:t>
      </w:r>
      <w:r w:rsidR="00D55BDA" w:rsidRPr="00881795">
        <w:fldChar w:fldCharType="end"/>
      </w:r>
      <w:r w:rsidRPr="00881795">
        <w:t>: Community Access to Sanitation Facilities</w:t>
      </w:r>
      <w:bookmarkEnd w:id="274"/>
      <w:r w:rsidR="00B84798">
        <w:t xml:space="preserve"> </w:t>
      </w:r>
      <w:r w:rsidR="00B84798" w:rsidRPr="00C6411B">
        <w:t>(2016)</w:t>
      </w:r>
      <w:bookmarkEnd w:id="275"/>
    </w:p>
    <w:p w14:paraId="657250B2" w14:textId="77777777" w:rsidR="00100208" w:rsidRPr="00881795" w:rsidRDefault="00100208" w:rsidP="00395313">
      <w:pPr>
        <w:spacing w:line="288" w:lineRule="auto"/>
        <w:jc w:val="both"/>
        <w:rPr>
          <w:szCs w:val="20"/>
        </w:rPr>
      </w:pPr>
    </w:p>
    <w:tbl>
      <w:tblPr>
        <w:tblpPr w:leftFromText="180" w:rightFromText="180" w:vertAnchor="text" w:horzAnchor="margin" w:tblpY="310"/>
        <w:tblW w:w="9502" w:type="dxa"/>
        <w:tblLayout w:type="fixed"/>
        <w:tblCellMar>
          <w:left w:w="0" w:type="dxa"/>
          <w:right w:w="0" w:type="dxa"/>
        </w:tblCellMar>
        <w:tblLook w:val="0600" w:firstRow="0" w:lastRow="0" w:firstColumn="0" w:lastColumn="0" w:noHBand="1" w:noVBand="1"/>
      </w:tblPr>
      <w:tblGrid>
        <w:gridCol w:w="1817"/>
        <w:gridCol w:w="1118"/>
        <w:gridCol w:w="1257"/>
        <w:gridCol w:w="1398"/>
        <w:gridCol w:w="1284"/>
        <w:gridCol w:w="1370"/>
        <w:gridCol w:w="1258"/>
      </w:tblGrid>
      <w:tr w:rsidR="00100208" w:rsidRPr="00100208" w14:paraId="4E687C1A" w14:textId="77777777" w:rsidTr="00100208">
        <w:trPr>
          <w:trHeight w:val="216"/>
        </w:trPr>
        <w:tc>
          <w:tcPr>
            <w:tcW w:w="1817" w:type="dxa"/>
            <w:tcBorders>
              <w:top w:val="single" w:sz="8" w:space="0" w:color="000000"/>
              <w:left w:val="single" w:sz="8" w:space="0" w:color="000000"/>
              <w:bottom w:val="single" w:sz="8" w:space="0" w:color="000000"/>
              <w:right w:val="single" w:sz="8" w:space="0" w:color="000000"/>
            </w:tcBorders>
            <w:shd w:val="clear" w:color="auto" w:fill="000000" w:themeFill="text1"/>
            <w:tcMar>
              <w:top w:w="57" w:type="dxa"/>
              <w:left w:w="108" w:type="dxa"/>
              <w:bottom w:w="57" w:type="dxa"/>
              <w:right w:w="108" w:type="dxa"/>
            </w:tcMar>
            <w:vAlign w:val="center"/>
            <w:hideMark/>
          </w:tcPr>
          <w:p w14:paraId="6D8EA6FC" w14:textId="77777777" w:rsidR="00100208" w:rsidRPr="00100208" w:rsidRDefault="00100208" w:rsidP="00100208">
            <w:pPr>
              <w:spacing w:after="0" w:line="240" w:lineRule="auto"/>
              <w:rPr>
                <w:rFonts w:cs="Calibri"/>
                <w:b/>
                <w:color w:val="FFFFFF" w:themeColor="background1"/>
              </w:rPr>
            </w:pPr>
            <w:bookmarkStart w:id="276" w:name="_Toc325628010"/>
            <w:bookmarkStart w:id="277" w:name="_Toc389739877"/>
            <w:bookmarkEnd w:id="273"/>
            <w:r w:rsidRPr="00100208">
              <w:rPr>
                <w:rFonts w:cs="Calibri"/>
                <w:b/>
                <w:color w:val="FFFFFF" w:themeColor="background1"/>
              </w:rPr>
              <w:lastRenderedPageBreak/>
              <w:t>Municipality</w:t>
            </w:r>
          </w:p>
        </w:tc>
        <w:tc>
          <w:tcPr>
            <w:tcW w:w="1118" w:type="dxa"/>
            <w:tcBorders>
              <w:top w:val="single" w:sz="8" w:space="0" w:color="000000"/>
              <w:left w:val="single" w:sz="8" w:space="0" w:color="000000"/>
              <w:bottom w:val="single" w:sz="8" w:space="0" w:color="000000"/>
              <w:right w:val="single" w:sz="8" w:space="0" w:color="000000"/>
            </w:tcBorders>
            <w:shd w:val="clear" w:color="auto" w:fill="000000" w:themeFill="text1"/>
            <w:tcMar>
              <w:top w:w="28" w:type="dxa"/>
              <w:left w:w="28" w:type="dxa"/>
              <w:bottom w:w="28" w:type="dxa"/>
              <w:right w:w="28" w:type="dxa"/>
            </w:tcMar>
            <w:vAlign w:val="center"/>
            <w:hideMark/>
          </w:tcPr>
          <w:p w14:paraId="14A90816" w14:textId="77777777" w:rsidR="00100208" w:rsidRPr="00100208" w:rsidRDefault="00100208" w:rsidP="00100208">
            <w:pPr>
              <w:spacing w:after="0" w:line="240" w:lineRule="auto"/>
              <w:jc w:val="center"/>
              <w:rPr>
                <w:rFonts w:cs="Calibri"/>
                <w:b/>
                <w:color w:val="FFFFFF" w:themeColor="background1"/>
              </w:rPr>
            </w:pPr>
            <w:r w:rsidRPr="00100208">
              <w:rPr>
                <w:rFonts w:cs="Calibri"/>
                <w:b/>
                <w:color w:val="FFFFFF" w:themeColor="background1"/>
              </w:rPr>
              <w:t>2001 / 2002 Households</w:t>
            </w:r>
          </w:p>
        </w:tc>
        <w:tc>
          <w:tcPr>
            <w:tcW w:w="1257" w:type="dxa"/>
            <w:tcBorders>
              <w:top w:val="single" w:sz="8" w:space="0" w:color="000000"/>
              <w:left w:val="single" w:sz="8" w:space="0" w:color="000000"/>
              <w:bottom w:val="single" w:sz="8" w:space="0" w:color="000000"/>
              <w:right w:val="single" w:sz="8" w:space="0" w:color="000000"/>
            </w:tcBorders>
            <w:shd w:val="clear" w:color="auto" w:fill="000000" w:themeFill="text1"/>
            <w:tcMar>
              <w:top w:w="57" w:type="dxa"/>
              <w:left w:w="108" w:type="dxa"/>
              <w:bottom w:w="57" w:type="dxa"/>
              <w:right w:w="108" w:type="dxa"/>
            </w:tcMar>
            <w:vAlign w:val="center"/>
            <w:hideMark/>
          </w:tcPr>
          <w:p w14:paraId="33A7F541" w14:textId="77777777" w:rsidR="00100208" w:rsidRPr="00100208" w:rsidRDefault="00100208" w:rsidP="00100208">
            <w:pPr>
              <w:spacing w:after="0" w:line="240" w:lineRule="auto"/>
              <w:jc w:val="center"/>
              <w:rPr>
                <w:rFonts w:cs="Calibri"/>
                <w:b/>
                <w:color w:val="FFFFFF" w:themeColor="background1"/>
              </w:rPr>
            </w:pPr>
            <w:r w:rsidRPr="00100208">
              <w:rPr>
                <w:rFonts w:cs="Calibri"/>
                <w:b/>
                <w:color w:val="FFFFFF" w:themeColor="background1"/>
              </w:rPr>
              <w:t xml:space="preserve">2001/2002 </w:t>
            </w:r>
          </w:p>
          <w:p w14:paraId="4D78A078" w14:textId="77777777" w:rsidR="00100208" w:rsidRPr="00100208" w:rsidRDefault="00100208" w:rsidP="00100208">
            <w:pPr>
              <w:spacing w:after="0" w:line="240" w:lineRule="auto"/>
              <w:jc w:val="center"/>
              <w:rPr>
                <w:rFonts w:cs="Calibri"/>
                <w:b/>
                <w:color w:val="FFFFFF" w:themeColor="background1"/>
              </w:rPr>
            </w:pPr>
            <w:r w:rsidRPr="00100208">
              <w:rPr>
                <w:rFonts w:cs="Calibri"/>
                <w:b/>
                <w:color w:val="FFFFFF" w:themeColor="background1"/>
              </w:rPr>
              <w:t>% Backlog</w:t>
            </w:r>
          </w:p>
        </w:tc>
        <w:tc>
          <w:tcPr>
            <w:tcW w:w="1398" w:type="dxa"/>
            <w:tcBorders>
              <w:top w:val="single" w:sz="8" w:space="0" w:color="000000"/>
              <w:left w:val="single" w:sz="8" w:space="0" w:color="000000"/>
              <w:bottom w:val="single" w:sz="8" w:space="0" w:color="000000"/>
              <w:right w:val="single" w:sz="8" w:space="0" w:color="000000"/>
            </w:tcBorders>
            <w:shd w:val="clear" w:color="auto" w:fill="000000" w:themeFill="text1"/>
            <w:tcMar>
              <w:top w:w="57" w:type="dxa"/>
              <w:left w:w="108" w:type="dxa"/>
              <w:bottom w:w="57" w:type="dxa"/>
              <w:right w:w="108" w:type="dxa"/>
            </w:tcMar>
            <w:vAlign w:val="center"/>
          </w:tcPr>
          <w:p w14:paraId="27B0FDFA" w14:textId="77777777" w:rsidR="00100208" w:rsidRPr="00100208" w:rsidRDefault="00100208" w:rsidP="00100208">
            <w:pPr>
              <w:spacing w:after="0" w:line="240" w:lineRule="auto"/>
              <w:jc w:val="center"/>
              <w:rPr>
                <w:rFonts w:cs="Calibri"/>
                <w:b/>
                <w:color w:val="FFFFFF" w:themeColor="background1"/>
              </w:rPr>
            </w:pPr>
            <w:r w:rsidRPr="00100208">
              <w:rPr>
                <w:rFonts w:cs="Calibri"/>
                <w:b/>
                <w:color w:val="FFFFFF" w:themeColor="background1"/>
              </w:rPr>
              <w:t>2011 Households</w:t>
            </w:r>
          </w:p>
        </w:tc>
        <w:tc>
          <w:tcPr>
            <w:tcW w:w="1284" w:type="dxa"/>
            <w:tcBorders>
              <w:top w:val="single" w:sz="8" w:space="0" w:color="000000"/>
              <w:left w:val="single" w:sz="8" w:space="0" w:color="000000"/>
              <w:bottom w:val="single" w:sz="8" w:space="0" w:color="000000"/>
              <w:right w:val="single" w:sz="8" w:space="0" w:color="000000"/>
            </w:tcBorders>
            <w:shd w:val="clear" w:color="auto" w:fill="000000" w:themeFill="text1"/>
            <w:tcMar>
              <w:top w:w="57" w:type="dxa"/>
              <w:left w:w="108" w:type="dxa"/>
              <w:bottom w:w="57" w:type="dxa"/>
              <w:right w:w="108" w:type="dxa"/>
            </w:tcMar>
            <w:vAlign w:val="center"/>
            <w:hideMark/>
          </w:tcPr>
          <w:p w14:paraId="4C0C2641" w14:textId="77777777" w:rsidR="00100208" w:rsidRPr="00100208" w:rsidRDefault="00100208" w:rsidP="00100208">
            <w:pPr>
              <w:spacing w:after="0" w:line="240" w:lineRule="auto"/>
              <w:jc w:val="center"/>
              <w:rPr>
                <w:rFonts w:cs="Calibri"/>
                <w:b/>
                <w:color w:val="FFFFFF" w:themeColor="background1"/>
              </w:rPr>
            </w:pPr>
            <w:r w:rsidRPr="00100208">
              <w:rPr>
                <w:rFonts w:cs="Calibri"/>
                <w:b/>
                <w:color w:val="FFFFFF" w:themeColor="background1"/>
              </w:rPr>
              <w:t>Households with Sanitation</w:t>
            </w:r>
          </w:p>
        </w:tc>
        <w:tc>
          <w:tcPr>
            <w:tcW w:w="1370" w:type="dxa"/>
            <w:tcBorders>
              <w:top w:val="single" w:sz="8" w:space="0" w:color="000000"/>
              <w:left w:val="single" w:sz="8" w:space="0" w:color="000000"/>
              <w:bottom w:val="single" w:sz="8" w:space="0" w:color="000000"/>
              <w:right w:val="single" w:sz="8" w:space="0" w:color="000000"/>
            </w:tcBorders>
            <w:shd w:val="clear" w:color="auto" w:fill="000000" w:themeFill="text1"/>
            <w:tcMar>
              <w:top w:w="57" w:type="dxa"/>
              <w:left w:w="108" w:type="dxa"/>
              <w:bottom w:w="57" w:type="dxa"/>
              <w:right w:w="108" w:type="dxa"/>
            </w:tcMar>
            <w:vAlign w:val="center"/>
            <w:hideMark/>
          </w:tcPr>
          <w:p w14:paraId="09245B91" w14:textId="77777777" w:rsidR="00100208" w:rsidRPr="00100208" w:rsidRDefault="00100208" w:rsidP="00100208">
            <w:pPr>
              <w:spacing w:after="0" w:line="240" w:lineRule="auto"/>
              <w:jc w:val="center"/>
              <w:rPr>
                <w:rFonts w:cs="Calibri"/>
                <w:b/>
                <w:color w:val="FFFFFF" w:themeColor="background1"/>
              </w:rPr>
            </w:pPr>
            <w:r w:rsidRPr="00100208">
              <w:rPr>
                <w:rFonts w:cs="Calibri"/>
                <w:b/>
                <w:color w:val="FFFFFF" w:themeColor="background1"/>
              </w:rPr>
              <w:t>Households without Sanitation</w:t>
            </w:r>
          </w:p>
        </w:tc>
        <w:tc>
          <w:tcPr>
            <w:tcW w:w="1258" w:type="dxa"/>
            <w:tcBorders>
              <w:top w:val="single" w:sz="8" w:space="0" w:color="000000"/>
              <w:left w:val="single" w:sz="8" w:space="0" w:color="000000"/>
              <w:bottom w:val="single" w:sz="8" w:space="0" w:color="000000"/>
              <w:right w:val="single" w:sz="8" w:space="0" w:color="000000"/>
            </w:tcBorders>
            <w:shd w:val="clear" w:color="auto" w:fill="000000" w:themeFill="text1"/>
            <w:tcMar>
              <w:top w:w="57" w:type="dxa"/>
              <w:left w:w="108" w:type="dxa"/>
              <w:bottom w:w="57" w:type="dxa"/>
              <w:right w:w="108" w:type="dxa"/>
            </w:tcMar>
            <w:vAlign w:val="center"/>
            <w:hideMark/>
          </w:tcPr>
          <w:p w14:paraId="52D975E2" w14:textId="77777777" w:rsidR="00100208" w:rsidRPr="00100208" w:rsidRDefault="00100208" w:rsidP="00100208">
            <w:pPr>
              <w:spacing w:after="0" w:line="240" w:lineRule="auto"/>
              <w:jc w:val="center"/>
              <w:rPr>
                <w:rFonts w:cs="Calibri"/>
                <w:b/>
                <w:color w:val="FFFFFF" w:themeColor="background1"/>
              </w:rPr>
            </w:pPr>
            <w:r w:rsidRPr="00100208">
              <w:rPr>
                <w:rFonts w:cs="Calibri"/>
                <w:b/>
                <w:color w:val="FFFFFF" w:themeColor="background1"/>
              </w:rPr>
              <w:t>2015/2016</w:t>
            </w:r>
          </w:p>
          <w:p w14:paraId="7B8C3F62" w14:textId="77777777" w:rsidR="00100208" w:rsidRPr="00100208" w:rsidRDefault="00100208" w:rsidP="00100208">
            <w:pPr>
              <w:spacing w:after="0" w:line="240" w:lineRule="auto"/>
              <w:jc w:val="center"/>
              <w:rPr>
                <w:rFonts w:cs="Calibri"/>
                <w:b/>
                <w:color w:val="FFFFFF" w:themeColor="background1"/>
              </w:rPr>
            </w:pPr>
            <w:r w:rsidRPr="00100208">
              <w:rPr>
                <w:rFonts w:cs="Calibri"/>
                <w:b/>
                <w:color w:val="FFFFFF" w:themeColor="background1"/>
              </w:rPr>
              <w:t xml:space="preserve">% Backlog </w:t>
            </w:r>
          </w:p>
        </w:tc>
      </w:tr>
      <w:tr w:rsidR="00100208" w:rsidRPr="00100208" w14:paraId="0D9D5522" w14:textId="77777777" w:rsidTr="00100208">
        <w:trPr>
          <w:trHeight w:val="116"/>
        </w:trPr>
        <w:tc>
          <w:tcPr>
            <w:tcW w:w="1817" w:type="dxa"/>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hideMark/>
          </w:tcPr>
          <w:p w14:paraId="196DC1B2" w14:textId="77777777" w:rsidR="00100208" w:rsidRPr="00100208" w:rsidRDefault="00100208" w:rsidP="00100208">
            <w:pPr>
              <w:spacing w:after="0" w:line="240" w:lineRule="auto"/>
              <w:rPr>
                <w:rFonts w:cs="Calibri"/>
                <w:b/>
                <w:color w:val="000000" w:themeColor="text1"/>
              </w:rPr>
            </w:pPr>
            <w:r w:rsidRPr="00100208">
              <w:rPr>
                <w:rFonts w:cs="Calibri"/>
                <w:b/>
                <w:color w:val="000000" w:themeColor="text1"/>
              </w:rPr>
              <w:t>uMfolozi LM</w:t>
            </w:r>
          </w:p>
        </w:tc>
        <w:tc>
          <w:tcPr>
            <w:tcW w:w="1118" w:type="dxa"/>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hideMark/>
          </w:tcPr>
          <w:p w14:paraId="22AC91BF" w14:textId="77777777" w:rsidR="00100208" w:rsidRPr="00100208" w:rsidRDefault="00100208" w:rsidP="00100208">
            <w:pPr>
              <w:spacing w:after="0" w:line="240" w:lineRule="auto"/>
              <w:jc w:val="center"/>
              <w:rPr>
                <w:rFonts w:cs="Calibri"/>
                <w:color w:val="000000" w:themeColor="text1"/>
              </w:rPr>
            </w:pPr>
            <w:r w:rsidRPr="00100208">
              <w:rPr>
                <w:rFonts w:cs="Calibri"/>
                <w:color w:val="000000" w:themeColor="text1"/>
              </w:rPr>
              <w:t>12664</w:t>
            </w:r>
          </w:p>
        </w:tc>
        <w:tc>
          <w:tcPr>
            <w:tcW w:w="1257" w:type="dxa"/>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hideMark/>
          </w:tcPr>
          <w:p w14:paraId="51601C2F" w14:textId="77777777" w:rsidR="00100208" w:rsidRPr="00100208" w:rsidRDefault="00100208" w:rsidP="00100208">
            <w:pPr>
              <w:spacing w:after="0" w:line="240" w:lineRule="auto"/>
              <w:jc w:val="center"/>
              <w:rPr>
                <w:rFonts w:cs="Calibri"/>
                <w:color w:val="000000" w:themeColor="text1"/>
              </w:rPr>
            </w:pPr>
            <w:r w:rsidRPr="00100208">
              <w:rPr>
                <w:rFonts w:cs="Calibri"/>
                <w:color w:val="000000" w:themeColor="text1"/>
              </w:rPr>
              <w:t>99.00%</w:t>
            </w:r>
          </w:p>
        </w:tc>
        <w:tc>
          <w:tcPr>
            <w:tcW w:w="1398" w:type="dxa"/>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tcPr>
          <w:p w14:paraId="6F262212" w14:textId="77777777" w:rsidR="00100208" w:rsidRPr="00100208" w:rsidRDefault="00100208" w:rsidP="00100208">
            <w:pPr>
              <w:spacing w:after="0" w:line="240" w:lineRule="auto"/>
              <w:jc w:val="center"/>
              <w:rPr>
                <w:rFonts w:cs="Calibri"/>
                <w:color w:val="000000" w:themeColor="text1"/>
              </w:rPr>
            </w:pPr>
            <w:r w:rsidRPr="00100208">
              <w:rPr>
                <w:rFonts w:cs="Calibri"/>
                <w:color w:val="000000" w:themeColor="text1"/>
              </w:rPr>
              <w:t>25584</w:t>
            </w:r>
          </w:p>
        </w:tc>
        <w:tc>
          <w:tcPr>
            <w:tcW w:w="1284" w:type="dxa"/>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hideMark/>
          </w:tcPr>
          <w:p w14:paraId="24F5F511" w14:textId="77777777" w:rsidR="00100208" w:rsidRPr="00100208" w:rsidRDefault="00100208" w:rsidP="00100208">
            <w:pPr>
              <w:spacing w:after="0" w:line="240" w:lineRule="auto"/>
              <w:jc w:val="center"/>
              <w:rPr>
                <w:rFonts w:cs="Calibri"/>
                <w:color w:val="000000" w:themeColor="text1"/>
              </w:rPr>
            </w:pPr>
            <w:r w:rsidRPr="00100208">
              <w:rPr>
                <w:rFonts w:cs="Calibri"/>
                <w:color w:val="000000" w:themeColor="text1"/>
              </w:rPr>
              <w:t>25584</w:t>
            </w:r>
          </w:p>
        </w:tc>
        <w:tc>
          <w:tcPr>
            <w:tcW w:w="1370" w:type="dxa"/>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hideMark/>
          </w:tcPr>
          <w:p w14:paraId="0AC74FA4" w14:textId="77777777" w:rsidR="00100208" w:rsidRPr="00100208" w:rsidRDefault="00100208" w:rsidP="00100208">
            <w:pPr>
              <w:spacing w:after="0" w:line="240" w:lineRule="auto"/>
              <w:jc w:val="center"/>
              <w:rPr>
                <w:rFonts w:cs="Calibri"/>
                <w:color w:val="000000" w:themeColor="text1"/>
              </w:rPr>
            </w:pPr>
            <w:r w:rsidRPr="00100208">
              <w:rPr>
                <w:rFonts w:cs="Calibri"/>
                <w:color w:val="000000" w:themeColor="text1"/>
              </w:rPr>
              <w:t>0</w:t>
            </w:r>
          </w:p>
        </w:tc>
        <w:tc>
          <w:tcPr>
            <w:tcW w:w="1258" w:type="dxa"/>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vAlign w:val="center"/>
            <w:hideMark/>
          </w:tcPr>
          <w:p w14:paraId="1B46FE7A" w14:textId="77777777" w:rsidR="00100208" w:rsidRPr="00100208" w:rsidRDefault="00100208" w:rsidP="00100208">
            <w:pPr>
              <w:spacing w:after="0" w:line="240" w:lineRule="auto"/>
              <w:jc w:val="center"/>
              <w:rPr>
                <w:rFonts w:cs="Calibri"/>
                <w:color w:val="000000" w:themeColor="text1"/>
              </w:rPr>
            </w:pPr>
            <w:r w:rsidRPr="00100208">
              <w:rPr>
                <w:rFonts w:cs="Calibri"/>
                <w:color w:val="000000" w:themeColor="text1"/>
              </w:rPr>
              <w:t>INFILLS</w:t>
            </w:r>
          </w:p>
        </w:tc>
      </w:tr>
      <w:tr w:rsidR="00100208" w:rsidRPr="00100208" w14:paraId="4F03BD6E" w14:textId="77777777" w:rsidTr="00100208">
        <w:trPr>
          <w:trHeight w:val="158"/>
        </w:trPr>
        <w:tc>
          <w:tcPr>
            <w:tcW w:w="1817"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57" w:type="dxa"/>
              <w:left w:w="108" w:type="dxa"/>
              <w:bottom w:w="57" w:type="dxa"/>
              <w:right w:w="108" w:type="dxa"/>
            </w:tcMar>
            <w:hideMark/>
          </w:tcPr>
          <w:p w14:paraId="67D79F6A" w14:textId="77777777" w:rsidR="00100208" w:rsidRPr="00100208" w:rsidRDefault="00100208" w:rsidP="00100208">
            <w:pPr>
              <w:spacing w:after="0" w:line="240" w:lineRule="auto"/>
              <w:rPr>
                <w:rFonts w:cs="Calibri"/>
                <w:b/>
                <w:color w:val="000000" w:themeColor="text1"/>
              </w:rPr>
            </w:pPr>
            <w:r w:rsidRPr="00100208">
              <w:rPr>
                <w:rFonts w:cs="Calibri"/>
                <w:b/>
                <w:color w:val="000000" w:themeColor="text1"/>
              </w:rPr>
              <w:t>uMlalazi LM</w:t>
            </w:r>
          </w:p>
        </w:tc>
        <w:tc>
          <w:tcPr>
            <w:tcW w:w="1118"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28" w:type="dxa"/>
              <w:left w:w="28" w:type="dxa"/>
              <w:bottom w:w="28" w:type="dxa"/>
              <w:right w:w="28" w:type="dxa"/>
            </w:tcMar>
            <w:hideMark/>
          </w:tcPr>
          <w:p w14:paraId="560B89D6" w14:textId="77777777" w:rsidR="00100208" w:rsidRPr="00100208" w:rsidRDefault="00100208" w:rsidP="00100208">
            <w:pPr>
              <w:spacing w:after="0" w:line="240" w:lineRule="auto"/>
              <w:jc w:val="center"/>
              <w:rPr>
                <w:rFonts w:cs="Calibri"/>
                <w:b/>
                <w:color w:val="000000" w:themeColor="text1"/>
              </w:rPr>
            </w:pPr>
            <w:r w:rsidRPr="00100208">
              <w:rPr>
                <w:rFonts w:cs="Calibri"/>
                <w:b/>
                <w:color w:val="000000" w:themeColor="text1"/>
              </w:rPr>
              <w:t>34484</w:t>
            </w:r>
          </w:p>
        </w:tc>
        <w:tc>
          <w:tcPr>
            <w:tcW w:w="1257"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57" w:type="dxa"/>
              <w:left w:w="108" w:type="dxa"/>
              <w:bottom w:w="57" w:type="dxa"/>
              <w:right w:w="108" w:type="dxa"/>
            </w:tcMar>
            <w:hideMark/>
          </w:tcPr>
          <w:p w14:paraId="13B3B8E7" w14:textId="77777777" w:rsidR="00100208" w:rsidRPr="00100208" w:rsidRDefault="00100208" w:rsidP="00100208">
            <w:pPr>
              <w:spacing w:after="0" w:line="240" w:lineRule="auto"/>
              <w:jc w:val="center"/>
              <w:rPr>
                <w:rFonts w:cs="Calibri"/>
                <w:b/>
                <w:color w:val="000000" w:themeColor="text1"/>
              </w:rPr>
            </w:pPr>
            <w:r w:rsidRPr="00100208">
              <w:rPr>
                <w:rFonts w:cs="Calibri"/>
                <w:b/>
                <w:color w:val="000000" w:themeColor="text1"/>
              </w:rPr>
              <w:t>85%</w:t>
            </w:r>
          </w:p>
        </w:tc>
        <w:tc>
          <w:tcPr>
            <w:tcW w:w="1398"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57" w:type="dxa"/>
              <w:left w:w="108" w:type="dxa"/>
              <w:bottom w:w="57" w:type="dxa"/>
              <w:right w:w="108" w:type="dxa"/>
            </w:tcMar>
          </w:tcPr>
          <w:p w14:paraId="70C92771" w14:textId="77777777" w:rsidR="00100208" w:rsidRPr="00100208" w:rsidRDefault="00100208" w:rsidP="00100208">
            <w:pPr>
              <w:spacing w:after="0" w:line="240" w:lineRule="auto"/>
              <w:jc w:val="center"/>
              <w:rPr>
                <w:rFonts w:cs="Calibri"/>
                <w:b/>
                <w:color w:val="000000" w:themeColor="text1"/>
              </w:rPr>
            </w:pPr>
            <w:r w:rsidRPr="00100208">
              <w:rPr>
                <w:rFonts w:cs="Calibri"/>
                <w:b/>
                <w:color w:val="000000" w:themeColor="text1"/>
              </w:rPr>
              <w:t>45062</w:t>
            </w:r>
          </w:p>
        </w:tc>
        <w:tc>
          <w:tcPr>
            <w:tcW w:w="1284"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57" w:type="dxa"/>
              <w:left w:w="108" w:type="dxa"/>
              <w:bottom w:w="57" w:type="dxa"/>
              <w:right w:w="108" w:type="dxa"/>
            </w:tcMar>
            <w:hideMark/>
          </w:tcPr>
          <w:p w14:paraId="6FFB1CB9" w14:textId="77777777" w:rsidR="00100208" w:rsidRPr="00100208" w:rsidRDefault="00100208" w:rsidP="00100208">
            <w:pPr>
              <w:spacing w:after="0" w:line="240" w:lineRule="auto"/>
              <w:jc w:val="center"/>
              <w:rPr>
                <w:rFonts w:cs="Calibri"/>
                <w:b/>
                <w:color w:val="000000" w:themeColor="text1"/>
              </w:rPr>
            </w:pPr>
            <w:r w:rsidRPr="00100208">
              <w:rPr>
                <w:rFonts w:cs="Calibri"/>
                <w:b/>
                <w:color w:val="000000" w:themeColor="text1"/>
              </w:rPr>
              <w:t>35148</w:t>
            </w:r>
          </w:p>
        </w:tc>
        <w:tc>
          <w:tcPr>
            <w:tcW w:w="1370"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57" w:type="dxa"/>
              <w:left w:w="108" w:type="dxa"/>
              <w:bottom w:w="57" w:type="dxa"/>
              <w:right w:w="108" w:type="dxa"/>
            </w:tcMar>
            <w:hideMark/>
          </w:tcPr>
          <w:p w14:paraId="0F89DD05" w14:textId="77777777" w:rsidR="00100208" w:rsidRPr="00100208" w:rsidRDefault="00100208" w:rsidP="00100208">
            <w:pPr>
              <w:spacing w:after="0" w:line="240" w:lineRule="auto"/>
              <w:jc w:val="center"/>
              <w:rPr>
                <w:rFonts w:cs="Calibri"/>
                <w:b/>
                <w:color w:val="000000" w:themeColor="text1"/>
              </w:rPr>
            </w:pPr>
            <w:r w:rsidRPr="00100208">
              <w:rPr>
                <w:rFonts w:cs="Calibri"/>
                <w:b/>
                <w:color w:val="000000" w:themeColor="text1"/>
              </w:rPr>
              <w:t>9914</w:t>
            </w:r>
          </w:p>
        </w:tc>
        <w:tc>
          <w:tcPr>
            <w:tcW w:w="1258"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tcMar>
              <w:top w:w="57" w:type="dxa"/>
              <w:left w:w="108" w:type="dxa"/>
              <w:bottom w:w="57" w:type="dxa"/>
              <w:right w:w="108" w:type="dxa"/>
            </w:tcMar>
            <w:vAlign w:val="center"/>
            <w:hideMark/>
          </w:tcPr>
          <w:p w14:paraId="36F0CD60" w14:textId="77777777" w:rsidR="00100208" w:rsidRPr="00100208" w:rsidRDefault="00100208" w:rsidP="00100208">
            <w:pPr>
              <w:spacing w:after="0" w:line="240" w:lineRule="auto"/>
              <w:jc w:val="center"/>
              <w:rPr>
                <w:rFonts w:cs="Calibri"/>
                <w:b/>
                <w:color w:val="000000" w:themeColor="text1"/>
              </w:rPr>
            </w:pPr>
            <w:r w:rsidRPr="00100208">
              <w:rPr>
                <w:rFonts w:cs="Calibri"/>
                <w:b/>
                <w:color w:val="000000" w:themeColor="text1"/>
              </w:rPr>
              <w:t>22%</w:t>
            </w:r>
          </w:p>
        </w:tc>
      </w:tr>
      <w:tr w:rsidR="00100208" w:rsidRPr="00100208" w14:paraId="6A4A8A18" w14:textId="77777777" w:rsidTr="00100208">
        <w:trPr>
          <w:trHeight w:val="117"/>
        </w:trPr>
        <w:tc>
          <w:tcPr>
            <w:tcW w:w="1817" w:type="dxa"/>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hideMark/>
          </w:tcPr>
          <w:p w14:paraId="5D8711D5" w14:textId="77777777" w:rsidR="00100208" w:rsidRPr="00100208" w:rsidRDefault="00100208" w:rsidP="00100208">
            <w:pPr>
              <w:spacing w:after="0" w:line="240" w:lineRule="auto"/>
              <w:rPr>
                <w:rFonts w:cs="Calibri"/>
                <w:b/>
              </w:rPr>
            </w:pPr>
            <w:r w:rsidRPr="00100208">
              <w:rPr>
                <w:rFonts w:cs="Calibri"/>
                <w:b/>
              </w:rPr>
              <w:t>Mthonjaneni LM</w:t>
            </w:r>
          </w:p>
        </w:tc>
        <w:tc>
          <w:tcPr>
            <w:tcW w:w="1118" w:type="dxa"/>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hideMark/>
          </w:tcPr>
          <w:p w14:paraId="21C3EF4C" w14:textId="77777777" w:rsidR="00100208" w:rsidRPr="00100208" w:rsidRDefault="00100208" w:rsidP="00100208">
            <w:pPr>
              <w:spacing w:after="0" w:line="240" w:lineRule="auto"/>
              <w:jc w:val="center"/>
              <w:rPr>
                <w:rFonts w:cs="Calibri"/>
                <w:color w:val="000000" w:themeColor="text1"/>
              </w:rPr>
            </w:pPr>
            <w:r w:rsidRPr="00100208">
              <w:rPr>
                <w:rFonts w:cs="Calibri"/>
                <w:color w:val="000000" w:themeColor="text1"/>
              </w:rPr>
              <w:t>6056</w:t>
            </w:r>
          </w:p>
        </w:tc>
        <w:tc>
          <w:tcPr>
            <w:tcW w:w="1257" w:type="dxa"/>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hideMark/>
          </w:tcPr>
          <w:p w14:paraId="74C0050E" w14:textId="77777777" w:rsidR="00100208" w:rsidRPr="00100208" w:rsidRDefault="00100208" w:rsidP="00100208">
            <w:pPr>
              <w:spacing w:after="0" w:line="240" w:lineRule="auto"/>
              <w:jc w:val="center"/>
              <w:rPr>
                <w:rFonts w:cs="Calibri"/>
                <w:color w:val="000000" w:themeColor="text1"/>
              </w:rPr>
            </w:pPr>
            <w:r w:rsidRPr="00100208">
              <w:rPr>
                <w:rFonts w:cs="Calibri"/>
                <w:color w:val="000000" w:themeColor="text1"/>
              </w:rPr>
              <w:t>95%</w:t>
            </w:r>
          </w:p>
        </w:tc>
        <w:tc>
          <w:tcPr>
            <w:tcW w:w="1398" w:type="dxa"/>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tcPr>
          <w:p w14:paraId="058EF11C" w14:textId="77777777" w:rsidR="00100208" w:rsidRPr="00100208" w:rsidRDefault="00100208" w:rsidP="00100208">
            <w:pPr>
              <w:spacing w:after="0" w:line="240" w:lineRule="auto"/>
              <w:jc w:val="center"/>
              <w:rPr>
                <w:rFonts w:cs="Calibri"/>
                <w:color w:val="000000" w:themeColor="text1"/>
              </w:rPr>
            </w:pPr>
            <w:r w:rsidRPr="00100208">
              <w:rPr>
                <w:rFonts w:cs="Calibri"/>
                <w:color w:val="000000" w:themeColor="text1"/>
              </w:rPr>
              <w:t>10433</w:t>
            </w:r>
          </w:p>
        </w:tc>
        <w:tc>
          <w:tcPr>
            <w:tcW w:w="1284" w:type="dxa"/>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hideMark/>
          </w:tcPr>
          <w:p w14:paraId="57C47EEF" w14:textId="77777777" w:rsidR="00100208" w:rsidRPr="00100208" w:rsidRDefault="00100208" w:rsidP="00100208">
            <w:pPr>
              <w:spacing w:after="0" w:line="240" w:lineRule="auto"/>
              <w:jc w:val="center"/>
              <w:rPr>
                <w:rFonts w:cs="Calibri"/>
                <w:color w:val="000000" w:themeColor="text1"/>
              </w:rPr>
            </w:pPr>
            <w:r w:rsidRPr="00100208">
              <w:rPr>
                <w:rFonts w:cs="Calibri"/>
                <w:color w:val="000000" w:themeColor="text1"/>
              </w:rPr>
              <w:t>11069</w:t>
            </w:r>
          </w:p>
        </w:tc>
        <w:tc>
          <w:tcPr>
            <w:tcW w:w="1370" w:type="dxa"/>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hideMark/>
          </w:tcPr>
          <w:p w14:paraId="284686C5" w14:textId="77777777" w:rsidR="00100208" w:rsidRPr="00100208" w:rsidRDefault="00100208" w:rsidP="00100208">
            <w:pPr>
              <w:spacing w:after="0" w:line="240" w:lineRule="auto"/>
              <w:jc w:val="center"/>
              <w:rPr>
                <w:rFonts w:cs="Calibri"/>
                <w:color w:val="000000" w:themeColor="text1"/>
              </w:rPr>
            </w:pPr>
            <w:r w:rsidRPr="00100208">
              <w:rPr>
                <w:rFonts w:cs="Calibri"/>
                <w:color w:val="000000" w:themeColor="text1"/>
              </w:rPr>
              <w:t>0</w:t>
            </w:r>
          </w:p>
        </w:tc>
        <w:tc>
          <w:tcPr>
            <w:tcW w:w="1258" w:type="dxa"/>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vAlign w:val="center"/>
            <w:hideMark/>
          </w:tcPr>
          <w:p w14:paraId="34ACF548" w14:textId="77777777" w:rsidR="00100208" w:rsidRPr="00100208" w:rsidRDefault="00100208" w:rsidP="00100208">
            <w:pPr>
              <w:spacing w:after="0" w:line="240" w:lineRule="auto"/>
              <w:jc w:val="center"/>
              <w:rPr>
                <w:rFonts w:cs="Calibri"/>
                <w:color w:val="000000" w:themeColor="text1"/>
              </w:rPr>
            </w:pPr>
            <w:r w:rsidRPr="00100208">
              <w:rPr>
                <w:rFonts w:cs="Calibri"/>
                <w:color w:val="000000" w:themeColor="text1"/>
              </w:rPr>
              <w:t xml:space="preserve">INFILLS </w:t>
            </w:r>
          </w:p>
        </w:tc>
      </w:tr>
      <w:tr w:rsidR="00100208" w:rsidRPr="00100208" w14:paraId="559A2F1E" w14:textId="77777777" w:rsidTr="00100208">
        <w:trPr>
          <w:trHeight w:val="148"/>
        </w:trPr>
        <w:tc>
          <w:tcPr>
            <w:tcW w:w="1817" w:type="dxa"/>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hideMark/>
          </w:tcPr>
          <w:p w14:paraId="48A0AABD" w14:textId="77777777" w:rsidR="00100208" w:rsidRPr="00100208" w:rsidRDefault="00100208" w:rsidP="00100208">
            <w:pPr>
              <w:spacing w:after="0" w:line="240" w:lineRule="auto"/>
              <w:rPr>
                <w:rFonts w:cs="Calibri"/>
                <w:b/>
                <w:color w:val="000000" w:themeColor="text1"/>
              </w:rPr>
            </w:pPr>
            <w:r w:rsidRPr="00100208">
              <w:rPr>
                <w:rFonts w:cs="Calibri"/>
                <w:b/>
                <w:color w:val="000000" w:themeColor="text1"/>
              </w:rPr>
              <w:t>Nkandla LM</w:t>
            </w:r>
          </w:p>
        </w:tc>
        <w:tc>
          <w:tcPr>
            <w:tcW w:w="1118" w:type="dxa"/>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hideMark/>
          </w:tcPr>
          <w:p w14:paraId="56C2DD57" w14:textId="77777777" w:rsidR="00100208" w:rsidRPr="00100208" w:rsidRDefault="00100208" w:rsidP="00100208">
            <w:pPr>
              <w:spacing w:after="0" w:line="240" w:lineRule="auto"/>
              <w:jc w:val="center"/>
              <w:rPr>
                <w:rFonts w:cs="Calibri"/>
                <w:color w:val="000000" w:themeColor="text1"/>
              </w:rPr>
            </w:pPr>
            <w:r w:rsidRPr="00100208">
              <w:rPr>
                <w:rFonts w:cs="Calibri"/>
                <w:color w:val="000000" w:themeColor="text1"/>
              </w:rPr>
              <w:t>21085</w:t>
            </w:r>
          </w:p>
        </w:tc>
        <w:tc>
          <w:tcPr>
            <w:tcW w:w="1257" w:type="dxa"/>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hideMark/>
          </w:tcPr>
          <w:p w14:paraId="0CB233CA" w14:textId="77777777" w:rsidR="00100208" w:rsidRPr="00100208" w:rsidRDefault="00100208" w:rsidP="00100208">
            <w:pPr>
              <w:spacing w:after="0" w:line="240" w:lineRule="auto"/>
              <w:jc w:val="center"/>
              <w:rPr>
                <w:rFonts w:cs="Calibri"/>
                <w:color w:val="000000" w:themeColor="text1"/>
              </w:rPr>
            </w:pPr>
            <w:r w:rsidRPr="00100208">
              <w:rPr>
                <w:rFonts w:cs="Calibri"/>
                <w:color w:val="000000" w:themeColor="text1"/>
              </w:rPr>
              <w:t>94%</w:t>
            </w:r>
          </w:p>
        </w:tc>
        <w:tc>
          <w:tcPr>
            <w:tcW w:w="1398" w:type="dxa"/>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tcPr>
          <w:p w14:paraId="2B79966A" w14:textId="77777777" w:rsidR="00100208" w:rsidRPr="00100208" w:rsidRDefault="00100208" w:rsidP="00100208">
            <w:pPr>
              <w:spacing w:after="0" w:line="240" w:lineRule="auto"/>
              <w:jc w:val="center"/>
              <w:rPr>
                <w:rFonts w:cs="Calibri"/>
                <w:color w:val="000000" w:themeColor="text1"/>
              </w:rPr>
            </w:pPr>
            <w:r w:rsidRPr="00100208">
              <w:rPr>
                <w:rFonts w:cs="Calibri"/>
                <w:color w:val="000000" w:themeColor="text1"/>
              </w:rPr>
              <w:t>22463</w:t>
            </w:r>
          </w:p>
        </w:tc>
        <w:tc>
          <w:tcPr>
            <w:tcW w:w="1284" w:type="dxa"/>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hideMark/>
          </w:tcPr>
          <w:p w14:paraId="728C25AA" w14:textId="77777777" w:rsidR="00100208" w:rsidRPr="00100208" w:rsidRDefault="00100208" w:rsidP="00100208">
            <w:pPr>
              <w:spacing w:after="0" w:line="240" w:lineRule="auto"/>
              <w:jc w:val="center"/>
              <w:rPr>
                <w:rFonts w:cs="Calibri"/>
                <w:color w:val="000000" w:themeColor="text1"/>
              </w:rPr>
            </w:pPr>
            <w:r w:rsidRPr="00100208">
              <w:rPr>
                <w:rFonts w:cs="Calibri"/>
                <w:color w:val="000000" w:themeColor="text1"/>
              </w:rPr>
              <w:t>22463</w:t>
            </w:r>
          </w:p>
        </w:tc>
        <w:tc>
          <w:tcPr>
            <w:tcW w:w="1370" w:type="dxa"/>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hideMark/>
          </w:tcPr>
          <w:p w14:paraId="058DDDB4" w14:textId="77777777" w:rsidR="00100208" w:rsidRPr="00100208" w:rsidRDefault="00100208" w:rsidP="00100208">
            <w:pPr>
              <w:spacing w:after="0" w:line="240" w:lineRule="auto"/>
              <w:jc w:val="center"/>
              <w:rPr>
                <w:rFonts w:cs="Calibri"/>
                <w:color w:val="000000" w:themeColor="text1"/>
              </w:rPr>
            </w:pPr>
            <w:r w:rsidRPr="00100208">
              <w:rPr>
                <w:rFonts w:cs="Calibri"/>
                <w:color w:val="000000" w:themeColor="text1"/>
              </w:rPr>
              <w:t>0</w:t>
            </w:r>
          </w:p>
        </w:tc>
        <w:tc>
          <w:tcPr>
            <w:tcW w:w="1258" w:type="dxa"/>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vAlign w:val="center"/>
            <w:hideMark/>
          </w:tcPr>
          <w:p w14:paraId="2E7EE815" w14:textId="77777777" w:rsidR="00100208" w:rsidRPr="00100208" w:rsidRDefault="00100208" w:rsidP="00100208">
            <w:pPr>
              <w:spacing w:after="0" w:line="240" w:lineRule="auto"/>
              <w:jc w:val="center"/>
              <w:rPr>
                <w:rFonts w:cs="Calibri"/>
                <w:color w:val="000000" w:themeColor="text1"/>
              </w:rPr>
            </w:pPr>
            <w:r w:rsidRPr="00100208">
              <w:rPr>
                <w:rFonts w:cs="Calibri"/>
                <w:color w:val="000000" w:themeColor="text1"/>
              </w:rPr>
              <w:t>INFILLS</w:t>
            </w:r>
          </w:p>
        </w:tc>
      </w:tr>
      <w:tr w:rsidR="00100208" w:rsidRPr="00100208" w14:paraId="63273A99" w14:textId="77777777" w:rsidTr="00100208">
        <w:trPr>
          <w:trHeight w:val="117"/>
        </w:trPr>
        <w:tc>
          <w:tcPr>
            <w:tcW w:w="1817" w:type="dxa"/>
            <w:tcBorders>
              <w:top w:val="single" w:sz="8" w:space="0" w:color="000000"/>
              <w:left w:val="single" w:sz="8" w:space="0" w:color="000000"/>
              <w:bottom w:val="single" w:sz="8" w:space="0" w:color="000000"/>
              <w:right w:val="single" w:sz="8" w:space="0" w:color="000000"/>
            </w:tcBorders>
            <w:shd w:val="clear" w:color="auto" w:fill="948A54"/>
            <w:tcMar>
              <w:top w:w="57" w:type="dxa"/>
              <w:left w:w="108" w:type="dxa"/>
              <w:bottom w:w="57" w:type="dxa"/>
              <w:right w:w="108" w:type="dxa"/>
            </w:tcMar>
            <w:hideMark/>
          </w:tcPr>
          <w:p w14:paraId="170E624D" w14:textId="77777777" w:rsidR="00100208" w:rsidRPr="00100208" w:rsidRDefault="00100208" w:rsidP="00100208">
            <w:pPr>
              <w:spacing w:after="0" w:line="240" w:lineRule="auto"/>
              <w:rPr>
                <w:rFonts w:cs="Calibri"/>
                <w:b/>
                <w:color w:val="000000" w:themeColor="text1"/>
              </w:rPr>
            </w:pPr>
            <w:r w:rsidRPr="00100208">
              <w:rPr>
                <w:rFonts w:cs="Calibri"/>
                <w:b/>
                <w:color w:val="000000" w:themeColor="text1"/>
              </w:rPr>
              <w:t>Total</w:t>
            </w:r>
          </w:p>
        </w:tc>
        <w:tc>
          <w:tcPr>
            <w:tcW w:w="1118" w:type="dxa"/>
            <w:tcBorders>
              <w:top w:val="single" w:sz="8" w:space="0" w:color="000000"/>
              <w:left w:val="single" w:sz="8" w:space="0" w:color="000000"/>
              <w:bottom w:val="single" w:sz="8" w:space="0" w:color="000000"/>
              <w:right w:val="single" w:sz="8" w:space="0" w:color="000000"/>
            </w:tcBorders>
            <w:shd w:val="clear" w:color="auto" w:fill="948A54"/>
            <w:tcMar>
              <w:top w:w="57" w:type="dxa"/>
              <w:left w:w="108" w:type="dxa"/>
              <w:bottom w:w="57" w:type="dxa"/>
              <w:right w:w="108" w:type="dxa"/>
            </w:tcMar>
            <w:hideMark/>
          </w:tcPr>
          <w:p w14:paraId="1DDDD3A1" w14:textId="77777777" w:rsidR="00100208" w:rsidRPr="00100208" w:rsidRDefault="00100208" w:rsidP="00100208">
            <w:pPr>
              <w:spacing w:after="0" w:line="240" w:lineRule="auto"/>
              <w:jc w:val="center"/>
              <w:rPr>
                <w:rFonts w:cs="Calibri"/>
                <w:b/>
                <w:color w:val="000000" w:themeColor="text1"/>
              </w:rPr>
            </w:pPr>
            <w:r w:rsidRPr="00100208">
              <w:rPr>
                <w:rFonts w:cs="Calibri"/>
                <w:b/>
                <w:color w:val="000000" w:themeColor="text1"/>
              </w:rPr>
              <w:t>82817</w:t>
            </w:r>
          </w:p>
        </w:tc>
        <w:tc>
          <w:tcPr>
            <w:tcW w:w="1257" w:type="dxa"/>
            <w:tcBorders>
              <w:top w:val="single" w:sz="8" w:space="0" w:color="000000"/>
              <w:left w:val="single" w:sz="8" w:space="0" w:color="000000"/>
              <w:bottom w:val="single" w:sz="8" w:space="0" w:color="000000"/>
              <w:right w:val="single" w:sz="8" w:space="0" w:color="000000"/>
            </w:tcBorders>
            <w:shd w:val="clear" w:color="auto" w:fill="948A54"/>
            <w:tcMar>
              <w:top w:w="28" w:type="dxa"/>
              <w:left w:w="28" w:type="dxa"/>
              <w:bottom w:w="28" w:type="dxa"/>
              <w:right w:w="28" w:type="dxa"/>
            </w:tcMar>
            <w:hideMark/>
          </w:tcPr>
          <w:p w14:paraId="620C8F0B" w14:textId="77777777" w:rsidR="00100208" w:rsidRPr="00100208" w:rsidRDefault="00100208" w:rsidP="00100208">
            <w:pPr>
              <w:spacing w:after="0" w:line="240" w:lineRule="auto"/>
              <w:jc w:val="center"/>
              <w:rPr>
                <w:rFonts w:cs="Calibri"/>
                <w:b/>
                <w:color w:val="000000" w:themeColor="text1"/>
              </w:rPr>
            </w:pPr>
            <w:r w:rsidRPr="00100208">
              <w:rPr>
                <w:rFonts w:cs="Calibri"/>
                <w:b/>
                <w:color w:val="000000" w:themeColor="text1"/>
              </w:rPr>
              <w:t>89%</w:t>
            </w:r>
          </w:p>
        </w:tc>
        <w:tc>
          <w:tcPr>
            <w:tcW w:w="1398" w:type="dxa"/>
            <w:tcBorders>
              <w:top w:val="single" w:sz="8" w:space="0" w:color="000000"/>
              <w:left w:val="single" w:sz="8" w:space="0" w:color="000000"/>
              <w:bottom w:val="single" w:sz="8" w:space="0" w:color="000000"/>
              <w:right w:val="single" w:sz="8" w:space="0" w:color="000000"/>
            </w:tcBorders>
            <w:shd w:val="clear" w:color="auto" w:fill="948A54"/>
            <w:tcMar>
              <w:top w:w="57" w:type="dxa"/>
              <w:left w:w="108" w:type="dxa"/>
              <w:bottom w:w="57" w:type="dxa"/>
              <w:right w:w="108" w:type="dxa"/>
            </w:tcMar>
          </w:tcPr>
          <w:p w14:paraId="16D884BF" w14:textId="77777777" w:rsidR="00100208" w:rsidRPr="00100208" w:rsidRDefault="00100208" w:rsidP="00100208">
            <w:pPr>
              <w:spacing w:after="0" w:line="240" w:lineRule="auto"/>
              <w:jc w:val="center"/>
              <w:rPr>
                <w:rFonts w:cs="Calibri"/>
                <w:b/>
                <w:color w:val="000000" w:themeColor="text1"/>
              </w:rPr>
            </w:pPr>
            <w:r w:rsidRPr="00100208">
              <w:rPr>
                <w:rFonts w:cs="Calibri"/>
                <w:b/>
                <w:color w:val="000000" w:themeColor="text1"/>
              </w:rPr>
              <w:t>116368</w:t>
            </w:r>
          </w:p>
        </w:tc>
        <w:tc>
          <w:tcPr>
            <w:tcW w:w="1284" w:type="dxa"/>
            <w:tcBorders>
              <w:top w:val="single" w:sz="8" w:space="0" w:color="000000"/>
              <w:left w:val="single" w:sz="8" w:space="0" w:color="000000"/>
              <w:bottom w:val="single" w:sz="8" w:space="0" w:color="000000"/>
              <w:right w:val="single" w:sz="8" w:space="0" w:color="000000"/>
            </w:tcBorders>
            <w:shd w:val="clear" w:color="auto" w:fill="948A54"/>
            <w:tcMar>
              <w:top w:w="57" w:type="dxa"/>
              <w:left w:w="108" w:type="dxa"/>
              <w:bottom w:w="57" w:type="dxa"/>
              <w:right w:w="108" w:type="dxa"/>
            </w:tcMar>
            <w:hideMark/>
          </w:tcPr>
          <w:p w14:paraId="0B694E82" w14:textId="77777777" w:rsidR="00100208" w:rsidRPr="00100208" w:rsidRDefault="00100208" w:rsidP="00100208">
            <w:pPr>
              <w:spacing w:after="0" w:line="240" w:lineRule="auto"/>
              <w:jc w:val="center"/>
              <w:rPr>
                <w:rFonts w:cs="Calibri"/>
                <w:b/>
                <w:color w:val="000000" w:themeColor="text1"/>
              </w:rPr>
            </w:pPr>
            <w:r w:rsidRPr="00100208">
              <w:rPr>
                <w:rFonts w:cs="Calibri"/>
                <w:b/>
                <w:color w:val="000000" w:themeColor="text1"/>
              </w:rPr>
              <w:t>104451</w:t>
            </w:r>
          </w:p>
        </w:tc>
        <w:tc>
          <w:tcPr>
            <w:tcW w:w="1370" w:type="dxa"/>
            <w:tcBorders>
              <w:top w:val="single" w:sz="8" w:space="0" w:color="000000"/>
              <w:left w:val="single" w:sz="8" w:space="0" w:color="000000"/>
              <w:bottom w:val="single" w:sz="8" w:space="0" w:color="000000"/>
              <w:right w:val="single" w:sz="8" w:space="0" w:color="000000"/>
            </w:tcBorders>
            <w:shd w:val="clear" w:color="auto" w:fill="948A54"/>
            <w:tcMar>
              <w:top w:w="57" w:type="dxa"/>
              <w:left w:w="108" w:type="dxa"/>
              <w:bottom w:w="57" w:type="dxa"/>
              <w:right w:w="108" w:type="dxa"/>
            </w:tcMar>
            <w:hideMark/>
          </w:tcPr>
          <w:p w14:paraId="61F590C4" w14:textId="77777777" w:rsidR="00100208" w:rsidRPr="00100208" w:rsidRDefault="00100208" w:rsidP="00100208">
            <w:pPr>
              <w:spacing w:after="0" w:line="240" w:lineRule="auto"/>
              <w:jc w:val="center"/>
              <w:rPr>
                <w:rFonts w:cs="Calibri"/>
                <w:color w:val="000000" w:themeColor="text1"/>
              </w:rPr>
            </w:pPr>
            <w:r w:rsidRPr="00100208">
              <w:rPr>
                <w:rFonts w:cs="Calibri"/>
                <w:color w:val="000000" w:themeColor="text1"/>
              </w:rPr>
              <w:t>9914</w:t>
            </w:r>
          </w:p>
        </w:tc>
        <w:tc>
          <w:tcPr>
            <w:tcW w:w="1258" w:type="dxa"/>
            <w:tcBorders>
              <w:top w:val="single" w:sz="8" w:space="0" w:color="000000"/>
              <w:left w:val="single" w:sz="8" w:space="0" w:color="000000"/>
              <w:bottom w:val="single" w:sz="8" w:space="0" w:color="000000"/>
              <w:right w:val="single" w:sz="8" w:space="0" w:color="000000"/>
            </w:tcBorders>
            <w:shd w:val="clear" w:color="auto" w:fill="948A54"/>
            <w:tcMar>
              <w:top w:w="57" w:type="dxa"/>
              <w:left w:w="108" w:type="dxa"/>
              <w:bottom w:w="57" w:type="dxa"/>
              <w:right w:w="108" w:type="dxa"/>
            </w:tcMar>
            <w:hideMark/>
          </w:tcPr>
          <w:p w14:paraId="24BF8A3E" w14:textId="77777777" w:rsidR="00100208" w:rsidRPr="00100208" w:rsidRDefault="00100208" w:rsidP="00100208">
            <w:pPr>
              <w:spacing w:after="0" w:line="240" w:lineRule="auto"/>
              <w:jc w:val="center"/>
              <w:rPr>
                <w:rFonts w:cs="Calibri"/>
                <w:color w:val="000000" w:themeColor="text1"/>
              </w:rPr>
            </w:pPr>
            <w:r w:rsidRPr="00100208">
              <w:rPr>
                <w:rFonts w:cs="Calibri"/>
                <w:color w:val="000000" w:themeColor="text1"/>
              </w:rPr>
              <w:t>12%</w:t>
            </w:r>
          </w:p>
        </w:tc>
      </w:tr>
    </w:tbl>
    <w:p w14:paraId="72FFE3C2" w14:textId="500AA733" w:rsidR="00B67486" w:rsidRPr="00881795" w:rsidRDefault="00AC3959" w:rsidP="00AC3959">
      <w:pPr>
        <w:pStyle w:val="Caption"/>
      </w:pPr>
      <w:bookmarkStart w:id="278" w:name="_Toc510622276"/>
      <w:bookmarkEnd w:id="276"/>
      <w:bookmarkEnd w:id="277"/>
      <w:r>
        <w:t xml:space="preserve">Table </w:t>
      </w:r>
      <w:r w:rsidR="00B918A6">
        <w:fldChar w:fldCharType="begin"/>
      </w:r>
      <w:r w:rsidR="00B918A6">
        <w:instrText xml:space="preserve"> SEQ Table \* ARABIC </w:instrText>
      </w:r>
      <w:r w:rsidR="00B918A6">
        <w:fldChar w:fldCharType="separate"/>
      </w:r>
      <w:r w:rsidR="0067023A">
        <w:rPr>
          <w:noProof/>
        </w:rPr>
        <w:t>26</w:t>
      </w:r>
      <w:r w:rsidR="00B918A6">
        <w:rPr>
          <w:noProof/>
        </w:rPr>
        <w:fldChar w:fldCharType="end"/>
      </w:r>
      <w:r>
        <w:t xml:space="preserve">: </w:t>
      </w:r>
      <w:r w:rsidR="00513977">
        <w:t xml:space="preserve">Sanitation Backlogs by </w:t>
      </w:r>
      <w:r w:rsidR="001D792E">
        <w:t>King Cetshwayo</w:t>
      </w:r>
      <w:r w:rsidR="00F04167">
        <w:t xml:space="preserve"> </w:t>
      </w:r>
      <w:r w:rsidR="003C03FA">
        <w:t>District</w:t>
      </w:r>
      <w:r w:rsidR="00F04167">
        <w:t xml:space="preserve"> (2015/16</w:t>
      </w:r>
      <w:r w:rsidR="00513977">
        <w:t>)</w:t>
      </w:r>
      <w:bookmarkEnd w:id="278"/>
    </w:p>
    <w:p w14:paraId="5DD1840F" w14:textId="77777777" w:rsidR="00B51FBC" w:rsidRDefault="00B51FBC" w:rsidP="00395313">
      <w:pPr>
        <w:jc w:val="both"/>
        <w:rPr>
          <w:rFonts w:cs="Calibri"/>
          <w:color w:val="000000" w:themeColor="text1"/>
        </w:rPr>
      </w:pPr>
    </w:p>
    <w:p w14:paraId="49C41395" w14:textId="77777777" w:rsidR="00407352" w:rsidRPr="00881795" w:rsidRDefault="00407352" w:rsidP="00395313">
      <w:pPr>
        <w:jc w:val="both"/>
        <w:rPr>
          <w:rFonts w:cs="Calibri"/>
          <w:color w:val="000000" w:themeColor="text1"/>
        </w:rPr>
      </w:pPr>
      <w:r w:rsidRPr="00881795">
        <w:rPr>
          <w:rFonts w:cs="Calibri"/>
          <w:color w:val="000000" w:themeColor="text1"/>
        </w:rPr>
        <w:t>All of the above is the result of expenditure in water and related infrastructure.  Such expenditure is guided by the Water Services Development Plan (WSDP).  The f</w:t>
      </w:r>
      <w:r w:rsidR="00EF0D26">
        <w:rPr>
          <w:rFonts w:cs="Calibri"/>
          <w:color w:val="000000" w:themeColor="text1"/>
        </w:rPr>
        <w:t>ocus of the WSDP is as follows</w:t>
      </w:r>
      <w:r w:rsidRPr="00881795">
        <w:rPr>
          <w:rFonts w:cs="Calibri"/>
          <w:color w:val="000000" w:themeColor="text1"/>
        </w:rPr>
        <w:t>:</w:t>
      </w:r>
    </w:p>
    <w:p w14:paraId="023016B2" w14:textId="77777777" w:rsidR="00407352" w:rsidRPr="00881795" w:rsidRDefault="00407352" w:rsidP="00E31338">
      <w:pPr>
        <w:pStyle w:val="ListParagraph"/>
        <w:numPr>
          <w:ilvl w:val="0"/>
          <w:numId w:val="1"/>
        </w:numPr>
        <w:spacing w:line="288" w:lineRule="auto"/>
        <w:jc w:val="both"/>
        <w:rPr>
          <w:szCs w:val="20"/>
        </w:rPr>
      </w:pPr>
      <w:r w:rsidRPr="00881795">
        <w:rPr>
          <w:szCs w:val="20"/>
        </w:rPr>
        <w:t>Reflection of current levels of services experienced by communities.</w:t>
      </w:r>
    </w:p>
    <w:p w14:paraId="09E35CCB" w14:textId="77777777" w:rsidR="00407352" w:rsidRPr="00881795" w:rsidRDefault="00407352" w:rsidP="00E31338">
      <w:pPr>
        <w:pStyle w:val="ListParagraph"/>
        <w:numPr>
          <w:ilvl w:val="0"/>
          <w:numId w:val="1"/>
        </w:numPr>
        <w:spacing w:line="288" w:lineRule="auto"/>
        <w:jc w:val="both"/>
        <w:rPr>
          <w:szCs w:val="20"/>
        </w:rPr>
      </w:pPr>
      <w:r w:rsidRPr="00881795">
        <w:rPr>
          <w:szCs w:val="20"/>
        </w:rPr>
        <w:t>Revised need for water services by all communities in the district.</w:t>
      </w:r>
    </w:p>
    <w:p w14:paraId="726B9F14" w14:textId="77777777" w:rsidR="00407352" w:rsidRPr="00881795" w:rsidRDefault="00407352" w:rsidP="00E31338">
      <w:pPr>
        <w:pStyle w:val="ListParagraph"/>
        <w:numPr>
          <w:ilvl w:val="0"/>
          <w:numId w:val="1"/>
        </w:numPr>
        <w:spacing w:line="288" w:lineRule="auto"/>
        <w:jc w:val="both"/>
        <w:rPr>
          <w:szCs w:val="20"/>
        </w:rPr>
      </w:pPr>
      <w:r w:rsidRPr="00881795">
        <w:rPr>
          <w:szCs w:val="20"/>
        </w:rPr>
        <w:t>Prioritized projects for development of water services, coupled with budgets and time frames.</w:t>
      </w:r>
    </w:p>
    <w:p w14:paraId="25C2B01A" w14:textId="77777777" w:rsidR="00407352" w:rsidRPr="00881795" w:rsidRDefault="00407352" w:rsidP="00E31338">
      <w:pPr>
        <w:pStyle w:val="ListParagraph"/>
        <w:numPr>
          <w:ilvl w:val="0"/>
          <w:numId w:val="1"/>
        </w:numPr>
        <w:spacing w:line="288" w:lineRule="auto"/>
        <w:jc w:val="both"/>
        <w:rPr>
          <w:szCs w:val="20"/>
        </w:rPr>
      </w:pPr>
      <w:r w:rsidRPr="00881795">
        <w:rPr>
          <w:szCs w:val="20"/>
        </w:rPr>
        <w:t>Strategies regarding technical, social and financial principles of water sources.</w:t>
      </w:r>
    </w:p>
    <w:p w14:paraId="38EAAB17" w14:textId="77777777" w:rsidR="00407352" w:rsidRPr="00881795" w:rsidRDefault="00407352" w:rsidP="00395313">
      <w:pPr>
        <w:jc w:val="both"/>
        <w:rPr>
          <w:rFonts w:cs="Calibri"/>
          <w:color w:val="000000" w:themeColor="text1"/>
        </w:rPr>
      </w:pPr>
      <w:r w:rsidRPr="00881795">
        <w:rPr>
          <w:rFonts w:cs="Calibri"/>
          <w:color w:val="000000" w:themeColor="text1"/>
        </w:rPr>
        <w:t>The WSDP also deals with issues pertaining to the provision of sanitation services.  The eradication of water backlogs have been addressed since the 2001/2002 financial years.  The backlogs for water and sanitation (as the main expenditure items on the municipal budget) relate to the following RDP standards:</w:t>
      </w:r>
    </w:p>
    <w:p w14:paraId="1DB25C70" w14:textId="77777777" w:rsidR="00407352" w:rsidRPr="00881795" w:rsidRDefault="00407352" w:rsidP="00E31338">
      <w:pPr>
        <w:pStyle w:val="ListParagraph"/>
        <w:numPr>
          <w:ilvl w:val="0"/>
          <w:numId w:val="1"/>
        </w:numPr>
        <w:spacing w:line="288" w:lineRule="auto"/>
        <w:jc w:val="both"/>
        <w:rPr>
          <w:szCs w:val="20"/>
        </w:rPr>
      </w:pPr>
      <w:r w:rsidRPr="00881795">
        <w:rPr>
          <w:szCs w:val="20"/>
        </w:rPr>
        <w:t xml:space="preserve">The minimum RDP level of water supply is 25 </w:t>
      </w:r>
      <w:r w:rsidR="003600EB" w:rsidRPr="00881795">
        <w:rPr>
          <w:szCs w:val="20"/>
        </w:rPr>
        <w:t>liters</w:t>
      </w:r>
      <w:r w:rsidRPr="00881795">
        <w:rPr>
          <w:szCs w:val="20"/>
        </w:rPr>
        <w:t xml:space="preserve"> per capita per day within a walking distance of 200m. </w:t>
      </w:r>
    </w:p>
    <w:p w14:paraId="5E90E850" w14:textId="77777777" w:rsidR="00407352" w:rsidRPr="00881795" w:rsidRDefault="00407352" w:rsidP="00E31338">
      <w:pPr>
        <w:pStyle w:val="ListParagraph"/>
        <w:numPr>
          <w:ilvl w:val="0"/>
          <w:numId w:val="1"/>
        </w:numPr>
        <w:spacing w:line="288" w:lineRule="auto"/>
        <w:jc w:val="both"/>
        <w:rPr>
          <w:szCs w:val="20"/>
        </w:rPr>
      </w:pPr>
      <w:r w:rsidRPr="00881795">
        <w:rPr>
          <w:szCs w:val="20"/>
        </w:rPr>
        <w:t>The minimum RDP level of sanitation supply is 1 VIP per household, detached from the household, inclusive of superstructure.</w:t>
      </w:r>
    </w:p>
    <w:p w14:paraId="782D24AB" w14:textId="77777777" w:rsidR="00407352" w:rsidRPr="00881795" w:rsidRDefault="00407352" w:rsidP="00395313">
      <w:pPr>
        <w:jc w:val="both"/>
        <w:rPr>
          <w:rFonts w:cs="Calibri"/>
          <w:bCs/>
          <w:color w:val="000000" w:themeColor="text1"/>
        </w:rPr>
      </w:pPr>
      <w:r w:rsidRPr="00881795">
        <w:rPr>
          <w:rFonts w:cs="Calibri"/>
          <w:bCs/>
          <w:color w:val="000000" w:themeColor="text1"/>
        </w:rPr>
        <w:t xml:space="preserve">The following is the </w:t>
      </w:r>
      <w:r w:rsidR="002551B8">
        <w:rPr>
          <w:rFonts w:cs="Calibri"/>
          <w:b/>
          <w:bCs/>
          <w:color w:val="000000" w:themeColor="text1"/>
        </w:rPr>
        <w:t>KCDM</w:t>
      </w:r>
      <w:r w:rsidRPr="00881795">
        <w:rPr>
          <w:rFonts w:cs="Calibri"/>
          <w:b/>
          <w:bCs/>
          <w:color w:val="000000" w:themeColor="text1"/>
        </w:rPr>
        <w:t xml:space="preserve"> Strategies</w:t>
      </w:r>
      <w:r w:rsidRPr="00881795">
        <w:rPr>
          <w:rFonts w:cs="Calibri"/>
          <w:bCs/>
          <w:color w:val="000000" w:themeColor="text1"/>
        </w:rPr>
        <w:t xml:space="preserve"> relating to water and sanitation provision:</w:t>
      </w:r>
    </w:p>
    <w:p w14:paraId="76E4ABA1" w14:textId="77777777" w:rsidR="00407352" w:rsidRPr="00881795" w:rsidRDefault="00407352" w:rsidP="00E31338">
      <w:pPr>
        <w:pStyle w:val="ListParagraph"/>
        <w:numPr>
          <w:ilvl w:val="0"/>
          <w:numId w:val="1"/>
        </w:numPr>
        <w:spacing w:line="288" w:lineRule="auto"/>
        <w:jc w:val="both"/>
        <w:rPr>
          <w:szCs w:val="20"/>
        </w:rPr>
      </w:pPr>
      <w:r w:rsidRPr="00881795">
        <w:rPr>
          <w:szCs w:val="20"/>
        </w:rPr>
        <w:t>Low cost housing projects</w:t>
      </w:r>
    </w:p>
    <w:p w14:paraId="3D9934E7" w14:textId="77777777" w:rsidR="00407352" w:rsidRPr="00881795" w:rsidRDefault="00407352" w:rsidP="00E31338">
      <w:pPr>
        <w:numPr>
          <w:ilvl w:val="0"/>
          <w:numId w:val="3"/>
        </w:numPr>
        <w:spacing w:after="0"/>
        <w:jc w:val="both"/>
        <w:rPr>
          <w:rFonts w:cs="Calibri"/>
          <w:color w:val="000000" w:themeColor="text1"/>
        </w:rPr>
      </w:pPr>
      <w:r w:rsidRPr="00881795">
        <w:rPr>
          <w:rFonts w:cs="Calibri"/>
          <w:color w:val="000000" w:themeColor="text1"/>
        </w:rPr>
        <w:t xml:space="preserve">The </w:t>
      </w:r>
      <w:r w:rsidR="002551B8">
        <w:rPr>
          <w:rFonts w:cs="Calibri"/>
          <w:color w:val="000000" w:themeColor="text1"/>
        </w:rPr>
        <w:t>KCDM</w:t>
      </w:r>
      <w:r w:rsidRPr="00881795">
        <w:rPr>
          <w:rFonts w:cs="Calibri"/>
          <w:color w:val="000000" w:themeColor="text1"/>
        </w:rPr>
        <w:t xml:space="preserve"> will install basic water infrastructure (reticulation and bulk)</w:t>
      </w:r>
    </w:p>
    <w:p w14:paraId="398F4DAC" w14:textId="77777777" w:rsidR="00407352" w:rsidRPr="00881795" w:rsidRDefault="00407352" w:rsidP="00E31338">
      <w:pPr>
        <w:numPr>
          <w:ilvl w:val="0"/>
          <w:numId w:val="3"/>
        </w:numPr>
        <w:spacing w:after="0"/>
        <w:jc w:val="both"/>
        <w:rPr>
          <w:rFonts w:cs="Calibri"/>
          <w:color w:val="000000" w:themeColor="text1"/>
        </w:rPr>
      </w:pPr>
      <w:r w:rsidRPr="00881795">
        <w:rPr>
          <w:rFonts w:cs="Calibri"/>
          <w:color w:val="000000" w:themeColor="text1"/>
        </w:rPr>
        <w:t>Rural: Metered connection within 200 m from dwelling (funded from housing subsidy)</w:t>
      </w:r>
    </w:p>
    <w:p w14:paraId="49A38B76" w14:textId="77777777" w:rsidR="00407352" w:rsidRPr="00881795" w:rsidRDefault="00407352" w:rsidP="00E31338">
      <w:pPr>
        <w:numPr>
          <w:ilvl w:val="0"/>
          <w:numId w:val="3"/>
        </w:numPr>
        <w:spacing w:after="0"/>
        <w:jc w:val="both"/>
        <w:rPr>
          <w:rFonts w:cs="Calibri"/>
          <w:color w:val="000000" w:themeColor="text1"/>
        </w:rPr>
      </w:pPr>
      <w:r w:rsidRPr="00881795">
        <w:rPr>
          <w:rFonts w:cs="Calibri"/>
          <w:color w:val="000000" w:themeColor="text1"/>
        </w:rPr>
        <w:t>Urban: Metered connection on plot boundary</w:t>
      </w:r>
    </w:p>
    <w:p w14:paraId="222A0EC0" w14:textId="77777777" w:rsidR="00407352" w:rsidRPr="00881795" w:rsidRDefault="00407352" w:rsidP="00E31338">
      <w:pPr>
        <w:numPr>
          <w:ilvl w:val="0"/>
          <w:numId w:val="3"/>
        </w:numPr>
        <w:spacing w:after="0"/>
        <w:jc w:val="both"/>
        <w:rPr>
          <w:rFonts w:cs="Calibri"/>
          <w:color w:val="000000" w:themeColor="text1"/>
        </w:rPr>
      </w:pPr>
      <w:r w:rsidRPr="00881795">
        <w:rPr>
          <w:rFonts w:cs="Calibri"/>
          <w:color w:val="000000" w:themeColor="text1"/>
        </w:rPr>
        <w:t xml:space="preserve">Households have a choice of minimum free basic or metered above 6 kl/month stepped tariffs </w:t>
      </w:r>
    </w:p>
    <w:p w14:paraId="4284B045" w14:textId="77777777" w:rsidR="00407352" w:rsidRPr="00881795" w:rsidRDefault="00407352" w:rsidP="00E31338">
      <w:pPr>
        <w:numPr>
          <w:ilvl w:val="0"/>
          <w:numId w:val="3"/>
        </w:numPr>
        <w:spacing w:after="0"/>
        <w:jc w:val="both"/>
        <w:rPr>
          <w:rFonts w:cs="Calibri"/>
          <w:color w:val="000000" w:themeColor="text1"/>
        </w:rPr>
      </w:pPr>
      <w:r w:rsidRPr="00881795">
        <w:rPr>
          <w:rFonts w:cs="Calibri"/>
          <w:color w:val="000000" w:themeColor="text1"/>
        </w:rPr>
        <w:t>Developer to construct basic on-site sanitation (VIP’s)</w:t>
      </w:r>
    </w:p>
    <w:p w14:paraId="776B1CB5" w14:textId="77777777" w:rsidR="00407352" w:rsidRPr="00881795" w:rsidRDefault="00407352" w:rsidP="00E31338">
      <w:pPr>
        <w:pStyle w:val="ListParagraph"/>
        <w:numPr>
          <w:ilvl w:val="0"/>
          <w:numId w:val="1"/>
        </w:numPr>
        <w:spacing w:line="288" w:lineRule="auto"/>
        <w:jc w:val="both"/>
        <w:rPr>
          <w:szCs w:val="20"/>
        </w:rPr>
      </w:pPr>
      <w:r w:rsidRPr="00881795">
        <w:rPr>
          <w:szCs w:val="20"/>
        </w:rPr>
        <w:t>Upper income housing developments</w:t>
      </w:r>
    </w:p>
    <w:p w14:paraId="63393D32" w14:textId="77777777" w:rsidR="00407352" w:rsidRPr="00881795" w:rsidRDefault="00407352" w:rsidP="00E31338">
      <w:pPr>
        <w:numPr>
          <w:ilvl w:val="0"/>
          <w:numId w:val="3"/>
        </w:numPr>
        <w:spacing w:after="0"/>
        <w:jc w:val="both"/>
        <w:rPr>
          <w:rFonts w:cs="Calibri"/>
          <w:color w:val="000000" w:themeColor="text1"/>
        </w:rPr>
      </w:pPr>
      <w:r w:rsidRPr="00881795">
        <w:rPr>
          <w:rFonts w:cs="Calibri"/>
          <w:color w:val="000000" w:themeColor="text1"/>
        </w:rPr>
        <w:t>The developer constructs all water and sanitation infrastructure, including bulk where there is not sufficient capacity, at own cost</w:t>
      </w:r>
    </w:p>
    <w:p w14:paraId="25ED814E" w14:textId="77777777" w:rsidR="00407352" w:rsidRPr="00881795" w:rsidRDefault="002551B8" w:rsidP="00E31338">
      <w:pPr>
        <w:numPr>
          <w:ilvl w:val="0"/>
          <w:numId w:val="3"/>
        </w:numPr>
        <w:spacing w:after="0"/>
        <w:jc w:val="both"/>
        <w:rPr>
          <w:rFonts w:cs="Calibri"/>
          <w:color w:val="000000" w:themeColor="text1"/>
        </w:rPr>
      </w:pPr>
      <w:r>
        <w:rPr>
          <w:rFonts w:cs="Calibri"/>
          <w:color w:val="000000" w:themeColor="text1"/>
        </w:rPr>
        <w:t>KCDM</w:t>
      </w:r>
      <w:r w:rsidR="00407352" w:rsidRPr="00881795">
        <w:rPr>
          <w:rFonts w:cs="Calibri"/>
          <w:color w:val="000000" w:themeColor="text1"/>
        </w:rPr>
        <w:t xml:space="preserve"> to approve design standards</w:t>
      </w:r>
    </w:p>
    <w:p w14:paraId="23865485" w14:textId="77777777" w:rsidR="00407352" w:rsidRPr="00881795" w:rsidRDefault="00407352" w:rsidP="00E31338">
      <w:pPr>
        <w:numPr>
          <w:ilvl w:val="0"/>
          <w:numId w:val="3"/>
        </w:numPr>
        <w:spacing w:after="0"/>
        <w:jc w:val="both"/>
        <w:rPr>
          <w:rFonts w:cs="Calibri"/>
          <w:color w:val="000000" w:themeColor="text1"/>
        </w:rPr>
      </w:pPr>
      <w:r w:rsidRPr="00881795">
        <w:rPr>
          <w:rFonts w:cs="Calibri"/>
          <w:color w:val="000000" w:themeColor="text1"/>
        </w:rPr>
        <w:t>Households billed on metered stepped tariffs</w:t>
      </w:r>
    </w:p>
    <w:p w14:paraId="73653B38" w14:textId="77777777" w:rsidR="00407352" w:rsidRPr="00881795" w:rsidRDefault="00407352" w:rsidP="00E31338">
      <w:pPr>
        <w:pStyle w:val="ListParagraph"/>
        <w:numPr>
          <w:ilvl w:val="0"/>
          <w:numId w:val="1"/>
        </w:numPr>
        <w:spacing w:line="288" w:lineRule="auto"/>
        <w:jc w:val="both"/>
        <w:rPr>
          <w:szCs w:val="20"/>
        </w:rPr>
      </w:pPr>
      <w:r w:rsidRPr="00881795">
        <w:rPr>
          <w:szCs w:val="20"/>
        </w:rPr>
        <w:t>Industrial developments</w:t>
      </w:r>
    </w:p>
    <w:p w14:paraId="0D9DC96F" w14:textId="77777777" w:rsidR="00407352" w:rsidRPr="00881795" w:rsidRDefault="00407352" w:rsidP="00E31338">
      <w:pPr>
        <w:numPr>
          <w:ilvl w:val="0"/>
          <w:numId w:val="3"/>
        </w:numPr>
        <w:spacing w:after="0"/>
        <w:jc w:val="both"/>
        <w:rPr>
          <w:rFonts w:cs="Calibri"/>
          <w:color w:val="000000" w:themeColor="text1"/>
        </w:rPr>
      </w:pPr>
      <w:r w:rsidRPr="00881795">
        <w:rPr>
          <w:rFonts w:cs="Calibri"/>
          <w:color w:val="000000" w:themeColor="text1"/>
        </w:rPr>
        <w:t>The developer constructs all water and wastewater infrastructure, including bulk where there is not sufficient capacity, at own cost</w:t>
      </w:r>
    </w:p>
    <w:p w14:paraId="794564FD" w14:textId="77777777" w:rsidR="00407352" w:rsidRPr="00881795" w:rsidRDefault="002551B8" w:rsidP="00E31338">
      <w:pPr>
        <w:numPr>
          <w:ilvl w:val="0"/>
          <w:numId w:val="3"/>
        </w:numPr>
        <w:spacing w:after="0"/>
        <w:jc w:val="both"/>
        <w:rPr>
          <w:rFonts w:cs="Calibri"/>
          <w:color w:val="000000" w:themeColor="text1"/>
        </w:rPr>
      </w:pPr>
      <w:r>
        <w:rPr>
          <w:rFonts w:cs="Calibri"/>
          <w:color w:val="000000" w:themeColor="text1"/>
        </w:rPr>
        <w:t>KCDM</w:t>
      </w:r>
      <w:r w:rsidR="00407352" w:rsidRPr="00881795">
        <w:rPr>
          <w:rFonts w:cs="Calibri"/>
          <w:color w:val="000000" w:themeColor="text1"/>
        </w:rPr>
        <w:t xml:space="preserve"> to approve design standards</w:t>
      </w:r>
    </w:p>
    <w:p w14:paraId="76402A8E" w14:textId="77777777" w:rsidR="00407352" w:rsidRPr="00881795" w:rsidRDefault="00407352" w:rsidP="00E31338">
      <w:pPr>
        <w:numPr>
          <w:ilvl w:val="0"/>
          <w:numId w:val="3"/>
        </w:numPr>
        <w:spacing w:after="0"/>
        <w:jc w:val="both"/>
        <w:rPr>
          <w:rFonts w:cs="Calibri"/>
          <w:color w:val="000000" w:themeColor="text1"/>
        </w:rPr>
      </w:pPr>
      <w:r w:rsidRPr="00881795">
        <w:rPr>
          <w:rFonts w:cs="Calibri"/>
          <w:color w:val="000000" w:themeColor="text1"/>
        </w:rPr>
        <w:t xml:space="preserve">Water consumption billed on metered fixed tariff </w:t>
      </w:r>
    </w:p>
    <w:p w14:paraId="16AD721D" w14:textId="77777777" w:rsidR="00407352" w:rsidRPr="00881795" w:rsidRDefault="00407352" w:rsidP="00E31338">
      <w:pPr>
        <w:numPr>
          <w:ilvl w:val="0"/>
          <w:numId w:val="3"/>
        </w:numPr>
        <w:spacing w:after="0"/>
        <w:jc w:val="both"/>
        <w:rPr>
          <w:rFonts w:cs="Calibri"/>
          <w:color w:val="000000" w:themeColor="text1"/>
        </w:rPr>
      </w:pPr>
      <w:r w:rsidRPr="00881795">
        <w:rPr>
          <w:rFonts w:cs="Calibri"/>
          <w:color w:val="000000" w:themeColor="text1"/>
        </w:rPr>
        <w:t>New policy to be developed regarding wastewater disposal of large wet industries – incentives to do pre-treatment</w:t>
      </w:r>
    </w:p>
    <w:p w14:paraId="16FF8500" w14:textId="77777777" w:rsidR="00407352" w:rsidRPr="00881795" w:rsidRDefault="00407352" w:rsidP="00E31338">
      <w:pPr>
        <w:pStyle w:val="ListParagraph"/>
        <w:numPr>
          <w:ilvl w:val="0"/>
          <w:numId w:val="1"/>
        </w:numPr>
        <w:spacing w:line="288" w:lineRule="auto"/>
        <w:jc w:val="both"/>
        <w:rPr>
          <w:szCs w:val="20"/>
        </w:rPr>
      </w:pPr>
      <w:r w:rsidRPr="00881795">
        <w:rPr>
          <w:szCs w:val="20"/>
        </w:rPr>
        <w:t>Metering System</w:t>
      </w:r>
    </w:p>
    <w:p w14:paraId="639E08E5" w14:textId="77777777" w:rsidR="00407352" w:rsidRPr="00881795" w:rsidRDefault="00407352" w:rsidP="00E31338">
      <w:pPr>
        <w:numPr>
          <w:ilvl w:val="0"/>
          <w:numId w:val="3"/>
        </w:numPr>
        <w:spacing w:after="0"/>
        <w:jc w:val="both"/>
        <w:rPr>
          <w:rFonts w:cs="Calibri"/>
          <w:color w:val="000000" w:themeColor="text1"/>
        </w:rPr>
      </w:pPr>
      <w:r w:rsidRPr="00881795">
        <w:rPr>
          <w:rFonts w:cs="Calibri"/>
          <w:color w:val="000000" w:themeColor="text1"/>
        </w:rPr>
        <w:lastRenderedPageBreak/>
        <w:t>Proposed metering of inlets/outlets of all bulk water infrastructure, WTW, pump stations, reservoirs, for water balancing purposes</w:t>
      </w:r>
    </w:p>
    <w:p w14:paraId="40C8265D" w14:textId="77777777" w:rsidR="00407352" w:rsidRPr="00881795" w:rsidRDefault="00407352" w:rsidP="00E31338">
      <w:pPr>
        <w:numPr>
          <w:ilvl w:val="0"/>
          <w:numId w:val="3"/>
        </w:numPr>
        <w:spacing w:after="0"/>
        <w:jc w:val="both"/>
        <w:rPr>
          <w:rFonts w:cs="Calibri"/>
          <w:color w:val="000000" w:themeColor="text1"/>
        </w:rPr>
      </w:pPr>
      <w:r w:rsidRPr="00881795">
        <w:rPr>
          <w:rFonts w:cs="Calibri"/>
          <w:color w:val="000000" w:themeColor="text1"/>
        </w:rPr>
        <w:t>All connections, including communal stand pipes to be metered</w:t>
      </w:r>
    </w:p>
    <w:p w14:paraId="59748A36" w14:textId="77777777" w:rsidR="00407352" w:rsidRPr="00881795" w:rsidRDefault="00407352" w:rsidP="00E31338">
      <w:pPr>
        <w:numPr>
          <w:ilvl w:val="0"/>
          <w:numId w:val="3"/>
        </w:numPr>
        <w:spacing w:after="0"/>
        <w:jc w:val="both"/>
        <w:rPr>
          <w:rFonts w:cs="Calibri"/>
          <w:color w:val="000000" w:themeColor="text1"/>
        </w:rPr>
      </w:pPr>
      <w:r w:rsidRPr="00881795">
        <w:rPr>
          <w:rFonts w:cs="Calibri"/>
          <w:color w:val="000000" w:themeColor="text1"/>
        </w:rPr>
        <w:t>New design created for metered yard connections</w:t>
      </w:r>
    </w:p>
    <w:p w14:paraId="66E71DF2" w14:textId="77777777" w:rsidR="00407352" w:rsidRPr="00881795" w:rsidRDefault="00407352" w:rsidP="00E31338">
      <w:pPr>
        <w:pStyle w:val="ListParagraph"/>
        <w:numPr>
          <w:ilvl w:val="0"/>
          <w:numId w:val="1"/>
        </w:numPr>
        <w:spacing w:line="288" w:lineRule="auto"/>
        <w:jc w:val="both"/>
        <w:rPr>
          <w:szCs w:val="20"/>
        </w:rPr>
      </w:pPr>
      <w:r w:rsidRPr="00881795">
        <w:rPr>
          <w:szCs w:val="20"/>
        </w:rPr>
        <w:t xml:space="preserve">Implementation of SMME </w:t>
      </w:r>
      <w:r w:rsidR="00A25189" w:rsidRPr="00881795">
        <w:rPr>
          <w:szCs w:val="20"/>
        </w:rPr>
        <w:t>programs</w:t>
      </w:r>
      <w:r w:rsidRPr="00881795">
        <w:rPr>
          <w:szCs w:val="20"/>
        </w:rPr>
        <w:t xml:space="preserve"> including EPWP</w:t>
      </w:r>
    </w:p>
    <w:p w14:paraId="4B74AF12" w14:textId="77777777" w:rsidR="00407352" w:rsidRPr="00881795" w:rsidRDefault="00407352" w:rsidP="00E31338">
      <w:pPr>
        <w:numPr>
          <w:ilvl w:val="0"/>
          <w:numId w:val="3"/>
        </w:numPr>
        <w:spacing w:after="0"/>
        <w:jc w:val="both"/>
        <w:rPr>
          <w:rFonts w:cs="Calibri"/>
          <w:color w:val="000000" w:themeColor="text1"/>
        </w:rPr>
      </w:pPr>
      <w:r w:rsidRPr="00881795">
        <w:rPr>
          <w:rFonts w:cs="Calibri"/>
          <w:color w:val="000000" w:themeColor="text1"/>
        </w:rPr>
        <w:t>Strategy document to Implement Small contractor development on water reticulation projects</w:t>
      </w:r>
    </w:p>
    <w:p w14:paraId="566D1D6E" w14:textId="77777777" w:rsidR="00407352" w:rsidRPr="00881795" w:rsidRDefault="00407352" w:rsidP="00E31338">
      <w:pPr>
        <w:numPr>
          <w:ilvl w:val="0"/>
          <w:numId w:val="3"/>
        </w:numPr>
        <w:spacing w:after="0"/>
        <w:jc w:val="both"/>
        <w:rPr>
          <w:rFonts w:cs="Calibri"/>
          <w:color w:val="000000" w:themeColor="text1"/>
        </w:rPr>
      </w:pPr>
      <w:r w:rsidRPr="00881795">
        <w:rPr>
          <w:rFonts w:cs="Calibri"/>
          <w:color w:val="000000" w:themeColor="text1"/>
        </w:rPr>
        <w:t>Involves Level 1 contractors registered with the CIDB</w:t>
      </w:r>
    </w:p>
    <w:p w14:paraId="330EE146" w14:textId="77777777" w:rsidR="00407352" w:rsidRPr="00881795" w:rsidRDefault="00407352" w:rsidP="00E31338">
      <w:pPr>
        <w:numPr>
          <w:ilvl w:val="0"/>
          <w:numId w:val="3"/>
        </w:numPr>
        <w:spacing w:after="0"/>
        <w:jc w:val="both"/>
        <w:rPr>
          <w:rFonts w:cs="Calibri"/>
          <w:color w:val="000000" w:themeColor="text1"/>
        </w:rPr>
      </w:pPr>
      <w:r w:rsidRPr="00881795">
        <w:rPr>
          <w:rFonts w:cs="Calibri"/>
          <w:color w:val="000000" w:themeColor="text1"/>
        </w:rPr>
        <w:t xml:space="preserve">Various disciplines to train, support and develop the contractors </w:t>
      </w:r>
    </w:p>
    <w:p w14:paraId="5CE50BE0" w14:textId="77777777" w:rsidR="00407352" w:rsidRPr="00881795" w:rsidRDefault="00407352" w:rsidP="00E31338">
      <w:pPr>
        <w:numPr>
          <w:ilvl w:val="0"/>
          <w:numId w:val="3"/>
        </w:numPr>
        <w:spacing w:after="0"/>
        <w:jc w:val="both"/>
        <w:rPr>
          <w:rFonts w:cs="Calibri"/>
          <w:color w:val="000000" w:themeColor="text1"/>
        </w:rPr>
      </w:pPr>
      <w:r w:rsidRPr="00881795">
        <w:rPr>
          <w:rFonts w:cs="Calibri"/>
          <w:color w:val="000000" w:themeColor="text1"/>
        </w:rPr>
        <w:t>Assistance from Department of Public Works required regarding the EPWP</w:t>
      </w:r>
    </w:p>
    <w:p w14:paraId="5A057B39" w14:textId="77777777" w:rsidR="00C33BFB" w:rsidRDefault="00C33BFB" w:rsidP="00395313">
      <w:pPr>
        <w:jc w:val="both"/>
        <w:rPr>
          <w:rFonts w:cs="Calibri"/>
          <w:color w:val="000000" w:themeColor="text1"/>
        </w:rPr>
      </w:pPr>
    </w:p>
    <w:p w14:paraId="1F55144C" w14:textId="77777777" w:rsidR="00AC4E10" w:rsidRPr="00881795" w:rsidRDefault="00EF0D26" w:rsidP="00395313">
      <w:pPr>
        <w:jc w:val="both"/>
        <w:rPr>
          <w:rFonts w:cs="Calibri"/>
          <w:color w:val="000000" w:themeColor="text1"/>
        </w:rPr>
      </w:pPr>
      <w:r>
        <w:rPr>
          <w:rFonts w:cs="Calibri"/>
          <w:color w:val="000000" w:themeColor="text1"/>
        </w:rPr>
        <w:t xml:space="preserve">The following </w:t>
      </w:r>
      <w:r w:rsidR="00703CE6">
        <w:rPr>
          <w:rFonts w:cs="Calibri"/>
          <w:color w:val="000000" w:themeColor="text1"/>
        </w:rPr>
        <w:t>table depicts</w:t>
      </w:r>
      <w:r>
        <w:rPr>
          <w:rFonts w:cs="Calibri"/>
          <w:color w:val="000000" w:themeColor="text1"/>
        </w:rPr>
        <w:t xml:space="preserve"> the funds required in order to eradicate backlogs for water and sanitation in rural areas. The </w:t>
      </w:r>
      <w:r w:rsidR="00703CE6">
        <w:rPr>
          <w:rFonts w:cs="Calibri"/>
          <w:color w:val="000000" w:themeColor="text1"/>
        </w:rPr>
        <w:t>total</w:t>
      </w:r>
      <w:r>
        <w:rPr>
          <w:rFonts w:cs="Calibri"/>
          <w:color w:val="000000" w:themeColor="text1"/>
        </w:rPr>
        <w:t xml:space="preserve"> amount of money required for both water and sanitation is just under </w:t>
      </w:r>
      <w:r w:rsidR="00DC498A">
        <w:rPr>
          <w:rFonts w:cs="Calibri"/>
          <w:color w:val="000000" w:themeColor="text1"/>
        </w:rPr>
        <w:t>R 4bn</w:t>
      </w:r>
      <w:r>
        <w:rPr>
          <w:rFonts w:cs="Calibri"/>
          <w:color w:val="000000" w:themeColor="text1"/>
        </w:rPr>
        <w:t>;</w:t>
      </w:r>
    </w:p>
    <w:p w14:paraId="1DF8723E" w14:textId="77777777" w:rsidR="00407352" w:rsidRPr="00881795" w:rsidRDefault="00AC4E10" w:rsidP="002F62F0">
      <w:pPr>
        <w:pStyle w:val="Caption"/>
      </w:pPr>
      <w:bookmarkStart w:id="279" w:name="_Toc257289529"/>
      <w:bookmarkStart w:id="280" w:name="_Toc325627950"/>
      <w:bookmarkStart w:id="281" w:name="_Toc389739878"/>
      <w:bookmarkStart w:id="282" w:name="_Toc510622277"/>
      <w:r>
        <w:t xml:space="preserve">Table </w:t>
      </w:r>
      <w:r w:rsidR="00B918A6">
        <w:fldChar w:fldCharType="begin"/>
      </w:r>
      <w:r w:rsidR="00B918A6">
        <w:instrText xml:space="preserve"> SEQ Table \* ARABIC </w:instrText>
      </w:r>
      <w:r w:rsidR="00B918A6">
        <w:fldChar w:fldCharType="separate"/>
      </w:r>
      <w:r w:rsidR="0067023A">
        <w:rPr>
          <w:noProof/>
        </w:rPr>
        <w:t>27</w:t>
      </w:r>
      <w:r w:rsidR="00B918A6">
        <w:rPr>
          <w:noProof/>
        </w:rPr>
        <w:fldChar w:fldCharType="end"/>
      </w:r>
      <w:r>
        <w:t xml:space="preserve">: </w:t>
      </w:r>
      <w:r w:rsidR="00407352" w:rsidRPr="00881795">
        <w:t xml:space="preserve">Funds required </w:t>
      </w:r>
      <w:r w:rsidR="00AA7BCB">
        <w:t>for rural water scheme</w:t>
      </w:r>
      <w:r w:rsidR="00407352" w:rsidRPr="00881795">
        <w:t>:</w:t>
      </w:r>
      <w:bookmarkEnd w:id="279"/>
      <w:bookmarkEnd w:id="280"/>
      <w:bookmarkEnd w:id="281"/>
      <w:bookmarkEnd w:id="282"/>
      <w:r w:rsidR="00C6411B">
        <w:t xml:space="preserve"> </w:t>
      </w:r>
    </w:p>
    <w:tbl>
      <w:tblPr>
        <w:tblW w:w="4988" w:type="pct"/>
        <w:tblBorders>
          <w:top w:val="nil"/>
          <w:left w:val="nil"/>
          <w:bottom w:val="nil"/>
          <w:right w:val="nil"/>
        </w:tblBorders>
        <w:tblLook w:val="0000" w:firstRow="0" w:lastRow="0" w:firstColumn="0" w:lastColumn="0" w:noHBand="0" w:noVBand="0"/>
      </w:tblPr>
      <w:tblGrid>
        <w:gridCol w:w="2784"/>
        <w:gridCol w:w="2224"/>
        <w:gridCol w:w="2224"/>
        <w:gridCol w:w="2372"/>
      </w:tblGrid>
      <w:tr w:rsidR="00322DD8" w:rsidRPr="00322DD8" w14:paraId="4D8FBD20" w14:textId="77777777" w:rsidTr="00607B46">
        <w:trPr>
          <w:trHeight w:val="126"/>
        </w:trPr>
        <w:tc>
          <w:tcPr>
            <w:tcW w:w="1449" w:type="pct"/>
            <w:tcBorders>
              <w:top w:val="single" w:sz="5" w:space="0" w:color="000000"/>
              <w:left w:val="single" w:sz="5" w:space="0" w:color="000000"/>
              <w:bottom w:val="single" w:sz="5" w:space="0" w:color="000000"/>
              <w:right w:val="single" w:sz="5" w:space="0" w:color="000000"/>
            </w:tcBorders>
            <w:shd w:val="clear" w:color="auto" w:fill="C6D9F1" w:themeFill="text2" w:themeFillTint="33"/>
            <w:vAlign w:val="center"/>
          </w:tcPr>
          <w:p w14:paraId="5F4364B3" w14:textId="77777777" w:rsidR="002860AC" w:rsidRPr="002860AC" w:rsidRDefault="002860AC" w:rsidP="002860AC">
            <w:pPr>
              <w:widowControl w:val="0"/>
              <w:autoSpaceDE w:val="0"/>
              <w:autoSpaceDN w:val="0"/>
              <w:adjustRightInd w:val="0"/>
              <w:spacing w:after="0" w:line="240" w:lineRule="auto"/>
              <w:rPr>
                <w:rFonts w:cs="Calibri"/>
                <w:b/>
                <w:color w:val="000000" w:themeColor="text1"/>
              </w:rPr>
            </w:pPr>
            <w:r w:rsidRPr="002860AC">
              <w:rPr>
                <w:rFonts w:cs="Calibri"/>
                <w:b/>
                <w:color w:val="000000" w:themeColor="text1"/>
              </w:rPr>
              <w:t xml:space="preserve">Local Municipality </w:t>
            </w:r>
          </w:p>
        </w:tc>
        <w:tc>
          <w:tcPr>
            <w:tcW w:w="1158" w:type="pct"/>
            <w:tcBorders>
              <w:top w:val="single" w:sz="5" w:space="0" w:color="000000"/>
              <w:left w:val="single" w:sz="5" w:space="0" w:color="000000"/>
              <w:bottom w:val="single" w:sz="5" w:space="0" w:color="000000"/>
              <w:right w:val="single" w:sz="5" w:space="0" w:color="000000"/>
            </w:tcBorders>
            <w:shd w:val="clear" w:color="auto" w:fill="C6D9F1" w:themeFill="text2" w:themeFillTint="33"/>
            <w:vAlign w:val="center"/>
          </w:tcPr>
          <w:p w14:paraId="377B1F5D" w14:textId="77777777" w:rsidR="002860AC" w:rsidRPr="002860AC" w:rsidRDefault="002860AC" w:rsidP="002860AC">
            <w:pPr>
              <w:widowControl w:val="0"/>
              <w:autoSpaceDE w:val="0"/>
              <w:autoSpaceDN w:val="0"/>
              <w:adjustRightInd w:val="0"/>
              <w:spacing w:after="0" w:line="240" w:lineRule="auto"/>
              <w:jc w:val="center"/>
              <w:rPr>
                <w:rFonts w:cs="Calibri"/>
                <w:b/>
                <w:color w:val="000000" w:themeColor="text1"/>
              </w:rPr>
            </w:pPr>
            <w:r w:rsidRPr="002860AC">
              <w:rPr>
                <w:rFonts w:cs="Calibri"/>
                <w:b/>
                <w:color w:val="000000" w:themeColor="text1"/>
              </w:rPr>
              <w:t xml:space="preserve">2009 / 2010 Households </w:t>
            </w:r>
          </w:p>
        </w:tc>
        <w:tc>
          <w:tcPr>
            <w:tcW w:w="1158" w:type="pct"/>
            <w:tcBorders>
              <w:top w:val="single" w:sz="5" w:space="0" w:color="000000"/>
              <w:left w:val="single" w:sz="5" w:space="0" w:color="000000"/>
              <w:bottom w:val="single" w:sz="5" w:space="0" w:color="000000"/>
              <w:right w:val="single" w:sz="5" w:space="0" w:color="000000"/>
            </w:tcBorders>
            <w:shd w:val="clear" w:color="auto" w:fill="C6D9F1" w:themeFill="text2" w:themeFillTint="33"/>
            <w:vAlign w:val="center"/>
          </w:tcPr>
          <w:p w14:paraId="096F01B0" w14:textId="77777777" w:rsidR="002860AC" w:rsidRPr="002860AC" w:rsidRDefault="002860AC" w:rsidP="002860AC">
            <w:pPr>
              <w:widowControl w:val="0"/>
              <w:autoSpaceDE w:val="0"/>
              <w:autoSpaceDN w:val="0"/>
              <w:adjustRightInd w:val="0"/>
              <w:spacing w:after="0" w:line="240" w:lineRule="auto"/>
              <w:jc w:val="center"/>
              <w:rPr>
                <w:rFonts w:cs="Calibri"/>
                <w:b/>
                <w:color w:val="000000" w:themeColor="text1"/>
              </w:rPr>
            </w:pPr>
            <w:r w:rsidRPr="002860AC">
              <w:rPr>
                <w:rFonts w:cs="Calibri"/>
                <w:b/>
                <w:color w:val="000000" w:themeColor="text1"/>
              </w:rPr>
              <w:t>Population with growth</w:t>
            </w:r>
          </w:p>
        </w:tc>
        <w:tc>
          <w:tcPr>
            <w:tcW w:w="1235" w:type="pct"/>
            <w:tcBorders>
              <w:top w:val="single" w:sz="5" w:space="0" w:color="000000"/>
              <w:left w:val="single" w:sz="5" w:space="0" w:color="000000"/>
              <w:bottom w:val="single" w:sz="5" w:space="0" w:color="000000"/>
              <w:right w:val="single" w:sz="5" w:space="0" w:color="000000"/>
            </w:tcBorders>
            <w:shd w:val="clear" w:color="auto" w:fill="C6D9F1" w:themeFill="text2" w:themeFillTint="33"/>
            <w:vAlign w:val="center"/>
          </w:tcPr>
          <w:p w14:paraId="02A07AAF" w14:textId="77777777" w:rsidR="002860AC" w:rsidRPr="002860AC" w:rsidRDefault="002860AC" w:rsidP="002860AC">
            <w:pPr>
              <w:widowControl w:val="0"/>
              <w:autoSpaceDE w:val="0"/>
              <w:autoSpaceDN w:val="0"/>
              <w:adjustRightInd w:val="0"/>
              <w:spacing w:after="0" w:line="240" w:lineRule="auto"/>
              <w:jc w:val="center"/>
              <w:rPr>
                <w:rFonts w:cs="Calibri"/>
                <w:b/>
                <w:color w:val="000000" w:themeColor="text1"/>
              </w:rPr>
            </w:pPr>
            <w:r w:rsidRPr="002860AC">
              <w:rPr>
                <w:rFonts w:cs="Calibri"/>
                <w:b/>
                <w:color w:val="000000" w:themeColor="text1"/>
              </w:rPr>
              <w:t xml:space="preserve">Capital Cost </w:t>
            </w:r>
          </w:p>
          <w:p w14:paraId="618F3276" w14:textId="77777777" w:rsidR="002860AC" w:rsidRPr="002860AC" w:rsidRDefault="002860AC" w:rsidP="002860AC">
            <w:pPr>
              <w:widowControl w:val="0"/>
              <w:autoSpaceDE w:val="0"/>
              <w:autoSpaceDN w:val="0"/>
              <w:adjustRightInd w:val="0"/>
              <w:spacing w:after="0" w:line="240" w:lineRule="auto"/>
              <w:jc w:val="center"/>
              <w:rPr>
                <w:rFonts w:cs="Calibri"/>
                <w:b/>
                <w:color w:val="000000" w:themeColor="text1"/>
              </w:rPr>
            </w:pPr>
            <w:r w:rsidRPr="002860AC">
              <w:rPr>
                <w:rFonts w:cs="Calibri"/>
                <w:b/>
                <w:color w:val="000000" w:themeColor="text1"/>
              </w:rPr>
              <w:t>R, incl. VAT</w:t>
            </w:r>
          </w:p>
        </w:tc>
      </w:tr>
      <w:tr w:rsidR="002860AC" w:rsidRPr="002860AC" w14:paraId="610FECEC" w14:textId="77777777" w:rsidTr="00C6411B">
        <w:trPr>
          <w:trHeight w:val="267"/>
        </w:trPr>
        <w:tc>
          <w:tcPr>
            <w:tcW w:w="1449" w:type="pct"/>
            <w:tcBorders>
              <w:top w:val="single" w:sz="5" w:space="0" w:color="000000"/>
              <w:left w:val="single" w:sz="5" w:space="0" w:color="000000"/>
              <w:bottom w:val="single" w:sz="5" w:space="0" w:color="000000"/>
              <w:right w:val="single" w:sz="5" w:space="0" w:color="000000"/>
            </w:tcBorders>
          </w:tcPr>
          <w:p w14:paraId="1E574074" w14:textId="77777777" w:rsidR="002860AC" w:rsidRPr="002860AC" w:rsidRDefault="00F91930" w:rsidP="002860AC">
            <w:pPr>
              <w:widowControl w:val="0"/>
              <w:autoSpaceDE w:val="0"/>
              <w:autoSpaceDN w:val="0"/>
              <w:adjustRightInd w:val="0"/>
              <w:spacing w:after="0" w:line="240" w:lineRule="auto"/>
              <w:rPr>
                <w:rFonts w:cs="Calibri"/>
                <w:color w:val="000000" w:themeColor="text1"/>
              </w:rPr>
            </w:pPr>
            <w:r>
              <w:rPr>
                <w:rFonts w:cs="Calibri"/>
                <w:color w:val="000000" w:themeColor="text1"/>
              </w:rPr>
              <w:t>u</w:t>
            </w:r>
            <w:r w:rsidR="002860AC" w:rsidRPr="002860AC">
              <w:rPr>
                <w:rFonts w:cs="Calibri"/>
                <w:color w:val="000000" w:themeColor="text1"/>
              </w:rPr>
              <w:t xml:space="preserve">Mfolozi KZ281) </w:t>
            </w:r>
          </w:p>
        </w:tc>
        <w:tc>
          <w:tcPr>
            <w:tcW w:w="1158" w:type="pct"/>
            <w:tcBorders>
              <w:top w:val="single" w:sz="5" w:space="0" w:color="000000"/>
              <w:left w:val="single" w:sz="5" w:space="0" w:color="000000"/>
              <w:bottom w:val="single" w:sz="5" w:space="0" w:color="000000"/>
              <w:right w:val="single" w:sz="5" w:space="0" w:color="000000"/>
            </w:tcBorders>
          </w:tcPr>
          <w:p w14:paraId="14507517" w14:textId="77777777" w:rsidR="002860AC" w:rsidRPr="002860AC" w:rsidRDefault="002860AC" w:rsidP="002860AC">
            <w:pPr>
              <w:widowControl w:val="0"/>
              <w:autoSpaceDE w:val="0"/>
              <w:autoSpaceDN w:val="0"/>
              <w:adjustRightInd w:val="0"/>
              <w:spacing w:after="0" w:line="240" w:lineRule="auto"/>
              <w:jc w:val="center"/>
              <w:rPr>
                <w:rFonts w:cs="Calibri"/>
                <w:color w:val="000000" w:themeColor="text1"/>
              </w:rPr>
            </w:pPr>
            <w:r w:rsidRPr="002860AC">
              <w:rPr>
                <w:rFonts w:cs="Calibri"/>
                <w:color w:val="000000" w:themeColor="text1"/>
              </w:rPr>
              <w:t xml:space="preserve">20 615 </w:t>
            </w:r>
          </w:p>
        </w:tc>
        <w:tc>
          <w:tcPr>
            <w:tcW w:w="1158" w:type="pct"/>
            <w:tcBorders>
              <w:top w:val="single" w:sz="5" w:space="0" w:color="000000"/>
              <w:left w:val="single" w:sz="5" w:space="0" w:color="000000"/>
              <w:bottom w:val="single" w:sz="5" w:space="0" w:color="000000"/>
              <w:right w:val="single" w:sz="5" w:space="0" w:color="000000"/>
            </w:tcBorders>
          </w:tcPr>
          <w:p w14:paraId="6DA8A9C0" w14:textId="77777777" w:rsidR="002860AC" w:rsidRPr="002860AC" w:rsidRDefault="002860AC" w:rsidP="002860AC">
            <w:pPr>
              <w:spacing w:after="0" w:line="240" w:lineRule="auto"/>
              <w:jc w:val="center"/>
              <w:rPr>
                <w:rFonts w:cs="Calibri"/>
                <w:color w:val="000000" w:themeColor="text1"/>
              </w:rPr>
            </w:pPr>
            <w:r w:rsidRPr="002860AC">
              <w:rPr>
                <w:rFonts w:cs="Calibri"/>
                <w:color w:val="000000" w:themeColor="text1"/>
              </w:rPr>
              <w:t xml:space="preserve">        123 693 </w:t>
            </w:r>
          </w:p>
        </w:tc>
        <w:tc>
          <w:tcPr>
            <w:tcW w:w="1235" w:type="pct"/>
            <w:tcBorders>
              <w:top w:val="single" w:sz="5" w:space="0" w:color="000000"/>
              <w:left w:val="single" w:sz="5" w:space="0" w:color="000000"/>
              <w:bottom w:val="single" w:sz="5" w:space="0" w:color="000000"/>
              <w:right w:val="single" w:sz="5" w:space="0" w:color="000000"/>
            </w:tcBorders>
          </w:tcPr>
          <w:p w14:paraId="7A852601" w14:textId="77777777" w:rsidR="002860AC" w:rsidRPr="002860AC" w:rsidRDefault="002860AC" w:rsidP="002860AC">
            <w:pPr>
              <w:spacing w:after="0" w:line="240" w:lineRule="auto"/>
              <w:jc w:val="center"/>
              <w:rPr>
                <w:rFonts w:cs="Calibri"/>
                <w:color w:val="000000" w:themeColor="text1"/>
              </w:rPr>
            </w:pPr>
            <w:r w:rsidRPr="002860AC">
              <w:rPr>
                <w:rFonts w:cs="Calibri"/>
                <w:color w:val="000000" w:themeColor="text1"/>
              </w:rPr>
              <w:t xml:space="preserve">   334,457,347 </w:t>
            </w:r>
          </w:p>
        </w:tc>
      </w:tr>
      <w:tr w:rsidR="002860AC" w:rsidRPr="002860AC" w14:paraId="2A2C0A28" w14:textId="77777777" w:rsidTr="00C6411B">
        <w:trPr>
          <w:trHeight w:val="267"/>
        </w:trPr>
        <w:tc>
          <w:tcPr>
            <w:tcW w:w="1449" w:type="pct"/>
            <w:tcBorders>
              <w:top w:val="single" w:sz="5" w:space="0" w:color="000000"/>
              <w:left w:val="single" w:sz="5" w:space="0" w:color="000000"/>
              <w:bottom w:val="single" w:sz="5" w:space="0" w:color="000000"/>
              <w:right w:val="single" w:sz="5" w:space="0" w:color="000000"/>
            </w:tcBorders>
          </w:tcPr>
          <w:p w14:paraId="3B00FD9D" w14:textId="77777777" w:rsidR="002860AC" w:rsidRPr="002860AC" w:rsidRDefault="002860AC" w:rsidP="002860AC">
            <w:pPr>
              <w:widowControl w:val="0"/>
              <w:autoSpaceDE w:val="0"/>
              <w:autoSpaceDN w:val="0"/>
              <w:adjustRightInd w:val="0"/>
              <w:spacing w:after="0" w:line="240" w:lineRule="auto"/>
              <w:rPr>
                <w:rFonts w:cs="Calibri"/>
                <w:b/>
                <w:color w:val="000000" w:themeColor="text1"/>
              </w:rPr>
            </w:pPr>
            <w:r w:rsidRPr="002860AC">
              <w:rPr>
                <w:rFonts w:cs="Calibri"/>
                <w:b/>
                <w:color w:val="000000" w:themeColor="text1"/>
              </w:rPr>
              <w:t xml:space="preserve">uMlalazi (KZ284) </w:t>
            </w:r>
          </w:p>
        </w:tc>
        <w:tc>
          <w:tcPr>
            <w:tcW w:w="1158" w:type="pct"/>
            <w:tcBorders>
              <w:top w:val="single" w:sz="5" w:space="0" w:color="000000"/>
              <w:left w:val="single" w:sz="5" w:space="0" w:color="000000"/>
              <w:bottom w:val="single" w:sz="5" w:space="0" w:color="000000"/>
              <w:right w:val="single" w:sz="5" w:space="0" w:color="000000"/>
            </w:tcBorders>
          </w:tcPr>
          <w:p w14:paraId="300E4EBF" w14:textId="77777777" w:rsidR="002860AC" w:rsidRPr="002860AC" w:rsidRDefault="002860AC" w:rsidP="002860AC">
            <w:pPr>
              <w:widowControl w:val="0"/>
              <w:autoSpaceDE w:val="0"/>
              <w:autoSpaceDN w:val="0"/>
              <w:adjustRightInd w:val="0"/>
              <w:spacing w:after="0" w:line="240" w:lineRule="auto"/>
              <w:jc w:val="center"/>
              <w:rPr>
                <w:rFonts w:cs="Calibri"/>
                <w:b/>
                <w:color w:val="000000" w:themeColor="text1"/>
              </w:rPr>
            </w:pPr>
            <w:r w:rsidRPr="002860AC">
              <w:rPr>
                <w:rFonts w:cs="Calibri"/>
                <w:b/>
                <w:color w:val="000000" w:themeColor="text1"/>
              </w:rPr>
              <w:t xml:space="preserve">42 623 </w:t>
            </w:r>
          </w:p>
        </w:tc>
        <w:tc>
          <w:tcPr>
            <w:tcW w:w="1158" w:type="pct"/>
            <w:tcBorders>
              <w:top w:val="single" w:sz="5" w:space="0" w:color="000000"/>
              <w:left w:val="single" w:sz="5" w:space="0" w:color="000000"/>
              <w:bottom w:val="single" w:sz="5" w:space="0" w:color="000000"/>
              <w:right w:val="single" w:sz="5" w:space="0" w:color="000000"/>
            </w:tcBorders>
          </w:tcPr>
          <w:p w14:paraId="2FEFBFA4" w14:textId="77777777" w:rsidR="002860AC" w:rsidRPr="002860AC" w:rsidRDefault="002860AC" w:rsidP="002860AC">
            <w:pPr>
              <w:spacing w:after="0" w:line="240" w:lineRule="auto"/>
              <w:jc w:val="center"/>
              <w:rPr>
                <w:rFonts w:cs="Calibri"/>
                <w:b/>
                <w:color w:val="000000" w:themeColor="text1"/>
              </w:rPr>
            </w:pPr>
            <w:r w:rsidRPr="002860AC">
              <w:rPr>
                <w:rFonts w:cs="Calibri"/>
                <w:b/>
                <w:color w:val="000000" w:themeColor="text1"/>
              </w:rPr>
              <w:t xml:space="preserve">        255 735 </w:t>
            </w:r>
          </w:p>
        </w:tc>
        <w:tc>
          <w:tcPr>
            <w:tcW w:w="1235" w:type="pct"/>
            <w:tcBorders>
              <w:top w:val="single" w:sz="5" w:space="0" w:color="000000"/>
              <w:left w:val="single" w:sz="5" w:space="0" w:color="000000"/>
              <w:bottom w:val="single" w:sz="5" w:space="0" w:color="000000"/>
              <w:right w:val="single" w:sz="5" w:space="0" w:color="000000"/>
            </w:tcBorders>
          </w:tcPr>
          <w:p w14:paraId="1B97D0A5" w14:textId="77777777" w:rsidR="002860AC" w:rsidRPr="002860AC" w:rsidRDefault="002860AC" w:rsidP="002860AC">
            <w:pPr>
              <w:spacing w:after="0" w:line="240" w:lineRule="auto"/>
              <w:jc w:val="center"/>
              <w:rPr>
                <w:rFonts w:cs="Calibri"/>
                <w:b/>
                <w:color w:val="000000" w:themeColor="text1"/>
              </w:rPr>
            </w:pPr>
            <w:r w:rsidRPr="002860AC">
              <w:rPr>
                <w:rFonts w:cs="Calibri"/>
                <w:b/>
                <w:color w:val="000000" w:themeColor="text1"/>
              </w:rPr>
              <w:t xml:space="preserve">1,210,563,792 </w:t>
            </w:r>
          </w:p>
        </w:tc>
      </w:tr>
      <w:tr w:rsidR="002860AC" w:rsidRPr="002860AC" w14:paraId="2218FD0D" w14:textId="77777777" w:rsidTr="00C6411B">
        <w:trPr>
          <w:trHeight w:val="267"/>
        </w:trPr>
        <w:tc>
          <w:tcPr>
            <w:tcW w:w="1449" w:type="pct"/>
            <w:tcBorders>
              <w:top w:val="single" w:sz="5" w:space="0" w:color="000000"/>
              <w:left w:val="single" w:sz="5" w:space="0" w:color="000000"/>
              <w:bottom w:val="single" w:sz="5" w:space="0" w:color="000000"/>
              <w:right w:val="single" w:sz="5" w:space="0" w:color="000000"/>
            </w:tcBorders>
          </w:tcPr>
          <w:p w14:paraId="768E6D8E" w14:textId="77777777" w:rsidR="002860AC" w:rsidRPr="002860AC" w:rsidRDefault="002860AC" w:rsidP="002860AC">
            <w:pPr>
              <w:widowControl w:val="0"/>
              <w:autoSpaceDE w:val="0"/>
              <w:autoSpaceDN w:val="0"/>
              <w:adjustRightInd w:val="0"/>
              <w:spacing w:after="0" w:line="240" w:lineRule="auto"/>
              <w:rPr>
                <w:rFonts w:cs="Calibri"/>
                <w:color w:val="000000" w:themeColor="text1"/>
              </w:rPr>
            </w:pPr>
            <w:r w:rsidRPr="002860AC">
              <w:rPr>
                <w:rFonts w:cs="Calibri"/>
                <w:color w:val="000000" w:themeColor="text1"/>
              </w:rPr>
              <w:t xml:space="preserve">Mthonjaneni (KZ285) </w:t>
            </w:r>
          </w:p>
        </w:tc>
        <w:tc>
          <w:tcPr>
            <w:tcW w:w="1158" w:type="pct"/>
            <w:tcBorders>
              <w:top w:val="single" w:sz="5" w:space="0" w:color="000000"/>
              <w:left w:val="single" w:sz="5" w:space="0" w:color="000000"/>
              <w:bottom w:val="single" w:sz="5" w:space="0" w:color="000000"/>
              <w:right w:val="single" w:sz="5" w:space="0" w:color="000000"/>
            </w:tcBorders>
          </w:tcPr>
          <w:p w14:paraId="510DD64C" w14:textId="77777777" w:rsidR="002860AC" w:rsidRPr="002860AC" w:rsidRDefault="002860AC" w:rsidP="002860AC">
            <w:pPr>
              <w:widowControl w:val="0"/>
              <w:autoSpaceDE w:val="0"/>
              <w:autoSpaceDN w:val="0"/>
              <w:adjustRightInd w:val="0"/>
              <w:spacing w:after="0" w:line="240" w:lineRule="auto"/>
              <w:jc w:val="center"/>
              <w:rPr>
                <w:rFonts w:cs="Calibri"/>
                <w:color w:val="000000" w:themeColor="text1"/>
              </w:rPr>
            </w:pPr>
            <w:r w:rsidRPr="002860AC">
              <w:rPr>
                <w:rFonts w:cs="Calibri"/>
                <w:color w:val="000000" w:themeColor="text1"/>
              </w:rPr>
              <w:t xml:space="preserve">9 712 </w:t>
            </w:r>
          </w:p>
        </w:tc>
        <w:tc>
          <w:tcPr>
            <w:tcW w:w="1158" w:type="pct"/>
            <w:tcBorders>
              <w:top w:val="single" w:sz="5" w:space="0" w:color="000000"/>
              <w:left w:val="single" w:sz="5" w:space="0" w:color="000000"/>
              <w:bottom w:val="single" w:sz="5" w:space="0" w:color="000000"/>
              <w:right w:val="single" w:sz="5" w:space="0" w:color="000000"/>
            </w:tcBorders>
          </w:tcPr>
          <w:p w14:paraId="1AE3093D" w14:textId="77777777" w:rsidR="002860AC" w:rsidRPr="002860AC" w:rsidRDefault="002860AC" w:rsidP="002860AC">
            <w:pPr>
              <w:spacing w:after="0" w:line="240" w:lineRule="auto"/>
              <w:jc w:val="center"/>
              <w:rPr>
                <w:rFonts w:cs="Calibri"/>
                <w:color w:val="000000" w:themeColor="text1"/>
              </w:rPr>
            </w:pPr>
            <w:r w:rsidRPr="002860AC">
              <w:rPr>
                <w:rFonts w:cs="Calibri"/>
                <w:color w:val="000000" w:themeColor="text1"/>
              </w:rPr>
              <w:t xml:space="preserve">          58 272 </w:t>
            </w:r>
          </w:p>
        </w:tc>
        <w:tc>
          <w:tcPr>
            <w:tcW w:w="1235" w:type="pct"/>
            <w:tcBorders>
              <w:top w:val="single" w:sz="5" w:space="0" w:color="000000"/>
              <w:left w:val="single" w:sz="5" w:space="0" w:color="000000"/>
              <w:bottom w:val="single" w:sz="5" w:space="0" w:color="000000"/>
              <w:right w:val="single" w:sz="5" w:space="0" w:color="000000"/>
            </w:tcBorders>
          </w:tcPr>
          <w:p w14:paraId="12E624A8" w14:textId="77777777" w:rsidR="002860AC" w:rsidRPr="002860AC" w:rsidRDefault="002860AC" w:rsidP="002860AC">
            <w:pPr>
              <w:spacing w:after="0" w:line="240" w:lineRule="auto"/>
              <w:jc w:val="center"/>
              <w:rPr>
                <w:rFonts w:cs="Calibri"/>
                <w:color w:val="000000" w:themeColor="text1"/>
              </w:rPr>
            </w:pPr>
            <w:r w:rsidRPr="002860AC">
              <w:rPr>
                <w:rFonts w:cs="Calibri"/>
                <w:color w:val="000000" w:themeColor="text1"/>
              </w:rPr>
              <w:t xml:space="preserve">   270,379,491 </w:t>
            </w:r>
          </w:p>
        </w:tc>
      </w:tr>
      <w:tr w:rsidR="002860AC" w:rsidRPr="002860AC" w14:paraId="31EB94B1" w14:textId="77777777" w:rsidTr="00C6411B">
        <w:trPr>
          <w:trHeight w:val="267"/>
        </w:trPr>
        <w:tc>
          <w:tcPr>
            <w:tcW w:w="1449" w:type="pct"/>
            <w:tcBorders>
              <w:top w:val="single" w:sz="5" w:space="0" w:color="000000"/>
              <w:left w:val="single" w:sz="5" w:space="0" w:color="000000"/>
              <w:bottom w:val="single" w:sz="5" w:space="0" w:color="000000"/>
              <w:right w:val="single" w:sz="5" w:space="0" w:color="000000"/>
            </w:tcBorders>
          </w:tcPr>
          <w:p w14:paraId="33B0A228" w14:textId="77777777" w:rsidR="002860AC" w:rsidRPr="002860AC" w:rsidRDefault="002860AC" w:rsidP="002860AC">
            <w:pPr>
              <w:widowControl w:val="0"/>
              <w:autoSpaceDE w:val="0"/>
              <w:autoSpaceDN w:val="0"/>
              <w:adjustRightInd w:val="0"/>
              <w:spacing w:after="0" w:line="240" w:lineRule="auto"/>
              <w:rPr>
                <w:rFonts w:cs="Calibri"/>
                <w:color w:val="000000" w:themeColor="text1"/>
              </w:rPr>
            </w:pPr>
            <w:r w:rsidRPr="002860AC">
              <w:rPr>
                <w:rFonts w:cs="Calibri"/>
                <w:color w:val="000000" w:themeColor="text1"/>
              </w:rPr>
              <w:t xml:space="preserve">Nkandla (KZ286) </w:t>
            </w:r>
          </w:p>
        </w:tc>
        <w:tc>
          <w:tcPr>
            <w:tcW w:w="1158" w:type="pct"/>
            <w:tcBorders>
              <w:top w:val="single" w:sz="5" w:space="0" w:color="000000"/>
              <w:left w:val="single" w:sz="5" w:space="0" w:color="000000"/>
              <w:bottom w:val="single" w:sz="5" w:space="0" w:color="000000"/>
              <w:right w:val="single" w:sz="5" w:space="0" w:color="000000"/>
            </w:tcBorders>
          </w:tcPr>
          <w:p w14:paraId="1A49A87B" w14:textId="77777777" w:rsidR="002860AC" w:rsidRPr="002860AC" w:rsidRDefault="002860AC" w:rsidP="002860AC">
            <w:pPr>
              <w:widowControl w:val="0"/>
              <w:autoSpaceDE w:val="0"/>
              <w:autoSpaceDN w:val="0"/>
              <w:adjustRightInd w:val="0"/>
              <w:spacing w:after="0" w:line="240" w:lineRule="auto"/>
              <w:jc w:val="center"/>
              <w:rPr>
                <w:rFonts w:cs="Calibri"/>
                <w:color w:val="000000" w:themeColor="text1"/>
              </w:rPr>
            </w:pPr>
            <w:r w:rsidRPr="002860AC">
              <w:rPr>
                <w:rFonts w:cs="Calibri"/>
                <w:color w:val="000000" w:themeColor="text1"/>
              </w:rPr>
              <w:t xml:space="preserve">25 757 </w:t>
            </w:r>
          </w:p>
        </w:tc>
        <w:tc>
          <w:tcPr>
            <w:tcW w:w="1158" w:type="pct"/>
            <w:tcBorders>
              <w:top w:val="single" w:sz="5" w:space="0" w:color="000000"/>
              <w:left w:val="single" w:sz="5" w:space="0" w:color="000000"/>
              <w:bottom w:val="single" w:sz="5" w:space="0" w:color="000000"/>
              <w:right w:val="single" w:sz="5" w:space="0" w:color="000000"/>
            </w:tcBorders>
          </w:tcPr>
          <w:p w14:paraId="16D14942" w14:textId="77777777" w:rsidR="002860AC" w:rsidRPr="002860AC" w:rsidRDefault="002860AC" w:rsidP="002860AC">
            <w:pPr>
              <w:spacing w:after="0" w:line="240" w:lineRule="auto"/>
              <w:jc w:val="center"/>
              <w:rPr>
                <w:rFonts w:cs="Calibri"/>
                <w:color w:val="000000" w:themeColor="text1"/>
              </w:rPr>
            </w:pPr>
            <w:r w:rsidRPr="002860AC">
              <w:rPr>
                <w:rFonts w:cs="Calibri"/>
                <w:color w:val="000000" w:themeColor="text1"/>
              </w:rPr>
              <w:t xml:space="preserve">        154 539 </w:t>
            </w:r>
          </w:p>
        </w:tc>
        <w:tc>
          <w:tcPr>
            <w:tcW w:w="1235" w:type="pct"/>
            <w:tcBorders>
              <w:top w:val="single" w:sz="5" w:space="0" w:color="000000"/>
              <w:left w:val="single" w:sz="5" w:space="0" w:color="000000"/>
              <w:bottom w:val="single" w:sz="5" w:space="0" w:color="000000"/>
              <w:right w:val="single" w:sz="5" w:space="0" w:color="000000"/>
            </w:tcBorders>
          </w:tcPr>
          <w:p w14:paraId="75F422E5" w14:textId="77777777" w:rsidR="002860AC" w:rsidRPr="002860AC" w:rsidRDefault="002860AC" w:rsidP="002860AC">
            <w:pPr>
              <w:spacing w:after="0" w:line="240" w:lineRule="auto"/>
              <w:jc w:val="center"/>
              <w:rPr>
                <w:rFonts w:cs="Calibri"/>
                <w:color w:val="000000" w:themeColor="text1"/>
              </w:rPr>
            </w:pPr>
            <w:r w:rsidRPr="002860AC">
              <w:rPr>
                <w:rFonts w:cs="Calibri"/>
                <w:color w:val="000000" w:themeColor="text1"/>
              </w:rPr>
              <w:t xml:space="preserve">1,174,289,839 </w:t>
            </w:r>
          </w:p>
        </w:tc>
      </w:tr>
      <w:tr w:rsidR="00322DD8" w:rsidRPr="002860AC" w14:paraId="19049CDC" w14:textId="77777777" w:rsidTr="00607B46">
        <w:trPr>
          <w:trHeight w:val="61"/>
        </w:trPr>
        <w:tc>
          <w:tcPr>
            <w:tcW w:w="1449" w:type="pct"/>
            <w:tcBorders>
              <w:top w:val="single" w:sz="5" w:space="0" w:color="000000"/>
              <w:left w:val="single" w:sz="5" w:space="0" w:color="000000"/>
              <w:bottom w:val="single" w:sz="5" w:space="0" w:color="000000"/>
              <w:right w:val="single" w:sz="5" w:space="0" w:color="000000"/>
            </w:tcBorders>
            <w:shd w:val="clear" w:color="auto" w:fill="C6D9F1" w:themeFill="text2" w:themeFillTint="33"/>
          </w:tcPr>
          <w:p w14:paraId="35B41A8D" w14:textId="77777777" w:rsidR="002860AC" w:rsidRPr="002860AC" w:rsidRDefault="002860AC" w:rsidP="002860AC">
            <w:pPr>
              <w:widowControl w:val="0"/>
              <w:autoSpaceDE w:val="0"/>
              <w:autoSpaceDN w:val="0"/>
              <w:adjustRightInd w:val="0"/>
              <w:spacing w:after="0" w:line="240" w:lineRule="auto"/>
              <w:rPr>
                <w:rFonts w:cs="Calibri"/>
                <w:b/>
                <w:color w:val="000000" w:themeColor="text1"/>
              </w:rPr>
            </w:pPr>
            <w:r w:rsidRPr="002860AC">
              <w:rPr>
                <w:rFonts w:cs="Calibri"/>
                <w:b/>
                <w:color w:val="000000" w:themeColor="text1"/>
              </w:rPr>
              <w:t xml:space="preserve">Total </w:t>
            </w:r>
          </w:p>
        </w:tc>
        <w:tc>
          <w:tcPr>
            <w:tcW w:w="1158" w:type="pct"/>
            <w:tcBorders>
              <w:top w:val="single" w:sz="5" w:space="0" w:color="000000"/>
              <w:left w:val="single" w:sz="5" w:space="0" w:color="000000"/>
              <w:bottom w:val="single" w:sz="5" w:space="0" w:color="000000"/>
              <w:right w:val="single" w:sz="5" w:space="0" w:color="000000"/>
            </w:tcBorders>
            <w:shd w:val="clear" w:color="auto" w:fill="C6D9F1" w:themeFill="text2" w:themeFillTint="33"/>
          </w:tcPr>
          <w:p w14:paraId="596B5B4D" w14:textId="77777777" w:rsidR="002860AC" w:rsidRPr="002860AC" w:rsidRDefault="002860AC" w:rsidP="002860AC">
            <w:pPr>
              <w:widowControl w:val="0"/>
              <w:autoSpaceDE w:val="0"/>
              <w:autoSpaceDN w:val="0"/>
              <w:adjustRightInd w:val="0"/>
              <w:spacing w:after="0" w:line="240" w:lineRule="auto"/>
              <w:jc w:val="center"/>
              <w:rPr>
                <w:rFonts w:cs="Calibri"/>
                <w:b/>
                <w:color w:val="000000" w:themeColor="text1"/>
              </w:rPr>
            </w:pPr>
            <w:r w:rsidRPr="002860AC">
              <w:rPr>
                <w:rFonts w:cs="Calibri"/>
                <w:b/>
                <w:color w:val="000000" w:themeColor="text1"/>
              </w:rPr>
              <w:t xml:space="preserve">115 046 </w:t>
            </w:r>
          </w:p>
        </w:tc>
        <w:tc>
          <w:tcPr>
            <w:tcW w:w="1158" w:type="pct"/>
            <w:tcBorders>
              <w:top w:val="single" w:sz="5" w:space="0" w:color="000000"/>
              <w:left w:val="single" w:sz="5" w:space="0" w:color="000000"/>
              <w:bottom w:val="single" w:sz="5" w:space="0" w:color="000000"/>
              <w:right w:val="single" w:sz="5" w:space="0" w:color="000000"/>
            </w:tcBorders>
            <w:shd w:val="clear" w:color="auto" w:fill="C6D9F1" w:themeFill="text2" w:themeFillTint="33"/>
          </w:tcPr>
          <w:p w14:paraId="069A8F23" w14:textId="77777777" w:rsidR="002860AC" w:rsidRPr="002860AC" w:rsidRDefault="002860AC" w:rsidP="002860AC">
            <w:pPr>
              <w:spacing w:after="0" w:line="240" w:lineRule="auto"/>
              <w:jc w:val="center"/>
              <w:rPr>
                <w:rFonts w:cs="Calibri"/>
                <w:b/>
                <w:color w:val="000000" w:themeColor="text1"/>
              </w:rPr>
            </w:pPr>
            <w:r w:rsidRPr="002860AC">
              <w:rPr>
                <w:rFonts w:cs="Calibri"/>
                <w:b/>
                <w:color w:val="000000" w:themeColor="text1"/>
              </w:rPr>
              <w:t xml:space="preserve">    1,063,977 </w:t>
            </w:r>
          </w:p>
        </w:tc>
        <w:tc>
          <w:tcPr>
            <w:tcW w:w="1235" w:type="pct"/>
            <w:tcBorders>
              <w:top w:val="single" w:sz="5" w:space="0" w:color="000000"/>
              <w:left w:val="single" w:sz="5" w:space="0" w:color="000000"/>
              <w:bottom w:val="single" w:sz="5" w:space="0" w:color="000000"/>
              <w:right w:val="single" w:sz="5" w:space="0" w:color="000000"/>
            </w:tcBorders>
            <w:shd w:val="clear" w:color="auto" w:fill="C6D9F1" w:themeFill="text2" w:themeFillTint="33"/>
          </w:tcPr>
          <w:p w14:paraId="7271F659" w14:textId="77777777" w:rsidR="002860AC" w:rsidRPr="002860AC" w:rsidRDefault="002860AC" w:rsidP="002860AC">
            <w:pPr>
              <w:spacing w:after="0" w:line="240" w:lineRule="auto"/>
              <w:jc w:val="center"/>
              <w:rPr>
                <w:rFonts w:cs="Calibri"/>
                <w:b/>
                <w:color w:val="000000" w:themeColor="text1"/>
              </w:rPr>
            </w:pPr>
            <w:r w:rsidRPr="002860AC">
              <w:rPr>
                <w:rFonts w:cs="Calibri"/>
                <w:b/>
                <w:color w:val="000000" w:themeColor="text1"/>
              </w:rPr>
              <w:t xml:space="preserve">3,483,648,915 </w:t>
            </w:r>
          </w:p>
        </w:tc>
      </w:tr>
    </w:tbl>
    <w:p w14:paraId="61026662" w14:textId="77777777" w:rsidR="008B13A8" w:rsidRDefault="008B13A8" w:rsidP="008B13A8">
      <w:pPr>
        <w:widowControl w:val="0"/>
        <w:autoSpaceDE w:val="0"/>
        <w:autoSpaceDN w:val="0"/>
        <w:adjustRightInd w:val="0"/>
        <w:spacing w:after="0" w:line="240" w:lineRule="auto"/>
        <w:rPr>
          <w:rFonts w:cs="Calibri"/>
          <w:color w:val="000000" w:themeColor="text1"/>
        </w:rPr>
      </w:pPr>
    </w:p>
    <w:p w14:paraId="341E9BDD" w14:textId="77777777" w:rsidR="00F521E7" w:rsidRPr="00AA7BCB" w:rsidRDefault="00AC4E10" w:rsidP="002F62F0">
      <w:pPr>
        <w:pStyle w:val="Caption"/>
      </w:pPr>
      <w:bookmarkStart w:id="283" w:name="_Toc510622278"/>
      <w:r>
        <w:t xml:space="preserve">Table </w:t>
      </w:r>
      <w:r w:rsidR="00B918A6">
        <w:fldChar w:fldCharType="begin"/>
      </w:r>
      <w:r w:rsidR="00B918A6">
        <w:instrText xml:space="preserve"> SEQ Table \* ARABIC </w:instrText>
      </w:r>
      <w:r w:rsidR="00B918A6">
        <w:fldChar w:fldCharType="separate"/>
      </w:r>
      <w:r w:rsidR="0067023A">
        <w:rPr>
          <w:noProof/>
        </w:rPr>
        <w:t>28</w:t>
      </w:r>
      <w:r w:rsidR="00B918A6">
        <w:rPr>
          <w:noProof/>
        </w:rPr>
        <w:fldChar w:fldCharType="end"/>
      </w:r>
      <w:r>
        <w:t xml:space="preserve">: </w:t>
      </w:r>
      <w:r w:rsidR="00AA7BCB" w:rsidRPr="00AC4E10">
        <w:t>Funds required for rural sanitation/VIP:</w:t>
      </w:r>
      <w:bookmarkEnd w:id="283"/>
    </w:p>
    <w:tbl>
      <w:tblPr>
        <w:tblW w:w="4982" w:type="pct"/>
        <w:tblCellMar>
          <w:left w:w="0" w:type="dxa"/>
          <w:right w:w="0" w:type="dxa"/>
        </w:tblCellMar>
        <w:tblLook w:val="0600" w:firstRow="0" w:lastRow="0" w:firstColumn="0" w:lastColumn="0" w:noHBand="1" w:noVBand="1"/>
      </w:tblPr>
      <w:tblGrid>
        <w:gridCol w:w="2729"/>
        <w:gridCol w:w="1794"/>
        <w:gridCol w:w="1693"/>
        <w:gridCol w:w="1693"/>
        <w:gridCol w:w="1675"/>
      </w:tblGrid>
      <w:tr w:rsidR="00322DD8" w:rsidRPr="00322DD8" w14:paraId="7E6227EE" w14:textId="77777777" w:rsidTr="00BA3715">
        <w:trPr>
          <w:trHeight w:val="15"/>
          <w:tblHeader/>
        </w:trPr>
        <w:tc>
          <w:tcPr>
            <w:tcW w:w="1424" w:type="pct"/>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57" w:type="dxa"/>
              <w:left w:w="108" w:type="dxa"/>
              <w:bottom w:w="57" w:type="dxa"/>
              <w:right w:w="108" w:type="dxa"/>
            </w:tcMar>
            <w:vAlign w:val="center"/>
            <w:hideMark/>
          </w:tcPr>
          <w:p w14:paraId="154E3418" w14:textId="77777777" w:rsidR="00322DD8" w:rsidRPr="00322DD8" w:rsidRDefault="00322DD8" w:rsidP="00C6411B">
            <w:pPr>
              <w:widowControl w:val="0"/>
              <w:autoSpaceDE w:val="0"/>
              <w:autoSpaceDN w:val="0"/>
              <w:adjustRightInd w:val="0"/>
              <w:spacing w:after="0" w:line="240" w:lineRule="auto"/>
              <w:rPr>
                <w:rFonts w:cs="Calibri"/>
                <w:b/>
                <w:color w:val="000000" w:themeColor="text1"/>
              </w:rPr>
            </w:pPr>
            <w:r w:rsidRPr="00322DD8">
              <w:rPr>
                <w:rFonts w:cs="Calibri"/>
                <w:b/>
                <w:color w:val="000000" w:themeColor="text1"/>
              </w:rPr>
              <w:t xml:space="preserve">Local Municipality </w:t>
            </w:r>
          </w:p>
        </w:tc>
        <w:tc>
          <w:tcPr>
            <w:tcW w:w="936" w:type="pct"/>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57" w:type="dxa"/>
              <w:left w:w="108" w:type="dxa"/>
              <w:bottom w:w="57" w:type="dxa"/>
              <w:right w:w="108" w:type="dxa"/>
            </w:tcMar>
            <w:vAlign w:val="center"/>
            <w:hideMark/>
          </w:tcPr>
          <w:p w14:paraId="74314925" w14:textId="77777777" w:rsidR="00322DD8" w:rsidRPr="00322DD8" w:rsidRDefault="00322DD8" w:rsidP="00C6411B">
            <w:pPr>
              <w:spacing w:after="0" w:line="240" w:lineRule="auto"/>
              <w:jc w:val="center"/>
              <w:rPr>
                <w:rFonts w:cs="Calibri"/>
                <w:b/>
                <w:color w:val="000000" w:themeColor="text1"/>
              </w:rPr>
            </w:pPr>
            <w:r w:rsidRPr="00322DD8">
              <w:rPr>
                <w:rFonts w:cs="Calibri"/>
                <w:b/>
                <w:color w:val="000000" w:themeColor="text1"/>
              </w:rPr>
              <w:t>2008 / 2009 Households</w:t>
            </w:r>
          </w:p>
        </w:tc>
        <w:tc>
          <w:tcPr>
            <w:tcW w:w="883" w:type="pct"/>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57" w:type="dxa"/>
              <w:left w:w="108" w:type="dxa"/>
              <w:bottom w:w="57" w:type="dxa"/>
              <w:right w:w="108" w:type="dxa"/>
            </w:tcMar>
            <w:vAlign w:val="center"/>
            <w:hideMark/>
          </w:tcPr>
          <w:p w14:paraId="21CFF4C6" w14:textId="77777777" w:rsidR="00322DD8" w:rsidRPr="00322DD8" w:rsidRDefault="00322DD8" w:rsidP="00C6411B">
            <w:pPr>
              <w:spacing w:after="0" w:line="240" w:lineRule="auto"/>
              <w:jc w:val="center"/>
              <w:rPr>
                <w:rFonts w:cs="Calibri"/>
                <w:b/>
                <w:color w:val="000000" w:themeColor="text1"/>
              </w:rPr>
            </w:pPr>
            <w:r w:rsidRPr="00322DD8">
              <w:rPr>
                <w:rFonts w:cs="Calibri"/>
                <w:b/>
                <w:color w:val="000000" w:themeColor="text1"/>
              </w:rPr>
              <w:t>Households without Sanitation</w:t>
            </w:r>
          </w:p>
        </w:tc>
        <w:tc>
          <w:tcPr>
            <w:tcW w:w="883" w:type="pct"/>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57" w:type="dxa"/>
              <w:left w:w="108" w:type="dxa"/>
              <w:bottom w:w="57" w:type="dxa"/>
              <w:right w:w="108" w:type="dxa"/>
            </w:tcMar>
            <w:vAlign w:val="center"/>
            <w:hideMark/>
          </w:tcPr>
          <w:p w14:paraId="41EE0BCC" w14:textId="77777777" w:rsidR="00322DD8" w:rsidRPr="00322DD8" w:rsidRDefault="00322DD8" w:rsidP="00C6411B">
            <w:pPr>
              <w:spacing w:after="0" w:line="240" w:lineRule="auto"/>
              <w:rPr>
                <w:rFonts w:cs="Calibri"/>
                <w:b/>
                <w:color w:val="000000" w:themeColor="text1"/>
              </w:rPr>
            </w:pPr>
            <w:r w:rsidRPr="00322DD8">
              <w:rPr>
                <w:rFonts w:cs="Calibri"/>
                <w:b/>
                <w:color w:val="000000" w:themeColor="text1"/>
              </w:rPr>
              <w:t xml:space="preserve">Capital Cost </w:t>
            </w:r>
          </w:p>
          <w:p w14:paraId="64476FF7" w14:textId="77777777" w:rsidR="00322DD8" w:rsidRPr="00322DD8" w:rsidRDefault="00322DD8" w:rsidP="00C6411B">
            <w:pPr>
              <w:spacing w:after="0" w:line="240" w:lineRule="auto"/>
              <w:rPr>
                <w:rFonts w:cs="Calibri"/>
                <w:b/>
                <w:color w:val="000000" w:themeColor="text1"/>
              </w:rPr>
            </w:pPr>
            <w:r w:rsidRPr="00322DD8">
              <w:rPr>
                <w:rFonts w:cs="Calibri"/>
                <w:b/>
                <w:color w:val="000000" w:themeColor="text1"/>
              </w:rPr>
              <w:t>R, incl. VAT</w:t>
            </w:r>
          </w:p>
        </w:tc>
        <w:tc>
          <w:tcPr>
            <w:tcW w:w="874" w:type="pct"/>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57" w:type="dxa"/>
              <w:left w:w="108" w:type="dxa"/>
              <w:bottom w:w="57" w:type="dxa"/>
              <w:right w:w="108" w:type="dxa"/>
            </w:tcMar>
            <w:vAlign w:val="center"/>
            <w:hideMark/>
          </w:tcPr>
          <w:p w14:paraId="239F5549" w14:textId="77777777" w:rsidR="00322DD8" w:rsidRPr="00322DD8" w:rsidRDefault="00322DD8" w:rsidP="00C6411B">
            <w:pPr>
              <w:spacing w:after="0" w:line="240" w:lineRule="auto"/>
              <w:rPr>
                <w:rFonts w:cs="Calibri"/>
                <w:b/>
                <w:color w:val="000000" w:themeColor="text1"/>
              </w:rPr>
            </w:pPr>
            <w:r w:rsidRPr="00322DD8">
              <w:rPr>
                <w:rFonts w:cs="Calibri"/>
                <w:b/>
                <w:color w:val="000000" w:themeColor="text1"/>
              </w:rPr>
              <w:t>Cost per capita</w:t>
            </w:r>
          </w:p>
          <w:p w14:paraId="3297A358" w14:textId="77777777" w:rsidR="00322DD8" w:rsidRPr="00322DD8" w:rsidRDefault="00322DD8" w:rsidP="00C6411B">
            <w:pPr>
              <w:spacing w:after="0" w:line="240" w:lineRule="auto"/>
              <w:rPr>
                <w:rFonts w:cs="Calibri"/>
                <w:b/>
                <w:color w:val="000000" w:themeColor="text1"/>
              </w:rPr>
            </w:pPr>
            <w:r w:rsidRPr="00322DD8">
              <w:rPr>
                <w:rFonts w:cs="Calibri"/>
                <w:b/>
                <w:color w:val="000000" w:themeColor="text1"/>
              </w:rPr>
              <w:t xml:space="preserve">R, incl. VAT </w:t>
            </w:r>
          </w:p>
        </w:tc>
      </w:tr>
      <w:tr w:rsidR="00322DD8" w:rsidRPr="00322DD8" w14:paraId="4283DBB3" w14:textId="77777777" w:rsidTr="00BA3715">
        <w:trPr>
          <w:trHeight w:val="61"/>
        </w:trPr>
        <w:tc>
          <w:tcPr>
            <w:tcW w:w="1424" w:type="pct"/>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vAlign w:val="bottom"/>
            <w:hideMark/>
          </w:tcPr>
          <w:p w14:paraId="16A2C1CF" w14:textId="77777777" w:rsidR="00322DD8" w:rsidRPr="00322DD8" w:rsidRDefault="00F91930" w:rsidP="00C6411B">
            <w:pPr>
              <w:spacing w:after="0" w:line="240" w:lineRule="auto"/>
              <w:rPr>
                <w:rFonts w:cs="Calibri"/>
                <w:color w:val="000000" w:themeColor="text1"/>
              </w:rPr>
            </w:pPr>
            <w:r>
              <w:rPr>
                <w:rFonts w:cs="Calibri"/>
                <w:color w:val="000000" w:themeColor="text1"/>
              </w:rPr>
              <w:t>u</w:t>
            </w:r>
            <w:r w:rsidR="00322DD8" w:rsidRPr="00322DD8">
              <w:rPr>
                <w:rFonts w:cs="Calibri"/>
                <w:color w:val="000000" w:themeColor="text1"/>
              </w:rPr>
              <w:t>Mfolozi (KZ281)</w:t>
            </w:r>
          </w:p>
        </w:tc>
        <w:tc>
          <w:tcPr>
            <w:tcW w:w="936" w:type="pct"/>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vAlign w:val="center"/>
            <w:hideMark/>
          </w:tcPr>
          <w:p w14:paraId="7CF1EED9" w14:textId="77777777" w:rsidR="00322DD8" w:rsidRPr="00322DD8" w:rsidRDefault="00322DD8" w:rsidP="00C6411B">
            <w:pPr>
              <w:spacing w:after="0" w:line="240" w:lineRule="auto"/>
              <w:jc w:val="center"/>
              <w:rPr>
                <w:rFonts w:cs="Calibri"/>
                <w:color w:val="000000" w:themeColor="text1"/>
              </w:rPr>
            </w:pPr>
            <w:r w:rsidRPr="00322DD8">
              <w:rPr>
                <w:rFonts w:cs="Calibri"/>
                <w:color w:val="000000" w:themeColor="text1"/>
              </w:rPr>
              <w:t>20 615</w:t>
            </w:r>
          </w:p>
        </w:tc>
        <w:tc>
          <w:tcPr>
            <w:tcW w:w="883" w:type="pct"/>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vAlign w:val="center"/>
            <w:hideMark/>
          </w:tcPr>
          <w:p w14:paraId="6864F410" w14:textId="77777777" w:rsidR="00322DD8" w:rsidRPr="00322DD8" w:rsidRDefault="00322DD8" w:rsidP="00C6411B">
            <w:pPr>
              <w:spacing w:after="0" w:line="240" w:lineRule="auto"/>
              <w:jc w:val="center"/>
              <w:rPr>
                <w:rFonts w:cs="Calibri"/>
                <w:color w:val="000000" w:themeColor="text1"/>
              </w:rPr>
            </w:pPr>
            <w:r w:rsidRPr="00322DD8">
              <w:rPr>
                <w:rFonts w:cs="Calibri"/>
                <w:color w:val="000000" w:themeColor="text1"/>
              </w:rPr>
              <w:t>7018</w:t>
            </w:r>
          </w:p>
        </w:tc>
        <w:tc>
          <w:tcPr>
            <w:tcW w:w="883" w:type="pct"/>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vAlign w:val="center"/>
            <w:hideMark/>
          </w:tcPr>
          <w:p w14:paraId="03F4061F" w14:textId="77777777" w:rsidR="00322DD8" w:rsidRPr="00322DD8" w:rsidRDefault="00322DD8" w:rsidP="00C6411B">
            <w:pPr>
              <w:spacing w:after="0" w:line="240" w:lineRule="auto"/>
              <w:jc w:val="center"/>
              <w:rPr>
                <w:rFonts w:cs="Calibri"/>
                <w:color w:val="000000" w:themeColor="text1"/>
              </w:rPr>
            </w:pPr>
            <w:r w:rsidRPr="00322DD8">
              <w:rPr>
                <w:rFonts w:cs="Calibri"/>
                <w:color w:val="000000" w:themeColor="text1"/>
              </w:rPr>
              <w:t>52,635,000</w:t>
            </w:r>
          </w:p>
        </w:tc>
        <w:tc>
          <w:tcPr>
            <w:tcW w:w="874" w:type="pct"/>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vAlign w:val="center"/>
            <w:hideMark/>
          </w:tcPr>
          <w:p w14:paraId="439B93DA" w14:textId="77777777" w:rsidR="00322DD8" w:rsidRPr="00322DD8" w:rsidRDefault="00322DD8" w:rsidP="00C6411B">
            <w:pPr>
              <w:spacing w:after="0" w:line="240" w:lineRule="auto"/>
              <w:jc w:val="center"/>
              <w:rPr>
                <w:rFonts w:cs="Calibri"/>
                <w:color w:val="000000" w:themeColor="text1"/>
              </w:rPr>
            </w:pPr>
            <w:r w:rsidRPr="00322DD8">
              <w:rPr>
                <w:rFonts w:cs="Calibri"/>
                <w:color w:val="000000" w:themeColor="text1"/>
              </w:rPr>
              <w:t>7,500</w:t>
            </w:r>
          </w:p>
        </w:tc>
      </w:tr>
      <w:tr w:rsidR="00322DD8" w:rsidRPr="00322DD8" w14:paraId="577DC374" w14:textId="77777777" w:rsidTr="00BA3715">
        <w:trPr>
          <w:trHeight w:val="61"/>
        </w:trPr>
        <w:tc>
          <w:tcPr>
            <w:tcW w:w="1424" w:type="pct"/>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vAlign w:val="bottom"/>
            <w:hideMark/>
          </w:tcPr>
          <w:p w14:paraId="57904322" w14:textId="77777777" w:rsidR="00322DD8" w:rsidRPr="00322DD8" w:rsidRDefault="00322DD8" w:rsidP="00C6411B">
            <w:pPr>
              <w:spacing w:after="0" w:line="240" w:lineRule="auto"/>
              <w:rPr>
                <w:rFonts w:cs="Calibri"/>
                <w:color w:val="000000" w:themeColor="text1"/>
              </w:rPr>
            </w:pPr>
            <w:r w:rsidRPr="00322DD8">
              <w:rPr>
                <w:rFonts w:cs="Calibri"/>
                <w:color w:val="000000" w:themeColor="text1"/>
              </w:rPr>
              <w:t>uMlalazi (KZ284)</w:t>
            </w:r>
          </w:p>
        </w:tc>
        <w:tc>
          <w:tcPr>
            <w:tcW w:w="936" w:type="pct"/>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vAlign w:val="center"/>
            <w:hideMark/>
          </w:tcPr>
          <w:p w14:paraId="546C58C6" w14:textId="77777777" w:rsidR="00322DD8" w:rsidRPr="00322DD8" w:rsidRDefault="00322DD8" w:rsidP="00C6411B">
            <w:pPr>
              <w:spacing w:after="0" w:line="240" w:lineRule="auto"/>
              <w:jc w:val="center"/>
              <w:rPr>
                <w:rFonts w:cs="Calibri"/>
                <w:color w:val="000000" w:themeColor="text1"/>
              </w:rPr>
            </w:pPr>
            <w:r w:rsidRPr="00322DD8">
              <w:rPr>
                <w:rFonts w:cs="Calibri"/>
                <w:color w:val="000000" w:themeColor="text1"/>
              </w:rPr>
              <w:t>42 623</w:t>
            </w:r>
          </w:p>
        </w:tc>
        <w:tc>
          <w:tcPr>
            <w:tcW w:w="883" w:type="pct"/>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vAlign w:val="center"/>
            <w:hideMark/>
          </w:tcPr>
          <w:p w14:paraId="5B969392" w14:textId="77777777" w:rsidR="00322DD8" w:rsidRPr="00322DD8" w:rsidRDefault="00322DD8" w:rsidP="00C6411B">
            <w:pPr>
              <w:spacing w:after="0" w:line="240" w:lineRule="auto"/>
              <w:jc w:val="center"/>
              <w:rPr>
                <w:rFonts w:cs="Calibri"/>
                <w:color w:val="000000" w:themeColor="text1"/>
              </w:rPr>
            </w:pPr>
            <w:r w:rsidRPr="00322DD8">
              <w:rPr>
                <w:rFonts w:cs="Calibri"/>
                <w:color w:val="000000" w:themeColor="text1"/>
              </w:rPr>
              <w:t>21624</w:t>
            </w:r>
          </w:p>
        </w:tc>
        <w:tc>
          <w:tcPr>
            <w:tcW w:w="883" w:type="pct"/>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vAlign w:val="center"/>
            <w:hideMark/>
          </w:tcPr>
          <w:p w14:paraId="3AA83A9B" w14:textId="77777777" w:rsidR="00322DD8" w:rsidRPr="00322DD8" w:rsidRDefault="00322DD8" w:rsidP="00C6411B">
            <w:pPr>
              <w:spacing w:after="0" w:line="240" w:lineRule="auto"/>
              <w:jc w:val="center"/>
              <w:rPr>
                <w:rFonts w:cs="Calibri"/>
                <w:color w:val="000000" w:themeColor="text1"/>
              </w:rPr>
            </w:pPr>
            <w:r w:rsidRPr="00322DD8">
              <w:rPr>
                <w:rFonts w:cs="Calibri"/>
                <w:color w:val="000000" w:themeColor="text1"/>
              </w:rPr>
              <w:t>162,180,000</w:t>
            </w:r>
          </w:p>
        </w:tc>
        <w:tc>
          <w:tcPr>
            <w:tcW w:w="874" w:type="pct"/>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vAlign w:val="center"/>
            <w:hideMark/>
          </w:tcPr>
          <w:p w14:paraId="62DD1BBB" w14:textId="77777777" w:rsidR="00322DD8" w:rsidRPr="00322DD8" w:rsidRDefault="00322DD8" w:rsidP="00C6411B">
            <w:pPr>
              <w:spacing w:after="0" w:line="240" w:lineRule="auto"/>
              <w:jc w:val="center"/>
              <w:rPr>
                <w:rFonts w:cs="Calibri"/>
                <w:color w:val="000000" w:themeColor="text1"/>
              </w:rPr>
            </w:pPr>
            <w:r w:rsidRPr="00322DD8">
              <w:rPr>
                <w:rFonts w:cs="Calibri"/>
                <w:color w:val="000000" w:themeColor="text1"/>
              </w:rPr>
              <w:t>7,500</w:t>
            </w:r>
          </w:p>
        </w:tc>
      </w:tr>
      <w:tr w:rsidR="00322DD8" w:rsidRPr="00322DD8" w14:paraId="1C572437" w14:textId="77777777" w:rsidTr="00BA3715">
        <w:trPr>
          <w:trHeight w:val="61"/>
        </w:trPr>
        <w:tc>
          <w:tcPr>
            <w:tcW w:w="1424" w:type="pct"/>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vAlign w:val="bottom"/>
            <w:hideMark/>
          </w:tcPr>
          <w:p w14:paraId="0EC00FE9" w14:textId="77777777" w:rsidR="00322DD8" w:rsidRPr="00322DD8" w:rsidRDefault="00322DD8" w:rsidP="00C6411B">
            <w:pPr>
              <w:spacing w:after="0" w:line="240" w:lineRule="auto"/>
              <w:rPr>
                <w:rFonts w:cs="Calibri"/>
                <w:color w:val="000000" w:themeColor="text1"/>
              </w:rPr>
            </w:pPr>
            <w:r w:rsidRPr="00322DD8">
              <w:rPr>
                <w:rFonts w:cs="Calibri"/>
                <w:color w:val="000000" w:themeColor="text1"/>
              </w:rPr>
              <w:t>Mthonjaneni (KZ285)</w:t>
            </w:r>
          </w:p>
        </w:tc>
        <w:tc>
          <w:tcPr>
            <w:tcW w:w="936" w:type="pct"/>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vAlign w:val="center"/>
            <w:hideMark/>
          </w:tcPr>
          <w:p w14:paraId="792F1E28" w14:textId="77777777" w:rsidR="00322DD8" w:rsidRPr="00322DD8" w:rsidRDefault="00322DD8" w:rsidP="00C6411B">
            <w:pPr>
              <w:spacing w:after="0" w:line="240" w:lineRule="auto"/>
              <w:jc w:val="center"/>
              <w:rPr>
                <w:rFonts w:cs="Calibri"/>
                <w:color w:val="000000" w:themeColor="text1"/>
              </w:rPr>
            </w:pPr>
            <w:r w:rsidRPr="00322DD8">
              <w:rPr>
                <w:rFonts w:cs="Calibri"/>
                <w:color w:val="000000" w:themeColor="text1"/>
              </w:rPr>
              <w:t>9 712</w:t>
            </w:r>
          </w:p>
        </w:tc>
        <w:tc>
          <w:tcPr>
            <w:tcW w:w="883" w:type="pct"/>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vAlign w:val="center"/>
            <w:hideMark/>
          </w:tcPr>
          <w:p w14:paraId="1FA4CD6F" w14:textId="77777777" w:rsidR="00322DD8" w:rsidRPr="00322DD8" w:rsidRDefault="00322DD8" w:rsidP="00C6411B">
            <w:pPr>
              <w:spacing w:after="0" w:line="240" w:lineRule="auto"/>
              <w:jc w:val="center"/>
              <w:rPr>
                <w:rFonts w:cs="Calibri"/>
                <w:color w:val="000000" w:themeColor="text1"/>
              </w:rPr>
            </w:pPr>
            <w:r w:rsidRPr="00322DD8">
              <w:rPr>
                <w:rFonts w:cs="Calibri"/>
                <w:color w:val="000000" w:themeColor="text1"/>
              </w:rPr>
              <w:t>384</w:t>
            </w:r>
          </w:p>
        </w:tc>
        <w:tc>
          <w:tcPr>
            <w:tcW w:w="883" w:type="pct"/>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vAlign w:val="center"/>
            <w:hideMark/>
          </w:tcPr>
          <w:p w14:paraId="1069DA31" w14:textId="77777777" w:rsidR="00322DD8" w:rsidRPr="00322DD8" w:rsidRDefault="00322DD8" w:rsidP="00C6411B">
            <w:pPr>
              <w:spacing w:after="0" w:line="240" w:lineRule="auto"/>
              <w:jc w:val="center"/>
              <w:rPr>
                <w:rFonts w:cs="Calibri"/>
                <w:color w:val="000000" w:themeColor="text1"/>
              </w:rPr>
            </w:pPr>
            <w:r w:rsidRPr="00322DD8">
              <w:rPr>
                <w:rFonts w:cs="Calibri"/>
                <w:color w:val="000000" w:themeColor="text1"/>
              </w:rPr>
              <w:t>2,880,000</w:t>
            </w:r>
          </w:p>
        </w:tc>
        <w:tc>
          <w:tcPr>
            <w:tcW w:w="874" w:type="pct"/>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vAlign w:val="center"/>
            <w:hideMark/>
          </w:tcPr>
          <w:p w14:paraId="47E44C7D" w14:textId="77777777" w:rsidR="00322DD8" w:rsidRPr="00322DD8" w:rsidRDefault="00322DD8" w:rsidP="00C6411B">
            <w:pPr>
              <w:spacing w:after="0" w:line="240" w:lineRule="auto"/>
              <w:jc w:val="center"/>
              <w:rPr>
                <w:rFonts w:cs="Calibri"/>
                <w:color w:val="000000" w:themeColor="text1"/>
              </w:rPr>
            </w:pPr>
            <w:r w:rsidRPr="00322DD8">
              <w:rPr>
                <w:rFonts w:cs="Calibri"/>
                <w:color w:val="000000" w:themeColor="text1"/>
              </w:rPr>
              <w:t>7,500</w:t>
            </w:r>
          </w:p>
        </w:tc>
      </w:tr>
      <w:tr w:rsidR="00322DD8" w:rsidRPr="00322DD8" w14:paraId="383808D5" w14:textId="77777777" w:rsidTr="00BA3715">
        <w:trPr>
          <w:trHeight w:val="15"/>
        </w:trPr>
        <w:tc>
          <w:tcPr>
            <w:tcW w:w="1424" w:type="pct"/>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vAlign w:val="bottom"/>
            <w:hideMark/>
          </w:tcPr>
          <w:p w14:paraId="56150C6C" w14:textId="77777777" w:rsidR="00322DD8" w:rsidRPr="00322DD8" w:rsidRDefault="00322DD8" w:rsidP="00C6411B">
            <w:pPr>
              <w:spacing w:after="0" w:line="240" w:lineRule="auto"/>
              <w:rPr>
                <w:rFonts w:cs="Calibri"/>
                <w:color w:val="000000" w:themeColor="text1"/>
              </w:rPr>
            </w:pPr>
            <w:r w:rsidRPr="00322DD8">
              <w:rPr>
                <w:rFonts w:cs="Calibri"/>
                <w:color w:val="000000" w:themeColor="text1"/>
              </w:rPr>
              <w:t>Nkandla (KZ286)</w:t>
            </w:r>
          </w:p>
        </w:tc>
        <w:tc>
          <w:tcPr>
            <w:tcW w:w="936" w:type="pct"/>
            <w:tcBorders>
              <w:top w:val="single" w:sz="8" w:space="0" w:color="000000"/>
              <w:left w:val="single" w:sz="8" w:space="0" w:color="000000"/>
              <w:bottom w:val="single" w:sz="8" w:space="0" w:color="000000"/>
              <w:right w:val="single" w:sz="8" w:space="0" w:color="000000"/>
            </w:tcBorders>
            <w:shd w:val="clear" w:color="auto" w:fill="auto"/>
            <w:tcMar>
              <w:top w:w="28" w:type="dxa"/>
              <w:left w:w="108" w:type="dxa"/>
              <w:bottom w:w="28" w:type="dxa"/>
              <w:right w:w="108" w:type="dxa"/>
            </w:tcMar>
            <w:vAlign w:val="center"/>
            <w:hideMark/>
          </w:tcPr>
          <w:p w14:paraId="008A7F27" w14:textId="77777777" w:rsidR="00322DD8" w:rsidRPr="00322DD8" w:rsidRDefault="00322DD8" w:rsidP="00C6411B">
            <w:pPr>
              <w:spacing w:after="0" w:line="240" w:lineRule="auto"/>
              <w:jc w:val="center"/>
              <w:rPr>
                <w:rFonts w:cs="Calibri"/>
                <w:color w:val="000000" w:themeColor="text1"/>
              </w:rPr>
            </w:pPr>
            <w:r w:rsidRPr="00322DD8">
              <w:rPr>
                <w:rFonts w:cs="Calibri"/>
                <w:color w:val="000000" w:themeColor="text1"/>
              </w:rPr>
              <w:t>25 757</w:t>
            </w:r>
          </w:p>
        </w:tc>
        <w:tc>
          <w:tcPr>
            <w:tcW w:w="883" w:type="pct"/>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vAlign w:val="center"/>
            <w:hideMark/>
          </w:tcPr>
          <w:p w14:paraId="5C3CAE91" w14:textId="77777777" w:rsidR="00322DD8" w:rsidRPr="00322DD8" w:rsidRDefault="00322DD8" w:rsidP="00C6411B">
            <w:pPr>
              <w:spacing w:after="0" w:line="240" w:lineRule="auto"/>
              <w:jc w:val="center"/>
              <w:rPr>
                <w:rFonts w:cs="Calibri"/>
                <w:color w:val="000000" w:themeColor="text1"/>
              </w:rPr>
            </w:pPr>
            <w:r w:rsidRPr="00322DD8">
              <w:rPr>
                <w:rFonts w:cs="Calibri"/>
                <w:color w:val="000000" w:themeColor="text1"/>
              </w:rPr>
              <w:t>5422</w:t>
            </w:r>
          </w:p>
        </w:tc>
        <w:tc>
          <w:tcPr>
            <w:tcW w:w="883" w:type="pct"/>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vAlign w:val="center"/>
            <w:hideMark/>
          </w:tcPr>
          <w:p w14:paraId="1F01E1BF" w14:textId="77777777" w:rsidR="00322DD8" w:rsidRPr="00322DD8" w:rsidRDefault="00322DD8" w:rsidP="00C6411B">
            <w:pPr>
              <w:spacing w:after="0" w:line="240" w:lineRule="auto"/>
              <w:jc w:val="center"/>
              <w:rPr>
                <w:rFonts w:cs="Calibri"/>
                <w:color w:val="000000" w:themeColor="text1"/>
              </w:rPr>
            </w:pPr>
            <w:r w:rsidRPr="00322DD8">
              <w:rPr>
                <w:rFonts w:cs="Calibri"/>
                <w:color w:val="000000" w:themeColor="text1"/>
              </w:rPr>
              <w:t>40,665,000</w:t>
            </w:r>
          </w:p>
        </w:tc>
        <w:tc>
          <w:tcPr>
            <w:tcW w:w="874" w:type="pct"/>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vAlign w:val="center"/>
            <w:hideMark/>
          </w:tcPr>
          <w:p w14:paraId="263E1F00" w14:textId="77777777" w:rsidR="00322DD8" w:rsidRPr="00322DD8" w:rsidRDefault="00322DD8" w:rsidP="00C6411B">
            <w:pPr>
              <w:spacing w:after="0" w:line="240" w:lineRule="auto"/>
              <w:jc w:val="center"/>
              <w:rPr>
                <w:rFonts w:cs="Calibri"/>
                <w:color w:val="000000" w:themeColor="text1"/>
              </w:rPr>
            </w:pPr>
            <w:r w:rsidRPr="00322DD8">
              <w:rPr>
                <w:rFonts w:cs="Calibri"/>
                <w:color w:val="000000" w:themeColor="text1"/>
              </w:rPr>
              <w:t>7,500</w:t>
            </w:r>
          </w:p>
        </w:tc>
      </w:tr>
      <w:tr w:rsidR="00322DD8" w:rsidRPr="00322DD8" w14:paraId="31CB2001" w14:textId="77777777" w:rsidTr="00BA3715">
        <w:trPr>
          <w:trHeight w:val="15"/>
        </w:trPr>
        <w:tc>
          <w:tcPr>
            <w:tcW w:w="1424" w:type="pct"/>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57" w:type="dxa"/>
              <w:left w:w="108" w:type="dxa"/>
              <w:bottom w:w="57" w:type="dxa"/>
              <w:right w:w="108" w:type="dxa"/>
            </w:tcMar>
            <w:vAlign w:val="bottom"/>
            <w:hideMark/>
          </w:tcPr>
          <w:p w14:paraId="58B7B84E" w14:textId="77777777" w:rsidR="00322DD8" w:rsidRPr="00322DD8" w:rsidRDefault="00322DD8" w:rsidP="00C6411B">
            <w:pPr>
              <w:spacing w:after="0" w:line="240" w:lineRule="auto"/>
              <w:jc w:val="right"/>
              <w:rPr>
                <w:rFonts w:cs="Calibri"/>
                <w:b/>
                <w:color w:val="000000" w:themeColor="text1"/>
              </w:rPr>
            </w:pPr>
            <w:r w:rsidRPr="00322DD8">
              <w:rPr>
                <w:rFonts w:cs="Calibri"/>
                <w:b/>
                <w:color w:val="000000" w:themeColor="text1"/>
              </w:rPr>
              <w:t>Total</w:t>
            </w:r>
          </w:p>
        </w:tc>
        <w:tc>
          <w:tcPr>
            <w:tcW w:w="936" w:type="pct"/>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57" w:type="dxa"/>
              <w:left w:w="108" w:type="dxa"/>
              <w:bottom w:w="57" w:type="dxa"/>
              <w:right w:w="108" w:type="dxa"/>
            </w:tcMar>
            <w:vAlign w:val="center"/>
            <w:hideMark/>
          </w:tcPr>
          <w:p w14:paraId="1B267BE1" w14:textId="77777777" w:rsidR="00322DD8" w:rsidRPr="00322DD8" w:rsidRDefault="00322DD8" w:rsidP="00C6411B">
            <w:pPr>
              <w:spacing w:after="0" w:line="240" w:lineRule="auto"/>
              <w:jc w:val="center"/>
              <w:rPr>
                <w:rFonts w:cs="Calibri"/>
                <w:b/>
                <w:color w:val="000000" w:themeColor="text1"/>
              </w:rPr>
            </w:pPr>
            <w:r w:rsidRPr="00322DD8">
              <w:rPr>
                <w:rFonts w:cs="Calibri"/>
                <w:b/>
                <w:color w:val="000000" w:themeColor="text1"/>
              </w:rPr>
              <w:t>115 046</w:t>
            </w:r>
          </w:p>
        </w:tc>
        <w:tc>
          <w:tcPr>
            <w:tcW w:w="883" w:type="pct"/>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57" w:type="dxa"/>
              <w:left w:w="108" w:type="dxa"/>
              <w:bottom w:w="57" w:type="dxa"/>
              <w:right w:w="108" w:type="dxa"/>
            </w:tcMar>
            <w:vAlign w:val="center"/>
            <w:hideMark/>
          </w:tcPr>
          <w:p w14:paraId="2E6B1DAA" w14:textId="77777777" w:rsidR="00322DD8" w:rsidRPr="00322DD8" w:rsidRDefault="00322DD8" w:rsidP="00C6411B">
            <w:pPr>
              <w:spacing w:after="0" w:line="240" w:lineRule="auto"/>
              <w:jc w:val="center"/>
              <w:rPr>
                <w:rFonts w:cs="Calibri"/>
                <w:b/>
                <w:color w:val="000000" w:themeColor="text1"/>
              </w:rPr>
            </w:pPr>
            <w:r w:rsidRPr="00322DD8">
              <w:rPr>
                <w:rFonts w:cs="Calibri"/>
                <w:b/>
                <w:color w:val="000000" w:themeColor="text1"/>
              </w:rPr>
              <w:t>34948</w:t>
            </w:r>
          </w:p>
        </w:tc>
        <w:tc>
          <w:tcPr>
            <w:tcW w:w="883" w:type="pct"/>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57" w:type="dxa"/>
              <w:left w:w="108" w:type="dxa"/>
              <w:bottom w:w="57" w:type="dxa"/>
              <w:right w:w="108" w:type="dxa"/>
            </w:tcMar>
            <w:vAlign w:val="center"/>
            <w:hideMark/>
          </w:tcPr>
          <w:p w14:paraId="5E5DBBB4" w14:textId="77777777" w:rsidR="00322DD8" w:rsidRPr="00322DD8" w:rsidRDefault="00322DD8" w:rsidP="00C6411B">
            <w:pPr>
              <w:spacing w:after="0" w:line="240" w:lineRule="auto"/>
              <w:jc w:val="center"/>
              <w:rPr>
                <w:rFonts w:cs="Calibri"/>
                <w:b/>
                <w:color w:val="000000" w:themeColor="text1"/>
              </w:rPr>
            </w:pPr>
            <w:r w:rsidRPr="00322DD8">
              <w:rPr>
                <w:rFonts w:cs="Calibri"/>
                <w:b/>
                <w:color w:val="000000" w:themeColor="text1"/>
              </w:rPr>
              <w:t>288, 321, 000</w:t>
            </w:r>
          </w:p>
        </w:tc>
        <w:tc>
          <w:tcPr>
            <w:tcW w:w="874" w:type="pct"/>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57" w:type="dxa"/>
              <w:left w:w="108" w:type="dxa"/>
              <w:bottom w:w="57" w:type="dxa"/>
              <w:right w:w="108" w:type="dxa"/>
            </w:tcMar>
            <w:vAlign w:val="center"/>
            <w:hideMark/>
          </w:tcPr>
          <w:p w14:paraId="4CF6C407" w14:textId="77777777" w:rsidR="00322DD8" w:rsidRPr="00322DD8" w:rsidRDefault="00322DD8" w:rsidP="00C6411B">
            <w:pPr>
              <w:spacing w:after="0" w:line="240" w:lineRule="auto"/>
              <w:rPr>
                <w:rFonts w:cs="Calibri"/>
                <w:b/>
                <w:color w:val="000000" w:themeColor="text1"/>
              </w:rPr>
            </w:pPr>
          </w:p>
        </w:tc>
      </w:tr>
    </w:tbl>
    <w:p w14:paraId="58978993" w14:textId="77777777" w:rsidR="00407352" w:rsidRDefault="00407352" w:rsidP="00395313">
      <w:pPr>
        <w:jc w:val="both"/>
        <w:rPr>
          <w:rFonts w:cs="Calibri"/>
          <w:color w:val="000000" w:themeColor="text1"/>
        </w:rPr>
      </w:pPr>
    </w:p>
    <w:p w14:paraId="67746C3D" w14:textId="6E93090A" w:rsidR="00AB612A" w:rsidRDefault="00AB612A" w:rsidP="00395313">
      <w:pPr>
        <w:jc w:val="both"/>
        <w:rPr>
          <w:rFonts w:cs="Calibri"/>
          <w:color w:val="000000" w:themeColor="text1"/>
        </w:rPr>
      </w:pPr>
      <w:r>
        <w:rPr>
          <w:rFonts w:cs="Calibri"/>
          <w:color w:val="000000" w:themeColor="text1"/>
        </w:rPr>
        <w:t>The Maps below depict the existing bulk water pipelines as well as the planned</w:t>
      </w:r>
      <w:r w:rsidR="005F5762">
        <w:rPr>
          <w:rFonts w:cs="Calibri"/>
          <w:color w:val="000000" w:themeColor="text1"/>
        </w:rPr>
        <w:t xml:space="preserve"> water and sanitation</w:t>
      </w:r>
      <w:r>
        <w:rPr>
          <w:rFonts w:cs="Calibri"/>
          <w:color w:val="000000" w:themeColor="text1"/>
        </w:rPr>
        <w:t xml:space="preserve"> projects for 2018/19 </w:t>
      </w:r>
      <w:r w:rsidR="005F5762">
        <w:rPr>
          <w:rFonts w:cs="Calibri"/>
          <w:color w:val="000000" w:themeColor="text1"/>
        </w:rPr>
        <w:t>financial year. The project values are further unpacked in with the Financial Plan Section of this document.</w:t>
      </w:r>
    </w:p>
    <w:p w14:paraId="23D12CE5" w14:textId="446B9A4E" w:rsidR="00AF5D50" w:rsidRPr="00881795" w:rsidRDefault="00AF5D50" w:rsidP="00395313">
      <w:pPr>
        <w:jc w:val="both"/>
        <w:rPr>
          <w:rFonts w:cs="Calibri"/>
          <w:color w:val="000000" w:themeColor="text1"/>
        </w:rPr>
      </w:pPr>
      <w:r>
        <w:rPr>
          <w:noProof/>
        </w:rPr>
        <w:lastRenderedPageBreak/>
        <w:drawing>
          <wp:inline distT="0" distB="0" distL="0" distR="0" wp14:anchorId="6F0B8D7B" wp14:editId="54439295">
            <wp:extent cx="6120765" cy="4281170"/>
            <wp:effectExtent l="19050" t="19050" r="13335" b="2413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20765" cy="4281170"/>
                    </a:xfrm>
                    <a:prstGeom prst="rect">
                      <a:avLst/>
                    </a:prstGeom>
                    <a:ln w="12700">
                      <a:solidFill>
                        <a:schemeClr val="tx1"/>
                      </a:solidFill>
                    </a:ln>
                  </pic:spPr>
                </pic:pic>
              </a:graphicData>
            </a:graphic>
          </wp:inline>
        </w:drawing>
      </w:r>
    </w:p>
    <w:p w14:paraId="4885A39E" w14:textId="2A58E432" w:rsidR="00DC6351" w:rsidRDefault="00AC3959" w:rsidP="00AC3959">
      <w:pPr>
        <w:pStyle w:val="Caption"/>
      </w:pPr>
      <w:bookmarkStart w:id="284" w:name="_Toc481468929"/>
      <w:bookmarkStart w:id="285" w:name="_Toc389739879"/>
      <w:r>
        <w:t xml:space="preserve">Map </w:t>
      </w:r>
      <w:r w:rsidR="00B918A6">
        <w:fldChar w:fldCharType="begin"/>
      </w:r>
      <w:r w:rsidR="00B918A6">
        <w:instrText xml:space="preserve"> SEQ Map \* ARABIC </w:instrText>
      </w:r>
      <w:r w:rsidR="00B918A6">
        <w:fldChar w:fldCharType="separate"/>
      </w:r>
      <w:r w:rsidR="0067023A">
        <w:rPr>
          <w:noProof/>
        </w:rPr>
        <w:t>15</w:t>
      </w:r>
      <w:r w:rsidR="00B918A6">
        <w:rPr>
          <w:noProof/>
        </w:rPr>
        <w:fldChar w:fldCharType="end"/>
      </w:r>
      <w:r>
        <w:t xml:space="preserve">: </w:t>
      </w:r>
      <w:r w:rsidR="005F5762">
        <w:t>Existing Bulk Water Pipelines</w:t>
      </w:r>
      <w:r w:rsidR="00DC6351">
        <w:t xml:space="preserve"> </w:t>
      </w:r>
      <w:r w:rsidR="005F5762">
        <w:t>(2018</w:t>
      </w:r>
      <w:r w:rsidR="005007E8">
        <w:t>)</w:t>
      </w:r>
      <w:bookmarkEnd w:id="284"/>
    </w:p>
    <w:p w14:paraId="319BB9F8" w14:textId="6E298DC1" w:rsidR="00AF5D50" w:rsidRDefault="00AB612A" w:rsidP="00AF5D50">
      <w:r w:rsidRPr="00AB612A">
        <w:rPr>
          <w:noProof/>
        </w:rPr>
        <w:drawing>
          <wp:inline distT="0" distB="0" distL="0" distR="0" wp14:anchorId="6C78DEDD" wp14:editId="63055395">
            <wp:extent cx="6167755" cy="3905250"/>
            <wp:effectExtent l="19050" t="19050" r="23495" b="19050"/>
            <wp:docPr id="31" name="Picture 31" descr="C:\Users\Siphephelok.UMLALAZI\AppData\Local\Microsoft\Windows\INetCache\Content.Outlook\UPKRF661\IDP_Planned_WaterProject_18_19_Umlalz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Siphephelok.UMLALAZI\AppData\Local\Microsoft\Windows\INetCache\Content.Outlook\UPKRF661\IDP_Planned_WaterProject_18_19_Umlalzi.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68726" cy="3905865"/>
                    </a:xfrm>
                    <a:prstGeom prst="rect">
                      <a:avLst/>
                    </a:prstGeom>
                    <a:noFill/>
                    <a:ln w="6350">
                      <a:solidFill>
                        <a:schemeClr val="tx1"/>
                      </a:solidFill>
                    </a:ln>
                  </pic:spPr>
                </pic:pic>
              </a:graphicData>
            </a:graphic>
          </wp:inline>
        </w:drawing>
      </w:r>
    </w:p>
    <w:p w14:paraId="37AAA887" w14:textId="7EDEFFC3" w:rsidR="00AB612A" w:rsidRDefault="00AB612A" w:rsidP="00AB612A">
      <w:pPr>
        <w:pStyle w:val="Caption"/>
      </w:pPr>
      <w:r>
        <w:t xml:space="preserve">Map </w:t>
      </w:r>
      <w:r w:rsidR="00B918A6">
        <w:fldChar w:fldCharType="begin"/>
      </w:r>
      <w:r w:rsidR="00B918A6">
        <w:instrText xml:space="preserve"> SEQ Map \* ARABIC </w:instrText>
      </w:r>
      <w:r w:rsidR="00B918A6">
        <w:fldChar w:fldCharType="separate"/>
      </w:r>
      <w:r w:rsidR="0067023A">
        <w:rPr>
          <w:noProof/>
        </w:rPr>
        <w:t>16</w:t>
      </w:r>
      <w:r w:rsidR="00B918A6">
        <w:rPr>
          <w:noProof/>
        </w:rPr>
        <w:fldChar w:fldCharType="end"/>
      </w:r>
      <w:r>
        <w:t>: Planned Water Projects (2018/19)</w:t>
      </w:r>
    </w:p>
    <w:p w14:paraId="3E3A25D4" w14:textId="77777777" w:rsidR="00AF5D50" w:rsidRDefault="00AF5D50" w:rsidP="00AF5D50"/>
    <w:p w14:paraId="57C9FB79" w14:textId="46B631AF" w:rsidR="00AF5D50" w:rsidRDefault="005F5762" w:rsidP="00AF5D50">
      <w:r w:rsidRPr="005F5762">
        <w:rPr>
          <w:noProof/>
        </w:rPr>
        <w:lastRenderedPageBreak/>
        <w:drawing>
          <wp:inline distT="0" distB="0" distL="0" distR="0" wp14:anchorId="56A788D3" wp14:editId="68D3B044">
            <wp:extent cx="6120765" cy="4322143"/>
            <wp:effectExtent l="19050" t="19050" r="13335" b="21590"/>
            <wp:docPr id="32" name="Picture 32" descr="C:\Users\Siphephelok.UMLALAZI\AppData\Local\Microsoft\Windows\INetCache\Content.Outlook\UPKRF661\IDP_Planned_Sanitation 18_19_Umlalazi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Siphephelok.UMLALAZI\AppData\Local\Microsoft\Windows\INetCache\Content.Outlook\UPKRF661\IDP_Planned_Sanitation 18_19_Umlalazi (2).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0765" cy="4322143"/>
                    </a:xfrm>
                    <a:prstGeom prst="rect">
                      <a:avLst/>
                    </a:prstGeom>
                    <a:noFill/>
                    <a:ln w="6350">
                      <a:solidFill>
                        <a:schemeClr val="tx1"/>
                      </a:solidFill>
                    </a:ln>
                  </pic:spPr>
                </pic:pic>
              </a:graphicData>
            </a:graphic>
          </wp:inline>
        </w:drawing>
      </w:r>
    </w:p>
    <w:p w14:paraId="7AC13967" w14:textId="6E2159D7" w:rsidR="00AF5D50" w:rsidRDefault="005F5762" w:rsidP="005F5762">
      <w:pPr>
        <w:pStyle w:val="Caption"/>
      </w:pPr>
      <w:r>
        <w:t xml:space="preserve">Map </w:t>
      </w:r>
      <w:r w:rsidR="00B918A6">
        <w:fldChar w:fldCharType="begin"/>
      </w:r>
      <w:r w:rsidR="00B918A6">
        <w:instrText xml:space="preserve"> SEQ Map \* ARABIC </w:instrText>
      </w:r>
      <w:r w:rsidR="00B918A6">
        <w:fldChar w:fldCharType="separate"/>
      </w:r>
      <w:r w:rsidR="0067023A">
        <w:rPr>
          <w:noProof/>
        </w:rPr>
        <w:t>17</w:t>
      </w:r>
      <w:r w:rsidR="00B918A6">
        <w:rPr>
          <w:noProof/>
        </w:rPr>
        <w:fldChar w:fldCharType="end"/>
      </w:r>
      <w:r>
        <w:t>: Planned Sanitation Projects (2018/19)</w:t>
      </w:r>
    </w:p>
    <w:p w14:paraId="61C42C90" w14:textId="77777777" w:rsidR="00AF5D50" w:rsidRDefault="00AF5D50" w:rsidP="00AF5D50"/>
    <w:p w14:paraId="49E2CEB9" w14:textId="6393399F" w:rsidR="0037082E" w:rsidRPr="00AC3959" w:rsidRDefault="004D7441" w:rsidP="00750180">
      <w:pPr>
        <w:pStyle w:val="Heading3"/>
        <w:numPr>
          <w:ilvl w:val="2"/>
          <w:numId w:val="29"/>
        </w:numPr>
      </w:pPr>
      <w:bookmarkStart w:id="286" w:name="_Toc510706620"/>
      <w:r w:rsidRPr="00AC3959">
        <w:t>SOLID WASTE MANAGEMENT</w:t>
      </w:r>
      <w:bookmarkEnd w:id="285"/>
      <w:bookmarkEnd w:id="286"/>
    </w:p>
    <w:p w14:paraId="1D215F62" w14:textId="77777777" w:rsidR="0017362C" w:rsidRPr="005007E8" w:rsidRDefault="00C6411B" w:rsidP="00B80E21">
      <w:pPr>
        <w:jc w:val="both"/>
        <w:rPr>
          <w:rFonts w:cs="Arial"/>
          <w:szCs w:val="20"/>
        </w:rPr>
      </w:pPr>
      <w:r>
        <w:rPr>
          <w:rFonts w:cs="Arial"/>
          <w:szCs w:val="20"/>
        </w:rPr>
        <w:t xml:space="preserve">The table below reflects on the recent statistics pertaining to </w:t>
      </w:r>
      <w:r w:rsidR="0017362C">
        <w:rPr>
          <w:rFonts w:cs="Arial"/>
          <w:szCs w:val="20"/>
        </w:rPr>
        <w:t>solid waste disposal:</w:t>
      </w:r>
      <w:bookmarkStart w:id="287" w:name="_Toc389739880"/>
    </w:p>
    <w:p w14:paraId="2454F3B7" w14:textId="77777777" w:rsidR="00EA2C12" w:rsidRPr="00E60068" w:rsidRDefault="00EA2C12" w:rsidP="002F62F0">
      <w:pPr>
        <w:pStyle w:val="Caption"/>
        <w:rPr>
          <w:rFonts w:cs="Arial"/>
        </w:rPr>
      </w:pPr>
      <w:bookmarkStart w:id="288" w:name="_Toc510622279"/>
      <w:r w:rsidRPr="00E60068">
        <w:t xml:space="preserve">Table </w:t>
      </w:r>
      <w:r w:rsidR="00D55BDA" w:rsidRPr="00E60068">
        <w:fldChar w:fldCharType="begin"/>
      </w:r>
      <w:r w:rsidRPr="00E60068">
        <w:instrText xml:space="preserve"> SEQ Table \* ARABIC </w:instrText>
      </w:r>
      <w:r w:rsidR="00D55BDA" w:rsidRPr="00E60068">
        <w:fldChar w:fldCharType="separate"/>
      </w:r>
      <w:r w:rsidR="0067023A">
        <w:rPr>
          <w:noProof/>
        </w:rPr>
        <w:t>29</w:t>
      </w:r>
      <w:r w:rsidR="00D55BDA" w:rsidRPr="00E60068">
        <w:fldChar w:fldCharType="end"/>
      </w:r>
      <w:r w:rsidRPr="00E60068">
        <w:t xml:space="preserve">: Solid Waste Disposal – </w:t>
      </w:r>
      <w:bookmarkEnd w:id="287"/>
      <w:r w:rsidR="00B942A5">
        <w:t>(CS 2016)</w:t>
      </w:r>
      <w:bookmarkEnd w:id="288"/>
    </w:p>
    <w:tbl>
      <w:tblPr>
        <w:tblW w:w="0" w:type="auto"/>
        <w:tblLook w:val="04A0" w:firstRow="1" w:lastRow="0" w:firstColumn="1" w:lastColumn="0" w:noHBand="0" w:noVBand="1"/>
      </w:tblPr>
      <w:tblGrid>
        <w:gridCol w:w="1480"/>
        <w:gridCol w:w="6203"/>
        <w:gridCol w:w="1053"/>
        <w:gridCol w:w="714"/>
      </w:tblGrid>
      <w:tr w:rsidR="00C6411B" w:rsidRPr="00C6411B" w14:paraId="473CF63C" w14:textId="77777777" w:rsidTr="00C6411B">
        <w:trPr>
          <w:trHeight w:val="63"/>
        </w:trPr>
        <w:tc>
          <w:tcPr>
            <w:tcW w:w="0" w:type="auto"/>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6A168766" w14:textId="77777777" w:rsidR="00C6411B" w:rsidRPr="00C6411B" w:rsidRDefault="00C6411B" w:rsidP="00C6411B">
            <w:pPr>
              <w:spacing w:after="0" w:line="240" w:lineRule="auto"/>
              <w:jc w:val="both"/>
              <w:rPr>
                <w:rFonts w:cs="Times New Roman"/>
                <w:b/>
                <w:color w:val="FFFF00"/>
                <w:szCs w:val="20"/>
              </w:rPr>
            </w:pPr>
            <w:r w:rsidRPr="00C6411B">
              <w:rPr>
                <w:rFonts w:cs="Times New Roman"/>
                <w:b/>
                <w:color w:val="FFFF00"/>
                <w:szCs w:val="20"/>
              </w:rPr>
              <w:t>INDICATOR</w:t>
            </w:r>
          </w:p>
        </w:tc>
        <w:tc>
          <w:tcPr>
            <w:tcW w:w="0" w:type="auto"/>
            <w:tcBorders>
              <w:top w:val="single" w:sz="4" w:space="0" w:color="auto"/>
              <w:left w:val="nil"/>
              <w:bottom w:val="single" w:sz="4" w:space="0" w:color="auto"/>
              <w:right w:val="single" w:sz="4" w:space="0" w:color="auto"/>
            </w:tcBorders>
            <w:shd w:val="clear" w:color="auto" w:fill="000000" w:themeFill="text1"/>
            <w:noWrap/>
            <w:vAlign w:val="bottom"/>
          </w:tcPr>
          <w:p w14:paraId="7D553EAD" w14:textId="77777777" w:rsidR="00C6411B" w:rsidRPr="00C6411B" w:rsidRDefault="00C6411B" w:rsidP="00C6411B">
            <w:pPr>
              <w:spacing w:after="0" w:line="240" w:lineRule="auto"/>
              <w:jc w:val="both"/>
              <w:rPr>
                <w:rFonts w:cs="Times New Roman"/>
                <w:b/>
                <w:color w:val="FFFF00"/>
                <w:szCs w:val="20"/>
              </w:rPr>
            </w:pPr>
            <w:r w:rsidRPr="00C6411B">
              <w:rPr>
                <w:rFonts w:cs="Times New Roman"/>
                <w:b/>
                <w:color w:val="FFFF00"/>
                <w:szCs w:val="20"/>
              </w:rPr>
              <w:t>TYPES OF SOLID WASTE DISPOSAL</w:t>
            </w:r>
          </w:p>
        </w:tc>
        <w:tc>
          <w:tcPr>
            <w:tcW w:w="0" w:type="auto"/>
            <w:tcBorders>
              <w:top w:val="single" w:sz="4" w:space="0" w:color="auto"/>
              <w:left w:val="nil"/>
              <w:bottom w:val="single" w:sz="4" w:space="0" w:color="auto"/>
              <w:right w:val="single" w:sz="4" w:space="0" w:color="auto"/>
            </w:tcBorders>
            <w:shd w:val="clear" w:color="auto" w:fill="000000" w:themeFill="text1"/>
            <w:noWrap/>
            <w:vAlign w:val="bottom"/>
          </w:tcPr>
          <w:p w14:paraId="4A525EE5" w14:textId="77777777" w:rsidR="00C6411B" w:rsidRPr="00C6411B" w:rsidRDefault="00C6411B" w:rsidP="00C6411B">
            <w:pPr>
              <w:spacing w:after="0" w:line="240" w:lineRule="auto"/>
              <w:jc w:val="both"/>
              <w:rPr>
                <w:rFonts w:cs="Times New Roman"/>
                <w:b/>
                <w:color w:val="FFFF00"/>
                <w:szCs w:val="20"/>
              </w:rPr>
            </w:pPr>
            <w:r w:rsidRPr="00C6411B">
              <w:rPr>
                <w:rFonts w:cs="Times New Roman"/>
                <w:b/>
                <w:color w:val="FFFF00"/>
                <w:szCs w:val="20"/>
              </w:rPr>
              <w:t>NO OF HH</w:t>
            </w:r>
          </w:p>
        </w:tc>
        <w:tc>
          <w:tcPr>
            <w:tcW w:w="0" w:type="auto"/>
            <w:tcBorders>
              <w:top w:val="single" w:sz="4" w:space="0" w:color="auto"/>
              <w:left w:val="nil"/>
              <w:bottom w:val="single" w:sz="4" w:space="0" w:color="auto"/>
              <w:right w:val="single" w:sz="4" w:space="0" w:color="auto"/>
            </w:tcBorders>
            <w:shd w:val="clear" w:color="auto" w:fill="000000" w:themeFill="text1"/>
            <w:noWrap/>
            <w:vAlign w:val="bottom"/>
          </w:tcPr>
          <w:p w14:paraId="550F4E55" w14:textId="77777777" w:rsidR="00C6411B" w:rsidRPr="00C6411B" w:rsidRDefault="00C6411B" w:rsidP="00C6411B">
            <w:pPr>
              <w:spacing w:after="0" w:line="240" w:lineRule="auto"/>
              <w:jc w:val="both"/>
              <w:rPr>
                <w:rFonts w:cs="Times New Roman"/>
                <w:b/>
                <w:color w:val="FFFF00"/>
                <w:szCs w:val="20"/>
              </w:rPr>
            </w:pPr>
            <w:r w:rsidRPr="00C6411B">
              <w:rPr>
                <w:rFonts w:cs="Times New Roman"/>
                <w:b/>
                <w:color w:val="FFFF00"/>
                <w:szCs w:val="20"/>
              </w:rPr>
              <w:t>(%)</w:t>
            </w:r>
          </w:p>
        </w:tc>
      </w:tr>
      <w:tr w:rsidR="00C6411B" w:rsidRPr="00C6411B" w14:paraId="16656C78" w14:textId="77777777" w:rsidTr="00C6411B">
        <w:trPr>
          <w:trHeight w:val="33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BF3018" w14:textId="77777777" w:rsidR="00C6411B" w:rsidRPr="00C6411B" w:rsidRDefault="00C6411B" w:rsidP="00C6411B">
            <w:pPr>
              <w:spacing w:after="0" w:line="240" w:lineRule="auto"/>
              <w:rPr>
                <w:rFonts w:cs="Arial"/>
                <w:szCs w:val="20"/>
              </w:rPr>
            </w:pPr>
            <w:r w:rsidRPr="00C6411B">
              <w:rPr>
                <w:rFonts w:cs="Arial"/>
                <w:szCs w:val="20"/>
              </w:rPr>
              <w:t>Refuse removal</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9A4C975" w14:textId="77777777" w:rsidR="00C6411B" w:rsidRPr="00C6411B" w:rsidRDefault="00C6411B" w:rsidP="00C6411B">
            <w:pPr>
              <w:spacing w:after="0" w:line="240" w:lineRule="auto"/>
              <w:rPr>
                <w:rFonts w:cs="Arial"/>
                <w:szCs w:val="20"/>
              </w:rPr>
            </w:pPr>
            <w:r w:rsidRPr="00C6411B">
              <w:rPr>
                <w:rFonts w:cs="Arial"/>
                <w:szCs w:val="20"/>
              </w:rPr>
              <w:t>Local authority/Private/community members at least once a week</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1D164F2" w14:textId="77777777" w:rsidR="00C6411B" w:rsidRPr="00C6411B" w:rsidRDefault="00C6411B" w:rsidP="00C6411B">
            <w:pPr>
              <w:spacing w:after="0" w:line="240" w:lineRule="auto"/>
              <w:jc w:val="center"/>
              <w:rPr>
                <w:rFonts w:cs="Arial"/>
                <w:szCs w:val="20"/>
              </w:rPr>
            </w:pPr>
            <w:r w:rsidRPr="00C6411B">
              <w:rPr>
                <w:rFonts w:cs="Arial"/>
                <w:szCs w:val="20"/>
              </w:rPr>
              <w:t>6 220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91A70C7" w14:textId="77777777" w:rsidR="00C6411B" w:rsidRPr="00C6411B" w:rsidRDefault="00C6411B" w:rsidP="00C6411B">
            <w:pPr>
              <w:spacing w:after="0" w:line="240" w:lineRule="auto"/>
              <w:jc w:val="center"/>
              <w:rPr>
                <w:rFonts w:cs="Arial"/>
                <w:szCs w:val="20"/>
              </w:rPr>
            </w:pPr>
            <w:r w:rsidRPr="00C6411B">
              <w:rPr>
                <w:rFonts w:cs="Arial"/>
                <w:szCs w:val="20"/>
              </w:rPr>
              <w:t>13.2%</w:t>
            </w:r>
          </w:p>
        </w:tc>
      </w:tr>
      <w:tr w:rsidR="00C6411B" w:rsidRPr="00C6411B" w14:paraId="710C3215" w14:textId="77777777" w:rsidTr="00C6411B">
        <w:trPr>
          <w:trHeight w:val="33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FEF9D4" w14:textId="77777777" w:rsidR="00C6411B" w:rsidRPr="00C6411B" w:rsidRDefault="00C6411B" w:rsidP="00C6411B">
            <w:pPr>
              <w:spacing w:after="0" w:line="240" w:lineRule="auto"/>
              <w:rPr>
                <w:rFonts w:cs="Arial"/>
                <w:szCs w:val="20"/>
              </w:rPr>
            </w:pPr>
          </w:p>
        </w:tc>
        <w:tc>
          <w:tcPr>
            <w:tcW w:w="0" w:type="auto"/>
            <w:tcBorders>
              <w:top w:val="nil"/>
              <w:left w:val="nil"/>
              <w:bottom w:val="single" w:sz="4" w:space="0" w:color="auto"/>
              <w:right w:val="single" w:sz="4" w:space="0" w:color="auto"/>
            </w:tcBorders>
            <w:shd w:val="clear" w:color="auto" w:fill="auto"/>
            <w:noWrap/>
            <w:vAlign w:val="bottom"/>
            <w:hideMark/>
          </w:tcPr>
          <w:p w14:paraId="0FC329BD" w14:textId="77777777" w:rsidR="00C6411B" w:rsidRPr="00C6411B" w:rsidRDefault="00C6411B" w:rsidP="00C6411B">
            <w:pPr>
              <w:spacing w:after="0" w:line="240" w:lineRule="auto"/>
              <w:rPr>
                <w:rFonts w:cs="Arial"/>
                <w:szCs w:val="20"/>
              </w:rPr>
            </w:pPr>
            <w:r w:rsidRPr="00C6411B">
              <w:rPr>
                <w:rFonts w:cs="Arial"/>
                <w:szCs w:val="20"/>
              </w:rPr>
              <w:t>Local authority/Private/community members less often than once a week</w:t>
            </w:r>
          </w:p>
        </w:tc>
        <w:tc>
          <w:tcPr>
            <w:tcW w:w="0" w:type="auto"/>
            <w:tcBorders>
              <w:top w:val="nil"/>
              <w:left w:val="nil"/>
              <w:bottom w:val="single" w:sz="4" w:space="0" w:color="auto"/>
              <w:right w:val="single" w:sz="4" w:space="0" w:color="auto"/>
            </w:tcBorders>
            <w:shd w:val="clear" w:color="auto" w:fill="auto"/>
            <w:noWrap/>
            <w:vAlign w:val="bottom"/>
            <w:hideMark/>
          </w:tcPr>
          <w:p w14:paraId="4D24E478" w14:textId="77777777" w:rsidR="00C6411B" w:rsidRPr="00C6411B" w:rsidRDefault="00C6411B" w:rsidP="00C6411B">
            <w:pPr>
              <w:spacing w:after="0" w:line="240" w:lineRule="auto"/>
              <w:jc w:val="center"/>
              <w:rPr>
                <w:rFonts w:cs="Arial"/>
                <w:szCs w:val="20"/>
              </w:rPr>
            </w:pPr>
            <w:r w:rsidRPr="00C6411B">
              <w:rPr>
                <w:rFonts w:cs="Arial"/>
                <w:szCs w:val="20"/>
              </w:rPr>
              <w:t>2 471</w:t>
            </w:r>
          </w:p>
        </w:tc>
        <w:tc>
          <w:tcPr>
            <w:tcW w:w="0" w:type="auto"/>
            <w:tcBorders>
              <w:top w:val="nil"/>
              <w:left w:val="nil"/>
              <w:bottom w:val="single" w:sz="4" w:space="0" w:color="auto"/>
              <w:right w:val="single" w:sz="4" w:space="0" w:color="auto"/>
            </w:tcBorders>
            <w:shd w:val="clear" w:color="auto" w:fill="auto"/>
            <w:noWrap/>
            <w:vAlign w:val="bottom"/>
            <w:hideMark/>
          </w:tcPr>
          <w:p w14:paraId="1B5D9AE6" w14:textId="77777777" w:rsidR="00C6411B" w:rsidRPr="00C6411B" w:rsidRDefault="00C6411B" w:rsidP="00C6411B">
            <w:pPr>
              <w:spacing w:after="0" w:line="240" w:lineRule="auto"/>
              <w:jc w:val="center"/>
              <w:rPr>
                <w:rFonts w:cs="Arial"/>
                <w:szCs w:val="20"/>
              </w:rPr>
            </w:pPr>
            <w:r w:rsidRPr="00C6411B">
              <w:rPr>
                <w:rFonts w:cs="Arial"/>
                <w:szCs w:val="20"/>
              </w:rPr>
              <w:t>5.3%</w:t>
            </w:r>
          </w:p>
        </w:tc>
      </w:tr>
      <w:tr w:rsidR="00C6411B" w:rsidRPr="00C6411B" w14:paraId="1826E05E" w14:textId="77777777" w:rsidTr="00C6411B">
        <w:trPr>
          <w:trHeight w:val="33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EA493C" w14:textId="77777777" w:rsidR="00C6411B" w:rsidRPr="00C6411B" w:rsidRDefault="00C6411B" w:rsidP="00C6411B">
            <w:pPr>
              <w:spacing w:after="0" w:line="240" w:lineRule="auto"/>
              <w:rPr>
                <w:rFonts w:cs="Arial"/>
                <w:szCs w:val="20"/>
              </w:rPr>
            </w:pPr>
          </w:p>
        </w:tc>
        <w:tc>
          <w:tcPr>
            <w:tcW w:w="0" w:type="auto"/>
            <w:tcBorders>
              <w:top w:val="nil"/>
              <w:left w:val="nil"/>
              <w:bottom w:val="single" w:sz="4" w:space="0" w:color="auto"/>
              <w:right w:val="single" w:sz="4" w:space="0" w:color="auto"/>
            </w:tcBorders>
            <w:shd w:val="clear" w:color="auto" w:fill="auto"/>
            <w:noWrap/>
            <w:vAlign w:val="bottom"/>
            <w:hideMark/>
          </w:tcPr>
          <w:p w14:paraId="66087B81" w14:textId="77777777" w:rsidR="00C6411B" w:rsidRPr="00C6411B" w:rsidRDefault="00C6411B" w:rsidP="00C6411B">
            <w:pPr>
              <w:spacing w:after="0" w:line="240" w:lineRule="auto"/>
              <w:rPr>
                <w:rFonts w:cs="Arial"/>
                <w:szCs w:val="20"/>
              </w:rPr>
            </w:pPr>
            <w:r w:rsidRPr="00C6411B">
              <w:rPr>
                <w:rFonts w:cs="Arial"/>
                <w:szCs w:val="20"/>
              </w:rPr>
              <w:t>Communal refuse dump</w:t>
            </w:r>
          </w:p>
        </w:tc>
        <w:tc>
          <w:tcPr>
            <w:tcW w:w="0" w:type="auto"/>
            <w:tcBorders>
              <w:top w:val="nil"/>
              <w:left w:val="nil"/>
              <w:bottom w:val="single" w:sz="4" w:space="0" w:color="auto"/>
              <w:right w:val="single" w:sz="4" w:space="0" w:color="auto"/>
            </w:tcBorders>
            <w:shd w:val="clear" w:color="auto" w:fill="auto"/>
            <w:noWrap/>
            <w:vAlign w:val="bottom"/>
            <w:hideMark/>
          </w:tcPr>
          <w:p w14:paraId="6E76F5AD" w14:textId="77777777" w:rsidR="00C6411B" w:rsidRPr="00C6411B" w:rsidRDefault="00C6411B" w:rsidP="00C6411B">
            <w:pPr>
              <w:spacing w:after="0" w:line="240" w:lineRule="auto"/>
              <w:jc w:val="center"/>
              <w:rPr>
                <w:rFonts w:cs="Arial"/>
                <w:szCs w:val="20"/>
              </w:rPr>
            </w:pPr>
            <w:r w:rsidRPr="00C6411B">
              <w:rPr>
                <w:rFonts w:cs="Arial"/>
                <w:szCs w:val="20"/>
              </w:rPr>
              <w:t>1 863</w:t>
            </w:r>
          </w:p>
        </w:tc>
        <w:tc>
          <w:tcPr>
            <w:tcW w:w="0" w:type="auto"/>
            <w:tcBorders>
              <w:top w:val="nil"/>
              <w:left w:val="nil"/>
              <w:bottom w:val="single" w:sz="4" w:space="0" w:color="auto"/>
              <w:right w:val="single" w:sz="4" w:space="0" w:color="auto"/>
            </w:tcBorders>
            <w:shd w:val="clear" w:color="auto" w:fill="auto"/>
            <w:noWrap/>
            <w:vAlign w:val="bottom"/>
            <w:hideMark/>
          </w:tcPr>
          <w:p w14:paraId="64BBEAAD" w14:textId="77777777" w:rsidR="00C6411B" w:rsidRPr="00C6411B" w:rsidRDefault="00C6411B" w:rsidP="00C6411B">
            <w:pPr>
              <w:spacing w:after="0" w:line="240" w:lineRule="auto"/>
              <w:jc w:val="center"/>
              <w:rPr>
                <w:rFonts w:cs="Arial"/>
                <w:szCs w:val="20"/>
              </w:rPr>
            </w:pPr>
            <w:r w:rsidRPr="00C6411B">
              <w:rPr>
                <w:rFonts w:cs="Arial"/>
                <w:szCs w:val="20"/>
              </w:rPr>
              <w:t>4.0%</w:t>
            </w:r>
          </w:p>
        </w:tc>
      </w:tr>
      <w:tr w:rsidR="00C6411B" w:rsidRPr="00C6411B" w14:paraId="2A7F9661" w14:textId="77777777" w:rsidTr="00C6411B">
        <w:trPr>
          <w:trHeight w:val="33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A30BF" w14:textId="77777777" w:rsidR="00C6411B" w:rsidRPr="00C6411B" w:rsidRDefault="00C6411B" w:rsidP="00C6411B">
            <w:pPr>
              <w:spacing w:after="0" w:line="240" w:lineRule="auto"/>
              <w:rPr>
                <w:rFonts w:cs="Arial"/>
                <w:szCs w:val="20"/>
              </w:rPr>
            </w:pPr>
          </w:p>
        </w:tc>
        <w:tc>
          <w:tcPr>
            <w:tcW w:w="0" w:type="auto"/>
            <w:tcBorders>
              <w:top w:val="nil"/>
              <w:left w:val="nil"/>
              <w:bottom w:val="single" w:sz="4" w:space="0" w:color="auto"/>
              <w:right w:val="single" w:sz="4" w:space="0" w:color="auto"/>
            </w:tcBorders>
            <w:shd w:val="clear" w:color="auto" w:fill="auto"/>
            <w:noWrap/>
            <w:vAlign w:val="bottom"/>
            <w:hideMark/>
          </w:tcPr>
          <w:p w14:paraId="38ACC483" w14:textId="77777777" w:rsidR="00C6411B" w:rsidRPr="00C6411B" w:rsidRDefault="00C6411B" w:rsidP="00C6411B">
            <w:pPr>
              <w:spacing w:after="0" w:line="240" w:lineRule="auto"/>
              <w:rPr>
                <w:rFonts w:cs="Arial"/>
                <w:szCs w:val="20"/>
              </w:rPr>
            </w:pPr>
            <w:r w:rsidRPr="00C6411B">
              <w:rPr>
                <w:rFonts w:cs="Arial"/>
                <w:szCs w:val="20"/>
              </w:rPr>
              <w:t>Own refuse dump</w:t>
            </w:r>
          </w:p>
        </w:tc>
        <w:tc>
          <w:tcPr>
            <w:tcW w:w="0" w:type="auto"/>
            <w:tcBorders>
              <w:top w:val="nil"/>
              <w:left w:val="nil"/>
              <w:bottom w:val="single" w:sz="4" w:space="0" w:color="auto"/>
              <w:right w:val="single" w:sz="4" w:space="0" w:color="auto"/>
            </w:tcBorders>
            <w:shd w:val="clear" w:color="auto" w:fill="auto"/>
            <w:noWrap/>
            <w:vAlign w:val="bottom"/>
            <w:hideMark/>
          </w:tcPr>
          <w:p w14:paraId="56FBA71C" w14:textId="77777777" w:rsidR="00C6411B" w:rsidRPr="00C6411B" w:rsidRDefault="00C6411B" w:rsidP="00C6411B">
            <w:pPr>
              <w:spacing w:after="0" w:line="240" w:lineRule="auto"/>
              <w:jc w:val="center"/>
              <w:rPr>
                <w:rFonts w:cs="Arial"/>
                <w:szCs w:val="20"/>
              </w:rPr>
            </w:pPr>
            <w:r w:rsidRPr="00C6411B">
              <w:rPr>
                <w:rFonts w:cs="Arial"/>
                <w:szCs w:val="20"/>
              </w:rPr>
              <w:t>32 233</w:t>
            </w:r>
          </w:p>
        </w:tc>
        <w:tc>
          <w:tcPr>
            <w:tcW w:w="0" w:type="auto"/>
            <w:tcBorders>
              <w:top w:val="nil"/>
              <w:left w:val="nil"/>
              <w:bottom w:val="single" w:sz="4" w:space="0" w:color="auto"/>
              <w:right w:val="single" w:sz="4" w:space="0" w:color="auto"/>
            </w:tcBorders>
            <w:shd w:val="clear" w:color="auto" w:fill="auto"/>
            <w:noWrap/>
            <w:vAlign w:val="bottom"/>
            <w:hideMark/>
          </w:tcPr>
          <w:p w14:paraId="0F46CEFE" w14:textId="77777777" w:rsidR="00C6411B" w:rsidRPr="00C6411B" w:rsidRDefault="00C6411B" w:rsidP="00C6411B">
            <w:pPr>
              <w:spacing w:after="0" w:line="240" w:lineRule="auto"/>
              <w:jc w:val="center"/>
              <w:rPr>
                <w:rFonts w:cs="Arial"/>
                <w:szCs w:val="20"/>
              </w:rPr>
            </w:pPr>
            <w:r w:rsidRPr="00C6411B">
              <w:rPr>
                <w:rFonts w:cs="Arial"/>
                <w:szCs w:val="20"/>
              </w:rPr>
              <w:t>68.6%</w:t>
            </w:r>
          </w:p>
        </w:tc>
      </w:tr>
      <w:tr w:rsidR="00C6411B" w:rsidRPr="00C6411B" w14:paraId="70EF68E8" w14:textId="77777777" w:rsidTr="00C6411B">
        <w:trPr>
          <w:trHeight w:val="33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B8D23D" w14:textId="77777777" w:rsidR="00C6411B" w:rsidRPr="00C6411B" w:rsidRDefault="00C6411B" w:rsidP="00C6411B">
            <w:pPr>
              <w:spacing w:after="0" w:line="240" w:lineRule="auto"/>
              <w:rPr>
                <w:rFonts w:cs="Arial"/>
                <w:szCs w:val="20"/>
              </w:rPr>
            </w:pPr>
          </w:p>
        </w:tc>
        <w:tc>
          <w:tcPr>
            <w:tcW w:w="0" w:type="auto"/>
            <w:tcBorders>
              <w:top w:val="nil"/>
              <w:left w:val="nil"/>
              <w:bottom w:val="single" w:sz="4" w:space="0" w:color="auto"/>
              <w:right w:val="single" w:sz="4" w:space="0" w:color="auto"/>
            </w:tcBorders>
            <w:shd w:val="clear" w:color="auto" w:fill="auto"/>
            <w:noWrap/>
            <w:vAlign w:val="bottom"/>
            <w:hideMark/>
          </w:tcPr>
          <w:p w14:paraId="7C66678A" w14:textId="77777777" w:rsidR="00C6411B" w:rsidRPr="00C6411B" w:rsidRDefault="00C6411B" w:rsidP="00C6411B">
            <w:pPr>
              <w:spacing w:after="0" w:line="240" w:lineRule="auto"/>
              <w:rPr>
                <w:rFonts w:cs="Arial"/>
                <w:szCs w:val="20"/>
              </w:rPr>
            </w:pPr>
            <w:r w:rsidRPr="00C6411B">
              <w:rPr>
                <w:rFonts w:cs="Arial"/>
                <w:szCs w:val="20"/>
              </w:rPr>
              <w:t>Dump or leave rubbish anywhere (no rubbish disposal)</w:t>
            </w:r>
          </w:p>
        </w:tc>
        <w:tc>
          <w:tcPr>
            <w:tcW w:w="0" w:type="auto"/>
            <w:tcBorders>
              <w:top w:val="nil"/>
              <w:left w:val="nil"/>
              <w:bottom w:val="single" w:sz="4" w:space="0" w:color="auto"/>
              <w:right w:val="single" w:sz="4" w:space="0" w:color="auto"/>
            </w:tcBorders>
            <w:shd w:val="clear" w:color="auto" w:fill="auto"/>
            <w:noWrap/>
            <w:vAlign w:val="bottom"/>
            <w:hideMark/>
          </w:tcPr>
          <w:p w14:paraId="7F9F2339" w14:textId="77777777" w:rsidR="00C6411B" w:rsidRPr="00C6411B" w:rsidRDefault="00C6411B" w:rsidP="00C6411B">
            <w:pPr>
              <w:spacing w:after="0" w:line="240" w:lineRule="auto"/>
              <w:jc w:val="center"/>
              <w:rPr>
                <w:rFonts w:cs="Arial"/>
                <w:szCs w:val="20"/>
              </w:rPr>
            </w:pPr>
            <w:r w:rsidRPr="00C6411B">
              <w:rPr>
                <w:rFonts w:cs="Arial"/>
                <w:szCs w:val="20"/>
              </w:rPr>
              <w:t>4 100</w:t>
            </w:r>
          </w:p>
        </w:tc>
        <w:tc>
          <w:tcPr>
            <w:tcW w:w="0" w:type="auto"/>
            <w:tcBorders>
              <w:top w:val="nil"/>
              <w:left w:val="nil"/>
              <w:bottom w:val="single" w:sz="4" w:space="0" w:color="auto"/>
              <w:right w:val="single" w:sz="4" w:space="0" w:color="auto"/>
            </w:tcBorders>
            <w:shd w:val="clear" w:color="auto" w:fill="auto"/>
            <w:noWrap/>
            <w:vAlign w:val="bottom"/>
            <w:hideMark/>
          </w:tcPr>
          <w:p w14:paraId="171738EC" w14:textId="77777777" w:rsidR="00C6411B" w:rsidRPr="00C6411B" w:rsidRDefault="00C6411B" w:rsidP="00C6411B">
            <w:pPr>
              <w:spacing w:after="0" w:line="240" w:lineRule="auto"/>
              <w:jc w:val="center"/>
              <w:rPr>
                <w:rFonts w:cs="Arial"/>
                <w:szCs w:val="20"/>
              </w:rPr>
            </w:pPr>
            <w:r w:rsidRPr="00C6411B">
              <w:rPr>
                <w:rFonts w:cs="Arial"/>
                <w:szCs w:val="20"/>
              </w:rPr>
              <w:t>8.7%</w:t>
            </w:r>
          </w:p>
        </w:tc>
      </w:tr>
      <w:tr w:rsidR="00C6411B" w:rsidRPr="00C6411B" w14:paraId="59F798C6" w14:textId="77777777" w:rsidTr="00C6411B">
        <w:trPr>
          <w:trHeight w:val="33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988ECF" w14:textId="77777777" w:rsidR="00C6411B" w:rsidRPr="00C6411B" w:rsidRDefault="00C6411B" w:rsidP="00C6411B">
            <w:pPr>
              <w:spacing w:after="0" w:line="240" w:lineRule="auto"/>
              <w:rPr>
                <w:rFonts w:cs="Arial"/>
                <w:szCs w:val="20"/>
              </w:rPr>
            </w:pPr>
          </w:p>
        </w:tc>
        <w:tc>
          <w:tcPr>
            <w:tcW w:w="0" w:type="auto"/>
            <w:tcBorders>
              <w:top w:val="nil"/>
              <w:left w:val="nil"/>
              <w:bottom w:val="single" w:sz="4" w:space="0" w:color="auto"/>
              <w:right w:val="single" w:sz="4" w:space="0" w:color="auto"/>
            </w:tcBorders>
            <w:shd w:val="clear" w:color="auto" w:fill="auto"/>
            <w:noWrap/>
            <w:vAlign w:val="bottom"/>
            <w:hideMark/>
          </w:tcPr>
          <w:p w14:paraId="16AB5EDD" w14:textId="77777777" w:rsidR="00C6411B" w:rsidRPr="00C6411B" w:rsidRDefault="00C6411B" w:rsidP="00C6411B">
            <w:pPr>
              <w:spacing w:after="0" w:line="240" w:lineRule="auto"/>
              <w:rPr>
                <w:rFonts w:cs="Arial"/>
                <w:szCs w:val="20"/>
              </w:rPr>
            </w:pPr>
            <w:r w:rsidRPr="00C6411B">
              <w:rPr>
                <w:rFonts w:cs="Arial"/>
                <w:szCs w:val="20"/>
              </w:rPr>
              <w:t>Other</w:t>
            </w:r>
          </w:p>
        </w:tc>
        <w:tc>
          <w:tcPr>
            <w:tcW w:w="0" w:type="auto"/>
            <w:tcBorders>
              <w:top w:val="nil"/>
              <w:left w:val="nil"/>
              <w:bottom w:val="single" w:sz="4" w:space="0" w:color="auto"/>
              <w:right w:val="single" w:sz="4" w:space="0" w:color="auto"/>
            </w:tcBorders>
            <w:shd w:val="clear" w:color="auto" w:fill="auto"/>
            <w:noWrap/>
            <w:vAlign w:val="bottom"/>
            <w:hideMark/>
          </w:tcPr>
          <w:p w14:paraId="4762F896" w14:textId="77777777" w:rsidR="00C6411B" w:rsidRPr="00C6411B" w:rsidRDefault="00C6411B" w:rsidP="00C6411B">
            <w:pPr>
              <w:spacing w:after="0" w:line="240" w:lineRule="auto"/>
              <w:jc w:val="center"/>
              <w:rPr>
                <w:rFonts w:cs="Arial"/>
                <w:szCs w:val="20"/>
              </w:rPr>
            </w:pPr>
            <w:r w:rsidRPr="00C6411B">
              <w:rPr>
                <w:rFonts w:cs="Arial"/>
                <w:szCs w:val="20"/>
              </w:rPr>
              <w:t>66</w:t>
            </w:r>
          </w:p>
        </w:tc>
        <w:tc>
          <w:tcPr>
            <w:tcW w:w="0" w:type="auto"/>
            <w:tcBorders>
              <w:top w:val="nil"/>
              <w:left w:val="nil"/>
              <w:bottom w:val="single" w:sz="4" w:space="0" w:color="auto"/>
              <w:right w:val="single" w:sz="4" w:space="0" w:color="auto"/>
            </w:tcBorders>
            <w:shd w:val="clear" w:color="auto" w:fill="auto"/>
            <w:noWrap/>
            <w:vAlign w:val="bottom"/>
            <w:hideMark/>
          </w:tcPr>
          <w:p w14:paraId="3AE76417" w14:textId="77777777" w:rsidR="00C6411B" w:rsidRPr="00C6411B" w:rsidRDefault="00C6411B" w:rsidP="00C6411B">
            <w:pPr>
              <w:spacing w:after="0" w:line="240" w:lineRule="auto"/>
              <w:jc w:val="center"/>
              <w:rPr>
                <w:rFonts w:cs="Arial"/>
                <w:szCs w:val="20"/>
              </w:rPr>
            </w:pPr>
            <w:r w:rsidRPr="00C6411B">
              <w:rPr>
                <w:rFonts w:cs="Arial"/>
                <w:szCs w:val="20"/>
              </w:rPr>
              <w:t>0.1%</w:t>
            </w:r>
          </w:p>
        </w:tc>
      </w:tr>
    </w:tbl>
    <w:p w14:paraId="0AACDCA5" w14:textId="77777777" w:rsidR="00EA2C12" w:rsidRPr="00E60068" w:rsidRDefault="00EA2C12" w:rsidP="00395313">
      <w:pPr>
        <w:spacing w:after="0"/>
        <w:jc w:val="both"/>
        <w:rPr>
          <w:rFonts w:cs="Arial"/>
          <w:szCs w:val="20"/>
        </w:rPr>
      </w:pPr>
    </w:p>
    <w:p w14:paraId="24994AF5" w14:textId="77777777" w:rsidR="0037082E" w:rsidRDefault="001272B0" w:rsidP="00395313">
      <w:pPr>
        <w:spacing w:line="288" w:lineRule="auto"/>
        <w:jc w:val="both"/>
        <w:rPr>
          <w:szCs w:val="20"/>
        </w:rPr>
      </w:pPr>
      <w:r w:rsidRPr="001272B0">
        <w:rPr>
          <w:szCs w:val="20"/>
        </w:rPr>
        <w:t>Betwe</w:t>
      </w:r>
      <w:r w:rsidR="00C6411B">
        <w:rPr>
          <w:szCs w:val="20"/>
        </w:rPr>
        <w:t>en 2011 and 2016</w:t>
      </w:r>
      <w:r w:rsidRPr="001272B0">
        <w:rPr>
          <w:szCs w:val="20"/>
        </w:rPr>
        <w:t xml:space="preserve"> there has been an increase in the number of households who had their refuse removed by the local Municipality.   However, there are still some</w:t>
      </w:r>
      <w:r w:rsidR="00C6411B">
        <w:rPr>
          <w:szCs w:val="20"/>
        </w:rPr>
        <w:t xml:space="preserve"> 4100</w:t>
      </w:r>
      <w:r w:rsidRPr="001272B0">
        <w:rPr>
          <w:szCs w:val="20"/>
        </w:rPr>
        <w:t xml:space="preserve"> households who had no</w:t>
      </w:r>
      <w:r w:rsidR="00C6411B">
        <w:rPr>
          <w:szCs w:val="20"/>
        </w:rPr>
        <w:t xml:space="preserve"> refuse disposal which is a major decline when compared to</w:t>
      </w:r>
      <w:r w:rsidR="00C6411B" w:rsidRPr="00C6411B">
        <w:rPr>
          <w:szCs w:val="20"/>
        </w:rPr>
        <w:t xml:space="preserve"> </w:t>
      </w:r>
      <w:r w:rsidR="00C6411B" w:rsidRPr="001272B0">
        <w:rPr>
          <w:szCs w:val="20"/>
        </w:rPr>
        <w:t>10,227</w:t>
      </w:r>
      <w:r w:rsidR="00C6411B">
        <w:rPr>
          <w:szCs w:val="20"/>
        </w:rPr>
        <w:t xml:space="preserve"> households in the 2011 statistics.</w:t>
      </w:r>
    </w:p>
    <w:p w14:paraId="27DD6881" w14:textId="77777777" w:rsidR="00C6411B" w:rsidRPr="00C6411B" w:rsidRDefault="001272B0" w:rsidP="00750180">
      <w:pPr>
        <w:pStyle w:val="Heading4"/>
        <w:numPr>
          <w:ilvl w:val="3"/>
          <w:numId w:val="29"/>
        </w:numPr>
        <w:spacing w:after="240"/>
      </w:pPr>
      <w:r w:rsidRPr="00E338F3">
        <w:t>Integra</w:t>
      </w:r>
      <w:r w:rsidR="00C6411B">
        <w:t xml:space="preserve">ted Waste Management Plan </w:t>
      </w:r>
      <w:r w:rsidR="00C6411B" w:rsidRPr="00C6411B">
        <w:rPr>
          <w:color w:val="FF0000"/>
        </w:rPr>
        <w:t>(UNDER REVIEW)</w:t>
      </w:r>
    </w:p>
    <w:p w14:paraId="73FEEBFC" w14:textId="4A46ABC0" w:rsidR="00B66223" w:rsidRDefault="00750917" w:rsidP="00395313">
      <w:pPr>
        <w:spacing w:line="288" w:lineRule="auto"/>
        <w:jc w:val="both"/>
        <w:rPr>
          <w:szCs w:val="20"/>
        </w:rPr>
      </w:pPr>
      <w:r>
        <w:rPr>
          <w:szCs w:val="20"/>
        </w:rPr>
        <w:t xml:space="preserve">The municipality has </w:t>
      </w:r>
      <w:r w:rsidR="00A52D8E">
        <w:rPr>
          <w:szCs w:val="20"/>
        </w:rPr>
        <w:t xml:space="preserve">the </w:t>
      </w:r>
      <w:r>
        <w:rPr>
          <w:szCs w:val="20"/>
        </w:rPr>
        <w:t xml:space="preserve">responsibility (in terms of the Powers and Functions) for waste collection. </w:t>
      </w:r>
      <w:r w:rsidR="00B66223">
        <w:rPr>
          <w:szCs w:val="20"/>
        </w:rPr>
        <w:t>As a requirement of the National Waste Act 59 of 2008, the uMlalazi Municipality developed the Integrated Waste Management Plan in November 2010. The purpose of this plan is to set out priorities and objectives for waste management; establish</w:t>
      </w:r>
      <w:r w:rsidR="00B022C5">
        <w:rPr>
          <w:szCs w:val="20"/>
        </w:rPr>
        <w:t xml:space="preserve"> mechanisms</w:t>
      </w:r>
      <w:r w:rsidR="00B66223">
        <w:rPr>
          <w:szCs w:val="20"/>
        </w:rPr>
        <w:t xml:space="preserve"> for collection, minimization; re-use and recycl</w:t>
      </w:r>
      <w:r w:rsidR="00B022C5">
        <w:rPr>
          <w:szCs w:val="20"/>
        </w:rPr>
        <w:t xml:space="preserve">ing and also provides for the management of landfill and </w:t>
      </w:r>
      <w:r w:rsidR="00B022C5">
        <w:rPr>
          <w:szCs w:val="20"/>
        </w:rPr>
        <w:lastRenderedPageBreak/>
        <w:t>transfer sites and the decommissioning thereof. It further indicates the financial resources required for effective waste management. As part of the IWMP, the municipality further developed Refuse Bylaws, which were promulgated in 2010. The Re</w:t>
      </w:r>
      <w:r w:rsidR="0050420D">
        <w:rPr>
          <w:szCs w:val="20"/>
        </w:rPr>
        <w:t>fuse B</w:t>
      </w:r>
      <w:r w:rsidR="00B022C5">
        <w:rPr>
          <w:szCs w:val="20"/>
        </w:rPr>
        <w:t>ylaw</w:t>
      </w:r>
      <w:r w:rsidR="0050420D">
        <w:rPr>
          <w:szCs w:val="20"/>
        </w:rPr>
        <w:t xml:space="preserve"> outlines guidelines on the disposal of various forms of waste, control of littering and illegal dumping.</w:t>
      </w:r>
      <w:r w:rsidR="00F929B6">
        <w:rPr>
          <w:szCs w:val="20"/>
        </w:rPr>
        <w:t xml:space="preserve"> Medical waste is generated within the municipality, but the responsibility of storage, collection and disposal or treatment </w:t>
      </w:r>
      <w:r w:rsidR="00703CE6">
        <w:rPr>
          <w:szCs w:val="20"/>
        </w:rPr>
        <w:t>does</w:t>
      </w:r>
      <w:r w:rsidR="00F929B6">
        <w:rPr>
          <w:szCs w:val="20"/>
        </w:rPr>
        <w:t xml:space="preserve"> not lie with the uMlalazi Municipality.</w:t>
      </w:r>
      <w:r w:rsidR="00ED03B5">
        <w:rPr>
          <w:szCs w:val="20"/>
        </w:rPr>
        <w:t xml:space="preserve"> The IWMP is implemented through following;</w:t>
      </w:r>
    </w:p>
    <w:p w14:paraId="15B01B8F" w14:textId="77777777" w:rsidR="00ED03B5" w:rsidRDefault="00ED03B5" w:rsidP="00750180">
      <w:pPr>
        <w:pStyle w:val="ListParagraph"/>
        <w:numPr>
          <w:ilvl w:val="0"/>
          <w:numId w:val="99"/>
        </w:numPr>
        <w:spacing w:line="288" w:lineRule="auto"/>
        <w:jc w:val="both"/>
        <w:rPr>
          <w:szCs w:val="20"/>
        </w:rPr>
      </w:pPr>
      <w:r>
        <w:rPr>
          <w:szCs w:val="20"/>
        </w:rPr>
        <w:t>Schedules and mechanisms for collection of waste</w:t>
      </w:r>
    </w:p>
    <w:p w14:paraId="201DFDEA" w14:textId="77777777" w:rsidR="00ED03B5" w:rsidRDefault="00ED03B5" w:rsidP="00750180">
      <w:pPr>
        <w:pStyle w:val="ListParagraph"/>
        <w:numPr>
          <w:ilvl w:val="0"/>
          <w:numId w:val="99"/>
        </w:numPr>
        <w:spacing w:line="288" w:lineRule="auto"/>
        <w:jc w:val="both"/>
        <w:rPr>
          <w:szCs w:val="20"/>
        </w:rPr>
      </w:pPr>
      <w:r>
        <w:rPr>
          <w:szCs w:val="20"/>
        </w:rPr>
        <w:t>Disposal of waste relative to its category</w:t>
      </w:r>
    </w:p>
    <w:p w14:paraId="39A2BFFE" w14:textId="77777777" w:rsidR="00ED03B5" w:rsidRDefault="00ED03B5" w:rsidP="00750180">
      <w:pPr>
        <w:pStyle w:val="ListParagraph"/>
        <w:numPr>
          <w:ilvl w:val="0"/>
          <w:numId w:val="99"/>
        </w:numPr>
        <w:spacing w:line="288" w:lineRule="auto"/>
        <w:jc w:val="both"/>
        <w:rPr>
          <w:szCs w:val="20"/>
        </w:rPr>
      </w:pPr>
      <w:r w:rsidRPr="00ED03B5">
        <w:rPr>
          <w:szCs w:val="20"/>
        </w:rPr>
        <w:t>Maintenance of disposal sites and transfer stations</w:t>
      </w:r>
    </w:p>
    <w:p w14:paraId="33AC3FC7" w14:textId="77777777" w:rsidR="00ED03B5" w:rsidRPr="00ED03B5" w:rsidRDefault="00ED03B5" w:rsidP="00ED03B5">
      <w:pPr>
        <w:pStyle w:val="ListParagraph"/>
        <w:spacing w:line="288" w:lineRule="auto"/>
        <w:jc w:val="both"/>
        <w:rPr>
          <w:szCs w:val="20"/>
        </w:rPr>
      </w:pPr>
    </w:p>
    <w:p w14:paraId="72177A39" w14:textId="77777777" w:rsidR="001272B0" w:rsidRPr="00176CEC" w:rsidRDefault="001272B0" w:rsidP="00750180">
      <w:pPr>
        <w:pStyle w:val="ListParagraph"/>
        <w:numPr>
          <w:ilvl w:val="3"/>
          <w:numId w:val="29"/>
        </w:numPr>
        <w:spacing w:line="288" w:lineRule="auto"/>
        <w:jc w:val="both"/>
        <w:rPr>
          <w:rFonts w:asciiTheme="minorHAnsi" w:eastAsiaTheme="majorEastAsia" w:hAnsiTheme="minorHAnsi" w:cstheme="majorBidi"/>
          <w:b/>
          <w:bCs/>
          <w:iCs/>
          <w:sz w:val="22"/>
        </w:rPr>
      </w:pPr>
      <w:r w:rsidRPr="00176CEC">
        <w:rPr>
          <w:rFonts w:asciiTheme="minorHAnsi" w:eastAsiaTheme="majorEastAsia" w:hAnsiTheme="minorHAnsi" w:cstheme="majorBidi"/>
          <w:b/>
          <w:bCs/>
          <w:iCs/>
          <w:sz w:val="22"/>
        </w:rPr>
        <w:t>Areas prioritized for waste collection</w:t>
      </w:r>
      <w:r w:rsidR="00C6411B" w:rsidRPr="00176CEC">
        <w:rPr>
          <w:rFonts w:asciiTheme="minorHAnsi" w:eastAsiaTheme="majorEastAsia" w:hAnsiTheme="minorHAnsi" w:cstheme="majorBidi"/>
          <w:b/>
          <w:bCs/>
          <w:iCs/>
          <w:sz w:val="22"/>
        </w:rPr>
        <w:t xml:space="preserve"> (UNDER REVIEW)</w:t>
      </w:r>
    </w:p>
    <w:p w14:paraId="09B8E11C" w14:textId="77777777" w:rsidR="00F929B6" w:rsidRDefault="00F929B6" w:rsidP="00395313">
      <w:pPr>
        <w:spacing w:line="288" w:lineRule="auto"/>
        <w:jc w:val="both"/>
        <w:rPr>
          <w:szCs w:val="20"/>
        </w:rPr>
      </w:pPr>
      <w:r>
        <w:rPr>
          <w:szCs w:val="20"/>
        </w:rPr>
        <w:t xml:space="preserve">Refuse waste is collected in all suburban areas of all three towns namely; Eshowe, Gingindlovu and </w:t>
      </w:r>
      <w:r w:rsidR="00703CE6">
        <w:rPr>
          <w:szCs w:val="20"/>
        </w:rPr>
        <w:t>Mtunzini</w:t>
      </w:r>
      <w:r>
        <w:rPr>
          <w:szCs w:val="20"/>
        </w:rPr>
        <w:t xml:space="preserve">. Waste is collected once a week in suburban areas and </w:t>
      </w:r>
      <w:r w:rsidR="0011708C">
        <w:rPr>
          <w:szCs w:val="20"/>
        </w:rPr>
        <w:t>collected daily within the CBDs.</w:t>
      </w:r>
    </w:p>
    <w:p w14:paraId="14A0A127" w14:textId="77777777" w:rsidR="0011708C" w:rsidRDefault="0011708C" w:rsidP="0011708C">
      <w:pPr>
        <w:spacing w:line="288" w:lineRule="auto"/>
        <w:jc w:val="both"/>
        <w:rPr>
          <w:szCs w:val="20"/>
        </w:rPr>
      </w:pPr>
      <w:r>
        <w:rPr>
          <w:szCs w:val="20"/>
        </w:rPr>
        <w:t>The table below indicates the frequency</w:t>
      </w:r>
      <w:r w:rsidRPr="0011708C">
        <w:rPr>
          <w:szCs w:val="20"/>
        </w:rPr>
        <w:t xml:space="preserve"> </w:t>
      </w:r>
      <w:r>
        <w:rPr>
          <w:szCs w:val="20"/>
        </w:rPr>
        <w:t xml:space="preserve">of collection within the identified priority areas within the uMlalazi </w:t>
      </w:r>
      <w:r w:rsidR="00703CE6">
        <w:rPr>
          <w:szCs w:val="20"/>
        </w:rPr>
        <w:t>Municipality</w:t>
      </w:r>
      <w:r>
        <w:rPr>
          <w:szCs w:val="20"/>
        </w:rPr>
        <w:t>;</w:t>
      </w:r>
    </w:p>
    <w:tbl>
      <w:tblPr>
        <w:tblStyle w:val="TableGrid17"/>
        <w:tblW w:w="0" w:type="auto"/>
        <w:tblLook w:val="04A0" w:firstRow="1" w:lastRow="0" w:firstColumn="1" w:lastColumn="0" w:noHBand="0" w:noVBand="1"/>
      </w:tblPr>
      <w:tblGrid>
        <w:gridCol w:w="2302"/>
        <w:gridCol w:w="2302"/>
        <w:gridCol w:w="2304"/>
        <w:gridCol w:w="2302"/>
      </w:tblGrid>
      <w:tr w:rsidR="00B942A5" w:rsidRPr="00B942A5" w14:paraId="66A1A072" w14:textId="77777777" w:rsidTr="009110BA">
        <w:trPr>
          <w:trHeight w:val="342"/>
        </w:trPr>
        <w:tc>
          <w:tcPr>
            <w:tcW w:w="2302" w:type="dxa"/>
            <w:shd w:val="clear" w:color="auto" w:fill="FBD4B4"/>
            <w:vAlign w:val="center"/>
          </w:tcPr>
          <w:p w14:paraId="71530E8F" w14:textId="77777777" w:rsidR="00B942A5" w:rsidRPr="009110BA" w:rsidRDefault="00B942A5" w:rsidP="009110BA">
            <w:pPr>
              <w:jc w:val="center"/>
              <w:rPr>
                <w:szCs w:val="20"/>
              </w:rPr>
            </w:pPr>
            <w:r w:rsidRPr="009110BA">
              <w:rPr>
                <w:szCs w:val="20"/>
              </w:rPr>
              <w:t>Waste</w:t>
            </w:r>
          </w:p>
        </w:tc>
        <w:tc>
          <w:tcPr>
            <w:tcW w:w="2302" w:type="dxa"/>
            <w:shd w:val="clear" w:color="auto" w:fill="FBD4B4"/>
            <w:vAlign w:val="center"/>
          </w:tcPr>
          <w:p w14:paraId="1A628966" w14:textId="77777777" w:rsidR="00B942A5" w:rsidRPr="009110BA" w:rsidRDefault="00B942A5" w:rsidP="009110BA">
            <w:pPr>
              <w:jc w:val="center"/>
              <w:rPr>
                <w:szCs w:val="20"/>
              </w:rPr>
            </w:pPr>
            <w:r w:rsidRPr="009110BA">
              <w:rPr>
                <w:szCs w:val="20"/>
              </w:rPr>
              <w:t>Area Covered</w:t>
            </w:r>
          </w:p>
        </w:tc>
        <w:tc>
          <w:tcPr>
            <w:tcW w:w="2304" w:type="dxa"/>
            <w:shd w:val="clear" w:color="auto" w:fill="FBD4B4"/>
            <w:vAlign w:val="center"/>
          </w:tcPr>
          <w:p w14:paraId="513DD4DC" w14:textId="77777777" w:rsidR="00B942A5" w:rsidRPr="009110BA" w:rsidRDefault="00B942A5" w:rsidP="009110BA">
            <w:pPr>
              <w:jc w:val="center"/>
              <w:rPr>
                <w:szCs w:val="20"/>
              </w:rPr>
            </w:pPr>
            <w:r w:rsidRPr="009110BA">
              <w:rPr>
                <w:szCs w:val="20"/>
              </w:rPr>
              <w:t>Frequency</w:t>
            </w:r>
          </w:p>
        </w:tc>
        <w:tc>
          <w:tcPr>
            <w:tcW w:w="2302" w:type="dxa"/>
            <w:shd w:val="clear" w:color="auto" w:fill="FBD4B4"/>
            <w:vAlign w:val="center"/>
          </w:tcPr>
          <w:p w14:paraId="4C1BEEB6" w14:textId="77777777" w:rsidR="00B942A5" w:rsidRPr="009110BA" w:rsidRDefault="00B942A5" w:rsidP="009110BA">
            <w:pPr>
              <w:jc w:val="center"/>
              <w:rPr>
                <w:szCs w:val="20"/>
              </w:rPr>
            </w:pPr>
            <w:r w:rsidRPr="009110BA">
              <w:rPr>
                <w:szCs w:val="20"/>
              </w:rPr>
              <w:t>Services provided by</w:t>
            </w:r>
          </w:p>
        </w:tc>
      </w:tr>
      <w:tr w:rsidR="00B942A5" w:rsidRPr="00B942A5" w14:paraId="552C8F1A" w14:textId="77777777" w:rsidTr="009110BA">
        <w:trPr>
          <w:trHeight w:val="276"/>
        </w:trPr>
        <w:tc>
          <w:tcPr>
            <w:tcW w:w="2302" w:type="dxa"/>
            <w:vMerge w:val="restart"/>
          </w:tcPr>
          <w:p w14:paraId="61951792" w14:textId="77777777" w:rsidR="00B942A5" w:rsidRPr="009110BA" w:rsidRDefault="00B942A5" w:rsidP="009110BA">
            <w:pPr>
              <w:rPr>
                <w:szCs w:val="20"/>
              </w:rPr>
            </w:pPr>
            <w:r w:rsidRPr="009110BA">
              <w:rPr>
                <w:szCs w:val="20"/>
              </w:rPr>
              <w:t>Domestic</w:t>
            </w:r>
          </w:p>
        </w:tc>
        <w:tc>
          <w:tcPr>
            <w:tcW w:w="2302" w:type="dxa"/>
          </w:tcPr>
          <w:p w14:paraId="2FB613EE" w14:textId="77777777" w:rsidR="00B942A5" w:rsidRPr="009110BA" w:rsidRDefault="00B942A5" w:rsidP="009110BA">
            <w:pPr>
              <w:rPr>
                <w:szCs w:val="20"/>
              </w:rPr>
            </w:pPr>
            <w:r w:rsidRPr="009110BA">
              <w:rPr>
                <w:szCs w:val="20"/>
              </w:rPr>
              <w:t>Mpushini Park</w:t>
            </w:r>
          </w:p>
        </w:tc>
        <w:tc>
          <w:tcPr>
            <w:tcW w:w="2304" w:type="dxa"/>
            <w:vMerge w:val="restart"/>
          </w:tcPr>
          <w:p w14:paraId="77276DC5" w14:textId="77777777" w:rsidR="00B942A5" w:rsidRPr="009110BA" w:rsidRDefault="00B942A5" w:rsidP="009110BA">
            <w:pPr>
              <w:rPr>
                <w:szCs w:val="20"/>
              </w:rPr>
            </w:pPr>
          </w:p>
          <w:p w14:paraId="3EAB1661" w14:textId="77777777" w:rsidR="00B942A5" w:rsidRPr="009110BA" w:rsidRDefault="00B942A5" w:rsidP="009110BA">
            <w:pPr>
              <w:rPr>
                <w:szCs w:val="20"/>
              </w:rPr>
            </w:pPr>
          </w:p>
          <w:p w14:paraId="44864BCC" w14:textId="77777777" w:rsidR="00B942A5" w:rsidRPr="009110BA" w:rsidRDefault="00B942A5" w:rsidP="009110BA">
            <w:pPr>
              <w:rPr>
                <w:szCs w:val="20"/>
              </w:rPr>
            </w:pPr>
            <w:r w:rsidRPr="009110BA">
              <w:rPr>
                <w:szCs w:val="20"/>
              </w:rPr>
              <w:t xml:space="preserve">X1 per week </w:t>
            </w:r>
          </w:p>
        </w:tc>
        <w:tc>
          <w:tcPr>
            <w:tcW w:w="2302" w:type="dxa"/>
            <w:vMerge w:val="restart"/>
          </w:tcPr>
          <w:p w14:paraId="6F16B2AA" w14:textId="77777777" w:rsidR="00B942A5" w:rsidRPr="009110BA" w:rsidRDefault="00B942A5" w:rsidP="009110BA">
            <w:pPr>
              <w:rPr>
                <w:szCs w:val="20"/>
              </w:rPr>
            </w:pPr>
          </w:p>
          <w:p w14:paraId="54D110A1" w14:textId="77777777" w:rsidR="00B942A5" w:rsidRPr="009110BA" w:rsidRDefault="00B942A5" w:rsidP="009110BA">
            <w:pPr>
              <w:rPr>
                <w:szCs w:val="20"/>
              </w:rPr>
            </w:pPr>
            <w:r w:rsidRPr="009110BA">
              <w:rPr>
                <w:szCs w:val="20"/>
              </w:rPr>
              <w:t>Municipal own staff</w:t>
            </w:r>
          </w:p>
          <w:p w14:paraId="7377C77A" w14:textId="77777777" w:rsidR="00B942A5" w:rsidRPr="009110BA" w:rsidRDefault="00B942A5" w:rsidP="009110BA">
            <w:pPr>
              <w:rPr>
                <w:szCs w:val="20"/>
              </w:rPr>
            </w:pPr>
          </w:p>
        </w:tc>
      </w:tr>
      <w:tr w:rsidR="00B942A5" w:rsidRPr="00B942A5" w14:paraId="0F798495" w14:textId="77777777" w:rsidTr="009110BA">
        <w:trPr>
          <w:trHeight w:val="297"/>
        </w:trPr>
        <w:tc>
          <w:tcPr>
            <w:tcW w:w="2302" w:type="dxa"/>
            <w:vMerge/>
          </w:tcPr>
          <w:p w14:paraId="297AB4FC" w14:textId="77777777" w:rsidR="00B942A5" w:rsidRPr="009110BA" w:rsidRDefault="00B942A5" w:rsidP="009110BA">
            <w:pPr>
              <w:rPr>
                <w:szCs w:val="20"/>
              </w:rPr>
            </w:pPr>
          </w:p>
        </w:tc>
        <w:tc>
          <w:tcPr>
            <w:tcW w:w="2302" w:type="dxa"/>
          </w:tcPr>
          <w:p w14:paraId="637DE789" w14:textId="77777777" w:rsidR="00B942A5" w:rsidRPr="009110BA" w:rsidRDefault="00B942A5" w:rsidP="009110BA">
            <w:pPr>
              <w:rPr>
                <w:szCs w:val="20"/>
              </w:rPr>
            </w:pPr>
            <w:r w:rsidRPr="009110BA">
              <w:rPr>
                <w:szCs w:val="20"/>
              </w:rPr>
              <w:t>Norwood Park</w:t>
            </w:r>
          </w:p>
        </w:tc>
        <w:tc>
          <w:tcPr>
            <w:tcW w:w="2304" w:type="dxa"/>
            <w:vMerge/>
          </w:tcPr>
          <w:p w14:paraId="70285140" w14:textId="77777777" w:rsidR="00B942A5" w:rsidRPr="009110BA" w:rsidRDefault="00B942A5" w:rsidP="009110BA">
            <w:pPr>
              <w:rPr>
                <w:szCs w:val="20"/>
              </w:rPr>
            </w:pPr>
          </w:p>
        </w:tc>
        <w:tc>
          <w:tcPr>
            <w:tcW w:w="2302" w:type="dxa"/>
            <w:vMerge/>
          </w:tcPr>
          <w:p w14:paraId="55C20653" w14:textId="77777777" w:rsidR="00B942A5" w:rsidRPr="009110BA" w:rsidRDefault="00B942A5" w:rsidP="009110BA">
            <w:pPr>
              <w:rPr>
                <w:szCs w:val="20"/>
              </w:rPr>
            </w:pPr>
          </w:p>
        </w:tc>
      </w:tr>
      <w:tr w:rsidR="00B942A5" w:rsidRPr="00B942A5" w14:paraId="74AE7B6F" w14:textId="77777777" w:rsidTr="009110BA">
        <w:trPr>
          <w:trHeight w:val="148"/>
        </w:trPr>
        <w:tc>
          <w:tcPr>
            <w:tcW w:w="2302" w:type="dxa"/>
            <w:vMerge/>
          </w:tcPr>
          <w:p w14:paraId="43E00738" w14:textId="77777777" w:rsidR="00B942A5" w:rsidRPr="009110BA" w:rsidRDefault="00B942A5" w:rsidP="009110BA">
            <w:pPr>
              <w:rPr>
                <w:szCs w:val="20"/>
              </w:rPr>
            </w:pPr>
          </w:p>
        </w:tc>
        <w:tc>
          <w:tcPr>
            <w:tcW w:w="2302" w:type="dxa"/>
          </w:tcPr>
          <w:p w14:paraId="0481C6F0" w14:textId="77777777" w:rsidR="00B942A5" w:rsidRPr="009110BA" w:rsidRDefault="00B942A5" w:rsidP="009110BA">
            <w:pPr>
              <w:rPr>
                <w:szCs w:val="20"/>
              </w:rPr>
            </w:pPr>
            <w:r w:rsidRPr="009110BA">
              <w:rPr>
                <w:szCs w:val="20"/>
              </w:rPr>
              <w:t>Eshowe</w:t>
            </w:r>
          </w:p>
        </w:tc>
        <w:tc>
          <w:tcPr>
            <w:tcW w:w="2304" w:type="dxa"/>
            <w:vMerge/>
          </w:tcPr>
          <w:p w14:paraId="01B9A5A1" w14:textId="77777777" w:rsidR="00B942A5" w:rsidRPr="009110BA" w:rsidRDefault="00B942A5" w:rsidP="009110BA">
            <w:pPr>
              <w:rPr>
                <w:szCs w:val="20"/>
              </w:rPr>
            </w:pPr>
          </w:p>
        </w:tc>
        <w:tc>
          <w:tcPr>
            <w:tcW w:w="2302" w:type="dxa"/>
            <w:vMerge/>
          </w:tcPr>
          <w:p w14:paraId="4A13CD0E" w14:textId="77777777" w:rsidR="00B942A5" w:rsidRPr="009110BA" w:rsidRDefault="00B942A5" w:rsidP="009110BA">
            <w:pPr>
              <w:rPr>
                <w:szCs w:val="20"/>
              </w:rPr>
            </w:pPr>
          </w:p>
        </w:tc>
      </w:tr>
      <w:tr w:rsidR="00B942A5" w:rsidRPr="00B942A5" w14:paraId="7FC04B53" w14:textId="77777777" w:rsidTr="009110BA">
        <w:trPr>
          <w:trHeight w:val="286"/>
        </w:trPr>
        <w:tc>
          <w:tcPr>
            <w:tcW w:w="2302" w:type="dxa"/>
            <w:vMerge/>
          </w:tcPr>
          <w:p w14:paraId="64C25100" w14:textId="77777777" w:rsidR="00B942A5" w:rsidRPr="009110BA" w:rsidRDefault="00B942A5" w:rsidP="009110BA">
            <w:pPr>
              <w:rPr>
                <w:szCs w:val="20"/>
              </w:rPr>
            </w:pPr>
          </w:p>
        </w:tc>
        <w:tc>
          <w:tcPr>
            <w:tcW w:w="2302" w:type="dxa"/>
          </w:tcPr>
          <w:p w14:paraId="0DAA5AA0" w14:textId="77777777" w:rsidR="00B942A5" w:rsidRPr="009110BA" w:rsidRDefault="00B942A5" w:rsidP="009110BA">
            <w:pPr>
              <w:rPr>
                <w:szCs w:val="20"/>
              </w:rPr>
            </w:pPr>
            <w:r w:rsidRPr="009110BA">
              <w:rPr>
                <w:szCs w:val="20"/>
              </w:rPr>
              <w:t>King Dinuzulu</w:t>
            </w:r>
          </w:p>
        </w:tc>
        <w:tc>
          <w:tcPr>
            <w:tcW w:w="2304" w:type="dxa"/>
            <w:vMerge/>
          </w:tcPr>
          <w:p w14:paraId="5B6355A2" w14:textId="77777777" w:rsidR="00B942A5" w:rsidRPr="009110BA" w:rsidRDefault="00B942A5" w:rsidP="009110BA">
            <w:pPr>
              <w:rPr>
                <w:szCs w:val="20"/>
              </w:rPr>
            </w:pPr>
          </w:p>
        </w:tc>
        <w:tc>
          <w:tcPr>
            <w:tcW w:w="2302" w:type="dxa"/>
            <w:vMerge w:val="restart"/>
          </w:tcPr>
          <w:p w14:paraId="0CD919D2" w14:textId="77777777" w:rsidR="00B942A5" w:rsidRPr="009110BA" w:rsidRDefault="00B942A5" w:rsidP="009110BA">
            <w:pPr>
              <w:rPr>
                <w:szCs w:val="20"/>
              </w:rPr>
            </w:pPr>
            <w:r w:rsidRPr="009110BA">
              <w:rPr>
                <w:szCs w:val="20"/>
              </w:rPr>
              <w:t>Service providers</w:t>
            </w:r>
          </w:p>
        </w:tc>
      </w:tr>
      <w:tr w:rsidR="00B942A5" w:rsidRPr="00B942A5" w14:paraId="7EC4C435" w14:textId="77777777" w:rsidTr="009110BA">
        <w:trPr>
          <w:trHeight w:val="286"/>
        </w:trPr>
        <w:tc>
          <w:tcPr>
            <w:tcW w:w="2302" w:type="dxa"/>
            <w:vMerge/>
          </w:tcPr>
          <w:p w14:paraId="0F16BEA5" w14:textId="77777777" w:rsidR="00B942A5" w:rsidRPr="009110BA" w:rsidRDefault="00B942A5" w:rsidP="009110BA">
            <w:pPr>
              <w:rPr>
                <w:szCs w:val="20"/>
              </w:rPr>
            </w:pPr>
          </w:p>
        </w:tc>
        <w:tc>
          <w:tcPr>
            <w:tcW w:w="2302" w:type="dxa"/>
          </w:tcPr>
          <w:p w14:paraId="769C6D6B" w14:textId="77777777" w:rsidR="00B942A5" w:rsidRPr="009110BA" w:rsidRDefault="00B942A5" w:rsidP="009110BA">
            <w:pPr>
              <w:rPr>
                <w:szCs w:val="20"/>
              </w:rPr>
            </w:pPr>
            <w:r w:rsidRPr="009110BA">
              <w:rPr>
                <w:szCs w:val="20"/>
              </w:rPr>
              <w:t>Gingindlovu</w:t>
            </w:r>
          </w:p>
        </w:tc>
        <w:tc>
          <w:tcPr>
            <w:tcW w:w="2304" w:type="dxa"/>
            <w:vMerge/>
          </w:tcPr>
          <w:p w14:paraId="6A1EABE3" w14:textId="77777777" w:rsidR="00B942A5" w:rsidRPr="009110BA" w:rsidRDefault="00B942A5" w:rsidP="009110BA">
            <w:pPr>
              <w:rPr>
                <w:szCs w:val="20"/>
              </w:rPr>
            </w:pPr>
          </w:p>
        </w:tc>
        <w:tc>
          <w:tcPr>
            <w:tcW w:w="2302" w:type="dxa"/>
            <w:vMerge/>
          </w:tcPr>
          <w:p w14:paraId="35B513C9" w14:textId="77777777" w:rsidR="00B942A5" w:rsidRPr="009110BA" w:rsidRDefault="00B942A5" w:rsidP="009110BA">
            <w:pPr>
              <w:rPr>
                <w:szCs w:val="20"/>
              </w:rPr>
            </w:pPr>
          </w:p>
        </w:tc>
      </w:tr>
      <w:tr w:rsidR="00B942A5" w:rsidRPr="00B942A5" w14:paraId="7972A366" w14:textId="77777777" w:rsidTr="009110BA">
        <w:trPr>
          <w:trHeight w:val="286"/>
        </w:trPr>
        <w:tc>
          <w:tcPr>
            <w:tcW w:w="2302" w:type="dxa"/>
            <w:vMerge/>
          </w:tcPr>
          <w:p w14:paraId="5DA81C50" w14:textId="77777777" w:rsidR="00B942A5" w:rsidRPr="009110BA" w:rsidRDefault="00B942A5" w:rsidP="009110BA">
            <w:pPr>
              <w:rPr>
                <w:szCs w:val="20"/>
              </w:rPr>
            </w:pPr>
          </w:p>
        </w:tc>
        <w:tc>
          <w:tcPr>
            <w:tcW w:w="2302" w:type="dxa"/>
          </w:tcPr>
          <w:p w14:paraId="15531B08" w14:textId="77777777" w:rsidR="00B942A5" w:rsidRPr="009110BA" w:rsidRDefault="00B942A5" w:rsidP="009110BA">
            <w:pPr>
              <w:rPr>
                <w:szCs w:val="20"/>
              </w:rPr>
            </w:pPr>
            <w:r w:rsidRPr="009110BA">
              <w:rPr>
                <w:szCs w:val="20"/>
              </w:rPr>
              <w:t>Mtunzini</w:t>
            </w:r>
          </w:p>
        </w:tc>
        <w:tc>
          <w:tcPr>
            <w:tcW w:w="2304" w:type="dxa"/>
            <w:vMerge/>
          </w:tcPr>
          <w:p w14:paraId="3040BFF3" w14:textId="77777777" w:rsidR="00B942A5" w:rsidRPr="009110BA" w:rsidRDefault="00B942A5" w:rsidP="009110BA">
            <w:pPr>
              <w:rPr>
                <w:szCs w:val="20"/>
              </w:rPr>
            </w:pPr>
          </w:p>
        </w:tc>
        <w:tc>
          <w:tcPr>
            <w:tcW w:w="2302" w:type="dxa"/>
            <w:vMerge/>
          </w:tcPr>
          <w:p w14:paraId="3F10900A" w14:textId="77777777" w:rsidR="00B942A5" w:rsidRPr="009110BA" w:rsidRDefault="00B942A5" w:rsidP="009110BA">
            <w:pPr>
              <w:rPr>
                <w:szCs w:val="20"/>
              </w:rPr>
            </w:pPr>
          </w:p>
        </w:tc>
      </w:tr>
      <w:tr w:rsidR="00B942A5" w:rsidRPr="00B942A5" w14:paraId="4E3EA148" w14:textId="77777777" w:rsidTr="009110BA">
        <w:trPr>
          <w:trHeight w:val="273"/>
        </w:trPr>
        <w:tc>
          <w:tcPr>
            <w:tcW w:w="2302" w:type="dxa"/>
            <w:vMerge/>
          </w:tcPr>
          <w:p w14:paraId="3DF3831B" w14:textId="77777777" w:rsidR="00B942A5" w:rsidRPr="009110BA" w:rsidRDefault="00B942A5" w:rsidP="009110BA">
            <w:pPr>
              <w:rPr>
                <w:szCs w:val="20"/>
              </w:rPr>
            </w:pPr>
          </w:p>
        </w:tc>
        <w:tc>
          <w:tcPr>
            <w:tcW w:w="2302" w:type="dxa"/>
          </w:tcPr>
          <w:p w14:paraId="41F970CF" w14:textId="77777777" w:rsidR="00B942A5" w:rsidRPr="009110BA" w:rsidRDefault="00B942A5" w:rsidP="009110BA">
            <w:pPr>
              <w:rPr>
                <w:szCs w:val="20"/>
              </w:rPr>
            </w:pPr>
            <w:r w:rsidRPr="009110BA">
              <w:rPr>
                <w:szCs w:val="20"/>
              </w:rPr>
              <w:t>Cluster1</w:t>
            </w:r>
          </w:p>
        </w:tc>
        <w:tc>
          <w:tcPr>
            <w:tcW w:w="2304" w:type="dxa"/>
            <w:vMerge w:val="restart"/>
          </w:tcPr>
          <w:p w14:paraId="1969926A" w14:textId="77777777" w:rsidR="00B942A5" w:rsidRPr="009110BA" w:rsidRDefault="00B942A5" w:rsidP="009110BA">
            <w:pPr>
              <w:rPr>
                <w:szCs w:val="20"/>
              </w:rPr>
            </w:pPr>
          </w:p>
          <w:p w14:paraId="02229E7D" w14:textId="77777777" w:rsidR="00B942A5" w:rsidRPr="009110BA" w:rsidRDefault="00B942A5" w:rsidP="009110BA">
            <w:pPr>
              <w:rPr>
                <w:szCs w:val="20"/>
              </w:rPr>
            </w:pPr>
            <w:r w:rsidRPr="009110BA">
              <w:rPr>
                <w:szCs w:val="20"/>
              </w:rPr>
              <w:t>X1 per week per clustered wards in six (6) zones</w:t>
            </w:r>
          </w:p>
          <w:p w14:paraId="0526DACF" w14:textId="77777777" w:rsidR="00B942A5" w:rsidRPr="009110BA" w:rsidRDefault="00B942A5" w:rsidP="009110BA">
            <w:pPr>
              <w:rPr>
                <w:szCs w:val="20"/>
              </w:rPr>
            </w:pPr>
          </w:p>
        </w:tc>
        <w:tc>
          <w:tcPr>
            <w:tcW w:w="2302" w:type="dxa"/>
            <w:vMerge w:val="restart"/>
          </w:tcPr>
          <w:p w14:paraId="3EA4EFEC" w14:textId="77777777" w:rsidR="00B942A5" w:rsidRPr="009110BA" w:rsidRDefault="00B942A5" w:rsidP="009110BA">
            <w:pPr>
              <w:rPr>
                <w:szCs w:val="20"/>
              </w:rPr>
            </w:pPr>
          </w:p>
          <w:p w14:paraId="58950E76" w14:textId="77777777" w:rsidR="00B942A5" w:rsidRPr="009110BA" w:rsidRDefault="00B942A5" w:rsidP="009110BA">
            <w:pPr>
              <w:rPr>
                <w:szCs w:val="20"/>
              </w:rPr>
            </w:pPr>
          </w:p>
          <w:p w14:paraId="69589856" w14:textId="77777777" w:rsidR="00B942A5" w:rsidRPr="009110BA" w:rsidRDefault="00B942A5" w:rsidP="009110BA">
            <w:pPr>
              <w:rPr>
                <w:szCs w:val="20"/>
              </w:rPr>
            </w:pPr>
          </w:p>
          <w:p w14:paraId="06D9026C" w14:textId="77777777" w:rsidR="00B942A5" w:rsidRPr="009110BA" w:rsidRDefault="00B942A5" w:rsidP="009110BA">
            <w:pPr>
              <w:rPr>
                <w:szCs w:val="20"/>
              </w:rPr>
            </w:pPr>
            <w:r w:rsidRPr="009110BA">
              <w:rPr>
                <w:szCs w:val="20"/>
              </w:rPr>
              <w:t>Private Service providers</w:t>
            </w:r>
          </w:p>
        </w:tc>
      </w:tr>
      <w:tr w:rsidR="00B942A5" w:rsidRPr="00B942A5" w14:paraId="427AA2CA" w14:textId="77777777" w:rsidTr="009110BA">
        <w:trPr>
          <w:trHeight w:val="272"/>
        </w:trPr>
        <w:tc>
          <w:tcPr>
            <w:tcW w:w="2302" w:type="dxa"/>
            <w:vMerge/>
          </w:tcPr>
          <w:p w14:paraId="53BE1BE6" w14:textId="77777777" w:rsidR="00B942A5" w:rsidRPr="009110BA" w:rsidRDefault="00B942A5" w:rsidP="009110BA">
            <w:pPr>
              <w:rPr>
                <w:szCs w:val="20"/>
              </w:rPr>
            </w:pPr>
          </w:p>
        </w:tc>
        <w:tc>
          <w:tcPr>
            <w:tcW w:w="2302" w:type="dxa"/>
          </w:tcPr>
          <w:p w14:paraId="3F41311A" w14:textId="77777777" w:rsidR="00B942A5" w:rsidRPr="009110BA" w:rsidRDefault="00B942A5" w:rsidP="009110BA">
            <w:pPr>
              <w:rPr>
                <w:szCs w:val="20"/>
              </w:rPr>
            </w:pPr>
            <w:r w:rsidRPr="009110BA">
              <w:rPr>
                <w:szCs w:val="20"/>
              </w:rPr>
              <w:t>Cluster2</w:t>
            </w:r>
          </w:p>
        </w:tc>
        <w:tc>
          <w:tcPr>
            <w:tcW w:w="2304" w:type="dxa"/>
            <w:vMerge/>
          </w:tcPr>
          <w:p w14:paraId="43059786" w14:textId="77777777" w:rsidR="00B942A5" w:rsidRPr="009110BA" w:rsidRDefault="00B942A5" w:rsidP="009110BA">
            <w:pPr>
              <w:rPr>
                <w:szCs w:val="20"/>
              </w:rPr>
            </w:pPr>
          </w:p>
        </w:tc>
        <w:tc>
          <w:tcPr>
            <w:tcW w:w="2302" w:type="dxa"/>
            <w:vMerge/>
          </w:tcPr>
          <w:p w14:paraId="4892CACB" w14:textId="77777777" w:rsidR="00B942A5" w:rsidRPr="009110BA" w:rsidRDefault="00B942A5" w:rsidP="009110BA">
            <w:pPr>
              <w:rPr>
                <w:szCs w:val="20"/>
              </w:rPr>
            </w:pPr>
          </w:p>
        </w:tc>
      </w:tr>
      <w:tr w:rsidR="00B942A5" w:rsidRPr="00B942A5" w14:paraId="4EA7D29F" w14:textId="77777777" w:rsidTr="009110BA">
        <w:trPr>
          <w:trHeight w:val="272"/>
        </w:trPr>
        <w:tc>
          <w:tcPr>
            <w:tcW w:w="2302" w:type="dxa"/>
            <w:vMerge/>
          </w:tcPr>
          <w:p w14:paraId="75C3FF70" w14:textId="77777777" w:rsidR="00B942A5" w:rsidRPr="009110BA" w:rsidRDefault="00B942A5" w:rsidP="009110BA">
            <w:pPr>
              <w:rPr>
                <w:szCs w:val="20"/>
              </w:rPr>
            </w:pPr>
          </w:p>
        </w:tc>
        <w:tc>
          <w:tcPr>
            <w:tcW w:w="2302" w:type="dxa"/>
          </w:tcPr>
          <w:p w14:paraId="7B2B66A4" w14:textId="77777777" w:rsidR="00B942A5" w:rsidRPr="009110BA" w:rsidRDefault="00B942A5" w:rsidP="009110BA">
            <w:pPr>
              <w:rPr>
                <w:szCs w:val="20"/>
              </w:rPr>
            </w:pPr>
            <w:r w:rsidRPr="009110BA">
              <w:rPr>
                <w:szCs w:val="20"/>
              </w:rPr>
              <w:t>Cluster3</w:t>
            </w:r>
          </w:p>
        </w:tc>
        <w:tc>
          <w:tcPr>
            <w:tcW w:w="2304" w:type="dxa"/>
            <w:vMerge/>
          </w:tcPr>
          <w:p w14:paraId="4B0DA4A1" w14:textId="77777777" w:rsidR="00B942A5" w:rsidRPr="009110BA" w:rsidRDefault="00B942A5" w:rsidP="009110BA">
            <w:pPr>
              <w:rPr>
                <w:szCs w:val="20"/>
              </w:rPr>
            </w:pPr>
          </w:p>
        </w:tc>
        <w:tc>
          <w:tcPr>
            <w:tcW w:w="2302" w:type="dxa"/>
            <w:vMerge/>
          </w:tcPr>
          <w:p w14:paraId="6571827D" w14:textId="77777777" w:rsidR="00B942A5" w:rsidRPr="009110BA" w:rsidRDefault="00B942A5" w:rsidP="009110BA">
            <w:pPr>
              <w:rPr>
                <w:szCs w:val="20"/>
              </w:rPr>
            </w:pPr>
          </w:p>
        </w:tc>
      </w:tr>
      <w:tr w:rsidR="00B942A5" w:rsidRPr="00B942A5" w14:paraId="4263960B" w14:textId="77777777" w:rsidTr="009110BA">
        <w:trPr>
          <w:trHeight w:val="272"/>
        </w:trPr>
        <w:tc>
          <w:tcPr>
            <w:tcW w:w="2302" w:type="dxa"/>
            <w:vMerge/>
          </w:tcPr>
          <w:p w14:paraId="1747F61B" w14:textId="77777777" w:rsidR="00B942A5" w:rsidRPr="009110BA" w:rsidRDefault="00B942A5" w:rsidP="009110BA">
            <w:pPr>
              <w:rPr>
                <w:szCs w:val="20"/>
              </w:rPr>
            </w:pPr>
          </w:p>
        </w:tc>
        <w:tc>
          <w:tcPr>
            <w:tcW w:w="2302" w:type="dxa"/>
          </w:tcPr>
          <w:p w14:paraId="3EB92334" w14:textId="77777777" w:rsidR="00B942A5" w:rsidRPr="009110BA" w:rsidRDefault="00B942A5" w:rsidP="009110BA">
            <w:pPr>
              <w:rPr>
                <w:szCs w:val="20"/>
              </w:rPr>
            </w:pPr>
            <w:r w:rsidRPr="009110BA">
              <w:rPr>
                <w:szCs w:val="20"/>
              </w:rPr>
              <w:t>Cluster4</w:t>
            </w:r>
          </w:p>
        </w:tc>
        <w:tc>
          <w:tcPr>
            <w:tcW w:w="2304" w:type="dxa"/>
            <w:vMerge/>
          </w:tcPr>
          <w:p w14:paraId="5F8860F9" w14:textId="77777777" w:rsidR="00B942A5" w:rsidRPr="009110BA" w:rsidRDefault="00B942A5" w:rsidP="009110BA">
            <w:pPr>
              <w:rPr>
                <w:szCs w:val="20"/>
              </w:rPr>
            </w:pPr>
          </w:p>
        </w:tc>
        <w:tc>
          <w:tcPr>
            <w:tcW w:w="2302" w:type="dxa"/>
            <w:vMerge/>
          </w:tcPr>
          <w:p w14:paraId="0DFD1D8E" w14:textId="77777777" w:rsidR="00B942A5" w:rsidRPr="009110BA" w:rsidRDefault="00B942A5" w:rsidP="009110BA">
            <w:pPr>
              <w:rPr>
                <w:szCs w:val="20"/>
              </w:rPr>
            </w:pPr>
          </w:p>
        </w:tc>
      </w:tr>
      <w:tr w:rsidR="00B942A5" w:rsidRPr="00B942A5" w14:paraId="1CF0ED84" w14:textId="77777777" w:rsidTr="009110BA">
        <w:trPr>
          <w:trHeight w:val="272"/>
        </w:trPr>
        <w:tc>
          <w:tcPr>
            <w:tcW w:w="2302" w:type="dxa"/>
            <w:vMerge/>
          </w:tcPr>
          <w:p w14:paraId="01800C73" w14:textId="77777777" w:rsidR="00B942A5" w:rsidRPr="009110BA" w:rsidRDefault="00B942A5" w:rsidP="009110BA">
            <w:pPr>
              <w:rPr>
                <w:szCs w:val="20"/>
              </w:rPr>
            </w:pPr>
          </w:p>
        </w:tc>
        <w:tc>
          <w:tcPr>
            <w:tcW w:w="2302" w:type="dxa"/>
          </w:tcPr>
          <w:p w14:paraId="286A5332" w14:textId="77777777" w:rsidR="00B942A5" w:rsidRPr="009110BA" w:rsidRDefault="00B942A5" w:rsidP="009110BA">
            <w:pPr>
              <w:rPr>
                <w:szCs w:val="20"/>
              </w:rPr>
            </w:pPr>
            <w:r w:rsidRPr="009110BA">
              <w:rPr>
                <w:szCs w:val="20"/>
              </w:rPr>
              <w:t>Cluster5</w:t>
            </w:r>
          </w:p>
        </w:tc>
        <w:tc>
          <w:tcPr>
            <w:tcW w:w="2304" w:type="dxa"/>
            <w:vMerge/>
          </w:tcPr>
          <w:p w14:paraId="12068095" w14:textId="77777777" w:rsidR="00B942A5" w:rsidRPr="009110BA" w:rsidRDefault="00B942A5" w:rsidP="009110BA">
            <w:pPr>
              <w:rPr>
                <w:szCs w:val="20"/>
              </w:rPr>
            </w:pPr>
          </w:p>
        </w:tc>
        <w:tc>
          <w:tcPr>
            <w:tcW w:w="2302" w:type="dxa"/>
            <w:vMerge/>
          </w:tcPr>
          <w:p w14:paraId="1E7F83D3" w14:textId="77777777" w:rsidR="00B942A5" w:rsidRPr="009110BA" w:rsidRDefault="00B942A5" w:rsidP="009110BA">
            <w:pPr>
              <w:rPr>
                <w:szCs w:val="20"/>
              </w:rPr>
            </w:pPr>
          </w:p>
        </w:tc>
      </w:tr>
      <w:tr w:rsidR="00B942A5" w:rsidRPr="00B942A5" w14:paraId="3D4119A3" w14:textId="77777777" w:rsidTr="009110BA">
        <w:trPr>
          <w:trHeight w:val="272"/>
        </w:trPr>
        <w:tc>
          <w:tcPr>
            <w:tcW w:w="2302" w:type="dxa"/>
            <w:vMerge/>
          </w:tcPr>
          <w:p w14:paraId="61D49118" w14:textId="77777777" w:rsidR="00B942A5" w:rsidRPr="009110BA" w:rsidRDefault="00B942A5" w:rsidP="009110BA">
            <w:pPr>
              <w:rPr>
                <w:szCs w:val="20"/>
              </w:rPr>
            </w:pPr>
          </w:p>
        </w:tc>
        <w:tc>
          <w:tcPr>
            <w:tcW w:w="2302" w:type="dxa"/>
          </w:tcPr>
          <w:p w14:paraId="32CF2764" w14:textId="77777777" w:rsidR="00B942A5" w:rsidRPr="009110BA" w:rsidRDefault="00B942A5" w:rsidP="009110BA">
            <w:pPr>
              <w:rPr>
                <w:szCs w:val="20"/>
              </w:rPr>
            </w:pPr>
            <w:r w:rsidRPr="009110BA">
              <w:rPr>
                <w:szCs w:val="20"/>
              </w:rPr>
              <w:t>Cluster6</w:t>
            </w:r>
          </w:p>
        </w:tc>
        <w:tc>
          <w:tcPr>
            <w:tcW w:w="2304" w:type="dxa"/>
            <w:vMerge/>
          </w:tcPr>
          <w:p w14:paraId="5026E512" w14:textId="77777777" w:rsidR="00B942A5" w:rsidRPr="009110BA" w:rsidRDefault="00B942A5" w:rsidP="009110BA">
            <w:pPr>
              <w:rPr>
                <w:szCs w:val="20"/>
              </w:rPr>
            </w:pPr>
          </w:p>
        </w:tc>
        <w:tc>
          <w:tcPr>
            <w:tcW w:w="2302" w:type="dxa"/>
            <w:vMerge/>
          </w:tcPr>
          <w:p w14:paraId="7F2EB0C9" w14:textId="77777777" w:rsidR="00B942A5" w:rsidRPr="009110BA" w:rsidRDefault="00B942A5" w:rsidP="009110BA">
            <w:pPr>
              <w:rPr>
                <w:szCs w:val="20"/>
              </w:rPr>
            </w:pPr>
          </w:p>
        </w:tc>
      </w:tr>
      <w:tr w:rsidR="00B942A5" w:rsidRPr="00B942A5" w14:paraId="17369106" w14:textId="77777777" w:rsidTr="009110BA">
        <w:trPr>
          <w:trHeight w:val="276"/>
        </w:trPr>
        <w:tc>
          <w:tcPr>
            <w:tcW w:w="2302" w:type="dxa"/>
            <w:vMerge w:val="restart"/>
          </w:tcPr>
          <w:p w14:paraId="05815D8E" w14:textId="77777777" w:rsidR="00B942A5" w:rsidRPr="009110BA" w:rsidRDefault="00B942A5" w:rsidP="009110BA">
            <w:pPr>
              <w:rPr>
                <w:szCs w:val="20"/>
              </w:rPr>
            </w:pPr>
          </w:p>
          <w:p w14:paraId="4EEED42C" w14:textId="77777777" w:rsidR="00B942A5" w:rsidRPr="009110BA" w:rsidRDefault="00B942A5" w:rsidP="009110BA">
            <w:pPr>
              <w:rPr>
                <w:szCs w:val="20"/>
              </w:rPr>
            </w:pPr>
            <w:r w:rsidRPr="009110BA">
              <w:rPr>
                <w:szCs w:val="20"/>
              </w:rPr>
              <w:t>Commercial</w:t>
            </w:r>
          </w:p>
        </w:tc>
        <w:tc>
          <w:tcPr>
            <w:tcW w:w="2302" w:type="dxa"/>
          </w:tcPr>
          <w:p w14:paraId="3B4E6FAE" w14:textId="77777777" w:rsidR="00B942A5" w:rsidRPr="009110BA" w:rsidRDefault="00B942A5" w:rsidP="009110BA">
            <w:pPr>
              <w:rPr>
                <w:szCs w:val="20"/>
              </w:rPr>
            </w:pPr>
            <w:r w:rsidRPr="009110BA">
              <w:rPr>
                <w:szCs w:val="20"/>
              </w:rPr>
              <w:t>Eshowe CBD/Industrial</w:t>
            </w:r>
          </w:p>
        </w:tc>
        <w:tc>
          <w:tcPr>
            <w:tcW w:w="2304" w:type="dxa"/>
            <w:vMerge w:val="restart"/>
          </w:tcPr>
          <w:tbl>
            <w:tblPr>
              <w:tblW w:w="2081" w:type="dxa"/>
              <w:tblInd w:w="3" w:type="dxa"/>
              <w:tblBorders>
                <w:top w:val="nil"/>
                <w:left w:val="nil"/>
                <w:bottom w:val="nil"/>
                <w:right w:val="nil"/>
              </w:tblBorders>
              <w:tblLook w:val="0000" w:firstRow="0" w:lastRow="0" w:firstColumn="0" w:lastColumn="0" w:noHBand="0" w:noVBand="0"/>
            </w:tblPr>
            <w:tblGrid>
              <w:gridCol w:w="2081"/>
            </w:tblGrid>
            <w:tr w:rsidR="00B942A5" w:rsidRPr="009110BA" w14:paraId="3D39B018" w14:textId="77777777" w:rsidTr="009110BA">
              <w:trPr>
                <w:trHeight w:val="207"/>
              </w:trPr>
              <w:tc>
                <w:tcPr>
                  <w:tcW w:w="0" w:type="auto"/>
                </w:tcPr>
                <w:p w14:paraId="4B1F3BEE" w14:textId="77777777" w:rsidR="00B942A5" w:rsidRPr="009110BA" w:rsidRDefault="00B942A5" w:rsidP="009110BA">
                  <w:pPr>
                    <w:autoSpaceDE w:val="0"/>
                    <w:autoSpaceDN w:val="0"/>
                    <w:adjustRightInd w:val="0"/>
                    <w:spacing w:after="0" w:line="240" w:lineRule="auto"/>
                    <w:rPr>
                      <w:szCs w:val="20"/>
                    </w:rPr>
                  </w:pPr>
                  <w:r w:rsidRPr="009110BA">
                    <w:rPr>
                      <w:szCs w:val="20"/>
                    </w:rPr>
                    <w:t xml:space="preserve">X 6 per week </w:t>
                  </w:r>
                </w:p>
                <w:p w14:paraId="084AEB83" w14:textId="77777777" w:rsidR="00B942A5" w:rsidRPr="009110BA" w:rsidRDefault="00B942A5" w:rsidP="009110BA">
                  <w:pPr>
                    <w:autoSpaceDE w:val="0"/>
                    <w:autoSpaceDN w:val="0"/>
                    <w:adjustRightInd w:val="0"/>
                    <w:spacing w:after="0" w:line="240" w:lineRule="auto"/>
                    <w:rPr>
                      <w:szCs w:val="20"/>
                    </w:rPr>
                  </w:pPr>
                  <w:r w:rsidRPr="009110BA">
                    <w:rPr>
                      <w:szCs w:val="20"/>
                    </w:rPr>
                    <w:t xml:space="preserve">(as and when required) </w:t>
                  </w:r>
                </w:p>
              </w:tc>
            </w:tr>
          </w:tbl>
          <w:p w14:paraId="692568B3" w14:textId="77777777" w:rsidR="00B942A5" w:rsidRPr="009110BA" w:rsidRDefault="00B942A5" w:rsidP="009110BA">
            <w:pPr>
              <w:rPr>
                <w:szCs w:val="20"/>
              </w:rPr>
            </w:pPr>
          </w:p>
        </w:tc>
        <w:tc>
          <w:tcPr>
            <w:tcW w:w="2302" w:type="dxa"/>
            <w:vMerge w:val="restart"/>
          </w:tcPr>
          <w:p w14:paraId="5B2E8F04" w14:textId="77777777" w:rsidR="00B942A5" w:rsidRPr="009110BA" w:rsidRDefault="00B942A5" w:rsidP="009110BA">
            <w:pPr>
              <w:rPr>
                <w:szCs w:val="20"/>
              </w:rPr>
            </w:pPr>
          </w:p>
          <w:p w14:paraId="24316D30" w14:textId="77777777" w:rsidR="00B942A5" w:rsidRPr="009110BA" w:rsidRDefault="00B942A5" w:rsidP="009110BA">
            <w:pPr>
              <w:rPr>
                <w:szCs w:val="20"/>
              </w:rPr>
            </w:pPr>
            <w:r w:rsidRPr="009110BA">
              <w:rPr>
                <w:szCs w:val="20"/>
              </w:rPr>
              <w:t>Municipal own staff</w:t>
            </w:r>
          </w:p>
        </w:tc>
      </w:tr>
      <w:tr w:rsidR="00B942A5" w:rsidRPr="00B942A5" w14:paraId="7C2F03C7" w14:textId="77777777" w:rsidTr="009110BA">
        <w:trPr>
          <w:trHeight w:val="286"/>
        </w:trPr>
        <w:tc>
          <w:tcPr>
            <w:tcW w:w="2302" w:type="dxa"/>
            <w:vMerge/>
          </w:tcPr>
          <w:p w14:paraId="23664AB4" w14:textId="77777777" w:rsidR="00B942A5" w:rsidRPr="009110BA" w:rsidRDefault="00B942A5" w:rsidP="009110BA">
            <w:pPr>
              <w:rPr>
                <w:szCs w:val="20"/>
              </w:rPr>
            </w:pPr>
          </w:p>
        </w:tc>
        <w:tc>
          <w:tcPr>
            <w:tcW w:w="2302" w:type="dxa"/>
          </w:tcPr>
          <w:p w14:paraId="264CA5B9" w14:textId="77777777" w:rsidR="00B942A5" w:rsidRPr="009110BA" w:rsidRDefault="00B942A5" w:rsidP="009110BA">
            <w:pPr>
              <w:rPr>
                <w:szCs w:val="20"/>
              </w:rPr>
            </w:pPr>
            <w:r w:rsidRPr="009110BA">
              <w:rPr>
                <w:szCs w:val="20"/>
              </w:rPr>
              <w:t>Gingindlovu</w:t>
            </w:r>
          </w:p>
        </w:tc>
        <w:tc>
          <w:tcPr>
            <w:tcW w:w="2304" w:type="dxa"/>
            <w:vMerge/>
          </w:tcPr>
          <w:p w14:paraId="657E64E0" w14:textId="77777777" w:rsidR="00B942A5" w:rsidRPr="009110BA" w:rsidRDefault="00B942A5" w:rsidP="009110BA">
            <w:pPr>
              <w:rPr>
                <w:szCs w:val="20"/>
              </w:rPr>
            </w:pPr>
          </w:p>
        </w:tc>
        <w:tc>
          <w:tcPr>
            <w:tcW w:w="2302" w:type="dxa"/>
            <w:vMerge/>
          </w:tcPr>
          <w:p w14:paraId="3CF0C7D5" w14:textId="77777777" w:rsidR="00B942A5" w:rsidRPr="009110BA" w:rsidRDefault="00B942A5" w:rsidP="009110BA">
            <w:pPr>
              <w:rPr>
                <w:szCs w:val="20"/>
              </w:rPr>
            </w:pPr>
          </w:p>
        </w:tc>
      </w:tr>
      <w:tr w:rsidR="00B942A5" w:rsidRPr="00B942A5" w14:paraId="3097B661" w14:textId="77777777" w:rsidTr="009110BA">
        <w:trPr>
          <w:trHeight w:val="286"/>
        </w:trPr>
        <w:tc>
          <w:tcPr>
            <w:tcW w:w="2302" w:type="dxa"/>
            <w:vMerge/>
          </w:tcPr>
          <w:p w14:paraId="32B0DB7C" w14:textId="77777777" w:rsidR="00B942A5" w:rsidRPr="009110BA" w:rsidRDefault="00B942A5" w:rsidP="009110BA">
            <w:pPr>
              <w:rPr>
                <w:szCs w:val="20"/>
              </w:rPr>
            </w:pPr>
          </w:p>
        </w:tc>
        <w:tc>
          <w:tcPr>
            <w:tcW w:w="2302" w:type="dxa"/>
          </w:tcPr>
          <w:p w14:paraId="45E0F6FE" w14:textId="77777777" w:rsidR="00B942A5" w:rsidRPr="009110BA" w:rsidRDefault="00B942A5" w:rsidP="009110BA">
            <w:pPr>
              <w:rPr>
                <w:szCs w:val="20"/>
              </w:rPr>
            </w:pPr>
            <w:r w:rsidRPr="009110BA">
              <w:rPr>
                <w:szCs w:val="20"/>
              </w:rPr>
              <w:t>Mtunzini</w:t>
            </w:r>
          </w:p>
        </w:tc>
        <w:tc>
          <w:tcPr>
            <w:tcW w:w="2304" w:type="dxa"/>
            <w:vMerge/>
          </w:tcPr>
          <w:p w14:paraId="62704B08" w14:textId="77777777" w:rsidR="00B942A5" w:rsidRPr="009110BA" w:rsidRDefault="00B942A5" w:rsidP="009110BA">
            <w:pPr>
              <w:rPr>
                <w:szCs w:val="20"/>
              </w:rPr>
            </w:pPr>
          </w:p>
        </w:tc>
        <w:tc>
          <w:tcPr>
            <w:tcW w:w="2302" w:type="dxa"/>
            <w:vMerge/>
          </w:tcPr>
          <w:p w14:paraId="08FB6D2B" w14:textId="77777777" w:rsidR="00B942A5" w:rsidRPr="009110BA" w:rsidRDefault="00B942A5" w:rsidP="009110BA">
            <w:pPr>
              <w:rPr>
                <w:szCs w:val="20"/>
              </w:rPr>
            </w:pPr>
          </w:p>
        </w:tc>
      </w:tr>
      <w:tr w:rsidR="00B942A5" w:rsidRPr="00B942A5" w14:paraId="364D42A8" w14:textId="77777777" w:rsidTr="009110BA">
        <w:trPr>
          <w:trHeight w:val="86"/>
        </w:trPr>
        <w:tc>
          <w:tcPr>
            <w:tcW w:w="2302" w:type="dxa"/>
            <w:vMerge w:val="restart"/>
          </w:tcPr>
          <w:p w14:paraId="473C8413" w14:textId="77777777" w:rsidR="00B942A5" w:rsidRPr="009110BA" w:rsidRDefault="00B942A5" w:rsidP="009110BA">
            <w:pPr>
              <w:rPr>
                <w:szCs w:val="20"/>
              </w:rPr>
            </w:pPr>
            <w:r w:rsidRPr="009110BA">
              <w:rPr>
                <w:szCs w:val="20"/>
              </w:rPr>
              <w:t>Garden Refuse</w:t>
            </w:r>
          </w:p>
        </w:tc>
        <w:tc>
          <w:tcPr>
            <w:tcW w:w="2302" w:type="dxa"/>
          </w:tcPr>
          <w:p w14:paraId="77A3A8C3" w14:textId="77777777" w:rsidR="00B942A5" w:rsidRPr="009110BA" w:rsidRDefault="00B942A5" w:rsidP="009110BA">
            <w:pPr>
              <w:rPr>
                <w:szCs w:val="20"/>
              </w:rPr>
            </w:pPr>
            <w:r w:rsidRPr="009110BA">
              <w:rPr>
                <w:szCs w:val="20"/>
              </w:rPr>
              <w:t>Eshowe</w:t>
            </w:r>
          </w:p>
        </w:tc>
        <w:tc>
          <w:tcPr>
            <w:tcW w:w="2304" w:type="dxa"/>
            <w:vMerge w:val="restart"/>
          </w:tcPr>
          <w:p w14:paraId="5C8E3534" w14:textId="77777777" w:rsidR="00B942A5" w:rsidRPr="009110BA" w:rsidRDefault="00B942A5" w:rsidP="009110BA">
            <w:pPr>
              <w:rPr>
                <w:szCs w:val="20"/>
              </w:rPr>
            </w:pPr>
            <w:r w:rsidRPr="009110BA">
              <w:rPr>
                <w:szCs w:val="20"/>
              </w:rPr>
              <w:t>Collection when services requested</w:t>
            </w:r>
          </w:p>
        </w:tc>
        <w:tc>
          <w:tcPr>
            <w:tcW w:w="2302" w:type="dxa"/>
            <w:vMerge w:val="restart"/>
          </w:tcPr>
          <w:p w14:paraId="569BE92D" w14:textId="77777777" w:rsidR="00B942A5" w:rsidRPr="009110BA" w:rsidRDefault="00B942A5" w:rsidP="009110BA">
            <w:pPr>
              <w:rPr>
                <w:szCs w:val="20"/>
              </w:rPr>
            </w:pPr>
            <w:r w:rsidRPr="009110BA">
              <w:rPr>
                <w:szCs w:val="20"/>
              </w:rPr>
              <w:t>Municipal own staff/contractor</w:t>
            </w:r>
          </w:p>
        </w:tc>
      </w:tr>
      <w:tr w:rsidR="00B942A5" w:rsidRPr="00B942A5" w14:paraId="4795EE9D" w14:textId="77777777" w:rsidTr="009110BA">
        <w:trPr>
          <w:trHeight w:val="85"/>
        </w:trPr>
        <w:tc>
          <w:tcPr>
            <w:tcW w:w="2302" w:type="dxa"/>
            <w:vMerge/>
          </w:tcPr>
          <w:p w14:paraId="4D0302AB" w14:textId="77777777" w:rsidR="00B942A5" w:rsidRPr="00B942A5" w:rsidRDefault="00B942A5" w:rsidP="009110BA">
            <w:pPr>
              <w:rPr>
                <w:rFonts w:ascii="Arial" w:hAnsi="Arial"/>
                <w:sz w:val="18"/>
                <w:szCs w:val="20"/>
              </w:rPr>
            </w:pPr>
          </w:p>
        </w:tc>
        <w:tc>
          <w:tcPr>
            <w:tcW w:w="2302" w:type="dxa"/>
          </w:tcPr>
          <w:p w14:paraId="078A3995" w14:textId="77777777" w:rsidR="00B942A5" w:rsidRPr="00B942A5" w:rsidRDefault="00B942A5" w:rsidP="009110BA">
            <w:pPr>
              <w:rPr>
                <w:rFonts w:ascii="Arial" w:hAnsi="Arial" w:cs="Arial"/>
                <w:sz w:val="18"/>
                <w:szCs w:val="20"/>
              </w:rPr>
            </w:pPr>
            <w:r w:rsidRPr="00B942A5">
              <w:rPr>
                <w:rFonts w:ascii="Arial" w:hAnsi="Arial" w:cs="Arial"/>
                <w:sz w:val="18"/>
                <w:szCs w:val="20"/>
              </w:rPr>
              <w:t>Gingindlovu</w:t>
            </w:r>
          </w:p>
        </w:tc>
        <w:tc>
          <w:tcPr>
            <w:tcW w:w="2304" w:type="dxa"/>
            <w:vMerge/>
          </w:tcPr>
          <w:p w14:paraId="5CCFCC57" w14:textId="77777777" w:rsidR="00B942A5" w:rsidRPr="00B942A5" w:rsidRDefault="00B942A5" w:rsidP="009110BA">
            <w:pPr>
              <w:rPr>
                <w:rFonts w:ascii="Arial" w:hAnsi="Arial"/>
                <w:sz w:val="18"/>
                <w:szCs w:val="20"/>
              </w:rPr>
            </w:pPr>
          </w:p>
        </w:tc>
        <w:tc>
          <w:tcPr>
            <w:tcW w:w="2302" w:type="dxa"/>
            <w:vMerge/>
          </w:tcPr>
          <w:p w14:paraId="2ADEFCD3" w14:textId="77777777" w:rsidR="00B942A5" w:rsidRPr="00B942A5" w:rsidRDefault="00B942A5" w:rsidP="009110BA">
            <w:pPr>
              <w:rPr>
                <w:rFonts w:ascii="Arial" w:hAnsi="Arial"/>
                <w:sz w:val="18"/>
                <w:szCs w:val="20"/>
              </w:rPr>
            </w:pPr>
          </w:p>
        </w:tc>
      </w:tr>
      <w:tr w:rsidR="00B942A5" w:rsidRPr="00B942A5" w14:paraId="458A54F9" w14:textId="77777777" w:rsidTr="009110BA">
        <w:trPr>
          <w:trHeight w:val="85"/>
        </w:trPr>
        <w:tc>
          <w:tcPr>
            <w:tcW w:w="2302" w:type="dxa"/>
            <w:vMerge/>
          </w:tcPr>
          <w:p w14:paraId="5DEFCD35" w14:textId="77777777" w:rsidR="00B942A5" w:rsidRPr="00B942A5" w:rsidRDefault="00B942A5" w:rsidP="009110BA">
            <w:pPr>
              <w:rPr>
                <w:rFonts w:ascii="Arial" w:hAnsi="Arial"/>
                <w:sz w:val="18"/>
                <w:szCs w:val="20"/>
              </w:rPr>
            </w:pPr>
          </w:p>
        </w:tc>
        <w:tc>
          <w:tcPr>
            <w:tcW w:w="2302" w:type="dxa"/>
          </w:tcPr>
          <w:p w14:paraId="53A051BB" w14:textId="77777777" w:rsidR="00B942A5" w:rsidRPr="00B942A5" w:rsidRDefault="00B942A5" w:rsidP="009110BA">
            <w:pPr>
              <w:rPr>
                <w:rFonts w:ascii="Arial" w:hAnsi="Arial" w:cs="Arial"/>
                <w:sz w:val="18"/>
                <w:szCs w:val="20"/>
              </w:rPr>
            </w:pPr>
            <w:r w:rsidRPr="00B942A5">
              <w:rPr>
                <w:rFonts w:ascii="Arial" w:hAnsi="Arial" w:cs="Arial"/>
                <w:sz w:val="18"/>
                <w:szCs w:val="20"/>
              </w:rPr>
              <w:t>Mtunzini</w:t>
            </w:r>
          </w:p>
        </w:tc>
        <w:tc>
          <w:tcPr>
            <w:tcW w:w="2304" w:type="dxa"/>
            <w:vMerge/>
          </w:tcPr>
          <w:p w14:paraId="486C46DA" w14:textId="77777777" w:rsidR="00B942A5" w:rsidRPr="00B942A5" w:rsidRDefault="00B942A5" w:rsidP="009110BA">
            <w:pPr>
              <w:rPr>
                <w:rFonts w:ascii="Arial" w:hAnsi="Arial"/>
                <w:sz w:val="18"/>
                <w:szCs w:val="20"/>
              </w:rPr>
            </w:pPr>
          </w:p>
        </w:tc>
        <w:tc>
          <w:tcPr>
            <w:tcW w:w="2302" w:type="dxa"/>
            <w:vMerge/>
          </w:tcPr>
          <w:p w14:paraId="7CE703D1" w14:textId="77777777" w:rsidR="00B942A5" w:rsidRPr="00B942A5" w:rsidRDefault="00B942A5" w:rsidP="009110BA">
            <w:pPr>
              <w:rPr>
                <w:rFonts w:ascii="Arial" w:hAnsi="Arial"/>
                <w:sz w:val="18"/>
                <w:szCs w:val="20"/>
              </w:rPr>
            </w:pPr>
          </w:p>
        </w:tc>
      </w:tr>
    </w:tbl>
    <w:p w14:paraId="66EAAB99" w14:textId="77777777" w:rsidR="0011708C" w:rsidRPr="00E338F3" w:rsidRDefault="00E338F3" w:rsidP="002F62F0">
      <w:pPr>
        <w:pStyle w:val="Caption"/>
      </w:pPr>
      <w:bookmarkStart w:id="289" w:name="_Toc510622280"/>
      <w:r>
        <w:t xml:space="preserve">Table </w:t>
      </w:r>
      <w:r w:rsidR="00B918A6">
        <w:fldChar w:fldCharType="begin"/>
      </w:r>
      <w:r w:rsidR="00B918A6">
        <w:instrText xml:space="preserve"> SEQ Table \* ARABIC </w:instrText>
      </w:r>
      <w:r w:rsidR="00B918A6">
        <w:fldChar w:fldCharType="separate"/>
      </w:r>
      <w:r w:rsidR="0067023A">
        <w:rPr>
          <w:noProof/>
        </w:rPr>
        <w:t>30</w:t>
      </w:r>
      <w:r w:rsidR="00B918A6">
        <w:rPr>
          <w:noProof/>
        </w:rPr>
        <w:fldChar w:fldCharType="end"/>
      </w:r>
      <w:r>
        <w:t xml:space="preserve">: </w:t>
      </w:r>
      <w:r w:rsidR="00284F64" w:rsidRPr="00E338F3">
        <w:t xml:space="preserve">Frequency of </w:t>
      </w:r>
      <w:r w:rsidR="00703CE6" w:rsidRPr="00E338F3">
        <w:t>Collecting</w:t>
      </w:r>
      <w:r w:rsidR="00284F64" w:rsidRPr="00E338F3">
        <w:t xml:space="preserve"> and Responsible Persons for Refuse Removal (uMlalazi IWMP</w:t>
      </w:r>
      <w:r w:rsidR="00A87FC5">
        <w:t xml:space="preserve"> UNDER REVIEW</w:t>
      </w:r>
      <w:r w:rsidR="00284F64" w:rsidRPr="00E338F3">
        <w:t>)</w:t>
      </w:r>
      <w:bookmarkEnd w:id="289"/>
    </w:p>
    <w:p w14:paraId="53C5EFF0" w14:textId="77777777" w:rsidR="00F929B6" w:rsidRDefault="00284F64" w:rsidP="00395313">
      <w:pPr>
        <w:spacing w:line="288" w:lineRule="auto"/>
        <w:jc w:val="both"/>
        <w:rPr>
          <w:szCs w:val="20"/>
        </w:rPr>
      </w:pPr>
      <w:r>
        <w:rPr>
          <w:szCs w:val="20"/>
        </w:rPr>
        <w:t>The municipality enjoys the service</w:t>
      </w:r>
      <w:r w:rsidR="00677207">
        <w:rPr>
          <w:szCs w:val="20"/>
        </w:rPr>
        <w:t>s of contractors who assist</w:t>
      </w:r>
      <w:r>
        <w:rPr>
          <w:szCs w:val="20"/>
        </w:rPr>
        <w:t xml:space="preserve"> with the following functions;</w:t>
      </w:r>
    </w:p>
    <w:p w14:paraId="6B929E7B" w14:textId="77777777" w:rsidR="00284F64" w:rsidRDefault="00284F64" w:rsidP="00750180">
      <w:pPr>
        <w:pStyle w:val="ListParagraph"/>
        <w:numPr>
          <w:ilvl w:val="0"/>
          <w:numId w:val="36"/>
        </w:numPr>
        <w:spacing w:line="288" w:lineRule="auto"/>
        <w:jc w:val="both"/>
        <w:rPr>
          <w:szCs w:val="20"/>
        </w:rPr>
      </w:pPr>
      <w:r>
        <w:rPr>
          <w:szCs w:val="20"/>
        </w:rPr>
        <w:t>All general waste, street sweeping and household waste collection</w:t>
      </w:r>
    </w:p>
    <w:p w14:paraId="72D6BBC8" w14:textId="77777777" w:rsidR="00284F64" w:rsidRDefault="00284F64" w:rsidP="00750180">
      <w:pPr>
        <w:pStyle w:val="ListParagraph"/>
        <w:numPr>
          <w:ilvl w:val="0"/>
          <w:numId w:val="36"/>
        </w:numPr>
        <w:spacing w:line="288" w:lineRule="auto"/>
        <w:jc w:val="both"/>
        <w:rPr>
          <w:szCs w:val="20"/>
        </w:rPr>
      </w:pPr>
      <w:r>
        <w:rPr>
          <w:szCs w:val="20"/>
        </w:rPr>
        <w:t xml:space="preserve">Commercial </w:t>
      </w:r>
      <w:r w:rsidR="00703CE6">
        <w:rPr>
          <w:szCs w:val="20"/>
        </w:rPr>
        <w:t>street sweeping</w:t>
      </w:r>
      <w:r>
        <w:rPr>
          <w:szCs w:val="20"/>
        </w:rPr>
        <w:t xml:space="preserve"> (CBD, Taxi Ranks)</w:t>
      </w:r>
    </w:p>
    <w:p w14:paraId="32EEE576" w14:textId="77777777" w:rsidR="00284F64" w:rsidRDefault="00284F64" w:rsidP="00750180">
      <w:pPr>
        <w:pStyle w:val="ListParagraph"/>
        <w:numPr>
          <w:ilvl w:val="0"/>
          <w:numId w:val="36"/>
        </w:numPr>
        <w:spacing w:before="240" w:line="288" w:lineRule="auto"/>
        <w:jc w:val="both"/>
        <w:rPr>
          <w:szCs w:val="20"/>
        </w:rPr>
      </w:pPr>
      <w:r>
        <w:rPr>
          <w:szCs w:val="20"/>
        </w:rPr>
        <w:t>Transportation to landfill/transfer sites and recycling</w:t>
      </w:r>
    </w:p>
    <w:p w14:paraId="11E5B8CF" w14:textId="77777777" w:rsidR="009110BA" w:rsidRDefault="009110BA" w:rsidP="009110BA">
      <w:pPr>
        <w:pStyle w:val="ListParagraph"/>
        <w:spacing w:before="240" w:line="288" w:lineRule="auto"/>
        <w:jc w:val="both"/>
        <w:rPr>
          <w:szCs w:val="20"/>
        </w:rPr>
      </w:pPr>
    </w:p>
    <w:p w14:paraId="34EFA7FB" w14:textId="77777777" w:rsidR="00284F64" w:rsidRPr="00176CEC" w:rsidRDefault="00284F64" w:rsidP="00750180">
      <w:pPr>
        <w:pStyle w:val="ListParagraph"/>
        <w:numPr>
          <w:ilvl w:val="3"/>
          <w:numId w:val="29"/>
        </w:numPr>
        <w:spacing w:line="288" w:lineRule="auto"/>
        <w:jc w:val="both"/>
        <w:rPr>
          <w:rFonts w:asciiTheme="minorHAnsi" w:eastAsiaTheme="majorEastAsia" w:hAnsiTheme="minorHAnsi" w:cstheme="majorBidi"/>
          <w:b/>
          <w:bCs/>
          <w:iCs/>
          <w:sz w:val="22"/>
        </w:rPr>
      </w:pPr>
      <w:r w:rsidRPr="00176CEC">
        <w:rPr>
          <w:rFonts w:asciiTheme="minorHAnsi" w:eastAsiaTheme="majorEastAsia" w:hAnsiTheme="minorHAnsi" w:cstheme="majorBidi"/>
          <w:b/>
          <w:bCs/>
          <w:iCs/>
          <w:sz w:val="22"/>
        </w:rPr>
        <w:t>Role of EPWP</w:t>
      </w:r>
      <w:r w:rsidR="00244F08" w:rsidRPr="00176CEC">
        <w:rPr>
          <w:rFonts w:asciiTheme="minorHAnsi" w:eastAsiaTheme="majorEastAsia" w:hAnsiTheme="minorHAnsi" w:cstheme="majorBidi"/>
          <w:b/>
          <w:bCs/>
          <w:iCs/>
          <w:sz w:val="22"/>
        </w:rPr>
        <w:t xml:space="preserve"> (Job Creation)</w:t>
      </w:r>
    </w:p>
    <w:p w14:paraId="690C064C" w14:textId="77777777" w:rsidR="00A87FC5" w:rsidRPr="00A87FC5" w:rsidRDefault="00FC5E88" w:rsidP="00A87FC5">
      <w:pPr>
        <w:spacing w:line="288" w:lineRule="auto"/>
        <w:jc w:val="both"/>
        <w:rPr>
          <w:szCs w:val="20"/>
        </w:rPr>
      </w:pPr>
      <w:r w:rsidRPr="00FF499C">
        <w:rPr>
          <w:szCs w:val="20"/>
        </w:rPr>
        <w:t xml:space="preserve">The municipality has rolled out, through the EPWP, a program known as the Food </w:t>
      </w:r>
      <w:r w:rsidR="000F0FB8" w:rsidRPr="00FF499C">
        <w:rPr>
          <w:szCs w:val="20"/>
        </w:rPr>
        <w:t>for</w:t>
      </w:r>
      <w:r w:rsidR="00A87FC5">
        <w:rPr>
          <w:szCs w:val="20"/>
        </w:rPr>
        <w:t xml:space="preserve"> Waste program in 25</w:t>
      </w:r>
      <w:r w:rsidRPr="00FF499C">
        <w:rPr>
          <w:szCs w:val="20"/>
        </w:rPr>
        <w:t xml:space="preserve"> of the 2</w:t>
      </w:r>
      <w:r w:rsidR="00A87FC5">
        <w:rPr>
          <w:szCs w:val="20"/>
        </w:rPr>
        <w:t>7</w:t>
      </w:r>
      <w:r w:rsidRPr="00FF499C">
        <w:rPr>
          <w:szCs w:val="20"/>
        </w:rPr>
        <w:t xml:space="preserve"> municipal wards.</w:t>
      </w:r>
      <w:r w:rsidR="00A87FC5">
        <w:rPr>
          <w:szCs w:val="20"/>
        </w:rPr>
        <w:t xml:space="preserve"> Through this program, </w:t>
      </w:r>
      <w:r w:rsidRPr="00FF499C">
        <w:rPr>
          <w:szCs w:val="20"/>
        </w:rPr>
        <w:t xml:space="preserve">beneficiaries have been identified who assist in the waste collection and cleaning in mostly the rural wards. The </w:t>
      </w:r>
      <w:r w:rsidR="00703CE6" w:rsidRPr="00FF499C">
        <w:rPr>
          <w:szCs w:val="20"/>
        </w:rPr>
        <w:t>cleanup</w:t>
      </w:r>
      <w:r w:rsidRPr="00FF499C">
        <w:rPr>
          <w:szCs w:val="20"/>
        </w:rPr>
        <w:t xml:space="preserve"> operation </w:t>
      </w:r>
      <w:r w:rsidR="00703CE6" w:rsidRPr="00FF499C">
        <w:rPr>
          <w:szCs w:val="20"/>
        </w:rPr>
        <w:t>focuses</w:t>
      </w:r>
      <w:r w:rsidRPr="00FF499C">
        <w:rPr>
          <w:szCs w:val="20"/>
        </w:rPr>
        <w:t xml:space="preserve"> mainly on the rural main roads within the municipality. The municipality also makes use of service providers who assist in the collection of waste within the</w:t>
      </w:r>
      <w:r w:rsidR="00FF499C" w:rsidRPr="00FF499C">
        <w:rPr>
          <w:szCs w:val="20"/>
        </w:rPr>
        <w:t xml:space="preserve">se rural areas. Further to the aforementioned program, the municipality is also running a War </w:t>
      </w:r>
      <w:r w:rsidR="000F0FB8" w:rsidRPr="00FF499C">
        <w:rPr>
          <w:szCs w:val="20"/>
        </w:rPr>
        <w:t>against</w:t>
      </w:r>
      <w:r w:rsidR="00FF499C" w:rsidRPr="00FF499C">
        <w:rPr>
          <w:szCs w:val="20"/>
        </w:rPr>
        <w:t xml:space="preserve"> Poverty program of a similar nature than that of the food for waste program.</w:t>
      </w:r>
      <w:r w:rsidR="00A87FC5">
        <w:rPr>
          <w:szCs w:val="20"/>
        </w:rPr>
        <w:t xml:space="preserve"> </w:t>
      </w:r>
      <w:r w:rsidR="00A87FC5" w:rsidRPr="00A87FC5">
        <w:rPr>
          <w:szCs w:val="20"/>
        </w:rPr>
        <w:t>Six (6) SMMEs/contractors are involved for the cleaning of routes at specified wards. These routes are mainly used by tourists and are treated as priority areas for waste removal services:</w:t>
      </w:r>
    </w:p>
    <w:p w14:paraId="0D5A81B5" w14:textId="77777777" w:rsidR="00A87FC5" w:rsidRPr="00A87FC5" w:rsidRDefault="00A87FC5" w:rsidP="00750180">
      <w:pPr>
        <w:pStyle w:val="ListParagraph"/>
        <w:numPr>
          <w:ilvl w:val="0"/>
          <w:numId w:val="72"/>
        </w:numPr>
        <w:spacing w:line="288" w:lineRule="auto"/>
        <w:jc w:val="both"/>
        <w:rPr>
          <w:szCs w:val="20"/>
        </w:rPr>
      </w:pPr>
      <w:r w:rsidRPr="00A87FC5">
        <w:rPr>
          <w:szCs w:val="20"/>
        </w:rPr>
        <w:t>National (N2);</w:t>
      </w:r>
    </w:p>
    <w:p w14:paraId="642EA60A" w14:textId="77777777" w:rsidR="00A87FC5" w:rsidRPr="00A87FC5" w:rsidRDefault="00A87FC5" w:rsidP="00750180">
      <w:pPr>
        <w:pStyle w:val="ListParagraph"/>
        <w:numPr>
          <w:ilvl w:val="0"/>
          <w:numId w:val="72"/>
        </w:numPr>
        <w:spacing w:line="288" w:lineRule="auto"/>
        <w:jc w:val="both"/>
        <w:rPr>
          <w:szCs w:val="20"/>
        </w:rPr>
      </w:pPr>
      <w:r w:rsidRPr="00A87FC5">
        <w:rPr>
          <w:szCs w:val="20"/>
        </w:rPr>
        <w:t>P248 (Shakaland Road)</w:t>
      </w:r>
    </w:p>
    <w:p w14:paraId="6CA4AAB1" w14:textId="77777777" w:rsidR="00A87FC5" w:rsidRPr="00A87FC5" w:rsidRDefault="00A87FC5" w:rsidP="00750180">
      <w:pPr>
        <w:pStyle w:val="ListParagraph"/>
        <w:numPr>
          <w:ilvl w:val="0"/>
          <w:numId w:val="72"/>
        </w:numPr>
        <w:spacing w:line="288" w:lineRule="auto"/>
        <w:jc w:val="both"/>
        <w:rPr>
          <w:szCs w:val="20"/>
        </w:rPr>
      </w:pPr>
      <w:r w:rsidRPr="00A87FC5">
        <w:rPr>
          <w:szCs w:val="20"/>
        </w:rPr>
        <w:t>P47 (to Melmoth from Gingindlovu);</w:t>
      </w:r>
    </w:p>
    <w:p w14:paraId="04353912" w14:textId="77777777" w:rsidR="00A87FC5" w:rsidRPr="00A87FC5" w:rsidRDefault="00A87FC5" w:rsidP="00750180">
      <w:pPr>
        <w:pStyle w:val="ListParagraph"/>
        <w:numPr>
          <w:ilvl w:val="0"/>
          <w:numId w:val="72"/>
        </w:numPr>
        <w:spacing w:line="288" w:lineRule="auto"/>
        <w:jc w:val="both"/>
        <w:rPr>
          <w:szCs w:val="20"/>
        </w:rPr>
      </w:pPr>
      <w:r w:rsidRPr="00A87FC5">
        <w:rPr>
          <w:szCs w:val="20"/>
        </w:rPr>
        <w:t>P2 (Gingindlovu to Mtunzini);</w:t>
      </w:r>
    </w:p>
    <w:p w14:paraId="08DB2941" w14:textId="77777777" w:rsidR="00A87FC5" w:rsidRPr="00A87FC5" w:rsidRDefault="00A87FC5" w:rsidP="00750180">
      <w:pPr>
        <w:pStyle w:val="ListParagraph"/>
        <w:numPr>
          <w:ilvl w:val="0"/>
          <w:numId w:val="72"/>
        </w:numPr>
        <w:spacing w:line="288" w:lineRule="auto"/>
        <w:jc w:val="both"/>
        <w:rPr>
          <w:szCs w:val="20"/>
        </w:rPr>
      </w:pPr>
      <w:r w:rsidRPr="00A87FC5">
        <w:rPr>
          <w:szCs w:val="20"/>
        </w:rPr>
        <w:t>P5 (Eshowe to Nkandla).</w:t>
      </w:r>
    </w:p>
    <w:p w14:paraId="5ACA618D" w14:textId="0F7BACBA" w:rsidR="00A87FC5" w:rsidRDefault="00A52D8E" w:rsidP="00A87FC5">
      <w:pPr>
        <w:spacing w:line="288" w:lineRule="auto"/>
        <w:jc w:val="both"/>
        <w:rPr>
          <w:szCs w:val="20"/>
        </w:rPr>
      </w:pPr>
      <w:r>
        <w:rPr>
          <w:szCs w:val="20"/>
        </w:rPr>
        <w:t>The uMlalazi Municipality provides refuse removal services in the rural areas, through EPWP who collects the refuse and contracted services which transports the waste to the Regional Landfill Sites</w:t>
      </w:r>
      <w:r w:rsidR="00C21C0D">
        <w:rPr>
          <w:szCs w:val="20"/>
        </w:rPr>
        <w:t xml:space="preserve">. </w:t>
      </w:r>
      <w:r w:rsidR="00A87FC5" w:rsidRPr="00A87FC5">
        <w:rPr>
          <w:szCs w:val="20"/>
        </w:rPr>
        <w:t xml:space="preserve">Refuse removal </w:t>
      </w:r>
      <w:r w:rsidR="00C21C0D">
        <w:rPr>
          <w:szCs w:val="20"/>
        </w:rPr>
        <w:t xml:space="preserve">in rural areas </w:t>
      </w:r>
      <w:r w:rsidR="00A87FC5" w:rsidRPr="00A87FC5">
        <w:rPr>
          <w:szCs w:val="20"/>
        </w:rPr>
        <w:t>has been clustered as follows:-</w:t>
      </w:r>
    </w:p>
    <w:tbl>
      <w:tblPr>
        <w:tblStyle w:val="TableGrid18"/>
        <w:tblW w:w="0" w:type="auto"/>
        <w:tblLook w:val="04A0" w:firstRow="1" w:lastRow="0" w:firstColumn="1" w:lastColumn="0" w:noHBand="0" w:noVBand="1"/>
      </w:tblPr>
      <w:tblGrid>
        <w:gridCol w:w="1976"/>
        <w:gridCol w:w="854"/>
        <w:gridCol w:w="6170"/>
      </w:tblGrid>
      <w:tr w:rsidR="00A87FC5" w:rsidRPr="00A87FC5" w14:paraId="53F8AF87" w14:textId="77777777" w:rsidTr="00967A52">
        <w:trPr>
          <w:trHeight w:val="379"/>
        </w:trPr>
        <w:tc>
          <w:tcPr>
            <w:tcW w:w="1976" w:type="dxa"/>
            <w:shd w:val="clear" w:color="auto" w:fill="000000" w:themeFill="text1"/>
          </w:tcPr>
          <w:p w14:paraId="210D4E3E" w14:textId="77777777" w:rsidR="00A87FC5" w:rsidRPr="00A87FC5" w:rsidRDefault="00A87FC5" w:rsidP="00A87FC5">
            <w:pPr>
              <w:autoSpaceDE w:val="0"/>
              <w:autoSpaceDN w:val="0"/>
              <w:adjustRightInd w:val="0"/>
              <w:rPr>
                <w:b/>
                <w:szCs w:val="20"/>
              </w:rPr>
            </w:pPr>
          </w:p>
          <w:p w14:paraId="167F6935" w14:textId="77777777" w:rsidR="00A87FC5" w:rsidRPr="00A87FC5" w:rsidRDefault="00A87FC5" w:rsidP="00A87FC5">
            <w:pPr>
              <w:autoSpaceDE w:val="0"/>
              <w:autoSpaceDN w:val="0"/>
              <w:adjustRightInd w:val="0"/>
              <w:rPr>
                <w:b/>
                <w:szCs w:val="20"/>
              </w:rPr>
            </w:pPr>
            <w:r w:rsidRPr="00A87FC5">
              <w:rPr>
                <w:b/>
                <w:szCs w:val="20"/>
              </w:rPr>
              <w:t>Cluster</w:t>
            </w:r>
          </w:p>
        </w:tc>
        <w:tc>
          <w:tcPr>
            <w:tcW w:w="854" w:type="dxa"/>
            <w:shd w:val="clear" w:color="auto" w:fill="000000" w:themeFill="text1"/>
          </w:tcPr>
          <w:p w14:paraId="30F3D113" w14:textId="77777777" w:rsidR="00A87FC5" w:rsidRPr="00A87FC5" w:rsidRDefault="00A87FC5" w:rsidP="00A87FC5">
            <w:pPr>
              <w:autoSpaceDE w:val="0"/>
              <w:autoSpaceDN w:val="0"/>
              <w:adjustRightInd w:val="0"/>
              <w:rPr>
                <w:b/>
                <w:szCs w:val="20"/>
              </w:rPr>
            </w:pPr>
          </w:p>
          <w:p w14:paraId="14A88FEF" w14:textId="77777777" w:rsidR="00A87FC5" w:rsidRPr="00A87FC5" w:rsidRDefault="00A87FC5" w:rsidP="00A87FC5">
            <w:pPr>
              <w:autoSpaceDE w:val="0"/>
              <w:autoSpaceDN w:val="0"/>
              <w:adjustRightInd w:val="0"/>
              <w:rPr>
                <w:b/>
                <w:szCs w:val="20"/>
              </w:rPr>
            </w:pPr>
            <w:r w:rsidRPr="00A87FC5">
              <w:rPr>
                <w:b/>
                <w:szCs w:val="20"/>
              </w:rPr>
              <w:t>Ward No</w:t>
            </w:r>
          </w:p>
        </w:tc>
        <w:tc>
          <w:tcPr>
            <w:tcW w:w="6170" w:type="dxa"/>
            <w:shd w:val="clear" w:color="auto" w:fill="000000" w:themeFill="text1"/>
          </w:tcPr>
          <w:p w14:paraId="21A688FC" w14:textId="77777777" w:rsidR="00A87FC5" w:rsidRPr="00A87FC5" w:rsidRDefault="00A87FC5" w:rsidP="00A87FC5">
            <w:pPr>
              <w:autoSpaceDE w:val="0"/>
              <w:autoSpaceDN w:val="0"/>
              <w:adjustRightInd w:val="0"/>
              <w:rPr>
                <w:b/>
                <w:szCs w:val="20"/>
              </w:rPr>
            </w:pPr>
          </w:p>
          <w:p w14:paraId="0CE1F821" w14:textId="77777777" w:rsidR="00A87FC5" w:rsidRPr="00A87FC5" w:rsidRDefault="00A87FC5" w:rsidP="00A87FC5">
            <w:pPr>
              <w:autoSpaceDE w:val="0"/>
              <w:autoSpaceDN w:val="0"/>
              <w:adjustRightInd w:val="0"/>
              <w:rPr>
                <w:b/>
                <w:szCs w:val="20"/>
              </w:rPr>
            </w:pPr>
            <w:r w:rsidRPr="00A87FC5">
              <w:rPr>
                <w:b/>
                <w:szCs w:val="20"/>
              </w:rPr>
              <w:t>Izigodi</w:t>
            </w:r>
          </w:p>
        </w:tc>
      </w:tr>
      <w:tr w:rsidR="00A87FC5" w:rsidRPr="00A87FC5" w14:paraId="2B5A6FEC" w14:textId="77777777" w:rsidTr="00967A52">
        <w:trPr>
          <w:trHeight w:val="284"/>
        </w:trPr>
        <w:tc>
          <w:tcPr>
            <w:tcW w:w="1976" w:type="dxa"/>
            <w:vMerge w:val="restart"/>
          </w:tcPr>
          <w:p w14:paraId="0672A7F6" w14:textId="77777777" w:rsidR="00A87FC5" w:rsidRPr="00A87FC5" w:rsidRDefault="00A87FC5" w:rsidP="00A87FC5">
            <w:pPr>
              <w:autoSpaceDE w:val="0"/>
              <w:autoSpaceDN w:val="0"/>
              <w:adjustRightInd w:val="0"/>
              <w:rPr>
                <w:szCs w:val="20"/>
              </w:rPr>
            </w:pPr>
          </w:p>
          <w:p w14:paraId="77A23AA4" w14:textId="77777777" w:rsidR="00A87FC5" w:rsidRPr="00A87FC5" w:rsidRDefault="00A87FC5" w:rsidP="00A87FC5">
            <w:pPr>
              <w:autoSpaceDE w:val="0"/>
              <w:autoSpaceDN w:val="0"/>
              <w:adjustRightInd w:val="0"/>
              <w:rPr>
                <w:szCs w:val="20"/>
              </w:rPr>
            </w:pPr>
          </w:p>
          <w:p w14:paraId="25B0A136" w14:textId="77777777" w:rsidR="00A87FC5" w:rsidRPr="00A87FC5" w:rsidRDefault="00A87FC5" w:rsidP="00A87FC5">
            <w:pPr>
              <w:autoSpaceDE w:val="0"/>
              <w:autoSpaceDN w:val="0"/>
              <w:adjustRightInd w:val="0"/>
              <w:rPr>
                <w:szCs w:val="20"/>
              </w:rPr>
            </w:pPr>
            <w:r w:rsidRPr="00A87FC5">
              <w:rPr>
                <w:szCs w:val="20"/>
              </w:rPr>
              <w:t>Cluster 1</w:t>
            </w:r>
          </w:p>
        </w:tc>
        <w:tc>
          <w:tcPr>
            <w:tcW w:w="854" w:type="dxa"/>
            <w:shd w:val="clear" w:color="auto" w:fill="auto"/>
          </w:tcPr>
          <w:p w14:paraId="0425635F" w14:textId="77777777" w:rsidR="00A87FC5" w:rsidRPr="00A87FC5" w:rsidRDefault="00A87FC5" w:rsidP="00A87FC5">
            <w:pPr>
              <w:rPr>
                <w:szCs w:val="20"/>
              </w:rPr>
            </w:pPr>
            <w:r w:rsidRPr="00A87FC5">
              <w:rPr>
                <w:szCs w:val="20"/>
              </w:rPr>
              <w:t>1</w:t>
            </w:r>
          </w:p>
        </w:tc>
        <w:tc>
          <w:tcPr>
            <w:tcW w:w="6170" w:type="dxa"/>
            <w:shd w:val="clear" w:color="auto" w:fill="auto"/>
          </w:tcPr>
          <w:p w14:paraId="2961E351" w14:textId="77777777" w:rsidR="00A87FC5" w:rsidRPr="00A87FC5" w:rsidRDefault="00A87FC5" w:rsidP="00A87FC5">
            <w:pPr>
              <w:rPr>
                <w:szCs w:val="20"/>
              </w:rPr>
            </w:pPr>
            <w:r w:rsidRPr="00A87FC5">
              <w:rPr>
                <w:szCs w:val="20"/>
              </w:rPr>
              <w:t>Mvuzane; Osungulweni, Gopotane</w:t>
            </w:r>
          </w:p>
        </w:tc>
      </w:tr>
      <w:tr w:rsidR="00A87FC5" w:rsidRPr="00A87FC5" w14:paraId="7403CACF" w14:textId="77777777" w:rsidTr="00967A52">
        <w:trPr>
          <w:trHeight w:val="296"/>
        </w:trPr>
        <w:tc>
          <w:tcPr>
            <w:tcW w:w="1976" w:type="dxa"/>
            <w:vMerge/>
          </w:tcPr>
          <w:p w14:paraId="47846DE0" w14:textId="77777777" w:rsidR="00A87FC5" w:rsidRPr="00A87FC5" w:rsidRDefault="00A87FC5" w:rsidP="00A87FC5">
            <w:pPr>
              <w:autoSpaceDE w:val="0"/>
              <w:autoSpaceDN w:val="0"/>
              <w:adjustRightInd w:val="0"/>
              <w:rPr>
                <w:szCs w:val="20"/>
              </w:rPr>
            </w:pPr>
          </w:p>
        </w:tc>
        <w:tc>
          <w:tcPr>
            <w:tcW w:w="854" w:type="dxa"/>
            <w:shd w:val="clear" w:color="auto" w:fill="auto"/>
          </w:tcPr>
          <w:p w14:paraId="3E780C9B" w14:textId="77777777" w:rsidR="00A87FC5" w:rsidRPr="00A87FC5" w:rsidRDefault="00A87FC5" w:rsidP="00A87FC5">
            <w:pPr>
              <w:rPr>
                <w:szCs w:val="20"/>
              </w:rPr>
            </w:pPr>
            <w:r w:rsidRPr="00A87FC5">
              <w:rPr>
                <w:szCs w:val="20"/>
              </w:rPr>
              <w:t>2</w:t>
            </w:r>
          </w:p>
        </w:tc>
        <w:tc>
          <w:tcPr>
            <w:tcW w:w="6170" w:type="dxa"/>
            <w:shd w:val="clear" w:color="auto" w:fill="auto"/>
          </w:tcPr>
          <w:p w14:paraId="1E88752C" w14:textId="77777777" w:rsidR="00A87FC5" w:rsidRPr="00A87FC5" w:rsidRDefault="00A87FC5" w:rsidP="00F91930">
            <w:pPr>
              <w:rPr>
                <w:szCs w:val="20"/>
              </w:rPr>
            </w:pPr>
            <w:r w:rsidRPr="00A87FC5">
              <w:rPr>
                <w:szCs w:val="20"/>
              </w:rPr>
              <w:t>Mamba, Sitilo</w:t>
            </w:r>
          </w:p>
        </w:tc>
      </w:tr>
      <w:tr w:rsidR="00A87FC5" w:rsidRPr="00A87FC5" w14:paraId="269F32EB" w14:textId="77777777" w:rsidTr="00967A52">
        <w:trPr>
          <w:trHeight w:val="296"/>
        </w:trPr>
        <w:tc>
          <w:tcPr>
            <w:tcW w:w="1976" w:type="dxa"/>
            <w:vMerge/>
          </w:tcPr>
          <w:p w14:paraId="50885F62" w14:textId="77777777" w:rsidR="00A87FC5" w:rsidRPr="00A87FC5" w:rsidRDefault="00A87FC5" w:rsidP="00A87FC5">
            <w:pPr>
              <w:autoSpaceDE w:val="0"/>
              <w:autoSpaceDN w:val="0"/>
              <w:adjustRightInd w:val="0"/>
              <w:rPr>
                <w:szCs w:val="20"/>
              </w:rPr>
            </w:pPr>
          </w:p>
        </w:tc>
        <w:tc>
          <w:tcPr>
            <w:tcW w:w="854" w:type="dxa"/>
            <w:shd w:val="clear" w:color="auto" w:fill="auto"/>
          </w:tcPr>
          <w:p w14:paraId="1AC019EE" w14:textId="77777777" w:rsidR="00A87FC5" w:rsidRPr="00A87FC5" w:rsidRDefault="00A87FC5" w:rsidP="00A87FC5">
            <w:pPr>
              <w:rPr>
                <w:szCs w:val="20"/>
              </w:rPr>
            </w:pPr>
            <w:r w:rsidRPr="00A87FC5">
              <w:rPr>
                <w:szCs w:val="20"/>
              </w:rPr>
              <w:t>3</w:t>
            </w:r>
          </w:p>
        </w:tc>
        <w:tc>
          <w:tcPr>
            <w:tcW w:w="6170" w:type="dxa"/>
            <w:shd w:val="clear" w:color="auto" w:fill="auto"/>
          </w:tcPr>
          <w:p w14:paraId="56AF8571" w14:textId="77777777" w:rsidR="00A87FC5" w:rsidRPr="00A87FC5" w:rsidRDefault="00A87FC5" w:rsidP="00A87FC5">
            <w:pPr>
              <w:rPr>
                <w:szCs w:val="20"/>
              </w:rPr>
            </w:pPr>
            <w:r w:rsidRPr="00A87FC5">
              <w:rPr>
                <w:szCs w:val="20"/>
              </w:rPr>
              <w:t>Emkhwishimane, Esilambo, P218, P710</w:t>
            </w:r>
          </w:p>
        </w:tc>
      </w:tr>
      <w:tr w:rsidR="00A87FC5" w:rsidRPr="00A87FC5" w14:paraId="5FFC2B15" w14:textId="77777777" w:rsidTr="00967A52">
        <w:trPr>
          <w:trHeight w:val="308"/>
        </w:trPr>
        <w:tc>
          <w:tcPr>
            <w:tcW w:w="1976" w:type="dxa"/>
            <w:vMerge/>
          </w:tcPr>
          <w:p w14:paraId="4471264E" w14:textId="77777777" w:rsidR="00A87FC5" w:rsidRPr="00A87FC5" w:rsidRDefault="00A87FC5" w:rsidP="00A87FC5">
            <w:pPr>
              <w:autoSpaceDE w:val="0"/>
              <w:autoSpaceDN w:val="0"/>
              <w:adjustRightInd w:val="0"/>
              <w:rPr>
                <w:szCs w:val="20"/>
              </w:rPr>
            </w:pPr>
          </w:p>
        </w:tc>
        <w:tc>
          <w:tcPr>
            <w:tcW w:w="854" w:type="dxa"/>
            <w:shd w:val="clear" w:color="auto" w:fill="auto"/>
          </w:tcPr>
          <w:p w14:paraId="43D75C5F" w14:textId="77777777" w:rsidR="00A87FC5" w:rsidRPr="00A87FC5" w:rsidRDefault="00A87FC5" w:rsidP="00A87FC5">
            <w:pPr>
              <w:rPr>
                <w:szCs w:val="20"/>
              </w:rPr>
            </w:pPr>
            <w:r w:rsidRPr="00A87FC5">
              <w:rPr>
                <w:szCs w:val="20"/>
              </w:rPr>
              <w:t>4</w:t>
            </w:r>
          </w:p>
        </w:tc>
        <w:tc>
          <w:tcPr>
            <w:tcW w:w="6170" w:type="dxa"/>
            <w:shd w:val="clear" w:color="auto" w:fill="auto"/>
          </w:tcPr>
          <w:p w14:paraId="37FF80C7" w14:textId="77777777" w:rsidR="00A87FC5" w:rsidRPr="00A87FC5" w:rsidRDefault="00A87FC5" w:rsidP="00A87FC5">
            <w:pPr>
              <w:rPr>
                <w:szCs w:val="20"/>
              </w:rPr>
            </w:pPr>
            <w:r w:rsidRPr="00A87FC5">
              <w:rPr>
                <w:szCs w:val="20"/>
              </w:rPr>
              <w:t>Enkunzempunga, Endayini</w:t>
            </w:r>
          </w:p>
        </w:tc>
      </w:tr>
      <w:tr w:rsidR="00A87FC5" w:rsidRPr="00A87FC5" w14:paraId="7D6DEDF8" w14:textId="77777777" w:rsidTr="00967A52">
        <w:trPr>
          <w:trHeight w:val="284"/>
        </w:trPr>
        <w:tc>
          <w:tcPr>
            <w:tcW w:w="1976" w:type="dxa"/>
            <w:vMerge w:val="restart"/>
          </w:tcPr>
          <w:p w14:paraId="680DA7D5" w14:textId="77777777" w:rsidR="00A87FC5" w:rsidRPr="00A87FC5" w:rsidRDefault="00A87FC5" w:rsidP="00A87FC5">
            <w:pPr>
              <w:autoSpaceDE w:val="0"/>
              <w:autoSpaceDN w:val="0"/>
              <w:adjustRightInd w:val="0"/>
              <w:rPr>
                <w:szCs w:val="20"/>
              </w:rPr>
            </w:pPr>
          </w:p>
          <w:p w14:paraId="6EEC8319" w14:textId="77777777" w:rsidR="00A87FC5" w:rsidRPr="00A87FC5" w:rsidRDefault="00A87FC5" w:rsidP="00A87FC5">
            <w:pPr>
              <w:autoSpaceDE w:val="0"/>
              <w:autoSpaceDN w:val="0"/>
              <w:adjustRightInd w:val="0"/>
              <w:rPr>
                <w:szCs w:val="20"/>
              </w:rPr>
            </w:pPr>
          </w:p>
          <w:p w14:paraId="026E456E" w14:textId="77777777" w:rsidR="00A87FC5" w:rsidRPr="00A87FC5" w:rsidRDefault="00A87FC5" w:rsidP="00A87FC5">
            <w:pPr>
              <w:autoSpaceDE w:val="0"/>
              <w:autoSpaceDN w:val="0"/>
              <w:adjustRightInd w:val="0"/>
              <w:rPr>
                <w:szCs w:val="20"/>
              </w:rPr>
            </w:pPr>
          </w:p>
          <w:p w14:paraId="5B6A3D70" w14:textId="77777777" w:rsidR="00A87FC5" w:rsidRPr="00A87FC5" w:rsidRDefault="00A87FC5" w:rsidP="00A87FC5">
            <w:pPr>
              <w:autoSpaceDE w:val="0"/>
              <w:autoSpaceDN w:val="0"/>
              <w:adjustRightInd w:val="0"/>
              <w:rPr>
                <w:szCs w:val="20"/>
              </w:rPr>
            </w:pPr>
            <w:r w:rsidRPr="00A87FC5">
              <w:rPr>
                <w:szCs w:val="20"/>
              </w:rPr>
              <w:t>Cluster 2</w:t>
            </w:r>
          </w:p>
        </w:tc>
        <w:tc>
          <w:tcPr>
            <w:tcW w:w="854" w:type="dxa"/>
          </w:tcPr>
          <w:p w14:paraId="15C3DF8A" w14:textId="77777777" w:rsidR="00A87FC5" w:rsidRPr="00A87FC5" w:rsidRDefault="00A87FC5" w:rsidP="00A87FC5">
            <w:pPr>
              <w:autoSpaceDE w:val="0"/>
              <w:autoSpaceDN w:val="0"/>
              <w:adjustRightInd w:val="0"/>
              <w:rPr>
                <w:szCs w:val="20"/>
              </w:rPr>
            </w:pPr>
            <w:r w:rsidRPr="00A87FC5">
              <w:rPr>
                <w:szCs w:val="20"/>
              </w:rPr>
              <w:t>5</w:t>
            </w:r>
          </w:p>
        </w:tc>
        <w:tc>
          <w:tcPr>
            <w:tcW w:w="6170" w:type="dxa"/>
            <w:shd w:val="clear" w:color="auto" w:fill="auto"/>
          </w:tcPr>
          <w:p w14:paraId="16636031" w14:textId="77777777" w:rsidR="00A87FC5" w:rsidRPr="00A87FC5" w:rsidRDefault="00A87FC5" w:rsidP="00A87FC5">
            <w:pPr>
              <w:rPr>
                <w:szCs w:val="20"/>
              </w:rPr>
            </w:pPr>
            <w:r w:rsidRPr="00A87FC5">
              <w:rPr>
                <w:szCs w:val="20"/>
              </w:rPr>
              <w:t>Ngudwini, Shayinja</w:t>
            </w:r>
          </w:p>
        </w:tc>
      </w:tr>
      <w:tr w:rsidR="00A87FC5" w:rsidRPr="00A87FC5" w14:paraId="4048F199" w14:textId="77777777" w:rsidTr="00967A52">
        <w:trPr>
          <w:trHeight w:val="296"/>
        </w:trPr>
        <w:tc>
          <w:tcPr>
            <w:tcW w:w="1976" w:type="dxa"/>
            <w:vMerge/>
          </w:tcPr>
          <w:p w14:paraId="7D4F4FCE" w14:textId="77777777" w:rsidR="00A87FC5" w:rsidRPr="00A87FC5" w:rsidRDefault="00A87FC5" w:rsidP="00A87FC5">
            <w:pPr>
              <w:autoSpaceDE w:val="0"/>
              <w:autoSpaceDN w:val="0"/>
              <w:adjustRightInd w:val="0"/>
              <w:rPr>
                <w:szCs w:val="20"/>
              </w:rPr>
            </w:pPr>
          </w:p>
        </w:tc>
        <w:tc>
          <w:tcPr>
            <w:tcW w:w="854" w:type="dxa"/>
          </w:tcPr>
          <w:p w14:paraId="66B596D5" w14:textId="77777777" w:rsidR="00A87FC5" w:rsidRPr="00A87FC5" w:rsidRDefault="00A87FC5" w:rsidP="00A87FC5">
            <w:pPr>
              <w:autoSpaceDE w:val="0"/>
              <w:autoSpaceDN w:val="0"/>
              <w:adjustRightInd w:val="0"/>
              <w:rPr>
                <w:szCs w:val="20"/>
              </w:rPr>
            </w:pPr>
            <w:r w:rsidRPr="00A87FC5">
              <w:rPr>
                <w:szCs w:val="20"/>
              </w:rPr>
              <w:t>6</w:t>
            </w:r>
          </w:p>
        </w:tc>
        <w:tc>
          <w:tcPr>
            <w:tcW w:w="6170" w:type="dxa"/>
            <w:shd w:val="clear" w:color="auto" w:fill="auto"/>
          </w:tcPr>
          <w:p w14:paraId="5F68531A" w14:textId="77777777" w:rsidR="00A87FC5" w:rsidRPr="00A87FC5" w:rsidRDefault="00A87FC5" w:rsidP="00A87FC5">
            <w:pPr>
              <w:rPr>
                <w:szCs w:val="20"/>
              </w:rPr>
            </w:pPr>
            <w:r w:rsidRPr="00A87FC5">
              <w:rPr>
                <w:szCs w:val="20"/>
              </w:rPr>
              <w:t>Samungu; Mombeni</w:t>
            </w:r>
          </w:p>
        </w:tc>
      </w:tr>
      <w:tr w:rsidR="00A87FC5" w:rsidRPr="00A87FC5" w14:paraId="1EFEB804" w14:textId="77777777" w:rsidTr="00967A52">
        <w:trPr>
          <w:trHeight w:val="296"/>
        </w:trPr>
        <w:tc>
          <w:tcPr>
            <w:tcW w:w="1976" w:type="dxa"/>
            <w:vMerge/>
          </w:tcPr>
          <w:p w14:paraId="49695CAA" w14:textId="77777777" w:rsidR="00A87FC5" w:rsidRPr="00A87FC5" w:rsidRDefault="00A87FC5" w:rsidP="00A87FC5">
            <w:pPr>
              <w:autoSpaceDE w:val="0"/>
              <w:autoSpaceDN w:val="0"/>
              <w:adjustRightInd w:val="0"/>
              <w:rPr>
                <w:szCs w:val="20"/>
              </w:rPr>
            </w:pPr>
          </w:p>
        </w:tc>
        <w:tc>
          <w:tcPr>
            <w:tcW w:w="854" w:type="dxa"/>
          </w:tcPr>
          <w:p w14:paraId="6A14B6AE" w14:textId="77777777" w:rsidR="00A87FC5" w:rsidRPr="00A87FC5" w:rsidRDefault="00A87FC5" w:rsidP="00A87FC5">
            <w:pPr>
              <w:autoSpaceDE w:val="0"/>
              <w:autoSpaceDN w:val="0"/>
              <w:adjustRightInd w:val="0"/>
              <w:rPr>
                <w:szCs w:val="20"/>
              </w:rPr>
            </w:pPr>
            <w:r w:rsidRPr="00A87FC5">
              <w:rPr>
                <w:szCs w:val="20"/>
              </w:rPr>
              <w:t>7</w:t>
            </w:r>
          </w:p>
        </w:tc>
        <w:tc>
          <w:tcPr>
            <w:tcW w:w="6170" w:type="dxa"/>
            <w:shd w:val="clear" w:color="auto" w:fill="auto"/>
          </w:tcPr>
          <w:p w14:paraId="37B111A5" w14:textId="77777777" w:rsidR="00A87FC5" w:rsidRPr="00A87FC5" w:rsidRDefault="00A87FC5" w:rsidP="00A87FC5">
            <w:pPr>
              <w:rPr>
                <w:szCs w:val="20"/>
              </w:rPr>
            </w:pPr>
            <w:r w:rsidRPr="00A87FC5">
              <w:rPr>
                <w:szCs w:val="20"/>
              </w:rPr>
              <w:t>Nkanini, Mathibelana</w:t>
            </w:r>
          </w:p>
        </w:tc>
      </w:tr>
      <w:tr w:rsidR="00A87FC5" w:rsidRPr="00A87FC5" w14:paraId="235DBBCF" w14:textId="77777777" w:rsidTr="00967A52">
        <w:trPr>
          <w:trHeight w:val="296"/>
        </w:trPr>
        <w:tc>
          <w:tcPr>
            <w:tcW w:w="1976" w:type="dxa"/>
            <w:vMerge/>
          </w:tcPr>
          <w:p w14:paraId="2CE63976" w14:textId="77777777" w:rsidR="00A87FC5" w:rsidRPr="00A87FC5" w:rsidRDefault="00A87FC5" w:rsidP="00A87FC5">
            <w:pPr>
              <w:autoSpaceDE w:val="0"/>
              <w:autoSpaceDN w:val="0"/>
              <w:adjustRightInd w:val="0"/>
              <w:rPr>
                <w:szCs w:val="20"/>
              </w:rPr>
            </w:pPr>
          </w:p>
        </w:tc>
        <w:tc>
          <w:tcPr>
            <w:tcW w:w="854" w:type="dxa"/>
          </w:tcPr>
          <w:p w14:paraId="17372CB3" w14:textId="77777777" w:rsidR="00A87FC5" w:rsidRPr="00A87FC5" w:rsidRDefault="00A87FC5" w:rsidP="00A87FC5">
            <w:pPr>
              <w:autoSpaceDE w:val="0"/>
              <w:autoSpaceDN w:val="0"/>
              <w:adjustRightInd w:val="0"/>
              <w:rPr>
                <w:szCs w:val="20"/>
              </w:rPr>
            </w:pPr>
            <w:r w:rsidRPr="00A87FC5">
              <w:rPr>
                <w:szCs w:val="20"/>
              </w:rPr>
              <w:t>15</w:t>
            </w:r>
          </w:p>
        </w:tc>
        <w:tc>
          <w:tcPr>
            <w:tcW w:w="6170" w:type="dxa"/>
            <w:shd w:val="clear" w:color="auto" w:fill="auto"/>
          </w:tcPr>
          <w:p w14:paraId="3ABA97C9" w14:textId="77777777" w:rsidR="00A87FC5" w:rsidRPr="00A87FC5" w:rsidRDefault="00A87FC5" w:rsidP="00A87FC5">
            <w:pPr>
              <w:rPr>
                <w:szCs w:val="20"/>
              </w:rPr>
            </w:pPr>
            <w:r w:rsidRPr="00A87FC5">
              <w:rPr>
                <w:szCs w:val="20"/>
              </w:rPr>
              <w:t>KwaKhoza, Emabhudla</w:t>
            </w:r>
          </w:p>
        </w:tc>
      </w:tr>
      <w:tr w:rsidR="00A87FC5" w:rsidRPr="00A87FC5" w14:paraId="79FDBBEE" w14:textId="77777777" w:rsidTr="00967A52">
        <w:trPr>
          <w:trHeight w:val="296"/>
        </w:trPr>
        <w:tc>
          <w:tcPr>
            <w:tcW w:w="1976" w:type="dxa"/>
            <w:vMerge/>
          </w:tcPr>
          <w:p w14:paraId="5DFABA1B" w14:textId="77777777" w:rsidR="00A87FC5" w:rsidRPr="00A87FC5" w:rsidRDefault="00A87FC5" w:rsidP="00A87FC5">
            <w:pPr>
              <w:autoSpaceDE w:val="0"/>
              <w:autoSpaceDN w:val="0"/>
              <w:adjustRightInd w:val="0"/>
              <w:rPr>
                <w:szCs w:val="20"/>
              </w:rPr>
            </w:pPr>
          </w:p>
        </w:tc>
        <w:tc>
          <w:tcPr>
            <w:tcW w:w="854" w:type="dxa"/>
          </w:tcPr>
          <w:p w14:paraId="76C289B4" w14:textId="77777777" w:rsidR="00A87FC5" w:rsidRPr="00A87FC5" w:rsidRDefault="00A87FC5" w:rsidP="00A87FC5">
            <w:pPr>
              <w:autoSpaceDE w:val="0"/>
              <w:autoSpaceDN w:val="0"/>
              <w:adjustRightInd w:val="0"/>
              <w:rPr>
                <w:szCs w:val="20"/>
              </w:rPr>
            </w:pPr>
            <w:r w:rsidRPr="00A87FC5">
              <w:rPr>
                <w:szCs w:val="20"/>
              </w:rPr>
              <w:t>18</w:t>
            </w:r>
          </w:p>
        </w:tc>
        <w:tc>
          <w:tcPr>
            <w:tcW w:w="6170" w:type="dxa"/>
            <w:shd w:val="clear" w:color="auto" w:fill="auto"/>
          </w:tcPr>
          <w:p w14:paraId="2029ADD0" w14:textId="77777777" w:rsidR="00A87FC5" w:rsidRPr="00A87FC5" w:rsidRDefault="00A87FC5" w:rsidP="00A87FC5">
            <w:pPr>
              <w:rPr>
                <w:szCs w:val="20"/>
              </w:rPr>
            </w:pPr>
            <w:r w:rsidRPr="00A87FC5">
              <w:rPr>
                <w:szCs w:val="20"/>
              </w:rPr>
              <w:t xml:space="preserve">Thafeni; Matikulu, Matibomvana </w:t>
            </w:r>
          </w:p>
        </w:tc>
      </w:tr>
      <w:tr w:rsidR="00A87FC5" w:rsidRPr="00A87FC5" w14:paraId="1687021E" w14:textId="77777777" w:rsidTr="00967A52">
        <w:trPr>
          <w:trHeight w:val="284"/>
        </w:trPr>
        <w:tc>
          <w:tcPr>
            <w:tcW w:w="1976" w:type="dxa"/>
            <w:vMerge w:val="restart"/>
          </w:tcPr>
          <w:p w14:paraId="161FA295" w14:textId="77777777" w:rsidR="00A87FC5" w:rsidRPr="00A87FC5" w:rsidRDefault="00A87FC5" w:rsidP="00A87FC5">
            <w:pPr>
              <w:autoSpaceDE w:val="0"/>
              <w:autoSpaceDN w:val="0"/>
              <w:adjustRightInd w:val="0"/>
              <w:rPr>
                <w:szCs w:val="20"/>
              </w:rPr>
            </w:pPr>
          </w:p>
          <w:p w14:paraId="56ACF130" w14:textId="77777777" w:rsidR="00A87FC5" w:rsidRPr="00A87FC5" w:rsidRDefault="00A87FC5" w:rsidP="00A87FC5">
            <w:pPr>
              <w:autoSpaceDE w:val="0"/>
              <w:autoSpaceDN w:val="0"/>
              <w:adjustRightInd w:val="0"/>
              <w:rPr>
                <w:szCs w:val="20"/>
              </w:rPr>
            </w:pPr>
          </w:p>
          <w:p w14:paraId="43ADAE15" w14:textId="77777777" w:rsidR="00A87FC5" w:rsidRPr="00A87FC5" w:rsidRDefault="00A87FC5" w:rsidP="00A87FC5">
            <w:pPr>
              <w:autoSpaceDE w:val="0"/>
              <w:autoSpaceDN w:val="0"/>
              <w:adjustRightInd w:val="0"/>
              <w:rPr>
                <w:szCs w:val="20"/>
              </w:rPr>
            </w:pPr>
          </w:p>
          <w:p w14:paraId="78FC27D4" w14:textId="77777777" w:rsidR="00A87FC5" w:rsidRPr="00A87FC5" w:rsidRDefault="00A87FC5" w:rsidP="00A87FC5">
            <w:pPr>
              <w:autoSpaceDE w:val="0"/>
              <w:autoSpaceDN w:val="0"/>
              <w:adjustRightInd w:val="0"/>
              <w:rPr>
                <w:szCs w:val="20"/>
              </w:rPr>
            </w:pPr>
            <w:r w:rsidRPr="00A87FC5">
              <w:rPr>
                <w:szCs w:val="20"/>
              </w:rPr>
              <w:t>Cluster 3</w:t>
            </w:r>
          </w:p>
        </w:tc>
        <w:tc>
          <w:tcPr>
            <w:tcW w:w="854" w:type="dxa"/>
          </w:tcPr>
          <w:p w14:paraId="7C90E5CD" w14:textId="77777777" w:rsidR="00A87FC5" w:rsidRPr="00A87FC5" w:rsidRDefault="00A87FC5" w:rsidP="00A87FC5">
            <w:pPr>
              <w:autoSpaceDE w:val="0"/>
              <w:autoSpaceDN w:val="0"/>
              <w:adjustRightInd w:val="0"/>
              <w:rPr>
                <w:szCs w:val="20"/>
              </w:rPr>
            </w:pPr>
            <w:r w:rsidRPr="00A87FC5">
              <w:rPr>
                <w:szCs w:val="20"/>
              </w:rPr>
              <w:t>16</w:t>
            </w:r>
          </w:p>
        </w:tc>
        <w:tc>
          <w:tcPr>
            <w:tcW w:w="6170" w:type="dxa"/>
            <w:shd w:val="clear" w:color="auto" w:fill="auto"/>
          </w:tcPr>
          <w:p w14:paraId="5DCCD7FE" w14:textId="77777777" w:rsidR="00A87FC5" w:rsidRPr="00A87FC5" w:rsidRDefault="00A87FC5" w:rsidP="00A87FC5">
            <w:pPr>
              <w:rPr>
                <w:szCs w:val="20"/>
              </w:rPr>
            </w:pPr>
            <w:r w:rsidRPr="00A87FC5">
              <w:rPr>
                <w:szCs w:val="20"/>
              </w:rPr>
              <w:t>Nyezane; Makhilimba, Wombane</w:t>
            </w:r>
          </w:p>
        </w:tc>
      </w:tr>
      <w:tr w:rsidR="00A87FC5" w:rsidRPr="00A87FC5" w14:paraId="389C7F9D" w14:textId="77777777" w:rsidTr="00967A52">
        <w:trPr>
          <w:trHeight w:val="296"/>
        </w:trPr>
        <w:tc>
          <w:tcPr>
            <w:tcW w:w="1976" w:type="dxa"/>
            <w:vMerge/>
          </w:tcPr>
          <w:p w14:paraId="54690061" w14:textId="77777777" w:rsidR="00A87FC5" w:rsidRPr="00A87FC5" w:rsidRDefault="00A87FC5" w:rsidP="00A87FC5">
            <w:pPr>
              <w:autoSpaceDE w:val="0"/>
              <w:autoSpaceDN w:val="0"/>
              <w:adjustRightInd w:val="0"/>
              <w:rPr>
                <w:szCs w:val="20"/>
              </w:rPr>
            </w:pPr>
          </w:p>
        </w:tc>
        <w:tc>
          <w:tcPr>
            <w:tcW w:w="854" w:type="dxa"/>
          </w:tcPr>
          <w:p w14:paraId="5B406E04" w14:textId="77777777" w:rsidR="00A87FC5" w:rsidRPr="00A87FC5" w:rsidRDefault="00A87FC5" w:rsidP="00A87FC5">
            <w:pPr>
              <w:autoSpaceDE w:val="0"/>
              <w:autoSpaceDN w:val="0"/>
              <w:adjustRightInd w:val="0"/>
              <w:rPr>
                <w:szCs w:val="20"/>
              </w:rPr>
            </w:pPr>
            <w:r w:rsidRPr="00A87FC5">
              <w:rPr>
                <w:szCs w:val="20"/>
              </w:rPr>
              <w:t>17</w:t>
            </w:r>
          </w:p>
        </w:tc>
        <w:tc>
          <w:tcPr>
            <w:tcW w:w="6170" w:type="dxa"/>
            <w:shd w:val="clear" w:color="auto" w:fill="auto"/>
          </w:tcPr>
          <w:p w14:paraId="51C9750E" w14:textId="77777777" w:rsidR="00A87FC5" w:rsidRPr="00A87FC5" w:rsidRDefault="00A87FC5" w:rsidP="00A87FC5">
            <w:pPr>
              <w:rPr>
                <w:szCs w:val="20"/>
              </w:rPr>
            </w:pPr>
            <w:r w:rsidRPr="00A87FC5">
              <w:rPr>
                <w:szCs w:val="20"/>
              </w:rPr>
              <w:t>Nhlababo; Maqhulu, Vekeza</w:t>
            </w:r>
          </w:p>
        </w:tc>
      </w:tr>
      <w:tr w:rsidR="00A87FC5" w:rsidRPr="00A87FC5" w14:paraId="00D68BC1" w14:textId="77777777" w:rsidTr="00967A52">
        <w:trPr>
          <w:trHeight w:val="296"/>
        </w:trPr>
        <w:tc>
          <w:tcPr>
            <w:tcW w:w="1976" w:type="dxa"/>
            <w:vMerge/>
          </w:tcPr>
          <w:p w14:paraId="66D88898" w14:textId="77777777" w:rsidR="00A87FC5" w:rsidRPr="00A87FC5" w:rsidRDefault="00A87FC5" w:rsidP="00A87FC5">
            <w:pPr>
              <w:autoSpaceDE w:val="0"/>
              <w:autoSpaceDN w:val="0"/>
              <w:adjustRightInd w:val="0"/>
              <w:rPr>
                <w:szCs w:val="20"/>
              </w:rPr>
            </w:pPr>
          </w:p>
        </w:tc>
        <w:tc>
          <w:tcPr>
            <w:tcW w:w="854" w:type="dxa"/>
          </w:tcPr>
          <w:p w14:paraId="1BFD11E7" w14:textId="77777777" w:rsidR="00A87FC5" w:rsidRPr="00A87FC5" w:rsidRDefault="00A87FC5" w:rsidP="00A87FC5">
            <w:pPr>
              <w:autoSpaceDE w:val="0"/>
              <w:autoSpaceDN w:val="0"/>
              <w:adjustRightInd w:val="0"/>
              <w:rPr>
                <w:szCs w:val="20"/>
              </w:rPr>
            </w:pPr>
            <w:r w:rsidRPr="00A87FC5">
              <w:rPr>
                <w:szCs w:val="20"/>
              </w:rPr>
              <w:t>19</w:t>
            </w:r>
          </w:p>
        </w:tc>
        <w:tc>
          <w:tcPr>
            <w:tcW w:w="6170" w:type="dxa"/>
            <w:shd w:val="clear" w:color="auto" w:fill="auto"/>
          </w:tcPr>
          <w:p w14:paraId="56A486DC" w14:textId="77777777" w:rsidR="00A87FC5" w:rsidRPr="00A87FC5" w:rsidRDefault="00A87FC5" w:rsidP="00A87FC5">
            <w:pPr>
              <w:rPr>
                <w:szCs w:val="20"/>
              </w:rPr>
            </w:pPr>
            <w:r w:rsidRPr="00A87FC5">
              <w:rPr>
                <w:szCs w:val="20"/>
              </w:rPr>
              <w:t>Nsingweni; Moyeni, Masundwini</w:t>
            </w:r>
          </w:p>
        </w:tc>
      </w:tr>
      <w:tr w:rsidR="00A87FC5" w:rsidRPr="00A87FC5" w14:paraId="64F87926" w14:textId="77777777" w:rsidTr="00967A52">
        <w:trPr>
          <w:trHeight w:val="431"/>
        </w:trPr>
        <w:tc>
          <w:tcPr>
            <w:tcW w:w="1976" w:type="dxa"/>
            <w:vMerge/>
          </w:tcPr>
          <w:p w14:paraId="41BC18D2" w14:textId="77777777" w:rsidR="00A87FC5" w:rsidRPr="00A87FC5" w:rsidRDefault="00A87FC5" w:rsidP="00A87FC5">
            <w:pPr>
              <w:autoSpaceDE w:val="0"/>
              <w:autoSpaceDN w:val="0"/>
              <w:adjustRightInd w:val="0"/>
              <w:rPr>
                <w:szCs w:val="20"/>
              </w:rPr>
            </w:pPr>
          </w:p>
        </w:tc>
        <w:tc>
          <w:tcPr>
            <w:tcW w:w="854" w:type="dxa"/>
          </w:tcPr>
          <w:p w14:paraId="6811027C" w14:textId="77777777" w:rsidR="00A87FC5" w:rsidRPr="00A87FC5" w:rsidRDefault="00A87FC5" w:rsidP="00A87FC5">
            <w:pPr>
              <w:autoSpaceDE w:val="0"/>
              <w:autoSpaceDN w:val="0"/>
              <w:adjustRightInd w:val="0"/>
              <w:rPr>
                <w:szCs w:val="20"/>
              </w:rPr>
            </w:pPr>
            <w:r w:rsidRPr="00A87FC5">
              <w:rPr>
                <w:szCs w:val="20"/>
              </w:rPr>
              <w:t>20</w:t>
            </w:r>
          </w:p>
        </w:tc>
        <w:tc>
          <w:tcPr>
            <w:tcW w:w="6170" w:type="dxa"/>
            <w:shd w:val="clear" w:color="auto" w:fill="auto"/>
          </w:tcPr>
          <w:p w14:paraId="6F993E50" w14:textId="77777777" w:rsidR="00A87FC5" w:rsidRPr="00A87FC5" w:rsidRDefault="00A87FC5" w:rsidP="00414B93">
            <w:pPr>
              <w:rPr>
                <w:szCs w:val="20"/>
              </w:rPr>
            </w:pPr>
            <w:r w:rsidRPr="00A87FC5">
              <w:rPr>
                <w:szCs w:val="20"/>
              </w:rPr>
              <w:t>KwaSbhamu; Ebhadi;Ezingeni; KwaMakeqe; Doviyane; Masundwini</w:t>
            </w:r>
            <w:r w:rsidR="00F91930">
              <w:rPr>
                <w:szCs w:val="20"/>
              </w:rPr>
              <w:t xml:space="preserve"> </w:t>
            </w:r>
            <w:r w:rsidRPr="00A87FC5">
              <w:rPr>
                <w:szCs w:val="20"/>
              </w:rPr>
              <w:t>&amp; I</w:t>
            </w:r>
            <w:r w:rsidR="00414B93">
              <w:rPr>
                <w:szCs w:val="20"/>
              </w:rPr>
              <w:t>s</w:t>
            </w:r>
            <w:r w:rsidRPr="00A87FC5">
              <w:rPr>
                <w:szCs w:val="20"/>
              </w:rPr>
              <w:t>land</w:t>
            </w:r>
          </w:p>
        </w:tc>
      </w:tr>
      <w:tr w:rsidR="00A87FC5" w:rsidRPr="00A87FC5" w14:paraId="1103ED87" w14:textId="77777777" w:rsidTr="00967A52">
        <w:trPr>
          <w:trHeight w:val="284"/>
        </w:trPr>
        <w:tc>
          <w:tcPr>
            <w:tcW w:w="1976" w:type="dxa"/>
            <w:vMerge w:val="restart"/>
          </w:tcPr>
          <w:p w14:paraId="2B4C8AD6" w14:textId="77777777" w:rsidR="00A87FC5" w:rsidRPr="00A87FC5" w:rsidRDefault="00A87FC5" w:rsidP="00A87FC5">
            <w:pPr>
              <w:autoSpaceDE w:val="0"/>
              <w:autoSpaceDN w:val="0"/>
              <w:adjustRightInd w:val="0"/>
              <w:rPr>
                <w:szCs w:val="20"/>
              </w:rPr>
            </w:pPr>
          </w:p>
          <w:p w14:paraId="3276FA07" w14:textId="77777777" w:rsidR="00A87FC5" w:rsidRPr="00A87FC5" w:rsidRDefault="00A87FC5" w:rsidP="00A87FC5">
            <w:pPr>
              <w:autoSpaceDE w:val="0"/>
              <w:autoSpaceDN w:val="0"/>
              <w:adjustRightInd w:val="0"/>
              <w:rPr>
                <w:szCs w:val="20"/>
              </w:rPr>
            </w:pPr>
          </w:p>
          <w:p w14:paraId="1962A08F" w14:textId="77777777" w:rsidR="00A87FC5" w:rsidRPr="00A87FC5" w:rsidRDefault="00A87FC5" w:rsidP="00A87FC5">
            <w:pPr>
              <w:autoSpaceDE w:val="0"/>
              <w:autoSpaceDN w:val="0"/>
              <w:adjustRightInd w:val="0"/>
              <w:rPr>
                <w:szCs w:val="20"/>
              </w:rPr>
            </w:pPr>
          </w:p>
          <w:p w14:paraId="77B64265" w14:textId="77777777" w:rsidR="00A87FC5" w:rsidRPr="00A87FC5" w:rsidRDefault="00A87FC5" w:rsidP="00A87FC5">
            <w:pPr>
              <w:autoSpaceDE w:val="0"/>
              <w:autoSpaceDN w:val="0"/>
              <w:adjustRightInd w:val="0"/>
              <w:rPr>
                <w:szCs w:val="20"/>
              </w:rPr>
            </w:pPr>
          </w:p>
          <w:p w14:paraId="261E2297" w14:textId="77777777" w:rsidR="00A87FC5" w:rsidRPr="00A87FC5" w:rsidRDefault="00A87FC5" w:rsidP="00A87FC5">
            <w:pPr>
              <w:autoSpaceDE w:val="0"/>
              <w:autoSpaceDN w:val="0"/>
              <w:adjustRightInd w:val="0"/>
              <w:rPr>
                <w:szCs w:val="20"/>
              </w:rPr>
            </w:pPr>
            <w:r w:rsidRPr="00A87FC5">
              <w:rPr>
                <w:szCs w:val="20"/>
              </w:rPr>
              <w:t>Cluster 4</w:t>
            </w:r>
          </w:p>
        </w:tc>
        <w:tc>
          <w:tcPr>
            <w:tcW w:w="854" w:type="dxa"/>
          </w:tcPr>
          <w:p w14:paraId="6D21C51B" w14:textId="77777777" w:rsidR="00A87FC5" w:rsidRPr="00A87FC5" w:rsidRDefault="00A87FC5" w:rsidP="00A87FC5">
            <w:pPr>
              <w:autoSpaceDE w:val="0"/>
              <w:autoSpaceDN w:val="0"/>
              <w:adjustRightInd w:val="0"/>
              <w:rPr>
                <w:szCs w:val="20"/>
              </w:rPr>
            </w:pPr>
            <w:r w:rsidRPr="00A87FC5">
              <w:rPr>
                <w:szCs w:val="20"/>
              </w:rPr>
              <w:t>12</w:t>
            </w:r>
          </w:p>
        </w:tc>
        <w:tc>
          <w:tcPr>
            <w:tcW w:w="6170" w:type="dxa"/>
            <w:shd w:val="clear" w:color="auto" w:fill="auto"/>
          </w:tcPr>
          <w:p w14:paraId="43939D3C" w14:textId="77777777" w:rsidR="00A87FC5" w:rsidRPr="00A87FC5" w:rsidRDefault="00A87FC5" w:rsidP="00A87FC5">
            <w:pPr>
              <w:rPr>
                <w:szCs w:val="20"/>
              </w:rPr>
            </w:pPr>
            <w:r w:rsidRPr="00A87FC5">
              <w:rPr>
                <w:szCs w:val="20"/>
              </w:rPr>
              <w:t>Maqedipuleti</w:t>
            </w:r>
          </w:p>
        </w:tc>
      </w:tr>
      <w:tr w:rsidR="00A87FC5" w:rsidRPr="00A87FC5" w14:paraId="35D0FC3E" w14:textId="77777777" w:rsidTr="00967A52">
        <w:trPr>
          <w:trHeight w:val="400"/>
        </w:trPr>
        <w:tc>
          <w:tcPr>
            <w:tcW w:w="1976" w:type="dxa"/>
            <w:vMerge/>
          </w:tcPr>
          <w:p w14:paraId="5EBC08A4" w14:textId="77777777" w:rsidR="00A87FC5" w:rsidRPr="00A87FC5" w:rsidRDefault="00A87FC5" w:rsidP="00A87FC5">
            <w:pPr>
              <w:autoSpaceDE w:val="0"/>
              <w:autoSpaceDN w:val="0"/>
              <w:adjustRightInd w:val="0"/>
              <w:rPr>
                <w:szCs w:val="20"/>
              </w:rPr>
            </w:pPr>
          </w:p>
        </w:tc>
        <w:tc>
          <w:tcPr>
            <w:tcW w:w="854" w:type="dxa"/>
          </w:tcPr>
          <w:p w14:paraId="6EA4690C" w14:textId="77777777" w:rsidR="00A87FC5" w:rsidRPr="00A87FC5" w:rsidRDefault="00A87FC5" w:rsidP="00A87FC5">
            <w:pPr>
              <w:autoSpaceDE w:val="0"/>
              <w:autoSpaceDN w:val="0"/>
              <w:adjustRightInd w:val="0"/>
              <w:rPr>
                <w:szCs w:val="20"/>
              </w:rPr>
            </w:pPr>
            <w:r w:rsidRPr="00A87FC5">
              <w:rPr>
                <w:szCs w:val="20"/>
              </w:rPr>
              <w:t>13</w:t>
            </w:r>
          </w:p>
        </w:tc>
        <w:tc>
          <w:tcPr>
            <w:tcW w:w="6170" w:type="dxa"/>
            <w:shd w:val="clear" w:color="auto" w:fill="auto"/>
          </w:tcPr>
          <w:p w14:paraId="345ED9A9" w14:textId="77777777" w:rsidR="00A87FC5" w:rsidRPr="00A87FC5" w:rsidRDefault="00A87FC5" w:rsidP="00A87FC5">
            <w:pPr>
              <w:rPr>
                <w:szCs w:val="20"/>
              </w:rPr>
            </w:pPr>
            <w:r w:rsidRPr="00A87FC5">
              <w:rPr>
                <w:szCs w:val="20"/>
              </w:rPr>
              <w:t>Nyanini; KwaMondi; Berea; Ezwelithini High School; Mosco; Galagala; Kwamfana</w:t>
            </w:r>
          </w:p>
        </w:tc>
      </w:tr>
      <w:tr w:rsidR="00A87FC5" w:rsidRPr="00A87FC5" w14:paraId="1B19F82A" w14:textId="77777777" w:rsidTr="00967A52">
        <w:trPr>
          <w:trHeight w:val="225"/>
        </w:trPr>
        <w:tc>
          <w:tcPr>
            <w:tcW w:w="1976" w:type="dxa"/>
            <w:vMerge/>
          </w:tcPr>
          <w:p w14:paraId="2D6993D1" w14:textId="77777777" w:rsidR="00A87FC5" w:rsidRPr="00A87FC5" w:rsidRDefault="00A87FC5" w:rsidP="00A87FC5">
            <w:pPr>
              <w:autoSpaceDE w:val="0"/>
              <w:autoSpaceDN w:val="0"/>
              <w:adjustRightInd w:val="0"/>
              <w:rPr>
                <w:szCs w:val="20"/>
              </w:rPr>
            </w:pPr>
          </w:p>
        </w:tc>
        <w:tc>
          <w:tcPr>
            <w:tcW w:w="854" w:type="dxa"/>
          </w:tcPr>
          <w:p w14:paraId="465882BB" w14:textId="77777777" w:rsidR="00A87FC5" w:rsidRPr="00A87FC5" w:rsidRDefault="00A87FC5" w:rsidP="00A87FC5">
            <w:pPr>
              <w:autoSpaceDE w:val="0"/>
              <w:autoSpaceDN w:val="0"/>
              <w:adjustRightInd w:val="0"/>
              <w:rPr>
                <w:szCs w:val="20"/>
              </w:rPr>
            </w:pPr>
            <w:r w:rsidRPr="00A87FC5">
              <w:rPr>
                <w:szCs w:val="20"/>
              </w:rPr>
              <w:t>21</w:t>
            </w:r>
          </w:p>
        </w:tc>
        <w:tc>
          <w:tcPr>
            <w:tcW w:w="6170" w:type="dxa"/>
            <w:shd w:val="clear" w:color="auto" w:fill="auto"/>
          </w:tcPr>
          <w:p w14:paraId="4C9C168D" w14:textId="77777777" w:rsidR="00A87FC5" w:rsidRPr="00A87FC5" w:rsidRDefault="00A87FC5" w:rsidP="00A87FC5">
            <w:pPr>
              <w:rPr>
                <w:szCs w:val="20"/>
              </w:rPr>
            </w:pPr>
            <w:r w:rsidRPr="00A87FC5">
              <w:rPr>
                <w:szCs w:val="20"/>
              </w:rPr>
              <w:t>Ezingwenya; Fohlweni; Kukhanyakufikile; Felisilwane; (Emanyameni)</w:t>
            </w:r>
          </w:p>
        </w:tc>
      </w:tr>
      <w:tr w:rsidR="00A87FC5" w:rsidRPr="00A87FC5" w14:paraId="0E33FC56" w14:textId="77777777" w:rsidTr="00967A52">
        <w:trPr>
          <w:trHeight w:val="296"/>
        </w:trPr>
        <w:tc>
          <w:tcPr>
            <w:tcW w:w="1976" w:type="dxa"/>
            <w:vMerge/>
          </w:tcPr>
          <w:p w14:paraId="4E522E09" w14:textId="77777777" w:rsidR="00A87FC5" w:rsidRPr="00A87FC5" w:rsidRDefault="00A87FC5" w:rsidP="00A87FC5">
            <w:pPr>
              <w:autoSpaceDE w:val="0"/>
              <w:autoSpaceDN w:val="0"/>
              <w:adjustRightInd w:val="0"/>
              <w:rPr>
                <w:szCs w:val="20"/>
              </w:rPr>
            </w:pPr>
          </w:p>
        </w:tc>
        <w:tc>
          <w:tcPr>
            <w:tcW w:w="854" w:type="dxa"/>
          </w:tcPr>
          <w:p w14:paraId="41BCF3C0" w14:textId="77777777" w:rsidR="00A87FC5" w:rsidRPr="00A87FC5" w:rsidRDefault="00A87FC5" w:rsidP="00A87FC5">
            <w:pPr>
              <w:autoSpaceDE w:val="0"/>
              <w:autoSpaceDN w:val="0"/>
              <w:adjustRightInd w:val="0"/>
              <w:rPr>
                <w:szCs w:val="20"/>
              </w:rPr>
            </w:pPr>
            <w:r w:rsidRPr="00A87FC5">
              <w:rPr>
                <w:szCs w:val="20"/>
              </w:rPr>
              <w:t>22</w:t>
            </w:r>
          </w:p>
        </w:tc>
        <w:tc>
          <w:tcPr>
            <w:tcW w:w="6170" w:type="dxa"/>
            <w:shd w:val="clear" w:color="auto" w:fill="auto"/>
          </w:tcPr>
          <w:p w14:paraId="08DFD67C" w14:textId="77777777" w:rsidR="00A87FC5" w:rsidRPr="00A87FC5" w:rsidRDefault="00A87FC5" w:rsidP="00A87FC5">
            <w:pPr>
              <w:rPr>
                <w:szCs w:val="20"/>
              </w:rPr>
            </w:pPr>
            <w:r w:rsidRPr="00A87FC5">
              <w:rPr>
                <w:szCs w:val="20"/>
              </w:rPr>
              <w:t>Emanzamnyama, Qwayinduku</w:t>
            </w:r>
          </w:p>
        </w:tc>
      </w:tr>
      <w:tr w:rsidR="00A87FC5" w:rsidRPr="00A87FC5" w14:paraId="71850A39" w14:textId="77777777" w:rsidTr="00967A52">
        <w:trPr>
          <w:trHeight w:val="284"/>
        </w:trPr>
        <w:tc>
          <w:tcPr>
            <w:tcW w:w="1976" w:type="dxa"/>
            <w:vMerge w:val="restart"/>
          </w:tcPr>
          <w:p w14:paraId="7B6425F0" w14:textId="77777777" w:rsidR="00A87FC5" w:rsidRPr="00A87FC5" w:rsidRDefault="00A87FC5" w:rsidP="00A87FC5">
            <w:pPr>
              <w:autoSpaceDE w:val="0"/>
              <w:autoSpaceDN w:val="0"/>
              <w:adjustRightInd w:val="0"/>
              <w:rPr>
                <w:szCs w:val="20"/>
              </w:rPr>
            </w:pPr>
          </w:p>
          <w:p w14:paraId="4C1058F4" w14:textId="77777777" w:rsidR="00A87FC5" w:rsidRPr="00A87FC5" w:rsidRDefault="00A87FC5" w:rsidP="00A87FC5">
            <w:pPr>
              <w:autoSpaceDE w:val="0"/>
              <w:autoSpaceDN w:val="0"/>
              <w:adjustRightInd w:val="0"/>
              <w:rPr>
                <w:szCs w:val="20"/>
              </w:rPr>
            </w:pPr>
          </w:p>
          <w:p w14:paraId="2A3170B8" w14:textId="77777777" w:rsidR="00A87FC5" w:rsidRPr="00A87FC5" w:rsidRDefault="00A87FC5" w:rsidP="00A87FC5">
            <w:pPr>
              <w:autoSpaceDE w:val="0"/>
              <w:autoSpaceDN w:val="0"/>
              <w:adjustRightInd w:val="0"/>
              <w:rPr>
                <w:szCs w:val="20"/>
              </w:rPr>
            </w:pPr>
          </w:p>
          <w:p w14:paraId="45BE01C9" w14:textId="77777777" w:rsidR="00A87FC5" w:rsidRPr="00A87FC5" w:rsidRDefault="00A87FC5" w:rsidP="00A87FC5">
            <w:pPr>
              <w:autoSpaceDE w:val="0"/>
              <w:autoSpaceDN w:val="0"/>
              <w:adjustRightInd w:val="0"/>
              <w:rPr>
                <w:szCs w:val="20"/>
              </w:rPr>
            </w:pPr>
            <w:r w:rsidRPr="00A87FC5">
              <w:rPr>
                <w:szCs w:val="20"/>
              </w:rPr>
              <w:t>Cluster 5</w:t>
            </w:r>
          </w:p>
        </w:tc>
        <w:tc>
          <w:tcPr>
            <w:tcW w:w="854" w:type="dxa"/>
          </w:tcPr>
          <w:p w14:paraId="255745AD" w14:textId="77777777" w:rsidR="00A87FC5" w:rsidRPr="00A87FC5" w:rsidRDefault="00A87FC5" w:rsidP="00A87FC5">
            <w:pPr>
              <w:autoSpaceDE w:val="0"/>
              <w:autoSpaceDN w:val="0"/>
              <w:adjustRightInd w:val="0"/>
              <w:rPr>
                <w:szCs w:val="20"/>
              </w:rPr>
            </w:pPr>
            <w:r w:rsidRPr="00A87FC5">
              <w:rPr>
                <w:szCs w:val="20"/>
              </w:rPr>
              <w:t>8</w:t>
            </w:r>
          </w:p>
        </w:tc>
        <w:tc>
          <w:tcPr>
            <w:tcW w:w="6170" w:type="dxa"/>
            <w:shd w:val="clear" w:color="auto" w:fill="auto"/>
          </w:tcPr>
          <w:p w14:paraId="2018C688" w14:textId="77777777" w:rsidR="00A87FC5" w:rsidRPr="00A87FC5" w:rsidRDefault="00A87FC5" w:rsidP="00A87FC5">
            <w:pPr>
              <w:rPr>
                <w:szCs w:val="20"/>
              </w:rPr>
            </w:pPr>
            <w:r w:rsidRPr="00A87FC5">
              <w:rPr>
                <w:szCs w:val="20"/>
              </w:rPr>
              <w:t xml:space="preserve">Ntumeni, Gcininhliziyo, </w:t>
            </w:r>
          </w:p>
        </w:tc>
      </w:tr>
      <w:tr w:rsidR="00A87FC5" w:rsidRPr="00A87FC5" w14:paraId="58E70984" w14:textId="77777777" w:rsidTr="00967A52">
        <w:trPr>
          <w:trHeight w:val="296"/>
        </w:trPr>
        <w:tc>
          <w:tcPr>
            <w:tcW w:w="1976" w:type="dxa"/>
            <w:vMerge/>
          </w:tcPr>
          <w:p w14:paraId="17E61D1A" w14:textId="77777777" w:rsidR="00A87FC5" w:rsidRPr="00A87FC5" w:rsidRDefault="00A87FC5" w:rsidP="00A87FC5">
            <w:pPr>
              <w:autoSpaceDE w:val="0"/>
              <w:autoSpaceDN w:val="0"/>
              <w:adjustRightInd w:val="0"/>
              <w:rPr>
                <w:szCs w:val="20"/>
              </w:rPr>
            </w:pPr>
          </w:p>
        </w:tc>
        <w:tc>
          <w:tcPr>
            <w:tcW w:w="854" w:type="dxa"/>
          </w:tcPr>
          <w:p w14:paraId="71F7339A" w14:textId="77777777" w:rsidR="00A87FC5" w:rsidRPr="00A87FC5" w:rsidRDefault="00A87FC5" w:rsidP="00A87FC5">
            <w:pPr>
              <w:autoSpaceDE w:val="0"/>
              <w:autoSpaceDN w:val="0"/>
              <w:adjustRightInd w:val="0"/>
              <w:rPr>
                <w:szCs w:val="20"/>
              </w:rPr>
            </w:pPr>
            <w:r w:rsidRPr="00A87FC5">
              <w:rPr>
                <w:szCs w:val="20"/>
              </w:rPr>
              <w:t>9</w:t>
            </w:r>
          </w:p>
        </w:tc>
        <w:tc>
          <w:tcPr>
            <w:tcW w:w="6170" w:type="dxa"/>
            <w:shd w:val="clear" w:color="auto" w:fill="auto"/>
          </w:tcPr>
          <w:p w14:paraId="33838DE3" w14:textId="77777777" w:rsidR="00A87FC5" w:rsidRPr="00A87FC5" w:rsidRDefault="00A87FC5" w:rsidP="00A87FC5">
            <w:pPr>
              <w:rPr>
                <w:szCs w:val="20"/>
              </w:rPr>
            </w:pPr>
            <w:r w:rsidRPr="00A87FC5">
              <w:rPr>
                <w:szCs w:val="20"/>
              </w:rPr>
              <w:t xml:space="preserve">Siphezi, Imbizo no1, </w:t>
            </w:r>
          </w:p>
        </w:tc>
      </w:tr>
      <w:tr w:rsidR="00A87FC5" w:rsidRPr="00A87FC5" w14:paraId="4C83EB7B" w14:textId="77777777" w:rsidTr="00967A52">
        <w:trPr>
          <w:trHeight w:val="296"/>
        </w:trPr>
        <w:tc>
          <w:tcPr>
            <w:tcW w:w="1976" w:type="dxa"/>
            <w:vMerge/>
          </w:tcPr>
          <w:p w14:paraId="3264F4CE" w14:textId="77777777" w:rsidR="00A87FC5" w:rsidRPr="00A87FC5" w:rsidRDefault="00A87FC5" w:rsidP="00A87FC5">
            <w:pPr>
              <w:autoSpaceDE w:val="0"/>
              <w:autoSpaceDN w:val="0"/>
              <w:adjustRightInd w:val="0"/>
              <w:rPr>
                <w:szCs w:val="20"/>
              </w:rPr>
            </w:pPr>
          </w:p>
        </w:tc>
        <w:tc>
          <w:tcPr>
            <w:tcW w:w="854" w:type="dxa"/>
          </w:tcPr>
          <w:p w14:paraId="6610533B" w14:textId="77777777" w:rsidR="00A87FC5" w:rsidRPr="00A87FC5" w:rsidRDefault="00A87FC5" w:rsidP="00A87FC5">
            <w:pPr>
              <w:autoSpaceDE w:val="0"/>
              <w:autoSpaceDN w:val="0"/>
              <w:adjustRightInd w:val="0"/>
              <w:rPr>
                <w:szCs w:val="20"/>
              </w:rPr>
            </w:pPr>
            <w:r w:rsidRPr="00A87FC5">
              <w:rPr>
                <w:szCs w:val="20"/>
              </w:rPr>
              <w:t>10</w:t>
            </w:r>
          </w:p>
        </w:tc>
        <w:tc>
          <w:tcPr>
            <w:tcW w:w="6170" w:type="dxa"/>
            <w:shd w:val="clear" w:color="auto" w:fill="auto"/>
          </w:tcPr>
          <w:p w14:paraId="1B55FAD1" w14:textId="77777777" w:rsidR="00A87FC5" w:rsidRPr="00A87FC5" w:rsidRDefault="00A87FC5" w:rsidP="00A87FC5">
            <w:pPr>
              <w:rPr>
                <w:szCs w:val="20"/>
              </w:rPr>
            </w:pPr>
            <w:r w:rsidRPr="00A87FC5">
              <w:rPr>
                <w:szCs w:val="20"/>
              </w:rPr>
              <w:t>Nkume, Eziqwaqweni &amp; Mandawe</w:t>
            </w:r>
          </w:p>
        </w:tc>
      </w:tr>
      <w:tr w:rsidR="00A87FC5" w:rsidRPr="00A87FC5" w14:paraId="5C65F18C" w14:textId="77777777" w:rsidTr="00967A52">
        <w:trPr>
          <w:trHeight w:val="296"/>
        </w:trPr>
        <w:tc>
          <w:tcPr>
            <w:tcW w:w="1976" w:type="dxa"/>
            <w:vMerge/>
          </w:tcPr>
          <w:p w14:paraId="7BEDB96D" w14:textId="77777777" w:rsidR="00A87FC5" w:rsidRPr="00A87FC5" w:rsidRDefault="00A87FC5" w:rsidP="00A87FC5">
            <w:pPr>
              <w:autoSpaceDE w:val="0"/>
              <w:autoSpaceDN w:val="0"/>
              <w:adjustRightInd w:val="0"/>
              <w:rPr>
                <w:szCs w:val="20"/>
              </w:rPr>
            </w:pPr>
          </w:p>
        </w:tc>
        <w:tc>
          <w:tcPr>
            <w:tcW w:w="854" w:type="dxa"/>
          </w:tcPr>
          <w:p w14:paraId="69EF9271" w14:textId="77777777" w:rsidR="00A87FC5" w:rsidRPr="00A87FC5" w:rsidRDefault="00A87FC5" w:rsidP="00A87FC5">
            <w:pPr>
              <w:autoSpaceDE w:val="0"/>
              <w:autoSpaceDN w:val="0"/>
              <w:adjustRightInd w:val="0"/>
              <w:rPr>
                <w:szCs w:val="20"/>
              </w:rPr>
            </w:pPr>
            <w:r w:rsidRPr="00A87FC5">
              <w:rPr>
                <w:szCs w:val="20"/>
              </w:rPr>
              <w:t>26</w:t>
            </w:r>
          </w:p>
        </w:tc>
        <w:tc>
          <w:tcPr>
            <w:tcW w:w="6170" w:type="dxa"/>
            <w:shd w:val="clear" w:color="auto" w:fill="auto"/>
          </w:tcPr>
          <w:p w14:paraId="26D1DF08" w14:textId="77777777" w:rsidR="00A87FC5" w:rsidRPr="00A87FC5" w:rsidRDefault="00A87FC5" w:rsidP="00A87FC5">
            <w:pPr>
              <w:rPr>
                <w:szCs w:val="20"/>
              </w:rPr>
            </w:pPr>
            <w:r w:rsidRPr="00A87FC5">
              <w:rPr>
                <w:szCs w:val="20"/>
              </w:rPr>
              <w:t>Ncemaneni, Shakaland, Matheku &amp; Nomyaca</w:t>
            </w:r>
          </w:p>
        </w:tc>
      </w:tr>
      <w:tr w:rsidR="00C21C0D" w:rsidRPr="00A87FC5" w14:paraId="55F37CE9" w14:textId="77777777" w:rsidTr="00967A52">
        <w:trPr>
          <w:trHeight w:val="296"/>
        </w:trPr>
        <w:tc>
          <w:tcPr>
            <w:tcW w:w="1976" w:type="dxa"/>
            <w:vMerge w:val="restart"/>
          </w:tcPr>
          <w:p w14:paraId="4DF0782D" w14:textId="77777777" w:rsidR="00C21C0D" w:rsidRPr="00A87FC5" w:rsidRDefault="00C21C0D" w:rsidP="00A87FC5">
            <w:pPr>
              <w:autoSpaceDE w:val="0"/>
              <w:autoSpaceDN w:val="0"/>
              <w:adjustRightInd w:val="0"/>
              <w:rPr>
                <w:szCs w:val="20"/>
              </w:rPr>
            </w:pPr>
          </w:p>
          <w:p w14:paraId="1D3F3AE7" w14:textId="77777777" w:rsidR="00C21C0D" w:rsidRPr="00A87FC5" w:rsidRDefault="00C21C0D" w:rsidP="00A87FC5">
            <w:pPr>
              <w:autoSpaceDE w:val="0"/>
              <w:autoSpaceDN w:val="0"/>
              <w:adjustRightInd w:val="0"/>
              <w:rPr>
                <w:szCs w:val="20"/>
              </w:rPr>
            </w:pPr>
          </w:p>
          <w:p w14:paraId="2B1730C4" w14:textId="77777777" w:rsidR="00C21C0D" w:rsidRDefault="00C21C0D" w:rsidP="00A87FC5">
            <w:pPr>
              <w:autoSpaceDE w:val="0"/>
              <w:autoSpaceDN w:val="0"/>
              <w:adjustRightInd w:val="0"/>
              <w:rPr>
                <w:szCs w:val="20"/>
              </w:rPr>
            </w:pPr>
          </w:p>
          <w:p w14:paraId="153F7989" w14:textId="77777777" w:rsidR="00C21C0D" w:rsidRPr="00A87FC5" w:rsidRDefault="00C21C0D" w:rsidP="00A87FC5">
            <w:pPr>
              <w:autoSpaceDE w:val="0"/>
              <w:autoSpaceDN w:val="0"/>
              <w:adjustRightInd w:val="0"/>
              <w:rPr>
                <w:szCs w:val="20"/>
              </w:rPr>
            </w:pPr>
            <w:r w:rsidRPr="00A87FC5">
              <w:rPr>
                <w:szCs w:val="20"/>
              </w:rPr>
              <w:t>Cluster 6</w:t>
            </w:r>
          </w:p>
        </w:tc>
        <w:tc>
          <w:tcPr>
            <w:tcW w:w="854" w:type="dxa"/>
          </w:tcPr>
          <w:p w14:paraId="3F2643BA" w14:textId="77777777" w:rsidR="00C21C0D" w:rsidRPr="00A87FC5" w:rsidRDefault="00C21C0D" w:rsidP="00A87FC5">
            <w:pPr>
              <w:autoSpaceDE w:val="0"/>
              <w:autoSpaceDN w:val="0"/>
              <w:adjustRightInd w:val="0"/>
              <w:rPr>
                <w:szCs w:val="20"/>
              </w:rPr>
            </w:pPr>
            <w:r w:rsidRPr="00A87FC5">
              <w:rPr>
                <w:szCs w:val="20"/>
              </w:rPr>
              <w:t>14</w:t>
            </w:r>
          </w:p>
        </w:tc>
        <w:tc>
          <w:tcPr>
            <w:tcW w:w="6170" w:type="dxa"/>
            <w:shd w:val="clear" w:color="auto" w:fill="auto"/>
          </w:tcPr>
          <w:p w14:paraId="3A0110EF" w14:textId="77777777" w:rsidR="00C21C0D" w:rsidRPr="00A87FC5" w:rsidRDefault="00C21C0D" w:rsidP="00A87FC5">
            <w:pPr>
              <w:rPr>
                <w:szCs w:val="20"/>
              </w:rPr>
            </w:pPr>
            <w:r w:rsidRPr="00A87FC5">
              <w:rPr>
                <w:szCs w:val="20"/>
              </w:rPr>
              <w:t>Mpumaze, Mfenyana, Hologo</w:t>
            </w:r>
          </w:p>
        </w:tc>
      </w:tr>
      <w:tr w:rsidR="00C21C0D" w:rsidRPr="00A87FC5" w14:paraId="2391F66E" w14:textId="77777777" w:rsidTr="00967A52">
        <w:trPr>
          <w:trHeight w:val="296"/>
        </w:trPr>
        <w:tc>
          <w:tcPr>
            <w:tcW w:w="1976" w:type="dxa"/>
            <w:vMerge/>
          </w:tcPr>
          <w:p w14:paraId="790BD98C" w14:textId="77777777" w:rsidR="00C21C0D" w:rsidRPr="00A87FC5" w:rsidRDefault="00C21C0D" w:rsidP="00A87FC5">
            <w:pPr>
              <w:autoSpaceDE w:val="0"/>
              <w:autoSpaceDN w:val="0"/>
              <w:adjustRightInd w:val="0"/>
              <w:rPr>
                <w:szCs w:val="20"/>
              </w:rPr>
            </w:pPr>
          </w:p>
        </w:tc>
        <w:tc>
          <w:tcPr>
            <w:tcW w:w="854" w:type="dxa"/>
          </w:tcPr>
          <w:p w14:paraId="56A5C712" w14:textId="77777777" w:rsidR="00C21C0D" w:rsidRPr="00A87FC5" w:rsidRDefault="00C21C0D" w:rsidP="00A87FC5">
            <w:pPr>
              <w:autoSpaceDE w:val="0"/>
              <w:autoSpaceDN w:val="0"/>
              <w:adjustRightInd w:val="0"/>
              <w:rPr>
                <w:szCs w:val="20"/>
              </w:rPr>
            </w:pPr>
            <w:r w:rsidRPr="00A87FC5">
              <w:rPr>
                <w:szCs w:val="20"/>
              </w:rPr>
              <w:t>23</w:t>
            </w:r>
          </w:p>
        </w:tc>
        <w:tc>
          <w:tcPr>
            <w:tcW w:w="6170" w:type="dxa"/>
            <w:shd w:val="clear" w:color="auto" w:fill="auto"/>
          </w:tcPr>
          <w:p w14:paraId="30D2D714" w14:textId="77777777" w:rsidR="00C21C0D" w:rsidRPr="00A87FC5" w:rsidRDefault="00C21C0D" w:rsidP="00A87FC5">
            <w:pPr>
              <w:rPr>
                <w:szCs w:val="20"/>
              </w:rPr>
            </w:pPr>
            <w:r w:rsidRPr="00A87FC5">
              <w:rPr>
                <w:szCs w:val="20"/>
              </w:rPr>
              <w:t>Nteneshane, Ntshidi</w:t>
            </w:r>
          </w:p>
        </w:tc>
      </w:tr>
      <w:tr w:rsidR="00C21C0D" w:rsidRPr="00A87FC5" w14:paraId="4A0D8A2E" w14:textId="77777777" w:rsidTr="00967A52">
        <w:trPr>
          <w:trHeight w:val="296"/>
        </w:trPr>
        <w:tc>
          <w:tcPr>
            <w:tcW w:w="1976" w:type="dxa"/>
            <w:vMerge/>
          </w:tcPr>
          <w:p w14:paraId="31A79D79" w14:textId="77777777" w:rsidR="00C21C0D" w:rsidRPr="00A87FC5" w:rsidRDefault="00C21C0D" w:rsidP="00A87FC5">
            <w:pPr>
              <w:autoSpaceDE w:val="0"/>
              <w:autoSpaceDN w:val="0"/>
              <w:adjustRightInd w:val="0"/>
              <w:rPr>
                <w:szCs w:val="20"/>
              </w:rPr>
            </w:pPr>
          </w:p>
        </w:tc>
        <w:tc>
          <w:tcPr>
            <w:tcW w:w="854" w:type="dxa"/>
          </w:tcPr>
          <w:p w14:paraId="0650F7B0" w14:textId="77777777" w:rsidR="00C21C0D" w:rsidRPr="00A87FC5" w:rsidRDefault="00C21C0D" w:rsidP="00A87FC5">
            <w:pPr>
              <w:autoSpaceDE w:val="0"/>
              <w:autoSpaceDN w:val="0"/>
              <w:adjustRightInd w:val="0"/>
              <w:rPr>
                <w:szCs w:val="20"/>
              </w:rPr>
            </w:pPr>
            <w:r w:rsidRPr="00A87FC5">
              <w:rPr>
                <w:szCs w:val="20"/>
              </w:rPr>
              <w:t>24</w:t>
            </w:r>
          </w:p>
        </w:tc>
        <w:tc>
          <w:tcPr>
            <w:tcW w:w="6170" w:type="dxa"/>
            <w:shd w:val="clear" w:color="auto" w:fill="auto"/>
          </w:tcPr>
          <w:p w14:paraId="6B3ACE69" w14:textId="77777777" w:rsidR="00C21C0D" w:rsidRPr="00A87FC5" w:rsidRDefault="00C21C0D" w:rsidP="00A87FC5">
            <w:pPr>
              <w:rPr>
                <w:szCs w:val="20"/>
              </w:rPr>
            </w:pPr>
            <w:r w:rsidRPr="00A87FC5">
              <w:rPr>
                <w:szCs w:val="20"/>
              </w:rPr>
              <w:t>Nqoleni; Ndlangubo, Fasimba</w:t>
            </w:r>
          </w:p>
        </w:tc>
      </w:tr>
      <w:tr w:rsidR="00C21C0D" w:rsidRPr="00A87FC5" w14:paraId="0F07859F" w14:textId="77777777" w:rsidTr="00967A52">
        <w:trPr>
          <w:trHeight w:val="296"/>
        </w:trPr>
        <w:tc>
          <w:tcPr>
            <w:tcW w:w="1976" w:type="dxa"/>
            <w:vMerge/>
          </w:tcPr>
          <w:p w14:paraId="047AE041" w14:textId="77777777" w:rsidR="00C21C0D" w:rsidRPr="00A87FC5" w:rsidRDefault="00C21C0D" w:rsidP="00A87FC5">
            <w:pPr>
              <w:autoSpaceDE w:val="0"/>
              <w:autoSpaceDN w:val="0"/>
              <w:adjustRightInd w:val="0"/>
              <w:rPr>
                <w:szCs w:val="20"/>
              </w:rPr>
            </w:pPr>
          </w:p>
        </w:tc>
        <w:tc>
          <w:tcPr>
            <w:tcW w:w="854" w:type="dxa"/>
          </w:tcPr>
          <w:p w14:paraId="78F9D369" w14:textId="77777777" w:rsidR="00C21C0D" w:rsidRPr="00A87FC5" w:rsidRDefault="00C21C0D" w:rsidP="00A87FC5">
            <w:pPr>
              <w:autoSpaceDE w:val="0"/>
              <w:autoSpaceDN w:val="0"/>
              <w:adjustRightInd w:val="0"/>
              <w:rPr>
                <w:szCs w:val="20"/>
              </w:rPr>
            </w:pPr>
            <w:r w:rsidRPr="00A87FC5">
              <w:rPr>
                <w:szCs w:val="20"/>
              </w:rPr>
              <w:t>25</w:t>
            </w:r>
          </w:p>
        </w:tc>
        <w:tc>
          <w:tcPr>
            <w:tcW w:w="6170" w:type="dxa"/>
            <w:shd w:val="clear" w:color="auto" w:fill="auto"/>
          </w:tcPr>
          <w:p w14:paraId="23304D05" w14:textId="77777777" w:rsidR="00C21C0D" w:rsidRPr="00A87FC5" w:rsidRDefault="00C21C0D" w:rsidP="00A87FC5">
            <w:pPr>
              <w:rPr>
                <w:szCs w:val="20"/>
              </w:rPr>
            </w:pPr>
            <w:r w:rsidRPr="00A87FC5">
              <w:rPr>
                <w:szCs w:val="20"/>
              </w:rPr>
              <w:t>Habeni; Bhekeshowe; Maqhwakazi, Tap tap, Matheku, P230</w:t>
            </w:r>
          </w:p>
        </w:tc>
      </w:tr>
      <w:tr w:rsidR="00C21C0D" w:rsidRPr="00A87FC5" w14:paraId="59323FCC" w14:textId="77777777" w:rsidTr="00967A52">
        <w:trPr>
          <w:trHeight w:val="273"/>
        </w:trPr>
        <w:tc>
          <w:tcPr>
            <w:tcW w:w="1976" w:type="dxa"/>
            <w:vMerge/>
          </w:tcPr>
          <w:p w14:paraId="2E9DDF35" w14:textId="77777777" w:rsidR="00C21C0D" w:rsidRPr="00A87FC5" w:rsidRDefault="00C21C0D" w:rsidP="00A87FC5">
            <w:pPr>
              <w:autoSpaceDE w:val="0"/>
              <w:autoSpaceDN w:val="0"/>
              <w:adjustRightInd w:val="0"/>
              <w:rPr>
                <w:szCs w:val="20"/>
              </w:rPr>
            </w:pPr>
          </w:p>
        </w:tc>
        <w:tc>
          <w:tcPr>
            <w:tcW w:w="854" w:type="dxa"/>
          </w:tcPr>
          <w:p w14:paraId="7988C1CD" w14:textId="77777777" w:rsidR="00C21C0D" w:rsidRPr="00A87FC5" w:rsidRDefault="00C21C0D" w:rsidP="00A87FC5">
            <w:pPr>
              <w:autoSpaceDE w:val="0"/>
              <w:autoSpaceDN w:val="0"/>
              <w:adjustRightInd w:val="0"/>
              <w:rPr>
                <w:szCs w:val="20"/>
              </w:rPr>
            </w:pPr>
            <w:r w:rsidRPr="00A87FC5">
              <w:rPr>
                <w:szCs w:val="20"/>
              </w:rPr>
              <w:t>27</w:t>
            </w:r>
          </w:p>
        </w:tc>
        <w:tc>
          <w:tcPr>
            <w:tcW w:w="6170" w:type="dxa"/>
            <w:shd w:val="clear" w:color="auto" w:fill="auto"/>
          </w:tcPr>
          <w:p w14:paraId="0E7FD59A" w14:textId="77777777" w:rsidR="00C21C0D" w:rsidRPr="00A87FC5" w:rsidRDefault="00C21C0D" w:rsidP="00A87FC5">
            <w:pPr>
              <w:rPr>
                <w:szCs w:val="20"/>
              </w:rPr>
            </w:pPr>
            <w:r>
              <w:rPr>
                <w:szCs w:val="20"/>
              </w:rPr>
              <w:t>Mandawe (P230)</w:t>
            </w:r>
          </w:p>
        </w:tc>
      </w:tr>
    </w:tbl>
    <w:p w14:paraId="77C6608E" w14:textId="77777777" w:rsidR="00A87FC5" w:rsidRDefault="00A87FC5" w:rsidP="002F62F0">
      <w:pPr>
        <w:pStyle w:val="Caption"/>
      </w:pPr>
      <w:bookmarkStart w:id="290" w:name="_Toc510622281"/>
      <w:r>
        <w:t xml:space="preserve">Table </w:t>
      </w:r>
      <w:r w:rsidR="00B918A6">
        <w:fldChar w:fldCharType="begin"/>
      </w:r>
      <w:r w:rsidR="00B918A6">
        <w:instrText xml:space="preserve"> SEQ Table \* ARABIC </w:instrText>
      </w:r>
      <w:r w:rsidR="00B918A6">
        <w:fldChar w:fldCharType="separate"/>
      </w:r>
      <w:r w:rsidR="0067023A">
        <w:rPr>
          <w:noProof/>
        </w:rPr>
        <w:t>31</w:t>
      </w:r>
      <w:r w:rsidR="00B918A6">
        <w:rPr>
          <w:noProof/>
        </w:rPr>
        <w:fldChar w:fldCharType="end"/>
      </w:r>
      <w:r>
        <w:t>: Rural Waste Removal Clusters</w:t>
      </w:r>
      <w:bookmarkEnd w:id="290"/>
    </w:p>
    <w:p w14:paraId="10731390" w14:textId="77777777" w:rsidR="00F929B6" w:rsidRPr="00176CEC" w:rsidRDefault="00967A52" w:rsidP="00750180">
      <w:pPr>
        <w:pStyle w:val="ListParagraph"/>
        <w:numPr>
          <w:ilvl w:val="3"/>
          <w:numId w:val="29"/>
        </w:numPr>
        <w:spacing w:line="288" w:lineRule="auto"/>
        <w:jc w:val="both"/>
        <w:rPr>
          <w:rFonts w:asciiTheme="minorHAnsi" w:eastAsiaTheme="majorEastAsia" w:hAnsiTheme="minorHAnsi" w:cstheme="majorBidi"/>
          <w:b/>
          <w:bCs/>
          <w:iCs/>
          <w:sz w:val="22"/>
        </w:rPr>
      </w:pPr>
      <w:r w:rsidRPr="00176CEC">
        <w:rPr>
          <w:rFonts w:asciiTheme="minorHAnsi" w:eastAsiaTheme="majorEastAsia" w:hAnsiTheme="minorHAnsi" w:cstheme="majorBidi"/>
          <w:b/>
          <w:bCs/>
          <w:iCs/>
          <w:sz w:val="22"/>
        </w:rPr>
        <w:t>Status Quo on Waste Disposal Facilities</w:t>
      </w:r>
    </w:p>
    <w:p w14:paraId="29C2250D" w14:textId="77777777" w:rsidR="00967A52" w:rsidRDefault="00967A52" w:rsidP="00967A52">
      <w:pPr>
        <w:spacing w:after="0" w:line="240" w:lineRule="auto"/>
        <w:jc w:val="both"/>
        <w:rPr>
          <w:szCs w:val="20"/>
        </w:rPr>
      </w:pPr>
      <w:r w:rsidRPr="00967A52">
        <w:rPr>
          <w:szCs w:val="20"/>
        </w:rPr>
        <w:t>There two disposal facilities in uMlalazi</w:t>
      </w:r>
      <w:r>
        <w:rPr>
          <w:szCs w:val="20"/>
        </w:rPr>
        <w:t xml:space="preserve"> LM (with weigh bridges)</w:t>
      </w:r>
      <w:r w:rsidRPr="00967A52">
        <w:rPr>
          <w:szCs w:val="20"/>
        </w:rPr>
        <w:t xml:space="preserve">, </w:t>
      </w:r>
    </w:p>
    <w:p w14:paraId="18141DDF" w14:textId="77777777" w:rsidR="00967A52" w:rsidRPr="00967A52" w:rsidRDefault="00967A52" w:rsidP="00967A52">
      <w:pPr>
        <w:spacing w:after="0" w:line="240" w:lineRule="auto"/>
        <w:jc w:val="both"/>
        <w:rPr>
          <w:szCs w:val="20"/>
        </w:rPr>
      </w:pPr>
    </w:p>
    <w:p w14:paraId="56CAA5B0" w14:textId="77777777" w:rsidR="00967A52" w:rsidRPr="00967A52" w:rsidRDefault="00967A52" w:rsidP="00750180">
      <w:pPr>
        <w:pStyle w:val="ListParagraph"/>
        <w:numPr>
          <w:ilvl w:val="0"/>
          <w:numId w:val="73"/>
        </w:numPr>
        <w:spacing w:after="0" w:line="240" w:lineRule="auto"/>
        <w:jc w:val="both"/>
        <w:rPr>
          <w:szCs w:val="20"/>
        </w:rPr>
      </w:pPr>
      <w:r w:rsidRPr="00967A52">
        <w:rPr>
          <w:szCs w:val="20"/>
        </w:rPr>
        <w:t xml:space="preserve">Eshowe Transfer Station - servicing Eshowe Suburbs and surrounding wards. </w:t>
      </w:r>
    </w:p>
    <w:p w14:paraId="37433B30" w14:textId="77777777" w:rsidR="00967A52" w:rsidRPr="00967A52" w:rsidRDefault="00967A52" w:rsidP="00967A52">
      <w:pPr>
        <w:spacing w:line="240" w:lineRule="auto"/>
        <w:ind w:firstLine="720"/>
        <w:jc w:val="both"/>
        <w:rPr>
          <w:szCs w:val="20"/>
        </w:rPr>
      </w:pPr>
      <w:r>
        <w:rPr>
          <w:szCs w:val="20"/>
        </w:rPr>
        <w:t>The following type</w:t>
      </w:r>
      <w:r w:rsidRPr="00967A52">
        <w:rPr>
          <w:szCs w:val="20"/>
        </w:rPr>
        <w:t xml:space="preserve"> of waste is disposed/ allowed:</w:t>
      </w:r>
    </w:p>
    <w:p w14:paraId="294269A5" w14:textId="77777777" w:rsidR="00967A52" w:rsidRPr="00967A52" w:rsidRDefault="00967A52" w:rsidP="00967A52">
      <w:pPr>
        <w:spacing w:after="0" w:line="240" w:lineRule="auto"/>
        <w:jc w:val="both"/>
        <w:rPr>
          <w:szCs w:val="20"/>
        </w:rPr>
      </w:pPr>
      <w:r w:rsidRPr="00967A52">
        <w:rPr>
          <w:szCs w:val="20"/>
        </w:rPr>
        <w:t>-</w:t>
      </w:r>
      <w:r w:rsidRPr="00967A52">
        <w:rPr>
          <w:szCs w:val="20"/>
        </w:rPr>
        <w:tab/>
        <w:t>Organic waste</w:t>
      </w:r>
    </w:p>
    <w:p w14:paraId="73DBA42C" w14:textId="77777777" w:rsidR="00967A52" w:rsidRDefault="00967A52" w:rsidP="00967A52">
      <w:pPr>
        <w:spacing w:after="0" w:line="240" w:lineRule="auto"/>
        <w:jc w:val="both"/>
        <w:rPr>
          <w:szCs w:val="20"/>
        </w:rPr>
      </w:pPr>
      <w:r w:rsidRPr="00967A52">
        <w:rPr>
          <w:szCs w:val="20"/>
        </w:rPr>
        <w:t>-</w:t>
      </w:r>
      <w:r w:rsidRPr="00967A52">
        <w:rPr>
          <w:szCs w:val="20"/>
        </w:rPr>
        <w:tab/>
        <w:t xml:space="preserve">Garden waste  </w:t>
      </w:r>
    </w:p>
    <w:p w14:paraId="4C3625E4" w14:textId="77777777" w:rsidR="00953CCD" w:rsidRDefault="00953CCD" w:rsidP="00967A52">
      <w:pPr>
        <w:spacing w:after="0" w:line="240" w:lineRule="auto"/>
        <w:jc w:val="both"/>
        <w:rPr>
          <w:szCs w:val="20"/>
        </w:rPr>
      </w:pPr>
      <w:r>
        <w:rPr>
          <w:szCs w:val="20"/>
        </w:rPr>
        <w:t>-</w:t>
      </w:r>
      <w:r>
        <w:rPr>
          <w:szCs w:val="20"/>
        </w:rPr>
        <w:tab/>
      </w:r>
      <w:r w:rsidRPr="00621E76">
        <w:rPr>
          <w:szCs w:val="20"/>
        </w:rPr>
        <w:t>Building Rubble</w:t>
      </w:r>
    </w:p>
    <w:p w14:paraId="54588A0C" w14:textId="77777777" w:rsidR="00953CCD" w:rsidRDefault="00953CCD" w:rsidP="00967A52">
      <w:pPr>
        <w:spacing w:after="0" w:line="240" w:lineRule="auto"/>
        <w:jc w:val="both"/>
        <w:rPr>
          <w:szCs w:val="20"/>
        </w:rPr>
      </w:pPr>
    </w:p>
    <w:p w14:paraId="63B4CF9D" w14:textId="77777777" w:rsidR="00967A52" w:rsidRPr="00967A52" w:rsidRDefault="00967A52" w:rsidP="00750180">
      <w:pPr>
        <w:pStyle w:val="ListParagraph"/>
        <w:numPr>
          <w:ilvl w:val="0"/>
          <w:numId w:val="73"/>
        </w:numPr>
        <w:spacing w:after="0" w:line="240" w:lineRule="auto"/>
        <w:jc w:val="both"/>
        <w:rPr>
          <w:szCs w:val="20"/>
        </w:rPr>
      </w:pPr>
      <w:r w:rsidRPr="00967A52">
        <w:rPr>
          <w:szCs w:val="20"/>
        </w:rPr>
        <w:t xml:space="preserve">Mtunzini Transfer Station – servicing Mtunzini and surrounding wards. </w:t>
      </w:r>
    </w:p>
    <w:p w14:paraId="2A8DB166" w14:textId="77777777" w:rsidR="00967A52" w:rsidRPr="00967A52" w:rsidRDefault="00967A52" w:rsidP="00967A52">
      <w:pPr>
        <w:spacing w:line="240" w:lineRule="auto"/>
        <w:ind w:firstLine="720"/>
        <w:jc w:val="both"/>
        <w:rPr>
          <w:szCs w:val="20"/>
        </w:rPr>
      </w:pPr>
      <w:r>
        <w:rPr>
          <w:szCs w:val="20"/>
        </w:rPr>
        <w:t>The following types</w:t>
      </w:r>
      <w:r w:rsidRPr="00967A52">
        <w:rPr>
          <w:szCs w:val="20"/>
        </w:rPr>
        <w:t xml:space="preserve"> of waste is disposed/ allowed:</w:t>
      </w:r>
    </w:p>
    <w:p w14:paraId="18DB5718" w14:textId="77777777" w:rsidR="00967A52" w:rsidRPr="00967A52" w:rsidRDefault="00967A52" w:rsidP="00967A52">
      <w:pPr>
        <w:spacing w:after="0" w:line="240" w:lineRule="auto"/>
        <w:jc w:val="both"/>
        <w:rPr>
          <w:szCs w:val="20"/>
        </w:rPr>
      </w:pPr>
      <w:r w:rsidRPr="00967A52">
        <w:rPr>
          <w:szCs w:val="20"/>
        </w:rPr>
        <w:t>-</w:t>
      </w:r>
      <w:r w:rsidRPr="00967A52">
        <w:rPr>
          <w:szCs w:val="20"/>
        </w:rPr>
        <w:tab/>
        <w:t>Organic waste</w:t>
      </w:r>
    </w:p>
    <w:p w14:paraId="31A900AC" w14:textId="77777777" w:rsidR="00967A52" w:rsidRPr="00967A52" w:rsidRDefault="00967A52" w:rsidP="00967A52">
      <w:pPr>
        <w:spacing w:after="0" w:line="240" w:lineRule="auto"/>
        <w:jc w:val="both"/>
        <w:rPr>
          <w:szCs w:val="20"/>
        </w:rPr>
      </w:pPr>
      <w:r w:rsidRPr="00967A52">
        <w:rPr>
          <w:szCs w:val="20"/>
        </w:rPr>
        <w:t>-</w:t>
      </w:r>
      <w:r w:rsidRPr="00967A52">
        <w:rPr>
          <w:szCs w:val="20"/>
        </w:rPr>
        <w:tab/>
        <w:t>Garden waste</w:t>
      </w:r>
    </w:p>
    <w:p w14:paraId="3B8B8EDE" w14:textId="77777777" w:rsidR="00967A52" w:rsidRDefault="00953CCD" w:rsidP="00967A52">
      <w:pPr>
        <w:spacing w:after="0" w:line="240" w:lineRule="auto"/>
        <w:jc w:val="both"/>
        <w:rPr>
          <w:szCs w:val="20"/>
        </w:rPr>
      </w:pPr>
      <w:r>
        <w:rPr>
          <w:szCs w:val="20"/>
        </w:rPr>
        <w:t>-</w:t>
      </w:r>
      <w:r>
        <w:rPr>
          <w:szCs w:val="20"/>
        </w:rPr>
        <w:tab/>
        <w:t>Building Rubble</w:t>
      </w:r>
    </w:p>
    <w:p w14:paraId="73F49FF4" w14:textId="77777777" w:rsidR="00BF07C4" w:rsidRDefault="00BF07C4" w:rsidP="00967A52">
      <w:pPr>
        <w:spacing w:after="0" w:line="240" w:lineRule="auto"/>
        <w:jc w:val="both"/>
        <w:rPr>
          <w:szCs w:val="20"/>
        </w:rPr>
      </w:pPr>
    </w:p>
    <w:p w14:paraId="0AA95485" w14:textId="77777777" w:rsidR="00BF07C4" w:rsidRDefault="00BF07C4" w:rsidP="00750180">
      <w:pPr>
        <w:pStyle w:val="ListParagraph"/>
        <w:numPr>
          <w:ilvl w:val="0"/>
          <w:numId w:val="73"/>
        </w:numPr>
        <w:spacing w:after="0" w:line="240" w:lineRule="auto"/>
        <w:jc w:val="both"/>
        <w:rPr>
          <w:szCs w:val="20"/>
        </w:rPr>
      </w:pPr>
      <w:r>
        <w:rPr>
          <w:szCs w:val="20"/>
        </w:rPr>
        <w:t>Gingindlovu Dumping Site – Servicing Gingindlovu and surrounding wards</w:t>
      </w:r>
    </w:p>
    <w:p w14:paraId="1D1C35FB" w14:textId="77777777" w:rsidR="00BF07C4" w:rsidRDefault="00BF07C4" w:rsidP="00BF07C4">
      <w:pPr>
        <w:spacing w:after="0" w:line="240" w:lineRule="auto"/>
        <w:ind w:left="720"/>
        <w:jc w:val="both"/>
        <w:rPr>
          <w:szCs w:val="20"/>
        </w:rPr>
      </w:pPr>
      <w:r w:rsidRPr="00BF07C4">
        <w:rPr>
          <w:szCs w:val="20"/>
        </w:rPr>
        <w:t>The following types of waste is disposed/ allowed:</w:t>
      </w:r>
    </w:p>
    <w:p w14:paraId="5E4F927B" w14:textId="77777777" w:rsidR="00BF07C4" w:rsidRPr="00BF07C4" w:rsidRDefault="00BF07C4" w:rsidP="00BF07C4">
      <w:pPr>
        <w:spacing w:after="0" w:line="240" w:lineRule="auto"/>
        <w:ind w:left="720"/>
        <w:jc w:val="both"/>
        <w:rPr>
          <w:szCs w:val="20"/>
        </w:rPr>
      </w:pPr>
    </w:p>
    <w:p w14:paraId="2DB370A5" w14:textId="77777777" w:rsidR="00BF07C4" w:rsidRPr="00BF07C4" w:rsidRDefault="00BF07C4" w:rsidP="00BF07C4">
      <w:pPr>
        <w:spacing w:after="0" w:line="240" w:lineRule="auto"/>
        <w:ind w:left="720"/>
        <w:jc w:val="both"/>
        <w:rPr>
          <w:szCs w:val="20"/>
        </w:rPr>
      </w:pPr>
      <w:r w:rsidRPr="00BF07C4">
        <w:rPr>
          <w:szCs w:val="20"/>
        </w:rPr>
        <w:t>-</w:t>
      </w:r>
      <w:r w:rsidRPr="00BF07C4">
        <w:rPr>
          <w:szCs w:val="20"/>
        </w:rPr>
        <w:tab/>
        <w:t>Organic waste</w:t>
      </w:r>
    </w:p>
    <w:p w14:paraId="57F53C5D" w14:textId="77777777" w:rsidR="00BF07C4" w:rsidRPr="00BF07C4" w:rsidRDefault="00BF07C4" w:rsidP="00BF07C4">
      <w:pPr>
        <w:spacing w:after="0" w:line="240" w:lineRule="auto"/>
        <w:ind w:left="720"/>
        <w:jc w:val="both"/>
        <w:rPr>
          <w:szCs w:val="20"/>
        </w:rPr>
      </w:pPr>
      <w:r w:rsidRPr="00BF07C4">
        <w:rPr>
          <w:szCs w:val="20"/>
        </w:rPr>
        <w:t>-</w:t>
      </w:r>
      <w:r w:rsidRPr="00BF07C4">
        <w:rPr>
          <w:szCs w:val="20"/>
        </w:rPr>
        <w:tab/>
        <w:t>Garden waste</w:t>
      </w:r>
    </w:p>
    <w:p w14:paraId="76198E21" w14:textId="77777777" w:rsidR="00BF07C4" w:rsidRPr="00BF07C4" w:rsidRDefault="00BF07C4" w:rsidP="00BF07C4">
      <w:pPr>
        <w:spacing w:after="0" w:line="240" w:lineRule="auto"/>
        <w:ind w:left="720"/>
        <w:jc w:val="both"/>
        <w:rPr>
          <w:szCs w:val="20"/>
        </w:rPr>
      </w:pPr>
      <w:r w:rsidRPr="00BF07C4">
        <w:rPr>
          <w:szCs w:val="20"/>
        </w:rPr>
        <w:t>-</w:t>
      </w:r>
      <w:r w:rsidRPr="00BF07C4">
        <w:rPr>
          <w:szCs w:val="20"/>
        </w:rPr>
        <w:tab/>
        <w:t>Building Rubble</w:t>
      </w:r>
    </w:p>
    <w:p w14:paraId="4D6E79BB" w14:textId="77777777" w:rsidR="00BF07C4" w:rsidRDefault="00BF07C4" w:rsidP="00967A52">
      <w:pPr>
        <w:spacing w:after="0" w:line="240" w:lineRule="auto"/>
        <w:jc w:val="both"/>
        <w:rPr>
          <w:szCs w:val="20"/>
        </w:rPr>
      </w:pPr>
    </w:p>
    <w:p w14:paraId="2240CA96" w14:textId="77777777" w:rsidR="00967A52" w:rsidRDefault="00967A52" w:rsidP="00967A52">
      <w:pPr>
        <w:spacing w:after="0" w:line="240" w:lineRule="auto"/>
        <w:jc w:val="both"/>
        <w:rPr>
          <w:szCs w:val="20"/>
        </w:rPr>
      </w:pPr>
      <w:r w:rsidRPr="00967A52">
        <w:rPr>
          <w:szCs w:val="20"/>
        </w:rPr>
        <w:t xml:space="preserve">Hazardous and medical waste is not permitted to enter the waste transfer station. The site is controlled for entry and exit, and is open to the public 7 days a week. </w:t>
      </w:r>
    </w:p>
    <w:p w14:paraId="2AA89331" w14:textId="77777777" w:rsidR="00BF07C4" w:rsidRDefault="00BF07C4" w:rsidP="00967A52">
      <w:pPr>
        <w:spacing w:after="0" w:line="240" w:lineRule="auto"/>
        <w:jc w:val="both"/>
        <w:rPr>
          <w:szCs w:val="20"/>
        </w:rPr>
      </w:pPr>
    </w:p>
    <w:p w14:paraId="20238935" w14:textId="77777777" w:rsidR="00BF07C4" w:rsidRPr="00BF07C4" w:rsidRDefault="00BF07C4" w:rsidP="00750180">
      <w:pPr>
        <w:pStyle w:val="ListParagraph"/>
        <w:numPr>
          <w:ilvl w:val="3"/>
          <w:numId w:val="29"/>
        </w:numPr>
        <w:spacing w:line="288" w:lineRule="auto"/>
        <w:jc w:val="both"/>
        <w:rPr>
          <w:rFonts w:asciiTheme="minorHAnsi" w:eastAsiaTheme="majorEastAsia" w:hAnsiTheme="minorHAnsi" w:cstheme="majorBidi"/>
          <w:b/>
          <w:bCs/>
          <w:iCs/>
          <w:sz w:val="22"/>
        </w:rPr>
      </w:pPr>
      <w:r w:rsidRPr="00BF07C4">
        <w:rPr>
          <w:rFonts w:asciiTheme="minorHAnsi" w:eastAsiaTheme="majorEastAsia" w:hAnsiTheme="minorHAnsi" w:cstheme="majorBidi"/>
          <w:b/>
          <w:bCs/>
          <w:iCs/>
          <w:sz w:val="22"/>
        </w:rPr>
        <w:t>Status of Transfer Stations</w:t>
      </w:r>
    </w:p>
    <w:p w14:paraId="0E5377E5" w14:textId="77777777" w:rsidR="00BF07C4" w:rsidRPr="00BF07C4" w:rsidRDefault="00BF07C4" w:rsidP="00BF07C4">
      <w:pPr>
        <w:spacing w:line="240" w:lineRule="auto"/>
        <w:jc w:val="both"/>
        <w:rPr>
          <w:b/>
          <w:szCs w:val="20"/>
          <w:u w:val="single"/>
        </w:rPr>
      </w:pPr>
      <w:r w:rsidRPr="00BF07C4">
        <w:rPr>
          <w:b/>
          <w:szCs w:val="20"/>
          <w:u w:val="single"/>
        </w:rPr>
        <w:t>Eshowe Waste Transfer Station:</w:t>
      </w:r>
    </w:p>
    <w:p w14:paraId="332B442A" w14:textId="77777777" w:rsidR="00BF07C4" w:rsidRPr="00BF07C4" w:rsidRDefault="00BF07C4" w:rsidP="00BF07C4">
      <w:pPr>
        <w:spacing w:after="0" w:line="240" w:lineRule="auto"/>
        <w:jc w:val="both"/>
        <w:rPr>
          <w:szCs w:val="20"/>
        </w:rPr>
      </w:pPr>
      <w:r w:rsidRPr="00BF07C4">
        <w:rPr>
          <w:szCs w:val="20"/>
        </w:rPr>
        <w:t>Class</w:t>
      </w:r>
      <w:r>
        <w:rPr>
          <w:szCs w:val="20"/>
        </w:rPr>
        <w:tab/>
      </w:r>
      <w:r>
        <w:rPr>
          <w:szCs w:val="20"/>
        </w:rPr>
        <w:tab/>
        <w:t>:</w:t>
      </w:r>
      <w:r>
        <w:rPr>
          <w:szCs w:val="20"/>
        </w:rPr>
        <w:tab/>
      </w:r>
      <w:r w:rsidRPr="00BF07C4">
        <w:rPr>
          <w:szCs w:val="20"/>
        </w:rPr>
        <w:t xml:space="preserve">G:S:B </w:t>
      </w:r>
    </w:p>
    <w:p w14:paraId="1DE2CD09" w14:textId="77777777" w:rsidR="00BF07C4" w:rsidRPr="00BF07C4" w:rsidRDefault="00BF07C4" w:rsidP="00BF07C4">
      <w:pPr>
        <w:spacing w:after="0" w:line="240" w:lineRule="auto"/>
        <w:jc w:val="both"/>
        <w:rPr>
          <w:szCs w:val="20"/>
        </w:rPr>
      </w:pPr>
      <w:r w:rsidRPr="00BF07C4">
        <w:rPr>
          <w:szCs w:val="20"/>
        </w:rPr>
        <w:t>Licensed</w:t>
      </w:r>
      <w:r>
        <w:rPr>
          <w:szCs w:val="20"/>
        </w:rPr>
        <w:tab/>
      </w:r>
      <w:r>
        <w:rPr>
          <w:szCs w:val="20"/>
        </w:rPr>
        <w:tab/>
        <w:t>:</w:t>
      </w:r>
      <w:r>
        <w:rPr>
          <w:szCs w:val="20"/>
        </w:rPr>
        <w:tab/>
      </w:r>
      <w:r w:rsidR="00E4582F">
        <w:rPr>
          <w:szCs w:val="20"/>
        </w:rPr>
        <w:t>License N</w:t>
      </w:r>
      <w:r w:rsidRPr="00BF07C4">
        <w:rPr>
          <w:szCs w:val="20"/>
        </w:rPr>
        <w:t xml:space="preserve">o. 12/9/11/L18/4 </w:t>
      </w:r>
    </w:p>
    <w:p w14:paraId="20E09A94" w14:textId="77777777" w:rsidR="00BF07C4" w:rsidRPr="00BF07C4" w:rsidRDefault="00BF07C4" w:rsidP="00BF07C4">
      <w:pPr>
        <w:spacing w:after="0" w:line="240" w:lineRule="auto"/>
        <w:ind w:left="2160" w:hanging="2160"/>
        <w:jc w:val="both"/>
        <w:rPr>
          <w:szCs w:val="20"/>
        </w:rPr>
      </w:pPr>
      <w:r w:rsidRPr="00BF07C4">
        <w:rPr>
          <w:szCs w:val="20"/>
        </w:rPr>
        <w:t>Engineering</w:t>
      </w:r>
      <w:r>
        <w:rPr>
          <w:szCs w:val="20"/>
        </w:rPr>
        <w:t xml:space="preserve">          </w:t>
      </w:r>
      <w:r w:rsidRPr="00BF07C4">
        <w:rPr>
          <w:szCs w:val="20"/>
        </w:rPr>
        <w:t>:</w:t>
      </w:r>
      <w:r>
        <w:rPr>
          <w:szCs w:val="20"/>
        </w:rPr>
        <w:tab/>
        <w:t>F</w:t>
      </w:r>
      <w:r w:rsidRPr="00BF07C4">
        <w:rPr>
          <w:szCs w:val="20"/>
        </w:rPr>
        <w:t xml:space="preserve">ully functional Weighbridge and well maintained recycling structure, well maintained </w:t>
      </w:r>
      <w:r>
        <w:rPr>
          <w:szCs w:val="20"/>
        </w:rPr>
        <w:t xml:space="preserve">   </w:t>
      </w:r>
      <w:r w:rsidRPr="00BF07C4">
        <w:rPr>
          <w:szCs w:val="20"/>
        </w:rPr>
        <w:t xml:space="preserve">leachate structure. </w:t>
      </w:r>
    </w:p>
    <w:p w14:paraId="6396DE1B" w14:textId="77777777" w:rsidR="00BF07C4" w:rsidRPr="00BF07C4" w:rsidRDefault="00BF07C4" w:rsidP="00BF07C4">
      <w:pPr>
        <w:spacing w:after="0" w:line="240" w:lineRule="auto"/>
        <w:jc w:val="both"/>
        <w:rPr>
          <w:b/>
          <w:szCs w:val="20"/>
          <w:u w:val="single"/>
        </w:rPr>
      </w:pPr>
      <w:r w:rsidRPr="00BF07C4">
        <w:rPr>
          <w:b/>
          <w:szCs w:val="20"/>
          <w:u w:val="single"/>
        </w:rPr>
        <w:t>Mthunzini Waste Transfer Station:</w:t>
      </w:r>
    </w:p>
    <w:p w14:paraId="2DD39072" w14:textId="77777777" w:rsidR="00BF07C4" w:rsidRPr="00BF07C4" w:rsidRDefault="00BF07C4" w:rsidP="00BF07C4">
      <w:pPr>
        <w:spacing w:before="240" w:after="0" w:line="240" w:lineRule="auto"/>
        <w:jc w:val="both"/>
        <w:rPr>
          <w:szCs w:val="20"/>
        </w:rPr>
      </w:pPr>
      <w:r>
        <w:rPr>
          <w:szCs w:val="20"/>
        </w:rPr>
        <w:t>Class</w:t>
      </w:r>
      <w:r>
        <w:rPr>
          <w:szCs w:val="20"/>
        </w:rPr>
        <w:tab/>
      </w:r>
      <w:r>
        <w:rPr>
          <w:szCs w:val="20"/>
        </w:rPr>
        <w:tab/>
        <w:t>:</w:t>
      </w:r>
      <w:r>
        <w:rPr>
          <w:szCs w:val="20"/>
        </w:rPr>
        <w:tab/>
      </w:r>
      <w:r w:rsidRPr="00BF07C4">
        <w:rPr>
          <w:szCs w:val="20"/>
        </w:rPr>
        <w:t>G:S:B</w:t>
      </w:r>
    </w:p>
    <w:p w14:paraId="285928B4" w14:textId="77777777" w:rsidR="00BF07C4" w:rsidRPr="00BF07C4" w:rsidRDefault="00BF07C4" w:rsidP="00BF07C4">
      <w:pPr>
        <w:spacing w:after="0" w:line="240" w:lineRule="auto"/>
        <w:jc w:val="both"/>
        <w:rPr>
          <w:szCs w:val="20"/>
        </w:rPr>
      </w:pPr>
      <w:r w:rsidRPr="00BF07C4">
        <w:rPr>
          <w:szCs w:val="20"/>
        </w:rPr>
        <w:t>Licensed</w:t>
      </w:r>
      <w:r>
        <w:rPr>
          <w:szCs w:val="20"/>
        </w:rPr>
        <w:tab/>
      </w:r>
      <w:r>
        <w:rPr>
          <w:szCs w:val="20"/>
        </w:rPr>
        <w:tab/>
      </w:r>
      <w:r w:rsidRPr="00BF07C4">
        <w:rPr>
          <w:szCs w:val="20"/>
        </w:rPr>
        <w:t>:</w:t>
      </w:r>
      <w:r>
        <w:rPr>
          <w:szCs w:val="20"/>
        </w:rPr>
        <w:tab/>
        <w:t>L</w:t>
      </w:r>
      <w:r w:rsidR="00E4582F">
        <w:rPr>
          <w:szCs w:val="20"/>
        </w:rPr>
        <w:t>icense N</w:t>
      </w:r>
      <w:r w:rsidRPr="00BF07C4">
        <w:rPr>
          <w:szCs w:val="20"/>
        </w:rPr>
        <w:t>o. 12/11/4/P43</w:t>
      </w:r>
    </w:p>
    <w:p w14:paraId="7F7B3935" w14:textId="77777777" w:rsidR="00BF07C4" w:rsidRPr="00BF07C4" w:rsidRDefault="00E4582F" w:rsidP="00BF07C4">
      <w:pPr>
        <w:spacing w:after="0" w:line="240" w:lineRule="auto"/>
        <w:jc w:val="both"/>
        <w:rPr>
          <w:szCs w:val="20"/>
        </w:rPr>
      </w:pPr>
      <w:r>
        <w:rPr>
          <w:szCs w:val="20"/>
        </w:rPr>
        <w:t>Engineering</w:t>
      </w:r>
      <w:r w:rsidR="00BF07C4">
        <w:rPr>
          <w:szCs w:val="20"/>
        </w:rPr>
        <w:tab/>
        <w:t>:</w:t>
      </w:r>
      <w:r w:rsidR="00BF07C4">
        <w:rPr>
          <w:szCs w:val="20"/>
        </w:rPr>
        <w:tab/>
        <w:t>F</w:t>
      </w:r>
      <w:r w:rsidR="00BF07C4" w:rsidRPr="00BF07C4">
        <w:rPr>
          <w:szCs w:val="20"/>
        </w:rPr>
        <w:t xml:space="preserve">ully functional Weighbridge and a well </w:t>
      </w:r>
      <w:r w:rsidRPr="00BF07C4">
        <w:rPr>
          <w:szCs w:val="20"/>
        </w:rPr>
        <w:t>maintained leachate structure</w:t>
      </w:r>
      <w:r w:rsidR="00BF07C4" w:rsidRPr="00BF07C4">
        <w:rPr>
          <w:szCs w:val="20"/>
        </w:rPr>
        <w:t xml:space="preserve">. </w:t>
      </w:r>
    </w:p>
    <w:p w14:paraId="354EB2D2" w14:textId="77777777" w:rsidR="00BF07C4" w:rsidRDefault="00BF07C4" w:rsidP="00BF07C4">
      <w:pPr>
        <w:spacing w:after="0" w:line="240" w:lineRule="auto"/>
        <w:jc w:val="both"/>
        <w:rPr>
          <w:szCs w:val="20"/>
        </w:rPr>
      </w:pPr>
    </w:p>
    <w:p w14:paraId="272EF2D7" w14:textId="77777777" w:rsidR="00E4582F" w:rsidRDefault="00BF07C4" w:rsidP="00BF07C4">
      <w:pPr>
        <w:spacing w:after="0" w:line="240" w:lineRule="auto"/>
        <w:jc w:val="both"/>
        <w:rPr>
          <w:szCs w:val="20"/>
        </w:rPr>
      </w:pPr>
      <w:r w:rsidRPr="00E4582F">
        <w:rPr>
          <w:b/>
          <w:szCs w:val="20"/>
          <w:u w:val="single"/>
        </w:rPr>
        <w:t>Gingindlovu Dumping</w:t>
      </w:r>
      <w:r w:rsidRPr="00BF07C4">
        <w:rPr>
          <w:b/>
          <w:szCs w:val="20"/>
          <w:u w:val="single"/>
        </w:rPr>
        <w:t xml:space="preserve"> site</w:t>
      </w:r>
      <w:r w:rsidR="00E4582F">
        <w:rPr>
          <w:szCs w:val="20"/>
        </w:rPr>
        <w:t>:</w:t>
      </w:r>
    </w:p>
    <w:p w14:paraId="4F26DFB2" w14:textId="77777777" w:rsidR="00BF07C4" w:rsidRPr="00BF07C4" w:rsidRDefault="00BF07C4" w:rsidP="00BF07C4">
      <w:pPr>
        <w:spacing w:after="0" w:line="240" w:lineRule="auto"/>
        <w:jc w:val="both"/>
        <w:rPr>
          <w:szCs w:val="20"/>
        </w:rPr>
      </w:pPr>
      <w:r w:rsidRPr="00BF07C4">
        <w:rPr>
          <w:szCs w:val="20"/>
        </w:rPr>
        <w:t xml:space="preserve"> </w:t>
      </w:r>
    </w:p>
    <w:p w14:paraId="21609558" w14:textId="77777777" w:rsidR="00BF07C4" w:rsidRPr="00BF07C4" w:rsidRDefault="00E4582F" w:rsidP="00BF07C4">
      <w:pPr>
        <w:spacing w:after="0" w:line="240" w:lineRule="auto"/>
        <w:jc w:val="both"/>
        <w:rPr>
          <w:szCs w:val="20"/>
        </w:rPr>
      </w:pPr>
      <w:r w:rsidRPr="00BF07C4">
        <w:rPr>
          <w:szCs w:val="20"/>
        </w:rPr>
        <w:t>Licensed</w:t>
      </w:r>
      <w:r>
        <w:rPr>
          <w:szCs w:val="20"/>
        </w:rPr>
        <w:tab/>
      </w:r>
      <w:r>
        <w:rPr>
          <w:szCs w:val="20"/>
        </w:rPr>
        <w:tab/>
      </w:r>
      <w:r w:rsidR="00BF07C4" w:rsidRPr="00BF07C4">
        <w:rPr>
          <w:szCs w:val="20"/>
        </w:rPr>
        <w:t>:</w:t>
      </w:r>
      <w:r>
        <w:rPr>
          <w:szCs w:val="20"/>
        </w:rPr>
        <w:tab/>
        <w:t>License N</w:t>
      </w:r>
      <w:r w:rsidR="00BF07C4" w:rsidRPr="00BF07C4">
        <w:rPr>
          <w:szCs w:val="20"/>
        </w:rPr>
        <w:t>o. DC28/WML/0001/2014</w:t>
      </w:r>
    </w:p>
    <w:p w14:paraId="114E171B" w14:textId="77777777" w:rsidR="00BF07C4" w:rsidRPr="00BF07C4" w:rsidRDefault="00E4582F" w:rsidP="00BF07C4">
      <w:pPr>
        <w:spacing w:after="0" w:line="240" w:lineRule="auto"/>
        <w:jc w:val="both"/>
        <w:rPr>
          <w:rFonts w:ascii="Times New Roman" w:eastAsia="Times New Roman" w:hAnsi="Times New Roman" w:cs="Times New Roman"/>
          <w:sz w:val="24"/>
          <w:szCs w:val="24"/>
          <w:lang w:val="en-ZA" w:eastAsia="en-ZA"/>
        </w:rPr>
      </w:pPr>
      <w:r>
        <w:rPr>
          <w:szCs w:val="20"/>
        </w:rPr>
        <w:t xml:space="preserve">The Gingindlovu Dumping </w:t>
      </w:r>
      <w:r w:rsidRPr="00BF07C4">
        <w:rPr>
          <w:szCs w:val="20"/>
        </w:rPr>
        <w:t>Site</w:t>
      </w:r>
      <w:r>
        <w:rPr>
          <w:szCs w:val="20"/>
        </w:rPr>
        <w:t xml:space="preserve"> is currently</w:t>
      </w:r>
      <w:r w:rsidRPr="00BF07C4">
        <w:rPr>
          <w:szCs w:val="20"/>
        </w:rPr>
        <w:t xml:space="preserve"> under decommission</w:t>
      </w:r>
      <w:r>
        <w:rPr>
          <w:szCs w:val="20"/>
        </w:rPr>
        <w:t xml:space="preserve"> in order</w:t>
      </w:r>
      <w:r w:rsidRPr="00BF07C4">
        <w:rPr>
          <w:szCs w:val="20"/>
        </w:rPr>
        <w:t xml:space="preserve"> to </w:t>
      </w:r>
      <w:r>
        <w:rPr>
          <w:szCs w:val="20"/>
        </w:rPr>
        <w:t>re-</w:t>
      </w:r>
      <w:r w:rsidRPr="00BF07C4">
        <w:rPr>
          <w:szCs w:val="20"/>
        </w:rPr>
        <w:t>establish</w:t>
      </w:r>
      <w:r>
        <w:rPr>
          <w:szCs w:val="20"/>
        </w:rPr>
        <w:t xml:space="preserve"> it as</w:t>
      </w:r>
      <w:r w:rsidRPr="00BF07C4">
        <w:rPr>
          <w:szCs w:val="20"/>
        </w:rPr>
        <w:t xml:space="preserve"> a Waste Transfer Station</w:t>
      </w:r>
    </w:p>
    <w:p w14:paraId="7BD91AE1" w14:textId="77777777" w:rsidR="00967A52" w:rsidRPr="00967A52" w:rsidRDefault="00967A52" w:rsidP="00967A52">
      <w:pPr>
        <w:spacing w:line="288" w:lineRule="auto"/>
        <w:jc w:val="both"/>
        <w:rPr>
          <w:b/>
          <w:szCs w:val="20"/>
        </w:rPr>
      </w:pPr>
    </w:p>
    <w:p w14:paraId="52E93328" w14:textId="77777777" w:rsidR="0037082E" w:rsidRPr="00176CEC" w:rsidRDefault="004D7441" w:rsidP="00750180">
      <w:pPr>
        <w:pStyle w:val="Heading3"/>
        <w:numPr>
          <w:ilvl w:val="2"/>
          <w:numId w:val="29"/>
        </w:numPr>
        <w:spacing w:after="240"/>
      </w:pPr>
      <w:bookmarkStart w:id="291" w:name="_Toc389739882"/>
      <w:bookmarkStart w:id="292" w:name="_Toc510706621"/>
      <w:r w:rsidRPr="00176CEC">
        <w:t>TRANSPORTATION INFRASTRUCTURE</w:t>
      </w:r>
      <w:bookmarkEnd w:id="291"/>
      <w:bookmarkEnd w:id="292"/>
    </w:p>
    <w:p w14:paraId="575C6477" w14:textId="77777777" w:rsidR="00EA2C12" w:rsidRPr="00881795" w:rsidRDefault="00EA2C12" w:rsidP="00395313">
      <w:pPr>
        <w:jc w:val="both"/>
        <w:rPr>
          <w:rFonts w:cs="Calibri"/>
          <w:color w:val="000000" w:themeColor="text1"/>
        </w:rPr>
      </w:pPr>
      <w:r w:rsidRPr="00881795">
        <w:rPr>
          <w:rFonts w:cs="Calibri"/>
          <w:color w:val="000000" w:themeColor="text1"/>
        </w:rPr>
        <w:t xml:space="preserve">The Municipality has a well-developed road network on a national, district, and local scale, but the condition of the majority of the local roads are poor, and access is problematic in wet conditions. The </w:t>
      </w:r>
      <w:r w:rsidR="002551B8">
        <w:rPr>
          <w:rFonts w:cs="Calibri"/>
          <w:color w:val="000000" w:themeColor="text1"/>
        </w:rPr>
        <w:t>KCDM</w:t>
      </w:r>
      <w:r w:rsidRPr="00881795">
        <w:rPr>
          <w:rFonts w:cs="Calibri"/>
          <w:color w:val="000000" w:themeColor="text1"/>
        </w:rPr>
        <w:t xml:space="preserve"> has prepared an Integrated Transportation Plan which will designate roads in need of upgrade thus hopefully improving local movement.</w:t>
      </w:r>
    </w:p>
    <w:p w14:paraId="0E870865" w14:textId="77777777" w:rsidR="00EA2C12" w:rsidRPr="00881795" w:rsidRDefault="00EA2C12" w:rsidP="00395313">
      <w:pPr>
        <w:jc w:val="both"/>
        <w:rPr>
          <w:rFonts w:cs="Calibri"/>
          <w:color w:val="000000" w:themeColor="text1"/>
        </w:rPr>
      </w:pPr>
      <w:r w:rsidRPr="00881795">
        <w:rPr>
          <w:rFonts w:cs="Calibri"/>
          <w:color w:val="000000" w:themeColor="text1"/>
        </w:rPr>
        <w:t>The following primary and secondary transportation routes are aligned through the uMlalazi Municipal Area:</w:t>
      </w:r>
    </w:p>
    <w:p w14:paraId="6D59B207" w14:textId="77777777" w:rsidR="00EA2C12" w:rsidRPr="00881795" w:rsidRDefault="00EA2C12" w:rsidP="00E31338">
      <w:pPr>
        <w:pStyle w:val="ListParagraph"/>
        <w:numPr>
          <w:ilvl w:val="0"/>
          <w:numId w:val="1"/>
        </w:numPr>
        <w:spacing w:line="288" w:lineRule="auto"/>
        <w:jc w:val="both"/>
        <w:rPr>
          <w:szCs w:val="20"/>
        </w:rPr>
      </w:pPr>
      <w:r w:rsidRPr="00881795">
        <w:rPr>
          <w:szCs w:val="20"/>
        </w:rPr>
        <w:t>The N2 Motorway which is aligned through the eastern sector of the municipal area in proximity to both Gingindlovu and Mtunzini. This implies that the majority of the municipal area is well removed from this primary transportation corridor. There are two tollgates in respect of this route the one being the Mtunzini Plaza and the other being the Dokodweni Ramp Plaza</w:t>
      </w:r>
    </w:p>
    <w:p w14:paraId="250F9E3F" w14:textId="77777777" w:rsidR="00EA2C12" w:rsidRPr="00881795" w:rsidRDefault="00EA2C12" w:rsidP="00E31338">
      <w:pPr>
        <w:pStyle w:val="ListParagraph"/>
        <w:numPr>
          <w:ilvl w:val="0"/>
          <w:numId w:val="1"/>
        </w:numPr>
        <w:spacing w:line="288" w:lineRule="auto"/>
        <w:jc w:val="both"/>
        <w:rPr>
          <w:szCs w:val="20"/>
        </w:rPr>
      </w:pPr>
      <w:r w:rsidRPr="00881795">
        <w:rPr>
          <w:szCs w:val="20"/>
        </w:rPr>
        <w:t>The R102 is aligned almost parallel to the N2 Motorway and represents the previous only North Coast Road. It is still a popular route particularly for operators wishing to avoid he payment of toll.</w:t>
      </w:r>
    </w:p>
    <w:p w14:paraId="63369959" w14:textId="77777777" w:rsidR="00EA2C12" w:rsidRPr="00881795" w:rsidRDefault="00EA2C12" w:rsidP="00E31338">
      <w:pPr>
        <w:pStyle w:val="ListParagraph"/>
        <w:numPr>
          <w:ilvl w:val="0"/>
          <w:numId w:val="1"/>
        </w:numPr>
        <w:spacing w:line="288" w:lineRule="auto"/>
        <w:jc w:val="both"/>
        <w:rPr>
          <w:szCs w:val="20"/>
        </w:rPr>
      </w:pPr>
      <w:r w:rsidRPr="00881795">
        <w:rPr>
          <w:szCs w:val="20"/>
        </w:rPr>
        <w:t xml:space="preserve">The R66 which links the N2 Motorway with Eshowe, Melmoth and Vryheid. Some surface improvements were recently completed but substantially more could be done as it is an important transportation route or Eshowe from both transportation and an economic development perspective. </w:t>
      </w:r>
    </w:p>
    <w:p w14:paraId="40A5C998" w14:textId="77777777" w:rsidR="002860AC" w:rsidRDefault="00EA2C12" w:rsidP="005C3086">
      <w:pPr>
        <w:pStyle w:val="ListParagraph"/>
        <w:numPr>
          <w:ilvl w:val="0"/>
          <w:numId w:val="1"/>
        </w:numPr>
        <w:spacing w:before="240" w:after="0" w:line="288" w:lineRule="auto"/>
        <w:jc w:val="both"/>
        <w:rPr>
          <w:szCs w:val="20"/>
        </w:rPr>
      </w:pPr>
      <w:r w:rsidRPr="002860AC">
        <w:rPr>
          <w:szCs w:val="20"/>
        </w:rPr>
        <w:t>The R34 linking the Nkwaleni Valley midway between Eshowe and Melmoth with Empangeni. It links with the John Ross Highway in Richards Bay and the latter is in the process of a substantial upgrade.</w:t>
      </w:r>
    </w:p>
    <w:p w14:paraId="33339307" w14:textId="77777777" w:rsidR="005C3086" w:rsidRDefault="005C3086" w:rsidP="005C3086">
      <w:pPr>
        <w:pStyle w:val="ListParagraph"/>
        <w:spacing w:before="240" w:after="0" w:line="288" w:lineRule="auto"/>
        <w:ind w:left="360"/>
        <w:jc w:val="both"/>
        <w:rPr>
          <w:szCs w:val="20"/>
        </w:rPr>
      </w:pPr>
    </w:p>
    <w:p w14:paraId="5C9C3FF8" w14:textId="77777777" w:rsidR="00FB4334" w:rsidRPr="005C3086" w:rsidRDefault="00FB4334" w:rsidP="00750180">
      <w:pPr>
        <w:pStyle w:val="ListParagraph"/>
        <w:numPr>
          <w:ilvl w:val="3"/>
          <w:numId w:val="29"/>
        </w:numPr>
        <w:spacing w:line="288" w:lineRule="auto"/>
        <w:jc w:val="both"/>
        <w:rPr>
          <w:b/>
          <w:szCs w:val="20"/>
        </w:rPr>
      </w:pPr>
      <w:r w:rsidRPr="005C3086">
        <w:rPr>
          <w:b/>
          <w:szCs w:val="20"/>
        </w:rPr>
        <w:t>Pavement Management System</w:t>
      </w:r>
    </w:p>
    <w:p w14:paraId="714EF16C" w14:textId="77777777" w:rsidR="00FB4334" w:rsidRPr="005C3086" w:rsidRDefault="005C3086" w:rsidP="005C3086">
      <w:pPr>
        <w:spacing w:line="288" w:lineRule="auto"/>
        <w:jc w:val="both"/>
        <w:rPr>
          <w:szCs w:val="20"/>
        </w:rPr>
      </w:pPr>
      <w:r>
        <w:rPr>
          <w:szCs w:val="20"/>
        </w:rPr>
        <w:t>The municipality sourced the services of a consultant to develop t</w:t>
      </w:r>
      <w:r w:rsidR="00FB4334" w:rsidRPr="005C3086">
        <w:rPr>
          <w:szCs w:val="20"/>
        </w:rPr>
        <w:t xml:space="preserve">he </w:t>
      </w:r>
      <w:r w:rsidR="0002577C">
        <w:rPr>
          <w:szCs w:val="20"/>
        </w:rPr>
        <w:t xml:space="preserve">municipal </w:t>
      </w:r>
      <w:r w:rsidR="00FB4334" w:rsidRPr="005C3086">
        <w:rPr>
          <w:szCs w:val="20"/>
        </w:rPr>
        <w:t>P</w:t>
      </w:r>
      <w:r>
        <w:rPr>
          <w:szCs w:val="20"/>
        </w:rPr>
        <w:t xml:space="preserve">avement </w:t>
      </w:r>
      <w:r w:rsidR="00FB4334" w:rsidRPr="005C3086">
        <w:rPr>
          <w:szCs w:val="20"/>
        </w:rPr>
        <w:t>M</w:t>
      </w:r>
      <w:r>
        <w:rPr>
          <w:szCs w:val="20"/>
        </w:rPr>
        <w:t>anagement System</w:t>
      </w:r>
      <w:r w:rsidR="0002577C">
        <w:rPr>
          <w:szCs w:val="20"/>
        </w:rPr>
        <w:t xml:space="preserve"> (PMS)</w:t>
      </w:r>
      <w:r>
        <w:rPr>
          <w:szCs w:val="20"/>
        </w:rPr>
        <w:t xml:space="preserve"> </w:t>
      </w:r>
      <w:r w:rsidR="00FB4334" w:rsidRPr="005C3086">
        <w:rPr>
          <w:szCs w:val="20"/>
        </w:rPr>
        <w:t>in 2016.</w:t>
      </w:r>
      <w:r w:rsidR="0002577C">
        <w:rPr>
          <w:szCs w:val="20"/>
        </w:rPr>
        <w:t xml:space="preserve"> The purpose of developing this system was for it to provide for a c</w:t>
      </w:r>
      <w:r w:rsidR="0002577C" w:rsidRPr="005C3086">
        <w:rPr>
          <w:szCs w:val="20"/>
        </w:rPr>
        <w:t>onditional</w:t>
      </w:r>
      <w:r w:rsidR="0002577C">
        <w:rPr>
          <w:szCs w:val="20"/>
        </w:rPr>
        <w:t xml:space="preserve"> </w:t>
      </w:r>
      <w:r w:rsidR="0002577C" w:rsidRPr="005C3086">
        <w:rPr>
          <w:szCs w:val="20"/>
        </w:rPr>
        <w:t>assessment</w:t>
      </w:r>
      <w:r w:rsidR="0002577C">
        <w:rPr>
          <w:szCs w:val="20"/>
        </w:rPr>
        <w:t xml:space="preserve"> of all urban roads</w:t>
      </w:r>
      <w:r w:rsidRPr="005C3086">
        <w:rPr>
          <w:szCs w:val="20"/>
        </w:rPr>
        <w:t xml:space="preserve"> from which the </w:t>
      </w:r>
      <w:r w:rsidR="0002577C" w:rsidRPr="005C3086">
        <w:rPr>
          <w:szCs w:val="20"/>
        </w:rPr>
        <w:t>municipality</w:t>
      </w:r>
      <w:r w:rsidRPr="005C3086">
        <w:rPr>
          <w:szCs w:val="20"/>
        </w:rPr>
        <w:t xml:space="preserve"> derives its maintenance plan </w:t>
      </w:r>
      <w:r w:rsidR="0002577C" w:rsidRPr="005C3086">
        <w:rPr>
          <w:szCs w:val="20"/>
        </w:rPr>
        <w:t>based</w:t>
      </w:r>
      <w:r w:rsidRPr="005C3086">
        <w:rPr>
          <w:szCs w:val="20"/>
        </w:rPr>
        <w:t xml:space="preserve"> on the available budget. </w:t>
      </w:r>
      <w:r w:rsidR="0002577C">
        <w:rPr>
          <w:szCs w:val="20"/>
        </w:rPr>
        <w:t xml:space="preserve">The PMS outlines the condition of all urban roads </w:t>
      </w:r>
      <w:r w:rsidR="0002577C" w:rsidRPr="00FB4334">
        <w:rPr>
          <w:szCs w:val="20"/>
        </w:rPr>
        <w:t>(ward 11, 12, 7, 18 and 19)</w:t>
      </w:r>
      <w:r w:rsidR="0002577C">
        <w:rPr>
          <w:szCs w:val="20"/>
        </w:rPr>
        <w:t xml:space="preserve"> and categorizes the roads in terms of them being primary roads, secondary roads and tertiary roads. An assessment of these roads then indicates what type of rehabilitation is required. Rehabilitation ranges from heavy rehabilitation, structural rehabilitation and light rehabilitation. The Engineering Department is then able to quantify the budget required to rehabilitate each road and implement the projects as per the system. The PMS includes a routine maintenance program which indicate that </w:t>
      </w:r>
      <w:r w:rsidR="000569A5">
        <w:rPr>
          <w:szCs w:val="20"/>
        </w:rPr>
        <w:t xml:space="preserve">R 10 000 000.00 is required per financial year and that the total replacement value for the urban roads is R 392 000 000.00. </w:t>
      </w:r>
    </w:p>
    <w:p w14:paraId="7C909E63" w14:textId="77777777" w:rsidR="00FB4334" w:rsidRPr="000569A5" w:rsidRDefault="00FB4334" w:rsidP="00750180">
      <w:pPr>
        <w:pStyle w:val="ListParagraph"/>
        <w:numPr>
          <w:ilvl w:val="3"/>
          <w:numId w:val="29"/>
        </w:numPr>
        <w:spacing w:line="288" w:lineRule="auto"/>
        <w:jc w:val="both"/>
        <w:rPr>
          <w:b/>
          <w:szCs w:val="20"/>
        </w:rPr>
      </w:pPr>
      <w:r w:rsidRPr="000569A5">
        <w:rPr>
          <w:b/>
          <w:szCs w:val="20"/>
        </w:rPr>
        <w:t>R</w:t>
      </w:r>
      <w:r w:rsidR="000569A5">
        <w:rPr>
          <w:b/>
          <w:szCs w:val="20"/>
        </w:rPr>
        <w:t xml:space="preserve">ural Roads </w:t>
      </w:r>
      <w:r w:rsidRPr="000569A5">
        <w:rPr>
          <w:b/>
          <w:szCs w:val="20"/>
        </w:rPr>
        <w:t>A</w:t>
      </w:r>
      <w:r w:rsidR="000569A5">
        <w:rPr>
          <w:b/>
          <w:szCs w:val="20"/>
        </w:rPr>
        <w:t xml:space="preserve">ssets </w:t>
      </w:r>
      <w:r w:rsidRPr="000569A5">
        <w:rPr>
          <w:b/>
          <w:szCs w:val="20"/>
        </w:rPr>
        <w:t>M</w:t>
      </w:r>
      <w:r w:rsidR="000569A5">
        <w:rPr>
          <w:b/>
          <w:szCs w:val="20"/>
        </w:rPr>
        <w:t xml:space="preserve">anagement </w:t>
      </w:r>
      <w:r w:rsidRPr="000569A5">
        <w:rPr>
          <w:b/>
          <w:szCs w:val="20"/>
        </w:rPr>
        <w:t>S</w:t>
      </w:r>
      <w:r w:rsidR="000569A5">
        <w:rPr>
          <w:b/>
          <w:szCs w:val="20"/>
        </w:rPr>
        <w:t>ystem (RRAMS)</w:t>
      </w:r>
    </w:p>
    <w:p w14:paraId="53193A5E" w14:textId="77777777" w:rsidR="005C3086" w:rsidRDefault="000569A5" w:rsidP="00FB4334">
      <w:pPr>
        <w:spacing w:line="288" w:lineRule="auto"/>
        <w:jc w:val="both"/>
        <w:rPr>
          <w:szCs w:val="20"/>
        </w:rPr>
      </w:pPr>
      <w:r>
        <w:rPr>
          <w:szCs w:val="20"/>
        </w:rPr>
        <w:t>The King Cetsh</w:t>
      </w:r>
      <w:r w:rsidR="00BA5441">
        <w:rPr>
          <w:szCs w:val="20"/>
        </w:rPr>
        <w:t>wayo District Municipality has</w:t>
      </w:r>
      <w:r>
        <w:rPr>
          <w:szCs w:val="20"/>
        </w:rPr>
        <w:t xml:space="preserve"> </w:t>
      </w:r>
      <w:r w:rsidR="00BA5441">
        <w:rPr>
          <w:szCs w:val="20"/>
        </w:rPr>
        <w:t>developed and is the process of implementing the Rural Roads Asset Management System which categorizes and classifies the status of all the roads within the district. Though this plan the d</w:t>
      </w:r>
      <w:r w:rsidRPr="000569A5">
        <w:rPr>
          <w:szCs w:val="20"/>
        </w:rPr>
        <w:t>istrict ensures efficient and effective investment in rural municipal roads through development of Road Asset Management Systems (RAMS) and collection of data Grant purpose to assist rural district municipalities to set up rural RAMS, by collecting road, bridge and traffic data on municipal road networks in line with the Road Infrastructure Strategic Framework for South Africa (RISFSA).</w:t>
      </w:r>
    </w:p>
    <w:p w14:paraId="09E1127A" w14:textId="77777777" w:rsidR="005C3086" w:rsidRPr="00FB4334" w:rsidRDefault="005C3086" w:rsidP="00FB4334">
      <w:pPr>
        <w:spacing w:line="288" w:lineRule="auto"/>
        <w:jc w:val="both"/>
        <w:rPr>
          <w:szCs w:val="20"/>
        </w:rPr>
        <w:sectPr w:rsidR="005C3086" w:rsidRPr="00FB4334" w:rsidSect="002860AC">
          <w:type w:val="continuous"/>
          <w:pgSz w:w="11907" w:h="16839" w:code="9"/>
          <w:pgMar w:top="851" w:right="1134" w:bottom="851" w:left="1134" w:header="720" w:footer="720" w:gutter="0"/>
          <w:cols w:space="720"/>
          <w:docGrid w:linePitch="360"/>
        </w:sectPr>
      </w:pPr>
    </w:p>
    <w:p w14:paraId="1A8E7C22" w14:textId="77777777" w:rsidR="002860AC" w:rsidRDefault="002860AC" w:rsidP="002860AC">
      <w:pPr>
        <w:pStyle w:val="ListParagraph"/>
        <w:numPr>
          <w:ilvl w:val="0"/>
          <w:numId w:val="1"/>
        </w:numPr>
        <w:spacing w:line="288" w:lineRule="auto"/>
        <w:jc w:val="both"/>
        <w:rPr>
          <w:szCs w:val="20"/>
        </w:rPr>
        <w:sectPr w:rsidR="002860AC" w:rsidSect="002860AC">
          <w:type w:val="continuous"/>
          <w:pgSz w:w="11907" w:h="16839" w:code="9"/>
          <w:pgMar w:top="851" w:right="1134" w:bottom="851" w:left="1134" w:header="720" w:footer="720" w:gutter="0"/>
          <w:cols w:space="720"/>
          <w:docGrid w:linePitch="360"/>
        </w:sectPr>
      </w:pPr>
    </w:p>
    <w:p w14:paraId="673CE576" w14:textId="77777777" w:rsidR="002860AC" w:rsidRDefault="002860AC" w:rsidP="002860AC">
      <w:pPr>
        <w:pStyle w:val="ListParagraph"/>
        <w:numPr>
          <w:ilvl w:val="0"/>
          <w:numId w:val="1"/>
        </w:numPr>
        <w:spacing w:line="288" w:lineRule="auto"/>
        <w:jc w:val="both"/>
        <w:rPr>
          <w:szCs w:val="20"/>
        </w:rPr>
        <w:sectPr w:rsidR="002860AC" w:rsidSect="002860AC">
          <w:type w:val="continuous"/>
          <w:pgSz w:w="11907" w:h="16839" w:code="9"/>
          <w:pgMar w:top="851" w:right="1134" w:bottom="851" w:left="1134" w:header="720" w:footer="720" w:gutter="0"/>
          <w:cols w:space="720"/>
          <w:docGrid w:linePitch="360"/>
        </w:sectPr>
      </w:pPr>
    </w:p>
    <w:p w14:paraId="263BDA27" w14:textId="77777777" w:rsidR="002860AC" w:rsidRDefault="002860AC" w:rsidP="002860AC">
      <w:pPr>
        <w:pStyle w:val="ListParagraph"/>
        <w:numPr>
          <w:ilvl w:val="0"/>
          <w:numId w:val="1"/>
        </w:numPr>
        <w:spacing w:line="288" w:lineRule="auto"/>
        <w:jc w:val="both"/>
        <w:sectPr w:rsidR="002860AC" w:rsidSect="002860AC">
          <w:type w:val="continuous"/>
          <w:pgSz w:w="11907" w:h="16839" w:code="9"/>
          <w:pgMar w:top="851" w:right="1134" w:bottom="851" w:left="1134" w:header="720" w:footer="720" w:gutter="0"/>
          <w:cols w:space="720"/>
          <w:docGrid w:linePitch="360"/>
        </w:sectPr>
      </w:pPr>
    </w:p>
    <w:p w14:paraId="612CCE6D" w14:textId="77777777" w:rsidR="002860AC" w:rsidRDefault="002860AC" w:rsidP="002860AC">
      <w:pPr>
        <w:sectPr w:rsidR="002860AC" w:rsidSect="002860AC">
          <w:type w:val="continuous"/>
          <w:pgSz w:w="11907" w:h="16839" w:code="9"/>
          <w:pgMar w:top="851" w:right="1134" w:bottom="851" w:left="1134" w:header="720" w:footer="720" w:gutter="0"/>
          <w:cols w:space="720"/>
          <w:docGrid w:linePitch="360"/>
        </w:sectPr>
      </w:pPr>
    </w:p>
    <w:p w14:paraId="0EF817A6" w14:textId="77777777" w:rsidR="002860AC" w:rsidRPr="002860AC" w:rsidRDefault="002860AC" w:rsidP="002860AC">
      <w:pPr>
        <w:sectPr w:rsidR="002860AC" w:rsidRPr="002860AC" w:rsidSect="002860AC">
          <w:type w:val="continuous"/>
          <w:pgSz w:w="11907" w:h="16839" w:code="9"/>
          <w:pgMar w:top="851" w:right="1134" w:bottom="851" w:left="1134" w:header="720" w:footer="720" w:gutter="0"/>
          <w:cols w:space="720"/>
          <w:docGrid w:linePitch="360"/>
        </w:sectPr>
      </w:pPr>
    </w:p>
    <w:p w14:paraId="5EAFEBEE" w14:textId="77777777" w:rsidR="00EA2C12" w:rsidRDefault="00EA2C12" w:rsidP="00F04167">
      <w:pPr>
        <w:spacing w:line="288" w:lineRule="auto"/>
        <w:jc w:val="both"/>
        <w:rPr>
          <w:szCs w:val="20"/>
        </w:rPr>
      </w:pPr>
    </w:p>
    <w:p w14:paraId="1DFB053F" w14:textId="77777777" w:rsidR="00F04167" w:rsidRDefault="00F04167" w:rsidP="00F04167">
      <w:pPr>
        <w:spacing w:line="288" w:lineRule="auto"/>
        <w:jc w:val="both"/>
        <w:rPr>
          <w:szCs w:val="20"/>
        </w:rPr>
      </w:pPr>
      <w:r w:rsidRPr="00F04167">
        <w:rPr>
          <w:noProof/>
          <w:szCs w:val="20"/>
        </w:rPr>
        <w:drawing>
          <wp:inline distT="0" distB="0" distL="0" distR="0" wp14:anchorId="3A92D4F9" wp14:editId="2E0129A7">
            <wp:extent cx="9206753" cy="5209954"/>
            <wp:effectExtent l="19050" t="19050" r="13970" b="10160"/>
            <wp:docPr id="28680" name="Picture 28680" descr="C:\Users\siphephelok\Desktop\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C:\Users\siphephelok\Desktop\333.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9222266" cy="5218733"/>
                    </a:xfrm>
                    <a:prstGeom prst="rect">
                      <a:avLst/>
                    </a:prstGeom>
                    <a:noFill/>
                    <a:ln w="12700">
                      <a:solidFill>
                        <a:schemeClr val="tx1"/>
                      </a:solidFill>
                    </a:ln>
                  </pic:spPr>
                </pic:pic>
              </a:graphicData>
            </a:graphic>
          </wp:inline>
        </w:drawing>
      </w:r>
    </w:p>
    <w:p w14:paraId="4204F80F" w14:textId="77777777" w:rsidR="00F04167" w:rsidRDefault="00176CEC" w:rsidP="00176CEC">
      <w:pPr>
        <w:pStyle w:val="Caption"/>
      </w:pPr>
      <w:bookmarkStart w:id="293" w:name="_Toc481468930"/>
      <w:r>
        <w:t xml:space="preserve">Map </w:t>
      </w:r>
      <w:r w:rsidR="00B918A6">
        <w:fldChar w:fldCharType="begin"/>
      </w:r>
      <w:r w:rsidR="00B918A6">
        <w:instrText xml:space="preserve"> SEQ Map \* ARABIC </w:instrText>
      </w:r>
      <w:r w:rsidR="00B918A6">
        <w:fldChar w:fldCharType="separate"/>
      </w:r>
      <w:r w:rsidR="0067023A">
        <w:rPr>
          <w:noProof/>
        </w:rPr>
        <w:t>18</w:t>
      </w:r>
      <w:r w:rsidR="00B918A6">
        <w:rPr>
          <w:noProof/>
        </w:rPr>
        <w:fldChar w:fldCharType="end"/>
      </w:r>
      <w:r>
        <w:t xml:space="preserve">: </w:t>
      </w:r>
      <w:r w:rsidR="002860AC">
        <w:t>Transport Routes</w:t>
      </w:r>
      <w:bookmarkEnd w:id="293"/>
    </w:p>
    <w:p w14:paraId="53AD3DCD" w14:textId="77777777" w:rsidR="00F04167" w:rsidRDefault="00F04167" w:rsidP="00F04167">
      <w:pPr>
        <w:spacing w:line="288" w:lineRule="auto"/>
        <w:jc w:val="both"/>
        <w:rPr>
          <w:szCs w:val="20"/>
        </w:rPr>
        <w:sectPr w:rsidR="00F04167" w:rsidSect="00F04167">
          <w:pgSz w:w="16839" w:h="11907" w:orient="landscape" w:code="9"/>
          <w:pgMar w:top="1134" w:right="851" w:bottom="1134" w:left="851" w:header="720" w:footer="720" w:gutter="0"/>
          <w:cols w:space="720"/>
          <w:docGrid w:linePitch="360"/>
        </w:sectPr>
      </w:pPr>
    </w:p>
    <w:p w14:paraId="3828BFF5" w14:textId="77777777" w:rsidR="00F04167" w:rsidRDefault="00F04167" w:rsidP="00F04167">
      <w:pPr>
        <w:spacing w:line="288" w:lineRule="auto"/>
        <w:jc w:val="both"/>
        <w:rPr>
          <w:szCs w:val="20"/>
        </w:rPr>
      </w:pPr>
    </w:p>
    <w:p w14:paraId="0E58F5B8" w14:textId="77777777" w:rsidR="00EA2C12" w:rsidRPr="00881795" w:rsidRDefault="00EA2C12" w:rsidP="00E31338">
      <w:pPr>
        <w:pStyle w:val="ListParagraph"/>
        <w:numPr>
          <w:ilvl w:val="0"/>
          <w:numId w:val="1"/>
        </w:numPr>
        <w:spacing w:line="288" w:lineRule="auto"/>
        <w:jc w:val="both"/>
        <w:rPr>
          <w:szCs w:val="20"/>
        </w:rPr>
      </w:pPr>
      <w:r w:rsidRPr="00881795">
        <w:rPr>
          <w:szCs w:val="20"/>
        </w:rPr>
        <w:t>The P230 which is an important alternative ro</w:t>
      </w:r>
      <w:r w:rsidR="00300F0D" w:rsidRPr="00881795">
        <w:rPr>
          <w:szCs w:val="20"/>
        </w:rPr>
        <w:t>u</w:t>
      </w:r>
      <w:r w:rsidRPr="00881795">
        <w:rPr>
          <w:szCs w:val="20"/>
        </w:rPr>
        <w:t>te to the R34 and is in the process of being upgraded to full tarmac standard. This will elevate this route to an important secondary transportation route offering alternative access to Empangeni.</w:t>
      </w:r>
    </w:p>
    <w:p w14:paraId="05D753E9" w14:textId="77777777" w:rsidR="00EA2C12" w:rsidRPr="00881795" w:rsidRDefault="00EA2C12" w:rsidP="00E31338">
      <w:pPr>
        <w:pStyle w:val="ListParagraph"/>
        <w:numPr>
          <w:ilvl w:val="0"/>
          <w:numId w:val="1"/>
        </w:numPr>
        <w:spacing w:line="288" w:lineRule="auto"/>
        <w:jc w:val="both"/>
        <w:rPr>
          <w:szCs w:val="20"/>
        </w:rPr>
      </w:pPr>
      <w:r w:rsidRPr="00881795">
        <w:rPr>
          <w:szCs w:val="20"/>
        </w:rPr>
        <w:t>The P710 links the south-western sector of the municipal area with Mandeni and is a gravel surfaced transportation route which is in need of a similar upgrade as is being implemented for the P230.</w:t>
      </w:r>
    </w:p>
    <w:p w14:paraId="30BAD0BC" w14:textId="77777777" w:rsidR="00A97C8F" w:rsidRPr="00FF499C" w:rsidRDefault="00EA2C12" w:rsidP="00E31338">
      <w:pPr>
        <w:pStyle w:val="ListParagraph"/>
        <w:numPr>
          <w:ilvl w:val="0"/>
          <w:numId w:val="1"/>
        </w:numPr>
        <w:spacing w:line="288" w:lineRule="auto"/>
        <w:jc w:val="both"/>
        <w:rPr>
          <w:szCs w:val="20"/>
        </w:rPr>
      </w:pPr>
      <w:r w:rsidRPr="00881795">
        <w:rPr>
          <w:szCs w:val="20"/>
        </w:rPr>
        <w:t>The P50-2 to Nkandla is also an important link through Mbongolwane and some improvement to the surface has been done.</w:t>
      </w:r>
    </w:p>
    <w:p w14:paraId="09E693E4" w14:textId="77777777" w:rsidR="00EA2C12" w:rsidRPr="00FF499C" w:rsidRDefault="00EA2C12" w:rsidP="00E31338">
      <w:pPr>
        <w:pStyle w:val="ListParagraph"/>
        <w:numPr>
          <w:ilvl w:val="0"/>
          <w:numId w:val="1"/>
        </w:numPr>
        <w:spacing w:line="288" w:lineRule="auto"/>
        <w:jc w:val="both"/>
        <w:rPr>
          <w:szCs w:val="20"/>
        </w:rPr>
      </w:pPr>
      <w:r w:rsidRPr="00FF499C">
        <w:rPr>
          <w:szCs w:val="20"/>
        </w:rPr>
        <w:t>The P15-2 links with the P15-2 which is aligned across the Tugela River linking Kranskop in the south-west. Upgrading of it is taking place.</w:t>
      </w:r>
    </w:p>
    <w:p w14:paraId="6DC45244" w14:textId="77777777" w:rsidR="00EA2C12" w:rsidRPr="00FF499C" w:rsidRDefault="00EA2C12" w:rsidP="00E31338">
      <w:pPr>
        <w:pStyle w:val="ListParagraph"/>
        <w:numPr>
          <w:ilvl w:val="0"/>
          <w:numId w:val="1"/>
        </w:numPr>
        <w:spacing w:line="288" w:lineRule="auto"/>
        <w:jc w:val="both"/>
        <w:rPr>
          <w:szCs w:val="20"/>
        </w:rPr>
      </w:pPr>
      <w:r w:rsidRPr="00FF499C">
        <w:rPr>
          <w:szCs w:val="20"/>
        </w:rPr>
        <w:t xml:space="preserve">Other than </w:t>
      </w:r>
      <w:r w:rsidR="00677207">
        <w:rPr>
          <w:szCs w:val="20"/>
        </w:rPr>
        <w:t>t</w:t>
      </w:r>
      <w:r w:rsidRPr="00FF499C">
        <w:rPr>
          <w:szCs w:val="20"/>
        </w:rPr>
        <w:t>he above the municipal area is crisscrossed by a number of district traffic routes, often in a poor condition and making effec</w:t>
      </w:r>
      <w:r w:rsidR="00991FCE">
        <w:rPr>
          <w:szCs w:val="20"/>
        </w:rPr>
        <w:t>tive transportation problematic</w:t>
      </w:r>
      <w:r w:rsidRPr="00FF499C">
        <w:rPr>
          <w:szCs w:val="20"/>
        </w:rPr>
        <w:t>.</w:t>
      </w:r>
    </w:p>
    <w:p w14:paraId="1F94DCA3" w14:textId="77777777" w:rsidR="00EA2C12" w:rsidRDefault="00EA2C12" w:rsidP="00E31338">
      <w:pPr>
        <w:pStyle w:val="ListParagraph"/>
        <w:numPr>
          <w:ilvl w:val="0"/>
          <w:numId w:val="1"/>
        </w:numPr>
        <w:spacing w:line="288" w:lineRule="auto"/>
        <w:jc w:val="both"/>
        <w:rPr>
          <w:szCs w:val="20"/>
        </w:rPr>
      </w:pPr>
      <w:r w:rsidRPr="00881795">
        <w:rPr>
          <w:szCs w:val="20"/>
        </w:rPr>
        <w:t>Lowest in the ranking of transportation routes are the so-called agricultural roads which provide access to agricultural crops and link with the district roads.</w:t>
      </w:r>
    </w:p>
    <w:p w14:paraId="2CE11C47" w14:textId="77777777" w:rsidR="00991FCE" w:rsidRDefault="00991FCE" w:rsidP="00991FCE">
      <w:pPr>
        <w:pStyle w:val="ListParagraph"/>
        <w:spacing w:line="288" w:lineRule="auto"/>
        <w:ind w:left="360"/>
        <w:jc w:val="both"/>
        <w:rPr>
          <w:szCs w:val="20"/>
        </w:rPr>
      </w:pPr>
    </w:p>
    <w:p w14:paraId="53069912" w14:textId="77777777" w:rsidR="00991FCE" w:rsidRPr="00991FCE" w:rsidRDefault="00176CEC" w:rsidP="00750180">
      <w:pPr>
        <w:pStyle w:val="Heading4"/>
        <w:numPr>
          <w:ilvl w:val="3"/>
          <w:numId w:val="29"/>
        </w:numPr>
      </w:pPr>
      <w:r w:rsidRPr="00991FCE">
        <w:t>Municipal Road Infrastructure</w:t>
      </w:r>
    </w:p>
    <w:p w14:paraId="3F2B3A1B" w14:textId="77777777" w:rsidR="00991FCE" w:rsidRPr="00BA5441" w:rsidRDefault="00991FCE" w:rsidP="00750180">
      <w:pPr>
        <w:pStyle w:val="Heading5"/>
        <w:numPr>
          <w:ilvl w:val="4"/>
          <w:numId w:val="29"/>
        </w:numPr>
        <w:spacing w:after="240"/>
        <w:rPr>
          <w:highlight w:val="yellow"/>
        </w:rPr>
      </w:pPr>
      <w:r w:rsidRPr="00BA5441">
        <w:rPr>
          <w:highlight w:val="yellow"/>
        </w:rPr>
        <w:t>Rehabilitation of Urban Roads</w:t>
      </w:r>
    </w:p>
    <w:p w14:paraId="7860ED3B" w14:textId="7A428697" w:rsidR="00991FCE" w:rsidRDefault="00991FCE" w:rsidP="00991FCE">
      <w:pPr>
        <w:spacing w:line="288" w:lineRule="auto"/>
        <w:jc w:val="both"/>
        <w:rPr>
          <w:color w:val="000000" w:themeColor="text1"/>
          <w:szCs w:val="20"/>
        </w:rPr>
      </w:pPr>
      <w:r w:rsidRPr="00034077">
        <w:rPr>
          <w:color w:val="000000" w:themeColor="text1"/>
          <w:szCs w:val="20"/>
        </w:rPr>
        <w:t xml:space="preserve">The rehabilitation and </w:t>
      </w:r>
      <w:r w:rsidR="00034077" w:rsidRPr="00034077">
        <w:rPr>
          <w:color w:val="000000" w:themeColor="text1"/>
          <w:szCs w:val="20"/>
        </w:rPr>
        <w:t>maintenance</w:t>
      </w:r>
      <w:r w:rsidRPr="00034077">
        <w:rPr>
          <w:color w:val="000000" w:themeColor="text1"/>
          <w:szCs w:val="20"/>
        </w:rPr>
        <w:t xml:space="preserve"> of urban roads is the responsibility of the municipality.</w:t>
      </w:r>
      <w:r w:rsidR="00D11C0B" w:rsidRPr="00034077">
        <w:rPr>
          <w:color w:val="000000" w:themeColor="text1"/>
          <w:szCs w:val="20"/>
        </w:rPr>
        <w:t xml:space="preserve"> The custodian department for roads maintenance is the Engineering Department.</w:t>
      </w:r>
      <w:r w:rsidRPr="00034077">
        <w:rPr>
          <w:color w:val="000000" w:themeColor="text1"/>
          <w:szCs w:val="20"/>
        </w:rPr>
        <w:t xml:space="preserve"> Although the municipality is largely rural in nature</w:t>
      </w:r>
      <w:r w:rsidR="00D11C0B" w:rsidRPr="00034077">
        <w:rPr>
          <w:color w:val="000000" w:themeColor="text1"/>
          <w:szCs w:val="20"/>
        </w:rPr>
        <w:t>, the municipality ensures that a proper maintenance plan for urban roads is effected for all urban roads as well. Urban roads maintenance</w:t>
      </w:r>
      <w:r w:rsidR="00A17436" w:rsidRPr="00034077">
        <w:rPr>
          <w:color w:val="000000" w:themeColor="text1"/>
          <w:szCs w:val="20"/>
        </w:rPr>
        <w:t xml:space="preserve"> projects</w:t>
      </w:r>
      <w:r w:rsidR="00D11C0B" w:rsidRPr="00034077">
        <w:rPr>
          <w:color w:val="000000" w:themeColor="text1"/>
          <w:szCs w:val="20"/>
        </w:rPr>
        <w:t xml:space="preserve"> </w:t>
      </w:r>
      <w:r w:rsidR="00A17436" w:rsidRPr="00034077">
        <w:rPr>
          <w:color w:val="000000" w:themeColor="text1"/>
          <w:szCs w:val="20"/>
        </w:rPr>
        <w:t>are restricted to w</w:t>
      </w:r>
      <w:r w:rsidR="00D11C0B" w:rsidRPr="00034077">
        <w:rPr>
          <w:color w:val="000000" w:themeColor="text1"/>
          <w:szCs w:val="20"/>
        </w:rPr>
        <w:t>ards 11, 12, 18 and 19.</w:t>
      </w:r>
      <w:r w:rsidRPr="00034077">
        <w:rPr>
          <w:color w:val="000000" w:themeColor="text1"/>
          <w:szCs w:val="20"/>
        </w:rPr>
        <w:t xml:space="preserve"> </w:t>
      </w:r>
      <w:r w:rsidR="00A2220E">
        <w:rPr>
          <w:color w:val="000000" w:themeColor="text1"/>
          <w:szCs w:val="20"/>
        </w:rPr>
        <w:t>The following table shows the urban roads maintenance plan for the 2018/19 financial year</w:t>
      </w:r>
    </w:p>
    <w:tbl>
      <w:tblPr>
        <w:tblStyle w:val="TableGrid131"/>
        <w:tblW w:w="5000" w:type="pct"/>
        <w:tblLayout w:type="fixed"/>
        <w:tblLook w:val="04A0" w:firstRow="1" w:lastRow="0" w:firstColumn="1" w:lastColumn="0" w:noHBand="0" w:noVBand="1"/>
      </w:tblPr>
      <w:tblGrid>
        <w:gridCol w:w="1145"/>
        <w:gridCol w:w="123"/>
        <w:gridCol w:w="949"/>
        <w:gridCol w:w="1439"/>
        <w:gridCol w:w="651"/>
        <w:gridCol w:w="919"/>
        <w:gridCol w:w="1100"/>
        <w:gridCol w:w="1100"/>
        <w:gridCol w:w="1100"/>
        <w:gridCol w:w="1103"/>
      </w:tblGrid>
      <w:tr w:rsidR="003D0B0F" w:rsidRPr="003D0B0F" w14:paraId="1D780AA6" w14:textId="77777777" w:rsidTr="003D0B0F">
        <w:trPr>
          <w:trHeight w:val="116"/>
        </w:trPr>
        <w:tc>
          <w:tcPr>
            <w:tcW w:w="5000" w:type="pct"/>
            <w:gridSpan w:val="10"/>
            <w:noWrap/>
            <w:hideMark/>
          </w:tcPr>
          <w:p w14:paraId="3DBD2D1A" w14:textId="77777777" w:rsidR="003D0B0F" w:rsidRPr="003D0B0F" w:rsidRDefault="003D0B0F" w:rsidP="003D0B0F">
            <w:pPr>
              <w:jc w:val="center"/>
              <w:rPr>
                <w:rFonts w:eastAsiaTheme="minorHAnsi"/>
                <w:color w:val="000000" w:themeColor="text1"/>
                <w:szCs w:val="20"/>
              </w:rPr>
            </w:pPr>
            <w:r w:rsidRPr="003D0B0F">
              <w:rPr>
                <w:rFonts w:eastAsiaTheme="minorHAnsi"/>
                <w:color w:val="000000" w:themeColor="text1"/>
                <w:szCs w:val="20"/>
              </w:rPr>
              <w:t>REHABILITATION OF URBAN ROADS - 04 YEAR PLAN AND  BUDGET STARTING FROM 2016/2018 TO 2019/2020</w:t>
            </w:r>
          </w:p>
        </w:tc>
      </w:tr>
      <w:tr w:rsidR="003D0B0F" w:rsidRPr="003D0B0F" w14:paraId="506C6423" w14:textId="77777777" w:rsidTr="003D0B0F">
        <w:trPr>
          <w:trHeight w:val="321"/>
        </w:trPr>
        <w:tc>
          <w:tcPr>
            <w:tcW w:w="5000" w:type="pct"/>
            <w:gridSpan w:val="10"/>
            <w:noWrap/>
            <w:hideMark/>
          </w:tcPr>
          <w:p w14:paraId="5468B81F" w14:textId="77777777" w:rsidR="003D0B0F" w:rsidRPr="003D0B0F" w:rsidRDefault="003D0B0F" w:rsidP="003D0B0F">
            <w:pPr>
              <w:jc w:val="center"/>
              <w:rPr>
                <w:rFonts w:eastAsiaTheme="minorHAnsi"/>
                <w:color w:val="000000" w:themeColor="text1"/>
                <w:szCs w:val="20"/>
              </w:rPr>
            </w:pPr>
            <w:r w:rsidRPr="003D0B0F">
              <w:rPr>
                <w:rFonts w:eastAsiaTheme="minorHAnsi"/>
                <w:color w:val="000000" w:themeColor="text1"/>
                <w:szCs w:val="20"/>
              </w:rPr>
              <w:t xml:space="preserve">UMLALAZI MUNICIPALITY - ENGINEERING SERVICES DEPARTMENT </w:t>
            </w:r>
          </w:p>
        </w:tc>
      </w:tr>
      <w:tr w:rsidR="003D0B0F" w:rsidRPr="003D0B0F" w14:paraId="6ED57D50" w14:textId="77777777" w:rsidTr="003D0B0F">
        <w:trPr>
          <w:trHeight w:val="780"/>
        </w:trPr>
        <w:tc>
          <w:tcPr>
            <w:tcW w:w="595" w:type="pct"/>
            <w:noWrap/>
            <w:hideMark/>
          </w:tcPr>
          <w:p w14:paraId="4CA3C264" w14:textId="77777777" w:rsidR="003D0B0F" w:rsidRPr="003D0B0F" w:rsidRDefault="003D0B0F" w:rsidP="003D0B0F">
            <w:pPr>
              <w:rPr>
                <w:rFonts w:eastAsiaTheme="minorHAnsi"/>
                <w:color w:val="000000" w:themeColor="text1"/>
                <w:sz w:val="18"/>
                <w:szCs w:val="20"/>
              </w:rPr>
            </w:pPr>
            <w:r w:rsidRPr="003D0B0F">
              <w:rPr>
                <w:rFonts w:eastAsiaTheme="minorHAnsi"/>
                <w:color w:val="000000" w:themeColor="text1"/>
                <w:sz w:val="18"/>
                <w:szCs w:val="20"/>
              </w:rPr>
              <w:t>PROJECT NAME</w:t>
            </w:r>
          </w:p>
        </w:tc>
        <w:tc>
          <w:tcPr>
            <w:tcW w:w="1304" w:type="pct"/>
            <w:gridSpan w:val="3"/>
            <w:noWrap/>
            <w:hideMark/>
          </w:tcPr>
          <w:p w14:paraId="41654321" w14:textId="77777777" w:rsidR="003D0B0F" w:rsidRPr="003D0B0F" w:rsidRDefault="003D0B0F" w:rsidP="003D0B0F">
            <w:pPr>
              <w:jc w:val="center"/>
              <w:rPr>
                <w:rFonts w:eastAsiaTheme="minorHAnsi"/>
                <w:color w:val="000000" w:themeColor="text1"/>
                <w:sz w:val="18"/>
                <w:szCs w:val="20"/>
              </w:rPr>
            </w:pPr>
            <w:r w:rsidRPr="003D0B0F">
              <w:rPr>
                <w:rFonts w:eastAsiaTheme="minorHAnsi"/>
                <w:color w:val="000000" w:themeColor="text1"/>
                <w:sz w:val="18"/>
                <w:szCs w:val="20"/>
              </w:rPr>
              <w:t>SEGMENT</w:t>
            </w:r>
          </w:p>
        </w:tc>
        <w:tc>
          <w:tcPr>
            <w:tcW w:w="338" w:type="pct"/>
            <w:noWrap/>
            <w:hideMark/>
          </w:tcPr>
          <w:p w14:paraId="64CD29CB" w14:textId="77777777" w:rsidR="003D0B0F" w:rsidRPr="003D0B0F" w:rsidRDefault="003D0B0F" w:rsidP="003D0B0F">
            <w:pPr>
              <w:rPr>
                <w:rFonts w:eastAsiaTheme="minorHAnsi"/>
                <w:color w:val="000000" w:themeColor="text1"/>
                <w:sz w:val="18"/>
                <w:szCs w:val="20"/>
              </w:rPr>
            </w:pPr>
            <w:r w:rsidRPr="003D0B0F">
              <w:rPr>
                <w:rFonts w:eastAsiaTheme="minorHAnsi"/>
                <w:color w:val="000000" w:themeColor="text1"/>
                <w:sz w:val="18"/>
                <w:szCs w:val="20"/>
              </w:rPr>
              <w:t>LENGTH</w:t>
            </w:r>
          </w:p>
        </w:tc>
        <w:tc>
          <w:tcPr>
            <w:tcW w:w="477" w:type="pct"/>
            <w:noWrap/>
            <w:hideMark/>
          </w:tcPr>
          <w:p w14:paraId="2DC944A9" w14:textId="77777777" w:rsidR="003D0B0F" w:rsidRPr="003D0B0F" w:rsidRDefault="003D0B0F" w:rsidP="003D0B0F">
            <w:pPr>
              <w:jc w:val="center"/>
              <w:rPr>
                <w:rFonts w:eastAsiaTheme="minorHAnsi"/>
                <w:color w:val="000000" w:themeColor="text1"/>
                <w:sz w:val="18"/>
                <w:szCs w:val="20"/>
              </w:rPr>
            </w:pPr>
            <w:r w:rsidRPr="003D0B0F">
              <w:rPr>
                <w:rFonts w:eastAsiaTheme="minorHAnsi"/>
                <w:color w:val="000000" w:themeColor="text1"/>
                <w:sz w:val="18"/>
                <w:szCs w:val="20"/>
              </w:rPr>
              <w:t>BUDGET</w:t>
            </w:r>
          </w:p>
        </w:tc>
        <w:tc>
          <w:tcPr>
            <w:tcW w:w="571" w:type="pct"/>
            <w:noWrap/>
            <w:hideMark/>
          </w:tcPr>
          <w:p w14:paraId="1D5BE129" w14:textId="77777777" w:rsidR="003D0B0F" w:rsidRPr="003D0B0F" w:rsidRDefault="003D0B0F" w:rsidP="003D0B0F">
            <w:pPr>
              <w:jc w:val="center"/>
              <w:rPr>
                <w:rFonts w:eastAsiaTheme="minorHAnsi"/>
                <w:color w:val="000000" w:themeColor="text1"/>
                <w:sz w:val="18"/>
                <w:szCs w:val="20"/>
              </w:rPr>
            </w:pPr>
            <w:r w:rsidRPr="003D0B0F">
              <w:rPr>
                <w:rFonts w:eastAsiaTheme="minorHAnsi"/>
                <w:color w:val="000000" w:themeColor="text1"/>
                <w:sz w:val="18"/>
                <w:szCs w:val="20"/>
              </w:rPr>
              <w:t>2018/2019</w:t>
            </w:r>
          </w:p>
        </w:tc>
        <w:tc>
          <w:tcPr>
            <w:tcW w:w="571" w:type="pct"/>
            <w:noWrap/>
            <w:hideMark/>
          </w:tcPr>
          <w:p w14:paraId="68D9AC99" w14:textId="77777777" w:rsidR="003D0B0F" w:rsidRPr="003D0B0F" w:rsidRDefault="003D0B0F" w:rsidP="003D0B0F">
            <w:pPr>
              <w:jc w:val="center"/>
              <w:rPr>
                <w:rFonts w:eastAsiaTheme="minorHAnsi"/>
                <w:color w:val="000000" w:themeColor="text1"/>
                <w:sz w:val="18"/>
                <w:szCs w:val="20"/>
              </w:rPr>
            </w:pPr>
            <w:r w:rsidRPr="003D0B0F">
              <w:rPr>
                <w:rFonts w:eastAsiaTheme="minorHAnsi"/>
                <w:color w:val="000000" w:themeColor="text1"/>
                <w:sz w:val="18"/>
                <w:szCs w:val="20"/>
              </w:rPr>
              <w:t>2019/2020</w:t>
            </w:r>
          </w:p>
        </w:tc>
        <w:tc>
          <w:tcPr>
            <w:tcW w:w="571" w:type="pct"/>
            <w:noWrap/>
            <w:hideMark/>
          </w:tcPr>
          <w:p w14:paraId="01BF4719" w14:textId="77777777" w:rsidR="003D0B0F" w:rsidRPr="003D0B0F" w:rsidRDefault="003D0B0F" w:rsidP="003D0B0F">
            <w:pPr>
              <w:jc w:val="center"/>
              <w:rPr>
                <w:rFonts w:eastAsiaTheme="minorHAnsi"/>
                <w:color w:val="000000" w:themeColor="text1"/>
                <w:sz w:val="18"/>
                <w:szCs w:val="20"/>
              </w:rPr>
            </w:pPr>
            <w:r w:rsidRPr="003D0B0F">
              <w:rPr>
                <w:rFonts w:eastAsiaTheme="minorHAnsi"/>
                <w:color w:val="000000" w:themeColor="text1"/>
                <w:sz w:val="18"/>
                <w:szCs w:val="20"/>
              </w:rPr>
              <w:t>2020/2021</w:t>
            </w:r>
          </w:p>
        </w:tc>
        <w:tc>
          <w:tcPr>
            <w:tcW w:w="572" w:type="pct"/>
            <w:noWrap/>
            <w:hideMark/>
          </w:tcPr>
          <w:p w14:paraId="22173192" w14:textId="77777777" w:rsidR="003D0B0F" w:rsidRPr="003D0B0F" w:rsidRDefault="003D0B0F" w:rsidP="003D0B0F">
            <w:pPr>
              <w:jc w:val="center"/>
              <w:rPr>
                <w:rFonts w:eastAsiaTheme="minorHAnsi"/>
                <w:color w:val="000000" w:themeColor="text1"/>
                <w:sz w:val="18"/>
                <w:szCs w:val="20"/>
              </w:rPr>
            </w:pPr>
            <w:r w:rsidRPr="003D0B0F">
              <w:rPr>
                <w:rFonts w:eastAsiaTheme="minorHAnsi"/>
                <w:color w:val="000000" w:themeColor="text1"/>
                <w:sz w:val="18"/>
                <w:szCs w:val="20"/>
              </w:rPr>
              <w:t>3 YEAR TOTAL</w:t>
            </w:r>
          </w:p>
        </w:tc>
      </w:tr>
      <w:tr w:rsidR="003D0B0F" w:rsidRPr="003D0B0F" w14:paraId="7018C934" w14:textId="77777777" w:rsidTr="003D0B0F">
        <w:trPr>
          <w:trHeight w:val="297"/>
        </w:trPr>
        <w:tc>
          <w:tcPr>
            <w:tcW w:w="5000" w:type="pct"/>
            <w:gridSpan w:val="10"/>
            <w:shd w:val="clear" w:color="auto" w:fill="DAEEF3" w:themeFill="accent5" w:themeFillTint="33"/>
            <w:noWrap/>
            <w:hideMark/>
          </w:tcPr>
          <w:p w14:paraId="64D23A70" w14:textId="3948E64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ESHOWE </w:t>
            </w:r>
          </w:p>
        </w:tc>
      </w:tr>
      <w:tr w:rsidR="003D0B0F" w:rsidRPr="003D0B0F" w14:paraId="71BA547A" w14:textId="77777777" w:rsidTr="003D0B0F">
        <w:trPr>
          <w:trHeight w:val="499"/>
        </w:trPr>
        <w:tc>
          <w:tcPr>
            <w:tcW w:w="595" w:type="pct"/>
            <w:noWrap/>
            <w:hideMark/>
          </w:tcPr>
          <w:p w14:paraId="20E04E86"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Hullet</w:t>
            </w:r>
          </w:p>
        </w:tc>
        <w:tc>
          <w:tcPr>
            <w:tcW w:w="557" w:type="pct"/>
            <w:gridSpan w:val="2"/>
            <w:noWrap/>
            <w:hideMark/>
          </w:tcPr>
          <w:p w14:paraId="58314172"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Reid</w:t>
            </w:r>
          </w:p>
        </w:tc>
        <w:tc>
          <w:tcPr>
            <w:tcW w:w="747" w:type="pct"/>
            <w:noWrap/>
            <w:hideMark/>
          </w:tcPr>
          <w:p w14:paraId="74A8994A"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North</w:t>
            </w:r>
          </w:p>
        </w:tc>
        <w:tc>
          <w:tcPr>
            <w:tcW w:w="338" w:type="pct"/>
            <w:noWrap/>
            <w:hideMark/>
          </w:tcPr>
          <w:p w14:paraId="030D94C9"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900m</w:t>
            </w:r>
          </w:p>
        </w:tc>
        <w:tc>
          <w:tcPr>
            <w:tcW w:w="477" w:type="pct"/>
            <w:noWrap/>
            <w:hideMark/>
          </w:tcPr>
          <w:p w14:paraId="3B11A1E3"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CAPITAL</w:t>
            </w:r>
          </w:p>
        </w:tc>
        <w:tc>
          <w:tcPr>
            <w:tcW w:w="571" w:type="pct"/>
            <w:noWrap/>
            <w:hideMark/>
          </w:tcPr>
          <w:p w14:paraId="2E7C4428"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1" w:type="pct"/>
            <w:noWrap/>
            <w:hideMark/>
          </w:tcPr>
          <w:p w14:paraId="704F6FF8"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2 076 690.00</w:t>
            </w:r>
          </w:p>
        </w:tc>
        <w:tc>
          <w:tcPr>
            <w:tcW w:w="571" w:type="pct"/>
            <w:noWrap/>
            <w:hideMark/>
          </w:tcPr>
          <w:p w14:paraId="32877B33"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2" w:type="pct"/>
            <w:noWrap/>
            <w:hideMark/>
          </w:tcPr>
          <w:p w14:paraId="128E21FB"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2 076 690.00</w:t>
            </w:r>
          </w:p>
        </w:tc>
      </w:tr>
      <w:tr w:rsidR="003D0B0F" w:rsidRPr="003D0B0F" w14:paraId="4CBA1982" w14:textId="77777777" w:rsidTr="003D0B0F">
        <w:trPr>
          <w:trHeight w:val="499"/>
        </w:trPr>
        <w:tc>
          <w:tcPr>
            <w:tcW w:w="595" w:type="pct"/>
            <w:noWrap/>
            <w:hideMark/>
          </w:tcPr>
          <w:p w14:paraId="1447B24D"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 xml:space="preserve">Maddick </w:t>
            </w:r>
          </w:p>
        </w:tc>
        <w:tc>
          <w:tcPr>
            <w:tcW w:w="557" w:type="pct"/>
            <w:gridSpan w:val="2"/>
            <w:noWrap/>
            <w:hideMark/>
          </w:tcPr>
          <w:p w14:paraId="1D8FEFB1"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Hullet drive</w:t>
            </w:r>
          </w:p>
        </w:tc>
        <w:tc>
          <w:tcPr>
            <w:tcW w:w="747" w:type="pct"/>
            <w:noWrap/>
            <w:hideMark/>
          </w:tcPr>
          <w:p w14:paraId="35EB2A39"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Dickens</w:t>
            </w:r>
          </w:p>
        </w:tc>
        <w:tc>
          <w:tcPr>
            <w:tcW w:w="338" w:type="pct"/>
            <w:noWrap/>
            <w:hideMark/>
          </w:tcPr>
          <w:p w14:paraId="19BFAD24"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300m</w:t>
            </w:r>
          </w:p>
        </w:tc>
        <w:tc>
          <w:tcPr>
            <w:tcW w:w="477" w:type="pct"/>
            <w:noWrap/>
            <w:hideMark/>
          </w:tcPr>
          <w:p w14:paraId="69620F26"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CAPITAL</w:t>
            </w:r>
          </w:p>
        </w:tc>
        <w:tc>
          <w:tcPr>
            <w:tcW w:w="571" w:type="pct"/>
            <w:noWrap/>
            <w:hideMark/>
          </w:tcPr>
          <w:p w14:paraId="71EC132C"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1" w:type="pct"/>
            <w:noWrap/>
            <w:hideMark/>
          </w:tcPr>
          <w:p w14:paraId="08A86E2F"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722 882.00</w:t>
            </w:r>
          </w:p>
        </w:tc>
        <w:tc>
          <w:tcPr>
            <w:tcW w:w="571" w:type="pct"/>
            <w:noWrap/>
            <w:hideMark/>
          </w:tcPr>
          <w:p w14:paraId="4097A377"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2" w:type="pct"/>
            <w:noWrap/>
            <w:hideMark/>
          </w:tcPr>
          <w:p w14:paraId="1466F462"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722 882.00</w:t>
            </w:r>
          </w:p>
        </w:tc>
      </w:tr>
      <w:tr w:rsidR="003D0B0F" w:rsidRPr="003D0B0F" w14:paraId="33129F32" w14:textId="77777777" w:rsidTr="003D0B0F">
        <w:trPr>
          <w:trHeight w:val="499"/>
        </w:trPr>
        <w:tc>
          <w:tcPr>
            <w:tcW w:w="2714" w:type="pct"/>
            <w:gridSpan w:val="6"/>
            <w:shd w:val="clear" w:color="auto" w:fill="DAEEF3" w:themeFill="accent5" w:themeFillTint="33"/>
            <w:noWrap/>
            <w:hideMark/>
          </w:tcPr>
          <w:p w14:paraId="1A717C20" w14:textId="77777777" w:rsidR="003D0B0F" w:rsidRPr="003D0B0F" w:rsidRDefault="003D0B0F" w:rsidP="003D0B0F">
            <w:pPr>
              <w:jc w:val="right"/>
              <w:rPr>
                <w:rFonts w:eastAsiaTheme="minorHAnsi"/>
                <w:color w:val="FF0000"/>
                <w:szCs w:val="20"/>
              </w:rPr>
            </w:pPr>
            <w:r w:rsidRPr="003D0B0F">
              <w:rPr>
                <w:rFonts w:eastAsiaTheme="minorHAnsi"/>
                <w:color w:val="FF0000"/>
                <w:szCs w:val="20"/>
              </w:rPr>
              <w:t>TOTAL</w:t>
            </w:r>
          </w:p>
        </w:tc>
        <w:tc>
          <w:tcPr>
            <w:tcW w:w="571" w:type="pct"/>
            <w:shd w:val="clear" w:color="auto" w:fill="DAEEF3" w:themeFill="accent5" w:themeFillTint="33"/>
            <w:noWrap/>
            <w:hideMark/>
          </w:tcPr>
          <w:p w14:paraId="0EB3A0AF" w14:textId="77777777" w:rsidR="003D0B0F" w:rsidRPr="003D0B0F" w:rsidRDefault="003D0B0F" w:rsidP="003D0B0F">
            <w:pPr>
              <w:jc w:val="right"/>
              <w:rPr>
                <w:rFonts w:eastAsiaTheme="minorHAnsi"/>
                <w:color w:val="FF0000"/>
                <w:szCs w:val="20"/>
              </w:rPr>
            </w:pPr>
            <w:r w:rsidRPr="003D0B0F">
              <w:rPr>
                <w:rFonts w:eastAsiaTheme="minorHAnsi"/>
                <w:color w:val="FF0000"/>
                <w:szCs w:val="20"/>
              </w:rPr>
              <w:t>R 0.00</w:t>
            </w:r>
          </w:p>
        </w:tc>
        <w:tc>
          <w:tcPr>
            <w:tcW w:w="571" w:type="pct"/>
            <w:shd w:val="clear" w:color="auto" w:fill="DAEEF3" w:themeFill="accent5" w:themeFillTint="33"/>
            <w:noWrap/>
            <w:hideMark/>
          </w:tcPr>
          <w:p w14:paraId="1C2810E0" w14:textId="77777777" w:rsidR="003D0B0F" w:rsidRPr="003D0B0F" w:rsidRDefault="003D0B0F" w:rsidP="003D0B0F">
            <w:pPr>
              <w:jc w:val="right"/>
              <w:rPr>
                <w:rFonts w:eastAsiaTheme="minorHAnsi"/>
                <w:color w:val="FF0000"/>
                <w:szCs w:val="20"/>
              </w:rPr>
            </w:pPr>
            <w:r w:rsidRPr="003D0B0F">
              <w:rPr>
                <w:rFonts w:eastAsiaTheme="minorHAnsi"/>
                <w:color w:val="FF0000"/>
                <w:szCs w:val="20"/>
              </w:rPr>
              <w:t>R 2 799 572.00</w:t>
            </w:r>
          </w:p>
        </w:tc>
        <w:tc>
          <w:tcPr>
            <w:tcW w:w="571" w:type="pct"/>
            <w:shd w:val="clear" w:color="auto" w:fill="DAEEF3" w:themeFill="accent5" w:themeFillTint="33"/>
            <w:noWrap/>
            <w:hideMark/>
          </w:tcPr>
          <w:p w14:paraId="481C16CC" w14:textId="77777777" w:rsidR="003D0B0F" w:rsidRPr="003D0B0F" w:rsidRDefault="003D0B0F" w:rsidP="003D0B0F">
            <w:pPr>
              <w:jc w:val="right"/>
              <w:rPr>
                <w:rFonts w:eastAsiaTheme="minorHAnsi"/>
                <w:color w:val="FF0000"/>
                <w:szCs w:val="20"/>
              </w:rPr>
            </w:pPr>
            <w:r w:rsidRPr="003D0B0F">
              <w:rPr>
                <w:rFonts w:eastAsiaTheme="minorHAnsi"/>
                <w:color w:val="FF0000"/>
                <w:szCs w:val="20"/>
              </w:rPr>
              <w:t>R 0.00</w:t>
            </w:r>
          </w:p>
        </w:tc>
        <w:tc>
          <w:tcPr>
            <w:tcW w:w="572" w:type="pct"/>
            <w:shd w:val="clear" w:color="auto" w:fill="DAEEF3" w:themeFill="accent5" w:themeFillTint="33"/>
            <w:noWrap/>
            <w:hideMark/>
          </w:tcPr>
          <w:p w14:paraId="78A37D80" w14:textId="77777777" w:rsidR="003D0B0F" w:rsidRPr="003D0B0F" w:rsidRDefault="003D0B0F" w:rsidP="003D0B0F">
            <w:pPr>
              <w:jc w:val="right"/>
              <w:rPr>
                <w:rFonts w:eastAsiaTheme="minorHAnsi"/>
                <w:color w:val="FF0000"/>
                <w:szCs w:val="20"/>
              </w:rPr>
            </w:pPr>
            <w:r w:rsidRPr="003D0B0F">
              <w:rPr>
                <w:rFonts w:eastAsiaTheme="minorHAnsi"/>
                <w:color w:val="FF0000"/>
                <w:szCs w:val="20"/>
              </w:rPr>
              <w:t>R 2 799 572.00</w:t>
            </w:r>
          </w:p>
        </w:tc>
      </w:tr>
      <w:tr w:rsidR="003D0B0F" w:rsidRPr="003D0B0F" w14:paraId="39420AC1" w14:textId="77777777" w:rsidTr="003D0B0F">
        <w:trPr>
          <w:trHeight w:val="175"/>
        </w:trPr>
        <w:tc>
          <w:tcPr>
            <w:tcW w:w="5000" w:type="pct"/>
            <w:gridSpan w:val="10"/>
            <w:shd w:val="clear" w:color="auto" w:fill="DAEEF3" w:themeFill="accent5" w:themeFillTint="33"/>
            <w:noWrap/>
            <w:hideMark/>
          </w:tcPr>
          <w:p w14:paraId="60C9D01E" w14:textId="64188729"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KING DINUZULU </w:t>
            </w:r>
          </w:p>
        </w:tc>
      </w:tr>
      <w:tr w:rsidR="003D0B0F" w:rsidRPr="003D0B0F" w14:paraId="0145430E" w14:textId="77777777" w:rsidTr="003D0B0F">
        <w:trPr>
          <w:trHeight w:val="499"/>
        </w:trPr>
        <w:tc>
          <w:tcPr>
            <w:tcW w:w="595" w:type="pct"/>
            <w:noWrap/>
            <w:hideMark/>
          </w:tcPr>
          <w:p w14:paraId="35A3719E"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Nondaba</w:t>
            </w:r>
          </w:p>
        </w:tc>
        <w:tc>
          <w:tcPr>
            <w:tcW w:w="557" w:type="pct"/>
            <w:gridSpan w:val="2"/>
            <w:noWrap/>
            <w:hideMark/>
          </w:tcPr>
          <w:p w14:paraId="5A4A9CA1"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Msebeni</w:t>
            </w:r>
          </w:p>
        </w:tc>
        <w:tc>
          <w:tcPr>
            <w:tcW w:w="747" w:type="pct"/>
            <w:noWrap/>
            <w:hideMark/>
          </w:tcPr>
          <w:p w14:paraId="7B67AB58"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Uwasi</w:t>
            </w:r>
          </w:p>
        </w:tc>
        <w:tc>
          <w:tcPr>
            <w:tcW w:w="338" w:type="pct"/>
            <w:noWrap/>
            <w:hideMark/>
          </w:tcPr>
          <w:p w14:paraId="53254D86"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375m</w:t>
            </w:r>
          </w:p>
        </w:tc>
        <w:tc>
          <w:tcPr>
            <w:tcW w:w="477" w:type="pct"/>
            <w:noWrap/>
            <w:hideMark/>
          </w:tcPr>
          <w:p w14:paraId="591BDF93"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CAPITAL</w:t>
            </w:r>
          </w:p>
        </w:tc>
        <w:tc>
          <w:tcPr>
            <w:tcW w:w="571" w:type="pct"/>
            <w:noWrap/>
            <w:hideMark/>
          </w:tcPr>
          <w:p w14:paraId="1D5CF8B3"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1 000 000.00</w:t>
            </w:r>
          </w:p>
        </w:tc>
        <w:tc>
          <w:tcPr>
            <w:tcW w:w="571" w:type="pct"/>
            <w:noWrap/>
            <w:hideMark/>
          </w:tcPr>
          <w:p w14:paraId="12BDACE4"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1" w:type="pct"/>
            <w:noWrap/>
            <w:hideMark/>
          </w:tcPr>
          <w:p w14:paraId="119E73B5"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2" w:type="pct"/>
            <w:noWrap/>
            <w:hideMark/>
          </w:tcPr>
          <w:p w14:paraId="06C9A82C"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1 000 000.00</w:t>
            </w:r>
          </w:p>
        </w:tc>
      </w:tr>
      <w:tr w:rsidR="003D0B0F" w:rsidRPr="003D0B0F" w14:paraId="6BCCBD1F" w14:textId="77777777" w:rsidTr="003D0B0F">
        <w:trPr>
          <w:trHeight w:val="750"/>
        </w:trPr>
        <w:tc>
          <w:tcPr>
            <w:tcW w:w="595" w:type="pct"/>
            <w:hideMark/>
          </w:tcPr>
          <w:p w14:paraId="592A23DC"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 xml:space="preserve">Nkosi Ndwandwe Street </w:t>
            </w:r>
          </w:p>
        </w:tc>
        <w:tc>
          <w:tcPr>
            <w:tcW w:w="557" w:type="pct"/>
            <w:gridSpan w:val="2"/>
            <w:hideMark/>
          </w:tcPr>
          <w:p w14:paraId="40AE9C78"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 </w:t>
            </w:r>
          </w:p>
        </w:tc>
        <w:tc>
          <w:tcPr>
            <w:tcW w:w="747" w:type="pct"/>
            <w:hideMark/>
          </w:tcPr>
          <w:p w14:paraId="05B57BF8"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Ndlela</w:t>
            </w:r>
          </w:p>
        </w:tc>
        <w:tc>
          <w:tcPr>
            <w:tcW w:w="338" w:type="pct"/>
            <w:hideMark/>
          </w:tcPr>
          <w:p w14:paraId="1E617A70"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300m</w:t>
            </w:r>
          </w:p>
        </w:tc>
        <w:tc>
          <w:tcPr>
            <w:tcW w:w="477" w:type="pct"/>
            <w:hideMark/>
          </w:tcPr>
          <w:p w14:paraId="1CA2EE03" w14:textId="77777777" w:rsidR="003D0B0F" w:rsidRPr="003D0B0F" w:rsidRDefault="003D0B0F" w:rsidP="003D0B0F">
            <w:pPr>
              <w:jc w:val="center"/>
              <w:rPr>
                <w:rFonts w:eastAsiaTheme="minorHAnsi"/>
                <w:color w:val="000000" w:themeColor="text1"/>
                <w:szCs w:val="20"/>
              </w:rPr>
            </w:pPr>
            <w:r w:rsidRPr="003D0B0F">
              <w:rPr>
                <w:rFonts w:eastAsiaTheme="minorHAnsi"/>
                <w:color w:val="000000" w:themeColor="text1"/>
                <w:szCs w:val="20"/>
              </w:rPr>
              <w:t> </w:t>
            </w:r>
          </w:p>
        </w:tc>
        <w:tc>
          <w:tcPr>
            <w:tcW w:w="571" w:type="pct"/>
            <w:noWrap/>
            <w:hideMark/>
          </w:tcPr>
          <w:p w14:paraId="31919BF8"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1" w:type="pct"/>
            <w:noWrap/>
            <w:hideMark/>
          </w:tcPr>
          <w:p w14:paraId="3A193962"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530 000.00</w:t>
            </w:r>
          </w:p>
        </w:tc>
        <w:tc>
          <w:tcPr>
            <w:tcW w:w="571" w:type="pct"/>
            <w:noWrap/>
            <w:hideMark/>
          </w:tcPr>
          <w:p w14:paraId="74BB3898"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2" w:type="pct"/>
            <w:noWrap/>
            <w:hideMark/>
          </w:tcPr>
          <w:p w14:paraId="4D7710CF"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530 000.00</w:t>
            </w:r>
          </w:p>
        </w:tc>
      </w:tr>
      <w:tr w:rsidR="003D0B0F" w:rsidRPr="003D0B0F" w14:paraId="5EFF02F8" w14:textId="77777777" w:rsidTr="003D0B0F">
        <w:trPr>
          <w:trHeight w:val="750"/>
        </w:trPr>
        <w:tc>
          <w:tcPr>
            <w:tcW w:w="595" w:type="pct"/>
            <w:noWrap/>
            <w:hideMark/>
          </w:tcPr>
          <w:p w14:paraId="28804BFE"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 xml:space="preserve">Mkhuhlu Street </w:t>
            </w:r>
          </w:p>
        </w:tc>
        <w:tc>
          <w:tcPr>
            <w:tcW w:w="557" w:type="pct"/>
            <w:gridSpan w:val="2"/>
            <w:noWrap/>
            <w:hideMark/>
          </w:tcPr>
          <w:p w14:paraId="5CF02152"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Umsonti</w:t>
            </w:r>
          </w:p>
        </w:tc>
        <w:tc>
          <w:tcPr>
            <w:tcW w:w="747" w:type="pct"/>
            <w:noWrap/>
            <w:hideMark/>
          </w:tcPr>
          <w:p w14:paraId="033B1CA9"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Mkhulu</w:t>
            </w:r>
          </w:p>
        </w:tc>
        <w:tc>
          <w:tcPr>
            <w:tcW w:w="338" w:type="pct"/>
            <w:noWrap/>
            <w:hideMark/>
          </w:tcPr>
          <w:p w14:paraId="0DC73905"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406m</w:t>
            </w:r>
          </w:p>
        </w:tc>
        <w:tc>
          <w:tcPr>
            <w:tcW w:w="477" w:type="pct"/>
            <w:noWrap/>
            <w:hideMark/>
          </w:tcPr>
          <w:p w14:paraId="2EE31C15"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OPERATING</w:t>
            </w:r>
          </w:p>
        </w:tc>
        <w:tc>
          <w:tcPr>
            <w:tcW w:w="571" w:type="pct"/>
            <w:noWrap/>
            <w:hideMark/>
          </w:tcPr>
          <w:p w14:paraId="59B92300"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1" w:type="pct"/>
            <w:noWrap/>
            <w:hideMark/>
          </w:tcPr>
          <w:p w14:paraId="2E809AE1"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451 940.00</w:t>
            </w:r>
          </w:p>
        </w:tc>
        <w:tc>
          <w:tcPr>
            <w:tcW w:w="571" w:type="pct"/>
            <w:noWrap/>
            <w:hideMark/>
          </w:tcPr>
          <w:p w14:paraId="16C28873"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2" w:type="pct"/>
            <w:noWrap/>
            <w:hideMark/>
          </w:tcPr>
          <w:p w14:paraId="3FF96E08"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451 940.00</w:t>
            </w:r>
          </w:p>
        </w:tc>
      </w:tr>
      <w:tr w:rsidR="003D0B0F" w:rsidRPr="003D0B0F" w14:paraId="09799A91" w14:textId="77777777" w:rsidTr="003D0B0F">
        <w:trPr>
          <w:trHeight w:val="499"/>
        </w:trPr>
        <w:tc>
          <w:tcPr>
            <w:tcW w:w="595" w:type="pct"/>
            <w:noWrap/>
            <w:hideMark/>
          </w:tcPr>
          <w:p w14:paraId="7821CAAB"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Umsonti</w:t>
            </w:r>
          </w:p>
        </w:tc>
        <w:tc>
          <w:tcPr>
            <w:tcW w:w="557" w:type="pct"/>
            <w:gridSpan w:val="2"/>
            <w:noWrap/>
            <w:hideMark/>
          </w:tcPr>
          <w:p w14:paraId="4368F583"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Usuthu</w:t>
            </w:r>
          </w:p>
        </w:tc>
        <w:tc>
          <w:tcPr>
            <w:tcW w:w="747" w:type="pct"/>
            <w:noWrap/>
            <w:hideMark/>
          </w:tcPr>
          <w:p w14:paraId="2C9F71F1"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Mkhuhlu &amp; Mthomb</w:t>
            </w:r>
          </w:p>
        </w:tc>
        <w:tc>
          <w:tcPr>
            <w:tcW w:w="338" w:type="pct"/>
            <w:noWrap/>
            <w:hideMark/>
          </w:tcPr>
          <w:p w14:paraId="7BE2EBBC"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381m</w:t>
            </w:r>
          </w:p>
        </w:tc>
        <w:tc>
          <w:tcPr>
            <w:tcW w:w="477" w:type="pct"/>
            <w:noWrap/>
            <w:hideMark/>
          </w:tcPr>
          <w:p w14:paraId="4B7A8C8C"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CAPITAL</w:t>
            </w:r>
          </w:p>
        </w:tc>
        <w:tc>
          <w:tcPr>
            <w:tcW w:w="571" w:type="pct"/>
            <w:noWrap/>
            <w:hideMark/>
          </w:tcPr>
          <w:p w14:paraId="376EBD70"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1" w:type="pct"/>
            <w:noWrap/>
            <w:hideMark/>
          </w:tcPr>
          <w:p w14:paraId="2E663EB7"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1" w:type="pct"/>
            <w:noWrap/>
            <w:hideMark/>
          </w:tcPr>
          <w:p w14:paraId="2380C1D5"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707 256.00</w:t>
            </w:r>
          </w:p>
        </w:tc>
        <w:tc>
          <w:tcPr>
            <w:tcW w:w="572" w:type="pct"/>
            <w:noWrap/>
            <w:hideMark/>
          </w:tcPr>
          <w:p w14:paraId="1D98C992"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0.00</w:t>
            </w:r>
          </w:p>
        </w:tc>
      </w:tr>
      <w:tr w:rsidR="003D0B0F" w:rsidRPr="003D0B0F" w14:paraId="22718657" w14:textId="77777777" w:rsidTr="003D0B0F">
        <w:trPr>
          <w:trHeight w:val="499"/>
        </w:trPr>
        <w:tc>
          <w:tcPr>
            <w:tcW w:w="595" w:type="pct"/>
            <w:noWrap/>
            <w:hideMark/>
          </w:tcPr>
          <w:p w14:paraId="192B6CD1"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 xml:space="preserve">Thembeni </w:t>
            </w:r>
          </w:p>
        </w:tc>
        <w:tc>
          <w:tcPr>
            <w:tcW w:w="557" w:type="pct"/>
            <w:gridSpan w:val="2"/>
            <w:noWrap/>
            <w:hideMark/>
          </w:tcPr>
          <w:p w14:paraId="31FA53FC"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Falaza</w:t>
            </w:r>
          </w:p>
        </w:tc>
        <w:tc>
          <w:tcPr>
            <w:tcW w:w="747" w:type="pct"/>
            <w:noWrap/>
            <w:hideMark/>
          </w:tcPr>
          <w:p w14:paraId="6B74BE04"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Ubambiswano</w:t>
            </w:r>
          </w:p>
        </w:tc>
        <w:tc>
          <w:tcPr>
            <w:tcW w:w="338" w:type="pct"/>
            <w:noWrap/>
            <w:hideMark/>
          </w:tcPr>
          <w:p w14:paraId="78AA86A0"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374m</w:t>
            </w:r>
          </w:p>
        </w:tc>
        <w:tc>
          <w:tcPr>
            <w:tcW w:w="477" w:type="pct"/>
            <w:noWrap/>
            <w:hideMark/>
          </w:tcPr>
          <w:p w14:paraId="40FBACF9"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CAPITAL</w:t>
            </w:r>
          </w:p>
        </w:tc>
        <w:tc>
          <w:tcPr>
            <w:tcW w:w="571" w:type="pct"/>
            <w:noWrap/>
            <w:hideMark/>
          </w:tcPr>
          <w:p w14:paraId="1227A83F"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1" w:type="pct"/>
            <w:noWrap/>
            <w:hideMark/>
          </w:tcPr>
          <w:p w14:paraId="166E3FEC"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1" w:type="pct"/>
            <w:noWrap/>
            <w:hideMark/>
          </w:tcPr>
          <w:p w14:paraId="1E96FBB5"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575 960.00</w:t>
            </w:r>
          </w:p>
        </w:tc>
        <w:tc>
          <w:tcPr>
            <w:tcW w:w="572" w:type="pct"/>
            <w:noWrap/>
            <w:hideMark/>
          </w:tcPr>
          <w:p w14:paraId="2143005C"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0.00</w:t>
            </w:r>
          </w:p>
        </w:tc>
      </w:tr>
      <w:tr w:rsidR="003D0B0F" w:rsidRPr="003D0B0F" w14:paraId="0163FE60" w14:textId="77777777" w:rsidTr="003D0B0F">
        <w:trPr>
          <w:trHeight w:val="499"/>
        </w:trPr>
        <w:tc>
          <w:tcPr>
            <w:tcW w:w="2714" w:type="pct"/>
            <w:gridSpan w:val="6"/>
            <w:shd w:val="clear" w:color="auto" w:fill="DAEEF3" w:themeFill="accent5" w:themeFillTint="33"/>
            <w:noWrap/>
            <w:hideMark/>
          </w:tcPr>
          <w:p w14:paraId="783B84EE" w14:textId="77777777" w:rsidR="003D0B0F" w:rsidRPr="003D0B0F" w:rsidRDefault="003D0B0F" w:rsidP="003D0B0F">
            <w:pPr>
              <w:jc w:val="right"/>
              <w:rPr>
                <w:rFonts w:eastAsiaTheme="minorHAnsi"/>
                <w:color w:val="FF0000"/>
                <w:szCs w:val="20"/>
              </w:rPr>
            </w:pPr>
            <w:r w:rsidRPr="003D0B0F">
              <w:rPr>
                <w:rFonts w:eastAsiaTheme="minorHAnsi"/>
                <w:color w:val="FF0000"/>
                <w:szCs w:val="20"/>
              </w:rPr>
              <w:t>TOTAL</w:t>
            </w:r>
          </w:p>
        </w:tc>
        <w:tc>
          <w:tcPr>
            <w:tcW w:w="571" w:type="pct"/>
            <w:shd w:val="clear" w:color="auto" w:fill="DAEEF3" w:themeFill="accent5" w:themeFillTint="33"/>
            <w:noWrap/>
            <w:hideMark/>
          </w:tcPr>
          <w:p w14:paraId="1E6789B0" w14:textId="77777777" w:rsidR="003D0B0F" w:rsidRPr="003D0B0F" w:rsidRDefault="003D0B0F" w:rsidP="003D0B0F">
            <w:pPr>
              <w:jc w:val="right"/>
              <w:rPr>
                <w:rFonts w:eastAsiaTheme="minorHAnsi"/>
                <w:color w:val="FF0000"/>
                <w:szCs w:val="20"/>
              </w:rPr>
            </w:pPr>
            <w:r w:rsidRPr="003D0B0F">
              <w:rPr>
                <w:rFonts w:eastAsiaTheme="minorHAnsi"/>
                <w:color w:val="FF0000"/>
                <w:szCs w:val="20"/>
              </w:rPr>
              <w:t>R 1 000 000.00</w:t>
            </w:r>
          </w:p>
        </w:tc>
        <w:tc>
          <w:tcPr>
            <w:tcW w:w="571" w:type="pct"/>
            <w:shd w:val="clear" w:color="auto" w:fill="DAEEF3" w:themeFill="accent5" w:themeFillTint="33"/>
            <w:noWrap/>
            <w:hideMark/>
          </w:tcPr>
          <w:p w14:paraId="0519D5B8" w14:textId="77777777" w:rsidR="003D0B0F" w:rsidRPr="003D0B0F" w:rsidRDefault="003D0B0F" w:rsidP="003D0B0F">
            <w:pPr>
              <w:jc w:val="right"/>
              <w:rPr>
                <w:rFonts w:eastAsiaTheme="minorHAnsi"/>
                <w:color w:val="FF0000"/>
                <w:szCs w:val="20"/>
              </w:rPr>
            </w:pPr>
            <w:r w:rsidRPr="003D0B0F">
              <w:rPr>
                <w:rFonts w:eastAsiaTheme="minorHAnsi"/>
                <w:color w:val="FF0000"/>
                <w:szCs w:val="20"/>
              </w:rPr>
              <w:t>R 981 940.00</w:t>
            </w:r>
          </w:p>
        </w:tc>
        <w:tc>
          <w:tcPr>
            <w:tcW w:w="571" w:type="pct"/>
            <w:shd w:val="clear" w:color="auto" w:fill="DAEEF3" w:themeFill="accent5" w:themeFillTint="33"/>
            <w:noWrap/>
            <w:hideMark/>
          </w:tcPr>
          <w:p w14:paraId="4B28B0D6" w14:textId="77777777" w:rsidR="003D0B0F" w:rsidRPr="003D0B0F" w:rsidRDefault="003D0B0F" w:rsidP="003D0B0F">
            <w:pPr>
              <w:jc w:val="right"/>
              <w:rPr>
                <w:rFonts w:eastAsiaTheme="minorHAnsi"/>
                <w:color w:val="FF0000"/>
                <w:szCs w:val="20"/>
              </w:rPr>
            </w:pPr>
            <w:r w:rsidRPr="003D0B0F">
              <w:rPr>
                <w:rFonts w:eastAsiaTheme="minorHAnsi"/>
                <w:color w:val="FF0000"/>
                <w:szCs w:val="20"/>
              </w:rPr>
              <w:t>R 1 283 216.00</w:t>
            </w:r>
          </w:p>
        </w:tc>
        <w:tc>
          <w:tcPr>
            <w:tcW w:w="572" w:type="pct"/>
            <w:shd w:val="clear" w:color="auto" w:fill="DAEEF3" w:themeFill="accent5" w:themeFillTint="33"/>
            <w:noWrap/>
            <w:hideMark/>
          </w:tcPr>
          <w:p w14:paraId="7314D609" w14:textId="77777777" w:rsidR="003D0B0F" w:rsidRPr="003D0B0F" w:rsidRDefault="003D0B0F" w:rsidP="003D0B0F">
            <w:pPr>
              <w:jc w:val="right"/>
              <w:rPr>
                <w:rFonts w:eastAsiaTheme="minorHAnsi"/>
                <w:color w:val="FF0000"/>
                <w:szCs w:val="20"/>
              </w:rPr>
            </w:pPr>
            <w:r w:rsidRPr="003D0B0F">
              <w:rPr>
                <w:rFonts w:eastAsiaTheme="minorHAnsi"/>
                <w:color w:val="FF0000"/>
                <w:szCs w:val="20"/>
              </w:rPr>
              <w:t>R 1 981 940.00</w:t>
            </w:r>
          </w:p>
        </w:tc>
      </w:tr>
      <w:tr w:rsidR="003D0B0F" w:rsidRPr="003D0B0F" w14:paraId="3B0D5391" w14:textId="77777777" w:rsidTr="003D0B0F">
        <w:trPr>
          <w:trHeight w:val="164"/>
        </w:trPr>
        <w:tc>
          <w:tcPr>
            <w:tcW w:w="5000" w:type="pct"/>
            <w:gridSpan w:val="10"/>
            <w:shd w:val="clear" w:color="auto" w:fill="DAEEF3" w:themeFill="accent5" w:themeFillTint="33"/>
            <w:noWrap/>
            <w:hideMark/>
          </w:tcPr>
          <w:p w14:paraId="75BBA747" w14:textId="3E94BB0D"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GINGINDLOVU </w:t>
            </w:r>
          </w:p>
        </w:tc>
      </w:tr>
      <w:tr w:rsidR="003D0B0F" w:rsidRPr="003D0B0F" w14:paraId="45519448" w14:textId="77777777" w:rsidTr="003D0B0F">
        <w:trPr>
          <w:trHeight w:val="499"/>
        </w:trPr>
        <w:tc>
          <w:tcPr>
            <w:tcW w:w="595" w:type="pct"/>
            <w:noWrap/>
            <w:hideMark/>
          </w:tcPr>
          <w:p w14:paraId="094BB66C"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Kudu</w:t>
            </w:r>
          </w:p>
        </w:tc>
        <w:tc>
          <w:tcPr>
            <w:tcW w:w="557" w:type="pct"/>
            <w:gridSpan w:val="2"/>
            <w:noWrap/>
            <w:hideMark/>
          </w:tcPr>
          <w:p w14:paraId="38A2116B"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Isandlwana</w:t>
            </w:r>
          </w:p>
        </w:tc>
        <w:tc>
          <w:tcPr>
            <w:tcW w:w="747" w:type="pct"/>
            <w:noWrap/>
            <w:hideMark/>
          </w:tcPr>
          <w:p w14:paraId="3C831AF3"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McCulumn</w:t>
            </w:r>
          </w:p>
        </w:tc>
        <w:tc>
          <w:tcPr>
            <w:tcW w:w="338" w:type="pct"/>
            <w:noWrap/>
            <w:hideMark/>
          </w:tcPr>
          <w:p w14:paraId="0CADB765"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580m</w:t>
            </w:r>
          </w:p>
        </w:tc>
        <w:tc>
          <w:tcPr>
            <w:tcW w:w="477" w:type="pct"/>
            <w:noWrap/>
            <w:hideMark/>
          </w:tcPr>
          <w:p w14:paraId="7F614C5E"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CAPITAL</w:t>
            </w:r>
          </w:p>
        </w:tc>
        <w:tc>
          <w:tcPr>
            <w:tcW w:w="571" w:type="pct"/>
            <w:noWrap/>
            <w:hideMark/>
          </w:tcPr>
          <w:p w14:paraId="52BBB892"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1 500 000.00</w:t>
            </w:r>
          </w:p>
        </w:tc>
        <w:tc>
          <w:tcPr>
            <w:tcW w:w="571" w:type="pct"/>
            <w:noWrap/>
            <w:hideMark/>
          </w:tcPr>
          <w:p w14:paraId="06A48DC9"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1 300 000.00</w:t>
            </w:r>
          </w:p>
        </w:tc>
        <w:tc>
          <w:tcPr>
            <w:tcW w:w="571" w:type="pct"/>
            <w:noWrap/>
            <w:hideMark/>
          </w:tcPr>
          <w:p w14:paraId="71E01C34"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2" w:type="pct"/>
            <w:noWrap/>
            <w:hideMark/>
          </w:tcPr>
          <w:p w14:paraId="3DA6DBF8"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2 800 000.00</w:t>
            </w:r>
          </w:p>
        </w:tc>
      </w:tr>
      <w:tr w:rsidR="003D0B0F" w:rsidRPr="003D0B0F" w14:paraId="5A7BF0E1" w14:textId="77777777" w:rsidTr="003D0B0F">
        <w:trPr>
          <w:trHeight w:val="499"/>
        </w:trPr>
        <w:tc>
          <w:tcPr>
            <w:tcW w:w="595" w:type="pct"/>
            <w:noWrap/>
            <w:hideMark/>
          </w:tcPr>
          <w:p w14:paraId="65B26A2B"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Steenbok</w:t>
            </w:r>
          </w:p>
        </w:tc>
        <w:tc>
          <w:tcPr>
            <w:tcW w:w="557" w:type="pct"/>
            <w:gridSpan w:val="2"/>
            <w:noWrap/>
            <w:hideMark/>
          </w:tcPr>
          <w:p w14:paraId="089FCF90"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 xml:space="preserve">Gravel road </w:t>
            </w:r>
          </w:p>
        </w:tc>
        <w:tc>
          <w:tcPr>
            <w:tcW w:w="747" w:type="pct"/>
            <w:noWrap/>
            <w:hideMark/>
          </w:tcPr>
          <w:p w14:paraId="75EA75EA"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Road 3</w:t>
            </w:r>
          </w:p>
        </w:tc>
        <w:tc>
          <w:tcPr>
            <w:tcW w:w="338" w:type="pct"/>
            <w:noWrap/>
            <w:hideMark/>
          </w:tcPr>
          <w:p w14:paraId="3EBA9176"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264m</w:t>
            </w:r>
          </w:p>
        </w:tc>
        <w:tc>
          <w:tcPr>
            <w:tcW w:w="477" w:type="pct"/>
            <w:noWrap/>
            <w:hideMark/>
          </w:tcPr>
          <w:p w14:paraId="166B34A9"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CAPITAL</w:t>
            </w:r>
          </w:p>
        </w:tc>
        <w:tc>
          <w:tcPr>
            <w:tcW w:w="571" w:type="pct"/>
            <w:noWrap/>
            <w:hideMark/>
          </w:tcPr>
          <w:p w14:paraId="29CFF43D"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1" w:type="pct"/>
            <w:noWrap/>
            <w:hideMark/>
          </w:tcPr>
          <w:p w14:paraId="29D98E85"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1" w:type="pct"/>
            <w:noWrap/>
            <w:hideMark/>
          </w:tcPr>
          <w:p w14:paraId="1A3D4D4D"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700 000.00</w:t>
            </w:r>
          </w:p>
        </w:tc>
        <w:tc>
          <w:tcPr>
            <w:tcW w:w="572" w:type="pct"/>
            <w:noWrap/>
            <w:hideMark/>
          </w:tcPr>
          <w:p w14:paraId="3CCB334D"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r>
      <w:tr w:rsidR="003D0B0F" w:rsidRPr="003D0B0F" w14:paraId="7207C020" w14:textId="77777777" w:rsidTr="003D0B0F">
        <w:trPr>
          <w:trHeight w:val="499"/>
        </w:trPr>
        <w:tc>
          <w:tcPr>
            <w:tcW w:w="595" w:type="pct"/>
            <w:noWrap/>
            <w:hideMark/>
          </w:tcPr>
          <w:p w14:paraId="5FD4D4C2"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 </w:t>
            </w:r>
          </w:p>
        </w:tc>
        <w:tc>
          <w:tcPr>
            <w:tcW w:w="557" w:type="pct"/>
            <w:gridSpan w:val="2"/>
            <w:noWrap/>
            <w:hideMark/>
          </w:tcPr>
          <w:p w14:paraId="02F2FB56"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Road 3</w:t>
            </w:r>
          </w:p>
        </w:tc>
        <w:tc>
          <w:tcPr>
            <w:tcW w:w="747" w:type="pct"/>
            <w:noWrap/>
            <w:hideMark/>
          </w:tcPr>
          <w:p w14:paraId="3EA0B216"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Steenbok</w:t>
            </w:r>
          </w:p>
        </w:tc>
        <w:tc>
          <w:tcPr>
            <w:tcW w:w="338" w:type="pct"/>
            <w:noWrap/>
            <w:hideMark/>
          </w:tcPr>
          <w:p w14:paraId="35DCD767"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419m</w:t>
            </w:r>
          </w:p>
        </w:tc>
        <w:tc>
          <w:tcPr>
            <w:tcW w:w="477" w:type="pct"/>
            <w:noWrap/>
            <w:hideMark/>
          </w:tcPr>
          <w:p w14:paraId="744059FD"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CAPITAL</w:t>
            </w:r>
          </w:p>
        </w:tc>
        <w:tc>
          <w:tcPr>
            <w:tcW w:w="571" w:type="pct"/>
            <w:noWrap/>
            <w:hideMark/>
          </w:tcPr>
          <w:p w14:paraId="63C93B5D"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1" w:type="pct"/>
            <w:noWrap/>
            <w:hideMark/>
          </w:tcPr>
          <w:p w14:paraId="39F753C0"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1" w:type="pct"/>
            <w:noWrap/>
            <w:hideMark/>
          </w:tcPr>
          <w:p w14:paraId="6054B4FB"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2" w:type="pct"/>
            <w:noWrap/>
            <w:hideMark/>
          </w:tcPr>
          <w:p w14:paraId="2CAFDEEC"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r>
      <w:tr w:rsidR="003D0B0F" w:rsidRPr="003D0B0F" w14:paraId="07C3F646" w14:textId="77777777" w:rsidTr="003D0B0F">
        <w:trPr>
          <w:trHeight w:val="499"/>
        </w:trPr>
        <w:tc>
          <w:tcPr>
            <w:tcW w:w="2714" w:type="pct"/>
            <w:gridSpan w:val="6"/>
            <w:shd w:val="clear" w:color="auto" w:fill="DAEEF3" w:themeFill="accent5" w:themeFillTint="33"/>
            <w:noWrap/>
            <w:hideMark/>
          </w:tcPr>
          <w:p w14:paraId="2E6274E7"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TOTAL</w:t>
            </w:r>
          </w:p>
        </w:tc>
        <w:tc>
          <w:tcPr>
            <w:tcW w:w="571" w:type="pct"/>
            <w:shd w:val="clear" w:color="auto" w:fill="DAEEF3" w:themeFill="accent5" w:themeFillTint="33"/>
            <w:noWrap/>
            <w:hideMark/>
          </w:tcPr>
          <w:p w14:paraId="122B7D57"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1 500 000.00</w:t>
            </w:r>
          </w:p>
        </w:tc>
        <w:tc>
          <w:tcPr>
            <w:tcW w:w="571" w:type="pct"/>
            <w:shd w:val="clear" w:color="auto" w:fill="DAEEF3" w:themeFill="accent5" w:themeFillTint="33"/>
            <w:noWrap/>
            <w:hideMark/>
          </w:tcPr>
          <w:p w14:paraId="297427A8"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1 300 000.00</w:t>
            </w:r>
          </w:p>
        </w:tc>
        <w:tc>
          <w:tcPr>
            <w:tcW w:w="571" w:type="pct"/>
            <w:shd w:val="clear" w:color="auto" w:fill="DAEEF3" w:themeFill="accent5" w:themeFillTint="33"/>
            <w:noWrap/>
            <w:hideMark/>
          </w:tcPr>
          <w:p w14:paraId="68222295"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1 373 750.00</w:t>
            </w:r>
          </w:p>
        </w:tc>
        <w:tc>
          <w:tcPr>
            <w:tcW w:w="572" w:type="pct"/>
            <w:shd w:val="clear" w:color="auto" w:fill="DAEEF3" w:themeFill="accent5" w:themeFillTint="33"/>
            <w:noWrap/>
            <w:hideMark/>
          </w:tcPr>
          <w:p w14:paraId="0095A412"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2 800 000.00</w:t>
            </w:r>
          </w:p>
        </w:tc>
      </w:tr>
      <w:tr w:rsidR="003D0B0F" w:rsidRPr="003D0B0F" w14:paraId="37072806" w14:textId="77777777" w:rsidTr="003D0B0F">
        <w:trPr>
          <w:trHeight w:val="281"/>
        </w:trPr>
        <w:tc>
          <w:tcPr>
            <w:tcW w:w="5000" w:type="pct"/>
            <w:gridSpan w:val="10"/>
            <w:noWrap/>
            <w:hideMark/>
          </w:tcPr>
          <w:p w14:paraId="4228EC89" w14:textId="314C100E"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MTHUNZINI </w:t>
            </w:r>
          </w:p>
        </w:tc>
      </w:tr>
      <w:tr w:rsidR="003D0B0F" w:rsidRPr="003D0B0F" w14:paraId="21F75D91" w14:textId="77777777" w:rsidTr="003D0B0F">
        <w:trPr>
          <w:trHeight w:val="499"/>
        </w:trPr>
        <w:tc>
          <w:tcPr>
            <w:tcW w:w="659" w:type="pct"/>
            <w:gridSpan w:val="2"/>
            <w:noWrap/>
            <w:hideMark/>
          </w:tcPr>
          <w:p w14:paraId="2897495F"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Boekenhout</w:t>
            </w:r>
          </w:p>
        </w:tc>
        <w:tc>
          <w:tcPr>
            <w:tcW w:w="493" w:type="pct"/>
            <w:noWrap/>
            <w:hideMark/>
          </w:tcPr>
          <w:p w14:paraId="4EE67729"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seaview</w:t>
            </w:r>
          </w:p>
        </w:tc>
        <w:tc>
          <w:tcPr>
            <w:tcW w:w="747" w:type="pct"/>
            <w:noWrap/>
            <w:hideMark/>
          </w:tcPr>
          <w:p w14:paraId="7A763BD4"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raphia</w:t>
            </w:r>
          </w:p>
        </w:tc>
        <w:tc>
          <w:tcPr>
            <w:tcW w:w="338" w:type="pct"/>
            <w:noWrap/>
            <w:hideMark/>
          </w:tcPr>
          <w:p w14:paraId="24E22F59"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160m</w:t>
            </w:r>
          </w:p>
        </w:tc>
        <w:tc>
          <w:tcPr>
            <w:tcW w:w="477" w:type="pct"/>
            <w:noWrap/>
            <w:hideMark/>
          </w:tcPr>
          <w:p w14:paraId="143F4293"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OPERATING</w:t>
            </w:r>
          </w:p>
        </w:tc>
        <w:tc>
          <w:tcPr>
            <w:tcW w:w="571" w:type="pct"/>
            <w:noWrap/>
            <w:hideMark/>
          </w:tcPr>
          <w:p w14:paraId="59E9C1B1"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1" w:type="pct"/>
            <w:noWrap/>
            <w:hideMark/>
          </w:tcPr>
          <w:p w14:paraId="77B8774B"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1" w:type="pct"/>
            <w:noWrap/>
            <w:hideMark/>
          </w:tcPr>
          <w:p w14:paraId="7AC569D6"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418 920.00</w:t>
            </w:r>
          </w:p>
        </w:tc>
        <w:tc>
          <w:tcPr>
            <w:tcW w:w="572" w:type="pct"/>
            <w:noWrap/>
            <w:hideMark/>
          </w:tcPr>
          <w:p w14:paraId="027A1EAC"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418 920.00</w:t>
            </w:r>
          </w:p>
        </w:tc>
      </w:tr>
      <w:tr w:rsidR="003D0B0F" w:rsidRPr="003D0B0F" w14:paraId="3F4F8C2D" w14:textId="77777777" w:rsidTr="003D0B0F">
        <w:trPr>
          <w:trHeight w:val="499"/>
        </w:trPr>
        <w:tc>
          <w:tcPr>
            <w:tcW w:w="659" w:type="pct"/>
            <w:gridSpan w:val="2"/>
            <w:noWrap/>
            <w:hideMark/>
          </w:tcPr>
          <w:p w14:paraId="29CD362E"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 xml:space="preserve">Siyayi Street </w:t>
            </w:r>
          </w:p>
        </w:tc>
        <w:tc>
          <w:tcPr>
            <w:tcW w:w="493" w:type="pct"/>
            <w:noWrap/>
            <w:hideMark/>
          </w:tcPr>
          <w:p w14:paraId="40A45D86"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Hulley Avenue</w:t>
            </w:r>
          </w:p>
        </w:tc>
        <w:tc>
          <w:tcPr>
            <w:tcW w:w="747" w:type="pct"/>
            <w:noWrap/>
            <w:hideMark/>
          </w:tcPr>
          <w:p w14:paraId="7CA4BD36"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Umlalazi road + 80m</w:t>
            </w:r>
          </w:p>
        </w:tc>
        <w:tc>
          <w:tcPr>
            <w:tcW w:w="338" w:type="pct"/>
            <w:noWrap/>
            <w:hideMark/>
          </w:tcPr>
          <w:p w14:paraId="56FBB129"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260m</w:t>
            </w:r>
          </w:p>
        </w:tc>
        <w:tc>
          <w:tcPr>
            <w:tcW w:w="477" w:type="pct"/>
            <w:noWrap/>
            <w:hideMark/>
          </w:tcPr>
          <w:p w14:paraId="10C84525"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OPERATING</w:t>
            </w:r>
          </w:p>
        </w:tc>
        <w:tc>
          <w:tcPr>
            <w:tcW w:w="571" w:type="pct"/>
            <w:noWrap/>
            <w:hideMark/>
          </w:tcPr>
          <w:p w14:paraId="6E114859"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1" w:type="pct"/>
            <w:noWrap/>
            <w:hideMark/>
          </w:tcPr>
          <w:p w14:paraId="2811691B"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1" w:type="pct"/>
            <w:noWrap/>
            <w:hideMark/>
          </w:tcPr>
          <w:p w14:paraId="3EFA0481"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418 920.00</w:t>
            </w:r>
          </w:p>
        </w:tc>
        <w:tc>
          <w:tcPr>
            <w:tcW w:w="572" w:type="pct"/>
            <w:noWrap/>
            <w:hideMark/>
          </w:tcPr>
          <w:p w14:paraId="188B9E95"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418 920.00</w:t>
            </w:r>
          </w:p>
        </w:tc>
      </w:tr>
      <w:tr w:rsidR="003D0B0F" w:rsidRPr="003D0B0F" w14:paraId="5FF7F645" w14:textId="77777777" w:rsidTr="003D0B0F">
        <w:trPr>
          <w:trHeight w:val="499"/>
        </w:trPr>
        <w:tc>
          <w:tcPr>
            <w:tcW w:w="659" w:type="pct"/>
            <w:gridSpan w:val="2"/>
            <w:noWrap/>
            <w:hideMark/>
          </w:tcPr>
          <w:p w14:paraId="69C17037"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 xml:space="preserve">Hulley Avenue </w:t>
            </w:r>
          </w:p>
        </w:tc>
        <w:tc>
          <w:tcPr>
            <w:tcW w:w="493" w:type="pct"/>
            <w:noWrap/>
            <w:hideMark/>
          </w:tcPr>
          <w:p w14:paraId="3CFACDF7"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 xml:space="preserve">Siyayi </w:t>
            </w:r>
          </w:p>
        </w:tc>
        <w:tc>
          <w:tcPr>
            <w:tcW w:w="747" w:type="pct"/>
            <w:noWrap/>
            <w:hideMark/>
          </w:tcPr>
          <w:p w14:paraId="7CBC4A5A"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Beach entrance</w:t>
            </w:r>
          </w:p>
        </w:tc>
        <w:tc>
          <w:tcPr>
            <w:tcW w:w="338" w:type="pct"/>
            <w:noWrap/>
            <w:hideMark/>
          </w:tcPr>
          <w:p w14:paraId="5E7D65CA"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550m</w:t>
            </w:r>
          </w:p>
        </w:tc>
        <w:tc>
          <w:tcPr>
            <w:tcW w:w="477" w:type="pct"/>
            <w:noWrap/>
            <w:hideMark/>
          </w:tcPr>
          <w:p w14:paraId="0BB6E368"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OPERATING</w:t>
            </w:r>
          </w:p>
        </w:tc>
        <w:tc>
          <w:tcPr>
            <w:tcW w:w="571" w:type="pct"/>
            <w:noWrap/>
            <w:hideMark/>
          </w:tcPr>
          <w:p w14:paraId="023ECB47"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1" w:type="pct"/>
            <w:noWrap/>
            <w:hideMark/>
          </w:tcPr>
          <w:p w14:paraId="3E0902A3"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1" w:type="pct"/>
            <w:noWrap/>
            <w:hideMark/>
          </w:tcPr>
          <w:p w14:paraId="7AB7089F"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808 100.00</w:t>
            </w:r>
          </w:p>
        </w:tc>
        <w:tc>
          <w:tcPr>
            <w:tcW w:w="572" w:type="pct"/>
            <w:noWrap/>
            <w:hideMark/>
          </w:tcPr>
          <w:p w14:paraId="5AD2B1B3"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808 100.00</w:t>
            </w:r>
          </w:p>
        </w:tc>
      </w:tr>
      <w:tr w:rsidR="003D0B0F" w:rsidRPr="003D0B0F" w14:paraId="6043CF89" w14:textId="77777777" w:rsidTr="003D0B0F">
        <w:trPr>
          <w:trHeight w:val="499"/>
        </w:trPr>
        <w:tc>
          <w:tcPr>
            <w:tcW w:w="659" w:type="pct"/>
            <w:gridSpan w:val="2"/>
            <w:noWrap/>
            <w:hideMark/>
          </w:tcPr>
          <w:p w14:paraId="46AF9187"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 xml:space="preserve">Valley </w:t>
            </w:r>
          </w:p>
        </w:tc>
        <w:tc>
          <w:tcPr>
            <w:tcW w:w="493" w:type="pct"/>
            <w:noWrap/>
            <w:hideMark/>
          </w:tcPr>
          <w:p w14:paraId="586EC76D"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Siyayi + 350m</w:t>
            </w:r>
          </w:p>
        </w:tc>
        <w:tc>
          <w:tcPr>
            <w:tcW w:w="747" w:type="pct"/>
            <w:noWrap/>
            <w:hideMark/>
          </w:tcPr>
          <w:p w14:paraId="2CE58334"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 </w:t>
            </w:r>
          </w:p>
        </w:tc>
        <w:tc>
          <w:tcPr>
            <w:tcW w:w="338" w:type="pct"/>
            <w:noWrap/>
            <w:hideMark/>
          </w:tcPr>
          <w:p w14:paraId="7BE73D3A"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350m</w:t>
            </w:r>
          </w:p>
        </w:tc>
        <w:tc>
          <w:tcPr>
            <w:tcW w:w="477" w:type="pct"/>
            <w:noWrap/>
            <w:hideMark/>
          </w:tcPr>
          <w:p w14:paraId="7124C404"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OPERATING</w:t>
            </w:r>
          </w:p>
        </w:tc>
        <w:tc>
          <w:tcPr>
            <w:tcW w:w="571" w:type="pct"/>
            <w:noWrap/>
            <w:hideMark/>
          </w:tcPr>
          <w:p w14:paraId="2A80C7AA"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1" w:type="pct"/>
            <w:noWrap/>
            <w:hideMark/>
          </w:tcPr>
          <w:p w14:paraId="29788220"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1" w:type="pct"/>
            <w:noWrap/>
            <w:hideMark/>
          </w:tcPr>
          <w:p w14:paraId="0F24D667"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2" w:type="pct"/>
            <w:noWrap/>
            <w:hideMark/>
          </w:tcPr>
          <w:p w14:paraId="1341D98E"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0.00</w:t>
            </w:r>
          </w:p>
        </w:tc>
      </w:tr>
      <w:tr w:rsidR="003D0B0F" w:rsidRPr="003D0B0F" w14:paraId="1E0B625C" w14:textId="77777777" w:rsidTr="003D0B0F">
        <w:trPr>
          <w:trHeight w:val="499"/>
        </w:trPr>
        <w:tc>
          <w:tcPr>
            <w:tcW w:w="659" w:type="pct"/>
            <w:gridSpan w:val="2"/>
            <w:noWrap/>
            <w:hideMark/>
          </w:tcPr>
          <w:p w14:paraId="247DA864"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 xml:space="preserve">Hutchinson </w:t>
            </w:r>
          </w:p>
        </w:tc>
        <w:tc>
          <w:tcPr>
            <w:tcW w:w="493" w:type="pct"/>
            <w:noWrap/>
            <w:hideMark/>
          </w:tcPr>
          <w:p w14:paraId="03B1D435"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Station Road</w:t>
            </w:r>
          </w:p>
        </w:tc>
        <w:tc>
          <w:tcPr>
            <w:tcW w:w="747" w:type="pct"/>
            <w:noWrap/>
            <w:hideMark/>
          </w:tcPr>
          <w:p w14:paraId="58269A7E"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MTZ Estate</w:t>
            </w:r>
          </w:p>
        </w:tc>
        <w:tc>
          <w:tcPr>
            <w:tcW w:w="338" w:type="pct"/>
            <w:noWrap/>
            <w:hideMark/>
          </w:tcPr>
          <w:p w14:paraId="5C01B82D"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 </w:t>
            </w:r>
          </w:p>
        </w:tc>
        <w:tc>
          <w:tcPr>
            <w:tcW w:w="477" w:type="pct"/>
            <w:noWrap/>
            <w:hideMark/>
          </w:tcPr>
          <w:p w14:paraId="49037F79"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 </w:t>
            </w:r>
          </w:p>
        </w:tc>
        <w:tc>
          <w:tcPr>
            <w:tcW w:w="571" w:type="pct"/>
            <w:noWrap/>
            <w:hideMark/>
          </w:tcPr>
          <w:p w14:paraId="263E18BB"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2 000 000.00</w:t>
            </w:r>
          </w:p>
        </w:tc>
        <w:tc>
          <w:tcPr>
            <w:tcW w:w="571" w:type="pct"/>
            <w:noWrap/>
            <w:hideMark/>
          </w:tcPr>
          <w:p w14:paraId="37477442"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1" w:type="pct"/>
            <w:noWrap/>
            <w:hideMark/>
          </w:tcPr>
          <w:p w14:paraId="4B43D5E7"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2" w:type="pct"/>
            <w:noWrap/>
            <w:hideMark/>
          </w:tcPr>
          <w:p w14:paraId="0471D52A"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2 000 000.00</w:t>
            </w:r>
          </w:p>
        </w:tc>
      </w:tr>
      <w:tr w:rsidR="003D0B0F" w:rsidRPr="003D0B0F" w14:paraId="564D4839" w14:textId="77777777" w:rsidTr="003D0B0F">
        <w:trPr>
          <w:trHeight w:val="750"/>
        </w:trPr>
        <w:tc>
          <w:tcPr>
            <w:tcW w:w="659" w:type="pct"/>
            <w:gridSpan w:val="2"/>
            <w:noWrap/>
            <w:hideMark/>
          </w:tcPr>
          <w:p w14:paraId="35C91C71"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 xml:space="preserve">Hutchinson </w:t>
            </w:r>
          </w:p>
        </w:tc>
        <w:tc>
          <w:tcPr>
            <w:tcW w:w="493" w:type="pct"/>
            <w:noWrap/>
            <w:hideMark/>
          </w:tcPr>
          <w:p w14:paraId="7F54FDA7"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MTZ Entrance</w:t>
            </w:r>
          </w:p>
        </w:tc>
        <w:tc>
          <w:tcPr>
            <w:tcW w:w="747" w:type="pct"/>
            <w:noWrap/>
            <w:hideMark/>
          </w:tcPr>
          <w:p w14:paraId="7A93F15E"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Station Road</w:t>
            </w:r>
          </w:p>
        </w:tc>
        <w:tc>
          <w:tcPr>
            <w:tcW w:w="338" w:type="pct"/>
            <w:hideMark/>
          </w:tcPr>
          <w:p w14:paraId="189F8D2D"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742m / half (Multi year)</w:t>
            </w:r>
          </w:p>
        </w:tc>
        <w:tc>
          <w:tcPr>
            <w:tcW w:w="477" w:type="pct"/>
            <w:noWrap/>
            <w:hideMark/>
          </w:tcPr>
          <w:p w14:paraId="3BF7ABB9" w14:textId="77777777" w:rsidR="003D0B0F" w:rsidRPr="003D0B0F" w:rsidRDefault="003D0B0F" w:rsidP="003D0B0F">
            <w:pPr>
              <w:rPr>
                <w:rFonts w:eastAsiaTheme="minorHAnsi"/>
                <w:color w:val="000000" w:themeColor="text1"/>
                <w:szCs w:val="20"/>
              </w:rPr>
            </w:pPr>
            <w:r w:rsidRPr="003D0B0F">
              <w:rPr>
                <w:rFonts w:eastAsiaTheme="minorHAnsi"/>
                <w:color w:val="000000" w:themeColor="text1"/>
                <w:szCs w:val="20"/>
              </w:rPr>
              <w:t>CAPITAL</w:t>
            </w:r>
          </w:p>
        </w:tc>
        <w:tc>
          <w:tcPr>
            <w:tcW w:w="571" w:type="pct"/>
            <w:noWrap/>
            <w:hideMark/>
          </w:tcPr>
          <w:p w14:paraId="2783B0C6"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1" w:type="pct"/>
            <w:noWrap/>
            <w:hideMark/>
          </w:tcPr>
          <w:p w14:paraId="02216A3C"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2 404 554.00</w:t>
            </w:r>
          </w:p>
        </w:tc>
        <w:tc>
          <w:tcPr>
            <w:tcW w:w="571" w:type="pct"/>
            <w:noWrap/>
            <w:hideMark/>
          </w:tcPr>
          <w:p w14:paraId="56F52C27"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 </w:t>
            </w:r>
          </w:p>
        </w:tc>
        <w:tc>
          <w:tcPr>
            <w:tcW w:w="572" w:type="pct"/>
            <w:noWrap/>
            <w:hideMark/>
          </w:tcPr>
          <w:p w14:paraId="16ABC265"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2 404 554.00</w:t>
            </w:r>
          </w:p>
        </w:tc>
      </w:tr>
      <w:tr w:rsidR="003D0B0F" w:rsidRPr="003D0B0F" w14:paraId="618E8C46" w14:textId="77777777" w:rsidTr="003D0B0F">
        <w:trPr>
          <w:trHeight w:val="499"/>
        </w:trPr>
        <w:tc>
          <w:tcPr>
            <w:tcW w:w="2714" w:type="pct"/>
            <w:gridSpan w:val="6"/>
            <w:noWrap/>
            <w:hideMark/>
          </w:tcPr>
          <w:p w14:paraId="6DD8A100"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TOTAL</w:t>
            </w:r>
          </w:p>
        </w:tc>
        <w:tc>
          <w:tcPr>
            <w:tcW w:w="571" w:type="pct"/>
            <w:noWrap/>
            <w:hideMark/>
          </w:tcPr>
          <w:p w14:paraId="2AA5653A"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2 000 000.00</w:t>
            </w:r>
          </w:p>
        </w:tc>
        <w:tc>
          <w:tcPr>
            <w:tcW w:w="571" w:type="pct"/>
            <w:noWrap/>
            <w:hideMark/>
          </w:tcPr>
          <w:p w14:paraId="26292F06"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2 404 554.00</w:t>
            </w:r>
          </w:p>
        </w:tc>
        <w:tc>
          <w:tcPr>
            <w:tcW w:w="571" w:type="pct"/>
            <w:noWrap/>
            <w:hideMark/>
          </w:tcPr>
          <w:p w14:paraId="14FDC190"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1 645 940.00</w:t>
            </w:r>
          </w:p>
        </w:tc>
        <w:tc>
          <w:tcPr>
            <w:tcW w:w="572" w:type="pct"/>
            <w:noWrap/>
            <w:hideMark/>
          </w:tcPr>
          <w:p w14:paraId="65F7769F" w14:textId="77777777" w:rsidR="003D0B0F" w:rsidRPr="003D0B0F" w:rsidRDefault="003D0B0F" w:rsidP="003D0B0F">
            <w:pPr>
              <w:jc w:val="right"/>
              <w:rPr>
                <w:rFonts w:eastAsiaTheme="minorHAnsi"/>
                <w:color w:val="000000" w:themeColor="text1"/>
                <w:szCs w:val="20"/>
              </w:rPr>
            </w:pPr>
            <w:r w:rsidRPr="003D0B0F">
              <w:rPr>
                <w:rFonts w:eastAsiaTheme="minorHAnsi"/>
                <w:color w:val="000000" w:themeColor="text1"/>
                <w:szCs w:val="20"/>
              </w:rPr>
              <w:t>R 4 404 554.00</w:t>
            </w:r>
          </w:p>
        </w:tc>
      </w:tr>
    </w:tbl>
    <w:p w14:paraId="51C1A508" w14:textId="77777777" w:rsidR="00E438BB" w:rsidRDefault="00C62EE1" w:rsidP="00C62EE1">
      <w:pPr>
        <w:pStyle w:val="Caption"/>
      </w:pPr>
      <w:bookmarkStart w:id="294" w:name="_Toc510622282"/>
      <w:r>
        <w:t xml:space="preserve">Table </w:t>
      </w:r>
      <w:r w:rsidR="00B918A6">
        <w:fldChar w:fldCharType="begin"/>
      </w:r>
      <w:r w:rsidR="00B918A6">
        <w:instrText xml:space="preserve"> SEQ Table \* ARABIC </w:instrText>
      </w:r>
      <w:r w:rsidR="00B918A6">
        <w:fldChar w:fldCharType="separate"/>
      </w:r>
      <w:r w:rsidR="0067023A">
        <w:rPr>
          <w:noProof/>
        </w:rPr>
        <w:t>32</w:t>
      </w:r>
      <w:r w:rsidR="00B918A6">
        <w:rPr>
          <w:noProof/>
        </w:rPr>
        <w:fldChar w:fldCharType="end"/>
      </w:r>
      <w:r>
        <w:t>: Urban Roads Maintenance Plan</w:t>
      </w:r>
      <w:bookmarkEnd w:id="294"/>
    </w:p>
    <w:p w14:paraId="0CE4FF06" w14:textId="77777777" w:rsidR="00E438BB" w:rsidRDefault="00E438BB" w:rsidP="00750180">
      <w:pPr>
        <w:pStyle w:val="Heading5"/>
        <w:numPr>
          <w:ilvl w:val="4"/>
          <w:numId w:val="29"/>
        </w:numPr>
        <w:spacing w:after="240"/>
      </w:pPr>
      <w:r w:rsidRPr="00176CEC">
        <w:t xml:space="preserve">Rural Roads Maintenance </w:t>
      </w:r>
    </w:p>
    <w:p w14:paraId="481837DC" w14:textId="77777777" w:rsidR="00621E76" w:rsidRDefault="00621E76" w:rsidP="00621E76">
      <w:r>
        <w:t>As part of rural road maintenance the municipality implements a grader program in rural areas.</w:t>
      </w:r>
      <w:r w:rsidR="00891D2A">
        <w:t xml:space="preserve"> This program entails graders having a grader </w:t>
      </w:r>
      <w:r w:rsidR="00A17436">
        <w:t xml:space="preserve">to </w:t>
      </w:r>
      <w:r w:rsidR="00891D2A">
        <w:t>maintain key rural</w:t>
      </w:r>
      <w:r w:rsidR="00A17436">
        <w:t xml:space="preserve"> feeder</w:t>
      </w:r>
      <w:r w:rsidR="00891D2A">
        <w:t xml:space="preserve"> roads</w:t>
      </w:r>
      <w:r w:rsidR="00A17436">
        <w:t xml:space="preserve"> as well as access roads</w:t>
      </w:r>
      <w:r w:rsidR="00891D2A">
        <w:t xml:space="preserve"> in each ward for a period of five days. The municipality has also procured a TLB truck for problematic roads with boulders. </w:t>
      </w:r>
    </w:p>
    <w:p w14:paraId="149027D8" w14:textId="77777777" w:rsidR="006D6329" w:rsidRDefault="006D6329" w:rsidP="00621E76">
      <w:r>
        <w:t>The Department of Transport implements a rural roads blading program as well as betterment and regravelling. The following table indicates the projects that are currently underway and their progress. Planned projects will be further unpacked in the Financial Plan Section of the document.</w:t>
      </w:r>
    </w:p>
    <w:tbl>
      <w:tblPr>
        <w:tblStyle w:val="TableGrid13"/>
        <w:tblW w:w="4988" w:type="pct"/>
        <w:tblInd w:w="137" w:type="dxa"/>
        <w:tblLook w:val="0420" w:firstRow="1" w:lastRow="0" w:firstColumn="0" w:lastColumn="0" w:noHBand="0" w:noVBand="1"/>
      </w:tblPr>
      <w:tblGrid>
        <w:gridCol w:w="1193"/>
        <w:gridCol w:w="1460"/>
        <w:gridCol w:w="1427"/>
        <w:gridCol w:w="1193"/>
        <w:gridCol w:w="1249"/>
        <w:gridCol w:w="1616"/>
        <w:gridCol w:w="1468"/>
      </w:tblGrid>
      <w:tr w:rsidR="008B335E" w:rsidRPr="008B335E" w14:paraId="531D773E" w14:textId="77777777" w:rsidTr="003D0B0F">
        <w:trPr>
          <w:trHeight w:val="278"/>
          <w:tblHeader/>
        </w:trPr>
        <w:tc>
          <w:tcPr>
            <w:tcW w:w="621" w:type="pct"/>
            <w:shd w:val="clear" w:color="auto" w:fill="DAEEF3" w:themeFill="accent5" w:themeFillTint="33"/>
            <w:hideMark/>
          </w:tcPr>
          <w:p w14:paraId="74A29E86" w14:textId="77777777" w:rsidR="008B335E" w:rsidRPr="008B335E" w:rsidRDefault="008B335E" w:rsidP="008B335E">
            <w:pPr>
              <w:jc w:val="center"/>
              <w:rPr>
                <w:rFonts w:eastAsiaTheme="minorHAnsi"/>
                <w:b/>
                <w:sz w:val="16"/>
                <w:szCs w:val="16"/>
              </w:rPr>
            </w:pPr>
            <w:bookmarkStart w:id="295" w:name="_Toc389739883"/>
            <w:r w:rsidRPr="008B335E">
              <w:rPr>
                <w:rFonts w:eastAsiaTheme="minorHAnsi"/>
                <w:b/>
                <w:sz w:val="16"/>
                <w:szCs w:val="16"/>
              </w:rPr>
              <w:t>Activity</w:t>
            </w:r>
          </w:p>
        </w:tc>
        <w:tc>
          <w:tcPr>
            <w:tcW w:w="760" w:type="pct"/>
            <w:shd w:val="clear" w:color="auto" w:fill="DAEEF3" w:themeFill="accent5" w:themeFillTint="33"/>
            <w:hideMark/>
          </w:tcPr>
          <w:p w14:paraId="1DA87F4E" w14:textId="77777777" w:rsidR="008B335E" w:rsidRPr="008B335E" w:rsidRDefault="008B335E" w:rsidP="008B335E">
            <w:pPr>
              <w:spacing w:before="67"/>
              <w:jc w:val="center"/>
              <w:textAlignment w:val="baseline"/>
              <w:rPr>
                <w:rFonts w:eastAsiaTheme="minorHAnsi"/>
                <w:b/>
                <w:sz w:val="16"/>
                <w:szCs w:val="16"/>
              </w:rPr>
            </w:pPr>
            <w:r w:rsidRPr="008B335E">
              <w:rPr>
                <w:rFonts w:eastAsiaTheme="minorHAnsi"/>
                <w:b/>
                <w:sz w:val="16"/>
                <w:szCs w:val="16"/>
              </w:rPr>
              <w:t xml:space="preserve">Location </w:t>
            </w:r>
          </w:p>
        </w:tc>
        <w:tc>
          <w:tcPr>
            <w:tcW w:w="743" w:type="pct"/>
            <w:shd w:val="clear" w:color="auto" w:fill="DAEEF3" w:themeFill="accent5" w:themeFillTint="33"/>
            <w:hideMark/>
          </w:tcPr>
          <w:p w14:paraId="64289A4B" w14:textId="77777777" w:rsidR="008B335E" w:rsidRPr="008B335E" w:rsidRDefault="008B335E" w:rsidP="008B335E">
            <w:pPr>
              <w:spacing w:before="67"/>
              <w:jc w:val="center"/>
              <w:textAlignment w:val="baseline"/>
              <w:rPr>
                <w:rFonts w:eastAsiaTheme="minorHAnsi"/>
                <w:b/>
                <w:sz w:val="16"/>
                <w:szCs w:val="16"/>
              </w:rPr>
            </w:pPr>
            <w:r w:rsidRPr="008B335E">
              <w:rPr>
                <w:rFonts w:eastAsiaTheme="minorHAnsi"/>
                <w:b/>
                <w:sz w:val="16"/>
                <w:szCs w:val="16"/>
              </w:rPr>
              <w:t xml:space="preserve">Ward No </w:t>
            </w:r>
          </w:p>
        </w:tc>
        <w:tc>
          <w:tcPr>
            <w:tcW w:w="621" w:type="pct"/>
            <w:shd w:val="clear" w:color="auto" w:fill="DAEEF3" w:themeFill="accent5" w:themeFillTint="33"/>
            <w:hideMark/>
          </w:tcPr>
          <w:p w14:paraId="04B4099D" w14:textId="77777777" w:rsidR="008B335E" w:rsidRPr="008B335E" w:rsidRDefault="008B335E" w:rsidP="008B335E">
            <w:pPr>
              <w:spacing w:before="67"/>
              <w:jc w:val="center"/>
              <w:textAlignment w:val="baseline"/>
              <w:rPr>
                <w:rFonts w:eastAsiaTheme="minorHAnsi"/>
                <w:b/>
                <w:sz w:val="16"/>
                <w:szCs w:val="16"/>
              </w:rPr>
            </w:pPr>
            <w:r w:rsidRPr="008B335E">
              <w:rPr>
                <w:rFonts w:eastAsiaTheme="minorHAnsi"/>
                <w:b/>
                <w:sz w:val="16"/>
                <w:szCs w:val="16"/>
              </w:rPr>
              <w:t>Road number</w:t>
            </w:r>
          </w:p>
        </w:tc>
        <w:tc>
          <w:tcPr>
            <w:tcW w:w="650" w:type="pct"/>
            <w:shd w:val="clear" w:color="auto" w:fill="DAEEF3" w:themeFill="accent5" w:themeFillTint="33"/>
            <w:hideMark/>
          </w:tcPr>
          <w:p w14:paraId="09E181C3" w14:textId="77777777" w:rsidR="008B335E" w:rsidRPr="008B335E" w:rsidRDefault="008B335E" w:rsidP="008B335E">
            <w:pPr>
              <w:spacing w:before="67"/>
              <w:jc w:val="center"/>
              <w:textAlignment w:val="baseline"/>
              <w:rPr>
                <w:rFonts w:eastAsiaTheme="minorHAnsi"/>
                <w:b/>
                <w:sz w:val="16"/>
                <w:szCs w:val="16"/>
              </w:rPr>
            </w:pPr>
            <w:r w:rsidRPr="008B335E">
              <w:rPr>
                <w:rFonts w:eastAsiaTheme="minorHAnsi"/>
                <w:b/>
                <w:sz w:val="16"/>
                <w:szCs w:val="16"/>
              </w:rPr>
              <w:t>Output (km/m²/no)</w:t>
            </w:r>
          </w:p>
        </w:tc>
        <w:tc>
          <w:tcPr>
            <w:tcW w:w="841" w:type="pct"/>
            <w:shd w:val="clear" w:color="auto" w:fill="DAEEF3" w:themeFill="accent5" w:themeFillTint="33"/>
            <w:hideMark/>
          </w:tcPr>
          <w:p w14:paraId="2B3BD262" w14:textId="77777777" w:rsidR="008B335E" w:rsidRPr="008B335E" w:rsidRDefault="008B335E" w:rsidP="008B335E">
            <w:pPr>
              <w:spacing w:before="67"/>
              <w:jc w:val="center"/>
              <w:textAlignment w:val="baseline"/>
              <w:rPr>
                <w:rFonts w:eastAsiaTheme="minorHAnsi"/>
                <w:b/>
                <w:sz w:val="16"/>
                <w:szCs w:val="16"/>
              </w:rPr>
            </w:pPr>
            <w:r w:rsidRPr="008B335E">
              <w:rPr>
                <w:rFonts w:eastAsiaTheme="minorHAnsi"/>
                <w:b/>
                <w:sz w:val="16"/>
                <w:szCs w:val="16"/>
              </w:rPr>
              <w:t>Project Status</w:t>
            </w:r>
          </w:p>
        </w:tc>
        <w:tc>
          <w:tcPr>
            <w:tcW w:w="764" w:type="pct"/>
            <w:shd w:val="clear" w:color="auto" w:fill="DAEEF3" w:themeFill="accent5" w:themeFillTint="33"/>
            <w:hideMark/>
          </w:tcPr>
          <w:p w14:paraId="3102CA73" w14:textId="77777777" w:rsidR="008B335E" w:rsidRPr="008B335E" w:rsidRDefault="008B335E" w:rsidP="008B335E">
            <w:pPr>
              <w:spacing w:before="67"/>
              <w:jc w:val="center"/>
              <w:textAlignment w:val="baseline"/>
              <w:rPr>
                <w:rFonts w:eastAsiaTheme="minorHAnsi"/>
                <w:b/>
                <w:sz w:val="16"/>
                <w:szCs w:val="16"/>
              </w:rPr>
            </w:pPr>
            <w:r w:rsidRPr="008B335E">
              <w:rPr>
                <w:rFonts w:eastAsiaTheme="minorHAnsi"/>
                <w:b/>
                <w:sz w:val="16"/>
                <w:szCs w:val="16"/>
              </w:rPr>
              <w:t>Comments</w:t>
            </w:r>
          </w:p>
        </w:tc>
      </w:tr>
      <w:tr w:rsidR="008B335E" w:rsidRPr="008B335E" w14:paraId="4E9DD1CD" w14:textId="77777777" w:rsidTr="003D0B0F">
        <w:trPr>
          <w:trHeight w:val="355"/>
        </w:trPr>
        <w:tc>
          <w:tcPr>
            <w:tcW w:w="621" w:type="pct"/>
            <w:hideMark/>
          </w:tcPr>
          <w:p w14:paraId="2C745AB8" w14:textId="77777777" w:rsidR="008B335E" w:rsidRPr="008B335E" w:rsidRDefault="008B335E" w:rsidP="008B335E">
            <w:pPr>
              <w:textAlignment w:val="top"/>
              <w:rPr>
                <w:rFonts w:eastAsiaTheme="minorHAnsi"/>
                <w:sz w:val="16"/>
                <w:szCs w:val="16"/>
              </w:rPr>
            </w:pPr>
            <w:r w:rsidRPr="008B335E">
              <w:rPr>
                <w:rFonts w:eastAsiaTheme="minorHAnsi"/>
                <w:sz w:val="16"/>
                <w:szCs w:val="16"/>
              </w:rPr>
              <w:t xml:space="preserve">Blacktop Patching </w:t>
            </w:r>
          </w:p>
        </w:tc>
        <w:tc>
          <w:tcPr>
            <w:tcW w:w="760" w:type="pct"/>
            <w:hideMark/>
          </w:tcPr>
          <w:p w14:paraId="06C90C7B" w14:textId="77777777" w:rsidR="008B335E" w:rsidRPr="008B335E" w:rsidRDefault="008B335E" w:rsidP="008B335E">
            <w:pPr>
              <w:rPr>
                <w:rFonts w:eastAsiaTheme="minorHAnsi"/>
                <w:sz w:val="16"/>
                <w:szCs w:val="16"/>
              </w:rPr>
            </w:pPr>
          </w:p>
        </w:tc>
        <w:tc>
          <w:tcPr>
            <w:tcW w:w="743" w:type="pct"/>
            <w:hideMark/>
          </w:tcPr>
          <w:p w14:paraId="69F070AC"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8, 17, 19, 27</w:t>
            </w:r>
          </w:p>
        </w:tc>
        <w:tc>
          <w:tcPr>
            <w:tcW w:w="621" w:type="pct"/>
            <w:hideMark/>
          </w:tcPr>
          <w:p w14:paraId="481F53D8"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P50/1, P326, P393,P2/4, P47,P266,P240</w:t>
            </w:r>
          </w:p>
        </w:tc>
        <w:tc>
          <w:tcPr>
            <w:tcW w:w="650" w:type="pct"/>
            <w:hideMark/>
          </w:tcPr>
          <w:p w14:paraId="74E06BBE" w14:textId="77777777" w:rsidR="008B335E" w:rsidRPr="008B335E" w:rsidRDefault="008B335E" w:rsidP="008B335E">
            <w:pPr>
              <w:rPr>
                <w:rFonts w:eastAsiaTheme="minorHAnsi"/>
                <w:sz w:val="16"/>
                <w:szCs w:val="16"/>
              </w:rPr>
            </w:pPr>
          </w:p>
        </w:tc>
        <w:tc>
          <w:tcPr>
            <w:tcW w:w="841" w:type="pct"/>
            <w:hideMark/>
          </w:tcPr>
          <w:p w14:paraId="609255E7"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90-99% Complete</w:t>
            </w:r>
          </w:p>
        </w:tc>
        <w:tc>
          <w:tcPr>
            <w:tcW w:w="764" w:type="pct"/>
            <w:hideMark/>
          </w:tcPr>
          <w:p w14:paraId="68F65EC0"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On progress</w:t>
            </w:r>
          </w:p>
        </w:tc>
      </w:tr>
      <w:tr w:rsidR="008B335E" w:rsidRPr="008B335E" w14:paraId="7BA0C16F" w14:textId="77777777" w:rsidTr="003D0B0F">
        <w:trPr>
          <w:trHeight w:val="355"/>
        </w:trPr>
        <w:tc>
          <w:tcPr>
            <w:tcW w:w="621" w:type="pct"/>
            <w:hideMark/>
          </w:tcPr>
          <w:p w14:paraId="17868E73" w14:textId="77777777" w:rsidR="008B335E" w:rsidRPr="008B335E" w:rsidRDefault="008B335E" w:rsidP="008B335E">
            <w:pPr>
              <w:textAlignment w:val="top"/>
              <w:rPr>
                <w:rFonts w:eastAsiaTheme="minorHAnsi"/>
                <w:sz w:val="16"/>
                <w:szCs w:val="16"/>
              </w:rPr>
            </w:pPr>
            <w:r w:rsidRPr="008B335E">
              <w:rPr>
                <w:rFonts w:eastAsiaTheme="minorHAnsi"/>
                <w:sz w:val="16"/>
                <w:szCs w:val="16"/>
              </w:rPr>
              <w:t>New Gravel Road</w:t>
            </w:r>
          </w:p>
        </w:tc>
        <w:tc>
          <w:tcPr>
            <w:tcW w:w="760" w:type="pct"/>
            <w:hideMark/>
          </w:tcPr>
          <w:p w14:paraId="2013979D" w14:textId="77777777" w:rsidR="008B335E" w:rsidRPr="008B335E" w:rsidRDefault="008B335E" w:rsidP="008B335E">
            <w:pPr>
              <w:textAlignment w:val="top"/>
              <w:rPr>
                <w:rFonts w:eastAsiaTheme="minorHAnsi"/>
                <w:sz w:val="16"/>
                <w:szCs w:val="16"/>
              </w:rPr>
            </w:pPr>
            <w:r w:rsidRPr="008B335E">
              <w:rPr>
                <w:rFonts w:eastAsiaTheme="minorHAnsi"/>
                <w:sz w:val="16"/>
                <w:szCs w:val="16"/>
              </w:rPr>
              <w:t>Sgodo</w:t>
            </w:r>
          </w:p>
        </w:tc>
        <w:tc>
          <w:tcPr>
            <w:tcW w:w="743" w:type="pct"/>
            <w:hideMark/>
          </w:tcPr>
          <w:p w14:paraId="2AAC209A"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Ward 21</w:t>
            </w:r>
          </w:p>
        </w:tc>
        <w:tc>
          <w:tcPr>
            <w:tcW w:w="621" w:type="pct"/>
            <w:hideMark/>
          </w:tcPr>
          <w:p w14:paraId="286B8120"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L627</w:t>
            </w:r>
          </w:p>
        </w:tc>
        <w:tc>
          <w:tcPr>
            <w:tcW w:w="650" w:type="pct"/>
            <w:hideMark/>
          </w:tcPr>
          <w:p w14:paraId="3F455F8C"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2,8</w:t>
            </w:r>
          </w:p>
        </w:tc>
        <w:tc>
          <w:tcPr>
            <w:tcW w:w="841" w:type="pct"/>
            <w:hideMark/>
          </w:tcPr>
          <w:p w14:paraId="636F5D2B"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41-80% Complete</w:t>
            </w:r>
          </w:p>
        </w:tc>
        <w:tc>
          <w:tcPr>
            <w:tcW w:w="764" w:type="pct"/>
            <w:hideMark/>
          </w:tcPr>
          <w:p w14:paraId="42561642"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Busy with headwalls</w:t>
            </w:r>
          </w:p>
        </w:tc>
      </w:tr>
      <w:tr w:rsidR="008B335E" w:rsidRPr="008B335E" w14:paraId="3F4DB64E" w14:textId="77777777" w:rsidTr="003D0B0F">
        <w:trPr>
          <w:trHeight w:val="355"/>
        </w:trPr>
        <w:tc>
          <w:tcPr>
            <w:tcW w:w="621" w:type="pct"/>
            <w:hideMark/>
          </w:tcPr>
          <w:p w14:paraId="6129A8E6" w14:textId="77777777" w:rsidR="008B335E" w:rsidRPr="008B335E" w:rsidRDefault="008B335E" w:rsidP="008B335E">
            <w:pPr>
              <w:textAlignment w:val="top"/>
              <w:rPr>
                <w:rFonts w:eastAsiaTheme="minorHAnsi"/>
                <w:sz w:val="16"/>
                <w:szCs w:val="16"/>
              </w:rPr>
            </w:pPr>
            <w:r w:rsidRPr="008B335E">
              <w:rPr>
                <w:rFonts w:eastAsiaTheme="minorHAnsi"/>
                <w:sz w:val="16"/>
                <w:szCs w:val="16"/>
              </w:rPr>
              <w:t>Blading</w:t>
            </w:r>
          </w:p>
        </w:tc>
        <w:tc>
          <w:tcPr>
            <w:tcW w:w="760" w:type="pct"/>
            <w:hideMark/>
          </w:tcPr>
          <w:p w14:paraId="164156D9" w14:textId="77777777" w:rsidR="008B335E" w:rsidRPr="008B335E" w:rsidRDefault="008B335E" w:rsidP="008B335E">
            <w:pPr>
              <w:textAlignment w:val="top"/>
              <w:rPr>
                <w:rFonts w:eastAsiaTheme="minorHAnsi"/>
                <w:sz w:val="16"/>
                <w:szCs w:val="16"/>
              </w:rPr>
            </w:pPr>
            <w:r w:rsidRPr="008B335E">
              <w:rPr>
                <w:rFonts w:eastAsiaTheme="minorHAnsi"/>
                <w:sz w:val="16"/>
                <w:szCs w:val="16"/>
              </w:rPr>
              <w:t>Various Roads</w:t>
            </w:r>
          </w:p>
        </w:tc>
        <w:tc>
          <w:tcPr>
            <w:tcW w:w="743" w:type="pct"/>
            <w:hideMark/>
          </w:tcPr>
          <w:p w14:paraId="63AD8DC2"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1,2,3,4,5,6,8,6,7,9,</w:t>
            </w:r>
          </w:p>
          <w:p w14:paraId="14243DE5"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10,13,14,</w:t>
            </w:r>
          </w:p>
        </w:tc>
        <w:tc>
          <w:tcPr>
            <w:tcW w:w="621" w:type="pct"/>
            <w:hideMark/>
          </w:tcPr>
          <w:p w14:paraId="4D673BAE"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Various</w:t>
            </w:r>
          </w:p>
        </w:tc>
        <w:tc>
          <w:tcPr>
            <w:tcW w:w="650" w:type="pct"/>
            <w:hideMark/>
          </w:tcPr>
          <w:p w14:paraId="0C69529D" w14:textId="77777777" w:rsidR="008B335E" w:rsidRPr="008B335E" w:rsidRDefault="008B335E" w:rsidP="008B335E">
            <w:pPr>
              <w:rPr>
                <w:rFonts w:eastAsiaTheme="minorHAnsi"/>
                <w:sz w:val="16"/>
                <w:szCs w:val="16"/>
              </w:rPr>
            </w:pPr>
          </w:p>
        </w:tc>
        <w:tc>
          <w:tcPr>
            <w:tcW w:w="841" w:type="pct"/>
            <w:hideMark/>
          </w:tcPr>
          <w:p w14:paraId="3F9300B1"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80-90% Complete</w:t>
            </w:r>
          </w:p>
        </w:tc>
        <w:tc>
          <w:tcPr>
            <w:tcW w:w="764" w:type="pct"/>
            <w:hideMark/>
          </w:tcPr>
          <w:p w14:paraId="058E4DDC"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On progress</w:t>
            </w:r>
          </w:p>
        </w:tc>
      </w:tr>
      <w:tr w:rsidR="008B335E" w:rsidRPr="008B335E" w14:paraId="076699A0" w14:textId="77777777" w:rsidTr="003D0B0F">
        <w:trPr>
          <w:trHeight w:val="355"/>
        </w:trPr>
        <w:tc>
          <w:tcPr>
            <w:tcW w:w="621" w:type="pct"/>
            <w:hideMark/>
          </w:tcPr>
          <w:p w14:paraId="2357AFD2" w14:textId="77777777" w:rsidR="008B335E" w:rsidRPr="008B335E" w:rsidRDefault="008B335E" w:rsidP="008B335E">
            <w:pPr>
              <w:textAlignment w:val="top"/>
              <w:rPr>
                <w:rFonts w:eastAsiaTheme="minorHAnsi"/>
                <w:sz w:val="16"/>
                <w:szCs w:val="16"/>
              </w:rPr>
            </w:pPr>
            <w:r w:rsidRPr="008B335E">
              <w:rPr>
                <w:rFonts w:eastAsiaTheme="minorHAnsi"/>
                <w:sz w:val="16"/>
                <w:szCs w:val="16"/>
              </w:rPr>
              <w:t>Betterment &amp; Regravelling</w:t>
            </w:r>
          </w:p>
        </w:tc>
        <w:tc>
          <w:tcPr>
            <w:tcW w:w="760" w:type="pct"/>
            <w:hideMark/>
          </w:tcPr>
          <w:p w14:paraId="7600CAD3" w14:textId="77777777" w:rsidR="008B335E" w:rsidRPr="008B335E" w:rsidRDefault="008B335E" w:rsidP="008B335E">
            <w:pPr>
              <w:textAlignment w:val="top"/>
              <w:rPr>
                <w:rFonts w:eastAsiaTheme="minorHAnsi"/>
                <w:sz w:val="16"/>
                <w:szCs w:val="16"/>
              </w:rPr>
            </w:pPr>
            <w:r w:rsidRPr="008B335E">
              <w:rPr>
                <w:rFonts w:eastAsiaTheme="minorHAnsi"/>
                <w:sz w:val="16"/>
                <w:szCs w:val="16"/>
              </w:rPr>
              <w:t>Mbongolwane- Madidima</w:t>
            </w:r>
          </w:p>
        </w:tc>
        <w:tc>
          <w:tcPr>
            <w:tcW w:w="743" w:type="pct"/>
            <w:hideMark/>
          </w:tcPr>
          <w:p w14:paraId="1772020E"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Ward 4</w:t>
            </w:r>
          </w:p>
        </w:tc>
        <w:tc>
          <w:tcPr>
            <w:tcW w:w="621" w:type="pct"/>
            <w:hideMark/>
          </w:tcPr>
          <w:p w14:paraId="0BC5A13D"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 xml:space="preserve">P218 </w:t>
            </w:r>
          </w:p>
        </w:tc>
        <w:tc>
          <w:tcPr>
            <w:tcW w:w="650" w:type="pct"/>
            <w:hideMark/>
          </w:tcPr>
          <w:p w14:paraId="37C765F2"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3,3</w:t>
            </w:r>
          </w:p>
        </w:tc>
        <w:tc>
          <w:tcPr>
            <w:tcW w:w="841" w:type="pct"/>
            <w:hideMark/>
          </w:tcPr>
          <w:p w14:paraId="779EC502"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0-10% Complete</w:t>
            </w:r>
          </w:p>
        </w:tc>
        <w:tc>
          <w:tcPr>
            <w:tcW w:w="764" w:type="pct"/>
            <w:hideMark/>
          </w:tcPr>
          <w:p w14:paraId="20F8E49A" w14:textId="77777777" w:rsidR="008B335E" w:rsidRPr="008B335E" w:rsidRDefault="008B335E" w:rsidP="008B335E">
            <w:pPr>
              <w:rPr>
                <w:rFonts w:eastAsiaTheme="minorHAnsi"/>
                <w:sz w:val="16"/>
                <w:szCs w:val="16"/>
              </w:rPr>
            </w:pPr>
          </w:p>
        </w:tc>
      </w:tr>
      <w:tr w:rsidR="008B335E" w:rsidRPr="008B335E" w14:paraId="2C2A045F" w14:textId="77777777" w:rsidTr="003D0B0F">
        <w:trPr>
          <w:trHeight w:val="355"/>
        </w:trPr>
        <w:tc>
          <w:tcPr>
            <w:tcW w:w="621" w:type="pct"/>
            <w:hideMark/>
          </w:tcPr>
          <w:p w14:paraId="06205304" w14:textId="77777777" w:rsidR="008B335E" w:rsidRPr="008B335E" w:rsidRDefault="008B335E" w:rsidP="008B335E">
            <w:pPr>
              <w:textAlignment w:val="top"/>
              <w:rPr>
                <w:rFonts w:eastAsiaTheme="minorHAnsi"/>
                <w:sz w:val="16"/>
                <w:szCs w:val="16"/>
              </w:rPr>
            </w:pPr>
            <w:r w:rsidRPr="008B335E">
              <w:rPr>
                <w:rFonts w:eastAsiaTheme="minorHAnsi"/>
                <w:sz w:val="16"/>
                <w:szCs w:val="16"/>
              </w:rPr>
              <w:t>Patch Gravelling &amp; Gabions protection</w:t>
            </w:r>
          </w:p>
        </w:tc>
        <w:tc>
          <w:tcPr>
            <w:tcW w:w="760" w:type="pct"/>
            <w:hideMark/>
          </w:tcPr>
          <w:p w14:paraId="211D634C" w14:textId="77777777" w:rsidR="008B335E" w:rsidRPr="008B335E" w:rsidRDefault="008B335E" w:rsidP="008B335E">
            <w:pPr>
              <w:textAlignment w:val="top"/>
              <w:rPr>
                <w:rFonts w:eastAsiaTheme="minorHAnsi"/>
                <w:sz w:val="16"/>
                <w:szCs w:val="16"/>
              </w:rPr>
            </w:pPr>
            <w:r w:rsidRPr="008B335E">
              <w:rPr>
                <w:rFonts w:eastAsiaTheme="minorHAnsi"/>
                <w:sz w:val="16"/>
                <w:szCs w:val="16"/>
              </w:rPr>
              <w:t xml:space="preserve">Mbongolwane </w:t>
            </w:r>
          </w:p>
          <w:p w14:paraId="7F771FD7" w14:textId="77777777" w:rsidR="008B335E" w:rsidRPr="008B335E" w:rsidRDefault="008B335E" w:rsidP="008B335E">
            <w:pPr>
              <w:textAlignment w:val="top"/>
              <w:rPr>
                <w:rFonts w:eastAsiaTheme="minorHAnsi"/>
                <w:sz w:val="16"/>
                <w:szCs w:val="16"/>
              </w:rPr>
            </w:pPr>
            <w:r w:rsidRPr="008B335E">
              <w:rPr>
                <w:rFonts w:eastAsiaTheme="minorHAnsi"/>
                <w:sz w:val="16"/>
                <w:szCs w:val="16"/>
              </w:rPr>
              <w:t>(kopokopo)</w:t>
            </w:r>
          </w:p>
        </w:tc>
        <w:tc>
          <w:tcPr>
            <w:tcW w:w="743" w:type="pct"/>
            <w:hideMark/>
          </w:tcPr>
          <w:p w14:paraId="180D7504"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Ward 2,3</w:t>
            </w:r>
          </w:p>
        </w:tc>
        <w:tc>
          <w:tcPr>
            <w:tcW w:w="621" w:type="pct"/>
            <w:hideMark/>
          </w:tcPr>
          <w:p w14:paraId="574EE24F"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L594</w:t>
            </w:r>
          </w:p>
        </w:tc>
        <w:tc>
          <w:tcPr>
            <w:tcW w:w="650" w:type="pct"/>
            <w:hideMark/>
          </w:tcPr>
          <w:p w14:paraId="084CD1F6"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2</w:t>
            </w:r>
          </w:p>
        </w:tc>
        <w:tc>
          <w:tcPr>
            <w:tcW w:w="841" w:type="pct"/>
            <w:hideMark/>
          </w:tcPr>
          <w:p w14:paraId="061F7501"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95% Complete</w:t>
            </w:r>
          </w:p>
        </w:tc>
        <w:tc>
          <w:tcPr>
            <w:tcW w:w="764" w:type="pct"/>
            <w:hideMark/>
          </w:tcPr>
          <w:p w14:paraId="7FD86866"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Done by internal team</w:t>
            </w:r>
          </w:p>
        </w:tc>
      </w:tr>
      <w:tr w:rsidR="008B335E" w:rsidRPr="008B335E" w14:paraId="1DA696A2" w14:textId="77777777" w:rsidTr="003D0B0F">
        <w:trPr>
          <w:trHeight w:val="355"/>
        </w:trPr>
        <w:tc>
          <w:tcPr>
            <w:tcW w:w="621" w:type="pct"/>
            <w:hideMark/>
          </w:tcPr>
          <w:p w14:paraId="62F678F7" w14:textId="77777777" w:rsidR="008B335E" w:rsidRPr="008B335E" w:rsidRDefault="008B335E" w:rsidP="008B335E">
            <w:pPr>
              <w:textAlignment w:val="top"/>
              <w:rPr>
                <w:rFonts w:eastAsiaTheme="minorHAnsi"/>
                <w:sz w:val="16"/>
                <w:szCs w:val="16"/>
              </w:rPr>
            </w:pPr>
            <w:r w:rsidRPr="008B335E">
              <w:rPr>
                <w:rFonts w:eastAsiaTheme="minorHAnsi"/>
                <w:sz w:val="16"/>
                <w:szCs w:val="16"/>
              </w:rPr>
              <w:t xml:space="preserve">Patch Gravelling </w:t>
            </w:r>
          </w:p>
        </w:tc>
        <w:tc>
          <w:tcPr>
            <w:tcW w:w="760" w:type="pct"/>
            <w:hideMark/>
          </w:tcPr>
          <w:p w14:paraId="248B8E5F" w14:textId="77777777" w:rsidR="008B335E" w:rsidRPr="008B335E" w:rsidRDefault="008B335E" w:rsidP="008B335E">
            <w:pPr>
              <w:textAlignment w:val="top"/>
              <w:rPr>
                <w:rFonts w:eastAsiaTheme="minorHAnsi"/>
                <w:sz w:val="16"/>
                <w:szCs w:val="16"/>
              </w:rPr>
            </w:pPr>
            <w:r w:rsidRPr="008B335E">
              <w:rPr>
                <w:rFonts w:eastAsiaTheme="minorHAnsi"/>
                <w:sz w:val="16"/>
                <w:szCs w:val="16"/>
              </w:rPr>
              <w:t>Ntumeni</w:t>
            </w:r>
          </w:p>
        </w:tc>
        <w:tc>
          <w:tcPr>
            <w:tcW w:w="743" w:type="pct"/>
            <w:hideMark/>
          </w:tcPr>
          <w:p w14:paraId="18E1A8E8"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Ward 8</w:t>
            </w:r>
          </w:p>
        </w:tc>
        <w:tc>
          <w:tcPr>
            <w:tcW w:w="621" w:type="pct"/>
            <w:hideMark/>
          </w:tcPr>
          <w:p w14:paraId="24199051"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L1371</w:t>
            </w:r>
          </w:p>
        </w:tc>
        <w:tc>
          <w:tcPr>
            <w:tcW w:w="650" w:type="pct"/>
            <w:hideMark/>
          </w:tcPr>
          <w:p w14:paraId="03C24A92"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0.5</w:t>
            </w:r>
          </w:p>
        </w:tc>
        <w:tc>
          <w:tcPr>
            <w:tcW w:w="841" w:type="pct"/>
            <w:hideMark/>
          </w:tcPr>
          <w:p w14:paraId="4FB38008"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90-100% Complete</w:t>
            </w:r>
          </w:p>
        </w:tc>
        <w:tc>
          <w:tcPr>
            <w:tcW w:w="764" w:type="pct"/>
            <w:hideMark/>
          </w:tcPr>
          <w:p w14:paraId="34438734"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Done by internal team</w:t>
            </w:r>
          </w:p>
        </w:tc>
      </w:tr>
      <w:tr w:rsidR="008B335E" w:rsidRPr="008B335E" w14:paraId="308197B9" w14:textId="77777777" w:rsidTr="003D0B0F">
        <w:trPr>
          <w:trHeight w:val="355"/>
        </w:trPr>
        <w:tc>
          <w:tcPr>
            <w:tcW w:w="621" w:type="pct"/>
            <w:hideMark/>
          </w:tcPr>
          <w:p w14:paraId="1AED75EF" w14:textId="77777777" w:rsidR="008B335E" w:rsidRPr="008B335E" w:rsidRDefault="008B335E" w:rsidP="008B335E">
            <w:pPr>
              <w:textAlignment w:val="top"/>
              <w:rPr>
                <w:rFonts w:eastAsiaTheme="minorHAnsi"/>
                <w:sz w:val="16"/>
                <w:szCs w:val="16"/>
              </w:rPr>
            </w:pPr>
            <w:r w:rsidRPr="008B335E">
              <w:rPr>
                <w:rFonts w:eastAsiaTheme="minorHAnsi"/>
                <w:sz w:val="16"/>
                <w:szCs w:val="16"/>
              </w:rPr>
              <w:t xml:space="preserve">Patch Gravelling </w:t>
            </w:r>
          </w:p>
        </w:tc>
        <w:tc>
          <w:tcPr>
            <w:tcW w:w="760" w:type="pct"/>
            <w:hideMark/>
          </w:tcPr>
          <w:p w14:paraId="22D20454" w14:textId="77777777" w:rsidR="008B335E" w:rsidRPr="008B335E" w:rsidRDefault="008B335E" w:rsidP="008B335E">
            <w:pPr>
              <w:textAlignment w:val="top"/>
              <w:rPr>
                <w:rFonts w:eastAsiaTheme="minorHAnsi"/>
                <w:sz w:val="16"/>
                <w:szCs w:val="16"/>
              </w:rPr>
            </w:pPr>
            <w:r w:rsidRPr="008B335E">
              <w:rPr>
                <w:rFonts w:eastAsiaTheme="minorHAnsi"/>
                <w:sz w:val="16"/>
                <w:szCs w:val="16"/>
              </w:rPr>
              <w:t>Nkanini</w:t>
            </w:r>
          </w:p>
          <w:p w14:paraId="6DFCCE53" w14:textId="77777777" w:rsidR="008B335E" w:rsidRPr="008B335E" w:rsidRDefault="008B335E" w:rsidP="008B335E">
            <w:pPr>
              <w:textAlignment w:val="top"/>
              <w:rPr>
                <w:rFonts w:eastAsiaTheme="minorHAnsi"/>
                <w:sz w:val="16"/>
                <w:szCs w:val="16"/>
              </w:rPr>
            </w:pPr>
            <w:r w:rsidRPr="008B335E">
              <w:rPr>
                <w:rFonts w:eastAsiaTheme="minorHAnsi"/>
                <w:sz w:val="16"/>
                <w:szCs w:val="16"/>
              </w:rPr>
              <w:t>(Mathibelana)</w:t>
            </w:r>
          </w:p>
        </w:tc>
        <w:tc>
          <w:tcPr>
            <w:tcW w:w="743" w:type="pct"/>
            <w:hideMark/>
          </w:tcPr>
          <w:p w14:paraId="16842EC1"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Ward 7,15</w:t>
            </w:r>
          </w:p>
        </w:tc>
        <w:tc>
          <w:tcPr>
            <w:tcW w:w="621" w:type="pct"/>
            <w:hideMark/>
          </w:tcPr>
          <w:p w14:paraId="68026B77"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L537</w:t>
            </w:r>
          </w:p>
        </w:tc>
        <w:tc>
          <w:tcPr>
            <w:tcW w:w="650" w:type="pct"/>
            <w:hideMark/>
          </w:tcPr>
          <w:p w14:paraId="3FE1ADC4"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0.5</w:t>
            </w:r>
          </w:p>
        </w:tc>
        <w:tc>
          <w:tcPr>
            <w:tcW w:w="841" w:type="pct"/>
            <w:hideMark/>
          </w:tcPr>
          <w:p w14:paraId="4FD40381"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100% Complete</w:t>
            </w:r>
          </w:p>
        </w:tc>
        <w:tc>
          <w:tcPr>
            <w:tcW w:w="764" w:type="pct"/>
            <w:hideMark/>
          </w:tcPr>
          <w:p w14:paraId="13975AC3"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Done by internal team</w:t>
            </w:r>
          </w:p>
        </w:tc>
      </w:tr>
      <w:tr w:rsidR="008B335E" w:rsidRPr="008B335E" w14:paraId="0EC3F211" w14:textId="77777777" w:rsidTr="003D0B0F">
        <w:trPr>
          <w:trHeight w:val="355"/>
        </w:trPr>
        <w:tc>
          <w:tcPr>
            <w:tcW w:w="621" w:type="pct"/>
            <w:hideMark/>
          </w:tcPr>
          <w:p w14:paraId="76A6667A" w14:textId="77777777" w:rsidR="008B335E" w:rsidRPr="008B335E" w:rsidRDefault="008B335E" w:rsidP="008B335E">
            <w:pPr>
              <w:textAlignment w:val="top"/>
              <w:rPr>
                <w:rFonts w:eastAsiaTheme="minorHAnsi"/>
                <w:sz w:val="16"/>
                <w:szCs w:val="16"/>
              </w:rPr>
            </w:pPr>
            <w:r w:rsidRPr="008B335E">
              <w:rPr>
                <w:rFonts w:eastAsiaTheme="minorHAnsi"/>
                <w:sz w:val="16"/>
                <w:szCs w:val="16"/>
              </w:rPr>
              <w:t xml:space="preserve">Patch Gravelling </w:t>
            </w:r>
          </w:p>
        </w:tc>
        <w:tc>
          <w:tcPr>
            <w:tcW w:w="760" w:type="pct"/>
            <w:hideMark/>
          </w:tcPr>
          <w:p w14:paraId="68B64117" w14:textId="77777777" w:rsidR="008B335E" w:rsidRPr="008B335E" w:rsidRDefault="008B335E" w:rsidP="008B335E">
            <w:pPr>
              <w:textAlignment w:val="top"/>
              <w:rPr>
                <w:rFonts w:eastAsiaTheme="minorHAnsi"/>
                <w:sz w:val="16"/>
                <w:szCs w:val="16"/>
              </w:rPr>
            </w:pPr>
            <w:r w:rsidRPr="008B335E">
              <w:rPr>
                <w:rFonts w:eastAsiaTheme="minorHAnsi"/>
                <w:sz w:val="16"/>
                <w:szCs w:val="16"/>
              </w:rPr>
              <w:t>Mpumazi</w:t>
            </w:r>
          </w:p>
        </w:tc>
        <w:tc>
          <w:tcPr>
            <w:tcW w:w="743" w:type="pct"/>
            <w:hideMark/>
          </w:tcPr>
          <w:p w14:paraId="32EC096A"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Ward 13</w:t>
            </w:r>
          </w:p>
        </w:tc>
        <w:tc>
          <w:tcPr>
            <w:tcW w:w="621" w:type="pct"/>
            <w:hideMark/>
          </w:tcPr>
          <w:p w14:paraId="2431FD3A"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D1548</w:t>
            </w:r>
          </w:p>
        </w:tc>
        <w:tc>
          <w:tcPr>
            <w:tcW w:w="650" w:type="pct"/>
            <w:hideMark/>
          </w:tcPr>
          <w:p w14:paraId="2CCC6C1E"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1.8</w:t>
            </w:r>
          </w:p>
        </w:tc>
        <w:tc>
          <w:tcPr>
            <w:tcW w:w="841" w:type="pct"/>
            <w:hideMark/>
          </w:tcPr>
          <w:p w14:paraId="395C90C4"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100% Complete</w:t>
            </w:r>
          </w:p>
        </w:tc>
        <w:tc>
          <w:tcPr>
            <w:tcW w:w="764" w:type="pct"/>
            <w:hideMark/>
          </w:tcPr>
          <w:p w14:paraId="2F2A8F30"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Done by internal team</w:t>
            </w:r>
          </w:p>
        </w:tc>
      </w:tr>
      <w:tr w:rsidR="008B335E" w:rsidRPr="008B335E" w14:paraId="12624609" w14:textId="77777777" w:rsidTr="003D0B0F">
        <w:trPr>
          <w:trHeight w:val="355"/>
        </w:trPr>
        <w:tc>
          <w:tcPr>
            <w:tcW w:w="621" w:type="pct"/>
            <w:hideMark/>
          </w:tcPr>
          <w:p w14:paraId="0E2A308C" w14:textId="77777777" w:rsidR="008B335E" w:rsidRPr="008B335E" w:rsidRDefault="008B335E" w:rsidP="008B335E">
            <w:pPr>
              <w:textAlignment w:val="top"/>
              <w:rPr>
                <w:rFonts w:eastAsiaTheme="minorHAnsi"/>
                <w:sz w:val="16"/>
                <w:szCs w:val="16"/>
              </w:rPr>
            </w:pPr>
            <w:r w:rsidRPr="008B335E">
              <w:rPr>
                <w:rFonts w:eastAsiaTheme="minorHAnsi"/>
                <w:sz w:val="16"/>
                <w:szCs w:val="16"/>
              </w:rPr>
              <w:t>Betterment &amp; Regravelling</w:t>
            </w:r>
          </w:p>
        </w:tc>
        <w:tc>
          <w:tcPr>
            <w:tcW w:w="760" w:type="pct"/>
            <w:hideMark/>
          </w:tcPr>
          <w:p w14:paraId="03953172" w14:textId="77777777" w:rsidR="008B335E" w:rsidRPr="008B335E" w:rsidRDefault="008B335E" w:rsidP="008B335E">
            <w:pPr>
              <w:textAlignment w:val="top"/>
              <w:rPr>
                <w:rFonts w:eastAsiaTheme="minorHAnsi"/>
                <w:sz w:val="16"/>
                <w:szCs w:val="16"/>
              </w:rPr>
            </w:pPr>
            <w:r w:rsidRPr="008B335E">
              <w:rPr>
                <w:rFonts w:eastAsiaTheme="minorHAnsi"/>
                <w:sz w:val="16"/>
                <w:szCs w:val="16"/>
              </w:rPr>
              <w:t>Mthintombi</w:t>
            </w:r>
          </w:p>
        </w:tc>
        <w:tc>
          <w:tcPr>
            <w:tcW w:w="743" w:type="pct"/>
            <w:hideMark/>
          </w:tcPr>
          <w:p w14:paraId="0D9699F0"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Ward 22</w:t>
            </w:r>
          </w:p>
        </w:tc>
        <w:tc>
          <w:tcPr>
            <w:tcW w:w="621" w:type="pct"/>
            <w:hideMark/>
          </w:tcPr>
          <w:p w14:paraId="659C5684"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L524</w:t>
            </w:r>
          </w:p>
        </w:tc>
        <w:tc>
          <w:tcPr>
            <w:tcW w:w="650" w:type="pct"/>
            <w:hideMark/>
          </w:tcPr>
          <w:p w14:paraId="39AFE6FC"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2,5</w:t>
            </w:r>
          </w:p>
        </w:tc>
        <w:tc>
          <w:tcPr>
            <w:tcW w:w="841" w:type="pct"/>
            <w:hideMark/>
          </w:tcPr>
          <w:p w14:paraId="2C3D3401"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100% Complete</w:t>
            </w:r>
          </w:p>
        </w:tc>
        <w:tc>
          <w:tcPr>
            <w:tcW w:w="764" w:type="pct"/>
            <w:hideMark/>
          </w:tcPr>
          <w:p w14:paraId="4300D7C4" w14:textId="77777777" w:rsidR="008B335E" w:rsidRPr="008B335E" w:rsidRDefault="008B335E" w:rsidP="008B335E">
            <w:pPr>
              <w:rPr>
                <w:rFonts w:eastAsiaTheme="minorHAnsi"/>
                <w:sz w:val="16"/>
                <w:szCs w:val="16"/>
              </w:rPr>
            </w:pPr>
          </w:p>
        </w:tc>
      </w:tr>
      <w:tr w:rsidR="008B335E" w:rsidRPr="008B335E" w14:paraId="35C20B26" w14:textId="77777777" w:rsidTr="003D0B0F">
        <w:trPr>
          <w:trHeight w:val="355"/>
        </w:trPr>
        <w:tc>
          <w:tcPr>
            <w:tcW w:w="621" w:type="pct"/>
            <w:hideMark/>
          </w:tcPr>
          <w:p w14:paraId="5F2573DA" w14:textId="77777777" w:rsidR="008B335E" w:rsidRPr="008B335E" w:rsidRDefault="008B335E" w:rsidP="008B335E">
            <w:pPr>
              <w:textAlignment w:val="top"/>
              <w:rPr>
                <w:rFonts w:eastAsiaTheme="minorHAnsi"/>
                <w:sz w:val="16"/>
                <w:szCs w:val="16"/>
              </w:rPr>
            </w:pPr>
            <w:r w:rsidRPr="008B335E">
              <w:rPr>
                <w:rFonts w:eastAsiaTheme="minorHAnsi"/>
                <w:sz w:val="16"/>
                <w:szCs w:val="16"/>
              </w:rPr>
              <w:t>Betterment &amp; Regravelling</w:t>
            </w:r>
          </w:p>
        </w:tc>
        <w:tc>
          <w:tcPr>
            <w:tcW w:w="760" w:type="pct"/>
            <w:hideMark/>
          </w:tcPr>
          <w:p w14:paraId="3ADA4EF5" w14:textId="77777777" w:rsidR="008B335E" w:rsidRPr="008B335E" w:rsidRDefault="008B335E" w:rsidP="008B335E">
            <w:pPr>
              <w:textAlignment w:val="top"/>
              <w:rPr>
                <w:rFonts w:eastAsiaTheme="minorHAnsi"/>
                <w:sz w:val="16"/>
                <w:szCs w:val="16"/>
              </w:rPr>
            </w:pPr>
            <w:r w:rsidRPr="008B335E">
              <w:rPr>
                <w:rFonts w:eastAsiaTheme="minorHAnsi"/>
                <w:sz w:val="16"/>
                <w:szCs w:val="16"/>
              </w:rPr>
              <w:t>Ntshidi</w:t>
            </w:r>
          </w:p>
        </w:tc>
        <w:tc>
          <w:tcPr>
            <w:tcW w:w="743" w:type="pct"/>
            <w:hideMark/>
          </w:tcPr>
          <w:p w14:paraId="6413E1E5"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Ward 23</w:t>
            </w:r>
          </w:p>
        </w:tc>
        <w:tc>
          <w:tcPr>
            <w:tcW w:w="621" w:type="pct"/>
            <w:hideMark/>
          </w:tcPr>
          <w:p w14:paraId="69CE06AD"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(D1556)</w:t>
            </w:r>
          </w:p>
        </w:tc>
        <w:tc>
          <w:tcPr>
            <w:tcW w:w="650" w:type="pct"/>
            <w:hideMark/>
          </w:tcPr>
          <w:p w14:paraId="1FE2F7B0"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2,5</w:t>
            </w:r>
          </w:p>
        </w:tc>
        <w:tc>
          <w:tcPr>
            <w:tcW w:w="841" w:type="pct"/>
            <w:hideMark/>
          </w:tcPr>
          <w:p w14:paraId="6144D06F"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0-10 % complete</w:t>
            </w:r>
          </w:p>
        </w:tc>
        <w:tc>
          <w:tcPr>
            <w:tcW w:w="764" w:type="pct"/>
            <w:hideMark/>
          </w:tcPr>
          <w:p w14:paraId="27FD26B1" w14:textId="77777777" w:rsidR="008B335E" w:rsidRPr="008B335E" w:rsidRDefault="008B335E" w:rsidP="008B335E">
            <w:pPr>
              <w:jc w:val="center"/>
              <w:textAlignment w:val="top"/>
              <w:rPr>
                <w:rFonts w:eastAsiaTheme="minorHAnsi"/>
                <w:sz w:val="16"/>
                <w:szCs w:val="16"/>
              </w:rPr>
            </w:pPr>
            <w:r w:rsidRPr="008B335E">
              <w:rPr>
                <w:rFonts w:eastAsiaTheme="minorHAnsi"/>
                <w:sz w:val="16"/>
                <w:szCs w:val="16"/>
              </w:rPr>
              <w:t>Still to lay pipes</w:t>
            </w:r>
          </w:p>
        </w:tc>
      </w:tr>
      <w:tr w:rsidR="0038544D" w:rsidRPr="008B335E" w14:paraId="7BC8125E" w14:textId="77777777" w:rsidTr="003D0B0F">
        <w:trPr>
          <w:trHeight w:val="355"/>
        </w:trPr>
        <w:tc>
          <w:tcPr>
            <w:tcW w:w="621" w:type="pct"/>
          </w:tcPr>
          <w:p w14:paraId="014B57CC" w14:textId="551C88D7" w:rsidR="0038544D" w:rsidRPr="008B335E" w:rsidRDefault="0038544D" w:rsidP="0038544D">
            <w:pPr>
              <w:textAlignment w:val="top"/>
              <w:rPr>
                <w:rFonts w:eastAsiaTheme="minorHAnsi"/>
                <w:sz w:val="16"/>
                <w:szCs w:val="16"/>
              </w:rPr>
            </w:pPr>
            <w:r w:rsidRPr="008B335E">
              <w:rPr>
                <w:rFonts w:eastAsiaTheme="minorHAnsi"/>
                <w:sz w:val="16"/>
                <w:szCs w:val="16"/>
              </w:rPr>
              <w:t xml:space="preserve">Patch Gravelling </w:t>
            </w:r>
          </w:p>
        </w:tc>
        <w:tc>
          <w:tcPr>
            <w:tcW w:w="760" w:type="pct"/>
          </w:tcPr>
          <w:p w14:paraId="4273E289" w14:textId="42BA91B2" w:rsidR="0038544D" w:rsidRPr="008B335E" w:rsidRDefault="0038544D" w:rsidP="0038544D">
            <w:pPr>
              <w:textAlignment w:val="top"/>
              <w:rPr>
                <w:rFonts w:eastAsiaTheme="minorHAnsi"/>
                <w:sz w:val="16"/>
                <w:szCs w:val="16"/>
              </w:rPr>
            </w:pPr>
            <w:r w:rsidRPr="008B335E">
              <w:rPr>
                <w:rFonts w:eastAsiaTheme="minorHAnsi"/>
                <w:sz w:val="16"/>
                <w:szCs w:val="16"/>
              </w:rPr>
              <w:t>Mombheni</w:t>
            </w:r>
          </w:p>
        </w:tc>
        <w:tc>
          <w:tcPr>
            <w:tcW w:w="743" w:type="pct"/>
          </w:tcPr>
          <w:p w14:paraId="72C668CD" w14:textId="0A744198" w:rsidR="0038544D" w:rsidRPr="008B335E" w:rsidRDefault="0038544D" w:rsidP="0038544D">
            <w:pPr>
              <w:jc w:val="center"/>
              <w:textAlignment w:val="top"/>
              <w:rPr>
                <w:rFonts w:eastAsiaTheme="minorHAnsi"/>
                <w:sz w:val="16"/>
                <w:szCs w:val="16"/>
              </w:rPr>
            </w:pPr>
            <w:r w:rsidRPr="008B335E">
              <w:rPr>
                <w:rFonts w:eastAsiaTheme="minorHAnsi"/>
                <w:sz w:val="16"/>
                <w:szCs w:val="16"/>
              </w:rPr>
              <w:t>Ward 6</w:t>
            </w:r>
          </w:p>
        </w:tc>
        <w:tc>
          <w:tcPr>
            <w:tcW w:w="621" w:type="pct"/>
          </w:tcPr>
          <w:p w14:paraId="40AF6D45" w14:textId="29051539" w:rsidR="0038544D" w:rsidRPr="008B335E" w:rsidRDefault="0038544D" w:rsidP="0038544D">
            <w:pPr>
              <w:jc w:val="center"/>
              <w:textAlignment w:val="top"/>
              <w:rPr>
                <w:rFonts w:eastAsiaTheme="minorHAnsi"/>
                <w:sz w:val="16"/>
                <w:szCs w:val="16"/>
              </w:rPr>
            </w:pPr>
            <w:r w:rsidRPr="008B335E">
              <w:rPr>
                <w:rFonts w:eastAsiaTheme="minorHAnsi"/>
                <w:sz w:val="16"/>
                <w:szCs w:val="16"/>
              </w:rPr>
              <w:t>D356</w:t>
            </w:r>
          </w:p>
        </w:tc>
        <w:tc>
          <w:tcPr>
            <w:tcW w:w="650" w:type="pct"/>
          </w:tcPr>
          <w:p w14:paraId="24FFC004" w14:textId="7A71940B" w:rsidR="0038544D" w:rsidRPr="008B335E" w:rsidRDefault="0038544D" w:rsidP="0038544D">
            <w:pPr>
              <w:jc w:val="center"/>
              <w:textAlignment w:val="top"/>
              <w:rPr>
                <w:rFonts w:eastAsiaTheme="minorHAnsi"/>
                <w:sz w:val="16"/>
                <w:szCs w:val="16"/>
              </w:rPr>
            </w:pPr>
            <w:r w:rsidRPr="008B335E">
              <w:rPr>
                <w:rFonts w:eastAsiaTheme="minorHAnsi"/>
                <w:sz w:val="16"/>
                <w:szCs w:val="16"/>
              </w:rPr>
              <w:t>2.3</w:t>
            </w:r>
          </w:p>
        </w:tc>
        <w:tc>
          <w:tcPr>
            <w:tcW w:w="841" w:type="pct"/>
          </w:tcPr>
          <w:p w14:paraId="02762C07" w14:textId="2916175B" w:rsidR="0038544D" w:rsidRPr="008B335E" w:rsidRDefault="0038544D" w:rsidP="0038544D">
            <w:pPr>
              <w:jc w:val="center"/>
              <w:textAlignment w:val="top"/>
              <w:rPr>
                <w:rFonts w:eastAsiaTheme="minorHAnsi"/>
                <w:sz w:val="16"/>
                <w:szCs w:val="16"/>
              </w:rPr>
            </w:pPr>
            <w:r w:rsidRPr="008B335E">
              <w:rPr>
                <w:rFonts w:eastAsiaTheme="minorHAnsi"/>
                <w:sz w:val="16"/>
                <w:szCs w:val="16"/>
              </w:rPr>
              <w:t>100% Complete</w:t>
            </w:r>
          </w:p>
        </w:tc>
        <w:tc>
          <w:tcPr>
            <w:tcW w:w="764" w:type="pct"/>
          </w:tcPr>
          <w:p w14:paraId="0A83C277" w14:textId="10A96B63" w:rsidR="0038544D" w:rsidRPr="008B335E" w:rsidRDefault="0038544D" w:rsidP="0038544D">
            <w:pPr>
              <w:textAlignment w:val="top"/>
              <w:rPr>
                <w:rFonts w:eastAsiaTheme="minorHAnsi"/>
                <w:sz w:val="16"/>
                <w:szCs w:val="16"/>
              </w:rPr>
            </w:pPr>
            <w:r w:rsidRPr="008B335E">
              <w:rPr>
                <w:rFonts w:eastAsiaTheme="minorHAnsi"/>
                <w:sz w:val="16"/>
                <w:szCs w:val="16"/>
              </w:rPr>
              <w:t>Done by internal team</w:t>
            </w:r>
          </w:p>
        </w:tc>
      </w:tr>
      <w:tr w:rsidR="0038544D" w:rsidRPr="008B335E" w14:paraId="0CD00B4C" w14:textId="77777777" w:rsidTr="003D0B0F">
        <w:trPr>
          <w:trHeight w:val="355"/>
        </w:trPr>
        <w:tc>
          <w:tcPr>
            <w:tcW w:w="621" w:type="pct"/>
          </w:tcPr>
          <w:p w14:paraId="2925895C" w14:textId="4E8981D7" w:rsidR="0038544D" w:rsidRPr="008B335E" w:rsidRDefault="0038544D" w:rsidP="0038544D">
            <w:pPr>
              <w:textAlignment w:val="top"/>
              <w:rPr>
                <w:rFonts w:eastAsiaTheme="minorHAnsi"/>
                <w:sz w:val="16"/>
                <w:szCs w:val="16"/>
              </w:rPr>
            </w:pPr>
            <w:r w:rsidRPr="008B335E">
              <w:rPr>
                <w:rFonts w:eastAsiaTheme="minorHAnsi"/>
                <w:sz w:val="16"/>
                <w:szCs w:val="16"/>
              </w:rPr>
              <w:t xml:space="preserve">Patch Gravelling </w:t>
            </w:r>
          </w:p>
        </w:tc>
        <w:tc>
          <w:tcPr>
            <w:tcW w:w="760" w:type="pct"/>
          </w:tcPr>
          <w:p w14:paraId="20135AED" w14:textId="0C46FCE2" w:rsidR="0038544D" w:rsidRPr="008B335E" w:rsidRDefault="0038544D" w:rsidP="0038544D">
            <w:pPr>
              <w:textAlignment w:val="top"/>
              <w:rPr>
                <w:rFonts w:eastAsiaTheme="minorHAnsi"/>
                <w:sz w:val="16"/>
                <w:szCs w:val="16"/>
              </w:rPr>
            </w:pPr>
            <w:r w:rsidRPr="008B335E">
              <w:rPr>
                <w:rFonts w:eastAsiaTheme="minorHAnsi"/>
                <w:sz w:val="16"/>
                <w:szCs w:val="16"/>
              </w:rPr>
              <w:t>Khoza</w:t>
            </w:r>
          </w:p>
        </w:tc>
        <w:tc>
          <w:tcPr>
            <w:tcW w:w="743" w:type="pct"/>
          </w:tcPr>
          <w:p w14:paraId="2193FB09" w14:textId="1A603389" w:rsidR="0038544D" w:rsidRPr="008B335E" w:rsidRDefault="0038544D" w:rsidP="0038544D">
            <w:pPr>
              <w:jc w:val="center"/>
              <w:textAlignment w:val="top"/>
              <w:rPr>
                <w:rFonts w:eastAsiaTheme="minorHAnsi"/>
                <w:sz w:val="16"/>
                <w:szCs w:val="16"/>
              </w:rPr>
            </w:pPr>
            <w:r w:rsidRPr="008B335E">
              <w:rPr>
                <w:rFonts w:eastAsiaTheme="minorHAnsi"/>
                <w:sz w:val="16"/>
                <w:szCs w:val="16"/>
              </w:rPr>
              <w:t>Ward 15</w:t>
            </w:r>
          </w:p>
        </w:tc>
        <w:tc>
          <w:tcPr>
            <w:tcW w:w="621" w:type="pct"/>
          </w:tcPr>
          <w:p w14:paraId="45123FF1" w14:textId="77A5C28B" w:rsidR="0038544D" w:rsidRPr="008B335E" w:rsidRDefault="0038544D" w:rsidP="0038544D">
            <w:pPr>
              <w:jc w:val="center"/>
              <w:textAlignment w:val="top"/>
              <w:rPr>
                <w:rFonts w:eastAsiaTheme="minorHAnsi"/>
                <w:sz w:val="16"/>
                <w:szCs w:val="16"/>
              </w:rPr>
            </w:pPr>
            <w:r w:rsidRPr="008B335E">
              <w:rPr>
                <w:rFonts w:eastAsiaTheme="minorHAnsi"/>
                <w:sz w:val="16"/>
                <w:szCs w:val="16"/>
              </w:rPr>
              <w:t>D135</w:t>
            </w:r>
          </w:p>
        </w:tc>
        <w:tc>
          <w:tcPr>
            <w:tcW w:w="650" w:type="pct"/>
          </w:tcPr>
          <w:p w14:paraId="682BD8D0" w14:textId="724957B0" w:rsidR="0038544D" w:rsidRPr="008B335E" w:rsidRDefault="0038544D" w:rsidP="0038544D">
            <w:pPr>
              <w:jc w:val="center"/>
              <w:textAlignment w:val="top"/>
              <w:rPr>
                <w:rFonts w:eastAsiaTheme="minorHAnsi"/>
                <w:sz w:val="16"/>
                <w:szCs w:val="16"/>
              </w:rPr>
            </w:pPr>
            <w:r w:rsidRPr="008B335E">
              <w:rPr>
                <w:rFonts w:eastAsiaTheme="minorHAnsi"/>
                <w:sz w:val="16"/>
                <w:szCs w:val="16"/>
              </w:rPr>
              <w:t>3.3</w:t>
            </w:r>
          </w:p>
        </w:tc>
        <w:tc>
          <w:tcPr>
            <w:tcW w:w="841" w:type="pct"/>
          </w:tcPr>
          <w:p w14:paraId="7529A2B6" w14:textId="4F8AB774" w:rsidR="0038544D" w:rsidRPr="008B335E" w:rsidRDefault="0038544D" w:rsidP="0038544D">
            <w:pPr>
              <w:jc w:val="center"/>
              <w:textAlignment w:val="top"/>
              <w:rPr>
                <w:rFonts w:eastAsiaTheme="minorHAnsi"/>
                <w:sz w:val="16"/>
                <w:szCs w:val="16"/>
              </w:rPr>
            </w:pPr>
            <w:r w:rsidRPr="008B335E">
              <w:rPr>
                <w:rFonts w:eastAsiaTheme="minorHAnsi"/>
                <w:sz w:val="16"/>
                <w:szCs w:val="16"/>
              </w:rPr>
              <w:t>100% Complete</w:t>
            </w:r>
          </w:p>
        </w:tc>
        <w:tc>
          <w:tcPr>
            <w:tcW w:w="764" w:type="pct"/>
          </w:tcPr>
          <w:p w14:paraId="595429AF" w14:textId="474F3F62" w:rsidR="0038544D" w:rsidRPr="008B335E" w:rsidRDefault="0038544D" w:rsidP="0038544D">
            <w:pPr>
              <w:textAlignment w:val="top"/>
              <w:rPr>
                <w:rFonts w:eastAsiaTheme="minorHAnsi"/>
                <w:sz w:val="16"/>
                <w:szCs w:val="16"/>
              </w:rPr>
            </w:pPr>
            <w:r w:rsidRPr="008B335E">
              <w:rPr>
                <w:rFonts w:eastAsiaTheme="minorHAnsi"/>
                <w:sz w:val="16"/>
                <w:szCs w:val="16"/>
              </w:rPr>
              <w:t>Done by internal team</w:t>
            </w:r>
          </w:p>
        </w:tc>
      </w:tr>
      <w:tr w:rsidR="0038544D" w:rsidRPr="008B335E" w14:paraId="12806CFC" w14:textId="77777777" w:rsidTr="003D0B0F">
        <w:trPr>
          <w:trHeight w:val="355"/>
        </w:trPr>
        <w:tc>
          <w:tcPr>
            <w:tcW w:w="621" w:type="pct"/>
          </w:tcPr>
          <w:p w14:paraId="196E5A3B" w14:textId="463F6E63" w:rsidR="0038544D" w:rsidRPr="008B335E" w:rsidRDefault="0038544D" w:rsidP="0038544D">
            <w:pPr>
              <w:textAlignment w:val="top"/>
              <w:rPr>
                <w:rFonts w:eastAsiaTheme="minorHAnsi"/>
                <w:sz w:val="16"/>
                <w:szCs w:val="16"/>
              </w:rPr>
            </w:pPr>
            <w:r w:rsidRPr="008B335E">
              <w:rPr>
                <w:rFonts w:eastAsiaTheme="minorHAnsi"/>
                <w:sz w:val="16"/>
                <w:szCs w:val="16"/>
              </w:rPr>
              <w:t xml:space="preserve">Patch Gravelling </w:t>
            </w:r>
          </w:p>
        </w:tc>
        <w:tc>
          <w:tcPr>
            <w:tcW w:w="760" w:type="pct"/>
          </w:tcPr>
          <w:p w14:paraId="39884D65" w14:textId="0A7AB95D" w:rsidR="0038544D" w:rsidRPr="008B335E" w:rsidRDefault="0038544D" w:rsidP="0038544D">
            <w:pPr>
              <w:textAlignment w:val="top"/>
              <w:rPr>
                <w:rFonts w:eastAsiaTheme="minorHAnsi"/>
                <w:sz w:val="16"/>
                <w:szCs w:val="16"/>
              </w:rPr>
            </w:pPr>
            <w:r w:rsidRPr="008B335E">
              <w:rPr>
                <w:rFonts w:eastAsiaTheme="minorHAnsi"/>
                <w:sz w:val="16"/>
                <w:szCs w:val="16"/>
              </w:rPr>
              <w:t>Obanjeni</w:t>
            </w:r>
          </w:p>
        </w:tc>
        <w:tc>
          <w:tcPr>
            <w:tcW w:w="743" w:type="pct"/>
          </w:tcPr>
          <w:p w14:paraId="3D0DEBDD" w14:textId="2125DFC2" w:rsidR="0038544D" w:rsidRPr="008B335E" w:rsidRDefault="0038544D" w:rsidP="0038544D">
            <w:pPr>
              <w:jc w:val="center"/>
              <w:textAlignment w:val="top"/>
              <w:rPr>
                <w:rFonts w:eastAsiaTheme="minorHAnsi"/>
                <w:sz w:val="16"/>
                <w:szCs w:val="16"/>
              </w:rPr>
            </w:pPr>
            <w:r w:rsidRPr="008B335E">
              <w:rPr>
                <w:rFonts w:eastAsiaTheme="minorHAnsi"/>
                <w:sz w:val="16"/>
                <w:szCs w:val="16"/>
              </w:rPr>
              <w:t>Ward 20</w:t>
            </w:r>
          </w:p>
        </w:tc>
        <w:tc>
          <w:tcPr>
            <w:tcW w:w="621" w:type="pct"/>
          </w:tcPr>
          <w:p w14:paraId="5A1E64C3" w14:textId="4505C714" w:rsidR="0038544D" w:rsidRPr="008B335E" w:rsidRDefault="0038544D" w:rsidP="0038544D">
            <w:pPr>
              <w:jc w:val="center"/>
              <w:textAlignment w:val="top"/>
              <w:rPr>
                <w:rFonts w:eastAsiaTheme="minorHAnsi"/>
                <w:sz w:val="16"/>
                <w:szCs w:val="16"/>
              </w:rPr>
            </w:pPr>
            <w:r w:rsidRPr="008B335E">
              <w:rPr>
                <w:rFonts w:eastAsiaTheme="minorHAnsi"/>
                <w:sz w:val="16"/>
                <w:szCs w:val="16"/>
              </w:rPr>
              <w:t>L1696</w:t>
            </w:r>
          </w:p>
        </w:tc>
        <w:tc>
          <w:tcPr>
            <w:tcW w:w="650" w:type="pct"/>
          </w:tcPr>
          <w:p w14:paraId="5B0C60C2" w14:textId="02B5F826" w:rsidR="0038544D" w:rsidRPr="008B335E" w:rsidRDefault="0038544D" w:rsidP="0038544D">
            <w:pPr>
              <w:jc w:val="center"/>
              <w:textAlignment w:val="top"/>
              <w:rPr>
                <w:rFonts w:eastAsiaTheme="minorHAnsi"/>
                <w:sz w:val="16"/>
                <w:szCs w:val="16"/>
              </w:rPr>
            </w:pPr>
            <w:r w:rsidRPr="008B335E">
              <w:rPr>
                <w:rFonts w:eastAsiaTheme="minorHAnsi"/>
                <w:sz w:val="16"/>
                <w:szCs w:val="16"/>
              </w:rPr>
              <w:t>2.9</w:t>
            </w:r>
          </w:p>
        </w:tc>
        <w:tc>
          <w:tcPr>
            <w:tcW w:w="841" w:type="pct"/>
          </w:tcPr>
          <w:p w14:paraId="04E8DD1A" w14:textId="17ACBC3A" w:rsidR="0038544D" w:rsidRPr="008B335E" w:rsidRDefault="0038544D" w:rsidP="0038544D">
            <w:pPr>
              <w:jc w:val="center"/>
              <w:textAlignment w:val="top"/>
              <w:rPr>
                <w:rFonts w:eastAsiaTheme="minorHAnsi"/>
                <w:sz w:val="16"/>
                <w:szCs w:val="16"/>
              </w:rPr>
            </w:pPr>
            <w:r w:rsidRPr="008B335E">
              <w:rPr>
                <w:rFonts w:eastAsiaTheme="minorHAnsi"/>
                <w:sz w:val="16"/>
                <w:szCs w:val="16"/>
              </w:rPr>
              <w:t>100% Complete</w:t>
            </w:r>
          </w:p>
        </w:tc>
        <w:tc>
          <w:tcPr>
            <w:tcW w:w="764" w:type="pct"/>
          </w:tcPr>
          <w:p w14:paraId="7476F420" w14:textId="72F0F34B" w:rsidR="0038544D" w:rsidRPr="008B335E" w:rsidRDefault="0038544D" w:rsidP="0038544D">
            <w:pPr>
              <w:textAlignment w:val="top"/>
              <w:rPr>
                <w:rFonts w:eastAsiaTheme="minorHAnsi"/>
                <w:sz w:val="16"/>
                <w:szCs w:val="16"/>
              </w:rPr>
            </w:pPr>
            <w:r w:rsidRPr="008B335E">
              <w:rPr>
                <w:rFonts w:eastAsiaTheme="minorHAnsi"/>
                <w:sz w:val="16"/>
                <w:szCs w:val="16"/>
              </w:rPr>
              <w:t>Done by internal team</w:t>
            </w:r>
          </w:p>
        </w:tc>
      </w:tr>
      <w:tr w:rsidR="0038544D" w:rsidRPr="008B335E" w14:paraId="690307E5" w14:textId="77777777" w:rsidTr="003D0B0F">
        <w:trPr>
          <w:trHeight w:val="355"/>
        </w:trPr>
        <w:tc>
          <w:tcPr>
            <w:tcW w:w="621" w:type="pct"/>
          </w:tcPr>
          <w:p w14:paraId="20801DF5" w14:textId="20B281AE" w:rsidR="0038544D" w:rsidRPr="008B335E" w:rsidRDefault="0038544D" w:rsidP="0038544D">
            <w:pPr>
              <w:textAlignment w:val="top"/>
              <w:rPr>
                <w:rFonts w:eastAsiaTheme="minorHAnsi"/>
                <w:sz w:val="16"/>
                <w:szCs w:val="16"/>
              </w:rPr>
            </w:pPr>
            <w:r w:rsidRPr="008B335E">
              <w:rPr>
                <w:rFonts w:eastAsiaTheme="minorHAnsi"/>
                <w:sz w:val="16"/>
                <w:szCs w:val="16"/>
              </w:rPr>
              <w:t xml:space="preserve">Patch Gravelling </w:t>
            </w:r>
          </w:p>
        </w:tc>
        <w:tc>
          <w:tcPr>
            <w:tcW w:w="760" w:type="pct"/>
          </w:tcPr>
          <w:p w14:paraId="6E0A0B61" w14:textId="7B25A661" w:rsidR="0038544D" w:rsidRPr="008B335E" w:rsidRDefault="0038544D" w:rsidP="0038544D">
            <w:pPr>
              <w:textAlignment w:val="top"/>
              <w:rPr>
                <w:rFonts w:eastAsiaTheme="minorHAnsi"/>
                <w:sz w:val="16"/>
                <w:szCs w:val="16"/>
              </w:rPr>
            </w:pPr>
            <w:r w:rsidRPr="008B335E">
              <w:rPr>
                <w:rFonts w:eastAsiaTheme="minorHAnsi"/>
                <w:sz w:val="16"/>
                <w:szCs w:val="16"/>
              </w:rPr>
              <w:t>Khoza</w:t>
            </w:r>
          </w:p>
        </w:tc>
        <w:tc>
          <w:tcPr>
            <w:tcW w:w="743" w:type="pct"/>
          </w:tcPr>
          <w:p w14:paraId="12637E1B" w14:textId="6E6CE3F3" w:rsidR="0038544D" w:rsidRPr="008B335E" w:rsidRDefault="0038544D" w:rsidP="0038544D">
            <w:pPr>
              <w:jc w:val="center"/>
              <w:textAlignment w:val="top"/>
              <w:rPr>
                <w:rFonts w:eastAsiaTheme="minorHAnsi"/>
                <w:sz w:val="16"/>
                <w:szCs w:val="16"/>
              </w:rPr>
            </w:pPr>
            <w:r w:rsidRPr="008B335E">
              <w:rPr>
                <w:rFonts w:eastAsiaTheme="minorHAnsi"/>
                <w:sz w:val="16"/>
                <w:szCs w:val="16"/>
              </w:rPr>
              <w:t>Ward 15</w:t>
            </w:r>
          </w:p>
        </w:tc>
        <w:tc>
          <w:tcPr>
            <w:tcW w:w="621" w:type="pct"/>
          </w:tcPr>
          <w:p w14:paraId="0DE97AA6" w14:textId="6271E646" w:rsidR="0038544D" w:rsidRPr="008B335E" w:rsidRDefault="0038544D" w:rsidP="0038544D">
            <w:pPr>
              <w:jc w:val="center"/>
              <w:textAlignment w:val="top"/>
              <w:rPr>
                <w:rFonts w:eastAsiaTheme="minorHAnsi"/>
                <w:sz w:val="16"/>
                <w:szCs w:val="16"/>
              </w:rPr>
            </w:pPr>
            <w:r w:rsidRPr="008B335E">
              <w:rPr>
                <w:rFonts w:eastAsiaTheme="minorHAnsi"/>
                <w:sz w:val="16"/>
                <w:szCs w:val="16"/>
              </w:rPr>
              <w:t>A1641</w:t>
            </w:r>
          </w:p>
        </w:tc>
        <w:tc>
          <w:tcPr>
            <w:tcW w:w="650" w:type="pct"/>
          </w:tcPr>
          <w:p w14:paraId="5112E58E" w14:textId="19FD6B00" w:rsidR="0038544D" w:rsidRPr="008B335E" w:rsidRDefault="0038544D" w:rsidP="0038544D">
            <w:pPr>
              <w:jc w:val="center"/>
              <w:textAlignment w:val="top"/>
              <w:rPr>
                <w:rFonts w:eastAsiaTheme="minorHAnsi"/>
                <w:sz w:val="16"/>
                <w:szCs w:val="16"/>
              </w:rPr>
            </w:pPr>
            <w:r w:rsidRPr="008B335E">
              <w:rPr>
                <w:rFonts w:eastAsiaTheme="minorHAnsi"/>
                <w:sz w:val="16"/>
                <w:szCs w:val="16"/>
              </w:rPr>
              <w:t>3.2</w:t>
            </w:r>
          </w:p>
        </w:tc>
        <w:tc>
          <w:tcPr>
            <w:tcW w:w="841" w:type="pct"/>
          </w:tcPr>
          <w:p w14:paraId="5CFD5BB7" w14:textId="58BDC3CD" w:rsidR="0038544D" w:rsidRPr="008B335E" w:rsidRDefault="0038544D" w:rsidP="0038544D">
            <w:pPr>
              <w:jc w:val="center"/>
              <w:textAlignment w:val="top"/>
              <w:rPr>
                <w:rFonts w:eastAsiaTheme="minorHAnsi"/>
                <w:sz w:val="16"/>
                <w:szCs w:val="16"/>
              </w:rPr>
            </w:pPr>
            <w:r w:rsidRPr="008B335E">
              <w:rPr>
                <w:rFonts w:eastAsiaTheme="minorHAnsi"/>
                <w:sz w:val="16"/>
                <w:szCs w:val="16"/>
              </w:rPr>
              <w:t>100% Complete</w:t>
            </w:r>
          </w:p>
        </w:tc>
        <w:tc>
          <w:tcPr>
            <w:tcW w:w="764" w:type="pct"/>
          </w:tcPr>
          <w:p w14:paraId="7EB4613B" w14:textId="184A31DF" w:rsidR="0038544D" w:rsidRPr="008B335E" w:rsidRDefault="0038544D" w:rsidP="0038544D">
            <w:pPr>
              <w:textAlignment w:val="top"/>
              <w:rPr>
                <w:rFonts w:eastAsiaTheme="minorHAnsi"/>
                <w:sz w:val="16"/>
                <w:szCs w:val="16"/>
              </w:rPr>
            </w:pPr>
            <w:r w:rsidRPr="008B335E">
              <w:rPr>
                <w:rFonts w:eastAsiaTheme="minorHAnsi"/>
                <w:sz w:val="16"/>
                <w:szCs w:val="16"/>
              </w:rPr>
              <w:t>Done by internal team</w:t>
            </w:r>
          </w:p>
        </w:tc>
      </w:tr>
      <w:tr w:rsidR="0038544D" w:rsidRPr="008B335E" w14:paraId="2845909F" w14:textId="77777777" w:rsidTr="003D0B0F">
        <w:trPr>
          <w:trHeight w:val="355"/>
        </w:trPr>
        <w:tc>
          <w:tcPr>
            <w:tcW w:w="621" w:type="pct"/>
          </w:tcPr>
          <w:p w14:paraId="57135C01" w14:textId="716808EE" w:rsidR="0038544D" w:rsidRPr="008B335E" w:rsidRDefault="0038544D" w:rsidP="0038544D">
            <w:pPr>
              <w:textAlignment w:val="top"/>
              <w:rPr>
                <w:rFonts w:eastAsiaTheme="minorHAnsi"/>
                <w:sz w:val="16"/>
                <w:szCs w:val="16"/>
              </w:rPr>
            </w:pPr>
            <w:r w:rsidRPr="008B335E">
              <w:rPr>
                <w:rFonts w:eastAsiaTheme="minorHAnsi"/>
                <w:sz w:val="16"/>
                <w:szCs w:val="16"/>
              </w:rPr>
              <w:t xml:space="preserve">Patch Gravelling </w:t>
            </w:r>
          </w:p>
        </w:tc>
        <w:tc>
          <w:tcPr>
            <w:tcW w:w="760" w:type="pct"/>
          </w:tcPr>
          <w:p w14:paraId="1CBD8707" w14:textId="3F2B9942" w:rsidR="0038544D" w:rsidRPr="008B335E" w:rsidRDefault="0038544D" w:rsidP="0038544D">
            <w:pPr>
              <w:textAlignment w:val="top"/>
              <w:rPr>
                <w:rFonts w:eastAsiaTheme="minorHAnsi"/>
                <w:sz w:val="16"/>
                <w:szCs w:val="16"/>
              </w:rPr>
            </w:pPr>
            <w:r w:rsidRPr="008B335E">
              <w:rPr>
                <w:rFonts w:eastAsiaTheme="minorHAnsi"/>
                <w:sz w:val="16"/>
                <w:szCs w:val="16"/>
              </w:rPr>
              <w:t>Mzimela</w:t>
            </w:r>
          </w:p>
        </w:tc>
        <w:tc>
          <w:tcPr>
            <w:tcW w:w="743" w:type="pct"/>
          </w:tcPr>
          <w:p w14:paraId="2DF1EA44" w14:textId="06A34A21" w:rsidR="0038544D" w:rsidRPr="008B335E" w:rsidRDefault="0038544D" w:rsidP="0038544D">
            <w:pPr>
              <w:jc w:val="center"/>
              <w:textAlignment w:val="top"/>
              <w:rPr>
                <w:rFonts w:eastAsiaTheme="minorHAnsi"/>
                <w:sz w:val="16"/>
                <w:szCs w:val="16"/>
              </w:rPr>
            </w:pPr>
            <w:r w:rsidRPr="008B335E">
              <w:rPr>
                <w:rFonts w:eastAsiaTheme="minorHAnsi"/>
                <w:sz w:val="16"/>
                <w:szCs w:val="16"/>
              </w:rPr>
              <w:t>Ward 23</w:t>
            </w:r>
          </w:p>
        </w:tc>
        <w:tc>
          <w:tcPr>
            <w:tcW w:w="621" w:type="pct"/>
          </w:tcPr>
          <w:p w14:paraId="34B4FA8F" w14:textId="415F7C9A" w:rsidR="0038544D" w:rsidRPr="008B335E" w:rsidRDefault="0038544D" w:rsidP="0038544D">
            <w:pPr>
              <w:jc w:val="center"/>
              <w:textAlignment w:val="top"/>
              <w:rPr>
                <w:rFonts w:eastAsiaTheme="minorHAnsi"/>
                <w:sz w:val="16"/>
                <w:szCs w:val="16"/>
              </w:rPr>
            </w:pPr>
            <w:r w:rsidRPr="008B335E">
              <w:rPr>
                <w:rFonts w:eastAsiaTheme="minorHAnsi"/>
                <w:sz w:val="16"/>
                <w:szCs w:val="16"/>
              </w:rPr>
              <w:t>D1560</w:t>
            </w:r>
          </w:p>
        </w:tc>
        <w:tc>
          <w:tcPr>
            <w:tcW w:w="650" w:type="pct"/>
          </w:tcPr>
          <w:p w14:paraId="1DFD2135" w14:textId="29FEA463" w:rsidR="0038544D" w:rsidRPr="008B335E" w:rsidRDefault="0038544D" w:rsidP="0038544D">
            <w:pPr>
              <w:jc w:val="center"/>
              <w:textAlignment w:val="top"/>
              <w:rPr>
                <w:rFonts w:eastAsiaTheme="minorHAnsi"/>
                <w:sz w:val="16"/>
                <w:szCs w:val="16"/>
              </w:rPr>
            </w:pPr>
            <w:r w:rsidRPr="008B335E">
              <w:rPr>
                <w:rFonts w:eastAsiaTheme="minorHAnsi"/>
                <w:sz w:val="16"/>
                <w:szCs w:val="16"/>
              </w:rPr>
              <w:t>4.4</w:t>
            </w:r>
          </w:p>
        </w:tc>
        <w:tc>
          <w:tcPr>
            <w:tcW w:w="841" w:type="pct"/>
          </w:tcPr>
          <w:p w14:paraId="12EFBF41" w14:textId="030D7B4C" w:rsidR="0038544D" w:rsidRPr="008B335E" w:rsidRDefault="0038544D" w:rsidP="0038544D">
            <w:pPr>
              <w:jc w:val="center"/>
              <w:textAlignment w:val="top"/>
              <w:rPr>
                <w:rFonts w:eastAsiaTheme="minorHAnsi"/>
                <w:sz w:val="16"/>
                <w:szCs w:val="16"/>
              </w:rPr>
            </w:pPr>
            <w:r w:rsidRPr="008B335E">
              <w:rPr>
                <w:rFonts w:eastAsiaTheme="minorHAnsi"/>
                <w:sz w:val="16"/>
                <w:szCs w:val="16"/>
              </w:rPr>
              <w:t>100% Complete</w:t>
            </w:r>
          </w:p>
        </w:tc>
        <w:tc>
          <w:tcPr>
            <w:tcW w:w="764" w:type="pct"/>
          </w:tcPr>
          <w:p w14:paraId="1288E1A7" w14:textId="1BBB6B87" w:rsidR="0038544D" w:rsidRPr="008B335E" w:rsidRDefault="0038544D" w:rsidP="0038544D">
            <w:pPr>
              <w:textAlignment w:val="top"/>
              <w:rPr>
                <w:rFonts w:eastAsiaTheme="minorHAnsi"/>
                <w:sz w:val="16"/>
                <w:szCs w:val="16"/>
              </w:rPr>
            </w:pPr>
            <w:r w:rsidRPr="008B335E">
              <w:rPr>
                <w:rFonts w:eastAsiaTheme="minorHAnsi"/>
                <w:sz w:val="16"/>
                <w:szCs w:val="16"/>
              </w:rPr>
              <w:t>Done by internal team</w:t>
            </w:r>
          </w:p>
        </w:tc>
      </w:tr>
      <w:tr w:rsidR="0038544D" w:rsidRPr="008B335E" w14:paraId="5391C3DD" w14:textId="77777777" w:rsidTr="003D0B0F">
        <w:trPr>
          <w:trHeight w:val="355"/>
        </w:trPr>
        <w:tc>
          <w:tcPr>
            <w:tcW w:w="621" w:type="pct"/>
          </w:tcPr>
          <w:p w14:paraId="1DF87A09" w14:textId="0018CB5A" w:rsidR="0038544D" w:rsidRPr="008B335E" w:rsidRDefault="0038544D" w:rsidP="0038544D">
            <w:pPr>
              <w:textAlignment w:val="top"/>
              <w:rPr>
                <w:rFonts w:eastAsiaTheme="minorHAnsi"/>
                <w:sz w:val="16"/>
                <w:szCs w:val="16"/>
              </w:rPr>
            </w:pPr>
            <w:r w:rsidRPr="008B335E">
              <w:rPr>
                <w:rFonts w:eastAsiaTheme="minorHAnsi"/>
                <w:sz w:val="16"/>
                <w:szCs w:val="16"/>
              </w:rPr>
              <w:t>Betterment &amp; Regravelling</w:t>
            </w:r>
          </w:p>
        </w:tc>
        <w:tc>
          <w:tcPr>
            <w:tcW w:w="760" w:type="pct"/>
          </w:tcPr>
          <w:p w14:paraId="606E6410" w14:textId="523DDCBD" w:rsidR="0038544D" w:rsidRPr="008B335E" w:rsidRDefault="0038544D" w:rsidP="0038544D">
            <w:pPr>
              <w:textAlignment w:val="top"/>
              <w:rPr>
                <w:rFonts w:eastAsiaTheme="minorHAnsi"/>
                <w:sz w:val="16"/>
                <w:szCs w:val="16"/>
              </w:rPr>
            </w:pPr>
            <w:r w:rsidRPr="008B335E">
              <w:rPr>
                <w:rFonts w:eastAsiaTheme="minorHAnsi"/>
                <w:sz w:val="16"/>
                <w:szCs w:val="16"/>
              </w:rPr>
              <w:t>Mbongolwane</w:t>
            </w:r>
          </w:p>
        </w:tc>
        <w:tc>
          <w:tcPr>
            <w:tcW w:w="743" w:type="pct"/>
          </w:tcPr>
          <w:p w14:paraId="0601ADE1" w14:textId="2A4A1C79" w:rsidR="0038544D" w:rsidRPr="008B335E" w:rsidRDefault="0038544D" w:rsidP="0038544D">
            <w:pPr>
              <w:jc w:val="center"/>
              <w:textAlignment w:val="top"/>
              <w:rPr>
                <w:rFonts w:eastAsiaTheme="minorHAnsi"/>
                <w:sz w:val="16"/>
                <w:szCs w:val="16"/>
              </w:rPr>
            </w:pPr>
            <w:r w:rsidRPr="008B335E">
              <w:rPr>
                <w:rFonts w:eastAsiaTheme="minorHAnsi"/>
                <w:sz w:val="16"/>
                <w:szCs w:val="16"/>
              </w:rPr>
              <w:t>Ward 2</w:t>
            </w:r>
          </w:p>
        </w:tc>
        <w:tc>
          <w:tcPr>
            <w:tcW w:w="621" w:type="pct"/>
          </w:tcPr>
          <w:p w14:paraId="09785214" w14:textId="78331EF4" w:rsidR="0038544D" w:rsidRPr="008B335E" w:rsidRDefault="0038544D" w:rsidP="0038544D">
            <w:pPr>
              <w:jc w:val="center"/>
              <w:textAlignment w:val="top"/>
              <w:rPr>
                <w:rFonts w:eastAsiaTheme="minorHAnsi"/>
                <w:sz w:val="16"/>
                <w:szCs w:val="16"/>
              </w:rPr>
            </w:pPr>
            <w:r w:rsidRPr="008B335E">
              <w:rPr>
                <w:rFonts w:eastAsiaTheme="minorHAnsi"/>
                <w:sz w:val="16"/>
                <w:szCs w:val="16"/>
              </w:rPr>
              <w:t>L588</w:t>
            </w:r>
          </w:p>
        </w:tc>
        <w:tc>
          <w:tcPr>
            <w:tcW w:w="650" w:type="pct"/>
          </w:tcPr>
          <w:p w14:paraId="67F18BBA" w14:textId="28F53C17" w:rsidR="0038544D" w:rsidRPr="008B335E" w:rsidRDefault="0038544D" w:rsidP="0038544D">
            <w:pPr>
              <w:jc w:val="center"/>
              <w:textAlignment w:val="top"/>
              <w:rPr>
                <w:rFonts w:eastAsiaTheme="minorHAnsi"/>
                <w:sz w:val="16"/>
                <w:szCs w:val="16"/>
              </w:rPr>
            </w:pPr>
            <w:r w:rsidRPr="008B335E">
              <w:rPr>
                <w:rFonts w:eastAsiaTheme="minorHAnsi"/>
                <w:sz w:val="16"/>
                <w:szCs w:val="16"/>
              </w:rPr>
              <w:t>3,4</w:t>
            </w:r>
          </w:p>
        </w:tc>
        <w:tc>
          <w:tcPr>
            <w:tcW w:w="841" w:type="pct"/>
          </w:tcPr>
          <w:p w14:paraId="388A3CD5" w14:textId="373FD4B2" w:rsidR="0038544D" w:rsidRPr="008B335E" w:rsidRDefault="0038544D" w:rsidP="0038544D">
            <w:pPr>
              <w:jc w:val="center"/>
              <w:textAlignment w:val="top"/>
              <w:rPr>
                <w:rFonts w:eastAsiaTheme="minorHAnsi"/>
                <w:sz w:val="16"/>
                <w:szCs w:val="16"/>
              </w:rPr>
            </w:pPr>
            <w:r w:rsidRPr="008B335E">
              <w:rPr>
                <w:rFonts w:eastAsiaTheme="minorHAnsi"/>
                <w:sz w:val="16"/>
                <w:szCs w:val="16"/>
              </w:rPr>
              <w:t>41-80% Complete</w:t>
            </w:r>
          </w:p>
        </w:tc>
        <w:tc>
          <w:tcPr>
            <w:tcW w:w="764" w:type="pct"/>
          </w:tcPr>
          <w:p w14:paraId="2A4C7E30" w14:textId="77777777" w:rsidR="0038544D" w:rsidRPr="008B335E" w:rsidRDefault="0038544D" w:rsidP="0038544D">
            <w:pPr>
              <w:textAlignment w:val="top"/>
              <w:rPr>
                <w:rFonts w:eastAsiaTheme="minorHAnsi"/>
                <w:sz w:val="16"/>
                <w:szCs w:val="16"/>
              </w:rPr>
            </w:pPr>
          </w:p>
        </w:tc>
      </w:tr>
    </w:tbl>
    <w:p w14:paraId="051D08C1" w14:textId="77777777" w:rsidR="008B335E" w:rsidRPr="008B335E" w:rsidRDefault="008B335E" w:rsidP="008B335E">
      <w:pPr>
        <w:spacing w:after="0" w:line="240" w:lineRule="auto"/>
        <w:textAlignment w:val="top"/>
        <w:rPr>
          <w:sz w:val="16"/>
          <w:szCs w:val="16"/>
        </w:rPr>
      </w:pPr>
    </w:p>
    <w:p w14:paraId="37A26AC9" w14:textId="3E2BC4A5" w:rsidR="00036D64" w:rsidRPr="009B5520" w:rsidRDefault="00036D64" w:rsidP="00036D64">
      <w:pPr>
        <w:pStyle w:val="Caption"/>
        <w:rPr>
          <w:color w:val="FF0000"/>
        </w:rPr>
      </w:pPr>
      <w:bookmarkStart w:id="296" w:name="_Toc510622283"/>
      <w:r w:rsidRPr="00034077">
        <w:rPr>
          <w:highlight w:val="yellow"/>
        </w:rPr>
        <w:t xml:space="preserve">Table </w:t>
      </w:r>
      <w:r w:rsidR="003F1888" w:rsidRPr="00034077">
        <w:rPr>
          <w:highlight w:val="yellow"/>
        </w:rPr>
        <w:fldChar w:fldCharType="begin"/>
      </w:r>
      <w:r w:rsidR="003F1888" w:rsidRPr="00034077">
        <w:rPr>
          <w:highlight w:val="yellow"/>
        </w:rPr>
        <w:instrText xml:space="preserve"> SEQ Table \* ARABIC </w:instrText>
      </w:r>
      <w:r w:rsidR="003F1888" w:rsidRPr="00034077">
        <w:rPr>
          <w:highlight w:val="yellow"/>
        </w:rPr>
        <w:fldChar w:fldCharType="separate"/>
      </w:r>
      <w:r w:rsidR="0067023A">
        <w:rPr>
          <w:noProof/>
          <w:highlight w:val="yellow"/>
        </w:rPr>
        <w:t>33</w:t>
      </w:r>
      <w:r w:rsidR="003F1888" w:rsidRPr="00034077">
        <w:rPr>
          <w:noProof/>
          <w:highlight w:val="yellow"/>
        </w:rPr>
        <w:fldChar w:fldCharType="end"/>
      </w:r>
      <w:r w:rsidRPr="00034077">
        <w:rPr>
          <w:highlight w:val="yellow"/>
        </w:rPr>
        <w:t>: D</w:t>
      </w:r>
      <w:r w:rsidR="009B5520" w:rsidRPr="00034077">
        <w:rPr>
          <w:highlight w:val="yellow"/>
        </w:rPr>
        <w:t>oT Rural Roads Projects (2018/19</w:t>
      </w:r>
      <w:r w:rsidRPr="00034077">
        <w:rPr>
          <w:highlight w:val="yellow"/>
        </w:rPr>
        <w:t>)</w:t>
      </w:r>
      <w:bookmarkEnd w:id="296"/>
      <w:r w:rsidR="009B5520">
        <w:t xml:space="preserve"> </w:t>
      </w:r>
    </w:p>
    <w:p w14:paraId="6423D2FA" w14:textId="1DF3640D" w:rsidR="0037082E" w:rsidRPr="00176CEC" w:rsidRDefault="004D7441" w:rsidP="00750180">
      <w:pPr>
        <w:pStyle w:val="Heading3"/>
        <w:numPr>
          <w:ilvl w:val="2"/>
          <w:numId w:val="29"/>
        </w:numPr>
        <w:spacing w:after="240"/>
      </w:pPr>
      <w:bookmarkStart w:id="297" w:name="_Toc510706622"/>
      <w:r w:rsidRPr="00176CEC">
        <w:t>ENERGY</w:t>
      </w:r>
      <w:bookmarkEnd w:id="295"/>
      <w:bookmarkEnd w:id="297"/>
    </w:p>
    <w:p w14:paraId="3D4F943D" w14:textId="5F0DC1A0" w:rsidR="00677BAD" w:rsidRDefault="000C1B85" w:rsidP="00751106">
      <w:pPr>
        <w:jc w:val="both"/>
        <w:rPr>
          <w:rFonts w:cs="Calibri"/>
          <w:color w:val="000000" w:themeColor="text1"/>
        </w:rPr>
      </w:pPr>
      <w:r w:rsidRPr="0053273D">
        <w:rPr>
          <w:rFonts w:cs="Calibri"/>
          <w:color w:val="000000" w:themeColor="text1"/>
        </w:rPr>
        <w:t xml:space="preserve">The municipality is the electricity service provider for Eshowe, KDS, Sunnydale and Mpushini Park areas and the majority of the municipal area is supplied by ESKOM. </w:t>
      </w:r>
      <w:r w:rsidR="0053273D" w:rsidRPr="0053273D">
        <w:rPr>
          <w:rFonts w:cs="Calibri"/>
          <w:color w:val="000000" w:themeColor="text1"/>
        </w:rPr>
        <w:t>The muni</w:t>
      </w:r>
      <w:r w:rsidR="0053273D">
        <w:rPr>
          <w:rFonts w:cs="Calibri"/>
          <w:color w:val="000000" w:themeColor="text1"/>
        </w:rPr>
        <w:t xml:space="preserve">cipality receives a grant through the INEP grant funding through which the municipality carries out Schedule 5 electrification projects which are prioritized in terms of the CBP and WBP. A similar process is carried out with infills, whereby councillors identify various type infills within the ward which then forms part of the Infills Electrification Plan. There are however some challenges with regards to infills as the municipality receives a limited budget to effectively carry out these projects. </w:t>
      </w:r>
    </w:p>
    <w:p w14:paraId="30F6C286" w14:textId="77777777" w:rsidR="00D902E8" w:rsidRDefault="00677BAD" w:rsidP="00031AA5">
      <w:pPr>
        <w:spacing w:line="288" w:lineRule="auto"/>
        <w:jc w:val="both"/>
        <w:rPr>
          <w:szCs w:val="20"/>
        </w:rPr>
      </w:pPr>
      <w:r w:rsidRPr="00881795">
        <w:rPr>
          <w:szCs w:val="20"/>
        </w:rPr>
        <w:t xml:space="preserve">The following table </w:t>
      </w:r>
      <w:r w:rsidR="006E1C0C">
        <w:rPr>
          <w:szCs w:val="20"/>
        </w:rPr>
        <w:t xml:space="preserve">depicts the types of electricity usage within the municipal area; </w:t>
      </w:r>
    </w:p>
    <w:p w14:paraId="05916AC5" w14:textId="77777777" w:rsidR="00677BAD" w:rsidRPr="00881795" w:rsidRDefault="00677BAD" w:rsidP="002F62F0">
      <w:pPr>
        <w:pStyle w:val="Caption"/>
      </w:pPr>
      <w:bookmarkStart w:id="298" w:name="_Toc389739884"/>
      <w:bookmarkStart w:id="299" w:name="_Toc510622284"/>
      <w:r w:rsidRPr="00881795">
        <w:t xml:space="preserve">Table </w:t>
      </w:r>
      <w:r w:rsidR="00D55BDA" w:rsidRPr="00881795">
        <w:fldChar w:fldCharType="begin"/>
      </w:r>
      <w:r w:rsidRPr="00881795">
        <w:instrText xml:space="preserve"> SEQ Table \* ARABIC </w:instrText>
      </w:r>
      <w:r w:rsidR="00D55BDA" w:rsidRPr="00881795">
        <w:fldChar w:fldCharType="separate"/>
      </w:r>
      <w:r w:rsidR="0067023A">
        <w:rPr>
          <w:noProof/>
        </w:rPr>
        <w:t>34</w:t>
      </w:r>
      <w:r w:rsidR="00D55BDA" w:rsidRPr="00881795">
        <w:fldChar w:fldCharType="end"/>
      </w:r>
      <w:r w:rsidR="006E1C0C">
        <w:t>: Electricity Usage – 2011</w:t>
      </w:r>
      <w:r w:rsidRPr="00881795">
        <w:t xml:space="preserve"> and 201</w:t>
      </w:r>
      <w:bookmarkEnd w:id="298"/>
      <w:r w:rsidR="006E1C0C">
        <w:t>6</w:t>
      </w:r>
      <w:bookmarkEnd w:id="299"/>
      <w:r w:rsidR="00FE6BFB" w:rsidRPr="00FE6BFB">
        <w:t xml:space="preserve"> </w:t>
      </w:r>
      <w:r w:rsidR="00FE6BFB">
        <w:tab/>
      </w:r>
      <w:r w:rsidR="00FE6BFB">
        <w:tab/>
      </w:r>
    </w:p>
    <w:tbl>
      <w:tblPr>
        <w:tblW w:w="9444" w:type="dxa"/>
        <w:tblInd w:w="98" w:type="dxa"/>
        <w:tblLook w:val="04A0" w:firstRow="1" w:lastRow="0" w:firstColumn="1" w:lastColumn="0" w:noHBand="0" w:noVBand="1"/>
      </w:tblPr>
      <w:tblGrid>
        <w:gridCol w:w="3720"/>
        <w:gridCol w:w="3380"/>
        <w:gridCol w:w="2344"/>
      </w:tblGrid>
      <w:tr w:rsidR="006E1C0C" w:rsidRPr="00881795" w14:paraId="3F11635A" w14:textId="77777777" w:rsidTr="006E1C0C">
        <w:trPr>
          <w:trHeight w:val="250"/>
        </w:trPr>
        <w:tc>
          <w:tcPr>
            <w:tcW w:w="3720" w:type="dxa"/>
            <w:tcBorders>
              <w:top w:val="single" w:sz="8" w:space="0" w:color="auto"/>
              <w:left w:val="single" w:sz="8" w:space="0" w:color="auto"/>
              <w:bottom w:val="single" w:sz="8" w:space="0" w:color="auto"/>
              <w:right w:val="single" w:sz="8" w:space="0" w:color="auto"/>
            </w:tcBorders>
            <w:shd w:val="clear" w:color="auto" w:fill="DAEEF3" w:themeFill="accent5" w:themeFillTint="33"/>
            <w:vAlign w:val="center"/>
            <w:hideMark/>
          </w:tcPr>
          <w:p w14:paraId="36B9C41C" w14:textId="77777777" w:rsidR="006E1C0C" w:rsidRPr="00881795" w:rsidRDefault="006E1C0C" w:rsidP="00655B94">
            <w:pPr>
              <w:spacing w:after="0" w:line="240" w:lineRule="auto"/>
              <w:jc w:val="both"/>
              <w:rPr>
                <w:rFonts w:eastAsia="Times New Roman" w:cs="Times New Roman"/>
                <w:b/>
                <w:color w:val="212121"/>
                <w:szCs w:val="20"/>
                <w:lang w:eastAsia="en-ZA"/>
              </w:rPr>
            </w:pPr>
            <w:r w:rsidRPr="00881795">
              <w:rPr>
                <w:rFonts w:eastAsia="Times New Roman" w:cs="Times New Roman"/>
                <w:b/>
                <w:color w:val="212121"/>
                <w:szCs w:val="20"/>
                <w:lang w:eastAsia="en-ZA"/>
              </w:rPr>
              <w:t>Usage of Electricity</w:t>
            </w:r>
          </w:p>
        </w:tc>
        <w:tc>
          <w:tcPr>
            <w:tcW w:w="3380" w:type="dxa"/>
            <w:tcBorders>
              <w:top w:val="single" w:sz="8" w:space="0" w:color="auto"/>
              <w:left w:val="nil"/>
              <w:bottom w:val="single" w:sz="8" w:space="0" w:color="auto"/>
              <w:right w:val="single" w:sz="8" w:space="0" w:color="auto"/>
            </w:tcBorders>
            <w:shd w:val="clear" w:color="auto" w:fill="DAEEF3" w:themeFill="accent5" w:themeFillTint="33"/>
            <w:vAlign w:val="center"/>
            <w:hideMark/>
          </w:tcPr>
          <w:p w14:paraId="0FA53706" w14:textId="77777777" w:rsidR="006E1C0C" w:rsidRPr="00881795" w:rsidRDefault="006E1C0C" w:rsidP="00655B94">
            <w:pPr>
              <w:spacing w:after="0" w:line="240" w:lineRule="auto"/>
              <w:jc w:val="both"/>
              <w:rPr>
                <w:rFonts w:eastAsia="Times New Roman" w:cs="Times New Roman"/>
                <w:b/>
                <w:color w:val="212121"/>
                <w:szCs w:val="20"/>
                <w:lang w:eastAsia="en-ZA"/>
              </w:rPr>
            </w:pPr>
            <w:r w:rsidRPr="00881795">
              <w:rPr>
                <w:rFonts w:eastAsia="Times New Roman" w:cs="Times New Roman"/>
                <w:b/>
                <w:color w:val="212121"/>
                <w:szCs w:val="20"/>
                <w:lang w:eastAsia="en-ZA"/>
              </w:rPr>
              <w:t>2011</w:t>
            </w:r>
          </w:p>
        </w:tc>
        <w:tc>
          <w:tcPr>
            <w:tcW w:w="2344" w:type="dxa"/>
            <w:tcBorders>
              <w:top w:val="single" w:sz="8" w:space="0" w:color="auto"/>
              <w:left w:val="nil"/>
              <w:bottom w:val="single" w:sz="8" w:space="0" w:color="auto"/>
              <w:right w:val="single" w:sz="8" w:space="0" w:color="auto"/>
            </w:tcBorders>
            <w:shd w:val="clear" w:color="auto" w:fill="DAEEF3" w:themeFill="accent5" w:themeFillTint="33"/>
          </w:tcPr>
          <w:p w14:paraId="503C9448" w14:textId="77777777" w:rsidR="006E1C0C" w:rsidRPr="00881795" w:rsidRDefault="006E1C0C" w:rsidP="00655B94">
            <w:pPr>
              <w:spacing w:after="0" w:line="240" w:lineRule="auto"/>
              <w:jc w:val="both"/>
              <w:rPr>
                <w:rFonts w:eastAsia="Times New Roman" w:cs="Times New Roman"/>
                <w:b/>
                <w:color w:val="212121"/>
                <w:szCs w:val="20"/>
                <w:lang w:eastAsia="en-ZA"/>
              </w:rPr>
            </w:pPr>
            <w:r>
              <w:rPr>
                <w:rFonts w:eastAsia="Times New Roman" w:cs="Times New Roman"/>
                <w:b/>
                <w:color w:val="212121"/>
                <w:szCs w:val="20"/>
                <w:lang w:eastAsia="en-ZA"/>
              </w:rPr>
              <w:t xml:space="preserve">2016 </w:t>
            </w:r>
          </w:p>
        </w:tc>
      </w:tr>
      <w:tr w:rsidR="006E1C0C" w:rsidRPr="00881795" w14:paraId="6ACDA600" w14:textId="77777777" w:rsidTr="006E1C0C">
        <w:trPr>
          <w:trHeight w:val="250"/>
        </w:trPr>
        <w:tc>
          <w:tcPr>
            <w:tcW w:w="3720" w:type="dxa"/>
            <w:tcBorders>
              <w:top w:val="nil"/>
              <w:left w:val="single" w:sz="8" w:space="0" w:color="auto"/>
              <w:bottom w:val="single" w:sz="4" w:space="0" w:color="auto"/>
              <w:right w:val="single" w:sz="8" w:space="0" w:color="auto"/>
            </w:tcBorders>
            <w:shd w:val="clear" w:color="auto" w:fill="DAEEF3" w:themeFill="accent5" w:themeFillTint="33"/>
            <w:vAlign w:val="center"/>
            <w:hideMark/>
          </w:tcPr>
          <w:p w14:paraId="191D3B54" w14:textId="77777777" w:rsidR="006E1C0C" w:rsidRPr="00881795" w:rsidRDefault="006E1C0C" w:rsidP="00655B94">
            <w:pPr>
              <w:spacing w:after="0" w:line="240" w:lineRule="auto"/>
              <w:jc w:val="both"/>
              <w:rPr>
                <w:rFonts w:eastAsia="Times New Roman" w:cs="Times New Roman"/>
                <w:color w:val="000000"/>
                <w:szCs w:val="20"/>
                <w:lang w:eastAsia="en-ZA"/>
              </w:rPr>
            </w:pPr>
            <w:r w:rsidRPr="00881795">
              <w:rPr>
                <w:rFonts w:eastAsia="Times New Roman" w:cs="Times New Roman"/>
                <w:color w:val="000000"/>
                <w:szCs w:val="20"/>
                <w:lang w:eastAsia="en-ZA"/>
              </w:rPr>
              <w:t>Lighting</w:t>
            </w:r>
          </w:p>
        </w:tc>
        <w:tc>
          <w:tcPr>
            <w:tcW w:w="3380" w:type="dxa"/>
            <w:tcBorders>
              <w:top w:val="nil"/>
              <w:left w:val="nil"/>
              <w:bottom w:val="single" w:sz="4" w:space="0" w:color="auto"/>
              <w:right w:val="single" w:sz="8" w:space="0" w:color="auto"/>
            </w:tcBorders>
            <w:shd w:val="clear" w:color="000000" w:fill="FFFFFF"/>
            <w:vAlign w:val="center"/>
            <w:hideMark/>
          </w:tcPr>
          <w:p w14:paraId="1179D1DF" w14:textId="77777777" w:rsidR="006E1C0C" w:rsidRPr="00881795" w:rsidRDefault="006E1C0C" w:rsidP="00655B94">
            <w:pPr>
              <w:spacing w:after="0" w:line="240" w:lineRule="auto"/>
              <w:jc w:val="both"/>
              <w:rPr>
                <w:rFonts w:eastAsia="Times New Roman" w:cs="Times New Roman"/>
                <w:color w:val="212121"/>
                <w:szCs w:val="20"/>
                <w:lang w:eastAsia="en-ZA"/>
              </w:rPr>
            </w:pPr>
            <w:r w:rsidRPr="00881795">
              <w:rPr>
                <w:rFonts w:eastAsia="Times New Roman" w:cs="Times New Roman"/>
                <w:color w:val="212121"/>
                <w:szCs w:val="20"/>
                <w:lang w:eastAsia="en-ZA"/>
              </w:rPr>
              <w:t>26 238</w:t>
            </w:r>
          </w:p>
        </w:tc>
        <w:tc>
          <w:tcPr>
            <w:tcW w:w="2344" w:type="dxa"/>
            <w:tcBorders>
              <w:top w:val="nil"/>
              <w:left w:val="nil"/>
              <w:bottom w:val="single" w:sz="4" w:space="0" w:color="auto"/>
              <w:right w:val="single" w:sz="8" w:space="0" w:color="auto"/>
            </w:tcBorders>
            <w:shd w:val="clear" w:color="000000" w:fill="FFFFFF"/>
          </w:tcPr>
          <w:p w14:paraId="09750F03" w14:textId="77777777" w:rsidR="006E1C0C" w:rsidRPr="00881795" w:rsidRDefault="006E1C0C" w:rsidP="000F5031">
            <w:pPr>
              <w:spacing w:after="0" w:line="240" w:lineRule="auto"/>
              <w:jc w:val="both"/>
              <w:rPr>
                <w:rFonts w:eastAsia="Times New Roman" w:cs="Times New Roman"/>
                <w:color w:val="212121"/>
                <w:szCs w:val="20"/>
                <w:lang w:eastAsia="en-ZA"/>
              </w:rPr>
            </w:pPr>
            <w:r w:rsidRPr="006E1C0C">
              <w:rPr>
                <w:rFonts w:eastAsia="Times New Roman" w:cs="Times New Roman"/>
                <w:color w:val="212121"/>
                <w:szCs w:val="20"/>
                <w:lang w:eastAsia="en-ZA"/>
              </w:rPr>
              <w:t>38</w:t>
            </w:r>
            <w:r w:rsidR="000F5031">
              <w:rPr>
                <w:rFonts w:eastAsia="Times New Roman" w:cs="Times New Roman"/>
                <w:color w:val="212121"/>
                <w:szCs w:val="20"/>
                <w:lang w:eastAsia="en-ZA"/>
              </w:rPr>
              <w:t> </w:t>
            </w:r>
            <w:r w:rsidRPr="006E1C0C">
              <w:rPr>
                <w:rFonts w:eastAsia="Times New Roman" w:cs="Times New Roman"/>
                <w:color w:val="212121"/>
                <w:szCs w:val="20"/>
                <w:lang w:eastAsia="en-ZA"/>
              </w:rPr>
              <w:t>193</w:t>
            </w:r>
            <w:r w:rsidR="000F5031">
              <w:rPr>
                <w:rFonts w:eastAsia="Times New Roman" w:cs="Times New Roman"/>
                <w:color w:val="212121"/>
                <w:szCs w:val="20"/>
                <w:lang w:eastAsia="en-ZA"/>
              </w:rPr>
              <w:t xml:space="preserve"> (</w:t>
            </w:r>
            <w:r w:rsidR="000F5031" w:rsidRPr="000F5031">
              <w:rPr>
                <w:rFonts w:eastAsia="Times New Roman" w:cs="Times New Roman"/>
                <w:color w:val="212121"/>
                <w:szCs w:val="20"/>
                <w:lang w:eastAsia="en-ZA"/>
              </w:rPr>
              <w:t>81,6%</w:t>
            </w:r>
            <w:r w:rsidR="000F5031">
              <w:rPr>
                <w:rFonts w:eastAsia="Times New Roman" w:cs="Times New Roman"/>
                <w:color w:val="212121"/>
                <w:szCs w:val="20"/>
                <w:lang w:eastAsia="en-ZA"/>
              </w:rPr>
              <w:t>)</w:t>
            </w:r>
          </w:p>
        </w:tc>
      </w:tr>
      <w:tr w:rsidR="006E1C0C" w:rsidRPr="00881795" w14:paraId="69E68C33" w14:textId="77777777" w:rsidTr="006E1C0C">
        <w:trPr>
          <w:trHeight w:val="250"/>
        </w:trPr>
        <w:tc>
          <w:tcPr>
            <w:tcW w:w="3720" w:type="dxa"/>
            <w:tcBorders>
              <w:top w:val="nil"/>
              <w:left w:val="single" w:sz="8" w:space="0" w:color="auto"/>
              <w:bottom w:val="single" w:sz="4" w:space="0" w:color="auto"/>
              <w:right w:val="single" w:sz="8" w:space="0" w:color="auto"/>
            </w:tcBorders>
            <w:shd w:val="clear" w:color="auto" w:fill="DAEEF3" w:themeFill="accent5" w:themeFillTint="33"/>
            <w:noWrap/>
            <w:vAlign w:val="center"/>
            <w:hideMark/>
          </w:tcPr>
          <w:p w14:paraId="6E664BE1" w14:textId="77777777" w:rsidR="006E1C0C" w:rsidRPr="00881795" w:rsidRDefault="006E1C0C" w:rsidP="00655B94">
            <w:pPr>
              <w:spacing w:after="0" w:line="240" w:lineRule="auto"/>
              <w:jc w:val="both"/>
              <w:rPr>
                <w:rFonts w:eastAsia="Times New Roman" w:cs="Times New Roman"/>
                <w:color w:val="000000"/>
                <w:szCs w:val="20"/>
                <w:lang w:eastAsia="en-ZA"/>
              </w:rPr>
            </w:pPr>
            <w:r w:rsidRPr="00881795">
              <w:rPr>
                <w:rFonts w:eastAsia="Times New Roman" w:cs="Times New Roman"/>
                <w:color w:val="000000"/>
                <w:szCs w:val="20"/>
                <w:lang w:eastAsia="en-ZA"/>
              </w:rPr>
              <w:t>Heating</w:t>
            </w:r>
          </w:p>
        </w:tc>
        <w:tc>
          <w:tcPr>
            <w:tcW w:w="3380" w:type="dxa"/>
            <w:tcBorders>
              <w:top w:val="nil"/>
              <w:left w:val="nil"/>
              <w:bottom w:val="single" w:sz="4" w:space="0" w:color="auto"/>
              <w:right w:val="single" w:sz="8" w:space="0" w:color="auto"/>
            </w:tcBorders>
            <w:shd w:val="clear" w:color="000000" w:fill="FFFFFF"/>
            <w:vAlign w:val="center"/>
            <w:hideMark/>
          </w:tcPr>
          <w:p w14:paraId="6579D692" w14:textId="77777777" w:rsidR="006E1C0C" w:rsidRPr="00881795" w:rsidRDefault="006E1C0C" w:rsidP="00655B94">
            <w:pPr>
              <w:spacing w:after="0" w:line="240" w:lineRule="auto"/>
              <w:jc w:val="both"/>
              <w:rPr>
                <w:rFonts w:eastAsia="Times New Roman" w:cs="Times New Roman"/>
                <w:color w:val="000000"/>
                <w:szCs w:val="20"/>
                <w:lang w:eastAsia="en-ZA"/>
              </w:rPr>
            </w:pPr>
            <w:r w:rsidRPr="00881795">
              <w:rPr>
                <w:rFonts w:eastAsia="Times New Roman" w:cs="Times New Roman"/>
                <w:color w:val="000000"/>
                <w:szCs w:val="20"/>
                <w:lang w:eastAsia="en-ZA"/>
              </w:rPr>
              <w:t>16 016</w:t>
            </w:r>
          </w:p>
        </w:tc>
        <w:tc>
          <w:tcPr>
            <w:tcW w:w="2344" w:type="dxa"/>
            <w:tcBorders>
              <w:top w:val="nil"/>
              <w:left w:val="nil"/>
              <w:bottom w:val="single" w:sz="4" w:space="0" w:color="auto"/>
              <w:right w:val="single" w:sz="8" w:space="0" w:color="auto"/>
            </w:tcBorders>
            <w:shd w:val="clear" w:color="000000" w:fill="FFFFFF"/>
          </w:tcPr>
          <w:p w14:paraId="0E29852B" w14:textId="77777777" w:rsidR="006E1C0C" w:rsidRPr="00881795" w:rsidRDefault="006E1C0C" w:rsidP="000F5031">
            <w:pPr>
              <w:spacing w:after="0" w:line="240" w:lineRule="auto"/>
              <w:jc w:val="both"/>
              <w:rPr>
                <w:rFonts w:eastAsia="Times New Roman" w:cs="Times New Roman"/>
                <w:color w:val="000000"/>
                <w:szCs w:val="20"/>
                <w:lang w:eastAsia="en-ZA"/>
              </w:rPr>
            </w:pPr>
            <w:r w:rsidRPr="006E1C0C">
              <w:rPr>
                <w:rFonts w:eastAsia="Times New Roman" w:cs="Times New Roman"/>
                <w:color w:val="000000"/>
                <w:szCs w:val="20"/>
                <w:lang w:eastAsia="en-ZA"/>
              </w:rPr>
              <w:t>31</w:t>
            </w:r>
            <w:r w:rsidR="000F5031">
              <w:rPr>
                <w:rFonts w:eastAsia="Times New Roman" w:cs="Times New Roman"/>
                <w:color w:val="000000"/>
                <w:szCs w:val="20"/>
                <w:lang w:eastAsia="en-ZA"/>
              </w:rPr>
              <w:t> </w:t>
            </w:r>
            <w:r w:rsidRPr="006E1C0C">
              <w:rPr>
                <w:rFonts w:eastAsia="Times New Roman" w:cs="Times New Roman"/>
                <w:color w:val="000000"/>
                <w:szCs w:val="20"/>
                <w:lang w:eastAsia="en-ZA"/>
              </w:rPr>
              <w:t>671</w:t>
            </w:r>
            <w:r w:rsidR="000F5031">
              <w:rPr>
                <w:rFonts w:eastAsia="Times New Roman" w:cs="Times New Roman"/>
                <w:color w:val="000000"/>
                <w:szCs w:val="20"/>
                <w:lang w:eastAsia="en-ZA"/>
              </w:rPr>
              <w:t xml:space="preserve"> (67.7%)</w:t>
            </w:r>
          </w:p>
        </w:tc>
      </w:tr>
      <w:tr w:rsidR="006E1C0C" w:rsidRPr="00881795" w14:paraId="19F6F5F7" w14:textId="77777777" w:rsidTr="006E1C0C">
        <w:trPr>
          <w:trHeight w:val="250"/>
        </w:trPr>
        <w:tc>
          <w:tcPr>
            <w:tcW w:w="3720" w:type="dxa"/>
            <w:tcBorders>
              <w:top w:val="nil"/>
              <w:left w:val="single" w:sz="8" w:space="0" w:color="auto"/>
              <w:bottom w:val="single" w:sz="8" w:space="0" w:color="auto"/>
              <w:right w:val="single" w:sz="8" w:space="0" w:color="auto"/>
            </w:tcBorders>
            <w:shd w:val="clear" w:color="auto" w:fill="DAEEF3" w:themeFill="accent5" w:themeFillTint="33"/>
            <w:noWrap/>
            <w:vAlign w:val="center"/>
            <w:hideMark/>
          </w:tcPr>
          <w:p w14:paraId="4C9D689A" w14:textId="77777777" w:rsidR="006E1C0C" w:rsidRPr="00881795" w:rsidRDefault="006E1C0C" w:rsidP="00655B94">
            <w:pPr>
              <w:spacing w:after="0" w:line="240" w:lineRule="auto"/>
              <w:jc w:val="both"/>
              <w:rPr>
                <w:rFonts w:eastAsia="Times New Roman" w:cs="Times New Roman"/>
                <w:color w:val="000000"/>
                <w:szCs w:val="20"/>
                <w:lang w:eastAsia="en-ZA"/>
              </w:rPr>
            </w:pPr>
            <w:r w:rsidRPr="00881795">
              <w:rPr>
                <w:rFonts w:eastAsia="Times New Roman" w:cs="Times New Roman"/>
                <w:color w:val="000000"/>
                <w:szCs w:val="20"/>
                <w:lang w:eastAsia="en-ZA"/>
              </w:rPr>
              <w:t>Cooking</w:t>
            </w:r>
          </w:p>
        </w:tc>
        <w:tc>
          <w:tcPr>
            <w:tcW w:w="3380" w:type="dxa"/>
            <w:tcBorders>
              <w:top w:val="nil"/>
              <w:left w:val="nil"/>
              <w:bottom w:val="single" w:sz="8" w:space="0" w:color="auto"/>
              <w:right w:val="single" w:sz="8" w:space="0" w:color="auto"/>
            </w:tcBorders>
            <w:shd w:val="clear" w:color="000000" w:fill="FFFFFF"/>
            <w:vAlign w:val="center"/>
            <w:hideMark/>
          </w:tcPr>
          <w:p w14:paraId="4DC2C13F" w14:textId="77777777" w:rsidR="006E1C0C" w:rsidRPr="00881795" w:rsidRDefault="006E1C0C" w:rsidP="00655B94">
            <w:pPr>
              <w:spacing w:after="0" w:line="240" w:lineRule="auto"/>
              <w:jc w:val="both"/>
              <w:rPr>
                <w:rFonts w:eastAsia="Times New Roman" w:cs="Times New Roman"/>
                <w:color w:val="434343"/>
                <w:szCs w:val="20"/>
                <w:lang w:eastAsia="en-ZA"/>
              </w:rPr>
            </w:pPr>
            <w:r w:rsidRPr="00881795">
              <w:rPr>
                <w:rFonts w:eastAsia="Times New Roman" w:cs="Times New Roman"/>
                <w:color w:val="434343"/>
                <w:szCs w:val="20"/>
                <w:lang w:eastAsia="en-ZA"/>
              </w:rPr>
              <w:t>20 505</w:t>
            </w:r>
          </w:p>
        </w:tc>
        <w:tc>
          <w:tcPr>
            <w:tcW w:w="2344" w:type="dxa"/>
            <w:tcBorders>
              <w:top w:val="nil"/>
              <w:left w:val="nil"/>
              <w:bottom w:val="single" w:sz="8" w:space="0" w:color="auto"/>
              <w:right w:val="single" w:sz="8" w:space="0" w:color="auto"/>
            </w:tcBorders>
            <w:shd w:val="clear" w:color="000000" w:fill="FFFFFF"/>
          </w:tcPr>
          <w:p w14:paraId="437C7DE8" w14:textId="77777777" w:rsidR="006E1C0C" w:rsidRPr="00881795" w:rsidRDefault="006E1C0C" w:rsidP="00655B94">
            <w:pPr>
              <w:spacing w:after="0" w:line="240" w:lineRule="auto"/>
              <w:jc w:val="both"/>
              <w:rPr>
                <w:rFonts w:eastAsia="Times New Roman" w:cs="Times New Roman"/>
                <w:color w:val="434343"/>
                <w:szCs w:val="20"/>
                <w:lang w:eastAsia="en-ZA"/>
              </w:rPr>
            </w:pPr>
            <w:r w:rsidRPr="006E1C0C">
              <w:rPr>
                <w:rFonts w:eastAsia="Times New Roman" w:cs="Times New Roman"/>
                <w:color w:val="434343"/>
                <w:szCs w:val="20"/>
                <w:lang w:eastAsia="en-ZA"/>
              </w:rPr>
              <w:t>32</w:t>
            </w:r>
            <w:r w:rsidR="000F5031">
              <w:rPr>
                <w:rFonts w:eastAsia="Times New Roman" w:cs="Times New Roman"/>
                <w:color w:val="434343"/>
                <w:szCs w:val="20"/>
                <w:lang w:eastAsia="en-ZA"/>
              </w:rPr>
              <w:t> </w:t>
            </w:r>
            <w:r w:rsidRPr="006E1C0C">
              <w:rPr>
                <w:rFonts w:eastAsia="Times New Roman" w:cs="Times New Roman"/>
                <w:color w:val="434343"/>
                <w:szCs w:val="20"/>
                <w:lang w:eastAsia="en-ZA"/>
              </w:rPr>
              <w:t>159</w:t>
            </w:r>
            <w:r w:rsidR="000F5031">
              <w:rPr>
                <w:rFonts w:eastAsia="Times New Roman" w:cs="Times New Roman"/>
                <w:color w:val="434343"/>
                <w:szCs w:val="20"/>
                <w:lang w:eastAsia="en-ZA"/>
              </w:rPr>
              <w:t xml:space="preserve"> </w:t>
            </w:r>
            <w:r w:rsidR="000F5031">
              <w:rPr>
                <w:rFonts w:eastAsia="Times New Roman" w:cs="Times New Roman"/>
                <w:color w:val="000000"/>
                <w:szCs w:val="20"/>
                <w:lang w:eastAsia="en-ZA"/>
              </w:rPr>
              <w:t>(68.5%)</w:t>
            </w:r>
          </w:p>
        </w:tc>
      </w:tr>
    </w:tbl>
    <w:p w14:paraId="3246BF8D" w14:textId="77777777" w:rsidR="00A858D7" w:rsidRDefault="00A858D7" w:rsidP="002F62F0">
      <w:pPr>
        <w:pStyle w:val="Caption"/>
      </w:pPr>
      <w:bookmarkStart w:id="300" w:name="_Toc350093603"/>
      <w:bookmarkStart w:id="301" w:name="_Toc389739891"/>
    </w:p>
    <w:p w14:paraId="5F2F4E40" w14:textId="77777777" w:rsidR="00A858D7" w:rsidRDefault="00A858D7" w:rsidP="002F62F0">
      <w:pPr>
        <w:pStyle w:val="Caption"/>
      </w:pPr>
      <w:r w:rsidRPr="00A858D7">
        <w:rPr>
          <w:noProof/>
        </w:rPr>
        <w:drawing>
          <wp:inline distT="0" distB="0" distL="0" distR="0" wp14:anchorId="7DA7B34C" wp14:editId="25965D54">
            <wp:extent cx="5038725" cy="1809750"/>
            <wp:effectExtent l="0" t="0" r="9525" b="0"/>
            <wp:docPr id="4112" name="Chart 4112"/>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34D9D8C6" w14:textId="77777777" w:rsidR="00F63033" w:rsidRDefault="006E1C0C" w:rsidP="002F62F0">
      <w:pPr>
        <w:pStyle w:val="Caption"/>
      </w:pPr>
      <w:bookmarkStart w:id="302" w:name="_Toc510622373"/>
      <w:r>
        <w:t>F</w:t>
      </w:r>
      <w:r w:rsidR="000F77E8">
        <w:t xml:space="preserve">igure </w:t>
      </w:r>
      <w:r w:rsidR="00B918A6">
        <w:fldChar w:fldCharType="begin"/>
      </w:r>
      <w:r w:rsidR="00B918A6">
        <w:instrText xml:space="preserve"> SEQ Figure \* ARABIC </w:instrText>
      </w:r>
      <w:r w:rsidR="00B918A6">
        <w:fldChar w:fldCharType="separate"/>
      </w:r>
      <w:r w:rsidR="0067023A">
        <w:rPr>
          <w:noProof/>
        </w:rPr>
        <w:t>12</w:t>
      </w:r>
      <w:r w:rsidR="00B918A6">
        <w:rPr>
          <w:noProof/>
        </w:rPr>
        <w:fldChar w:fldCharType="end"/>
      </w:r>
      <w:r w:rsidR="000F77E8">
        <w:t>: Electricity</w:t>
      </w:r>
      <w:r w:rsidR="00A858D7">
        <w:t xml:space="preserve"> Connection </w:t>
      </w:r>
      <w:r w:rsidR="00083908">
        <w:t>(</w:t>
      </w:r>
      <w:r w:rsidR="00A858D7">
        <w:t xml:space="preserve">CS </w:t>
      </w:r>
      <w:r w:rsidR="00083908">
        <w:t>2016)</w:t>
      </w:r>
      <w:bookmarkEnd w:id="302"/>
    </w:p>
    <w:p w14:paraId="489FEDA5" w14:textId="77777777" w:rsidR="00A719BE" w:rsidRDefault="00A719BE" w:rsidP="00A719BE"/>
    <w:p w14:paraId="3A6CB147" w14:textId="77777777" w:rsidR="00A719BE" w:rsidRPr="00A719BE" w:rsidRDefault="00A719BE" w:rsidP="00A719BE"/>
    <w:bookmarkEnd w:id="300"/>
    <w:bookmarkEnd w:id="301"/>
    <w:p w14:paraId="7A450999" w14:textId="7B8CB759" w:rsidR="0026453C" w:rsidRDefault="0026453C" w:rsidP="00750180">
      <w:pPr>
        <w:pStyle w:val="Heading4"/>
        <w:numPr>
          <w:ilvl w:val="3"/>
          <w:numId w:val="29"/>
        </w:numPr>
        <w:spacing w:after="240"/>
        <w:rPr>
          <w:highlight w:val="yellow"/>
        </w:rPr>
      </w:pPr>
      <w:r>
        <w:rPr>
          <w:highlight w:val="yellow"/>
        </w:rPr>
        <w:t>Eskom Infrastructure Plan</w:t>
      </w:r>
    </w:p>
    <w:p w14:paraId="5B68A869" w14:textId="7000A2A3" w:rsidR="00A719BE" w:rsidRPr="00A719BE" w:rsidRDefault="00A719BE" w:rsidP="00A719BE">
      <w:pPr>
        <w:rPr>
          <w:highlight w:val="yellow"/>
        </w:rPr>
      </w:pPr>
      <w:r>
        <w:rPr>
          <w:highlight w:val="yellow"/>
        </w:rPr>
        <w:t>Eskom has committed to the following Infrastructure Projects moving forward to 2022</w:t>
      </w:r>
      <w:r w:rsidR="007654F3">
        <w:rPr>
          <w:highlight w:val="yellow"/>
        </w:rPr>
        <w:t>;</w:t>
      </w:r>
    </w:p>
    <w:tbl>
      <w:tblPr>
        <w:tblStyle w:val="TableGrid13"/>
        <w:tblW w:w="5184" w:type="pct"/>
        <w:tblLook w:val="0420" w:firstRow="1" w:lastRow="0" w:firstColumn="0" w:lastColumn="0" w:noHBand="0" w:noVBand="1"/>
      </w:tblPr>
      <w:tblGrid>
        <w:gridCol w:w="458"/>
        <w:gridCol w:w="3507"/>
        <w:gridCol w:w="1630"/>
        <w:gridCol w:w="2062"/>
        <w:gridCol w:w="2326"/>
      </w:tblGrid>
      <w:tr w:rsidR="00A719BE" w:rsidRPr="00A719BE" w14:paraId="5B581AA3" w14:textId="77777777" w:rsidTr="00A719BE">
        <w:trPr>
          <w:trHeight w:val="199"/>
        </w:trPr>
        <w:tc>
          <w:tcPr>
            <w:tcW w:w="229" w:type="pct"/>
            <w:shd w:val="clear" w:color="auto" w:fill="BFBFBF" w:themeFill="background1" w:themeFillShade="BF"/>
            <w:hideMark/>
          </w:tcPr>
          <w:p w14:paraId="77C371D4" w14:textId="6A37C94C" w:rsidR="00A719BE" w:rsidRPr="00A719BE" w:rsidRDefault="00A719BE" w:rsidP="00A17AA7">
            <w:pPr>
              <w:rPr>
                <w:rFonts w:eastAsiaTheme="minorHAnsi" w:cs="Calibri"/>
                <w:b/>
                <w:color w:val="000000" w:themeColor="text1"/>
                <w:sz w:val="18"/>
                <w:szCs w:val="22"/>
              </w:rPr>
            </w:pPr>
            <w:r w:rsidRPr="00A719BE">
              <w:rPr>
                <w:rFonts w:eastAsiaTheme="minorHAnsi" w:cs="Calibri"/>
                <w:b/>
                <w:color w:val="000000" w:themeColor="text1"/>
                <w:sz w:val="18"/>
                <w:szCs w:val="22"/>
              </w:rPr>
              <w:t>NO</w:t>
            </w:r>
          </w:p>
        </w:tc>
        <w:tc>
          <w:tcPr>
            <w:tcW w:w="1756" w:type="pct"/>
            <w:shd w:val="clear" w:color="auto" w:fill="BFBFBF" w:themeFill="background1" w:themeFillShade="BF"/>
            <w:hideMark/>
          </w:tcPr>
          <w:p w14:paraId="1FF2B90B" w14:textId="77777777" w:rsidR="00A719BE" w:rsidRPr="00A719BE" w:rsidRDefault="00A719BE" w:rsidP="00A17AA7">
            <w:pPr>
              <w:jc w:val="center"/>
              <w:textAlignment w:val="center"/>
              <w:rPr>
                <w:rFonts w:eastAsiaTheme="minorHAnsi" w:cs="Calibri"/>
                <w:b/>
                <w:color w:val="000000" w:themeColor="text1"/>
                <w:sz w:val="18"/>
                <w:szCs w:val="22"/>
              </w:rPr>
            </w:pPr>
            <w:r w:rsidRPr="00A719BE">
              <w:rPr>
                <w:rFonts w:eastAsiaTheme="minorHAnsi" w:cs="Calibri"/>
                <w:b/>
                <w:color w:val="000000" w:themeColor="text1"/>
                <w:sz w:val="18"/>
                <w:szCs w:val="22"/>
              </w:rPr>
              <w:t>Project Name</w:t>
            </w:r>
          </w:p>
        </w:tc>
        <w:tc>
          <w:tcPr>
            <w:tcW w:w="816" w:type="pct"/>
            <w:shd w:val="clear" w:color="auto" w:fill="BFBFBF" w:themeFill="background1" w:themeFillShade="BF"/>
            <w:hideMark/>
          </w:tcPr>
          <w:p w14:paraId="3DB1AB8B" w14:textId="77777777" w:rsidR="00A719BE" w:rsidRPr="00A719BE" w:rsidRDefault="00A719BE" w:rsidP="00A17AA7">
            <w:pPr>
              <w:jc w:val="center"/>
              <w:textAlignment w:val="center"/>
              <w:rPr>
                <w:rFonts w:eastAsiaTheme="minorHAnsi" w:cs="Calibri"/>
                <w:b/>
                <w:color w:val="000000" w:themeColor="text1"/>
                <w:sz w:val="18"/>
                <w:szCs w:val="22"/>
              </w:rPr>
            </w:pPr>
            <w:r w:rsidRPr="00A719BE">
              <w:rPr>
                <w:rFonts w:eastAsiaTheme="minorHAnsi" w:cs="Calibri"/>
                <w:b/>
                <w:color w:val="000000" w:themeColor="text1"/>
                <w:sz w:val="18"/>
                <w:szCs w:val="22"/>
              </w:rPr>
              <w:t xml:space="preserve">Status </w:t>
            </w:r>
          </w:p>
        </w:tc>
        <w:tc>
          <w:tcPr>
            <w:tcW w:w="1033" w:type="pct"/>
            <w:shd w:val="clear" w:color="auto" w:fill="BFBFBF" w:themeFill="background1" w:themeFillShade="BF"/>
            <w:hideMark/>
          </w:tcPr>
          <w:p w14:paraId="640ED773" w14:textId="77777777" w:rsidR="00A719BE" w:rsidRPr="00A719BE" w:rsidRDefault="00A719BE" w:rsidP="00A17AA7">
            <w:pPr>
              <w:jc w:val="center"/>
              <w:textAlignment w:val="center"/>
              <w:rPr>
                <w:rFonts w:eastAsiaTheme="minorHAnsi" w:cs="Calibri"/>
                <w:b/>
                <w:color w:val="000000" w:themeColor="text1"/>
                <w:sz w:val="18"/>
                <w:szCs w:val="22"/>
              </w:rPr>
            </w:pPr>
            <w:r w:rsidRPr="00A719BE">
              <w:rPr>
                <w:rFonts w:eastAsiaTheme="minorHAnsi" w:cs="Calibri"/>
                <w:b/>
                <w:color w:val="000000" w:themeColor="text1"/>
                <w:sz w:val="18"/>
                <w:szCs w:val="22"/>
              </w:rPr>
              <w:t xml:space="preserve">Construction Start date </w:t>
            </w:r>
          </w:p>
        </w:tc>
        <w:tc>
          <w:tcPr>
            <w:tcW w:w="1165" w:type="pct"/>
            <w:shd w:val="clear" w:color="auto" w:fill="BFBFBF" w:themeFill="background1" w:themeFillShade="BF"/>
            <w:hideMark/>
          </w:tcPr>
          <w:p w14:paraId="286C3C75" w14:textId="77777777" w:rsidR="00A719BE" w:rsidRPr="00A719BE" w:rsidRDefault="00A719BE" w:rsidP="00A17AA7">
            <w:pPr>
              <w:jc w:val="center"/>
              <w:textAlignment w:val="center"/>
              <w:rPr>
                <w:rFonts w:eastAsiaTheme="minorHAnsi" w:cs="Calibri"/>
                <w:b/>
                <w:color w:val="000000" w:themeColor="text1"/>
                <w:sz w:val="18"/>
                <w:szCs w:val="22"/>
              </w:rPr>
            </w:pPr>
            <w:r w:rsidRPr="00A719BE">
              <w:rPr>
                <w:rFonts w:eastAsiaTheme="minorHAnsi" w:cs="Calibri"/>
                <w:b/>
                <w:color w:val="000000" w:themeColor="text1"/>
                <w:sz w:val="18"/>
                <w:szCs w:val="22"/>
              </w:rPr>
              <w:t>Completion  date</w:t>
            </w:r>
          </w:p>
        </w:tc>
      </w:tr>
      <w:tr w:rsidR="00A719BE" w:rsidRPr="00A719BE" w14:paraId="7E7DA637" w14:textId="77777777" w:rsidTr="00A719BE">
        <w:trPr>
          <w:trHeight w:val="278"/>
        </w:trPr>
        <w:tc>
          <w:tcPr>
            <w:tcW w:w="229" w:type="pct"/>
            <w:hideMark/>
          </w:tcPr>
          <w:p w14:paraId="5E02B9A7" w14:textId="77777777" w:rsidR="00A719BE" w:rsidRPr="00A719BE" w:rsidRDefault="00A719BE" w:rsidP="00A17AA7">
            <w:pPr>
              <w:jc w:val="right"/>
              <w:textAlignment w:val="bottom"/>
              <w:rPr>
                <w:rFonts w:eastAsiaTheme="minorHAnsi" w:cs="Calibri"/>
                <w:color w:val="000000" w:themeColor="text1"/>
                <w:sz w:val="18"/>
                <w:szCs w:val="22"/>
              </w:rPr>
            </w:pPr>
            <w:r w:rsidRPr="00A719BE">
              <w:rPr>
                <w:rFonts w:eastAsiaTheme="minorHAnsi" w:cs="Calibri"/>
                <w:color w:val="000000" w:themeColor="text1"/>
                <w:sz w:val="18"/>
                <w:szCs w:val="22"/>
              </w:rPr>
              <w:t>1</w:t>
            </w:r>
          </w:p>
        </w:tc>
        <w:tc>
          <w:tcPr>
            <w:tcW w:w="1756" w:type="pct"/>
            <w:hideMark/>
          </w:tcPr>
          <w:p w14:paraId="29991EBA" w14:textId="77777777" w:rsidR="00A719BE" w:rsidRPr="00A719BE" w:rsidRDefault="00A719BE" w:rsidP="00A17AA7">
            <w:pP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Eshowe SS Capacity Increase</w:t>
            </w:r>
          </w:p>
        </w:tc>
        <w:tc>
          <w:tcPr>
            <w:tcW w:w="816" w:type="pct"/>
            <w:hideMark/>
          </w:tcPr>
          <w:p w14:paraId="723C7DFD" w14:textId="77777777" w:rsidR="00A719BE" w:rsidRPr="00A719BE" w:rsidRDefault="00A719BE" w:rsidP="00A17AA7">
            <w:pP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 xml:space="preserve">In construction </w:t>
            </w:r>
          </w:p>
        </w:tc>
        <w:tc>
          <w:tcPr>
            <w:tcW w:w="1033" w:type="pct"/>
            <w:hideMark/>
          </w:tcPr>
          <w:p w14:paraId="15BA4A80" w14:textId="77777777" w:rsidR="00A719BE" w:rsidRPr="00A719BE" w:rsidRDefault="00A719BE" w:rsidP="00A17AA7">
            <w:pPr>
              <w:jc w:val="cente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 xml:space="preserve"> 2015 </w:t>
            </w:r>
          </w:p>
        </w:tc>
        <w:tc>
          <w:tcPr>
            <w:tcW w:w="1165" w:type="pct"/>
            <w:hideMark/>
          </w:tcPr>
          <w:p w14:paraId="26C8C015" w14:textId="77777777" w:rsidR="00A719BE" w:rsidRPr="00A719BE" w:rsidRDefault="00A719BE" w:rsidP="00A17AA7">
            <w:pPr>
              <w:jc w:val="center"/>
              <w:textAlignment w:val="bottom"/>
              <w:rPr>
                <w:rFonts w:eastAsiaTheme="minorHAnsi" w:cs="Calibri"/>
                <w:color w:val="000000" w:themeColor="text1"/>
                <w:sz w:val="18"/>
                <w:szCs w:val="22"/>
              </w:rPr>
            </w:pPr>
            <w:r w:rsidRPr="00A719BE">
              <w:rPr>
                <w:rFonts w:eastAsiaTheme="minorHAnsi" w:cs="Calibri"/>
                <w:color w:val="000000" w:themeColor="text1"/>
                <w:sz w:val="18"/>
                <w:szCs w:val="22"/>
              </w:rPr>
              <w:t>2017</w:t>
            </w:r>
          </w:p>
        </w:tc>
      </w:tr>
      <w:tr w:rsidR="00A719BE" w:rsidRPr="00A719BE" w14:paraId="4B541E48" w14:textId="77777777" w:rsidTr="00A719BE">
        <w:trPr>
          <w:trHeight w:val="199"/>
        </w:trPr>
        <w:tc>
          <w:tcPr>
            <w:tcW w:w="229" w:type="pct"/>
            <w:hideMark/>
          </w:tcPr>
          <w:p w14:paraId="355E7BD9" w14:textId="77777777" w:rsidR="00A719BE" w:rsidRPr="00A719BE" w:rsidRDefault="00A719BE" w:rsidP="00A17AA7">
            <w:pPr>
              <w:jc w:val="right"/>
              <w:textAlignment w:val="bottom"/>
              <w:rPr>
                <w:rFonts w:eastAsiaTheme="minorHAnsi" w:cs="Calibri"/>
                <w:color w:val="000000" w:themeColor="text1"/>
                <w:sz w:val="18"/>
                <w:szCs w:val="22"/>
              </w:rPr>
            </w:pPr>
            <w:r w:rsidRPr="00A719BE">
              <w:rPr>
                <w:rFonts w:eastAsiaTheme="minorHAnsi" w:cs="Calibri"/>
                <w:color w:val="000000" w:themeColor="text1"/>
                <w:sz w:val="18"/>
                <w:szCs w:val="22"/>
              </w:rPr>
              <w:t>2</w:t>
            </w:r>
          </w:p>
        </w:tc>
        <w:tc>
          <w:tcPr>
            <w:tcW w:w="1756" w:type="pct"/>
            <w:hideMark/>
          </w:tcPr>
          <w:p w14:paraId="04C21505" w14:textId="77777777" w:rsidR="00A719BE" w:rsidRPr="00A719BE" w:rsidRDefault="00A719BE" w:rsidP="00A17AA7">
            <w:pP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Mbongolwane 132 kV line establish</w:t>
            </w:r>
          </w:p>
        </w:tc>
        <w:tc>
          <w:tcPr>
            <w:tcW w:w="816" w:type="pct"/>
            <w:hideMark/>
          </w:tcPr>
          <w:p w14:paraId="24AD047C" w14:textId="77777777" w:rsidR="00A719BE" w:rsidRPr="00A719BE" w:rsidRDefault="00A719BE" w:rsidP="00A17AA7">
            <w:pP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 xml:space="preserve">Conceptual stage </w:t>
            </w:r>
          </w:p>
        </w:tc>
        <w:tc>
          <w:tcPr>
            <w:tcW w:w="1033" w:type="pct"/>
            <w:hideMark/>
          </w:tcPr>
          <w:p w14:paraId="1C91CE35" w14:textId="77777777" w:rsidR="00A719BE" w:rsidRPr="00A719BE" w:rsidRDefault="00A719BE" w:rsidP="00A17AA7">
            <w:pPr>
              <w:jc w:val="cente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2021</w:t>
            </w:r>
          </w:p>
        </w:tc>
        <w:tc>
          <w:tcPr>
            <w:tcW w:w="1165" w:type="pct"/>
            <w:hideMark/>
          </w:tcPr>
          <w:p w14:paraId="20A093D5" w14:textId="77777777" w:rsidR="00A719BE" w:rsidRPr="00A719BE" w:rsidRDefault="00A719BE" w:rsidP="00A17AA7">
            <w:pPr>
              <w:jc w:val="center"/>
              <w:textAlignment w:val="bottom"/>
              <w:rPr>
                <w:rFonts w:eastAsiaTheme="minorHAnsi" w:cs="Calibri"/>
                <w:color w:val="000000" w:themeColor="text1"/>
                <w:sz w:val="18"/>
                <w:szCs w:val="22"/>
              </w:rPr>
            </w:pPr>
            <w:r w:rsidRPr="00A719BE">
              <w:rPr>
                <w:rFonts w:eastAsiaTheme="minorHAnsi" w:cs="Calibri"/>
                <w:color w:val="000000" w:themeColor="text1"/>
                <w:sz w:val="18"/>
                <w:szCs w:val="22"/>
              </w:rPr>
              <w:t>2022</w:t>
            </w:r>
          </w:p>
        </w:tc>
      </w:tr>
      <w:tr w:rsidR="00A719BE" w:rsidRPr="00A719BE" w14:paraId="1A498D31" w14:textId="77777777" w:rsidTr="00A719BE">
        <w:trPr>
          <w:trHeight w:val="199"/>
        </w:trPr>
        <w:tc>
          <w:tcPr>
            <w:tcW w:w="229" w:type="pct"/>
            <w:hideMark/>
          </w:tcPr>
          <w:p w14:paraId="751A8A11" w14:textId="77777777" w:rsidR="00A719BE" w:rsidRPr="00A719BE" w:rsidRDefault="00A719BE" w:rsidP="00A17AA7">
            <w:pPr>
              <w:jc w:val="right"/>
              <w:textAlignment w:val="bottom"/>
              <w:rPr>
                <w:rFonts w:eastAsiaTheme="minorHAnsi" w:cs="Calibri"/>
                <w:color w:val="000000" w:themeColor="text1"/>
                <w:sz w:val="18"/>
                <w:szCs w:val="22"/>
              </w:rPr>
            </w:pPr>
            <w:r w:rsidRPr="00A719BE">
              <w:rPr>
                <w:rFonts w:eastAsiaTheme="minorHAnsi" w:cs="Calibri"/>
                <w:color w:val="000000" w:themeColor="text1"/>
                <w:sz w:val="18"/>
                <w:szCs w:val="22"/>
              </w:rPr>
              <w:t>3</w:t>
            </w:r>
          </w:p>
        </w:tc>
        <w:tc>
          <w:tcPr>
            <w:tcW w:w="1756" w:type="pct"/>
            <w:hideMark/>
          </w:tcPr>
          <w:p w14:paraId="162FAD2F" w14:textId="77777777" w:rsidR="00A719BE" w:rsidRPr="00A719BE" w:rsidRDefault="00A719BE" w:rsidP="00A17AA7">
            <w:pP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Mbongolwane 132/22 kV 20 MVA SS</w:t>
            </w:r>
          </w:p>
        </w:tc>
        <w:tc>
          <w:tcPr>
            <w:tcW w:w="816" w:type="pct"/>
            <w:hideMark/>
          </w:tcPr>
          <w:p w14:paraId="3E13930E" w14:textId="77777777" w:rsidR="00A719BE" w:rsidRPr="00A719BE" w:rsidRDefault="00A719BE" w:rsidP="00A17AA7">
            <w:pP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 xml:space="preserve">Conceptual stage </w:t>
            </w:r>
          </w:p>
        </w:tc>
        <w:tc>
          <w:tcPr>
            <w:tcW w:w="1033" w:type="pct"/>
            <w:hideMark/>
          </w:tcPr>
          <w:p w14:paraId="0FFD55A8" w14:textId="77777777" w:rsidR="00A719BE" w:rsidRPr="00A719BE" w:rsidRDefault="00A719BE" w:rsidP="00A17AA7">
            <w:pPr>
              <w:jc w:val="cente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2021</w:t>
            </w:r>
          </w:p>
        </w:tc>
        <w:tc>
          <w:tcPr>
            <w:tcW w:w="1165" w:type="pct"/>
            <w:hideMark/>
          </w:tcPr>
          <w:p w14:paraId="04CBD225" w14:textId="77777777" w:rsidR="00A719BE" w:rsidRPr="00A719BE" w:rsidRDefault="00A719BE" w:rsidP="00A17AA7">
            <w:pPr>
              <w:jc w:val="center"/>
              <w:textAlignment w:val="bottom"/>
              <w:rPr>
                <w:rFonts w:eastAsiaTheme="minorHAnsi" w:cs="Calibri"/>
                <w:color w:val="000000" w:themeColor="text1"/>
                <w:sz w:val="18"/>
                <w:szCs w:val="22"/>
              </w:rPr>
            </w:pPr>
            <w:r w:rsidRPr="00A719BE">
              <w:rPr>
                <w:rFonts w:eastAsiaTheme="minorHAnsi" w:cs="Calibri"/>
                <w:color w:val="000000" w:themeColor="text1"/>
                <w:sz w:val="18"/>
                <w:szCs w:val="22"/>
              </w:rPr>
              <w:t>2022</w:t>
            </w:r>
          </w:p>
        </w:tc>
      </w:tr>
      <w:tr w:rsidR="00A719BE" w:rsidRPr="00A719BE" w14:paraId="49F62000" w14:textId="77777777" w:rsidTr="00A719BE">
        <w:trPr>
          <w:trHeight w:val="395"/>
        </w:trPr>
        <w:tc>
          <w:tcPr>
            <w:tcW w:w="229" w:type="pct"/>
            <w:hideMark/>
          </w:tcPr>
          <w:p w14:paraId="12BA49AD" w14:textId="77777777" w:rsidR="00A719BE" w:rsidRPr="00A719BE" w:rsidRDefault="00A719BE" w:rsidP="00A17AA7">
            <w:pPr>
              <w:jc w:val="right"/>
              <w:textAlignment w:val="bottom"/>
              <w:rPr>
                <w:rFonts w:eastAsiaTheme="minorHAnsi" w:cs="Calibri"/>
                <w:color w:val="000000" w:themeColor="text1"/>
                <w:sz w:val="18"/>
                <w:szCs w:val="22"/>
              </w:rPr>
            </w:pPr>
            <w:r w:rsidRPr="00A719BE">
              <w:rPr>
                <w:rFonts w:eastAsiaTheme="minorHAnsi" w:cs="Calibri"/>
                <w:color w:val="000000" w:themeColor="text1"/>
                <w:sz w:val="18"/>
                <w:szCs w:val="22"/>
              </w:rPr>
              <w:t>4</w:t>
            </w:r>
          </w:p>
        </w:tc>
        <w:tc>
          <w:tcPr>
            <w:tcW w:w="1756" w:type="pct"/>
            <w:hideMark/>
          </w:tcPr>
          <w:p w14:paraId="0FA92028" w14:textId="77777777" w:rsidR="00A719BE" w:rsidRPr="00A719BE" w:rsidRDefault="00A719BE" w:rsidP="00A17AA7">
            <w:pP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Gingindlovu SS aditional 132 kV fdr bay for Mandini line est</w:t>
            </w:r>
          </w:p>
        </w:tc>
        <w:tc>
          <w:tcPr>
            <w:tcW w:w="816" w:type="pct"/>
            <w:hideMark/>
          </w:tcPr>
          <w:p w14:paraId="66435BBF" w14:textId="77777777" w:rsidR="00A719BE" w:rsidRPr="00A719BE" w:rsidRDefault="00A719BE" w:rsidP="00A17AA7">
            <w:pP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 xml:space="preserve">Design stage </w:t>
            </w:r>
          </w:p>
        </w:tc>
        <w:tc>
          <w:tcPr>
            <w:tcW w:w="1033" w:type="pct"/>
            <w:hideMark/>
          </w:tcPr>
          <w:p w14:paraId="41239796" w14:textId="77777777" w:rsidR="00A719BE" w:rsidRPr="00A719BE" w:rsidRDefault="00A719BE" w:rsidP="00A17AA7">
            <w:pPr>
              <w:jc w:val="cente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 </w:t>
            </w:r>
          </w:p>
        </w:tc>
        <w:tc>
          <w:tcPr>
            <w:tcW w:w="1165" w:type="pct"/>
            <w:hideMark/>
          </w:tcPr>
          <w:p w14:paraId="0D7B303C" w14:textId="77777777" w:rsidR="00A719BE" w:rsidRPr="00A719BE" w:rsidRDefault="00A719BE" w:rsidP="00A719BE">
            <w:pPr>
              <w:jc w:val="both"/>
              <w:textAlignment w:val="bottom"/>
              <w:rPr>
                <w:rFonts w:eastAsiaTheme="minorHAnsi" w:cs="Calibri"/>
                <w:color w:val="000000" w:themeColor="text1"/>
                <w:sz w:val="18"/>
                <w:szCs w:val="22"/>
              </w:rPr>
            </w:pPr>
            <w:r w:rsidRPr="00A719BE">
              <w:rPr>
                <w:rFonts w:eastAsiaTheme="minorHAnsi" w:cs="Calibri"/>
                <w:color w:val="000000" w:themeColor="text1"/>
                <w:sz w:val="18"/>
                <w:szCs w:val="22"/>
              </w:rPr>
              <w:t xml:space="preserve">The project will be triggered by Amatikulu’s commitment to co-generate and will be initiated as a DIRECT CUSTOMER project. </w:t>
            </w:r>
          </w:p>
        </w:tc>
      </w:tr>
      <w:tr w:rsidR="00A719BE" w:rsidRPr="00A719BE" w14:paraId="035361E5" w14:textId="77777777" w:rsidTr="00A719BE">
        <w:trPr>
          <w:trHeight w:val="199"/>
        </w:trPr>
        <w:tc>
          <w:tcPr>
            <w:tcW w:w="229" w:type="pct"/>
            <w:hideMark/>
          </w:tcPr>
          <w:p w14:paraId="02366E4E" w14:textId="77777777" w:rsidR="00A719BE" w:rsidRPr="00A719BE" w:rsidRDefault="00A719BE" w:rsidP="00A17AA7">
            <w:pPr>
              <w:jc w:val="right"/>
              <w:textAlignment w:val="bottom"/>
              <w:rPr>
                <w:rFonts w:eastAsiaTheme="minorHAnsi" w:cs="Calibri"/>
                <w:color w:val="000000" w:themeColor="text1"/>
                <w:sz w:val="18"/>
                <w:szCs w:val="22"/>
              </w:rPr>
            </w:pPr>
            <w:r w:rsidRPr="00A719BE">
              <w:rPr>
                <w:rFonts w:eastAsiaTheme="minorHAnsi" w:cs="Calibri"/>
                <w:color w:val="000000" w:themeColor="text1"/>
                <w:sz w:val="18"/>
                <w:szCs w:val="22"/>
              </w:rPr>
              <w:t>5</w:t>
            </w:r>
          </w:p>
        </w:tc>
        <w:tc>
          <w:tcPr>
            <w:tcW w:w="1756" w:type="pct"/>
            <w:hideMark/>
          </w:tcPr>
          <w:p w14:paraId="7D3252B1" w14:textId="77777777" w:rsidR="00A719BE" w:rsidRPr="00A719BE" w:rsidRDefault="00A719BE" w:rsidP="00A17AA7">
            <w:pP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Amatikulu 132 kV Switch station</w:t>
            </w:r>
          </w:p>
        </w:tc>
        <w:tc>
          <w:tcPr>
            <w:tcW w:w="816" w:type="pct"/>
            <w:hideMark/>
          </w:tcPr>
          <w:p w14:paraId="0E9B3E87" w14:textId="77777777" w:rsidR="00A719BE" w:rsidRPr="00A719BE" w:rsidRDefault="00A719BE" w:rsidP="00A17AA7">
            <w:pP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 xml:space="preserve">Conceptual stage </w:t>
            </w:r>
          </w:p>
        </w:tc>
        <w:tc>
          <w:tcPr>
            <w:tcW w:w="1033" w:type="pct"/>
            <w:hideMark/>
          </w:tcPr>
          <w:p w14:paraId="74BA6C93" w14:textId="77777777" w:rsidR="00A719BE" w:rsidRPr="00A719BE" w:rsidRDefault="00A719BE" w:rsidP="00A17AA7">
            <w:pPr>
              <w:jc w:val="cente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2023</w:t>
            </w:r>
          </w:p>
        </w:tc>
        <w:tc>
          <w:tcPr>
            <w:tcW w:w="1165" w:type="pct"/>
            <w:hideMark/>
          </w:tcPr>
          <w:p w14:paraId="2EE431B3" w14:textId="77777777" w:rsidR="00A719BE" w:rsidRPr="00A719BE" w:rsidRDefault="00A719BE" w:rsidP="00A17AA7">
            <w:pPr>
              <w:jc w:val="center"/>
              <w:textAlignment w:val="bottom"/>
              <w:rPr>
                <w:rFonts w:eastAsiaTheme="minorHAnsi" w:cs="Calibri"/>
                <w:color w:val="000000" w:themeColor="text1"/>
                <w:sz w:val="18"/>
                <w:szCs w:val="22"/>
              </w:rPr>
            </w:pPr>
            <w:r w:rsidRPr="00A719BE">
              <w:rPr>
                <w:rFonts w:eastAsiaTheme="minorHAnsi" w:cs="Calibri"/>
                <w:color w:val="000000" w:themeColor="text1"/>
                <w:sz w:val="18"/>
                <w:szCs w:val="22"/>
              </w:rPr>
              <w:t>2024</w:t>
            </w:r>
          </w:p>
        </w:tc>
      </w:tr>
      <w:tr w:rsidR="00A719BE" w:rsidRPr="00A719BE" w14:paraId="132EB5A4" w14:textId="77777777" w:rsidTr="00A719BE">
        <w:trPr>
          <w:trHeight w:val="214"/>
        </w:trPr>
        <w:tc>
          <w:tcPr>
            <w:tcW w:w="229" w:type="pct"/>
            <w:hideMark/>
          </w:tcPr>
          <w:p w14:paraId="30DF34B5" w14:textId="77777777" w:rsidR="00A719BE" w:rsidRPr="00A719BE" w:rsidRDefault="00A719BE" w:rsidP="00A17AA7">
            <w:pPr>
              <w:jc w:val="right"/>
              <w:textAlignment w:val="bottom"/>
              <w:rPr>
                <w:rFonts w:eastAsiaTheme="minorHAnsi" w:cs="Calibri"/>
                <w:color w:val="000000" w:themeColor="text1"/>
                <w:sz w:val="18"/>
                <w:szCs w:val="22"/>
              </w:rPr>
            </w:pPr>
            <w:r w:rsidRPr="00A719BE">
              <w:rPr>
                <w:rFonts w:eastAsiaTheme="minorHAnsi" w:cs="Calibri"/>
                <w:color w:val="000000" w:themeColor="text1"/>
                <w:sz w:val="18"/>
                <w:szCs w:val="22"/>
              </w:rPr>
              <w:t>6</w:t>
            </w:r>
          </w:p>
        </w:tc>
        <w:tc>
          <w:tcPr>
            <w:tcW w:w="1756" w:type="pct"/>
            <w:hideMark/>
          </w:tcPr>
          <w:p w14:paraId="7DF5C52A" w14:textId="77777777" w:rsidR="00A719BE" w:rsidRPr="00A719BE" w:rsidRDefault="00A719BE" w:rsidP="00A17AA7">
            <w:pP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Kwambonambi 132/22 kV SS 2x132 kV Line bays Establish</w:t>
            </w:r>
          </w:p>
        </w:tc>
        <w:tc>
          <w:tcPr>
            <w:tcW w:w="816" w:type="pct"/>
            <w:hideMark/>
          </w:tcPr>
          <w:p w14:paraId="5899E30D" w14:textId="77777777" w:rsidR="00A719BE" w:rsidRPr="00A719BE" w:rsidRDefault="00A719BE" w:rsidP="00A17AA7">
            <w:pP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 xml:space="preserve">Conceptual stage </w:t>
            </w:r>
          </w:p>
        </w:tc>
        <w:tc>
          <w:tcPr>
            <w:tcW w:w="1033" w:type="pct"/>
            <w:hideMark/>
          </w:tcPr>
          <w:p w14:paraId="22A8613C" w14:textId="77777777" w:rsidR="00A719BE" w:rsidRPr="00A719BE" w:rsidRDefault="00A719BE" w:rsidP="00A17AA7">
            <w:pPr>
              <w:jc w:val="cente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2024</w:t>
            </w:r>
          </w:p>
        </w:tc>
        <w:tc>
          <w:tcPr>
            <w:tcW w:w="1165" w:type="pct"/>
            <w:hideMark/>
          </w:tcPr>
          <w:p w14:paraId="30A709C6" w14:textId="77777777" w:rsidR="00A719BE" w:rsidRPr="00A719BE" w:rsidRDefault="00A719BE" w:rsidP="00A17AA7">
            <w:pPr>
              <w:jc w:val="center"/>
              <w:textAlignment w:val="bottom"/>
              <w:rPr>
                <w:rFonts w:eastAsiaTheme="minorHAnsi" w:cs="Calibri"/>
                <w:color w:val="000000" w:themeColor="text1"/>
                <w:sz w:val="18"/>
                <w:szCs w:val="22"/>
              </w:rPr>
            </w:pPr>
            <w:r w:rsidRPr="00A719BE">
              <w:rPr>
                <w:rFonts w:eastAsiaTheme="minorHAnsi" w:cs="Calibri"/>
                <w:color w:val="000000" w:themeColor="text1"/>
                <w:sz w:val="18"/>
                <w:szCs w:val="22"/>
              </w:rPr>
              <w:t>2025</w:t>
            </w:r>
          </w:p>
        </w:tc>
      </w:tr>
      <w:tr w:rsidR="00A719BE" w:rsidRPr="00A719BE" w14:paraId="0E13365E" w14:textId="77777777" w:rsidTr="00A719BE">
        <w:trPr>
          <w:trHeight w:val="199"/>
        </w:trPr>
        <w:tc>
          <w:tcPr>
            <w:tcW w:w="229" w:type="pct"/>
            <w:hideMark/>
          </w:tcPr>
          <w:p w14:paraId="01FB1DB6" w14:textId="77777777" w:rsidR="00A719BE" w:rsidRPr="00A719BE" w:rsidRDefault="00A719BE" w:rsidP="00A17AA7">
            <w:pPr>
              <w:jc w:val="right"/>
              <w:textAlignment w:val="bottom"/>
              <w:rPr>
                <w:rFonts w:eastAsiaTheme="minorHAnsi" w:cs="Calibri"/>
                <w:color w:val="000000" w:themeColor="text1"/>
                <w:sz w:val="18"/>
                <w:szCs w:val="22"/>
              </w:rPr>
            </w:pPr>
            <w:r w:rsidRPr="00A719BE">
              <w:rPr>
                <w:rFonts w:eastAsiaTheme="minorHAnsi" w:cs="Calibri"/>
                <w:color w:val="000000" w:themeColor="text1"/>
                <w:sz w:val="18"/>
                <w:szCs w:val="22"/>
              </w:rPr>
              <w:t>7</w:t>
            </w:r>
          </w:p>
        </w:tc>
        <w:tc>
          <w:tcPr>
            <w:tcW w:w="1756" w:type="pct"/>
            <w:hideMark/>
          </w:tcPr>
          <w:p w14:paraId="19AF8D63" w14:textId="77777777" w:rsidR="00A719BE" w:rsidRPr="00A719BE" w:rsidRDefault="00A719BE" w:rsidP="00A17AA7">
            <w:pP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 xml:space="preserve">Est Port Durnford 20 MVA 88/11 kV Transformer </w:t>
            </w:r>
          </w:p>
        </w:tc>
        <w:tc>
          <w:tcPr>
            <w:tcW w:w="816" w:type="pct"/>
            <w:hideMark/>
          </w:tcPr>
          <w:p w14:paraId="7ECFC044" w14:textId="77777777" w:rsidR="00A719BE" w:rsidRPr="00A719BE" w:rsidRDefault="00A719BE" w:rsidP="00A17AA7">
            <w:pP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 xml:space="preserve">Conceptual stage </w:t>
            </w:r>
          </w:p>
        </w:tc>
        <w:tc>
          <w:tcPr>
            <w:tcW w:w="1033" w:type="pct"/>
            <w:hideMark/>
          </w:tcPr>
          <w:p w14:paraId="030FF57B" w14:textId="77777777" w:rsidR="00A719BE" w:rsidRPr="00A719BE" w:rsidRDefault="00A719BE" w:rsidP="00A17AA7">
            <w:pPr>
              <w:jc w:val="cente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2024</w:t>
            </w:r>
          </w:p>
        </w:tc>
        <w:tc>
          <w:tcPr>
            <w:tcW w:w="1165" w:type="pct"/>
            <w:hideMark/>
          </w:tcPr>
          <w:p w14:paraId="16491E11" w14:textId="77777777" w:rsidR="00A719BE" w:rsidRPr="00A719BE" w:rsidRDefault="00A719BE" w:rsidP="00A17AA7">
            <w:pPr>
              <w:jc w:val="center"/>
              <w:textAlignment w:val="bottom"/>
              <w:rPr>
                <w:rFonts w:eastAsiaTheme="minorHAnsi" w:cs="Calibri"/>
                <w:color w:val="000000" w:themeColor="text1"/>
                <w:sz w:val="18"/>
                <w:szCs w:val="22"/>
              </w:rPr>
            </w:pPr>
            <w:r w:rsidRPr="00A719BE">
              <w:rPr>
                <w:rFonts w:eastAsiaTheme="minorHAnsi" w:cs="Calibri"/>
                <w:color w:val="000000" w:themeColor="text1"/>
                <w:sz w:val="18"/>
                <w:szCs w:val="22"/>
              </w:rPr>
              <w:t>2025</w:t>
            </w:r>
          </w:p>
        </w:tc>
      </w:tr>
      <w:tr w:rsidR="00A719BE" w:rsidRPr="00A719BE" w14:paraId="244ED80F" w14:textId="77777777" w:rsidTr="00A719BE">
        <w:trPr>
          <w:trHeight w:val="274"/>
        </w:trPr>
        <w:tc>
          <w:tcPr>
            <w:tcW w:w="229" w:type="pct"/>
            <w:hideMark/>
          </w:tcPr>
          <w:p w14:paraId="12196382" w14:textId="77777777" w:rsidR="00A719BE" w:rsidRPr="00A719BE" w:rsidRDefault="00A719BE" w:rsidP="00A17AA7">
            <w:pPr>
              <w:jc w:val="right"/>
              <w:textAlignment w:val="bottom"/>
              <w:rPr>
                <w:rFonts w:eastAsiaTheme="minorHAnsi" w:cs="Calibri"/>
                <w:color w:val="000000" w:themeColor="text1"/>
                <w:sz w:val="18"/>
                <w:szCs w:val="22"/>
              </w:rPr>
            </w:pPr>
            <w:r w:rsidRPr="00A719BE">
              <w:rPr>
                <w:rFonts w:eastAsiaTheme="minorHAnsi" w:cs="Calibri"/>
                <w:color w:val="000000" w:themeColor="text1"/>
                <w:sz w:val="18"/>
                <w:szCs w:val="22"/>
              </w:rPr>
              <w:t>8</w:t>
            </w:r>
          </w:p>
        </w:tc>
        <w:tc>
          <w:tcPr>
            <w:tcW w:w="1756" w:type="pct"/>
            <w:hideMark/>
          </w:tcPr>
          <w:p w14:paraId="730B1DE8" w14:textId="77777777" w:rsidR="00A719BE" w:rsidRPr="00A719BE" w:rsidRDefault="00A719BE" w:rsidP="00A17AA7">
            <w:pP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 xml:space="preserve">Nkwaleni SS 10MVA (88/11 kV) Trfr Upgrade to 20MVA (88/22 kV) </w:t>
            </w:r>
          </w:p>
        </w:tc>
        <w:tc>
          <w:tcPr>
            <w:tcW w:w="816" w:type="pct"/>
            <w:hideMark/>
          </w:tcPr>
          <w:p w14:paraId="0C874984" w14:textId="77777777" w:rsidR="00A719BE" w:rsidRPr="00A719BE" w:rsidRDefault="00A719BE" w:rsidP="00A17AA7">
            <w:pP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 xml:space="preserve">Finalised </w:t>
            </w:r>
          </w:p>
        </w:tc>
        <w:tc>
          <w:tcPr>
            <w:tcW w:w="1033" w:type="pct"/>
            <w:hideMark/>
          </w:tcPr>
          <w:p w14:paraId="3D1C06B9" w14:textId="77777777" w:rsidR="00A719BE" w:rsidRPr="00A719BE" w:rsidRDefault="00A719BE" w:rsidP="00A17AA7">
            <w:pPr>
              <w:jc w:val="cente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2013 </w:t>
            </w:r>
          </w:p>
        </w:tc>
        <w:tc>
          <w:tcPr>
            <w:tcW w:w="1165" w:type="pct"/>
            <w:hideMark/>
          </w:tcPr>
          <w:p w14:paraId="773AC2C4" w14:textId="77777777" w:rsidR="00A719BE" w:rsidRPr="00A719BE" w:rsidRDefault="00A719BE" w:rsidP="00A17AA7">
            <w:pPr>
              <w:jc w:val="center"/>
              <w:textAlignment w:val="bottom"/>
              <w:rPr>
                <w:rFonts w:eastAsiaTheme="minorHAnsi" w:cs="Calibri"/>
                <w:color w:val="000000" w:themeColor="text1"/>
                <w:sz w:val="18"/>
                <w:szCs w:val="22"/>
              </w:rPr>
            </w:pPr>
            <w:r w:rsidRPr="00A719BE">
              <w:rPr>
                <w:rFonts w:eastAsiaTheme="minorHAnsi" w:cs="Calibri"/>
                <w:color w:val="000000" w:themeColor="text1"/>
                <w:sz w:val="18"/>
                <w:szCs w:val="22"/>
              </w:rPr>
              <w:t>Completed in 2014</w:t>
            </w:r>
          </w:p>
        </w:tc>
      </w:tr>
      <w:tr w:rsidR="00A719BE" w:rsidRPr="00A719BE" w14:paraId="3C238387" w14:textId="77777777" w:rsidTr="00A719BE">
        <w:trPr>
          <w:trHeight w:val="214"/>
        </w:trPr>
        <w:tc>
          <w:tcPr>
            <w:tcW w:w="229" w:type="pct"/>
            <w:hideMark/>
          </w:tcPr>
          <w:p w14:paraId="7FC37EDA" w14:textId="77777777" w:rsidR="00A719BE" w:rsidRPr="00A719BE" w:rsidRDefault="00A719BE" w:rsidP="00A17AA7">
            <w:pPr>
              <w:jc w:val="right"/>
              <w:textAlignment w:val="bottom"/>
              <w:rPr>
                <w:rFonts w:eastAsiaTheme="minorHAnsi" w:cs="Calibri"/>
                <w:color w:val="000000" w:themeColor="text1"/>
                <w:sz w:val="18"/>
                <w:szCs w:val="22"/>
              </w:rPr>
            </w:pPr>
            <w:r w:rsidRPr="00A719BE">
              <w:rPr>
                <w:rFonts w:eastAsiaTheme="minorHAnsi" w:cs="Calibri"/>
                <w:color w:val="000000" w:themeColor="text1"/>
                <w:sz w:val="18"/>
                <w:szCs w:val="22"/>
              </w:rPr>
              <w:t>9</w:t>
            </w:r>
          </w:p>
        </w:tc>
        <w:tc>
          <w:tcPr>
            <w:tcW w:w="1756" w:type="pct"/>
            <w:hideMark/>
          </w:tcPr>
          <w:p w14:paraId="09E6755F" w14:textId="77777777" w:rsidR="00A719BE" w:rsidRPr="00A719BE" w:rsidRDefault="00A719BE" w:rsidP="00A17AA7">
            <w:pP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Nkandla 22/11 kV 2.5 MVA to 5 MVA transformer upgrade</w:t>
            </w:r>
          </w:p>
        </w:tc>
        <w:tc>
          <w:tcPr>
            <w:tcW w:w="816" w:type="pct"/>
            <w:hideMark/>
          </w:tcPr>
          <w:p w14:paraId="693180DF" w14:textId="77777777" w:rsidR="00A719BE" w:rsidRPr="00A719BE" w:rsidRDefault="00A719BE" w:rsidP="00A17AA7">
            <w:pP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 xml:space="preserve">In construction </w:t>
            </w:r>
          </w:p>
        </w:tc>
        <w:tc>
          <w:tcPr>
            <w:tcW w:w="1033" w:type="pct"/>
            <w:hideMark/>
          </w:tcPr>
          <w:p w14:paraId="2B29D02B" w14:textId="77777777" w:rsidR="00A719BE" w:rsidRPr="00A719BE" w:rsidRDefault="00A719BE" w:rsidP="00A17AA7">
            <w:pPr>
              <w:jc w:val="cente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2016</w:t>
            </w:r>
          </w:p>
        </w:tc>
        <w:tc>
          <w:tcPr>
            <w:tcW w:w="1165" w:type="pct"/>
            <w:hideMark/>
          </w:tcPr>
          <w:p w14:paraId="7E23BD56" w14:textId="77777777" w:rsidR="00A719BE" w:rsidRPr="00A719BE" w:rsidRDefault="00A719BE" w:rsidP="00A17AA7">
            <w:pPr>
              <w:jc w:val="center"/>
              <w:textAlignment w:val="bottom"/>
              <w:rPr>
                <w:rFonts w:eastAsiaTheme="minorHAnsi" w:cs="Calibri"/>
                <w:color w:val="000000" w:themeColor="text1"/>
                <w:sz w:val="18"/>
                <w:szCs w:val="22"/>
              </w:rPr>
            </w:pPr>
            <w:r w:rsidRPr="00A719BE">
              <w:rPr>
                <w:rFonts w:eastAsiaTheme="minorHAnsi" w:cs="Calibri"/>
                <w:color w:val="000000" w:themeColor="text1"/>
                <w:sz w:val="18"/>
                <w:szCs w:val="22"/>
              </w:rPr>
              <w:t>2017</w:t>
            </w:r>
          </w:p>
        </w:tc>
      </w:tr>
      <w:tr w:rsidR="00A719BE" w:rsidRPr="00A719BE" w14:paraId="05FD0D00" w14:textId="77777777" w:rsidTr="00A719BE">
        <w:trPr>
          <w:trHeight w:val="481"/>
        </w:trPr>
        <w:tc>
          <w:tcPr>
            <w:tcW w:w="229" w:type="pct"/>
            <w:hideMark/>
          </w:tcPr>
          <w:p w14:paraId="3979B27A" w14:textId="77777777" w:rsidR="00A719BE" w:rsidRPr="00A719BE" w:rsidRDefault="00A719BE" w:rsidP="00A17AA7">
            <w:pPr>
              <w:jc w:val="right"/>
              <w:textAlignment w:val="bottom"/>
              <w:rPr>
                <w:rFonts w:eastAsiaTheme="minorHAnsi" w:cs="Calibri"/>
                <w:color w:val="000000" w:themeColor="text1"/>
                <w:sz w:val="18"/>
                <w:szCs w:val="22"/>
              </w:rPr>
            </w:pPr>
            <w:r w:rsidRPr="00A719BE">
              <w:rPr>
                <w:rFonts w:eastAsiaTheme="minorHAnsi" w:cs="Calibri"/>
                <w:color w:val="000000" w:themeColor="text1"/>
                <w:sz w:val="18"/>
                <w:szCs w:val="22"/>
              </w:rPr>
              <w:t>10</w:t>
            </w:r>
          </w:p>
        </w:tc>
        <w:tc>
          <w:tcPr>
            <w:tcW w:w="1756" w:type="pct"/>
            <w:hideMark/>
          </w:tcPr>
          <w:p w14:paraId="0CC0C365" w14:textId="77777777" w:rsidR="00A719BE" w:rsidRPr="00A719BE" w:rsidRDefault="00A719BE" w:rsidP="00A17AA7">
            <w:pP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Mandini-Gingindlovu 24 km 132 kV Double circuit line est</w:t>
            </w:r>
          </w:p>
        </w:tc>
        <w:tc>
          <w:tcPr>
            <w:tcW w:w="816" w:type="pct"/>
            <w:hideMark/>
          </w:tcPr>
          <w:p w14:paraId="5A14C1B2" w14:textId="77777777" w:rsidR="00A719BE" w:rsidRPr="00A719BE" w:rsidRDefault="00A719BE" w:rsidP="00A17AA7">
            <w:pP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 xml:space="preserve">Design stage </w:t>
            </w:r>
          </w:p>
        </w:tc>
        <w:tc>
          <w:tcPr>
            <w:tcW w:w="1033" w:type="pct"/>
            <w:hideMark/>
          </w:tcPr>
          <w:p w14:paraId="6957B8DB" w14:textId="77777777" w:rsidR="00A719BE" w:rsidRPr="00A719BE" w:rsidRDefault="00A719BE" w:rsidP="00A17AA7">
            <w:pPr>
              <w:jc w:val="center"/>
              <w:textAlignment w:val="center"/>
              <w:rPr>
                <w:rFonts w:eastAsiaTheme="minorHAnsi" w:cs="Calibri"/>
                <w:color w:val="000000" w:themeColor="text1"/>
                <w:sz w:val="18"/>
                <w:szCs w:val="22"/>
              </w:rPr>
            </w:pPr>
            <w:r w:rsidRPr="00A719BE">
              <w:rPr>
                <w:rFonts w:eastAsiaTheme="minorHAnsi" w:cs="Calibri"/>
                <w:color w:val="000000" w:themeColor="text1"/>
                <w:sz w:val="18"/>
                <w:szCs w:val="22"/>
              </w:rPr>
              <w:t> </w:t>
            </w:r>
          </w:p>
        </w:tc>
        <w:tc>
          <w:tcPr>
            <w:tcW w:w="1165" w:type="pct"/>
            <w:hideMark/>
          </w:tcPr>
          <w:p w14:paraId="655B98AD" w14:textId="77777777" w:rsidR="00A719BE" w:rsidRPr="00A719BE" w:rsidRDefault="00A719BE" w:rsidP="00A719BE">
            <w:pPr>
              <w:jc w:val="both"/>
              <w:textAlignment w:val="bottom"/>
              <w:rPr>
                <w:rFonts w:eastAsiaTheme="minorHAnsi" w:cs="Calibri"/>
                <w:color w:val="000000" w:themeColor="text1"/>
                <w:sz w:val="18"/>
                <w:szCs w:val="22"/>
              </w:rPr>
            </w:pPr>
            <w:r w:rsidRPr="00A719BE">
              <w:rPr>
                <w:rFonts w:eastAsiaTheme="minorHAnsi" w:cs="Calibri"/>
                <w:color w:val="000000" w:themeColor="text1"/>
                <w:sz w:val="18"/>
                <w:szCs w:val="22"/>
              </w:rPr>
              <w:t xml:space="preserve">The project will be triggered by Amatikulu’s commitment to co-generate and will be initiated as a DIRECT CUSTOMER project. </w:t>
            </w:r>
          </w:p>
        </w:tc>
      </w:tr>
    </w:tbl>
    <w:p w14:paraId="458E34CF" w14:textId="6B84A988" w:rsidR="0026453C" w:rsidRPr="0026453C" w:rsidRDefault="00A719BE" w:rsidP="00A719BE">
      <w:pPr>
        <w:pStyle w:val="Caption"/>
        <w:rPr>
          <w:highlight w:val="yellow"/>
        </w:rPr>
      </w:pPr>
      <w:bookmarkStart w:id="303" w:name="_Toc510622285"/>
      <w:r>
        <w:t xml:space="preserve">Table </w:t>
      </w:r>
      <w:r w:rsidR="00B918A6">
        <w:fldChar w:fldCharType="begin"/>
      </w:r>
      <w:r w:rsidR="00B918A6">
        <w:instrText xml:space="preserve"> SEQ Table \* ARABIC </w:instrText>
      </w:r>
      <w:r w:rsidR="00B918A6">
        <w:fldChar w:fldCharType="separate"/>
      </w:r>
      <w:r w:rsidR="0067023A">
        <w:rPr>
          <w:noProof/>
        </w:rPr>
        <w:t>35</w:t>
      </w:r>
      <w:r w:rsidR="00B918A6">
        <w:rPr>
          <w:noProof/>
        </w:rPr>
        <w:fldChar w:fldCharType="end"/>
      </w:r>
      <w:r>
        <w:t>: ESKOMs Infrastructure Plan</w:t>
      </w:r>
      <w:bookmarkEnd w:id="303"/>
    </w:p>
    <w:p w14:paraId="245DF082" w14:textId="7AD9273E" w:rsidR="009A23BD" w:rsidRPr="00A719BE" w:rsidRDefault="009A23BD" w:rsidP="00750180">
      <w:pPr>
        <w:pStyle w:val="Heading4"/>
        <w:numPr>
          <w:ilvl w:val="3"/>
          <w:numId w:val="29"/>
        </w:numPr>
        <w:spacing w:after="240"/>
        <w:rPr>
          <w:highlight w:val="yellow"/>
        </w:rPr>
      </w:pPr>
      <w:r w:rsidRPr="00175ECA">
        <w:rPr>
          <w:highlight w:val="yellow"/>
        </w:rPr>
        <w:t>Electricity Operation and Maintenance Plan</w:t>
      </w:r>
    </w:p>
    <w:p w14:paraId="7C94FE9B" w14:textId="3721E365" w:rsidR="00036D64" w:rsidRPr="00034077" w:rsidRDefault="00036D64" w:rsidP="00CC06FE">
      <w:pPr>
        <w:jc w:val="both"/>
      </w:pPr>
      <w:r w:rsidRPr="00034077">
        <w:t>The</w:t>
      </w:r>
      <w:r w:rsidR="000C1B85" w:rsidRPr="00034077">
        <w:t xml:space="preserve"> Electricity </w:t>
      </w:r>
      <w:r w:rsidRPr="00034077">
        <w:t>Operation</w:t>
      </w:r>
      <w:r w:rsidR="000C1B85" w:rsidRPr="00034077">
        <w:t>s</w:t>
      </w:r>
      <w:r w:rsidRPr="00034077">
        <w:t xml:space="preserve"> and Maintenance Plan for the Municipal</w:t>
      </w:r>
      <w:r w:rsidR="00CC06FE" w:rsidRPr="00034077">
        <w:t xml:space="preserve">ity </w:t>
      </w:r>
      <w:r w:rsidR="000C1B85" w:rsidRPr="00034077">
        <w:t>is in place and reviewed annually through</w:t>
      </w:r>
      <w:r w:rsidR="00CC06FE" w:rsidRPr="00034077">
        <w:t xml:space="preserve"> the Electricity Unit of the Engineering Department. The O &amp; M Plan takes inventory of all electrical equipment the municipality has</w:t>
      </w:r>
      <w:r w:rsidR="00751106" w:rsidRPr="00034077">
        <w:t xml:space="preserve"> including </w:t>
      </w:r>
      <w:r w:rsidR="00675BAC" w:rsidRPr="00034077">
        <w:t>transformers and minisubs and</w:t>
      </w:r>
      <w:r w:rsidR="0053273D" w:rsidRPr="00034077">
        <w:t xml:space="preserve"> records</w:t>
      </w:r>
      <w:r w:rsidR="00675BAC" w:rsidRPr="00034077">
        <w:t xml:space="preserve"> the efficiency status of each. The plan then indicates what needs to repaired and when. </w:t>
      </w:r>
      <w:r w:rsidR="0053273D" w:rsidRPr="00034077">
        <w:t xml:space="preserve">The maintenance </w:t>
      </w:r>
      <w:r w:rsidR="00CC06FE" w:rsidRPr="00034077">
        <w:t xml:space="preserve">process </w:t>
      </w:r>
      <w:r w:rsidR="0053273D" w:rsidRPr="00034077">
        <w:t xml:space="preserve">includes </w:t>
      </w:r>
      <w:r w:rsidR="00CC06FE" w:rsidRPr="00034077">
        <w:t>the scanning of all the electrical inventory by infrared sca</w:t>
      </w:r>
      <w:r w:rsidR="00675BAC" w:rsidRPr="00034077">
        <w:t xml:space="preserve">nning equipment. </w:t>
      </w:r>
      <w:r w:rsidR="00CC06FE" w:rsidRPr="00034077">
        <w:t>The infrared imagery shows hot connections where problems may arise and able detect problematic areas before erupt into</w:t>
      </w:r>
      <w:r w:rsidR="0038544D" w:rsidRPr="00034077">
        <w:t xml:space="preserve"> financially</w:t>
      </w:r>
      <w:r w:rsidR="00CC06FE" w:rsidRPr="00034077">
        <w:t xml:space="preserve"> </w:t>
      </w:r>
      <w:r w:rsidR="00675BAC" w:rsidRPr="00034077">
        <w:t xml:space="preserve">detrimental faults. </w:t>
      </w:r>
    </w:p>
    <w:p w14:paraId="42E07721" w14:textId="301E853A" w:rsidR="001B312C" w:rsidRPr="001B312C" w:rsidRDefault="001B312C" w:rsidP="00750180">
      <w:pPr>
        <w:pStyle w:val="Heading4"/>
        <w:numPr>
          <w:ilvl w:val="3"/>
          <w:numId w:val="29"/>
        </w:numPr>
        <w:spacing w:after="240"/>
      </w:pPr>
      <w:r w:rsidRPr="001B312C">
        <w:t xml:space="preserve">New Electrification Projects </w:t>
      </w:r>
    </w:p>
    <w:p w14:paraId="3982455D" w14:textId="247BC1B1" w:rsidR="00A60E2A" w:rsidRDefault="00F63033" w:rsidP="00AD7559">
      <w:pPr>
        <w:spacing w:line="288" w:lineRule="auto"/>
        <w:jc w:val="both"/>
        <w:rPr>
          <w:rFonts w:cs="Calibri"/>
          <w:color w:val="000000" w:themeColor="text1"/>
        </w:rPr>
      </w:pPr>
      <w:r>
        <w:rPr>
          <w:rFonts w:cs="Calibri"/>
          <w:color w:val="000000" w:themeColor="text1"/>
        </w:rPr>
        <w:t xml:space="preserve">The uMlalazi LM has </w:t>
      </w:r>
      <w:r w:rsidR="000F0FB8">
        <w:rPr>
          <w:rFonts w:cs="Calibri"/>
          <w:color w:val="000000" w:themeColor="text1"/>
        </w:rPr>
        <w:t>since</w:t>
      </w:r>
      <w:r>
        <w:rPr>
          <w:rFonts w:cs="Calibri"/>
          <w:color w:val="000000" w:themeColor="text1"/>
        </w:rPr>
        <w:t xml:space="preserve"> 2011 made huge strides in terms of supplying electricity to communities within the municipal area.</w:t>
      </w:r>
      <w:r w:rsidR="000A0231" w:rsidRPr="000A0231">
        <w:rPr>
          <w:rFonts w:cs="Calibri"/>
          <w:color w:val="000000" w:themeColor="text1"/>
        </w:rPr>
        <w:t xml:space="preserve"> </w:t>
      </w:r>
      <w:r w:rsidR="00083908">
        <w:rPr>
          <w:rFonts w:cs="Calibri"/>
          <w:color w:val="000000" w:themeColor="text1"/>
        </w:rPr>
        <w:t>Statistically uMlalazi is the leading municipality in terms of electricity supply within the province.</w:t>
      </w:r>
      <w:r w:rsidR="00AD7559">
        <w:rPr>
          <w:rFonts w:cs="Calibri"/>
          <w:color w:val="000000" w:themeColor="text1"/>
        </w:rPr>
        <w:t xml:space="preserve"> </w:t>
      </w:r>
      <w:r w:rsidR="00A60E2A">
        <w:rPr>
          <w:rFonts w:cs="Calibri"/>
          <w:color w:val="000000" w:themeColor="text1"/>
        </w:rPr>
        <w:t>The municipality receives a conditional grant funding through INEP for electricity projects. In terms of the electricity plan which has been adopted by council for the grant received the following projects will be implemented;</w:t>
      </w:r>
    </w:p>
    <w:tbl>
      <w:tblPr>
        <w:tblStyle w:val="TableGrid"/>
        <w:tblW w:w="0" w:type="auto"/>
        <w:tblLook w:val="04A0" w:firstRow="1" w:lastRow="0" w:firstColumn="1" w:lastColumn="0" w:noHBand="0" w:noVBand="1"/>
      </w:tblPr>
      <w:tblGrid>
        <w:gridCol w:w="3209"/>
        <w:gridCol w:w="3210"/>
        <w:gridCol w:w="3210"/>
      </w:tblGrid>
      <w:tr w:rsidR="00A60E2A" w:rsidRPr="00A60E2A" w14:paraId="6E13E4D0" w14:textId="77777777" w:rsidTr="00A60E2A">
        <w:tc>
          <w:tcPr>
            <w:tcW w:w="3209" w:type="dxa"/>
            <w:shd w:val="clear" w:color="auto" w:fill="DAEEF3" w:themeFill="accent5" w:themeFillTint="33"/>
          </w:tcPr>
          <w:p w14:paraId="751EBA61" w14:textId="6B01A864" w:rsidR="00A60E2A" w:rsidRPr="00A60E2A" w:rsidRDefault="00A60E2A" w:rsidP="00AD7559">
            <w:pPr>
              <w:spacing w:line="288" w:lineRule="auto"/>
              <w:jc w:val="both"/>
              <w:rPr>
                <w:rFonts w:cs="Calibri"/>
                <w:b/>
                <w:color w:val="000000" w:themeColor="text1"/>
              </w:rPr>
            </w:pPr>
            <w:r w:rsidRPr="00A60E2A">
              <w:rPr>
                <w:rFonts w:cs="Calibri"/>
                <w:b/>
                <w:color w:val="000000" w:themeColor="text1"/>
              </w:rPr>
              <w:t>Financial Year</w:t>
            </w:r>
          </w:p>
        </w:tc>
        <w:tc>
          <w:tcPr>
            <w:tcW w:w="3210" w:type="dxa"/>
            <w:shd w:val="clear" w:color="auto" w:fill="DAEEF3" w:themeFill="accent5" w:themeFillTint="33"/>
          </w:tcPr>
          <w:p w14:paraId="36E109FC" w14:textId="3067AE66" w:rsidR="00A60E2A" w:rsidRPr="00A60E2A" w:rsidRDefault="00A60E2A" w:rsidP="00AD7559">
            <w:pPr>
              <w:spacing w:line="288" w:lineRule="auto"/>
              <w:jc w:val="both"/>
              <w:rPr>
                <w:rFonts w:cs="Calibri"/>
                <w:b/>
                <w:color w:val="000000" w:themeColor="text1"/>
              </w:rPr>
            </w:pPr>
            <w:r w:rsidRPr="00A60E2A">
              <w:rPr>
                <w:rFonts w:cs="Calibri"/>
                <w:b/>
                <w:color w:val="000000" w:themeColor="text1"/>
              </w:rPr>
              <w:t>Project Name</w:t>
            </w:r>
          </w:p>
        </w:tc>
        <w:tc>
          <w:tcPr>
            <w:tcW w:w="3210" w:type="dxa"/>
            <w:shd w:val="clear" w:color="auto" w:fill="DAEEF3" w:themeFill="accent5" w:themeFillTint="33"/>
          </w:tcPr>
          <w:p w14:paraId="7248CE01" w14:textId="21CDED45" w:rsidR="00A60E2A" w:rsidRPr="00A60E2A" w:rsidRDefault="00A60E2A" w:rsidP="00AD7559">
            <w:pPr>
              <w:spacing w:line="288" w:lineRule="auto"/>
              <w:jc w:val="both"/>
              <w:rPr>
                <w:rFonts w:cs="Calibri"/>
                <w:b/>
                <w:color w:val="000000" w:themeColor="text1"/>
              </w:rPr>
            </w:pPr>
            <w:r w:rsidRPr="00A60E2A">
              <w:rPr>
                <w:rFonts w:cs="Calibri"/>
                <w:b/>
                <w:color w:val="000000" w:themeColor="text1"/>
              </w:rPr>
              <w:t>Number of Connections</w:t>
            </w:r>
          </w:p>
        </w:tc>
      </w:tr>
      <w:tr w:rsidR="00A60E2A" w14:paraId="3B983267" w14:textId="77777777" w:rsidTr="00A60E2A">
        <w:tc>
          <w:tcPr>
            <w:tcW w:w="3209" w:type="dxa"/>
          </w:tcPr>
          <w:p w14:paraId="0C3DE17F" w14:textId="6E2ACD1C" w:rsidR="00A60E2A" w:rsidRDefault="00A60E2A" w:rsidP="00AD7559">
            <w:pPr>
              <w:spacing w:line="288" w:lineRule="auto"/>
              <w:jc w:val="both"/>
              <w:rPr>
                <w:rFonts w:cs="Calibri"/>
                <w:color w:val="000000" w:themeColor="text1"/>
              </w:rPr>
            </w:pPr>
            <w:r>
              <w:rPr>
                <w:rFonts w:cs="Calibri"/>
                <w:color w:val="000000" w:themeColor="text1"/>
              </w:rPr>
              <w:t>2017/18</w:t>
            </w:r>
          </w:p>
        </w:tc>
        <w:tc>
          <w:tcPr>
            <w:tcW w:w="3210" w:type="dxa"/>
          </w:tcPr>
          <w:p w14:paraId="3D008833" w14:textId="7B0B944B" w:rsidR="00A60E2A" w:rsidRDefault="00A60E2A" w:rsidP="00AD7559">
            <w:pPr>
              <w:spacing w:line="288" w:lineRule="auto"/>
              <w:jc w:val="both"/>
              <w:rPr>
                <w:rFonts w:cs="Calibri"/>
                <w:color w:val="000000" w:themeColor="text1"/>
              </w:rPr>
            </w:pPr>
            <w:r>
              <w:rPr>
                <w:rFonts w:cs="Calibri"/>
                <w:color w:val="000000" w:themeColor="text1"/>
              </w:rPr>
              <w:t>Makhehle/Bonisani</w:t>
            </w:r>
          </w:p>
        </w:tc>
        <w:tc>
          <w:tcPr>
            <w:tcW w:w="3210" w:type="dxa"/>
          </w:tcPr>
          <w:p w14:paraId="5875D5CE" w14:textId="0644FB75" w:rsidR="00A60E2A" w:rsidRDefault="00A60E2A" w:rsidP="00AD7559">
            <w:pPr>
              <w:spacing w:line="288" w:lineRule="auto"/>
              <w:jc w:val="both"/>
              <w:rPr>
                <w:rFonts w:cs="Calibri"/>
                <w:color w:val="000000" w:themeColor="text1"/>
              </w:rPr>
            </w:pPr>
            <w:r>
              <w:rPr>
                <w:rFonts w:cs="Calibri"/>
                <w:color w:val="000000" w:themeColor="text1"/>
              </w:rPr>
              <w:t>276 Connections</w:t>
            </w:r>
          </w:p>
        </w:tc>
      </w:tr>
      <w:tr w:rsidR="00A60E2A" w14:paraId="494B7FB4" w14:textId="77777777" w:rsidTr="00A60E2A">
        <w:tc>
          <w:tcPr>
            <w:tcW w:w="3209" w:type="dxa"/>
          </w:tcPr>
          <w:p w14:paraId="58D268D7" w14:textId="2328C545" w:rsidR="00A60E2A" w:rsidRDefault="00A60E2A" w:rsidP="00A60E2A">
            <w:pPr>
              <w:spacing w:line="288" w:lineRule="auto"/>
              <w:jc w:val="both"/>
              <w:rPr>
                <w:rFonts w:cs="Calibri"/>
                <w:color w:val="000000" w:themeColor="text1"/>
              </w:rPr>
            </w:pPr>
            <w:r>
              <w:rPr>
                <w:rFonts w:cs="Calibri"/>
                <w:color w:val="000000" w:themeColor="text1"/>
              </w:rPr>
              <w:t>2018/19</w:t>
            </w:r>
          </w:p>
        </w:tc>
        <w:tc>
          <w:tcPr>
            <w:tcW w:w="3210" w:type="dxa"/>
          </w:tcPr>
          <w:p w14:paraId="1B0CEEA1" w14:textId="11E35FCA" w:rsidR="00A60E2A" w:rsidRDefault="00A60E2A" w:rsidP="00AD7559">
            <w:pPr>
              <w:spacing w:line="288" w:lineRule="auto"/>
              <w:jc w:val="both"/>
              <w:rPr>
                <w:rFonts w:cs="Calibri"/>
                <w:color w:val="000000" w:themeColor="text1"/>
              </w:rPr>
            </w:pPr>
            <w:r>
              <w:rPr>
                <w:rFonts w:cs="Calibri"/>
                <w:color w:val="000000" w:themeColor="text1"/>
              </w:rPr>
              <w:t xml:space="preserve">Emasundwini </w:t>
            </w:r>
          </w:p>
        </w:tc>
        <w:tc>
          <w:tcPr>
            <w:tcW w:w="3210" w:type="dxa"/>
          </w:tcPr>
          <w:p w14:paraId="5A2B46E4" w14:textId="1066D307" w:rsidR="00A60E2A" w:rsidRDefault="00A60E2A" w:rsidP="00AD7559">
            <w:pPr>
              <w:spacing w:line="288" w:lineRule="auto"/>
              <w:jc w:val="both"/>
              <w:rPr>
                <w:rFonts w:cs="Calibri"/>
                <w:color w:val="000000" w:themeColor="text1"/>
              </w:rPr>
            </w:pPr>
            <w:r>
              <w:rPr>
                <w:rFonts w:cs="Calibri"/>
                <w:color w:val="000000" w:themeColor="text1"/>
              </w:rPr>
              <w:t>467 Connections</w:t>
            </w:r>
          </w:p>
        </w:tc>
      </w:tr>
    </w:tbl>
    <w:p w14:paraId="2DCA0C2A" w14:textId="77777777" w:rsidR="0053273D" w:rsidRDefault="0053273D" w:rsidP="00083908">
      <w:pPr>
        <w:spacing w:line="288" w:lineRule="auto"/>
        <w:jc w:val="both"/>
        <w:rPr>
          <w:rFonts w:cs="Calibri"/>
          <w:color w:val="000000" w:themeColor="text1"/>
        </w:rPr>
      </w:pPr>
    </w:p>
    <w:p w14:paraId="2015D738" w14:textId="401E93D8" w:rsidR="00F63033" w:rsidRDefault="00A60E2A" w:rsidP="00083908">
      <w:pPr>
        <w:spacing w:line="288" w:lineRule="auto"/>
        <w:jc w:val="both"/>
        <w:rPr>
          <w:rFonts w:cs="Calibri"/>
          <w:color w:val="000000" w:themeColor="text1"/>
        </w:rPr>
      </w:pPr>
      <w:r>
        <w:rPr>
          <w:rFonts w:cs="Calibri"/>
          <w:color w:val="000000" w:themeColor="text1"/>
        </w:rPr>
        <w:t>The municipality holds bi annual IDP Stakeholder Representative Forums where sector department attend the meeting</w:t>
      </w:r>
      <w:r w:rsidR="007E628D">
        <w:rPr>
          <w:rFonts w:cs="Calibri"/>
          <w:color w:val="000000" w:themeColor="text1"/>
        </w:rPr>
        <w:t>s to align</w:t>
      </w:r>
      <w:r>
        <w:rPr>
          <w:rFonts w:cs="Calibri"/>
          <w:color w:val="000000" w:themeColor="text1"/>
        </w:rPr>
        <w:t xml:space="preserve"> service delivery needs with available resources. During this forum</w:t>
      </w:r>
      <w:r w:rsidR="00083908">
        <w:rPr>
          <w:rFonts w:cs="Calibri"/>
          <w:color w:val="000000" w:themeColor="text1"/>
        </w:rPr>
        <w:t xml:space="preserve"> </w:t>
      </w:r>
      <w:r w:rsidR="007E628D">
        <w:rPr>
          <w:rFonts w:cs="Calibri"/>
          <w:color w:val="000000" w:themeColor="text1"/>
        </w:rPr>
        <w:t>and other interactions with ESKOM, progress reports on projects are received on current and future electrification.</w:t>
      </w:r>
      <w:r w:rsidR="00F6543C">
        <w:rPr>
          <w:rFonts w:cs="Calibri"/>
          <w:color w:val="000000" w:themeColor="text1"/>
        </w:rPr>
        <w:t xml:space="preserve"> The following table indicates the status of current projects,</w:t>
      </w:r>
    </w:p>
    <w:p w14:paraId="705BA450" w14:textId="77777777" w:rsidR="00034077" w:rsidRDefault="00034077" w:rsidP="00083908">
      <w:pPr>
        <w:spacing w:line="288" w:lineRule="auto"/>
        <w:jc w:val="both"/>
        <w:rPr>
          <w:rFonts w:cs="Calibri"/>
          <w:color w:val="000000" w:themeColor="text1"/>
        </w:rPr>
      </w:pPr>
    </w:p>
    <w:p w14:paraId="06BB8C53" w14:textId="77777777" w:rsidR="00034077" w:rsidRDefault="00034077" w:rsidP="00083908">
      <w:pPr>
        <w:spacing w:line="288" w:lineRule="auto"/>
        <w:jc w:val="both"/>
        <w:rPr>
          <w:rFonts w:cs="Calibri"/>
          <w:color w:val="000000" w:themeColor="text1"/>
        </w:rPr>
      </w:pPr>
    </w:p>
    <w:p w14:paraId="243494DE" w14:textId="42E9A1F0" w:rsidR="008D5C75" w:rsidRDefault="00034077" w:rsidP="00083908">
      <w:pPr>
        <w:spacing w:line="288" w:lineRule="auto"/>
        <w:jc w:val="both"/>
        <w:rPr>
          <w:rFonts w:asciiTheme="minorHAnsi" w:hAnsiTheme="minorHAnsi"/>
          <w:sz w:val="22"/>
        </w:rPr>
      </w:pPr>
      <w:r>
        <w:fldChar w:fldCharType="begin"/>
      </w:r>
      <w:r>
        <w:instrText xml:space="preserve"> LINK </w:instrText>
      </w:r>
      <w:r w:rsidR="008D5C75">
        <w:instrText xml:space="preserve">Excel.Sheet.12 "I:\\2018 progress.xlsx" Sheet1!R3C1:R16C8 </w:instrText>
      </w:r>
      <w:r>
        <w:instrText xml:space="preserve">\a \f 4 \h  \* MERGEFORMAT </w:instrText>
      </w:r>
      <w:r>
        <w:fldChar w:fldCharType="separate"/>
      </w:r>
    </w:p>
    <w:p w14:paraId="48004F5F" w14:textId="77777777" w:rsidR="00034077" w:rsidRDefault="00034077" w:rsidP="00083908">
      <w:pPr>
        <w:spacing w:line="288" w:lineRule="auto"/>
        <w:jc w:val="both"/>
        <w:rPr>
          <w:rFonts w:cs="Calibri"/>
          <w:color w:val="000000" w:themeColor="text1"/>
        </w:rPr>
      </w:pPr>
      <w:r>
        <w:rPr>
          <w:rFonts w:cs="Calibri"/>
          <w:color w:val="000000" w:themeColor="text1"/>
        </w:rPr>
        <w:fldChar w:fldCharType="end"/>
      </w:r>
    </w:p>
    <w:tbl>
      <w:tblPr>
        <w:tblW w:w="5000" w:type="pct"/>
        <w:tblLayout w:type="fixed"/>
        <w:tblLook w:val="04A0" w:firstRow="1" w:lastRow="0" w:firstColumn="1" w:lastColumn="0" w:noHBand="0" w:noVBand="1"/>
      </w:tblPr>
      <w:tblGrid>
        <w:gridCol w:w="874"/>
        <w:gridCol w:w="1537"/>
        <w:gridCol w:w="1062"/>
        <w:gridCol w:w="1212"/>
        <w:gridCol w:w="1816"/>
        <w:gridCol w:w="3118"/>
      </w:tblGrid>
      <w:tr w:rsidR="00034077" w:rsidRPr="00034077" w14:paraId="12418019" w14:textId="77777777" w:rsidTr="007B7722">
        <w:trPr>
          <w:trHeight w:val="254"/>
        </w:trPr>
        <w:tc>
          <w:tcPr>
            <w:tcW w:w="454" w:type="pct"/>
            <w:tcBorders>
              <w:top w:val="single" w:sz="8" w:space="0" w:color="auto"/>
              <w:left w:val="single" w:sz="8" w:space="0" w:color="auto"/>
              <w:bottom w:val="nil"/>
              <w:right w:val="single" w:sz="8" w:space="0" w:color="auto"/>
            </w:tcBorders>
            <w:shd w:val="clear" w:color="000000" w:fill="D9D9D9"/>
            <w:noWrap/>
            <w:vAlign w:val="bottom"/>
            <w:hideMark/>
          </w:tcPr>
          <w:p w14:paraId="4EF1CB60" w14:textId="77777777" w:rsidR="00034077" w:rsidRPr="00034077" w:rsidRDefault="00034077" w:rsidP="00034077">
            <w:pPr>
              <w:spacing w:after="0" w:line="240" w:lineRule="auto"/>
              <w:jc w:val="center"/>
              <w:rPr>
                <w:rFonts w:eastAsia="Times New Roman" w:cs="Times New Roman"/>
                <w:b/>
                <w:bCs/>
                <w:color w:val="000000"/>
                <w:sz w:val="16"/>
                <w:lang w:val="en-ZA" w:eastAsia="en-ZA"/>
              </w:rPr>
            </w:pPr>
            <w:r w:rsidRPr="00034077">
              <w:rPr>
                <w:rFonts w:eastAsia="Times New Roman" w:cs="Times New Roman"/>
                <w:b/>
                <w:bCs/>
                <w:color w:val="000000"/>
                <w:sz w:val="16"/>
                <w:lang w:val="en-ZA" w:eastAsia="en-ZA"/>
              </w:rPr>
              <w:t xml:space="preserve">WARD </w:t>
            </w:r>
          </w:p>
        </w:tc>
        <w:tc>
          <w:tcPr>
            <w:tcW w:w="799" w:type="pct"/>
            <w:tcBorders>
              <w:top w:val="single" w:sz="8" w:space="0" w:color="auto"/>
              <w:left w:val="nil"/>
              <w:bottom w:val="nil"/>
              <w:right w:val="single" w:sz="8" w:space="0" w:color="auto"/>
            </w:tcBorders>
            <w:shd w:val="clear" w:color="000000" w:fill="D9D9D9"/>
            <w:noWrap/>
            <w:vAlign w:val="bottom"/>
            <w:hideMark/>
          </w:tcPr>
          <w:p w14:paraId="2D13EFE0" w14:textId="77777777" w:rsidR="00034077" w:rsidRPr="00034077" w:rsidRDefault="00034077" w:rsidP="00034077">
            <w:pPr>
              <w:spacing w:after="0" w:line="240" w:lineRule="auto"/>
              <w:jc w:val="center"/>
              <w:rPr>
                <w:rFonts w:eastAsia="Times New Roman" w:cs="Times New Roman"/>
                <w:b/>
                <w:bCs/>
                <w:color w:val="000000"/>
                <w:sz w:val="16"/>
                <w:lang w:val="en-ZA" w:eastAsia="en-ZA"/>
              </w:rPr>
            </w:pPr>
            <w:r w:rsidRPr="00034077">
              <w:rPr>
                <w:rFonts w:eastAsia="Times New Roman" w:cs="Times New Roman"/>
                <w:b/>
                <w:bCs/>
                <w:color w:val="000000"/>
                <w:sz w:val="16"/>
                <w:lang w:val="en-ZA" w:eastAsia="en-ZA"/>
              </w:rPr>
              <w:t>PROJECT NAME</w:t>
            </w:r>
          </w:p>
        </w:tc>
        <w:tc>
          <w:tcPr>
            <w:tcW w:w="552" w:type="pct"/>
            <w:tcBorders>
              <w:top w:val="single" w:sz="8" w:space="0" w:color="auto"/>
              <w:left w:val="nil"/>
              <w:bottom w:val="nil"/>
              <w:right w:val="single" w:sz="8" w:space="0" w:color="auto"/>
            </w:tcBorders>
            <w:shd w:val="clear" w:color="000000" w:fill="D9D9D9"/>
            <w:noWrap/>
            <w:vAlign w:val="bottom"/>
            <w:hideMark/>
          </w:tcPr>
          <w:p w14:paraId="70E64195" w14:textId="77777777" w:rsidR="00034077" w:rsidRPr="00034077" w:rsidRDefault="00034077" w:rsidP="00034077">
            <w:pPr>
              <w:spacing w:after="0" w:line="240" w:lineRule="auto"/>
              <w:jc w:val="center"/>
              <w:rPr>
                <w:rFonts w:eastAsia="Times New Roman" w:cs="Times New Roman"/>
                <w:b/>
                <w:bCs/>
                <w:color w:val="000000"/>
                <w:sz w:val="16"/>
                <w:lang w:val="en-ZA" w:eastAsia="en-ZA"/>
              </w:rPr>
            </w:pPr>
            <w:r w:rsidRPr="00034077">
              <w:rPr>
                <w:rFonts w:eastAsia="Times New Roman" w:cs="Times New Roman"/>
                <w:b/>
                <w:bCs/>
                <w:color w:val="000000"/>
                <w:sz w:val="16"/>
                <w:lang w:val="en-ZA" w:eastAsia="en-ZA"/>
              </w:rPr>
              <w:t>COMPANY</w:t>
            </w:r>
          </w:p>
        </w:tc>
        <w:tc>
          <w:tcPr>
            <w:tcW w:w="630" w:type="pct"/>
            <w:tcBorders>
              <w:top w:val="single" w:sz="8" w:space="0" w:color="auto"/>
              <w:left w:val="nil"/>
              <w:bottom w:val="nil"/>
              <w:right w:val="single" w:sz="8" w:space="0" w:color="auto"/>
            </w:tcBorders>
            <w:shd w:val="clear" w:color="000000" w:fill="D9D9D9"/>
            <w:noWrap/>
            <w:vAlign w:val="bottom"/>
            <w:hideMark/>
          </w:tcPr>
          <w:p w14:paraId="4C6EEFD5" w14:textId="77777777" w:rsidR="00034077" w:rsidRPr="00034077" w:rsidRDefault="00034077" w:rsidP="00034077">
            <w:pPr>
              <w:spacing w:after="0" w:line="240" w:lineRule="auto"/>
              <w:jc w:val="center"/>
              <w:rPr>
                <w:rFonts w:eastAsia="Times New Roman" w:cs="Times New Roman"/>
                <w:b/>
                <w:bCs/>
                <w:color w:val="000000"/>
                <w:sz w:val="16"/>
                <w:lang w:val="en-ZA" w:eastAsia="en-ZA"/>
              </w:rPr>
            </w:pPr>
            <w:r w:rsidRPr="00034077">
              <w:rPr>
                <w:rFonts w:eastAsia="Times New Roman" w:cs="Times New Roman"/>
                <w:b/>
                <w:bCs/>
                <w:color w:val="000000"/>
                <w:sz w:val="16"/>
                <w:lang w:val="en-ZA" w:eastAsia="en-ZA"/>
              </w:rPr>
              <w:t>Connections</w:t>
            </w:r>
          </w:p>
        </w:tc>
        <w:tc>
          <w:tcPr>
            <w:tcW w:w="944" w:type="pct"/>
            <w:tcBorders>
              <w:top w:val="single" w:sz="8" w:space="0" w:color="auto"/>
              <w:left w:val="nil"/>
              <w:bottom w:val="nil"/>
              <w:right w:val="single" w:sz="8" w:space="0" w:color="auto"/>
            </w:tcBorders>
            <w:shd w:val="clear" w:color="000000" w:fill="D9D9D9"/>
            <w:noWrap/>
            <w:vAlign w:val="bottom"/>
            <w:hideMark/>
          </w:tcPr>
          <w:p w14:paraId="56F39E36" w14:textId="77777777" w:rsidR="00034077" w:rsidRPr="00034077" w:rsidRDefault="00034077" w:rsidP="00034077">
            <w:pPr>
              <w:spacing w:after="0" w:line="240" w:lineRule="auto"/>
              <w:jc w:val="center"/>
              <w:rPr>
                <w:rFonts w:eastAsia="Times New Roman" w:cs="Times New Roman"/>
                <w:b/>
                <w:bCs/>
                <w:color w:val="000000"/>
                <w:sz w:val="16"/>
                <w:lang w:val="en-ZA" w:eastAsia="en-ZA"/>
              </w:rPr>
            </w:pPr>
            <w:r w:rsidRPr="00034077">
              <w:rPr>
                <w:rFonts w:eastAsia="Times New Roman" w:cs="Times New Roman"/>
                <w:b/>
                <w:bCs/>
                <w:color w:val="000000"/>
                <w:sz w:val="16"/>
                <w:lang w:val="en-ZA" w:eastAsia="en-ZA"/>
              </w:rPr>
              <w:t>Contractor</w:t>
            </w:r>
          </w:p>
        </w:tc>
        <w:tc>
          <w:tcPr>
            <w:tcW w:w="1621" w:type="pct"/>
            <w:tcBorders>
              <w:top w:val="single" w:sz="8" w:space="0" w:color="auto"/>
              <w:left w:val="nil"/>
              <w:bottom w:val="nil"/>
              <w:right w:val="single" w:sz="8" w:space="0" w:color="auto"/>
            </w:tcBorders>
            <w:shd w:val="clear" w:color="000000" w:fill="D9D9D9"/>
            <w:noWrap/>
            <w:vAlign w:val="bottom"/>
            <w:hideMark/>
          </w:tcPr>
          <w:p w14:paraId="5B0963AB" w14:textId="77777777" w:rsidR="00034077" w:rsidRPr="00034077" w:rsidRDefault="00034077" w:rsidP="00034077">
            <w:pPr>
              <w:spacing w:after="0" w:line="240" w:lineRule="auto"/>
              <w:jc w:val="center"/>
              <w:rPr>
                <w:rFonts w:eastAsia="Times New Roman" w:cs="Times New Roman"/>
                <w:b/>
                <w:bCs/>
                <w:color w:val="000000"/>
                <w:sz w:val="16"/>
                <w:lang w:val="en-ZA" w:eastAsia="en-ZA"/>
              </w:rPr>
            </w:pPr>
            <w:r w:rsidRPr="00034077">
              <w:rPr>
                <w:rFonts w:eastAsia="Times New Roman" w:cs="Times New Roman"/>
                <w:b/>
                <w:bCs/>
                <w:color w:val="000000"/>
                <w:sz w:val="16"/>
                <w:lang w:val="en-ZA" w:eastAsia="en-ZA"/>
              </w:rPr>
              <w:t>PROGRESS</w:t>
            </w:r>
          </w:p>
        </w:tc>
      </w:tr>
      <w:tr w:rsidR="00034077" w:rsidRPr="00034077" w14:paraId="2D29A56C" w14:textId="77777777" w:rsidTr="007B7722">
        <w:trPr>
          <w:trHeight w:val="254"/>
        </w:trPr>
        <w:tc>
          <w:tcPr>
            <w:tcW w:w="454" w:type="pct"/>
            <w:tcBorders>
              <w:top w:val="nil"/>
              <w:left w:val="single" w:sz="8" w:space="0" w:color="auto"/>
              <w:bottom w:val="single" w:sz="8" w:space="0" w:color="auto"/>
              <w:right w:val="single" w:sz="8" w:space="0" w:color="auto"/>
            </w:tcBorders>
            <w:shd w:val="clear" w:color="000000" w:fill="D9D9D9"/>
            <w:noWrap/>
            <w:vAlign w:val="bottom"/>
            <w:hideMark/>
          </w:tcPr>
          <w:p w14:paraId="75DC04EA" w14:textId="77777777" w:rsidR="00034077" w:rsidRPr="00034077" w:rsidRDefault="00034077" w:rsidP="00034077">
            <w:pPr>
              <w:spacing w:after="0" w:line="240" w:lineRule="auto"/>
              <w:jc w:val="center"/>
              <w:rPr>
                <w:rFonts w:eastAsia="Times New Roman" w:cs="Times New Roman"/>
                <w:b/>
                <w:bCs/>
                <w:color w:val="000000"/>
                <w:sz w:val="16"/>
                <w:lang w:val="en-ZA" w:eastAsia="en-ZA"/>
              </w:rPr>
            </w:pPr>
            <w:r w:rsidRPr="00034077">
              <w:rPr>
                <w:rFonts w:eastAsia="Times New Roman" w:cs="Times New Roman"/>
                <w:b/>
                <w:bCs/>
                <w:color w:val="000000"/>
                <w:sz w:val="16"/>
                <w:lang w:val="en-ZA" w:eastAsia="en-ZA"/>
              </w:rPr>
              <w:t> </w:t>
            </w:r>
          </w:p>
        </w:tc>
        <w:tc>
          <w:tcPr>
            <w:tcW w:w="799" w:type="pct"/>
            <w:tcBorders>
              <w:top w:val="nil"/>
              <w:left w:val="nil"/>
              <w:bottom w:val="single" w:sz="8" w:space="0" w:color="auto"/>
              <w:right w:val="single" w:sz="8" w:space="0" w:color="auto"/>
            </w:tcBorders>
            <w:shd w:val="clear" w:color="000000" w:fill="D9D9D9"/>
            <w:noWrap/>
            <w:vAlign w:val="bottom"/>
            <w:hideMark/>
          </w:tcPr>
          <w:p w14:paraId="14B569F0" w14:textId="77777777" w:rsidR="00034077" w:rsidRPr="00034077" w:rsidRDefault="00034077" w:rsidP="00034077">
            <w:pPr>
              <w:spacing w:after="0" w:line="240" w:lineRule="auto"/>
              <w:jc w:val="center"/>
              <w:rPr>
                <w:rFonts w:eastAsia="Times New Roman" w:cs="Times New Roman"/>
                <w:b/>
                <w:bCs/>
                <w:color w:val="000000"/>
                <w:sz w:val="16"/>
                <w:lang w:val="en-ZA" w:eastAsia="en-ZA"/>
              </w:rPr>
            </w:pPr>
            <w:r w:rsidRPr="00034077">
              <w:rPr>
                <w:rFonts w:eastAsia="Times New Roman" w:cs="Times New Roman"/>
                <w:b/>
                <w:bCs/>
                <w:color w:val="000000"/>
                <w:sz w:val="16"/>
                <w:lang w:val="en-ZA" w:eastAsia="en-ZA"/>
              </w:rPr>
              <w:t> </w:t>
            </w:r>
          </w:p>
        </w:tc>
        <w:tc>
          <w:tcPr>
            <w:tcW w:w="552" w:type="pct"/>
            <w:tcBorders>
              <w:top w:val="nil"/>
              <w:left w:val="nil"/>
              <w:bottom w:val="single" w:sz="8" w:space="0" w:color="auto"/>
              <w:right w:val="single" w:sz="8" w:space="0" w:color="auto"/>
            </w:tcBorders>
            <w:shd w:val="clear" w:color="000000" w:fill="D9D9D9"/>
            <w:noWrap/>
            <w:vAlign w:val="bottom"/>
            <w:hideMark/>
          </w:tcPr>
          <w:p w14:paraId="0EADE971" w14:textId="77777777" w:rsidR="00034077" w:rsidRPr="00034077" w:rsidRDefault="00034077" w:rsidP="00034077">
            <w:pPr>
              <w:spacing w:after="0" w:line="240" w:lineRule="auto"/>
              <w:jc w:val="center"/>
              <w:rPr>
                <w:rFonts w:eastAsia="Times New Roman" w:cs="Times New Roman"/>
                <w:b/>
                <w:bCs/>
                <w:color w:val="000000"/>
                <w:sz w:val="16"/>
                <w:lang w:val="en-ZA" w:eastAsia="en-ZA"/>
              </w:rPr>
            </w:pPr>
            <w:r w:rsidRPr="00034077">
              <w:rPr>
                <w:rFonts w:eastAsia="Times New Roman" w:cs="Times New Roman"/>
                <w:b/>
                <w:bCs/>
                <w:color w:val="000000"/>
                <w:sz w:val="16"/>
                <w:lang w:val="en-ZA" w:eastAsia="en-ZA"/>
              </w:rPr>
              <w:t> </w:t>
            </w:r>
          </w:p>
        </w:tc>
        <w:tc>
          <w:tcPr>
            <w:tcW w:w="630" w:type="pct"/>
            <w:tcBorders>
              <w:top w:val="nil"/>
              <w:left w:val="nil"/>
              <w:bottom w:val="single" w:sz="8" w:space="0" w:color="auto"/>
              <w:right w:val="single" w:sz="8" w:space="0" w:color="auto"/>
            </w:tcBorders>
            <w:shd w:val="clear" w:color="000000" w:fill="D9D9D9"/>
            <w:noWrap/>
            <w:vAlign w:val="bottom"/>
            <w:hideMark/>
          </w:tcPr>
          <w:p w14:paraId="40E151F1" w14:textId="77777777" w:rsidR="00034077" w:rsidRPr="00034077" w:rsidRDefault="00034077" w:rsidP="00034077">
            <w:pPr>
              <w:spacing w:after="0" w:line="240" w:lineRule="auto"/>
              <w:jc w:val="center"/>
              <w:rPr>
                <w:rFonts w:eastAsia="Times New Roman" w:cs="Times New Roman"/>
                <w:b/>
                <w:bCs/>
                <w:color w:val="000000"/>
                <w:sz w:val="16"/>
                <w:lang w:val="en-ZA" w:eastAsia="en-ZA"/>
              </w:rPr>
            </w:pPr>
            <w:r w:rsidRPr="00034077">
              <w:rPr>
                <w:rFonts w:eastAsia="Times New Roman" w:cs="Times New Roman"/>
                <w:b/>
                <w:bCs/>
                <w:color w:val="000000"/>
                <w:sz w:val="16"/>
                <w:lang w:val="en-ZA" w:eastAsia="en-ZA"/>
              </w:rPr>
              <w:t> </w:t>
            </w:r>
          </w:p>
        </w:tc>
        <w:tc>
          <w:tcPr>
            <w:tcW w:w="944" w:type="pct"/>
            <w:tcBorders>
              <w:top w:val="nil"/>
              <w:left w:val="nil"/>
              <w:bottom w:val="single" w:sz="8" w:space="0" w:color="auto"/>
              <w:right w:val="single" w:sz="8" w:space="0" w:color="auto"/>
            </w:tcBorders>
            <w:shd w:val="clear" w:color="000000" w:fill="D9D9D9"/>
            <w:noWrap/>
            <w:vAlign w:val="bottom"/>
            <w:hideMark/>
          </w:tcPr>
          <w:p w14:paraId="1F1165BE" w14:textId="77777777" w:rsidR="00034077" w:rsidRPr="00034077" w:rsidRDefault="00034077" w:rsidP="00034077">
            <w:pPr>
              <w:spacing w:after="0" w:line="240" w:lineRule="auto"/>
              <w:jc w:val="center"/>
              <w:rPr>
                <w:rFonts w:eastAsia="Times New Roman" w:cs="Times New Roman"/>
                <w:b/>
                <w:bCs/>
                <w:color w:val="000000"/>
                <w:sz w:val="16"/>
                <w:lang w:val="en-ZA" w:eastAsia="en-ZA"/>
              </w:rPr>
            </w:pPr>
            <w:r w:rsidRPr="00034077">
              <w:rPr>
                <w:rFonts w:eastAsia="Times New Roman" w:cs="Times New Roman"/>
                <w:b/>
                <w:bCs/>
                <w:color w:val="000000"/>
                <w:sz w:val="16"/>
                <w:lang w:val="en-ZA" w:eastAsia="en-ZA"/>
              </w:rPr>
              <w:t> </w:t>
            </w:r>
          </w:p>
        </w:tc>
        <w:tc>
          <w:tcPr>
            <w:tcW w:w="1621" w:type="pct"/>
            <w:tcBorders>
              <w:top w:val="nil"/>
              <w:left w:val="nil"/>
              <w:bottom w:val="single" w:sz="8" w:space="0" w:color="auto"/>
              <w:right w:val="single" w:sz="8" w:space="0" w:color="auto"/>
            </w:tcBorders>
            <w:shd w:val="clear" w:color="000000" w:fill="D9D9D9"/>
            <w:noWrap/>
            <w:vAlign w:val="bottom"/>
            <w:hideMark/>
          </w:tcPr>
          <w:p w14:paraId="7978DFAB" w14:textId="77777777" w:rsidR="00034077" w:rsidRPr="00034077" w:rsidRDefault="00034077" w:rsidP="00034077">
            <w:pPr>
              <w:spacing w:after="0" w:line="240" w:lineRule="auto"/>
              <w:jc w:val="center"/>
              <w:rPr>
                <w:rFonts w:eastAsia="Times New Roman" w:cs="Times New Roman"/>
                <w:b/>
                <w:bCs/>
                <w:color w:val="000000"/>
                <w:sz w:val="16"/>
                <w:lang w:val="en-ZA" w:eastAsia="en-ZA"/>
              </w:rPr>
            </w:pPr>
            <w:r w:rsidRPr="00034077">
              <w:rPr>
                <w:rFonts w:eastAsia="Times New Roman" w:cs="Times New Roman"/>
                <w:b/>
                <w:bCs/>
                <w:color w:val="000000"/>
                <w:sz w:val="16"/>
                <w:lang w:val="en-ZA" w:eastAsia="en-ZA"/>
              </w:rPr>
              <w:t> </w:t>
            </w:r>
          </w:p>
        </w:tc>
      </w:tr>
      <w:tr w:rsidR="00034077" w:rsidRPr="00034077" w14:paraId="0D0CDA38" w14:textId="77777777" w:rsidTr="007B7722">
        <w:trPr>
          <w:trHeight w:val="340"/>
        </w:trPr>
        <w:tc>
          <w:tcPr>
            <w:tcW w:w="454" w:type="pct"/>
            <w:tcBorders>
              <w:top w:val="nil"/>
              <w:left w:val="single" w:sz="4" w:space="0" w:color="auto"/>
              <w:bottom w:val="single" w:sz="4" w:space="0" w:color="auto"/>
              <w:right w:val="single" w:sz="4" w:space="0" w:color="auto"/>
            </w:tcBorders>
            <w:shd w:val="clear" w:color="auto" w:fill="auto"/>
            <w:noWrap/>
            <w:vAlign w:val="bottom"/>
            <w:hideMark/>
          </w:tcPr>
          <w:p w14:paraId="31BBF547" w14:textId="77777777" w:rsidR="00034077" w:rsidRPr="00034077" w:rsidRDefault="00034077" w:rsidP="00034077">
            <w:pPr>
              <w:spacing w:after="0" w:line="240" w:lineRule="auto"/>
              <w:jc w:val="center"/>
              <w:rPr>
                <w:rFonts w:eastAsia="Times New Roman" w:cs="Times New Roman"/>
                <w:color w:val="000000"/>
                <w:sz w:val="16"/>
                <w:lang w:val="en-ZA" w:eastAsia="en-ZA"/>
              </w:rPr>
            </w:pPr>
            <w:r w:rsidRPr="00034077">
              <w:rPr>
                <w:rFonts w:eastAsia="Times New Roman" w:cs="Times New Roman"/>
                <w:color w:val="000000"/>
                <w:sz w:val="16"/>
                <w:lang w:val="en-ZA" w:eastAsia="en-ZA"/>
              </w:rPr>
              <w:t>1</w:t>
            </w:r>
          </w:p>
        </w:tc>
        <w:tc>
          <w:tcPr>
            <w:tcW w:w="799" w:type="pct"/>
            <w:tcBorders>
              <w:top w:val="nil"/>
              <w:left w:val="nil"/>
              <w:bottom w:val="single" w:sz="4" w:space="0" w:color="auto"/>
              <w:right w:val="single" w:sz="4" w:space="0" w:color="auto"/>
            </w:tcBorders>
            <w:shd w:val="clear" w:color="auto" w:fill="auto"/>
            <w:vAlign w:val="center"/>
            <w:hideMark/>
          </w:tcPr>
          <w:p w14:paraId="12BD84DB"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Izinyosi</w:t>
            </w:r>
          </w:p>
        </w:tc>
        <w:tc>
          <w:tcPr>
            <w:tcW w:w="552" w:type="pct"/>
            <w:tcBorders>
              <w:top w:val="nil"/>
              <w:left w:val="nil"/>
              <w:bottom w:val="single" w:sz="4" w:space="0" w:color="auto"/>
              <w:right w:val="single" w:sz="4" w:space="0" w:color="auto"/>
            </w:tcBorders>
            <w:shd w:val="clear" w:color="auto" w:fill="auto"/>
            <w:noWrap/>
            <w:vAlign w:val="bottom"/>
            <w:hideMark/>
          </w:tcPr>
          <w:p w14:paraId="0B9E73CB"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Eskom</w:t>
            </w:r>
          </w:p>
        </w:tc>
        <w:tc>
          <w:tcPr>
            <w:tcW w:w="630" w:type="pct"/>
            <w:tcBorders>
              <w:top w:val="nil"/>
              <w:left w:val="nil"/>
              <w:bottom w:val="single" w:sz="4" w:space="0" w:color="auto"/>
              <w:right w:val="single" w:sz="4" w:space="0" w:color="auto"/>
            </w:tcBorders>
            <w:shd w:val="clear" w:color="auto" w:fill="auto"/>
            <w:noWrap/>
            <w:vAlign w:val="bottom"/>
            <w:hideMark/>
          </w:tcPr>
          <w:p w14:paraId="58CCE8FE" w14:textId="77777777" w:rsidR="00034077" w:rsidRPr="00034077" w:rsidRDefault="00034077" w:rsidP="00034077">
            <w:pPr>
              <w:spacing w:after="0" w:line="240" w:lineRule="auto"/>
              <w:jc w:val="center"/>
              <w:rPr>
                <w:rFonts w:eastAsia="Times New Roman" w:cs="Times New Roman"/>
                <w:color w:val="000000"/>
                <w:sz w:val="16"/>
                <w:lang w:val="en-ZA" w:eastAsia="en-ZA"/>
              </w:rPr>
            </w:pPr>
            <w:r w:rsidRPr="00034077">
              <w:rPr>
                <w:rFonts w:eastAsia="Times New Roman" w:cs="Times New Roman"/>
                <w:color w:val="000000"/>
                <w:sz w:val="16"/>
                <w:lang w:val="en-ZA" w:eastAsia="en-ZA"/>
              </w:rPr>
              <w:t>368</w:t>
            </w:r>
          </w:p>
        </w:tc>
        <w:tc>
          <w:tcPr>
            <w:tcW w:w="944" w:type="pct"/>
            <w:tcBorders>
              <w:top w:val="nil"/>
              <w:left w:val="nil"/>
              <w:bottom w:val="single" w:sz="4" w:space="0" w:color="auto"/>
              <w:right w:val="single" w:sz="4" w:space="0" w:color="auto"/>
            </w:tcBorders>
            <w:shd w:val="clear" w:color="auto" w:fill="auto"/>
            <w:noWrap/>
            <w:vAlign w:val="bottom"/>
            <w:hideMark/>
          </w:tcPr>
          <w:p w14:paraId="48134598"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KEV Accurate</w:t>
            </w:r>
          </w:p>
        </w:tc>
        <w:tc>
          <w:tcPr>
            <w:tcW w:w="1621" w:type="pct"/>
            <w:tcBorders>
              <w:top w:val="nil"/>
              <w:left w:val="nil"/>
              <w:bottom w:val="single" w:sz="4" w:space="0" w:color="auto"/>
              <w:right w:val="single" w:sz="4" w:space="0" w:color="auto"/>
            </w:tcBorders>
            <w:shd w:val="clear" w:color="auto" w:fill="auto"/>
            <w:noWrap/>
            <w:vAlign w:val="bottom"/>
            <w:hideMark/>
          </w:tcPr>
          <w:p w14:paraId="2661B296"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Izinyosi is part of Evuma project 17/18 Plan and it was a left out zone of Entumeni - Onsite</w:t>
            </w:r>
          </w:p>
        </w:tc>
      </w:tr>
      <w:tr w:rsidR="00034077" w:rsidRPr="00034077" w14:paraId="69181096" w14:textId="77777777" w:rsidTr="007B7722">
        <w:trPr>
          <w:trHeight w:val="340"/>
        </w:trPr>
        <w:tc>
          <w:tcPr>
            <w:tcW w:w="454" w:type="pct"/>
            <w:tcBorders>
              <w:top w:val="nil"/>
              <w:left w:val="single" w:sz="4" w:space="0" w:color="auto"/>
              <w:bottom w:val="single" w:sz="4" w:space="0" w:color="auto"/>
              <w:right w:val="single" w:sz="4" w:space="0" w:color="auto"/>
            </w:tcBorders>
            <w:shd w:val="clear" w:color="auto" w:fill="auto"/>
            <w:noWrap/>
            <w:vAlign w:val="bottom"/>
            <w:hideMark/>
          </w:tcPr>
          <w:p w14:paraId="411C52E3" w14:textId="77777777" w:rsidR="00034077" w:rsidRPr="00034077" w:rsidRDefault="00034077" w:rsidP="00034077">
            <w:pPr>
              <w:spacing w:after="0" w:line="240" w:lineRule="auto"/>
              <w:jc w:val="center"/>
              <w:rPr>
                <w:rFonts w:eastAsia="Times New Roman" w:cs="Times New Roman"/>
                <w:color w:val="000000"/>
                <w:sz w:val="16"/>
                <w:lang w:val="en-ZA" w:eastAsia="en-ZA"/>
              </w:rPr>
            </w:pPr>
            <w:r w:rsidRPr="00034077">
              <w:rPr>
                <w:rFonts w:eastAsia="Times New Roman" w:cs="Times New Roman"/>
                <w:color w:val="000000"/>
                <w:sz w:val="16"/>
                <w:lang w:val="en-ZA" w:eastAsia="en-ZA"/>
              </w:rPr>
              <w:t>2</w:t>
            </w:r>
          </w:p>
        </w:tc>
        <w:tc>
          <w:tcPr>
            <w:tcW w:w="799" w:type="pct"/>
            <w:tcBorders>
              <w:top w:val="nil"/>
              <w:left w:val="nil"/>
              <w:bottom w:val="single" w:sz="4" w:space="0" w:color="auto"/>
              <w:right w:val="single" w:sz="4" w:space="0" w:color="auto"/>
            </w:tcBorders>
            <w:shd w:val="clear" w:color="auto" w:fill="auto"/>
            <w:noWrap/>
            <w:vAlign w:val="bottom"/>
            <w:hideMark/>
          </w:tcPr>
          <w:p w14:paraId="76A49F4F"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Mankhumbu # 2</w:t>
            </w:r>
          </w:p>
        </w:tc>
        <w:tc>
          <w:tcPr>
            <w:tcW w:w="552" w:type="pct"/>
            <w:tcBorders>
              <w:top w:val="nil"/>
              <w:left w:val="nil"/>
              <w:bottom w:val="single" w:sz="4" w:space="0" w:color="auto"/>
              <w:right w:val="single" w:sz="4" w:space="0" w:color="auto"/>
            </w:tcBorders>
            <w:shd w:val="clear" w:color="auto" w:fill="auto"/>
            <w:noWrap/>
            <w:vAlign w:val="bottom"/>
            <w:hideMark/>
          </w:tcPr>
          <w:p w14:paraId="24809987"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Eskom</w:t>
            </w:r>
          </w:p>
        </w:tc>
        <w:tc>
          <w:tcPr>
            <w:tcW w:w="630" w:type="pct"/>
            <w:tcBorders>
              <w:top w:val="nil"/>
              <w:left w:val="nil"/>
              <w:bottom w:val="single" w:sz="4" w:space="0" w:color="auto"/>
              <w:right w:val="single" w:sz="4" w:space="0" w:color="auto"/>
            </w:tcBorders>
            <w:shd w:val="clear" w:color="auto" w:fill="auto"/>
            <w:noWrap/>
            <w:vAlign w:val="bottom"/>
            <w:hideMark/>
          </w:tcPr>
          <w:p w14:paraId="748EA562" w14:textId="77777777" w:rsidR="00034077" w:rsidRPr="00034077" w:rsidRDefault="00034077" w:rsidP="00034077">
            <w:pPr>
              <w:spacing w:after="0" w:line="240" w:lineRule="auto"/>
              <w:jc w:val="center"/>
              <w:rPr>
                <w:rFonts w:eastAsia="Times New Roman" w:cs="Times New Roman"/>
                <w:color w:val="000000"/>
                <w:sz w:val="16"/>
                <w:lang w:val="en-ZA" w:eastAsia="en-ZA"/>
              </w:rPr>
            </w:pPr>
            <w:r w:rsidRPr="00034077">
              <w:rPr>
                <w:rFonts w:eastAsia="Times New Roman" w:cs="Times New Roman"/>
                <w:color w:val="000000"/>
                <w:sz w:val="16"/>
                <w:lang w:val="en-ZA" w:eastAsia="en-ZA"/>
              </w:rPr>
              <w:t>84</w:t>
            </w:r>
          </w:p>
        </w:tc>
        <w:tc>
          <w:tcPr>
            <w:tcW w:w="944" w:type="pct"/>
            <w:tcBorders>
              <w:top w:val="nil"/>
              <w:left w:val="nil"/>
              <w:bottom w:val="single" w:sz="4" w:space="0" w:color="auto"/>
              <w:right w:val="single" w:sz="4" w:space="0" w:color="auto"/>
            </w:tcBorders>
            <w:shd w:val="clear" w:color="auto" w:fill="auto"/>
            <w:noWrap/>
            <w:vAlign w:val="bottom"/>
            <w:hideMark/>
          </w:tcPr>
          <w:p w14:paraId="1F6B9C89"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Techniteck Seven</w:t>
            </w:r>
          </w:p>
        </w:tc>
        <w:tc>
          <w:tcPr>
            <w:tcW w:w="1621" w:type="pct"/>
            <w:tcBorders>
              <w:top w:val="nil"/>
              <w:left w:val="nil"/>
              <w:bottom w:val="single" w:sz="4" w:space="0" w:color="auto"/>
              <w:right w:val="single" w:sz="4" w:space="0" w:color="auto"/>
            </w:tcBorders>
            <w:shd w:val="clear" w:color="auto" w:fill="auto"/>
            <w:vAlign w:val="center"/>
            <w:hideMark/>
          </w:tcPr>
          <w:p w14:paraId="7E60F807"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Project is still on construction</w:t>
            </w:r>
          </w:p>
        </w:tc>
      </w:tr>
      <w:tr w:rsidR="00034077" w:rsidRPr="00034077" w14:paraId="7CBF3E44" w14:textId="77777777" w:rsidTr="007B7722">
        <w:trPr>
          <w:trHeight w:val="340"/>
        </w:trPr>
        <w:tc>
          <w:tcPr>
            <w:tcW w:w="454" w:type="pct"/>
            <w:tcBorders>
              <w:top w:val="nil"/>
              <w:left w:val="single" w:sz="4" w:space="0" w:color="auto"/>
              <w:bottom w:val="single" w:sz="4" w:space="0" w:color="auto"/>
              <w:right w:val="single" w:sz="4" w:space="0" w:color="auto"/>
            </w:tcBorders>
            <w:shd w:val="clear" w:color="auto" w:fill="auto"/>
            <w:noWrap/>
            <w:vAlign w:val="bottom"/>
            <w:hideMark/>
          </w:tcPr>
          <w:p w14:paraId="5B4147FF" w14:textId="77777777" w:rsidR="00034077" w:rsidRPr="00034077" w:rsidRDefault="00034077" w:rsidP="00034077">
            <w:pPr>
              <w:spacing w:after="0" w:line="240" w:lineRule="auto"/>
              <w:jc w:val="center"/>
              <w:rPr>
                <w:rFonts w:eastAsia="Times New Roman" w:cs="Times New Roman"/>
                <w:color w:val="000000"/>
                <w:sz w:val="16"/>
                <w:lang w:val="en-ZA" w:eastAsia="en-ZA"/>
              </w:rPr>
            </w:pPr>
            <w:r w:rsidRPr="00034077">
              <w:rPr>
                <w:rFonts w:eastAsia="Times New Roman" w:cs="Times New Roman"/>
                <w:color w:val="000000"/>
                <w:sz w:val="16"/>
                <w:lang w:val="en-ZA" w:eastAsia="en-ZA"/>
              </w:rPr>
              <w:t>3</w:t>
            </w:r>
          </w:p>
        </w:tc>
        <w:tc>
          <w:tcPr>
            <w:tcW w:w="799" w:type="pct"/>
            <w:tcBorders>
              <w:top w:val="nil"/>
              <w:left w:val="nil"/>
              <w:bottom w:val="single" w:sz="4" w:space="0" w:color="auto"/>
              <w:right w:val="single" w:sz="4" w:space="0" w:color="auto"/>
            </w:tcBorders>
            <w:shd w:val="clear" w:color="auto" w:fill="auto"/>
            <w:noWrap/>
            <w:vAlign w:val="bottom"/>
            <w:hideMark/>
          </w:tcPr>
          <w:p w14:paraId="7273E4FD"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 xml:space="preserve">Slambo # 2 </w:t>
            </w:r>
          </w:p>
        </w:tc>
        <w:tc>
          <w:tcPr>
            <w:tcW w:w="552" w:type="pct"/>
            <w:tcBorders>
              <w:top w:val="nil"/>
              <w:left w:val="nil"/>
              <w:bottom w:val="single" w:sz="4" w:space="0" w:color="auto"/>
              <w:right w:val="single" w:sz="4" w:space="0" w:color="auto"/>
            </w:tcBorders>
            <w:shd w:val="clear" w:color="auto" w:fill="auto"/>
            <w:noWrap/>
            <w:vAlign w:val="bottom"/>
            <w:hideMark/>
          </w:tcPr>
          <w:p w14:paraId="6324B891"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Eskom</w:t>
            </w:r>
          </w:p>
        </w:tc>
        <w:tc>
          <w:tcPr>
            <w:tcW w:w="630" w:type="pct"/>
            <w:tcBorders>
              <w:top w:val="nil"/>
              <w:left w:val="nil"/>
              <w:bottom w:val="single" w:sz="4" w:space="0" w:color="auto"/>
              <w:right w:val="single" w:sz="4" w:space="0" w:color="auto"/>
            </w:tcBorders>
            <w:shd w:val="clear" w:color="auto" w:fill="auto"/>
            <w:noWrap/>
            <w:vAlign w:val="bottom"/>
            <w:hideMark/>
          </w:tcPr>
          <w:p w14:paraId="12C979DB" w14:textId="77777777" w:rsidR="00034077" w:rsidRPr="00034077" w:rsidRDefault="00034077" w:rsidP="00034077">
            <w:pPr>
              <w:spacing w:after="0" w:line="240" w:lineRule="auto"/>
              <w:jc w:val="center"/>
              <w:rPr>
                <w:rFonts w:eastAsia="Times New Roman" w:cs="Times New Roman"/>
                <w:color w:val="000000"/>
                <w:sz w:val="16"/>
                <w:lang w:val="en-ZA" w:eastAsia="en-ZA"/>
              </w:rPr>
            </w:pPr>
            <w:r w:rsidRPr="00034077">
              <w:rPr>
                <w:rFonts w:eastAsia="Times New Roman" w:cs="Times New Roman"/>
                <w:color w:val="000000"/>
                <w:sz w:val="16"/>
                <w:lang w:val="en-ZA" w:eastAsia="en-ZA"/>
              </w:rPr>
              <w:t>318</w:t>
            </w:r>
          </w:p>
        </w:tc>
        <w:tc>
          <w:tcPr>
            <w:tcW w:w="944" w:type="pct"/>
            <w:tcBorders>
              <w:top w:val="nil"/>
              <w:left w:val="nil"/>
              <w:bottom w:val="single" w:sz="4" w:space="0" w:color="auto"/>
              <w:right w:val="single" w:sz="4" w:space="0" w:color="auto"/>
            </w:tcBorders>
            <w:shd w:val="clear" w:color="auto" w:fill="auto"/>
            <w:noWrap/>
            <w:vAlign w:val="bottom"/>
            <w:hideMark/>
          </w:tcPr>
          <w:p w14:paraId="56547E9B"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MG contracting</w:t>
            </w:r>
          </w:p>
        </w:tc>
        <w:tc>
          <w:tcPr>
            <w:tcW w:w="1621" w:type="pct"/>
            <w:tcBorders>
              <w:top w:val="nil"/>
              <w:left w:val="nil"/>
              <w:bottom w:val="single" w:sz="4" w:space="0" w:color="auto"/>
              <w:right w:val="single" w:sz="4" w:space="0" w:color="auto"/>
            </w:tcBorders>
            <w:shd w:val="clear" w:color="auto" w:fill="auto"/>
            <w:noWrap/>
            <w:vAlign w:val="bottom"/>
            <w:hideMark/>
          </w:tcPr>
          <w:p w14:paraId="0289D50E"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 xml:space="preserve">Contractor on site - MV line to be build - surveyor on site </w:t>
            </w:r>
          </w:p>
        </w:tc>
      </w:tr>
      <w:tr w:rsidR="00034077" w:rsidRPr="00034077" w14:paraId="21F8385A" w14:textId="77777777" w:rsidTr="007B7722">
        <w:trPr>
          <w:trHeight w:val="340"/>
        </w:trPr>
        <w:tc>
          <w:tcPr>
            <w:tcW w:w="454" w:type="pct"/>
            <w:tcBorders>
              <w:top w:val="nil"/>
              <w:left w:val="single" w:sz="4" w:space="0" w:color="auto"/>
              <w:bottom w:val="single" w:sz="4" w:space="0" w:color="auto"/>
              <w:right w:val="single" w:sz="4" w:space="0" w:color="auto"/>
            </w:tcBorders>
            <w:shd w:val="clear" w:color="auto" w:fill="auto"/>
            <w:noWrap/>
            <w:vAlign w:val="bottom"/>
            <w:hideMark/>
          </w:tcPr>
          <w:p w14:paraId="4FC4C225" w14:textId="77777777" w:rsidR="00034077" w:rsidRPr="00034077" w:rsidRDefault="00034077" w:rsidP="00034077">
            <w:pPr>
              <w:spacing w:after="0" w:line="240" w:lineRule="auto"/>
              <w:jc w:val="center"/>
              <w:rPr>
                <w:rFonts w:eastAsia="Times New Roman" w:cs="Times New Roman"/>
                <w:color w:val="000000"/>
                <w:sz w:val="16"/>
                <w:lang w:val="en-ZA" w:eastAsia="en-ZA"/>
              </w:rPr>
            </w:pPr>
            <w:r w:rsidRPr="00034077">
              <w:rPr>
                <w:rFonts w:eastAsia="Times New Roman" w:cs="Times New Roman"/>
                <w:color w:val="000000"/>
                <w:sz w:val="16"/>
                <w:lang w:val="en-ZA" w:eastAsia="en-ZA"/>
              </w:rPr>
              <w:t>5</w:t>
            </w:r>
          </w:p>
        </w:tc>
        <w:tc>
          <w:tcPr>
            <w:tcW w:w="799" w:type="pct"/>
            <w:tcBorders>
              <w:top w:val="nil"/>
              <w:left w:val="nil"/>
              <w:bottom w:val="single" w:sz="4" w:space="0" w:color="auto"/>
              <w:right w:val="single" w:sz="4" w:space="0" w:color="auto"/>
            </w:tcBorders>
            <w:shd w:val="clear" w:color="auto" w:fill="auto"/>
            <w:noWrap/>
            <w:vAlign w:val="bottom"/>
            <w:hideMark/>
          </w:tcPr>
          <w:p w14:paraId="4A58F78F"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Hayinyama # 3</w:t>
            </w:r>
          </w:p>
        </w:tc>
        <w:tc>
          <w:tcPr>
            <w:tcW w:w="552" w:type="pct"/>
            <w:tcBorders>
              <w:top w:val="nil"/>
              <w:left w:val="nil"/>
              <w:bottom w:val="single" w:sz="4" w:space="0" w:color="auto"/>
              <w:right w:val="single" w:sz="4" w:space="0" w:color="auto"/>
            </w:tcBorders>
            <w:shd w:val="clear" w:color="auto" w:fill="auto"/>
            <w:noWrap/>
            <w:vAlign w:val="bottom"/>
            <w:hideMark/>
          </w:tcPr>
          <w:p w14:paraId="521DF4ED"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Eskom</w:t>
            </w:r>
          </w:p>
        </w:tc>
        <w:tc>
          <w:tcPr>
            <w:tcW w:w="630" w:type="pct"/>
            <w:tcBorders>
              <w:top w:val="nil"/>
              <w:left w:val="nil"/>
              <w:bottom w:val="single" w:sz="4" w:space="0" w:color="auto"/>
              <w:right w:val="single" w:sz="4" w:space="0" w:color="auto"/>
            </w:tcBorders>
            <w:shd w:val="clear" w:color="auto" w:fill="auto"/>
            <w:noWrap/>
            <w:vAlign w:val="bottom"/>
            <w:hideMark/>
          </w:tcPr>
          <w:p w14:paraId="624A08FA" w14:textId="77777777" w:rsidR="00034077" w:rsidRPr="00034077" w:rsidRDefault="00034077" w:rsidP="00034077">
            <w:pPr>
              <w:spacing w:after="0" w:line="240" w:lineRule="auto"/>
              <w:jc w:val="center"/>
              <w:rPr>
                <w:rFonts w:eastAsia="Times New Roman" w:cs="Times New Roman"/>
                <w:color w:val="000000"/>
                <w:sz w:val="16"/>
                <w:lang w:val="en-ZA" w:eastAsia="en-ZA"/>
              </w:rPr>
            </w:pPr>
            <w:r w:rsidRPr="00034077">
              <w:rPr>
                <w:rFonts w:eastAsia="Times New Roman" w:cs="Times New Roman"/>
                <w:color w:val="000000"/>
                <w:sz w:val="16"/>
                <w:lang w:val="en-ZA" w:eastAsia="en-ZA"/>
              </w:rPr>
              <w:t>275</w:t>
            </w:r>
          </w:p>
        </w:tc>
        <w:tc>
          <w:tcPr>
            <w:tcW w:w="944" w:type="pct"/>
            <w:tcBorders>
              <w:top w:val="nil"/>
              <w:left w:val="nil"/>
              <w:bottom w:val="single" w:sz="4" w:space="0" w:color="auto"/>
              <w:right w:val="single" w:sz="4" w:space="0" w:color="auto"/>
            </w:tcBorders>
            <w:shd w:val="clear" w:color="auto" w:fill="auto"/>
            <w:noWrap/>
            <w:vAlign w:val="bottom"/>
            <w:hideMark/>
          </w:tcPr>
          <w:p w14:paraId="4D4759B4"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KZN Power Line</w:t>
            </w:r>
          </w:p>
        </w:tc>
        <w:tc>
          <w:tcPr>
            <w:tcW w:w="1621" w:type="pct"/>
            <w:tcBorders>
              <w:top w:val="nil"/>
              <w:left w:val="nil"/>
              <w:bottom w:val="single" w:sz="4" w:space="0" w:color="auto"/>
              <w:right w:val="single" w:sz="4" w:space="0" w:color="auto"/>
            </w:tcBorders>
            <w:shd w:val="clear" w:color="auto" w:fill="auto"/>
            <w:noWrap/>
            <w:vAlign w:val="bottom"/>
            <w:hideMark/>
          </w:tcPr>
          <w:p w14:paraId="45492409"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Project still in construction (97%) complete</w:t>
            </w:r>
          </w:p>
        </w:tc>
      </w:tr>
      <w:tr w:rsidR="00034077" w:rsidRPr="00034077" w14:paraId="082F94DB" w14:textId="77777777" w:rsidTr="007B7722">
        <w:trPr>
          <w:trHeight w:val="340"/>
        </w:trPr>
        <w:tc>
          <w:tcPr>
            <w:tcW w:w="454" w:type="pct"/>
            <w:tcBorders>
              <w:top w:val="nil"/>
              <w:left w:val="single" w:sz="4" w:space="0" w:color="auto"/>
              <w:bottom w:val="single" w:sz="4" w:space="0" w:color="auto"/>
              <w:right w:val="single" w:sz="4" w:space="0" w:color="auto"/>
            </w:tcBorders>
            <w:shd w:val="clear" w:color="auto" w:fill="auto"/>
            <w:noWrap/>
            <w:vAlign w:val="bottom"/>
            <w:hideMark/>
          </w:tcPr>
          <w:p w14:paraId="4A968852" w14:textId="77777777" w:rsidR="00034077" w:rsidRPr="00034077" w:rsidRDefault="00034077" w:rsidP="00034077">
            <w:pPr>
              <w:spacing w:after="0" w:line="240" w:lineRule="auto"/>
              <w:jc w:val="center"/>
              <w:rPr>
                <w:rFonts w:eastAsia="Times New Roman" w:cs="Times New Roman"/>
                <w:color w:val="000000"/>
                <w:sz w:val="16"/>
                <w:lang w:val="en-ZA" w:eastAsia="en-ZA"/>
              </w:rPr>
            </w:pPr>
            <w:r w:rsidRPr="00034077">
              <w:rPr>
                <w:rFonts w:eastAsia="Times New Roman" w:cs="Times New Roman"/>
                <w:color w:val="000000"/>
                <w:sz w:val="16"/>
                <w:lang w:val="en-ZA" w:eastAsia="en-ZA"/>
              </w:rPr>
              <w:t>5 &amp; 6</w:t>
            </w:r>
          </w:p>
        </w:tc>
        <w:tc>
          <w:tcPr>
            <w:tcW w:w="799" w:type="pct"/>
            <w:tcBorders>
              <w:top w:val="nil"/>
              <w:left w:val="nil"/>
              <w:bottom w:val="single" w:sz="4" w:space="0" w:color="auto"/>
              <w:right w:val="single" w:sz="4" w:space="0" w:color="auto"/>
            </w:tcBorders>
            <w:shd w:val="clear" w:color="auto" w:fill="auto"/>
            <w:noWrap/>
            <w:vAlign w:val="bottom"/>
            <w:hideMark/>
          </w:tcPr>
          <w:p w14:paraId="0BF89167"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Hayinyama / Zimbidli</w:t>
            </w:r>
          </w:p>
        </w:tc>
        <w:tc>
          <w:tcPr>
            <w:tcW w:w="552" w:type="pct"/>
            <w:tcBorders>
              <w:top w:val="nil"/>
              <w:left w:val="nil"/>
              <w:bottom w:val="single" w:sz="4" w:space="0" w:color="auto"/>
              <w:right w:val="single" w:sz="4" w:space="0" w:color="auto"/>
            </w:tcBorders>
            <w:shd w:val="clear" w:color="auto" w:fill="auto"/>
            <w:noWrap/>
            <w:vAlign w:val="bottom"/>
            <w:hideMark/>
          </w:tcPr>
          <w:p w14:paraId="59EEC733"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Eskom</w:t>
            </w:r>
          </w:p>
        </w:tc>
        <w:tc>
          <w:tcPr>
            <w:tcW w:w="630" w:type="pct"/>
            <w:tcBorders>
              <w:top w:val="nil"/>
              <w:left w:val="nil"/>
              <w:bottom w:val="single" w:sz="4" w:space="0" w:color="auto"/>
              <w:right w:val="single" w:sz="4" w:space="0" w:color="auto"/>
            </w:tcBorders>
            <w:shd w:val="clear" w:color="auto" w:fill="auto"/>
            <w:noWrap/>
            <w:vAlign w:val="bottom"/>
            <w:hideMark/>
          </w:tcPr>
          <w:p w14:paraId="385CE4DE" w14:textId="77777777" w:rsidR="00034077" w:rsidRPr="00034077" w:rsidRDefault="00034077" w:rsidP="00034077">
            <w:pPr>
              <w:spacing w:after="0" w:line="240" w:lineRule="auto"/>
              <w:jc w:val="center"/>
              <w:rPr>
                <w:rFonts w:eastAsia="Times New Roman" w:cs="Times New Roman"/>
                <w:color w:val="000000"/>
                <w:sz w:val="16"/>
                <w:lang w:val="en-ZA" w:eastAsia="en-ZA"/>
              </w:rPr>
            </w:pPr>
            <w:r w:rsidRPr="00034077">
              <w:rPr>
                <w:rFonts w:eastAsia="Times New Roman" w:cs="Times New Roman"/>
                <w:color w:val="000000"/>
                <w:sz w:val="16"/>
                <w:lang w:val="en-ZA" w:eastAsia="en-ZA"/>
              </w:rPr>
              <w:t>350</w:t>
            </w:r>
          </w:p>
        </w:tc>
        <w:tc>
          <w:tcPr>
            <w:tcW w:w="944" w:type="pct"/>
            <w:tcBorders>
              <w:top w:val="nil"/>
              <w:left w:val="nil"/>
              <w:bottom w:val="single" w:sz="4" w:space="0" w:color="auto"/>
              <w:right w:val="single" w:sz="4" w:space="0" w:color="auto"/>
            </w:tcBorders>
            <w:shd w:val="clear" w:color="auto" w:fill="auto"/>
            <w:noWrap/>
            <w:vAlign w:val="bottom"/>
            <w:hideMark/>
          </w:tcPr>
          <w:p w14:paraId="5EC4DD5B"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Super Centre Trading</w:t>
            </w:r>
          </w:p>
        </w:tc>
        <w:tc>
          <w:tcPr>
            <w:tcW w:w="1621" w:type="pct"/>
            <w:tcBorders>
              <w:top w:val="nil"/>
              <w:left w:val="nil"/>
              <w:bottom w:val="nil"/>
              <w:right w:val="single" w:sz="4" w:space="0" w:color="auto"/>
            </w:tcBorders>
            <w:shd w:val="clear" w:color="auto" w:fill="auto"/>
            <w:vAlign w:val="center"/>
            <w:hideMark/>
          </w:tcPr>
          <w:p w14:paraId="416CDB8D"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Contractor mentioned he will complete by Dec 2017</w:t>
            </w:r>
          </w:p>
        </w:tc>
      </w:tr>
      <w:tr w:rsidR="00034077" w:rsidRPr="00034077" w14:paraId="02487577" w14:textId="77777777" w:rsidTr="007B7722">
        <w:trPr>
          <w:trHeight w:val="340"/>
        </w:trPr>
        <w:tc>
          <w:tcPr>
            <w:tcW w:w="454" w:type="pct"/>
            <w:tcBorders>
              <w:top w:val="nil"/>
              <w:left w:val="single" w:sz="4" w:space="0" w:color="auto"/>
              <w:bottom w:val="single" w:sz="4" w:space="0" w:color="auto"/>
              <w:right w:val="single" w:sz="4" w:space="0" w:color="auto"/>
            </w:tcBorders>
            <w:shd w:val="clear" w:color="auto" w:fill="auto"/>
            <w:noWrap/>
            <w:vAlign w:val="bottom"/>
            <w:hideMark/>
          </w:tcPr>
          <w:p w14:paraId="246E46DD" w14:textId="77777777" w:rsidR="00034077" w:rsidRPr="00034077" w:rsidRDefault="00034077" w:rsidP="00034077">
            <w:pPr>
              <w:spacing w:after="0" w:line="240" w:lineRule="auto"/>
              <w:jc w:val="center"/>
              <w:rPr>
                <w:rFonts w:eastAsia="Times New Roman" w:cs="Times New Roman"/>
                <w:color w:val="000000"/>
                <w:sz w:val="16"/>
                <w:lang w:val="en-ZA" w:eastAsia="en-ZA"/>
              </w:rPr>
            </w:pPr>
            <w:r w:rsidRPr="00034077">
              <w:rPr>
                <w:rFonts w:eastAsia="Times New Roman" w:cs="Times New Roman"/>
                <w:color w:val="000000"/>
                <w:sz w:val="16"/>
                <w:lang w:val="en-ZA" w:eastAsia="en-ZA"/>
              </w:rPr>
              <w:t>5</w:t>
            </w:r>
          </w:p>
        </w:tc>
        <w:tc>
          <w:tcPr>
            <w:tcW w:w="799" w:type="pct"/>
            <w:tcBorders>
              <w:top w:val="nil"/>
              <w:left w:val="nil"/>
              <w:bottom w:val="single" w:sz="4" w:space="0" w:color="auto"/>
              <w:right w:val="single" w:sz="4" w:space="0" w:color="auto"/>
            </w:tcBorders>
            <w:shd w:val="clear" w:color="auto" w:fill="auto"/>
            <w:noWrap/>
            <w:vAlign w:val="bottom"/>
            <w:hideMark/>
          </w:tcPr>
          <w:p w14:paraId="35A153B1"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Ngudwini / Saron Shahinya</w:t>
            </w:r>
          </w:p>
        </w:tc>
        <w:tc>
          <w:tcPr>
            <w:tcW w:w="552" w:type="pct"/>
            <w:tcBorders>
              <w:top w:val="nil"/>
              <w:left w:val="nil"/>
              <w:bottom w:val="single" w:sz="4" w:space="0" w:color="auto"/>
              <w:right w:val="single" w:sz="4" w:space="0" w:color="auto"/>
            </w:tcBorders>
            <w:shd w:val="clear" w:color="auto" w:fill="auto"/>
            <w:noWrap/>
            <w:vAlign w:val="bottom"/>
            <w:hideMark/>
          </w:tcPr>
          <w:p w14:paraId="09148B1D"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Eskom</w:t>
            </w:r>
          </w:p>
        </w:tc>
        <w:tc>
          <w:tcPr>
            <w:tcW w:w="630" w:type="pct"/>
            <w:tcBorders>
              <w:top w:val="nil"/>
              <w:left w:val="nil"/>
              <w:bottom w:val="single" w:sz="4" w:space="0" w:color="auto"/>
              <w:right w:val="single" w:sz="4" w:space="0" w:color="auto"/>
            </w:tcBorders>
            <w:shd w:val="clear" w:color="auto" w:fill="auto"/>
            <w:noWrap/>
            <w:vAlign w:val="bottom"/>
            <w:hideMark/>
          </w:tcPr>
          <w:p w14:paraId="74299AE5" w14:textId="77777777" w:rsidR="00034077" w:rsidRPr="00034077" w:rsidRDefault="00034077" w:rsidP="00034077">
            <w:pPr>
              <w:spacing w:after="0" w:line="240" w:lineRule="auto"/>
              <w:jc w:val="center"/>
              <w:rPr>
                <w:rFonts w:eastAsia="Times New Roman" w:cs="Times New Roman"/>
                <w:sz w:val="16"/>
                <w:lang w:val="en-ZA" w:eastAsia="en-ZA"/>
              </w:rPr>
            </w:pPr>
            <w:r w:rsidRPr="00034077">
              <w:rPr>
                <w:rFonts w:eastAsia="Times New Roman" w:cs="Times New Roman"/>
                <w:sz w:val="16"/>
                <w:lang w:val="en-ZA" w:eastAsia="en-ZA"/>
              </w:rPr>
              <w:t>786</w:t>
            </w:r>
          </w:p>
        </w:tc>
        <w:tc>
          <w:tcPr>
            <w:tcW w:w="944" w:type="pct"/>
            <w:tcBorders>
              <w:top w:val="nil"/>
              <w:left w:val="nil"/>
              <w:bottom w:val="single" w:sz="4" w:space="0" w:color="auto"/>
              <w:right w:val="single" w:sz="4" w:space="0" w:color="auto"/>
            </w:tcBorders>
            <w:shd w:val="clear" w:color="auto" w:fill="auto"/>
            <w:noWrap/>
            <w:vAlign w:val="bottom"/>
            <w:hideMark/>
          </w:tcPr>
          <w:p w14:paraId="7B282857" w14:textId="77777777" w:rsidR="00034077" w:rsidRPr="00034077" w:rsidRDefault="00034077" w:rsidP="00034077">
            <w:pPr>
              <w:spacing w:after="0" w:line="240" w:lineRule="auto"/>
              <w:rPr>
                <w:rFonts w:eastAsia="Times New Roman" w:cs="Times New Roman"/>
                <w:sz w:val="16"/>
                <w:lang w:val="en-ZA" w:eastAsia="en-ZA"/>
              </w:rPr>
            </w:pPr>
            <w:r w:rsidRPr="00034077">
              <w:rPr>
                <w:rFonts w:eastAsia="Times New Roman" w:cs="Times New Roman"/>
                <w:sz w:val="16"/>
                <w:lang w:val="en-ZA" w:eastAsia="en-ZA"/>
              </w:rPr>
              <w:t>Prime Electr contract.</w:t>
            </w:r>
          </w:p>
        </w:tc>
        <w:tc>
          <w:tcPr>
            <w:tcW w:w="1621" w:type="pct"/>
            <w:tcBorders>
              <w:top w:val="single" w:sz="4" w:space="0" w:color="auto"/>
              <w:left w:val="nil"/>
              <w:bottom w:val="single" w:sz="4" w:space="0" w:color="auto"/>
              <w:right w:val="single" w:sz="4" w:space="0" w:color="auto"/>
            </w:tcBorders>
            <w:shd w:val="clear" w:color="auto" w:fill="auto"/>
            <w:noWrap/>
            <w:vAlign w:val="bottom"/>
            <w:hideMark/>
          </w:tcPr>
          <w:p w14:paraId="4EA09A33"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Project on construction - connected first 100 customers by 22/2/2018</w:t>
            </w:r>
          </w:p>
        </w:tc>
      </w:tr>
      <w:tr w:rsidR="00034077" w:rsidRPr="00034077" w14:paraId="049D7C0B" w14:textId="77777777" w:rsidTr="007B7722">
        <w:trPr>
          <w:trHeight w:val="340"/>
        </w:trPr>
        <w:tc>
          <w:tcPr>
            <w:tcW w:w="454" w:type="pct"/>
            <w:tcBorders>
              <w:top w:val="nil"/>
              <w:left w:val="single" w:sz="4" w:space="0" w:color="auto"/>
              <w:bottom w:val="single" w:sz="4" w:space="0" w:color="auto"/>
              <w:right w:val="single" w:sz="4" w:space="0" w:color="auto"/>
            </w:tcBorders>
            <w:shd w:val="clear" w:color="auto" w:fill="auto"/>
            <w:noWrap/>
            <w:vAlign w:val="bottom"/>
            <w:hideMark/>
          </w:tcPr>
          <w:p w14:paraId="30CF0F07" w14:textId="77777777" w:rsidR="00034077" w:rsidRPr="00034077" w:rsidRDefault="00034077" w:rsidP="00034077">
            <w:pPr>
              <w:spacing w:after="0" w:line="240" w:lineRule="auto"/>
              <w:jc w:val="center"/>
              <w:rPr>
                <w:rFonts w:eastAsia="Times New Roman" w:cs="Times New Roman"/>
                <w:color w:val="000000"/>
                <w:sz w:val="16"/>
                <w:lang w:val="en-ZA" w:eastAsia="en-ZA"/>
              </w:rPr>
            </w:pPr>
            <w:r w:rsidRPr="00034077">
              <w:rPr>
                <w:rFonts w:eastAsia="Times New Roman" w:cs="Times New Roman"/>
                <w:color w:val="000000"/>
                <w:sz w:val="16"/>
                <w:lang w:val="en-ZA" w:eastAsia="en-ZA"/>
              </w:rPr>
              <w:t>7</w:t>
            </w:r>
          </w:p>
        </w:tc>
        <w:tc>
          <w:tcPr>
            <w:tcW w:w="799" w:type="pct"/>
            <w:tcBorders>
              <w:top w:val="nil"/>
              <w:left w:val="nil"/>
              <w:bottom w:val="single" w:sz="4" w:space="0" w:color="auto"/>
              <w:right w:val="single" w:sz="4" w:space="0" w:color="auto"/>
            </w:tcBorders>
            <w:shd w:val="clear" w:color="auto" w:fill="auto"/>
            <w:noWrap/>
            <w:vAlign w:val="bottom"/>
            <w:hideMark/>
          </w:tcPr>
          <w:p w14:paraId="12804D40"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Emahusheni / Samungu</w:t>
            </w:r>
          </w:p>
        </w:tc>
        <w:tc>
          <w:tcPr>
            <w:tcW w:w="552" w:type="pct"/>
            <w:tcBorders>
              <w:top w:val="nil"/>
              <w:left w:val="nil"/>
              <w:bottom w:val="single" w:sz="4" w:space="0" w:color="auto"/>
              <w:right w:val="single" w:sz="4" w:space="0" w:color="auto"/>
            </w:tcBorders>
            <w:shd w:val="clear" w:color="auto" w:fill="auto"/>
            <w:noWrap/>
            <w:vAlign w:val="bottom"/>
            <w:hideMark/>
          </w:tcPr>
          <w:p w14:paraId="5F20423A"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Eskom</w:t>
            </w:r>
          </w:p>
        </w:tc>
        <w:tc>
          <w:tcPr>
            <w:tcW w:w="630" w:type="pct"/>
            <w:tcBorders>
              <w:top w:val="nil"/>
              <w:left w:val="nil"/>
              <w:bottom w:val="single" w:sz="4" w:space="0" w:color="auto"/>
              <w:right w:val="single" w:sz="4" w:space="0" w:color="auto"/>
            </w:tcBorders>
            <w:shd w:val="clear" w:color="auto" w:fill="auto"/>
            <w:noWrap/>
            <w:vAlign w:val="bottom"/>
            <w:hideMark/>
          </w:tcPr>
          <w:p w14:paraId="73998AD3" w14:textId="77777777" w:rsidR="00034077" w:rsidRPr="00034077" w:rsidRDefault="00034077" w:rsidP="00034077">
            <w:pPr>
              <w:spacing w:after="0" w:line="240" w:lineRule="auto"/>
              <w:jc w:val="center"/>
              <w:rPr>
                <w:rFonts w:eastAsia="Times New Roman" w:cs="Times New Roman"/>
                <w:color w:val="000000"/>
                <w:sz w:val="16"/>
                <w:lang w:val="en-ZA" w:eastAsia="en-ZA"/>
              </w:rPr>
            </w:pPr>
            <w:r w:rsidRPr="00034077">
              <w:rPr>
                <w:rFonts w:eastAsia="Times New Roman" w:cs="Times New Roman"/>
                <w:color w:val="000000"/>
                <w:sz w:val="16"/>
                <w:lang w:val="en-ZA" w:eastAsia="en-ZA"/>
              </w:rPr>
              <w:t>118</w:t>
            </w:r>
          </w:p>
        </w:tc>
        <w:tc>
          <w:tcPr>
            <w:tcW w:w="944" w:type="pct"/>
            <w:tcBorders>
              <w:top w:val="nil"/>
              <w:left w:val="nil"/>
              <w:bottom w:val="single" w:sz="4" w:space="0" w:color="auto"/>
              <w:right w:val="single" w:sz="4" w:space="0" w:color="auto"/>
            </w:tcBorders>
            <w:shd w:val="clear" w:color="auto" w:fill="auto"/>
            <w:noWrap/>
            <w:vAlign w:val="bottom"/>
            <w:hideMark/>
          </w:tcPr>
          <w:p w14:paraId="646FC619"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 </w:t>
            </w:r>
          </w:p>
        </w:tc>
        <w:tc>
          <w:tcPr>
            <w:tcW w:w="1621" w:type="pct"/>
            <w:tcBorders>
              <w:top w:val="nil"/>
              <w:left w:val="nil"/>
              <w:bottom w:val="single" w:sz="4" w:space="0" w:color="auto"/>
              <w:right w:val="single" w:sz="4" w:space="0" w:color="auto"/>
            </w:tcBorders>
            <w:shd w:val="clear" w:color="auto" w:fill="auto"/>
            <w:noWrap/>
            <w:vAlign w:val="bottom"/>
            <w:hideMark/>
          </w:tcPr>
          <w:p w14:paraId="2F0F9A41"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Kick off meeting was held 19/1/2018</w:t>
            </w:r>
          </w:p>
        </w:tc>
      </w:tr>
      <w:tr w:rsidR="00034077" w:rsidRPr="00034077" w14:paraId="1BE6F0A7" w14:textId="77777777" w:rsidTr="007B7722">
        <w:trPr>
          <w:trHeight w:val="340"/>
        </w:trPr>
        <w:tc>
          <w:tcPr>
            <w:tcW w:w="454" w:type="pct"/>
            <w:tcBorders>
              <w:top w:val="nil"/>
              <w:left w:val="single" w:sz="4" w:space="0" w:color="auto"/>
              <w:bottom w:val="single" w:sz="4" w:space="0" w:color="auto"/>
              <w:right w:val="single" w:sz="4" w:space="0" w:color="auto"/>
            </w:tcBorders>
            <w:shd w:val="clear" w:color="auto" w:fill="auto"/>
            <w:noWrap/>
            <w:vAlign w:val="bottom"/>
            <w:hideMark/>
          </w:tcPr>
          <w:p w14:paraId="28AC6FF7" w14:textId="77777777" w:rsidR="00034077" w:rsidRPr="00034077" w:rsidRDefault="00034077" w:rsidP="00034077">
            <w:pPr>
              <w:spacing w:after="0" w:line="240" w:lineRule="auto"/>
              <w:jc w:val="center"/>
              <w:rPr>
                <w:rFonts w:eastAsia="Times New Roman" w:cs="Times New Roman"/>
                <w:color w:val="000000"/>
                <w:sz w:val="16"/>
                <w:lang w:val="en-ZA" w:eastAsia="en-ZA"/>
              </w:rPr>
            </w:pPr>
            <w:r w:rsidRPr="00034077">
              <w:rPr>
                <w:rFonts w:eastAsia="Times New Roman" w:cs="Times New Roman"/>
                <w:color w:val="000000"/>
                <w:sz w:val="16"/>
                <w:lang w:val="en-ZA" w:eastAsia="en-ZA"/>
              </w:rPr>
              <w:t>8</w:t>
            </w:r>
          </w:p>
        </w:tc>
        <w:tc>
          <w:tcPr>
            <w:tcW w:w="799" w:type="pct"/>
            <w:tcBorders>
              <w:top w:val="nil"/>
              <w:left w:val="nil"/>
              <w:bottom w:val="single" w:sz="4" w:space="0" w:color="auto"/>
              <w:right w:val="single" w:sz="4" w:space="0" w:color="auto"/>
            </w:tcBorders>
            <w:shd w:val="clear" w:color="auto" w:fill="auto"/>
            <w:noWrap/>
            <w:vAlign w:val="bottom"/>
            <w:hideMark/>
          </w:tcPr>
          <w:p w14:paraId="7A501285"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Entumeni #3</w:t>
            </w:r>
          </w:p>
        </w:tc>
        <w:tc>
          <w:tcPr>
            <w:tcW w:w="552" w:type="pct"/>
            <w:tcBorders>
              <w:top w:val="nil"/>
              <w:left w:val="nil"/>
              <w:bottom w:val="single" w:sz="4" w:space="0" w:color="auto"/>
              <w:right w:val="single" w:sz="4" w:space="0" w:color="auto"/>
            </w:tcBorders>
            <w:shd w:val="clear" w:color="auto" w:fill="auto"/>
            <w:noWrap/>
            <w:vAlign w:val="bottom"/>
            <w:hideMark/>
          </w:tcPr>
          <w:p w14:paraId="6CE37691"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Eskom</w:t>
            </w:r>
          </w:p>
        </w:tc>
        <w:tc>
          <w:tcPr>
            <w:tcW w:w="630" w:type="pct"/>
            <w:tcBorders>
              <w:top w:val="nil"/>
              <w:left w:val="nil"/>
              <w:bottom w:val="single" w:sz="4" w:space="0" w:color="auto"/>
              <w:right w:val="single" w:sz="4" w:space="0" w:color="auto"/>
            </w:tcBorders>
            <w:shd w:val="clear" w:color="auto" w:fill="auto"/>
            <w:noWrap/>
            <w:vAlign w:val="bottom"/>
            <w:hideMark/>
          </w:tcPr>
          <w:p w14:paraId="6D489B6C" w14:textId="77777777" w:rsidR="00034077" w:rsidRPr="00034077" w:rsidRDefault="00034077" w:rsidP="00034077">
            <w:pPr>
              <w:spacing w:after="0" w:line="240" w:lineRule="auto"/>
              <w:jc w:val="center"/>
              <w:rPr>
                <w:rFonts w:eastAsia="Times New Roman" w:cs="Times New Roman"/>
                <w:color w:val="000000"/>
                <w:sz w:val="16"/>
                <w:lang w:val="en-ZA" w:eastAsia="en-ZA"/>
              </w:rPr>
            </w:pPr>
            <w:r w:rsidRPr="00034077">
              <w:rPr>
                <w:rFonts w:eastAsia="Times New Roman" w:cs="Times New Roman"/>
                <w:color w:val="000000"/>
                <w:sz w:val="16"/>
                <w:lang w:val="en-ZA" w:eastAsia="en-ZA"/>
              </w:rPr>
              <w:t>368</w:t>
            </w:r>
          </w:p>
        </w:tc>
        <w:tc>
          <w:tcPr>
            <w:tcW w:w="944" w:type="pct"/>
            <w:tcBorders>
              <w:top w:val="nil"/>
              <w:left w:val="nil"/>
              <w:bottom w:val="single" w:sz="4" w:space="0" w:color="auto"/>
              <w:right w:val="single" w:sz="4" w:space="0" w:color="auto"/>
            </w:tcBorders>
            <w:shd w:val="clear" w:color="auto" w:fill="auto"/>
            <w:noWrap/>
            <w:vAlign w:val="bottom"/>
            <w:hideMark/>
          </w:tcPr>
          <w:p w14:paraId="157F7D17"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 xml:space="preserve">KEV Accurate </w:t>
            </w:r>
          </w:p>
        </w:tc>
        <w:tc>
          <w:tcPr>
            <w:tcW w:w="1621" w:type="pct"/>
            <w:tcBorders>
              <w:top w:val="nil"/>
              <w:left w:val="nil"/>
              <w:bottom w:val="single" w:sz="4" w:space="0" w:color="auto"/>
              <w:right w:val="single" w:sz="4" w:space="0" w:color="auto"/>
            </w:tcBorders>
            <w:shd w:val="clear" w:color="auto" w:fill="auto"/>
            <w:noWrap/>
            <w:vAlign w:val="bottom"/>
            <w:hideMark/>
          </w:tcPr>
          <w:p w14:paraId="56EEA2C3"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Challenges with delivery Eskom material to site - informed Eskom</w:t>
            </w:r>
          </w:p>
        </w:tc>
      </w:tr>
      <w:tr w:rsidR="00034077" w:rsidRPr="00034077" w14:paraId="262CF67A" w14:textId="77777777" w:rsidTr="007B7722">
        <w:trPr>
          <w:trHeight w:val="340"/>
        </w:trPr>
        <w:tc>
          <w:tcPr>
            <w:tcW w:w="454" w:type="pct"/>
            <w:tcBorders>
              <w:top w:val="nil"/>
              <w:left w:val="single" w:sz="4" w:space="0" w:color="auto"/>
              <w:bottom w:val="single" w:sz="4" w:space="0" w:color="auto"/>
              <w:right w:val="single" w:sz="4" w:space="0" w:color="auto"/>
            </w:tcBorders>
            <w:shd w:val="clear" w:color="auto" w:fill="auto"/>
            <w:noWrap/>
            <w:vAlign w:val="bottom"/>
            <w:hideMark/>
          </w:tcPr>
          <w:p w14:paraId="05AAFA08" w14:textId="77777777" w:rsidR="00034077" w:rsidRPr="00034077" w:rsidRDefault="00034077" w:rsidP="00034077">
            <w:pPr>
              <w:spacing w:after="0" w:line="240" w:lineRule="auto"/>
              <w:jc w:val="center"/>
              <w:rPr>
                <w:rFonts w:eastAsia="Times New Roman" w:cs="Times New Roman"/>
                <w:color w:val="000000"/>
                <w:sz w:val="16"/>
                <w:lang w:val="en-ZA" w:eastAsia="en-ZA"/>
              </w:rPr>
            </w:pPr>
            <w:r w:rsidRPr="00034077">
              <w:rPr>
                <w:rFonts w:eastAsia="Times New Roman" w:cs="Times New Roman"/>
                <w:color w:val="000000"/>
                <w:sz w:val="16"/>
                <w:lang w:val="en-ZA" w:eastAsia="en-ZA"/>
              </w:rPr>
              <w:t>14</w:t>
            </w:r>
          </w:p>
        </w:tc>
        <w:tc>
          <w:tcPr>
            <w:tcW w:w="799" w:type="pct"/>
            <w:tcBorders>
              <w:top w:val="nil"/>
              <w:left w:val="nil"/>
              <w:bottom w:val="single" w:sz="4" w:space="0" w:color="auto"/>
              <w:right w:val="single" w:sz="4" w:space="0" w:color="auto"/>
            </w:tcBorders>
            <w:shd w:val="clear" w:color="auto" w:fill="auto"/>
            <w:noWrap/>
            <w:vAlign w:val="bottom"/>
            <w:hideMark/>
          </w:tcPr>
          <w:p w14:paraId="0B46C3B3"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 xml:space="preserve">Oyemeni #3 </w:t>
            </w:r>
          </w:p>
        </w:tc>
        <w:tc>
          <w:tcPr>
            <w:tcW w:w="552" w:type="pct"/>
            <w:tcBorders>
              <w:top w:val="nil"/>
              <w:left w:val="nil"/>
              <w:bottom w:val="single" w:sz="4" w:space="0" w:color="auto"/>
              <w:right w:val="single" w:sz="4" w:space="0" w:color="auto"/>
            </w:tcBorders>
            <w:shd w:val="clear" w:color="auto" w:fill="auto"/>
            <w:noWrap/>
            <w:vAlign w:val="bottom"/>
            <w:hideMark/>
          </w:tcPr>
          <w:p w14:paraId="34CE65BF"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Eskom</w:t>
            </w:r>
          </w:p>
        </w:tc>
        <w:tc>
          <w:tcPr>
            <w:tcW w:w="630" w:type="pct"/>
            <w:tcBorders>
              <w:top w:val="nil"/>
              <w:left w:val="nil"/>
              <w:bottom w:val="nil"/>
              <w:right w:val="nil"/>
            </w:tcBorders>
            <w:shd w:val="clear" w:color="auto" w:fill="auto"/>
            <w:noWrap/>
            <w:vAlign w:val="bottom"/>
            <w:hideMark/>
          </w:tcPr>
          <w:p w14:paraId="6D22214F" w14:textId="77777777" w:rsidR="00034077" w:rsidRPr="00034077" w:rsidRDefault="00034077" w:rsidP="00034077">
            <w:pPr>
              <w:spacing w:after="0" w:line="240" w:lineRule="auto"/>
              <w:jc w:val="center"/>
              <w:rPr>
                <w:rFonts w:ascii="Times New Roman" w:eastAsia="Times New Roman" w:hAnsi="Times New Roman" w:cs="Times New Roman"/>
                <w:color w:val="000000"/>
                <w:sz w:val="16"/>
                <w:lang w:val="en-ZA" w:eastAsia="en-ZA"/>
              </w:rPr>
            </w:pPr>
            <w:r w:rsidRPr="00034077">
              <w:rPr>
                <w:rFonts w:ascii="Times New Roman" w:eastAsia="Times New Roman" w:hAnsi="Times New Roman" w:cs="Times New Roman"/>
                <w:color w:val="000000"/>
                <w:sz w:val="16"/>
                <w:lang w:val="en-ZA" w:eastAsia="en-ZA"/>
              </w:rPr>
              <w:t>(113) 70 left</w:t>
            </w:r>
          </w:p>
        </w:tc>
        <w:tc>
          <w:tcPr>
            <w:tcW w:w="944" w:type="pct"/>
            <w:tcBorders>
              <w:top w:val="nil"/>
              <w:left w:val="nil"/>
              <w:bottom w:val="single" w:sz="4" w:space="0" w:color="auto"/>
              <w:right w:val="single" w:sz="4" w:space="0" w:color="auto"/>
            </w:tcBorders>
            <w:shd w:val="clear" w:color="auto" w:fill="auto"/>
            <w:noWrap/>
            <w:vAlign w:val="bottom"/>
            <w:hideMark/>
          </w:tcPr>
          <w:p w14:paraId="5164B422"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Zizamele Electr</w:t>
            </w:r>
          </w:p>
        </w:tc>
        <w:tc>
          <w:tcPr>
            <w:tcW w:w="1621" w:type="pct"/>
            <w:tcBorders>
              <w:top w:val="nil"/>
              <w:left w:val="nil"/>
              <w:bottom w:val="single" w:sz="4" w:space="0" w:color="auto"/>
              <w:right w:val="single" w:sz="4" w:space="0" w:color="auto"/>
            </w:tcBorders>
            <w:shd w:val="clear" w:color="auto" w:fill="auto"/>
            <w:noWrap/>
            <w:vAlign w:val="bottom"/>
            <w:hideMark/>
          </w:tcPr>
          <w:p w14:paraId="1F5F4D80"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Include w14,20,21 &amp; 24:  - project complete, 30 customers left out &amp; Eskom to submit design</w:t>
            </w:r>
          </w:p>
        </w:tc>
      </w:tr>
      <w:tr w:rsidR="00034077" w:rsidRPr="00034077" w14:paraId="75AA30B1" w14:textId="77777777" w:rsidTr="007B7722">
        <w:trPr>
          <w:trHeight w:val="340"/>
        </w:trPr>
        <w:tc>
          <w:tcPr>
            <w:tcW w:w="454" w:type="pct"/>
            <w:tcBorders>
              <w:top w:val="nil"/>
              <w:left w:val="single" w:sz="4" w:space="0" w:color="auto"/>
              <w:bottom w:val="single" w:sz="4" w:space="0" w:color="auto"/>
              <w:right w:val="single" w:sz="4" w:space="0" w:color="auto"/>
            </w:tcBorders>
            <w:shd w:val="clear" w:color="auto" w:fill="auto"/>
            <w:noWrap/>
            <w:vAlign w:val="bottom"/>
            <w:hideMark/>
          </w:tcPr>
          <w:p w14:paraId="25F86B08" w14:textId="77777777" w:rsidR="00034077" w:rsidRPr="00034077" w:rsidRDefault="00034077" w:rsidP="00034077">
            <w:pPr>
              <w:spacing w:after="0" w:line="240" w:lineRule="auto"/>
              <w:jc w:val="center"/>
              <w:rPr>
                <w:rFonts w:eastAsia="Times New Roman" w:cs="Times New Roman"/>
                <w:color w:val="000000"/>
                <w:sz w:val="16"/>
                <w:lang w:val="en-ZA" w:eastAsia="en-ZA"/>
              </w:rPr>
            </w:pPr>
            <w:r w:rsidRPr="00034077">
              <w:rPr>
                <w:rFonts w:eastAsia="Times New Roman" w:cs="Times New Roman"/>
                <w:color w:val="000000"/>
                <w:sz w:val="16"/>
                <w:lang w:val="en-ZA" w:eastAsia="en-ZA"/>
              </w:rPr>
              <w:t>22</w:t>
            </w:r>
          </w:p>
        </w:tc>
        <w:tc>
          <w:tcPr>
            <w:tcW w:w="799" w:type="pct"/>
            <w:tcBorders>
              <w:top w:val="nil"/>
              <w:left w:val="nil"/>
              <w:bottom w:val="single" w:sz="4" w:space="0" w:color="auto"/>
              <w:right w:val="single" w:sz="4" w:space="0" w:color="auto"/>
            </w:tcBorders>
            <w:shd w:val="clear" w:color="auto" w:fill="auto"/>
            <w:noWrap/>
            <w:vAlign w:val="bottom"/>
            <w:hideMark/>
          </w:tcPr>
          <w:p w14:paraId="462EDB09"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 xml:space="preserve">Oyemeni #2 </w:t>
            </w:r>
          </w:p>
        </w:tc>
        <w:tc>
          <w:tcPr>
            <w:tcW w:w="552" w:type="pct"/>
            <w:tcBorders>
              <w:top w:val="nil"/>
              <w:left w:val="nil"/>
              <w:bottom w:val="single" w:sz="4" w:space="0" w:color="auto"/>
              <w:right w:val="single" w:sz="4" w:space="0" w:color="auto"/>
            </w:tcBorders>
            <w:shd w:val="clear" w:color="auto" w:fill="auto"/>
            <w:noWrap/>
            <w:vAlign w:val="bottom"/>
            <w:hideMark/>
          </w:tcPr>
          <w:p w14:paraId="0E95CCE7"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Eskom</w:t>
            </w:r>
          </w:p>
        </w:tc>
        <w:tc>
          <w:tcPr>
            <w:tcW w:w="630" w:type="pct"/>
            <w:tcBorders>
              <w:top w:val="single" w:sz="4" w:space="0" w:color="auto"/>
              <w:left w:val="nil"/>
              <w:bottom w:val="single" w:sz="4" w:space="0" w:color="auto"/>
              <w:right w:val="single" w:sz="4" w:space="0" w:color="auto"/>
            </w:tcBorders>
            <w:shd w:val="clear" w:color="auto" w:fill="auto"/>
            <w:noWrap/>
            <w:vAlign w:val="bottom"/>
            <w:hideMark/>
          </w:tcPr>
          <w:p w14:paraId="23E26B39" w14:textId="77777777" w:rsidR="00034077" w:rsidRPr="00034077" w:rsidRDefault="00034077" w:rsidP="00034077">
            <w:pPr>
              <w:spacing w:after="0" w:line="240" w:lineRule="auto"/>
              <w:jc w:val="center"/>
              <w:rPr>
                <w:rFonts w:eastAsia="Times New Roman" w:cs="Times New Roman"/>
                <w:color w:val="000000"/>
                <w:sz w:val="16"/>
                <w:lang w:val="en-ZA" w:eastAsia="en-ZA"/>
              </w:rPr>
            </w:pPr>
            <w:r w:rsidRPr="00034077">
              <w:rPr>
                <w:rFonts w:eastAsia="Times New Roman" w:cs="Times New Roman"/>
                <w:color w:val="000000"/>
                <w:sz w:val="16"/>
                <w:lang w:val="en-ZA" w:eastAsia="en-ZA"/>
              </w:rPr>
              <w:t>113</w:t>
            </w:r>
          </w:p>
        </w:tc>
        <w:tc>
          <w:tcPr>
            <w:tcW w:w="944" w:type="pct"/>
            <w:tcBorders>
              <w:top w:val="nil"/>
              <w:left w:val="nil"/>
              <w:bottom w:val="single" w:sz="4" w:space="0" w:color="auto"/>
              <w:right w:val="single" w:sz="4" w:space="0" w:color="auto"/>
            </w:tcBorders>
            <w:shd w:val="clear" w:color="auto" w:fill="auto"/>
            <w:noWrap/>
            <w:vAlign w:val="bottom"/>
            <w:hideMark/>
          </w:tcPr>
          <w:p w14:paraId="4038311D"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 xml:space="preserve">Howard </w:t>
            </w:r>
          </w:p>
        </w:tc>
        <w:tc>
          <w:tcPr>
            <w:tcW w:w="1621" w:type="pct"/>
            <w:tcBorders>
              <w:top w:val="nil"/>
              <w:left w:val="nil"/>
              <w:bottom w:val="single" w:sz="4" w:space="0" w:color="auto"/>
              <w:right w:val="single" w:sz="4" w:space="0" w:color="auto"/>
            </w:tcBorders>
            <w:shd w:val="clear" w:color="auto" w:fill="auto"/>
            <w:noWrap/>
            <w:vAlign w:val="bottom"/>
            <w:hideMark/>
          </w:tcPr>
          <w:p w14:paraId="46C10358"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 xml:space="preserve">Complete  </w:t>
            </w:r>
          </w:p>
        </w:tc>
      </w:tr>
      <w:tr w:rsidR="00034077" w:rsidRPr="00034077" w14:paraId="494C78E6" w14:textId="77777777" w:rsidTr="007B7722">
        <w:trPr>
          <w:trHeight w:val="340"/>
        </w:trPr>
        <w:tc>
          <w:tcPr>
            <w:tcW w:w="454" w:type="pct"/>
            <w:tcBorders>
              <w:top w:val="nil"/>
              <w:left w:val="single" w:sz="4" w:space="0" w:color="auto"/>
              <w:bottom w:val="single" w:sz="4" w:space="0" w:color="auto"/>
              <w:right w:val="single" w:sz="4" w:space="0" w:color="auto"/>
            </w:tcBorders>
            <w:shd w:val="clear" w:color="auto" w:fill="auto"/>
            <w:noWrap/>
            <w:vAlign w:val="bottom"/>
            <w:hideMark/>
          </w:tcPr>
          <w:p w14:paraId="1D1ADB75" w14:textId="77777777" w:rsidR="00034077" w:rsidRPr="00034077" w:rsidRDefault="00034077" w:rsidP="00034077">
            <w:pPr>
              <w:spacing w:after="0" w:line="240" w:lineRule="auto"/>
              <w:jc w:val="center"/>
              <w:rPr>
                <w:rFonts w:eastAsia="Times New Roman" w:cs="Times New Roman"/>
                <w:color w:val="000000"/>
                <w:sz w:val="16"/>
                <w:lang w:val="en-ZA" w:eastAsia="en-ZA"/>
              </w:rPr>
            </w:pPr>
            <w:r w:rsidRPr="00034077">
              <w:rPr>
                <w:rFonts w:eastAsia="Times New Roman" w:cs="Times New Roman"/>
                <w:color w:val="000000"/>
                <w:sz w:val="16"/>
                <w:lang w:val="en-ZA" w:eastAsia="en-ZA"/>
              </w:rPr>
              <w:t>24</w:t>
            </w:r>
          </w:p>
        </w:tc>
        <w:tc>
          <w:tcPr>
            <w:tcW w:w="799" w:type="pct"/>
            <w:tcBorders>
              <w:top w:val="nil"/>
              <w:left w:val="nil"/>
              <w:bottom w:val="single" w:sz="4" w:space="0" w:color="auto"/>
              <w:right w:val="single" w:sz="4" w:space="0" w:color="auto"/>
            </w:tcBorders>
            <w:shd w:val="clear" w:color="auto" w:fill="auto"/>
            <w:noWrap/>
            <w:vAlign w:val="bottom"/>
            <w:hideMark/>
          </w:tcPr>
          <w:p w14:paraId="2A61D360"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Mphehlele</w:t>
            </w:r>
          </w:p>
        </w:tc>
        <w:tc>
          <w:tcPr>
            <w:tcW w:w="552" w:type="pct"/>
            <w:tcBorders>
              <w:top w:val="nil"/>
              <w:left w:val="nil"/>
              <w:bottom w:val="single" w:sz="4" w:space="0" w:color="auto"/>
              <w:right w:val="single" w:sz="4" w:space="0" w:color="auto"/>
            </w:tcBorders>
            <w:shd w:val="clear" w:color="auto" w:fill="auto"/>
            <w:noWrap/>
            <w:vAlign w:val="bottom"/>
            <w:hideMark/>
          </w:tcPr>
          <w:p w14:paraId="05F6C260"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Eskom</w:t>
            </w:r>
          </w:p>
        </w:tc>
        <w:tc>
          <w:tcPr>
            <w:tcW w:w="630" w:type="pct"/>
            <w:tcBorders>
              <w:top w:val="nil"/>
              <w:left w:val="nil"/>
              <w:bottom w:val="single" w:sz="4" w:space="0" w:color="auto"/>
              <w:right w:val="single" w:sz="4" w:space="0" w:color="auto"/>
            </w:tcBorders>
            <w:shd w:val="clear" w:color="auto" w:fill="auto"/>
            <w:noWrap/>
            <w:vAlign w:val="bottom"/>
            <w:hideMark/>
          </w:tcPr>
          <w:p w14:paraId="668B8EB3" w14:textId="77777777" w:rsidR="00034077" w:rsidRPr="00034077" w:rsidRDefault="00034077" w:rsidP="00034077">
            <w:pPr>
              <w:spacing w:after="0" w:line="240" w:lineRule="auto"/>
              <w:jc w:val="center"/>
              <w:rPr>
                <w:rFonts w:eastAsia="Times New Roman" w:cs="Times New Roman"/>
                <w:color w:val="000000"/>
                <w:sz w:val="16"/>
                <w:lang w:val="en-ZA" w:eastAsia="en-ZA"/>
              </w:rPr>
            </w:pPr>
            <w:r w:rsidRPr="00034077">
              <w:rPr>
                <w:rFonts w:eastAsia="Times New Roman" w:cs="Times New Roman"/>
                <w:color w:val="000000"/>
                <w:sz w:val="16"/>
                <w:lang w:val="en-ZA" w:eastAsia="en-ZA"/>
              </w:rPr>
              <w:t>150</w:t>
            </w:r>
          </w:p>
        </w:tc>
        <w:tc>
          <w:tcPr>
            <w:tcW w:w="944" w:type="pct"/>
            <w:tcBorders>
              <w:top w:val="nil"/>
              <w:left w:val="nil"/>
              <w:bottom w:val="single" w:sz="4" w:space="0" w:color="auto"/>
              <w:right w:val="single" w:sz="4" w:space="0" w:color="auto"/>
            </w:tcBorders>
            <w:shd w:val="clear" w:color="auto" w:fill="auto"/>
            <w:noWrap/>
            <w:vAlign w:val="bottom"/>
            <w:hideMark/>
          </w:tcPr>
          <w:p w14:paraId="12EE6137"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 </w:t>
            </w:r>
          </w:p>
        </w:tc>
        <w:tc>
          <w:tcPr>
            <w:tcW w:w="1621" w:type="pct"/>
            <w:tcBorders>
              <w:top w:val="nil"/>
              <w:left w:val="nil"/>
              <w:bottom w:val="single" w:sz="4" w:space="0" w:color="auto"/>
              <w:right w:val="single" w:sz="4" w:space="0" w:color="auto"/>
            </w:tcBorders>
            <w:shd w:val="clear" w:color="auto" w:fill="auto"/>
            <w:noWrap/>
            <w:vAlign w:val="bottom"/>
            <w:hideMark/>
          </w:tcPr>
          <w:p w14:paraId="5E143BF1" w14:textId="77777777" w:rsidR="00034077" w:rsidRPr="00034077" w:rsidRDefault="00034077" w:rsidP="00034077">
            <w:pPr>
              <w:spacing w:after="0" w:line="240" w:lineRule="auto"/>
              <w:rPr>
                <w:rFonts w:eastAsia="Times New Roman" w:cs="Times New Roman"/>
                <w:color w:val="000000"/>
                <w:sz w:val="16"/>
                <w:lang w:val="en-ZA" w:eastAsia="en-ZA"/>
              </w:rPr>
            </w:pPr>
            <w:r w:rsidRPr="00034077">
              <w:rPr>
                <w:rFonts w:eastAsia="Times New Roman" w:cs="Times New Roman"/>
                <w:color w:val="000000"/>
                <w:sz w:val="16"/>
                <w:lang w:val="en-ZA" w:eastAsia="en-ZA"/>
              </w:rPr>
              <w:t xml:space="preserve">Contractor on site - Project to be done as Infills, estimated to finish in the end of May </w:t>
            </w:r>
          </w:p>
        </w:tc>
      </w:tr>
    </w:tbl>
    <w:p w14:paraId="6402F7FC" w14:textId="68BD6D2D" w:rsidR="00034077" w:rsidRDefault="00034077" w:rsidP="00034077">
      <w:pPr>
        <w:pStyle w:val="Caption"/>
      </w:pPr>
      <w:bookmarkStart w:id="304" w:name="_Toc510622286"/>
      <w:r>
        <w:t xml:space="preserve">Table </w:t>
      </w:r>
      <w:r w:rsidR="00B918A6">
        <w:fldChar w:fldCharType="begin"/>
      </w:r>
      <w:r w:rsidR="00B918A6">
        <w:instrText xml:space="preserve"> SEQ Table \* ARABIC </w:instrText>
      </w:r>
      <w:r w:rsidR="00B918A6">
        <w:fldChar w:fldCharType="separate"/>
      </w:r>
      <w:r w:rsidR="0067023A">
        <w:rPr>
          <w:noProof/>
        </w:rPr>
        <w:t>36</w:t>
      </w:r>
      <w:r w:rsidR="00B918A6">
        <w:rPr>
          <w:noProof/>
        </w:rPr>
        <w:fldChar w:fldCharType="end"/>
      </w:r>
      <w:r>
        <w:t>: Progress of 2017/18 ESKOM Projects</w:t>
      </w:r>
      <w:bookmarkEnd w:id="304"/>
    </w:p>
    <w:tbl>
      <w:tblPr>
        <w:tblStyle w:val="TableGrid"/>
        <w:tblW w:w="5000" w:type="pct"/>
        <w:tblLayout w:type="fixed"/>
        <w:tblLook w:val="04A0" w:firstRow="1" w:lastRow="0" w:firstColumn="1" w:lastColumn="0" w:noHBand="0" w:noVBand="1"/>
      </w:tblPr>
      <w:tblGrid>
        <w:gridCol w:w="927"/>
        <w:gridCol w:w="1532"/>
        <w:gridCol w:w="1425"/>
        <w:gridCol w:w="1402"/>
        <w:gridCol w:w="1246"/>
        <w:gridCol w:w="1246"/>
        <w:gridCol w:w="1851"/>
      </w:tblGrid>
      <w:tr w:rsidR="008048A1" w:rsidRPr="008048A1" w14:paraId="21DDD8BF" w14:textId="77777777" w:rsidTr="00554661">
        <w:trPr>
          <w:trHeight w:val="105"/>
        </w:trPr>
        <w:tc>
          <w:tcPr>
            <w:tcW w:w="481" w:type="pct"/>
            <w:shd w:val="clear" w:color="auto" w:fill="D9D9D9"/>
            <w:noWrap/>
            <w:hideMark/>
          </w:tcPr>
          <w:p w14:paraId="23F5FA42" w14:textId="77777777" w:rsidR="008048A1" w:rsidRPr="008048A1" w:rsidRDefault="008048A1" w:rsidP="008048A1">
            <w:pPr>
              <w:rPr>
                <w:rFonts w:eastAsia="Times New Roman" w:cs="Times New Roman"/>
                <w:b/>
                <w:color w:val="000000"/>
                <w:sz w:val="18"/>
                <w:lang w:val="en-ZA" w:eastAsia="en-ZA"/>
              </w:rPr>
            </w:pPr>
            <w:r w:rsidRPr="008048A1">
              <w:rPr>
                <w:rFonts w:eastAsia="Times New Roman" w:cs="Times New Roman"/>
                <w:b/>
                <w:color w:val="000000"/>
                <w:sz w:val="18"/>
                <w:lang w:val="en-ZA" w:eastAsia="en-ZA"/>
              </w:rPr>
              <w:t xml:space="preserve">Ward </w:t>
            </w:r>
          </w:p>
        </w:tc>
        <w:tc>
          <w:tcPr>
            <w:tcW w:w="795" w:type="pct"/>
            <w:shd w:val="clear" w:color="auto" w:fill="D9D9D9"/>
            <w:noWrap/>
            <w:hideMark/>
          </w:tcPr>
          <w:p w14:paraId="2E8E6B7A" w14:textId="77777777" w:rsidR="008048A1" w:rsidRPr="008048A1" w:rsidRDefault="008048A1" w:rsidP="008048A1">
            <w:pPr>
              <w:rPr>
                <w:rFonts w:eastAsia="Times New Roman" w:cs="Times New Roman"/>
                <w:b/>
                <w:color w:val="000000"/>
                <w:sz w:val="18"/>
                <w:lang w:val="en-ZA" w:eastAsia="en-ZA"/>
              </w:rPr>
            </w:pPr>
            <w:r w:rsidRPr="008048A1">
              <w:rPr>
                <w:rFonts w:eastAsia="Times New Roman" w:cs="Times New Roman"/>
                <w:b/>
                <w:color w:val="000000"/>
                <w:sz w:val="18"/>
                <w:lang w:val="en-ZA" w:eastAsia="en-ZA"/>
              </w:rPr>
              <w:t>Project Name</w:t>
            </w:r>
          </w:p>
        </w:tc>
        <w:tc>
          <w:tcPr>
            <w:tcW w:w="740" w:type="pct"/>
            <w:shd w:val="clear" w:color="auto" w:fill="D9D9D9"/>
            <w:noWrap/>
            <w:hideMark/>
          </w:tcPr>
          <w:p w14:paraId="28BDF553" w14:textId="77777777" w:rsidR="008048A1" w:rsidRPr="008048A1" w:rsidRDefault="008048A1" w:rsidP="008048A1">
            <w:pPr>
              <w:rPr>
                <w:rFonts w:eastAsia="Times New Roman" w:cs="Times New Roman"/>
                <w:b/>
                <w:color w:val="000000"/>
                <w:sz w:val="18"/>
                <w:lang w:val="en-ZA" w:eastAsia="en-ZA"/>
              </w:rPr>
            </w:pPr>
            <w:r w:rsidRPr="008048A1">
              <w:rPr>
                <w:rFonts w:eastAsia="Times New Roman" w:cs="Times New Roman"/>
                <w:b/>
                <w:color w:val="000000"/>
                <w:sz w:val="18"/>
                <w:lang w:val="en-ZA" w:eastAsia="en-ZA"/>
              </w:rPr>
              <w:t>Implementer</w:t>
            </w:r>
          </w:p>
        </w:tc>
        <w:tc>
          <w:tcPr>
            <w:tcW w:w="728" w:type="pct"/>
            <w:shd w:val="clear" w:color="auto" w:fill="D9D9D9"/>
            <w:noWrap/>
            <w:hideMark/>
          </w:tcPr>
          <w:p w14:paraId="1A792801" w14:textId="77777777" w:rsidR="008048A1" w:rsidRPr="008048A1" w:rsidRDefault="008048A1" w:rsidP="008048A1">
            <w:pPr>
              <w:rPr>
                <w:rFonts w:eastAsia="Times New Roman" w:cs="Times New Roman"/>
                <w:b/>
                <w:color w:val="000000"/>
                <w:sz w:val="18"/>
                <w:lang w:val="en-ZA" w:eastAsia="en-ZA"/>
              </w:rPr>
            </w:pPr>
            <w:r w:rsidRPr="008048A1">
              <w:rPr>
                <w:rFonts w:eastAsia="Times New Roman" w:cs="Times New Roman"/>
                <w:b/>
                <w:color w:val="000000"/>
                <w:sz w:val="18"/>
                <w:lang w:val="en-ZA" w:eastAsia="en-ZA"/>
              </w:rPr>
              <w:t>Connections</w:t>
            </w:r>
          </w:p>
        </w:tc>
        <w:tc>
          <w:tcPr>
            <w:tcW w:w="647" w:type="pct"/>
            <w:shd w:val="clear" w:color="auto" w:fill="D9D9D9"/>
            <w:noWrap/>
            <w:hideMark/>
          </w:tcPr>
          <w:p w14:paraId="35006057" w14:textId="77777777" w:rsidR="008048A1" w:rsidRPr="008048A1" w:rsidRDefault="008048A1" w:rsidP="008048A1">
            <w:pPr>
              <w:rPr>
                <w:rFonts w:eastAsia="Times New Roman" w:cs="Times New Roman"/>
                <w:b/>
                <w:color w:val="000000"/>
                <w:sz w:val="18"/>
                <w:lang w:val="en-ZA" w:eastAsia="en-ZA"/>
              </w:rPr>
            </w:pPr>
            <w:r w:rsidRPr="008048A1">
              <w:rPr>
                <w:rFonts w:eastAsia="Times New Roman" w:cs="Times New Roman"/>
                <w:b/>
                <w:color w:val="000000"/>
                <w:sz w:val="18"/>
                <w:lang w:val="en-ZA" w:eastAsia="en-ZA"/>
              </w:rPr>
              <w:t>Contractor</w:t>
            </w:r>
          </w:p>
        </w:tc>
        <w:tc>
          <w:tcPr>
            <w:tcW w:w="647" w:type="pct"/>
            <w:shd w:val="clear" w:color="auto" w:fill="D9D9D9"/>
            <w:noWrap/>
            <w:hideMark/>
          </w:tcPr>
          <w:p w14:paraId="6A7CC95D" w14:textId="77777777" w:rsidR="008048A1" w:rsidRPr="008048A1" w:rsidRDefault="008048A1" w:rsidP="008048A1">
            <w:pPr>
              <w:rPr>
                <w:rFonts w:eastAsia="Times New Roman" w:cs="Times New Roman"/>
                <w:b/>
                <w:color w:val="000000"/>
                <w:sz w:val="18"/>
                <w:lang w:val="en-ZA" w:eastAsia="en-ZA"/>
              </w:rPr>
            </w:pPr>
            <w:r w:rsidRPr="008048A1">
              <w:rPr>
                <w:rFonts w:eastAsia="Times New Roman" w:cs="Times New Roman"/>
                <w:b/>
                <w:color w:val="000000"/>
                <w:sz w:val="18"/>
                <w:lang w:val="en-ZA" w:eastAsia="en-ZA"/>
              </w:rPr>
              <w:t>% Progress</w:t>
            </w:r>
          </w:p>
        </w:tc>
        <w:tc>
          <w:tcPr>
            <w:tcW w:w="961" w:type="pct"/>
            <w:shd w:val="clear" w:color="auto" w:fill="D9D9D9"/>
            <w:noWrap/>
            <w:hideMark/>
          </w:tcPr>
          <w:p w14:paraId="5045D3DE" w14:textId="77777777" w:rsidR="008048A1" w:rsidRPr="008048A1" w:rsidRDefault="008048A1" w:rsidP="008048A1">
            <w:pPr>
              <w:rPr>
                <w:rFonts w:eastAsia="Times New Roman" w:cs="Times New Roman"/>
                <w:b/>
                <w:color w:val="000000"/>
                <w:sz w:val="18"/>
                <w:lang w:val="en-ZA" w:eastAsia="en-ZA"/>
              </w:rPr>
            </w:pPr>
            <w:r w:rsidRPr="008048A1">
              <w:rPr>
                <w:rFonts w:eastAsia="Times New Roman" w:cs="Times New Roman"/>
                <w:b/>
                <w:color w:val="000000"/>
                <w:sz w:val="18"/>
                <w:lang w:val="en-ZA" w:eastAsia="en-ZA"/>
              </w:rPr>
              <w:t>Status</w:t>
            </w:r>
          </w:p>
        </w:tc>
      </w:tr>
      <w:tr w:rsidR="008048A1" w:rsidRPr="008048A1" w14:paraId="19DD2228" w14:textId="77777777" w:rsidTr="00554661">
        <w:trPr>
          <w:trHeight w:val="235"/>
        </w:trPr>
        <w:tc>
          <w:tcPr>
            <w:tcW w:w="481" w:type="pct"/>
            <w:noWrap/>
            <w:hideMark/>
          </w:tcPr>
          <w:p w14:paraId="56D0DCD8" w14:textId="77777777" w:rsidR="008048A1" w:rsidRPr="008048A1" w:rsidRDefault="008048A1" w:rsidP="008048A1">
            <w:pPr>
              <w:jc w:val="center"/>
              <w:rPr>
                <w:rFonts w:eastAsia="Times New Roman" w:cs="Times New Roman"/>
                <w:color w:val="000000"/>
                <w:sz w:val="18"/>
                <w:lang w:val="en-ZA" w:eastAsia="en-ZA"/>
              </w:rPr>
            </w:pPr>
            <w:r w:rsidRPr="008048A1">
              <w:rPr>
                <w:rFonts w:eastAsia="Times New Roman" w:cs="Times New Roman"/>
                <w:color w:val="000000"/>
                <w:sz w:val="18"/>
                <w:lang w:val="en-ZA" w:eastAsia="en-ZA"/>
              </w:rPr>
              <w:t>21</w:t>
            </w:r>
          </w:p>
        </w:tc>
        <w:tc>
          <w:tcPr>
            <w:tcW w:w="795" w:type="pct"/>
            <w:noWrap/>
            <w:hideMark/>
          </w:tcPr>
          <w:p w14:paraId="25B532EC" w14:textId="77777777" w:rsidR="008048A1" w:rsidRPr="008048A1" w:rsidRDefault="008048A1" w:rsidP="008048A1">
            <w:pPr>
              <w:rPr>
                <w:rFonts w:eastAsia="Times New Roman" w:cs="Times New Roman"/>
                <w:color w:val="000000"/>
                <w:sz w:val="18"/>
                <w:lang w:val="en-ZA" w:eastAsia="en-ZA"/>
              </w:rPr>
            </w:pPr>
            <w:r w:rsidRPr="008048A1">
              <w:rPr>
                <w:rFonts w:eastAsia="Times New Roman" w:cs="Times New Roman"/>
                <w:color w:val="000000"/>
                <w:sz w:val="18"/>
                <w:lang w:val="en-ZA" w:eastAsia="en-ZA"/>
              </w:rPr>
              <w:t>Izingwenya #1</w:t>
            </w:r>
          </w:p>
        </w:tc>
        <w:tc>
          <w:tcPr>
            <w:tcW w:w="740" w:type="pct"/>
            <w:noWrap/>
            <w:hideMark/>
          </w:tcPr>
          <w:p w14:paraId="336F4327" w14:textId="77777777" w:rsidR="008048A1" w:rsidRPr="008048A1" w:rsidRDefault="008048A1" w:rsidP="008048A1">
            <w:pPr>
              <w:rPr>
                <w:rFonts w:eastAsia="Times New Roman" w:cs="Times New Roman"/>
                <w:color w:val="000000"/>
                <w:sz w:val="18"/>
                <w:lang w:val="en-ZA" w:eastAsia="en-ZA"/>
              </w:rPr>
            </w:pPr>
            <w:r w:rsidRPr="008048A1">
              <w:rPr>
                <w:rFonts w:eastAsia="Times New Roman" w:cs="Times New Roman"/>
                <w:color w:val="000000"/>
                <w:sz w:val="18"/>
                <w:lang w:val="en-ZA" w:eastAsia="en-ZA"/>
              </w:rPr>
              <w:t>Umlalazi Munics</w:t>
            </w:r>
          </w:p>
        </w:tc>
        <w:tc>
          <w:tcPr>
            <w:tcW w:w="728" w:type="pct"/>
            <w:noWrap/>
            <w:hideMark/>
          </w:tcPr>
          <w:p w14:paraId="4E700A94" w14:textId="77777777" w:rsidR="008048A1" w:rsidRPr="008048A1" w:rsidRDefault="008048A1" w:rsidP="008048A1">
            <w:pPr>
              <w:jc w:val="center"/>
              <w:rPr>
                <w:rFonts w:eastAsia="Times New Roman" w:cs="Times New Roman"/>
                <w:color w:val="000000"/>
                <w:sz w:val="18"/>
                <w:lang w:val="en-ZA" w:eastAsia="en-ZA"/>
              </w:rPr>
            </w:pPr>
            <w:r w:rsidRPr="008048A1">
              <w:rPr>
                <w:rFonts w:eastAsia="Times New Roman" w:cs="Times New Roman"/>
                <w:color w:val="000000"/>
                <w:sz w:val="18"/>
                <w:lang w:val="en-ZA" w:eastAsia="en-ZA"/>
              </w:rPr>
              <w:t>188</w:t>
            </w:r>
          </w:p>
        </w:tc>
        <w:tc>
          <w:tcPr>
            <w:tcW w:w="647" w:type="pct"/>
            <w:noWrap/>
            <w:hideMark/>
          </w:tcPr>
          <w:p w14:paraId="3B52C0AF" w14:textId="77777777" w:rsidR="008048A1" w:rsidRPr="008048A1" w:rsidRDefault="008048A1" w:rsidP="008048A1">
            <w:pPr>
              <w:rPr>
                <w:rFonts w:eastAsia="Times New Roman" w:cs="Times New Roman"/>
                <w:color w:val="000000"/>
                <w:sz w:val="18"/>
                <w:lang w:val="en-ZA" w:eastAsia="en-ZA"/>
              </w:rPr>
            </w:pPr>
            <w:r w:rsidRPr="008048A1">
              <w:rPr>
                <w:rFonts w:eastAsia="Times New Roman" w:cs="Times New Roman"/>
                <w:color w:val="000000"/>
                <w:sz w:val="18"/>
                <w:lang w:val="en-ZA" w:eastAsia="en-ZA"/>
              </w:rPr>
              <w:t xml:space="preserve">Omphile Electrical </w:t>
            </w:r>
          </w:p>
        </w:tc>
        <w:tc>
          <w:tcPr>
            <w:tcW w:w="647" w:type="pct"/>
            <w:noWrap/>
            <w:hideMark/>
          </w:tcPr>
          <w:p w14:paraId="70B6C925" w14:textId="77777777" w:rsidR="008048A1" w:rsidRPr="008048A1" w:rsidRDefault="008048A1" w:rsidP="008048A1">
            <w:pPr>
              <w:jc w:val="center"/>
              <w:rPr>
                <w:rFonts w:eastAsia="Times New Roman" w:cs="Times New Roman"/>
                <w:color w:val="000000"/>
                <w:sz w:val="18"/>
                <w:lang w:val="en-ZA" w:eastAsia="en-ZA"/>
              </w:rPr>
            </w:pPr>
            <w:r w:rsidRPr="008048A1">
              <w:rPr>
                <w:rFonts w:eastAsia="Times New Roman" w:cs="Times New Roman"/>
                <w:color w:val="000000"/>
                <w:sz w:val="18"/>
                <w:lang w:val="en-ZA" w:eastAsia="en-ZA"/>
              </w:rPr>
              <w:t>100%</w:t>
            </w:r>
          </w:p>
        </w:tc>
        <w:tc>
          <w:tcPr>
            <w:tcW w:w="961" w:type="pct"/>
            <w:noWrap/>
            <w:hideMark/>
          </w:tcPr>
          <w:p w14:paraId="2F4F8CE6" w14:textId="77777777" w:rsidR="008048A1" w:rsidRPr="008048A1" w:rsidRDefault="008048A1" w:rsidP="008048A1">
            <w:pPr>
              <w:rPr>
                <w:rFonts w:eastAsia="Times New Roman" w:cs="Times New Roman"/>
                <w:color w:val="000000"/>
                <w:sz w:val="18"/>
                <w:lang w:val="en-ZA" w:eastAsia="en-ZA"/>
              </w:rPr>
            </w:pPr>
            <w:r w:rsidRPr="008048A1">
              <w:rPr>
                <w:rFonts w:eastAsia="Times New Roman" w:cs="Times New Roman"/>
                <w:color w:val="000000"/>
                <w:sz w:val="18"/>
                <w:lang w:val="en-ZA" w:eastAsia="en-ZA"/>
              </w:rPr>
              <w:t>Connected - complete</w:t>
            </w:r>
          </w:p>
        </w:tc>
      </w:tr>
      <w:tr w:rsidR="008048A1" w:rsidRPr="008048A1" w14:paraId="0D1FE346" w14:textId="77777777" w:rsidTr="00554661">
        <w:trPr>
          <w:trHeight w:val="235"/>
        </w:trPr>
        <w:tc>
          <w:tcPr>
            <w:tcW w:w="481" w:type="pct"/>
            <w:noWrap/>
            <w:hideMark/>
          </w:tcPr>
          <w:p w14:paraId="537420C3" w14:textId="77777777" w:rsidR="008048A1" w:rsidRPr="008048A1" w:rsidRDefault="008048A1" w:rsidP="008048A1">
            <w:pPr>
              <w:jc w:val="center"/>
              <w:rPr>
                <w:rFonts w:eastAsia="Times New Roman" w:cs="Times New Roman"/>
                <w:color w:val="000000"/>
                <w:sz w:val="18"/>
                <w:lang w:val="en-ZA" w:eastAsia="en-ZA"/>
              </w:rPr>
            </w:pPr>
            <w:r w:rsidRPr="008048A1">
              <w:rPr>
                <w:rFonts w:eastAsia="Times New Roman" w:cs="Times New Roman"/>
                <w:color w:val="000000"/>
                <w:sz w:val="18"/>
                <w:lang w:val="en-ZA" w:eastAsia="en-ZA"/>
              </w:rPr>
              <w:t>21</w:t>
            </w:r>
          </w:p>
        </w:tc>
        <w:tc>
          <w:tcPr>
            <w:tcW w:w="795" w:type="pct"/>
            <w:noWrap/>
            <w:hideMark/>
          </w:tcPr>
          <w:p w14:paraId="2919B694" w14:textId="77777777" w:rsidR="008048A1" w:rsidRPr="008048A1" w:rsidRDefault="008048A1" w:rsidP="008048A1">
            <w:pPr>
              <w:rPr>
                <w:rFonts w:eastAsia="Times New Roman" w:cs="Times New Roman"/>
                <w:color w:val="000000"/>
                <w:sz w:val="18"/>
                <w:lang w:val="en-ZA" w:eastAsia="en-ZA"/>
              </w:rPr>
            </w:pPr>
            <w:r w:rsidRPr="008048A1">
              <w:rPr>
                <w:rFonts w:eastAsia="Times New Roman" w:cs="Times New Roman"/>
                <w:color w:val="000000"/>
                <w:sz w:val="18"/>
                <w:lang w:val="en-ZA" w:eastAsia="en-ZA"/>
              </w:rPr>
              <w:t>Izingwenya #2</w:t>
            </w:r>
          </w:p>
        </w:tc>
        <w:tc>
          <w:tcPr>
            <w:tcW w:w="740" w:type="pct"/>
            <w:noWrap/>
            <w:hideMark/>
          </w:tcPr>
          <w:p w14:paraId="5A7E0828" w14:textId="77777777" w:rsidR="008048A1" w:rsidRPr="008048A1" w:rsidRDefault="008048A1" w:rsidP="008048A1">
            <w:pPr>
              <w:rPr>
                <w:rFonts w:eastAsia="Times New Roman" w:cs="Times New Roman"/>
                <w:color w:val="000000"/>
                <w:sz w:val="18"/>
                <w:lang w:val="en-ZA" w:eastAsia="en-ZA"/>
              </w:rPr>
            </w:pPr>
            <w:r w:rsidRPr="008048A1">
              <w:rPr>
                <w:rFonts w:eastAsia="Times New Roman" w:cs="Times New Roman"/>
                <w:color w:val="000000"/>
                <w:sz w:val="18"/>
                <w:lang w:val="en-ZA" w:eastAsia="en-ZA"/>
              </w:rPr>
              <w:t>Umlalazi Munics</w:t>
            </w:r>
          </w:p>
        </w:tc>
        <w:tc>
          <w:tcPr>
            <w:tcW w:w="728" w:type="pct"/>
            <w:noWrap/>
            <w:hideMark/>
          </w:tcPr>
          <w:p w14:paraId="300BCFCF" w14:textId="77777777" w:rsidR="008048A1" w:rsidRPr="008048A1" w:rsidRDefault="008048A1" w:rsidP="008048A1">
            <w:pPr>
              <w:jc w:val="center"/>
              <w:rPr>
                <w:rFonts w:eastAsia="Times New Roman" w:cs="Times New Roman"/>
                <w:color w:val="000000"/>
                <w:sz w:val="18"/>
                <w:lang w:val="en-ZA" w:eastAsia="en-ZA"/>
              </w:rPr>
            </w:pPr>
            <w:r w:rsidRPr="008048A1">
              <w:rPr>
                <w:rFonts w:eastAsia="Times New Roman" w:cs="Times New Roman"/>
                <w:color w:val="000000"/>
                <w:sz w:val="18"/>
                <w:lang w:val="en-ZA" w:eastAsia="en-ZA"/>
              </w:rPr>
              <w:t>250</w:t>
            </w:r>
          </w:p>
        </w:tc>
        <w:tc>
          <w:tcPr>
            <w:tcW w:w="647" w:type="pct"/>
            <w:noWrap/>
            <w:hideMark/>
          </w:tcPr>
          <w:p w14:paraId="502FF38B" w14:textId="77777777" w:rsidR="008048A1" w:rsidRPr="008048A1" w:rsidRDefault="008048A1" w:rsidP="008048A1">
            <w:pPr>
              <w:rPr>
                <w:rFonts w:eastAsia="Times New Roman" w:cs="Times New Roman"/>
                <w:color w:val="000000"/>
                <w:sz w:val="18"/>
                <w:lang w:val="en-ZA" w:eastAsia="en-ZA"/>
              </w:rPr>
            </w:pPr>
            <w:r w:rsidRPr="008048A1">
              <w:rPr>
                <w:rFonts w:eastAsia="Times New Roman" w:cs="Times New Roman"/>
                <w:color w:val="000000"/>
                <w:sz w:val="18"/>
                <w:lang w:val="en-ZA" w:eastAsia="en-ZA"/>
              </w:rPr>
              <w:t xml:space="preserve">Omphile Electrical </w:t>
            </w:r>
          </w:p>
        </w:tc>
        <w:tc>
          <w:tcPr>
            <w:tcW w:w="647" w:type="pct"/>
            <w:noWrap/>
            <w:hideMark/>
          </w:tcPr>
          <w:p w14:paraId="5A9EEFF0" w14:textId="77777777" w:rsidR="008048A1" w:rsidRPr="008048A1" w:rsidRDefault="008048A1" w:rsidP="008048A1">
            <w:pPr>
              <w:jc w:val="center"/>
              <w:rPr>
                <w:rFonts w:eastAsia="Times New Roman" w:cs="Times New Roman"/>
                <w:color w:val="000000"/>
                <w:sz w:val="18"/>
                <w:lang w:val="en-ZA" w:eastAsia="en-ZA"/>
              </w:rPr>
            </w:pPr>
            <w:r w:rsidRPr="008048A1">
              <w:rPr>
                <w:rFonts w:eastAsia="Times New Roman" w:cs="Times New Roman"/>
                <w:color w:val="000000"/>
                <w:sz w:val="18"/>
                <w:lang w:val="en-ZA" w:eastAsia="en-ZA"/>
              </w:rPr>
              <w:t>100%</w:t>
            </w:r>
          </w:p>
        </w:tc>
        <w:tc>
          <w:tcPr>
            <w:tcW w:w="961" w:type="pct"/>
            <w:noWrap/>
            <w:hideMark/>
          </w:tcPr>
          <w:p w14:paraId="1E67BF3A" w14:textId="77777777" w:rsidR="008048A1" w:rsidRPr="008048A1" w:rsidRDefault="008048A1" w:rsidP="008048A1">
            <w:pPr>
              <w:rPr>
                <w:rFonts w:eastAsia="Times New Roman" w:cs="Times New Roman"/>
                <w:color w:val="000000"/>
                <w:sz w:val="18"/>
                <w:lang w:val="en-ZA" w:eastAsia="en-ZA"/>
              </w:rPr>
            </w:pPr>
            <w:r w:rsidRPr="008048A1">
              <w:rPr>
                <w:rFonts w:eastAsia="Times New Roman" w:cs="Times New Roman"/>
                <w:color w:val="000000"/>
                <w:sz w:val="18"/>
                <w:lang w:val="en-ZA" w:eastAsia="en-ZA"/>
              </w:rPr>
              <w:t>Connected - complete</w:t>
            </w:r>
          </w:p>
        </w:tc>
      </w:tr>
      <w:tr w:rsidR="008048A1" w:rsidRPr="008048A1" w14:paraId="095584AC" w14:textId="77777777" w:rsidTr="00554661">
        <w:trPr>
          <w:trHeight w:val="235"/>
        </w:trPr>
        <w:tc>
          <w:tcPr>
            <w:tcW w:w="481" w:type="pct"/>
            <w:noWrap/>
            <w:hideMark/>
          </w:tcPr>
          <w:p w14:paraId="1B5EA7AF" w14:textId="77777777" w:rsidR="008048A1" w:rsidRPr="008048A1" w:rsidRDefault="008048A1" w:rsidP="008048A1">
            <w:pPr>
              <w:jc w:val="center"/>
              <w:rPr>
                <w:rFonts w:eastAsia="Times New Roman" w:cs="Times New Roman"/>
                <w:color w:val="000000"/>
                <w:sz w:val="18"/>
                <w:lang w:val="en-ZA" w:eastAsia="en-ZA"/>
              </w:rPr>
            </w:pPr>
            <w:r w:rsidRPr="008048A1">
              <w:rPr>
                <w:rFonts w:eastAsia="Times New Roman" w:cs="Times New Roman"/>
                <w:color w:val="000000"/>
                <w:sz w:val="18"/>
                <w:lang w:val="en-ZA" w:eastAsia="en-ZA"/>
              </w:rPr>
              <w:t>21</w:t>
            </w:r>
          </w:p>
        </w:tc>
        <w:tc>
          <w:tcPr>
            <w:tcW w:w="795" w:type="pct"/>
            <w:noWrap/>
            <w:hideMark/>
          </w:tcPr>
          <w:p w14:paraId="1953A158" w14:textId="77777777" w:rsidR="008048A1" w:rsidRPr="008048A1" w:rsidRDefault="008048A1" w:rsidP="008048A1">
            <w:pPr>
              <w:rPr>
                <w:rFonts w:eastAsia="Times New Roman" w:cs="Times New Roman"/>
                <w:color w:val="000000"/>
                <w:sz w:val="18"/>
                <w:lang w:val="en-ZA" w:eastAsia="en-ZA"/>
              </w:rPr>
            </w:pPr>
            <w:r w:rsidRPr="008048A1">
              <w:rPr>
                <w:rFonts w:eastAsia="Times New Roman" w:cs="Times New Roman"/>
                <w:color w:val="000000"/>
                <w:sz w:val="18"/>
                <w:lang w:val="en-ZA" w:eastAsia="en-ZA"/>
              </w:rPr>
              <w:t>Izingwenya #3</w:t>
            </w:r>
          </w:p>
        </w:tc>
        <w:tc>
          <w:tcPr>
            <w:tcW w:w="740" w:type="pct"/>
            <w:noWrap/>
            <w:hideMark/>
          </w:tcPr>
          <w:p w14:paraId="38616C5C" w14:textId="77777777" w:rsidR="008048A1" w:rsidRPr="008048A1" w:rsidRDefault="008048A1" w:rsidP="008048A1">
            <w:pPr>
              <w:rPr>
                <w:rFonts w:eastAsia="Times New Roman" w:cs="Times New Roman"/>
                <w:color w:val="000000"/>
                <w:sz w:val="18"/>
                <w:lang w:val="en-ZA" w:eastAsia="en-ZA"/>
              </w:rPr>
            </w:pPr>
            <w:r w:rsidRPr="008048A1">
              <w:rPr>
                <w:rFonts w:eastAsia="Times New Roman" w:cs="Times New Roman"/>
                <w:color w:val="000000"/>
                <w:sz w:val="18"/>
                <w:lang w:val="en-ZA" w:eastAsia="en-ZA"/>
              </w:rPr>
              <w:t>Umlalazi Munics</w:t>
            </w:r>
          </w:p>
        </w:tc>
        <w:tc>
          <w:tcPr>
            <w:tcW w:w="728" w:type="pct"/>
            <w:noWrap/>
            <w:hideMark/>
          </w:tcPr>
          <w:p w14:paraId="0C86D287" w14:textId="77777777" w:rsidR="008048A1" w:rsidRPr="008048A1" w:rsidRDefault="008048A1" w:rsidP="008048A1">
            <w:pPr>
              <w:jc w:val="center"/>
              <w:rPr>
                <w:rFonts w:eastAsia="Times New Roman" w:cs="Times New Roman"/>
                <w:color w:val="000000"/>
                <w:sz w:val="18"/>
                <w:lang w:val="en-ZA" w:eastAsia="en-ZA"/>
              </w:rPr>
            </w:pPr>
            <w:r w:rsidRPr="008048A1">
              <w:rPr>
                <w:rFonts w:eastAsia="Times New Roman" w:cs="Times New Roman"/>
                <w:color w:val="000000"/>
                <w:sz w:val="18"/>
                <w:lang w:val="en-ZA" w:eastAsia="en-ZA"/>
              </w:rPr>
              <w:t>142</w:t>
            </w:r>
          </w:p>
        </w:tc>
        <w:tc>
          <w:tcPr>
            <w:tcW w:w="647" w:type="pct"/>
            <w:noWrap/>
            <w:hideMark/>
          </w:tcPr>
          <w:p w14:paraId="2B473500" w14:textId="77777777" w:rsidR="008048A1" w:rsidRPr="008048A1" w:rsidRDefault="008048A1" w:rsidP="008048A1">
            <w:pPr>
              <w:rPr>
                <w:rFonts w:eastAsia="Times New Roman" w:cs="Times New Roman"/>
                <w:color w:val="000000"/>
                <w:sz w:val="18"/>
                <w:lang w:val="en-ZA" w:eastAsia="en-ZA"/>
              </w:rPr>
            </w:pPr>
            <w:r w:rsidRPr="008048A1">
              <w:rPr>
                <w:rFonts w:eastAsia="Times New Roman" w:cs="Times New Roman"/>
                <w:color w:val="000000"/>
                <w:sz w:val="18"/>
                <w:lang w:val="en-ZA" w:eastAsia="en-ZA"/>
              </w:rPr>
              <w:t xml:space="preserve">Omphile Electrical </w:t>
            </w:r>
          </w:p>
        </w:tc>
        <w:tc>
          <w:tcPr>
            <w:tcW w:w="647" w:type="pct"/>
            <w:noWrap/>
            <w:hideMark/>
          </w:tcPr>
          <w:p w14:paraId="65C8FE11" w14:textId="77777777" w:rsidR="008048A1" w:rsidRPr="008048A1" w:rsidRDefault="008048A1" w:rsidP="008048A1">
            <w:pPr>
              <w:jc w:val="center"/>
              <w:rPr>
                <w:rFonts w:eastAsia="Times New Roman" w:cs="Times New Roman"/>
                <w:color w:val="000000"/>
                <w:sz w:val="18"/>
                <w:lang w:val="en-ZA" w:eastAsia="en-ZA"/>
              </w:rPr>
            </w:pPr>
            <w:r w:rsidRPr="008048A1">
              <w:rPr>
                <w:rFonts w:eastAsia="Times New Roman" w:cs="Times New Roman"/>
                <w:color w:val="000000"/>
                <w:sz w:val="18"/>
                <w:lang w:val="en-ZA" w:eastAsia="en-ZA"/>
              </w:rPr>
              <w:t>100%</w:t>
            </w:r>
          </w:p>
        </w:tc>
        <w:tc>
          <w:tcPr>
            <w:tcW w:w="961" w:type="pct"/>
            <w:noWrap/>
            <w:hideMark/>
          </w:tcPr>
          <w:p w14:paraId="6AC7AD70" w14:textId="77777777" w:rsidR="008048A1" w:rsidRPr="008048A1" w:rsidRDefault="008048A1" w:rsidP="008048A1">
            <w:pPr>
              <w:rPr>
                <w:rFonts w:eastAsia="Times New Roman" w:cs="Times New Roman"/>
                <w:color w:val="000000"/>
                <w:sz w:val="18"/>
                <w:lang w:val="en-ZA" w:eastAsia="en-ZA"/>
              </w:rPr>
            </w:pPr>
            <w:r w:rsidRPr="008048A1">
              <w:rPr>
                <w:rFonts w:eastAsia="Times New Roman" w:cs="Times New Roman"/>
                <w:color w:val="000000"/>
                <w:sz w:val="18"/>
                <w:lang w:val="en-ZA" w:eastAsia="en-ZA"/>
              </w:rPr>
              <w:t>Project complete Dec 2017 with close out report</w:t>
            </w:r>
          </w:p>
        </w:tc>
      </w:tr>
      <w:tr w:rsidR="008048A1" w:rsidRPr="008048A1" w14:paraId="25E42CFE" w14:textId="77777777" w:rsidTr="00554661">
        <w:trPr>
          <w:trHeight w:val="235"/>
        </w:trPr>
        <w:tc>
          <w:tcPr>
            <w:tcW w:w="481" w:type="pct"/>
            <w:noWrap/>
            <w:hideMark/>
          </w:tcPr>
          <w:p w14:paraId="30CF6C03" w14:textId="77777777" w:rsidR="008048A1" w:rsidRPr="008048A1" w:rsidRDefault="008048A1" w:rsidP="008048A1">
            <w:pPr>
              <w:jc w:val="center"/>
              <w:rPr>
                <w:rFonts w:eastAsia="Times New Roman" w:cs="Times New Roman"/>
                <w:color w:val="000000"/>
                <w:sz w:val="18"/>
                <w:lang w:val="en-ZA" w:eastAsia="en-ZA"/>
              </w:rPr>
            </w:pPr>
            <w:r w:rsidRPr="008048A1">
              <w:rPr>
                <w:rFonts w:eastAsia="Times New Roman" w:cs="Times New Roman"/>
                <w:color w:val="000000"/>
                <w:sz w:val="18"/>
                <w:lang w:val="en-ZA" w:eastAsia="en-ZA"/>
              </w:rPr>
              <w:t>24</w:t>
            </w:r>
          </w:p>
        </w:tc>
        <w:tc>
          <w:tcPr>
            <w:tcW w:w="795" w:type="pct"/>
            <w:noWrap/>
            <w:hideMark/>
          </w:tcPr>
          <w:p w14:paraId="206F8B67" w14:textId="77777777" w:rsidR="008048A1" w:rsidRPr="008048A1" w:rsidRDefault="008048A1" w:rsidP="008048A1">
            <w:pPr>
              <w:rPr>
                <w:rFonts w:eastAsia="Times New Roman" w:cs="Times New Roman"/>
                <w:color w:val="000000"/>
                <w:sz w:val="18"/>
                <w:lang w:val="en-ZA" w:eastAsia="en-ZA"/>
              </w:rPr>
            </w:pPr>
            <w:r w:rsidRPr="008048A1">
              <w:rPr>
                <w:rFonts w:eastAsia="Times New Roman" w:cs="Times New Roman"/>
                <w:color w:val="000000"/>
                <w:sz w:val="18"/>
                <w:lang w:val="en-ZA" w:eastAsia="en-ZA"/>
              </w:rPr>
              <w:t>Bonisani / Makhehle</w:t>
            </w:r>
          </w:p>
        </w:tc>
        <w:tc>
          <w:tcPr>
            <w:tcW w:w="740" w:type="pct"/>
            <w:noWrap/>
            <w:hideMark/>
          </w:tcPr>
          <w:p w14:paraId="7243BFDD" w14:textId="77777777" w:rsidR="008048A1" w:rsidRPr="008048A1" w:rsidRDefault="008048A1" w:rsidP="008048A1">
            <w:pPr>
              <w:rPr>
                <w:rFonts w:eastAsia="Times New Roman" w:cs="Times New Roman"/>
                <w:color w:val="000000"/>
                <w:sz w:val="18"/>
                <w:lang w:val="en-ZA" w:eastAsia="en-ZA"/>
              </w:rPr>
            </w:pPr>
            <w:r w:rsidRPr="008048A1">
              <w:rPr>
                <w:rFonts w:eastAsia="Times New Roman" w:cs="Times New Roman"/>
                <w:color w:val="000000"/>
                <w:sz w:val="18"/>
                <w:lang w:val="en-ZA" w:eastAsia="en-ZA"/>
              </w:rPr>
              <w:t>Umlalazi Munics</w:t>
            </w:r>
          </w:p>
        </w:tc>
        <w:tc>
          <w:tcPr>
            <w:tcW w:w="728" w:type="pct"/>
            <w:noWrap/>
            <w:hideMark/>
          </w:tcPr>
          <w:p w14:paraId="2C246C22" w14:textId="77777777" w:rsidR="008048A1" w:rsidRPr="008048A1" w:rsidRDefault="008048A1" w:rsidP="008048A1">
            <w:pPr>
              <w:jc w:val="center"/>
              <w:rPr>
                <w:rFonts w:eastAsia="Times New Roman" w:cs="Times New Roman"/>
                <w:color w:val="000000"/>
                <w:sz w:val="18"/>
                <w:lang w:val="en-ZA" w:eastAsia="en-ZA"/>
              </w:rPr>
            </w:pPr>
            <w:r w:rsidRPr="008048A1">
              <w:rPr>
                <w:rFonts w:eastAsia="Times New Roman" w:cs="Times New Roman"/>
                <w:color w:val="000000"/>
                <w:sz w:val="18"/>
                <w:lang w:val="en-ZA" w:eastAsia="en-ZA"/>
              </w:rPr>
              <w:t>99</w:t>
            </w:r>
          </w:p>
        </w:tc>
        <w:tc>
          <w:tcPr>
            <w:tcW w:w="647" w:type="pct"/>
            <w:noWrap/>
            <w:hideMark/>
          </w:tcPr>
          <w:p w14:paraId="0C552F18" w14:textId="77777777" w:rsidR="008048A1" w:rsidRPr="008048A1" w:rsidRDefault="008048A1" w:rsidP="008048A1">
            <w:pPr>
              <w:rPr>
                <w:rFonts w:eastAsia="Times New Roman" w:cs="Times New Roman"/>
                <w:color w:val="000000"/>
                <w:sz w:val="18"/>
                <w:lang w:val="en-ZA" w:eastAsia="en-ZA"/>
              </w:rPr>
            </w:pPr>
            <w:r w:rsidRPr="008048A1">
              <w:rPr>
                <w:rFonts w:eastAsia="Times New Roman" w:cs="Times New Roman"/>
                <w:color w:val="000000"/>
                <w:sz w:val="18"/>
                <w:lang w:val="en-ZA" w:eastAsia="en-ZA"/>
              </w:rPr>
              <w:t> </w:t>
            </w:r>
          </w:p>
        </w:tc>
        <w:tc>
          <w:tcPr>
            <w:tcW w:w="647" w:type="pct"/>
            <w:noWrap/>
            <w:hideMark/>
          </w:tcPr>
          <w:p w14:paraId="3AFC5DEC" w14:textId="77777777" w:rsidR="008048A1" w:rsidRPr="008048A1" w:rsidRDefault="008048A1" w:rsidP="008048A1">
            <w:pPr>
              <w:jc w:val="center"/>
              <w:rPr>
                <w:rFonts w:eastAsia="Times New Roman" w:cs="Times New Roman"/>
                <w:color w:val="000000"/>
                <w:sz w:val="18"/>
                <w:lang w:val="en-ZA" w:eastAsia="en-ZA"/>
              </w:rPr>
            </w:pPr>
            <w:r w:rsidRPr="008048A1">
              <w:rPr>
                <w:rFonts w:eastAsia="Times New Roman" w:cs="Times New Roman"/>
                <w:color w:val="000000"/>
                <w:sz w:val="18"/>
                <w:lang w:val="en-ZA" w:eastAsia="en-ZA"/>
              </w:rPr>
              <w:t>25%</w:t>
            </w:r>
          </w:p>
        </w:tc>
        <w:tc>
          <w:tcPr>
            <w:tcW w:w="961" w:type="pct"/>
            <w:noWrap/>
          </w:tcPr>
          <w:p w14:paraId="7EABF508" w14:textId="16C3BECA" w:rsidR="008048A1" w:rsidRPr="008048A1" w:rsidRDefault="008048A1" w:rsidP="008048A1">
            <w:pPr>
              <w:rPr>
                <w:rFonts w:eastAsia="Times New Roman" w:cs="Times New Roman"/>
                <w:color w:val="000000"/>
                <w:sz w:val="18"/>
                <w:lang w:val="en-ZA" w:eastAsia="en-ZA"/>
              </w:rPr>
            </w:pPr>
            <w:r>
              <w:rPr>
                <w:rFonts w:eastAsia="Times New Roman" w:cs="Times New Roman"/>
                <w:color w:val="000000"/>
                <w:sz w:val="18"/>
                <w:lang w:val="en-ZA" w:eastAsia="en-ZA"/>
              </w:rPr>
              <w:t>Tender Stages</w:t>
            </w:r>
          </w:p>
        </w:tc>
      </w:tr>
      <w:tr w:rsidR="008048A1" w:rsidRPr="008048A1" w14:paraId="45C9E351" w14:textId="77777777" w:rsidTr="00554661">
        <w:trPr>
          <w:trHeight w:val="235"/>
        </w:trPr>
        <w:tc>
          <w:tcPr>
            <w:tcW w:w="481" w:type="pct"/>
            <w:noWrap/>
            <w:hideMark/>
          </w:tcPr>
          <w:p w14:paraId="3D9ED421" w14:textId="77777777" w:rsidR="008048A1" w:rsidRPr="008048A1" w:rsidRDefault="008048A1" w:rsidP="008048A1">
            <w:pPr>
              <w:jc w:val="center"/>
              <w:rPr>
                <w:rFonts w:eastAsia="Times New Roman" w:cs="Times New Roman"/>
                <w:color w:val="000000"/>
                <w:sz w:val="18"/>
                <w:lang w:val="en-ZA" w:eastAsia="en-ZA"/>
              </w:rPr>
            </w:pPr>
            <w:r w:rsidRPr="008048A1">
              <w:rPr>
                <w:rFonts w:eastAsia="Times New Roman" w:cs="Times New Roman"/>
                <w:color w:val="000000"/>
                <w:sz w:val="18"/>
                <w:lang w:val="en-ZA" w:eastAsia="en-ZA"/>
              </w:rPr>
              <w:t>25</w:t>
            </w:r>
          </w:p>
        </w:tc>
        <w:tc>
          <w:tcPr>
            <w:tcW w:w="795" w:type="pct"/>
            <w:noWrap/>
            <w:hideMark/>
          </w:tcPr>
          <w:p w14:paraId="113CD740" w14:textId="77777777" w:rsidR="008048A1" w:rsidRPr="008048A1" w:rsidRDefault="008048A1" w:rsidP="008048A1">
            <w:pPr>
              <w:rPr>
                <w:rFonts w:eastAsia="Times New Roman" w:cs="Times New Roman"/>
                <w:color w:val="000000"/>
                <w:sz w:val="18"/>
                <w:lang w:val="en-ZA" w:eastAsia="en-ZA"/>
              </w:rPr>
            </w:pPr>
            <w:r w:rsidRPr="008048A1">
              <w:rPr>
                <w:rFonts w:eastAsia="Times New Roman" w:cs="Times New Roman"/>
                <w:color w:val="000000"/>
                <w:sz w:val="18"/>
                <w:lang w:val="en-ZA" w:eastAsia="en-ZA"/>
              </w:rPr>
              <w:t>Bonisani / Makhehle</w:t>
            </w:r>
          </w:p>
        </w:tc>
        <w:tc>
          <w:tcPr>
            <w:tcW w:w="740" w:type="pct"/>
            <w:noWrap/>
            <w:hideMark/>
          </w:tcPr>
          <w:p w14:paraId="661A5CE2" w14:textId="77777777" w:rsidR="008048A1" w:rsidRPr="008048A1" w:rsidRDefault="008048A1" w:rsidP="008048A1">
            <w:pPr>
              <w:rPr>
                <w:rFonts w:eastAsia="Times New Roman" w:cs="Times New Roman"/>
                <w:color w:val="000000"/>
                <w:sz w:val="18"/>
                <w:lang w:val="en-ZA" w:eastAsia="en-ZA"/>
              </w:rPr>
            </w:pPr>
            <w:r w:rsidRPr="008048A1">
              <w:rPr>
                <w:rFonts w:eastAsia="Times New Roman" w:cs="Times New Roman"/>
                <w:color w:val="000000"/>
                <w:sz w:val="18"/>
                <w:lang w:val="en-ZA" w:eastAsia="en-ZA"/>
              </w:rPr>
              <w:t>Umlalazi Munics</w:t>
            </w:r>
          </w:p>
        </w:tc>
        <w:tc>
          <w:tcPr>
            <w:tcW w:w="728" w:type="pct"/>
            <w:noWrap/>
            <w:hideMark/>
          </w:tcPr>
          <w:p w14:paraId="1C6A3181" w14:textId="77777777" w:rsidR="008048A1" w:rsidRPr="008048A1" w:rsidRDefault="008048A1" w:rsidP="008048A1">
            <w:pPr>
              <w:jc w:val="center"/>
              <w:rPr>
                <w:rFonts w:eastAsia="Times New Roman" w:cs="Times New Roman"/>
                <w:color w:val="000000"/>
                <w:sz w:val="18"/>
                <w:lang w:val="en-ZA" w:eastAsia="en-ZA"/>
              </w:rPr>
            </w:pPr>
            <w:r w:rsidRPr="008048A1">
              <w:rPr>
                <w:rFonts w:eastAsia="Times New Roman" w:cs="Times New Roman"/>
                <w:color w:val="000000"/>
                <w:sz w:val="18"/>
                <w:lang w:val="en-ZA" w:eastAsia="en-ZA"/>
              </w:rPr>
              <w:t>147</w:t>
            </w:r>
          </w:p>
        </w:tc>
        <w:tc>
          <w:tcPr>
            <w:tcW w:w="647" w:type="pct"/>
            <w:noWrap/>
            <w:hideMark/>
          </w:tcPr>
          <w:p w14:paraId="30F9EED1" w14:textId="77777777" w:rsidR="008048A1" w:rsidRPr="008048A1" w:rsidRDefault="008048A1" w:rsidP="008048A1">
            <w:pPr>
              <w:rPr>
                <w:rFonts w:eastAsia="Times New Roman" w:cs="Times New Roman"/>
                <w:color w:val="000000"/>
                <w:sz w:val="18"/>
                <w:lang w:val="en-ZA" w:eastAsia="en-ZA"/>
              </w:rPr>
            </w:pPr>
            <w:r w:rsidRPr="008048A1">
              <w:rPr>
                <w:rFonts w:eastAsia="Times New Roman" w:cs="Times New Roman"/>
                <w:color w:val="000000"/>
                <w:sz w:val="18"/>
                <w:lang w:val="en-ZA" w:eastAsia="en-ZA"/>
              </w:rPr>
              <w:t> </w:t>
            </w:r>
          </w:p>
        </w:tc>
        <w:tc>
          <w:tcPr>
            <w:tcW w:w="647" w:type="pct"/>
            <w:noWrap/>
            <w:hideMark/>
          </w:tcPr>
          <w:p w14:paraId="7F4B904E" w14:textId="77777777" w:rsidR="008048A1" w:rsidRPr="008048A1" w:rsidRDefault="008048A1" w:rsidP="008048A1">
            <w:pPr>
              <w:jc w:val="center"/>
              <w:rPr>
                <w:rFonts w:eastAsia="Times New Roman" w:cs="Times New Roman"/>
                <w:color w:val="000000"/>
                <w:sz w:val="18"/>
                <w:lang w:val="en-ZA" w:eastAsia="en-ZA"/>
              </w:rPr>
            </w:pPr>
            <w:r w:rsidRPr="008048A1">
              <w:rPr>
                <w:rFonts w:eastAsia="Times New Roman" w:cs="Times New Roman"/>
                <w:color w:val="000000"/>
                <w:sz w:val="18"/>
                <w:lang w:val="en-ZA" w:eastAsia="en-ZA"/>
              </w:rPr>
              <w:t>25%</w:t>
            </w:r>
          </w:p>
        </w:tc>
        <w:tc>
          <w:tcPr>
            <w:tcW w:w="961" w:type="pct"/>
            <w:noWrap/>
          </w:tcPr>
          <w:p w14:paraId="10EBEC03" w14:textId="6E7AFEDB" w:rsidR="008048A1" w:rsidRPr="008048A1" w:rsidRDefault="008048A1" w:rsidP="008048A1">
            <w:pPr>
              <w:rPr>
                <w:rFonts w:eastAsia="Times New Roman" w:cs="Times New Roman"/>
                <w:color w:val="000000"/>
                <w:sz w:val="18"/>
                <w:lang w:val="en-ZA" w:eastAsia="en-ZA"/>
              </w:rPr>
            </w:pPr>
            <w:r>
              <w:rPr>
                <w:rFonts w:eastAsia="Times New Roman" w:cs="Times New Roman"/>
                <w:color w:val="000000"/>
                <w:sz w:val="18"/>
                <w:lang w:val="en-ZA" w:eastAsia="en-ZA"/>
              </w:rPr>
              <w:t>Tender Stages</w:t>
            </w:r>
          </w:p>
        </w:tc>
      </w:tr>
      <w:tr w:rsidR="008048A1" w:rsidRPr="008048A1" w14:paraId="389CD680" w14:textId="77777777" w:rsidTr="00554661">
        <w:trPr>
          <w:trHeight w:val="235"/>
        </w:trPr>
        <w:tc>
          <w:tcPr>
            <w:tcW w:w="481" w:type="pct"/>
            <w:noWrap/>
            <w:hideMark/>
          </w:tcPr>
          <w:p w14:paraId="6D22650D" w14:textId="77777777" w:rsidR="008048A1" w:rsidRPr="008048A1" w:rsidRDefault="008048A1" w:rsidP="008048A1">
            <w:pPr>
              <w:jc w:val="center"/>
              <w:rPr>
                <w:rFonts w:eastAsia="Times New Roman" w:cs="Times New Roman"/>
                <w:color w:val="000000"/>
                <w:sz w:val="18"/>
                <w:lang w:val="en-ZA" w:eastAsia="en-ZA"/>
              </w:rPr>
            </w:pPr>
            <w:r w:rsidRPr="008048A1">
              <w:rPr>
                <w:rFonts w:eastAsia="Times New Roman" w:cs="Times New Roman"/>
                <w:color w:val="000000"/>
                <w:sz w:val="18"/>
                <w:lang w:val="en-ZA" w:eastAsia="en-ZA"/>
              </w:rPr>
              <w:t>27</w:t>
            </w:r>
          </w:p>
        </w:tc>
        <w:tc>
          <w:tcPr>
            <w:tcW w:w="795" w:type="pct"/>
            <w:noWrap/>
            <w:hideMark/>
          </w:tcPr>
          <w:p w14:paraId="5B8BA0A0" w14:textId="77777777" w:rsidR="008048A1" w:rsidRPr="008048A1" w:rsidRDefault="008048A1" w:rsidP="008048A1">
            <w:pPr>
              <w:rPr>
                <w:rFonts w:eastAsia="Times New Roman" w:cs="Times New Roman"/>
                <w:color w:val="000000"/>
                <w:sz w:val="18"/>
                <w:lang w:val="en-ZA" w:eastAsia="en-ZA"/>
              </w:rPr>
            </w:pPr>
            <w:r w:rsidRPr="008048A1">
              <w:rPr>
                <w:rFonts w:eastAsia="Times New Roman" w:cs="Times New Roman"/>
                <w:color w:val="000000"/>
                <w:sz w:val="18"/>
                <w:lang w:val="en-ZA" w:eastAsia="en-ZA"/>
              </w:rPr>
              <w:t>Emvini</w:t>
            </w:r>
          </w:p>
        </w:tc>
        <w:tc>
          <w:tcPr>
            <w:tcW w:w="740" w:type="pct"/>
            <w:noWrap/>
            <w:hideMark/>
          </w:tcPr>
          <w:p w14:paraId="169E128A" w14:textId="77777777" w:rsidR="008048A1" w:rsidRPr="008048A1" w:rsidRDefault="008048A1" w:rsidP="008048A1">
            <w:pPr>
              <w:rPr>
                <w:rFonts w:eastAsia="Times New Roman" w:cs="Times New Roman"/>
                <w:color w:val="000000"/>
                <w:sz w:val="18"/>
                <w:lang w:val="en-ZA" w:eastAsia="en-ZA"/>
              </w:rPr>
            </w:pPr>
            <w:r w:rsidRPr="008048A1">
              <w:rPr>
                <w:rFonts w:eastAsia="Times New Roman" w:cs="Times New Roman"/>
                <w:color w:val="000000"/>
                <w:sz w:val="18"/>
                <w:lang w:val="en-ZA" w:eastAsia="en-ZA"/>
              </w:rPr>
              <w:t>Umlalazi Munics</w:t>
            </w:r>
          </w:p>
        </w:tc>
        <w:tc>
          <w:tcPr>
            <w:tcW w:w="728" w:type="pct"/>
            <w:noWrap/>
            <w:hideMark/>
          </w:tcPr>
          <w:p w14:paraId="4939E7A3" w14:textId="77777777" w:rsidR="008048A1" w:rsidRPr="008048A1" w:rsidRDefault="008048A1" w:rsidP="008048A1">
            <w:pPr>
              <w:jc w:val="center"/>
              <w:rPr>
                <w:rFonts w:eastAsia="Times New Roman" w:cs="Times New Roman"/>
                <w:color w:val="000000"/>
                <w:sz w:val="18"/>
                <w:lang w:val="en-ZA" w:eastAsia="en-ZA"/>
              </w:rPr>
            </w:pPr>
            <w:r w:rsidRPr="008048A1">
              <w:rPr>
                <w:rFonts w:eastAsia="Times New Roman" w:cs="Times New Roman"/>
                <w:color w:val="000000"/>
                <w:sz w:val="18"/>
                <w:lang w:val="en-ZA" w:eastAsia="en-ZA"/>
              </w:rPr>
              <w:t>55</w:t>
            </w:r>
          </w:p>
        </w:tc>
        <w:tc>
          <w:tcPr>
            <w:tcW w:w="647" w:type="pct"/>
            <w:noWrap/>
            <w:hideMark/>
          </w:tcPr>
          <w:p w14:paraId="4D783833" w14:textId="77777777" w:rsidR="008048A1" w:rsidRPr="008048A1" w:rsidRDefault="008048A1" w:rsidP="008048A1">
            <w:pPr>
              <w:rPr>
                <w:rFonts w:eastAsia="Times New Roman" w:cs="Times New Roman"/>
                <w:color w:val="000000"/>
                <w:sz w:val="18"/>
                <w:lang w:val="en-ZA" w:eastAsia="en-ZA"/>
              </w:rPr>
            </w:pPr>
            <w:r w:rsidRPr="008048A1">
              <w:rPr>
                <w:rFonts w:eastAsia="Times New Roman" w:cs="Times New Roman"/>
                <w:color w:val="000000"/>
                <w:sz w:val="18"/>
                <w:lang w:val="en-ZA" w:eastAsia="en-ZA"/>
              </w:rPr>
              <w:t> </w:t>
            </w:r>
          </w:p>
        </w:tc>
        <w:tc>
          <w:tcPr>
            <w:tcW w:w="647" w:type="pct"/>
            <w:noWrap/>
            <w:hideMark/>
          </w:tcPr>
          <w:p w14:paraId="1810CA28" w14:textId="77777777" w:rsidR="008048A1" w:rsidRPr="008048A1" w:rsidRDefault="008048A1" w:rsidP="008048A1">
            <w:pPr>
              <w:jc w:val="center"/>
              <w:rPr>
                <w:rFonts w:eastAsia="Times New Roman" w:cs="Times New Roman"/>
                <w:color w:val="000000"/>
                <w:sz w:val="18"/>
                <w:lang w:val="en-ZA" w:eastAsia="en-ZA"/>
              </w:rPr>
            </w:pPr>
            <w:r w:rsidRPr="008048A1">
              <w:rPr>
                <w:rFonts w:eastAsia="Times New Roman" w:cs="Times New Roman"/>
                <w:color w:val="000000"/>
                <w:sz w:val="18"/>
                <w:lang w:val="en-ZA" w:eastAsia="en-ZA"/>
              </w:rPr>
              <w:t>15%</w:t>
            </w:r>
          </w:p>
        </w:tc>
        <w:tc>
          <w:tcPr>
            <w:tcW w:w="961" w:type="pct"/>
            <w:noWrap/>
          </w:tcPr>
          <w:p w14:paraId="57281AE6" w14:textId="54B313C2" w:rsidR="008048A1" w:rsidRPr="008048A1" w:rsidRDefault="008048A1" w:rsidP="008048A1">
            <w:pPr>
              <w:rPr>
                <w:rFonts w:eastAsia="Times New Roman" w:cs="Times New Roman"/>
                <w:color w:val="000000"/>
                <w:sz w:val="18"/>
                <w:lang w:val="en-ZA" w:eastAsia="en-ZA"/>
              </w:rPr>
            </w:pPr>
            <w:r>
              <w:rPr>
                <w:rFonts w:eastAsia="Times New Roman" w:cs="Times New Roman"/>
                <w:color w:val="000000"/>
                <w:sz w:val="18"/>
                <w:lang w:val="en-ZA" w:eastAsia="en-ZA"/>
              </w:rPr>
              <w:t>Tender Stages</w:t>
            </w:r>
          </w:p>
        </w:tc>
      </w:tr>
    </w:tbl>
    <w:p w14:paraId="5242D39F" w14:textId="66933568" w:rsidR="00034077" w:rsidRPr="00034077" w:rsidRDefault="008048A1" w:rsidP="008048A1">
      <w:pPr>
        <w:pStyle w:val="Caption"/>
      </w:pPr>
      <w:bookmarkStart w:id="305" w:name="_Toc510622287"/>
      <w:r>
        <w:t xml:space="preserve">Table </w:t>
      </w:r>
      <w:r w:rsidR="00B918A6">
        <w:fldChar w:fldCharType="begin"/>
      </w:r>
      <w:r w:rsidR="00B918A6">
        <w:instrText xml:space="preserve"> SEQ Table \* ARABIC </w:instrText>
      </w:r>
      <w:r w:rsidR="00B918A6">
        <w:fldChar w:fldCharType="separate"/>
      </w:r>
      <w:r w:rsidR="0067023A">
        <w:rPr>
          <w:noProof/>
        </w:rPr>
        <w:t>37</w:t>
      </w:r>
      <w:r w:rsidR="00B918A6">
        <w:rPr>
          <w:noProof/>
        </w:rPr>
        <w:fldChar w:fldCharType="end"/>
      </w:r>
      <w:r>
        <w:t>: Progress Scheduled 5B Municipal Projects</w:t>
      </w:r>
      <w:bookmarkEnd w:id="305"/>
    </w:p>
    <w:p w14:paraId="102214E9" w14:textId="5178D54F" w:rsidR="00DC32E9" w:rsidRDefault="00DC32E9" w:rsidP="0083009A">
      <w:pPr>
        <w:spacing w:after="0" w:line="240" w:lineRule="auto"/>
        <w:rPr>
          <w:rFonts w:cs="Calibri"/>
          <w:color w:val="000000" w:themeColor="text1"/>
        </w:rPr>
      </w:pPr>
      <w:r w:rsidRPr="007E628D">
        <w:rPr>
          <w:rFonts w:cs="Calibri"/>
          <w:color w:val="000000" w:themeColor="text1"/>
          <w:highlight w:val="yellow"/>
        </w:rPr>
        <w:t>The following table presents electrification p</w:t>
      </w:r>
      <w:r w:rsidR="00AD7559" w:rsidRPr="007E628D">
        <w:rPr>
          <w:rFonts w:cs="Calibri"/>
          <w:color w:val="000000" w:themeColor="text1"/>
          <w:highlight w:val="yellow"/>
        </w:rPr>
        <w:t>rojects that</w:t>
      </w:r>
      <w:r w:rsidR="007E628D" w:rsidRPr="007E628D">
        <w:rPr>
          <w:rFonts w:cs="Calibri"/>
          <w:color w:val="000000" w:themeColor="text1"/>
          <w:highlight w:val="yellow"/>
        </w:rPr>
        <w:t xml:space="preserve"> have been completed in the 2017/18</w:t>
      </w:r>
      <w:r w:rsidR="00AD7559" w:rsidRPr="007E628D">
        <w:rPr>
          <w:rFonts w:cs="Calibri"/>
          <w:color w:val="000000" w:themeColor="text1"/>
          <w:highlight w:val="yellow"/>
        </w:rPr>
        <w:t xml:space="preserve"> financial year.</w:t>
      </w:r>
      <w:r>
        <w:rPr>
          <w:rFonts w:cs="Calibri"/>
          <w:color w:val="000000" w:themeColor="text1"/>
        </w:rPr>
        <w:t xml:space="preserve"> </w:t>
      </w:r>
    </w:p>
    <w:p w14:paraId="0688F289" w14:textId="77777777" w:rsidR="0083009A" w:rsidRDefault="0083009A" w:rsidP="0083009A">
      <w:pPr>
        <w:spacing w:after="0" w:line="240" w:lineRule="auto"/>
        <w:rPr>
          <w:rFonts w:cs="Calibri"/>
          <w:color w:val="000000" w:themeColor="text1"/>
        </w:rPr>
      </w:pPr>
    </w:p>
    <w:tbl>
      <w:tblPr>
        <w:tblStyle w:val="TableGrid1"/>
        <w:tblW w:w="9665" w:type="dxa"/>
        <w:tblLook w:val="00A0" w:firstRow="1" w:lastRow="0" w:firstColumn="1" w:lastColumn="0" w:noHBand="0" w:noVBand="0"/>
      </w:tblPr>
      <w:tblGrid>
        <w:gridCol w:w="3392"/>
        <w:gridCol w:w="1815"/>
        <w:gridCol w:w="2758"/>
        <w:gridCol w:w="1700"/>
      </w:tblGrid>
      <w:tr w:rsidR="00607B46" w:rsidRPr="00DC32E9" w14:paraId="6FB14C36" w14:textId="77777777" w:rsidTr="00554661">
        <w:trPr>
          <w:trHeight w:val="95"/>
          <w:tblHeader/>
        </w:trPr>
        <w:tc>
          <w:tcPr>
            <w:tcW w:w="0" w:type="auto"/>
            <w:shd w:val="clear" w:color="auto" w:fill="DAEEF3" w:themeFill="accent5" w:themeFillTint="33"/>
          </w:tcPr>
          <w:p w14:paraId="4ECD149C" w14:textId="77777777" w:rsidR="00607B46" w:rsidRPr="00DC32E9" w:rsidRDefault="00607B46" w:rsidP="00DC32E9">
            <w:pPr>
              <w:jc w:val="both"/>
              <w:rPr>
                <w:rFonts w:cs="Calibri"/>
                <w:b/>
                <w:color w:val="000000" w:themeColor="text1"/>
              </w:rPr>
            </w:pPr>
            <w:r w:rsidRPr="00DC32E9">
              <w:rPr>
                <w:rFonts w:cs="Calibri"/>
                <w:b/>
                <w:color w:val="000000" w:themeColor="text1"/>
              </w:rPr>
              <w:t>Areas</w:t>
            </w:r>
          </w:p>
        </w:tc>
        <w:tc>
          <w:tcPr>
            <w:tcW w:w="0" w:type="auto"/>
            <w:shd w:val="clear" w:color="auto" w:fill="DAEEF3" w:themeFill="accent5" w:themeFillTint="33"/>
          </w:tcPr>
          <w:p w14:paraId="2C9C9045" w14:textId="77777777" w:rsidR="00607B46" w:rsidRPr="00DC32E9" w:rsidRDefault="00607B46" w:rsidP="00DC32E9">
            <w:pPr>
              <w:jc w:val="both"/>
              <w:rPr>
                <w:rFonts w:cs="Calibri"/>
                <w:b/>
                <w:color w:val="000000" w:themeColor="text1"/>
              </w:rPr>
            </w:pPr>
            <w:r w:rsidRPr="00DC32E9">
              <w:rPr>
                <w:rFonts w:cs="Calibri"/>
                <w:b/>
                <w:color w:val="000000" w:themeColor="text1"/>
              </w:rPr>
              <w:t>Ward</w:t>
            </w:r>
          </w:p>
        </w:tc>
        <w:tc>
          <w:tcPr>
            <w:tcW w:w="0" w:type="auto"/>
            <w:shd w:val="clear" w:color="auto" w:fill="DAEEF3" w:themeFill="accent5" w:themeFillTint="33"/>
          </w:tcPr>
          <w:p w14:paraId="0D577A9D" w14:textId="77777777" w:rsidR="00607B46" w:rsidRPr="00DC32E9" w:rsidRDefault="00607B46" w:rsidP="00DC32E9">
            <w:pPr>
              <w:jc w:val="both"/>
              <w:rPr>
                <w:rFonts w:cs="Calibri"/>
                <w:b/>
                <w:color w:val="000000" w:themeColor="text1"/>
              </w:rPr>
            </w:pPr>
            <w:r w:rsidRPr="00DC32E9">
              <w:rPr>
                <w:rFonts w:cs="Calibri"/>
                <w:b/>
                <w:color w:val="000000" w:themeColor="text1"/>
              </w:rPr>
              <w:t>Connections</w:t>
            </w:r>
          </w:p>
        </w:tc>
        <w:tc>
          <w:tcPr>
            <w:tcW w:w="0" w:type="auto"/>
            <w:shd w:val="clear" w:color="auto" w:fill="DAEEF3" w:themeFill="accent5" w:themeFillTint="33"/>
          </w:tcPr>
          <w:p w14:paraId="7007A0D0" w14:textId="77777777" w:rsidR="00607B46" w:rsidRPr="00DC32E9" w:rsidRDefault="00607B46" w:rsidP="00DC32E9">
            <w:pPr>
              <w:jc w:val="both"/>
              <w:rPr>
                <w:rFonts w:cs="Calibri"/>
                <w:b/>
                <w:color w:val="000000" w:themeColor="text1"/>
              </w:rPr>
            </w:pPr>
            <w:r w:rsidRPr="00DC32E9">
              <w:rPr>
                <w:rFonts w:cs="Calibri"/>
                <w:b/>
                <w:color w:val="000000" w:themeColor="text1"/>
              </w:rPr>
              <w:t>Budget</w:t>
            </w:r>
          </w:p>
        </w:tc>
      </w:tr>
      <w:tr w:rsidR="00607B46" w:rsidRPr="00C931F1" w14:paraId="635699DD" w14:textId="77777777" w:rsidTr="00554661">
        <w:trPr>
          <w:trHeight w:val="175"/>
        </w:trPr>
        <w:tc>
          <w:tcPr>
            <w:tcW w:w="0" w:type="auto"/>
          </w:tcPr>
          <w:p w14:paraId="5DDE190D" w14:textId="58935F1A" w:rsidR="00607B46" w:rsidRPr="00DC32E9" w:rsidRDefault="00F6543C" w:rsidP="00DC32E9">
            <w:pPr>
              <w:jc w:val="both"/>
              <w:rPr>
                <w:rFonts w:cs="Calibri"/>
                <w:color w:val="000000" w:themeColor="text1"/>
              </w:rPr>
            </w:pPr>
            <w:r>
              <w:rPr>
                <w:rFonts w:cs="Calibri"/>
                <w:color w:val="000000" w:themeColor="text1"/>
              </w:rPr>
              <w:t>Mpehlele</w:t>
            </w:r>
          </w:p>
        </w:tc>
        <w:tc>
          <w:tcPr>
            <w:tcW w:w="0" w:type="auto"/>
          </w:tcPr>
          <w:p w14:paraId="2C74017C" w14:textId="77777777" w:rsidR="00607B46" w:rsidRPr="00DC32E9" w:rsidRDefault="00607B46" w:rsidP="00DC32E9">
            <w:pPr>
              <w:jc w:val="both"/>
              <w:rPr>
                <w:rFonts w:cs="Calibri"/>
                <w:color w:val="000000" w:themeColor="text1"/>
              </w:rPr>
            </w:pPr>
            <w:r w:rsidRPr="00DC32E9">
              <w:rPr>
                <w:rFonts w:cs="Calibri"/>
                <w:color w:val="000000" w:themeColor="text1"/>
              </w:rPr>
              <w:t>25</w:t>
            </w:r>
          </w:p>
        </w:tc>
        <w:tc>
          <w:tcPr>
            <w:tcW w:w="0" w:type="auto"/>
          </w:tcPr>
          <w:p w14:paraId="7969ABE3" w14:textId="77777777" w:rsidR="00607B46" w:rsidRPr="00DC32E9" w:rsidRDefault="00607B46" w:rsidP="00DC32E9">
            <w:pPr>
              <w:jc w:val="both"/>
              <w:rPr>
                <w:rFonts w:cs="Calibri"/>
                <w:color w:val="000000" w:themeColor="text1"/>
              </w:rPr>
            </w:pPr>
            <w:r w:rsidRPr="00DC32E9">
              <w:rPr>
                <w:rFonts w:cs="Calibri"/>
                <w:color w:val="000000" w:themeColor="text1"/>
              </w:rPr>
              <w:t>410</w:t>
            </w:r>
          </w:p>
        </w:tc>
        <w:tc>
          <w:tcPr>
            <w:tcW w:w="0" w:type="auto"/>
          </w:tcPr>
          <w:p w14:paraId="65F42C5B" w14:textId="77777777" w:rsidR="00607B46" w:rsidRPr="00DC32E9" w:rsidRDefault="00607B46" w:rsidP="00DC32E9">
            <w:pPr>
              <w:jc w:val="both"/>
              <w:rPr>
                <w:rFonts w:cs="Calibri"/>
                <w:color w:val="000000" w:themeColor="text1"/>
              </w:rPr>
            </w:pPr>
          </w:p>
        </w:tc>
      </w:tr>
      <w:tr w:rsidR="00607B46" w:rsidRPr="00C931F1" w14:paraId="44AADA8A" w14:textId="77777777" w:rsidTr="00554661">
        <w:trPr>
          <w:trHeight w:val="91"/>
        </w:trPr>
        <w:tc>
          <w:tcPr>
            <w:tcW w:w="0" w:type="auto"/>
          </w:tcPr>
          <w:p w14:paraId="0C59A854" w14:textId="77777777" w:rsidR="00607B46" w:rsidRPr="00DC32E9" w:rsidRDefault="00607B46" w:rsidP="00DC32E9">
            <w:pPr>
              <w:jc w:val="both"/>
              <w:rPr>
                <w:rFonts w:cs="Calibri"/>
                <w:color w:val="000000" w:themeColor="text1"/>
              </w:rPr>
            </w:pPr>
            <w:r w:rsidRPr="00DC32E9">
              <w:rPr>
                <w:rFonts w:cs="Calibri"/>
                <w:color w:val="000000" w:themeColor="text1"/>
              </w:rPr>
              <w:t>Sibhakuza</w:t>
            </w:r>
          </w:p>
          <w:p w14:paraId="669B4759" w14:textId="77777777" w:rsidR="00607B46" w:rsidRPr="00DC32E9" w:rsidRDefault="00607B46" w:rsidP="00DC32E9">
            <w:pPr>
              <w:jc w:val="both"/>
              <w:rPr>
                <w:rFonts w:cs="Calibri"/>
                <w:color w:val="000000" w:themeColor="text1"/>
              </w:rPr>
            </w:pPr>
            <w:r w:rsidRPr="00DC32E9">
              <w:rPr>
                <w:rFonts w:cs="Calibri"/>
                <w:color w:val="000000" w:themeColor="text1"/>
              </w:rPr>
              <w:t>2013/2014</w:t>
            </w:r>
          </w:p>
        </w:tc>
        <w:tc>
          <w:tcPr>
            <w:tcW w:w="0" w:type="auto"/>
          </w:tcPr>
          <w:p w14:paraId="6E0D214F" w14:textId="77777777" w:rsidR="00607B46" w:rsidRPr="00DC32E9" w:rsidRDefault="00607B46" w:rsidP="00DC32E9">
            <w:pPr>
              <w:jc w:val="both"/>
              <w:rPr>
                <w:rFonts w:cs="Calibri"/>
                <w:color w:val="000000" w:themeColor="text1"/>
              </w:rPr>
            </w:pPr>
            <w:r w:rsidRPr="00DC32E9">
              <w:rPr>
                <w:rFonts w:cs="Calibri"/>
                <w:color w:val="000000" w:themeColor="text1"/>
              </w:rPr>
              <w:t>22</w:t>
            </w:r>
          </w:p>
        </w:tc>
        <w:tc>
          <w:tcPr>
            <w:tcW w:w="0" w:type="auto"/>
          </w:tcPr>
          <w:p w14:paraId="08C3B6D5" w14:textId="77777777" w:rsidR="00607B46" w:rsidRPr="00DC32E9" w:rsidRDefault="00607B46" w:rsidP="00DC32E9">
            <w:pPr>
              <w:jc w:val="both"/>
              <w:rPr>
                <w:rFonts w:cs="Calibri"/>
                <w:color w:val="000000" w:themeColor="text1"/>
              </w:rPr>
            </w:pPr>
            <w:r w:rsidRPr="00DC32E9">
              <w:rPr>
                <w:rFonts w:cs="Calibri"/>
                <w:color w:val="000000" w:themeColor="text1"/>
              </w:rPr>
              <w:t>401</w:t>
            </w:r>
          </w:p>
        </w:tc>
        <w:tc>
          <w:tcPr>
            <w:tcW w:w="0" w:type="auto"/>
          </w:tcPr>
          <w:p w14:paraId="5749C8D8" w14:textId="77777777" w:rsidR="00607B46" w:rsidRPr="00DC32E9" w:rsidRDefault="00607B46" w:rsidP="00DC32E9">
            <w:pPr>
              <w:jc w:val="both"/>
              <w:rPr>
                <w:rFonts w:cs="Calibri"/>
                <w:color w:val="000000" w:themeColor="text1"/>
              </w:rPr>
            </w:pPr>
            <w:r w:rsidRPr="00DC32E9">
              <w:rPr>
                <w:rFonts w:cs="Calibri"/>
                <w:color w:val="000000" w:themeColor="text1"/>
              </w:rPr>
              <w:t>R 4.2  mil</w:t>
            </w:r>
          </w:p>
        </w:tc>
      </w:tr>
      <w:tr w:rsidR="00607B46" w:rsidRPr="00C931F1" w14:paraId="2A378259" w14:textId="77777777" w:rsidTr="00554661">
        <w:trPr>
          <w:trHeight w:val="69"/>
        </w:trPr>
        <w:tc>
          <w:tcPr>
            <w:tcW w:w="0" w:type="auto"/>
          </w:tcPr>
          <w:p w14:paraId="698EB254" w14:textId="77777777" w:rsidR="00607B46" w:rsidRPr="00DC32E9" w:rsidRDefault="00607B46" w:rsidP="00DC32E9">
            <w:pPr>
              <w:jc w:val="both"/>
              <w:rPr>
                <w:rFonts w:cs="Calibri"/>
                <w:color w:val="000000" w:themeColor="text1"/>
              </w:rPr>
            </w:pPr>
            <w:r>
              <w:rPr>
                <w:rFonts w:cs="Calibri"/>
                <w:color w:val="000000" w:themeColor="text1"/>
              </w:rPr>
              <w:t>Manzamnyama</w:t>
            </w:r>
          </w:p>
        </w:tc>
        <w:tc>
          <w:tcPr>
            <w:tcW w:w="0" w:type="auto"/>
          </w:tcPr>
          <w:p w14:paraId="225C2452" w14:textId="77777777" w:rsidR="00607B46" w:rsidRPr="00DC32E9" w:rsidRDefault="00607B46" w:rsidP="00DC32E9">
            <w:pPr>
              <w:jc w:val="both"/>
              <w:rPr>
                <w:rFonts w:cs="Calibri"/>
                <w:color w:val="000000" w:themeColor="text1"/>
              </w:rPr>
            </w:pPr>
            <w:r w:rsidRPr="00DC32E9">
              <w:rPr>
                <w:rFonts w:cs="Calibri"/>
                <w:color w:val="000000" w:themeColor="text1"/>
              </w:rPr>
              <w:t>22</w:t>
            </w:r>
          </w:p>
        </w:tc>
        <w:tc>
          <w:tcPr>
            <w:tcW w:w="0" w:type="auto"/>
          </w:tcPr>
          <w:p w14:paraId="43EA3588" w14:textId="77777777" w:rsidR="00607B46" w:rsidRPr="00DC32E9" w:rsidRDefault="00607B46" w:rsidP="00DC32E9">
            <w:pPr>
              <w:jc w:val="both"/>
              <w:rPr>
                <w:rFonts w:cs="Calibri"/>
                <w:color w:val="000000" w:themeColor="text1"/>
              </w:rPr>
            </w:pPr>
            <w:r w:rsidRPr="00DC32E9">
              <w:rPr>
                <w:rFonts w:cs="Calibri"/>
                <w:color w:val="000000" w:themeColor="text1"/>
              </w:rPr>
              <w:t>203</w:t>
            </w:r>
          </w:p>
        </w:tc>
        <w:tc>
          <w:tcPr>
            <w:tcW w:w="0" w:type="auto"/>
          </w:tcPr>
          <w:p w14:paraId="0B1470C9" w14:textId="77777777" w:rsidR="00607B46" w:rsidRPr="00DC32E9" w:rsidRDefault="00607B46" w:rsidP="00DC32E9">
            <w:pPr>
              <w:jc w:val="both"/>
              <w:rPr>
                <w:rFonts w:cs="Calibri"/>
                <w:color w:val="000000" w:themeColor="text1"/>
              </w:rPr>
            </w:pPr>
            <w:r w:rsidRPr="00DC32E9">
              <w:rPr>
                <w:rFonts w:cs="Calibri"/>
                <w:color w:val="000000" w:themeColor="text1"/>
              </w:rPr>
              <w:t>R  6.1  mil</w:t>
            </w:r>
          </w:p>
        </w:tc>
      </w:tr>
      <w:tr w:rsidR="00607B46" w:rsidRPr="00C931F1" w14:paraId="17204283" w14:textId="77777777" w:rsidTr="00554661">
        <w:trPr>
          <w:trHeight w:val="80"/>
        </w:trPr>
        <w:tc>
          <w:tcPr>
            <w:tcW w:w="0" w:type="auto"/>
          </w:tcPr>
          <w:p w14:paraId="2E905412" w14:textId="77777777" w:rsidR="00607B46" w:rsidRPr="00C931F1" w:rsidRDefault="00607B46" w:rsidP="00C931F1">
            <w:pPr>
              <w:jc w:val="both"/>
              <w:rPr>
                <w:rFonts w:cs="Calibri"/>
                <w:color w:val="000000" w:themeColor="text1"/>
              </w:rPr>
            </w:pPr>
            <w:r>
              <w:rPr>
                <w:rFonts w:cs="Calibri"/>
                <w:color w:val="000000" w:themeColor="text1"/>
              </w:rPr>
              <w:t>Mabudle</w:t>
            </w:r>
          </w:p>
        </w:tc>
        <w:tc>
          <w:tcPr>
            <w:tcW w:w="0" w:type="auto"/>
          </w:tcPr>
          <w:p w14:paraId="71F5F1CE" w14:textId="77777777" w:rsidR="00607B46" w:rsidRPr="00C931F1" w:rsidRDefault="00607B46" w:rsidP="00C931F1">
            <w:pPr>
              <w:jc w:val="both"/>
              <w:rPr>
                <w:rFonts w:cs="Calibri"/>
                <w:color w:val="000000" w:themeColor="text1"/>
              </w:rPr>
            </w:pPr>
            <w:r w:rsidRPr="00C931F1">
              <w:rPr>
                <w:rFonts w:cs="Calibri"/>
                <w:color w:val="000000" w:themeColor="text1"/>
              </w:rPr>
              <w:t>15</w:t>
            </w:r>
          </w:p>
        </w:tc>
        <w:tc>
          <w:tcPr>
            <w:tcW w:w="0" w:type="auto"/>
          </w:tcPr>
          <w:p w14:paraId="034A5FAE" w14:textId="77777777" w:rsidR="00607B46" w:rsidRPr="00C931F1" w:rsidRDefault="00607B46" w:rsidP="00C931F1">
            <w:pPr>
              <w:jc w:val="both"/>
              <w:rPr>
                <w:rFonts w:cs="Calibri"/>
                <w:color w:val="000000" w:themeColor="text1"/>
              </w:rPr>
            </w:pPr>
            <w:r>
              <w:rPr>
                <w:rFonts w:cs="Calibri"/>
                <w:color w:val="000000" w:themeColor="text1"/>
              </w:rPr>
              <w:t>114</w:t>
            </w:r>
          </w:p>
        </w:tc>
        <w:tc>
          <w:tcPr>
            <w:tcW w:w="0" w:type="auto"/>
          </w:tcPr>
          <w:p w14:paraId="574542CB" w14:textId="77777777" w:rsidR="00607B46" w:rsidRPr="00C931F1" w:rsidRDefault="00607B46" w:rsidP="00C931F1">
            <w:pPr>
              <w:jc w:val="both"/>
              <w:rPr>
                <w:rFonts w:cs="Calibri"/>
                <w:color w:val="000000" w:themeColor="text1"/>
              </w:rPr>
            </w:pPr>
          </w:p>
        </w:tc>
      </w:tr>
      <w:tr w:rsidR="00607B46" w:rsidRPr="00C931F1" w14:paraId="21E973FB" w14:textId="77777777" w:rsidTr="00554661">
        <w:trPr>
          <w:trHeight w:val="386"/>
        </w:trPr>
        <w:tc>
          <w:tcPr>
            <w:tcW w:w="0" w:type="auto"/>
          </w:tcPr>
          <w:p w14:paraId="4BA4611F" w14:textId="77777777" w:rsidR="00607B46" w:rsidRPr="00C931F1" w:rsidRDefault="00607B46" w:rsidP="00C931F1">
            <w:pPr>
              <w:jc w:val="both"/>
              <w:rPr>
                <w:rFonts w:cs="Calibri"/>
                <w:color w:val="000000" w:themeColor="text1"/>
              </w:rPr>
            </w:pPr>
            <w:r w:rsidRPr="00C931F1">
              <w:rPr>
                <w:rFonts w:cs="Calibri"/>
                <w:color w:val="000000" w:themeColor="text1"/>
              </w:rPr>
              <w:t>Umhlatuzana / Izikoshi</w:t>
            </w:r>
          </w:p>
          <w:p w14:paraId="7C2ED1AD" w14:textId="77777777" w:rsidR="00607B46" w:rsidRPr="00C931F1" w:rsidRDefault="00607B46" w:rsidP="00C931F1">
            <w:pPr>
              <w:jc w:val="both"/>
              <w:rPr>
                <w:rFonts w:cs="Calibri"/>
                <w:color w:val="000000" w:themeColor="text1"/>
              </w:rPr>
            </w:pPr>
            <w:r>
              <w:rPr>
                <w:rFonts w:cs="Calibri"/>
                <w:color w:val="000000" w:themeColor="text1"/>
              </w:rPr>
              <w:t>Schedule six UMlalazi Project</w:t>
            </w:r>
          </w:p>
        </w:tc>
        <w:tc>
          <w:tcPr>
            <w:tcW w:w="0" w:type="auto"/>
          </w:tcPr>
          <w:p w14:paraId="2B2EDDDF" w14:textId="77777777" w:rsidR="00607B46" w:rsidRPr="00C931F1" w:rsidRDefault="00607B46" w:rsidP="00C931F1">
            <w:pPr>
              <w:jc w:val="both"/>
              <w:rPr>
                <w:rFonts w:cs="Calibri"/>
                <w:color w:val="000000" w:themeColor="text1"/>
              </w:rPr>
            </w:pPr>
            <w:r w:rsidRPr="00C931F1">
              <w:rPr>
                <w:rFonts w:cs="Calibri"/>
                <w:color w:val="000000" w:themeColor="text1"/>
              </w:rPr>
              <w:t>14</w:t>
            </w:r>
          </w:p>
        </w:tc>
        <w:tc>
          <w:tcPr>
            <w:tcW w:w="0" w:type="auto"/>
          </w:tcPr>
          <w:p w14:paraId="40028FF3" w14:textId="77777777" w:rsidR="00607B46" w:rsidRPr="00C931F1" w:rsidRDefault="00607B46" w:rsidP="00C931F1">
            <w:pPr>
              <w:jc w:val="both"/>
              <w:rPr>
                <w:rFonts w:cs="Calibri"/>
                <w:color w:val="000000" w:themeColor="text1"/>
              </w:rPr>
            </w:pPr>
            <w:r w:rsidRPr="00C931F1">
              <w:rPr>
                <w:rFonts w:cs="Calibri"/>
                <w:color w:val="000000" w:themeColor="text1"/>
              </w:rPr>
              <w:t>660</w:t>
            </w:r>
          </w:p>
        </w:tc>
        <w:tc>
          <w:tcPr>
            <w:tcW w:w="0" w:type="auto"/>
          </w:tcPr>
          <w:p w14:paraId="3D59323F" w14:textId="77777777" w:rsidR="00607B46" w:rsidRPr="00C931F1" w:rsidRDefault="00607B46" w:rsidP="00C931F1">
            <w:pPr>
              <w:jc w:val="both"/>
              <w:rPr>
                <w:rFonts w:cs="Calibri"/>
                <w:color w:val="000000" w:themeColor="text1"/>
              </w:rPr>
            </w:pPr>
            <w:r w:rsidRPr="00C931F1">
              <w:rPr>
                <w:rFonts w:cs="Calibri"/>
                <w:color w:val="000000" w:themeColor="text1"/>
              </w:rPr>
              <w:t>R 15 mil</w:t>
            </w:r>
          </w:p>
        </w:tc>
      </w:tr>
      <w:tr w:rsidR="00607B46" w:rsidRPr="00C931F1" w14:paraId="70A30022" w14:textId="77777777" w:rsidTr="00554661">
        <w:trPr>
          <w:trHeight w:val="91"/>
        </w:trPr>
        <w:tc>
          <w:tcPr>
            <w:tcW w:w="0" w:type="auto"/>
          </w:tcPr>
          <w:p w14:paraId="1413168A" w14:textId="77777777" w:rsidR="00607B46" w:rsidRPr="00C931F1" w:rsidRDefault="00607B46" w:rsidP="00C931F1">
            <w:pPr>
              <w:jc w:val="both"/>
              <w:rPr>
                <w:rFonts w:cs="Calibri"/>
                <w:color w:val="000000" w:themeColor="text1"/>
              </w:rPr>
            </w:pPr>
            <w:r>
              <w:rPr>
                <w:rFonts w:cs="Calibri"/>
                <w:color w:val="000000" w:themeColor="text1"/>
              </w:rPr>
              <w:t>Ngeza</w:t>
            </w:r>
          </w:p>
        </w:tc>
        <w:tc>
          <w:tcPr>
            <w:tcW w:w="0" w:type="auto"/>
          </w:tcPr>
          <w:p w14:paraId="3B546202" w14:textId="77777777" w:rsidR="00607B46" w:rsidRPr="00C931F1" w:rsidRDefault="00607B46" w:rsidP="00C931F1">
            <w:pPr>
              <w:jc w:val="both"/>
              <w:rPr>
                <w:rFonts w:cs="Calibri"/>
                <w:color w:val="000000" w:themeColor="text1"/>
              </w:rPr>
            </w:pPr>
            <w:r>
              <w:rPr>
                <w:rFonts w:cs="Calibri"/>
                <w:color w:val="000000" w:themeColor="text1"/>
              </w:rPr>
              <w:t>14</w:t>
            </w:r>
          </w:p>
        </w:tc>
        <w:tc>
          <w:tcPr>
            <w:tcW w:w="0" w:type="auto"/>
          </w:tcPr>
          <w:p w14:paraId="2F40B135" w14:textId="77777777" w:rsidR="00607B46" w:rsidRPr="00C931F1" w:rsidRDefault="00607B46" w:rsidP="00C931F1">
            <w:pPr>
              <w:jc w:val="both"/>
              <w:rPr>
                <w:rFonts w:cs="Calibri"/>
                <w:color w:val="000000" w:themeColor="text1"/>
              </w:rPr>
            </w:pPr>
            <w:r>
              <w:rPr>
                <w:rFonts w:cs="Calibri"/>
                <w:color w:val="000000" w:themeColor="text1"/>
              </w:rPr>
              <w:t>867</w:t>
            </w:r>
          </w:p>
        </w:tc>
        <w:tc>
          <w:tcPr>
            <w:tcW w:w="0" w:type="auto"/>
          </w:tcPr>
          <w:p w14:paraId="5FDB06DC" w14:textId="77777777" w:rsidR="00607B46" w:rsidRPr="00C931F1" w:rsidRDefault="00607B46" w:rsidP="00C931F1">
            <w:pPr>
              <w:jc w:val="both"/>
              <w:rPr>
                <w:rFonts w:cs="Calibri"/>
                <w:color w:val="000000" w:themeColor="text1"/>
              </w:rPr>
            </w:pPr>
            <w:r>
              <w:rPr>
                <w:rFonts w:cs="Calibri"/>
                <w:color w:val="000000" w:themeColor="text1"/>
              </w:rPr>
              <w:t>R 14.9 mil</w:t>
            </w:r>
          </w:p>
        </w:tc>
      </w:tr>
      <w:tr w:rsidR="00607B46" w:rsidRPr="00C931F1" w14:paraId="1EEB8F45" w14:textId="77777777" w:rsidTr="00554661">
        <w:trPr>
          <w:trHeight w:val="142"/>
        </w:trPr>
        <w:tc>
          <w:tcPr>
            <w:tcW w:w="0" w:type="auto"/>
          </w:tcPr>
          <w:p w14:paraId="38490CDE" w14:textId="77777777" w:rsidR="00607B46" w:rsidRPr="00C931F1" w:rsidRDefault="00607B46" w:rsidP="00F07888">
            <w:pPr>
              <w:jc w:val="both"/>
              <w:rPr>
                <w:rFonts w:cs="Calibri"/>
                <w:color w:val="000000" w:themeColor="text1"/>
              </w:rPr>
            </w:pPr>
            <w:r>
              <w:rPr>
                <w:rFonts w:cs="Calibri"/>
                <w:color w:val="000000" w:themeColor="text1"/>
              </w:rPr>
              <w:t>KDS –Mtakwende &amp; Tintown</w:t>
            </w:r>
          </w:p>
        </w:tc>
        <w:tc>
          <w:tcPr>
            <w:tcW w:w="0" w:type="auto"/>
          </w:tcPr>
          <w:p w14:paraId="657F6581" w14:textId="77777777" w:rsidR="00607B46" w:rsidRPr="00C931F1" w:rsidRDefault="00607B46" w:rsidP="00C931F1">
            <w:pPr>
              <w:jc w:val="both"/>
              <w:rPr>
                <w:rFonts w:cs="Calibri"/>
                <w:color w:val="000000" w:themeColor="text1"/>
              </w:rPr>
            </w:pPr>
            <w:r w:rsidRPr="00C931F1">
              <w:rPr>
                <w:rFonts w:cs="Calibri"/>
                <w:color w:val="000000" w:themeColor="text1"/>
              </w:rPr>
              <w:t>12</w:t>
            </w:r>
          </w:p>
        </w:tc>
        <w:tc>
          <w:tcPr>
            <w:tcW w:w="0" w:type="auto"/>
          </w:tcPr>
          <w:p w14:paraId="6366034B" w14:textId="77777777" w:rsidR="00607B46" w:rsidRPr="00C931F1" w:rsidRDefault="00607B46" w:rsidP="00C931F1">
            <w:pPr>
              <w:jc w:val="both"/>
              <w:rPr>
                <w:rFonts w:cs="Calibri"/>
                <w:color w:val="000000" w:themeColor="text1"/>
              </w:rPr>
            </w:pPr>
            <w:r w:rsidRPr="00C931F1">
              <w:rPr>
                <w:rFonts w:cs="Calibri"/>
                <w:color w:val="000000" w:themeColor="text1"/>
              </w:rPr>
              <w:t>Busy Mtakwende &amp; Tintown</w:t>
            </w:r>
          </w:p>
        </w:tc>
        <w:tc>
          <w:tcPr>
            <w:tcW w:w="0" w:type="auto"/>
          </w:tcPr>
          <w:p w14:paraId="5B9930A2" w14:textId="77777777" w:rsidR="00607B46" w:rsidRPr="00C931F1" w:rsidRDefault="00607B46" w:rsidP="00C931F1">
            <w:pPr>
              <w:jc w:val="both"/>
              <w:rPr>
                <w:rFonts w:cs="Calibri"/>
                <w:color w:val="000000" w:themeColor="text1"/>
              </w:rPr>
            </w:pPr>
            <w:r w:rsidRPr="00C931F1">
              <w:rPr>
                <w:rFonts w:cs="Calibri"/>
                <w:color w:val="000000" w:themeColor="text1"/>
              </w:rPr>
              <w:t>Municipal Funds</w:t>
            </w:r>
          </w:p>
        </w:tc>
      </w:tr>
      <w:tr w:rsidR="00607B46" w:rsidRPr="00C931F1" w14:paraId="6569EDA5" w14:textId="77777777" w:rsidTr="00554661">
        <w:trPr>
          <w:trHeight w:val="66"/>
        </w:trPr>
        <w:tc>
          <w:tcPr>
            <w:tcW w:w="0" w:type="auto"/>
          </w:tcPr>
          <w:p w14:paraId="4DE40A6E" w14:textId="77777777" w:rsidR="00607B46" w:rsidRPr="00C931F1" w:rsidRDefault="00607B46" w:rsidP="00C931F1">
            <w:pPr>
              <w:jc w:val="both"/>
              <w:rPr>
                <w:rFonts w:cs="Calibri"/>
                <w:color w:val="000000" w:themeColor="text1"/>
              </w:rPr>
            </w:pPr>
            <w:r w:rsidRPr="00C931F1">
              <w:rPr>
                <w:rFonts w:cs="Calibri"/>
                <w:color w:val="000000" w:themeColor="text1"/>
              </w:rPr>
              <w:t>Ntumeni</w:t>
            </w:r>
          </w:p>
        </w:tc>
        <w:tc>
          <w:tcPr>
            <w:tcW w:w="0" w:type="auto"/>
          </w:tcPr>
          <w:p w14:paraId="4070F8ED" w14:textId="77777777" w:rsidR="00607B46" w:rsidRPr="00C931F1" w:rsidRDefault="00607B46" w:rsidP="00F07888">
            <w:pPr>
              <w:jc w:val="both"/>
              <w:rPr>
                <w:rFonts w:cs="Calibri"/>
                <w:color w:val="000000" w:themeColor="text1"/>
              </w:rPr>
            </w:pPr>
            <w:r w:rsidRPr="00C931F1">
              <w:rPr>
                <w:rFonts w:cs="Calibri"/>
                <w:color w:val="000000" w:themeColor="text1"/>
              </w:rPr>
              <w:t>8</w:t>
            </w:r>
          </w:p>
        </w:tc>
        <w:tc>
          <w:tcPr>
            <w:tcW w:w="0" w:type="auto"/>
          </w:tcPr>
          <w:p w14:paraId="490A6334" w14:textId="77777777" w:rsidR="00607B46" w:rsidRPr="00C931F1" w:rsidRDefault="00607B46" w:rsidP="00C931F1">
            <w:pPr>
              <w:jc w:val="both"/>
              <w:rPr>
                <w:rFonts w:cs="Calibri"/>
                <w:color w:val="000000" w:themeColor="text1"/>
              </w:rPr>
            </w:pPr>
            <w:r w:rsidRPr="00C931F1">
              <w:rPr>
                <w:rFonts w:cs="Calibri"/>
                <w:color w:val="000000" w:themeColor="text1"/>
              </w:rPr>
              <w:t>795 – phase 1</w:t>
            </w:r>
          </w:p>
        </w:tc>
        <w:tc>
          <w:tcPr>
            <w:tcW w:w="0" w:type="auto"/>
          </w:tcPr>
          <w:p w14:paraId="2E8CAA31" w14:textId="77777777" w:rsidR="00607B46" w:rsidRPr="00C931F1" w:rsidRDefault="00607B46" w:rsidP="00F07888">
            <w:pPr>
              <w:rPr>
                <w:rFonts w:cs="Calibri"/>
                <w:color w:val="000000" w:themeColor="text1"/>
              </w:rPr>
            </w:pPr>
          </w:p>
        </w:tc>
      </w:tr>
      <w:tr w:rsidR="00607B46" w:rsidRPr="00C931F1" w14:paraId="2CE20B52" w14:textId="77777777" w:rsidTr="00554661">
        <w:trPr>
          <w:trHeight w:val="77"/>
        </w:trPr>
        <w:tc>
          <w:tcPr>
            <w:tcW w:w="0" w:type="auto"/>
          </w:tcPr>
          <w:p w14:paraId="2BCEB699" w14:textId="77777777" w:rsidR="00607B46" w:rsidRPr="00C931F1" w:rsidRDefault="00607B46" w:rsidP="00F07888">
            <w:pPr>
              <w:jc w:val="both"/>
              <w:rPr>
                <w:rFonts w:cs="Calibri"/>
                <w:color w:val="000000" w:themeColor="text1"/>
              </w:rPr>
            </w:pPr>
            <w:r w:rsidRPr="00C931F1">
              <w:rPr>
                <w:rFonts w:cs="Calibri"/>
                <w:color w:val="000000" w:themeColor="text1"/>
              </w:rPr>
              <w:t>Saroni</w:t>
            </w:r>
            <w:r>
              <w:rPr>
                <w:rFonts w:cs="Calibri"/>
                <w:color w:val="000000" w:themeColor="text1"/>
              </w:rPr>
              <w:t xml:space="preserve"> </w:t>
            </w:r>
          </w:p>
        </w:tc>
        <w:tc>
          <w:tcPr>
            <w:tcW w:w="0" w:type="auto"/>
          </w:tcPr>
          <w:p w14:paraId="343FD563" w14:textId="77777777" w:rsidR="00607B46" w:rsidRPr="00C931F1" w:rsidRDefault="00607B46" w:rsidP="00C931F1">
            <w:pPr>
              <w:jc w:val="both"/>
              <w:rPr>
                <w:rFonts w:cs="Calibri"/>
                <w:color w:val="000000" w:themeColor="text1"/>
              </w:rPr>
            </w:pPr>
            <w:r w:rsidRPr="00C931F1">
              <w:rPr>
                <w:rFonts w:cs="Calibri"/>
                <w:color w:val="000000" w:themeColor="text1"/>
              </w:rPr>
              <w:t>7</w:t>
            </w:r>
          </w:p>
        </w:tc>
        <w:tc>
          <w:tcPr>
            <w:tcW w:w="0" w:type="auto"/>
          </w:tcPr>
          <w:p w14:paraId="0FEA0D96" w14:textId="77777777" w:rsidR="00607B46" w:rsidRPr="00C931F1" w:rsidRDefault="00607B46" w:rsidP="00C931F1">
            <w:pPr>
              <w:jc w:val="both"/>
              <w:rPr>
                <w:rFonts w:cs="Calibri"/>
                <w:color w:val="000000" w:themeColor="text1"/>
              </w:rPr>
            </w:pPr>
            <w:r w:rsidRPr="00C931F1">
              <w:rPr>
                <w:rFonts w:cs="Calibri"/>
                <w:color w:val="000000" w:themeColor="text1"/>
              </w:rPr>
              <w:t>539</w:t>
            </w:r>
          </w:p>
        </w:tc>
        <w:tc>
          <w:tcPr>
            <w:tcW w:w="0" w:type="auto"/>
          </w:tcPr>
          <w:p w14:paraId="2117E612" w14:textId="77777777" w:rsidR="00607B46" w:rsidRPr="00C931F1" w:rsidRDefault="00607B46" w:rsidP="00C931F1">
            <w:pPr>
              <w:jc w:val="both"/>
              <w:rPr>
                <w:rFonts w:cs="Calibri"/>
                <w:color w:val="000000" w:themeColor="text1"/>
              </w:rPr>
            </w:pPr>
            <w:r>
              <w:rPr>
                <w:rFonts w:cs="Calibri"/>
                <w:color w:val="000000" w:themeColor="text1"/>
              </w:rPr>
              <w:t>R 6.3 mil</w:t>
            </w:r>
          </w:p>
        </w:tc>
      </w:tr>
      <w:tr w:rsidR="00607B46" w:rsidRPr="00C931F1" w14:paraId="0EB6F691" w14:textId="77777777" w:rsidTr="00554661">
        <w:trPr>
          <w:trHeight w:val="176"/>
        </w:trPr>
        <w:tc>
          <w:tcPr>
            <w:tcW w:w="0" w:type="auto"/>
          </w:tcPr>
          <w:p w14:paraId="76D906E7" w14:textId="77777777" w:rsidR="00607B46" w:rsidRPr="00C931F1" w:rsidRDefault="00607B46" w:rsidP="00C931F1">
            <w:pPr>
              <w:jc w:val="both"/>
              <w:rPr>
                <w:rFonts w:cs="Calibri"/>
                <w:color w:val="000000" w:themeColor="text1"/>
              </w:rPr>
            </w:pPr>
            <w:r>
              <w:rPr>
                <w:rFonts w:cs="Calibri"/>
                <w:color w:val="000000" w:themeColor="text1"/>
              </w:rPr>
              <w:t>Samungu #2</w:t>
            </w:r>
          </w:p>
        </w:tc>
        <w:tc>
          <w:tcPr>
            <w:tcW w:w="0" w:type="auto"/>
          </w:tcPr>
          <w:p w14:paraId="7EEABC02" w14:textId="77777777" w:rsidR="00607B46" w:rsidRPr="00C931F1" w:rsidRDefault="00607B46" w:rsidP="00C931F1">
            <w:pPr>
              <w:jc w:val="both"/>
              <w:rPr>
                <w:rFonts w:cs="Calibri"/>
                <w:color w:val="000000" w:themeColor="text1"/>
              </w:rPr>
            </w:pPr>
            <w:r>
              <w:rPr>
                <w:rFonts w:cs="Calibri"/>
                <w:color w:val="000000" w:themeColor="text1"/>
              </w:rPr>
              <w:t>6</w:t>
            </w:r>
          </w:p>
        </w:tc>
        <w:tc>
          <w:tcPr>
            <w:tcW w:w="0" w:type="auto"/>
          </w:tcPr>
          <w:p w14:paraId="0E3B8EBE" w14:textId="77777777" w:rsidR="00607B46" w:rsidRPr="00C931F1" w:rsidRDefault="00607B46" w:rsidP="00C931F1">
            <w:pPr>
              <w:jc w:val="both"/>
              <w:rPr>
                <w:rFonts w:cs="Calibri"/>
                <w:color w:val="000000" w:themeColor="text1"/>
              </w:rPr>
            </w:pPr>
            <w:r>
              <w:rPr>
                <w:rFonts w:cs="Calibri"/>
                <w:color w:val="000000" w:themeColor="text1"/>
              </w:rPr>
              <w:t>1382</w:t>
            </w:r>
          </w:p>
        </w:tc>
        <w:tc>
          <w:tcPr>
            <w:tcW w:w="0" w:type="auto"/>
          </w:tcPr>
          <w:p w14:paraId="1DDFC5CC" w14:textId="77777777" w:rsidR="00607B46" w:rsidRPr="00C931F1" w:rsidRDefault="00607B46" w:rsidP="00C931F1">
            <w:pPr>
              <w:jc w:val="both"/>
              <w:rPr>
                <w:rFonts w:cs="Calibri"/>
                <w:color w:val="000000" w:themeColor="text1"/>
              </w:rPr>
            </w:pPr>
            <w:r w:rsidRPr="00C931F1">
              <w:rPr>
                <w:rFonts w:cs="Calibri"/>
                <w:color w:val="000000" w:themeColor="text1"/>
              </w:rPr>
              <w:t>R 20.730  mil</w:t>
            </w:r>
          </w:p>
          <w:p w14:paraId="2CB3F47C" w14:textId="77777777" w:rsidR="00607B46" w:rsidRPr="00C931F1" w:rsidRDefault="00607B46" w:rsidP="00C931F1">
            <w:pPr>
              <w:jc w:val="both"/>
              <w:rPr>
                <w:rFonts w:cs="Calibri"/>
                <w:color w:val="000000" w:themeColor="text1"/>
              </w:rPr>
            </w:pPr>
            <w:r>
              <w:rPr>
                <w:rFonts w:cs="Calibri"/>
                <w:color w:val="000000" w:themeColor="text1"/>
              </w:rPr>
              <w:t>(ward 5 &amp; 6)</w:t>
            </w:r>
          </w:p>
        </w:tc>
      </w:tr>
      <w:tr w:rsidR="00607B46" w:rsidRPr="00C931F1" w14:paraId="01025A9A" w14:textId="77777777" w:rsidTr="00554661">
        <w:trPr>
          <w:trHeight w:val="105"/>
        </w:trPr>
        <w:tc>
          <w:tcPr>
            <w:tcW w:w="0" w:type="auto"/>
          </w:tcPr>
          <w:p w14:paraId="1C1DD106" w14:textId="77777777" w:rsidR="00607B46" w:rsidRPr="00C931F1" w:rsidRDefault="00607B46" w:rsidP="00F07888">
            <w:pPr>
              <w:jc w:val="both"/>
              <w:rPr>
                <w:rFonts w:cs="Calibri"/>
                <w:color w:val="000000" w:themeColor="text1"/>
              </w:rPr>
            </w:pPr>
            <w:r>
              <w:rPr>
                <w:rFonts w:cs="Calibri"/>
                <w:color w:val="000000" w:themeColor="text1"/>
              </w:rPr>
              <w:t>Dibhasi/Mankumbu</w:t>
            </w:r>
          </w:p>
        </w:tc>
        <w:tc>
          <w:tcPr>
            <w:tcW w:w="0" w:type="auto"/>
          </w:tcPr>
          <w:p w14:paraId="3EE89D6F" w14:textId="77777777" w:rsidR="00607B46" w:rsidRPr="00C931F1" w:rsidRDefault="00607B46" w:rsidP="00C931F1">
            <w:pPr>
              <w:jc w:val="both"/>
              <w:rPr>
                <w:rFonts w:cs="Calibri"/>
                <w:color w:val="000000" w:themeColor="text1"/>
              </w:rPr>
            </w:pPr>
            <w:r>
              <w:rPr>
                <w:rFonts w:cs="Calibri"/>
                <w:color w:val="000000" w:themeColor="text1"/>
              </w:rPr>
              <w:t>2</w:t>
            </w:r>
          </w:p>
        </w:tc>
        <w:tc>
          <w:tcPr>
            <w:tcW w:w="0" w:type="auto"/>
          </w:tcPr>
          <w:p w14:paraId="7CEC8562" w14:textId="77777777" w:rsidR="00607B46" w:rsidRPr="00C931F1" w:rsidRDefault="00607B46" w:rsidP="00C931F1">
            <w:pPr>
              <w:jc w:val="both"/>
              <w:rPr>
                <w:rFonts w:cs="Calibri"/>
                <w:color w:val="000000" w:themeColor="text1"/>
              </w:rPr>
            </w:pPr>
            <w:r>
              <w:rPr>
                <w:rFonts w:cs="Calibri"/>
                <w:color w:val="000000" w:themeColor="text1"/>
              </w:rPr>
              <w:t>936</w:t>
            </w:r>
          </w:p>
        </w:tc>
        <w:tc>
          <w:tcPr>
            <w:tcW w:w="0" w:type="auto"/>
          </w:tcPr>
          <w:p w14:paraId="18C60D8B" w14:textId="77777777" w:rsidR="00607B46" w:rsidRPr="00C931F1" w:rsidRDefault="00607B46" w:rsidP="00F07888">
            <w:pPr>
              <w:jc w:val="both"/>
              <w:rPr>
                <w:rFonts w:cs="Calibri"/>
                <w:color w:val="000000" w:themeColor="text1"/>
              </w:rPr>
            </w:pPr>
            <w:r>
              <w:rPr>
                <w:rFonts w:cs="Calibri"/>
                <w:color w:val="000000" w:themeColor="text1"/>
              </w:rPr>
              <w:t xml:space="preserve">R 14 mil </w:t>
            </w:r>
          </w:p>
        </w:tc>
      </w:tr>
      <w:tr w:rsidR="00607B46" w:rsidRPr="00C931F1" w14:paraId="771C82AA" w14:textId="77777777" w:rsidTr="00554661">
        <w:trPr>
          <w:trHeight w:val="176"/>
        </w:trPr>
        <w:tc>
          <w:tcPr>
            <w:tcW w:w="0" w:type="auto"/>
          </w:tcPr>
          <w:p w14:paraId="525A75E6" w14:textId="77777777" w:rsidR="00607B46" w:rsidRPr="00C931F1" w:rsidRDefault="00607B46" w:rsidP="00C931F1">
            <w:pPr>
              <w:jc w:val="both"/>
              <w:rPr>
                <w:rFonts w:cs="Calibri"/>
                <w:color w:val="000000" w:themeColor="text1"/>
              </w:rPr>
            </w:pPr>
            <w:r>
              <w:rPr>
                <w:rFonts w:cs="Calibri"/>
                <w:color w:val="000000" w:themeColor="text1"/>
              </w:rPr>
              <w:t>Makhilimba</w:t>
            </w:r>
          </w:p>
        </w:tc>
        <w:tc>
          <w:tcPr>
            <w:tcW w:w="0" w:type="auto"/>
          </w:tcPr>
          <w:p w14:paraId="7369DBFC" w14:textId="77777777" w:rsidR="00607B46" w:rsidRPr="00C931F1" w:rsidRDefault="00607B46" w:rsidP="00C931F1">
            <w:pPr>
              <w:jc w:val="both"/>
              <w:rPr>
                <w:rFonts w:cs="Calibri"/>
                <w:color w:val="000000" w:themeColor="text1"/>
              </w:rPr>
            </w:pPr>
            <w:r>
              <w:rPr>
                <w:rFonts w:cs="Calibri"/>
                <w:color w:val="000000" w:themeColor="text1"/>
              </w:rPr>
              <w:t>16</w:t>
            </w:r>
          </w:p>
        </w:tc>
        <w:tc>
          <w:tcPr>
            <w:tcW w:w="0" w:type="auto"/>
          </w:tcPr>
          <w:p w14:paraId="3F293946" w14:textId="77777777" w:rsidR="00607B46" w:rsidRPr="00C931F1" w:rsidRDefault="00607B46" w:rsidP="00C931F1">
            <w:pPr>
              <w:jc w:val="both"/>
              <w:rPr>
                <w:rFonts w:cs="Calibri"/>
                <w:color w:val="000000" w:themeColor="text1"/>
              </w:rPr>
            </w:pPr>
            <w:r>
              <w:rPr>
                <w:rFonts w:cs="Calibri"/>
                <w:color w:val="000000" w:themeColor="text1"/>
              </w:rPr>
              <w:t>298</w:t>
            </w:r>
          </w:p>
        </w:tc>
        <w:tc>
          <w:tcPr>
            <w:tcW w:w="0" w:type="auto"/>
          </w:tcPr>
          <w:p w14:paraId="2B870D78" w14:textId="77777777" w:rsidR="00607B46" w:rsidRPr="00C931F1" w:rsidRDefault="00607B46" w:rsidP="00C931F1">
            <w:pPr>
              <w:jc w:val="both"/>
              <w:rPr>
                <w:rFonts w:cs="Calibri"/>
                <w:color w:val="000000" w:themeColor="text1"/>
              </w:rPr>
            </w:pPr>
            <w:r>
              <w:rPr>
                <w:rFonts w:cs="Calibri"/>
                <w:color w:val="000000" w:themeColor="text1"/>
              </w:rPr>
              <w:t>R 6.5mil</w:t>
            </w:r>
          </w:p>
        </w:tc>
      </w:tr>
      <w:tr w:rsidR="00607B46" w:rsidRPr="00C931F1" w14:paraId="366C9DA9" w14:textId="77777777" w:rsidTr="00554661">
        <w:trPr>
          <w:trHeight w:val="264"/>
        </w:trPr>
        <w:tc>
          <w:tcPr>
            <w:tcW w:w="0" w:type="auto"/>
          </w:tcPr>
          <w:p w14:paraId="1BCDBE4E" w14:textId="77777777" w:rsidR="00607B46" w:rsidRDefault="00607B46" w:rsidP="000A0231">
            <w:pPr>
              <w:jc w:val="both"/>
              <w:rPr>
                <w:rFonts w:cs="Calibri"/>
                <w:color w:val="000000" w:themeColor="text1"/>
              </w:rPr>
            </w:pPr>
            <w:r w:rsidRPr="00CD76F6">
              <w:rPr>
                <w:rFonts w:cs="Calibri"/>
                <w:color w:val="000000" w:themeColor="text1"/>
              </w:rPr>
              <w:t>Gingindlovu housing project</w:t>
            </w:r>
            <w:r w:rsidRPr="00CD76F6">
              <w:rPr>
                <w:rFonts w:cs="Calibri"/>
                <w:color w:val="000000" w:themeColor="text1"/>
              </w:rPr>
              <w:tab/>
            </w:r>
          </w:p>
        </w:tc>
        <w:tc>
          <w:tcPr>
            <w:tcW w:w="0" w:type="auto"/>
          </w:tcPr>
          <w:p w14:paraId="3F0A6444" w14:textId="77777777" w:rsidR="00607B46" w:rsidRDefault="00607B46" w:rsidP="000A0231">
            <w:pPr>
              <w:jc w:val="both"/>
              <w:rPr>
                <w:rFonts w:cs="Calibri"/>
                <w:color w:val="000000" w:themeColor="text1"/>
              </w:rPr>
            </w:pPr>
            <w:r w:rsidRPr="00CD76F6">
              <w:rPr>
                <w:rFonts w:cs="Calibri"/>
                <w:color w:val="000000" w:themeColor="text1"/>
              </w:rPr>
              <w:t>18</w:t>
            </w:r>
            <w:r w:rsidRPr="00CD76F6">
              <w:rPr>
                <w:rFonts w:cs="Calibri"/>
                <w:color w:val="000000" w:themeColor="text1"/>
              </w:rPr>
              <w:tab/>
            </w:r>
            <w:r w:rsidRPr="00CD76F6">
              <w:rPr>
                <w:rFonts w:cs="Calibri"/>
                <w:color w:val="000000" w:themeColor="text1"/>
              </w:rPr>
              <w:tab/>
            </w:r>
          </w:p>
        </w:tc>
        <w:tc>
          <w:tcPr>
            <w:tcW w:w="0" w:type="auto"/>
          </w:tcPr>
          <w:p w14:paraId="0CB56BCF" w14:textId="77777777" w:rsidR="00607B46" w:rsidRDefault="00607B46" w:rsidP="00C931F1">
            <w:pPr>
              <w:jc w:val="both"/>
              <w:rPr>
                <w:rFonts w:cs="Calibri"/>
                <w:color w:val="000000" w:themeColor="text1"/>
              </w:rPr>
            </w:pPr>
            <w:r w:rsidRPr="00CD76F6">
              <w:rPr>
                <w:rFonts w:cs="Calibri"/>
                <w:color w:val="000000" w:themeColor="text1"/>
              </w:rPr>
              <w:t>143</w:t>
            </w:r>
            <w:r w:rsidRPr="00CD76F6">
              <w:rPr>
                <w:rFonts w:cs="Calibri"/>
                <w:color w:val="000000" w:themeColor="text1"/>
              </w:rPr>
              <w:tab/>
            </w:r>
          </w:p>
        </w:tc>
        <w:tc>
          <w:tcPr>
            <w:tcW w:w="0" w:type="auto"/>
          </w:tcPr>
          <w:p w14:paraId="26F59547" w14:textId="77777777" w:rsidR="00607B46" w:rsidRDefault="00607B46" w:rsidP="00C931F1">
            <w:pPr>
              <w:jc w:val="both"/>
              <w:rPr>
                <w:rFonts w:cs="Calibri"/>
                <w:color w:val="000000" w:themeColor="text1"/>
              </w:rPr>
            </w:pPr>
            <w:r w:rsidRPr="00CD76F6">
              <w:rPr>
                <w:rFonts w:cs="Calibri"/>
                <w:color w:val="000000" w:themeColor="text1"/>
              </w:rPr>
              <w:t>R 1.5 mil</w:t>
            </w:r>
          </w:p>
        </w:tc>
      </w:tr>
      <w:tr w:rsidR="0053273D" w:rsidRPr="00C931F1" w14:paraId="5ED1A8FB" w14:textId="77777777" w:rsidTr="00554661">
        <w:trPr>
          <w:trHeight w:val="264"/>
        </w:trPr>
        <w:tc>
          <w:tcPr>
            <w:tcW w:w="0" w:type="auto"/>
          </w:tcPr>
          <w:p w14:paraId="408EB4C5" w14:textId="5F4E1A9F" w:rsidR="0053273D" w:rsidRPr="00CD76F6" w:rsidRDefault="0053273D" w:rsidP="000A0231">
            <w:pPr>
              <w:jc w:val="both"/>
              <w:rPr>
                <w:rFonts w:cs="Calibri"/>
                <w:color w:val="000000" w:themeColor="text1"/>
              </w:rPr>
            </w:pPr>
            <w:r>
              <w:rPr>
                <w:rFonts w:cs="Calibri"/>
                <w:color w:val="000000" w:themeColor="text1"/>
              </w:rPr>
              <w:t>Izingwenya #1,2 and 3</w:t>
            </w:r>
          </w:p>
        </w:tc>
        <w:tc>
          <w:tcPr>
            <w:tcW w:w="0" w:type="auto"/>
          </w:tcPr>
          <w:p w14:paraId="3DB9C20F" w14:textId="52602452" w:rsidR="0053273D" w:rsidRPr="00CD76F6" w:rsidRDefault="0053273D" w:rsidP="000A0231">
            <w:pPr>
              <w:jc w:val="both"/>
              <w:rPr>
                <w:rFonts w:cs="Calibri"/>
                <w:color w:val="000000" w:themeColor="text1"/>
              </w:rPr>
            </w:pPr>
            <w:r>
              <w:rPr>
                <w:rFonts w:cs="Calibri"/>
                <w:color w:val="000000" w:themeColor="text1"/>
              </w:rPr>
              <w:t>21</w:t>
            </w:r>
          </w:p>
        </w:tc>
        <w:tc>
          <w:tcPr>
            <w:tcW w:w="0" w:type="auto"/>
          </w:tcPr>
          <w:p w14:paraId="1A5680C9" w14:textId="4D5E4078" w:rsidR="0053273D" w:rsidRPr="00CD76F6" w:rsidRDefault="0053273D" w:rsidP="00C931F1">
            <w:pPr>
              <w:jc w:val="both"/>
              <w:rPr>
                <w:rFonts w:cs="Calibri"/>
                <w:color w:val="000000" w:themeColor="text1"/>
              </w:rPr>
            </w:pPr>
            <w:r>
              <w:rPr>
                <w:rFonts w:cs="Calibri"/>
                <w:color w:val="000000" w:themeColor="text1"/>
              </w:rPr>
              <w:t>580</w:t>
            </w:r>
          </w:p>
        </w:tc>
        <w:tc>
          <w:tcPr>
            <w:tcW w:w="0" w:type="auto"/>
          </w:tcPr>
          <w:p w14:paraId="03974F81" w14:textId="2937D98C" w:rsidR="0053273D" w:rsidRPr="00CD76F6" w:rsidRDefault="00F6543C" w:rsidP="00C931F1">
            <w:pPr>
              <w:jc w:val="both"/>
              <w:rPr>
                <w:rFonts w:cs="Calibri"/>
                <w:color w:val="000000" w:themeColor="text1"/>
              </w:rPr>
            </w:pPr>
            <w:r w:rsidRPr="00F6543C">
              <w:rPr>
                <w:rFonts w:cs="Calibri"/>
                <w:color w:val="000000" w:themeColor="text1"/>
                <w:highlight w:val="yellow"/>
              </w:rPr>
              <w:t>R 6 mil</w:t>
            </w:r>
          </w:p>
        </w:tc>
      </w:tr>
    </w:tbl>
    <w:p w14:paraId="7FE92033" w14:textId="78D9CE12" w:rsidR="0083009A" w:rsidRDefault="00677207" w:rsidP="002F62F0">
      <w:pPr>
        <w:pStyle w:val="Caption"/>
      </w:pPr>
      <w:bookmarkStart w:id="306" w:name="_Toc510622288"/>
      <w:r>
        <w:t xml:space="preserve">Table </w:t>
      </w:r>
      <w:r w:rsidR="00B918A6">
        <w:fldChar w:fldCharType="begin"/>
      </w:r>
      <w:r w:rsidR="00B918A6">
        <w:instrText xml:space="preserve"> SEQ Table \* ARABIC </w:instrText>
      </w:r>
      <w:r w:rsidR="00B918A6">
        <w:fldChar w:fldCharType="separate"/>
      </w:r>
      <w:r w:rsidR="0067023A">
        <w:rPr>
          <w:noProof/>
        </w:rPr>
        <w:t>38</w:t>
      </w:r>
      <w:r w:rsidR="00B918A6">
        <w:rPr>
          <w:noProof/>
        </w:rPr>
        <w:fldChar w:fldCharType="end"/>
      </w:r>
      <w:r>
        <w:t xml:space="preserve">: </w:t>
      </w:r>
      <w:r w:rsidR="00C931F1" w:rsidRPr="00677207">
        <w:t>Completed Electrifi</w:t>
      </w:r>
      <w:r w:rsidR="00F6543C">
        <w:t>cation Projects</w:t>
      </w:r>
      <w:bookmarkEnd w:id="306"/>
      <w:r w:rsidR="00F6543C">
        <w:t xml:space="preserve"> </w:t>
      </w:r>
    </w:p>
    <w:p w14:paraId="6EE0D220" w14:textId="77777777" w:rsidR="000A0231" w:rsidRDefault="00EA5403" w:rsidP="000A0231">
      <w:r w:rsidRPr="00EA5403">
        <w:rPr>
          <w:noProof/>
        </w:rPr>
        <w:drawing>
          <wp:inline distT="0" distB="0" distL="0" distR="0" wp14:anchorId="14871697" wp14:editId="2C45AB6F">
            <wp:extent cx="6363649" cy="3152851"/>
            <wp:effectExtent l="0" t="0" r="0" b="0"/>
            <wp:docPr id="28681" name="Picture 28681" descr="C:\Users\siphephelok\Desktop\maps\MlalaziElectric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descr="C:\Users\siphephelok\Desktop\maps\MlalaziElectricity.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377105" cy="3159518"/>
                    </a:xfrm>
                    <a:prstGeom prst="rect">
                      <a:avLst/>
                    </a:prstGeom>
                    <a:noFill/>
                    <a:ln>
                      <a:noFill/>
                    </a:ln>
                  </pic:spPr>
                </pic:pic>
              </a:graphicData>
            </a:graphic>
          </wp:inline>
        </w:drawing>
      </w:r>
    </w:p>
    <w:p w14:paraId="41EA0F29" w14:textId="77777777" w:rsidR="000A0231" w:rsidRDefault="00EA5403" w:rsidP="002F62F0">
      <w:pPr>
        <w:pStyle w:val="Caption"/>
      </w:pPr>
      <w:bookmarkStart w:id="307" w:name="_Toc481468931"/>
      <w:r>
        <w:t xml:space="preserve">Map </w:t>
      </w:r>
      <w:r w:rsidR="00B918A6">
        <w:fldChar w:fldCharType="begin"/>
      </w:r>
      <w:r w:rsidR="00B918A6">
        <w:instrText xml:space="preserve"> SEQ Map \* ARABIC </w:instrText>
      </w:r>
      <w:r w:rsidR="00B918A6">
        <w:fldChar w:fldCharType="separate"/>
      </w:r>
      <w:r w:rsidR="0067023A">
        <w:rPr>
          <w:noProof/>
        </w:rPr>
        <w:t>19</w:t>
      </w:r>
      <w:r w:rsidR="00B918A6">
        <w:rPr>
          <w:noProof/>
        </w:rPr>
        <w:fldChar w:fldCharType="end"/>
      </w:r>
      <w:r>
        <w:t>: Electrification Map</w:t>
      </w:r>
      <w:bookmarkEnd w:id="307"/>
    </w:p>
    <w:p w14:paraId="4B546359" w14:textId="7A93C02D" w:rsidR="000A0231" w:rsidRPr="000A0231" w:rsidRDefault="00A719BE" w:rsidP="000A0231">
      <w:r>
        <w:rPr>
          <w:noProof/>
        </w:rPr>
        <w:drawing>
          <wp:inline distT="0" distB="0" distL="0" distR="0" wp14:anchorId="5A77216A" wp14:editId="09F441FA">
            <wp:extent cx="6157595" cy="383476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57595" cy="3834765"/>
                    </a:xfrm>
                    <a:prstGeom prst="rect">
                      <a:avLst/>
                    </a:prstGeom>
                    <a:noFill/>
                  </pic:spPr>
                </pic:pic>
              </a:graphicData>
            </a:graphic>
          </wp:inline>
        </w:drawing>
      </w:r>
    </w:p>
    <w:p w14:paraId="07CE99E5" w14:textId="23A0B73D" w:rsidR="00A719BE" w:rsidRDefault="00A719BE" w:rsidP="00A719BE">
      <w:pPr>
        <w:pStyle w:val="Caption"/>
      </w:pPr>
      <w:bookmarkStart w:id="308" w:name="_Toc510622289"/>
      <w:r>
        <w:t xml:space="preserve">Table </w:t>
      </w:r>
      <w:r w:rsidR="00B918A6">
        <w:fldChar w:fldCharType="begin"/>
      </w:r>
      <w:r w:rsidR="00B918A6">
        <w:instrText xml:space="preserve"> SEQ Table \* ARABIC </w:instrText>
      </w:r>
      <w:r w:rsidR="00B918A6">
        <w:fldChar w:fldCharType="separate"/>
      </w:r>
      <w:r w:rsidR="0067023A">
        <w:rPr>
          <w:noProof/>
        </w:rPr>
        <w:t>39</w:t>
      </w:r>
      <w:r w:rsidR="00B918A6">
        <w:rPr>
          <w:noProof/>
        </w:rPr>
        <w:fldChar w:fldCharType="end"/>
      </w:r>
      <w:r>
        <w:t>: Eskom Network Constraints</w:t>
      </w:r>
      <w:bookmarkEnd w:id="308"/>
      <w:r>
        <w:t xml:space="preserve"> </w:t>
      </w:r>
    </w:p>
    <w:p w14:paraId="7F7423CC" w14:textId="77777777" w:rsidR="004301E7" w:rsidRPr="00A11005" w:rsidRDefault="004301E7" w:rsidP="00750180">
      <w:pPr>
        <w:pStyle w:val="Heading3"/>
        <w:numPr>
          <w:ilvl w:val="2"/>
          <w:numId w:val="29"/>
        </w:numPr>
      </w:pPr>
      <w:bookmarkStart w:id="309" w:name="_Toc510706623"/>
      <w:r w:rsidRPr="00A11005">
        <w:t>ACCESS TO COMMUNITY FACILITIES</w:t>
      </w:r>
      <w:bookmarkEnd w:id="309"/>
    </w:p>
    <w:p w14:paraId="258E3A7A" w14:textId="77777777" w:rsidR="00173B5E" w:rsidRPr="0083009A" w:rsidRDefault="004301E7" w:rsidP="000A0231">
      <w:pPr>
        <w:spacing w:after="0" w:line="240" w:lineRule="auto"/>
        <w:jc w:val="both"/>
        <w:sectPr w:rsidR="00173B5E" w:rsidRPr="0083009A" w:rsidSect="00F04167">
          <w:pgSz w:w="11907" w:h="16839" w:code="9"/>
          <w:pgMar w:top="851" w:right="1134" w:bottom="851" w:left="1134" w:header="720" w:footer="720" w:gutter="0"/>
          <w:cols w:space="720"/>
          <w:docGrid w:linePitch="360"/>
        </w:sectPr>
      </w:pPr>
      <w:r>
        <w:t>In this sub-section, accessibility to social facilities and services, i.e. tribal courts, community halls, pension payout points and sport facilities are provided.  The rationale behind this analysis is that (1) areas that have poor access to community facilities are shown in order to guide future development of such facilities.  A further critical criterion is to consider the need for such facilities and services in relation to population densities because any such provision in community/social facility related needs has the potential to address the need of a relativ</w:t>
      </w:r>
      <w:r w:rsidR="00173B5E">
        <w:t>ely large beneficiary community</w:t>
      </w:r>
    </w:p>
    <w:p w14:paraId="5C662D6A" w14:textId="77777777" w:rsidR="001D294E" w:rsidRPr="007E628D" w:rsidRDefault="001D294E" w:rsidP="00750180">
      <w:pPr>
        <w:pStyle w:val="Heading4"/>
        <w:numPr>
          <w:ilvl w:val="3"/>
          <w:numId w:val="29"/>
        </w:numPr>
        <w:rPr>
          <w:highlight w:val="yellow"/>
        </w:rPr>
      </w:pPr>
      <w:bookmarkStart w:id="310" w:name="_Toc389739893"/>
      <w:r w:rsidRPr="007E628D">
        <w:rPr>
          <w:highlight w:val="yellow"/>
        </w:rPr>
        <w:t>Access to Cemeteries</w:t>
      </w:r>
      <w:bookmarkEnd w:id="310"/>
    </w:p>
    <w:p w14:paraId="56E92634" w14:textId="77777777" w:rsidR="00A11005" w:rsidRDefault="00B918A6" w:rsidP="00A11005">
      <w:pPr>
        <w:jc w:val="both"/>
        <w:outlineLvl w:val="0"/>
      </w:pPr>
      <w:bookmarkStart w:id="311" w:name="_Toc389739894"/>
      <w:r>
        <w:rPr>
          <w:noProof/>
          <w:szCs w:val="20"/>
          <w:lang w:val="en-ZA" w:eastAsia="en-ZA"/>
        </w:rPr>
        <w:pict w14:anchorId="7B9DD70D">
          <v:shape id="_x0000_s1046" type="#_x0000_t75" style="position:absolute;left:0;text-align:left;margin-left:155.45pt;margin-top:31pt;width:571.4pt;height:387.8pt;z-index:251701248;mso-position-horizontal-relative:margin;mso-position-vertical-relative:margin">
            <v:imagedata r:id="rId60" o:title=""/>
            <w10:wrap type="square" anchorx="margin" anchory="margin"/>
          </v:shape>
        </w:pict>
      </w:r>
    </w:p>
    <w:p w14:paraId="496B8BE8" w14:textId="77777777" w:rsidR="001D294E" w:rsidRPr="00881795" w:rsidRDefault="00A11005" w:rsidP="00A11005">
      <w:pPr>
        <w:pStyle w:val="Caption"/>
      </w:pPr>
      <w:bookmarkStart w:id="312" w:name="_Toc481468932"/>
      <w:r>
        <w:t xml:space="preserve">Map </w:t>
      </w:r>
      <w:r w:rsidR="00B918A6">
        <w:fldChar w:fldCharType="begin"/>
      </w:r>
      <w:r w:rsidR="00B918A6">
        <w:instrText xml:space="preserve"> SEQ Map \* ARABIC </w:instrText>
      </w:r>
      <w:r w:rsidR="00B918A6">
        <w:fldChar w:fldCharType="separate"/>
      </w:r>
      <w:r w:rsidR="0067023A">
        <w:rPr>
          <w:noProof/>
        </w:rPr>
        <w:t>20</w:t>
      </w:r>
      <w:r w:rsidR="00B918A6">
        <w:rPr>
          <w:noProof/>
        </w:rPr>
        <w:fldChar w:fldCharType="end"/>
      </w:r>
      <w:r>
        <w:t xml:space="preserve">: </w:t>
      </w:r>
      <w:r w:rsidR="001D294E" w:rsidRPr="004301E7">
        <w:t>Acc</w:t>
      </w:r>
      <w:r w:rsidR="004301E7" w:rsidRPr="004301E7">
        <w:rPr>
          <w:noProof/>
        </w:rPr>
        <mc:AlternateContent>
          <mc:Choice Requires="wps">
            <w:drawing>
              <wp:anchor distT="0" distB="0" distL="114300" distR="114300" simplePos="0" relativeHeight="251686400" behindDoc="0" locked="0" layoutInCell="1" allowOverlap="1" wp14:anchorId="7150144B" wp14:editId="282763C7">
                <wp:simplePos x="0" y="0"/>
                <wp:positionH relativeFrom="column">
                  <wp:posOffset>-288925</wp:posOffset>
                </wp:positionH>
                <wp:positionV relativeFrom="paragraph">
                  <wp:posOffset>356870</wp:posOffset>
                </wp:positionV>
                <wp:extent cx="2087422" cy="4742120"/>
                <wp:effectExtent l="0" t="0" r="8255" b="1905"/>
                <wp:wrapNone/>
                <wp:docPr id="80"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87422" cy="4742120"/>
                        </a:xfrm>
                        <a:prstGeom prst="rect">
                          <a:avLst/>
                        </a:prstGeom>
                        <a:solidFill>
                          <a:srgbClr val="FFFFFF"/>
                        </a:solidFill>
                        <a:ln w="28575">
                          <a:noFill/>
                          <a:miter lim="800000"/>
                          <a:headEnd/>
                          <a:tailEnd/>
                        </a:ln>
                      </wps:spPr>
                      <wps:txbx>
                        <w:txbxContent>
                          <w:p w14:paraId="1251AD78" w14:textId="77777777" w:rsidR="0067023A" w:rsidRDefault="0067023A" w:rsidP="004301E7">
                            <w:pPr>
                              <w:jc w:val="both"/>
                              <w:rPr>
                                <w:szCs w:val="20"/>
                              </w:rPr>
                            </w:pPr>
                            <w:r>
                              <w:rPr>
                                <w:szCs w:val="20"/>
                              </w:rPr>
                              <w:t>Community Cemeteries are located in the north-eastern part of the Municipal Area, as well as in the area between Mtunzini and Gingindlovu and from Gingindlovu to Eshowe (including the area surrounding Eshowe).</w:t>
                            </w:r>
                          </w:p>
                          <w:p w14:paraId="62789ABA" w14:textId="77777777" w:rsidR="0067023A" w:rsidRDefault="0067023A" w:rsidP="004301E7">
                            <w:pPr>
                              <w:jc w:val="both"/>
                              <w:rPr>
                                <w:szCs w:val="20"/>
                              </w:rPr>
                            </w:pPr>
                            <w:r>
                              <w:rPr>
                                <w:szCs w:val="20"/>
                              </w:rPr>
                              <w:t>It must however be realised the community cemeteries are more prone to exist in some areas, whilst not in other areas, due to cultural preferences. Communities are however being encouraged to make use of municipal cemeteries due to the threats to the environment associated with backyard burials</w:t>
                            </w:r>
                          </w:p>
                          <w:p w14:paraId="47D4AC02" w14:textId="77777777" w:rsidR="0067023A" w:rsidRPr="00CF7772" w:rsidRDefault="0067023A" w:rsidP="004301E7">
                            <w:pPr>
                              <w:jc w:val="both"/>
                              <w:rPr>
                                <w:szCs w:val="20"/>
                              </w:rPr>
                            </w:pPr>
                            <w:r>
                              <w:rPr>
                                <w:szCs w:val="20"/>
                              </w:rPr>
                              <w:t>The municipality is also looking into the expansion of various cemeteries to increase capacity in order to meet the demands of burial sites within the municipality</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7150144B" id="Text Box 17" o:spid="_x0000_s1028" type="#_x0000_t202" style="position:absolute;margin-left:-22.75pt;margin-top:28.1pt;width:164.35pt;height:373.4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" stroked="f" strokeweight="2.25pt">
                <v:path arrowok="t"/>
                <v:textbox>
                  <w:txbxContent>
                    <w:p w14:paraId="1251AD78" w14:textId="77777777" w:rsidR="0067023A" w:rsidRDefault="0067023A" w:rsidP="004301E7">
                      <w:pPr>
                        <w:jc w:val="both"/>
                        <w:rPr>
                          <w:szCs w:val="20"/>
                        </w:rPr>
                      </w:pPr>
                      <w:r>
                        <w:rPr>
                          <w:szCs w:val="20"/>
                        </w:rPr>
                        <w:t>Community Cemeteries are located in the north-eastern part of the Municipal Area, as well as in the area between Mtunzini and Gingindlovu and from Gingindlovu to Eshowe (including the area surrounding Eshowe).</w:t>
                      </w:r>
                    </w:p>
                    <w:p w14:paraId="62789ABA" w14:textId="77777777" w:rsidR="0067023A" w:rsidRDefault="0067023A" w:rsidP="004301E7">
                      <w:pPr>
                        <w:jc w:val="both"/>
                        <w:rPr>
                          <w:szCs w:val="20"/>
                        </w:rPr>
                      </w:pPr>
                      <w:r>
                        <w:rPr>
                          <w:szCs w:val="20"/>
                        </w:rPr>
                        <w:t>It must however be realised the community cemeteries are more prone to exist in some areas, whilst not in other areas, due to cultural preferences. Communities are however being encouraged to make use of municipal cemeteries due to the threats to the environment associated with backyard burials</w:t>
                      </w:r>
                    </w:p>
                    <w:p w14:paraId="47D4AC02" w14:textId="77777777" w:rsidR="0067023A" w:rsidRPr="00CF7772" w:rsidRDefault="0067023A" w:rsidP="004301E7">
                      <w:pPr>
                        <w:jc w:val="both"/>
                        <w:rPr>
                          <w:szCs w:val="20"/>
                        </w:rPr>
                      </w:pPr>
                      <w:r>
                        <w:rPr>
                          <w:szCs w:val="20"/>
                        </w:rPr>
                        <w:t>The municipality is also looking into the expansion of various cemeteries to increase capacity in order to meet the demands of burial sites within the municipality</w:t>
                      </w:r>
                    </w:p>
                  </w:txbxContent>
                </v:textbox>
              </v:shape>
            </w:pict>
          </mc:Fallback>
        </mc:AlternateContent>
      </w:r>
      <w:r w:rsidR="001D294E" w:rsidRPr="004301E7">
        <w:t>ess to Cemeteries</w:t>
      </w:r>
      <w:bookmarkEnd w:id="311"/>
      <w:bookmarkEnd w:id="312"/>
    </w:p>
    <w:p w14:paraId="3DE31627" w14:textId="77777777" w:rsidR="001D294E" w:rsidRPr="00881795" w:rsidRDefault="001D294E" w:rsidP="00395313">
      <w:pPr>
        <w:spacing w:line="288" w:lineRule="auto"/>
        <w:jc w:val="both"/>
        <w:rPr>
          <w:szCs w:val="20"/>
        </w:rPr>
        <w:sectPr w:rsidR="001D294E" w:rsidRPr="00881795" w:rsidSect="000A2E48">
          <w:pgSz w:w="16839" w:h="11907" w:orient="landscape" w:code="9"/>
          <w:pgMar w:top="1134" w:right="851" w:bottom="1134" w:left="851" w:header="720" w:footer="720" w:gutter="0"/>
          <w:cols w:space="720"/>
          <w:docGrid w:linePitch="360"/>
        </w:sectPr>
      </w:pPr>
    </w:p>
    <w:p w14:paraId="4BD5ABF6" w14:textId="77777777" w:rsidR="001D294E" w:rsidRPr="00F8472B" w:rsidRDefault="001D294E" w:rsidP="00750180">
      <w:pPr>
        <w:pStyle w:val="Heading4"/>
        <w:numPr>
          <w:ilvl w:val="3"/>
          <w:numId w:val="29"/>
        </w:numPr>
      </w:pPr>
      <w:bookmarkStart w:id="313" w:name="_Toc389739897"/>
      <w:r w:rsidRPr="00F8472B">
        <w:t>Courts</w:t>
      </w:r>
      <w:bookmarkEnd w:id="313"/>
    </w:p>
    <w:p w14:paraId="5F32D561" w14:textId="77777777" w:rsidR="001D294E" w:rsidRPr="00881795" w:rsidRDefault="001D294E" w:rsidP="002F62F0">
      <w:pPr>
        <w:pStyle w:val="Caption"/>
      </w:pPr>
      <w:bookmarkStart w:id="314" w:name="_Toc325627817"/>
      <w:bookmarkStart w:id="315" w:name="_Toc389739898"/>
      <w:bookmarkStart w:id="316" w:name="_Toc481468933"/>
      <w:r w:rsidRPr="00881795">
        <w:t xml:space="preserve">Map </w:t>
      </w:r>
      <w:r w:rsidR="00D55BDA" w:rsidRPr="00881795">
        <w:fldChar w:fldCharType="begin"/>
      </w:r>
      <w:r w:rsidRPr="00881795">
        <w:instrText xml:space="preserve"> SEQ Map \* ARABIC </w:instrText>
      </w:r>
      <w:r w:rsidR="00D55BDA" w:rsidRPr="00881795">
        <w:fldChar w:fldCharType="separate"/>
      </w:r>
      <w:r w:rsidR="0067023A">
        <w:rPr>
          <w:noProof/>
        </w:rPr>
        <w:t>21</w:t>
      </w:r>
      <w:r w:rsidR="00D55BDA" w:rsidRPr="00881795">
        <w:fldChar w:fldCharType="end"/>
      </w:r>
      <w:r w:rsidRPr="00881795">
        <w:t>: Access to Courts</w:t>
      </w:r>
      <w:bookmarkEnd w:id="314"/>
      <w:bookmarkEnd w:id="315"/>
      <w:bookmarkEnd w:id="316"/>
    </w:p>
    <w:p w14:paraId="3C30E259" w14:textId="77777777" w:rsidR="001D294E" w:rsidRPr="00881795" w:rsidRDefault="002E545D" w:rsidP="00395313">
      <w:pPr>
        <w:spacing w:after="0"/>
        <w:jc w:val="both"/>
        <w:rPr>
          <w:rFonts w:cs="Calibri"/>
          <w:color w:val="000000" w:themeColor="text1"/>
          <w:lang w:eastAsia="en-ZA"/>
        </w:rPr>
      </w:pPr>
      <w:r w:rsidRPr="00881795">
        <w:rPr>
          <w:rFonts w:cs="Calibri"/>
          <w:color w:val="000000" w:themeColor="text1"/>
          <w:lang w:eastAsia="en-ZA"/>
        </w:rPr>
        <w:object w:dxaOrig="17866" w:dyaOrig="12630" w14:anchorId="0A2B9DBE">
          <v:shape id="_x0000_i1029" type="#_x0000_t75" style="width:10in;height:417.75pt" o:ole="">
            <v:imagedata r:id="rId61" o:title=""/>
          </v:shape>
          <o:OLEObject Type="Embed" ProgID="AcroExch.Document.11" ShapeID="_x0000_i1029" DrawAspect="Content" ObjectID="_1587449252" r:id="rId62"/>
        </w:object>
      </w:r>
      <w:r w:rsidR="001D294E" w:rsidRPr="00881795">
        <w:rPr>
          <w:rFonts w:cs="Calibri"/>
          <w:color w:val="000000" w:themeColor="text1"/>
          <w:lang w:eastAsia="en-ZA"/>
        </w:rPr>
        <w:br w:type="page"/>
      </w:r>
    </w:p>
    <w:p w14:paraId="3A6850B1" w14:textId="77777777" w:rsidR="001D294E" w:rsidRPr="00F8472B" w:rsidRDefault="001D294E" w:rsidP="00750180">
      <w:pPr>
        <w:pStyle w:val="Heading4"/>
        <w:numPr>
          <w:ilvl w:val="3"/>
          <w:numId w:val="29"/>
        </w:numPr>
      </w:pPr>
      <w:bookmarkStart w:id="317" w:name="_Toc389739899"/>
      <w:r w:rsidRPr="00F8472B">
        <w:t xml:space="preserve">Community </w:t>
      </w:r>
      <w:r w:rsidR="00A25189" w:rsidRPr="00F8472B">
        <w:t>Centers</w:t>
      </w:r>
      <w:r w:rsidRPr="00F8472B">
        <w:t xml:space="preserve"> / Halls</w:t>
      </w:r>
      <w:bookmarkEnd w:id="317"/>
    </w:p>
    <w:p w14:paraId="4EEC6067" w14:textId="77777777" w:rsidR="001D294E" w:rsidRPr="00881795" w:rsidRDefault="001D294E" w:rsidP="002F62F0">
      <w:pPr>
        <w:pStyle w:val="Caption"/>
      </w:pPr>
      <w:bookmarkStart w:id="318" w:name="_Toc325627820"/>
      <w:bookmarkStart w:id="319" w:name="_Toc389739900"/>
      <w:bookmarkStart w:id="320" w:name="_Toc481468934"/>
      <w:r w:rsidRPr="00881795">
        <w:t xml:space="preserve">Map </w:t>
      </w:r>
      <w:r w:rsidR="00D55BDA" w:rsidRPr="00881795">
        <w:fldChar w:fldCharType="begin"/>
      </w:r>
      <w:r w:rsidRPr="00881795">
        <w:instrText xml:space="preserve"> SEQ Map \* ARABIC </w:instrText>
      </w:r>
      <w:r w:rsidR="00D55BDA" w:rsidRPr="00881795">
        <w:fldChar w:fldCharType="separate"/>
      </w:r>
      <w:r w:rsidR="0067023A">
        <w:rPr>
          <w:noProof/>
        </w:rPr>
        <w:t>22</w:t>
      </w:r>
      <w:r w:rsidR="00D55BDA" w:rsidRPr="00881795">
        <w:fldChar w:fldCharType="end"/>
      </w:r>
      <w:r w:rsidRPr="00881795">
        <w:t xml:space="preserve">: Access to Community </w:t>
      </w:r>
      <w:r w:rsidR="00A25189" w:rsidRPr="00881795">
        <w:t>Centers</w:t>
      </w:r>
      <w:r w:rsidRPr="00881795">
        <w:t xml:space="preserve"> / Halls</w:t>
      </w:r>
      <w:bookmarkEnd w:id="318"/>
      <w:bookmarkEnd w:id="319"/>
      <w:bookmarkEnd w:id="320"/>
    </w:p>
    <w:p w14:paraId="5D3B41E8" w14:textId="77777777" w:rsidR="001D294E" w:rsidRPr="00881795" w:rsidRDefault="00434E17" w:rsidP="00395313">
      <w:pPr>
        <w:spacing w:after="0"/>
        <w:jc w:val="both"/>
        <w:rPr>
          <w:rFonts w:cs="Calibri"/>
          <w:color w:val="000000" w:themeColor="text1"/>
        </w:rPr>
      </w:pPr>
      <w:r w:rsidRPr="00881795">
        <w:rPr>
          <w:rFonts w:cs="Calibri"/>
          <w:color w:val="000000" w:themeColor="text1"/>
        </w:rPr>
        <w:object w:dxaOrig="17865" w:dyaOrig="12630" w14:anchorId="464F2A56">
          <v:shape id="_x0000_i1030" type="#_x0000_t75" style="width:10in;height:417.75pt" o:ole="">
            <v:imagedata r:id="rId63" o:title=""/>
          </v:shape>
          <o:OLEObject Type="Embed" ProgID="AcroExch.Document.11" ShapeID="_x0000_i1030" DrawAspect="Content" ObjectID="_1587449253" r:id="rId64"/>
        </w:object>
      </w:r>
      <w:r w:rsidR="001D294E" w:rsidRPr="00881795">
        <w:rPr>
          <w:rFonts w:cs="Calibri"/>
          <w:color w:val="000000" w:themeColor="text1"/>
        </w:rPr>
        <w:br w:type="page"/>
      </w:r>
    </w:p>
    <w:p w14:paraId="455C501A" w14:textId="77777777" w:rsidR="001D294E" w:rsidRPr="00F8472B" w:rsidRDefault="001D294E" w:rsidP="00750180">
      <w:pPr>
        <w:pStyle w:val="Heading4"/>
        <w:numPr>
          <w:ilvl w:val="3"/>
          <w:numId w:val="29"/>
        </w:numPr>
      </w:pPr>
      <w:bookmarkStart w:id="321" w:name="_Toc389739901"/>
      <w:r w:rsidRPr="00F8472B">
        <w:t>Pension Pay Points</w:t>
      </w:r>
      <w:bookmarkEnd w:id="321"/>
    </w:p>
    <w:p w14:paraId="0179C1BA" w14:textId="77777777" w:rsidR="001D294E" w:rsidRPr="00881795" w:rsidRDefault="001D294E" w:rsidP="002F62F0">
      <w:pPr>
        <w:pStyle w:val="Caption"/>
      </w:pPr>
      <w:bookmarkStart w:id="322" w:name="_Toc325627822"/>
      <w:bookmarkStart w:id="323" w:name="_Toc389739902"/>
      <w:bookmarkStart w:id="324" w:name="_Toc481468935"/>
      <w:r w:rsidRPr="00881795">
        <w:t xml:space="preserve">Map </w:t>
      </w:r>
      <w:r w:rsidR="00D55BDA" w:rsidRPr="00881795">
        <w:fldChar w:fldCharType="begin"/>
      </w:r>
      <w:r w:rsidRPr="00881795">
        <w:instrText xml:space="preserve"> SEQ Map \* ARABIC </w:instrText>
      </w:r>
      <w:r w:rsidR="00D55BDA" w:rsidRPr="00881795">
        <w:fldChar w:fldCharType="separate"/>
      </w:r>
      <w:r w:rsidR="0067023A">
        <w:rPr>
          <w:noProof/>
        </w:rPr>
        <w:t>23</w:t>
      </w:r>
      <w:r w:rsidR="00D55BDA" w:rsidRPr="00881795">
        <w:fldChar w:fldCharType="end"/>
      </w:r>
      <w:r w:rsidRPr="00881795">
        <w:t>: Access to Pension Pay Points</w:t>
      </w:r>
      <w:bookmarkEnd w:id="322"/>
      <w:bookmarkEnd w:id="323"/>
      <w:bookmarkEnd w:id="324"/>
    </w:p>
    <w:p w14:paraId="3709AC9A" w14:textId="77777777" w:rsidR="001D294E" w:rsidRPr="00881795" w:rsidRDefault="006F30CF" w:rsidP="00395313">
      <w:pPr>
        <w:spacing w:after="0"/>
        <w:jc w:val="both"/>
        <w:rPr>
          <w:rFonts w:cs="Calibri"/>
          <w:color w:val="000000" w:themeColor="text1"/>
        </w:rPr>
      </w:pPr>
      <w:r w:rsidRPr="00881795">
        <w:rPr>
          <w:rFonts w:cs="Calibri"/>
          <w:color w:val="000000" w:themeColor="text1"/>
        </w:rPr>
        <w:object w:dxaOrig="17865" w:dyaOrig="12630" w14:anchorId="6617F470">
          <v:shape id="_x0000_i1031" type="#_x0000_t75" style="width:726.75pt;height:417.75pt" o:ole="">
            <v:imagedata r:id="rId65" o:title=""/>
          </v:shape>
          <o:OLEObject Type="Embed" ProgID="AcroExch.Document.11" ShapeID="_x0000_i1031" DrawAspect="Content" ObjectID="_1587449254" r:id="rId66"/>
        </w:object>
      </w:r>
      <w:r w:rsidR="001D294E" w:rsidRPr="00881795">
        <w:rPr>
          <w:rFonts w:cs="Calibri"/>
          <w:color w:val="000000" w:themeColor="text1"/>
        </w:rPr>
        <w:br w:type="page"/>
      </w:r>
    </w:p>
    <w:p w14:paraId="092F53FC" w14:textId="77777777" w:rsidR="001D294E" w:rsidRPr="00F8472B" w:rsidRDefault="001D294E" w:rsidP="00750180">
      <w:pPr>
        <w:pStyle w:val="Heading4"/>
        <w:numPr>
          <w:ilvl w:val="3"/>
          <w:numId w:val="29"/>
        </w:numPr>
      </w:pPr>
      <w:bookmarkStart w:id="325" w:name="_Toc389739903"/>
      <w:r w:rsidRPr="00F8472B">
        <w:t>Sport Fields / Facilities</w:t>
      </w:r>
      <w:bookmarkEnd w:id="325"/>
    </w:p>
    <w:p w14:paraId="77B5A6C9" w14:textId="77777777" w:rsidR="001D294E" w:rsidRPr="00881795" w:rsidRDefault="001D294E" w:rsidP="002F62F0">
      <w:pPr>
        <w:pStyle w:val="Caption"/>
      </w:pPr>
      <w:bookmarkStart w:id="326" w:name="_Toc325627823"/>
      <w:bookmarkStart w:id="327" w:name="_Toc389739904"/>
      <w:bookmarkStart w:id="328" w:name="_Toc481468936"/>
      <w:r w:rsidRPr="00881795">
        <w:t xml:space="preserve">Map </w:t>
      </w:r>
      <w:r w:rsidR="00D55BDA" w:rsidRPr="00881795">
        <w:fldChar w:fldCharType="begin"/>
      </w:r>
      <w:r w:rsidRPr="00881795">
        <w:instrText xml:space="preserve"> SEQ Map \* ARABIC </w:instrText>
      </w:r>
      <w:r w:rsidR="00D55BDA" w:rsidRPr="00881795">
        <w:fldChar w:fldCharType="separate"/>
      </w:r>
      <w:r w:rsidR="0067023A">
        <w:rPr>
          <w:noProof/>
        </w:rPr>
        <w:t>24</w:t>
      </w:r>
      <w:r w:rsidR="00D55BDA" w:rsidRPr="00881795">
        <w:fldChar w:fldCharType="end"/>
      </w:r>
      <w:r w:rsidRPr="00881795">
        <w:t>: Access to Sport Fields / Facilities</w:t>
      </w:r>
      <w:bookmarkEnd w:id="326"/>
      <w:bookmarkEnd w:id="327"/>
      <w:bookmarkEnd w:id="328"/>
    </w:p>
    <w:p w14:paraId="0ECC6EB9" w14:textId="77777777" w:rsidR="001D294E" w:rsidRPr="00881795" w:rsidRDefault="00434E17" w:rsidP="00395313">
      <w:pPr>
        <w:jc w:val="both"/>
        <w:rPr>
          <w:rFonts w:cs="Calibri"/>
          <w:color w:val="000000" w:themeColor="text1"/>
        </w:rPr>
      </w:pPr>
      <w:r w:rsidRPr="00881795">
        <w:rPr>
          <w:rFonts w:cs="Calibri"/>
          <w:color w:val="000000" w:themeColor="text1"/>
        </w:rPr>
        <w:object w:dxaOrig="17865" w:dyaOrig="12630" w14:anchorId="40096CAA">
          <v:shape id="_x0000_i1032" type="#_x0000_t75" style="width:734.25pt;height:417.75pt" o:ole="">
            <v:imagedata r:id="rId67" o:title=""/>
          </v:shape>
          <o:OLEObject Type="Embed" ProgID="AcroExch.Document.11" ShapeID="_x0000_i1032" DrawAspect="Content" ObjectID="_1587449255" r:id="rId68"/>
        </w:object>
      </w:r>
    </w:p>
    <w:p w14:paraId="53C072DE" w14:textId="77777777" w:rsidR="001D294E" w:rsidRPr="00881795" w:rsidRDefault="001D294E" w:rsidP="00395313">
      <w:pPr>
        <w:jc w:val="both"/>
        <w:rPr>
          <w:rFonts w:cs="Calibri"/>
          <w:color w:val="000000" w:themeColor="text1"/>
        </w:rPr>
        <w:sectPr w:rsidR="001D294E" w:rsidRPr="00881795" w:rsidSect="000A2E48">
          <w:pgSz w:w="16839" w:h="11907" w:orient="landscape" w:code="9"/>
          <w:pgMar w:top="1134" w:right="851" w:bottom="1134" w:left="851" w:header="720" w:footer="720" w:gutter="0"/>
          <w:cols w:space="720"/>
          <w:docGrid w:linePitch="360"/>
        </w:sectPr>
      </w:pPr>
    </w:p>
    <w:p w14:paraId="19038950" w14:textId="77777777" w:rsidR="0037082E" w:rsidRPr="00881795" w:rsidRDefault="0037082E" w:rsidP="00395313">
      <w:pPr>
        <w:spacing w:line="288" w:lineRule="auto"/>
        <w:jc w:val="both"/>
        <w:rPr>
          <w:szCs w:val="20"/>
        </w:rPr>
      </w:pPr>
    </w:p>
    <w:p w14:paraId="37B793A9" w14:textId="77777777" w:rsidR="0037082E" w:rsidRPr="007E628D" w:rsidRDefault="004D7441" w:rsidP="00750180">
      <w:pPr>
        <w:pStyle w:val="Heading3"/>
        <w:numPr>
          <w:ilvl w:val="2"/>
          <w:numId w:val="29"/>
        </w:numPr>
        <w:rPr>
          <w:highlight w:val="yellow"/>
        </w:rPr>
      </w:pPr>
      <w:bookmarkStart w:id="329" w:name="_Toc389739905"/>
      <w:bookmarkStart w:id="330" w:name="_Toc510706624"/>
      <w:r w:rsidRPr="007E628D">
        <w:rPr>
          <w:highlight w:val="yellow"/>
        </w:rPr>
        <w:t>HUMAN SETTLEMENTS</w:t>
      </w:r>
      <w:bookmarkEnd w:id="329"/>
      <w:bookmarkEnd w:id="330"/>
    </w:p>
    <w:p w14:paraId="18A88CD2" w14:textId="77777777" w:rsidR="00D715DF" w:rsidRDefault="00D715DF" w:rsidP="00750180">
      <w:pPr>
        <w:pStyle w:val="Heading4"/>
        <w:numPr>
          <w:ilvl w:val="3"/>
          <w:numId w:val="29"/>
        </w:numPr>
      </w:pPr>
      <w:bookmarkStart w:id="331" w:name="_Toc389739906"/>
      <w:r w:rsidRPr="00F8472B">
        <w:t>Housing Statistics</w:t>
      </w:r>
      <w:bookmarkEnd w:id="331"/>
    </w:p>
    <w:p w14:paraId="23DC3E53" w14:textId="77777777" w:rsidR="00F6543C" w:rsidRPr="00F6543C" w:rsidRDefault="00F6543C" w:rsidP="00F6543C"/>
    <w:p w14:paraId="152F0046" w14:textId="77777777" w:rsidR="00D715DF" w:rsidRPr="00881795" w:rsidRDefault="00D715DF" w:rsidP="002F62F0">
      <w:pPr>
        <w:pStyle w:val="Caption"/>
      </w:pPr>
      <w:bookmarkStart w:id="332" w:name="_Toc325627932"/>
      <w:bookmarkStart w:id="333" w:name="_Toc389739907"/>
      <w:bookmarkStart w:id="334" w:name="_Toc510622290"/>
      <w:r w:rsidRPr="00881795">
        <w:t xml:space="preserve">Table </w:t>
      </w:r>
      <w:r w:rsidR="00D55BDA" w:rsidRPr="00881795">
        <w:fldChar w:fldCharType="begin"/>
      </w:r>
      <w:r w:rsidRPr="00881795">
        <w:instrText xml:space="preserve"> SEQ Table \* ARABIC </w:instrText>
      </w:r>
      <w:r w:rsidR="00D55BDA" w:rsidRPr="00881795">
        <w:fldChar w:fldCharType="separate"/>
      </w:r>
      <w:r w:rsidR="0067023A">
        <w:rPr>
          <w:noProof/>
        </w:rPr>
        <w:t>40</w:t>
      </w:r>
      <w:r w:rsidR="00D55BDA" w:rsidRPr="00881795">
        <w:fldChar w:fldCharType="end"/>
      </w:r>
      <w:r w:rsidR="00103E0D" w:rsidRPr="00881795">
        <w:t xml:space="preserve">: Formal, Traditional and </w:t>
      </w:r>
      <w:r w:rsidRPr="00881795">
        <w:t>Informal Dwellings</w:t>
      </w:r>
      <w:bookmarkEnd w:id="332"/>
      <w:bookmarkEnd w:id="333"/>
      <w:r w:rsidR="00AC2B1B">
        <w:t xml:space="preserve"> (2001 – 2016)</w:t>
      </w:r>
      <w:bookmarkEnd w:id="334"/>
    </w:p>
    <w:tbl>
      <w:tblPr>
        <w:tblStyle w:val="TableGrid1"/>
        <w:tblW w:w="9030" w:type="dxa"/>
        <w:tblLook w:val="04A0" w:firstRow="1" w:lastRow="0" w:firstColumn="1" w:lastColumn="0" w:noHBand="0" w:noVBand="1"/>
      </w:tblPr>
      <w:tblGrid>
        <w:gridCol w:w="3171"/>
        <w:gridCol w:w="1786"/>
        <w:gridCol w:w="1701"/>
        <w:gridCol w:w="1427"/>
        <w:gridCol w:w="945"/>
      </w:tblGrid>
      <w:tr w:rsidR="00A858D7" w:rsidRPr="00881795" w14:paraId="46DFF2D0" w14:textId="77777777" w:rsidTr="00AC2B1B">
        <w:trPr>
          <w:trHeight w:val="265"/>
        </w:trPr>
        <w:tc>
          <w:tcPr>
            <w:tcW w:w="3171" w:type="dxa"/>
            <w:shd w:val="clear" w:color="auto" w:fill="DAEEF3" w:themeFill="accent5" w:themeFillTint="33"/>
            <w:noWrap/>
            <w:hideMark/>
          </w:tcPr>
          <w:p w14:paraId="472A48CF" w14:textId="77777777" w:rsidR="00A858D7" w:rsidRPr="00881795" w:rsidRDefault="00A858D7" w:rsidP="00395313">
            <w:pPr>
              <w:jc w:val="both"/>
              <w:rPr>
                <w:rFonts w:cs="Times New Roman"/>
                <w:b/>
                <w:color w:val="000000"/>
                <w:szCs w:val="20"/>
              </w:rPr>
            </w:pPr>
            <w:bookmarkStart w:id="335" w:name="_Toc325627993"/>
            <w:r w:rsidRPr="00881795">
              <w:rPr>
                <w:rFonts w:cs="Times New Roman"/>
                <w:b/>
                <w:color w:val="000000"/>
                <w:szCs w:val="20"/>
              </w:rPr>
              <w:t>Dwelling Type</w:t>
            </w:r>
          </w:p>
        </w:tc>
        <w:tc>
          <w:tcPr>
            <w:tcW w:w="1786" w:type="dxa"/>
            <w:shd w:val="clear" w:color="auto" w:fill="DAEEF3" w:themeFill="accent5" w:themeFillTint="33"/>
            <w:noWrap/>
            <w:hideMark/>
          </w:tcPr>
          <w:p w14:paraId="3C37FCB3" w14:textId="77777777" w:rsidR="00A858D7" w:rsidRPr="00881795" w:rsidRDefault="00A858D7" w:rsidP="00395313">
            <w:pPr>
              <w:jc w:val="both"/>
              <w:rPr>
                <w:rFonts w:cs="Times New Roman"/>
                <w:b/>
                <w:color w:val="000000"/>
                <w:szCs w:val="20"/>
              </w:rPr>
            </w:pPr>
            <w:r w:rsidRPr="00881795">
              <w:rPr>
                <w:rFonts w:cs="Times New Roman"/>
                <w:b/>
                <w:color w:val="000000"/>
                <w:szCs w:val="20"/>
              </w:rPr>
              <w:t>2001</w:t>
            </w:r>
          </w:p>
        </w:tc>
        <w:tc>
          <w:tcPr>
            <w:tcW w:w="1701" w:type="dxa"/>
            <w:shd w:val="clear" w:color="auto" w:fill="DAEEF3" w:themeFill="accent5" w:themeFillTint="33"/>
            <w:noWrap/>
            <w:hideMark/>
          </w:tcPr>
          <w:p w14:paraId="4AE62E27" w14:textId="77777777" w:rsidR="00A858D7" w:rsidRPr="00881795" w:rsidRDefault="00A858D7" w:rsidP="00395313">
            <w:pPr>
              <w:jc w:val="both"/>
              <w:rPr>
                <w:rFonts w:cs="Times New Roman"/>
                <w:b/>
                <w:color w:val="000000"/>
                <w:szCs w:val="20"/>
              </w:rPr>
            </w:pPr>
            <w:r w:rsidRPr="00881795">
              <w:rPr>
                <w:rFonts w:cs="Times New Roman"/>
                <w:b/>
                <w:color w:val="000000"/>
                <w:szCs w:val="20"/>
              </w:rPr>
              <w:t>2011</w:t>
            </w:r>
          </w:p>
        </w:tc>
        <w:tc>
          <w:tcPr>
            <w:tcW w:w="2372" w:type="dxa"/>
            <w:gridSpan w:val="2"/>
            <w:shd w:val="clear" w:color="auto" w:fill="DAEEF3" w:themeFill="accent5" w:themeFillTint="33"/>
          </w:tcPr>
          <w:p w14:paraId="7B8560D0" w14:textId="77777777" w:rsidR="00A858D7" w:rsidRPr="00881795" w:rsidRDefault="00A858D7" w:rsidP="00A858D7">
            <w:pPr>
              <w:tabs>
                <w:tab w:val="left" w:pos="855"/>
              </w:tabs>
              <w:jc w:val="both"/>
              <w:rPr>
                <w:rFonts w:cs="Times New Roman"/>
                <w:b/>
                <w:color w:val="000000"/>
                <w:szCs w:val="20"/>
              </w:rPr>
            </w:pPr>
            <w:r>
              <w:rPr>
                <w:rFonts w:cs="Times New Roman"/>
                <w:b/>
                <w:color w:val="000000"/>
                <w:szCs w:val="20"/>
              </w:rPr>
              <w:t>2016</w:t>
            </w:r>
            <w:r>
              <w:rPr>
                <w:rFonts w:cs="Times New Roman"/>
                <w:b/>
                <w:color w:val="000000"/>
                <w:szCs w:val="20"/>
              </w:rPr>
              <w:tab/>
            </w:r>
            <w:r w:rsidR="00AC2B1B">
              <w:rPr>
                <w:rFonts w:cs="Times New Roman"/>
                <w:b/>
                <w:color w:val="000000"/>
                <w:szCs w:val="20"/>
              </w:rPr>
              <w:t xml:space="preserve">               </w:t>
            </w:r>
            <w:r>
              <w:rPr>
                <w:rFonts w:cs="Times New Roman"/>
                <w:b/>
                <w:color w:val="000000"/>
                <w:szCs w:val="20"/>
              </w:rPr>
              <w:t xml:space="preserve"> (%)</w:t>
            </w:r>
          </w:p>
        </w:tc>
      </w:tr>
      <w:tr w:rsidR="00A858D7" w:rsidRPr="00881795" w14:paraId="64E600C3" w14:textId="77777777" w:rsidTr="00AC2B1B">
        <w:trPr>
          <w:trHeight w:val="265"/>
        </w:trPr>
        <w:tc>
          <w:tcPr>
            <w:tcW w:w="3171" w:type="dxa"/>
            <w:noWrap/>
            <w:hideMark/>
          </w:tcPr>
          <w:p w14:paraId="1872FB18" w14:textId="77777777" w:rsidR="00A858D7" w:rsidRPr="00881795" w:rsidRDefault="00A858D7" w:rsidP="00A858D7">
            <w:pPr>
              <w:jc w:val="both"/>
              <w:rPr>
                <w:rFonts w:cs="Times New Roman"/>
                <w:color w:val="000000"/>
                <w:szCs w:val="20"/>
              </w:rPr>
            </w:pPr>
            <w:r w:rsidRPr="00881795">
              <w:rPr>
                <w:rFonts w:cs="Times New Roman"/>
                <w:color w:val="000000"/>
                <w:szCs w:val="20"/>
              </w:rPr>
              <w:t>Formal Dwelling</w:t>
            </w:r>
          </w:p>
        </w:tc>
        <w:tc>
          <w:tcPr>
            <w:tcW w:w="1786" w:type="dxa"/>
            <w:hideMark/>
          </w:tcPr>
          <w:p w14:paraId="0E177FEB" w14:textId="77777777" w:rsidR="00A858D7" w:rsidRPr="00881795" w:rsidRDefault="00A858D7" w:rsidP="00A858D7">
            <w:pPr>
              <w:jc w:val="both"/>
              <w:rPr>
                <w:rFonts w:cs="Times New Roman"/>
                <w:color w:val="212121"/>
                <w:szCs w:val="20"/>
              </w:rPr>
            </w:pPr>
            <w:r w:rsidRPr="00881795">
              <w:rPr>
                <w:rFonts w:cs="Times New Roman"/>
                <w:color w:val="212121"/>
                <w:szCs w:val="20"/>
              </w:rPr>
              <w:t>16 171</w:t>
            </w:r>
          </w:p>
        </w:tc>
        <w:tc>
          <w:tcPr>
            <w:tcW w:w="1701" w:type="dxa"/>
            <w:hideMark/>
          </w:tcPr>
          <w:p w14:paraId="369316B0" w14:textId="77777777" w:rsidR="00A858D7" w:rsidRPr="00881795" w:rsidRDefault="00A858D7" w:rsidP="00A858D7">
            <w:pPr>
              <w:jc w:val="both"/>
              <w:rPr>
                <w:rFonts w:cs="Times New Roman"/>
                <w:color w:val="212121"/>
                <w:szCs w:val="20"/>
              </w:rPr>
            </w:pPr>
            <w:r w:rsidRPr="00881795">
              <w:rPr>
                <w:rFonts w:cs="Times New Roman"/>
                <w:color w:val="212121"/>
                <w:szCs w:val="20"/>
              </w:rPr>
              <w:t>27 359</w:t>
            </w:r>
          </w:p>
        </w:tc>
        <w:tc>
          <w:tcPr>
            <w:tcW w:w="1427" w:type="dxa"/>
          </w:tcPr>
          <w:p w14:paraId="43DA403E" w14:textId="77777777" w:rsidR="00A858D7" w:rsidRPr="00AC2B1B" w:rsidRDefault="00A858D7" w:rsidP="00A858D7">
            <w:pPr>
              <w:rPr>
                <w:b/>
              </w:rPr>
            </w:pPr>
            <w:r w:rsidRPr="00AC2B1B">
              <w:rPr>
                <w:b/>
              </w:rPr>
              <w:t>29 285</w:t>
            </w:r>
          </w:p>
        </w:tc>
        <w:tc>
          <w:tcPr>
            <w:tcW w:w="945" w:type="dxa"/>
          </w:tcPr>
          <w:p w14:paraId="26DF705A" w14:textId="77777777" w:rsidR="00A858D7" w:rsidRPr="00AC2B1B" w:rsidRDefault="00A858D7" w:rsidP="00A858D7">
            <w:pPr>
              <w:rPr>
                <w:b/>
              </w:rPr>
            </w:pPr>
            <w:r w:rsidRPr="00AC2B1B">
              <w:rPr>
                <w:b/>
              </w:rPr>
              <w:t>62.4%</w:t>
            </w:r>
          </w:p>
        </w:tc>
      </w:tr>
      <w:tr w:rsidR="00A858D7" w:rsidRPr="00881795" w14:paraId="77882FCE" w14:textId="77777777" w:rsidTr="00AC2B1B">
        <w:trPr>
          <w:trHeight w:val="265"/>
        </w:trPr>
        <w:tc>
          <w:tcPr>
            <w:tcW w:w="3171" w:type="dxa"/>
            <w:noWrap/>
            <w:hideMark/>
          </w:tcPr>
          <w:p w14:paraId="66B83166" w14:textId="77777777" w:rsidR="00A858D7" w:rsidRPr="00881795" w:rsidRDefault="00A858D7" w:rsidP="00A858D7">
            <w:pPr>
              <w:jc w:val="both"/>
              <w:rPr>
                <w:rFonts w:cs="Times New Roman"/>
                <w:color w:val="000000"/>
                <w:szCs w:val="20"/>
              </w:rPr>
            </w:pPr>
            <w:r w:rsidRPr="00881795">
              <w:rPr>
                <w:rFonts w:cs="Times New Roman"/>
                <w:color w:val="000000"/>
                <w:szCs w:val="20"/>
              </w:rPr>
              <w:t>Traditional Dwelling</w:t>
            </w:r>
          </w:p>
        </w:tc>
        <w:tc>
          <w:tcPr>
            <w:tcW w:w="1786" w:type="dxa"/>
            <w:hideMark/>
          </w:tcPr>
          <w:p w14:paraId="434BF9DC" w14:textId="77777777" w:rsidR="00A858D7" w:rsidRPr="00881795" w:rsidRDefault="00A858D7" w:rsidP="00A858D7">
            <w:pPr>
              <w:jc w:val="both"/>
              <w:rPr>
                <w:rFonts w:cs="Times New Roman"/>
                <w:color w:val="000000"/>
                <w:szCs w:val="20"/>
              </w:rPr>
            </w:pPr>
            <w:r w:rsidRPr="00881795">
              <w:rPr>
                <w:rFonts w:cs="Times New Roman"/>
                <w:color w:val="000000"/>
                <w:szCs w:val="20"/>
              </w:rPr>
              <w:t>21 296</w:t>
            </w:r>
          </w:p>
        </w:tc>
        <w:tc>
          <w:tcPr>
            <w:tcW w:w="1701" w:type="dxa"/>
            <w:hideMark/>
          </w:tcPr>
          <w:p w14:paraId="54BD44A9" w14:textId="77777777" w:rsidR="00A858D7" w:rsidRPr="00881795" w:rsidRDefault="00A858D7" w:rsidP="00A858D7">
            <w:pPr>
              <w:jc w:val="both"/>
              <w:rPr>
                <w:rFonts w:cs="Times New Roman"/>
                <w:color w:val="212121"/>
                <w:szCs w:val="20"/>
              </w:rPr>
            </w:pPr>
            <w:r w:rsidRPr="00881795">
              <w:rPr>
                <w:rFonts w:cs="Times New Roman"/>
                <w:color w:val="212121"/>
                <w:szCs w:val="20"/>
              </w:rPr>
              <w:t>16 370</w:t>
            </w:r>
          </w:p>
        </w:tc>
        <w:tc>
          <w:tcPr>
            <w:tcW w:w="1427" w:type="dxa"/>
          </w:tcPr>
          <w:p w14:paraId="7BFFFC21" w14:textId="77777777" w:rsidR="00A858D7" w:rsidRPr="00AC2B1B" w:rsidRDefault="00A858D7" w:rsidP="00A858D7">
            <w:pPr>
              <w:rPr>
                <w:b/>
              </w:rPr>
            </w:pPr>
            <w:r w:rsidRPr="00AC2B1B">
              <w:rPr>
                <w:b/>
              </w:rPr>
              <w:t>16 974</w:t>
            </w:r>
          </w:p>
        </w:tc>
        <w:tc>
          <w:tcPr>
            <w:tcW w:w="945" w:type="dxa"/>
          </w:tcPr>
          <w:p w14:paraId="26787E0B" w14:textId="77777777" w:rsidR="00A858D7" w:rsidRPr="00AC2B1B" w:rsidRDefault="00A858D7" w:rsidP="00A858D7">
            <w:pPr>
              <w:rPr>
                <w:b/>
              </w:rPr>
            </w:pPr>
            <w:r w:rsidRPr="00AC2B1B">
              <w:rPr>
                <w:b/>
              </w:rPr>
              <w:t>36.2%</w:t>
            </w:r>
          </w:p>
        </w:tc>
      </w:tr>
      <w:tr w:rsidR="00A858D7" w:rsidRPr="00881795" w14:paraId="63C8C062" w14:textId="77777777" w:rsidTr="00AC2B1B">
        <w:trPr>
          <w:trHeight w:val="265"/>
        </w:trPr>
        <w:tc>
          <w:tcPr>
            <w:tcW w:w="3171" w:type="dxa"/>
            <w:noWrap/>
            <w:hideMark/>
          </w:tcPr>
          <w:p w14:paraId="3E9EDA70" w14:textId="77777777" w:rsidR="00A858D7" w:rsidRPr="00881795" w:rsidRDefault="00A858D7" w:rsidP="00A858D7">
            <w:pPr>
              <w:jc w:val="both"/>
              <w:rPr>
                <w:rFonts w:cs="Times New Roman"/>
                <w:color w:val="000000"/>
                <w:szCs w:val="20"/>
              </w:rPr>
            </w:pPr>
            <w:r w:rsidRPr="00881795">
              <w:rPr>
                <w:rFonts w:cs="Times New Roman"/>
                <w:color w:val="000000"/>
                <w:szCs w:val="20"/>
              </w:rPr>
              <w:t>Informal Dwelling</w:t>
            </w:r>
          </w:p>
        </w:tc>
        <w:tc>
          <w:tcPr>
            <w:tcW w:w="1786" w:type="dxa"/>
            <w:hideMark/>
          </w:tcPr>
          <w:p w14:paraId="6F2EC40A" w14:textId="77777777" w:rsidR="00A858D7" w:rsidRPr="00881795" w:rsidRDefault="00A858D7" w:rsidP="00A858D7">
            <w:pPr>
              <w:jc w:val="both"/>
              <w:rPr>
                <w:rFonts w:cs="Times New Roman"/>
                <w:color w:val="000000"/>
                <w:szCs w:val="20"/>
              </w:rPr>
            </w:pPr>
            <w:r w:rsidRPr="00881795">
              <w:rPr>
                <w:rFonts w:cs="Times New Roman"/>
                <w:color w:val="000000"/>
                <w:szCs w:val="20"/>
              </w:rPr>
              <w:t>791</w:t>
            </w:r>
          </w:p>
        </w:tc>
        <w:tc>
          <w:tcPr>
            <w:tcW w:w="1701" w:type="dxa"/>
            <w:hideMark/>
          </w:tcPr>
          <w:p w14:paraId="7023AD2A" w14:textId="77777777" w:rsidR="00A858D7" w:rsidRPr="00881795" w:rsidRDefault="00A858D7" w:rsidP="00A858D7">
            <w:pPr>
              <w:jc w:val="both"/>
              <w:rPr>
                <w:rFonts w:cs="Times New Roman"/>
                <w:color w:val="000000"/>
                <w:szCs w:val="20"/>
              </w:rPr>
            </w:pPr>
            <w:r w:rsidRPr="00881795">
              <w:rPr>
                <w:rFonts w:cs="Times New Roman"/>
                <w:color w:val="000000"/>
                <w:szCs w:val="20"/>
              </w:rPr>
              <w:t>828</w:t>
            </w:r>
          </w:p>
        </w:tc>
        <w:tc>
          <w:tcPr>
            <w:tcW w:w="1427" w:type="dxa"/>
          </w:tcPr>
          <w:p w14:paraId="23B71613" w14:textId="77777777" w:rsidR="00A858D7" w:rsidRPr="00AC2B1B" w:rsidRDefault="00A858D7" w:rsidP="00A858D7">
            <w:pPr>
              <w:rPr>
                <w:b/>
              </w:rPr>
            </w:pPr>
            <w:r w:rsidRPr="00AC2B1B">
              <w:rPr>
                <w:b/>
              </w:rPr>
              <w:t>490</w:t>
            </w:r>
          </w:p>
        </w:tc>
        <w:tc>
          <w:tcPr>
            <w:tcW w:w="945" w:type="dxa"/>
          </w:tcPr>
          <w:p w14:paraId="41D6AD72" w14:textId="77777777" w:rsidR="00A858D7" w:rsidRPr="00AC2B1B" w:rsidRDefault="00A858D7" w:rsidP="00A858D7">
            <w:pPr>
              <w:rPr>
                <w:b/>
              </w:rPr>
            </w:pPr>
            <w:r w:rsidRPr="00AC2B1B">
              <w:rPr>
                <w:b/>
              </w:rPr>
              <w:t>1.4%</w:t>
            </w:r>
          </w:p>
        </w:tc>
      </w:tr>
    </w:tbl>
    <w:p w14:paraId="278964DE" w14:textId="77777777" w:rsidR="0025762B" w:rsidRDefault="00AC2B1B" w:rsidP="00434E17">
      <w:pPr>
        <w:jc w:val="both"/>
        <w:rPr>
          <w:b/>
        </w:rPr>
      </w:pPr>
      <w:r w:rsidRPr="00AC2B1B">
        <w:rPr>
          <w:b/>
        </w:rPr>
        <w:t>Source: CS 2016</w:t>
      </w:r>
    </w:p>
    <w:p w14:paraId="5CEF5663" w14:textId="60B07D29" w:rsidR="00AC2B1B" w:rsidRPr="00AC2B1B" w:rsidRDefault="00AC2B1B" w:rsidP="00434E17">
      <w:pPr>
        <w:jc w:val="both"/>
      </w:pPr>
      <w:r>
        <w:t xml:space="preserve">The table above indicates the statistics pertaining to the type of main dwelling of each individual household. From this, it is clear that there has been significant increases in formal dwellings and a sharp decline of informal dwelling. Traditional settlements refered here are households made of natural products such as mud and grass. The positive changes in the dwelling type is mainly attributed to </w:t>
      </w:r>
      <w:r w:rsidR="00B407CA">
        <w:t xml:space="preserve">the positive strides that the municipality has taken to provide better human settlements especially within rural areas in the form rural housing projects. The municipality has completed Bhekeshowe Rural Housing Development, Gingindlovu and </w:t>
      </w:r>
      <w:r w:rsidR="00B407CA" w:rsidRPr="00884374">
        <w:t>Sunnydale</w:t>
      </w:r>
      <w:r w:rsidR="004C2A9A" w:rsidRPr="00884374">
        <w:t xml:space="preserve"> Phase 1</w:t>
      </w:r>
      <w:r w:rsidR="00884374">
        <w:t xml:space="preserve"> &amp; 2</w:t>
      </w:r>
      <w:r w:rsidR="00B407CA">
        <w:t xml:space="preserve"> low cost housing developments. These urban low cost housing projects have ensured the municipality eradicates slums within and the edges of towns.</w:t>
      </w:r>
    </w:p>
    <w:p w14:paraId="64D20794" w14:textId="77777777" w:rsidR="00AC2B1B" w:rsidRPr="00AC2B1B" w:rsidRDefault="00AC2B1B" w:rsidP="00434E17">
      <w:pPr>
        <w:jc w:val="both"/>
        <w:rPr>
          <w:b/>
        </w:rPr>
      </w:pPr>
    </w:p>
    <w:p w14:paraId="68799D04" w14:textId="77777777" w:rsidR="00AC2B1B" w:rsidRDefault="00AC2B1B" w:rsidP="00434E17">
      <w:pPr>
        <w:jc w:val="both"/>
      </w:pPr>
      <w:r>
        <w:rPr>
          <w:noProof/>
        </w:rPr>
        <w:drawing>
          <wp:inline distT="0" distB="0" distL="0" distR="0" wp14:anchorId="449A98E3" wp14:editId="79E82237">
            <wp:extent cx="6120765" cy="3238500"/>
            <wp:effectExtent l="0" t="0" r="13335" b="0"/>
            <wp:docPr id="4113" name="Chart 4113"/>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534FBE62" w14:textId="1E80FA37" w:rsidR="00F6543C" w:rsidRDefault="00F8472B" w:rsidP="00884374">
      <w:pPr>
        <w:pStyle w:val="Caption"/>
      </w:pPr>
      <w:bookmarkStart w:id="336" w:name="_Toc389739908"/>
      <w:bookmarkStart w:id="337" w:name="_Toc510622374"/>
      <w:bookmarkEnd w:id="335"/>
      <w:r>
        <w:t xml:space="preserve">Figure </w:t>
      </w:r>
      <w:r w:rsidR="00B918A6">
        <w:fldChar w:fldCharType="begin"/>
      </w:r>
      <w:r w:rsidR="00B918A6">
        <w:instrText xml:space="preserve"> SEQ Figure \* ARABIC </w:instrText>
      </w:r>
      <w:r w:rsidR="00B918A6">
        <w:fldChar w:fldCharType="separate"/>
      </w:r>
      <w:r w:rsidR="0067023A">
        <w:rPr>
          <w:noProof/>
        </w:rPr>
        <w:t>13</w:t>
      </w:r>
      <w:r w:rsidR="00B918A6">
        <w:rPr>
          <w:noProof/>
        </w:rPr>
        <w:fldChar w:fldCharType="end"/>
      </w:r>
      <w:r>
        <w:t xml:space="preserve">: </w:t>
      </w:r>
      <w:r w:rsidR="00103E0D" w:rsidRPr="00881795">
        <w:t>Formal, Traditional and Informal Dwellings</w:t>
      </w:r>
      <w:bookmarkStart w:id="338" w:name="_Toc291152466"/>
      <w:bookmarkStart w:id="339" w:name="_Toc389739909"/>
      <w:bookmarkEnd w:id="336"/>
      <w:r w:rsidR="00884374">
        <w:t xml:space="preserve"> (CS 2016)</w:t>
      </w:r>
      <w:bookmarkEnd w:id="337"/>
    </w:p>
    <w:p w14:paraId="67659660" w14:textId="6DBE6F39" w:rsidR="00CE7DCA" w:rsidRDefault="00CE7DCA" w:rsidP="00750180">
      <w:pPr>
        <w:pStyle w:val="Heading4"/>
        <w:numPr>
          <w:ilvl w:val="3"/>
          <w:numId w:val="29"/>
        </w:numPr>
        <w:spacing w:after="240"/>
        <w:jc w:val="both"/>
        <w:rPr>
          <w:rFonts w:ascii="Calibri" w:hAnsi="Calibri"/>
          <w:color w:val="FF0000"/>
        </w:rPr>
      </w:pPr>
      <w:r w:rsidRPr="007D419B">
        <w:rPr>
          <w:rFonts w:ascii="Calibri" w:hAnsi="Calibri"/>
        </w:rPr>
        <w:t>UMlalazi Municipality Housing Sector Plan</w:t>
      </w:r>
      <w:r w:rsidR="00884374">
        <w:rPr>
          <w:rFonts w:ascii="Calibri" w:hAnsi="Calibri"/>
        </w:rPr>
        <w:t xml:space="preserve"> </w:t>
      </w:r>
      <w:r w:rsidR="00884374" w:rsidRPr="00884374">
        <w:rPr>
          <w:rFonts w:ascii="Calibri" w:hAnsi="Calibri"/>
          <w:color w:val="FF0000"/>
        </w:rPr>
        <w:t>(UNDER REVIEW)</w:t>
      </w:r>
    </w:p>
    <w:p w14:paraId="3DBDDC09" w14:textId="14D92120" w:rsidR="00884374" w:rsidRDefault="00884374" w:rsidP="00884374">
      <w:pPr>
        <w:jc w:val="both"/>
      </w:pPr>
      <w:r w:rsidRPr="00884374">
        <w:t>This Housing Sector Plan (HSP) has undergone a basic review and been updated in terms of new policies adopted within the Province as well as the King Cetshwayo District. The HSP serves a crucial role in informing delivery of adequate and sustainable human settlements within the municipality. It provides for a realistic housing delivery process between the Municipality and the Department of Human Settlements and serves as an important tool for the Department of Human Settlements in the distribution of funding to municipalities. It will also ensure improved alignment between national, provincial and local level planning for housing delivery. The primary aim of the project is to provide a clear housing sector plan for the uMlalazi LM to support the Municipal Integrated Development Planning processes.</w:t>
      </w:r>
    </w:p>
    <w:p w14:paraId="72017EA1" w14:textId="77777777" w:rsidR="00884374" w:rsidRDefault="00884374" w:rsidP="00884374">
      <w:pPr>
        <w:jc w:val="both"/>
      </w:pPr>
      <w:r>
        <w:t>The following objectives have been adopted to undertake the Review of the Housing Sector Plan:</w:t>
      </w:r>
    </w:p>
    <w:p w14:paraId="68D88C0F" w14:textId="12CB6634" w:rsidR="00884374" w:rsidRDefault="00884374" w:rsidP="00750180">
      <w:pPr>
        <w:pStyle w:val="ListParagraph"/>
        <w:numPr>
          <w:ilvl w:val="0"/>
          <w:numId w:val="122"/>
        </w:numPr>
        <w:jc w:val="both"/>
      </w:pPr>
      <w:r>
        <w:t>To ensure that the housing planning activities which occur as part of the IDP are integrated and aligned with existing housing related documentation and data sources;</w:t>
      </w:r>
    </w:p>
    <w:p w14:paraId="21E4112F" w14:textId="77777777" w:rsidR="00884374" w:rsidRDefault="00884374" w:rsidP="00750180">
      <w:pPr>
        <w:pStyle w:val="ListParagraph"/>
        <w:numPr>
          <w:ilvl w:val="0"/>
          <w:numId w:val="122"/>
        </w:numPr>
        <w:jc w:val="both"/>
      </w:pPr>
      <w:r>
        <w:t>To ensure that the definition of housing demand is comprehensive and inform IDP objectives, strategies and project formulation and enable the specification of a municipal-wide picture of housing demand in the context of sustainable human settlements;</w:t>
      </w:r>
    </w:p>
    <w:p w14:paraId="4573F717" w14:textId="15B9C159" w:rsidR="00884374" w:rsidRDefault="00884374" w:rsidP="00750180">
      <w:pPr>
        <w:pStyle w:val="ListParagraph"/>
        <w:numPr>
          <w:ilvl w:val="0"/>
          <w:numId w:val="122"/>
        </w:numPr>
        <w:jc w:val="both"/>
      </w:pPr>
      <w:r>
        <w:t>To achieve Spatial transformation;</w:t>
      </w:r>
    </w:p>
    <w:p w14:paraId="0CDAFDFB" w14:textId="123B3652" w:rsidR="00884374" w:rsidRDefault="00884374" w:rsidP="00750180">
      <w:pPr>
        <w:pStyle w:val="ListParagraph"/>
        <w:numPr>
          <w:ilvl w:val="0"/>
          <w:numId w:val="122"/>
        </w:numPr>
        <w:jc w:val="both"/>
      </w:pPr>
      <w:r>
        <w:t>To provide a clear outline of responsibilities of relevant stakeholders critical to housing planning and deliverables with the context of integrated development planning;</w:t>
      </w:r>
    </w:p>
    <w:p w14:paraId="484E4ABE" w14:textId="049FAA1B" w:rsidR="00884374" w:rsidRDefault="00884374" w:rsidP="00750180">
      <w:pPr>
        <w:pStyle w:val="ListParagraph"/>
        <w:numPr>
          <w:ilvl w:val="0"/>
          <w:numId w:val="122"/>
        </w:numPr>
        <w:jc w:val="both"/>
      </w:pPr>
      <w:r>
        <w:t>Compact and connected settlements and settlement patterns;</w:t>
      </w:r>
    </w:p>
    <w:p w14:paraId="7E963C94" w14:textId="7C4D77C4" w:rsidR="00884374" w:rsidRDefault="00884374" w:rsidP="00750180">
      <w:pPr>
        <w:pStyle w:val="ListParagraph"/>
        <w:numPr>
          <w:ilvl w:val="0"/>
          <w:numId w:val="122"/>
        </w:numPr>
        <w:jc w:val="both"/>
      </w:pPr>
      <w:r>
        <w:t>To guide vertical and horizontal sector alignment with regards to housing planning and delivery and identify appropriate institutional structures to give effect to housing delivery;</w:t>
      </w:r>
    </w:p>
    <w:p w14:paraId="649EE6A2" w14:textId="42F88F9E" w:rsidR="00884374" w:rsidRDefault="00884374" w:rsidP="00750180">
      <w:pPr>
        <w:pStyle w:val="ListParagraph"/>
        <w:numPr>
          <w:ilvl w:val="0"/>
          <w:numId w:val="122"/>
        </w:numPr>
        <w:jc w:val="both"/>
      </w:pPr>
      <w:r>
        <w:t>To inform multi-year housing development plans of the Provisional Sphere as the basis for vertical alignment;</w:t>
      </w:r>
    </w:p>
    <w:p w14:paraId="3F02D235" w14:textId="2903E026" w:rsidR="00884374" w:rsidRDefault="00884374" w:rsidP="00750180">
      <w:pPr>
        <w:pStyle w:val="ListParagraph"/>
        <w:numPr>
          <w:ilvl w:val="0"/>
          <w:numId w:val="122"/>
        </w:numPr>
        <w:jc w:val="both"/>
      </w:pPr>
      <w:r>
        <w:t>Integrated settlements and settlement patterns;</w:t>
      </w:r>
    </w:p>
    <w:p w14:paraId="6A4710AB" w14:textId="5D3D60AC" w:rsidR="00884374" w:rsidRDefault="00884374" w:rsidP="00750180">
      <w:pPr>
        <w:pStyle w:val="ListParagraph"/>
        <w:numPr>
          <w:ilvl w:val="0"/>
          <w:numId w:val="122"/>
        </w:numPr>
        <w:jc w:val="both"/>
      </w:pPr>
      <w:r>
        <w:t>To provide a quantified multi-year housing delivery programme;</w:t>
      </w:r>
    </w:p>
    <w:p w14:paraId="43577305" w14:textId="5850C911" w:rsidR="00884374" w:rsidRDefault="00884374" w:rsidP="00750180">
      <w:pPr>
        <w:pStyle w:val="ListParagraph"/>
        <w:numPr>
          <w:ilvl w:val="0"/>
          <w:numId w:val="122"/>
        </w:numPr>
        <w:jc w:val="both"/>
      </w:pPr>
      <w:r>
        <w:t>Functional residential property market in urban and rural areas;</w:t>
      </w:r>
    </w:p>
    <w:p w14:paraId="0CE46D2C" w14:textId="2BA209DE" w:rsidR="00884374" w:rsidRDefault="00884374" w:rsidP="00750180">
      <w:pPr>
        <w:pStyle w:val="ListParagraph"/>
        <w:numPr>
          <w:ilvl w:val="0"/>
          <w:numId w:val="122"/>
        </w:numPr>
        <w:jc w:val="both"/>
      </w:pPr>
      <w:r>
        <w:t>Consistent application of policies, principles, objectives and concepts across various scales (provincial, regional, local); and</w:t>
      </w:r>
    </w:p>
    <w:p w14:paraId="763E6A68" w14:textId="6BE51315" w:rsidR="00884374" w:rsidRDefault="00884374" w:rsidP="00750180">
      <w:pPr>
        <w:pStyle w:val="ListParagraph"/>
        <w:numPr>
          <w:ilvl w:val="0"/>
          <w:numId w:val="122"/>
        </w:numPr>
        <w:jc w:val="both"/>
      </w:pPr>
      <w:r>
        <w:t>Institutional capacity for effective planning and implementation.</w:t>
      </w:r>
    </w:p>
    <w:p w14:paraId="39BAB175" w14:textId="77777777" w:rsidR="00D715DF" w:rsidRPr="00F8472B" w:rsidRDefault="00D715DF" w:rsidP="00750180">
      <w:pPr>
        <w:pStyle w:val="Heading4"/>
        <w:numPr>
          <w:ilvl w:val="3"/>
          <w:numId w:val="29"/>
        </w:numPr>
        <w:spacing w:after="240"/>
      </w:pPr>
      <w:r w:rsidRPr="00F8472B">
        <w:t xml:space="preserve">Current </w:t>
      </w:r>
      <w:r w:rsidR="00032252" w:rsidRPr="00F8472B">
        <w:t xml:space="preserve">Analysis of </w:t>
      </w:r>
      <w:r w:rsidRPr="00F8472B">
        <w:t>Housing Demand</w:t>
      </w:r>
      <w:bookmarkEnd w:id="338"/>
      <w:bookmarkEnd w:id="339"/>
    </w:p>
    <w:p w14:paraId="2A1B2425" w14:textId="2E0A207C" w:rsidR="007D419B" w:rsidRPr="00032252" w:rsidRDefault="00244F2D" w:rsidP="00032252">
      <w:pPr>
        <w:jc w:val="both"/>
      </w:pPr>
      <w:r w:rsidRPr="00244F2D">
        <w:t>The total number of informal dwellings in informal settlements is estimated at approximately 496 and the number of informal dwellings in backyards as 333. This implies a total potential housing backlog of 829 represented by households residing in informal structures. The total number of households in the uMlalazi LM that are residing in traditional dwellings is a high figure of 16 368. When combining these traditional housing structures with the informal structures it yields a potential housing demand in the order of 17 197. However not all these traditional dwellings constructed of traditional material can be regarded as representing inadequate shelter and thus part of the housing backlog. As a crude measure of the level of adequacy provided by this housing category, it was cross tabulated with the number of rooms available in these type of structures. It was assumed that all traditional dwellings constructed of traditional materials and consisting of two rooms or less represents inadequate shelter and could thus potentially be regarded as part of the housing demand or backlog. A total of just under 8 505 of the traditional housing structures in the uMlalazi LM falls in this category, and represents 51.96% of the total number of traditional dwellings in the Municipality.</w:t>
      </w:r>
    </w:p>
    <w:p w14:paraId="481316EE" w14:textId="2B86D7A7" w:rsidR="00590F7B" w:rsidRPr="00881795" w:rsidRDefault="00D1420B" w:rsidP="002F62F0">
      <w:pPr>
        <w:pStyle w:val="Caption"/>
        <w:rPr>
          <w:u w:val="single"/>
          <w:lang w:val="en-ZA"/>
        </w:rPr>
      </w:pPr>
      <w:bookmarkStart w:id="340" w:name="_Toc389739911"/>
      <w:bookmarkStart w:id="341" w:name="_Toc510622291"/>
      <w:r>
        <w:t xml:space="preserve">Table </w:t>
      </w:r>
      <w:r w:rsidR="00B918A6">
        <w:fldChar w:fldCharType="begin"/>
      </w:r>
      <w:r w:rsidR="00B918A6">
        <w:instrText xml:space="preserve"> SEQ Table \* ARABIC </w:instrText>
      </w:r>
      <w:r w:rsidR="00B918A6">
        <w:fldChar w:fldCharType="separate"/>
      </w:r>
      <w:r w:rsidR="0067023A">
        <w:rPr>
          <w:noProof/>
        </w:rPr>
        <w:t>41</w:t>
      </w:r>
      <w:r w:rsidR="00B918A6">
        <w:rPr>
          <w:noProof/>
        </w:rPr>
        <w:fldChar w:fldCharType="end"/>
      </w:r>
      <w:r>
        <w:t xml:space="preserve">: </w:t>
      </w:r>
      <w:r w:rsidR="00590F7B" w:rsidRPr="00881795">
        <w:t xml:space="preserve"> Housing Demand in Rural Areas </w:t>
      </w:r>
      <w:bookmarkEnd w:id="340"/>
      <w:r w:rsidR="00D3193D" w:rsidRPr="00D3193D">
        <w:rPr>
          <w:color w:val="FF0000"/>
        </w:rPr>
        <w:t>(Draft HSP)</w:t>
      </w:r>
      <w:bookmarkEnd w:id="341"/>
    </w:p>
    <w:tbl>
      <w:tblPr>
        <w:tblStyle w:val="TableGrid29"/>
        <w:tblW w:w="9285" w:type="dxa"/>
        <w:tblLayout w:type="fixed"/>
        <w:tblLook w:val="04A0" w:firstRow="1" w:lastRow="0" w:firstColumn="1" w:lastColumn="0" w:noHBand="0" w:noVBand="1"/>
      </w:tblPr>
      <w:tblGrid>
        <w:gridCol w:w="562"/>
        <w:gridCol w:w="3828"/>
        <w:gridCol w:w="1701"/>
        <w:gridCol w:w="1559"/>
        <w:gridCol w:w="1635"/>
      </w:tblGrid>
      <w:tr w:rsidR="00244F2D" w:rsidRPr="00244F2D" w14:paraId="075D040C" w14:textId="77777777" w:rsidTr="00D3193D">
        <w:trPr>
          <w:trHeight w:val="28"/>
        </w:trPr>
        <w:tc>
          <w:tcPr>
            <w:tcW w:w="562" w:type="dxa"/>
            <w:shd w:val="clear" w:color="auto" w:fill="DAEEF3" w:themeFill="accent5" w:themeFillTint="33"/>
          </w:tcPr>
          <w:p w14:paraId="034F539C" w14:textId="77777777" w:rsidR="00244F2D" w:rsidRPr="00244F2D" w:rsidRDefault="00244F2D" w:rsidP="00244F2D">
            <w:pPr>
              <w:autoSpaceDE w:val="0"/>
              <w:autoSpaceDN w:val="0"/>
              <w:adjustRightInd w:val="0"/>
              <w:rPr>
                <w:lang w:val="en-US"/>
              </w:rPr>
            </w:pPr>
            <w:bookmarkStart w:id="342" w:name="_Toc291152467"/>
            <w:bookmarkStart w:id="343" w:name="_Toc389739912"/>
            <w:r w:rsidRPr="00244F2D">
              <w:rPr>
                <w:lang w:val="en-US"/>
              </w:rPr>
              <w:t xml:space="preserve">NO. </w:t>
            </w:r>
          </w:p>
        </w:tc>
        <w:tc>
          <w:tcPr>
            <w:tcW w:w="3828" w:type="dxa"/>
            <w:shd w:val="clear" w:color="auto" w:fill="DAEEF3" w:themeFill="accent5" w:themeFillTint="33"/>
          </w:tcPr>
          <w:p w14:paraId="15474138" w14:textId="77777777" w:rsidR="00244F2D" w:rsidRPr="00244F2D" w:rsidRDefault="00244F2D" w:rsidP="00244F2D">
            <w:pPr>
              <w:autoSpaceDE w:val="0"/>
              <w:autoSpaceDN w:val="0"/>
              <w:adjustRightInd w:val="0"/>
              <w:rPr>
                <w:lang w:val="en-US"/>
              </w:rPr>
            </w:pPr>
            <w:r w:rsidRPr="00244F2D">
              <w:rPr>
                <w:lang w:val="en-US"/>
              </w:rPr>
              <w:t xml:space="preserve">PROJECT NAME </w:t>
            </w:r>
          </w:p>
        </w:tc>
        <w:tc>
          <w:tcPr>
            <w:tcW w:w="1701" w:type="dxa"/>
            <w:shd w:val="clear" w:color="auto" w:fill="DAEEF3" w:themeFill="accent5" w:themeFillTint="33"/>
          </w:tcPr>
          <w:p w14:paraId="699DC800" w14:textId="77777777" w:rsidR="00244F2D" w:rsidRPr="00244F2D" w:rsidRDefault="00244F2D" w:rsidP="00244F2D">
            <w:pPr>
              <w:autoSpaceDE w:val="0"/>
              <w:autoSpaceDN w:val="0"/>
              <w:adjustRightInd w:val="0"/>
              <w:rPr>
                <w:lang w:val="en-US"/>
              </w:rPr>
            </w:pPr>
            <w:r w:rsidRPr="00244F2D">
              <w:rPr>
                <w:lang w:val="en-US"/>
              </w:rPr>
              <w:t xml:space="preserve">WARD </w:t>
            </w:r>
          </w:p>
        </w:tc>
        <w:tc>
          <w:tcPr>
            <w:tcW w:w="1559" w:type="dxa"/>
            <w:shd w:val="clear" w:color="auto" w:fill="DAEEF3" w:themeFill="accent5" w:themeFillTint="33"/>
          </w:tcPr>
          <w:p w14:paraId="650EA3DB" w14:textId="77777777" w:rsidR="00244F2D" w:rsidRPr="00244F2D" w:rsidRDefault="00244F2D" w:rsidP="00244F2D">
            <w:pPr>
              <w:autoSpaceDE w:val="0"/>
              <w:autoSpaceDN w:val="0"/>
              <w:adjustRightInd w:val="0"/>
              <w:rPr>
                <w:lang w:val="en-US"/>
              </w:rPr>
            </w:pPr>
            <w:r w:rsidRPr="00244F2D">
              <w:rPr>
                <w:lang w:val="en-US"/>
              </w:rPr>
              <w:t xml:space="preserve">RURAL/URBAN </w:t>
            </w:r>
          </w:p>
        </w:tc>
        <w:tc>
          <w:tcPr>
            <w:tcW w:w="1635" w:type="dxa"/>
            <w:shd w:val="clear" w:color="auto" w:fill="DAEEF3" w:themeFill="accent5" w:themeFillTint="33"/>
          </w:tcPr>
          <w:p w14:paraId="7DB0EC0F" w14:textId="77777777" w:rsidR="00244F2D" w:rsidRPr="00244F2D" w:rsidRDefault="00244F2D" w:rsidP="00244F2D">
            <w:pPr>
              <w:autoSpaceDE w:val="0"/>
              <w:autoSpaceDN w:val="0"/>
              <w:adjustRightInd w:val="0"/>
              <w:rPr>
                <w:lang w:val="en-US"/>
              </w:rPr>
            </w:pPr>
            <w:r w:rsidRPr="00244F2D">
              <w:rPr>
                <w:lang w:val="en-US"/>
              </w:rPr>
              <w:t xml:space="preserve">NO. OF UNITS </w:t>
            </w:r>
          </w:p>
        </w:tc>
      </w:tr>
      <w:tr w:rsidR="00244F2D" w:rsidRPr="00244F2D" w14:paraId="639C9FC2" w14:textId="77777777" w:rsidTr="00D3193D">
        <w:trPr>
          <w:trHeight w:val="28"/>
        </w:trPr>
        <w:tc>
          <w:tcPr>
            <w:tcW w:w="562" w:type="dxa"/>
          </w:tcPr>
          <w:p w14:paraId="1670F8EF" w14:textId="77777777" w:rsidR="00244F2D" w:rsidRPr="00244F2D" w:rsidRDefault="00244F2D" w:rsidP="00244F2D">
            <w:pPr>
              <w:autoSpaceDE w:val="0"/>
              <w:autoSpaceDN w:val="0"/>
              <w:adjustRightInd w:val="0"/>
              <w:rPr>
                <w:lang w:val="en-US"/>
              </w:rPr>
            </w:pPr>
            <w:r w:rsidRPr="00244F2D">
              <w:rPr>
                <w:lang w:val="en-US"/>
              </w:rPr>
              <w:t xml:space="preserve">01 </w:t>
            </w:r>
          </w:p>
        </w:tc>
        <w:tc>
          <w:tcPr>
            <w:tcW w:w="3828" w:type="dxa"/>
          </w:tcPr>
          <w:p w14:paraId="070AA1A0" w14:textId="77777777" w:rsidR="00244F2D" w:rsidRPr="00244F2D" w:rsidRDefault="00244F2D" w:rsidP="00244F2D">
            <w:pPr>
              <w:autoSpaceDE w:val="0"/>
              <w:autoSpaceDN w:val="0"/>
              <w:adjustRightInd w:val="0"/>
              <w:rPr>
                <w:lang w:val="en-US"/>
              </w:rPr>
            </w:pPr>
            <w:r w:rsidRPr="00244F2D">
              <w:rPr>
                <w:lang w:val="en-US"/>
              </w:rPr>
              <w:t xml:space="preserve">Nkanini Phase 1 Rural Housing Project </w:t>
            </w:r>
          </w:p>
        </w:tc>
        <w:tc>
          <w:tcPr>
            <w:tcW w:w="1701" w:type="dxa"/>
          </w:tcPr>
          <w:p w14:paraId="3DE71E76" w14:textId="77777777" w:rsidR="00244F2D" w:rsidRPr="00244F2D" w:rsidRDefault="00244F2D" w:rsidP="00244F2D">
            <w:pPr>
              <w:autoSpaceDE w:val="0"/>
              <w:autoSpaceDN w:val="0"/>
              <w:adjustRightInd w:val="0"/>
              <w:rPr>
                <w:lang w:val="en-US"/>
              </w:rPr>
            </w:pPr>
            <w:r w:rsidRPr="00244F2D">
              <w:rPr>
                <w:lang w:val="en-US"/>
              </w:rPr>
              <w:t xml:space="preserve">7 </w:t>
            </w:r>
          </w:p>
        </w:tc>
        <w:tc>
          <w:tcPr>
            <w:tcW w:w="1559" w:type="dxa"/>
          </w:tcPr>
          <w:p w14:paraId="66887C91" w14:textId="77777777" w:rsidR="00244F2D" w:rsidRPr="00244F2D" w:rsidRDefault="00244F2D" w:rsidP="00244F2D">
            <w:pPr>
              <w:autoSpaceDE w:val="0"/>
              <w:autoSpaceDN w:val="0"/>
              <w:adjustRightInd w:val="0"/>
              <w:rPr>
                <w:lang w:val="en-US"/>
              </w:rPr>
            </w:pPr>
            <w:r w:rsidRPr="00244F2D">
              <w:rPr>
                <w:lang w:val="en-US"/>
              </w:rPr>
              <w:t xml:space="preserve">Rural </w:t>
            </w:r>
          </w:p>
        </w:tc>
        <w:tc>
          <w:tcPr>
            <w:tcW w:w="1635" w:type="dxa"/>
          </w:tcPr>
          <w:p w14:paraId="1D1FAF81" w14:textId="77777777" w:rsidR="00244F2D" w:rsidRPr="00244F2D" w:rsidRDefault="00244F2D" w:rsidP="00244F2D">
            <w:pPr>
              <w:autoSpaceDE w:val="0"/>
              <w:autoSpaceDN w:val="0"/>
              <w:adjustRightInd w:val="0"/>
              <w:rPr>
                <w:lang w:val="en-US"/>
              </w:rPr>
            </w:pPr>
            <w:r w:rsidRPr="00244F2D">
              <w:rPr>
                <w:lang w:val="en-US"/>
              </w:rPr>
              <w:t xml:space="preserve">1000 </w:t>
            </w:r>
          </w:p>
        </w:tc>
      </w:tr>
      <w:tr w:rsidR="00244F2D" w:rsidRPr="00244F2D" w14:paraId="0A503852" w14:textId="77777777" w:rsidTr="00D3193D">
        <w:trPr>
          <w:trHeight w:val="28"/>
        </w:trPr>
        <w:tc>
          <w:tcPr>
            <w:tcW w:w="562" w:type="dxa"/>
          </w:tcPr>
          <w:p w14:paraId="0AA9C2A7" w14:textId="77777777" w:rsidR="00244F2D" w:rsidRPr="00244F2D" w:rsidRDefault="00244F2D" w:rsidP="00244F2D">
            <w:pPr>
              <w:autoSpaceDE w:val="0"/>
              <w:autoSpaceDN w:val="0"/>
              <w:adjustRightInd w:val="0"/>
              <w:rPr>
                <w:lang w:val="en-US"/>
              </w:rPr>
            </w:pPr>
            <w:r w:rsidRPr="00244F2D">
              <w:rPr>
                <w:lang w:val="en-US"/>
              </w:rPr>
              <w:t xml:space="preserve">02 </w:t>
            </w:r>
          </w:p>
        </w:tc>
        <w:tc>
          <w:tcPr>
            <w:tcW w:w="3828" w:type="dxa"/>
          </w:tcPr>
          <w:p w14:paraId="2D9D26BC" w14:textId="77777777" w:rsidR="00244F2D" w:rsidRPr="00244F2D" w:rsidRDefault="00244F2D" w:rsidP="00244F2D">
            <w:pPr>
              <w:autoSpaceDE w:val="0"/>
              <w:autoSpaceDN w:val="0"/>
              <w:adjustRightInd w:val="0"/>
              <w:rPr>
                <w:lang w:val="en-US"/>
              </w:rPr>
            </w:pPr>
            <w:r w:rsidRPr="00244F2D">
              <w:rPr>
                <w:lang w:val="en-US"/>
              </w:rPr>
              <w:t xml:space="preserve">Vuma Phase 1 Rural Housing Project </w:t>
            </w:r>
          </w:p>
        </w:tc>
        <w:tc>
          <w:tcPr>
            <w:tcW w:w="1701" w:type="dxa"/>
          </w:tcPr>
          <w:p w14:paraId="00E3B844" w14:textId="77777777" w:rsidR="00244F2D" w:rsidRPr="00244F2D" w:rsidRDefault="00244F2D" w:rsidP="00244F2D">
            <w:pPr>
              <w:autoSpaceDE w:val="0"/>
              <w:autoSpaceDN w:val="0"/>
              <w:adjustRightInd w:val="0"/>
              <w:rPr>
                <w:lang w:val="en-US"/>
              </w:rPr>
            </w:pPr>
            <w:r w:rsidRPr="00244F2D">
              <w:rPr>
                <w:lang w:val="en-US"/>
              </w:rPr>
              <w:t xml:space="preserve">8 </w:t>
            </w:r>
          </w:p>
        </w:tc>
        <w:tc>
          <w:tcPr>
            <w:tcW w:w="1559" w:type="dxa"/>
          </w:tcPr>
          <w:p w14:paraId="3B20C47F" w14:textId="77777777" w:rsidR="00244F2D" w:rsidRPr="00244F2D" w:rsidRDefault="00244F2D" w:rsidP="00244F2D">
            <w:pPr>
              <w:autoSpaceDE w:val="0"/>
              <w:autoSpaceDN w:val="0"/>
              <w:adjustRightInd w:val="0"/>
              <w:rPr>
                <w:lang w:val="en-US"/>
              </w:rPr>
            </w:pPr>
            <w:r w:rsidRPr="00244F2D">
              <w:rPr>
                <w:lang w:val="en-US"/>
              </w:rPr>
              <w:t xml:space="preserve">Rural </w:t>
            </w:r>
          </w:p>
        </w:tc>
        <w:tc>
          <w:tcPr>
            <w:tcW w:w="1635" w:type="dxa"/>
          </w:tcPr>
          <w:p w14:paraId="731F1407" w14:textId="77777777" w:rsidR="00244F2D" w:rsidRPr="00244F2D" w:rsidRDefault="00244F2D" w:rsidP="00244F2D">
            <w:pPr>
              <w:autoSpaceDE w:val="0"/>
              <w:autoSpaceDN w:val="0"/>
              <w:adjustRightInd w:val="0"/>
              <w:rPr>
                <w:lang w:val="en-US"/>
              </w:rPr>
            </w:pPr>
            <w:r w:rsidRPr="00244F2D">
              <w:rPr>
                <w:lang w:val="en-US"/>
              </w:rPr>
              <w:t xml:space="preserve">1000 </w:t>
            </w:r>
          </w:p>
        </w:tc>
      </w:tr>
      <w:tr w:rsidR="00244F2D" w:rsidRPr="00244F2D" w14:paraId="227AAB74" w14:textId="77777777" w:rsidTr="00D3193D">
        <w:trPr>
          <w:trHeight w:val="28"/>
        </w:trPr>
        <w:tc>
          <w:tcPr>
            <w:tcW w:w="562" w:type="dxa"/>
          </w:tcPr>
          <w:p w14:paraId="428D6B4B" w14:textId="77777777" w:rsidR="00244F2D" w:rsidRPr="00244F2D" w:rsidRDefault="00244F2D" w:rsidP="00244F2D">
            <w:pPr>
              <w:autoSpaceDE w:val="0"/>
              <w:autoSpaceDN w:val="0"/>
              <w:adjustRightInd w:val="0"/>
              <w:rPr>
                <w:lang w:val="en-US"/>
              </w:rPr>
            </w:pPr>
            <w:r w:rsidRPr="00244F2D">
              <w:rPr>
                <w:lang w:val="en-US"/>
              </w:rPr>
              <w:t xml:space="preserve">03 </w:t>
            </w:r>
          </w:p>
        </w:tc>
        <w:tc>
          <w:tcPr>
            <w:tcW w:w="3828" w:type="dxa"/>
          </w:tcPr>
          <w:p w14:paraId="4659FD5A" w14:textId="77777777" w:rsidR="00244F2D" w:rsidRPr="00244F2D" w:rsidRDefault="00244F2D" w:rsidP="00244F2D">
            <w:pPr>
              <w:autoSpaceDE w:val="0"/>
              <w:autoSpaceDN w:val="0"/>
              <w:adjustRightInd w:val="0"/>
              <w:rPr>
                <w:lang w:val="en-US"/>
              </w:rPr>
            </w:pPr>
            <w:r w:rsidRPr="00244F2D">
              <w:rPr>
                <w:lang w:val="en-US"/>
              </w:rPr>
              <w:t xml:space="preserve">Bhekeshowe Phase 2 Rural Housing Project </w:t>
            </w:r>
          </w:p>
        </w:tc>
        <w:tc>
          <w:tcPr>
            <w:tcW w:w="1701" w:type="dxa"/>
          </w:tcPr>
          <w:p w14:paraId="05594F20" w14:textId="77777777" w:rsidR="00244F2D" w:rsidRPr="00244F2D" w:rsidRDefault="00244F2D" w:rsidP="00244F2D">
            <w:pPr>
              <w:autoSpaceDE w:val="0"/>
              <w:autoSpaceDN w:val="0"/>
              <w:adjustRightInd w:val="0"/>
              <w:rPr>
                <w:lang w:val="en-US"/>
              </w:rPr>
            </w:pPr>
            <w:r w:rsidRPr="00244F2D">
              <w:rPr>
                <w:lang w:val="en-US"/>
              </w:rPr>
              <w:t xml:space="preserve">25,26 </w:t>
            </w:r>
          </w:p>
        </w:tc>
        <w:tc>
          <w:tcPr>
            <w:tcW w:w="1559" w:type="dxa"/>
          </w:tcPr>
          <w:p w14:paraId="4E3D218B" w14:textId="77777777" w:rsidR="00244F2D" w:rsidRPr="00244F2D" w:rsidRDefault="00244F2D" w:rsidP="00244F2D">
            <w:pPr>
              <w:autoSpaceDE w:val="0"/>
              <w:autoSpaceDN w:val="0"/>
              <w:adjustRightInd w:val="0"/>
              <w:rPr>
                <w:lang w:val="en-US"/>
              </w:rPr>
            </w:pPr>
            <w:r w:rsidRPr="00244F2D">
              <w:rPr>
                <w:lang w:val="en-US"/>
              </w:rPr>
              <w:t xml:space="preserve">Rural </w:t>
            </w:r>
          </w:p>
        </w:tc>
        <w:tc>
          <w:tcPr>
            <w:tcW w:w="1635" w:type="dxa"/>
          </w:tcPr>
          <w:p w14:paraId="1A3C9DB3" w14:textId="77777777" w:rsidR="00244F2D" w:rsidRPr="00244F2D" w:rsidRDefault="00244F2D" w:rsidP="00244F2D">
            <w:pPr>
              <w:autoSpaceDE w:val="0"/>
              <w:autoSpaceDN w:val="0"/>
              <w:adjustRightInd w:val="0"/>
              <w:rPr>
                <w:lang w:val="en-US"/>
              </w:rPr>
            </w:pPr>
            <w:r w:rsidRPr="00244F2D">
              <w:rPr>
                <w:lang w:val="en-US"/>
              </w:rPr>
              <w:t xml:space="preserve">2000 </w:t>
            </w:r>
          </w:p>
        </w:tc>
      </w:tr>
      <w:tr w:rsidR="00244F2D" w:rsidRPr="00244F2D" w14:paraId="4DA4D575" w14:textId="77777777" w:rsidTr="00D3193D">
        <w:trPr>
          <w:trHeight w:val="28"/>
        </w:trPr>
        <w:tc>
          <w:tcPr>
            <w:tcW w:w="562" w:type="dxa"/>
          </w:tcPr>
          <w:p w14:paraId="5710494C" w14:textId="77777777" w:rsidR="00244F2D" w:rsidRPr="00244F2D" w:rsidRDefault="00244F2D" w:rsidP="00244F2D">
            <w:pPr>
              <w:autoSpaceDE w:val="0"/>
              <w:autoSpaceDN w:val="0"/>
              <w:adjustRightInd w:val="0"/>
              <w:rPr>
                <w:lang w:val="en-US"/>
              </w:rPr>
            </w:pPr>
            <w:r w:rsidRPr="00244F2D">
              <w:rPr>
                <w:lang w:val="en-US"/>
              </w:rPr>
              <w:t xml:space="preserve">04 </w:t>
            </w:r>
          </w:p>
        </w:tc>
        <w:tc>
          <w:tcPr>
            <w:tcW w:w="3828" w:type="dxa"/>
          </w:tcPr>
          <w:p w14:paraId="26D8BF61" w14:textId="77777777" w:rsidR="00244F2D" w:rsidRPr="00244F2D" w:rsidRDefault="00244F2D" w:rsidP="00244F2D">
            <w:pPr>
              <w:autoSpaceDE w:val="0"/>
              <w:autoSpaceDN w:val="0"/>
              <w:adjustRightInd w:val="0"/>
              <w:rPr>
                <w:lang w:val="en-US"/>
              </w:rPr>
            </w:pPr>
            <w:r w:rsidRPr="00244F2D">
              <w:rPr>
                <w:lang w:val="en-US"/>
              </w:rPr>
              <w:t xml:space="preserve">Mpungose Phase 2 Rural Housing Project </w:t>
            </w:r>
          </w:p>
        </w:tc>
        <w:tc>
          <w:tcPr>
            <w:tcW w:w="1701" w:type="dxa"/>
          </w:tcPr>
          <w:p w14:paraId="6432ACC0" w14:textId="77777777" w:rsidR="00244F2D" w:rsidRPr="00244F2D" w:rsidRDefault="00244F2D" w:rsidP="00244F2D">
            <w:pPr>
              <w:autoSpaceDE w:val="0"/>
              <w:autoSpaceDN w:val="0"/>
              <w:adjustRightInd w:val="0"/>
              <w:rPr>
                <w:lang w:val="en-US"/>
              </w:rPr>
            </w:pPr>
            <w:r w:rsidRPr="00244F2D">
              <w:rPr>
                <w:lang w:val="en-US"/>
              </w:rPr>
              <w:t xml:space="preserve">9,10,14 </w:t>
            </w:r>
          </w:p>
        </w:tc>
        <w:tc>
          <w:tcPr>
            <w:tcW w:w="1559" w:type="dxa"/>
          </w:tcPr>
          <w:p w14:paraId="071A2AA7" w14:textId="77777777" w:rsidR="00244F2D" w:rsidRPr="00244F2D" w:rsidRDefault="00244F2D" w:rsidP="00244F2D">
            <w:pPr>
              <w:autoSpaceDE w:val="0"/>
              <w:autoSpaceDN w:val="0"/>
              <w:adjustRightInd w:val="0"/>
              <w:rPr>
                <w:lang w:val="en-US"/>
              </w:rPr>
            </w:pPr>
            <w:r w:rsidRPr="00244F2D">
              <w:rPr>
                <w:lang w:val="en-US"/>
              </w:rPr>
              <w:t xml:space="preserve">Rural </w:t>
            </w:r>
          </w:p>
        </w:tc>
        <w:tc>
          <w:tcPr>
            <w:tcW w:w="1635" w:type="dxa"/>
          </w:tcPr>
          <w:p w14:paraId="11E30789" w14:textId="77777777" w:rsidR="00244F2D" w:rsidRPr="00244F2D" w:rsidRDefault="00244F2D" w:rsidP="00244F2D">
            <w:pPr>
              <w:autoSpaceDE w:val="0"/>
              <w:autoSpaceDN w:val="0"/>
              <w:adjustRightInd w:val="0"/>
              <w:rPr>
                <w:lang w:val="en-US"/>
              </w:rPr>
            </w:pPr>
            <w:r w:rsidRPr="00244F2D">
              <w:rPr>
                <w:lang w:val="en-US"/>
              </w:rPr>
              <w:t xml:space="preserve">2000 </w:t>
            </w:r>
          </w:p>
        </w:tc>
      </w:tr>
      <w:tr w:rsidR="00244F2D" w:rsidRPr="00244F2D" w14:paraId="6E2CF3C0" w14:textId="77777777" w:rsidTr="00D3193D">
        <w:trPr>
          <w:trHeight w:val="28"/>
        </w:trPr>
        <w:tc>
          <w:tcPr>
            <w:tcW w:w="562" w:type="dxa"/>
          </w:tcPr>
          <w:p w14:paraId="479DB64E" w14:textId="77777777" w:rsidR="00244F2D" w:rsidRPr="00244F2D" w:rsidRDefault="00244F2D" w:rsidP="00244F2D">
            <w:pPr>
              <w:autoSpaceDE w:val="0"/>
              <w:autoSpaceDN w:val="0"/>
              <w:adjustRightInd w:val="0"/>
              <w:rPr>
                <w:lang w:val="en-US"/>
              </w:rPr>
            </w:pPr>
            <w:r w:rsidRPr="00244F2D">
              <w:rPr>
                <w:lang w:val="en-US"/>
              </w:rPr>
              <w:t xml:space="preserve">05 </w:t>
            </w:r>
          </w:p>
        </w:tc>
        <w:tc>
          <w:tcPr>
            <w:tcW w:w="3828" w:type="dxa"/>
          </w:tcPr>
          <w:p w14:paraId="0867AF26" w14:textId="77777777" w:rsidR="00244F2D" w:rsidRPr="00244F2D" w:rsidRDefault="00244F2D" w:rsidP="00244F2D">
            <w:pPr>
              <w:autoSpaceDE w:val="0"/>
              <w:autoSpaceDN w:val="0"/>
              <w:adjustRightInd w:val="0"/>
              <w:rPr>
                <w:lang w:val="en-US"/>
              </w:rPr>
            </w:pPr>
            <w:r w:rsidRPr="00244F2D">
              <w:rPr>
                <w:lang w:val="en-US"/>
              </w:rPr>
              <w:t xml:space="preserve">Mombeni Phase 2 Rural Housing Project </w:t>
            </w:r>
          </w:p>
        </w:tc>
        <w:tc>
          <w:tcPr>
            <w:tcW w:w="1701" w:type="dxa"/>
          </w:tcPr>
          <w:p w14:paraId="0CB6EBFF" w14:textId="77777777" w:rsidR="00244F2D" w:rsidRPr="00244F2D" w:rsidRDefault="00244F2D" w:rsidP="00244F2D">
            <w:pPr>
              <w:autoSpaceDE w:val="0"/>
              <w:autoSpaceDN w:val="0"/>
              <w:adjustRightInd w:val="0"/>
              <w:rPr>
                <w:lang w:val="en-US"/>
              </w:rPr>
            </w:pPr>
            <w:r w:rsidRPr="00244F2D">
              <w:rPr>
                <w:lang w:val="en-US"/>
              </w:rPr>
              <w:t xml:space="preserve">6 </w:t>
            </w:r>
          </w:p>
        </w:tc>
        <w:tc>
          <w:tcPr>
            <w:tcW w:w="1559" w:type="dxa"/>
          </w:tcPr>
          <w:p w14:paraId="60884909" w14:textId="77777777" w:rsidR="00244F2D" w:rsidRPr="00244F2D" w:rsidRDefault="00244F2D" w:rsidP="00244F2D">
            <w:pPr>
              <w:autoSpaceDE w:val="0"/>
              <w:autoSpaceDN w:val="0"/>
              <w:adjustRightInd w:val="0"/>
              <w:rPr>
                <w:lang w:val="en-US"/>
              </w:rPr>
            </w:pPr>
            <w:r w:rsidRPr="00244F2D">
              <w:rPr>
                <w:lang w:val="en-US"/>
              </w:rPr>
              <w:t xml:space="preserve">Rural </w:t>
            </w:r>
          </w:p>
        </w:tc>
        <w:tc>
          <w:tcPr>
            <w:tcW w:w="1635" w:type="dxa"/>
          </w:tcPr>
          <w:p w14:paraId="6766CF56" w14:textId="77777777" w:rsidR="00244F2D" w:rsidRPr="00244F2D" w:rsidRDefault="00244F2D" w:rsidP="00244F2D">
            <w:pPr>
              <w:autoSpaceDE w:val="0"/>
              <w:autoSpaceDN w:val="0"/>
              <w:adjustRightInd w:val="0"/>
              <w:rPr>
                <w:lang w:val="en-US"/>
              </w:rPr>
            </w:pPr>
            <w:r w:rsidRPr="00244F2D">
              <w:rPr>
                <w:lang w:val="en-US"/>
              </w:rPr>
              <w:t xml:space="preserve">2000 </w:t>
            </w:r>
          </w:p>
        </w:tc>
      </w:tr>
      <w:tr w:rsidR="00244F2D" w:rsidRPr="00244F2D" w14:paraId="7DCA293B" w14:textId="77777777" w:rsidTr="00D3193D">
        <w:trPr>
          <w:trHeight w:val="28"/>
        </w:trPr>
        <w:tc>
          <w:tcPr>
            <w:tcW w:w="562" w:type="dxa"/>
          </w:tcPr>
          <w:p w14:paraId="4D9000F7" w14:textId="77777777" w:rsidR="00244F2D" w:rsidRPr="00244F2D" w:rsidRDefault="00244F2D" w:rsidP="00244F2D">
            <w:pPr>
              <w:autoSpaceDE w:val="0"/>
              <w:autoSpaceDN w:val="0"/>
              <w:adjustRightInd w:val="0"/>
              <w:rPr>
                <w:lang w:val="en-US"/>
              </w:rPr>
            </w:pPr>
            <w:r w:rsidRPr="00244F2D">
              <w:rPr>
                <w:lang w:val="en-US"/>
              </w:rPr>
              <w:t xml:space="preserve">06 </w:t>
            </w:r>
          </w:p>
        </w:tc>
        <w:tc>
          <w:tcPr>
            <w:tcW w:w="3828" w:type="dxa"/>
          </w:tcPr>
          <w:p w14:paraId="2881D315" w14:textId="77777777" w:rsidR="00244F2D" w:rsidRPr="00244F2D" w:rsidRDefault="00244F2D" w:rsidP="00244F2D">
            <w:pPr>
              <w:autoSpaceDE w:val="0"/>
              <w:autoSpaceDN w:val="0"/>
              <w:adjustRightInd w:val="0"/>
              <w:rPr>
                <w:lang w:val="en-US"/>
              </w:rPr>
            </w:pPr>
            <w:r w:rsidRPr="00244F2D">
              <w:rPr>
                <w:lang w:val="en-US"/>
              </w:rPr>
              <w:t xml:space="preserve">Ngudwini Phase 2 Rural Housing Project </w:t>
            </w:r>
          </w:p>
        </w:tc>
        <w:tc>
          <w:tcPr>
            <w:tcW w:w="1701" w:type="dxa"/>
          </w:tcPr>
          <w:p w14:paraId="178B8DD2" w14:textId="77777777" w:rsidR="00244F2D" w:rsidRPr="00244F2D" w:rsidRDefault="00244F2D" w:rsidP="00244F2D">
            <w:pPr>
              <w:autoSpaceDE w:val="0"/>
              <w:autoSpaceDN w:val="0"/>
              <w:adjustRightInd w:val="0"/>
              <w:rPr>
                <w:lang w:val="en-US"/>
              </w:rPr>
            </w:pPr>
            <w:r w:rsidRPr="00244F2D">
              <w:rPr>
                <w:lang w:val="en-US"/>
              </w:rPr>
              <w:t xml:space="preserve">5 </w:t>
            </w:r>
          </w:p>
        </w:tc>
        <w:tc>
          <w:tcPr>
            <w:tcW w:w="1559" w:type="dxa"/>
          </w:tcPr>
          <w:p w14:paraId="5FCC65D0" w14:textId="77777777" w:rsidR="00244F2D" w:rsidRPr="00244F2D" w:rsidRDefault="00244F2D" w:rsidP="00244F2D">
            <w:pPr>
              <w:autoSpaceDE w:val="0"/>
              <w:autoSpaceDN w:val="0"/>
              <w:adjustRightInd w:val="0"/>
              <w:rPr>
                <w:lang w:val="en-US"/>
              </w:rPr>
            </w:pPr>
            <w:r w:rsidRPr="00244F2D">
              <w:rPr>
                <w:lang w:val="en-US"/>
              </w:rPr>
              <w:t xml:space="preserve">Rural </w:t>
            </w:r>
          </w:p>
        </w:tc>
        <w:tc>
          <w:tcPr>
            <w:tcW w:w="1635" w:type="dxa"/>
          </w:tcPr>
          <w:p w14:paraId="3F6AC311" w14:textId="77777777" w:rsidR="00244F2D" w:rsidRPr="00244F2D" w:rsidRDefault="00244F2D" w:rsidP="00244F2D">
            <w:pPr>
              <w:autoSpaceDE w:val="0"/>
              <w:autoSpaceDN w:val="0"/>
              <w:adjustRightInd w:val="0"/>
              <w:rPr>
                <w:lang w:val="en-US"/>
              </w:rPr>
            </w:pPr>
            <w:r w:rsidRPr="00244F2D">
              <w:rPr>
                <w:lang w:val="en-US"/>
              </w:rPr>
              <w:t xml:space="preserve">2000 </w:t>
            </w:r>
          </w:p>
        </w:tc>
      </w:tr>
      <w:tr w:rsidR="00244F2D" w:rsidRPr="00244F2D" w14:paraId="4915C399" w14:textId="77777777" w:rsidTr="00D3193D">
        <w:trPr>
          <w:trHeight w:val="28"/>
        </w:trPr>
        <w:tc>
          <w:tcPr>
            <w:tcW w:w="562" w:type="dxa"/>
          </w:tcPr>
          <w:p w14:paraId="4F9CB644" w14:textId="77777777" w:rsidR="00244F2D" w:rsidRPr="00244F2D" w:rsidRDefault="00244F2D" w:rsidP="00244F2D">
            <w:pPr>
              <w:autoSpaceDE w:val="0"/>
              <w:autoSpaceDN w:val="0"/>
              <w:adjustRightInd w:val="0"/>
              <w:rPr>
                <w:lang w:val="en-US"/>
              </w:rPr>
            </w:pPr>
            <w:r w:rsidRPr="00244F2D">
              <w:rPr>
                <w:lang w:val="en-US"/>
              </w:rPr>
              <w:t xml:space="preserve">07 </w:t>
            </w:r>
          </w:p>
        </w:tc>
        <w:tc>
          <w:tcPr>
            <w:tcW w:w="3828" w:type="dxa"/>
          </w:tcPr>
          <w:p w14:paraId="4A093607" w14:textId="77777777" w:rsidR="00244F2D" w:rsidRPr="00244F2D" w:rsidRDefault="00244F2D" w:rsidP="00244F2D">
            <w:pPr>
              <w:autoSpaceDE w:val="0"/>
              <w:autoSpaceDN w:val="0"/>
              <w:adjustRightInd w:val="0"/>
              <w:rPr>
                <w:lang w:val="en-US"/>
              </w:rPr>
            </w:pPr>
            <w:r w:rsidRPr="00244F2D">
              <w:rPr>
                <w:lang w:val="en-US"/>
              </w:rPr>
              <w:t xml:space="preserve">Uyaya Phase 2 Rural Housing Project </w:t>
            </w:r>
          </w:p>
        </w:tc>
        <w:tc>
          <w:tcPr>
            <w:tcW w:w="1701" w:type="dxa"/>
          </w:tcPr>
          <w:p w14:paraId="5E6A96E3" w14:textId="77777777" w:rsidR="00244F2D" w:rsidRPr="00244F2D" w:rsidRDefault="00244F2D" w:rsidP="00244F2D">
            <w:pPr>
              <w:autoSpaceDE w:val="0"/>
              <w:autoSpaceDN w:val="0"/>
              <w:adjustRightInd w:val="0"/>
              <w:rPr>
                <w:lang w:val="en-US"/>
              </w:rPr>
            </w:pPr>
            <w:r w:rsidRPr="00244F2D">
              <w:rPr>
                <w:lang w:val="en-US"/>
              </w:rPr>
              <w:t xml:space="preserve">2,3,4,5 </w:t>
            </w:r>
          </w:p>
        </w:tc>
        <w:tc>
          <w:tcPr>
            <w:tcW w:w="1559" w:type="dxa"/>
          </w:tcPr>
          <w:p w14:paraId="3A2B7555" w14:textId="77777777" w:rsidR="00244F2D" w:rsidRPr="00244F2D" w:rsidRDefault="00244F2D" w:rsidP="00244F2D">
            <w:pPr>
              <w:autoSpaceDE w:val="0"/>
              <w:autoSpaceDN w:val="0"/>
              <w:adjustRightInd w:val="0"/>
              <w:rPr>
                <w:lang w:val="en-US"/>
              </w:rPr>
            </w:pPr>
            <w:r w:rsidRPr="00244F2D">
              <w:rPr>
                <w:lang w:val="en-US"/>
              </w:rPr>
              <w:t xml:space="preserve">Rural </w:t>
            </w:r>
          </w:p>
        </w:tc>
        <w:tc>
          <w:tcPr>
            <w:tcW w:w="1635" w:type="dxa"/>
          </w:tcPr>
          <w:p w14:paraId="304102D0" w14:textId="77777777" w:rsidR="00244F2D" w:rsidRPr="00244F2D" w:rsidRDefault="00244F2D" w:rsidP="00244F2D">
            <w:pPr>
              <w:autoSpaceDE w:val="0"/>
              <w:autoSpaceDN w:val="0"/>
              <w:adjustRightInd w:val="0"/>
              <w:rPr>
                <w:lang w:val="en-US"/>
              </w:rPr>
            </w:pPr>
            <w:r w:rsidRPr="00244F2D">
              <w:rPr>
                <w:lang w:val="en-US"/>
              </w:rPr>
              <w:t xml:space="preserve">2000 </w:t>
            </w:r>
          </w:p>
        </w:tc>
      </w:tr>
      <w:tr w:rsidR="00244F2D" w:rsidRPr="00244F2D" w14:paraId="6B8371F4" w14:textId="77777777" w:rsidTr="00D3193D">
        <w:trPr>
          <w:trHeight w:val="28"/>
        </w:trPr>
        <w:tc>
          <w:tcPr>
            <w:tcW w:w="562" w:type="dxa"/>
          </w:tcPr>
          <w:p w14:paraId="62FD9CD9" w14:textId="77777777" w:rsidR="00244F2D" w:rsidRPr="00244F2D" w:rsidRDefault="00244F2D" w:rsidP="00244F2D">
            <w:pPr>
              <w:autoSpaceDE w:val="0"/>
              <w:autoSpaceDN w:val="0"/>
              <w:adjustRightInd w:val="0"/>
              <w:rPr>
                <w:lang w:val="en-US"/>
              </w:rPr>
            </w:pPr>
            <w:r w:rsidRPr="00244F2D">
              <w:rPr>
                <w:lang w:val="en-US"/>
              </w:rPr>
              <w:t xml:space="preserve">08 </w:t>
            </w:r>
          </w:p>
        </w:tc>
        <w:tc>
          <w:tcPr>
            <w:tcW w:w="3828" w:type="dxa"/>
          </w:tcPr>
          <w:p w14:paraId="3677099F" w14:textId="77777777" w:rsidR="00244F2D" w:rsidRPr="00244F2D" w:rsidRDefault="00244F2D" w:rsidP="00244F2D">
            <w:pPr>
              <w:autoSpaceDE w:val="0"/>
              <w:autoSpaceDN w:val="0"/>
              <w:adjustRightInd w:val="0"/>
              <w:rPr>
                <w:lang w:val="en-US"/>
              </w:rPr>
            </w:pPr>
            <w:r w:rsidRPr="00244F2D">
              <w:rPr>
                <w:lang w:val="en-US"/>
              </w:rPr>
              <w:t xml:space="preserve">Ndlangubo Phase 2 Rural Housing Project </w:t>
            </w:r>
          </w:p>
        </w:tc>
        <w:tc>
          <w:tcPr>
            <w:tcW w:w="1701" w:type="dxa"/>
          </w:tcPr>
          <w:p w14:paraId="0FB8FBF8" w14:textId="77777777" w:rsidR="00244F2D" w:rsidRPr="00244F2D" w:rsidRDefault="00244F2D" w:rsidP="00244F2D">
            <w:pPr>
              <w:autoSpaceDE w:val="0"/>
              <w:autoSpaceDN w:val="0"/>
              <w:adjustRightInd w:val="0"/>
              <w:rPr>
                <w:lang w:val="en-US"/>
              </w:rPr>
            </w:pPr>
            <w:r w:rsidRPr="00244F2D">
              <w:rPr>
                <w:lang w:val="en-US"/>
              </w:rPr>
              <w:t xml:space="preserve">24,26 </w:t>
            </w:r>
          </w:p>
        </w:tc>
        <w:tc>
          <w:tcPr>
            <w:tcW w:w="1559" w:type="dxa"/>
          </w:tcPr>
          <w:p w14:paraId="46A71F74" w14:textId="77777777" w:rsidR="00244F2D" w:rsidRPr="00244F2D" w:rsidRDefault="00244F2D" w:rsidP="00244F2D">
            <w:pPr>
              <w:autoSpaceDE w:val="0"/>
              <w:autoSpaceDN w:val="0"/>
              <w:adjustRightInd w:val="0"/>
              <w:rPr>
                <w:lang w:val="en-US"/>
              </w:rPr>
            </w:pPr>
            <w:r w:rsidRPr="00244F2D">
              <w:rPr>
                <w:lang w:val="en-US"/>
              </w:rPr>
              <w:t xml:space="preserve">Rural </w:t>
            </w:r>
          </w:p>
        </w:tc>
        <w:tc>
          <w:tcPr>
            <w:tcW w:w="1635" w:type="dxa"/>
          </w:tcPr>
          <w:p w14:paraId="146E6E20" w14:textId="77777777" w:rsidR="00244F2D" w:rsidRPr="00244F2D" w:rsidRDefault="00244F2D" w:rsidP="00244F2D">
            <w:pPr>
              <w:autoSpaceDE w:val="0"/>
              <w:autoSpaceDN w:val="0"/>
              <w:adjustRightInd w:val="0"/>
              <w:rPr>
                <w:lang w:val="en-US"/>
              </w:rPr>
            </w:pPr>
            <w:r w:rsidRPr="00244F2D">
              <w:rPr>
                <w:lang w:val="en-US"/>
              </w:rPr>
              <w:t xml:space="preserve">2000 </w:t>
            </w:r>
          </w:p>
        </w:tc>
      </w:tr>
      <w:tr w:rsidR="00244F2D" w:rsidRPr="00244F2D" w14:paraId="57E9114C" w14:textId="77777777" w:rsidTr="00D3193D">
        <w:trPr>
          <w:trHeight w:val="28"/>
        </w:trPr>
        <w:tc>
          <w:tcPr>
            <w:tcW w:w="562" w:type="dxa"/>
          </w:tcPr>
          <w:p w14:paraId="2CB77D8D" w14:textId="77777777" w:rsidR="00244F2D" w:rsidRPr="00244F2D" w:rsidRDefault="00244F2D" w:rsidP="00244F2D">
            <w:pPr>
              <w:autoSpaceDE w:val="0"/>
              <w:autoSpaceDN w:val="0"/>
              <w:adjustRightInd w:val="0"/>
              <w:rPr>
                <w:lang w:val="en-US"/>
              </w:rPr>
            </w:pPr>
            <w:r w:rsidRPr="00244F2D">
              <w:rPr>
                <w:lang w:val="en-US"/>
              </w:rPr>
              <w:t xml:space="preserve">09 </w:t>
            </w:r>
          </w:p>
        </w:tc>
        <w:tc>
          <w:tcPr>
            <w:tcW w:w="3828" w:type="dxa"/>
          </w:tcPr>
          <w:p w14:paraId="165850E2" w14:textId="77777777" w:rsidR="00244F2D" w:rsidRPr="00244F2D" w:rsidRDefault="00244F2D" w:rsidP="00244F2D">
            <w:pPr>
              <w:autoSpaceDE w:val="0"/>
              <w:autoSpaceDN w:val="0"/>
              <w:adjustRightInd w:val="0"/>
              <w:rPr>
                <w:lang w:val="en-US"/>
              </w:rPr>
            </w:pPr>
            <w:r w:rsidRPr="00244F2D">
              <w:rPr>
                <w:lang w:val="en-US"/>
              </w:rPr>
              <w:t xml:space="preserve">Mvuzane Phase 2 Rural Housing Project </w:t>
            </w:r>
          </w:p>
        </w:tc>
        <w:tc>
          <w:tcPr>
            <w:tcW w:w="1701" w:type="dxa"/>
          </w:tcPr>
          <w:p w14:paraId="5523AC97" w14:textId="77777777" w:rsidR="00244F2D" w:rsidRPr="00244F2D" w:rsidRDefault="00244F2D" w:rsidP="00244F2D">
            <w:pPr>
              <w:autoSpaceDE w:val="0"/>
              <w:autoSpaceDN w:val="0"/>
              <w:adjustRightInd w:val="0"/>
              <w:rPr>
                <w:lang w:val="en-US"/>
              </w:rPr>
            </w:pPr>
            <w:r w:rsidRPr="00244F2D">
              <w:rPr>
                <w:lang w:val="en-US"/>
              </w:rPr>
              <w:t xml:space="preserve">1,4 </w:t>
            </w:r>
          </w:p>
        </w:tc>
        <w:tc>
          <w:tcPr>
            <w:tcW w:w="1559" w:type="dxa"/>
          </w:tcPr>
          <w:p w14:paraId="54A1096D" w14:textId="77777777" w:rsidR="00244F2D" w:rsidRPr="00244F2D" w:rsidRDefault="00244F2D" w:rsidP="00244F2D">
            <w:pPr>
              <w:autoSpaceDE w:val="0"/>
              <w:autoSpaceDN w:val="0"/>
              <w:adjustRightInd w:val="0"/>
              <w:rPr>
                <w:lang w:val="en-US"/>
              </w:rPr>
            </w:pPr>
            <w:r w:rsidRPr="00244F2D">
              <w:rPr>
                <w:lang w:val="en-US"/>
              </w:rPr>
              <w:t xml:space="preserve">Rural </w:t>
            </w:r>
          </w:p>
        </w:tc>
        <w:tc>
          <w:tcPr>
            <w:tcW w:w="1635" w:type="dxa"/>
          </w:tcPr>
          <w:p w14:paraId="40F37C01" w14:textId="77777777" w:rsidR="00244F2D" w:rsidRPr="00244F2D" w:rsidRDefault="00244F2D" w:rsidP="00244F2D">
            <w:pPr>
              <w:autoSpaceDE w:val="0"/>
              <w:autoSpaceDN w:val="0"/>
              <w:adjustRightInd w:val="0"/>
              <w:rPr>
                <w:lang w:val="en-US"/>
              </w:rPr>
            </w:pPr>
            <w:r w:rsidRPr="00244F2D">
              <w:rPr>
                <w:lang w:val="en-US"/>
              </w:rPr>
              <w:t xml:space="preserve">2000 </w:t>
            </w:r>
          </w:p>
        </w:tc>
      </w:tr>
      <w:tr w:rsidR="00244F2D" w:rsidRPr="00244F2D" w14:paraId="140963C6" w14:textId="77777777" w:rsidTr="00D3193D">
        <w:trPr>
          <w:trHeight w:val="28"/>
        </w:trPr>
        <w:tc>
          <w:tcPr>
            <w:tcW w:w="562" w:type="dxa"/>
          </w:tcPr>
          <w:p w14:paraId="23496FC5" w14:textId="77777777" w:rsidR="00244F2D" w:rsidRPr="00244F2D" w:rsidRDefault="00244F2D" w:rsidP="00244F2D">
            <w:pPr>
              <w:autoSpaceDE w:val="0"/>
              <w:autoSpaceDN w:val="0"/>
              <w:adjustRightInd w:val="0"/>
              <w:rPr>
                <w:lang w:val="en-US"/>
              </w:rPr>
            </w:pPr>
            <w:r w:rsidRPr="00244F2D">
              <w:rPr>
                <w:lang w:val="en-US"/>
              </w:rPr>
              <w:t xml:space="preserve">10 </w:t>
            </w:r>
          </w:p>
        </w:tc>
        <w:tc>
          <w:tcPr>
            <w:tcW w:w="3828" w:type="dxa"/>
          </w:tcPr>
          <w:p w14:paraId="5351A644" w14:textId="77777777" w:rsidR="00244F2D" w:rsidRPr="00244F2D" w:rsidRDefault="00244F2D" w:rsidP="00244F2D">
            <w:pPr>
              <w:autoSpaceDE w:val="0"/>
              <w:autoSpaceDN w:val="0"/>
              <w:adjustRightInd w:val="0"/>
              <w:rPr>
                <w:lang w:val="en-US"/>
              </w:rPr>
            </w:pPr>
            <w:r w:rsidRPr="00244F2D">
              <w:rPr>
                <w:lang w:val="en-US"/>
              </w:rPr>
              <w:t xml:space="preserve">Kholweni Phase 2 Rural Housing Project </w:t>
            </w:r>
          </w:p>
        </w:tc>
        <w:tc>
          <w:tcPr>
            <w:tcW w:w="1701" w:type="dxa"/>
          </w:tcPr>
          <w:p w14:paraId="7E646667" w14:textId="77777777" w:rsidR="00244F2D" w:rsidRPr="00244F2D" w:rsidRDefault="00244F2D" w:rsidP="00244F2D">
            <w:pPr>
              <w:autoSpaceDE w:val="0"/>
              <w:autoSpaceDN w:val="0"/>
              <w:adjustRightInd w:val="0"/>
              <w:rPr>
                <w:lang w:val="en-US"/>
              </w:rPr>
            </w:pPr>
            <w:r w:rsidRPr="00244F2D">
              <w:rPr>
                <w:lang w:val="en-US"/>
              </w:rPr>
              <w:t xml:space="preserve">8 </w:t>
            </w:r>
          </w:p>
        </w:tc>
        <w:tc>
          <w:tcPr>
            <w:tcW w:w="1559" w:type="dxa"/>
          </w:tcPr>
          <w:p w14:paraId="6CB9663E" w14:textId="77777777" w:rsidR="00244F2D" w:rsidRPr="00244F2D" w:rsidRDefault="00244F2D" w:rsidP="00244F2D">
            <w:pPr>
              <w:autoSpaceDE w:val="0"/>
              <w:autoSpaceDN w:val="0"/>
              <w:adjustRightInd w:val="0"/>
              <w:rPr>
                <w:lang w:val="en-US"/>
              </w:rPr>
            </w:pPr>
            <w:r w:rsidRPr="00244F2D">
              <w:rPr>
                <w:lang w:val="en-US"/>
              </w:rPr>
              <w:t xml:space="preserve">Rural </w:t>
            </w:r>
          </w:p>
        </w:tc>
        <w:tc>
          <w:tcPr>
            <w:tcW w:w="1635" w:type="dxa"/>
          </w:tcPr>
          <w:p w14:paraId="1F9436DC" w14:textId="77777777" w:rsidR="00244F2D" w:rsidRPr="00244F2D" w:rsidRDefault="00244F2D" w:rsidP="00244F2D">
            <w:pPr>
              <w:autoSpaceDE w:val="0"/>
              <w:autoSpaceDN w:val="0"/>
              <w:adjustRightInd w:val="0"/>
              <w:rPr>
                <w:lang w:val="en-US"/>
              </w:rPr>
            </w:pPr>
            <w:r w:rsidRPr="00244F2D">
              <w:rPr>
                <w:lang w:val="en-US"/>
              </w:rPr>
              <w:t xml:space="preserve">2000 </w:t>
            </w:r>
          </w:p>
        </w:tc>
      </w:tr>
      <w:tr w:rsidR="00244F2D" w:rsidRPr="00244F2D" w14:paraId="52E44993" w14:textId="77777777" w:rsidTr="00D3193D">
        <w:trPr>
          <w:trHeight w:val="28"/>
        </w:trPr>
        <w:tc>
          <w:tcPr>
            <w:tcW w:w="562" w:type="dxa"/>
          </w:tcPr>
          <w:p w14:paraId="47457234" w14:textId="77777777" w:rsidR="00244F2D" w:rsidRPr="00244F2D" w:rsidRDefault="00244F2D" w:rsidP="00244F2D">
            <w:pPr>
              <w:autoSpaceDE w:val="0"/>
              <w:autoSpaceDN w:val="0"/>
              <w:adjustRightInd w:val="0"/>
              <w:rPr>
                <w:lang w:val="en-US"/>
              </w:rPr>
            </w:pPr>
            <w:r w:rsidRPr="00244F2D">
              <w:rPr>
                <w:lang w:val="en-US"/>
              </w:rPr>
              <w:t xml:space="preserve">11 </w:t>
            </w:r>
          </w:p>
        </w:tc>
        <w:tc>
          <w:tcPr>
            <w:tcW w:w="3828" w:type="dxa"/>
          </w:tcPr>
          <w:p w14:paraId="4E3B1579" w14:textId="77777777" w:rsidR="00244F2D" w:rsidRPr="00244F2D" w:rsidRDefault="00244F2D" w:rsidP="00244F2D">
            <w:pPr>
              <w:autoSpaceDE w:val="0"/>
              <w:autoSpaceDN w:val="0"/>
              <w:adjustRightInd w:val="0"/>
              <w:rPr>
                <w:lang w:val="en-US"/>
              </w:rPr>
            </w:pPr>
            <w:r w:rsidRPr="00244F2D">
              <w:rPr>
                <w:lang w:val="en-US"/>
              </w:rPr>
              <w:t xml:space="preserve">KwaKhoza Phase 2 Rural Housing Project </w:t>
            </w:r>
          </w:p>
        </w:tc>
        <w:tc>
          <w:tcPr>
            <w:tcW w:w="1701" w:type="dxa"/>
          </w:tcPr>
          <w:p w14:paraId="4BB3A1F7" w14:textId="77777777" w:rsidR="00244F2D" w:rsidRPr="00244F2D" w:rsidRDefault="00244F2D" w:rsidP="00244F2D">
            <w:pPr>
              <w:autoSpaceDE w:val="0"/>
              <w:autoSpaceDN w:val="0"/>
              <w:adjustRightInd w:val="0"/>
              <w:rPr>
                <w:lang w:val="en-US"/>
              </w:rPr>
            </w:pPr>
            <w:r w:rsidRPr="00244F2D">
              <w:rPr>
                <w:lang w:val="en-US"/>
              </w:rPr>
              <w:t xml:space="preserve">15,18 </w:t>
            </w:r>
          </w:p>
        </w:tc>
        <w:tc>
          <w:tcPr>
            <w:tcW w:w="1559" w:type="dxa"/>
          </w:tcPr>
          <w:p w14:paraId="455966DC" w14:textId="77777777" w:rsidR="00244F2D" w:rsidRPr="00244F2D" w:rsidRDefault="00244F2D" w:rsidP="00244F2D">
            <w:pPr>
              <w:autoSpaceDE w:val="0"/>
              <w:autoSpaceDN w:val="0"/>
              <w:adjustRightInd w:val="0"/>
              <w:rPr>
                <w:lang w:val="en-US"/>
              </w:rPr>
            </w:pPr>
            <w:r w:rsidRPr="00244F2D">
              <w:rPr>
                <w:lang w:val="en-US"/>
              </w:rPr>
              <w:t xml:space="preserve">Rural </w:t>
            </w:r>
          </w:p>
        </w:tc>
        <w:tc>
          <w:tcPr>
            <w:tcW w:w="1635" w:type="dxa"/>
          </w:tcPr>
          <w:p w14:paraId="11CBCF81" w14:textId="77777777" w:rsidR="00244F2D" w:rsidRPr="00244F2D" w:rsidRDefault="00244F2D" w:rsidP="00244F2D">
            <w:pPr>
              <w:autoSpaceDE w:val="0"/>
              <w:autoSpaceDN w:val="0"/>
              <w:adjustRightInd w:val="0"/>
              <w:rPr>
                <w:lang w:val="en-US"/>
              </w:rPr>
            </w:pPr>
            <w:r w:rsidRPr="00244F2D">
              <w:rPr>
                <w:lang w:val="en-US"/>
              </w:rPr>
              <w:t xml:space="preserve">2000 </w:t>
            </w:r>
          </w:p>
        </w:tc>
      </w:tr>
      <w:tr w:rsidR="00244F2D" w:rsidRPr="00244F2D" w14:paraId="35ED2117" w14:textId="77777777" w:rsidTr="00D3193D">
        <w:trPr>
          <w:trHeight w:val="28"/>
        </w:trPr>
        <w:tc>
          <w:tcPr>
            <w:tcW w:w="562" w:type="dxa"/>
          </w:tcPr>
          <w:p w14:paraId="1AE771B5" w14:textId="77777777" w:rsidR="00244F2D" w:rsidRPr="00244F2D" w:rsidRDefault="00244F2D" w:rsidP="00244F2D">
            <w:pPr>
              <w:autoSpaceDE w:val="0"/>
              <w:autoSpaceDN w:val="0"/>
              <w:adjustRightInd w:val="0"/>
              <w:rPr>
                <w:lang w:val="en-US"/>
              </w:rPr>
            </w:pPr>
            <w:r w:rsidRPr="00244F2D">
              <w:rPr>
                <w:lang w:val="en-US"/>
              </w:rPr>
              <w:t xml:space="preserve">12 </w:t>
            </w:r>
          </w:p>
        </w:tc>
        <w:tc>
          <w:tcPr>
            <w:tcW w:w="3828" w:type="dxa"/>
          </w:tcPr>
          <w:p w14:paraId="3C01F669" w14:textId="77777777" w:rsidR="00244F2D" w:rsidRPr="00244F2D" w:rsidRDefault="00244F2D" w:rsidP="00244F2D">
            <w:pPr>
              <w:autoSpaceDE w:val="0"/>
              <w:autoSpaceDN w:val="0"/>
              <w:adjustRightInd w:val="0"/>
              <w:rPr>
                <w:lang w:val="en-US"/>
              </w:rPr>
            </w:pPr>
            <w:r w:rsidRPr="00244F2D">
              <w:rPr>
                <w:lang w:val="en-US"/>
              </w:rPr>
              <w:t xml:space="preserve">KwaMondi Phase 2 Rural Housing Project </w:t>
            </w:r>
          </w:p>
        </w:tc>
        <w:tc>
          <w:tcPr>
            <w:tcW w:w="1701" w:type="dxa"/>
          </w:tcPr>
          <w:p w14:paraId="3256E2D3" w14:textId="77777777" w:rsidR="00244F2D" w:rsidRPr="00244F2D" w:rsidRDefault="00244F2D" w:rsidP="00244F2D">
            <w:pPr>
              <w:autoSpaceDE w:val="0"/>
              <w:autoSpaceDN w:val="0"/>
              <w:adjustRightInd w:val="0"/>
              <w:rPr>
                <w:lang w:val="en-US"/>
              </w:rPr>
            </w:pPr>
            <w:r w:rsidRPr="00244F2D">
              <w:rPr>
                <w:lang w:val="en-US"/>
              </w:rPr>
              <w:t xml:space="preserve">13 </w:t>
            </w:r>
          </w:p>
        </w:tc>
        <w:tc>
          <w:tcPr>
            <w:tcW w:w="1559" w:type="dxa"/>
          </w:tcPr>
          <w:p w14:paraId="4A4899D6" w14:textId="77777777" w:rsidR="00244F2D" w:rsidRPr="00244F2D" w:rsidRDefault="00244F2D" w:rsidP="00244F2D">
            <w:pPr>
              <w:autoSpaceDE w:val="0"/>
              <w:autoSpaceDN w:val="0"/>
              <w:adjustRightInd w:val="0"/>
              <w:rPr>
                <w:lang w:val="en-US"/>
              </w:rPr>
            </w:pPr>
            <w:r w:rsidRPr="00244F2D">
              <w:rPr>
                <w:lang w:val="en-US"/>
              </w:rPr>
              <w:t xml:space="preserve">Rural </w:t>
            </w:r>
          </w:p>
        </w:tc>
        <w:tc>
          <w:tcPr>
            <w:tcW w:w="1635" w:type="dxa"/>
          </w:tcPr>
          <w:p w14:paraId="5E4270C5" w14:textId="77777777" w:rsidR="00244F2D" w:rsidRPr="00244F2D" w:rsidRDefault="00244F2D" w:rsidP="00244F2D">
            <w:pPr>
              <w:autoSpaceDE w:val="0"/>
              <w:autoSpaceDN w:val="0"/>
              <w:adjustRightInd w:val="0"/>
              <w:rPr>
                <w:lang w:val="en-US"/>
              </w:rPr>
            </w:pPr>
            <w:r w:rsidRPr="00244F2D">
              <w:rPr>
                <w:lang w:val="en-US"/>
              </w:rPr>
              <w:t xml:space="preserve">2000 </w:t>
            </w:r>
          </w:p>
        </w:tc>
      </w:tr>
      <w:tr w:rsidR="00244F2D" w:rsidRPr="00244F2D" w14:paraId="64A72DDA" w14:textId="77777777" w:rsidTr="00D3193D">
        <w:trPr>
          <w:trHeight w:val="28"/>
        </w:trPr>
        <w:tc>
          <w:tcPr>
            <w:tcW w:w="562" w:type="dxa"/>
          </w:tcPr>
          <w:p w14:paraId="651B3BEE" w14:textId="77777777" w:rsidR="00244F2D" w:rsidRPr="00244F2D" w:rsidRDefault="00244F2D" w:rsidP="00244F2D">
            <w:pPr>
              <w:autoSpaceDE w:val="0"/>
              <w:autoSpaceDN w:val="0"/>
              <w:adjustRightInd w:val="0"/>
              <w:rPr>
                <w:lang w:val="en-US"/>
              </w:rPr>
            </w:pPr>
            <w:r w:rsidRPr="00244F2D">
              <w:rPr>
                <w:lang w:val="en-US"/>
              </w:rPr>
              <w:t xml:space="preserve">13 </w:t>
            </w:r>
          </w:p>
        </w:tc>
        <w:tc>
          <w:tcPr>
            <w:tcW w:w="3828" w:type="dxa"/>
          </w:tcPr>
          <w:p w14:paraId="60D70BBA" w14:textId="77777777" w:rsidR="00244F2D" w:rsidRPr="00244F2D" w:rsidRDefault="00244F2D" w:rsidP="00244F2D">
            <w:pPr>
              <w:autoSpaceDE w:val="0"/>
              <w:autoSpaceDN w:val="0"/>
              <w:adjustRightInd w:val="0"/>
              <w:rPr>
                <w:lang w:val="en-US"/>
              </w:rPr>
            </w:pPr>
            <w:r w:rsidRPr="00244F2D">
              <w:rPr>
                <w:lang w:val="en-US"/>
              </w:rPr>
              <w:t xml:space="preserve">Mamba Phase 2 Rural Housing Project </w:t>
            </w:r>
          </w:p>
        </w:tc>
        <w:tc>
          <w:tcPr>
            <w:tcW w:w="1701" w:type="dxa"/>
          </w:tcPr>
          <w:p w14:paraId="34E9B87C" w14:textId="77777777" w:rsidR="00244F2D" w:rsidRPr="00244F2D" w:rsidRDefault="00244F2D" w:rsidP="00244F2D">
            <w:pPr>
              <w:autoSpaceDE w:val="0"/>
              <w:autoSpaceDN w:val="0"/>
              <w:adjustRightInd w:val="0"/>
              <w:rPr>
                <w:lang w:val="en-US"/>
              </w:rPr>
            </w:pPr>
            <w:r w:rsidRPr="00244F2D">
              <w:rPr>
                <w:lang w:val="en-US"/>
              </w:rPr>
              <w:t xml:space="preserve">2 </w:t>
            </w:r>
          </w:p>
        </w:tc>
        <w:tc>
          <w:tcPr>
            <w:tcW w:w="1559" w:type="dxa"/>
          </w:tcPr>
          <w:p w14:paraId="055745B1" w14:textId="77777777" w:rsidR="00244F2D" w:rsidRPr="00244F2D" w:rsidRDefault="00244F2D" w:rsidP="00244F2D">
            <w:pPr>
              <w:autoSpaceDE w:val="0"/>
              <w:autoSpaceDN w:val="0"/>
              <w:adjustRightInd w:val="0"/>
              <w:rPr>
                <w:lang w:val="en-US"/>
              </w:rPr>
            </w:pPr>
            <w:r w:rsidRPr="00244F2D">
              <w:rPr>
                <w:lang w:val="en-US"/>
              </w:rPr>
              <w:t xml:space="preserve">Rural </w:t>
            </w:r>
          </w:p>
        </w:tc>
        <w:tc>
          <w:tcPr>
            <w:tcW w:w="1635" w:type="dxa"/>
          </w:tcPr>
          <w:p w14:paraId="00194636" w14:textId="77777777" w:rsidR="00244F2D" w:rsidRPr="00244F2D" w:rsidRDefault="00244F2D" w:rsidP="00244F2D">
            <w:pPr>
              <w:autoSpaceDE w:val="0"/>
              <w:autoSpaceDN w:val="0"/>
              <w:adjustRightInd w:val="0"/>
              <w:rPr>
                <w:lang w:val="en-US"/>
              </w:rPr>
            </w:pPr>
            <w:r w:rsidRPr="00244F2D">
              <w:rPr>
                <w:lang w:val="en-US"/>
              </w:rPr>
              <w:t xml:space="preserve">2000 </w:t>
            </w:r>
          </w:p>
        </w:tc>
      </w:tr>
      <w:tr w:rsidR="00244F2D" w:rsidRPr="00244F2D" w14:paraId="437FF1C8" w14:textId="77777777" w:rsidTr="00D3193D">
        <w:trPr>
          <w:trHeight w:val="28"/>
        </w:trPr>
        <w:tc>
          <w:tcPr>
            <w:tcW w:w="562" w:type="dxa"/>
          </w:tcPr>
          <w:p w14:paraId="7C96F2CA" w14:textId="77777777" w:rsidR="00244F2D" w:rsidRPr="00244F2D" w:rsidRDefault="00244F2D" w:rsidP="00244F2D">
            <w:pPr>
              <w:autoSpaceDE w:val="0"/>
              <w:autoSpaceDN w:val="0"/>
              <w:adjustRightInd w:val="0"/>
              <w:rPr>
                <w:lang w:val="en-US"/>
              </w:rPr>
            </w:pPr>
            <w:r w:rsidRPr="00244F2D">
              <w:rPr>
                <w:lang w:val="en-US"/>
              </w:rPr>
              <w:t xml:space="preserve">14 </w:t>
            </w:r>
          </w:p>
        </w:tc>
        <w:tc>
          <w:tcPr>
            <w:tcW w:w="3828" w:type="dxa"/>
          </w:tcPr>
          <w:p w14:paraId="45ED1AC1" w14:textId="77777777" w:rsidR="00244F2D" w:rsidRPr="00244F2D" w:rsidRDefault="00244F2D" w:rsidP="00244F2D">
            <w:pPr>
              <w:autoSpaceDE w:val="0"/>
              <w:autoSpaceDN w:val="0"/>
              <w:adjustRightInd w:val="0"/>
              <w:rPr>
                <w:lang w:val="en-US"/>
              </w:rPr>
            </w:pPr>
            <w:r w:rsidRPr="00244F2D">
              <w:rPr>
                <w:lang w:val="en-US"/>
              </w:rPr>
              <w:t xml:space="preserve">Nzuza Phase 2 Rural Housing Project </w:t>
            </w:r>
          </w:p>
        </w:tc>
        <w:tc>
          <w:tcPr>
            <w:tcW w:w="1701" w:type="dxa"/>
          </w:tcPr>
          <w:p w14:paraId="34284331" w14:textId="77777777" w:rsidR="00244F2D" w:rsidRPr="00244F2D" w:rsidRDefault="00244F2D" w:rsidP="00244F2D">
            <w:pPr>
              <w:autoSpaceDE w:val="0"/>
              <w:autoSpaceDN w:val="0"/>
              <w:adjustRightInd w:val="0"/>
              <w:rPr>
                <w:lang w:val="en-US"/>
              </w:rPr>
            </w:pPr>
            <w:r w:rsidRPr="00244F2D">
              <w:rPr>
                <w:lang w:val="en-US"/>
              </w:rPr>
              <w:t xml:space="preserve">17,19,20 </w:t>
            </w:r>
          </w:p>
        </w:tc>
        <w:tc>
          <w:tcPr>
            <w:tcW w:w="1559" w:type="dxa"/>
          </w:tcPr>
          <w:p w14:paraId="07A689EB" w14:textId="77777777" w:rsidR="00244F2D" w:rsidRPr="00244F2D" w:rsidRDefault="00244F2D" w:rsidP="00244F2D">
            <w:pPr>
              <w:autoSpaceDE w:val="0"/>
              <w:autoSpaceDN w:val="0"/>
              <w:adjustRightInd w:val="0"/>
              <w:rPr>
                <w:lang w:val="en-US"/>
              </w:rPr>
            </w:pPr>
            <w:r w:rsidRPr="00244F2D">
              <w:rPr>
                <w:lang w:val="en-US"/>
              </w:rPr>
              <w:t xml:space="preserve">Rural </w:t>
            </w:r>
          </w:p>
        </w:tc>
        <w:tc>
          <w:tcPr>
            <w:tcW w:w="1635" w:type="dxa"/>
          </w:tcPr>
          <w:p w14:paraId="1B05AB0E" w14:textId="77777777" w:rsidR="00244F2D" w:rsidRPr="00244F2D" w:rsidRDefault="00244F2D" w:rsidP="00244F2D">
            <w:pPr>
              <w:autoSpaceDE w:val="0"/>
              <w:autoSpaceDN w:val="0"/>
              <w:adjustRightInd w:val="0"/>
              <w:rPr>
                <w:lang w:val="en-US"/>
              </w:rPr>
            </w:pPr>
            <w:r w:rsidRPr="00244F2D">
              <w:rPr>
                <w:lang w:val="en-US"/>
              </w:rPr>
              <w:t xml:space="preserve">2000 </w:t>
            </w:r>
          </w:p>
        </w:tc>
      </w:tr>
      <w:tr w:rsidR="00244F2D" w:rsidRPr="00244F2D" w14:paraId="3C405621" w14:textId="77777777" w:rsidTr="00D3193D">
        <w:trPr>
          <w:trHeight w:val="28"/>
        </w:trPr>
        <w:tc>
          <w:tcPr>
            <w:tcW w:w="562" w:type="dxa"/>
          </w:tcPr>
          <w:p w14:paraId="1E6B5A41" w14:textId="77777777" w:rsidR="00244F2D" w:rsidRPr="00244F2D" w:rsidRDefault="00244F2D" w:rsidP="00244F2D">
            <w:pPr>
              <w:autoSpaceDE w:val="0"/>
              <w:autoSpaceDN w:val="0"/>
              <w:adjustRightInd w:val="0"/>
              <w:rPr>
                <w:lang w:val="en-US"/>
              </w:rPr>
            </w:pPr>
            <w:r w:rsidRPr="00244F2D">
              <w:rPr>
                <w:lang w:val="en-US"/>
              </w:rPr>
              <w:t xml:space="preserve">15 </w:t>
            </w:r>
          </w:p>
        </w:tc>
        <w:tc>
          <w:tcPr>
            <w:tcW w:w="3828" w:type="dxa"/>
          </w:tcPr>
          <w:p w14:paraId="177225DD" w14:textId="77777777" w:rsidR="00244F2D" w:rsidRPr="00244F2D" w:rsidRDefault="00244F2D" w:rsidP="00244F2D">
            <w:pPr>
              <w:autoSpaceDE w:val="0"/>
              <w:autoSpaceDN w:val="0"/>
              <w:adjustRightInd w:val="0"/>
              <w:rPr>
                <w:lang w:val="en-US"/>
              </w:rPr>
            </w:pPr>
            <w:r w:rsidRPr="00244F2D">
              <w:rPr>
                <w:lang w:val="en-US"/>
              </w:rPr>
              <w:t xml:space="preserve">Mzimela Phase 2 Extension Housing Project </w:t>
            </w:r>
          </w:p>
        </w:tc>
        <w:tc>
          <w:tcPr>
            <w:tcW w:w="1701" w:type="dxa"/>
          </w:tcPr>
          <w:p w14:paraId="1123563F" w14:textId="77777777" w:rsidR="00244F2D" w:rsidRPr="00244F2D" w:rsidRDefault="00244F2D" w:rsidP="00244F2D">
            <w:pPr>
              <w:autoSpaceDE w:val="0"/>
              <w:autoSpaceDN w:val="0"/>
              <w:adjustRightInd w:val="0"/>
              <w:rPr>
                <w:lang w:val="en-US"/>
              </w:rPr>
            </w:pPr>
            <w:r w:rsidRPr="00244F2D">
              <w:rPr>
                <w:lang w:val="en-US"/>
              </w:rPr>
              <w:t xml:space="preserve">21,23 </w:t>
            </w:r>
          </w:p>
        </w:tc>
        <w:tc>
          <w:tcPr>
            <w:tcW w:w="1559" w:type="dxa"/>
          </w:tcPr>
          <w:p w14:paraId="13B062E4" w14:textId="77777777" w:rsidR="00244F2D" w:rsidRPr="00244F2D" w:rsidRDefault="00244F2D" w:rsidP="00244F2D">
            <w:pPr>
              <w:autoSpaceDE w:val="0"/>
              <w:autoSpaceDN w:val="0"/>
              <w:adjustRightInd w:val="0"/>
              <w:rPr>
                <w:lang w:val="en-US"/>
              </w:rPr>
            </w:pPr>
            <w:r w:rsidRPr="00244F2D">
              <w:rPr>
                <w:lang w:val="en-US"/>
              </w:rPr>
              <w:t xml:space="preserve">Rural </w:t>
            </w:r>
          </w:p>
        </w:tc>
        <w:tc>
          <w:tcPr>
            <w:tcW w:w="1635" w:type="dxa"/>
          </w:tcPr>
          <w:p w14:paraId="70CE7A8D" w14:textId="77777777" w:rsidR="00244F2D" w:rsidRPr="00244F2D" w:rsidRDefault="00244F2D" w:rsidP="00244F2D">
            <w:pPr>
              <w:autoSpaceDE w:val="0"/>
              <w:autoSpaceDN w:val="0"/>
              <w:adjustRightInd w:val="0"/>
              <w:rPr>
                <w:lang w:val="en-US"/>
              </w:rPr>
            </w:pPr>
            <w:r w:rsidRPr="00244F2D">
              <w:rPr>
                <w:lang w:val="en-US"/>
              </w:rPr>
              <w:t xml:space="preserve">2000 </w:t>
            </w:r>
          </w:p>
        </w:tc>
      </w:tr>
      <w:tr w:rsidR="00244F2D" w:rsidRPr="00244F2D" w14:paraId="42D66193" w14:textId="77777777" w:rsidTr="00D3193D">
        <w:trPr>
          <w:trHeight w:val="28"/>
        </w:trPr>
        <w:tc>
          <w:tcPr>
            <w:tcW w:w="562" w:type="dxa"/>
          </w:tcPr>
          <w:p w14:paraId="0B3500D7" w14:textId="77777777" w:rsidR="00244F2D" w:rsidRPr="00244F2D" w:rsidRDefault="00244F2D" w:rsidP="00244F2D">
            <w:pPr>
              <w:autoSpaceDE w:val="0"/>
              <w:autoSpaceDN w:val="0"/>
              <w:adjustRightInd w:val="0"/>
              <w:rPr>
                <w:lang w:val="en-US"/>
              </w:rPr>
            </w:pPr>
            <w:r w:rsidRPr="00244F2D">
              <w:rPr>
                <w:lang w:val="en-US"/>
              </w:rPr>
              <w:t xml:space="preserve">16 </w:t>
            </w:r>
          </w:p>
        </w:tc>
        <w:tc>
          <w:tcPr>
            <w:tcW w:w="3828" w:type="dxa"/>
          </w:tcPr>
          <w:p w14:paraId="0B6DEB36" w14:textId="77777777" w:rsidR="00244F2D" w:rsidRPr="00244F2D" w:rsidRDefault="00244F2D" w:rsidP="00244F2D">
            <w:pPr>
              <w:autoSpaceDE w:val="0"/>
              <w:autoSpaceDN w:val="0"/>
              <w:adjustRightInd w:val="0"/>
              <w:rPr>
                <w:lang w:val="en-US"/>
              </w:rPr>
            </w:pPr>
            <w:r w:rsidRPr="00244F2D">
              <w:rPr>
                <w:lang w:val="en-US"/>
              </w:rPr>
              <w:t xml:space="preserve">Ogagwini Phase 2 Rural Housing Project </w:t>
            </w:r>
          </w:p>
        </w:tc>
        <w:tc>
          <w:tcPr>
            <w:tcW w:w="1701" w:type="dxa"/>
          </w:tcPr>
          <w:p w14:paraId="12E52573" w14:textId="77777777" w:rsidR="00244F2D" w:rsidRPr="00244F2D" w:rsidRDefault="00244F2D" w:rsidP="00244F2D">
            <w:pPr>
              <w:autoSpaceDE w:val="0"/>
              <w:autoSpaceDN w:val="0"/>
              <w:adjustRightInd w:val="0"/>
              <w:rPr>
                <w:lang w:val="en-US"/>
              </w:rPr>
            </w:pPr>
            <w:r w:rsidRPr="00244F2D">
              <w:rPr>
                <w:lang w:val="en-US"/>
              </w:rPr>
              <w:t xml:space="preserve">20,21 </w:t>
            </w:r>
          </w:p>
        </w:tc>
        <w:tc>
          <w:tcPr>
            <w:tcW w:w="1559" w:type="dxa"/>
          </w:tcPr>
          <w:p w14:paraId="7BDA7468" w14:textId="77777777" w:rsidR="00244F2D" w:rsidRPr="00244F2D" w:rsidRDefault="00244F2D" w:rsidP="00244F2D">
            <w:pPr>
              <w:autoSpaceDE w:val="0"/>
              <w:autoSpaceDN w:val="0"/>
              <w:adjustRightInd w:val="0"/>
              <w:rPr>
                <w:lang w:val="en-US"/>
              </w:rPr>
            </w:pPr>
            <w:r w:rsidRPr="00244F2D">
              <w:rPr>
                <w:lang w:val="en-US"/>
              </w:rPr>
              <w:t xml:space="preserve">Rural </w:t>
            </w:r>
          </w:p>
        </w:tc>
        <w:tc>
          <w:tcPr>
            <w:tcW w:w="1635" w:type="dxa"/>
          </w:tcPr>
          <w:p w14:paraId="06B0AC80" w14:textId="5B8EFF83" w:rsidR="00244F2D" w:rsidRPr="00244F2D" w:rsidRDefault="00244F2D" w:rsidP="00244F2D">
            <w:pPr>
              <w:autoSpaceDE w:val="0"/>
              <w:autoSpaceDN w:val="0"/>
              <w:adjustRightInd w:val="0"/>
              <w:rPr>
                <w:lang w:val="en-US"/>
              </w:rPr>
            </w:pPr>
            <w:r>
              <w:rPr>
                <w:lang w:val="en-US"/>
              </w:rPr>
              <w:t>2000</w:t>
            </w:r>
          </w:p>
        </w:tc>
      </w:tr>
    </w:tbl>
    <w:p w14:paraId="4D2A0D5E" w14:textId="77777777" w:rsidR="00D715DF" w:rsidRPr="00F8472B" w:rsidRDefault="00D715DF" w:rsidP="00750180">
      <w:pPr>
        <w:pStyle w:val="Heading4"/>
        <w:numPr>
          <w:ilvl w:val="3"/>
          <w:numId w:val="29"/>
        </w:numPr>
        <w:spacing w:after="240"/>
      </w:pPr>
      <w:r w:rsidRPr="00F8472B">
        <w:t>Current Housing Projects</w:t>
      </w:r>
      <w:bookmarkEnd w:id="342"/>
      <w:bookmarkEnd w:id="343"/>
    </w:p>
    <w:p w14:paraId="614FB280" w14:textId="77777777" w:rsidR="006F3B7D" w:rsidRDefault="006F3B7D" w:rsidP="006F3B7D">
      <w:r w:rsidRPr="006F3B7D">
        <w:t>The following have been approved by the Department of Human Settlements’ Housing Evaluation and Advisory Committee (HEAC), are being implemented currently:</w:t>
      </w:r>
    </w:p>
    <w:p w14:paraId="497FD328" w14:textId="77777777" w:rsidR="006F3B7D" w:rsidRDefault="005D481F" w:rsidP="002F62F0">
      <w:pPr>
        <w:pStyle w:val="Caption"/>
      </w:pPr>
      <w:bookmarkStart w:id="344" w:name="_Toc510622292"/>
      <w:r>
        <w:t xml:space="preserve">Table </w:t>
      </w:r>
      <w:r w:rsidR="00B918A6">
        <w:fldChar w:fldCharType="begin"/>
      </w:r>
      <w:r w:rsidR="00B918A6">
        <w:instrText xml:space="preserve"> SEQ Ta</w:instrText>
      </w:r>
      <w:r w:rsidR="00B918A6">
        <w:instrText xml:space="preserve">ble \* ARABIC </w:instrText>
      </w:r>
      <w:r w:rsidR="00B918A6">
        <w:fldChar w:fldCharType="separate"/>
      </w:r>
      <w:r w:rsidR="0067023A">
        <w:rPr>
          <w:noProof/>
        </w:rPr>
        <w:t>42</w:t>
      </w:r>
      <w:r w:rsidR="00B918A6">
        <w:rPr>
          <w:noProof/>
        </w:rPr>
        <w:fldChar w:fldCharType="end"/>
      </w:r>
      <w:r>
        <w:t>: Current Housing Projects</w:t>
      </w:r>
      <w:bookmarkEnd w:id="344"/>
    </w:p>
    <w:tbl>
      <w:tblPr>
        <w:tblW w:w="9465" w:type="dxa"/>
        <w:tblInd w:w="-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86"/>
        <w:gridCol w:w="3355"/>
        <w:gridCol w:w="2824"/>
      </w:tblGrid>
      <w:tr w:rsidR="00D3193D" w:rsidRPr="00D3193D" w14:paraId="768AEF8D" w14:textId="77777777" w:rsidTr="00D3193D">
        <w:trPr>
          <w:trHeight w:val="126"/>
        </w:trPr>
        <w:tc>
          <w:tcPr>
            <w:tcW w:w="9465" w:type="dxa"/>
            <w:gridSpan w:val="3"/>
            <w:shd w:val="clear" w:color="auto" w:fill="A8D08D"/>
          </w:tcPr>
          <w:p w14:paraId="2768B23F" w14:textId="4FF96EBE" w:rsidR="00D3193D" w:rsidRPr="00D3193D" w:rsidRDefault="00D3193D" w:rsidP="00D3193D">
            <w:pPr>
              <w:spacing w:after="0" w:line="240" w:lineRule="auto"/>
              <w:jc w:val="center"/>
              <w:rPr>
                <w:b/>
              </w:rPr>
            </w:pPr>
            <w:r w:rsidRPr="00D3193D">
              <w:rPr>
                <w:b/>
              </w:rPr>
              <w:t>Completed Housing Project</w:t>
            </w:r>
          </w:p>
        </w:tc>
      </w:tr>
      <w:tr w:rsidR="00D3193D" w:rsidRPr="00D3193D" w14:paraId="67F5A110" w14:textId="77777777" w:rsidTr="00D3193D">
        <w:trPr>
          <w:trHeight w:val="255"/>
        </w:trPr>
        <w:tc>
          <w:tcPr>
            <w:tcW w:w="3286" w:type="dxa"/>
            <w:shd w:val="clear" w:color="auto" w:fill="DAEEF3" w:themeFill="accent5" w:themeFillTint="33"/>
          </w:tcPr>
          <w:p w14:paraId="555A02D8" w14:textId="5530DC0C" w:rsidR="00D3193D" w:rsidRPr="00D3193D" w:rsidRDefault="00D3193D" w:rsidP="00D3193D">
            <w:pPr>
              <w:spacing w:after="0" w:line="240" w:lineRule="auto"/>
              <w:rPr>
                <w:b/>
              </w:rPr>
            </w:pPr>
            <w:r w:rsidRPr="00D3193D">
              <w:rPr>
                <w:b/>
              </w:rPr>
              <w:t>Implementing Agent</w:t>
            </w:r>
          </w:p>
        </w:tc>
        <w:tc>
          <w:tcPr>
            <w:tcW w:w="3355" w:type="dxa"/>
            <w:shd w:val="clear" w:color="auto" w:fill="DAEEF3" w:themeFill="accent5" w:themeFillTint="33"/>
          </w:tcPr>
          <w:p w14:paraId="792C08DC" w14:textId="688E9DF4" w:rsidR="00D3193D" w:rsidRPr="00D3193D" w:rsidRDefault="00D3193D" w:rsidP="00D3193D">
            <w:pPr>
              <w:spacing w:after="0" w:line="240" w:lineRule="auto"/>
              <w:rPr>
                <w:b/>
              </w:rPr>
            </w:pPr>
            <w:r w:rsidRPr="00D3193D">
              <w:rPr>
                <w:b/>
              </w:rPr>
              <w:t>Project Name</w:t>
            </w:r>
          </w:p>
        </w:tc>
        <w:tc>
          <w:tcPr>
            <w:tcW w:w="2824" w:type="dxa"/>
            <w:shd w:val="clear" w:color="auto" w:fill="DAEEF3" w:themeFill="accent5" w:themeFillTint="33"/>
          </w:tcPr>
          <w:p w14:paraId="295CCB72" w14:textId="2096A546" w:rsidR="00D3193D" w:rsidRPr="00D3193D" w:rsidRDefault="00D3193D" w:rsidP="00D3193D">
            <w:pPr>
              <w:spacing w:after="0" w:line="240" w:lineRule="auto"/>
              <w:jc w:val="center"/>
              <w:rPr>
                <w:b/>
              </w:rPr>
            </w:pPr>
            <w:r w:rsidRPr="00D3193D">
              <w:rPr>
                <w:b/>
              </w:rPr>
              <w:t>Number of Units</w:t>
            </w:r>
          </w:p>
        </w:tc>
      </w:tr>
      <w:tr w:rsidR="00D3193D" w:rsidRPr="00D3193D" w14:paraId="59694DFA" w14:textId="77777777" w:rsidTr="00D3193D">
        <w:trPr>
          <w:trHeight w:val="255"/>
        </w:trPr>
        <w:tc>
          <w:tcPr>
            <w:tcW w:w="3286" w:type="dxa"/>
          </w:tcPr>
          <w:p w14:paraId="4B14FE2A" w14:textId="7723900E" w:rsidR="00D3193D" w:rsidRPr="00D3193D" w:rsidRDefault="00D3193D" w:rsidP="00D3193D">
            <w:pPr>
              <w:spacing w:after="0" w:line="240" w:lineRule="auto"/>
            </w:pPr>
            <w:r w:rsidRPr="00D3193D">
              <w:t>Inprodev</w:t>
            </w:r>
          </w:p>
        </w:tc>
        <w:tc>
          <w:tcPr>
            <w:tcW w:w="3355" w:type="dxa"/>
          </w:tcPr>
          <w:p w14:paraId="7F677A87" w14:textId="69832DD5" w:rsidR="00D3193D" w:rsidRPr="00D3193D" w:rsidRDefault="00D3193D" w:rsidP="00D3193D">
            <w:pPr>
              <w:spacing w:after="0" w:line="240" w:lineRule="auto"/>
            </w:pPr>
            <w:r w:rsidRPr="00D3193D">
              <w:t>Bhekeshowe Rural Housing Project</w:t>
            </w:r>
          </w:p>
        </w:tc>
        <w:tc>
          <w:tcPr>
            <w:tcW w:w="2824" w:type="dxa"/>
          </w:tcPr>
          <w:p w14:paraId="3FD4951D" w14:textId="65719D9F" w:rsidR="00D3193D" w:rsidRPr="00D3193D" w:rsidRDefault="00D3193D" w:rsidP="00D3193D">
            <w:pPr>
              <w:spacing w:after="0" w:line="240" w:lineRule="auto"/>
              <w:jc w:val="center"/>
            </w:pPr>
            <w:r w:rsidRPr="00D3193D">
              <w:t>1000</w:t>
            </w:r>
          </w:p>
        </w:tc>
      </w:tr>
      <w:tr w:rsidR="00D3193D" w:rsidRPr="00D3193D" w14:paraId="3EA06D81" w14:textId="77777777" w:rsidTr="00D3193D">
        <w:trPr>
          <w:trHeight w:val="252"/>
        </w:trPr>
        <w:tc>
          <w:tcPr>
            <w:tcW w:w="3286" w:type="dxa"/>
          </w:tcPr>
          <w:p w14:paraId="37E164DC" w14:textId="17893259" w:rsidR="00D3193D" w:rsidRPr="00D3193D" w:rsidRDefault="00D3193D" w:rsidP="00D3193D">
            <w:pPr>
              <w:spacing w:after="0" w:line="240" w:lineRule="auto"/>
            </w:pPr>
            <w:r w:rsidRPr="00D3193D">
              <w:t>Kenty &amp; Templer</w:t>
            </w:r>
          </w:p>
        </w:tc>
        <w:tc>
          <w:tcPr>
            <w:tcW w:w="3355" w:type="dxa"/>
          </w:tcPr>
          <w:p w14:paraId="5CE71B1F" w14:textId="63F279DC" w:rsidR="00D3193D" w:rsidRPr="00D3193D" w:rsidRDefault="00D3193D" w:rsidP="00D3193D">
            <w:pPr>
              <w:spacing w:after="0" w:line="240" w:lineRule="auto"/>
            </w:pPr>
            <w:r w:rsidRPr="00D3193D">
              <w:t>Sunnydale Housing Project Phase 2</w:t>
            </w:r>
          </w:p>
        </w:tc>
        <w:tc>
          <w:tcPr>
            <w:tcW w:w="2824" w:type="dxa"/>
          </w:tcPr>
          <w:p w14:paraId="29084DE1" w14:textId="0F53ACEF" w:rsidR="00D3193D" w:rsidRPr="00D3193D" w:rsidRDefault="00D3193D" w:rsidP="00D3193D">
            <w:pPr>
              <w:spacing w:after="0" w:line="240" w:lineRule="auto"/>
              <w:jc w:val="center"/>
            </w:pPr>
            <w:r w:rsidRPr="00D3193D">
              <w:t>403</w:t>
            </w:r>
          </w:p>
        </w:tc>
      </w:tr>
      <w:tr w:rsidR="00D3193D" w:rsidRPr="00D3193D" w14:paraId="49E0925B" w14:textId="77777777" w:rsidTr="00D3193D">
        <w:trPr>
          <w:trHeight w:val="222"/>
        </w:trPr>
        <w:tc>
          <w:tcPr>
            <w:tcW w:w="3286" w:type="dxa"/>
          </w:tcPr>
          <w:p w14:paraId="2B95D39E" w14:textId="50C509BE" w:rsidR="00D3193D" w:rsidRPr="00D3193D" w:rsidRDefault="00D3193D" w:rsidP="00D3193D">
            <w:pPr>
              <w:spacing w:after="0" w:line="240" w:lineRule="auto"/>
            </w:pPr>
            <w:r w:rsidRPr="00D3193D">
              <w:t>Pd Naidoo &amp; Associates</w:t>
            </w:r>
          </w:p>
        </w:tc>
        <w:tc>
          <w:tcPr>
            <w:tcW w:w="3355" w:type="dxa"/>
          </w:tcPr>
          <w:p w14:paraId="2DE42180" w14:textId="32F83F01" w:rsidR="00D3193D" w:rsidRPr="00D3193D" w:rsidRDefault="00D3193D" w:rsidP="00D3193D">
            <w:pPr>
              <w:spacing w:after="0" w:line="240" w:lineRule="auto"/>
            </w:pPr>
            <w:r w:rsidRPr="00D3193D">
              <w:t>Gingindlovu Housing Project Ext. 5 &amp; 6</w:t>
            </w:r>
          </w:p>
        </w:tc>
        <w:tc>
          <w:tcPr>
            <w:tcW w:w="2824" w:type="dxa"/>
          </w:tcPr>
          <w:p w14:paraId="23E601D2" w14:textId="27264B7D" w:rsidR="00D3193D" w:rsidRPr="00D3193D" w:rsidRDefault="00D3193D" w:rsidP="00D3193D">
            <w:pPr>
              <w:spacing w:after="0" w:line="240" w:lineRule="auto"/>
              <w:jc w:val="center"/>
            </w:pPr>
            <w:r w:rsidRPr="00D3193D">
              <w:t>143</w:t>
            </w:r>
          </w:p>
        </w:tc>
      </w:tr>
      <w:tr w:rsidR="00D3193D" w:rsidRPr="00D3193D" w14:paraId="729681F1" w14:textId="77777777" w:rsidTr="00D3193D">
        <w:trPr>
          <w:trHeight w:val="147"/>
        </w:trPr>
        <w:tc>
          <w:tcPr>
            <w:tcW w:w="3286" w:type="dxa"/>
          </w:tcPr>
          <w:p w14:paraId="475B8852" w14:textId="1C5435FA" w:rsidR="00D3193D" w:rsidRPr="00D3193D" w:rsidRDefault="00D3193D" w:rsidP="00D3193D">
            <w:pPr>
              <w:spacing w:after="0" w:line="240" w:lineRule="auto"/>
            </w:pPr>
            <w:r w:rsidRPr="00D3193D">
              <w:t>Linda Masinga &amp; Associates</w:t>
            </w:r>
          </w:p>
        </w:tc>
        <w:tc>
          <w:tcPr>
            <w:tcW w:w="3355" w:type="dxa"/>
          </w:tcPr>
          <w:p w14:paraId="1D8994C6" w14:textId="65B789A8" w:rsidR="00D3193D" w:rsidRPr="00D3193D" w:rsidRDefault="00D3193D" w:rsidP="00D3193D">
            <w:pPr>
              <w:spacing w:after="0" w:line="240" w:lineRule="auto"/>
            </w:pPr>
            <w:r w:rsidRPr="00D3193D">
              <w:t>Mombeni Rural Housing Project</w:t>
            </w:r>
          </w:p>
        </w:tc>
        <w:tc>
          <w:tcPr>
            <w:tcW w:w="2824" w:type="dxa"/>
          </w:tcPr>
          <w:p w14:paraId="421D2162" w14:textId="35DC253D" w:rsidR="00D3193D" w:rsidRPr="00D3193D" w:rsidRDefault="00D3193D" w:rsidP="00D3193D">
            <w:pPr>
              <w:spacing w:after="0" w:line="240" w:lineRule="auto"/>
              <w:jc w:val="center"/>
            </w:pPr>
            <w:r w:rsidRPr="00D3193D">
              <w:t>956</w:t>
            </w:r>
          </w:p>
        </w:tc>
      </w:tr>
    </w:tbl>
    <w:p w14:paraId="0AFFB83C" w14:textId="77777777" w:rsidR="00D3193D" w:rsidRDefault="00D3193D" w:rsidP="00D3193D">
      <w:bookmarkStart w:id="345" w:name="_Toc389739914"/>
    </w:p>
    <w:tbl>
      <w:tblPr>
        <w:tblW w:w="9593" w:type="dxa"/>
        <w:tblInd w:w="-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9"/>
        <w:gridCol w:w="2835"/>
        <w:gridCol w:w="1984"/>
        <w:gridCol w:w="1535"/>
      </w:tblGrid>
      <w:tr w:rsidR="00D3193D" w:rsidRPr="00D3193D" w14:paraId="1EAF7130" w14:textId="77777777" w:rsidTr="00D3193D">
        <w:trPr>
          <w:trHeight w:val="99"/>
        </w:trPr>
        <w:tc>
          <w:tcPr>
            <w:tcW w:w="9593" w:type="dxa"/>
            <w:gridSpan w:val="4"/>
            <w:shd w:val="clear" w:color="auto" w:fill="FFD966"/>
          </w:tcPr>
          <w:p w14:paraId="2978E9D6" w14:textId="77777777" w:rsidR="00D3193D" w:rsidRPr="00D3193D" w:rsidRDefault="00D3193D" w:rsidP="00D3193D">
            <w:pPr>
              <w:tabs>
                <w:tab w:val="left" w:pos="915"/>
                <w:tab w:val="center" w:pos="4624"/>
              </w:tabs>
              <w:spacing w:after="0" w:line="259" w:lineRule="auto"/>
              <w:rPr>
                <w:b/>
              </w:rPr>
            </w:pPr>
            <w:r w:rsidRPr="00D3193D">
              <w:rPr>
                <w:b/>
              </w:rPr>
              <w:tab/>
            </w:r>
            <w:r w:rsidRPr="00D3193D">
              <w:rPr>
                <w:b/>
              </w:rPr>
              <w:tab/>
              <w:t>Projects Currently Under Construction</w:t>
            </w:r>
          </w:p>
        </w:tc>
      </w:tr>
      <w:tr w:rsidR="00D3193D" w:rsidRPr="00D3193D" w14:paraId="4EF8B926" w14:textId="77777777" w:rsidTr="00D3193D">
        <w:trPr>
          <w:trHeight w:val="151"/>
        </w:trPr>
        <w:tc>
          <w:tcPr>
            <w:tcW w:w="3239" w:type="dxa"/>
            <w:shd w:val="clear" w:color="auto" w:fill="DAEEF3" w:themeFill="accent5" w:themeFillTint="33"/>
          </w:tcPr>
          <w:p w14:paraId="4B960BFD" w14:textId="775F41D6" w:rsidR="00D3193D" w:rsidRPr="00D3193D" w:rsidRDefault="00D3193D" w:rsidP="00D3193D">
            <w:pPr>
              <w:spacing w:after="0" w:line="259" w:lineRule="auto"/>
              <w:rPr>
                <w:b/>
              </w:rPr>
            </w:pPr>
            <w:r w:rsidRPr="00D3193D">
              <w:rPr>
                <w:b/>
              </w:rPr>
              <w:t>Implementing Agent</w:t>
            </w:r>
          </w:p>
        </w:tc>
        <w:tc>
          <w:tcPr>
            <w:tcW w:w="2835" w:type="dxa"/>
            <w:shd w:val="clear" w:color="auto" w:fill="DAEEF3" w:themeFill="accent5" w:themeFillTint="33"/>
          </w:tcPr>
          <w:p w14:paraId="5656C2AC" w14:textId="77777777" w:rsidR="00D3193D" w:rsidRPr="00D3193D" w:rsidRDefault="00D3193D" w:rsidP="00D3193D">
            <w:pPr>
              <w:spacing w:after="0" w:line="259" w:lineRule="auto"/>
              <w:rPr>
                <w:b/>
              </w:rPr>
            </w:pPr>
            <w:r w:rsidRPr="00D3193D">
              <w:rPr>
                <w:b/>
              </w:rPr>
              <w:t>Project Name</w:t>
            </w:r>
          </w:p>
        </w:tc>
        <w:tc>
          <w:tcPr>
            <w:tcW w:w="1984" w:type="dxa"/>
            <w:shd w:val="clear" w:color="auto" w:fill="DAEEF3" w:themeFill="accent5" w:themeFillTint="33"/>
          </w:tcPr>
          <w:p w14:paraId="5977318D" w14:textId="77777777" w:rsidR="00D3193D" w:rsidRPr="00D3193D" w:rsidRDefault="00D3193D" w:rsidP="00D3193D">
            <w:pPr>
              <w:spacing w:after="0" w:line="259" w:lineRule="auto"/>
              <w:rPr>
                <w:b/>
              </w:rPr>
            </w:pPr>
            <w:r w:rsidRPr="00D3193D">
              <w:rPr>
                <w:b/>
              </w:rPr>
              <w:t>Units Completed</w:t>
            </w:r>
          </w:p>
        </w:tc>
        <w:tc>
          <w:tcPr>
            <w:tcW w:w="1535" w:type="dxa"/>
            <w:shd w:val="clear" w:color="auto" w:fill="DAEEF3" w:themeFill="accent5" w:themeFillTint="33"/>
          </w:tcPr>
          <w:p w14:paraId="4CB4CBBC" w14:textId="77777777" w:rsidR="00D3193D" w:rsidRPr="00D3193D" w:rsidRDefault="00D3193D" w:rsidP="00D3193D">
            <w:pPr>
              <w:spacing w:after="0" w:line="259" w:lineRule="auto"/>
              <w:rPr>
                <w:b/>
              </w:rPr>
            </w:pPr>
            <w:r w:rsidRPr="00D3193D">
              <w:rPr>
                <w:b/>
              </w:rPr>
              <w:t>Percentage</w:t>
            </w:r>
          </w:p>
        </w:tc>
      </w:tr>
      <w:tr w:rsidR="00D3193D" w:rsidRPr="00D3193D" w14:paraId="4B505960" w14:textId="77777777" w:rsidTr="00D3193D">
        <w:trPr>
          <w:trHeight w:val="159"/>
        </w:trPr>
        <w:tc>
          <w:tcPr>
            <w:tcW w:w="3239" w:type="dxa"/>
          </w:tcPr>
          <w:p w14:paraId="36E3B614" w14:textId="77777777" w:rsidR="00D3193D" w:rsidRPr="00D3193D" w:rsidRDefault="00D3193D" w:rsidP="00D3193D">
            <w:pPr>
              <w:spacing w:after="0" w:line="259" w:lineRule="auto"/>
            </w:pPr>
            <w:r w:rsidRPr="00D3193D">
              <w:t>Siqu Group</w:t>
            </w:r>
          </w:p>
        </w:tc>
        <w:tc>
          <w:tcPr>
            <w:tcW w:w="2835" w:type="dxa"/>
          </w:tcPr>
          <w:p w14:paraId="58CCFDD9" w14:textId="4FF2E6CB" w:rsidR="00D3193D" w:rsidRPr="00D3193D" w:rsidRDefault="00D3193D" w:rsidP="00D3193D">
            <w:pPr>
              <w:spacing w:after="0" w:line="259" w:lineRule="auto"/>
            </w:pPr>
            <w:r w:rsidRPr="00D3193D">
              <w:t>Uyaya Rural Housing Project</w:t>
            </w:r>
          </w:p>
        </w:tc>
        <w:tc>
          <w:tcPr>
            <w:tcW w:w="1984" w:type="dxa"/>
          </w:tcPr>
          <w:p w14:paraId="4B334CD7" w14:textId="77777777" w:rsidR="00D3193D" w:rsidRPr="00D3193D" w:rsidRDefault="00D3193D" w:rsidP="00D3193D">
            <w:pPr>
              <w:spacing w:after="0" w:line="259" w:lineRule="auto"/>
            </w:pPr>
            <w:r w:rsidRPr="00D3193D">
              <w:t>929</w:t>
            </w:r>
          </w:p>
        </w:tc>
        <w:tc>
          <w:tcPr>
            <w:tcW w:w="1535" w:type="dxa"/>
            <w:shd w:val="clear" w:color="auto" w:fill="FFFFFF"/>
          </w:tcPr>
          <w:p w14:paraId="0A17BA3D" w14:textId="31948A6A" w:rsidR="00D3193D" w:rsidRPr="00D3193D" w:rsidRDefault="00D3193D" w:rsidP="00D3193D">
            <w:pPr>
              <w:spacing w:after="0" w:line="259" w:lineRule="auto"/>
            </w:pPr>
            <w:r w:rsidRPr="00D3193D">
              <w:t xml:space="preserve">92.9 % </w:t>
            </w:r>
            <w:r>
              <w:t>to c</w:t>
            </w:r>
            <w:r w:rsidRPr="00D3193D">
              <w:t>omplet</w:t>
            </w:r>
            <w:r>
              <w:t>ion</w:t>
            </w:r>
          </w:p>
        </w:tc>
      </w:tr>
      <w:tr w:rsidR="00D3193D" w:rsidRPr="00D3193D" w14:paraId="757CBE35" w14:textId="77777777" w:rsidTr="00D3193D">
        <w:trPr>
          <w:trHeight w:val="221"/>
        </w:trPr>
        <w:tc>
          <w:tcPr>
            <w:tcW w:w="3239" w:type="dxa"/>
          </w:tcPr>
          <w:p w14:paraId="64819FF3" w14:textId="77777777" w:rsidR="00D3193D" w:rsidRPr="00D3193D" w:rsidRDefault="00D3193D" w:rsidP="00D3193D">
            <w:pPr>
              <w:spacing w:after="0" w:line="259" w:lineRule="auto"/>
            </w:pPr>
            <w:r w:rsidRPr="00D3193D">
              <w:t xml:space="preserve">Inprodev </w:t>
            </w:r>
          </w:p>
        </w:tc>
        <w:tc>
          <w:tcPr>
            <w:tcW w:w="2835" w:type="dxa"/>
          </w:tcPr>
          <w:p w14:paraId="5BE21294" w14:textId="77777777" w:rsidR="00D3193D" w:rsidRPr="00D3193D" w:rsidRDefault="00D3193D" w:rsidP="00D3193D">
            <w:pPr>
              <w:spacing w:after="0" w:line="259" w:lineRule="auto"/>
            </w:pPr>
            <w:r w:rsidRPr="00D3193D">
              <w:t>Ngudwini Rural Housing Project</w:t>
            </w:r>
          </w:p>
        </w:tc>
        <w:tc>
          <w:tcPr>
            <w:tcW w:w="1984" w:type="dxa"/>
          </w:tcPr>
          <w:p w14:paraId="0AEFA7C9" w14:textId="77777777" w:rsidR="00D3193D" w:rsidRPr="00D3193D" w:rsidRDefault="00D3193D" w:rsidP="00D3193D">
            <w:pPr>
              <w:spacing w:after="0" w:line="259" w:lineRule="auto"/>
            </w:pPr>
            <w:r w:rsidRPr="00D3193D">
              <w:t>740</w:t>
            </w:r>
          </w:p>
        </w:tc>
        <w:tc>
          <w:tcPr>
            <w:tcW w:w="1535" w:type="dxa"/>
            <w:shd w:val="clear" w:color="auto" w:fill="FFFFFF"/>
          </w:tcPr>
          <w:p w14:paraId="270492B4" w14:textId="10FAD24C" w:rsidR="00D3193D" w:rsidRPr="00D3193D" w:rsidRDefault="00D3193D" w:rsidP="00D3193D">
            <w:pPr>
              <w:spacing w:after="0" w:line="259" w:lineRule="auto"/>
            </w:pPr>
            <w:r w:rsidRPr="00D3193D">
              <w:t xml:space="preserve">74 % </w:t>
            </w:r>
            <w:r>
              <w:t>to Completion</w:t>
            </w:r>
          </w:p>
        </w:tc>
      </w:tr>
      <w:tr w:rsidR="00D3193D" w:rsidRPr="00D3193D" w14:paraId="1825E570" w14:textId="77777777" w:rsidTr="00D3193D">
        <w:trPr>
          <w:trHeight w:val="233"/>
        </w:trPr>
        <w:tc>
          <w:tcPr>
            <w:tcW w:w="3239" w:type="dxa"/>
          </w:tcPr>
          <w:p w14:paraId="4D99E7A5" w14:textId="77777777" w:rsidR="00D3193D" w:rsidRPr="00D3193D" w:rsidRDefault="00D3193D" w:rsidP="00D3193D">
            <w:pPr>
              <w:spacing w:after="0" w:line="259" w:lineRule="auto"/>
            </w:pPr>
            <w:r w:rsidRPr="00D3193D">
              <w:t>Bahlomile Development &amp; Project Solutions</w:t>
            </w:r>
          </w:p>
        </w:tc>
        <w:tc>
          <w:tcPr>
            <w:tcW w:w="2835" w:type="dxa"/>
          </w:tcPr>
          <w:p w14:paraId="24589077" w14:textId="77777777" w:rsidR="00D3193D" w:rsidRPr="00D3193D" w:rsidRDefault="00D3193D" w:rsidP="00D3193D">
            <w:pPr>
              <w:spacing w:after="0" w:line="259" w:lineRule="auto"/>
            </w:pPr>
            <w:r w:rsidRPr="00D3193D">
              <w:t>Mpungose Rural Housing Project</w:t>
            </w:r>
          </w:p>
        </w:tc>
        <w:tc>
          <w:tcPr>
            <w:tcW w:w="1984" w:type="dxa"/>
          </w:tcPr>
          <w:p w14:paraId="74AAF1CE" w14:textId="77777777" w:rsidR="00D3193D" w:rsidRPr="00D3193D" w:rsidRDefault="00D3193D" w:rsidP="00D3193D">
            <w:pPr>
              <w:spacing w:after="0" w:line="259" w:lineRule="auto"/>
            </w:pPr>
            <w:r w:rsidRPr="00D3193D">
              <w:t>179</w:t>
            </w:r>
          </w:p>
        </w:tc>
        <w:tc>
          <w:tcPr>
            <w:tcW w:w="1535" w:type="dxa"/>
            <w:shd w:val="clear" w:color="auto" w:fill="FFFFFF"/>
          </w:tcPr>
          <w:p w14:paraId="5D0B5E1A" w14:textId="5E58D725" w:rsidR="00D3193D" w:rsidRPr="00D3193D" w:rsidRDefault="00D3193D" w:rsidP="00D3193D">
            <w:pPr>
              <w:spacing w:after="0" w:line="259" w:lineRule="auto"/>
            </w:pPr>
            <w:r w:rsidRPr="00D3193D">
              <w:t xml:space="preserve">17.9 % </w:t>
            </w:r>
            <w:r>
              <w:t>to completion</w:t>
            </w:r>
          </w:p>
        </w:tc>
      </w:tr>
      <w:tr w:rsidR="00D3193D" w:rsidRPr="00D3193D" w14:paraId="7FF69795" w14:textId="77777777" w:rsidTr="00D3193D">
        <w:trPr>
          <w:trHeight w:val="71"/>
        </w:trPr>
        <w:tc>
          <w:tcPr>
            <w:tcW w:w="3239" w:type="dxa"/>
          </w:tcPr>
          <w:p w14:paraId="00DFB2F0" w14:textId="77777777" w:rsidR="00D3193D" w:rsidRPr="00D3193D" w:rsidRDefault="00D3193D" w:rsidP="00D3193D">
            <w:pPr>
              <w:spacing w:after="0" w:line="259" w:lineRule="auto"/>
            </w:pPr>
            <w:r w:rsidRPr="00D3193D">
              <w:t>Kenty &amp; Templer</w:t>
            </w:r>
          </w:p>
        </w:tc>
        <w:tc>
          <w:tcPr>
            <w:tcW w:w="2835" w:type="dxa"/>
          </w:tcPr>
          <w:p w14:paraId="20E04BF9" w14:textId="77777777" w:rsidR="00D3193D" w:rsidRPr="00D3193D" w:rsidRDefault="00D3193D" w:rsidP="00D3193D">
            <w:pPr>
              <w:spacing w:after="0" w:line="259" w:lineRule="auto"/>
            </w:pPr>
            <w:r w:rsidRPr="00D3193D">
              <w:t>Sunnydale Housing Project Phase 2 Extension</w:t>
            </w:r>
          </w:p>
        </w:tc>
        <w:tc>
          <w:tcPr>
            <w:tcW w:w="1984" w:type="dxa"/>
          </w:tcPr>
          <w:p w14:paraId="57CF5E6E" w14:textId="77777777" w:rsidR="00D3193D" w:rsidRPr="00D3193D" w:rsidRDefault="00D3193D" w:rsidP="00D3193D">
            <w:pPr>
              <w:spacing w:after="0" w:line="259" w:lineRule="auto"/>
            </w:pPr>
            <w:r w:rsidRPr="00D3193D">
              <w:t>0</w:t>
            </w:r>
          </w:p>
        </w:tc>
        <w:tc>
          <w:tcPr>
            <w:tcW w:w="1535" w:type="dxa"/>
          </w:tcPr>
          <w:p w14:paraId="49669889" w14:textId="42E371ED" w:rsidR="00D3193D" w:rsidRPr="00D3193D" w:rsidRDefault="00D3193D" w:rsidP="00D3193D">
            <w:pPr>
              <w:spacing w:after="0" w:line="259" w:lineRule="auto"/>
            </w:pPr>
            <w:r>
              <w:t>0%</w:t>
            </w:r>
          </w:p>
        </w:tc>
      </w:tr>
    </w:tbl>
    <w:p w14:paraId="0F4B7D36" w14:textId="77777777" w:rsidR="00D3193D" w:rsidRDefault="00D3193D" w:rsidP="00D3193D"/>
    <w:tbl>
      <w:tblPr>
        <w:tblW w:w="9618" w:type="dxa"/>
        <w:tblInd w:w="-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4"/>
        <w:gridCol w:w="689"/>
        <w:gridCol w:w="3122"/>
        <w:gridCol w:w="176"/>
        <w:gridCol w:w="2824"/>
        <w:gridCol w:w="153"/>
      </w:tblGrid>
      <w:tr w:rsidR="00D3193D" w:rsidRPr="00D3193D" w14:paraId="35035832" w14:textId="77777777" w:rsidTr="00297695">
        <w:trPr>
          <w:trHeight w:val="216"/>
        </w:trPr>
        <w:tc>
          <w:tcPr>
            <w:tcW w:w="9618" w:type="dxa"/>
            <w:gridSpan w:val="6"/>
            <w:shd w:val="clear" w:color="auto" w:fill="DAEEF3" w:themeFill="accent5" w:themeFillTint="33"/>
          </w:tcPr>
          <w:p w14:paraId="4EFC02C6" w14:textId="77777777" w:rsidR="00D3193D" w:rsidRPr="00D3193D" w:rsidRDefault="00D3193D" w:rsidP="00D3193D">
            <w:pPr>
              <w:spacing w:after="0" w:line="259" w:lineRule="auto"/>
              <w:jc w:val="center"/>
              <w:rPr>
                <w:b/>
              </w:rPr>
            </w:pPr>
            <w:r w:rsidRPr="00D3193D">
              <w:rPr>
                <w:b/>
              </w:rPr>
              <w:t>Projects Currently Awaiting Tranche 2 Approval</w:t>
            </w:r>
          </w:p>
        </w:tc>
      </w:tr>
      <w:tr w:rsidR="00D3193D" w:rsidRPr="00D3193D" w14:paraId="679C848C" w14:textId="77777777" w:rsidTr="00297695">
        <w:trPr>
          <w:trHeight w:val="126"/>
        </w:trPr>
        <w:tc>
          <w:tcPr>
            <w:tcW w:w="2654" w:type="dxa"/>
            <w:shd w:val="clear" w:color="auto" w:fill="DAEEF3" w:themeFill="accent5" w:themeFillTint="33"/>
          </w:tcPr>
          <w:p w14:paraId="5C5B5014" w14:textId="000BAD3F" w:rsidR="00D3193D" w:rsidRPr="00D3193D" w:rsidRDefault="00D3193D" w:rsidP="00D3193D">
            <w:pPr>
              <w:spacing w:after="0" w:line="259" w:lineRule="auto"/>
              <w:jc w:val="center"/>
              <w:rPr>
                <w:b/>
              </w:rPr>
            </w:pPr>
            <w:r w:rsidRPr="00D3193D">
              <w:rPr>
                <w:b/>
              </w:rPr>
              <w:t>Implementing Agent</w:t>
            </w:r>
          </w:p>
        </w:tc>
        <w:tc>
          <w:tcPr>
            <w:tcW w:w="3811" w:type="dxa"/>
            <w:gridSpan w:val="2"/>
            <w:shd w:val="clear" w:color="auto" w:fill="DAEEF3" w:themeFill="accent5" w:themeFillTint="33"/>
          </w:tcPr>
          <w:p w14:paraId="02468AA8" w14:textId="769A6485" w:rsidR="00D3193D" w:rsidRPr="00D3193D" w:rsidRDefault="00D3193D" w:rsidP="00D3193D">
            <w:pPr>
              <w:spacing w:after="0" w:line="259" w:lineRule="auto"/>
              <w:jc w:val="center"/>
              <w:rPr>
                <w:b/>
              </w:rPr>
            </w:pPr>
            <w:r w:rsidRPr="00D3193D">
              <w:rPr>
                <w:b/>
              </w:rPr>
              <w:t xml:space="preserve">Housing Project </w:t>
            </w:r>
          </w:p>
        </w:tc>
        <w:tc>
          <w:tcPr>
            <w:tcW w:w="3153" w:type="dxa"/>
            <w:gridSpan w:val="3"/>
            <w:shd w:val="clear" w:color="auto" w:fill="DAEEF3" w:themeFill="accent5" w:themeFillTint="33"/>
          </w:tcPr>
          <w:p w14:paraId="361BE7E8" w14:textId="19B79C57" w:rsidR="00D3193D" w:rsidRPr="00D3193D" w:rsidRDefault="00297695" w:rsidP="00297695">
            <w:pPr>
              <w:spacing w:after="0" w:line="259" w:lineRule="auto"/>
              <w:rPr>
                <w:b/>
              </w:rPr>
            </w:pPr>
            <w:r>
              <w:rPr>
                <w:b/>
              </w:rPr>
              <w:t xml:space="preserve">Year </w:t>
            </w:r>
            <w:r w:rsidR="00D3193D" w:rsidRPr="00D3193D">
              <w:rPr>
                <w:b/>
              </w:rPr>
              <w:t>Submitted To The DoHS</w:t>
            </w:r>
          </w:p>
        </w:tc>
      </w:tr>
      <w:tr w:rsidR="00D3193D" w:rsidRPr="00D3193D" w14:paraId="39586880" w14:textId="77777777" w:rsidTr="00297695">
        <w:trPr>
          <w:trHeight w:val="279"/>
        </w:trPr>
        <w:tc>
          <w:tcPr>
            <w:tcW w:w="2654" w:type="dxa"/>
          </w:tcPr>
          <w:p w14:paraId="7A95E3D2" w14:textId="77777777" w:rsidR="00D3193D" w:rsidRPr="00D3193D" w:rsidRDefault="00D3193D" w:rsidP="00D3193D">
            <w:pPr>
              <w:spacing w:after="0" w:line="259" w:lineRule="auto"/>
            </w:pPr>
            <w:r w:rsidRPr="00D3193D">
              <w:t>Stedone Developments</w:t>
            </w:r>
          </w:p>
        </w:tc>
        <w:tc>
          <w:tcPr>
            <w:tcW w:w="3811" w:type="dxa"/>
            <w:gridSpan w:val="2"/>
          </w:tcPr>
          <w:p w14:paraId="6351DDE2" w14:textId="77777777" w:rsidR="00D3193D" w:rsidRPr="00D3193D" w:rsidRDefault="00D3193D" w:rsidP="00D3193D">
            <w:pPr>
              <w:spacing w:after="0" w:line="259" w:lineRule="auto"/>
            </w:pPr>
            <w:r w:rsidRPr="00D3193D">
              <w:t>Ndlangubuo Rural Housing Project</w:t>
            </w:r>
          </w:p>
        </w:tc>
        <w:tc>
          <w:tcPr>
            <w:tcW w:w="3153" w:type="dxa"/>
            <w:gridSpan w:val="3"/>
          </w:tcPr>
          <w:p w14:paraId="56BA04D6" w14:textId="77777777" w:rsidR="00D3193D" w:rsidRPr="00D3193D" w:rsidRDefault="00D3193D" w:rsidP="00D3193D">
            <w:pPr>
              <w:spacing w:after="0" w:line="259" w:lineRule="auto"/>
            </w:pPr>
            <w:r w:rsidRPr="00D3193D">
              <w:t>2013 Still Awaiting Approval</w:t>
            </w:r>
          </w:p>
        </w:tc>
      </w:tr>
      <w:tr w:rsidR="00D3193D" w:rsidRPr="00D3193D" w14:paraId="49D36741" w14:textId="77777777" w:rsidTr="00297695">
        <w:trPr>
          <w:trHeight w:val="351"/>
        </w:trPr>
        <w:tc>
          <w:tcPr>
            <w:tcW w:w="2654" w:type="dxa"/>
          </w:tcPr>
          <w:p w14:paraId="0FADB96A" w14:textId="77777777" w:rsidR="00D3193D" w:rsidRPr="00D3193D" w:rsidRDefault="00D3193D" w:rsidP="00D3193D">
            <w:pPr>
              <w:spacing w:after="0" w:line="259" w:lineRule="auto"/>
            </w:pPr>
            <w:r w:rsidRPr="00D3193D">
              <w:t>Ntokozweni Developers</w:t>
            </w:r>
          </w:p>
        </w:tc>
        <w:tc>
          <w:tcPr>
            <w:tcW w:w="3811" w:type="dxa"/>
            <w:gridSpan w:val="2"/>
          </w:tcPr>
          <w:p w14:paraId="16AED2DB" w14:textId="77777777" w:rsidR="00D3193D" w:rsidRPr="00D3193D" w:rsidRDefault="00D3193D" w:rsidP="00D3193D">
            <w:pPr>
              <w:spacing w:after="0" w:line="259" w:lineRule="auto"/>
            </w:pPr>
            <w:r w:rsidRPr="00D3193D">
              <w:t>Mvuzane Rural Housing Project</w:t>
            </w:r>
          </w:p>
        </w:tc>
        <w:tc>
          <w:tcPr>
            <w:tcW w:w="3153" w:type="dxa"/>
            <w:gridSpan w:val="3"/>
          </w:tcPr>
          <w:p w14:paraId="4BDBC9A4" w14:textId="77777777" w:rsidR="00D3193D" w:rsidRPr="00D3193D" w:rsidRDefault="00D3193D" w:rsidP="00D3193D">
            <w:pPr>
              <w:spacing w:after="0" w:line="259" w:lineRule="auto"/>
            </w:pPr>
            <w:r w:rsidRPr="00D3193D">
              <w:t>2014 Still Awaiting Approval</w:t>
            </w:r>
          </w:p>
        </w:tc>
      </w:tr>
      <w:tr w:rsidR="00D3193D" w:rsidRPr="00D3193D" w14:paraId="28406B13" w14:textId="77777777" w:rsidTr="00297695">
        <w:trPr>
          <w:trHeight w:val="415"/>
        </w:trPr>
        <w:tc>
          <w:tcPr>
            <w:tcW w:w="2654" w:type="dxa"/>
          </w:tcPr>
          <w:p w14:paraId="4E2CF7D0" w14:textId="77777777" w:rsidR="00D3193D" w:rsidRPr="00D3193D" w:rsidRDefault="00D3193D" w:rsidP="00D3193D">
            <w:pPr>
              <w:spacing w:after="0" w:line="259" w:lineRule="auto"/>
            </w:pPr>
            <w:r w:rsidRPr="00D3193D">
              <w:t>Siqu Group</w:t>
            </w:r>
          </w:p>
        </w:tc>
        <w:tc>
          <w:tcPr>
            <w:tcW w:w="3811" w:type="dxa"/>
            <w:gridSpan w:val="2"/>
          </w:tcPr>
          <w:p w14:paraId="2E2BC02E" w14:textId="77777777" w:rsidR="00D3193D" w:rsidRPr="00D3193D" w:rsidRDefault="00D3193D" w:rsidP="00D3193D">
            <w:pPr>
              <w:spacing w:after="0" w:line="259" w:lineRule="auto"/>
            </w:pPr>
            <w:r w:rsidRPr="00D3193D">
              <w:t>Kwakhoza Rural Housing Project</w:t>
            </w:r>
          </w:p>
        </w:tc>
        <w:tc>
          <w:tcPr>
            <w:tcW w:w="3153" w:type="dxa"/>
            <w:gridSpan w:val="3"/>
          </w:tcPr>
          <w:p w14:paraId="5F78617A" w14:textId="77777777" w:rsidR="00D3193D" w:rsidRPr="00D3193D" w:rsidRDefault="00D3193D" w:rsidP="00D3193D">
            <w:pPr>
              <w:spacing w:after="0" w:line="259" w:lineRule="auto"/>
            </w:pPr>
            <w:r w:rsidRPr="00D3193D">
              <w:t>2015 Still Awaiting Approval</w:t>
            </w:r>
          </w:p>
        </w:tc>
      </w:tr>
      <w:tr w:rsidR="00D3193D" w:rsidRPr="00D3193D" w14:paraId="52B141D7" w14:textId="77777777" w:rsidTr="00297695">
        <w:trPr>
          <w:trHeight w:val="388"/>
        </w:trPr>
        <w:tc>
          <w:tcPr>
            <w:tcW w:w="2654" w:type="dxa"/>
          </w:tcPr>
          <w:p w14:paraId="4A588501" w14:textId="77777777" w:rsidR="00D3193D" w:rsidRPr="00D3193D" w:rsidRDefault="00D3193D" w:rsidP="00D3193D">
            <w:pPr>
              <w:spacing w:after="0" w:line="259" w:lineRule="auto"/>
            </w:pPr>
            <w:r w:rsidRPr="00D3193D">
              <w:t>Mabune Consulting</w:t>
            </w:r>
          </w:p>
        </w:tc>
        <w:tc>
          <w:tcPr>
            <w:tcW w:w="3811" w:type="dxa"/>
            <w:gridSpan w:val="2"/>
          </w:tcPr>
          <w:p w14:paraId="40F34DAE" w14:textId="77777777" w:rsidR="00D3193D" w:rsidRPr="00D3193D" w:rsidRDefault="00D3193D" w:rsidP="00D3193D">
            <w:pPr>
              <w:spacing w:after="0" w:line="259" w:lineRule="auto"/>
            </w:pPr>
            <w:r w:rsidRPr="00D3193D">
              <w:t>Kholweni Rural Housing Project</w:t>
            </w:r>
          </w:p>
        </w:tc>
        <w:tc>
          <w:tcPr>
            <w:tcW w:w="3153" w:type="dxa"/>
            <w:gridSpan w:val="3"/>
          </w:tcPr>
          <w:p w14:paraId="50F7EFA4" w14:textId="77777777" w:rsidR="00D3193D" w:rsidRPr="00D3193D" w:rsidRDefault="00D3193D" w:rsidP="00D3193D">
            <w:pPr>
              <w:spacing w:after="0" w:line="259" w:lineRule="auto"/>
            </w:pPr>
            <w:r w:rsidRPr="00D3193D">
              <w:t>2015 Still Awaiting Approval</w:t>
            </w:r>
          </w:p>
        </w:tc>
      </w:tr>
      <w:tr w:rsidR="00D3193D" w:rsidRPr="00D3193D" w14:paraId="0FE0EF86" w14:textId="77777777" w:rsidTr="00297695">
        <w:trPr>
          <w:trHeight w:val="315"/>
        </w:trPr>
        <w:tc>
          <w:tcPr>
            <w:tcW w:w="2654" w:type="dxa"/>
          </w:tcPr>
          <w:p w14:paraId="7537B815" w14:textId="77777777" w:rsidR="00D3193D" w:rsidRPr="00D3193D" w:rsidRDefault="00D3193D" w:rsidP="00D3193D">
            <w:pPr>
              <w:spacing w:after="0" w:line="259" w:lineRule="auto"/>
            </w:pPr>
            <w:r w:rsidRPr="00D3193D">
              <w:t>Kenty &amp; Templer</w:t>
            </w:r>
          </w:p>
        </w:tc>
        <w:tc>
          <w:tcPr>
            <w:tcW w:w="3811" w:type="dxa"/>
            <w:gridSpan w:val="2"/>
          </w:tcPr>
          <w:p w14:paraId="759DFBCE" w14:textId="77777777" w:rsidR="00D3193D" w:rsidRPr="00D3193D" w:rsidRDefault="00D3193D" w:rsidP="00D3193D">
            <w:pPr>
              <w:spacing w:after="0" w:line="259" w:lineRule="auto"/>
            </w:pPr>
            <w:r w:rsidRPr="00D3193D">
              <w:t>Kwamondi Rural Housing Project</w:t>
            </w:r>
          </w:p>
        </w:tc>
        <w:tc>
          <w:tcPr>
            <w:tcW w:w="3153" w:type="dxa"/>
            <w:gridSpan w:val="3"/>
          </w:tcPr>
          <w:p w14:paraId="3CC4EF24" w14:textId="33F56962" w:rsidR="00D3193D" w:rsidRPr="00D3193D" w:rsidRDefault="00D3193D" w:rsidP="00D3193D">
            <w:pPr>
              <w:spacing w:after="0" w:line="259" w:lineRule="auto"/>
            </w:pPr>
            <w:r w:rsidRPr="00D3193D">
              <w:t>2015 Still Awaiting Approval</w:t>
            </w:r>
          </w:p>
          <w:p w14:paraId="6A170327" w14:textId="77777777" w:rsidR="00D3193D" w:rsidRPr="00D3193D" w:rsidRDefault="00D3193D" w:rsidP="00D3193D">
            <w:pPr>
              <w:spacing w:after="0" w:line="259" w:lineRule="auto"/>
            </w:pPr>
          </w:p>
        </w:tc>
      </w:tr>
      <w:tr w:rsidR="00297695" w:rsidRPr="00D3193D" w14:paraId="2D8C18EB" w14:textId="77777777" w:rsidTr="00297695">
        <w:trPr>
          <w:gridAfter w:val="1"/>
          <w:wAfter w:w="153" w:type="dxa"/>
          <w:trHeight w:val="225"/>
        </w:trPr>
        <w:tc>
          <w:tcPr>
            <w:tcW w:w="9465" w:type="dxa"/>
            <w:gridSpan w:val="5"/>
            <w:shd w:val="clear" w:color="auto" w:fill="C4BC96" w:themeFill="background2" w:themeFillShade="BF"/>
          </w:tcPr>
          <w:p w14:paraId="51510DD2" w14:textId="2CBC38F3" w:rsidR="00297695" w:rsidRPr="00D3193D" w:rsidRDefault="00297695" w:rsidP="00297695">
            <w:pPr>
              <w:tabs>
                <w:tab w:val="left" w:pos="668"/>
                <w:tab w:val="center" w:pos="4624"/>
              </w:tabs>
              <w:spacing w:after="160" w:line="259" w:lineRule="auto"/>
              <w:rPr>
                <w:b/>
              </w:rPr>
            </w:pPr>
            <w:r>
              <w:rPr>
                <w:b/>
              </w:rPr>
              <w:tab/>
            </w:r>
            <w:r>
              <w:rPr>
                <w:b/>
              </w:rPr>
              <w:tab/>
            </w:r>
            <w:r w:rsidRPr="00297695">
              <w:rPr>
                <w:b/>
              </w:rPr>
              <w:t>Projects Currently Awaiting Tranche 1 Approval</w:t>
            </w:r>
          </w:p>
        </w:tc>
      </w:tr>
      <w:tr w:rsidR="00297695" w:rsidRPr="00D3193D" w14:paraId="6DD43BCE" w14:textId="77777777" w:rsidTr="00297695">
        <w:trPr>
          <w:gridAfter w:val="1"/>
          <w:wAfter w:w="153" w:type="dxa"/>
          <w:trHeight w:val="142"/>
        </w:trPr>
        <w:tc>
          <w:tcPr>
            <w:tcW w:w="3343" w:type="dxa"/>
            <w:gridSpan w:val="2"/>
            <w:shd w:val="clear" w:color="auto" w:fill="DAEEF3" w:themeFill="accent5" w:themeFillTint="33"/>
          </w:tcPr>
          <w:p w14:paraId="773BC088" w14:textId="02073AB6" w:rsidR="00297695" w:rsidRPr="00297695" w:rsidRDefault="00297695" w:rsidP="0026453C">
            <w:pPr>
              <w:spacing w:after="160" w:line="259" w:lineRule="auto"/>
              <w:rPr>
                <w:b/>
              </w:rPr>
            </w:pPr>
            <w:r w:rsidRPr="00297695">
              <w:rPr>
                <w:b/>
              </w:rPr>
              <w:t>Implementing Agent</w:t>
            </w:r>
          </w:p>
        </w:tc>
        <w:tc>
          <w:tcPr>
            <w:tcW w:w="3298" w:type="dxa"/>
            <w:gridSpan w:val="2"/>
            <w:shd w:val="clear" w:color="auto" w:fill="DAEEF3" w:themeFill="accent5" w:themeFillTint="33"/>
          </w:tcPr>
          <w:p w14:paraId="4A561864" w14:textId="03277067" w:rsidR="00297695" w:rsidRPr="00297695" w:rsidRDefault="00297695" w:rsidP="0026453C">
            <w:pPr>
              <w:spacing w:after="160" w:line="259" w:lineRule="auto"/>
              <w:rPr>
                <w:b/>
              </w:rPr>
            </w:pPr>
            <w:r w:rsidRPr="00297695">
              <w:rPr>
                <w:b/>
              </w:rPr>
              <w:t xml:space="preserve">Housing Project Name </w:t>
            </w:r>
          </w:p>
        </w:tc>
        <w:tc>
          <w:tcPr>
            <w:tcW w:w="2824" w:type="dxa"/>
            <w:shd w:val="clear" w:color="auto" w:fill="DAEEF3" w:themeFill="accent5" w:themeFillTint="33"/>
          </w:tcPr>
          <w:p w14:paraId="63F29F40" w14:textId="1B0FD465" w:rsidR="00297695" w:rsidRPr="00297695" w:rsidRDefault="00297695" w:rsidP="0026453C">
            <w:pPr>
              <w:spacing w:after="160" w:line="259" w:lineRule="auto"/>
              <w:rPr>
                <w:b/>
              </w:rPr>
            </w:pPr>
            <w:r w:rsidRPr="00297695">
              <w:rPr>
                <w:b/>
              </w:rPr>
              <w:t>Year Submitted to DoHS</w:t>
            </w:r>
          </w:p>
        </w:tc>
      </w:tr>
      <w:tr w:rsidR="00297695" w:rsidRPr="00D3193D" w14:paraId="78615767" w14:textId="77777777" w:rsidTr="00297695">
        <w:trPr>
          <w:gridAfter w:val="1"/>
          <w:wAfter w:w="153" w:type="dxa"/>
          <w:trHeight w:val="210"/>
        </w:trPr>
        <w:tc>
          <w:tcPr>
            <w:tcW w:w="3343" w:type="dxa"/>
            <w:gridSpan w:val="2"/>
          </w:tcPr>
          <w:p w14:paraId="72A4AADD" w14:textId="77777777" w:rsidR="00297695" w:rsidRPr="00D3193D" w:rsidRDefault="00297695" w:rsidP="0026453C">
            <w:pPr>
              <w:spacing w:after="160" w:line="259" w:lineRule="auto"/>
            </w:pPr>
            <w:r w:rsidRPr="00D3193D">
              <w:t>Mabune Consulting</w:t>
            </w:r>
          </w:p>
        </w:tc>
        <w:tc>
          <w:tcPr>
            <w:tcW w:w="3298" w:type="dxa"/>
            <w:gridSpan w:val="2"/>
          </w:tcPr>
          <w:p w14:paraId="323BC2AB" w14:textId="77777777" w:rsidR="00297695" w:rsidRPr="00D3193D" w:rsidRDefault="00297695" w:rsidP="0026453C">
            <w:pPr>
              <w:spacing w:after="160" w:line="259" w:lineRule="auto"/>
            </w:pPr>
            <w:r w:rsidRPr="00D3193D">
              <w:t>Mamba Rural Housing Project</w:t>
            </w:r>
          </w:p>
        </w:tc>
        <w:tc>
          <w:tcPr>
            <w:tcW w:w="2824" w:type="dxa"/>
          </w:tcPr>
          <w:p w14:paraId="39A7E0A1" w14:textId="77777777" w:rsidR="00297695" w:rsidRPr="00D3193D" w:rsidRDefault="00297695" w:rsidP="0026453C">
            <w:pPr>
              <w:spacing w:after="160" w:line="259" w:lineRule="auto"/>
            </w:pPr>
            <w:r w:rsidRPr="00D3193D">
              <w:t>2016 Still Awaiting Approval</w:t>
            </w:r>
          </w:p>
        </w:tc>
      </w:tr>
      <w:tr w:rsidR="00297695" w:rsidRPr="00D3193D" w14:paraId="536C73ED" w14:textId="77777777" w:rsidTr="00297695">
        <w:trPr>
          <w:gridAfter w:val="1"/>
          <w:wAfter w:w="153" w:type="dxa"/>
          <w:trHeight w:val="210"/>
        </w:trPr>
        <w:tc>
          <w:tcPr>
            <w:tcW w:w="3343" w:type="dxa"/>
            <w:gridSpan w:val="2"/>
          </w:tcPr>
          <w:p w14:paraId="4962FF3B" w14:textId="25512BD5" w:rsidR="00297695" w:rsidRPr="00D3193D" w:rsidRDefault="00297695" w:rsidP="0026453C">
            <w:pPr>
              <w:spacing w:after="160" w:line="259" w:lineRule="auto"/>
            </w:pPr>
            <w:r w:rsidRPr="00D3193D">
              <w:t>FMA Engineers</w:t>
            </w:r>
          </w:p>
        </w:tc>
        <w:tc>
          <w:tcPr>
            <w:tcW w:w="3298" w:type="dxa"/>
            <w:gridSpan w:val="2"/>
          </w:tcPr>
          <w:p w14:paraId="75E65B2A" w14:textId="77777777" w:rsidR="00297695" w:rsidRPr="00D3193D" w:rsidRDefault="00297695" w:rsidP="0026453C">
            <w:pPr>
              <w:spacing w:after="160" w:line="259" w:lineRule="auto"/>
            </w:pPr>
            <w:r w:rsidRPr="00D3193D">
              <w:t>Mpushini Park Urban Houisng Project</w:t>
            </w:r>
          </w:p>
        </w:tc>
        <w:tc>
          <w:tcPr>
            <w:tcW w:w="2824" w:type="dxa"/>
          </w:tcPr>
          <w:p w14:paraId="21444735" w14:textId="77777777" w:rsidR="00297695" w:rsidRPr="00D3193D" w:rsidRDefault="00297695" w:rsidP="0026453C">
            <w:pPr>
              <w:spacing w:after="160" w:line="259" w:lineRule="auto"/>
            </w:pPr>
            <w:r w:rsidRPr="00D3193D">
              <w:t>Yet To Submit</w:t>
            </w:r>
          </w:p>
        </w:tc>
      </w:tr>
      <w:tr w:rsidR="00297695" w:rsidRPr="00D3193D" w14:paraId="2CDEF706" w14:textId="77777777" w:rsidTr="00297695">
        <w:trPr>
          <w:gridAfter w:val="1"/>
          <w:wAfter w:w="153" w:type="dxa"/>
          <w:trHeight w:val="240"/>
        </w:trPr>
        <w:tc>
          <w:tcPr>
            <w:tcW w:w="3343" w:type="dxa"/>
            <w:gridSpan w:val="2"/>
          </w:tcPr>
          <w:p w14:paraId="02A8235E" w14:textId="0FE22A02" w:rsidR="00297695" w:rsidRPr="00D3193D" w:rsidRDefault="00297695" w:rsidP="0026453C">
            <w:pPr>
              <w:spacing w:after="160" w:line="259" w:lineRule="auto"/>
            </w:pPr>
            <w:r w:rsidRPr="00D3193D">
              <w:t>SIBGEM Engineers</w:t>
            </w:r>
          </w:p>
        </w:tc>
        <w:tc>
          <w:tcPr>
            <w:tcW w:w="3298" w:type="dxa"/>
            <w:gridSpan w:val="2"/>
          </w:tcPr>
          <w:p w14:paraId="07617F94" w14:textId="77777777" w:rsidR="00297695" w:rsidRPr="00D3193D" w:rsidRDefault="00297695" w:rsidP="0026453C">
            <w:pPr>
              <w:spacing w:after="160" w:line="259" w:lineRule="auto"/>
            </w:pPr>
            <w:r w:rsidRPr="00D3193D">
              <w:t>Ogagwini Rural Housing Project</w:t>
            </w:r>
          </w:p>
        </w:tc>
        <w:tc>
          <w:tcPr>
            <w:tcW w:w="2824" w:type="dxa"/>
          </w:tcPr>
          <w:p w14:paraId="42680D9C" w14:textId="77777777" w:rsidR="00297695" w:rsidRPr="00D3193D" w:rsidRDefault="00297695" w:rsidP="0026453C">
            <w:pPr>
              <w:spacing w:after="160" w:line="259" w:lineRule="auto"/>
            </w:pPr>
            <w:r w:rsidRPr="00D3193D">
              <w:t>2017 Still Awaiting Approval</w:t>
            </w:r>
          </w:p>
        </w:tc>
      </w:tr>
      <w:tr w:rsidR="00297695" w:rsidRPr="00D3193D" w14:paraId="55A9AE7E" w14:textId="77777777" w:rsidTr="00297695">
        <w:trPr>
          <w:gridAfter w:val="1"/>
          <w:wAfter w:w="153" w:type="dxa"/>
          <w:trHeight w:val="195"/>
        </w:trPr>
        <w:tc>
          <w:tcPr>
            <w:tcW w:w="3343" w:type="dxa"/>
            <w:gridSpan w:val="2"/>
          </w:tcPr>
          <w:p w14:paraId="00B7782D" w14:textId="7FDD52A6" w:rsidR="00297695" w:rsidRPr="00D3193D" w:rsidRDefault="00297695" w:rsidP="0026453C">
            <w:pPr>
              <w:spacing w:after="160" w:line="259" w:lineRule="auto"/>
            </w:pPr>
            <w:r w:rsidRPr="00D3193D">
              <w:t>CHS Developments</w:t>
            </w:r>
          </w:p>
        </w:tc>
        <w:tc>
          <w:tcPr>
            <w:tcW w:w="3298" w:type="dxa"/>
            <w:gridSpan w:val="2"/>
          </w:tcPr>
          <w:p w14:paraId="198A0568" w14:textId="77777777" w:rsidR="00297695" w:rsidRPr="00D3193D" w:rsidRDefault="00297695" w:rsidP="0026453C">
            <w:pPr>
              <w:spacing w:after="160" w:line="259" w:lineRule="auto"/>
            </w:pPr>
            <w:r w:rsidRPr="00D3193D">
              <w:t>Mzimela Rural Housing Project</w:t>
            </w:r>
          </w:p>
        </w:tc>
        <w:tc>
          <w:tcPr>
            <w:tcW w:w="2824" w:type="dxa"/>
          </w:tcPr>
          <w:p w14:paraId="5EFE1CF4" w14:textId="77777777" w:rsidR="00297695" w:rsidRPr="00D3193D" w:rsidRDefault="00297695" w:rsidP="0026453C">
            <w:pPr>
              <w:spacing w:after="160" w:line="259" w:lineRule="auto"/>
            </w:pPr>
            <w:r w:rsidRPr="00D3193D">
              <w:t>2016 Still Awaiting Approval</w:t>
            </w:r>
          </w:p>
        </w:tc>
      </w:tr>
      <w:tr w:rsidR="00297695" w:rsidRPr="00D3193D" w14:paraId="6AEB1FC6" w14:textId="77777777" w:rsidTr="00297695">
        <w:trPr>
          <w:gridAfter w:val="1"/>
          <w:wAfter w:w="153" w:type="dxa"/>
          <w:trHeight w:val="180"/>
        </w:trPr>
        <w:tc>
          <w:tcPr>
            <w:tcW w:w="3343" w:type="dxa"/>
            <w:gridSpan w:val="2"/>
          </w:tcPr>
          <w:p w14:paraId="699804DE" w14:textId="77777777" w:rsidR="00297695" w:rsidRPr="00D3193D" w:rsidRDefault="00297695" w:rsidP="0026453C">
            <w:pPr>
              <w:spacing w:after="160" w:line="259" w:lineRule="auto"/>
            </w:pPr>
            <w:r w:rsidRPr="00D3193D">
              <w:t>Mkhombe Developments</w:t>
            </w:r>
          </w:p>
        </w:tc>
        <w:tc>
          <w:tcPr>
            <w:tcW w:w="3298" w:type="dxa"/>
            <w:gridSpan w:val="2"/>
          </w:tcPr>
          <w:p w14:paraId="07FFA479" w14:textId="77777777" w:rsidR="00297695" w:rsidRPr="00D3193D" w:rsidRDefault="00297695" w:rsidP="0026453C">
            <w:pPr>
              <w:spacing w:after="160" w:line="259" w:lineRule="auto"/>
            </w:pPr>
            <w:r w:rsidRPr="00D3193D">
              <w:t>Nzuza Rural Housing Project</w:t>
            </w:r>
          </w:p>
        </w:tc>
        <w:tc>
          <w:tcPr>
            <w:tcW w:w="2824" w:type="dxa"/>
          </w:tcPr>
          <w:p w14:paraId="7555780A" w14:textId="77777777" w:rsidR="00297695" w:rsidRPr="00D3193D" w:rsidRDefault="00297695" w:rsidP="0026453C">
            <w:pPr>
              <w:spacing w:after="160" w:line="259" w:lineRule="auto"/>
            </w:pPr>
            <w:r w:rsidRPr="00D3193D">
              <w:t>2016 Still Awaiting Approval</w:t>
            </w:r>
          </w:p>
        </w:tc>
      </w:tr>
      <w:tr w:rsidR="00297695" w:rsidRPr="00D3193D" w14:paraId="26C5C59E" w14:textId="77777777" w:rsidTr="00297695">
        <w:trPr>
          <w:gridAfter w:val="1"/>
          <w:wAfter w:w="153" w:type="dxa"/>
          <w:trHeight w:val="255"/>
        </w:trPr>
        <w:tc>
          <w:tcPr>
            <w:tcW w:w="3343" w:type="dxa"/>
            <w:gridSpan w:val="2"/>
          </w:tcPr>
          <w:p w14:paraId="592EF0C7" w14:textId="77777777" w:rsidR="00297695" w:rsidRPr="00D3193D" w:rsidRDefault="00297695" w:rsidP="0026453C">
            <w:pPr>
              <w:spacing w:after="160" w:line="259" w:lineRule="auto"/>
            </w:pPr>
            <w:r w:rsidRPr="00D3193D">
              <w:t>Metro Projects</w:t>
            </w:r>
          </w:p>
        </w:tc>
        <w:tc>
          <w:tcPr>
            <w:tcW w:w="3298" w:type="dxa"/>
            <w:gridSpan w:val="2"/>
          </w:tcPr>
          <w:p w14:paraId="78D7FA40" w14:textId="77777777" w:rsidR="00297695" w:rsidRPr="00D3193D" w:rsidRDefault="00297695" w:rsidP="0026453C">
            <w:pPr>
              <w:spacing w:after="160" w:line="259" w:lineRule="auto"/>
            </w:pPr>
            <w:r w:rsidRPr="00D3193D">
              <w:t>Gingindlovu Urban Housing Project Phase 2</w:t>
            </w:r>
          </w:p>
        </w:tc>
        <w:tc>
          <w:tcPr>
            <w:tcW w:w="2824" w:type="dxa"/>
          </w:tcPr>
          <w:p w14:paraId="10A8620A" w14:textId="77777777" w:rsidR="00297695" w:rsidRPr="00D3193D" w:rsidRDefault="00297695" w:rsidP="0026453C">
            <w:pPr>
              <w:spacing w:after="160" w:line="259" w:lineRule="auto"/>
            </w:pPr>
            <w:r w:rsidRPr="00D3193D">
              <w:t>Yet To Submit</w:t>
            </w:r>
          </w:p>
        </w:tc>
      </w:tr>
    </w:tbl>
    <w:p w14:paraId="6B66C84C" w14:textId="77777777" w:rsidR="00D3193D" w:rsidRPr="00D3193D" w:rsidRDefault="00D3193D" w:rsidP="00D3193D"/>
    <w:p w14:paraId="6A447BA4" w14:textId="77777777" w:rsidR="00392574" w:rsidRPr="00881795" w:rsidRDefault="00D1420B" w:rsidP="002F62F0">
      <w:pPr>
        <w:pStyle w:val="Caption"/>
        <w:rPr>
          <w:lang w:val="en-ZA"/>
        </w:rPr>
      </w:pPr>
      <w:bookmarkStart w:id="346" w:name="_Toc389739915"/>
      <w:bookmarkStart w:id="347" w:name="_Toc510622293"/>
      <w:bookmarkEnd w:id="345"/>
      <w:r>
        <w:t xml:space="preserve">Table </w:t>
      </w:r>
      <w:r w:rsidR="00B918A6">
        <w:fldChar w:fldCharType="begin"/>
      </w:r>
      <w:r w:rsidR="00B918A6">
        <w:instrText xml:space="preserve"> SEQ Table \* ARABIC </w:instrText>
      </w:r>
      <w:r w:rsidR="00B918A6">
        <w:fldChar w:fldCharType="separate"/>
      </w:r>
      <w:r w:rsidR="0067023A">
        <w:rPr>
          <w:noProof/>
        </w:rPr>
        <w:t>43</w:t>
      </w:r>
      <w:r w:rsidR="00B918A6">
        <w:rPr>
          <w:noProof/>
        </w:rPr>
        <w:fldChar w:fldCharType="end"/>
      </w:r>
      <w:r>
        <w:t xml:space="preserve">: </w:t>
      </w:r>
      <w:r w:rsidR="00392574" w:rsidRPr="00881795">
        <w:t xml:space="preserve">Planned Housing Projects in </w:t>
      </w:r>
      <w:bookmarkEnd w:id="346"/>
      <w:r w:rsidR="00BF7307">
        <w:t>within the Municipal Area.</w:t>
      </w:r>
      <w:bookmarkEnd w:id="347"/>
    </w:p>
    <w:tbl>
      <w:tblPr>
        <w:tblW w:w="10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4915"/>
        <w:gridCol w:w="2778"/>
        <w:gridCol w:w="1861"/>
      </w:tblGrid>
      <w:tr w:rsidR="005D481F" w:rsidRPr="005D481F" w14:paraId="31DC5BB1" w14:textId="77777777" w:rsidTr="005D481F">
        <w:trPr>
          <w:trHeight w:val="236"/>
          <w:tblHeader/>
        </w:trPr>
        <w:tc>
          <w:tcPr>
            <w:tcW w:w="756" w:type="dxa"/>
            <w:shd w:val="clear" w:color="auto" w:fill="DAEEF3" w:themeFill="accent5" w:themeFillTint="33"/>
          </w:tcPr>
          <w:p w14:paraId="6048385D" w14:textId="77777777" w:rsidR="005D481F" w:rsidRPr="005D481F" w:rsidRDefault="005D481F" w:rsidP="005D481F">
            <w:pPr>
              <w:tabs>
                <w:tab w:val="center" w:pos="4320"/>
                <w:tab w:val="right" w:pos="8640"/>
              </w:tabs>
              <w:spacing w:after="0" w:line="240" w:lineRule="auto"/>
              <w:jc w:val="both"/>
              <w:rPr>
                <w:rFonts w:asciiTheme="minorHAnsi" w:eastAsia="Times New Roman" w:hAnsiTheme="minorHAnsi" w:cstheme="minorHAnsi"/>
                <w:b/>
                <w:szCs w:val="20"/>
                <w:lang w:val="en-ZA"/>
              </w:rPr>
            </w:pPr>
            <w:r w:rsidRPr="005D481F">
              <w:rPr>
                <w:rFonts w:asciiTheme="minorHAnsi" w:eastAsia="Times New Roman" w:hAnsiTheme="minorHAnsi" w:cstheme="minorHAnsi"/>
                <w:b/>
                <w:szCs w:val="20"/>
                <w:lang w:val="en-ZA"/>
              </w:rPr>
              <w:t>No</w:t>
            </w:r>
          </w:p>
        </w:tc>
        <w:tc>
          <w:tcPr>
            <w:tcW w:w="4915" w:type="dxa"/>
            <w:shd w:val="clear" w:color="auto" w:fill="DAEEF3" w:themeFill="accent5" w:themeFillTint="33"/>
          </w:tcPr>
          <w:p w14:paraId="4DA7364E" w14:textId="77777777" w:rsidR="005D481F" w:rsidRPr="005D481F" w:rsidRDefault="005D481F" w:rsidP="005D481F">
            <w:pPr>
              <w:tabs>
                <w:tab w:val="center" w:pos="4320"/>
                <w:tab w:val="right" w:pos="8640"/>
              </w:tabs>
              <w:spacing w:after="0" w:line="240" w:lineRule="auto"/>
              <w:jc w:val="both"/>
              <w:rPr>
                <w:rFonts w:asciiTheme="minorHAnsi" w:eastAsia="Times New Roman" w:hAnsiTheme="minorHAnsi" w:cstheme="minorHAnsi"/>
                <w:b/>
                <w:szCs w:val="20"/>
                <w:lang w:val="en-ZA"/>
              </w:rPr>
            </w:pPr>
            <w:r w:rsidRPr="005D481F">
              <w:rPr>
                <w:rFonts w:asciiTheme="minorHAnsi" w:eastAsia="Times New Roman" w:hAnsiTheme="minorHAnsi" w:cstheme="minorHAnsi"/>
                <w:b/>
                <w:szCs w:val="20"/>
                <w:lang w:val="en-ZA"/>
              </w:rPr>
              <w:t>Housing Project</w:t>
            </w:r>
          </w:p>
        </w:tc>
        <w:tc>
          <w:tcPr>
            <w:tcW w:w="2778" w:type="dxa"/>
            <w:shd w:val="clear" w:color="auto" w:fill="DAEEF3" w:themeFill="accent5" w:themeFillTint="33"/>
          </w:tcPr>
          <w:p w14:paraId="22DB251B" w14:textId="77777777" w:rsidR="005D481F" w:rsidRPr="005D481F" w:rsidRDefault="005D481F" w:rsidP="005D481F">
            <w:pPr>
              <w:tabs>
                <w:tab w:val="center" w:pos="4320"/>
                <w:tab w:val="right" w:pos="8640"/>
              </w:tabs>
              <w:spacing w:after="0" w:line="240" w:lineRule="auto"/>
              <w:jc w:val="center"/>
              <w:rPr>
                <w:rFonts w:asciiTheme="minorHAnsi" w:eastAsia="Times New Roman" w:hAnsiTheme="minorHAnsi" w:cstheme="minorHAnsi"/>
                <w:b/>
                <w:szCs w:val="20"/>
                <w:lang w:val="en-ZA"/>
              </w:rPr>
            </w:pPr>
            <w:r w:rsidRPr="005D481F">
              <w:rPr>
                <w:rFonts w:asciiTheme="minorHAnsi" w:eastAsia="Times New Roman" w:hAnsiTheme="minorHAnsi" w:cstheme="minorHAnsi"/>
                <w:b/>
                <w:szCs w:val="20"/>
                <w:lang w:val="en-ZA"/>
              </w:rPr>
              <w:t>Ward</w:t>
            </w:r>
          </w:p>
        </w:tc>
        <w:tc>
          <w:tcPr>
            <w:tcW w:w="1861" w:type="dxa"/>
            <w:shd w:val="clear" w:color="auto" w:fill="DAEEF3" w:themeFill="accent5" w:themeFillTint="33"/>
          </w:tcPr>
          <w:p w14:paraId="4C2B3D52" w14:textId="77777777" w:rsidR="005D481F" w:rsidRPr="005D481F" w:rsidRDefault="005D481F" w:rsidP="005D481F">
            <w:pPr>
              <w:tabs>
                <w:tab w:val="center" w:pos="4320"/>
                <w:tab w:val="right" w:pos="8640"/>
              </w:tabs>
              <w:spacing w:after="0" w:line="240" w:lineRule="auto"/>
              <w:jc w:val="both"/>
              <w:rPr>
                <w:rFonts w:asciiTheme="minorHAnsi" w:eastAsia="Times New Roman" w:hAnsiTheme="minorHAnsi" w:cstheme="minorHAnsi"/>
                <w:b/>
                <w:szCs w:val="20"/>
                <w:lang w:val="en-ZA"/>
              </w:rPr>
            </w:pPr>
            <w:r w:rsidRPr="005D481F">
              <w:rPr>
                <w:rFonts w:asciiTheme="minorHAnsi" w:eastAsia="Times New Roman" w:hAnsiTheme="minorHAnsi" w:cstheme="minorHAnsi"/>
                <w:b/>
                <w:szCs w:val="20"/>
                <w:lang w:val="en-ZA"/>
              </w:rPr>
              <w:t>Urban / Rural</w:t>
            </w:r>
          </w:p>
        </w:tc>
      </w:tr>
      <w:tr w:rsidR="005D481F" w:rsidRPr="005D481F" w14:paraId="79DA7E07" w14:textId="77777777" w:rsidTr="005D481F">
        <w:trPr>
          <w:trHeight w:val="251"/>
        </w:trPr>
        <w:tc>
          <w:tcPr>
            <w:tcW w:w="756" w:type="dxa"/>
          </w:tcPr>
          <w:p w14:paraId="6DB6542A" w14:textId="77777777" w:rsidR="005D481F" w:rsidRPr="005D481F" w:rsidRDefault="005D481F" w:rsidP="005D481F">
            <w:pPr>
              <w:tabs>
                <w:tab w:val="center" w:pos="4320"/>
                <w:tab w:val="right" w:pos="8640"/>
              </w:tabs>
              <w:spacing w:after="0" w:line="240" w:lineRule="auto"/>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1</w:t>
            </w:r>
          </w:p>
        </w:tc>
        <w:tc>
          <w:tcPr>
            <w:tcW w:w="4915" w:type="dxa"/>
          </w:tcPr>
          <w:p w14:paraId="06C7B850" w14:textId="77777777" w:rsidR="005D481F" w:rsidRPr="005D481F" w:rsidRDefault="003600EB" w:rsidP="005D481F">
            <w:pPr>
              <w:spacing w:after="0" w:line="240" w:lineRule="auto"/>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Ogagweni</w:t>
            </w:r>
            <w:r w:rsidR="005D481F" w:rsidRPr="005D481F">
              <w:rPr>
                <w:rFonts w:asciiTheme="minorHAnsi" w:eastAsia="Times New Roman" w:hAnsiTheme="minorHAnsi" w:cstheme="minorHAnsi"/>
                <w:szCs w:val="20"/>
                <w:lang w:val="en-ZA"/>
              </w:rPr>
              <w:t xml:space="preserve"> Rural Housing Project - Phase 2</w:t>
            </w:r>
          </w:p>
        </w:tc>
        <w:tc>
          <w:tcPr>
            <w:tcW w:w="2778" w:type="dxa"/>
          </w:tcPr>
          <w:p w14:paraId="36F67BA7" w14:textId="77777777" w:rsidR="005D481F" w:rsidRPr="005D481F" w:rsidRDefault="005D481F" w:rsidP="005D481F">
            <w:pPr>
              <w:tabs>
                <w:tab w:val="center" w:pos="4320"/>
                <w:tab w:val="right" w:pos="8640"/>
              </w:tabs>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20, 21</w:t>
            </w:r>
          </w:p>
        </w:tc>
        <w:tc>
          <w:tcPr>
            <w:tcW w:w="1861" w:type="dxa"/>
          </w:tcPr>
          <w:p w14:paraId="28F27E0D" w14:textId="77777777" w:rsidR="005D481F" w:rsidRPr="005D481F" w:rsidRDefault="005D481F" w:rsidP="005D481F">
            <w:pPr>
              <w:tabs>
                <w:tab w:val="center" w:pos="4320"/>
                <w:tab w:val="right" w:pos="8640"/>
              </w:tabs>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Rural</w:t>
            </w:r>
          </w:p>
        </w:tc>
      </w:tr>
      <w:tr w:rsidR="005D481F" w:rsidRPr="005D481F" w14:paraId="60C3DEF4" w14:textId="77777777" w:rsidTr="005D481F">
        <w:trPr>
          <w:trHeight w:val="236"/>
        </w:trPr>
        <w:tc>
          <w:tcPr>
            <w:tcW w:w="756" w:type="dxa"/>
          </w:tcPr>
          <w:p w14:paraId="4E21D36B" w14:textId="77777777" w:rsidR="005D481F" w:rsidRPr="005D481F" w:rsidRDefault="005D481F" w:rsidP="005D481F">
            <w:pPr>
              <w:tabs>
                <w:tab w:val="center" w:pos="4320"/>
                <w:tab w:val="right" w:pos="8640"/>
              </w:tabs>
              <w:spacing w:after="0" w:line="240" w:lineRule="auto"/>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2</w:t>
            </w:r>
          </w:p>
        </w:tc>
        <w:tc>
          <w:tcPr>
            <w:tcW w:w="4915" w:type="dxa"/>
          </w:tcPr>
          <w:p w14:paraId="02B899E6" w14:textId="77777777" w:rsidR="005D481F" w:rsidRPr="005D481F" w:rsidRDefault="005D481F" w:rsidP="005D481F">
            <w:pPr>
              <w:spacing w:after="0" w:line="240" w:lineRule="auto"/>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Mamba Rural Housing Project - Phase 2</w:t>
            </w:r>
          </w:p>
        </w:tc>
        <w:tc>
          <w:tcPr>
            <w:tcW w:w="2778" w:type="dxa"/>
          </w:tcPr>
          <w:p w14:paraId="7EF4C0DA" w14:textId="77777777" w:rsidR="005D481F" w:rsidRPr="005D481F" w:rsidRDefault="005D481F" w:rsidP="005D481F">
            <w:pPr>
              <w:tabs>
                <w:tab w:val="center" w:pos="4320"/>
                <w:tab w:val="right" w:pos="8640"/>
              </w:tabs>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2</w:t>
            </w:r>
          </w:p>
        </w:tc>
        <w:tc>
          <w:tcPr>
            <w:tcW w:w="1861" w:type="dxa"/>
          </w:tcPr>
          <w:p w14:paraId="0E976329" w14:textId="77777777" w:rsidR="005D481F" w:rsidRPr="005D481F" w:rsidRDefault="005D481F" w:rsidP="005D481F">
            <w:pPr>
              <w:tabs>
                <w:tab w:val="center" w:pos="4320"/>
                <w:tab w:val="right" w:pos="8640"/>
              </w:tabs>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Rural</w:t>
            </w:r>
          </w:p>
        </w:tc>
      </w:tr>
      <w:tr w:rsidR="005D481F" w:rsidRPr="005D481F" w14:paraId="2395107F" w14:textId="77777777" w:rsidTr="005D481F">
        <w:trPr>
          <w:trHeight w:val="236"/>
        </w:trPr>
        <w:tc>
          <w:tcPr>
            <w:tcW w:w="756" w:type="dxa"/>
          </w:tcPr>
          <w:p w14:paraId="554D2648" w14:textId="77777777" w:rsidR="005D481F" w:rsidRPr="005D481F" w:rsidRDefault="005D481F" w:rsidP="005D481F">
            <w:pPr>
              <w:tabs>
                <w:tab w:val="center" w:pos="4320"/>
                <w:tab w:val="right" w:pos="8640"/>
              </w:tabs>
              <w:spacing w:after="0" w:line="240" w:lineRule="auto"/>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3</w:t>
            </w:r>
          </w:p>
        </w:tc>
        <w:tc>
          <w:tcPr>
            <w:tcW w:w="4915" w:type="dxa"/>
          </w:tcPr>
          <w:p w14:paraId="0BC28ABA" w14:textId="77777777" w:rsidR="005D481F" w:rsidRPr="005D481F" w:rsidRDefault="005D481F" w:rsidP="005D481F">
            <w:pPr>
              <w:spacing w:after="0" w:line="240" w:lineRule="auto"/>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Mzimela Rural Housing Project - Phase 2</w:t>
            </w:r>
          </w:p>
        </w:tc>
        <w:tc>
          <w:tcPr>
            <w:tcW w:w="2778" w:type="dxa"/>
          </w:tcPr>
          <w:p w14:paraId="4150AAA2" w14:textId="77777777" w:rsidR="005D481F" w:rsidRPr="005D481F" w:rsidRDefault="005D481F" w:rsidP="005D481F">
            <w:pPr>
              <w:tabs>
                <w:tab w:val="center" w:pos="4320"/>
                <w:tab w:val="right" w:pos="8640"/>
              </w:tabs>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21, 23</w:t>
            </w:r>
          </w:p>
        </w:tc>
        <w:tc>
          <w:tcPr>
            <w:tcW w:w="1861" w:type="dxa"/>
          </w:tcPr>
          <w:p w14:paraId="4EAED102" w14:textId="77777777" w:rsidR="005D481F" w:rsidRPr="005D481F" w:rsidRDefault="005D481F" w:rsidP="005D481F">
            <w:pPr>
              <w:tabs>
                <w:tab w:val="center" w:pos="4320"/>
                <w:tab w:val="right" w:pos="8640"/>
              </w:tabs>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Rural</w:t>
            </w:r>
          </w:p>
        </w:tc>
      </w:tr>
      <w:tr w:rsidR="005D481F" w:rsidRPr="005D481F" w14:paraId="4DEAD714" w14:textId="77777777" w:rsidTr="005D481F">
        <w:trPr>
          <w:trHeight w:val="236"/>
        </w:trPr>
        <w:tc>
          <w:tcPr>
            <w:tcW w:w="756" w:type="dxa"/>
          </w:tcPr>
          <w:p w14:paraId="28A698A7" w14:textId="77777777" w:rsidR="005D481F" w:rsidRPr="005D481F" w:rsidRDefault="005D481F" w:rsidP="005D481F">
            <w:pPr>
              <w:tabs>
                <w:tab w:val="center" w:pos="4320"/>
                <w:tab w:val="right" w:pos="8640"/>
              </w:tabs>
              <w:spacing w:after="0" w:line="240" w:lineRule="auto"/>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4</w:t>
            </w:r>
          </w:p>
        </w:tc>
        <w:tc>
          <w:tcPr>
            <w:tcW w:w="4915" w:type="dxa"/>
          </w:tcPr>
          <w:p w14:paraId="1A3B0135" w14:textId="77777777" w:rsidR="005D481F" w:rsidRPr="005D481F" w:rsidRDefault="005D481F" w:rsidP="005D481F">
            <w:pPr>
              <w:tabs>
                <w:tab w:val="num" w:pos="0"/>
              </w:tabs>
              <w:spacing w:after="0" w:line="240" w:lineRule="auto"/>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Mpushini Housing Project - Phase 2</w:t>
            </w:r>
          </w:p>
        </w:tc>
        <w:tc>
          <w:tcPr>
            <w:tcW w:w="2778" w:type="dxa"/>
          </w:tcPr>
          <w:p w14:paraId="64AA0D1E" w14:textId="77777777" w:rsidR="005D481F" w:rsidRPr="005D481F" w:rsidRDefault="005D481F" w:rsidP="005D481F">
            <w:pPr>
              <w:tabs>
                <w:tab w:val="center" w:pos="4320"/>
                <w:tab w:val="right" w:pos="8640"/>
              </w:tabs>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7</w:t>
            </w:r>
          </w:p>
        </w:tc>
        <w:tc>
          <w:tcPr>
            <w:tcW w:w="1861" w:type="dxa"/>
          </w:tcPr>
          <w:p w14:paraId="6AC620F2" w14:textId="77777777" w:rsidR="005D481F" w:rsidRPr="005D481F" w:rsidRDefault="005D481F" w:rsidP="005D481F">
            <w:pPr>
              <w:tabs>
                <w:tab w:val="center" w:pos="4320"/>
                <w:tab w:val="right" w:pos="8640"/>
              </w:tabs>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Urban</w:t>
            </w:r>
          </w:p>
        </w:tc>
      </w:tr>
      <w:tr w:rsidR="005D481F" w:rsidRPr="005D481F" w14:paraId="7ADA8A93" w14:textId="77777777" w:rsidTr="005D481F">
        <w:trPr>
          <w:trHeight w:val="251"/>
        </w:trPr>
        <w:tc>
          <w:tcPr>
            <w:tcW w:w="756" w:type="dxa"/>
          </w:tcPr>
          <w:p w14:paraId="4549FB26" w14:textId="77777777" w:rsidR="005D481F" w:rsidRPr="005D481F" w:rsidRDefault="005D481F" w:rsidP="005D481F">
            <w:pPr>
              <w:tabs>
                <w:tab w:val="center" w:pos="4320"/>
                <w:tab w:val="right" w:pos="8640"/>
              </w:tabs>
              <w:spacing w:after="0" w:line="240" w:lineRule="auto"/>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5</w:t>
            </w:r>
          </w:p>
        </w:tc>
        <w:tc>
          <w:tcPr>
            <w:tcW w:w="4915" w:type="dxa"/>
          </w:tcPr>
          <w:p w14:paraId="4234B553" w14:textId="77777777" w:rsidR="005D481F" w:rsidRPr="005D481F" w:rsidRDefault="005D481F" w:rsidP="005D481F">
            <w:pPr>
              <w:tabs>
                <w:tab w:val="num" w:pos="0"/>
              </w:tabs>
              <w:spacing w:after="0" w:line="240" w:lineRule="auto"/>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Nkanini Rural Housing - Phase 2</w:t>
            </w:r>
          </w:p>
        </w:tc>
        <w:tc>
          <w:tcPr>
            <w:tcW w:w="2778" w:type="dxa"/>
          </w:tcPr>
          <w:p w14:paraId="7B1D06CB" w14:textId="77777777" w:rsidR="005D481F" w:rsidRPr="005D481F" w:rsidRDefault="005D481F" w:rsidP="005D481F">
            <w:pPr>
              <w:tabs>
                <w:tab w:val="center" w:pos="4320"/>
                <w:tab w:val="right" w:pos="8640"/>
              </w:tabs>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7</w:t>
            </w:r>
          </w:p>
        </w:tc>
        <w:tc>
          <w:tcPr>
            <w:tcW w:w="1861" w:type="dxa"/>
          </w:tcPr>
          <w:p w14:paraId="239A8B31" w14:textId="77777777" w:rsidR="005D481F" w:rsidRPr="005D481F" w:rsidRDefault="005D481F" w:rsidP="005D481F">
            <w:pPr>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Rural</w:t>
            </w:r>
          </w:p>
        </w:tc>
      </w:tr>
      <w:tr w:rsidR="005D481F" w:rsidRPr="005D481F" w14:paraId="42ADC8C4" w14:textId="77777777" w:rsidTr="005D481F">
        <w:trPr>
          <w:trHeight w:val="236"/>
        </w:trPr>
        <w:tc>
          <w:tcPr>
            <w:tcW w:w="756" w:type="dxa"/>
          </w:tcPr>
          <w:p w14:paraId="2D0316F3" w14:textId="77777777" w:rsidR="005D481F" w:rsidRPr="005D481F" w:rsidRDefault="005D481F" w:rsidP="005D481F">
            <w:pPr>
              <w:tabs>
                <w:tab w:val="center" w:pos="4320"/>
                <w:tab w:val="right" w:pos="8640"/>
              </w:tabs>
              <w:spacing w:after="0" w:line="240" w:lineRule="auto"/>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6</w:t>
            </w:r>
          </w:p>
        </w:tc>
        <w:tc>
          <w:tcPr>
            <w:tcW w:w="4915" w:type="dxa"/>
          </w:tcPr>
          <w:p w14:paraId="6A943155" w14:textId="77777777" w:rsidR="005D481F" w:rsidRPr="005D481F" w:rsidRDefault="005D481F" w:rsidP="005D481F">
            <w:pPr>
              <w:tabs>
                <w:tab w:val="num" w:pos="0"/>
              </w:tabs>
              <w:spacing w:after="0" w:line="240" w:lineRule="auto"/>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Vuma Rural Housing - Phase 2</w:t>
            </w:r>
          </w:p>
        </w:tc>
        <w:tc>
          <w:tcPr>
            <w:tcW w:w="2778" w:type="dxa"/>
          </w:tcPr>
          <w:p w14:paraId="5235678A" w14:textId="77777777" w:rsidR="005D481F" w:rsidRPr="005D481F" w:rsidRDefault="005D481F" w:rsidP="005D481F">
            <w:pPr>
              <w:tabs>
                <w:tab w:val="center" w:pos="4320"/>
                <w:tab w:val="right" w:pos="8640"/>
              </w:tabs>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8</w:t>
            </w:r>
          </w:p>
        </w:tc>
        <w:tc>
          <w:tcPr>
            <w:tcW w:w="1861" w:type="dxa"/>
          </w:tcPr>
          <w:p w14:paraId="65D1F4EB" w14:textId="77777777" w:rsidR="005D481F" w:rsidRPr="005D481F" w:rsidRDefault="005D481F" w:rsidP="005D481F">
            <w:pPr>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Rural</w:t>
            </w:r>
          </w:p>
        </w:tc>
      </w:tr>
      <w:tr w:rsidR="005D481F" w:rsidRPr="005D481F" w14:paraId="5A369694" w14:textId="77777777" w:rsidTr="005D481F">
        <w:trPr>
          <w:trHeight w:val="236"/>
        </w:trPr>
        <w:tc>
          <w:tcPr>
            <w:tcW w:w="756" w:type="dxa"/>
          </w:tcPr>
          <w:p w14:paraId="1FFBE88A" w14:textId="77777777" w:rsidR="005D481F" w:rsidRPr="005D481F" w:rsidRDefault="005D481F" w:rsidP="005D481F">
            <w:pPr>
              <w:tabs>
                <w:tab w:val="center" w:pos="4320"/>
                <w:tab w:val="right" w:pos="8640"/>
              </w:tabs>
              <w:spacing w:after="0" w:line="240" w:lineRule="auto"/>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7</w:t>
            </w:r>
          </w:p>
        </w:tc>
        <w:tc>
          <w:tcPr>
            <w:tcW w:w="4915" w:type="dxa"/>
          </w:tcPr>
          <w:p w14:paraId="1E14A7BD" w14:textId="77777777" w:rsidR="005D481F" w:rsidRPr="005D481F" w:rsidRDefault="005D481F" w:rsidP="005D481F">
            <w:pPr>
              <w:spacing w:after="0" w:line="240" w:lineRule="auto"/>
              <w:ind w:left="55"/>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Nzuza Rural Housing - Phase 2</w:t>
            </w:r>
          </w:p>
        </w:tc>
        <w:tc>
          <w:tcPr>
            <w:tcW w:w="2778" w:type="dxa"/>
          </w:tcPr>
          <w:p w14:paraId="1973BA94" w14:textId="77777777" w:rsidR="005D481F" w:rsidRPr="005D481F" w:rsidRDefault="007C546B" w:rsidP="005D481F">
            <w:pPr>
              <w:tabs>
                <w:tab w:val="center" w:pos="4320"/>
                <w:tab w:val="right" w:pos="8640"/>
              </w:tabs>
              <w:spacing w:after="0" w:line="240" w:lineRule="auto"/>
              <w:jc w:val="center"/>
              <w:rPr>
                <w:rFonts w:asciiTheme="minorHAnsi" w:eastAsia="Times New Roman" w:hAnsiTheme="minorHAnsi" w:cstheme="minorHAnsi"/>
                <w:szCs w:val="20"/>
                <w:lang w:val="en-ZA"/>
              </w:rPr>
            </w:pPr>
            <w:r>
              <w:rPr>
                <w:rFonts w:asciiTheme="minorHAnsi" w:eastAsia="Times New Roman" w:hAnsiTheme="minorHAnsi" w:cstheme="minorHAnsi"/>
                <w:szCs w:val="20"/>
                <w:lang w:val="en-ZA"/>
              </w:rPr>
              <w:t xml:space="preserve">16, </w:t>
            </w:r>
            <w:r w:rsidR="005D481F" w:rsidRPr="005D481F">
              <w:rPr>
                <w:rFonts w:asciiTheme="minorHAnsi" w:eastAsia="Times New Roman" w:hAnsiTheme="minorHAnsi" w:cstheme="minorHAnsi"/>
                <w:szCs w:val="20"/>
                <w:lang w:val="en-ZA"/>
              </w:rPr>
              <w:t>17,19,20</w:t>
            </w:r>
          </w:p>
        </w:tc>
        <w:tc>
          <w:tcPr>
            <w:tcW w:w="1861" w:type="dxa"/>
          </w:tcPr>
          <w:p w14:paraId="07C98D18" w14:textId="77777777" w:rsidR="005D481F" w:rsidRPr="005D481F" w:rsidRDefault="005D481F" w:rsidP="005D481F">
            <w:pPr>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Rural</w:t>
            </w:r>
          </w:p>
        </w:tc>
      </w:tr>
      <w:tr w:rsidR="005D481F" w:rsidRPr="005D481F" w14:paraId="3095087B" w14:textId="77777777" w:rsidTr="005D481F">
        <w:trPr>
          <w:trHeight w:val="236"/>
        </w:trPr>
        <w:tc>
          <w:tcPr>
            <w:tcW w:w="756" w:type="dxa"/>
          </w:tcPr>
          <w:p w14:paraId="7B3B82D4" w14:textId="77777777" w:rsidR="005D481F" w:rsidRPr="005D481F" w:rsidRDefault="005D481F" w:rsidP="005D481F">
            <w:pPr>
              <w:tabs>
                <w:tab w:val="center" w:pos="4320"/>
                <w:tab w:val="right" w:pos="8640"/>
              </w:tabs>
              <w:spacing w:after="0" w:line="240" w:lineRule="auto"/>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8</w:t>
            </w:r>
          </w:p>
        </w:tc>
        <w:tc>
          <w:tcPr>
            <w:tcW w:w="4915" w:type="dxa"/>
          </w:tcPr>
          <w:p w14:paraId="351701C4" w14:textId="77777777" w:rsidR="005D481F" w:rsidRPr="005D481F" w:rsidRDefault="005D481F" w:rsidP="005D481F">
            <w:pPr>
              <w:tabs>
                <w:tab w:val="center" w:pos="739"/>
                <w:tab w:val="right" w:pos="8640"/>
              </w:tabs>
              <w:spacing w:after="0" w:line="240" w:lineRule="auto"/>
              <w:ind w:left="55"/>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Ndlangubo Rural Housing - Phase 2</w:t>
            </w:r>
          </w:p>
        </w:tc>
        <w:tc>
          <w:tcPr>
            <w:tcW w:w="2778" w:type="dxa"/>
          </w:tcPr>
          <w:p w14:paraId="4EAB94B1" w14:textId="77777777" w:rsidR="005D481F" w:rsidRPr="005D481F" w:rsidRDefault="005D481F" w:rsidP="005D481F">
            <w:pPr>
              <w:tabs>
                <w:tab w:val="center" w:pos="4320"/>
                <w:tab w:val="right" w:pos="8640"/>
              </w:tabs>
              <w:autoSpaceDE w:val="0"/>
              <w:autoSpaceDN w:val="0"/>
              <w:adjustRightInd w:val="0"/>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24,26</w:t>
            </w:r>
          </w:p>
        </w:tc>
        <w:tc>
          <w:tcPr>
            <w:tcW w:w="1861" w:type="dxa"/>
          </w:tcPr>
          <w:p w14:paraId="277437FF" w14:textId="77777777" w:rsidR="005D481F" w:rsidRPr="005D481F" w:rsidRDefault="005D481F" w:rsidP="005D481F">
            <w:pPr>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Rural</w:t>
            </w:r>
          </w:p>
        </w:tc>
      </w:tr>
      <w:tr w:rsidR="005D481F" w:rsidRPr="005D481F" w14:paraId="42B6B8B1" w14:textId="77777777" w:rsidTr="005D481F">
        <w:trPr>
          <w:trHeight w:val="251"/>
        </w:trPr>
        <w:tc>
          <w:tcPr>
            <w:tcW w:w="756" w:type="dxa"/>
          </w:tcPr>
          <w:p w14:paraId="60731E2A" w14:textId="77777777" w:rsidR="005D481F" w:rsidRPr="005D481F" w:rsidRDefault="005D481F" w:rsidP="005D481F">
            <w:pPr>
              <w:tabs>
                <w:tab w:val="center" w:pos="4320"/>
                <w:tab w:val="right" w:pos="8640"/>
              </w:tabs>
              <w:spacing w:after="0" w:line="240" w:lineRule="auto"/>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9</w:t>
            </w:r>
          </w:p>
        </w:tc>
        <w:tc>
          <w:tcPr>
            <w:tcW w:w="4915" w:type="dxa"/>
          </w:tcPr>
          <w:p w14:paraId="3B591609" w14:textId="77777777" w:rsidR="005D481F" w:rsidRPr="005D481F" w:rsidRDefault="005D481F" w:rsidP="005D481F">
            <w:pPr>
              <w:tabs>
                <w:tab w:val="center" w:pos="739"/>
                <w:tab w:val="right" w:pos="8640"/>
              </w:tabs>
              <w:spacing w:after="0" w:line="240" w:lineRule="auto"/>
              <w:ind w:left="55"/>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Mpungose Rural Housing - Phase 2</w:t>
            </w:r>
          </w:p>
        </w:tc>
        <w:tc>
          <w:tcPr>
            <w:tcW w:w="2778" w:type="dxa"/>
          </w:tcPr>
          <w:p w14:paraId="63AF3CDF" w14:textId="77777777" w:rsidR="005D481F" w:rsidRPr="005D481F" w:rsidRDefault="005D481F" w:rsidP="005D481F">
            <w:pPr>
              <w:tabs>
                <w:tab w:val="center" w:pos="4320"/>
                <w:tab w:val="right" w:pos="8640"/>
              </w:tabs>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9, 10, 14</w:t>
            </w:r>
          </w:p>
        </w:tc>
        <w:tc>
          <w:tcPr>
            <w:tcW w:w="1861" w:type="dxa"/>
          </w:tcPr>
          <w:p w14:paraId="54BF1C8A" w14:textId="77777777" w:rsidR="005D481F" w:rsidRPr="005D481F" w:rsidRDefault="005D481F" w:rsidP="005D481F">
            <w:pPr>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Rural</w:t>
            </w:r>
          </w:p>
        </w:tc>
      </w:tr>
      <w:tr w:rsidR="005D481F" w:rsidRPr="005D481F" w14:paraId="2A13E5A2" w14:textId="77777777" w:rsidTr="005D481F">
        <w:trPr>
          <w:trHeight w:val="236"/>
        </w:trPr>
        <w:tc>
          <w:tcPr>
            <w:tcW w:w="756" w:type="dxa"/>
          </w:tcPr>
          <w:p w14:paraId="76D840FA" w14:textId="77777777" w:rsidR="005D481F" w:rsidRPr="005D481F" w:rsidRDefault="005D481F" w:rsidP="005D481F">
            <w:pPr>
              <w:tabs>
                <w:tab w:val="center" w:pos="4320"/>
                <w:tab w:val="right" w:pos="8640"/>
              </w:tabs>
              <w:spacing w:after="0" w:line="240" w:lineRule="auto"/>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10</w:t>
            </w:r>
          </w:p>
        </w:tc>
        <w:tc>
          <w:tcPr>
            <w:tcW w:w="4915" w:type="dxa"/>
          </w:tcPr>
          <w:p w14:paraId="6141BF7D" w14:textId="77777777" w:rsidR="005D481F" w:rsidRPr="005D481F" w:rsidRDefault="005D481F" w:rsidP="005D481F">
            <w:pPr>
              <w:tabs>
                <w:tab w:val="center" w:pos="739"/>
                <w:tab w:val="right" w:pos="8640"/>
              </w:tabs>
              <w:spacing w:after="0" w:line="240" w:lineRule="auto"/>
              <w:ind w:left="55"/>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Mombeni Rural Housing - Phase 2</w:t>
            </w:r>
          </w:p>
        </w:tc>
        <w:tc>
          <w:tcPr>
            <w:tcW w:w="2778" w:type="dxa"/>
          </w:tcPr>
          <w:p w14:paraId="325C043D" w14:textId="77777777" w:rsidR="005D481F" w:rsidRPr="005D481F" w:rsidRDefault="005D481F" w:rsidP="005D481F">
            <w:pPr>
              <w:tabs>
                <w:tab w:val="center" w:pos="4320"/>
                <w:tab w:val="right" w:pos="8640"/>
              </w:tabs>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6</w:t>
            </w:r>
          </w:p>
        </w:tc>
        <w:tc>
          <w:tcPr>
            <w:tcW w:w="1861" w:type="dxa"/>
          </w:tcPr>
          <w:p w14:paraId="0F1B6C3C" w14:textId="77777777" w:rsidR="005D481F" w:rsidRPr="005D481F" w:rsidRDefault="005D481F" w:rsidP="005D481F">
            <w:pPr>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Rural</w:t>
            </w:r>
          </w:p>
        </w:tc>
      </w:tr>
      <w:tr w:rsidR="005D481F" w:rsidRPr="005D481F" w14:paraId="26E35E5B" w14:textId="77777777" w:rsidTr="005D481F">
        <w:trPr>
          <w:trHeight w:val="236"/>
        </w:trPr>
        <w:tc>
          <w:tcPr>
            <w:tcW w:w="756" w:type="dxa"/>
          </w:tcPr>
          <w:p w14:paraId="585D354B" w14:textId="77777777" w:rsidR="005D481F" w:rsidRPr="005D481F" w:rsidRDefault="005D481F" w:rsidP="005D481F">
            <w:pPr>
              <w:tabs>
                <w:tab w:val="center" w:pos="4320"/>
                <w:tab w:val="right" w:pos="8640"/>
              </w:tabs>
              <w:spacing w:after="0" w:line="240" w:lineRule="auto"/>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11</w:t>
            </w:r>
          </w:p>
        </w:tc>
        <w:tc>
          <w:tcPr>
            <w:tcW w:w="4915" w:type="dxa"/>
          </w:tcPr>
          <w:p w14:paraId="0AD255FE" w14:textId="77777777" w:rsidR="005D481F" w:rsidRPr="005D481F" w:rsidRDefault="005D481F" w:rsidP="005D481F">
            <w:pPr>
              <w:tabs>
                <w:tab w:val="center" w:pos="739"/>
                <w:tab w:val="right" w:pos="8640"/>
              </w:tabs>
              <w:spacing w:after="0" w:line="240" w:lineRule="auto"/>
              <w:ind w:left="55"/>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Ngudwini Rural Housing - Phase 2</w:t>
            </w:r>
          </w:p>
        </w:tc>
        <w:tc>
          <w:tcPr>
            <w:tcW w:w="2778" w:type="dxa"/>
          </w:tcPr>
          <w:p w14:paraId="42399949" w14:textId="77777777" w:rsidR="005D481F" w:rsidRPr="005D481F" w:rsidRDefault="005D481F" w:rsidP="005D481F">
            <w:pPr>
              <w:tabs>
                <w:tab w:val="center" w:pos="4320"/>
                <w:tab w:val="right" w:pos="8640"/>
              </w:tabs>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5</w:t>
            </w:r>
          </w:p>
        </w:tc>
        <w:tc>
          <w:tcPr>
            <w:tcW w:w="1861" w:type="dxa"/>
          </w:tcPr>
          <w:p w14:paraId="36BA5F36" w14:textId="77777777" w:rsidR="005D481F" w:rsidRPr="005D481F" w:rsidRDefault="005D481F" w:rsidP="005D481F">
            <w:pPr>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Rural</w:t>
            </w:r>
          </w:p>
        </w:tc>
      </w:tr>
      <w:tr w:rsidR="005D481F" w:rsidRPr="005D481F" w14:paraId="32B06BDA" w14:textId="77777777" w:rsidTr="005D481F">
        <w:trPr>
          <w:trHeight w:val="236"/>
        </w:trPr>
        <w:tc>
          <w:tcPr>
            <w:tcW w:w="756" w:type="dxa"/>
          </w:tcPr>
          <w:p w14:paraId="7BA78453" w14:textId="77777777" w:rsidR="005D481F" w:rsidRPr="005D481F" w:rsidRDefault="005D481F" w:rsidP="005D481F">
            <w:pPr>
              <w:tabs>
                <w:tab w:val="center" w:pos="4320"/>
                <w:tab w:val="right" w:pos="8640"/>
              </w:tabs>
              <w:spacing w:after="0" w:line="240" w:lineRule="auto"/>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12</w:t>
            </w:r>
          </w:p>
        </w:tc>
        <w:tc>
          <w:tcPr>
            <w:tcW w:w="4915" w:type="dxa"/>
          </w:tcPr>
          <w:p w14:paraId="648C57FD" w14:textId="77777777" w:rsidR="005D481F" w:rsidRPr="005D481F" w:rsidRDefault="005D481F" w:rsidP="00414B93">
            <w:pPr>
              <w:tabs>
                <w:tab w:val="center" w:pos="739"/>
                <w:tab w:val="right" w:pos="8640"/>
              </w:tabs>
              <w:spacing w:after="0" w:line="240" w:lineRule="auto"/>
              <w:ind w:left="55"/>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Bhek</w:t>
            </w:r>
            <w:r w:rsidR="00414B93">
              <w:rPr>
                <w:rFonts w:asciiTheme="minorHAnsi" w:eastAsia="Times New Roman" w:hAnsiTheme="minorHAnsi" w:cstheme="minorHAnsi"/>
                <w:szCs w:val="20"/>
                <w:lang w:val="en-ZA"/>
              </w:rPr>
              <w:t>e</w:t>
            </w:r>
            <w:r w:rsidRPr="005D481F">
              <w:rPr>
                <w:rFonts w:asciiTheme="minorHAnsi" w:eastAsia="Times New Roman" w:hAnsiTheme="minorHAnsi" w:cstheme="minorHAnsi"/>
                <w:szCs w:val="20"/>
                <w:lang w:val="en-ZA"/>
              </w:rPr>
              <w:t>showe Rural Housing - Phase 2</w:t>
            </w:r>
          </w:p>
        </w:tc>
        <w:tc>
          <w:tcPr>
            <w:tcW w:w="2778" w:type="dxa"/>
          </w:tcPr>
          <w:p w14:paraId="77187E37" w14:textId="77777777" w:rsidR="005D481F" w:rsidRPr="005D481F" w:rsidRDefault="005D481F" w:rsidP="005D481F">
            <w:pPr>
              <w:tabs>
                <w:tab w:val="center" w:pos="4320"/>
                <w:tab w:val="right" w:pos="8640"/>
              </w:tabs>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25, 26</w:t>
            </w:r>
          </w:p>
        </w:tc>
        <w:tc>
          <w:tcPr>
            <w:tcW w:w="1861" w:type="dxa"/>
          </w:tcPr>
          <w:p w14:paraId="01AF071C" w14:textId="77777777" w:rsidR="005D481F" w:rsidRPr="005D481F" w:rsidRDefault="005D481F" w:rsidP="005D481F">
            <w:pPr>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Rural</w:t>
            </w:r>
          </w:p>
        </w:tc>
      </w:tr>
      <w:tr w:rsidR="005D481F" w:rsidRPr="005D481F" w14:paraId="6F359B12" w14:textId="77777777" w:rsidTr="005D481F">
        <w:trPr>
          <w:trHeight w:val="236"/>
        </w:trPr>
        <w:tc>
          <w:tcPr>
            <w:tcW w:w="756" w:type="dxa"/>
          </w:tcPr>
          <w:p w14:paraId="35266A42" w14:textId="77777777" w:rsidR="005D481F" w:rsidRPr="005D481F" w:rsidRDefault="005D481F" w:rsidP="005D481F">
            <w:pPr>
              <w:tabs>
                <w:tab w:val="center" w:pos="4320"/>
                <w:tab w:val="right" w:pos="8640"/>
              </w:tabs>
              <w:spacing w:after="0" w:line="240" w:lineRule="auto"/>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13</w:t>
            </w:r>
          </w:p>
        </w:tc>
        <w:tc>
          <w:tcPr>
            <w:tcW w:w="4915" w:type="dxa"/>
          </w:tcPr>
          <w:p w14:paraId="1DC72B36" w14:textId="77777777" w:rsidR="005D481F" w:rsidRPr="005D481F" w:rsidRDefault="005D481F" w:rsidP="005D481F">
            <w:pPr>
              <w:tabs>
                <w:tab w:val="center" w:pos="739"/>
                <w:tab w:val="right" w:pos="8640"/>
              </w:tabs>
              <w:spacing w:after="0" w:line="240" w:lineRule="auto"/>
              <w:ind w:left="55"/>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Mvuzane Rural Housing - Phase 2</w:t>
            </w:r>
          </w:p>
        </w:tc>
        <w:tc>
          <w:tcPr>
            <w:tcW w:w="2778" w:type="dxa"/>
          </w:tcPr>
          <w:p w14:paraId="7CD18A29" w14:textId="77777777" w:rsidR="005D481F" w:rsidRPr="005D481F" w:rsidRDefault="005D481F" w:rsidP="005D481F">
            <w:pPr>
              <w:tabs>
                <w:tab w:val="center" w:pos="4320"/>
                <w:tab w:val="right" w:pos="8640"/>
              </w:tabs>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1, 4</w:t>
            </w:r>
          </w:p>
        </w:tc>
        <w:tc>
          <w:tcPr>
            <w:tcW w:w="1861" w:type="dxa"/>
          </w:tcPr>
          <w:p w14:paraId="0DAE350B" w14:textId="77777777" w:rsidR="005D481F" w:rsidRPr="005D481F" w:rsidRDefault="005D481F" w:rsidP="005D481F">
            <w:pPr>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Rural</w:t>
            </w:r>
          </w:p>
        </w:tc>
      </w:tr>
      <w:tr w:rsidR="005D481F" w:rsidRPr="005D481F" w14:paraId="1EBBF4B9" w14:textId="77777777" w:rsidTr="005D481F">
        <w:trPr>
          <w:trHeight w:val="251"/>
        </w:trPr>
        <w:tc>
          <w:tcPr>
            <w:tcW w:w="756" w:type="dxa"/>
          </w:tcPr>
          <w:p w14:paraId="768AE497" w14:textId="77777777" w:rsidR="005D481F" w:rsidRPr="005D481F" w:rsidRDefault="005D481F" w:rsidP="005D481F">
            <w:pPr>
              <w:tabs>
                <w:tab w:val="center" w:pos="4320"/>
                <w:tab w:val="right" w:pos="8640"/>
              </w:tabs>
              <w:spacing w:after="0" w:line="240" w:lineRule="auto"/>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14</w:t>
            </w:r>
          </w:p>
        </w:tc>
        <w:tc>
          <w:tcPr>
            <w:tcW w:w="4915" w:type="dxa"/>
          </w:tcPr>
          <w:p w14:paraId="49707A27" w14:textId="77777777" w:rsidR="005D481F" w:rsidRPr="005D481F" w:rsidRDefault="005D481F" w:rsidP="005D481F">
            <w:pPr>
              <w:tabs>
                <w:tab w:val="center" w:pos="739"/>
                <w:tab w:val="right" w:pos="8640"/>
              </w:tabs>
              <w:spacing w:after="0" w:line="240" w:lineRule="auto"/>
              <w:ind w:left="55"/>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Oyaya Rural Housing - Phase 2</w:t>
            </w:r>
          </w:p>
        </w:tc>
        <w:tc>
          <w:tcPr>
            <w:tcW w:w="2778" w:type="dxa"/>
          </w:tcPr>
          <w:p w14:paraId="7B0B0966" w14:textId="77777777" w:rsidR="005D481F" w:rsidRPr="005D481F" w:rsidRDefault="005D481F" w:rsidP="005D481F">
            <w:pPr>
              <w:tabs>
                <w:tab w:val="center" w:pos="4320"/>
                <w:tab w:val="right" w:pos="8640"/>
              </w:tabs>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2,3, 4,5</w:t>
            </w:r>
          </w:p>
        </w:tc>
        <w:tc>
          <w:tcPr>
            <w:tcW w:w="1861" w:type="dxa"/>
          </w:tcPr>
          <w:p w14:paraId="71748916" w14:textId="77777777" w:rsidR="005D481F" w:rsidRPr="005D481F" w:rsidRDefault="005D481F" w:rsidP="005D481F">
            <w:pPr>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Rural</w:t>
            </w:r>
          </w:p>
        </w:tc>
      </w:tr>
      <w:tr w:rsidR="005D481F" w:rsidRPr="005D481F" w14:paraId="5EECFF16" w14:textId="77777777" w:rsidTr="005D481F">
        <w:trPr>
          <w:trHeight w:val="236"/>
        </w:trPr>
        <w:tc>
          <w:tcPr>
            <w:tcW w:w="756" w:type="dxa"/>
          </w:tcPr>
          <w:p w14:paraId="2BA82E0E" w14:textId="77777777" w:rsidR="005D481F" w:rsidRPr="005D481F" w:rsidRDefault="005D481F" w:rsidP="005D481F">
            <w:pPr>
              <w:tabs>
                <w:tab w:val="center" w:pos="4320"/>
                <w:tab w:val="right" w:pos="8640"/>
              </w:tabs>
              <w:spacing w:after="0" w:line="240" w:lineRule="auto"/>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15</w:t>
            </w:r>
          </w:p>
        </w:tc>
        <w:tc>
          <w:tcPr>
            <w:tcW w:w="4915" w:type="dxa"/>
          </w:tcPr>
          <w:p w14:paraId="6DFBA88C" w14:textId="77777777" w:rsidR="005D481F" w:rsidRPr="005D481F" w:rsidRDefault="00C47E08" w:rsidP="005D481F">
            <w:pPr>
              <w:tabs>
                <w:tab w:val="center" w:pos="739"/>
                <w:tab w:val="center" w:pos="4320"/>
                <w:tab w:val="right" w:pos="8640"/>
              </w:tabs>
              <w:spacing w:after="0" w:line="240" w:lineRule="auto"/>
              <w:ind w:left="55"/>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Kwa Khoza</w:t>
            </w:r>
            <w:r w:rsidR="005D481F" w:rsidRPr="005D481F">
              <w:rPr>
                <w:rFonts w:asciiTheme="minorHAnsi" w:eastAsia="Times New Roman" w:hAnsiTheme="minorHAnsi" w:cstheme="minorHAnsi"/>
                <w:szCs w:val="20"/>
                <w:lang w:val="en-ZA"/>
              </w:rPr>
              <w:t xml:space="preserve"> Rural Housing - Phase 2</w:t>
            </w:r>
          </w:p>
        </w:tc>
        <w:tc>
          <w:tcPr>
            <w:tcW w:w="2778" w:type="dxa"/>
          </w:tcPr>
          <w:p w14:paraId="6A7DFE6A" w14:textId="77777777" w:rsidR="005D481F" w:rsidRPr="005D481F" w:rsidRDefault="005D481F" w:rsidP="005D481F">
            <w:pPr>
              <w:tabs>
                <w:tab w:val="center" w:pos="4320"/>
                <w:tab w:val="right" w:pos="8640"/>
              </w:tabs>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15,18</w:t>
            </w:r>
          </w:p>
        </w:tc>
        <w:tc>
          <w:tcPr>
            <w:tcW w:w="1861" w:type="dxa"/>
          </w:tcPr>
          <w:p w14:paraId="7E961693" w14:textId="77777777" w:rsidR="005D481F" w:rsidRPr="005D481F" w:rsidRDefault="005D481F" w:rsidP="005D481F">
            <w:pPr>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Rural</w:t>
            </w:r>
          </w:p>
        </w:tc>
      </w:tr>
      <w:tr w:rsidR="005D481F" w:rsidRPr="005D481F" w14:paraId="5E813CA4" w14:textId="77777777" w:rsidTr="005D481F">
        <w:trPr>
          <w:trHeight w:val="251"/>
        </w:trPr>
        <w:tc>
          <w:tcPr>
            <w:tcW w:w="756" w:type="dxa"/>
          </w:tcPr>
          <w:p w14:paraId="4502C83B" w14:textId="77777777" w:rsidR="005D481F" w:rsidRPr="005D481F" w:rsidRDefault="005D481F" w:rsidP="005D481F">
            <w:pPr>
              <w:tabs>
                <w:tab w:val="center" w:pos="4320"/>
                <w:tab w:val="right" w:pos="8640"/>
              </w:tabs>
              <w:spacing w:after="0" w:line="240" w:lineRule="auto"/>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16</w:t>
            </w:r>
          </w:p>
        </w:tc>
        <w:tc>
          <w:tcPr>
            <w:tcW w:w="4915" w:type="dxa"/>
          </w:tcPr>
          <w:p w14:paraId="16C86617" w14:textId="77777777" w:rsidR="005D481F" w:rsidRPr="005D481F" w:rsidRDefault="005D481F" w:rsidP="005D481F">
            <w:pPr>
              <w:tabs>
                <w:tab w:val="center" w:pos="739"/>
                <w:tab w:val="center" w:pos="4320"/>
                <w:tab w:val="right" w:pos="8640"/>
              </w:tabs>
              <w:spacing w:after="0" w:line="240" w:lineRule="auto"/>
              <w:ind w:left="55"/>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K</w:t>
            </w:r>
            <w:r w:rsidR="00414B93">
              <w:rPr>
                <w:rFonts w:asciiTheme="minorHAnsi" w:eastAsia="Times New Roman" w:hAnsiTheme="minorHAnsi" w:cstheme="minorHAnsi"/>
                <w:szCs w:val="20"/>
                <w:lang w:val="en-ZA"/>
              </w:rPr>
              <w:t>h</w:t>
            </w:r>
            <w:r w:rsidRPr="005D481F">
              <w:rPr>
                <w:rFonts w:asciiTheme="minorHAnsi" w:eastAsia="Times New Roman" w:hAnsiTheme="minorHAnsi" w:cstheme="minorHAnsi"/>
                <w:szCs w:val="20"/>
                <w:lang w:val="en-ZA"/>
              </w:rPr>
              <w:t>olweni Rural Housing, - Phase 2</w:t>
            </w:r>
          </w:p>
        </w:tc>
        <w:tc>
          <w:tcPr>
            <w:tcW w:w="2778" w:type="dxa"/>
          </w:tcPr>
          <w:p w14:paraId="21012DFD" w14:textId="77777777" w:rsidR="005D481F" w:rsidRPr="005D481F" w:rsidRDefault="005D481F" w:rsidP="005D481F">
            <w:pPr>
              <w:tabs>
                <w:tab w:val="center" w:pos="4320"/>
                <w:tab w:val="right" w:pos="8640"/>
              </w:tabs>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8</w:t>
            </w:r>
          </w:p>
        </w:tc>
        <w:tc>
          <w:tcPr>
            <w:tcW w:w="1861" w:type="dxa"/>
          </w:tcPr>
          <w:p w14:paraId="454E0E23" w14:textId="77777777" w:rsidR="005D481F" w:rsidRPr="005D481F" w:rsidRDefault="005D481F" w:rsidP="005D481F">
            <w:pPr>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Rural</w:t>
            </w:r>
          </w:p>
        </w:tc>
      </w:tr>
      <w:tr w:rsidR="005D481F" w:rsidRPr="005D481F" w14:paraId="16C178E1" w14:textId="77777777" w:rsidTr="005D481F">
        <w:trPr>
          <w:trHeight w:val="236"/>
        </w:trPr>
        <w:tc>
          <w:tcPr>
            <w:tcW w:w="756" w:type="dxa"/>
          </w:tcPr>
          <w:p w14:paraId="1F0036F2" w14:textId="77777777" w:rsidR="005D481F" w:rsidRPr="005D481F" w:rsidRDefault="005D481F" w:rsidP="005D481F">
            <w:pPr>
              <w:tabs>
                <w:tab w:val="center" w:pos="4320"/>
                <w:tab w:val="right" w:pos="8640"/>
              </w:tabs>
              <w:spacing w:after="0" w:line="240" w:lineRule="auto"/>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17</w:t>
            </w:r>
          </w:p>
        </w:tc>
        <w:tc>
          <w:tcPr>
            <w:tcW w:w="4915" w:type="dxa"/>
          </w:tcPr>
          <w:p w14:paraId="6648B3CF" w14:textId="77777777" w:rsidR="005D481F" w:rsidRPr="005D481F" w:rsidRDefault="005D481F" w:rsidP="005D481F">
            <w:pPr>
              <w:tabs>
                <w:tab w:val="center" w:pos="739"/>
                <w:tab w:val="center" w:pos="4320"/>
                <w:tab w:val="right" w:pos="8640"/>
              </w:tabs>
              <w:spacing w:after="0" w:line="240" w:lineRule="auto"/>
              <w:ind w:left="55"/>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Kwamondi Rural Housing - Phase 2</w:t>
            </w:r>
          </w:p>
        </w:tc>
        <w:tc>
          <w:tcPr>
            <w:tcW w:w="2778" w:type="dxa"/>
          </w:tcPr>
          <w:p w14:paraId="0E26FA7F" w14:textId="77777777" w:rsidR="005D481F" w:rsidRPr="005D481F" w:rsidRDefault="005D481F" w:rsidP="005D481F">
            <w:pPr>
              <w:tabs>
                <w:tab w:val="center" w:pos="4320"/>
                <w:tab w:val="right" w:pos="8640"/>
              </w:tabs>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13</w:t>
            </w:r>
          </w:p>
        </w:tc>
        <w:tc>
          <w:tcPr>
            <w:tcW w:w="1861" w:type="dxa"/>
          </w:tcPr>
          <w:p w14:paraId="08649C01" w14:textId="77777777" w:rsidR="005D481F" w:rsidRPr="005D481F" w:rsidRDefault="005D481F" w:rsidP="005D481F">
            <w:pPr>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Rural</w:t>
            </w:r>
          </w:p>
        </w:tc>
      </w:tr>
      <w:tr w:rsidR="005D481F" w:rsidRPr="005D481F" w14:paraId="2ED58A3C" w14:textId="77777777" w:rsidTr="005D481F">
        <w:trPr>
          <w:trHeight w:val="251"/>
        </w:trPr>
        <w:tc>
          <w:tcPr>
            <w:tcW w:w="756" w:type="dxa"/>
          </w:tcPr>
          <w:p w14:paraId="17471127" w14:textId="77777777" w:rsidR="005D481F" w:rsidRPr="005D481F" w:rsidRDefault="005D481F" w:rsidP="005D481F">
            <w:pPr>
              <w:tabs>
                <w:tab w:val="center" w:pos="4320"/>
                <w:tab w:val="right" w:pos="8640"/>
              </w:tabs>
              <w:spacing w:after="0" w:line="240" w:lineRule="auto"/>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18</w:t>
            </w:r>
          </w:p>
        </w:tc>
        <w:tc>
          <w:tcPr>
            <w:tcW w:w="4915" w:type="dxa"/>
          </w:tcPr>
          <w:p w14:paraId="1C69CE9A" w14:textId="77777777" w:rsidR="005D481F" w:rsidRPr="005D481F" w:rsidRDefault="005D481F" w:rsidP="005D481F">
            <w:pPr>
              <w:tabs>
                <w:tab w:val="center" w:pos="739"/>
                <w:tab w:val="center" w:pos="4320"/>
                <w:tab w:val="right" w:pos="8640"/>
              </w:tabs>
              <w:spacing w:after="0" w:line="240" w:lineRule="auto"/>
              <w:ind w:left="55"/>
              <w:jc w:val="both"/>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 xml:space="preserve">King </w:t>
            </w:r>
            <w:r w:rsidR="00C47E08" w:rsidRPr="005D481F">
              <w:rPr>
                <w:rFonts w:asciiTheme="minorHAnsi" w:eastAsia="Times New Roman" w:hAnsiTheme="minorHAnsi" w:cstheme="minorHAnsi"/>
                <w:szCs w:val="20"/>
                <w:lang w:val="en-ZA"/>
              </w:rPr>
              <w:t>Dinuzulu</w:t>
            </w:r>
            <w:r w:rsidRPr="005D481F">
              <w:rPr>
                <w:rFonts w:asciiTheme="minorHAnsi" w:eastAsia="Times New Roman" w:hAnsiTheme="minorHAnsi" w:cstheme="minorHAnsi"/>
                <w:szCs w:val="20"/>
                <w:lang w:val="en-ZA"/>
              </w:rPr>
              <w:t xml:space="preserve"> (Densification &amp; link road project)</w:t>
            </w:r>
          </w:p>
        </w:tc>
        <w:tc>
          <w:tcPr>
            <w:tcW w:w="2778" w:type="dxa"/>
          </w:tcPr>
          <w:p w14:paraId="22279DB9" w14:textId="77777777" w:rsidR="005D481F" w:rsidRPr="005D481F" w:rsidRDefault="005D481F" w:rsidP="005D481F">
            <w:pPr>
              <w:tabs>
                <w:tab w:val="center" w:pos="4320"/>
                <w:tab w:val="right" w:pos="8640"/>
              </w:tabs>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12</w:t>
            </w:r>
          </w:p>
        </w:tc>
        <w:tc>
          <w:tcPr>
            <w:tcW w:w="1861" w:type="dxa"/>
          </w:tcPr>
          <w:p w14:paraId="64DA8963" w14:textId="77777777" w:rsidR="005D481F" w:rsidRPr="005D481F" w:rsidRDefault="005D481F" w:rsidP="005D481F">
            <w:pPr>
              <w:spacing w:after="0" w:line="240" w:lineRule="auto"/>
              <w:jc w:val="center"/>
              <w:rPr>
                <w:rFonts w:asciiTheme="minorHAnsi" w:eastAsia="Times New Roman" w:hAnsiTheme="minorHAnsi" w:cstheme="minorHAnsi"/>
                <w:szCs w:val="20"/>
                <w:lang w:val="en-ZA"/>
              </w:rPr>
            </w:pPr>
            <w:r w:rsidRPr="005D481F">
              <w:rPr>
                <w:rFonts w:asciiTheme="minorHAnsi" w:eastAsia="Times New Roman" w:hAnsiTheme="minorHAnsi" w:cstheme="minorHAnsi"/>
                <w:szCs w:val="20"/>
                <w:lang w:val="en-ZA"/>
              </w:rPr>
              <w:t>Urban</w:t>
            </w:r>
          </w:p>
        </w:tc>
      </w:tr>
    </w:tbl>
    <w:p w14:paraId="6F70D669" w14:textId="77777777" w:rsidR="00E95B56" w:rsidRDefault="00E95B56" w:rsidP="00E95B56">
      <w:pPr>
        <w:pStyle w:val="Heading4"/>
        <w:spacing w:after="240"/>
      </w:pPr>
      <w:bookmarkStart w:id="348" w:name="_Toc389739917"/>
      <w:bookmarkStart w:id="349" w:name="Project_Linked_Subsidy"/>
    </w:p>
    <w:tbl>
      <w:tblPr>
        <w:tblW w:w="104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0"/>
        <w:gridCol w:w="4990"/>
        <w:gridCol w:w="2495"/>
        <w:gridCol w:w="2138"/>
      </w:tblGrid>
      <w:tr w:rsidR="00E95B56" w:rsidRPr="00E95B56" w14:paraId="2A283676" w14:textId="77777777" w:rsidTr="00E95B56">
        <w:trPr>
          <w:trHeight w:val="36"/>
        </w:trPr>
        <w:tc>
          <w:tcPr>
            <w:tcW w:w="840" w:type="dxa"/>
            <w:shd w:val="clear" w:color="auto" w:fill="DAEEF3" w:themeFill="accent5" w:themeFillTint="33"/>
          </w:tcPr>
          <w:p w14:paraId="46A248E0" w14:textId="77777777" w:rsidR="00E95B56" w:rsidRPr="00E95B56" w:rsidRDefault="00E95B56" w:rsidP="00E95B56">
            <w:pPr>
              <w:tabs>
                <w:tab w:val="center" w:pos="739"/>
                <w:tab w:val="center" w:pos="4320"/>
                <w:tab w:val="right" w:pos="8640"/>
              </w:tabs>
              <w:spacing w:after="0" w:line="240" w:lineRule="auto"/>
              <w:ind w:left="55"/>
              <w:jc w:val="both"/>
              <w:rPr>
                <w:rFonts w:asciiTheme="minorHAnsi" w:eastAsia="Times New Roman" w:hAnsiTheme="minorHAnsi" w:cstheme="minorHAnsi"/>
                <w:b/>
                <w:szCs w:val="20"/>
                <w:lang w:val="en-ZA"/>
              </w:rPr>
            </w:pPr>
            <w:r w:rsidRPr="00E95B56">
              <w:rPr>
                <w:rFonts w:asciiTheme="minorHAnsi" w:eastAsia="Times New Roman" w:hAnsiTheme="minorHAnsi" w:cstheme="minorHAnsi"/>
                <w:b/>
                <w:szCs w:val="20"/>
                <w:lang w:val="en-ZA"/>
              </w:rPr>
              <w:t xml:space="preserve">NO. </w:t>
            </w:r>
          </w:p>
        </w:tc>
        <w:tc>
          <w:tcPr>
            <w:tcW w:w="4990" w:type="dxa"/>
            <w:shd w:val="clear" w:color="auto" w:fill="DAEEF3" w:themeFill="accent5" w:themeFillTint="33"/>
          </w:tcPr>
          <w:p w14:paraId="5AD28281" w14:textId="77777777" w:rsidR="00E95B56" w:rsidRPr="00E95B56" w:rsidRDefault="00E95B56" w:rsidP="00E95B56">
            <w:pPr>
              <w:tabs>
                <w:tab w:val="center" w:pos="739"/>
                <w:tab w:val="center" w:pos="4320"/>
                <w:tab w:val="right" w:pos="8640"/>
              </w:tabs>
              <w:spacing w:after="0" w:line="240" w:lineRule="auto"/>
              <w:ind w:left="55"/>
              <w:jc w:val="both"/>
              <w:rPr>
                <w:rFonts w:asciiTheme="minorHAnsi" w:eastAsia="Times New Roman" w:hAnsiTheme="minorHAnsi" w:cstheme="minorHAnsi"/>
                <w:b/>
                <w:szCs w:val="20"/>
                <w:lang w:val="en-ZA"/>
              </w:rPr>
            </w:pPr>
            <w:r w:rsidRPr="00E95B56">
              <w:rPr>
                <w:rFonts w:asciiTheme="minorHAnsi" w:eastAsia="Times New Roman" w:hAnsiTheme="minorHAnsi" w:cstheme="minorHAnsi"/>
                <w:b/>
                <w:szCs w:val="20"/>
                <w:lang w:val="en-ZA"/>
              </w:rPr>
              <w:t xml:space="preserve">PROJECT NAME </w:t>
            </w:r>
          </w:p>
        </w:tc>
        <w:tc>
          <w:tcPr>
            <w:tcW w:w="2495" w:type="dxa"/>
            <w:shd w:val="clear" w:color="auto" w:fill="DAEEF3" w:themeFill="accent5" w:themeFillTint="33"/>
          </w:tcPr>
          <w:p w14:paraId="58E5737E" w14:textId="77777777" w:rsidR="00E95B56" w:rsidRPr="00E95B56" w:rsidRDefault="00E95B56" w:rsidP="00E95B56">
            <w:pPr>
              <w:tabs>
                <w:tab w:val="center" w:pos="739"/>
                <w:tab w:val="center" w:pos="4320"/>
                <w:tab w:val="right" w:pos="8640"/>
              </w:tabs>
              <w:spacing w:after="0" w:line="240" w:lineRule="auto"/>
              <w:ind w:left="55"/>
              <w:jc w:val="both"/>
              <w:rPr>
                <w:rFonts w:asciiTheme="minorHAnsi" w:eastAsia="Times New Roman" w:hAnsiTheme="minorHAnsi" w:cstheme="minorHAnsi"/>
                <w:b/>
                <w:szCs w:val="20"/>
                <w:lang w:val="en-ZA"/>
              </w:rPr>
            </w:pPr>
            <w:r w:rsidRPr="00E95B56">
              <w:rPr>
                <w:rFonts w:asciiTheme="minorHAnsi" w:eastAsia="Times New Roman" w:hAnsiTheme="minorHAnsi" w:cstheme="minorHAnsi"/>
                <w:b/>
                <w:szCs w:val="20"/>
                <w:lang w:val="en-ZA"/>
              </w:rPr>
              <w:t xml:space="preserve">WARD </w:t>
            </w:r>
          </w:p>
        </w:tc>
        <w:tc>
          <w:tcPr>
            <w:tcW w:w="2138" w:type="dxa"/>
            <w:shd w:val="clear" w:color="auto" w:fill="DAEEF3" w:themeFill="accent5" w:themeFillTint="33"/>
          </w:tcPr>
          <w:p w14:paraId="758C8070" w14:textId="77777777" w:rsidR="00E95B56" w:rsidRPr="00E95B56" w:rsidRDefault="00E95B56" w:rsidP="00E95B56">
            <w:pPr>
              <w:tabs>
                <w:tab w:val="center" w:pos="739"/>
                <w:tab w:val="center" w:pos="4320"/>
                <w:tab w:val="right" w:pos="8640"/>
              </w:tabs>
              <w:spacing w:after="0" w:line="240" w:lineRule="auto"/>
              <w:ind w:left="55"/>
              <w:jc w:val="both"/>
              <w:rPr>
                <w:rFonts w:asciiTheme="minorHAnsi" w:eastAsia="Times New Roman" w:hAnsiTheme="minorHAnsi" w:cstheme="minorHAnsi"/>
                <w:b/>
                <w:szCs w:val="20"/>
                <w:lang w:val="en-ZA"/>
              </w:rPr>
            </w:pPr>
            <w:r w:rsidRPr="00E95B56">
              <w:rPr>
                <w:rFonts w:asciiTheme="minorHAnsi" w:eastAsia="Times New Roman" w:hAnsiTheme="minorHAnsi" w:cstheme="minorHAnsi"/>
                <w:b/>
                <w:szCs w:val="20"/>
                <w:lang w:val="en-ZA"/>
              </w:rPr>
              <w:t xml:space="preserve">RURAL/URBAN </w:t>
            </w:r>
          </w:p>
        </w:tc>
      </w:tr>
      <w:tr w:rsidR="00E95B56" w:rsidRPr="00E95B56" w14:paraId="5D836C77" w14:textId="77777777" w:rsidTr="00E95B56">
        <w:trPr>
          <w:trHeight w:val="36"/>
        </w:trPr>
        <w:tc>
          <w:tcPr>
            <w:tcW w:w="840" w:type="dxa"/>
          </w:tcPr>
          <w:p w14:paraId="63BE0463" w14:textId="77777777" w:rsidR="00E95B56" w:rsidRPr="00E95B56" w:rsidRDefault="00E95B56" w:rsidP="00E95B56">
            <w:pPr>
              <w:tabs>
                <w:tab w:val="center" w:pos="739"/>
                <w:tab w:val="center" w:pos="4320"/>
                <w:tab w:val="right" w:pos="8640"/>
              </w:tabs>
              <w:spacing w:after="0" w:line="240" w:lineRule="auto"/>
              <w:ind w:left="55"/>
              <w:jc w:val="both"/>
              <w:rPr>
                <w:rFonts w:asciiTheme="minorHAnsi" w:eastAsia="Times New Roman" w:hAnsiTheme="minorHAnsi" w:cstheme="minorHAnsi"/>
                <w:szCs w:val="20"/>
                <w:lang w:val="en-ZA"/>
              </w:rPr>
            </w:pPr>
            <w:r w:rsidRPr="00E95B56">
              <w:rPr>
                <w:rFonts w:asciiTheme="minorHAnsi" w:eastAsia="Times New Roman" w:hAnsiTheme="minorHAnsi" w:cstheme="minorHAnsi"/>
                <w:szCs w:val="20"/>
                <w:lang w:val="en-ZA"/>
              </w:rPr>
              <w:t xml:space="preserve">01 </w:t>
            </w:r>
          </w:p>
        </w:tc>
        <w:tc>
          <w:tcPr>
            <w:tcW w:w="4990" w:type="dxa"/>
          </w:tcPr>
          <w:p w14:paraId="0BBB3AA9" w14:textId="77777777" w:rsidR="00E95B56" w:rsidRPr="00E95B56" w:rsidRDefault="00E95B56" w:rsidP="00E95B56">
            <w:pPr>
              <w:tabs>
                <w:tab w:val="center" w:pos="739"/>
                <w:tab w:val="center" w:pos="4320"/>
                <w:tab w:val="right" w:pos="8640"/>
              </w:tabs>
              <w:spacing w:after="0" w:line="240" w:lineRule="auto"/>
              <w:ind w:left="55"/>
              <w:jc w:val="both"/>
              <w:rPr>
                <w:rFonts w:asciiTheme="minorHAnsi" w:eastAsia="Times New Roman" w:hAnsiTheme="minorHAnsi" w:cstheme="minorHAnsi"/>
                <w:szCs w:val="20"/>
                <w:lang w:val="en-ZA"/>
              </w:rPr>
            </w:pPr>
            <w:r w:rsidRPr="00E95B56">
              <w:rPr>
                <w:rFonts w:asciiTheme="minorHAnsi" w:eastAsia="Times New Roman" w:hAnsiTheme="minorHAnsi" w:cstheme="minorHAnsi"/>
                <w:szCs w:val="20"/>
                <w:lang w:val="en-ZA"/>
              </w:rPr>
              <w:t xml:space="preserve">Gingindlovu Phase 2 Housing Project </w:t>
            </w:r>
          </w:p>
        </w:tc>
        <w:tc>
          <w:tcPr>
            <w:tcW w:w="2495" w:type="dxa"/>
          </w:tcPr>
          <w:p w14:paraId="28C62011" w14:textId="77777777" w:rsidR="00E95B56" w:rsidRPr="00E95B56" w:rsidRDefault="00E95B56" w:rsidP="00E95B56">
            <w:pPr>
              <w:tabs>
                <w:tab w:val="center" w:pos="739"/>
                <w:tab w:val="center" w:pos="4320"/>
                <w:tab w:val="right" w:pos="8640"/>
              </w:tabs>
              <w:spacing w:after="0" w:line="240" w:lineRule="auto"/>
              <w:ind w:left="55"/>
              <w:jc w:val="both"/>
              <w:rPr>
                <w:rFonts w:asciiTheme="minorHAnsi" w:eastAsia="Times New Roman" w:hAnsiTheme="minorHAnsi" w:cstheme="minorHAnsi"/>
                <w:szCs w:val="20"/>
                <w:lang w:val="en-ZA"/>
              </w:rPr>
            </w:pPr>
            <w:r w:rsidRPr="00E95B56">
              <w:rPr>
                <w:rFonts w:asciiTheme="minorHAnsi" w:eastAsia="Times New Roman" w:hAnsiTheme="minorHAnsi" w:cstheme="minorHAnsi"/>
                <w:szCs w:val="20"/>
                <w:lang w:val="en-ZA"/>
              </w:rPr>
              <w:t xml:space="preserve">18 </w:t>
            </w:r>
          </w:p>
        </w:tc>
        <w:tc>
          <w:tcPr>
            <w:tcW w:w="2138" w:type="dxa"/>
          </w:tcPr>
          <w:p w14:paraId="53C8E844" w14:textId="77777777" w:rsidR="00E95B56" w:rsidRPr="00E95B56" w:rsidRDefault="00E95B56" w:rsidP="00E95B56">
            <w:pPr>
              <w:tabs>
                <w:tab w:val="center" w:pos="739"/>
                <w:tab w:val="center" w:pos="4320"/>
                <w:tab w:val="right" w:pos="8640"/>
              </w:tabs>
              <w:spacing w:after="0" w:line="240" w:lineRule="auto"/>
              <w:ind w:left="55"/>
              <w:jc w:val="both"/>
              <w:rPr>
                <w:rFonts w:asciiTheme="minorHAnsi" w:eastAsia="Times New Roman" w:hAnsiTheme="minorHAnsi" w:cstheme="minorHAnsi"/>
                <w:szCs w:val="20"/>
                <w:lang w:val="en-ZA"/>
              </w:rPr>
            </w:pPr>
            <w:r w:rsidRPr="00E95B56">
              <w:rPr>
                <w:rFonts w:asciiTheme="minorHAnsi" w:eastAsia="Times New Roman" w:hAnsiTheme="minorHAnsi" w:cstheme="minorHAnsi"/>
                <w:szCs w:val="20"/>
                <w:lang w:val="en-ZA"/>
              </w:rPr>
              <w:t xml:space="preserve">Urban </w:t>
            </w:r>
          </w:p>
        </w:tc>
      </w:tr>
      <w:tr w:rsidR="00E95B56" w:rsidRPr="00E95B56" w14:paraId="203DE152" w14:textId="77777777" w:rsidTr="00E95B56">
        <w:trPr>
          <w:trHeight w:val="36"/>
        </w:trPr>
        <w:tc>
          <w:tcPr>
            <w:tcW w:w="840" w:type="dxa"/>
          </w:tcPr>
          <w:p w14:paraId="15E5036D" w14:textId="77777777" w:rsidR="00E95B56" w:rsidRPr="00E95B56" w:rsidRDefault="00E95B56" w:rsidP="00E95B56">
            <w:pPr>
              <w:tabs>
                <w:tab w:val="center" w:pos="739"/>
                <w:tab w:val="center" w:pos="4320"/>
                <w:tab w:val="right" w:pos="8640"/>
              </w:tabs>
              <w:spacing w:after="0" w:line="240" w:lineRule="auto"/>
              <w:ind w:left="55"/>
              <w:jc w:val="both"/>
              <w:rPr>
                <w:rFonts w:asciiTheme="minorHAnsi" w:eastAsia="Times New Roman" w:hAnsiTheme="minorHAnsi" w:cstheme="minorHAnsi"/>
                <w:szCs w:val="20"/>
                <w:lang w:val="en-ZA"/>
              </w:rPr>
            </w:pPr>
            <w:r w:rsidRPr="00E95B56">
              <w:rPr>
                <w:rFonts w:asciiTheme="minorHAnsi" w:eastAsia="Times New Roman" w:hAnsiTheme="minorHAnsi" w:cstheme="minorHAnsi"/>
                <w:szCs w:val="20"/>
                <w:lang w:val="en-ZA"/>
              </w:rPr>
              <w:t xml:space="preserve">02 </w:t>
            </w:r>
          </w:p>
        </w:tc>
        <w:tc>
          <w:tcPr>
            <w:tcW w:w="4990" w:type="dxa"/>
          </w:tcPr>
          <w:p w14:paraId="0DC1192F" w14:textId="77777777" w:rsidR="00E95B56" w:rsidRPr="00E95B56" w:rsidRDefault="00E95B56" w:rsidP="00E95B56">
            <w:pPr>
              <w:tabs>
                <w:tab w:val="center" w:pos="739"/>
                <w:tab w:val="center" w:pos="4320"/>
                <w:tab w:val="right" w:pos="8640"/>
              </w:tabs>
              <w:spacing w:after="0" w:line="240" w:lineRule="auto"/>
              <w:ind w:left="55"/>
              <w:jc w:val="both"/>
              <w:rPr>
                <w:rFonts w:asciiTheme="minorHAnsi" w:eastAsia="Times New Roman" w:hAnsiTheme="minorHAnsi" w:cstheme="minorHAnsi"/>
                <w:szCs w:val="20"/>
                <w:lang w:val="en-ZA"/>
              </w:rPr>
            </w:pPr>
            <w:r w:rsidRPr="00E95B56">
              <w:rPr>
                <w:rFonts w:asciiTheme="minorHAnsi" w:eastAsia="Times New Roman" w:hAnsiTheme="minorHAnsi" w:cstheme="minorHAnsi"/>
                <w:szCs w:val="20"/>
                <w:lang w:val="en-ZA"/>
              </w:rPr>
              <w:t xml:space="preserve">Rutledge Park Middle Income Housing Project </w:t>
            </w:r>
          </w:p>
        </w:tc>
        <w:tc>
          <w:tcPr>
            <w:tcW w:w="2495" w:type="dxa"/>
          </w:tcPr>
          <w:p w14:paraId="43EFD679" w14:textId="77777777" w:rsidR="00E95B56" w:rsidRPr="00E95B56" w:rsidRDefault="00E95B56" w:rsidP="00E95B56">
            <w:pPr>
              <w:tabs>
                <w:tab w:val="center" w:pos="739"/>
                <w:tab w:val="center" w:pos="4320"/>
                <w:tab w:val="right" w:pos="8640"/>
              </w:tabs>
              <w:spacing w:after="0" w:line="240" w:lineRule="auto"/>
              <w:ind w:left="55"/>
              <w:jc w:val="both"/>
              <w:rPr>
                <w:rFonts w:asciiTheme="minorHAnsi" w:eastAsia="Times New Roman" w:hAnsiTheme="minorHAnsi" w:cstheme="minorHAnsi"/>
                <w:szCs w:val="20"/>
                <w:lang w:val="en-ZA"/>
              </w:rPr>
            </w:pPr>
            <w:r w:rsidRPr="00E95B56">
              <w:rPr>
                <w:rFonts w:asciiTheme="minorHAnsi" w:eastAsia="Times New Roman" w:hAnsiTheme="minorHAnsi" w:cstheme="minorHAnsi"/>
                <w:szCs w:val="20"/>
                <w:lang w:val="en-ZA"/>
              </w:rPr>
              <w:t xml:space="preserve">11 </w:t>
            </w:r>
          </w:p>
        </w:tc>
        <w:tc>
          <w:tcPr>
            <w:tcW w:w="2138" w:type="dxa"/>
          </w:tcPr>
          <w:p w14:paraId="6303B4D9" w14:textId="77777777" w:rsidR="00E95B56" w:rsidRPr="00E95B56" w:rsidRDefault="00E95B56" w:rsidP="00E95B56">
            <w:pPr>
              <w:tabs>
                <w:tab w:val="center" w:pos="739"/>
                <w:tab w:val="center" w:pos="4320"/>
                <w:tab w:val="right" w:pos="8640"/>
              </w:tabs>
              <w:spacing w:after="0" w:line="240" w:lineRule="auto"/>
              <w:ind w:left="55"/>
              <w:jc w:val="both"/>
              <w:rPr>
                <w:rFonts w:asciiTheme="minorHAnsi" w:eastAsia="Times New Roman" w:hAnsiTheme="minorHAnsi" w:cstheme="minorHAnsi"/>
                <w:szCs w:val="20"/>
                <w:lang w:val="en-ZA"/>
              </w:rPr>
            </w:pPr>
            <w:r w:rsidRPr="00E95B56">
              <w:rPr>
                <w:rFonts w:asciiTheme="minorHAnsi" w:eastAsia="Times New Roman" w:hAnsiTheme="minorHAnsi" w:cstheme="minorHAnsi"/>
                <w:szCs w:val="20"/>
                <w:lang w:val="en-ZA"/>
              </w:rPr>
              <w:t xml:space="preserve">Urban </w:t>
            </w:r>
          </w:p>
        </w:tc>
      </w:tr>
      <w:tr w:rsidR="00E95B56" w:rsidRPr="00E95B56" w14:paraId="3B819F20" w14:textId="77777777" w:rsidTr="00E95B56">
        <w:trPr>
          <w:trHeight w:val="36"/>
        </w:trPr>
        <w:tc>
          <w:tcPr>
            <w:tcW w:w="840" w:type="dxa"/>
          </w:tcPr>
          <w:p w14:paraId="00F9BD44" w14:textId="77777777" w:rsidR="00E95B56" w:rsidRPr="00E95B56" w:rsidRDefault="00E95B56" w:rsidP="00E95B56">
            <w:pPr>
              <w:tabs>
                <w:tab w:val="center" w:pos="739"/>
                <w:tab w:val="center" w:pos="4320"/>
                <w:tab w:val="right" w:pos="8640"/>
              </w:tabs>
              <w:spacing w:after="0" w:line="240" w:lineRule="auto"/>
              <w:ind w:left="55"/>
              <w:jc w:val="both"/>
              <w:rPr>
                <w:rFonts w:asciiTheme="minorHAnsi" w:eastAsia="Times New Roman" w:hAnsiTheme="minorHAnsi" w:cstheme="minorHAnsi"/>
                <w:szCs w:val="20"/>
                <w:lang w:val="en-ZA"/>
              </w:rPr>
            </w:pPr>
            <w:r w:rsidRPr="00E95B56">
              <w:rPr>
                <w:rFonts w:asciiTheme="minorHAnsi" w:eastAsia="Times New Roman" w:hAnsiTheme="minorHAnsi" w:cstheme="minorHAnsi"/>
                <w:szCs w:val="20"/>
                <w:lang w:val="en-ZA"/>
              </w:rPr>
              <w:t xml:space="preserve">03 </w:t>
            </w:r>
          </w:p>
        </w:tc>
        <w:tc>
          <w:tcPr>
            <w:tcW w:w="4990" w:type="dxa"/>
          </w:tcPr>
          <w:p w14:paraId="07DE8F35" w14:textId="77777777" w:rsidR="00E95B56" w:rsidRPr="00E95B56" w:rsidRDefault="00E95B56" w:rsidP="00E95B56">
            <w:pPr>
              <w:tabs>
                <w:tab w:val="center" w:pos="739"/>
                <w:tab w:val="center" w:pos="4320"/>
                <w:tab w:val="right" w:pos="8640"/>
              </w:tabs>
              <w:spacing w:after="0" w:line="240" w:lineRule="auto"/>
              <w:ind w:left="55"/>
              <w:jc w:val="both"/>
              <w:rPr>
                <w:rFonts w:asciiTheme="minorHAnsi" w:eastAsia="Times New Roman" w:hAnsiTheme="minorHAnsi" w:cstheme="minorHAnsi"/>
                <w:szCs w:val="20"/>
                <w:lang w:val="en-ZA"/>
              </w:rPr>
            </w:pPr>
            <w:r w:rsidRPr="00E95B56">
              <w:rPr>
                <w:rFonts w:asciiTheme="minorHAnsi" w:eastAsia="Times New Roman" w:hAnsiTheme="minorHAnsi" w:cstheme="minorHAnsi"/>
                <w:szCs w:val="20"/>
                <w:lang w:val="en-ZA"/>
              </w:rPr>
              <w:t xml:space="preserve">Mtunzini Middle Income Housing Project </w:t>
            </w:r>
          </w:p>
        </w:tc>
        <w:tc>
          <w:tcPr>
            <w:tcW w:w="2495" w:type="dxa"/>
          </w:tcPr>
          <w:p w14:paraId="00288BE5" w14:textId="77777777" w:rsidR="00E95B56" w:rsidRPr="00E95B56" w:rsidRDefault="00E95B56" w:rsidP="00E95B56">
            <w:pPr>
              <w:tabs>
                <w:tab w:val="center" w:pos="739"/>
                <w:tab w:val="center" w:pos="4320"/>
                <w:tab w:val="right" w:pos="8640"/>
              </w:tabs>
              <w:spacing w:after="0" w:line="240" w:lineRule="auto"/>
              <w:ind w:left="55"/>
              <w:jc w:val="both"/>
              <w:rPr>
                <w:rFonts w:asciiTheme="minorHAnsi" w:eastAsia="Times New Roman" w:hAnsiTheme="minorHAnsi" w:cstheme="minorHAnsi"/>
                <w:szCs w:val="20"/>
                <w:lang w:val="en-ZA"/>
              </w:rPr>
            </w:pPr>
            <w:r w:rsidRPr="00E95B56">
              <w:rPr>
                <w:rFonts w:asciiTheme="minorHAnsi" w:eastAsia="Times New Roman" w:hAnsiTheme="minorHAnsi" w:cstheme="minorHAnsi"/>
                <w:szCs w:val="20"/>
                <w:lang w:val="en-ZA"/>
              </w:rPr>
              <w:t xml:space="preserve">19 </w:t>
            </w:r>
          </w:p>
        </w:tc>
        <w:tc>
          <w:tcPr>
            <w:tcW w:w="2138" w:type="dxa"/>
          </w:tcPr>
          <w:p w14:paraId="2E8B928B" w14:textId="77777777" w:rsidR="00E95B56" w:rsidRPr="00E95B56" w:rsidRDefault="00E95B56" w:rsidP="00E95B56">
            <w:pPr>
              <w:tabs>
                <w:tab w:val="center" w:pos="739"/>
                <w:tab w:val="center" w:pos="4320"/>
                <w:tab w:val="right" w:pos="8640"/>
              </w:tabs>
              <w:spacing w:after="0" w:line="240" w:lineRule="auto"/>
              <w:ind w:left="55"/>
              <w:jc w:val="both"/>
              <w:rPr>
                <w:rFonts w:asciiTheme="minorHAnsi" w:eastAsia="Times New Roman" w:hAnsiTheme="minorHAnsi" w:cstheme="minorHAnsi"/>
                <w:szCs w:val="20"/>
                <w:lang w:val="en-ZA"/>
              </w:rPr>
            </w:pPr>
            <w:r w:rsidRPr="00E95B56">
              <w:rPr>
                <w:rFonts w:asciiTheme="minorHAnsi" w:eastAsia="Times New Roman" w:hAnsiTheme="minorHAnsi" w:cstheme="minorHAnsi"/>
                <w:szCs w:val="20"/>
                <w:lang w:val="en-ZA"/>
              </w:rPr>
              <w:t xml:space="preserve">Urban </w:t>
            </w:r>
          </w:p>
        </w:tc>
      </w:tr>
    </w:tbl>
    <w:p w14:paraId="4BC0787F" w14:textId="0C54C4E2" w:rsidR="00E95B56" w:rsidRDefault="00E95B56" w:rsidP="00E95B56">
      <w:pPr>
        <w:pStyle w:val="Caption"/>
      </w:pPr>
      <w:bookmarkStart w:id="350" w:name="_Toc510622294"/>
      <w:r>
        <w:t xml:space="preserve">Table </w:t>
      </w:r>
      <w:r w:rsidR="00B918A6">
        <w:fldChar w:fldCharType="begin"/>
      </w:r>
      <w:r w:rsidR="00B918A6">
        <w:instrText xml:space="preserve"> SEQ Table \* ARABIC </w:instrText>
      </w:r>
      <w:r w:rsidR="00B918A6">
        <w:fldChar w:fldCharType="separate"/>
      </w:r>
      <w:r w:rsidR="0067023A">
        <w:rPr>
          <w:noProof/>
        </w:rPr>
        <w:t>44</w:t>
      </w:r>
      <w:r w:rsidR="00B918A6">
        <w:rPr>
          <w:noProof/>
        </w:rPr>
        <w:fldChar w:fldCharType="end"/>
      </w:r>
      <w:r>
        <w:t>: Delayed Projects</w:t>
      </w:r>
      <w:bookmarkEnd w:id="350"/>
      <w:r>
        <w:t xml:space="preserve"> </w:t>
      </w:r>
    </w:p>
    <w:p w14:paraId="7F0592D1" w14:textId="6258458B" w:rsidR="00E95B56" w:rsidRDefault="00E95B56" w:rsidP="00750180">
      <w:pPr>
        <w:pStyle w:val="Heading4"/>
        <w:numPr>
          <w:ilvl w:val="3"/>
          <w:numId w:val="29"/>
        </w:numPr>
        <w:spacing w:after="240"/>
      </w:pPr>
      <w:r>
        <w:t>Private Housing Developments</w:t>
      </w:r>
    </w:p>
    <w:p w14:paraId="23ADEC8B" w14:textId="7326C937" w:rsidR="00E95B56" w:rsidRDefault="00E95B56" w:rsidP="00E95B56">
      <w:r>
        <w:t>The following Private Sector Housing Developments have been proposed for municipality;</w:t>
      </w:r>
    </w:p>
    <w:p w14:paraId="1DFC4D1B" w14:textId="06320046" w:rsidR="00E95B56" w:rsidRDefault="00E95B56" w:rsidP="00750180">
      <w:pPr>
        <w:pStyle w:val="ListParagraph"/>
        <w:numPr>
          <w:ilvl w:val="0"/>
          <w:numId w:val="123"/>
        </w:numPr>
      </w:pPr>
      <w:r>
        <w:t>Erf 167 Mixed Use Development (Including up market housing as well as affordable housing) (Ward 19)</w:t>
      </w:r>
    </w:p>
    <w:p w14:paraId="743090DA" w14:textId="28A820DB" w:rsidR="00E95B56" w:rsidRDefault="00E95B56" w:rsidP="00750180">
      <w:pPr>
        <w:pStyle w:val="ListParagraph"/>
        <w:numPr>
          <w:ilvl w:val="0"/>
          <w:numId w:val="123"/>
        </w:numPr>
      </w:pPr>
      <w:r>
        <w:t>Sunnydale Middle Income Housing</w:t>
      </w:r>
    </w:p>
    <w:p w14:paraId="47412152" w14:textId="5D3050AB" w:rsidR="00E95B56" w:rsidRDefault="00452BC6" w:rsidP="00750180">
      <w:pPr>
        <w:pStyle w:val="Heading4"/>
        <w:numPr>
          <w:ilvl w:val="3"/>
          <w:numId w:val="29"/>
        </w:numPr>
        <w:spacing w:after="240"/>
      </w:pPr>
      <w:r>
        <w:t xml:space="preserve">Institutional Capacity for Housing </w:t>
      </w:r>
    </w:p>
    <w:p w14:paraId="3BCF8766" w14:textId="72C095A9" w:rsidR="00452BC6" w:rsidRDefault="00452BC6" w:rsidP="00452BC6">
      <w:r>
        <w:rPr>
          <w:noProof/>
        </w:rPr>
        <w:drawing>
          <wp:inline distT="0" distB="0" distL="0" distR="0" wp14:anchorId="27A3A286" wp14:editId="1FD3F6F4">
            <wp:extent cx="4520242" cy="207708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548685" cy="2090155"/>
                    </a:xfrm>
                    <a:prstGeom prst="rect">
                      <a:avLst/>
                    </a:prstGeom>
                  </pic:spPr>
                </pic:pic>
              </a:graphicData>
            </a:graphic>
          </wp:inline>
        </w:drawing>
      </w:r>
    </w:p>
    <w:p w14:paraId="613A7618" w14:textId="56E7FA3C" w:rsidR="00452BC6" w:rsidRPr="00452BC6" w:rsidRDefault="00452BC6" w:rsidP="00452BC6">
      <w:pPr>
        <w:pStyle w:val="Caption"/>
      </w:pPr>
      <w:bookmarkStart w:id="351" w:name="_Toc510622375"/>
      <w:r>
        <w:t xml:space="preserve">Figure </w:t>
      </w:r>
      <w:r w:rsidR="00B918A6">
        <w:fldChar w:fldCharType="begin"/>
      </w:r>
      <w:r w:rsidR="00B918A6">
        <w:instrText xml:space="preserve"> SEQ Figure \* ARABIC </w:instrText>
      </w:r>
      <w:r w:rsidR="00B918A6">
        <w:fldChar w:fldCharType="separate"/>
      </w:r>
      <w:r w:rsidR="0067023A">
        <w:rPr>
          <w:noProof/>
        </w:rPr>
        <w:t>14</w:t>
      </w:r>
      <w:r w:rsidR="00B918A6">
        <w:rPr>
          <w:noProof/>
        </w:rPr>
        <w:fldChar w:fldCharType="end"/>
      </w:r>
      <w:r>
        <w:t>: Organisational Structure of the Housing Unit</w:t>
      </w:r>
      <w:bookmarkEnd w:id="351"/>
    </w:p>
    <w:p w14:paraId="5124EF85" w14:textId="77777777" w:rsidR="00D901C5" w:rsidRPr="00F8472B" w:rsidRDefault="008B4AAE" w:rsidP="00750180">
      <w:pPr>
        <w:pStyle w:val="Heading4"/>
        <w:numPr>
          <w:ilvl w:val="3"/>
          <w:numId w:val="29"/>
        </w:numPr>
        <w:spacing w:after="240"/>
      </w:pPr>
      <w:r w:rsidRPr="00F8472B">
        <w:t xml:space="preserve">Types of Housing </w:t>
      </w:r>
      <w:bookmarkEnd w:id="348"/>
      <w:r w:rsidR="00A25189" w:rsidRPr="00F8472B">
        <w:t>Programs</w:t>
      </w:r>
    </w:p>
    <w:p w14:paraId="1105A559" w14:textId="77777777" w:rsidR="008B4AAE" w:rsidRPr="00D1420B" w:rsidRDefault="00F8472B" w:rsidP="00750180">
      <w:pPr>
        <w:pStyle w:val="Heading5"/>
        <w:numPr>
          <w:ilvl w:val="4"/>
          <w:numId w:val="29"/>
        </w:numPr>
        <w:rPr>
          <w:rFonts w:cs="Calibri"/>
          <w:bCs/>
          <w:color w:val="000000" w:themeColor="text1"/>
          <w:lang w:val="en-ZA"/>
        </w:rPr>
      </w:pPr>
      <w:bookmarkStart w:id="352" w:name="_Toc389739918"/>
      <w:r>
        <w:t xml:space="preserve"> </w:t>
      </w:r>
      <w:r w:rsidR="008B4AAE" w:rsidRPr="00D1420B">
        <w:t>Project Linked Subsidy</w:t>
      </w:r>
      <w:bookmarkEnd w:id="349"/>
      <w:bookmarkEnd w:id="352"/>
    </w:p>
    <w:p w14:paraId="20A50D9E" w14:textId="77777777" w:rsidR="00D901C5" w:rsidRDefault="00D901C5" w:rsidP="00395313">
      <w:pPr>
        <w:spacing w:line="288" w:lineRule="auto"/>
        <w:jc w:val="both"/>
        <w:rPr>
          <w:rFonts w:cs="Calibri"/>
          <w:color w:val="000000" w:themeColor="text1"/>
          <w:lang w:val="en-GB"/>
        </w:rPr>
      </w:pPr>
      <w:r w:rsidRPr="00881795">
        <w:rPr>
          <w:rFonts w:cs="Calibri"/>
          <w:color w:val="000000" w:themeColor="text1"/>
          <w:lang w:val="en-GB"/>
        </w:rPr>
        <w:t>This housing subsidy mechanism enables a qualifying household to access a complete residential unit, which is developed within an approved project linked housing subsidy project for ownership by the beneficiary.</w:t>
      </w:r>
    </w:p>
    <w:p w14:paraId="77082868" w14:textId="77777777" w:rsidR="00D901C5" w:rsidRPr="00F8472B" w:rsidRDefault="008B4AAE" w:rsidP="00750180">
      <w:pPr>
        <w:pStyle w:val="Heading5"/>
        <w:numPr>
          <w:ilvl w:val="4"/>
          <w:numId w:val="29"/>
        </w:numPr>
        <w:spacing w:after="240"/>
      </w:pPr>
      <w:bookmarkStart w:id="353" w:name="Rural_Subsidies"/>
      <w:bookmarkStart w:id="354" w:name="_Toc389739919"/>
      <w:r w:rsidRPr="00F8472B">
        <w:t>Rural Subsidies</w:t>
      </w:r>
      <w:bookmarkEnd w:id="353"/>
      <w:bookmarkEnd w:id="354"/>
    </w:p>
    <w:p w14:paraId="0F031EF6" w14:textId="77777777" w:rsidR="00D901C5" w:rsidRPr="00881795" w:rsidRDefault="00D901C5" w:rsidP="00395313">
      <w:pPr>
        <w:spacing w:line="288" w:lineRule="auto"/>
        <w:jc w:val="both"/>
        <w:rPr>
          <w:rFonts w:cs="Calibri"/>
          <w:color w:val="000000" w:themeColor="text1"/>
        </w:rPr>
      </w:pPr>
      <w:r w:rsidRPr="00881795">
        <w:rPr>
          <w:rFonts w:cs="Calibri"/>
          <w:color w:val="000000" w:themeColor="text1"/>
        </w:rPr>
        <w:t xml:space="preserve">This housing subsidy is available to beneficiaries who only enjoy functional tenure rights to the land they occupy. This land belongs to the State and is governed by traditional authorities. </w:t>
      </w:r>
    </w:p>
    <w:p w14:paraId="05C77C8B" w14:textId="77777777" w:rsidR="00D1420B" w:rsidRPr="00881795" w:rsidRDefault="00D901C5" w:rsidP="00395313">
      <w:pPr>
        <w:spacing w:line="288" w:lineRule="auto"/>
        <w:jc w:val="both"/>
        <w:rPr>
          <w:rFonts w:cs="Calibri"/>
          <w:color w:val="000000" w:themeColor="text1"/>
        </w:rPr>
      </w:pPr>
      <w:r w:rsidRPr="00881795">
        <w:rPr>
          <w:rFonts w:cs="Calibri"/>
          <w:color w:val="000000" w:themeColor="text1"/>
        </w:rPr>
        <w:t>The subsidies are only available on a project basis and beneficiaries are supported by implementing agents. Beneficiaries also have the right to decide on how to use their subsidies either for service provision, on building of houses or a combination thereof.</w:t>
      </w:r>
    </w:p>
    <w:p w14:paraId="51018450" w14:textId="77777777" w:rsidR="00D901C5" w:rsidRPr="00D224ED" w:rsidRDefault="008B4AAE" w:rsidP="00750180">
      <w:pPr>
        <w:pStyle w:val="Heading4"/>
        <w:numPr>
          <w:ilvl w:val="3"/>
          <w:numId w:val="29"/>
        </w:numPr>
        <w:spacing w:after="240"/>
        <w:rPr>
          <w:highlight w:val="yellow"/>
        </w:rPr>
      </w:pPr>
      <w:bookmarkStart w:id="355" w:name="_Toc389739920"/>
      <w:r w:rsidRPr="00D224ED">
        <w:rPr>
          <w:highlight w:val="yellow"/>
        </w:rPr>
        <w:t>Bulk Services Infrastructure Analysis: Water and Sanitation</w:t>
      </w:r>
      <w:bookmarkEnd w:id="355"/>
    </w:p>
    <w:p w14:paraId="423DC428" w14:textId="028A0728" w:rsidR="00D901C5" w:rsidRPr="00D224ED" w:rsidRDefault="001D792E" w:rsidP="00395313">
      <w:pPr>
        <w:spacing w:line="288" w:lineRule="auto"/>
        <w:jc w:val="both"/>
        <w:rPr>
          <w:rFonts w:cs="Calibri"/>
          <w:lang w:val="en-ZA"/>
        </w:rPr>
      </w:pPr>
      <w:r>
        <w:rPr>
          <w:rFonts w:cs="Calibri"/>
          <w:color w:val="000000" w:themeColor="text1"/>
          <w:lang w:val="en-ZA"/>
        </w:rPr>
        <w:t>King Cetshwayo</w:t>
      </w:r>
      <w:r w:rsidR="007D419B">
        <w:rPr>
          <w:rFonts w:cs="Calibri"/>
          <w:color w:val="000000" w:themeColor="text1"/>
          <w:lang w:val="en-ZA"/>
        </w:rPr>
        <w:t xml:space="preserve"> </w:t>
      </w:r>
      <w:r w:rsidR="003C03FA">
        <w:rPr>
          <w:rFonts w:cs="Calibri"/>
          <w:color w:val="000000" w:themeColor="text1"/>
          <w:lang w:val="en-ZA"/>
        </w:rPr>
        <w:t>District</w:t>
      </w:r>
      <w:r w:rsidR="007D419B">
        <w:rPr>
          <w:rFonts w:cs="Calibri"/>
          <w:color w:val="000000" w:themeColor="text1"/>
          <w:lang w:val="en-ZA"/>
        </w:rPr>
        <w:t xml:space="preserve"> Municipality </w:t>
      </w:r>
      <w:r w:rsidR="00D901C5" w:rsidRPr="00534637">
        <w:rPr>
          <w:rFonts w:cs="Calibri"/>
          <w:color w:val="000000" w:themeColor="text1"/>
          <w:lang w:val="en-ZA"/>
        </w:rPr>
        <w:t xml:space="preserve">, in terms of the Water Services Act, is the Water Services Authority in respect of its area of jurisdiction, apart from the City of uMhlathuze.  The latest </w:t>
      </w:r>
      <w:r w:rsidR="002551B8">
        <w:rPr>
          <w:rFonts w:cs="Calibri"/>
          <w:color w:val="000000" w:themeColor="text1"/>
          <w:lang w:val="en-ZA"/>
        </w:rPr>
        <w:t>KCDM</w:t>
      </w:r>
      <w:r w:rsidR="00D901C5" w:rsidRPr="00534637">
        <w:rPr>
          <w:rFonts w:cs="Calibri"/>
          <w:color w:val="000000" w:themeColor="text1"/>
          <w:lang w:val="en-ZA"/>
        </w:rPr>
        <w:t xml:space="preserve"> WSDP was completed in 2009.  </w:t>
      </w:r>
      <w:r w:rsidR="00D901C5" w:rsidRPr="00D224ED">
        <w:rPr>
          <w:rFonts w:cs="Calibri"/>
          <w:b/>
          <w:color w:val="FF0000"/>
          <w:lang w:val="en-ZA"/>
        </w:rPr>
        <w:t>However</w:t>
      </w:r>
      <w:r w:rsidR="00DD35D9" w:rsidRPr="00D224ED">
        <w:rPr>
          <w:rFonts w:cs="Calibri"/>
          <w:b/>
          <w:color w:val="FF0000"/>
          <w:lang w:val="en-ZA"/>
        </w:rPr>
        <w:t>, it is currently under review</w:t>
      </w:r>
      <w:r w:rsidR="00D224ED">
        <w:rPr>
          <w:rFonts w:cs="Calibri"/>
          <w:b/>
          <w:color w:val="FF0000"/>
          <w:lang w:val="en-ZA"/>
        </w:rPr>
        <w:t xml:space="preserve">. </w:t>
      </w:r>
      <w:r w:rsidR="00D224ED">
        <w:rPr>
          <w:rFonts w:cs="Calibri"/>
          <w:lang w:val="en-ZA"/>
        </w:rPr>
        <w:t xml:space="preserve"> </w:t>
      </w:r>
      <w:r w:rsidR="00E95B56">
        <w:rPr>
          <w:rFonts w:cs="Calibri"/>
          <w:lang w:val="en-ZA"/>
        </w:rPr>
        <w:t>Mentioned in Table 41</w:t>
      </w:r>
      <w:r w:rsidR="0026453C">
        <w:rPr>
          <w:rFonts w:cs="Calibri"/>
          <w:lang w:val="en-ZA"/>
        </w:rPr>
        <w:t xml:space="preserve"> (previous sub sections)</w:t>
      </w:r>
      <w:r w:rsidR="00E95B56">
        <w:rPr>
          <w:rFonts w:cs="Calibri"/>
          <w:lang w:val="en-ZA"/>
        </w:rPr>
        <w:t xml:space="preserve"> are some of the critical urban housing projects which have been delayed due to the unavailability of bulk water and sanit</w:t>
      </w:r>
      <w:r w:rsidR="0026453C">
        <w:rPr>
          <w:rFonts w:cs="Calibri"/>
          <w:lang w:val="en-ZA"/>
        </w:rPr>
        <w:t>a</w:t>
      </w:r>
      <w:r w:rsidR="00E95B56">
        <w:rPr>
          <w:rFonts w:cs="Calibri"/>
          <w:lang w:val="en-ZA"/>
        </w:rPr>
        <w:t>tion services</w:t>
      </w:r>
      <w:r w:rsidR="0026453C">
        <w:rPr>
          <w:rFonts w:cs="Calibri"/>
          <w:lang w:val="en-ZA"/>
        </w:rPr>
        <w:t>.</w:t>
      </w:r>
    </w:p>
    <w:p w14:paraId="32B527A0" w14:textId="4C070192" w:rsidR="00D224ED" w:rsidRDefault="00D224ED" w:rsidP="00750180">
      <w:pPr>
        <w:pStyle w:val="ListParagraph"/>
        <w:numPr>
          <w:ilvl w:val="4"/>
          <w:numId w:val="29"/>
        </w:numPr>
        <w:spacing w:line="288" w:lineRule="auto"/>
        <w:jc w:val="both"/>
        <w:rPr>
          <w:rFonts w:cs="Calibri"/>
          <w:b/>
          <w:color w:val="FF0000"/>
          <w:lang w:val="en-ZA"/>
        </w:rPr>
      </w:pPr>
      <w:r>
        <w:rPr>
          <w:rFonts w:cs="Calibri"/>
          <w:b/>
          <w:color w:val="FF0000"/>
          <w:lang w:val="en-ZA"/>
        </w:rPr>
        <w:t>Water and Sanitation Backlogs</w:t>
      </w:r>
    </w:p>
    <w:tbl>
      <w:tblPr>
        <w:tblW w:w="4994" w:type="pct"/>
        <w:tblCellMar>
          <w:left w:w="0" w:type="dxa"/>
          <w:right w:w="0" w:type="dxa"/>
        </w:tblCellMar>
        <w:tblLook w:val="0600" w:firstRow="0" w:lastRow="0" w:firstColumn="0" w:lastColumn="0" w:noHBand="1" w:noVBand="1"/>
      </w:tblPr>
      <w:tblGrid>
        <w:gridCol w:w="1908"/>
        <w:gridCol w:w="1282"/>
        <w:gridCol w:w="1124"/>
        <w:gridCol w:w="1406"/>
        <w:gridCol w:w="1297"/>
        <w:gridCol w:w="1124"/>
        <w:gridCol w:w="1466"/>
      </w:tblGrid>
      <w:tr w:rsidR="00D224ED" w:rsidRPr="00D224ED" w14:paraId="4B7A0073" w14:textId="77777777" w:rsidTr="0026453C">
        <w:trPr>
          <w:trHeight w:val="257"/>
        </w:trPr>
        <w:tc>
          <w:tcPr>
            <w:tcW w:w="993" w:type="pct"/>
            <w:tcBorders>
              <w:top w:val="single" w:sz="8" w:space="0" w:color="000000"/>
              <w:left w:val="single" w:sz="8" w:space="0" w:color="000000"/>
              <w:bottom w:val="single" w:sz="8" w:space="0" w:color="000000"/>
              <w:right w:val="single" w:sz="8" w:space="0" w:color="000000"/>
            </w:tcBorders>
            <w:shd w:val="clear" w:color="auto" w:fill="CCCCCC"/>
            <w:tcMar>
              <w:top w:w="28" w:type="dxa"/>
              <w:left w:w="28" w:type="dxa"/>
              <w:bottom w:w="28" w:type="dxa"/>
              <w:right w:w="28" w:type="dxa"/>
            </w:tcMar>
            <w:vAlign w:val="center"/>
            <w:hideMark/>
          </w:tcPr>
          <w:p w14:paraId="2ED3BFBE" w14:textId="0D8D80D5" w:rsidR="00D224ED" w:rsidRPr="00D224ED" w:rsidRDefault="00D224ED" w:rsidP="00D224ED">
            <w:pPr>
              <w:spacing w:after="0" w:line="240" w:lineRule="auto"/>
              <w:rPr>
                <w:rFonts w:cs="Calibri"/>
                <w:b/>
                <w:color w:val="000000" w:themeColor="text1"/>
                <w:sz w:val="18"/>
                <w:lang w:val="en-ZA"/>
              </w:rPr>
            </w:pPr>
            <w:r w:rsidRPr="00D224ED">
              <w:rPr>
                <w:rFonts w:cs="Calibri"/>
                <w:b/>
                <w:color w:val="000000" w:themeColor="text1"/>
                <w:sz w:val="18"/>
                <w:lang w:val="en-ZA"/>
              </w:rPr>
              <w:t>Municipality</w:t>
            </w:r>
          </w:p>
        </w:tc>
        <w:tc>
          <w:tcPr>
            <w:tcW w:w="667" w:type="pct"/>
            <w:tcBorders>
              <w:top w:val="single" w:sz="8" w:space="0" w:color="000000"/>
              <w:left w:val="single" w:sz="8" w:space="0" w:color="000000"/>
              <w:bottom w:val="single" w:sz="8" w:space="0" w:color="000000"/>
              <w:right w:val="single" w:sz="8" w:space="0" w:color="000000"/>
            </w:tcBorders>
            <w:shd w:val="clear" w:color="auto" w:fill="CCCCCC"/>
            <w:tcMar>
              <w:top w:w="28" w:type="dxa"/>
              <w:left w:w="28" w:type="dxa"/>
              <w:bottom w:w="28" w:type="dxa"/>
              <w:right w:w="28" w:type="dxa"/>
            </w:tcMar>
            <w:vAlign w:val="center"/>
            <w:hideMark/>
          </w:tcPr>
          <w:p w14:paraId="0C6F9F8A" w14:textId="77777777" w:rsidR="00D224ED" w:rsidRPr="00D224ED" w:rsidRDefault="00D224ED" w:rsidP="00D224ED">
            <w:pPr>
              <w:spacing w:after="0" w:line="240" w:lineRule="auto"/>
              <w:jc w:val="center"/>
              <w:rPr>
                <w:rFonts w:cs="Calibri"/>
                <w:b/>
                <w:color w:val="000000" w:themeColor="text1"/>
                <w:sz w:val="18"/>
                <w:lang w:val="en-ZA"/>
              </w:rPr>
            </w:pPr>
            <w:r w:rsidRPr="00D224ED">
              <w:rPr>
                <w:rFonts w:cs="Calibri"/>
                <w:b/>
                <w:color w:val="000000" w:themeColor="text1"/>
                <w:sz w:val="18"/>
                <w:lang w:val="en-ZA"/>
              </w:rPr>
              <w:t>2001 / 2002 Households</w:t>
            </w:r>
          </w:p>
        </w:tc>
        <w:tc>
          <w:tcPr>
            <w:tcW w:w="585" w:type="pct"/>
            <w:tcBorders>
              <w:top w:val="single" w:sz="8" w:space="0" w:color="000000"/>
              <w:left w:val="single" w:sz="8" w:space="0" w:color="000000"/>
              <w:bottom w:val="single" w:sz="8" w:space="0" w:color="000000"/>
              <w:right w:val="single" w:sz="8" w:space="0" w:color="000000"/>
            </w:tcBorders>
            <w:shd w:val="clear" w:color="auto" w:fill="CCCCCC"/>
            <w:tcMar>
              <w:top w:w="28" w:type="dxa"/>
              <w:left w:w="28" w:type="dxa"/>
              <w:bottom w:w="28" w:type="dxa"/>
              <w:right w:w="28" w:type="dxa"/>
            </w:tcMar>
            <w:vAlign w:val="center"/>
            <w:hideMark/>
          </w:tcPr>
          <w:p w14:paraId="3148177F" w14:textId="77777777" w:rsidR="00D224ED" w:rsidRPr="00D224ED" w:rsidRDefault="00D224ED" w:rsidP="00D224ED">
            <w:pPr>
              <w:spacing w:after="0" w:line="240" w:lineRule="auto"/>
              <w:jc w:val="center"/>
              <w:rPr>
                <w:rFonts w:cs="Calibri"/>
                <w:b/>
                <w:color w:val="000000" w:themeColor="text1"/>
                <w:sz w:val="18"/>
                <w:lang w:val="en-ZA"/>
              </w:rPr>
            </w:pPr>
            <w:r w:rsidRPr="00D224ED">
              <w:rPr>
                <w:rFonts w:cs="Calibri"/>
                <w:b/>
                <w:color w:val="000000" w:themeColor="text1"/>
                <w:sz w:val="18"/>
                <w:lang w:val="en-ZA"/>
              </w:rPr>
              <w:t xml:space="preserve">2001/2002 </w:t>
            </w:r>
          </w:p>
          <w:p w14:paraId="35BA3CFA" w14:textId="77777777" w:rsidR="00D224ED" w:rsidRPr="00D224ED" w:rsidRDefault="00D224ED" w:rsidP="00D224ED">
            <w:pPr>
              <w:spacing w:after="0" w:line="240" w:lineRule="auto"/>
              <w:jc w:val="center"/>
              <w:rPr>
                <w:rFonts w:cs="Calibri"/>
                <w:b/>
                <w:color w:val="000000" w:themeColor="text1"/>
                <w:sz w:val="18"/>
                <w:lang w:val="en-ZA"/>
              </w:rPr>
            </w:pPr>
            <w:r w:rsidRPr="00D224ED">
              <w:rPr>
                <w:rFonts w:cs="Calibri"/>
                <w:b/>
                <w:color w:val="000000" w:themeColor="text1"/>
                <w:sz w:val="18"/>
                <w:lang w:val="en-ZA"/>
              </w:rPr>
              <w:t>% Backlog</w:t>
            </w:r>
          </w:p>
        </w:tc>
        <w:tc>
          <w:tcPr>
            <w:tcW w:w="732" w:type="pct"/>
            <w:tcBorders>
              <w:top w:val="single" w:sz="8" w:space="0" w:color="000000"/>
              <w:left w:val="single" w:sz="8" w:space="0" w:color="000000"/>
              <w:bottom w:val="single" w:sz="8" w:space="0" w:color="000000"/>
              <w:right w:val="single" w:sz="8" w:space="0" w:color="000000"/>
            </w:tcBorders>
            <w:shd w:val="clear" w:color="auto" w:fill="CCCCCC"/>
            <w:tcMar>
              <w:top w:w="57" w:type="dxa"/>
              <w:left w:w="108" w:type="dxa"/>
              <w:bottom w:w="57" w:type="dxa"/>
              <w:right w:w="108" w:type="dxa"/>
            </w:tcMar>
            <w:vAlign w:val="center"/>
            <w:hideMark/>
          </w:tcPr>
          <w:p w14:paraId="44C2147E" w14:textId="77777777" w:rsidR="00D224ED" w:rsidRPr="00D224ED" w:rsidRDefault="00D224ED" w:rsidP="00D224ED">
            <w:pPr>
              <w:spacing w:after="0" w:line="240" w:lineRule="auto"/>
              <w:jc w:val="center"/>
              <w:rPr>
                <w:rFonts w:cs="Calibri"/>
                <w:b/>
                <w:color w:val="000000" w:themeColor="text1"/>
                <w:sz w:val="18"/>
                <w:lang w:val="en-ZA"/>
              </w:rPr>
            </w:pPr>
            <w:r w:rsidRPr="00D224ED">
              <w:rPr>
                <w:rFonts w:cs="Calibri"/>
                <w:b/>
                <w:color w:val="000000" w:themeColor="text1"/>
                <w:sz w:val="18"/>
                <w:lang w:val="en-ZA"/>
              </w:rPr>
              <w:t>2011 Households</w:t>
            </w:r>
          </w:p>
        </w:tc>
        <w:tc>
          <w:tcPr>
            <w:tcW w:w="675" w:type="pct"/>
            <w:tcBorders>
              <w:top w:val="single" w:sz="8" w:space="0" w:color="000000"/>
              <w:left w:val="single" w:sz="8" w:space="0" w:color="000000"/>
              <w:bottom w:val="single" w:sz="8" w:space="0" w:color="000000"/>
              <w:right w:val="single" w:sz="8" w:space="0" w:color="000000"/>
            </w:tcBorders>
            <w:shd w:val="clear" w:color="auto" w:fill="CCCCCC"/>
            <w:tcMar>
              <w:top w:w="28" w:type="dxa"/>
              <w:left w:w="28" w:type="dxa"/>
              <w:bottom w:w="28" w:type="dxa"/>
              <w:right w:w="28" w:type="dxa"/>
            </w:tcMar>
            <w:vAlign w:val="center"/>
            <w:hideMark/>
          </w:tcPr>
          <w:p w14:paraId="6498FF29" w14:textId="77777777" w:rsidR="00D224ED" w:rsidRPr="00D224ED" w:rsidRDefault="00D224ED" w:rsidP="00D224ED">
            <w:pPr>
              <w:spacing w:after="0" w:line="240" w:lineRule="auto"/>
              <w:jc w:val="center"/>
              <w:rPr>
                <w:rFonts w:cs="Calibri"/>
                <w:b/>
                <w:color w:val="000000" w:themeColor="text1"/>
                <w:sz w:val="18"/>
                <w:lang w:val="en-ZA"/>
              </w:rPr>
            </w:pPr>
            <w:r w:rsidRPr="00D224ED">
              <w:rPr>
                <w:rFonts w:cs="Calibri"/>
                <w:b/>
                <w:color w:val="000000" w:themeColor="text1"/>
                <w:sz w:val="18"/>
                <w:lang w:val="en-ZA"/>
              </w:rPr>
              <w:t>Households with Water</w:t>
            </w:r>
          </w:p>
        </w:tc>
        <w:tc>
          <w:tcPr>
            <w:tcW w:w="585" w:type="pct"/>
            <w:tcBorders>
              <w:top w:val="single" w:sz="8" w:space="0" w:color="000000"/>
              <w:left w:val="single" w:sz="8" w:space="0" w:color="000000"/>
              <w:bottom w:val="single" w:sz="8" w:space="0" w:color="000000"/>
              <w:right w:val="single" w:sz="8" w:space="0" w:color="000000"/>
            </w:tcBorders>
            <w:shd w:val="clear" w:color="auto" w:fill="CCCCCC"/>
            <w:tcMar>
              <w:top w:w="28" w:type="dxa"/>
              <w:left w:w="28" w:type="dxa"/>
              <w:bottom w:w="28" w:type="dxa"/>
              <w:right w:w="28" w:type="dxa"/>
            </w:tcMar>
            <w:vAlign w:val="center"/>
            <w:hideMark/>
          </w:tcPr>
          <w:p w14:paraId="5C81BC7B" w14:textId="77777777" w:rsidR="00D224ED" w:rsidRPr="00D224ED" w:rsidRDefault="00D224ED" w:rsidP="00D224ED">
            <w:pPr>
              <w:spacing w:after="0" w:line="240" w:lineRule="auto"/>
              <w:jc w:val="center"/>
              <w:rPr>
                <w:rFonts w:cs="Calibri"/>
                <w:b/>
                <w:color w:val="000000" w:themeColor="text1"/>
                <w:sz w:val="18"/>
                <w:lang w:val="en-ZA"/>
              </w:rPr>
            </w:pPr>
            <w:r w:rsidRPr="00D224ED">
              <w:rPr>
                <w:rFonts w:cs="Calibri"/>
                <w:b/>
                <w:color w:val="000000" w:themeColor="text1"/>
                <w:sz w:val="18"/>
                <w:lang w:val="en-ZA"/>
              </w:rPr>
              <w:t>Household without Water</w:t>
            </w:r>
          </w:p>
        </w:tc>
        <w:tc>
          <w:tcPr>
            <w:tcW w:w="763" w:type="pct"/>
            <w:tcBorders>
              <w:top w:val="single" w:sz="8" w:space="0" w:color="000000"/>
              <w:left w:val="single" w:sz="8" w:space="0" w:color="000000"/>
              <w:bottom w:val="single" w:sz="8" w:space="0" w:color="000000"/>
              <w:right w:val="single" w:sz="8" w:space="0" w:color="000000"/>
            </w:tcBorders>
            <w:shd w:val="clear" w:color="auto" w:fill="CCCCCC"/>
            <w:tcMar>
              <w:top w:w="28" w:type="dxa"/>
              <w:left w:w="28" w:type="dxa"/>
              <w:bottom w:w="28" w:type="dxa"/>
              <w:right w:w="28" w:type="dxa"/>
            </w:tcMar>
            <w:vAlign w:val="center"/>
            <w:hideMark/>
          </w:tcPr>
          <w:p w14:paraId="7828ACCC" w14:textId="77777777" w:rsidR="00D224ED" w:rsidRPr="00D224ED" w:rsidRDefault="00D224ED" w:rsidP="00D224ED">
            <w:pPr>
              <w:spacing w:after="0" w:line="240" w:lineRule="auto"/>
              <w:jc w:val="center"/>
              <w:rPr>
                <w:rFonts w:cs="Calibri"/>
                <w:b/>
                <w:color w:val="000000" w:themeColor="text1"/>
                <w:sz w:val="18"/>
                <w:lang w:val="en-ZA"/>
              </w:rPr>
            </w:pPr>
            <w:r w:rsidRPr="00D224ED">
              <w:rPr>
                <w:rFonts w:cs="Calibri"/>
                <w:b/>
                <w:color w:val="000000" w:themeColor="text1"/>
                <w:sz w:val="18"/>
                <w:lang w:val="en-ZA"/>
              </w:rPr>
              <w:t>2013/2014% Backlog</w:t>
            </w:r>
          </w:p>
        </w:tc>
      </w:tr>
      <w:tr w:rsidR="00D224ED" w:rsidRPr="00D224ED" w14:paraId="0B26DB44" w14:textId="77777777" w:rsidTr="0026453C">
        <w:trPr>
          <w:trHeight w:val="89"/>
        </w:trPr>
        <w:tc>
          <w:tcPr>
            <w:tcW w:w="993"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7189D961" w14:textId="77777777" w:rsidR="00D224ED" w:rsidRPr="00D224ED" w:rsidRDefault="00D224ED" w:rsidP="00D224ED">
            <w:pPr>
              <w:spacing w:after="0" w:line="240" w:lineRule="auto"/>
              <w:rPr>
                <w:rFonts w:cs="Calibri"/>
                <w:b/>
                <w:color w:val="00B050"/>
                <w:sz w:val="18"/>
                <w:lang w:val="en-ZA"/>
              </w:rPr>
            </w:pPr>
            <w:r w:rsidRPr="00D224ED">
              <w:rPr>
                <w:rFonts w:cs="Calibri"/>
                <w:b/>
                <w:color w:val="00B050"/>
                <w:sz w:val="18"/>
                <w:lang w:val="en-ZA"/>
              </w:rPr>
              <w:t>uMlalazi (KZ284)</w:t>
            </w:r>
          </w:p>
        </w:tc>
        <w:tc>
          <w:tcPr>
            <w:tcW w:w="667"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50656077" w14:textId="77777777" w:rsidR="00D224ED" w:rsidRPr="00D224ED" w:rsidRDefault="00D224ED" w:rsidP="00D224ED">
            <w:pPr>
              <w:spacing w:after="0" w:line="240" w:lineRule="auto"/>
              <w:jc w:val="center"/>
              <w:rPr>
                <w:rFonts w:cs="Calibri"/>
                <w:b/>
                <w:color w:val="00B050"/>
                <w:sz w:val="18"/>
                <w:lang w:val="en-ZA"/>
              </w:rPr>
            </w:pPr>
            <w:r w:rsidRPr="00D224ED">
              <w:rPr>
                <w:rFonts w:cs="Calibri"/>
                <w:b/>
                <w:color w:val="00B050"/>
                <w:sz w:val="18"/>
                <w:lang w:val="en-ZA"/>
              </w:rPr>
              <w:t>34484</w:t>
            </w:r>
          </w:p>
        </w:tc>
        <w:tc>
          <w:tcPr>
            <w:tcW w:w="585"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5C328361" w14:textId="77777777" w:rsidR="00D224ED" w:rsidRPr="00D224ED" w:rsidRDefault="00D224ED" w:rsidP="00D224ED">
            <w:pPr>
              <w:spacing w:after="0" w:line="240" w:lineRule="auto"/>
              <w:jc w:val="center"/>
              <w:rPr>
                <w:rFonts w:cs="Calibri"/>
                <w:b/>
                <w:color w:val="00B050"/>
                <w:sz w:val="18"/>
                <w:lang w:val="en-ZA"/>
              </w:rPr>
            </w:pPr>
            <w:r w:rsidRPr="00D224ED">
              <w:rPr>
                <w:rFonts w:cs="Calibri"/>
                <w:b/>
                <w:color w:val="00B050"/>
                <w:sz w:val="18"/>
                <w:lang w:val="en-ZA"/>
              </w:rPr>
              <w:t>82%</w:t>
            </w:r>
          </w:p>
        </w:tc>
        <w:tc>
          <w:tcPr>
            <w:tcW w:w="732" w:type="pct"/>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hideMark/>
          </w:tcPr>
          <w:p w14:paraId="18E70B63" w14:textId="77777777" w:rsidR="00D224ED" w:rsidRPr="00D224ED" w:rsidRDefault="00D224ED" w:rsidP="00D224ED">
            <w:pPr>
              <w:spacing w:after="0" w:line="240" w:lineRule="auto"/>
              <w:jc w:val="center"/>
              <w:rPr>
                <w:rFonts w:cs="Calibri"/>
                <w:b/>
                <w:color w:val="00B050"/>
                <w:sz w:val="18"/>
                <w:lang w:val="en-ZA"/>
              </w:rPr>
            </w:pPr>
            <w:r w:rsidRPr="00D224ED">
              <w:rPr>
                <w:rFonts w:cs="Calibri"/>
                <w:b/>
                <w:color w:val="00B050"/>
                <w:sz w:val="18"/>
                <w:lang w:val="en-ZA"/>
              </w:rPr>
              <w:t>45062</w:t>
            </w:r>
          </w:p>
        </w:tc>
        <w:tc>
          <w:tcPr>
            <w:tcW w:w="675"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72ACA50F" w14:textId="77777777" w:rsidR="00D224ED" w:rsidRPr="00D224ED" w:rsidRDefault="00D224ED" w:rsidP="00D224ED">
            <w:pPr>
              <w:spacing w:after="0" w:line="240" w:lineRule="auto"/>
              <w:jc w:val="center"/>
              <w:rPr>
                <w:rFonts w:cs="Calibri"/>
                <w:b/>
                <w:color w:val="00B050"/>
                <w:sz w:val="18"/>
                <w:lang w:val="en-ZA"/>
              </w:rPr>
            </w:pPr>
            <w:r w:rsidRPr="00D224ED">
              <w:rPr>
                <w:rFonts w:cs="Calibri"/>
                <w:b/>
                <w:color w:val="00B050"/>
                <w:sz w:val="18"/>
                <w:lang w:val="en-ZA"/>
              </w:rPr>
              <w:t>22 595</w:t>
            </w:r>
          </w:p>
        </w:tc>
        <w:tc>
          <w:tcPr>
            <w:tcW w:w="585"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64453751" w14:textId="77777777" w:rsidR="00D224ED" w:rsidRPr="00D224ED" w:rsidRDefault="00D224ED" w:rsidP="00D224ED">
            <w:pPr>
              <w:spacing w:after="0" w:line="240" w:lineRule="auto"/>
              <w:jc w:val="center"/>
              <w:rPr>
                <w:rFonts w:cs="Calibri"/>
                <w:b/>
                <w:color w:val="00B050"/>
                <w:sz w:val="18"/>
                <w:lang w:val="en-ZA"/>
              </w:rPr>
            </w:pPr>
            <w:r w:rsidRPr="00D224ED">
              <w:rPr>
                <w:rFonts w:cs="Calibri"/>
                <w:b/>
                <w:color w:val="00B050"/>
                <w:sz w:val="18"/>
                <w:lang w:val="en-ZA"/>
              </w:rPr>
              <w:t>20 028</w:t>
            </w:r>
          </w:p>
        </w:tc>
        <w:tc>
          <w:tcPr>
            <w:tcW w:w="763"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4E681CD4" w14:textId="77777777" w:rsidR="00D224ED" w:rsidRPr="00D224ED" w:rsidRDefault="00D224ED" w:rsidP="00D224ED">
            <w:pPr>
              <w:spacing w:after="0" w:line="240" w:lineRule="auto"/>
              <w:jc w:val="center"/>
              <w:rPr>
                <w:rFonts w:cs="Calibri"/>
                <w:b/>
                <w:color w:val="00B050"/>
                <w:sz w:val="18"/>
                <w:lang w:val="en-ZA"/>
              </w:rPr>
            </w:pPr>
            <w:r w:rsidRPr="00D224ED">
              <w:rPr>
                <w:rFonts w:cs="Calibri"/>
                <w:b/>
                <w:color w:val="00B050"/>
                <w:sz w:val="18"/>
                <w:lang w:val="en-ZA"/>
              </w:rPr>
              <w:t>47%</w:t>
            </w:r>
          </w:p>
        </w:tc>
      </w:tr>
      <w:tr w:rsidR="00D224ED" w:rsidRPr="00D224ED" w14:paraId="0F34B5F5" w14:textId="77777777" w:rsidTr="0026453C">
        <w:trPr>
          <w:trHeight w:val="111"/>
        </w:trPr>
        <w:tc>
          <w:tcPr>
            <w:tcW w:w="993"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6CB688E8" w14:textId="77777777" w:rsidR="00D224ED" w:rsidRPr="00D224ED" w:rsidRDefault="00D224ED" w:rsidP="00D224ED">
            <w:pPr>
              <w:spacing w:after="0" w:line="240" w:lineRule="auto"/>
              <w:rPr>
                <w:rFonts w:cs="Calibri"/>
                <w:color w:val="000000" w:themeColor="text1"/>
                <w:sz w:val="18"/>
                <w:lang w:val="en-ZA"/>
              </w:rPr>
            </w:pPr>
            <w:r w:rsidRPr="00D224ED">
              <w:rPr>
                <w:rFonts w:cs="Calibri"/>
                <w:color w:val="000000" w:themeColor="text1"/>
                <w:sz w:val="18"/>
                <w:lang w:val="en-ZA"/>
              </w:rPr>
              <w:t>Mthonjaneni (KZ285)</w:t>
            </w:r>
          </w:p>
        </w:tc>
        <w:tc>
          <w:tcPr>
            <w:tcW w:w="667"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31AF17E1" w14:textId="77777777" w:rsidR="00D224ED" w:rsidRPr="00D224ED" w:rsidRDefault="00D224ED" w:rsidP="00D224ED">
            <w:pPr>
              <w:spacing w:after="0" w:line="240" w:lineRule="auto"/>
              <w:jc w:val="center"/>
              <w:rPr>
                <w:rFonts w:cs="Calibri"/>
                <w:color w:val="000000" w:themeColor="text1"/>
                <w:sz w:val="18"/>
                <w:lang w:val="en-ZA"/>
              </w:rPr>
            </w:pPr>
            <w:r w:rsidRPr="00D224ED">
              <w:rPr>
                <w:rFonts w:cs="Calibri"/>
                <w:color w:val="000000" w:themeColor="text1"/>
                <w:sz w:val="18"/>
                <w:lang w:val="en-ZA"/>
              </w:rPr>
              <w:t>6056</w:t>
            </w:r>
          </w:p>
        </w:tc>
        <w:tc>
          <w:tcPr>
            <w:tcW w:w="585"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2533E649" w14:textId="77777777" w:rsidR="00D224ED" w:rsidRPr="00D224ED" w:rsidRDefault="00D224ED" w:rsidP="00D224ED">
            <w:pPr>
              <w:spacing w:after="0" w:line="240" w:lineRule="auto"/>
              <w:jc w:val="center"/>
              <w:rPr>
                <w:rFonts w:cs="Calibri"/>
                <w:color w:val="000000" w:themeColor="text1"/>
                <w:sz w:val="18"/>
                <w:lang w:val="en-ZA"/>
              </w:rPr>
            </w:pPr>
            <w:r w:rsidRPr="00D224ED">
              <w:rPr>
                <w:rFonts w:cs="Calibri"/>
                <w:color w:val="000000" w:themeColor="text1"/>
                <w:sz w:val="18"/>
                <w:lang w:val="en-ZA"/>
              </w:rPr>
              <w:t>78%</w:t>
            </w:r>
          </w:p>
        </w:tc>
        <w:tc>
          <w:tcPr>
            <w:tcW w:w="732" w:type="pct"/>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hideMark/>
          </w:tcPr>
          <w:p w14:paraId="5316464D" w14:textId="77777777" w:rsidR="00D224ED" w:rsidRPr="00D224ED" w:rsidRDefault="00D224ED" w:rsidP="00D224ED">
            <w:pPr>
              <w:spacing w:after="0" w:line="240" w:lineRule="auto"/>
              <w:jc w:val="center"/>
              <w:rPr>
                <w:rFonts w:cs="Calibri"/>
                <w:color w:val="000000" w:themeColor="text1"/>
                <w:sz w:val="18"/>
                <w:lang w:val="en-ZA"/>
              </w:rPr>
            </w:pPr>
            <w:r w:rsidRPr="00D224ED">
              <w:rPr>
                <w:rFonts w:cs="Calibri"/>
                <w:color w:val="000000" w:themeColor="text1"/>
                <w:sz w:val="18"/>
                <w:lang w:val="en-ZA"/>
              </w:rPr>
              <w:t>16849</w:t>
            </w:r>
          </w:p>
        </w:tc>
        <w:tc>
          <w:tcPr>
            <w:tcW w:w="675"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1893D244" w14:textId="77777777" w:rsidR="00D224ED" w:rsidRPr="00D224ED" w:rsidRDefault="00D224ED" w:rsidP="00D224ED">
            <w:pPr>
              <w:spacing w:after="0" w:line="240" w:lineRule="auto"/>
              <w:jc w:val="center"/>
              <w:rPr>
                <w:rFonts w:cs="Calibri"/>
                <w:color w:val="000000" w:themeColor="text1"/>
                <w:sz w:val="18"/>
                <w:lang w:val="en-ZA"/>
              </w:rPr>
            </w:pPr>
            <w:r w:rsidRPr="00D224ED">
              <w:rPr>
                <w:rFonts w:cs="Calibri"/>
                <w:color w:val="000000" w:themeColor="text1"/>
                <w:sz w:val="18"/>
                <w:lang w:val="en-ZA"/>
              </w:rPr>
              <w:t>11905</w:t>
            </w:r>
          </w:p>
        </w:tc>
        <w:tc>
          <w:tcPr>
            <w:tcW w:w="585"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79F62975" w14:textId="77777777" w:rsidR="00D224ED" w:rsidRPr="00D224ED" w:rsidRDefault="00D224ED" w:rsidP="00D224ED">
            <w:pPr>
              <w:spacing w:after="0" w:line="240" w:lineRule="auto"/>
              <w:jc w:val="center"/>
              <w:rPr>
                <w:rFonts w:cs="Calibri"/>
                <w:color w:val="000000" w:themeColor="text1"/>
                <w:sz w:val="18"/>
                <w:lang w:val="en-ZA"/>
              </w:rPr>
            </w:pPr>
            <w:r w:rsidRPr="00D224ED">
              <w:rPr>
                <w:rFonts w:cs="Calibri"/>
                <w:color w:val="000000" w:themeColor="text1"/>
                <w:sz w:val="18"/>
                <w:lang w:val="en-ZA"/>
              </w:rPr>
              <w:t>5979</w:t>
            </w:r>
          </w:p>
        </w:tc>
        <w:tc>
          <w:tcPr>
            <w:tcW w:w="763"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73A15487" w14:textId="77777777" w:rsidR="00D224ED" w:rsidRPr="00D224ED" w:rsidRDefault="00D224ED" w:rsidP="00D224ED">
            <w:pPr>
              <w:spacing w:after="0" w:line="240" w:lineRule="auto"/>
              <w:jc w:val="center"/>
              <w:rPr>
                <w:rFonts w:cs="Calibri"/>
                <w:color w:val="000000" w:themeColor="text1"/>
                <w:sz w:val="18"/>
                <w:lang w:val="en-ZA"/>
              </w:rPr>
            </w:pPr>
            <w:r w:rsidRPr="00D224ED">
              <w:rPr>
                <w:rFonts w:cs="Calibri"/>
                <w:color w:val="000000" w:themeColor="text1"/>
                <w:sz w:val="18"/>
                <w:lang w:val="en-ZA"/>
              </w:rPr>
              <w:t>28%</w:t>
            </w:r>
          </w:p>
        </w:tc>
      </w:tr>
      <w:tr w:rsidR="00D224ED" w:rsidRPr="00D224ED" w14:paraId="2E7FFE05" w14:textId="77777777" w:rsidTr="0026453C">
        <w:trPr>
          <w:trHeight w:val="150"/>
        </w:trPr>
        <w:tc>
          <w:tcPr>
            <w:tcW w:w="993"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743535AB" w14:textId="77777777" w:rsidR="00D224ED" w:rsidRPr="00D224ED" w:rsidRDefault="00D224ED" w:rsidP="00D224ED">
            <w:pPr>
              <w:spacing w:after="0" w:line="240" w:lineRule="auto"/>
              <w:rPr>
                <w:rFonts w:cs="Calibri"/>
                <w:color w:val="000000" w:themeColor="text1"/>
                <w:sz w:val="18"/>
                <w:lang w:val="en-ZA"/>
              </w:rPr>
            </w:pPr>
            <w:r w:rsidRPr="00D224ED">
              <w:rPr>
                <w:rFonts w:cs="Calibri"/>
                <w:color w:val="000000" w:themeColor="text1"/>
                <w:sz w:val="18"/>
                <w:lang w:val="en-ZA"/>
              </w:rPr>
              <w:t>Nkandla (KZ286)</w:t>
            </w:r>
          </w:p>
        </w:tc>
        <w:tc>
          <w:tcPr>
            <w:tcW w:w="667"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3858CDC5" w14:textId="77777777" w:rsidR="00D224ED" w:rsidRPr="00D224ED" w:rsidRDefault="00D224ED" w:rsidP="00D224ED">
            <w:pPr>
              <w:spacing w:after="0" w:line="240" w:lineRule="auto"/>
              <w:jc w:val="center"/>
              <w:rPr>
                <w:rFonts w:cs="Calibri"/>
                <w:color w:val="000000" w:themeColor="text1"/>
                <w:sz w:val="18"/>
                <w:lang w:val="en-ZA"/>
              </w:rPr>
            </w:pPr>
            <w:r w:rsidRPr="00D224ED">
              <w:rPr>
                <w:rFonts w:cs="Calibri"/>
                <w:color w:val="000000" w:themeColor="text1"/>
                <w:sz w:val="18"/>
                <w:lang w:val="en-ZA"/>
              </w:rPr>
              <w:t>21085</w:t>
            </w:r>
          </w:p>
        </w:tc>
        <w:tc>
          <w:tcPr>
            <w:tcW w:w="585"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41DAC0BA" w14:textId="77777777" w:rsidR="00D224ED" w:rsidRPr="00D224ED" w:rsidRDefault="00D224ED" w:rsidP="00D224ED">
            <w:pPr>
              <w:spacing w:after="0" w:line="240" w:lineRule="auto"/>
              <w:jc w:val="center"/>
              <w:rPr>
                <w:rFonts w:cs="Calibri"/>
                <w:color w:val="000000" w:themeColor="text1"/>
                <w:sz w:val="18"/>
                <w:lang w:val="en-ZA"/>
              </w:rPr>
            </w:pPr>
            <w:r w:rsidRPr="00D224ED">
              <w:rPr>
                <w:rFonts w:cs="Calibri"/>
                <w:color w:val="000000" w:themeColor="text1"/>
                <w:sz w:val="18"/>
                <w:lang w:val="en-ZA"/>
              </w:rPr>
              <w:t>72%</w:t>
            </w:r>
          </w:p>
        </w:tc>
        <w:tc>
          <w:tcPr>
            <w:tcW w:w="732" w:type="pct"/>
            <w:tcBorders>
              <w:top w:val="single" w:sz="8" w:space="0" w:color="000000"/>
              <w:left w:val="single" w:sz="8" w:space="0" w:color="000000"/>
              <w:bottom w:val="single" w:sz="8" w:space="0" w:color="000000"/>
              <w:right w:val="single" w:sz="8" w:space="0" w:color="000000"/>
            </w:tcBorders>
            <w:shd w:val="clear" w:color="auto" w:fill="auto"/>
            <w:tcMar>
              <w:top w:w="57" w:type="dxa"/>
              <w:left w:w="108" w:type="dxa"/>
              <w:bottom w:w="57" w:type="dxa"/>
              <w:right w:w="108" w:type="dxa"/>
            </w:tcMar>
            <w:hideMark/>
          </w:tcPr>
          <w:p w14:paraId="00208853" w14:textId="77777777" w:rsidR="00D224ED" w:rsidRPr="00D224ED" w:rsidRDefault="00D224ED" w:rsidP="00D224ED">
            <w:pPr>
              <w:spacing w:after="0" w:line="240" w:lineRule="auto"/>
              <w:jc w:val="center"/>
              <w:rPr>
                <w:rFonts w:cs="Calibri"/>
                <w:color w:val="000000" w:themeColor="text1"/>
                <w:sz w:val="18"/>
                <w:lang w:val="en-ZA"/>
              </w:rPr>
            </w:pPr>
            <w:r w:rsidRPr="00D224ED">
              <w:rPr>
                <w:rFonts w:cs="Calibri"/>
                <w:color w:val="000000" w:themeColor="text1"/>
                <w:sz w:val="18"/>
                <w:lang w:val="en-ZA"/>
              </w:rPr>
              <w:t>22463</w:t>
            </w:r>
          </w:p>
        </w:tc>
        <w:tc>
          <w:tcPr>
            <w:tcW w:w="675"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7B1A8914" w14:textId="77777777" w:rsidR="00D224ED" w:rsidRPr="00D224ED" w:rsidRDefault="00D224ED" w:rsidP="00D224ED">
            <w:pPr>
              <w:spacing w:after="0" w:line="240" w:lineRule="auto"/>
              <w:jc w:val="center"/>
              <w:rPr>
                <w:rFonts w:cs="Calibri"/>
                <w:color w:val="000000" w:themeColor="text1"/>
                <w:sz w:val="18"/>
                <w:lang w:val="en-ZA"/>
              </w:rPr>
            </w:pPr>
            <w:r w:rsidRPr="00D224ED">
              <w:rPr>
                <w:rFonts w:cs="Calibri"/>
                <w:color w:val="000000" w:themeColor="text1"/>
                <w:sz w:val="18"/>
                <w:lang w:val="en-ZA"/>
              </w:rPr>
              <w:t>17 781</w:t>
            </w:r>
          </w:p>
        </w:tc>
        <w:tc>
          <w:tcPr>
            <w:tcW w:w="585"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4409B58F" w14:textId="77777777" w:rsidR="00D224ED" w:rsidRPr="00D224ED" w:rsidRDefault="00D224ED" w:rsidP="00D224ED">
            <w:pPr>
              <w:spacing w:after="0" w:line="240" w:lineRule="auto"/>
              <w:jc w:val="center"/>
              <w:rPr>
                <w:rFonts w:cs="Calibri"/>
                <w:color w:val="000000" w:themeColor="text1"/>
                <w:sz w:val="18"/>
                <w:lang w:val="en-ZA"/>
              </w:rPr>
            </w:pPr>
            <w:r w:rsidRPr="00D224ED">
              <w:rPr>
                <w:rFonts w:cs="Calibri"/>
                <w:color w:val="000000" w:themeColor="text1"/>
                <w:sz w:val="18"/>
                <w:lang w:val="en-ZA"/>
              </w:rPr>
              <w:t>7 976</w:t>
            </w:r>
          </w:p>
        </w:tc>
        <w:tc>
          <w:tcPr>
            <w:tcW w:w="763" w:type="pct"/>
            <w:tcBorders>
              <w:top w:val="single" w:sz="8" w:space="0" w:color="000000"/>
              <w:left w:val="single" w:sz="8" w:space="0" w:color="000000"/>
              <w:bottom w:val="single" w:sz="8" w:space="0" w:color="000000"/>
              <w:right w:val="single" w:sz="8" w:space="0" w:color="000000"/>
            </w:tcBorders>
            <w:shd w:val="clear" w:color="auto" w:fill="auto"/>
            <w:tcMar>
              <w:top w:w="28" w:type="dxa"/>
              <w:left w:w="28" w:type="dxa"/>
              <w:bottom w:w="28" w:type="dxa"/>
              <w:right w:w="28" w:type="dxa"/>
            </w:tcMar>
            <w:vAlign w:val="center"/>
            <w:hideMark/>
          </w:tcPr>
          <w:p w14:paraId="43870963" w14:textId="77777777" w:rsidR="00D224ED" w:rsidRPr="00D224ED" w:rsidRDefault="00D224ED" w:rsidP="00D224ED">
            <w:pPr>
              <w:spacing w:after="0" w:line="240" w:lineRule="auto"/>
              <w:jc w:val="center"/>
              <w:rPr>
                <w:rFonts w:cs="Calibri"/>
                <w:color w:val="000000" w:themeColor="text1"/>
                <w:sz w:val="18"/>
                <w:lang w:val="en-ZA"/>
              </w:rPr>
            </w:pPr>
            <w:r w:rsidRPr="00D224ED">
              <w:rPr>
                <w:rFonts w:cs="Calibri"/>
                <w:color w:val="000000" w:themeColor="text1"/>
                <w:sz w:val="18"/>
                <w:lang w:val="en-ZA"/>
              </w:rPr>
              <w:t>31%</w:t>
            </w:r>
          </w:p>
        </w:tc>
      </w:tr>
      <w:tr w:rsidR="00D224ED" w:rsidRPr="00D224ED" w14:paraId="6BF2CA7B" w14:textId="77777777" w:rsidTr="0026453C">
        <w:trPr>
          <w:trHeight w:val="89"/>
        </w:trPr>
        <w:tc>
          <w:tcPr>
            <w:tcW w:w="993" w:type="pct"/>
            <w:tcBorders>
              <w:top w:val="single" w:sz="8" w:space="0" w:color="000000"/>
              <w:left w:val="single" w:sz="8" w:space="0" w:color="000000"/>
              <w:bottom w:val="single" w:sz="8" w:space="0" w:color="000000"/>
              <w:right w:val="single" w:sz="8" w:space="0" w:color="000000"/>
            </w:tcBorders>
            <w:shd w:val="clear" w:color="auto" w:fill="CCCCCC"/>
            <w:tcMar>
              <w:top w:w="28" w:type="dxa"/>
              <w:left w:w="28" w:type="dxa"/>
              <w:bottom w:w="28" w:type="dxa"/>
              <w:right w:w="28" w:type="dxa"/>
            </w:tcMar>
            <w:vAlign w:val="center"/>
            <w:hideMark/>
          </w:tcPr>
          <w:p w14:paraId="7F40E499" w14:textId="77777777" w:rsidR="00D224ED" w:rsidRPr="00D224ED" w:rsidRDefault="00D224ED" w:rsidP="00D224ED">
            <w:pPr>
              <w:spacing w:after="0" w:line="240" w:lineRule="auto"/>
              <w:rPr>
                <w:rFonts w:cs="Calibri"/>
                <w:color w:val="000000" w:themeColor="text1"/>
                <w:sz w:val="18"/>
                <w:lang w:val="en-ZA"/>
              </w:rPr>
            </w:pPr>
            <w:r w:rsidRPr="00D224ED">
              <w:rPr>
                <w:rFonts w:cs="Calibri"/>
                <w:color w:val="000000" w:themeColor="text1"/>
                <w:sz w:val="18"/>
                <w:lang w:val="en-ZA"/>
              </w:rPr>
              <w:t>Total</w:t>
            </w:r>
          </w:p>
        </w:tc>
        <w:tc>
          <w:tcPr>
            <w:tcW w:w="667" w:type="pct"/>
            <w:tcBorders>
              <w:top w:val="single" w:sz="8" w:space="0" w:color="000000"/>
              <w:left w:val="single" w:sz="8" w:space="0" w:color="000000"/>
              <w:bottom w:val="single" w:sz="8" w:space="0" w:color="000000"/>
              <w:right w:val="single" w:sz="8" w:space="0" w:color="000000"/>
            </w:tcBorders>
            <w:shd w:val="clear" w:color="auto" w:fill="CCCCCC"/>
            <w:tcMar>
              <w:top w:w="28" w:type="dxa"/>
              <w:left w:w="28" w:type="dxa"/>
              <w:bottom w:w="28" w:type="dxa"/>
              <w:right w:w="28" w:type="dxa"/>
            </w:tcMar>
            <w:vAlign w:val="center"/>
            <w:hideMark/>
          </w:tcPr>
          <w:p w14:paraId="778EB92A" w14:textId="77777777" w:rsidR="00D224ED" w:rsidRPr="00D224ED" w:rsidRDefault="00D224ED" w:rsidP="00D224ED">
            <w:pPr>
              <w:spacing w:after="0" w:line="240" w:lineRule="auto"/>
              <w:jc w:val="center"/>
              <w:rPr>
                <w:rFonts w:cs="Calibri"/>
                <w:color w:val="000000" w:themeColor="text1"/>
                <w:sz w:val="18"/>
                <w:lang w:val="en-ZA"/>
              </w:rPr>
            </w:pPr>
            <w:r w:rsidRPr="00D224ED">
              <w:rPr>
                <w:rFonts w:cs="Calibri"/>
                <w:color w:val="000000" w:themeColor="text1"/>
                <w:sz w:val="18"/>
                <w:lang w:val="en-ZA"/>
              </w:rPr>
              <w:t>83817</w:t>
            </w:r>
          </w:p>
        </w:tc>
        <w:tc>
          <w:tcPr>
            <w:tcW w:w="585" w:type="pct"/>
            <w:tcBorders>
              <w:top w:val="single" w:sz="8" w:space="0" w:color="000000"/>
              <w:left w:val="single" w:sz="8" w:space="0" w:color="000000"/>
              <w:bottom w:val="single" w:sz="8" w:space="0" w:color="000000"/>
              <w:right w:val="single" w:sz="8" w:space="0" w:color="000000"/>
            </w:tcBorders>
            <w:shd w:val="clear" w:color="auto" w:fill="CCCCCC"/>
            <w:tcMar>
              <w:top w:w="28" w:type="dxa"/>
              <w:left w:w="28" w:type="dxa"/>
              <w:bottom w:w="28" w:type="dxa"/>
              <w:right w:w="28" w:type="dxa"/>
            </w:tcMar>
            <w:vAlign w:val="center"/>
            <w:hideMark/>
          </w:tcPr>
          <w:p w14:paraId="39627C91" w14:textId="77777777" w:rsidR="00D224ED" w:rsidRPr="00D224ED" w:rsidRDefault="00D224ED" w:rsidP="00D224ED">
            <w:pPr>
              <w:spacing w:after="0" w:line="240" w:lineRule="auto"/>
              <w:jc w:val="center"/>
              <w:rPr>
                <w:rFonts w:cs="Calibri"/>
                <w:color w:val="000000" w:themeColor="text1"/>
                <w:sz w:val="18"/>
                <w:lang w:val="en-ZA"/>
              </w:rPr>
            </w:pPr>
            <w:r w:rsidRPr="00D224ED">
              <w:rPr>
                <w:rFonts w:cs="Calibri"/>
                <w:color w:val="000000" w:themeColor="text1"/>
                <w:sz w:val="18"/>
                <w:lang w:val="en-ZA"/>
              </w:rPr>
              <w:t>81%</w:t>
            </w:r>
          </w:p>
        </w:tc>
        <w:tc>
          <w:tcPr>
            <w:tcW w:w="732" w:type="pct"/>
            <w:tcBorders>
              <w:top w:val="single" w:sz="8" w:space="0" w:color="000000"/>
              <w:left w:val="single" w:sz="8" w:space="0" w:color="000000"/>
              <w:bottom w:val="single" w:sz="8" w:space="0" w:color="000000"/>
              <w:right w:val="single" w:sz="8" w:space="0" w:color="000000"/>
            </w:tcBorders>
            <w:shd w:val="clear" w:color="auto" w:fill="CCCCCC"/>
            <w:tcMar>
              <w:top w:w="57" w:type="dxa"/>
              <w:left w:w="108" w:type="dxa"/>
              <w:bottom w:w="57" w:type="dxa"/>
              <w:right w:w="108" w:type="dxa"/>
            </w:tcMar>
            <w:hideMark/>
          </w:tcPr>
          <w:p w14:paraId="12518758" w14:textId="77777777" w:rsidR="00D224ED" w:rsidRPr="00D224ED" w:rsidRDefault="00D224ED" w:rsidP="00D224ED">
            <w:pPr>
              <w:spacing w:after="0" w:line="240" w:lineRule="auto"/>
              <w:jc w:val="center"/>
              <w:rPr>
                <w:rFonts w:cs="Calibri"/>
                <w:color w:val="000000" w:themeColor="text1"/>
                <w:sz w:val="18"/>
                <w:lang w:val="en-ZA"/>
              </w:rPr>
            </w:pPr>
            <w:r w:rsidRPr="00D224ED">
              <w:rPr>
                <w:rFonts w:cs="Calibri"/>
                <w:color w:val="000000" w:themeColor="text1"/>
                <w:sz w:val="18"/>
                <w:lang w:val="en-ZA"/>
              </w:rPr>
              <w:t>116368</w:t>
            </w:r>
          </w:p>
        </w:tc>
        <w:tc>
          <w:tcPr>
            <w:tcW w:w="675" w:type="pct"/>
            <w:tcBorders>
              <w:top w:val="single" w:sz="8" w:space="0" w:color="000000"/>
              <w:left w:val="single" w:sz="8" w:space="0" w:color="000000"/>
              <w:bottom w:val="single" w:sz="8" w:space="0" w:color="000000"/>
              <w:right w:val="single" w:sz="8" w:space="0" w:color="000000"/>
            </w:tcBorders>
            <w:shd w:val="clear" w:color="auto" w:fill="CCCCCC"/>
            <w:tcMar>
              <w:top w:w="28" w:type="dxa"/>
              <w:left w:w="28" w:type="dxa"/>
              <w:bottom w:w="28" w:type="dxa"/>
              <w:right w:w="28" w:type="dxa"/>
            </w:tcMar>
            <w:vAlign w:val="center"/>
            <w:hideMark/>
          </w:tcPr>
          <w:p w14:paraId="5CC1E514" w14:textId="77777777" w:rsidR="00D224ED" w:rsidRPr="00D224ED" w:rsidRDefault="00D224ED" w:rsidP="00D224ED">
            <w:pPr>
              <w:spacing w:after="0" w:line="240" w:lineRule="auto"/>
              <w:jc w:val="center"/>
              <w:rPr>
                <w:rFonts w:cs="Calibri"/>
                <w:color w:val="000000" w:themeColor="text1"/>
                <w:sz w:val="18"/>
                <w:lang w:val="en-ZA"/>
              </w:rPr>
            </w:pPr>
            <w:r w:rsidRPr="00D224ED">
              <w:rPr>
                <w:rFonts w:cs="Calibri"/>
                <w:color w:val="000000" w:themeColor="text1"/>
                <w:sz w:val="18"/>
                <w:lang w:val="en-ZA"/>
              </w:rPr>
              <w:t>86034</w:t>
            </w:r>
          </w:p>
        </w:tc>
        <w:tc>
          <w:tcPr>
            <w:tcW w:w="585" w:type="pct"/>
            <w:tcBorders>
              <w:top w:val="single" w:sz="8" w:space="0" w:color="000000"/>
              <w:left w:val="single" w:sz="8" w:space="0" w:color="000000"/>
              <w:bottom w:val="single" w:sz="8" w:space="0" w:color="000000"/>
              <w:right w:val="single" w:sz="8" w:space="0" w:color="000000"/>
            </w:tcBorders>
            <w:shd w:val="clear" w:color="auto" w:fill="CCCCCC"/>
            <w:tcMar>
              <w:top w:w="28" w:type="dxa"/>
              <w:left w:w="28" w:type="dxa"/>
              <w:bottom w:w="28" w:type="dxa"/>
              <w:right w:w="28" w:type="dxa"/>
            </w:tcMar>
            <w:vAlign w:val="center"/>
            <w:hideMark/>
          </w:tcPr>
          <w:p w14:paraId="157E0D41" w14:textId="77777777" w:rsidR="00D224ED" w:rsidRPr="00D224ED" w:rsidRDefault="00D224ED" w:rsidP="00D224ED">
            <w:pPr>
              <w:spacing w:after="0" w:line="240" w:lineRule="auto"/>
              <w:jc w:val="center"/>
              <w:rPr>
                <w:rFonts w:cs="Calibri"/>
                <w:color w:val="000000" w:themeColor="text1"/>
                <w:sz w:val="18"/>
                <w:lang w:val="en-ZA"/>
              </w:rPr>
            </w:pPr>
            <w:r w:rsidRPr="00D224ED">
              <w:rPr>
                <w:rFonts w:cs="Calibri"/>
                <w:color w:val="000000" w:themeColor="text1"/>
                <w:sz w:val="18"/>
                <w:lang w:val="en-ZA"/>
              </w:rPr>
              <w:t>29012</w:t>
            </w:r>
          </w:p>
        </w:tc>
        <w:tc>
          <w:tcPr>
            <w:tcW w:w="763" w:type="pct"/>
            <w:tcBorders>
              <w:top w:val="single" w:sz="8" w:space="0" w:color="000000"/>
              <w:left w:val="single" w:sz="8" w:space="0" w:color="000000"/>
              <w:bottom w:val="single" w:sz="8" w:space="0" w:color="000000"/>
              <w:right w:val="single" w:sz="8" w:space="0" w:color="000000"/>
            </w:tcBorders>
            <w:shd w:val="clear" w:color="auto" w:fill="CCCCCC"/>
            <w:tcMar>
              <w:top w:w="28" w:type="dxa"/>
              <w:left w:w="28" w:type="dxa"/>
              <w:bottom w:w="28" w:type="dxa"/>
              <w:right w:w="28" w:type="dxa"/>
            </w:tcMar>
            <w:vAlign w:val="center"/>
            <w:hideMark/>
          </w:tcPr>
          <w:p w14:paraId="1FCF3A0D" w14:textId="77777777" w:rsidR="00D224ED" w:rsidRPr="00D224ED" w:rsidRDefault="00D224ED" w:rsidP="00D224ED">
            <w:pPr>
              <w:spacing w:after="0" w:line="240" w:lineRule="auto"/>
              <w:jc w:val="center"/>
              <w:rPr>
                <w:rFonts w:cs="Calibri"/>
                <w:color w:val="000000" w:themeColor="text1"/>
                <w:sz w:val="18"/>
                <w:lang w:val="en-ZA"/>
              </w:rPr>
            </w:pPr>
            <w:r w:rsidRPr="00D224ED">
              <w:rPr>
                <w:rFonts w:cs="Calibri"/>
                <w:color w:val="000000" w:themeColor="text1"/>
                <w:sz w:val="18"/>
                <w:lang w:val="en-ZA"/>
              </w:rPr>
              <w:t>26.1%</w:t>
            </w:r>
          </w:p>
        </w:tc>
      </w:tr>
    </w:tbl>
    <w:p w14:paraId="47D4DBF4" w14:textId="6802F1CC" w:rsidR="00D224ED" w:rsidRDefault="0026453C" w:rsidP="0026453C">
      <w:pPr>
        <w:pStyle w:val="Caption"/>
      </w:pPr>
      <w:bookmarkStart w:id="356" w:name="_Toc510622295"/>
      <w:r>
        <w:t xml:space="preserve">Table </w:t>
      </w:r>
      <w:r w:rsidR="00B918A6">
        <w:fldChar w:fldCharType="begin"/>
      </w:r>
      <w:r w:rsidR="00B918A6">
        <w:instrText xml:space="preserve"> SEQ Table \* ARABIC </w:instrText>
      </w:r>
      <w:r w:rsidR="00B918A6">
        <w:fldChar w:fldCharType="separate"/>
      </w:r>
      <w:r w:rsidR="0067023A">
        <w:rPr>
          <w:noProof/>
        </w:rPr>
        <w:t>45</w:t>
      </w:r>
      <w:r w:rsidR="00B918A6">
        <w:rPr>
          <w:noProof/>
        </w:rPr>
        <w:fldChar w:fldCharType="end"/>
      </w:r>
      <w:r>
        <w:t>: Water Backlogs</w:t>
      </w:r>
      <w:bookmarkEnd w:id="356"/>
    </w:p>
    <w:tbl>
      <w:tblPr>
        <w:tblStyle w:val="TableGrid13"/>
        <w:tblW w:w="5028" w:type="pct"/>
        <w:tblLook w:val="0600" w:firstRow="0" w:lastRow="0" w:firstColumn="0" w:lastColumn="0" w:noHBand="1" w:noVBand="1"/>
      </w:tblPr>
      <w:tblGrid>
        <w:gridCol w:w="1498"/>
        <w:gridCol w:w="1259"/>
        <w:gridCol w:w="1301"/>
        <w:gridCol w:w="1392"/>
        <w:gridCol w:w="1497"/>
        <w:gridCol w:w="1437"/>
        <w:gridCol w:w="1299"/>
      </w:tblGrid>
      <w:tr w:rsidR="0026453C" w:rsidRPr="0026453C" w14:paraId="3F0FE195" w14:textId="77777777" w:rsidTr="0026453C">
        <w:trPr>
          <w:trHeight w:val="421"/>
        </w:trPr>
        <w:tc>
          <w:tcPr>
            <w:tcW w:w="773" w:type="pct"/>
            <w:shd w:val="clear" w:color="auto" w:fill="BFBFBF" w:themeFill="background1" w:themeFillShade="BF"/>
            <w:hideMark/>
          </w:tcPr>
          <w:p w14:paraId="2AB9AFBC" w14:textId="469790DF" w:rsidR="0026453C" w:rsidRPr="0026453C" w:rsidRDefault="0026453C" w:rsidP="0026453C">
            <w:pPr>
              <w:rPr>
                <w:rFonts w:eastAsiaTheme="minorHAnsi" w:cs="Calibri"/>
                <w:b/>
                <w:color w:val="000000" w:themeColor="text1"/>
                <w:sz w:val="18"/>
                <w:szCs w:val="22"/>
                <w:lang w:val="en-ZA"/>
              </w:rPr>
            </w:pPr>
            <w:r w:rsidRPr="0026453C">
              <w:rPr>
                <w:rFonts w:eastAsiaTheme="minorHAnsi" w:cs="Calibri"/>
                <w:b/>
                <w:color w:val="000000" w:themeColor="text1"/>
                <w:sz w:val="18"/>
                <w:szCs w:val="22"/>
                <w:lang w:val="en-ZA"/>
              </w:rPr>
              <w:br/>
              <w:t>Municipality</w:t>
            </w:r>
          </w:p>
        </w:tc>
        <w:tc>
          <w:tcPr>
            <w:tcW w:w="650" w:type="pct"/>
            <w:shd w:val="clear" w:color="auto" w:fill="BFBFBF" w:themeFill="background1" w:themeFillShade="BF"/>
            <w:hideMark/>
          </w:tcPr>
          <w:p w14:paraId="30978D39" w14:textId="77777777" w:rsidR="0026453C" w:rsidRPr="0026453C" w:rsidRDefault="0026453C" w:rsidP="0026453C">
            <w:pPr>
              <w:jc w:val="center"/>
              <w:rPr>
                <w:rFonts w:eastAsiaTheme="minorHAnsi" w:cs="Calibri"/>
                <w:b/>
                <w:color w:val="000000" w:themeColor="text1"/>
                <w:sz w:val="18"/>
                <w:szCs w:val="22"/>
                <w:lang w:val="en-ZA"/>
              </w:rPr>
            </w:pPr>
            <w:r w:rsidRPr="0026453C">
              <w:rPr>
                <w:rFonts w:eastAsiaTheme="minorHAnsi" w:cs="Calibri"/>
                <w:b/>
                <w:color w:val="000000" w:themeColor="text1"/>
                <w:sz w:val="18"/>
                <w:lang w:val="en-ZA"/>
              </w:rPr>
              <w:t>2001 / 2002 Households</w:t>
            </w:r>
          </w:p>
        </w:tc>
        <w:tc>
          <w:tcPr>
            <w:tcW w:w="672" w:type="pct"/>
            <w:shd w:val="clear" w:color="auto" w:fill="BFBFBF" w:themeFill="background1" w:themeFillShade="BF"/>
            <w:hideMark/>
          </w:tcPr>
          <w:p w14:paraId="411199F3" w14:textId="77777777" w:rsidR="0026453C" w:rsidRPr="0026453C" w:rsidRDefault="0026453C" w:rsidP="0026453C">
            <w:pPr>
              <w:jc w:val="center"/>
              <w:rPr>
                <w:rFonts w:eastAsiaTheme="minorHAnsi" w:cs="Calibri"/>
                <w:b/>
                <w:color w:val="000000" w:themeColor="text1"/>
                <w:sz w:val="18"/>
                <w:szCs w:val="22"/>
                <w:lang w:val="en-ZA"/>
              </w:rPr>
            </w:pPr>
            <w:r w:rsidRPr="0026453C">
              <w:rPr>
                <w:rFonts w:eastAsiaTheme="minorHAnsi" w:cs="Calibri"/>
                <w:b/>
                <w:color w:val="000000" w:themeColor="text1"/>
                <w:sz w:val="18"/>
                <w:lang w:val="en-ZA"/>
              </w:rPr>
              <w:t xml:space="preserve">2001/2002 </w:t>
            </w:r>
          </w:p>
          <w:p w14:paraId="5B4BDBBD" w14:textId="77777777" w:rsidR="0026453C" w:rsidRPr="0026453C" w:rsidRDefault="0026453C" w:rsidP="0026453C">
            <w:pPr>
              <w:jc w:val="center"/>
              <w:rPr>
                <w:rFonts w:eastAsiaTheme="minorHAnsi" w:cs="Calibri"/>
                <w:b/>
                <w:color w:val="000000" w:themeColor="text1"/>
                <w:sz w:val="18"/>
                <w:szCs w:val="22"/>
                <w:lang w:val="en-ZA"/>
              </w:rPr>
            </w:pPr>
            <w:r w:rsidRPr="0026453C">
              <w:rPr>
                <w:rFonts w:eastAsiaTheme="minorHAnsi" w:cs="Calibri"/>
                <w:b/>
                <w:color w:val="000000" w:themeColor="text1"/>
                <w:sz w:val="18"/>
                <w:lang w:val="en-ZA"/>
              </w:rPr>
              <w:t>% Backlog</w:t>
            </w:r>
          </w:p>
        </w:tc>
        <w:tc>
          <w:tcPr>
            <w:tcW w:w="719" w:type="pct"/>
            <w:shd w:val="clear" w:color="auto" w:fill="BFBFBF" w:themeFill="background1" w:themeFillShade="BF"/>
            <w:hideMark/>
          </w:tcPr>
          <w:p w14:paraId="0839C10C" w14:textId="77777777" w:rsidR="0026453C" w:rsidRPr="0026453C" w:rsidRDefault="0026453C" w:rsidP="0026453C">
            <w:pPr>
              <w:jc w:val="center"/>
              <w:rPr>
                <w:rFonts w:eastAsiaTheme="minorHAnsi" w:cs="Calibri"/>
                <w:b/>
                <w:color w:val="000000" w:themeColor="text1"/>
                <w:sz w:val="18"/>
                <w:szCs w:val="22"/>
                <w:lang w:val="en-ZA"/>
              </w:rPr>
            </w:pPr>
            <w:r w:rsidRPr="0026453C">
              <w:rPr>
                <w:rFonts w:eastAsiaTheme="minorHAnsi" w:cs="Calibri"/>
                <w:b/>
                <w:color w:val="000000" w:themeColor="text1"/>
                <w:sz w:val="18"/>
                <w:lang w:val="en-ZA"/>
              </w:rPr>
              <w:t>2011 Households</w:t>
            </w:r>
          </w:p>
        </w:tc>
        <w:tc>
          <w:tcPr>
            <w:tcW w:w="773" w:type="pct"/>
            <w:shd w:val="clear" w:color="auto" w:fill="BFBFBF" w:themeFill="background1" w:themeFillShade="BF"/>
            <w:hideMark/>
          </w:tcPr>
          <w:p w14:paraId="2AAFA59A" w14:textId="77777777" w:rsidR="0026453C" w:rsidRPr="0026453C" w:rsidRDefault="0026453C" w:rsidP="0026453C">
            <w:pPr>
              <w:jc w:val="center"/>
              <w:rPr>
                <w:rFonts w:eastAsiaTheme="minorHAnsi" w:cs="Calibri"/>
                <w:b/>
                <w:color w:val="000000" w:themeColor="text1"/>
                <w:sz w:val="18"/>
                <w:szCs w:val="22"/>
                <w:lang w:val="en-ZA"/>
              </w:rPr>
            </w:pPr>
            <w:r w:rsidRPr="0026453C">
              <w:rPr>
                <w:rFonts w:eastAsiaTheme="minorHAnsi" w:cs="Calibri"/>
                <w:b/>
                <w:color w:val="000000" w:themeColor="text1"/>
                <w:sz w:val="18"/>
                <w:lang w:val="en-ZA"/>
              </w:rPr>
              <w:t>Households with Sanitation</w:t>
            </w:r>
          </w:p>
        </w:tc>
        <w:tc>
          <w:tcPr>
            <w:tcW w:w="742" w:type="pct"/>
            <w:shd w:val="clear" w:color="auto" w:fill="BFBFBF" w:themeFill="background1" w:themeFillShade="BF"/>
            <w:hideMark/>
          </w:tcPr>
          <w:p w14:paraId="2F70E049" w14:textId="77777777" w:rsidR="0026453C" w:rsidRPr="0026453C" w:rsidRDefault="0026453C" w:rsidP="0026453C">
            <w:pPr>
              <w:jc w:val="center"/>
              <w:rPr>
                <w:rFonts w:eastAsiaTheme="minorHAnsi" w:cs="Calibri"/>
                <w:b/>
                <w:color w:val="000000" w:themeColor="text1"/>
                <w:sz w:val="18"/>
                <w:szCs w:val="22"/>
                <w:lang w:val="en-ZA"/>
              </w:rPr>
            </w:pPr>
            <w:r w:rsidRPr="0026453C">
              <w:rPr>
                <w:rFonts w:eastAsiaTheme="minorHAnsi" w:cs="Calibri"/>
                <w:b/>
                <w:color w:val="000000" w:themeColor="text1"/>
                <w:sz w:val="18"/>
                <w:lang w:val="en-ZA"/>
              </w:rPr>
              <w:t>Households without Sanitation</w:t>
            </w:r>
          </w:p>
        </w:tc>
        <w:tc>
          <w:tcPr>
            <w:tcW w:w="672" w:type="pct"/>
            <w:shd w:val="clear" w:color="auto" w:fill="BFBFBF" w:themeFill="background1" w:themeFillShade="BF"/>
            <w:hideMark/>
          </w:tcPr>
          <w:p w14:paraId="1859141C" w14:textId="77777777" w:rsidR="0026453C" w:rsidRPr="0026453C" w:rsidRDefault="0026453C" w:rsidP="0026453C">
            <w:pPr>
              <w:jc w:val="center"/>
              <w:rPr>
                <w:rFonts w:eastAsiaTheme="minorHAnsi" w:cs="Calibri"/>
                <w:b/>
                <w:color w:val="000000" w:themeColor="text1"/>
                <w:sz w:val="18"/>
                <w:szCs w:val="22"/>
                <w:lang w:val="en-ZA"/>
              </w:rPr>
            </w:pPr>
            <w:r w:rsidRPr="0026453C">
              <w:rPr>
                <w:rFonts w:eastAsiaTheme="minorHAnsi" w:cs="Calibri"/>
                <w:b/>
                <w:color w:val="000000" w:themeColor="text1"/>
                <w:sz w:val="18"/>
                <w:lang w:val="en-ZA"/>
              </w:rPr>
              <w:t>2015/2016</w:t>
            </w:r>
          </w:p>
          <w:p w14:paraId="2C652381" w14:textId="77777777" w:rsidR="0026453C" w:rsidRPr="0026453C" w:rsidRDefault="0026453C" w:rsidP="0026453C">
            <w:pPr>
              <w:jc w:val="center"/>
              <w:rPr>
                <w:rFonts w:eastAsiaTheme="minorHAnsi" w:cs="Calibri"/>
                <w:b/>
                <w:color w:val="000000" w:themeColor="text1"/>
                <w:sz w:val="18"/>
                <w:szCs w:val="22"/>
                <w:lang w:val="en-ZA"/>
              </w:rPr>
            </w:pPr>
            <w:r w:rsidRPr="0026453C">
              <w:rPr>
                <w:rFonts w:eastAsiaTheme="minorHAnsi" w:cs="Calibri"/>
                <w:b/>
                <w:color w:val="000000" w:themeColor="text1"/>
                <w:sz w:val="18"/>
                <w:lang w:val="en-ZA"/>
              </w:rPr>
              <w:t xml:space="preserve">% Backlog </w:t>
            </w:r>
          </w:p>
        </w:tc>
      </w:tr>
      <w:tr w:rsidR="0026453C" w:rsidRPr="0026453C" w14:paraId="6C78BBBF" w14:textId="77777777" w:rsidTr="0026453C">
        <w:trPr>
          <w:trHeight w:val="56"/>
        </w:trPr>
        <w:tc>
          <w:tcPr>
            <w:tcW w:w="773" w:type="pct"/>
            <w:hideMark/>
          </w:tcPr>
          <w:p w14:paraId="5F4DE32C" w14:textId="77777777" w:rsidR="0026453C" w:rsidRPr="0026453C" w:rsidRDefault="0026453C" w:rsidP="0026453C">
            <w:pPr>
              <w:rPr>
                <w:rFonts w:eastAsiaTheme="minorHAnsi" w:cs="Calibri"/>
                <w:color w:val="000000" w:themeColor="text1"/>
                <w:sz w:val="18"/>
                <w:szCs w:val="22"/>
                <w:lang w:val="en-ZA"/>
              </w:rPr>
            </w:pPr>
            <w:r w:rsidRPr="0026453C">
              <w:rPr>
                <w:rFonts w:eastAsiaTheme="minorHAnsi" w:cs="Calibri"/>
                <w:color w:val="000000" w:themeColor="text1"/>
                <w:sz w:val="18"/>
                <w:lang w:val="en-ZA"/>
              </w:rPr>
              <w:t>uMfolozi (KZ281)</w:t>
            </w:r>
          </w:p>
        </w:tc>
        <w:tc>
          <w:tcPr>
            <w:tcW w:w="650" w:type="pct"/>
            <w:hideMark/>
          </w:tcPr>
          <w:p w14:paraId="4A110B37" w14:textId="77777777" w:rsidR="0026453C" w:rsidRPr="0026453C" w:rsidRDefault="0026453C" w:rsidP="0026453C">
            <w:pPr>
              <w:jc w:val="center"/>
              <w:rPr>
                <w:rFonts w:eastAsiaTheme="minorHAnsi" w:cs="Calibri"/>
                <w:color w:val="000000" w:themeColor="text1"/>
                <w:sz w:val="18"/>
                <w:szCs w:val="22"/>
                <w:lang w:val="en-ZA"/>
              </w:rPr>
            </w:pPr>
            <w:r w:rsidRPr="0026453C">
              <w:rPr>
                <w:rFonts w:eastAsiaTheme="minorHAnsi" w:cs="Calibri"/>
                <w:color w:val="000000" w:themeColor="text1"/>
                <w:sz w:val="18"/>
                <w:lang w:val="en-ZA"/>
              </w:rPr>
              <w:t>12664</w:t>
            </w:r>
          </w:p>
        </w:tc>
        <w:tc>
          <w:tcPr>
            <w:tcW w:w="672" w:type="pct"/>
            <w:hideMark/>
          </w:tcPr>
          <w:p w14:paraId="0AE81CF8" w14:textId="77777777" w:rsidR="0026453C" w:rsidRPr="0026453C" w:rsidRDefault="0026453C" w:rsidP="0026453C">
            <w:pPr>
              <w:jc w:val="center"/>
              <w:rPr>
                <w:rFonts w:eastAsiaTheme="minorHAnsi" w:cs="Calibri"/>
                <w:color w:val="000000" w:themeColor="text1"/>
                <w:sz w:val="18"/>
                <w:szCs w:val="22"/>
                <w:lang w:val="en-ZA"/>
              </w:rPr>
            </w:pPr>
            <w:r w:rsidRPr="0026453C">
              <w:rPr>
                <w:rFonts w:eastAsiaTheme="minorHAnsi" w:cs="Calibri"/>
                <w:color w:val="000000" w:themeColor="text1"/>
                <w:sz w:val="18"/>
                <w:lang w:val="en-ZA"/>
              </w:rPr>
              <w:t>99.00%</w:t>
            </w:r>
          </w:p>
        </w:tc>
        <w:tc>
          <w:tcPr>
            <w:tcW w:w="719" w:type="pct"/>
            <w:hideMark/>
          </w:tcPr>
          <w:p w14:paraId="05ABFD5C" w14:textId="77777777" w:rsidR="0026453C" w:rsidRPr="0026453C" w:rsidRDefault="0026453C" w:rsidP="0026453C">
            <w:pPr>
              <w:jc w:val="center"/>
              <w:rPr>
                <w:rFonts w:eastAsiaTheme="minorHAnsi" w:cs="Calibri"/>
                <w:color w:val="000000" w:themeColor="text1"/>
                <w:sz w:val="18"/>
                <w:szCs w:val="22"/>
                <w:lang w:val="en-ZA"/>
              </w:rPr>
            </w:pPr>
            <w:r w:rsidRPr="0026453C">
              <w:rPr>
                <w:rFonts w:eastAsiaTheme="minorHAnsi" w:cs="Calibri"/>
                <w:color w:val="000000" w:themeColor="text1"/>
                <w:sz w:val="18"/>
                <w:lang w:val="en-ZA"/>
              </w:rPr>
              <w:t>25584</w:t>
            </w:r>
          </w:p>
        </w:tc>
        <w:tc>
          <w:tcPr>
            <w:tcW w:w="773" w:type="pct"/>
            <w:hideMark/>
          </w:tcPr>
          <w:p w14:paraId="32236CCB" w14:textId="77777777" w:rsidR="0026453C" w:rsidRPr="0026453C" w:rsidRDefault="0026453C" w:rsidP="0026453C">
            <w:pPr>
              <w:jc w:val="center"/>
              <w:rPr>
                <w:rFonts w:eastAsiaTheme="minorHAnsi" w:cs="Calibri"/>
                <w:color w:val="000000" w:themeColor="text1"/>
                <w:sz w:val="18"/>
                <w:szCs w:val="22"/>
                <w:lang w:val="en-ZA"/>
              </w:rPr>
            </w:pPr>
            <w:r w:rsidRPr="0026453C">
              <w:rPr>
                <w:rFonts w:eastAsiaTheme="minorHAnsi" w:cs="Calibri"/>
                <w:color w:val="000000" w:themeColor="text1"/>
                <w:sz w:val="18"/>
                <w:lang w:val="en-ZA"/>
              </w:rPr>
              <w:t>25584</w:t>
            </w:r>
          </w:p>
        </w:tc>
        <w:tc>
          <w:tcPr>
            <w:tcW w:w="742" w:type="pct"/>
            <w:hideMark/>
          </w:tcPr>
          <w:p w14:paraId="14116E55" w14:textId="77777777" w:rsidR="0026453C" w:rsidRPr="0026453C" w:rsidRDefault="0026453C" w:rsidP="0026453C">
            <w:pPr>
              <w:jc w:val="center"/>
              <w:rPr>
                <w:rFonts w:eastAsiaTheme="minorHAnsi" w:cs="Calibri"/>
                <w:color w:val="000000" w:themeColor="text1"/>
                <w:sz w:val="18"/>
                <w:szCs w:val="22"/>
                <w:lang w:val="en-ZA"/>
              </w:rPr>
            </w:pPr>
            <w:r w:rsidRPr="0026453C">
              <w:rPr>
                <w:rFonts w:eastAsiaTheme="minorHAnsi" w:cs="Calibri"/>
                <w:color w:val="000000" w:themeColor="text1"/>
                <w:sz w:val="18"/>
                <w:lang w:val="en-ZA"/>
              </w:rPr>
              <w:t>0</w:t>
            </w:r>
          </w:p>
        </w:tc>
        <w:tc>
          <w:tcPr>
            <w:tcW w:w="672" w:type="pct"/>
            <w:hideMark/>
          </w:tcPr>
          <w:p w14:paraId="7BC26A66" w14:textId="77777777" w:rsidR="0026453C" w:rsidRPr="0026453C" w:rsidRDefault="0026453C" w:rsidP="0026453C">
            <w:pPr>
              <w:jc w:val="center"/>
              <w:rPr>
                <w:rFonts w:eastAsiaTheme="minorHAnsi" w:cs="Calibri"/>
                <w:color w:val="000000" w:themeColor="text1"/>
                <w:sz w:val="18"/>
                <w:szCs w:val="22"/>
                <w:lang w:val="en-ZA"/>
              </w:rPr>
            </w:pPr>
            <w:r w:rsidRPr="0026453C">
              <w:rPr>
                <w:rFonts w:eastAsiaTheme="minorHAnsi" w:cs="Calibri"/>
                <w:color w:val="000000" w:themeColor="text1"/>
                <w:sz w:val="18"/>
                <w:lang w:val="en-ZA"/>
              </w:rPr>
              <w:t xml:space="preserve">INFILLS </w:t>
            </w:r>
          </w:p>
        </w:tc>
      </w:tr>
      <w:tr w:rsidR="0026453C" w:rsidRPr="0026453C" w14:paraId="50725336" w14:textId="77777777" w:rsidTr="0026453C">
        <w:trPr>
          <w:trHeight w:val="94"/>
        </w:trPr>
        <w:tc>
          <w:tcPr>
            <w:tcW w:w="773" w:type="pct"/>
            <w:hideMark/>
          </w:tcPr>
          <w:p w14:paraId="6EC76F6B" w14:textId="77777777" w:rsidR="0026453C" w:rsidRPr="00B06FA0" w:rsidRDefault="0026453C" w:rsidP="0026453C">
            <w:pPr>
              <w:rPr>
                <w:rFonts w:eastAsiaTheme="minorHAnsi" w:cs="Calibri"/>
                <w:b/>
                <w:color w:val="00B050"/>
                <w:sz w:val="18"/>
                <w:szCs w:val="22"/>
                <w:lang w:val="en-ZA"/>
              </w:rPr>
            </w:pPr>
            <w:r w:rsidRPr="00B06FA0">
              <w:rPr>
                <w:rFonts w:eastAsiaTheme="minorHAnsi" w:cs="Calibri"/>
                <w:b/>
                <w:color w:val="00B050"/>
                <w:sz w:val="18"/>
                <w:lang w:val="en-ZA"/>
              </w:rPr>
              <w:t>uMlalazi (KZ284)</w:t>
            </w:r>
          </w:p>
        </w:tc>
        <w:tc>
          <w:tcPr>
            <w:tcW w:w="650" w:type="pct"/>
            <w:hideMark/>
          </w:tcPr>
          <w:p w14:paraId="740A3E66" w14:textId="77777777" w:rsidR="0026453C" w:rsidRPr="00B06FA0" w:rsidRDefault="0026453C" w:rsidP="0026453C">
            <w:pPr>
              <w:jc w:val="center"/>
              <w:rPr>
                <w:rFonts w:eastAsiaTheme="minorHAnsi" w:cs="Calibri"/>
                <w:b/>
                <w:color w:val="00B050"/>
                <w:sz w:val="18"/>
                <w:szCs w:val="22"/>
                <w:lang w:val="en-ZA"/>
              </w:rPr>
            </w:pPr>
            <w:r w:rsidRPr="00B06FA0">
              <w:rPr>
                <w:rFonts w:eastAsiaTheme="minorHAnsi" w:cs="Calibri"/>
                <w:b/>
                <w:color w:val="00B050"/>
                <w:sz w:val="18"/>
                <w:lang w:val="en-ZA"/>
              </w:rPr>
              <w:t>34484</w:t>
            </w:r>
          </w:p>
        </w:tc>
        <w:tc>
          <w:tcPr>
            <w:tcW w:w="672" w:type="pct"/>
            <w:hideMark/>
          </w:tcPr>
          <w:p w14:paraId="4808C9DD" w14:textId="77777777" w:rsidR="0026453C" w:rsidRPr="00B06FA0" w:rsidRDefault="0026453C" w:rsidP="0026453C">
            <w:pPr>
              <w:jc w:val="center"/>
              <w:rPr>
                <w:rFonts w:eastAsiaTheme="minorHAnsi" w:cs="Calibri"/>
                <w:b/>
                <w:color w:val="00B050"/>
                <w:sz w:val="18"/>
                <w:szCs w:val="22"/>
                <w:lang w:val="en-ZA"/>
              </w:rPr>
            </w:pPr>
            <w:r w:rsidRPr="00B06FA0">
              <w:rPr>
                <w:rFonts w:eastAsiaTheme="minorHAnsi" w:cs="Calibri"/>
                <w:b/>
                <w:color w:val="00B050"/>
                <w:sz w:val="18"/>
                <w:lang w:val="en-ZA"/>
              </w:rPr>
              <w:t>85%</w:t>
            </w:r>
          </w:p>
        </w:tc>
        <w:tc>
          <w:tcPr>
            <w:tcW w:w="719" w:type="pct"/>
            <w:hideMark/>
          </w:tcPr>
          <w:p w14:paraId="1434F20A" w14:textId="77777777" w:rsidR="0026453C" w:rsidRPr="00B06FA0" w:rsidRDefault="0026453C" w:rsidP="0026453C">
            <w:pPr>
              <w:jc w:val="center"/>
              <w:rPr>
                <w:rFonts w:eastAsiaTheme="minorHAnsi" w:cs="Calibri"/>
                <w:b/>
                <w:color w:val="00B050"/>
                <w:sz w:val="18"/>
                <w:szCs w:val="22"/>
                <w:lang w:val="en-ZA"/>
              </w:rPr>
            </w:pPr>
            <w:r w:rsidRPr="00B06FA0">
              <w:rPr>
                <w:rFonts w:eastAsiaTheme="minorHAnsi" w:cs="Calibri"/>
                <w:b/>
                <w:color w:val="00B050"/>
                <w:sz w:val="18"/>
                <w:lang w:val="en-ZA"/>
              </w:rPr>
              <w:t>45062</w:t>
            </w:r>
          </w:p>
        </w:tc>
        <w:tc>
          <w:tcPr>
            <w:tcW w:w="773" w:type="pct"/>
            <w:hideMark/>
          </w:tcPr>
          <w:p w14:paraId="4E361970" w14:textId="77777777" w:rsidR="0026453C" w:rsidRPr="00B06FA0" w:rsidRDefault="0026453C" w:rsidP="0026453C">
            <w:pPr>
              <w:jc w:val="center"/>
              <w:rPr>
                <w:rFonts w:eastAsiaTheme="minorHAnsi" w:cs="Calibri"/>
                <w:b/>
                <w:color w:val="00B050"/>
                <w:sz w:val="18"/>
                <w:szCs w:val="22"/>
                <w:lang w:val="en-ZA"/>
              </w:rPr>
            </w:pPr>
            <w:r w:rsidRPr="00B06FA0">
              <w:rPr>
                <w:rFonts w:eastAsiaTheme="minorHAnsi" w:cs="Calibri"/>
                <w:b/>
                <w:color w:val="00B050"/>
                <w:sz w:val="18"/>
                <w:lang w:val="en-ZA"/>
              </w:rPr>
              <w:t xml:space="preserve">35891 </w:t>
            </w:r>
          </w:p>
        </w:tc>
        <w:tc>
          <w:tcPr>
            <w:tcW w:w="742" w:type="pct"/>
            <w:hideMark/>
          </w:tcPr>
          <w:p w14:paraId="0C7AB32F" w14:textId="77777777" w:rsidR="0026453C" w:rsidRPr="00B06FA0" w:rsidRDefault="0026453C" w:rsidP="0026453C">
            <w:pPr>
              <w:jc w:val="center"/>
              <w:rPr>
                <w:rFonts w:eastAsiaTheme="minorHAnsi" w:cs="Calibri"/>
                <w:b/>
                <w:color w:val="00B050"/>
                <w:sz w:val="18"/>
                <w:szCs w:val="22"/>
                <w:lang w:val="en-ZA"/>
              </w:rPr>
            </w:pPr>
            <w:r w:rsidRPr="00B06FA0">
              <w:rPr>
                <w:rFonts w:eastAsiaTheme="minorHAnsi" w:cs="Calibri"/>
                <w:b/>
                <w:color w:val="00B050"/>
                <w:sz w:val="18"/>
                <w:lang w:val="en-ZA"/>
              </w:rPr>
              <w:t xml:space="preserve">9171 </w:t>
            </w:r>
          </w:p>
        </w:tc>
        <w:tc>
          <w:tcPr>
            <w:tcW w:w="672" w:type="pct"/>
            <w:hideMark/>
          </w:tcPr>
          <w:p w14:paraId="5A38CF37" w14:textId="77777777" w:rsidR="0026453C" w:rsidRPr="00B06FA0" w:rsidRDefault="0026453C" w:rsidP="0026453C">
            <w:pPr>
              <w:jc w:val="center"/>
              <w:rPr>
                <w:rFonts w:eastAsiaTheme="minorHAnsi" w:cs="Calibri"/>
                <w:b/>
                <w:color w:val="00B050"/>
                <w:sz w:val="18"/>
                <w:szCs w:val="22"/>
                <w:lang w:val="en-ZA"/>
              </w:rPr>
            </w:pPr>
            <w:r w:rsidRPr="00B06FA0">
              <w:rPr>
                <w:rFonts w:eastAsiaTheme="minorHAnsi" w:cs="Calibri"/>
                <w:b/>
                <w:color w:val="00B050"/>
                <w:sz w:val="18"/>
                <w:lang w:val="en-ZA"/>
              </w:rPr>
              <w:t xml:space="preserve">22% </w:t>
            </w:r>
          </w:p>
        </w:tc>
      </w:tr>
      <w:tr w:rsidR="0026453C" w:rsidRPr="0026453C" w14:paraId="0EB38BDB" w14:textId="77777777" w:rsidTr="0026453C">
        <w:trPr>
          <w:trHeight w:val="56"/>
        </w:trPr>
        <w:tc>
          <w:tcPr>
            <w:tcW w:w="773" w:type="pct"/>
            <w:hideMark/>
          </w:tcPr>
          <w:p w14:paraId="4CEF1D7A" w14:textId="77777777" w:rsidR="0026453C" w:rsidRPr="0026453C" w:rsidRDefault="0026453C" w:rsidP="0026453C">
            <w:pPr>
              <w:rPr>
                <w:rFonts w:eastAsiaTheme="minorHAnsi" w:cs="Calibri"/>
                <w:color w:val="000000" w:themeColor="text1"/>
                <w:sz w:val="18"/>
                <w:szCs w:val="22"/>
                <w:lang w:val="en-ZA"/>
              </w:rPr>
            </w:pPr>
            <w:r w:rsidRPr="0026453C">
              <w:rPr>
                <w:rFonts w:eastAsiaTheme="minorHAnsi" w:cs="Calibri"/>
                <w:color w:val="000000" w:themeColor="text1"/>
                <w:sz w:val="18"/>
                <w:lang w:val="en-ZA"/>
              </w:rPr>
              <w:t>Mthonjaneni (KZ285)</w:t>
            </w:r>
          </w:p>
        </w:tc>
        <w:tc>
          <w:tcPr>
            <w:tcW w:w="650" w:type="pct"/>
            <w:hideMark/>
          </w:tcPr>
          <w:p w14:paraId="0C4AA984" w14:textId="77777777" w:rsidR="0026453C" w:rsidRPr="0026453C" w:rsidRDefault="0026453C" w:rsidP="0026453C">
            <w:pPr>
              <w:jc w:val="center"/>
              <w:rPr>
                <w:rFonts w:eastAsiaTheme="minorHAnsi" w:cs="Calibri"/>
                <w:color w:val="000000" w:themeColor="text1"/>
                <w:sz w:val="18"/>
                <w:szCs w:val="22"/>
                <w:lang w:val="en-ZA"/>
              </w:rPr>
            </w:pPr>
            <w:r w:rsidRPr="0026453C">
              <w:rPr>
                <w:rFonts w:eastAsiaTheme="minorHAnsi" w:cs="Calibri"/>
                <w:color w:val="000000" w:themeColor="text1"/>
                <w:sz w:val="18"/>
                <w:lang w:val="en-ZA"/>
              </w:rPr>
              <w:t>6056</w:t>
            </w:r>
          </w:p>
        </w:tc>
        <w:tc>
          <w:tcPr>
            <w:tcW w:w="672" w:type="pct"/>
            <w:hideMark/>
          </w:tcPr>
          <w:p w14:paraId="2755D86A" w14:textId="77777777" w:rsidR="0026453C" w:rsidRPr="0026453C" w:rsidRDefault="0026453C" w:rsidP="0026453C">
            <w:pPr>
              <w:jc w:val="center"/>
              <w:rPr>
                <w:rFonts w:eastAsiaTheme="minorHAnsi" w:cs="Calibri"/>
                <w:color w:val="000000" w:themeColor="text1"/>
                <w:sz w:val="18"/>
                <w:szCs w:val="22"/>
                <w:lang w:val="en-ZA"/>
              </w:rPr>
            </w:pPr>
            <w:r w:rsidRPr="0026453C">
              <w:rPr>
                <w:rFonts w:eastAsiaTheme="minorHAnsi" w:cs="Calibri"/>
                <w:color w:val="000000" w:themeColor="text1"/>
                <w:sz w:val="18"/>
                <w:lang w:val="en-ZA"/>
              </w:rPr>
              <w:t>95%</w:t>
            </w:r>
          </w:p>
        </w:tc>
        <w:tc>
          <w:tcPr>
            <w:tcW w:w="719" w:type="pct"/>
            <w:hideMark/>
          </w:tcPr>
          <w:p w14:paraId="235C1B79" w14:textId="77777777" w:rsidR="0026453C" w:rsidRPr="0026453C" w:rsidRDefault="0026453C" w:rsidP="0026453C">
            <w:pPr>
              <w:jc w:val="center"/>
              <w:rPr>
                <w:rFonts w:eastAsiaTheme="minorHAnsi" w:cs="Calibri"/>
                <w:color w:val="000000" w:themeColor="text1"/>
                <w:sz w:val="18"/>
                <w:szCs w:val="22"/>
                <w:lang w:val="en-ZA"/>
              </w:rPr>
            </w:pPr>
            <w:r w:rsidRPr="0026453C">
              <w:rPr>
                <w:rFonts w:eastAsiaTheme="minorHAnsi" w:cs="Calibri"/>
                <w:color w:val="000000" w:themeColor="text1"/>
                <w:sz w:val="18"/>
                <w:lang w:val="en-ZA"/>
              </w:rPr>
              <w:t>10433</w:t>
            </w:r>
          </w:p>
        </w:tc>
        <w:tc>
          <w:tcPr>
            <w:tcW w:w="773" w:type="pct"/>
            <w:hideMark/>
          </w:tcPr>
          <w:p w14:paraId="1F96B6F1" w14:textId="77777777" w:rsidR="0026453C" w:rsidRPr="0026453C" w:rsidRDefault="0026453C" w:rsidP="0026453C">
            <w:pPr>
              <w:jc w:val="center"/>
              <w:rPr>
                <w:rFonts w:eastAsiaTheme="minorHAnsi" w:cs="Calibri"/>
                <w:color w:val="000000" w:themeColor="text1"/>
                <w:sz w:val="18"/>
                <w:szCs w:val="22"/>
                <w:lang w:val="en-ZA"/>
              </w:rPr>
            </w:pPr>
            <w:r w:rsidRPr="0026453C">
              <w:rPr>
                <w:rFonts w:eastAsiaTheme="minorHAnsi" w:cs="Calibri"/>
                <w:color w:val="000000" w:themeColor="text1"/>
                <w:sz w:val="18"/>
                <w:lang w:val="en-ZA"/>
              </w:rPr>
              <w:t xml:space="preserve">10433 </w:t>
            </w:r>
          </w:p>
        </w:tc>
        <w:tc>
          <w:tcPr>
            <w:tcW w:w="742" w:type="pct"/>
            <w:hideMark/>
          </w:tcPr>
          <w:p w14:paraId="73F5080D" w14:textId="77777777" w:rsidR="0026453C" w:rsidRPr="0026453C" w:rsidRDefault="0026453C" w:rsidP="0026453C">
            <w:pPr>
              <w:jc w:val="center"/>
              <w:rPr>
                <w:rFonts w:eastAsiaTheme="minorHAnsi" w:cs="Calibri"/>
                <w:color w:val="000000" w:themeColor="text1"/>
                <w:sz w:val="18"/>
                <w:szCs w:val="22"/>
                <w:lang w:val="en-ZA"/>
              </w:rPr>
            </w:pPr>
            <w:r w:rsidRPr="0026453C">
              <w:rPr>
                <w:rFonts w:eastAsiaTheme="minorHAnsi" w:cs="Calibri"/>
                <w:color w:val="000000" w:themeColor="text1"/>
                <w:sz w:val="18"/>
                <w:lang w:val="en-ZA"/>
              </w:rPr>
              <w:t xml:space="preserve">0 </w:t>
            </w:r>
          </w:p>
        </w:tc>
        <w:tc>
          <w:tcPr>
            <w:tcW w:w="672" w:type="pct"/>
            <w:hideMark/>
          </w:tcPr>
          <w:p w14:paraId="1A42C606" w14:textId="77777777" w:rsidR="0026453C" w:rsidRPr="0026453C" w:rsidRDefault="0026453C" w:rsidP="0026453C">
            <w:pPr>
              <w:jc w:val="center"/>
              <w:rPr>
                <w:rFonts w:eastAsiaTheme="minorHAnsi" w:cs="Calibri"/>
                <w:color w:val="000000" w:themeColor="text1"/>
                <w:sz w:val="18"/>
                <w:szCs w:val="22"/>
                <w:lang w:val="en-ZA"/>
              </w:rPr>
            </w:pPr>
            <w:r w:rsidRPr="0026453C">
              <w:rPr>
                <w:rFonts w:eastAsiaTheme="minorHAnsi" w:cs="Calibri"/>
                <w:color w:val="000000" w:themeColor="text1"/>
                <w:sz w:val="18"/>
                <w:lang w:val="en-ZA"/>
              </w:rPr>
              <w:t xml:space="preserve">INFILLS </w:t>
            </w:r>
          </w:p>
        </w:tc>
      </w:tr>
      <w:tr w:rsidR="0026453C" w:rsidRPr="0026453C" w14:paraId="7D2319C1" w14:textId="77777777" w:rsidTr="0026453C">
        <w:trPr>
          <w:trHeight w:val="56"/>
        </w:trPr>
        <w:tc>
          <w:tcPr>
            <w:tcW w:w="773" w:type="pct"/>
            <w:hideMark/>
          </w:tcPr>
          <w:p w14:paraId="19090277" w14:textId="77777777" w:rsidR="0026453C" w:rsidRPr="0026453C" w:rsidRDefault="0026453C" w:rsidP="0026453C">
            <w:pPr>
              <w:rPr>
                <w:rFonts w:eastAsiaTheme="minorHAnsi" w:cs="Calibri"/>
                <w:color w:val="000000" w:themeColor="text1"/>
                <w:sz w:val="18"/>
                <w:szCs w:val="22"/>
                <w:lang w:val="en-ZA"/>
              </w:rPr>
            </w:pPr>
            <w:r w:rsidRPr="0026453C">
              <w:rPr>
                <w:rFonts w:eastAsiaTheme="minorHAnsi" w:cs="Calibri"/>
                <w:color w:val="000000" w:themeColor="text1"/>
                <w:sz w:val="18"/>
                <w:lang w:val="en-ZA"/>
              </w:rPr>
              <w:t>Nkandla (KZ286)</w:t>
            </w:r>
          </w:p>
        </w:tc>
        <w:tc>
          <w:tcPr>
            <w:tcW w:w="650" w:type="pct"/>
            <w:hideMark/>
          </w:tcPr>
          <w:p w14:paraId="09B041A9" w14:textId="77777777" w:rsidR="0026453C" w:rsidRPr="0026453C" w:rsidRDefault="0026453C" w:rsidP="0026453C">
            <w:pPr>
              <w:jc w:val="center"/>
              <w:rPr>
                <w:rFonts w:eastAsiaTheme="minorHAnsi" w:cs="Calibri"/>
                <w:color w:val="000000" w:themeColor="text1"/>
                <w:sz w:val="18"/>
                <w:szCs w:val="22"/>
                <w:lang w:val="en-ZA"/>
              </w:rPr>
            </w:pPr>
            <w:r w:rsidRPr="0026453C">
              <w:rPr>
                <w:rFonts w:eastAsiaTheme="minorHAnsi" w:cs="Calibri"/>
                <w:color w:val="000000" w:themeColor="text1"/>
                <w:sz w:val="18"/>
                <w:lang w:val="en-ZA"/>
              </w:rPr>
              <w:t>21085</w:t>
            </w:r>
          </w:p>
        </w:tc>
        <w:tc>
          <w:tcPr>
            <w:tcW w:w="672" w:type="pct"/>
            <w:hideMark/>
          </w:tcPr>
          <w:p w14:paraId="49D3AD3C" w14:textId="77777777" w:rsidR="0026453C" w:rsidRPr="0026453C" w:rsidRDefault="0026453C" w:rsidP="0026453C">
            <w:pPr>
              <w:jc w:val="center"/>
              <w:rPr>
                <w:rFonts w:eastAsiaTheme="minorHAnsi" w:cs="Calibri"/>
                <w:color w:val="000000" w:themeColor="text1"/>
                <w:sz w:val="18"/>
                <w:szCs w:val="22"/>
                <w:lang w:val="en-ZA"/>
              </w:rPr>
            </w:pPr>
            <w:r w:rsidRPr="0026453C">
              <w:rPr>
                <w:rFonts w:eastAsiaTheme="minorHAnsi" w:cs="Calibri"/>
                <w:color w:val="000000" w:themeColor="text1"/>
                <w:sz w:val="18"/>
                <w:lang w:val="en-ZA"/>
              </w:rPr>
              <w:t>94%</w:t>
            </w:r>
          </w:p>
        </w:tc>
        <w:tc>
          <w:tcPr>
            <w:tcW w:w="719" w:type="pct"/>
            <w:hideMark/>
          </w:tcPr>
          <w:p w14:paraId="58A9C384" w14:textId="77777777" w:rsidR="0026453C" w:rsidRPr="0026453C" w:rsidRDefault="0026453C" w:rsidP="0026453C">
            <w:pPr>
              <w:jc w:val="center"/>
              <w:rPr>
                <w:rFonts w:eastAsiaTheme="minorHAnsi" w:cs="Calibri"/>
                <w:color w:val="000000" w:themeColor="text1"/>
                <w:sz w:val="18"/>
                <w:szCs w:val="22"/>
                <w:lang w:val="en-ZA"/>
              </w:rPr>
            </w:pPr>
            <w:r w:rsidRPr="0026453C">
              <w:rPr>
                <w:rFonts w:eastAsiaTheme="minorHAnsi" w:cs="Calibri"/>
                <w:color w:val="000000" w:themeColor="text1"/>
                <w:sz w:val="18"/>
                <w:lang w:val="en-ZA"/>
              </w:rPr>
              <w:t>22463</w:t>
            </w:r>
          </w:p>
        </w:tc>
        <w:tc>
          <w:tcPr>
            <w:tcW w:w="773" w:type="pct"/>
            <w:hideMark/>
          </w:tcPr>
          <w:p w14:paraId="03BE8E4D" w14:textId="77777777" w:rsidR="0026453C" w:rsidRPr="0026453C" w:rsidRDefault="0026453C" w:rsidP="0026453C">
            <w:pPr>
              <w:jc w:val="center"/>
              <w:rPr>
                <w:rFonts w:eastAsiaTheme="minorHAnsi" w:cs="Calibri"/>
                <w:color w:val="000000" w:themeColor="text1"/>
                <w:sz w:val="18"/>
                <w:szCs w:val="22"/>
                <w:lang w:val="en-ZA"/>
              </w:rPr>
            </w:pPr>
            <w:r w:rsidRPr="0026453C">
              <w:rPr>
                <w:rFonts w:eastAsiaTheme="minorHAnsi" w:cs="Calibri"/>
                <w:color w:val="000000" w:themeColor="text1"/>
                <w:sz w:val="18"/>
                <w:lang w:val="en-ZA"/>
              </w:rPr>
              <w:t>22463</w:t>
            </w:r>
          </w:p>
        </w:tc>
        <w:tc>
          <w:tcPr>
            <w:tcW w:w="742" w:type="pct"/>
            <w:hideMark/>
          </w:tcPr>
          <w:p w14:paraId="4065D04D" w14:textId="77777777" w:rsidR="0026453C" w:rsidRPr="0026453C" w:rsidRDefault="0026453C" w:rsidP="0026453C">
            <w:pPr>
              <w:jc w:val="center"/>
              <w:rPr>
                <w:rFonts w:eastAsiaTheme="minorHAnsi" w:cs="Calibri"/>
                <w:color w:val="000000" w:themeColor="text1"/>
                <w:sz w:val="18"/>
                <w:szCs w:val="22"/>
                <w:lang w:val="en-ZA"/>
              </w:rPr>
            </w:pPr>
            <w:r w:rsidRPr="0026453C">
              <w:rPr>
                <w:rFonts w:eastAsiaTheme="minorHAnsi" w:cs="Calibri"/>
                <w:color w:val="000000" w:themeColor="text1"/>
                <w:sz w:val="18"/>
                <w:lang w:val="en-ZA"/>
              </w:rPr>
              <w:t>0</w:t>
            </w:r>
          </w:p>
        </w:tc>
        <w:tc>
          <w:tcPr>
            <w:tcW w:w="672" w:type="pct"/>
            <w:hideMark/>
          </w:tcPr>
          <w:p w14:paraId="1CF4F9E2" w14:textId="77777777" w:rsidR="0026453C" w:rsidRPr="0026453C" w:rsidRDefault="0026453C" w:rsidP="0026453C">
            <w:pPr>
              <w:jc w:val="center"/>
              <w:rPr>
                <w:rFonts w:eastAsiaTheme="minorHAnsi" w:cs="Calibri"/>
                <w:color w:val="000000" w:themeColor="text1"/>
                <w:sz w:val="18"/>
                <w:szCs w:val="22"/>
                <w:lang w:val="en-ZA"/>
              </w:rPr>
            </w:pPr>
            <w:r w:rsidRPr="0026453C">
              <w:rPr>
                <w:rFonts w:eastAsiaTheme="minorHAnsi" w:cs="Calibri"/>
                <w:color w:val="000000" w:themeColor="text1"/>
                <w:sz w:val="18"/>
                <w:lang w:val="en-ZA"/>
              </w:rPr>
              <w:t xml:space="preserve">INFILLS </w:t>
            </w:r>
          </w:p>
        </w:tc>
      </w:tr>
      <w:tr w:rsidR="0026453C" w:rsidRPr="0026453C" w14:paraId="3722140E" w14:textId="77777777" w:rsidTr="0026453C">
        <w:trPr>
          <w:trHeight w:val="398"/>
        </w:trPr>
        <w:tc>
          <w:tcPr>
            <w:tcW w:w="773" w:type="pct"/>
            <w:hideMark/>
          </w:tcPr>
          <w:p w14:paraId="46A00C54" w14:textId="77777777" w:rsidR="0026453C" w:rsidRPr="0026453C" w:rsidRDefault="0026453C" w:rsidP="0026453C">
            <w:pPr>
              <w:rPr>
                <w:rFonts w:eastAsiaTheme="minorHAnsi" w:cs="Calibri"/>
                <w:color w:val="000000" w:themeColor="text1"/>
                <w:sz w:val="18"/>
                <w:szCs w:val="22"/>
                <w:lang w:val="en-ZA"/>
              </w:rPr>
            </w:pPr>
            <w:r w:rsidRPr="0026453C">
              <w:rPr>
                <w:rFonts w:eastAsiaTheme="minorHAnsi" w:cs="Calibri"/>
                <w:color w:val="000000" w:themeColor="text1"/>
                <w:sz w:val="18"/>
                <w:lang w:val="en-ZA"/>
              </w:rPr>
              <w:t>Total</w:t>
            </w:r>
          </w:p>
        </w:tc>
        <w:tc>
          <w:tcPr>
            <w:tcW w:w="650" w:type="pct"/>
            <w:hideMark/>
          </w:tcPr>
          <w:p w14:paraId="0505DF3E" w14:textId="77777777" w:rsidR="0026453C" w:rsidRPr="0026453C" w:rsidRDefault="0026453C" w:rsidP="0026453C">
            <w:pPr>
              <w:jc w:val="center"/>
              <w:rPr>
                <w:rFonts w:eastAsiaTheme="minorHAnsi" w:cs="Calibri"/>
                <w:color w:val="000000" w:themeColor="text1"/>
                <w:sz w:val="18"/>
                <w:szCs w:val="22"/>
                <w:lang w:val="en-ZA"/>
              </w:rPr>
            </w:pPr>
            <w:r w:rsidRPr="0026453C">
              <w:rPr>
                <w:rFonts w:eastAsiaTheme="minorHAnsi" w:cs="Calibri"/>
                <w:color w:val="000000" w:themeColor="text1"/>
                <w:sz w:val="18"/>
                <w:lang w:val="en-ZA"/>
              </w:rPr>
              <w:t>82817</w:t>
            </w:r>
          </w:p>
        </w:tc>
        <w:tc>
          <w:tcPr>
            <w:tcW w:w="672" w:type="pct"/>
            <w:hideMark/>
          </w:tcPr>
          <w:p w14:paraId="4D51F024" w14:textId="77777777" w:rsidR="0026453C" w:rsidRPr="0026453C" w:rsidRDefault="0026453C" w:rsidP="0026453C">
            <w:pPr>
              <w:jc w:val="center"/>
              <w:rPr>
                <w:rFonts w:eastAsiaTheme="minorHAnsi" w:cs="Calibri"/>
                <w:color w:val="000000" w:themeColor="text1"/>
                <w:sz w:val="18"/>
                <w:szCs w:val="22"/>
                <w:lang w:val="en-ZA"/>
              </w:rPr>
            </w:pPr>
            <w:r w:rsidRPr="0026453C">
              <w:rPr>
                <w:rFonts w:eastAsiaTheme="minorHAnsi" w:cs="Calibri"/>
                <w:color w:val="000000" w:themeColor="text1"/>
                <w:sz w:val="18"/>
                <w:lang w:val="en-ZA"/>
              </w:rPr>
              <w:t>89%</w:t>
            </w:r>
          </w:p>
        </w:tc>
        <w:tc>
          <w:tcPr>
            <w:tcW w:w="719" w:type="pct"/>
            <w:hideMark/>
          </w:tcPr>
          <w:p w14:paraId="5B766BC5" w14:textId="77777777" w:rsidR="0026453C" w:rsidRPr="0026453C" w:rsidRDefault="0026453C" w:rsidP="0026453C">
            <w:pPr>
              <w:jc w:val="center"/>
              <w:rPr>
                <w:rFonts w:eastAsiaTheme="minorHAnsi" w:cs="Calibri"/>
                <w:color w:val="000000" w:themeColor="text1"/>
                <w:sz w:val="18"/>
                <w:szCs w:val="22"/>
                <w:lang w:val="en-ZA"/>
              </w:rPr>
            </w:pPr>
            <w:r w:rsidRPr="0026453C">
              <w:rPr>
                <w:rFonts w:eastAsiaTheme="minorHAnsi" w:cs="Calibri"/>
                <w:color w:val="000000" w:themeColor="text1"/>
                <w:sz w:val="18"/>
                <w:lang w:val="en-ZA"/>
              </w:rPr>
              <w:t>116368</w:t>
            </w:r>
          </w:p>
        </w:tc>
        <w:tc>
          <w:tcPr>
            <w:tcW w:w="773" w:type="pct"/>
            <w:hideMark/>
          </w:tcPr>
          <w:p w14:paraId="69114479" w14:textId="77777777" w:rsidR="0026453C" w:rsidRPr="0026453C" w:rsidRDefault="0026453C" w:rsidP="0026453C">
            <w:pPr>
              <w:jc w:val="center"/>
              <w:rPr>
                <w:rFonts w:eastAsiaTheme="minorHAnsi" w:cs="Calibri"/>
                <w:color w:val="000000" w:themeColor="text1"/>
                <w:sz w:val="18"/>
                <w:szCs w:val="22"/>
                <w:lang w:val="en-ZA"/>
              </w:rPr>
            </w:pPr>
            <w:r w:rsidRPr="0026453C">
              <w:rPr>
                <w:rFonts w:eastAsiaTheme="minorHAnsi" w:cs="Calibri"/>
                <w:color w:val="000000" w:themeColor="text1"/>
                <w:sz w:val="18"/>
                <w:lang w:val="en-ZA"/>
              </w:rPr>
              <w:t>107197</w:t>
            </w:r>
          </w:p>
        </w:tc>
        <w:tc>
          <w:tcPr>
            <w:tcW w:w="742" w:type="pct"/>
            <w:hideMark/>
          </w:tcPr>
          <w:p w14:paraId="567CC2FA" w14:textId="77777777" w:rsidR="0026453C" w:rsidRPr="0026453C" w:rsidRDefault="0026453C" w:rsidP="0026453C">
            <w:pPr>
              <w:jc w:val="center"/>
              <w:rPr>
                <w:rFonts w:eastAsiaTheme="minorHAnsi" w:cs="Calibri"/>
                <w:color w:val="000000" w:themeColor="text1"/>
                <w:sz w:val="18"/>
                <w:szCs w:val="22"/>
                <w:lang w:val="en-ZA"/>
              </w:rPr>
            </w:pPr>
            <w:r w:rsidRPr="0026453C">
              <w:rPr>
                <w:rFonts w:eastAsiaTheme="minorHAnsi" w:cs="Calibri"/>
                <w:color w:val="000000" w:themeColor="text1"/>
                <w:sz w:val="18"/>
                <w:lang w:val="en-ZA"/>
              </w:rPr>
              <w:t xml:space="preserve">9171 </w:t>
            </w:r>
          </w:p>
        </w:tc>
        <w:tc>
          <w:tcPr>
            <w:tcW w:w="672" w:type="pct"/>
            <w:hideMark/>
          </w:tcPr>
          <w:p w14:paraId="0B50D5AD" w14:textId="77777777" w:rsidR="0026453C" w:rsidRPr="0026453C" w:rsidRDefault="0026453C" w:rsidP="0026453C">
            <w:pPr>
              <w:jc w:val="center"/>
              <w:rPr>
                <w:rFonts w:eastAsiaTheme="minorHAnsi" w:cs="Calibri"/>
                <w:color w:val="000000" w:themeColor="text1"/>
                <w:sz w:val="18"/>
                <w:szCs w:val="22"/>
                <w:lang w:val="en-ZA"/>
              </w:rPr>
            </w:pPr>
            <w:r w:rsidRPr="0026453C">
              <w:rPr>
                <w:rFonts w:eastAsiaTheme="minorHAnsi" w:cs="Calibri"/>
                <w:color w:val="000000" w:themeColor="text1"/>
                <w:sz w:val="18"/>
                <w:lang w:val="en-ZA"/>
              </w:rPr>
              <w:t xml:space="preserve">7.9% </w:t>
            </w:r>
          </w:p>
        </w:tc>
      </w:tr>
    </w:tbl>
    <w:p w14:paraId="5245DF4C" w14:textId="39B8C15F" w:rsidR="0026453C" w:rsidRDefault="0026453C" w:rsidP="0026453C">
      <w:pPr>
        <w:pStyle w:val="Caption"/>
      </w:pPr>
      <w:bookmarkStart w:id="357" w:name="_Toc510622296"/>
      <w:r>
        <w:t xml:space="preserve">Table </w:t>
      </w:r>
      <w:r w:rsidR="00B918A6">
        <w:fldChar w:fldCharType="begin"/>
      </w:r>
      <w:r w:rsidR="00B918A6">
        <w:instrText xml:space="preserve"> SEQ Table \* ARABIC </w:instrText>
      </w:r>
      <w:r w:rsidR="00B918A6">
        <w:fldChar w:fldCharType="separate"/>
      </w:r>
      <w:r w:rsidR="0067023A">
        <w:rPr>
          <w:noProof/>
        </w:rPr>
        <w:t>46</w:t>
      </w:r>
      <w:r w:rsidR="00B918A6">
        <w:rPr>
          <w:noProof/>
        </w:rPr>
        <w:fldChar w:fldCharType="end"/>
      </w:r>
      <w:r>
        <w:t>: Sanitation Backlogs</w:t>
      </w:r>
      <w:bookmarkEnd w:id="357"/>
    </w:p>
    <w:p w14:paraId="569B1D3A" w14:textId="77777777" w:rsidR="00D901C5" w:rsidRPr="00881795" w:rsidRDefault="00D901C5" w:rsidP="00395313">
      <w:pPr>
        <w:spacing w:line="288" w:lineRule="auto"/>
        <w:jc w:val="both"/>
        <w:rPr>
          <w:rFonts w:cs="Calibri"/>
          <w:bCs/>
          <w:color w:val="000000" w:themeColor="text1"/>
          <w:lang w:val="en-ZA"/>
        </w:rPr>
      </w:pPr>
      <w:r w:rsidRPr="00534637">
        <w:rPr>
          <w:rFonts w:cs="Calibri"/>
          <w:bCs/>
          <w:color w:val="000000" w:themeColor="text1"/>
          <w:lang w:val="en-ZA"/>
        </w:rPr>
        <w:t xml:space="preserve">The following is the </w:t>
      </w:r>
      <w:r w:rsidR="00703CE6" w:rsidRPr="00534637">
        <w:rPr>
          <w:rFonts w:cs="Calibri"/>
          <w:b/>
          <w:bCs/>
          <w:color w:val="000000" w:themeColor="text1"/>
          <w:lang w:val="en-ZA"/>
        </w:rPr>
        <w:t>new</w:t>
      </w:r>
      <w:r w:rsidR="00703CE6">
        <w:rPr>
          <w:rFonts w:cs="Calibri"/>
          <w:b/>
          <w:bCs/>
          <w:color w:val="000000" w:themeColor="text1"/>
          <w:lang w:val="en-ZA"/>
        </w:rPr>
        <w:t xml:space="preserve"> </w:t>
      </w:r>
      <w:r w:rsidR="002551B8">
        <w:rPr>
          <w:rFonts w:cs="Calibri"/>
          <w:b/>
          <w:bCs/>
          <w:color w:val="000000" w:themeColor="text1"/>
          <w:lang w:val="en-ZA"/>
        </w:rPr>
        <w:t>KCDM</w:t>
      </w:r>
      <w:r w:rsidRPr="00534637">
        <w:rPr>
          <w:rFonts w:cs="Calibri"/>
          <w:b/>
          <w:bCs/>
          <w:color w:val="000000" w:themeColor="text1"/>
          <w:lang w:val="en-ZA"/>
        </w:rPr>
        <w:t xml:space="preserve"> Strategies</w:t>
      </w:r>
      <w:r w:rsidRPr="00881795">
        <w:rPr>
          <w:rFonts w:cs="Calibri"/>
          <w:bCs/>
          <w:color w:val="000000" w:themeColor="text1"/>
          <w:lang w:val="en-ZA"/>
        </w:rPr>
        <w:t xml:space="preserve"> relating to water and sanitation provision:</w:t>
      </w:r>
    </w:p>
    <w:p w14:paraId="17BD2D17" w14:textId="77777777" w:rsidR="00D901C5" w:rsidRPr="00881795" w:rsidRDefault="00D901C5" w:rsidP="00395313">
      <w:pPr>
        <w:spacing w:line="288" w:lineRule="auto"/>
        <w:jc w:val="both"/>
        <w:rPr>
          <w:rFonts w:cs="Calibri"/>
          <w:color w:val="000000" w:themeColor="text1"/>
          <w:lang w:bidi="en-US"/>
        </w:rPr>
      </w:pPr>
      <w:r w:rsidRPr="00881795">
        <w:rPr>
          <w:rFonts w:cs="Calibri"/>
          <w:color w:val="000000" w:themeColor="text1"/>
          <w:lang w:bidi="en-US"/>
        </w:rPr>
        <w:t>Low cost housing projects</w:t>
      </w:r>
    </w:p>
    <w:p w14:paraId="4F7777DD" w14:textId="77777777" w:rsidR="00D901C5" w:rsidRPr="00881795" w:rsidRDefault="00D901C5" w:rsidP="00EC0A3F">
      <w:pPr>
        <w:pStyle w:val="ListParagraph"/>
        <w:numPr>
          <w:ilvl w:val="0"/>
          <w:numId w:val="15"/>
        </w:numPr>
        <w:spacing w:line="288" w:lineRule="auto"/>
        <w:jc w:val="both"/>
        <w:rPr>
          <w:rFonts w:cs="Calibri"/>
          <w:color w:val="000000" w:themeColor="text1"/>
          <w:lang w:bidi="en-US"/>
        </w:rPr>
      </w:pPr>
      <w:r w:rsidRPr="00881795">
        <w:rPr>
          <w:rFonts w:cs="Calibri"/>
          <w:color w:val="000000" w:themeColor="text1"/>
          <w:lang w:bidi="en-US"/>
        </w:rPr>
        <w:t xml:space="preserve">The </w:t>
      </w:r>
      <w:r w:rsidR="002551B8">
        <w:rPr>
          <w:rFonts w:cs="Calibri"/>
          <w:color w:val="000000" w:themeColor="text1"/>
          <w:lang w:bidi="en-US"/>
        </w:rPr>
        <w:t>KCDM</w:t>
      </w:r>
      <w:r w:rsidRPr="00881795">
        <w:rPr>
          <w:rFonts w:cs="Calibri"/>
          <w:color w:val="000000" w:themeColor="text1"/>
          <w:lang w:bidi="en-US"/>
        </w:rPr>
        <w:t xml:space="preserve"> will install basic water infrastructure (reticulation and bulk)</w:t>
      </w:r>
    </w:p>
    <w:p w14:paraId="353E2F14" w14:textId="77777777" w:rsidR="00D901C5" w:rsidRPr="00881795" w:rsidRDefault="00D901C5" w:rsidP="00EC0A3F">
      <w:pPr>
        <w:pStyle w:val="ListParagraph"/>
        <w:numPr>
          <w:ilvl w:val="0"/>
          <w:numId w:val="15"/>
        </w:numPr>
        <w:spacing w:line="288" w:lineRule="auto"/>
        <w:jc w:val="both"/>
        <w:rPr>
          <w:rFonts w:cs="Calibri"/>
          <w:color w:val="000000" w:themeColor="text1"/>
          <w:lang w:bidi="en-US"/>
        </w:rPr>
      </w:pPr>
      <w:r w:rsidRPr="00881795">
        <w:rPr>
          <w:rFonts w:cs="Calibri"/>
          <w:color w:val="000000" w:themeColor="text1"/>
          <w:lang w:bidi="en-US"/>
        </w:rPr>
        <w:t>Rural: Metered connection within 200 m from dwelling (funded from housing subsidy)</w:t>
      </w:r>
    </w:p>
    <w:p w14:paraId="2DA0EB48" w14:textId="77777777" w:rsidR="00D901C5" w:rsidRPr="00881795" w:rsidRDefault="00D901C5" w:rsidP="00EC0A3F">
      <w:pPr>
        <w:pStyle w:val="ListParagraph"/>
        <w:numPr>
          <w:ilvl w:val="0"/>
          <w:numId w:val="15"/>
        </w:numPr>
        <w:spacing w:line="288" w:lineRule="auto"/>
        <w:jc w:val="both"/>
        <w:rPr>
          <w:rFonts w:cs="Calibri"/>
          <w:color w:val="000000" w:themeColor="text1"/>
          <w:lang w:bidi="en-US"/>
        </w:rPr>
      </w:pPr>
      <w:r w:rsidRPr="00881795">
        <w:rPr>
          <w:rFonts w:cs="Calibri"/>
          <w:color w:val="000000" w:themeColor="text1"/>
          <w:lang w:bidi="en-US"/>
        </w:rPr>
        <w:t>Urban: Metered connection on plot boundary</w:t>
      </w:r>
    </w:p>
    <w:p w14:paraId="116EFAE8" w14:textId="77777777" w:rsidR="00D901C5" w:rsidRPr="00881795" w:rsidRDefault="00D901C5" w:rsidP="00EC0A3F">
      <w:pPr>
        <w:pStyle w:val="ListParagraph"/>
        <w:numPr>
          <w:ilvl w:val="0"/>
          <w:numId w:val="15"/>
        </w:numPr>
        <w:spacing w:line="288" w:lineRule="auto"/>
        <w:jc w:val="both"/>
        <w:rPr>
          <w:rFonts w:cs="Calibri"/>
          <w:color w:val="000000" w:themeColor="text1"/>
          <w:lang w:bidi="en-US"/>
        </w:rPr>
      </w:pPr>
      <w:r w:rsidRPr="00881795">
        <w:rPr>
          <w:rFonts w:cs="Calibri"/>
          <w:color w:val="000000" w:themeColor="text1"/>
          <w:lang w:bidi="en-US"/>
        </w:rPr>
        <w:t xml:space="preserve">Households have a choice of minimum free basic or metered above 6 kl/month stepped tariffs </w:t>
      </w:r>
    </w:p>
    <w:p w14:paraId="699C5046" w14:textId="77777777" w:rsidR="00D901C5" w:rsidRPr="00881795" w:rsidRDefault="00D901C5" w:rsidP="00EC0A3F">
      <w:pPr>
        <w:pStyle w:val="ListParagraph"/>
        <w:numPr>
          <w:ilvl w:val="0"/>
          <w:numId w:val="15"/>
        </w:numPr>
        <w:spacing w:line="288" w:lineRule="auto"/>
        <w:jc w:val="both"/>
        <w:rPr>
          <w:rFonts w:cs="Calibri"/>
          <w:color w:val="000000" w:themeColor="text1"/>
          <w:lang w:bidi="en-US"/>
        </w:rPr>
      </w:pPr>
      <w:r w:rsidRPr="00881795">
        <w:rPr>
          <w:rFonts w:cs="Calibri"/>
          <w:color w:val="000000" w:themeColor="text1"/>
          <w:lang w:bidi="en-US"/>
        </w:rPr>
        <w:t>Developer to construct basic on-site sanitation (VIP’s)</w:t>
      </w:r>
    </w:p>
    <w:p w14:paraId="2CC07DE6" w14:textId="77777777" w:rsidR="00D901C5" w:rsidRPr="00881795" w:rsidRDefault="00D901C5" w:rsidP="00395313">
      <w:pPr>
        <w:spacing w:line="288" w:lineRule="auto"/>
        <w:jc w:val="both"/>
        <w:outlineLvl w:val="0"/>
        <w:rPr>
          <w:rFonts w:cs="Calibri"/>
          <w:color w:val="000000" w:themeColor="text1"/>
          <w:lang w:bidi="en-US"/>
        </w:rPr>
      </w:pPr>
      <w:bookmarkStart w:id="358" w:name="_Toc389739921"/>
      <w:r w:rsidRPr="00881795">
        <w:rPr>
          <w:rFonts w:cs="Calibri"/>
          <w:color w:val="000000" w:themeColor="text1"/>
          <w:lang w:bidi="en-US"/>
        </w:rPr>
        <w:t>Upper income housing developments</w:t>
      </w:r>
      <w:bookmarkEnd w:id="358"/>
    </w:p>
    <w:p w14:paraId="6FAAACAE" w14:textId="77777777" w:rsidR="00D901C5" w:rsidRPr="00881795" w:rsidRDefault="00D901C5" w:rsidP="00EC0A3F">
      <w:pPr>
        <w:pStyle w:val="ListParagraph"/>
        <w:numPr>
          <w:ilvl w:val="0"/>
          <w:numId w:val="15"/>
        </w:numPr>
        <w:spacing w:line="288" w:lineRule="auto"/>
        <w:jc w:val="both"/>
        <w:rPr>
          <w:rFonts w:cs="Calibri"/>
          <w:color w:val="000000" w:themeColor="text1"/>
          <w:lang w:bidi="en-US"/>
        </w:rPr>
      </w:pPr>
      <w:r w:rsidRPr="00881795">
        <w:rPr>
          <w:rFonts w:cs="Calibri"/>
          <w:color w:val="000000" w:themeColor="text1"/>
          <w:lang w:bidi="en-US"/>
        </w:rPr>
        <w:t>The developer constructs all water and sanitation infrastructure, including bulk where there is not sufficient capacity, at own cost</w:t>
      </w:r>
    </w:p>
    <w:p w14:paraId="01AF7E09" w14:textId="77777777" w:rsidR="00D901C5" w:rsidRPr="00881795" w:rsidRDefault="002551B8" w:rsidP="00EC0A3F">
      <w:pPr>
        <w:pStyle w:val="ListParagraph"/>
        <w:numPr>
          <w:ilvl w:val="0"/>
          <w:numId w:val="15"/>
        </w:numPr>
        <w:spacing w:line="288" w:lineRule="auto"/>
        <w:jc w:val="both"/>
        <w:rPr>
          <w:rFonts w:cs="Calibri"/>
          <w:color w:val="000000" w:themeColor="text1"/>
          <w:lang w:bidi="en-US"/>
        </w:rPr>
      </w:pPr>
      <w:r>
        <w:rPr>
          <w:rFonts w:cs="Calibri"/>
          <w:color w:val="000000" w:themeColor="text1"/>
          <w:lang w:bidi="en-US"/>
        </w:rPr>
        <w:t>KCDM</w:t>
      </w:r>
      <w:r w:rsidR="00D901C5" w:rsidRPr="00881795">
        <w:rPr>
          <w:rFonts w:cs="Calibri"/>
          <w:color w:val="000000" w:themeColor="text1"/>
          <w:lang w:bidi="en-US"/>
        </w:rPr>
        <w:t xml:space="preserve"> to approve design standards</w:t>
      </w:r>
    </w:p>
    <w:p w14:paraId="4482C542" w14:textId="77777777" w:rsidR="00D901C5" w:rsidRDefault="00D901C5" w:rsidP="00EC0A3F">
      <w:pPr>
        <w:pStyle w:val="ListParagraph"/>
        <w:numPr>
          <w:ilvl w:val="0"/>
          <w:numId w:val="15"/>
        </w:numPr>
        <w:spacing w:line="288" w:lineRule="auto"/>
        <w:jc w:val="both"/>
        <w:rPr>
          <w:rFonts w:cs="Calibri"/>
          <w:color w:val="000000" w:themeColor="text1"/>
          <w:lang w:bidi="en-US"/>
        </w:rPr>
      </w:pPr>
      <w:r w:rsidRPr="00881795">
        <w:rPr>
          <w:rFonts w:cs="Calibri"/>
          <w:color w:val="000000" w:themeColor="text1"/>
          <w:lang w:bidi="en-US"/>
        </w:rPr>
        <w:t>Households billed on metered stepped tariffs</w:t>
      </w:r>
    </w:p>
    <w:p w14:paraId="40D63DC2" w14:textId="3740DD47" w:rsidR="00D901C5" w:rsidRPr="00F8472B" w:rsidRDefault="00D1420B" w:rsidP="00750180">
      <w:pPr>
        <w:pStyle w:val="Heading4"/>
        <w:numPr>
          <w:ilvl w:val="3"/>
          <w:numId w:val="29"/>
        </w:numPr>
        <w:spacing w:after="240"/>
      </w:pPr>
      <w:r w:rsidRPr="00F8472B">
        <w:t xml:space="preserve">Integration </w:t>
      </w:r>
      <w:r w:rsidR="00703CE6" w:rsidRPr="00F8472B">
        <w:t>with</w:t>
      </w:r>
      <w:r w:rsidR="00EF7779">
        <w:t xml:space="preserve"> Other Departments</w:t>
      </w:r>
    </w:p>
    <w:p w14:paraId="73538C34" w14:textId="4F1680FB" w:rsidR="00D901C5" w:rsidRPr="00881795" w:rsidRDefault="00EF7779" w:rsidP="00233257">
      <w:pPr>
        <w:spacing w:line="288" w:lineRule="auto"/>
        <w:jc w:val="both"/>
        <w:rPr>
          <w:rFonts w:cs="Calibri"/>
          <w:color w:val="000000" w:themeColor="text1"/>
          <w:lang w:val="en-ZA"/>
        </w:rPr>
      </w:pPr>
      <w:r>
        <w:rPr>
          <w:rFonts w:cs="Calibri"/>
          <w:color w:val="000000" w:themeColor="text1"/>
          <w:lang w:val="en-ZA"/>
        </w:rPr>
        <w:t>Coordination structures are</w:t>
      </w:r>
      <w:r w:rsidR="00D901C5" w:rsidRPr="00881795">
        <w:rPr>
          <w:rFonts w:cs="Calibri"/>
          <w:color w:val="000000" w:themeColor="text1"/>
          <w:lang w:val="en-ZA"/>
        </w:rPr>
        <w:t xml:space="preserve"> set up to coordinate and integ</w:t>
      </w:r>
      <w:r>
        <w:rPr>
          <w:rFonts w:cs="Calibri"/>
          <w:color w:val="000000" w:themeColor="text1"/>
          <w:lang w:val="en-ZA"/>
        </w:rPr>
        <w:t>rate the implementation of housing</w:t>
      </w:r>
      <w:r w:rsidR="00D901C5" w:rsidRPr="00881795">
        <w:rPr>
          <w:rFonts w:cs="Calibri"/>
          <w:color w:val="000000" w:themeColor="text1"/>
          <w:lang w:val="en-ZA"/>
        </w:rPr>
        <w:t xml:space="preserve"> projects from implementation to execution.</w:t>
      </w:r>
      <w:r w:rsidR="00233257" w:rsidRPr="00233257">
        <w:t xml:space="preserve"> </w:t>
      </w:r>
      <w:r w:rsidR="00233257" w:rsidRPr="00233257">
        <w:rPr>
          <w:rFonts w:cs="Calibri"/>
          <w:color w:val="000000" w:themeColor="text1"/>
          <w:lang w:val="en-ZA"/>
        </w:rPr>
        <w:t xml:space="preserve">It is most important that in the process of planning and implementing housing projects, the Municipality should make broad contacts with the </w:t>
      </w:r>
      <w:r w:rsidR="00233257">
        <w:rPr>
          <w:rFonts w:cs="Calibri"/>
          <w:color w:val="000000" w:themeColor="text1"/>
          <w:lang w:val="en-ZA"/>
        </w:rPr>
        <w:t>certain</w:t>
      </w:r>
      <w:r w:rsidR="00233257" w:rsidRPr="00233257">
        <w:rPr>
          <w:rFonts w:cs="Calibri"/>
          <w:color w:val="000000" w:themeColor="text1"/>
          <w:lang w:val="en-ZA"/>
        </w:rPr>
        <w:t xml:space="preserve"> institutions</w:t>
      </w:r>
      <w:r w:rsidR="00233257">
        <w:rPr>
          <w:rFonts w:cs="Calibri"/>
          <w:color w:val="000000" w:themeColor="text1"/>
          <w:lang w:val="en-ZA"/>
        </w:rPr>
        <w:t xml:space="preserve"> and sector departments</w:t>
      </w:r>
      <w:r w:rsidR="00233257" w:rsidRPr="00233257">
        <w:rPr>
          <w:rFonts w:cs="Calibri"/>
          <w:color w:val="000000" w:themeColor="text1"/>
          <w:lang w:val="en-ZA"/>
        </w:rPr>
        <w:t xml:space="preserve"> in order to </w:t>
      </w:r>
      <w:r w:rsidR="00233257">
        <w:rPr>
          <w:rFonts w:cs="Calibri"/>
          <w:color w:val="000000" w:themeColor="text1"/>
          <w:lang w:val="en-ZA"/>
        </w:rPr>
        <w:t xml:space="preserve">align housing projects with other service delivery plans for the sector departments. The stakeholder Representative, District and Provincial Forums within which housing projects are facilitated and discussed include the following sector </w:t>
      </w:r>
    </w:p>
    <w:p w14:paraId="6736AE0F" w14:textId="77777777" w:rsidR="00D901C5" w:rsidRPr="00881795" w:rsidRDefault="005D232B" w:rsidP="002F62F0">
      <w:pPr>
        <w:pStyle w:val="Caption"/>
        <w:rPr>
          <w:lang w:val="en-ZA"/>
        </w:rPr>
      </w:pPr>
      <w:bookmarkStart w:id="359" w:name="_Toc389739925"/>
      <w:bookmarkStart w:id="360" w:name="_Toc510622297"/>
      <w:r w:rsidRPr="00881795">
        <w:t xml:space="preserve">Table </w:t>
      </w:r>
      <w:r w:rsidR="00B918A6">
        <w:fldChar w:fldCharType="begin"/>
      </w:r>
      <w:r w:rsidR="00B918A6">
        <w:instrText xml:space="preserve"> SEQ Table \* ARABIC </w:instrText>
      </w:r>
      <w:r w:rsidR="00B918A6">
        <w:fldChar w:fldCharType="separate"/>
      </w:r>
      <w:r w:rsidR="0067023A">
        <w:rPr>
          <w:noProof/>
        </w:rPr>
        <w:t>47</w:t>
      </w:r>
      <w:r w:rsidR="00B918A6">
        <w:rPr>
          <w:noProof/>
        </w:rPr>
        <w:fldChar w:fldCharType="end"/>
      </w:r>
      <w:r w:rsidRPr="00881795">
        <w:t xml:space="preserve">:  </w:t>
      </w:r>
      <w:r w:rsidR="00D901C5" w:rsidRPr="00881795">
        <w:rPr>
          <w:lang w:val="en-ZA"/>
        </w:rPr>
        <w:t>Government Departments affected by Housing Developments</w:t>
      </w:r>
      <w:bookmarkEnd w:id="359"/>
      <w:bookmarkEnd w:id="36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7"/>
        <w:gridCol w:w="4812"/>
      </w:tblGrid>
      <w:tr w:rsidR="00D901C5" w:rsidRPr="00881795" w14:paraId="6EA61516" w14:textId="77777777" w:rsidTr="00B17A4D">
        <w:trPr>
          <w:trHeight w:val="316"/>
          <w:tblHeader/>
        </w:trPr>
        <w:tc>
          <w:tcPr>
            <w:tcW w:w="6141" w:type="dxa"/>
            <w:shd w:val="clear" w:color="auto" w:fill="DAEEF3" w:themeFill="accent5" w:themeFillTint="33"/>
          </w:tcPr>
          <w:p w14:paraId="37C074E7" w14:textId="77777777" w:rsidR="00D901C5" w:rsidRPr="00881795" w:rsidRDefault="00D901C5" w:rsidP="00395313">
            <w:pPr>
              <w:spacing w:line="288" w:lineRule="auto"/>
              <w:jc w:val="both"/>
              <w:rPr>
                <w:rFonts w:cs="Calibri"/>
                <w:b/>
                <w:bCs/>
                <w:color w:val="000000" w:themeColor="text1"/>
                <w:lang w:val="en-ZA"/>
              </w:rPr>
            </w:pPr>
            <w:r w:rsidRPr="00881795">
              <w:rPr>
                <w:rFonts w:cs="Calibri"/>
                <w:b/>
                <w:bCs/>
                <w:color w:val="000000" w:themeColor="text1"/>
                <w:lang w:val="en-ZA"/>
              </w:rPr>
              <w:t>INSTITUTION</w:t>
            </w:r>
          </w:p>
        </w:tc>
        <w:tc>
          <w:tcPr>
            <w:tcW w:w="6141" w:type="dxa"/>
            <w:shd w:val="clear" w:color="auto" w:fill="DAEEF3" w:themeFill="accent5" w:themeFillTint="33"/>
          </w:tcPr>
          <w:p w14:paraId="6D519AA1" w14:textId="77777777" w:rsidR="00D901C5" w:rsidRPr="00881795" w:rsidRDefault="00D901C5" w:rsidP="00395313">
            <w:pPr>
              <w:spacing w:line="288" w:lineRule="auto"/>
              <w:jc w:val="both"/>
              <w:rPr>
                <w:rFonts w:cs="Calibri"/>
                <w:b/>
                <w:bCs/>
                <w:color w:val="000000" w:themeColor="text1"/>
                <w:lang w:val="en-ZA"/>
              </w:rPr>
            </w:pPr>
            <w:r w:rsidRPr="00881795">
              <w:rPr>
                <w:rFonts w:cs="Calibri"/>
                <w:b/>
                <w:bCs/>
                <w:color w:val="000000" w:themeColor="text1"/>
                <w:lang w:val="en-ZA"/>
              </w:rPr>
              <w:t>SERVICES</w:t>
            </w:r>
          </w:p>
        </w:tc>
      </w:tr>
      <w:tr w:rsidR="00D901C5" w:rsidRPr="00881795" w14:paraId="49BC3162" w14:textId="77777777" w:rsidTr="00D901C5">
        <w:trPr>
          <w:trHeight w:val="334"/>
        </w:trPr>
        <w:tc>
          <w:tcPr>
            <w:tcW w:w="6141" w:type="dxa"/>
          </w:tcPr>
          <w:p w14:paraId="7483DDE8" w14:textId="77777777" w:rsidR="00D901C5" w:rsidRPr="00881795" w:rsidRDefault="00D901C5" w:rsidP="00395313">
            <w:pPr>
              <w:spacing w:line="288" w:lineRule="auto"/>
              <w:jc w:val="both"/>
              <w:rPr>
                <w:rFonts w:cs="Calibri"/>
                <w:b/>
                <w:bCs/>
                <w:i/>
                <w:iCs/>
                <w:color w:val="000000" w:themeColor="text1"/>
                <w:lang w:val="en-ZA"/>
              </w:rPr>
            </w:pPr>
            <w:r w:rsidRPr="00881795">
              <w:rPr>
                <w:rFonts w:cs="Calibri"/>
                <w:b/>
                <w:bCs/>
                <w:i/>
                <w:iCs/>
                <w:color w:val="000000" w:themeColor="text1"/>
                <w:lang w:val="en-ZA"/>
              </w:rPr>
              <w:t>Department of Health</w:t>
            </w:r>
          </w:p>
        </w:tc>
        <w:tc>
          <w:tcPr>
            <w:tcW w:w="6141" w:type="dxa"/>
          </w:tcPr>
          <w:p w14:paraId="01E5034C" w14:textId="77777777" w:rsidR="00D901C5" w:rsidRPr="00881795" w:rsidRDefault="00D901C5" w:rsidP="00395313">
            <w:pPr>
              <w:spacing w:line="288" w:lineRule="auto"/>
              <w:jc w:val="both"/>
              <w:rPr>
                <w:rFonts w:cs="Calibri"/>
                <w:color w:val="000000" w:themeColor="text1"/>
                <w:lang w:val="en-ZA"/>
              </w:rPr>
            </w:pPr>
            <w:r w:rsidRPr="00881795">
              <w:rPr>
                <w:rFonts w:cs="Calibri"/>
                <w:color w:val="000000" w:themeColor="text1"/>
                <w:lang w:val="en-ZA"/>
              </w:rPr>
              <w:t>Clinics, Hospitals</w:t>
            </w:r>
          </w:p>
        </w:tc>
      </w:tr>
      <w:tr w:rsidR="00D901C5" w:rsidRPr="00881795" w14:paraId="638D933F" w14:textId="77777777" w:rsidTr="00D901C5">
        <w:trPr>
          <w:trHeight w:val="316"/>
        </w:trPr>
        <w:tc>
          <w:tcPr>
            <w:tcW w:w="6141" w:type="dxa"/>
          </w:tcPr>
          <w:p w14:paraId="53BF4DFA" w14:textId="77777777" w:rsidR="00D901C5" w:rsidRPr="00881795" w:rsidRDefault="00D901C5" w:rsidP="00395313">
            <w:pPr>
              <w:spacing w:line="288" w:lineRule="auto"/>
              <w:jc w:val="both"/>
              <w:rPr>
                <w:rFonts w:cs="Calibri"/>
                <w:b/>
                <w:bCs/>
                <w:i/>
                <w:iCs/>
                <w:color w:val="000000" w:themeColor="text1"/>
                <w:lang w:val="en-ZA"/>
              </w:rPr>
            </w:pPr>
            <w:r w:rsidRPr="00881795">
              <w:rPr>
                <w:rFonts w:cs="Calibri"/>
                <w:b/>
                <w:bCs/>
                <w:i/>
                <w:iCs/>
                <w:color w:val="000000" w:themeColor="text1"/>
                <w:lang w:val="en-ZA"/>
              </w:rPr>
              <w:t>Department of Education</w:t>
            </w:r>
          </w:p>
        </w:tc>
        <w:tc>
          <w:tcPr>
            <w:tcW w:w="6141" w:type="dxa"/>
          </w:tcPr>
          <w:p w14:paraId="6D1F4456" w14:textId="77777777" w:rsidR="00D901C5" w:rsidRPr="00881795" w:rsidRDefault="00D901C5" w:rsidP="00395313">
            <w:pPr>
              <w:spacing w:line="288" w:lineRule="auto"/>
              <w:jc w:val="both"/>
              <w:rPr>
                <w:rFonts w:cs="Calibri"/>
                <w:color w:val="000000" w:themeColor="text1"/>
                <w:lang w:val="en-ZA"/>
              </w:rPr>
            </w:pPr>
            <w:r w:rsidRPr="00881795">
              <w:rPr>
                <w:rFonts w:cs="Calibri"/>
                <w:color w:val="000000" w:themeColor="text1"/>
                <w:lang w:val="en-ZA"/>
              </w:rPr>
              <w:t>Schools</w:t>
            </w:r>
          </w:p>
        </w:tc>
      </w:tr>
      <w:tr w:rsidR="00D901C5" w:rsidRPr="00881795" w14:paraId="46CD1F5D" w14:textId="77777777" w:rsidTr="00D901C5">
        <w:trPr>
          <w:trHeight w:val="316"/>
        </w:trPr>
        <w:tc>
          <w:tcPr>
            <w:tcW w:w="6141" w:type="dxa"/>
          </w:tcPr>
          <w:p w14:paraId="4956C967" w14:textId="77777777" w:rsidR="00D901C5" w:rsidRPr="00881795" w:rsidRDefault="00D901C5" w:rsidP="00395313">
            <w:pPr>
              <w:spacing w:line="288" w:lineRule="auto"/>
              <w:jc w:val="both"/>
              <w:rPr>
                <w:rFonts w:cs="Calibri"/>
                <w:b/>
                <w:bCs/>
                <w:i/>
                <w:iCs/>
                <w:color w:val="000000" w:themeColor="text1"/>
                <w:lang w:val="en-ZA"/>
              </w:rPr>
            </w:pPr>
            <w:r w:rsidRPr="00881795">
              <w:rPr>
                <w:rFonts w:cs="Calibri"/>
                <w:b/>
                <w:bCs/>
                <w:i/>
                <w:iCs/>
                <w:color w:val="000000" w:themeColor="text1"/>
                <w:lang w:val="en-ZA"/>
              </w:rPr>
              <w:t>Department of Social Welfare</w:t>
            </w:r>
          </w:p>
        </w:tc>
        <w:tc>
          <w:tcPr>
            <w:tcW w:w="6141" w:type="dxa"/>
          </w:tcPr>
          <w:p w14:paraId="21795561" w14:textId="77777777" w:rsidR="00D901C5" w:rsidRPr="00881795" w:rsidRDefault="00D901C5" w:rsidP="00395313">
            <w:pPr>
              <w:spacing w:line="288" w:lineRule="auto"/>
              <w:jc w:val="both"/>
              <w:rPr>
                <w:rFonts w:cs="Calibri"/>
                <w:color w:val="000000" w:themeColor="text1"/>
                <w:lang w:val="en-ZA"/>
              </w:rPr>
            </w:pPr>
            <w:r w:rsidRPr="00881795">
              <w:rPr>
                <w:rFonts w:cs="Calibri"/>
                <w:color w:val="000000" w:themeColor="text1"/>
                <w:lang w:val="en-ZA"/>
              </w:rPr>
              <w:t>Welfare Institutions, Crèches</w:t>
            </w:r>
          </w:p>
        </w:tc>
      </w:tr>
      <w:tr w:rsidR="00D901C5" w:rsidRPr="00881795" w14:paraId="51C9ACA2" w14:textId="77777777" w:rsidTr="00D901C5">
        <w:trPr>
          <w:trHeight w:val="316"/>
        </w:trPr>
        <w:tc>
          <w:tcPr>
            <w:tcW w:w="6141" w:type="dxa"/>
          </w:tcPr>
          <w:p w14:paraId="4639044F" w14:textId="77777777" w:rsidR="00D901C5" w:rsidRPr="00881795" w:rsidRDefault="00D901C5" w:rsidP="00395313">
            <w:pPr>
              <w:spacing w:line="288" w:lineRule="auto"/>
              <w:jc w:val="both"/>
              <w:rPr>
                <w:rFonts w:cs="Calibri"/>
                <w:b/>
                <w:bCs/>
                <w:i/>
                <w:iCs/>
                <w:color w:val="000000" w:themeColor="text1"/>
                <w:lang w:val="en-ZA"/>
              </w:rPr>
            </w:pPr>
            <w:r w:rsidRPr="00881795">
              <w:rPr>
                <w:rFonts w:cs="Calibri"/>
                <w:b/>
                <w:bCs/>
                <w:i/>
                <w:iCs/>
                <w:color w:val="000000" w:themeColor="text1"/>
                <w:lang w:val="en-ZA"/>
              </w:rPr>
              <w:t>Department of Sports, Arts and Culture</w:t>
            </w:r>
          </w:p>
        </w:tc>
        <w:tc>
          <w:tcPr>
            <w:tcW w:w="6141" w:type="dxa"/>
          </w:tcPr>
          <w:p w14:paraId="14671628" w14:textId="77777777" w:rsidR="00D901C5" w:rsidRPr="00881795" w:rsidRDefault="00D901C5" w:rsidP="00395313">
            <w:pPr>
              <w:spacing w:line="288" w:lineRule="auto"/>
              <w:jc w:val="both"/>
              <w:rPr>
                <w:rFonts w:cs="Calibri"/>
                <w:color w:val="000000" w:themeColor="text1"/>
                <w:lang w:val="en-ZA"/>
              </w:rPr>
            </w:pPr>
            <w:r w:rsidRPr="00881795">
              <w:rPr>
                <w:rFonts w:cs="Calibri"/>
                <w:color w:val="000000" w:themeColor="text1"/>
                <w:lang w:val="en-ZA"/>
              </w:rPr>
              <w:t>Sport fields and Recreational Facilities</w:t>
            </w:r>
          </w:p>
        </w:tc>
      </w:tr>
      <w:tr w:rsidR="00D901C5" w:rsidRPr="00881795" w14:paraId="15DB2285" w14:textId="77777777" w:rsidTr="00D901C5">
        <w:trPr>
          <w:trHeight w:val="334"/>
        </w:trPr>
        <w:tc>
          <w:tcPr>
            <w:tcW w:w="6141" w:type="dxa"/>
          </w:tcPr>
          <w:p w14:paraId="40F0B438" w14:textId="77777777" w:rsidR="00D901C5" w:rsidRPr="00881795" w:rsidRDefault="00D901C5" w:rsidP="00395313">
            <w:pPr>
              <w:spacing w:line="288" w:lineRule="auto"/>
              <w:jc w:val="both"/>
              <w:rPr>
                <w:rFonts w:cs="Calibri"/>
                <w:b/>
                <w:bCs/>
                <w:i/>
                <w:iCs/>
                <w:color w:val="000000" w:themeColor="text1"/>
                <w:lang w:val="en-ZA"/>
              </w:rPr>
            </w:pPr>
            <w:r w:rsidRPr="00881795">
              <w:rPr>
                <w:rFonts w:cs="Calibri"/>
                <w:b/>
                <w:bCs/>
                <w:i/>
                <w:iCs/>
                <w:color w:val="000000" w:themeColor="text1"/>
                <w:lang w:val="en-ZA"/>
              </w:rPr>
              <w:t>Department of Transport</w:t>
            </w:r>
          </w:p>
        </w:tc>
        <w:tc>
          <w:tcPr>
            <w:tcW w:w="6141" w:type="dxa"/>
          </w:tcPr>
          <w:p w14:paraId="6D3E9B5D" w14:textId="77777777" w:rsidR="00D901C5" w:rsidRPr="00881795" w:rsidRDefault="00D901C5" w:rsidP="00395313">
            <w:pPr>
              <w:spacing w:line="288" w:lineRule="auto"/>
              <w:jc w:val="both"/>
              <w:rPr>
                <w:rFonts w:cs="Calibri"/>
                <w:color w:val="000000" w:themeColor="text1"/>
                <w:lang w:val="en-ZA"/>
              </w:rPr>
            </w:pPr>
            <w:r w:rsidRPr="00881795">
              <w:rPr>
                <w:rFonts w:cs="Calibri"/>
                <w:color w:val="000000" w:themeColor="text1"/>
                <w:lang w:val="en-ZA"/>
              </w:rPr>
              <w:t>Roads, Public transport</w:t>
            </w:r>
          </w:p>
        </w:tc>
      </w:tr>
      <w:tr w:rsidR="00D901C5" w:rsidRPr="00881795" w14:paraId="5C317B61" w14:textId="77777777" w:rsidTr="00D901C5">
        <w:trPr>
          <w:trHeight w:val="316"/>
        </w:trPr>
        <w:tc>
          <w:tcPr>
            <w:tcW w:w="6141" w:type="dxa"/>
          </w:tcPr>
          <w:p w14:paraId="12C7F2CE" w14:textId="77777777" w:rsidR="00D901C5" w:rsidRPr="00881795" w:rsidRDefault="00D901C5" w:rsidP="00395313">
            <w:pPr>
              <w:spacing w:line="288" w:lineRule="auto"/>
              <w:jc w:val="both"/>
              <w:rPr>
                <w:rFonts w:cs="Calibri"/>
                <w:b/>
                <w:bCs/>
                <w:i/>
                <w:iCs/>
                <w:color w:val="000000" w:themeColor="text1"/>
                <w:lang w:val="en-ZA"/>
              </w:rPr>
            </w:pPr>
            <w:r w:rsidRPr="00881795">
              <w:rPr>
                <w:rFonts w:cs="Calibri"/>
                <w:b/>
                <w:bCs/>
                <w:i/>
                <w:iCs/>
                <w:color w:val="000000" w:themeColor="text1"/>
                <w:lang w:val="en-ZA"/>
              </w:rPr>
              <w:t>Department of Environmental Affairs</w:t>
            </w:r>
          </w:p>
        </w:tc>
        <w:tc>
          <w:tcPr>
            <w:tcW w:w="6141" w:type="dxa"/>
          </w:tcPr>
          <w:p w14:paraId="1BBA7BF1" w14:textId="77777777" w:rsidR="00D901C5" w:rsidRPr="00881795" w:rsidRDefault="00D901C5" w:rsidP="00395313">
            <w:pPr>
              <w:spacing w:line="288" w:lineRule="auto"/>
              <w:jc w:val="both"/>
              <w:rPr>
                <w:rFonts w:cs="Calibri"/>
                <w:color w:val="000000" w:themeColor="text1"/>
                <w:lang w:val="en-ZA"/>
              </w:rPr>
            </w:pPr>
            <w:r w:rsidRPr="00881795">
              <w:rPr>
                <w:rFonts w:cs="Calibri"/>
                <w:color w:val="000000" w:themeColor="text1"/>
                <w:lang w:val="en-ZA"/>
              </w:rPr>
              <w:t>Protection of the Environment</w:t>
            </w:r>
          </w:p>
        </w:tc>
      </w:tr>
      <w:tr w:rsidR="00D901C5" w:rsidRPr="00881795" w14:paraId="5C73C73D" w14:textId="77777777" w:rsidTr="00D901C5">
        <w:trPr>
          <w:trHeight w:val="630"/>
        </w:trPr>
        <w:tc>
          <w:tcPr>
            <w:tcW w:w="6141" w:type="dxa"/>
          </w:tcPr>
          <w:p w14:paraId="7157263B" w14:textId="77777777" w:rsidR="00D901C5" w:rsidRPr="00881795" w:rsidRDefault="00D901C5" w:rsidP="00395313">
            <w:pPr>
              <w:spacing w:line="288" w:lineRule="auto"/>
              <w:jc w:val="both"/>
              <w:rPr>
                <w:rFonts w:cs="Calibri"/>
                <w:b/>
                <w:bCs/>
                <w:i/>
                <w:iCs/>
                <w:color w:val="000000" w:themeColor="text1"/>
                <w:lang w:val="en-ZA"/>
              </w:rPr>
            </w:pPr>
            <w:r w:rsidRPr="00881795">
              <w:rPr>
                <w:rFonts w:cs="Calibri"/>
                <w:b/>
                <w:bCs/>
                <w:i/>
                <w:iCs/>
                <w:color w:val="000000" w:themeColor="text1"/>
                <w:lang w:val="en-ZA"/>
              </w:rPr>
              <w:t>Department of Water Affairs and Forestry (</w:t>
            </w:r>
            <w:r w:rsidR="001D792E">
              <w:rPr>
                <w:rFonts w:cs="Calibri"/>
                <w:b/>
                <w:bCs/>
                <w:i/>
                <w:iCs/>
                <w:color w:val="000000" w:themeColor="text1"/>
                <w:lang w:val="en-ZA"/>
              </w:rPr>
              <w:t>King Cetshwayo</w:t>
            </w:r>
            <w:r w:rsidRPr="00881795">
              <w:rPr>
                <w:rFonts w:cs="Calibri"/>
                <w:b/>
                <w:bCs/>
                <w:i/>
                <w:iCs/>
                <w:color w:val="000000" w:themeColor="text1"/>
                <w:lang w:val="en-ZA"/>
              </w:rPr>
              <w:t xml:space="preserve"> DC)</w:t>
            </w:r>
          </w:p>
        </w:tc>
        <w:tc>
          <w:tcPr>
            <w:tcW w:w="6141" w:type="dxa"/>
          </w:tcPr>
          <w:p w14:paraId="37629826" w14:textId="77777777" w:rsidR="00D901C5" w:rsidRPr="00881795" w:rsidRDefault="00D901C5" w:rsidP="00395313">
            <w:pPr>
              <w:spacing w:line="288" w:lineRule="auto"/>
              <w:jc w:val="both"/>
              <w:rPr>
                <w:rFonts w:cs="Calibri"/>
                <w:color w:val="000000" w:themeColor="text1"/>
                <w:lang w:val="en-ZA"/>
              </w:rPr>
            </w:pPr>
            <w:r w:rsidRPr="00881795">
              <w:rPr>
                <w:rFonts w:cs="Calibri"/>
                <w:color w:val="000000" w:themeColor="text1"/>
                <w:lang w:val="en-ZA"/>
              </w:rPr>
              <w:t>Water, Sanitation and environmental protection</w:t>
            </w:r>
          </w:p>
        </w:tc>
      </w:tr>
      <w:tr w:rsidR="00D901C5" w:rsidRPr="00881795" w14:paraId="3096FF8F" w14:textId="77777777" w:rsidTr="00D901C5">
        <w:trPr>
          <w:trHeight w:val="316"/>
        </w:trPr>
        <w:tc>
          <w:tcPr>
            <w:tcW w:w="6141" w:type="dxa"/>
          </w:tcPr>
          <w:p w14:paraId="60AF5C67" w14:textId="77777777" w:rsidR="00D901C5" w:rsidRPr="00881795" w:rsidRDefault="00D901C5" w:rsidP="00395313">
            <w:pPr>
              <w:spacing w:line="288" w:lineRule="auto"/>
              <w:jc w:val="both"/>
              <w:rPr>
                <w:rFonts w:cs="Calibri"/>
                <w:b/>
                <w:bCs/>
                <w:i/>
                <w:iCs/>
                <w:color w:val="000000" w:themeColor="text1"/>
                <w:lang w:val="en-ZA"/>
              </w:rPr>
            </w:pPr>
            <w:r w:rsidRPr="00881795">
              <w:rPr>
                <w:rFonts w:cs="Calibri"/>
                <w:b/>
                <w:bCs/>
                <w:i/>
                <w:iCs/>
                <w:color w:val="000000" w:themeColor="text1"/>
                <w:lang w:val="en-ZA"/>
              </w:rPr>
              <w:t>Department of Safety and Security</w:t>
            </w:r>
          </w:p>
        </w:tc>
        <w:tc>
          <w:tcPr>
            <w:tcW w:w="6141" w:type="dxa"/>
          </w:tcPr>
          <w:p w14:paraId="4278D52D" w14:textId="77777777" w:rsidR="00D901C5" w:rsidRPr="00881795" w:rsidRDefault="00D901C5" w:rsidP="00395313">
            <w:pPr>
              <w:spacing w:line="288" w:lineRule="auto"/>
              <w:jc w:val="both"/>
              <w:rPr>
                <w:rFonts w:cs="Calibri"/>
                <w:color w:val="000000" w:themeColor="text1"/>
                <w:lang w:val="en-ZA"/>
              </w:rPr>
            </w:pPr>
            <w:r w:rsidRPr="00881795">
              <w:rPr>
                <w:rFonts w:cs="Calibri"/>
                <w:color w:val="000000" w:themeColor="text1"/>
                <w:lang w:val="en-ZA"/>
              </w:rPr>
              <w:t>Police stations or Satellite police stations</w:t>
            </w:r>
          </w:p>
        </w:tc>
      </w:tr>
      <w:tr w:rsidR="00D901C5" w:rsidRPr="00881795" w14:paraId="76B43AC5" w14:textId="77777777" w:rsidTr="00D901C5">
        <w:trPr>
          <w:trHeight w:val="334"/>
        </w:trPr>
        <w:tc>
          <w:tcPr>
            <w:tcW w:w="6141" w:type="dxa"/>
          </w:tcPr>
          <w:p w14:paraId="2BD6CD1E" w14:textId="77777777" w:rsidR="00D901C5" w:rsidRPr="00881795" w:rsidRDefault="00D901C5" w:rsidP="00395313">
            <w:pPr>
              <w:spacing w:line="288" w:lineRule="auto"/>
              <w:jc w:val="both"/>
              <w:rPr>
                <w:rFonts w:cs="Calibri"/>
                <w:b/>
                <w:bCs/>
                <w:i/>
                <w:iCs/>
                <w:color w:val="000000" w:themeColor="text1"/>
                <w:lang w:val="en-ZA"/>
              </w:rPr>
            </w:pPr>
            <w:r w:rsidRPr="00881795">
              <w:rPr>
                <w:rFonts w:cs="Calibri"/>
                <w:b/>
                <w:bCs/>
                <w:i/>
                <w:iCs/>
                <w:color w:val="000000" w:themeColor="text1"/>
                <w:lang w:val="en-ZA"/>
              </w:rPr>
              <w:t>Eskom</w:t>
            </w:r>
          </w:p>
        </w:tc>
        <w:tc>
          <w:tcPr>
            <w:tcW w:w="6141" w:type="dxa"/>
          </w:tcPr>
          <w:p w14:paraId="6A87CC44" w14:textId="77777777" w:rsidR="00D901C5" w:rsidRPr="00881795" w:rsidRDefault="00D901C5" w:rsidP="00395313">
            <w:pPr>
              <w:spacing w:line="288" w:lineRule="auto"/>
              <w:jc w:val="both"/>
              <w:rPr>
                <w:rFonts w:cs="Calibri"/>
                <w:color w:val="000000" w:themeColor="text1"/>
                <w:lang w:val="en-ZA"/>
              </w:rPr>
            </w:pPr>
            <w:r w:rsidRPr="00881795">
              <w:rPr>
                <w:rFonts w:cs="Calibri"/>
                <w:color w:val="000000" w:themeColor="text1"/>
                <w:lang w:val="en-ZA"/>
              </w:rPr>
              <w:t>Electricity</w:t>
            </w:r>
          </w:p>
        </w:tc>
      </w:tr>
      <w:tr w:rsidR="00D901C5" w:rsidRPr="00881795" w14:paraId="28DC2B23" w14:textId="77777777" w:rsidTr="00D901C5">
        <w:trPr>
          <w:trHeight w:val="316"/>
        </w:trPr>
        <w:tc>
          <w:tcPr>
            <w:tcW w:w="6141" w:type="dxa"/>
          </w:tcPr>
          <w:p w14:paraId="7B3F913F" w14:textId="77777777" w:rsidR="00D901C5" w:rsidRPr="00881795" w:rsidRDefault="00D901C5" w:rsidP="00395313">
            <w:pPr>
              <w:spacing w:line="288" w:lineRule="auto"/>
              <w:jc w:val="both"/>
              <w:rPr>
                <w:rFonts w:cs="Calibri"/>
                <w:b/>
                <w:bCs/>
                <w:i/>
                <w:iCs/>
                <w:color w:val="000000" w:themeColor="text1"/>
                <w:lang w:val="en-ZA"/>
              </w:rPr>
            </w:pPr>
            <w:r w:rsidRPr="00881795">
              <w:rPr>
                <w:rFonts w:cs="Calibri"/>
                <w:b/>
                <w:bCs/>
                <w:i/>
                <w:iCs/>
                <w:color w:val="000000" w:themeColor="text1"/>
                <w:lang w:val="en-ZA"/>
              </w:rPr>
              <w:t>Telkom</w:t>
            </w:r>
          </w:p>
        </w:tc>
        <w:tc>
          <w:tcPr>
            <w:tcW w:w="6141" w:type="dxa"/>
          </w:tcPr>
          <w:p w14:paraId="50B41D7D" w14:textId="77777777" w:rsidR="00D901C5" w:rsidRPr="00881795" w:rsidRDefault="00D901C5" w:rsidP="00395313">
            <w:pPr>
              <w:spacing w:line="288" w:lineRule="auto"/>
              <w:jc w:val="both"/>
              <w:rPr>
                <w:rFonts w:cs="Calibri"/>
                <w:color w:val="000000" w:themeColor="text1"/>
                <w:lang w:val="en-ZA"/>
              </w:rPr>
            </w:pPr>
            <w:r w:rsidRPr="00881795">
              <w:rPr>
                <w:rFonts w:cs="Calibri"/>
                <w:color w:val="000000" w:themeColor="text1"/>
                <w:lang w:val="en-ZA"/>
              </w:rPr>
              <w:t>Telephones</w:t>
            </w:r>
          </w:p>
        </w:tc>
      </w:tr>
      <w:tr w:rsidR="00D901C5" w:rsidRPr="00881795" w14:paraId="4021B5BA" w14:textId="77777777" w:rsidTr="00D901C5">
        <w:trPr>
          <w:trHeight w:val="316"/>
        </w:trPr>
        <w:tc>
          <w:tcPr>
            <w:tcW w:w="6141" w:type="dxa"/>
          </w:tcPr>
          <w:p w14:paraId="216FB8AE" w14:textId="77777777" w:rsidR="00D901C5" w:rsidRPr="00881795" w:rsidRDefault="00D901C5" w:rsidP="00395313">
            <w:pPr>
              <w:spacing w:line="288" w:lineRule="auto"/>
              <w:jc w:val="both"/>
              <w:rPr>
                <w:rFonts w:cs="Calibri"/>
                <w:b/>
                <w:bCs/>
                <w:i/>
                <w:iCs/>
                <w:color w:val="000000" w:themeColor="text1"/>
                <w:lang w:val="en-ZA"/>
              </w:rPr>
            </w:pPr>
            <w:r w:rsidRPr="00881795">
              <w:rPr>
                <w:rFonts w:cs="Calibri"/>
                <w:b/>
                <w:bCs/>
                <w:i/>
                <w:iCs/>
                <w:color w:val="000000" w:themeColor="text1"/>
                <w:lang w:val="en-ZA"/>
              </w:rPr>
              <w:t>Financial Institutions</w:t>
            </w:r>
          </w:p>
        </w:tc>
        <w:tc>
          <w:tcPr>
            <w:tcW w:w="6141" w:type="dxa"/>
          </w:tcPr>
          <w:p w14:paraId="560CB251" w14:textId="77777777" w:rsidR="00D901C5" w:rsidRPr="00881795" w:rsidRDefault="00D901C5" w:rsidP="00395313">
            <w:pPr>
              <w:spacing w:line="288" w:lineRule="auto"/>
              <w:jc w:val="both"/>
              <w:rPr>
                <w:rFonts w:cs="Calibri"/>
                <w:color w:val="000000" w:themeColor="text1"/>
                <w:lang w:val="en-ZA"/>
              </w:rPr>
            </w:pPr>
            <w:r w:rsidRPr="00881795">
              <w:rPr>
                <w:rFonts w:cs="Calibri"/>
                <w:color w:val="000000" w:themeColor="text1"/>
                <w:lang w:val="en-ZA"/>
              </w:rPr>
              <w:t>Home Loans</w:t>
            </w:r>
          </w:p>
        </w:tc>
      </w:tr>
      <w:tr w:rsidR="00D901C5" w:rsidRPr="00881795" w14:paraId="6B17170F" w14:textId="77777777" w:rsidTr="00D901C5">
        <w:trPr>
          <w:trHeight w:val="316"/>
        </w:trPr>
        <w:tc>
          <w:tcPr>
            <w:tcW w:w="6141" w:type="dxa"/>
          </w:tcPr>
          <w:p w14:paraId="6845746A" w14:textId="77777777" w:rsidR="00D901C5" w:rsidRPr="00881795" w:rsidRDefault="00D901C5" w:rsidP="00395313">
            <w:pPr>
              <w:spacing w:line="288" w:lineRule="auto"/>
              <w:jc w:val="both"/>
              <w:rPr>
                <w:rFonts w:cs="Calibri"/>
                <w:b/>
                <w:bCs/>
                <w:i/>
                <w:iCs/>
                <w:color w:val="000000" w:themeColor="text1"/>
                <w:lang w:val="en-ZA"/>
              </w:rPr>
            </w:pPr>
            <w:r w:rsidRPr="00881795">
              <w:rPr>
                <w:rFonts w:cs="Calibri"/>
                <w:b/>
                <w:bCs/>
                <w:i/>
                <w:iCs/>
                <w:color w:val="000000" w:themeColor="text1"/>
                <w:lang w:val="en-ZA"/>
              </w:rPr>
              <w:t>Local and Foreign Donors</w:t>
            </w:r>
          </w:p>
        </w:tc>
        <w:tc>
          <w:tcPr>
            <w:tcW w:w="6141" w:type="dxa"/>
          </w:tcPr>
          <w:p w14:paraId="4B8FEA29" w14:textId="77777777" w:rsidR="00D901C5" w:rsidRPr="00881795" w:rsidRDefault="00D901C5" w:rsidP="00395313">
            <w:pPr>
              <w:spacing w:line="288" w:lineRule="auto"/>
              <w:jc w:val="both"/>
              <w:rPr>
                <w:rFonts w:cs="Calibri"/>
                <w:color w:val="000000" w:themeColor="text1"/>
                <w:lang w:val="en-ZA"/>
              </w:rPr>
            </w:pPr>
            <w:r w:rsidRPr="00881795">
              <w:rPr>
                <w:rFonts w:cs="Calibri"/>
                <w:color w:val="000000" w:themeColor="text1"/>
                <w:lang w:val="en-ZA"/>
              </w:rPr>
              <w:t>Funding</w:t>
            </w:r>
          </w:p>
        </w:tc>
      </w:tr>
      <w:tr w:rsidR="00D901C5" w:rsidRPr="00881795" w14:paraId="27FC7BC6" w14:textId="77777777" w:rsidTr="00D901C5">
        <w:trPr>
          <w:trHeight w:val="647"/>
        </w:trPr>
        <w:tc>
          <w:tcPr>
            <w:tcW w:w="6141" w:type="dxa"/>
          </w:tcPr>
          <w:p w14:paraId="6FDC976D" w14:textId="77777777" w:rsidR="00D901C5" w:rsidRPr="00881795" w:rsidRDefault="00D901C5" w:rsidP="00395313">
            <w:pPr>
              <w:spacing w:line="288" w:lineRule="auto"/>
              <w:jc w:val="both"/>
              <w:rPr>
                <w:rFonts w:cs="Calibri"/>
                <w:b/>
                <w:bCs/>
                <w:i/>
                <w:iCs/>
                <w:color w:val="000000" w:themeColor="text1"/>
                <w:lang w:val="en-ZA"/>
              </w:rPr>
            </w:pPr>
            <w:r w:rsidRPr="00881795">
              <w:rPr>
                <w:rFonts w:cs="Calibri"/>
                <w:b/>
                <w:bCs/>
                <w:i/>
                <w:iCs/>
                <w:color w:val="000000" w:themeColor="text1"/>
                <w:lang w:val="en-ZA"/>
              </w:rPr>
              <w:t xml:space="preserve">Department of Local Government and Traditional Affairs </w:t>
            </w:r>
          </w:p>
        </w:tc>
        <w:tc>
          <w:tcPr>
            <w:tcW w:w="6141" w:type="dxa"/>
          </w:tcPr>
          <w:p w14:paraId="7CAA2FE6" w14:textId="77777777" w:rsidR="00D901C5" w:rsidRPr="00881795" w:rsidRDefault="00D901C5" w:rsidP="00395313">
            <w:pPr>
              <w:spacing w:line="288" w:lineRule="auto"/>
              <w:jc w:val="both"/>
              <w:rPr>
                <w:rFonts w:cs="Calibri"/>
                <w:color w:val="000000" w:themeColor="text1"/>
                <w:lang w:val="en-ZA"/>
              </w:rPr>
            </w:pPr>
            <w:r w:rsidRPr="00881795">
              <w:rPr>
                <w:rFonts w:cs="Calibri"/>
                <w:color w:val="000000" w:themeColor="text1"/>
                <w:lang w:val="en-ZA"/>
              </w:rPr>
              <w:t>Facilitation of Housing Projects with other Dept. and Traditional Leadership</w:t>
            </w:r>
          </w:p>
        </w:tc>
      </w:tr>
    </w:tbl>
    <w:p w14:paraId="1C252017" w14:textId="77777777" w:rsidR="0025762B" w:rsidRDefault="0025762B" w:rsidP="00395313">
      <w:pPr>
        <w:spacing w:line="288" w:lineRule="auto"/>
        <w:jc w:val="both"/>
        <w:rPr>
          <w:rFonts w:cs="Calibri"/>
          <w:color w:val="000000" w:themeColor="text1"/>
          <w:lang w:val="en-ZA"/>
        </w:rPr>
      </w:pPr>
    </w:p>
    <w:p w14:paraId="010C506A" w14:textId="77777777" w:rsidR="00B06FA0" w:rsidRDefault="00B06FA0" w:rsidP="00395313">
      <w:pPr>
        <w:spacing w:line="288" w:lineRule="auto"/>
        <w:jc w:val="both"/>
        <w:rPr>
          <w:rFonts w:cs="Calibri"/>
          <w:color w:val="000000" w:themeColor="text1"/>
          <w:lang w:val="en-ZA"/>
        </w:rPr>
      </w:pPr>
    </w:p>
    <w:p w14:paraId="50759EDD" w14:textId="77777777" w:rsidR="00B06FA0" w:rsidRDefault="00B06FA0" w:rsidP="00395313">
      <w:pPr>
        <w:spacing w:line="288" w:lineRule="auto"/>
        <w:jc w:val="both"/>
        <w:rPr>
          <w:rFonts w:cs="Calibri"/>
          <w:color w:val="000000" w:themeColor="text1"/>
          <w:lang w:val="en-ZA"/>
        </w:rPr>
      </w:pPr>
    </w:p>
    <w:p w14:paraId="4B5C7281" w14:textId="77777777" w:rsidR="00B06FA0" w:rsidRDefault="00B06FA0" w:rsidP="00395313">
      <w:pPr>
        <w:spacing w:line="288" w:lineRule="auto"/>
        <w:jc w:val="both"/>
        <w:rPr>
          <w:rFonts w:cs="Calibri"/>
          <w:color w:val="000000" w:themeColor="text1"/>
          <w:lang w:val="en-ZA"/>
        </w:rPr>
      </w:pPr>
    </w:p>
    <w:p w14:paraId="3B1142BA" w14:textId="77777777" w:rsidR="0037082E" w:rsidRPr="00F8472B" w:rsidRDefault="004D7441" w:rsidP="00750180">
      <w:pPr>
        <w:pStyle w:val="Heading3"/>
        <w:numPr>
          <w:ilvl w:val="2"/>
          <w:numId w:val="29"/>
        </w:numPr>
      </w:pPr>
      <w:bookmarkStart w:id="361" w:name="_Toc389739926"/>
      <w:bookmarkStart w:id="362" w:name="_Toc510706625"/>
      <w:r w:rsidRPr="00F8472B">
        <w:t>TELECOMMUNICATIONS</w:t>
      </w:r>
      <w:bookmarkEnd w:id="361"/>
      <w:bookmarkEnd w:id="362"/>
    </w:p>
    <w:p w14:paraId="2039B37D" w14:textId="77777777" w:rsidR="00F8472B" w:rsidRDefault="00F8472B" w:rsidP="00F8472B">
      <w:pPr>
        <w:pStyle w:val="Caption"/>
        <w:spacing w:after="0"/>
      </w:pPr>
      <w:bookmarkStart w:id="363" w:name="_Toc389739927"/>
    </w:p>
    <w:p w14:paraId="60A774AF" w14:textId="22ED2053" w:rsidR="00232C85" w:rsidRPr="00A4746B" w:rsidRDefault="00E020EA" w:rsidP="00F8472B">
      <w:pPr>
        <w:pStyle w:val="Caption"/>
        <w:spacing w:after="0"/>
      </w:pPr>
      <w:bookmarkStart w:id="364" w:name="_Toc510622298"/>
      <w:r>
        <w:t xml:space="preserve">Table </w:t>
      </w:r>
      <w:r w:rsidR="00B918A6">
        <w:fldChar w:fldCharType="begin"/>
      </w:r>
      <w:r w:rsidR="00B918A6">
        <w:instrText xml:space="preserve"> SEQ Table \* ARABIC </w:instrText>
      </w:r>
      <w:r w:rsidR="00B918A6">
        <w:fldChar w:fldCharType="separate"/>
      </w:r>
      <w:r w:rsidR="0067023A">
        <w:rPr>
          <w:noProof/>
        </w:rPr>
        <w:t>48</w:t>
      </w:r>
      <w:r w:rsidR="00B918A6">
        <w:rPr>
          <w:noProof/>
        </w:rPr>
        <w:fldChar w:fldCharType="end"/>
      </w:r>
      <w:r>
        <w:t xml:space="preserve">: </w:t>
      </w:r>
      <w:r w:rsidR="00232C85" w:rsidRPr="00A4746B">
        <w:t>Household Ac</w:t>
      </w:r>
      <w:r w:rsidR="00D65921">
        <w:t>cess to Telecommunications (2016</w:t>
      </w:r>
      <w:r w:rsidR="00232C85" w:rsidRPr="00A4746B">
        <w:t>)</w:t>
      </w:r>
      <w:bookmarkEnd w:id="363"/>
      <w:bookmarkEnd w:id="364"/>
    </w:p>
    <w:tbl>
      <w:tblPr>
        <w:tblW w:w="8781" w:type="dxa"/>
        <w:tblInd w:w="-5" w:type="dxa"/>
        <w:tblLook w:val="04A0" w:firstRow="1" w:lastRow="0" w:firstColumn="1" w:lastColumn="0" w:noHBand="0" w:noVBand="1"/>
      </w:tblPr>
      <w:tblGrid>
        <w:gridCol w:w="1998"/>
        <w:gridCol w:w="4652"/>
        <w:gridCol w:w="1270"/>
        <w:gridCol w:w="861"/>
      </w:tblGrid>
      <w:tr w:rsidR="00D65921" w:rsidRPr="00D65921" w14:paraId="0FDC9DA8" w14:textId="77777777" w:rsidTr="00D65921">
        <w:trPr>
          <w:trHeight w:val="259"/>
        </w:trPr>
        <w:tc>
          <w:tcPr>
            <w:tcW w:w="0" w:type="auto"/>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13345935" w14:textId="77777777" w:rsidR="00D65921" w:rsidRPr="00D65921" w:rsidRDefault="00D65921" w:rsidP="00D65921">
            <w:pPr>
              <w:spacing w:after="0" w:line="240" w:lineRule="auto"/>
              <w:jc w:val="center"/>
              <w:rPr>
                <w:rFonts w:cs="Calibri"/>
                <w:b/>
                <w:color w:val="FFFFFF" w:themeColor="background1"/>
                <w:lang w:val="en-ZA"/>
              </w:rPr>
            </w:pPr>
            <w:r w:rsidRPr="00D65921">
              <w:rPr>
                <w:rFonts w:cs="Calibri"/>
                <w:b/>
                <w:color w:val="FFFFFF" w:themeColor="background1"/>
                <w:lang w:val="en-ZA"/>
              </w:rPr>
              <w:t>INDICATOR</w:t>
            </w:r>
          </w:p>
        </w:tc>
        <w:tc>
          <w:tcPr>
            <w:tcW w:w="0" w:type="auto"/>
            <w:tcBorders>
              <w:top w:val="single" w:sz="4" w:space="0" w:color="auto"/>
              <w:left w:val="nil"/>
              <w:bottom w:val="single" w:sz="4" w:space="0" w:color="auto"/>
              <w:right w:val="single" w:sz="4" w:space="0" w:color="auto"/>
            </w:tcBorders>
            <w:shd w:val="clear" w:color="auto" w:fill="000000" w:themeFill="text1"/>
            <w:noWrap/>
            <w:vAlign w:val="bottom"/>
          </w:tcPr>
          <w:p w14:paraId="5A4F14DA" w14:textId="77777777" w:rsidR="00D65921" w:rsidRPr="00D65921" w:rsidRDefault="00D65921" w:rsidP="00D65921">
            <w:pPr>
              <w:spacing w:after="0" w:line="240" w:lineRule="auto"/>
              <w:jc w:val="center"/>
              <w:rPr>
                <w:rFonts w:cs="Calibri"/>
                <w:b/>
                <w:color w:val="FFFFFF" w:themeColor="background1"/>
                <w:lang w:val="en-ZA"/>
              </w:rPr>
            </w:pPr>
            <w:r w:rsidRPr="00D65921">
              <w:rPr>
                <w:rFonts w:cs="Calibri"/>
                <w:b/>
                <w:color w:val="FFFFFF" w:themeColor="background1"/>
                <w:lang w:val="en-ZA"/>
              </w:rPr>
              <w:t>TYPE</w:t>
            </w:r>
          </w:p>
        </w:tc>
        <w:tc>
          <w:tcPr>
            <w:tcW w:w="0" w:type="auto"/>
            <w:tcBorders>
              <w:top w:val="single" w:sz="4" w:space="0" w:color="auto"/>
              <w:left w:val="nil"/>
              <w:bottom w:val="single" w:sz="4" w:space="0" w:color="auto"/>
              <w:right w:val="single" w:sz="4" w:space="0" w:color="auto"/>
            </w:tcBorders>
            <w:shd w:val="clear" w:color="auto" w:fill="000000" w:themeFill="text1"/>
            <w:noWrap/>
            <w:vAlign w:val="bottom"/>
          </w:tcPr>
          <w:p w14:paraId="26DFDDCB" w14:textId="77777777" w:rsidR="00D65921" w:rsidRPr="00D65921" w:rsidRDefault="00D65921" w:rsidP="00D65921">
            <w:pPr>
              <w:spacing w:after="0" w:line="240" w:lineRule="auto"/>
              <w:jc w:val="center"/>
              <w:rPr>
                <w:rFonts w:cs="Calibri"/>
                <w:b/>
                <w:color w:val="FFFFFF" w:themeColor="background1"/>
                <w:lang w:val="en-ZA"/>
              </w:rPr>
            </w:pPr>
            <w:r w:rsidRPr="00D65921">
              <w:rPr>
                <w:rFonts w:cs="Calibri"/>
                <w:b/>
                <w:color w:val="FFFFFF" w:themeColor="background1"/>
                <w:lang w:val="en-ZA"/>
              </w:rPr>
              <w:t>NO OF HH</w:t>
            </w:r>
          </w:p>
        </w:tc>
        <w:tc>
          <w:tcPr>
            <w:tcW w:w="0" w:type="auto"/>
            <w:tcBorders>
              <w:top w:val="single" w:sz="4" w:space="0" w:color="auto"/>
              <w:left w:val="nil"/>
              <w:bottom w:val="single" w:sz="4" w:space="0" w:color="auto"/>
              <w:right w:val="single" w:sz="4" w:space="0" w:color="auto"/>
            </w:tcBorders>
            <w:shd w:val="clear" w:color="auto" w:fill="000000" w:themeFill="text1"/>
            <w:noWrap/>
            <w:vAlign w:val="bottom"/>
          </w:tcPr>
          <w:p w14:paraId="754C6C1D" w14:textId="77777777" w:rsidR="00D65921" w:rsidRPr="00D65921" w:rsidRDefault="00D65921" w:rsidP="00D65921">
            <w:pPr>
              <w:spacing w:after="0" w:line="240" w:lineRule="auto"/>
              <w:jc w:val="center"/>
              <w:rPr>
                <w:rFonts w:cs="Calibri"/>
                <w:b/>
                <w:color w:val="FFFFFF" w:themeColor="background1"/>
                <w:lang w:val="en-ZA"/>
              </w:rPr>
            </w:pPr>
            <w:r w:rsidRPr="00D65921">
              <w:rPr>
                <w:rFonts w:cs="Calibri"/>
                <w:b/>
                <w:color w:val="FFFFFF" w:themeColor="background1"/>
                <w:lang w:val="en-ZA"/>
              </w:rPr>
              <w:t>(%)</w:t>
            </w:r>
          </w:p>
        </w:tc>
      </w:tr>
      <w:tr w:rsidR="00D65921" w:rsidRPr="00D65921" w14:paraId="540D3C95" w14:textId="77777777" w:rsidTr="00D65921">
        <w:trPr>
          <w:trHeight w:val="259"/>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98F918" w14:textId="77777777" w:rsidR="00D65921" w:rsidRPr="00D65921" w:rsidRDefault="00D65921" w:rsidP="00D65921">
            <w:pPr>
              <w:spacing w:after="0" w:line="240" w:lineRule="auto"/>
              <w:rPr>
                <w:rFonts w:cs="Calibri"/>
                <w:color w:val="000000" w:themeColor="text1"/>
                <w:lang w:val="en-ZA"/>
              </w:rPr>
            </w:pPr>
            <w:r w:rsidRPr="00D65921">
              <w:rPr>
                <w:rFonts w:cs="Calibri"/>
                <w:color w:val="000000" w:themeColor="text1"/>
                <w:lang w:val="en-ZA"/>
              </w:rPr>
              <w:t>Household Goods</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098D700" w14:textId="77777777" w:rsidR="00D65921" w:rsidRPr="00D65921" w:rsidRDefault="00D65921" w:rsidP="00D65921">
            <w:pPr>
              <w:spacing w:after="0" w:line="240" w:lineRule="auto"/>
              <w:rPr>
                <w:rFonts w:cs="Calibri"/>
                <w:color w:val="000000" w:themeColor="text1"/>
                <w:lang w:val="en-ZA"/>
              </w:rPr>
            </w:pPr>
            <w:r w:rsidRPr="00D65921">
              <w:rPr>
                <w:rFonts w:cs="Calibri"/>
                <w:color w:val="000000" w:themeColor="text1"/>
                <w:lang w:val="en-ZA"/>
              </w:rPr>
              <w:t>Cellphone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27CE734" w14:textId="77777777" w:rsidR="00D65921" w:rsidRPr="00D65921" w:rsidRDefault="00D65921" w:rsidP="00D65921">
            <w:pPr>
              <w:spacing w:after="0" w:line="240" w:lineRule="auto"/>
              <w:jc w:val="center"/>
              <w:rPr>
                <w:rFonts w:cs="Calibri"/>
                <w:color w:val="000000" w:themeColor="text1"/>
                <w:lang w:val="en-ZA"/>
              </w:rPr>
            </w:pPr>
            <w:r w:rsidRPr="00D65921">
              <w:rPr>
                <w:rFonts w:cs="Calibri"/>
                <w:color w:val="000000" w:themeColor="text1"/>
                <w:lang w:val="en-ZA"/>
              </w:rPr>
              <w:t>41 960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CBE8551" w14:textId="77777777" w:rsidR="00D65921" w:rsidRPr="00D65921" w:rsidRDefault="00D65921" w:rsidP="00D65921">
            <w:pPr>
              <w:spacing w:after="0" w:line="240" w:lineRule="auto"/>
              <w:jc w:val="center"/>
              <w:rPr>
                <w:rFonts w:cs="Calibri"/>
                <w:color w:val="000000" w:themeColor="text1"/>
                <w:lang w:val="en-ZA"/>
              </w:rPr>
            </w:pPr>
            <w:r w:rsidRPr="00D65921">
              <w:rPr>
                <w:rFonts w:cs="Calibri"/>
                <w:color w:val="000000" w:themeColor="text1"/>
                <w:lang w:val="en-ZA"/>
              </w:rPr>
              <w:t>89.4%</w:t>
            </w:r>
          </w:p>
        </w:tc>
      </w:tr>
      <w:tr w:rsidR="00D65921" w:rsidRPr="00D65921" w14:paraId="2B19AC0A" w14:textId="77777777" w:rsidTr="00D65921">
        <w:trPr>
          <w:trHeight w:val="25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D9F6E6" w14:textId="77777777" w:rsidR="00D65921" w:rsidRPr="00D65921" w:rsidRDefault="00D65921" w:rsidP="00D65921">
            <w:pPr>
              <w:spacing w:after="0" w:line="240" w:lineRule="auto"/>
              <w:rPr>
                <w:rFonts w:cs="Calibri"/>
                <w:color w:val="000000" w:themeColor="text1"/>
                <w:lang w:val="en-ZA"/>
              </w:rPr>
            </w:pPr>
          </w:p>
        </w:tc>
        <w:tc>
          <w:tcPr>
            <w:tcW w:w="0" w:type="auto"/>
            <w:tcBorders>
              <w:top w:val="nil"/>
              <w:left w:val="nil"/>
              <w:bottom w:val="single" w:sz="4" w:space="0" w:color="auto"/>
              <w:right w:val="single" w:sz="4" w:space="0" w:color="auto"/>
            </w:tcBorders>
            <w:shd w:val="clear" w:color="auto" w:fill="auto"/>
            <w:noWrap/>
            <w:vAlign w:val="bottom"/>
            <w:hideMark/>
          </w:tcPr>
          <w:p w14:paraId="36E19612" w14:textId="77777777" w:rsidR="00D65921" w:rsidRPr="00D65921" w:rsidRDefault="00D65921" w:rsidP="00D65921">
            <w:pPr>
              <w:spacing w:after="0" w:line="240" w:lineRule="auto"/>
              <w:rPr>
                <w:rFonts w:cs="Calibri"/>
                <w:color w:val="000000" w:themeColor="text1"/>
                <w:lang w:val="en-ZA"/>
              </w:rPr>
            </w:pPr>
            <w:r w:rsidRPr="00D65921">
              <w:rPr>
                <w:rFonts w:cs="Calibri"/>
                <w:color w:val="000000" w:themeColor="text1"/>
                <w:lang w:val="en-ZA"/>
              </w:rPr>
              <w:t>Landline</w:t>
            </w:r>
          </w:p>
        </w:tc>
        <w:tc>
          <w:tcPr>
            <w:tcW w:w="0" w:type="auto"/>
            <w:tcBorders>
              <w:top w:val="nil"/>
              <w:left w:val="nil"/>
              <w:bottom w:val="single" w:sz="4" w:space="0" w:color="auto"/>
              <w:right w:val="single" w:sz="4" w:space="0" w:color="auto"/>
            </w:tcBorders>
            <w:shd w:val="clear" w:color="auto" w:fill="auto"/>
            <w:noWrap/>
            <w:vAlign w:val="bottom"/>
            <w:hideMark/>
          </w:tcPr>
          <w:p w14:paraId="0746F314" w14:textId="77777777" w:rsidR="00D65921" w:rsidRPr="00D65921" w:rsidRDefault="00D65921" w:rsidP="00D65921">
            <w:pPr>
              <w:spacing w:after="0" w:line="240" w:lineRule="auto"/>
              <w:jc w:val="center"/>
              <w:rPr>
                <w:rFonts w:cs="Calibri"/>
                <w:color w:val="000000" w:themeColor="text1"/>
                <w:lang w:val="en-ZA"/>
              </w:rPr>
            </w:pPr>
            <w:r w:rsidRPr="00D65921">
              <w:rPr>
                <w:rFonts w:cs="Calibri"/>
                <w:color w:val="000000" w:themeColor="text1"/>
                <w:lang w:val="en-ZA"/>
              </w:rPr>
              <w:t>1 966</w:t>
            </w:r>
          </w:p>
        </w:tc>
        <w:tc>
          <w:tcPr>
            <w:tcW w:w="0" w:type="auto"/>
            <w:tcBorders>
              <w:top w:val="nil"/>
              <w:left w:val="nil"/>
              <w:bottom w:val="single" w:sz="4" w:space="0" w:color="auto"/>
              <w:right w:val="single" w:sz="4" w:space="0" w:color="auto"/>
            </w:tcBorders>
            <w:shd w:val="clear" w:color="auto" w:fill="auto"/>
            <w:noWrap/>
            <w:vAlign w:val="bottom"/>
            <w:hideMark/>
          </w:tcPr>
          <w:p w14:paraId="47E80521" w14:textId="77777777" w:rsidR="00D65921" w:rsidRPr="00D65921" w:rsidRDefault="00D65921" w:rsidP="00D65921">
            <w:pPr>
              <w:spacing w:after="0" w:line="240" w:lineRule="auto"/>
              <w:jc w:val="center"/>
              <w:rPr>
                <w:rFonts w:cs="Calibri"/>
                <w:color w:val="000000" w:themeColor="text1"/>
                <w:lang w:val="en-ZA"/>
              </w:rPr>
            </w:pPr>
            <w:r w:rsidRPr="00D65921">
              <w:rPr>
                <w:rFonts w:cs="Calibri"/>
                <w:color w:val="000000" w:themeColor="text1"/>
                <w:lang w:val="en-ZA"/>
              </w:rPr>
              <w:t>4.2%</w:t>
            </w:r>
          </w:p>
        </w:tc>
      </w:tr>
      <w:tr w:rsidR="00D65921" w:rsidRPr="00D65921" w14:paraId="686CE347" w14:textId="77777777" w:rsidTr="00D65921">
        <w:trPr>
          <w:trHeight w:val="25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E9C870" w14:textId="77777777" w:rsidR="00D65921" w:rsidRPr="00D65921" w:rsidRDefault="00D65921" w:rsidP="00D65921">
            <w:pPr>
              <w:spacing w:after="0" w:line="240" w:lineRule="auto"/>
              <w:rPr>
                <w:rFonts w:cs="Calibri"/>
                <w:color w:val="000000" w:themeColor="text1"/>
                <w:lang w:val="en-ZA"/>
              </w:rPr>
            </w:pPr>
          </w:p>
        </w:tc>
        <w:tc>
          <w:tcPr>
            <w:tcW w:w="0" w:type="auto"/>
            <w:tcBorders>
              <w:top w:val="nil"/>
              <w:left w:val="nil"/>
              <w:bottom w:val="single" w:sz="4" w:space="0" w:color="auto"/>
              <w:right w:val="single" w:sz="4" w:space="0" w:color="auto"/>
            </w:tcBorders>
            <w:shd w:val="clear" w:color="auto" w:fill="auto"/>
            <w:noWrap/>
            <w:vAlign w:val="bottom"/>
            <w:hideMark/>
          </w:tcPr>
          <w:p w14:paraId="2DBB2B22" w14:textId="77777777" w:rsidR="00D65921" w:rsidRPr="00D65921" w:rsidRDefault="00D65921" w:rsidP="00D65921">
            <w:pPr>
              <w:spacing w:after="0" w:line="240" w:lineRule="auto"/>
              <w:rPr>
                <w:rFonts w:cs="Calibri"/>
                <w:color w:val="000000" w:themeColor="text1"/>
                <w:lang w:val="en-ZA"/>
              </w:rPr>
            </w:pPr>
            <w:r w:rsidRPr="00D65921">
              <w:rPr>
                <w:rFonts w:cs="Calibri"/>
                <w:color w:val="000000" w:themeColor="text1"/>
                <w:lang w:val="en-ZA"/>
              </w:rPr>
              <w:t>Satelite decoder</w:t>
            </w:r>
          </w:p>
        </w:tc>
        <w:tc>
          <w:tcPr>
            <w:tcW w:w="0" w:type="auto"/>
            <w:tcBorders>
              <w:top w:val="nil"/>
              <w:left w:val="nil"/>
              <w:bottom w:val="single" w:sz="4" w:space="0" w:color="auto"/>
              <w:right w:val="single" w:sz="4" w:space="0" w:color="auto"/>
            </w:tcBorders>
            <w:shd w:val="clear" w:color="auto" w:fill="auto"/>
            <w:noWrap/>
            <w:vAlign w:val="bottom"/>
            <w:hideMark/>
          </w:tcPr>
          <w:p w14:paraId="007284E8" w14:textId="77777777" w:rsidR="00D65921" w:rsidRPr="00D65921" w:rsidRDefault="00D65921" w:rsidP="00D65921">
            <w:pPr>
              <w:spacing w:after="0" w:line="240" w:lineRule="auto"/>
              <w:jc w:val="center"/>
              <w:rPr>
                <w:rFonts w:cs="Calibri"/>
                <w:color w:val="000000" w:themeColor="text1"/>
                <w:lang w:val="en-ZA"/>
              </w:rPr>
            </w:pPr>
            <w:r w:rsidRPr="00D65921">
              <w:rPr>
                <w:rFonts w:cs="Calibri"/>
                <w:color w:val="000000" w:themeColor="text1"/>
                <w:lang w:val="en-ZA"/>
              </w:rPr>
              <w:t>9 048</w:t>
            </w:r>
          </w:p>
        </w:tc>
        <w:tc>
          <w:tcPr>
            <w:tcW w:w="0" w:type="auto"/>
            <w:tcBorders>
              <w:top w:val="nil"/>
              <w:left w:val="nil"/>
              <w:bottom w:val="single" w:sz="4" w:space="0" w:color="auto"/>
              <w:right w:val="single" w:sz="4" w:space="0" w:color="auto"/>
            </w:tcBorders>
            <w:shd w:val="clear" w:color="auto" w:fill="auto"/>
            <w:noWrap/>
            <w:vAlign w:val="bottom"/>
            <w:hideMark/>
          </w:tcPr>
          <w:p w14:paraId="44616BAF" w14:textId="77777777" w:rsidR="00D65921" w:rsidRPr="00D65921" w:rsidRDefault="00D65921" w:rsidP="00D65921">
            <w:pPr>
              <w:spacing w:after="0" w:line="240" w:lineRule="auto"/>
              <w:jc w:val="center"/>
              <w:rPr>
                <w:rFonts w:cs="Calibri"/>
                <w:color w:val="000000" w:themeColor="text1"/>
                <w:lang w:val="en-ZA"/>
              </w:rPr>
            </w:pPr>
            <w:r w:rsidRPr="00D65921">
              <w:rPr>
                <w:rFonts w:cs="Calibri"/>
                <w:color w:val="000000" w:themeColor="text1"/>
                <w:lang w:val="en-ZA"/>
              </w:rPr>
              <w:t>19.3%</w:t>
            </w:r>
          </w:p>
        </w:tc>
      </w:tr>
      <w:tr w:rsidR="00D65921" w:rsidRPr="00D65921" w14:paraId="0FBA257F" w14:textId="77777777" w:rsidTr="00D65921">
        <w:trPr>
          <w:trHeight w:val="25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5803C5" w14:textId="77777777" w:rsidR="00D65921" w:rsidRPr="00D65921" w:rsidRDefault="00D65921" w:rsidP="00D65921">
            <w:pPr>
              <w:spacing w:after="0" w:line="240" w:lineRule="auto"/>
              <w:rPr>
                <w:rFonts w:cs="Calibri"/>
                <w:color w:val="000000" w:themeColor="text1"/>
                <w:lang w:val="en-ZA"/>
              </w:rPr>
            </w:pPr>
          </w:p>
        </w:tc>
        <w:tc>
          <w:tcPr>
            <w:tcW w:w="0" w:type="auto"/>
            <w:tcBorders>
              <w:top w:val="nil"/>
              <w:left w:val="nil"/>
              <w:bottom w:val="single" w:sz="4" w:space="0" w:color="auto"/>
              <w:right w:val="single" w:sz="4" w:space="0" w:color="auto"/>
            </w:tcBorders>
            <w:shd w:val="clear" w:color="auto" w:fill="auto"/>
            <w:noWrap/>
            <w:vAlign w:val="bottom"/>
            <w:hideMark/>
          </w:tcPr>
          <w:p w14:paraId="2F956267" w14:textId="77777777" w:rsidR="00D65921" w:rsidRPr="00D65921" w:rsidRDefault="00D65921" w:rsidP="00D65921">
            <w:pPr>
              <w:spacing w:after="0" w:line="240" w:lineRule="auto"/>
              <w:rPr>
                <w:rFonts w:cs="Calibri"/>
                <w:color w:val="000000" w:themeColor="text1"/>
                <w:lang w:val="en-ZA"/>
              </w:rPr>
            </w:pPr>
            <w:r w:rsidRPr="00D65921">
              <w:rPr>
                <w:rFonts w:cs="Calibri"/>
                <w:color w:val="000000" w:themeColor="text1"/>
                <w:lang w:val="en-ZA"/>
              </w:rPr>
              <w:t>Tablet of Phablet</w:t>
            </w:r>
          </w:p>
        </w:tc>
        <w:tc>
          <w:tcPr>
            <w:tcW w:w="0" w:type="auto"/>
            <w:tcBorders>
              <w:top w:val="nil"/>
              <w:left w:val="nil"/>
              <w:bottom w:val="single" w:sz="4" w:space="0" w:color="auto"/>
              <w:right w:val="single" w:sz="4" w:space="0" w:color="auto"/>
            </w:tcBorders>
            <w:shd w:val="clear" w:color="auto" w:fill="auto"/>
            <w:noWrap/>
            <w:vAlign w:val="bottom"/>
            <w:hideMark/>
          </w:tcPr>
          <w:p w14:paraId="10ECC7FC" w14:textId="77777777" w:rsidR="00D65921" w:rsidRPr="00D65921" w:rsidRDefault="00D65921" w:rsidP="00D65921">
            <w:pPr>
              <w:spacing w:after="0" w:line="240" w:lineRule="auto"/>
              <w:jc w:val="center"/>
              <w:rPr>
                <w:rFonts w:cs="Calibri"/>
                <w:color w:val="000000" w:themeColor="text1"/>
                <w:lang w:val="en-ZA"/>
              </w:rPr>
            </w:pPr>
            <w:r w:rsidRPr="00D65921">
              <w:rPr>
                <w:rFonts w:cs="Calibri"/>
                <w:color w:val="000000" w:themeColor="text1"/>
                <w:lang w:val="en-ZA"/>
              </w:rPr>
              <w:t>5 119</w:t>
            </w:r>
          </w:p>
        </w:tc>
        <w:tc>
          <w:tcPr>
            <w:tcW w:w="0" w:type="auto"/>
            <w:tcBorders>
              <w:top w:val="nil"/>
              <w:left w:val="nil"/>
              <w:bottom w:val="single" w:sz="4" w:space="0" w:color="auto"/>
              <w:right w:val="single" w:sz="4" w:space="0" w:color="auto"/>
            </w:tcBorders>
            <w:shd w:val="clear" w:color="auto" w:fill="auto"/>
            <w:noWrap/>
            <w:vAlign w:val="bottom"/>
            <w:hideMark/>
          </w:tcPr>
          <w:p w14:paraId="66C0DBB9" w14:textId="77777777" w:rsidR="00D65921" w:rsidRPr="00D65921" w:rsidRDefault="00D65921" w:rsidP="00D65921">
            <w:pPr>
              <w:spacing w:after="0" w:line="240" w:lineRule="auto"/>
              <w:jc w:val="center"/>
              <w:rPr>
                <w:rFonts w:cs="Calibri"/>
                <w:color w:val="000000" w:themeColor="text1"/>
                <w:lang w:val="en-ZA"/>
              </w:rPr>
            </w:pPr>
            <w:r w:rsidRPr="00D65921">
              <w:rPr>
                <w:rFonts w:cs="Calibri"/>
                <w:color w:val="000000" w:themeColor="text1"/>
                <w:lang w:val="en-ZA"/>
              </w:rPr>
              <w:t>10.9%</w:t>
            </w:r>
          </w:p>
        </w:tc>
      </w:tr>
      <w:tr w:rsidR="00D65921" w:rsidRPr="00D65921" w14:paraId="3E7CB9B4" w14:textId="77777777" w:rsidTr="00D65921">
        <w:trPr>
          <w:trHeight w:val="25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3D3214" w14:textId="77777777" w:rsidR="00D65921" w:rsidRPr="00D65921" w:rsidRDefault="00D65921" w:rsidP="00D65921">
            <w:pPr>
              <w:spacing w:after="0" w:line="240" w:lineRule="auto"/>
              <w:rPr>
                <w:rFonts w:cs="Calibri"/>
                <w:color w:val="000000" w:themeColor="text1"/>
                <w:lang w:val="en-ZA"/>
              </w:rPr>
            </w:pPr>
          </w:p>
        </w:tc>
        <w:tc>
          <w:tcPr>
            <w:tcW w:w="0" w:type="auto"/>
            <w:tcBorders>
              <w:top w:val="nil"/>
              <w:left w:val="nil"/>
              <w:bottom w:val="single" w:sz="4" w:space="0" w:color="auto"/>
              <w:right w:val="single" w:sz="4" w:space="0" w:color="auto"/>
            </w:tcBorders>
            <w:shd w:val="clear" w:color="auto" w:fill="auto"/>
            <w:noWrap/>
            <w:vAlign w:val="bottom"/>
            <w:hideMark/>
          </w:tcPr>
          <w:p w14:paraId="0DB72B45" w14:textId="77777777" w:rsidR="00D65921" w:rsidRPr="00D65921" w:rsidRDefault="00D65921" w:rsidP="00D65921">
            <w:pPr>
              <w:spacing w:after="0" w:line="240" w:lineRule="auto"/>
              <w:rPr>
                <w:rFonts w:cs="Calibri"/>
                <w:color w:val="000000" w:themeColor="text1"/>
                <w:lang w:val="en-ZA"/>
              </w:rPr>
            </w:pPr>
            <w:r w:rsidRPr="00D65921">
              <w:rPr>
                <w:rFonts w:cs="Calibri"/>
                <w:color w:val="000000" w:themeColor="text1"/>
                <w:lang w:val="en-ZA"/>
              </w:rPr>
              <w:t>Television</w:t>
            </w:r>
          </w:p>
        </w:tc>
        <w:tc>
          <w:tcPr>
            <w:tcW w:w="0" w:type="auto"/>
            <w:tcBorders>
              <w:top w:val="nil"/>
              <w:left w:val="nil"/>
              <w:bottom w:val="single" w:sz="4" w:space="0" w:color="auto"/>
              <w:right w:val="single" w:sz="4" w:space="0" w:color="auto"/>
            </w:tcBorders>
            <w:shd w:val="clear" w:color="auto" w:fill="auto"/>
            <w:noWrap/>
            <w:vAlign w:val="bottom"/>
            <w:hideMark/>
          </w:tcPr>
          <w:p w14:paraId="4703AF3D" w14:textId="77777777" w:rsidR="00D65921" w:rsidRPr="00D65921" w:rsidRDefault="00D65921" w:rsidP="00D65921">
            <w:pPr>
              <w:spacing w:after="0" w:line="240" w:lineRule="auto"/>
              <w:jc w:val="center"/>
              <w:rPr>
                <w:rFonts w:cs="Calibri"/>
                <w:color w:val="000000" w:themeColor="text1"/>
                <w:lang w:val="en-ZA"/>
              </w:rPr>
            </w:pPr>
            <w:r w:rsidRPr="00D65921">
              <w:rPr>
                <w:rFonts w:cs="Calibri"/>
                <w:color w:val="000000" w:themeColor="text1"/>
                <w:lang w:val="en-ZA"/>
              </w:rPr>
              <w:t>32 302</w:t>
            </w:r>
          </w:p>
        </w:tc>
        <w:tc>
          <w:tcPr>
            <w:tcW w:w="0" w:type="auto"/>
            <w:tcBorders>
              <w:top w:val="nil"/>
              <w:left w:val="nil"/>
              <w:bottom w:val="single" w:sz="4" w:space="0" w:color="auto"/>
              <w:right w:val="single" w:sz="4" w:space="0" w:color="auto"/>
            </w:tcBorders>
            <w:shd w:val="clear" w:color="auto" w:fill="auto"/>
            <w:noWrap/>
            <w:vAlign w:val="bottom"/>
            <w:hideMark/>
          </w:tcPr>
          <w:p w14:paraId="73668156" w14:textId="77777777" w:rsidR="00D65921" w:rsidRPr="00D65921" w:rsidRDefault="00D65921" w:rsidP="00D65921">
            <w:pPr>
              <w:spacing w:after="0" w:line="240" w:lineRule="auto"/>
              <w:jc w:val="center"/>
              <w:rPr>
                <w:rFonts w:cs="Calibri"/>
                <w:color w:val="000000" w:themeColor="text1"/>
                <w:lang w:val="en-ZA"/>
              </w:rPr>
            </w:pPr>
            <w:r w:rsidRPr="00D65921">
              <w:rPr>
                <w:rFonts w:cs="Calibri"/>
                <w:color w:val="000000" w:themeColor="text1"/>
                <w:lang w:val="en-ZA"/>
              </w:rPr>
              <w:t>68.8%</w:t>
            </w:r>
          </w:p>
        </w:tc>
      </w:tr>
      <w:tr w:rsidR="00D65921" w:rsidRPr="00D65921" w14:paraId="26572856" w14:textId="77777777" w:rsidTr="00D65921">
        <w:trPr>
          <w:trHeight w:val="25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ECF2CD" w14:textId="77777777" w:rsidR="00D65921" w:rsidRPr="00D65921" w:rsidRDefault="00D65921" w:rsidP="00D65921">
            <w:pPr>
              <w:spacing w:after="0" w:line="240" w:lineRule="auto"/>
              <w:rPr>
                <w:rFonts w:cs="Calibri"/>
                <w:color w:val="000000" w:themeColor="text1"/>
                <w:lang w:val="en-ZA"/>
              </w:rPr>
            </w:pPr>
          </w:p>
        </w:tc>
        <w:tc>
          <w:tcPr>
            <w:tcW w:w="0" w:type="auto"/>
            <w:tcBorders>
              <w:top w:val="nil"/>
              <w:left w:val="nil"/>
              <w:bottom w:val="single" w:sz="4" w:space="0" w:color="auto"/>
              <w:right w:val="single" w:sz="4" w:space="0" w:color="auto"/>
            </w:tcBorders>
            <w:shd w:val="clear" w:color="auto" w:fill="auto"/>
            <w:noWrap/>
            <w:vAlign w:val="bottom"/>
            <w:hideMark/>
          </w:tcPr>
          <w:p w14:paraId="0A2B7619" w14:textId="77777777" w:rsidR="00D65921" w:rsidRPr="00D65921" w:rsidRDefault="00D65921" w:rsidP="00D65921">
            <w:pPr>
              <w:spacing w:after="0" w:line="240" w:lineRule="auto"/>
              <w:rPr>
                <w:rFonts w:cs="Calibri"/>
                <w:color w:val="000000" w:themeColor="text1"/>
                <w:lang w:val="en-ZA"/>
              </w:rPr>
            </w:pPr>
            <w:r w:rsidRPr="00D65921">
              <w:rPr>
                <w:rFonts w:cs="Calibri"/>
                <w:color w:val="000000" w:themeColor="text1"/>
                <w:lang w:val="en-ZA"/>
              </w:rPr>
              <w:t>Internet Services - Connected in the dwelling</w:t>
            </w:r>
          </w:p>
        </w:tc>
        <w:tc>
          <w:tcPr>
            <w:tcW w:w="0" w:type="auto"/>
            <w:tcBorders>
              <w:top w:val="nil"/>
              <w:left w:val="nil"/>
              <w:bottom w:val="single" w:sz="4" w:space="0" w:color="auto"/>
              <w:right w:val="single" w:sz="4" w:space="0" w:color="auto"/>
            </w:tcBorders>
            <w:shd w:val="clear" w:color="auto" w:fill="auto"/>
            <w:noWrap/>
            <w:vAlign w:val="bottom"/>
            <w:hideMark/>
          </w:tcPr>
          <w:p w14:paraId="405E4578" w14:textId="77777777" w:rsidR="00D65921" w:rsidRPr="00D65921" w:rsidRDefault="00D65921" w:rsidP="00D65921">
            <w:pPr>
              <w:spacing w:after="0" w:line="240" w:lineRule="auto"/>
              <w:jc w:val="center"/>
              <w:rPr>
                <w:rFonts w:cs="Calibri"/>
                <w:color w:val="000000" w:themeColor="text1"/>
                <w:lang w:val="en-ZA"/>
              </w:rPr>
            </w:pPr>
            <w:r w:rsidRPr="00D65921">
              <w:rPr>
                <w:rFonts w:cs="Calibri"/>
                <w:color w:val="000000" w:themeColor="text1"/>
                <w:lang w:val="en-ZA"/>
              </w:rPr>
              <w:t>2752</w:t>
            </w:r>
          </w:p>
        </w:tc>
        <w:tc>
          <w:tcPr>
            <w:tcW w:w="0" w:type="auto"/>
            <w:tcBorders>
              <w:top w:val="nil"/>
              <w:left w:val="nil"/>
              <w:bottom w:val="single" w:sz="4" w:space="0" w:color="auto"/>
              <w:right w:val="single" w:sz="4" w:space="0" w:color="auto"/>
            </w:tcBorders>
            <w:shd w:val="clear" w:color="auto" w:fill="auto"/>
            <w:noWrap/>
            <w:vAlign w:val="bottom"/>
            <w:hideMark/>
          </w:tcPr>
          <w:p w14:paraId="7B9BE2C2" w14:textId="77777777" w:rsidR="00D65921" w:rsidRPr="00D65921" w:rsidRDefault="00D65921" w:rsidP="00D65921">
            <w:pPr>
              <w:spacing w:after="0" w:line="240" w:lineRule="auto"/>
              <w:jc w:val="center"/>
              <w:rPr>
                <w:rFonts w:cs="Calibri"/>
                <w:color w:val="000000" w:themeColor="text1"/>
                <w:lang w:val="en-ZA"/>
              </w:rPr>
            </w:pPr>
            <w:r w:rsidRPr="00D65921">
              <w:rPr>
                <w:rFonts w:cs="Calibri"/>
                <w:color w:val="000000" w:themeColor="text1"/>
                <w:lang w:val="en-ZA"/>
              </w:rPr>
              <w:t>5.9%</w:t>
            </w:r>
          </w:p>
        </w:tc>
      </w:tr>
    </w:tbl>
    <w:p w14:paraId="78B32875" w14:textId="77777777" w:rsidR="00232C85" w:rsidRDefault="00D65921" w:rsidP="00D65921">
      <w:pPr>
        <w:spacing w:line="288" w:lineRule="auto"/>
        <w:jc w:val="both"/>
        <w:rPr>
          <w:b/>
        </w:rPr>
      </w:pPr>
      <w:r>
        <w:rPr>
          <w:b/>
        </w:rPr>
        <w:t>Source: CS (2017</w:t>
      </w:r>
      <w:r w:rsidR="005D481F" w:rsidRPr="005D481F">
        <w:rPr>
          <w:b/>
        </w:rPr>
        <w:t>)</w:t>
      </w:r>
    </w:p>
    <w:p w14:paraId="0C23F9B5" w14:textId="77777777" w:rsidR="00534637" w:rsidRPr="00E020EA" w:rsidRDefault="00534637" w:rsidP="00750180">
      <w:pPr>
        <w:pStyle w:val="Heading4"/>
        <w:numPr>
          <w:ilvl w:val="3"/>
          <w:numId w:val="29"/>
        </w:numPr>
        <w:spacing w:after="240"/>
      </w:pPr>
      <w:r w:rsidRPr="00E020EA">
        <w:t>UMlalazi Municipal IT Governance Framework</w:t>
      </w:r>
    </w:p>
    <w:p w14:paraId="5B2F4921" w14:textId="77777777" w:rsidR="005E1286" w:rsidRDefault="005E1286" w:rsidP="005E1286">
      <w:pPr>
        <w:spacing w:line="288" w:lineRule="auto"/>
        <w:jc w:val="both"/>
        <w:rPr>
          <w:szCs w:val="20"/>
          <w:highlight w:val="yellow"/>
        </w:rPr>
      </w:pPr>
      <w:r w:rsidRPr="005E1286">
        <w:rPr>
          <w:szCs w:val="20"/>
        </w:rPr>
        <w:t>In developing the ICT Governance Framework</w:t>
      </w:r>
      <w:r>
        <w:rPr>
          <w:szCs w:val="20"/>
        </w:rPr>
        <w:t>,</w:t>
      </w:r>
      <w:r w:rsidRPr="005E1286">
        <w:rPr>
          <w:szCs w:val="20"/>
        </w:rPr>
        <w:t xml:space="preserve"> the Municipality appointed Sigma IT to facilitate the development of the framework. This also included using the ICT steering committee as the driver of the process and its role being ultimately responsibility for devising and managing a comprehensive IT governance framework to meet the unique needs of the municipality and its recently consolidated technology.</w:t>
      </w:r>
    </w:p>
    <w:p w14:paraId="40154F8E" w14:textId="77777777" w:rsidR="005E1286" w:rsidRPr="00A4746B" w:rsidRDefault="00A4746B" w:rsidP="005E1286">
      <w:pPr>
        <w:spacing w:line="288" w:lineRule="auto"/>
        <w:jc w:val="both"/>
        <w:rPr>
          <w:szCs w:val="20"/>
        </w:rPr>
      </w:pPr>
      <w:r w:rsidRPr="00A4746B">
        <w:rPr>
          <w:szCs w:val="20"/>
        </w:rPr>
        <w:t xml:space="preserve">The </w:t>
      </w:r>
      <w:r w:rsidR="005E1286" w:rsidRPr="00A4746B">
        <w:rPr>
          <w:szCs w:val="20"/>
        </w:rPr>
        <w:t>ICT Governance Framework of</w:t>
      </w:r>
      <w:r w:rsidRPr="00A4746B">
        <w:rPr>
          <w:szCs w:val="20"/>
        </w:rPr>
        <w:t xml:space="preserve"> UMlalazi Local Municipality</w:t>
      </w:r>
      <w:r w:rsidR="005E1286" w:rsidRPr="00A4746B">
        <w:rPr>
          <w:szCs w:val="20"/>
        </w:rPr>
        <w:t xml:space="preserve"> provides guidelines for both the Political and Administrative leadership on how the Municipality should plan and operate its ICT in a stable and controlled environment. ICT governance can be seen as a structure of relationships and processes to direct and control the enterprise use of ICT to achieve the enterprise’s goals by adding value while balancing risk vs. return over ICT and its processes. ICT Governance:</w:t>
      </w:r>
    </w:p>
    <w:p w14:paraId="0C99C8E4" w14:textId="77777777" w:rsidR="005E1286" w:rsidRPr="00A4746B" w:rsidRDefault="005E1286" w:rsidP="00750180">
      <w:pPr>
        <w:pStyle w:val="ListParagraph"/>
        <w:numPr>
          <w:ilvl w:val="0"/>
          <w:numId w:val="37"/>
        </w:numPr>
        <w:spacing w:line="288" w:lineRule="auto"/>
        <w:jc w:val="both"/>
        <w:rPr>
          <w:szCs w:val="20"/>
        </w:rPr>
      </w:pPr>
      <w:r w:rsidRPr="00A4746B">
        <w:rPr>
          <w:szCs w:val="20"/>
        </w:rPr>
        <w:t>Provides the structure that links ICT processes, ICT resources and information to enterprise strategies and objectives;</w:t>
      </w:r>
    </w:p>
    <w:p w14:paraId="02BC7F31" w14:textId="77777777" w:rsidR="005E1286" w:rsidRPr="00A4746B" w:rsidRDefault="005E1286" w:rsidP="00750180">
      <w:pPr>
        <w:pStyle w:val="ListParagraph"/>
        <w:numPr>
          <w:ilvl w:val="0"/>
          <w:numId w:val="37"/>
        </w:numPr>
        <w:spacing w:line="288" w:lineRule="auto"/>
        <w:jc w:val="both"/>
        <w:rPr>
          <w:szCs w:val="20"/>
        </w:rPr>
      </w:pPr>
      <w:r w:rsidRPr="00A4746B">
        <w:rPr>
          <w:szCs w:val="20"/>
        </w:rPr>
        <w:t>Enables the integration and institutionalization of best practices of planning and organizing, acquiring and implementing, delivering and supporting, and monitoring and evaluating ICT  performance to ensure that the enterprise’s information and related technology support its business objectives;</w:t>
      </w:r>
    </w:p>
    <w:p w14:paraId="14681C4C" w14:textId="77777777" w:rsidR="005E1286" w:rsidRPr="00A4746B" w:rsidRDefault="005E1286" w:rsidP="00750180">
      <w:pPr>
        <w:pStyle w:val="ListParagraph"/>
        <w:numPr>
          <w:ilvl w:val="0"/>
          <w:numId w:val="37"/>
        </w:numPr>
        <w:spacing w:line="288" w:lineRule="auto"/>
        <w:jc w:val="both"/>
        <w:rPr>
          <w:szCs w:val="20"/>
        </w:rPr>
      </w:pPr>
      <w:r w:rsidRPr="00A4746B">
        <w:rPr>
          <w:szCs w:val="20"/>
        </w:rPr>
        <w:t xml:space="preserve">Allows the </w:t>
      </w:r>
      <w:r w:rsidR="00A4746B" w:rsidRPr="00A4746B">
        <w:rPr>
          <w:szCs w:val="20"/>
        </w:rPr>
        <w:t>municipality</w:t>
      </w:r>
      <w:r w:rsidRPr="00A4746B">
        <w:rPr>
          <w:szCs w:val="20"/>
        </w:rPr>
        <w:t xml:space="preserve"> to take full advantage of its information; and</w:t>
      </w:r>
    </w:p>
    <w:p w14:paraId="79124A81" w14:textId="77777777" w:rsidR="00534637" w:rsidRDefault="005E1286" w:rsidP="00750180">
      <w:pPr>
        <w:pStyle w:val="ListParagraph"/>
        <w:numPr>
          <w:ilvl w:val="0"/>
          <w:numId w:val="37"/>
        </w:numPr>
        <w:spacing w:line="288" w:lineRule="auto"/>
        <w:jc w:val="both"/>
        <w:rPr>
          <w:szCs w:val="20"/>
        </w:rPr>
      </w:pPr>
      <w:r w:rsidRPr="00A4746B">
        <w:rPr>
          <w:szCs w:val="20"/>
        </w:rPr>
        <w:t>Identifies control weaknesses and assures the efficient and effective implementation of measurable improvements.</w:t>
      </w:r>
    </w:p>
    <w:p w14:paraId="4DC11EDD" w14:textId="77777777" w:rsidR="00A4746B" w:rsidRPr="00F8472B" w:rsidRDefault="00703CE6" w:rsidP="00750180">
      <w:pPr>
        <w:pStyle w:val="Heading4"/>
        <w:numPr>
          <w:ilvl w:val="3"/>
          <w:numId w:val="29"/>
        </w:numPr>
        <w:spacing w:after="240"/>
      </w:pPr>
      <w:r w:rsidRPr="00F8472B">
        <w:t>UMlalazi</w:t>
      </w:r>
      <w:r w:rsidR="00A4746B" w:rsidRPr="00F8472B">
        <w:t xml:space="preserve"> Municipality Master Systems Plan </w:t>
      </w:r>
    </w:p>
    <w:p w14:paraId="04C9E2A0" w14:textId="77777777" w:rsidR="00935855" w:rsidRDefault="005C0C71" w:rsidP="00935855">
      <w:pPr>
        <w:jc w:val="both"/>
        <w:rPr>
          <w:szCs w:val="20"/>
        </w:rPr>
      </w:pPr>
      <w:r w:rsidRPr="005C0C71">
        <w:rPr>
          <w:szCs w:val="20"/>
        </w:rPr>
        <w:t xml:space="preserve">Having </w:t>
      </w:r>
      <w:r w:rsidR="00C47E08" w:rsidRPr="005C0C71">
        <w:rPr>
          <w:szCs w:val="20"/>
        </w:rPr>
        <w:t>realized</w:t>
      </w:r>
      <w:r w:rsidRPr="005C0C71">
        <w:rPr>
          <w:szCs w:val="20"/>
        </w:rPr>
        <w:t xml:space="preserve"> that ICT has become an integral part of the day to day operations</w:t>
      </w:r>
      <w:r>
        <w:rPr>
          <w:szCs w:val="20"/>
        </w:rPr>
        <w:t>,</w:t>
      </w:r>
      <w:r w:rsidRPr="005C0C71">
        <w:rPr>
          <w:szCs w:val="20"/>
        </w:rPr>
        <w:t xml:space="preserve"> the</w:t>
      </w:r>
      <w:r>
        <w:rPr>
          <w:szCs w:val="20"/>
        </w:rPr>
        <w:t xml:space="preserve"> uMlalazi</w:t>
      </w:r>
      <w:r w:rsidRPr="005C0C71">
        <w:rPr>
          <w:szCs w:val="20"/>
        </w:rPr>
        <w:t xml:space="preserve"> Municipality has </w:t>
      </w:r>
      <w:r w:rsidR="00C47E08" w:rsidRPr="005C0C71">
        <w:rPr>
          <w:szCs w:val="20"/>
        </w:rPr>
        <w:t>realized</w:t>
      </w:r>
      <w:r w:rsidRPr="005C0C71">
        <w:rPr>
          <w:szCs w:val="20"/>
        </w:rPr>
        <w:t xml:space="preserve"> the need to develop its ICT strategy </w:t>
      </w:r>
      <w:r>
        <w:rPr>
          <w:szCs w:val="20"/>
        </w:rPr>
        <w:t>(</w:t>
      </w:r>
      <w:r w:rsidRPr="005C0C71">
        <w:rPr>
          <w:szCs w:val="20"/>
        </w:rPr>
        <w:t>here with called the ICT Master Systems Plan</w:t>
      </w:r>
      <w:r>
        <w:rPr>
          <w:szCs w:val="20"/>
        </w:rPr>
        <w:t>)</w:t>
      </w:r>
      <w:r w:rsidRPr="005C0C71">
        <w:rPr>
          <w:szCs w:val="20"/>
        </w:rPr>
        <w:t xml:space="preserve"> which is aimed at aligning ICT to the business and ensuring that the Municipality gets best value for money out of its ICT investment.</w:t>
      </w:r>
      <w:r w:rsidRPr="00935855">
        <w:rPr>
          <w:szCs w:val="20"/>
        </w:rPr>
        <w:t xml:space="preserve"> </w:t>
      </w:r>
      <w:r>
        <w:rPr>
          <w:szCs w:val="20"/>
        </w:rPr>
        <w:t xml:space="preserve">The MSP is a </w:t>
      </w:r>
      <w:r w:rsidRPr="005C0C71">
        <w:rPr>
          <w:szCs w:val="20"/>
        </w:rPr>
        <w:t xml:space="preserve">5 year ICT strategy for the Municipality and </w:t>
      </w:r>
      <w:r>
        <w:rPr>
          <w:szCs w:val="20"/>
        </w:rPr>
        <w:t>the department of f</w:t>
      </w:r>
      <w:r w:rsidRPr="005C0C71">
        <w:rPr>
          <w:szCs w:val="20"/>
        </w:rPr>
        <w:t>inance ensure</w:t>
      </w:r>
      <w:r>
        <w:rPr>
          <w:szCs w:val="20"/>
        </w:rPr>
        <w:t>s</w:t>
      </w:r>
      <w:r w:rsidRPr="005C0C71">
        <w:rPr>
          <w:szCs w:val="20"/>
        </w:rPr>
        <w:t xml:space="preserve"> that a budget is available each year to implement its projects in order</w:t>
      </w:r>
      <w:r>
        <w:rPr>
          <w:szCs w:val="20"/>
        </w:rPr>
        <w:t xml:space="preserve"> to achieve is key objectives. </w:t>
      </w:r>
      <w:r w:rsidRPr="005C0C71">
        <w:rPr>
          <w:szCs w:val="20"/>
        </w:rPr>
        <w:t>The MSP is also developed a part of the Auditor Generals requirements as well as the international best practices for ICT to have a strategy.</w:t>
      </w:r>
      <w:r>
        <w:rPr>
          <w:szCs w:val="20"/>
        </w:rPr>
        <w:t xml:space="preserve"> It </w:t>
      </w:r>
      <w:r w:rsidR="00935855">
        <w:rPr>
          <w:szCs w:val="20"/>
        </w:rPr>
        <w:t xml:space="preserve">outlines the </w:t>
      </w:r>
      <w:r w:rsidR="00935855" w:rsidRPr="00935855">
        <w:rPr>
          <w:szCs w:val="20"/>
        </w:rPr>
        <w:t>ICT</w:t>
      </w:r>
      <w:r w:rsidR="00935855">
        <w:rPr>
          <w:szCs w:val="20"/>
        </w:rPr>
        <w:t xml:space="preserve"> Vision, Mission and Objectives and informs of </w:t>
      </w:r>
      <w:r w:rsidR="00935855" w:rsidRPr="00935855">
        <w:rPr>
          <w:szCs w:val="20"/>
        </w:rPr>
        <w:t>Strategic Actions</w:t>
      </w:r>
      <w:r w:rsidR="00935855">
        <w:rPr>
          <w:szCs w:val="20"/>
        </w:rPr>
        <w:t xml:space="preserve"> that are required to be undertaken in order to achieve the objectives of the municipal IT </w:t>
      </w:r>
      <w:r w:rsidR="00703CE6">
        <w:rPr>
          <w:szCs w:val="20"/>
        </w:rPr>
        <w:t>Governance</w:t>
      </w:r>
      <w:r w:rsidR="00935855">
        <w:rPr>
          <w:szCs w:val="20"/>
        </w:rPr>
        <w:t xml:space="preserve"> framework</w:t>
      </w:r>
    </w:p>
    <w:p w14:paraId="5007BB89" w14:textId="77777777" w:rsidR="00366508" w:rsidRPr="00935855" w:rsidRDefault="00366508" w:rsidP="002F62F0">
      <w:pPr>
        <w:pStyle w:val="Caption"/>
      </w:pPr>
      <w:bookmarkStart w:id="365" w:name="_Toc510622299"/>
      <w:r>
        <w:t xml:space="preserve">Table </w:t>
      </w:r>
      <w:r w:rsidR="00B918A6">
        <w:fldChar w:fldCharType="begin"/>
      </w:r>
      <w:r w:rsidR="00B918A6">
        <w:instrText xml:space="preserve"> SEQ Table \* ARABIC </w:instrText>
      </w:r>
      <w:r w:rsidR="00B918A6">
        <w:fldChar w:fldCharType="separate"/>
      </w:r>
      <w:r w:rsidR="0067023A">
        <w:rPr>
          <w:noProof/>
        </w:rPr>
        <w:t>49</w:t>
      </w:r>
      <w:r w:rsidR="00B918A6">
        <w:rPr>
          <w:noProof/>
        </w:rPr>
        <w:fldChar w:fldCharType="end"/>
      </w:r>
      <w:r>
        <w:t>: ICT SWOT Analysis</w:t>
      </w:r>
      <w:bookmarkEnd w:id="365"/>
    </w:p>
    <w:tbl>
      <w:tblPr>
        <w:tblStyle w:val="TableGrid1"/>
        <w:tblW w:w="9606" w:type="dxa"/>
        <w:tblLook w:val="04A0" w:firstRow="1" w:lastRow="0" w:firstColumn="1" w:lastColumn="0" w:noHBand="0" w:noVBand="1"/>
      </w:tblPr>
      <w:tblGrid>
        <w:gridCol w:w="4928"/>
        <w:gridCol w:w="4678"/>
      </w:tblGrid>
      <w:tr w:rsidR="00935855" w:rsidRPr="00F8472B" w14:paraId="233400F7" w14:textId="77777777" w:rsidTr="00B17A4D">
        <w:tc>
          <w:tcPr>
            <w:tcW w:w="4928" w:type="dxa"/>
            <w:shd w:val="clear" w:color="auto" w:fill="DAEEF3" w:themeFill="accent5" w:themeFillTint="33"/>
          </w:tcPr>
          <w:p w14:paraId="53B26570" w14:textId="214D8106" w:rsidR="00935855" w:rsidRPr="00F8472B" w:rsidRDefault="00935855" w:rsidP="00E020EA">
            <w:pPr>
              <w:pStyle w:val="NoSpacing"/>
              <w:rPr>
                <w:rFonts w:ascii="Calibri" w:eastAsiaTheme="minorHAnsi" w:hAnsi="Calibri" w:cstheme="minorBidi"/>
                <w:b/>
                <w:sz w:val="20"/>
                <w:szCs w:val="20"/>
                <w:lang w:val="en-US"/>
              </w:rPr>
            </w:pPr>
            <w:bookmarkStart w:id="366" w:name="_Toc401008888"/>
            <w:r w:rsidRPr="00F8472B">
              <w:rPr>
                <w:rFonts w:ascii="Calibri" w:eastAsiaTheme="minorHAnsi" w:hAnsi="Calibri" w:cstheme="minorBidi"/>
                <w:b/>
                <w:sz w:val="20"/>
                <w:szCs w:val="20"/>
                <w:lang w:val="en-US"/>
              </w:rPr>
              <w:t>STRENGTHS</w:t>
            </w:r>
            <w:bookmarkEnd w:id="366"/>
          </w:p>
        </w:tc>
        <w:tc>
          <w:tcPr>
            <w:tcW w:w="4678" w:type="dxa"/>
            <w:shd w:val="clear" w:color="auto" w:fill="DAEEF3" w:themeFill="accent5" w:themeFillTint="33"/>
          </w:tcPr>
          <w:p w14:paraId="7DEA5E63" w14:textId="77777777" w:rsidR="00935855" w:rsidRPr="00F8472B" w:rsidRDefault="00935855" w:rsidP="00575C1F">
            <w:pPr>
              <w:pStyle w:val="NoSpacing"/>
              <w:rPr>
                <w:rFonts w:ascii="Calibri" w:eastAsiaTheme="minorHAnsi" w:hAnsi="Calibri" w:cstheme="minorBidi"/>
                <w:b/>
                <w:sz w:val="20"/>
                <w:szCs w:val="20"/>
                <w:lang w:val="en-US"/>
              </w:rPr>
            </w:pPr>
            <w:bookmarkStart w:id="367" w:name="_Toc401008889"/>
            <w:r w:rsidRPr="00F8472B">
              <w:rPr>
                <w:rFonts w:ascii="Calibri" w:eastAsiaTheme="minorHAnsi" w:hAnsi="Calibri" w:cstheme="minorBidi"/>
                <w:b/>
                <w:sz w:val="20"/>
                <w:szCs w:val="20"/>
                <w:lang w:val="en-US"/>
              </w:rPr>
              <w:t>WE</w:t>
            </w:r>
            <w:r w:rsidR="00575C1F" w:rsidRPr="00F8472B">
              <w:rPr>
                <w:rFonts w:ascii="Calibri" w:eastAsiaTheme="minorHAnsi" w:hAnsi="Calibri" w:cstheme="minorBidi"/>
                <w:b/>
                <w:sz w:val="20"/>
                <w:szCs w:val="20"/>
                <w:lang w:val="en-US"/>
              </w:rPr>
              <w:t>A</w:t>
            </w:r>
            <w:r w:rsidRPr="00F8472B">
              <w:rPr>
                <w:rFonts w:ascii="Calibri" w:eastAsiaTheme="minorHAnsi" w:hAnsi="Calibri" w:cstheme="minorBidi"/>
                <w:b/>
                <w:sz w:val="20"/>
                <w:szCs w:val="20"/>
                <w:lang w:val="en-US"/>
              </w:rPr>
              <w:t>KNESS</w:t>
            </w:r>
            <w:bookmarkEnd w:id="367"/>
          </w:p>
        </w:tc>
      </w:tr>
      <w:tr w:rsidR="00935855" w:rsidRPr="00E020EA" w14:paraId="3FFE374F" w14:textId="77777777" w:rsidTr="00E020EA">
        <w:tc>
          <w:tcPr>
            <w:tcW w:w="4928" w:type="dxa"/>
          </w:tcPr>
          <w:p w14:paraId="1D15C718" w14:textId="77777777" w:rsidR="00935855" w:rsidRPr="00E020EA" w:rsidRDefault="00935855" w:rsidP="00E020EA">
            <w:pPr>
              <w:pStyle w:val="NoSpacing"/>
              <w:rPr>
                <w:rFonts w:ascii="Calibri" w:eastAsiaTheme="minorHAnsi" w:hAnsi="Calibri" w:cstheme="minorBidi"/>
                <w:sz w:val="20"/>
                <w:szCs w:val="20"/>
                <w:lang w:val="en-US"/>
              </w:rPr>
            </w:pPr>
            <w:r w:rsidRPr="00E020EA">
              <w:rPr>
                <w:rFonts w:ascii="Calibri" w:eastAsiaTheme="minorHAnsi" w:hAnsi="Calibri" w:cstheme="minorBidi"/>
                <w:sz w:val="20"/>
                <w:szCs w:val="20"/>
                <w:lang w:val="en-US"/>
              </w:rPr>
              <w:t>1. High levels of staff commitment</w:t>
            </w:r>
          </w:p>
        </w:tc>
        <w:tc>
          <w:tcPr>
            <w:tcW w:w="4678" w:type="dxa"/>
          </w:tcPr>
          <w:p w14:paraId="6783A282" w14:textId="77777777" w:rsidR="00935855" w:rsidRPr="00E020EA" w:rsidRDefault="00935855" w:rsidP="00E020EA">
            <w:pPr>
              <w:pStyle w:val="NoSpacing"/>
              <w:rPr>
                <w:rFonts w:ascii="Calibri" w:eastAsiaTheme="minorHAnsi" w:hAnsi="Calibri" w:cstheme="minorBidi"/>
                <w:sz w:val="20"/>
                <w:szCs w:val="20"/>
                <w:lang w:val="en-US"/>
              </w:rPr>
            </w:pPr>
            <w:r w:rsidRPr="00E020EA">
              <w:rPr>
                <w:rFonts w:ascii="Calibri" w:eastAsiaTheme="minorHAnsi" w:hAnsi="Calibri" w:cstheme="minorBidi"/>
                <w:sz w:val="20"/>
                <w:szCs w:val="20"/>
                <w:lang w:val="en-US"/>
              </w:rPr>
              <w:t>1. Slow machines and networks</w:t>
            </w:r>
          </w:p>
        </w:tc>
      </w:tr>
      <w:tr w:rsidR="00935855" w:rsidRPr="00E020EA" w14:paraId="2CB6E53D" w14:textId="77777777" w:rsidTr="00E020EA">
        <w:tc>
          <w:tcPr>
            <w:tcW w:w="4928" w:type="dxa"/>
          </w:tcPr>
          <w:p w14:paraId="169CA2A0" w14:textId="77777777" w:rsidR="00935855" w:rsidRPr="00E020EA" w:rsidRDefault="00935855" w:rsidP="00E020EA">
            <w:pPr>
              <w:pStyle w:val="NoSpacing"/>
              <w:rPr>
                <w:rFonts w:ascii="Calibri" w:eastAsiaTheme="minorHAnsi" w:hAnsi="Calibri" w:cstheme="minorBidi"/>
                <w:sz w:val="20"/>
                <w:szCs w:val="20"/>
                <w:lang w:val="en-US"/>
              </w:rPr>
            </w:pPr>
            <w:r w:rsidRPr="00E020EA">
              <w:rPr>
                <w:rFonts w:ascii="Calibri" w:eastAsiaTheme="minorHAnsi" w:hAnsi="Calibri" w:cstheme="minorBidi"/>
                <w:sz w:val="20"/>
                <w:szCs w:val="20"/>
                <w:lang w:val="en-US"/>
              </w:rPr>
              <w:t>2. Good relations with stakeholders</w:t>
            </w:r>
          </w:p>
        </w:tc>
        <w:tc>
          <w:tcPr>
            <w:tcW w:w="4678" w:type="dxa"/>
          </w:tcPr>
          <w:p w14:paraId="12178E33" w14:textId="77777777" w:rsidR="00935855" w:rsidRPr="00E020EA" w:rsidRDefault="00935855" w:rsidP="00E020EA">
            <w:pPr>
              <w:pStyle w:val="NoSpacing"/>
              <w:rPr>
                <w:rFonts w:ascii="Calibri" w:eastAsiaTheme="minorHAnsi" w:hAnsi="Calibri" w:cstheme="minorBidi"/>
                <w:sz w:val="20"/>
                <w:szCs w:val="20"/>
                <w:lang w:val="en-US"/>
              </w:rPr>
            </w:pPr>
            <w:r w:rsidRPr="00E020EA">
              <w:rPr>
                <w:rFonts w:ascii="Calibri" w:eastAsiaTheme="minorHAnsi" w:hAnsi="Calibri" w:cstheme="minorBidi"/>
                <w:sz w:val="20"/>
                <w:szCs w:val="20"/>
                <w:lang w:val="en-US"/>
              </w:rPr>
              <w:t xml:space="preserve">2. Poor environmental controls </w:t>
            </w:r>
          </w:p>
        </w:tc>
      </w:tr>
      <w:tr w:rsidR="00935855" w:rsidRPr="00E020EA" w14:paraId="54A301E5" w14:textId="77777777" w:rsidTr="00E020EA">
        <w:tc>
          <w:tcPr>
            <w:tcW w:w="4928" w:type="dxa"/>
          </w:tcPr>
          <w:p w14:paraId="7F851D2A" w14:textId="77777777" w:rsidR="00935855" w:rsidRPr="00E020EA" w:rsidRDefault="00935855" w:rsidP="00E020EA">
            <w:pPr>
              <w:pStyle w:val="NoSpacing"/>
              <w:rPr>
                <w:rFonts w:ascii="Calibri" w:eastAsiaTheme="minorHAnsi" w:hAnsi="Calibri" w:cstheme="minorBidi"/>
                <w:sz w:val="20"/>
                <w:szCs w:val="20"/>
                <w:lang w:val="en-US"/>
              </w:rPr>
            </w:pPr>
            <w:r w:rsidRPr="00E020EA">
              <w:rPr>
                <w:rFonts w:ascii="Calibri" w:eastAsiaTheme="minorHAnsi" w:hAnsi="Calibri" w:cstheme="minorBidi"/>
                <w:sz w:val="20"/>
                <w:szCs w:val="20"/>
                <w:lang w:val="en-US"/>
              </w:rPr>
              <w:t>3. All core ICT systems to support the business are currently in place</w:t>
            </w:r>
          </w:p>
        </w:tc>
        <w:tc>
          <w:tcPr>
            <w:tcW w:w="4678" w:type="dxa"/>
          </w:tcPr>
          <w:p w14:paraId="30BCC374" w14:textId="77777777" w:rsidR="00935855" w:rsidRPr="00E020EA" w:rsidRDefault="00935855" w:rsidP="00E020EA">
            <w:pPr>
              <w:pStyle w:val="NoSpacing"/>
              <w:rPr>
                <w:rFonts w:ascii="Calibri" w:eastAsiaTheme="minorHAnsi" w:hAnsi="Calibri" w:cstheme="minorBidi"/>
                <w:sz w:val="20"/>
                <w:szCs w:val="20"/>
                <w:lang w:val="en-US"/>
              </w:rPr>
            </w:pPr>
            <w:r w:rsidRPr="00E020EA">
              <w:rPr>
                <w:rFonts w:ascii="Calibri" w:eastAsiaTheme="minorHAnsi" w:hAnsi="Calibri" w:cstheme="minorBidi"/>
                <w:sz w:val="20"/>
                <w:szCs w:val="20"/>
                <w:lang w:val="en-US"/>
              </w:rPr>
              <w:t>3. Lack of ICT policies, standards and strategy</w:t>
            </w:r>
          </w:p>
        </w:tc>
      </w:tr>
      <w:tr w:rsidR="00935855" w:rsidRPr="00E020EA" w14:paraId="5D1A4445" w14:textId="77777777" w:rsidTr="00E020EA">
        <w:tc>
          <w:tcPr>
            <w:tcW w:w="4928" w:type="dxa"/>
          </w:tcPr>
          <w:p w14:paraId="0C8C9658" w14:textId="77777777" w:rsidR="00935855" w:rsidRPr="00E020EA" w:rsidRDefault="00935855" w:rsidP="00E020EA">
            <w:pPr>
              <w:pStyle w:val="NoSpacing"/>
              <w:rPr>
                <w:rFonts w:ascii="Calibri" w:eastAsiaTheme="minorHAnsi" w:hAnsi="Calibri" w:cstheme="minorBidi"/>
                <w:sz w:val="20"/>
                <w:szCs w:val="20"/>
                <w:lang w:val="en-US"/>
              </w:rPr>
            </w:pPr>
            <w:r w:rsidRPr="00E020EA">
              <w:rPr>
                <w:rFonts w:ascii="Calibri" w:eastAsiaTheme="minorHAnsi" w:hAnsi="Calibri" w:cstheme="minorBidi"/>
                <w:sz w:val="20"/>
                <w:szCs w:val="20"/>
                <w:lang w:val="en-US"/>
              </w:rPr>
              <w:t>4. Strong commitment from the business to support ICT initiatives</w:t>
            </w:r>
          </w:p>
        </w:tc>
        <w:tc>
          <w:tcPr>
            <w:tcW w:w="4678" w:type="dxa"/>
          </w:tcPr>
          <w:p w14:paraId="087073E1" w14:textId="77777777" w:rsidR="00935855" w:rsidRPr="00E020EA" w:rsidRDefault="00935855" w:rsidP="00E020EA">
            <w:pPr>
              <w:pStyle w:val="NoSpacing"/>
              <w:rPr>
                <w:rFonts w:ascii="Calibri" w:eastAsiaTheme="minorHAnsi" w:hAnsi="Calibri" w:cstheme="minorBidi"/>
                <w:sz w:val="20"/>
                <w:szCs w:val="20"/>
                <w:lang w:val="en-US"/>
              </w:rPr>
            </w:pPr>
            <w:r w:rsidRPr="00E020EA">
              <w:rPr>
                <w:rFonts w:ascii="Calibri" w:eastAsiaTheme="minorHAnsi" w:hAnsi="Calibri" w:cstheme="minorBidi"/>
                <w:sz w:val="20"/>
                <w:szCs w:val="20"/>
                <w:lang w:val="en-US"/>
              </w:rPr>
              <w:t>4.Poor Network Management</w:t>
            </w:r>
          </w:p>
        </w:tc>
      </w:tr>
      <w:tr w:rsidR="00935855" w:rsidRPr="00E020EA" w14:paraId="3117AF8B" w14:textId="77777777" w:rsidTr="00E020EA">
        <w:tc>
          <w:tcPr>
            <w:tcW w:w="4928" w:type="dxa"/>
          </w:tcPr>
          <w:p w14:paraId="53B9FA7C" w14:textId="77777777" w:rsidR="00935855" w:rsidRPr="00E020EA" w:rsidRDefault="00935855" w:rsidP="00E020EA">
            <w:pPr>
              <w:pStyle w:val="NoSpacing"/>
              <w:rPr>
                <w:rFonts w:ascii="Calibri" w:eastAsiaTheme="minorHAnsi" w:hAnsi="Calibri" w:cstheme="minorBidi"/>
                <w:sz w:val="20"/>
                <w:szCs w:val="20"/>
                <w:lang w:val="en-US"/>
              </w:rPr>
            </w:pPr>
            <w:r w:rsidRPr="00E020EA">
              <w:rPr>
                <w:rFonts w:ascii="Calibri" w:eastAsiaTheme="minorHAnsi" w:hAnsi="Calibri" w:cstheme="minorBidi"/>
                <w:sz w:val="20"/>
                <w:szCs w:val="20"/>
                <w:lang w:val="en-US"/>
              </w:rPr>
              <w:t>5. Dedicated server room</w:t>
            </w:r>
          </w:p>
        </w:tc>
        <w:tc>
          <w:tcPr>
            <w:tcW w:w="4678" w:type="dxa"/>
          </w:tcPr>
          <w:p w14:paraId="20CB44B6" w14:textId="77777777" w:rsidR="00935855" w:rsidRPr="00E020EA" w:rsidRDefault="00935855" w:rsidP="00E020EA">
            <w:pPr>
              <w:pStyle w:val="NoSpacing"/>
              <w:rPr>
                <w:rFonts w:ascii="Calibri" w:eastAsiaTheme="minorHAnsi" w:hAnsi="Calibri" w:cstheme="minorBidi"/>
                <w:sz w:val="20"/>
                <w:szCs w:val="20"/>
                <w:lang w:val="en-US"/>
              </w:rPr>
            </w:pPr>
            <w:r w:rsidRPr="00E020EA">
              <w:rPr>
                <w:rFonts w:ascii="Calibri" w:eastAsiaTheme="minorHAnsi" w:hAnsi="Calibri" w:cstheme="minorBidi"/>
                <w:sz w:val="20"/>
                <w:szCs w:val="20"/>
                <w:lang w:val="en-US"/>
              </w:rPr>
              <w:t>5.Insufficient ICT budget to meet ICT requirements</w:t>
            </w:r>
          </w:p>
        </w:tc>
      </w:tr>
      <w:tr w:rsidR="00935855" w:rsidRPr="00E020EA" w14:paraId="554A84EA" w14:textId="77777777" w:rsidTr="00E020EA">
        <w:tc>
          <w:tcPr>
            <w:tcW w:w="4928" w:type="dxa"/>
          </w:tcPr>
          <w:p w14:paraId="74B62E86" w14:textId="77777777" w:rsidR="00935855" w:rsidRPr="00E020EA" w:rsidRDefault="00935855" w:rsidP="00E020EA">
            <w:pPr>
              <w:pStyle w:val="NoSpacing"/>
              <w:rPr>
                <w:rFonts w:ascii="Calibri" w:eastAsiaTheme="minorHAnsi" w:hAnsi="Calibri" w:cstheme="minorBidi"/>
                <w:sz w:val="20"/>
                <w:szCs w:val="20"/>
                <w:lang w:val="en-US"/>
              </w:rPr>
            </w:pPr>
            <w:r w:rsidRPr="00E020EA">
              <w:rPr>
                <w:rFonts w:ascii="Calibri" w:eastAsiaTheme="minorHAnsi" w:hAnsi="Calibri" w:cstheme="minorBidi"/>
                <w:sz w:val="20"/>
                <w:szCs w:val="20"/>
                <w:lang w:val="en-US"/>
              </w:rPr>
              <w:t>6. Full Management support of ICT</w:t>
            </w:r>
          </w:p>
        </w:tc>
        <w:tc>
          <w:tcPr>
            <w:tcW w:w="4678" w:type="dxa"/>
          </w:tcPr>
          <w:p w14:paraId="0C23D261" w14:textId="77777777" w:rsidR="00935855" w:rsidRPr="00E020EA" w:rsidRDefault="00D5765C" w:rsidP="00E020EA">
            <w:pPr>
              <w:pStyle w:val="NoSpacing"/>
              <w:rPr>
                <w:rFonts w:ascii="Calibri" w:eastAsiaTheme="minorHAnsi" w:hAnsi="Calibri" w:cstheme="minorBidi"/>
                <w:sz w:val="20"/>
                <w:szCs w:val="20"/>
                <w:lang w:val="en-US"/>
              </w:rPr>
            </w:pPr>
            <w:r>
              <w:rPr>
                <w:rFonts w:ascii="Calibri" w:eastAsiaTheme="minorHAnsi" w:hAnsi="Calibri" w:cstheme="minorBidi"/>
                <w:sz w:val="20"/>
                <w:szCs w:val="20"/>
                <w:lang w:val="en-US"/>
              </w:rPr>
              <w:t>6.</w:t>
            </w:r>
            <w:r w:rsidRPr="00E020EA">
              <w:rPr>
                <w:rFonts w:ascii="Calibri" w:eastAsiaTheme="minorHAnsi" w:hAnsi="Calibri" w:cstheme="minorBidi"/>
                <w:sz w:val="20"/>
                <w:szCs w:val="20"/>
                <w:lang w:val="en-US"/>
              </w:rPr>
              <w:t>No ICT budget</w:t>
            </w:r>
          </w:p>
        </w:tc>
      </w:tr>
      <w:tr w:rsidR="00935855" w:rsidRPr="00E020EA" w14:paraId="078E5050" w14:textId="77777777" w:rsidTr="00E020EA">
        <w:tc>
          <w:tcPr>
            <w:tcW w:w="4928" w:type="dxa"/>
          </w:tcPr>
          <w:p w14:paraId="26D9EF42" w14:textId="77777777" w:rsidR="00935855" w:rsidRPr="00E020EA" w:rsidRDefault="00935855" w:rsidP="00E020EA">
            <w:pPr>
              <w:pStyle w:val="NoSpacing"/>
              <w:rPr>
                <w:rFonts w:ascii="Calibri" w:eastAsiaTheme="minorHAnsi" w:hAnsi="Calibri" w:cstheme="minorBidi"/>
                <w:sz w:val="20"/>
                <w:szCs w:val="20"/>
                <w:lang w:val="en-US"/>
              </w:rPr>
            </w:pPr>
            <w:r w:rsidRPr="00E020EA">
              <w:rPr>
                <w:rFonts w:ascii="Calibri" w:eastAsiaTheme="minorHAnsi" w:hAnsi="Calibri" w:cstheme="minorBidi"/>
                <w:sz w:val="20"/>
                <w:szCs w:val="20"/>
                <w:lang w:val="en-US"/>
              </w:rPr>
              <w:t>7. ICT Steering committee</w:t>
            </w:r>
          </w:p>
        </w:tc>
        <w:tc>
          <w:tcPr>
            <w:tcW w:w="4678" w:type="dxa"/>
          </w:tcPr>
          <w:p w14:paraId="11BC802F" w14:textId="77777777" w:rsidR="00935855" w:rsidRPr="00E020EA" w:rsidRDefault="00935855" w:rsidP="00D5765C">
            <w:pPr>
              <w:pStyle w:val="NoSpacing"/>
              <w:rPr>
                <w:rFonts w:ascii="Calibri" w:eastAsiaTheme="minorHAnsi" w:hAnsi="Calibri" w:cstheme="minorBidi"/>
                <w:sz w:val="20"/>
                <w:szCs w:val="20"/>
                <w:lang w:val="en-US"/>
              </w:rPr>
            </w:pPr>
          </w:p>
        </w:tc>
      </w:tr>
      <w:tr w:rsidR="00935855" w:rsidRPr="00E020EA" w14:paraId="54AFDC8F" w14:textId="77777777" w:rsidTr="00E020EA">
        <w:tc>
          <w:tcPr>
            <w:tcW w:w="4928" w:type="dxa"/>
          </w:tcPr>
          <w:p w14:paraId="79ABBA3E" w14:textId="77777777" w:rsidR="00935855" w:rsidRPr="00E020EA" w:rsidRDefault="00935855" w:rsidP="00E020EA">
            <w:pPr>
              <w:pStyle w:val="NoSpacing"/>
              <w:rPr>
                <w:rFonts w:ascii="Calibri" w:eastAsiaTheme="minorHAnsi" w:hAnsi="Calibri" w:cstheme="minorBidi"/>
                <w:sz w:val="20"/>
                <w:szCs w:val="20"/>
                <w:lang w:val="en-US"/>
              </w:rPr>
            </w:pPr>
            <w:r w:rsidRPr="00E020EA">
              <w:rPr>
                <w:rFonts w:ascii="Calibri" w:eastAsiaTheme="minorHAnsi" w:hAnsi="Calibri" w:cstheme="minorBidi"/>
                <w:sz w:val="20"/>
                <w:szCs w:val="20"/>
                <w:lang w:val="en-US"/>
              </w:rPr>
              <w:t>8. Shared service agreement with the district</w:t>
            </w:r>
          </w:p>
        </w:tc>
        <w:tc>
          <w:tcPr>
            <w:tcW w:w="4678" w:type="dxa"/>
          </w:tcPr>
          <w:p w14:paraId="4C14CAAB" w14:textId="77777777" w:rsidR="00935855" w:rsidRPr="00E020EA" w:rsidRDefault="00935855" w:rsidP="00E020EA">
            <w:pPr>
              <w:pStyle w:val="NoSpacing"/>
              <w:rPr>
                <w:rFonts w:ascii="Calibri" w:eastAsiaTheme="minorHAnsi" w:hAnsi="Calibri" w:cstheme="minorBidi"/>
                <w:sz w:val="20"/>
                <w:szCs w:val="20"/>
                <w:lang w:val="en-US"/>
              </w:rPr>
            </w:pPr>
          </w:p>
        </w:tc>
      </w:tr>
      <w:tr w:rsidR="00E020EA" w:rsidRPr="00366508" w14:paraId="4F99391A" w14:textId="77777777" w:rsidTr="00B17A4D">
        <w:tc>
          <w:tcPr>
            <w:tcW w:w="4928" w:type="dxa"/>
            <w:shd w:val="clear" w:color="auto" w:fill="DAEEF3" w:themeFill="accent5" w:themeFillTint="33"/>
          </w:tcPr>
          <w:p w14:paraId="79AD3D00" w14:textId="77777777" w:rsidR="00E020EA" w:rsidRPr="00366508" w:rsidRDefault="00E020EA" w:rsidP="00E020EA">
            <w:pPr>
              <w:pStyle w:val="NoSpacing"/>
              <w:rPr>
                <w:rFonts w:ascii="Calibri" w:eastAsiaTheme="minorHAnsi" w:hAnsi="Calibri" w:cstheme="minorBidi"/>
                <w:b/>
                <w:sz w:val="20"/>
                <w:szCs w:val="20"/>
                <w:lang w:val="en-US"/>
              </w:rPr>
            </w:pPr>
            <w:bookmarkStart w:id="368" w:name="_Toc401008890"/>
            <w:r w:rsidRPr="00366508">
              <w:rPr>
                <w:rFonts w:ascii="Calibri" w:eastAsiaTheme="minorHAnsi" w:hAnsi="Calibri" w:cstheme="minorBidi"/>
                <w:b/>
                <w:sz w:val="20"/>
                <w:szCs w:val="20"/>
                <w:lang w:val="en-US"/>
              </w:rPr>
              <w:t>OPPORTUNITIES</w:t>
            </w:r>
            <w:bookmarkEnd w:id="368"/>
          </w:p>
        </w:tc>
        <w:tc>
          <w:tcPr>
            <w:tcW w:w="4678" w:type="dxa"/>
            <w:shd w:val="clear" w:color="auto" w:fill="DAEEF3" w:themeFill="accent5" w:themeFillTint="33"/>
          </w:tcPr>
          <w:p w14:paraId="060A2E27" w14:textId="77777777" w:rsidR="00E020EA" w:rsidRPr="00366508" w:rsidRDefault="00E020EA" w:rsidP="00E020EA">
            <w:pPr>
              <w:pStyle w:val="NoSpacing"/>
              <w:rPr>
                <w:rFonts w:ascii="Calibri" w:eastAsiaTheme="minorHAnsi" w:hAnsi="Calibri" w:cstheme="minorBidi"/>
                <w:b/>
                <w:sz w:val="20"/>
                <w:szCs w:val="20"/>
                <w:lang w:val="en-US"/>
              </w:rPr>
            </w:pPr>
            <w:bookmarkStart w:id="369" w:name="_Toc401008891"/>
            <w:r w:rsidRPr="00366508">
              <w:rPr>
                <w:rFonts w:ascii="Calibri" w:eastAsiaTheme="minorHAnsi" w:hAnsi="Calibri" w:cstheme="minorBidi"/>
                <w:b/>
                <w:sz w:val="20"/>
                <w:szCs w:val="20"/>
                <w:lang w:val="en-US"/>
              </w:rPr>
              <w:t>THREATS</w:t>
            </w:r>
            <w:bookmarkEnd w:id="369"/>
          </w:p>
        </w:tc>
      </w:tr>
      <w:tr w:rsidR="00E020EA" w:rsidRPr="00E020EA" w14:paraId="7E77B4B4" w14:textId="77777777" w:rsidTr="00E020EA">
        <w:tc>
          <w:tcPr>
            <w:tcW w:w="4928" w:type="dxa"/>
          </w:tcPr>
          <w:p w14:paraId="4430775B" w14:textId="77777777" w:rsidR="00E020EA" w:rsidRPr="00E020EA" w:rsidRDefault="00E020EA" w:rsidP="00E020EA">
            <w:pPr>
              <w:pStyle w:val="NoSpacing"/>
              <w:rPr>
                <w:rFonts w:ascii="Calibri" w:eastAsiaTheme="minorHAnsi" w:hAnsi="Calibri" w:cstheme="minorBidi"/>
                <w:sz w:val="20"/>
                <w:szCs w:val="20"/>
                <w:lang w:val="en-US"/>
              </w:rPr>
            </w:pPr>
            <w:r w:rsidRPr="00E020EA">
              <w:rPr>
                <w:rFonts w:ascii="Calibri" w:eastAsiaTheme="minorHAnsi" w:hAnsi="Calibri" w:cstheme="minorBidi"/>
                <w:sz w:val="20"/>
                <w:szCs w:val="20"/>
                <w:lang w:val="en-US"/>
              </w:rPr>
              <w:t>1.New technology can enhance business operations</w:t>
            </w:r>
          </w:p>
        </w:tc>
        <w:tc>
          <w:tcPr>
            <w:tcW w:w="4678" w:type="dxa"/>
          </w:tcPr>
          <w:p w14:paraId="125FC0E4" w14:textId="77777777" w:rsidR="00E020EA" w:rsidRPr="00E020EA" w:rsidRDefault="00E020EA" w:rsidP="00E020EA">
            <w:pPr>
              <w:pStyle w:val="NoSpacing"/>
              <w:rPr>
                <w:rFonts w:ascii="Calibri" w:eastAsiaTheme="minorHAnsi" w:hAnsi="Calibri" w:cstheme="minorBidi"/>
                <w:sz w:val="20"/>
                <w:szCs w:val="20"/>
                <w:lang w:val="en-US"/>
              </w:rPr>
            </w:pPr>
            <w:r w:rsidRPr="00E020EA">
              <w:rPr>
                <w:rFonts w:ascii="Calibri" w:eastAsiaTheme="minorHAnsi" w:hAnsi="Calibri" w:cstheme="minorBidi"/>
                <w:sz w:val="20"/>
                <w:szCs w:val="20"/>
                <w:lang w:val="en-US"/>
              </w:rPr>
              <w:t>1. Increasingly sophisticated security risks and threats</w:t>
            </w:r>
          </w:p>
        </w:tc>
      </w:tr>
      <w:tr w:rsidR="00E020EA" w:rsidRPr="00E020EA" w14:paraId="3E9ECF9F" w14:textId="77777777" w:rsidTr="00E020EA">
        <w:tc>
          <w:tcPr>
            <w:tcW w:w="4928" w:type="dxa"/>
          </w:tcPr>
          <w:p w14:paraId="515C6157" w14:textId="77777777" w:rsidR="00E020EA" w:rsidRPr="00E020EA" w:rsidRDefault="00E020EA" w:rsidP="00E020EA">
            <w:pPr>
              <w:pStyle w:val="NoSpacing"/>
              <w:rPr>
                <w:rFonts w:ascii="Calibri" w:eastAsiaTheme="minorHAnsi" w:hAnsi="Calibri" w:cstheme="minorBidi"/>
                <w:sz w:val="20"/>
                <w:szCs w:val="20"/>
                <w:lang w:val="en-US"/>
              </w:rPr>
            </w:pPr>
            <w:r w:rsidRPr="00E020EA">
              <w:rPr>
                <w:rFonts w:ascii="Calibri" w:eastAsiaTheme="minorHAnsi" w:hAnsi="Calibri" w:cstheme="minorBidi"/>
                <w:sz w:val="20"/>
                <w:szCs w:val="20"/>
                <w:lang w:val="en-US"/>
              </w:rPr>
              <w:t>2.Using ICT to enhance revenue base</w:t>
            </w:r>
          </w:p>
        </w:tc>
        <w:tc>
          <w:tcPr>
            <w:tcW w:w="4678" w:type="dxa"/>
          </w:tcPr>
          <w:p w14:paraId="600F1B7F" w14:textId="77777777" w:rsidR="00E020EA" w:rsidRPr="00E020EA" w:rsidRDefault="00E020EA" w:rsidP="00E020EA">
            <w:pPr>
              <w:pStyle w:val="NoSpacing"/>
              <w:rPr>
                <w:rFonts w:ascii="Calibri" w:eastAsiaTheme="minorHAnsi" w:hAnsi="Calibri" w:cstheme="minorBidi"/>
                <w:sz w:val="20"/>
                <w:szCs w:val="20"/>
                <w:lang w:val="en-US"/>
              </w:rPr>
            </w:pPr>
            <w:r w:rsidRPr="00E020EA">
              <w:rPr>
                <w:rFonts w:ascii="Calibri" w:eastAsiaTheme="minorHAnsi" w:hAnsi="Calibri" w:cstheme="minorBidi"/>
                <w:sz w:val="20"/>
                <w:szCs w:val="20"/>
                <w:lang w:val="en-US"/>
              </w:rPr>
              <w:t xml:space="preserve">2. More stringent audits </w:t>
            </w:r>
            <w:r w:rsidR="00703CE6" w:rsidRPr="00E020EA">
              <w:rPr>
                <w:rFonts w:ascii="Calibri" w:eastAsiaTheme="minorHAnsi" w:hAnsi="Calibri" w:cstheme="minorBidi"/>
                <w:sz w:val="20"/>
                <w:szCs w:val="20"/>
                <w:lang w:val="en-US"/>
              </w:rPr>
              <w:t>focusing</w:t>
            </w:r>
            <w:r w:rsidRPr="00E020EA">
              <w:rPr>
                <w:rFonts w:ascii="Calibri" w:eastAsiaTheme="minorHAnsi" w:hAnsi="Calibri" w:cstheme="minorBidi"/>
                <w:sz w:val="20"/>
                <w:szCs w:val="20"/>
                <w:lang w:val="en-US"/>
              </w:rPr>
              <w:t xml:space="preserve"> on controls</w:t>
            </w:r>
          </w:p>
        </w:tc>
      </w:tr>
      <w:tr w:rsidR="00E020EA" w:rsidRPr="00E020EA" w14:paraId="64842390" w14:textId="77777777" w:rsidTr="00E020EA">
        <w:tc>
          <w:tcPr>
            <w:tcW w:w="4928" w:type="dxa"/>
          </w:tcPr>
          <w:p w14:paraId="6D8FE398" w14:textId="77777777" w:rsidR="00E020EA" w:rsidRPr="00E020EA" w:rsidRDefault="00E020EA" w:rsidP="00E020EA">
            <w:pPr>
              <w:pStyle w:val="NoSpacing"/>
              <w:rPr>
                <w:rFonts w:ascii="Calibri" w:eastAsiaTheme="minorHAnsi" w:hAnsi="Calibri" w:cstheme="minorBidi"/>
                <w:sz w:val="20"/>
                <w:szCs w:val="20"/>
                <w:lang w:val="en-US"/>
              </w:rPr>
            </w:pPr>
            <w:r w:rsidRPr="00E020EA">
              <w:rPr>
                <w:rFonts w:ascii="Calibri" w:eastAsiaTheme="minorHAnsi" w:hAnsi="Calibri" w:cstheme="minorBidi"/>
                <w:sz w:val="20"/>
                <w:szCs w:val="20"/>
                <w:lang w:val="en-US"/>
              </w:rPr>
              <w:t>3. Speeding up ICT services</w:t>
            </w:r>
          </w:p>
        </w:tc>
        <w:tc>
          <w:tcPr>
            <w:tcW w:w="4678" w:type="dxa"/>
          </w:tcPr>
          <w:p w14:paraId="441B4072" w14:textId="77777777" w:rsidR="00E020EA" w:rsidRPr="00E020EA" w:rsidRDefault="00E020EA" w:rsidP="00E020EA">
            <w:pPr>
              <w:pStyle w:val="NoSpacing"/>
              <w:rPr>
                <w:rFonts w:ascii="Calibri" w:eastAsiaTheme="minorHAnsi" w:hAnsi="Calibri" w:cstheme="minorBidi"/>
                <w:sz w:val="20"/>
                <w:szCs w:val="20"/>
                <w:lang w:val="en-US"/>
              </w:rPr>
            </w:pPr>
            <w:r w:rsidRPr="00E020EA">
              <w:rPr>
                <w:rFonts w:ascii="Calibri" w:eastAsiaTheme="minorHAnsi" w:hAnsi="Calibri" w:cstheme="minorBidi"/>
                <w:sz w:val="20"/>
                <w:szCs w:val="20"/>
                <w:lang w:val="en-US"/>
              </w:rPr>
              <w:t>3. Focus on ICT by Auditor General</w:t>
            </w:r>
          </w:p>
        </w:tc>
      </w:tr>
      <w:tr w:rsidR="00E020EA" w:rsidRPr="00E020EA" w14:paraId="0DBF103E" w14:textId="77777777" w:rsidTr="00E020EA">
        <w:tc>
          <w:tcPr>
            <w:tcW w:w="4928" w:type="dxa"/>
          </w:tcPr>
          <w:p w14:paraId="3C553676" w14:textId="77777777" w:rsidR="00E020EA" w:rsidRPr="00E020EA" w:rsidRDefault="00E020EA" w:rsidP="00E020EA">
            <w:pPr>
              <w:pStyle w:val="NoSpacing"/>
              <w:rPr>
                <w:rFonts w:ascii="Calibri" w:eastAsiaTheme="minorHAnsi" w:hAnsi="Calibri" w:cstheme="minorBidi"/>
                <w:sz w:val="20"/>
                <w:szCs w:val="20"/>
                <w:lang w:val="en-US"/>
              </w:rPr>
            </w:pPr>
          </w:p>
        </w:tc>
        <w:tc>
          <w:tcPr>
            <w:tcW w:w="4678" w:type="dxa"/>
          </w:tcPr>
          <w:p w14:paraId="2C171CF8" w14:textId="77777777" w:rsidR="00E020EA" w:rsidRPr="00E020EA" w:rsidRDefault="00E020EA" w:rsidP="00E020EA">
            <w:pPr>
              <w:pStyle w:val="NoSpacing"/>
              <w:rPr>
                <w:rFonts w:ascii="Calibri" w:eastAsiaTheme="minorHAnsi" w:hAnsi="Calibri" w:cstheme="minorBidi"/>
                <w:sz w:val="20"/>
                <w:szCs w:val="20"/>
                <w:lang w:val="en-US"/>
              </w:rPr>
            </w:pPr>
            <w:r w:rsidRPr="00E020EA">
              <w:rPr>
                <w:rFonts w:ascii="Calibri" w:eastAsiaTheme="minorHAnsi" w:hAnsi="Calibri" w:cstheme="minorBidi"/>
                <w:sz w:val="20"/>
                <w:szCs w:val="20"/>
                <w:lang w:val="en-US"/>
              </w:rPr>
              <w:t>4. Business Units make decisions which may impact ICT without consulting ICT</w:t>
            </w:r>
          </w:p>
        </w:tc>
      </w:tr>
      <w:tr w:rsidR="00E020EA" w:rsidRPr="00E020EA" w14:paraId="3B405DA6" w14:textId="77777777" w:rsidTr="00E020EA">
        <w:tc>
          <w:tcPr>
            <w:tcW w:w="4928" w:type="dxa"/>
          </w:tcPr>
          <w:p w14:paraId="75DECC33" w14:textId="77777777" w:rsidR="00E020EA" w:rsidRPr="00E020EA" w:rsidRDefault="00E020EA" w:rsidP="00E020EA">
            <w:pPr>
              <w:pStyle w:val="NoSpacing"/>
              <w:rPr>
                <w:rFonts w:ascii="Calibri" w:eastAsiaTheme="minorHAnsi" w:hAnsi="Calibri" w:cstheme="minorBidi"/>
                <w:sz w:val="20"/>
                <w:szCs w:val="20"/>
                <w:lang w:val="en-US"/>
              </w:rPr>
            </w:pPr>
          </w:p>
        </w:tc>
        <w:tc>
          <w:tcPr>
            <w:tcW w:w="4678" w:type="dxa"/>
          </w:tcPr>
          <w:p w14:paraId="7F4CAAC6" w14:textId="77777777" w:rsidR="00E020EA" w:rsidRPr="00E020EA" w:rsidRDefault="00E020EA" w:rsidP="00E020EA">
            <w:pPr>
              <w:pStyle w:val="NoSpacing"/>
              <w:rPr>
                <w:rFonts w:ascii="Calibri" w:eastAsiaTheme="minorHAnsi" w:hAnsi="Calibri" w:cstheme="minorBidi"/>
                <w:sz w:val="20"/>
                <w:szCs w:val="20"/>
                <w:lang w:val="en-US"/>
              </w:rPr>
            </w:pPr>
            <w:r w:rsidRPr="00E020EA">
              <w:rPr>
                <w:rFonts w:ascii="Calibri" w:eastAsiaTheme="minorHAnsi" w:hAnsi="Calibri" w:cstheme="minorBidi"/>
                <w:sz w:val="20"/>
                <w:szCs w:val="20"/>
                <w:lang w:val="en-US"/>
              </w:rPr>
              <w:t>5. Constantly changing ICT technologies</w:t>
            </w:r>
          </w:p>
        </w:tc>
      </w:tr>
    </w:tbl>
    <w:p w14:paraId="2F557C8D" w14:textId="77777777" w:rsidR="00534637" w:rsidRDefault="00534637" w:rsidP="00395313">
      <w:pPr>
        <w:spacing w:line="288" w:lineRule="auto"/>
        <w:jc w:val="both"/>
        <w:rPr>
          <w:szCs w:val="20"/>
        </w:rPr>
      </w:pPr>
    </w:p>
    <w:p w14:paraId="7D97FF7E" w14:textId="77777777" w:rsidR="0037082E" w:rsidRPr="00F8472B" w:rsidRDefault="004D7441" w:rsidP="00750180">
      <w:pPr>
        <w:pStyle w:val="Heading3"/>
        <w:numPr>
          <w:ilvl w:val="2"/>
          <w:numId w:val="29"/>
        </w:numPr>
      </w:pPr>
      <w:bookmarkStart w:id="370" w:name="_Toc389739929"/>
      <w:bookmarkStart w:id="371" w:name="_Toc510706626"/>
      <w:r w:rsidRPr="00F8472B">
        <w:t>SERVICE DELIVERY &amp; INFRASTRUCTURE: SWOT ANALYSIS</w:t>
      </w:r>
      <w:bookmarkEnd w:id="370"/>
      <w:bookmarkEnd w:id="371"/>
    </w:p>
    <w:p w14:paraId="4B316F8C" w14:textId="77777777" w:rsidR="00F13222" w:rsidRPr="00F8472B" w:rsidRDefault="00F13222" w:rsidP="00750180">
      <w:pPr>
        <w:pStyle w:val="Heading4"/>
        <w:numPr>
          <w:ilvl w:val="3"/>
          <w:numId w:val="29"/>
        </w:numPr>
      </w:pPr>
      <w:bookmarkStart w:id="372" w:name="_Toc389739930"/>
      <w:r w:rsidRPr="00F8472B">
        <w:t>STRENGTHS / OPPORTUNITIES</w:t>
      </w:r>
      <w:bookmarkEnd w:id="372"/>
    </w:p>
    <w:p w14:paraId="4291218E" w14:textId="77777777" w:rsidR="00F13222" w:rsidRPr="00881795" w:rsidRDefault="00F13222" w:rsidP="00E31338">
      <w:pPr>
        <w:pStyle w:val="ListParagraph"/>
        <w:numPr>
          <w:ilvl w:val="0"/>
          <w:numId w:val="1"/>
        </w:numPr>
        <w:spacing w:line="288" w:lineRule="auto"/>
        <w:jc w:val="both"/>
        <w:rPr>
          <w:szCs w:val="20"/>
        </w:rPr>
      </w:pPr>
      <w:r w:rsidRPr="00881795">
        <w:rPr>
          <w:szCs w:val="20"/>
        </w:rPr>
        <w:t>Full range of engineering services provided to all urban areas.</w:t>
      </w:r>
    </w:p>
    <w:p w14:paraId="54C11A4E" w14:textId="77777777" w:rsidR="00F13222" w:rsidRPr="00881795" w:rsidRDefault="00A36163" w:rsidP="00E31338">
      <w:pPr>
        <w:pStyle w:val="ListParagraph"/>
        <w:numPr>
          <w:ilvl w:val="0"/>
          <w:numId w:val="1"/>
        </w:numPr>
        <w:spacing w:line="288" w:lineRule="auto"/>
        <w:jc w:val="both"/>
        <w:rPr>
          <w:szCs w:val="20"/>
        </w:rPr>
      </w:pPr>
      <w:r w:rsidRPr="00881795">
        <w:rPr>
          <w:szCs w:val="20"/>
        </w:rPr>
        <w:t>The</w:t>
      </w:r>
      <w:r w:rsidR="00F13222" w:rsidRPr="00881795">
        <w:rPr>
          <w:szCs w:val="20"/>
        </w:rPr>
        <w:t xml:space="preserve"> reticulation </w:t>
      </w:r>
      <w:r w:rsidRPr="00881795">
        <w:rPr>
          <w:szCs w:val="20"/>
        </w:rPr>
        <w:t>of water</w:t>
      </w:r>
      <w:r w:rsidR="00F13222" w:rsidRPr="00881795">
        <w:rPr>
          <w:szCs w:val="20"/>
        </w:rPr>
        <w:t xml:space="preserve"> is complicated by the undulating topography.</w:t>
      </w:r>
    </w:p>
    <w:p w14:paraId="0F1AF463" w14:textId="77777777" w:rsidR="00F13222" w:rsidRPr="00881795" w:rsidRDefault="00F13222" w:rsidP="00E31338">
      <w:pPr>
        <w:pStyle w:val="ListParagraph"/>
        <w:numPr>
          <w:ilvl w:val="0"/>
          <w:numId w:val="1"/>
        </w:numPr>
        <w:spacing w:line="288" w:lineRule="auto"/>
        <w:jc w:val="both"/>
        <w:rPr>
          <w:szCs w:val="20"/>
        </w:rPr>
      </w:pPr>
      <w:r w:rsidRPr="00881795">
        <w:rPr>
          <w:szCs w:val="20"/>
        </w:rPr>
        <w:t>Free Basic services for electricity are being provided by the uMlalazi Municipality, for those people on the indigent register and residing in Eshowe and King DinuZulu (where the Municipality is the electricity service provider).  Monies are also being paid over to ESKOM on a monthly basis for free basic electricity for the indigents on ESKOM’s Indigent Register.</w:t>
      </w:r>
    </w:p>
    <w:p w14:paraId="181E2979" w14:textId="77777777" w:rsidR="00F13222" w:rsidRPr="00881795" w:rsidRDefault="00F13222" w:rsidP="00E31338">
      <w:pPr>
        <w:pStyle w:val="ListParagraph"/>
        <w:numPr>
          <w:ilvl w:val="0"/>
          <w:numId w:val="1"/>
        </w:numPr>
        <w:spacing w:line="288" w:lineRule="auto"/>
        <w:jc w:val="both"/>
        <w:rPr>
          <w:szCs w:val="20"/>
        </w:rPr>
      </w:pPr>
      <w:r w:rsidRPr="00881795">
        <w:rPr>
          <w:szCs w:val="20"/>
        </w:rPr>
        <w:t>Free Basic Services for solid waste removal are provided by the Municipality for households on the Municipal Indigent Register for those residing in Eshowe, King DinuZulu and Gingindlovu.</w:t>
      </w:r>
    </w:p>
    <w:p w14:paraId="5829C093" w14:textId="77777777" w:rsidR="00F13222" w:rsidRPr="00881795" w:rsidRDefault="00F13222" w:rsidP="00E31338">
      <w:pPr>
        <w:pStyle w:val="ListParagraph"/>
        <w:numPr>
          <w:ilvl w:val="0"/>
          <w:numId w:val="1"/>
        </w:numPr>
        <w:spacing w:line="288" w:lineRule="auto"/>
        <w:jc w:val="both"/>
        <w:rPr>
          <w:szCs w:val="20"/>
        </w:rPr>
      </w:pPr>
      <w:r w:rsidRPr="00881795">
        <w:rPr>
          <w:szCs w:val="20"/>
        </w:rPr>
        <w:t xml:space="preserve">Recycling and buyback </w:t>
      </w:r>
      <w:r w:rsidR="00A25189" w:rsidRPr="00881795">
        <w:rPr>
          <w:szCs w:val="20"/>
        </w:rPr>
        <w:t>centers</w:t>
      </w:r>
      <w:r w:rsidRPr="00881795">
        <w:rPr>
          <w:szCs w:val="20"/>
        </w:rPr>
        <w:t xml:space="preserve"> are being investigated and the Municipality has already commenced with the roll-out of pilot projects in the rural areas.</w:t>
      </w:r>
    </w:p>
    <w:p w14:paraId="54CDBB64" w14:textId="77777777" w:rsidR="00F13222" w:rsidRPr="00881795" w:rsidRDefault="00F13222" w:rsidP="00E31338">
      <w:pPr>
        <w:pStyle w:val="ListParagraph"/>
        <w:numPr>
          <w:ilvl w:val="0"/>
          <w:numId w:val="1"/>
        </w:numPr>
        <w:spacing w:line="288" w:lineRule="auto"/>
        <w:jc w:val="both"/>
        <w:rPr>
          <w:szCs w:val="20"/>
        </w:rPr>
      </w:pPr>
      <w:r w:rsidRPr="00881795">
        <w:rPr>
          <w:szCs w:val="20"/>
        </w:rPr>
        <w:t>The uMlalazi Municipality is crossed by a number of important transportation routes, such as the N2 Motorway between Durban and Richards Bay, the R34 between Richards Bay/Empangeni and Nkwaleni valley to the north of Eshowe, and the R66 from the N2 Motorway to Gingindlovu, Eshowe, Melmoth, Ulundi and Vryheid.</w:t>
      </w:r>
    </w:p>
    <w:p w14:paraId="739ACC0F" w14:textId="77777777" w:rsidR="00F13222" w:rsidRPr="00881795" w:rsidRDefault="00F13222" w:rsidP="00E31338">
      <w:pPr>
        <w:pStyle w:val="ListParagraph"/>
        <w:numPr>
          <w:ilvl w:val="0"/>
          <w:numId w:val="1"/>
        </w:numPr>
        <w:spacing w:line="288" w:lineRule="auto"/>
        <w:jc w:val="both"/>
        <w:rPr>
          <w:szCs w:val="20"/>
        </w:rPr>
      </w:pPr>
      <w:r w:rsidRPr="00881795">
        <w:rPr>
          <w:szCs w:val="20"/>
        </w:rPr>
        <w:t>The uMlalazi Local Municipality has a 24 hour Alpha Emergency Control Centre locate</w:t>
      </w:r>
      <w:r w:rsidR="009842EE">
        <w:rPr>
          <w:szCs w:val="20"/>
        </w:rPr>
        <w:t xml:space="preserve">d at the offices of the Director Community Services </w:t>
      </w:r>
      <w:r w:rsidRPr="00881795">
        <w:rPr>
          <w:szCs w:val="20"/>
        </w:rPr>
        <w:t>in Butcher Street, Eshowe.</w:t>
      </w:r>
    </w:p>
    <w:p w14:paraId="14934866" w14:textId="77777777" w:rsidR="00F13222" w:rsidRPr="00E010F8" w:rsidRDefault="008B1649" w:rsidP="00E31338">
      <w:pPr>
        <w:pStyle w:val="ListParagraph"/>
        <w:numPr>
          <w:ilvl w:val="0"/>
          <w:numId w:val="1"/>
        </w:numPr>
        <w:spacing w:line="288" w:lineRule="auto"/>
        <w:jc w:val="both"/>
        <w:rPr>
          <w:szCs w:val="20"/>
        </w:rPr>
      </w:pPr>
      <w:r w:rsidRPr="00E010F8">
        <w:rPr>
          <w:rFonts w:cs="Arial"/>
          <w:szCs w:val="20"/>
        </w:rPr>
        <w:t>Infrastructure associated the mining will improve the infrastructure available to a municipal area.</w:t>
      </w:r>
    </w:p>
    <w:p w14:paraId="714D28B9" w14:textId="77777777" w:rsidR="00F13222" w:rsidRPr="00F8472B" w:rsidRDefault="00F13222" w:rsidP="00750180">
      <w:pPr>
        <w:pStyle w:val="Heading4"/>
        <w:numPr>
          <w:ilvl w:val="3"/>
          <w:numId w:val="29"/>
        </w:numPr>
      </w:pPr>
      <w:bookmarkStart w:id="373" w:name="_Toc389739931"/>
      <w:r w:rsidRPr="00F8472B">
        <w:t>WEAKNESSES / THREATS</w:t>
      </w:r>
      <w:bookmarkEnd w:id="373"/>
    </w:p>
    <w:p w14:paraId="38203FD6" w14:textId="77777777" w:rsidR="00F13222" w:rsidRPr="00881795" w:rsidRDefault="00F13222" w:rsidP="00E31338">
      <w:pPr>
        <w:pStyle w:val="ListParagraph"/>
        <w:numPr>
          <w:ilvl w:val="0"/>
          <w:numId w:val="1"/>
        </w:numPr>
        <w:spacing w:line="288" w:lineRule="auto"/>
        <w:jc w:val="both"/>
        <w:rPr>
          <w:szCs w:val="20"/>
        </w:rPr>
      </w:pPr>
      <w:r w:rsidRPr="00881795">
        <w:rPr>
          <w:szCs w:val="20"/>
        </w:rPr>
        <w:t xml:space="preserve">High backlogs in water and sanitation provision </w:t>
      </w:r>
      <w:r w:rsidR="00D5765C">
        <w:rPr>
          <w:szCs w:val="20"/>
        </w:rPr>
        <w:t>in the rural areas, which is exacer</w:t>
      </w:r>
      <w:r w:rsidRPr="00881795">
        <w:rPr>
          <w:szCs w:val="20"/>
        </w:rPr>
        <w:t>bated by the poor maintenance of existing infrastructure.</w:t>
      </w:r>
    </w:p>
    <w:p w14:paraId="483DCDAF" w14:textId="77777777" w:rsidR="00F13222" w:rsidRPr="00881795" w:rsidRDefault="00F13222" w:rsidP="00E31338">
      <w:pPr>
        <w:pStyle w:val="ListParagraph"/>
        <w:numPr>
          <w:ilvl w:val="0"/>
          <w:numId w:val="1"/>
        </w:numPr>
        <w:spacing w:line="288" w:lineRule="auto"/>
        <w:jc w:val="both"/>
        <w:rPr>
          <w:szCs w:val="20"/>
        </w:rPr>
      </w:pPr>
      <w:r w:rsidRPr="00881795">
        <w:rPr>
          <w:szCs w:val="20"/>
        </w:rPr>
        <w:t>High backlogs in electricity / alternative energy provision in the rural areas,</w:t>
      </w:r>
      <w:r w:rsidR="00D5765C" w:rsidRPr="00D5765C">
        <w:t xml:space="preserve"> </w:t>
      </w:r>
      <w:r w:rsidR="00D5765C" w:rsidRPr="00D5765C">
        <w:rPr>
          <w:szCs w:val="20"/>
        </w:rPr>
        <w:t>exacerbated</w:t>
      </w:r>
      <w:r w:rsidRPr="00881795">
        <w:rPr>
          <w:szCs w:val="20"/>
        </w:rPr>
        <w:t xml:space="preserve"> by scattered rural settlement patterns.</w:t>
      </w:r>
    </w:p>
    <w:p w14:paraId="06087D5B" w14:textId="77777777" w:rsidR="00F13222" w:rsidRPr="00881795" w:rsidRDefault="00F13222" w:rsidP="00E31338">
      <w:pPr>
        <w:pStyle w:val="ListParagraph"/>
        <w:numPr>
          <w:ilvl w:val="0"/>
          <w:numId w:val="1"/>
        </w:numPr>
        <w:spacing w:line="288" w:lineRule="auto"/>
        <w:jc w:val="both"/>
        <w:rPr>
          <w:szCs w:val="20"/>
        </w:rPr>
      </w:pPr>
      <w:r w:rsidRPr="00881795">
        <w:rPr>
          <w:szCs w:val="20"/>
        </w:rPr>
        <w:t>Illegal connections (electricity) pose safety risks to people.</w:t>
      </w:r>
    </w:p>
    <w:p w14:paraId="0EBDCA2D" w14:textId="77777777" w:rsidR="00F13222" w:rsidRPr="00881795" w:rsidRDefault="00F13222" w:rsidP="00E31338">
      <w:pPr>
        <w:pStyle w:val="ListParagraph"/>
        <w:numPr>
          <w:ilvl w:val="0"/>
          <w:numId w:val="1"/>
        </w:numPr>
        <w:spacing w:line="288" w:lineRule="auto"/>
        <w:jc w:val="both"/>
        <w:rPr>
          <w:szCs w:val="20"/>
        </w:rPr>
      </w:pPr>
      <w:r w:rsidRPr="00881795">
        <w:rPr>
          <w:szCs w:val="20"/>
        </w:rPr>
        <w:t>Rural access roads are in a poor state of repair.  This is</w:t>
      </w:r>
      <w:r w:rsidR="00D5765C" w:rsidRPr="00D5765C">
        <w:t xml:space="preserve"> </w:t>
      </w:r>
      <w:r w:rsidR="00D5765C" w:rsidRPr="00D5765C">
        <w:rPr>
          <w:szCs w:val="20"/>
        </w:rPr>
        <w:t>exacerbated</w:t>
      </w:r>
      <w:r w:rsidRPr="00881795">
        <w:rPr>
          <w:szCs w:val="20"/>
        </w:rPr>
        <w:t xml:space="preserve"> by the fact that no sphere of government is clear on who is responsible for these roads.</w:t>
      </w:r>
    </w:p>
    <w:p w14:paraId="2201EA14" w14:textId="77777777" w:rsidR="00F13222" w:rsidRPr="00881795" w:rsidRDefault="00F13222" w:rsidP="00E31338">
      <w:pPr>
        <w:pStyle w:val="ListParagraph"/>
        <w:numPr>
          <w:ilvl w:val="0"/>
          <w:numId w:val="1"/>
        </w:numPr>
        <w:spacing w:line="288" w:lineRule="auto"/>
        <w:jc w:val="both"/>
        <w:rPr>
          <w:szCs w:val="20"/>
        </w:rPr>
      </w:pPr>
      <w:r w:rsidRPr="00881795">
        <w:rPr>
          <w:szCs w:val="20"/>
        </w:rPr>
        <w:t xml:space="preserve">Due to the absence of potable water in many of the rural areas, communities tend to settle in close </w:t>
      </w:r>
      <w:r w:rsidR="00703CE6" w:rsidRPr="00881795">
        <w:rPr>
          <w:szCs w:val="20"/>
        </w:rPr>
        <w:t>proximity</w:t>
      </w:r>
      <w:r w:rsidRPr="00881795">
        <w:rPr>
          <w:szCs w:val="20"/>
        </w:rPr>
        <w:t xml:space="preserve"> to rivers and streams, mostly without due consideration of flood lines along these water courses.</w:t>
      </w:r>
    </w:p>
    <w:p w14:paraId="3E7DD0EA" w14:textId="77777777" w:rsidR="00F13222" w:rsidRPr="00881795" w:rsidRDefault="00F13222" w:rsidP="00E31338">
      <w:pPr>
        <w:pStyle w:val="ListParagraph"/>
        <w:numPr>
          <w:ilvl w:val="0"/>
          <w:numId w:val="1"/>
        </w:numPr>
        <w:spacing w:line="288" w:lineRule="auto"/>
        <w:jc w:val="both"/>
        <w:rPr>
          <w:szCs w:val="20"/>
        </w:rPr>
      </w:pPr>
      <w:r w:rsidRPr="00881795">
        <w:rPr>
          <w:szCs w:val="20"/>
        </w:rPr>
        <w:t>Fires occur during protracted periods of drought and are aided by the generally dense vegetation such as cane fields, forests and invasive alien vegetation throughout the municipal area.</w:t>
      </w:r>
    </w:p>
    <w:p w14:paraId="7BC47E11" w14:textId="77777777" w:rsidR="00F13222" w:rsidRPr="00881795" w:rsidRDefault="00F13222" w:rsidP="00E31338">
      <w:pPr>
        <w:pStyle w:val="ListParagraph"/>
        <w:numPr>
          <w:ilvl w:val="0"/>
          <w:numId w:val="1"/>
        </w:numPr>
        <w:spacing w:line="288" w:lineRule="auto"/>
        <w:jc w:val="both"/>
        <w:rPr>
          <w:szCs w:val="20"/>
        </w:rPr>
      </w:pPr>
      <w:r w:rsidRPr="00881795">
        <w:rPr>
          <w:szCs w:val="20"/>
        </w:rPr>
        <w:t>The occurrence of cholera and related diseases is as a result of the absence of potable water as well as the lack of sanitation in rural areas.</w:t>
      </w:r>
    </w:p>
    <w:p w14:paraId="3C2542F2" w14:textId="77777777" w:rsidR="00F13222" w:rsidRPr="00881795" w:rsidRDefault="00F13222" w:rsidP="00E31338">
      <w:pPr>
        <w:pStyle w:val="ListParagraph"/>
        <w:numPr>
          <w:ilvl w:val="0"/>
          <w:numId w:val="1"/>
        </w:numPr>
        <w:spacing w:line="288" w:lineRule="auto"/>
        <w:jc w:val="both"/>
        <w:rPr>
          <w:szCs w:val="20"/>
        </w:rPr>
      </w:pPr>
      <w:r w:rsidRPr="00881795">
        <w:rPr>
          <w:szCs w:val="20"/>
        </w:rPr>
        <w:t>The uMlalazi Local Municipality does not have the capacity in terms of manpower nor the technical support equipment to deal with a major disaster.  Poor access increases the potential impact of a disaster.</w:t>
      </w:r>
    </w:p>
    <w:p w14:paraId="7C85FF9F" w14:textId="77777777" w:rsidR="00F13222" w:rsidRPr="00881795" w:rsidRDefault="00F13222" w:rsidP="00E31338">
      <w:pPr>
        <w:pStyle w:val="ListParagraph"/>
        <w:numPr>
          <w:ilvl w:val="0"/>
          <w:numId w:val="1"/>
        </w:numPr>
        <w:spacing w:line="288" w:lineRule="auto"/>
        <w:jc w:val="both"/>
        <w:rPr>
          <w:szCs w:val="20"/>
        </w:rPr>
      </w:pPr>
      <w:r w:rsidRPr="00881795">
        <w:rPr>
          <w:szCs w:val="20"/>
        </w:rPr>
        <w:t xml:space="preserve">The impact of climate change – more periods of heavy flooding and longer periods of drought – poses a very real threat to </w:t>
      </w:r>
      <w:r w:rsidRPr="00DA34C9">
        <w:rPr>
          <w:rFonts w:asciiTheme="minorHAnsi" w:hAnsiTheme="minorHAnsi" w:cstheme="minorHAnsi"/>
          <w:szCs w:val="20"/>
        </w:rPr>
        <w:t>the</w:t>
      </w:r>
      <w:r w:rsidRPr="00881795">
        <w:rPr>
          <w:szCs w:val="20"/>
        </w:rPr>
        <w:t xml:space="preserve"> sustainable livelihood of rural communities.</w:t>
      </w:r>
    </w:p>
    <w:p w14:paraId="3BAC826E" w14:textId="77777777" w:rsidR="00F13222" w:rsidRDefault="00F13222" w:rsidP="00E31338">
      <w:pPr>
        <w:pStyle w:val="ListParagraph"/>
        <w:numPr>
          <w:ilvl w:val="0"/>
          <w:numId w:val="1"/>
        </w:numPr>
        <w:spacing w:line="288" w:lineRule="auto"/>
        <w:jc w:val="both"/>
        <w:rPr>
          <w:szCs w:val="20"/>
        </w:rPr>
      </w:pPr>
      <w:r w:rsidRPr="00881795">
        <w:rPr>
          <w:szCs w:val="20"/>
        </w:rPr>
        <w:t>Lack of sufficient storm water management in urban areas.</w:t>
      </w:r>
    </w:p>
    <w:p w14:paraId="64147F9D" w14:textId="77777777" w:rsidR="0037082E" w:rsidRPr="00F8472B" w:rsidRDefault="0037082E" w:rsidP="00750180">
      <w:pPr>
        <w:pStyle w:val="Heading2"/>
        <w:numPr>
          <w:ilvl w:val="1"/>
          <w:numId w:val="29"/>
        </w:numPr>
      </w:pPr>
      <w:bookmarkStart w:id="374" w:name="_Toc389739932"/>
      <w:bookmarkStart w:id="375" w:name="_Toc510706627"/>
      <w:r w:rsidRPr="00F8472B">
        <w:t>LOCAL ECONOMIC &amp; SOCIAL DEVELOPMENT ANALYSIS</w:t>
      </w:r>
      <w:bookmarkEnd w:id="374"/>
      <w:bookmarkEnd w:id="375"/>
      <w:r w:rsidR="00E54D36" w:rsidRPr="00F8472B">
        <w:t xml:space="preserve"> </w:t>
      </w:r>
    </w:p>
    <w:p w14:paraId="01709915" w14:textId="77777777" w:rsidR="0037082E" w:rsidRPr="00F8472B" w:rsidRDefault="00654EDF" w:rsidP="00750180">
      <w:pPr>
        <w:pStyle w:val="Heading3"/>
        <w:numPr>
          <w:ilvl w:val="2"/>
          <w:numId w:val="29"/>
        </w:numPr>
      </w:pPr>
      <w:bookmarkStart w:id="376" w:name="_Toc389739933"/>
      <w:bookmarkStart w:id="377" w:name="_Toc510706628"/>
      <w:r w:rsidRPr="00F8472B">
        <w:t>LOCAL ECONOMIC DEVELOPMENT ANALYSIS</w:t>
      </w:r>
      <w:bookmarkEnd w:id="376"/>
      <w:bookmarkEnd w:id="377"/>
    </w:p>
    <w:p w14:paraId="57AD7572" w14:textId="77777777" w:rsidR="008155E3" w:rsidRPr="00F8472B" w:rsidRDefault="008155E3" w:rsidP="00750180">
      <w:pPr>
        <w:pStyle w:val="Heading4"/>
        <w:numPr>
          <w:ilvl w:val="3"/>
          <w:numId w:val="29"/>
        </w:numPr>
      </w:pPr>
      <w:bookmarkStart w:id="378" w:name="_Toc389739934"/>
      <w:r w:rsidRPr="00F8472B">
        <w:t>Municipal Comparative &amp; Competitive Advantages</w:t>
      </w:r>
      <w:bookmarkEnd w:id="378"/>
    </w:p>
    <w:p w14:paraId="347F86CF" w14:textId="7F65BE4A" w:rsidR="00454291" w:rsidRPr="00881795" w:rsidRDefault="00703CE6" w:rsidP="00E31338">
      <w:pPr>
        <w:pStyle w:val="ListParagraph"/>
        <w:numPr>
          <w:ilvl w:val="0"/>
          <w:numId w:val="1"/>
        </w:numPr>
        <w:spacing w:line="288" w:lineRule="auto"/>
        <w:jc w:val="both"/>
        <w:rPr>
          <w:szCs w:val="20"/>
        </w:rPr>
      </w:pPr>
      <w:r>
        <w:rPr>
          <w:szCs w:val="20"/>
        </w:rPr>
        <w:t>Pristine</w:t>
      </w:r>
      <w:r w:rsidR="00E60068">
        <w:rPr>
          <w:szCs w:val="20"/>
        </w:rPr>
        <w:t xml:space="preserve"> c</w:t>
      </w:r>
      <w:r w:rsidR="005D44B7">
        <w:rPr>
          <w:szCs w:val="20"/>
        </w:rPr>
        <w:t xml:space="preserve">oastline of approximately 19 </w:t>
      </w:r>
      <w:r w:rsidR="00454291" w:rsidRPr="00881795">
        <w:rPr>
          <w:szCs w:val="20"/>
        </w:rPr>
        <w:t>kms</w:t>
      </w:r>
    </w:p>
    <w:p w14:paraId="1B6383D3" w14:textId="77777777" w:rsidR="00454291" w:rsidRPr="00881795" w:rsidRDefault="00454291" w:rsidP="00E31338">
      <w:pPr>
        <w:pStyle w:val="ListParagraph"/>
        <w:numPr>
          <w:ilvl w:val="0"/>
          <w:numId w:val="1"/>
        </w:numPr>
        <w:spacing w:line="288" w:lineRule="auto"/>
        <w:jc w:val="both"/>
        <w:rPr>
          <w:szCs w:val="20"/>
        </w:rPr>
      </w:pPr>
      <w:r w:rsidRPr="00881795">
        <w:rPr>
          <w:szCs w:val="20"/>
        </w:rPr>
        <w:t>Excellent biodiversity</w:t>
      </w:r>
      <w:r w:rsidR="00E60068">
        <w:rPr>
          <w:szCs w:val="20"/>
        </w:rPr>
        <w:t xml:space="preserve">, </w:t>
      </w:r>
      <w:r w:rsidR="00DB7AA5">
        <w:rPr>
          <w:szCs w:val="20"/>
        </w:rPr>
        <w:t>natural rain forest (fewest in the country)</w:t>
      </w:r>
    </w:p>
    <w:p w14:paraId="53C4FA36" w14:textId="77777777" w:rsidR="00454291" w:rsidRPr="00881795" w:rsidRDefault="00454291" w:rsidP="00E31338">
      <w:pPr>
        <w:pStyle w:val="ListParagraph"/>
        <w:numPr>
          <w:ilvl w:val="0"/>
          <w:numId w:val="1"/>
        </w:numPr>
        <w:spacing w:line="288" w:lineRule="auto"/>
        <w:jc w:val="both"/>
        <w:rPr>
          <w:szCs w:val="20"/>
        </w:rPr>
      </w:pPr>
      <w:r w:rsidRPr="00881795">
        <w:rPr>
          <w:szCs w:val="20"/>
        </w:rPr>
        <w:t>Goedertrouw/Phobane Dam</w:t>
      </w:r>
      <w:r w:rsidR="00DB7AA5">
        <w:rPr>
          <w:szCs w:val="20"/>
        </w:rPr>
        <w:t xml:space="preserve"> offering adventure tourism/water sports</w:t>
      </w:r>
    </w:p>
    <w:p w14:paraId="46BFCB2C" w14:textId="576CD0F2" w:rsidR="00E87505" w:rsidRPr="00881795" w:rsidRDefault="00E87505" w:rsidP="00E31338">
      <w:pPr>
        <w:pStyle w:val="ListParagraph"/>
        <w:numPr>
          <w:ilvl w:val="0"/>
          <w:numId w:val="1"/>
        </w:numPr>
        <w:spacing w:line="288" w:lineRule="auto"/>
        <w:jc w:val="both"/>
        <w:rPr>
          <w:szCs w:val="20"/>
        </w:rPr>
      </w:pPr>
      <w:r w:rsidRPr="00881795">
        <w:rPr>
          <w:szCs w:val="20"/>
        </w:rPr>
        <w:t>Potential for Mining in</w:t>
      </w:r>
      <w:r w:rsidR="005D44B7">
        <w:rPr>
          <w:szCs w:val="20"/>
        </w:rPr>
        <w:t xml:space="preserve"> identified</w:t>
      </w:r>
      <w:r w:rsidRPr="00881795">
        <w:rPr>
          <w:szCs w:val="20"/>
        </w:rPr>
        <w:t xml:space="preserve"> specific areas</w:t>
      </w:r>
    </w:p>
    <w:p w14:paraId="46E243DB" w14:textId="29059D35" w:rsidR="00454291" w:rsidRPr="00881795" w:rsidRDefault="005D44B7" w:rsidP="00E31338">
      <w:pPr>
        <w:pStyle w:val="ListParagraph"/>
        <w:numPr>
          <w:ilvl w:val="0"/>
          <w:numId w:val="1"/>
        </w:numPr>
        <w:spacing w:line="288" w:lineRule="auto"/>
        <w:jc w:val="both"/>
        <w:rPr>
          <w:szCs w:val="20"/>
        </w:rPr>
      </w:pPr>
      <w:r>
        <w:rPr>
          <w:szCs w:val="20"/>
        </w:rPr>
        <w:t>uMlalazi</w:t>
      </w:r>
      <w:r w:rsidR="00454291" w:rsidRPr="00881795">
        <w:rPr>
          <w:szCs w:val="20"/>
        </w:rPr>
        <w:t xml:space="preserve"> Coastal Reserve (the uMlalazi Reserve and the Amatikulu Reserve)</w:t>
      </w:r>
      <w:r w:rsidR="00DB7AA5">
        <w:rPr>
          <w:szCs w:val="20"/>
        </w:rPr>
        <w:t xml:space="preserve"> – potential blue flag </w:t>
      </w:r>
      <w:r w:rsidR="00703CE6">
        <w:rPr>
          <w:szCs w:val="20"/>
        </w:rPr>
        <w:t>status</w:t>
      </w:r>
    </w:p>
    <w:p w14:paraId="7151FF79" w14:textId="77777777" w:rsidR="00454291" w:rsidRPr="00881795" w:rsidRDefault="00454291" w:rsidP="00E31338">
      <w:pPr>
        <w:pStyle w:val="ListParagraph"/>
        <w:numPr>
          <w:ilvl w:val="0"/>
          <w:numId w:val="1"/>
        </w:numPr>
        <w:spacing w:line="288" w:lineRule="auto"/>
        <w:jc w:val="both"/>
        <w:rPr>
          <w:szCs w:val="20"/>
        </w:rPr>
      </w:pPr>
      <w:r w:rsidRPr="00881795">
        <w:rPr>
          <w:szCs w:val="20"/>
        </w:rPr>
        <w:t>Four Conservation Areas (</w:t>
      </w:r>
      <w:r w:rsidR="00C47E08" w:rsidRPr="00881795">
        <w:rPr>
          <w:szCs w:val="20"/>
        </w:rPr>
        <w:t>Ntumeni</w:t>
      </w:r>
      <w:r w:rsidRPr="00881795">
        <w:rPr>
          <w:szCs w:val="20"/>
        </w:rPr>
        <w:t xml:space="preserve"> Nature Reserve, Mbongolwane Wetland, Ongoye and Dhlinza Forests)</w:t>
      </w:r>
    </w:p>
    <w:p w14:paraId="71C2B9C4" w14:textId="77777777" w:rsidR="00454291" w:rsidRPr="00881795" w:rsidRDefault="00454291" w:rsidP="00E31338">
      <w:pPr>
        <w:pStyle w:val="ListParagraph"/>
        <w:numPr>
          <w:ilvl w:val="0"/>
          <w:numId w:val="1"/>
        </w:numPr>
        <w:spacing w:line="288" w:lineRule="auto"/>
        <w:jc w:val="both"/>
        <w:rPr>
          <w:szCs w:val="20"/>
        </w:rPr>
      </w:pPr>
      <w:r w:rsidRPr="00881795">
        <w:rPr>
          <w:szCs w:val="20"/>
        </w:rPr>
        <w:t>N2 National Road traverses through the Municipal Area along its south-eastern boundary</w:t>
      </w:r>
      <w:r w:rsidR="00DB7AA5">
        <w:rPr>
          <w:szCs w:val="20"/>
        </w:rPr>
        <w:t xml:space="preserve"> connecting two of KZN biggest </w:t>
      </w:r>
      <w:r w:rsidR="00703CE6">
        <w:rPr>
          <w:szCs w:val="20"/>
        </w:rPr>
        <w:t>commercial</w:t>
      </w:r>
      <w:r w:rsidR="00DB7AA5">
        <w:rPr>
          <w:szCs w:val="20"/>
        </w:rPr>
        <w:t xml:space="preserve"> hubs/ports.</w:t>
      </w:r>
    </w:p>
    <w:p w14:paraId="565D9B4C" w14:textId="77777777" w:rsidR="00454291" w:rsidRPr="00881795" w:rsidRDefault="00454291" w:rsidP="00E31338">
      <w:pPr>
        <w:pStyle w:val="ListParagraph"/>
        <w:numPr>
          <w:ilvl w:val="0"/>
          <w:numId w:val="1"/>
        </w:numPr>
        <w:spacing w:line="288" w:lineRule="auto"/>
        <w:jc w:val="both"/>
        <w:rPr>
          <w:szCs w:val="20"/>
        </w:rPr>
      </w:pPr>
      <w:r w:rsidRPr="00881795">
        <w:rPr>
          <w:szCs w:val="20"/>
        </w:rPr>
        <w:t xml:space="preserve">The R66 Main Road traverses through the </w:t>
      </w:r>
      <w:r w:rsidR="00A25189" w:rsidRPr="00881795">
        <w:rPr>
          <w:szCs w:val="20"/>
        </w:rPr>
        <w:t>center</w:t>
      </w:r>
      <w:r w:rsidRPr="00881795">
        <w:rPr>
          <w:szCs w:val="20"/>
        </w:rPr>
        <w:t xml:space="preserve"> of the municipal area from south to north, providing a road link between Durban, Ulundi and Vryheid.</w:t>
      </w:r>
    </w:p>
    <w:p w14:paraId="601B9FA1" w14:textId="77777777" w:rsidR="00454291" w:rsidRPr="00881795" w:rsidRDefault="00454291" w:rsidP="00E31338">
      <w:pPr>
        <w:pStyle w:val="ListParagraph"/>
        <w:numPr>
          <w:ilvl w:val="0"/>
          <w:numId w:val="1"/>
        </w:numPr>
        <w:spacing w:line="288" w:lineRule="auto"/>
        <w:jc w:val="both"/>
        <w:rPr>
          <w:szCs w:val="20"/>
        </w:rPr>
      </w:pPr>
      <w:r w:rsidRPr="00881795">
        <w:rPr>
          <w:szCs w:val="20"/>
        </w:rPr>
        <w:t xml:space="preserve">The municipality is located adjacent and to the south of one of the fastest growing urban </w:t>
      </w:r>
      <w:r w:rsidR="00A25189" w:rsidRPr="00881795">
        <w:rPr>
          <w:szCs w:val="20"/>
        </w:rPr>
        <w:t>centers</w:t>
      </w:r>
      <w:r w:rsidRPr="00881795">
        <w:rPr>
          <w:szCs w:val="20"/>
        </w:rPr>
        <w:t xml:space="preserve"> in South Africa, namely Richards Bay – Empangeni.</w:t>
      </w:r>
    </w:p>
    <w:p w14:paraId="1EC7C858" w14:textId="77777777" w:rsidR="00754C02" w:rsidRDefault="00454291" w:rsidP="00E31338">
      <w:pPr>
        <w:pStyle w:val="ListParagraph"/>
        <w:numPr>
          <w:ilvl w:val="0"/>
          <w:numId w:val="1"/>
        </w:numPr>
        <w:spacing w:line="288" w:lineRule="auto"/>
        <w:jc w:val="both"/>
        <w:rPr>
          <w:szCs w:val="20"/>
        </w:rPr>
      </w:pPr>
      <w:r w:rsidRPr="00881795">
        <w:rPr>
          <w:szCs w:val="20"/>
        </w:rPr>
        <w:t>The municipal area is rich in historica</w:t>
      </w:r>
      <w:r w:rsidR="00DB7AA5">
        <w:rPr>
          <w:szCs w:val="20"/>
        </w:rPr>
        <w:t>l and cultural assets.</w:t>
      </w:r>
    </w:p>
    <w:p w14:paraId="715D9E2D" w14:textId="77777777" w:rsidR="00DB7AA5" w:rsidRDefault="00DB7AA5" w:rsidP="00E31338">
      <w:pPr>
        <w:pStyle w:val="ListParagraph"/>
        <w:numPr>
          <w:ilvl w:val="0"/>
          <w:numId w:val="1"/>
        </w:numPr>
        <w:spacing w:line="288" w:lineRule="auto"/>
        <w:jc w:val="both"/>
        <w:rPr>
          <w:szCs w:val="20"/>
        </w:rPr>
      </w:pPr>
      <w:r>
        <w:rPr>
          <w:szCs w:val="20"/>
        </w:rPr>
        <w:t>Abundant development space in strategic areas within the municipality</w:t>
      </w:r>
    </w:p>
    <w:p w14:paraId="0498CAD4" w14:textId="6BF7EAC5" w:rsidR="005D44B7" w:rsidRPr="005E4588" w:rsidRDefault="005D44B7" w:rsidP="00E31338">
      <w:pPr>
        <w:pStyle w:val="ListParagraph"/>
        <w:numPr>
          <w:ilvl w:val="0"/>
          <w:numId w:val="1"/>
        </w:numPr>
        <w:spacing w:line="288" w:lineRule="auto"/>
        <w:jc w:val="both"/>
        <w:rPr>
          <w:szCs w:val="20"/>
        </w:rPr>
      </w:pPr>
      <w:r>
        <w:rPr>
          <w:szCs w:val="20"/>
        </w:rPr>
        <w:t>PGDS and the DGDP has identified uMlalazi as a high agriculture potential area.</w:t>
      </w:r>
    </w:p>
    <w:p w14:paraId="2F8A05C1" w14:textId="77777777" w:rsidR="005E0A6C" w:rsidRPr="00F8472B" w:rsidRDefault="005E0A6C" w:rsidP="00750180">
      <w:pPr>
        <w:pStyle w:val="Heading4"/>
        <w:numPr>
          <w:ilvl w:val="3"/>
          <w:numId w:val="29"/>
        </w:numPr>
      </w:pPr>
      <w:bookmarkStart w:id="379" w:name="_Toc350093473"/>
      <w:bookmarkStart w:id="380" w:name="_Toc389739935"/>
      <w:r w:rsidRPr="00F8472B">
        <w:t>Economic Profile of the Population</w:t>
      </w:r>
      <w:bookmarkEnd w:id="379"/>
      <w:bookmarkEnd w:id="380"/>
    </w:p>
    <w:p w14:paraId="5D0B9C0C" w14:textId="77777777" w:rsidR="005E0A6C" w:rsidRPr="00366508" w:rsidRDefault="005E0A6C" w:rsidP="00750180">
      <w:pPr>
        <w:pStyle w:val="Heading5"/>
        <w:numPr>
          <w:ilvl w:val="4"/>
          <w:numId w:val="29"/>
        </w:numPr>
      </w:pPr>
      <w:bookmarkStart w:id="381" w:name="_Toc350093474"/>
      <w:bookmarkStart w:id="382" w:name="_Toc389739936"/>
      <w:r w:rsidRPr="00366508">
        <w:t xml:space="preserve">Economic </w:t>
      </w:r>
      <w:r w:rsidR="006B50DF">
        <w:t>Profile</w:t>
      </w:r>
      <w:bookmarkEnd w:id="381"/>
      <w:bookmarkEnd w:id="382"/>
      <w:r w:rsidR="006B50DF">
        <w:t xml:space="preserve"> (Employment Status)</w:t>
      </w:r>
    </w:p>
    <w:p w14:paraId="216E5785" w14:textId="77777777" w:rsidR="00861523" w:rsidRPr="004C49EF" w:rsidRDefault="00861523" w:rsidP="00861523">
      <w:pPr>
        <w:keepNext/>
        <w:keepLines/>
        <w:spacing w:before="200" w:after="0"/>
        <w:outlineLvl w:val="2"/>
        <w:rPr>
          <w:rFonts w:eastAsia="Times New Roman" w:cs="Times New Roman"/>
          <w:b/>
          <w:bCs/>
        </w:rPr>
      </w:pPr>
      <w:bookmarkStart w:id="383" w:name="_Toc510706629"/>
      <w:r w:rsidRPr="004C49EF">
        <w:rPr>
          <w:rFonts w:eastAsia="Times New Roman" w:cs="Times New Roman"/>
          <w:b/>
          <w:bCs/>
        </w:rPr>
        <w:t>Employment Status (15yrs – 65yrs) (2015)</w:t>
      </w:r>
      <w:bookmarkEnd w:id="383"/>
    </w:p>
    <w:p w14:paraId="21205705" w14:textId="77777777" w:rsidR="00861523" w:rsidRPr="004C49EF" w:rsidRDefault="00861523" w:rsidP="00861523">
      <w:pPr>
        <w:tabs>
          <w:tab w:val="left" w:pos="1490"/>
        </w:tabs>
        <w:ind w:left="495"/>
        <w:contextualSpacing/>
        <w:jc w:val="both"/>
        <w:rPr>
          <w:rFonts w:eastAsia="Calibri" w:cs="Times New Roman"/>
          <w:szCs w:val="20"/>
        </w:rPr>
      </w:pPr>
    </w:p>
    <w:p w14:paraId="70B71C27" w14:textId="77777777" w:rsidR="00861523" w:rsidRPr="004C49EF" w:rsidRDefault="00861523" w:rsidP="00861523">
      <w:pPr>
        <w:contextualSpacing/>
        <w:jc w:val="both"/>
        <w:rPr>
          <w:rFonts w:eastAsia="Calibri" w:cs="Times New Roman"/>
          <w:szCs w:val="20"/>
        </w:rPr>
      </w:pPr>
      <w:r w:rsidRPr="004C49EF">
        <w:rPr>
          <w:rFonts w:eastAsia="Calibri" w:cs="Times New Roman"/>
          <w:szCs w:val="20"/>
        </w:rPr>
        <w:t>From the census data obtained by StatsSA, statistics indicate that there has been a noticeable im</w:t>
      </w:r>
      <w:r w:rsidR="0012603A">
        <w:rPr>
          <w:rFonts w:eastAsia="Calibri" w:cs="Times New Roman"/>
          <w:szCs w:val="20"/>
        </w:rPr>
        <w:t>provement in the employment sta</w:t>
      </w:r>
      <w:r w:rsidRPr="004C49EF">
        <w:rPr>
          <w:rFonts w:eastAsia="Calibri" w:cs="Times New Roman"/>
          <w:szCs w:val="20"/>
        </w:rPr>
        <w:t>tus within uMlalazi Municipality. Census 2011 data indicated that the unemployment rate was 35.2% and this has positively declined further to 26.2%. This indicates not, only that the e</w:t>
      </w:r>
      <w:r w:rsidR="0012603A">
        <w:rPr>
          <w:rFonts w:eastAsia="Calibri" w:cs="Times New Roman"/>
          <w:szCs w:val="20"/>
        </w:rPr>
        <w:t>m</w:t>
      </w:r>
      <w:r w:rsidRPr="004C49EF">
        <w:rPr>
          <w:rFonts w:eastAsia="Calibri" w:cs="Times New Roman"/>
          <w:szCs w:val="20"/>
        </w:rPr>
        <w:t>ployable population is more active, but also that local economic development within the municipality is increasing favorably over the years.</w:t>
      </w:r>
    </w:p>
    <w:p w14:paraId="3BBFECFE" w14:textId="77777777" w:rsidR="00861523" w:rsidRPr="006B50DF" w:rsidRDefault="007D419B" w:rsidP="006B50DF">
      <w:pPr>
        <w:pStyle w:val="Caption"/>
        <w:spacing w:after="0"/>
        <w:rPr>
          <w:rFonts w:eastAsia="Calibri"/>
        </w:rPr>
      </w:pPr>
      <w:bookmarkStart w:id="384" w:name="_Toc510622300"/>
      <w:r>
        <w:t xml:space="preserve">Table </w:t>
      </w:r>
      <w:r w:rsidR="00B918A6">
        <w:fldChar w:fldCharType="begin"/>
      </w:r>
      <w:r w:rsidR="00B918A6">
        <w:instrText xml:space="preserve"> SEQ Table \* ARABIC </w:instrText>
      </w:r>
      <w:r w:rsidR="00B918A6">
        <w:fldChar w:fldCharType="separate"/>
      </w:r>
      <w:r w:rsidR="0067023A">
        <w:rPr>
          <w:noProof/>
        </w:rPr>
        <w:t>50</w:t>
      </w:r>
      <w:r w:rsidR="00B918A6">
        <w:rPr>
          <w:noProof/>
        </w:rPr>
        <w:fldChar w:fldCharType="end"/>
      </w:r>
      <w:r>
        <w:t>: K</w:t>
      </w:r>
      <w:r w:rsidRPr="00861523">
        <w:rPr>
          <w:rFonts w:eastAsia="Calibri"/>
        </w:rPr>
        <w:t>CDM Unemployment Rate</w:t>
      </w:r>
      <w:bookmarkEnd w:id="384"/>
    </w:p>
    <w:tbl>
      <w:tblPr>
        <w:tblW w:w="5000" w:type="pct"/>
        <w:tblLook w:val="04A0" w:firstRow="1" w:lastRow="0" w:firstColumn="1" w:lastColumn="0" w:noHBand="0" w:noVBand="1"/>
      </w:tblPr>
      <w:tblGrid>
        <w:gridCol w:w="1583"/>
        <w:gridCol w:w="1926"/>
        <w:gridCol w:w="1600"/>
        <w:gridCol w:w="1506"/>
        <w:gridCol w:w="1641"/>
        <w:gridCol w:w="1373"/>
      </w:tblGrid>
      <w:tr w:rsidR="00861523" w:rsidRPr="004C49EF" w14:paraId="6883DA58" w14:textId="77777777" w:rsidTr="00991FCE">
        <w:trPr>
          <w:trHeight w:val="68"/>
        </w:trPr>
        <w:tc>
          <w:tcPr>
            <w:tcW w:w="82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F3AA9C" w14:textId="77777777" w:rsidR="00861523" w:rsidRPr="004C49EF" w:rsidRDefault="00861523" w:rsidP="00991FCE">
            <w:pPr>
              <w:spacing w:after="0" w:line="240" w:lineRule="auto"/>
              <w:rPr>
                <w:rFonts w:eastAsia="Times New Roman" w:cs="Times New Roman"/>
                <w:b/>
                <w:color w:val="000000"/>
                <w:lang w:eastAsia="en-ZA"/>
              </w:rPr>
            </w:pPr>
            <w:r w:rsidRPr="004C49EF">
              <w:rPr>
                <w:rFonts w:eastAsia="Times New Roman" w:cs="Times New Roman"/>
                <w:b/>
                <w:color w:val="000000"/>
                <w:lang w:eastAsia="en-ZA"/>
              </w:rPr>
              <w:t> </w:t>
            </w:r>
          </w:p>
        </w:tc>
        <w:tc>
          <w:tcPr>
            <w:tcW w:w="1000" w:type="pct"/>
            <w:tcBorders>
              <w:top w:val="single" w:sz="4" w:space="0" w:color="auto"/>
              <w:left w:val="nil"/>
              <w:bottom w:val="single" w:sz="4" w:space="0" w:color="auto"/>
              <w:right w:val="single" w:sz="4" w:space="0" w:color="auto"/>
            </w:tcBorders>
            <w:shd w:val="clear" w:color="auto" w:fill="auto"/>
            <w:vAlign w:val="bottom"/>
            <w:hideMark/>
          </w:tcPr>
          <w:p w14:paraId="3AE4F073" w14:textId="77777777" w:rsidR="00861523" w:rsidRPr="004C49EF" w:rsidRDefault="00861523" w:rsidP="00991FCE">
            <w:pPr>
              <w:spacing w:after="0" w:line="240" w:lineRule="auto"/>
              <w:rPr>
                <w:rFonts w:eastAsia="Times New Roman" w:cs="Times New Roman"/>
                <w:b/>
                <w:color w:val="000000"/>
                <w:lang w:eastAsia="en-ZA"/>
              </w:rPr>
            </w:pPr>
            <w:r w:rsidRPr="004C49EF">
              <w:rPr>
                <w:rFonts w:eastAsia="Times New Roman" w:cs="Times New Roman"/>
                <w:b/>
                <w:color w:val="000000"/>
                <w:lang w:eastAsia="en-ZA"/>
              </w:rPr>
              <w:t>Formal Employment</w:t>
            </w:r>
          </w:p>
        </w:tc>
        <w:tc>
          <w:tcPr>
            <w:tcW w:w="831" w:type="pct"/>
            <w:tcBorders>
              <w:top w:val="single" w:sz="4" w:space="0" w:color="auto"/>
              <w:left w:val="nil"/>
              <w:bottom w:val="single" w:sz="4" w:space="0" w:color="auto"/>
              <w:right w:val="single" w:sz="4" w:space="0" w:color="auto"/>
            </w:tcBorders>
            <w:shd w:val="clear" w:color="auto" w:fill="auto"/>
            <w:vAlign w:val="bottom"/>
            <w:hideMark/>
          </w:tcPr>
          <w:p w14:paraId="7BE93414" w14:textId="77777777" w:rsidR="00861523" w:rsidRPr="004C49EF" w:rsidRDefault="00861523" w:rsidP="00991FCE">
            <w:pPr>
              <w:spacing w:after="0" w:line="240" w:lineRule="auto"/>
              <w:rPr>
                <w:rFonts w:eastAsia="Times New Roman" w:cs="Times New Roman"/>
                <w:b/>
                <w:color w:val="000000"/>
                <w:lang w:eastAsia="en-ZA"/>
              </w:rPr>
            </w:pPr>
            <w:r w:rsidRPr="004C49EF">
              <w:rPr>
                <w:rFonts w:eastAsia="Times New Roman" w:cs="Times New Roman"/>
                <w:b/>
                <w:color w:val="000000"/>
                <w:lang w:eastAsia="en-ZA"/>
              </w:rPr>
              <w:t>Informal Employment</w:t>
            </w:r>
          </w:p>
        </w:tc>
        <w:tc>
          <w:tcPr>
            <w:tcW w:w="782" w:type="pct"/>
            <w:tcBorders>
              <w:top w:val="single" w:sz="4" w:space="0" w:color="auto"/>
              <w:left w:val="nil"/>
              <w:bottom w:val="single" w:sz="4" w:space="0" w:color="auto"/>
              <w:right w:val="single" w:sz="4" w:space="0" w:color="auto"/>
            </w:tcBorders>
            <w:shd w:val="clear" w:color="auto" w:fill="auto"/>
            <w:vAlign w:val="bottom"/>
            <w:hideMark/>
          </w:tcPr>
          <w:p w14:paraId="3C7FEE55" w14:textId="77777777" w:rsidR="00861523" w:rsidRPr="004C49EF" w:rsidRDefault="00861523" w:rsidP="00991FCE">
            <w:pPr>
              <w:spacing w:after="0" w:line="240" w:lineRule="auto"/>
              <w:rPr>
                <w:rFonts w:eastAsia="Times New Roman" w:cs="Times New Roman"/>
                <w:b/>
                <w:color w:val="000000"/>
                <w:lang w:eastAsia="en-ZA"/>
              </w:rPr>
            </w:pPr>
            <w:r w:rsidRPr="004C49EF">
              <w:rPr>
                <w:rFonts w:eastAsia="Times New Roman" w:cs="Times New Roman"/>
                <w:b/>
                <w:color w:val="000000"/>
                <w:lang w:eastAsia="en-ZA"/>
              </w:rPr>
              <w:t>Total Employment</w:t>
            </w:r>
          </w:p>
        </w:tc>
        <w:tc>
          <w:tcPr>
            <w:tcW w:w="852" w:type="pct"/>
            <w:tcBorders>
              <w:top w:val="single" w:sz="4" w:space="0" w:color="auto"/>
              <w:left w:val="nil"/>
              <w:bottom w:val="single" w:sz="4" w:space="0" w:color="auto"/>
              <w:right w:val="single" w:sz="4" w:space="0" w:color="auto"/>
            </w:tcBorders>
            <w:shd w:val="clear" w:color="auto" w:fill="auto"/>
            <w:vAlign w:val="bottom"/>
            <w:hideMark/>
          </w:tcPr>
          <w:p w14:paraId="12E71184" w14:textId="77777777" w:rsidR="00861523" w:rsidRPr="004C49EF" w:rsidRDefault="00861523" w:rsidP="00991FCE">
            <w:pPr>
              <w:spacing w:after="0" w:line="240" w:lineRule="auto"/>
              <w:rPr>
                <w:rFonts w:eastAsia="Times New Roman" w:cs="Times New Roman"/>
                <w:b/>
                <w:color w:val="000000"/>
                <w:lang w:eastAsia="en-ZA"/>
              </w:rPr>
            </w:pPr>
            <w:r w:rsidRPr="004C49EF">
              <w:rPr>
                <w:rFonts w:eastAsia="Times New Roman" w:cs="Times New Roman"/>
                <w:b/>
                <w:color w:val="000000"/>
                <w:lang w:eastAsia="en-ZA"/>
              </w:rPr>
              <w:t>% Share of KCDM Formal Employment</w:t>
            </w:r>
          </w:p>
        </w:tc>
        <w:tc>
          <w:tcPr>
            <w:tcW w:w="713" w:type="pct"/>
            <w:tcBorders>
              <w:top w:val="single" w:sz="4" w:space="0" w:color="auto"/>
              <w:left w:val="nil"/>
              <w:bottom w:val="single" w:sz="4" w:space="0" w:color="auto"/>
              <w:right w:val="single" w:sz="4" w:space="0" w:color="auto"/>
            </w:tcBorders>
            <w:shd w:val="clear" w:color="auto" w:fill="auto"/>
            <w:vAlign w:val="bottom"/>
            <w:hideMark/>
          </w:tcPr>
          <w:p w14:paraId="4597B83D" w14:textId="77777777" w:rsidR="00861523" w:rsidRPr="004C49EF" w:rsidRDefault="00861523" w:rsidP="00991FCE">
            <w:pPr>
              <w:spacing w:after="0" w:line="240" w:lineRule="auto"/>
              <w:rPr>
                <w:rFonts w:eastAsia="Times New Roman" w:cs="Times New Roman"/>
                <w:b/>
                <w:color w:val="000000"/>
                <w:lang w:eastAsia="en-ZA"/>
              </w:rPr>
            </w:pPr>
            <w:r w:rsidRPr="004C49EF">
              <w:rPr>
                <w:rFonts w:eastAsia="Times New Roman" w:cs="Times New Roman"/>
                <w:b/>
                <w:color w:val="000000"/>
                <w:lang w:eastAsia="en-ZA"/>
              </w:rPr>
              <w:t>% Share of KCDM Informal Employment</w:t>
            </w:r>
          </w:p>
        </w:tc>
      </w:tr>
      <w:tr w:rsidR="00861523" w:rsidRPr="004C49EF" w14:paraId="1F0FB529" w14:textId="77777777" w:rsidTr="00991FCE">
        <w:trPr>
          <w:trHeight w:val="290"/>
        </w:trPr>
        <w:tc>
          <w:tcPr>
            <w:tcW w:w="822" w:type="pct"/>
            <w:tcBorders>
              <w:top w:val="nil"/>
              <w:left w:val="single" w:sz="4" w:space="0" w:color="auto"/>
              <w:bottom w:val="single" w:sz="4" w:space="0" w:color="auto"/>
              <w:right w:val="single" w:sz="4" w:space="0" w:color="auto"/>
            </w:tcBorders>
            <w:shd w:val="clear" w:color="auto" w:fill="auto"/>
            <w:noWrap/>
            <w:vAlign w:val="bottom"/>
            <w:hideMark/>
          </w:tcPr>
          <w:p w14:paraId="255C482C" w14:textId="77777777" w:rsidR="00861523" w:rsidRPr="004C49EF" w:rsidRDefault="00861523" w:rsidP="00991FCE">
            <w:pPr>
              <w:spacing w:after="0" w:line="240" w:lineRule="auto"/>
              <w:rPr>
                <w:rFonts w:eastAsia="Times New Roman" w:cs="Times New Roman"/>
                <w:b/>
                <w:color w:val="000000"/>
                <w:lang w:eastAsia="en-ZA"/>
              </w:rPr>
            </w:pPr>
            <w:r w:rsidRPr="004C49EF">
              <w:rPr>
                <w:rFonts w:eastAsia="Times New Roman" w:cs="Times New Roman"/>
                <w:b/>
                <w:color w:val="000000"/>
                <w:lang w:eastAsia="en-ZA"/>
              </w:rPr>
              <w:t>Kwa Zulu Natal</w:t>
            </w:r>
          </w:p>
        </w:tc>
        <w:tc>
          <w:tcPr>
            <w:tcW w:w="1000" w:type="pct"/>
            <w:tcBorders>
              <w:top w:val="nil"/>
              <w:left w:val="nil"/>
              <w:bottom w:val="single" w:sz="4" w:space="0" w:color="auto"/>
              <w:right w:val="single" w:sz="4" w:space="0" w:color="auto"/>
            </w:tcBorders>
            <w:shd w:val="clear" w:color="auto" w:fill="auto"/>
            <w:noWrap/>
            <w:vAlign w:val="bottom"/>
            <w:hideMark/>
          </w:tcPr>
          <w:p w14:paraId="60499088" w14:textId="77777777" w:rsidR="00861523" w:rsidRPr="004C49EF" w:rsidRDefault="00861523" w:rsidP="00991FCE">
            <w:pPr>
              <w:spacing w:after="0" w:line="240" w:lineRule="auto"/>
              <w:jc w:val="right"/>
              <w:rPr>
                <w:rFonts w:eastAsia="Times New Roman" w:cs="Times New Roman"/>
                <w:color w:val="000000"/>
                <w:lang w:eastAsia="en-ZA"/>
              </w:rPr>
            </w:pPr>
            <w:r w:rsidRPr="004C49EF">
              <w:rPr>
                <w:rFonts w:eastAsia="Times New Roman" w:cs="Times New Roman"/>
                <w:color w:val="000000"/>
                <w:lang w:eastAsia="en-ZA"/>
              </w:rPr>
              <w:t>1 989 908</w:t>
            </w:r>
          </w:p>
        </w:tc>
        <w:tc>
          <w:tcPr>
            <w:tcW w:w="831" w:type="pct"/>
            <w:tcBorders>
              <w:top w:val="nil"/>
              <w:left w:val="nil"/>
              <w:bottom w:val="single" w:sz="4" w:space="0" w:color="auto"/>
              <w:right w:val="single" w:sz="4" w:space="0" w:color="auto"/>
            </w:tcBorders>
            <w:shd w:val="clear" w:color="auto" w:fill="auto"/>
            <w:noWrap/>
            <w:vAlign w:val="bottom"/>
            <w:hideMark/>
          </w:tcPr>
          <w:p w14:paraId="013A955D" w14:textId="77777777" w:rsidR="00861523" w:rsidRPr="004C49EF" w:rsidRDefault="00861523" w:rsidP="00991FCE">
            <w:pPr>
              <w:spacing w:after="0" w:line="240" w:lineRule="auto"/>
              <w:jc w:val="right"/>
              <w:rPr>
                <w:rFonts w:eastAsia="Times New Roman" w:cs="Times New Roman"/>
                <w:color w:val="000000"/>
                <w:lang w:eastAsia="en-ZA"/>
              </w:rPr>
            </w:pPr>
            <w:r w:rsidRPr="004C49EF">
              <w:rPr>
                <w:rFonts w:eastAsia="Times New Roman" w:cs="Times New Roman"/>
                <w:color w:val="000000"/>
                <w:lang w:eastAsia="en-ZA"/>
              </w:rPr>
              <w:t>446 487</w:t>
            </w:r>
          </w:p>
        </w:tc>
        <w:tc>
          <w:tcPr>
            <w:tcW w:w="782" w:type="pct"/>
            <w:tcBorders>
              <w:top w:val="nil"/>
              <w:left w:val="nil"/>
              <w:bottom w:val="single" w:sz="4" w:space="0" w:color="auto"/>
              <w:right w:val="single" w:sz="4" w:space="0" w:color="auto"/>
            </w:tcBorders>
            <w:shd w:val="clear" w:color="auto" w:fill="auto"/>
            <w:noWrap/>
            <w:vAlign w:val="bottom"/>
            <w:hideMark/>
          </w:tcPr>
          <w:p w14:paraId="3F80D01A" w14:textId="77777777" w:rsidR="00861523" w:rsidRPr="004C49EF" w:rsidRDefault="00861523" w:rsidP="00991FCE">
            <w:pPr>
              <w:spacing w:after="0" w:line="240" w:lineRule="auto"/>
              <w:jc w:val="right"/>
              <w:rPr>
                <w:rFonts w:eastAsia="Times New Roman" w:cs="Times New Roman"/>
                <w:color w:val="000000"/>
                <w:lang w:eastAsia="en-ZA"/>
              </w:rPr>
            </w:pPr>
            <w:r w:rsidRPr="004C49EF">
              <w:rPr>
                <w:rFonts w:eastAsia="Times New Roman" w:cs="Times New Roman"/>
                <w:color w:val="000000"/>
                <w:lang w:eastAsia="en-ZA"/>
              </w:rPr>
              <w:t>2 436 395</w:t>
            </w:r>
          </w:p>
        </w:tc>
        <w:tc>
          <w:tcPr>
            <w:tcW w:w="852" w:type="pct"/>
            <w:tcBorders>
              <w:top w:val="nil"/>
              <w:left w:val="nil"/>
              <w:bottom w:val="single" w:sz="4" w:space="0" w:color="auto"/>
              <w:right w:val="single" w:sz="4" w:space="0" w:color="auto"/>
            </w:tcBorders>
            <w:shd w:val="clear" w:color="auto" w:fill="auto"/>
            <w:noWrap/>
            <w:vAlign w:val="bottom"/>
            <w:hideMark/>
          </w:tcPr>
          <w:p w14:paraId="4BBC3B94" w14:textId="77777777" w:rsidR="00861523" w:rsidRPr="004C49EF" w:rsidRDefault="00861523" w:rsidP="00991FCE">
            <w:pPr>
              <w:spacing w:after="0" w:line="240" w:lineRule="auto"/>
              <w:jc w:val="right"/>
              <w:rPr>
                <w:rFonts w:eastAsia="Times New Roman" w:cs="Times New Roman"/>
                <w:color w:val="000000"/>
                <w:lang w:eastAsia="en-ZA"/>
              </w:rPr>
            </w:pPr>
            <w:r w:rsidRPr="004C49EF">
              <w:rPr>
                <w:rFonts w:eastAsia="Times New Roman" w:cs="Times New Roman"/>
                <w:color w:val="000000"/>
                <w:lang w:eastAsia="en-ZA"/>
              </w:rPr>
              <w:t>100</w:t>
            </w:r>
          </w:p>
        </w:tc>
        <w:tc>
          <w:tcPr>
            <w:tcW w:w="713" w:type="pct"/>
            <w:tcBorders>
              <w:top w:val="nil"/>
              <w:left w:val="nil"/>
              <w:bottom w:val="single" w:sz="4" w:space="0" w:color="auto"/>
              <w:right w:val="single" w:sz="4" w:space="0" w:color="auto"/>
            </w:tcBorders>
            <w:shd w:val="clear" w:color="auto" w:fill="auto"/>
            <w:noWrap/>
            <w:vAlign w:val="bottom"/>
            <w:hideMark/>
          </w:tcPr>
          <w:p w14:paraId="0F4682AC" w14:textId="77777777" w:rsidR="00861523" w:rsidRPr="004C49EF" w:rsidRDefault="00861523" w:rsidP="00991FCE">
            <w:pPr>
              <w:spacing w:after="0" w:line="240" w:lineRule="auto"/>
              <w:jc w:val="right"/>
              <w:rPr>
                <w:rFonts w:eastAsia="Times New Roman" w:cs="Times New Roman"/>
                <w:color w:val="000000"/>
                <w:lang w:eastAsia="en-ZA"/>
              </w:rPr>
            </w:pPr>
            <w:r w:rsidRPr="004C49EF">
              <w:rPr>
                <w:rFonts w:eastAsia="Times New Roman" w:cs="Times New Roman"/>
                <w:color w:val="000000"/>
                <w:lang w:eastAsia="en-ZA"/>
              </w:rPr>
              <w:t>100</w:t>
            </w:r>
          </w:p>
        </w:tc>
      </w:tr>
      <w:tr w:rsidR="00861523" w:rsidRPr="004C49EF" w14:paraId="50BDA96E" w14:textId="77777777" w:rsidTr="00991FCE">
        <w:trPr>
          <w:trHeight w:val="290"/>
        </w:trPr>
        <w:tc>
          <w:tcPr>
            <w:tcW w:w="822" w:type="pct"/>
            <w:tcBorders>
              <w:top w:val="nil"/>
              <w:left w:val="single" w:sz="4" w:space="0" w:color="auto"/>
              <w:bottom w:val="single" w:sz="4" w:space="0" w:color="auto"/>
              <w:right w:val="single" w:sz="4" w:space="0" w:color="auto"/>
            </w:tcBorders>
            <w:shd w:val="clear" w:color="auto" w:fill="auto"/>
            <w:noWrap/>
            <w:vAlign w:val="bottom"/>
            <w:hideMark/>
          </w:tcPr>
          <w:p w14:paraId="38A5B3F8" w14:textId="77777777" w:rsidR="00861523" w:rsidRPr="004C49EF" w:rsidRDefault="00861523" w:rsidP="00991FCE">
            <w:pPr>
              <w:spacing w:after="0" w:line="240" w:lineRule="auto"/>
              <w:rPr>
                <w:rFonts w:eastAsia="Times New Roman" w:cs="Times New Roman"/>
                <w:b/>
                <w:color w:val="000000"/>
                <w:lang w:eastAsia="en-ZA"/>
              </w:rPr>
            </w:pPr>
            <w:r w:rsidRPr="004C49EF">
              <w:rPr>
                <w:rFonts w:eastAsia="Times New Roman" w:cs="Times New Roman"/>
                <w:b/>
                <w:color w:val="000000"/>
                <w:lang w:eastAsia="en-ZA"/>
              </w:rPr>
              <w:t>KCDM</w:t>
            </w:r>
          </w:p>
        </w:tc>
        <w:tc>
          <w:tcPr>
            <w:tcW w:w="1000" w:type="pct"/>
            <w:tcBorders>
              <w:top w:val="nil"/>
              <w:left w:val="nil"/>
              <w:bottom w:val="single" w:sz="4" w:space="0" w:color="auto"/>
              <w:right w:val="single" w:sz="4" w:space="0" w:color="auto"/>
            </w:tcBorders>
            <w:shd w:val="clear" w:color="auto" w:fill="auto"/>
            <w:noWrap/>
            <w:vAlign w:val="bottom"/>
            <w:hideMark/>
          </w:tcPr>
          <w:p w14:paraId="47F61546" w14:textId="77777777" w:rsidR="00861523" w:rsidRPr="004C49EF" w:rsidRDefault="00861523" w:rsidP="00991FCE">
            <w:pPr>
              <w:spacing w:after="0" w:line="240" w:lineRule="auto"/>
              <w:jc w:val="right"/>
              <w:rPr>
                <w:rFonts w:eastAsia="Times New Roman" w:cs="Times New Roman"/>
                <w:color w:val="000000"/>
                <w:lang w:eastAsia="en-ZA"/>
              </w:rPr>
            </w:pPr>
            <w:r w:rsidRPr="004C49EF">
              <w:rPr>
                <w:rFonts w:eastAsia="Times New Roman" w:cs="Times New Roman"/>
                <w:color w:val="000000"/>
                <w:lang w:eastAsia="en-ZA"/>
              </w:rPr>
              <w:t>143 122</w:t>
            </w:r>
          </w:p>
        </w:tc>
        <w:tc>
          <w:tcPr>
            <w:tcW w:w="831" w:type="pct"/>
            <w:tcBorders>
              <w:top w:val="nil"/>
              <w:left w:val="nil"/>
              <w:bottom w:val="nil"/>
              <w:right w:val="nil"/>
            </w:tcBorders>
            <w:shd w:val="clear" w:color="auto" w:fill="auto"/>
            <w:noWrap/>
            <w:vAlign w:val="bottom"/>
            <w:hideMark/>
          </w:tcPr>
          <w:p w14:paraId="469AF2A6" w14:textId="77777777" w:rsidR="00861523" w:rsidRPr="004C49EF" w:rsidRDefault="00861523" w:rsidP="00991FCE">
            <w:pPr>
              <w:spacing w:after="0" w:line="240" w:lineRule="auto"/>
              <w:jc w:val="right"/>
              <w:rPr>
                <w:rFonts w:eastAsia="Times New Roman" w:cs="Times New Roman"/>
                <w:color w:val="000000"/>
                <w:lang w:eastAsia="en-ZA"/>
              </w:rPr>
            </w:pPr>
            <w:r w:rsidRPr="004C49EF">
              <w:rPr>
                <w:rFonts w:eastAsia="Times New Roman" w:cs="Times New Roman"/>
                <w:color w:val="000000"/>
                <w:lang w:eastAsia="en-ZA"/>
              </w:rPr>
              <w:t>29 767</w:t>
            </w:r>
          </w:p>
        </w:tc>
        <w:tc>
          <w:tcPr>
            <w:tcW w:w="782" w:type="pct"/>
            <w:tcBorders>
              <w:top w:val="nil"/>
              <w:left w:val="single" w:sz="4" w:space="0" w:color="auto"/>
              <w:bottom w:val="single" w:sz="4" w:space="0" w:color="auto"/>
              <w:right w:val="single" w:sz="4" w:space="0" w:color="auto"/>
            </w:tcBorders>
            <w:shd w:val="clear" w:color="auto" w:fill="auto"/>
            <w:noWrap/>
            <w:vAlign w:val="bottom"/>
            <w:hideMark/>
          </w:tcPr>
          <w:p w14:paraId="415BAA70" w14:textId="77777777" w:rsidR="00861523" w:rsidRPr="004C49EF" w:rsidRDefault="00861523" w:rsidP="00991FCE">
            <w:pPr>
              <w:spacing w:after="0" w:line="240" w:lineRule="auto"/>
              <w:jc w:val="right"/>
              <w:rPr>
                <w:rFonts w:eastAsia="Times New Roman" w:cs="Times New Roman"/>
                <w:color w:val="000000"/>
                <w:lang w:eastAsia="en-ZA"/>
              </w:rPr>
            </w:pPr>
            <w:r w:rsidRPr="004C49EF">
              <w:rPr>
                <w:rFonts w:eastAsia="Times New Roman" w:cs="Times New Roman"/>
                <w:color w:val="000000"/>
                <w:lang w:eastAsia="en-ZA"/>
              </w:rPr>
              <w:t>172 889</w:t>
            </w:r>
          </w:p>
        </w:tc>
        <w:tc>
          <w:tcPr>
            <w:tcW w:w="852" w:type="pct"/>
            <w:tcBorders>
              <w:top w:val="nil"/>
              <w:left w:val="nil"/>
              <w:bottom w:val="single" w:sz="4" w:space="0" w:color="auto"/>
              <w:right w:val="single" w:sz="4" w:space="0" w:color="auto"/>
            </w:tcBorders>
            <w:shd w:val="clear" w:color="auto" w:fill="auto"/>
            <w:noWrap/>
            <w:vAlign w:val="bottom"/>
            <w:hideMark/>
          </w:tcPr>
          <w:p w14:paraId="74A6663F" w14:textId="77777777" w:rsidR="00861523" w:rsidRPr="004C49EF" w:rsidRDefault="00861523" w:rsidP="00991FCE">
            <w:pPr>
              <w:spacing w:after="0" w:line="240" w:lineRule="auto"/>
              <w:jc w:val="right"/>
              <w:rPr>
                <w:rFonts w:eastAsia="Times New Roman" w:cs="Times New Roman"/>
                <w:color w:val="000000"/>
                <w:lang w:eastAsia="en-ZA"/>
              </w:rPr>
            </w:pPr>
            <w:r w:rsidRPr="004C49EF">
              <w:rPr>
                <w:rFonts w:eastAsia="Times New Roman" w:cs="Times New Roman"/>
                <w:color w:val="000000"/>
                <w:lang w:eastAsia="en-ZA"/>
              </w:rPr>
              <w:t>19.1</w:t>
            </w:r>
          </w:p>
        </w:tc>
        <w:tc>
          <w:tcPr>
            <w:tcW w:w="713" w:type="pct"/>
            <w:tcBorders>
              <w:top w:val="nil"/>
              <w:left w:val="nil"/>
              <w:bottom w:val="single" w:sz="4" w:space="0" w:color="auto"/>
              <w:right w:val="single" w:sz="4" w:space="0" w:color="auto"/>
            </w:tcBorders>
            <w:shd w:val="clear" w:color="auto" w:fill="auto"/>
            <w:noWrap/>
            <w:vAlign w:val="bottom"/>
            <w:hideMark/>
          </w:tcPr>
          <w:p w14:paraId="2EAD7DBE" w14:textId="77777777" w:rsidR="00861523" w:rsidRPr="004C49EF" w:rsidRDefault="00861523" w:rsidP="00991FCE">
            <w:pPr>
              <w:spacing w:after="0" w:line="240" w:lineRule="auto"/>
              <w:jc w:val="right"/>
              <w:rPr>
                <w:rFonts w:eastAsia="Times New Roman" w:cs="Times New Roman"/>
                <w:color w:val="000000"/>
                <w:lang w:eastAsia="en-ZA"/>
              </w:rPr>
            </w:pPr>
            <w:r w:rsidRPr="004C49EF">
              <w:rPr>
                <w:rFonts w:eastAsia="Times New Roman" w:cs="Times New Roman"/>
                <w:color w:val="000000"/>
                <w:lang w:eastAsia="en-ZA"/>
              </w:rPr>
              <w:t>20.3</w:t>
            </w:r>
          </w:p>
        </w:tc>
      </w:tr>
      <w:tr w:rsidR="00861523" w:rsidRPr="004C49EF" w14:paraId="38E99E74" w14:textId="77777777" w:rsidTr="00991FCE">
        <w:trPr>
          <w:trHeight w:val="290"/>
        </w:trPr>
        <w:tc>
          <w:tcPr>
            <w:tcW w:w="822" w:type="pct"/>
            <w:tcBorders>
              <w:top w:val="nil"/>
              <w:left w:val="single" w:sz="4" w:space="0" w:color="auto"/>
              <w:bottom w:val="single" w:sz="4" w:space="0" w:color="auto"/>
              <w:right w:val="single" w:sz="4" w:space="0" w:color="auto"/>
            </w:tcBorders>
            <w:shd w:val="clear" w:color="auto" w:fill="auto"/>
            <w:noWrap/>
            <w:vAlign w:val="bottom"/>
            <w:hideMark/>
          </w:tcPr>
          <w:p w14:paraId="1719BEC6" w14:textId="77777777" w:rsidR="00861523" w:rsidRPr="004C49EF" w:rsidRDefault="00861523" w:rsidP="00991FCE">
            <w:pPr>
              <w:spacing w:after="0" w:line="240" w:lineRule="auto"/>
              <w:rPr>
                <w:rFonts w:eastAsia="Times New Roman" w:cs="Times New Roman"/>
                <w:b/>
                <w:color w:val="000000"/>
                <w:lang w:eastAsia="en-ZA"/>
              </w:rPr>
            </w:pPr>
            <w:r w:rsidRPr="004C49EF">
              <w:rPr>
                <w:rFonts w:eastAsia="Times New Roman" w:cs="Times New Roman"/>
                <w:b/>
                <w:color w:val="000000"/>
                <w:lang w:eastAsia="en-ZA"/>
              </w:rPr>
              <w:t>uMlalazi LM</w:t>
            </w:r>
          </w:p>
        </w:tc>
        <w:tc>
          <w:tcPr>
            <w:tcW w:w="1000" w:type="pct"/>
            <w:tcBorders>
              <w:top w:val="nil"/>
              <w:left w:val="nil"/>
              <w:bottom w:val="single" w:sz="4" w:space="0" w:color="auto"/>
              <w:right w:val="single" w:sz="4" w:space="0" w:color="auto"/>
            </w:tcBorders>
            <w:shd w:val="clear" w:color="auto" w:fill="auto"/>
            <w:noWrap/>
            <w:vAlign w:val="bottom"/>
            <w:hideMark/>
          </w:tcPr>
          <w:p w14:paraId="51B8754A" w14:textId="77777777" w:rsidR="00861523" w:rsidRPr="004C49EF" w:rsidRDefault="00861523" w:rsidP="00991FCE">
            <w:pPr>
              <w:spacing w:after="0" w:line="240" w:lineRule="auto"/>
              <w:jc w:val="right"/>
              <w:rPr>
                <w:rFonts w:eastAsia="Times New Roman" w:cs="Times New Roman"/>
                <w:color w:val="000000"/>
                <w:lang w:eastAsia="en-ZA"/>
              </w:rPr>
            </w:pPr>
            <w:r w:rsidRPr="004C49EF">
              <w:rPr>
                <w:rFonts w:eastAsia="Times New Roman" w:cs="Times New Roman"/>
                <w:color w:val="000000"/>
                <w:lang w:eastAsia="en-ZA"/>
              </w:rPr>
              <w:t>26 999</w:t>
            </w:r>
          </w:p>
        </w:tc>
        <w:tc>
          <w:tcPr>
            <w:tcW w:w="831" w:type="pct"/>
            <w:tcBorders>
              <w:top w:val="single" w:sz="4" w:space="0" w:color="auto"/>
              <w:left w:val="nil"/>
              <w:bottom w:val="single" w:sz="4" w:space="0" w:color="auto"/>
              <w:right w:val="single" w:sz="4" w:space="0" w:color="auto"/>
            </w:tcBorders>
            <w:shd w:val="clear" w:color="auto" w:fill="auto"/>
            <w:noWrap/>
            <w:vAlign w:val="bottom"/>
            <w:hideMark/>
          </w:tcPr>
          <w:p w14:paraId="2C787D0A" w14:textId="77777777" w:rsidR="00861523" w:rsidRPr="004C49EF" w:rsidRDefault="00861523" w:rsidP="00991FCE">
            <w:pPr>
              <w:spacing w:after="0" w:line="240" w:lineRule="auto"/>
              <w:jc w:val="right"/>
              <w:rPr>
                <w:rFonts w:eastAsia="Times New Roman" w:cs="Times New Roman"/>
                <w:color w:val="000000"/>
                <w:lang w:eastAsia="en-ZA"/>
              </w:rPr>
            </w:pPr>
            <w:r w:rsidRPr="004C49EF">
              <w:rPr>
                <w:rFonts w:eastAsia="Times New Roman" w:cs="Times New Roman"/>
                <w:color w:val="000000"/>
                <w:lang w:eastAsia="en-ZA"/>
              </w:rPr>
              <w:t>4685</w:t>
            </w:r>
          </w:p>
        </w:tc>
        <w:tc>
          <w:tcPr>
            <w:tcW w:w="782" w:type="pct"/>
            <w:tcBorders>
              <w:top w:val="nil"/>
              <w:left w:val="nil"/>
              <w:bottom w:val="single" w:sz="4" w:space="0" w:color="auto"/>
              <w:right w:val="single" w:sz="4" w:space="0" w:color="auto"/>
            </w:tcBorders>
            <w:shd w:val="clear" w:color="auto" w:fill="auto"/>
            <w:noWrap/>
            <w:vAlign w:val="bottom"/>
            <w:hideMark/>
          </w:tcPr>
          <w:p w14:paraId="2561A45A" w14:textId="77777777" w:rsidR="00861523" w:rsidRPr="004C49EF" w:rsidRDefault="00861523" w:rsidP="00991FCE">
            <w:pPr>
              <w:spacing w:after="0" w:line="240" w:lineRule="auto"/>
              <w:jc w:val="right"/>
              <w:rPr>
                <w:rFonts w:eastAsia="Times New Roman" w:cs="Times New Roman"/>
                <w:color w:val="000000"/>
                <w:lang w:eastAsia="en-ZA"/>
              </w:rPr>
            </w:pPr>
            <w:r w:rsidRPr="004C49EF">
              <w:rPr>
                <w:rFonts w:eastAsia="Times New Roman" w:cs="Times New Roman"/>
                <w:color w:val="000000"/>
                <w:lang w:eastAsia="en-ZA"/>
              </w:rPr>
              <w:t>31 684</w:t>
            </w:r>
          </w:p>
        </w:tc>
        <w:tc>
          <w:tcPr>
            <w:tcW w:w="852" w:type="pct"/>
            <w:tcBorders>
              <w:top w:val="nil"/>
              <w:left w:val="nil"/>
              <w:bottom w:val="single" w:sz="4" w:space="0" w:color="auto"/>
              <w:right w:val="single" w:sz="4" w:space="0" w:color="auto"/>
            </w:tcBorders>
            <w:shd w:val="clear" w:color="auto" w:fill="auto"/>
            <w:noWrap/>
            <w:vAlign w:val="bottom"/>
            <w:hideMark/>
          </w:tcPr>
          <w:p w14:paraId="2DEAE19F" w14:textId="77777777" w:rsidR="00861523" w:rsidRPr="004C49EF" w:rsidRDefault="00861523" w:rsidP="00991FCE">
            <w:pPr>
              <w:spacing w:after="0" w:line="240" w:lineRule="auto"/>
              <w:jc w:val="right"/>
              <w:rPr>
                <w:rFonts w:eastAsia="Times New Roman" w:cs="Times New Roman"/>
                <w:color w:val="000000"/>
                <w:lang w:eastAsia="en-ZA"/>
              </w:rPr>
            </w:pPr>
            <w:r w:rsidRPr="004C49EF">
              <w:rPr>
                <w:rFonts w:eastAsia="Times New Roman" w:cs="Times New Roman"/>
                <w:color w:val="000000"/>
                <w:lang w:eastAsia="en-ZA"/>
              </w:rPr>
              <w:t>18.9</w:t>
            </w:r>
          </w:p>
        </w:tc>
        <w:tc>
          <w:tcPr>
            <w:tcW w:w="713" w:type="pct"/>
            <w:tcBorders>
              <w:top w:val="nil"/>
              <w:left w:val="nil"/>
              <w:bottom w:val="single" w:sz="4" w:space="0" w:color="auto"/>
              <w:right w:val="single" w:sz="4" w:space="0" w:color="auto"/>
            </w:tcBorders>
            <w:shd w:val="clear" w:color="auto" w:fill="auto"/>
            <w:noWrap/>
            <w:vAlign w:val="bottom"/>
            <w:hideMark/>
          </w:tcPr>
          <w:p w14:paraId="26DE4AD5" w14:textId="77777777" w:rsidR="00861523" w:rsidRPr="004C49EF" w:rsidRDefault="00861523" w:rsidP="00991FCE">
            <w:pPr>
              <w:spacing w:after="0" w:line="240" w:lineRule="auto"/>
              <w:jc w:val="right"/>
              <w:rPr>
                <w:rFonts w:eastAsia="Times New Roman" w:cs="Times New Roman"/>
                <w:color w:val="000000"/>
                <w:lang w:eastAsia="en-ZA"/>
              </w:rPr>
            </w:pPr>
            <w:r w:rsidRPr="004C49EF">
              <w:rPr>
                <w:rFonts w:eastAsia="Times New Roman" w:cs="Times New Roman"/>
                <w:color w:val="000000"/>
                <w:lang w:eastAsia="en-ZA"/>
              </w:rPr>
              <w:t>15.5</w:t>
            </w:r>
          </w:p>
        </w:tc>
      </w:tr>
    </w:tbl>
    <w:p w14:paraId="75709025" w14:textId="77777777" w:rsidR="00861523" w:rsidRPr="004C49EF" w:rsidRDefault="00861523" w:rsidP="00861523">
      <w:pPr>
        <w:contextualSpacing/>
        <w:jc w:val="both"/>
        <w:rPr>
          <w:rFonts w:eastAsia="Calibri" w:cs="Times New Roman"/>
          <w:b/>
          <w:szCs w:val="20"/>
        </w:rPr>
      </w:pPr>
      <w:r w:rsidRPr="004C49EF">
        <w:rPr>
          <w:rFonts w:eastAsia="Calibri" w:cs="Times New Roman"/>
          <w:b/>
          <w:szCs w:val="20"/>
        </w:rPr>
        <w:t>Source: Global Insight, 2015</w:t>
      </w:r>
    </w:p>
    <w:p w14:paraId="7A56CAA2" w14:textId="77777777" w:rsidR="007D419B" w:rsidRPr="00881795" w:rsidRDefault="007D419B" w:rsidP="00395313">
      <w:pPr>
        <w:spacing w:line="288" w:lineRule="auto"/>
        <w:jc w:val="both"/>
        <w:rPr>
          <w:i/>
          <w:szCs w:val="20"/>
        </w:rPr>
      </w:pPr>
    </w:p>
    <w:p w14:paraId="6EA897F8" w14:textId="77777777" w:rsidR="00861523" w:rsidRPr="00861523" w:rsidRDefault="00861523" w:rsidP="00861523">
      <w:pPr>
        <w:contextualSpacing/>
        <w:jc w:val="both"/>
        <w:rPr>
          <w:rFonts w:eastAsia="Calibri" w:cs="Times New Roman"/>
          <w:color w:val="FF0000"/>
          <w:szCs w:val="20"/>
        </w:rPr>
      </w:pPr>
      <w:bookmarkStart w:id="385" w:name="_Toc325627939"/>
      <w:bookmarkStart w:id="386" w:name="_Toc389739948"/>
      <w:r w:rsidRPr="00861523">
        <w:rPr>
          <w:rFonts w:eastAsia="Calibri" w:cs="Times New Roman"/>
          <w:noProof/>
          <w:sz w:val="16"/>
        </w:rPr>
        <w:drawing>
          <wp:inline distT="0" distB="0" distL="0" distR="0" wp14:anchorId="59758B72" wp14:editId="0D736ACF">
            <wp:extent cx="6050280" cy="2928025"/>
            <wp:effectExtent l="0" t="0" r="7620" b="5715"/>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54DAED51" w14:textId="77777777" w:rsidR="007D419B" w:rsidRDefault="006B50DF" w:rsidP="006B50DF">
      <w:pPr>
        <w:pStyle w:val="Caption"/>
        <w:rPr>
          <w:rFonts w:eastAsia="Calibri" w:cs="Times New Roman"/>
        </w:rPr>
      </w:pPr>
      <w:bookmarkStart w:id="387" w:name="_Toc510622376"/>
      <w:r>
        <w:t xml:space="preserve">Figure </w:t>
      </w:r>
      <w:r w:rsidR="00B918A6">
        <w:fldChar w:fldCharType="begin"/>
      </w:r>
      <w:r w:rsidR="00B918A6">
        <w:instrText xml:space="preserve"> SEQ Figure \* ARABIC </w:instrText>
      </w:r>
      <w:r w:rsidR="00B918A6">
        <w:fldChar w:fldCharType="separate"/>
      </w:r>
      <w:r w:rsidR="0067023A">
        <w:rPr>
          <w:noProof/>
        </w:rPr>
        <w:t>15</w:t>
      </w:r>
      <w:r w:rsidR="00B918A6">
        <w:rPr>
          <w:noProof/>
        </w:rPr>
        <w:fldChar w:fldCharType="end"/>
      </w:r>
      <w:r>
        <w:t xml:space="preserve">: </w:t>
      </w:r>
      <w:r w:rsidR="007D419B">
        <w:t>KCDM Unemployment Rate (Global Insights 2015)</w:t>
      </w:r>
      <w:bookmarkEnd w:id="387"/>
    </w:p>
    <w:p w14:paraId="6DCF2FBD" w14:textId="77777777" w:rsidR="00861523" w:rsidRPr="00861523" w:rsidRDefault="00861523" w:rsidP="00750180">
      <w:pPr>
        <w:pStyle w:val="Heading5"/>
        <w:numPr>
          <w:ilvl w:val="4"/>
          <w:numId w:val="29"/>
        </w:numPr>
      </w:pPr>
      <w:r w:rsidRPr="00861523">
        <w:t xml:space="preserve">King Cetshwayo </w:t>
      </w:r>
      <w:r w:rsidR="003C03FA">
        <w:t>District</w:t>
      </w:r>
      <w:r w:rsidRPr="00861523">
        <w:t xml:space="preserve"> Municipality Economic Performance</w:t>
      </w:r>
    </w:p>
    <w:p w14:paraId="40675468" w14:textId="77777777" w:rsidR="00861523" w:rsidRDefault="00861523" w:rsidP="00861523">
      <w:pPr>
        <w:spacing w:before="240"/>
        <w:jc w:val="both"/>
        <w:rPr>
          <w:rFonts w:eastAsia="Calibri" w:cs="Times New Roman"/>
        </w:rPr>
      </w:pPr>
      <w:r w:rsidRPr="00861523">
        <w:rPr>
          <w:rFonts w:eastAsia="Calibri" w:cs="Times New Roman"/>
        </w:rPr>
        <w:t xml:space="preserve">Figure 2 below, represents the estimated Real GDP for </w:t>
      </w:r>
      <w:r w:rsidR="00CF74E4">
        <w:rPr>
          <w:rFonts w:eastAsia="Calibri" w:cs="Times New Roman"/>
        </w:rPr>
        <w:t>King Cetshwayo</w:t>
      </w:r>
      <w:r w:rsidRPr="00861523">
        <w:rPr>
          <w:rFonts w:eastAsia="Calibri" w:cs="Times New Roman"/>
        </w:rPr>
        <w:t xml:space="preserve"> district municipality and its local municipalities for the year 2014. </w:t>
      </w:r>
      <w:r w:rsidR="00CF74E4">
        <w:rPr>
          <w:rFonts w:eastAsia="Calibri" w:cs="Times New Roman"/>
        </w:rPr>
        <w:t>King Cetshwayo</w:t>
      </w:r>
      <w:r w:rsidRPr="00861523">
        <w:rPr>
          <w:rFonts w:eastAsia="Calibri" w:cs="Times New Roman"/>
        </w:rPr>
        <w:t xml:space="preserve"> district recorded an estimated GDP-R of R38.3 billion in 2014. Among all the six local municipalities, the largest contributor to the district’s GDP-R is uMhlathuze at R17.4 billion (45.5 per cent) trailed by Mfolozi with contribution of R8.4 billion (22 per cent). Mthonjaneni local municipality was the lowest contributor to </w:t>
      </w:r>
      <w:r w:rsidR="00CF74E4">
        <w:rPr>
          <w:rFonts w:eastAsia="Calibri" w:cs="Times New Roman"/>
        </w:rPr>
        <w:t>King Cetshwayo</w:t>
      </w:r>
      <w:r w:rsidRPr="00861523">
        <w:rPr>
          <w:rFonts w:eastAsia="Calibri" w:cs="Times New Roman"/>
        </w:rPr>
        <w:t xml:space="preserve">’s GDP at R641.6 million (1.7 per cent).  </w:t>
      </w:r>
      <w:r w:rsidR="00F66A4A">
        <w:rPr>
          <w:rFonts w:eastAsia="Calibri" w:cs="Times New Roman"/>
        </w:rPr>
        <w:t>uMlalazi LM is 3</w:t>
      </w:r>
      <w:r w:rsidR="00F66A4A" w:rsidRPr="00F66A4A">
        <w:rPr>
          <w:rFonts w:eastAsia="Calibri" w:cs="Times New Roman"/>
          <w:vertAlign w:val="superscript"/>
        </w:rPr>
        <w:t>rd</w:t>
      </w:r>
      <w:r w:rsidR="00F66A4A">
        <w:rPr>
          <w:rFonts w:eastAsia="Calibri" w:cs="Times New Roman"/>
        </w:rPr>
        <w:t xml:space="preserve"> in terms of GDP share with 20.6% share. This figure has the potential to increase noticeably through the intensification of tourism and agriculture.</w:t>
      </w:r>
    </w:p>
    <w:p w14:paraId="571DDF3D" w14:textId="77777777" w:rsidR="006B50DF" w:rsidRDefault="006B50DF" w:rsidP="002F62F0">
      <w:pPr>
        <w:pStyle w:val="Caption"/>
      </w:pPr>
    </w:p>
    <w:p w14:paraId="300A0F9D" w14:textId="77777777" w:rsidR="006B50DF" w:rsidRDefault="006B50DF" w:rsidP="002F62F0">
      <w:pPr>
        <w:pStyle w:val="Caption"/>
      </w:pPr>
    </w:p>
    <w:p w14:paraId="20F68646" w14:textId="77777777" w:rsidR="005D44B7" w:rsidRPr="005D44B7" w:rsidRDefault="005D44B7" w:rsidP="005D44B7"/>
    <w:p w14:paraId="0D05B575" w14:textId="77777777" w:rsidR="00F66A4A" w:rsidRDefault="00825269" w:rsidP="00825269">
      <w:pPr>
        <w:pStyle w:val="Caption"/>
        <w:rPr>
          <w:rFonts w:eastAsia="Calibri" w:cs="Times New Roman"/>
        </w:rPr>
      </w:pPr>
      <w:bookmarkStart w:id="388" w:name="_Toc510622377"/>
      <w:r>
        <w:t xml:space="preserve">Figure </w:t>
      </w:r>
      <w:r w:rsidR="00B918A6">
        <w:fldChar w:fldCharType="begin"/>
      </w:r>
      <w:r w:rsidR="00B918A6">
        <w:instrText xml:space="preserve"> SEQ Figure \* A</w:instrText>
      </w:r>
      <w:r w:rsidR="00B918A6">
        <w:instrText xml:space="preserve">RABIC </w:instrText>
      </w:r>
      <w:r w:rsidR="00B918A6">
        <w:fldChar w:fldCharType="separate"/>
      </w:r>
      <w:r w:rsidR="0067023A">
        <w:rPr>
          <w:noProof/>
        </w:rPr>
        <w:t>16</w:t>
      </w:r>
      <w:r w:rsidR="00B918A6">
        <w:rPr>
          <w:noProof/>
        </w:rPr>
        <w:fldChar w:fldCharType="end"/>
      </w:r>
      <w:r>
        <w:t xml:space="preserve">: </w:t>
      </w:r>
      <w:r w:rsidR="00F66A4A" w:rsidRPr="00F66A4A">
        <w:t>Familly of Municipalities Share in KCDM GDP</w:t>
      </w:r>
      <w:bookmarkEnd w:id="388"/>
    </w:p>
    <w:p w14:paraId="2F0EFE8E" w14:textId="77777777" w:rsidR="00813D20" w:rsidRDefault="00813D20" w:rsidP="00813D20">
      <w:pPr>
        <w:pStyle w:val="Caption"/>
        <w:rPr>
          <w:color w:val="FF0000"/>
        </w:rPr>
      </w:pPr>
      <w:r w:rsidRPr="00E120F3">
        <w:rPr>
          <w:noProof/>
          <w:sz w:val="16"/>
        </w:rPr>
        <w:drawing>
          <wp:inline distT="0" distB="0" distL="0" distR="0" wp14:anchorId="1FD54B3D" wp14:editId="54B413F0">
            <wp:extent cx="6120765" cy="2381331"/>
            <wp:effectExtent l="0" t="0" r="13335"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6D485823" w14:textId="77777777" w:rsidR="00813D20" w:rsidRDefault="00813D20" w:rsidP="00813D20">
      <w:pPr>
        <w:rPr>
          <w:b/>
        </w:rPr>
      </w:pPr>
      <w:r w:rsidRPr="00772E48">
        <w:rPr>
          <w:b/>
        </w:rPr>
        <w:t>Source: Global Insight, 2015</w:t>
      </w:r>
    </w:p>
    <w:p w14:paraId="0B6A2CA8" w14:textId="77777777" w:rsidR="00813D20" w:rsidRDefault="00813D20" w:rsidP="00813D20">
      <w:pPr>
        <w:pStyle w:val="Caption"/>
      </w:pPr>
      <w:r>
        <w:rPr>
          <w:noProof/>
        </w:rPr>
        <w:drawing>
          <wp:inline distT="0" distB="0" distL="0" distR="0" wp14:anchorId="1B6DC18C" wp14:editId="5CA6C5CA">
            <wp:extent cx="6153150" cy="2743200"/>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033FD8EA" w14:textId="77777777" w:rsidR="00813D20" w:rsidRPr="002F62F0" w:rsidRDefault="00813D20" w:rsidP="00813D20">
      <w:pPr>
        <w:pStyle w:val="Caption"/>
      </w:pPr>
      <w:bookmarkStart w:id="389" w:name="_Toc510622378"/>
      <w:r>
        <w:t xml:space="preserve">Figure </w:t>
      </w:r>
      <w:r w:rsidR="00B918A6">
        <w:fldChar w:fldCharType="begin"/>
      </w:r>
      <w:r w:rsidR="00B918A6">
        <w:instrText xml:space="preserve"> SEQ Figure \* ARABIC </w:instrText>
      </w:r>
      <w:r w:rsidR="00B918A6">
        <w:fldChar w:fldCharType="separate"/>
      </w:r>
      <w:r w:rsidR="0067023A">
        <w:rPr>
          <w:noProof/>
        </w:rPr>
        <w:t>17</w:t>
      </w:r>
      <w:r w:rsidR="00B918A6">
        <w:rPr>
          <w:noProof/>
        </w:rPr>
        <w:fldChar w:fldCharType="end"/>
      </w:r>
      <w:r>
        <w:t xml:space="preserve">: </w:t>
      </w:r>
      <w:r w:rsidRPr="002F62F0">
        <w:t>King Cetshwayo District Municipality Economic Performance</w:t>
      </w:r>
      <w:bookmarkEnd w:id="389"/>
    </w:p>
    <w:tbl>
      <w:tblPr>
        <w:tblW w:w="9692" w:type="dxa"/>
        <w:tblInd w:w="-5" w:type="dxa"/>
        <w:tblLook w:val="04A0" w:firstRow="1" w:lastRow="0" w:firstColumn="1" w:lastColumn="0" w:noHBand="0" w:noVBand="1"/>
      </w:tblPr>
      <w:tblGrid>
        <w:gridCol w:w="4545"/>
        <w:gridCol w:w="1349"/>
        <w:gridCol w:w="1899"/>
        <w:gridCol w:w="1899"/>
      </w:tblGrid>
      <w:tr w:rsidR="00813D20" w:rsidRPr="00540ADC" w14:paraId="530B0248" w14:textId="77777777" w:rsidTr="00C83B6B">
        <w:trPr>
          <w:trHeight w:val="239"/>
        </w:trPr>
        <w:tc>
          <w:tcPr>
            <w:tcW w:w="4545" w:type="dxa"/>
            <w:tcBorders>
              <w:top w:val="single" w:sz="4" w:space="0" w:color="auto"/>
              <w:left w:val="single" w:sz="4" w:space="0" w:color="auto"/>
              <w:bottom w:val="single" w:sz="4" w:space="0" w:color="auto"/>
              <w:right w:val="single" w:sz="4" w:space="0" w:color="auto"/>
            </w:tcBorders>
            <w:shd w:val="clear" w:color="000000" w:fill="000000"/>
            <w:noWrap/>
            <w:vAlign w:val="bottom"/>
            <w:hideMark/>
          </w:tcPr>
          <w:p w14:paraId="43713F1B" w14:textId="77777777" w:rsidR="00813D20" w:rsidRPr="00540ADC" w:rsidRDefault="00813D20" w:rsidP="00C83B6B">
            <w:pPr>
              <w:spacing w:after="0" w:line="240" w:lineRule="auto"/>
              <w:rPr>
                <w:rFonts w:eastAsia="Times New Roman" w:cs="Times New Roman"/>
                <w:b/>
                <w:bCs/>
                <w:color w:val="FFFFFF"/>
                <w:sz w:val="22"/>
                <w:lang w:val="en-ZA" w:eastAsia="en-ZA"/>
              </w:rPr>
            </w:pPr>
            <w:r w:rsidRPr="00540ADC">
              <w:rPr>
                <w:rFonts w:eastAsia="Times New Roman" w:cs="Times New Roman"/>
                <w:b/>
                <w:bCs/>
                <w:color w:val="FFFFFF"/>
                <w:sz w:val="22"/>
                <w:lang w:val="en-ZA" w:eastAsia="en-ZA"/>
              </w:rPr>
              <w:t>SECTOR</w:t>
            </w:r>
          </w:p>
        </w:tc>
        <w:tc>
          <w:tcPr>
            <w:tcW w:w="1349" w:type="dxa"/>
            <w:tcBorders>
              <w:top w:val="single" w:sz="4" w:space="0" w:color="auto"/>
              <w:left w:val="nil"/>
              <w:bottom w:val="single" w:sz="4" w:space="0" w:color="auto"/>
              <w:right w:val="single" w:sz="4" w:space="0" w:color="auto"/>
            </w:tcBorders>
            <w:shd w:val="clear" w:color="000000" w:fill="000000"/>
            <w:noWrap/>
            <w:vAlign w:val="bottom"/>
            <w:hideMark/>
          </w:tcPr>
          <w:p w14:paraId="6A8ECE31" w14:textId="77777777" w:rsidR="00813D20" w:rsidRPr="00540ADC" w:rsidRDefault="00813D20" w:rsidP="00C83B6B">
            <w:pPr>
              <w:spacing w:after="0" w:line="240" w:lineRule="auto"/>
              <w:jc w:val="right"/>
              <w:rPr>
                <w:rFonts w:eastAsia="Times New Roman" w:cs="Times New Roman"/>
                <w:b/>
                <w:bCs/>
                <w:color w:val="FFFFFF"/>
                <w:sz w:val="22"/>
                <w:lang w:val="en-ZA" w:eastAsia="en-ZA"/>
              </w:rPr>
            </w:pPr>
            <w:r w:rsidRPr="00540ADC">
              <w:rPr>
                <w:rFonts w:eastAsia="Times New Roman" w:cs="Times New Roman"/>
                <w:b/>
                <w:bCs/>
                <w:color w:val="FFFFFF"/>
                <w:sz w:val="22"/>
                <w:lang w:val="en-ZA" w:eastAsia="en-ZA"/>
              </w:rPr>
              <w:t>2003</w:t>
            </w:r>
          </w:p>
        </w:tc>
        <w:tc>
          <w:tcPr>
            <w:tcW w:w="1899" w:type="dxa"/>
            <w:tcBorders>
              <w:top w:val="single" w:sz="4" w:space="0" w:color="auto"/>
              <w:left w:val="nil"/>
              <w:bottom w:val="single" w:sz="4" w:space="0" w:color="auto"/>
              <w:right w:val="single" w:sz="4" w:space="0" w:color="auto"/>
            </w:tcBorders>
            <w:shd w:val="clear" w:color="000000" w:fill="000000"/>
            <w:noWrap/>
            <w:vAlign w:val="bottom"/>
            <w:hideMark/>
          </w:tcPr>
          <w:p w14:paraId="0389276A" w14:textId="77777777" w:rsidR="00813D20" w:rsidRPr="00540ADC" w:rsidRDefault="00813D20" w:rsidP="00C83B6B">
            <w:pPr>
              <w:spacing w:after="0" w:line="240" w:lineRule="auto"/>
              <w:jc w:val="right"/>
              <w:rPr>
                <w:rFonts w:eastAsia="Times New Roman" w:cs="Times New Roman"/>
                <w:b/>
                <w:bCs/>
                <w:color w:val="FFFFFF"/>
                <w:sz w:val="22"/>
                <w:lang w:val="en-ZA" w:eastAsia="en-ZA"/>
              </w:rPr>
            </w:pPr>
            <w:r w:rsidRPr="00540ADC">
              <w:rPr>
                <w:rFonts w:eastAsia="Times New Roman" w:cs="Times New Roman"/>
                <w:b/>
                <w:bCs/>
                <w:color w:val="FFFFFF"/>
                <w:sz w:val="22"/>
                <w:lang w:val="en-ZA" w:eastAsia="en-ZA"/>
              </w:rPr>
              <w:t>2009</w:t>
            </w:r>
          </w:p>
        </w:tc>
        <w:tc>
          <w:tcPr>
            <w:tcW w:w="1899" w:type="dxa"/>
            <w:tcBorders>
              <w:top w:val="single" w:sz="4" w:space="0" w:color="auto"/>
              <w:left w:val="nil"/>
              <w:bottom w:val="single" w:sz="4" w:space="0" w:color="auto"/>
              <w:right w:val="single" w:sz="4" w:space="0" w:color="auto"/>
            </w:tcBorders>
            <w:shd w:val="clear" w:color="000000" w:fill="000000"/>
            <w:noWrap/>
            <w:vAlign w:val="bottom"/>
            <w:hideMark/>
          </w:tcPr>
          <w:p w14:paraId="3FB9B96B" w14:textId="77777777" w:rsidR="00813D20" w:rsidRPr="00540ADC" w:rsidRDefault="00813D20" w:rsidP="00C83B6B">
            <w:pPr>
              <w:spacing w:after="0" w:line="240" w:lineRule="auto"/>
              <w:jc w:val="right"/>
              <w:rPr>
                <w:rFonts w:eastAsia="Times New Roman" w:cs="Times New Roman"/>
                <w:b/>
                <w:bCs/>
                <w:color w:val="FFFFFF"/>
                <w:sz w:val="22"/>
                <w:lang w:val="en-ZA" w:eastAsia="en-ZA"/>
              </w:rPr>
            </w:pPr>
            <w:r w:rsidRPr="00540ADC">
              <w:rPr>
                <w:rFonts w:eastAsia="Times New Roman" w:cs="Times New Roman"/>
                <w:b/>
                <w:bCs/>
                <w:color w:val="FFFFFF"/>
                <w:sz w:val="22"/>
                <w:lang w:val="en-ZA" w:eastAsia="en-ZA"/>
              </w:rPr>
              <w:t>2014</w:t>
            </w:r>
          </w:p>
        </w:tc>
      </w:tr>
      <w:tr w:rsidR="00813D20" w:rsidRPr="00540ADC" w14:paraId="557FD141" w14:textId="77777777" w:rsidTr="00C83B6B">
        <w:trPr>
          <w:trHeight w:val="239"/>
        </w:trPr>
        <w:tc>
          <w:tcPr>
            <w:tcW w:w="4545" w:type="dxa"/>
            <w:tcBorders>
              <w:top w:val="nil"/>
              <w:left w:val="single" w:sz="4" w:space="0" w:color="auto"/>
              <w:bottom w:val="single" w:sz="4" w:space="0" w:color="auto"/>
              <w:right w:val="single" w:sz="4" w:space="0" w:color="auto"/>
            </w:tcBorders>
            <w:shd w:val="clear" w:color="auto" w:fill="auto"/>
            <w:noWrap/>
            <w:vAlign w:val="bottom"/>
            <w:hideMark/>
          </w:tcPr>
          <w:p w14:paraId="686357C6" w14:textId="77777777" w:rsidR="00813D20" w:rsidRPr="00540ADC" w:rsidRDefault="00813D20" w:rsidP="00C83B6B">
            <w:pPr>
              <w:spacing w:after="0" w:line="240" w:lineRule="auto"/>
              <w:rPr>
                <w:rFonts w:eastAsia="Times New Roman" w:cs="Times New Roman"/>
                <w:b/>
                <w:bCs/>
                <w:color w:val="000000"/>
                <w:sz w:val="22"/>
                <w:lang w:val="en-ZA" w:eastAsia="en-ZA"/>
              </w:rPr>
            </w:pPr>
            <w:r w:rsidRPr="00540ADC">
              <w:rPr>
                <w:rFonts w:eastAsia="Times New Roman" w:cs="Times New Roman"/>
                <w:b/>
                <w:bCs/>
                <w:color w:val="000000"/>
                <w:sz w:val="22"/>
                <w:lang w:val="en-ZA" w:eastAsia="en-ZA"/>
              </w:rPr>
              <w:t>PRIMARY SECTOR</w:t>
            </w:r>
          </w:p>
        </w:tc>
        <w:tc>
          <w:tcPr>
            <w:tcW w:w="1349" w:type="dxa"/>
            <w:tcBorders>
              <w:top w:val="nil"/>
              <w:left w:val="nil"/>
              <w:bottom w:val="single" w:sz="4" w:space="0" w:color="auto"/>
              <w:right w:val="single" w:sz="4" w:space="0" w:color="auto"/>
            </w:tcBorders>
            <w:shd w:val="clear" w:color="auto" w:fill="auto"/>
            <w:noWrap/>
            <w:vAlign w:val="bottom"/>
            <w:hideMark/>
          </w:tcPr>
          <w:p w14:paraId="462B3C0B" w14:textId="77777777" w:rsidR="00813D20" w:rsidRPr="00540ADC" w:rsidRDefault="00813D20" w:rsidP="00C83B6B">
            <w:pPr>
              <w:spacing w:after="0" w:line="240" w:lineRule="auto"/>
              <w:jc w:val="right"/>
              <w:rPr>
                <w:rFonts w:eastAsia="Times New Roman" w:cs="Times New Roman"/>
                <w:b/>
                <w:bCs/>
                <w:color w:val="000000"/>
                <w:sz w:val="22"/>
                <w:lang w:val="en-ZA" w:eastAsia="en-ZA"/>
              </w:rPr>
            </w:pPr>
            <w:r w:rsidRPr="00540ADC">
              <w:rPr>
                <w:rFonts w:eastAsia="Times New Roman" w:cs="Times New Roman"/>
                <w:b/>
                <w:bCs/>
                <w:color w:val="000000"/>
                <w:sz w:val="22"/>
                <w:lang w:val="en-ZA" w:eastAsia="en-ZA"/>
              </w:rPr>
              <w:t>18.3</w:t>
            </w:r>
          </w:p>
        </w:tc>
        <w:tc>
          <w:tcPr>
            <w:tcW w:w="1899" w:type="dxa"/>
            <w:tcBorders>
              <w:top w:val="nil"/>
              <w:left w:val="nil"/>
              <w:bottom w:val="single" w:sz="4" w:space="0" w:color="auto"/>
              <w:right w:val="single" w:sz="4" w:space="0" w:color="auto"/>
            </w:tcBorders>
            <w:shd w:val="clear" w:color="auto" w:fill="auto"/>
            <w:noWrap/>
            <w:vAlign w:val="bottom"/>
            <w:hideMark/>
          </w:tcPr>
          <w:p w14:paraId="03AB482B" w14:textId="77777777" w:rsidR="00813D20" w:rsidRPr="00540ADC" w:rsidRDefault="00813D20" w:rsidP="00C83B6B">
            <w:pPr>
              <w:spacing w:after="0" w:line="240" w:lineRule="auto"/>
              <w:jc w:val="right"/>
              <w:rPr>
                <w:rFonts w:eastAsia="Times New Roman" w:cs="Times New Roman"/>
                <w:b/>
                <w:bCs/>
                <w:color w:val="000000"/>
                <w:sz w:val="22"/>
                <w:lang w:val="en-ZA" w:eastAsia="en-ZA"/>
              </w:rPr>
            </w:pPr>
            <w:r w:rsidRPr="00540ADC">
              <w:rPr>
                <w:rFonts w:eastAsia="Times New Roman" w:cs="Times New Roman"/>
                <w:b/>
                <w:bCs/>
                <w:color w:val="000000"/>
                <w:sz w:val="22"/>
                <w:lang w:val="en-ZA" w:eastAsia="en-ZA"/>
              </w:rPr>
              <w:t>15.6</w:t>
            </w:r>
          </w:p>
        </w:tc>
        <w:tc>
          <w:tcPr>
            <w:tcW w:w="1899" w:type="dxa"/>
            <w:tcBorders>
              <w:top w:val="nil"/>
              <w:left w:val="nil"/>
              <w:bottom w:val="single" w:sz="4" w:space="0" w:color="auto"/>
              <w:right w:val="single" w:sz="4" w:space="0" w:color="auto"/>
            </w:tcBorders>
            <w:shd w:val="clear" w:color="auto" w:fill="auto"/>
            <w:noWrap/>
            <w:vAlign w:val="bottom"/>
            <w:hideMark/>
          </w:tcPr>
          <w:p w14:paraId="5CFC48C0" w14:textId="77777777" w:rsidR="00813D20" w:rsidRPr="00540ADC" w:rsidRDefault="00813D20" w:rsidP="00C83B6B">
            <w:pPr>
              <w:spacing w:after="0" w:line="240" w:lineRule="auto"/>
              <w:jc w:val="right"/>
              <w:rPr>
                <w:rFonts w:eastAsia="Times New Roman" w:cs="Times New Roman"/>
                <w:b/>
                <w:bCs/>
                <w:color w:val="000000"/>
                <w:sz w:val="22"/>
                <w:lang w:val="en-ZA" w:eastAsia="en-ZA"/>
              </w:rPr>
            </w:pPr>
            <w:r w:rsidRPr="00540ADC">
              <w:rPr>
                <w:rFonts w:eastAsia="Times New Roman" w:cs="Times New Roman"/>
                <w:b/>
                <w:bCs/>
                <w:color w:val="000000"/>
                <w:sz w:val="22"/>
                <w:lang w:val="en-ZA" w:eastAsia="en-ZA"/>
              </w:rPr>
              <w:t>16.5</w:t>
            </w:r>
          </w:p>
        </w:tc>
      </w:tr>
      <w:tr w:rsidR="00813D20" w:rsidRPr="00540ADC" w14:paraId="566456BA" w14:textId="77777777" w:rsidTr="00C83B6B">
        <w:trPr>
          <w:trHeight w:val="239"/>
        </w:trPr>
        <w:tc>
          <w:tcPr>
            <w:tcW w:w="4545" w:type="dxa"/>
            <w:tcBorders>
              <w:top w:val="nil"/>
              <w:left w:val="single" w:sz="4" w:space="0" w:color="auto"/>
              <w:bottom w:val="single" w:sz="4" w:space="0" w:color="auto"/>
              <w:right w:val="single" w:sz="4" w:space="0" w:color="auto"/>
            </w:tcBorders>
            <w:shd w:val="clear" w:color="auto" w:fill="auto"/>
            <w:noWrap/>
            <w:vAlign w:val="bottom"/>
            <w:hideMark/>
          </w:tcPr>
          <w:p w14:paraId="238B8CD9" w14:textId="77777777" w:rsidR="00813D20" w:rsidRPr="00540ADC" w:rsidRDefault="00813D20" w:rsidP="00C83B6B">
            <w:pPr>
              <w:spacing w:after="0" w:line="240" w:lineRule="auto"/>
              <w:rPr>
                <w:rFonts w:eastAsia="Times New Roman" w:cs="Times New Roman"/>
                <w:color w:val="000000"/>
                <w:sz w:val="22"/>
                <w:lang w:val="en-ZA" w:eastAsia="en-ZA"/>
              </w:rPr>
            </w:pPr>
            <w:r w:rsidRPr="00540ADC">
              <w:rPr>
                <w:rFonts w:eastAsia="Times New Roman" w:cs="Times New Roman"/>
                <w:color w:val="000000"/>
                <w:sz w:val="22"/>
                <w:lang w:val="en-ZA" w:eastAsia="en-ZA"/>
              </w:rPr>
              <w:t>Agriculture</w:t>
            </w:r>
          </w:p>
        </w:tc>
        <w:tc>
          <w:tcPr>
            <w:tcW w:w="1349" w:type="dxa"/>
            <w:tcBorders>
              <w:top w:val="nil"/>
              <w:left w:val="nil"/>
              <w:bottom w:val="single" w:sz="4" w:space="0" w:color="auto"/>
              <w:right w:val="single" w:sz="4" w:space="0" w:color="auto"/>
            </w:tcBorders>
            <w:shd w:val="clear" w:color="auto" w:fill="auto"/>
            <w:noWrap/>
            <w:vAlign w:val="bottom"/>
            <w:hideMark/>
          </w:tcPr>
          <w:p w14:paraId="3BA71954"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6.7</w:t>
            </w:r>
          </w:p>
        </w:tc>
        <w:tc>
          <w:tcPr>
            <w:tcW w:w="1899" w:type="dxa"/>
            <w:tcBorders>
              <w:top w:val="nil"/>
              <w:left w:val="nil"/>
              <w:bottom w:val="single" w:sz="4" w:space="0" w:color="auto"/>
              <w:right w:val="single" w:sz="4" w:space="0" w:color="auto"/>
            </w:tcBorders>
            <w:shd w:val="clear" w:color="auto" w:fill="auto"/>
            <w:noWrap/>
            <w:vAlign w:val="bottom"/>
            <w:hideMark/>
          </w:tcPr>
          <w:p w14:paraId="148383B6"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6.8</w:t>
            </w:r>
          </w:p>
        </w:tc>
        <w:tc>
          <w:tcPr>
            <w:tcW w:w="1899" w:type="dxa"/>
            <w:tcBorders>
              <w:top w:val="nil"/>
              <w:left w:val="nil"/>
              <w:bottom w:val="single" w:sz="4" w:space="0" w:color="auto"/>
              <w:right w:val="single" w:sz="4" w:space="0" w:color="auto"/>
            </w:tcBorders>
            <w:shd w:val="clear" w:color="auto" w:fill="auto"/>
            <w:noWrap/>
            <w:vAlign w:val="bottom"/>
            <w:hideMark/>
          </w:tcPr>
          <w:p w14:paraId="14608894"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7.3</w:t>
            </w:r>
          </w:p>
        </w:tc>
      </w:tr>
      <w:tr w:rsidR="00813D20" w:rsidRPr="00540ADC" w14:paraId="6C0856A3" w14:textId="77777777" w:rsidTr="00C83B6B">
        <w:trPr>
          <w:trHeight w:val="239"/>
        </w:trPr>
        <w:tc>
          <w:tcPr>
            <w:tcW w:w="4545" w:type="dxa"/>
            <w:tcBorders>
              <w:top w:val="nil"/>
              <w:left w:val="single" w:sz="4" w:space="0" w:color="auto"/>
              <w:bottom w:val="single" w:sz="4" w:space="0" w:color="auto"/>
              <w:right w:val="single" w:sz="4" w:space="0" w:color="auto"/>
            </w:tcBorders>
            <w:shd w:val="clear" w:color="auto" w:fill="auto"/>
            <w:noWrap/>
            <w:vAlign w:val="bottom"/>
            <w:hideMark/>
          </w:tcPr>
          <w:p w14:paraId="626009EA" w14:textId="77777777" w:rsidR="00813D20" w:rsidRPr="00540ADC" w:rsidRDefault="00813D20" w:rsidP="00C83B6B">
            <w:pPr>
              <w:spacing w:after="0" w:line="240" w:lineRule="auto"/>
              <w:rPr>
                <w:rFonts w:eastAsia="Times New Roman" w:cs="Times New Roman"/>
                <w:color w:val="000000"/>
                <w:sz w:val="22"/>
                <w:lang w:val="en-ZA" w:eastAsia="en-ZA"/>
              </w:rPr>
            </w:pPr>
            <w:r w:rsidRPr="00540ADC">
              <w:rPr>
                <w:rFonts w:eastAsia="Times New Roman" w:cs="Times New Roman"/>
                <w:color w:val="000000"/>
                <w:sz w:val="22"/>
                <w:lang w:val="en-ZA" w:eastAsia="en-ZA"/>
              </w:rPr>
              <w:t>Mining</w:t>
            </w:r>
          </w:p>
        </w:tc>
        <w:tc>
          <w:tcPr>
            <w:tcW w:w="1349" w:type="dxa"/>
            <w:tcBorders>
              <w:top w:val="nil"/>
              <w:left w:val="nil"/>
              <w:bottom w:val="single" w:sz="4" w:space="0" w:color="auto"/>
              <w:right w:val="single" w:sz="4" w:space="0" w:color="auto"/>
            </w:tcBorders>
            <w:shd w:val="clear" w:color="auto" w:fill="auto"/>
            <w:noWrap/>
            <w:vAlign w:val="bottom"/>
            <w:hideMark/>
          </w:tcPr>
          <w:p w14:paraId="196948E0"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11.6</w:t>
            </w:r>
          </w:p>
        </w:tc>
        <w:tc>
          <w:tcPr>
            <w:tcW w:w="1899" w:type="dxa"/>
            <w:tcBorders>
              <w:top w:val="nil"/>
              <w:left w:val="nil"/>
              <w:bottom w:val="single" w:sz="4" w:space="0" w:color="auto"/>
              <w:right w:val="single" w:sz="4" w:space="0" w:color="auto"/>
            </w:tcBorders>
            <w:shd w:val="clear" w:color="auto" w:fill="auto"/>
            <w:noWrap/>
            <w:vAlign w:val="bottom"/>
            <w:hideMark/>
          </w:tcPr>
          <w:p w14:paraId="771D7E4E"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8.8</w:t>
            </w:r>
          </w:p>
        </w:tc>
        <w:tc>
          <w:tcPr>
            <w:tcW w:w="1899" w:type="dxa"/>
            <w:tcBorders>
              <w:top w:val="nil"/>
              <w:left w:val="nil"/>
              <w:bottom w:val="single" w:sz="4" w:space="0" w:color="auto"/>
              <w:right w:val="single" w:sz="4" w:space="0" w:color="auto"/>
            </w:tcBorders>
            <w:shd w:val="clear" w:color="auto" w:fill="auto"/>
            <w:noWrap/>
            <w:vAlign w:val="bottom"/>
            <w:hideMark/>
          </w:tcPr>
          <w:p w14:paraId="41837ABC"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9.2</w:t>
            </w:r>
          </w:p>
        </w:tc>
      </w:tr>
      <w:tr w:rsidR="00813D20" w:rsidRPr="00540ADC" w14:paraId="2B34A7C3" w14:textId="77777777" w:rsidTr="00C83B6B">
        <w:trPr>
          <w:trHeight w:val="239"/>
        </w:trPr>
        <w:tc>
          <w:tcPr>
            <w:tcW w:w="4545" w:type="dxa"/>
            <w:tcBorders>
              <w:top w:val="nil"/>
              <w:left w:val="single" w:sz="4" w:space="0" w:color="auto"/>
              <w:bottom w:val="single" w:sz="4" w:space="0" w:color="auto"/>
              <w:right w:val="single" w:sz="4" w:space="0" w:color="auto"/>
            </w:tcBorders>
            <w:shd w:val="clear" w:color="auto" w:fill="auto"/>
            <w:noWrap/>
            <w:vAlign w:val="bottom"/>
            <w:hideMark/>
          </w:tcPr>
          <w:p w14:paraId="16F08AFA" w14:textId="77777777" w:rsidR="00813D20" w:rsidRPr="00540ADC" w:rsidRDefault="00813D20" w:rsidP="00C83B6B">
            <w:pPr>
              <w:spacing w:after="0" w:line="240" w:lineRule="auto"/>
              <w:rPr>
                <w:rFonts w:eastAsia="Times New Roman" w:cs="Times New Roman"/>
                <w:b/>
                <w:bCs/>
                <w:color w:val="000000"/>
                <w:sz w:val="22"/>
                <w:lang w:val="en-ZA" w:eastAsia="en-ZA"/>
              </w:rPr>
            </w:pPr>
            <w:r w:rsidRPr="00540ADC">
              <w:rPr>
                <w:rFonts w:eastAsia="Times New Roman" w:cs="Times New Roman"/>
                <w:b/>
                <w:bCs/>
                <w:color w:val="000000"/>
                <w:sz w:val="22"/>
                <w:lang w:val="en-ZA" w:eastAsia="en-ZA"/>
              </w:rPr>
              <w:t>SECONDARY</w:t>
            </w:r>
          </w:p>
        </w:tc>
        <w:tc>
          <w:tcPr>
            <w:tcW w:w="1349" w:type="dxa"/>
            <w:tcBorders>
              <w:top w:val="nil"/>
              <w:left w:val="nil"/>
              <w:bottom w:val="single" w:sz="4" w:space="0" w:color="auto"/>
              <w:right w:val="single" w:sz="4" w:space="0" w:color="auto"/>
            </w:tcBorders>
            <w:shd w:val="clear" w:color="auto" w:fill="auto"/>
            <w:noWrap/>
            <w:vAlign w:val="bottom"/>
            <w:hideMark/>
          </w:tcPr>
          <w:p w14:paraId="251051B1" w14:textId="77777777" w:rsidR="00813D20" w:rsidRPr="00540ADC" w:rsidRDefault="00813D20" w:rsidP="00C83B6B">
            <w:pPr>
              <w:spacing w:after="0" w:line="240" w:lineRule="auto"/>
              <w:jc w:val="right"/>
              <w:rPr>
                <w:rFonts w:eastAsia="Times New Roman" w:cs="Times New Roman"/>
                <w:b/>
                <w:bCs/>
                <w:color w:val="000000"/>
                <w:sz w:val="22"/>
                <w:lang w:val="en-ZA" w:eastAsia="en-ZA"/>
              </w:rPr>
            </w:pPr>
            <w:r w:rsidRPr="00540ADC">
              <w:rPr>
                <w:rFonts w:eastAsia="Times New Roman" w:cs="Times New Roman"/>
                <w:b/>
                <w:bCs/>
                <w:color w:val="000000"/>
                <w:sz w:val="22"/>
                <w:lang w:val="en-ZA" w:eastAsia="en-ZA"/>
              </w:rPr>
              <w:t>43.11</w:t>
            </w:r>
          </w:p>
        </w:tc>
        <w:tc>
          <w:tcPr>
            <w:tcW w:w="1899" w:type="dxa"/>
            <w:tcBorders>
              <w:top w:val="nil"/>
              <w:left w:val="nil"/>
              <w:bottom w:val="single" w:sz="4" w:space="0" w:color="auto"/>
              <w:right w:val="single" w:sz="4" w:space="0" w:color="auto"/>
            </w:tcBorders>
            <w:shd w:val="clear" w:color="auto" w:fill="auto"/>
            <w:noWrap/>
            <w:vAlign w:val="bottom"/>
            <w:hideMark/>
          </w:tcPr>
          <w:p w14:paraId="7E1AC7F7" w14:textId="77777777" w:rsidR="00813D20" w:rsidRPr="00540ADC" w:rsidRDefault="00813D20" w:rsidP="00C83B6B">
            <w:pPr>
              <w:spacing w:after="0" w:line="240" w:lineRule="auto"/>
              <w:jc w:val="right"/>
              <w:rPr>
                <w:rFonts w:eastAsia="Times New Roman" w:cs="Times New Roman"/>
                <w:b/>
                <w:bCs/>
                <w:color w:val="000000"/>
                <w:sz w:val="22"/>
                <w:lang w:val="en-ZA" w:eastAsia="en-ZA"/>
              </w:rPr>
            </w:pPr>
            <w:r w:rsidRPr="00540ADC">
              <w:rPr>
                <w:rFonts w:eastAsia="Times New Roman" w:cs="Times New Roman"/>
                <w:b/>
                <w:bCs/>
                <w:color w:val="000000"/>
                <w:sz w:val="22"/>
                <w:lang w:val="en-ZA" w:eastAsia="en-ZA"/>
              </w:rPr>
              <w:t>34.2</w:t>
            </w:r>
          </w:p>
        </w:tc>
        <w:tc>
          <w:tcPr>
            <w:tcW w:w="1899" w:type="dxa"/>
            <w:tcBorders>
              <w:top w:val="nil"/>
              <w:left w:val="nil"/>
              <w:bottom w:val="single" w:sz="4" w:space="0" w:color="auto"/>
              <w:right w:val="single" w:sz="4" w:space="0" w:color="auto"/>
            </w:tcBorders>
            <w:shd w:val="clear" w:color="auto" w:fill="auto"/>
            <w:noWrap/>
            <w:vAlign w:val="bottom"/>
            <w:hideMark/>
          </w:tcPr>
          <w:p w14:paraId="647658AC" w14:textId="77777777" w:rsidR="00813D20" w:rsidRPr="00540ADC" w:rsidRDefault="00813D20" w:rsidP="00C83B6B">
            <w:pPr>
              <w:spacing w:after="0" w:line="240" w:lineRule="auto"/>
              <w:jc w:val="right"/>
              <w:rPr>
                <w:rFonts w:eastAsia="Times New Roman" w:cs="Times New Roman"/>
                <w:b/>
                <w:bCs/>
                <w:color w:val="000000"/>
                <w:sz w:val="22"/>
                <w:lang w:val="en-ZA" w:eastAsia="en-ZA"/>
              </w:rPr>
            </w:pPr>
            <w:r w:rsidRPr="00540ADC">
              <w:rPr>
                <w:rFonts w:eastAsia="Times New Roman" w:cs="Times New Roman"/>
                <w:b/>
                <w:bCs/>
                <w:color w:val="000000"/>
                <w:sz w:val="22"/>
                <w:lang w:val="en-ZA" w:eastAsia="en-ZA"/>
              </w:rPr>
              <w:t>34.1</w:t>
            </w:r>
          </w:p>
        </w:tc>
      </w:tr>
      <w:tr w:rsidR="00813D20" w:rsidRPr="00540ADC" w14:paraId="5A9DC492" w14:textId="77777777" w:rsidTr="00C83B6B">
        <w:trPr>
          <w:trHeight w:val="239"/>
        </w:trPr>
        <w:tc>
          <w:tcPr>
            <w:tcW w:w="4545" w:type="dxa"/>
            <w:tcBorders>
              <w:top w:val="nil"/>
              <w:left w:val="single" w:sz="4" w:space="0" w:color="auto"/>
              <w:bottom w:val="single" w:sz="4" w:space="0" w:color="auto"/>
              <w:right w:val="single" w:sz="4" w:space="0" w:color="auto"/>
            </w:tcBorders>
            <w:shd w:val="clear" w:color="auto" w:fill="auto"/>
            <w:noWrap/>
            <w:vAlign w:val="bottom"/>
            <w:hideMark/>
          </w:tcPr>
          <w:p w14:paraId="1E149F2F" w14:textId="77777777" w:rsidR="00813D20" w:rsidRPr="00540ADC" w:rsidRDefault="00813D20" w:rsidP="00C83B6B">
            <w:pPr>
              <w:spacing w:after="0" w:line="240" w:lineRule="auto"/>
              <w:rPr>
                <w:rFonts w:eastAsia="Times New Roman" w:cs="Times New Roman"/>
                <w:color w:val="000000"/>
                <w:sz w:val="22"/>
                <w:lang w:val="en-ZA" w:eastAsia="en-ZA"/>
              </w:rPr>
            </w:pPr>
            <w:r w:rsidRPr="00540ADC">
              <w:rPr>
                <w:rFonts w:eastAsia="Times New Roman" w:cs="Times New Roman"/>
                <w:color w:val="000000"/>
                <w:sz w:val="22"/>
                <w:lang w:val="en-ZA" w:eastAsia="en-ZA"/>
              </w:rPr>
              <w:t>Manufacturing</w:t>
            </w:r>
          </w:p>
        </w:tc>
        <w:tc>
          <w:tcPr>
            <w:tcW w:w="1349" w:type="dxa"/>
            <w:tcBorders>
              <w:top w:val="nil"/>
              <w:left w:val="nil"/>
              <w:bottom w:val="single" w:sz="4" w:space="0" w:color="auto"/>
              <w:right w:val="single" w:sz="4" w:space="0" w:color="auto"/>
            </w:tcBorders>
            <w:shd w:val="clear" w:color="auto" w:fill="auto"/>
            <w:noWrap/>
            <w:vAlign w:val="bottom"/>
            <w:hideMark/>
          </w:tcPr>
          <w:p w14:paraId="182BA285"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29.2</w:t>
            </w:r>
          </w:p>
        </w:tc>
        <w:tc>
          <w:tcPr>
            <w:tcW w:w="1899" w:type="dxa"/>
            <w:tcBorders>
              <w:top w:val="nil"/>
              <w:left w:val="nil"/>
              <w:bottom w:val="single" w:sz="4" w:space="0" w:color="auto"/>
              <w:right w:val="single" w:sz="4" w:space="0" w:color="auto"/>
            </w:tcBorders>
            <w:shd w:val="clear" w:color="auto" w:fill="auto"/>
            <w:noWrap/>
            <w:vAlign w:val="bottom"/>
            <w:hideMark/>
          </w:tcPr>
          <w:p w14:paraId="5D0696FD"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28.32</w:t>
            </w:r>
          </w:p>
        </w:tc>
        <w:tc>
          <w:tcPr>
            <w:tcW w:w="1899" w:type="dxa"/>
            <w:tcBorders>
              <w:top w:val="nil"/>
              <w:left w:val="nil"/>
              <w:bottom w:val="single" w:sz="4" w:space="0" w:color="auto"/>
              <w:right w:val="single" w:sz="4" w:space="0" w:color="auto"/>
            </w:tcBorders>
            <w:shd w:val="clear" w:color="auto" w:fill="auto"/>
            <w:noWrap/>
            <w:vAlign w:val="bottom"/>
            <w:hideMark/>
          </w:tcPr>
          <w:p w14:paraId="60DB5D79"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28.7</w:t>
            </w:r>
          </w:p>
        </w:tc>
      </w:tr>
      <w:tr w:rsidR="00813D20" w:rsidRPr="00540ADC" w14:paraId="2FF5E0CC" w14:textId="77777777" w:rsidTr="00C83B6B">
        <w:trPr>
          <w:trHeight w:val="239"/>
        </w:trPr>
        <w:tc>
          <w:tcPr>
            <w:tcW w:w="4545" w:type="dxa"/>
            <w:tcBorders>
              <w:top w:val="nil"/>
              <w:left w:val="single" w:sz="4" w:space="0" w:color="auto"/>
              <w:bottom w:val="single" w:sz="4" w:space="0" w:color="auto"/>
              <w:right w:val="single" w:sz="4" w:space="0" w:color="auto"/>
            </w:tcBorders>
            <w:shd w:val="clear" w:color="auto" w:fill="auto"/>
            <w:noWrap/>
            <w:vAlign w:val="bottom"/>
            <w:hideMark/>
          </w:tcPr>
          <w:p w14:paraId="718AF82B" w14:textId="77777777" w:rsidR="00813D20" w:rsidRPr="00540ADC" w:rsidRDefault="00813D20" w:rsidP="00C83B6B">
            <w:pPr>
              <w:spacing w:after="0" w:line="240" w:lineRule="auto"/>
              <w:rPr>
                <w:rFonts w:eastAsia="Times New Roman" w:cs="Times New Roman"/>
                <w:color w:val="000000"/>
                <w:sz w:val="22"/>
                <w:lang w:val="en-ZA" w:eastAsia="en-ZA"/>
              </w:rPr>
            </w:pPr>
            <w:r w:rsidRPr="00540ADC">
              <w:rPr>
                <w:rFonts w:eastAsia="Times New Roman" w:cs="Times New Roman"/>
                <w:color w:val="000000"/>
                <w:sz w:val="22"/>
                <w:lang w:val="en-ZA" w:eastAsia="en-ZA"/>
              </w:rPr>
              <w:t>Electricity</w:t>
            </w:r>
          </w:p>
        </w:tc>
        <w:tc>
          <w:tcPr>
            <w:tcW w:w="1349" w:type="dxa"/>
            <w:tcBorders>
              <w:top w:val="nil"/>
              <w:left w:val="nil"/>
              <w:bottom w:val="single" w:sz="4" w:space="0" w:color="auto"/>
              <w:right w:val="single" w:sz="4" w:space="0" w:color="auto"/>
            </w:tcBorders>
            <w:shd w:val="clear" w:color="auto" w:fill="auto"/>
            <w:noWrap/>
            <w:vAlign w:val="bottom"/>
            <w:hideMark/>
          </w:tcPr>
          <w:p w14:paraId="7B5F6F5F"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1.9</w:t>
            </w:r>
          </w:p>
        </w:tc>
        <w:tc>
          <w:tcPr>
            <w:tcW w:w="1899" w:type="dxa"/>
            <w:tcBorders>
              <w:top w:val="nil"/>
              <w:left w:val="nil"/>
              <w:bottom w:val="single" w:sz="4" w:space="0" w:color="auto"/>
              <w:right w:val="single" w:sz="4" w:space="0" w:color="auto"/>
            </w:tcBorders>
            <w:shd w:val="clear" w:color="auto" w:fill="auto"/>
            <w:noWrap/>
            <w:vAlign w:val="bottom"/>
            <w:hideMark/>
          </w:tcPr>
          <w:p w14:paraId="17408321"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3</w:t>
            </w:r>
          </w:p>
        </w:tc>
        <w:tc>
          <w:tcPr>
            <w:tcW w:w="1899" w:type="dxa"/>
            <w:tcBorders>
              <w:top w:val="nil"/>
              <w:left w:val="nil"/>
              <w:bottom w:val="single" w:sz="4" w:space="0" w:color="auto"/>
              <w:right w:val="single" w:sz="4" w:space="0" w:color="auto"/>
            </w:tcBorders>
            <w:shd w:val="clear" w:color="auto" w:fill="auto"/>
            <w:noWrap/>
            <w:vAlign w:val="bottom"/>
            <w:hideMark/>
          </w:tcPr>
          <w:p w14:paraId="20F346F5"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1.8</w:t>
            </w:r>
          </w:p>
        </w:tc>
      </w:tr>
      <w:tr w:rsidR="00813D20" w:rsidRPr="00540ADC" w14:paraId="11E0B5A5" w14:textId="77777777" w:rsidTr="00C83B6B">
        <w:trPr>
          <w:trHeight w:val="239"/>
        </w:trPr>
        <w:tc>
          <w:tcPr>
            <w:tcW w:w="4545" w:type="dxa"/>
            <w:tcBorders>
              <w:top w:val="nil"/>
              <w:left w:val="single" w:sz="4" w:space="0" w:color="auto"/>
              <w:bottom w:val="single" w:sz="4" w:space="0" w:color="auto"/>
              <w:right w:val="single" w:sz="4" w:space="0" w:color="auto"/>
            </w:tcBorders>
            <w:shd w:val="clear" w:color="auto" w:fill="auto"/>
            <w:noWrap/>
            <w:vAlign w:val="bottom"/>
            <w:hideMark/>
          </w:tcPr>
          <w:p w14:paraId="06BDCA01" w14:textId="77777777" w:rsidR="00813D20" w:rsidRPr="00540ADC" w:rsidRDefault="00813D20" w:rsidP="00C83B6B">
            <w:pPr>
              <w:spacing w:after="0" w:line="240" w:lineRule="auto"/>
              <w:rPr>
                <w:rFonts w:eastAsia="Times New Roman" w:cs="Times New Roman"/>
                <w:color w:val="000000"/>
                <w:sz w:val="22"/>
                <w:lang w:val="en-ZA" w:eastAsia="en-ZA"/>
              </w:rPr>
            </w:pPr>
            <w:r w:rsidRPr="00540ADC">
              <w:rPr>
                <w:rFonts w:eastAsia="Times New Roman" w:cs="Times New Roman"/>
                <w:color w:val="000000"/>
                <w:sz w:val="22"/>
                <w:lang w:val="en-ZA" w:eastAsia="en-ZA"/>
              </w:rPr>
              <w:t>Construction</w:t>
            </w:r>
          </w:p>
        </w:tc>
        <w:tc>
          <w:tcPr>
            <w:tcW w:w="1349" w:type="dxa"/>
            <w:tcBorders>
              <w:top w:val="nil"/>
              <w:left w:val="nil"/>
              <w:bottom w:val="single" w:sz="4" w:space="0" w:color="auto"/>
              <w:right w:val="single" w:sz="4" w:space="0" w:color="auto"/>
            </w:tcBorders>
            <w:shd w:val="clear" w:color="auto" w:fill="auto"/>
            <w:noWrap/>
            <w:vAlign w:val="bottom"/>
            <w:hideMark/>
          </w:tcPr>
          <w:p w14:paraId="39FB3E50"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3</w:t>
            </w:r>
          </w:p>
        </w:tc>
        <w:tc>
          <w:tcPr>
            <w:tcW w:w="1899" w:type="dxa"/>
            <w:tcBorders>
              <w:top w:val="nil"/>
              <w:left w:val="nil"/>
              <w:bottom w:val="single" w:sz="4" w:space="0" w:color="auto"/>
              <w:right w:val="single" w:sz="4" w:space="0" w:color="auto"/>
            </w:tcBorders>
            <w:shd w:val="clear" w:color="auto" w:fill="auto"/>
            <w:noWrap/>
            <w:vAlign w:val="bottom"/>
            <w:hideMark/>
          </w:tcPr>
          <w:p w14:paraId="76925482"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3.9</w:t>
            </w:r>
          </w:p>
        </w:tc>
        <w:tc>
          <w:tcPr>
            <w:tcW w:w="1899" w:type="dxa"/>
            <w:tcBorders>
              <w:top w:val="nil"/>
              <w:left w:val="nil"/>
              <w:bottom w:val="single" w:sz="4" w:space="0" w:color="auto"/>
              <w:right w:val="single" w:sz="4" w:space="0" w:color="auto"/>
            </w:tcBorders>
            <w:shd w:val="clear" w:color="auto" w:fill="auto"/>
            <w:noWrap/>
            <w:vAlign w:val="bottom"/>
            <w:hideMark/>
          </w:tcPr>
          <w:p w14:paraId="66C0EA13"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3.6</w:t>
            </w:r>
          </w:p>
        </w:tc>
      </w:tr>
      <w:tr w:rsidR="00813D20" w:rsidRPr="00540ADC" w14:paraId="59573D8A" w14:textId="77777777" w:rsidTr="00C83B6B">
        <w:trPr>
          <w:trHeight w:val="239"/>
        </w:trPr>
        <w:tc>
          <w:tcPr>
            <w:tcW w:w="4545" w:type="dxa"/>
            <w:tcBorders>
              <w:top w:val="nil"/>
              <w:left w:val="single" w:sz="4" w:space="0" w:color="auto"/>
              <w:bottom w:val="single" w:sz="4" w:space="0" w:color="auto"/>
              <w:right w:val="single" w:sz="4" w:space="0" w:color="auto"/>
            </w:tcBorders>
            <w:shd w:val="clear" w:color="auto" w:fill="auto"/>
            <w:noWrap/>
            <w:vAlign w:val="bottom"/>
            <w:hideMark/>
          </w:tcPr>
          <w:p w14:paraId="74A52D24" w14:textId="77777777" w:rsidR="00813D20" w:rsidRPr="00540ADC" w:rsidRDefault="00813D20" w:rsidP="00C83B6B">
            <w:pPr>
              <w:spacing w:after="0" w:line="240" w:lineRule="auto"/>
              <w:rPr>
                <w:rFonts w:eastAsia="Times New Roman" w:cs="Times New Roman"/>
                <w:b/>
                <w:bCs/>
                <w:color w:val="000000"/>
                <w:sz w:val="22"/>
                <w:lang w:val="en-ZA" w:eastAsia="en-ZA"/>
              </w:rPr>
            </w:pPr>
            <w:r w:rsidRPr="00540ADC">
              <w:rPr>
                <w:rFonts w:eastAsia="Times New Roman" w:cs="Times New Roman"/>
                <w:b/>
                <w:bCs/>
                <w:color w:val="000000"/>
                <w:sz w:val="22"/>
                <w:lang w:val="en-ZA" w:eastAsia="en-ZA"/>
              </w:rPr>
              <w:t>TERTIARY SECTOR</w:t>
            </w:r>
          </w:p>
        </w:tc>
        <w:tc>
          <w:tcPr>
            <w:tcW w:w="1349" w:type="dxa"/>
            <w:tcBorders>
              <w:top w:val="nil"/>
              <w:left w:val="nil"/>
              <w:bottom w:val="single" w:sz="4" w:space="0" w:color="auto"/>
              <w:right w:val="single" w:sz="4" w:space="0" w:color="auto"/>
            </w:tcBorders>
            <w:shd w:val="clear" w:color="auto" w:fill="auto"/>
            <w:noWrap/>
            <w:vAlign w:val="bottom"/>
            <w:hideMark/>
          </w:tcPr>
          <w:p w14:paraId="7FC1B2BD" w14:textId="77777777" w:rsidR="00813D20" w:rsidRPr="00540ADC" w:rsidRDefault="00813D20" w:rsidP="00C83B6B">
            <w:pPr>
              <w:spacing w:after="0" w:line="240" w:lineRule="auto"/>
              <w:jc w:val="right"/>
              <w:rPr>
                <w:rFonts w:eastAsia="Times New Roman" w:cs="Times New Roman"/>
                <w:b/>
                <w:bCs/>
                <w:color w:val="000000"/>
                <w:sz w:val="22"/>
                <w:lang w:val="en-ZA" w:eastAsia="en-ZA"/>
              </w:rPr>
            </w:pPr>
            <w:r w:rsidRPr="00540ADC">
              <w:rPr>
                <w:rFonts w:eastAsia="Times New Roman" w:cs="Times New Roman"/>
                <w:b/>
                <w:bCs/>
                <w:color w:val="000000"/>
                <w:sz w:val="22"/>
                <w:lang w:val="en-ZA" w:eastAsia="en-ZA"/>
              </w:rPr>
              <w:t>47.6</w:t>
            </w:r>
          </w:p>
        </w:tc>
        <w:tc>
          <w:tcPr>
            <w:tcW w:w="1899" w:type="dxa"/>
            <w:tcBorders>
              <w:top w:val="nil"/>
              <w:left w:val="nil"/>
              <w:bottom w:val="single" w:sz="4" w:space="0" w:color="auto"/>
              <w:right w:val="single" w:sz="4" w:space="0" w:color="auto"/>
            </w:tcBorders>
            <w:shd w:val="clear" w:color="auto" w:fill="auto"/>
            <w:noWrap/>
            <w:vAlign w:val="bottom"/>
            <w:hideMark/>
          </w:tcPr>
          <w:p w14:paraId="44F2F5D2" w14:textId="77777777" w:rsidR="00813D20" w:rsidRPr="00540ADC" w:rsidRDefault="00813D20" w:rsidP="00C83B6B">
            <w:pPr>
              <w:spacing w:after="0" w:line="240" w:lineRule="auto"/>
              <w:jc w:val="right"/>
              <w:rPr>
                <w:rFonts w:eastAsia="Times New Roman" w:cs="Times New Roman"/>
                <w:b/>
                <w:bCs/>
                <w:color w:val="000000"/>
                <w:sz w:val="22"/>
                <w:lang w:val="en-ZA" w:eastAsia="en-ZA"/>
              </w:rPr>
            </w:pPr>
            <w:r w:rsidRPr="00540ADC">
              <w:rPr>
                <w:rFonts w:eastAsia="Times New Roman" w:cs="Times New Roman"/>
                <w:b/>
                <w:bCs/>
                <w:color w:val="000000"/>
                <w:sz w:val="22"/>
                <w:lang w:val="en-ZA" w:eastAsia="en-ZA"/>
              </w:rPr>
              <w:t>50.2</w:t>
            </w:r>
          </w:p>
        </w:tc>
        <w:tc>
          <w:tcPr>
            <w:tcW w:w="1899" w:type="dxa"/>
            <w:tcBorders>
              <w:top w:val="nil"/>
              <w:left w:val="nil"/>
              <w:bottom w:val="single" w:sz="4" w:space="0" w:color="auto"/>
              <w:right w:val="single" w:sz="4" w:space="0" w:color="auto"/>
            </w:tcBorders>
            <w:shd w:val="clear" w:color="auto" w:fill="auto"/>
            <w:noWrap/>
            <w:vAlign w:val="bottom"/>
            <w:hideMark/>
          </w:tcPr>
          <w:p w14:paraId="37CD4830" w14:textId="77777777" w:rsidR="00813D20" w:rsidRPr="00540ADC" w:rsidRDefault="00813D20" w:rsidP="00C83B6B">
            <w:pPr>
              <w:spacing w:after="0" w:line="240" w:lineRule="auto"/>
              <w:jc w:val="right"/>
              <w:rPr>
                <w:rFonts w:eastAsia="Times New Roman" w:cs="Times New Roman"/>
                <w:b/>
                <w:bCs/>
                <w:color w:val="000000"/>
                <w:sz w:val="22"/>
                <w:lang w:val="en-ZA" w:eastAsia="en-ZA"/>
              </w:rPr>
            </w:pPr>
            <w:r w:rsidRPr="00540ADC">
              <w:rPr>
                <w:rFonts w:eastAsia="Times New Roman" w:cs="Times New Roman"/>
                <w:b/>
                <w:bCs/>
                <w:color w:val="000000"/>
                <w:sz w:val="22"/>
                <w:lang w:val="en-ZA" w:eastAsia="en-ZA"/>
              </w:rPr>
              <w:t>49.4</w:t>
            </w:r>
          </w:p>
        </w:tc>
      </w:tr>
      <w:tr w:rsidR="00813D20" w:rsidRPr="00540ADC" w14:paraId="402C7C3E" w14:textId="77777777" w:rsidTr="00C83B6B">
        <w:trPr>
          <w:trHeight w:val="239"/>
        </w:trPr>
        <w:tc>
          <w:tcPr>
            <w:tcW w:w="4545" w:type="dxa"/>
            <w:tcBorders>
              <w:top w:val="nil"/>
              <w:left w:val="single" w:sz="4" w:space="0" w:color="auto"/>
              <w:bottom w:val="single" w:sz="4" w:space="0" w:color="auto"/>
              <w:right w:val="single" w:sz="4" w:space="0" w:color="auto"/>
            </w:tcBorders>
            <w:shd w:val="clear" w:color="auto" w:fill="auto"/>
            <w:noWrap/>
            <w:vAlign w:val="bottom"/>
            <w:hideMark/>
          </w:tcPr>
          <w:p w14:paraId="02E0CAC0" w14:textId="77777777" w:rsidR="00813D20" w:rsidRPr="00540ADC" w:rsidRDefault="00813D20" w:rsidP="00C83B6B">
            <w:pPr>
              <w:spacing w:after="0" w:line="240" w:lineRule="auto"/>
              <w:rPr>
                <w:rFonts w:eastAsia="Times New Roman" w:cs="Times New Roman"/>
                <w:color w:val="000000"/>
                <w:sz w:val="22"/>
                <w:lang w:val="en-ZA" w:eastAsia="en-ZA"/>
              </w:rPr>
            </w:pPr>
            <w:r w:rsidRPr="00540ADC">
              <w:rPr>
                <w:rFonts w:eastAsia="Times New Roman" w:cs="Times New Roman"/>
                <w:color w:val="000000"/>
                <w:sz w:val="22"/>
                <w:lang w:val="en-ZA" w:eastAsia="en-ZA"/>
              </w:rPr>
              <w:t>Trade</w:t>
            </w:r>
          </w:p>
        </w:tc>
        <w:tc>
          <w:tcPr>
            <w:tcW w:w="1349" w:type="dxa"/>
            <w:tcBorders>
              <w:top w:val="nil"/>
              <w:left w:val="nil"/>
              <w:bottom w:val="single" w:sz="4" w:space="0" w:color="auto"/>
              <w:right w:val="single" w:sz="4" w:space="0" w:color="auto"/>
            </w:tcBorders>
            <w:shd w:val="clear" w:color="auto" w:fill="auto"/>
            <w:noWrap/>
            <w:vAlign w:val="bottom"/>
            <w:hideMark/>
          </w:tcPr>
          <w:p w14:paraId="04CEE5A5"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9.2</w:t>
            </w:r>
          </w:p>
        </w:tc>
        <w:tc>
          <w:tcPr>
            <w:tcW w:w="1899" w:type="dxa"/>
            <w:tcBorders>
              <w:top w:val="nil"/>
              <w:left w:val="nil"/>
              <w:bottom w:val="single" w:sz="4" w:space="0" w:color="auto"/>
              <w:right w:val="single" w:sz="4" w:space="0" w:color="auto"/>
            </w:tcBorders>
            <w:shd w:val="clear" w:color="auto" w:fill="auto"/>
            <w:noWrap/>
            <w:vAlign w:val="bottom"/>
            <w:hideMark/>
          </w:tcPr>
          <w:p w14:paraId="104C9FC5"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9.5</w:t>
            </w:r>
          </w:p>
        </w:tc>
        <w:tc>
          <w:tcPr>
            <w:tcW w:w="1899" w:type="dxa"/>
            <w:tcBorders>
              <w:top w:val="nil"/>
              <w:left w:val="nil"/>
              <w:bottom w:val="single" w:sz="4" w:space="0" w:color="auto"/>
              <w:right w:val="single" w:sz="4" w:space="0" w:color="auto"/>
            </w:tcBorders>
            <w:shd w:val="clear" w:color="auto" w:fill="auto"/>
            <w:noWrap/>
            <w:vAlign w:val="bottom"/>
            <w:hideMark/>
          </w:tcPr>
          <w:p w14:paraId="669A1535"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9.6</w:t>
            </w:r>
          </w:p>
        </w:tc>
      </w:tr>
      <w:tr w:rsidR="00813D20" w:rsidRPr="00540ADC" w14:paraId="6B9924FC" w14:textId="77777777" w:rsidTr="00C83B6B">
        <w:trPr>
          <w:trHeight w:val="239"/>
        </w:trPr>
        <w:tc>
          <w:tcPr>
            <w:tcW w:w="4545" w:type="dxa"/>
            <w:tcBorders>
              <w:top w:val="nil"/>
              <w:left w:val="single" w:sz="4" w:space="0" w:color="auto"/>
              <w:bottom w:val="single" w:sz="4" w:space="0" w:color="auto"/>
              <w:right w:val="single" w:sz="4" w:space="0" w:color="auto"/>
            </w:tcBorders>
            <w:shd w:val="clear" w:color="auto" w:fill="auto"/>
            <w:noWrap/>
            <w:vAlign w:val="bottom"/>
            <w:hideMark/>
          </w:tcPr>
          <w:p w14:paraId="05A71A90" w14:textId="77777777" w:rsidR="00813D20" w:rsidRPr="00540ADC" w:rsidRDefault="00813D20" w:rsidP="00C83B6B">
            <w:pPr>
              <w:spacing w:after="0" w:line="240" w:lineRule="auto"/>
              <w:rPr>
                <w:rFonts w:eastAsia="Times New Roman" w:cs="Times New Roman"/>
                <w:color w:val="000000"/>
                <w:sz w:val="22"/>
                <w:lang w:val="en-ZA" w:eastAsia="en-ZA"/>
              </w:rPr>
            </w:pPr>
            <w:r w:rsidRPr="00540ADC">
              <w:rPr>
                <w:rFonts w:eastAsia="Times New Roman" w:cs="Times New Roman"/>
                <w:color w:val="000000"/>
                <w:sz w:val="22"/>
                <w:lang w:val="en-ZA" w:eastAsia="en-ZA"/>
              </w:rPr>
              <w:t>Transport</w:t>
            </w:r>
          </w:p>
        </w:tc>
        <w:tc>
          <w:tcPr>
            <w:tcW w:w="1349" w:type="dxa"/>
            <w:tcBorders>
              <w:top w:val="nil"/>
              <w:left w:val="nil"/>
              <w:bottom w:val="single" w:sz="4" w:space="0" w:color="auto"/>
              <w:right w:val="single" w:sz="4" w:space="0" w:color="auto"/>
            </w:tcBorders>
            <w:shd w:val="clear" w:color="auto" w:fill="auto"/>
            <w:noWrap/>
            <w:vAlign w:val="bottom"/>
            <w:hideMark/>
          </w:tcPr>
          <w:p w14:paraId="76B2B716"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10.7</w:t>
            </w:r>
          </w:p>
        </w:tc>
        <w:tc>
          <w:tcPr>
            <w:tcW w:w="1899" w:type="dxa"/>
            <w:tcBorders>
              <w:top w:val="nil"/>
              <w:left w:val="nil"/>
              <w:bottom w:val="single" w:sz="4" w:space="0" w:color="auto"/>
              <w:right w:val="single" w:sz="4" w:space="0" w:color="auto"/>
            </w:tcBorders>
            <w:shd w:val="clear" w:color="auto" w:fill="auto"/>
            <w:noWrap/>
            <w:vAlign w:val="bottom"/>
            <w:hideMark/>
          </w:tcPr>
          <w:p w14:paraId="4126D0B6"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11.6</w:t>
            </w:r>
          </w:p>
        </w:tc>
        <w:tc>
          <w:tcPr>
            <w:tcW w:w="1899" w:type="dxa"/>
            <w:tcBorders>
              <w:top w:val="nil"/>
              <w:left w:val="nil"/>
              <w:bottom w:val="single" w:sz="4" w:space="0" w:color="auto"/>
              <w:right w:val="single" w:sz="4" w:space="0" w:color="auto"/>
            </w:tcBorders>
            <w:shd w:val="clear" w:color="auto" w:fill="auto"/>
            <w:noWrap/>
            <w:vAlign w:val="bottom"/>
            <w:hideMark/>
          </w:tcPr>
          <w:p w14:paraId="0921AA91"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11.3</w:t>
            </w:r>
          </w:p>
        </w:tc>
      </w:tr>
      <w:tr w:rsidR="00813D20" w:rsidRPr="00540ADC" w14:paraId="691CD603" w14:textId="77777777" w:rsidTr="00C83B6B">
        <w:trPr>
          <w:trHeight w:val="239"/>
        </w:trPr>
        <w:tc>
          <w:tcPr>
            <w:tcW w:w="4545" w:type="dxa"/>
            <w:tcBorders>
              <w:top w:val="nil"/>
              <w:left w:val="single" w:sz="4" w:space="0" w:color="auto"/>
              <w:bottom w:val="single" w:sz="4" w:space="0" w:color="auto"/>
              <w:right w:val="single" w:sz="4" w:space="0" w:color="auto"/>
            </w:tcBorders>
            <w:shd w:val="clear" w:color="auto" w:fill="auto"/>
            <w:noWrap/>
            <w:vAlign w:val="bottom"/>
            <w:hideMark/>
          </w:tcPr>
          <w:p w14:paraId="6D2CCD1B" w14:textId="77777777" w:rsidR="00813D20" w:rsidRPr="00540ADC" w:rsidRDefault="00813D20" w:rsidP="00C83B6B">
            <w:pPr>
              <w:spacing w:after="0" w:line="240" w:lineRule="auto"/>
              <w:rPr>
                <w:rFonts w:eastAsia="Times New Roman" w:cs="Times New Roman"/>
                <w:color w:val="000000"/>
                <w:sz w:val="22"/>
                <w:lang w:val="en-ZA" w:eastAsia="en-ZA"/>
              </w:rPr>
            </w:pPr>
            <w:r w:rsidRPr="00540ADC">
              <w:rPr>
                <w:rFonts w:eastAsia="Times New Roman" w:cs="Times New Roman"/>
                <w:color w:val="000000"/>
                <w:sz w:val="22"/>
                <w:lang w:val="en-ZA" w:eastAsia="en-ZA"/>
              </w:rPr>
              <w:t>Finance</w:t>
            </w:r>
          </w:p>
        </w:tc>
        <w:tc>
          <w:tcPr>
            <w:tcW w:w="1349" w:type="dxa"/>
            <w:tcBorders>
              <w:top w:val="nil"/>
              <w:left w:val="nil"/>
              <w:bottom w:val="single" w:sz="4" w:space="0" w:color="auto"/>
              <w:right w:val="single" w:sz="4" w:space="0" w:color="auto"/>
            </w:tcBorders>
            <w:shd w:val="clear" w:color="auto" w:fill="auto"/>
            <w:noWrap/>
            <w:vAlign w:val="bottom"/>
            <w:hideMark/>
          </w:tcPr>
          <w:p w14:paraId="6AC584DC"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9.9</w:t>
            </w:r>
          </w:p>
        </w:tc>
        <w:tc>
          <w:tcPr>
            <w:tcW w:w="1899" w:type="dxa"/>
            <w:tcBorders>
              <w:top w:val="nil"/>
              <w:left w:val="nil"/>
              <w:bottom w:val="single" w:sz="4" w:space="0" w:color="auto"/>
              <w:right w:val="single" w:sz="4" w:space="0" w:color="auto"/>
            </w:tcBorders>
            <w:shd w:val="clear" w:color="auto" w:fill="auto"/>
            <w:noWrap/>
            <w:vAlign w:val="bottom"/>
            <w:hideMark/>
          </w:tcPr>
          <w:p w14:paraId="3686D619"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11</w:t>
            </w:r>
          </w:p>
        </w:tc>
        <w:tc>
          <w:tcPr>
            <w:tcW w:w="1899" w:type="dxa"/>
            <w:tcBorders>
              <w:top w:val="nil"/>
              <w:left w:val="nil"/>
              <w:bottom w:val="single" w:sz="4" w:space="0" w:color="auto"/>
              <w:right w:val="single" w:sz="4" w:space="0" w:color="auto"/>
            </w:tcBorders>
            <w:shd w:val="clear" w:color="auto" w:fill="auto"/>
            <w:noWrap/>
            <w:vAlign w:val="bottom"/>
            <w:hideMark/>
          </w:tcPr>
          <w:p w14:paraId="6DD03F64"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10.7</w:t>
            </w:r>
          </w:p>
        </w:tc>
      </w:tr>
      <w:tr w:rsidR="00813D20" w:rsidRPr="00540ADC" w14:paraId="6CF394CA" w14:textId="77777777" w:rsidTr="00C83B6B">
        <w:trPr>
          <w:trHeight w:val="239"/>
        </w:trPr>
        <w:tc>
          <w:tcPr>
            <w:tcW w:w="4545" w:type="dxa"/>
            <w:tcBorders>
              <w:top w:val="nil"/>
              <w:left w:val="single" w:sz="4" w:space="0" w:color="auto"/>
              <w:bottom w:val="single" w:sz="4" w:space="0" w:color="auto"/>
              <w:right w:val="single" w:sz="4" w:space="0" w:color="auto"/>
            </w:tcBorders>
            <w:shd w:val="clear" w:color="auto" w:fill="auto"/>
            <w:noWrap/>
            <w:vAlign w:val="bottom"/>
            <w:hideMark/>
          </w:tcPr>
          <w:p w14:paraId="124B2681" w14:textId="77777777" w:rsidR="00813D20" w:rsidRPr="00540ADC" w:rsidRDefault="00813D20" w:rsidP="00C83B6B">
            <w:pPr>
              <w:spacing w:after="0" w:line="240" w:lineRule="auto"/>
              <w:rPr>
                <w:rFonts w:eastAsia="Times New Roman" w:cs="Times New Roman"/>
                <w:color w:val="000000"/>
                <w:sz w:val="22"/>
                <w:lang w:val="en-ZA" w:eastAsia="en-ZA"/>
              </w:rPr>
            </w:pPr>
            <w:r w:rsidRPr="00540ADC">
              <w:rPr>
                <w:rFonts w:eastAsia="Times New Roman" w:cs="Times New Roman"/>
                <w:color w:val="000000"/>
                <w:sz w:val="22"/>
                <w:lang w:val="en-ZA" w:eastAsia="en-ZA"/>
              </w:rPr>
              <w:t>Community Services</w:t>
            </w:r>
          </w:p>
        </w:tc>
        <w:tc>
          <w:tcPr>
            <w:tcW w:w="1349" w:type="dxa"/>
            <w:tcBorders>
              <w:top w:val="nil"/>
              <w:left w:val="nil"/>
              <w:bottom w:val="single" w:sz="4" w:space="0" w:color="auto"/>
              <w:right w:val="single" w:sz="4" w:space="0" w:color="auto"/>
            </w:tcBorders>
            <w:shd w:val="clear" w:color="auto" w:fill="auto"/>
            <w:noWrap/>
            <w:vAlign w:val="bottom"/>
            <w:hideMark/>
          </w:tcPr>
          <w:p w14:paraId="6810EE8A"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17.8</w:t>
            </w:r>
          </w:p>
        </w:tc>
        <w:tc>
          <w:tcPr>
            <w:tcW w:w="1899" w:type="dxa"/>
            <w:tcBorders>
              <w:top w:val="nil"/>
              <w:left w:val="nil"/>
              <w:bottom w:val="single" w:sz="4" w:space="0" w:color="auto"/>
              <w:right w:val="single" w:sz="4" w:space="0" w:color="auto"/>
            </w:tcBorders>
            <w:shd w:val="clear" w:color="auto" w:fill="auto"/>
            <w:noWrap/>
            <w:vAlign w:val="bottom"/>
            <w:hideMark/>
          </w:tcPr>
          <w:p w14:paraId="6C9C0F81"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18.1</w:t>
            </w:r>
          </w:p>
        </w:tc>
        <w:tc>
          <w:tcPr>
            <w:tcW w:w="1899" w:type="dxa"/>
            <w:tcBorders>
              <w:top w:val="nil"/>
              <w:left w:val="nil"/>
              <w:bottom w:val="single" w:sz="4" w:space="0" w:color="auto"/>
              <w:right w:val="single" w:sz="4" w:space="0" w:color="auto"/>
            </w:tcBorders>
            <w:shd w:val="clear" w:color="auto" w:fill="auto"/>
            <w:noWrap/>
            <w:vAlign w:val="bottom"/>
            <w:hideMark/>
          </w:tcPr>
          <w:p w14:paraId="3A0BACDE" w14:textId="77777777" w:rsidR="00813D20" w:rsidRPr="00540ADC" w:rsidRDefault="00813D20" w:rsidP="00C83B6B">
            <w:pPr>
              <w:spacing w:after="0" w:line="240" w:lineRule="auto"/>
              <w:jc w:val="right"/>
              <w:rPr>
                <w:rFonts w:eastAsia="Times New Roman" w:cs="Times New Roman"/>
                <w:color w:val="000000"/>
                <w:sz w:val="22"/>
                <w:lang w:val="en-ZA" w:eastAsia="en-ZA"/>
              </w:rPr>
            </w:pPr>
            <w:r w:rsidRPr="00540ADC">
              <w:rPr>
                <w:rFonts w:eastAsia="Times New Roman" w:cs="Times New Roman"/>
                <w:color w:val="000000"/>
                <w:sz w:val="22"/>
                <w:lang w:val="en-ZA" w:eastAsia="en-ZA"/>
              </w:rPr>
              <w:t>17.9</w:t>
            </w:r>
          </w:p>
        </w:tc>
      </w:tr>
    </w:tbl>
    <w:p w14:paraId="57A008E9" w14:textId="44382236" w:rsidR="005E0A6C" w:rsidRPr="000D0ED3" w:rsidRDefault="005E0A6C" w:rsidP="002F62F0">
      <w:pPr>
        <w:pStyle w:val="Caption"/>
      </w:pPr>
      <w:bookmarkStart w:id="390" w:name="_Toc510622301"/>
      <w:r w:rsidRPr="000D0ED3">
        <w:t xml:space="preserve">Table </w:t>
      </w:r>
      <w:r w:rsidR="00D55BDA" w:rsidRPr="000D0ED3">
        <w:fldChar w:fldCharType="begin"/>
      </w:r>
      <w:r w:rsidRPr="000D0ED3">
        <w:instrText xml:space="preserve"> SEQ Table \* ARABIC </w:instrText>
      </w:r>
      <w:r w:rsidR="00D55BDA" w:rsidRPr="000D0ED3">
        <w:fldChar w:fldCharType="separate"/>
      </w:r>
      <w:r w:rsidR="0067023A">
        <w:rPr>
          <w:noProof/>
        </w:rPr>
        <w:t>51</w:t>
      </w:r>
      <w:r w:rsidR="00D55BDA" w:rsidRPr="000D0ED3">
        <w:fldChar w:fldCharType="end"/>
      </w:r>
      <w:r w:rsidR="004171F6">
        <w:t xml:space="preserve">: </w:t>
      </w:r>
      <w:bookmarkEnd w:id="385"/>
      <w:bookmarkEnd w:id="386"/>
      <w:r w:rsidR="00F66A4A">
        <w:t>KDCM Percentage Contribution by Sector</w:t>
      </w:r>
      <w:bookmarkEnd w:id="390"/>
      <w:r w:rsidR="00F66A4A">
        <w:t xml:space="preserve"> </w:t>
      </w:r>
    </w:p>
    <w:p w14:paraId="3182B27B" w14:textId="77777777" w:rsidR="004171F6" w:rsidRDefault="004171F6" w:rsidP="00395313">
      <w:pPr>
        <w:spacing w:line="288" w:lineRule="auto"/>
        <w:jc w:val="both"/>
        <w:rPr>
          <w:b/>
          <w:szCs w:val="20"/>
        </w:rPr>
      </w:pPr>
    </w:p>
    <w:p w14:paraId="7E05D85F" w14:textId="77777777" w:rsidR="005E0A6C" w:rsidRPr="00A67C5B" w:rsidRDefault="004171F6" w:rsidP="00395313">
      <w:pPr>
        <w:spacing w:line="288" w:lineRule="auto"/>
        <w:jc w:val="both"/>
        <w:rPr>
          <w:b/>
          <w:szCs w:val="20"/>
        </w:rPr>
      </w:pPr>
      <w:r>
        <w:rPr>
          <w:b/>
          <w:szCs w:val="20"/>
        </w:rPr>
        <w:t xml:space="preserve"> Source: CS 2016</w:t>
      </w:r>
    </w:p>
    <w:p w14:paraId="414A9D7D" w14:textId="77777777" w:rsidR="005E0A6C" w:rsidRDefault="004171F6" w:rsidP="00750180">
      <w:pPr>
        <w:pStyle w:val="Heading4"/>
        <w:numPr>
          <w:ilvl w:val="4"/>
          <w:numId w:val="29"/>
        </w:numPr>
        <w:jc w:val="both"/>
        <w:rPr>
          <w:rFonts w:ascii="Calibri" w:hAnsi="Calibri"/>
          <w:i/>
        </w:rPr>
      </w:pPr>
      <w:r>
        <w:rPr>
          <w:rFonts w:ascii="Calibri" w:hAnsi="Calibri"/>
          <w:i/>
        </w:rPr>
        <w:t>KCDM Employment by Sector</w:t>
      </w:r>
    </w:p>
    <w:p w14:paraId="66888A51" w14:textId="77777777" w:rsidR="004171F6" w:rsidRDefault="004171F6" w:rsidP="004171F6">
      <w:pPr>
        <w:spacing w:after="0"/>
      </w:pPr>
      <w:r w:rsidRPr="004171F6">
        <w:rPr>
          <w:noProof/>
        </w:rPr>
        <w:drawing>
          <wp:inline distT="0" distB="0" distL="0" distR="0" wp14:anchorId="04FEBD7D" wp14:editId="3BB8157D">
            <wp:extent cx="5105400" cy="2074545"/>
            <wp:effectExtent l="0" t="0" r="0" b="1905"/>
            <wp:docPr id="6" name="Picture 6" descr="C:\Users\Siphephelok\Desktop\eMPLOYMENT BY sEC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iphephelok\Desktop\eMPLOYMENT BY sECTOR.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105400" cy="2074545"/>
                    </a:xfrm>
                    <a:prstGeom prst="rect">
                      <a:avLst/>
                    </a:prstGeom>
                    <a:noFill/>
                    <a:ln>
                      <a:noFill/>
                    </a:ln>
                  </pic:spPr>
                </pic:pic>
              </a:graphicData>
            </a:graphic>
          </wp:inline>
        </w:drawing>
      </w:r>
    </w:p>
    <w:p w14:paraId="1F2F3153" w14:textId="77777777" w:rsidR="004171F6" w:rsidRPr="004171F6" w:rsidRDefault="004171F6" w:rsidP="004171F6">
      <w:pPr>
        <w:rPr>
          <w:b/>
        </w:rPr>
      </w:pPr>
      <w:r w:rsidRPr="004171F6">
        <w:rPr>
          <w:b/>
        </w:rPr>
        <w:t>Source: Global Insights (2015)</w:t>
      </w:r>
    </w:p>
    <w:p w14:paraId="70840634" w14:textId="77777777" w:rsidR="005E0A6C" w:rsidRPr="00881795" w:rsidRDefault="005E0A6C" w:rsidP="002F62F0">
      <w:pPr>
        <w:pStyle w:val="Caption"/>
      </w:pPr>
      <w:bookmarkStart w:id="391" w:name="_Toc510622302"/>
      <w:bookmarkStart w:id="392" w:name="_Toc389739951"/>
      <w:r w:rsidRPr="00881795">
        <w:t xml:space="preserve">Table </w:t>
      </w:r>
      <w:r w:rsidR="00B918A6">
        <w:fldChar w:fldCharType="begin"/>
      </w:r>
      <w:r w:rsidR="00B918A6">
        <w:instrText xml:space="preserve"> SEQ Table \* ARABIC </w:instrText>
      </w:r>
      <w:r w:rsidR="00B918A6">
        <w:fldChar w:fldCharType="separate"/>
      </w:r>
      <w:r w:rsidR="0067023A">
        <w:rPr>
          <w:noProof/>
        </w:rPr>
        <w:t>52</w:t>
      </w:r>
      <w:r w:rsidR="00B918A6">
        <w:rPr>
          <w:noProof/>
        </w:rPr>
        <w:fldChar w:fldCharType="end"/>
      </w:r>
      <w:r w:rsidRPr="00881795">
        <w:t xml:space="preserve">:  Average Annual Household Income in the </w:t>
      </w:r>
      <w:r w:rsidR="001D792E">
        <w:t>King Cetshwayo</w:t>
      </w:r>
      <w:r w:rsidRPr="00881795">
        <w:t xml:space="preserve"> </w:t>
      </w:r>
      <w:r w:rsidR="003C03FA">
        <w:t>District</w:t>
      </w:r>
      <w:bookmarkEnd w:id="391"/>
      <w:r w:rsidRPr="00881795">
        <w:t xml:space="preserve"> </w:t>
      </w:r>
      <w:bookmarkEnd w:id="392"/>
    </w:p>
    <w:tbl>
      <w:tblPr>
        <w:tblW w:w="8134" w:type="dxa"/>
        <w:tblInd w:w="93" w:type="dxa"/>
        <w:tblLook w:val="04A0" w:firstRow="1" w:lastRow="0" w:firstColumn="1" w:lastColumn="0" w:noHBand="0" w:noVBand="1"/>
      </w:tblPr>
      <w:tblGrid>
        <w:gridCol w:w="3058"/>
        <w:gridCol w:w="5076"/>
      </w:tblGrid>
      <w:tr w:rsidR="005E0A6C" w:rsidRPr="00881795" w14:paraId="3351B0E2" w14:textId="77777777" w:rsidTr="00861523">
        <w:trPr>
          <w:trHeight w:val="445"/>
          <w:tblHeader/>
        </w:trPr>
        <w:tc>
          <w:tcPr>
            <w:tcW w:w="3058" w:type="dxa"/>
            <w:tcBorders>
              <w:top w:val="single" w:sz="4" w:space="0" w:color="auto"/>
              <w:left w:val="single" w:sz="4" w:space="0" w:color="auto"/>
              <w:bottom w:val="single" w:sz="4" w:space="0" w:color="auto"/>
              <w:right w:val="single" w:sz="4" w:space="0" w:color="auto"/>
            </w:tcBorders>
            <w:shd w:val="clear" w:color="auto" w:fill="DAEEF3" w:themeFill="accent5" w:themeFillTint="33"/>
            <w:hideMark/>
          </w:tcPr>
          <w:p w14:paraId="13EEFCEB" w14:textId="77777777" w:rsidR="005E0A6C" w:rsidRPr="00881795" w:rsidRDefault="005E0A6C" w:rsidP="00F21D2F">
            <w:pPr>
              <w:spacing w:after="0" w:line="240" w:lineRule="auto"/>
              <w:jc w:val="both"/>
              <w:rPr>
                <w:rFonts w:eastAsia="Times New Roman" w:cs="Times New Roman"/>
                <w:b/>
                <w:bCs/>
                <w:color w:val="222222"/>
                <w:szCs w:val="20"/>
              </w:rPr>
            </w:pPr>
            <w:r w:rsidRPr="00881795">
              <w:rPr>
                <w:rFonts w:eastAsia="Times New Roman" w:cs="Times New Roman"/>
                <w:b/>
                <w:bCs/>
                <w:color w:val="222222"/>
                <w:szCs w:val="20"/>
              </w:rPr>
              <w:t> Municipality</w:t>
            </w:r>
          </w:p>
        </w:tc>
        <w:tc>
          <w:tcPr>
            <w:tcW w:w="5076" w:type="dxa"/>
            <w:tcBorders>
              <w:top w:val="single" w:sz="4" w:space="0" w:color="auto"/>
              <w:left w:val="nil"/>
              <w:bottom w:val="single" w:sz="4" w:space="0" w:color="auto"/>
              <w:right w:val="single" w:sz="4" w:space="0" w:color="auto"/>
            </w:tcBorders>
            <w:shd w:val="clear" w:color="auto" w:fill="DAEEF3" w:themeFill="accent5" w:themeFillTint="33"/>
            <w:hideMark/>
          </w:tcPr>
          <w:p w14:paraId="526978F2" w14:textId="77777777" w:rsidR="005E0A6C" w:rsidRPr="00881795" w:rsidRDefault="005E0A6C" w:rsidP="00F21D2F">
            <w:pPr>
              <w:spacing w:after="0" w:line="240" w:lineRule="auto"/>
              <w:jc w:val="both"/>
              <w:rPr>
                <w:rFonts w:eastAsia="Times New Roman" w:cs="Times New Roman"/>
                <w:b/>
                <w:bCs/>
                <w:color w:val="222222"/>
                <w:szCs w:val="20"/>
              </w:rPr>
            </w:pPr>
            <w:r w:rsidRPr="00881795">
              <w:rPr>
                <w:rFonts w:eastAsia="Times New Roman" w:cs="Times New Roman"/>
                <w:b/>
                <w:bCs/>
                <w:color w:val="222222"/>
                <w:szCs w:val="20"/>
                <w:lang w:val="en-ZA"/>
              </w:rPr>
              <w:t xml:space="preserve">Average Annual Household Income (in Rands) in the </w:t>
            </w:r>
            <w:r w:rsidR="001D792E">
              <w:rPr>
                <w:rFonts w:eastAsia="Times New Roman" w:cs="Times New Roman"/>
                <w:b/>
                <w:bCs/>
                <w:color w:val="222222"/>
                <w:szCs w:val="20"/>
                <w:lang w:val="en-ZA"/>
              </w:rPr>
              <w:t>King Cetshwayo</w:t>
            </w:r>
            <w:r w:rsidRPr="00881795">
              <w:rPr>
                <w:rFonts w:eastAsia="Times New Roman" w:cs="Times New Roman"/>
                <w:b/>
                <w:bCs/>
                <w:color w:val="222222"/>
                <w:szCs w:val="20"/>
                <w:lang w:val="en-ZA"/>
              </w:rPr>
              <w:t xml:space="preserve"> </w:t>
            </w:r>
            <w:r w:rsidR="003C03FA">
              <w:rPr>
                <w:rFonts w:eastAsia="Times New Roman" w:cs="Times New Roman"/>
                <w:b/>
                <w:bCs/>
                <w:color w:val="222222"/>
                <w:szCs w:val="20"/>
                <w:lang w:val="en-ZA"/>
              </w:rPr>
              <w:t>District</w:t>
            </w:r>
          </w:p>
        </w:tc>
      </w:tr>
      <w:tr w:rsidR="005E0A6C" w:rsidRPr="00881795" w14:paraId="30773331" w14:textId="77777777" w:rsidTr="00861523">
        <w:trPr>
          <w:trHeight w:val="234"/>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5FFBA731" w14:textId="77777777" w:rsidR="005E0A6C" w:rsidRPr="00881795" w:rsidRDefault="001D792E" w:rsidP="00395313">
            <w:pPr>
              <w:spacing w:after="0" w:line="240" w:lineRule="auto"/>
              <w:jc w:val="both"/>
              <w:rPr>
                <w:rFonts w:eastAsia="Times New Roman" w:cs="Times New Roman"/>
                <w:color w:val="222222"/>
                <w:szCs w:val="20"/>
              </w:rPr>
            </w:pPr>
            <w:r>
              <w:rPr>
                <w:rFonts w:eastAsia="Times New Roman" w:cs="Times New Roman"/>
                <w:color w:val="222222"/>
                <w:szCs w:val="20"/>
                <w:lang w:val="en-ZA"/>
              </w:rPr>
              <w:t>King Cetshwayo</w:t>
            </w:r>
            <w:r w:rsidR="005E0A6C" w:rsidRPr="00881795">
              <w:rPr>
                <w:rFonts w:eastAsia="Times New Roman" w:cs="Times New Roman"/>
                <w:color w:val="222222"/>
                <w:szCs w:val="20"/>
                <w:lang w:val="en-ZA"/>
              </w:rPr>
              <w:t xml:space="preserve"> DM</w:t>
            </w:r>
          </w:p>
        </w:tc>
        <w:tc>
          <w:tcPr>
            <w:tcW w:w="5076" w:type="dxa"/>
            <w:tcBorders>
              <w:top w:val="nil"/>
              <w:left w:val="nil"/>
              <w:bottom w:val="single" w:sz="4" w:space="0" w:color="auto"/>
              <w:right w:val="single" w:sz="4" w:space="0" w:color="auto"/>
            </w:tcBorders>
            <w:shd w:val="clear" w:color="auto" w:fill="auto"/>
            <w:vAlign w:val="center"/>
            <w:hideMark/>
          </w:tcPr>
          <w:p w14:paraId="5449DB84" w14:textId="77777777" w:rsidR="005E0A6C" w:rsidRPr="00881795" w:rsidRDefault="005E0A6C" w:rsidP="00395313">
            <w:pPr>
              <w:spacing w:after="0" w:line="240" w:lineRule="auto"/>
              <w:jc w:val="both"/>
              <w:rPr>
                <w:rFonts w:eastAsia="Times New Roman" w:cs="Times New Roman"/>
                <w:color w:val="222222"/>
                <w:szCs w:val="20"/>
              </w:rPr>
            </w:pPr>
            <w:r w:rsidRPr="00881795">
              <w:rPr>
                <w:rFonts w:eastAsia="Times New Roman" w:cs="Times New Roman"/>
                <w:color w:val="222222"/>
                <w:szCs w:val="20"/>
                <w:lang w:val="en-ZA"/>
              </w:rPr>
              <w:t>80,054</w:t>
            </w:r>
          </w:p>
        </w:tc>
      </w:tr>
      <w:tr w:rsidR="005E0A6C" w:rsidRPr="00881795" w14:paraId="0B7ACE0F" w14:textId="77777777" w:rsidTr="00861523">
        <w:trPr>
          <w:trHeight w:val="234"/>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67F3A947" w14:textId="77777777" w:rsidR="005E0A6C" w:rsidRPr="00881795" w:rsidRDefault="00A6372F" w:rsidP="00395313">
            <w:pPr>
              <w:spacing w:after="0" w:line="240" w:lineRule="auto"/>
              <w:jc w:val="both"/>
              <w:rPr>
                <w:rFonts w:eastAsia="Times New Roman" w:cs="Times New Roman"/>
                <w:color w:val="222222"/>
                <w:szCs w:val="20"/>
              </w:rPr>
            </w:pPr>
            <w:r>
              <w:rPr>
                <w:rFonts w:eastAsia="Times New Roman" w:cs="Times New Roman"/>
                <w:color w:val="222222"/>
                <w:szCs w:val="20"/>
                <w:lang w:val="en-ZA"/>
              </w:rPr>
              <w:t>u</w:t>
            </w:r>
            <w:r w:rsidR="005E0A6C" w:rsidRPr="00881795">
              <w:rPr>
                <w:rFonts w:eastAsia="Times New Roman" w:cs="Times New Roman"/>
                <w:color w:val="222222"/>
                <w:szCs w:val="20"/>
                <w:lang w:val="en-ZA"/>
              </w:rPr>
              <w:t>Mfolozi</w:t>
            </w:r>
          </w:p>
        </w:tc>
        <w:tc>
          <w:tcPr>
            <w:tcW w:w="5076" w:type="dxa"/>
            <w:tcBorders>
              <w:top w:val="nil"/>
              <w:left w:val="nil"/>
              <w:bottom w:val="single" w:sz="4" w:space="0" w:color="auto"/>
              <w:right w:val="single" w:sz="4" w:space="0" w:color="auto"/>
            </w:tcBorders>
            <w:shd w:val="clear" w:color="auto" w:fill="auto"/>
            <w:vAlign w:val="center"/>
            <w:hideMark/>
          </w:tcPr>
          <w:p w14:paraId="09B1F7C4" w14:textId="77777777" w:rsidR="005E0A6C" w:rsidRPr="00881795" w:rsidRDefault="005E0A6C" w:rsidP="00395313">
            <w:pPr>
              <w:spacing w:after="0" w:line="240" w:lineRule="auto"/>
              <w:jc w:val="both"/>
              <w:rPr>
                <w:rFonts w:eastAsia="Times New Roman" w:cs="Times New Roman"/>
                <w:color w:val="222222"/>
                <w:szCs w:val="20"/>
              </w:rPr>
            </w:pPr>
            <w:r w:rsidRPr="00881795">
              <w:rPr>
                <w:rFonts w:eastAsia="Times New Roman" w:cs="Times New Roman"/>
                <w:color w:val="222222"/>
                <w:szCs w:val="20"/>
                <w:lang w:val="en-ZA"/>
              </w:rPr>
              <w:t>46,130</w:t>
            </w:r>
          </w:p>
        </w:tc>
      </w:tr>
      <w:tr w:rsidR="005E0A6C" w:rsidRPr="00881795" w14:paraId="3F2AC104" w14:textId="77777777" w:rsidTr="00861523">
        <w:trPr>
          <w:trHeight w:val="234"/>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013FBD3E" w14:textId="77777777" w:rsidR="005E0A6C" w:rsidRPr="00881795" w:rsidRDefault="005E0A6C" w:rsidP="00395313">
            <w:pPr>
              <w:spacing w:after="0" w:line="240" w:lineRule="auto"/>
              <w:jc w:val="both"/>
              <w:rPr>
                <w:rFonts w:eastAsia="Times New Roman" w:cs="Times New Roman"/>
                <w:color w:val="222222"/>
                <w:szCs w:val="20"/>
              </w:rPr>
            </w:pPr>
            <w:r w:rsidRPr="00881795">
              <w:rPr>
                <w:rFonts w:eastAsia="Times New Roman" w:cs="Times New Roman"/>
                <w:color w:val="222222"/>
                <w:szCs w:val="20"/>
                <w:lang w:val="en-ZA"/>
              </w:rPr>
              <w:t>uMhlathuze</w:t>
            </w:r>
          </w:p>
        </w:tc>
        <w:tc>
          <w:tcPr>
            <w:tcW w:w="5076" w:type="dxa"/>
            <w:tcBorders>
              <w:top w:val="nil"/>
              <w:left w:val="nil"/>
              <w:bottom w:val="single" w:sz="4" w:space="0" w:color="auto"/>
              <w:right w:val="single" w:sz="4" w:space="0" w:color="auto"/>
            </w:tcBorders>
            <w:shd w:val="clear" w:color="auto" w:fill="auto"/>
            <w:vAlign w:val="center"/>
            <w:hideMark/>
          </w:tcPr>
          <w:p w14:paraId="054B91F3" w14:textId="77777777" w:rsidR="005E0A6C" w:rsidRPr="00881795" w:rsidRDefault="005E0A6C" w:rsidP="00395313">
            <w:pPr>
              <w:spacing w:after="0" w:line="240" w:lineRule="auto"/>
              <w:jc w:val="both"/>
              <w:rPr>
                <w:rFonts w:eastAsia="Times New Roman" w:cs="Times New Roman"/>
                <w:color w:val="000000"/>
                <w:szCs w:val="20"/>
              </w:rPr>
            </w:pPr>
            <w:r w:rsidRPr="00881795">
              <w:rPr>
                <w:rFonts w:eastAsia="Times New Roman" w:cs="Times New Roman"/>
                <w:color w:val="000000"/>
                <w:szCs w:val="20"/>
                <w:lang w:val="en-ZA"/>
              </w:rPr>
              <w:t>121,177</w:t>
            </w:r>
          </w:p>
        </w:tc>
      </w:tr>
      <w:tr w:rsidR="005E0A6C" w:rsidRPr="00881795" w14:paraId="15113C92" w14:textId="77777777" w:rsidTr="00861523">
        <w:trPr>
          <w:trHeight w:val="234"/>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663B7C18" w14:textId="77777777" w:rsidR="005E0A6C" w:rsidRPr="00881795" w:rsidRDefault="00703CE6" w:rsidP="00395313">
            <w:pPr>
              <w:spacing w:after="0" w:line="240" w:lineRule="auto"/>
              <w:jc w:val="both"/>
              <w:rPr>
                <w:rFonts w:eastAsia="Times New Roman" w:cs="Times New Roman"/>
                <w:color w:val="222222"/>
                <w:szCs w:val="20"/>
              </w:rPr>
            </w:pPr>
            <w:r w:rsidRPr="00881795">
              <w:rPr>
                <w:rFonts w:eastAsia="Times New Roman" w:cs="Times New Roman"/>
                <w:color w:val="222222"/>
                <w:szCs w:val="20"/>
                <w:lang w:val="en-ZA"/>
              </w:rPr>
              <w:t>Nkandla</w:t>
            </w:r>
          </w:p>
        </w:tc>
        <w:tc>
          <w:tcPr>
            <w:tcW w:w="5076" w:type="dxa"/>
            <w:tcBorders>
              <w:top w:val="nil"/>
              <w:left w:val="nil"/>
              <w:bottom w:val="single" w:sz="4" w:space="0" w:color="auto"/>
              <w:right w:val="single" w:sz="4" w:space="0" w:color="auto"/>
            </w:tcBorders>
            <w:shd w:val="clear" w:color="auto" w:fill="auto"/>
            <w:vAlign w:val="center"/>
            <w:hideMark/>
          </w:tcPr>
          <w:p w14:paraId="131483CE" w14:textId="77777777" w:rsidR="005E0A6C" w:rsidRPr="00881795" w:rsidRDefault="005E0A6C" w:rsidP="00395313">
            <w:pPr>
              <w:spacing w:after="0" w:line="240" w:lineRule="auto"/>
              <w:jc w:val="both"/>
              <w:rPr>
                <w:rFonts w:eastAsia="Times New Roman" w:cs="Times New Roman"/>
                <w:color w:val="222222"/>
                <w:szCs w:val="20"/>
              </w:rPr>
            </w:pPr>
            <w:r w:rsidRPr="00881795">
              <w:rPr>
                <w:rFonts w:eastAsia="Times New Roman" w:cs="Times New Roman"/>
                <w:color w:val="222222"/>
                <w:szCs w:val="20"/>
                <w:lang w:val="en-ZA"/>
              </w:rPr>
              <w:t>39,679</w:t>
            </w:r>
          </w:p>
        </w:tc>
      </w:tr>
      <w:tr w:rsidR="005E0A6C" w:rsidRPr="00881795" w14:paraId="44560E46" w14:textId="77777777" w:rsidTr="00861523">
        <w:trPr>
          <w:trHeight w:val="234"/>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514D727F" w14:textId="77777777" w:rsidR="005E0A6C" w:rsidRPr="00881795" w:rsidRDefault="005E0A6C" w:rsidP="00395313">
            <w:pPr>
              <w:spacing w:after="0" w:line="240" w:lineRule="auto"/>
              <w:jc w:val="both"/>
              <w:rPr>
                <w:rFonts w:eastAsia="Times New Roman" w:cs="Times New Roman"/>
                <w:color w:val="222222"/>
                <w:szCs w:val="20"/>
              </w:rPr>
            </w:pPr>
            <w:r w:rsidRPr="00881795">
              <w:rPr>
                <w:rFonts w:eastAsia="Times New Roman" w:cs="Times New Roman"/>
                <w:color w:val="222222"/>
                <w:szCs w:val="20"/>
                <w:lang w:val="en-ZA"/>
              </w:rPr>
              <w:t>uMlalazi</w:t>
            </w:r>
          </w:p>
        </w:tc>
        <w:tc>
          <w:tcPr>
            <w:tcW w:w="5076" w:type="dxa"/>
            <w:tcBorders>
              <w:top w:val="nil"/>
              <w:left w:val="nil"/>
              <w:bottom w:val="single" w:sz="4" w:space="0" w:color="auto"/>
              <w:right w:val="single" w:sz="4" w:space="0" w:color="auto"/>
            </w:tcBorders>
            <w:shd w:val="clear" w:color="auto" w:fill="auto"/>
            <w:vAlign w:val="center"/>
            <w:hideMark/>
          </w:tcPr>
          <w:p w14:paraId="232E5A97" w14:textId="77777777" w:rsidR="005E0A6C" w:rsidRPr="00881795" w:rsidRDefault="005E0A6C" w:rsidP="00395313">
            <w:pPr>
              <w:spacing w:after="0" w:line="240" w:lineRule="auto"/>
              <w:jc w:val="both"/>
              <w:rPr>
                <w:rFonts w:eastAsia="Times New Roman" w:cs="Times New Roman"/>
                <w:color w:val="222222"/>
                <w:szCs w:val="20"/>
              </w:rPr>
            </w:pPr>
            <w:r w:rsidRPr="00881795">
              <w:rPr>
                <w:rFonts w:eastAsia="Times New Roman" w:cs="Times New Roman"/>
                <w:color w:val="222222"/>
                <w:szCs w:val="20"/>
                <w:lang w:val="en-ZA"/>
              </w:rPr>
              <w:t>49,096</w:t>
            </w:r>
          </w:p>
        </w:tc>
      </w:tr>
      <w:tr w:rsidR="005E0A6C" w:rsidRPr="00881795" w14:paraId="7275F8C0" w14:textId="77777777" w:rsidTr="00861523">
        <w:trPr>
          <w:trHeight w:val="234"/>
        </w:trPr>
        <w:tc>
          <w:tcPr>
            <w:tcW w:w="3058" w:type="dxa"/>
            <w:tcBorders>
              <w:top w:val="nil"/>
              <w:left w:val="single" w:sz="4" w:space="0" w:color="auto"/>
              <w:bottom w:val="single" w:sz="4" w:space="0" w:color="auto"/>
              <w:right w:val="single" w:sz="4" w:space="0" w:color="auto"/>
            </w:tcBorders>
            <w:shd w:val="clear" w:color="auto" w:fill="auto"/>
            <w:vAlign w:val="center"/>
            <w:hideMark/>
          </w:tcPr>
          <w:p w14:paraId="346E6ED8" w14:textId="77777777" w:rsidR="005E0A6C" w:rsidRPr="00881795" w:rsidRDefault="005E0A6C" w:rsidP="00395313">
            <w:pPr>
              <w:spacing w:after="0" w:line="240" w:lineRule="auto"/>
              <w:jc w:val="both"/>
              <w:rPr>
                <w:rFonts w:eastAsia="Times New Roman" w:cs="Times New Roman"/>
                <w:color w:val="222222"/>
                <w:szCs w:val="20"/>
              </w:rPr>
            </w:pPr>
            <w:r w:rsidRPr="00881795">
              <w:rPr>
                <w:rFonts w:eastAsia="Times New Roman" w:cs="Times New Roman"/>
                <w:color w:val="222222"/>
                <w:szCs w:val="20"/>
                <w:lang w:val="en-ZA"/>
              </w:rPr>
              <w:t>Mthonjaneni</w:t>
            </w:r>
          </w:p>
        </w:tc>
        <w:tc>
          <w:tcPr>
            <w:tcW w:w="5076" w:type="dxa"/>
            <w:tcBorders>
              <w:top w:val="nil"/>
              <w:left w:val="nil"/>
              <w:bottom w:val="single" w:sz="4" w:space="0" w:color="auto"/>
              <w:right w:val="single" w:sz="4" w:space="0" w:color="auto"/>
            </w:tcBorders>
            <w:shd w:val="clear" w:color="auto" w:fill="auto"/>
            <w:vAlign w:val="center"/>
            <w:hideMark/>
          </w:tcPr>
          <w:p w14:paraId="0B9F1F07" w14:textId="77777777" w:rsidR="005E0A6C" w:rsidRPr="00881795" w:rsidRDefault="005E0A6C" w:rsidP="00395313">
            <w:pPr>
              <w:spacing w:after="0" w:line="240" w:lineRule="auto"/>
              <w:jc w:val="both"/>
              <w:rPr>
                <w:rFonts w:eastAsia="Times New Roman" w:cs="Times New Roman"/>
                <w:color w:val="222222"/>
                <w:szCs w:val="20"/>
              </w:rPr>
            </w:pPr>
            <w:r w:rsidRPr="00881795">
              <w:rPr>
                <w:rFonts w:eastAsia="Times New Roman" w:cs="Times New Roman"/>
                <w:color w:val="222222"/>
                <w:szCs w:val="20"/>
                <w:lang w:val="en-ZA"/>
              </w:rPr>
              <w:t>44,783</w:t>
            </w:r>
          </w:p>
        </w:tc>
      </w:tr>
    </w:tbl>
    <w:p w14:paraId="32D4DA35" w14:textId="77777777" w:rsidR="004171F6" w:rsidRDefault="004171F6" w:rsidP="00395313">
      <w:pPr>
        <w:jc w:val="both"/>
        <w:rPr>
          <w:i/>
          <w:szCs w:val="20"/>
        </w:rPr>
      </w:pPr>
    </w:p>
    <w:p w14:paraId="2AC3F1DB" w14:textId="77777777" w:rsidR="000E3324" w:rsidRPr="00F3229F" w:rsidRDefault="005E0A6C" w:rsidP="00F3229F">
      <w:pPr>
        <w:pStyle w:val="Caption"/>
      </w:pPr>
      <w:bookmarkStart w:id="393" w:name="_Toc389739952"/>
      <w:bookmarkStart w:id="394" w:name="_Toc510622379"/>
      <w:r w:rsidRPr="00881795">
        <w:t xml:space="preserve">Figure </w:t>
      </w:r>
      <w:r w:rsidR="00B918A6">
        <w:fldChar w:fldCharType="begin"/>
      </w:r>
      <w:r w:rsidR="00B918A6">
        <w:instrText xml:space="preserve"> SEQ Figure \* ARABIC </w:instrText>
      </w:r>
      <w:r w:rsidR="00B918A6">
        <w:fldChar w:fldCharType="separate"/>
      </w:r>
      <w:r w:rsidR="0067023A">
        <w:rPr>
          <w:noProof/>
        </w:rPr>
        <w:t>18</w:t>
      </w:r>
      <w:r w:rsidR="00B918A6">
        <w:rPr>
          <w:noProof/>
        </w:rPr>
        <w:fldChar w:fldCharType="end"/>
      </w:r>
      <w:r w:rsidRPr="00881795">
        <w:t>:  Average Annual Household Income</w:t>
      </w:r>
      <w:bookmarkEnd w:id="393"/>
      <w:r w:rsidR="00F3229F">
        <w:t>.</w:t>
      </w:r>
      <w:r w:rsidR="00F3229F" w:rsidRPr="00881795">
        <w:rPr>
          <w:noProof/>
          <w:lang w:val="en-ZA" w:eastAsia="en-ZA"/>
        </w:rPr>
        <w:t xml:space="preserve"> </w:t>
      </w:r>
      <w:r w:rsidR="00813D20" w:rsidRPr="00881795">
        <w:rPr>
          <w:noProof/>
        </w:rPr>
        <w:drawing>
          <wp:anchor distT="0" distB="0" distL="114300" distR="114300" simplePos="0" relativeHeight="251591168" behindDoc="0" locked="0" layoutInCell="1" allowOverlap="1" wp14:anchorId="201D3547" wp14:editId="1B91A89B">
            <wp:simplePos x="0" y="0"/>
            <wp:positionH relativeFrom="margin">
              <wp:align>left</wp:align>
            </wp:positionH>
            <wp:positionV relativeFrom="paragraph">
              <wp:posOffset>318135</wp:posOffset>
            </wp:positionV>
            <wp:extent cx="6524625" cy="2656840"/>
            <wp:effectExtent l="0" t="0" r="0" b="0"/>
            <wp:wrapNone/>
            <wp:docPr id="6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14:sizeRelH relativeFrom="margin">
              <wp14:pctWidth>0</wp14:pctWidth>
            </wp14:sizeRelH>
            <wp14:sizeRelV relativeFrom="margin">
              <wp14:pctHeight>0</wp14:pctHeight>
            </wp14:sizeRelV>
          </wp:anchor>
        </w:drawing>
      </w:r>
      <w:bookmarkStart w:id="395" w:name="_Toc350093608"/>
      <w:bookmarkEnd w:id="394"/>
    </w:p>
    <w:p w14:paraId="3A2226CA" w14:textId="77777777" w:rsidR="000E3324" w:rsidRDefault="000E3324" w:rsidP="00F21D2F">
      <w:pPr>
        <w:spacing w:line="288" w:lineRule="auto"/>
        <w:jc w:val="both"/>
        <w:rPr>
          <w:b/>
        </w:rPr>
      </w:pPr>
    </w:p>
    <w:p w14:paraId="4B36F11E" w14:textId="77777777" w:rsidR="000E3324" w:rsidRDefault="000E3324" w:rsidP="00F21D2F">
      <w:pPr>
        <w:spacing w:line="288" w:lineRule="auto"/>
        <w:jc w:val="both"/>
        <w:rPr>
          <w:b/>
        </w:rPr>
      </w:pPr>
    </w:p>
    <w:p w14:paraId="15CCEEA8" w14:textId="77777777" w:rsidR="000E3324" w:rsidRDefault="000E3324" w:rsidP="00F21D2F">
      <w:pPr>
        <w:spacing w:line="288" w:lineRule="auto"/>
        <w:jc w:val="both"/>
        <w:rPr>
          <w:b/>
        </w:rPr>
      </w:pPr>
    </w:p>
    <w:p w14:paraId="71EC65F1" w14:textId="77777777" w:rsidR="000E3324" w:rsidRDefault="000E3324" w:rsidP="00F21D2F">
      <w:pPr>
        <w:spacing w:line="288" w:lineRule="auto"/>
        <w:jc w:val="both"/>
        <w:rPr>
          <w:b/>
        </w:rPr>
      </w:pPr>
    </w:p>
    <w:p w14:paraId="150FB043" w14:textId="77777777" w:rsidR="000E3324" w:rsidRDefault="000E3324" w:rsidP="00F21D2F">
      <w:pPr>
        <w:spacing w:line="288" w:lineRule="auto"/>
        <w:jc w:val="both"/>
        <w:rPr>
          <w:b/>
        </w:rPr>
      </w:pPr>
    </w:p>
    <w:p w14:paraId="15E9A86C" w14:textId="77777777" w:rsidR="00813D20" w:rsidRDefault="00813D20" w:rsidP="00F21D2F">
      <w:pPr>
        <w:spacing w:line="288" w:lineRule="auto"/>
        <w:jc w:val="both"/>
        <w:rPr>
          <w:b/>
        </w:rPr>
      </w:pPr>
    </w:p>
    <w:p w14:paraId="3FEF05E9" w14:textId="77777777" w:rsidR="00813D20" w:rsidRDefault="00813D20" w:rsidP="00F21D2F">
      <w:pPr>
        <w:spacing w:line="288" w:lineRule="auto"/>
        <w:jc w:val="both"/>
        <w:rPr>
          <w:b/>
        </w:rPr>
      </w:pPr>
    </w:p>
    <w:p w14:paraId="4FC28AD8" w14:textId="77777777" w:rsidR="00813D20" w:rsidRPr="00813D20" w:rsidRDefault="00556FCC" w:rsidP="00556FCC">
      <w:pPr>
        <w:pStyle w:val="Caption"/>
      </w:pPr>
      <w:bookmarkStart w:id="396" w:name="_Toc510622380"/>
      <w:r>
        <w:t xml:space="preserve">Figure </w:t>
      </w:r>
      <w:r w:rsidR="00B918A6">
        <w:fldChar w:fldCharType="begin"/>
      </w:r>
      <w:r w:rsidR="00B918A6">
        <w:instrText xml:space="preserve"> SEQ Figure \* ARABIC </w:instrText>
      </w:r>
      <w:r w:rsidR="00B918A6">
        <w:fldChar w:fldCharType="separate"/>
      </w:r>
      <w:r w:rsidR="0067023A">
        <w:rPr>
          <w:noProof/>
        </w:rPr>
        <w:t>19</w:t>
      </w:r>
      <w:r w:rsidR="00B918A6">
        <w:rPr>
          <w:noProof/>
        </w:rPr>
        <w:fldChar w:fldCharType="end"/>
      </w:r>
      <w:r>
        <w:t xml:space="preserve">: </w:t>
      </w:r>
      <w:r w:rsidR="00813D20" w:rsidRPr="00813D20">
        <w:t>Annual Household Income (CS 2016)</w:t>
      </w:r>
      <w:bookmarkEnd w:id="396"/>
    </w:p>
    <w:p w14:paraId="75555A14" w14:textId="7837D1F4" w:rsidR="005E0A6C" w:rsidRPr="00943FC5" w:rsidRDefault="005E0A6C" w:rsidP="00750180">
      <w:pPr>
        <w:pStyle w:val="Heading4"/>
        <w:numPr>
          <w:ilvl w:val="4"/>
          <w:numId w:val="29"/>
        </w:numPr>
        <w:spacing w:after="240"/>
        <w:jc w:val="both"/>
        <w:rPr>
          <w:b w:val="0"/>
        </w:rPr>
      </w:pPr>
      <w:r w:rsidRPr="000E3324">
        <w:rPr>
          <w:rFonts w:ascii="Calibri" w:hAnsi="Calibri"/>
          <w:i/>
        </w:rPr>
        <w:t xml:space="preserve">Household Income </w:t>
      </w:r>
      <w:bookmarkEnd w:id="395"/>
    </w:p>
    <w:p w14:paraId="666DBAC2" w14:textId="77777777" w:rsidR="00B91CF7" w:rsidRDefault="00B91CF7" w:rsidP="00B91CF7">
      <w:pPr>
        <w:spacing w:line="288" w:lineRule="auto"/>
      </w:pPr>
      <w:r>
        <w:t>Indigent households are those households earning less than R1</w:t>
      </w:r>
      <w:r w:rsidR="00703CE6">
        <w:t>, 600</w:t>
      </w:r>
      <w:r>
        <w:t xml:space="preserve"> per month.  In terms of this criterion alone, some 45% of the Households who resided in the uMlalazi Municipal Area were indigent.</w:t>
      </w:r>
    </w:p>
    <w:p w14:paraId="1AA28A4F" w14:textId="77777777" w:rsidR="000E3324" w:rsidRDefault="00B91CF7" w:rsidP="000E3324">
      <w:pPr>
        <w:spacing w:line="288" w:lineRule="auto"/>
        <w:jc w:val="both"/>
      </w:pPr>
      <w:r>
        <w:t>In terms of this definition, some 46.4% of household</w:t>
      </w:r>
      <w:r w:rsidR="000E3324">
        <w:t xml:space="preserve">s (or 18,280 households), </w:t>
      </w:r>
      <w:r>
        <w:t>fell in this category.</w:t>
      </w:r>
      <w:r w:rsidRPr="00B91CF7">
        <w:t xml:space="preserve"> It is noted that the majority of households that earned less than R1</w:t>
      </w:r>
      <w:r w:rsidR="00703CE6" w:rsidRPr="00B91CF7">
        <w:t>, 633</w:t>
      </w:r>
      <w:r w:rsidRPr="00B91CF7">
        <w:t xml:space="preserve"> per month in 2011, resided in the western quarter of the Municipal Area, as well as the northern portion and the eastern part of the Municipal Area.  </w:t>
      </w:r>
    </w:p>
    <w:p w14:paraId="68A0A667" w14:textId="77777777" w:rsidR="003C3ACD" w:rsidRPr="00813D20" w:rsidRDefault="003C3ACD" w:rsidP="00750180">
      <w:pPr>
        <w:pStyle w:val="Heading4"/>
        <w:numPr>
          <w:ilvl w:val="3"/>
          <w:numId w:val="29"/>
        </w:numPr>
        <w:spacing w:after="240"/>
      </w:pPr>
      <w:bookmarkStart w:id="397" w:name="_Toc389739959"/>
      <w:r w:rsidRPr="00813D20">
        <w:t xml:space="preserve">Operation Phakisa </w:t>
      </w:r>
    </w:p>
    <w:p w14:paraId="761CB5FA" w14:textId="77777777" w:rsidR="00BE0A18" w:rsidRDefault="00BE0A18" w:rsidP="00BE0A18">
      <w:pPr>
        <w:jc w:val="both"/>
      </w:pPr>
      <w:r w:rsidRPr="00BE0A18">
        <w:t>Operation Phakisa is a fast re</w:t>
      </w:r>
      <w:r w:rsidR="00A17436">
        <w:t>sults delivery programme that was</w:t>
      </w:r>
      <w:r w:rsidRPr="00BE0A18">
        <w:t xml:space="preserve"> </w:t>
      </w:r>
      <w:r>
        <w:t>launched in July 2014 to help government</w:t>
      </w:r>
      <w:r w:rsidRPr="00BE0A18">
        <w:t xml:space="preserve"> implement the National Development Plan, with the ultimate goal of boosting economic growth and create jobs.Operation Phakisa is a cross-sector programme where various stakeholders engage to implement initiatives and concrete actions to address constraints to delivery in a prioritised focused area for public accountability and transparency.</w:t>
      </w:r>
    </w:p>
    <w:p w14:paraId="467E1BA0" w14:textId="77777777" w:rsidR="002A1861" w:rsidRDefault="002A1861" w:rsidP="002A1861">
      <w:pPr>
        <w:jc w:val="both"/>
      </w:pPr>
      <w:r>
        <w:t>Operation Phakisa is a results-driven approach, involving setting clear plans and targets, on-going monitoring of progress and making these results public.</w:t>
      </w:r>
      <w:r w:rsidR="00CF1455">
        <w:t xml:space="preserve"> </w:t>
      </w:r>
      <w:r>
        <w:t>The methodology consists of eight sequential steps. It focusses on bringing key stakeholders from the public and private sectors, academia as well as civil society organisat</w:t>
      </w:r>
      <w:r w:rsidR="00CF1455">
        <w:t>ions together to collaborate in the following;</w:t>
      </w:r>
    </w:p>
    <w:p w14:paraId="6EF6A0DD" w14:textId="77777777" w:rsidR="002A1861" w:rsidRDefault="00CF1455" w:rsidP="00750180">
      <w:pPr>
        <w:pStyle w:val="ListParagraph"/>
        <w:numPr>
          <w:ilvl w:val="0"/>
          <w:numId w:val="83"/>
        </w:numPr>
        <w:spacing w:after="0"/>
        <w:jc w:val="both"/>
      </w:pPr>
      <w:r>
        <w:t>Detailed Problem Analysis;</w:t>
      </w:r>
    </w:p>
    <w:p w14:paraId="06863307" w14:textId="77777777" w:rsidR="002A1861" w:rsidRDefault="00CF1455" w:rsidP="00750180">
      <w:pPr>
        <w:pStyle w:val="ListParagraph"/>
        <w:numPr>
          <w:ilvl w:val="0"/>
          <w:numId w:val="83"/>
        </w:numPr>
        <w:spacing w:after="0"/>
        <w:jc w:val="both"/>
      </w:pPr>
      <w:r>
        <w:t>Priority Setting;</w:t>
      </w:r>
    </w:p>
    <w:p w14:paraId="65604704" w14:textId="77777777" w:rsidR="002A1861" w:rsidRDefault="00CF1455" w:rsidP="00750180">
      <w:pPr>
        <w:pStyle w:val="ListParagraph"/>
        <w:numPr>
          <w:ilvl w:val="0"/>
          <w:numId w:val="83"/>
        </w:numPr>
        <w:spacing w:after="0"/>
        <w:jc w:val="both"/>
      </w:pPr>
      <w:r>
        <w:t>Intervention Planning; And</w:t>
      </w:r>
    </w:p>
    <w:p w14:paraId="39915C7D" w14:textId="77777777" w:rsidR="002A1861" w:rsidRDefault="00CF1455" w:rsidP="00750180">
      <w:pPr>
        <w:pStyle w:val="ListParagraph"/>
        <w:numPr>
          <w:ilvl w:val="0"/>
          <w:numId w:val="83"/>
        </w:numPr>
        <w:jc w:val="both"/>
      </w:pPr>
      <w:r>
        <w:t>Delivery</w:t>
      </w:r>
    </w:p>
    <w:p w14:paraId="189600CD" w14:textId="77777777" w:rsidR="00CF1455" w:rsidRDefault="002A1861" w:rsidP="00CF1455">
      <w:pPr>
        <w:jc w:val="both"/>
      </w:pPr>
      <w:r>
        <w:t>These collaboration sessions are called laboratories (labs). The results o</w:t>
      </w:r>
      <w:r w:rsidR="00CF1455">
        <w:t>f the labs are detailed</w:t>
      </w:r>
      <w:r>
        <w:t xml:space="preserve"> plans with ambitious targets as well as public commitment on the implementation of the plans by all stakeholders.</w:t>
      </w:r>
      <w:r w:rsidR="00CF1455">
        <w:t xml:space="preserve"> </w:t>
      </w:r>
      <w:r>
        <w:t>The implementation of the plans are rigorously monitored and reported on. Implementation challenges are actively managed for effective and efficient resolution.</w:t>
      </w:r>
    </w:p>
    <w:p w14:paraId="4DA986B3" w14:textId="77777777" w:rsidR="00F74F71" w:rsidRDefault="00F74F71" w:rsidP="00CF1455">
      <w:pPr>
        <w:jc w:val="both"/>
      </w:pPr>
      <w:r>
        <w:t xml:space="preserve">The municipality has </w:t>
      </w:r>
      <w:r w:rsidR="00BE0A18">
        <w:t>been part of the Operation Pakisa Oceans Ec</w:t>
      </w:r>
      <w:r w:rsidR="00CF1455">
        <w:t>onomy Initiative from inception and has identified the following key coastal projects to be implemented within the coastal areas should they eminate</w:t>
      </w:r>
      <w:r w:rsidR="000E3324">
        <w:t xml:space="preserve"> as viable from the labs;</w:t>
      </w:r>
    </w:p>
    <w:p w14:paraId="7BA14CC7" w14:textId="77777777" w:rsidR="000E3324" w:rsidRDefault="000E3324" w:rsidP="00750180">
      <w:pPr>
        <w:pStyle w:val="ListParagraph"/>
        <w:numPr>
          <w:ilvl w:val="0"/>
          <w:numId w:val="84"/>
        </w:numPr>
        <w:jc w:val="both"/>
      </w:pPr>
      <w:r>
        <w:t>Aquacultural Development (Fish Farming)</w:t>
      </w:r>
    </w:p>
    <w:p w14:paraId="760B60A1" w14:textId="77777777" w:rsidR="000E3324" w:rsidRDefault="000E3324" w:rsidP="00750180">
      <w:pPr>
        <w:pStyle w:val="ListParagraph"/>
        <w:numPr>
          <w:ilvl w:val="0"/>
          <w:numId w:val="84"/>
        </w:numPr>
        <w:jc w:val="both"/>
      </w:pPr>
      <w:r>
        <w:t>Beach Tourism Development (Incl Road Infrustructure)</w:t>
      </w:r>
    </w:p>
    <w:p w14:paraId="2D8707E3" w14:textId="77777777" w:rsidR="000E3324" w:rsidRDefault="000E3324" w:rsidP="00750180">
      <w:pPr>
        <w:pStyle w:val="ListParagraph"/>
        <w:numPr>
          <w:ilvl w:val="0"/>
          <w:numId w:val="84"/>
        </w:numPr>
        <w:jc w:val="both"/>
      </w:pPr>
      <w:r>
        <w:t>Accomodation/Hotels/High Income Coastal Estates</w:t>
      </w:r>
    </w:p>
    <w:p w14:paraId="30464BA2" w14:textId="77777777" w:rsidR="000E3324" w:rsidRDefault="000E3324" w:rsidP="00750180">
      <w:pPr>
        <w:pStyle w:val="ListParagraph"/>
        <w:numPr>
          <w:ilvl w:val="0"/>
          <w:numId w:val="84"/>
        </w:numPr>
        <w:jc w:val="both"/>
      </w:pPr>
      <w:r>
        <w:t>Desalination Plant</w:t>
      </w:r>
    </w:p>
    <w:p w14:paraId="13D05A39" w14:textId="77777777" w:rsidR="000E3324" w:rsidRPr="00F74F71" w:rsidRDefault="000E3324" w:rsidP="00750180">
      <w:pPr>
        <w:pStyle w:val="ListParagraph"/>
        <w:numPr>
          <w:ilvl w:val="0"/>
          <w:numId w:val="84"/>
        </w:numPr>
        <w:jc w:val="both"/>
      </w:pPr>
      <w:r>
        <w:t>Small Harbors/Logistic Hub.</w:t>
      </w:r>
    </w:p>
    <w:p w14:paraId="3B22046A" w14:textId="411F319B" w:rsidR="003C3ACD" w:rsidRPr="00813D20" w:rsidRDefault="005D44B7" w:rsidP="00750180">
      <w:pPr>
        <w:pStyle w:val="Heading4"/>
        <w:numPr>
          <w:ilvl w:val="3"/>
          <w:numId w:val="29"/>
        </w:numPr>
        <w:spacing w:after="240"/>
      </w:pPr>
      <w:r>
        <w:t>Radical</w:t>
      </w:r>
      <w:r w:rsidR="003C3ACD" w:rsidRPr="00813D20">
        <w:t xml:space="preserve"> Economic Transformation </w:t>
      </w:r>
    </w:p>
    <w:p w14:paraId="231029D5" w14:textId="77777777" w:rsidR="00DD35D9" w:rsidRDefault="00DD35D9" w:rsidP="00DD35D9">
      <w:pPr>
        <w:jc w:val="both"/>
      </w:pPr>
      <w:r>
        <w:t>The municipality has adhered to the call by the National Government to be part of Rapid Economic Transformation. The aim of moving towards RET is to facilitate the capacitation of the existing market, through the provision of growth and development opportunitites of local SMMEs</w:t>
      </w:r>
      <w:r w:rsidR="00F74F71">
        <w:t>. The municipality is positioning itself to be seen to be empowering local SMMEs through the following efforts;</w:t>
      </w:r>
    </w:p>
    <w:p w14:paraId="3E218341" w14:textId="77777777" w:rsidR="00F74F71" w:rsidRDefault="00F74F71" w:rsidP="00750180">
      <w:pPr>
        <w:pStyle w:val="ListParagraph"/>
        <w:numPr>
          <w:ilvl w:val="0"/>
          <w:numId w:val="82"/>
        </w:numPr>
        <w:jc w:val="both"/>
      </w:pPr>
      <w:r>
        <w:t>Amending the SCM policy to ensure that skills transfer through Capital projects</w:t>
      </w:r>
    </w:p>
    <w:p w14:paraId="26B53B44" w14:textId="77777777" w:rsidR="00F74F71" w:rsidRDefault="00F74F71" w:rsidP="00750180">
      <w:pPr>
        <w:pStyle w:val="ListParagraph"/>
        <w:numPr>
          <w:ilvl w:val="0"/>
          <w:numId w:val="82"/>
        </w:numPr>
        <w:jc w:val="both"/>
      </w:pPr>
      <w:r>
        <w:t>Developing a continuation plan for EPWP, to see the benfeciaries being empowered beyond the EPWP tenure.</w:t>
      </w:r>
    </w:p>
    <w:p w14:paraId="11AF73B3" w14:textId="77777777" w:rsidR="00F74F71" w:rsidRDefault="00F74F71" w:rsidP="00750180">
      <w:pPr>
        <w:pStyle w:val="ListParagraph"/>
        <w:numPr>
          <w:ilvl w:val="0"/>
          <w:numId w:val="82"/>
        </w:numPr>
        <w:jc w:val="both"/>
      </w:pPr>
      <w:r>
        <w:t>Linking the Agriculture Support Plan (under development) with the Fresh Produce Market</w:t>
      </w:r>
    </w:p>
    <w:p w14:paraId="12F66542" w14:textId="77777777" w:rsidR="00F74F71" w:rsidRDefault="00F74F71" w:rsidP="00750180">
      <w:pPr>
        <w:pStyle w:val="ListParagraph"/>
        <w:numPr>
          <w:ilvl w:val="0"/>
          <w:numId w:val="82"/>
        </w:numPr>
        <w:jc w:val="both"/>
      </w:pPr>
      <w:r>
        <w:t>Facilitation of the development of Agrihubs within the municipality to assist Agri-SMMEs</w:t>
      </w:r>
    </w:p>
    <w:p w14:paraId="1197568B" w14:textId="77777777" w:rsidR="00F74F71" w:rsidRDefault="00F74F71" w:rsidP="00750180">
      <w:pPr>
        <w:pStyle w:val="ListParagraph"/>
        <w:numPr>
          <w:ilvl w:val="0"/>
          <w:numId w:val="82"/>
        </w:numPr>
        <w:jc w:val="both"/>
      </w:pPr>
      <w:r>
        <w:t>The Development of Tourism Development Plan and the establishment of local tour operators within ruaral tourism destinations.</w:t>
      </w:r>
    </w:p>
    <w:p w14:paraId="75DFC37F" w14:textId="77777777" w:rsidR="00F74F71" w:rsidRDefault="00F74F71" w:rsidP="00750180">
      <w:pPr>
        <w:pStyle w:val="ListParagraph"/>
        <w:numPr>
          <w:ilvl w:val="0"/>
          <w:numId w:val="82"/>
        </w:numPr>
        <w:jc w:val="both"/>
      </w:pPr>
      <w:r>
        <w:t>The revitalization of the KwaBulawayo Cultural Village/Museum.</w:t>
      </w:r>
    </w:p>
    <w:p w14:paraId="245BD766" w14:textId="77777777" w:rsidR="00F74F71" w:rsidRDefault="00F74F71" w:rsidP="00750180">
      <w:pPr>
        <w:pStyle w:val="ListParagraph"/>
        <w:numPr>
          <w:ilvl w:val="0"/>
          <w:numId w:val="82"/>
        </w:numPr>
        <w:jc w:val="both"/>
      </w:pPr>
      <w:r>
        <w:t>The Development of Precinct Plans for the expansion and commercial densification of rural nodes.</w:t>
      </w:r>
    </w:p>
    <w:p w14:paraId="72632C0F" w14:textId="77777777" w:rsidR="00F74F71" w:rsidRPr="00DD35D9" w:rsidRDefault="00F74F71" w:rsidP="00750180">
      <w:pPr>
        <w:pStyle w:val="ListParagraph"/>
        <w:numPr>
          <w:ilvl w:val="0"/>
          <w:numId w:val="82"/>
        </w:numPr>
        <w:jc w:val="both"/>
      </w:pPr>
      <w:r>
        <w:t xml:space="preserve">The proposed establishment of the P230 as a Tourism Route/ Commercial Corridor. </w:t>
      </w:r>
    </w:p>
    <w:p w14:paraId="619E2AA4" w14:textId="35B2730D" w:rsidR="00181762" w:rsidRPr="00813D20" w:rsidRDefault="00181762" w:rsidP="00750180">
      <w:pPr>
        <w:pStyle w:val="Heading4"/>
        <w:numPr>
          <w:ilvl w:val="3"/>
          <w:numId w:val="29"/>
        </w:numPr>
        <w:spacing w:after="240"/>
      </w:pPr>
      <w:r w:rsidRPr="002403C6">
        <w:rPr>
          <w:highlight w:val="red"/>
        </w:rPr>
        <w:t>LED Strategy and Its I</w:t>
      </w:r>
      <w:r w:rsidR="00EF65DD" w:rsidRPr="002403C6">
        <w:rPr>
          <w:highlight w:val="red"/>
        </w:rPr>
        <w:t>mplementation</w:t>
      </w:r>
      <w:r w:rsidR="00EF65DD">
        <w:t xml:space="preserve"> </w:t>
      </w:r>
      <w:r w:rsidR="00EF65DD" w:rsidRPr="00EF65DD">
        <w:rPr>
          <w:highlight w:val="red"/>
        </w:rPr>
        <w:t>(UNDER REVIEW</w:t>
      </w:r>
      <w:r w:rsidRPr="00EF65DD">
        <w:rPr>
          <w:highlight w:val="red"/>
        </w:rPr>
        <w:t>)</w:t>
      </w:r>
    </w:p>
    <w:p w14:paraId="3685D669" w14:textId="77777777" w:rsidR="002403C6" w:rsidRDefault="002403C6" w:rsidP="002403C6">
      <w:pPr>
        <w:jc w:val="both"/>
      </w:pPr>
      <w:r>
        <w:t>UMlalazi Municipality has an existing LED Strategy that was developed in 2013 by Urban Econ (Consultants). In order to review the existing LED Strategy, the municipality has appointed Insingo Projects (Outsourced) to commence with the development of a new LED Strategy from 2018 till 2023. The inception report has been tabled to the Management Committee and is currently working on the status quo report which will be tabled to the PSC on the 10th of April 2018. In terms of the TOR, the LED Strategy will be finalised and adopted on the 30th of June 2018.</w:t>
      </w:r>
    </w:p>
    <w:p w14:paraId="477F3B1B" w14:textId="77777777" w:rsidR="002403C6" w:rsidRDefault="002403C6" w:rsidP="002403C6">
      <w:pPr>
        <w:jc w:val="both"/>
      </w:pPr>
      <w:r>
        <w:t>The PSC members for the development of the LED Strategy have been identified as follows;</w:t>
      </w:r>
    </w:p>
    <w:p w14:paraId="770B6727" w14:textId="77777777" w:rsidR="002403C6" w:rsidRDefault="002403C6" w:rsidP="00750180">
      <w:pPr>
        <w:pStyle w:val="ListParagraph"/>
        <w:numPr>
          <w:ilvl w:val="0"/>
          <w:numId w:val="121"/>
        </w:numPr>
        <w:jc w:val="both"/>
      </w:pPr>
      <w:r>
        <w:t>The municipality (Director: Economic Development &amp; Planning, IDP Manager &amp; LED Manager) and the LED Portfolio Committee.</w:t>
      </w:r>
    </w:p>
    <w:p w14:paraId="0B813609" w14:textId="77777777" w:rsidR="002403C6" w:rsidRDefault="002403C6" w:rsidP="00750180">
      <w:pPr>
        <w:pStyle w:val="ListParagraph"/>
        <w:numPr>
          <w:ilvl w:val="0"/>
          <w:numId w:val="121"/>
        </w:numPr>
        <w:jc w:val="both"/>
      </w:pPr>
      <w:r>
        <w:t>Department of Economic Development, Tourism &amp; Environmental Affairs (LED, SMMEs, Coops and Tourism Officials) (EDTEA)</w:t>
      </w:r>
    </w:p>
    <w:p w14:paraId="7702BC47" w14:textId="77777777" w:rsidR="002403C6" w:rsidRDefault="002403C6" w:rsidP="00750180">
      <w:pPr>
        <w:pStyle w:val="ListParagraph"/>
        <w:numPr>
          <w:ilvl w:val="0"/>
          <w:numId w:val="121"/>
        </w:numPr>
        <w:jc w:val="both"/>
      </w:pPr>
      <w:r>
        <w:t xml:space="preserve">Department of Cooperative Governance and Traditional Affairs (COGTA) - LED Business Unit </w:t>
      </w:r>
    </w:p>
    <w:p w14:paraId="3EFDD4CC" w14:textId="77777777" w:rsidR="002403C6" w:rsidRDefault="002403C6" w:rsidP="00750180">
      <w:pPr>
        <w:pStyle w:val="ListParagraph"/>
        <w:numPr>
          <w:ilvl w:val="0"/>
          <w:numId w:val="121"/>
        </w:numPr>
        <w:jc w:val="both"/>
      </w:pPr>
      <w:r>
        <w:t xml:space="preserve">uMlalazi Tourism Association </w:t>
      </w:r>
    </w:p>
    <w:p w14:paraId="2AD96A41" w14:textId="77777777" w:rsidR="002403C6" w:rsidRDefault="002403C6" w:rsidP="00750180">
      <w:pPr>
        <w:pStyle w:val="ListParagraph"/>
        <w:numPr>
          <w:ilvl w:val="0"/>
          <w:numId w:val="121"/>
        </w:numPr>
        <w:jc w:val="both"/>
      </w:pPr>
      <w:r>
        <w:t xml:space="preserve">Farmers Association </w:t>
      </w:r>
    </w:p>
    <w:p w14:paraId="71CE18C6" w14:textId="77777777" w:rsidR="002403C6" w:rsidRDefault="002403C6" w:rsidP="00750180">
      <w:pPr>
        <w:pStyle w:val="ListParagraph"/>
        <w:numPr>
          <w:ilvl w:val="0"/>
          <w:numId w:val="121"/>
        </w:numPr>
        <w:jc w:val="both"/>
      </w:pPr>
      <w:r>
        <w:t>King Cetshwayo District (LED Department)</w:t>
      </w:r>
    </w:p>
    <w:p w14:paraId="0A9969FB" w14:textId="77777777" w:rsidR="002403C6" w:rsidRDefault="002403C6" w:rsidP="00750180">
      <w:pPr>
        <w:pStyle w:val="ListParagraph"/>
        <w:numPr>
          <w:ilvl w:val="0"/>
          <w:numId w:val="121"/>
        </w:numPr>
        <w:jc w:val="both"/>
      </w:pPr>
      <w:r>
        <w:t xml:space="preserve">Eshowe, Gingindlovu and Mthunzini Ratepayers Association </w:t>
      </w:r>
    </w:p>
    <w:p w14:paraId="3A837403" w14:textId="77777777" w:rsidR="002403C6" w:rsidRDefault="002403C6" w:rsidP="00750180">
      <w:pPr>
        <w:pStyle w:val="ListParagraph"/>
        <w:numPr>
          <w:ilvl w:val="0"/>
          <w:numId w:val="121"/>
        </w:numPr>
        <w:jc w:val="both"/>
      </w:pPr>
      <w:r>
        <w:t xml:space="preserve">Informal Traders Forum </w:t>
      </w:r>
    </w:p>
    <w:p w14:paraId="600668E9" w14:textId="77777777" w:rsidR="002403C6" w:rsidRDefault="002403C6" w:rsidP="00750180">
      <w:pPr>
        <w:pStyle w:val="ListParagraph"/>
        <w:numPr>
          <w:ilvl w:val="0"/>
          <w:numId w:val="121"/>
        </w:numPr>
        <w:jc w:val="both"/>
      </w:pPr>
      <w:r>
        <w:t xml:space="preserve">KZN Provincial Treasury (LED) </w:t>
      </w:r>
    </w:p>
    <w:p w14:paraId="70F399F8" w14:textId="77777777" w:rsidR="002403C6" w:rsidRDefault="002403C6" w:rsidP="00750180">
      <w:pPr>
        <w:pStyle w:val="ListParagraph"/>
        <w:numPr>
          <w:ilvl w:val="0"/>
          <w:numId w:val="121"/>
        </w:numPr>
        <w:jc w:val="both"/>
      </w:pPr>
      <w:r>
        <w:t>uMfolozi FET</w:t>
      </w:r>
    </w:p>
    <w:p w14:paraId="4C66AB71" w14:textId="77777777" w:rsidR="002403C6" w:rsidRDefault="002403C6" w:rsidP="00750180">
      <w:pPr>
        <w:pStyle w:val="ListParagraph"/>
        <w:numPr>
          <w:ilvl w:val="0"/>
          <w:numId w:val="121"/>
        </w:numPr>
        <w:jc w:val="both"/>
      </w:pPr>
      <w:r>
        <w:t>Traditional Council Representatives</w:t>
      </w:r>
    </w:p>
    <w:p w14:paraId="19CBDAB5" w14:textId="77777777" w:rsidR="002403C6" w:rsidRDefault="002403C6" w:rsidP="00750180">
      <w:pPr>
        <w:pStyle w:val="ListParagraph"/>
        <w:numPr>
          <w:ilvl w:val="0"/>
          <w:numId w:val="121"/>
        </w:numPr>
        <w:jc w:val="both"/>
      </w:pPr>
      <w:r>
        <w:t xml:space="preserve">Civil Society Organizations (CSOs) including NGOs and CBOs; </w:t>
      </w:r>
    </w:p>
    <w:p w14:paraId="3C91FE43" w14:textId="77777777" w:rsidR="002403C6" w:rsidRDefault="002403C6" w:rsidP="00750180">
      <w:pPr>
        <w:pStyle w:val="ListParagraph"/>
        <w:numPr>
          <w:ilvl w:val="0"/>
          <w:numId w:val="121"/>
        </w:numPr>
        <w:jc w:val="both"/>
      </w:pPr>
      <w:r>
        <w:t>Private Investors and Developers</w:t>
      </w:r>
    </w:p>
    <w:p w14:paraId="47D42622" w14:textId="77777777" w:rsidR="002403C6" w:rsidRDefault="002403C6" w:rsidP="00750180">
      <w:pPr>
        <w:pStyle w:val="ListParagraph"/>
        <w:numPr>
          <w:ilvl w:val="0"/>
          <w:numId w:val="121"/>
        </w:numPr>
        <w:jc w:val="both"/>
      </w:pPr>
      <w:r>
        <w:t>TIKZN</w:t>
      </w:r>
    </w:p>
    <w:p w14:paraId="30C7BF5E" w14:textId="77777777" w:rsidR="002403C6" w:rsidRDefault="002403C6" w:rsidP="00750180">
      <w:pPr>
        <w:pStyle w:val="ListParagraph"/>
        <w:numPr>
          <w:ilvl w:val="0"/>
          <w:numId w:val="121"/>
        </w:numPr>
        <w:jc w:val="both"/>
      </w:pPr>
      <w:r>
        <w:t>Zululand Chamber of Commerce and Industries (ZCCI)</w:t>
      </w:r>
    </w:p>
    <w:p w14:paraId="22C95AF1" w14:textId="77777777" w:rsidR="0037082E" w:rsidRPr="00D161A1" w:rsidRDefault="0037082E" w:rsidP="00750180">
      <w:pPr>
        <w:pStyle w:val="Heading4"/>
        <w:numPr>
          <w:ilvl w:val="3"/>
          <w:numId w:val="29"/>
        </w:numPr>
        <w:spacing w:after="240"/>
        <w:rPr>
          <w:highlight w:val="yellow"/>
        </w:rPr>
      </w:pPr>
      <w:r w:rsidRPr="00D161A1">
        <w:rPr>
          <w:highlight w:val="yellow"/>
        </w:rPr>
        <w:t>SMME</w:t>
      </w:r>
      <w:bookmarkEnd w:id="397"/>
      <w:r w:rsidR="007A4C13" w:rsidRPr="00D161A1">
        <w:rPr>
          <w:highlight w:val="yellow"/>
        </w:rPr>
        <w:t xml:space="preserve"> Development</w:t>
      </w:r>
    </w:p>
    <w:p w14:paraId="21B28C9F" w14:textId="77777777" w:rsidR="00393C5A" w:rsidRDefault="007A4C13" w:rsidP="00393C5A">
      <w:pPr>
        <w:jc w:val="both"/>
      </w:pPr>
      <w:r w:rsidRPr="007A4C13">
        <w:t>As with the tourism sector, the SMME sector is also regarded as a cross-</w:t>
      </w:r>
      <w:r w:rsidR="003600EB" w:rsidRPr="007A4C13">
        <w:t>sectorial</w:t>
      </w:r>
      <w:r w:rsidRPr="007A4C13">
        <w:t xml:space="preserve"> industry in that it has linkages with other sectors such as retail, manufacturing, etc. As a result, it is difficult to measure the contribution of SMMEs to the local economy.</w:t>
      </w:r>
      <w:r w:rsidR="00393C5A">
        <w:t xml:space="preserve"> The informal business sector is a part of the economy that is not taxed, regulated, or included in any gross national product (GNP). It is a form of livelihood which is </w:t>
      </w:r>
      <w:r w:rsidR="008D130F">
        <w:t>characterized</w:t>
      </w:r>
      <w:r w:rsidR="00393C5A">
        <w:t xml:space="preserve"> by low levels of education and high rates of unemployment.</w:t>
      </w:r>
    </w:p>
    <w:p w14:paraId="59C964A9" w14:textId="77777777" w:rsidR="007A4C13" w:rsidRDefault="00393C5A" w:rsidP="00393C5A">
      <w:r>
        <w:t>In terms of the informal sector, the figure below gives an indication of the number of informal employees within each sector of the economy.</w:t>
      </w:r>
    </w:p>
    <w:p w14:paraId="1E278A61" w14:textId="77777777" w:rsidR="00393C5A" w:rsidRDefault="00393C5A" w:rsidP="00393C5A">
      <w:r>
        <w:rPr>
          <w:noProof/>
        </w:rPr>
        <w:drawing>
          <wp:inline distT="0" distB="0" distL="0" distR="0" wp14:anchorId="2AD66927" wp14:editId="7E8CC878">
            <wp:extent cx="5943600" cy="2673626"/>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943600" cy="2673626"/>
                    </a:xfrm>
                    <a:prstGeom prst="rect">
                      <a:avLst/>
                    </a:prstGeom>
                  </pic:spPr>
                </pic:pic>
              </a:graphicData>
            </a:graphic>
          </wp:inline>
        </w:drawing>
      </w:r>
    </w:p>
    <w:p w14:paraId="6DF45CB0" w14:textId="57AD99CC" w:rsidR="00C4287E" w:rsidRDefault="00C4287E" w:rsidP="002F62F0">
      <w:pPr>
        <w:pStyle w:val="Caption"/>
      </w:pPr>
      <w:bookmarkStart w:id="398" w:name="_Toc510622381"/>
      <w:r w:rsidRPr="00D161A1">
        <w:rPr>
          <w:highlight w:val="red"/>
        </w:rPr>
        <w:t xml:space="preserve">Figure </w:t>
      </w:r>
      <w:r w:rsidR="003F1888" w:rsidRPr="00D161A1">
        <w:rPr>
          <w:highlight w:val="red"/>
        </w:rPr>
        <w:fldChar w:fldCharType="begin"/>
      </w:r>
      <w:r w:rsidR="003F1888" w:rsidRPr="00D161A1">
        <w:rPr>
          <w:highlight w:val="red"/>
        </w:rPr>
        <w:instrText xml:space="preserve"> SEQ Figure \* ARABIC </w:instrText>
      </w:r>
      <w:r w:rsidR="003F1888" w:rsidRPr="00D161A1">
        <w:rPr>
          <w:highlight w:val="red"/>
        </w:rPr>
        <w:fldChar w:fldCharType="separate"/>
      </w:r>
      <w:r w:rsidR="0067023A">
        <w:rPr>
          <w:noProof/>
          <w:highlight w:val="red"/>
        </w:rPr>
        <w:t>20</w:t>
      </w:r>
      <w:r w:rsidR="003F1888" w:rsidRPr="00D161A1">
        <w:rPr>
          <w:noProof/>
          <w:highlight w:val="red"/>
        </w:rPr>
        <w:fldChar w:fldCharType="end"/>
      </w:r>
      <w:r w:rsidRPr="00D161A1">
        <w:rPr>
          <w:highlight w:val="red"/>
        </w:rPr>
        <w:t>: SMME Sector Share</w:t>
      </w:r>
      <w:r w:rsidR="00D161A1" w:rsidRPr="00D161A1">
        <w:rPr>
          <w:highlight w:val="red"/>
        </w:rPr>
        <w:t xml:space="preserve"> (2013 LED Strategy)</w:t>
      </w:r>
      <w:bookmarkEnd w:id="398"/>
    </w:p>
    <w:p w14:paraId="4B416D3E" w14:textId="1E285F10" w:rsidR="00E42DC3" w:rsidRDefault="00004148" w:rsidP="00750180">
      <w:pPr>
        <w:pStyle w:val="ListParagraph"/>
        <w:numPr>
          <w:ilvl w:val="4"/>
          <w:numId w:val="29"/>
        </w:numPr>
        <w:rPr>
          <w:b/>
          <w:highlight w:val="yellow"/>
        </w:rPr>
      </w:pPr>
      <w:r>
        <w:rPr>
          <w:b/>
          <w:highlight w:val="yellow"/>
        </w:rPr>
        <w:t>Red Tape Reduction Initiatives</w:t>
      </w:r>
    </w:p>
    <w:p w14:paraId="5A9FAC82" w14:textId="77777777" w:rsidR="00B17667" w:rsidRPr="00B17667" w:rsidRDefault="00B17667" w:rsidP="00B17667">
      <w:pPr>
        <w:widowControl w:val="0"/>
        <w:spacing w:after="0" w:line="240" w:lineRule="auto"/>
        <w:jc w:val="both"/>
      </w:pPr>
      <w:r w:rsidRPr="00B17667">
        <w:t>The Preferential Procurement Policy Framework Act requires an Organ of State to determine its Preferential Procurement Policy and to implement it within the framework prescribed. This requirement is given effect to in the Preferential Procurement section of the Supply Chain Management Policy.</w:t>
      </w:r>
    </w:p>
    <w:p w14:paraId="3AA9EFB6" w14:textId="77777777" w:rsidR="00B17667" w:rsidRPr="00B17667" w:rsidRDefault="00B17667" w:rsidP="00B17667">
      <w:pPr>
        <w:widowControl w:val="0"/>
        <w:spacing w:after="0" w:line="240" w:lineRule="auto"/>
        <w:ind w:left="567"/>
        <w:jc w:val="both"/>
      </w:pPr>
      <w:r w:rsidRPr="00B17667">
        <w:t xml:space="preserve">  </w:t>
      </w:r>
    </w:p>
    <w:p w14:paraId="245DF5F5" w14:textId="77777777" w:rsidR="00B17667" w:rsidRPr="00B17667" w:rsidRDefault="00B17667" w:rsidP="00B17667">
      <w:pPr>
        <w:widowControl w:val="0"/>
        <w:spacing w:after="0" w:line="240" w:lineRule="auto"/>
        <w:jc w:val="both"/>
      </w:pPr>
      <w:r w:rsidRPr="00B17667">
        <w:t>The principal objectives of the Council of uMlalazi is to provide a mechanism to ensure sound, sustainable and accountable supply chain management within the uMlalazi Municipality, whilst promoting black economic empowerment, “Local Content" which will be defined to specify businesses operating within the uMlalazi Municipality which includes but not solely confined to achieving amongst others the following socio-economic principles:</w:t>
      </w:r>
    </w:p>
    <w:p w14:paraId="43B16D81" w14:textId="77777777" w:rsidR="00B17667" w:rsidRPr="00B17667" w:rsidRDefault="00B17667" w:rsidP="00B17667">
      <w:pPr>
        <w:widowControl w:val="0"/>
        <w:spacing w:after="0" w:line="240" w:lineRule="auto"/>
        <w:jc w:val="both"/>
      </w:pPr>
    </w:p>
    <w:p w14:paraId="08C2BBDE" w14:textId="77777777" w:rsidR="00B17667" w:rsidRPr="00B17667" w:rsidRDefault="00B17667" w:rsidP="00750180">
      <w:pPr>
        <w:widowControl w:val="0"/>
        <w:numPr>
          <w:ilvl w:val="0"/>
          <w:numId w:val="131"/>
        </w:numPr>
        <w:spacing w:after="0" w:line="240" w:lineRule="auto"/>
        <w:contextualSpacing/>
        <w:jc w:val="both"/>
      </w:pPr>
      <w:r w:rsidRPr="00B17667">
        <w:t>To stimulate and promote Local Economic Development in a targeted and focused manner;</w:t>
      </w:r>
    </w:p>
    <w:p w14:paraId="31ADEA7F" w14:textId="77777777" w:rsidR="00B17667" w:rsidRPr="00B17667" w:rsidRDefault="00B17667" w:rsidP="00750180">
      <w:pPr>
        <w:widowControl w:val="0"/>
        <w:numPr>
          <w:ilvl w:val="0"/>
          <w:numId w:val="131"/>
        </w:numPr>
        <w:spacing w:after="0" w:line="240" w:lineRule="auto"/>
        <w:contextualSpacing/>
        <w:jc w:val="both"/>
      </w:pPr>
      <w:r w:rsidRPr="00B17667">
        <w:t>To facilitate creation of employment and business opportunities for the people of uMlalazi with particular reference to Historical Disadvantaged Individual’s (HDIs) as cited in section 217 (2) of the Constitution of the Republic of South Africa Act 106 of 1996 ;</w:t>
      </w:r>
    </w:p>
    <w:p w14:paraId="7809E279" w14:textId="77777777" w:rsidR="00B17667" w:rsidRPr="00B17667" w:rsidRDefault="00B17667" w:rsidP="00750180">
      <w:pPr>
        <w:widowControl w:val="0"/>
        <w:numPr>
          <w:ilvl w:val="0"/>
          <w:numId w:val="131"/>
        </w:numPr>
        <w:spacing w:after="0" w:line="240" w:lineRule="auto"/>
        <w:contextualSpacing/>
        <w:jc w:val="both"/>
      </w:pPr>
      <w:r w:rsidRPr="00B17667">
        <w:t>To promote Local Content and the competitiveness of local businesses operating within the UMlalazi Municipality;</w:t>
      </w:r>
    </w:p>
    <w:p w14:paraId="2E424215" w14:textId="77777777" w:rsidR="00B17667" w:rsidRPr="00B17667" w:rsidRDefault="00B17667" w:rsidP="00750180">
      <w:pPr>
        <w:widowControl w:val="0"/>
        <w:numPr>
          <w:ilvl w:val="0"/>
          <w:numId w:val="131"/>
        </w:numPr>
        <w:spacing w:after="0" w:line="240" w:lineRule="auto"/>
        <w:contextualSpacing/>
        <w:jc w:val="both"/>
      </w:pPr>
      <w:r w:rsidRPr="00B17667">
        <w:t>To increase the small business sector access, in general, to procurement business opportunities created by Council;</w:t>
      </w:r>
    </w:p>
    <w:p w14:paraId="3EEDD880" w14:textId="77777777" w:rsidR="00B17667" w:rsidRPr="00B17667" w:rsidRDefault="00B17667" w:rsidP="00750180">
      <w:pPr>
        <w:widowControl w:val="0"/>
        <w:numPr>
          <w:ilvl w:val="0"/>
          <w:numId w:val="131"/>
        </w:numPr>
        <w:spacing w:after="0" w:line="240" w:lineRule="auto"/>
        <w:contextualSpacing/>
        <w:jc w:val="both"/>
      </w:pPr>
      <w:r w:rsidRPr="00B17667">
        <w:t>To increase participation by small, medium and micro enterprises (SMME’s), including cooperatives and</w:t>
      </w:r>
    </w:p>
    <w:p w14:paraId="45977B2B" w14:textId="77777777" w:rsidR="00B17667" w:rsidRPr="00B17667" w:rsidRDefault="00B17667" w:rsidP="00750180">
      <w:pPr>
        <w:widowControl w:val="0"/>
        <w:numPr>
          <w:ilvl w:val="0"/>
          <w:numId w:val="131"/>
        </w:numPr>
        <w:spacing w:after="0" w:line="240" w:lineRule="auto"/>
        <w:contextualSpacing/>
        <w:jc w:val="both"/>
      </w:pPr>
      <w:r w:rsidRPr="00B17667">
        <w:t>In responding and pursuing to achieve these objectives the council took a resolution through Supply Chain Management Policy to spend a minimum of 40% (forty percent) of its annual procurement budget with Historically Disadvantaged Individuals (HDIs) youth, women, people disabilities giving preference to people within the jurisdiction of the UMlalazi Municipality, through the application of Preferential Procurement Policy and relevant policies in the following manner.</w:t>
      </w:r>
    </w:p>
    <w:p w14:paraId="5F5D0433" w14:textId="77777777" w:rsidR="00B17667" w:rsidRPr="00B17667" w:rsidRDefault="00B17667" w:rsidP="00B17667">
      <w:pPr>
        <w:ind w:left="1287"/>
        <w:contextualSpacing/>
        <w:jc w:val="both"/>
      </w:pPr>
    </w:p>
    <w:p w14:paraId="0E7701BB" w14:textId="77777777" w:rsidR="00B17667" w:rsidRPr="00B17667" w:rsidRDefault="00B17667" w:rsidP="00750180">
      <w:pPr>
        <w:pStyle w:val="ListParagraph"/>
        <w:numPr>
          <w:ilvl w:val="0"/>
          <w:numId w:val="132"/>
        </w:numPr>
        <w:jc w:val="both"/>
      </w:pPr>
      <w:r w:rsidRPr="00B17667">
        <w:t xml:space="preserve">40% Youth </w:t>
      </w:r>
    </w:p>
    <w:p w14:paraId="068A1750" w14:textId="77777777" w:rsidR="00B17667" w:rsidRPr="00B17667" w:rsidRDefault="00B17667" w:rsidP="00750180">
      <w:pPr>
        <w:pStyle w:val="ListParagraph"/>
        <w:numPr>
          <w:ilvl w:val="0"/>
          <w:numId w:val="132"/>
        </w:numPr>
        <w:jc w:val="both"/>
      </w:pPr>
      <w:r w:rsidRPr="00B17667">
        <w:t>40% Women</w:t>
      </w:r>
    </w:p>
    <w:p w14:paraId="7AAD0A43" w14:textId="77777777" w:rsidR="00B17667" w:rsidRPr="00B17667" w:rsidRDefault="00B17667" w:rsidP="00750180">
      <w:pPr>
        <w:pStyle w:val="ListParagraph"/>
        <w:numPr>
          <w:ilvl w:val="0"/>
          <w:numId w:val="132"/>
        </w:numPr>
        <w:jc w:val="both"/>
      </w:pPr>
      <w:r w:rsidRPr="00B17667">
        <w:t>20% People living with disabilities</w:t>
      </w:r>
    </w:p>
    <w:p w14:paraId="5B6FA100" w14:textId="77777777" w:rsidR="00B17667" w:rsidRPr="00B17667" w:rsidRDefault="00B17667" w:rsidP="00B17667">
      <w:pPr>
        <w:widowControl w:val="0"/>
        <w:spacing w:after="0" w:line="240" w:lineRule="auto"/>
        <w:ind w:left="720"/>
        <w:jc w:val="both"/>
      </w:pPr>
      <w:r w:rsidRPr="00B17667">
        <w:t>An amendment has been made to the SCM Policy on 07 February 2017 which seeks to respond to the economic transformation agenda and advancement of designated groups that were previously disadvantaged as follows be adopted for immediate implementation by the Accounting Office: -</w:t>
      </w:r>
    </w:p>
    <w:p w14:paraId="64807628" w14:textId="77777777" w:rsidR="00B17667" w:rsidRPr="00B17667" w:rsidRDefault="00B17667" w:rsidP="00B17667">
      <w:pPr>
        <w:widowControl w:val="0"/>
        <w:spacing w:after="0" w:line="240" w:lineRule="auto"/>
        <w:ind w:left="720"/>
        <w:jc w:val="both"/>
      </w:pPr>
    </w:p>
    <w:p w14:paraId="2F41D1B8" w14:textId="2F639B75" w:rsidR="00B17667" w:rsidRPr="00B17667" w:rsidRDefault="00B17667" w:rsidP="00750180">
      <w:pPr>
        <w:widowControl w:val="0"/>
        <w:numPr>
          <w:ilvl w:val="0"/>
          <w:numId w:val="128"/>
        </w:numPr>
        <w:tabs>
          <w:tab w:val="num" w:pos="1260"/>
          <w:tab w:val="left" w:pos="10080"/>
        </w:tabs>
        <w:spacing w:after="0" w:line="240" w:lineRule="auto"/>
        <w:ind w:left="990" w:hanging="284"/>
        <w:jc w:val="both"/>
      </w:pPr>
      <w:r>
        <w:t>A</w:t>
      </w:r>
      <w:r w:rsidRPr="00B17667">
        <w:t xml:space="preserve"> minimum of 40% (forty percent) of its annual procurement budget   with Historically Disadvantaged Individuals (HDIs) [youth, women, people living with disabilities preference given to suppliers within the jurisdiction of the UMlalazi Municipality provided that price quoted does not exceed 20% of the lowest acceptable quote through the application of Preferential Procurement Policy and relevant policies.</w:t>
      </w:r>
    </w:p>
    <w:p w14:paraId="0B175CFC" w14:textId="77777777" w:rsidR="00B17667" w:rsidRPr="00B17667" w:rsidRDefault="00B17667" w:rsidP="00B17667">
      <w:pPr>
        <w:widowControl w:val="0"/>
        <w:spacing w:after="0" w:line="240" w:lineRule="auto"/>
        <w:jc w:val="both"/>
      </w:pPr>
    </w:p>
    <w:p w14:paraId="1A56DA8F" w14:textId="77777777" w:rsidR="00B17667" w:rsidRPr="00B17667" w:rsidRDefault="00B17667" w:rsidP="00750180">
      <w:pPr>
        <w:widowControl w:val="0"/>
        <w:numPr>
          <w:ilvl w:val="0"/>
          <w:numId w:val="129"/>
        </w:numPr>
        <w:spacing w:after="0" w:line="240" w:lineRule="auto"/>
        <w:ind w:left="1440" w:hanging="450"/>
        <w:jc w:val="both"/>
      </w:pPr>
      <w:r w:rsidRPr="00B17667">
        <w:t xml:space="preserve">40% Youth </w:t>
      </w:r>
    </w:p>
    <w:p w14:paraId="110B5D78" w14:textId="77777777" w:rsidR="00B17667" w:rsidRPr="00B17667" w:rsidRDefault="00B17667" w:rsidP="00750180">
      <w:pPr>
        <w:widowControl w:val="0"/>
        <w:numPr>
          <w:ilvl w:val="0"/>
          <w:numId w:val="129"/>
        </w:numPr>
        <w:spacing w:after="0" w:line="240" w:lineRule="auto"/>
        <w:ind w:left="1440" w:hanging="450"/>
        <w:jc w:val="both"/>
      </w:pPr>
      <w:r w:rsidRPr="00B17667">
        <w:t>40% Women</w:t>
      </w:r>
    </w:p>
    <w:p w14:paraId="7C0D7CF0" w14:textId="77777777" w:rsidR="00B17667" w:rsidRPr="00B17667" w:rsidRDefault="00B17667" w:rsidP="00750180">
      <w:pPr>
        <w:widowControl w:val="0"/>
        <w:numPr>
          <w:ilvl w:val="0"/>
          <w:numId w:val="129"/>
        </w:numPr>
        <w:spacing w:after="0" w:line="240" w:lineRule="auto"/>
        <w:ind w:left="1440" w:hanging="450"/>
        <w:jc w:val="both"/>
      </w:pPr>
      <w:r w:rsidRPr="00B17667">
        <w:t>20% People living with disabilities</w:t>
      </w:r>
    </w:p>
    <w:p w14:paraId="2C7EF3CE" w14:textId="77777777" w:rsidR="00B17667" w:rsidRPr="00B17667" w:rsidRDefault="00B17667" w:rsidP="00B17667">
      <w:pPr>
        <w:widowControl w:val="0"/>
        <w:spacing w:after="0" w:line="240" w:lineRule="auto"/>
        <w:ind w:left="720"/>
        <w:jc w:val="both"/>
      </w:pPr>
    </w:p>
    <w:p w14:paraId="1D5BFFFA" w14:textId="77777777" w:rsidR="00B17667" w:rsidRPr="00B17667" w:rsidRDefault="00B17667" w:rsidP="00750180">
      <w:pPr>
        <w:widowControl w:val="0"/>
        <w:numPr>
          <w:ilvl w:val="0"/>
          <w:numId w:val="130"/>
        </w:numPr>
        <w:spacing w:after="0" w:line="240" w:lineRule="auto"/>
        <w:ind w:left="990"/>
        <w:jc w:val="both"/>
      </w:pPr>
      <w:r w:rsidRPr="00B17667">
        <w:t xml:space="preserve">Sub-contracting a minimum of 30% on all contracts with a value from R5 000 000 and above to local black emerging contractor(s), local youth emerging contractor(s) inclusive of women and contractors of disabled people and co-operatives. </w:t>
      </w:r>
    </w:p>
    <w:p w14:paraId="6D77E100" w14:textId="77777777" w:rsidR="00B17667" w:rsidRPr="00B17667" w:rsidRDefault="00B17667" w:rsidP="00750180">
      <w:pPr>
        <w:widowControl w:val="0"/>
        <w:numPr>
          <w:ilvl w:val="0"/>
          <w:numId w:val="130"/>
        </w:numPr>
        <w:spacing w:after="0" w:line="240" w:lineRule="auto"/>
        <w:ind w:left="990"/>
        <w:jc w:val="both"/>
      </w:pPr>
      <w:r w:rsidRPr="00B17667">
        <w:t xml:space="preserve">Sub-contracting a minimum of 5% to local black emerging contractor(s), local youth emerging contractor(s) inclusive of women and contractors of disabled people and co-operatives on contracts below R5 million may be negotiated </w:t>
      </w:r>
    </w:p>
    <w:p w14:paraId="2AFFAC45" w14:textId="77777777" w:rsidR="00B17667" w:rsidRPr="00B17667" w:rsidRDefault="00B17667" w:rsidP="00B17667">
      <w:pPr>
        <w:widowControl w:val="0"/>
        <w:spacing w:after="0" w:line="240" w:lineRule="auto"/>
        <w:jc w:val="both"/>
      </w:pPr>
    </w:p>
    <w:p w14:paraId="2D80A2DE" w14:textId="77777777" w:rsidR="00B17667" w:rsidRPr="00B17667" w:rsidRDefault="00B17667" w:rsidP="00B17667">
      <w:pPr>
        <w:widowControl w:val="0"/>
        <w:spacing w:after="0" w:line="240" w:lineRule="auto"/>
        <w:jc w:val="both"/>
      </w:pPr>
      <w:r w:rsidRPr="00B17667">
        <w:t>All notices relevant to the above amendment and tender documents stipulate these requirements.</w:t>
      </w:r>
    </w:p>
    <w:p w14:paraId="5294C7A5" w14:textId="77777777" w:rsidR="00391BC2" w:rsidRPr="001332E8" w:rsidRDefault="00391BC2" w:rsidP="00750180">
      <w:pPr>
        <w:pStyle w:val="Heading5"/>
        <w:numPr>
          <w:ilvl w:val="4"/>
          <w:numId w:val="29"/>
        </w:numPr>
      </w:pPr>
      <w:r w:rsidRPr="001332E8">
        <w:t>NAR</w:t>
      </w:r>
      <w:r w:rsidR="006E4B0E" w:rsidRPr="001332E8">
        <w:t>Y</w:t>
      </w:r>
      <w:r w:rsidRPr="001332E8">
        <w:t>SEC</w:t>
      </w:r>
    </w:p>
    <w:p w14:paraId="30BBDA96" w14:textId="77777777" w:rsidR="006E4B0E" w:rsidRPr="001332E8" w:rsidRDefault="006E4B0E" w:rsidP="006E4B0E">
      <w:pPr>
        <w:spacing w:line="288" w:lineRule="auto"/>
        <w:jc w:val="both"/>
        <w:rPr>
          <w:szCs w:val="20"/>
        </w:rPr>
      </w:pPr>
      <w:r w:rsidRPr="001332E8">
        <w:rPr>
          <w:szCs w:val="20"/>
        </w:rPr>
        <w:t xml:space="preserve">The </w:t>
      </w:r>
      <w:r w:rsidR="001332E8">
        <w:rPr>
          <w:szCs w:val="20"/>
        </w:rPr>
        <w:t>Department of Rura</w:t>
      </w:r>
      <w:r w:rsidRPr="001332E8">
        <w:rPr>
          <w:szCs w:val="20"/>
        </w:rPr>
        <w:t>l Development and Land Reform has rolled out a program called National Rural Youth Services Corps (NARYSEC) which is aimed at creating vibrant, equitable, and sustainable rural communities by providing certain skills and to perform community service in their own communities. The objectives of NARYSEC are as follows;</w:t>
      </w:r>
    </w:p>
    <w:p w14:paraId="31BD7792" w14:textId="77777777" w:rsidR="006E4B0E" w:rsidRPr="001332E8" w:rsidRDefault="006E4B0E" w:rsidP="00750180">
      <w:pPr>
        <w:pStyle w:val="ListParagraph"/>
        <w:numPr>
          <w:ilvl w:val="0"/>
          <w:numId w:val="65"/>
        </w:numPr>
        <w:spacing w:after="0" w:line="240" w:lineRule="auto"/>
        <w:jc w:val="both"/>
        <w:rPr>
          <w:szCs w:val="20"/>
        </w:rPr>
      </w:pPr>
      <w:r w:rsidRPr="001332E8">
        <w:rPr>
          <w:szCs w:val="20"/>
        </w:rPr>
        <w:t xml:space="preserve">Train youth through specifically developed </w:t>
      </w:r>
      <w:r w:rsidR="008D130F" w:rsidRPr="001332E8">
        <w:rPr>
          <w:szCs w:val="20"/>
        </w:rPr>
        <w:t>programs</w:t>
      </w:r>
      <w:r w:rsidRPr="001332E8">
        <w:rPr>
          <w:szCs w:val="20"/>
        </w:rPr>
        <w:t xml:space="preserve"> linked to community needs in rural areas</w:t>
      </w:r>
    </w:p>
    <w:p w14:paraId="4CA0F607" w14:textId="77777777" w:rsidR="006E4B0E" w:rsidRPr="001332E8" w:rsidRDefault="006E4B0E" w:rsidP="00750180">
      <w:pPr>
        <w:pStyle w:val="ListParagraph"/>
        <w:numPr>
          <w:ilvl w:val="0"/>
          <w:numId w:val="65"/>
        </w:numPr>
        <w:spacing w:after="0" w:line="240" w:lineRule="auto"/>
        <w:jc w:val="both"/>
        <w:rPr>
          <w:szCs w:val="20"/>
        </w:rPr>
      </w:pPr>
      <w:r w:rsidRPr="001332E8">
        <w:rPr>
          <w:szCs w:val="20"/>
        </w:rPr>
        <w:t>Develop youth with multi-disciplinary skills through civic education</w:t>
      </w:r>
    </w:p>
    <w:p w14:paraId="560B4A27" w14:textId="77777777" w:rsidR="006E4B0E" w:rsidRPr="001332E8" w:rsidRDefault="006E4B0E" w:rsidP="00750180">
      <w:pPr>
        <w:pStyle w:val="ListParagraph"/>
        <w:numPr>
          <w:ilvl w:val="0"/>
          <w:numId w:val="65"/>
        </w:numPr>
        <w:spacing w:after="0" w:line="240" w:lineRule="auto"/>
        <w:jc w:val="both"/>
        <w:rPr>
          <w:szCs w:val="20"/>
        </w:rPr>
      </w:pPr>
      <w:r w:rsidRPr="001332E8">
        <w:rPr>
          <w:szCs w:val="20"/>
        </w:rPr>
        <w:t>Capacitate youth in retaining knowledge and technical skills acquired during training</w:t>
      </w:r>
    </w:p>
    <w:p w14:paraId="0A288B52" w14:textId="77777777" w:rsidR="006E4B0E" w:rsidRPr="001332E8" w:rsidRDefault="006E4B0E" w:rsidP="00750180">
      <w:pPr>
        <w:pStyle w:val="ListParagraph"/>
        <w:numPr>
          <w:ilvl w:val="0"/>
          <w:numId w:val="65"/>
        </w:numPr>
        <w:spacing w:after="0" w:line="240" w:lineRule="auto"/>
        <w:jc w:val="both"/>
        <w:rPr>
          <w:szCs w:val="20"/>
        </w:rPr>
      </w:pPr>
      <w:r w:rsidRPr="001332E8">
        <w:rPr>
          <w:szCs w:val="20"/>
        </w:rPr>
        <w:t>Increase the number of rural communities receiving support in their self-development through the CRDP</w:t>
      </w:r>
    </w:p>
    <w:p w14:paraId="50757166" w14:textId="77777777" w:rsidR="006E4B0E" w:rsidRPr="001332E8" w:rsidRDefault="006E4B0E" w:rsidP="00750180">
      <w:pPr>
        <w:pStyle w:val="ListParagraph"/>
        <w:numPr>
          <w:ilvl w:val="0"/>
          <w:numId w:val="65"/>
        </w:numPr>
        <w:spacing w:after="0" w:line="240" w:lineRule="auto"/>
        <w:jc w:val="both"/>
        <w:rPr>
          <w:szCs w:val="20"/>
        </w:rPr>
      </w:pPr>
      <w:r w:rsidRPr="001332E8">
        <w:rPr>
          <w:szCs w:val="20"/>
        </w:rPr>
        <w:t>Character development and patriotism</w:t>
      </w:r>
    </w:p>
    <w:p w14:paraId="53AB581E" w14:textId="77777777" w:rsidR="006E4B0E" w:rsidRPr="001332E8" w:rsidRDefault="006E4B0E" w:rsidP="006E4B0E">
      <w:pPr>
        <w:spacing w:after="0" w:line="240" w:lineRule="auto"/>
        <w:jc w:val="both"/>
        <w:rPr>
          <w:szCs w:val="20"/>
        </w:rPr>
      </w:pPr>
    </w:p>
    <w:p w14:paraId="6F605B86" w14:textId="5DE5A499" w:rsidR="006E4B0E" w:rsidRDefault="006E4B0E" w:rsidP="006E4B0E">
      <w:pPr>
        <w:spacing w:line="288" w:lineRule="auto"/>
        <w:jc w:val="both"/>
        <w:rPr>
          <w:szCs w:val="20"/>
        </w:rPr>
      </w:pPr>
      <w:r w:rsidRPr="001332E8">
        <w:rPr>
          <w:szCs w:val="20"/>
        </w:rPr>
        <w:t>The department</w:t>
      </w:r>
      <w:r w:rsidR="00D161A1">
        <w:rPr>
          <w:szCs w:val="20"/>
        </w:rPr>
        <w:t xml:space="preserve"> in partnership with the municipality</w:t>
      </w:r>
      <w:r w:rsidRPr="001332E8">
        <w:rPr>
          <w:szCs w:val="20"/>
        </w:rPr>
        <w:t xml:space="preserve"> has, through this program</w:t>
      </w:r>
      <w:r w:rsidR="001332E8" w:rsidRPr="001332E8">
        <w:rPr>
          <w:szCs w:val="20"/>
        </w:rPr>
        <w:t>,</w:t>
      </w:r>
      <w:r w:rsidR="00D161A1">
        <w:rPr>
          <w:szCs w:val="20"/>
        </w:rPr>
        <w:t xml:space="preserve"> selected 15</w:t>
      </w:r>
      <w:r w:rsidRPr="001332E8">
        <w:rPr>
          <w:szCs w:val="20"/>
        </w:rPr>
        <w:t xml:space="preserve"> unemployed beneficiaries</w:t>
      </w:r>
      <w:r w:rsidR="001332E8" w:rsidRPr="001332E8">
        <w:rPr>
          <w:szCs w:val="20"/>
        </w:rPr>
        <w:t xml:space="preserve"> (from uMlalazi LM</w:t>
      </w:r>
      <w:r w:rsidR="008D130F" w:rsidRPr="001332E8">
        <w:rPr>
          <w:szCs w:val="20"/>
        </w:rPr>
        <w:t>) to</w:t>
      </w:r>
      <w:r w:rsidRPr="001332E8">
        <w:rPr>
          <w:szCs w:val="20"/>
        </w:rPr>
        <w:t xml:space="preserve"> be trained in various skills </w:t>
      </w:r>
      <w:r w:rsidR="001332E8" w:rsidRPr="001332E8">
        <w:rPr>
          <w:szCs w:val="20"/>
        </w:rPr>
        <w:t>ranging from mechanical, civil, electrical and agricultural skills. The program runs for 24 months and it is based in</w:t>
      </w:r>
      <w:r w:rsidR="00D161A1">
        <w:rPr>
          <w:szCs w:val="20"/>
        </w:rPr>
        <w:t>itially in</w:t>
      </w:r>
      <w:r w:rsidR="001332E8" w:rsidRPr="001332E8">
        <w:rPr>
          <w:szCs w:val="20"/>
        </w:rPr>
        <w:t xml:space="preserve"> Bloemfontein</w:t>
      </w:r>
      <w:r w:rsidR="00D161A1">
        <w:rPr>
          <w:szCs w:val="20"/>
        </w:rPr>
        <w:t>, and when practical training commences the beneficiaries are allocated at various FET Colleges. The selected individuals</w:t>
      </w:r>
      <w:r w:rsidR="001332E8" w:rsidRPr="001332E8">
        <w:rPr>
          <w:szCs w:val="20"/>
        </w:rPr>
        <w:t xml:space="preserve"> receive monthly stipends to cater for their immediate</w:t>
      </w:r>
      <w:r w:rsidR="00D161A1">
        <w:rPr>
          <w:szCs w:val="20"/>
        </w:rPr>
        <w:t xml:space="preserve"> personal</w:t>
      </w:r>
      <w:r w:rsidR="001332E8" w:rsidRPr="001332E8">
        <w:rPr>
          <w:szCs w:val="20"/>
        </w:rPr>
        <w:t xml:space="preserve"> needs. The </w:t>
      </w:r>
      <w:r w:rsidRPr="001332E8">
        <w:rPr>
          <w:szCs w:val="20"/>
        </w:rPr>
        <w:t xml:space="preserve">recruitment of unemployed youth was done </w:t>
      </w:r>
      <w:r w:rsidR="001332E8" w:rsidRPr="001332E8">
        <w:rPr>
          <w:szCs w:val="20"/>
        </w:rPr>
        <w:t>in</w:t>
      </w:r>
      <w:r w:rsidR="00D161A1">
        <w:rPr>
          <w:szCs w:val="20"/>
        </w:rPr>
        <w:t xml:space="preserve"> the most deprived</w:t>
      </w:r>
      <w:r w:rsidRPr="001332E8">
        <w:rPr>
          <w:szCs w:val="20"/>
        </w:rPr>
        <w:t xml:space="preserve"> ward</w:t>
      </w:r>
      <w:r w:rsidR="00D161A1">
        <w:rPr>
          <w:szCs w:val="20"/>
        </w:rPr>
        <w:t xml:space="preserve"> being</w:t>
      </w:r>
      <w:r w:rsidRPr="001332E8">
        <w:rPr>
          <w:szCs w:val="20"/>
        </w:rPr>
        <w:t xml:space="preserve"> </w:t>
      </w:r>
      <w:r w:rsidR="00D161A1">
        <w:rPr>
          <w:szCs w:val="20"/>
        </w:rPr>
        <w:t>5 and 14.</w:t>
      </w:r>
      <w:r w:rsidRPr="001332E8">
        <w:rPr>
          <w:szCs w:val="20"/>
        </w:rPr>
        <w:t>.</w:t>
      </w:r>
    </w:p>
    <w:p w14:paraId="5EA421B5" w14:textId="77777777" w:rsidR="00DA34C4" w:rsidRPr="00813D20" w:rsidRDefault="00DA34C4" w:rsidP="00750180">
      <w:pPr>
        <w:pStyle w:val="Heading5"/>
        <w:numPr>
          <w:ilvl w:val="4"/>
          <w:numId w:val="29"/>
        </w:numPr>
        <w:spacing w:after="240"/>
      </w:pPr>
      <w:r w:rsidRPr="00813D20">
        <w:t>Youth Business Advisory Center</w:t>
      </w:r>
    </w:p>
    <w:p w14:paraId="59AE0AAC" w14:textId="77777777" w:rsidR="00DA34C4" w:rsidRDefault="00DA34C4" w:rsidP="00DA34C4">
      <w:pPr>
        <w:jc w:val="both"/>
        <w:rPr>
          <w:rFonts w:cs="Calibri"/>
          <w:color w:val="000000" w:themeColor="text1"/>
        </w:rPr>
      </w:pPr>
      <w:r>
        <w:rPr>
          <w:rFonts w:cs="Calibri"/>
          <w:color w:val="000000" w:themeColor="text1"/>
        </w:rPr>
        <w:t xml:space="preserve">The uMlalazi Youth Business Advisory Center “Home for </w:t>
      </w:r>
      <w:r w:rsidRPr="00DA34C4">
        <w:rPr>
          <w:rFonts w:cs="Calibri"/>
          <w:color w:val="000000" w:themeColor="text1"/>
        </w:rPr>
        <w:t>Entrepreneurs</w:t>
      </w:r>
      <w:r>
        <w:rPr>
          <w:rFonts w:cs="Calibri"/>
          <w:color w:val="000000" w:themeColor="text1"/>
        </w:rPr>
        <w:t xml:space="preserve">” (YABC) was established and officially opened </w:t>
      </w:r>
      <w:r w:rsidR="00703CE6">
        <w:rPr>
          <w:rFonts w:cs="Calibri"/>
          <w:color w:val="000000" w:themeColor="text1"/>
        </w:rPr>
        <w:t>by</w:t>
      </w:r>
      <w:r>
        <w:rPr>
          <w:rFonts w:cs="Calibri"/>
          <w:color w:val="000000" w:themeColor="text1"/>
        </w:rPr>
        <w:t xml:space="preserve"> His Worship The Mayor </w:t>
      </w:r>
      <w:r w:rsidR="002A20D0">
        <w:rPr>
          <w:rFonts w:cs="Calibri"/>
          <w:color w:val="000000" w:themeColor="text1"/>
        </w:rPr>
        <w:t xml:space="preserve">Cllr TB Zulu </w:t>
      </w:r>
      <w:r>
        <w:rPr>
          <w:rFonts w:cs="Calibri"/>
          <w:color w:val="000000" w:themeColor="text1"/>
        </w:rPr>
        <w:t>on the 9</w:t>
      </w:r>
      <w:r w:rsidRPr="00DA34C4">
        <w:rPr>
          <w:rFonts w:cs="Calibri"/>
          <w:color w:val="000000" w:themeColor="text1"/>
          <w:vertAlign w:val="superscript"/>
        </w:rPr>
        <w:t>th</w:t>
      </w:r>
      <w:r>
        <w:rPr>
          <w:rFonts w:cs="Calibri"/>
          <w:color w:val="000000" w:themeColor="text1"/>
        </w:rPr>
        <w:t xml:space="preserve"> of April 2014. YABC assists youth to develop and harness their business ideas into fully grown sustainable business entities by;</w:t>
      </w:r>
    </w:p>
    <w:p w14:paraId="04DC543C" w14:textId="4B1B8452" w:rsidR="00DA34C4" w:rsidRDefault="00DA34C4" w:rsidP="00750180">
      <w:pPr>
        <w:pStyle w:val="ListParagraph"/>
        <w:numPr>
          <w:ilvl w:val="0"/>
          <w:numId w:val="38"/>
        </w:numPr>
        <w:jc w:val="both"/>
        <w:rPr>
          <w:rFonts w:cs="Calibri"/>
          <w:color w:val="000000" w:themeColor="text1"/>
        </w:rPr>
      </w:pPr>
      <w:r>
        <w:rPr>
          <w:rFonts w:cs="Calibri"/>
          <w:color w:val="000000" w:themeColor="text1"/>
        </w:rPr>
        <w:t>Registering entities –</w:t>
      </w:r>
      <w:r w:rsidR="00D161A1">
        <w:rPr>
          <w:rFonts w:cs="Calibri"/>
          <w:color w:val="000000" w:themeColor="text1"/>
        </w:rPr>
        <w:t>inter-alia</w:t>
      </w:r>
      <w:r>
        <w:rPr>
          <w:rFonts w:cs="Calibri"/>
          <w:color w:val="000000" w:themeColor="text1"/>
        </w:rPr>
        <w:t>,</w:t>
      </w:r>
      <w:r w:rsidR="00D161A1">
        <w:rPr>
          <w:rFonts w:cs="Calibri"/>
          <w:color w:val="000000" w:themeColor="text1"/>
        </w:rPr>
        <w:t xml:space="preserve"> Companies and</w:t>
      </w:r>
      <w:r>
        <w:rPr>
          <w:rFonts w:cs="Calibri"/>
          <w:color w:val="000000" w:themeColor="text1"/>
        </w:rPr>
        <w:t xml:space="preserve"> Co-operatives </w:t>
      </w:r>
      <w:r w:rsidR="00703CE6">
        <w:rPr>
          <w:rFonts w:cs="Calibri"/>
          <w:color w:val="000000" w:themeColor="text1"/>
        </w:rPr>
        <w:t>etc.</w:t>
      </w:r>
    </w:p>
    <w:p w14:paraId="13983CEB" w14:textId="77777777" w:rsidR="00DA34C4" w:rsidRDefault="00DA34C4" w:rsidP="00750180">
      <w:pPr>
        <w:pStyle w:val="ListParagraph"/>
        <w:numPr>
          <w:ilvl w:val="0"/>
          <w:numId w:val="38"/>
        </w:numPr>
        <w:jc w:val="both"/>
        <w:rPr>
          <w:rFonts w:cs="Calibri"/>
          <w:color w:val="000000" w:themeColor="text1"/>
        </w:rPr>
      </w:pPr>
      <w:r>
        <w:rPr>
          <w:rFonts w:cs="Calibri"/>
          <w:color w:val="000000" w:themeColor="text1"/>
        </w:rPr>
        <w:t>Sourcing funding from relevant financial institutions</w:t>
      </w:r>
    </w:p>
    <w:p w14:paraId="5265C2E9" w14:textId="77777777" w:rsidR="00DA34C4" w:rsidRDefault="00DA34C4" w:rsidP="00750180">
      <w:pPr>
        <w:pStyle w:val="ListParagraph"/>
        <w:numPr>
          <w:ilvl w:val="0"/>
          <w:numId w:val="38"/>
        </w:numPr>
        <w:jc w:val="both"/>
        <w:rPr>
          <w:rFonts w:cs="Calibri"/>
          <w:color w:val="000000" w:themeColor="text1"/>
        </w:rPr>
      </w:pPr>
      <w:r>
        <w:rPr>
          <w:rFonts w:cs="Calibri"/>
          <w:color w:val="000000" w:themeColor="text1"/>
        </w:rPr>
        <w:t>Guiding and improving technical and financial management targeting skills development, mentoring and coaching</w:t>
      </w:r>
    </w:p>
    <w:p w14:paraId="08D1AEBC" w14:textId="16ADD92C" w:rsidR="00C97D2D" w:rsidRDefault="00C97D2D" w:rsidP="00750180">
      <w:pPr>
        <w:pStyle w:val="ListParagraph"/>
        <w:numPr>
          <w:ilvl w:val="0"/>
          <w:numId w:val="38"/>
        </w:numPr>
        <w:jc w:val="both"/>
        <w:rPr>
          <w:rFonts w:cs="Calibri"/>
          <w:color w:val="000000" w:themeColor="text1"/>
        </w:rPr>
      </w:pPr>
      <w:r>
        <w:rPr>
          <w:rFonts w:cs="Calibri"/>
          <w:color w:val="000000" w:themeColor="text1"/>
        </w:rPr>
        <w:t>CIDB Registrations</w:t>
      </w:r>
    </w:p>
    <w:p w14:paraId="2F1CE1EC" w14:textId="77777777" w:rsidR="00C97D2D" w:rsidRPr="00C97D2D" w:rsidRDefault="00C97D2D" w:rsidP="00750180">
      <w:pPr>
        <w:pStyle w:val="ListParagraph"/>
        <w:numPr>
          <w:ilvl w:val="0"/>
          <w:numId w:val="38"/>
        </w:numPr>
        <w:jc w:val="both"/>
        <w:rPr>
          <w:rFonts w:cs="Calibri"/>
          <w:color w:val="000000" w:themeColor="text1"/>
        </w:rPr>
      </w:pPr>
      <w:r w:rsidRPr="00C97D2D">
        <w:rPr>
          <w:rFonts w:cs="Calibri"/>
          <w:color w:val="000000" w:themeColor="text1"/>
        </w:rPr>
        <w:t xml:space="preserve">Company Profiles &amp; logos </w:t>
      </w:r>
    </w:p>
    <w:p w14:paraId="0213DBDA" w14:textId="77777777" w:rsidR="00C97D2D" w:rsidRPr="00C97D2D" w:rsidRDefault="00C97D2D" w:rsidP="00750180">
      <w:pPr>
        <w:pStyle w:val="ListParagraph"/>
        <w:numPr>
          <w:ilvl w:val="0"/>
          <w:numId w:val="38"/>
        </w:numPr>
        <w:jc w:val="both"/>
        <w:rPr>
          <w:rFonts w:cs="Calibri"/>
          <w:color w:val="000000" w:themeColor="text1"/>
        </w:rPr>
      </w:pPr>
      <w:r w:rsidRPr="00C97D2D">
        <w:rPr>
          <w:rFonts w:cs="Calibri"/>
          <w:color w:val="000000" w:themeColor="text1"/>
        </w:rPr>
        <w:t xml:space="preserve">CIDB registration </w:t>
      </w:r>
    </w:p>
    <w:p w14:paraId="4EE5E7C0" w14:textId="77777777" w:rsidR="00C97D2D" w:rsidRPr="00C97D2D" w:rsidRDefault="00C97D2D" w:rsidP="00750180">
      <w:pPr>
        <w:pStyle w:val="ListParagraph"/>
        <w:numPr>
          <w:ilvl w:val="0"/>
          <w:numId w:val="38"/>
        </w:numPr>
        <w:jc w:val="both"/>
        <w:rPr>
          <w:rFonts w:cs="Calibri"/>
          <w:color w:val="000000" w:themeColor="text1"/>
        </w:rPr>
      </w:pPr>
      <w:r w:rsidRPr="00C97D2D">
        <w:rPr>
          <w:rFonts w:cs="Calibri"/>
          <w:color w:val="000000" w:themeColor="text1"/>
        </w:rPr>
        <w:t>Central Supplier Database (CSD)</w:t>
      </w:r>
    </w:p>
    <w:p w14:paraId="64F89B60" w14:textId="77777777" w:rsidR="00C97D2D" w:rsidRPr="00C97D2D" w:rsidRDefault="00C97D2D" w:rsidP="00750180">
      <w:pPr>
        <w:pStyle w:val="ListParagraph"/>
        <w:numPr>
          <w:ilvl w:val="0"/>
          <w:numId w:val="38"/>
        </w:numPr>
        <w:jc w:val="both"/>
        <w:rPr>
          <w:rFonts w:cs="Calibri"/>
          <w:color w:val="000000" w:themeColor="text1"/>
        </w:rPr>
      </w:pPr>
      <w:r w:rsidRPr="00C97D2D">
        <w:rPr>
          <w:rFonts w:cs="Calibri"/>
          <w:color w:val="000000" w:themeColor="text1"/>
        </w:rPr>
        <w:t>Registration with Regulatory Bodies (BCCI, SARS, COIDA, PSIRA)</w:t>
      </w:r>
    </w:p>
    <w:p w14:paraId="306D8E90" w14:textId="77777777" w:rsidR="00C97D2D" w:rsidRPr="00C97D2D" w:rsidRDefault="00C97D2D" w:rsidP="00750180">
      <w:pPr>
        <w:pStyle w:val="ListParagraph"/>
        <w:numPr>
          <w:ilvl w:val="0"/>
          <w:numId w:val="38"/>
        </w:numPr>
        <w:jc w:val="both"/>
        <w:rPr>
          <w:rFonts w:cs="Calibri"/>
          <w:color w:val="000000" w:themeColor="text1"/>
        </w:rPr>
      </w:pPr>
      <w:r w:rsidRPr="00C97D2D">
        <w:rPr>
          <w:rFonts w:cs="Calibri"/>
          <w:color w:val="000000" w:themeColor="text1"/>
        </w:rPr>
        <w:t xml:space="preserve">BEEE affidavits &amp; Share certificate </w:t>
      </w:r>
    </w:p>
    <w:p w14:paraId="7602F83C" w14:textId="77777777" w:rsidR="00C97D2D" w:rsidRPr="00C97D2D" w:rsidRDefault="00C97D2D" w:rsidP="00750180">
      <w:pPr>
        <w:pStyle w:val="ListParagraph"/>
        <w:numPr>
          <w:ilvl w:val="0"/>
          <w:numId w:val="38"/>
        </w:numPr>
        <w:jc w:val="both"/>
        <w:rPr>
          <w:rFonts w:cs="Calibri"/>
          <w:color w:val="000000" w:themeColor="text1"/>
        </w:rPr>
      </w:pPr>
      <w:r w:rsidRPr="00C97D2D">
        <w:rPr>
          <w:rFonts w:cs="Calibri"/>
          <w:color w:val="000000" w:themeColor="text1"/>
        </w:rPr>
        <w:t xml:space="preserve">Grant funding  applications </w:t>
      </w:r>
    </w:p>
    <w:p w14:paraId="6AFA1266" w14:textId="77777777" w:rsidR="00C97D2D" w:rsidRPr="00C97D2D" w:rsidRDefault="00C97D2D" w:rsidP="00750180">
      <w:pPr>
        <w:pStyle w:val="ListParagraph"/>
        <w:numPr>
          <w:ilvl w:val="0"/>
          <w:numId w:val="38"/>
        </w:numPr>
        <w:jc w:val="both"/>
        <w:rPr>
          <w:rFonts w:cs="Calibri"/>
          <w:color w:val="000000" w:themeColor="text1"/>
        </w:rPr>
      </w:pPr>
      <w:r w:rsidRPr="00C97D2D">
        <w:rPr>
          <w:rFonts w:cs="Calibri"/>
          <w:color w:val="000000" w:themeColor="text1"/>
        </w:rPr>
        <w:t>Entrepreneurship Development Programmes</w:t>
      </w:r>
    </w:p>
    <w:p w14:paraId="6F2918EB" w14:textId="16A0D5F5" w:rsidR="00C97D2D" w:rsidRDefault="00C97D2D" w:rsidP="00750180">
      <w:pPr>
        <w:pStyle w:val="ListParagraph"/>
        <w:numPr>
          <w:ilvl w:val="0"/>
          <w:numId w:val="38"/>
        </w:numPr>
        <w:jc w:val="both"/>
        <w:rPr>
          <w:rFonts w:cs="Calibri"/>
          <w:color w:val="000000" w:themeColor="text1"/>
        </w:rPr>
      </w:pPr>
      <w:r w:rsidRPr="00C97D2D">
        <w:rPr>
          <w:rFonts w:cs="Calibri"/>
          <w:color w:val="000000" w:themeColor="text1"/>
        </w:rPr>
        <w:t>Life skills programmes</w:t>
      </w:r>
    </w:p>
    <w:p w14:paraId="5FCC1489" w14:textId="333CB8A4" w:rsidR="00C97D2D" w:rsidRDefault="00C97D2D" w:rsidP="00750180">
      <w:pPr>
        <w:pStyle w:val="ListParagraph"/>
        <w:numPr>
          <w:ilvl w:val="0"/>
          <w:numId w:val="38"/>
        </w:numPr>
        <w:jc w:val="both"/>
        <w:rPr>
          <w:rFonts w:cs="Calibri"/>
          <w:color w:val="000000" w:themeColor="text1"/>
        </w:rPr>
      </w:pPr>
      <w:r>
        <w:rPr>
          <w:rFonts w:cs="Calibri"/>
          <w:color w:val="000000" w:themeColor="text1"/>
        </w:rPr>
        <w:t>NSFAS registrations</w:t>
      </w:r>
    </w:p>
    <w:p w14:paraId="22DEEAA7" w14:textId="77777777" w:rsidR="00DA34C4" w:rsidRDefault="00DA34C4" w:rsidP="00DA34C4">
      <w:pPr>
        <w:jc w:val="both"/>
        <w:rPr>
          <w:rFonts w:cs="Calibri"/>
          <w:color w:val="000000" w:themeColor="text1"/>
        </w:rPr>
      </w:pPr>
      <w:r>
        <w:rPr>
          <w:rFonts w:cs="Calibri"/>
          <w:color w:val="000000" w:themeColor="text1"/>
        </w:rPr>
        <w:t xml:space="preserve">The municipality is of the progressive view that </w:t>
      </w:r>
      <w:r w:rsidR="00555EAF">
        <w:rPr>
          <w:rFonts w:cs="Calibri"/>
          <w:color w:val="000000" w:themeColor="text1"/>
        </w:rPr>
        <w:t xml:space="preserve">by </w:t>
      </w:r>
      <w:r w:rsidR="00703CE6">
        <w:rPr>
          <w:rFonts w:cs="Calibri"/>
          <w:color w:val="000000" w:themeColor="text1"/>
        </w:rPr>
        <w:t>establishing</w:t>
      </w:r>
      <w:r w:rsidR="00555EAF">
        <w:rPr>
          <w:rFonts w:cs="Calibri"/>
          <w:color w:val="000000" w:themeColor="text1"/>
        </w:rPr>
        <w:t xml:space="preserve"> this YABC, sustainability in the development of young </w:t>
      </w:r>
      <w:r w:rsidR="00703CE6">
        <w:rPr>
          <w:rFonts w:cs="Calibri"/>
          <w:color w:val="000000" w:themeColor="text1"/>
        </w:rPr>
        <w:t>entrepreneurs</w:t>
      </w:r>
      <w:r w:rsidR="00555EAF">
        <w:rPr>
          <w:rFonts w:cs="Calibri"/>
          <w:color w:val="000000" w:themeColor="text1"/>
        </w:rPr>
        <w:t xml:space="preserve"> is ensured, in such a way that they are not only being advised, but they are also being connected to </w:t>
      </w:r>
      <w:r w:rsidR="00555EAF" w:rsidRPr="00555EAF">
        <w:rPr>
          <w:rFonts w:cs="Calibri"/>
          <w:color w:val="000000" w:themeColor="text1"/>
        </w:rPr>
        <w:t>financial and mentoring streams to further empower their visions.</w:t>
      </w:r>
    </w:p>
    <w:p w14:paraId="5CDCC67B" w14:textId="27CD34DD" w:rsidR="00352E84" w:rsidRPr="009D7CC9" w:rsidRDefault="00352E84" w:rsidP="00750180">
      <w:pPr>
        <w:pStyle w:val="Heading4"/>
        <w:numPr>
          <w:ilvl w:val="3"/>
          <w:numId w:val="29"/>
        </w:numPr>
        <w:spacing w:after="240"/>
      </w:pPr>
      <w:r w:rsidRPr="009D7CC9">
        <w:t xml:space="preserve">Informal </w:t>
      </w:r>
      <w:r w:rsidR="009D7CC9">
        <w:t>Economy</w:t>
      </w:r>
    </w:p>
    <w:p w14:paraId="574B970B" w14:textId="77777777" w:rsidR="009D7CC9" w:rsidRDefault="000D66A1" w:rsidP="000D66A1">
      <w:pPr>
        <w:jc w:val="both"/>
        <w:rPr>
          <w:rFonts w:cs="Calibri"/>
          <w:color w:val="000000" w:themeColor="text1"/>
        </w:rPr>
      </w:pPr>
      <w:r w:rsidRPr="000D66A1">
        <w:rPr>
          <w:rFonts w:cs="Calibri"/>
          <w:color w:val="000000" w:themeColor="text1"/>
        </w:rPr>
        <w:t xml:space="preserve">The informal </w:t>
      </w:r>
      <w:r w:rsidR="009D7CC9">
        <w:rPr>
          <w:rFonts w:cs="Calibri"/>
          <w:color w:val="000000" w:themeColor="text1"/>
        </w:rPr>
        <w:t>economy</w:t>
      </w:r>
      <w:r w:rsidRPr="000D66A1">
        <w:rPr>
          <w:rFonts w:cs="Calibri"/>
          <w:color w:val="000000" w:themeColor="text1"/>
        </w:rPr>
        <w:t xml:space="preserve"> makes an important contribution to the economic and social life of the uMlalazi Municipality. Due to the decline in formal employment and consequent increase in unemployment rate, many people seek alternative means of earning an income. It is generally accepted that the informal sector plays a significant role in the local economy more especially in the previously disadvantage areas. One of the main reasons for this is the inability of national economy’s formal sector to create sufficient employment for the relatively fast-growing labour force. This inability leads to new entrants into the labour market being increasingly forced to turn into the informal sector, to earn a living.</w:t>
      </w:r>
      <w:r w:rsidR="00CF5644">
        <w:rPr>
          <w:rFonts w:cs="Calibri"/>
          <w:color w:val="000000" w:themeColor="text1"/>
        </w:rPr>
        <w:t xml:space="preserve"> In view of the aforementioned, the municipality has developed an informal </w:t>
      </w:r>
      <w:r w:rsidR="00703CE6">
        <w:rPr>
          <w:rFonts w:cs="Calibri"/>
          <w:color w:val="000000" w:themeColor="text1"/>
        </w:rPr>
        <w:t>trader’s</w:t>
      </w:r>
      <w:r w:rsidR="00CF5644">
        <w:rPr>
          <w:rFonts w:cs="Calibri"/>
          <w:color w:val="000000" w:themeColor="text1"/>
        </w:rPr>
        <w:t xml:space="preserve"> policy in which to regulate informal trading within the municipality</w:t>
      </w:r>
      <w:r w:rsidR="008E6454">
        <w:rPr>
          <w:rFonts w:cs="Calibri"/>
          <w:color w:val="000000" w:themeColor="text1"/>
        </w:rPr>
        <w:t xml:space="preserve"> and </w:t>
      </w:r>
      <w:r w:rsidR="008E6454" w:rsidRPr="00CF5644">
        <w:rPr>
          <w:rFonts w:cs="Calibri"/>
          <w:color w:val="000000" w:themeColor="text1"/>
        </w:rPr>
        <w:t>to develop the sector and its participants into a commercially viable and dynamic economic sector, which contributes to the economic growth of the town and the quality of life of its citizens in a sustainable manner</w:t>
      </w:r>
      <w:r w:rsidR="008E6454">
        <w:rPr>
          <w:rFonts w:cs="Calibri"/>
          <w:color w:val="000000" w:themeColor="text1"/>
        </w:rPr>
        <w:t>.</w:t>
      </w:r>
      <w:r w:rsidR="00CF5644">
        <w:rPr>
          <w:rFonts w:cs="Calibri"/>
          <w:color w:val="000000" w:themeColor="text1"/>
        </w:rPr>
        <w:t xml:space="preserve"> </w:t>
      </w:r>
    </w:p>
    <w:p w14:paraId="6A54E2F4" w14:textId="5BD95260" w:rsidR="00287E25" w:rsidRDefault="00287E25" w:rsidP="000D66A1">
      <w:pPr>
        <w:jc w:val="both"/>
        <w:rPr>
          <w:rFonts w:cs="Calibri"/>
          <w:color w:val="000000" w:themeColor="text1"/>
        </w:rPr>
      </w:pPr>
      <w:r>
        <w:rPr>
          <w:rFonts w:cs="Calibri"/>
          <w:color w:val="000000" w:themeColor="text1"/>
        </w:rPr>
        <w:t>The following LED projects and programs are carried out by the municipality on an ongoing basis for the upliftment of the Informal Economy;</w:t>
      </w:r>
    </w:p>
    <w:tbl>
      <w:tblPr>
        <w:tblW w:w="5000" w:type="pct"/>
        <w:tblCellMar>
          <w:left w:w="0" w:type="dxa"/>
          <w:right w:w="0" w:type="dxa"/>
        </w:tblCellMar>
        <w:tblLook w:val="04A0" w:firstRow="1" w:lastRow="0" w:firstColumn="1" w:lastColumn="0" w:noHBand="0" w:noVBand="1"/>
      </w:tblPr>
      <w:tblGrid>
        <w:gridCol w:w="2082"/>
        <w:gridCol w:w="2093"/>
        <w:gridCol w:w="1356"/>
        <w:gridCol w:w="2045"/>
        <w:gridCol w:w="2043"/>
      </w:tblGrid>
      <w:tr w:rsidR="00287E25" w:rsidRPr="00287E25" w14:paraId="3796DDEE" w14:textId="77777777" w:rsidTr="00EC0A3F">
        <w:trPr>
          <w:trHeight w:val="142"/>
        </w:trPr>
        <w:tc>
          <w:tcPr>
            <w:tcW w:w="2169" w:type="pct"/>
            <w:gridSpan w:val="2"/>
            <w:tcBorders>
              <w:top w:val="single" w:sz="8" w:space="0" w:color="000000"/>
              <w:left w:val="single" w:sz="8" w:space="0" w:color="000000"/>
              <w:bottom w:val="single" w:sz="8" w:space="0" w:color="000000"/>
              <w:right w:val="single" w:sz="8" w:space="0" w:color="000000"/>
            </w:tcBorders>
            <w:shd w:val="clear" w:color="auto" w:fill="9DC3E6"/>
            <w:tcMar>
              <w:top w:w="15" w:type="dxa"/>
              <w:left w:w="67" w:type="dxa"/>
              <w:bottom w:w="0" w:type="dxa"/>
              <w:right w:w="67" w:type="dxa"/>
            </w:tcMar>
            <w:hideMark/>
          </w:tcPr>
          <w:p w14:paraId="52FFE646" w14:textId="77777777" w:rsidR="00287E25" w:rsidRPr="00287E25" w:rsidRDefault="00287E25" w:rsidP="00287E25">
            <w:pPr>
              <w:spacing w:after="0" w:line="256" w:lineRule="auto"/>
              <w:rPr>
                <w:rFonts w:cs="Calibri"/>
                <w:color w:val="000000" w:themeColor="text1"/>
                <w:sz w:val="16"/>
              </w:rPr>
            </w:pPr>
            <w:r w:rsidRPr="00287E25">
              <w:rPr>
                <w:rFonts w:cs="Calibri"/>
                <w:color w:val="000000" w:themeColor="text1"/>
                <w:sz w:val="16"/>
              </w:rPr>
              <w:t>NAME OF THE PROJECT/ PROGRAMME</w:t>
            </w:r>
          </w:p>
        </w:tc>
        <w:tc>
          <w:tcPr>
            <w:tcW w:w="705" w:type="pct"/>
            <w:tcBorders>
              <w:top w:val="single" w:sz="8" w:space="0" w:color="000000"/>
              <w:left w:val="single" w:sz="8" w:space="0" w:color="000000"/>
              <w:bottom w:val="single" w:sz="8" w:space="0" w:color="000000"/>
              <w:right w:val="single" w:sz="8" w:space="0" w:color="000000"/>
            </w:tcBorders>
            <w:shd w:val="clear" w:color="auto" w:fill="9DC3E6"/>
            <w:tcMar>
              <w:top w:w="15" w:type="dxa"/>
              <w:left w:w="67" w:type="dxa"/>
              <w:bottom w:w="0" w:type="dxa"/>
              <w:right w:w="67" w:type="dxa"/>
            </w:tcMar>
            <w:hideMark/>
          </w:tcPr>
          <w:p w14:paraId="3E31DF5A" w14:textId="77777777" w:rsidR="00287E25" w:rsidRPr="00287E25" w:rsidRDefault="00287E25" w:rsidP="00287E25">
            <w:pPr>
              <w:spacing w:after="0" w:line="256" w:lineRule="auto"/>
              <w:rPr>
                <w:rFonts w:cs="Calibri"/>
                <w:color w:val="000000" w:themeColor="text1"/>
                <w:sz w:val="16"/>
              </w:rPr>
            </w:pPr>
            <w:r w:rsidRPr="00287E25">
              <w:rPr>
                <w:rFonts w:cs="Calibri"/>
                <w:color w:val="000000" w:themeColor="text1"/>
                <w:sz w:val="16"/>
              </w:rPr>
              <w:t xml:space="preserve">Ward </w:t>
            </w:r>
          </w:p>
        </w:tc>
        <w:tc>
          <w:tcPr>
            <w:tcW w:w="1063" w:type="pct"/>
            <w:tcBorders>
              <w:top w:val="single" w:sz="8" w:space="0" w:color="000000"/>
              <w:left w:val="single" w:sz="8" w:space="0" w:color="000000"/>
              <w:bottom w:val="single" w:sz="8" w:space="0" w:color="000000"/>
              <w:right w:val="single" w:sz="8" w:space="0" w:color="000000"/>
            </w:tcBorders>
            <w:shd w:val="clear" w:color="auto" w:fill="9DC3E6"/>
            <w:tcMar>
              <w:top w:w="15" w:type="dxa"/>
              <w:left w:w="67" w:type="dxa"/>
              <w:bottom w:w="0" w:type="dxa"/>
              <w:right w:w="67" w:type="dxa"/>
            </w:tcMar>
            <w:hideMark/>
          </w:tcPr>
          <w:p w14:paraId="1A5243F5" w14:textId="77777777" w:rsidR="00287E25" w:rsidRPr="00287E25" w:rsidRDefault="00287E25" w:rsidP="00287E25">
            <w:pPr>
              <w:spacing w:after="0" w:line="256" w:lineRule="auto"/>
              <w:rPr>
                <w:rFonts w:cs="Calibri"/>
                <w:color w:val="000000" w:themeColor="text1"/>
                <w:sz w:val="16"/>
              </w:rPr>
            </w:pPr>
            <w:r w:rsidRPr="00287E25">
              <w:rPr>
                <w:rFonts w:cs="Calibri"/>
                <w:color w:val="000000" w:themeColor="text1"/>
                <w:sz w:val="16"/>
              </w:rPr>
              <w:t xml:space="preserve">Status Quo </w:t>
            </w:r>
          </w:p>
        </w:tc>
        <w:tc>
          <w:tcPr>
            <w:tcW w:w="1063" w:type="pct"/>
            <w:tcBorders>
              <w:top w:val="single" w:sz="8" w:space="0" w:color="000000"/>
              <w:left w:val="single" w:sz="8" w:space="0" w:color="000000"/>
              <w:bottom w:val="single" w:sz="8" w:space="0" w:color="000000"/>
              <w:right w:val="single" w:sz="8" w:space="0" w:color="000000"/>
            </w:tcBorders>
            <w:shd w:val="clear" w:color="auto" w:fill="9DC3E6"/>
            <w:tcMar>
              <w:top w:w="15" w:type="dxa"/>
              <w:left w:w="67" w:type="dxa"/>
              <w:bottom w:w="0" w:type="dxa"/>
              <w:right w:w="67" w:type="dxa"/>
            </w:tcMar>
            <w:hideMark/>
          </w:tcPr>
          <w:p w14:paraId="6105D3AF" w14:textId="77777777" w:rsidR="00287E25" w:rsidRPr="00287E25" w:rsidRDefault="00287E25" w:rsidP="00287E25">
            <w:pPr>
              <w:spacing w:after="0" w:line="256" w:lineRule="auto"/>
              <w:rPr>
                <w:rFonts w:cs="Calibri"/>
                <w:color w:val="000000" w:themeColor="text1"/>
                <w:sz w:val="16"/>
              </w:rPr>
            </w:pPr>
            <w:r w:rsidRPr="00287E25">
              <w:rPr>
                <w:rFonts w:cs="Calibri"/>
                <w:color w:val="000000" w:themeColor="text1"/>
                <w:sz w:val="16"/>
              </w:rPr>
              <w:t xml:space="preserve">Responsible Organisation </w:t>
            </w:r>
          </w:p>
        </w:tc>
      </w:tr>
      <w:tr w:rsidR="00287E25" w:rsidRPr="00287E25" w14:paraId="226CE3C8" w14:textId="77777777" w:rsidTr="00EC0A3F">
        <w:trPr>
          <w:trHeight w:val="1322"/>
        </w:trPr>
        <w:tc>
          <w:tcPr>
            <w:tcW w:w="1082"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7" w:type="dxa"/>
              <w:bottom w:w="0" w:type="dxa"/>
              <w:right w:w="67" w:type="dxa"/>
            </w:tcMar>
            <w:hideMark/>
          </w:tcPr>
          <w:p w14:paraId="31CCC8E1" w14:textId="63EA48D3" w:rsidR="00287E25" w:rsidRPr="00287E25" w:rsidRDefault="00287E25" w:rsidP="00EC0A3F">
            <w:pPr>
              <w:spacing w:after="0" w:line="256" w:lineRule="auto"/>
              <w:rPr>
                <w:rFonts w:cs="Calibri"/>
                <w:color w:val="000000" w:themeColor="text1"/>
                <w:sz w:val="16"/>
              </w:rPr>
            </w:pPr>
            <w:r w:rsidRPr="00287E25">
              <w:rPr>
                <w:rFonts w:cs="Calibri"/>
                <w:color w:val="000000" w:themeColor="text1"/>
                <w:sz w:val="16"/>
              </w:rPr>
              <w:t xml:space="preserve">Informal Traders </w:t>
            </w:r>
          </w:p>
        </w:tc>
        <w:tc>
          <w:tcPr>
            <w:tcW w:w="1088" w:type="pct"/>
            <w:tcBorders>
              <w:top w:val="single" w:sz="8" w:space="0" w:color="000000"/>
              <w:left w:val="single" w:sz="8" w:space="0" w:color="000000"/>
              <w:bottom w:val="single" w:sz="8" w:space="0" w:color="000000"/>
              <w:right w:val="single" w:sz="8" w:space="0" w:color="000000"/>
            </w:tcBorders>
            <w:shd w:val="clear" w:color="auto" w:fill="auto"/>
            <w:tcMar>
              <w:top w:w="15" w:type="dxa"/>
              <w:left w:w="67" w:type="dxa"/>
              <w:bottom w:w="0" w:type="dxa"/>
              <w:right w:w="67" w:type="dxa"/>
            </w:tcMar>
            <w:hideMark/>
          </w:tcPr>
          <w:p w14:paraId="18433C47" w14:textId="44EFBBB1" w:rsidR="00287E25" w:rsidRPr="00287E25" w:rsidRDefault="00FB75BA" w:rsidP="00EC0A3F">
            <w:pPr>
              <w:spacing w:after="0" w:line="256" w:lineRule="auto"/>
              <w:contextualSpacing/>
              <w:rPr>
                <w:rFonts w:cs="Calibri"/>
                <w:color w:val="000000" w:themeColor="text1"/>
                <w:sz w:val="16"/>
              </w:rPr>
            </w:pPr>
            <w:r>
              <w:rPr>
                <w:rFonts w:cs="Calibri"/>
                <w:color w:val="000000" w:themeColor="text1"/>
                <w:sz w:val="16"/>
              </w:rPr>
              <w:t xml:space="preserve">Business Development </w:t>
            </w:r>
            <w:r w:rsidR="00287E25" w:rsidRPr="00287E25">
              <w:rPr>
                <w:rFonts w:cs="Calibri"/>
                <w:color w:val="000000" w:themeColor="text1"/>
                <w:sz w:val="16"/>
              </w:rPr>
              <w:t xml:space="preserve">Training programmes </w:t>
            </w:r>
          </w:p>
          <w:p w14:paraId="563752DF" w14:textId="77777777" w:rsidR="00EC0A3F" w:rsidRPr="00EC0A3F" w:rsidRDefault="00EC0A3F" w:rsidP="00EC0A3F">
            <w:pPr>
              <w:spacing w:after="0" w:line="256" w:lineRule="auto"/>
              <w:contextualSpacing/>
              <w:rPr>
                <w:rFonts w:cs="Calibri"/>
                <w:color w:val="000000" w:themeColor="text1"/>
                <w:sz w:val="16"/>
              </w:rPr>
            </w:pPr>
          </w:p>
          <w:p w14:paraId="5F71EA24" w14:textId="67B900B1" w:rsidR="00287E25" w:rsidRPr="00287E25" w:rsidRDefault="00287E25" w:rsidP="00EC0A3F">
            <w:pPr>
              <w:spacing w:after="0" w:line="256" w:lineRule="auto"/>
              <w:contextualSpacing/>
              <w:rPr>
                <w:rFonts w:cs="Calibri"/>
                <w:color w:val="000000" w:themeColor="text1"/>
                <w:sz w:val="16"/>
              </w:rPr>
            </w:pPr>
            <w:r w:rsidRPr="00287E25">
              <w:rPr>
                <w:rFonts w:cs="Calibri"/>
                <w:color w:val="000000" w:themeColor="text1"/>
                <w:sz w:val="16"/>
              </w:rPr>
              <w:t>Informal Traders Upliftment Project (ITUP)</w:t>
            </w:r>
          </w:p>
        </w:tc>
        <w:tc>
          <w:tcPr>
            <w:tcW w:w="705" w:type="pct"/>
            <w:tcBorders>
              <w:top w:val="single" w:sz="8" w:space="0" w:color="000000"/>
              <w:left w:val="single" w:sz="8" w:space="0" w:color="000000"/>
              <w:bottom w:val="single" w:sz="8" w:space="0" w:color="000000"/>
              <w:right w:val="single" w:sz="8" w:space="0" w:color="000000"/>
            </w:tcBorders>
            <w:shd w:val="clear" w:color="auto" w:fill="auto"/>
            <w:tcMar>
              <w:top w:w="15" w:type="dxa"/>
              <w:left w:w="67" w:type="dxa"/>
              <w:bottom w:w="0" w:type="dxa"/>
              <w:right w:w="67" w:type="dxa"/>
            </w:tcMar>
            <w:hideMark/>
          </w:tcPr>
          <w:p w14:paraId="303042CB" w14:textId="77777777" w:rsidR="00287E25" w:rsidRPr="00287E25" w:rsidRDefault="00287E25" w:rsidP="00287E25">
            <w:pPr>
              <w:spacing w:after="0" w:line="256" w:lineRule="auto"/>
              <w:rPr>
                <w:rFonts w:cs="Calibri"/>
                <w:color w:val="000000" w:themeColor="text1"/>
                <w:sz w:val="16"/>
              </w:rPr>
            </w:pPr>
            <w:r w:rsidRPr="00287E25">
              <w:rPr>
                <w:rFonts w:cs="Calibri"/>
                <w:color w:val="000000" w:themeColor="text1"/>
                <w:sz w:val="16"/>
              </w:rPr>
              <w:t>All wards</w:t>
            </w:r>
          </w:p>
        </w:tc>
        <w:tc>
          <w:tcPr>
            <w:tcW w:w="1063" w:type="pct"/>
            <w:tcBorders>
              <w:top w:val="single" w:sz="8" w:space="0" w:color="000000"/>
              <w:left w:val="single" w:sz="8" w:space="0" w:color="000000"/>
              <w:bottom w:val="single" w:sz="8" w:space="0" w:color="000000"/>
              <w:right w:val="single" w:sz="8" w:space="0" w:color="000000"/>
            </w:tcBorders>
            <w:shd w:val="clear" w:color="auto" w:fill="auto"/>
            <w:tcMar>
              <w:top w:w="15" w:type="dxa"/>
              <w:left w:w="67" w:type="dxa"/>
              <w:bottom w:w="0" w:type="dxa"/>
              <w:right w:w="67" w:type="dxa"/>
            </w:tcMar>
            <w:hideMark/>
          </w:tcPr>
          <w:p w14:paraId="467F25CF" w14:textId="77777777" w:rsidR="00287E25" w:rsidRPr="00287E25" w:rsidRDefault="00287E25" w:rsidP="00287E25">
            <w:pPr>
              <w:spacing w:after="0" w:line="256" w:lineRule="auto"/>
              <w:rPr>
                <w:rFonts w:cs="Calibri"/>
                <w:color w:val="000000" w:themeColor="text1"/>
                <w:sz w:val="16"/>
              </w:rPr>
            </w:pPr>
            <w:r w:rsidRPr="00287E25">
              <w:rPr>
                <w:rFonts w:cs="Calibri"/>
                <w:color w:val="000000" w:themeColor="text1"/>
                <w:sz w:val="16"/>
              </w:rPr>
              <w:t xml:space="preserve">On-going </w:t>
            </w:r>
          </w:p>
        </w:tc>
        <w:tc>
          <w:tcPr>
            <w:tcW w:w="1063" w:type="pct"/>
            <w:tcBorders>
              <w:top w:val="single" w:sz="8" w:space="0" w:color="000000"/>
              <w:left w:val="single" w:sz="8" w:space="0" w:color="000000"/>
              <w:bottom w:val="single" w:sz="8" w:space="0" w:color="000000"/>
              <w:right w:val="single" w:sz="8" w:space="0" w:color="000000"/>
            </w:tcBorders>
            <w:shd w:val="clear" w:color="auto" w:fill="auto"/>
            <w:tcMar>
              <w:top w:w="15" w:type="dxa"/>
              <w:left w:w="67" w:type="dxa"/>
              <w:bottom w:w="0" w:type="dxa"/>
              <w:right w:w="67" w:type="dxa"/>
            </w:tcMar>
            <w:hideMark/>
          </w:tcPr>
          <w:p w14:paraId="16DA5BA8" w14:textId="77777777" w:rsidR="00287E25" w:rsidRDefault="00287E25" w:rsidP="00287E25">
            <w:pPr>
              <w:spacing w:after="0" w:line="256" w:lineRule="auto"/>
              <w:contextualSpacing/>
              <w:rPr>
                <w:rFonts w:cs="Calibri"/>
                <w:color w:val="000000" w:themeColor="text1"/>
                <w:sz w:val="16"/>
              </w:rPr>
            </w:pPr>
            <w:r w:rsidRPr="00287E25">
              <w:rPr>
                <w:rFonts w:cs="Calibri"/>
                <w:color w:val="000000" w:themeColor="text1"/>
                <w:sz w:val="16"/>
              </w:rPr>
              <w:t>Department of Economic Development, Tourism and Environmental affairs (EDTEA)</w:t>
            </w:r>
          </w:p>
          <w:p w14:paraId="4133E135" w14:textId="4150198E" w:rsidR="00287E25" w:rsidRPr="00EC0A3F" w:rsidRDefault="00FB75BA" w:rsidP="00287E25">
            <w:pPr>
              <w:spacing w:after="0" w:line="256" w:lineRule="auto"/>
              <w:contextualSpacing/>
              <w:rPr>
                <w:rFonts w:cs="Calibri"/>
                <w:color w:val="000000" w:themeColor="text1"/>
                <w:sz w:val="16"/>
              </w:rPr>
            </w:pPr>
            <w:r>
              <w:rPr>
                <w:rFonts w:cs="Calibri"/>
                <w:color w:val="000000" w:themeColor="text1"/>
                <w:sz w:val="16"/>
              </w:rPr>
              <w:t>SEDA/NYDA</w:t>
            </w:r>
          </w:p>
          <w:p w14:paraId="51FAED42" w14:textId="77777777" w:rsidR="00287E25" w:rsidRPr="00287E25" w:rsidRDefault="00287E25" w:rsidP="00287E25">
            <w:pPr>
              <w:spacing w:after="0" w:line="256" w:lineRule="auto"/>
              <w:contextualSpacing/>
              <w:rPr>
                <w:rFonts w:cs="Calibri"/>
                <w:color w:val="000000" w:themeColor="text1"/>
                <w:sz w:val="16"/>
              </w:rPr>
            </w:pPr>
            <w:r w:rsidRPr="00287E25">
              <w:rPr>
                <w:rFonts w:cs="Calibri"/>
                <w:color w:val="000000" w:themeColor="text1"/>
                <w:sz w:val="16"/>
              </w:rPr>
              <w:t>Department of Small Business Development</w:t>
            </w:r>
          </w:p>
        </w:tc>
      </w:tr>
      <w:tr w:rsidR="00287E25" w:rsidRPr="00287E25" w14:paraId="4A98AD60" w14:textId="77777777" w:rsidTr="00287E25">
        <w:trPr>
          <w:trHeight w:val="523"/>
        </w:trPr>
        <w:tc>
          <w:tcPr>
            <w:tcW w:w="1082" w:type="pct"/>
            <w:vMerge/>
            <w:tcBorders>
              <w:top w:val="single" w:sz="8" w:space="0" w:color="000000"/>
              <w:left w:val="single" w:sz="8" w:space="0" w:color="000000"/>
              <w:bottom w:val="single" w:sz="8" w:space="0" w:color="000000"/>
              <w:right w:val="single" w:sz="8" w:space="0" w:color="000000"/>
            </w:tcBorders>
            <w:vAlign w:val="center"/>
            <w:hideMark/>
          </w:tcPr>
          <w:p w14:paraId="466B2B39" w14:textId="77777777" w:rsidR="00287E25" w:rsidRPr="00287E25" w:rsidRDefault="00287E25" w:rsidP="00287E25">
            <w:pPr>
              <w:spacing w:after="0" w:line="240" w:lineRule="auto"/>
              <w:rPr>
                <w:rFonts w:cs="Calibri"/>
                <w:color w:val="000000" w:themeColor="text1"/>
                <w:sz w:val="16"/>
              </w:rPr>
            </w:pPr>
          </w:p>
        </w:tc>
        <w:tc>
          <w:tcPr>
            <w:tcW w:w="1088" w:type="pct"/>
            <w:tcBorders>
              <w:top w:val="single" w:sz="8" w:space="0" w:color="000000"/>
              <w:left w:val="single" w:sz="8" w:space="0" w:color="000000"/>
              <w:bottom w:val="single" w:sz="8" w:space="0" w:color="000000"/>
              <w:right w:val="single" w:sz="8" w:space="0" w:color="000000"/>
            </w:tcBorders>
            <w:shd w:val="clear" w:color="auto" w:fill="auto"/>
            <w:tcMar>
              <w:top w:w="15" w:type="dxa"/>
              <w:left w:w="67" w:type="dxa"/>
              <w:bottom w:w="0" w:type="dxa"/>
              <w:right w:w="67" w:type="dxa"/>
            </w:tcMar>
            <w:hideMark/>
          </w:tcPr>
          <w:p w14:paraId="1866130F" w14:textId="3F5C6263" w:rsidR="00287E25" w:rsidRPr="00287E25" w:rsidRDefault="00287E25" w:rsidP="00287E25">
            <w:pPr>
              <w:spacing w:after="0" w:line="256" w:lineRule="auto"/>
              <w:rPr>
                <w:rFonts w:cs="Calibri"/>
                <w:color w:val="000000" w:themeColor="text1"/>
                <w:sz w:val="16"/>
              </w:rPr>
            </w:pPr>
            <w:r w:rsidRPr="00287E25">
              <w:rPr>
                <w:rFonts w:cs="Calibri"/>
                <w:color w:val="000000" w:themeColor="text1"/>
                <w:sz w:val="16"/>
              </w:rPr>
              <w:t>The construction of  uMlalazi Farm Stalls in Bongela and Matini</w:t>
            </w:r>
          </w:p>
        </w:tc>
        <w:tc>
          <w:tcPr>
            <w:tcW w:w="705" w:type="pct"/>
            <w:tcBorders>
              <w:top w:val="single" w:sz="8" w:space="0" w:color="000000"/>
              <w:left w:val="single" w:sz="8" w:space="0" w:color="000000"/>
              <w:bottom w:val="single" w:sz="8" w:space="0" w:color="000000"/>
              <w:right w:val="single" w:sz="8" w:space="0" w:color="000000"/>
            </w:tcBorders>
            <w:shd w:val="clear" w:color="auto" w:fill="auto"/>
            <w:tcMar>
              <w:top w:w="15" w:type="dxa"/>
              <w:left w:w="67" w:type="dxa"/>
              <w:bottom w:w="0" w:type="dxa"/>
              <w:right w:w="67" w:type="dxa"/>
            </w:tcMar>
            <w:hideMark/>
          </w:tcPr>
          <w:p w14:paraId="1EF5E8C3" w14:textId="77777777" w:rsidR="00287E25" w:rsidRPr="00287E25" w:rsidRDefault="00287E25" w:rsidP="00287E25">
            <w:pPr>
              <w:spacing w:after="0" w:line="256" w:lineRule="auto"/>
              <w:rPr>
                <w:rFonts w:cs="Calibri"/>
                <w:color w:val="000000" w:themeColor="text1"/>
                <w:sz w:val="16"/>
              </w:rPr>
            </w:pPr>
            <w:r w:rsidRPr="00287E25">
              <w:rPr>
                <w:rFonts w:cs="Calibri"/>
                <w:color w:val="000000" w:themeColor="text1"/>
                <w:sz w:val="16"/>
              </w:rPr>
              <w:t>02</w:t>
            </w:r>
          </w:p>
        </w:tc>
        <w:tc>
          <w:tcPr>
            <w:tcW w:w="1063" w:type="pct"/>
            <w:tcBorders>
              <w:top w:val="single" w:sz="8" w:space="0" w:color="000000"/>
              <w:left w:val="single" w:sz="8" w:space="0" w:color="000000"/>
              <w:bottom w:val="single" w:sz="8" w:space="0" w:color="000000"/>
              <w:right w:val="single" w:sz="8" w:space="0" w:color="000000"/>
            </w:tcBorders>
            <w:shd w:val="clear" w:color="auto" w:fill="auto"/>
            <w:tcMar>
              <w:top w:w="15" w:type="dxa"/>
              <w:left w:w="67" w:type="dxa"/>
              <w:bottom w:w="0" w:type="dxa"/>
              <w:right w:w="67" w:type="dxa"/>
            </w:tcMar>
            <w:hideMark/>
          </w:tcPr>
          <w:p w14:paraId="5AEF5129" w14:textId="77777777" w:rsidR="00287E25" w:rsidRPr="00287E25" w:rsidRDefault="00287E25" w:rsidP="00287E25">
            <w:pPr>
              <w:spacing w:after="0" w:line="256" w:lineRule="auto"/>
              <w:rPr>
                <w:rFonts w:cs="Calibri"/>
                <w:color w:val="000000" w:themeColor="text1"/>
                <w:sz w:val="16"/>
              </w:rPr>
            </w:pPr>
            <w:r w:rsidRPr="00287E25">
              <w:rPr>
                <w:rFonts w:cs="Calibri"/>
                <w:color w:val="000000" w:themeColor="text1"/>
                <w:sz w:val="16"/>
              </w:rPr>
              <w:t>Phase 1 completed, awaiting funds for phase 2</w:t>
            </w:r>
          </w:p>
        </w:tc>
        <w:tc>
          <w:tcPr>
            <w:tcW w:w="1063" w:type="pct"/>
            <w:tcBorders>
              <w:top w:val="single" w:sz="8" w:space="0" w:color="000000"/>
              <w:left w:val="single" w:sz="8" w:space="0" w:color="000000"/>
              <w:bottom w:val="single" w:sz="8" w:space="0" w:color="000000"/>
              <w:right w:val="single" w:sz="8" w:space="0" w:color="000000"/>
            </w:tcBorders>
            <w:shd w:val="clear" w:color="auto" w:fill="auto"/>
            <w:tcMar>
              <w:top w:w="15" w:type="dxa"/>
              <w:left w:w="67" w:type="dxa"/>
              <w:bottom w:w="0" w:type="dxa"/>
              <w:right w:w="67" w:type="dxa"/>
            </w:tcMar>
            <w:hideMark/>
          </w:tcPr>
          <w:p w14:paraId="2A09874F" w14:textId="38F12591" w:rsidR="00287E25" w:rsidRPr="00287E25" w:rsidRDefault="00287E25" w:rsidP="00287E25">
            <w:pPr>
              <w:spacing w:after="0" w:line="256" w:lineRule="auto"/>
              <w:rPr>
                <w:rFonts w:cs="Calibri"/>
                <w:color w:val="000000" w:themeColor="text1"/>
                <w:sz w:val="16"/>
              </w:rPr>
            </w:pPr>
            <w:r w:rsidRPr="00287E25">
              <w:rPr>
                <w:rFonts w:cs="Calibri"/>
                <w:color w:val="000000" w:themeColor="text1"/>
                <w:sz w:val="16"/>
              </w:rPr>
              <w:t xml:space="preserve">UMhlathuze Water  </w:t>
            </w:r>
          </w:p>
        </w:tc>
      </w:tr>
      <w:tr w:rsidR="00287E25" w:rsidRPr="00287E25" w14:paraId="157D9B88" w14:textId="77777777" w:rsidTr="00287E25">
        <w:trPr>
          <w:trHeight w:val="697"/>
        </w:trPr>
        <w:tc>
          <w:tcPr>
            <w:tcW w:w="1082" w:type="pct"/>
            <w:tcBorders>
              <w:top w:val="single" w:sz="8" w:space="0" w:color="000000"/>
              <w:left w:val="single" w:sz="8" w:space="0" w:color="000000"/>
              <w:bottom w:val="single" w:sz="8" w:space="0" w:color="000000"/>
              <w:right w:val="single" w:sz="8" w:space="0" w:color="000000"/>
            </w:tcBorders>
            <w:shd w:val="clear" w:color="auto" w:fill="auto"/>
            <w:tcMar>
              <w:top w:w="15" w:type="dxa"/>
              <w:left w:w="67" w:type="dxa"/>
              <w:bottom w:w="0" w:type="dxa"/>
              <w:right w:w="67" w:type="dxa"/>
            </w:tcMar>
            <w:hideMark/>
          </w:tcPr>
          <w:p w14:paraId="5E40273F" w14:textId="77777777" w:rsidR="00287E25" w:rsidRPr="00287E25" w:rsidRDefault="00287E25" w:rsidP="00287E25">
            <w:pPr>
              <w:spacing w:after="0" w:line="256" w:lineRule="auto"/>
              <w:rPr>
                <w:rFonts w:cs="Calibri"/>
                <w:color w:val="000000" w:themeColor="text1"/>
                <w:sz w:val="18"/>
              </w:rPr>
            </w:pPr>
            <w:r w:rsidRPr="00287E25">
              <w:rPr>
                <w:rFonts w:cs="Calibri"/>
                <w:color w:val="000000" w:themeColor="text1"/>
                <w:sz w:val="18"/>
              </w:rPr>
              <w:t> </w:t>
            </w:r>
          </w:p>
        </w:tc>
        <w:tc>
          <w:tcPr>
            <w:tcW w:w="1088" w:type="pct"/>
            <w:tcBorders>
              <w:top w:val="single" w:sz="8" w:space="0" w:color="000000"/>
              <w:left w:val="single" w:sz="8" w:space="0" w:color="000000"/>
              <w:bottom w:val="single" w:sz="8" w:space="0" w:color="000000"/>
              <w:right w:val="single" w:sz="8" w:space="0" w:color="000000"/>
            </w:tcBorders>
            <w:shd w:val="clear" w:color="auto" w:fill="auto"/>
            <w:tcMar>
              <w:top w:w="15" w:type="dxa"/>
              <w:left w:w="67" w:type="dxa"/>
              <w:bottom w:w="0" w:type="dxa"/>
              <w:right w:w="67" w:type="dxa"/>
            </w:tcMar>
            <w:hideMark/>
          </w:tcPr>
          <w:p w14:paraId="5E2E80E3" w14:textId="77777777" w:rsidR="00287E25" w:rsidRPr="00287E25" w:rsidRDefault="00287E25" w:rsidP="00287E25">
            <w:pPr>
              <w:spacing w:after="0" w:line="256" w:lineRule="auto"/>
              <w:rPr>
                <w:rFonts w:cs="Calibri"/>
                <w:color w:val="000000" w:themeColor="text1"/>
                <w:sz w:val="18"/>
              </w:rPr>
            </w:pPr>
            <w:r w:rsidRPr="00287E25">
              <w:rPr>
                <w:rFonts w:cs="Calibri"/>
                <w:color w:val="000000" w:themeColor="text1"/>
                <w:sz w:val="18"/>
              </w:rPr>
              <w:t>Installation of galvanised gates in Eshowe and bus taxi rank trading Facilities</w:t>
            </w:r>
          </w:p>
        </w:tc>
        <w:tc>
          <w:tcPr>
            <w:tcW w:w="705" w:type="pct"/>
            <w:tcBorders>
              <w:top w:val="single" w:sz="8" w:space="0" w:color="000000"/>
              <w:left w:val="single" w:sz="8" w:space="0" w:color="000000"/>
              <w:bottom w:val="single" w:sz="8" w:space="0" w:color="000000"/>
              <w:right w:val="single" w:sz="8" w:space="0" w:color="000000"/>
            </w:tcBorders>
            <w:shd w:val="clear" w:color="auto" w:fill="auto"/>
            <w:tcMar>
              <w:top w:w="15" w:type="dxa"/>
              <w:left w:w="67" w:type="dxa"/>
              <w:bottom w:w="0" w:type="dxa"/>
              <w:right w:w="67" w:type="dxa"/>
            </w:tcMar>
            <w:hideMark/>
          </w:tcPr>
          <w:p w14:paraId="39137EF9" w14:textId="77777777" w:rsidR="00287E25" w:rsidRPr="00287E25" w:rsidRDefault="00287E25" w:rsidP="00287E25">
            <w:pPr>
              <w:spacing w:after="0" w:line="256" w:lineRule="auto"/>
              <w:rPr>
                <w:rFonts w:cs="Calibri"/>
                <w:color w:val="000000" w:themeColor="text1"/>
                <w:sz w:val="18"/>
              </w:rPr>
            </w:pPr>
            <w:r w:rsidRPr="00287E25">
              <w:rPr>
                <w:rFonts w:cs="Calibri"/>
                <w:color w:val="000000" w:themeColor="text1"/>
                <w:sz w:val="18"/>
              </w:rPr>
              <w:t>11</w:t>
            </w:r>
          </w:p>
        </w:tc>
        <w:tc>
          <w:tcPr>
            <w:tcW w:w="1063" w:type="pct"/>
            <w:tcBorders>
              <w:top w:val="single" w:sz="8" w:space="0" w:color="000000"/>
              <w:left w:val="single" w:sz="8" w:space="0" w:color="000000"/>
              <w:bottom w:val="single" w:sz="8" w:space="0" w:color="000000"/>
              <w:right w:val="single" w:sz="8" w:space="0" w:color="000000"/>
            </w:tcBorders>
            <w:shd w:val="clear" w:color="auto" w:fill="auto"/>
            <w:tcMar>
              <w:top w:w="15" w:type="dxa"/>
              <w:left w:w="67" w:type="dxa"/>
              <w:bottom w:w="0" w:type="dxa"/>
              <w:right w:w="67" w:type="dxa"/>
            </w:tcMar>
            <w:hideMark/>
          </w:tcPr>
          <w:p w14:paraId="3BFAEF9F" w14:textId="70D6B00E" w:rsidR="00287E25" w:rsidRPr="00287E25" w:rsidRDefault="00FB75BA" w:rsidP="00287E25">
            <w:pPr>
              <w:spacing w:after="0" w:line="256" w:lineRule="auto"/>
              <w:rPr>
                <w:rFonts w:cs="Calibri"/>
                <w:color w:val="000000" w:themeColor="text1"/>
                <w:sz w:val="18"/>
              </w:rPr>
            </w:pPr>
            <w:r>
              <w:rPr>
                <w:rFonts w:cs="Calibri"/>
                <w:color w:val="000000" w:themeColor="text1"/>
                <w:sz w:val="18"/>
              </w:rPr>
              <w:t>Ongoing</w:t>
            </w:r>
          </w:p>
        </w:tc>
        <w:tc>
          <w:tcPr>
            <w:tcW w:w="1063" w:type="pct"/>
            <w:tcBorders>
              <w:top w:val="single" w:sz="8" w:space="0" w:color="000000"/>
              <w:left w:val="single" w:sz="8" w:space="0" w:color="000000"/>
              <w:bottom w:val="single" w:sz="8" w:space="0" w:color="000000"/>
              <w:right w:val="single" w:sz="8" w:space="0" w:color="000000"/>
            </w:tcBorders>
            <w:shd w:val="clear" w:color="auto" w:fill="auto"/>
            <w:tcMar>
              <w:top w:w="15" w:type="dxa"/>
              <w:left w:w="67" w:type="dxa"/>
              <w:bottom w:w="0" w:type="dxa"/>
              <w:right w:w="67" w:type="dxa"/>
            </w:tcMar>
            <w:hideMark/>
          </w:tcPr>
          <w:p w14:paraId="24C78672" w14:textId="77777777" w:rsidR="00287E25" w:rsidRPr="00287E25" w:rsidRDefault="00287E25" w:rsidP="00287E25">
            <w:pPr>
              <w:spacing w:after="0" w:line="256" w:lineRule="auto"/>
              <w:rPr>
                <w:rFonts w:cs="Calibri"/>
                <w:color w:val="000000" w:themeColor="text1"/>
                <w:sz w:val="18"/>
              </w:rPr>
            </w:pPr>
            <w:r w:rsidRPr="00287E25">
              <w:rPr>
                <w:rFonts w:cs="Calibri"/>
                <w:color w:val="000000" w:themeColor="text1"/>
                <w:sz w:val="18"/>
              </w:rPr>
              <w:t>UMlalazi Municipality</w:t>
            </w:r>
          </w:p>
        </w:tc>
      </w:tr>
    </w:tbl>
    <w:p w14:paraId="009E8177" w14:textId="0AFA6338" w:rsidR="00287E25" w:rsidRDefault="00EC0A3F" w:rsidP="00EC0A3F">
      <w:pPr>
        <w:pStyle w:val="Caption"/>
        <w:rPr>
          <w:color w:val="000000" w:themeColor="text1"/>
        </w:rPr>
      </w:pPr>
      <w:bookmarkStart w:id="399" w:name="_Toc510622303"/>
      <w:r>
        <w:t xml:space="preserve">Table </w:t>
      </w:r>
      <w:r w:rsidR="00B918A6">
        <w:fldChar w:fldCharType="begin"/>
      </w:r>
      <w:r w:rsidR="00B918A6">
        <w:instrText xml:space="preserve"> SEQ Table \* ARABIC </w:instrText>
      </w:r>
      <w:r w:rsidR="00B918A6">
        <w:fldChar w:fldCharType="separate"/>
      </w:r>
      <w:r w:rsidR="0067023A">
        <w:rPr>
          <w:noProof/>
        </w:rPr>
        <w:t>53</w:t>
      </w:r>
      <w:r w:rsidR="00B918A6">
        <w:rPr>
          <w:noProof/>
        </w:rPr>
        <w:fldChar w:fldCharType="end"/>
      </w:r>
      <w:r>
        <w:t>: Municipal Programs/Projects for Informal Traders</w:t>
      </w:r>
      <w:bookmarkEnd w:id="399"/>
      <w:r>
        <w:t xml:space="preserve"> </w:t>
      </w:r>
    </w:p>
    <w:p w14:paraId="5735B350" w14:textId="668C5894" w:rsidR="008375B7" w:rsidRPr="008375B7" w:rsidRDefault="008375B7" w:rsidP="008375B7">
      <w:pPr>
        <w:jc w:val="both"/>
        <w:rPr>
          <w:rFonts w:cs="Calibri"/>
          <w:color w:val="000000" w:themeColor="text1"/>
        </w:rPr>
      </w:pPr>
      <w:r>
        <w:rPr>
          <w:rFonts w:cs="Calibri"/>
          <w:color w:val="000000" w:themeColor="text1"/>
        </w:rPr>
        <w:t xml:space="preserve">The Informal Traders Policy identifies the following key </w:t>
      </w:r>
      <w:r w:rsidRPr="008375B7">
        <w:rPr>
          <w:rFonts w:cs="Calibri"/>
          <w:color w:val="000000" w:themeColor="text1"/>
        </w:rPr>
        <w:t>types of informal trading that takes pla</w:t>
      </w:r>
      <w:r>
        <w:rPr>
          <w:rFonts w:cs="Calibri"/>
          <w:color w:val="000000" w:themeColor="text1"/>
        </w:rPr>
        <w:t>ce in the uMlalazi Municipality;</w:t>
      </w:r>
    </w:p>
    <w:p w14:paraId="20219472" w14:textId="515A781C" w:rsidR="00287E25" w:rsidRPr="008375B7" w:rsidRDefault="008375B7" w:rsidP="00750180">
      <w:pPr>
        <w:pStyle w:val="ListParagraph"/>
        <w:numPr>
          <w:ilvl w:val="0"/>
          <w:numId w:val="125"/>
        </w:numPr>
        <w:rPr>
          <w:rFonts w:cs="Calibri"/>
          <w:color w:val="000000" w:themeColor="text1"/>
        </w:rPr>
      </w:pPr>
      <w:r w:rsidRPr="008375B7">
        <w:rPr>
          <w:rFonts w:cs="Calibri"/>
          <w:color w:val="000000" w:themeColor="text1"/>
        </w:rPr>
        <w:t>Street / kerbside trading</w:t>
      </w:r>
      <w:r w:rsidR="00287E25" w:rsidRPr="00287E25">
        <w:rPr>
          <w:rFonts w:cs="Calibri"/>
          <w:color w:val="000000" w:themeColor="text1"/>
        </w:rPr>
        <w:t xml:space="preserve"> </w:t>
      </w:r>
      <w:r w:rsidR="00287E25">
        <w:rPr>
          <w:rFonts w:cs="Calibri"/>
          <w:color w:val="000000" w:themeColor="text1"/>
        </w:rPr>
        <w:t>/</w:t>
      </w:r>
      <w:r w:rsidR="00287E25" w:rsidRPr="008375B7">
        <w:rPr>
          <w:rFonts w:cs="Calibri"/>
          <w:color w:val="000000" w:themeColor="text1"/>
        </w:rPr>
        <w:t>Road</w:t>
      </w:r>
      <w:r w:rsidR="00287E25">
        <w:rPr>
          <w:rFonts w:cs="Calibri"/>
          <w:color w:val="000000" w:themeColor="text1"/>
        </w:rPr>
        <w:t>side</w:t>
      </w:r>
      <w:r w:rsidR="00287E25" w:rsidRPr="008375B7">
        <w:rPr>
          <w:rFonts w:cs="Calibri"/>
          <w:color w:val="000000" w:themeColor="text1"/>
        </w:rPr>
        <w:t xml:space="preserve"> trading</w:t>
      </w:r>
      <w:r w:rsidR="00287E25" w:rsidRPr="00287E25">
        <w:rPr>
          <w:rFonts w:cs="Calibri"/>
          <w:color w:val="000000" w:themeColor="text1"/>
        </w:rPr>
        <w:t xml:space="preserve"> </w:t>
      </w:r>
      <w:r w:rsidR="00287E25">
        <w:rPr>
          <w:rFonts w:cs="Calibri"/>
          <w:color w:val="000000" w:themeColor="text1"/>
        </w:rPr>
        <w:t>/</w:t>
      </w:r>
      <w:r w:rsidR="00287E25" w:rsidRPr="008375B7">
        <w:rPr>
          <w:rFonts w:cs="Calibri"/>
          <w:color w:val="000000" w:themeColor="text1"/>
        </w:rPr>
        <w:t>Intersection Trading</w:t>
      </w:r>
    </w:p>
    <w:p w14:paraId="5054E10D" w14:textId="45C3634F" w:rsidR="008375B7" w:rsidRPr="008375B7" w:rsidRDefault="00287E25" w:rsidP="00750180">
      <w:pPr>
        <w:pStyle w:val="ListParagraph"/>
        <w:numPr>
          <w:ilvl w:val="0"/>
          <w:numId w:val="125"/>
        </w:numPr>
        <w:rPr>
          <w:rFonts w:cs="Calibri"/>
          <w:color w:val="000000" w:themeColor="text1"/>
        </w:rPr>
      </w:pPr>
      <w:r>
        <w:rPr>
          <w:rFonts w:cs="Calibri"/>
          <w:color w:val="000000" w:themeColor="text1"/>
        </w:rPr>
        <w:t>T</w:t>
      </w:r>
      <w:r w:rsidR="008375B7" w:rsidRPr="008375B7">
        <w:rPr>
          <w:rFonts w:cs="Calibri"/>
          <w:color w:val="000000" w:themeColor="text1"/>
        </w:rPr>
        <w:t>rading at transport interchanges (At Gingindlovu, KDS, Mtunzini and Obanjeni areas).</w:t>
      </w:r>
    </w:p>
    <w:p w14:paraId="634A9A58" w14:textId="3C77E260" w:rsidR="008375B7" w:rsidRPr="008375B7" w:rsidRDefault="008375B7" w:rsidP="00750180">
      <w:pPr>
        <w:pStyle w:val="ListParagraph"/>
        <w:numPr>
          <w:ilvl w:val="0"/>
          <w:numId w:val="125"/>
        </w:numPr>
        <w:rPr>
          <w:rFonts w:cs="Calibri"/>
          <w:color w:val="000000" w:themeColor="text1"/>
        </w:rPr>
      </w:pPr>
      <w:r w:rsidRPr="008375B7">
        <w:rPr>
          <w:rFonts w:cs="Calibri"/>
          <w:color w:val="000000" w:themeColor="text1"/>
        </w:rPr>
        <w:t>Trading in Public Open Spaces</w:t>
      </w:r>
    </w:p>
    <w:p w14:paraId="40100E04" w14:textId="082DC0EC" w:rsidR="008375B7" w:rsidRPr="008375B7" w:rsidRDefault="008375B7" w:rsidP="00750180">
      <w:pPr>
        <w:pStyle w:val="ListParagraph"/>
        <w:numPr>
          <w:ilvl w:val="0"/>
          <w:numId w:val="125"/>
        </w:numPr>
        <w:rPr>
          <w:rFonts w:cs="Calibri"/>
          <w:color w:val="000000" w:themeColor="text1"/>
        </w:rPr>
      </w:pPr>
      <w:r w:rsidRPr="008375B7">
        <w:rPr>
          <w:rFonts w:cs="Calibri"/>
          <w:color w:val="000000" w:themeColor="text1"/>
        </w:rPr>
        <w:t>Mobile Traders (roving, caravans, bakkies and containers)</w:t>
      </w:r>
    </w:p>
    <w:p w14:paraId="069098D6" w14:textId="543D05B9" w:rsidR="008375B7" w:rsidRPr="008375B7" w:rsidRDefault="008375B7" w:rsidP="00750180">
      <w:pPr>
        <w:pStyle w:val="ListParagraph"/>
        <w:numPr>
          <w:ilvl w:val="0"/>
          <w:numId w:val="125"/>
        </w:numPr>
        <w:rPr>
          <w:rFonts w:cs="Calibri"/>
          <w:color w:val="000000" w:themeColor="text1"/>
        </w:rPr>
      </w:pPr>
      <w:r w:rsidRPr="008375B7">
        <w:rPr>
          <w:rFonts w:cs="Calibri"/>
          <w:color w:val="000000" w:themeColor="text1"/>
        </w:rPr>
        <w:t>Special events</w:t>
      </w:r>
    </w:p>
    <w:p w14:paraId="7443FFEA" w14:textId="745F75CD" w:rsidR="008375B7" w:rsidRPr="008375B7" w:rsidRDefault="008375B7" w:rsidP="00750180">
      <w:pPr>
        <w:pStyle w:val="ListParagraph"/>
        <w:numPr>
          <w:ilvl w:val="0"/>
          <w:numId w:val="125"/>
        </w:numPr>
        <w:rPr>
          <w:rFonts w:cs="Calibri"/>
          <w:color w:val="000000" w:themeColor="text1"/>
        </w:rPr>
      </w:pPr>
      <w:r w:rsidRPr="008375B7">
        <w:rPr>
          <w:rFonts w:cs="Calibri"/>
          <w:color w:val="000000" w:themeColor="text1"/>
        </w:rPr>
        <w:t>Beach trading</w:t>
      </w:r>
    </w:p>
    <w:p w14:paraId="57D79A0E" w14:textId="0C5E3723" w:rsidR="008375B7" w:rsidRPr="008375B7" w:rsidRDefault="008375B7" w:rsidP="00750180">
      <w:pPr>
        <w:pStyle w:val="ListParagraph"/>
        <w:numPr>
          <w:ilvl w:val="0"/>
          <w:numId w:val="125"/>
        </w:numPr>
        <w:rPr>
          <w:rFonts w:cs="Calibri"/>
          <w:color w:val="000000" w:themeColor="text1"/>
        </w:rPr>
      </w:pPr>
      <w:r w:rsidRPr="008375B7">
        <w:rPr>
          <w:rFonts w:cs="Calibri"/>
          <w:color w:val="000000" w:themeColor="text1"/>
        </w:rPr>
        <w:t>Car washers</w:t>
      </w:r>
    </w:p>
    <w:p w14:paraId="053DF4D0" w14:textId="14C31B6D" w:rsidR="008375B7" w:rsidRPr="008375B7" w:rsidRDefault="008375B7" w:rsidP="00750180">
      <w:pPr>
        <w:pStyle w:val="ListParagraph"/>
        <w:numPr>
          <w:ilvl w:val="0"/>
          <w:numId w:val="125"/>
        </w:numPr>
        <w:rPr>
          <w:rFonts w:cs="Calibri"/>
          <w:color w:val="000000" w:themeColor="text1"/>
        </w:rPr>
      </w:pPr>
      <w:r w:rsidRPr="008375B7">
        <w:rPr>
          <w:rFonts w:cs="Calibri"/>
          <w:color w:val="000000" w:themeColor="text1"/>
        </w:rPr>
        <w:t>Hairdressers and</w:t>
      </w:r>
    </w:p>
    <w:p w14:paraId="04B31904" w14:textId="27095B76" w:rsidR="008375B7" w:rsidRDefault="008375B7" w:rsidP="00750180">
      <w:pPr>
        <w:pStyle w:val="ListParagraph"/>
        <w:numPr>
          <w:ilvl w:val="0"/>
          <w:numId w:val="125"/>
        </w:numPr>
        <w:spacing w:before="240" w:after="0"/>
        <w:rPr>
          <w:rFonts w:cs="Calibri"/>
          <w:color w:val="000000" w:themeColor="text1"/>
        </w:rPr>
      </w:pPr>
      <w:r w:rsidRPr="008375B7">
        <w:rPr>
          <w:rFonts w:cs="Calibri"/>
          <w:color w:val="000000" w:themeColor="text1"/>
        </w:rPr>
        <w:t>The Traditional Healers.</w:t>
      </w:r>
    </w:p>
    <w:p w14:paraId="30ADFA5F" w14:textId="77777777" w:rsidR="00FB75BA" w:rsidRDefault="00FB75BA" w:rsidP="00FB75BA">
      <w:pPr>
        <w:pStyle w:val="ListParagraph"/>
        <w:spacing w:before="240" w:after="0"/>
        <w:rPr>
          <w:rFonts w:cs="Calibri"/>
          <w:color w:val="000000" w:themeColor="text1"/>
        </w:rPr>
      </w:pPr>
    </w:p>
    <w:p w14:paraId="1BFF48CD" w14:textId="7EFB9AD3" w:rsidR="009D7CC9" w:rsidRPr="008375B7" w:rsidRDefault="008375B7" w:rsidP="00750180">
      <w:pPr>
        <w:pStyle w:val="ListParagraph"/>
        <w:numPr>
          <w:ilvl w:val="4"/>
          <w:numId w:val="29"/>
        </w:numPr>
        <w:jc w:val="both"/>
        <w:rPr>
          <w:rFonts w:cs="Calibri"/>
          <w:b/>
          <w:color w:val="000000" w:themeColor="text1"/>
        </w:rPr>
      </w:pPr>
      <w:r w:rsidRPr="008375B7">
        <w:rPr>
          <w:rFonts w:cs="Calibri"/>
          <w:b/>
          <w:color w:val="000000" w:themeColor="text1"/>
        </w:rPr>
        <w:t>Informal Traders Policy</w:t>
      </w:r>
    </w:p>
    <w:p w14:paraId="1CB75745" w14:textId="70BB773D" w:rsidR="00CF5644" w:rsidRDefault="000D66A1" w:rsidP="00FB75BA">
      <w:pPr>
        <w:jc w:val="both"/>
        <w:rPr>
          <w:rFonts w:cs="Calibri"/>
          <w:color w:val="000000" w:themeColor="text1"/>
        </w:rPr>
      </w:pPr>
      <w:r>
        <w:rPr>
          <w:rFonts w:cs="Calibri"/>
          <w:color w:val="000000" w:themeColor="text1"/>
        </w:rPr>
        <w:t>The uMlalazi LM Informal Traders</w:t>
      </w:r>
      <w:r w:rsidRPr="000D66A1">
        <w:rPr>
          <w:rFonts w:cs="Calibri"/>
          <w:color w:val="000000" w:themeColor="text1"/>
        </w:rPr>
        <w:t xml:space="preserve"> Policy</w:t>
      </w:r>
      <w:r w:rsidR="008375B7">
        <w:rPr>
          <w:rFonts w:cs="Calibri"/>
          <w:color w:val="000000" w:themeColor="text1"/>
        </w:rPr>
        <w:t xml:space="preserve"> which was developed in June 2013 and will be reviewed in 2018/19,</w:t>
      </w:r>
      <w:r w:rsidRPr="000D66A1">
        <w:rPr>
          <w:rFonts w:cs="Calibri"/>
          <w:color w:val="000000" w:themeColor="text1"/>
        </w:rPr>
        <w:t xml:space="preserve"> covers the informal trading activities</w:t>
      </w:r>
      <w:r w:rsidR="008E6454">
        <w:rPr>
          <w:rFonts w:cs="Calibri"/>
          <w:color w:val="000000" w:themeColor="text1"/>
        </w:rPr>
        <w:t xml:space="preserve"> occurring within the m</w:t>
      </w:r>
      <w:r w:rsidRPr="000D66A1">
        <w:rPr>
          <w:rFonts w:cs="Calibri"/>
          <w:color w:val="000000" w:themeColor="text1"/>
        </w:rPr>
        <w:t xml:space="preserve">unicipality. </w:t>
      </w:r>
      <w:r w:rsidR="00CF5644" w:rsidRPr="00CF5644">
        <w:rPr>
          <w:rFonts w:cs="Calibri"/>
          <w:color w:val="000000" w:themeColor="text1"/>
        </w:rPr>
        <w:t xml:space="preserve"> </w:t>
      </w:r>
      <w:r w:rsidR="008E6454">
        <w:rPr>
          <w:rFonts w:cs="Calibri"/>
          <w:color w:val="000000" w:themeColor="text1"/>
        </w:rPr>
        <w:t>This policy is founded in economic, social and spatial principles which provide a strategic thrust in achieving the core objectives upon which the policy is derived.</w:t>
      </w:r>
      <w:r w:rsidR="00FB75BA" w:rsidRPr="00FB75BA">
        <w:t xml:space="preserve"> </w:t>
      </w:r>
      <w:r w:rsidR="00FB75BA" w:rsidRPr="00FB75BA">
        <w:rPr>
          <w:rFonts w:cs="Calibri"/>
          <w:color w:val="000000" w:themeColor="text1"/>
        </w:rPr>
        <w:t xml:space="preserve">In taking cognizance on the development of this sector, the municipality has identified a need to formalize the facilities for informal trading. The municipality has introduces a smart card manufacturing system for the issuing </w:t>
      </w:r>
      <w:r w:rsidR="00FB75BA">
        <w:rPr>
          <w:rFonts w:cs="Calibri"/>
          <w:color w:val="000000" w:themeColor="text1"/>
        </w:rPr>
        <w:t>of permits.</w:t>
      </w:r>
    </w:p>
    <w:p w14:paraId="6B4E2963" w14:textId="6323D9BE" w:rsidR="008375B7" w:rsidRPr="008375B7" w:rsidRDefault="008375B7" w:rsidP="008375B7">
      <w:pPr>
        <w:jc w:val="both"/>
        <w:rPr>
          <w:rFonts w:cs="Calibri"/>
          <w:color w:val="000000" w:themeColor="text1"/>
        </w:rPr>
      </w:pPr>
      <w:r>
        <w:rPr>
          <w:rFonts w:cs="Calibri"/>
          <w:color w:val="000000" w:themeColor="text1"/>
        </w:rPr>
        <w:t>The main purpose of developing the I</w:t>
      </w:r>
      <w:r w:rsidRPr="008375B7">
        <w:rPr>
          <w:rFonts w:cs="Calibri"/>
          <w:color w:val="000000" w:themeColor="text1"/>
        </w:rPr>
        <w:t xml:space="preserve">nformal Trading Policy </w:t>
      </w:r>
      <w:r>
        <w:rPr>
          <w:rFonts w:cs="Calibri"/>
          <w:color w:val="000000" w:themeColor="text1"/>
        </w:rPr>
        <w:t>was to;</w:t>
      </w:r>
    </w:p>
    <w:p w14:paraId="30969F98" w14:textId="71652CCE" w:rsidR="008375B7" w:rsidRPr="008375B7" w:rsidRDefault="008375B7" w:rsidP="00750180">
      <w:pPr>
        <w:pStyle w:val="ListParagraph"/>
        <w:numPr>
          <w:ilvl w:val="0"/>
          <w:numId w:val="124"/>
        </w:numPr>
        <w:jc w:val="both"/>
        <w:rPr>
          <w:rFonts w:cs="Calibri"/>
          <w:color w:val="000000" w:themeColor="text1"/>
        </w:rPr>
      </w:pPr>
      <w:r w:rsidRPr="008375B7">
        <w:rPr>
          <w:rFonts w:cs="Calibri"/>
          <w:color w:val="000000" w:themeColor="text1"/>
        </w:rPr>
        <w:t>Define an integrated and holistic approach for all departments within the uMlalazi Area.</w:t>
      </w:r>
    </w:p>
    <w:p w14:paraId="1D7561F6" w14:textId="0C143A77" w:rsidR="008375B7" w:rsidRPr="008375B7" w:rsidRDefault="008375B7" w:rsidP="00750180">
      <w:pPr>
        <w:pStyle w:val="ListParagraph"/>
        <w:numPr>
          <w:ilvl w:val="0"/>
          <w:numId w:val="124"/>
        </w:numPr>
        <w:jc w:val="both"/>
        <w:rPr>
          <w:rFonts w:cs="Calibri"/>
          <w:color w:val="000000" w:themeColor="text1"/>
        </w:rPr>
      </w:pPr>
      <w:r>
        <w:rPr>
          <w:rFonts w:cs="Calibri"/>
          <w:color w:val="000000" w:themeColor="text1"/>
        </w:rPr>
        <w:t>Clarify</w:t>
      </w:r>
      <w:r w:rsidRPr="008375B7">
        <w:rPr>
          <w:rFonts w:cs="Calibri"/>
          <w:color w:val="000000" w:themeColor="text1"/>
        </w:rPr>
        <w:t xml:space="preserve"> the Council’s policy to all relevant stakeholders.</w:t>
      </w:r>
    </w:p>
    <w:p w14:paraId="3B3BE8BE" w14:textId="3E8B4B7A" w:rsidR="008375B7" w:rsidRPr="008375B7" w:rsidRDefault="008375B7" w:rsidP="00750180">
      <w:pPr>
        <w:pStyle w:val="ListParagraph"/>
        <w:numPr>
          <w:ilvl w:val="0"/>
          <w:numId w:val="124"/>
        </w:numPr>
        <w:jc w:val="both"/>
        <w:rPr>
          <w:rFonts w:cs="Calibri"/>
          <w:color w:val="000000" w:themeColor="text1"/>
        </w:rPr>
      </w:pPr>
      <w:r>
        <w:rPr>
          <w:rFonts w:cs="Calibri"/>
          <w:color w:val="000000" w:themeColor="text1"/>
        </w:rPr>
        <w:t>Form</w:t>
      </w:r>
      <w:r w:rsidRPr="008375B7">
        <w:rPr>
          <w:rFonts w:cs="Calibri"/>
          <w:color w:val="000000" w:themeColor="text1"/>
        </w:rPr>
        <w:t xml:space="preserve"> the basis for the By-Law that will regulate Informal Trading in the municipality.</w:t>
      </w:r>
    </w:p>
    <w:p w14:paraId="43933410" w14:textId="7F13989B" w:rsidR="008375B7" w:rsidRDefault="008375B7" w:rsidP="00750180">
      <w:pPr>
        <w:pStyle w:val="ListParagraph"/>
        <w:numPr>
          <w:ilvl w:val="0"/>
          <w:numId w:val="124"/>
        </w:numPr>
        <w:jc w:val="both"/>
        <w:rPr>
          <w:rFonts w:cs="Calibri"/>
          <w:color w:val="000000" w:themeColor="text1"/>
        </w:rPr>
      </w:pPr>
      <w:r w:rsidRPr="008375B7">
        <w:rPr>
          <w:rFonts w:cs="Calibri"/>
          <w:color w:val="000000" w:themeColor="text1"/>
        </w:rPr>
        <w:t>Provide a basis for resource allocation decision.</w:t>
      </w:r>
    </w:p>
    <w:p w14:paraId="3DFBB309" w14:textId="1202B21E" w:rsidR="008375B7" w:rsidRDefault="008375B7" w:rsidP="00750180">
      <w:pPr>
        <w:pStyle w:val="ListParagraph"/>
        <w:numPr>
          <w:ilvl w:val="0"/>
          <w:numId w:val="124"/>
        </w:numPr>
        <w:jc w:val="both"/>
        <w:rPr>
          <w:rFonts w:cs="Calibri"/>
          <w:color w:val="000000" w:themeColor="text1"/>
        </w:rPr>
      </w:pPr>
      <w:r w:rsidRPr="008375B7">
        <w:rPr>
          <w:rFonts w:cs="Calibri"/>
          <w:color w:val="000000" w:themeColor="text1"/>
        </w:rPr>
        <w:t>Establish</w:t>
      </w:r>
      <w:r>
        <w:rPr>
          <w:rFonts w:cs="Calibri"/>
          <w:color w:val="000000" w:themeColor="text1"/>
        </w:rPr>
        <w:t xml:space="preserve"> </w:t>
      </w:r>
      <w:r w:rsidRPr="008375B7">
        <w:rPr>
          <w:rFonts w:cs="Calibri"/>
          <w:color w:val="000000" w:themeColor="text1"/>
        </w:rPr>
        <w:t>the basis for a monitoring evaluation process, with clearly defined key objectives.</w:t>
      </w:r>
    </w:p>
    <w:p w14:paraId="2A9D10F7" w14:textId="76268BEF" w:rsidR="00287E25" w:rsidRDefault="008375B7" w:rsidP="008375B7">
      <w:pPr>
        <w:jc w:val="both"/>
        <w:rPr>
          <w:rFonts w:cs="Calibri"/>
          <w:color w:val="000000" w:themeColor="text1"/>
        </w:rPr>
      </w:pPr>
      <w:r>
        <w:rPr>
          <w:rFonts w:cs="Calibri"/>
          <w:color w:val="000000" w:themeColor="text1"/>
        </w:rPr>
        <w:t>The policy further identifies and puts into place mechanisms to regulate</w:t>
      </w:r>
      <w:r w:rsidR="00287E25">
        <w:rPr>
          <w:rFonts w:cs="Calibri"/>
          <w:color w:val="000000" w:themeColor="text1"/>
        </w:rPr>
        <w:t>;</w:t>
      </w:r>
    </w:p>
    <w:p w14:paraId="2B095E9E" w14:textId="3FD19C8F" w:rsidR="008375B7" w:rsidRDefault="00287E25" w:rsidP="00750180">
      <w:pPr>
        <w:pStyle w:val="ListParagraph"/>
        <w:numPr>
          <w:ilvl w:val="0"/>
          <w:numId w:val="126"/>
        </w:numPr>
        <w:jc w:val="both"/>
        <w:rPr>
          <w:rFonts w:cs="Calibri"/>
          <w:color w:val="000000" w:themeColor="text1"/>
        </w:rPr>
      </w:pPr>
      <w:r w:rsidRPr="00287E25">
        <w:rPr>
          <w:rFonts w:cs="Calibri"/>
          <w:color w:val="000000" w:themeColor="text1"/>
        </w:rPr>
        <w:t>The Allocation of Vendors</w:t>
      </w:r>
      <w:r>
        <w:rPr>
          <w:rFonts w:cs="Calibri"/>
          <w:color w:val="000000" w:themeColor="text1"/>
        </w:rPr>
        <w:t xml:space="preserve"> (Land Parcels)</w:t>
      </w:r>
    </w:p>
    <w:p w14:paraId="0BF6D612" w14:textId="4946F7E2" w:rsidR="00287E25" w:rsidRDefault="00287E25" w:rsidP="00750180">
      <w:pPr>
        <w:pStyle w:val="ListParagraph"/>
        <w:numPr>
          <w:ilvl w:val="0"/>
          <w:numId w:val="126"/>
        </w:numPr>
        <w:jc w:val="both"/>
        <w:rPr>
          <w:rFonts w:cs="Calibri"/>
          <w:color w:val="000000" w:themeColor="text1"/>
        </w:rPr>
      </w:pPr>
      <w:r>
        <w:rPr>
          <w:rFonts w:cs="Calibri"/>
          <w:color w:val="000000" w:themeColor="text1"/>
        </w:rPr>
        <w:t xml:space="preserve">Tariffs/Rental </w:t>
      </w:r>
    </w:p>
    <w:p w14:paraId="177F38FF" w14:textId="22632256" w:rsidR="00287E25" w:rsidRDefault="00287E25" w:rsidP="00750180">
      <w:pPr>
        <w:pStyle w:val="ListParagraph"/>
        <w:numPr>
          <w:ilvl w:val="0"/>
          <w:numId w:val="126"/>
        </w:numPr>
        <w:jc w:val="both"/>
        <w:rPr>
          <w:rFonts w:cs="Calibri"/>
          <w:color w:val="000000" w:themeColor="text1"/>
        </w:rPr>
      </w:pPr>
      <w:r>
        <w:rPr>
          <w:rFonts w:cs="Calibri"/>
          <w:color w:val="000000" w:themeColor="text1"/>
        </w:rPr>
        <w:t>Permits</w:t>
      </w:r>
    </w:p>
    <w:p w14:paraId="42A08034" w14:textId="176604C4" w:rsidR="00287E25" w:rsidRPr="00287E25" w:rsidRDefault="00287E25" w:rsidP="00750180">
      <w:pPr>
        <w:pStyle w:val="ListParagraph"/>
        <w:numPr>
          <w:ilvl w:val="0"/>
          <w:numId w:val="126"/>
        </w:numPr>
        <w:jc w:val="both"/>
        <w:rPr>
          <w:rFonts w:cs="Calibri"/>
          <w:color w:val="000000" w:themeColor="text1"/>
        </w:rPr>
      </w:pPr>
      <w:r>
        <w:rPr>
          <w:rFonts w:cs="Calibri"/>
          <w:color w:val="000000" w:themeColor="text1"/>
        </w:rPr>
        <w:t>Establishment of a Regulatory Body</w:t>
      </w:r>
    </w:p>
    <w:p w14:paraId="409BABD6" w14:textId="77777777" w:rsidR="008E6454" w:rsidRDefault="008E6454" w:rsidP="000D66A1">
      <w:pPr>
        <w:jc w:val="both"/>
        <w:rPr>
          <w:rFonts w:cs="Calibri"/>
          <w:color w:val="000000" w:themeColor="text1"/>
        </w:rPr>
      </w:pPr>
      <w:r w:rsidRPr="008E6454">
        <w:rPr>
          <w:rFonts w:cs="Calibri"/>
          <w:color w:val="000000" w:themeColor="text1"/>
        </w:rPr>
        <w:t xml:space="preserve">Central to equitable allocation of trading bays, is the compilation by the municipality of a database of all street traders in a particular area, which will include for each trader: ID number or any </w:t>
      </w:r>
      <w:r w:rsidR="008D130F" w:rsidRPr="008E6454">
        <w:rPr>
          <w:rFonts w:cs="Calibri"/>
          <w:color w:val="000000" w:themeColor="text1"/>
        </w:rPr>
        <w:t>recognized</w:t>
      </w:r>
      <w:r w:rsidRPr="008E6454">
        <w:rPr>
          <w:rFonts w:cs="Calibri"/>
          <w:color w:val="000000" w:themeColor="text1"/>
        </w:rPr>
        <w:t xml:space="preserve"> form of identification, address, goods being sold, trading location and any other relevant information.</w:t>
      </w:r>
      <w:r>
        <w:rPr>
          <w:rFonts w:cs="Calibri"/>
          <w:color w:val="000000" w:themeColor="text1"/>
        </w:rPr>
        <w:t xml:space="preserve"> </w:t>
      </w:r>
      <w:r w:rsidR="00AE3E37" w:rsidRPr="00301560">
        <w:rPr>
          <w:rFonts w:cs="Calibri"/>
          <w:color w:val="000000" w:themeColor="text1"/>
        </w:rPr>
        <w:t>A summary</w:t>
      </w:r>
      <w:r w:rsidR="00AE3E37" w:rsidRPr="00555EAF">
        <w:rPr>
          <w:rFonts w:cs="Calibri"/>
          <w:color w:val="000000" w:themeColor="text1"/>
        </w:rPr>
        <w:t xml:space="preserve"> of the </w:t>
      </w:r>
      <w:r w:rsidRPr="00555EAF">
        <w:rPr>
          <w:rFonts w:cs="Calibri"/>
          <w:color w:val="000000" w:themeColor="text1"/>
        </w:rPr>
        <w:t>municipal</w:t>
      </w:r>
      <w:r w:rsidR="00AE3E37" w:rsidRPr="00555EAF">
        <w:rPr>
          <w:rFonts w:cs="Calibri"/>
          <w:color w:val="000000" w:themeColor="text1"/>
        </w:rPr>
        <w:t xml:space="preserve"> informal </w:t>
      </w:r>
      <w:r w:rsidR="00703CE6" w:rsidRPr="00555EAF">
        <w:rPr>
          <w:rFonts w:cs="Calibri"/>
          <w:color w:val="000000" w:themeColor="text1"/>
        </w:rPr>
        <w:t>trader’s</w:t>
      </w:r>
      <w:r w:rsidR="00AE3E37" w:rsidRPr="00555EAF">
        <w:rPr>
          <w:rFonts w:cs="Calibri"/>
          <w:color w:val="000000" w:themeColor="text1"/>
        </w:rPr>
        <w:t xml:space="preserve"> data base is as follows;</w:t>
      </w:r>
    </w:p>
    <w:tbl>
      <w:tblPr>
        <w:tblStyle w:val="TableGrid"/>
        <w:tblW w:w="0" w:type="auto"/>
        <w:tblLook w:val="04A0" w:firstRow="1" w:lastRow="0" w:firstColumn="1" w:lastColumn="0" w:noHBand="0" w:noVBand="1"/>
      </w:tblPr>
      <w:tblGrid>
        <w:gridCol w:w="510"/>
        <w:gridCol w:w="5527"/>
        <w:gridCol w:w="2463"/>
      </w:tblGrid>
      <w:tr w:rsidR="00BB5C77" w:rsidRPr="00BB5C77" w14:paraId="2EA653A1" w14:textId="77777777" w:rsidTr="00BB5C77">
        <w:tc>
          <w:tcPr>
            <w:tcW w:w="510" w:type="dxa"/>
            <w:shd w:val="clear" w:color="auto" w:fill="D9D9D9" w:themeFill="background1" w:themeFillShade="D9"/>
          </w:tcPr>
          <w:p w14:paraId="76981630" w14:textId="77777777" w:rsidR="00BB5C77" w:rsidRPr="00BB5C77" w:rsidRDefault="00BB5C77" w:rsidP="00BB5C77">
            <w:pPr>
              <w:rPr>
                <w:rFonts w:cs="Calibri"/>
                <w:b/>
                <w:color w:val="000000" w:themeColor="text1"/>
                <w:lang w:bidi="en-US"/>
              </w:rPr>
            </w:pPr>
            <w:r w:rsidRPr="00BB5C77">
              <w:rPr>
                <w:rFonts w:cs="Calibri"/>
                <w:b/>
                <w:color w:val="000000" w:themeColor="text1"/>
                <w:lang w:bidi="en-US"/>
              </w:rPr>
              <w:t xml:space="preserve">NO </w:t>
            </w:r>
          </w:p>
        </w:tc>
        <w:tc>
          <w:tcPr>
            <w:tcW w:w="5527" w:type="dxa"/>
            <w:shd w:val="clear" w:color="auto" w:fill="D9D9D9" w:themeFill="background1" w:themeFillShade="D9"/>
          </w:tcPr>
          <w:p w14:paraId="43981D0F" w14:textId="77777777" w:rsidR="00BB5C77" w:rsidRPr="00BB5C77" w:rsidRDefault="00BB5C77" w:rsidP="00BB5C77">
            <w:pPr>
              <w:rPr>
                <w:rFonts w:cs="Calibri"/>
                <w:b/>
                <w:color w:val="000000" w:themeColor="text1"/>
                <w:lang w:bidi="en-US"/>
              </w:rPr>
            </w:pPr>
            <w:r w:rsidRPr="00BB5C77">
              <w:rPr>
                <w:rFonts w:cs="Calibri"/>
                <w:b/>
                <w:color w:val="000000" w:themeColor="text1"/>
                <w:lang w:bidi="en-US"/>
              </w:rPr>
              <w:t>PLACE WHERE INFORMAL TRADERS ARE TRADING</w:t>
            </w:r>
          </w:p>
        </w:tc>
        <w:tc>
          <w:tcPr>
            <w:tcW w:w="2463" w:type="dxa"/>
            <w:shd w:val="clear" w:color="auto" w:fill="D9D9D9" w:themeFill="background1" w:themeFillShade="D9"/>
          </w:tcPr>
          <w:p w14:paraId="3D9F9866" w14:textId="77777777" w:rsidR="00BB5C77" w:rsidRPr="00BB5C77" w:rsidRDefault="00BB5C77" w:rsidP="00BB5C77">
            <w:pPr>
              <w:rPr>
                <w:rFonts w:cs="Calibri"/>
                <w:b/>
                <w:color w:val="000000" w:themeColor="text1"/>
                <w:lang w:bidi="en-US"/>
              </w:rPr>
            </w:pPr>
            <w:r w:rsidRPr="00BB5C77">
              <w:rPr>
                <w:rFonts w:cs="Calibri"/>
                <w:b/>
                <w:color w:val="000000" w:themeColor="text1"/>
                <w:lang w:bidi="en-US"/>
              </w:rPr>
              <w:t>NUMBER OF TRADERS</w:t>
            </w:r>
          </w:p>
        </w:tc>
      </w:tr>
      <w:tr w:rsidR="00BB5C77" w:rsidRPr="00BB5C77" w14:paraId="68E50BDC" w14:textId="77777777" w:rsidTr="00EA7BEE">
        <w:tc>
          <w:tcPr>
            <w:tcW w:w="510" w:type="dxa"/>
          </w:tcPr>
          <w:p w14:paraId="3DE30169"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1</w:t>
            </w:r>
          </w:p>
        </w:tc>
        <w:tc>
          <w:tcPr>
            <w:tcW w:w="5527" w:type="dxa"/>
          </w:tcPr>
          <w:p w14:paraId="48B9DC48"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BUS &amp; TAXI  RANK INFORMAL TRADERS</w:t>
            </w:r>
          </w:p>
        </w:tc>
        <w:tc>
          <w:tcPr>
            <w:tcW w:w="2463" w:type="dxa"/>
          </w:tcPr>
          <w:p w14:paraId="1D448668"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138</w:t>
            </w:r>
          </w:p>
        </w:tc>
      </w:tr>
      <w:tr w:rsidR="00BB5C77" w:rsidRPr="00BB5C77" w14:paraId="3AC51421" w14:textId="77777777" w:rsidTr="00EA7BEE">
        <w:tc>
          <w:tcPr>
            <w:tcW w:w="510" w:type="dxa"/>
          </w:tcPr>
          <w:p w14:paraId="3604ED16"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2</w:t>
            </w:r>
          </w:p>
        </w:tc>
        <w:tc>
          <w:tcPr>
            <w:tcW w:w="5527" w:type="dxa"/>
          </w:tcPr>
          <w:p w14:paraId="760829A0"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FOUR SQUARE INFORMALTRADER</w:t>
            </w:r>
          </w:p>
        </w:tc>
        <w:tc>
          <w:tcPr>
            <w:tcW w:w="2463" w:type="dxa"/>
          </w:tcPr>
          <w:p w14:paraId="3231C7A7"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51</w:t>
            </w:r>
          </w:p>
        </w:tc>
      </w:tr>
      <w:tr w:rsidR="00BB5C77" w:rsidRPr="00BB5C77" w14:paraId="3D07A6B4" w14:textId="77777777" w:rsidTr="00EA7BEE">
        <w:tc>
          <w:tcPr>
            <w:tcW w:w="510" w:type="dxa"/>
          </w:tcPr>
          <w:p w14:paraId="35A21440"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3</w:t>
            </w:r>
          </w:p>
        </w:tc>
        <w:tc>
          <w:tcPr>
            <w:tcW w:w="5527" w:type="dxa"/>
          </w:tcPr>
          <w:p w14:paraId="25EFA20F"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GINGINDLOVU INFORMAL TRADERS</w:t>
            </w:r>
          </w:p>
        </w:tc>
        <w:tc>
          <w:tcPr>
            <w:tcW w:w="2463" w:type="dxa"/>
          </w:tcPr>
          <w:p w14:paraId="7528E5E0"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57</w:t>
            </w:r>
          </w:p>
        </w:tc>
      </w:tr>
      <w:tr w:rsidR="00BB5C77" w:rsidRPr="00BB5C77" w14:paraId="71071076" w14:textId="77777777" w:rsidTr="00EA7BEE">
        <w:tc>
          <w:tcPr>
            <w:tcW w:w="510" w:type="dxa"/>
          </w:tcPr>
          <w:p w14:paraId="6993299F"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4</w:t>
            </w:r>
          </w:p>
        </w:tc>
        <w:tc>
          <w:tcPr>
            <w:tcW w:w="5527" w:type="dxa"/>
          </w:tcPr>
          <w:p w14:paraId="4DB0979F"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KDS INFOMAL TRADERS</w:t>
            </w:r>
          </w:p>
        </w:tc>
        <w:tc>
          <w:tcPr>
            <w:tcW w:w="2463" w:type="dxa"/>
          </w:tcPr>
          <w:p w14:paraId="0AB586F5"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25</w:t>
            </w:r>
          </w:p>
        </w:tc>
      </w:tr>
      <w:tr w:rsidR="00BB5C77" w:rsidRPr="00BB5C77" w14:paraId="3FE52D86" w14:textId="77777777" w:rsidTr="00EA7BEE">
        <w:tc>
          <w:tcPr>
            <w:tcW w:w="510" w:type="dxa"/>
          </w:tcPr>
          <w:p w14:paraId="370F6632"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5</w:t>
            </w:r>
          </w:p>
        </w:tc>
        <w:tc>
          <w:tcPr>
            <w:tcW w:w="5527" w:type="dxa"/>
          </w:tcPr>
          <w:p w14:paraId="64D05238"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KWA-KHOZA RANK INFORMAL TRADERS</w:t>
            </w:r>
          </w:p>
        </w:tc>
        <w:tc>
          <w:tcPr>
            <w:tcW w:w="2463" w:type="dxa"/>
          </w:tcPr>
          <w:p w14:paraId="26EF282E"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18</w:t>
            </w:r>
          </w:p>
        </w:tc>
      </w:tr>
      <w:tr w:rsidR="00BB5C77" w:rsidRPr="00BB5C77" w14:paraId="342CA591" w14:textId="77777777" w:rsidTr="00EA7BEE">
        <w:tc>
          <w:tcPr>
            <w:tcW w:w="510" w:type="dxa"/>
          </w:tcPr>
          <w:p w14:paraId="56104C17"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6</w:t>
            </w:r>
          </w:p>
        </w:tc>
        <w:tc>
          <w:tcPr>
            <w:tcW w:w="5527" w:type="dxa"/>
          </w:tcPr>
          <w:p w14:paraId="4A43E319"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THEATRE LANE INFORMAL TRADERS</w:t>
            </w:r>
          </w:p>
        </w:tc>
        <w:tc>
          <w:tcPr>
            <w:tcW w:w="2463" w:type="dxa"/>
          </w:tcPr>
          <w:p w14:paraId="296C20A2"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69</w:t>
            </w:r>
          </w:p>
        </w:tc>
      </w:tr>
      <w:tr w:rsidR="00BB5C77" w:rsidRPr="00BB5C77" w14:paraId="61944AA0" w14:textId="77777777" w:rsidTr="00EA7BEE">
        <w:tc>
          <w:tcPr>
            <w:tcW w:w="510" w:type="dxa"/>
          </w:tcPr>
          <w:p w14:paraId="2FD886CA"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7</w:t>
            </w:r>
          </w:p>
        </w:tc>
        <w:tc>
          <w:tcPr>
            <w:tcW w:w="5527" w:type="dxa"/>
          </w:tcPr>
          <w:p w14:paraId="20B7C86E"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MTHUNZINI INFORMAL TRADERS</w:t>
            </w:r>
          </w:p>
        </w:tc>
        <w:tc>
          <w:tcPr>
            <w:tcW w:w="2463" w:type="dxa"/>
          </w:tcPr>
          <w:p w14:paraId="4590DDA8"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08</w:t>
            </w:r>
          </w:p>
        </w:tc>
      </w:tr>
      <w:tr w:rsidR="00BB5C77" w:rsidRPr="00BB5C77" w14:paraId="79F158EC" w14:textId="77777777" w:rsidTr="00EA7BEE">
        <w:tc>
          <w:tcPr>
            <w:tcW w:w="510" w:type="dxa"/>
          </w:tcPr>
          <w:p w14:paraId="10FFB8BD"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8</w:t>
            </w:r>
          </w:p>
        </w:tc>
        <w:tc>
          <w:tcPr>
            <w:tcW w:w="5527" w:type="dxa"/>
          </w:tcPr>
          <w:p w14:paraId="3D5EF19E"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NQOLENI INFORMAL TRADERS</w:t>
            </w:r>
          </w:p>
        </w:tc>
        <w:tc>
          <w:tcPr>
            <w:tcW w:w="2463" w:type="dxa"/>
          </w:tcPr>
          <w:p w14:paraId="7E6814C2"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22</w:t>
            </w:r>
          </w:p>
        </w:tc>
      </w:tr>
      <w:tr w:rsidR="00BB5C77" w:rsidRPr="00BB5C77" w14:paraId="7D680BEA" w14:textId="77777777" w:rsidTr="00EA7BEE">
        <w:tc>
          <w:tcPr>
            <w:tcW w:w="510" w:type="dxa"/>
          </w:tcPr>
          <w:p w14:paraId="3AED5F14"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9</w:t>
            </w:r>
          </w:p>
        </w:tc>
        <w:tc>
          <w:tcPr>
            <w:tcW w:w="5527" w:type="dxa"/>
          </w:tcPr>
          <w:p w14:paraId="3F655A28"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OSBORNE INFORMAL TRADERS</w:t>
            </w:r>
          </w:p>
        </w:tc>
        <w:tc>
          <w:tcPr>
            <w:tcW w:w="2463" w:type="dxa"/>
          </w:tcPr>
          <w:p w14:paraId="2E408CD8" w14:textId="77777777" w:rsidR="00BB5C77" w:rsidRPr="00BB5C77" w:rsidRDefault="00BB5C77" w:rsidP="00BB5C77">
            <w:pPr>
              <w:rPr>
                <w:rFonts w:cs="Calibri"/>
                <w:color w:val="000000" w:themeColor="text1"/>
                <w:lang w:bidi="en-US"/>
              </w:rPr>
            </w:pPr>
            <w:r w:rsidRPr="00BB5C77">
              <w:rPr>
                <w:rFonts w:cs="Calibri"/>
                <w:color w:val="000000" w:themeColor="text1"/>
                <w:lang w:bidi="en-US"/>
              </w:rPr>
              <w:t>48</w:t>
            </w:r>
          </w:p>
        </w:tc>
      </w:tr>
    </w:tbl>
    <w:p w14:paraId="33ED6739" w14:textId="77777777" w:rsidR="00CF5644" w:rsidRPr="001151ED" w:rsidRDefault="00813D20" w:rsidP="00813D20">
      <w:pPr>
        <w:pStyle w:val="Caption"/>
      </w:pPr>
      <w:bookmarkStart w:id="400" w:name="_Toc510622304"/>
      <w:r>
        <w:t xml:space="preserve">Table </w:t>
      </w:r>
      <w:r w:rsidR="00B918A6">
        <w:fldChar w:fldCharType="begin"/>
      </w:r>
      <w:r w:rsidR="00B918A6">
        <w:instrText xml:space="preserve"> SEQ Table \* ARABIC </w:instrText>
      </w:r>
      <w:r w:rsidR="00B918A6">
        <w:fldChar w:fldCharType="separate"/>
      </w:r>
      <w:r w:rsidR="0067023A">
        <w:rPr>
          <w:noProof/>
        </w:rPr>
        <w:t>54</w:t>
      </w:r>
      <w:r w:rsidR="00B918A6">
        <w:rPr>
          <w:noProof/>
        </w:rPr>
        <w:fldChar w:fldCharType="end"/>
      </w:r>
      <w:r>
        <w:t xml:space="preserve">: </w:t>
      </w:r>
      <w:r w:rsidR="00AE3E37" w:rsidRPr="001151ED">
        <w:t>Informal Traders Database</w:t>
      </w:r>
      <w:bookmarkEnd w:id="400"/>
    </w:p>
    <w:p w14:paraId="01EB02A4" w14:textId="77777777" w:rsidR="0037082E" w:rsidRPr="00813D20" w:rsidRDefault="0037082E" w:rsidP="00750180">
      <w:pPr>
        <w:pStyle w:val="Heading4"/>
        <w:numPr>
          <w:ilvl w:val="3"/>
          <w:numId w:val="29"/>
        </w:numPr>
        <w:spacing w:after="240"/>
      </w:pPr>
      <w:bookmarkStart w:id="401" w:name="_Toc389739960"/>
      <w:r w:rsidRPr="00813D20">
        <w:t>Agriculture</w:t>
      </w:r>
      <w:bookmarkEnd w:id="401"/>
    </w:p>
    <w:p w14:paraId="2FD0F06C" w14:textId="77777777" w:rsidR="00A11771" w:rsidRDefault="00A11771" w:rsidP="003A4391">
      <w:pPr>
        <w:spacing w:line="288" w:lineRule="auto"/>
        <w:jc w:val="both"/>
        <w:rPr>
          <w:rFonts w:cs="Calibri"/>
          <w:color w:val="000000" w:themeColor="text1"/>
          <w:lang w:bidi="en-US"/>
        </w:rPr>
      </w:pPr>
      <w:r w:rsidRPr="00881795">
        <w:rPr>
          <w:rFonts w:cs="Calibri"/>
          <w:color w:val="000000" w:themeColor="text1"/>
          <w:lang w:bidi="en-US"/>
        </w:rPr>
        <w:t xml:space="preserve">The agricultural sector dominates uMlalazi contributing 33% to the local economy. The uMlalazi area is reliant on the agricultural sector for economic growth. The products that dominate the </w:t>
      </w:r>
      <w:r w:rsidR="006A453F">
        <w:rPr>
          <w:rFonts w:cs="Calibri"/>
          <w:color w:val="000000" w:themeColor="text1"/>
          <w:lang w:bidi="en-US"/>
        </w:rPr>
        <w:t xml:space="preserve">municipal </w:t>
      </w:r>
      <w:r w:rsidRPr="00881795">
        <w:rPr>
          <w:rFonts w:cs="Calibri"/>
          <w:color w:val="000000" w:themeColor="text1"/>
          <w:lang w:bidi="en-US"/>
        </w:rPr>
        <w:t xml:space="preserve">area are sugar cane, timber production and citrus farming. </w:t>
      </w:r>
      <w:r w:rsidR="003A4391" w:rsidRPr="003A4391">
        <w:rPr>
          <w:rFonts w:cs="Calibri"/>
          <w:color w:val="000000" w:themeColor="text1"/>
          <w:lang w:bidi="en-US"/>
        </w:rPr>
        <w:t xml:space="preserve">The agricultural sector accounts for approximately 6.4% of total GVA in the </w:t>
      </w:r>
      <w:r w:rsidR="001D792E">
        <w:rPr>
          <w:rFonts w:cs="Calibri"/>
          <w:color w:val="000000" w:themeColor="text1"/>
          <w:lang w:bidi="en-US"/>
        </w:rPr>
        <w:t>King Cetshwayo</w:t>
      </w:r>
      <w:r w:rsidR="003A4391" w:rsidRPr="003A4391">
        <w:rPr>
          <w:rFonts w:cs="Calibri"/>
          <w:color w:val="000000" w:themeColor="text1"/>
          <w:lang w:bidi="en-US"/>
        </w:rPr>
        <w:t xml:space="preserve"> </w:t>
      </w:r>
      <w:r w:rsidR="003C03FA">
        <w:rPr>
          <w:rFonts w:cs="Calibri"/>
          <w:color w:val="000000" w:themeColor="text1"/>
          <w:lang w:bidi="en-US"/>
        </w:rPr>
        <w:t>District</w:t>
      </w:r>
      <w:r w:rsidR="003A4391" w:rsidRPr="003A4391">
        <w:rPr>
          <w:rFonts w:cs="Calibri"/>
          <w:color w:val="000000" w:themeColor="text1"/>
          <w:lang w:bidi="en-US"/>
        </w:rPr>
        <w:t xml:space="preserve">, while the contribution of this sector to total formal employment is 7.9%. </w:t>
      </w:r>
      <w:r w:rsidR="00703CE6" w:rsidRPr="003A4391">
        <w:rPr>
          <w:rFonts w:cs="Calibri"/>
          <w:color w:val="000000" w:themeColor="text1"/>
          <w:lang w:bidi="en-US"/>
        </w:rPr>
        <w:t>UMlalazi</w:t>
      </w:r>
      <w:r w:rsidR="003A4391" w:rsidRPr="003A4391">
        <w:rPr>
          <w:rFonts w:cs="Calibri"/>
          <w:color w:val="000000" w:themeColor="text1"/>
          <w:lang w:bidi="en-US"/>
        </w:rPr>
        <w:t xml:space="preserve"> contributes 19.8% to total agricultural output in the district,</w:t>
      </w:r>
      <w:r w:rsidR="003A4391">
        <w:rPr>
          <w:rFonts w:cs="Calibri"/>
          <w:color w:val="000000" w:themeColor="text1"/>
          <w:lang w:bidi="en-US"/>
        </w:rPr>
        <w:t xml:space="preserve"> and have experienced a decline </w:t>
      </w:r>
      <w:r w:rsidR="003A4391" w:rsidRPr="003A4391">
        <w:rPr>
          <w:rFonts w:cs="Calibri"/>
          <w:color w:val="000000" w:themeColor="text1"/>
          <w:lang w:bidi="en-US"/>
        </w:rPr>
        <w:t xml:space="preserve">in growth of -5.5% from 2001 to 2011. </w:t>
      </w:r>
    </w:p>
    <w:p w14:paraId="7DA42478" w14:textId="77777777" w:rsidR="00F3229F" w:rsidRDefault="00F3229F" w:rsidP="003A4391">
      <w:pPr>
        <w:spacing w:line="288" w:lineRule="auto"/>
        <w:jc w:val="both"/>
        <w:rPr>
          <w:rFonts w:cs="Calibri"/>
          <w:color w:val="000000" w:themeColor="text1"/>
          <w:lang w:bidi="en-US"/>
        </w:rPr>
      </w:pPr>
    </w:p>
    <w:p w14:paraId="2E158F69" w14:textId="77777777" w:rsidR="00AA2AE1" w:rsidRDefault="00AA2AE1" w:rsidP="003A4391">
      <w:pPr>
        <w:spacing w:line="288" w:lineRule="auto"/>
        <w:jc w:val="both"/>
        <w:rPr>
          <w:rFonts w:cs="Calibri"/>
          <w:color w:val="000000" w:themeColor="text1"/>
          <w:lang w:bidi="en-US"/>
        </w:rPr>
      </w:pPr>
    </w:p>
    <w:p w14:paraId="1D17FA25" w14:textId="77777777" w:rsidR="00301560" w:rsidRDefault="00301560" w:rsidP="002F62F0">
      <w:pPr>
        <w:pStyle w:val="Caption"/>
        <w:rPr>
          <w:lang w:bidi="en-US"/>
        </w:rPr>
      </w:pPr>
      <w:bookmarkStart w:id="402" w:name="_Toc510622305"/>
      <w:r>
        <w:t xml:space="preserve">Table </w:t>
      </w:r>
      <w:r w:rsidR="00B918A6">
        <w:fldChar w:fldCharType="begin"/>
      </w:r>
      <w:r w:rsidR="00B918A6">
        <w:instrText xml:space="preserve"> SEQ Table \* ARABIC </w:instrText>
      </w:r>
      <w:r w:rsidR="00B918A6">
        <w:fldChar w:fldCharType="separate"/>
      </w:r>
      <w:r w:rsidR="0067023A">
        <w:rPr>
          <w:noProof/>
        </w:rPr>
        <w:t>55</w:t>
      </w:r>
      <w:r w:rsidR="00B918A6">
        <w:rPr>
          <w:noProof/>
        </w:rPr>
        <w:fldChar w:fldCharType="end"/>
      </w:r>
      <w:r>
        <w:t xml:space="preserve">: </w:t>
      </w:r>
      <w:r>
        <w:rPr>
          <w:lang w:bidi="en-US"/>
        </w:rPr>
        <w:t>Economic Contribution for Agriculture</w:t>
      </w:r>
      <w:bookmarkEnd w:id="402"/>
    </w:p>
    <w:tbl>
      <w:tblPr>
        <w:tblW w:w="94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3840"/>
        <w:gridCol w:w="960"/>
        <w:gridCol w:w="960"/>
        <w:gridCol w:w="960"/>
      </w:tblGrid>
      <w:tr w:rsidR="00E54D36" w:rsidRPr="00E54D36" w14:paraId="735DEC57" w14:textId="77777777" w:rsidTr="00E54D36">
        <w:trPr>
          <w:trHeight w:val="300"/>
        </w:trPr>
        <w:tc>
          <w:tcPr>
            <w:tcW w:w="2700" w:type="dxa"/>
            <w:shd w:val="clear" w:color="auto" w:fill="000000" w:themeFill="text1"/>
            <w:vAlign w:val="bottom"/>
          </w:tcPr>
          <w:p w14:paraId="3BE41C4F" w14:textId="77777777" w:rsidR="00E54D36" w:rsidRPr="00E54D36" w:rsidRDefault="00E54D36" w:rsidP="00E54D36">
            <w:pPr>
              <w:spacing w:after="0" w:line="240" w:lineRule="auto"/>
              <w:rPr>
                <w:rFonts w:cs="Calibri"/>
                <w:b/>
                <w:color w:val="FFFFFF" w:themeColor="background1"/>
                <w:lang w:bidi="en-US"/>
              </w:rPr>
            </w:pPr>
            <w:r w:rsidRPr="00E54D36">
              <w:rPr>
                <w:rFonts w:cs="Calibri"/>
                <w:b/>
                <w:color w:val="FFFFFF" w:themeColor="background1"/>
                <w:lang w:bidi="en-US"/>
              </w:rPr>
              <w:t>INDICATOR</w:t>
            </w:r>
          </w:p>
        </w:tc>
        <w:tc>
          <w:tcPr>
            <w:tcW w:w="3840" w:type="dxa"/>
            <w:shd w:val="clear" w:color="auto" w:fill="000000" w:themeFill="text1"/>
            <w:noWrap/>
            <w:vAlign w:val="bottom"/>
          </w:tcPr>
          <w:p w14:paraId="391EC563" w14:textId="77777777" w:rsidR="00E54D36" w:rsidRPr="00E54D36" w:rsidRDefault="00E54D36" w:rsidP="00E54D36">
            <w:pPr>
              <w:spacing w:after="0" w:line="240" w:lineRule="auto"/>
              <w:rPr>
                <w:rFonts w:cs="Calibri"/>
                <w:b/>
                <w:color w:val="FFFFFF" w:themeColor="background1"/>
                <w:lang w:bidi="en-US"/>
              </w:rPr>
            </w:pPr>
            <w:r w:rsidRPr="00E54D36">
              <w:rPr>
                <w:rFonts w:cs="Calibri"/>
                <w:b/>
                <w:color w:val="FFFFFF" w:themeColor="background1"/>
                <w:lang w:bidi="en-US"/>
              </w:rPr>
              <w:t>RESPONSE</w:t>
            </w:r>
          </w:p>
        </w:tc>
        <w:tc>
          <w:tcPr>
            <w:tcW w:w="960" w:type="dxa"/>
            <w:shd w:val="clear" w:color="auto" w:fill="000000" w:themeFill="text1"/>
            <w:noWrap/>
            <w:vAlign w:val="bottom"/>
          </w:tcPr>
          <w:p w14:paraId="6C8733C4" w14:textId="77777777" w:rsidR="00E54D36" w:rsidRPr="00E54D36" w:rsidRDefault="00E54D36" w:rsidP="00E54D36">
            <w:pPr>
              <w:spacing w:after="0" w:line="240" w:lineRule="auto"/>
              <w:jc w:val="right"/>
              <w:rPr>
                <w:rFonts w:cs="Calibri"/>
                <w:b/>
                <w:color w:val="FFFFFF" w:themeColor="background1"/>
                <w:lang w:bidi="en-US"/>
              </w:rPr>
            </w:pPr>
            <w:r w:rsidRPr="00E54D36">
              <w:rPr>
                <w:rFonts w:cs="Calibri"/>
                <w:b/>
                <w:color w:val="FFFFFF" w:themeColor="background1"/>
                <w:lang w:bidi="en-US"/>
              </w:rPr>
              <w:t>KZN</w:t>
            </w:r>
          </w:p>
        </w:tc>
        <w:tc>
          <w:tcPr>
            <w:tcW w:w="960" w:type="dxa"/>
            <w:shd w:val="clear" w:color="auto" w:fill="000000" w:themeFill="text1"/>
            <w:noWrap/>
            <w:vAlign w:val="bottom"/>
          </w:tcPr>
          <w:p w14:paraId="19D9C703" w14:textId="77777777" w:rsidR="00E54D36" w:rsidRPr="00E54D36" w:rsidRDefault="00E54D36" w:rsidP="00E54D36">
            <w:pPr>
              <w:spacing w:after="0" w:line="240" w:lineRule="auto"/>
              <w:jc w:val="right"/>
              <w:rPr>
                <w:rFonts w:cs="Calibri"/>
                <w:b/>
                <w:color w:val="FFFFFF" w:themeColor="background1"/>
                <w:lang w:bidi="en-US"/>
              </w:rPr>
            </w:pPr>
            <w:r w:rsidRPr="00E54D36">
              <w:rPr>
                <w:rFonts w:cs="Calibri"/>
                <w:b/>
                <w:color w:val="FFFFFF" w:themeColor="background1"/>
                <w:lang w:bidi="en-US"/>
              </w:rPr>
              <w:t>KCDM</w:t>
            </w:r>
          </w:p>
        </w:tc>
        <w:tc>
          <w:tcPr>
            <w:tcW w:w="960" w:type="dxa"/>
            <w:shd w:val="clear" w:color="auto" w:fill="000000" w:themeFill="text1"/>
            <w:noWrap/>
            <w:vAlign w:val="bottom"/>
          </w:tcPr>
          <w:p w14:paraId="52B48BA4" w14:textId="77777777" w:rsidR="00E54D36" w:rsidRPr="00E54D36" w:rsidRDefault="00E54D36" w:rsidP="00E54D36">
            <w:pPr>
              <w:spacing w:after="0" w:line="240" w:lineRule="auto"/>
              <w:jc w:val="right"/>
              <w:rPr>
                <w:rFonts w:cs="Calibri"/>
                <w:b/>
                <w:color w:val="FFFFFF" w:themeColor="background1"/>
                <w:lang w:bidi="en-US"/>
              </w:rPr>
            </w:pPr>
            <w:r w:rsidRPr="00E54D36">
              <w:rPr>
                <w:rFonts w:cs="Calibri"/>
                <w:b/>
                <w:color w:val="FFFFFF" w:themeColor="background1"/>
                <w:lang w:bidi="en-US"/>
              </w:rPr>
              <w:t>uMLM</w:t>
            </w:r>
          </w:p>
        </w:tc>
      </w:tr>
      <w:tr w:rsidR="00E54D36" w:rsidRPr="00E54D36" w14:paraId="6685761C" w14:textId="77777777" w:rsidTr="00E54D36">
        <w:trPr>
          <w:trHeight w:val="300"/>
        </w:trPr>
        <w:tc>
          <w:tcPr>
            <w:tcW w:w="2700" w:type="dxa"/>
            <w:vMerge w:val="restart"/>
            <w:shd w:val="clear" w:color="auto" w:fill="auto"/>
            <w:vAlign w:val="bottom"/>
            <w:hideMark/>
          </w:tcPr>
          <w:p w14:paraId="7540B6AB" w14:textId="77777777" w:rsidR="00E54D36" w:rsidRPr="00E54D36" w:rsidRDefault="00E54D36" w:rsidP="00E54D36">
            <w:pPr>
              <w:spacing w:after="0" w:line="240" w:lineRule="auto"/>
              <w:rPr>
                <w:rFonts w:cs="Calibri"/>
                <w:color w:val="000000" w:themeColor="text1"/>
                <w:lang w:bidi="en-US"/>
              </w:rPr>
            </w:pPr>
            <w:r w:rsidRPr="00E54D36">
              <w:rPr>
                <w:rFonts w:cs="Calibri"/>
                <w:color w:val="000000" w:themeColor="text1"/>
                <w:lang w:bidi="en-US"/>
              </w:rPr>
              <w:t>Household involved in agricultural activity</w:t>
            </w:r>
          </w:p>
        </w:tc>
        <w:tc>
          <w:tcPr>
            <w:tcW w:w="3840" w:type="dxa"/>
            <w:shd w:val="clear" w:color="auto" w:fill="auto"/>
            <w:noWrap/>
            <w:vAlign w:val="bottom"/>
            <w:hideMark/>
          </w:tcPr>
          <w:p w14:paraId="4EACC212" w14:textId="77777777" w:rsidR="00E54D36" w:rsidRPr="00E54D36" w:rsidRDefault="00E54D36" w:rsidP="00E54D36">
            <w:pPr>
              <w:spacing w:after="0" w:line="240" w:lineRule="auto"/>
              <w:rPr>
                <w:rFonts w:cs="Calibri"/>
                <w:color w:val="000000" w:themeColor="text1"/>
                <w:lang w:bidi="en-US"/>
              </w:rPr>
            </w:pPr>
            <w:r w:rsidRPr="00E54D36">
              <w:rPr>
                <w:rFonts w:cs="Calibri"/>
                <w:color w:val="000000" w:themeColor="text1"/>
                <w:lang w:bidi="en-US"/>
              </w:rPr>
              <w:t>Yes</w:t>
            </w:r>
          </w:p>
        </w:tc>
        <w:tc>
          <w:tcPr>
            <w:tcW w:w="960" w:type="dxa"/>
            <w:shd w:val="clear" w:color="auto" w:fill="auto"/>
            <w:noWrap/>
            <w:vAlign w:val="bottom"/>
            <w:hideMark/>
          </w:tcPr>
          <w:p w14:paraId="549E016F"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536225</w:t>
            </w:r>
          </w:p>
        </w:tc>
        <w:tc>
          <w:tcPr>
            <w:tcW w:w="960" w:type="dxa"/>
            <w:shd w:val="clear" w:color="auto" w:fill="auto"/>
            <w:noWrap/>
            <w:vAlign w:val="bottom"/>
            <w:hideMark/>
          </w:tcPr>
          <w:p w14:paraId="4CA9D172"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53307</w:t>
            </w:r>
          </w:p>
        </w:tc>
        <w:tc>
          <w:tcPr>
            <w:tcW w:w="960" w:type="dxa"/>
            <w:shd w:val="clear" w:color="auto" w:fill="auto"/>
            <w:noWrap/>
            <w:vAlign w:val="bottom"/>
            <w:hideMark/>
          </w:tcPr>
          <w:p w14:paraId="29D4DF40"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15733</w:t>
            </w:r>
          </w:p>
        </w:tc>
      </w:tr>
      <w:tr w:rsidR="00E54D36" w:rsidRPr="00E54D36" w14:paraId="3C5152BD" w14:textId="77777777" w:rsidTr="00E54D36">
        <w:trPr>
          <w:trHeight w:val="315"/>
        </w:trPr>
        <w:tc>
          <w:tcPr>
            <w:tcW w:w="2700" w:type="dxa"/>
            <w:vMerge/>
            <w:vAlign w:val="center"/>
            <w:hideMark/>
          </w:tcPr>
          <w:p w14:paraId="2911048A" w14:textId="77777777" w:rsidR="00E54D36" w:rsidRPr="00E54D36" w:rsidRDefault="00E54D36" w:rsidP="00E54D36">
            <w:pPr>
              <w:spacing w:after="0" w:line="240" w:lineRule="auto"/>
              <w:rPr>
                <w:rFonts w:cs="Calibri"/>
                <w:color w:val="000000" w:themeColor="text1"/>
                <w:lang w:bidi="en-US"/>
              </w:rPr>
            </w:pPr>
          </w:p>
        </w:tc>
        <w:tc>
          <w:tcPr>
            <w:tcW w:w="3840" w:type="dxa"/>
            <w:shd w:val="clear" w:color="auto" w:fill="auto"/>
            <w:noWrap/>
            <w:vAlign w:val="bottom"/>
            <w:hideMark/>
          </w:tcPr>
          <w:p w14:paraId="0CE7D8FC" w14:textId="77777777" w:rsidR="00E54D36" w:rsidRPr="00E54D36" w:rsidRDefault="00E54D36" w:rsidP="00E54D36">
            <w:pPr>
              <w:spacing w:after="0" w:line="240" w:lineRule="auto"/>
              <w:rPr>
                <w:rFonts w:cs="Calibri"/>
                <w:color w:val="000000" w:themeColor="text1"/>
                <w:lang w:bidi="en-US"/>
              </w:rPr>
            </w:pPr>
            <w:r w:rsidRPr="00E54D36">
              <w:rPr>
                <w:rFonts w:cs="Calibri"/>
                <w:color w:val="000000" w:themeColor="text1"/>
                <w:lang w:bidi="en-US"/>
              </w:rPr>
              <w:t>No</w:t>
            </w:r>
          </w:p>
        </w:tc>
        <w:tc>
          <w:tcPr>
            <w:tcW w:w="960" w:type="dxa"/>
            <w:shd w:val="clear" w:color="auto" w:fill="auto"/>
            <w:noWrap/>
            <w:vAlign w:val="bottom"/>
            <w:hideMark/>
          </w:tcPr>
          <w:p w14:paraId="357BED86"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2339618</w:t>
            </w:r>
          </w:p>
        </w:tc>
        <w:tc>
          <w:tcPr>
            <w:tcW w:w="960" w:type="dxa"/>
            <w:shd w:val="clear" w:color="auto" w:fill="auto"/>
            <w:noWrap/>
            <w:vAlign w:val="bottom"/>
            <w:hideMark/>
          </w:tcPr>
          <w:p w14:paraId="6E540D6F"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172490</w:t>
            </w:r>
          </w:p>
        </w:tc>
        <w:tc>
          <w:tcPr>
            <w:tcW w:w="960" w:type="dxa"/>
            <w:shd w:val="clear" w:color="auto" w:fill="auto"/>
            <w:noWrap/>
            <w:vAlign w:val="bottom"/>
            <w:hideMark/>
          </w:tcPr>
          <w:p w14:paraId="299460C6"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31219</w:t>
            </w:r>
          </w:p>
        </w:tc>
      </w:tr>
      <w:tr w:rsidR="00E54D36" w:rsidRPr="00E54D36" w14:paraId="6F3B411F" w14:textId="77777777" w:rsidTr="00E54D36">
        <w:trPr>
          <w:trHeight w:val="300"/>
        </w:trPr>
        <w:tc>
          <w:tcPr>
            <w:tcW w:w="2700" w:type="dxa"/>
            <w:vMerge w:val="restart"/>
            <w:shd w:val="clear" w:color="auto" w:fill="auto"/>
            <w:vAlign w:val="center"/>
            <w:hideMark/>
          </w:tcPr>
          <w:p w14:paraId="16DFE917" w14:textId="77777777" w:rsidR="00E54D36" w:rsidRPr="00E54D36" w:rsidRDefault="00E54D36" w:rsidP="00E54D36">
            <w:pPr>
              <w:spacing w:after="0" w:line="240" w:lineRule="auto"/>
              <w:rPr>
                <w:rFonts w:cs="Calibri"/>
                <w:color w:val="000000" w:themeColor="text1"/>
                <w:lang w:bidi="en-US"/>
              </w:rPr>
            </w:pPr>
            <w:r w:rsidRPr="00E54D36">
              <w:rPr>
                <w:rFonts w:cs="Calibri"/>
                <w:color w:val="000000" w:themeColor="text1"/>
                <w:lang w:bidi="en-US"/>
              </w:rPr>
              <w:t>Type of agricultural activity</w:t>
            </w:r>
          </w:p>
        </w:tc>
        <w:tc>
          <w:tcPr>
            <w:tcW w:w="3840" w:type="dxa"/>
            <w:shd w:val="clear" w:color="auto" w:fill="auto"/>
            <w:noWrap/>
            <w:vAlign w:val="bottom"/>
            <w:hideMark/>
          </w:tcPr>
          <w:p w14:paraId="26FDD553" w14:textId="77777777" w:rsidR="00E54D36" w:rsidRPr="00E54D36" w:rsidRDefault="00E54D36" w:rsidP="00E54D36">
            <w:pPr>
              <w:spacing w:after="0" w:line="240" w:lineRule="auto"/>
              <w:rPr>
                <w:rFonts w:cs="Calibri"/>
                <w:color w:val="000000" w:themeColor="text1"/>
                <w:lang w:bidi="en-US"/>
              </w:rPr>
            </w:pPr>
            <w:r w:rsidRPr="00E54D36">
              <w:rPr>
                <w:rFonts w:cs="Calibri"/>
                <w:color w:val="000000" w:themeColor="text1"/>
                <w:lang w:bidi="en-US"/>
              </w:rPr>
              <w:t>Livestock production</w:t>
            </w:r>
          </w:p>
        </w:tc>
        <w:tc>
          <w:tcPr>
            <w:tcW w:w="960" w:type="dxa"/>
            <w:shd w:val="clear" w:color="auto" w:fill="auto"/>
            <w:noWrap/>
            <w:vAlign w:val="bottom"/>
            <w:hideMark/>
          </w:tcPr>
          <w:p w14:paraId="72ED8CF1"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256045</w:t>
            </w:r>
          </w:p>
        </w:tc>
        <w:tc>
          <w:tcPr>
            <w:tcW w:w="960" w:type="dxa"/>
            <w:shd w:val="clear" w:color="auto" w:fill="auto"/>
            <w:noWrap/>
            <w:vAlign w:val="bottom"/>
            <w:hideMark/>
          </w:tcPr>
          <w:p w14:paraId="1E44F7CF"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27188</w:t>
            </w:r>
          </w:p>
        </w:tc>
        <w:tc>
          <w:tcPr>
            <w:tcW w:w="960" w:type="dxa"/>
            <w:shd w:val="clear" w:color="auto" w:fill="auto"/>
            <w:noWrap/>
            <w:vAlign w:val="bottom"/>
            <w:hideMark/>
          </w:tcPr>
          <w:p w14:paraId="56E37639"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8927</w:t>
            </w:r>
          </w:p>
        </w:tc>
      </w:tr>
      <w:tr w:rsidR="00E54D36" w:rsidRPr="00E54D36" w14:paraId="3583BC4C" w14:textId="77777777" w:rsidTr="00E54D36">
        <w:trPr>
          <w:trHeight w:val="300"/>
        </w:trPr>
        <w:tc>
          <w:tcPr>
            <w:tcW w:w="2700" w:type="dxa"/>
            <w:vMerge/>
            <w:vAlign w:val="center"/>
            <w:hideMark/>
          </w:tcPr>
          <w:p w14:paraId="4F3E28FD" w14:textId="77777777" w:rsidR="00E54D36" w:rsidRPr="00E54D36" w:rsidRDefault="00E54D36" w:rsidP="00E54D36">
            <w:pPr>
              <w:spacing w:after="0" w:line="240" w:lineRule="auto"/>
              <w:rPr>
                <w:rFonts w:cs="Calibri"/>
                <w:color w:val="000000" w:themeColor="text1"/>
                <w:lang w:bidi="en-US"/>
              </w:rPr>
            </w:pPr>
          </w:p>
        </w:tc>
        <w:tc>
          <w:tcPr>
            <w:tcW w:w="3840" w:type="dxa"/>
            <w:shd w:val="clear" w:color="auto" w:fill="auto"/>
            <w:noWrap/>
            <w:vAlign w:val="bottom"/>
            <w:hideMark/>
          </w:tcPr>
          <w:p w14:paraId="1EB74CF3" w14:textId="77777777" w:rsidR="00E54D36" w:rsidRPr="00E54D36" w:rsidRDefault="00E54D36" w:rsidP="00E54D36">
            <w:pPr>
              <w:spacing w:after="0" w:line="240" w:lineRule="auto"/>
              <w:rPr>
                <w:rFonts w:cs="Calibri"/>
                <w:color w:val="000000" w:themeColor="text1"/>
                <w:lang w:bidi="en-US"/>
              </w:rPr>
            </w:pPr>
            <w:r w:rsidRPr="00E54D36">
              <w:rPr>
                <w:rFonts w:cs="Calibri"/>
                <w:color w:val="000000" w:themeColor="text1"/>
                <w:lang w:bidi="en-US"/>
              </w:rPr>
              <w:t>Poultry production</w:t>
            </w:r>
          </w:p>
        </w:tc>
        <w:tc>
          <w:tcPr>
            <w:tcW w:w="960" w:type="dxa"/>
            <w:shd w:val="clear" w:color="auto" w:fill="auto"/>
            <w:noWrap/>
            <w:vAlign w:val="bottom"/>
            <w:hideMark/>
          </w:tcPr>
          <w:p w14:paraId="790FD459"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310458</w:t>
            </w:r>
          </w:p>
        </w:tc>
        <w:tc>
          <w:tcPr>
            <w:tcW w:w="960" w:type="dxa"/>
            <w:shd w:val="clear" w:color="auto" w:fill="auto"/>
            <w:noWrap/>
            <w:vAlign w:val="bottom"/>
            <w:hideMark/>
          </w:tcPr>
          <w:p w14:paraId="6F5264DF"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32083</w:t>
            </w:r>
          </w:p>
        </w:tc>
        <w:tc>
          <w:tcPr>
            <w:tcW w:w="960" w:type="dxa"/>
            <w:shd w:val="clear" w:color="auto" w:fill="auto"/>
            <w:noWrap/>
            <w:vAlign w:val="bottom"/>
            <w:hideMark/>
          </w:tcPr>
          <w:p w14:paraId="46F4B9AB"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10007</w:t>
            </w:r>
          </w:p>
        </w:tc>
      </w:tr>
      <w:tr w:rsidR="00E54D36" w:rsidRPr="00E54D36" w14:paraId="661299C3" w14:textId="77777777" w:rsidTr="00E54D36">
        <w:trPr>
          <w:trHeight w:val="300"/>
        </w:trPr>
        <w:tc>
          <w:tcPr>
            <w:tcW w:w="2700" w:type="dxa"/>
            <w:vMerge/>
            <w:vAlign w:val="center"/>
            <w:hideMark/>
          </w:tcPr>
          <w:p w14:paraId="19DB8E06" w14:textId="77777777" w:rsidR="00E54D36" w:rsidRPr="00E54D36" w:rsidRDefault="00E54D36" w:rsidP="00E54D36">
            <w:pPr>
              <w:spacing w:after="0" w:line="240" w:lineRule="auto"/>
              <w:rPr>
                <w:rFonts w:cs="Calibri"/>
                <w:color w:val="000000" w:themeColor="text1"/>
                <w:lang w:bidi="en-US"/>
              </w:rPr>
            </w:pPr>
          </w:p>
        </w:tc>
        <w:tc>
          <w:tcPr>
            <w:tcW w:w="3840" w:type="dxa"/>
            <w:shd w:val="clear" w:color="auto" w:fill="auto"/>
            <w:noWrap/>
            <w:vAlign w:val="bottom"/>
            <w:hideMark/>
          </w:tcPr>
          <w:p w14:paraId="16E42A90" w14:textId="77777777" w:rsidR="00E54D36" w:rsidRPr="00E54D36" w:rsidRDefault="00E54D36" w:rsidP="00E54D36">
            <w:pPr>
              <w:spacing w:after="0" w:line="240" w:lineRule="auto"/>
              <w:rPr>
                <w:rFonts w:cs="Calibri"/>
                <w:color w:val="000000" w:themeColor="text1"/>
                <w:lang w:bidi="en-US"/>
              </w:rPr>
            </w:pPr>
            <w:r w:rsidRPr="00E54D36">
              <w:rPr>
                <w:rFonts w:cs="Calibri"/>
                <w:color w:val="000000" w:themeColor="text1"/>
                <w:lang w:bidi="en-US"/>
              </w:rPr>
              <w:t>Grains and food crops</w:t>
            </w:r>
          </w:p>
        </w:tc>
        <w:tc>
          <w:tcPr>
            <w:tcW w:w="960" w:type="dxa"/>
            <w:shd w:val="clear" w:color="auto" w:fill="auto"/>
            <w:noWrap/>
            <w:vAlign w:val="bottom"/>
            <w:hideMark/>
          </w:tcPr>
          <w:p w14:paraId="4A419A7F"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143477</w:t>
            </w:r>
          </w:p>
        </w:tc>
        <w:tc>
          <w:tcPr>
            <w:tcW w:w="960" w:type="dxa"/>
            <w:shd w:val="clear" w:color="auto" w:fill="auto"/>
            <w:noWrap/>
            <w:vAlign w:val="bottom"/>
            <w:hideMark/>
          </w:tcPr>
          <w:p w14:paraId="51D0DF37"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11173</w:t>
            </w:r>
          </w:p>
        </w:tc>
        <w:tc>
          <w:tcPr>
            <w:tcW w:w="960" w:type="dxa"/>
            <w:shd w:val="clear" w:color="auto" w:fill="auto"/>
            <w:noWrap/>
            <w:vAlign w:val="bottom"/>
            <w:hideMark/>
          </w:tcPr>
          <w:p w14:paraId="55101C18"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3282</w:t>
            </w:r>
          </w:p>
        </w:tc>
      </w:tr>
      <w:tr w:rsidR="00E54D36" w:rsidRPr="00E54D36" w14:paraId="56DFFA87" w14:textId="77777777" w:rsidTr="00E54D36">
        <w:trPr>
          <w:trHeight w:val="300"/>
        </w:trPr>
        <w:tc>
          <w:tcPr>
            <w:tcW w:w="2700" w:type="dxa"/>
            <w:vMerge/>
            <w:vAlign w:val="center"/>
            <w:hideMark/>
          </w:tcPr>
          <w:p w14:paraId="72A1ADE5" w14:textId="77777777" w:rsidR="00E54D36" w:rsidRPr="00E54D36" w:rsidRDefault="00E54D36" w:rsidP="00E54D36">
            <w:pPr>
              <w:spacing w:after="0" w:line="240" w:lineRule="auto"/>
              <w:rPr>
                <w:rFonts w:cs="Calibri"/>
                <w:color w:val="000000" w:themeColor="text1"/>
                <w:lang w:bidi="en-US"/>
              </w:rPr>
            </w:pPr>
          </w:p>
        </w:tc>
        <w:tc>
          <w:tcPr>
            <w:tcW w:w="3840" w:type="dxa"/>
            <w:shd w:val="clear" w:color="auto" w:fill="auto"/>
            <w:noWrap/>
            <w:vAlign w:val="bottom"/>
            <w:hideMark/>
          </w:tcPr>
          <w:p w14:paraId="3F992526" w14:textId="77777777" w:rsidR="00E54D36" w:rsidRPr="00E54D36" w:rsidRDefault="00E54D36" w:rsidP="00E54D36">
            <w:pPr>
              <w:spacing w:after="0" w:line="240" w:lineRule="auto"/>
              <w:rPr>
                <w:rFonts w:cs="Calibri"/>
                <w:color w:val="000000" w:themeColor="text1"/>
                <w:lang w:bidi="en-US"/>
              </w:rPr>
            </w:pPr>
            <w:r w:rsidRPr="00E54D36">
              <w:rPr>
                <w:rFonts w:cs="Calibri"/>
                <w:color w:val="000000" w:themeColor="text1"/>
                <w:lang w:bidi="en-US"/>
              </w:rPr>
              <w:t>Industrial crops</w:t>
            </w:r>
          </w:p>
        </w:tc>
        <w:tc>
          <w:tcPr>
            <w:tcW w:w="960" w:type="dxa"/>
            <w:shd w:val="clear" w:color="auto" w:fill="auto"/>
            <w:noWrap/>
            <w:vAlign w:val="bottom"/>
            <w:hideMark/>
          </w:tcPr>
          <w:p w14:paraId="7132FF7D"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2358</w:t>
            </w:r>
          </w:p>
        </w:tc>
        <w:tc>
          <w:tcPr>
            <w:tcW w:w="960" w:type="dxa"/>
            <w:shd w:val="clear" w:color="auto" w:fill="auto"/>
            <w:noWrap/>
            <w:vAlign w:val="bottom"/>
            <w:hideMark/>
          </w:tcPr>
          <w:p w14:paraId="4C8052B3"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206</w:t>
            </w:r>
          </w:p>
        </w:tc>
        <w:tc>
          <w:tcPr>
            <w:tcW w:w="960" w:type="dxa"/>
            <w:shd w:val="clear" w:color="auto" w:fill="auto"/>
            <w:noWrap/>
            <w:vAlign w:val="bottom"/>
            <w:hideMark/>
          </w:tcPr>
          <w:p w14:paraId="71F17344"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25</w:t>
            </w:r>
          </w:p>
        </w:tc>
      </w:tr>
      <w:tr w:rsidR="00E54D36" w:rsidRPr="00E54D36" w14:paraId="1F8FF303" w14:textId="77777777" w:rsidTr="00E54D36">
        <w:trPr>
          <w:trHeight w:val="300"/>
        </w:trPr>
        <w:tc>
          <w:tcPr>
            <w:tcW w:w="2700" w:type="dxa"/>
            <w:vMerge/>
            <w:vAlign w:val="center"/>
            <w:hideMark/>
          </w:tcPr>
          <w:p w14:paraId="699AEC93" w14:textId="77777777" w:rsidR="00E54D36" w:rsidRPr="00E54D36" w:rsidRDefault="00E54D36" w:rsidP="00E54D36">
            <w:pPr>
              <w:spacing w:after="0" w:line="240" w:lineRule="auto"/>
              <w:rPr>
                <w:rFonts w:cs="Calibri"/>
                <w:color w:val="000000" w:themeColor="text1"/>
                <w:lang w:bidi="en-US"/>
              </w:rPr>
            </w:pPr>
          </w:p>
        </w:tc>
        <w:tc>
          <w:tcPr>
            <w:tcW w:w="3840" w:type="dxa"/>
            <w:shd w:val="clear" w:color="auto" w:fill="auto"/>
            <w:noWrap/>
            <w:vAlign w:val="bottom"/>
            <w:hideMark/>
          </w:tcPr>
          <w:p w14:paraId="7772B3F1" w14:textId="77777777" w:rsidR="00E54D36" w:rsidRPr="00E54D36" w:rsidRDefault="00E54D36" w:rsidP="00E54D36">
            <w:pPr>
              <w:spacing w:after="0" w:line="240" w:lineRule="auto"/>
              <w:rPr>
                <w:rFonts w:cs="Calibri"/>
                <w:color w:val="000000" w:themeColor="text1"/>
                <w:lang w:bidi="en-US"/>
              </w:rPr>
            </w:pPr>
            <w:r w:rsidRPr="00E54D36">
              <w:rPr>
                <w:rFonts w:cs="Calibri"/>
                <w:color w:val="000000" w:themeColor="text1"/>
                <w:lang w:bidi="en-US"/>
              </w:rPr>
              <w:t>Fruit production</w:t>
            </w:r>
          </w:p>
        </w:tc>
        <w:tc>
          <w:tcPr>
            <w:tcW w:w="960" w:type="dxa"/>
            <w:shd w:val="clear" w:color="auto" w:fill="auto"/>
            <w:noWrap/>
            <w:vAlign w:val="bottom"/>
            <w:hideMark/>
          </w:tcPr>
          <w:p w14:paraId="066E1E03"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55920</w:t>
            </w:r>
          </w:p>
        </w:tc>
        <w:tc>
          <w:tcPr>
            <w:tcW w:w="960" w:type="dxa"/>
            <w:shd w:val="clear" w:color="auto" w:fill="auto"/>
            <w:noWrap/>
            <w:vAlign w:val="bottom"/>
            <w:hideMark/>
          </w:tcPr>
          <w:p w14:paraId="49821D80"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6976</w:t>
            </w:r>
          </w:p>
        </w:tc>
        <w:tc>
          <w:tcPr>
            <w:tcW w:w="960" w:type="dxa"/>
            <w:shd w:val="clear" w:color="auto" w:fill="auto"/>
            <w:noWrap/>
            <w:vAlign w:val="bottom"/>
            <w:hideMark/>
          </w:tcPr>
          <w:p w14:paraId="1FB28B1F"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1426</w:t>
            </w:r>
          </w:p>
        </w:tc>
      </w:tr>
      <w:tr w:rsidR="00E54D36" w:rsidRPr="00E54D36" w14:paraId="56273220" w14:textId="77777777" w:rsidTr="00E54D36">
        <w:trPr>
          <w:trHeight w:val="300"/>
        </w:trPr>
        <w:tc>
          <w:tcPr>
            <w:tcW w:w="2700" w:type="dxa"/>
            <w:vMerge/>
            <w:vAlign w:val="center"/>
            <w:hideMark/>
          </w:tcPr>
          <w:p w14:paraId="706A9041" w14:textId="77777777" w:rsidR="00E54D36" w:rsidRPr="00E54D36" w:rsidRDefault="00E54D36" w:rsidP="00E54D36">
            <w:pPr>
              <w:spacing w:after="0" w:line="240" w:lineRule="auto"/>
              <w:rPr>
                <w:rFonts w:cs="Calibri"/>
                <w:color w:val="000000" w:themeColor="text1"/>
                <w:lang w:bidi="en-US"/>
              </w:rPr>
            </w:pPr>
          </w:p>
        </w:tc>
        <w:tc>
          <w:tcPr>
            <w:tcW w:w="3840" w:type="dxa"/>
            <w:shd w:val="clear" w:color="auto" w:fill="auto"/>
            <w:noWrap/>
            <w:vAlign w:val="bottom"/>
            <w:hideMark/>
          </w:tcPr>
          <w:p w14:paraId="432D0978" w14:textId="77777777" w:rsidR="00E54D36" w:rsidRPr="00E54D36" w:rsidRDefault="00E54D36" w:rsidP="00E54D36">
            <w:pPr>
              <w:spacing w:after="0" w:line="240" w:lineRule="auto"/>
              <w:rPr>
                <w:rFonts w:cs="Calibri"/>
                <w:color w:val="000000" w:themeColor="text1"/>
                <w:lang w:bidi="en-US"/>
              </w:rPr>
            </w:pPr>
            <w:r w:rsidRPr="00E54D36">
              <w:rPr>
                <w:rFonts w:cs="Calibri"/>
                <w:color w:val="000000" w:themeColor="text1"/>
                <w:lang w:bidi="en-US"/>
              </w:rPr>
              <w:t>Vegetable production</w:t>
            </w:r>
          </w:p>
        </w:tc>
        <w:tc>
          <w:tcPr>
            <w:tcW w:w="960" w:type="dxa"/>
            <w:shd w:val="clear" w:color="auto" w:fill="auto"/>
            <w:noWrap/>
            <w:vAlign w:val="bottom"/>
            <w:hideMark/>
          </w:tcPr>
          <w:p w14:paraId="31D1242D"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188442</w:t>
            </w:r>
          </w:p>
        </w:tc>
        <w:tc>
          <w:tcPr>
            <w:tcW w:w="960" w:type="dxa"/>
            <w:shd w:val="clear" w:color="auto" w:fill="auto"/>
            <w:noWrap/>
            <w:vAlign w:val="bottom"/>
            <w:hideMark/>
          </w:tcPr>
          <w:p w14:paraId="3F65952F"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21146</w:t>
            </w:r>
          </w:p>
        </w:tc>
        <w:tc>
          <w:tcPr>
            <w:tcW w:w="960" w:type="dxa"/>
            <w:shd w:val="clear" w:color="auto" w:fill="auto"/>
            <w:noWrap/>
            <w:vAlign w:val="bottom"/>
            <w:hideMark/>
          </w:tcPr>
          <w:p w14:paraId="371906D0"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5176</w:t>
            </w:r>
          </w:p>
        </w:tc>
      </w:tr>
      <w:tr w:rsidR="00E54D36" w:rsidRPr="00E54D36" w14:paraId="79D36491" w14:textId="77777777" w:rsidTr="00E54D36">
        <w:trPr>
          <w:trHeight w:val="300"/>
        </w:trPr>
        <w:tc>
          <w:tcPr>
            <w:tcW w:w="2700" w:type="dxa"/>
            <w:vMerge/>
            <w:vAlign w:val="center"/>
            <w:hideMark/>
          </w:tcPr>
          <w:p w14:paraId="38BAEA4A" w14:textId="77777777" w:rsidR="00E54D36" w:rsidRPr="00E54D36" w:rsidRDefault="00E54D36" w:rsidP="00E54D36">
            <w:pPr>
              <w:spacing w:after="0" w:line="240" w:lineRule="auto"/>
              <w:rPr>
                <w:rFonts w:cs="Calibri"/>
                <w:color w:val="000000" w:themeColor="text1"/>
                <w:lang w:bidi="en-US"/>
              </w:rPr>
            </w:pPr>
          </w:p>
        </w:tc>
        <w:tc>
          <w:tcPr>
            <w:tcW w:w="3840" w:type="dxa"/>
            <w:shd w:val="clear" w:color="auto" w:fill="auto"/>
            <w:noWrap/>
            <w:vAlign w:val="bottom"/>
            <w:hideMark/>
          </w:tcPr>
          <w:p w14:paraId="75BAEB9A" w14:textId="77777777" w:rsidR="00E54D36" w:rsidRPr="00E54D36" w:rsidRDefault="00E54D36" w:rsidP="00E54D36">
            <w:pPr>
              <w:spacing w:after="0" w:line="240" w:lineRule="auto"/>
              <w:rPr>
                <w:rFonts w:cs="Calibri"/>
                <w:color w:val="000000" w:themeColor="text1"/>
                <w:lang w:bidi="en-US"/>
              </w:rPr>
            </w:pPr>
            <w:r w:rsidRPr="00E54D36">
              <w:rPr>
                <w:rFonts w:cs="Calibri"/>
                <w:color w:val="000000" w:themeColor="text1"/>
                <w:lang w:bidi="en-US"/>
              </w:rPr>
              <w:t>Other</w:t>
            </w:r>
          </w:p>
        </w:tc>
        <w:tc>
          <w:tcPr>
            <w:tcW w:w="960" w:type="dxa"/>
            <w:shd w:val="clear" w:color="auto" w:fill="auto"/>
            <w:noWrap/>
            <w:vAlign w:val="bottom"/>
            <w:hideMark/>
          </w:tcPr>
          <w:p w14:paraId="1EED612B"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8449</w:t>
            </w:r>
          </w:p>
        </w:tc>
        <w:tc>
          <w:tcPr>
            <w:tcW w:w="960" w:type="dxa"/>
            <w:shd w:val="clear" w:color="auto" w:fill="auto"/>
            <w:noWrap/>
            <w:vAlign w:val="bottom"/>
            <w:hideMark/>
          </w:tcPr>
          <w:p w14:paraId="13B56998"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1033</w:t>
            </w:r>
          </w:p>
        </w:tc>
        <w:tc>
          <w:tcPr>
            <w:tcW w:w="960" w:type="dxa"/>
            <w:shd w:val="clear" w:color="auto" w:fill="auto"/>
            <w:noWrap/>
            <w:vAlign w:val="bottom"/>
            <w:hideMark/>
          </w:tcPr>
          <w:p w14:paraId="31A09DD3" w14:textId="77777777" w:rsidR="00E54D36" w:rsidRPr="00E54D36" w:rsidRDefault="00E54D36" w:rsidP="00E54D36">
            <w:pPr>
              <w:spacing w:after="0" w:line="240" w:lineRule="auto"/>
              <w:jc w:val="right"/>
              <w:rPr>
                <w:rFonts w:cs="Calibri"/>
                <w:color w:val="000000" w:themeColor="text1"/>
                <w:lang w:bidi="en-US"/>
              </w:rPr>
            </w:pPr>
            <w:r w:rsidRPr="00E54D36">
              <w:rPr>
                <w:rFonts w:cs="Calibri"/>
                <w:color w:val="000000" w:themeColor="text1"/>
                <w:lang w:bidi="en-US"/>
              </w:rPr>
              <w:t>177</w:t>
            </w:r>
          </w:p>
        </w:tc>
      </w:tr>
    </w:tbl>
    <w:p w14:paraId="3DC6025E" w14:textId="77777777" w:rsidR="003A4391" w:rsidRPr="003A4391" w:rsidRDefault="00E54D36" w:rsidP="003A4391">
      <w:pPr>
        <w:spacing w:line="288" w:lineRule="auto"/>
        <w:jc w:val="both"/>
        <w:rPr>
          <w:rFonts w:cs="Calibri"/>
          <w:b/>
          <w:color w:val="000000" w:themeColor="text1"/>
          <w:lang w:bidi="en-US"/>
        </w:rPr>
      </w:pPr>
      <w:r>
        <w:rPr>
          <w:rFonts w:cs="Calibri"/>
          <w:b/>
          <w:color w:val="000000" w:themeColor="text1"/>
          <w:lang w:bidi="en-US"/>
        </w:rPr>
        <w:t>Source:  CS 2016</w:t>
      </w:r>
    </w:p>
    <w:p w14:paraId="70559501" w14:textId="77777777" w:rsidR="00A11771" w:rsidRPr="00EB76A0" w:rsidRDefault="00A11771" w:rsidP="00395313">
      <w:pPr>
        <w:spacing w:line="288" w:lineRule="auto"/>
        <w:jc w:val="both"/>
        <w:rPr>
          <w:rFonts w:cs="Calibri"/>
          <w:color w:val="000000" w:themeColor="text1"/>
          <w:lang w:bidi="en-US"/>
        </w:rPr>
      </w:pPr>
      <w:r w:rsidRPr="00EB76A0">
        <w:rPr>
          <w:rFonts w:cs="Calibri"/>
          <w:color w:val="000000" w:themeColor="text1"/>
          <w:lang w:bidi="en-US"/>
        </w:rPr>
        <w:t>The agricultural sector is one of the basic economic sectors as it impacts significantly on employment, income generation, economic linkages, land tenure, land reform and environmental considerations in the district. Timber and sugar cane are the most important agricultural activities.</w:t>
      </w:r>
    </w:p>
    <w:p w14:paraId="1E4244CC" w14:textId="77777777" w:rsidR="00A11771" w:rsidRPr="00EB76A0" w:rsidRDefault="00A11771" w:rsidP="00395313">
      <w:pPr>
        <w:spacing w:line="288" w:lineRule="auto"/>
        <w:jc w:val="both"/>
        <w:rPr>
          <w:rFonts w:cs="Calibri"/>
          <w:color w:val="000000" w:themeColor="text1"/>
          <w:lang w:bidi="en-US"/>
        </w:rPr>
      </w:pPr>
      <w:r w:rsidRPr="00EB76A0">
        <w:rPr>
          <w:rFonts w:cs="Calibri"/>
          <w:color w:val="000000" w:themeColor="text1"/>
          <w:lang w:bidi="en-US"/>
        </w:rPr>
        <w:t xml:space="preserve">The agricultural sector has grown over the years and there is a focus towards more subsistence farming to enhance local economic development. The current agricultural products that are being exported are sugar cane, vegetables, citrus fruit and timber. The main crop that is being exported is sugar cane in uMlalazi area. </w:t>
      </w:r>
    </w:p>
    <w:p w14:paraId="6F55FC48" w14:textId="77777777" w:rsidR="00A11771" w:rsidRPr="00EB76A0" w:rsidRDefault="00A11771" w:rsidP="00395313">
      <w:pPr>
        <w:spacing w:line="288" w:lineRule="auto"/>
        <w:jc w:val="both"/>
        <w:rPr>
          <w:rFonts w:cs="Calibri"/>
          <w:color w:val="000000" w:themeColor="text1"/>
          <w:lang w:bidi="en-US"/>
        </w:rPr>
      </w:pPr>
      <w:r w:rsidRPr="00EB76A0">
        <w:rPr>
          <w:rFonts w:cs="Calibri"/>
          <w:color w:val="000000" w:themeColor="text1"/>
          <w:lang w:bidi="en-US"/>
        </w:rPr>
        <w:t>There have been community gardens that have been very successful in the uMlalazi Municipality. However, the issue still remains of transport due to the poor road conditions in the area as well as accessibility. The community gardens have been introduced as means of providing access to food for the residents of uMlalazi however, the excess produce has been sold in the markets.</w:t>
      </w:r>
    </w:p>
    <w:p w14:paraId="50BC3C82" w14:textId="77777777" w:rsidR="003A4391" w:rsidRDefault="001747C6" w:rsidP="00395313">
      <w:pPr>
        <w:spacing w:line="288" w:lineRule="auto"/>
        <w:jc w:val="both"/>
      </w:pPr>
      <w:r w:rsidRPr="001747C6">
        <w:rPr>
          <w:szCs w:val="20"/>
        </w:rPr>
        <w:t>Most of the high potential agricultural land is in private ownership.  This land is located along the coastal strip between Mtunzini and Gingindlovu – on the lower lying areas.  It is also located in the area surrounding the town of Eshowe and extending to the west thereof.  There is also some very high potential agricultural land situated in the north-eastern part of the Municipal Area.</w:t>
      </w:r>
      <w:r w:rsidR="003A4391" w:rsidRPr="003A4391">
        <w:t xml:space="preserve"> </w:t>
      </w:r>
    </w:p>
    <w:p w14:paraId="606A25DC" w14:textId="77777777" w:rsidR="003A4391" w:rsidRDefault="003A4391" w:rsidP="00395313">
      <w:pPr>
        <w:spacing w:line="288" w:lineRule="auto"/>
        <w:jc w:val="both"/>
      </w:pPr>
      <w:r w:rsidRPr="003A4391">
        <w:t xml:space="preserve">The Municipality has, through the LED Department, rolled out funding and technical support for the development and sustainability of agriculture in various wards within the municipal area. There are 15 registered co-operatives that have received support. The promotion of </w:t>
      </w:r>
      <w:r w:rsidR="00703CE6" w:rsidRPr="003A4391">
        <w:t>these projects</w:t>
      </w:r>
      <w:r w:rsidRPr="003A4391">
        <w:t xml:space="preserve"> is crucial for the safeguarding of food security especially within impoverished communities and has the potential to create a substantially higher number </w:t>
      </w:r>
      <w:r>
        <w:t>of jobs in a shorter time frame.</w:t>
      </w:r>
    </w:p>
    <w:p w14:paraId="633B5292" w14:textId="77777777" w:rsidR="00A17436" w:rsidRDefault="00A17436" w:rsidP="002F62F0">
      <w:pPr>
        <w:pStyle w:val="Caption"/>
      </w:pPr>
      <w:bookmarkStart w:id="403" w:name="_Toc481468937"/>
    </w:p>
    <w:p w14:paraId="75DB8939" w14:textId="77777777" w:rsidR="00A17436" w:rsidRDefault="00A17436" w:rsidP="002F62F0">
      <w:pPr>
        <w:pStyle w:val="Caption"/>
      </w:pPr>
    </w:p>
    <w:p w14:paraId="3EE7F53E" w14:textId="77777777" w:rsidR="003F34A6" w:rsidRDefault="003F34A6" w:rsidP="003F34A6"/>
    <w:p w14:paraId="63B83193" w14:textId="77777777" w:rsidR="003F34A6" w:rsidRDefault="003F34A6" w:rsidP="003F34A6"/>
    <w:p w14:paraId="2C52BD61" w14:textId="77777777" w:rsidR="003F34A6" w:rsidRDefault="003F34A6" w:rsidP="003F34A6"/>
    <w:p w14:paraId="7D37F811" w14:textId="77777777" w:rsidR="003F34A6" w:rsidRDefault="003F34A6" w:rsidP="003F34A6"/>
    <w:p w14:paraId="6D3829A8" w14:textId="77777777" w:rsidR="00AA2AE1" w:rsidRPr="003F34A6" w:rsidRDefault="00AA2AE1" w:rsidP="003F34A6"/>
    <w:p w14:paraId="022C35EA" w14:textId="77777777" w:rsidR="00A17436" w:rsidRDefault="00A17436" w:rsidP="002F62F0">
      <w:pPr>
        <w:pStyle w:val="Caption"/>
      </w:pPr>
    </w:p>
    <w:p w14:paraId="751CFC31" w14:textId="77777777" w:rsidR="00A17436" w:rsidRDefault="00A17436" w:rsidP="002F62F0">
      <w:pPr>
        <w:pStyle w:val="Caption"/>
      </w:pPr>
    </w:p>
    <w:p w14:paraId="384BAC22" w14:textId="7FDA55BD" w:rsidR="00767DBC" w:rsidRPr="00301560" w:rsidRDefault="00301560" w:rsidP="002F62F0">
      <w:pPr>
        <w:pStyle w:val="Caption"/>
      </w:pPr>
      <w:r w:rsidRPr="007F224B">
        <w:t xml:space="preserve">Map </w:t>
      </w:r>
      <w:r w:rsidR="00B918A6">
        <w:fldChar w:fldCharType="begin"/>
      </w:r>
      <w:r w:rsidR="00B918A6">
        <w:instrText xml:space="preserve"> SEQ Map \* ARABIC </w:instrText>
      </w:r>
      <w:r w:rsidR="00B918A6">
        <w:fldChar w:fldCharType="separate"/>
      </w:r>
      <w:r w:rsidR="0067023A">
        <w:rPr>
          <w:noProof/>
        </w:rPr>
        <w:t>25</w:t>
      </w:r>
      <w:r w:rsidR="00B918A6">
        <w:rPr>
          <w:noProof/>
        </w:rPr>
        <w:fldChar w:fldCharType="end"/>
      </w:r>
      <w:r w:rsidRPr="007F224B">
        <w:t>: Agriculture Potential Areas</w:t>
      </w:r>
      <w:bookmarkEnd w:id="403"/>
    </w:p>
    <w:p w14:paraId="4A175889" w14:textId="195D1440" w:rsidR="001747C6" w:rsidRDefault="00554661" w:rsidP="00395313">
      <w:pPr>
        <w:spacing w:line="288" w:lineRule="auto"/>
        <w:jc w:val="both"/>
        <w:rPr>
          <w:szCs w:val="20"/>
        </w:rPr>
      </w:pPr>
      <w:r w:rsidRPr="00754C02">
        <w:rPr>
          <w:rFonts w:cs="Calibri"/>
          <w:noProof/>
          <w:color w:val="000000" w:themeColor="text1"/>
        </w:rPr>
        <w:drawing>
          <wp:anchor distT="0" distB="0" distL="114300" distR="114300" simplePos="0" relativeHeight="251674112" behindDoc="0" locked="0" layoutInCell="1" allowOverlap="1" wp14:anchorId="25B83761" wp14:editId="740B896B">
            <wp:simplePos x="0" y="0"/>
            <wp:positionH relativeFrom="column">
              <wp:posOffset>5222519</wp:posOffset>
            </wp:positionH>
            <wp:positionV relativeFrom="paragraph">
              <wp:posOffset>2095805</wp:posOffset>
            </wp:positionV>
            <wp:extent cx="1266825" cy="2324100"/>
            <wp:effectExtent l="0" t="0" r="9525"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6" cstate="print"/>
                    <a:srcRect/>
                    <a:stretch>
                      <a:fillRect/>
                    </a:stretch>
                  </pic:blipFill>
                  <pic:spPr bwMode="auto">
                    <a:xfrm>
                      <a:off x="0" y="0"/>
                      <a:ext cx="1266825" cy="23241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EB76A0" w:rsidRPr="00754C02">
        <w:rPr>
          <w:rFonts w:cs="Calibri"/>
          <w:noProof/>
          <w:color w:val="000000" w:themeColor="text1"/>
          <w:szCs w:val="20"/>
        </w:rPr>
        <w:drawing>
          <wp:anchor distT="0" distB="0" distL="114300" distR="114300" simplePos="0" relativeHeight="251678208" behindDoc="0" locked="0" layoutInCell="1" allowOverlap="1" wp14:anchorId="79F3927C" wp14:editId="22DE9A91">
            <wp:simplePos x="0" y="0"/>
            <wp:positionH relativeFrom="column">
              <wp:posOffset>-255905</wp:posOffset>
            </wp:positionH>
            <wp:positionV relativeFrom="paragraph">
              <wp:posOffset>3638550</wp:posOffset>
            </wp:positionV>
            <wp:extent cx="3543300" cy="1009650"/>
            <wp:effectExtent l="0" t="0" r="0" b="0"/>
            <wp:wrapNone/>
            <wp:docPr id="43011" name="Picture 4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43300" cy="1009650"/>
                    </a:xfrm>
                    <a:prstGeom prst="rect">
                      <a:avLst/>
                    </a:prstGeom>
                    <a:noFill/>
                    <a:ln w="9525">
                      <a:noFill/>
                      <a:miter lim="800000"/>
                      <a:headEnd/>
                      <a:tailEnd/>
                    </a:ln>
                  </pic:spPr>
                </pic:pic>
              </a:graphicData>
            </a:graphic>
          </wp:anchor>
        </w:drawing>
      </w:r>
      <w:r w:rsidR="001747C6" w:rsidRPr="00754C02">
        <w:rPr>
          <w:rFonts w:cs="Calibri"/>
          <w:noProof/>
          <w:color w:val="000000" w:themeColor="text1"/>
        </w:rPr>
        <w:drawing>
          <wp:inline distT="0" distB="0" distL="0" distR="0" wp14:anchorId="29C82FE6" wp14:editId="7FE259AD">
            <wp:extent cx="6105525" cy="3638550"/>
            <wp:effectExtent l="0" t="0" r="9525" b="0"/>
            <wp:docPr id="1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8" cstate="print"/>
                    <a:srcRect/>
                    <a:stretch>
                      <a:fillRect/>
                    </a:stretch>
                  </pic:blipFill>
                  <pic:spPr bwMode="auto">
                    <a:xfrm>
                      <a:off x="0" y="0"/>
                      <a:ext cx="6108383" cy="3640253"/>
                    </a:xfrm>
                    <a:prstGeom prst="rect">
                      <a:avLst/>
                    </a:prstGeom>
                    <a:noFill/>
                    <a:ln w="9525">
                      <a:noFill/>
                      <a:miter lim="800000"/>
                      <a:headEnd/>
                      <a:tailEnd/>
                    </a:ln>
                  </pic:spPr>
                </pic:pic>
              </a:graphicData>
            </a:graphic>
          </wp:inline>
        </w:drawing>
      </w:r>
    </w:p>
    <w:p w14:paraId="7CAC64D8" w14:textId="77777777" w:rsidR="001747C6" w:rsidRDefault="001747C6" w:rsidP="00395313">
      <w:pPr>
        <w:spacing w:line="288" w:lineRule="auto"/>
        <w:jc w:val="both"/>
        <w:rPr>
          <w:szCs w:val="20"/>
        </w:rPr>
      </w:pPr>
    </w:p>
    <w:p w14:paraId="7CA5B3F1" w14:textId="77777777" w:rsidR="00EB76A0" w:rsidRDefault="00EB76A0" w:rsidP="00395313">
      <w:pPr>
        <w:spacing w:line="288" w:lineRule="auto"/>
        <w:jc w:val="both"/>
        <w:rPr>
          <w:szCs w:val="20"/>
        </w:rPr>
      </w:pPr>
    </w:p>
    <w:p w14:paraId="7BF51FF4" w14:textId="77777777" w:rsidR="006816AD" w:rsidRDefault="006816AD" w:rsidP="00395313">
      <w:pPr>
        <w:spacing w:line="288" w:lineRule="auto"/>
        <w:jc w:val="both"/>
        <w:rPr>
          <w:szCs w:val="20"/>
        </w:rPr>
      </w:pPr>
    </w:p>
    <w:p w14:paraId="05D7DA24" w14:textId="77777777" w:rsidR="00863F61" w:rsidRPr="003C3ACD" w:rsidRDefault="00863F61" w:rsidP="00750180">
      <w:pPr>
        <w:pStyle w:val="Heading5"/>
        <w:numPr>
          <w:ilvl w:val="4"/>
          <w:numId w:val="29"/>
        </w:numPr>
        <w:spacing w:after="240"/>
      </w:pPr>
      <w:r w:rsidRPr="003C3ACD">
        <w:t>The</w:t>
      </w:r>
      <w:r w:rsidR="007F05EE" w:rsidRPr="003C3ACD">
        <w:t xml:space="preserve"> </w:t>
      </w:r>
      <w:r w:rsidRPr="003C3ACD">
        <w:t xml:space="preserve"> </w:t>
      </w:r>
      <w:r w:rsidR="002B1E34" w:rsidRPr="003C3ACD">
        <w:t>Fresh Produce Market</w:t>
      </w:r>
    </w:p>
    <w:p w14:paraId="44D84C5A" w14:textId="77777777" w:rsidR="002B1E34" w:rsidRDefault="002B1E34" w:rsidP="002B1E34">
      <w:pPr>
        <w:spacing w:line="288" w:lineRule="auto"/>
        <w:jc w:val="both"/>
        <w:rPr>
          <w:szCs w:val="20"/>
        </w:rPr>
      </w:pPr>
      <w:r>
        <w:rPr>
          <w:szCs w:val="20"/>
        </w:rPr>
        <w:t xml:space="preserve">The </w:t>
      </w:r>
      <w:r w:rsidR="001D792E">
        <w:rPr>
          <w:szCs w:val="20"/>
        </w:rPr>
        <w:t>King Cetshwayo</w:t>
      </w:r>
      <w:r>
        <w:rPr>
          <w:szCs w:val="20"/>
        </w:rPr>
        <w:t xml:space="preserve"> </w:t>
      </w:r>
      <w:r w:rsidR="003C03FA">
        <w:rPr>
          <w:szCs w:val="20"/>
        </w:rPr>
        <w:t>District</w:t>
      </w:r>
      <w:r w:rsidR="007F224B">
        <w:rPr>
          <w:szCs w:val="20"/>
        </w:rPr>
        <w:t xml:space="preserve"> Municipality has successfully establishes a Fresh Produce Market that </w:t>
      </w:r>
      <w:r w:rsidR="003600EB">
        <w:rPr>
          <w:szCs w:val="20"/>
        </w:rPr>
        <w:t>incorporates</w:t>
      </w:r>
      <w:r w:rsidR="007F224B">
        <w:rPr>
          <w:szCs w:val="20"/>
        </w:rPr>
        <w:t xml:space="preserve"> both commercial and communal farmers. The aim of this initiative is also to ensure growth and continuity, especially amongst emerging farmers at a small scale level. This is a collective initiative which requires combined efforts and resources. The aim is to continually strive to encourage partnerships to assist and undertake the task towards agrarian reform within the </w:t>
      </w:r>
      <w:r w:rsidR="001D792E">
        <w:rPr>
          <w:szCs w:val="20"/>
        </w:rPr>
        <w:t>King Cetshwayo</w:t>
      </w:r>
      <w:r w:rsidR="007F224B">
        <w:rPr>
          <w:szCs w:val="20"/>
        </w:rPr>
        <w:t xml:space="preserve"> </w:t>
      </w:r>
      <w:r w:rsidR="003C03FA">
        <w:rPr>
          <w:szCs w:val="20"/>
        </w:rPr>
        <w:t>District</w:t>
      </w:r>
      <w:r w:rsidR="007F224B">
        <w:rPr>
          <w:szCs w:val="20"/>
        </w:rPr>
        <w:t>. The Market operates as an entity within its own to boost economic growth through agricultural practices. The partnering government departments include;</w:t>
      </w:r>
    </w:p>
    <w:p w14:paraId="38F5F828" w14:textId="77777777" w:rsidR="007F224B" w:rsidRDefault="007F224B" w:rsidP="00750180">
      <w:pPr>
        <w:pStyle w:val="ListParagraph"/>
        <w:numPr>
          <w:ilvl w:val="0"/>
          <w:numId w:val="55"/>
        </w:numPr>
        <w:spacing w:line="288" w:lineRule="auto"/>
        <w:jc w:val="both"/>
        <w:rPr>
          <w:szCs w:val="20"/>
        </w:rPr>
      </w:pPr>
      <w:r>
        <w:rPr>
          <w:szCs w:val="20"/>
        </w:rPr>
        <w:t>The Department of Agriculture</w:t>
      </w:r>
    </w:p>
    <w:p w14:paraId="4F3DD9BE" w14:textId="77777777" w:rsidR="007F224B" w:rsidRDefault="007F224B" w:rsidP="00750180">
      <w:pPr>
        <w:pStyle w:val="ListParagraph"/>
        <w:numPr>
          <w:ilvl w:val="0"/>
          <w:numId w:val="55"/>
        </w:numPr>
        <w:spacing w:line="288" w:lineRule="auto"/>
        <w:jc w:val="both"/>
        <w:rPr>
          <w:szCs w:val="20"/>
        </w:rPr>
      </w:pPr>
      <w:r>
        <w:rPr>
          <w:szCs w:val="20"/>
        </w:rPr>
        <w:t>The Department of Co-</w:t>
      </w:r>
      <w:r w:rsidR="003600EB">
        <w:rPr>
          <w:szCs w:val="20"/>
        </w:rPr>
        <w:t>Operative</w:t>
      </w:r>
      <w:r>
        <w:rPr>
          <w:szCs w:val="20"/>
        </w:rPr>
        <w:t xml:space="preserve"> Governance and Traditional Affairs</w:t>
      </w:r>
    </w:p>
    <w:p w14:paraId="12D7253E" w14:textId="77777777" w:rsidR="007F224B" w:rsidRDefault="007F224B" w:rsidP="00750180">
      <w:pPr>
        <w:pStyle w:val="ListParagraph"/>
        <w:numPr>
          <w:ilvl w:val="0"/>
          <w:numId w:val="55"/>
        </w:numPr>
        <w:spacing w:line="288" w:lineRule="auto"/>
        <w:jc w:val="both"/>
        <w:rPr>
          <w:szCs w:val="20"/>
        </w:rPr>
      </w:pPr>
      <w:r>
        <w:rPr>
          <w:szCs w:val="20"/>
        </w:rPr>
        <w:t>The Department of Trade and Industry</w:t>
      </w:r>
    </w:p>
    <w:p w14:paraId="62BC7F7B" w14:textId="1A683E8D" w:rsidR="00F47271" w:rsidRDefault="00F47271" w:rsidP="00395313">
      <w:pPr>
        <w:spacing w:line="288" w:lineRule="auto"/>
        <w:jc w:val="both"/>
        <w:rPr>
          <w:szCs w:val="20"/>
        </w:rPr>
      </w:pPr>
      <w:r>
        <w:rPr>
          <w:szCs w:val="20"/>
        </w:rPr>
        <w:t xml:space="preserve">The </w:t>
      </w:r>
      <w:r w:rsidR="00A25189">
        <w:rPr>
          <w:szCs w:val="20"/>
        </w:rPr>
        <w:t>municipality</w:t>
      </w:r>
      <w:r w:rsidR="00122FC3">
        <w:rPr>
          <w:szCs w:val="20"/>
        </w:rPr>
        <w:t xml:space="preserve">, </w:t>
      </w:r>
      <w:r>
        <w:rPr>
          <w:szCs w:val="20"/>
        </w:rPr>
        <w:t>in support of</w:t>
      </w:r>
      <w:r w:rsidR="007F224B">
        <w:rPr>
          <w:szCs w:val="20"/>
        </w:rPr>
        <w:t xml:space="preserve"> local</w:t>
      </w:r>
      <w:r>
        <w:rPr>
          <w:szCs w:val="20"/>
        </w:rPr>
        <w:t xml:space="preserve"> agricultural development</w:t>
      </w:r>
      <w:r w:rsidR="00122FC3">
        <w:rPr>
          <w:szCs w:val="20"/>
        </w:rPr>
        <w:t>,</w:t>
      </w:r>
      <w:r>
        <w:rPr>
          <w:szCs w:val="20"/>
        </w:rPr>
        <w:t xml:space="preserve"> rolls out rural </w:t>
      </w:r>
      <w:r w:rsidR="00122FC3">
        <w:rPr>
          <w:szCs w:val="20"/>
        </w:rPr>
        <w:t xml:space="preserve">agricultural </w:t>
      </w:r>
      <w:r>
        <w:rPr>
          <w:szCs w:val="20"/>
        </w:rPr>
        <w:t>projects</w:t>
      </w:r>
      <w:r w:rsidR="00122FC3">
        <w:rPr>
          <w:szCs w:val="20"/>
        </w:rPr>
        <w:t xml:space="preserve"> </w:t>
      </w:r>
      <w:r>
        <w:rPr>
          <w:szCs w:val="20"/>
        </w:rPr>
        <w:t>that are aimed at ensuring food security through agriculture and land care. The Department of Agriculture</w:t>
      </w:r>
      <w:r w:rsidR="00A17AA7">
        <w:rPr>
          <w:szCs w:val="20"/>
        </w:rPr>
        <w:t xml:space="preserve"> and Rural Development</w:t>
      </w:r>
      <w:r>
        <w:rPr>
          <w:szCs w:val="20"/>
        </w:rPr>
        <w:t xml:space="preserve"> also assists greatly in this regard. The department has r</w:t>
      </w:r>
      <w:r w:rsidR="007F224B">
        <w:rPr>
          <w:szCs w:val="20"/>
        </w:rPr>
        <w:t>olled out major agricultural pro</w:t>
      </w:r>
      <w:r>
        <w:rPr>
          <w:szCs w:val="20"/>
        </w:rPr>
        <w:t>jects wi</w:t>
      </w:r>
      <w:r w:rsidR="00863F61">
        <w:rPr>
          <w:szCs w:val="20"/>
        </w:rPr>
        <w:t>thin the UMlalazi municipality.</w:t>
      </w:r>
      <w:r w:rsidR="00A17AA7">
        <w:rPr>
          <w:szCs w:val="20"/>
        </w:rPr>
        <w:t xml:space="preserve"> The following tables indicate the municipality’s agricultural projects and programs to enhance agriculture development within the municipal area as well as the confirmed projects by the DARD;</w:t>
      </w:r>
    </w:p>
    <w:p w14:paraId="25836D35" w14:textId="77777777" w:rsidR="00A17AA7" w:rsidRDefault="00A17AA7" w:rsidP="00395313">
      <w:pPr>
        <w:spacing w:line="288" w:lineRule="auto"/>
        <w:jc w:val="both"/>
        <w:rPr>
          <w:szCs w:val="20"/>
        </w:rPr>
      </w:pPr>
    </w:p>
    <w:p w14:paraId="3E0144B3" w14:textId="77777777" w:rsidR="00A17AA7" w:rsidRDefault="00A17AA7" w:rsidP="00395313">
      <w:pPr>
        <w:spacing w:line="288" w:lineRule="auto"/>
        <w:jc w:val="both"/>
        <w:rPr>
          <w:szCs w:val="20"/>
        </w:rPr>
      </w:pPr>
    </w:p>
    <w:p w14:paraId="51B55494" w14:textId="77777777" w:rsidR="00A17AA7" w:rsidRDefault="00A17AA7" w:rsidP="00395313">
      <w:pPr>
        <w:spacing w:line="288" w:lineRule="auto"/>
        <w:jc w:val="both"/>
        <w:rPr>
          <w:szCs w:val="20"/>
        </w:rPr>
      </w:pPr>
    </w:p>
    <w:tbl>
      <w:tblPr>
        <w:tblW w:w="5011" w:type="pct"/>
        <w:tblCellMar>
          <w:left w:w="0" w:type="dxa"/>
          <w:right w:w="0" w:type="dxa"/>
        </w:tblCellMar>
        <w:tblLook w:val="04A0" w:firstRow="1" w:lastRow="0" w:firstColumn="1" w:lastColumn="0" w:noHBand="0" w:noVBand="1"/>
      </w:tblPr>
      <w:tblGrid>
        <w:gridCol w:w="6325"/>
        <w:gridCol w:w="1080"/>
        <w:gridCol w:w="2235"/>
      </w:tblGrid>
      <w:tr w:rsidR="00A17AA7" w:rsidRPr="00287E25" w14:paraId="4B876D93" w14:textId="77777777" w:rsidTr="005A1DD2">
        <w:trPr>
          <w:trHeight w:val="114"/>
        </w:trPr>
        <w:tc>
          <w:tcPr>
            <w:tcW w:w="3281" w:type="pc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79" w:type="dxa"/>
              <w:bottom w:w="0" w:type="dxa"/>
              <w:right w:w="79" w:type="dxa"/>
            </w:tcMar>
          </w:tcPr>
          <w:p w14:paraId="3F4FCDA8" w14:textId="1B0303F6" w:rsidR="00A17AA7" w:rsidRPr="00A17AA7" w:rsidRDefault="00A17AA7" w:rsidP="00FB75BA">
            <w:pPr>
              <w:spacing w:after="0" w:line="256" w:lineRule="auto"/>
              <w:rPr>
                <w:b/>
                <w:szCs w:val="20"/>
              </w:rPr>
            </w:pPr>
            <w:r w:rsidRPr="00A17AA7">
              <w:rPr>
                <w:b/>
                <w:szCs w:val="20"/>
              </w:rPr>
              <w:t>Activity</w:t>
            </w:r>
          </w:p>
        </w:tc>
        <w:tc>
          <w:tcPr>
            <w:tcW w:w="560" w:type="pc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79" w:type="dxa"/>
              <w:bottom w:w="0" w:type="dxa"/>
              <w:right w:w="79" w:type="dxa"/>
            </w:tcMar>
          </w:tcPr>
          <w:p w14:paraId="739183D7" w14:textId="5DBBAA3D" w:rsidR="00A17AA7" w:rsidRPr="00A17AA7" w:rsidRDefault="00A17AA7" w:rsidP="00287E25">
            <w:pPr>
              <w:spacing w:after="0" w:line="256" w:lineRule="auto"/>
              <w:rPr>
                <w:b/>
                <w:szCs w:val="20"/>
              </w:rPr>
            </w:pPr>
            <w:r w:rsidRPr="00A17AA7">
              <w:rPr>
                <w:b/>
                <w:szCs w:val="20"/>
              </w:rPr>
              <w:t>Ward</w:t>
            </w:r>
          </w:p>
        </w:tc>
        <w:tc>
          <w:tcPr>
            <w:tcW w:w="1159" w:type="pct"/>
            <w:tcBorders>
              <w:top w:val="single" w:sz="8" w:space="0" w:color="000000"/>
              <w:left w:val="single" w:sz="8" w:space="0" w:color="000000"/>
              <w:bottom w:val="single" w:sz="8" w:space="0" w:color="000000"/>
              <w:right w:val="single" w:sz="8" w:space="0" w:color="000000"/>
            </w:tcBorders>
            <w:shd w:val="clear" w:color="auto" w:fill="BFBFBF" w:themeFill="background1" w:themeFillShade="BF"/>
            <w:tcMar>
              <w:top w:w="15" w:type="dxa"/>
              <w:left w:w="79" w:type="dxa"/>
              <w:bottom w:w="0" w:type="dxa"/>
              <w:right w:w="79" w:type="dxa"/>
            </w:tcMar>
          </w:tcPr>
          <w:p w14:paraId="307BB8D5" w14:textId="037ED702" w:rsidR="00A17AA7" w:rsidRPr="00A17AA7" w:rsidRDefault="00A17AA7" w:rsidP="00287E25">
            <w:pPr>
              <w:spacing w:after="0" w:line="256" w:lineRule="auto"/>
              <w:rPr>
                <w:b/>
                <w:szCs w:val="20"/>
              </w:rPr>
            </w:pPr>
            <w:r w:rsidRPr="00A17AA7">
              <w:rPr>
                <w:b/>
                <w:szCs w:val="20"/>
              </w:rPr>
              <w:t>Progress</w:t>
            </w:r>
          </w:p>
        </w:tc>
      </w:tr>
      <w:tr w:rsidR="00A17AA7" w:rsidRPr="00287E25" w14:paraId="223AEC06" w14:textId="77777777" w:rsidTr="005A1DD2">
        <w:trPr>
          <w:trHeight w:val="409"/>
        </w:trPr>
        <w:tc>
          <w:tcPr>
            <w:tcW w:w="3281" w:type="pct"/>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hideMark/>
          </w:tcPr>
          <w:p w14:paraId="6A50F243" w14:textId="2D2CC996" w:rsidR="00287E25" w:rsidRPr="00287E25" w:rsidRDefault="00287E25" w:rsidP="00A17AA7">
            <w:pPr>
              <w:spacing w:after="0" w:line="256" w:lineRule="auto"/>
              <w:rPr>
                <w:szCs w:val="20"/>
              </w:rPr>
            </w:pPr>
            <w:r w:rsidRPr="00287E25">
              <w:rPr>
                <w:szCs w:val="20"/>
              </w:rPr>
              <w:t>Installation of irrigations systems (Makhosazana &amp; Brothrse Co-operative)</w:t>
            </w:r>
          </w:p>
        </w:tc>
        <w:tc>
          <w:tcPr>
            <w:tcW w:w="560" w:type="pct"/>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hideMark/>
          </w:tcPr>
          <w:p w14:paraId="3E6AF538" w14:textId="77777777" w:rsidR="00A17AA7" w:rsidRPr="00287E25" w:rsidRDefault="00A17AA7" w:rsidP="00287E25">
            <w:pPr>
              <w:spacing w:after="0" w:line="256" w:lineRule="auto"/>
              <w:rPr>
                <w:szCs w:val="20"/>
              </w:rPr>
            </w:pPr>
            <w:r w:rsidRPr="00287E25">
              <w:rPr>
                <w:szCs w:val="20"/>
              </w:rPr>
              <w:t xml:space="preserve">24 </w:t>
            </w:r>
          </w:p>
        </w:tc>
        <w:tc>
          <w:tcPr>
            <w:tcW w:w="1159" w:type="pct"/>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hideMark/>
          </w:tcPr>
          <w:p w14:paraId="38917380" w14:textId="43527B91" w:rsidR="00A17AA7" w:rsidRPr="00287E25" w:rsidRDefault="00A17AA7" w:rsidP="00A17AA7">
            <w:pPr>
              <w:spacing w:after="0" w:line="256" w:lineRule="auto"/>
              <w:rPr>
                <w:szCs w:val="20"/>
              </w:rPr>
            </w:pPr>
            <w:r w:rsidRPr="00287E25">
              <w:rPr>
                <w:szCs w:val="20"/>
              </w:rPr>
              <w:t> 90% complete</w:t>
            </w:r>
          </w:p>
        </w:tc>
      </w:tr>
      <w:tr w:rsidR="00A17AA7" w:rsidRPr="00287E25" w14:paraId="547F2A1E" w14:textId="77777777" w:rsidTr="005A1DD2">
        <w:trPr>
          <w:trHeight w:val="414"/>
        </w:trPr>
        <w:tc>
          <w:tcPr>
            <w:tcW w:w="3281" w:type="pct"/>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hideMark/>
          </w:tcPr>
          <w:p w14:paraId="6CF7A9E7" w14:textId="1C3FC261" w:rsidR="00287E25" w:rsidRPr="00287E25" w:rsidRDefault="005A1DD2" w:rsidP="00FB75BA">
            <w:pPr>
              <w:spacing w:after="0" w:line="256" w:lineRule="auto"/>
              <w:rPr>
                <w:szCs w:val="20"/>
              </w:rPr>
            </w:pPr>
            <w:r>
              <w:rPr>
                <w:szCs w:val="20"/>
              </w:rPr>
              <w:t xml:space="preserve">Fencing of communal  gardens: </w:t>
            </w:r>
            <w:r w:rsidR="00287E25" w:rsidRPr="00287E25">
              <w:rPr>
                <w:szCs w:val="20"/>
              </w:rPr>
              <w:t>(Ngudwini, Sbheke &amp; Hlanganani gardens)</w:t>
            </w:r>
          </w:p>
          <w:p w14:paraId="743DE84B" w14:textId="77777777" w:rsidR="00A17AA7" w:rsidRPr="00287E25" w:rsidRDefault="00A17AA7" w:rsidP="00287E25">
            <w:pPr>
              <w:spacing w:after="0" w:line="256" w:lineRule="auto"/>
              <w:rPr>
                <w:szCs w:val="20"/>
              </w:rPr>
            </w:pPr>
            <w:r w:rsidRPr="00287E25">
              <w:rPr>
                <w:szCs w:val="20"/>
              </w:rPr>
              <w:t> </w:t>
            </w:r>
          </w:p>
          <w:p w14:paraId="06057C50" w14:textId="77777777" w:rsidR="00287E25" w:rsidRPr="00287E25" w:rsidRDefault="00287E25" w:rsidP="00FB75BA">
            <w:pPr>
              <w:spacing w:after="0" w:line="256" w:lineRule="auto"/>
              <w:rPr>
                <w:szCs w:val="20"/>
              </w:rPr>
            </w:pPr>
            <w:r w:rsidRPr="00287E25">
              <w:rPr>
                <w:szCs w:val="20"/>
              </w:rPr>
              <w:t>Ndondondwane &amp; Nkolongo Communal garden</w:t>
            </w:r>
          </w:p>
        </w:tc>
        <w:tc>
          <w:tcPr>
            <w:tcW w:w="560" w:type="pct"/>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hideMark/>
          </w:tcPr>
          <w:p w14:paraId="1B7EAE4E" w14:textId="77777777" w:rsidR="00A17AA7" w:rsidRPr="00287E25" w:rsidRDefault="00A17AA7" w:rsidP="00287E25">
            <w:pPr>
              <w:spacing w:after="0" w:line="256" w:lineRule="auto"/>
              <w:rPr>
                <w:szCs w:val="20"/>
              </w:rPr>
            </w:pPr>
            <w:r w:rsidRPr="00287E25">
              <w:rPr>
                <w:szCs w:val="20"/>
              </w:rPr>
              <w:t>5, 13, 18</w:t>
            </w:r>
          </w:p>
          <w:p w14:paraId="6A216CBF" w14:textId="57CE6974" w:rsidR="00A17AA7" w:rsidRPr="00287E25" w:rsidRDefault="005A1DD2" w:rsidP="00287E25">
            <w:pPr>
              <w:spacing w:after="0" w:line="256" w:lineRule="auto"/>
              <w:rPr>
                <w:szCs w:val="20"/>
              </w:rPr>
            </w:pPr>
            <w:r>
              <w:rPr>
                <w:szCs w:val="20"/>
              </w:rPr>
              <w:t> </w:t>
            </w:r>
          </w:p>
          <w:p w14:paraId="1F55BFA5" w14:textId="77777777" w:rsidR="00A17AA7" w:rsidRPr="00287E25" w:rsidRDefault="00A17AA7" w:rsidP="00287E25">
            <w:pPr>
              <w:spacing w:after="0" w:line="256" w:lineRule="auto"/>
              <w:rPr>
                <w:szCs w:val="20"/>
              </w:rPr>
            </w:pPr>
            <w:r w:rsidRPr="00287E25">
              <w:rPr>
                <w:szCs w:val="20"/>
              </w:rPr>
              <w:t> 2 &amp; 19</w:t>
            </w:r>
          </w:p>
        </w:tc>
        <w:tc>
          <w:tcPr>
            <w:tcW w:w="1159" w:type="pct"/>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hideMark/>
          </w:tcPr>
          <w:p w14:paraId="37A5D1C4" w14:textId="77777777" w:rsidR="00A17AA7" w:rsidRPr="00287E25" w:rsidRDefault="00A17AA7" w:rsidP="00287E25">
            <w:pPr>
              <w:spacing w:after="0" w:line="256" w:lineRule="auto"/>
              <w:rPr>
                <w:szCs w:val="20"/>
              </w:rPr>
            </w:pPr>
            <w:r w:rsidRPr="00287E25">
              <w:rPr>
                <w:szCs w:val="20"/>
              </w:rPr>
              <w:t xml:space="preserve">Completed </w:t>
            </w:r>
          </w:p>
          <w:p w14:paraId="6F6D2836" w14:textId="77777777" w:rsidR="00A17AA7" w:rsidRPr="00287E25" w:rsidRDefault="00A17AA7" w:rsidP="00287E25">
            <w:pPr>
              <w:spacing w:after="0" w:line="256" w:lineRule="auto"/>
              <w:rPr>
                <w:szCs w:val="20"/>
              </w:rPr>
            </w:pPr>
            <w:r w:rsidRPr="00287E25">
              <w:rPr>
                <w:szCs w:val="20"/>
              </w:rPr>
              <w:t> </w:t>
            </w:r>
          </w:p>
          <w:p w14:paraId="18A31EF4" w14:textId="71B73AF2" w:rsidR="00A17AA7" w:rsidRPr="00287E25" w:rsidRDefault="005A1DD2" w:rsidP="00287E25">
            <w:pPr>
              <w:spacing w:after="0" w:line="256" w:lineRule="auto"/>
              <w:rPr>
                <w:szCs w:val="20"/>
              </w:rPr>
            </w:pPr>
            <w:r>
              <w:rPr>
                <w:szCs w:val="20"/>
              </w:rPr>
              <w:t>Ongoing</w:t>
            </w:r>
            <w:r w:rsidR="00A17AA7" w:rsidRPr="00287E25">
              <w:rPr>
                <w:szCs w:val="20"/>
              </w:rPr>
              <w:t xml:space="preserve"> </w:t>
            </w:r>
          </w:p>
        </w:tc>
      </w:tr>
      <w:tr w:rsidR="00A17AA7" w:rsidRPr="00287E25" w14:paraId="1979A252" w14:textId="77777777" w:rsidTr="005A1DD2">
        <w:trPr>
          <w:trHeight w:val="149"/>
        </w:trPr>
        <w:tc>
          <w:tcPr>
            <w:tcW w:w="3281" w:type="pct"/>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hideMark/>
          </w:tcPr>
          <w:p w14:paraId="120725DB" w14:textId="7D78D65F" w:rsidR="00287E25" w:rsidRPr="00287E25" w:rsidRDefault="005A1DD2" w:rsidP="00FB75BA">
            <w:pPr>
              <w:spacing w:after="0" w:line="256" w:lineRule="auto"/>
              <w:rPr>
                <w:szCs w:val="20"/>
              </w:rPr>
            </w:pPr>
            <w:r>
              <w:rPr>
                <w:szCs w:val="20"/>
              </w:rPr>
              <w:t>Supply of Agricultural Equipment and I</w:t>
            </w:r>
            <w:r w:rsidR="00287E25" w:rsidRPr="00287E25">
              <w:rPr>
                <w:szCs w:val="20"/>
              </w:rPr>
              <w:t xml:space="preserve">nputs </w:t>
            </w:r>
          </w:p>
          <w:p w14:paraId="3743F164" w14:textId="77777777" w:rsidR="00A17AA7" w:rsidRPr="00287E25" w:rsidRDefault="00A17AA7" w:rsidP="00287E25">
            <w:pPr>
              <w:spacing w:after="0" w:line="256" w:lineRule="auto"/>
              <w:rPr>
                <w:szCs w:val="20"/>
              </w:rPr>
            </w:pPr>
            <w:r w:rsidRPr="00287E25">
              <w:rPr>
                <w:szCs w:val="20"/>
              </w:rPr>
              <w:t> </w:t>
            </w:r>
          </w:p>
        </w:tc>
        <w:tc>
          <w:tcPr>
            <w:tcW w:w="560" w:type="pct"/>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hideMark/>
          </w:tcPr>
          <w:p w14:paraId="449050F6" w14:textId="77777777" w:rsidR="00A17AA7" w:rsidRPr="00287E25" w:rsidRDefault="00A17AA7" w:rsidP="00287E25">
            <w:pPr>
              <w:spacing w:after="0" w:line="256" w:lineRule="auto"/>
              <w:rPr>
                <w:szCs w:val="20"/>
              </w:rPr>
            </w:pPr>
            <w:r w:rsidRPr="00287E25">
              <w:rPr>
                <w:szCs w:val="20"/>
              </w:rPr>
              <w:t xml:space="preserve">All wards </w:t>
            </w:r>
          </w:p>
        </w:tc>
        <w:tc>
          <w:tcPr>
            <w:tcW w:w="1159" w:type="pct"/>
            <w:tcBorders>
              <w:top w:val="single" w:sz="8" w:space="0" w:color="000000"/>
              <w:left w:val="single" w:sz="8" w:space="0" w:color="000000"/>
              <w:bottom w:val="single" w:sz="8" w:space="0" w:color="000000"/>
              <w:right w:val="single" w:sz="8" w:space="0" w:color="000000"/>
            </w:tcBorders>
            <w:shd w:val="clear" w:color="auto" w:fill="auto"/>
            <w:tcMar>
              <w:top w:w="15" w:type="dxa"/>
              <w:left w:w="79" w:type="dxa"/>
              <w:bottom w:w="0" w:type="dxa"/>
              <w:right w:w="79" w:type="dxa"/>
            </w:tcMar>
            <w:hideMark/>
          </w:tcPr>
          <w:p w14:paraId="6F7EB9B7" w14:textId="7E0A72F7" w:rsidR="00A17AA7" w:rsidRPr="00287E25" w:rsidRDefault="005A1DD2" w:rsidP="00287E25">
            <w:pPr>
              <w:spacing w:after="0" w:line="256" w:lineRule="auto"/>
              <w:rPr>
                <w:szCs w:val="20"/>
              </w:rPr>
            </w:pPr>
            <w:r>
              <w:rPr>
                <w:szCs w:val="20"/>
              </w:rPr>
              <w:t>In progress</w:t>
            </w:r>
            <w:r w:rsidR="00A17AA7" w:rsidRPr="00287E25">
              <w:rPr>
                <w:szCs w:val="20"/>
              </w:rPr>
              <w:t xml:space="preserve">  </w:t>
            </w:r>
          </w:p>
        </w:tc>
      </w:tr>
    </w:tbl>
    <w:p w14:paraId="13C8EC81" w14:textId="77777777" w:rsidR="00287E25" w:rsidRDefault="00287E25" w:rsidP="00FB75BA">
      <w:pPr>
        <w:spacing w:after="0" w:line="256" w:lineRule="auto"/>
        <w:rPr>
          <w:szCs w:val="20"/>
        </w:rPr>
      </w:pPr>
    </w:p>
    <w:p w14:paraId="676FED1E" w14:textId="2C46187A" w:rsidR="00287E25" w:rsidRDefault="00287E25" w:rsidP="00FB75BA">
      <w:pPr>
        <w:spacing w:after="0" w:line="256" w:lineRule="auto"/>
        <w:rPr>
          <w:szCs w:val="20"/>
        </w:rPr>
      </w:pPr>
      <w:r>
        <w:rPr>
          <w:szCs w:val="20"/>
        </w:rPr>
        <w:t xml:space="preserve">The Following projects have been identified by the Department of Agriculture and Rural Development to </w:t>
      </w:r>
      <w:r w:rsidR="005A1DD2">
        <w:rPr>
          <w:szCs w:val="20"/>
        </w:rPr>
        <w:t>be implemented in the 2018/19 financial year;</w:t>
      </w:r>
    </w:p>
    <w:p w14:paraId="7B66A7F3" w14:textId="77777777" w:rsidR="005A1DD2" w:rsidRDefault="005A1DD2" w:rsidP="00FB75BA">
      <w:pPr>
        <w:spacing w:after="0" w:line="256" w:lineRule="auto"/>
        <w:rPr>
          <w:szCs w:val="20"/>
        </w:rPr>
      </w:pPr>
    </w:p>
    <w:tbl>
      <w:tblPr>
        <w:tblStyle w:val="TableGrid"/>
        <w:tblW w:w="0" w:type="auto"/>
        <w:tblLook w:val="04A0" w:firstRow="1" w:lastRow="0" w:firstColumn="1" w:lastColumn="0" w:noHBand="0" w:noVBand="1"/>
      </w:tblPr>
      <w:tblGrid>
        <w:gridCol w:w="3539"/>
        <w:gridCol w:w="1134"/>
        <w:gridCol w:w="1701"/>
        <w:gridCol w:w="1293"/>
        <w:gridCol w:w="1962"/>
      </w:tblGrid>
      <w:tr w:rsidR="00ED68A9" w14:paraId="60AB94B0" w14:textId="77777777" w:rsidTr="005A1DD2">
        <w:tc>
          <w:tcPr>
            <w:tcW w:w="3539" w:type="dxa"/>
            <w:shd w:val="clear" w:color="auto" w:fill="BFBFBF" w:themeFill="background1" w:themeFillShade="BF"/>
          </w:tcPr>
          <w:p w14:paraId="4B5D6321" w14:textId="00412A17" w:rsidR="005A1DD2" w:rsidRPr="005A1DD2" w:rsidRDefault="005A1DD2" w:rsidP="00395313">
            <w:pPr>
              <w:spacing w:line="288" w:lineRule="auto"/>
              <w:jc w:val="both"/>
              <w:rPr>
                <w:b/>
                <w:szCs w:val="20"/>
              </w:rPr>
            </w:pPr>
            <w:r w:rsidRPr="005A1DD2">
              <w:rPr>
                <w:b/>
              </w:rPr>
              <w:t>Name</w:t>
            </w:r>
          </w:p>
        </w:tc>
        <w:tc>
          <w:tcPr>
            <w:tcW w:w="1134" w:type="dxa"/>
            <w:shd w:val="clear" w:color="auto" w:fill="BFBFBF" w:themeFill="background1" w:themeFillShade="BF"/>
          </w:tcPr>
          <w:p w14:paraId="58B0C6DF" w14:textId="7F7FA4F1" w:rsidR="005A1DD2" w:rsidRPr="005A1DD2" w:rsidRDefault="005A1DD2" w:rsidP="00395313">
            <w:pPr>
              <w:spacing w:line="288" w:lineRule="auto"/>
              <w:jc w:val="both"/>
              <w:rPr>
                <w:b/>
                <w:szCs w:val="20"/>
              </w:rPr>
            </w:pPr>
            <w:r>
              <w:rPr>
                <w:b/>
              </w:rPr>
              <w:t>Ward N</w:t>
            </w:r>
            <w:r w:rsidRPr="005A1DD2">
              <w:rPr>
                <w:b/>
              </w:rPr>
              <w:t>o</w:t>
            </w:r>
          </w:p>
        </w:tc>
        <w:tc>
          <w:tcPr>
            <w:tcW w:w="1701" w:type="dxa"/>
            <w:shd w:val="clear" w:color="auto" w:fill="BFBFBF" w:themeFill="background1" w:themeFillShade="BF"/>
          </w:tcPr>
          <w:p w14:paraId="10CA49B5" w14:textId="103FDD85" w:rsidR="005A1DD2" w:rsidRPr="005A1DD2" w:rsidRDefault="005A1DD2" w:rsidP="00395313">
            <w:pPr>
              <w:spacing w:line="288" w:lineRule="auto"/>
              <w:jc w:val="both"/>
              <w:rPr>
                <w:b/>
                <w:szCs w:val="20"/>
              </w:rPr>
            </w:pPr>
            <w:r w:rsidRPr="005A1DD2">
              <w:rPr>
                <w:b/>
              </w:rPr>
              <w:t>Activity</w:t>
            </w:r>
          </w:p>
        </w:tc>
        <w:tc>
          <w:tcPr>
            <w:tcW w:w="1293" w:type="dxa"/>
            <w:shd w:val="clear" w:color="auto" w:fill="BFBFBF" w:themeFill="background1" w:themeFillShade="BF"/>
          </w:tcPr>
          <w:p w14:paraId="3035677E" w14:textId="3D2DB8A9" w:rsidR="005A1DD2" w:rsidRPr="005A1DD2" w:rsidRDefault="005A1DD2" w:rsidP="00395313">
            <w:pPr>
              <w:spacing w:line="288" w:lineRule="auto"/>
              <w:jc w:val="both"/>
              <w:rPr>
                <w:b/>
              </w:rPr>
            </w:pPr>
            <w:r w:rsidRPr="005A1DD2">
              <w:rPr>
                <w:b/>
              </w:rPr>
              <w:t>Size (ha)</w:t>
            </w:r>
          </w:p>
        </w:tc>
        <w:tc>
          <w:tcPr>
            <w:tcW w:w="1962" w:type="dxa"/>
            <w:shd w:val="clear" w:color="auto" w:fill="BFBFBF" w:themeFill="background1" w:themeFillShade="BF"/>
          </w:tcPr>
          <w:p w14:paraId="3B7A5F6C" w14:textId="5EE7B101" w:rsidR="005A1DD2" w:rsidRPr="005A1DD2" w:rsidRDefault="005A1DD2" w:rsidP="005A1DD2">
            <w:pPr>
              <w:spacing w:line="288" w:lineRule="auto"/>
              <w:jc w:val="both"/>
              <w:rPr>
                <w:b/>
                <w:szCs w:val="20"/>
              </w:rPr>
            </w:pPr>
            <w:r w:rsidRPr="005A1DD2">
              <w:rPr>
                <w:b/>
              </w:rPr>
              <w:t xml:space="preserve">Budget </w:t>
            </w:r>
          </w:p>
        </w:tc>
      </w:tr>
      <w:tr w:rsidR="00ED68A9" w14:paraId="64E4A4D5" w14:textId="77777777" w:rsidTr="005A1DD2">
        <w:tc>
          <w:tcPr>
            <w:tcW w:w="3539" w:type="dxa"/>
          </w:tcPr>
          <w:p w14:paraId="317417B4" w14:textId="2622961A" w:rsidR="005A1DD2" w:rsidRDefault="005A1DD2" w:rsidP="005A1DD2">
            <w:pPr>
              <w:spacing w:line="288" w:lineRule="auto"/>
              <w:jc w:val="both"/>
              <w:rPr>
                <w:szCs w:val="20"/>
              </w:rPr>
            </w:pPr>
            <w:r w:rsidRPr="00332C91">
              <w:t xml:space="preserve">Qedindlala </w:t>
            </w:r>
            <w:r>
              <w:t>Co-Operative</w:t>
            </w:r>
          </w:p>
        </w:tc>
        <w:tc>
          <w:tcPr>
            <w:tcW w:w="1134" w:type="dxa"/>
          </w:tcPr>
          <w:p w14:paraId="4DBE2038" w14:textId="78D6A0C5" w:rsidR="005A1DD2" w:rsidRDefault="005A1DD2" w:rsidP="005A1DD2">
            <w:pPr>
              <w:spacing w:line="288" w:lineRule="auto"/>
              <w:jc w:val="both"/>
              <w:rPr>
                <w:szCs w:val="20"/>
              </w:rPr>
            </w:pPr>
            <w:r>
              <w:rPr>
                <w:szCs w:val="20"/>
              </w:rPr>
              <w:t>15</w:t>
            </w:r>
          </w:p>
        </w:tc>
        <w:tc>
          <w:tcPr>
            <w:tcW w:w="1701" w:type="dxa"/>
          </w:tcPr>
          <w:p w14:paraId="11E6D74B" w14:textId="30F6F8E0" w:rsidR="005A1DD2" w:rsidRDefault="005A1DD2" w:rsidP="005A1DD2">
            <w:pPr>
              <w:spacing w:line="288" w:lineRule="auto"/>
              <w:jc w:val="both"/>
              <w:rPr>
                <w:szCs w:val="20"/>
              </w:rPr>
            </w:pPr>
            <w:r w:rsidRPr="00332C91">
              <w:t>Irrigation</w:t>
            </w:r>
          </w:p>
        </w:tc>
        <w:tc>
          <w:tcPr>
            <w:tcW w:w="1293" w:type="dxa"/>
          </w:tcPr>
          <w:p w14:paraId="4B074AF9" w14:textId="1F9E1B8B" w:rsidR="005A1DD2" w:rsidRDefault="005A1DD2" w:rsidP="005A1DD2">
            <w:pPr>
              <w:spacing w:line="288" w:lineRule="auto"/>
              <w:jc w:val="both"/>
              <w:rPr>
                <w:szCs w:val="20"/>
              </w:rPr>
            </w:pPr>
            <w:r w:rsidRPr="00332C91">
              <w:t xml:space="preserve">1 </w:t>
            </w:r>
            <w:r>
              <w:t>ha</w:t>
            </w:r>
          </w:p>
        </w:tc>
        <w:tc>
          <w:tcPr>
            <w:tcW w:w="1962" w:type="dxa"/>
          </w:tcPr>
          <w:p w14:paraId="5FDE0EA4" w14:textId="0F936F54" w:rsidR="005A1DD2" w:rsidRDefault="005A1DD2" w:rsidP="005A1DD2">
            <w:pPr>
              <w:spacing w:line="288" w:lineRule="auto"/>
              <w:jc w:val="both"/>
              <w:rPr>
                <w:szCs w:val="20"/>
              </w:rPr>
            </w:pPr>
            <w:r w:rsidRPr="00332C91">
              <w:t>R80 000</w:t>
            </w:r>
          </w:p>
        </w:tc>
      </w:tr>
      <w:tr w:rsidR="00ED68A9" w14:paraId="354EC356" w14:textId="77777777" w:rsidTr="005A1DD2">
        <w:tc>
          <w:tcPr>
            <w:tcW w:w="3539" w:type="dxa"/>
          </w:tcPr>
          <w:p w14:paraId="329477DD" w14:textId="403DCEA9" w:rsidR="005A1DD2" w:rsidRDefault="005A1DD2" w:rsidP="00395313">
            <w:pPr>
              <w:spacing w:line="288" w:lineRule="auto"/>
              <w:jc w:val="both"/>
              <w:rPr>
                <w:szCs w:val="20"/>
              </w:rPr>
            </w:pPr>
            <w:r w:rsidRPr="005A1DD2">
              <w:rPr>
                <w:szCs w:val="20"/>
              </w:rPr>
              <w:t>Siyathuthuka</w:t>
            </w:r>
            <w:r>
              <w:rPr>
                <w:szCs w:val="20"/>
              </w:rPr>
              <w:t xml:space="preserve"> </w:t>
            </w:r>
            <w:r w:rsidRPr="005A1DD2">
              <w:rPr>
                <w:szCs w:val="20"/>
              </w:rPr>
              <w:t>Co-Operative</w:t>
            </w:r>
          </w:p>
        </w:tc>
        <w:tc>
          <w:tcPr>
            <w:tcW w:w="1134" w:type="dxa"/>
          </w:tcPr>
          <w:p w14:paraId="04C73620" w14:textId="2EEAC841" w:rsidR="005A1DD2" w:rsidRDefault="005A1DD2" w:rsidP="00395313">
            <w:pPr>
              <w:spacing w:line="288" w:lineRule="auto"/>
              <w:jc w:val="both"/>
              <w:rPr>
                <w:szCs w:val="20"/>
              </w:rPr>
            </w:pPr>
            <w:r w:rsidRPr="005A1DD2">
              <w:rPr>
                <w:szCs w:val="20"/>
              </w:rPr>
              <w:t>15</w:t>
            </w:r>
          </w:p>
        </w:tc>
        <w:tc>
          <w:tcPr>
            <w:tcW w:w="1701" w:type="dxa"/>
          </w:tcPr>
          <w:p w14:paraId="69741F1F" w14:textId="52DF389B" w:rsidR="005A1DD2" w:rsidRDefault="005A1DD2" w:rsidP="00395313">
            <w:pPr>
              <w:spacing w:line="288" w:lineRule="auto"/>
              <w:jc w:val="both"/>
              <w:rPr>
                <w:szCs w:val="20"/>
              </w:rPr>
            </w:pPr>
            <w:r w:rsidRPr="005A1DD2">
              <w:rPr>
                <w:szCs w:val="20"/>
              </w:rPr>
              <w:t>Irrigation</w:t>
            </w:r>
          </w:p>
        </w:tc>
        <w:tc>
          <w:tcPr>
            <w:tcW w:w="1293" w:type="dxa"/>
          </w:tcPr>
          <w:p w14:paraId="71F94DF9" w14:textId="1EEB6B6E" w:rsidR="005A1DD2" w:rsidRDefault="005A1DD2" w:rsidP="00395313">
            <w:pPr>
              <w:spacing w:line="288" w:lineRule="auto"/>
              <w:jc w:val="both"/>
              <w:rPr>
                <w:szCs w:val="20"/>
              </w:rPr>
            </w:pPr>
            <w:r w:rsidRPr="005A1DD2">
              <w:rPr>
                <w:szCs w:val="20"/>
              </w:rPr>
              <w:t>1 ha</w:t>
            </w:r>
          </w:p>
        </w:tc>
        <w:tc>
          <w:tcPr>
            <w:tcW w:w="1962" w:type="dxa"/>
          </w:tcPr>
          <w:p w14:paraId="26DADCA1" w14:textId="7BCD3D24" w:rsidR="005A1DD2" w:rsidRDefault="005A1DD2" w:rsidP="00395313">
            <w:pPr>
              <w:spacing w:line="288" w:lineRule="auto"/>
              <w:jc w:val="both"/>
              <w:rPr>
                <w:szCs w:val="20"/>
              </w:rPr>
            </w:pPr>
            <w:r w:rsidRPr="005A1DD2">
              <w:rPr>
                <w:szCs w:val="20"/>
              </w:rPr>
              <w:t>R80 000</w:t>
            </w:r>
          </w:p>
        </w:tc>
      </w:tr>
      <w:tr w:rsidR="00ED68A9" w14:paraId="7718D376" w14:textId="77777777" w:rsidTr="005A1DD2">
        <w:tc>
          <w:tcPr>
            <w:tcW w:w="3539" w:type="dxa"/>
          </w:tcPr>
          <w:p w14:paraId="29A89296" w14:textId="2C30148D" w:rsidR="005A1DD2" w:rsidRDefault="005A1DD2" w:rsidP="00395313">
            <w:pPr>
              <w:spacing w:line="288" w:lineRule="auto"/>
              <w:jc w:val="both"/>
              <w:rPr>
                <w:szCs w:val="20"/>
              </w:rPr>
            </w:pPr>
            <w:r w:rsidRPr="005A1DD2">
              <w:rPr>
                <w:szCs w:val="20"/>
              </w:rPr>
              <w:t>Savukamphendle</w:t>
            </w:r>
            <w:r>
              <w:rPr>
                <w:szCs w:val="20"/>
              </w:rPr>
              <w:t xml:space="preserve"> </w:t>
            </w:r>
            <w:r w:rsidRPr="005A1DD2">
              <w:rPr>
                <w:szCs w:val="20"/>
              </w:rPr>
              <w:t>Co-Operative</w:t>
            </w:r>
          </w:p>
        </w:tc>
        <w:tc>
          <w:tcPr>
            <w:tcW w:w="1134" w:type="dxa"/>
          </w:tcPr>
          <w:p w14:paraId="430C3DE3" w14:textId="52CDB05B" w:rsidR="005A1DD2" w:rsidRDefault="005A1DD2" w:rsidP="00395313">
            <w:pPr>
              <w:spacing w:line="288" w:lineRule="auto"/>
              <w:jc w:val="both"/>
              <w:rPr>
                <w:szCs w:val="20"/>
              </w:rPr>
            </w:pPr>
            <w:r w:rsidRPr="005A1DD2">
              <w:rPr>
                <w:szCs w:val="20"/>
              </w:rPr>
              <w:t>06</w:t>
            </w:r>
          </w:p>
        </w:tc>
        <w:tc>
          <w:tcPr>
            <w:tcW w:w="1701" w:type="dxa"/>
          </w:tcPr>
          <w:p w14:paraId="47AF0C8C" w14:textId="5E7427AA" w:rsidR="005A1DD2" w:rsidRDefault="005A1DD2" w:rsidP="00395313">
            <w:pPr>
              <w:spacing w:line="288" w:lineRule="auto"/>
              <w:jc w:val="both"/>
              <w:rPr>
                <w:szCs w:val="20"/>
              </w:rPr>
            </w:pPr>
            <w:r w:rsidRPr="005A1DD2">
              <w:rPr>
                <w:szCs w:val="20"/>
              </w:rPr>
              <w:t>Irrigation</w:t>
            </w:r>
          </w:p>
        </w:tc>
        <w:tc>
          <w:tcPr>
            <w:tcW w:w="1293" w:type="dxa"/>
          </w:tcPr>
          <w:p w14:paraId="6FF54062" w14:textId="79493FB8" w:rsidR="005A1DD2" w:rsidRDefault="005A1DD2" w:rsidP="00395313">
            <w:pPr>
              <w:spacing w:line="288" w:lineRule="auto"/>
              <w:jc w:val="both"/>
              <w:rPr>
                <w:szCs w:val="20"/>
              </w:rPr>
            </w:pPr>
            <w:r w:rsidRPr="005A1DD2">
              <w:rPr>
                <w:szCs w:val="20"/>
              </w:rPr>
              <w:t>2 ha</w:t>
            </w:r>
          </w:p>
        </w:tc>
        <w:tc>
          <w:tcPr>
            <w:tcW w:w="1962" w:type="dxa"/>
          </w:tcPr>
          <w:p w14:paraId="218143F5" w14:textId="54299C41" w:rsidR="005A1DD2" w:rsidRDefault="005A1DD2" w:rsidP="00395313">
            <w:pPr>
              <w:spacing w:line="288" w:lineRule="auto"/>
              <w:jc w:val="both"/>
              <w:rPr>
                <w:szCs w:val="20"/>
              </w:rPr>
            </w:pPr>
            <w:r w:rsidRPr="005A1DD2">
              <w:rPr>
                <w:szCs w:val="20"/>
              </w:rPr>
              <w:t>R160 000</w:t>
            </w:r>
          </w:p>
        </w:tc>
      </w:tr>
      <w:tr w:rsidR="00ED68A9" w14:paraId="706EC1D3" w14:textId="77777777" w:rsidTr="005A1DD2">
        <w:tc>
          <w:tcPr>
            <w:tcW w:w="3539" w:type="dxa"/>
          </w:tcPr>
          <w:p w14:paraId="0E753E52" w14:textId="71EB0E29" w:rsidR="005A1DD2" w:rsidRDefault="005A1DD2" w:rsidP="005A1DD2">
            <w:pPr>
              <w:spacing w:line="288" w:lineRule="auto"/>
              <w:jc w:val="both"/>
              <w:rPr>
                <w:szCs w:val="20"/>
              </w:rPr>
            </w:pPr>
            <w:r w:rsidRPr="005A1DD2">
              <w:rPr>
                <w:szCs w:val="20"/>
              </w:rPr>
              <w:t xml:space="preserve">Mvuzane </w:t>
            </w:r>
            <w:r>
              <w:rPr>
                <w:szCs w:val="20"/>
              </w:rPr>
              <w:t>C</w:t>
            </w:r>
            <w:r w:rsidRPr="005A1DD2">
              <w:rPr>
                <w:szCs w:val="20"/>
              </w:rPr>
              <w:t>itrus</w:t>
            </w:r>
            <w:r>
              <w:t xml:space="preserve"> </w:t>
            </w:r>
            <w:r w:rsidRPr="005A1DD2">
              <w:rPr>
                <w:szCs w:val="20"/>
              </w:rPr>
              <w:t>Co-Operative</w:t>
            </w:r>
          </w:p>
        </w:tc>
        <w:tc>
          <w:tcPr>
            <w:tcW w:w="1134" w:type="dxa"/>
          </w:tcPr>
          <w:p w14:paraId="42E48B5B" w14:textId="26590B04" w:rsidR="005A1DD2" w:rsidRDefault="005A1DD2" w:rsidP="00395313">
            <w:pPr>
              <w:spacing w:line="288" w:lineRule="auto"/>
              <w:jc w:val="both"/>
              <w:rPr>
                <w:szCs w:val="20"/>
              </w:rPr>
            </w:pPr>
            <w:r w:rsidRPr="005A1DD2">
              <w:rPr>
                <w:szCs w:val="20"/>
              </w:rPr>
              <w:t>01</w:t>
            </w:r>
          </w:p>
        </w:tc>
        <w:tc>
          <w:tcPr>
            <w:tcW w:w="1701" w:type="dxa"/>
          </w:tcPr>
          <w:p w14:paraId="54C30B68" w14:textId="5F5928FB" w:rsidR="005A1DD2" w:rsidRDefault="005A1DD2" w:rsidP="00395313">
            <w:pPr>
              <w:spacing w:line="288" w:lineRule="auto"/>
              <w:jc w:val="both"/>
              <w:rPr>
                <w:szCs w:val="20"/>
              </w:rPr>
            </w:pPr>
            <w:r w:rsidRPr="005A1DD2">
              <w:rPr>
                <w:szCs w:val="20"/>
              </w:rPr>
              <w:t>Citrus</w:t>
            </w:r>
          </w:p>
        </w:tc>
        <w:tc>
          <w:tcPr>
            <w:tcW w:w="1293" w:type="dxa"/>
          </w:tcPr>
          <w:p w14:paraId="45FB3B11" w14:textId="618B2601" w:rsidR="005A1DD2" w:rsidRDefault="005A1DD2" w:rsidP="00395313">
            <w:pPr>
              <w:spacing w:line="288" w:lineRule="auto"/>
              <w:jc w:val="both"/>
              <w:rPr>
                <w:szCs w:val="20"/>
              </w:rPr>
            </w:pPr>
            <w:r w:rsidRPr="005A1DD2">
              <w:rPr>
                <w:szCs w:val="20"/>
              </w:rPr>
              <w:t>2</w:t>
            </w:r>
            <w:r>
              <w:rPr>
                <w:szCs w:val="20"/>
              </w:rPr>
              <w:t xml:space="preserve"> ha</w:t>
            </w:r>
          </w:p>
        </w:tc>
        <w:tc>
          <w:tcPr>
            <w:tcW w:w="1962" w:type="dxa"/>
          </w:tcPr>
          <w:p w14:paraId="59997D74" w14:textId="43592C9F" w:rsidR="005A1DD2" w:rsidRDefault="005A1DD2" w:rsidP="00395313">
            <w:pPr>
              <w:spacing w:line="288" w:lineRule="auto"/>
              <w:jc w:val="both"/>
              <w:rPr>
                <w:szCs w:val="20"/>
              </w:rPr>
            </w:pPr>
            <w:r w:rsidRPr="005A1DD2">
              <w:rPr>
                <w:szCs w:val="20"/>
              </w:rPr>
              <w:t>R160 000</w:t>
            </w:r>
          </w:p>
        </w:tc>
      </w:tr>
      <w:tr w:rsidR="00ED68A9" w14:paraId="77A3F48E" w14:textId="77777777" w:rsidTr="005A1DD2">
        <w:tc>
          <w:tcPr>
            <w:tcW w:w="3539" w:type="dxa"/>
          </w:tcPr>
          <w:p w14:paraId="640EB110" w14:textId="0ACE037D" w:rsidR="005A1DD2" w:rsidRDefault="00ED68A9" w:rsidP="00395313">
            <w:pPr>
              <w:spacing w:line="288" w:lineRule="auto"/>
              <w:jc w:val="both"/>
              <w:rPr>
                <w:szCs w:val="20"/>
              </w:rPr>
            </w:pPr>
            <w:r>
              <w:rPr>
                <w:szCs w:val="20"/>
              </w:rPr>
              <w:t>I</w:t>
            </w:r>
            <w:r w:rsidRPr="00ED68A9">
              <w:rPr>
                <w:szCs w:val="20"/>
              </w:rPr>
              <w:t>nquboyevangel</w:t>
            </w:r>
            <w:r>
              <w:rPr>
                <w:szCs w:val="20"/>
              </w:rPr>
              <w:t>i</w:t>
            </w:r>
            <w:r w:rsidRPr="005A1DD2">
              <w:rPr>
                <w:szCs w:val="20"/>
              </w:rPr>
              <w:t xml:space="preserve"> Co-Operative</w:t>
            </w:r>
          </w:p>
        </w:tc>
        <w:tc>
          <w:tcPr>
            <w:tcW w:w="1134" w:type="dxa"/>
          </w:tcPr>
          <w:p w14:paraId="22ABA4EE" w14:textId="1FD17E39" w:rsidR="005A1DD2" w:rsidRDefault="00ED68A9" w:rsidP="00ED68A9">
            <w:pPr>
              <w:spacing w:line="288" w:lineRule="auto"/>
              <w:jc w:val="both"/>
              <w:rPr>
                <w:szCs w:val="20"/>
              </w:rPr>
            </w:pPr>
            <w:r w:rsidRPr="00ED68A9">
              <w:rPr>
                <w:szCs w:val="20"/>
              </w:rPr>
              <w:t>06</w:t>
            </w:r>
          </w:p>
        </w:tc>
        <w:tc>
          <w:tcPr>
            <w:tcW w:w="1701" w:type="dxa"/>
          </w:tcPr>
          <w:p w14:paraId="2DE30A71" w14:textId="78CC0251" w:rsidR="005A1DD2" w:rsidRDefault="00ED68A9" w:rsidP="00395313">
            <w:pPr>
              <w:spacing w:line="288" w:lineRule="auto"/>
              <w:jc w:val="both"/>
              <w:rPr>
                <w:szCs w:val="20"/>
              </w:rPr>
            </w:pPr>
            <w:r w:rsidRPr="00ED68A9">
              <w:rPr>
                <w:szCs w:val="20"/>
              </w:rPr>
              <w:t>Fencing</w:t>
            </w:r>
          </w:p>
        </w:tc>
        <w:tc>
          <w:tcPr>
            <w:tcW w:w="1293" w:type="dxa"/>
          </w:tcPr>
          <w:p w14:paraId="296BF9B5" w14:textId="24688263" w:rsidR="005A1DD2" w:rsidRDefault="00ED68A9" w:rsidP="00395313">
            <w:pPr>
              <w:spacing w:line="288" w:lineRule="auto"/>
              <w:jc w:val="both"/>
              <w:rPr>
                <w:szCs w:val="20"/>
              </w:rPr>
            </w:pPr>
            <w:r w:rsidRPr="00ED68A9">
              <w:rPr>
                <w:szCs w:val="20"/>
              </w:rPr>
              <w:t>0.6</w:t>
            </w:r>
            <w:r>
              <w:rPr>
                <w:szCs w:val="20"/>
              </w:rPr>
              <w:t xml:space="preserve"> ha</w:t>
            </w:r>
          </w:p>
        </w:tc>
        <w:tc>
          <w:tcPr>
            <w:tcW w:w="1962" w:type="dxa"/>
          </w:tcPr>
          <w:p w14:paraId="7A144B91" w14:textId="0804EA0B" w:rsidR="005A1DD2" w:rsidRDefault="00ED68A9" w:rsidP="00395313">
            <w:pPr>
              <w:spacing w:line="288" w:lineRule="auto"/>
              <w:jc w:val="both"/>
              <w:rPr>
                <w:szCs w:val="20"/>
              </w:rPr>
            </w:pPr>
            <w:r w:rsidRPr="00ED68A9">
              <w:rPr>
                <w:szCs w:val="20"/>
              </w:rPr>
              <w:t>R100 000</w:t>
            </w:r>
          </w:p>
        </w:tc>
      </w:tr>
      <w:tr w:rsidR="005A1DD2" w14:paraId="2BE366C1" w14:textId="77777777" w:rsidTr="005A1DD2">
        <w:tc>
          <w:tcPr>
            <w:tcW w:w="3539" w:type="dxa"/>
          </w:tcPr>
          <w:p w14:paraId="4622B075" w14:textId="73D64540" w:rsidR="005A1DD2" w:rsidRDefault="00ED68A9" w:rsidP="00395313">
            <w:pPr>
              <w:spacing w:line="288" w:lineRule="auto"/>
              <w:jc w:val="both"/>
              <w:rPr>
                <w:szCs w:val="20"/>
              </w:rPr>
            </w:pPr>
            <w:r w:rsidRPr="00ED68A9">
              <w:rPr>
                <w:szCs w:val="20"/>
              </w:rPr>
              <w:t>Ekukhumbuzeni</w:t>
            </w:r>
            <w:r w:rsidRPr="005A1DD2">
              <w:rPr>
                <w:szCs w:val="20"/>
              </w:rPr>
              <w:t xml:space="preserve"> Co-Operative</w:t>
            </w:r>
          </w:p>
        </w:tc>
        <w:tc>
          <w:tcPr>
            <w:tcW w:w="1134" w:type="dxa"/>
          </w:tcPr>
          <w:p w14:paraId="3BD84AED" w14:textId="3A5ED2C2" w:rsidR="005A1DD2" w:rsidRDefault="00ED68A9" w:rsidP="00395313">
            <w:pPr>
              <w:spacing w:line="288" w:lineRule="auto"/>
              <w:jc w:val="both"/>
              <w:rPr>
                <w:szCs w:val="20"/>
              </w:rPr>
            </w:pPr>
            <w:r w:rsidRPr="00ED68A9">
              <w:rPr>
                <w:szCs w:val="20"/>
              </w:rPr>
              <w:t>10</w:t>
            </w:r>
          </w:p>
        </w:tc>
        <w:tc>
          <w:tcPr>
            <w:tcW w:w="1701" w:type="dxa"/>
          </w:tcPr>
          <w:p w14:paraId="73BF3871" w14:textId="1D148587" w:rsidR="005A1DD2" w:rsidRDefault="00ED68A9" w:rsidP="00395313">
            <w:pPr>
              <w:spacing w:line="288" w:lineRule="auto"/>
              <w:jc w:val="both"/>
              <w:rPr>
                <w:szCs w:val="20"/>
              </w:rPr>
            </w:pPr>
            <w:r w:rsidRPr="00ED68A9">
              <w:rPr>
                <w:szCs w:val="20"/>
              </w:rPr>
              <w:t>Fencing</w:t>
            </w:r>
          </w:p>
        </w:tc>
        <w:tc>
          <w:tcPr>
            <w:tcW w:w="1293" w:type="dxa"/>
          </w:tcPr>
          <w:p w14:paraId="09E538CC" w14:textId="4B61DF56" w:rsidR="005A1DD2" w:rsidRDefault="00ED68A9" w:rsidP="00395313">
            <w:pPr>
              <w:spacing w:line="288" w:lineRule="auto"/>
              <w:jc w:val="both"/>
              <w:rPr>
                <w:szCs w:val="20"/>
              </w:rPr>
            </w:pPr>
            <w:r w:rsidRPr="00ED68A9">
              <w:rPr>
                <w:szCs w:val="20"/>
              </w:rPr>
              <w:t>0,45</w:t>
            </w:r>
            <w:r>
              <w:rPr>
                <w:szCs w:val="20"/>
              </w:rPr>
              <w:t xml:space="preserve"> ha</w:t>
            </w:r>
          </w:p>
        </w:tc>
        <w:tc>
          <w:tcPr>
            <w:tcW w:w="1962" w:type="dxa"/>
          </w:tcPr>
          <w:p w14:paraId="39C09365" w14:textId="36069108" w:rsidR="005A1DD2" w:rsidRDefault="00ED68A9" w:rsidP="00395313">
            <w:pPr>
              <w:spacing w:line="288" w:lineRule="auto"/>
              <w:jc w:val="both"/>
              <w:rPr>
                <w:szCs w:val="20"/>
              </w:rPr>
            </w:pPr>
            <w:r>
              <w:rPr>
                <w:szCs w:val="20"/>
              </w:rPr>
              <w:t>R50 000</w:t>
            </w:r>
          </w:p>
        </w:tc>
      </w:tr>
      <w:tr w:rsidR="005A1DD2" w14:paraId="0F9FF8FC" w14:textId="77777777" w:rsidTr="005A1DD2">
        <w:tc>
          <w:tcPr>
            <w:tcW w:w="3539" w:type="dxa"/>
          </w:tcPr>
          <w:p w14:paraId="0CB24575" w14:textId="6B04463B" w:rsidR="005A1DD2" w:rsidRDefault="00ED68A9" w:rsidP="00395313">
            <w:pPr>
              <w:spacing w:line="288" w:lineRule="auto"/>
              <w:jc w:val="both"/>
              <w:rPr>
                <w:szCs w:val="20"/>
              </w:rPr>
            </w:pPr>
            <w:r w:rsidRPr="00ED68A9">
              <w:rPr>
                <w:szCs w:val="20"/>
              </w:rPr>
              <w:t>Ekuphileni</w:t>
            </w:r>
            <w:r w:rsidRPr="005A1DD2">
              <w:rPr>
                <w:szCs w:val="20"/>
              </w:rPr>
              <w:t xml:space="preserve"> Co-Operative</w:t>
            </w:r>
          </w:p>
        </w:tc>
        <w:tc>
          <w:tcPr>
            <w:tcW w:w="1134" w:type="dxa"/>
          </w:tcPr>
          <w:p w14:paraId="2E1F615D" w14:textId="3460B27E" w:rsidR="005A1DD2" w:rsidRDefault="00ED68A9" w:rsidP="00395313">
            <w:pPr>
              <w:spacing w:line="288" w:lineRule="auto"/>
              <w:jc w:val="both"/>
              <w:rPr>
                <w:szCs w:val="20"/>
              </w:rPr>
            </w:pPr>
            <w:r w:rsidRPr="00ED68A9">
              <w:rPr>
                <w:szCs w:val="20"/>
              </w:rPr>
              <w:t>10</w:t>
            </w:r>
          </w:p>
        </w:tc>
        <w:tc>
          <w:tcPr>
            <w:tcW w:w="1701" w:type="dxa"/>
          </w:tcPr>
          <w:p w14:paraId="04E6E7AF" w14:textId="3E4765F6" w:rsidR="005A1DD2" w:rsidRDefault="00ED68A9" w:rsidP="00395313">
            <w:pPr>
              <w:spacing w:line="288" w:lineRule="auto"/>
              <w:jc w:val="both"/>
              <w:rPr>
                <w:szCs w:val="20"/>
              </w:rPr>
            </w:pPr>
            <w:r w:rsidRPr="00ED68A9">
              <w:rPr>
                <w:szCs w:val="20"/>
              </w:rPr>
              <w:t>Fencing</w:t>
            </w:r>
          </w:p>
        </w:tc>
        <w:tc>
          <w:tcPr>
            <w:tcW w:w="1293" w:type="dxa"/>
          </w:tcPr>
          <w:p w14:paraId="2952CF36" w14:textId="18D2ED37" w:rsidR="005A1DD2" w:rsidRDefault="00ED68A9" w:rsidP="00395313">
            <w:pPr>
              <w:spacing w:line="288" w:lineRule="auto"/>
              <w:jc w:val="both"/>
              <w:rPr>
                <w:szCs w:val="20"/>
              </w:rPr>
            </w:pPr>
            <w:r w:rsidRPr="00ED68A9">
              <w:rPr>
                <w:szCs w:val="20"/>
              </w:rPr>
              <w:t>0,4</w:t>
            </w:r>
            <w:r>
              <w:rPr>
                <w:szCs w:val="20"/>
              </w:rPr>
              <w:t xml:space="preserve"> ha</w:t>
            </w:r>
          </w:p>
        </w:tc>
        <w:tc>
          <w:tcPr>
            <w:tcW w:w="1962" w:type="dxa"/>
          </w:tcPr>
          <w:p w14:paraId="68E40BA7" w14:textId="67A46EA1" w:rsidR="005A1DD2" w:rsidRDefault="00ED68A9" w:rsidP="00ED68A9">
            <w:pPr>
              <w:spacing w:line="288" w:lineRule="auto"/>
              <w:jc w:val="both"/>
              <w:rPr>
                <w:szCs w:val="20"/>
              </w:rPr>
            </w:pPr>
            <w:r w:rsidRPr="00ED68A9">
              <w:rPr>
                <w:szCs w:val="20"/>
              </w:rPr>
              <w:t>R50 000</w:t>
            </w:r>
          </w:p>
        </w:tc>
      </w:tr>
      <w:tr w:rsidR="005A1DD2" w14:paraId="3515A563" w14:textId="77777777" w:rsidTr="005A1DD2">
        <w:tc>
          <w:tcPr>
            <w:tcW w:w="3539" w:type="dxa"/>
          </w:tcPr>
          <w:p w14:paraId="62088506" w14:textId="16AE5F7C" w:rsidR="005A1DD2" w:rsidRDefault="00ED68A9" w:rsidP="00395313">
            <w:pPr>
              <w:spacing w:line="288" w:lineRule="auto"/>
              <w:jc w:val="both"/>
              <w:rPr>
                <w:szCs w:val="20"/>
              </w:rPr>
            </w:pPr>
            <w:r w:rsidRPr="00ED68A9">
              <w:rPr>
                <w:szCs w:val="20"/>
              </w:rPr>
              <w:t>Ehlathini</w:t>
            </w:r>
            <w:r w:rsidRPr="005A1DD2">
              <w:rPr>
                <w:szCs w:val="20"/>
              </w:rPr>
              <w:t xml:space="preserve"> Co-Operative</w:t>
            </w:r>
          </w:p>
        </w:tc>
        <w:tc>
          <w:tcPr>
            <w:tcW w:w="1134" w:type="dxa"/>
          </w:tcPr>
          <w:p w14:paraId="7BE4119D" w14:textId="5C043F5D" w:rsidR="005A1DD2" w:rsidRDefault="00ED68A9" w:rsidP="00395313">
            <w:pPr>
              <w:spacing w:line="288" w:lineRule="auto"/>
              <w:jc w:val="both"/>
              <w:rPr>
                <w:szCs w:val="20"/>
              </w:rPr>
            </w:pPr>
            <w:r w:rsidRPr="00ED68A9">
              <w:rPr>
                <w:szCs w:val="20"/>
              </w:rPr>
              <w:t>26</w:t>
            </w:r>
          </w:p>
        </w:tc>
        <w:tc>
          <w:tcPr>
            <w:tcW w:w="1701" w:type="dxa"/>
          </w:tcPr>
          <w:p w14:paraId="7784BD73" w14:textId="5D71ADE9" w:rsidR="005A1DD2" w:rsidRDefault="00ED68A9" w:rsidP="00395313">
            <w:pPr>
              <w:spacing w:line="288" w:lineRule="auto"/>
              <w:jc w:val="both"/>
              <w:rPr>
                <w:szCs w:val="20"/>
              </w:rPr>
            </w:pPr>
            <w:r w:rsidRPr="00ED68A9">
              <w:rPr>
                <w:szCs w:val="20"/>
              </w:rPr>
              <w:t>Fencing</w:t>
            </w:r>
          </w:p>
        </w:tc>
        <w:tc>
          <w:tcPr>
            <w:tcW w:w="1293" w:type="dxa"/>
          </w:tcPr>
          <w:p w14:paraId="3A64EA13" w14:textId="1A95D3D4" w:rsidR="005A1DD2" w:rsidRDefault="00ED68A9" w:rsidP="00395313">
            <w:pPr>
              <w:spacing w:line="288" w:lineRule="auto"/>
              <w:jc w:val="both"/>
              <w:rPr>
                <w:szCs w:val="20"/>
              </w:rPr>
            </w:pPr>
            <w:r w:rsidRPr="00ED68A9">
              <w:rPr>
                <w:szCs w:val="20"/>
              </w:rPr>
              <w:t>0,6</w:t>
            </w:r>
            <w:r>
              <w:rPr>
                <w:szCs w:val="20"/>
              </w:rPr>
              <w:t xml:space="preserve"> ha</w:t>
            </w:r>
          </w:p>
        </w:tc>
        <w:tc>
          <w:tcPr>
            <w:tcW w:w="1962" w:type="dxa"/>
          </w:tcPr>
          <w:p w14:paraId="4C74BA23" w14:textId="54E0F601" w:rsidR="005A1DD2" w:rsidRDefault="00ED68A9" w:rsidP="00395313">
            <w:pPr>
              <w:spacing w:line="288" w:lineRule="auto"/>
              <w:jc w:val="both"/>
              <w:rPr>
                <w:szCs w:val="20"/>
              </w:rPr>
            </w:pPr>
            <w:r>
              <w:rPr>
                <w:szCs w:val="20"/>
              </w:rPr>
              <w:t>R50 000</w:t>
            </w:r>
          </w:p>
        </w:tc>
      </w:tr>
      <w:tr w:rsidR="00ED68A9" w14:paraId="2A869360" w14:textId="77777777" w:rsidTr="005A1DD2">
        <w:tc>
          <w:tcPr>
            <w:tcW w:w="3539" w:type="dxa"/>
          </w:tcPr>
          <w:p w14:paraId="7DE0D9B5" w14:textId="0692C159" w:rsidR="00ED68A9" w:rsidRDefault="00ED68A9" w:rsidP="00ED68A9">
            <w:pPr>
              <w:spacing w:line="288" w:lineRule="auto"/>
              <w:jc w:val="both"/>
              <w:rPr>
                <w:szCs w:val="20"/>
              </w:rPr>
            </w:pPr>
            <w:r w:rsidRPr="00ED68A9">
              <w:rPr>
                <w:szCs w:val="20"/>
              </w:rPr>
              <w:t>Barachac</w:t>
            </w:r>
            <w:r w:rsidRPr="005A1DD2">
              <w:rPr>
                <w:szCs w:val="20"/>
              </w:rPr>
              <w:t xml:space="preserve"> Co-Operative</w:t>
            </w:r>
          </w:p>
        </w:tc>
        <w:tc>
          <w:tcPr>
            <w:tcW w:w="1134" w:type="dxa"/>
          </w:tcPr>
          <w:p w14:paraId="360CF269" w14:textId="041C068F" w:rsidR="00ED68A9" w:rsidRDefault="00ED68A9" w:rsidP="00ED68A9">
            <w:pPr>
              <w:spacing w:line="288" w:lineRule="auto"/>
              <w:jc w:val="both"/>
              <w:rPr>
                <w:szCs w:val="20"/>
              </w:rPr>
            </w:pPr>
            <w:r w:rsidRPr="00ED68A9">
              <w:rPr>
                <w:szCs w:val="20"/>
              </w:rPr>
              <w:t>26</w:t>
            </w:r>
          </w:p>
        </w:tc>
        <w:tc>
          <w:tcPr>
            <w:tcW w:w="1701" w:type="dxa"/>
          </w:tcPr>
          <w:p w14:paraId="29BC7126" w14:textId="58C6DF9A" w:rsidR="00ED68A9" w:rsidRDefault="00ED68A9" w:rsidP="00ED68A9">
            <w:pPr>
              <w:spacing w:line="288" w:lineRule="auto"/>
              <w:jc w:val="both"/>
              <w:rPr>
                <w:szCs w:val="20"/>
              </w:rPr>
            </w:pPr>
            <w:r w:rsidRPr="00ED68A9">
              <w:rPr>
                <w:szCs w:val="20"/>
              </w:rPr>
              <w:t>Irrigation</w:t>
            </w:r>
          </w:p>
        </w:tc>
        <w:tc>
          <w:tcPr>
            <w:tcW w:w="1293" w:type="dxa"/>
          </w:tcPr>
          <w:p w14:paraId="3D4D91D3" w14:textId="26D90B65" w:rsidR="00ED68A9" w:rsidRDefault="00ED68A9" w:rsidP="00ED68A9">
            <w:pPr>
              <w:spacing w:line="288" w:lineRule="auto"/>
              <w:jc w:val="both"/>
              <w:rPr>
                <w:szCs w:val="20"/>
              </w:rPr>
            </w:pPr>
            <w:r w:rsidRPr="00ED68A9">
              <w:rPr>
                <w:szCs w:val="20"/>
              </w:rPr>
              <w:t>2</w:t>
            </w:r>
            <w:r>
              <w:t xml:space="preserve"> </w:t>
            </w:r>
            <w:r w:rsidRPr="00ED68A9">
              <w:rPr>
                <w:szCs w:val="20"/>
              </w:rPr>
              <w:t>ha</w:t>
            </w:r>
          </w:p>
        </w:tc>
        <w:tc>
          <w:tcPr>
            <w:tcW w:w="1962" w:type="dxa"/>
          </w:tcPr>
          <w:p w14:paraId="63E02F61" w14:textId="4BABAECA" w:rsidR="00ED68A9" w:rsidRDefault="00ED68A9" w:rsidP="00ED68A9">
            <w:pPr>
              <w:spacing w:line="288" w:lineRule="auto"/>
              <w:jc w:val="both"/>
              <w:rPr>
                <w:szCs w:val="20"/>
              </w:rPr>
            </w:pPr>
            <w:r w:rsidRPr="00ED68A9">
              <w:rPr>
                <w:szCs w:val="20"/>
              </w:rPr>
              <w:t>R180 000</w:t>
            </w:r>
          </w:p>
        </w:tc>
      </w:tr>
      <w:tr w:rsidR="00ED68A9" w14:paraId="03E58AC3" w14:textId="77777777" w:rsidTr="005A1DD2">
        <w:tc>
          <w:tcPr>
            <w:tcW w:w="3539" w:type="dxa"/>
          </w:tcPr>
          <w:p w14:paraId="607FC443" w14:textId="03D96469" w:rsidR="00ED68A9" w:rsidRDefault="00ED68A9" w:rsidP="00395313">
            <w:pPr>
              <w:spacing w:line="288" w:lineRule="auto"/>
              <w:jc w:val="both"/>
              <w:rPr>
                <w:szCs w:val="20"/>
              </w:rPr>
            </w:pPr>
            <w:r w:rsidRPr="00ED68A9">
              <w:rPr>
                <w:szCs w:val="20"/>
              </w:rPr>
              <w:t>butho borehole</w:t>
            </w:r>
          </w:p>
        </w:tc>
        <w:tc>
          <w:tcPr>
            <w:tcW w:w="1134" w:type="dxa"/>
          </w:tcPr>
          <w:p w14:paraId="2099230C" w14:textId="6E13ACCF" w:rsidR="00ED68A9" w:rsidRDefault="00ED68A9" w:rsidP="00395313">
            <w:pPr>
              <w:spacing w:line="288" w:lineRule="auto"/>
              <w:jc w:val="both"/>
              <w:rPr>
                <w:szCs w:val="20"/>
              </w:rPr>
            </w:pPr>
            <w:r w:rsidRPr="00ED68A9">
              <w:rPr>
                <w:szCs w:val="20"/>
              </w:rPr>
              <w:t>20</w:t>
            </w:r>
          </w:p>
        </w:tc>
        <w:tc>
          <w:tcPr>
            <w:tcW w:w="1701" w:type="dxa"/>
          </w:tcPr>
          <w:p w14:paraId="2DE23BA2" w14:textId="30D59DB9" w:rsidR="00ED68A9" w:rsidRDefault="00ED68A9" w:rsidP="00ED68A9">
            <w:pPr>
              <w:spacing w:line="288" w:lineRule="auto"/>
              <w:jc w:val="both"/>
              <w:rPr>
                <w:szCs w:val="20"/>
              </w:rPr>
            </w:pPr>
            <w:r w:rsidRPr="00ED68A9">
              <w:rPr>
                <w:szCs w:val="20"/>
              </w:rPr>
              <w:t>Borehole</w:t>
            </w:r>
          </w:p>
        </w:tc>
        <w:tc>
          <w:tcPr>
            <w:tcW w:w="1293" w:type="dxa"/>
          </w:tcPr>
          <w:p w14:paraId="5B167923" w14:textId="73D0EB09" w:rsidR="00ED68A9" w:rsidRDefault="00ED68A9" w:rsidP="00395313">
            <w:pPr>
              <w:spacing w:line="288" w:lineRule="auto"/>
              <w:jc w:val="both"/>
              <w:rPr>
                <w:szCs w:val="20"/>
              </w:rPr>
            </w:pPr>
            <w:r w:rsidRPr="00ED68A9">
              <w:rPr>
                <w:szCs w:val="20"/>
              </w:rPr>
              <w:t>6 x tunnels</w:t>
            </w:r>
          </w:p>
        </w:tc>
        <w:tc>
          <w:tcPr>
            <w:tcW w:w="1962" w:type="dxa"/>
          </w:tcPr>
          <w:p w14:paraId="083211E7" w14:textId="37B3F5AC" w:rsidR="00ED68A9" w:rsidRDefault="00ED68A9" w:rsidP="00395313">
            <w:pPr>
              <w:spacing w:line="288" w:lineRule="auto"/>
              <w:jc w:val="both"/>
              <w:rPr>
                <w:szCs w:val="20"/>
              </w:rPr>
            </w:pPr>
            <w:r w:rsidRPr="00ED68A9">
              <w:rPr>
                <w:szCs w:val="20"/>
              </w:rPr>
              <w:t>R1 000 000</w:t>
            </w:r>
          </w:p>
        </w:tc>
      </w:tr>
      <w:tr w:rsidR="00ED68A9" w14:paraId="52EE89E8" w14:textId="77777777" w:rsidTr="005A1DD2">
        <w:tc>
          <w:tcPr>
            <w:tcW w:w="3539" w:type="dxa"/>
          </w:tcPr>
          <w:p w14:paraId="68703C87" w14:textId="50C4995D" w:rsidR="00ED68A9" w:rsidRDefault="00ED68A9" w:rsidP="00395313">
            <w:pPr>
              <w:spacing w:line="288" w:lineRule="auto"/>
              <w:jc w:val="both"/>
              <w:rPr>
                <w:szCs w:val="20"/>
              </w:rPr>
            </w:pPr>
            <w:r w:rsidRPr="00ED68A9">
              <w:rPr>
                <w:szCs w:val="20"/>
              </w:rPr>
              <w:t>Ibutho tunnels</w:t>
            </w:r>
          </w:p>
        </w:tc>
        <w:tc>
          <w:tcPr>
            <w:tcW w:w="1134" w:type="dxa"/>
          </w:tcPr>
          <w:p w14:paraId="34CF0560" w14:textId="102F152B" w:rsidR="00ED68A9" w:rsidRDefault="00ED68A9" w:rsidP="00395313">
            <w:pPr>
              <w:spacing w:line="288" w:lineRule="auto"/>
              <w:jc w:val="both"/>
              <w:rPr>
                <w:szCs w:val="20"/>
              </w:rPr>
            </w:pPr>
            <w:r w:rsidRPr="00ED68A9">
              <w:rPr>
                <w:szCs w:val="20"/>
              </w:rPr>
              <w:t>20</w:t>
            </w:r>
          </w:p>
        </w:tc>
        <w:tc>
          <w:tcPr>
            <w:tcW w:w="1701" w:type="dxa"/>
          </w:tcPr>
          <w:p w14:paraId="050DF0CC" w14:textId="7B3DE2B4" w:rsidR="00ED68A9" w:rsidRDefault="00ED68A9" w:rsidP="00395313">
            <w:pPr>
              <w:spacing w:line="288" w:lineRule="auto"/>
              <w:jc w:val="both"/>
              <w:rPr>
                <w:szCs w:val="20"/>
              </w:rPr>
            </w:pPr>
            <w:r w:rsidRPr="00ED68A9">
              <w:rPr>
                <w:szCs w:val="20"/>
              </w:rPr>
              <w:t>Tunnels</w:t>
            </w:r>
          </w:p>
        </w:tc>
        <w:tc>
          <w:tcPr>
            <w:tcW w:w="1293" w:type="dxa"/>
          </w:tcPr>
          <w:p w14:paraId="02DB6913" w14:textId="2686811E" w:rsidR="00ED68A9" w:rsidRDefault="00ED68A9" w:rsidP="00395313">
            <w:pPr>
              <w:spacing w:line="288" w:lineRule="auto"/>
              <w:jc w:val="both"/>
              <w:rPr>
                <w:szCs w:val="20"/>
              </w:rPr>
            </w:pPr>
            <w:r w:rsidRPr="00ED68A9">
              <w:rPr>
                <w:szCs w:val="20"/>
              </w:rPr>
              <w:t>6 x tunnels</w:t>
            </w:r>
          </w:p>
        </w:tc>
        <w:tc>
          <w:tcPr>
            <w:tcW w:w="1962" w:type="dxa"/>
          </w:tcPr>
          <w:p w14:paraId="365AC2C3" w14:textId="3D8C0E88" w:rsidR="00ED68A9" w:rsidRDefault="00ED68A9" w:rsidP="00395313">
            <w:pPr>
              <w:spacing w:line="288" w:lineRule="auto"/>
              <w:jc w:val="both"/>
              <w:rPr>
                <w:szCs w:val="20"/>
              </w:rPr>
            </w:pPr>
            <w:r w:rsidRPr="00ED68A9">
              <w:rPr>
                <w:szCs w:val="20"/>
              </w:rPr>
              <w:t>R1 000 000</w:t>
            </w:r>
          </w:p>
        </w:tc>
      </w:tr>
      <w:tr w:rsidR="00ED68A9" w14:paraId="51D129C8" w14:textId="77777777" w:rsidTr="005A1DD2">
        <w:tc>
          <w:tcPr>
            <w:tcW w:w="3539" w:type="dxa"/>
          </w:tcPr>
          <w:p w14:paraId="62A998DE" w14:textId="6C16693C" w:rsidR="00ED68A9" w:rsidRDefault="00ED68A9" w:rsidP="00395313">
            <w:pPr>
              <w:spacing w:line="288" w:lineRule="auto"/>
              <w:jc w:val="both"/>
              <w:rPr>
                <w:szCs w:val="20"/>
              </w:rPr>
            </w:pPr>
            <w:r w:rsidRPr="00ED68A9">
              <w:rPr>
                <w:szCs w:val="20"/>
              </w:rPr>
              <w:t>Masisukume</w:t>
            </w:r>
            <w:r>
              <w:rPr>
                <w:szCs w:val="20"/>
              </w:rPr>
              <w:t xml:space="preserve"> Tunnels</w:t>
            </w:r>
          </w:p>
        </w:tc>
        <w:tc>
          <w:tcPr>
            <w:tcW w:w="1134" w:type="dxa"/>
          </w:tcPr>
          <w:p w14:paraId="1F5A5AC3" w14:textId="07EC2791" w:rsidR="00ED68A9" w:rsidRDefault="00ED68A9" w:rsidP="00ED68A9">
            <w:pPr>
              <w:spacing w:line="288" w:lineRule="auto"/>
              <w:jc w:val="both"/>
              <w:rPr>
                <w:szCs w:val="20"/>
              </w:rPr>
            </w:pPr>
            <w:r w:rsidRPr="00ED68A9">
              <w:rPr>
                <w:szCs w:val="20"/>
              </w:rPr>
              <w:t>03</w:t>
            </w:r>
          </w:p>
        </w:tc>
        <w:tc>
          <w:tcPr>
            <w:tcW w:w="1701" w:type="dxa"/>
          </w:tcPr>
          <w:p w14:paraId="6858A3B5" w14:textId="4822A154" w:rsidR="00ED68A9" w:rsidRDefault="00ED68A9" w:rsidP="00ED68A9">
            <w:pPr>
              <w:spacing w:line="288" w:lineRule="auto"/>
              <w:jc w:val="both"/>
              <w:rPr>
                <w:szCs w:val="20"/>
              </w:rPr>
            </w:pPr>
            <w:r w:rsidRPr="00ED68A9">
              <w:rPr>
                <w:szCs w:val="20"/>
              </w:rPr>
              <w:t>Tunnels</w:t>
            </w:r>
          </w:p>
        </w:tc>
        <w:tc>
          <w:tcPr>
            <w:tcW w:w="1293" w:type="dxa"/>
          </w:tcPr>
          <w:p w14:paraId="2B8D51CA" w14:textId="02C961C9" w:rsidR="00ED68A9" w:rsidRDefault="00ED68A9" w:rsidP="00ED68A9">
            <w:pPr>
              <w:spacing w:line="288" w:lineRule="auto"/>
              <w:jc w:val="both"/>
              <w:rPr>
                <w:szCs w:val="20"/>
              </w:rPr>
            </w:pPr>
            <w:r w:rsidRPr="00ED68A9">
              <w:rPr>
                <w:szCs w:val="20"/>
              </w:rPr>
              <w:t>6 x tunnels</w:t>
            </w:r>
          </w:p>
        </w:tc>
        <w:tc>
          <w:tcPr>
            <w:tcW w:w="1962" w:type="dxa"/>
          </w:tcPr>
          <w:p w14:paraId="67876F99" w14:textId="64BAA707" w:rsidR="00ED68A9" w:rsidRDefault="00ED68A9" w:rsidP="00ED68A9">
            <w:pPr>
              <w:spacing w:line="288" w:lineRule="auto"/>
              <w:jc w:val="both"/>
              <w:rPr>
                <w:szCs w:val="20"/>
              </w:rPr>
            </w:pPr>
            <w:r w:rsidRPr="00ED68A9">
              <w:rPr>
                <w:szCs w:val="20"/>
              </w:rPr>
              <w:t>R1 000 000</w:t>
            </w:r>
          </w:p>
        </w:tc>
      </w:tr>
      <w:tr w:rsidR="00ED68A9" w14:paraId="733F4F91" w14:textId="77777777" w:rsidTr="005A1DD2">
        <w:tc>
          <w:tcPr>
            <w:tcW w:w="3539" w:type="dxa"/>
          </w:tcPr>
          <w:p w14:paraId="57FA6398" w14:textId="7BDBED66" w:rsidR="00ED68A9" w:rsidRDefault="00ED68A9" w:rsidP="00395313">
            <w:pPr>
              <w:spacing w:line="288" w:lineRule="auto"/>
              <w:jc w:val="both"/>
              <w:rPr>
                <w:szCs w:val="20"/>
              </w:rPr>
            </w:pPr>
            <w:r w:rsidRPr="00ED68A9">
              <w:rPr>
                <w:szCs w:val="20"/>
              </w:rPr>
              <w:t>Ingungumbane</w:t>
            </w:r>
            <w:r>
              <w:rPr>
                <w:szCs w:val="20"/>
              </w:rPr>
              <w:t xml:space="preserve"> Dam</w:t>
            </w:r>
          </w:p>
        </w:tc>
        <w:tc>
          <w:tcPr>
            <w:tcW w:w="1134" w:type="dxa"/>
          </w:tcPr>
          <w:p w14:paraId="3BCB9E47" w14:textId="4CD2A2C2" w:rsidR="00ED68A9" w:rsidRDefault="00ED68A9" w:rsidP="00ED68A9">
            <w:pPr>
              <w:spacing w:line="288" w:lineRule="auto"/>
              <w:jc w:val="both"/>
              <w:rPr>
                <w:szCs w:val="20"/>
              </w:rPr>
            </w:pPr>
            <w:r w:rsidRPr="00ED68A9">
              <w:rPr>
                <w:szCs w:val="20"/>
              </w:rPr>
              <w:t>26</w:t>
            </w:r>
          </w:p>
        </w:tc>
        <w:tc>
          <w:tcPr>
            <w:tcW w:w="1701" w:type="dxa"/>
          </w:tcPr>
          <w:p w14:paraId="0D83DE64" w14:textId="446B4281" w:rsidR="00ED68A9" w:rsidRDefault="00ED68A9" w:rsidP="00ED68A9">
            <w:pPr>
              <w:spacing w:line="288" w:lineRule="auto"/>
              <w:jc w:val="both"/>
              <w:rPr>
                <w:szCs w:val="20"/>
              </w:rPr>
            </w:pPr>
            <w:r w:rsidRPr="00ED68A9">
              <w:rPr>
                <w:szCs w:val="20"/>
              </w:rPr>
              <w:t>Dam</w:t>
            </w:r>
          </w:p>
        </w:tc>
        <w:tc>
          <w:tcPr>
            <w:tcW w:w="1293" w:type="dxa"/>
          </w:tcPr>
          <w:p w14:paraId="16F75894" w14:textId="676AB354" w:rsidR="00ED68A9" w:rsidRDefault="00ED68A9" w:rsidP="00ED68A9">
            <w:pPr>
              <w:spacing w:line="288" w:lineRule="auto"/>
              <w:jc w:val="both"/>
              <w:rPr>
                <w:szCs w:val="20"/>
              </w:rPr>
            </w:pPr>
            <w:r w:rsidRPr="00ED68A9">
              <w:rPr>
                <w:szCs w:val="20"/>
              </w:rPr>
              <w:t>Dam</w:t>
            </w:r>
          </w:p>
        </w:tc>
        <w:tc>
          <w:tcPr>
            <w:tcW w:w="1962" w:type="dxa"/>
          </w:tcPr>
          <w:p w14:paraId="2A0DECB9" w14:textId="4EA8E654" w:rsidR="00ED68A9" w:rsidRDefault="00ED68A9" w:rsidP="00ED68A9">
            <w:pPr>
              <w:spacing w:line="288" w:lineRule="auto"/>
              <w:jc w:val="both"/>
              <w:rPr>
                <w:szCs w:val="20"/>
              </w:rPr>
            </w:pPr>
            <w:r w:rsidRPr="00ED68A9">
              <w:rPr>
                <w:szCs w:val="20"/>
              </w:rPr>
              <w:t>R150 000</w:t>
            </w:r>
          </w:p>
        </w:tc>
      </w:tr>
      <w:tr w:rsidR="00ED68A9" w14:paraId="3BAC7CA2" w14:textId="77777777" w:rsidTr="005A1DD2">
        <w:tc>
          <w:tcPr>
            <w:tcW w:w="3539" w:type="dxa"/>
          </w:tcPr>
          <w:p w14:paraId="0E51C59C" w14:textId="45210EEA" w:rsidR="00ED68A9" w:rsidRDefault="00ED68A9" w:rsidP="00395313">
            <w:pPr>
              <w:spacing w:line="288" w:lineRule="auto"/>
              <w:jc w:val="both"/>
              <w:rPr>
                <w:szCs w:val="20"/>
              </w:rPr>
            </w:pPr>
            <w:r w:rsidRPr="00ED68A9">
              <w:rPr>
                <w:szCs w:val="20"/>
              </w:rPr>
              <w:t>Zithokozise</w:t>
            </w:r>
            <w:r>
              <w:rPr>
                <w:szCs w:val="20"/>
              </w:rPr>
              <w:t xml:space="preserve"> </w:t>
            </w:r>
            <w:r w:rsidRPr="00ED68A9">
              <w:rPr>
                <w:szCs w:val="20"/>
              </w:rPr>
              <w:t>Co-Operative</w:t>
            </w:r>
          </w:p>
        </w:tc>
        <w:tc>
          <w:tcPr>
            <w:tcW w:w="1134" w:type="dxa"/>
          </w:tcPr>
          <w:p w14:paraId="721699FB" w14:textId="7598582D" w:rsidR="00ED68A9" w:rsidRDefault="00ED68A9" w:rsidP="00395313">
            <w:pPr>
              <w:spacing w:line="288" w:lineRule="auto"/>
              <w:jc w:val="both"/>
              <w:rPr>
                <w:szCs w:val="20"/>
              </w:rPr>
            </w:pPr>
            <w:r w:rsidRPr="00ED68A9">
              <w:rPr>
                <w:szCs w:val="20"/>
              </w:rPr>
              <w:t>10</w:t>
            </w:r>
          </w:p>
        </w:tc>
        <w:tc>
          <w:tcPr>
            <w:tcW w:w="1701" w:type="dxa"/>
          </w:tcPr>
          <w:p w14:paraId="681E27BE" w14:textId="15EF1708" w:rsidR="00ED68A9" w:rsidRDefault="00ED68A9" w:rsidP="00395313">
            <w:pPr>
              <w:spacing w:line="288" w:lineRule="auto"/>
              <w:jc w:val="both"/>
              <w:rPr>
                <w:szCs w:val="20"/>
              </w:rPr>
            </w:pPr>
            <w:r w:rsidRPr="00ED68A9">
              <w:rPr>
                <w:szCs w:val="20"/>
              </w:rPr>
              <w:t>Fencing</w:t>
            </w:r>
          </w:p>
        </w:tc>
        <w:tc>
          <w:tcPr>
            <w:tcW w:w="1293" w:type="dxa"/>
          </w:tcPr>
          <w:p w14:paraId="67E7A413" w14:textId="179FB4C8" w:rsidR="00ED68A9" w:rsidRDefault="00ED68A9" w:rsidP="00395313">
            <w:pPr>
              <w:spacing w:line="288" w:lineRule="auto"/>
              <w:jc w:val="both"/>
              <w:rPr>
                <w:szCs w:val="20"/>
              </w:rPr>
            </w:pPr>
            <w:r w:rsidRPr="00ED68A9">
              <w:rPr>
                <w:szCs w:val="20"/>
              </w:rPr>
              <w:t>0,4</w:t>
            </w:r>
            <w:r>
              <w:rPr>
                <w:szCs w:val="20"/>
              </w:rPr>
              <w:t xml:space="preserve"> ha</w:t>
            </w:r>
          </w:p>
        </w:tc>
        <w:tc>
          <w:tcPr>
            <w:tcW w:w="1962" w:type="dxa"/>
          </w:tcPr>
          <w:p w14:paraId="3C8E5700" w14:textId="5EC542EF" w:rsidR="00ED68A9" w:rsidRDefault="00ED68A9" w:rsidP="00395313">
            <w:pPr>
              <w:spacing w:line="288" w:lineRule="auto"/>
              <w:jc w:val="both"/>
              <w:rPr>
                <w:szCs w:val="20"/>
              </w:rPr>
            </w:pPr>
            <w:r w:rsidRPr="00ED68A9">
              <w:rPr>
                <w:szCs w:val="20"/>
              </w:rPr>
              <w:t>R50 000</w:t>
            </w:r>
          </w:p>
        </w:tc>
      </w:tr>
      <w:tr w:rsidR="00ED68A9" w14:paraId="3AC25262" w14:textId="77777777" w:rsidTr="005A1DD2">
        <w:tc>
          <w:tcPr>
            <w:tcW w:w="3539" w:type="dxa"/>
          </w:tcPr>
          <w:p w14:paraId="1835E8B2" w14:textId="77DE8B17" w:rsidR="00ED68A9" w:rsidRDefault="00ED68A9" w:rsidP="00395313">
            <w:pPr>
              <w:spacing w:line="288" w:lineRule="auto"/>
              <w:jc w:val="both"/>
              <w:rPr>
                <w:szCs w:val="20"/>
              </w:rPr>
            </w:pPr>
            <w:r w:rsidRPr="00ED68A9">
              <w:rPr>
                <w:szCs w:val="20"/>
              </w:rPr>
              <w:t>Ezinyathi</w:t>
            </w:r>
            <w:r>
              <w:rPr>
                <w:szCs w:val="20"/>
              </w:rPr>
              <w:t xml:space="preserve"> </w:t>
            </w:r>
            <w:r w:rsidRPr="00ED68A9">
              <w:rPr>
                <w:szCs w:val="20"/>
              </w:rPr>
              <w:t>Co-Operative</w:t>
            </w:r>
          </w:p>
        </w:tc>
        <w:tc>
          <w:tcPr>
            <w:tcW w:w="1134" w:type="dxa"/>
          </w:tcPr>
          <w:p w14:paraId="672CC090" w14:textId="1FFDC094" w:rsidR="00ED68A9" w:rsidRDefault="00ED68A9" w:rsidP="00ED68A9">
            <w:pPr>
              <w:spacing w:line="288" w:lineRule="auto"/>
              <w:jc w:val="both"/>
              <w:rPr>
                <w:szCs w:val="20"/>
              </w:rPr>
            </w:pPr>
            <w:r w:rsidRPr="00ED68A9">
              <w:rPr>
                <w:szCs w:val="20"/>
              </w:rPr>
              <w:t xml:space="preserve">03 </w:t>
            </w:r>
          </w:p>
        </w:tc>
        <w:tc>
          <w:tcPr>
            <w:tcW w:w="1701" w:type="dxa"/>
          </w:tcPr>
          <w:p w14:paraId="3AE45497" w14:textId="6E64DA70" w:rsidR="00ED68A9" w:rsidRDefault="00ED68A9" w:rsidP="00395313">
            <w:pPr>
              <w:spacing w:line="288" w:lineRule="auto"/>
              <w:jc w:val="both"/>
              <w:rPr>
                <w:szCs w:val="20"/>
              </w:rPr>
            </w:pPr>
            <w:r w:rsidRPr="00ED68A9">
              <w:rPr>
                <w:szCs w:val="20"/>
              </w:rPr>
              <w:t>Dam</w:t>
            </w:r>
          </w:p>
        </w:tc>
        <w:tc>
          <w:tcPr>
            <w:tcW w:w="1293" w:type="dxa"/>
          </w:tcPr>
          <w:p w14:paraId="648DFD7E" w14:textId="3C9497E7" w:rsidR="00ED68A9" w:rsidRDefault="00ED68A9" w:rsidP="00395313">
            <w:pPr>
              <w:spacing w:line="288" w:lineRule="auto"/>
              <w:jc w:val="both"/>
              <w:rPr>
                <w:szCs w:val="20"/>
              </w:rPr>
            </w:pPr>
            <w:r w:rsidRPr="00ED68A9">
              <w:rPr>
                <w:szCs w:val="20"/>
              </w:rPr>
              <w:t>Dam</w:t>
            </w:r>
          </w:p>
        </w:tc>
        <w:tc>
          <w:tcPr>
            <w:tcW w:w="1962" w:type="dxa"/>
          </w:tcPr>
          <w:p w14:paraId="3642C668" w14:textId="5C33E9FD" w:rsidR="00ED68A9" w:rsidRDefault="00ED68A9" w:rsidP="00395313">
            <w:pPr>
              <w:spacing w:line="288" w:lineRule="auto"/>
              <w:jc w:val="both"/>
              <w:rPr>
                <w:szCs w:val="20"/>
              </w:rPr>
            </w:pPr>
            <w:r w:rsidRPr="00ED68A9">
              <w:rPr>
                <w:szCs w:val="20"/>
              </w:rPr>
              <w:t>R150 000</w:t>
            </w:r>
          </w:p>
        </w:tc>
      </w:tr>
      <w:tr w:rsidR="005A1DD2" w14:paraId="7DA6EA86" w14:textId="77777777" w:rsidTr="005A1DD2">
        <w:tc>
          <w:tcPr>
            <w:tcW w:w="3539" w:type="dxa"/>
          </w:tcPr>
          <w:p w14:paraId="3F4EF3A9" w14:textId="40104292" w:rsidR="005A1DD2" w:rsidRDefault="00ED68A9" w:rsidP="00395313">
            <w:pPr>
              <w:spacing w:line="288" w:lineRule="auto"/>
              <w:jc w:val="both"/>
              <w:rPr>
                <w:szCs w:val="20"/>
              </w:rPr>
            </w:pPr>
            <w:r w:rsidRPr="00ED68A9">
              <w:rPr>
                <w:szCs w:val="20"/>
              </w:rPr>
              <w:t>uMlalazi</w:t>
            </w:r>
            <w:r>
              <w:rPr>
                <w:szCs w:val="20"/>
              </w:rPr>
              <w:t xml:space="preserve"> Mushroom</w:t>
            </w:r>
          </w:p>
        </w:tc>
        <w:tc>
          <w:tcPr>
            <w:tcW w:w="1134" w:type="dxa"/>
          </w:tcPr>
          <w:p w14:paraId="52E677AE" w14:textId="48360AB4" w:rsidR="005A1DD2" w:rsidRDefault="00ED68A9" w:rsidP="00ED68A9">
            <w:pPr>
              <w:spacing w:line="288" w:lineRule="auto"/>
              <w:jc w:val="both"/>
              <w:rPr>
                <w:szCs w:val="20"/>
              </w:rPr>
            </w:pPr>
            <w:r w:rsidRPr="00ED68A9">
              <w:rPr>
                <w:szCs w:val="20"/>
              </w:rPr>
              <w:t>15</w:t>
            </w:r>
          </w:p>
        </w:tc>
        <w:tc>
          <w:tcPr>
            <w:tcW w:w="1701" w:type="dxa"/>
          </w:tcPr>
          <w:p w14:paraId="6E8A2D84" w14:textId="264924F7" w:rsidR="005A1DD2" w:rsidRDefault="00ED68A9" w:rsidP="00ED68A9">
            <w:pPr>
              <w:spacing w:line="288" w:lineRule="auto"/>
              <w:jc w:val="both"/>
              <w:rPr>
                <w:szCs w:val="20"/>
              </w:rPr>
            </w:pPr>
            <w:r w:rsidRPr="00ED68A9">
              <w:rPr>
                <w:szCs w:val="20"/>
              </w:rPr>
              <w:t>Mushroom</w:t>
            </w:r>
          </w:p>
        </w:tc>
        <w:tc>
          <w:tcPr>
            <w:tcW w:w="1293" w:type="dxa"/>
          </w:tcPr>
          <w:p w14:paraId="460122F4" w14:textId="06A13185" w:rsidR="005A1DD2" w:rsidRDefault="00ED68A9" w:rsidP="00ED68A9">
            <w:pPr>
              <w:spacing w:line="288" w:lineRule="auto"/>
              <w:jc w:val="both"/>
              <w:rPr>
                <w:szCs w:val="20"/>
              </w:rPr>
            </w:pPr>
            <w:r w:rsidRPr="00ED68A9">
              <w:rPr>
                <w:szCs w:val="20"/>
              </w:rPr>
              <w:t>Mushroom</w:t>
            </w:r>
          </w:p>
        </w:tc>
        <w:tc>
          <w:tcPr>
            <w:tcW w:w="1962" w:type="dxa"/>
          </w:tcPr>
          <w:p w14:paraId="34A6CA2D" w14:textId="10085B68" w:rsidR="005A1DD2" w:rsidRDefault="00ED68A9" w:rsidP="00ED68A9">
            <w:pPr>
              <w:spacing w:line="288" w:lineRule="auto"/>
              <w:jc w:val="both"/>
              <w:rPr>
                <w:szCs w:val="20"/>
              </w:rPr>
            </w:pPr>
            <w:r w:rsidRPr="00ED68A9">
              <w:rPr>
                <w:szCs w:val="20"/>
              </w:rPr>
              <w:t>R80 000</w:t>
            </w:r>
          </w:p>
        </w:tc>
      </w:tr>
      <w:tr w:rsidR="00ED68A9" w14:paraId="293D5176" w14:textId="77777777" w:rsidTr="005A1DD2">
        <w:tc>
          <w:tcPr>
            <w:tcW w:w="3539" w:type="dxa"/>
          </w:tcPr>
          <w:p w14:paraId="3658B2C7" w14:textId="750EF058" w:rsidR="00ED68A9" w:rsidRDefault="0000259D" w:rsidP="0000259D">
            <w:pPr>
              <w:spacing w:line="288" w:lineRule="auto"/>
              <w:jc w:val="both"/>
              <w:rPr>
                <w:szCs w:val="20"/>
              </w:rPr>
            </w:pPr>
            <w:r w:rsidRPr="00ED68A9">
              <w:rPr>
                <w:szCs w:val="20"/>
              </w:rPr>
              <w:t>uMlalazi</w:t>
            </w:r>
            <w:r>
              <w:rPr>
                <w:szCs w:val="20"/>
              </w:rPr>
              <w:t xml:space="preserve"> Indigenous goats</w:t>
            </w:r>
            <w:r w:rsidRPr="0000259D">
              <w:rPr>
                <w:szCs w:val="20"/>
              </w:rPr>
              <w:t xml:space="preserve"> </w:t>
            </w:r>
          </w:p>
        </w:tc>
        <w:tc>
          <w:tcPr>
            <w:tcW w:w="1134" w:type="dxa"/>
          </w:tcPr>
          <w:p w14:paraId="03CF41D5" w14:textId="677960B6" w:rsidR="00ED68A9" w:rsidRDefault="00ED68A9" w:rsidP="00ED68A9">
            <w:pPr>
              <w:spacing w:line="288" w:lineRule="auto"/>
              <w:jc w:val="both"/>
              <w:rPr>
                <w:szCs w:val="20"/>
              </w:rPr>
            </w:pPr>
            <w:r w:rsidRPr="00ED68A9">
              <w:rPr>
                <w:szCs w:val="20"/>
              </w:rPr>
              <w:t>1, 2</w:t>
            </w:r>
          </w:p>
        </w:tc>
        <w:tc>
          <w:tcPr>
            <w:tcW w:w="1701" w:type="dxa"/>
          </w:tcPr>
          <w:p w14:paraId="411D2B12" w14:textId="5FAB3DED" w:rsidR="00ED68A9" w:rsidRDefault="0000259D" w:rsidP="0000259D">
            <w:pPr>
              <w:spacing w:line="288" w:lineRule="auto"/>
              <w:jc w:val="both"/>
              <w:rPr>
                <w:szCs w:val="20"/>
              </w:rPr>
            </w:pPr>
            <w:r>
              <w:rPr>
                <w:szCs w:val="20"/>
              </w:rPr>
              <w:t>Indigenous Goats</w:t>
            </w:r>
          </w:p>
        </w:tc>
        <w:tc>
          <w:tcPr>
            <w:tcW w:w="1293" w:type="dxa"/>
          </w:tcPr>
          <w:p w14:paraId="170A2F34" w14:textId="38FB54F2" w:rsidR="00ED68A9" w:rsidRDefault="00ED68A9" w:rsidP="00ED68A9">
            <w:pPr>
              <w:spacing w:line="288" w:lineRule="auto"/>
              <w:jc w:val="both"/>
              <w:rPr>
                <w:szCs w:val="20"/>
              </w:rPr>
            </w:pPr>
            <w:r w:rsidRPr="00ED68A9">
              <w:rPr>
                <w:szCs w:val="20"/>
              </w:rPr>
              <w:t>2 x 6 goats</w:t>
            </w:r>
          </w:p>
        </w:tc>
        <w:tc>
          <w:tcPr>
            <w:tcW w:w="1962" w:type="dxa"/>
          </w:tcPr>
          <w:p w14:paraId="7CC19350" w14:textId="37A8C6C1" w:rsidR="00ED68A9" w:rsidRDefault="00ED68A9" w:rsidP="00ED68A9">
            <w:pPr>
              <w:spacing w:line="288" w:lineRule="auto"/>
              <w:jc w:val="both"/>
              <w:rPr>
                <w:szCs w:val="20"/>
              </w:rPr>
            </w:pPr>
            <w:r w:rsidRPr="00ED68A9">
              <w:rPr>
                <w:szCs w:val="20"/>
              </w:rPr>
              <w:t>R52 000</w:t>
            </w:r>
          </w:p>
        </w:tc>
      </w:tr>
      <w:tr w:rsidR="00ED68A9" w14:paraId="72894826" w14:textId="77777777" w:rsidTr="005A1DD2">
        <w:tc>
          <w:tcPr>
            <w:tcW w:w="3539" w:type="dxa"/>
          </w:tcPr>
          <w:p w14:paraId="67E9E797" w14:textId="787420F0" w:rsidR="005A1DD2" w:rsidRDefault="0000259D" w:rsidP="00395313">
            <w:pPr>
              <w:spacing w:line="288" w:lineRule="auto"/>
              <w:jc w:val="both"/>
              <w:rPr>
                <w:szCs w:val="20"/>
              </w:rPr>
            </w:pPr>
            <w:r>
              <w:rPr>
                <w:szCs w:val="20"/>
              </w:rPr>
              <w:t>Fruit T</w:t>
            </w:r>
            <w:r w:rsidRPr="0000259D">
              <w:rPr>
                <w:szCs w:val="20"/>
              </w:rPr>
              <w:t>rees</w:t>
            </w:r>
          </w:p>
        </w:tc>
        <w:tc>
          <w:tcPr>
            <w:tcW w:w="1134" w:type="dxa"/>
          </w:tcPr>
          <w:p w14:paraId="13667D60" w14:textId="57C39C98" w:rsidR="005A1DD2" w:rsidRDefault="0000259D" w:rsidP="00395313">
            <w:pPr>
              <w:spacing w:line="288" w:lineRule="auto"/>
              <w:jc w:val="both"/>
              <w:rPr>
                <w:szCs w:val="20"/>
              </w:rPr>
            </w:pPr>
            <w:r>
              <w:rPr>
                <w:szCs w:val="20"/>
              </w:rPr>
              <w:t xml:space="preserve">All </w:t>
            </w:r>
            <w:r w:rsidRPr="0000259D">
              <w:rPr>
                <w:szCs w:val="20"/>
              </w:rPr>
              <w:t>27</w:t>
            </w:r>
          </w:p>
        </w:tc>
        <w:tc>
          <w:tcPr>
            <w:tcW w:w="1701" w:type="dxa"/>
          </w:tcPr>
          <w:p w14:paraId="5DE48678" w14:textId="488FEAFB" w:rsidR="005A1DD2" w:rsidRDefault="0000259D" w:rsidP="00395313">
            <w:pPr>
              <w:spacing w:line="288" w:lineRule="auto"/>
              <w:jc w:val="both"/>
              <w:rPr>
                <w:szCs w:val="20"/>
              </w:rPr>
            </w:pPr>
            <w:r w:rsidRPr="0000259D">
              <w:rPr>
                <w:szCs w:val="20"/>
              </w:rPr>
              <w:t>Wards Fruit trees</w:t>
            </w:r>
          </w:p>
        </w:tc>
        <w:tc>
          <w:tcPr>
            <w:tcW w:w="1293" w:type="dxa"/>
          </w:tcPr>
          <w:p w14:paraId="67049F63" w14:textId="7521BD92" w:rsidR="005A1DD2" w:rsidRDefault="0000259D" w:rsidP="00395313">
            <w:pPr>
              <w:spacing w:line="288" w:lineRule="auto"/>
              <w:jc w:val="both"/>
              <w:rPr>
                <w:szCs w:val="20"/>
              </w:rPr>
            </w:pPr>
            <w:r w:rsidRPr="0000259D">
              <w:rPr>
                <w:szCs w:val="20"/>
              </w:rPr>
              <w:t>190</w:t>
            </w:r>
          </w:p>
        </w:tc>
        <w:tc>
          <w:tcPr>
            <w:tcW w:w="1962" w:type="dxa"/>
          </w:tcPr>
          <w:p w14:paraId="23078515" w14:textId="4856CD53" w:rsidR="005A1DD2" w:rsidRDefault="0000259D" w:rsidP="00395313">
            <w:pPr>
              <w:spacing w:line="288" w:lineRule="auto"/>
              <w:jc w:val="both"/>
              <w:rPr>
                <w:szCs w:val="20"/>
              </w:rPr>
            </w:pPr>
            <w:r w:rsidRPr="0000259D">
              <w:rPr>
                <w:szCs w:val="20"/>
              </w:rPr>
              <w:t>R20 900</w:t>
            </w:r>
          </w:p>
        </w:tc>
      </w:tr>
    </w:tbl>
    <w:p w14:paraId="473D1A5F" w14:textId="2EC11CCE" w:rsidR="005A1DD2" w:rsidRDefault="0058662E" w:rsidP="0058662E">
      <w:pPr>
        <w:pStyle w:val="Caption"/>
      </w:pPr>
      <w:bookmarkStart w:id="404" w:name="_Toc510622306"/>
      <w:r>
        <w:t xml:space="preserve">Table </w:t>
      </w:r>
      <w:r w:rsidR="00B918A6">
        <w:fldChar w:fldCharType="begin"/>
      </w:r>
      <w:r w:rsidR="00B918A6">
        <w:instrText xml:space="preserve"> SEQ Table \* ARABIC </w:instrText>
      </w:r>
      <w:r w:rsidR="00B918A6">
        <w:fldChar w:fldCharType="separate"/>
      </w:r>
      <w:r w:rsidR="0067023A">
        <w:rPr>
          <w:noProof/>
        </w:rPr>
        <w:t>56</w:t>
      </w:r>
      <w:r w:rsidR="00B918A6">
        <w:rPr>
          <w:noProof/>
        </w:rPr>
        <w:fldChar w:fldCharType="end"/>
      </w:r>
      <w:r>
        <w:t>: Department of Agriculture Projects for 2018/19</w:t>
      </w:r>
      <w:bookmarkEnd w:id="404"/>
    </w:p>
    <w:p w14:paraId="062EA20D" w14:textId="17220A3F" w:rsidR="00BA4464" w:rsidRPr="00BA4464" w:rsidRDefault="003C3ACD" w:rsidP="00750180">
      <w:pPr>
        <w:pStyle w:val="Heading4"/>
        <w:numPr>
          <w:ilvl w:val="3"/>
          <w:numId w:val="29"/>
        </w:numPr>
        <w:spacing w:after="240"/>
      </w:pPr>
      <w:bookmarkStart w:id="405" w:name="_Toc389739961"/>
      <w:r w:rsidRPr="006A453F">
        <w:t xml:space="preserve"> </w:t>
      </w:r>
      <w:r w:rsidRPr="00287E25">
        <w:rPr>
          <w:highlight w:val="yellow"/>
        </w:rPr>
        <w:t>Development of Agriculture Support Plan</w:t>
      </w:r>
      <w:r w:rsidR="003F34A6">
        <w:t xml:space="preserve"> (This Section will be populated in the final document)</w:t>
      </w:r>
    </w:p>
    <w:p w14:paraId="0F3DB3D3" w14:textId="77777777" w:rsidR="0037082E" w:rsidRPr="003C3ACD" w:rsidRDefault="0037082E" w:rsidP="00750180">
      <w:pPr>
        <w:pStyle w:val="Heading4"/>
        <w:numPr>
          <w:ilvl w:val="3"/>
          <w:numId w:val="29"/>
        </w:numPr>
        <w:jc w:val="both"/>
        <w:rPr>
          <w:rFonts w:ascii="Calibri" w:hAnsi="Calibri"/>
        </w:rPr>
      </w:pPr>
      <w:r w:rsidRPr="003C3ACD">
        <w:rPr>
          <w:rFonts w:ascii="Calibri" w:hAnsi="Calibri"/>
        </w:rPr>
        <w:t>Tourism</w:t>
      </w:r>
      <w:bookmarkEnd w:id="405"/>
    </w:p>
    <w:p w14:paraId="4D285348" w14:textId="77777777" w:rsidR="00BA6962" w:rsidRDefault="00BA6962" w:rsidP="00750180">
      <w:pPr>
        <w:pStyle w:val="Heading5"/>
        <w:numPr>
          <w:ilvl w:val="4"/>
          <w:numId w:val="29"/>
        </w:numPr>
        <w:spacing w:after="240"/>
      </w:pPr>
      <w:bookmarkStart w:id="406" w:name="_Toc317688658"/>
      <w:bookmarkStart w:id="407" w:name="_Toc389739962"/>
      <w:r w:rsidRPr="003C3ACD">
        <w:t>Tourism</w:t>
      </w:r>
      <w:r w:rsidRPr="00301560">
        <w:t xml:space="preserve"> </w:t>
      </w:r>
      <w:r w:rsidRPr="003C3ACD">
        <w:t>in Kwazulu-Natal</w:t>
      </w:r>
      <w:bookmarkEnd w:id="406"/>
      <w:bookmarkEnd w:id="407"/>
    </w:p>
    <w:p w14:paraId="1F0FE2C0" w14:textId="77777777" w:rsidR="00A6372F" w:rsidRDefault="00A6372F" w:rsidP="00A6372F">
      <w:pPr>
        <w:jc w:val="both"/>
      </w:pPr>
      <w:r>
        <w:t>The Province of KwaZulu-Natal derives immense benefits from the tourism industry ranging from employment, foreign currency receipts and a source of livelihood to a number of households. This sector therefore remains an important economic business in the province contributing about 10% (direct and indirect) to the province’s Gross Domestic Product.</w:t>
      </w:r>
    </w:p>
    <w:p w14:paraId="3F7AA150" w14:textId="77777777" w:rsidR="00A6372F" w:rsidRDefault="00A6372F" w:rsidP="00A6372F">
      <w:pPr>
        <w:jc w:val="both"/>
      </w:pPr>
      <w:r>
        <w:t>KwaZulu-Natal’s major foreign tourism source markets include Swaziland (23%), Lesotho (17%), Botswana (8%), Zimbabwe (9%), United Kingdom (7%), Mozambique (4%), Germany (5%), USA (4%), France (3%) and Netherlands (3%). It is for this reason that the summit in 2009 resolved that domestic and regional tourism markets must be nurtured. It was also acknowledged that the province and the country cannot prosper in isolation hence the province must therefore work together with the rest of the region in its marketing efforts which would contribute to regional integration.</w:t>
      </w:r>
    </w:p>
    <w:p w14:paraId="5E8B516D" w14:textId="77777777" w:rsidR="00BA6962" w:rsidRPr="00301560" w:rsidRDefault="00BA6962" w:rsidP="00750180">
      <w:pPr>
        <w:pStyle w:val="Heading4"/>
        <w:numPr>
          <w:ilvl w:val="4"/>
          <w:numId w:val="29"/>
        </w:numPr>
        <w:spacing w:after="240"/>
        <w:jc w:val="both"/>
        <w:rPr>
          <w:rFonts w:ascii="Calibri" w:hAnsi="Calibri"/>
          <w:i/>
          <w:szCs w:val="20"/>
        </w:rPr>
      </w:pPr>
      <w:bookmarkStart w:id="408" w:name="_Toc317688659"/>
      <w:bookmarkStart w:id="409" w:name="_Toc389739963"/>
      <w:r w:rsidRPr="00301560">
        <w:rPr>
          <w:rFonts w:ascii="Calibri" w:hAnsi="Calibri"/>
          <w:i/>
          <w:szCs w:val="20"/>
        </w:rPr>
        <w:t>Tourism in uMlalazi Municipal Area</w:t>
      </w:r>
      <w:bookmarkEnd w:id="408"/>
      <w:bookmarkEnd w:id="409"/>
    </w:p>
    <w:p w14:paraId="21BFBADC" w14:textId="77777777" w:rsidR="00BA6962" w:rsidRPr="00881795" w:rsidRDefault="00BA6962" w:rsidP="00011114">
      <w:pPr>
        <w:jc w:val="both"/>
        <w:rPr>
          <w:rFonts w:cs="Calibri"/>
          <w:szCs w:val="20"/>
        </w:rPr>
      </w:pPr>
      <w:r w:rsidRPr="00881795">
        <w:rPr>
          <w:rFonts w:cs="Calibri"/>
          <w:szCs w:val="20"/>
        </w:rPr>
        <w:t xml:space="preserve">The tourism sector has enormous potential in the uMlalazi area and </w:t>
      </w:r>
      <w:r w:rsidR="00703CE6" w:rsidRPr="00881795">
        <w:rPr>
          <w:rFonts w:cs="Calibri"/>
          <w:szCs w:val="20"/>
        </w:rPr>
        <w:t>the</w:t>
      </w:r>
      <w:r w:rsidR="00703CE6">
        <w:rPr>
          <w:rFonts w:cs="Calibri"/>
          <w:szCs w:val="20"/>
        </w:rPr>
        <w:t xml:space="preserve"> </w:t>
      </w:r>
      <w:r w:rsidR="00703CE6" w:rsidRPr="00881795">
        <w:rPr>
          <w:rFonts w:cs="Calibri"/>
          <w:szCs w:val="20"/>
        </w:rPr>
        <w:t>uMlalazi</w:t>
      </w:r>
      <w:r w:rsidRPr="00881795">
        <w:rPr>
          <w:rFonts w:cs="Calibri"/>
          <w:szCs w:val="20"/>
        </w:rPr>
        <w:t xml:space="preserve"> municipality has identified the need to improve and enhance the tourism sector.</w:t>
      </w:r>
      <w:r w:rsidR="00B72313">
        <w:rPr>
          <w:rFonts w:cs="Calibri"/>
          <w:szCs w:val="20"/>
        </w:rPr>
        <w:t xml:space="preserve"> The uMlalazi LM is developing a </w:t>
      </w:r>
      <w:r w:rsidR="008D130F">
        <w:rPr>
          <w:rFonts w:cs="Calibri"/>
          <w:szCs w:val="20"/>
        </w:rPr>
        <w:t>Tourism</w:t>
      </w:r>
      <w:r w:rsidR="00B72313">
        <w:rPr>
          <w:rFonts w:cs="Calibri"/>
          <w:szCs w:val="20"/>
        </w:rPr>
        <w:t xml:space="preserve"> Plan in-house which will package accordingly all the tourist attractions within the municipal area and develop strategies in which will </w:t>
      </w:r>
      <w:r w:rsidR="008D130F">
        <w:rPr>
          <w:rFonts w:cs="Calibri"/>
          <w:szCs w:val="20"/>
        </w:rPr>
        <w:t>enhance</w:t>
      </w:r>
      <w:r w:rsidR="00B72313">
        <w:rPr>
          <w:rFonts w:cs="Calibri"/>
          <w:szCs w:val="20"/>
        </w:rPr>
        <w:t xml:space="preserve"> the potential of these attractions and also to attract investment within the municipal area through tourism. </w:t>
      </w:r>
      <w:r w:rsidR="00B72313" w:rsidRPr="00881795">
        <w:rPr>
          <w:rFonts w:cs="Calibri"/>
          <w:szCs w:val="20"/>
        </w:rPr>
        <w:t>Tourism</w:t>
      </w:r>
      <w:r w:rsidR="00011114" w:rsidRPr="00011114">
        <w:rPr>
          <w:rFonts w:cs="Calibri"/>
          <w:szCs w:val="20"/>
        </w:rPr>
        <w:t xml:space="preserve"> is regarded as a cross-sectoral industry in that it has linkages with other sectors</w:t>
      </w:r>
      <w:r w:rsidR="00011114">
        <w:rPr>
          <w:rFonts w:cs="Calibri"/>
          <w:szCs w:val="20"/>
        </w:rPr>
        <w:t xml:space="preserve"> </w:t>
      </w:r>
      <w:r w:rsidR="00011114" w:rsidRPr="00011114">
        <w:rPr>
          <w:rFonts w:cs="Calibri"/>
          <w:szCs w:val="20"/>
        </w:rPr>
        <w:t>such as retail, manufacturing, transport, catering, hospitality, etc. As a result, it is difficult to</w:t>
      </w:r>
      <w:r w:rsidR="00011114">
        <w:rPr>
          <w:rFonts w:cs="Calibri"/>
          <w:szCs w:val="20"/>
        </w:rPr>
        <w:t xml:space="preserve"> </w:t>
      </w:r>
      <w:r w:rsidR="00011114" w:rsidRPr="00011114">
        <w:rPr>
          <w:rFonts w:cs="Calibri"/>
          <w:szCs w:val="20"/>
        </w:rPr>
        <w:t>measure the contribution of tourism to the local economy as GVA from the tourism industry</w:t>
      </w:r>
      <w:r w:rsidR="00011114">
        <w:rPr>
          <w:rFonts w:cs="Calibri"/>
          <w:szCs w:val="20"/>
        </w:rPr>
        <w:t xml:space="preserve"> </w:t>
      </w:r>
      <w:r w:rsidR="00011114" w:rsidRPr="00011114">
        <w:rPr>
          <w:rFonts w:cs="Calibri"/>
          <w:szCs w:val="20"/>
        </w:rPr>
        <w:t>is spread across a number of other sectors.</w:t>
      </w:r>
      <w:r w:rsidR="00011114">
        <w:rPr>
          <w:rFonts w:cs="Calibri"/>
          <w:szCs w:val="20"/>
        </w:rPr>
        <w:t xml:space="preserve"> </w:t>
      </w:r>
      <w:r w:rsidR="00011114" w:rsidRPr="00011114">
        <w:rPr>
          <w:rFonts w:cs="Calibri"/>
          <w:szCs w:val="20"/>
        </w:rPr>
        <w:t>However, catering and accommodation within uMlalazi contributed 1.3% to total GVA in</w:t>
      </w:r>
      <w:r w:rsidR="00011114">
        <w:rPr>
          <w:rFonts w:cs="Calibri"/>
          <w:szCs w:val="20"/>
        </w:rPr>
        <w:t xml:space="preserve"> </w:t>
      </w:r>
      <w:r w:rsidR="00011114" w:rsidRPr="00011114">
        <w:rPr>
          <w:rFonts w:cs="Calibri"/>
          <w:szCs w:val="20"/>
        </w:rPr>
        <w:t xml:space="preserve">2011, which is only 8.6% of total catering and accommodation output within the </w:t>
      </w:r>
      <w:r w:rsidR="003C03FA">
        <w:rPr>
          <w:rFonts w:cs="Calibri"/>
          <w:szCs w:val="20"/>
        </w:rPr>
        <w:t>District</w:t>
      </w:r>
      <w:r w:rsidR="00011114" w:rsidRPr="00011114">
        <w:rPr>
          <w:rFonts w:cs="Calibri"/>
          <w:szCs w:val="20"/>
        </w:rPr>
        <w:t>.</w:t>
      </w:r>
      <w:r w:rsidR="00011114">
        <w:rPr>
          <w:rFonts w:cs="Calibri"/>
          <w:szCs w:val="20"/>
        </w:rPr>
        <w:t xml:space="preserve"> </w:t>
      </w:r>
      <w:r w:rsidR="00011114" w:rsidRPr="00011114">
        <w:rPr>
          <w:rFonts w:cs="Calibri"/>
          <w:szCs w:val="20"/>
        </w:rPr>
        <w:t>This indicates that uMlalazi plays a relatively small role within the tourism sector within the</w:t>
      </w:r>
      <w:r w:rsidR="00011114">
        <w:rPr>
          <w:rFonts w:cs="Calibri"/>
          <w:szCs w:val="20"/>
        </w:rPr>
        <w:t xml:space="preserve"> </w:t>
      </w:r>
      <w:r w:rsidR="00011114" w:rsidRPr="00011114">
        <w:rPr>
          <w:rFonts w:cs="Calibri"/>
          <w:szCs w:val="20"/>
        </w:rPr>
        <w:t xml:space="preserve">wider </w:t>
      </w:r>
      <w:r w:rsidR="001D792E">
        <w:rPr>
          <w:rFonts w:cs="Calibri"/>
          <w:szCs w:val="20"/>
        </w:rPr>
        <w:t>King Cetshwayo</w:t>
      </w:r>
      <w:r w:rsidR="00011114" w:rsidRPr="00011114">
        <w:rPr>
          <w:rFonts w:cs="Calibri"/>
          <w:szCs w:val="20"/>
        </w:rPr>
        <w:t xml:space="preserve"> </w:t>
      </w:r>
      <w:r w:rsidR="003C03FA">
        <w:rPr>
          <w:rFonts w:cs="Calibri"/>
          <w:szCs w:val="20"/>
        </w:rPr>
        <w:t>District</w:t>
      </w:r>
      <w:r w:rsidR="00011114" w:rsidRPr="00011114">
        <w:rPr>
          <w:rFonts w:cs="Calibri"/>
          <w:szCs w:val="20"/>
        </w:rPr>
        <w:t>. It should also be noted that although this contribution is small, it is</w:t>
      </w:r>
      <w:r w:rsidR="00011114">
        <w:rPr>
          <w:rFonts w:cs="Calibri"/>
          <w:szCs w:val="20"/>
        </w:rPr>
        <w:t xml:space="preserve"> </w:t>
      </w:r>
      <w:r w:rsidR="00011114" w:rsidRPr="00011114">
        <w:rPr>
          <w:rFonts w:cs="Calibri"/>
          <w:szCs w:val="20"/>
        </w:rPr>
        <w:t>expected that this is only a small portion of the total GVA generated from the industry, with</w:t>
      </w:r>
      <w:r w:rsidR="00011114">
        <w:rPr>
          <w:rFonts w:cs="Calibri"/>
          <w:szCs w:val="20"/>
        </w:rPr>
        <w:t xml:space="preserve"> </w:t>
      </w:r>
      <w:r w:rsidR="00011114" w:rsidRPr="00011114">
        <w:rPr>
          <w:rFonts w:cs="Calibri"/>
          <w:szCs w:val="20"/>
        </w:rPr>
        <w:t>spin-offs of tourism largely cutting across the wholesale and retail sector.</w:t>
      </w:r>
    </w:p>
    <w:tbl>
      <w:tblPr>
        <w:tblStyle w:val="TableGrid"/>
        <w:tblW w:w="0" w:type="auto"/>
        <w:tblLook w:val="04A0" w:firstRow="1" w:lastRow="0" w:firstColumn="1" w:lastColumn="0" w:noHBand="0" w:noVBand="1"/>
      </w:tblPr>
      <w:tblGrid>
        <w:gridCol w:w="1768"/>
        <w:gridCol w:w="2107"/>
        <w:gridCol w:w="1985"/>
        <w:gridCol w:w="1883"/>
        <w:gridCol w:w="1766"/>
      </w:tblGrid>
      <w:tr w:rsidR="006A453F" w:rsidRPr="006A453F" w14:paraId="5FBD0DE4" w14:textId="77777777" w:rsidTr="006A453F">
        <w:trPr>
          <w:trHeight w:val="527"/>
        </w:trPr>
        <w:tc>
          <w:tcPr>
            <w:tcW w:w="1768" w:type="dxa"/>
            <w:shd w:val="clear" w:color="auto" w:fill="000000" w:themeFill="text1"/>
          </w:tcPr>
          <w:p w14:paraId="537051DA" w14:textId="77777777" w:rsidR="006A453F" w:rsidRPr="006A453F" w:rsidRDefault="006A453F" w:rsidP="006A453F">
            <w:pPr>
              <w:rPr>
                <w:rFonts w:eastAsia="Calibri" w:cs="Times New Roman"/>
                <w:b/>
                <w:sz w:val="22"/>
                <w:lang w:val="en-ZA"/>
              </w:rPr>
            </w:pPr>
            <w:bookmarkStart w:id="410" w:name="_Toc325628007"/>
            <w:bookmarkStart w:id="411" w:name="_Toc389739965"/>
          </w:p>
        </w:tc>
        <w:tc>
          <w:tcPr>
            <w:tcW w:w="2107" w:type="dxa"/>
            <w:shd w:val="clear" w:color="auto" w:fill="000000" w:themeFill="text1"/>
          </w:tcPr>
          <w:p w14:paraId="1701006C" w14:textId="77777777" w:rsidR="006A453F" w:rsidRPr="006A453F" w:rsidRDefault="006A453F" w:rsidP="006A453F">
            <w:pPr>
              <w:rPr>
                <w:rFonts w:eastAsia="Calibri" w:cs="Times New Roman"/>
                <w:b/>
                <w:sz w:val="22"/>
                <w:lang w:val="en-ZA"/>
              </w:rPr>
            </w:pPr>
            <w:r w:rsidRPr="006A453F">
              <w:rPr>
                <w:rFonts w:eastAsia="Calibri" w:cs="Times New Roman"/>
                <w:b/>
                <w:sz w:val="22"/>
                <w:lang w:val="en-ZA"/>
              </w:rPr>
              <w:t>Employment in 2011</w:t>
            </w:r>
          </w:p>
        </w:tc>
        <w:tc>
          <w:tcPr>
            <w:tcW w:w="1985" w:type="dxa"/>
            <w:shd w:val="clear" w:color="auto" w:fill="000000" w:themeFill="text1"/>
          </w:tcPr>
          <w:p w14:paraId="1C79FC1D" w14:textId="77777777" w:rsidR="006A453F" w:rsidRPr="006A453F" w:rsidRDefault="006A453F" w:rsidP="006A453F">
            <w:pPr>
              <w:rPr>
                <w:rFonts w:eastAsia="Calibri" w:cs="Times New Roman"/>
                <w:b/>
                <w:sz w:val="22"/>
                <w:lang w:val="en-ZA"/>
              </w:rPr>
            </w:pPr>
            <w:r w:rsidRPr="006A453F">
              <w:rPr>
                <w:rFonts w:eastAsia="Calibri" w:cs="Times New Roman"/>
                <w:b/>
                <w:sz w:val="22"/>
                <w:lang w:val="en-ZA"/>
              </w:rPr>
              <w:t>Average Annual Growth 2001-11</w:t>
            </w:r>
          </w:p>
        </w:tc>
        <w:tc>
          <w:tcPr>
            <w:tcW w:w="1883" w:type="dxa"/>
            <w:shd w:val="clear" w:color="auto" w:fill="000000" w:themeFill="text1"/>
          </w:tcPr>
          <w:p w14:paraId="0EC9A5F3" w14:textId="77777777" w:rsidR="006A453F" w:rsidRPr="006A453F" w:rsidRDefault="006A453F" w:rsidP="006A453F">
            <w:pPr>
              <w:rPr>
                <w:rFonts w:eastAsia="Calibri" w:cs="Times New Roman"/>
                <w:b/>
                <w:sz w:val="22"/>
                <w:lang w:val="en-ZA"/>
              </w:rPr>
            </w:pPr>
            <w:r w:rsidRPr="006A453F">
              <w:rPr>
                <w:rFonts w:eastAsia="Calibri" w:cs="Times New Roman"/>
                <w:b/>
                <w:sz w:val="22"/>
                <w:lang w:val="en-ZA"/>
              </w:rPr>
              <w:t>GVA (Current Prices) in 2011</w:t>
            </w:r>
          </w:p>
        </w:tc>
        <w:tc>
          <w:tcPr>
            <w:tcW w:w="1766" w:type="dxa"/>
            <w:shd w:val="clear" w:color="auto" w:fill="000000" w:themeFill="text1"/>
          </w:tcPr>
          <w:p w14:paraId="68F024B4" w14:textId="77777777" w:rsidR="006A453F" w:rsidRPr="006A453F" w:rsidRDefault="006A453F" w:rsidP="006A453F">
            <w:pPr>
              <w:rPr>
                <w:rFonts w:eastAsia="Calibri" w:cs="Times New Roman"/>
                <w:b/>
                <w:sz w:val="22"/>
                <w:lang w:val="en-ZA"/>
              </w:rPr>
            </w:pPr>
            <w:r w:rsidRPr="006A453F">
              <w:rPr>
                <w:rFonts w:eastAsia="Calibri" w:cs="Times New Roman"/>
                <w:b/>
                <w:sz w:val="22"/>
                <w:lang w:val="en-ZA"/>
              </w:rPr>
              <w:t>Real Average Annual Growth Rate (2001-11)</w:t>
            </w:r>
          </w:p>
        </w:tc>
      </w:tr>
      <w:tr w:rsidR="006A453F" w:rsidRPr="006A453F" w14:paraId="3FEC2CE9" w14:textId="77777777" w:rsidTr="006A453F">
        <w:trPr>
          <w:trHeight w:val="179"/>
        </w:trPr>
        <w:tc>
          <w:tcPr>
            <w:tcW w:w="1768" w:type="dxa"/>
          </w:tcPr>
          <w:p w14:paraId="72CAD15F" w14:textId="77777777" w:rsidR="006A453F" w:rsidRPr="006A453F" w:rsidRDefault="006A453F" w:rsidP="006A453F">
            <w:pPr>
              <w:rPr>
                <w:rFonts w:eastAsia="Calibri" w:cs="Times New Roman"/>
                <w:sz w:val="22"/>
                <w:lang w:val="en-ZA"/>
              </w:rPr>
            </w:pPr>
            <w:r w:rsidRPr="006A453F">
              <w:rPr>
                <w:rFonts w:eastAsia="Calibri" w:cs="Times New Roman"/>
                <w:sz w:val="22"/>
                <w:lang w:val="en-ZA"/>
              </w:rPr>
              <w:t>KwaZulu-Natal</w:t>
            </w:r>
          </w:p>
        </w:tc>
        <w:tc>
          <w:tcPr>
            <w:tcW w:w="2107" w:type="dxa"/>
          </w:tcPr>
          <w:p w14:paraId="69CF18C7" w14:textId="77777777" w:rsidR="006A453F" w:rsidRPr="006A453F" w:rsidRDefault="006A453F" w:rsidP="006A453F">
            <w:pPr>
              <w:rPr>
                <w:rFonts w:eastAsia="Calibri" w:cs="Times New Roman"/>
                <w:sz w:val="22"/>
                <w:lang w:val="en-ZA"/>
              </w:rPr>
            </w:pPr>
            <w:r w:rsidRPr="006A453F">
              <w:rPr>
                <w:rFonts w:eastAsia="Calibri" w:cs="Times New Roman"/>
                <w:sz w:val="22"/>
                <w:lang w:val="en-ZA"/>
              </w:rPr>
              <w:t>41 964</w:t>
            </w:r>
          </w:p>
        </w:tc>
        <w:tc>
          <w:tcPr>
            <w:tcW w:w="1985" w:type="dxa"/>
          </w:tcPr>
          <w:p w14:paraId="48F68074" w14:textId="77777777" w:rsidR="006A453F" w:rsidRPr="006A453F" w:rsidRDefault="006A453F" w:rsidP="006A453F">
            <w:pPr>
              <w:rPr>
                <w:rFonts w:eastAsia="Calibri" w:cs="Times New Roman"/>
                <w:sz w:val="22"/>
                <w:lang w:val="en-ZA"/>
              </w:rPr>
            </w:pPr>
            <w:r w:rsidRPr="006A453F">
              <w:rPr>
                <w:rFonts w:eastAsia="Calibri" w:cs="Times New Roman"/>
                <w:sz w:val="22"/>
                <w:lang w:val="en-ZA"/>
              </w:rPr>
              <w:t>-1.9%</w:t>
            </w:r>
          </w:p>
        </w:tc>
        <w:tc>
          <w:tcPr>
            <w:tcW w:w="1883" w:type="dxa"/>
          </w:tcPr>
          <w:p w14:paraId="33AACD24" w14:textId="77777777" w:rsidR="006A453F" w:rsidRPr="006A453F" w:rsidRDefault="006A453F" w:rsidP="006A453F">
            <w:pPr>
              <w:rPr>
                <w:rFonts w:eastAsia="Calibri" w:cs="Times New Roman"/>
                <w:sz w:val="22"/>
                <w:lang w:val="en-ZA"/>
              </w:rPr>
            </w:pPr>
            <w:r w:rsidRPr="006A453F">
              <w:rPr>
                <w:rFonts w:eastAsia="Calibri" w:cs="Times New Roman"/>
                <w:sz w:val="22"/>
                <w:lang w:val="en-ZA"/>
              </w:rPr>
              <w:t>R 6 760 432 985</w:t>
            </w:r>
          </w:p>
        </w:tc>
        <w:tc>
          <w:tcPr>
            <w:tcW w:w="1766" w:type="dxa"/>
          </w:tcPr>
          <w:p w14:paraId="3A8CA03E" w14:textId="77777777" w:rsidR="006A453F" w:rsidRPr="006A453F" w:rsidRDefault="006A453F" w:rsidP="006A453F">
            <w:pPr>
              <w:rPr>
                <w:rFonts w:eastAsia="Calibri" w:cs="Times New Roman"/>
                <w:sz w:val="22"/>
                <w:lang w:val="en-ZA"/>
              </w:rPr>
            </w:pPr>
            <w:r w:rsidRPr="006A453F">
              <w:rPr>
                <w:rFonts w:eastAsia="Calibri" w:cs="Times New Roman"/>
                <w:sz w:val="22"/>
                <w:lang w:val="en-ZA"/>
              </w:rPr>
              <w:t>5.7%</w:t>
            </w:r>
          </w:p>
        </w:tc>
      </w:tr>
      <w:tr w:rsidR="006A453F" w:rsidRPr="006A453F" w14:paraId="73A9BEDF" w14:textId="77777777" w:rsidTr="006A453F">
        <w:trPr>
          <w:trHeight w:val="179"/>
        </w:trPr>
        <w:tc>
          <w:tcPr>
            <w:tcW w:w="1768" w:type="dxa"/>
          </w:tcPr>
          <w:p w14:paraId="6283BDEF" w14:textId="77777777" w:rsidR="006A453F" w:rsidRPr="006A453F" w:rsidRDefault="006A453F" w:rsidP="006A453F">
            <w:pPr>
              <w:rPr>
                <w:rFonts w:eastAsia="Calibri" w:cs="Times New Roman"/>
                <w:sz w:val="22"/>
                <w:lang w:val="en-ZA"/>
              </w:rPr>
            </w:pPr>
            <w:r w:rsidRPr="006A453F">
              <w:rPr>
                <w:rFonts w:eastAsia="Calibri" w:cs="Times New Roman"/>
                <w:sz w:val="22"/>
                <w:lang w:val="en-ZA"/>
              </w:rPr>
              <w:t>KCDM</w:t>
            </w:r>
          </w:p>
        </w:tc>
        <w:tc>
          <w:tcPr>
            <w:tcW w:w="2107" w:type="dxa"/>
          </w:tcPr>
          <w:p w14:paraId="731A6B1D" w14:textId="77777777" w:rsidR="006A453F" w:rsidRPr="006A453F" w:rsidRDefault="006A453F" w:rsidP="006A453F">
            <w:pPr>
              <w:rPr>
                <w:rFonts w:eastAsia="Calibri" w:cs="Times New Roman"/>
                <w:sz w:val="22"/>
                <w:lang w:val="en-ZA"/>
              </w:rPr>
            </w:pPr>
            <w:r w:rsidRPr="006A453F">
              <w:rPr>
                <w:rFonts w:eastAsia="Calibri" w:cs="Times New Roman"/>
                <w:sz w:val="22"/>
                <w:lang w:val="en-ZA"/>
              </w:rPr>
              <w:t>2 283</w:t>
            </w:r>
          </w:p>
        </w:tc>
        <w:tc>
          <w:tcPr>
            <w:tcW w:w="1985" w:type="dxa"/>
          </w:tcPr>
          <w:p w14:paraId="578C29F3" w14:textId="77777777" w:rsidR="006A453F" w:rsidRPr="006A453F" w:rsidRDefault="006A453F" w:rsidP="006A453F">
            <w:pPr>
              <w:rPr>
                <w:rFonts w:eastAsia="Calibri" w:cs="Times New Roman"/>
                <w:sz w:val="22"/>
                <w:lang w:val="en-ZA"/>
              </w:rPr>
            </w:pPr>
            <w:r w:rsidRPr="006A453F">
              <w:rPr>
                <w:rFonts w:eastAsia="Calibri" w:cs="Times New Roman"/>
                <w:sz w:val="22"/>
                <w:lang w:val="en-ZA"/>
              </w:rPr>
              <w:t>-0.5%</w:t>
            </w:r>
          </w:p>
        </w:tc>
        <w:tc>
          <w:tcPr>
            <w:tcW w:w="1883" w:type="dxa"/>
          </w:tcPr>
          <w:p w14:paraId="37323734" w14:textId="77777777" w:rsidR="006A453F" w:rsidRPr="006A453F" w:rsidRDefault="006A453F" w:rsidP="006A453F">
            <w:pPr>
              <w:rPr>
                <w:rFonts w:eastAsia="Calibri" w:cs="Times New Roman"/>
                <w:sz w:val="22"/>
                <w:lang w:val="en-ZA"/>
              </w:rPr>
            </w:pPr>
            <w:r w:rsidRPr="006A453F">
              <w:rPr>
                <w:rFonts w:eastAsia="Calibri" w:cs="Times New Roman"/>
                <w:sz w:val="22"/>
                <w:lang w:val="en-ZA"/>
              </w:rPr>
              <w:t>R 377 799 734</w:t>
            </w:r>
          </w:p>
        </w:tc>
        <w:tc>
          <w:tcPr>
            <w:tcW w:w="1766" w:type="dxa"/>
          </w:tcPr>
          <w:p w14:paraId="1C7C9D42" w14:textId="77777777" w:rsidR="006A453F" w:rsidRPr="006A453F" w:rsidRDefault="006A453F" w:rsidP="006A453F">
            <w:pPr>
              <w:rPr>
                <w:rFonts w:eastAsia="Calibri" w:cs="Times New Roman"/>
                <w:sz w:val="22"/>
                <w:lang w:val="en-ZA"/>
              </w:rPr>
            </w:pPr>
            <w:r w:rsidRPr="006A453F">
              <w:rPr>
                <w:rFonts w:eastAsia="Calibri" w:cs="Times New Roman"/>
                <w:sz w:val="22"/>
                <w:lang w:val="en-ZA"/>
              </w:rPr>
              <w:t>8.0%</w:t>
            </w:r>
          </w:p>
        </w:tc>
      </w:tr>
      <w:tr w:rsidR="006A453F" w:rsidRPr="006A453F" w14:paraId="48EEB248" w14:textId="77777777" w:rsidTr="006A453F">
        <w:trPr>
          <w:trHeight w:val="169"/>
        </w:trPr>
        <w:tc>
          <w:tcPr>
            <w:tcW w:w="1768" w:type="dxa"/>
          </w:tcPr>
          <w:p w14:paraId="520C5F4E" w14:textId="77777777" w:rsidR="006A453F" w:rsidRPr="006A453F" w:rsidRDefault="006A453F" w:rsidP="006A453F">
            <w:pPr>
              <w:rPr>
                <w:rFonts w:eastAsia="Calibri" w:cs="Times New Roman"/>
                <w:sz w:val="22"/>
                <w:lang w:val="en-ZA"/>
              </w:rPr>
            </w:pPr>
            <w:r w:rsidRPr="006A453F">
              <w:rPr>
                <w:rFonts w:eastAsia="Calibri" w:cs="Times New Roman"/>
                <w:sz w:val="22"/>
                <w:lang w:val="en-ZA"/>
              </w:rPr>
              <w:t>uMlalazi</w:t>
            </w:r>
          </w:p>
        </w:tc>
        <w:tc>
          <w:tcPr>
            <w:tcW w:w="2107" w:type="dxa"/>
          </w:tcPr>
          <w:p w14:paraId="3FB11B90" w14:textId="77777777" w:rsidR="006A453F" w:rsidRPr="006A453F" w:rsidRDefault="006A453F" w:rsidP="006A453F">
            <w:pPr>
              <w:rPr>
                <w:rFonts w:eastAsia="Calibri" w:cs="Times New Roman"/>
                <w:sz w:val="22"/>
                <w:lang w:val="en-ZA"/>
              </w:rPr>
            </w:pPr>
            <w:r w:rsidRPr="006A453F">
              <w:rPr>
                <w:rFonts w:eastAsia="Calibri" w:cs="Times New Roman"/>
                <w:sz w:val="22"/>
                <w:lang w:val="en-ZA"/>
              </w:rPr>
              <w:t>255</w:t>
            </w:r>
          </w:p>
        </w:tc>
        <w:tc>
          <w:tcPr>
            <w:tcW w:w="1985" w:type="dxa"/>
          </w:tcPr>
          <w:p w14:paraId="087B3031" w14:textId="77777777" w:rsidR="006A453F" w:rsidRPr="006A453F" w:rsidRDefault="006A453F" w:rsidP="006A453F">
            <w:pPr>
              <w:rPr>
                <w:rFonts w:eastAsia="Calibri" w:cs="Times New Roman"/>
                <w:sz w:val="22"/>
                <w:lang w:val="en-ZA"/>
              </w:rPr>
            </w:pPr>
            <w:r w:rsidRPr="006A453F">
              <w:rPr>
                <w:rFonts w:eastAsia="Calibri" w:cs="Times New Roman"/>
                <w:sz w:val="22"/>
                <w:lang w:val="en-ZA"/>
              </w:rPr>
              <w:t>-0.3%</w:t>
            </w:r>
          </w:p>
        </w:tc>
        <w:tc>
          <w:tcPr>
            <w:tcW w:w="1883" w:type="dxa"/>
          </w:tcPr>
          <w:p w14:paraId="78F48936" w14:textId="77777777" w:rsidR="006A453F" w:rsidRPr="006A453F" w:rsidRDefault="006A453F" w:rsidP="006A453F">
            <w:pPr>
              <w:rPr>
                <w:rFonts w:eastAsia="Calibri" w:cs="Times New Roman"/>
                <w:sz w:val="22"/>
                <w:lang w:val="en-ZA"/>
              </w:rPr>
            </w:pPr>
            <w:r w:rsidRPr="006A453F">
              <w:rPr>
                <w:rFonts w:eastAsia="Calibri" w:cs="Times New Roman"/>
                <w:sz w:val="22"/>
                <w:lang w:val="en-ZA"/>
              </w:rPr>
              <w:t>R 32 551 465</w:t>
            </w:r>
          </w:p>
        </w:tc>
        <w:tc>
          <w:tcPr>
            <w:tcW w:w="1766" w:type="dxa"/>
          </w:tcPr>
          <w:p w14:paraId="5840CC69" w14:textId="77777777" w:rsidR="006A453F" w:rsidRPr="006A453F" w:rsidRDefault="006A453F" w:rsidP="006A453F">
            <w:pPr>
              <w:rPr>
                <w:rFonts w:eastAsia="Calibri" w:cs="Times New Roman"/>
                <w:sz w:val="22"/>
                <w:lang w:val="en-ZA"/>
              </w:rPr>
            </w:pPr>
            <w:r w:rsidRPr="006A453F">
              <w:rPr>
                <w:rFonts w:eastAsia="Calibri" w:cs="Times New Roman"/>
                <w:sz w:val="22"/>
                <w:lang w:val="en-ZA"/>
              </w:rPr>
              <w:t>7.9%</w:t>
            </w:r>
          </w:p>
        </w:tc>
      </w:tr>
    </w:tbl>
    <w:p w14:paraId="083A61B5" w14:textId="77777777" w:rsidR="00BA6962" w:rsidRPr="00881795" w:rsidRDefault="006A453F" w:rsidP="006A453F">
      <w:pPr>
        <w:pStyle w:val="Caption"/>
      </w:pPr>
      <w:bookmarkStart w:id="412" w:name="_Toc510622307"/>
      <w:r>
        <w:t xml:space="preserve">Table </w:t>
      </w:r>
      <w:r w:rsidR="00B918A6">
        <w:fldChar w:fldCharType="begin"/>
      </w:r>
      <w:r w:rsidR="00B918A6">
        <w:instrText xml:space="preserve"> SEQ Table \* ARABIC </w:instrText>
      </w:r>
      <w:r w:rsidR="00B918A6">
        <w:fldChar w:fldCharType="separate"/>
      </w:r>
      <w:r w:rsidR="0067023A">
        <w:rPr>
          <w:noProof/>
        </w:rPr>
        <w:t>57</w:t>
      </w:r>
      <w:r w:rsidR="00B918A6">
        <w:rPr>
          <w:noProof/>
        </w:rPr>
        <w:fldChar w:fldCharType="end"/>
      </w:r>
      <w:r>
        <w:t xml:space="preserve">: </w:t>
      </w:r>
      <w:r w:rsidR="00BA6962" w:rsidRPr="00881795">
        <w:t xml:space="preserve">uMlalazi LM – </w:t>
      </w:r>
      <w:bookmarkEnd w:id="410"/>
      <w:bookmarkEnd w:id="411"/>
      <w:r w:rsidR="00B72313">
        <w:t>Catering and Accommodation Sector Employment and GVA</w:t>
      </w:r>
      <w:bookmarkEnd w:id="412"/>
    </w:p>
    <w:p w14:paraId="42C2FF4C" w14:textId="77777777" w:rsidR="00BA6962" w:rsidRPr="00881795" w:rsidRDefault="00BA6962" w:rsidP="00395313">
      <w:pPr>
        <w:jc w:val="both"/>
        <w:rPr>
          <w:rFonts w:cs="Calibri"/>
          <w:szCs w:val="20"/>
          <w:lang w:bidi="en-US"/>
        </w:rPr>
      </w:pPr>
      <w:r w:rsidRPr="00881795">
        <w:rPr>
          <w:rFonts w:cs="Calibri"/>
          <w:szCs w:val="20"/>
          <w:lang w:bidi="en-US"/>
        </w:rPr>
        <w:t xml:space="preserve">Eshowe, Mtunzini and Gingindlovu are the three main towns in uMlalazi and offer an array of choices for domestic as well as international tourists. Eshowe, a City Set on a Hill, is situated around a 250 hectare indigenous coastal scrub forest. The Dlinza Forest Aerial Boardwalk, the first in Southern Africa and exclusive to </w:t>
      </w:r>
      <w:r w:rsidR="00703CE6" w:rsidRPr="00881795">
        <w:rPr>
          <w:rFonts w:cs="Calibri"/>
          <w:szCs w:val="20"/>
          <w:lang w:bidi="en-US"/>
        </w:rPr>
        <w:t>Eshowe and</w:t>
      </w:r>
      <w:r w:rsidRPr="00881795">
        <w:rPr>
          <w:rFonts w:cs="Calibri"/>
          <w:szCs w:val="20"/>
          <w:lang w:bidi="en-US"/>
        </w:rPr>
        <w:t xml:space="preserve"> the second in the world (the first was built in Mali), is a 160 </w:t>
      </w:r>
      <w:r w:rsidR="008D130F" w:rsidRPr="00881795">
        <w:rPr>
          <w:rFonts w:cs="Calibri"/>
          <w:szCs w:val="20"/>
          <w:lang w:bidi="en-US"/>
        </w:rPr>
        <w:t>meter</w:t>
      </w:r>
      <w:r w:rsidRPr="00881795">
        <w:rPr>
          <w:rFonts w:cs="Calibri"/>
          <w:szCs w:val="20"/>
          <w:lang w:bidi="en-US"/>
        </w:rPr>
        <w:t xml:space="preserve"> </w:t>
      </w:r>
      <w:r w:rsidR="00703CE6" w:rsidRPr="00881795">
        <w:rPr>
          <w:rFonts w:cs="Calibri"/>
          <w:szCs w:val="20"/>
          <w:lang w:bidi="en-US"/>
        </w:rPr>
        <w:t>long walkway</w:t>
      </w:r>
      <w:r w:rsidRPr="00881795">
        <w:rPr>
          <w:rFonts w:cs="Calibri"/>
          <w:szCs w:val="20"/>
          <w:lang w:bidi="en-US"/>
        </w:rPr>
        <w:t xml:space="preserve"> built above the forest floor, which allows visitors to view flora, fauna and avifauna – it has a platform of 20 </w:t>
      </w:r>
      <w:r w:rsidR="009B286E" w:rsidRPr="00881795">
        <w:rPr>
          <w:rFonts w:cs="Calibri"/>
          <w:szCs w:val="20"/>
          <w:lang w:bidi="en-US"/>
        </w:rPr>
        <w:t>meters</w:t>
      </w:r>
      <w:r w:rsidRPr="00881795">
        <w:rPr>
          <w:rFonts w:cs="Calibri"/>
          <w:szCs w:val="20"/>
          <w:lang w:bidi="en-US"/>
        </w:rPr>
        <w:t xml:space="preserve"> above the forest </w:t>
      </w:r>
      <w:r w:rsidR="00703CE6" w:rsidRPr="00881795">
        <w:rPr>
          <w:rFonts w:cs="Calibri"/>
          <w:szCs w:val="20"/>
          <w:lang w:bidi="en-US"/>
        </w:rPr>
        <w:t>floor. The</w:t>
      </w:r>
      <w:r w:rsidRPr="00881795">
        <w:rPr>
          <w:rFonts w:cs="Calibri"/>
          <w:szCs w:val="20"/>
          <w:lang w:bidi="en-US"/>
        </w:rPr>
        <w:t xml:space="preserve"> Boardwalk employs two trained birding guides. Some of the flora and fauna that exist in the forest are the Green Coucal, Crowned Eagles and Spotted Thrush. The Ironwoods, Wild Plums and other giants give shelter to Orchids, Clivias, Bushbuck, Duiker, Narina Trogons, Delegorgues’s Pigeon and Wood Eshowe.  </w:t>
      </w:r>
    </w:p>
    <w:p w14:paraId="4DC8D655" w14:textId="77777777" w:rsidR="00BA6962" w:rsidRPr="00881795" w:rsidRDefault="00BA6962" w:rsidP="00395313">
      <w:pPr>
        <w:jc w:val="both"/>
        <w:rPr>
          <w:rFonts w:cs="Calibri"/>
          <w:szCs w:val="20"/>
          <w:lang w:bidi="en-US"/>
        </w:rPr>
      </w:pPr>
      <w:r w:rsidRPr="00881795">
        <w:rPr>
          <w:rFonts w:cs="Calibri"/>
          <w:szCs w:val="20"/>
          <w:lang w:bidi="en-US"/>
        </w:rPr>
        <w:t xml:space="preserve">Eshowe offers a window on history as it is the oldest town in Zululand. King </w:t>
      </w:r>
      <w:r w:rsidR="00703CE6" w:rsidRPr="00881795">
        <w:rPr>
          <w:rFonts w:cs="Calibri"/>
          <w:szCs w:val="20"/>
          <w:lang w:bidi="en-US"/>
        </w:rPr>
        <w:t>Cetshwayo</w:t>
      </w:r>
      <w:r w:rsidRPr="00881795">
        <w:rPr>
          <w:rFonts w:cs="Calibri"/>
          <w:szCs w:val="20"/>
          <w:lang w:bidi="en-US"/>
        </w:rPr>
        <w:t xml:space="preserve"> was born and died here and it was King Mpande who first invited the Norwegian missionary, the Reverend Ommund Oftebro to settle his mission station here in 1861, thereby forever changing the face of Eshowe.</w:t>
      </w:r>
    </w:p>
    <w:p w14:paraId="2CD35EE9" w14:textId="77777777" w:rsidR="003E0BBE" w:rsidRDefault="00BA6962" w:rsidP="00395313">
      <w:pPr>
        <w:jc w:val="both"/>
        <w:rPr>
          <w:rFonts w:cs="Calibri"/>
          <w:szCs w:val="20"/>
          <w:lang w:bidi="en-US"/>
        </w:rPr>
      </w:pPr>
      <w:r w:rsidRPr="00881795">
        <w:rPr>
          <w:rFonts w:cs="Calibri"/>
          <w:szCs w:val="20"/>
          <w:lang w:bidi="en-US"/>
        </w:rPr>
        <w:t xml:space="preserve">Mtunzini is </w:t>
      </w:r>
      <w:r w:rsidR="008D130F" w:rsidRPr="00881795">
        <w:rPr>
          <w:rFonts w:cs="Calibri"/>
          <w:szCs w:val="20"/>
          <w:lang w:bidi="en-US"/>
        </w:rPr>
        <w:t>characterized</w:t>
      </w:r>
      <w:r w:rsidRPr="00881795">
        <w:rPr>
          <w:rFonts w:cs="Calibri"/>
          <w:szCs w:val="20"/>
          <w:lang w:bidi="en-US"/>
        </w:rPr>
        <w:t xml:space="preserve"> by natural beauty and is a popular coastal town. </w:t>
      </w:r>
      <w:r w:rsidR="00703CE6" w:rsidRPr="00881795">
        <w:rPr>
          <w:rFonts w:cs="Calibri"/>
          <w:szCs w:val="20"/>
          <w:lang w:bidi="en-US"/>
        </w:rPr>
        <w:t>UMlalazi</w:t>
      </w:r>
      <w:r w:rsidRPr="00881795">
        <w:rPr>
          <w:rFonts w:cs="Calibri"/>
          <w:szCs w:val="20"/>
          <w:lang w:bidi="en-US"/>
        </w:rPr>
        <w:t xml:space="preserve"> Nature Reserve, controlled by Ezemvelo KwaZulu-Natal Wildlife, covers 1 028 hectares. The uMlalazi Reserve and the Amatikulu Reserve together form the </w:t>
      </w:r>
      <w:r w:rsidR="00703CE6" w:rsidRPr="00881795">
        <w:rPr>
          <w:rFonts w:cs="Calibri"/>
          <w:szCs w:val="20"/>
          <w:lang w:bidi="en-US"/>
        </w:rPr>
        <w:t>Siyaya</w:t>
      </w:r>
      <w:r w:rsidRPr="00881795">
        <w:rPr>
          <w:rFonts w:cs="Calibri"/>
          <w:szCs w:val="20"/>
          <w:lang w:bidi="en-US"/>
        </w:rPr>
        <w:t xml:space="preserve"> Coastal Reserve, which stretches from the uMlalazi River in the north, in a narrow band along the coast southwards almost to the Thukela (Tugela) River. Amatikulu Reserve and access is via the N2 approximately 30 km south of Mtunzini. There are 5 different ecosystems, namely estuarine, dune scrub, dune forest, coastal riverine and coastal forest which </w:t>
      </w:r>
      <w:r w:rsidR="008D130F" w:rsidRPr="00881795">
        <w:rPr>
          <w:rFonts w:cs="Calibri"/>
          <w:szCs w:val="20"/>
          <w:lang w:bidi="en-US"/>
        </w:rPr>
        <w:t>characterize</w:t>
      </w:r>
      <w:r w:rsidRPr="00881795">
        <w:rPr>
          <w:rFonts w:cs="Calibri"/>
          <w:szCs w:val="20"/>
          <w:lang w:bidi="en-US"/>
        </w:rPr>
        <w:t xml:space="preserve"> the Mtunzini area providing diverse natural environment. There is a thriving population of giraffe as well as waterbuck and a number of smaller antelope.</w:t>
      </w:r>
    </w:p>
    <w:p w14:paraId="43ECD6ED" w14:textId="77777777" w:rsidR="00B06A68" w:rsidRDefault="00BA6962" w:rsidP="00A62BDC">
      <w:pPr>
        <w:spacing w:line="288" w:lineRule="auto"/>
        <w:jc w:val="both"/>
        <w:rPr>
          <w:rFonts w:cs="Calibri"/>
          <w:szCs w:val="20"/>
          <w:lang w:bidi="en-US"/>
        </w:rPr>
      </w:pPr>
      <w:r w:rsidRPr="00881795">
        <w:rPr>
          <w:rFonts w:cs="Calibri"/>
          <w:szCs w:val="20"/>
          <w:lang w:bidi="en-US"/>
        </w:rPr>
        <w:t xml:space="preserve">The uMlalazi Municipality has vast potential for enhancing tourism in the area but the access by road is </w:t>
      </w:r>
      <w:r w:rsidR="00703CE6" w:rsidRPr="00881795">
        <w:rPr>
          <w:rFonts w:cs="Calibri"/>
          <w:szCs w:val="20"/>
          <w:lang w:bidi="en-US"/>
        </w:rPr>
        <w:t>problematic</w:t>
      </w:r>
      <w:r w:rsidRPr="00881795">
        <w:rPr>
          <w:rFonts w:cs="Calibri"/>
          <w:szCs w:val="20"/>
          <w:lang w:bidi="en-US"/>
        </w:rPr>
        <w:t xml:space="preserve"> as the areas are mountainous with forest. The Goedertrouw/Phobane Dam offers the opportunity for a range of water sports, together with camping and picnic spots, however this need to be developed still and once completed will assist local </w:t>
      </w:r>
      <w:r w:rsidR="00703CE6" w:rsidRPr="00881795">
        <w:rPr>
          <w:rFonts w:cs="Calibri"/>
          <w:szCs w:val="20"/>
          <w:lang w:bidi="en-US"/>
        </w:rPr>
        <w:t>communities</w:t>
      </w:r>
      <w:r w:rsidRPr="00881795">
        <w:rPr>
          <w:rFonts w:cs="Calibri"/>
          <w:szCs w:val="20"/>
          <w:lang w:bidi="en-US"/>
        </w:rPr>
        <w:t xml:space="preserve"> with jobs and upliftment.   It is supplementary to the areas of eco-tourism in the uMlalazi area. Thukela Valley is an area of outstanding scenic beauty and represents rugged countryside. </w:t>
      </w:r>
    </w:p>
    <w:p w14:paraId="6FFE2A78" w14:textId="77777777" w:rsidR="00A62BDC" w:rsidRPr="00A62BDC" w:rsidRDefault="00A62BDC" w:rsidP="00A62BDC">
      <w:pPr>
        <w:jc w:val="both"/>
        <w:rPr>
          <w:rFonts w:cs="Calibri"/>
          <w:szCs w:val="20"/>
          <w:lang w:bidi="en-US"/>
        </w:rPr>
      </w:pPr>
      <w:r w:rsidRPr="00A62BDC">
        <w:rPr>
          <w:rFonts w:cs="Calibri"/>
          <w:szCs w:val="20"/>
          <w:lang w:bidi="en-US"/>
        </w:rPr>
        <w:t xml:space="preserve">The </w:t>
      </w:r>
      <w:r w:rsidR="009B286E" w:rsidRPr="00A62BDC">
        <w:rPr>
          <w:rFonts w:cs="Calibri"/>
          <w:szCs w:val="20"/>
          <w:lang w:bidi="en-US"/>
        </w:rPr>
        <w:t>Eshowe</w:t>
      </w:r>
      <w:r w:rsidRPr="00A62BDC">
        <w:rPr>
          <w:rFonts w:cs="Calibri"/>
          <w:szCs w:val="20"/>
          <w:lang w:bidi="en-US"/>
        </w:rPr>
        <w:t xml:space="preserve"> Butterfly Dome is located adjacent to Nongqyai Museum Village, in </w:t>
      </w:r>
      <w:r w:rsidR="009B286E" w:rsidRPr="00A62BDC">
        <w:rPr>
          <w:rFonts w:cs="Calibri"/>
          <w:szCs w:val="20"/>
          <w:lang w:bidi="en-US"/>
        </w:rPr>
        <w:t>Eshowe</w:t>
      </w:r>
      <w:r w:rsidRPr="00A62BDC">
        <w:rPr>
          <w:rFonts w:cs="Calibri"/>
          <w:szCs w:val="20"/>
          <w:lang w:bidi="en-US"/>
        </w:rPr>
        <w:t>. It is an eco-tourism venture with the purpose of bringing future job opportunities to the community of the uMlalazi Municipality and educates school children and tourists on the value of indigenous vegetation and its connection with the associated insect species. The ultimate goal is biodiversity conservation awareness.</w:t>
      </w:r>
      <w:r>
        <w:rPr>
          <w:rFonts w:cs="Calibri"/>
          <w:szCs w:val="20"/>
          <w:lang w:bidi="en-US"/>
        </w:rPr>
        <w:t xml:space="preserve"> </w:t>
      </w:r>
      <w:r w:rsidRPr="00A62BDC">
        <w:rPr>
          <w:rFonts w:cs="Calibri"/>
          <w:szCs w:val="20"/>
          <w:lang w:bidi="en-US"/>
        </w:rPr>
        <w:t>The dome is a 20m x 10m geodesic structure covered with insect netting. Inside it is landscaped with indigenous butterfly host plants in order for the butterflies to undergo several life cycles and keeping a steady population of different species.</w:t>
      </w:r>
      <w:r>
        <w:rPr>
          <w:rFonts w:cs="Calibri"/>
          <w:szCs w:val="20"/>
          <w:lang w:bidi="en-US"/>
        </w:rPr>
        <w:t xml:space="preserve"> </w:t>
      </w:r>
      <w:r w:rsidRPr="00A62BDC">
        <w:rPr>
          <w:rFonts w:cs="Calibri"/>
          <w:szCs w:val="20"/>
          <w:lang w:bidi="en-US"/>
        </w:rPr>
        <w:t>All the butterflies inside the dome are indigenous in South Africa. The person in charge of breeding butterflies, collect few females from the wild and releases them into a breeding cage. There, the butterflies lay eggs which then are collected by the staff member. When the eggs hatch, the caterpillars are raised till they reach the pupa stage. Then they will move the chrysalides to the butterfly dome where they eventually will hatch. Therefore, all the butterflies inside the dome are raised in captivity.</w:t>
      </w:r>
      <w:r>
        <w:rPr>
          <w:rFonts w:cs="Calibri"/>
          <w:szCs w:val="20"/>
          <w:lang w:bidi="en-US"/>
        </w:rPr>
        <w:t xml:space="preserve"> </w:t>
      </w:r>
      <w:r w:rsidR="009B286E" w:rsidRPr="00A62BDC">
        <w:rPr>
          <w:rFonts w:cs="Calibri"/>
          <w:szCs w:val="20"/>
          <w:lang w:bidi="en-US"/>
        </w:rPr>
        <w:t>The Eshowe Butterfly Dome is part of the Butterfly Route, which is an initiative of African Conservation Trust out of a request by Dr</w:t>
      </w:r>
      <w:r w:rsidR="009B286E">
        <w:rPr>
          <w:rFonts w:cs="Calibri"/>
          <w:szCs w:val="20"/>
          <w:lang w:bidi="en-US"/>
        </w:rPr>
        <w:t>.</w:t>
      </w:r>
      <w:r w:rsidR="009B286E" w:rsidRPr="00A62BDC">
        <w:rPr>
          <w:rFonts w:cs="Calibri"/>
          <w:szCs w:val="20"/>
          <w:lang w:bidi="en-US"/>
        </w:rPr>
        <w:t xml:space="preserve"> Americo Bonkewitzz to establish a community based Indigenous Butterfly education project specifically for the children of uMlalazi.</w:t>
      </w:r>
      <w:r w:rsidR="009B286E">
        <w:rPr>
          <w:rFonts w:cs="Calibri"/>
          <w:szCs w:val="20"/>
          <w:lang w:bidi="en-US"/>
        </w:rPr>
        <w:t xml:space="preserve"> </w:t>
      </w:r>
      <w:r w:rsidRPr="00A62BDC">
        <w:rPr>
          <w:rFonts w:cs="Calibri"/>
          <w:szCs w:val="20"/>
          <w:lang w:bidi="en-US"/>
        </w:rPr>
        <w:t>The Eshowe Butterfly Dome is committed to the enlightment of the local people about the pristine environment, the importance of the forest and the role of the insect fauna in the ecosystem and the advantage over other towns, to have a pristine natural indigenous forest within the town of Eshowe.</w:t>
      </w:r>
    </w:p>
    <w:p w14:paraId="04B03EC6" w14:textId="77777777" w:rsidR="00767DBC" w:rsidRDefault="00BA6962" w:rsidP="00395313">
      <w:pPr>
        <w:spacing w:line="288" w:lineRule="auto"/>
        <w:jc w:val="both"/>
        <w:rPr>
          <w:rFonts w:cs="Calibri"/>
          <w:szCs w:val="20"/>
          <w:lang w:bidi="en-US"/>
        </w:rPr>
      </w:pPr>
      <w:r w:rsidRPr="00881795">
        <w:rPr>
          <w:rFonts w:cs="Calibri"/>
          <w:szCs w:val="20"/>
          <w:lang w:bidi="en-US"/>
        </w:rPr>
        <w:t xml:space="preserve">Currently there are </w:t>
      </w:r>
      <w:r w:rsidRPr="00C83B6B">
        <w:rPr>
          <w:rFonts w:cs="Calibri"/>
          <w:szCs w:val="20"/>
          <w:lang w:bidi="en-US"/>
        </w:rPr>
        <w:t>many attractive tourist sites with many bed and breakfasts in the uMlalazi area which draw large number tourists to the area.</w:t>
      </w:r>
      <w:r w:rsidR="00B12913" w:rsidRPr="00C83B6B">
        <w:rPr>
          <w:rFonts w:cs="Calibri"/>
          <w:szCs w:val="20"/>
          <w:lang w:bidi="en-US"/>
        </w:rPr>
        <w:t xml:space="preserve"> The uMlalazi LM prides itself in the private development of Aloedale Guest House</w:t>
      </w:r>
      <w:r w:rsidR="0083594F" w:rsidRPr="00C83B6B">
        <w:rPr>
          <w:rFonts w:cs="Calibri"/>
          <w:szCs w:val="20"/>
          <w:lang w:bidi="en-US"/>
        </w:rPr>
        <w:t xml:space="preserve"> which is a 46 bed hotel which is being upgraded from a 20 bed guest house.</w:t>
      </w:r>
      <w:r w:rsidR="0083594F">
        <w:rPr>
          <w:rFonts w:cs="Calibri"/>
          <w:szCs w:val="20"/>
          <w:lang w:bidi="en-US"/>
        </w:rPr>
        <w:t xml:space="preserve"> </w:t>
      </w:r>
    </w:p>
    <w:p w14:paraId="7864EB19" w14:textId="77777777" w:rsidR="0037082E" w:rsidRPr="00C83B6B" w:rsidRDefault="0037082E" w:rsidP="00750180">
      <w:pPr>
        <w:pStyle w:val="Heading4"/>
        <w:numPr>
          <w:ilvl w:val="3"/>
          <w:numId w:val="29"/>
        </w:numPr>
        <w:spacing w:after="240"/>
      </w:pPr>
      <w:bookmarkStart w:id="413" w:name="_Toc389739967"/>
      <w:r w:rsidRPr="00C83B6B">
        <w:t>Manufacturing (Industrial)</w:t>
      </w:r>
      <w:bookmarkEnd w:id="413"/>
    </w:p>
    <w:p w14:paraId="529C0EA0" w14:textId="77777777" w:rsidR="009A4D10" w:rsidRDefault="009A4D10" w:rsidP="009A4D10">
      <w:pPr>
        <w:spacing w:line="288" w:lineRule="auto"/>
        <w:jc w:val="both"/>
        <w:rPr>
          <w:rFonts w:cs="Calibri"/>
          <w:color w:val="000000" w:themeColor="text1"/>
        </w:rPr>
      </w:pPr>
      <w:r w:rsidRPr="009A4D10">
        <w:rPr>
          <w:rFonts w:cs="Calibri"/>
          <w:color w:val="000000" w:themeColor="text1"/>
        </w:rPr>
        <w:t>The manufacturing sector in uMlalazi is largely influenced by the agricultural sector. This is because of the sugar mill located at Amatikulu.</w:t>
      </w:r>
      <w:r>
        <w:rPr>
          <w:rFonts w:cs="Calibri"/>
          <w:color w:val="000000" w:themeColor="text1"/>
        </w:rPr>
        <w:t xml:space="preserve"> </w:t>
      </w:r>
      <w:r w:rsidRPr="009A4D10">
        <w:rPr>
          <w:rFonts w:cs="Calibri"/>
          <w:color w:val="000000" w:themeColor="text1"/>
        </w:rPr>
        <w:t xml:space="preserve">The manufacturing sector is currently the second biggest contributor to GVA in the uMlalazi Municipality with a contribution of 18.5%, while the sector is the biggest contributor at a district level with a contribution of 26.8% to the </w:t>
      </w:r>
      <w:r w:rsidR="001D792E">
        <w:rPr>
          <w:rFonts w:cs="Calibri"/>
          <w:color w:val="000000" w:themeColor="text1"/>
        </w:rPr>
        <w:t>King Cetshwayo</w:t>
      </w:r>
      <w:r w:rsidRPr="009A4D10">
        <w:rPr>
          <w:rFonts w:cs="Calibri"/>
          <w:color w:val="000000" w:themeColor="text1"/>
        </w:rPr>
        <w:t xml:space="preserve"> </w:t>
      </w:r>
      <w:r w:rsidR="003C03FA">
        <w:rPr>
          <w:rFonts w:cs="Calibri"/>
          <w:color w:val="000000" w:themeColor="text1"/>
        </w:rPr>
        <w:t>District</w:t>
      </w:r>
      <w:r w:rsidRPr="009A4D10">
        <w:rPr>
          <w:rFonts w:cs="Calibri"/>
          <w:color w:val="000000" w:themeColor="text1"/>
        </w:rPr>
        <w:t xml:space="preserve"> GVA. The </w:t>
      </w:r>
      <w:r>
        <w:rPr>
          <w:rFonts w:cs="Calibri"/>
          <w:color w:val="000000" w:themeColor="text1"/>
        </w:rPr>
        <w:t>following table</w:t>
      </w:r>
      <w:r w:rsidRPr="009A4D10">
        <w:rPr>
          <w:rFonts w:cs="Calibri"/>
          <w:color w:val="000000" w:themeColor="text1"/>
        </w:rPr>
        <w:t xml:space="preserve"> provides an indication of the quantity and average annual growth rate of employment and GVA in manufacturing for the Province, </w:t>
      </w:r>
      <w:r w:rsidR="003C03FA">
        <w:rPr>
          <w:rFonts w:cs="Calibri"/>
          <w:color w:val="000000" w:themeColor="text1"/>
        </w:rPr>
        <w:t>District</w:t>
      </w:r>
      <w:r w:rsidRPr="009A4D10">
        <w:rPr>
          <w:rFonts w:cs="Calibri"/>
          <w:color w:val="000000" w:themeColor="text1"/>
        </w:rPr>
        <w:t xml:space="preserve"> and uMlalazi Local Municipality.</w:t>
      </w:r>
    </w:p>
    <w:tbl>
      <w:tblPr>
        <w:tblStyle w:val="TableGrid"/>
        <w:tblW w:w="0" w:type="auto"/>
        <w:tblLook w:val="04A0" w:firstRow="1" w:lastRow="0" w:firstColumn="1" w:lastColumn="0" w:noHBand="0" w:noVBand="1"/>
      </w:tblPr>
      <w:tblGrid>
        <w:gridCol w:w="1768"/>
        <w:gridCol w:w="2107"/>
        <w:gridCol w:w="1985"/>
        <w:gridCol w:w="1883"/>
        <w:gridCol w:w="1766"/>
      </w:tblGrid>
      <w:tr w:rsidR="00C83B6B" w:rsidRPr="006A453F" w14:paraId="00BF3CAC" w14:textId="77777777" w:rsidTr="00C83B6B">
        <w:trPr>
          <w:trHeight w:val="527"/>
        </w:trPr>
        <w:tc>
          <w:tcPr>
            <w:tcW w:w="1768" w:type="dxa"/>
            <w:shd w:val="clear" w:color="auto" w:fill="000000" w:themeFill="text1"/>
          </w:tcPr>
          <w:p w14:paraId="47E9E35F" w14:textId="77777777" w:rsidR="00C83B6B" w:rsidRPr="006A453F" w:rsidRDefault="00C83B6B" w:rsidP="00C83B6B">
            <w:pPr>
              <w:rPr>
                <w:rFonts w:eastAsia="Calibri" w:cs="Times New Roman"/>
                <w:b/>
                <w:sz w:val="22"/>
                <w:lang w:val="en-ZA"/>
              </w:rPr>
            </w:pPr>
          </w:p>
        </w:tc>
        <w:tc>
          <w:tcPr>
            <w:tcW w:w="2107" w:type="dxa"/>
            <w:shd w:val="clear" w:color="auto" w:fill="000000" w:themeFill="text1"/>
          </w:tcPr>
          <w:p w14:paraId="72C485C8" w14:textId="77777777" w:rsidR="00C83B6B" w:rsidRPr="006A453F" w:rsidRDefault="00C83B6B" w:rsidP="00C83B6B">
            <w:pPr>
              <w:rPr>
                <w:rFonts w:eastAsia="Calibri" w:cs="Times New Roman"/>
                <w:b/>
                <w:sz w:val="22"/>
                <w:lang w:val="en-ZA"/>
              </w:rPr>
            </w:pPr>
            <w:r w:rsidRPr="006A453F">
              <w:rPr>
                <w:rFonts w:eastAsia="Calibri" w:cs="Times New Roman"/>
                <w:b/>
                <w:sz w:val="22"/>
                <w:lang w:val="en-ZA"/>
              </w:rPr>
              <w:t>Employment in 2011</w:t>
            </w:r>
          </w:p>
        </w:tc>
        <w:tc>
          <w:tcPr>
            <w:tcW w:w="1985" w:type="dxa"/>
            <w:shd w:val="clear" w:color="auto" w:fill="000000" w:themeFill="text1"/>
          </w:tcPr>
          <w:p w14:paraId="784D346D" w14:textId="77777777" w:rsidR="00C83B6B" w:rsidRPr="006A453F" w:rsidRDefault="00C83B6B" w:rsidP="00C83B6B">
            <w:pPr>
              <w:rPr>
                <w:rFonts w:eastAsia="Calibri" w:cs="Times New Roman"/>
                <w:b/>
                <w:sz w:val="22"/>
                <w:lang w:val="en-ZA"/>
              </w:rPr>
            </w:pPr>
            <w:r w:rsidRPr="006A453F">
              <w:rPr>
                <w:rFonts w:eastAsia="Calibri" w:cs="Times New Roman"/>
                <w:b/>
                <w:sz w:val="22"/>
                <w:lang w:val="en-ZA"/>
              </w:rPr>
              <w:t>Average Annual Growth 2001-11</w:t>
            </w:r>
          </w:p>
        </w:tc>
        <w:tc>
          <w:tcPr>
            <w:tcW w:w="1883" w:type="dxa"/>
            <w:shd w:val="clear" w:color="auto" w:fill="000000" w:themeFill="text1"/>
          </w:tcPr>
          <w:p w14:paraId="44E133A8" w14:textId="77777777" w:rsidR="00C83B6B" w:rsidRPr="006A453F" w:rsidRDefault="00C83B6B" w:rsidP="00C83B6B">
            <w:pPr>
              <w:rPr>
                <w:rFonts w:eastAsia="Calibri" w:cs="Times New Roman"/>
                <w:b/>
                <w:sz w:val="22"/>
                <w:lang w:val="en-ZA"/>
              </w:rPr>
            </w:pPr>
            <w:r w:rsidRPr="006A453F">
              <w:rPr>
                <w:rFonts w:eastAsia="Calibri" w:cs="Times New Roman"/>
                <w:b/>
                <w:sz w:val="22"/>
                <w:lang w:val="en-ZA"/>
              </w:rPr>
              <w:t>GVA (Current Prices) in 2011</w:t>
            </w:r>
          </w:p>
        </w:tc>
        <w:tc>
          <w:tcPr>
            <w:tcW w:w="1766" w:type="dxa"/>
            <w:shd w:val="clear" w:color="auto" w:fill="000000" w:themeFill="text1"/>
          </w:tcPr>
          <w:p w14:paraId="0E8789D4" w14:textId="77777777" w:rsidR="00C83B6B" w:rsidRPr="006A453F" w:rsidRDefault="00C83B6B" w:rsidP="00C83B6B">
            <w:pPr>
              <w:rPr>
                <w:rFonts w:eastAsia="Calibri" w:cs="Times New Roman"/>
                <w:b/>
                <w:sz w:val="22"/>
                <w:lang w:val="en-ZA"/>
              </w:rPr>
            </w:pPr>
            <w:r w:rsidRPr="006A453F">
              <w:rPr>
                <w:rFonts w:eastAsia="Calibri" w:cs="Times New Roman"/>
                <w:b/>
                <w:sz w:val="22"/>
                <w:lang w:val="en-ZA"/>
              </w:rPr>
              <w:t>Real Average Annual Growth Rate (2001-11)</w:t>
            </w:r>
          </w:p>
        </w:tc>
      </w:tr>
      <w:tr w:rsidR="00C83B6B" w:rsidRPr="006A453F" w14:paraId="29A416E0" w14:textId="77777777" w:rsidTr="00C83B6B">
        <w:trPr>
          <w:trHeight w:val="179"/>
        </w:trPr>
        <w:tc>
          <w:tcPr>
            <w:tcW w:w="1768" w:type="dxa"/>
          </w:tcPr>
          <w:p w14:paraId="43873DDE" w14:textId="77777777" w:rsidR="00C83B6B" w:rsidRPr="006A453F" w:rsidRDefault="00C83B6B" w:rsidP="00C83B6B">
            <w:pPr>
              <w:rPr>
                <w:rFonts w:eastAsia="Calibri" w:cs="Times New Roman"/>
                <w:sz w:val="22"/>
                <w:lang w:val="en-ZA"/>
              </w:rPr>
            </w:pPr>
            <w:r w:rsidRPr="006A453F">
              <w:rPr>
                <w:rFonts w:eastAsia="Calibri" w:cs="Times New Roman"/>
                <w:sz w:val="22"/>
                <w:lang w:val="en-ZA"/>
              </w:rPr>
              <w:t>KwaZulu-Natal</w:t>
            </w:r>
          </w:p>
        </w:tc>
        <w:tc>
          <w:tcPr>
            <w:tcW w:w="2107" w:type="dxa"/>
          </w:tcPr>
          <w:p w14:paraId="365D4E02" w14:textId="77777777" w:rsidR="00C83B6B" w:rsidRPr="006A453F" w:rsidRDefault="00C83B6B" w:rsidP="00C83B6B">
            <w:pPr>
              <w:rPr>
                <w:rFonts w:eastAsia="Calibri" w:cs="Times New Roman"/>
                <w:sz w:val="22"/>
                <w:lang w:val="en-ZA"/>
              </w:rPr>
            </w:pPr>
            <w:r>
              <w:rPr>
                <w:rFonts w:eastAsia="Calibri" w:cs="Times New Roman"/>
                <w:sz w:val="22"/>
                <w:lang w:val="en-ZA"/>
              </w:rPr>
              <w:t>286 842</w:t>
            </w:r>
          </w:p>
        </w:tc>
        <w:tc>
          <w:tcPr>
            <w:tcW w:w="1985" w:type="dxa"/>
          </w:tcPr>
          <w:p w14:paraId="3486784C" w14:textId="77777777" w:rsidR="00C83B6B" w:rsidRPr="006A453F" w:rsidRDefault="00C83B6B" w:rsidP="00C83B6B">
            <w:pPr>
              <w:rPr>
                <w:rFonts w:eastAsia="Calibri" w:cs="Times New Roman"/>
                <w:sz w:val="22"/>
                <w:lang w:val="en-ZA"/>
              </w:rPr>
            </w:pPr>
            <w:r>
              <w:rPr>
                <w:rFonts w:eastAsia="Calibri" w:cs="Times New Roman"/>
                <w:sz w:val="22"/>
                <w:lang w:val="en-ZA"/>
              </w:rPr>
              <w:t>-2.0</w:t>
            </w:r>
            <w:r w:rsidRPr="006A453F">
              <w:rPr>
                <w:rFonts w:eastAsia="Calibri" w:cs="Times New Roman"/>
                <w:sz w:val="22"/>
                <w:lang w:val="en-ZA"/>
              </w:rPr>
              <w:t>%</w:t>
            </w:r>
          </w:p>
        </w:tc>
        <w:tc>
          <w:tcPr>
            <w:tcW w:w="1883" w:type="dxa"/>
          </w:tcPr>
          <w:p w14:paraId="25C1BFB9" w14:textId="77777777" w:rsidR="00C83B6B" w:rsidRPr="006A453F" w:rsidRDefault="00C83B6B" w:rsidP="00C83B6B">
            <w:pPr>
              <w:rPr>
                <w:rFonts w:eastAsia="Calibri" w:cs="Times New Roman"/>
                <w:sz w:val="22"/>
                <w:lang w:val="en-ZA"/>
              </w:rPr>
            </w:pPr>
            <w:r w:rsidRPr="006A453F">
              <w:rPr>
                <w:rFonts w:eastAsia="Calibri" w:cs="Times New Roman"/>
                <w:sz w:val="22"/>
                <w:lang w:val="en-ZA"/>
              </w:rPr>
              <w:t xml:space="preserve">R </w:t>
            </w:r>
            <w:r>
              <w:rPr>
                <w:rFonts w:eastAsia="Calibri" w:cs="Times New Roman"/>
                <w:sz w:val="22"/>
                <w:lang w:val="en-ZA"/>
              </w:rPr>
              <w:t>7</w:t>
            </w:r>
            <w:r w:rsidRPr="006A453F">
              <w:rPr>
                <w:rFonts w:eastAsia="Calibri" w:cs="Times New Roman"/>
                <w:sz w:val="22"/>
                <w:lang w:val="en-ZA"/>
              </w:rPr>
              <w:t>6 </w:t>
            </w:r>
            <w:r>
              <w:rPr>
                <w:rFonts w:eastAsia="Calibri" w:cs="Times New Roman"/>
                <w:sz w:val="22"/>
                <w:lang w:val="en-ZA"/>
              </w:rPr>
              <w:t>246 200 000</w:t>
            </w:r>
          </w:p>
        </w:tc>
        <w:tc>
          <w:tcPr>
            <w:tcW w:w="1766" w:type="dxa"/>
          </w:tcPr>
          <w:p w14:paraId="14E4D3F5" w14:textId="77777777" w:rsidR="00C83B6B" w:rsidRPr="006A453F" w:rsidRDefault="00C83B6B" w:rsidP="00C83B6B">
            <w:pPr>
              <w:rPr>
                <w:rFonts w:eastAsia="Calibri" w:cs="Times New Roman"/>
                <w:sz w:val="22"/>
                <w:lang w:val="en-ZA"/>
              </w:rPr>
            </w:pPr>
            <w:r>
              <w:rPr>
                <w:rFonts w:eastAsia="Calibri" w:cs="Times New Roman"/>
                <w:sz w:val="22"/>
                <w:lang w:val="en-ZA"/>
              </w:rPr>
              <w:t>2.4</w:t>
            </w:r>
            <w:r w:rsidRPr="006A453F">
              <w:rPr>
                <w:rFonts w:eastAsia="Calibri" w:cs="Times New Roman"/>
                <w:sz w:val="22"/>
                <w:lang w:val="en-ZA"/>
              </w:rPr>
              <w:t>%</w:t>
            </w:r>
          </w:p>
        </w:tc>
      </w:tr>
      <w:tr w:rsidR="00C83B6B" w:rsidRPr="006A453F" w14:paraId="41CC9853" w14:textId="77777777" w:rsidTr="00C83B6B">
        <w:trPr>
          <w:trHeight w:val="179"/>
        </w:trPr>
        <w:tc>
          <w:tcPr>
            <w:tcW w:w="1768" w:type="dxa"/>
          </w:tcPr>
          <w:p w14:paraId="170E640C" w14:textId="77777777" w:rsidR="00C83B6B" w:rsidRPr="006A453F" w:rsidRDefault="00C83B6B" w:rsidP="00C83B6B">
            <w:pPr>
              <w:rPr>
                <w:rFonts w:eastAsia="Calibri" w:cs="Times New Roman"/>
                <w:sz w:val="22"/>
                <w:lang w:val="en-ZA"/>
              </w:rPr>
            </w:pPr>
            <w:r w:rsidRPr="006A453F">
              <w:rPr>
                <w:rFonts w:eastAsia="Calibri" w:cs="Times New Roman"/>
                <w:sz w:val="22"/>
                <w:lang w:val="en-ZA"/>
              </w:rPr>
              <w:t>KCDM</w:t>
            </w:r>
          </w:p>
        </w:tc>
        <w:tc>
          <w:tcPr>
            <w:tcW w:w="2107" w:type="dxa"/>
          </w:tcPr>
          <w:p w14:paraId="1E20DD94" w14:textId="77777777" w:rsidR="00C83B6B" w:rsidRPr="006A453F" w:rsidRDefault="00C83B6B" w:rsidP="00C83B6B">
            <w:pPr>
              <w:rPr>
                <w:rFonts w:eastAsia="Calibri" w:cs="Times New Roman"/>
                <w:sz w:val="22"/>
                <w:lang w:val="en-ZA"/>
              </w:rPr>
            </w:pPr>
            <w:r>
              <w:rPr>
                <w:rFonts w:eastAsia="Calibri" w:cs="Times New Roman"/>
                <w:sz w:val="22"/>
                <w:lang w:val="en-ZA"/>
              </w:rPr>
              <w:t>18 039</w:t>
            </w:r>
          </w:p>
        </w:tc>
        <w:tc>
          <w:tcPr>
            <w:tcW w:w="1985" w:type="dxa"/>
          </w:tcPr>
          <w:p w14:paraId="6DE13999" w14:textId="77777777" w:rsidR="00C83B6B" w:rsidRPr="006A453F" w:rsidRDefault="00C83B6B" w:rsidP="00C83B6B">
            <w:pPr>
              <w:rPr>
                <w:rFonts w:eastAsia="Calibri" w:cs="Times New Roman"/>
                <w:sz w:val="22"/>
                <w:lang w:val="en-ZA"/>
              </w:rPr>
            </w:pPr>
            <w:r>
              <w:rPr>
                <w:rFonts w:eastAsia="Calibri" w:cs="Times New Roman"/>
                <w:sz w:val="22"/>
                <w:lang w:val="en-ZA"/>
              </w:rPr>
              <w:t>0.4</w:t>
            </w:r>
            <w:r w:rsidRPr="006A453F">
              <w:rPr>
                <w:rFonts w:eastAsia="Calibri" w:cs="Times New Roman"/>
                <w:sz w:val="22"/>
                <w:lang w:val="en-ZA"/>
              </w:rPr>
              <w:t>%</w:t>
            </w:r>
          </w:p>
        </w:tc>
        <w:tc>
          <w:tcPr>
            <w:tcW w:w="1883" w:type="dxa"/>
          </w:tcPr>
          <w:p w14:paraId="746BA3AE" w14:textId="77777777" w:rsidR="00C83B6B" w:rsidRPr="006A453F" w:rsidRDefault="00C83B6B" w:rsidP="00C83B6B">
            <w:pPr>
              <w:rPr>
                <w:rFonts w:eastAsia="Calibri" w:cs="Times New Roman"/>
                <w:sz w:val="22"/>
                <w:lang w:val="en-ZA"/>
              </w:rPr>
            </w:pPr>
            <w:r w:rsidRPr="006A453F">
              <w:rPr>
                <w:rFonts w:eastAsia="Calibri" w:cs="Times New Roman"/>
                <w:sz w:val="22"/>
                <w:lang w:val="en-ZA"/>
              </w:rPr>
              <w:t xml:space="preserve">R </w:t>
            </w:r>
            <w:r>
              <w:rPr>
                <w:rFonts w:eastAsia="Calibri" w:cs="Times New Roman"/>
                <w:sz w:val="22"/>
                <w:lang w:val="en-ZA"/>
              </w:rPr>
              <w:t>7 375 676 000</w:t>
            </w:r>
          </w:p>
        </w:tc>
        <w:tc>
          <w:tcPr>
            <w:tcW w:w="1766" w:type="dxa"/>
          </w:tcPr>
          <w:p w14:paraId="60734936" w14:textId="77777777" w:rsidR="00C83B6B" w:rsidRPr="006A453F" w:rsidRDefault="00C83B6B" w:rsidP="00C83B6B">
            <w:pPr>
              <w:rPr>
                <w:rFonts w:eastAsia="Calibri" w:cs="Times New Roman"/>
                <w:sz w:val="22"/>
                <w:lang w:val="en-ZA"/>
              </w:rPr>
            </w:pPr>
            <w:r>
              <w:rPr>
                <w:rFonts w:eastAsia="Calibri" w:cs="Times New Roman"/>
                <w:sz w:val="22"/>
                <w:lang w:val="en-ZA"/>
              </w:rPr>
              <w:t>2.6</w:t>
            </w:r>
            <w:r w:rsidRPr="006A453F">
              <w:rPr>
                <w:rFonts w:eastAsia="Calibri" w:cs="Times New Roman"/>
                <w:sz w:val="22"/>
                <w:lang w:val="en-ZA"/>
              </w:rPr>
              <w:t>%</w:t>
            </w:r>
          </w:p>
        </w:tc>
      </w:tr>
      <w:tr w:rsidR="00C83B6B" w:rsidRPr="006A453F" w14:paraId="5075EF7C" w14:textId="77777777" w:rsidTr="00C83B6B">
        <w:trPr>
          <w:trHeight w:val="169"/>
        </w:trPr>
        <w:tc>
          <w:tcPr>
            <w:tcW w:w="1768" w:type="dxa"/>
          </w:tcPr>
          <w:p w14:paraId="60FC7DB8" w14:textId="77777777" w:rsidR="00C83B6B" w:rsidRPr="006A453F" w:rsidRDefault="00C83B6B" w:rsidP="00C83B6B">
            <w:pPr>
              <w:rPr>
                <w:rFonts w:eastAsia="Calibri" w:cs="Times New Roman"/>
                <w:sz w:val="22"/>
                <w:lang w:val="en-ZA"/>
              </w:rPr>
            </w:pPr>
            <w:r w:rsidRPr="006A453F">
              <w:rPr>
                <w:rFonts w:eastAsia="Calibri" w:cs="Times New Roman"/>
                <w:sz w:val="22"/>
                <w:lang w:val="en-ZA"/>
              </w:rPr>
              <w:t>uMlalazi</w:t>
            </w:r>
          </w:p>
        </w:tc>
        <w:tc>
          <w:tcPr>
            <w:tcW w:w="2107" w:type="dxa"/>
          </w:tcPr>
          <w:p w14:paraId="516FE651" w14:textId="77777777" w:rsidR="00C83B6B" w:rsidRPr="006A453F" w:rsidRDefault="00C83B6B" w:rsidP="00C83B6B">
            <w:pPr>
              <w:rPr>
                <w:rFonts w:eastAsia="Calibri" w:cs="Times New Roman"/>
                <w:sz w:val="22"/>
                <w:lang w:val="en-ZA"/>
              </w:rPr>
            </w:pPr>
            <w:r>
              <w:rPr>
                <w:rFonts w:eastAsia="Calibri" w:cs="Times New Roman"/>
                <w:sz w:val="22"/>
                <w:lang w:val="en-ZA"/>
              </w:rPr>
              <w:t>2241</w:t>
            </w:r>
          </w:p>
        </w:tc>
        <w:tc>
          <w:tcPr>
            <w:tcW w:w="1985" w:type="dxa"/>
          </w:tcPr>
          <w:p w14:paraId="4CE38F89" w14:textId="77777777" w:rsidR="00C83B6B" w:rsidRPr="006A453F" w:rsidRDefault="00C83B6B" w:rsidP="00C83B6B">
            <w:pPr>
              <w:rPr>
                <w:rFonts w:eastAsia="Calibri" w:cs="Times New Roman"/>
                <w:sz w:val="22"/>
                <w:lang w:val="en-ZA"/>
              </w:rPr>
            </w:pPr>
            <w:r>
              <w:rPr>
                <w:rFonts w:eastAsia="Calibri" w:cs="Times New Roman"/>
                <w:sz w:val="22"/>
                <w:lang w:val="en-ZA"/>
              </w:rPr>
              <w:t>1.9</w:t>
            </w:r>
            <w:r w:rsidRPr="006A453F">
              <w:rPr>
                <w:rFonts w:eastAsia="Calibri" w:cs="Times New Roman"/>
                <w:sz w:val="22"/>
                <w:lang w:val="en-ZA"/>
              </w:rPr>
              <w:t>%</w:t>
            </w:r>
          </w:p>
        </w:tc>
        <w:tc>
          <w:tcPr>
            <w:tcW w:w="1883" w:type="dxa"/>
          </w:tcPr>
          <w:p w14:paraId="51065A01" w14:textId="77777777" w:rsidR="00C83B6B" w:rsidRPr="006A453F" w:rsidRDefault="00C83B6B" w:rsidP="00C83B6B">
            <w:pPr>
              <w:rPr>
                <w:rFonts w:eastAsia="Calibri" w:cs="Times New Roman"/>
                <w:sz w:val="22"/>
                <w:lang w:val="en-ZA"/>
              </w:rPr>
            </w:pPr>
            <w:r w:rsidRPr="006A453F">
              <w:rPr>
                <w:rFonts w:eastAsia="Calibri" w:cs="Times New Roman"/>
                <w:sz w:val="22"/>
                <w:lang w:val="en-ZA"/>
              </w:rPr>
              <w:t xml:space="preserve">R </w:t>
            </w:r>
            <w:r>
              <w:rPr>
                <w:rFonts w:eastAsia="Calibri" w:cs="Times New Roman"/>
                <w:sz w:val="22"/>
                <w:lang w:val="en-ZA"/>
              </w:rPr>
              <w:t>638 690 600</w:t>
            </w:r>
          </w:p>
        </w:tc>
        <w:tc>
          <w:tcPr>
            <w:tcW w:w="1766" w:type="dxa"/>
          </w:tcPr>
          <w:p w14:paraId="7BB7AD07" w14:textId="77777777" w:rsidR="00C83B6B" w:rsidRPr="006A453F" w:rsidRDefault="00C83B6B" w:rsidP="00C83B6B">
            <w:pPr>
              <w:rPr>
                <w:rFonts w:eastAsia="Calibri" w:cs="Times New Roman"/>
                <w:sz w:val="22"/>
                <w:lang w:val="en-ZA"/>
              </w:rPr>
            </w:pPr>
            <w:r>
              <w:rPr>
                <w:rFonts w:eastAsia="Calibri" w:cs="Times New Roman"/>
                <w:sz w:val="22"/>
                <w:lang w:val="en-ZA"/>
              </w:rPr>
              <w:t>7.2</w:t>
            </w:r>
            <w:r w:rsidRPr="006A453F">
              <w:rPr>
                <w:rFonts w:eastAsia="Calibri" w:cs="Times New Roman"/>
                <w:sz w:val="22"/>
                <w:lang w:val="en-ZA"/>
              </w:rPr>
              <w:t>%</w:t>
            </w:r>
          </w:p>
        </w:tc>
      </w:tr>
    </w:tbl>
    <w:p w14:paraId="57715152" w14:textId="77777777" w:rsidR="003E4034" w:rsidRPr="00076AFC" w:rsidRDefault="00076AFC" w:rsidP="00C83B6B">
      <w:pPr>
        <w:pStyle w:val="Caption"/>
        <w:rPr>
          <w:color w:val="000000" w:themeColor="text1"/>
        </w:rPr>
      </w:pPr>
      <w:bookmarkStart w:id="414" w:name="_Toc510622308"/>
      <w:r>
        <w:t xml:space="preserve">Table </w:t>
      </w:r>
      <w:r w:rsidR="00B918A6">
        <w:fldChar w:fldCharType="begin"/>
      </w:r>
      <w:r w:rsidR="00B918A6">
        <w:instrText xml:space="preserve"> SEQ Table \* ARABIC </w:instrText>
      </w:r>
      <w:r w:rsidR="00B918A6">
        <w:fldChar w:fldCharType="separate"/>
      </w:r>
      <w:r w:rsidR="0067023A">
        <w:rPr>
          <w:noProof/>
        </w:rPr>
        <w:t>58</w:t>
      </w:r>
      <w:r w:rsidR="00B918A6">
        <w:rPr>
          <w:noProof/>
        </w:rPr>
        <w:fldChar w:fldCharType="end"/>
      </w:r>
      <w:r>
        <w:t>: Economic Contribution for Manufacturing</w:t>
      </w:r>
      <w:r w:rsidR="00C83B6B">
        <w:t xml:space="preserve"> </w:t>
      </w:r>
      <w:r w:rsidRPr="00076AFC">
        <w:rPr>
          <w:color w:val="000000" w:themeColor="text1"/>
        </w:rPr>
        <w:t>(Source: Quantec 2012)</w:t>
      </w:r>
      <w:bookmarkEnd w:id="414"/>
    </w:p>
    <w:p w14:paraId="3149987F" w14:textId="77777777" w:rsidR="009A4D10" w:rsidRPr="009A4D10" w:rsidRDefault="009A4D10" w:rsidP="009A4D10">
      <w:pPr>
        <w:spacing w:line="288" w:lineRule="auto"/>
        <w:jc w:val="both"/>
        <w:rPr>
          <w:rFonts w:cs="Calibri"/>
          <w:color w:val="000000" w:themeColor="text1"/>
        </w:rPr>
      </w:pPr>
      <w:r w:rsidRPr="009A4D10">
        <w:rPr>
          <w:rFonts w:cs="Calibri"/>
          <w:color w:val="000000" w:themeColor="text1"/>
        </w:rPr>
        <w:t xml:space="preserve">The provincial manufacturing sector employed close to 287,000 people, and generated a GVA of more than R76 billion in 2011. The sector experienced 2.4% real average annual GVA growth since 2001, while employment within the sector declined at 2.0% per annum. Within both the district and uMlalazi, the number of people employed in the sector increased since 2001. </w:t>
      </w:r>
      <w:r w:rsidR="00703CE6" w:rsidRPr="009A4D10">
        <w:rPr>
          <w:rFonts w:cs="Calibri"/>
          <w:color w:val="000000" w:themeColor="text1"/>
        </w:rPr>
        <w:t>UMlalazi</w:t>
      </w:r>
      <w:r w:rsidRPr="009A4D10">
        <w:rPr>
          <w:rFonts w:cs="Calibri"/>
          <w:color w:val="000000" w:themeColor="text1"/>
        </w:rPr>
        <w:t xml:space="preserve"> contributes 12.4% to total employment within the district manufacturing sector, with employment increasing at a rate of 1.9% per annum since 2001. Additionally, GVA growth has increased at 7.2% per annum since 2001. This indicates that while the sector is growing, the employment in the sector is not growing at the same pace as the output and there is a need to boost employment in the sector.</w:t>
      </w:r>
    </w:p>
    <w:p w14:paraId="6F6C1494" w14:textId="77777777" w:rsidR="009A4D10" w:rsidRDefault="009A4D10" w:rsidP="009A4D10">
      <w:pPr>
        <w:spacing w:line="288" w:lineRule="auto"/>
        <w:jc w:val="both"/>
        <w:rPr>
          <w:rFonts w:cs="Calibri"/>
          <w:color w:val="000000" w:themeColor="text1"/>
        </w:rPr>
      </w:pPr>
      <w:r w:rsidRPr="009A4D10">
        <w:rPr>
          <w:rFonts w:cs="Calibri"/>
          <w:color w:val="000000" w:themeColor="text1"/>
        </w:rPr>
        <w:t>The figure below displays the breakdown of the manufacturing sector in terms of contribution to total manufacturing GVA within uMlalazi.</w:t>
      </w:r>
    </w:p>
    <w:p w14:paraId="205E66CE" w14:textId="77777777" w:rsidR="00C83B6B" w:rsidRDefault="009A4D10" w:rsidP="00C83B6B">
      <w:pPr>
        <w:spacing w:line="288" w:lineRule="auto"/>
        <w:jc w:val="both"/>
      </w:pPr>
      <w:r>
        <w:rPr>
          <w:rFonts w:cs="Calibri"/>
          <w:noProof/>
          <w:color w:val="000000" w:themeColor="text1"/>
        </w:rPr>
        <w:drawing>
          <wp:inline distT="0" distB="0" distL="0" distR="0" wp14:anchorId="29973ADC" wp14:editId="29B9CAE3">
            <wp:extent cx="5334000" cy="2876550"/>
            <wp:effectExtent l="0" t="0" r="0" b="0"/>
            <wp:docPr id="28712" name="Picture 28712" descr="C:\Users\DR NGIDI\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DR NGIDI\Desktop\Capture.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37323" cy="2878342"/>
                    </a:xfrm>
                    <a:prstGeom prst="rect">
                      <a:avLst/>
                    </a:prstGeom>
                    <a:noFill/>
                    <a:ln>
                      <a:noFill/>
                    </a:ln>
                  </pic:spPr>
                </pic:pic>
              </a:graphicData>
            </a:graphic>
          </wp:inline>
        </w:drawing>
      </w:r>
    </w:p>
    <w:p w14:paraId="609ABC2F" w14:textId="77777777" w:rsidR="009A4D10" w:rsidRPr="00C83B6B" w:rsidRDefault="00F3229F" w:rsidP="00F3229F">
      <w:pPr>
        <w:pStyle w:val="Caption"/>
        <w:rPr>
          <w:color w:val="000000" w:themeColor="text1"/>
        </w:rPr>
      </w:pPr>
      <w:bookmarkStart w:id="415" w:name="_Toc510622382"/>
      <w:r>
        <w:t xml:space="preserve">Figure </w:t>
      </w:r>
      <w:r w:rsidR="00B918A6">
        <w:fldChar w:fldCharType="begin"/>
      </w:r>
      <w:r w:rsidR="00B918A6">
        <w:instrText xml:space="preserve"> SEQ Figure \* ARABIC </w:instrText>
      </w:r>
      <w:r w:rsidR="00B918A6">
        <w:fldChar w:fldCharType="separate"/>
      </w:r>
      <w:r w:rsidR="0067023A">
        <w:rPr>
          <w:noProof/>
        </w:rPr>
        <w:t>21</w:t>
      </w:r>
      <w:r w:rsidR="00B918A6">
        <w:rPr>
          <w:noProof/>
        </w:rPr>
        <w:fldChar w:fldCharType="end"/>
      </w:r>
      <w:r w:rsidR="00C83B6B">
        <w:t xml:space="preserve">: </w:t>
      </w:r>
      <w:r w:rsidR="009A4D10" w:rsidRPr="007705D8">
        <w:t>GVA contribution within manufacturing sector in uMlalazi, 2011 (Quantec 2012)</w:t>
      </w:r>
      <w:bookmarkEnd w:id="415"/>
    </w:p>
    <w:p w14:paraId="2B323EA0" w14:textId="77777777" w:rsidR="008155E3" w:rsidRPr="00C83B6B" w:rsidRDefault="003E4034" w:rsidP="00750180">
      <w:pPr>
        <w:pStyle w:val="Heading4"/>
        <w:numPr>
          <w:ilvl w:val="3"/>
          <w:numId w:val="29"/>
        </w:numPr>
        <w:spacing w:after="240"/>
      </w:pPr>
      <w:r w:rsidRPr="00C83B6B">
        <w:t xml:space="preserve">Services </w:t>
      </w:r>
    </w:p>
    <w:p w14:paraId="41995B03" w14:textId="77777777" w:rsidR="005E22F4" w:rsidRDefault="009A4D10" w:rsidP="007705D8">
      <w:pPr>
        <w:spacing w:before="240" w:line="288" w:lineRule="auto"/>
        <w:jc w:val="both"/>
        <w:rPr>
          <w:rFonts w:cs="Calibri"/>
          <w:color w:val="000000" w:themeColor="text1"/>
        </w:rPr>
      </w:pPr>
      <w:r w:rsidRPr="009A4D10">
        <w:rPr>
          <w:rFonts w:cs="Calibri"/>
          <w:color w:val="000000" w:themeColor="text1"/>
        </w:rPr>
        <w:t xml:space="preserve">The business services sector is a big contributor to the total GVA in the uMlalazi Municipality with a contribution of 16.7%. The table below provides an indication of the quantity and average annual growth rate of employment and GVA in business services for the Province, </w:t>
      </w:r>
      <w:r w:rsidR="003C03FA">
        <w:rPr>
          <w:rFonts w:cs="Calibri"/>
          <w:color w:val="000000" w:themeColor="text1"/>
        </w:rPr>
        <w:t>District</w:t>
      </w:r>
      <w:r w:rsidRPr="009A4D10">
        <w:rPr>
          <w:rFonts w:cs="Calibri"/>
          <w:color w:val="000000" w:themeColor="text1"/>
        </w:rPr>
        <w:t xml:space="preserve"> and uMlalazi Local Municipality.</w:t>
      </w:r>
    </w:p>
    <w:tbl>
      <w:tblPr>
        <w:tblStyle w:val="TableGrid"/>
        <w:tblW w:w="0" w:type="auto"/>
        <w:tblLook w:val="04A0" w:firstRow="1" w:lastRow="0" w:firstColumn="1" w:lastColumn="0" w:noHBand="0" w:noVBand="1"/>
      </w:tblPr>
      <w:tblGrid>
        <w:gridCol w:w="1768"/>
        <w:gridCol w:w="2107"/>
        <w:gridCol w:w="1985"/>
        <w:gridCol w:w="1883"/>
        <w:gridCol w:w="1766"/>
      </w:tblGrid>
      <w:tr w:rsidR="00C83B6B" w:rsidRPr="006A453F" w14:paraId="795B0387" w14:textId="77777777" w:rsidTr="00C83B6B">
        <w:trPr>
          <w:trHeight w:val="527"/>
        </w:trPr>
        <w:tc>
          <w:tcPr>
            <w:tcW w:w="1768" w:type="dxa"/>
            <w:shd w:val="clear" w:color="auto" w:fill="000000" w:themeFill="text1"/>
          </w:tcPr>
          <w:p w14:paraId="33456898" w14:textId="77777777" w:rsidR="00C83B6B" w:rsidRPr="006A453F" w:rsidRDefault="00C83B6B" w:rsidP="00C83B6B">
            <w:pPr>
              <w:rPr>
                <w:rFonts w:eastAsia="Calibri" w:cs="Times New Roman"/>
                <w:b/>
                <w:sz w:val="22"/>
                <w:lang w:val="en-ZA"/>
              </w:rPr>
            </w:pPr>
          </w:p>
        </w:tc>
        <w:tc>
          <w:tcPr>
            <w:tcW w:w="2107" w:type="dxa"/>
            <w:shd w:val="clear" w:color="auto" w:fill="000000" w:themeFill="text1"/>
          </w:tcPr>
          <w:p w14:paraId="08CA5548" w14:textId="77777777" w:rsidR="00C83B6B" w:rsidRPr="006A453F" w:rsidRDefault="00C83B6B" w:rsidP="00C83B6B">
            <w:pPr>
              <w:rPr>
                <w:rFonts w:eastAsia="Calibri" w:cs="Times New Roman"/>
                <w:b/>
                <w:sz w:val="22"/>
                <w:lang w:val="en-ZA"/>
              </w:rPr>
            </w:pPr>
            <w:r w:rsidRPr="006A453F">
              <w:rPr>
                <w:rFonts w:eastAsia="Calibri" w:cs="Times New Roman"/>
                <w:b/>
                <w:sz w:val="22"/>
                <w:lang w:val="en-ZA"/>
              </w:rPr>
              <w:t>Employment in 2011</w:t>
            </w:r>
          </w:p>
        </w:tc>
        <w:tc>
          <w:tcPr>
            <w:tcW w:w="1985" w:type="dxa"/>
            <w:shd w:val="clear" w:color="auto" w:fill="000000" w:themeFill="text1"/>
          </w:tcPr>
          <w:p w14:paraId="55365843" w14:textId="77777777" w:rsidR="00C83B6B" w:rsidRPr="006A453F" w:rsidRDefault="00C83B6B" w:rsidP="00C83B6B">
            <w:pPr>
              <w:rPr>
                <w:rFonts w:eastAsia="Calibri" w:cs="Times New Roman"/>
                <w:b/>
                <w:sz w:val="22"/>
                <w:lang w:val="en-ZA"/>
              </w:rPr>
            </w:pPr>
            <w:r w:rsidRPr="006A453F">
              <w:rPr>
                <w:rFonts w:eastAsia="Calibri" w:cs="Times New Roman"/>
                <w:b/>
                <w:sz w:val="22"/>
                <w:lang w:val="en-ZA"/>
              </w:rPr>
              <w:t>Average Annual Growth 2001-11</w:t>
            </w:r>
          </w:p>
        </w:tc>
        <w:tc>
          <w:tcPr>
            <w:tcW w:w="1883" w:type="dxa"/>
            <w:shd w:val="clear" w:color="auto" w:fill="000000" w:themeFill="text1"/>
          </w:tcPr>
          <w:p w14:paraId="20E4E985" w14:textId="77777777" w:rsidR="00C83B6B" w:rsidRPr="006A453F" w:rsidRDefault="00C83B6B" w:rsidP="00C83B6B">
            <w:pPr>
              <w:rPr>
                <w:rFonts w:eastAsia="Calibri" w:cs="Times New Roman"/>
                <w:b/>
                <w:sz w:val="22"/>
                <w:lang w:val="en-ZA"/>
              </w:rPr>
            </w:pPr>
            <w:r w:rsidRPr="006A453F">
              <w:rPr>
                <w:rFonts w:eastAsia="Calibri" w:cs="Times New Roman"/>
                <w:b/>
                <w:sz w:val="22"/>
                <w:lang w:val="en-ZA"/>
              </w:rPr>
              <w:t>GVA (Current Prices) in 2011</w:t>
            </w:r>
          </w:p>
        </w:tc>
        <w:tc>
          <w:tcPr>
            <w:tcW w:w="1766" w:type="dxa"/>
            <w:shd w:val="clear" w:color="auto" w:fill="000000" w:themeFill="text1"/>
          </w:tcPr>
          <w:p w14:paraId="08DF4B5E" w14:textId="77777777" w:rsidR="00C83B6B" w:rsidRPr="006A453F" w:rsidRDefault="00C83B6B" w:rsidP="00C83B6B">
            <w:pPr>
              <w:rPr>
                <w:rFonts w:eastAsia="Calibri" w:cs="Times New Roman"/>
                <w:b/>
                <w:sz w:val="22"/>
                <w:lang w:val="en-ZA"/>
              </w:rPr>
            </w:pPr>
            <w:r w:rsidRPr="006A453F">
              <w:rPr>
                <w:rFonts w:eastAsia="Calibri" w:cs="Times New Roman"/>
                <w:b/>
                <w:sz w:val="22"/>
                <w:lang w:val="en-ZA"/>
              </w:rPr>
              <w:t>Real Average Annual Growth Rate (2001-11)</w:t>
            </w:r>
          </w:p>
        </w:tc>
      </w:tr>
      <w:tr w:rsidR="00C83B6B" w:rsidRPr="006A453F" w14:paraId="5397841B" w14:textId="77777777" w:rsidTr="00C83B6B">
        <w:trPr>
          <w:trHeight w:val="179"/>
        </w:trPr>
        <w:tc>
          <w:tcPr>
            <w:tcW w:w="1768" w:type="dxa"/>
          </w:tcPr>
          <w:p w14:paraId="33A33C98" w14:textId="77777777" w:rsidR="00C83B6B" w:rsidRPr="006A453F" w:rsidRDefault="00C83B6B" w:rsidP="00C83B6B">
            <w:pPr>
              <w:rPr>
                <w:rFonts w:eastAsia="Calibri" w:cs="Times New Roman"/>
                <w:sz w:val="22"/>
                <w:lang w:val="en-ZA"/>
              </w:rPr>
            </w:pPr>
            <w:r w:rsidRPr="006A453F">
              <w:rPr>
                <w:rFonts w:eastAsia="Calibri" w:cs="Times New Roman"/>
                <w:sz w:val="22"/>
                <w:lang w:val="en-ZA"/>
              </w:rPr>
              <w:t>KwaZulu-Natal</w:t>
            </w:r>
          </w:p>
        </w:tc>
        <w:tc>
          <w:tcPr>
            <w:tcW w:w="2107" w:type="dxa"/>
          </w:tcPr>
          <w:p w14:paraId="18585216" w14:textId="77777777" w:rsidR="00C83B6B" w:rsidRPr="006A453F" w:rsidRDefault="00C83B6B" w:rsidP="00C83B6B">
            <w:pPr>
              <w:rPr>
                <w:rFonts w:eastAsia="Calibri" w:cs="Times New Roman"/>
                <w:sz w:val="22"/>
                <w:lang w:val="en-ZA"/>
              </w:rPr>
            </w:pPr>
            <w:r>
              <w:rPr>
                <w:rFonts w:eastAsia="Calibri" w:cs="Times New Roman"/>
                <w:sz w:val="22"/>
                <w:lang w:val="en-ZA"/>
              </w:rPr>
              <w:t>286 780</w:t>
            </w:r>
          </w:p>
        </w:tc>
        <w:tc>
          <w:tcPr>
            <w:tcW w:w="1985" w:type="dxa"/>
          </w:tcPr>
          <w:p w14:paraId="0F51D8AF" w14:textId="77777777" w:rsidR="00C83B6B" w:rsidRPr="006A453F" w:rsidRDefault="00C83B6B" w:rsidP="00C83B6B">
            <w:pPr>
              <w:rPr>
                <w:rFonts w:eastAsia="Calibri" w:cs="Times New Roman"/>
                <w:sz w:val="22"/>
                <w:lang w:val="en-ZA"/>
              </w:rPr>
            </w:pPr>
            <w:r>
              <w:rPr>
                <w:rFonts w:eastAsia="Calibri" w:cs="Times New Roman"/>
                <w:sz w:val="22"/>
                <w:lang w:val="en-ZA"/>
              </w:rPr>
              <w:t>2.0</w:t>
            </w:r>
            <w:r w:rsidRPr="006A453F">
              <w:rPr>
                <w:rFonts w:eastAsia="Calibri" w:cs="Times New Roman"/>
                <w:sz w:val="22"/>
                <w:lang w:val="en-ZA"/>
              </w:rPr>
              <w:t>%</w:t>
            </w:r>
          </w:p>
        </w:tc>
        <w:tc>
          <w:tcPr>
            <w:tcW w:w="1883" w:type="dxa"/>
          </w:tcPr>
          <w:p w14:paraId="51F25803" w14:textId="77777777" w:rsidR="00C83B6B" w:rsidRPr="006A453F" w:rsidRDefault="00C83B6B" w:rsidP="00C83B6B">
            <w:pPr>
              <w:rPr>
                <w:rFonts w:eastAsia="Calibri" w:cs="Times New Roman"/>
                <w:sz w:val="22"/>
                <w:lang w:val="en-ZA"/>
              </w:rPr>
            </w:pPr>
            <w:r w:rsidRPr="006A453F">
              <w:rPr>
                <w:rFonts w:eastAsia="Calibri" w:cs="Times New Roman"/>
                <w:sz w:val="22"/>
                <w:lang w:val="en-ZA"/>
              </w:rPr>
              <w:t xml:space="preserve">R </w:t>
            </w:r>
            <w:r>
              <w:rPr>
                <w:rFonts w:eastAsia="Calibri" w:cs="Times New Roman"/>
                <w:sz w:val="22"/>
                <w:lang w:val="en-ZA"/>
              </w:rPr>
              <w:t>54 570 953 664</w:t>
            </w:r>
          </w:p>
        </w:tc>
        <w:tc>
          <w:tcPr>
            <w:tcW w:w="1766" w:type="dxa"/>
          </w:tcPr>
          <w:p w14:paraId="59274BE5" w14:textId="77777777" w:rsidR="00C83B6B" w:rsidRPr="006A453F" w:rsidRDefault="00C83B6B" w:rsidP="00C83B6B">
            <w:pPr>
              <w:rPr>
                <w:rFonts w:eastAsia="Calibri" w:cs="Times New Roman"/>
                <w:sz w:val="22"/>
                <w:lang w:val="en-ZA"/>
              </w:rPr>
            </w:pPr>
            <w:r>
              <w:rPr>
                <w:rFonts w:eastAsia="Calibri" w:cs="Times New Roman"/>
                <w:sz w:val="22"/>
                <w:lang w:val="en-ZA"/>
              </w:rPr>
              <w:t>5.6</w:t>
            </w:r>
            <w:r w:rsidRPr="006A453F">
              <w:rPr>
                <w:rFonts w:eastAsia="Calibri" w:cs="Times New Roman"/>
                <w:sz w:val="22"/>
                <w:lang w:val="en-ZA"/>
              </w:rPr>
              <w:t>%</w:t>
            </w:r>
          </w:p>
        </w:tc>
      </w:tr>
      <w:tr w:rsidR="00C83B6B" w:rsidRPr="006A453F" w14:paraId="13B2E9E1" w14:textId="77777777" w:rsidTr="00C83B6B">
        <w:trPr>
          <w:trHeight w:val="179"/>
        </w:trPr>
        <w:tc>
          <w:tcPr>
            <w:tcW w:w="1768" w:type="dxa"/>
          </w:tcPr>
          <w:p w14:paraId="76B3D992" w14:textId="77777777" w:rsidR="00C83B6B" w:rsidRPr="006A453F" w:rsidRDefault="00C83B6B" w:rsidP="00C83B6B">
            <w:pPr>
              <w:rPr>
                <w:rFonts w:eastAsia="Calibri" w:cs="Times New Roman"/>
                <w:sz w:val="22"/>
                <w:lang w:val="en-ZA"/>
              </w:rPr>
            </w:pPr>
            <w:r w:rsidRPr="006A453F">
              <w:rPr>
                <w:rFonts w:eastAsia="Calibri" w:cs="Times New Roman"/>
                <w:sz w:val="22"/>
                <w:lang w:val="en-ZA"/>
              </w:rPr>
              <w:t>KCDM</w:t>
            </w:r>
          </w:p>
        </w:tc>
        <w:tc>
          <w:tcPr>
            <w:tcW w:w="2107" w:type="dxa"/>
          </w:tcPr>
          <w:p w14:paraId="6CAEA71A" w14:textId="77777777" w:rsidR="00C83B6B" w:rsidRPr="006A453F" w:rsidRDefault="00C83B6B" w:rsidP="00C83B6B">
            <w:pPr>
              <w:rPr>
                <w:rFonts w:eastAsia="Calibri" w:cs="Times New Roman"/>
                <w:sz w:val="22"/>
                <w:lang w:val="en-ZA"/>
              </w:rPr>
            </w:pPr>
            <w:r>
              <w:rPr>
                <w:rFonts w:eastAsia="Calibri" w:cs="Times New Roman"/>
                <w:sz w:val="22"/>
                <w:lang w:val="en-ZA"/>
              </w:rPr>
              <w:t>17 578</w:t>
            </w:r>
          </w:p>
        </w:tc>
        <w:tc>
          <w:tcPr>
            <w:tcW w:w="1985" w:type="dxa"/>
          </w:tcPr>
          <w:p w14:paraId="034D9466" w14:textId="77777777" w:rsidR="00C83B6B" w:rsidRPr="006A453F" w:rsidRDefault="00C83B6B" w:rsidP="00C83B6B">
            <w:pPr>
              <w:rPr>
                <w:rFonts w:eastAsia="Calibri" w:cs="Times New Roman"/>
                <w:sz w:val="22"/>
                <w:lang w:val="en-ZA"/>
              </w:rPr>
            </w:pPr>
            <w:r>
              <w:rPr>
                <w:rFonts w:eastAsia="Calibri" w:cs="Times New Roman"/>
                <w:sz w:val="22"/>
                <w:lang w:val="en-ZA"/>
              </w:rPr>
              <w:t>3.5</w:t>
            </w:r>
            <w:r w:rsidRPr="006A453F">
              <w:rPr>
                <w:rFonts w:eastAsia="Calibri" w:cs="Times New Roman"/>
                <w:sz w:val="22"/>
                <w:lang w:val="en-ZA"/>
              </w:rPr>
              <w:t>%</w:t>
            </w:r>
          </w:p>
        </w:tc>
        <w:tc>
          <w:tcPr>
            <w:tcW w:w="1883" w:type="dxa"/>
          </w:tcPr>
          <w:p w14:paraId="5242BB96" w14:textId="77777777" w:rsidR="00C83B6B" w:rsidRPr="006A453F" w:rsidRDefault="00C83B6B" w:rsidP="00C83B6B">
            <w:pPr>
              <w:rPr>
                <w:rFonts w:eastAsia="Calibri" w:cs="Times New Roman"/>
                <w:sz w:val="22"/>
                <w:lang w:val="en-ZA"/>
              </w:rPr>
            </w:pPr>
            <w:r w:rsidRPr="006A453F">
              <w:rPr>
                <w:rFonts w:eastAsia="Calibri" w:cs="Times New Roman"/>
                <w:sz w:val="22"/>
                <w:lang w:val="en-ZA"/>
              </w:rPr>
              <w:t xml:space="preserve">R </w:t>
            </w:r>
            <w:r>
              <w:rPr>
                <w:rFonts w:eastAsia="Calibri" w:cs="Times New Roman"/>
                <w:sz w:val="22"/>
                <w:lang w:val="en-ZA"/>
              </w:rPr>
              <w:t>3 127 939 726</w:t>
            </w:r>
          </w:p>
        </w:tc>
        <w:tc>
          <w:tcPr>
            <w:tcW w:w="1766" w:type="dxa"/>
          </w:tcPr>
          <w:p w14:paraId="65233B9D" w14:textId="77777777" w:rsidR="00C83B6B" w:rsidRPr="006A453F" w:rsidRDefault="00C83B6B" w:rsidP="00C83B6B">
            <w:pPr>
              <w:rPr>
                <w:rFonts w:eastAsia="Calibri" w:cs="Times New Roman"/>
                <w:sz w:val="22"/>
                <w:lang w:val="en-ZA"/>
              </w:rPr>
            </w:pPr>
            <w:r>
              <w:rPr>
                <w:rFonts w:eastAsia="Calibri" w:cs="Times New Roman"/>
                <w:sz w:val="22"/>
                <w:lang w:val="en-ZA"/>
              </w:rPr>
              <w:t>7.1</w:t>
            </w:r>
            <w:r w:rsidRPr="006A453F">
              <w:rPr>
                <w:rFonts w:eastAsia="Calibri" w:cs="Times New Roman"/>
                <w:sz w:val="22"/>
                <w:lang w:val="en-ZA"/>
              </w:rPr>
              <w:t>%</w:t>
            </w:r>
          </w:p>
        </w:tc>
      </w:tr>
      <w:tr w:rsidR="00C83B6B" w:rsidRPr="006A453F" w14:paraId="35AFCAB8" w14:textId="77777777" w:rsidTr="00C83B6B">
        <w:trPr>
          <w:trHeight w:val="169"/>
        </w:trPr>
        <w:tc>
          <w:tcPr>
            <w:tcW w:w="1768" w:type="dxa"/>
          </w:tcPr>
          <w:p w14:paraId="51C3092C" w14:textId="77777777" w:rsidR="00C83B6B" w:rsidRPr="006A453F" w:rsidRDefault="00C83B6B" w:rsidP="00C83B6B">
            <w:pPr>
              <w:rPr>
                <w:rFonts w:eastAsia="Calibri" w:cs="Times New Roman"/>
                <w:sz w:val="22"/>
                <w:lang w:val="en-ZA"/>
              </w:rPr>
            </w:pPr>
            <w:r w:rsidRPr="006A453F">
              <w:rPr>
                <w:rFonts w:eastAsia="Calibri" w:cs="Times New Roman"/>
                <w:sz w:val="22"/>
                <w:lang w:val="en-ZA"/>
              </w:rPr>
              <w:t>uMlalazi</w:t>
            </w:r>
          </w:p>
        </w:tc>
        <w:tc>
          <w:tcPr>
            <w:tcW w:w="2107" w:type="dxa"/>
          </w:tcPr>
          <w:p w14:paraId="4243ABCF" w14:textId="77777777" w:rsidR="00C83B6B" w:rsidRPr="006A453F" w:rsidRDefault="00C83B6B" w:rsidP="00C83B6B">
            <w:pPr>
              <w:rPr>
                <w:rFonts w:eastAsia="Calibri" w:cs="Times New Roman"/>
                <w:sz w:val="22"/>
                <w:lang w:val="en-ZA"/>
              </w:rPr>
            </w:pPr>
            <w:r>
              <w:rPr>
                <w:rFonts w:eastAsia="Calibri" w:cs="Times New Roman"/>
                <w:sz w:val="22"/>
                <w:lang w:val="en-ZA"/>
              </w:rPr>
              <w:t>2184</w:t>
            </w:r>
          </w:p>
        </w:tc>
        <w:tc>
          <w:tcPr>
            <w:tcW w:w="1985" w:type="dxa"/>
          </w:tcPr>
          <w:p w14:paraId="39230156" w14:textId="77777777" w:rsidR="00C83B6B" w:rsidRPr="006A453F" w:rsidRDefault="00C83B6B" w:rsidP="00C83B6B">
            <w:pPr>
              <w:rPr>
                <w:rFonts w:eastAsia="Calibri" w:cs="Times New Roman"/>
                <w:sz w:val="22"/>
                <w:lang w:val="en-ZA"/>
              </w:rPr>
            </w:pPr>
            <w:r>
              <w:rPr>
                <w:rFonts w:eastAsia="Calibri" w:cs="Times New Roman"/>
                <w:sz w:val="22"/>
                <w:lang w:val="en-ZA"/>
              </w:rPr>
              <w:t>4.0</w:t>
            </w:r>
            <w:r w:rsidRPr="006A453F">
              <w:rPr>
                <w:rFonts w:eastAsia="Calibri" w:cs="Times New Roman"/>
                <w:sz w:val="22"/>
                <w:lang w:val="en-ZA"/>
              </w:rPr>
              <w:t>%</w:t>
            </w:r>
          </w:p>
        </w:tc>
        <w:tc>
          <w:tcPr>
            <w:tcW w:w="1883" w:type="dxa"/>
          </w:tcPr>
          <w:p w14:paraId="0EF7119E" w14:textId="77777777" w:rsidR="00C83B6B" w:rsidRPr="006A453F" w:rsidRDefault="00C83B6B" w:rsidP="00C83B6B">
            <w:pPr>
              <w:rPr>
                <w:rFonts w:eastAsia="Calibri" w:cs="Times New Roman"/>
                <w:sz w:val="22"/>
                <w:lang w:val="en-ZA"/>
              </w:rPr>
            </w:pPr>
            <w:r w:rsidRPr="006A453F">
              <w:rPr>
                <w:rFonts w:eastAsia="Calibri" w:cs="Times New Roman"/>
                <w:sz w:val="22"/>
                <w:lang w:val="en-ZA"/>
              </w:rPr>
              <w:t xml:space="preserve">R </w:t>
            </w:r>
            <w:r>
              <w:rPr>
                <w:rFonts w:eastAsia="Calibri" w:cs="Times New Roman"/>
                <w:sz w:val="22"/>
                <w:lang w:val="en-ZA"/>
              </w:rPr>
              <w:t>433 065 798</w:t>
            </w:r>
          </w:p>
        </w:tc>
        <w:tc>
          <w:tcPr>
            <w:tcW w:w="1766" w:type="dxa"/>
          </w:tcPr>
          <w:p w14:paraId="376B97EA" w14:textId="77777777" w:rsidR="00C83B6B" w:rsidRPr="006A453F" w:rsidRDefault="00C83B6B" w:rsidP="00C83B6B">
            <w:pPr>
              <w:rPr>
                <w:rFonts w:eastAsia="Calibri" w:cs="Times New Roman"/>
                <w:sz w:val="22"/>
                <w:lang w:val="en-ZA"/>
              </w:rPr>
            </w:pPr>
            <w:r>
              <w:rPr>
                <w:rFonts w:eastAsia="Calibri" w:cs="Times New Roman"/>
                <w:sz w:val="22"/>
                <w:lang w:val="en-ZA"/>
              </w:rPr>
              <w:t>7.2</w:t>
            </w:r>
            <w:r w:rsidRPr="006A453F">
              <w:rPr>
                <w:rFonts w:eastAsia="Calibri" w:cs="Times New Roman"/>
                <w:sz w:val="22"/>
                <w:lang w:val="en-ZA"/>
              </w:rPr>
              <w:t>%</w:t>
            </w:r>
          </w:p>
        </w:tc>
      </w:tr>
    </w:tbl>
    <w:p w14:paraId="3400BF19" w14:textId="77777777" w:rsidR="009A4D10" w:rsidRDefault="007705D8" w:rsidP="002F62F0">
      <w:pPr>
        <w:pStyle w:val="Caption"/>
      </w:pPr>
      <w:bookmarkStart w:id="416" w:name="_Toc510622309"/>
      <w:r>
        <w:t xml:space="preserve">Table </w:t>
      </w:r>
      <w:r w:rsidR="00B918A6">
        <w:fldChar w:fldCharType="begin"/>
      </w:r>
      <w:r w:rsidR="00B918A6">
        <w:instrText xml:space="preserve"> SEQ Table \* ARABIC </w:instrText>
      </w:r>
      <w:r w:rsidR="00B918A6">
        <w:fldChar w:fldCharType="separate"/>
      </w:r>
      <w:r w:rsidR="0067023A">
        <w:rPr>
          <w:noProof/>
        </w:rPr>
        <w:t>59</w:t>
      </w:r>
      <w:r w:rsidR="00B918A6">
        <w:rPr>
          <w:noProof/>
        </w:rPr>
        <w:fldChar w:fldCharType="end"/>
      </w:r>
      <w:r>
        <w:t xml:space="preserve">: </w:t>
      </w:r>
      <w:r w:rsidR="005E22F4" w:rsidRPr="007705D8">
        <w:t>Business services sector employment and GVA (Quantec 2012)</w:t>
      </w:r>
      <w:bookmarkEnd w:id="416"/>
    </w:p>
    <w:p w14:paraId="1BAFFC26" w14:textId="77777777" w:rsidR="00E804B0" w:rsidRPr="00881795" w:rsidRDefault="005E22F4" w:rsidP="00395313">
      <w:pPr>
        <w:spacing w:line="288" w:lineRule="auto"/>
        <w:jc w:val="both"/>
        <w:rPr>
          <w:rFonts w:cs="Calibri"/>
          <w:color w:val="000000" w:themeColor="text1"/>
        </w:rPr>
      </w:pPr>
      <w:r w:rsidRPr="005E22F4">
        <w:rPr>
          <w:rFonts w:cs="Calibri"/>
          <w:color w:val="000000" w:themeColor="text1"/>
        </w:rPr>
        <w:t xml:space="preserve">The business services sector has increased its GVA contribution to the economy of uMlalazi significantly within the last 10 years. In 2001, the sector contributed 8.3% to the GVA of uMlalazi, while in 2011 the sector contributed 16.7% to the GVA of uMlalazi. Together with the finance, insurance and real estate industry it is the biggest contributor to GVA within the uMlalazi economy. This is an indication of the importance of the sector within the uMlalazi Municipality. </w:t>
      </w:r>
    </w:p>
    <w:p w14:paraId="4968FE05" w14:textId="77777777" w:rsidR="008155E3" w:rsidRPr="00C83B6B" w:rsidRDefault="008155E3" w:rsidP="00750180">
      <w:pPr>
        <w:pStyle w:val="Heading4"/>
        <w:numPr>
          <w:ilvl w:val="3"/>
          <w:numId w:val="29"/>
        </w:numPr>
        <w:spacing w:after="240"/>
      </w:pPr>
      <w:bookmarkStart w:id="417" w:name="_Toc389739968"/>
      <w:r w:rsidRPr="00C83B6B">
        <w:t>Mining</w:t>
      </w:r>
      <w:bookmarkEnd w:id="417"/>
    </w:p>
    <w:p w14:paraId="5BE5D2D7" w14:textId="77777777" w:rsidR="007C7891" w:rsidRPr="00881795" w:rsidRDefault="00E87505" w:rsidP="00395313">
      <w:pPr>
        <w:spacing w:line="288" w:lineRule="auto"/>
        <w:jc w:val="both"/>
        <w:rPr>
          <w:szCs w:val="20"/>
        </w:rPr>
      </w:pPr>
      <w:r w:rsidRPr="00881795">
        <w:rPr>
          <w:szCs w:val="20"/>
        </w:rPr>
        <w:t xml:space="preserve">Tronox currently has since 1998 had a large business investment in the </w:t>
      </w:r>
      <w:r w:rsidR="001D792E">
        <w:rPr>
          <w:szCs w:val="20"/>
        </w:rPr>
        <w:t>King Cetshwayo</w:t>
      </w:r>
      <w:r w:rsidRPr="00881795">
        <w:rPr>
          <w:szCs w:val="20"/>
        </w:rPr>
        <w:t xml:space="preserve"> </w:t>
      </w:r>
      <w:r w:rsidR="003C03FA">
        <w:rPr>
          <w:szCs w:val="20"/>
        </w:rPr>
        <w:t>District</w:t>
      </w:r>
      <w:r w:rsidRPr="00881795">
        <w:rPr>
          <w:szCs w:val="20"/>
        </w:rPr>
        <w:t xml:space="preserve"> Municipality with mining of the mineralized sand dunes in an area just north of Mtunzini, </w:t>
      </w:r>
      <w:r w:rsidR="008D130F" w:rsidRPr="00881795">
        <w:rPr>
          <w:szCs w:val="20"/>
        </w:rPr>
        <w:t>Kwa Zulu</w:t>
      </w:r>
      <w:r w:rsidRPr="00881795">
        <w:rPr>
          <w:szCs w:val="20"/>
        </w:rPr>
        <w:t xml:space="preserve"> Natal, known as the Hillendale Mine, its central processing complex ("CPC") at Empangeni for refinement and the Fairbreeze and planned Port Durnford mines.  </w:t>
      </w:r>
    </w:p>
    <w:p w14:paraId="1AD677D2" w14:textId="77777777" w:rsidR="00E87505" w:rsidRPr="00881795" w:rsidRDefault="00E87505" w:rsidP="00395313">
      <w:pPr>
        <w:spacing w:line="288" w:lineRule="auto"/>
        <w:jc w:val="both"/>
        <w:rPr>
          <w:szCs w:val="20"/>
        </w:rPr>
      </w:pPr>
      <w:r w:rsidRPr="00881795">
        <w:rPr>
          <w:szCs w:val="20"/>
        </w:rPr>
        <w:t xml:space="preserve">In regards the Fairbeeze mine, Tronox has had valid mining rights in the </w:t>
      </w:r>
      <w:r w:rsidR="009C075D" w:rsidRPr="00881795">
        <w:rPr>
          <w:szCs w:val="20"/>
        </w:rPr>
        <w:t>uMlalazi</w:t>
      </w:r>
      <w:r w:rsidRPr="00881795">
        <w:rPr>
          <w:szCs w:val="20"/>
        </w:rPr>
        <w:t xml:space="preserve"> Municipality since 1998 and has been legally undertaking mining activities on land within this municipal area since 2002. Tronox has since 1998 made significant progress towards obtaining additional </w:t>
      </w:r>
      <w:r w:rsidR="008D130F" w:rsidRPr="00881795">
        <w:rPr>
          <w:szCs w:val="20"/>
        </w:rPr>
        <w:t>authorizations</w:t>
      </w:r>
      <w:r w:rsidRPr="00881795">
        <w:rPr>
          <w:szCs w:val="20"/>
        </w:rPr>
        <w:t xml:space="preserve"> for furthering the Fairbreeze project which will in turn feed the CPC at Empangeni. Tronox as of May 2013 has the following </w:t>
      </w:r>
      <w:r w:rsidR="00703CE6" w:rsidRPr="00881795">
        <w:rPr>
          <w:szCs w:val="20"/>
        </w:rPr>
        <w:t>authorization</w:t>
      </w:r>
      <w:r w:rsidRPr="00881795">
        <w:rPr>
          <w:szCs w:val="20"/>
        </w:rPr>
        <w:t xml:space="preserve"> from government to pursue mining activities on the awarded mining areas: </w:t>
      </w:r>
    </w:p>
    <w:p w14:paraId="30BF747A" w14:textId="20FE4094" w:rsidR="00E87505" w:rsidRPr="00881795" w:rsidRDefault="00E87505" w:rsidP="00E31338">
      <w:pPr>
        <w:pStyle w:val="ListParagraph"/>
        <w:numPr>
          <w:ilvl w:val="0"/>
          <w:numId w:val="1"/>
        </w:numPr>
        <w:spacing w:line="288" w:lineRule="auto"/>
        <w:jc w:val="both"/>
        <w:rPr>
          <w:szCs w:val="20"/>
        </w:rPr>
      </w:pPr>
      <w:r w:rsidRPr="00881795">
        <w:rPr>
          <w:szCs w:val="20"/>
        </w:rPr>
        <w:t xml:space="preserve">Mining rights from </w:t>
      </w:r>
      <w:r w:rsidR="00B92644">
        <w:rPr>
          <w:szCs w:val="20"/>
        </w:rPr>
        <w:t>Department of Mineral Resources</w:t>
      </w:r>
    </w:p>
    <w:p w14:paraId="3BE44735" w14:textId="77777777" w:rsidR="00E87505" w:rsidRPr="00881795" w:rsidRDefault="00E87505" w:rsidP="00E31338">
      <w:pPr>
        <w:pStyle w:val="ListParagraph"/>
        <w:numPr>
          <w:ilvl w:val="0"/>
          <w:numId w:val="1"/>
        </w:numPr>
        <w:spacing w:line="288" w:lineRule="auto"/>
        <w:jc w:val="both"/>
        <w:rPr>
          <w:szCs w:val="20"/>
        </w:rPr>
      </w:pPr>
      <w:r w:rsidRPr="00881795">
        <w:rPr>
          <w:szCs w:val="20"/>
        </w:rPr>
        <w:t xml:space="preserve">Water use rights from the Department of Water </w:t>
      </w:r>
      <w:r w:rsidR="005F327F">
        <w:rPr>
          <w:szCs w:val="20"/>
        </w:rPr>
        <w:t>and Sanitation</w:t>
      </w:r>
      <w:r w:rsidRPr="00881795">
        <w:rPr>
          <w:szCs w:val="20"/>
        </w:rPr>
        <w:t>(DW</w:t>
      </w:r>
      <w:r w:rsidR="005F327F">
        <w:rPr>
          <w:szCs w:val="20"/>
        </w:rPr>
        <w:t>S</w:t>
      </w:r>
      <w:r w:rsidRPr="00881795">
        <w:rPr>
          <w:szCs w:val="20"/>
        </w:rPr>
        <w:t xml:space="preserve">), </w:t>
      </w:r>
    </w:p>
    <w:p w14:paraId="3F8CA2C2" w14:textId="77777777" w:rsidR="00E87505" w:rsidRPr="00881795" w:rsidRDefault="00E87505" w:rsidP="00E31338">
      <w:pPr>
        <w:pStyle w:val="ListParagraph"/>
        <w:numPr>
          <w:ilvl w:val="0"/>
          <w:numId w:val="1"/>
        </w:numPr>
        <w:spacing w:line="288" w:lineRule="auto"/>
        <w:jc w:val="both"/>
        <w:rPr>
          <w:szCs w:val="20"/>
        </w:rPr>
      </w:pPr>
      <w:r w:rsidRPr="00881795">
        <w:rPr>
          <w:szCs w:val="20"/>
        </w:rPr>
        <w:t xml:space="preserve">Environmental approvals from the Department of Environmental Affairs(DEA), </w:t>
      </w:r>
    </w:p>
    <w:p w14:paraId="114CB28A" w14:textId="77777777" w:rsidR="00E87505" w:rsidRPr="00881795" w:rsidRDefault="00E87505" w:rsidP="00E31338">
      <w:pPr>
        <w:pStyle w:val="ListParagraph"/>
        <w:numPr>
          <w:ilvl w:val="0"/>
          <w:numId w:val="1"/>
        </w:numPr>
        <w:spacing w:line="288" w:lineRule="auto"/>
        <w:jc w:val="both"/>
        <w:rPr>
          <w:szCs w:val="20"/>
        </w:rPr>
      </w:pPr>
      <w:r w:rsidRPr="00881795">
        <w:rPr>
          <w:szCs w:val="20"/>
        </w:rPr>
        <w:t xml:space="preserve">Permits from the Department of Fisheries, Agriculture and Forestry (DAFF), </w:t>
      </w:r>
    </w:p>
    <w:p w14:paraId="466A053D" w14:textId="77777777" w:rsidR="00E87505" w:rsidRPr="00881795" w:rsidRDefault="00E87505" w:rsidP="00E31338">
      <w:pPr>
        <w:pStyle w:val="ListParagraph"/>
        <w:numPr>
          <w:ilvl w:val="0"/>
          <w:numId w:val="1"/>
        </w:numPr>
        <w:spacing w:line="288" w:lineRule="auto"/>
        <w:jc w:val="both"/>
        <w:rPr>
          <w:szCs w:val="20"/>
        </w:rPr>
      </w:pPr>
      <w:r w:rsidRPr="00881795">
        <w:rPr>
          <w:szCs w:val="20"/>
        </w:rPr>
        <w:t xml:space="preserve">A positive decision by the Durban High Court on the Land Use Change approval on a large portion of mining area which allows Tronox to continue early works construction. </w:t>
      </w:r>
    </w:p>
    <w:p w14:paraId="01ACADA8" w14:textId="77777777" w:rsidR="00367DDE" w:rsidRDefault="00367DDE" w:rsidP="00395313">
      <w:pPr>
        <w:spacing w:line="288" w:lineRule="auto"/>
        <w:jc w:val="both"/>
        <w:rPr>
          <w:szCs w:val="20"/>
        </w:rPr>
      </w:pPr>
      <w:r w:rsidRPr="00357750">
        <w:rPr>
          <w:szCs w:val="20"/>
        </w:rPr>
        <w:t xml:space="preserve">A Land Use Planning application for Sub 3 of Lot 91 uMlalazi 10011 and Rem of Lot 91 uMlalazi 10011 has been submitted to the municipality, in terms of the KZN </w:t>
      </w:r>
      <w:r w:rsidR="00B629DA">
        <w:rPr>
          <w:szCs w:val="20"/>
        </w:rPr>
        <w:t>Planning and Economic Development</w:t>
      </w:r>
      <w:r w:rsidRPr="00357750">
        <w:rPr>
          <w:szCs w:val="20"/>
        </w:rPr>
        <w:t xml:space="preserve"> Act, Act No. 6 of 2008 for surface mining.  The application has been approved by the Municipal Council.  Two appeals were lodged </w:t>
      </w:r>
      <w:r w:rsidR="00703CE6" w:rsidRPr="00357750">
        <w:rPr>
          <w:szCs w:val="20"/>
        </w:rPr>
        <w:t>against</w:t>
      </w:r>
      <w:r w:rsidRPr="00357750">
        <w:rPr>
          <w:szCs w:val="20"/>
        </w:rPr>
        <w:t xml:space="preserve"> the decision taken by the Municipality.  At the time of finalizing this IDP Review, the appeal process has not been concluded. </w:t>
      </w:r>
    </w:p>
    <w:p w14:paraId="1E9642A8" w14:textId="5EFB4D8B" w:rsidR="00C92596" w:rsidRDefault="00C92596" w:rsidP="00750180">
      <w:pPr>
        <w:pStyle w:val="Heading4"/>
        <w:numPr>
          <w:ilvl w:val="3"/>
          <w:numId w:val="29"/>
        </w:numPr>
        <w:spacing w:after="240"/>
      </w:pPr>
      <w:r>
        <w:t>Job Creation (Through EPWP)</w:t>
      </w:r>
    </w:p>
    <w:p w14:paraId="7D7AA466" w14:textId="77777777" w:rsidR="00035A5F" w:rsidRDefault="00C92596" w:rsidP="00035A5F">
      <w:pPr>
        <w:pStyle w:val="Heading4"/>
        <w:spacing w:after="240"/>
        <w:jc w:val="both"/>
        <w:rPr>
          <w:b w:val="0"/>
        </w:rPr>
      </w:pPr>
      <w:r>
        <w:rPr>
          <w:b w:val="0"/>
        </w:rPr>
        <w:t xml:space="preserve">Through the roll out of EPWP (Poverty Alleviation Initiatives) the municipality has created 745 EPWP Job opportunities against a target of 650 in the 2016/17 financial year. In the 2018/19 financial year the municipality has set a target of 931 EPWP job opportunities. The municipality has set </w:t>
      </w:r>
      <w:r w:rsidR="00035A5F">
        <w:rPr>
          <w:b w:val="0"/>
        </w:rPr>
        <w:t xml:space="preserve">aside a </w:t>
      </w:r>
      <w:r w:rsidRPr="00C92596">
        <w:rPr>
          <w:b w:val="0"/>
        </w:rPr>
        <w:t xml:space="preserve">Job Creation Budget </w:t>
      </w:r>
      <w:r w:rsidR="00035A5F">
        <w:rPr>
          <w:b w:val="0"/>
        </w:rPr>
        <w:t xml:space="preserve">of R 6 </w:t>
      </w:r>
      <w:r w:rsidRPr="00C92596">
        <w:rPr>
          <w:b w:val="0"/>
        </w:rPr>
        <w:t>657</w:t>
      </w:r>
      <w:r w:rsidR="00035A5F">
        <w:rPr>
          <w:b w:val="0"/>
        </w:rPr>
        <w:t> </w:t>
      </w:r>
      <w:r w:rsidRPr="00C92596">
        <w:rPr>
          <w:b w:val="0"/>
        </w:rPr>
        <w:t>000</w:t>
      </w:r>
      <w:r w:rsidR="00035A5F">
        <w:rPr>
          <w:b w:val="0"/>
        </w:rPr>
        <w:t>.00 in the 2018/19 financial year. Following poverty alleviation programs are rolled out by the municipality through EPWP;</w:t>
      </w:r>
    </w:p>
    <w:p w14:paraId="703D2756" w14:textId="45F5E60C" w:rsidR="00035A5F" w:rsidRDefault="00035A5F" w:rsidP="00750180">
      <w:pPr>
        <w:pStyle w:val="Heading4"/>
        <w:numPr>
          <w:ilvl w:val="0"/>
          <w:numId w:val="133"/>
        </w:numPr>
        <w:spacing w:before="0" w:line="240" w:lineRule="auto"/>
        <w:jc w:val="both"/>
        <w:rPr>
          <w:b w:val="0"/>
        </w:rPr>
      </w:pPr>
      <w:r w:rsidRPr="00035A5F">
        <w:rPr>
          <w:b w:val="0"/>
        </w:rPr>
        <w:t xml:space="preserve">Food </w:t>
      </w:r>
      <w:r w:rsidR="00B92644" w:rsidRPr="00035A5F">
        <w:rPr>
          <w:b w:val="0"/>
        </w:rPr>
        <w:t>for</w:t>
      </w:r>
      <w:r w:rsidRPr="00035A5F">
        <w:rPr>
          <w:b w:val="0"/>
        </w:rPr>
        <w:t xml:space="preserve"> Waste</w:t>
      </w:r>
    </w:p>
    <w:p w14:paraId="7C03A106" w14:textId="751AF737" w:rsidR="00035A5F" w:rsidRPr="00035A5F" w:rsidRDefault="00035A5F" w:rsidP="00750180">
      <w:pPr>
        <w:pStyle w:val="Heading4"/>
        <w:numPr>
          <w:ilvl w:val="0"/>
          <w:numId w:val="133"/>
        </w:numPr>
        <w:spacing w:before="0" w:line="240" w:lineRule="auto"/>
        <w:jc w:val="both"/>
        <w:rPr>
          <w:b w:val="0"/>
        </w:rPr>
      </w:pPr>
      <w:r w:rsidRPr="00035A5F">
        <w:rPr>
          <w:b w:val="0"/>
        </w:rPr>
        <w:t xml:space="preserve">Ward against Poverty </w:t>
      </w:r>
    </w:p>
    <w:p w14:paraId="324560D6" w14:textId="2B4A0C12" w:rsidR="00035A5F" w:rsidRPr="00035A5F" w:rsidRDefault="00035A5F" w:rsidP="00750180">
      <w:pPr>
        <w:pStyle w:val="Heading4"/>
        <w:numPr>
          <w:ilvl w:val="0"/>
          <w:numId w:val="133"/>
        </w:numPr>
        <w:spacing w:before="0" w:line="240" w:lineRule="auto"/>
        <w:jc w:val="both"/>
        <w:rPr>
          <w:b w:val="0"/>
        </w:rPr>
      </w:pPr>
      <w:r w:rsidRPr="00035A5F">
        <w:rPr>
          <w:b w:val="0"/>
        </w:rPr>
        <w:t>Road Safety Programs</w:t>
      </w:r>
    </w:p>
    <w:p w14:paraId="2AA0BCBF" w14:textId="4131E10E" w:rsidR="00035A5F" w:rsidRPr="00035A5F" w:rsidRDefault="00035A5F" w:rsidP="00750180">
      <w:pPr>
        <w:pStyle w:val="Heading4"/>
        <w:numPr>
          <w:ilvl w:val="0"/>
          <w:numId w:val="133"/>
        </w:numPr>
        <w:spacing w:before="0" w:line="240" w:lineRule="auto"/>
        <w:jc w:val="both"/>
        <w:rPr>
          <w:b w:val="0"/>
        </w:rPr>
      </w:pPr>
      <w:r w:rsidRPr="00035A5F">
        <w:rPr>
          <w:b w:val="0"/>
        </w:rPr>
        <w:t>Grass Cutting</w:t>
      </w:r>
      <w:r>
        <w:rPr>
          <w:b w:val="0"/>
        </w:rPr>
        <w:t xml:space="preserve"> Projects</w:t>
      </w:r>
    </w:p>
    <w:p w14:paraId="42B11A00" w14:textId="56A60FA8" w:rsidR="00C92596" w:rsidRDefault="00035A5F" w:rsidP="00750180">
      <w:pPr>
        <w:pStyle w:val="Heading4"/>
        <w:numPr>
          <w:ilvl w:val="0"/>
          <w:numId w:val="133"/>
        </w:numPr>
        <w:spacing w:before="0" w:after="240" w:line="240" w:lineRule="auto"/>
        <w:jc w:val="both"/>
        <w:rPr>
          <w:b w:val="0"/>
        </w:rPr>
      </w:pPr>
      <w:r w:rsidRPr="00035A5F">
        <w:rPr>
          <w:b w:val="0"/>
        </w:rPr>
        <w:t>Weed Eradication</w:t>
      </w:r>
      <w:r>
        <w:rPr>
          <w:b w:val="0"/>
        </w:rPr>
        <w:t xml:space="preserve"> </w:t>
      </w:r>
    </w:p>
    <w:p w14:paraId="05873481" w14:textId="34B071B1" w:rsidR="00B92644" w:rsidRPr="00B92644" w:rsidRDefault="00B92644" w:rsidP="00B92644">
      <w:pPr>
        <w:jc w:val="both"/>
      </w:pPr>
      <w:r>
        <w:t xml:space="preserve">The municipality is working on a continuation model that will see the EPWP beneficiaries being mentored to establishing their own entities which will then enable them to use the experience and skills attained through the various programs of EPWP in business and subcontracting. </w:t>
      </w:r>
    </w:p>
    <w:p w14:paraId="2806BD5A" w14:textId="0C616BCE" w:rsidR="00B17667" w:rsidRDefault="00B17667" w:rsidP="00750180">
      <w:pPr>
        <w:pStyle w:val="Heading4"/>
        <w:numPr>
          <w:ilvl w:val="3"/>
          <w:numId w:val="29"/>
        </w:numPr>
        <w:spacing w:after="240"/>
      </w:pPr>
      <w:r w:rsidRPr="00B17667">
        <w:t>Collaborative Agreements</w:t>
      </w:r>
    </w:p>
    <w:p w14:paraId="6071B6AC" w14:textId="0D62CA6F" w:rsidR="003F34A6" w:rsidRPr="003F34A6" w:rsidRDefault="003F34A6" w:rsidP="003F34A6">
      <w:r>
        <w:t xml:space="preserve">The municipality has formulated collaborative agreements with the following stakeholders </w:t>
      </w:r>
      <w:r w:rsidR="00AC14AB">
        <w:t>in the form of ongoing partnerships through MOUs;</w:t>
      </w:r>
    </w:p>
    <w:tbl>
      <w:tblPr>
        <w:tblStyle w:val="TableGrid"/>
        <w:tblW w:w="0" w:type="auto"/>
        <w:tblLook w:val="04A0" w:firstRow="1" w:lastRow="0" w:firstColumn="1" w:lastColumn="0" w:noHBand="0" w:noVBand="1"/>
      </w:tblPr>
      <w:tblGrid>
        <w:gridCol w:w="4508"/>
        <w:gridCol w:w="4508"/>
      </w:tblGrid>
      <w:tr w:rsidR="00B17667" w:rsidRPr="00B17667" w14:paraId="72915466" w14:textId="77777777" w:rsidTr="00B17667">
        <w:tc>
          <w:tcPr>
            <w:tcW w:w="4508" w:type="dxa"/>
            <w:shd w:val="clear" w:color="auto" w:fill="D9D9D9" w:themeFill="background1" w:themeFillShade="D9"/>
          </w:tcPr>
          <w:p w14:paraId="53E00332" w14:textId="77777777" w:rsidR="00B17667" w:rsidRPr="00B17667" w:rsidRDefault="00B17667" w:rsidP="00B17667">
            <w:pPr>
              <w:rPr>
                <w:b/>
                <w:szCs w:val="20"/>
              </w:rPr>
            </w:pPr>
            <w:r w:rsidRPr="00B17667">
              <w:rPr>
                <w:b/>
                <w:szCs w:val="20"/>
              </w:rPr>
              <w:t>Partnerships/MOUs/Agreements</w:t>
            </w:r>
          </w:p>
        </w:tc>
        <w:tc>
          <w:tcPr>
            <w:tcW w:w="4508" w:type="dxa"/>
            <w:shd w:val="clear" w:color="auto" w:fill="D9D9D9" w:themeFill="background1" w:themeFillShade="D9"/>
          </w:tcPr>
          <w:p w14:paraId="53E77C1D" w14:textId="77777777" w:rsidR="00B17667" w:rsidRPr="00B17667" w:rsidRDefault="00B17667" w:rsidP="00B17667">
            <w:pPr>
              <w:rPr>
                <w:b/>
                <w:szCs w:val="20"/>
              </w:rPr>
            </w:pPr>
            <w:r w:rsidRPr="00B17667">
              <w:rPr>
                <w:b/>
                <w:szCs w:val="20"/>
              </w:rPr>
              <w:t>Scope of Work</w:t>
            </w:r>
          </w:p>
        </w:tc>
      </w:tr>
      <w:tr w:rsidR="00B17667" w:rsidRPr="00B17667" w14:paraId="3E828F17" w14:textId="77777777" w:rsidTr="003560AA">
        <w:tc>
          <w:tcPr>
            <w:tcW w:w="4508" w:type="dxa"/>
          </w:tcPr>
          <w:p w14:paraId="4C5FD486" w14:textId="77777777" w:rsidR="00B17667" w:rsidRPr="00B17667" w:rsidRDefault="00B17667" w:rsidP="00B17667">
            <w:pPr>
              <w:rPr>
                <w:szCs w:val="20"/>
              </w:rPr>
            </w:pPr>
            <w:r w:rsidRPr="00B17667">
              <w:rPr>
                <w:szCs w:val="20"/>
              </w:rPr>
              <w:t>uMhlathuze Water</w:t>
            </w:r>
          </w:p>
        </w:tc>
        <w:tc>
          <w:tcPr>
            <w:tcW w:w="4508" w:type="dxa"/>
          </w:tcPr>
          <w:p w14:paraId="1369021B" w14:textId="77777777" w:rsidR="00B17667" w:rsidRPr="00B17667" w:rsidRDefault="00B17667" w:rsidP="00B17667">
            <w:pPr>
              <w:rPr>
                <w:szCs w:val="20"/>
              </w:rPr>
            </w:pPr>
            <w:r w:rsidRPr="00B17667">
              <w:rPr>
                <w:szCs w:val="20"/>
              </w:rPr>
              <w:t>uMlalazi Trader Stalls in Ward 2</w:t>
            </w:r>
          </w:p>
        </w:tc>
      </w:tr>
      <w:tr w:rsidR="00B17667" w:rsidRPr="00B17667" w14:paraId="2064CD08" w14:textId="77777777" w:rsidTr="003560AA">
        <w:tc>
          <w:tcPr>
            <w:tcW w:w="4508" w:type="dxa"/>
          </w:tcPr>
          <w:p w14:paraId="31B8318F" w14:textId="77777777" w:rsidR="00B17667" w:rsidRPr="00B17667" w:rsidRDefault="00B17667" w:rsidP="00B17667">
            <w:pPr>
              <w:rPr>
                <w:szCs w:val="20"/>
              </w:rPr>
            </w:pPr>
            <w:r w:rsidRPr="00B17667">
              <w:rPr>
                <w:szCs w:val="20"/>
              </w:rPr>
              <w:t>Department of Rural Development and Land Reform</w:t>
            </w:r>
          </w:p>
        </w:tc>
        <w:tc>
          <w:tcPr>
            <w:tcW w:w="4508" w:type="dxa"/>
          </w:tcPr>
          <w:p w14:paraId="02520A61" w14:textId="77777777" w:rsidR="00B17667" w:rsidRPr="00B17667" w:rsidRDefault="00B17667" w:rsidP="00B17667">
            <w:pPr>
              <w:rPr>
                <w:szCs w:val="20"/>
              </w:rPr>
            </w:pPr>
            <w:r w:rsidRPr="00B17667">
              <w:rPr>
                <w:szCs w:val="20"/>
              </w:rPr>
              <w:t>NARYSEC Youth Development Program</w:t>
            </w:r>
          </w:p>
        </w:tc>
      </w:tr>
      <w:tr w:rsidR="00B17667" w:rsidRPr="00B17667" w14:paraId="6412159E" w14:textId="77777777" w:rsidTr="003560AA">
        <w:tc>
          <w:tcPr>
            <w:tcW w:w="4508" w:type="dxa"/>
          </w:tcPr>
          <w:p w14:paraId="561A82AD" w14:textId="77777777" w:rsidR="00B17667" w:rsidRPr="00B17667" w:rsidRDefault="00B17667" w:rsidP="00B17667">
            <w:pPr>
              <w:rPr>
                <w:szCs w:val="20"/>
              </w:rPr>
            </w:pPr>
            <w:r w:rsidRPr="00B17667">
              <w:rPr>
                <w:szCs w:val="20"/>
              </w:rPr>
              <w:t>NYDA</w:t>
            </w:r>
          </w:p>
        </w:tc>
        <w:tc>
          <w:tcPr>
            <w:tcW w:w="4508" w:type="dxa"/>
          </w:tcPr>
          <w:p w14:paraId="5213FE5D" w14:textId="77777777" w:rsidR="00B17667" w:rsidRPr="00B17667" w:rsidRDefault="00B17667" w:rsidP="00B17667">
            <w:pPr>
              <w:rPr>
                <w:szCs w:val="20"/>
              </w:rPr>
            </w:pPr>
            <w:r w:rsidRPr="00B17667">
              <w:rPr>
                <w:szCs w:val="20"/>
              </w:rPr>
              <w:t xml:space="preserve">Youth Development Programs (LED &amp; Social) </w:t>
            </w:r>
          </w:p>
        </w:tc>
      </w:tr>
      <w:tr w:rsidR="00B17667" w:rsidRPr="00B17667" w14:paraId="4F7599F2" w14:textId="77777777" w:rsidTr="003560AA">
        <w:tc>
          <w:tcPr>
            <w:tcW w:w="4508" w:type="dxa"/>
          </w:tcPr>
          <w:p w14:paraId="24D43474" w14:textId="77777777" w:rsidR="00B17667" w:rsidRPr="00B17667" w:rsidRDefault="00B17667" w:rsidP="00B17667">
            <w:pPr>
              <w:rPr>
                <w:szCs w:val="20"/>
              </w:rPr>
            </w:pPr>
            <w:r w:rsidRPr="00B17667">
              <w:rPr>
                <w:szCs w:val="20"/>
              </w:rPr>
              <w:t>Tronox</w:t>
            </w:r>
          </w:p>
        </w:tc>
        <w:tc>
          <w:tcPr>
            <w:tcW w:w="4508" w:type="dxa"/>
          </w:tcPr>
          <w:p w14:paraId="7BED08C0" w14:textId="77777777" w:rsidR="00B17667" w:rsidRPr="00B17667" w:rsidRDefault="00B17667" w:rsidP="00B17667">
            <w:pPr>
              <w:rPr>
                <w:szCs w:val="20"/>
              </w:rPr>
            </w:pPr>
            <w:r w:rsidRPr="00B17667">
              <w:rPr>
                <w:szCs w:val="20"/>
              </w:rPr>
              <w:t>Community Social Investment (Capital Projects)</w:t>
            </w:r>
          </w:p>
        </w:tc>
      </w:tr>
      <w:tr w:rsidR="00B17667" w:rsidRPr="00B17667" w14:paraId="32E49B61" w14:textId="77777777" w:rsidTr="003560AA">
        <w:tc>
          <w:tcPr>
            <w:tcW w:w="4508" w:type="dxa"/>
          </w:tcPr>
          <w:p w14:paraId="6D9FBDD7" w14:textId="77777777" w:rsidR="00B17667" w:rsidRPr="00B17667" w:rsidRDefault="00B17667" w:rsidP="00B17667">
            <w:pPr>
              <w:rPr>
                <w:szCs w:val="20"/>
              </w:rPr>
            </w:pPr>
            <w:r w:rsidRPr="00B17667">
              <w:rPr>
                <w:szCs w:val="20"/>
              </w:rPr>
              <w:t>KCDM</w:t>
            </w:r>
          </w:p>
        </w:tc>
        <w:tc>
          <w:tcPr>
            <w:tcW w:w="4508" w:type="dxa"/>
          </w:tcPr>
          <w:p w14:paraId="2442D4A6" w14:textId="77777777" w:rsidR="00B17667" w:rsidRPr="00B17667" w:rsidRDefault="00B17667" w:rsidP="00B17667">
            <w:pPr>
              <w:rPr>
                <w:szCs w:val="20"/>
              </w:rPr>
            </w:pPr>
            <w:r w:rsidRPr="00B17667">
              <w:rPr>
                <w:szCs w:val="20"/>
              </w:rPr>
              <w:t>Coastal Development Projects</w:t>
            </w:r>
          </w:p>
        </w:tc>
      </w:tr>
      <w:tr w:rsidR="00B17667" w:rsidRPr="00B17667" w14:paraId="035F7C3E" w14:textId="77777777" w:rsidTr="003560AA">
        <w:tc>
          <w:tcPr>
            <w:tcW w:w="4508" w:type="dxa"/>
          </w:tcPr>
          <w:p w14:paraId="07299F20" w14:textId="77777777" w:rsidR="00B17667" w:rsidRPr="00B17667" w:rsidRDefault="00B17667" w:rsidP="00B17667">
            <w:pPr>
              <w:rPr>
                <w:szCs w:val="20"/>
              </w:rPr>
            </w:pPr>
            <w:r w:rsidRPr="00B17667">
              <w:rPr>
                <w:szCs w:val="20"/>
              </w:rPr>
              <w:t>Izibuko The Bridge (ITB)</w:t>
            </w:r>
          </w:p>
        </w:tc>
        <w:tc>
          <w:tcPr>
            <w:tcW w:w="4508" w:type="dxa"/>
          </w:tcPr>
          <w:p w14:paraId="62CA3BA8" w14:textId="77777777" w:rsidR="00B17667" w:rsidRPr="00B17667" w:rsidRDefault="00B17667" w:rsidP="00B17667">
            <w:pPr>
              <w:rPr>
                <w:szCs w:val="20"/>
              </w:rPr>
            </w:pPr>
            <w:r w:rsidRPr="00B17667">
              <w:rPr>
                <w:szCs w:val="20"/>
              </w:rPr>
              <w:t>Electrical Learnership Program</w:t>
            </w:r>
          </w:p>
        </w:tc>
      </w:tr>
      <w:tr w:rsidR="00B17667" w:rsidRPr="00B17667" w14:paraId="2E446231" w14:textId="77777777" w:rsidTr="003560AA">
        <w:tc>
          <w:tcPr>
            <w:tcW w:w="4508" w:type="dxa"/>
          </w:tcPr>
          <w:p w14:paraId="012E12B2" w14:textId="77777777" w:rsidR="00B17667" w:rsidRPr="00B17667" w:rsidRDefault="00B17667" w:rsidP="00B17667">
            <w:pPr>
              <w:rPr>
                <w:szCs w:val="20"/>
              </w:rPr>
            </w:pPr>
            <w:r w:rsidRPr="00B17667">
              <w:rPr>
                <w:szCs w:val="20"/>
              </w:rPr>
              <w:t>SEDA</w:t>
            </w:r>
          </w:p>
        </w:tc>
        <w:tc>
          <w:tcPr>
            <w:tcW w:w="4508" w:type="dxa"/>
          </w:tcPr>
          <w:p w14:paraId="5F8FE4AB" w14:textId="77777777" w:rsidR="00B17667" w:rsidRPr="00B17667" w:rsidRDefault="00B17667" w:rsidP="00B17667">
            <w:pPr>
              <w:rPr>
                <w:szCs w:val="20"/>
              </w:rPr>
            </w:pPr>
            <w:r w:rsidRPr="00B17667">
              <w:rPr>
                <w:szCs w:val="20"/>
              </w:rPr>
              <w:t>Informal Traders Upliftment Program</w:t>
            </w:r>
          </w:p>
        </w:tc>
      </w:tr>
    </w:tbl>
    <w:p w14:paraId="63ABBE25" w14:textId="04FC1A35" w:rsidR="00B17667" w:rsidRPr="00B17667" w:rsidRDefault="003F34A6" w:rsidP="003F34A6">
      <w:pPr>
        <w:pStyle w:val="Caption"/>
      </w:pPr>
      <w:bookmarkStart w:id="418" w:name="_Toc510622310"/>
      <w:r>
        <w:t xml:space="preserve">Table </w:t>
      </w:r>
      <w:r w:rsidR="00B918A6">
        <w:fldChar w:fldCharType="begin"/>
      </w:r>
      <w:r w:rsidR="00B918A6">
        <w:instrText xml:space="preserve"> SEQ Table \* ARABIC </w:instrText>
      </w:r>
      <w:r w:rsidR="00B918A6">
        <w:fldChar w:fldCharType="separate"/>
      </w:r>
      <w:r w:rsidR="0067023A">
        <w:rPr>
          <w:noProof/>
        </w:rPr>
        <w:t>60</w:t>
      </w:r>
      <w:r w:rsidR="00B918A6">
        <w:rPr>
          <w:noProof/>
        </w:rPr>
        <w:fldChar w:fldCharType="end"/>
      </w:r>
      <w:r>
        <w:t>: Collaborative Agreements</w:t>
      </w:r>
      <w:bookmarkEnd w:id="418"/>
    </w:p>
    <w:p w14:paraId="588EB469" w14:textId="77777777" w:rsidR="0037082E" w:rsidRPr="00C83B6B" w:rsidRDefault="0037082E" w:rsidP="00750180">
      <w:pPr>
        <w:pStyle w:val="Heading4"/>
        <w:numPr>
          <w:ilvl w:val="3"/>
          <w:numId w:val="29"/>
        </w:numPr>
        <w:spacing w:after="240"/>
      </w:pPr>
      <w:bookmarkStart w:id="419" w:name="_Toc389739971"/>
      <w:r w:rsidRPr="00C83B6B">
        <w:t>Local Economic Development: SWOT Analysis</w:t>
      </w:r>
      <w:bookmarkEnd w:id="419"/>
    </w:p>
    <w:p w14:paraId="75AC0AB1" w14:textId="77777777" w:rsidR="00393C5A" w:rsidRPr="00393C5A" w:rsidRDefault="00393C5A" w:rsidP="00393C5A">
      <w:pPr>
        <w:rPr>
          <w:b/>
        </w:rPr>
      </w:pPr>
      <w:r w:rsidRPr="00393C5A">
        <w:rPr>
          <w:b/>
        </w:rPr>
        <w:t>STRENGTHS</w:t>
      </w:r>
    </w:p>
    <w:p w14:paraId="64232461" w14:textId="77777777" w:rsidR="00393C5A" w:rsidRDefault="00393C5A" w:rsidP="00750180">
      <w:pPr>
        <w:pStyle w:val="ListParagraph"/>
        <w:numPr>
          <w:ilvl w:val="0"/>
          <w:numId w:val="58"/>
        </w:numPr>
      </w:pPr>
      <w:r w:rsidRPr="00393C5A">
        <w:t>A diverse and rich cultural heritage and h</w:t>
      </w:r>
      <w:r>
        <w:t xml:space="preserve">as broad international appeal; </w:t>
      </w:r>
    </w:p>
    <w:p w14:paraId="333795A6" w14:textId="77777777" w:rsidR="00393C5A" w:rsidRDefault="00393C5A" w:rsidP="00750180">
      <w:pPr>
        <w:pStyle w:val="ListParagraph"/>
        <w:numPr>
          <w:ilvl w:val="0"/>
          <w:numId w:val="58"/>
        </w:numPr>
      </w:pPr>
      <w:r w:rsidRPr="00393C5A">
        <w:t>Quality of natural endowments, be</w:t>
      </w:r>
      <w:r>
        <w:t xml:space="preserve">aches, climate; </w:t>
      </w:r>
    </w:p>
    <w:p w14:paraId="7674D72B" w14:textId="77777777" w:rsidR="00393C5A" w:rsidRDefault="00393C5A" w:rsidP="00750180">
      <w:pPr>
        <w:pStyle w:val="ListParagraph"/>
        <w:numPr>
          <w:ilvl w:val="0"/>
          <w:numId w:val="58"/>
        </w:numPr>
      </w:pPr>
      <w:r w:rsidRPr="00393C5A">
        <w:t>Prominent sugar can</w:t>
      </w:r>
      <w:r>
        <w:t xml:space="preserve">e mill run in its own entity; </w:t>
      </w:r>
    </w:p>
    <w:p w14:paraId="7B6F92F7" w14:textId="77777777" w:rsidR="00393C5A" w:rsidRDefault="00393C5A" w:rsidP="00750180">
      <w:pPr>
        <w:pStyle w:val="ListParagraph"/>
        <w:numPr>
          <w:ilvl w:val="0"/>
          <w:numId w:val="58"/>
        </w:numPr>
      </w:pPr>
      <w:r w:rsidRPr="00393C5A">
        <w:t>High concentration of areas of suga</w:t>
      </w:r>
      <w:r>
        <w:t xml:space="preserve">r can that has been untapped; </w:t>
      </w:r>
    </w:p>
    <w:p w14:paraId="026601CC" w14:textId="77777777" w:rsidR="00393C5A" w:rsidRDefault="00393C5A" w:rsidP="00750180">
      <w:pPr>
        <w:pStyle w:val="ListParagraph"/>
        <w:numPr>
          <w:ilvl w:val="0"/>
          <w:numId w:val="58"/>
        </w:numPr>
      </w:pPr>
      <w:r w:rsidRPr="00393C5A">
        <w:t>Goo</w:t>
      </w:r>
      <w:r>
        <w:t xml:space="preserve">d existing agricultural base; </w:t>
      </w:r>
    </w:p>
    <w:p w14:paraId="1E5FB086" w14:textId="77777777" w:rsidR="00393C5A" w:rsidRDefault="00393C5A" w:rsidP="00750180">
      <w:pPr>
        <w:pStyle w:val="ListParagraph"/>
        <w:numPr>
          <w:ilvl w:val="0"/>
          <w:numId w:val="58"/>
        </w:numPr>
      </w:pPr>
      <w:r w:rsidRPr="00393C5A">
        <w:t>Satisfacto</w:t>
      </w:r>
      <w:r>
        <w:t xml:space="preserve">ry business service industry; </w:t>
      </w:r>
    </w:p>
    <w:p w14:paraId="5803CE1C" w14:textId="77777777" w:rsidR="00393C5A" w:rsidRDefault="00393C5A" w:rsidP="00750180">
      <w:pPr>
        <w:pStyle w:val="ListParagraph"/>
        <w:numPr>
          <w:ilvl w:val="0"/>
          <w:numId w:val="58"/>
        </w:numPr>
      </w:pPr>
      <w:r w:rsidRPr="00393C5A">
        <w:t xml:space="preserve">A good </w:t>
      </w:r>
      <w:r>
        <w:t xml:space="preserve">transport network for the N2; </w:t>
      </w:r>
    </w:p>
    <w:p w14:paraId="2506F951" w14:textId="77777777" w:rsidR="00393C5A" w:rsidRDefault="00393C5A" w:rsidP="00750180">
      <w:pPr>
        <w:pStyle w:val="ListParagraph"/>
        <w:numPr>
          <w:ilvl w:val="0"/>
          <w:numId w:val="58"/>
        </w:numPr>
      </w:pPr>
      <w:r w:rsidRPr="00393C5A">
        <w:t xml:space="preserve">Close proximity to industrial </w:t>
      </w:r>
      <w:r w:rsidR="009B286E" w:rsidRPr="00393C5A">
        <w:t>center</w:t>
      </w:r>
      <w:r w:rsidRPr="00393C5A">
        <w:t xml:space="preserve"> in Richards Bay.</w:t>
      </w:r>
    </w:p>
    <w:p w14:paraId="1797568B" w14:textId="77777777" w:rsidR="00393C5A" w:rsidRDefault="00393C5A" w:rsidP="00393C5A">
      <w:pPr>
        <w:rPr>
          <w:b/>
        </w:rPr>
      </w:pPr>
      <w:r w:rsidRPr="00393C5A">
        <w:rPr>
          <w:b/>
        </w:rPr>
        <w:t>WEAKNESSES</w:t>
      </w:r>
    </w:p>
    <w:p w14:paraId="23DFDC3A" w14:textId="77777777" w:rsidR="00952EFB" w:rsidRDefault="00393C5A" w:rsidP="00750180">
      <w:pPr>
        <w:pStyle w:val="ListParagraph"/>
        <w:numPr>
          <w:ilvl w:val="0"/>
          <w:numId w:val="59"/>
        </w:numPr>
        <w:jc w:val="both"/>
      </w:pPr>
      <w:r w:rsidRPr="00393C5A">
        <w:t>The backlog of basic services such as wa</w:t>
      </w:r>
      <w:r w:rsidR="00952EFB">
        <w:t xml:space="preserve">ter, sanitation, electricity; </w:t>
      </w:r>
    </w:p>
    <w:p w14:paraId="5E106CB8" w14:textId="77777777" w:rsidR="00952EFB" w:rsidRDefault="00393C5A" w:rsidP="00750180">
      <w:pPr>
        <w:pStyle w:val="ListParagraph"/>
        <w:numPr>
          <w:ilvl w:val="0"/>
          <w:numId w:val="59"/>
        </w:numPr>
        <w:jc w:val="both"/>
      </w:pPr>
      <w:r w:rsidRPr="00393C5A">
        <w:t>Poor access to rural a</w:t>
      </w:r>
      <w:r w:rsidR="00952EFB">
        <w:t xml:space="preserve">reas; </w:t>
      </w:r>
    </w:p>
    <w:p w14:paraId="3727ABE8" w14:textId="77777777" w:rsidR="00952EFB" w:rsidRDefault="00952EFB" w:rsidP="00750180">
      <w:pPr>
        <w:pStyle w:val="ListParagraph"/>
        <w:numPr>
          <w:ilvl w:val="0"/>
          <w:numId w:val="59"/>
        </w:numPr>
        <w:jc w:val="both"/>
      </w:pPr>
      <w:r>
        <w:t>Lack of value-adding;</w:t>
      </w:r>
    </w:p>
    <w:p w14:paraId="07FAADB0" w14:textId="77777777" w:rsidR="00952EFB" w:rsidRDefault="00393C5A" w:rsidP="00750180">
      <w:pPr>
        <w:pStyle w:val="ListParagraph"/>
        <w:numPr>
          <w:ilvl w:val="0"/>
          <w:numId w:val="59"/>
        </w:numPr>
        <w:jc w:val="both"/>
      </w:pPr>
      <w:r w:rsidRPr="00393C5A">
        <w:t>Ineffective linking of</w:t>
      </w:r>
      <w:r w:rsidR="00952EFB">
        <w:t xml:space="preserve"> graduates to private sector;</w:t>
      </w:r>
    </w:p>
    <w:p w14:paraId="36E5FA93" w14:textId="77777777" w:rsidR="00952EFB" w:rsidRDefault="00393C5A" w:rsidP="00750180">
      <w:pPr>
        <w:pStyle w:val="ListParagraph"/>
        <w:numPr>
          <w:ilvl w:val="0"/>
          <w:numId w:val="59"/>
        </w:numPr>
        <w:jc w:val="both"/>
      </w:pPr>
      <w:r w:rsidRPr="00393C5A">
        <w:t>Insufficient funding for the im</w:t>
      </w:r>
      <w:r w:rsidR="00952EFB">
        <w:t xml:space="preserve">plementation of LED projects; </w:t>
      </w:r>
    </w:p>
    <w:p w14:paraId="2FCAB7BD" w14:textId="77777777" w:rsidR="00952EFB" w:rsidRDefault="00393C5A" w:rsidP="00750180">
      <w:pPr>
        <w:pStyle w:val="ListParagraph"/>
        <w:numPr>
          <w:ilvl w:val="0"/>
          <w:numId w:val="59"/>
        </w:numPr>
        <w:jc w:val="both"/>
      </w:pPr>
      <w:r w:rsidRPr="00393C5A">
        <w:t>Lack of coordination between the private and public sector (especially provincial and national departme</w:t>
      </w:r>
      <w:r w:rsidR="00952EFB">
        <w:t xml:space="preserve">nts relevant to the project); </w:t>
      </w:r>
    </w:p>
    <w:p w14:paraId="0EF79B70" w14:textId="77777777" w:rsidR="00952EFB" w:rsidRDefault="00393C5A" w:rsidP="00750180">
      <w:pPr>
        <w:pStyle w:val="ListParagraph"/>
        <w:numPr>
          <w:ilvl w:val="0"/>
          <w:numId w:val="59"/>
        </w:numPr>
        <w:jc w:val="both"/>
      </w:pPr>
      <w:r w:rsidRPr="00393C5A">
        <w:t>Ineffective fina</w:t>
      </w:r>
      <w:r w:rsidR="00952EFB">
        <w:t xml:space="preserve">ncial and project management; </w:t>
      </w:r>
    </w:p>
    <w:p w14:paraId="4C12DFFE" w14:textId="77777777" w:rsidR="00952EFB" w:rsidRDefault="00393C5A" w:rsidP="00750180">
      <w:pPr>
        <w:pStyle w:val="ListParagraph"/>
        <w:numPr>
          <w:ilvl w:val="0"/>
          <w:numId w:val="59"/>
        </w:numPr>
        <w:jc w:val="both"/>
      </w:pPr>
      <w:r w:rsidRPr="00393C5A">
        <w:t>Lack of new foreign and domestic investment (leading to a reduction in new technology an</w:t>
      </w:r>
      <w:r w:rsidR="00952EFB">
        <w:t xml:space="preserve">d therefore competitiveness); </w:t>
      </w:r>
    </w:p>
    <w:p w14:paraId="0B27F7FB" w14:textId="77777777" w:rsidR="00952EFB" w:rsidRDefault="00393C5A" w:rsidP="00750180">
      <w:pPr>
        <w:pStyle w:val="ListParagraph"/>
        <w:numPr>
          <w:ilvl w:val="0"/>
          <w:numId w:val="59"/>
        </w:numPr>
        <w:jc w:val="both"/>
      </w:pPr>
      <w:r w:rsidRPr="00393C5A">
        <w:t>Insufficient support for S</w:t>
      </w:r>
      <w:r w:rsidR="00952EFB">
        <w:t xml:space="preserve">MMEs and small-scale farmers; </w:t>
      </w:r>
    </w:p>
    <w:p w14:paraId="17611075" w14:textId="77777777" w:rsidR="00952EFB" w:rsidRDefault="00393C5A" w:rsidP="00750180">
      <w:pPr>
        <w:pStyle w:val="ListParagraph"/>
        <w:numPr>
          <w:ilvl w:val="0"/>
          <w:numId w:val="59"/>
        </w:numPr>
        <w:jc w:val="both"/>
      </w:pPr>
      <w:r w:rsidRPr="00393C5A">
        <w:t>Poor institutional support and assistance in the region from public sector (incl. relationships with national and pro</w:t>
      </w:r>
      <w:r w:rsidR="00952EFB">
        <w:t xml:space="preserve">vincial government and SOEs); </w:t>
      </w:r>
    </w:p>
    <w:p w14:paraId="01C11BCB" w14:textId="77777777" w:rsidR="00952EFB" w:rsidRDefault="00393C5A" w:rsidP="00750180">
      <w:pPr>
        <w:pStyle w:val="ListParagraph"/>
        <w:numPr>
          <w:ilvl w:val="0"/>
          <w:numId w:val="59"/>
        </w:numPr>
        <w:jc w:val="both"/>
      </w:pPr>
      <w:r w:rsidRPr="00393C5A">
        <w:t>The proposers of projects (often private sector initiators) are often omitted from motivating the pro</w:t>
      </w:r>
      <w:r w:rsidR="00952EFB">
        <w:t xml:space="preserve">posals and funding processes; </w:t>
      </w:r>
    </w:p>
    <w:p w14:paraId="6853F291" w14:textId="77777777" w:rsidR="00952EFB" w:rsidRDefault="00393C5A" w:rsidP="00750180">
      <w:pPr>
        <w:pStyle w:val="ListParagraph"/>
        <w:numPr>
          <w:ilvl w:val="0"/>
          <w:numId w:val="59"/>
        </w:numPr>
        <w:jc w:val="both"/>
      </w:pPr>
      <w:r w:rsidRPr="00393C5A">
        <w:t>Constrained capacity in local government officials to act as facilitators of LED initiati</w:t>
      </w:r>
      <w:r w:rsidR="00952EFB">
        <w:t xml:space="preserve">ves; </w:t>
      </w:r>
    </w:p>
    <w:p w14:paraId="778D8AE1" w14:textId="77777777" w:rsidR="00952EFB" w:rsidRDefault="00393C5A" w:rsidP="00750180">
      <w:pPr>
        <w:pStyle w:val="ListParagraph"/>
        <w:numPr>
          <w:ilvl w:val="0"/>
          <w:numId w:val="59"/>
        </w:numPr>
        <w:jc w:val="both"/>
      </w:pPr>
      <w:r w:rsidRPr="00393C5A">
        <w:t>Operational structuring (including cle</w:t>
      </w:r>
      <w:r w:rsidR="00952EFB">
        <w:t xml:space="preserve">arly defined land ownership); </w:t>
      </w:r>
    </w:p>
    <w:p w14:paraId="0C15C14B" w14:textId="77777777" w:rsidR="00952EFB" w:rsidRDefault="00393C5A" w:rsidP="00750180">
      <w:pPr>
        <w:pStyle w:val="ListParagraph"/>
        <w:numPr>
          <w:ilvl w:val="0"/>
          <w:numId w:val="59"/>
        </w:numPr>
        <w:jc w:val="both"/>
      </w:pPr>
      <w:r w:rsidRPr="00393C5A">
        <w:t>Low level of school completion and ski</w:t>
      </w:r>
      <w:r w:rsidR="00952EFB">
        <w:t xml:space="preserve">lls development and training; </w:t>
      </w:r>
    </w:p>
    <w:p w14:paraId="39A50EEC" w14:textId="77777777" w:rsidR="00952EFB" w:rsidRDefault="00393C5A" w:rsidP="00750180">
      <w:pPr>
        <w:pStyle w:val="ListParagraph"/>
        <w:numPr>
          <w:ilvl w:val="0"/>
          <w:numId w:val="59"/>
        </w:numPr>
        <w:jc w:val="both"/>
      </w:pPr>
      <w:r w:rsidRPr="00393C5A">
        <w:t>Lack of busi</w:t>
      </w:r>
      <w:r w:rsidR="00952EFB">
        <w:t xml:space="preserve">ness retention and expansion; </w:t>
      </w:r>
    </w:p>
    <w:p w14:paraId="0C3A41D0" w14:textId="77777777" w:rsidR="00952EFB" w:rsidRDefault="00952EFB" w:rsidP="00750180">
      <w:pPr>
        <w:pStyle w:val="ListParagraph"/>
        <w:numPr>
          <w:ilvl w:val="0"/>
          <w:numId w:val="59"/>
        </w:numPr>
        <w:jc w:val="both"/>
      </w:pPr>
      <w:r>
        <w:t xml:space="preserve">High levels of unemployment; </w:t>
      </w:r>
    </w:p>
    <w:p w14:paraId="31FB8661" w14:textId="77777777" w:rsidR="00952EFB" w:rsidRDefault="00393C5A" w:rsidP="00750180">
      <w:pPr>
        <w:pStyle w:val="ListParagraph"/>
        <w:numPr>
          <w:ilvl w:val="0"/>
          <w:numId w:val="59"/>
        </w:numPr>
        <w:jc w:val="both"/>
      </w:pPr>
      <w:r w:rsidRPr="00393C5A">
        <w:t>Inadequate infrastructure (road and rail</w:t>
      </w:r>
      <w:r w:rsidR="00952EFB">
        <w:t xml:space="preserve"> network, and bulk services); </w:t>
      </w:r>
    </w:p>
    <w:p w14:paraId="195F0B76" w14:textId="77777777" w:rsidR="00393C5A" w:rsidRDefault="00393C5A" w:rsidP="00750180">
      <w:pPr>
        <w:pStyle w:val="ListParagraph"/>
        <w:numPr>
          <w:ilvl w:val="0"/>
          <w:numId w:val="59"/>
        </w:numPr>
        <w:jc w:val="both"/>
      </w:pPr>
      <w:r w:rsidRPr="00393C5A">
        <w:t>Limited access to credit.</w:t>
      </w:r>
    </w:p>
    <w:p w14:paraId="6E4767A2" w14:textId="77777777" w:rsidR="00952EFB" w:rsidRDefault="00952EFB" w:rsidP="00952EFB">
      <w:pPr>
        <w:jc w:val="both"/>
        <w:rPr>
          <w:b/>
        </w:rPr>
      </w:pPr>
      <w:r w:rsidRPr="00952EFB">
        <w:rPr>
          <w:b/>
        </w:rPr>
        <w:t>OPPORTUNITIES</w:t>
      </w:r>
    </w:p>
    <w:p w14:paraId="445FB3C7" w14:textId="77777777" w:rsidR="00952EFB" w:rsidRDefault="00952EFB" w:rsidP="00750180">
      <w:pPr>
        <w:pStyle w:val="ListParagraph"/>
        <w:numPr>
          <w:ilvl w:val="0"/>
          <w:numId w:val="60"/>
        </w:numPr>
        <w:jc w:val="both"/>
      </w:pPr>
      <w:r w:rsidRPr="00952EFB">
        <w:t>Community development through agri-processing and com</w:t>
      </w:r>
      <w:r>
        <w:t xml:space="preserve">munity agricultural projects; </w:t>
      </w:r>
    </w:p>
    <w:p w14:paraId="2680B1EF" w14:textId="77777777" w:rsidR="00952EFB" w:rsidRDefault="00952EFB" w:rsidP="00750180">
      <w:pPr>
        <w:pStyle w:val="ListParagraph"/>
        <w:numPr>
          <w:ilvl w:val="0"/>
          <w:numId w:val="60"/>
        </w:numPr>
        <w:jc w:val="both"/>
      </w:pPr>
      <w:r w:rsidRPr="00952EFB">
        <w:t>Development of new value-chains in the agricultural sector (incl. bio-diesel and crushing of own sugar juice</w:t>
      </w:r>
      <w:r>
        <w:t>s);</w:t>
      </w:r>
    </w:p>
    <w:p w14:paraId="3236F318" w14:textId="77777777" w:rsidR="00952EFB" w:rsidRDefault="00952EFB" w:rsidP="00750180">
      <w:pPr>
        <w:pStyle w:val="ListParagraph"/>
        <w:numPr>
          <w:ilvl w:val="0"/>
          <w:numId w:val="60"/>
        </w:numPr>
        <w:jc w:val="both"/>
      </w:pPr>
      <w:r w:rsidRPr="00952EFB">
        <w:t>Linkages between agr</w:t>
      </w:r>
      <w:r>
        <w:t>iculture and business sector;</w:t>
      </w:r>
    </w:p>
    <w:p w14:paraId="0118AE53" w14:textId="77777777" w:rsidR="00952EFB" w:rsidRDefault="00952EFB" w:rsidP="00750180">
      <w:pPr>
        <w:pStyle w:val="ListParagraph"/>
        <w:numPr>
          <w:ilvl w:val="0"/>
          <w:numId w:val="60"/>
        </w:numPr>
        <w:jc w:val="both"/>
      </w:pPr>
      <w:r w:rsidRPr="00952EFB">
        <w:t>Diversification of the manufacturing sector and development of new value-chains (incl</w:t>
      </w:r>
      <w:r>
        <w:t xml:space="preserve">. renewable energy products); </w:t>
      </w:r>
    </w:p>
    <w:p w14:paraId="2AE44806" w14:textId="77777777" w:rsidR="00952EFB" w:rsidRDefault="00952EFB" w:rsidP="00750180">
      <w:pPr>
        <w:pStyle w:val="ListParagraph"/>
        <w:numPr>
          <w:ilvl w:val="0"/>
          <w:numId w:val="60"/>
        </w:numPr>
        <w:jc w:val="both"/>
      </w:pPr>
      <w:r w:rsidRPr="00952EFB">
        <w:t>Development of</w:t>
      </w:r>
      <w:r>
        <w:t xml:space="preserve"> a clear vision for uMlalazi; </w:t>
      </w:r>
    </w:p>
    <w:p w14:paraId="12ABC58E" w14:textId="77777777" w:rsidR="00952EFB" w:rsidRDefault="00952EFB" w:rsidP="00750180">
      <w:pPr>
        <w:pStyle w:val="ListParagraph"/>
        <w:numPr>
          <w:ilvl w:val="0"/>
          <w:numId w:val="60"/>
        </w:numPr>
        <w:jc w:val="both"/>
      </w:pPr>
      <w:r>
        <w:t xml:space="preserve">Infrastructure development; </w:t>
      </w:r>
    </w:p>
    <w:p w14:paraId="62C6A07A" w14:textId="77777777" w:rsidR="00952EFB" w:rsidRDefault="00952EFB" w:rsidP="00750180">
      <w:pPr>
        <w:pStyle w:val="ListParagraph"/>
        <w:numPr>
          <w:ilvl w:val="0"/>
          <w:numId w:val="60"/>
        </w:numPr>
        <w:jc w:val="both"/>
      </w:pPr>
      <w:r w:rsidRPr="00952EFB">
        <w:t>Investment promotion and facilitation (includin</w:t>
      </w:r>
      <w:r>
        <w:t xml:space="preserve">g development of incentives); </w:t>
      </w:r>
    </w:p>
    <w:p w14:paraId="7907603D" w14:textId="77777777" w:rsidR="00952EFB" w:rsidRDefault="00952EFB" w:rsidP="00750180">
      <w:pPr>
        <w:pStyle w:val="ListParagraph"/>
        <w:numPr>
          <w:ilvl w:val="0"/>
          <w:numId w:val="60"/>
        </w:numPr>
        <w:jc w:val="both"/>
      </w:pPr>
      <w:r w:rsidRPr="00952EFB">
        <w:t>Development of under-utilised or un-utilised agricultural and industrial land (vacan</w:t>
      </w:r>
      <w:r>
        <w:t xml:space="preserve">t farms and industrial lots); </w:t>
      </w:r>
    </w:p>
    <w:p w14:paraId="2B040CAE" w14:textId="77777777" w:rsidR="00952EFB" w:rsidRDefault="00952EFB" w:rsidP="00750180">
      <w:pPr>
        <w:pStyle w:val="ListParagraph"/>
        <w:numPr>
          <w:ilvl w:val="0"/>
          <w:numId w:val="60"/>
        </w:numPr>
        <w:jc w:val="both"/>
      </w:pPr>
      <w:r w:rsidRPr="00952EFB">
        <w:t>Promotion of business retent</w:t>
      </w:r>
      <w:r>
        <w:t xml:space="preserve">ion and expansion </w:t>
      </w:r>
      <w:r w:rsidR="008D130F">
        <w:t>programs</w:t>
      </w:r>
      <w:r>
        <w:t xml:space="preserve">; </w:t>
      </w:r>
    </w:p>
    <w:p w14:paraId="55674740" w14:textId="77777777" w:rsidR="00952EFB" w:rsidRDefault="00952EFB" w:rsidP="00750180">
      <w:pPr>
        <w:pStyle w:val="ListParagraph"/>
        <w:numPr>
          <w:ilvl w:val="0"/>
          <w:numId w:val="60"/>
        </w:numPr>
        <w:jc w:val="both"/>
      </w:pPr>
      <w:r w:rsidRPr="00952EFB">
        <w:t>Establishment of industry driven training and skills development through internships and apprenticeships.</w:t>
      </w:r>
    </w:p>
    <w:p w14:paraId="76254C7F" w14:textId="77777777" w:rsidR="00952EFB" w:rsidRDefault="00952EFB" w:rsidP="00952EFB">
      <w:pPr>
        <w:jc w:val="both"/>
        <w:rPr>
          <w:b/>
        </w:rPr>
      </w:pPr>
      <w:r w:rsidRPr="00952EFB">
        <w:rPr>
          <w:b/>
        </w:rPr>
        <w:t>THREATS</w:t>
      </w:r>
    </w:p>
    <w:p w14:paraId="0FF493B5" w14:textId="77777777" w:rsidR="00952EFB" w:rsidRDefault="00952EFB" w:rsidP="00750180">
      <w:pPr>
        <w:pStyle w:val="ListParagraph"/>
        <w:numPr>
          <w:ilvl w:val="0"/>
          <w:numId w:val="61"/>
        </w:numPr>
        <w:jc w:val="both"/>
      </w:pPr>
      <w:r>
        <w:t xml:space="preserve">Impact of HIV/AIDS; </w:t>
      </w:r>
    </w:p>
    <w:p w14:paraId="34D34C10" w14:textId="77777777" w:rsidR="00952EFB" w:rsidRDefault="00952EFB" w:rsidP="00750180">
      <w:pPr>
        <w:pStyle w:val="ListParagraph"/>
        <w:numPr>
          <w:ilvl w:val="0"/>
          <w:numId w:val="61"/>
        </w:numPr>
        <w:jc w:val="both"/>
      </w:pPr>
      <w:r w:rsidRPr="00952EFB">
        <w:t xml:space="preserve"> Acces</w:t>
      </w:r>
      <w:r>
        <w:t xml:space="preserve">s to machinery and equipment; </w:t>
      </w:r>
    </w:p>
    <w:p w14:paraId="2919DC54" w14:textId="77777777" w:rsidR="00952EFB" w:rsidRDefault="00952EFB" w:rsidP="00750180">
      <w:pPr>
        <w:pStyle w:val="ListParagraph"/>
        <w:numPr>
          <w:ilvl w:val="0"/>
          <w:numId w:val="61"/>
        </w:numPr>
        <w:jc w:val="both"/>
      </w:pPr>
      <w:r w:rsidRPr="00952EFB">
        <w:t>Degrad</w:t>
      </w:r>
      <w:r>
        <w:t xml:space="preserve">ation of road infrastructure; </w:t>
      </w:r>
    </w:p>
    <w:p w14:paraId="6026462D" w14:textId="77777777" w:rsidR="00952EFB" w:rsidRDefault="00952EFB" w:rsidP="00750180">
      <w:pPr>
        <w:pStyle w:val="ListParagraph"/>
        <w:numPr>
          <w:ilvl w:val="0"/>
          <w:numId w:val="61"/>
        </w:numPr>
        <w:jc w:val="both"/>
      </w:pPr>
      <w:r w:rsidRPr="00952EFB">
        <w:t>Obstacles be</w:t>
      </w:r>
      <w:r>
        <w:t xml:space="preserve">tween banks and local people; </w:t>
      </w:r>
    </w:p>
    <w:p w14:paraId="375F0703" w14:textId="77777777" w:rsidR="00952EFB" w:rsidRDefault="00952EFB" w:rsidP="00750180">
      <w:pPr>
        <w:pStyle w:val="ListParagraph"/>
        <w:numPr>
          <w:ilvl w:val="0"/>
          <w:numId w:val="61"/>
        </w:numPr>
        <w:jc w:val="both"/>
      </w:pPr>
      <w:r>
        <w:t xml:space="preserve">Crime; </w:t>
      </w:r>
    </w:p>
    <w:p w14:paraId="539CCFB0" w14:textId="77777777" w:rsidR="00952EFB" w:rsidRDefault="00952EFB" w:rsidP="00750180">
      <w:pPr>
        <w:pStyle w:val="ListParagraph"/>
        <w:numPr>
          <w:ilvl w:val="0"/>
          <w:numId w:val="61"/>
        </w:numPr>
        <w:jc w:val="both"/>
      </w:pPr>
      <w:r w:rsidRPr="00952EFB">
        <w:t>Lack of</w:t>
      </w:r>
      <w:r>
        <w:t xml:space="preserve"> knowledge in rural areas;</w:t>
      </w:r>
    </w:p>
    <w:p w14:paraId="41D8655C" w14:textId="77777777" w:rsidR="00952EFB" w:rsidRDefault="00952EFB" w:rsidP="00750180">
      <w:pPr>
        <w:pStyle w:val="ListParagraph"/>
        <w:numPr>
          <w:ilvl w:val="0"/>
          <w:numId w:val="61"/>
        </w:numPr>
        <w:jc w:val="both"/>
      </w:pPr>
      <w:r w:rsidRPr="00952EFB">
        <w:t xml:space="preserve">Threat of mechanisation in both industrial </w:t>
      </w:r>
      <w:r>
        <w:t xml:space="preserve">and agricultural development; </w:t>
      </w:r>
    </w:p>
    <w:p w14:paraId="25B54CC5" w14:textId="77777777" w:rsidR="00952EFB" w:rsidRDefault="00952EFB" w:rsidP="00750180">
      <w:pPr>
        <w:pStyle w:val="ListParagraph"/>
        <w:numPr>
          <w:ilvl w:val="0"/>
          <w:numId w:val="61"/>
        </w:numPr>
        <w:jc w:val="both"/>
      </w:pPr>
      <w:r w:rsidRPr="00952EFB">
        <w:t xml:space="preserve">Decline in formal </w:t>
      </w:r>
      <w:r>
        <w:t>employment within agriculture;</w:t>
      </w:r>
    </w:p>
    <w:p w14:paraId="374EECF2" w14:textId="77777777" w:rsidR="00952EFB" w:rsidRDefault="00952EFB" w:rsidP="00750180">
      <w:pPr>
        <w:pStyle w:val="ListParagraph"/>
        <w:numPr>
          <w:ilvl w:val="0"/>
          <w:numId w:val="61"/>
        </w:numPr>
        <w:jc w:val="both"/>
      </w:pPr>
      <w:r w:rsidRPr="00952EFB">
        <w:t xml:space="preserve"> Increasing input costs (electricity, trans</w:t>
      </w:r>
      <w:r>
        <w:t xml:space="preserve">port, capital and equipment); </w:t>
      </w:r>
    </w:p>
    <w:p w14:paraId="69E4CF69" w14:textId="77777777" w:rsidR="00952EFB" w:rsidRDefault="00952EFB" w:rsidP="00750180">
      <w:pPr>
        <w:pStyle w:val="ListParagraph"/>
        <w:numPr>
          <w:ilvl w:val="0"/>
          <w:numId w:val="61"/>
        </w:numPr>
        <w:jc w:val="both"/>
      </w:pPr>
      <w:r w:rsidRPr="00952EFB">
        <w:t>Stakeholder and community c</w:t>
      </w:r>
      <w:r>
        <w:t xml:space="preserve">onflicts of interest; </w:t>
      </w:r>
    </w:p>
    <w:p w14:paraId="09F5E4A3" w14:textId="77777777" w:rsidR="00952EFB" w:rsidRDefault="00952EFB" w:rsidP="00750180">
      <w:pPr>
        <w:pStyle w:val="ListParagraph"/>
        <w:numPr>
          <w:ilvl w:val="0"/>
          <w:numId w:val="61"/>
        </w:numPr>
        <w:jc w:val="both"/>
      </w:pPr>
      <w:r w:rsidRPr="00952EFB">
        <w:t>Lack of investment into develo</w:t>
      </w:r>
      <w:r>
        <w:t xml:space="preserve">pment of bulk infrastructure; </w:t>
      </w:r>
    </w:p>
    <w:p w14:paraId="3950ED80" w14:textId="77777777" w:rsidR="00952EFB" w:rsidRDefault="00952EFB" w:rsidP="00750180">
      <w:pPr>
        <w:pStyle w:val="ListParagraph"/>
        <w:numPr>
          <w:ilvl w:val="0"/>
          <w:numId w:val="61"/>
        </w:numPr>
        <w:jc w:val="both"/>
      </w:pPr>
      <w:r w:rsidRPr="00952EFB">
        <w:t>Corruption and a lack of accountabilit</w:t>
      </w:r>
      <w:r>
        <w:t xml:space="preserve">y (financial and management); </w:t>
      </w:r>
    </w:p>
    <w:p w14:paraId="70B40863" w14:textId="77777777" w:rsidR="00952EFB" w:rsidRDefault="00952EFB" w:rsidP="00750180">
      <w:pPr>
        <w:pStyle w:val="ListParagraph"/>
        <w:numPr>
          <w:ilvl w:val="0"/>
          <w:numId w:val="61"/>
        </w:numPr>
        <w:jc w:val="both"/>
      </w:pPr>
      <w:r w:rsidRPr="00952EFB">
        <w:t>Out-migration of skilled empl</w:t>
      </w:r>
      <w:r>
        <w:t xml:space="preserve">oyees to other urban-centres; </w:t>
      </w:r>
    </w:p>
    <w:p w14:paraId="45B2A358" w14:textId="77777777" w:rsidR="00952EFB" w:rsidRDefault="00952EFB" w:rsidP="00750180">
      <w:pPr>
        <w:pStyle w:val="ListParagraph"/>
        <w:numPr>
          <w:ilvl w:val="0"/>
          <w:numId w:val="61"/>
        </w:numPr>
        <w:jc w:val="both"/>
      </w:pPr>
      <w:r w:rsidRPr="00952EFB">
        <w:t>Increasing demand of electricity agains</w:t>
      </w:r>
      <w:r>
        <w:t xml:space="preserve">t limited supply; </w:t>
      </w:r>
    </w:p>
    <w:p w14:paraId="713137AA" w14:textId="77777777" w:rsidR="00952EFB" w:rsidRDefault="00952EFB" w:rsidP="00750180">
      <w:pPr>
        <w:pStyle w:val="ListParagraph"/>
        <w:numPr>
          <w:ilvl w:val="0"/>
          <w:numId w:val="61"/>
        </w:numPr>
        <w:jc w:val="both"/>
      </w:pPr>
      <w:r w:rsidRPr="00952EFB">
        <w:t>Worsening climatic conditions which have translated into water scarcity and therefore negatively impacting on farming a</w:t>
      </w:r>
      <w:r>
        <w:t xml:space="preserve">round Northern KwaZulu-Natal; </w:t>
      </w:r>
    </w:p>
    <w:p w14:paraId="083166A7" w14:textId="77777777" w:rsidR="00952EFB" w:rsidRPr="00952EFB" w:rsidRDefault="00952EFB" w:rsidP="00750180">
      <w:pPr>
        <w:pStyle w:val="ListParagraph"/>
        <w:numPr>
          <w:ilvl w:val="0"/>
          <w:numId w:val="61"/>
        </w:numPr>
        <w:jc w:val="both"/>
      </w:pPr>
      <w:r w:rsidRPr="00952EFB">
        <w:t>Land reform and associated challenges (poor skills transfer to new farmers, slow process, etc.).</w:t>
      </w:r>
    </w:p>
    <w:p w14:paraId="6A3BCBBD" w14:textId="77777777" w:rsidR="0037082E" w:rsidRPr="00F47271" w:rsidRDefault="00654EDF" w:rsidP="00750180">
      <w:pPr>
        <w:pStyle w:val="Heading2"/>
        <w:numPr>
          <w:ilvl w:val="1"/>
          <w:numId w:val="29"/>
        </w:numPr>
      </w:pPr>
      <w:bookmarkStart w:id="420" w:name="_Toc389739974"/>
      <w:bookmarkStart w:id="421" w:name="_Toc510706630"/>
      <w:r w:rsidRPr="00F47271">
        <w:t>SOCIAL DEVELOPMENT ANALYSIS</w:t>
      </w:r>
      <w:bookmarkEnd w:id="420"/>
      <w:bookmarkEnd w:id="421"/>
    </w:p>
    <w:p w14:paraId="1303FEE9" w14:textId="77777777" w:rsidR="003C3ACD" w:rsidRPr="003C3ACD" w:rsidRDefault="003C3ACD" w:rsidP="00750180">
      <w:pPr>
        <w:pStyle w:val="Heading3"/>
        <w:numPr>
          <w:ilvl w:val="2"/>
          <w:numId w:val="29"/>
        </w:numPr>
        <w:rPr>
          <w:i/>
        </w:rPr>
      </w:pPr>
      <w:bookmarkStart w:id="422" w:name="_Toc510706631"/>
      <w:bookmarkStart w:id="423" w:name="_Toc389739975"/>
      <w:r>
        <w:t>Community Based Planning</w:t>
      </w:r>
      <w:bookmarkEnd w:id="422"/>
    </w:p>
    <w:p w14:paraId="1B56DDAE" w14:textId="190384A9" w:rsidR="0037082E" w:rsidRDefault="0037082E" w:rsidP="003C3ACD">
      <w:pPr>
        <w:pStyle w:val="Heading4"/>
        <w:spacing w:after="240"/>
        <w:jc w:val="both"/>
        <w:rPr>
          <w:rFonts w:ascii="Calibri" w:hAnsi="Calibri"/>
          <w:b w:val="0"/>
        </w:rPr>
      </w:pPr>
      <w:r w:rsidRPr="00EC561B">
        <w:rPr>
          <w:rFonts w:ascii="Calibri" w:hAnsi="Calibri"/>
          <w:b w:val="0"/>
        </w:rPr>
        <w:t xml:space="preserve"> </w:t>
      </w:r>
      <w:bookmarkEnd w:id="423"/>
      <w:r w:rsidR="00EC561B" w:rsidRPr="00EC561B">
        <w:rPr>
          <w:rFonts w:ascii="Calibri" w:hAnsi="Calibri"/>
          <w:b w:val="0"/>
        </w:rPr>
        <w:t>Community Based Planning (CBP) refers to the participatory process whereby local knowledge is packaged into an action plan. This approach builds on the agencies of poor communities and the local knowledge produced through the various public participation methodologies. CBP establishes a participatory process for mobilizing communities and planning around grassroots issues and how they can relate to the broader municipal planning perspective.  Linking CBP and IDP creates the opportunity for further grounding the IDP in the local context and gives greater meaning to the participatory requirements of the Municipal Systems Act. CBP encourages planning from outcomes and not problems which leads to more realistic and creative planning, valuable for the ward plan but also for enabling practical  implementation of the IDPs</w:t>
      </w:r>
      <w:r w:rsidR="00EC561B">
        <w:rPr>
          <w:rFonts w:ascii="Calibri" w:hAnsi="Calibri"/>
          <w:b w:val="0"/>
        </w:rPr>
        <w:t xml:space="preserve">. </w:t>
      </w:r>
      <w:r w:rsidR="00EC561B" w:rsidRPr="00EC561B">
        <w:rPr>
          <w:rFonts w:ascii="Calibri" w:hAnsi="Calibri"/>
          <w:b w:val="0"/>
        </w:rPr>
        <w:t>Since CBP is a consultative and participative engagement process it requires a strategic approach that consists of various phases to ensure its successful implementation. The followi</w:t>
      </w:r>
      <w:r w:rsidR="00554661">
        <w:rPr>
          <w:rFonts w:ascii="Calibri" w:hAnsi="Calibri"/>
          <w:b w:val="0"/>
        </w:rPr>
        <w:t>ng cycle of activities was used</w:t>
      </w:r>
      <w:r w:rsidR="00EC561B" w:rsidRPr="00EC561B">
        <w:rPr>
          <w:rFonts w:ascii="Calibri" w:hAnsi="Calibri"/>
          <w:b w:val="0"/>
        </w:rPr>
        <w:t>;</w:t>
      </w:r>
    </w:p>
    <w:p w14:paraId="6E83160E" w14:textId="77777777" w:rsidR="00EC561B" w:rsidRPr="00EC561B" w:rsidRDefault="00EC561B" w:rsidP="00EC561B">
      <w:r w:rsidRPr="00EC561B">
        <w:rPr>
          <w:rFonts w:eastAsia="Calibri" w:cs="Times New Roman"/>
          <w:noProof/>
          <w:sz w:val="22"/>
        </w:rPr>
        <w:drawing>
          <wp:inline distT="0" distB="0" distL="0" distR="0" wp14:anchorId="57A92C72" wp14:editId="101B0448">
            <wp:extent cx="5486400" cy="2352675"/>
            <wp:effectExtent l="0" t="0" r="0" b="0"/>
            <wp:docPr id="4115" name="Diagram 411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8" r:lo="rId79" r:qs="rId80" r:cs="rId81"/>
              </a:graphicData>
            </a:graphic>
          </wp:inline>
        </w:drawing>
      </w:r>
    </w:p>
    <w:p w14:paraId="35F1F99E" w14:textId="77777777" w:rsidR="00EC561B" w:rsidRDefault="005A27E6" w:rsidP="005A27E6">
      <w:pPr>
        <w:pStyle w:val="Caption"/>
      </w:pPr>
      <w:bookmarkStart w:id="424" w:name="_Toc510622383"/>
      <w:r>
        <w:t xml:space="preserve">Figure </w:t>
      </w:r>
      <w:r w:rsidR="00B918A6">
        <w:fldChar w:fldCharType="begin"/>
      </w:r>
      <w:r w:rsidR="00B918A6">
        <w:instrText xml:space="preserve"> SEQ Figure \* ARABIC </w:instrText>
      </w:r>
      <w:r w:rsidR="00B918A6">
        <w:fldChar w:fldCharType="separate"/>
      </w:r>
      <w:r w:rsidR="0067023A">
        <w:rPr>
          <w:noProof/>
        </w:rPr>
        <w:t>22</w:t>
      </w:r>
      <w:r w:rsidR="00B918A6">
        <w:rPr>
          <w:noProof/>
        </w:rPr>
        <w:fldChar w:fldCharType="end"/>
      </w:r>
      <w:r>
        <w:t xml:space="preserve">: </w:t>
      </w:r>
      <w:r w:rsidR="00EC561B">
        <w:t>CBP Cycle Process</w:t>
      </w:r>
      <w:bookmarkEnd w:id="424"/>
    </w:p>
    <w:p w14:paraId="1F01F6D8" w14:textId="77777777" w:rsidR="0025762B" w:rsidRPr="00952EFB" w:rsidRDefault="002C3D21" w:rsidP="00952EFB">
      <w:pPr>
        <w:rPr>
          <w:rFonts w:cs="Calibri"/>
          <w:color w:val="000000" w:themeColor="text1"/>
        </w:rPr>
      </w:pPr>
      <w:r>
        <w:rPr>
          <w:rFonts w:cs="Calibri"/>
          <w:color w:val="000000" w:themeColor="text1"/>
        </w:rPr>
        <w:t>The municipality commenced with a full scale ward to ward CBP: Needs Analysis process.</w:t>
      </w:r>
      <w:r w:rsidR="00952EFB" w:rsidRPr="00952EFB">
        <w:rPr>
          <w:rFonts w:cs="Calibri"/>
          <w:color w:val="000000" w:themeColor="text1"/>
        </w:rPr>
        <w:t xml:space="preserve">  As a result of the above exercise, the top 5 priority infrastructure needs by all wards could be determined and is reflected in the table below:</w:t>
      </w:r>
    </w:p>
    <w:p w14:paraId="29678B25" w14:textId="77777777" w:rsidR="00952EFB" w:rsidRPr="001F33F5" w:rsidRDefault="00952EFB" w:rsidP="00750180">
      <w:pPr>
        <w:pStyle w:val="Heading4"/>
        <w:numPr>
          <w:ilvl w:val="3"/>
          <w:numId w:val="29"/>
        </w:numPr>
      </w:pPr>
      <w:r w:rsidRPr="001F33F5">
        <w:t>Top 5 Priority Infrastructure Needs by Wards</w:t>
      </w:r>
    </w:p>
    <w:tbl>
      <w:tblPr>
        <w:tblW w:w="8606" w:type="dxa"/>
        <w:tblLook w:val="04A0" w:firstRow="1" w:lastRow="0" w:firstColumn="1" w:lastColumn="0" w:noHBand="0" w:noVBand="1"/>
      </w:tblPr>
      <w:tblGrid>
        <w:gridCol w:w="4753"/>
        <w:gridCol w:w="3853"/>
      </w:tblGrid>
      <w:tr w:rsidR="001F33F5" w:rsidRPr="001F33F5" w14:paraId="3E5334EE" w14:textId="77777777" w:rsidTr="002C3D21">
        <w:trPr>
          <w:trHeight w:val="134"/>
        </w:trPr>
        <w:tc>
          <w:tcPr>
            <w:tcW w:w="4753" w:type="dxa"/>
            <w:tcBorders>
              <w:top w:val="single" w:sz="4" w:space="0" w:color="auto"/>
              <w:left w:val="single" w:sz="4" w:space="0" w:color="auto"/>
              <w:bottom w:val="single" w:sz="4" w:space="0" w:color="auto"/>
              <w:right w:val="single" w:sz="4" w:space="0" w:color="auto"/>
            </w:tcBorders>
            <w:shd w:val="clear" w:color="auto" w:fill="auto"/>
            <w:noWrap/>
          </w:tcPr>
          <w:p w14:paraId="0451D9A5" w14:textId="77777777" w:rsidR="001F33F5" w:rsidRPr="001F33F5" w:rsidRDefault="001F33F5" w:rsidP="002C3D21">
            <w:pPr>
              <w:spacing w:after="0" w:line="240" w:lineRule="auto"/>
              <w:jc w:val="both"/>
              <w:rPr>
                <w:rFonts w:eastAsia="Calibri" w:cs="Calibri"/>
                <w:b/>
                <w:szCs w:val="24"/>
                <w:lang w:val="en-GB"/>
              </w:rPr>
            </w:pPr>
            <w:r w:rsidRPr="001F33F5">
              <w:rPr>
                <w:rFonts w:eastAsia="Calibri" w:cs="Calibri"/>
                <w:b/>
                <w:szCs w:val="24"/>
                <w:lang w:val="en-GB"/>
              </w:rPr>
              <w:t>Infrastructure  /Facilities</w:t>
            </w:r>
          </w:p>
        </w:tc>
        <w:tc>
          <w:tcPr>
            <w:tcW w:w="3853" w:type="dxa"/>
            <w:tcBorders>
              <w:top w:val="single" w:sz="4" w:space="0" w:color="auto"/>
              <w:left w:val="single" w:sz="4" w:space="0" w:color="auto"/>
              <w:bottom w:val="single" w:sz="4" w:space="0" w:color="auto"/>
              <w:right w:val="single" w:sz="4" w:space="0" w:color="auto"/>
            </w:tcBorders>
            <w:shd w:val="clear" w:color="auto" w:fill="auto"/>
            <w:noWrap/>
          </w:tcPr>
          <w:p w14:paraId="53174231" w14:textId="77777777" w:rsidR="001F33F5" w:rsidRPr="001F33F5" w:rsidRDefault="003C03FA" w:rsidP="002C3D21">
            <w:pPr>
              <w:spacing w:after="0" w:line="240" w:lineRule="auto"/>
              <w:jc w:val="center"/>
              <w:rPr>
                <w:rFonts w:eastAsia="Calibri" w:cs="Calibri"/>
                <w:b/>
                <w:szCs w:val="24"/>
                <w:lang w:val="en-GB"/>
              </w:rPr>
            </w:pPr>
            <w:r>
              <w:rPr>
                <w:rFonts w:eastAsia="Calibri" w:cs="Calibri"/>
                <w:b/>
                <w:szCs w:val="24"/>
                <w:lang w:val="en-GB"/>
              </w:rPr>
              <w:t>Number of Wards out of 27</w:t>
            </w:r>
            <w:r w:rsidR="001F33F5" w:rsidRPr="001F33F5">
              <w:rPr>
                <w:rFonts w:eastAsia="Calibri" w:cs="Calibri"/>
                <w:b/>
                <w:szCs w:val="24"/>
                <w:lang w:val="en-GB"/>
              </w:rPr>
              <w:t xml:space="preserve"> Wards Citing Infrastructure as Top Priority</w:t>
            </w:r>
          </w:p>
        </w:tc>
      </w:tr>
      <w:tr w:rsidR="001F33F5" w:rsidRPr="001F33F5" w14:paraId="49080EF2" w14:textId="77777777" w:rsidTr="002C3D21">
        <w:trPr>
          <w:trHeight w:val="134"/>
        </w:trPr>
        <w:tc>
          <w:tcPr>
            <w:tcW w:w="475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227437" w14:textId="77777777" w:rsidR="001F33F5" w:rsidRPr="001F33F5" w:rsidRDefault="003C3ACD" w:rsidP="002C3D21">
            <w:pPr>
              <w:spacing w:after="0" w:line="240" w:lineRule="auto"/>
              <w:jc w:val="both"/>
              <w:rPr>
                <w:rFonts w:eastAsia="Calibri" w:cs="Calibri"/>
                <w:szCs w:val="24"/>
                <w:lang w:val="en-GB"/>
              </w:rPr>
            </w:pPr>
            <w:r w:rsidRPr="001F33F5">
              <w:rPr>
                <w:rFonts w:eastAsia="Calibri" w:cs="Calibri"/>
                <w:szCs w:val="24"/>
                <w:lang w:val="en-GB"/>
              </w:rPr>
              <w:t>Water</w:t>
            </w:r>
          </w:p>
        </w:tc>
        <w:tc>
          <w:tcPr>
            <w:tcW w:w="385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D12F15" w14:textId="77777777" w:rsidR="001F33F5" w:rsidRPr="001F33F5" w:rsidRDefault="003C3ACD" w:rsidP="002C3D21">
            <w:pPr>
              <w:spacing w:after="0" w:line="240" w:lineRule="auto"/>
              <w:jc w:val="center"/>
              <w:rPr>
                <w:rFonts w:eastAsia="Calibri" w:cs="Calibri"/>
                <w:szCs w:val="24"/>
                <w:lang w:val="en-GB"/>
              </w:rPr>
            </w:pPr>
            <w:r>
              <w:rPr>
                <w:rFonts w:eastAsia="Calibri" w:cs="Calibri"/>
                <w:szCs w:val="24"/>
                <w:lang w:val="en-GB"/>
              </w:rPr>
              <w:t>25</w:t>
            </w:r>
          </w:p>
        </w:tc>
      </w:tr>
      <w:tr w:rsidR="001F33F5" w:rsidRPr="001F33F5" w14:paraId="4FA89E6A" w14:textId="77777777" w:rsidTr="002C3D21">
        <w:trPr>
          <w:trHeight w:val="28"/>
        </w:trPr>
        <w:tc>
          <w:tcPr>
            <w:tcW w:w="475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323D58" w14:textId="77777777" w:rsidR="001F33F5" w:rsidRPr="001F33F5" w:rsidRDefault="003C3ACD" w:rsidP="002C3D21">
            <w:pPr>
              <w:spacing w:after="0" w:line="240" w:lineRule="auto"/>
              <w:jc w:val="both"/>
              <w:rPr>
                <w:rFonts w:eastAsia="Calibri" w:cs="Calibri"/>
                <w:szCs w:val="24"/>
                <w:lang w:val="en-GB"/>
              </w:rPr>
            </w:pPr>
            <w:r w:rsidRPr="001F33F5">
              <w:rPr>
                <w:rFonts w:eastAsia="Calibri" w:cs="Calibri"/>
                <w:szCs w:val="24"/>
                <w:lang w:val="en-GB"/>
              </w:rPr>
              <w:t>Roads, Access Roads, Bridges &amp; Causeways</w:t>
            </w:r>
          </w:p>
        </w:tc>
        <w:tc>
          <w:tcPr>
            <w:tcW w:w="385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68343C" w14:textId="77777777" w:rsidR="001F33F5" w:rsidRPr="001F33F5" w:rsidRDefault="003C3ACD" w:rsidP="002C3D21">
            <w:pPr>
              <w:spacing w:after="0" w:line="240" w:lineRule="auto"/>
              <w:jc w:val="center"/>
              <w:rPr>
                <w:rFonts w:eastAsia="Calibri" w:cs="Calibri"/>
                <w:szCs w:val="24"/>
                <w:lang w:val="en-GB"/>
              </w:rPr>
            </w:pPr>
            <w:r>
              <w:rPr>
                <w:rFonts w:eastAsia="Calibri" w:cs="Calibri"/>
                <w:szCs w:val="24"/>
                <w:lang w:val="en-GB"/>
              </w:rPr>
              <w:t>24</w:t>
            </w:r>
          </w:p>
        </w:tc>
      </w:tr>
      <w:tr w:rsidR="001F33F5" w:rsidRPr="001F33F5" w14:paraId="7C270EB4" w14:textId="77777777" w:rsidTr="002C3D21">
        <w:trPr>
          <w:trHeight w:val="64"/>
        </w:trPr>
        <w:tc>
          <w:tcPr>
            <w:tcW w:w="475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D22054" w14:textId="77777777" w:rsidR="001F33F5" w:rsidRPr="001F33F5" w:rsidRDefault="001F33F5" w:rsidP="002C3D21">
            <w:pPr>
              <w:spacing w:after="0" w:line="240" w:lineRule="auto"/>
              <w:jc w:val="both"/>
              <w:rPr>
                <w:rFonts w:eastAsia="Calibri" w:cs="Calibri"/>
                <w:szCs w:val="24"/>
                <w:lang w:val="en-GB"/>
              </w:rPr>
            </w:pPr>
            <w:r w:rsidRPr="001F33F5">
              <w:rPr>
                <w:rFonts w:eastAsia="Calibri" w:cs="Calibri"/>
                <w:szCs w:val="24"/>
                <w:lang w:val="en-GB"/>
              </w:rPr>
              <w:t>Electricity</w:t>
            </w:r>
          </w:p>
        </w:tc>
        <w:tc>
          <w:tcPr>
            <w:tcW w:w="385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2EE57F" w14:textId="77777777" w:rsidR="001F33F5" w:rsidRPr="001F33F5" w:rsidRDefault="00FD4CA1" w:rsidP="00FD4CA1">
            <w:pPr>
              <w:spacing w:after="0" w:line="240" w:lineRule="auto"/>
              <w:jc w:val="center"/>
              <w:rPr>
                <w:rFonts w:eastAsia="Calibri" w:cs="Calibri"/>
                <w:szCs w:val="24"/>
                <w:lang w:val="en-GB"/>
              </w:rPr>
            </w:pPr>
            <w:r>
              <w:rPr>
                <w:rFonts w:eastAsia="Calibri" w:cs="Calibri"/>
                <w:szCs w:val="24"/>
                <w:lang w:val="en-GB"/>
              </w:rPr>
              <w:t>24</w:t>
            </w:r>
          </w:p>
        </w:tc>
      </w:tr>
      <w:tr w:rsidR="001F33F5" w:rsidRPr="001F33F5" w14:paraId="69D6EECB" w14:textId="77777777" w:rsidTr="002C3D21">
        <w:trPr>
          <w:trHeight w:val="56"/>
        </w:trPr>
        <w:tc>
          <w:tcPr>
            <w:tcW w:w="475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6BF9DE" w14:textId="77777777" w:rsidR="001F33F5" w:rsidRPr="001F33F5" w:rsidRDefault="001F33F5" w:rsidP="002C3D21">
            <w:pPr>
              <w:spacing w:after="0" w:line="240" w:lineRule="auto"/>
              <w:jc w:val="both"/>
              <w:rPr>
                <w:rFonts w:eastAsia="Calibri" w:cs="Calibri"/>
                <w:szCs w:val="24"/>
                <w:lang w:val="en-GB"/>
              </w:rPr>
            </w:pPr>
            <w:r w:rsidRPr="001F33F5">
              <w:rPr>
                <w:rFonts w:eastAsia="Calibri" w:cs="Calibri"/>
                <w:szCs w:val="24"/>
                <w:lang w:val="en-GB"/>
              </w:rPr>
              <w:t>Rural Housing</w:t>
            </w:r>
          </w:p>
        </w:tc>
        <w:tc>
          <w:tcPr>
            <w:tcW w:w="385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5D7179" w14:textId="77777777" w:rsidR="001F33F5" w:rsidRPr="001F33F5" w:rsidRDefault="001F33F5" w:rsidP="002C3D21">
            <w:pPr>
              <w:spacing w:after="0" w:line="240" w:lineRule="auto"/>
              <w:jc w:val="center"/>
              <w:rPr>
                <w:rFonts w:eastAsia="Calibri" w:cs="Calibri"/>
                <w:szCs w:val="24"/>
                <w:lang w:val="en-GB"/>
              </w:rPr>
            </w:pPr>
            <w:r w:rsidRPr="001F33F5">
              <w:rPr>
                <w:rFonts w:eastAsia="Calibri" w:cs="Calibri"/>
                <w:szCs w:val="24"/>
                <w:lang w:val="en-GB"/>
              </w:rPr>
              <w:t>14</w:t>
            </w:r>
          </w:p>
        </w:tc>
      </w:tr>
      <w:tr w:rsidR="001F33F5" w:rsidRPr="001F33F5" w14:paraId="5D2CFF86" w14:textId="77777777" w:rsidTr="002C3D21">
        <w:trPr>
          <w:trHeight w:val="68"/>
        </w:trPr>
        <w:tc>
          <w:tcPr>
            <w:tcW w:w="475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93E428" w14:textId="77777777" w:rsidR="001F33F5" w:rsidRPr="001F33F5" w:rsidRDefault="001F33F5" w:rsidP="002C3D21">
            <w:pPr>
              <w:spacing w:after="0" w:line="240" w:lineRule="auto"/>
              <w:jc w:val="both"/>
              <w:rPr>
                <w:rFonts w:eastAsia="Calibri" w:cs="Calibri"/>
                <w:szCs w:val="24"/>
                <w:lang w:val="en-GB"/>
              </w:rPr>
            </w:pPr>
            <w:r w:rsidRPr="001F33F5">
              <w:rPr>
                <w:rFonts w:eastAsia="Calibri" w:cs="Calibri"/>
                <w:szCs w:val="24"/>
                <w:lang w:val="en-GB"/>
              </w:rPr>
              <w:t>Sanitation</w:t>
            </w:r>
          </w:p>
        </w:tc>
        <w:tc>
          <w:tcPr>
            <w:tcW w:w="385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A4C52C" w14:textId="77777777" w:rsidR="001F33F5" w:rsidRPr="001F33F5" w:rsidRDefault="001F33F5" w:rsidP="002C3D21">
            <w:pPr>
              <w:spacing w:after="0" w:line="240" w:lineRule="auto"/>
              <w:jc w:val="center"/>
              <w:rPr>
                <w:rFonts w:eastAsia="Calibri" w:cs="Calibri"/>
                <w:szCs w:val="24"/>
                <w:lang w:val="en-GB"/>
              </w:rPr>
            </w:pPr>
            <w:r w:rsidRPr="001F33F5">
              <w:rPr>
                <w:rFonts w:eastAsia="Calibri" w:cs="Calibri"/>
                <w:szCs w:val="24"/>
                <w:lang w:val="en-GB"/>
              </w:rPr>
              <w:t>12</w:t>
            </w:r>
          </w:p>
        </w:tc>
      </w:tr>
    </w:tbl>
    <w:p w14:paraId="2253B004" w14:textId="77777777" w:rsidR="00952EFB" w:rsidRDefault="001F33F5" w:rsidP="002F62F0">
      <w:pPr>
        <w:pStyle w:val="Caption"/>
      </w:pPr>
      <w:bookmarkStart w:id="425" w:name="_Toc510622311"/>
      <w:r w:rsidRPr="001F33F5">
        <w:t xml:space="preserve">Table </w:t>
      </w:r>
      <w:r w:rsidR="00B918A6">
        <w:fldChar w:fldCharType="begin"/>
      </w:r>
      <w:r w:rsidR="00B918A6">
        <w:instrText xml:space="preserve"> SEQ Table \* ARABIC </w:instrText>
      </w:r>
      <w:r w:rsidR="00B918A6">
        <w:fldChar w:fldCharType="separate"/>
      </w:r>
      <w:r w:rsidR="0067023A">
        <w:rPr>
          <w:noProof/>
        </w:rPr>
        <w:t>61</w:t>
      </w:r>
      <w:r w:rsidR="00B918A6">
        <w:rPr>
          <w:noProof/>
        </w:rPr>
        <w:fldChar w:fldCharType="end"/>
      </w:r>
      <w:r w:rsidRPr="001F33F5">
        <w:t>: Top 5 Priority Infrastructure Needs by Wards</w:t>
      </w:r>
      <w:bookmarkEnd w:id="425"/>
    </w:p>
    <w:p w14:paraId="7F945859" w14:textId="208046DC" w:rsidR="0037082E" w:rsidRPr="007B7722" w:rsidRDefault="0037082E" w:rsidP="00750180">
      <w:pPr>
        <w:pStyle w:val="Heading3"/>
        <w:numPr>
          <w:ilvl w:val="2"/>
          <w:numId w:val="29"/>
        </w:numPr>
        <w:rPr>
          <w:highlight w:val="yellow"/>
        </w:rPr>
      </w:pPr>
      <w:bookmarkStart w:id="426" w:name="_Toc389739987"/>
      <w:bookmarkStart w:id="427" w:name="_Toc510706632"/>
      <w:r w:rsidRPr="007B7722">
        <w:rPr>
          <w:highlight w:val="yellow"/>
        </w:rPr>
        <w:t>Safety &amp; Security</w:t>
      </w:r>
      <w:bookmarkEnd w:id="426"/>
      <w:bookmarkEnd w:id="427"/>
    </w:p>
    <w:p w14:paraId="790E58CC" w14:textId="3EF5CB4D" w:rsidR="00663200" w:rsidRPr="00881795" w:rsidRDefault="00663200" w:rsidP="00395313">
      <w:pPr>
        <w:jc w:val="both"/>
        <w:rPr>
          <w:szCs w:val="20"/>
        </w:rPr>
      </w:pPr>
      <w:r w:rsidRPr="00881795">
        <w:rPr>
          <w:szCs w:val="20"/>
        </w:rPr>
        <w:t>UMlalazi Municipality do not have its own safety and security plan for the whole area, however the Municipality is working together with South African Police Services thorough sector policing</w:t>
      </w:r>
      <w:r w:rsidR="007B7722">
        <w:rPr>
          <w:szCs w:val="20"/>
        </w:rPr>
        <w:t>.</w:t>
      </w:r>
    </w:p>
    <w:p w14:paraId="36717DBA" w14:textId="77777777" w:rsidR="00663200" w:rsidRPr="00881795" w:rsidRDefault="00663200" w:rsidP="00395313">
      <w:pPr>
        <w:jc w:val="both"/>
        <w:rPr>
          <w:szCs w:val="20"/>
        </w:rPr>
      </w:pPr>
      <w:r w:rsidRPr="00881795">
        <w:rPr>
          <w:szCs w:val="20"/>
        </w:rPr>
        <w:t xml:space="preserve">Community Police Forum is part of sector policing. The Community Police Forum is regulated by section 18 of the South African Police Act, 1995 (Act No 68 of 1995) </w:t>
      </w:r>
    </w:p>
    <w:p w14:paraId="3AF10689" w14:textId="77777777" w:rsidR="00663200" w:rsidRPr="005A27E6" w:rsidRDefault="00663200" w:rsidP="00750180">
      <w:pPr>
        <w:pStyle w:val="Heading4"/>
        <w:numPr>
          <w:ilvl w:val="3"/>
          <w:numId w:val="29"/>
        </w:numPr>
      </w:pPr>
      <w:bookmarkStart w:id="428" w:name="_Toc389739988"/>
      <w:r w:rsidRPr="005A27E6">
        <w:t xml:space="preserve">Community Police Forum Objectives According To Sec 18 </w:t>
      </w:r>
      <w:r w:rsidR="00A25189" w:rsidRPr="005A27E6">
        <w:t>of</w:t>
      </w:r>
      <w:r w:rsidRPr="005A27E6">
        <w:t xml:space="preserve"> Saps Act, 1995 (Act No 68 </w:t>
      </w:r>
      <w:r w:rsidR="00A25189" w:rsidRPr="005A27E6">
        <w:t>of</w:t>
      </w:r>
      <w:r w:rsidRPr="005A27E6">
        <w:t xml:space="preserve"> 1995)</w:t>
      </w:r>
      <w:bookmarkEnd w:id="428"/>
    </w:p>
    <w:p w14:paraId="4B9497ED" w14:textId="77777777" w:rsidR="00663200" w:rsidRPr="00881795" w:rsidRDefault="00663200" w:rsidP="00EC0A3F">
      <w:pPr>
        <w:pStyle w:val="ListParagraph"/>
        <w:numPr>
          <w:ilvl w:val="0"/>
          <w:numId w:val="16"/>
        </w:numPr>
        <w:jc w:val="both"/>
        <w:rPr>
          <w:szCs w:val="20"/>
        </w:rPr>
      </w:pPr>
      <w:r w:rsidRPr="00881795">
        <w:rPr>
          <w:szCs w:val="20"/>
        </w:rPr>
        <w:t>Establishing and maintaining a partnership between the community and the service.</w:t>
      </w:r>
    </w:p>
    <w:p w14:paraId="1E9536FE" w14:textId="77777777" w:rsidR="00663200" w:rsidRPr="00881795" w:rsidRDefault="00663200" w:rsidP="00EC0A3F">
      <w:pPr>
        <w:pStyle w:val="ListParagraph"/>
        <w:numPr>
          <w:ilvl w:val="0"/>
          <w:numId w:val="16"/>
        </w:numPr>
        <w:jc w:val="both"/>
        <w:rPr>
          <w:szCs w:val="20"/>
        </w:rPr>
      </w:pPr>
      <w:r w:rsidRPr="00881795">
        <w:rPr>
          <w:szCs w:val="20"/>
        </w:rPr>
        <w:t>Promoting communication between the Service and the community.</w:t>
      </w:r>
    </w:p>
    <w:p w14:paraId="5D6B6438" w14:textId="77777777" w:rsidR="00663200" w:rsidRPr="00881795" w:rsidRDefault="00663200" w:rsidP="00EC0A3F">
      <w:pPr>
        <w:pStyle w:val="ListParagraph"/>
        <w:numPr>
          <w:ilvl w:val="0"/>
          <w:numId w:val="16"/>
        </w:numPr>
        <w:jc w:val="both"/>
        <w:rPr>
          <w:szCs w:val="20"/>
        </w:rPr>
      </w:pPr>
      <w:r w:rsidRPr="00881795">
        <w:rPr>
          <w:szCs w:val="20"/>
        </w:rPr>
        <w:t>Promoting co-operation between the Service and community in fulfilling the needs of the community regarding policing.</w:t>
      </w:r>
    </w:p>
    <w:p w14:paraId="7BF0B027" w14:textId="77777777" w:rsidR="00663200" w:rsidRPr="00881795" w:rsidRDefault="00663200" w:rsidP="00EC0A3F">
      <w:pPr>
        <w:pStyle w:val="ListParagraph"/>
        <w:numPr>
          <w:ilvl w:val="0"/>
          <w:numId w:val="16"/>
        </w:numPr>
        <w:jc w:val="both"/>
        <w:rPr>
          <w:szCs w:val="20"/>
        </w:rPr>
      </w:pPr>
      <w:r w:rsidRPr="00881795">
        <w:rPr>
          <w:szCs w:val="20"/>
        </w:rPr>
        <w:t>Improving the rendering of police services to the community at National, Provincial and local levels.</w:t>
      </w:r>
    </w:p>
    <w:p w14:paraId="5BA2B304" w14:textId="77777777" w:rsidR="00663200" w:rsidRPr="00881795" w:rsidRDefault="00663200" w:rsidP="00EC0A3F">
      <w:pPr>
        <w:pStyle w:val="ListParagraph"/>
        <w:numPr>
          <w:ilvl w:val="0"/>
          <w:numId w:val="16"/>
        </w:numPr>
        <w:jc w:val="both"/>
        <w:rPr>
          <w:szCs w:val="20"/>
        </w:rPr>
      </w:pPr>
      <w:r w:rsidRPr="00881795">
        <w:rPr>
          <w:szCs w:val="20"/>
        </w:rPr>
        <w:t>Improving transparency in the Service and accountability of the service to the community.</w:t>
      </w:r>
    </w:p>
    <w:p w14:paraId="0BBA7B32" w14:textId="77777777" w:rsidR="00663200" w:rsidRPr="00881795" w:rsidRDefault="00663200" w:rsidP="00EC0A3F">
      <w:pPr>
        <w:pStyle w:val="ListParagraph"/>
        <w:numPr>
          <w:ilvl w:val="0"/>
          <w:numId w:val="16"/>
        </w:numPr>
        <w:jc w:val="both"/>
        <w:rPr>
          <w:szCs w:val="20"/>
        </w:rPr>
      </w:pPr>
      <w:r w:rsidRPr="00881795">
        <w:rPr>
          <w:szCs w:val="20"/>
        </w:rPr>
        <w:t>Promoting joint problem identification and problem-solving by the Service and the community.</w:t>
      </w:r>
    </w:p>
    <w:p w14:paraId="0C14DF5F" w14:textId="77777777" w:rsidR="00663200" w:rsidRPr="005A27E6" w:rsidRDefault="00545206" w:rsidP="00750180">
      <w:pPr>
        <w:pStyle w:val="Heading4"/>
        <w:numPr>
          <w:ilvl w:val="3"/>
          <w:numId w:val="29"/>
        </w:numPr>
      </w:pPr>
      <w:bookmarkStart w:id="429" w:name="_Toc389739989"/>
      <w:r w:rsidRPr="005A27E6">
        <w:t>Operational Functions o</w:t>
      </w:r>
      <w:r w:rsidR="00663200" w:rsidRPr="005A27E6">
        <w:t xml:space="preserve">f </w:t>
      </w:r>
      <w:r w:rsidRPr="005A27E6">
        <w:t>t</w:t>
      </w:r>
      <w:r w:rsidR="00663200" w:rsidRPr="005A27E6">
        <w:t>he Community Safety Structures</w:t>
      </w:r>
      <w:bookmarkEnd w:id="429"/>
    </w:p>
    <w:p w14:paraId="17C9E774" w14:textId="77777777" w:rsidR="00663200" w:rsidRPr="00881795" w:rsidRDefault="00663200" w:rsidP="00EC0A3F">
      <w:pPr>
        <w:pStyle w:val="ListParagraph"/>
        <w:numPr>
          <w:ilvl w:val="0"/>
          <w:numId w:val="17"/>
        </w:numPr>
        <w:jc w:val="both"/>
        <w:rPr>
          <w:szCs w:val="20"/>
        </w:rPr>
      </w:pPr>
      <w:r w:rsidRPr="00881795">
        <w:rPr>
          <w:szCs w:val="20"/>
        </w:rPr>
        <w:t>Eyes and ears of the SAPS.</w:t>
      </w:r>
    </w:p>
    <w:p w14:paraId="37C0F980" w14:textId="77777777" w:rsidR="00663200" w:rsidRPr="00881795" w:rsidRDefault="00663200" w:rsidP="00EC0A3F">
      <w:pPr>
        <w:pStyle w:val="ListParagraph"/>
        <w:numPr>
          <w:ilvl w:val="0"/>
          <w:numId w:val="17"/>
        </w:numPr>
        <w:jc w:val="both"/>
        <w:rPr>
          <w:szCs w:val="20"/>
        </w:rPr>
      </w:pPr>
      <w:r w:rsidRPr="00881795">
        <w:rPr>
          <w:szCs w:val="20"/>
        </w:rPr>
        <w:t>If the need arises, carry out a citizen’s arrest in terms of the Criminal Procedure Act, 1977 (Act No 51 of 1977), section 42.</w:t>
      </w:r>
    </w:p>
    <w:p w14:paraId="01306B5C" w14:textId="77777777" w:rsidR="00663200" w:rsidRPr="00881795" w:rsidRDefault="00663200" w:rsidP="00EC0A3F">
      <w:pPr>
        <w:pStyle w:val="ListParagraph"/>
        <w:numPr>
          <w:ilvl w:val="0"/>
          <w:numId w:val="17"/>
        </w:numPr>
        <w:jc w:val="both"/>
        <w:rPr>
          <w:szCs w:val="20"/>
        </w:rPr>
      </w:pPr>
      <w:r w:rsidRPr="00881795">
        <w:rPr>
          <w:szCs w:val="20"/>
        </w:rPr>
        <w:t>Performing patrol duties that will serve as a crime deterrent.</w:t>
      </w:r>
    </w:p>
    <w:p w14:paraId="39936351" w14:textId="77777777" w:rsidR="00663200" w:rsidRPr="00881795" w:rsidRDefault="00663200" w:rsidP="00EC0A3F">
      <w:pPr>
        <w:pStyle w:val="ListParagraph"/>
        <w:numPr>
          <w:ilvl w:val="0"/>
          <w:numId w:val="17"/>
        </w:numPr>
        <w:jc w:val="both"/>
        <w:rPr>
          <w:szCs w:val="20"/>
        </w:rPr>
      </w:pPr>
      <w:r w:rsidRPr="00881795">
        <w:rPr>
          <w:szCs w:val="20"/>
        </w:rPr>
        <w:t xml:space="preserve"> Preserving crime scenes when first on the scene.</w:t>
      </w:r>
    </w:p>
    <w:p w14:paraId="6655EB6C" w14:textId="77777777" w:rsidR="00663200" w:rsidRPr="00881795" w:rsidRDefault="00663200" w:rsidP="00EC0A3F">
      <w:pPr>
        <w:pStyle w:val="ListParagraph"/>
        <w:numPr>
          <w:ilvl w:val="0"/>
          <w:numId w:val="17"/>
        </w:numPr>
        <w:jc w:val="both"/>
        <w:rPr>
          <w:szCs w:val="20"/>
        </w:rPr>
      </w:pPr>
      <w:r w:rsidRPr="00881795">
        <w:rPr>
          <w:szCs w:val="20"/>
        </w:rPr>
        <w:t>Facilitating good relations in the neighbourhood.</w:t>
      </w:r>
    </w:p>
    <w:p w14:paraId="0935811A" w14:textId="77777777" w:rsidR="00663200" w:rsidRPr="00881795" w:rsidRDefault="00663200" w:rsidP="00EC0A3F">
      <w:pPr>
        <w:pStyle w:val="ListParagraph"/>
        <w:numPr>
          <w:ilvl w:val="0"/>
          <w:numId w:val="17"/>
        </w:numPr>
        <w:jc w:val="both"/>
        <w:rPr>
          <w:szCs w:val="20"/>
        </w:rPr>
      </w:pPr>
      <w:r w:rsidRPr="00881795">
        <w:rPr>
          <w:szCs w:val="20"/>
        </w:rPr>
        <w:t>Rendering a voluntary service.</w:t>
      </w:r>
    </w:p>
    <w:p w14:paraId="64A68761" w14:textId="77777777" w:rsidR="00663200" w:rsidRPr="00881795" w:rsidRDefault="00663200" w:rsidP="00EC0A3F">
      <w:pPr>
        <w:pStyle w:val="ListParagraph"/>
        <w:numPr>
          <w:ilvl w:val="0"/>
          <w:numId w:val="17"/>
        </w:numPr>
        <w:jc w:val="both"/>
        <w:rPr>
          <w:szCs w:val="20"/>
        </w:rPr>
      </w:pPr>
      <w:r w:rsidRPr="00881795">
        <w:rPr>
          <w:szCs w:val="20"/>
        </w:rPr>
        <w:t>Reporting crime and crime in progress to the SAPS.</w:t>
      </w:r>
    </w:p>
    <w:p w14:paraId="63A47245" w14:textId="77777777" w:rsidR="00663200" w:rsidRPr="00881795" w:rsidRDefault="00663200" w:rsidP="00EC0A3F">
      <w:pPr>
        <w:pStyle w:val="ListParagraph"/>
        <w:numPr>
          <w:ilvl w:val="0"/>
          <w:numId w:val="17"/>
        </w:numPr>
        <w:jc w:val="both"/>
        <w:rPr>
          <w:szCs w:val="20"/>
        </w:rPr>
      </w:pPr>
      <w:r w:rsidRPr="00881795">
        <w:rPr>
          <w:szCs w:val="20"/>
        </w:rPr>
        <w:t>Creating crime prevention awareness amongst the community.</w:t>
      </w:r>
    </w:p>
    <w:p w14:paraId="36C0BFB2" w14:textId="77777777" w:rsidR="00663200" w:rsidRPr="00881795" w:rsidRDefault="00663200" w:rsidP="00395313">
      <w:pPr>
        <w:jc w:val="both"/>
        <w:rPr>
          <w:szCs w:val="20"/>
        </w:rPr>
      </w:pPr>
      <w:r w:rsidRPr="00881795">
        <w:rPr>
          <w:szCs w:val="20"/>
        </w:rPr>
        <w:t xml:space="preserve">Community Police Forums report all their activities to uMlalazi Municipality council through </w:t>
      </w:r>
      <w:r w:rsidR="009842EE">
        <w:rPr>
          <w:szCs w:val="20"/>
        </w:rPr>
        <w:t xml:space="preserve">Community Services </w:t>
      </w:r>
      <w:r w:rsidRPr="00881795">
        <w:rPr>
          <w:szCs w:val="20"/>
        </w:rPr>
        <w:t>Portfolio Committee by attending committee meetings and providing reports for discussion.</w:t>
      </w:r>
    </w:p>
    <w:p w14:paraId="1B86E875" w14:textId="77777777" w:rsidR="00767DBC" w:rsidRPr="005A27E6" w:rsidRDefault="00957FE5" w:rsidP="00750180">
      <w:pPr>
        <w:pStyle w:val="Heading4"/>
        <w:numPr>
          <w:ilvl w:val="3"/>
          <w:numId w:val="29"/>
        </w:numPr>
        <w:spacing w:after="240"/>
      </w:pPr>
      <w:r w:rsidRPr="005A27E6">
        <w:t xml:space="preserve">Crime </w:t>
      </w:r>
    </w:p>
    <w:p w14:paraId="21908D59" w14:textId="77777777" w:rsidR="000B462A" w:rsidRDefault="00957FE5" w:rsidP="00395313">
      <w:pPr>
        <w:spacing w:line="288" w:lineRule="auto"/>
        <w:jc w:val="both"/>
        <w:rPr>
          <w:szCs w:val="20"/>
        </w:rPr>
      </w:pPr>
      <w:r>
        <w:rPr>
          <w:szCs w:val="20"/>
        </w:rPr>
        <w:t xml:space="preserve">Crime affects all people not only within the municipal boundaries, but the entire Republic. It promotes a decaying society of which its morals are degenerative. UMlalazi Municipality is </w:t>
      </w:r>
      <w:r w:rsidR="004A62C9">
        <w:rPr>
          <w:szCs w:val="20"/>
        </w:rPr>
        <w:t>n</w:t>
      </w:r>
      <w:r>
        <w:rPr>
          <w:szCs w:val="20"/>
        </w:rPr>
        <w:t>ot exempt from the</w:t>
      </w:r>
      <w:r w:rsidR="004A62C9" w:rsidRPr="004A62C9">
        <w:t xml:space="preserve"> </w:t>
      </w:r>
      <w:r w:rsidR="004A62C9" w:rsidRPr="004A62C9">
        <w:rPr>
          <w:szCs w:val="20"/>
        </w:rPr>
        <w:t>scourge</w:t>
      </w:r>
      <w:r>
        <w:rPr>
          <w:szCs w:val="20"/>
        </w:rPr>
        <w:t xml:space="preserve"> of crime. The following table presents disturbing figures on the levels of crime affecting the municipality. The most perpetrated crimes are; </w:t>
      </w:r>
    </w:p>
    <w:p w14:paraId="418B55B1" w14:textId="77777777" w:rsidR="000151CD" w:rsidRPr="000151CD" w:rsidRDefault="00957FE5" w:rsidP="00750180">
      <w:pPr>
        <w:pStyle w:val="ListParagraph"/>
        <w:numPr>
          <w:ilvl w:val="0"/>
          <w:numId w:val="33"/>
        </w:numPr>
        <w:spacing w:after="0" w:line="288" w:lineRule="auto"/>
        <w:jc w:val="both"/>
        <w:rPr>
          <w:szCs w:val="20"/>
        </w:rPr>
      </w:pPr>
      <w:r w:rsidRPr="000151CD">
        <w:rPr>
          <w:szCs w:val="20"/>
        </w:rPr>
        <w:t xml:space="preserve">Assault with the intent to inflict grievous bodily harm; </w:t>
      </w:r>
    </w:p>
    <w:p w14:paraId="19633049" w14:textId="77777777" w:rsidR="000151CD" w:rsidRPr="000151CD" w:rsidRDefault="00957FE5" w:rsidP="00750180">
      <w:pPr>
        <w:pStyle w:val="ListParagraph"/>
        <w:numPr>
          <w:ilvl w:val="0"/>
          <w:numId w:val="33"/>
        </w:numPr>
        <w:spacing w:after="0" w:line="288" w:lineRule="auto"/>
        <w:jc w:val="both"/>
        <w:rPr>
          <w:szCs w:val="20"/>
        </w:rPr>
      </w:pPr>
      <w:r w:rsidRPr="000151CD">
        <w:rPr>
          <w:szCs w:val="20"/>
        </w:rPr>
        <w:t>Robbery with aggravating circumstances</w:t>
      </w:r>
      <w:r w:rsidR="000151CD" w:rsidRPr="000151CD">
        <w:rPr>
          <w:szCs w:val="20"/>
        </w:rPr>
        <w:t xml:space="preserve">; </w:t>
      </w:r>
    </w:p>
    <w:p w14:paraId="0D4010DA" w14:textId="77777777" w:rsidR="000151CD" w:rsidRPr="000151CD" w:rsidRDefault="000151CD" w:rsidP="00750180">
      <w:pPr>
        <w:pStyle w:val="ListParagraph"/>
        <w:numPr>
          <w:ilvl w:val="0"/>
          <w:numId w:val="33"/>
        </w:numPr>
        <w:spacing w:after="0" w:line="288" w:lineRule="auto"/>
        <w:jc w:val="both"/>
        <w:rPr>
          <w:szCs w:val="20"/>
        </w:rPr>
      </w:pPr>
      <w:r w:rsidRPr="000151CD">
        <w:rPr>
          <w:szCs w:val="20"/>
        </w:rPr>
        <w:t xml:space="preserve">Burglary at residential premises and; </w:t>
      </w:r>
    </w:p>
    <w:p w14:paraId="6DD334BD" w14:textId="77777777" w:rsidR="000B462A" w:rsidRDefault="000151CD" w:rsidP="00750180">
      <w:pPr>
        <w:pStyle w:val="ListParagraph"/>
        <w:numPr>
          <w:ilvl w:val="0"/>
          <w:numId w:val="33"/>
        </w:numPr>
        <w:spacing w:after="0" w:line="288" w:lineRule="auto"/>
        <w:jc w:val="both"/>
        <w:rPr>
          <w:szCs w:val="20"/>
        </w:rPr>
      </w:pPr>
      <w:r w:rsidRPr="000151CD">
        <w:rPr>
          <w:szCs w:val="20"/>
        </w:rPr>
        <w:t>Drug-related crime</w:t>
      </w:r>
    </w:p>
    <w:p w14:paraId="5A9B23AE" w14:textId="77777777" w:rsidR="000B2A68" w:rsidRDefault="000B2A68" w:rsidP="000B2A68">
      <w:pPr>
        <w:spacing w:after="0" w:line="288" w:lineRule="auto"/>
        <w:jc w:val="both"/>
        <w:rPr>
          <w:szCs w:val="20"/>
        </w:rPr>
      </w:pPr>
    </w:p>
    <w:p w14:paraId="0CB4AF25" w14:textId="77777777" w:rsidR="000B462A" w:rsidRDefault="009B286E" w:rsidP="00395313">
      <w:pPr>
        <w:spacing w:line="288" w:lineRule="auto"/>
        <w:jc w:val="both"/>
        <w:rPr>
          <w:szCs w:val="20"/>
        </w:rPr>
      </w:pPr>
      <w:r>
        <w:rPr>
          <w:szCs w:val="20"/>
        </w:rPr>
        <w:t xml:space="preserve">Greater cognizance must be given to the establishment and strengthening of community policing forums who will assist the SAPS to eradicate crime within communities. </w:t>
      </w:r>
      <w:r w:rsidR="00A25189">
        <w:rPr>
          <w:szCs w:val="20"/>
        </w:rPr>
        <w:t>Communities</w:t>
      </w:r>
      <w:r w:rsidR="00176F80">
        <w:rPr>
          <w:szCs w:val="20"/>
        </w:rPr>
        <w:t xml:space="preserve"> must be empowered to stand up against crime by reporting on it</w:t>
      </w:r>
      <w:r w:rsidR="000151CD">
        <w:rPr>
          <w:szCs w:val="20"/>
        </w:rPr>
        <w:t>.</w:t>
      </w:r>
      <w:r w:rsidR="00176F80">
        <w:rPr>
          <w:szCs w:val="20"/>
        </w:rPr>
        <w:t xml:space="preserve"> Mechanisms of reporting crimes must be made easily available to </w:t>
      </w:r>
      <w:r w:rsidR="00A25189">
        <w:rPr>
          <w:szCs w:val="20"/>
        </w:rPr>
        <w:t>communities</w:t>
      </w:r>
      <w:r w:rsidR="00176F80">
        <w:rPr>
          <w:szCs w:val="20"/>
        </w:rPr>
        <w:t>, especially those in rural areas.</w:t>
      </w:r>
      <w:r w:rsidR="000151CD">
        <w:rPr>
          <w:szCs w:val="20"/>
        </w:rPr>
        <w:t xml:space="preserve"> Areas where most crimes are recorded are </w:t>
      </w:r>
      <w:r w:rsidR="00A25189">
        <w:rPr>
          <w:szCs w:val="20"/>
        </w:rPr>
        <w:t>Mtunzini</w:t>
      </w:r>
      <w:r w:rsidR="000151CD">
        <w:rPr>
          <w:szCs w:val="20"/>
        </w:rPr>
        <w:t xml:space="preserve"> and Eshowe. These are small p</w:t>
      </w:r>
      <w:r w:rsidR="008E4721">
        <w:rPr>
          <w:szCs w:val="20"/>
        </w:rPr>
        <w:t xml:space="preserve">olice stations that service a much more extensive radius, and policing vehicles are not </w:t>
      </w:r>
      <w:r w:rsidR="00A25189">
        <w:rPr>
          <w:szCs w:val="20"/>
        </w:rPr>
        <w:t>abundant. It</w:t>
      </w:r>
      <w:r w:rsidR="000151CD">
        <w:rPr>
          <w:szCs w:val="20"/>
        </w:rPr>
        <w:t xml:space="preserve"> is also apparent that drug related crimes are on the rise.  </w:t>
      </w:r>
      <w:r w:rsidR="008E4721">
        <w:rPr>
          <w:szCs w:val="20"/>
        </w:rPr>
        <w:t xml:space="preserve">The establishment of satellite stations within the known rural pressure areas will reduce the </w:t>
      </w:r>
      <w:r w:rsidR="00A25189">
        <w:rPr>
          <w:szCs w:val="20"/>
        </w:rPr>
        <w:t>occurrences</w:t>
      </w:r>
      <w:r w:rsidR="008E4721">
        <w:rPr>
          <w:szCs w:val="20"/>
        </w:rPr>
        <w:t xml:space="preserve"> of crime.  The issue of drugs can be addressed by establishing rehabilitation centers within the municipality and enhancing the effectiveness of </w:t>
      </w:r>
      <w:r w:rsidR="00A25189">
        <w:rPr>
          <w:szCs w:val="20"/>
        </w:rPr>
        <w:t>anti-drug</w:t>
      </w:r>
      <w:r w:rsidR="008E4721">
        <w:rPr>
          <w:szCs w:val="20"/>
        </w:rPr>
        <w:t xml:space="preserve"> campaigns. </w:t>
      </w:r>
      <w:r w:rsidR="00176F80">
        <w:rPr>
          <w:szCs w:val="20"/>
        </w:rPr>
        <w:t>Un-aiding to the rising crime levels is also the inaccessibility</w:t>
      </w:r>
      <w:r w:rsidR="004A62C9">
        <w:rPr>
          <w:szCs w:val="20"/>
        </w:rPr>
        <w:t xml:space="preserve"> in terms of transport,</w:t>
      </w:r>
      <w:r w:rsidR="00176F80">
        <w:rPr>
          <w:szCs w:val="20"/>
        </w:rPr>
        <w:t xml:space="preserve"> to most rural communities due to topography of the municipal area. Road infrastructure also makes it difficult for SAPS to access rural households and as a result, criminals having an advantage over the police.</w:t>
      </w:r>
    </w:p>
    <w:p w14:paraId="0AAFC542" w14:textId="77777777" w:rsidR="0037082E" w:rsidRPr="005A27E6" w:rsidRDefault="0037082E" w:rsidP="00750180">
      <w:pPr>
        <w:pStyle w:val="Heading3"/>
        <w:numPr>
          <w:ilvl w:val="2"/>
          <w:numId w:val="29"/>
        </w:numPr>
        <w:spacing w:after="240"/>
      </w:pPr>
      <w:bookmarkStart w:id="430" w:name="_Toc389739990"/>
      <w:bookmarkStart w:id="431" w:name="_Toc510706633"/>
      <w:r w:rsidRPr="005A27E6">
        <w:t>Nation Building &amp; Social Cohesion</w:t>
      </w:r>
      <w:bookmarkEnd w:id="430"/>
      <w:bookmarkEnd w:id="431"/>
    </w:p>
    <w:p w14:paraId="142F2BE7" w14:textId="77777777" w:rsidR="004A62C9" w:rsidRPr="00CD50A4" w:rsidRDefault="004A62C9" w:rsidP="00395313">
      <w:pPr>
        <w:spacing w:line="288" w:lineRule="auto"/>
        <w:jc w:val="both"/>
        <w:rPr>
          <w:szCs w:val="20"/>
        </w:rPr>
      </w:pPr>
      <w:r w:rsidRPr="00CD50A4">
        <w:rPr>
          <w:szCs w:val="20"/>
        </w:rPr>
        <w:t>The municipality has established a number of programs that promote social cohesion and nation building. A</w:t>
      </w:r>
      <w:r w:rsidRPr="00CD50A4">
        <w:t xml:space="preserve"> </w:t>
      </w:r>
      <w:r w:rsidRPr="00CD50A4">
        <w:rPr>
          <w:szCs w:val="20"/>
        </w:rPr>
        <w:t xml:space="preserve">Senior Citizens Forum has been established to not only deal with the issues affecting the elderly, but also to improve their social wellbeing. Through this forum the municipality further encourages the elderly to partake in recreational activities in order for them to be healthy. </w:t>
      </w:r>
      <w:r w:rsidR="003A22A7" w:rsidRPr="00CD50A4">
        <w:rPr>
          <w:szCs w:val="20"/>
        </w:rPr>
        <w:t>Platforms such as the Golden Games allow</w:t>
      </w:r>
      <w:r w:rsidRPr="00CD50A4">
        <w:rPr>
          <w:szCs w:val="20"/>
        </w:rPr>
        <w:t xml:space="preserve"> the elderly to compete recreationally with other municipalities through sports and indigenous games which promote healthy living</w:t>
      </w:r>
      <w:r w:rsidR="00641748" w:rsidRPr="00CD50A4">
        <w:rPr>
          <w:szCs w:val="20"/>
        </w:rPr>
        <w:t>.</w:t>
      </w:r>
    </w:p>
    <w:p w14:paraId="70B3F5DC" w14:textId="77777777" w:rsidR="00EA1DEB" w:rsidRPr="00CD50A4" w:rsidRDefault="004A62C9" w:rsidP="00395313">
      <w:pPr>
        <w:spacing w:line="288" w:lineRule="auto"/>
        <w:jc w:val="both"/>
        <w:rPr>
          <w:szCs w:val="20"/>
          <w:lang w:val="en-ZA"/>
        </w:rPr>
      </w:pPr>
      <w:r w:rsidRPr="00CD50A4">
        <w:rPr>
          <w:szCs w:val="20"/>
        </w:rPr>
        <w:t xml:space="preserve"> </w:t>
      </w:r>
      <w:r w:rsidR="00EA1DEB" w:rsidRPr="00CD50A4">
        <w:rPr>
          <w:szCs w:val="20"/>
          <w:lang w:val="en-ZA"/>
        </w:rPr>
        <w:t>The</w:t>
      </w:r>
      <w:r w:rsidR="00CE3D82" w:rsidRPr="00CD50A4">
        <w:rPr>
          <w:szCs w:val="20"/>
          <w:lang w:val="en-ZA"/>
        </w:rPr>
        <w:t xml:space="preserve"> uMlalazi Municipality established</w:t>
      </w:r>
      <w:r w:rsidR="00EA1DEB" w:rsidRPr="00CD50A4">
        <w:rPr>
          <w:szCs w:val="20"/>
          <w:lang w:val="en-ZA"/>
        </w:rPr>
        <w:t xml:space="preserve"> </w:t>
      </w:r>
      <w:r w:rsidR="00CE3D82" w:rsidRPr="00CD50A4">
        <w:rPr>
          <w:szCs w:val="20"/>
          <w:lang w:val="en-ZA"/>
        </w:rPr>
        <w:t xml:space="preserve">a </w:t>
      </w:r>
      <w:r w:rsidR="00EA1DEB" w:rsidRPr="00CD50A4">
        <w:rPr>
          <w:szCs w:val="20"/>
          <w:lang w:val="en-ZA"/>
        </w:rPr>
        <w:t>Sports</w:t>
      </w:r>
      <w:r w:rsidR="00B12913">
        <w:rPr>
          <w:szCs w:val="20"/>
          <w:lang w:val="en-ZA"/>
        </w:rPr>
        <w:t xml:space="preserve"> Development</w:t>
      </w:r>
      <w:r w:rsidR="0083594F">
        <w:rPr>
          <w:szCs w:val="20"/>
          <w:lang w:val="en-ZA"/>
        </w:rPr>
        <w:t xml:space="preserve"> Program</w:t>
      </w:r>
      <w:r w:rsidR="00CE3D82" w:rsidRPr="00CD50A4">
        <w:rPr>
          <w:szCs w:val="20"/>
          <w:lang w:val="en-ZA"/>
        </w:rPr>
        <w:t xml:space="preserve">, of which the aim is to </w:t>
      </w:r>
      <w:r w:rsidR="00EA1DEB" w:rsidRPr="00CD50A4">
        <w:rPr>
          <w:szCs w:val="20"/>
          <w:lang w:val="en-ZA"/>
        </w:rPr>
        <w:t xml:space="preserve">promote sport development in terms of </w:t>
      </w:r>
      <w:r w:rsidR="0083594F">
        <w:rPr>
          <w:szCs w:val="20"/>
          <w:lang w:val="en-ZA"/>
        </w:rPr>
        <w:t>all applicable sports codes within SALGA KZN Games</w:t>
      </w:r>
      <w:r w:rsidR="00EA1DEB" w:rsidRPr="00CD50A4">
        <w:rPr>
          <w:szCs w:val="20"/>
          <w:lang w:val="en-ZA"/>
        </w:rPr>
        <w:t xml:space="preserve"> at local, district and provincial level.  </w:t>
      </w:r>
    </w:p>
    <w:p w14:paraId="42EBFAEC" w14:textId="77777777" w:rsidR="009C0850" w:rsidRPr="00CD50A4" w:rsidRDefault="009C0850" w:rsidP="00395313">
      <w:pPr>
        <w:jc w:val="both"/>
        <w:rPr>
          <w:szCs w:val="20"/>
        </w:rPr>
      </w:pPr>
      <w:r w:rsidRPr="00CD50A4">
        <w:rPr>
          <w:szCs w:val="20"/>
        </w:rPr>
        <w:t>As part of promoting Arts and culture within uMlalazi Municipality and ensuring that youth of uMlalazi is kept from criminal activities and reviving the culture and pride within youth, Community Se</w:t>
      </w:r>
      <w:r w:rsidR="00A50BA7">
        <w:rPr>
          <w:szCs w:val="20"/>
        </w:rPr>
        <w:t>rvices promotes and</w:t>
      </w:r>
      <w:r w:rsidR="0083594F">
        <w:rPr>
          <w:szCs w:val="20"/>
        </w:rPr>
        <w:t xml:space="preserve"> </w:t>
      </w:r>
      <w:r w:rsidR="00A50BA7">
        <w:rPr>
          <w:szCs w:val="20"/>
        </w:rPr>
        <w:t>supports c</w:t>
      </w:r>
      <w:r w:rsidR="0083594F">
        <w:rPr>
          <w:szCs w:val="20"/>
        </w:rPr>
        <w:t xml:space="preserve">ultural and </w:t>
      </w:r>
      <w:r w:rsidR="00A50BA7">
        <w:rPr>
          <w:szCs w:val="20"/>
        </w:rPr>
        <w:t>religious a</w:t>
      </w:r>
      <w:r w:rsidR="0083594F">
        <w:rPr>
          <w:szCs w:val="20"/>
        </w:rPr>
        <w:t>ctivities such as;</w:t>
      </w:r>
    </w:p>
    <w:p w14:paraId="72060F44" w14:textId="77777777" w:rsidR="0083594F" w:rsidRPr="0083594F" w:rsidRDefault="0083594F" w:rsidP="00EC0A3F">
      <w:pPr>
        <w:pStyle w:val="ListParagraph"/>
        <w:widowControl w:val="0"/>
        <w:numPr>
          <w:ilvl w:val="0"/>
          <w:numId w:val="18"/>
        </w:numPr>
        <w:autoSpaceDE w:val="0"/>
        <w:autoSpaceDN w:val="0"/>
        <w:adjustRightInd w:val="0"/>
        <w:spacing w:after="0" w:line="240" w:lineRule="auto"/>
        <w:ind w:left="0" w:firstLine="0"/>
        <w:jc w:val="both"/>
        <w:rPr>
          <w:b/>
          <w:szCs w:val="20"/>
        </w:rPr>
      </w:pPr>
      <w:r w:rsidRPr="0083594F">
        <w:rPr>
          <w:b/>
          <w:szCs w:val="20"/>
        </w:rPr>
        <w:t>Ingoma/Indlamu Competitions</w:t>
      </w:r>
    </w:p>
    <w:p w14:paraId="6D84943E" w14:textId="77777777" w:rsidR="0083594F" w:rsidRPr="0083594F" w:rsidRDefault="002C3D21" w:rsidP="00EC0A3F">
      <w:pPr>
        <w:pStyle w:val="ListParagraph"/>
        <w:widowControl w:val="0"/>
        <w:numPr>
          <w:ilvl w:val="0"/>
          <w:numId w:val="18"/>
        </w:numPr>
        <w:autoSpaceDE w:val="0"/>
        <w:autoSpaceDN w:val="0"/>
        <w:adjustRightInd w:val="0"/>
        <w:spacing w:after="0" w:line="240" w:lineRule="auto"/>
        <w:ind w:left="0" w:firstLine="0"/>
        <w:jc w:val="both"/>
        <w:rPr>
          <w:szCs w:val="20"/>
        </w:rPr>
      </w:pPr>
      <w:r>
        <w:rPr>
          <w:b/>
          <w:szCs w:val="20"/>
        </w:rPr>
        <w:t>uMaskandi Festival</w:t>
      </w:r>
    </w:p>
    <w:p w14:paraId="12380823" w14:textId="77777777" w:rsidR="0083594F" w:rsidRPr="0083594F" w:rsidRDefault="0083594F" w:rsidP="00EC0A3F">
      <w:pPr>
        <w:pStyle w:val="ListParagraph"/>
        <w:widowControl w:val="0"/>
        <w:numPr>
          <w:ilvl w:val="0"/>
          <w:numId w:val="18"/>
        </w:numPr>
        <w:autoSpaceDE w:val="0"/>
        <w:autoSpaceDN w:val="0"/>
        <w:adjustRightInd w:val="0"/>
        <w:spacing w:after="0" w:line="240" w:lineRule="auto"/>
        <w:ind w:left="0" w:firstLine="0"/>
        <w:jc w:val="both"/>
        <w:rPr>
          <w:szCs w:val="20"/>
        </w:rPr>
      </w:pPr>
      <w:r>
        <w:rPr>
          <w:b/>
          <w:szCs w:val="20"/>
        </w:rPr>
        <w:t>Dewali Festival</w:t>
      </w:r>
    </w:p>
    <w:p w14:paraId="0A9CD2B4" w14:textId="77777777" w:rsidR="0083594F" w:rsidRDefault="00A50BA7" w:rsidP="00EC0A3F">
      <w:pPr>
        <w:pStyle w:val="ListParagraph"/>
        <w:widowControl w:val="0"/>
        <w:numPr>
          <w:ilvl w:val="0"/>
          <w:numId w:val="18"/>
        </w:numPr>
        <w:autoSpaceDE w:val="0"/>
        <w:autoSpaceDN w:val="0"/>
        <w:adjustRightInd w:val="0"/>
        <w:spacing w:after="0" w:line="240" w:lineRule="auto"/>
        <w:ind w:left="0" w:firstLine="0"/>
        <w:jc w:val="both"/>
        <w:rPr>
          <w:b/>
          <w:szCs w:val="20"/>
        </w:rPr>
      </w:pPr>
      <w:r w:rsidRPr="00A50BA7">
        <w:rPr>
          <w:b/>
          <w:szCs w:val="20"/>
        </w:rPr>
        <w:t>Inyanga yomhlangano waseJudea</w:t>
      </w:r>
    </w:p>
    <w:p w14:paraId="3D4BE868" w14:textId="77777777" w:rsidR="00A50BA7" w:rsidRPr="00A50BA7" w:rsidRDefault="00A50BA7" w:rsidP="00EC0A3F">
      <w:pPr>
        <w:pStyle w:val="ListParagraph"/>
        <w:widowControl w:val="0"/>
        <w:numPr>
          <w:ilvl w:val="0"/>
          <w:numId w:val="18"/>
        </w:numPr>
        <w:autoSpaceDE w:val="0"/>
        <w:autoSpaceDN w:val="0"/>
        <w:adjustRightInd w:val="0"/>
        <w:spacing w:after="0" w:line="240" w:lineRule="auto"/>
        <w:ind w:left="0" w:firstLine="0"/>
        <w:jc w:val="both"/>
        <w:rPr>
          <w:b/>
          <w:szCs w:val="20"/>
        </w:rPr>
      </w:pPr>
      <w:r>
        <w:rPr>
          <w:b/>
          <w:szCs w:val="20"/>
        </w:rPr>
        <w:t>uMkhosi woMhlanga (Reed Dance)</w:t>
      </w:r>
    </w:p>
    <w:p w14:paraId="241FAD48" w14:textId="77777777" w:rsidR="0037082E" w:rsidRPr="005A27E6" w:rsidRDefault="0037082E" w:rsidP="00750180">
      <w:pPr>
        <w:pStyle w:val="Heading3"/>
        <w:numPr>
          <w:ilvl w:val="2"/>
          <w:numId w:val="29"/>
        </w:numPr>
        <w:spacing w:after="240"/>
      </w:pPr>
      <w:bookmarkStart w:id="432" w:name="_Toc389739997"/>
      <w:bookmarkStart w:id="433" w:name="_Toc510706634"/>
      <w:r w:rsidRPr="005A27E6">
        <w:t>Community Development with particular Focus on Vulnerable Groups</w:t>
      </w:r>
      <w:bookmarkEnd w:id="432"/>
      <w:r w:rsidR="007A5BD3" w:rsidRPr="005A27E6">
        <w:t xml:space="preserve"> (Special Programs)</w:t>
      </w:r>
      <w:bookmarkEnd w:id="433"/>
    </w:p>
    <w:p w14:paraId="6E477247" w14:textId="77777777" w:rsidR="007A5BD3" w:rsidRDefault="007A5BD3" w:rsidP="007A5BD3">
      <w:pPr>
        <w:jc w:val="both"/>
      </w:pPr>
      <w:r w:rsidRPr="007A5BD3">
        <w:t>In order to ensure compliance and inclusion of all citizens, uMlalazi Municipality is required to establish Forums for all the sectors within the municipality such as disability, women’s, men’s and senior citizens as well as children sectors. These sectors and forums are responsible for the following, amongst other things:-</w:t>
      </w:r>
    </w:p>
    <w:p w14:paraId="45F806CD" w14:textId="77777777" w:rsidR="007A5BD3" w:rsidRDefault="007A5BD3" w:rsidP="00750180">
      <w:pPr>
        <w:pStyle w:val="ListParagraph"/>
        <w:numPr>
          <w:ilvl w:val="3"/>
          <w:numId w:val="29"/>
        </w:numPr>
        <w:jc w:val="both"/>
      </w:pPr>
      <w:r w:rsidRPr="005A27E6">
        <w:rPr>
          <w:rStyle w:val="Heading4Char"/>
        </w:rPr>
        <w:t>Disability Sector Forum</w:t>
      </w:r>
      <w:r>
        <w:t xml:space="preserve"> - To promote awareness of disabilities within the uMlalazi Municipality and encourage Government Departments to integrate disability issues into their line function activities. Furthermore, to coordinate, facilitates and monitor the implementation of the Integrated National Disability Strategy (INDS).</w:t>
      </w:r>
    </w:p>
    <w:p w14:paraId="5729CDCC" w14:textId="77777777" w:rsidR="007A5BD3" w:rsidRPr="007A5BD3" w:rsidRDefault="007A5BD3" w:rsidP="00750180">
      <w:pPr>
        <w:pStyle w:val="ListParagraph"/>
        <w:numPr>
          <w:ilvl w:val="3"/>
          <w:numId w:val="29"/>
        </w:numPr>
        <w:jc w:val="both"/>
      </w:pPr>
      <w:r w:rsidRPr="007A5BD3">
        <w:rPr>
          <w:b/>
        </w:rPr>
        <w:t>Senior Citizens Sector Forum</w:t>
      </w:r>
      <w:r w:rsidRPr="007A5BD3">
        <w:t xml:space="preserve"> – </w:t>
      </w:r>
      <w:r>
        <w:t>To e</w:t>
      </w:r>
      <w:r w:rsidRPr="007A5BD3">
        <w:t xml:space="preserve">nsure inclusion of senior citizens and raise awareness in the issues concerning older people within uMlalazi Municipality and promote healthy lifestyles in order that they live longer and enjoy the fruits of democracy. </w:t>
      </w:r>
    </w:p>
    <w:p w14:paraId="79C8F774" w14:textId="77777777" w:rsidR="007A5BD3" w:rsidRPr="007A5BD3" w:rsidRDefault="007A5BD3" w:rsidP="00750180">
      <w:pPr>
        <w:pStyle w:val="ListParagraph"/>
        <w:numPr>
          <w:ilvl w:val="3"/>
          <w:numId w:val="29"/>
        </w:numPr>
      </w:pPr>
      <w:r w:rsidRPr="007A5BD3">
        <w:rPr>
          <w:b/>
        </w:rPr>
        <w:t>Women and Men’s Sector Forum</w:t>
      </w:r>
      <w:r w:rsidRPr="007A5BD3">
        <w:t xml:space="preserve"> – To promote issues pertaining to men and women within the municipality, ensure that they are heard and recognize their contribution in the societies within uMlalazi.</w:t>
      </w:r>
    </w:p>
    <w:p w14:paraId="2DCA1002" w14:textId="77777777" w:rsidR="007A5BD3" w:rsidRDefault="007A5BD3" w:rsidP="00750180">
      <w:pPr>
        <w:pStyle w:val="ListParagraph"/>
        <w:numPr>
          <w:ilvl w:val="3"/>
          <w:numId w:val="29"/>
        </w:numPr>
      </w:pPr>
      <w:r w:rsidRPr="007A5BD3">
        <w:rPr>
          <w:b/>
        </w:rPr>
        <w:t>Children Sector Forum</w:t>
      </w:r>
      <w:r w:rsidRPr="007A5BD3">
        <w:t xml:space="preserve"> – To promote the rights of children in every community of uMlalazi and ensure that they are protected from all forms of abuse.</w:t>
      </w:r>
    </w:p>
    <w:p w14:paraId="3BD4E1BC" w14:textId="77777777" w:rsidR="007A5BD3" w:rsidRDefault="007A5BD3" w:rsidP="007A5BD3">
      <w:r>
        <w:t>The principles guiding the functioning of these Forums include:</w:t>
      </w:r>
    </w:p>
    <w:p w14:paraId="70E4CE4C" w14:textId="77777777" w:rsidR="007A5BD3" w:rsidRDefault="007A5BD3" w:rsidP="00750180">
      <w:pPr>
        <w:pStyle w:val="ListParagraph"/>
        <w:numPr>
          <w:ilvl w:val="0"/>
          <w:numId w:val="54"/>
        </w:numPr>
        <w:spacing w:after="0"/>
      </w:pPr>
      <w:r>
        <w:t>Commitment and willingness to accept all stakeholders as equal partners</w:t>
      </w:r>
    </w:p>
    <w:p w14:paraId="14CB341F" w14:textId="77777777" w:rsidR="007A5BD3" w:rsidRDefault="009B286E" w:rsidP="00750180">
      <w:pPr>
        <w:pStyle w:val="ListParagraph"/>
        <w:numPr>
          <w:ilvl w:val="0"/>
          <w:numId w:val="54"/>
        </w:numPr>
        <w:spacing w:after="0"/>
      </w:pPr>
      <w:r>
        <w:t>Self-representation</w:t>
      </w:r>
      <w:r w:rsidR="007A5BD3">
        <w:t xml:space="preserve"> by people with disabilities</w:t>
      </w:r>
    </w:p>
    <w:p w14:paraId="529B3C23" w14:textId="77777777" w:rsidR="007A5BD3" w:rsidRDefault="007A5BD3" w:rsidP="00750180">
      <w:pPr>
        <w:pStyle w:val="ListParagraph"/>
        <w:numPr>
          <w:ilvl w:val="0"/>
          <w:numId w:val="54"/>
        </w:numPr>
        <w:spacing w:after="0"/>
      </w:pPr>
      <w:r>
        <w:t>Consultation with relevant stakeholders</w:t>
      </w:r>
    </w:p>
    <w:p w14:paraId="285EF15E" w14:textId="77777777" w:rsidR="007A5BD3" w:rsidRDefault="007A5BD3" w:rsidP="00750180">
      <w:pPr>
        <w:pStyle w:val="ListParagraph"/>
        <w:numPr>
          <w:ilvl w:val="0"/>
          <w:numId w:val="54"/>
        </w:numPr>
        <w:spacing w:after="0"/>
      </w:pPr>
      <w:r>
        <w:t>Adherence to democratic principles</w:t>
      </w:r>
    </w:p>
    <w:p w14:paraId="5D5E7724" w14:textId="77777777" w:rsidR="007A5BD3" w:rsidRPr="007A5BD3" w:rsidRDefault="007A5BD3" w:rsidP="00750180">
      <w:pPr>
        <w:pStyle w:val="ListParagraph"/>
        <w:numPr>
          <w:ilvl w:val="0"/>
          <w:numId w:val="54"/>
        </w:numPr>
        <w:spacing w:after="0"/>
      </w:pPr>
      <w:r>
        <w:t>Meaningful participation by people from all sectors.</w:t>
      </w:r>
    </w:p>
    <w:p w14:paraId="5F52788F" w14:textId="0B3C27C1" w:rsidR="00D60A2C" w:rsidRDefault="00004148" w:rsidP="00750180">
      <w:pPr>
        <w:pStyle w:val="Heading3"/>
        <w:numPr>
          <w:ilvl w:val="3"/>
          <w:numId w:val="127"/>
        </w:numPr>
        <w:spacing w:after="240"/>
      </w:pPr>
      <w:bookmarkStart w:id="434" w:name="_Toc510706635"/>
      <w:bookmarkStart w:id="435" w:name="_Toc389739998"/>
      <w:r>
        <w:t>Disability Structures</w:t>
      </w:r>
      <w:bookmarkEnd w:id="434"/>
    </w:p>
    <w:tbl>
      <w:tblPr>
        <w:tblStyle w:val="TableGrid7"/>
        <w:tblW w:w="5088" w:type="pct"/>
        <w:tblLook w:val="04A0" w:firstRow="1" w:lastRow="0" w:firstColumn="1" w:lastColumn="0" w:noHBand="0" w:noVBand="1"/>
      </w:tblPr>
      <w:tblGrid>
        <w:gridCol w:w="1326"/>
        <w:gridCol w:w="1660"/>
        <w:gridCol w:w="1754"/>
        <w:gridCol w:w="1566"/>
        <w:gridCol w:w="1736"/>
        <w:gridCol w:w="1756"/>
      </w:tblGrid>
      <w:tr w:rsidR="00004148" w:rsidRPr="00554661" w14:paraId="5C8DEB39" w14:textId="77777777" w:rsidTr="00554661">
        <w:trPr>
          <w:trHeight w:val="227"/>
          <w:tblHeader/>
        </w:trPr>
        <w:tc>
          <w:tcPr>
            <w:tcW w:w="677" w:type="pct"/>
            <w:shd w:val="clear" w:color="auto" w:fill="D9D9D9" w:themeFill="background1" w:themeFillShade="D9"/>
          </w:tcPr>
          <w:p w14:paraId="30EAFFFF" w14:textId="77777777" w:rsidR="00004148" w:rsidRPr="00554661" w:rsidRDefault="00004148" w:rsidP="00004148">
            <w:pPr>
              <w:rPr>
                <w:b/>
                <w:sz w:val="16"/>
                <w:lang w:val="en-US"/>
              </w:rPr>
            </w:pPr>
            <w:r w:rsidRPr="00554661">
              <w:rPr>
                <w:b/>
                <w:sz w:val="16"/>
                <w:lang w:val="en-US"/>
              </w:rPr>
              <w:t>NAME OF SECTOR</w:t>
            </w:r>
          </w:p>
        </w:tc>
        <w:tc>
          <w:tcPr>
            <w:tcW w:w="847" w:type="pct"/>
            <w:shd w:val="clear" w:color="auto" w:fill="D9D9D9" w:themeFill="background1" w:themeFillShade="D9"/>
          </w:tcPr>
          <w:p w14:paraId="426BA4F1" w14:textId="77777777" w:rsidR="00004148" w:rsidRPr="00554661" w:rsidRDefault="00004148" w:rsidP="00004148">
            <w:pPr>
              <w:rPr>
                <w:b/>
                <w:sz w:val="16"/>
                <w:lang w:val="en-US"/>
              </w:rPr>
            </w:pPr>
            <w:r w:rsidRPr="00554661">
              <w:rPr>
                <w:b/>
                <w:sz w:val="16"/>
                <w:lang w:val="en-US"/>
              </w:rPr>
              <w:t>OBJECTIVE</w:t>
            </w:r>
          </w:p>
        </w:tc>
        <w:tc>
          <w:tcPr>
            <w:tcW w:w="895" w:type="pct"/>
            <w:shd w:val="clear" w:color="auto" w:fill="D9D9D9" w:themeFill="background1" w:themeFillShade="D9"/>
          </w:tcPr>
          <w:p w14:paraId="36A37A15" w14:textId="77777777" w:rsidR="00004148" w:rsidRPr="00554661" w:rsidRDefault="00004148" w:rsidP="00004148">
            <w:pPr>
              <w:rPr>
                <w:b/>
                <w:sz w:val="16"/>
                <w:lang w:val="en-US"/>
              </w:rPr>
            </w:pPr>
            <w:r w:rsidRPr="00554661">
              <w:rPr>
                <w:b/>
                <w:sz w:val="16"/>
                <w:lang w:val="en-US"/>
              </w:rPr>
              <w:t>ACTIVITY</w:t>
            </w:r>
          </w:p>
        </w:tc>
        <w:tc>
          <w:tcPr>
            <w:tcW w:w="799" w:type="pct"/>
            <w:shd w:val="clear" w:color="auto" w:fill="D9D9D9" w:themeFill="background1" w:themeFillShade="D9"/>
          </w:tcPr>
          <w:p w14:paraId="388F4AE0" w14:textId="77777777" w:rsidR="00004148" w:rsidRPr="00554661" w:rsidRDefault="00004148" w:rsidP="00004148">
            <w:pPr>
              <w:rPr>
                <w:b/>
                <w:sz w:val="16"/>
                <w:lang w:val="en-US"/>
              </w:rPr>
            </w:pPr>
            <w:r w:rsidRPr="00554661">
              <w:rPr>
                <w:b/>
                <w:sz w:val="16"/>
                <w:lang w:val="en-US"/>
              </w:rPr>
              <w:t>TARGET GROUP</w:t>
            </w:r>
          </w:p>
        </w:tc>
        <w:tc>
          <w:tcPr>
            <w:tcW w:w="886" w:type="pct"/>
            <w:shd w:val="clear" w:color="auto" w:fill="D9D9D9" w:themeFill="background1" w:themeFillShade="D9"/>
          </w:tcPr>
          <w:p w14:paraId="6C3845A5" w14:textId="033932A2" w:rsidR="00004148" w:rsidRPr="00554661" w:rsidRDefault="00004148" w:rsidP="00004148">
            <w:pPr>
              <w:rPr>
                <w:b/>
                <w:sz w:val="16"/>
                <w:lang w:val="en-US"/>
              </w:rPr>
            </w:pPr>
            <w:r w:rsidRPr="00554661">
              <w:rPr>
                <w:b/>
                <w:sz w:val="16"/>
                <w:lang w:val="en-US"/>
              </w:rPr>
              <w:t>RESOURCES</w:t>
            </w:r>
          </w:p>
        </w:tc>
        <w:tc>
          <w:tcPr>
            <w:tcW w:w="897" w:type="pct"/>
            <w:shd w:val="clear" w:color="auto" w:fill="D9D9D9" w:themeFill="background1" w:themeFillShade="D9"/>
          </w:tcPr>
          <w:p w14:paraId="45D4B5B7" w14:textId="44581D0F" w:rsidR="00004148" w:rsidRPr="00554661" w:rsidRDefault="00004148" w:rsidP="00004148">
            <w:pPr>
              <w:rPr>
                <w:b/>
                <w:sz w:val="16"/>
                <w:lang w:val="en-US"/>
              </w:rPr>
            </w:pPr>
            <w:r w:rsidRPr="00554661">
              <w:rPr>
                <w:b/>
                <w:sz w:val="16"/>
                <w:lang w:val="en-US"/>
              </w:rPr>
              <w:t>PARTNERS</w:t>
            </w:r>
          </w:p>
        </w:tc>
      </w:tr>
      <w:tr w:rsidR="00004148" w:rsidRPr="00554661" w14:paraId="34DF46F4" w14:textId="77777777" w:rsidTr="00554661">
        <w:trPr>
          <w:trHeight w:val="366"/>
        </w:trPr>
        <w:tc>
          <w:tcPr>
            <w:tcW w:w="677" w:type="pct"/>
            <w:vMerge w:val="restart"/>
          </w:tcPr>
          <w:p w14:paraId="5D20788D" w14:textId="29B0170D" w:rsidR="00004148" w:rsidRPr="00554661" w:rsidRDefault="00004148" w:rsidP="00004148">
            <w:pPr>
              <w:rPr>
                <w:sz w:val="16"/>
                <w:lang w:val="en-US"/>
              </w:rPr>
            </w:pPr>
            <w:r w:rsidRPr="00554661">
              <w:rPr>
                <w:sz w:val="16"/>
                <w:lang w:val="en-US"/>
              </w:rPr>
              <w:t xml:space="preserve">Disability Sector </w:t>
            </w:r>
          </w:p>
        </w:tc>
        <w:tc>
          <w:tcPr>
            <w:tcW w:w="847" w:type="pct"/>
          </w:tcPr>
          <w:p w14:paraId="41BD96BC" w14:textId="77777777" w:rsidR="00004148" w:rsidRPr="00554661" w:rsidRDefault="00004148" w:rsidP="00004148">
            <w:pPr>
              <w:rPr>
                <w:sz w:val="16"/>
                <w:lang w:val="en-US"/>
              </w:rPr>
            </w:pPr>
            <w:r w:rsidRPr="00554661">
              <w:rPr>
                <w:sz w:val="16"/>
                <w:lang w:val="en-US"/>
              </w:rPr>
              <w:t>DISSA Festival</w:t>
            </w:r>
          </w:p>
        </w:tc>
        <w:tc>
          <w:tcPr>
            <w:tcW w:w="895" w:type="pct"/>
          </w:tcPr>
          <w:p w14:paraId="214C7826" w14:textId="77777777" w:rsidR="00004148" w:rsidRPr="00554661" w:rsidRDefault="00004148" w:rsidP="00004148">
            <w:pPr>
              <w:rPr>
                <w:sz w:val="16"/>
                <w:lang w:val="en-US"/>
              </w:rPr>
            </w:pPr>
            <w:r w:rsidRPr="00554661">
              <w:rPr>
                <w:sz w:val="16"/>
                <w:lang w:val="en-US"/>
              </w:rPr>
              <w:t>Sports tournament for disabled persons</w:t>
            </w:r>
          </w:p>
        </w:tc>
        <w:tc>
          <w:tcPr>
            <w:tcW w:w="799" w:type="pct"/>
          </w:tcPr>
          <w:p w14:paraId="0DAA1915" w14:textId="77777777" w:rsidR="00004148" w:rsidRPr="00554661" w:rsidRDefault="00004148" w:rsidP="00004148">
            <w:pPr>
              <w:rPr>
                <w:sz w:val="16"/>
                <w:lang w:val="en-US"/>
              </w:rPr>
            </w:pPr>
            <w:r w:rsidRPr="00554661">
              <w:rPr>
                <w:sz w:val="16"/>
                <w:lang w:val="en-US"/>
              </w:rPr>
              <w:t>Disabled Participants</w:t>
            </w:r>
          </w:p>
        </w:tc>
        <w:tc>
          <w:tcPr>
            <w:tcW w:w="886" w:type="pct"/>
          </w:tcPr>
          <w:p w14:paraId="5190F4D9" w14:textId="5A501085" w:rsidR="00004148" w:rsidRPr="00554661" w:rsidRDefault="00004148" w:rsidP="00004148">
            <w:pPr>
              <w:rPr>
                <w:sz w:val="16"/>
                <w:lang w:val="en-US"/>
              </w:rPr>
            </w:pPr>
            <w:r w:rsidRPr="00554661">
              <w:rPr>
                <w:sz w:val="16"/>
                <w:lang w:val="en-US"/>
              </w:rPr>
              <w:t>Transport, Sport kits and attires</w:t>
            </w:r>
          </w:p>
        </w:tc>
        <w:tc>
          <w:tcPr>
            <w:tcW w:w="897" w:type="pct"/>
          </w:tcPr>
          <w:p w14:paraId="410E07D7" w14:textId="46BA77B7" w:rsidR="00004148" w:rsidRPr="00554661" w:rsidRDefault="00004148" w:rsidP="00004148">
            <w:pPr>
              <w:rPr>
                <w:sz w:val="16"/>
                <w:lang w:val="en-US"/>
              </w:rPr>
            </w:pPr>
            <w:r w:rsidRPr="00554661">
              <w:rPr>
                <w:sz w:val="16"/>
                <w:lang w:val="en-US"/>
              </w:rPr>
              <w:t>Community Services and Sector Departments</w:t>
            </w:r>
          </w:p>
        </w:tc>
      </w:tr>
      <w:tr w:rsidR="00004148" w:rsidRPr="00554661" w14:paraId="591D30AA" w14:textId="77777777" w:rsidTr="00554661">
        <w:trPr>
          <w:trHeight w:val="675"/>
        </w:trPr>
        <w:tc>
          <w:tcPr>
            <w:tcW w:w="677" w:type="pct"/>
            <w:vMerge/>
          </w:tcPr>
          <w:p w14:paraId="74B1BD94" w14:textId="77777777" w:rsidR="00004148" w:rsidRPr="00554661" w:rsidRDefault="00004148" w:rsidP="00004148">
            <w:pPr>
              <w:rPr>
                <w:sz w:val="16"/>
                <w:lang w:val="en-US"/>
              </w:rPr>
            </w:pPr>
          </w:p>
        </w:tc>
        <w:tc>
          <w:tcPr>
            <w:tcW w:w="847" w:type="pct"/>
          </w:tcPr>
          <w:p w14:paraId="61C2C6C8" w14:textId="77777777" w:rsidR="00004148" w:rsidRPr="00554661" w:rsidRDefault="00004148" w:rsidP="00004148">
            <w:pPr>
              <w:rPr>
                <w:sz w:val="16"/>
                <w:lang w:val="en-US"/>
              </w:rPr>
            </w:pPr>
            <w:r w:rsidRPr="00554661">
              <w:rPr>
                <w:sz w:val="16"/>
                <w:lang w:val="en-US"/>
              </w:rPr>
              <w:t>Quarterly meetings</w:t>
            </w:r>
          </w:p>
        </w:tc>
        <w:tc>
          <w:tcPr>
            <w:tcW w:w="895" w:type="pct"/>
          </w:tcPr>
          <w:p w14:paraId="0850D5C7" w14:textId="77777777" w:rsidR="00004148" w:rsidRPr="00554661" w:rsidRDefault="00004148" w:rsidP="00004148">
            <w:pPr>
              <w:rPr>
                <w:sz w:val="16"/>
                <w:lang w:val="en-US"/>
              </w:rPr>
            </w:pPr>
            <w:r w:rsidRPr="00554661">
              <w:rPr>
                <w:sz w:val="16"/>
                <w:lang w:val="en-US"/>
              </w:rPr>
              <w:t>Meetings</w:t>
            </w:r>
          </w:p>
        </w:tc>
        <w:tc>
          <w:tcPr>
            <w:tcW w:w="799" w:type="pct"/>
          </w:tcPr>
          <w:p w14:paraId="2025F515" w14:textId="77777777" w:rsidR="00004148" w:rsidRPr="00554661" w:rsidRDefault="00004148" w:rsidP="00004148">
            <w:pPr>
              <w:rPr>
                <w:sz w:val="16"/>
                <w:lang w:val="en-US"/>
              </w:rPr>
            </w:pPr>
            <w:r w:rsidRPr="00554661">
              <w:rPr>
                <w:sz w:val="16"/>
                <w:lang w:val="en-US"/>
              </w:rPr>
              <w:t>Disability forum</w:t>
            </w:r>
          </w:p>
        </w:tc>
        <w:tc>
          <w:tcPr>
            <w:tcW w:w="886" w:type="pct"/>
          </w:tcPr>
          <w:p w14:paraId="6B37EC89" w14:textId="77777777" w:rsidR="00004148" w:rsidRPr="00554661" w:rsidRDefault="00004148" w:rsidP="00004148">
            <w:pPr>
              <w:rPr>
                <w:sz w:val="16"/>
                <w:lang w:val="en-US"/>
              </w:rPr>
            </w:pPr>
            <w:r w:rsidRPr="00554661">
              <w:rPr>
                <w:sz w:val="16"/>
                <w:lang w:val="en-US"/>
              </w:rPr>
              <w:t>Stationery</w:t>
            </w:r>
          </w:p>
        </w:tc>
        <w:tc>
          <w:tcPr>
            <w:tcW w:w="897" w:type="pct"/>
          </w:tcPr>
          <w:p w14:paraId="5B7A2FAA" w14:textId="77777777" w:rsidR="00004148" w:rsidRPr="00554661" w:rsidRDefault="00004148" w:rsidP="00004148">
            <w:pPr>
              <w:rPr>
                <w:sz w:val="16"/>
                <w:lang w:val="en-US"/>
              </w:rPr>
            </w:pPr>
            <w:r w:rsidRPr="00554661">
              <w:rPr>
                <w:sz w:val="16"/>
                <w:lang w:val="en-US"/>
              </w:rPr>
              <w:t>Local Forum members and Government Department Focal Persons</w:t>
            </w:r>
          </w:p>
        </w:tc>
      </w:tr>
      <w:tr w:rsidR="00004148" w:rsidRPr="00554661" w14:paraId="270986CA" w14:textId="77777777" w:rsidTr="00554661">
        <w:trPr>
          <w:trHeight w:val="363"/>
        </w:trPr>
        <w:tc>
          <w:tcPr>
            <w:tcW w:w="677" w:type="pct"/>
            <w:vMerge/>
          </w:tcPr>
          <w:p w14:paraId="4FE0BEBA" w14:textId="77777777" w:rsidR="00004148" w:rsidRPr="00554661" w:rsidRDefault="00004148" w:rsidP="00004148">
            <w:pPr>
              <w:rPr>
                <w:sz w:val="16"/>
                <w:lang w:val="en-US"/>
              </w:rPr>
            </w:pPr>
          </w:p>
        </w:tc>
        <w:tc>
          <w:tcPr>
            <w:tcW w:w="847" w:type="pct"/>
          </w:tcPr>
          <w:p w14:paraId="7C01BEA8" w14:textId="77777777" w:rsidR="00004148" w:rsidRPr="00554661" w:rsidRDefault="00004148" w:rsidP="00004148">
            <w:pPr>
              <w:rPr>
                <w:sz w:val="16"/>
                <w:lang w:val="en-US"/>
              </w:rPr>
            </w:pPr>
            <w:r w:rsidRPr="00554661">
              <w:rPr>
                <w:sz w:val="16"/>
                <w:lang w:val="en-US"/>
              </w:rPr>
              <w:t>Outreach Programmes</w:t>
            </w:r>
          </w:p>
        </w:tc>
        <w:tc>
          <w:tcPr>
            <w:tcW w:w="895" w:type="pct"/>
          </w:tcPr>
          <w:p w14:paraId="69FC321B" w14:textId="77777777" w:rsidR="00004148" w:rsidRPr="00554661" w:rsidRDefault="00004148" w:rsidP="00004148">
            <w:pPr>
              <w:rPr>
                <w:sz w:val="16"/>
                <w:lang w:val="en-US"/>
              </w:rPr>
            </w:pPr>
            <w:r w:rsidRPr="00554661">
              <w:rPr>
                <w:sz w:val="16"/>
                <w:lang w:val="en-US"/>
              </w:rPr>
              <w:t>Interventions to disabled communities.</w:t>
            </w:r>
          </w:p>
        </w:tc>
        <w:tc>
          <w:tcPr>
            <w:tcW w:w="799" w:type="pct"/>
          </w:tcPr>
          <w:p w14:paraId="0B1B386A" w14:textId="77777777" w:rsidR="00004148" w:rsidRPr="00554661" w:rsidRDefault="00004148" w:rsidP="00004148">
            <w:pPr>
              <w:rPr>
                <w:sz w:val="16"/>
                <w:lang w:val="en-US"/>
              </w:rPr>
            </w:pPr>
            <w:r w:rsidRPr="00554661">
              <w:rPr>
                <w:sz w:val="16"/>
                <w:lang w:val="en-US"/>
              </w:rPr>
              <w:t>Disabled Community members</w:t>
            </w:r>
          </w:p>
        </w:tc>
        <w:tc>
          <w:tcPr>
            <w:tcW w:w="886" w:type="pct"/>
          </w:tcPr>
          <w:p w14:paraId="2E4FDEA0" w14:textId="77777777" w:rsidR="00004148" w:rsidRPr="00554661" w:rsidRDefault="00004148" w:rsidP="00004148">
            <w:pPr>
              <w:rPr>
                <w:sz w:val="16"/>
                <w:lang w:val="en-US"/>
              </w:rPr>
            </w:pPr>
            <w:r w:rsidRPr="00554661">
              <w:rPr>
                <w:sz w:val="16"/>
                <w:lang w:val="en-US"/>
              </w:rPr>
              <w:t>Transport and refreshments</w:t>
            </w:r>
          </w:p>
        </w:tc>
        <w:tc>
          <w:tcPr>
            <w:tcW w:w="897" w:type="pct"/>
          </w:tcPr>
          <w:p w14:paraId="491C68BB" w14:textId="77777777" w:rsidR="00004148" w:rsidRPr="00554661" w:rsidRDefault="00004148" w:rsidP="00004148">
            <w:pPr>
              <w:rPr>
                <w:sz w:val="16"/>
                <w:lang w:val="en-US"/>
              </w:rPr>
            </w:pPr>
            <w:r w:rsidRPr="00554661">
              <w:rPr>
                <w:sz w:val="16"/>
                <w:lang w:val="en-US"/>
              </w:rPr>
              <w:t>Focal Persons and Disability Structure</w:t>
            </w:r>
          </w:p>
        </w:tc>
      </w:tr>
      <w:tr w:rsidR="00004148" w:rsidRPr="00554661" w14:paraId="1ECFFF83" w14:textId="77777777" w:rsidTr="00554661">
        <w:trPr>
          <w:trHeight w:val="451"/>
        </w:trPr>
        <w:tc>
          <w:tcPr>
            <w:tcW w:w="677" w:type="pct"/>
            <w:vMerge/>
          </w:tcPr>
          <w:p w14:paraId="3384C37C" w14:textId="77777777" w:rsidR="00004148" w:rsidRPr="00554661" w:rsidRDefault="00004148" w:rsidP="00004148">
            <w:pPr>
              <w:rPr>
                <w:sz w:val="16"/>
                <w:lang w:val="en-US"/>
              </w:rPr>
            </w:pPr>
          </w:p>
        </w:tc>
        <w:tc>
          <w:tcPr>
            <w:tcW w:w="847" w:type="pct"/>
          </w:tcPr>
          <w:p w14:paraId="074C3D33" w14:textId="77777777" w:rsidR="00004148" w:rsidRPr="00554661" w:rsidRDefault="00004148" w:rsidP="00004148">
            <w:pPr>
              <w:rPr>
                <w:sz w:val="16"/>
                <w:lang w:val="en-US"/>
              </w:rPr>
            </w:pPr>
            <w:r w:rsidRPr="00554661">
              <w:rPr>
                <w:sz w:val="16"/>
                <w:lang w:val="en-US"/>
              </w:rPr>
              <w:t>Disability Parliament</w:t>
            </w:r>
          </w:p>
        </w:tc>
        <w:tc>
          <w:tcPr>
            <w:tcW w:w="895" w:type="pct"/>
          </w:tcPr>
          <w:p w14:paraId="12D47624" w14:textId="77777777" w:rsidR="00004148" w:rsidRPr="00554661" w:rsidRDefault="00004148" w:rsidP="00004148">
            <w:pPr>
              <w:rPr>
                <w:sz w:val="16"/>
                <w:lang w:val="en-US"/>
              </w:rPr>
            </w:pPr>
            <w:r w:rsidRPr="00554661">
              <w:rPr>
                <w:sz w:val="16"/>
                <w:lang w:val="en-US"/>
              </w:rPr>
              <w:t>Discussing issues affecting disabled person</w:t>
            </w:r>
          </w:p>
          <w:p w14:paraId="7BC507C9" w14:textId="77777777" w:rsidR="00004148" w:rsidRPr="00554661" w:rsidRDefault="00004148" w:rsidP="00004148">
            <w:pPr>
              <w:rPr>
                <w:sz w:val="16"/>
                <w:lang w:val="en-US"/>
              </w:rPr>
            </w:pPr>
            <w:r w:rsidRPr="00554661">
              <w:rPr>
                <w:sz w:val="16"/>
                <w:lang w:val="en-US"/>
              </w:rPr>
              <w:t>(Annual Event)</w:t>
            </w:r>
          </w:p>
        </w:tc>
        <w:tc>
          <w:tcPr>
            <w:tcW w:w="799" w:type="pct"/>
          </w:tcPr>
          <w:p w14:paraId="50C89983" w14:textId="77777777" w:rsidR="00004148" w:rsidRPr="00554661" w:rsidRDefault="00004148" w:rsidP="00004148">
            <w:pPr>
              <w:rPr>
                <w:sz w:val="16"/>
                <w:lang w:val="en-US"/>
              </w:rPr>
            </w:pPr>
            <w:r w:rsidRPr="00554661">
              <w:rPr>
                <w:sz w:val="16"/>
                <w:lang w:val="en-US"/>
              </w:rPr>
              <w:t>District disability forum members</w:t>
            </w:r>
          </w:p>
        </w:tc>
        <w:tc>
          <w:tcPr>
            <w:tcW w:w="886" w:type="pct"/>
          </w:tcPr>
          <w:p w14:paraId="3AB61B38" w14:textId="77777777" w:rsidR="00004148" w:rsidRPr="00554661" w:rsidRDefault="00004148" w:rsidP="00004148">
            <w:pPr>
              <w:rPr>
                <w:sz w:val="16"/>
                <w:lang w:val="en-US"/>
              </w:rPr>
            </w:pPr>
            <w:r w:rsidRPr="00554661">
              <w:rPr>
                <w:sz w:val="16"/>
                <w:lang w:val="en-US"/>
              </w:rPr>
              <w:t>Transport</w:t>
            </w:r>
          </w:p>
        </w:tc>
        <w:tc>
          <w:tcPr>
            <w:tcW w:w="897" w:type="pct"/>
          </w:tcPr>
          <w:p w14:paraId="773F0B02" w14:textId="08B7DEE1" w:rsidR="00004148" w:rsidRPr="00554661" w:rsidRDefault="00004148" w:rsidP="00004148">
            <w:pPr>
              <w:rPr>
                <w:sz w:val="16"/>
                <w:lang w:val="en-US"/>
              </w:rPr>
            </w:pPr>
            <w:r w:rsidRPr="00554661">
              <w:rPr>
                <w:sz w:val="16"/>
                <w:lang w:val="en-US"/>
              </w:rPr>
              <w:t>Office of the Premier,  setor departments and municipal officials</w:t>
            </w:r>
          </w:p>
        </w:tc>
      </w:tr>
      <w:tr w:rsidR="00004148" w:rsidRPr="00554661" w14:paraId="2CDBE5C5" w14:textId="77777777" w:rsidTr="00554661">
        <w:trPr>
          <w:trHeight w:val="675"/>
        </w:trPr>
        <w:tc>
          <w:tcPr>
            <w:tcW w:w="677" w:type="pct"/>
            <w:vMerge/>
          </w:tcPr>
          <w:p w14:paraId="2C89FF43" w14:textId="77777777" w:rsidR="00004148" w:rsidRPr="00554661" w:rsidRDefault="00004148" w:rsidP="00004148">
            <w:pPr>
              <w:rPr>
                <w:sz w:val="16"/>
                <w:lang w:val="en-US"/>
              </w:rPr>
            </w:pPr>
          </w:p>
        </w:tc>
        <w:tc>
          <w:tcPr>
            <w:tcW w:w="847" w:type="pct"/>
          </w:tcPr>
          <w:p w14:paraId="4512696F" w14:textId="77777777" w:rsidR="00004148" w:rsidRPr="00554661" w:rsidRDefault="00004148" w:rsidP="00004148">
            <w:pPr>
              <w:rPr>
                <w:sz w:val="16"/>
                <w:lang w:val="en-US"/>
              </w:rPr>
            </w:pPr>
            <w:r w:rsidRPr="00554661">
              <w:rPr>
                <w:sz w:val="16"/>
                <w:lang w:val="en-US"/>
              </w:rPr>
              <w:t>Albinism Society</w:t>
            </w:r>
          </w:p>
          <w:p w14:paraId="6E6394B9" w14:textId="77777777" w:rsidR="00004148" w:rsidRPr="00554661" w:rsidRDefault="00004148" w:rsidP="00004148">
            <w:pPr>
              <w:rPr>
                <w:sz w:val="16"/>
                <w:lang w:val="en-US"/>
              </w:rPr>
            </w:pPr>
            <w:r w:rsidRPr="00554661">
              <w:rPr>
                <w:sz w:val="16"/>
                <w:lang w:val="en-US"/>
              </w:rPr>
              <w:t xml:space="preserve"> Awareness</w:t>
            </w:r>
          </w:p>
        </w:tc>
        <w:tc>
          <w:tcPr>
            <w:tcW w:w="895" w:type="pct"/>
          </w:tcPr>
          <w:p w14:paraId="7D4D6F65" w14:textId="77777777" w:rsidR="00004148" w:rsidRPr="00554661" w:rsidRDefault="00004148" w:rsidP="00004148">
            <w:pPr>
              <w:rPr>
                <w:sz w:val="16"/>
                <w:lang w:val="en-US"/>
              </w:rPr>
            </w:pPr>
            <w:r w:rsidRPr="00554661">
              <w:rPr>
                <w:sz w:val="16"/>
                <w:lang w:val="en-US"/>
              </w:rPr>
              <w:t>Raising awareness</w:t>
            </w:r>
          </w:p>
        </w:tc>
        <w:tc>
          <w:tcPr>
            <w:tcW w:w="799" w:type="pct"/>
          </w:tcPr>
          <w:p w14:paraId="1EB76F01" w14:textId="77777777" w:rsidR="00004148" w:rsidRPr="00554661" w:rsidRDefault="00004148" w:rsidP="00004148">
            <w:pPr>
              <w:rPr>
                <w:sz w:val="16"/>
                <w:lang w:val="en-US"/>
              </w:rPr>
            </w:pPr>
            <w:r w:rsidRPr="00554661">
              <w:rPr>
                <w:sz w:val="16"/>
                <w:lang w:val="en-US"/>
              </w:rPr>
              <w:t>Albinism Persons</w:t>
            </w:r>
          </w:p>
        </w:tc>
        <w:tc>
          <w:tcPr>
            <w:tcW w:w="886" w:type="pct"/>
          </w:tcPr>
          <w:p w14:paraId="7E2A2FD5" w14:textId="06BF6657" w:rsidR="00004148" w:rsidRPr="00554661" w:rsidRDefault="00004148" w:rsidP="00004148">
            <w:pPr>
              <w:rPr>
                <w:sz w:val="16"/>
                <w:lang w:val="en-US"/>
              </w:rPr>
            </w:pPr>
            <w:r w:rsidRPr="00554661">
              <w:rPr>
                <w:sz w:val="16"/>
                <w:lang w:val="en-US"/>
              </w:rPr>
              <w:t>Transport; Sun Screen Creams.</w:t>
            </w:r>
          </w:p>
        </w:tc>
        <w:tc>
          <w:tcPr>
            <w:tcW w:w="897" w:type="pct"/>
          </w:tcPr>
          <w:p w14:paraId="337A009B" w14:textId="6A4B2594" w:rsidR="00004148" w:rsidRPr="00554661" w:rsidRDefault="00004148" w:rsidP="00004148">
            <w:pPr>
              <w:rPr>
                <w:sz w:val="16"/>
                <w:lang w:val="en-US"/>
              </w:rPr>
            </w:pPr>
            <w:r w:rsidRPr="00554661">
              <w:rPr>
                <w:sz w:val="16"/>
                <w:lang w:val="en-US"/>
              </w:rPr>
              <w:t>Office of the Mayor, MM’s Office, Community Services, Sector Depts and NGO’S</w:t>
            </w:r>
          </w:p>
        </w:tc>
      </w:tr>
      <w:tr w:rsidR="00004148" w:rsidRPr="00554661" w14:paraId="42760B3D" w14:textId="77777777" w:rsidTr="00554661">
        <w:trPr>
          <w:trHeight w:val="675"/>
        </w:trPr>
        <w:tc>
          <w:tcPr>
            <w:tcW w:w="677" w:type="pct"/>
            <w:vMerge/>
          </w:tcPr>
          <w:p w14:paraId="0B0A70B7" w14:textId="77777777" w:rsidR="00004148" w:rsidRPr="00554661" w:rsidRDefault="00004148" w:rsidP="00004148">
            <w:pPr>
              <w:rPr>
                <w:sz w:val="16"/>
                <w:lang w:val="en-US"/>
              </w:rPr>
            </w:pPr>
          </w:p>
        </w:tc>
        <w:tc>
          <w:tcPr>
            <w:tcW w:w="847" w:type="pct"/>
          </w:tcPr>
          <w:p w14:paraId="2A92CE29" w14:textId="77777777" w:rsidR="00004148" w:rsidRPr="00554661" w:rsidRDefault="00004148" w:rsidP="00004148">
            <w:pPr>
              <w:rPr>
                <w:sz w:val="16"/>
                <w:lang w:val="en-US"/>
              </w:rPr>
            </w:pPr>
            <w:r w:rsidRPr="00554661">
              <w:rPr>
                <w:sz w:val="16"/>
                <w:lang w:val="en-US"/>
              </w:rPr>
              <w:t>Sign Language Workshop</w:t>
            </w:r>
          </w:p>
        </w:tc>
        <w:tc>
          <w:tcPr>
            <w:tcW w:w="895" w:type="pct"/>
          </w:tcPr>
          <w:p w14:paraId="5CFBBEC7" w14:textId="77777777" w:rsidR="00004148" w:rsidRPr="00554661" w:rsidRDefault="00004148" w:rsidP="00004148">
            <w:pPr>
              <w:rPr>
                <w:sz w:val="16"/>
                <w:lang w:val="en-US"/>
              </w:rPr>
            </w:pPr>
            <w:r w:rsidRPr="00554661">
              <w:rPr>
                <w:sz w:val="16"/>
                <w:lang w:val="en-US"/>
              </w:rPr>
              <w:t>Acquisition of skills/Sign language workshop</w:t>
            </w:r>
          </w:p>
        </w:tc>
        <w:tc>
          <w:tcPr>
            <w:tcW w:w="799" w:type="pct"/>
          </w:tcPr>
          <w:p w14:paraId="40D2C7DD" w14:textId="77777777" w:rsidR="00004148" w:rsidRPr="00554661" w:rsidRDefault="00004148" w:rsidP="00004148">
            <w:pPr>
              <w:rPr>
                <w:sz w:val="16"/>
                <w:lang w:val="en-US"/>
              </w:rPr>
            </w:pPr>
            <w:r w:rsidRPr="00554661">
              <w:rPr>
                <w:sz w:val="16"/>
                <w:lang w:val="en-US"/>
              </w:rPr>
              <w:t>Disabled people from all wards</w:t>
            </w:r>
          </w:p>
        </w:tc>
        <w:tc>
          <w:tcPr>
            <w:tcW w:w="886" w:type="pct"/>
          </w:tcPr>
          <w:p w14:paraId="714A2E84" w14:textId="19FC7FCC" w:rsidR="00004148" w:rsidRPr="00554661" w:rsidRDefault="00004148" w:rsidP="00004148">
            <w:pPr>
              <w:rPr>
                <w:sz w:val="16"/>
                <w:lang w:val="en-US"/>
              </w:rPr>
            </w:pPr>
            <w:r w:rsidRPr="00554661">
              <w:rPr>
                <w:sz w:val="16"/>
                <w:lang w:val="en-US"/>
              </w:rPr>
              <w:t>Transport, promotional material and stationery</w:t>
            </w:r>
          </w:p>
        </w:tc>
        <w:tc>
          <w:tcPr>
            <w:tcW w:w="897" w:type="pct"/>
          </w:tcPr>
          <w:p w14:paraId="45E777DD" w14:textId="77777777" w:rsidR="00004148" w:rsidRPr="00554661" w:rsidRDefault="00004148" w:rsidP="00004148">
            <w:pPr>
              <w:rPr>
                <w:sz w:val="16"/>
                <w:lang w:val="en-US"/>
              </w:rPr>
            </w:pPr>
            <w:r w:rsidRPr="00554661">
              <w:rPr>
                <w:sz w:val="16"/>
                <w:lang w:val="en-US"/>
              </w:rPr>
              <w:t>Office of the Mayor, Office of the Municipal Manager, Community Services, Government Departments and NGO’s.</w:t>
            </w:r>
          </w:p>
        </w:tc>
      </w:tr>
      <w:tr w:rsidR="00004148" w:rsidRPr="00554661" w14:paraId="153C9A63" w14:textId="77777777" w:rsidTr="00554661">
        <w:trPr>
          <w:trHeight w:val="116"/>
        </w:trPr>
        <w:tc>
          <w:tcPr>
            <w:tcW w:w="677" w:type="pct"/>
            <w:vMerge/>
          </w:tcPr>
          <w:p w14:paraId="3A1EE292" w14:textId="77777777" w:rsidR="00004148" w:rsidRPr="00554661" w:rsidRDefault="00004148" w:rsidP="00004148">
            <w:pPr>
              <w:rPr>
                <w:sz w:val="16"/>
              </w:rPr>
            </w:pPr>
          </w:p>
        </w:tc>
        <w:tc>
          <w:tcPr>
            <w:tcW w:w="847" w:type="pct"/>
          </w:tcPr>
          <w:p w14:paraId="4DE6C4EB" w14:textId="1C0DA5A1" w:rsidR="00004148" w:rsidRPr="00554661" w:rsidRDefault="00004148" w:rsidP="00004148">
            <w:pPr>
              <w:rPr>
                <w:sz w:val="16"/>
              </w:rPr>
            </w:pPr>
            <w:r w:rsidRPr="00554661">
              <w:rPr>
                <w:sz w:val="16"/>
              </w:rPr>
              <w:t>Operation Siyahlola</w:t>
            </w:r>
          </w:p>
        </w:tc>
        <w:tc>
          <w:tcPr>
            <w:tcW w:w="895" w:type="pct"/>
          </w:tcPr>
          <w:p w14:paraId="291D48F5" w14:textId="17349A83" w:rsidR="00004148" w:rsidRPr="00554661" w:rsidRDefault="00004148" w:rsidP="00004148">
            <w:pPr>
              <w:rPr>
                <w:sz w:val="16"/>
              </w:rPr>
            </w:pPr>
            <w:r w:rsidRPr="00554661">
              <w:rPr>
                <w:sz w:val="16"/>
              </w:rPr>
              <w:t>Accessibility/Mobility Initiatives</w:t>
            </w:r>
          </w:p>
        </w:tc>
        <w:tc>
          <w:tcPr>
            <w:tcW w:w="799" w:type="pct"/>
          </w:tcPr>
          <w:p w14:paraId="6384B3D2" w14:textId="5DD07EAC" w:rsidR="00004148" w:rsidRPr="00554661" w:rsidRDefault="00004148" w:rsidP="00004148">
            <w:pPr>
              <w:rPr>
                <w:sz w:val="16"/>
              </w:rPr>
            </w:pPr>
            <w:r w:rsidRPr="00554661">
              <w:rPr>
                <w:sz w:val="16"/>
              </w:rPr>
              <w:t>All Stakeholders</w:t>
            </w:r>
          </w:p>
        </w:tc>
        <w:tc>
          <w:tcPr>
            <w:tcW w:w="886" w:type="pct"/>
          </w:tcPr>
          <w:p w14:paraId="74F370CD" w14:textId="4C96AE09" w:rsidR="00004148" w:rsidRPr="00554661" w:rsidRDefault="00004148" w:rsidP="00004148">
            <w:pPr>
              <w:rPr>
                <w:sz w:val="16"/>
              </w:rPr>
            </w:pPr>
            <w:r w:rsidRPr="00554661">
              <w:rPr>
                <w:sz w:val="16"/>
              </w:rPr>
              <w:t>Promotional Material</w:t>
            </w:r>
          </w:p>
        </w:tc>
        <w:tc>
          <w:tcPr>
            <w:tcW w:w="897" w:type="pct"/>
          </w:tcPr>
          <w:p w14:paraId="3A3B6FCB" w14:textId="4B9F6271" w:rsidR="00004148" w:rsidRPr="00554661" w:rsidRDefault="00004148" w:rsidP="00004148">
            <w:pPr>
              <w:rPr>
                <w:sz w:val="16"/>
              </w:rPr>
            </w:pPr>
            <w:r w:rsidRPr="00554661">
              <w:rPr>
                <w:sz w:val="16"/>
              </w:rPr>
              <w:t>All Stakeholders</w:t>
            </w:r>
          </w:p>
        </w:tc>
      </w:tr>
    </w:tbl>
    <w:p w14:paraId="2D735660" w14:textId="17925FB5" w:rsidR="00004148" w:rsidRPr="00004148" w:rsidRDefault="00004148" w:rsidP="00004148">
      <w:pPr>
        <w:pStyle w:val="Caption"/>
      </w:pPr>
      <w:bookmarkStart w:id="436" w:name="_Toc510622312"/>
      <w:r>
        <w:t xml:space="preserve">Table </w:t>
      </w:r>
      <w:r w:rsidR="00B918A6">
        <w:fldChar w:fldCharType="begin"/>
      </w:r>
      <w:r w:rsidR="00B918A6">
        <w:instrText xml:space="preserve"> SEQ Table \* ARABIC </w:instrText>
      </w:r>
      <w:r w:rsidR="00B918A6">
        <w:fldChar w:fldCharType="separate"/>
      </w:r>
      <w:r w:rsidR="0067023A">
        <w:rPr>
          <w:noProof/>
        </w:rPr>
        <w:t>62</w:t>
      </w:r>
      <w:r w:rsidR="00B918A6">
        <w:rPr>
          <w:noProof/>
        </w:rPr>
        <w:fldChar w:fldCharType="end"/>
      </w:r>
      <w:r>
        <w:t>: Disability Structures</w:t>
      </w:r>
      <w:bookmarkEnd w:id="436"/>
    </w:p>
    <w:p w14:paraId="0C0D91AC" w14:textId="77777777" w:rsidR="0037082E" w:rsidRPr="001F33F5" w:rsidRDefault="0037082E" w:rsidP="00750180">
      <w:pPr>
        <w:pStyle w:val="Heading3"/>
        <w:numPr>
          <w:ilvl w:val="2"/>
          <w:numId w:val="127"/>
        </w:numPr>
        <w:spacing w:after="240"/>
      </w:pPr>
      <w:bookmarkStart w:id="437" w:name="_Toc510706636"/>
      <w:r w:rsidRPr="001F33F5">
        <w:t>Youth Development</w:t>
      </w:r>
      <w:bookmarkEnd w:id="435"/>
      <w:bookmarkEnd w:id="437"/>
    </w:p>
    <w:p w14:paraId="7F9A350B" w14:textId="77777777" w:rsidR="00574DA0" w:rsidRDefault="00574DA0" w:rsidP="00395313">
      <w:pPr>
        <w:spacing w:line="288" w:lineRule="auto"/>
        <w:jc w:val="both"/>
        <w:rPr>
          <w:rFonts w:cs="Calibri"/>
          <w:color w:val="000000" w:themeColor="text1"/>
          <w:szCs w:val="20"/>
        </w:rPr>
      </w:pPr>
      <w:r>
        <w:rPr>
          <w:rFonts w:cs="Calibri"/>
          <w:color w:val="000000" w:themeColor="text1"/>
          <w:szCs w:val="20"/>
        </w:rPr>
        <w:t>Through the Office of the Mayor</w:t>
      </w:r>
      <w:r w:rsidR="00534D42" w:rsidRPr="00CD50A4">
        <w:rPr>
          <w:rFonts w:cs="Calibri"/>
          <w:color w:val="000000" w:themeColor="text1"/>
          <w:szCs w:val="20"/>
        </w:rPr>
        <w:t>, students are supported at a tertiary institu</w:t>
      </w:r>
      <w:r>
        <w:rPr>
          <w:rFonts w:cs="Calibri"/>
          <w:color w:val="000000" w:themeColor="text1"/>
          <w:szCs w:val="20"/>
        </w:rPr>
        <w:t>tion by providing assistance in the form of registration fees. The following career fields are targeted;</w:t>
      </w:r>
    </w:p>
    <w:p w14:paraId="59F1E4B9" w14:textId="77777777" w:rsidR="00574DA0" w:rsidRPr="00CD50A4" w:rsidRDefault="00574DA0" w:rsidP="00EC0A3F">
      <w:pPr>
        <w:pStyle w:val="ListParagraph"/>
        <w:numPr>
          <w:ilvl w:val="0"/>
          <w:numId w:val="17"/>
        </w:numPr>
        <w:jc w:val="both"/>
        <w:rPr>
          <w:szCs w:val="20"/>
        </w:rPr>
      </w:pPr>
      <w:r w:rsidRPr="00CD50A4">
        <w:rPr>
          <w:szCs w:val="20"/>
        </w:rPr>
        <w:t>Finance</w:t>
      </w:r>
    </w:p>
    <w:p w14:paraId="2FE0859E" w14:textId="77777777" w:rsidR="00574DA0" w:rsidRPr="00CD50A4" w:rsidRDefault="00574DA0" w:rsidP="00EC0A3F">
      <w:pPr>
        <w:pStyle w:val="ListParagraph"/>
        <w:numPr>
          <w:ilvl w:val="0"/>
          <w:numId w:val="17"/>
        </w:numPr>
        <w:jc w:val="both"/>
        <w:rPr>
          <w:szCs w:val="20"/>
        </w:rPr>
      </w:pPr>
      <w:r w:rsidRPr="00CD50A4">
        <w:rPr>
          <w:szCs w:val="20"/>
        </w:rPr>
        <w:t>Public Administration/Social Sciences</w:t>
      </w:r>
    </w:p>
    <w:p w14:paraId="5372D444" w14:textId="77777777" w:rsidR="00574DA0" w:rsidRPr="00CD50A4" w:rsidRDefault="00574DA0" w:rsidP="00EC0A3F">
      <w:pPr>
        <w:pStyle w:val="ListParagraph"/>
        <w:numPr>
          <w:ilvl w:val="0"/>
          <w:numId w:val="17"/>
        </w:numPr>
        <w:jc w:val="both"/>
        <w:rPr>
          <w:szCs w:val="20"/>
        </w:rPr>
      </w:pPr>
      <w:r w:rsidRPr="00CD50A4">
        <w:rPr>
          <w:szCs w:val="20"/>
        </w:rPr>
        <w:t xml:space="preserve">Engineering </w:t>
      </w:r>
    </w:p>
    <w:p w14:paraId="774614AF" w14:textId="77777777" w:rsidR="00574DA0" w:rsidRPr="00CD50A4" w:rsidRDefault="00574DA0" w:rsidP="00EC0A3F">
      <w:pPr>
        <w:pStyle w:val="ListParagraph"/>
        <w:numPr>
          <w:ilvl w:val="0"/>
          <w:numId w:val="17"/>
        </w:numPr>
        <w:jc w:val="both"/>
        <w:rPr>
          <w:szCs w:val="20"/>
        </w:rPr>
      </w:pPr>
      <w:r w:rsidRPr="00CD50A4">
        <w:rPr>
          <w:szCs w:val="20"/>
        </w:rPr>
        <w:t>Town Planning</w:t>
      </w:r>
    </w:p>
    <w:p w14:paraId="56947190" w14:textId="77777777" w:rsidR="00574DA0" w:rsidRPr="00CD50A4" w:rsidRDefault="00574DA0" w:rsidP="00EC0A3F">
      <w:pPr>
        <w:pStyle w:val="ListParagraph"/>
        <w:numPr>
          <w:ilvl w:val="0"/>
          <w:numId w:val="17"/>
        </w:numPr>
        <w:jc w:val="both"/>
        <w:rPr>
          <w:szCs w:val="20"/>
        </w:rPr>
      </w:pPr>
      <w:r w:rsidRPr="00CD50A4">
        <w:rPr>
          <w:szCs w:val="20"/>
        </w:rPr>
        <w:t>Information Technology</w:t>
      </w:r>
    </w:p>
    <w:p w14:paraId="17D5820C" w14:textId="77777777" w:rsidR="00574DA0" w:rsidRDefault="00574DA0" w:rsidP="00EC0A3F">
      <w:pPr>
        <w:pStyle w:val="ListParagraph"/>
        <w:numPr>
          <w:ilvl w:val="0"/>
          <w:numId w:val="17"/>
        </w:numPr>
        <w:jc w:val="both"/>
        <w:rPr>
          <w:szCs w:val="20"/>
        </w:rPr>
      </w:pPr>
      <w:r w:rsidRPr="00CD50A4">
        <w:rPr>
          <w:szCs w:val="20"/>
        </w:rPr>
        <w:t>Horticulture/ Environmental Studies</w:t>
      </w:r>
    </w:p>
    <w:p w14:paraId="74EACCF0" w14:textId="77777777" w:rsidR="00A95138" w:rsidRDefault="00574DA0" w:rsidP="00574DA0">
      <w:pPr>
        <w:jc w:val="both"/>
        <w:rPr>
          <w:szCs w:val="20"/>
        </w:rPr>
      </w:pPr>
      <w:r>
        <w:rPr>
          <w:szCs w:val="20"/>
        </w:rPr>
        <w:t>The municipality also offeres internship programmes for the above fields</w:t>
      </w:r>
      <w:r w:rsidR="00A95138">
        <w:rPr>
          <w:szCs w:val="20"/>
        </w:rPr>
        <w:t xml:space="preserve"> of study</w:t>
      </w:r>
      <w:r>
        <w:rPr>
          <w:szCs w:val="20"/>
        </w:rPr>
        <w:t>, wherein there is one intern per department.</w:t>
      </w:r>
      <w:r w:rsidR="00A95138">
        <w:rPr>
          <w:szCs w:val="20"/>
        </w:rPr>
        <w:t xml:space="preserve"> Through</w:t>
      </w:r>
      <w:r>
        <w:rPr>
          <w:szCs w:val="20"/>
        </w:rPr>
        <w:t xml:space="preserve"> </w:t>
      </w:r>
      <w:r w:rsidR="00A95138">
        <w:rPr>
          <w:szCs w:val="20"/>
        </w:rPr>
        <w:t xml:space="preserve">National Treasury’s Finance Management Grant, five interns are employed for a two year period by the finanace department. </w:t>
      </w:r>
    </w:p>
    <w:p w14:paraId="6EC5176F" w14:textId="77777777" w:rsidR="00767DBC" w:rsidRDefault="00792E30" w:rsidP="00574DA0">
      <w:pPr>
        <w:jc w:val="both"/>
        <w:rPr>
          <w:rFonts w:cs="Calibri"/>
          <w:color w:val="000000" w:themeColor="text1"/>
          <w:szCs w:val="20"/>
        </w:rPr>
      </w:pPr>
      <w:r>
        <w:rPr>
          <w:rFonts w:cs="Calibri"/>
          <w:color w:val="000000" w:themeColor="text1"/>
          <w:szCs w:val="20"/>
        </w:rPr>
        <w:t>His Worship the Mayor: Cllr TB Zulu officially opened the Youth Business Advisory Center on the 9</w:t>
      </w:r>
      <w:r w:rsidRPr="00792E30">
        <w:rPr>
          <w:rFonts w:cs="Calibri"/>
          <w:color w:val="000000" w:themeColor="text1"/>
          <w:szCs w:val="20"/>
          <w:vertAlign w:val="superscript"/>
        </w:rPr>
        <w:t>th</w:t>
      </w:r>
      <w:r>
        <w:rPr>
          <w:rFonts w:cs="Calibri"/>
          <w:color w:val="000000" w:themeColor="text1"/>
          <w:szCs w:val="20"/>
        </w:rPr>
        <w:t xml:space="preserve"> of April 2014. The purpose of which is to “Assist</w:t>
      </w:r>
      <w:r w:rsidR="00C12DBD">
        <w:rPr>
          <w:rFonts w:cs="Calibri"/>
          <w:color w:val="000000" w:themeColor="text1"/>
          <w:szCs w:val="20"/>
        </w:rPr>
        <w:t xml:space="preserve"> and empower</w:t>
      </w:r>
      <w:r>
        <w:rPr>
          <w:rFonts w:cs="Calibri"/>
          <w:color w:val="000000" w:themeColor="text1"/>
          <w:szCs w:val="20"/>
        </w:rPr>
        <w:t xml:space="preserve"> the youth to develop and harness their business ideas into fully grown sustainable </w:t>
      </w:r>
      <w:r w:rsidR="009B286E">
        <w:rPr>
          <w:rFonts w:cs="Calibri"/>
          <w:color w:val="000000" w:themeColor="text1"/>
          <w:szCs w:val="20"/>
        </w:rPr>
        <w:t>business entities</w:t>
      </w:r>
      <w:r>
        <w:rPr>
          <w:rFonts w:cs="Calibri"/>
          <w:color w:val="000000" w:themeColor="text1"/>
          <w:szCs w:val="20"/>
        </w:rPr>
        <w:t>”. This will be achieved through the following;</w:t>
      </w:r>
    </w:p>
    <w:p w14:paraId="1A20EE18" w14:textId="77777777" w:rsidR="00792E30" w:rsidRDefault="00792E30" w:rsidP="00750180">
      <w:pPr>
        <w:pStyle w:val="ListParagraph"/>
        <w:numPr>
          <w:ilvl w:val="0"/>
          <w:numId w:val="49"/>
        </w:numPr>
        <w:spacing w:line="288" w:lineRule="auto"/>
        <w:jc w:val="both"/>
        <w:rPr>
          <w:rFonts w:cs="Calibri"/>
          <w:color w:val="000000" w:themeColor="text1"/>
          <w:szCs w:val="20"/>
        </w:rPr>
      </w:pPr>
      <w:r>
        <w:rPr>
          <w:rFonts w:cs="Calibri"/>
          <w:color w:val="000000" w:themeColor="text1"/>
          <w:szCs w:val="20"/>
        </w:rPr>
        <w:t xml:space="preserve">Registering Entities inter-alia: Proprietor ownership, Co-operatives </w:t>
      </w:r>
      <w:r w:rsidR="009B286E">
        <w:rPr>
          <w:rFonts w:cs="Calibri"/>
          <w:color w:val="000000" w:themeColor="text1"/>
          <w:szCs w:val="20"/>
        </w:rPr>
        <w:t>etc.</w:t>
      </w:r>
      <w:r>
        <w:rPr>
          <w:rFonts w:cs="Calibri"/>
          <w:color w:val="000000" w:themeColor="text1"/>
          <w:szCs w:val="20"/>
        </w:rPr>
        <w:t>,</w:t>
      </w:r>
    </w:p>
    <w:p w14:paraId="7C5AD06D" w14:textId="77777777" w:rsidR="00792E30" w:rsidRDefault="009B286E" w:rsidP="00750180">
      <w:pPr>
        <w:pStyle w:val="ListParagraph"/>
        <w:numPr>
          <w:ilvl w:val="0"/>
          <w:numId w:val="49"/>
        </w:numPr>
        <w:spacing w:line="288" w:lineRule="auto"/>
        <w:jc w:val="both"/>
        <w:rPr>
          <w:rFonts w:cs="Calibri"/>
          <w:color w:val="000000" w:themeColor="text1"/>
          <w:szCs w:val="20"/>
        </w:rPr>
      </w:pPr>
      <w:r>
        <w:rPr>
          <w:rFonts w:cs="Calibri"/>
          <w:color w:val="000000" w:themeColor="text1"/>
          <w:szCs w:val="20"/>
        </w:rPr>
        <w:t>Creating</w:t>
      </w:r>
      <w:r w:rsidR="00792E30">
        <w:rPr>
          <w:rFonts w:cs="Calibri"/>
          <w:color w:val="000000" w:themeColor="text1"/>
          <w:szCs w:val="20"/>
        </w:rPr>
        <w:t xml:space="preserve"> and managing a database of existing businesses within the municipal area,</w:t>
      </w:r>
    </w:p>
    <w:p w14:paraId="42FAF144" w14:textId="77777777" w:rsidR="00792E30" w:rsidRDefault="00792E30" w:rsidP="00750180">
      <w:pPr>
        <w:pStyle w:val="ListParagraph"/>
        <w:numPr>
          <w:ilvl w:val="0"/>
          <w:numId w:val="49"/>
        </w:numPr>
        <w:spacing w:line="288" w:lineRule="auto"/>
        <w:jc w:val="both"/>
        <w:rPr>
          <w:rFonts w:cs="Calibri"/>
          <w:color w:val="000000" w:themeColor="text1"/>
          <w:szCs w:val="20"/>
        </w:rPr>
      </w:pPr>
      <w:r>
        <w:rPr>
          <w:rFonts w:cs="Calibri"/>
          <w:color w:val="000000" w:themeColor="text1"/>
          <w:szCs w:val="20"/>
        </w:rPr>
        <w:t>Sourcing funding from relevant financial institutions to finance affordable small businesses finances,</w:t>
      </w:r>
    </w:p>
    <w:p w14:paraId="3006875C" w14:textId="77777777" w:rsidR="00792E30" w:rsidRDefault="00792E30" w:rsidP="00750180">
      <w:pPr>
        <w:pStyle w:val="ListParagraph"/>
        <w:numPr>
          <w:ilvl w:val="0"/>
          <w:numId w:val="49"/>
        </w:numPr>
        <w:spacing w:line="288" w:lineRule="auto"/>
        <w:jc w:val="both"/>
        <w:rPr>
          <w:rFonts w:cs="Calibri"/>
          <w:color w:val="000000" w:themeColor="text1"/>
          <w:szCs w:val="20"/>
        </w:rPr>
      </w:pPr>
      <w:r>
        <w:rPr>
          <w:rFonts w:cs="Calibri"/>
          <w:color w:val="000000" w:themeColor="text1"/>
          <w:szCs w:val="20"/>
        </w:rPr>
        <w:t>Guiding and providing technical and financial management targeting skills training, mentoring and coaching,</w:t>
      </w:r>
    </w:p>
    <w:p w14:paraId="05839D1B" w14:textId="77777777" w:rsidR="00792E30" w:rsidRDefault="00792E30" w:rsidP="00750180">
      <w:pPr>
        <w:pStyle w:val="ListParagraph"/>
        <w:numPr>
          <w:ilvl w:val="0"/>
          <w:numId w:val="49"/>
        </w:numPr>
        <w:spacing w:line="288" w:lineRule="auto"/>
        <w:jc w:val="both"/>
        <w:rPr>
          <w:rFonts w:cs="Calibri"/>
          <w:color w:val="000000" w:themeColor="text1"/>
          <w:szCs w:val="20"/>
        </w:rPr>
      </w:pPr>
      <w:r>
        <w:rPr>
          <w:rFonts w:cs="Calibri"/>
          <w:color w:val="000000" w:themeColor="text1"/>
          <w:szCs w:val="20"/>
        </w:rPr>
        <w:t>Supporting people needing full assistance and guidelines in completing SCM tender applications,</w:t>
      </w:r>
    </w:p>
    <w:p w14:paraId="252ECFA1" w14:textId="77777777" w:rsidR="00792E30" w:rsidRDefault="00792E30" w:rsidP="00750180">
      <w:pPr>
        <w:pStyle w:val="ListParagraph"/>
        <w:numPr>
          <w:ilvl w:val="0"/>
          <w:numId w:val="49"/>
        </w:numPr>
        <w:spacing w:line="288" w:lineRule="auto"/>
        <w:jc w:val="both"/>
        <w:rPr>
          <w:rFonts w:cs="Calibri"/>
          <w:color w:val="000000" w:themeColor="text1"/>
          <w:szCs w:val="20"/>
        </w:rPr>
      </w:pPr>
      <w:r>
        <w:rPr>
          <w:rFonts w:cs="Calibri"/>
          <w:color w:val="000000" w:themeColor="text1"/>
          <w:szCs w:val="20"/>
        </w:rPr>
        <w:t xml:space="preserve">Introducing </w:t>
      </w:r>
      <w:r w:rsidR="009B286E">
        <w:rPr>
          <w:rFonts w:cs="Calibri"/>
          <w:color w:val="000000" w:themeColor="text1"/>
          <w:szCs w:val="20"/>
        </w:rPr>
        <w:t>entry</w:t>
      </w:r>
      <w:r>
        <w:rPr>
          <w:rFonts w:cs="Calibri"/>
          <w:color w:val="000000" w:themeColor="text1"/>
          <w:szCs w:val="20"/>
        </w:rPr>
        <w:t xml:space="preserve"> point youth assistance to stakeholders such as SEDA, EDTEA </w:t>
      </w:r>
      <w:r w:rsidR="009B286E">
        <w:rPr>
          <w:rFonts w:cs="Calibri"/>
          <w:color w:val="000000" w:themeColor="text1"/>
          <w:szCs w:val="20"/>
        </w:rPr>
        <w:t>etc.</w:t>
      </w:r>
      <w:r>
        <w:rPr>
          <w:rFonts w:cs="Calibri"/>
          <w:color w:val="000000" w:themeColor="text1"/>
          <w:szCs w:val="20"/>
        </w:rPr>
        <w:t>,</w:t>
      </w:r>
    </w:p>
    <w:p w14:paraId="0FE01D85" w14:textId="77777777" w:rsidR="00792E30" w:rsidRDefault="00792E30" w:rsidP="00750180">
      <w:pPr>
        <w:pStyle w:val="ListParagraph"/>
        <w:numPr>
          <w:ilvl w:val="0"/>
          <w:numId w:val="49"/>
        </w:numPr>
        <w:spacing w:line="288" w:lineRule="auto"/>
        <w:jc w:val="both"/>
        <w:rPr>
          <w:rFonts w:cs="Calibri"/>
          <w:color w:val="000000" w:themeColor="text1"/>
          <w:szCs w:val="20"/>
        </w:rPr>
      </w:pPr>
      <w:r>
        <w:rPr>
          <w:rFonts w:cs="Calibri"/>
          <w:color w:val="000000" w:themeColor="text1"/>
          <w:szCs w:val="20"/>
        </w:rPr>
        <w:t xml:space="preserve">Providing technical support for SMME and ISO </w:t>
      </w:r>
      <w:r w:rsidR="009B286E">
        <w:rPr>
          <w:rFonts w:cs="Calibri"/>
          <w:color w:val="000000" w:themeColor="text1"/>
          <w:szCs w:val="20"/>
        </w:rPr>
        <w:t>accreditation</w:t>
      </w:r>
      <w:r>
        <w:rPr>
          <w:rFonts w:cs="Calibri"/>
          <w:color w:val="000000" w:themeColor="text1"/>
          <w:szCs w:val="20"/>
        </w:rPr>
        <w:t xml:space="preserve"> and,</w:t>
      </w:r>
    </w:p>
    <w:p w14:paraId="23D93C7A" w14:textId="77777777" w:rsidR="00792E30" w:rsidRPr="00792E30" w:rsidRDefault="00792E30" w:rsidP="00750180">
      <w:pPr>
        <w:pStyle w:val="ListParagraph"/>
        <w:numPr>
          <w:ilvl w:val="0"/>
          <w:numId w:val="49"/>
        </w:numPr>
        <w:spacing w:line="288" w:lineRule="auto"/>
        <w:jc w:val="both"/>
        <w:rPr>
          <w:rFonts w:cs="Calibri"/>
          <w:color w:val="000000" w:themeColor="text1"/>
          <w:szCs w:val="20"/>
        </w:rPr>
      </w:pPr>
      <w:r>
        <w:rPr>
          <w:rFonts w:cs="Calibri"/>
          <w:color w:val="000000" w:themeColor="text1"/>
          <w:szCs w:val="20"/>
        </w:rPr>
        <w:t>Taking part in export readiness assessment and assistance.</w:t>
      </w:r>
    </w:p>
    <w:p w14:paraId="5FF1E0E5" w14:textId="77777777" w:rsidR="00767DBC" w:rsidRDefault="00641748" w:rsidP="00395313">
      <w:pPr>
        <w:spacing w:line="288" w:lineRule="auto"/>
        <w:jc w:val="both"/>
        <w:rPr>
          <w:szCs w:val="20"/>
        </w:rPr>
      </w:pPr>
      <w:r w:rsidRPr="00CD50A4">
        <w:rPr>
          <w:szCs w:val="20"/>
        </w:rPr>
        <w:t xml:space="preserve">The municipality also plans to host annual Youth Day Commemorations wherein there are engagements </w:t>
      </w:r>
      <w:r w:rsidR="00731432" w:rsidRPr="00CD50A4">
        <w:rPr>
          <w:szCs w:val="20"/>
        </w:rPr>
        <w:t>through community</w:t>
      </w:r>
      <w:r w:rsidRPr="00CD50A4">
        <w:rPr>
          <w:szCs w:val="20"/>
        </w:rPr>
        <w:t xml:space="preserve"> dialogue on youth issues </w:t>
      </w:r>
      <w:r w:rsidR="00A25189" w:rsidRPr="00CD50A4">
        <w:rPr>
          <w:szCs w:val="20"/>
        </w:rPr>
        <w:t>i.e.</w:t>
      </w:r>
      <w:r w:rsidRPr="00CD50A4">
        <w:rPr>
          <w:szCs w:val="20"/>
        </w:rPr>
        <w:t xml:space="preserve"> teenage pregnancy, drug abuse and high rate of unemployment.</w:t>
      </w:r>
      <w:r w:rsidR="00731432" w:rsidRPr="00CD50A4">
        <w:rPr>
          <w:szCs w:val="20"/>
        </w:rPr>
        <w:t xml:space="preserve"> </w:t>
      </w:r>
      <w:r w:rsidR="00CD50A4" w:rsidRPr="00CD50A4">
        <w:rPr>
          <w:szCs w:val="20"/>
        </w:rPr>
        <w:t xml:space="preserve">There are also annual </w:t>
      </w:r>
      <w:r w:rsidR="00A25189" w:rsidRPr="00CD50A4">
        <w:rPr>
          <w:szCs w:val="20"/>
        </w:rPr>
        <w:t>competitions</w:t>
      </w:r>
      <w:r w:rsidR="00CD50A4" w:rsidRPr="00CD50A4">
        <w:rPr>
          <w:szCs w:val="20"/>
        </w:rPr>
        <w:t xml:space="preserve"> for the youth focusing on arts and culture through choral and traditional music festivals. </w:t>
      </w:r>
    </w:p>
    <w:p w14:paraId="5D4DA375" w14:textId="77777777" w:rsidR="00792E30" w:rsidRPr="005A27E6" w:rsidRDefault="00792E30" w:rsidP="00750180">
      <w:pPr>
        <w:pStyle w:val="Heading3"/>
        <w:numPr>
          <w:ilvl w:val="2"/>
          <w:numId w:val="127"/>
        </w:numPr>
        <w:spacing w:after="240"/>
      </w:pPr>
      <w:bookmarkStart w:id="438" w:name="_Toc510706637"/>
      <w:r w:rsidRPr="005A27E6">
        <w:t>Vuma Youth Development Academy</w:t>
      </w:r>
      <w:bookmarkEnd w:id="438"/>
    </w:p>
    <w:p w14:paraId="0684996C" w14:textId="77777777" w:rsidR="00792E30" w:rsidRDefault="00792E30" w:rsidP="00792E30">
      <w:pPr>
        <w:spacing w:line="288" w:lineRule="auto"/>
        <w:jc w:val="both"/>
        <w:rPr>
          <w:szCs w:val="20"/>
        </w:rPr>
      </w:pPr>
      <w:r w:rsidRPr="00792E30">
        <w:rPr>
          <w:szCs w:val="20"/>
        </w:rPr>
        <w:t xml:space="preserve">The Youth Development Academy </w:t>
      </w:r>
      <w:r>
        <w:rPr>
          <w:szCs w:val="20"/>
        </w:rPr>
        <w:t xml:space="preserve">(in ward 8) </w:t>
      </w:r>
      <w:r w:rsidRPr="00792E30">
        <w:rPr>
          <w:szCs w:val="20"/>
        </w:rPr>
        <w:t xml:space="preserve">was conceptualized as a result of the persistent challenges of unemployment and low skills level faced by the youth in the province. Challenges that are further compounded by social ills, unbecoming sexual behaviour, and the general ill-discipline and poor ethical values displayed by the youth. This state of affairs called for the Department of Social Development in partnership with other stakeholders to implement a bold, audacious and imaginative youth development </w:t>
      </w:r>
      <w:r w:rsidR="009B286E">
        <w:rPr>
          <w:szCs w:val="20"/>
        </w:rPr>
        <w:t>program</w:t>
      </w:r>
      <w:r w:rsidRPr="00792E30">
        <w:rPr>
          <w:szCs w:val="20"/>
        </w:rPr>
        <w:t xml:space="preserve"> in the province. Hence, the idea of a Youth Development Academy that will have a strong focus on behavioural change, values and ethics, combined with need-directed vocational skills training programs, was </w:t>
      </w:r>
      <w:r>
        <w:rPr>
          <w:szCs w:val="20"/>
        </w:rPr>
        <w:t xml:space="preserve">realized. The beneficiaries identified for this program are youth between the ages of 17 and 35 who are South African Citizens residing within </w:t>
      </w:r>
      <w:r w:rsidR="001D792E">
        <w:rPr>
          <w:szCs w:val="20"/>
        </w:rPr>
        <w:t>King Cetshwayo</w:t>
      </w:r>
      <w:r>
        <w:rPr>
          <w:szCs w:val="20"/>
        </w:rPr>
        <w:t xml:space="preserve"> </w:t>
      </w:r>
      <w:r w:rsidR="003C03FA">
        <w:rPr>
          <w:szCs w:val="20"/>
        </w:rPr>
        <w:t>District</w:t>
      </w:r>
      <w:r>
        <w:rPr>
          <w:szCs w:val="20"/>
        </w:rPr>
        <w:t xml:space="preserve"> which have no criminal record and have some level of education (Grade 9).</w:t>
      </w:r>
    </w:p>
    <w:p w14:paraId="27FE7683" w14:textId="77777777" w:rsidR="00792E30" w:rsidRDefault="00792E30" w:rsidP="00792E30">
      <w:pPr>
        <w:spacing w:line="288" w:lineRule="auto"/>
        <w:jc w:val="both"/>
        <w:rPr>
          <w:szCs w:val="20"/>
        </w:rPr>
      </w:pPr>
      <w:r>
        <w:rPr>
          <w:szCs w:val="20"/>
        </w:rPr>
        <w:t>The goals and objectives of the academy are as follows;</w:t>
      </w:r>
    </w:p>
    <w:p w14:paraId="681554DB" w14:textId="77777777" w:rsidR="00792E30" w:rsidRPr="00792E30" w:rsidRDefault="00792E30" w:rsidP="00750180">
      <w:pPr>
        <w:numPr>
          <w:ilvl w:val="0"/>
          <w:numId w:val="48"/>
        </w:numPr>
        <w:autoSpaceDE w:val="0"/>
        <w:autoSpaceDN w:val="0"/>
        <w:adjustRightInd w:val="0"/>
        <w:spacing w:after="0" w:line="240" w:lineRule="auto"/>
        <w:ind w:left="426"/>
        <w:jc w:val="both"/>
        <w:rPr>
          <w:szCs w:val="20"/>
        </w:rPr>
      </w:pPr>
      <w:r w:rsidRPr="00792E30">
        <w:rPr>
          <w:szCs w:val="20"/>
        </w:rPr>
        <w:t>To ensure an increased steady flow of contributing and productive young people.</w:t>
      </w:r>
    </w:p>
    <w:p w14:paraId="15654A86" w14:textId="77777777" w:rsidR="00792E30" w:rsidRPr="00792E30" w:rsidRDefault="00792E30" w:rsidP="00750180">
      <w:pPr>
        <w:numPr>
          <w:ilvl w:val="0"/>
          <w:numId w:val="48"/>
        </w:numPr>
        <w:autoSpaceDE w:val="0"/>
        <w:autoSpaceDN w:val="0"/>
        <w:adjustRightInd w:val="0"/>
        <w:spacing w:after="0" w:line="240" w:lineRule="auto"/>
        <w:ind w:left="426"/>
        <w:jc w:val="both"/>
        <w:rPr>
          <w:szCs w:val="20"/>
        </w:rPr>
      </w:pPr>
      <w:r w:rsidRPr="00792E30">
        <w:rPr>
          <w:szCs w:val="20"/>
        </w:rPr>
        <w:t>Unlock the potential of young people through cognitive, emotional, physical and spiritual empowerment;</w:t>
      </w:r>
    </w:p>
    <w:p w14:paraId="69E8BEE9" w14:textId="77777777" w:rsidR="00792E30" w:rsidRPr="00792E30" w:rsidRDefault="00792E30" w:rsidP="00750180">
      <w:pPr>
        <w:numPr>
          <w:ilvl w:val="0"/>
          <w:numId w:val="48"/>
        </w:numPr>
        <w:autoSpaceDE w:val="0"/>
        <w:autoSpaceDN w:val="0"/>
        <w:adjustRightInd w:val="0"/>
        <w:spacing w:after="0" w:line="240" w:lineRule="auto"/>
        <w:ind w:left="426"/>
        <w:jc w:val="both"/>
        <w:rPr>
          <w:szCs w:val="20"/>
        </w:rPr>
      </w:pPr>
      <w:r w:rsidRPr="00792E30">
        <w:rPr>
          <w:szCs w:val="20"/>
        </w:rPr>
        <w:t>To implement behaviour change programmes;</w:t>
      </w:r>
    </w:p>
    <w:p w14:paraId="20F0CE62" w14:textId="77777777" w:rsidR="00792E30" w:rsidRPr="00792E30" w:rsidRDefault="00792E30" w:rsidP="00750180">
      <w:pPr>
        <w:numPr>
          <w:ilvl w:val="0"/>
          <w:numId w:val="48"/>
        </w:numPr>
        <w:autoSpaceDE w:val="0"/>
        <w:autoSpaceDN w:val="0"/>
        <w:adjustRightInd w:val="0"/>
        <w:spacing w:after="0" w:line="240" w:lineRule="auto"/>
        <w:ind w:left="426"/>
        <w:jc w:val="both"/>
        <w:rPr>
          <w:szCs w:val="20"/>
        </w:rPr>
      </w:pPr>
      <w:r w:rsidRPr="00792E30">
        <w:rPr>
          <w:szCs w:val="20"/>
        </w:rPr>
        <w:t>To develop self-esteem of the young people to believe in their potential and to be responsible citizens;</w:t>
      </w:r>
    </w:p>
    <w:p w14:paraId="512A41FE" w14:textId="77777777" w:rsidR="00792E30" w:rsidRPr="00792E30" w:rsidRDefault="00792E30" w:rsidP="00750180">
      <w:pPr>
        <w:numPr>
          <w:ilvl w:val="0"/>
          <w:numId w:val="48"/>
        </w:numPr>
        <w:autoSpaceDE w:val="0"/>
        <w:autoSpaceDN w:val="0"/>
        <w:adjustRightInd w:val="0"/>
        <w:spacing w:after="0" w:line="240" w:lineRule="auto"/>
        <w:ind w:left="426"/>
        <w:jc w:val="both"/>
        <w:rPr>
          <w:szCs w:val="20"/>
        </w:rPr>
      </w:pPr>
      <w:r w:rsidRPr="00792E30">
        <w:rPr>
          <w:szCs w:val="20"/>
        </w:rPr>
        <w:t>To provide relevant vocational skills to youth;</w:t>
      </w:r>
    </w:p>
    <w:p w14:paraId="5D32968C" w14:textId="77777777" w:rsidR="00792E30" w:rsidRPr="00792E30" w:rsidRDefault="00792E30" w:rsidP="00750180">
      <w:pPr>
        <w:numPr>
          <w:ilvl w:val="0"/>
          <w:numId w:val="48"/>
        </w:numPr>
        <w:autoSpaceDE w:val="0"/>
        <w:autoSpaceDN w:val="0"/>
        <w:adjustRightInd w:val="0"/>
        <w:spacing w:after="0" w:line="240" w:lineRule="auto"/>
        <w:ind w:left="426"/>
        <w:jc w:val="both"/>
        <w:rPr>
          <w:szCs w:val="20"/>
        </w:rPr>
      </w:pPr>
      <w:r w:rsidRPr="00792E30">
        <w:rPr>
          <w:szCs w:val="20"/>
        </w:rPr>
        <w:t>To strengthen collaborations and partnerships by different stakeholders for youth development;</w:t>
      </w:r>
    </w:p>
    <w:p w14:paraId="78C65A90" w14:textId="77777777" w:rsidR="00792E30" w:rsidRDefault="00792E30" w:rsidP="00750180">
      <w:pPr>
        <w:numPr>
          <w:ilvl w:val="0"/>
          <w:numId w:val="48"/>
        </w:numPr>
        <w:spacing w:after="0" w:line="240" w:lineRule="auto"/>
        <w:ind w:left="426"/>
        <w:jc w:val="both"/>
        <w:rPr>
          <w:szCs w:val="20"/>
        </w:rPr>
      </w:pPr>
      <w:r w:rsidRPr="00792E30">
        <w:rPr>
          <w:szCs w:val="20"/>
        </w:rPr>
        <w:t>To Increased prospects of employability and business venture creation; and</w:t>
      </w:r>
    </w:p>
    <w:p w14:paraId="6C8D411E" w14:textId="77777777" w:rsidR="00792E30" w:rsidRDefault="00792E30" w:rsidP="00750180">
      <w:pPr>
        <w:numPr>
          <w:ilvl w:val="0"/>
          <w:numId w:val="48"/>
        </w:numPr>
        <w:spacing w:after="0" w:line="240" w:lineRule="auto"/>
        <w:ind w:left="426"/>
        <w:jc w:val="both"/>
        <w:rPr>
          <w:szCs w:val="20"/>
        </w:rPr>
      </w:pPr>
      <w:r w:rsidRPr="00792E30">
        <w:rPr>
          <w:szCs w:val="20"/>
        </w:rPr>
        <w:t>To develop young men and woman so that they can become self-reliant and responsible citizens who positively contribute to the country.</w:t>
      </w:r>
    </w:p>
    <w:p w14:paraId="02081104" w14:textId="77777777" w:rsidR="00792E30" w:rsidRDefault="00792E30" w:rsidP="00792E30">
      <w:pPr>
        <w:spacing w:after="0" w:line="240" w:lineRule="auto"/>
        <w:ind w:left="66"/>
        <w:jc w:val="both"/>
        <w:rPr>
          <w:szCs w:val="20"/>
        </w:rPr>
      </w:pPr>
    </w:p>
    <w:p w14:paraId="0A817656" w14:textId="77777777" w:rsidR="00792E30" w:rsidRPr="00792E30" w:rsidRDefault="00792E30" w:rsidP="00792E30">
      <w:pPr>
        <w:spacing w:after="0"/>
        <w:ind w:left="66"/>
        <w:jc w:val="both"/>
        <w:rPr>
          <w:szCs w:val="20"/>
        </w:rPr>
      </w:pPr>
      <w:r w:rsidRPr="00792E30">
        <w:rPr>
          <w:szCs w:val="20"/>
        </w:rPr>
        <w:t>In November 2014 the Academy officiated a graduation of 51 young men who were the very first students to enroll in the Academy. In just a space of six months, the Academy saw a complete transformation in the lives of these young participants. Many whom in their own words had lost hope and resigned to the fact they will never amount to anything. The Academy experience was an injection of new hope and an extension of a second chance to these young people. All 51 young men graduated with a Seta Accredited First Aid level 1, Basic Computer Training, Entrepreneurship, Electrical basic training, Plumbing and Bricklaying. They further received their learners licenses, drivers licenses and some their PDPs.</w:t>
      </w:r>
      <w:r>
        <w:rPr>
          <w:szCs w:val="20"/>
        </w:rPr>
        <w:t xml:space="preserve"> </w:t>
      </w:r>
      <w:r w:rsidRPr="00792E30">
        <w:rPr>
          <w:szCs w:val="20"/>
        </w:rPr>
        <w:t>An After Care strategy is being implemented for those students who have graduated with the aim of ensuring continuous impact and psycho-social development.</w:t>
      </w:r>
    </w:p>
    <w:p w14:paraId="23A57758" w14:textId="77777777" w:rsidR="00792E30" w:rsidRDefault="00792E30" w:rsidP="00792E30">
      <w:pPr>
        <w:spacing w:after="0"/>
        <w:ind w:left="66"/>
        <w:jc w:val="both"/>
        <w:rPr>
          <w:szCs w:val="20"/>
        </w:rPr>
      </w:pPr>
    </w:p>
    <w:p w14:paraId="1DE03AFC" w14:textId="77777777" w:rsidR="00792E30" w:rsidRDefault="00792E30" w:rsidP="00792E30">
      <w:pPr>
        <w:spacing w:after="0"/>
        <w:ind w:left="66"/>
        <w:jc w:val="both"/>
        <w:rPr>
          <w:szCs w:val="20"/>
        </w:rPr>
      </w:pPr>
      <w:r w:rsidRPr="00792E30">
        <w:rPr>
          <w:szCs w:val="20"/>
        </w:rPr>
        <w:t>Besides the direct beneficiation of the participants, the establishment of the academy has directly created 19 jobs. These are the Academy staff members who all have fixed term contracts with the Academy and are responsible for the day to day running of the Academy. Further to that 45 more jobs have been created indirectly, where the Academy and the Department of Social Development has come up with a unique model to empower local cooperatives and to give them an opportunity to provide daily essential services to the Academy to ensure some of its vital functions.</w:t>
      </w:r>
    </w:p>
    <w:p w14:paraId="3E439FD7" w14:textId="77777777" w:rsidR="00792E30" w:rsidRDefault="00792E30" w:rsidP="00792E30">
      <w:pPr>
        <w:spacing w:after="0"/>
        <w:ind w:left="66"/>
        <w:jc w:val="both"/>
        <w:rPr>
          <w:szCs w:val="20"/>
        </w:rPr>
      </w:pPr>
    </w:p>
    <w:p w14:paraId="4357C579" w14:textId="77777777" w:rsidR="00792E30" w:rsidRPr="00792E30" w:rsidRDefault="00792E30" w:rsidP="00792E30">
      <w:pPr>
        <w:spacing w:after="0"/>
        <w:ind w:left="66"/>
        <w:jc w:val="both"/>
        <w:rPr>
          <w:szCs w:val="20"/>
        </w:rPr>
      </w:pPr>
      <w:r w:rsidRPr="00792E30">
        <w:rPr>
          <w:szCs w:val="20"/>
        </w:rPr>
        <w:t xml:space="preserve">The students receive life skills training provided by social workers and other government and non-governmental organizations such as Sanca, Lifeline, Department of Social development, </w:t>
      </w:r>
      <w:r w:rsidR="009B286E" w:rsidRPr="00792E30">
        <w:rPr>
          <w:szCs w:val="20"/>
        </w:rPr>
        <w:t>Dept.</w:t>
      </w:r>
      <w:r w:rsidRPr="00792E30">
        <w:rPr>
          <w:szCs w:val="20"/>
        </w:rPr>
        <w:t xml:space="preserve"> of Correctional Services, KRCC and many other sectors. Through partnership with </w:t>
      </w:r>
      <w:r w:rsidR="009B286E" w:rsidRPr="00792E30">
        <w:rPr>
          <w:szCs w:val="20"/>
        </w:rPr>
        <w:t>KZN</w:t>
      </w:r>
      <w:r w:rsidR="009B286E">
        <w:rPr>
          <w:szCs w:val="20"/>
        </w:rPr>
        <w:t xml:space="preserve"> </w:t>
      </w:r>
      <w:r w:rsidR="009B286E" w:rsidRPr="00792E30">
        <w:rPr>
          <w:szCs w:val="20"/>
        </w:rPr>
        <w:t>Wildlife</w:t>
      </w:r>
      <w:r w:rsidRPr="00792E30">
        <w:rPr>
          <w:szCs w:val="20"/>
        </w:rPr>
        <w:t xml:space="preserve">, students have undergone an outdoor </w:t>
      </w:r>
      <w:r w:rsidR="009B286E" w:rsidRPr="00792E30">
        <w:rPr>
          <w:szCs w:val="20"/>
        </w:rPr>
        <w:t>self-development</w:t>
      </w:r>
      <w:r w:rsidRPr="00792E30">
        <w:rPr>
          <w:szCs w:val="20"/>
        </w:rPr>
        <w:t xml:space="preserve"> exercise and in that process have received Nature Conservation training.</w:t>
      </w:r>
      <w:r>
        <w:rPr>
          <w:szCs w:val="20"/>
        </w:rPr>
        <w:t xml:space="preserve"> </w:t>
      </w:r>
      <w:r w:rsidRPr="00792E30">
        <w:rPr>
          <w:szCs w:val="20"/>
        </w:rPr>
        <w:t xml:space="preserve"> The Academy through Umfolozi TVET College and other Service providers provide skills development training to the students. The trades trained are as follows:</w:t>
      </w:r>
    </w:p>
    <w:p w14:paraId="193F8455" w14:textId="77777777" w:rsidR="00792E30" w:rsidRPr="00792E30" w:rsidRDefault="00792E30" w:rsidP="00792E30">
      <w:pPr>
        <w:spacing w:after="0"/>
        <w:ind w:left="66"/>
        <w:jc w:val="both"/>
        <w:rPr>
          <w:szCs w:val="20"/>
        </w:rPr>
      </w:pPr>
      <w:r w:rsidRPr="00792E30">
        <w:rPr>
          <w:szCs w:val="20"/>
        </w:rPr>
        <w:t>•</w:t>
      </w:r>
      <w:r w:rsidRPr="00792E30">
        <w:rPr>
          <w:szCs w:val="20"/>
        </w:rPr>
        <w:tab/>
        <w:t>Basic Electricity</w:t>
      </w:r>
    </w:p>
    <w:p w14:paraId="34C46E65" w14:textId="77777777" w:rsidR="00792E30" w:rsidRPr="00792E30" w:rsidRDefault="00792E30" w:rsidP="00792E30">
      <w:pPr>
        <w:spacing w:after="0"/>
        <w:ind w:left="66"/>
        <w:jc w:val="both"/>
        <w:rPr>
          <w:szCs w:val="20"/>
        </w:rPr>
      </w:pPr>
      <w:r w:rsidRPr="00792E30">
        <w:rPr>
          <w:szCs w:val="20"/>
        </w:rPr>
        <w:t>•</w:t>
      </w:r>
      <w:r w:rsidRPr="00792E30">
        <w:rPr>
          <w:szCs w:val="20"/>
        </w:rPr>
        <w:tab/>
      </w:r>
      <w:r w:rsidRPr="00F3229F">
        <w:rPr>
          <w:szCs w:val="20"/>
        </w:rPr>
        <w:t>Plum</w:t>
      </w:r>
      <w:r w:rsidR="00A95138" w:rsidRPr="00F3229F">
        <w:rPr>
          <w:szCs w:val="20"/>
        </w:rPr>
        <w:t>b</w:t>
      </w:r>
      <w:r w:rsidRPr="00F3229F">
        <w:rPr>
          <w:szCs w:val="20"/>
        </w:rPr>
        <w:t>ing</w:t>
      </w:r>
      <w:r w:rsidRPr="00792E30">
        <w:rPr>
          <w:szCs w:val="20"/>
        </w:rPr>
        <w:t xml:space="preserve">  </w:t>
      </w:r>
    </w:p>
    <w:p w14:paraId="6ECBF766" w14:textId="77777777" w:rsidR="00792E30" w:rsidRPr="00792E30" w:rsidRDefault="00792E30" w:rsidP="00792E30">
      <w:pPr>
        <w:spacing w:after="0"/>
        <w:ind w:left="66"/>
        <w:jc w:val="both"/>
        <w:rPr>
          <w:szCs w:val="20"/>
        </w:rPr>
      </w:pPr>
      <w:r w:rsidRPr="00792E30">
        <w:rPr>
          <w:szCs w:val="20"/>
        </w:rPr>
        <w:t>•</w:t>
      </w:r>
      <w:r w:rsidRPr="00792E30">
        <w:rPr>
          <w:szCs w:val="20"/>
        </w:rPr>
        <w:tab/>
        <w:t>Bricklaying</w:t>
      </w:r>
    </w:p>
    <w:p w14:paraId="21DEF4AD" w14:textId="77777777" w:rsidR="00792E30" w:rsidRPr="00792E30" w:rsidRDefault="00792E30" w:rsidP="00792E30">
      <w:pPr>
        <w:spacing w:after="0"/>
        <w:ind w:left="66"/>
        <w:jc w:val="both"/>
        <w:rPr>
          <w:szCs w:val="20"/>
        </w:rPr>
      </w:pPr>
      <w:r w:rsidRPr="00792E30">
        <w:rPr>
          <w:szCs w:val="20"/>
        </w:rPr>
        <w:t>•</w:t>
      </w:r>
      <w:r w:rsidRPr="00792E30">
        <w:rPr>
          <w:szCs w:val="20"/>
        </w:rPr>
        <w:tab/>
        <w:t>Hospitality</w:t>
      </w:r>
    </w:p>
    <w:p w14:paraId="015D44A1" w14:textId="77777777" w:rsidR="00792E30" w:rsidRPr="00792E30" w:rsidRDefault="00792E30" w:rsidP="00792E30">
      <w:pPr>
        <w:spacing w:after="0"/>
        <w:ind w:left="66"/>
        <w:jc w:val="both"/>
        <w:rPr>
          <w:szCs w:val="20"/>
        </w:rPr>
      </w:pPr>
      <w:r w:rsidRPr="00792E30">
        <w:rPr>
          <w:szCs w:val="20"/>
        </w:rPr>
        <w:t>•</w:t>
      </w:r>
      <w:r w:rsidRPr="00792E30">
        <w:rPr>
          <w:szCs w:val="20"/>
        </w:rPr>
        <w:tab/>
        <w:t xml:space="preserve"> Entrepreneurship Training</w:t>
      </w:r>
    </w:p>
    <w:p w14:paraId="721E754E" w14:textId="77777777" w:rsidR="00792E30" w:rsidRPr="00792E30" w:rsidRDefault="00792E30" w:rsidP="00792E30">
      <w:pPr>
        <w:spacing w:after="0"/>
        <w:ind w:left="66"/>
        <w:jc w:val="both"/>
        <w:rPr>
          <w:szCs w:val="20"/>
        </w:rPr>
      </w:pPr>
      <w:r w:rsidRPr="00792E30">
        <w:rPr>
          <w:szCs w:val="20"/>
        </w:rPr>
        <w:t>•</w:t>
      </w:r>
      <w:r w:rsidRPr="00792E30">
        <w:rPr>
          <w:szCs w:val="20"/>
        </w:rPr>
        <w:tab/>
        <w:t>Basic Computer Literacy</w:t>
      </w:r>
    </w:p>
    <w:p w14:paraId="1587209C" w14:textId="77777777" w:rsidR="00792E30" w:rsidRDefault="00792E30" w:rsidP="00792E30">
      <w:pPr>
        <w:spacing w:after="0"/>
        <w:ind w:left="66"/>
        <w:jc w:val="both"/>
        <w:rPr>
          <w:szCs w:val="20"/>
        </w:rPr>
      </w:pPr>
      <w:r w:rsidRPr="00792E30">
        <w:rPr>
          <w:szCs w:val="20"/>
        </w:rPr>
        <w:t>•</w:t>
      </w:r>
      <w:r w:rsidRPr="00792E30">
        <w:rPr>
          <w:szCs w:val="20"/>
        </w:rPr>
        <w:tab/>
        <w:t>Learners Licenses/ Drivers Licenses/ PDPs</w:t>
      </w:r>
    </w:p>
    <w:p w14:paraId="7BFAB5A5" w14:textId="77777777" w:rsidR="003967FD" w:rsidRDefault="003967FD" w:rsidP="00792E30">
      <w:pPr>
        <w:spacing w:after="0"/>
        <w:ind w:left="66"/>
        <w:jc w:val="both"/>
        <w:rPr>
          <w:szCs w:val="20"/>
        </w:rPr>
      </w:pPr>
    </w:p>
    <w:p w14:paraId="5C1764E3" w14:textId="77777777" w:rsidR="003967FD" w:rsidRPr="005A27E6" w:rsidRDefault="003967FD" w:rsidP="00750180">
      <w:pPr>
        <w:pStyle w:val="Heading3"/>
        <w:numPr>
          <w:ilvl w:val="2"/>
          <w:numId w:val="127"/>
        </w:numPr>
        <w:spacing w:after="240"/>
      </w:pPr>
      <w:bookmarkStart w:id="439" w:name="_Toc510706638"/>
      <w:r w:rsidRPr="005A27E6">
        <w:t>Siza Bonke Works Program</w:t>
      </w:r>
      <w:bookmarkEnd w:id="439"/>
    </w:p>
    <w:p w14:paraId="088652AD" w14:textId="77777777" w:rsidR="003967FD" w:rsidRPr="003967FD" w:rsidRDefault="003967FD" w:rsidP="003967FD">
      <w:pPr>
        <w:spacing w:after="0"/>
        <w:ind w:left="66"/>
        <w:jc w:val="both"/>
        <w:rPr>
          <w:szCs w:val="20"/>
        </w:rPr>
      </w:pPr>
      <w:r w:rsidRPr="003967FD">
        <w:rPr>
          <w:szCs w:val="20"/>
        </w:rPr>
        <w:t xml:space="preserve">The Municipality recognizes the need, as also highlighted in the KZN PSEDS, to develop its second economy, in order to reduce the gap between it and the first economy, whilst at the same time creating jobs and fighting poverty.  </w:t>
      </w:r>
    </w:p>
    <w:p w14:paraId="241E7424" w14:textId="77777777" w:rsidR="003967FD" w:rsidRDefault="003967FD" w:rsidP="007B7722">
      <w:pPr>
        <w:spacing w:after="0"/>
        <w:ind w:left="66"/>
        <w:jc w:val="both"/>
        <w:rPr>
          <w:szCs w:val="20"/>
        </w:rPr>
      </w:pPr>
      <w:r w:rsidRPr="003967FD">
        <w:rPr>
          <w:szCs w:val="20"/>
        </w:rPr>
        <w:t>The Municipality has launched the Siza Bonke Works Program.  The Program is designed to accommodate the unemployed within the uMlalazi Municipality.  Specific requirements for selection are undertaken and only unemployed men, women and youth are employed. Skills transfer is built into the program as well as numerous life skills.</w:t>
      </w:r>
    </w:p>
    <w:p w14:paraId="3F5A52E2" w14:textId="77777777" w:rsidR="005A27E6" w:rsidRDefault="005A27E6" w:rsidP="003967FD">
      <w:pPr>
        <w:spacing w:after="0"/>
        <w:ind w:left="66"/>
        <w:jc w:val="both"/>
        <w:rPr>
          <w:szCs w:val="20"/>
        </w:rPr>
      </w:pPr>
    </w:p>
    <w:p w14:paraId="072A7EB9" w14:textId="77777777" w:rsidR="001F33F5" w:rsidRPr="005A27E6" w:rsidRDefault="001F33F5" w:rsidP="00750180">
      <w:pPr>
        <w:pStyle w:val="Heading3"/>
        <w:numPr>
          <w:ilvl w:val="2"/>
          <w:numId w:val="127"/>
        </w:numPr>
        <w:spacing w:after="240"/>
      </w:pPr>
      <w:bookmarkStart w:id="440" w:name="_Toc510706639"/>
      <w:r w:rsidRPr="005A27E6">
        <w:t>Health</w:t>
      </w:r>
      <w:bookmarkEnd w:id="440"/>
      <w:r w:rsidRPr="005A27E6">
        <w:t xml:space="preserve"> </w:t>
      </w:r>
    </w:p>
    <w:p w14:paraId="044C31CA" w14:textId="77777777" w:rsidR="001F33F5" w:rsidRPr="001F33F5" w:rsidRDefault="001F33F5" w:rsidP="00750180">
      <w:pPr>
        <w:pStyle w:val="Heading4"/>
        <w:numPr>
          <w:ilvl w:val="3"/>
          <w:numId w:val="127"/>
        </w:numPr>
      </w:pPr>
      <w:r w:rsidRPr="001F33F5">
        <w:t>Access to Health Care Services</w:t>
      </w:r>
    </w:p>
    <w:p w14:paraId="7A1EB6CB" w14:textId="77777777" w:rsidR="001F33F5" w:rsidRPr="001F33F5" w:rsidRDefault="001F33F5" w:rsidP="001F33F5">
      <w:pPr>
        <w:spacing w:after="0"/>
        <w:rPr>
          <w:b/>
        </w:rPr>
      </w:pPr>
      <w:r w:rsidRPr="001F33F5">
        <w:rPr>
          <w:b/>
        </w:rPr>
        <w:t>Health Posts</w:t>
      </w:r>
      <w:r w:rsidRPr="001F33F5">
        <w:rPr>
          <w:b/>
        </w:rPr>
        <w:tab/>
      </w:r>
      <w:r w:rsidRPr="001F33F5">
        <w:rPr>
          <w:b/>
        </w:rPr>
        <w:tab/>
        <w:t>: 14</w:t>
      </w:r>
    </w:p>
    <w:p w14:paraId="07579498" w14:textId="77777777" w:rsidR="001F33F5" w:rsidRPr="001F33F5" w:rsidRDefault="001F33F5" w:rsidP="001F33F5">
      <w:pPr>
        <w:spacing w:after="0"/>
        <w:rPr>
          <w:b/>
        </w:rPr>
      </w:pPr>
      <w:r w:rsidRPr="001F33F5">
        <w:rPr>
          <w:b/>
        </w:rPr>
        <w:t>Mobiles</w:t>
      </w:r>
      <w:r w:rsidRPr="001F33F5">
        <w:rPr>
          <w:b/>
        </w:rPr>
        <w:tab/>
        <w:t>Clinics</w:t>
      </w:r>
      <w:r w:rsidRPr="001F33F5">
        <w:rPr>
          <w:b/>
        </w:rPr>
        <w:tab/>
      </w:r>
      <w:r w:rsidRPr="001F33F5">
        <w:rPr>
          <w:b/>
        </w:rPr>
        <w:tab/>
        <w:t>: 6</w:t>
      </w:r>
    </w:p>
    <w:p w14:paraId="45EC2EA9" w14:textId="77777777" w:rsidR="001F33F5" w:rsidRPr="001F33F5" w:rsidRDefault="001F33F5" w:rsidP="001F33F5">
      <w:pPr>
        <w:spacing w:after="0"/>
        <w:rPr>
          <w:b/>
        </w:rPr>
      </w:pPr>
      <w:r w:rsidRPr="001F33F5">
        <w:rPr>
          <w:b/>
        </w:rPr>
        <w:t>CHC (24 x 7)</w:t>
      </w:r>
      <w:r w:rsidRPr="001F33F5">
        <w:rPr>
          <w:b/>
        </w:rPr>
        <w:tab/>
      </w:r>
      <w:r w:rsidRPr="001F33F5">
        <w:rPr>
          <w:b/>
        </w:rPr>
        <w:tab/>
        <w:t>: 0</w:t>
      </w:r>
    </w:p>
    <w:p w14:paraId="10C6E004" w14:textId="77777777" w:rsidR="001F33F5" w:rsidRPr="001F33F5" w:rsidRDefault="003C03FA" w:rsidP="001F33F5">
      <w:pPr>
        <w:rPr>
          <w:b/>
        </w:rPr>
      </w:pPr>
      <w:r>
        <w:rPr>
          <w:b/>
        </w:rPr>
        <w:t>District</w:t>
      </w:r>
      <w:r w:rsidR="001F33F5" w:rsidRPr="001F33F5">
        <w:rPr>
          <w:b/>
        </w:rPr>
        <w:t xml:space="preserve"> Hospitals</w:t>
      </w:r>
      <w:r w:rsidR="001F33F5" w:rsidRPr="001F33F5">
        <w:rPr>
          <w:b/>
        </w:rPr>
        <w:tab/>
      </w:r>
      <w:r w:rsidR="001F33F5" w:rsidRPr="001F33F5">
        <w:rPr>
          <w:b/>
        </w:rPr>
        <w:tab/>
        <w:t>: 3</w:t>
      </w:r>
    </w:p>
    <w:p w14:paraId="388CAC08" w14:textId="77777777" w:rsidR="001F33F5" w:rsidRPr="001F33F5" w:rsidRDefault="009B286E" w:rsidP="001F33F5">
      <w:pPr>
        <w:jc w:val="both"/>
      </w:pPr>
      <w:r w:rsidRPr="001F33F5">
        <w:t>Due to the inadequacy of health facilities in most rural areas, the resultant reality of this impact</w:t>
      </w:r>
      <w:r>
        <w:t>s</w:t>
      </w:r>
      <w:r w:rsidRPr="001F33F5">
        <w:t xml:space="preserve"> negatively on the wellbeing of the people within these communities. </w:t>
      </w:r>
      <w:r w:rsidR="001F33F5" w:rsidRPr="001F33F5">
        <w:t xml:space="preserve">The public often have to travel vast distances to access these facilities. This is also exacerbated by poor road infrastructure which makes it difficult for health services such as ambulances and mobile clinics to access these communities. The municipality has fourteen (14) Clinics and 3 </w:t>
      </w:r>
      <w:r w:rsidR="003C03FA">
        <w:t>District</w:t>
      </w:r>
      <w:r w:rsidR="001F33F5" w:rsidRPr="001F33F5">
        <w:t xml:space="preserve"> Hospitals in its area of jurisdiction and enjoys the services of 6 mobile clinics.</w:t>
      </w:r>
    </w:p>
    <w:p w14:paraId="07B079B0" w14:textId="77777777" w:rsidR="001F33F5" w:rsidRPr="005A27E6" w:rsidRDefault="001F33F5" w:rsidP="00750180">
      <w:pPr>
        <w:pStyle w:val="Heading4"/>
        <w:numPr>
          <w:ilvl w:val="3"/>
          <w:numId w:val="127"/>
        </w:numPr>
        <w:spacing w:after="240"/>
      </w:pPr>
      <w:r w:rsidRPr="005A27E6">
        <w:t>Médecins Sans Frontières (MSF)</w:t>
      </w:r>
    </w:p>
    <w:p w14:paraId="1839130E" w14:textId="77777777" w:rsidR="001F33F5" w:rsidRPr="001F33F5" w:rsidRDefault="001F33F5" w:rsidP="001F33F5">
      <w:pPr>
        <w:jc w:val="both"/>
      </w:pPr>
      <w:r w:rsidRPr="001F33F5">
        <w:t>The municipality also enjoys the services of Médecins Sans Frontières (MSF) for health services. MSF is an international, independent, medical humanitarian organisation that delivers emergency aid to people affected by armed conflict, epidemics, natural disasters and exclusion from healthcare. MSF offers assistance to people based on need, irrespective of race, religion, gender or political affiliation. Our actions are guided by medical ethics and the principles of neutrality and impartiality. MSF in partnership with the KwaZulu-Natal (KZN) Department of Health (DOH) is currently supporting a HIV/TB project in the Mbongolowane and Eshowe areas (</w:t>
      </w:r>
      <w:r w:rsidR="001D792E">
        <w:t>King Cetshwayo</w:t>
      </w:r>
      <w:r w:rsidRPr="001F33F5">
        <w:t xml:space="preserve"> </w:t>
      </w:r>
      <w:r w:rsidR="003C03FA">
        <w:t>District</w:t>
      </w:r>
      <w:r w:rsidRPr="001F33F5">
        <w:t xml:space="preserve">), “Bending the Curves Project”. The Bending the Curves (BTC) project that was introduced in 2011 seeks to implement multiple strategies to address the high co-incidence of HIV and TB, and reduce the number of incidences in line with the South Africa National Strategic plan. The overall strategic objective of the project is to reduce the incidence of HIV and TB, in addition to reducing HIV- and TB-related morbidity and mortality (bend the epidemic curves downwards). Specifically, the project will demonstrate the feasibility and acceptability of a wide range of innovative strategies to achieve the primary objective. </w:t>
      </w:r>
    </w:p>
    <w:p w14:paraId="609CC9D0" w14:textId="77777777" w:rsidR="001F33F5" w:rsidRPr="001F33F5" w:rsidRDefault="001F33F5" w:rsidP="001F33F5">
      <w:pPr>
        <w:jc w:val="both"/>
      </w:pPr>
      <w:r w:rsidRPr="001F33F5">
        <w:t>The Project presently includes the Mbongolwane Health Service Area and Eshowe Municipality, uMlalazi Wards 1 to 14 (plus Ward 15 and some of Ward 16).  This strategy will provide MSF with an opportunity to demonstrate the outcomes of the Project in both an urban and rural setting. The project is now established in its work across the ‘prevent, test, link, treat and retain’ cascade or the HIV care continuum, also referred to as the HIV treatment cascade which is a model that outlines the sequential steps or stages of HIV medical care that people living with HIV go through from initial diagnosis to achieving the goal of viral suppression. The project is expected to run until the year 2018 according to the MoU signed with the Department of Health KwaZulu-Natal for a period of 5 years (1 April 2013 to 31 March 2018).</w:t>
      </w:r>
    </w:p>
    <w:p w14:paraId="79F72692" w14:textId="77777777" w:rsidR="001F33F5" w:rsidRPr="001F33F5" w:rsidRDefault="001F33F5" w:rsidP="00750180">
      <w:pPr>
        <w:pStyle w:val="Heading5"/>
        <w:numPr>
          <w:ilvl w:val="4"/>
          <w:numId w:val="127"/>
        </w:numPr>
        <w:spacing w:after="240"/>
      </w:pPr>
      <w:r w:rsidRPr="001F33F5">
        <w:t>Program/Activiti</w:t>
      </w:r>
      <w:r w:rsidRPr="005A27E6">
        <w:rPr>
          <w:bCs/>
          <w:iCs/>
          <w:sz w:val="22"/>
        </w:rPr>
        <w:t>es</w:t>
      </w:r>
    </w:p>
    <w:p w14:paraId="198FB277" w14:textId="77777777" w:rsidR="001F33F5" w:rsidRPr="001F33F5" w:rsidRDefault="001F33F5" w:rsidP="001F33F5">
      <w:pPr>
        <w:jc w:val="both"/>
      </w:pPr>
      <w:r w:rsidRPr="001F33F5">
        <w:t xml:space="preserve">Working with the Department of Health (DoH), the project focuses on both existing methods of prevention (medical male circumcision and condoms) and innovative methods, such as ‘Treatment as Prevention’, to demonstrate the feasibility of decreasing the incidence of new HIV and TB infections. This objective will be achieved by: </w:t>
      </w:r>
    </w:p>
    <w:p w14:paraId="38BE49C9" w14:textId="77777777" w:rsidR="001F33F5" w:rsidRPr="001F33F5" w:rsidRDefault="001F33F5" w:rsidP="00750180">
      <w:pPr>
        <w:numPr>
          <w:ilvl w:val="0"/>
          <w:numId w:val="45"/>
        </w:numPr>
        <w:contextualSpacing/>
        <w:jc w:val="both"/>
      </w:pPr>
      <w:r w:rsidRPr="001F33F5">
        <w:t>Community Mobilisation and Advocacy work to encourage HIV and TB prevention and stigma reduction amongst the community; partnering with NGOs, in particular the Shintsha Health Initiative (SHINE) and the Treatment Action Campaign (TAC) to support project activities</w:t>
      </w:r>
    </w:p>
    <w:p w14:paraId="77217397" w14:textId="77777777" w:rsidR="001F33F5" w:rsidRPr="001F33F5" w:rsidRDefault="001F33F5" w:rsidP="00750180">
      <w:pPr>
        <w:numPr>
          <w:ilvl w:val="0"/>
          <w:numId w:val="45"/>
        </w:numPr>
        <w:contextualSpacing/>
        <w:jc w:val="both"/>
      </w:pPr>
      <w:r w:rsidRPr="001F33F5">
        <w:t>Providing enhanced HIV testing options including a mobile testing unit (mobile one stop shop, or M1SS), stand-alone HCT sites in urban areas, piloting testing and patient support by community health workers (Community Health Agents, or CHAs), and through training and working with Traditional Health Practitioners (THPs)</w:t>
      </w:r>
    </w:p>
    <w:p w14:paraId="595C644F" w14:textId="77777777" w:rsidR="001F33F5" w:rsidRPr="001F33F5" w:rsidRDefault="001F33F5" w:rsidP="00750180">
      <w:pPr>
        <w:numPr>
          <w:ilvl w:val="0"/>
          <w:numId w:val="45"/>
        </w:numPr>
        <w:contextualSpacing/>
        <w:jc w:val="both"/>
      </w:pPr>
      <w:r w:rsidRPr="001F33F5">
        <w:t>Strengthening existing HIV, STIs and TB treatment services</w:t>
      </w:r>
    </w:p>
    <w:p w14:paraId="48811FA9" w14:textId="77777777" w:rsidR="001F33F5" w:rsidRPr="001F33F5" w:rsidRDefault="001F33F5" w:rsidP="00750180">
      <w:pPr>
        <w:numPr>
          <w:ilvl w:val="0"/>
          <w:numId w:val="45"/>
        </w:numPr>
        <w:contextualSpacing/>
        <w:jc w:val="both"/>
      </w:pPr>
      <w:r w:rsidRPr="001F33F5">
        <w:t>Commencing treatment of HIV earlier – commencing ART according to extended criteria for initiation: at CD4 count of 500, or regardless of CD4 for pregnant women (and continuing lifelong), or regardless of CD4 for HIV positive individuals in a relationship with an HIV negative person (National guidelines implemented from January 2015)</w:t>
      </w:r>
    </w:p>
    <w:p w14:paraId="1CA884FE" w14:textId="77777777" w:rsidR="001F33F5" w:rsidRDefault="001F33F5" w:rsidP="00750180">
      <w:pPr>
        <w:numPr>
          <w:ilvl w:val="0"/>
          <w:numId w:val="45"/>
        </w:numPr>
        <w:spacing w:before="240"/>
        <w:contextualSpacing/>
        <w:jc w:val="both"/>
      </w:pPr>
      <w:r w:rsidRPr="001F33F5">
        <w:t>Promoting a decentralised patient care approach – the community model of care – using clubs based at health facilities and groups based in the community.</w:t>
      </w:r>
    </w:p>
    <w:p w14:paraId="0802BBA6" w14:textId="77777777" w:rsidR="00A97C9B" w:rsidRDefault="00A97C9B" w:rsidP="00A97C9B">
      <w:pPr>
        <w:spacing w:before="240"/>
        <w:contextualSpacing/>
        <w:jc w:val="both"/>
      </w:pPr>
    </w:p>
    <w:p w14:paraId="6BE58BB2" w14:textId="77777777" w:rsidR="001F33F5" w:rsidRPr="001F33F5" w:rsidRDefault="001F33F5" w:rsidP="00750180">
      <w:pPr>
        <w:pStyle w:val="Heading4"/>
        <w:numPr>
          <w:ilvl w:val="3"/>
          <w:numId w:val="127"/>
        </w:numPr>
        <w:spacing w:after="240"/>
      </w:pPr>
      <w:r w:rsidRPr="001F33F5">
        <w:t xml:space="preserve">Mortality Indicators </w:t>
      </w:r>
    </w:p>
    <w:p w14:paraId="602D14F0" w14:textId="77777777" w:rsidR="001F33F5" w:rsidRPr="001F33F5" w:rsidRDefault="001F33F5" w:rsidP="00A97C9B">
      <w:pPr>
        <w:spacing w:after="0" w:line="240" w:lineRule="auto"/>
        <w:rPr>
          <w:b/>
        </w:rPr>
      </w:pPr>
      <w:r w:rsidRPr="001F33F5">
        <w:rPr>
          <w:b/>
        </w:rPr>
        <w:t>Total Deaths (StatsSA 2011)</w:t>
      </w:r>
    </w:p>
    <w:p w14:paraId="3C891CF8" w14:textId="77777777" w:rsidR="001F33F5" w:rsidRPr="001F33F5" w:rsidRDefault="001F33F5" w:rsidP="00A97C9B">
      <w:pPr>
        <w:spacing w:after="0" w:line="240" w:lineRule="auto"/>
        <w:rPr>
          <w:b/>
        </w:rPr>
      </w:pPr>
      <w:r w:rsidRPr="001F33F5">
        <w:rPr>
          <w:b/>
        </w:rPr>
        <w:t>KwaZulu Natal</w:t>
      </w:r>
      <w:r w:rsidRPr="001F33F5">
        <w:rPr>
          <w:b/>
        </w:rPr>
        <w:tab/>
      </w:r>
      <w:r w:rsidRPr="001F33F5">
        <w:rPr>
          <w:b/>
        </w:rPr>
        <w:tab/>
        <w:t>: 104652</w:t>
      </w:r>
    </w:p>
    <w:p w14:paraId="73293181" w14:textId="77777777" w:rsidR="001F33F5" w:rsidRDefault="001D792E" w:rsidP="001F33F5">
      <w:pPr>
        <w:spacing w:after="0"/>
        <w:rPr>
          <w:b/>
        </w:rPr>
      </w:pPr>
      <w:r>
        <w:rPr>
          <w:b/>
        </w:rPr>
        <w:t>King Cetshwayo</w:t>
      </w:r>
      <w:r w:rsidR="001F33F5" w:rsidRPr="001F33F5">
        <w:rPr>
          <w:b/>
        </w:rPr>
        <w:t xml:space="preserve"> </w:t>
      </w:r>
      <w:r w:rsidR="003C03FA">
        <w:rPr>
          <w:b/>
        </w:rPr>
        <w:t>District</w:t>
      </w:r>
      <w:r w:rsidR="001F33F5" w:rsidRPr="001F33F5">
        <w:rPr>
          <w:b/>
        </w:rPr>
        <w:tab/>
        <w:t>: 8758</w:t>
      </w:r>
    </w:p>
    <w:p w14:paraId="0E5D12C9" w14:textId="77777777" w:rsidR="001F33F5" w:rsidRPr="001F33F5" w:rsidRDefault="001F33F5" w:rsidP="001F33F5">
      <w:pPr>
        <w:spacing w:after="0"/>
        <w:rPr>
          <w:b/>
        </w:rPr>
      </w:pPr>
    </w:p>
    <w:tbl>
      <w:tblPr>
        <w:tblStyle w:val="TableGrid3"/>
        <w:tblW w:w="0" w:type="auto"/>
        <w:tblLook w:val="04A0" w:firstRow="1" w:lastRow="0" w:firstColumn="1" w:lastColumn="0" w:noHBand="0" w:noVBand="1"/>
      </w:tblPr>
      <w:tblGrid>
        <w:gridCol w:w="532"/>
        <w:gridCol w:w="6214"/>
        <w:gridCol w:w="1528"/>
        <w:gridCol w:w="1355"/>
      </w:tblGrid>
      <w:tr w:rsidR="001F33F5" w:rsidRPr="001F33F5" w14:paraId="5C4A8132" w14:textId="77777777" w:rsidTr="001F33F5">
        <w:trPr>
          <w:trHeight w:val="373"/>
        </w:trPr>
        <w:tc>
          <w:tcPr>
            <w:tcW w:w="534" w:type="dxa"/>
            <w:shd w:val="clear" w:color="auto" w:fill="DAEEF3" w:themeFill="accent5" w:themeFillTint="33"/>
          </w:tcPr>
          <w:p w14:paraId="23A6524F" w14:textId="77777777" w:rsidR="001F33F5" w:rsidRPr="001F33F5" w:rsidRDefault="001F33F5" w:rsidP="001F33F5">
            <w:pPr>
              <w:rPr>
                <w:b/>
              </w:rPr>
            </w:pPr>
          </w:p>
        </w:tc>
        <w:tc>
          <w:tcPr>
            <w:tcW w:w="6378" w:type="dxa"/>
            <w:shd w:val="clear" w:color="auto" w:fill="DAEEF3" w:themeFill="accent5" w:themeFillTint="33"/>
          </w:tcPr>
          <w:p w14:paraId="3EB05766" w14:textId="77777777" w:rsidR="001F33F5" w:rsidRPr="001F33F5" w:rsidRDefault="001D792E" w:rsidP="001F33F5">
            <w:pPr>
              <w:rPr>
                <w:b/>
              </w:rPr>
            </w:pPr>
            <w:r>
              <w:rPr>
                <w:b/>
              </w:rPr>
              <w:t>King Cetshwayo</w:t>
            </w:r>
            <w:r w:rsidR="001F33F5" w:rsidRPr="001F33F5">
              <w:rPr>
                <w:b/>
              </w:rPr>
              <w:t xml:space="preserve"> </w:t>
            </w:r>
            <w:r w:rsidR="003C03FA">
              <w:rPr>
                <w:b/>
              </w:rPr>
              <w:t>District</w:t>
            </w:r>
            <w:r w:rsidR="001F33F5" w:rsidRPr="001F33F5">
              <w:rPr>
                <w:b/>
              </w:rPr>
              <w:t xml:space="preserve"> Major Causes of Death</w:t>
            </w:r>
          </w:p>
        </w:tc>
        <w:tc>
          <w:tcPr>
            <w:tcW w:w="1560" w:type="dxa"/>
            <w:shd w:val="clear" w:color="auto" w:fill="DAEEF3" w:themeFill="accent5" w:themeFillTint="33"/>
          </w:tcPr>
          <w:p w14:paraId="0E15AE76" w14:textId="77777777" w:rsidR="001F33F5" w:rsidRPr="001F33F5" w:rsidRDefault="001F33F5" w:rsidP="001F33F5">
            <w:pPr>
              <w:rPr>
                <w:b/>
              </w:rPr>
            </w:pPr>
            <w:r w:rsidRPr="001F33F5">
              <w:rPr>
                <w:b/>
              </w:rPr>
              <w:t>No.</w:t>
            </w:r>
          </w:p>
        </w:tc>
        <w:tc>
          <w:tcPr>
            <w:tcW w:w="1383" w:type="dxa"/>
            <w:shd w:val="clear" w:color="auto" w:fill="DAEEF3" w:themeFill="accent5" w:themeFillTint="33"/>
          </w:tcPr>
          <w:p w14:paraId="70D2A680" w14:textId="77777777" w:rsidR="001F33F5" w:rsidRPr="001F33F5" w:rsidRDefault="001F33F5" w:rsidP="001F33F5">
            <w:pPr>
              <w:rPr>
                <w:b/>
              </w:rPr>
            </w:pPr>
            <w:r w:rsidRPr="001F33F5">
              <w:rPr>
                <w:b/>
              </w:rPr>
              <w:t>%</w:t>
            </w:r>
          </w:p>
        </w:tc>
      </w:tr>
      <w:tr w:rsidR="001F33F5" w:rsidRPr="001F33F5" w14:paraId="76D61D66" w14:textId="77777777" w:rsidTr="001F33F5">
        <w:tc>
          <w:tcPr>
            <w:tcW w:w="534" w:type="dxa"/>
          </w:tcPr>
          <w:p w14:paraId="314B4F61" w14:textId="77777777" w:rsidR="001F33F5" w:rsidRPr="001F33F5" w:rsidRDefault="001F33F5" w:rsidP="001F33F5">
            <w:r w:rsidRPr="001F33F5">
              <w:t>1.</w:t>
            </w:r>
          </w:p>
        </w:tc>
        <w:tc>
          <w:tcPr>
            <w:tcW w:w="6378" w:type="dxa"/>
          </w:tcPr>
          <w:p w14:paraId="31310B83" w14:textId="77777777" w:rsidR="001F33F5" w:rsidRPr="001F33F5" w:rsidRDefault="001F33F5" w:rsidP="001F33F5">
            <w:r w:rsidRPr="001F33F5">
              <w:t xml:space="preserve">Tuberculosis </w:t>
            </w:r>
          </w:p>
        </w:tc>
        <w:tc>
          <w:tcPr>
            <w:tcW w:w="1560" w:type="dxa"/>
          </w:tcPr>
          <w:p w14:paraId="4193812C" w14:textId="77777777" w:rsidR="001F33F5" w:rsidRPr="001F33F5" w:rsidRDefault="001F33F5" w:rsidP="001F33F5">
            <w:r w:rsidRPr="001F33F5">
              <w:t>1270</w:t>
            </w:r>
          </w:p>
        </w:tc>
        <w:tc>
          <w:tcPr>
            <w:tcW w:w="1383" w:type="dxa"/>
          </w:tcPr>
          <w:p w14:paraId="52CF53FE" w14:textId="77777777" w:rsidR="001F33F5" w:rsidRPr="001F33F5" w:rsidRDefault="001F33F5" w:rsidP="001F33F5">
            <w:r w:rsidRPr="001F33F5">
              <w:t>14.5</w:t>
            </w:r>
          </w:p>
        </w:tc>
      </w:tr>
      <w:tr w:rsidR="001F33F5" w:rsidRPr="001F33F5" w14:paraId="7CEC95FC" w14:textId="77777777" w:rsidTr="001F33F5">
        <w:tc>
          <w:tcPr>
            <w:tcW w:w="534" w:type="dxa"/>
          </w:tcPr>
          <w:p w14:paraId="0F32C200" w14:textId="77777777" w:rsidR="001F33F5" w:rsidRPr="001F33F5" w:rsidRDefault="001F33F5" w:rsidP="001F33F5">
            <w:r w:rsidRPr="001F33F5">
              <w:t>2.</w:t>
            </w:r>
          </w:p>
        </w:tc>
        <w:tc>
          <w:tcPr>
            <w:tcW w:w="6378" w:type="dxa"/>
          </w:tcPr>
          <w:p w14:paraId="29493BDD" w14:textId="77777777" w:rsidR="001F33F5" w:rsidRPr="001F33F5" w:rsidRDefault="001F33F5" w:rsidP="001F33F5">
            <w:r w:rsidRPr="001F33F5">
              <w:t xml:space="preserve">Influenza and Pneumonia </w:t>
            </w:r>
          </w:p>
        </w:tc>
        <w:tc>
          <w:tcPr>
            <w:tcW w:w="1560" w:type="dxa"/>
          </w:tcPr>
          <w:p w14:paraId="798A5A29" w14:textId="77777777" w:rsidR="001F33F5" w:rsidRPr="001F33F5" w:rsidRDefault="001F33F5" w:rsidP="001F33F5">
            <w:r w:rsidRPr="001F33F5">
              <w:t>501</w:t>
            </w:r>
          </w:p>
        </w:tc>
        <w:tc>
          <w:tcPr>
            <w:tcW w:w="1383" w:type="dxa"/>
          </w:tcPr>
          <w:p w14:paraId="4BB1BEAB" w14:textId="77777777" w:rsidR="001F33F5" w:rsidRPr="001F33F5" w:rsidRDefault="001F33F5" w:rsidP="001F33F5">
            <w:r w:rsidRPr="001F33F5">
              <w:t>5.7</w:t>
            </w:r>
          </w:p>
        </w:tc>
      </w:tr>
      <w:tr w:rsidR="001F33F5" w:rsidRPr="001F33F5" w14:paraId="46F1A9FB" w14:textId="77777777" w:rsidTr="001F33F5">
        <w:tc>
          <w:tcPr>
            <w:tcW w:w="534" w:type="dxa"/>
          </w:tcPr>
          <w:p w14:paraId="1B42EC05" w14:textId="77777777" w:rsidR="001F33F5" w:rsidRPr="001F33F5" w:rsidRDefault="001F33F5" w:rsidP="001F33F5">
            <w:r w:rsidRPr="001F33F5">
              <w:t>3.</w:t>
            </w:r>
          </w:p>
        </w:tc>
        <w:tc>
          <w:tcPr>
            <w:tcW w:w="6378" w:type="dxa"/>
          </w:tcPr>
          <w:p w14:paraId="71653EE0" w14:textId="77777777" w:rsidR="001F33F5" w:rsidRPr="001F33F5" w:rsidRDefault="001F33F5" w:rsidP="001F33F5">
            <w:r w:rsidRPr="001F33F5">
              <w:t>Other Viral Diseases</w:t>
            </w:r>
          </w:p>
        </w:tc>
        <w:tc>
          <w:tcPr>
            <w:tcW w:w="1560" w:type="dxa"/>
          </w:tcPr>
          <w:p w14:paraId="542A0704" w14:textId="77777777" w:rsidR="001F33F5" w:rsidRPr="001F33F5" w:rsidRDefault="001F33F5" w:rsidP="001F33F5">
            <w:r w:rsidRPr="001F33F5">
              <w:t>462</w:t>
            </w:r>
          </w:p>
        </w:tc>
        <w:tc>
          <w:tcPr>
            <w:tcW w:w="1383" w:type="dxa"/>
          </w:tcPr>
          <w:p w14:paraId="6B5C172B" w14:textId="77777777" w:rsidR="001F33F5" w:rsidRPr="001F33F5" w:rsidRDefault="001F33F5" w:rsidP="001F33F5">
            <w:r w:rsidRPr="001F33F5">
              <w:t>5.3</w:t>
            </w:r>
          </w:p>
        </w:tc>
      </w:tr>
      <w:tr w:rsidR="001F33F5" w:rsidRPr="001F33F5" w14:paraId="738DAF96" w14:textId="77777777" w:rsidTr="001F33F5">
        <w:tc>
          <w:tcPr>
            <w:tcW w:w="534" w:type="dxa"/>
          </w:tcPr>
          <w:p w14:paraId="4012E89C" w14:textId="77777777" w:rsidR="001F33F5" w:rsidRPr="001F33F5" w:rsidRDefault="001F33F5" w:rsidP="001F33F5">
            <w:r w:rsidRPr="001F33F5">
              <w:t>4.</w:t>
            </w:r>
          </w:p>
        </w:tc>
        <w:tc>
          <w:tcPr>
            <w:tcW w:w="6378" w:type="dxa"/>
          </w:tcPr>
          <w:p w14:paraId="30728E20" w14:textId="77777777" w:rsidR="001F33F5" w:rsidRPr="001F33F5" w:rsidRDefault="001F33F5" w:rsidP="001F33F5">
            <w:r w:rsidRPr="001F33F5">
              <w:t>Cerebrovascular Diseases</w:t>
            </w:r>
          </w:p>
        </w:tc>
        <w:tc>
          <w:tcPr>
            <w:tcW w:w="1560" w:type="dxa"/>
          </w:tcPr>
          <w:p w14:paraId="35C33938" w14:textId="77777777" w:rsidR="001F33F5" w:rsidRPr="001F33F5" w:rsidRDefault="001F33F5" w:rsidP="001F33F5">
            <w:r w:rsidRPr="001F33F5">
              <w:t>442</w:t>
            </w:r>
          </w:p>
        </w:tc>
        <w:tc>
          <w:tcPr>
            <w:tcW w:w="1383" w:type="dxa"/>
          </w:tcPr>
          <w:p w14:paraId="1D76D9C9" w14:textId="77777777" w:rsidR="001F33F5" w:rsidRPr="001F33F5" w:rsidRDefault="001F33F5" w:rsidP="001F33F5">
            <w:r w:rsidRPr="001F33F5">
              <w:t>5.0</w:t>
            </w:r>
          </w:p>
        </w:tc>
      </w:tr>
      <w:tr w:rsidR="001F33F5" w:rsidRPr="001F33F5" w14:paraId="079023E2" w14:textId="77777777" w:rsidTr="001F33F5">
        <w:tc>
          <w:tcPr>
            <w:tcW w:w="534" w:type="dxa"/>
          </w:tcPr>
          <w:p w14:paraId="1D95F6D8" w14:textId="77777777" w:rsidR="001F33F5" w:rsidRPr="001F33F5" w:rsidRDefault="001F33F5" w:rsidP="001F33F5">
            <w:r w:rsidRPr="001F33F5">
              <w:t>5.</w:t>
            </w:r>
          </w:p>
        </w:tc>
        <w:tc>
          <w:tcPr>
            <w:tcW w:w="6378" w:type="dxa"/>
          </w:tcPr>
          <w:p w14:paraId="1D2B7EEF" w14:textId="77777777" w:rsidR="001F33F5" w:rsidRPr="001F33F5" w:rsidRDefault="001F33F5" w:rsidP="001F33F5">
            <w:r w:rsidRPr="001F33F5">
              <w:t>HIV</w:t>
            </w:r>
          </w:p>
        </w:tc>
        <w:tc>
          <w:tcPr>
            <w:tcW w:w="1560" w:type="dxa"/>
          </w:tcPr>
          <w:p w14:paraId="28B14EB9" w14:textId="77777777" w:rsidR="001F33F5" w:rsidRPr="001F33F5" w:rsidRDefault="001F33F5" w:rsidP="001F33F5">
            <w:r w:rsidRPr="001F33F5">
              <w:t>418</w:t>
            </w:r>
          </w:p>
        </w:tc>
        <w:tc>
          <w:tcPr>
            <w:tcW w:w="1383" w:type="dxa"/>
          </w:tcPr>
          <w:p w14:paraId="3525D604" w14:textId="77777777" w:rsidR="001F33F5" w:rsidRPr="001F33F5" w:rsidRDefault="001F33F5" w:rsidP="001F33F5">
            <w:r w:rsidRPr="001F33F5">
              <w:t>4.8</w:t>
            </w:r>
          </w:p>
        </w:tc>
      </w:tr>
      <w:tr w:rsidR="001F33F5" w:rsidRPr="001F33F5" w14:paraId="2E85E330" w14:textId="77777777" w:rsidTr="001F33F5">
        <w:tc>
          <w:tcPr>
            <w:tcW w:w="534" w:type="dxa"/>
          </w:tcPr>
          <w:p w14:paraId="3FBD5311" w14:textId="77777777" w:rsidR="001F33F5" w:rsidRPr="001F33F5" w:rsidRDefault="001F33F5" w:rsidP="001F33F5">
            <w:r w:rsidRPr="001F33F5">
              <w:t>6.</w:t>
            </w:r>
          </w:p>
        </w:tc>
        <w:tc>
          <w:tcPr>
            <w:tcW w:w="6378" w:type="dxa"/>
          </w:tcPr>
          <w:p w14:paraId="5D289555" w14:textId="77777777" w:rsidR="001F33F5" w:rsidRPr="001F33F5" w:rsidRDefault="001F33F5" w:rsidP="001F33F5">
            <w:r w:rsidRPr="001F33F5">
              <w:t>Other forms of heart diseases</w:t>
            </w:r>
          </w:p>
        </w:tc>
        <w:tc>
          <w:tcPr>
            <w:tcW w:w="1560" w:type="dxa"/>
          </w:tcPr>
          <w:p w14:paraId="78F5B5C4" w14:textId="77777777" w:rsidR="001F33F5" w:rsidRPr="001F33F5" w:rsidRDefault="001F33F5" w:rsidP="001F33F5">
            <w:r w:rsidRPr="001F33F5">
              <w:t>397</w:t>
            </w:r>
          </w:p>
        </w:tc>
        <w:tc>
          <w:tcPr>
            <w:tcW w:w="1383" w:type="dxa"/>
          </w:tcPr>
          <w:p w14:paraId="054B22E2" w14:textId="77777777" w:rsidR="001F33F5" w:rsidRPr="001F33F5" w:rsidRDefault="001F33F5" w:rsidP="001F33F5">
            <w:r w:rsidRPr="001F33F5">
              <w:t>4.5</w:t>
            </w:r>
          </w:p>
        </w:tc>
      </w:tr>
      <w:tr w:rsidR="001F33F5" w:rsidRPr="001F33F5" w14:paraId="4E327780" w14:textId="77777777" w:rsidTr="001F33F5">
        <w:tc>
          <w:tcPr>
            <w:tcW w:w="534" w:type="dxa"/>
          </w:tcPr>
          <w:p w14:paraId="61696CEC" w14:textId="77777777" w:rsidR="001F33F5" w:rsidRPr="001F33F5" w:rsidRDefault="001F33F5" w:rsidP="001F33F5">
            <w:r w:rsidRPr="001F33F5">
              <w:t>7.</w:t>
            </w:r>
          </w:p>
        </w:tc>
        <w:tc>
          <w:tcPr>
            <w:tcW w:w="6378" w:type="dxa"/>
          </w:tcPr>
          <w:p w14:paraId="24847453" w14:textId="77777777" w:rsidR="001F33F5" w:rsidRPr="001F33F5" w:rsidRDefault="001F33F5" w:rsidP="001F33F5">
            <w:r w:rsidRPr="001F33F5">
              <w:t>Diabetes Mellitus</w:t>
            </w:r>
          </w:p>
        </w:tc>
        <w:tc>
          <w:tcPr>
            <w:tcW w:w="1560" w:type="dxa"/>
          </w:tcPr>
          <w:p w14:paraId="086F5EC9" w14:textId="77777777" w:rsidR="001F33F5" w:rsidRPr="001F33F5" w:rsidRDefault="001F33F5" w:rsidP="001F33F5">
            <w:r w:rsidRPr="001F33F5">
              <w:t>364</w:t>
            </w:r>
          </w:p>
        </w:tc>
        <w:tc>
          <w:tcPr>
            <w:tcW w:w="1383" w:type="dxa"/>
          </w:tcPr>
          <w:p w14:paraId="3393F533" w14:textId="77777777" w:rsidR="001F33F5" w:rsidRPr="001F33F5" w:rsidRDefault="001F33F5" w:rsidP="001F33F5">
            <w:r w:rsidRPr="001F33F5">
              <w:t>4.2</w:t>
            </w:r>
          </w:p>
        </w:tc>
      </w:tr>
      <w:tr w:rsidR="001F33F5" w:rsidRPr="001F33F5" w14:paraId="1750B1F7" w14:textId="77777777" w:rsidTr="001F33F5">
        <w:tc>
          <w:tcPr>
            <w:tcW w:w="534" w:type="dxa"/>
          </w:tcPr>
          <w:p w14:paraId="011F3867" w14:textId="77777777" w:rsidR="001F33F5" w:rsidRPr="001F33F5" w:rsidRDefault="001F33F5" w:rsidP="001F33F5">
            <w:r w:rsidRPr="001F33F5">
              <w:t>8.</w:t>
            </w:r>
          </w:p>
        </w:tc>
        <w:tc>
          <w:tcPr>
            <w:tcW w:w="6378" w:type="dxa"/>
          </w:tcPr>
          <w:p w14:paraId="25C38529" w14:textId="77777777" w:rsidR="001F33F5" w:rsidRPr="001F33F5" w:rsidRDefault="001F33F5" w:rsidP="001F33F5">
            <w:r w:rsidRPr="001F33F5">
              <w:t>Intestinal Infectious Disease</w:t>
            </w:r>
          </w:p>
        </w:tc>
        <w:tc>
          <w:tcPr>
            <w:tcW w:w="1560" w:type="dxa"/>
          </w:tcPr>
          <w:p w14:paraId="58D84325" w14:textId="77777777" w:rsidR="001F33F5" w:rsidRPr="001F33F5" w:rsidRDefault="001F33F5" w:rsidP="001F33F5">
            <w:r w:rsidRPr="001F33F5">
              <w:t>330</w:t>
            </w:r>
          </w:p>
        </w:tc>
        <w:tc>
          <w:tcPr>
            <w:tcW w:w="1383" w:type="dxa"/>
          </w:tcPr>
          <w:p w14:paraId="7B94D232" w14:textId="77777777" w:rsidR="001F33F5" w:rsidRPr="001F33F5" w:rsidRDefault="001F33F5" w:rsidP="001F33F5">
            <w:r w:rsidRPr="001F33F5">
              <w:t>3.8</w:t>
            </w:r>
          </w:p>
        </w:tc>
      </w:tr>
      <w:tr w:rsidR="001F33F5" w:rsidRPr="001F33F5" w14:paraId="44BE5701" w14:textId="77777777" w:rsidTr="001F33F5">
        <w:tc>
          <w:tcPr>
            <w:tcW w:w="534" w:type="dxa"/>
          </w:tcPr>
          <w:p w14:paraId="0DC8167E" w14:textId="77777777" w:rsidR="001F33F5" w:rsidRPr="001F33F5" w:rsidRDefault="001F33F5" w:rsidP="001F33F5">
            <w:r w:rsidRPr="001F33F5">
              <w:t>9.</w:t>
            </w:r>
          </w:p>
        </w:tc>
        <w:tc>
          <w:tcPr>
            <w:tcW w:w="6378" w:type="dxa"/>
          </w:tcPr>
          <w:p w14:paraId="5013975F" w14:textId="77777777" w:rsidR="001F33F5" w:rsidRPr="001F33F5" w:rsidRDefault="001F33F5" w:rsidP="001F33F5">
            <w:r w:rsidRPr="001F33F5">
              <w:t>Hypertensive Disease</w:t>
            </w:r>
          </w:p>
        </w:tc>
        <w:tc>
          <w:tcPr>
            <w:tcW w:w="1560" w:type="dxa"/>
          </w:tcPr>
          <w:p w14:paraId="1AA2E8D0" w14:textId="77777777" w:rsidR="001F33F5" w:rsidRPr="001F33F5" w:rsidRDefault="001F33F5" w:rsidP="001F33F5">
            <w:r w:rsidRPr="001F33F5">
              <w:t>237</w:t>
            </w:r>
          </w:p>
        </w:tc>
        <w:tc>
          <w:tcPr>
            <w:tcW w:w="1383" w:type="dxa"/>
          </w:tcPr>
          <w:p w14:paraId="76CA2A1B" w14:textId="77777777" w:rsidR="001F33F5" w:rsidRPr="001F33F5" w:rsidRDefault="001F33F5" w:rsidP="001F33F5">
            <w:r w:rsidRPr="001F33F5">
              <w:t>2.7</w:t>
            </w:r>
          </w:p>
        </w:tc>
      </w:tr>
      <w:tr w:rsidR="001F33F5" w:rsidRPr="001F33F5" w14:paraId="026E95EE" w14:textId="77777777" w:rsidTr="001F33F5">
        <w:tc>
          <w:tcPr>
            <w:tcW w:w="534" w:type="dxa"/>
          </w:tcPr>
          <w:p w14:paraId="551C8B51" w14:textId="77777777" w:rsidR="001F33F5" w:rsidRPr="001F33F5" w:rsidRDefault="001F33F5" w:rsidP="001F33F5">
            <w:r w:rsidRPr="001F33F5">
              <w:t>10.</w:t>
            </w:r>
          </w:p>
        </w:tc>
        <w:tc>
          <w:tcPr>
            <w:tcW w:w="6378" w:type="dxa"/>
          </w:tcPr>
          <w:p w14:paraId="431986FB" w14:textId="77777777" w:rsidR="001F33F5" w:rsidRPr="001F33F5" w:rsidRDefault="001F33F5" w:rsidP="001F33F5">
            <w:r w:rsidRPr="001F33F5">
              <w:t>Certain Disorders involving the immune mechanisms</w:t>
            </w:r>
          </w:p>
        </w:tc>
        <w:tc>
          <w:tcPr>
            <w:tcW w:w="1560" w:type="dxa"/>
          </w:tcPr>
          <w:p w14:paraId="455C1BE2" w14:textId="77777777" w:rsidR="001F33F5" w:rsidRPr="001F33F5" w:rsidRDefault="001F33F5" w:rsidP="001F33F5">
            <w:r w:rsidRPr="001F33F5">
              <w:t>184</w:t>
            </w:r>
          </w:p>
        </w:tc>
        <w:tc>
          <w:tcPr>
            <w:tcW w:w="1383" w:type="dxa"/>
          </w:tcPr>
          <w:p w14:paraId="79A678A0" w14:textId="77777777" w:rsidR="001F33F5" w:rsidRPr="001F33F5" w:rsidRDefault="001F33F5" w:rsidP="001F33F5">
            <w:r w:rsidRPr="001F33F5">
              <w:t>2.1</w:t>
            </w:r>
          </w:p>
        </w:tc>
      </w:tr>
      <w:tr w:rsidR="001F33F5" w:rsidRPr="001F33F5" w14:paraId="72857C14" w14:textId="77777777" w:rsidTr="001F33F5">
        <w:tc>
          <w:tcPr>
            <w:tcW w:w="534" w:type="dxa"/>
          </w:tcPr>
          <w:p w14:paraId="677A6C0D" w14:textId="77777777" w:rsidR="001F33F5" w:rsidRPr="001F33F5" w:rsidRDefault="001F33F5" w:rsidP="001F33F5">
            <w:r w:rsidRPr="001F33F5">
              <w:t>11.</w:t>
            </w:r>
          </w:p>
        </w:tc>
        <w:tc>
          <w:tcPr>
            <w:tcW w:w="6378" w:type="dxa"/>
          </w:tcPr>
          <w:p w14:paraId="5E902F73" w14:textId="77777777" w:rsidR="001F33F5" w:rsidRPr="001F33F5" w:rsidRDefault="001F33F5" w:rsidP="001F33F5">
            <w:r w:rsidRPr="001F33F5">
              <w:t>Other Natural Causes</w:t>
            </w:r>
          </w:p>
        </w:tc>
        <w:tc>
          <w:tcPr>
            <w:tcW w:w="1560" w:type="dxa"/>
          </w:tcPr>
          <w:p w14:paraId="5C7941DE" w14:textId="77777777" w:rsidR="001F33F5" w:rsidRPr="001F33F5" w:rsidRDefault="001F33F5" w:rsidP="001F33F5">
            <w:r w:rsidRPr="001F33F5">
              <w:t>3287</w:t>
            </w:r>
          </w:p>
        </w:tc>
        <w:tc>
          <w:tcPr>
            <w:tcW w:w="1383" w:type="dxa"/>
          </w:tcPr>
          <w:p w14:paraId="32E0BB7D" w14:textId="77777777" w:rsidR="001F33F5" w:rsidRPr="001F33F5" w:rsidRDefault="001F33F5" w:rsidP="001F33F5">
            <w:r w:rsidRPr="001F33F5">
              <w:t>37.5</w:t>
            </w:r>
          </w:p>
        </w:tc>
      </w:tr>
      <w:tr w:rsidR="001F33F5" w:rsidRPr="001F33F5" w14:paraId="435837BB" w14:textId="77777777" w:rsidTr="001F33F5">
        <w:tc>
          <w:tcPr>
            <w:tcW w:w="534" w:type="dxa"/>
          </w:tcPr>
          <w:p w14:paraId="05F60B06" w14:textId="77777777" w:rsidR="001F33F5" w:rsidRPr="001F33F5" w:rsidRDefault="001F33F5" w:rsidP="001F33F5">
            <w:r w:rsidRPr="001F33F5">
              <w:t>12.</w:t>
            </w:r>
          </w:p>
        </w:tc>
        <w:tc>
          <w:tcPr>
            <w:tcW w:w="6378" w:type="dxa"/>
          </w:tcPr>
          <w:p w14:paraId="4B118D1E" w14:textId="77777777" w:rsidR="001F33F5" w:rsidRPr="001F33F5" w:rsidRDefault="001F33F5" w:rsidP="001F33F5">
            <w:r w:rsidRPr="001F33F5">
              <w:t>Non-Natural Causes</w:t>
            </w:r>
          </w:p>
        </w:tc>
        <w:tc>
          <w:tcPr>
            <w:tcW w:w="1560" w:type="dxa"/>
          </w:tcPr>
          <w:p w14:paraId="7B5F8A9E" w14:textId="77777777" w:rsidR="001F33F5" w:rsidRPr="001F33F5" w:rsidRDefault="001F33F5" w:rsidP="001F33F5">
            <w:r w:rsidRPr="001F33F5">
              <w:t>886</w:t>
            </w:r>
          </w:p>
        </w:tc>
        <w:tc>
          <w:tcPr>
            <w:tcW w:w="1383" w:type="dxa"/>
          </w:tcPr>
          <w:p w14:paraId="1B55BD9F" w14:textId="77777777" w:rsidR="001F33F5" w:rsidRPr="001F33F5" w:rsidRDefault="001F33F5" w:rsidP="001F33F5">
            <w:r w:rsidRPr="001F33F5">
              <w:t>9.9</w:t>
            </w:r>
          </w:p>
        </w:tc>
      </w:tr>
      <w:tr w:rsidR="001F33F5" w:rsidRPr="001F33F5" w14:paraId="07D58C33" w14:textId="77777777" w:rsidTr="001F33F5">
        <w:tc>
          <w:tcPr>
            <w:tcW w:w="534" w:type="dxa"/>
          </w:tcPr>
          <w:p w14:paraId="2A5ED8E7" w14:textId="77777777" w:rsidR="001F33F5" w:rsidRPr="001F33F5" w:rsidRDefault="001F33F5" w:rsidP="001F33F5">
            <w:pPr>
              <w:rPr>
                <w:b/>
              </w:rPr>
            </w:pPr>
          </w:p>
        </w:tc>
        <w:tc>
          <w:tcPr>
            <w:tcW w:w="6378" w:type="dxa"/>
          </w:tcPr>
          <w:p w14:paraId="13B3D2D6" w14:textId="77777777" w:rsidR="001F33F5" w:rsidRPr="001F33F5" w:rsidRDefault="001F33F5" w:rsidP="001F33F5">
            <w:pPr>
              <w:rPr>
                <w:b/>
              </w:rPr>
            </w:pPr>
            <w:r w:rsidRPr="001F33F5">
              <w:rPr>
                <w:b/>
              </w:rPr>
              <w:t>All Causes</w:t>
            </w:r>
          </w:p>
        </w:tc>
        <w:tc>
          <w:tcPr>
            <w:tcW w:w="1560" w:type="dxa"/>
          </w:tcPr>
          <w:p w14:paraId="74AC2911" w14:textId="77777777" w:rsidR="001F33F5" w:rsidRPr="001F33F5" w:rsidRDefault="001F33F5" w:rsidP="001F33F5">
            <w:pPr>
              <w:rPr>
                <w:b/>
              </w:rPr>
            </w:pPr>
            <w:r w:rsidRPr="001F33F5">
              <w:rPr>
                <w:b/>
              </w:rPr>
              <w:t>8758</w:t>
            </w:r>
          </w:p>
        </w:tc>
        <w:tc>
          <w:tcPr>
            <w:tcW w:w="1383" w:type="dxa"/>
          </w:tcPr>
          <w:p w14:paraId="0BB05C67" w14:textId="77777777" w:rsidR="001F33F5" w:rsidRPr="001F33F5" w:rsidRDefault="001F33F5" w:rsidP="001F33F5">
            <w:pPr>
              <w:rPr>
                <w:b/>
              </w:rPr>
            </w:pPr>
            <w:r w:rsidRPr="001F33F5">
              <w:rPr>
                <w:b/>
              </w:rPr>
              <w:t>100</w:t>
            </w:r>
          </w:p>
        </w:tc>
      </w:tr>
    </w:tbl>
    <w:p w14:paraId="26703D85" w14:textId="77777777" w:rsidR="001F33F5" w:rsidRPr="001F33F5" w:rsidRDefault="005A27E6" w:rsidP="005A27E6">
      <w:pPr>
        <w:pStyle w:val="Caption"/>
        <w:rPr>
          <w:bCs w:val="0"/>
        </w:rPr>
      </w:pPr>
      <w:bookmarkStart w:id="441" w:name="_Toc510622313"/>
      <w:r>
        <w:t xml:space="preserve">Table </w:t>
      </w:r>
      <w:r w:rsidR="00B918A6">
        <w:fldChar w:fldCharType="begin"/>
      </w:r>
      <w:r w:rsidR="00B918A6">
        <w:instrText xml:space="preserve"> SEQ Table \* ARABIC </w:instrText>
      </w:r>
      <w:r w:rsidR="00B918A6">
        <w:fldChar w:fldCharType="separate"/>
      </w:r>
      <w:r w:rsidR="0067023A">
        <w:rPr>
          <w:noProof/>
        </w:rPr>
        <w:t>63</w:t>
      </w:r>
      <w:r w:rsidR="00B918A6">
        <w:rPr>
          <w:noProof/>
        </w:rPr>
        <w:fldChar w:fldCharType="end"/>
      </w:r>
      <w:r>
        <w:t xml:space="preserve">: </w:t>
      </w:r>
      <w:r w:rsidR="001D792E">
        <w:rPr>
          <w:bCs w:val="0"/>
        </w:rPr>
        <w:t>King Cetshwayo</w:t>
      </w:r>
      <w:r w:rsidR="001F33F5" w:rsidRPr="001F33F5">
        <w:rPr>
          <w:bCs w:val="0"/>
        </w:rPr>
        <w:t xml:space="preserve"> Major Causes of Death (StatsSA 2011)</w:t>
      </w:r>
      <w:bookmarkEnd w:id="441"/>
    </w:p>
    <w:p w14:paraId="3AF4EB9D" w14:textId="77777777" w:rsidR="001F33F5" w:rsidRPr="001F33F5" w:rsidRDefault="001F33F5" w:rsidP="001F33F5">
      <w:pPr>
        <w:sectPr w:rsidR="001F33F5" w:rsidRPr="001F33F5" w:rsidSect="001F33F5">
          <w:pgSz w:w="11907" w:h="16839" w:code="9"/>
          <w:pgMar w:top="851" w:right="1134" w:bottom="851" w:left="1134" w:header="720" w:footer="720" w:gutter="0"/>
          <w:cols w:space="720"/>
          <w:docGrid w:linePitch="360"/>
        </w:sectPr>
      </w:pPr>
    </w:p>
    <w:p w14:paraId="60FFA6C6" w14:textId="77777777" w:rsidR="001F33F5" w:rsidRPr="005A27E6" w:rsidRDefault="001F33F5" w:rsidP="00750180">
      <w:pPr>
        <w:pStyle w:val="Heading4"/>
        <w:numPr>
          <w:ilvl w:val="3"/>
          <w:numId w:val="127"/>
        </w:numPr>
        <w:spacing w:after="240"/>
      </w:pPr>
      <w:r w:rsidRPr="005A27E6">
        <w:t>People affected by HIV/Aids</w:t>
      </w:r>
    </w:p>
    <w:p w14:paraId="4AADD15F" w14:textId="77777777" w:rsidR="001F33F5" w:rsidRDefault="001F33F5" w:rsidP="001F33F5">
      <w:r>
        <w:t>The established HIV/AIDS Desk, as part of the Municipality’s HIV/AIDS intervention program, supports HIV/AIDS non-governmental institutions by means of grants, subject to specific requirements.   Food parcels are issued to target families as an intervention to promote nutrition for HIV/AIDS affected people.</w:t>
      </w:r>
    </w:p>
    <w:p w14:paraId="09460261" w14:textId="77777777" w:rsidR="001F33F5" w:rsidRDefault="001F33F5" w:rsidP="00A97C9B">
      <w:pPr>
        <w:jc w:val="both"/>
      </w:pPr>
      <w:r>
        <w:t>Community Services department issued food parcels, maize meal to all ward Councilors to identify destitute families and OVC beneficiaries. Child Care SA was appointed by the Office of the Premier to establish and train 10 ward committees within uMlalazi Municipality.</w:t>
      </w:r>
      <w:r w:rsidR="00A97C9B">
        <w:t xml:space="preserve"> The able below indicate the HIV prevalence within the KCDM. Although the prevalence of HIV/Aids is relatively high within the district, the situation also seems to be stabilizing. The preffered trend would be to see a decline, however stable is better that increasing. The DoH in partnership with the LM as well as other stakeholders will colaboate to ensure that more awareness is raised with respect the HIV/Aids and that more innovative and preventative measures are introduced at ward levels.</w:t>
      </w:r>
    </w:p>
    <w:p w14:paraId="5DD6070C" w14:textId="77777777" w:rsidR="00A97C9B" w:rsidRPr="001F33F5" w:rsidRDefault="00A97C9B" w:rsidP="001F33F5">
      <w:pPr>
        <w:sectPr w:rsidR="00A97C9B" w:rsidRPr="001F33F5" w:rsidSect="00685765">
          <w:type w:val="continuous"/>
          <w:pgSz w:w="11907" w:h="16839" w:code="9"/>
          <w:pgMar w:top="851" w:right="1134" w:bottom="851" w:left="1134" w:header="720" w:footer="720" w:gutter="0"/>
          <w:cols w:space="720"/>
          <w:docGrid w:linePitch="360"/>
        </w:sectPr>
      </w:pPr>
    </w:p>
    <w:tbl>
      <w:tblPr>
        <w:tblStyle w:val="TableGrid"/>
        <w:tblW w:w="0" w:type="auto"/>
        <w:tblLook w:val="04A0" w:firstRow="1" w:lastRow="0" w:firstColumn="1" w:lastColumn="0" w:noHBand="0" w:noVBand="1"/>
      </w:tblPr>
      <w:tblGrid>
        <w:gridCol w:w="2122"/>
        <w:gridCol w:w="1984"/>
        <w:gridCol w:w="2693"/>
        <w:gridCol w:w="2830"/>
      </w:tblGrid>
      <w:tr w:rsidR="00297498" w:rsidRPr="00E21F9F" w14:paraId="3019FC06" w14:textId="77777777" w:rsidTr="00E66595">
        <w:tc>
          <w:tcPr>
            <w:tcW w:w="2122" w:type="dxa"/>
            <w:shd w:val="clear" w:color="auto" w:fill="000000" w:themeFill="text1"/>
          </w:tcPr>
          <w:p w14:paraId="76D93FF5" w14:textId="77777777" w:rsidR="00297498" w:rsidRPr="00E21F9F" w:rsidRDefault="00297498" w:rsidP="00E66595">
            <w:pPr>
              <w:rPr>
                <w:b/>
              </w:rPr>
            </w:pPr>
          </w:p>
        </w:tc>
        <w:tc>
          <w:tcPr>
            <w:tcW w:w="1984" w:type="dxa"/>
            <w:shd w:val="clear" w:color="auto" w:fill="000000" w:themeFill="text1"/>
          </w:tcPr>
          <w:p w14:paraId="077789BA" w14:textId="77777777" w:rsidR="00297498" w:rsidRPr="00E21F9F" w:rsidRDefault="00297498" w:rsidP="00E66595">
            <w:pPr>
              <w:rPr>
                <w:b/>
              </w:rPr>
            </w:pPr>
            <w:r w:rsidRPr="00E21F9F">
              <w:rPr>
                <w:b/>
              </w:rPr>
              <w:t>TOTAL POPULATION</w:t>
            </w:r>
          </w:p>
        </w:tc>
        <w:tc>
          <w:tcPr>
            <w:tcW w:w="2693" w:type="dxa"/>
            <w:shd w:val="clear" w:color="auto" w:fill="000000" w:themeFill="text1"/>
          </w:tcPr>
          <w:p w14:paraId="0FEB5175" w14:textId="77777777" w:rsidR="00297498" w:rsidRPr="00E21F9F" w:rsidRDefault="00297498" w:rsidP="00E66595">
            <w:pPr>
              <w:rPr>
                <w:b/>
              </w:rPr>
            </w:pPr>
            <w:r w:rsidRPr="00E21F9F">
              <w:rPr>
                <w:b/>
              </w:rPr>
              <w:t>HIV POSITIVE % ESTIMATES</w:t>
            </w:r>
          </w:p>
          <w:p w14:paraId="51A0A169" w14:textId="77777777" w:rsidR="00297498" w:rsidRPr="00E21F9F" w:rsidRDefault="00297498" w:rsidP="00E66595">
            <w:pPr>
              <w:jc w:val="center"/>
              <w:rPr>
                <w:b/>
              </w:rPr>
            </w:pPr>
            <w:r w:rsidRPr="00E21F9F">
              <w:rPr>
                <w:b/>
              </w:rPr>
              <w:t>(2014)</w:t>
            </w:r>
          </w:p>
        </w:tc>
        <w:tc>
          <w:tcPr>
            <w:tcW w:w="2830" w:type="dxa"/>
            <w:shd w:val="clear" w:color="auto" w:fill="000000" w:themeFill="text1"/>
          </w:tcPr>
          <w:p w14:paraId="1A5D23EC" w14:textId="77777777" w:rsidR="00297498" w:rsidRPr="00E21F9F" w:rsidRDefault="00297498" w:rsidP="00E66595">
            <w:pPr>
              <w:rPr>
                <w:b/>
              </w:rPr>
            </w:pPr>
            <w:r w:rsidRPr="00E21F9F">
              <w:rPr>
                <w:b/>
              </w:rPr>
              <w:t>AIDS DEATHS % ESTIMATES</w:t>
            </w:r>
          </w:p>
          <w:p w14:paraId="0237C1FF" w14:textId="77777777" w:rsidR="00297498" w:rsidRPr="00E21F9F" w:rsidRDefault="00297498" w:rsidP="00E66595">
            <w:pPr>
              <w:jc w:val="center"/>
              <w:rPr>
                <w:b/>
              </w:rPr>
            </w:pPr>
            <w:r w:rsidRPr="00E21F9F">
              <w:rPr>
                <w:b/>
              </w:rPr>
              <w:t>(2014)</w:t>
            </w:r>
          </w:p>
        </w:tc>
      </w:tr>
      <w:tr w:rsidR="00297498" w14:paraId="4ECC36E5" w14:textId="77777777" w:rsidTr="00E66595">
        <w:tc>
          <w:tcPr>
            <w:tcW w:w="2122" w:type="dxa"/>
          </w:tcPr>
          <w:p w14:paraId="6FE64859" w14:textId="77777777" w:rsidR="00297498" w:rsidRDefault="00297498" w:rsidP="00E66595">
            <w:r>
              <w:t>KWAZULU NATAL</w:t>
            </w:r>
          </w:p>
        </w:tc>
        <w:tc>
          <w:tcPr>
            <w:tcW w:w="1984" w:type="dxa"/>
          </w:tcPr>
          <w:p w14:paraId="70726AD3" w14:textId="77777777" w:rsidR="00297498" w:rsidRDefault="00297498" w:rsidP="00E66595">
            <w:r>
              <w:t>10 508 110</w:t>
            </w:r>
          </w:p>
        </w:tc>
        <w:tc>
          <w:tcPr>
            <w:tcW w:w="2693" w:type="dxa"/>
          </w:tcPr>
          <w:p w14:paraId="70792174" w14:textId="77777777" w:rsidR="00297498" w:rsidRDefault="00297498" w:rsidP="00E66595">
            <w:r>
              <w:t>14.9</w:t>
            </w:r>
          </w:p>
        </w:tc>
        <w:tc>
          <w:tcPr>
            <w:tcW w:w="2830" w:type="dxa"/>
          </w:tcPr>
          <w:p w14:paraId="72054245" w14:textId="77777777" w:rsidR="00297498" w:rsidRDefault="00297498" w:rsidP="00E66595">
            <w:r>
              <w:t>1</w:t>
            </w:r>
          </w:p>
        </w:tc>
      </w:tr>
      <w:tr w:rsidR="00297498" w14:paraId="181CB630" w14:textId="77777777" w:rsidTr="00E66595">
        <w:tc>
          <w:tcPr>
            <w:tcW w:w="2122" w:type="dxa"/>
          </w:tcPr>
          <w:p w14:paraId="0B62C357" w14:textId="77777777" w:rsidR="00297498" w:rsidRDefault="00297498" w:rsidP="00E66595">
            <w:r>
              <w:t>KCDM</w:t>
            </w:r>
          </w:p>
        </w:tc>
        <w:tc>
          <w:tcPr>
            <w:tcW w:w="1984" w:type="dxa"/>
          </w:tcPr>
          <w:p w14:paraId="66EC9368" w14:textId="77777777" w:rsidR="00297498" w:rsidRDefault="00297498" w:rsidP="00E66595">
            <w:r>
              <w:t>917 958</w:t>
            </w:r>
          </w:p>
        </w:tc>
        <w:tc>
          <w:tcPr>
            <w:tcW w:w="2693" w:type="dxa"/>
          </w:tcPr>
          <w:p w14:paraId="1CDFDC78" w14:textId="77777777" w:rsidR="00297498" w:rsidRDefault="00297498" w:rsidP="00E66595">
            <w:r>
              <w:t>14.7</w:t>
            </w:r>
          </w:p>
        </w:tc>
        <w:tc>
          <w:tcPr>
            <w:tcW w:w="2830" w:type="dxa"/>
          </w:tcPr>
          <w:p w14:paraId="53199958" w14:textId="77777777" w:rsidR="00297498" w:rsidRDefault="00297498" w:rsidP="00E66595">
            <w:r>
              <w:t>1</w:t>
            </w:r>
          </w:p>
        </w:tc>
      </w:tr>
      <w:tr w:rsidR="00297498" w14:paraId="70CE8973" w14:textId="77777777" w:rsidTr="00E66595">
        <w:tc>
          <w:tcPr>
            <w:tcW w:w="2122" w:type="dxa"/>
          </w:tcPr>
          <w:p w14:paraId="20861486" w14:textId="77777777" w:rsidR="00297498" w:rsidRDefault="00297498" w:rsidP="00E66595">
            <w:r>
              <w:t>UMFOLOZI</w:t>
            </w:r>
          </w:p>
        </w:tc>
        <w:tc>
          <w:tcPr>
            <w:tcW w:w="1984" w:type="dxa"/>
          </w:tcPr>
          <w:p w14:paraId="52CE1E4A" w14:textId="77777777" w:rsidR="00297498" w:rsidRDefault="00297498" w:rsidP="00E66595">
            <w:r>
              <w:t>128 241</w:t>
            </w:r>
          </w:p>
        </w:tc>
        <w:tc>
          <w:tcPr>
            <w:tcW w:w="2693" w:type="dxa"/>
          </w:tcPr>
          <w:p w14:paraId="486CCCE8" w14:textId="77777777" w:rsidR="00297498" w:rsidRDefault="00297498" w:rsidP="00E66595">
            <w:r>
              <w:t>15.4</w:t>
            </w:r>
          </w:p>
        </w:tc>
        <w:tc>
          <w:tcPr>
            <w:tcW w:w="2830" w:type="dxa"/>
          </w:tcPr>
          <w:p w14:paraId="10FDB9D3" w14:textId="77777777" w:rsidR="00297498" w:rsidRDefault="00297498" w:rsidP="00E66595">
            <w:r>
              <w:t>1.1</w:t>
            </w:r>
          </w:p>
        </w:tc>
      </w:tr>
      <w:tr w:rsidR="00297498" w14:paraId="78E7B4DB" w14:textId="77777777" w:rsidTr="00E66595">
        <w:tc>
          <w:tcPr>
            <w:tcW w:w="2122" w:type="dxa"/>
          </w:tcPr>
          <w:p w14:paraId="3E7BEAA7" w14:textId="77777777" w:rsidR="00297498" w:rsidRDefault="00297498" w:rsidP="00E66595">
            <w:r>
              <w:t>UMHLATHUZE</w:t>
            </w:r>
          </w:p>
        </w:tc>
        <w:tc>
          <w:tcPr>
            <w:tcW w:w="1984" w:type="dxa"/>
          </w:tcPr>
          <w:p w14:paraId="32E5D578" w14:textId="77777777" w:rsidR="00297498" w:rsidRDefault="00297498" w:rsidP="00E66595">
            <w:r>
              <w:t xml:space="preserve">347 429 </w:t>
            </w:r>
          </w:p>
        </w:tc>
        <w:tc>
          <w:tcPr>
            <w:tcW w:w="2693" w:type="dxa"/>
          </w:tcPr>
          <w:p w14:paraId="363B3D67" w14:textId="77777777" w:rsidR="00297498" w:rsidRDefault="00297498" w:rsidP="00E66595">
            <w:r>
              <w:t>15.8</w:t>
            </w:r>
          </w:p>
        </w:tc>
        <w:tc>
          <w:tcPr>
            <w:tcW w:w="2830" w:type="dxa"/>
          </w:tcPr>
          <w:p w14:paraId="19AF65F9" w14:textId="77777777" w:rsidR="00297498" w:rsidRDefault="00297498" w:rsidP="00E66595">
            <w:r>
              <w:t>1.1</w:t>
            </w:r>
          </w:p>
        </w:tc>
      </w:tr>
      <w:tr w:rsidR="00297498" w14:paraId="475C7174" w14:textId="77777777" w:rsidTr="00E66595">
        <w:tc>
          <w:tcPr>
            <w:tcW w:w="2122" w:type="dxa"/>
          </w:tcPr>
          <w:p w14:paraId="6C12269F" w14:textId="77777777" w:rsidR="00297498" w:rsidRDefault="00297498" w:rsidP="00E66595">
            <w:r>
              <w:t>UMLALAZI</w:t>
            </w:r>
          </w:p>
        </w:tc>
        <w:tc>
          <w:tcPr>
            <w:tcW w:w="1984" w:type="dxa"/>
          </w:tcPr>
          <w:p w14:paraId="0F60A5B7" w14:textId="77777777" w:rsidR="00297498" w:rsidRDefault="00297498" w:rsidP="00E66595">
            <w:r>
              <w:t>213 224</w:t>
            </w:r>
          </w:p>
        </w:tc>
        <w:tc>
          <w:tcPr>
            <w:tcW w:w="2693" w:type="dxa"/>
          </w:tcPr>
          <w:p w14:paraId="09C20C04" w14:textId="77777777" w:rsidR="00297498" w:rsidRDefault="00297498" w:rsidP="00E66595">
            <w:r>
              <w:t>13.8</w:t>
            </w:r>
          </w:p>
        </w:tc>
        <w:tc>
          <w:tcPr>
            <w:tcW w:w="2830" w:type="dxa"/>
          </w:tcPr>
          <w:p w14:paraId="7453A135" w14:textId="77777777" w:rsidR="00297498" w:rsidRDefault="00297498" w:rsidP="00E66595">
            <w:r>
              <w:t>0.9</w:t>
            </w:r>
          </w:p>
        </w:tc>
      </w:tr>
      <w:tr w:rsidR="00297498" w14:paraId="6E2D6EF2" w14:textId="77777777" w:rsidTr="00E66595">
        <w:tc>
          <w:tcPr>
            <w:tcW w:w="2122" w:type="dxa"/>
          </w:tcPr>
          <w:p w14:paraId="40794B14" w14:textId="77777777" w:rsidR="00297498" w:rsidRDefault="00297498" w:rsidP="00E66595">
            <w:r>
              <w:t>MTHONJANENI</w:t>
            </w:r>
          </w:p>
        </w:tc>
        <w:tc>
          <w:tcPr>
            <w:tcW w:w="1984" w:type="dxa"/>
          </w:tcPr>
          <w:p w14:paraId="0842133D" w14:textId="77777777" w:rsidR="00297498" w:rsidRDefault="00297498" w:rsidP="00E66595">
            <w:r>
              <w:t>47 320</w:t>
            </w:r>
          </w:p>
        </w:tc>
        <w:tc>
          <w:tcPr>
            <w:tcW w:w="2693" w:type="dxa"/>
          </w:tcPr>
          <w:p w14:paraId="69E8BDE2" w14:textId="77777777" w:rsidR="00297498" w:rsidRDefault="00297498" w:rsidP="00E66595">
            <w:r>
              <w:t>14.4</w:t>
            </w:r>
          </w:p>
        </w:tc>
        <w:tc>
          <w:tcPr>
            <w:tcW w:w="2830" w:type="dxa"/>
          </w:tcPr>
          <w:p w14:paraId="20C9862F" w14:textId="77777777" w:rsidR="00297498" w:rsidRDefault="00297498" w:rsidP="00E66595">
            <w:r>
              <w:t>1</w:t>
            </w:r>
          </w:p>
        </w:tc>
      </w:tr>
      <w:tr w:rsidR="00297498" w14:paraId="6157FD06" w14:textId="77777777" w:rsidTr="00E66595">
        <w:tc>
          <w:tcPr>
            <w:tcW w:w="2122" w:type="dxa"/>
          </w:tcPr>
          <w:p w14:paraId="60062AC1" w14:textId="77777777" w:rsidR="00297498" w:rsidRDefault="00297498" w:rsidP="00E66595">
            <w:r>
              <w:t>NKANDLA</w:t>
            </w:r>
          </w:p>
        </w:tc>
        <w:tc>
          <w:tcPr>
            <w:tcW w:w="1984" w:type="dxa"/>
          </w:tcPr>
          <w:p w14:paraId="67A31D3B" w14:textId="77777777" w:rsidR="00297498" w:rsidRDefault="00297498" w:rsidP="00E66595">
            <w:r>
              <w:t>110 084</w:t>
            </w:r>
          </w:p>
        </w:tc>
        <w:tc>
          <w:tcPr>
            <w:tcW w:w="2693" w:type="dxa"/>
          </w:tcPr>
          <w:p w14:paraId="77A54895" w14:textId="77777777" w:rsidR="00297498" w:rsidRDefault="00297498" w:rsidP="00E66595">
            <w:r>
              <w:t>13.2</w:t>
            </w:r>
          </w:p>
        </w:tc>
        <w:tc>
          <w:tcPr>
            <w:tcW w:w="2830" w:type="dxa"/>
          </w:tcPr>
          <w:p w14:paraId="1ADE6867" w14:textId="77777777" w:rsidR="00297498" w:rsidRDefault="00297498" w:rsidP="00E66595">
            <w:r>
              <w:t>0.9</w:t>
            </w:r>
          </w:p>
        </w:tc>
      </w:tr>
    </w:tbl>
    <w:p w14:paraId="0792C592" w14:textId="77777777" w:rsidR="001F33F5" w:rsidRPr="00A97C9B" w:rsidRDefault="00297498" w:rsidP="00297498">
      <w:pPr>
        <w:pStyle w:val="Caption"/>
        <w:sectPr w:rsidR="001F33F5" w:rsidRPr="00A97C9B" w:rsidSect="00685765">
          <w:type w:val="continuous"/>
          <w:pgSz w:w="11907" w:h="16839" w:code="9"/>
          <w:pgMar w:top="851" w:right="1134" w:bottom="851" w:left="1134" w:header="720" w:footer="720" w:gutter="0"/>
          <w:cols w:space="720"/>
          <w:docGrid w:linePitch="360"/>
        </w:sectPr>
      </w:pPr>
      <w:bookmarkStart w:id="442" w:name="_Toc510622314"/>
      <w:r>
        <w:t xml:space="preserve">Table </w:t>
      </w:r>
      <w:r w:rsidR="00B918A6">
        <w:fldChar w:fldCharType="begin"/>
      </w:r>
      <w:r w:rsidR="00B918A6">
        <w:instrText xml:space="preserve"> SEQ Table \* ARABIC </w:instrText>
      </w:r>
      <w:r w:rsidR="00B918A6">
        <w:fldChar w:fldCharType="separate"/>
      </w:r>
      <w:r w:rsidR="0067023A">
        <w:rPr>
          <w:noProof/>
        </w:rPr>
        <w:t>64</w:t>
      </w:r>
      <w:r w:rsidR="00B918A6">
        <w:rPr>
          <w:noProof/>
        </w:rPr>
        <w:fldChar w:fldCharType="end"/>
      </w:r>
      <w:r>
        <w:t xml:space="preserve">: </w:t>
      </w:r>
      <w:r w:rsidR="00A97C9B">
        <w:t>HIV Prevalence in KCDM (Global Insights 2015)</w:t>
      </w:r>
      <w:bookmarkEnd w:id="442"/>
    </w:p>
    <w:p w14:paraId="24B22538" w14:textId="6FB4EE62" w:rsidR="001F33F5" w:rsidRPr="003967FD" w:rsidRDefault="001F33F5" w:rsidP="001F33F5">
      <w:pPr>
        <w:tabs>
          <w:tab w:val="left" w:pos="877"/>
        </w:tabs>
        <w:spacing w:line="240" w:lineRule="auto"/>
        <w:jc w:val="both"/>
        <w:outlineLvl w:val="0"/>
        <w:rPr>
          <w:rFonts w:cs="Calibri"/>
          <w:b/>
          <w:bCs/>
          <w:szCs w:val="20"/>
        </w:rPr>
      </w:pPr>
      <w:bookmarkStart w:id="443" w:name="_Toc481468938"/>
      <w:r w:rsidRPr="003967FD">
        <w:rPr>
          <w:rFonts w:cs="Calibri"/>
          <w:b/>
          <w:bCs/>
          <w:szCs w:val="20"/>
        </w:rPr>
        <w:t xml:space="preserve">Map </w:t>
      </w:r>
      <w:r w:rsidRPr="003967FD">
        <w:rPr>
          <w:rFonts w:cs="Calibri"/>
          <w:b/>
          <w:bCs/>
          <w:szCs w:val="20"/>
        </w:rPr>
        <w:fldChar w:fldCharType="begin"/>
      </w:r>
      <w:r w:rsidRPr="003967FD">
        <w:rPr>
          <w:rFonts w:cs="Calibri"/>
          <w:b/>
          <w:bCs/>
          <w:szCs w:val="20"/>
        </w:rPr>
        <w:instrText xml:space="preserve"> SEQ Map \* ARABIC </w:instrText>
      </w:r>
      <w:r w:rsidRPr="003967FD">
        <w:rPr>
          <w:rFonts w:cs="Calibri"/>
          <w:b/>
          <w:bCs/>
          <w:szCs w:val="20"/>
        </w:rPr>
        <w:fldChar w:fldCharType="separate"/>
      </w:r>
      <w:r w:rsidR="0067023A">
        <w:rPr>
          <w:rFonts w:cs="Calibri"/>
          <w:b/>
          <w:bCs/>
          <w:noProof/>
          <w:szCs w:val="20"/>
        </w:rPr>
        <w:t>26</w:t>
      </w:r>
      <w:r w:rsidRPr="003967FD">
        <w:rPr>
          <w:rFonts w:cs="Calibri"/>
          <w:b/>
          <w:bCs/>
          <w:noProof/>
          <w:szCs w:val="20"/>
        </w:rPr>
        <w:fldChar w:fldCharType="end"/>
      </w:r>
      <w:r w:rsidRPr="003967FD">
        <w:rPr>
          <w:rFonts w:cs="Calibri"/>
          <w:b/>
          <w:bCs/>
          <w:szCs w:val="20"/>
        </w:rPr>
        <w:t>: Access to Health Facilities</w:t>
      </w:r>
      <w:bookmarkEnd w:id="443"/>
    </w:p>
    <w:p w14:paraId="614A8B24" w14:textId="77777777" w:rsidR="001F33F5" w:rsidRPr="001F33F5" w:rsidRDefault="001F33F5" w:rsidP="001F33F5">
      <w:r w:rsidRPr="001F33F5">
        <w:rPr>
          <w:noProof/>
        </w:rPr>
        <w:drawing>
          <wp:inline distT="0" distB="0" distL="0" distR="0" wp14:anchorId="77800316" wp14:editId="05036765">
            <wp:extent cx="9207796" cy="4777282"/>
            <wp:effectExtent l="0" t="0" r="0" b="444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9211945" cy="4779435"/>
                    </a:xfrm>
                    <a:prstGeom prst="rect">
                      <a:avLst/>
                    </a:prstGeom>
                    <a:noFill/>
                  </pic:spPr>
                </pic:pic>
              </a:graphicData>
            </a:graphic>
          </wp:inline>
        </w:drawing>
      </w:r>
    </w:p>
    <w:p w14:paraId="03C8CDF5" w14:textId="77777777" w:rsidR="001F33F5" w:rsidRPr="001F33F5" w:rsidRDefault="001F33F5" w:rsidP="001F33F5"/>
    <w:p w14:paraId="4991D65E" w14:textId="77777777" w:rsidR="001F33F5" w:rsidRPr="001F33F5" w:rsidRDefault="001F33F5" w:rsidP="001F33F5">
      <w:pPr>
        <w:sectPr w:rsidR="001F33F5" w:rsidRPr="001F33F5" w:rsidSect="00051141">
          <w:pgSz w:w="16839" w:h="11907" w:orient="landscape" w:code="9"/>
          <w:pgMar w:top="1134" w:right="851" w:bottom="1134" w:left="851" w:header="720" w:footer="720" w:gutter="0"/>
          <w:cols w:space="720"/>
          <w:docGrid w:linePitch="360"/>
        </w:sectPr>
      </w:pPr>
    </w:p>
    <w:p w14:paraId="7AD9ADFC" w14:textId="77777777" w:rsidR="001F33F5" w:rsidRPr="001F33F5" w:rsidRDefault="001F33F5" w:rsidP="001F33F5">
      <w:pPr>
        <w:sectPr w:rsidR="001F33F5" w:rsidRPr="001F33F5" w:rsidSect="00EA514F">
          <w:type w:val="continuous"/>
          <w:pgSz w:w="16839" w:h="11907" w:orient="landscape" w:code="9"/>
          <w:pgMar w:top="1134" w:right="851" w:bottom="1134" w:left="851" w:header="720" w:footer="720" w:gutter="0"/>
          <w:cols w:space="720"/>
          <w:docGrid w:linePitch="360"/>
        </w:sectPr>
      </w:pPr>
    </w:p>
    <w:p w14:paraId="0BF49496" w14:textId="77777777" w:rsidR="001F33F5" w:rsidRPr="00297498" w:rsidRDefault="001F33F5" w:rsidP="00750180">
      <w:pPr>
        <w:pStyle w:val="Heading3"/>
        <w:numPr>
          <w:ilvl w:val="2"/>
          <w:numId w:val="127"/>
        </w:numPr>
        <w:spacing w:after="240"/>
      </w:pPr>
      <w:bookmarkStart w:id="444" w:name="_Toc510706640"/>
      <w:r w:rsidRPr="00297498">
        <w:t>Education</w:t>
      </w:r>
      <w:bookmarkEnd w:id="444"/>
    </w:p>
    <w:p w14:paraId="40F4F1AB" w14:textId="03E7E5D7" w:rsidR="005A6072" w:rsidRDefault="00017204" w:rsidP="001F33F5">
      <w:pPr>
        <w:jc w:val="both"/>
      </w:pPr>
      <w:r>
        <w:t xml:space="preserve">The following table indicates statistics relating to school attendance within the population of uMlalazi LM. From the table below </w:t>
      </w:r>
      <w:r w:rsidR="005A6072">
        <w:t>it indicates that just about half of the population of uMlalazi has not completed matric (Std 10). Of this half that has completed matric, 45% are male and only 39% are female. School attendance by race indicates that Africans which have attended school account for 42% of the population</w:t>
      </w:r>
      <w:r w:rsidR="00765AEC">
        <w:t xml:space="preserve">, 18% are coloured, 29% </w:t>
      </w:r>
      <w:r w:rsidR="00554661">
        <w:t>are I</w:t>
      </w:r>
      <w:r w:rsidR="00765AEC">
        <w:t>ndian/Asian and 11% are the white population.</w:t>
      </w:r>
    </w:p>
    <w:tbl>
      <w:tblPr>
        <w:tblW w:w="9527" w:type="dxa"/>
        <w:tblLook w:val="04A0" w:firstRow="1" w:lastRow="0" w:firstColumn="1" w:lastColumn="0" w:noHBand="0" w:noVBand="1"/>
      </w:tblPr>
      <w:tblGrid>
        <w:gridCol w:w="4255"/>
        <w:gridCol w:w="3133"/>
        <w:gridCol w:w="1236"/>
        <w:gridCol w:w="903"/>
      </w:tblGrid>
      <w:tr w:rsidR="00017204" w:rsidRPr="00017204" w14:paraId="2EC90C0D" w14:textId="77777777" w:rsidTr="00017204">
        <w:trPr>
          <w:trHeight w:val="253"/>
        </w:trPr>
        <w:tc>
          <w:tcPr>
            <w:tcW w:w="0" w:type="auto"/>
            <w:tcBorders>
              <w:top w:val="single" w:sz="4" w:space="0" w:color="auto"/>
              <w:left w:val="single" w:sz="4" w:space="0" w:color="auto"/>
              <w:bottom w:val="single" w:sz="8" w:space="0" w:color="000000"/>
              <w:right w:val="single" w:sz="4" w:space="0" w:color="auto"/>
            </w:tcBorders>
            <w:shd w:val="clear" w:color="auto" w:fill="000000" w:themeFill="text1"/>
            <w:vAlign w:val="center"/>
          </w:tcPr>
          <w:p w14:paraId="0FE80949" w14:textId="77777777" w:rsidR="00017204" w:rsidRPr="00017204" w:rsidRDefault="00017204" w:rsidP="00017204">
            <w:pPr>
              <w:spacing w:after="0" w:line="240" w:lineRule="auto"/>
              <w:rPr>
                <w:b/>
              </w:rPr>
            </w:pPr>
            <w:r w:rsidRPr="00017204">
              <w:rPr>
                <w:b/>
              </w:rPr>
              <w:t>ISSUE</w:t>
            </w:r>
          </w:p>
        </w:tc>
        <w:tc>
          <w:tcPr>
            <w:tcW w:w="0" w:type="auto"/>
            <w:tcBorders>
              <w:top w:val="single" w:sz="4" w:space="0" w:color="auto"/>
              <w:left w:val="nil"/>
              <w:bottom w:val="single" w:sz="4" w:space="0" w:color="auto"/>
              <w:right w:val="single" w:sz="4" w:space="0" w:color="auto"/>
            </w:tcBorders>
            <w:shd w:val="clear" w:color="auto" w:fill="000000" w:themeFill="text1"/>
            <w:noWrap/>
            <w:vAlign w:val="bottom"/>
          </w:tcPr>
          <w:p w14:paraId="53B8F907" w14:textId="77777777" w:rsidR="00017204" w:rsidRPr="00017204" w:rsidRDefault="00017204" w:rsidP="00017204">
            <w:pPr>
              <w:spacing w:after="0" w:line="240" w:lineRule="auto"/>
              <w:rPr>
                <w:b/>
              </w:rPr>
            </w:pPr>
            <w:r w:rsidRPr="00017204">
              <w:rPr>
                <w:b/>
              </w:rPr>
              <w:t>INDICATOR</w:t>
            </w:r>
          </w:p>
        </w:tc>
        <w:tc>
          <w:tcPr>
            <w:tcW w:w="0" w:type="auto"/>
            <w:tcBorders>
              <w:top w:val="single" w:sz="4" w:space="0" w:color="auto"/>
              <w:left w:val="nil"/>
              <w:bottom w:val="single" w:sz="4" w:space="0" w:color="auto"/>
              <w:right w:val="single" w:sz="4" w:space="0" w:color="auto"/>
            </w:tcBorders>
            <w:shd w:val="clear" w:color="auto" w:fill="000000" w:themeFill="text1"/>
            <w:noWrap/>
            <w:vAlign w:val="bottom"/>
          </w:tcPr>
          <w:p w14:paraId="7A3674A1" w14:textId="77777777" w:rsidR="00017204" w:rsidRPr="00017204" w:rsidRDefault="00017204" w:rsidP="00017204">
            <w:pPr>
              <w:spacing w:after="0" w:line="240" w:lineRule="auto"/>
              <w:jc w:val="center"/>
              <w:rPr>
                <w:b/>
              </w:rPr>
            </w:pPr>
            <w:r w:rsidRPr="00017204">
              <w:rPr>
                <w:b/>
              </w:rPr>
              <w:t>NUMBER</w:t>
            </w:r>
          </w:p>
        </w:tc>
        <w:tc>
          <w:tcPr>
            <w:tcW w:w="0" w:type="auto"/>
            <w:tcBorders>
              <w:top w:val="single" w:sz="4" w:space="0" w:color="auto"/>
              <w:left w:val="nil"/>
              <w:bottom w:val="single" w:sz="4" w:space="0" w:color="auto"/>
              <w:right w:val="single" w:sz="4" w:space="0" w:color="auto"/>
            </w:tcBorders>
            <w:shd w:val="clear" w:color="auto" w:fill="000000" w:themeFill="text1"/>
            <w:noWrap/>
            <w:vAlign w:val="bottom"/>
          </w:tcPr>
          <w:p w14:paraId="162544B2" w14:textId="77777777" w:rsidR="00017204" w:rsidRPr="00017204" w:rsidRDefault="00017204" w:rsidP="00017204">
            <w:pPr>
              <w:spacing w:after="0" w:line="240" w:lineRule="auto"/>
              <w:jc w:val="center"/>
              <w:rPr>
                <w:b/>
              </w:rPr>
            </w:pPr>
            <w:r w:rsidRPr="00017204">
              <w:rPr>
                <w:b/>
              </w:rPr>
              <w:t>%</w:t>
            </w:r>
          </w:p>
        </w:tc>
      </w:tr>
      <w:tr w:rsidR="00017204" w:rsidRPr="00017204" w14:paraId="0FE83A55" w14:textId="77777777" w:rsidTr="00017204">
        <w:trPr>
          <w:trHeight w:val="253"/>
        </w:trPr>
        <w:tc>
          <w:tcPr>
            <w:tcW w:w="0" w:type="auto"/>
            <w:vMerge w:val="restart"/>
            <w:tcBorders>
              <w:top w:val="single" w:sz="4" w:space="0" w:color="auto"/>
              <w:left w:val="single" w:sz="4" w:space="0" w:color="auto"/>
              <w:bottom w:val="single" w:sz="8" w:space="0" w:color="000000"/>
              <w:right w:val="single" w:sz="4" w:space="0" w:color="auto"/>
            </w:tcBorders>
            <w:shd w:val="clear" w:color="auto" w:fill="C4BC96" w:themeFill="background2" w:themeFillShade="BF"/>
            <w:vAlign w:val="center"/>
            <w:hideMark/>
          </w:tcPr>
          <w:p w14:paraId="71E008B7" w14:textId="77777777" w:rsidR="00017204" w:rsidRPr="00017204" w:rsidRDefault="00017204" w:rsidP="00017204">
            <w:pPr>
              <w:spacing w:after="0" w:line="240" w:lineRule="auto"/>
            </w:pPr>
            <w:r w:rsidRPr="00017204">
              <w:t>Current school attendance</w:t>
            </w:r>
          </w:p>
        </w:tc>
        <w:tc>
          <w:tcPr>
            <w:tcW w:w="0" w:type="auto"/>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14:paraId="3ABB44F3" w14:textId="77777777" w:rsidR="00017204" w:rsidRPr="00017204" w:rsidRDefault="00017204" w:rsidP="00017204">
            <w:pPr>
              <w:spacing w:after="0" w:line="240" w:lineRule="auto"/>
            </w:pPr>
            <w:r w:rsidRPr="00017204">
              <w:t>Yes</w:t>
            </w:r>
          </w:p>
        </w:tc>
        <w:tc>
          <w:tcPr>
            <w:tcW w:w="0" w:type="auto"/>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14:paraId="3D50EA7B" w14:textId="77777777" w:rsidR="00017204" w:rsidRPr="00017204" w:rsidRDefault="00017204" w:rsidP="00017204">
            <w:pPr>
              <w:spacing w:after="0" w:line="240" w:lineRule="auto"/>
              <w:jc w:val="center"/>
            </w:pPr>
            <w:r w:rsidRPr="00017204">
              <w:t>93 857</w:t>
            </w:r>
          </w:p>
        </w:tc>
        <w:tc>
          <w:tcPr>
            <w:tcW w:w="0" w:type="auto"/>
            <w:tcBorders>
              <w:top w:val="single" w:sz="4" w:space="0" w:color="auto"/>
              <w:left w:val="nil"/>
              <w:bottom w:val="single" w:sz="4" w:space="0" w:color="auto"/>
              <w:right w:val="single" w:sz="4" w:space="0" w:color="auto"/>
            </w:tcBorders>
            <w:shd w:val="clear" w:color="auto" w:fill="C4BC96" w:themeFill="background2" w:themeFillShade="BF"/>
            <w:noWrap/>
            <w:vAlign w:val="bottom"/>
            <w:hideMark/>
          </w:tcPr>
          <w:p w14:paraId="6440401B" w14:textId="77777777" w:rsidR="00017204" w:rsidRPr="00017204" w:rsidRDefault="00017204" w:rsidP="00017204">
            <w:pPr>
              <w:spacing w:after="0" w:line="240" w:lineRule="auto"/>
              <w:jc w:val="center"/>
            </w:pPr>
            <w:r w:rsidRPr="00017204">
              <w:t>42%</w:t>
            </w:r>
          </w:p>
        </w:tc>
      </w:tr>
      <w:tr w:rsidR="00017204" w:rsidRPr="00017204" w14:paraId="5E00D9DC" w14:textId="77777777" w:rsidTr="00017204">
        <w:trPr>
          <w:trHeight w:val="253"/>
        </w:trPr>
        <w:tc>
          <w:tcPr>
            <w:tcW w:w="0" w:type="auto"/>
            <w:vMerge/>
            <w:tcBorders>
              <w:top w:val="single" w:sz="4" w:space="0" w:color="auto"/>
              <w:left w:val="single" w:sz="4" w:space="0" w:color="auto"/>
              <w:bottom w:val="single" w:sz="8" w:space="0" w:color="000000"/>
              <w:right w:val="single" w:sz="4" w:space="0" w:color="auto"/>
            </w:tcBorders>
            <w:shd w:val="clear" w:color="auto" w:fill="C4BC96" w:themeFill="background2" w:themeFillShade="BF"/>
            <w:vAlign w:val="center"/>
            <w:hideMark/>
          </w:tcPr>
          <w:p w14:paraId="5B127F48" w14:textId="77777777" w:rsidR="00017204" w:rsidRPr="00017204" w:rsidRDefault="00017204" w:rsidP="00017204">
            <w:pPr>
              <w:spacing w:after="0" w:line="240" w:lineRule="auto"/>
            </w:pPr>
          </w:p>
        </w:tc>
        <w:tc>
          <w:tcPr>
            <w:tcW w:w="0" w:type="auto"/>
            <w:tcBorders>
              <w:top w:val="nil"/>
              <w:left w:val="nil"/>
              <w:bottom w:val="single" w:sz="4" w:space="0" w:color="auto"/>
              <w:right w:val="single" w:sz="4" w:space="0" w:color="auto"/>
            </w:tcBorders>
            <w:shd w:val="clear" w:color="auto" w:fill="C4BC96" w:themeFill="background2" w:themeFillShade="BF"/>
            <w:noWrap/>
            <w:vAlign w:val="bottom"/>
            <w:hideMark/>
          </w:tcPr>
          <w:p w14:paraId="6FA9D408" w14:textId="77777777" w:rsidR="00017204" w:rsidRPr="00017204" w:rsidRDefault="00017204" w:rsidP="00017204">
            <w:pPr>
              <w:spacing w:after="0" w:line="240" w:lineRule="auto"/>
            </w:pPr>
            <w:r w:rsidRPr="00017204">
              <w:t xml:space="preserve">No </w:t>
            </w:r>
          </w:p>
        </w:tc>
        <w:tc>
          <w:tcPr>
            <w:tcW w:w="0" w:type="auto"/>
            <w:tcBorders>
              <w:top w:val="nil"/>
              <w:left w:val="nil"/>
              <w:bottom w:val="single" w:sz="4" w:space="0" w:color="auto"/>
              <w:right w:val="single" w:sz="4" w:space="0" w:color="auto"/>
            </w:tcBorders>
            <w:shd w:val="clear" w:color="auto" w:fill="C4BC96" w:themeFill="background2" w:themeFillShade="BF"/>
            <w:noWrap/>
            <w:vAlign w:val="bottom"/>
            <w:hideMark/>
          </w:tcPr>
          <w:p w14:paraId="61381FCE" w14:textId="77777777" w:rsidR="00017204" w:rsidRPr="00017204" w:rsidRDefault="00017204" w:rsidP="00017204">
            <w:pPr>
              <w:spacing w:after="0" w:line="240" w:lineRule="auto"/>
              <w:jc w:val="center"/>
            </w:pPr>
            <w:r w:rsidRPr="00017204">
              <w:t>129 241</w:t>
            </w:r>
          </w:p>
        </w:tc>
        <w:tc>
          <w:tcPr>
            <w:tcW w:w="0" w:type="auto"/>
            <w:tcBorders>
              <w:top w:val="nil"/>
              <w:left w:val="nil"/>
              <w:bottom w:val="single" w:sz="4" w:space="0" w:color="auto"/>
              <w:right w:val="single" w:sz="4" w:space="0" w:color="auto"/>
            </w:tcBorders>
            <w:shd w:val="clear" w:color="auto" w:fill="C4BC96" w:themeFill="background2" w:themeFillShade="BF"/>
            <w:noWrap/>
            <w:vAlign w:val="bottom"/>
            <w:hideMark/>
          </w:tcPr>
          <w:p w14:paraId="41290710" w14:textId="77777777" w:rsidR="00017204" w:rsidRPr="00017204" w:rsidRDefault="00017204" w:rsidP="00017204">
            <w:pPr>
              <w:spacing w:after="0" w:line="240" w:lineRule="auto"/>
              <w:jc w:val="center"/>
            </w:pPr>
            <w:r w:rsidRPr="00017204">
              <w:t>58%</w:t>
            </w:r>
          </w:p>
        </w:tc>
      </w:tr>
      <w:tr w:rsidR="00017204" w:rsidRPr="00017204" w14:paraId="0683439F" w14:textId="77777777" w:rsidTr="00017204">
        <w:trPr>
          <w:trHeight w:val="253"/>
        </w:trPr>
        <w:tc>
          <w:tcPr>
            <w:tcW w:w="0" w:type="auto"/>
            <w:vMerge/>
            <w:tcBorders>
              <w:top w:val="single" w:sz="4" w:space="0" w:color="auto"/>
              <w:left w:val="single" w:sz="4" w:space="0" w:color="auto"/>
              <w:bottom w:val="single" w:sz="8" w:space="0" w:color="000000"/>
              <w:right w:val="single" w:sz="4" w:space="0" w:color="auto"/>
            </w:tcBorders>
            <w:shd w:val="clear" w:color="auto" w:fill="C4BC96" w:themeFill="background2" w:themeFillShade="BF"/>
            <w:vAlign w:val="center"/>
            <w:hideMark/>
          </w:tcPr>
          <w:p w14:paraId="61B2C016" w14:textId="77777777" w:rsidR="00017204" w:rsidRPr="00017204" w:rsidRDefault="00017204" w:rsidP="00017204">
            <w:pPr>
              <w:spacing w:after="0" w:line="240" w:lineRule="auto"/>
            </w:pPr>
          </w:p>
        </w:tc>
        <w:tc>
          <w:tcPr>
            <w:tcW w:w="0" w:type="auto"/>
            <w:tcBorders>
              <w:top w:val="nil"/>
              <w:left w:val="nil"/>
              <w:bottom w:val="single" w:sz="4" w:space="0" w:color="auto"/>
              <w:right w:val="single" w:sz="4" w:space="0" w:color="auto"/>
            </w:tcBorders>
            <w:shd w:val="clear" w:color="auto" w:fill="C4BC96" w:themeFill="background2" w:themeFillShade="BF"/>
            <w:noWrap/>
            <w:vAlign w:val="bottom"/>
            <w:hideMark/>
          </w:tcPr>
          <w:p w14:paraId="217FECCD" w14:textId="77777777" w:rsidR="00017204" w:rsidRPr="00017204" w:rsidRDefault="00017204" w:rsidP="00017204">
            <w:pPr>
              <w:spacing w:after="0" w:line="240" w:lineRule="auto"/>
            </w:pPr>
            <w:r w:rsidRPr="00017204">
              <w:t>Don’t know</w:t>
            </w:r>
          </w:p>
        </w:tc>
        <w:tc>
          <w:tcPr>
            <w:tcW w:w="0" w:type="auto"/>
            <w:tcBorders>
              <w:top w:val="nil"/>
              <w:left w:val="nil"/>
              <w:bottom w:val="single" w:sz="4" w:space="0" w:color="auto"/>
              <w:right w:val="single" w:sz="4" w:space="0" w:color="auto"/>
            </w:tcBorders>
            <w:shd w:val="clear" w:color="auto" w:fill="C4BC96" w:themeFill="background2" w:themeFillShade="BF"/>
            <w:noWrap/>
            <w:vAlign w:val="bottom"/>
            <w:hideMark/>
          </w:tcPr>
          <w:p w14:paraId="43AC4206" w14:textId="77777777" w:rsidR="00017204" w:rsidRPr="00017204" w:rsidRDefault="00017204" w:rsidP="00017204">
            <w:pPr>
              <w:spacing w:after="0" w:line="240" w:lineRule="auto"/>
              <w:jc w:val="center"/>
            </w:pPr>
            <w:r w:rsidRPr="00017204">
              <w:t>42</w:t>
            </w:r>
          </w:p>
        </w:tc>
        <w:tc>
          <w:tcPr>
            <w:tcW w:w="0" w:type="auto"/>
            <w:tcBorders>
              <w:top w:val="nil"/>
              <w:left w:val="nil"/>
              <w:bottom w:val="single" w:sz="4" w:space="0" w:color="auto"/>
              <w:right w:val="single" w:sz="4" w:space="0" w:color="auto"/>
            </w:tcBorders>
            <w:shd w:val="clear" w:color="auto" w:fill="C4BC96" w:themeFill="background2" w:themeFillShade="BF"/>
            <w:noWrap/>
            <w:vAlign w:val="bottom"/>
            <w:hideMark/>
          </w:tcPr>
          <w:p w14:paraId="426DB9F2" w14:textId="77777777" w:rsidR="00017204" w:rsidRPr="00017204" w:rsidRDefault="00017204" w:rsidP="00017204">
            <w:pPr>
              <w:spacing w:after="0" w:line="240" w:lineRule="auto"/>
              <w:jc w:val="center"/>
            </w:pPr>
            <w:r w:rsidRPr="00017204">
              <w:t>0%</w:t>
            </w:r>
          </w:p>
        </w:tc>
      </w:tr>
      <w:tr w:rsidR="00017204" w:rsidRPr="00017204" w14:paraId="6378EC78" w14:textId="77777777" w:rsidTr="00017204">
        <w:trPr>
          <w:trHeight w:val="265"/>
        </w:trPr>
        <w:tc>
          <w:tcPr>
            <w:tcW w:w="0" w:type="auto"/>
            <w:vMerge/>
            <w:tcBorders>
              <w:top w:val="single" w:sz="4" w:space="0" w:color="auto"/>
              <w:left w:val="single" w:sz="4" w:space="0" w:color="auto"/>
              <w:bottom w:val="single" w:sz="8" w:space="0" w:color="000000"/>
              <w:right w:val="single" w:sz="4" w:space="0" w:color="auto"/>
            </w:tcBorders>
            <w:shd w:val="clear" w:color="auto" w:fill="C4BC96" w:themeFill="background2" w:themeFillShade="BF"/>
            <w:vAlign w:val="center"/>
            <w:hideMark/>
          </w:tcPr>
          <w:p w14:paraId="74C5E1E8" w14:textId="77777777" w:rsidR="00017204" w:rsidRPr="00017204" w:rsidRDefault="00017204" w:rsidP="00017204">
            <w:pPr>
              <w:spacing w:after="0" w:line="240" w:lineRule="auto"/>
            </w:pPr>
          </w:p>
        </w:tc>
        <w:tc>
          <w:tcPr>
            <w:tcW w:w="0" w:type="auto"/>
            <w:tcBorders>
              <w:top w:val="nil"/>
              <w:left w:val="nil"/>
              <w:bottom w:val="single" w:sz="8" w:space="0" w:color="auto"/>
              <w:right w:val="single" w:sz="4" w:space="0" w:color="auto"/>
            </w:tcBorders>
            <w:shd w:val="clear" w:color="auto" w:fill="C4BC96" w:themeFill="background2" w:themeFillShade="BF"/>
            <w:noWrap/>
            <w:vAlign w:val="bottom"/>
            <w:hideMark/>
          </w:tcPr>
          <w:p w14:paraId="6678757E" w14:textId="77777777" w:rsidR="00017204" w:rsidRPr="00017204" w:rsidRDefault="00017204" w:rsidP="00017204">
            <w:pPr>
              <w:spacing w:after="0" w:line="240" w:lineRule="auto"/>
            </w:pPr>
            <w:r w:rsidRPr="00017204">
              <w:t>Total</w:t>
            </w:r>
          </w:p>
        </w:tc>
        <w:tc>
          <w:tcPr>
            <w:tcW w:w="0" w:type="auto"/>
            <w:tcBorders>
              <w:top w:val="nil"/>
              <w:left w:val="nil"/>
              <w:bottom w:val="single" w:sz="8" w:space="0" w:color="auto"/>
              <w:right w:val="single" w:sz="4" w:space="0" w:color="auto"/>
            </w:tcBorders>
            <w:shd w:val="clear" w:color="auto" w:fill="C4BC96" w:themeFill="background2" w:themeFillShade="BF"/>
            <w:noWrap/>
            <w:vAlign w:val="bottom"/>
            <w:hideMark/>
          </w:tcPr>
          <w:p w14:paraId="3640587D" w14:textId="77777777" w:rsidR="00017204" w:rsidRPr="00017204" w:rsidRDefault="00017204" w:rsidP="00017204">
            <w:pPr>
              <w:spacing w:after="0" w:line="240" w:lineRule="auto"/>
              <w:jc w:val="center"/>
            </w:pPr>
            <w:r w:rsidRPr="00017204">
              <w:t>223 140</w:t>
            </w:r>
          </w:p>
        </w:tc>
        <w:tc>
          <w:tcPr>
            <w:tcW w:w="0" w:type="auto"/>
            <w:tcBorders>
              <w:top w:val="nil"/>
              <w:left w:val="nil"/>
              <w:bottom w:val="single" w:sz="8" w:space="0" w:color="auto"/>
              <w:right w:val="single" w:sz="4" w:space="0" w:color="auto"/>
            </w:tcBorders>
            <w:shd w:val="clear" w:color="auto" w:fill="C4BC96" w:themeFill="background2" w:themeFillShade="BF"/>
            <w:noWrap/>
            <w:vAlign w:val="bottom"/>
            <w:hideMark/>
          </w:tcPr>
          <w:p w14:paraId="5D8F7499" w14:textId="77777777" w:rsidR="00017204" w:rsidRPr="00017204" w:rsidRDefault="00017204" w:rsidP="00017204">
            <w:pPr>
              <w:spacing w:after="0" w:line="240" w:lineRule="auto"/>
              <w:jc w:val="center"/>
            </w:pPr>
            <w:r w:rsidRPr="00017204">
              <w:t>100%</w:t>
            </w:r>
          </w:p>
        </w:tc>
      </w:tr>
      <w:tr w:rsidR="00017204" w:rsidRPr="00017204" w14:paraId="2636A06C" w14:textId="77777777" w:rsidTr="00017204">
        <w:trPr>
          <w:trHeight w:val="253"/>
        </w:trPr>
        <w:tc>
          <w:tcPr>
            <w:tcW w:w="0" w:type="auto"/>
            <w:vMerge w:val="restart"/>
            <w:tcBorders>
              <w:top w:val="nil"/>
              <w:left w:val="single" w:sz="4" w:space="0" w:color="auto"/>
              <w:bottom w:val="single" w:sz="8" w:space="0" w:color="000000"/>
              <w:right w:val="single" w:sz="4" w:space="0" w:color="auto"/>
            </w:tcBorders>
            <w:shd w:val="clear" w:color="auto" w:fill="FBD4B4" w:themeFill="accent6" w:themeFillTint="66"/>
            <w:vAlign w:val="center"/>
            <w:hideMark/>
          </w:tcPr>
          <w:p w14:paraId="31149E19" w14:textId="77777777" w:rsidR="00017204" w:rsidRPr="00017204" w:rsidRDefault="00017204" w:rsidP="00017204">
            <w:pPr>
              <w:spacing w:after="0" w:line="240" w:lineRule="auto"/>
            </w:pPr>
            <w:r w:rsidRPr="00017204">
              <w:t>Current school attendance (by gender)</w:t>
            </w:r>
          </w:p>
        </w:tc>
        <w:tc>
          <w:tcPr>
            <w:tcW w:w="0" w:type="auto"/>
            <w:tcBorders>
              <w:top w:val="nil"/>
              <w:left w:val="nil"/>
              <w:bottom w:val="single" w:sz="4" w:space="0" w:color="auto"/>
              <w:right w:val="single" w:sz="4" w:space="0" w:color="auto"/>
            </w:tcBorders>
            <w:shd w:val="clear" w:color="auto" w:fill="FBD4B4" w:themeFill="accent6" w:themeFillTint="66"/>
            <w:noWrap/>
            <w:vAlign w:val="center"/>
            <w:hideMark/>
          </w:tcPr>
          <w:p w14:paraId="7F01EB23" w14:textId="77777777" w:rsidR="00017204" w:rsidRPr="00017204" w:rsidRDefault="00017204" w:rsidP="00017204">
            <w:pPr>
              <w:spacing w:after="0" w:line="240" w:lineRule="auto"/>
            </w:pPr>
            <w:r w:rsidRPr="00017204">
              <w:t>Yes (Male)</w:t>
            </w:r>
          </w:p>
        </w:tc>
        <w:tc>
          <w:tcPr>
            <w:tcW w:w="0" w:type="auto"/>
            <w:tcBorders>
              <w:top w:val="nil"/>
              <w:left w:val="nil"/>
              <w:bottom w:val="single" w:sz="4" w:space="0" w:color="auto"/>
              <w:right w:val="single" w:sz="4" w:space="0" w:color="auto"/>
            </w:tcBorders>
            <w:shd w:val="clear" w:color="auto" w:fill="FBD4B4" w:themeFill="accent6" w:themeFillTint="66"/>
            <w:noWrap/>
            <w:vAlign w:val="bottom"/>
            <w:hideMark/>
          </w:tcPr>
          <w:p w14:paraId="07A6978D" w14:textId="77777777" w:rsidR="00017204" w:rsidRPr="00017204" w:rsidRDefault="00017204" w:rsidP="00017204">
            <w:pPr>
              <w:spacing w:after="0" w:line="240" w:lineRule="auto"/>
              <w:jc w:val="center"/>
            </w:pPr>
            <w:r w:rsidRPr="00017204">
              <w:t>47 298</w:t>
            </w:r>
          </w:p>
        </w:tc>
        <w:tc>
          <w:tcPr>
            <w:tcW w:w="0" w:type="auto"/>
            <w:tcBorders>
              <w:top w:val="nil"/>
              <w:left w:val="nil"/>
              <w:bottom w:val="single" w:sz="4" w:space="0" w:color="auto"/>
              <w:right w:val="single" w:sz="4" w:space="0" w:color="auto"/>
            </w:tcBorders>
            <w:shd w:val="clear" w:color="auto" w:fill="FBD4B4" w:themeFill="accent6" w:themeFillTint="66"/>
            <w:noWrap/>
            <w:vAlign w:val="center"/>
            <w:hideMark/>
          </w:tcPr>
          <w:p w14:paraId="1D10BD30" w14:textId="77777777" w:rsidR="00017204" w:rsidRPr="00017204" w:rsidRDefault="00017204" w:rsidP="00017204">
            <w:pPr>
              <w:spacing w:after="0" w:line="240" w:lineRule="auto"/>
              <w:jc w:val="center"/>
            </w:pPr>
            <w:r w:rsidRPr="00017204">
              <w:t>45,6%</w:t>
            </w:r>
          </w:p>
        </w:tc>
      </w:tr>
      <w:tr w:rsidR="00017204" w:rsidRPr="00017204" w14:paraId="07CE9C67" w14:textId="77777777" w:rsidTr="00017204">
        <w:trPr>
          <w:trHeight w:val="253"/>
        </w:trPr>
        <w:tc>
          <w:tcPr>
            <w:tcW w:w="0" w:type="auto"/>
            <w:vMerge/>
            <w:tcBorders>
              <w:top w:val="nil"/>
              <w:left w:val="single" w:sz="4" w:space="0" w:color="auto"/>
              <w:bottom w:val="single" w:sz="8" w:space="0" w:color="000000"/>
              <w:right w:val="single" w:sz="4" w:space="0" w:color="auto"/>
            </w:tcBorders>
            <w:shd w:val="clear" w:color="auto" w:fill="FBD4B4" w:themeFill="accent6" w:themeFillTint="66"/>
            <w:vAlign w:val="center"/>
            <w:hideMark/>
          </w:tcPr>
          <w:p w14:paraId="18B51BBD" w14:textId="77777777" w:rsidR="00017204" w:rsidRPr="00017204" w:rsidRDefault="00017204" w:rsidP="00017204">
            <w:pPr>
              <w:spacing w:after="0" w:line="240" w:lineRule="auto"/>
            </w:pPr>
          </w:p>
        </w:tc>
        <w:tc>
          <w:tcPr>
            <w:tcW w:w="0" w:type="auto"/>
            <w:tcBorders>
              <w:top w:val="nil"/>
              <w:left w:val="nil"/>
              <w:bottom w:val="single" w:sz="4" w:space="0" w:color="auto"/>
              <w:right w:val="single" w:sz="4" w:space="0" w:color="auto"/>
            </w:tcBorders>
            <w:shd w:val="clear" w:color="auto" w:fill="FBD4B4" w:themeFill="accent6" w:themeFillTint="66"/>
            <w:noWrap/>
            <w:vAlign w:val="center"/>
            <w:hideMark/>
          </w:tcPr>
          <w:p w14:paraId="76F5E697" w14:textId="77777777" w:rsidR="00017204" w:rsidRPr="00017204" w:rsidRDefault="00017204" w:rsidP="00017204">
            <w:pPr>
              <w:spacing w:after="0" w:line="240" w:lineRule="auto"/>
            </w:pPr>
            <w:r w:rsidRPr="00017204">
              <w:t>No (Male)</w:t>
            </w:r>
          </w:p>
        </w:tc>
        <w:tc>
          <w:tcPr>
            <w:tcW w:w="0" w:type="auto"/>
            <w:tcBorders>
              <w:top w:val="nil"/>
              <w:left w:val="nil"/>
              <w:bottom w:val="single" w:sz="4" w:space="0" w:color="auto"/>
              <w:right w:val="single" w:sz="4" w:space="0" w:color="auto"/>
            </w:tcBorders>
            <w:shd w:val="clear" w:color="auto" w:fill="FBD4B4" w:themeFill="accent6" w:themeFillTint="66"/>
            <w:noWrap/>
            <w:vAlign w:val="bottom"/>
            <w:hideMark/>
          </w:tcPr>
          <w:p w14:paraId="529C3341" w14:textId="77777777" w:rsidR="00017204" w:rsidRPr="00017204" w:rsidRDefault="00017204" w:rsidP="00017204">
            <w:pPr>
              <w:spacing w:after="0" w:line="240" w:lineRule="auto"/>
              <w:jc w:val="center"/>
            </w:pPr>
            <w:r w:rsidRPr="00017204">
              <w:t>56 434</w:t>
            </w:r>
          </w:p>
        </w:tc>
        <w:tc>
          <w:tcPr>
            <w:tcW w:w="0" w:type="auto"/>
            <w:tcBorders>
              <w:top w:val="nil"/>
              <w:left w:val="nil"/>
              <w:bottom w:val="single" w:sz="4" w:space="0" w:color="auto"/>
              <w:right w:val="single" w:sz="4" w:space="0" w:color="auto"/>
            </w:tcBorders>
            <w:shd w:val="clear" w:color="auto" w:fill="FBD4B4" w:themeFill="accent6" w:themeFillTint="66"/>
            <w:noWrap/>
            <w:vAlign w:val="center"/>
            <w:hideMark/>
          </w:tcPr>
          <w:p w14:paraId="4D671CF4" w14:textId="77777777" w:rsidR="00017204" w:rsidRPr="00017204" w:rsidRDefault="00017204" w:rsidP="00017204">
            <w:pPr>
              <w:spacing w:after="0" w:line="240" w:lineRule="auto"/>
              <w:jc w:val="center"/>
            </w:pPr>
            <w:r w:rsidRPr="00017204">
              <w:t>54,4%</w:t>
            </w:r>
          </w:p>
        </w:tc>
      </w:tr>
      <w:tr w:rsidR="00017204" w:rsidRPr="00017204" w14:paraId="28483E7C" w14:textId="77777777" w:rsidTr="00017204">
        <w:trPr>
          <w:trHeight w:val="253"/>
        </w:trPr>
        <w:tc>
          <w:tcPr>
            <w:tcW w:w="0" w:type="auto"/>
            <w:vMerge/>
            <w:tcBorders>
              <w:top w:val="nil"/>
              <w:left w:val="single" w:sz="4" w:space="0" w:color="auto"/>
              <w:bottom w:val="single" w:sz="8" w:space="0" w:color="000000"/>
              <w:right w:val="single" w:sz="4" w:space="0" w:color="auto"/>
            </w:tcBorders>
            <w:shd w:val="clear" w:color="auto" w:fill="FBD4B4" w:themeFill="accent6" w:themeFillTint="66"/>
            <w:vAlign w:val="center"/>
            <w:hideMark/>
          </w:tcPr>
          <w:p w14:paraId="1C52D424" w14:textId="77777777" w:rsidR="00017204" w:rsidRPr="00017204" w:rsidRDefault="00017204" w:rsidP="00017204">
            <w:pPr>
              <w:spacing w:after="0" w:line="240" w:lineRule="auto"/>
            </w:pPr>
          </w:p>
        </w:tc>
        <w:tc>
          <w:tcPr>
            <w:tcW w:w="0" w:type="auto"/>
            <w:tcBorders>
              <w:top w:val="nil"/>
              <w:left w:val="nil"/>
              <w:bottom w:val="single" w:sz="4" w:space="0" w:color="auto"/>
              <w:right w:val="single" w:sz="4" w:space="0" w:color="auto"/>
            </w:tcBorders>
            <w:shd w:val="clear" w:color="auto" w:fill="FBD4B4" w:themeFill="accent6" w:themeFillTint="66"/>
            <w:noWrap/>
            <w:vAlign w:val="center"/>
            <w:hideMark/>
          </w:tcPr>
          <w:p w14:paraId="30A12FD0" w14:textId="77777777" w:rsidR="00017204" w:rsidRPr="00017204" w:rsidRDefault="00017204" w:rsidP="00017204">
            <w:pPr>
              <w:spacing w:after="0" w:line="240" w:lineRule="auto"/>
            </w:pPr>
            <w:r w:rsidRPr="00017204">
              <w:t>Do not know (Male)</w:t>
            </w:r>
          </w:p>
        </w:tc>
        <w:tc>
          <w:tcPr>
            <w:tcW w:w="0" w:type="auto"/>
            <w:tcBorders>
              <w:top w:val="nil"/>
              <w:left w:val="nil"/>
              <w:bottom w:val="single" w:sz="4" w:space="0" w:color="auto"/>
              <w:right w:val="single" w:sz="4" w:space="0" w:color="auto"/>
            </w:tcBorders>
            <w:shd w:val="clear" w:color="auto" w:fill="FBD4B4" w:themeFill="accent6" w:themeFillTint="66"/>
            <w:noWrap/>
            <w:vAlign w:val="bottom"/>
            <w:hideMark/>
          </w:tcPr>
          <w:p w14:paraId="32B40406" w14:textId="77777777" w:rsidR="00017204" w:rsidRPr="00017204" w:rsidRDefault="00017204" w:rsidP="00017204">
            <w:pPr>
              <w:spacing w:after="0" w:line="240" w:lineRule="auto"/>
              <w:jc w:val="center"/>
            </w:pPr>
            <w:r w:rsidRPr="00017204">
              <w:t>42</w:t>
            </w:r>
          </w:p>
        </w:tc>
        <w:tc>
          <w:tcPr>
            <w:tcW w:w="0" w:type="auto"/>
            <w:tcBorders>
              <w:top w:val="nil"/>
              <w:left w:val="nil"/>
              <w:bottom w:val="single" w:sz="4" w:space="0" w:color="auto"/>
              <w:right w:val="single" w:sz="4" w:space="0" w:color="auto"/>
            </w:tcBorders>
            <w:shd w:val="clear" w:color="auto" w:fill="FBD4B4" w:themeFill="accent6" w:themeFillTint="66"/>
            <w:noWrap/>
            <w:vAlign w:val="center"/>
            <w:hideMark/>
          </w:tcPr>
          <w:p w14:paraId="3F0B1C44" w14:textId="77777777" w:rsidR="00017204" w:rsidRPr="00017204" w:rsidRDefault="00017204" w:rsidP="00017204">
            <w:pPr>
              <w:spacing w:after="0" w:line="240" w:lineRule="auto"/>
              <w:jc w:val="center"/>
            </w:pPr>
            <w:r w:rsidRPr="00017204">
              <w:t>0,0%</w:t>
            </w:r>
          </w:p>
        </w:tc>
      </w:tr>
      <w:tr w:rsidR="00017204" w:rsidRPr="00017204" w14:paraId="765CA5A9" w14:textId="77777777" w:rsidTr="00017204">
        <w:trPr>
          <w:trHeight w:val="253"/>
        </w:trPr>
        <w:tc>
          <w:tcPr>
            <w:tcW w:w="0" w:type="auto"/>
            <w:vMerge/>
            <w:tcBorders>
              <w:top w:val="nil"/>
              <w:left w:val="single" w:sz="4" w:space="0" w:color="auto"/>
              <w:bottom w:val="single" w:sz="8" w:space="0" w:color="000000"/>
              <w:right w:val="single" w:sz="4" w:space="0" w:color="auto"/>
            </w:tcBorders>
            <w:shd w:val="clear" w:color="auto" w:fill="FBD4B4" w:themeFill="accent6" w:themeFillTint="66"/>
            <w:vAlign w:val="center"/>
            <w:hideMark/>
          </w:tcPr>
          <w:p w14:paraId="7691F675" w14:textId="77777777" w:rsidR="00017204" w:rsidRPr="00017204" w:rsidRDefault="00017204" w:rsidP="00017204">
            <w:pPr>
              <w:spacing w:after="0" w:line="240" w:lineRule="auto"/>
            </w:pPr>
          </w:p>
        </w:tc>
        <w:tc>
          <w:tcPr>
            <w:tcW w:w="0" w:type="auto"/>
            <w:tcBorders>
              <w:top w:val="nil"/>
              <w:left w:val="nil"/>
              <w:bottom w:val="single" w:sz="4" w:space="0" w:color="auto"/>
              <w:right w:val="single" w:sz="4" w:space="0" w:color="auto"/>
            </w:tcBorders>
            <w:shd w:val="clear" w:color="auto" w:fill="FBD4B4" w:themeFill="accent6" w:themeFillTint="66"/>
            <w:noWrap/>
            <w:vAlign w:val="center"/>
            <w:hideMark/>
          </w:tcPr>
          <w:p w14:paraId="58A8D76B" w14:textId="77777777" w:rsidR="00017204" w:rsidRPr="00017204" w:rsidRDefault="00017204" w:rsidP="00017204">
            <w:pPr>
              <w:spacing w:after="0" w:line="240" w:lineRule="auto"/>
            </w:pPr>
            <w:r w:rsidRPr="00017204">
              <w:t>Yes (Female)</w:t>
            </w:r>
          </w:p>
        </w:tc>
        <w:tc>
          <w:tcPr>
            <w:tcW w:w="0" w:type="auto"/>
            <w:tcBorders>
              <w:top w:val="nil"/>
              <w:left w:val="nil"/>
              <w:bottom w:val="single" w:sz="4" w:space="0" w:color="auto"/>
              <w:right w:val="single" w:sz="4" w:space="0" w:color="auto"/>
            </w:tcBorders>
            <w:shd w:val="clear" w:color="auto" w:fill="FBD4B4" w:themeFill="accent6" w:themeFillTint="66"/>
            <w:noWrap/>
            <w:vAlign w:val="bottom"/>
            <w:hideMark/>
          </w:tcPr>
          <w:p w14:paraId="605D19E2" w14:textId="77777777" w:rsidR="00017204" w:rsidRPr="00017204" w:rsidRDefault="00017204" w:rsidP="00017204">
            <w:pPr>
              <w:spacing w:after="0" w:line="240" w:lineRule="auto"/>
              <w:jc w:val="center"/>
            </w:pPr>
            <w:r w:rsidRPr="00017204">
              <w:t>46 559</w:t>
            </w:r>
          </w:p>
        </w:tc>
        <w:tc>
          <w:tcPr>
            <w:tcW w:w="0" w:type="auto"/>
            <w:tcBorders>
              <w:top w:val="nil"/>
              <w:left w:val="nil"/>
              <w:bottom w:val="single" w:sz="4" w:space="0" w:color="auto"/>
              <w:right w:val="single" w:sz="4" w:space="0" w:color="auto"/>
            </w:tcBorders>
            <w:shd w:val="clear" w:color="auto" w:fill="FBD4B4" w:themeFill="accent6" w:themeFillTint="66"/>
            <w:noWrap/>
            <w:vAlign w:val="center"/>
            <w:hideMark/>
          </w:tcPr>
          <w:p w14:paraId="6EB6D029" w14:textId="77777777" w:rsidR="00017204" w:rsidRPr="00017204" w:rsidRDefault="00017204" w:rsidP="00017204">
            <w:pPr>
              <w:spacing w:after="0" w:line="240" w:lineRule="auto"/>
              <w:jc w:val="center"/>
            </w:pPr>
            <w:r w:rsidRPr="00017204">
              <w:t>39,0%</w:t>
            </w:r>
          </w:p>
        </w:tc>
      </w:tr>
      <w:tr w:rsidR="00017204" w:rsidRPr="00017204" w14:paraId="3DCF49FF" w14:textId="77777777" w:rsidTr="00017204">
        <w:trPr>
          <w:trHeight w:val="253"/>
        </w:trPr>
        <w:tc>
          <w:tcPr>
            <w:tcW w:w="0" w:type="auto"/>
            <w:vMerge/>
            <w:tcBorders>
              <w:top w:val="nil"/>
              <w:left w:val="single" w:sz="4" w:space="0" w:color="auto"/>
              <w:bottom w:val="single" w:sz="8" w:space="0" w:color="000000"/>
              <w:right w:val="single" w:sz="4" w:space="0" w:color="auto"/>
            </w:tcBorders>
            <w:shd w:val="clear" w:color="auto" w:fill="FBD4B4" w:themeFill="accent6" w:themeFillTint="66"/>
            <w:vAlign w:val="center"/>
            <w:hideMark/>
          </w:tcPr>
          <w:p w14:paraId="5B4C2C78" w14:textId="77777777" w:rsidR="00017204" w:rsidRPr="00017204" w:rsidRDefault="00017204" w:rsidP="00017204">
            <w:pPr>
              <w:spacing w:after="0" w:line="240" w:lineRule="auto"/>
            </w:pPr>
          </w:p>
        </w:tc>
        <w:tc>
          <w:tcPr>
            <w:tcW w:w="0" w:type="auto"/>
            <w:tcBorders>
              <w:top w:val="nil"/>
              <w:left w:val="nil"/>
              <w:bottom w:val="single" w:sz="4" w:space="0" w:color="auto"/>
              <w:right w:val="single" w:sz="4" w:space="0" w:color="auto"/>
            </w:tcBorders>
            <w:shd w:val="clear" w:color="auto" w:fill="FBD4B4" w:themeFill="accent6" w:themeFillTint="66"/>
            <w:noWrap/>
            <w:vAlign w:val="center"/>
            <w:hideMark/>
          </w:tcPr>
          <w:p w14:paraId="1452DCFA" w14:textId="77777777" w:rsidR="00017204" w:rsidRPr="00017204" w:rsidRDefault="00017204" w:rsidP="00017204">
            <w:pPr>
              <w:spacing w:after="0" w:line="240" w:lineRule="auto"/>
            </w:pPr>
            <w:r w:rsidRPr="00017204">
              <w:t>No (Female)</w:t>
            </w:r>
          </w:p>
        </w:tc>
        <w:tc>
          <w:tcPr>
            <w:tcW w:w="0" w:type="auto"/>
            <w:tcBorders>
              <w:top w:val="nil"/>
              <w:left w:val="nil"/>
              <w:bottom w:val="single" w:sz="4" w:space="0" w:color="auto"/>
              <w:right w:val="single" w:sz="4" w:space="0" w:color="auto"/>
            </w:tcBorders>
            <w:shd w:val="clear" w:color="auto" w:fill="FBD4B4" w:themeFill="accent6" w:themeFillTint="66"/>
            <w:noWrap/>
            <w:vAlign w:val="bottom"/>
            <w:hideMark/>
          </w:tcPr>
          <w:p w14:paraId="49F40D14" w14:textId="77777777" w:rsidR="00017204" w:rsidRPr="00017204" w:rsidRDefault="00017204" w:rsidP="00017204">
            <w:pPr>
              <w:spacing w:after="0" w:line="240" w:lineRule="auto"/>
              <w:jc w:val="center"/>
            </w:pPr>
            <w:r w:rsidRPr="00017204">
              <w:t>72 808</w:t>
            </w:r>
          </w:p>
        </w:tc>
        <w:tc>
          <w:tcPr>
            <w:tcW w:w="0" w:type="auto"/>
            <w:tcBorders>
              <w:top w:val="nil"/>
              <w:left w:val="nil"/>
              <w:bottom w:val="single" w:sz="4" w:space="0" w:color="auto"/>
              <w:right w:val="single" w:sz="4" w:space="0" w:color="auto"/>
            </w:tcBorders>
            <w:shd w:val="clear" w:color="auto" w:fill="FBD4B4" w:themeFill="accent6" w:themeFillTint="66"/>
            <w:noWrap/>
            <w:vAlign w:val="center"/>
            <w:hideMark/>
          </w:tcPr>
          <w:p w14:paraId="32A6A330" w14:textId="77777777" w:rsidR="00017204" w:rsidRPr="00017204" w:rsidRDefault="00017204" w:rsidP="00017204">
            <w:pPr>
              <w:spacing w:after="0" w:line="240" w:lineRule="auto"/>
              <w:jc w:val="center"/>
            </w:pPr>
            <w:r w:rsidRPr="00017204">
              <w:t>61,0%</w:t>
            </w:r>
          </w:p>
        </w:tc>
      </w:tr>
      <w:tr w:rsidR="00017204" w:rsidRPr="00017204" w14:paraId="7F4F6018" w14:textId="77777777" w:rsidTr="00017204">
        <w:trPr>
          <w:trHeight w:val="265"/>
        </w:trPr>
        <w:tc>
          <w:tcPr>
            <w:tcW w:w="0" w:type="auto"/>
            <w:vMerge/>
            <w:tcBorders>
              <w:top w:val="nil"/>
              <w:left w:val="single" w:sz="4" w:space="0" w:color="auto"/>
              <w:bottom w:val="single" w:sz="8" w:space="0" w:color="000000"/>
              <w:right w:val="single" w:sz="4" w:space="0" w:color="auto"/>
            </w:tcBorders>
            <w:shd w:val="clear" w:color="auto" w:fill="FBD4B4" w:themeFill="accent6" w:themeFillTint="66"/>
            <w:vAlign w:val="center"/>
            <w:hideMark/>
          </w:tcPr>
          <w:p w14:paraId="54568225" w14:textId="77777777" w:rsidR="00017204" w:rsidRPr="00017204" w:rsidRDefault="00017204" w:rsidP="00017204">
            <w:pPr>
              <w:spacing w:after="0" w:line="240" w:lineRule="auto"/>
            </w:pPr>
          </w:p>
        </w:tc>
        <w:tc>
          <w:tcPr>
            <w:tcW w:w="0" w:type="auto"/>
            <w:tcBorders>
              <w:top w:val="nil"/>
              <w:left w:val="nil"/>
              <w:bottom w:val="single" w:sz="8" w:space="0" w:color="auto"/>
              <w:right w:val="single" w:sz="4" w:space="0" w:color="auto"/>
            </w:tcBorders>
            <w:shd w:val="clear" w:color="auto" w:fill="FBD4B4" w:themeFill="accent6" w:themeFillTint="66"/>
            <w:noWrap/>
            <w:vAlign w:val="center"/>
            <w:hideMark/>
          </w:tcPr>
          <w:p w14:paraId="15CB9C5C" w14:textId="77777777" w:rsidR="00017204" w:rsidRPr="00017204" w:rsidRDefault="00017204" w:rsidP="00017204">
            <w:pPr>
              <w:spacing w:after="0" w:line="240" w:lineRule="auto"/>
            </w:pPr>
            <w:r w:rsidRPr="00017204">
              <w:t>Do not know (Female)</w:t>
            </w:r>
          </w:p>
        </w:tc>
        <w:tc>
          <w:tcPr>
            <w:tcW w:w="0" w:type="auto"/>
            <w:tcBorders>
              <w:top w:val="nil"/>
              <w:left w:val="nil"/>
              <w:bottom w:val="single" w:sz="8" w:space="0" w:color="auto"/>
              <w:right w:val="single" w:sz="4" w:space="0" w:color="auto"/>
            </w:tcBorders>
            <w:shd w:val="clear" w:color="auto" w:fill="FBD4B4" w:themeFill="accent6" w:themeFillTint="66"/>
            <w:noWrap/>
            <w:vAlign w:val="bottom"/>
            <w:hideMark/>
          </w:tcPr>
          <w:p w14:paraId="3F3A43DF" w14:textId="77777777" w:rsidR="00017204" w:rsidRPr="00017204" w:rsidRDefault="00017204" w:rsidP="00017204">
            <w:pPr>
              <w:spacing w:after="0" w:line="240" w:lineRule="auto"/>
              <w:jc w:val="center"/>
            </w:pPr>
            <w:r w:rsidRPr="00017204">
              <w:t>0</w:t>
            </w:r>
          </w:p>
        </w:tc>
        <w:tc>
          <w:tcPr>
            <w:tcW w:w="0" w:type="auto"/>
            <w:tcBorders>
              <w:top w:val="nil"/>
              <w:left w:val="nil"/>
              <w:bottom w:val="single" w:sz="8" w:space="0" w:color="auto"/>
              <w:right w:val="single" w:sz="4" w:space="0" w:color="auto"/>
            </w:tcBorders>
            <w:shd w:val="clear" w:color="auto" w:fill="FBD4B4" w:themeFill="accent6" w:themeFillTint="66"/>
            <w:noWrap/>
            <w:vAlign w:val="center"/>
            <w:hideMark/>
          </w:tcPr>
          <w:p w14:paraId="394AA2AC" w14:textId="77777777" w:rsidR="00017204" w:rsidRPr="00017204" w:rsidRDefault="00017204" w:rsidP="00017204">
            <w:pPr>
              <w:spacing w:after="0" w:line="240" w:lineRule="auto"/>
              <w:jc w:val="center"/>
            </w:pPr>
            <w:r w:rsidRPr="00017204">
              <w:t>0,0%</w:t>
            </w:r>
          </w:p>
        </w:tc>
      </w:tr>
      <w:tr w:rsidR="00017204" w:rsidRPr="00017204" w14:paraId="636D8FBA" w14:textId="77777777" w:rsidTr="00017204">
        <w:trPr>
          <w:trHeight w:val="253"/>
        </w:trPr>
        <w:tc>
          <w:tcPr>
            <w:tcW w:w="0" w:type="auto"/>
            <w:vMerge w:val="restart"/>
            <w:tcBorders>
              <w:top w:val="nil"/>
              <w:left w:val="single" w:sz="4" w:space="0" w:color="auto"/>
              <w:bottom w:val="single" w:sz="4" w:space="0" w:color="000000"/>
              <w:right w:val="single" w:sz="4" w:space="0" w:color="auto"/>
            </w:tcBorders>
            <w:shd w:val="clear" w:color="auto" w:fill="DBE5F1" w:themeFill="accent1" w:themeFillTint="33"/>
            <w:vAlign w:val="center"/>
            <w:hideMark/>
          </w:tcPr>
          <w:p w14:paraId="23268117" w14:textId="77777777" w:rsidR="006F7B57" w:rsidRDefault="00017204" w:rsidP="00017204">
            <w:pPr>
              <w:spacing w:after="0" w:line="240" w:lineRule="auto"/>
            </w:pPr>
            <w:r w:rsidRPr="00017204">
              <w:t>Current school attendance (by race)</w:t>
            </w:r>
          </w:p>
          <w:p w14:paraId="17331950" w14:textId="77777777" w:rsidR="006F7B57" w:rsidRPr="006F7B57" w:rsidRDefault="006F7B57" w:rsidP="006F7B57"/>
          <w:p w14:paraId="1E5ED041" w14:textId="77777777" w:rsidR="006F7B57" w:rsidRDefault="006F7B57" w:rsidP="006F7B57"/>
          <w:p w14:paraId="36681E50" w14:textId="77777777" w:rsidR="006F7B57" w:rsidRDefault="006F7B57" w:rsidP="006F7B57"/>
          <w:p w14:paraId="535FAE97" w14:textId="77777777" w:rsidR="006F7B57" w:rsidRDefault="006F7B57" w:rsidP="006F7B57"/>
          <w:p w14:paraId="18B9B44B" w14:textId="77777777" w:rsidR="00017204" w:rsidRPr="006F7B57" w:rsidRDefault="00017204" w:rsidP="006F7B57"/>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27466821" w14:textId="77777777" w:rsidR="00017204" w:rsidRPr="00017204" w:rsidRDefault="00017204" w:rsidP="00017204">
            <w:pPr>
              <w:spacing w:after="0" w:line="240" w:lineRule="auto"/>
            </w:pPr>
            <w:r w:rsidRPr="00017204">
              <w:t>Yes (Black African)</w:t>
            </w: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53158D62" w14:textId="77777777" w:rsidR="00017204" w:rsidRPr="00017204" w:rsidRDefault="00017204" w:rsidP="00017204">
            <w:pPr>
              <w:spacing w:after="0" w:line="240" w:lineRule="auto"/>
              <w:jc w:val="center"/>
            </w:pPr>
            <w:r w:rsidRPr="00017204">
              <w:t>92 722</w:t>
            </w:r>
          </w:p>
        </w:tc>
        <w:tc>
          <w:tcPr>
            <w:tcW w:w="0" w:type="auto"/>
            <w:tcBorders>
              <w:top w:val="nil"/>
              <w:left w:val="nil"/>
              <w:bottom w:val="single" w:sz="4" w:space="0" w:color="auto"/>
              <w:right w:val="single" w:sz="4" w:space="0" w:color="auto"/>
            </w:tcBorders>
            <w:shd w:val="clear" w:color="auto" w:fill="DBE5F1" w:themeFill="accent1" w:themeFillTint="33"/>
            <w:noWrap/>
            <w:vAlign w:val="center"/>
            <w:hideMark/>
          </w:tcPr>
          <w:p w14:paraId="7CDDC8CE" w14:textId="77777777" w:rsidR="00017204" w:rsidRPr="00017204" w:rsidRDefault="00017204" w:rsidP="00017204">
            <w:pPr>
              <w:spacing w:after="0" w:line="240" w:lineRule="auto"/>
              <w:jc w:val="center"/>
            </w:pPr>
            <w:r w:rsidRPr="00017204">
              <w:t>42,7%</w:t>
            </w:r>
          </w:p>
        </w:tc>
      </w:tr>
      <w:tr w:rsidR="00017204" w:rsidRPr="00017204" w14:paraId="5D3D4D8F" w14:textId="77777777" w:rsidTr="00017204">
        <w:trPr>
          <w:trHeight w:val="253"/>
        </w:trPr>
        <w:tc>
          <w:tcPr>
            <w:tcW w:w="0" w:type="auto"/>
            <w:vMerge/>
            <w:tcBorders>
              <w:top w:val="nil"/>
              <w:left w:val="single" w:sz="4" w:space="0" w:color="auto"/>
              <w:bottom w:val="single" w:sz="4" w:space="0" w:color="000000"/>
              <w:right w:val="single" w:sz="4" w:space="0" w:color="auto"/>
            </w:tcBorders>
            <w:shd w:val="clear" w:color="auto" w:fill="DBE5F1" w:themeFill="accent1" w:themeFillTint="33"/>
            <w:vAlign w:val="center"/>
            <w:hideMark/>
          </w:tcPr>
          <w:p w14:paraId="7D2FCD60" w14:textId="77777777" w:rsidR="00017204" w:rsidRPr="00017204" w:rsidRDefault="00017204" w:rsidP="00017204">
            <w:pPr>
              <w:spacing w:after="0" w:line="240" w:lineRule="auto"/>
            </w:pP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2DE6D0EA" w14:textId="77777777" w:rsidR="00017204" w:rsidRPr="00017204" w:rsidRDefault="00017204" w:rsidP="00017204">
            <w:pPr>
              <w:spacing w:after="0" w:line="240" w:lineRule="auto"/>
            </w:pPr>
            <w:r w:rsidRPr="00017204">
              <w:t>No (Black African)</w:t>
            </w: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0AE9705C" w14:textId="77777777" w:rsidR="00017204" w:rsidRPr="00017204" w:rsidRDefault="00017204" w:rsidP="00017204">
            <w:pPr>
              <w:spacing w:after="0" w:line="240" w:lineRule="auto"/>
              <w:jc w:val="center"/>
            </w:pPr>
            <w:r w:rsidRPr="00017204">
              <w:t>124 439</w:t>
            </w:r>
          </w:p>
        </w:tc>
        <w:tc>
          <w:tcPr>
            <w:tcW w:w="0" w:type="auto"/>
            <w:tcBorders>
              <w:top w:val="nil"/>
              <w:left w:val="nil"/>
              <w:bottom w:val="single" w:sz="4" w:space="0" w:color="auto"/>
              <w:right w:val="single" w:sz="4" w:space="0" w:color="auto"/>
            </w:tcBorders>
            <w:shd w:val="clear" w:color="auto" w:fill="DBE5F1" w:themeFill="accent1" w:themeFillTint="33"/>
            <w:noWrap/>
            <w:vAlign w:val="center"/>
            <w:hideMark/>
          </w:tcPr>
          <w:p w14:paraId="38883A9C" w14:textId="77777777" w:rsidR="00017204" w:rsidRPr="00017204" w:rsidRDefault="00017204" w:rsidP="00017204">
            <w:pPr>
              <w:spacing w:after="0" w:line="240" w:lineRule="auto"/>
              <w:jc w:val="center"/>
            </w:pPr>
            <w:r w:rsidRPr="00017204">
              <w:t>57,3%</w:t>
            </w:r>
          </w:p>
        </w:tc>
      </w:tr>
      <w:tr w:rsidR="00017204" w:rsidRPr="00017204" w14:paraId="6CF366C9" w14:textId="77777777" w:rsidTr="00017204">
        <w:trPr>
          <w:trHeight w:val="253"/>
        </w:trPr>
        <w:tc>
          <w:tcPr>
            <w:tcW w:w="0" w:type="auto"/>
            <w:vMerge/>
            <w:tcBorders>
              <w:top w:val="nil"/>
              <w:left w:val="single" w:sz="4" w:space="0" w:color="auto"/>
              <w:bottom w:val="single" w:sz="4" w:space="0" w:color="000000"/>
              <w:right w:val="single" w:sz="4" w:space="0" w:color="auto"/>
            </w:tcBorders>
            <w:shd w:val="clear" w:color="auto" w:fill="DBE5F1" w:themeFill="accent1" w:themeFillTint="33"/>
            <w:vAlign w:val="center"/>
            <w:hideMark/>
          </w:tcPr>
          <w:p w14:paraId="13D54D74" w14:textId="77777777" w:rsidR="00017204" w:rsidRPr="00017204" w:rsidRDefault="00017204" w:rsidP="00017204">
            <w:pPr>
              <w:spacing w:after="0" w:line="240" w:lineRule="auto"/>
            </w:pP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79092132" w14:textId="77777777" w:rsidR="00017204" w:rsidRPr="00017204" w:rsidRDefault="00017204" w:rsidP="00017204">
            <w:pPr>
              <w:spacing w:after="0" w:line="240" w:lineRule="auto"/>
            </w:pPr>
            <w:r w:rsidRPr="00017204">
              <w:t>Do not know (Black African)</w:t>
            </w: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6E4B74FF" w14:textId="77777777" w:rsidR="00017204" w:rsidRPr="00017204" w:rsidRDefault="00017204" w:rsidP="00017204">
            <w:pPr>
              <w:spacing w:after="0" w:line="240" w:lineRule="auto"/>
              <w:jc w:val="center"/>
            </w:pPr>
            <w:r w:rsidRPr="00017204">
              <w:t>42</w:t>
            </w:r>
          </w:p>
        </w:tc>
        <w:tc>
          <w:tcPr>
            <w:tcW w:w="0" w:type="auto"/>
            <w:tcBorders>
              <w:top w:val="nil"/>
              <w:left w:val="nil"/>
              <w:bottom w:val="single" w:sz="4" w:space="0" w:color="auto"/>
              <w:right w:val="single" w:sz="4" w:space="0" w:color="auto"/>
            </w:tcBorders>
            <w:shd w:val="clear" w:color="auto" w:fill="DBE5F1" w:themeFill="accent1" w:themeFillTint="33"/>
            <w:noWrap/>
            <w:vAlign w:val="center"/>
            <w:hideMark/>
          </w:tcPr>
          <w:p w14:paraId="5FD441F6" w14:textId="77777777" w:rsidR="00017204" w:rsidRPr="00017204" w:rsidRDefault="00017204" w:rsidP="00017204">
            <w:pPr>
              <w:spacing w:after="0" w:line="240" w:lineRule="auto"/>
              <w:jc w:val="center"/>
            </w:pPr>
            <w:r w:rsidRPr="00017204">
              <w:t>0,0%</w:t>
            </w:r>
          </w:p>
        </w:tc>
      </w:tr>
      <w:tr w:rsidR="00017204" w:rsidRPr="00017204" w14:paraId="47274746" w14:textId="77777777" w:rsidTr="00017204">
        <w:trPr>
          <w:trHeight w:val="253"/>
        </w:trPr>
        <w:tc>
          <w:tcPr>
            <w:tcW w:w="0" w:type="auto"/>
            <w:vMerge/>
            <w:tcBorders>
              <w:top w:val="nil"/>
              <w:left w:val="single" w:sz="4" w:space="0" w:color="auto"/>
              <w:bottom w:val="single" w:sz="4" w:space="0" w:color="000000"/>
              <w:right w:val="single" w:sz="4" w:space="0" w:color="auto"/>
            </w:tcBorders>
            <w:shd w:val="clear" w:color="auto" w:fill="DBE5F1" w:themeFill="accent1" w:themeFillTint="33"/>
            <w:vAlign w:val="center"/>
            <w:hideMark/>
          </w:tcPr>
          <w:p w14:paraId="50BB26DA" w14:textId="77777777" w:rsidR="00017204" w:rsidRPr="00017204" w:rsidRDefault="00017204" w:rsidP="00017204">
            <w:pPr>
              <w:spacing w:after="0" w:line="240" w:lineRule="auto"/>
            </w:pP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36CE6086" w14:textId="77777777" w:rsidR="00017204" w:rsidRPr="00017204" w:rsidRDefault="00017204" w:rsidP="00017204">
            <w:pPr>
              <w:spacing w:after="0" w:line="240" w:lineRule="auto"/>
            </w:pPr>
            <w:r w:rsidRPr="00017204">
              <w:t>Yes (Coloured)</w:t>
            </w: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2659BAAA" w14:textId="77777777" w:rsidR="00017204" w:rsidRPr="00017204" w:rsidRDefault="00017204" w:rsidP="00017204">
            <w:pPr>
              <w:spacing w:after="0" w:line="240" w:lineRule="auto"/>
              <w:jc w:val="center"/>
            </w:pPr>
            <w:r w:rsidRPr="00017204">
              <w:t>173</w:t>
            </w:r>
          </w:p>
        </w:tc>
        <w:tc>
          <w:tcPr>
            <w:tcW w:w="0" w:type="auto"/>
            <w:tcBorders>
              <w:top w:val="nil"/>
              <w:left w:val="nil"/>
              <w:bottom w:val="single" w:sz="4" w:space="0" w:color="auto"/>
              <w:right w:val="single" w:sz="4" w:space="0" w:color="auto"/>
            </w:tcBorders>
            <w:shd w:val="clear" w:color="auto" w:fill="DBE5F1" w:themeFill="accent1" w:themeFillTint="33"/>
            <w:noWrap/>
            <w:vAlign w:val="center"/>
            <w:hideMark/>
          </w:tcPr>
          <w:p w14:paraId="5B5AD842" w14:textId="77777777" w:rsidR="00017204" w:rsidRPr="00017204" w:rsidRDefault="00017204" w:rsidP="00017204">
            <w:pPr>
              <w:spacing w:after="0" w:line="240" w:lineRule="auto"/>
              <w:jc w:val="center"/>
            </w:pPr>
            <w:r w:rsidRPr="00017204">
              <w:t>18,8%</w:t>
            </w:r>
          </w:p>
        </w:tc>
      </w:tr>
      <w:tr w:rsidR="00017204" w:rsidRPr="00017204" w14:paraId="124F28B2" w14:textId="77777777" w:rsidTr="00017204">
        <w:trPr>
          <w:trHeight w:val="253"/>
        </w:trPr>
        <w:tc>
          <w:tcPr>
            <w:tcW w:w="0" w:type="auto"/>
            <w:vMerge/>
            <w:tcBorders>
              <w:top w:val="nil"/>
              <w:left w:val="single" w:sz="4" w:space="0" w:color="auto"/>
              <w:bottom w:val="single" w:sz="4" w:space="0" w:color="000000"/>
              <w:right w:val="single" w:sz="4" w:space="0" w:color="auto"/>
            </w:tcBorders>
            <w:shd w:val="clear" w:color="auto" w:fill="DBE5F1" w:themeFill="accent1" w:themeFillTint="33"/>
            <w:vAlign w:val="center"/>
            <w:hideMark/>
          </w:tcPr>
          <w:p w14:paraId="48E62677" w14:textId="77777777" w:rsidR="00017204" w:rsidRPr="00017204" w:rsidRDefault="00017204" w:rsidP="00017204">
            <w:pPr>
              <w:spacing w:after="0" w:line="240" w:lineRule="auto"/>
            </w:pP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405E7B7F" w14:textId="77777777" w:rsidR="00017204" w:rsidRPr="00017204" w:rsidRDefault="00017204" w:rsidP="00017204">
            <w:pPr>
              <w:spacing w:after="0" w:line="240" w:lineRule="auto"/>
            </w:pPr>
            <w:r w:rsidRPr="00017204">
              <w:t>No (Coloured)</w:t>
            </w: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03B48FEE" w14:textId="77777777" w:rsidR="00017204" w:rsidRPr="00017204" w:rsidRDefault="00017204" w:rsidP="00017204">
            <w:pPr>
              <w:spacing w:after="0" w:line="240" w:lineRule="auto"/>
              <w:jc w:val="center"/>
            </w:pPr>
            <w:r w:rsidRPr="00017204">
              <w:t>748</w:t>
            </w:r>
          </w:p>
        </w:tc>
        <w:tc>
          <w:tcPr>
            <w:tcW w:w="0" w:type="auto"/>
            <w:tcBorders>
              <w:top w:val="nil"/>
              <w:left w:val="nil"/>
              <w:bottom w:val="single" w:sz="4" w:space="0" w:color="auto"/>
              <w:right w:val="single" w:sz="4" w:space="0" w:color="auto"/>
            </w:tcBorders>
            <w:shd w:val="clear" w:color="auto" w:fill="DBE5F1" w:themeFill="accent1" w:themeFillTint="33"/>
            <w:noWrap/>
            <w:vAlign w:val="center"/>
            <w:hideMark/>
          </w:tcPr>
          <w:p w14:paraId="41025A4E" w14:textId="77777777" w:rsidR="00017204" w:rsidRPr="00017204" w:rsidRDefault="00017204" w:rsidP="00017204">
            <w:pPr>
              <w:spacing w:after="0" w:line="240" w:lineRule="auto"/>
              <w:jc w:val="center"/>
            </w:pPr>
            <w:r w:rsidRPr="00017204">
              <w:t>81,2%</w:t>
            </w:r>
          </w:p>
        </w:tc>
      </w:tr>
      <w:tr w:rsidR="00017204" w:rsidRPr="00017204" w14:paraId="50171B3B" w14:textId="77777777" w:rsidTr="00017204">
        <w:trPr>
          <w:trHeight w:val="253"/>
        </w:trPr>
        <w:tc>
          <w:tcPr>
            <w:tcW w:w="0" w:type="auto"/>
            <w:vMerge/>
            <w:tcBorders>
              <w:top w:val="nil"/>
              <w:left w:val="single" w:sz="4" w:space="0" w:color="auto"/>
              <w:bottom w:val="single" w:sz="4" w:space="0" w:color="000000"/>
              <w:right w:val="single" w:sz="4" w:space="0" w:color="auto"/>
            </w:tcBorders>
            <w:shd w:val="clear" w:color="auto" w:fill="DBE5F1" w:themeFill="accent1" w:themeFillTint="33"/>
            <w:vAlign w:val="center"/>
            <w:hideMark/>
          </w:tcPr>
          <w:p w14:paraId="01D8FDA6" w14:textId="77777777" w:rsidR="00017204" w:rsidRPr="00017204" w:rsidRDefault="00017204" w:rsidP="00017204">
            <w:pPr>
              <w:spacing w:after="0" w:line="240" w:lineRule="auto"/>
            </w:pP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7C8779A1" w14:textId="77777777" w:rsidR="00017204" w:rsidRPr="00017204" w:rsidRDefault="00017204" w:rsidP="00017204">
            <w:pPr>
              <w:spacing w:after="0" w:line="240" w:lineRule="auto"/>
            </w:pPr>
            <w:r w:rsidRPr="00017204">
              <w:t>Do not know (Coloured)</w:t>
            </w: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74521BC2" w14:textId="77777777" w:rsidR="00017204" w:rsidRPr="00017204" w:rsidRDefault="00017204" w:rsidP="00017204">
            <w:pPr>
              <w:spacing w:after="0" w:line="240" w:lineRule="auto"/>
              <w:jc w:val="center"/>
            </w:pPr>
            <w:r w:rsidRPr="00017204">
              <w:t>0</w:t>
            </w:r>
          </w:p>
        </w:tc>
        <w:tc>
          <w:tcPr>
            <w:tcW w:w="0" w:type="auto"/>
            <w:tcBorders>
              <w:top w:val="nil"/>
              <w:left w:val="nil"/>
              <w:bottom w:val="single" w:sz="4" w:space="0" w:color="auto"/>
              <w:right w:val="single" w:sz="4" w:space="0" w:color="auto"/>
            </w:tcBorders>
            <w:shd w:val="clear" w:color="auto" w:fill="DBE5F1" w:themeFill="accent1" w:themeFillTint="33"/>
            <w:noWrap/>
            <w:vAlign w:val="center"/>
            <w:hideMark/>
          </w:tcPr>
          <w:p w14:paraId="0CFFE594" w14:textId="77777777" w:rsidR="00017204" w:rsidRPr="00017204" w:rsidRDefault="00017204" w:rsidP="00017204">
            <w:pPr>
              <w:spacing w:after="0" w:line="240" w:lineRule="auto"/>
              <w:jc w:val="center"/>
            </w:pPr>
            <w:r w:rsidRPr="00017204">
              <w:t>0,0%</w:t>
            </w:r>
          </w:p>
        </w:tc>
      </w:tr>
      <w:tr w:rsidR="00017204" w:rsidRPr="00017204" w14:paraId="0830BD2E" w14:textId="77777777" w:rsidTr="00017204">
        <w:trPr>
          <w:trHeight w:val="253"/>
        </w:trPr>
        <w:tc>
          <w:tcPr>
            <w:tcW w:w="0" w:type="auto"/>
            <w:vMerge/>
            <w:tcBorders>
              <w:top w:val="nil"/>
              <w:left w:val="single" w:sz="4" w:space="0" w:color="auto"/>
              <w:bottom w:val="single" w:sz="4" w:space="0" w:color="000000"/>
              <w:right w:val="single" w:sz="4" w:space="0" w:color="auto"/>
            </w:tcBorders>
            <w:shd w:val="clear" w:color="auto" w:fill="DBE5F1" w:themeFill="accent1" w:themeFillTint="33"/>
            <w:vAlign w:val="center"/>
            <w:hideMark/>
          </w:tcPr>
          <w:p w14:paraId="217C96AE" w14:textId="77777777" w:rsidR="00017204" w:rsidRPr="00017204" w:rsidRDefault="00017204" w:rsidP="00017204">
            <w:pPr>
              <w:spacing w:after="0" w:line="240" w:lineRule="auto"/>
            </w:pP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43AD486F" w14:textId="77777777" w:rsidR="00017204" w:rsidRPr="00017204" w:rsidRDefault="00017204" w:rsidP="00017204">
            <w:pPr>
              <w:spacing w:after="0" w:line="240" w:lineRule="auto"/>
            </w:pPr>
            <w:r w:rsidRPr="00017204">
              <w:t>Yes (Indian/Asian)</w:t>
            </w: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69C09F24" w14:textId="77777777" w:rsidR="00017204" w:rsidRPr="00017204" w:rsidRDefault="00017204" w:rsidP="00017204">
            <w:pPr>
              <w:spacing w:after="0" w:line="240" w:lineRule="auto"/>
              <w:jc w:val="center"/>
            </w:pPr>
            <w:r w:rsidRPr="00017204">
              <w:t>633</w:t>
            </w:r>
          </w:p>
        </w:tc>
        <w:tc>
          <w:tcPr>
            <w:tcW w:w="0" w:type="auto"/>
            <w:tcBorders>
              <w:top w:val="nil"/>
              <w:left w:val="nil"/>
              <w:bottom w:val="single" w:sz="4" w:space="0" w:color="auto"/>
              <w:right w:val="single" w:sz="4" w:space="0" w:color="auto"/>
            </w:tcBorders>
            <w:shd w:val="clear" w:color="auto" w:fill="DBE5F1" w:themeFill="accent1" w:themeFillTint="33"/>
            <w:noWrap/>
            <w:vAlign w:val="center"/>
            <w:hideMark/>
          </w:tcPr>
          <w:p w14:paraId="1DA61999" w14:textId="77777777" w:rsidR="00017204" w:rsidRPr="00017204" w:rsidRDefault="00017204" w:rsidP="00017204">
            <w:pPr>
              <w:spacing w:after="0" w:line="240" w:lineRule="auto"/>
              <w:jc w:val="center"/>
            </w:pPr>
            <w:r w:rsidRPr="00017204">
              <w:t>29,5%</w:t>
            </w:r>
          </w:p>
        </w:tc>
      </w:tr>
      <w:tr w:rsidR="00017204" w:rsidRPr="00017204" w14:paraId="234C5901" w14:textId="77777777" w:rsidTr="00017204">
        <w:trPr>
          <w:trHeight w:val="253"/>
        </w:trPr>
        <w:tc>
          <w:tcPr>
            <w:tcW w:w="0" w:type="auto"/>
            <w:vMerge/>
            <w:tcBorders>
              <w:top w:val="nil"/>
              <w:left w:val="single" w:sz="4" w:space="0" w:color="auto"/>
              <w:bottom w:val="single" w:sz="4" w:space="0" w:color="000000"/>
              <w:right w:val="single" w:sz="4" w:space="0" w:color="auto"/>
            </w:tcBorders>
            <w:shd w:val="clear" w:color="auto" w:fill="DBE5F1" w:themeFill="accent1" w:themeFillTint="33"/>
            <w:vAlign w:val="center"/>
            <w:hideMark/>
          </w:tcPr>
          <w:p w14:paraId="50D642D6" w14:textId="77777777" w:rsidR="00017204" w:rsidRPr="00017204" w:rsidRDefault="00017204" w:rsidP="00017204">
            <w:pPr>
              <w:spacing w:after="0" w:line="240" w:lineRule="auto"/>
            </w:pP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46CEDD44" w14:textId="77777777" w:rsidR="00017204" w:rsidRPr="00017204" w:rsidRDefault="00017204" w:rsidP="00017204">
            <w:pPr>
              <w:spacing w:after="0" w:line="240" w:lineRule="auto"/>
            </w:pPr>
            <w:r w:rsidRPr="00017204">
              <w:t>No (Indian/Asian)</w:t>
            </w: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090B4529" w14:textId="77777777" w:rsidR="00017204" w:rsidRPr="00017204" w:rsidRDefault="00017204" w:rsidP="00017204">
            <w:pPr>
              <w:spacing w:after="0" w:line="240" w:lineRule="auto"/>
              <w:jc w:val="center"/>
            </w:pPr>
            <w:r w:rsidRPr="00017204">
              <w:t>1 516</w:t>
            </w:r>
          </w:p>
        </w:tc>
        <w:tc>
          <w:tcPr>
            <w:tcW w:w="0" w:type="auto"/>
            <w:tcBorders>
              <w:top w:val="nil"/>
              <w:left w:val="nil"/>
              <w:bottom w:val="single" w:sz="4" w:space="0" w:color="auto"/>
              <w:right w:val="single" w:sz="4" w:space="0" w:color="auto"/>
            </w:tcBorders>
            <w:shd w:val="clear" w:color="auto" w:fill="DBE5F1" w:themeFill="accent1" w:themeFillTint="33"/>
            <w:noWrap/>
            <w:vAlign w:val="center"/>
            <w:hideMark/>
          </w:tcPr>
          <w:p w14:paraId="1068E600" w14:textId="77777777" w:rsidR="00017204" w:rsidRPr="00017204" w:rsidRDefault="00017204" w:rsidP="00017204">
            <w:pPr>
              <w:spacing w:after="0" w:line="240" w:lineRule="auto"/>
              <w:jc w:val="center"/>
            </w:pPr>
            <w:r w:rsidRPr="00017204">
              <w:t>70,5%</w:t>
            </w:r>
          </w:p>
        </w:tc>
      </w:tr>
      <w:tr w:rsidR="00017204" w:rsidRPr="00017204" w14:paraId="53643B92" w14:textId="77777777" w:rsidTr="00017204">
        <w:trPr>
          <w:trHeight w:val="253"/>
        </w:trPr>
        <w:tc>
          <w:tcPr>
            <w:tcW w:w="0" w:type="auto"/>
            <w:vMerge/>
            <w:tcBorders>
              <w:top w:val="nil"/>
              <w:left w:val="single" w:sz="4" w:space="0" w:color="auto"/>
              <w:bottom w:val="single" w:sz="4" w:space="0" w:color="000000"/>
              <w:right w:val="single" w:sz="4" w:space="0" w:color="auto"/>
            </w:tcBorders>
            <w:shd w:val="clear" w:color="auto" w:fill="DBE5F1" w:themeFill="accent1" w:themeFillTint="33"/>
            <w:vAlign w:val="center"/>
            <w:hideMark/>
          </w:tcPr>
          <w:p w14:paraId="42FF4E62" w14:textId="77777777" w:rsidR="00017204" w:rsidRPr="00017204" w:rsidRDefault="00017204" w:rsidP="00017204">
            <w:pPr>
              <w:spacing w:after="0" w:line="240" w:lineRule="auto"/>
            </w:pP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576EE954" w14:textId="77777777" w:rsidR="00017204" w:rsidRPr="00017204" w:rsidRDefault="00017204" w:rsidP="00017204">
            <w:pPr>
              <w:spacing w:after="0" w:line="240" w:lineRule="auto"/>
            </w:pPr>
            <w:r w:rsidRPr="00017204">
              <w:t>Do not know (Indian/Asian)</w:t>
            </w: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54FA32A7" w14:textId="77777777" w:rsidR="00017204" w:rsidRPr="00017204" w:rsidRDefault="00017204" w:rsidP="00017204">
            <w:pPr>
              <w:spacing w:after="0" w:line="240" w:lineRule="auto"/>
              <w:jc w:val="center"/>
            </w:pPr>
            <w:r w:rsidRPr="00017204">
              <w:t>0</w:t>
            </w:r>
          </w:p>
        </w:tc>
        <w:tc>
          <w:tcPr>
            <w:tcW w:w="0" w:type="auto"/>
            <w:tcBorders>
              <w:top w:val="nil"/>
              <w:left w:val="nil"/>
              <w:bottom w:val="single" w:sz="4" w:space="0" w:color="auto"/>
              <w:right w:val="single" w:sz="4" w:space="0" w:color="auto"/>
            </w:tcBorders>
            <w:shd w:val="clear" w:color="auto" w:fill="DBE5F1" w:themeFill="accent1" w:themeFillTint="33"/>
            <w:noWrap/>
            <w:vAlign w:val="center"/>
            <w:hideMark/>
          </w:tcPr>
          <w:p w14:paraId="1D76032B" w14:textId="77777777" w:rsidR="00017204" w:rsidRPr="00017204" w:rsidRDefault="00017204" w:rsidP="00017204">
            <w:pPr>
              <w:spacing w:after="0" w:line="240" w:lineRule="auto"/>
              <w:jc w:val="center"/>
            </w:pPr>
            <w:r w:rsidRPr="00017204">
              <w:t>0,0%</w:t>
            </w:r>
          </w:p>
        </w:tc>
      </w:tr>
      <w:tr w:rsidR="00017204" w:rsidRPr="00017204" w14:paraId="647C1FCD" w14:textId="77777777" w:rsidTr="00017204">
        <w:trPr>
          <w:trHeight w:val="253"/>
        </w:trPr>
        <w:tc>
          <w:tcPr>
            <w:tcW w:w="0" w:type="auto"/>
            <w:vMerge/>
            <w:tcBorders>
              <w:top w:val="nil"/>
              <w:left w:val="single" w:sz="4" w:space="0" w:color="auto"/>
              <w:bottom w:val="single" w:sz="4" w:space="0" w:color="000000"/>
              <w:right w:val="single" w:sz="4" w:space="0" w:color="auto"/>
            </w:tcBorders>
            <w:shd w:val="clear" w:color="auto" w:fill="DBE5F1" w:themeFill="accent1" w:themeFillTint="33"/>
            <w:vAlign w:val="center"/>
            <w:hideMark/>
          </w:tcPr>
          <w:p w14:paraId="474E3DA9" w14:textId="77777777" w:rsidR="00017204" w:rsidRPr="00017204" w:rsidRDefault="00017204" w:rsidP="00017204">
            <w:pPr>
              <w:spacing w:after="0" w:line="240" w:lineRule="auto"/>
            </w:pP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1FA04C45" w14:textId="77777777" w:rsidR="00017204" w:rsidRPr="00017204" w:rsidRDefault="00017204" w:rsidP="00017204">
            <w:pPr>
              <w:spacing w:after="0" w:line="240" w:lineRule="auto"/>
            </w:pPr>
            <w:r w:rsidRPr="00017204">
              <w:t>Yes (White)</w:t>
            </w: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639ABEAB" w14:textId="77777777" w:rsidR="00017204" w:rsidRPr="00017204" w:rsidRDefault="00017204" w:rsidP="00017204">
            <w:pPr>
              <w:spacing w:after="0" w:line="240" w:lineRule="auto"/>
              <w:jc w:val="center"/>
            </w:pPr>
            <w:r w:rsidRPr="00017204">
              <w:t>329</w:t>
            </w:r>
          </w:p>
        </w:tc>
        <w:tc>
          <w:tcPr>
            <w:tcW w:w="0" w:type="auto"/>
            <w:tcBorders>
              <w:top w:val="nil"/>
              <w:left w:val="nil"/>
              <w:bottom w:val="single" w:sz="4" w:space="0" w:color="auto"/>
              <w:right w:val="single" w:sz="4" w:space="0" w:color="auto"/>
            </w:tcBorders>
            <w:shd w:val="clear" w:color="auto" w:fill="DBE5F1" w:themeFill="accent1" w:themeFillTint="33"/>
            <w:noWrap/>
            <w:vAlign w:val="center"/>
            <w:hideMark/>
          </w:tcPr>
          <w:p w14:paraId="42918A86" w14:textId="77777777" w:rsidR="00017204" w:rsidRPr="00017204" w:rsidRDefault="00017204" w:rsidP="00017204">
            <w:pPr>
              <w:spacing w:after="0" w:line="240" w:lineRule="auto"/>
              <w:jc w:val="center"/>
            </w:pPr>
            <w:r w:rsidRPr="00017204">
              <w:t>11,5%</w:t>
            </w:r>
          </w:p>
        </w:tc>
      </w:tr>
      <w:tr w:rsidR="00017204" w:rsidRPr="00017204" w14:paraId="313C3D0C" w14:textId="77777777" w:rsidTr="00017204">
        <w:trPr>
          <w:trHeight w:val="253"/>
        </w:trPr>
        <w:tc>
          <w:tcPr>
            <w:tcW w:w="0" w:type="auto"/>
            <w:vMerge/>
            <w:tcBorders>
              <w:top w:val="nil"/>
              <w:left w:val="single" w:sz="4" w:space="0" w:color="auto"/>
              <w:bottom w:val="single" w:sz="4" w:space="0" w:color="000000"/>
              <w:right w:val="single" w:sz="4" w:space="0" w:color="auto"/>
            </w:tcBorders>
            <w:shd w:val="clear" w:color="auto" w:fill="DBE5F1" w:themeFill="accent1" w:themeFillTint="33"/>
            <w:vAlign w:val="center"/>
            <w:hideMark/>
          </w:tcPr>
          <w:p w14:paraId="08DCF59C" w14:textId="77777777" w:rsidR="00017204" w:rsidRPr="00017204" w:rsidRDefault="00017204" w:rsidP="00017204">
            <w:pPr>
              <w:spacing w:after="0" w:line="240" w:lineRule="auto"/>
            </w:pP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1FC717FF" w14:textId="77777777" w:rsidR="00017204" w:rsidRPr="00017204" w:rsidRDefault="00017204" w:rsidP="00017204">
            <w:pPr>
              <w:spacing w:after="0" w:line="240" w:lineRule="auto"/>
            </w:pPr>
            <w:r w:rsidRPr="00017204">
              <w:t>No (White)</w:t>
            </w: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33F05F90" w14:textId="77777777" w:rsidR="00017204" w:rsidRPr="00017204" w:rsidRDefault="00017204" w:rsidP="00017204">
            <w:pPr>
              <w:spacing w:after="0" w:line="240" w:lineRule="auto"/>
              <w:jc w:val="center"/>
            </w:pPr>
            <w:r w:rsidRPr="00017204">
              <w:t>2 539</w:t>
            </w:r>
          </w:p>
        </w:tc>
        <w:tc>
          <w:tcPr>
            <w:tcW w:w="0" w:type="auto"/>
            <w:tcBorders>
              <w:top w:val="nil"/>
              <w:left w:val="nil"/>
              <w:bottom w:val="single" w:sz="4" w:space="0" w:color="auto"/>
              <w:right w:val="single" w:sz="4" w:space="0" w:color="auto"/>
            </w:tcBorders>
            <w:shd w:val="clear" w:color="auto" w:fill="DBE5F1" w:themeFill="accent1" w:themeFillTint="33"/>
            <w:noWrap/>
            <w:vAlign w:val="center"/>
            <w:hideMark/>
          </w:tcPr>
          <w:p w14:paraId="278EED8F" w14:textId="77777777" w:rsidR="00017204" w:rsidRPr="00017204" w:rsidRDefault="00017204" w:rsidP="00017204">
            <w:pPr>
              <w:spacing w:after="0" w:line="240" w:lineRule="auto"/>
              <w:jc w:val="center"/>
            </w:pPr>
            <w:r w:rsidRPr="00017204">
              <w:t>88,5%</w:t>
            </w:r>
          </w:p>
        </w:tc>
      </w:tr>
      <w:tr w:rsidR="00017204" w:rsidRPr="00017204" w14:paraId="76173DA3" w14:textId="77777777" w:rsidTr="00017204">
        <w:trPr>
          <w:trHeight w:val="253"/>
        </w:trPr>
        <w:tc>
          <w:tcPr>
            <w:tcW w:w="0" w:type="auto"/>
            <w:vMerge/>
            <w:tcBorders>
              <w:top w:val="nil"/>
              <w:left w:val="single" w:sz="4" w:space="0" w:color="auto"/>
              <w:bottom w:val="single" w:sz="4" w:space="0" w:color="000000"/>
              <w:right w:val="single" w:sz="4" w:space="0" w:color="auto"/>
            </w:tcBorders>
            <w:shd w:val="clear" w:color="auto" w:fill="DBE5F1" w:themeFill="accent1" w:themeFillTint="33"/>
            <w:vAlign w:val="center"/>
            <w:hideMark/>
          </w:tcPr>
          <w:p w14:paraId="6EFED4BE" w14:textId="77777777" w:rsidR="00017204" w:rsidRPr="00017204" w:rsidRDefault="00017204" w:rsidP="00017204">
            <w:pPr>
              <w:spacing w:after="0" w:line="240" w:lineRule="auto"/>
            </w:pP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41345FA1" w14:textId="77777777" w:rsidR="00017204" w:rsidRPr="00017204" w:rsidRDefault="00017204" w:rsidP="00017204">
            <w:pPr>
              <w:spacing w:after="0" w:line="240" w:lineRule="auto"/>
            </w:pPr>
            <w:r w:rsidRPr="00017204">
              <w:t>Do not know (White)</w:t>
            </w:r>
          </w:p>
        </w:tc>
        <w:tc>
          <w:tcPr>
            <w:tcW w:w="0" w:type="auto"/>
            <w:tcBorders>
              <w:top w:val="nil"/>
              <w:left w:val="nil"/>
              <w:bottom w:val="single" w:sz="4" w:space="0" w:color="auto"/>
              <w:right w:val="single" w:sz="4" w:space="0" w:color="auto"/>
            </w:tcBorders>
            <w:shd w:val="clear" w:color="auto" w:fill="DBE5F1" w:themeFill="accent1" w:themeFillTint="33"/>
            <w:noWrap/>
            <w:vAlign w:val="bottom"/>
            <w:hideMark/>
          </w:tcPr>
          <w:p w14:paraId="11457ED4" w14:textId="77777777" w:rsidR="00017204" w:rsidRPr="00017204" w:rsidRDefault="00017204" w:rsidP="00017204">
            <w:pPr>
              <w:spacing w:after="0" w:line="240" w:lineRule="auto"/>
              <w:jc w:val="center"/>
            </w:pPr>
            <w:r w:rsidRPr="00017204">
              <w:t>0</w:t>
            </w:r>
          </w:p>
        </w:tc>
        <w:tc>
          <w:tcPr>
            <w:tcW w:w="0" w:type="auto"/>
            <w:tcBorders>
              <w:top w:val="nil"/>
              <w:left w:val="nil"/>
              <w:bottom w:val="single" w:sz="4" w:space="0" w:color="auto"/>
              <w:right w:val="single" w:sz="4" w:space="0" w:color="auto"/>
            </w:tcBorders>
            <w:shd w:val="clear" w:color="auto" w:fill="DBE5F1" w:themeFill="accent1" w:themeFillTint="33"/>
            <w:noWrap/>
            <w:vAlign w:val="center"/>
            <w:hideMark/>
          </w:tcPr>
          <w:p w14:paraId="321F4E9A" w14:textId="77777777" w:rsidR="00017204" w:rsidRPr="00017204" w:rsidRDefault="00017204" w:rsidP="00017204">
            <w:pPr>
              <w:spacing w:after="0" w:line="240" w:lineRule="auto"/>
              <w:jc w:val="center"/>
            </w:pPr>
            <w:r w:rsidRPr="00017204">
              <w:t>0,0%</w:t>
            </w:r>
          </w:p>
        </w:tc>
      </w:tr>
    </w:tbl>
    <w:p w14:paraId="74A4924B" w14:textId="4FC5415A" w:rsidR="001F33F5" w:rsidRDefault="00554661" w:rsidP="00554661">
      <w:pPr>
        <w:pStyle w:val="Caption"/>
        <w:rPr>
          <w:bCs w:val="0"/>
        </w:rPr>
      </w:pPr>
      <w:bookmarkStart w:id="445" w:name="_Toc510622315"/>
      <w:r>
        <w:t xml:space="preserve">Figure </w:t>
      </w:r>
      <w:r w:rsidR="00B918A6">
        <w:fldChar w:fldCharType="begin"/>
      </w:r>
      <w:r w:rsidR="00B918A6">
        <w:instrText xml:space="preserve"> SEQ Figure \* ARABIC </w:instrText>
      </w:r>
      <w:r w:rsidR="00B918A6">
        <w:fldChar w:fldCharType="separate"/>
      </w:r>
      <w:r w:rsidR="0067023A">
        <w:rPr>
          <w:noProof/>
        </w:rPr>
        <w:t>23</w:t>
      </w:r>
      <w:r w:rsidR="00B918A6">
        <w:rPr>
          <w:noProof/>
        </w:rPr>
        <w:fldChar w:fldCharType="end"/>
      </w:r>
      <w:r>
        <w:t xml:space="preserve">: </w:t>
      </w:r>
      <w:r w:rsidR="00017204">
        <w:t>School Attendance (2016)</w:t>
      </w:r>
      <w:bookmarkEnd w:id="445"/>
    </w:p>
    <w:p w14:paraId="688D3FA7" w14:textId="77777777" w:rsidR="00C65760" w:rsidRPr="00C65760" w:rsidRDefault="00C65760" w:rsidP="00750180">
      <w:pPr>
        <w:pStyle w:val="Heading4"/>
        <w:numPr>
          <w:ilvl w:val="3"/>
          <w:numId w:val="127"/>
        </w:numPr>
        <w:spacing w:after="240"/>
      </w:pPr>
      <w:r w:rsidRPr="00C65760">
        <w:t>Highest Levels Of Educaton</w:t>
      </w:r>
    </w:p>
    <w:p w14:paraId="0DCFE5FA" w14:textId="77777777" w:rsidR="00C65760" w:rsidRPr="00C65760" w:rsidRDefault="00C65760" w:rsidP="00C65760">
      <w:pPr>
        <w:tabs>
          <w:tab w:val="left" w:pos="877"/>
        </w:tabs>
        <w:spacing w:line="240" w:lineRule="auto"/>
        <w:jc w:val="both"/>
        <w:outlineLvl w:val="0"/>
        <w:rPr>
          <w:rFonts w:cs="Calibri"/>
          <w:bCs/>
          <w:szCs w:val="20"/>
        </w:rPr>
      </w:pPr>
      <w:r>
        <w:rPr>
          <w:rFonts w:cs="Calibri"/>
          <w:bCs/>
          <w:szCs w:val="20"/>
        </w:rPr>
        <w:t xml:space="preserve">The table below indicates the highest levels of education witin the population of uMlalazi LM. The table indicates that 2.9% of the population have a tertiary qualification, which makes them eligible to obtain decent specialized work. It is interesting to note that more females have passed matric than males and more females have tertiary qualifications than males. </w:t>
      </w:r>
      <w:r w:rsidR="004F4650">
        <w:rPr>
          <w:rFonts w:cs="Calibri"/>
          <w:bCs/>
          <w:szCs w:val="20"/>
        </w:rPr>
        <w:t xml:space="preserve">When categorizing highest levels of education by race, it is clear that even though the white population account for the smallest portion of the population, they have the highest education levels. 32% of the white population has tertiary qualification in contast to the 2.5% of the black community which account for more that 90% of the population. </w:t>
      </w:r>
      <w:r>
        <w:rPr>
          <w:rFonts w:cs="Calibri"/>
          <w:bCs/>
          <w:szCs w:val="20"/>
        </w:rPr>
        <w:t>24 % of the population have had no access to education thereby indicating also that the illiteracy rates are high.</w:t>
      </w:r>
    </w:p>
    <w:tbl>
      <w:tblPr>
        <w:tblW w:w="9537" w:type="dxa"/>
        <w:tblLook w:val="04A0" w:firstRow="1" w:lastRow="0" w:firstColumn="1" w:lastColumn="0" w:noHBand="0" w:noVBand="1"/>
      </w:tblPr>
      <w:tblGrid>
        <w:gridCol w:w="4006"/>
        <w:gridCol w:w="3506"/>
        <w:gridCol w:w="1162"/>
        <w:gridCol w:w="863"/>
      </w:tblGrid>
      <w:tr w:rsidR="00765AEC" w:rsidRPr="00765AEC" w14:paraId="24AA0F36" w14:textId="77777777" w:rsidTr="00765AEC">
        <w:trPr>
          <w:trHeight w:val="232"/>
          <w:tblHeader/>
        </w:trPr>
        <w:tc>
          <w:tcPr>
            <w:tcW w:w="0" w:type="auto"/>
            <w:tcBorders>
              <w:top w:val="single" w:sz="4" w:space="0" w:color="auto"/>
              <w:left w:val="single" w:sz="4" w:space="0" w:color="auto"/>
              <w:bottom w:val="single" w:sz="8" w:space="0" w:color="000000"/>
              <w:right w:val="single" w:sz="4" w:space="0" w:color="auto"/>
            </w:tcBorders>
            <w:shd w:val="clear" w:color="auto" w:fill="000000" w:themeFill="text1"/>
          </w:tcPr>
          <w:p w14:paraId="7BB66868" w14:textId="77777777" w:rsidR="00765AEC" w:rsidRPr="00765AEC" w:rsidRDefault="00765AEC" w:rsidP="00765AEC">
            <w:r w:rsidRPr="00765AEC">
              <w:t>ISSUE</w:t>
            </w:r>
          </w:p>
        </w:tc>
        <w:tc>
          <w:tcPr>
            <w:tcW w:w="0" w:type="auto"/>
            <w:tcBorders>
              <w:top w:val="single" w:sz="4" w:space="0" w:color="auto"/>
              <w:left w:val="nil"/>
              <w:bottom w:val="single" w:sz="4" w:space="0" w:color="auto"/>
              <w:right w:val="single" w:sz="4" w:space="0" w:color="auto"/>
            </w:tcBorders>
            <w:shd w:val="clear" w:color="auto" w:fill="000000" w:themeFill="text1"/>
            <w:noWrap/>
          </w:tcPr>
          <w:p w14:paraId="1FD04DA7" w14:textId="77777777" w:rsidR="00765AEC" w:rsidRPr="00765AEC" w:rsidRDefault="00765AEC" w:rsidP="00765AEC">
            <w:r w:rsidRPr="00765AEC">
              <w:t>INDICATOR</w:t>
            </w:r>
          </w:p>
        </w:tc>
        <w:tc>
          <w:tcPr>
            <w:tcW w:w="0" w:type="auto"/>
            <w:tcBorders>
              <w:top w:val="single" w:sz="4" w:space="0" w:color="auto"/>
              <w:left w:val="nil"/>
              <w:bottom w:val="single" w:sz="4" w:space="0" w:color="auto"/>
              <w:right w:val="single" w:sz="4" w:space="0" w:color="auto"/>
            </w:tcBorders>
            <w:shd w:val="clear" w:color="auto" w:fill="000000" w:themeFill="text1"/>
            <w:noWrap/>
          </w:tcPr>
          <w:p w14:paraId="153FBA7D" w14:textId="77777777" w:rsidR="00765AEC" w:rsidRPr="00765AEC" w:rsidRDefault="00765AEC" w:rsidP="00765AEC">
            <w:r w:rsidRPr="00765AEC">
              <w:t>NUMBER</w:t>
            </w:r>
          </w:p>
        </w:tc>
        <w:tc>
          <w:tcPr>
            <w:tcW w:w="0" w:type="auto"/>
            <w:tcBorders>
              <w:top w:val="single" w:sz="4" w:space="0" w:color="auto"/>
              <w:left w:val="nil"/>
              <w:bottom w:val="single" w:sz="4" w:space="0" w:color="auto"/>
              <w:right w:val="single" w:sz="4" w:space="0" w:color="auto"/>
            </w:tcBorders>
            <w:shd w:val="clear" w:color="auto" w:fill="000000" w:themeFill="text1"/>
            <w:noWrap/>
          </w:tcPr>
          <w:p w14:paraId="48E21770" w14:textId="77777777" w:rsidR="00765AEC" w:rsidRPr="00765AEC" w:rsidRDefault="00765AEC" w:rsidP="00765AEC">
            <w:r w:rsidRPr="00765AEC">
              <w:t>%</w:t>
            </w:r>
          </w:p>
        </w:tc>
      </w:tr>
      <w:tr w:rsidR="00765AEC" w:rsidRPr="00765AEC" w14:paraId="7BF27CE7" w14:textId="77777777" w:rsidTr="00765AEC">
        <w:trPr>
          <w:trHeight w:val="186"/>
        </w:trPr>
        <w:tc>
          <w:tcPr>
            <w:tcW w:w="0" w:type="auto"/>
            <w:vMerge w:val="restart"/>
            <w:tcBorders>
              <w:top w:val="single" w:sz="4" w:space="0" w:color="auto"/>
              <w:left w:val="single" w:sz="4" w:space="0" w:color="auto"/>
              <w:bottom w:val="single" w:sz="8" w:space="0" w:color="000000"/>
              <w:right w:val="single" w:sz="4" w:space="0" w:color="auto"/>
            </w:tcBorders>
            <w:shd w:val="clear" w:color="auto" w:fill="C2D69B" w:themeFill="accent3" w:themeFillTint="99"/>
            <w:vAlign w:val="center"/>
            <w:hideMark/>
          </w:tcPr>
          <w:p w14:paraId="2B165732" w14:textId="77777777" w:rsidR="00765AEC" w:rsidRPr="00765AEC" w:rsidRDefault="00765AEC" w:rsidP="00765AEC">
            <w:pPr>
              <w:spacing w:after="0" w:line="240" w:lineRule="auto"/>
            </w:pPr>
            <w:r w:rsidRPr="00765AEC">
              <w:t>Highest level of education</w:t>
            </w:r>
          </w:p>
        </w:tc>
        <w:tc>
          <w:tcPr>
            <w:tcW w:w="0" w:type="auto"/>
            <w:tcBorders>
              <w:top w:val="single" w:sz="4" w:space="0" w:color="auto"/>
              <w:left w:val="nil"/>
              <w:bottom w:val="single" w:sz="4" w:space="0" w:color="auto"/>
              <w:right w:val="single" w:sz="4" w:space="0" w:color="auto"/>
            </w:tcBorders>
            <w:shd w:val="clear" w:color="auto" w:fill="C2D69B" w:themeFill="accent3" w:themeFillTint="99"/>
            <w:noWrap/>
            <w:vAlign w:val="bottom"/>
            <w:hideMark/>
          </w:tcPr>
          <w:p w14:paraId="131BE512" w14:textId="77777777" w:rsidR="00765AEC" w:rsidRPr="00765AEC" w:rsidRDefault="00765AEC" w:rsidP="00765AEC">
            <w:pPr>
              <w:spacing w:after="0" w:line="240" w:lineRule="auto"/>
            </w:pPr>
            <w:r w:rsidRPr="00765AEC">
              <w:t>No schooling</w:t>
            </w:r>
          </w:p>
        </w:tc>
        <w:tc>
          <w:tcPr>
            <w:tcW w:w="0" w:type="auto"/>
            <w:tcBorders>
              <w:top w:val="single" w:sz="4" w:space="0" w:color="auto"/>
              <w:left w:val="nil"/>
              <w:bottom w:val="single" w:sz="4" w:space="0" w:color="auto"/>
              <w:right w:val="single" w:sz="4" w:space="0" w:color="auto"/>
            </w:tcBorders>
            <w:shd w:val="clear" w:color="auto" w:fill="C2D69B" w:themeFill="accent3" w:themeFillTint="99"/>
            <w:noWrap/>
            <w:vAlign w:val="bottom"/>
            <w:hideMark/>
          </w:tcPr>
          <w:p w14:paraId="302F9717" w14:textId="77777777" w:rsidR="00765AEC" w:rsidRPr="00765AEC" w:rsidRDefault="00765AEC" w:rsidP="00765AEC">
            <w:pPr>
              <w:spacing w:after="0" w:line="240" w:lineRule="auto"/>
              <w:jc w:val="center"/>
            </w:pPr>
            <w:r w:rsidRPr="00765AEC">
              <w:t>54 316</w:t>
            </w:r>
          </w:p>
        </w:tc>
        <w:tc>
          <w:tcPr>
            <w:tcW w:w="0" w:type="auto"/>
            <w:tcBorders>
              <w:top w:val="single" w:sz="4" w:space="0" w:color="auto"/>
              <w:left w:val="nil"/>
              <w:bottom w:val="single" w:sz="4" w:space="0" w:color="auto"/>
              <w:right w:val="single" w:sz="4" w:space="0" w:color="auto"/>
            </w:tcBorders>
            <w:shd w:val="clear" w:color="auto" w:fill="C2D69B" w:themeFill="accent3" w:themeFillTint="99"/>
            <w:noWrap/>
            <w:vAlign w:val="center"/>
            <w:hideMark/>
          </w:tcPr>
          <w:p w14:paraId="2CC425FF" w14:textId="77777777" w:rsidR="00765AEC" w:rsidRPr="00765AEC" w:rsidRDefault="00765AEC" w:rsidP="00765AEC">
            <w:pPr>
              <w:spacing w:after="0" w:line="240" w:lineRule="auto"/>
              <w:jc w:val="center"/>
            </w:pPr>
            <w:r w:rsidRPr="00765AEC">
              <w:t>24,4%</w:t>
            </w:r>
          </w:p>
        </w:tc>
      </w:tr>
      <w:tr w:rsidR="00765AEC" w:rsidRPr="00765AEC" w14:paraId="71CDC9DB" w14:textId="77777777" w:rsidTr="00765AEC">
        <w:trPr>
          <w:trHeight w:val="186"/>
        </w:trPr>
        <w:tc>
          <w:tcPr>
            <w:tcW w:w="0" w:type="auto"/>
            <w:vMerge/>
            <w:tcBorders>
              <w:top w:val="single" w:sz="4" w:space="0" w:color="auto"/>
              <w:left w:val="single" w:sz="4" w:space="0" w:color="auto"/>
              <w:bottom w:val="single" w:sz="8" w:space="0" w:color="000000"/>
              <w:right w:val="single" w:sz="4" w:space="0" w:color="auto"/>
            </w:tcBorders>
            <w:shd w:val="clear" w:color="auto" w:fill="C2D69B" w:themeFill="accent3" w:themeFillTint="99"/>
            <w:vAlign w:val="center"/>
            <w:hideMark/>
          </w:tcPr>
          <w:p w14:paraId="20AE9EE2"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C2D69B" w:themeFill="accent3" w:themeFillTint="99"/>
            <w:noWrap/>
            <w:vAlign w:val="bottom"/>
            <w:hideMark/>
          </w:tcPr>
          <w:p w14:paraId="66120C68" w14:textId="77777777" w:rsidR="00765AEC" w:rsidRPr="00765AEC" w:rsidRDefault="00765AEC" w:rsidP="00765AEC">
            <w:pPr>
              <w:spacing w:after="0" w:line="240" w:lineRule="auto"/>
            </w:pPr>
            <w:r w:rsidRPr="00765AEC">
              <w:t>Primary</w:t>
            </w:r>
          </w:p>
        </w:tc>
        <w:tc>
          <w:tcPr>
            <w:tcW w:w="0" w:type="auto"/>
            <w:tcBorders>
              <w:top w:val="nil"/>
              <w:left w:val="nil"/>
              <w:bottom w:val="single" w:sz="4" w:space="0" w:color="auto"/>
              <w:right w:val="single" w:sz="4" w:space="0" w:color="auto"/>
            </w:tcBorders>
            <w:shd w:val="clear" w:color="auto" w:fill="C2D69B" w:themeFill="accent3" w:themeFillTint="99"/>
            <w:noWrap/>
            <w:vAlign w:val="bottom"/>
            <w:hideMark/>
          </w:tcPr>
          <w:p w14:paraId="5D72D67C" w14:textId="77777777" w:rsidR="00765AEC" w:rsidRPr="00765AEC" w:rsidRDefault="00765AEC" w:rsidP="00765AEC">
            <w:pPr>
              <w:spacing w:after="0" w:line="240" w:lineRule="auto"/>
              <w:jc w:val="center"/>
            </w:pPr>
            <w:r w:rsidRPr="00765AEC">
              <w:t>78 596</w:t>
            </w:r>
          </w:p>
        </w:tc>
        <w:tc>
          <w:tcPr>
            <w:tcW w:w="0" w:type="auto"/>
            <w:tcBorders>
              <w:top w:val="nil"/>
              <w:left w:val="nil"/>
              <w:bottom w:val="single" w:sz="4" w:space="0" w:color="auto"/>
              <w:right w:val="single" w:sz="4" w:space="0" w:color="auto"/>
            </w:tcBorders>
            <w:shd w:val="clear" w:color="auto" w:fill="C2D69B" w:themeFill="accent3" w:themeFillTint="99"/>
            <w:noWrap/>
            <w:vAlign w:val="center"/>
            <w:hideMark/>
          </w:tcPr>
          <w:p w14:paraId="199B31AF" w14:textId="77777777" w:rsidR="00765AEC" w:rsidRPr="00765AEC" w:rsidRDefault="00765AEC" w:rsidP="00765AEC">
            <w:pPr>
              <w:spacing w:after="0" w:line="240" w:lineRule="auto"/>
              <w:jc w:val="center"/>
            </w:pPr>
            <w:r w:rsidRPr="00765AEC">
              <w:t>35,4%</w:t>
            </w:r>
          </w:p>
        </w:tc>
      </w:tr>
      <w:tr w:rsidR="00765AEC" w:rsidRPr="00765AEC" w14:paraId="2D249E65" w14:textId="77777777" w:rsidTr="00765AEC">
        <w:trPr>
          <w:trHeight w:val="186"/>
        </w:trPr>
        <w:tc>
          <w:tcPr>
            <w:tcW w:w="0" w:type="auto"/>
            <w:vMerge/>
            <w:tcBorders>
              <w:top w:val="single" w:sz="4" w:space="0" w:color="auto"/>
              <w:left w:val="single" w:sz="4" w:space="0" w:color="auto"/>
              <w:bottom w:val="single" w:sz="8" w:space="0" w:color="000000"/>
              <w:right w:val="single" w:sz="4" w:space="0" w:color="auto"/>
            </w:tcBorders>
            <w:shd w:val="clear" w:color="auto" w:fill="C2D69B" w:themeFill="accent3" w:themeFillTint="99"/>
            <w:vAlign w:val="center"/>
            <w:hideMark/>
          </w:tcPr>
          <w:p w14:paraId="7EC5DB1A"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C2D69B" w:themeFill="accent3" w:themeFillTint="99"/>
            <w:noWrap/>
            <w:vAlign w:val="bottom"/>
            <w:hideMark/>
          </w:tcPr>
          <w:p w14:paraId="07738117" w14:textId="77777777" w:rsidR="00765AEC" w:rsidRPr="00765AEC" w:rsidRDefault="00765AEC" w:rsidP="00765AEC">
            <w:pPr>
              <w:spacing w:after="0" w:line="240" w:lineRule="auto"/>
            </w:pPr>
            <w:r w:rsidRPr="00765AEC">
              <w:t>Some Secondary</w:t>
            </w:r>
          </w:p>
        </w:tc>
        <w:tc>
          <w:tcPr>
            <w:tcW w:w="0" w:type="auto"/>
            <w:tcBorders>
              <w:top w:val="nil"/>
              <w:left w:val="nil"/>
              <w:bottom w:val="single" w:sz="4" w:space="0" w:color="auto"/>
              <w:right w:val="single" w:sz="4" w:space="0" w:color="auto"/>
            </w:tcBorders>
            <w:shd w:val="clear" w:color="auto" w:fill="C2D69B" w:themeFill="accent3" w:themeFillTint="99"/>
            <w:noWrap/>
            <w:vAlign w:val="bottom"/>
            <w:hideMark/>
          </w:tcPr>
          <w:p w14:paraId="752C0095" w14:textId="77777777" w:rsidR="00765AEC" w:rsidRPr="00765AEC" w:rsidRDefault="00765AEC" w:rsidP="00765AEC">
            <w:pPr>
              <w:spacing w:after="0" w:line="240" w:lineRule="auto"/>
              <w:jc w:val="center"/>
            </w:pPr>
            <w:r w:rsidRPr="00765AEC">
              <w:t>51 203</w:t>
            </w:r>
          </w:p>
        </w:tc>
        <w:tc>
          <w:tcPr>
            <w:tcW w:w="0" w:type="auto"/>
            <w:tcBorders>
              <w:top w:val="nil"/>
              <w:left w:val="nil"/>
              <w:bottom w:val="single" w:sz="4" w:space="0" w:color="auto"/>
              <w:right w:val="single" w:sz="4" w:space="0" w:color="auto"/>
            </w:tcBorders>
            <w:shd w:val="clear" w:color="auto" w:fill="C2D69B" w:themeFill="accent3" w:themeFillTint="99"/>
            <w:noWrap/>
            <w:vAlign w:val="center"/>
            <w:hideMark/>
          </w:tcPr>
          <w:p w14:paraId="341F3AEE" w14:textId="77777777" w:rsidR="00765AEC" w:rsidRPr="00765AEC" w:rsidRDefault="00765AEC" w:rsidP="00765AEC">
            <w:pPr>
              <w:spacing w:after="0" w:line="240" w:lineRule="auto"/>
              <w:jc w:val="center"/>
            </w:pPr>
            <w:r w:rsidRPr="00765AEC">
              <w:t>23,0%</w:t>
            </w:r>
          </w:p>
        </w:tc>
      </w:tr>
      <w:tr w:rsidR="00765AEC" w:rsidRPr="00765AEC" w14:paraId="355F29F3" w14:textId="77777777" w:rsidTr="00765AEC">
        <w:trPr>
          <w:trHeight w:val="186"/>
        </w:trPr>
        <w:tc>
          <w:tcPr>
            <w:tcW w:w="0" w:type="auto"/>
            <w:vMerge/>
            <w:tcBorders>
              <w:top w:val="single" w:sz="4" w:space="0" w:color="auto"/>
              <w:left w:val="single" w:sz="4" w:space="0" w:color="auto"/>
              <w:bottom w:val="single" w:sz="8" w:space="0" w:color="000000"/>
              <w:right w:val="single" w:sz="4" w:space="0" w:color="auto"/>
            </w:tcBorders>
            <w:shd w:val="clear" w:color="auto" w:fill="C2D69B" w:themeFill="accent3" w:themeFillTint="99"/>
            <w:vAlign w:val="center"/>
            <w:hideMark/>
          </w:tcPr>
          <w:p w14:paraId="70DD4BAD"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C2D69B" w:themeFill="accent3" w:themeFillTint="99"/>
            <w:noWrap/>
            <w:vAlign w:val="bottom"/>
            <w:hideMark/>
          </w:tcPr>
          <w:p w14:paraId="74AD1485" w14:textId="77777777" w:rsidR="00765AEC" w:rsidRPr="00765AEC" w:rsidRDefault="00765AEC" w:rsidP="00765AEC">
            <w:pPr>
              <w:spacing w:after="0" w:line="240" w:lineRule="auto"/>
            </w:pPr>
            <w:r w:rsidRPr="00765AEC">
              <w:t>Matric</w:t>
            </w:r>
          </w:p>
        </w:tc>
        <w:tc>
          <w:tcPr>
            <w:tcW w:w="0" w:type="auto"/>
            <w:tcBorders>
              <w:top w:val="nil"/>
              <w:left w:val="nil"/>
              <w:bottom w:val="single" w:sz="4" w:space="0" w:color="auto"/>
              <w:right w:val="single" w:sz="4" w:space="0" w:color="auto"/>
            </w:tcBorders>
            <w:shd w:val="clear" w:color="auto" w:fill="C2D69B" w:themeFill="accent3" w:themeFillTint="99"/>
            <w:noWrap/>
            <w:vAlign w:val="bottom"/>
            <w:hideMark/>
          </w:tcPr>
          <w:p w14:paraId="2EF92914" w14:textId="77777777" w:rsidR="00765AEC" w:rsidRPr="00765AEC" w:rsidRDefault="00765AEC" w:rsidP="00765AEC">
            <w:pPr>
              <w:spacing w:after="0" w:line="240" w:lineRule="auto"/>
              <w:jc w:val="center"/>
            </w:pPr>
            <w:r w:rsidRPr="00765AEC">
              <w:t>31 668</w:t>
            </w:r>
          </w:p>
        </w:tc>
        <w:tc>
          <w:tcPr>
            <w:tcW w:w="0" w:type="auto"/>
            <w:tcBorders>
              <w:top w:val="nil"/>
              <w:left w:val="nil"/>
              <w:bottom w:val="single" w:sz="4" w:space="0" w:color="auto"/>
              <w:right w:val="single" w:sz="4" w:space="0" w:color="auto"/>
            </w:tcBorders>
            <w:shd w:val="clear" w:color="auto" w:fill="C2D69B" w:themeFill="accent3" w:themeFillTint="99"/>
            <w:noWrap/>
            <w:vAlign w:val="center"/>
            <w:hideMark/>
          </w:tcPr>
          <w:p w14:paraId="27A9BA5C" w14:textId="77777777" w:rsidR="00765AEC" w:rsidRPr="00765AEC" w:rsidRDefault="00765AEC" w:rsidP="00765AEC">
            <w:pPr>
              <w:spacing w:after="0" w:line="240" w:lineRule="auto"/>
              <w:jc w:val="center"/>
            </w:pPr>
            <w:r w:rsidRPr="00765AEC">
              <w:t>14,3%</w:t>
            </w:r>
          </w:p>
        </w:tc>
      </w:tr>
      <w:tr w:rsidR="00765AEC" w:rsidRPr="00765AEC" w14:paraId="33D60129" w14:textId="77777777" w:rsidTr="00765AEC">
        <w:trPr>
          <w:trHeight w:val="194"/>
        </w:trPr>
        <w:tc>
          <w:tcPr>
            <w:tcW w:w="0" w:type="auto"/>
            <w:vMerge/>
            <w:tcBorders>
              <w:top w:val="single" w:sz="4" w:space="0" w:color="auto"/>
              <w:left w:val="single" w:sz="4" w:space="0" w:color="auto"/>
              <w:bottom w:val="single" w:sz="8" w:space="0" w:color="000000"/>
              <w:right w:val="single" w:sz="4" w:space="0" w:color="auto"/>
            </w:tcBorders>
            <w:shd w:val="clear" w:color="auto" w:fill="C2D69B" w:themeFill="accent3" w:themeFillTint="99"/>
            <w:vAlign w:val="center"/>
            <w:hideMark/>
          </w:tcPr>
          <w:p w14:paraId="1ED9108B" w14:textId="77777777" w:rsidR="00765AEC" w:rsidRPr="00765AEC" w:rsidRDefault="00765AEC" w:rsidP="00765AEC">
            <w:pPr>
              <w:spacing w:after="0" w:line="240" w:lineRule="auto"/>
            </w:pPr>
          </w:p>
        </w:tc>
        <w:tc>
          <w:tcPr>
            <w:tcW w:w="0" w:type="auto"/>
            <w:tcBorders>
              <w:top w:val="nil"/>
              <w:left w:val="nil"/>
              <w:bottom w:val="single" w:sz="8" w:space="0" w:color="auto"/>
              <w:right w:val="single" w:sz="4" w:space="0" w:color="auto"/>
            </w:tcBorders>
            <w:shd w:val="clear" w:color="auto" w:fill="C2D69B" w:themeFill="accent3" w:themeFillTint="99"/>
            <w:noWrap/>
            <w:vAlign w:val="bottom"/>
            <w:hideMark/>
          </w:tcPr>
          <w:p w14:paraId="085C5FFE" w14:textId="77777777" w:rsidR="00765AEC" w:rsidRPr="00765AEC" w:rsidRDefault="00765AEC" w:rsidP="00765AEC">
            <w:pPr>
              <w:spacing w:after="0" w:line="240" w:lineRule="auto"/>
            </w:pPr>
            <w:r w:rsidRPr="00765AEC">
              <w:t>Tertiary</w:t>
            </w:r>
          </w:p>
        </w:tc>
        <w:tc>
          <w:tcPr>
            <w:tcW w:w="0" w:type="auto"/>
            <w:tcBorders>
              <w:top w:val="nil"/>
              <w:left w:val="nil"/>
              <w:bottom w:val="single" w:sz="8" w:space="0" w:color="auto"/>
              <w:right w:val="single" w:sz="4" w:space="0" w:color="auto"/>
            </w:tcBorders>
            <w:shd w:val="clear" w:color="auto" w:fill="C2D69B" w:themeFill="accent3" w:themeFillTint="99"/>
            <w:noWrap/>
            <w:vAlign w:val="bottom"/>
            <w:hideMark/>
          </w:tcPr>
          <w:p w14:paraId="5ADB4F4A" w14:textId="77777777" w:rsidR="00765AEC" w:rsidRPr="00765AEC" w:rsidRDefault="00765AEC" w:rsidP="00765AEC">
            <w:pPr>
              <w:spacing w:after="0" w:line="240" w:lineRule="auto"/>
              <w:jc w:val="center"/>
            </w:pPr>
            <w:r w:rsidRPr="00765AEC">
              <w:t>6 406</w:t>
            </w:r>
          </w:p>
        </w:tc>
        <w:tc>
          <w:tcPr>
            <w:tcW w:w="0" w:type="auto"/>
            <w:tcBorders>
              <w:top w:val="nil"/>
              <w:left w:val="nil"/>
              <w:bottom w:val="single" w:sz="8" w:space="0" w:color="auto"/>
              <w:right w:val="single" w:sz="4" w:space="0" w:color="auto"/>
            </w:tcBorders>
            <w:shd w:val="clear" w:color="auto" w:fill="C2D69B" w:themeFill="accent3" w:themeFillTint="99"/>
            <w:noWrap/>
            <w:vAlign w:val="center"/>
            <w:hideMark/>
          </w:tcPr>
          <w:p w14:paraId="2A7DB6AE" w14:textId="77777777" w:rsidR="00765AEC" w:rsidRPr="00765AEC" w:rsidRDefault="00765AEC" w:rsidP="00765AEC">
            <w:pPr>
              <w:spacing w:after="0" w:line="240" w:lineRule="auto"/>
              <w:jc w:val="center"/>
            </w:pPr>
            <w:r w:rsidRPr="00765AEC">
              <w:t>2,9%</w:t>
            </w:r>
          </w:p>
        </w:tc>
      </w:tr>
      <w:tr w:rsidR="00765AEC" w:rsidRPr="00765AEC" w14:paraId="05BD3C65" w14:textId="77777777" w:rsidTr="00765AEC">
        <w:trPr>
          <w:trHeight w:val="186"/>
        </w:trPr>
        <w:tc>
          <w:tcPr>
            <w:tcW w:w="0" w:type="auto"/>
            <w:vMerge w:val="restart"/>
            <w:tcBorders>
              <w:top w:val="nil"/>
              <w:left w:val="single" w:sz="4" w:space="0" w:color="auto"/>
              <w:bottom w:val="single" w:sz="8" w:space="0" w:color="000000"/>
              <w:right w:val="single" w:sz="4" w:space="0" w:color="auto"/>
            </w:tcBorders>
            <w:shd w:val="clear" w:color="auto" w:fill="D9D9D9" w:themeFill="background1" w:themeFillShade="D9"/>
            <w:vAlign w:val="center"/>
            <w:hideMark/>
          </w:tcPr>
          <w:p w14:paraId="33F75477" w14:textId="77777777" w:rsidR="00765AEC" w:rsidRPr="00765AEC" w:rsidRDefault="00765AEC" w:rsidP="00765AEC">
            <w:pPr>
              <w:spacing w:after="0" w:line="240" w:lineRule="auto"/>
            </w:pPr>
            <w:r w:rsidRPr="00765AEC">
              <w:t>Highest level of education (by gender)</w:t>
            </w:r>
          </w:p>
        </w:tc>
        <w:tc>
          <w:tcPr>
            <w:tcW w:w="0" w:type="auto"/>
            <w:tcBorders>
              <w:top w:val="nil"/>
              <w:left w:val="nil"/>
              <w:bottom w:val="single" w:sz="4" w:space="0" w:color="auto"/>
              <w:right w:val="single" w:sz="4" w:space="0" w:color="auto"/>
            </w:tcBorders>
            <w:shd w:val="clear" w:color="auto" w:fill="D9D9D9" w:themeFill="background1" w:themeFillShade="D9"/>
            <w:noWrap/>
            <w:vAlign w:val="bottom"/>
            <w:hideMark/>
          </w:tcPr>
          <w:p w14:paraId="32703984" w14:textId="77777777" w:rsidR="00765AEC" w:rsidRPr="00765AEC" w:rsidRDefault="00765AEC" w:rsidP="00765AEC">
            <w:pPr>
              <w:spacing w:after="0" w:line="240" w:lineRule="auto"/>
            </w:pPr>
            <w:r w:rsidRPr="00765AEC">
              <w:t>No schooling (Males)</w:t>
            </w:r>
          </w:p>
        </w:tc>
        <w:tc>
          <w:tcPr>
            <w:tcW w:w="0" w:type="auto"/>
            <w:tcBorders>
              <w:top w:val="nil"/>
              <w:left w:val="nil"/>
              <w:bottom w:val="single" w:sz="4" w:space="0" w:color="auto"/>
              <w:right w:val="single" w:sz="4" w:space="0" w:color="auto"/>
            </w:tcBorders>
            <w:shd w:val="clear" w:color="auto" w:fill="D9D9D9" w:themeFill="background1" w:themeFillShade="D9"/>
            <w:noWrap/>
            <w:vAlign w:val="bottom"/>
            <w:hideMark/>
          </w:tcPr>
          <w:p w14:paraId="165B4017" w14:textId="77777777" w:rsidR="00765AEC" w:rsidRPr="00765AEC" w:rsidRDefault="00765AEC" w:rsidP="00765AEC">
            <w:pPr>
              <w:spacing w:after="0" w:line="240" w:lineRule="auto"/>
              <w:jc w:val="center"/>
            </w:pPr>
            <w:r w:rsidRPr="00765AEC">
              <w:t>23 560</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14:paraId="45B6829B" w14:textId="77777777" w:rsidR="00765AEC" w:rsidRPr="00765AEC" w:rsidRDefault="00765AEC" w:rsidP="00765AEC">
            <w:pPr>
              <w:spacing w:after="0" w:line="240" w:lineRule="auto"/>
              <w:jc w:val="center"/>
            </w:pPr>
            <w:r w:rsidRPr="00765AEC">
              <w:t>22,8%</w:t>
            </w:r>
          </w:p>
        </w:tc>
      </w:tr>
      <w:tr w:rsidR="00765AEC" w:rsidRPr="00765AEC" w14:paraId="70294581" w14:textId="77777777" w:rsidTr="00765AEC">
        <w:trPr>
          <w:trHeight w:val="186"/>
        </w:trPr>
        <w:tc>
          <w:tcPr>
            <w:tcW w:w="0" w:type="auto"/>
            <w:vMerge/>
            <w:tcBorders>
              <w:top w:val="nil"/>
              <w:left w:val="single" w:sz="4" w:space="0" w:color="auto"/>
              <w:bottom w:val="single" w:sz="8" w:space="0" w:color="000000"/>
              <w:right w:val="single" w:sz="4" w:space="0" w:color="auto"/>
            </w:tcBorders>
            <w:shd w:val="clear" w:color="auto" w:fill="D9D9D9" w:themeFill="background1" w:themeFillShade="D9"/>
            <w:vAlign w:val="center"/>
            <w:hideMark/>
          </w:tcPr>
          <w:p w14:paraId="47C29820"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D9D9D9" w:themeFill="background1" w:themeFillShade="D9"/>
            <w:noWrap/>
            <w:vAlign w:val="bottom"/>
            <w:hideMark/>
          </w:tcPr>
          <w:p w14:paraId="0F52EEA0" w14:textId="77777777" w:rsidR="00765AEC" w:rsidRPr="00765AEC" w:rsidRDefault="00765AEC" w:rsidP="00765AEC">
            <w:pPr>
              <w:spacing w:after="0" w:line="240" w:lineRule="auto"/>
            </w:pPr>
            <w:r w:rsidRPr="00765AEC">
              <w:t>No schooling (Females)</w:t>
            </w:r>
          </w:p>
        </w:tc>
        <w:tc>
          <w:tcPr>
            <w:tcW w:w="0" w:type="auto"/>
            <w:tcBorders>
              <w:top w:val="nil"/>
              <w:left w:val="nil"/>
              <w:bottom w:val="single" w:sz="4" w:space="0" w:color="auto"/>
              <w:right w:val="single" w:sz="4" w:space="0" w:color="auto"/>
            </w:tcBorders>
            <w:shd w:val="clear" w:color="auto" w:fill="D9D9D9" w:themeFill="background1" w:themeFillShade="D9"/>
            <w:noWrap/>
            <w:vAlign w:val="bottom"/>
            <w:hideMark/>
          </w:tcPr>
          <w:p w14:paraId="7B993249" w14:textId="77777777" w:rsidR="00765AEC" w:rsidRPr="00765AEC" w:rsidRDefault="00765AEC" w:rsidP="00765AEC">
            <w:pPr>
              <w:spacing w:after="0" w:line="240" w:lineRule="auto"/>
              <w:jc w:val="center"/>
            </w:pPr>
            <w:r w:rsidRPr="00765AEC">
              <w:t>30 756</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14:paraId="3F2B0345" w14:textId="77777777" w:rsidR="00765AEC" w:rsidRPr="00765AEC" w:rsidRDefault="00765AEC" w:rsidP="00765AEC">
            <w:pPr>
              <w:spacing w:after="0" w:line="240" w:lineRule="auto"/>
              <w:jc w:val="center"/>
            </w:pPr>
            <w:r w:rsidRPr="00765AEC">
              <w:t>25,9%</w:t>
            </w:r>
          </w:p>
        </w:tc>
      </w:tr>
      <w:tr w:rsidR="00765AEC" w:rsidRPr="00765AEC" w14:paraId="34289414" w14:textId="77777777" w:rsidTr="00765AEC">
        <w:trPr>
          <w:trHeight w:val="186"/>
        </w:trPr>
        <w:tc>
          <w:tcPr>
            <w:tcW w:w="0" w:type="auto"/>
            <w:vMerge/>
            <w:tcBorders>
              <w:top w:val="nil"/>
              <w:left w:val="single" w:sz="4" w:space="0" w:color="auto"/>
              <w:bottom w:val="single" w:sz="8" w:space="0" w:color="000000"/>
              <w:right w:val="single" w:sz="4" w:space="0" w:color="auto"/>
            </w:tcBorders>
            <w:shd w:val="clear" w:color="auto" w:fill="D9D9D9" w:themeFill="background1" w:themeFillShade="D9"/>
            <w:vAlign w:val="center"/>
            <w:hideMark/>
          </w:tcPr>
          <w:p w14:paraId="7A5C6517"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D9D9D9" w:themeFill="background1" w:themeFillShade="D9"/>
            <w:noWrap/>
            <w:vAlign w:val="bottom"/>
            <w:hideMark/>
          </w:tcPr>
          <w:p w14:paraId="459F0DAE" w14:textId="77777777" w:rsidR="00765AEC" w:rsidRPr="00765AEC" w:rsidRDefault="00765AEC" w:rsidP="00765AEC">
            <w:pPr>
              <w:spacing w:after="0" w:line="240" w:lineRule="auto"/>
            </w:pPr>
            <w:r w:rsidRPr="00765AEC">
              <w:t>Primary Schooling (Males)</w:t>
            </w:r>
          </w:p>
        </w:tc>
        <w:tc>
          <w:tcPr>
            <w:tcW w:w="0" w:type="auto"/>
            <w:tcBorders>
              <w:top w:val="nil"/>
              <w:left w:val="nil"/>
              <w:bottom w:val="single" w:sz="4" w:space="0" w:color="auto"/>
              <w:right w:val="single" w:sz="4" w:space="0" w:color="auto"/>
            </w:tcBorders>
            <w:shd w:val="clear" w:color="auto" w:fill="D9D9D9" w:themeFill="background1" w:themeFillShade="D9"/>
            <w:noWrap/>
            <w:vAlign w:val="bottom"/>
            <w:hideMark/>
          </w:tcPr>
          <w:p w14:paraId="01DC9C77" w14:textId="77777777" w:rsidR="00765AEC" w:rsidRPr="00765AEC" w:rsidRDefault="00765AEC" w:rsidP="00765AEC">
            <w:pPr>
              <w:spacing w:after="0" w:line="240" w:lineRule="auto"/>
              <w:jc w:val="center"/>
            </w:pPr>
            <w:r w:rsidRPr="00765AEC">
              <w:t>38 890</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14:paraId="076B22F4" w14:textId="77777777" w:rsidR="00765AEC" w:rsidRPr="00765AEC" w:rsidRDefault="00765AEC" w:rsidP="00765AEC">
            <w:pPr>
              <w:spacing w:after="0" w:line="240" w:lineRule="auto"/>
              <w:jc w:val="center"/>
            </w:pPr>
            <w:r w:rsidRPr="00765AEC">
              <w:t>37,7%</w:t>
            </w:r>
          </w:p>
        </w:tc>
      </w:tr>
      <w:tr w:rsidR="00765AEC" w:rsidRPr="00765AEC" w14:paraId="0E690EBE" w14:textId="77777777" w:rsidTr="00765AEC">
        <w:trPr>
          <w:trHeight w:val="186"/>
        </w:trPr>
        <w:tc>
          <w:tcPr>
            <w:tcW w:w="0" w:type="auto"/>
            <w:vMerge/>
            <w:tcBorders>
              <w:top w:val="nil"/>
              <w:left w:val="single" w:sz="4" w:space="0" w:color="auto"/>
              <w:bottom w:val="single" w:sz="8" w:space="0" w:color="000000"/>
              <w:right w:val="single" w:sz="4" w:space="0" w:color="auto"/>
            </w:tcBorders>
            <w:shd w:val="clear" w:color="auto" w:fill="D9D9D9" w:themeFill="background1" w:themeFillShade="D9"/>
            <w:vAlign w:val="center"/>
            <w:hideMark/>
          </w:tcPr>
          <w:p w14:paraId="13C59EE6"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D9D9D9" w:themeFill="background1" w:themeFillShade="D9"/>
            <w:noWrap/>
            <w:vAlign w:val="bottom"/>
            <w:hideMark/>
          </w:tcPr>
          <w:p w14:paraId="1F6D8768" w14:textId="77777777" w:rsidR="00765AEC" w:rsidRPr="00765AEC" w:rsidRDefault="00765AEC" w:rsidP="00765AEC">
            <w:pPr>
              <w:spacing w:after="0" w:line="240" w:lineRule="auto"/>
            </w:pPr>
            <w:r w:rsidRPr="00765AEC">
              <w:t>Primary Schooling (Females)</w:t>
            </w:r>
          </w:p>
        </w:tc>
        <w:tc>
          <w:tcPr>
            <w:tcW w:w="0" w:type="auto"/>
            <w:tcBorders>
              <w:top w:val="nil"/>
              <w:left w:val="nil"/>
              <w:bottom w:val="single" w:sz="4" w:space="0" w:color="auto"/>
              <w:right w:val="single" w:sz="4" w:space="0" w:color="auto"/>
            </w:tcBorders>
            <w:shd w:val="clear" w:color="auto" w:fill="D9D9D9" w:themeFill="background1" w:themeFillShade="D9"/>
            <w:noWrap/>
            <w:vAlign w:val="bottom"/>
            <w:hideMark/>
          </w:tcPr>
          <w:p w14:paraId="47F05232" w14:textId="77777777" w:rsidR="00765AEC" w:rsidRPr="00765AEC" w:rsidRDefault="00765AEC" w:rsidP="00765AEC">
            <w:pPr>
              <w:spacing w:after="0" w:line="240" w:lineRule="auto"/>
              <w:jc w:val="center"/>
            </w:pPr>
            <w:r w:rsidRPr="00765AEC">
              <w:t>39 706</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14:paraId="698E2D34" w14:textId="77777777" w:rsidR="00765AEC" w:rsidRPr="00765AEC" w:rsidRDefault="00765AEC" w:rsidP="00765AEC">
            <w:pPr>
              <w:spacing w:after="0" w:line="240" w:lineRule="auto"/>
              <w:jc w:val="center"/>
            </w:pPr>
            <w:r w:rsidRPr="00765AEC">
              <w:t>33,4%</w:t>
            </w:r>
          </w:p>
        </w:tc>
      </w:tr>
      <w:tr w:rsidR="00765AEC" w:rsidRPr="00765AEC" w14:paraId="71AB8309" w14:textId="77777777" w:rsidTr="00765AEC">
        <w:trPr>
          <w:trHeight w:val="186"/>
        </w:trPr>
        <w:tc>
          <w:tcPr>
            <w:tcW w:w="0" w:type="auto"/>
            <w:vMerge/>
            <w:tcBorders>
              <w:top w:val="nil"/>
              <w:left w:val="single" w:sz="4" w:space="0" w:color="auto"/>
              <w:bottom w:val="single" w:sz="8" w:space="0" w:color="000000"/>
              <w:right w:val="single" w:sz="4" w:space="0" w:color="auto"/>
            </w:tcBorders>
            <w:shd w:val="clear" w:color="auto" w:fill="D9D9D9" w:themeFill="background1" w:themeFillShade="D9"/>
            <w:vAlign w:val="center"/>
            <w:hideMark/>
          </w:tcPr>
          <w:p w14:paraId="6F67433F"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D9D9D9" w:themeFill="background1" w:themeFillShade="D9"/>
            <w:noWrap/>
            <w:vAlign w:val="bottom"/>
            <w:hideMark/>
          </w:tcPr>
          <w:p w14:paraId="678BB8E0" w14:textId="77777777" w:rsidR="00765AEC" w:rsidRPr="00765AEC" w:rsidRDefault="00765AEC" w:rsidP="00765AEC">
            <w:pPr>
              <w:spacing w:after="0" w:line="240" w:lineRule="auto"/>
            </w:pPr>
            <w:r w:rsidRPr="00765AEC">
              <w:t>Some Secondary (Males)</w:t>
            </w:r>
          </w:p>
        </w:tc>
        <w:tc>
          <w:tcPr>
            <w:tcW w:w="0" w:type="auto"/>
            <w:tcBorders>
              <w:top w:val="nil"/>
              <w:left w:val="nil"/>
              <w:bottom w:val="single" w:sz="4" w:space="0" w:color="auto"/>
              <w:right w:val="single" w:sz="4" w:space="0" w:color="auto"/>
            </w:tcBorders>
            <w:shd w:val="clear" w:color="auto" w:fill="D9D9D9" w:themeFill="background1" w:themeFillShade="D9"/>
            <w:noWrap/>
            <w:vAlign w:val="bottom"/>
            <w:hideMark/>
          </w:tcPr>
          <w:p w14:paraId="76406647" w14:textId="77777777" w:rsidR="00765AEC" w:rsidRPr="00765AEC" w:rsidRDefault="00765AEC" w:rsidP="00765AEC">
            <w:pPr>
              <w:spacing w:after="0" w:line="240" w:lineRule="auto"/>
              <w:jc w:val="center"/>
            </w:pPr>
            <w:r w:rsidRPr="00765AEC">
              <w:t>23 714</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14:paraId="1FA0AA21" w14:textId="77777777" w:rsidR="00765AEC" w:rsidRPr="00765AEC" w:rsidRDefault="00765AEC" w:rsidP="00765AEC">
            <w:pPr>
              <w:spacing w:after="0" w:line="240" w:lineRule="auto"/>
              <w:jc w:val="center"/>
            </w:pPr>
            <w:r w:rsidRPr="00765AEC">
              <w:t>23,0%</w:t>
            </w:r>
          </w:p>
        </w:tc>
      </w:tr>
      <w:tr w:rsidR="00765AEC" w:rsidRPr="00765AEC" w14:paraId="1C80F027" w14:textId="77777777" w:rsidTr="00765AEC">
        <w:trPr>
          <w:trHeight w:val="186"/>
        </w:trPr>
        <w:tc>
          <w:tcPr>
            <w:tcW w:w="0" w:type="auto"/>
            <w:vMerge/>
            <w:tcBorders>
              <w:top w:val="nil"/>
              <w:left w:val="single" w:sz="4" w:space="0" w:color="auto"/>
              <w:bottom w:val="single" w:sz="8" w:space="0" w:color="000000"/>
              <w:right w:val="single" w:sz="4" w:space="0" w:color="auto"/>
            </w:tcBorders>
            <w:shd w:val="clear" w:color="auto" w:fill="D9D9D9" w:themeFill="background1" w:themeFillShade="D9"/>
            <w:vAlign w:val="center"/>
            <w:hideMark/>
          </w:tcPr>
          <w:p w14:paraId="5BCEE24F"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14:paraId="2ACCDC39" w14:textId="77777777" w:rsidR="00765AEC" w:rsidRPr="00765AEC" w:rsidRDefault="00765AEC" w:rsidP="00765AEC">
            <w:pPr>
              <w:spacing w:after="0" w:line="240" w:lineRule="auto"/>
            </w:pPr>
            <w:r w:rsidRPr="00765AEC">
              <w:t>Some Secondary (Females)</w:t>
            </w:r>
          </w:p>
        </w:tc>
        <w:tc>
          <w:tcPr>
            <w:tcW w:w="0" w:type="auto"/>
            <w:tcBorders>
              <w:top w:val="nil"/>
              <w:left w:val="nil"/>
              <w:bottom w:val="single" w:sz="4" w:space="0" w:color="auto"/>
              <w:right w:val="single" w:sz="4" w:space="0" w:color="auto"/>
            </w:tcBorders>
            <w:shd w:val="clear" w:color="auto" w:fill="D9D9D9" w:themeFill="background1" w:themeFillShade="D9"/>
            <w:noWrap/>
            <w:vAlign w:val="bottom"/>
            <w:hideMark/>
          </w:tcPr>
          <w:p w14:paraId="10294349" w14:textId="77777777" w:rsidR="00765AEC" w:rsidRPr="00765AEC" w:rsidRDefault="00765AEC" w:rsidP="00765AEC">
            <w:pPr>
              <w:spacing w:after="0" w:line="240" w:lineRule="auto"/>
              <w:jc w:val="center"/>
            </w:pPr>
            <w:r w:rsidRPr="00765AEC">
              <w:t>27 489</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14:paraId="1A07136D" w14:textId="77777777" w:rsidR="00765AEC" w:rsidRPr="00765AEC" w:rsidRDefault="00765AEC" w:rsidP="00765AEC">
            <w:pPr>
              <w:spacing w:after="0" w:line="240" w:lineRule="auto"/>
              <w:jc w:val="center"/>
            </w:pPr>
            <w:r w:rsidRPr="00765AEC">
              <w:t>23,1%</w:t>
            </w:r>
          </w:p>
        </w:tc>
      </w:tr>
      <w:tr w:rsidR="00765AEC" w:rsidRPr="00765AEC" w14:paraId="39586D80" w14:textId="77777777" w:rsidTr="00765AEC">
        <w:trPr>
          <w:trHeight w:val="186"/>
        </w:trPr>
        <w:tc>
          <w:tcPr>
            <w:tcW w:w="0" w:type="auto"/>
            <w:vMerge/>
            <w:tcBorders>
              <w:top w:val="nil"/>
              <w:left w:val="single" w:sz="4" w:space="0" w:color="auto"/>
              <w:bottom w:val="single" w:sz="8" w:space="0" w:color="000000"/>
              <w:right w:val="single" w:sz="4" w:space="0" w:color="auto"/>
            </w:tcBorders>
            <w:shd w:val="clear" w:color="auto" w:fill="D9D9D9" w:themeFill="background1" w:themeFillShade="D9"/>
            <w:vAlign w:val="center"/>
            <w:hideMark/>
          </w:tcPr>
          <w:p w14:paraId="1989BA73"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14:paraId="53C27CAE" w14:textId="77777777" w:rsidR="00765AEC" w:rsidRPr="00765AEC" w:rsidRDefault="00765AEC" w:rsidP="00765AEC">
            <w:pPr>
              <w:spacing w:after="0" w:line="240" w:lineRule="auto"/>
            </w:pPr>
            <w:r w:rsidRPr="00765AEC">
              <w:t>Matric (Males)</w:t>
            </w:r>
          </w:p>
        </w:tc>
        <w:tc>
          <w:tcPr>
            <w:tcW w:w="0" w:type="auto"/>
            <w:tcBorders>
              <w:top w:val="nil"/>
              <w:left w:val="nil"/>
              <w:bottom w:val="single" w:sz="4" w:space="0" w:color="auto"/>
              <w:right w:val="single" w:sz="4" w:space="0" w:color="auto"/>
            </w:tcBorders>
            <w:shd w:val="clear" w:color="auto" w:fill="D9D9D9" w:themeFill="background1" w:themeFillShade="D9"/>
            <w:noWrap/>
            <w:vAlign w:val="bottom"/>
            <w:hideMark/>
          </w:tcPr>
          <w:p w14:paraId="6736142C" w14:textId="77777777" w:rsidR="00765AEC" w:rsidRPr="00765AEC" w:rsidRDefault="00765AEC" w:rsidP="00765AEC">
            <w:pPr>
              <w:spacing w:after="0" w:line="240" w:lineRule="auto"/>
              <w:jc w:val="center"/>
            </w:pPr>
            <w:r w:rsidRPr="00765AEC">
              <w:t>14 284</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14:paraId="20B0CA95" w14:textId="77777777" w:rsidR="00765AEC" w:rsidRPr="00765AEC" w:rsidRDefault="00765AEC" w:rsidP="00765AEC">
            <w:pPr>
              <w:spacing w:after="0" w:line="240" w:lineRule="auto"/>
              <w:jc w:val="center"/>
            </w:pPr>
            <w:r w:rsidRPr="00765AEC">
              <w:t>13,8%</w:t>
            </w:r>
          </w:p>
        </w:tc>
      </w:tr>
      <w:tr w:rsidR="00765AEC" w:rsidRPr="00765AEC" w14:paraId="38E324A3" w14:textId="77777777" w:rsidTr="00765AEC">
        <w:trPr>
          <w:trHeight w:val="186"/>
        </w:trPr>
        <w:tc>
          <w:tcPr>
            <w:tcW w:w="0" w:type="auto"/>
            <w:vMerge/>
            <w:tcBorders>
              <w:top w:val="nil"/>
              <w:left w:val="single" w:sz="4" w:space="0" w:color="auto"/>
              <w:bottom w:val="single" w:sz="8" w:space="0" w:color="000000"/>
              <w:right w:val="single" w:sz="4" w:space="0" w:color="auto"/>
            </w:tcBorders>
            <w:shd w:val="clear" w:color="auto" w:fill="D9D9D9" w:themeFill="background1" w:themeFillShade="D9"/>
            <w:vAlign w:val="center"/>
            <w:hideMark/>
          </w:tcPr>
          <w:p w14:paraId="106DAA42"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14:paraId="5A2968E3" w14:textId="77777777" w:rsidR="00765AEC" w:rsidRPr="00765AEC" w:rsidRDefault="00765AEC" w:rsidP="00765AEC">
            <w:pPr>
              <w:spacing w:after="0" w:line="240" w:lineRule="auto"/>
            </w:pPr>
            <w:r w:rsidRPr="00765AEC">
              <w:t>Matric (Females)</w:t>
            </w:r>
          </w:p>
        </w:tc>
        <w:tc>
          <w:tcPr>
            <w:tcW w:w="0" w:type="auto"/>
            <w:tcBorders>
              <w:top w:val="nil"/>
              <w:left w:val="nil"/>
              <w:bottom w:val="single" w:sz="4" w:space="0" w:color="auto"/>
              <w:right w:val="single" w:sz="4" w:space="0" w:color="auto"/>
            </w:tcBorders>
            <w:shd w:val="clear" w:color="auto" w:fill="D9D9D9" w:themeFill="background1" w:themeFillShade="D9"/>
            <w:noWrap/>
            <w:vAlign w:val="bottom"/>
            <w:hideMark/>
          </w:tcPr>
          <w:p w14:paraId="01A9AE2D" w14:textId="77777777" w:rsidR="00765AEC" w:rsidRPr="00765AEC" w:rsidRDefault="00765AEC" w:rsidP="00765AEC">
            <w:pPr>
              <w:spacing w:after="0" w:line="240" w:lineRule="auto"/>
              <w:jc w:val="center"/>
            </w:pPr>
            <w:r w:rsidRPr="00765AEC">
              <w:t>17 385</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14:paraId="658BA26D" w14:textId="77777777" w:rsidR="00765AEC" w:rsidRPr="00765AEC" w:rsidRDefault="00765AEC" w:rsidP="00765AEC">
            <w:pPr>
              <w:spacing w:after="0" w:line="240" w:lineRule="auto"/>
              <w:jc w:val="center"/>
            </w:pPr>
            <w:r w:rsidRPr="00765AEC">
              <w:t>14,6%</w:t>
            </w:r>
          </w:p>
        </w:tc>
      </w:tr>
      <w:tr w:rsidR="00765AEC" w:rsidRPr="00765AEC" w14:paraId="2A01F214" w14:textId="77777777" w:rsidTr="00765AEC">
        <w:trPr>
          <w:trHeight w:val="186"/>
        </w:trPr>
        <w:tc>
          <w:tcPr>
            <w:tcW w:w="0" w:type="auto"/>
            <w:vMerge/>
            <w:tcBorders>
              <w:top w:val="nil"/>
              <w:left w:val="single" w:sz="4" w:space="0" w:color="auto"/>
              <w:bottom w:val="single" w:sz="8" w:space="0" w:color="000000"/>
              <w:right w:val="single" w:sz="4" w:space="0" w:color="auto"/>
            </w:tcBorders>
            <w:shd w:val="clear" w:color="auto" w:fill="D9D9D9" w:themeFill="background1" w:themeFillShade="D9"/>
            <w:vAlign w:val="center"/>
            <w:hideMark/>
          </w:tcPr>
          <w:p w14:paraId="7D015BE0"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14:paraId="382E9856" w14:textId="77777777" w:rsidR="00765AEC" w:rsidRPr="00765AEC" w:rsidRDefault="00765AEC" w:rsidP="00765AEC">
            <w:pPr>
              <w:spacing w:after="0" w:line="240" w:lineRule="auto"/>
            </w:pPr>
            <w:r w:rsidRPr="00765AEC">
              <w:t>Tertiary (Males)</w:t>
            </w:r>
          </w:p>
        </w:tc>
        <w:tc>
          <w:tcPr>
            <w:tcW w:w="0" w:type="auto"/>
            <w:tcBorders>
              <w:top w:val="nil"/>
              <w:left w:val="nil"/>
              <w:bottom w:val="single" w:sz="4" w:space="0" w:color="auto"/>
              <w:right w:val="single" w:sz="4" w:space="0" w:color="auto"/>
            </w:tcBorders>
            <w:shd w:val="clear" w:color="auto" w:fill="D9D9D9" w:themeFill="background1" w:themeFillShade="D9"/>
            <w:noWrap/>
            <w:vAlign w:val="bottom"/>
            <w:hideMark/>
          </w:tcPr>
          <w:p w14:paraId="6E96EDBC" w14:textId="77777777" w:rsidR="00765AEC" w:rsidRPr="00765AEC" w:rsidRDefault="00765AEC" w:rsidP="00765AEC">
            <w:pPr>
              <w:spacing w:after="0" w:line="240" w:lineRule="auto"/>
              <w:jc w:val="center"/>
            </w:pPr>
            <w:r w:rsidRPr="00765AEC">
              <w:t>2 832</w:t>
            </w:r>
          </w:p>
        </w:tc>
        <w:tc>
          <w:tcPr>
            <w:tcW w:w="0" w:type="auto"/>
            <w:tcBorders>
              <w:top w:val="nil"/>
              <w:left w:val="nil"/>
              <w:bottom w:val="single" w:sz="4" w:space="0" w:color="auto"/>
              <w:right w:val="single" w:sz="4" w:space="0" w:color="auto"/>
            </w:tcBorders>
            <w:shd w:val="clear" w:color="auto" w:fill="D9D9D9" w:themeFill="background1" w:themeFillShade="D9"/>
            <w:noWrap/>
            <w:vAlign w:val="center"/>
            <w:hideMark/>
          </w:tcPr>
          <w:p w14:paraId="2F2B44FA" w14:textId="77777777" w:rsidR="00765AEC" w:rsidRPr="00765AEC" w:rsidRDefault="00765AEC" w:rsidP="00765AEC">
            <w:pPr>
              <w:spacing w:after="0" w:line="240" w:lineRule="auto"/>
              <w:jc w:val="center"/>
            </w:pPr>
            <w:r w:rsidRPr="00765AEC">
              <w:t>2,7%</w:t>
            </w:r>
          </w:p>
        </w:tc>
      </w:tr>
      <w:tr w:rsidR="00765AEC" w:rsidRPr="00765AEC" w14:paraId="2D7390AA" w14:textId="77777777" w:rsidTr="00765AEC">
        <w:trPr>
          <w:trHeight w:val="194"/>
        </w:trPr>
        <w:tc>
          <w:tcPr>
            <w:tcW w:w="0" w:type="auto"/>
            <w:vMerge/>
            <w:tcBorders>
              <w:top w:val="nil"/>
              <w:left w:val="single" w:sz="4" w:space="0" w:color="auto"/>
              <w:bottom w:val="single" w:sz="8" w:space="0" w:color="000000"/>
              <w:right w:val="single" w:sz="4" w:space="0" w:color="auto"/>
            </w:tcBorders>
            <w:shd w:val="clear" w:color="auto" w:fill="D9D9D9" w:themeFill="background1" w:themeFillShade="D9"/>
            <w:vAlign w:val="center"/>
            <w:hideMark/>
          </w:tcPr>
          <w:p w14:paraId="27B0B924" w14:textId="77777777" w:rsidR="00765AEC" w:rsidRPr="00765AEC" w:rsidRDefault="00765AEC" w:rsidP="00765AEC">
            <w:pPr>
              <w:spacing w:after="0" w:line="240" w:lineRule="auto"/>
            </w:pPr>
          </w:p>
        </w:tc>
        <w:tc>
          <w:tcPr>
            <w:tcW w:w="0" w:type="auto"/>
            <w:tcBorders>
              <w:top w:val="nil"/>
              <w:left w:val="nil"/>
              <w:bottom w:val="single" w:sz="8" w:space="0" w:color="auto"/>
              <w:right w:val="single" w:sz="4" w:space="0" w:color="auto"/>
            </w:tcBorders>
            <w:shd w:val="clear" w:color="auto" w:fill="D9D9D9" w:themeFill="background1" w:themeFillShade="D9"/>
            <w:noWrap/>
            <w:vAlign w:val="center"/>
            <w:hideMark/>
          </w:tcPr>
          <w:p w14:paraId="41BB65AE" w14:textId="77777777" w:rsidR="00765AEC" w:rsidRPr="00765AEC" w:rsidRDefault="00765AEC" w:rsidP="00765AEC">
            <w:pPr>
              <w:spacing w:after="0" w:line="240" w:lineRule="auto"/>
            </w:pPr>
            <w:r w:rsidRPr="00765AEC">
              <w:t>Tertiary (Females)</w:t>
            </w:r>
          </w:p>
        </w:tc>
        <w:tc>
          <w:tcPr>
            <w:tcW w:w="0" w:type="auto"/>
            <w:tcBorders>
              <w:top w:val="nil"/>
              <w:left w:val="nil"/>
              <w:bottom w:val="single" w:sz="8" w:space="0" w:color="auto"/>
              <w:right w:val="single" w:sz="4" w:space="0" w:color="auto"/>
            </w:tcBorders>
            <w:shd w:val="clear" w:color="auto" w:fill="D9D9D9" w:themeFill="background1" w:themeFillShade="D9"/>
            <w:noWrap/>
            <w:vAlign w:val="bottom"/>
            <w:hideMark/>
          </w:tcPr>
          <w:p w14:paraId="4D38A89D" w14:textId="77777777" w:rsidR="00765AEC" w:rsidRPr="00765AEC" w:rsidRDefault="00765AEC" w:rsidP="00765AEC">
            <w:pPr>
              <w:spacing w:after="0" w:line="240" w:lineRule="auto"/>
              <w:jc w:val="center"/>
            </w:pPr>
            <w:r w:rsidRPr="00765AEC">
              <w:t>3 574</w:t>
            </w:r>
          </w:p>
        </w:tc>
        <w:tc>
          <w:tcPr>
            <w:tcW w:w="0" w:type="auto"/>
            <w:tcBorders>
              <w:top w:val="nil"/>
              <w:left w:val="nil"/>
              <w:bottom w:val="single" w:sz="8" w:space="0" w:color="auto"/>
              <w:right w:val="single" w:sz="4" w:space="0" w:color="auto"/>
            </w:tcBorders>
            <w:shd w:val="clear" w:color="auto" w:fill="D9D9D9" w:themeFill="background1" w:themeFillShade="D9"/>
            <w:noWrap/>
            <w:vAlign w:val="center"/>
            <w:hideMark/>
          </w:tcPr>
          <w:p w14:paraId="11A9782A" w14:textId="77777777" w:rsidR="00765AEC" w:rsidRPr="00765AEC" w:rsidRDefault="00765AEC" w:rsidP="00765AEC">
            <w:pPr>
              <w:spacing w:after="0" w:line="240" w:lineRule="auto"/>
              <w:jc w:val="center"/>
            </w:pPr>
            <w:r w:rsidRPr="00765AEC">
              <w:t>3,0%</w:t>
            </w:r>
          </w:p>
        </w:tc>
      </w:tr>
      <w:tr w:rsidR="00765AEC" w:rsidRPr="00765AEC" w14:paraId="1B7D65A2" w14:textId="77777777" w:rsidTr="00765AEC">
        <w:trPr>
          <w:trHeight w:val="186"/>
        </w:trPr>
        <w:tc>
          <w:tcPr>
            <w:tcW w:w="0" w:type="auto"/>
            <w:vMerge w:val="restart"/>
            <w:tcBorders>
              <w:top w:val="nil"/>
              <w:left w:val="single" w:sz="4" w:space="0" w:color="auto"/>
              <w:bottom w:val="single" w:sz="4" w:space="0" w:color="000000"/>
              <w:right w:val="single" w:sz="4" w:space="0" w:color="auto"/>
            </w:tcBorders>
            <w:shd w:val="clear" w:color="auto" w:fill="E5B8B7" w:themeFill="accent2" w:themeFillTint="66"/>
            <w:vAlign w:val="center"/>
            <w:hideMark/>
          </w:tcPr>
          <w:p w14:paraId="4581A672" w14:textId="77777777" w:rsidR="00765AEC" w:rsidRPr="00765AEC" w:rsidRDefault="00765AEC" w:rsidP="00765AEC">
            <w:pPr>
              <w:spacing w:after="0" w:line="240" w:lineRule="auto"/>
            </w:pPr>
            <w:r w:rsidRPr="00765AEC">
              <w:t>Highest level of education (by race)</w:t>
            </w:r>
          </w:p>
        </w:tc>
        <w:tc>
          <w:tcPr>
            <w:tcW w:w="0" w:type="auto"/>
            <w:tcBorders>
              <w:top w:val="nil"/>
              <w:left w:val="nil"/>
              <w:bottom w:val="single" w:sz="4" w:space="0" w:color="auto"/>
              <w:right w:val="single" w:sz="4" w:space="0" w:color="auto"/>
            </w:tcBorders>
            <w:shd w:val="clear" w:color="auto" w:fill="E5B8B7" w:themeFill="accent2" w:themeFillTint="66"/>
            <w:noWrap/>
            <w:vAlign w:val="bottom"/>
            <w:hideMark/>
          </w:tcPr>
          <w:p w14:paraId="19DB3158" w14:textId="77777777" w:rsidR="00765AEC" w:rsidRPr="00765AEC" w:rsidRDefault="00765AEC" w:rsidP="00765AEC">
            <w:pPr>
              <w:spacing w:after="0" w:line="240" w:lineRule="auto"/>
            </w:pPr>
            <w:r w:rsidRPr="00765AEC">
              <w:t>No schooling (Black African)</w:t>
            </w:r>
          </w:p>
        </w:tc>
        <w:tc>
          <w:tcPr>
            <w:tcW w:w="0" w:type="auto"/>
            <w:tcBorders>
              <w:top w:val="nil"/>
              <w:left w:val="nil"/>
              <w:bottom w:val="single" w:sz="4" w:space="0" w:color="auto"/>
              <w:right w:val="nil"/>
            </w:tcBorders>
            <w:shd w:val="clear" w:color="auto" w:fill="E5B8B7" w:themeFill="accent2" w:themeFillTint="66"/>
            <w:noWrap/>
            <w:vAlign w:val="bottom"/>
            <w:hideMark/>
          </w:tcPr>
          <w:p w14:paraId="0900ACDA" w14:textId="77777777" w:rsidR="00765AEC" w:rsidRPr="00765AEC" w:rsidRDefault="00765AEC" w:rsidP="00765AEC">
            <w:pPr>
              <w:spacing w:after="0" w:line="240" w:lineRule="auto"/>
              <w:jc w:val="center"/>
            </w:pPr>
            <w:r w:rsidRPr="00765AEC">
              <w:t>53 645</w:t>
            </w:r>
          </w:p>
        </w:tc>
        <w:tc>
          <w:tcPr>
            <w:tcW w:w="0" w:type="auto"/>
            <w:tcBorders>
              <w:top w:val="nil"/>
              <w:left w:val="single" w:sz="4" w:space="0" w:color="auto"/>
              <w:bottom w:val="single" w:sz="4" w:space="0" w:color="auto"/>
              <w:right w:val="single" w:sz="4" w:space="0" w:color="auto"/>
            </w:tcBorders>
            <w:shd w:val="clear" w:color="auto" w:fill="E5B8B7" w:themeFill="accent2" w:themeFillTint="66"/>
            <w:noWrap/>
            <w:vAlign w:val="center"/>
            <w:hideMark/>
          </w:tcPr>
          <w:p w14:paraId="79F3DD4A" w14:textId="77777777" w:rsidR="00765AEC" w:rsidRPr="00765AEC" w:rsidRDefault="00765AEC" w:rsidP="00765AEC">
            <w:pPr>
              <w:spacing w:after="0" w:line="240" w:lineRule="auto"/>
              <w:jc w:val="center"/>
            </w:pPr>
            <w:r w:rsidRPr="00765AEC">
              <w:t>24,8%</w:t>
            </w:r>
          </w:p>
        </w:tc>
      </w:tr>
      <w:tr w:rsidR="00765AEC" w:rsidRPr="00765AEC" w14:paraId="3C251FC3" w14:textId="77777777" w:rsidTr="00765AEC">
        <w:trPr>
          <w:trHeight w:val="186"/>
        </w:trPr>
        <w:tc>
          <w:tcPr>
            <w:tcW w:w="0" w:type="auto"/>
            <w:vMerge/>
            <w:tcBorders>
              <w:top w:val="nil"/>
              <w:left w:val="single" w:sz="4" w:space="0" w:color="auto"/>
              <w:bottom w:val="single" w:sz="4" w:space="0" w:color="000000"/>
              <w:right w:val="single" w:sz="4" w:space="0" w:color="auto"/>
            </w:tcBorders>
            <w:shd w:val="clear" w:color="auto" w:fill="E5B8B7" w:themeFill="accent2" w:themeFillTint="66"/>
            <w:vAlign w:val="center"/>
            <w:hideMark/>
          </w:tcPr>
          <w:p w14:paraId="34B0B42B"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E5B8B7" w:themeFill="accent2" w:themeFillTint="66"/>
            <w:noWrap/>
            <w:vAlign w:val="bottom"/>
            <w:hideMark/>
          </w:tcPr>
          <w:p w14:paraId="79FCB7EC" w14:textId="77777777" w:rsidR="00765AEC" w:rsidRPr="00765AEC" w:rsidRDefault="00765AEC" w:rsidP="00765AEC">
            <w:pPr>
              <w:spacing w:after="0" w:line="240" w:lineRule="auto"/>
            </w:pPr>
            <w:r w:rsidRPr="00765AEC">
              <w:t>No schooling (Coloured)</w:t>
            </w:r>
          </w:p>
        </w:tc>
        <w:tc>
          <w:tcPr>
            <w:tcW w:w="0" w:type="auto"/>
            <w:tcBorders>
              <w:top w:val="nil"/>
              <w:left w:val="nil"/>
              <w:bottom w:val="single" w:sz="4" w:space="0" w:color="auto"/>
              <w:right w:val="nil"/>
            </w:tcBorders>
            <w:shd w:val="clear" w:color="auto" w:fill="E5B8B7" w:themeFill="accent2" w:themeFillTint="66"/>
            <w:noWrap/>
            <w:vAlign w:val="bottom"/>
            <w:hideMark/>
          </w:tcPr>
          <w:p w14:paraId="6F28E4EC" w14:textId="77777777" w:rsidR="00765AEC" w:rsidRPr="00765AEC" w:rsidRDefault="00765AEC" w:rsidP="00765AEC">
            <w:pPr>
              <w:spacing w:after="0" w:line="240" w:lineRule="auto"/>
              <w:jc w:val="center"/>
            </w:pPr>
            <w:r w:rsidRPr="00765AEC">
              <w:t>102</w:t>
            </w:r>
          </w:p>
        </w:tc>
        <w:tc>
          <w:tcPr>
            <w:tcW w:w="0" w:type="auto"/>
            <w:tcBorders>
              <w:top w:val="nil"/>
              <w:left w:val="single" w:sz="4" w:space="0" w:color="auto"/>
              <w:bottom w:val="single" w:sz="4" w:space="0" w:color="auto"/>
              <w:right w:val="single" w:sz="4" w:space="0" w:color="auto"/>
            </w:tcBorders>
            <w:shd w:val="clear" w:color="auto" w:fill="E5B8B7" w:themeFill="accent2" w:themeFillTint="66"/>
            <w:noWrap/>
            <w:vAlign w:val="center"/>
            <w:hideMark/>
          </w:tcPr>
          <w:p w14:paraId="0EE32C3F" w14:textId="77777777" w:rsidR="00765AEC" w:rsidRPr="00765AEC" w:rsidRDefault="00765AEC" w:rsidP="00765AEC">
            <w:pPr>
              <w:spacing w:after="0" w:line="240" w:lineRule="auto"/>
              <w:jc w:val="center"/>
            </w:pPr>
            <w:r w:rsidRPr="00765AEC">
              <w:t>11,3%</w:t>
            </w:r>
          </w:p>
        </w:tc>
      </w:tr>
      <w:tr w:rsidR="00765AEC" w:rsidRPr="00765AEC" w14:paraId="16CC69B1" w14:textId="77777777" w:rsidTr="00765AEC">
        <w:trPr>
          <w:trHeight w:val="186"/>
        </w:trPr>
        <w:tc>
          <w:tcPr>
            <w:tcW w:w="0" w:type="auto"/>
            <w:vMerge/>
            <w:tcBorders>
              <w:top w:val="nil"/>
              <w:left w:val="single" w:sz="4" w:space="0" w:color="auto"/>
              <w:bottom w:val="single" w:sz="4" w:space="0" w:color="000000"/>
              <w:right w:val="single" w:sz="4" w:space="0" w:color="auto"/>
            </w:tcBorders>
            <w:shd w:val="clear" w:color="auto" w:fill="E5B8B7" w:themeFill="accent2" w:themeFillTint="66"/>
            <w:vAlign w:val="center"/>
            <w:hideMark/>
          </w:tcPr>
          <w:p w14:paraId="7740627D"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E5B8B7" w:themeFill="accent2" w:themeFillTint="66"/>
            <w:noWrap/>
            <w:vAlign w:val="bottom"/>
            <w:hideMark/>
          </w:tcPr>
          <w:p w14:paraId="7C0F4FC4" w14:textId="77777777" w:rsidR="00765AEC" w:rsidRPr="00765AEC" w:rsidRDefault="00765AEC" w:rsidP="00765AEC">
            <w:pPr>
              <w:spacing w:after="0" w:line="240" w:lineRule="auto"/>
            </w:pPr>
            <w:r w:rsidRPr="00765AEC">
              <w:t>No schooling (Indian/Asian)</w:t>
            </w:r>
          </w:p>
        </w:tc>
        <w:tc>
          <w:tcPr>
            <w:tcW w:w="0" w:type="auto"/>
            <w:tcBorders>
              <w:top w:val="nil"/>
              <w:left w:val="nil"/>
              <w:bottom w:val="single" w:sz="4" w:space="0" w:color="auto"/>
              <w:right w:val="nil"/>
            </w:tcBorders>
            <w:shd w:val="clear" w:color="auto" w:fill="E5B8B7" w:themeFill="accent2" w:themeFillTint="66"/>
            <w:noWrap/>
            <w:vAlign w:val="bottom"/>
            <w:hideMark/>
          </w:tcPr>
          <w:p w14:paraId="727403DE" w14:textId="77777777" w:rsidR="00765AEC" w:rsidRPr="00765AEC" w:rsidRDefault="00765AEC" w:rsidP="00765AEC">
            <w:pPr>
              <w:spacing w:after="0" w:line="240" w:lineRule="auto"/>
              <w:jc w:val="center"/>
            </w:pPr>
            <w:r w:rsidRPr="00765AEC">
              <w:t>288</w:t>
            </w:r>
          </w:p>
        </w:tc>
        <w:tc>
          <w:tcPr>
            <w:tcW w:w="0" w:type="auto"/>
            <w:tcBorders>
              <w:top w:val="nil"/>
              <w:left w:val="single" w:sz="4" w:space="0" w:color="auto"/>
              <w:bottom w:val="single" w:sz="4" w:space="0" w:color="auto"/>
              <w:right w:val="single" w:sz="4" w:space="0" w:color="auto"/>
            </w:tcBorders>
            <w:shd w:val="clear" w:color="auto" w:fill="E5B8B7" w:themeFill="accent2" w:themeFillTint="66"/>
            <w:noWrap/>
            <w:vAlign w:val="center"/>
            <w:hideMark/>
          </w:tcPr>
          <w:p w14:paraId="67C54A9D" w14:textId="77777777" w:rsidR="00765AEC" w:rsidRPr="00765AEC" w:rsidRDefault="00765AEC" w:rsidP="00765AEC">
            <w:pPr>
              <w:spacing w:after="0" w:line="240" w:lineRule="auto"/>
              <w:jc w:val="center"/>
            </w:pPr>
            <w:r w:rsidRPr="00765AEC">
              <w:t>13,4%</w:t>
            </w:r>
          </w:p>
        </w:tc>
      </w:tr>
      <w:tr w:rsidR="00765AEC" w:rsidRPr="00765AEC" w14:paraId="4CC37FA8" w14:textId="77777777" w:rsidTr="00765AEC">
        <w:trPr>
          <w:trHeight w:val="186"/>
        </w:trPr>
        <w:tc>
          <w:tcPr>
            <w:tcW w:w="0" w:type="auto"/>
            <w:vMerge/>
            <w:tcBorders>
              <w:top w:val="nil"/>
              <w:left w:val="single" w:sz="4" w:space="0" w:color="auto"/>
              <w:bottom w:val="single" w:sz="4" w:space="0" w:color="000000"/>
              <w:right w:val="single" w:sz="4" w:space="0" w:color="auto"/>
            </w:tcBorders>
            <w:shd w:val="clear" w:color="auto" w:fill="E5B8B7" w:themeFill="accent2" w:themeFillTint="66"/>
            <w:vAlign w:val="center"/>
            <w:hideMark/>
          </w:tcPr>
          <w:p w14:paraId="3AFF5A0F"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E5B8B7" w:themeFill="accent2" w:themeFillTint="66"/>
            <w:noWrap/>
            <w:vAlign w:val="bottom"/>
            <w:hideMark/>
          </w:tcPr>
          <w:p w14:paraId="712EB21C" w14:textId="77777777" w:rsidR="00765AEC" w:rsidRPr="00765AEC" w:rsidRDefault="00765AEC" w:rsidP="00765AEC">
            <w:pPr>
              <w:spacing w:after="0" w:line="240" w:lineRule="auto"/>
            </w:pPr>
            <w:r w:rsidRPr="00765AEC">
              <w:t>No schooling (White)</w:t>
            </w:r>
          </w:p>
        </w:tc>
        <w:tc>
          <w:tcPr>
            <w:tcW w:w="0" w:type="auto"/>
            <w:tcBorders>
              <w:top w:val="nil"/>
              <w:left w:val="nil"/>
              <w:bottom w:val="single" w:sz="4" w:space="0" w:color="auto"/>
              <w:right w:val="nil"/>
            </w:tcBorders>
            <w:shd w:val="clear" w:color="auto" w:fill="E5B8B7" w:themeFill="accent2" w:themeFillTint="66"/>
            <w:noWrap/>
            <w:vAlign w:val="bottom"/>
            <w:hideMark/>
          </w:tcPr>
          <w:p w14:paraId="2773D303" w14:textId="77777777" w:rsidR="00765AEC" w:rsidRPr="00765AEC" w:rsidRDefault="00765AEC" w:rsidP="00765AEC">
            <w:pPr>
              <w:spacing w:after="0" w:line="240" w:lineRule="auto"/>
              <w:jc w:val="center"/>
            </w:pPr>
            <w:r w:rsidRPr="00765AEC">
              <w:t>281</w:t>
            </w:r>
          </w:p>
        </w:tc>
        <w:tc>
          <w:tcPr>
            <w:tcW w:w="0" w:type="auto"/>
            <w:tcBorders>
              <w:top w:val="nil"/>
              <w:left w:val="single" w:sz="4" w:space="0" w:color="auto"/>
              <w:bottom w:val="single" w:sz="4" w:space="0" w:color="auto"/>
              <w:right w:val="single" w:sz="4" w:space="0" w:color="auto"/>
            </w:tcBorders>
            <w:shd w:val="clear" w:color="auto" w:fill="E5B8B7" w:themeFill="accent2" w:themeFillTint="66"/>
            <w:noWrap/>
            <w:vAlign w:val="center"/>
            <w:hideMark/>
          </w:tcPr>
          <w:p w14:paraId="2172D0DD" w14:textId="77777777" w:rsidR="00765AEC" w:rsidRPr="00765AEC" w:rsidRDefault="00765AEC" w:rsidP="00765AEC">
            <w:pPr>
              <w:spacing w:after="0" w:line="240" w:lineRule="auto"/>
              <w:jc w:val="center"/>
            </w:pPr>
            <w:r w:rsidRPr="00765AEC">
              <w:t>9,9%</w:t>
            </w:r>
          </w:p>
        </w:tc>
      </w:tr>
      <w:tr w:rsidR="00765AEC" w:rsidRPr="00765AEC" w14:paraId="3A676A80" w14:textId="77777777" w:rsidTr="00765AEC">
        <w:trPr>
          <w:trHeight w:val="186"/>
        </w:trPr>
        <w:tc>
          <w:tcPr>
            <w:tcW w:w="0" w:type="auto"/>
            <w:vMerge/>
            <w:tcBorders>
              <w:top w:val="nil"/>
              <w:left w:val="single" w:sz="4" w:space="0" w:color="auto"/>
              <w:bottom w:val="single" w:sz="4" w:space="0" w:color="000000"/>
              <w:right w:val="single" w:sz="4" w:space="0" w:color="auto"/>
            </w:tcBorders>
            <w:shd w:val="clear" w:color="auto" w:fill="E5B8B7" w:themeFill="accent2" w:themeFillTint="66"/>
            <w:vAlign w:val="center"/>
            <w:hideMark/>
          </w:tcPr>
          <w:p w14:paraId="030533EA"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E5B8B7" w:themeFill="accent2" w:themeFillTint="66"/>
            <w:noWrap/>
            <w:vAlign w:val="bottom"/>
            <w:hideMark/>
          </w:tcPr>
          <w:p w14:paraId="79A5505A" w14:textId="77777777" w:rsidR="00765AEC" w:rsidRPr="00765AEC" w:rsidRDefault="00765AEC" w:rsidP="00765AEC">
            <w:pPr>
              <w:spacing w:after="0" w:line="240" w:lineRule="auto"/>
            </w:pPr>
            <w:r w:rsidRPr="00765AEC">
              <w:t>Primary Schooling (Black African)</w:t>
            </w:r>
          </w:p>
        </w:tc>
        <w:tc>
          <w:tcPr>
            <w:tcW w:w="0" w:type="auto"/>
            <w:tcBorders>
              <w:top w:val="nil"/>
              <w:left w:val="nil"/>
              <w:bottom w:val="single" w:sz="4" w:space="0" w:color="auto"/>
              <w:right w:val="nil"/>
            </w:tcBorders>
            <w:shd w:val="clear" w:color="auto" w:fill="E5B8B7" w:themeFill="accent2" w:themeFillTint="66"/>
            <w:noWrap/>
            <w:vAlign w:val="bottom"/>
            <w:hideMark/>
          </w:tcPr>
          <w:p w14:paraId="56087D50" w14:textId="77777777" w:rsidR="00765AEC" w:rsidRPr="00765AEC" w:rsidRDefault="00765AEC" w:rsidP="00765AEC">
            <w:pPr>
              <w:spacing w:after="0" w:line="240" w:lineRule="auto"/>
              <w:jc w:val="center"/>
            </w:pPr>
            <w:r w:rsidRPr="00765AEC">
              <w:t>77 503</w:t>
            </w:r>
          </w:p>
        </w:tc>
        <w:tc>
          <w:tcPr>
            <w:tcW w:w="0" w:type="auto"/>
            <w:tcBorders>
              <w:top w:val="nil"/>
              <w:left w:val="single" w:sz="4" w:space="0" w:color="auto"/>
              <w:bottom w:val="single" w:sz="4" w:space="0" w:color="auto"/>
              <w:right w:val="single" w:sz="4" w:space="0" w:color="auto"/>
            </w:tcBorders>
            <w:shd w:val="clear" w:color="auto" w:fill="E5B8B7" w:themeFill="accent2" w:themeFillTint="66"/>
            <w:noWrap/>
            <w:vAlign w:val="center"/>
            <w:hideMark/>
          </w:tcPr>
          <w:p w14:paraId="1EBC5722" w14:textId="77777777" w:rsidR="00765AEC" w:rsidRPr="00765AEC" w:rsidRDefault="00765AEC" w:rsidP="00765AEC">
            <w:pPr>
              <w:spacing w:after="0" w:line="240" w:lineRule="auto"/>
              <w:jc w:val="center"/>
            </w:pPr>
            <w:r w:rsidRPr="00765AEC">
              <w:t>35,8%</w:t>
            </w:r>
          </w:p>
        </w:tc>
      </w:tr>
      <w:tr w:rsidR="00765AEC" w:rsidRPr="00765AEC" w14:paraId="7247858E" w14:textId="77777777" w:rsidTr="00765AEC">
        <w:trPr>
          <w:trHeight w:val="186"/>
        </w:trPr>
        <w:tc>
          <w:tcPr>
            <w:tcW w:w="0" w:type="auto"/>
            <w:vMerge/>
            <w:tcBorders>
              <w:top w:val="nil"/>
              <w:left w:val="single" w:sz="4" w:space="0" w:color="auto"/>
              <w:bottom w:val="single" w:sz="4" w:space="0" w:color="000000"/>
              <w:right w:val="single" w:sz="4" w:space="0" w:color="auto"/>
            </w:tcBorders>
            <w:shd w:val="clear" w:color="auto" w:fill="E5B8B7" w:themeFill="accent2" w:themeFillTint="66"/>
            <w:vAlign w:val="center"/>
            <w:hideMark/>
          </w:tcPr>
          <w:p w14:paraId="2C6D7E5A"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E5B8B7" w:themeFill="accent2" w:themeFillTint="66"/>
            <w:noWrap/>
            <w:vAlign w:val="bottom"/>
            <w:hideMark/>
          </w:tcPr>
          <w:p w14:paraId="7F9511F7" w14:textId="77777777" w:rsidR="00765AEC" w:rsidRPr="00765AEC" w:rsidRDefault="00765AEC" w:rsidP="00765AEC">
            <w:pPr>
              <w:spacing w:after="0" w:line="240" w:lineRule="auto"/>
            </w:pPr>
            <w:r w:rsidRPr="00765AEC">
              <w:t>Primary Schooling (Coloured)</w:t>
            </w:r>
          </w:p>
        </w:tc>
        <w:tc>
          <w:tcPr>
            <w:tcW w:w="0" w:type="auto"/>
            <w:tcBorders>
              <w:top w:val="nil"/>
              <w:left w:val="nil"/>
              <w:bottom w:val="single" w:sz="4" w:space="0" w:color="auto"/>
              <w:right w:val="nil"/>
            </w:tcBorders>
            <w:shd w:val="clear" w:color="auto" w:fill="E5B8B7" w:themeFill="accent2" w:themeFillTint="66"/>
            <w:noWrap/>
            <w:vAlign w:val="bottom"/>
            <w:hideMark/>
          </w:tcPr>
          <w:p w14:paraId="14DF37AE" w14:textId="77777777" w:rsidR="00765AEC" w:rsidRPr="00765AEC" w:rsidRDefault="00765AEC" w:rsidP="00765AEC">
            <w:pPr>
              <w:spacing w:after="0" w:line="240" w:lineRule="auto"/>
              <w:jc w:val="center"/>
            </w:pPr>
            <w:r w:rsidRPr="00765AEC">
              <w:t>168</w:t>
            </w:r>
          </w:p>
        </w:tc>
        <w:tc>
          <w:tcPr>
            <w:tcW w:w="0" w:type="auto"/>
            <w:tcBorders>
              <w:top w:val="nil"/>
              <w:left w:val="single" w:sz="4" w:space="0" w:color="auto"/>
              <w:bottom w:val="single" w:sz="4" w:space="0" w:color="auto"/>
              <w:right w:val="single" w:sz="4" w:space="0" w:color="auto"/>
            </w:tcBorders>
            <w:shd w:val="clear" w:color="auto" w:fill="E5B8B7" w:themeFill="accent2" w:themeFillTint="66"/>
            <w:noWrap/>
            <w:vAlign w:val="center"/>
            <w:hideMark/>
          </w:tcPr>
          <w:p w14:paraId="5267C6EE" w14:textId="77777777" w:rsidR="00765AEC" w:rsidRPr="00765AEC" w:rsidRDefault="00765AEC" w:rsidP="00765AEC">
            <w:pPr>
              <w:spacing w:after="0" w:line="240" w:lineRule="auto"/>
              <w:jc w:val="center"/>
            </w:pPr>
            <w:r w:rsidRPr="00765AEC">
              <w:t>18,6%</w:t>
            </w:r>
          </w:p>
        </w:tc>
      </w:tr>
      <w:tr w:rsidR="00765AEC" w:rsidRPr="00765AEC" w14:paraId="10BCCD73" w14:textId="77777777" w:rsidTr="00765AEC">
        <w:trPr>
          <w:trHeight w:val="186"/>
        </w:trPr>
        <w:tc>
          <w:tcPr>
            <w:tcW w:w="0" w:type="auto"/>
            <w:vMerge/>
            <w:tcBorders>
              <w:top w:val="nil"/>
              <w:left w:val="single" w:sz="4" w:space="0" w:color="auto"/>
              <w:bottom w:val="single" w:sz="4" w:space="0" w:color="000000"/>
              <w:right w:val="single" w:sz="4" w:space="0" w:color="auto"/>
            </w:tcBorders>
            <w:shd w:val="clear" w:color="auto" w:fill="E5B8B7" w:themeFill="accent2" w:themeFillTint="66"/>
            <w:vAlign w:val="center"/>
            <w:hideMark/>
          </w:tcPr>
          <w:p w14:paraId="3CDB8469"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E5B8B7" w:themeFill="accent2" w:themeFillTint="66"/>
            <w:noWrap/>
            <w:vAlign w:val="bottom"/>
            <w:hideMark/>
          </w:tcPr>
          <w:p w14:paraId="4C73724E" w14:textId="77777777" w:rsidR="00765AEC" w:rsidRPr="00765AEC" w:rsidRDefault="00765AEC" w:rsidP="00765AEC">
            <w:pPr>
              <w:spacing w:after="0" w:line="240" w:lineRule="auto"/>
            </w:pPr>
            <w:r w:rsidRPr="00765AEC">
              <w:t>Primary Schooling (Indian/Asian)</w:t>
            </w:r>
          </w:p>
        </w:tc>
        <w:tc>
          <w:tcPr>
            <w:tcW w:w="0" w:type="auto"/>
            <w:tcBorders>
              <w:top w:val="nil"/>
              <w:left w:val="nil"/>
              <w:bottom w:val="single" w:sz="4" w:space="0" w:color="auto"/>
              <w:right w:val="nil"/>
            </w:tcBorders>
            <w:shd w:val="clear" w:color="auto" w:fill="E5B8B7" w:themeFill="accent2" w:themeFillTint="66"/>
            <w:noWrap/>
            <w:vAlign w:val="bottom"/>
            <w:hideMark/>
          </w:tcPr>
          <w:p w14:paraId="03F50317" w14:textId="77777777" w:rsidR="00765AEC" w:rsidRPr="00765AEC" w:rsidRDefault="00765AEC" w:rsidP="00765AEC">
            <w:pPr>
              <w:spacing w:after="0" w:line="240" w:lineRule="auto"/>
              <w:jc w:val="center"/>
            </w:pPr>
            <w:r w:rsidRPr="00765AEC">
              <w:t>590</w:t>
            </w:r>
          </w:p>
        </w:tc>
        <w:tc>
          <w:tcPr>
            <w:tcW w:w="0" w:type="auto"/>
            <w:tcBorders>
              <w:top w:val="nil"/>
              <w:left w:val="single" w:sz="4" w:space="0" w:color="auto"/>
              <w:bottom w:val="single" w:sz="4" w:space="0" w:color="auto"/>
              <w:right w:val="single" w:sz="4" w:space="0" w:color="auto"/>
            </w:tcBorders>
            <w:shd w:val="clear" w:color="auto" w:fill="E5B8B7" w:themeFill="accent2" w:themeFillTint="66"/>
            <w:noWrap/>
            <w:vAlign w:val="center"/>
            <w:hideMark/>
          </w:tcPr>
          <w:p w14:paraId="69843A48" w14:textId="77777777" w:rsidR="00765AEC" w:rsidRPr="00765AEC" w:rsidRDefault="00765AEC" w:rsidP="00765AEC">
            <w:pPr>
              <w:spacing w:after="0" w:line="240" w:lineRule="auto"/>
              <w:jc w:val="center"/>
            </w:pPr>
            <w:r w:rsidRPr="00765AEC">
              <w:t>27,5%</w:t>
            </w:r>
          </w:p>
        </w:tc>
      </w:tr>
      <w:tr w:rsidR="00765AEC" w:rsidRPr="00765AEC" w14:paraId="691183CB" w14:textId="77777777" w:rsidTr="00765AEC">
        <w:trPr>
          <w:trHeight w:val="186"/>
        </w:trPr>
        <w:tc>
          <w:tcPr>
            <w:tcW w:w="0" w:type="auto"/>
            <w:vMerge/>
            <w:tcBorders>
              <w:top w:val="nil"/>
              <w:left w:val="single" w:sz="4" w:space="0" w:color="auto"/>
              <w:bottom w:val="single" w:sz="4" w:space="0" w:color="000000"/>
              <w:right w:val="single" w:sz="4" w:space="0" w:color="auto"/>
            </w:tcBorders>
            <w:shd w:val="clear" w:color="auto" w:fill="E5B8B7" w:themeFill="accent2" w:themeFillTint="66"/>
            <w:vAlign w:val="center"/>
            <w:hideMark/>
          </w:tcPr>
          <w:p w14:paraId="362280D5"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E5B8B7" w:themeFill="accent2" w:themeFillTint="66"/>
            <w:noWrap/>
            <w:vAlign w:val="bottom"/>
            <w:hideMark/>
          </w:tcPr>
          <w:p w14:paraId="64B52CDD" w14:textId="77777777" w:rsidR="00765AEC" w:rsidRPr="00765AEC" w:rsidRDefault="00765AEC" w:rsidP="00765AEC">
            <w:pPr>
              <w:spacing w:after="0" w:line="240" w:lineRule="auto"/>
            </w:pPr>
            <w:r w:rsidRPr="00765AEC">
              <w:t>Primary Schooling (White)</w:t>
            </w:r>
          </w:p>
        </w:tc>
        <w:tc>
          <w:tcPr>
            <w:tcW w:w="0" w:type="auto"/>
            <w:tcBorders>
              <w:top w:val="nil"/>
              <w:left w:val="nil"/>
              <w:bottom w:val="single" w:sz="4" w:space="0" w:color="auto"/>
              <w:right w:val="nil"/>
            </w:tcBorders>
            <w:shd w:val="clear" w:color="auto" w:fill="E5B8B7" w:themeFill="accent2" w:themeFillTint="66"/>
            <w:noWrap/>
            <w:vAlign w:val="bottom"/>
            <w:hideMark/>
          </w:tcPr>
          <w:p w14:paraId="1587110D" w14:textId="77777777" w:rsidR="00765AEC" w:rsidRPr="00765AEC" w:rsidRDefault="00765AEC" w:rsidP="00765AEC">
            <w:pPr>
              <w:spacing w:after="0" w:line="240" w:lineRule="auto"/>
              <w:jc w:val="center"/>
            </w:pPr>
            <w:r w:rsidRPr="00765AEC">
              <w:t>335</w:t>
            </w:r>
          </w:p>
        </w:tc>
        <w:tc>
          <w:tcPr>
            <w:tcW w:w="0" w:type="auto"/>
            <w:tcBorders>
              <w:top w:val="nil"/>
              <w:left w:val="single" w:sz="4" w:space="0" w:color="auto"/>
              <w:bottom w:val="single" w:sz="4" w:space="0" w:color="auto"/>
              <w:right w:val="single" w:sz="4" w:space="0" w:color="auto"/>
            </w:tcBorders>
            <w:shd w:val="clear" w:color="auto" w:fill="E5B8B7" w:themeFill="accent2" w:themeFillTint="66"/>
            <w:noWrap/>
            <w:vAlign w:val="center"/>
            <w:hideMark/>
          </w:tcPr>
          <w:p w14:paraId="79A5CF60" w14:textId="77777777" w:rsidR="00765AEC" w:rsidRPr="00765AEC" w:rsidRDefault="00765AEC" w:rsidP="00765AEC">
            <w:pPr>
              <w:spacing w:after="0" w:line="240" w:lineRule="auto"/>
              <w:jc w:val="center"/>
            </w:pPr>
            <w:r w:rsidRPr="00765AEC">
              <w:t>11,8%</w:t>
            </w:r>
          </w:p>
        </w:tc>
      </w:tr>
      <w:tr w:rsidR="00765AEC" w:rsidRPr="00765AEC" w14:paraId="279BA7B8" w14:textId="77777777" w:rsidTr="00765AEC">
        <w:trPr>
          <w:trHeight w:val="186"/>
        </w:trPr>
        <w:tc>
          <w:tcPr>
            <w:tcW w:w="0" w:type="auto"/>
            <w:vMerge/>
            <w:tcBorders>
              <w:top w:val="nil"/>
              <w:left w:val="single" w:sz="4" w:space="0" w:color="auto"/>
              <w:bottom w:val="single" w:sz="4" w:space="0" w:color="000000"/>
              <w:right w:val="single" w:sz="4" w:space="0" w:color="auto"/>
            </w:tcBorders>
            <w:shd w:val="clear" w:color="auto" w:fill="E5B8B7" w:themeFill="accent2" w:themeFillTint="66"/>
            <w:vAlign w:val="center"/>
            <w:hideMark/>
          </w:tcPr>
          <w:p w14:paraId="5FF9EE91"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E5B8B7" w:themeFill="accent2" w:themeFillTint="66"/>
            <w:noWrap/>
            <w:vAlign w:val="bottom"/>
            <w:hideMark/>
          </w:tcPr>
          <w:p w14:paraId="12421921" w14:textId="77777777" w:rsidR="00765AEC" w:rsidRPr="00765AEC" w:rsidRDefault="00765AEC" w:rsidP="00765AEC">
            <w:pPr>
              <w:spacing w:after="0" w:line="240" w:lineRule="auto"/>
            </w:pPr>
            <w:r w:rsidRPr="00765AEC">
              <w:t>Some Secondary (Black African)</w:t>
            </w:r>
          </w:p>
        </w:tc>
        <w:tc>
          <w:tcPr>
            <w:tcW w:w="0" w:type="auto"/>
            <w:tcBorders>
              <w:top w:val="nil"/>
              <w:left w:val="nil"/>
              <w:bottom w:val="single" w:sz="4" w:space="0" w:color="auto"/>
              <w:right w:val="nil"/>
            </w:tcBorders>
            <w:shd w:val="clear" w:color="auto" w:fill="E5B8B7" w:themeFill="accent2" w:themeFillTint="66"/>
            <w:noWrap/>
            <w:vAlign w:val="bottom"/>
            <w:hideMark/>
          </w:tcPr>
          <w:p w14:paraId="0CCAC269" w14:textId="77777777" w:rsidR="00765AEC" w:rsidRPr="00765AEC" w:rsidRDefault="00765AEC" w:rsidP="00765AEC">
            <w:pPr>
              <w:spacing w:after="0" w:line="240" w:lineRule="auto"/>
              <w:jc w:val="center"/>
            </w:pPr>
            <w:r w:rsidRPr="00765AEC">
              <w:t>49 901</w:t>
            </w:r>
          </w:p>
        </w:tc>
        <w:tc>
          <w:tcPr>
            <w:tcW w:w="0" w:type="auto"/>
            <w:tcBorders>
              <w:top w:val="nil"/>
              <w:left w:val="single" w:sz="4" w:space="0" w:color="auto"/>
              <w:bottom w:val="single" w:sz="4" w:space="0" w:color="auto"/>
              <w:right w:val="single" w:sz="4" w:space="0" w:color="auto"/>
            </w:tcBorders>
            <w:shd w:val="clear" w:color="auto" w:fill="E5B8B7" w:themeFill="accent2" w:themeFillTint="66"/>
            <w:noWrap/>
            <w:vAlign w:val="center"/>
            <w:hideMark/>
          </w:tcPr>
          <w:p w14:paraId="5990EB31" w14:textId="77777777" w:rsidR="00765AEC" w:rsidRPr="00765AEC" w:rsidRDefault="00765AEC" w:rsidP="00765AEC">
            <w:pPr>
              <w:spacing w:after="0" w:line="240" w:lineRule="auto"/>
              <w:jc w:val="center"/>
            </w:pPr>
            <w:r w:rsidRPr="00765AEC">
              <w:t>23,1%</w:t>
            </w:r>
          </w:p>
        </w:tc>
      </w:tr>
      <w:tr w:rsidR="00765AEC" w:rsidRPr="00765AEC" w14:paraId="5519CC04" w14:textId="77777777" w:rsidTr="00765AEC">
        <w:trPr>
          <w:trHeight w:val="186"/>
        </w:trPr>
        <w:tc>
          <w:tcPr>
            <w:tcW w:w="0" w:type="auto"/>
            <w:vMerge/>
            <w:tcBorders>
              <w:top w:val="nil"/>
              <w:left w:val="single" w:sz="4" w:space="0" w:color="auto"/>
              <w:bottom w:val="single" w:sz="4" w:space="0" w:color="000000"/>
              <w:right w:val="single" w:sz="4" w:space="0" w:color="auto"/>
            </w:tcBorders>
            <w:shd w:val="clear" w:color="auto" w:fill="E5B8B7" w:themeFill="accent2" w:themeFillTint="66"/>
            <w:vAlign w:val="center"/>
            <w:hideMark/>
          </w:tcPr>
          <w:p w14:paraId="197E0D6C"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E5B8B7" w:themeFill="accent2" w:themeFillTint="66"/>
            <w:noWrap/>
            <w:vAlign w:val="center"/>
            <w:hideMark/>
          </w:tcPr>
          <w:p w14:paraId="13D597F7" w14:textId="77777777" w:rsidR="00765AEC" w:rsidRPr="00765AEC" w:rsidRDefault="00765AEC" w:rsidP="00765AEC">
            <w:pPr>
              <w:spacing w:after="0" w:line="240" w:lineRule="auto"/>
            </w:pPr>
            <w:r w:rsidRPr="00765AEC">
              <w:t>Some Secondary (Coloured)</w:t>
            </w:r>
          </w:p>
        </w:tc>
        <w:tc>
          <w:tcPr>
            <w:tcW w:w="0" w:type="auto"/>
            <w:tcBorders>
              <w:top w:val="nil"/>
              <w:left w:val="nil"/>
              <w:bottom w:val="single" w:sz="4" w:space="0" w:color="auto"/>
              <w:right w:val="nil"/>
            </w:tcBorders>
            <w:shd w:val="clear" w:color="auto" w:fill="E5B8B7" w:themeFill="accent2" w:themeFillTint="66"/>
            <w:noWrap/>
            <w:vAlign w:val="bottom"/>
            <w:hideMark/>
          </w:tcPr>
          <w:p w14:paraId="0433AD42" w14:textId="77777777" w:rsidR="00765AEC" w:rsidRPr="00765AEC" w:rsidRDefault="00765AEC" w:rsidP="00765AEC">
            <w:pPr>
              <w:spacing w:after="0" w:line="240" w:lineRule="auto"/>
              <w:jc w:val="center"/>
            </w:pPr>
            <w:r w:rsidRPr="00765AEC">
              <w:t>277</w:t>
            </w:r>
          </w:p>
        </w:tc>
        <w:tc>
          <w:tcPr>
            <w:tcW w:w="0" w:type="auto"/>
            <w:tcBorders>
              <w:top w:val="nil"/>
              <w:left w:val="single" w:sz="4" w:space="0" w:color="auto"/>
              <w:bottom w:val="single" w:sz="4" w:space="0" w:color="auto"/>
              <w:right w:val="single" w:sz="4" w:space="0" w:color="auto"/>
            </w:tcBorders>
            <w:shd w:val="clear" w:color="auto" w:fill="E5B8B7" w:themeFill="accent2" w:themeFillTint="66"/>
            <w:noWrap/>
            <w:vAlign w:val="center"/>
            <w:hideMark/>
          </w:tcPr>
          <w:p w14:paraId="4D8A7E3D" w14:textId="77777777" w:rsidR="00765AEC" w:rsidRPr="00765AEC" w:rsidRDefault="00765AEC" w:rsidP="00765AEC">
            <w:pPr>
              <w:spacing w:after="0" w:line="240" w:lineRule="auto"/>
              <w:jc w:val="center"/>
            </w:pPr>
            <w:r w:rsidRPr="00765AEC">
              <w:t>30,7%</w:t>
            </w:r>
          </w:p>
        </w:tc>
      </w:tr>
      <w:tr w:rsidR="00765AEC" w:rsidRPr="00765AEC" w14:paraId="0CE46E5D" w14:textId="77777777" w:rsidTr="00765AEC">
        <w:trPr>
          <w:trHeight w:val="186"/>
        </w:trPr>
        <w:tc>
          <w:tcPr>
            <w:tcW w:w="0" w:type="auto"/>
            <w:vMerge/>
            <w:tcBorders>
              <w:top w:val="nil"/>
              <w:left w:val="single" w:sz="4" w:space="0" w:color="auto"/>
              <w:bottom w:val="single" w:sz="4" w:space="0" w:color="000000"/>
              <w:right w:val="single" w:sz="4" w:space="0" w:color="auto"/>
            </w:tcBorders>
            <w:shd w:val="clear" w:color="auto" w:fill="E5B8B7" w:themeFill="accent2" w:themeFillTint="66"/>
            <w:vAlign w:val="center"/>
            <w:hideMark/>
          </w:tcPr>
          <w:p w14:paraId="59B497D5"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E5B8B7" w:themeFill="accent2" w:themeFillTint="66"/>
            <w:noWrap/>
            <w:vAlign w:val="bottom"/>
            <w:hideMark/>
          </w:tcPr>
          <w:p w14:paraId="0031B32E" w14:textId="77777777" w:rsidR="00765AEC" w:rsidRPr="00765AEC" w:rsidRDefault="00765AEC" w:rsidP="00765AEC">
            <w:pPr>
              <w:spacing w:after="0" w:line="240" w:lineRule="auto"/>
            </w:pPr>
            <w:r w:rsidRPr="00765AEC">
              <w:t>Some Secondary (Indian/Asian)</w:t>
            </w:r>
          </w:p>
        </w:tc>
        <w:tc>
          <w:tcPr>
            <w:tcW w:w="0" w:type="auto"/>
            <w:tcBorders>
              <w:top w:val="nil"/>
              <w:left w:val="nil"/>
              <w:bottom w:val="single" w:sz="4" w:space="0" w:color="auto"/>
              <w:right w:val="nil"/>
            </w:tcBorders>
            <w:shd w:val="clear" w:color="auto" w:fill="E5B8B7" w:themeFill="accent2" w:themeFillTint="66"/>
            <w:noWrap/>
            <w:vAlign w:val="bottom"/>
            <w:hideMark/>
          </w:tcPr>
          <w:p w14:paraId="0DB3954D" w14:textId="77777777" w:rsidR="00765AEC" w:rsidRPr="00765AEC" w:rsidRDefault="00765AEC" w:rsidP="00765AEC">
            <w:pPr>
              <w:spacing w:after="0" w:line="240" w:lineRule="auto"/>
              <w:jc w:val="center"/>
            </w:pPr>
            <w:r w:rsidRPr="00765AEC">
              <w:t>546</w:t>
            </w:r>
          </w:p>
        </w:tc>
        <w:tc>
          <w:tcPr>
            <w:tcW w:w="0" w:type="auto"/>
            <w:tcBorders>
              <w:top w:val="nil"/>
              <w:left w:val="single" w:sz="4" w:space="0" w:color="auto"/>
              <w:bottom w:val="single" w:sz="4" w:space="0" w:color="auto"/>
              <w:right w:val="single" w:sz="4" w:space="0" w:color="auto"/>
            </w:tcBorders>
            <w:shd w:val="clear" w:color="auto" w:fill="E5B8B7" w:themeFill="accent2" w:themeFillTint="66"/>
            <w:noWrap/>
            <w:vAlign w:val="center"/>
            <w:hideMark/>
          </w:tcPr>
          <w:p w14:paraId="3D73572F" w14:textId="77777777" w:rsidR="00765AEC" w:rsidRPr="00765AEC" w:rsidRDefault="00765AEC" w:rsidP="00765AEC">
            <w:pPr>
              <w:spacing w:after="0" w:line="240" w:lineRule="auto"/>
              <w:jc w:val="center"/>
            </w:pPr>
            <w:r w:rsidRPr="00765AEC">
              <w:t>25,4%</w:t>
            </w:r>
          </w:p>
        </w:tc>
      </w:tr>
      <w:tr w:rsidR="00765AEC" w:rsidRPr="00765AEC" w14:paraId="37F7B5CC" w14:textId="77777777" w:rsidTr="00765AEC">
        <w:trPr>
          <w:trHeight w:val="186"/>
        </w:trPr>
        <w:tc>
          <w:tcPr>
            <w:tcW w:w="0" w:type="auto"/>
            <w:vMerge/>
            <w:tcBorders>
              <w:top w:val="nil"/>
              <w:left w:val="single" w:sz="4" w:space="0" w:color="auto"/>
              <w:bottom w:val="single" w:sz="4" w:space="0" w:color="000000"/>
              <w:right w:val="single" w:sz="4" w:space="0" w:color="auto"/>
            </w:tcBorders>
            <w:shd w:val="clear" w:color="auto" w:fill="E5B8B7" w:themeFill="accent2" w:themeFillTint="66"/>
            <w:vAlign w:val="center"/>
            <w:hideMark/>
          </w:tcPr>
          <w:p w14:paraId="326AABFE"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E5B8B7" w:themeFill="accent2" w:themeFillTint="66"/>
            <w:noWrap/>
            <w:vAlign w:val="center"/>
            <w:hideMark/>
          </w:tcPr>
          <w:p w14:paraId="415510AE" w14:textId="77777777" w:rsidR="00765AEC" w:rsidRPr="00765AEC" w:rsidRDefault="00765AEC" w:rsidP="00765AEC">
            <w:pPr>
              <w:spacing w:after="0" w:line="240" w:lineRule="auto"/>
            </w:pPr>
            <w:r w:rsidRPr="00765AEC">
              <w:t>Some Secondary (White)</w:t>
            </w:r>
          </w:p>
        </w:tc>
        <w:tc>
          <w:tcPr>
            <w:tcW w:w="0" w:type="auto"/>
            <w:tcBorders>
              <w:top w:val="nil"/>
              <w:left w:val="nil"/>
              <w:bottom w:val="single" w:sz="4" w:space="0" w:color="auto"/>
              <w:right w:val="nil"/>
            </w:tcBorders>
            <w:shd w:val="clear" w:color="auto" w:fill="E5B8B7" w:themeFill="accent2" w:themeFillTint="66"/>
            <w:noWrap/>
            <w:vAlign w:val="bottom"/>
            <w:hideMark/>
          </w:tcPr>
          <w:p w14:paraId="776DC224" w14:textId="77777777" w:rsidR="00765AEC" w:rsidRPr="00765AEC" w:rsidRDefault="00765AEC" w:rsidP="00765AEC">
            <w:pPr>
              <w:spacing w:after="0" w:line="240" w:lineRule="auto"/>
              <w:jc w:val="center"/>
            </w:pPr>
            <w:r w:rsidRPr="00765AEC">
              <w:t>479</w:t>
            </w:r>
          </w:p>
        </w:tc>
        <w:tc>
          <w:tcPr>
            <w:tcW w:w="0" w:type="auto"/>
            <w:tcBorders>
              <w:top w:val="nil"/>
              <w:left w:val="single" w:sz="4" w:space="0" w:color="auto"/>
              <w:bottom w:val="single" w:sz="4" w:space="0" w:color="auto"/>
              <w:right w:val="single" w:sz="4" w:space="0" w:color="auto"/>
            </w:tcBorders>
            <w:shd w:val="clear" w:color="auto" w:fill="E5B8B7" w:themeFill="accent2" w:themeFillTint="66"/>
            <w:noWrap/>
            <w:vAlign w:val="center"/>
            <w:hideMark/>
          </w:tcPr>
          <w:p w14:paraId="48BDE49A" w14:textId="77777777" w:rsidR="00765AEC" w:rsidRPr="00765AEC" w:rsidRDefault="00765AEC" w:rsidP="00765AEC">
            <w:pPr>
              <w:spacing w:after="0" w:line="240" w:lineRule="auto"/>
              <w:jc w:val="center"/>
            </w:pPr>
            <w:r w:rsidRPr="00765AEC">
              <w:t>16,8%</w:t>
            </w:r>
          </w:p>
        </w:tc>
      </w:tr>
      <w:tr w:rsidR="00765AEC" w:rsidRPr="00765AEC" w14:paraId="1FBE270F" w14:textId="77777777" w:rsidTr="00765AEC">
        <w:trPr>
          <w:trHeight w:val="186"/>
        </w:trPr>
        <w:tc>
          <w:tcPr>
            <w:tcW w:w="0" w:type="auto"/>
            <w:vMerge/>
            <w:tcBorders>
              <w:top w:val="nil"/>
              <w:left w:val="single" w:sz="4" w:space="0" w:color="auto"/>
              <w:bottom w:val="single" w:sz="4" w:space="0" w:color="000000"/>
              <w:right w:val="single" w:sz="4" w:space="0" w:color="auto"/>
            </w:tcBorders>
            <w:shd w:val="clear" w:color="auto" w:fill="E5B8B7" w:themeFill="accent2" w:themeFillTint="66"/>
            <w:vAlign w:val="center"/>
            <w:hideMark/>
          </w:tcPr>
          <w:p w14:paraId="35062262"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E5B8B7" w:themeFill="accent2" w:themeFillTint="66"/>
            <w:noWrap/>
            <w:vAlign w:val="center"/>
            <w:hideMark/>
          </w:tcPr>
          <w:p w14:paraId="4761EA2F" w14:textId="77777777" w:rsidR="00765AEC" w:rsidRPr="00765AEC" w:rsidRDefault="00765AEC" w:rsidP="00765AEC">
            <w:pPr>
              <w:spacing w:after="0" w:line="240" w:lineRule="auto"/>
            </w:pPr>
            <w:r w:rsidRPr="00765AEC">
              <w:t>Matric (Black African)</w:t>
            </w:r>
          </w:p>
        </w:tc>
        <w:tc>
          <w:tcPr>
            <w:tcW w:w="0" w:type="auto"/>
            <w:tcBorders>
              <w:top w:val="nil"/>
              <w:left w:val="nil"/>
              <w:bottom w:val="single" w:sz="4" w:space="0" w:color="auto"/>
              <w:right w:val="nil"/>
            </w:tcBorders>
            <w:shd w:val="clear" w:color="auto" w:fill="E5B8B7" w:themeFill="accent2" w:themeFillTint="66"/>
            <w:noWrap/>
            <w:vAlign w:val="bottom"/>
            <w:hideMark/>
          </w:tcPr>
          <w:p w14:paraId="1261EC16" w14:textId="77777777" w:rsidR="00765AEC" w:rsidRPr="00765AEC" w:rsidRDefault="00765AEC" w:rsidP="00765AEC">
            <w:pPr>
              <w:spacing w:after="0" w:line="240" w:lineRule="auto"/>
              <w:jc w:val="center"/>
            </w:pPr>
            <w:r w:rsidRPr="00765AEC">
              <w:t>29 859</w:t>
            </w:r>
          </w:p>
        </w:tc>
        <w:tc>
          <w:tcPr>
            <w:tcW w:w="0" w:type="auto"/>
            <w:tcBorders>
              <w:top w:val="nil"/>
              <w:left w:val="single" w:sz="4" w:space="0" w:color="auto"/>
              <w:bottom w:val="single" w:sz="4" w:space="0" w:color="auto"/>
              <w:right w:val="single" w:sz="4" w:space="0" w:color="auto"/>
            </w:tcBorders>
            <w:shd w:val="clear" w:color="auto" w:fill="E5B8B7" w:themeFill="accent2" w:themeFillTint="66"/>
            <w:noWrap/>
            <w:vAlign w:val="center"/>
            <w:hideMark/>
          </w:tcPr>
          <w:p w14:paraId="51AAC7C1" w14:textId="77777777" w:rsidR="00765AEC" w:rsidRPr="00765AEC" w:rsidRDefault="00765AEC" w:rsidP="00765AEC">
            <w:pPr>
              <w:spacing w:after="0" w:line="240" w:lineRule="auto"/>
              <w:jc w:val="center"/>
            </w:pPr>
            <w:r w:rsidRPr="00765AEC">
              <w:t>13,8%</w:t>
            </w:r>
          </w:p>
        </w:tc>
      </w:tr>
      <w:tr w:rsidR="00765AEC" w:rsidRPr="00765AEC" w14:paraId="3C73F04C" w14:textId="77777777" w:rsidTr="00765AEC">
        <w:trPr>
          <w:trHeight w:val="186"/>
        </w:trPr>
        <w:tc>
          <w:tcPr>
            <w:tcW w:w="0" w:type="auto"/>
            <w:vMerge/>
            <w:tcBorders>
              <w:top w:val="nil"/>
              <w:left w:val="single" w:sz="4" w:space="0" w:color="auto"/>
              <w:bottom w:val="single" w:sz="4" w:space="0" w:color="000000"/>
              <w:right w:val="single" w:sz="4" w:space="0" w:color="auto"/>
            </w:tcBorders>
            <w:shd w:val="clear" w:color="auto" w:fill="E5B8B7" w:themeFill="accent2" w:themeFillTint="66"/>
            <w:vAlign w:val="center"/>
            <w:hideMark/>
          </w:tcPr>
          <w:p w14:paraId="5CED2C29"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E5B8B7" w:themeFill="accent2" w:themeFillTint="66"/>
            <w:noWrap/>
            <w:vAlign w:val="center"/>
            <w:hideMark/>
          </w:tcPr>
          <w:p w14:paraId="11C40633" w14:textId="77777777" w:rsidR="00765AEC" w:rsidRPr="00765AEC" w:rsidRDefault="00765AEC" w:rsidP="00765AEC">
            <w:pPr>
              <w:spacing w:after="0" w:line="240" w:lineRule="auto"/>
            </w:pPr>
            <w:r w:rsidRPr="00765AEC">
              <w:t>Matric (Coloured)</w:t>
            </w:r>
          </w:p>
        </w:tc>
        <w:tc>
          <w:tcPr>
            <w:tcW w:w="0" w:type="auto"/>
            <w:tcBorders>
              <w:top w:val="nil"/>
              <w:left w:val="nil"/>
              <w:bottom w:val="single" w:sz="4" w:space="0" w:color="auto"/>
              <w:right w:val="nil"/>
            </w:tcBorders>
            <w:shd w:val="clear" w:color="auto" w:fill="E5B8B7" w:themeFill="accent2" w:themeFillTint="66"/>
            <w:noWrap/>
            <w:vAlign w:val="bottom"/>
            <w:hideMark/>
          </w:tcPr>
          <w:p w14:paraId="282E9C2F" w14:textId="77777777" w:rsidR="00765AEC" w:rsidRPr="00765AEC" w:rsidRDefault="00765AEC" w:rsidP="00765AEC">
            <w:pPr>
              <w:spacing w:after="0" w:line="240" w:lineRule="auto"/>
              <w:jc w:val="center"/>
            </w:pPr>
            <w:r w:rsidRPr="00765AEC">
              <w:t>339</w:t>
            </w:r>
          </w:p>
        </w:tc>
        <w:tc>
          <w:tcPr>
            <w:tcW w:w="0" w:type="auto"/>
            <w:tcBorders>
              <w:top w:val="nil"/>
              <w:left w:val="single" w:sz="4" w:space="0" w:color="auto"/>
              <w:bottom w:val="single" w:sz="4" w:space="0" w:color="auto"/>
              <w:right w:val="single" w:sz="4" w:space="0" w:color="auto"/>
            </w:tcBorders>
            <w:shd w:val="clear" w:color="auto" w:fill="E5B8B7" w:themeFill="accent2" w:themeFillTint="66"/>
            <w:noWrap/>
            <w:vAlign w:val="center"/>
            <w:hideMark/>
          </w:tcPr>
          <w:p w14:paraId="1F2A7FC2" w14:textId="77777777" w:rsidR="00765AEC" w:rsidRPr="00765AEC" w:rsidRDefault="00765AEC" w:rsidP="00765AEC">
            <w:pPr>
              <w:spacing w:after="0" w:line="240" w:lineRule="auto"/>
              <w:jc w:val="center"/>
            </w:pPr>
            <w:r w:rsidRPr="00765AEC">
              <w:t>37,6%</w:t>
            </w:r>
          </w:p>
        </w:tc>
      </w:tr>
      <w:tr w:rsidR="00765AEC" w:rsidRPr="00765AEC" w14:paraId="74BB6BB9" w14:textId="77777777" w:rsidTr="00765AEC">
        <w:trPr>
          <w:trHeight w:val="186"/>
        </w:trPr>
        <w:tc>
          <w:tcPr>
            <w:tcW w:w="0" w:type="auto"/>
            <w:vMerge/>
            <w:tcBorders>
              <w:top w:val="nil"/>
              <w:left w:val="single" w:sz="4" w:space="0" w:color="auto"/>
              <w:bottom w:val="single" w:sz="4" w:space="0" w:color="000000"/>
              <w:right w:val="single" w:sz="4" w:space="0" w:color="auto"/>
            </w:tcBorders>
            <w:shd w:val="clear" w:color="auto" w:fill="E5B8B7" w:themeFill="accent2" w:themeFillTint="66"/>
            <w:vAlign w:val="center"/>
            <w:hideMark/>
          </w:tcPr>
          <w:p w14:paraId="46D65DA3"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E5B8B7" w:themeFill="accent2" w:themeFillTint="66"/>
            <w:noWrap/>
            <w:vAlign w:val="center"/>
            <w:hideMark/>
          </w:tcPr>
          <w:p w14:paraId="28D321BD" w14:textId="77777777" w:rsidR="00765AEC" w:rsidRPr="00765AEC" w:rsidRDefault="00765AEC" w:rsidP="00765AEC">
            <w:pPr>
              <w:spacing w:after="0" w:line="240" w:lineRule="auto"/>
            </w:pPr>
            <w:r w:rsidRPr="00765AEC">
              <w:t>Matric (Indian/Asian)</w:t>
            </w:r>
          </w:p>
        </w:tc>
        <w:tc>
          <w:tcPr>
            <w:tcW w:w="0" w:type="auto"/>
            <w:tcBorders>
              <w:top w:val="nil"/>
              <w:left w:val="nil"/>
              <w:bottom w:val="single" w:sz="4" w:space="0" w:color="auto"/>
              <w:right w:val="nil"/>
            </w:tcBorders>
            <w:shd w:val="clear" w:color="auto" w:fill="E5B8B7" w:themeFill="accent2" w:themeFillTint="66"/>
            <w:noWrap/>
            <w:vAlign w:val="bottom"/>
            <w:hideMark/>
          </w:tcPr>
          <w:p w14:paraId="46C21C3D" w14:textId="77777777" w:rsidR="00765AEC" w:rsidRPr="00765AEC" w:rsidRDefault="00765AEC" w:rsidP="00765AEC">
            <w:pPr>
              <w:spacing w:after="0" w:line="240" w:lineRule="auto"/>
              <w:jc w:val="center"/>
            </w:pPr>
            <w:r w:rsidRPr="00765AEC">
              <w:t>632</w:t>
            </w:r>
          </w:p>
        </w:tc>
        <w:tc>
          <w:tcPr>
            <w:tcW w:w="0" w:type="auto"/>
            <w:tcBorders>
              <w:top w:val="nil"/>
              <w:left w:val="single" w:sz="4" w:space="0" w:color="auto"/>
              <w:bottom w:val="single" w:sz="4" w:space="0" w:color="auto"/>
              <w:right w:val="single" w:sz="4" w:space="0" w:color="auto"/>
            </w:tcBorders>
            <w:shd w:val="clear" w:color="auto" w:fill="E5B8B7" w:themeFill="accent2" w:themeFillTint="66"/>
            <w:noWrap/>
            <w:vAlign w:val="center"/>
            <w:hideMark/>
          </w:tcPr>
          <w:p w14:paraId="1FC21C11" w14:textId="77777777" w:rsidR="00765AEC" w:rsidRPr="00765AEC" w:rsidRDefault="00765AEC" w:rsidP="00765AEC">
            <w:pPr>
              <w:spacing w:after="0" w:line="240" w:lineRule="auto"/>
              <w:jc w:val="center"/>
            </w:pPr>
            <w:r w:rsidRPr="00765AEC">
              <w:t>29,4%</w:t>
            </w:r>
          </w:p>
        </w:tc>
      </w:tr>
      <w:tr w:rsidR="00765AEC" w:rsidRPr="00765AEC" w14:paraId="7021D5B7" w14:textId="77777777" w:rsidTr="00765AEC">
        <w:trPr>
          <w:trHeight w:val="186"/>
        </w:trPr>
        <w:tc>
          <w:tcPr>
            <w:tcW w:w="0" w:type="auto"/>
            <w:vMerge/>
            <w:tcBorders>
              <w:top w:val="nil"/>
              <w:left w:val="single" w:sz="4" w:space="0" w:color="auto"/>
              <w:bottom w:val="single" w:sz="4" w:space="0" w:color="000000"/>
              <w:right w:val="single" w:sz="4" w:space="0" w:color="auto"/>
            </w:tcBorders>
            <w:shd w:val="clear" w:color="auto" w:fill="E5B8B7" w:themeFill="accent2" w:themeFillTint="66"/>
            <w:vAlign w:val="center"/>
            <w:hideMark/>
          </w:tcPr>
          <w:p w14:paraId="55209736"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E5B8B7" w:themeFill="accent2" w:themeFillTint="66"/>
            <w:noWrap/>
            <w:vAlign w:val="center"/>
            <w:hideMark/>
          </w:tcPr>
          <w:p w14:paraId="5E55C7F6" w14:textId="77777777" w:rsidR="00765AEC" w:rsidRPr="00765AEC" w:rsidRDefault="00765AEC" w:rsidP="00765AEC">
            <w:pPr>
              <w:spacing w:after="0" w:line="240" w:lineRule="auto"/>
            </w:pPr>
            <w:r w:rsidRPr="00765AEC">
              <w:t>Matric (White)</w:t>
            </w:r>
          </w:p>
        </w:tc>
        <w:tc>
          <w:tcPr>
            <w:tcW w:w="0" w:type="auto"/>
            <w:tcBorders>
              <w:top w:val="nil"/>
              <w:left w:val="nil"/>
              <w:bottom w:val="single" w:sz="4" w:space="0" w:color="auto"/>
              <w:right w:val="nil"/>
            </w:tcBorders>
            <w:shd w:val="clear" w:color="auto" w:fill="E5B8B7" w:themeFill="accent2" w:themeFillTint="66"/>
            <w:noWrap/>
            <w:vAlign w:val="bottom"/>
            <w:hideMark/>
          </w:tcPr>
          <w:p w14:paraId="1BE4FDF0" w14:textId="77777777" w:rsidR="00765AEC" w:rsidRPr="00765AEC" w:rsidRDefault="00765AEC" w:rsidP="00765AEC">
            <w:pPr>
              <w:spacing w:after="0" w:line="240" w:lineRule="auto"/>
              <w:jc w:val="center"/>
            </w:pPr>
            <w:r w:rsidRPr="00765AEC">
              <w:t>839</w:t>
            </w:r>
          </w:p>
        </w:tc>
        <w:tc>
          <w:tcPr>
            <w:tcW w:w="0" w:type="auto"/>
            <w:tcBorders>
              <w:top w:val="nil"/>
              <w:left w:val="single" w:sz="4" w:space="0" w:color="auto"/>
              <w:bottom w:val="single" w:sz="4" w:space="0" w:color="auto"/>
              <w:right w:val="single" w:sz="4" w:space="0" w:color="auto"/>
            </w:tcBorders>
            <w:shd w:val="clear" w:color="auto" w:fill="E5B8B7" w:themeFill="accent2" w:themeFillTint="66"/>
            <w:noWrap/>
            <w:vAlign w:val="center"/>
            <w:hideMark/>
          </w:tcPr>
          <w:p w14:paraId="3AEEA44C" w14:textId="77777777" w:rsidR="00765AEC" w:rsidRPr="00765AEC" w:rsidRDefault="00765AEC" w:rsidP="00765AEC">
            <w:pPr>
              <w:spacing w:after="0" w:line="240" w:lineRule="auto"/>
              <w:jc w:val="center"/>
            </w:pPr>
            <w:r w:rsidRPr="00765AEC">
              <w:t>29,5%</w:t>
            </w:r>
          </w:p>
        </w:tc>
      </w:tr>
      <w:tr w:rsidR="00765AEC" w:rsidRPr="00765AEC" w14:paraId="33B68657" w14:textId="77777777" w:rsidTr="00765AEC">
        <w:trPr>
          <w:trHeight w:val="186"/>
        </w:trPr>
        <w:tc>
          <w:tcPr>
            <w:tcW w:w="0" w:type="auto"/>
            <w:vMerge/>
            <w:tcBorders>
              <w:top w:val="nil"/>
              <w:left w:val="single" w:sz="4" w:space="0" w:color="auto"/>
              <w:bottom w:val="single" w:sz="4" w:space="0" w:color="000000"/>
              <w:right w:val="single" w:sz="4" w:space="0" w:color="auto"/>
            </w:tcBorders>
            <w:shd w:val="clear" w:color="auto" w:fill="E5B8B7" w:themeFill="accent2" w:themeFillTint="66"/>
            <w:vAlign w:val="center"/>
            <w:hideMark/>
          </w:tcPr>
          <w:p w14:paraId="5D10D313"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E5B8B7" w:themeFill="accent2" w:themeFillTint="66"/>
            <w:noWrap/>
            <w:vAlign w:val="center"/>
            <w:hideMark/>
          </w:tcPr>
          <w:p w14:paraId="697E7B02" w14:textId="77777777" w:rsidR="00765AEC" w:rsidRPr="00765AEC" w:rsidRDefault="00765AEC" w:rsidP="00765AEC">
            <w:pPr>
              <w:spacing w:after="0" w:line="240" w:lineRule="auto"/>
            </w:pPr>
            <w:r w:rsidRPr="00765AEC">
              <w:t>Tertiary (Black African)</w:t>
            </w:r>
          </w:p>
        </w:tc>
        <w:tc>
          <w:tcPr>
            <w:tcW w:w="0" w:type="auto"/>
            <w:tcBorders>
              <w:top w:val="nil"/>
              <w:left w:val="nil"/>
              <w:bottom w:val="single" w:sz="4" w:space="0" w:color="auto"/>
              <w:right w:val="nil"/>
            </w:tcBorders>
            <w:shd w:val="clear" w:color="auto" w:fill="E5B8B7" w:themeFill="accent2" w:themeFillTint="66"/>
            <w:noWrap/>
            <w:vAlign w:val="bottom"/>
            <w:hideMark/>
          </w:tcPr>
          <w:p w14:paraId="3441E647" w14:textId="77777777" w:rsidR="00765AEC" w:rsidRPr="00765AEC" w:rsidRDefault="00765AEC" w:rsidP="00765AEC">
            <w:pPr>
              <w:spacing w:after="0" w:line="240" w:lineRule="auto"/>
              <w:jc w:val="center"/>
            </w:pPr>
            <w:r w:rsidRPr="00765AEC">
              <w:t>5 384</w:t>
            </w:r>
          </w:p>
        </w:tc>
        <w:tc>
          <w:tcPr>
            <w:tcW w:w="0" w:type="auto"/>
            <w:tcBorders>
              <w:top w:val="nil"/>
              <w:left w:val="single" w:sz="4" w:space="0" w:color="auto"/>
              <w:bottom w:val="single" w:sz="4" w:space="0" w:color="auto"/>
              <w:right w:val="single" w:sz="4" w:space="0" w:color="auto"/>
            </w:tcBorders>
            <w:shd w:val="clear" w:color="auto" w:fill="E5B8B7" w:themeFill="accent2" w:themeFillTint="66"/>
            <w:noWrap/>
            <w:vAlign w:val="center"/>
            <w:hideMark/>
          </w:tcPr>
          <w:p w14:paraId="5F2BF082" w14:textId="77777777" w:rsidR="00765AEC" w:rsidRPr="00765AEC" w:rsidRDefault="00765AEC" w:rsidP="00765AEC">
            <w:pPr>
              <w:spacing w:after="0" w:line="240" w:lineRule="auto"/>
              <w:jc w:val="center"/>
            </w:pPr>
            <w:r w:rsidRPr="00765AEC">
              <w:t>2,5%</w:t>
            </w:r>
          </w:p>
        </w:tc>
      </w:tr>
      <w:tr w:rsidR="00765AEC" w:rsidRPr="00765AEC" w14:paraId="34F2E6EF" w14:textId="77777777" w:rsidTr="00765AEC">
        <w:trPr>
          <w:trHeight w:val="186"/>
        </w:trPr>
        <w:tc>
          <w:tcPr>
            <w:tcW w:w="0" w:type="auto"/>
            <w:vMerge/>
            <w:tcBorders>
              <w:top w:val="nil"/>
              <w:left w:val="single" w:sz="4" w:space="0" w:color="auto"/>
              <w:bottom w:val="single" w:sz="4" w:space="0" w:color="000000"/>
              <w:right w:val="single" w:sz="4" w:space="0" w:color="auto"/>
            </w:tcBorders>
            <w:shd w:val="clear" w:color="auto" w:fill="E5B8B7" w:themeFill="accent2" w:themeFillTint="66"/>
            <w:vAlign w:val="center"/>
            <w:hideMark/>
          </w:tcPr>
          <w:p w14:paraId="7C4C8CA5"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E5B8B7" w:themeFill="accent2" w:themeFillTint="66"/>
            <w:noWrap/>
            <w:vAlign w:val="center"/>
            <w:hideMark/>
          </w:tcPr>
          <w:p w14:paraId="1FBC9C5D" w14:textId="77777777" w:rsidR="00765AEC" w:rsidRPr="00765AEC" w:rsidRDefault="00765AEC" w:rsidP="00765AEC">
            <w:pPr>
              <w:spacing w:after="0" w:line="240" w:lineRule="auto"/>
            </w:pPr>
            <w:r w:rsidRPr="00765AEC">
              <w:t>Tertiary (Coloured)</w:t>
            </w:r>
          </w:p>
        </w:tc>
        <w:tc>
          <w:tcPr>
            <w:tcW w:w="0" w:type="auto"/>
            <w:tcBorders>
              <w:top w:val="nil"/>
              <w:left w:val="nil"/>
              <w:bottom w:val="single" w:sz="4" w:space="0" w:color="auto"/>
              <w:right w:val="nil"/>
            </w:tcBorders>
            <w:shd w:val="clear" w:color="auto" w:fill="E5B8B7" w:themeFill="accent2" w:themeFillTint="66"/>
            <w:noWrap/>
            <w:vAlign w:val="bottom"/>
            <w:hideMark/>
          </w:tcPr>
          <w:p w14:paraId="21C77088" w14:textId="77777777" w:rsidR="00765AEC" w:rsidRPr="00765AEC" w:rsidRDefault="00765AEC" w:rsidP="00765AEC">
            <w:pPr>
              <w:spacing w:after="0" w:line="240" w:lineRule="auto"/>
              <w:jc w:val="center"/>
            </w:pPr>
            <w:r w:rsidRPr="00765AEC">
              <w:t>15</w:t>
            </w:r>
          </w:p>
        </w:tc>
        <w:tc>
          <w:tcPr>
            <w:tcW w:w="0" w:type="auto"/>
            <w:tcBorders>
              <w:top w:val="nil"/>
              <w:left w:val="single" w:sz="4" w:space="0" w:color="auto"/>
              <w:bottom w:val="single" w:sz="4" w:space="0" w:color="auto"/>
              <w:right w:val="single" w:sz="4" w:space="0" w:color="auto"/>
            </w:tcBorders>
            <w:shd w:val="clear" w:color="auto" w:fill="E5B8B7" w:themeFill="accent2" w:themeFillTint="66"/>
            <w:noWrap/>
            <w:vAlign w:val="center"/>
            <w:hideMark/>
          </w:tcPr>
          <w:p w14:paraId="7B34D596" w14:textId="77777777" w:rsidR="00765AEC" w:rsidRPr="00765AEC" w:rsidRDefault="00765AEC" w:rsidP="00765AEC">
            <w:pPr>
              <w:spacing w:after="0" w:line="240" w:lineRule="auto"/>
              <w:jc w:val="center"/>
            </w:pPr>
            <w:r w:rsidRPr="00765AEC">
              <w:t>1,7%</w:t>
            </w:r>
          </w:p>
        </w:tc>
      </w:tr>
      <w:tr w:rsidR="00765AEC" w:rsidRPr="00765AEC" w14:paraId="33101C21" w14:textId="77777777" w:rsidTr="00765AEC">
        <w:trPr>
          <w:trHeight w:val="186"/>
        </w:trPr>
        <w:tc>
          <w:tcPr>
            <w:tcW w:w="0" w:type="auto"/>
            <w:vMerge/>
            <w:tcBorders>
              <w:top w:val="nil"/>
              <w:left w:val="single" w:sz="4" w:space="0" w:color="auto"/>
              <w:bottom w:val="single" w:sz="4" w:space="0" w:color="000000"/>
              <w:right w:val="single" w:sz="4" w:space="0" w:color="auto"/>
            </w:tcBorders>
            <w:shd w:val="clear" w:color="auto" w:fill="E5B8B7" w:themeFill="accent2" w:themeFillTint="66"/>
            <w:vAlign w:val="center"/>
            <w:hideMark/>
          </w:tcPr>
          <w:p w14:paraId="65923A03"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E5B8B7" w:themeFill="accent2" w:themeFillTint="66"/>
            <w:noWrap/>
            <w:vAlign w:val="center"/>
            <w:hideMark/>
          </w:tcPr>
          <w:p w14:paraId="35C8611A" w14:textId="77777777" w:rsidR="00765AEC" w:rsidRPr="00765AEC" w:rsidRDefault="00765AEC" w:rsidP="00765AEC">
            <w:pPr>
              <w:spacing w:after="0" w:line="240" w:lineRule="auto"/>
            </w:pPr>
            <w:r w:rsidRPr="00765AEC">
              <w:t>Tertiary (Indian/Asian)</w:t>
            </w:r>
          </w:p>
        </w:tc>
        <w:tc>
          <w:tcPr>
            <w:tcW w:w="0" w:type="auto"/>
            <w:tcBorders>
              <w:top w:val="nil"/>
              <w:left w:val="nil"/>
              <w:bottom w:val="single" w:sz="4" w:space="0" w:color="auto"/>
              <w:right w:val="nil"/>
            </w:tcBorders>
            <w:shd w:val="clear" w:color="auto" w:fill="E5B8B7" w:themeFill="accent2" w:themeFillTint="66"/>
            <w:noWrap/>
            <w:vAlign w:val="bottom"/>
            <w:hideMark/>
          </w:tcPr>
          <w:p w14:paraId="6341FE61" w14:textId="77777777" w:rsidR="00765AEC" w:rsidRPr="00765AEC" w:rsidRDefault="00765AEC" w:rsidP="00765AEC">
            <w:pPr>
              <w:spacing w:after="0" w:line="240" w:lineRule="auto"/>
              <w:jc w:val="center"/>
            </w:pPr>
            <w:r w:rsidRPr="00765AEC">
              <w:t>93</w:t>
            </w:r>
          </w:p>
        </w:tc>
        <w:tc>
          <w:tcPr>
            <w:tcW w:w="0" w:type="auto"/>
            <w:tcBorders>
              <w:top w:val="nil"/>
              <w:left w:val="single" w:sz="4" w:space="0" w:color="auto"/>
              <w:bottom w:val="single" w:sz="4" w:space="0" w:color="auto"/>
              <w:right w:val="single" w:sz="4" w:space="0" w:color="auto"/>
            </w:tcBorders>
            <w:shd w:val="clear" w:color="auto" w:fill="E5B8B7" w:themeFill="accent2" w:themeFillTint="66"/>
            <w:noWrap/>
            <w:vAlign w:val="center"/>
            <w:hideMark/>
          </w:tcPr>
          <w:p w14:paraId="75C8CA91" w14:textId="77777777" w:rsidR="00765AEC" w:rsidRPr="00765AEC" w:rsidRDefault="00765AEC" w:rsidP="00765AEC">
            <w:pPr>
              <w:spacing w:after="0" w:line="240" w:lineRule="auto"/>
              <w:jc w:val="center"/>
            </w:pPr>
            <w:r w:rsidRPr="00765AEC">
              <w:t>4,3%</w:t>
            </w:r>
          </w:p>
        </w:tc>
      </w:tr>
      <w:tr w:rsidR="00765AEC" w:rsidRPr="00765AEC" w14:paraId="6D0F077A" w14:textId="77777777" w:rsidTr="00765AEC">
        <w:trPr>
          <w:trHeight w:val="186"/>
        </w:trPr>
        <w:tc>
          <w:tcPr>
            <w:tcW w:w="0" w:type="auto"/>
            <w:vMerge/>
            <w:tcBorders>
              <w:top w:val="nil"/>
              <w:left w:val="single" w:sz="4" w:space="0" w:color="auto"/>
              <w:bottom w:val="single" w:sz="4" w:space="0" w:color="000000"/>
              <w:right w:val="single" w:sz="4" w:space="0" w:color="auto"/>
            </w:tcBorders>
            <w:shd w:val="clear" w:color="auto" w:fill="E5B8B7" w:themeFill="accent2" w:themeFillTint="66"/>
            <w:vAlign w:val="center"/>
            <w:hideMark/>
          </w:tcPr>
          <w:p w14:paraId="0C13F6C8" w14:textId="77777777" w:rsidR="00765AEC" w:rsidRPr="00765AEC" w:rsidRDefault="00765AEC" w:rsidP="00765AEC">
            <w:pPr>
              <w:spacing w:after="0" w:line="240" w:lineRule="auto"/>
            </w:pPr>
          </w:p>
        </w:tc>
        <w:tc>
          <w:tcPr>
            <w:tcW w:w="0" w:type="auto"/>
            <w:tcBorders>
              <w:top w:val="nil"/>
              <w:left w:val="nil"/>
              <w:bottom w:val="single" w:sz="4" w:space="0" w:color="auto"/>
              <w:right w:val="single" w:sz="4" w:space="0" w:color="auto"/>
            </w:tcBorders>
            <w:shd w:val="clear" w:color="auto" w:fill="E5B8B7" w:themeFill="accent2" w:themeFillTint="66"/>
            <w:noWrap/>
            <w:vAlign w:val="center"/>
            <w:hideMark/>
          </w:tcPr>
          <w:p w14:paraId="74EF137F" w14:textId="77777777" w:rsidR="00765AEC" w:rsidRPr="00765AEC" w:rsidRDefault="00765AEC" w:rsidP="00765AEC">
            <w:pPr>
              <w:spacing w:after="0" w:line="240" w:lineRule="auto"/>
            </w:pPr>
            <w:r w:rsidRPr="00765AEC">
              <w:t>Tertiary (White)</w:t>
            </w:r>
          </w:p>
        </w:tc>
        <w:tc>
          <w:tcPr>
            <w:tcW w:w="0" w:type="auto"/>
            <w:tcBorders>
              <w:top w:val="nil"/>
              <w:left w:val="nil"/>
              <w:bottom w:val="single" w:sz="4" w:space="0" w:color="auto"/>
              <w:right w:val="nil"/>
            </w:tcBorders>
            <w:shd w:val="clear" w:color="auto" w:fill="E5B8B7" w:themeFill="accent2" w:themeFillTint="66"/>
            <w:noWrap/>
            <w:vAlign w:val="bottom"/>
            <w:hideMark/>
          </w:tcPr>
          <w:p w14:paraId="12CBDBDC" w14:textId="77777777" w:rsidR="00765AEC" w:rsidRPr="00765AEC" w:rsidRDefault="00765AEC" w:rsidP="00765AEC">
            <w:pPr>
              <w:spacing w:after="0" w:line="240" w:lineRule="auto"/>
              <w:jc w:val="center"/>
            </w:pPr>
            <w:r w:rsidRPr="00765AEC">
              <w:t>914</w:t>
            </w:r>
          </w:p>
        </w:tc>
        <w:tc>
          <w:tcPr>
            <w:tcW w:w="0" w:type="auto"/>
            <w:tcBorders>
              <w:top w:val="nil"/>
              <w:left w:val="single" w:sz="4" w:space="0" w:color="auto"/>
              <w:bottom w:val="single" w:sz="4" w:space="0" w:color="auto"/>
              <w:right w:val="single" w:sz="4" w:space="0" w:color="auto"/>
            </w:tcBorders>
            <w:shd w:val="clear" w:color="auto" w:fill="E5B8B7" w:themeFill="accent2" w:themeFillTint="66"/>
            <w:noWrap/>
            <w:vAlign w:val="center"/>
            <w:hideMark/>
          </w:tcPr>
          <w:p w14:paraId="31BE4FFA" w14:textId="77777777" w:rsidR="00765AEC" w:rsidRPr="00765AEC" w:rsidRDefault="00765AEC" w:rsidP="00765AEC">
            <w:pPr>
              <w:spacing w:after="0" w:line="240" w:lineRule="auto"/>
              <w:jc w:val="center"/>
            </w:pPr>
            <w:r w:rsidRPr="00765AEC">
              <w:t>32,1%</w:t>
            </w:r>
          </w:p>
        </w:tc>
      </w:tr>
    </w:tbl>
    <w:p w14:paraId="749ED578" w14:textId="77777777" w:rsidR="001F33F5" w:rsidRPr="001F33F5" w:rsidRDefault="00765AEC" w:rsidP="002F62F0">
      <w:pPr>
        <w:pStyle w:val="Caption"/>
        <w:sectPr w:rsidR="001F33F5" w:rsidRPr="001F33F5" w:rsidSect="00051141">
          <w:pgSz w:w="11907" w:h="16839" w:code="9"/>
          <w:pgMar w:top="851" w:right="1134" w:bottom="851" w:left="1134" w:header="720" w:footer="720" w:gutter="0"/>
          <w:cols w:space="720"/>
          <w:docGrid w:linePitch="360"/>
        </w:sectPr>
      </w:pPr>
      <w:bookmarkStart w:id="446" w:name="_Toc510622316"/>
      <w:r>
        <w:t xml:space="preserve">Table </w:t>
      </w:r>
      <w:r w:rsidR="00B918A6">
        <w:fldChar w:fldCharType="begin"/>
      </w:r>
      <w:r w:rsidR="00B918A6">
        <w:instrText xml:space="preserve"> SEQ Table \* ARABIC </w:instrText>
      </w:r>
      <w:r w:rsidR="00B918A6">
        <w:fldChar w:fldCharType="separate"/>
      </w:r>
      <w:r w:rsidR="0067023A">
        <w:rPr>
          <w:noProof/>
        </w:rPr>
        <w:t>65</w:t>
      </w:r>
      <w:r w:rsidR="00B918A6">
        <w:rPr>
          <w:noProof/>
        </w:rPr>
        <w:fldChar w:fldCharType="end"/>
      </w:r>
      <w:r>
        <w:t>: Highest Education Level (CS 2016)</w:t>
      </w:r>
      <w:bookmarkEnd w:id="446"/>
    </w:p>
    <w:p w14:paraId="0C704A11" w14:textId="77777777" w:rsidR="001F33F5" w:rsidRPr="001F33F5" w:rsidRDefault="001F33F5" w:rsidP="001F33F5">
      <w:pPr>
        <w:jc w:val="both"/>
      </w:pPr>
    </w:p>
    <w:p w14:paraId="4AD63030" w14:textId="77777777" w:rsidR="001F33F5" w:rsidRPr="001F33F5" w:rsidRDefault="001F33F5" w:rsidP="001F33F5">
      <w:pPr>
        <w:jc w:val="both"/>
        <w:sectPr w:rsidR="001F33F5" w:rsidRPr="001F33F5" w:rsidSect="00EA514F">
          <w:type w:val="continuous"/>
          <w:pgSz w:w="11907" w:h="16839" w:code="9"/>
          <w:pgMar w:top="851" w:right="1134" w:bottom="851" w:left="1134" w:header="720" w:footer="720" w:gutter="0"/>
          <w:cols w:space="720"/>
          <w:docGrid w:linePitch="360"/>
        </w:sectPr>
      </w:pPr>
    </w:p>
    <w:p w14:paraId="16037C41" w14:textId="77777777" w:rsidR="001F33F5" w:rsidRPr="001F33F5" w:rsidRDefault="001F33F5" w:rsidP="001F33F5">
      <w:pPr>
        <w:jc w:val="both"/>
      </w:pPr>
    </w:p>
    <w:p w14:paraId="1EC282C9" w14:textId="77777777" w:rsidR="001F33F5" w:rsidRPr="001F33F5" w:rsidRDefault="001F33F5" w:rsidP="00297498">
      <w:pPr>
        <w:pStyle w:val="Caption"/>
        <w:rPr>
          <w:b w:val="0"/>
          <w:bCs w:val="0"/>
        </w:rPr>
        <w:sectPr w:rsidR="001F33F5" w:rsidRPr="001F33F5" w:rsidSect="00EA514F">
          <w:pgSz w:w="16839" w:h="11907" w:orient="landscape" w:code="9"/>
          <w:pgMar w:top="1134" w:right="851" w:bottom="1134" w:left="851" w:header="720" w:footer="720" w:gutter="0"/>
          <w:cols w:space="720"/>
          <w:docGrid w:linePitch="360"/>
        </w:sectPr>
      </w:pPr>
      <w:bookmarkStart w:id="447" w:name="_Toc481468939"/>
      <w:r w:rsidRPr="001F33F5">
        <w:rPr>
          <w:b w:val="0"/>
          <w:bCs w:val="0"/>
          <w:noProof/>
        </w:rPr>
        <w:drawing>
          <wp:anchor distT="0" distB="0" distL="114300" distR="114300" simplePos="0" relativeHeight="251738624" behindDoc="0" locked="0" layoutInCell="1" allowOverlap="1" wp14:anchorId="6EA23FAB" wp14:editId="617162E1">
            <wp:simplePos x="541655" y="722630"/>
            <wp:positionH relativeFrom="margin">
              <wp:align>center</wp:align>
            </wp:positionH>
            <wp:positionV relativeFrom="margin">
              <wp:align>bottom</wp:align>
            </wp:positionV>
            <wp:extent cx="9202420" cy="5146040"/>
            <wp:effectExtent l="0" t="0" r="0" b="0"/>
            <wp:wrapSquare wrapText="bothSides"/>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9207500" cy="5148926"/>
                    </a:xfrm>
                    <a:prstGeom prst="rect">
                      <a:avLst/>
                    </a:prstGeom>
                    <a:noFill/>
                  </pic:spPr>
                </pic:pic>
              </a:graphicData>
            </a:graphic>
            <wp14:sizeRelV relativeFrom="margin">
              <wp14:pctHeight>0</wp14:pctHeight>
            </wp14:sizeRelV>
          </wp:anchor>
        </w:drawing>
      </w:r>
      <w:r w:rsidR="00297498">
        <w:t xml:space="preserve">Map </w:t>
      </w:r>
      <w:r w:rsidR="00B918A6">
        <w:fldChar w:fldCharType="begin"/>
      </w:r>
      <w:r w:rsidR="00B918A6">
        <w:instrText xml:space="preserve"> SEQ Map \* ARABIC </w:instrText>
      </w:r>
      <w:r w:rsidR="00B918A6">
        <w:fldChar w:fldCharType="separate"/>
      </w:r>
      <w:r w:rsidR="0067023A">
        <w:rPr>
          <w:noProof/>
        </w:rPr>
        <w:t>27</w:t>
      </w:r>
      <w:r w:rsidR="00B918A6">
        <w:rPr>
          <w:noProof/>
        </w:rPr>
        <w:fldChar w:fldCharType="end"/>
      </w:r>
      <w:r w:rsidR="00297498">
        <w:t xml:space="preserve">: </w:t>
      </w:r>
      <w:r w:rsidRPr="00297498">
        <w:rPr>
          <w:bCs w:val="0"/>
        </w:rPr>
        <w:t>Access to Education Facilities</w:t>
      </w:r>
      <w:bookmarkEnd w:id="447"/>
    </w:p>
    <w:p w14:paraId="27202333" w14:textId="77777777" w:rsidR="001F33F5" w:rsidRPr="001F33F5" w:rsidRDefault="001F33F5" w:rsidP="001F33F5">
      <w:pPr>
        <w:jc w:val="both"/>
      </w:pPr>
    </w:p>
    <w:p w14:paraId="16F32EA0" w14:textId="77777777" w:rsidR="0037082E" w:rsidRPr="00C63459" w:rsidRDefault="0037082E" w:rsidP="00750180">
      <w:pPr>
        <w:pStyle w:val="Heading4"/>
        <w:numPr>
          <w:ilvl w:val="3"/>
          <w:numId w:val="127"/>
        </w:numPr>
        <w:spacing w:after="240"/>
      </w:pPr>
      <w:bookmarkStart w:id="448" w:name="_Toc389740002"/>
      <w:r w:rsidRPr="00C63459">
        <w:t>Early Childhood Development</w:t>
      </w:r>
      <w:bookmarkEnd w:id="448"/>
      <w:r w:rsidR="00173B5E" w:rsidRPr="00C63459">
        <w:t xml:space="preserve"> and Social Development </w:t>
      </w:r>
      <w:r w:rsidR="00173B5E" w:rsidRPr="00297498">
        <w:t>Services</w:t>
      </w:r>
    </w:p>
    <w:p w14:paraId="0A507477" w14:textId="36C670B5" w:rsidR="00173B5E" w:rsidRDefault="00792E30" w:rsidP="004F4650">
      <w:pPr>
        <w:jc w:val="both"/>
        <w:rPr>
          <w:szCs w:val="20"/>
        </w:rPr>
      </w:pPr>
      <w:r>
        <w:rPr>
          <w:rFonts w:asciiTheme="minorHAnsi" w:hAnsiTheme="minorHAnsi" w:cs="Arial"/>
          <w:szCs w:val="20"/>
          <w:lang w:val="fr-FR" w:eastAsia="en-GB"/>
        </w:rPr>
        <w:t>The municipality in partnership with Divine Life have entered into a memorandum of agreement to</w:t>
      </w:r>
      <w:r w:rsidR="004B1C0C">
        <w:rPr>
          <w:rFonts w:asciiTheme="minorHAnsi" w:hAnsiTheme="minorHAnsi" w:cs="Arial"/>
          <w:szCs w:val="20"/>
          <w:lang w:val="fr-FR" w:eastAsia="en-GB"/>
        </w:rPr>
        <w:t xml:space="preserve"> assist communitites (mostly ru</w:t>
      </w:r>
      <w:r>
        <w:rPr>
          <w:rFonts w:asciiTheme="minorHAnsi" w:hAnsiTheme="minorHAnsi" w:cs="Arial"/>
          <w:szCs w:val="20"/>
          <w:lang w:val="fr-FR" w:eastAsia="en-GB"/>
        </w:rPr>
        <w:t xml:space="preserve">ral) in the establishment of </w:t>
      </w:r>
      <w:r w:rsidR="004B1C0C">
        <w:rPr>
          <w:rFonts w:asciiTheme="minorHAnsi" w:hAnsiTheme="minorHAnsi" w:cs="Arial"/>
          <w:szCs w:val="20"/>
          <w:lang w:val="fr-FR" w:eastAsia="en-GB"/>
        </w:rPr>
        <w:t>social</w:t>
      </w:r>
      <w:r>
        <w:rPr>
          <w:rFonts w:asciiTheme="minorHAnsi" w:hAnsiTheme="minorHAnsi" w:cs="Arial"/>
          <w:szCs w:val="20"/>
          <w:lang w:val="fr-FR" w:eastAsia="en-GB"/>
        </w:rPr>
        <w:t xml:space="preserve"> facilities, with special attention given to early childhood development facilities. T</w:t>
      </w:r>
      <w:r w:rsidRPr="00792E30">
        <w:rPr>
          <w:rFonts w:asciiTheme="minorHAnsi" w:hAnsiTheme="minorHAnsi" w:cs="Arial"/>
          <w:szCs w:val="20"/>
          <w:lang w:val="fr-FR" w:eastAsia="en-GB"/>
        </w:rPr>
        <w:t xml:space="preserve">he Divine Life Society of South Africa is a non-governmental, non-profit spiritual institution and has over the past 55 years served the needs of the disadvantaged and </w:t>
      </w:r>
      <w:r>
        <w:rPr>
          <w:rFonts w:asciiTheme="minorHAnsi" w:hAnsiTheme="minorHAnsi" w:cs="Arial"/>
          <w:szCs w:val="20"/>
          <w:lang w:val="fr-FR" w:eastAsia="en-GB"/>
        </w:rPr>
        <w:t>poor community of KwaZulu-Natal and</w:t>
      </w:r>
      <w:r w:rsidRPr="00792E30">
        <w:rPr>
          <w:rFonts w:asciiTheme="minorHAnsi" w:hAnsiTheme="minorHAnsi" w:cs="Arial"/>
          <w:szCs w:val="20"/>
          <w:lang w:val="fr-FR" w:eastAsia="en-GB"/>
        </w:rPr>
        <w:t xml:space="preserve"> has experience in the field of poverty alleviation, building of schools, clinics, training and skills centres, literature and educational programmes and other noble service related activities. Since 2011/12 the municipality ha</w:t>
      </w:r>
      <w:r w:rsidR="004F4650">
        <w:rPr>
          <w:rFonts w:asciiTheme="minorHAnsi" w:hAnsiTheme="minorHAnsi" w:cs="Arial"/>
          <w:szCs w:val="20"/>
          <w:lang w:val="fr-FR" w:eastAsia="en-GB"/>
        </w:rPr>
        <w:t>s (through this program) built 2</w:t>
      </w:r>
      <w:r w:rsidRPr="00792E30">
        <w:rPr>
          <w:rFonts w:asciiTheme="minorHAnsi" w:hAnsiTheme="minorHAnsi" w:cs="Arial"/>
          <w:szCs w:val="20"/>
          <w:lang w:val="fr-FR" w:eastAsia="en-GB"/>
        </w:rPr>
        <w:t>6 creches in various wards. These projects are co-funded by Divine Life as well as</w:t>
      </w:r>
      <w:r w:rsidR="00A65859">
        <w:rPr>
          <w:rFonts w:asciiTheme="minorHAnsi" w:hAnsiTheme="minorHAnsi" w:cs="Arial"/>
          <w:szCs w:val="20"/>
          <w:lang w:val="fr-FR" w:eastAsia="en-GB"/>
        </w:rPr>
        <w:t xml:space="preserve"> Equitable Share </w:t>
      </w:r>
      <w:r w:rsidRPr="00792E30">
        <w:rPr>
          <w:rFonts w:asciiTheme="minorHAnsi" w:hAnsiTheme="minorHAnsi" w:cs="Arial"/>
          <w:szCs w:val="20"/>
          <w:lang w:val="fr-FR" w:eastAsia="en-GB"/>
        </w:rPr>
        <w:t>funding.</w:t>
      </w:r>
      <w:r w:rsidR="00181762">
        <w:rPr>
          <w:rFonts w:asciiTheme="minorHAnsi" w:hAnsiTheme="minorHAnsi" w:cs="Arial"/>
          <w:szCs w:val="20"/>
          <w:lang w:val="fr-FR" w:eastAsia="en-GB"/>
        </w:rPr>
        <w:t xml:space="preserve"> In the 2015/16 Financial year, Devine Life and the municipality have constructed 12 more creches in various wards thus fullfilling the National and Provincial mandate to fastrack the provision of early childhood development centers within our municipalitites</w:t>
      </w:r>
      <w:r w:rsidR="004F4650">
        <w:rPr>
          <w:rFonts w:asciiTheme="minorHAnsi" w:hAnsiTheme="minorHAnsi" w:cs="Arial"/>
          <w:szCs w:val="20"/>
          <w:lang w:val="fr-FR" w:eastAsia="en-GB"/>
        </w:rPr>
        <w:t xml:space="preserve">. </w:t>
      </w:r>
    </w:p>
    <w:p w14:paraId="4B909F85" w14:textId="77777777" w:rsidR="006F6A96" w:rsidRDefault="006F6A96" w:rsidP="00395313">
      <w:pPr>
        <w:spacing w:line="288" w:lineRule="auto"/>
        <w:jc w:val="both"/>
        <w:rPr>
          <w:szCs w:val="20"/>
        </w:rPr>
      </w:pPr>
      <w:r w:rsidRPr="00413346">
        <w:rPr>
          <w:szCs w:val="20"/>
        </w:rPr>
        <w:t>The Map below indicates the location of crèches, as well as accessibility thereto:</w:t>
      </w:r>
    </w:p>
    <w:p w14:paraId="06448431" w14:textId="77777777" w:rsidR="003967FD" w:rsidRDefault="003967FD" w:rsidP="002F62F0">
      <w:pPr>
        <w:pStyle w:val="Caption"/>
      </w:pPr>
      <w:bookmarkStart w:id="449" w:name="_Toc389740003"/>
    </w:p>
    <w:p w14:paraId="0D8FFB3C" w14:textId="0EBC6C19" w:rsidR="006F6A96" w:rsidRPr="00413346" w:rsidRDefault="006F6A96" w:rsidP="002F62F0">
      <w:pPr>
        <w:pStyle w:val="Caption"/>
      </w:pPr>
      <w:bookmarkStart w:id="450" w:name="_Toc481468940"/>
      <w:r w:rsidRPr="00413346">
        <w:t xml:space="preserve">Map </w:t>
      </w:r>
      <w:r w:rsidR="00B918A6">
        <w:fldChar w:fldCharType="begin"/>
      </w:r>
      <w:r w:rsidR="00B918A6">
        <w:instrText xml:space="preserve"> SEQ Map \* ARABIC </w:instrText>
      </w:r>
      <w:r w:rsidR="00B918A6">
        <w:fldChar w:fldCharType="separate"/>
      </w:r>
      <w:r w:rsidR="0067023A">
        <w:rPr>
          <w:noProof/>
        </w:rPr>
        <w:t>28</w:t>
      </w:r>
      <w:r w:rsidR="00B918A6">
        <w:rPr>
          <w:noProof/>
        </w:rPr>
        <w:fldChar w:fldCharType="end"/>
      </w:r>
      <w:r w:rsidRPr="00413346">
        <w:t>:  Access to crèches</w:t>
      </w:r>
      <w:bookmarkEnd w:id="449"/>
      <w:bookmarkEnd w:id="450"/>
    </w:p>
    <w:p w14:paraId="67A5DF72" w14:textId="77777777" w:rsidR="006F6A96" w:rsidRPr="00413346" w:rsidRDefault="00335C50" w:rsidP="00395313">
      <w:pPr>
        <w:jc w:val="both"/>
      </w:pPr>
      <w:r w:rsidRPr="00413346">
        <w:rPr>
          <w:noProof/>
        </w:rPr>
        <w:drawing>
          <wp:anchor distT="0" distB="0" distL="114300" distR="114300" simplePos="0" relativeHeight="251649536" behindDoc="0" locked="0" layoutInCell="1" allowOverlap="1" wp14:anchorId="55EB30F9" wp14:editId="3AC29520">
            <wp:simplePos x="0" y="0"/>
            <wp:positionH relativeFrom="column">
              <wp:posOffset>4850765</wp:posOffset>
            </wp:positionH>
            <wp:positionV relativeFrom="paragraph">
              <wp:posOffset>1653540</wp:posOffset>
            </wp:positionV>
            <wp:extent cx="1264920" cy="1295400"/>
            <wp:effectExtent l="0" t="0" r="0" b="0"/>
            <wp:wrapNone/>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264920" cy="1295400"/>
                    </a:xfrm>
                    <a:prstGeom prst="rect">
                      <a:avLst/>
                    </a:prstGeom>
                  </pic:spPr>
                </pic:pic>
              </a:graphicData>
            </a:graphic>
          </wp:anchor>
        </w:drawing>
      </w:r>
      <w:r w:rsidR="001605CD" w:rsidRPr="00413346">
        <w:rPr>
          <w:noProof/>
        </w:rPr>
        <w:drawing>
          <wp:inline distT="0" distB="0" distL="0" distR="0" wp14:anchorId="55DFD034" wp14:editId="06434418">
            <wp:extent cx="4931419" cy="2764465"/>
            <wp:effectExtent l="0" t="0" r="254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cstate="print"/>
                    <a:stretch>
                      <a:fillRect/>
                    </a:stretch>
                  </pic:blipFill>
                  <pic:spPr>
                    <a:xfrm>
                      <a:off x="0" y="0"/>
                      <a:ext cx="4933507" cy="2765635"/>
                    </a:xfrm>
                    <a:prstGeom prst="rect">
                      <a:avLst/>
                    </a:prstGeom>
                  </pic:spPr>
                </pic:pic>
              </a:graphicData>
            </a:graphic>
          </wp:inline>
        </w:drawing>
      </w:r>
    </w:p>
    <w:p w14:paraId="617A1086" w14:textId="77777777" w:rsidR="00792E30" w:rsidRDefault="00792E30" w:rsidP="00395313">
      <w:pPr>
        <w:jc w:val="both"/>
      </w:pPr>
      <w:r w:rsidRPr="00413346">
        <w:rPr>
          <w:noProof/>
        </w:rPr>
        <w:drawing>
          <wp:anchor distT="0" distB="0" distL="114300" distR="114300" simplePos="0" relativeHeight="251652608" behindDoc="0" locked="0" layoutInCell="1" allowOverlap="1" wp14:anchorId="5D980118" wp14:editId="2B6ECE49">
            <wp:simplePos x="0" y="0"/>
            <wp:positionH relativeFrom="column">
              <wp:posOffset>-290195</wp:posOffset>
            </wp:positionH>
            <wp:positionV relativeFrom="paragraph">
              <wp:posOffset>106045</wp:posOffset>
            </wp:positionV>
            <wp:extent cx="6304915" cy="1847215"/>
            <wp:effectExtent l="0" t="0" r="635" b="635"/>
            <wp:wrapNone/>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cstate="print">
                      <a:extLst>
                        <a:ext uri="{28A0092B-C50C-407E-A947-70E740481C1C}">
                          <a14:useLocalDpi xmlns:a14="http://schemas.microsoft.com/office/drawing/2010/main" val="0"/>
                        </a:ext>
                      </a:extLst>
                    </a:blip>
                    <a:stretch>
                      <a:fillRect/>
                    </a:stretch>
                  </pic:blipFill>
                  <pic:spPr>
                    <a:xfrm>
                      <a:off x="0" y="0"/>
                      <a:ext cx="6304915" cy="1847215"/>
                    </a:xfrm>
                    <a:prstGeom prst="rect">
                      <a:avLst/>
                    </a:prstGeom>
                  </pic:spPr>
                </pic:pic>
              </a:graphicData>
            </a:graphic>
            <wp14:sizeRelH relativeFrom="margin">
              <wp14:pctWidth>0</wp14:pctWidth>
            </wp14:sizeRelH>
          </wp:anchor>
        </w:drawing>
      </w:r>
    </w:p>
    <w:p w14:paraId="22D8C50A" w14:textId="77777777" w:rsidR="00792E30" w:rsidRDefault="00792E30" w:rsidP="00395313">
      <w:pPr>
        <w:jc w:val="both"/>
      </w:pPr>
    </w:p>
    <w:p w14:paraId="710BDABC" w14:textId="77777777" w:rsidR="006F6A96" w:rsidRPr="00413346" w:rsidRDefault="006F6A96" w:rsidP="00395313">
      <w:pPr>
        <w:jc w:val="both"/>
      </w:pPr>
    </w:p>
    <w:p w14:paraId="6ED350C9" w14:textId="77777777" w:rsidR="006F6A96" w:rsidRDefault="006F6A96" w:rsidP="00395313">
      <w:pPr>
        <w:jc w:val="both"/>
      </w:pPr>
    </w:p>
    <w:p w14:paraId="3BCF1DD7" w14:textId="77777777" w:rsidR="00792E30" w:rsidRDefault="00792E30" w:rsidP="00395313">
      <w:pPr>
        <w:jc w:val="both"/>
      </w:pPr>
    </w:p>
    <w:p w14:paraId="13B88D76" w14:textId="77777777" w:rsidR="00792E30" w:rsidRDefault="00792E30" w:rsidP="00395313">
      <w:pPr>
        <w:jc w:val="both"/>
      </w:pPr>
    </w:p>
    <w:p w14:paraId="2A179EDE" w14:textId="77777777" w:rsidR="001F33F5" w:rsidRDefault="001F33F5" w:rsidP="001F33F5">
      <w:pPr>
        <w:pStyle w:val="ListParagraph"/>
        <w:jc w:val="both"/>
      </w:pPr>
    </w:p>
    <w:p w14:paraId="67366A8F" w14:textId="77777777" w:rsidR="001F33F5" w:rsidRDefault="001F33F5" w:rsidP="001F33F5">
      <w:pPr>
        <w:pStyle w:val="ListParagraph"/>
        <w:jc w:val="both"/>
      </w:pPr>
    </w:p>
    <w:p w14:paraId="2DA2EDD5" w14:textId="77777777" w:rsidR="006F7B57" w:rsidRDefault="006F7B57" w:rsidP="001F33F5">
      <w:pPr>
        <w:pStyle w:val="ListParagraph"/>
        <w:jc w:val="both"/>
      </w:pPr>
    </w:p>
    <w:p w14:paraId="5E8ABDD9" w14:textId="77777777" w:rsidR="00792E30" w:rsidRPr="00297498" w:rsidRDefault="00792E30" w:rsidP="00750180">
      <w:pPr>
        <w:pStyle w:val="Heading3"/>
        <w:numPr>
          <w:ilvl w:val="2"/>
          <w:numId w:val="127"/>
        </w:numPr>
        <w:spacing w:after="240"/>
      </w:pPr>
      <w:bookmarkStart w:id="451" w:name="_Toc510706641"/>
      <w:r w:rsidRPr="00297498">
        <w:t>Arts and Culture</w:t>
      </w:r>
      <w:bookmarkEnd w:id="451"/>
    </w:p>
    <w:p w14:paraId="0BA213E3" w14:textId="195658AD" w:rsidR="00792E30" w:rsidRDefault="00792E30" w:rsidP="00395313">
      <w:pPr>
        <w:jc w:val="both"/>
      </w:pPr>
      <w:r>
        <w:t xml:space="preserve">The Department of </w:t>
      </w:r>
      <w:r w:rsidR="004B1C0C">
        <w:t>Arts</w:t>
      </w:r>
      <w:r>
        <w:t xml:space="preserve"> and Culture rolls out social cohesion programs focusing mainly on Arts and Culture wherein the municipality performs a facilitating role. These joint initiatives serve the following purposes;</w:t>
      </w:r>
    </w:p>
    <w:p w14:paraId="63E1AE13" w14:textId="77777777" w:rsidR="00792E30" w:rsidRDefault="00792E30" w:rsidP="00750180">
      <w:pPr>
        <w:pStyle w:val="ListParagraph"/>
        <w:numPr>
          <w:ilvl w:val="0"/>
          <w:numId w:val="50"/>
        </w:numPr>
        <w:jc w:val="both"/>
      </w:pPr>
      <w:r>
        <w:t>Improve efficiency of government led job creation program</w:t>
      </w:r>
    </w:p>
    <w:p w14:paraId="63DFFB19" w14:textId="77777777" w:rsidR="00792E30" w:rsidRDefault="00792E30" w:rsidP="00750180">
      <w:pPr>
        <w:pStyle w:val="ListParagraph"/>
        <w:numPr>
          <w:ilvl w:val="0"/>
          <w:numId w:val="50"/>
        </w:numPr>
        <w:jc w:val="both"/>
      </w:pPr>
      <w:r>
        <w:t>Enhance youth skills development and life-long learning</w:t>
      </w:r>
    </w:p>
    <w:p w14:paraId="22B0D303" w14:textId="77777777" w:rsidR="00792E30" w:rsidRDefault="00792E30" w:rsidP="00750180">
      <w:pPr>
        <w:pStyle w:val="ListParagraph"/>
        <w:numPr>
          <w:ilvl w:val="0"/>
          <w:numId w:val="50"/>
        </w:numPr>
        <w:jc w:val="both"/>
      </w:pPr>
      <w:r>
        <w:t>Support skills alignment to economic growth</w:t>
      </w:r>
    </w:p>
    <w:p w14:paraId="749BE743" w14:textId="77777777" w:rsidR="00792E30" w:rsidRDefault="00792E30" w:rsidP="00750180">
      <w:pPr>
        <w:pStyle w:val="ListParagraph"/>
        <w:numPr>
          <w:ilvl w:val="0"/>
          <w:numId w:val="50"/>
        </w:numPr>
        <w:jc w:val="both"/>
      </w:pPr>
      <w:r>
        <w:t>Poverty alleviation and social welfare</w:t>
      </w:r>
    </w:p>
    <w:p w14:paraId="1C03F8FE" w14:textId="77777777" w:rsidR="00792E30" w:rsidRPr="00C63459" w:rsidRDefault="00792E30" w:rsidP="00750180">
      <w:pPr>
        <w:pStyle w:val="ListParagraph"/>
        <w:numPr>
          <w:ilvl w:val="0"/>
          <w:numId w:val="50"/>
        </w:numPr>
        <w:jc w:val="both"/>
      </w:pPr>
      <w:r w:rsidRPr="00C63459">
        <w:t>Rolling out of promotional and/or advocacy projects to communities</w:t>
      </w:r>
    </w:p>
    <w:p w14:paraId="5F73E14B" w14:textId="77777777" w:rsidR="00A945A7" w:rsidRPr="00C63459" w:rsidRDefault="00A945A7" w:rsidP="00A945A7">
      <w:pPr>
        <w:jc w:val="both"/>
      </w:pPr>
      <w:r w:rsidRPr="00C63459">
        <w:t>The Strategic Objectives of the Department of Arts and Culture are as follows;</w:t>
      </w:r>
    </w:p>
    <w:p w14:paraId="7B96DCD9" w14:textId="77777777" w:rsidR="00A945A7" w:rsidRPr="00C63459" w:rsidRDefault="00A945A7" w:rsidP="00750180">
      <w:pPr>
        <w:pStyle w:val="ListParagraph"/>
        <w:numPr>
          <w:ilvl w:val="0"/>
          <w:numId w:val="64"/>
        </w:numPr>
        <w:spacing w:after="0" w:line="240" w:lineRule="auto"/>
        <w:jc w:val="both"/>
      </w:pPr>
      <w:r w:rsidRPr="00C63459">
        <w:t>The implementation of interventions that grow the arts and culture industry in KZN, contributing to job creation and poverty alleviation</w:t>
      </w:r>
    </w:p>
    <w:p w14:paraId="65A37288" w14:textId="77777777" w:rsidR="00A945A7" w:rsidRPr="00C63459" w:rsidRDefault="00A945A7" w:rsidP="00750180">
      <w:pPr>
        <w:pStyle w:val="ListParagraph"/>
        <w:numPr>
          <w:ilvl w:val="1"/>
          <w:numId w:val="64"/>
        </w:numPr>
        <w:spacing w:after="0" w:line="240" w:lineRule="auto"/>
        <w:jc w:val="both"/>
      </w:pPr>
      <w:r w:rsidRPr="00C63459">
        <w:t>Establishment of Arts and Culture Forum – Ward Level</w:t>
      </w:r>
    </w:p>
    <w:p w14:paraId="4A6DB56E" w14:textId="77777777" w:rsidR="00A945A7" w:rsidRPr="00C63459" w:rsidRDefault="00A945A7" w:rsidP="00750180">
      <w:pPr>
        <w:pStyle w:val="ListParagraph"/>
        <w:numPr>
          <w:ilvl w:val="1"/>
          <w:numId w:val="64"/>
        </w:numPr>
        <w:spacing w:after="0" w:line="240" w:lineRule="auto"/>
        <w:jc w:val="both"/>
      </w:pPr>
      <w:r w:rsidRPr="00C63459">
        <w:t>Identification of cooperatives to be supported</w:t>
      </w:r>
    </w:p>
    <w:p w14:paraId="6DD6179F" w14:textId="77777777" w:rsidR="00A945A7" w:rsidRPr="00C63459" w:rsidRDefault="00A945A7" w:rsidP="00A945A7">
      <w:pPr>
        <w:spacing w:after="0" w:line="240" w:lineRule="auto"/>
        <w:jc w:val="both"/>
      </w:pPr>
    </w:p>
    <w:p w14:paraId="495526B9" w14:textId="77777777" w:rsidR="00A945A7" w:rsidRPr="00C63459" w:rsidRDefault="00A945A7" w:rsidP="00750180">
      <w:pPr>
        <w:pStyle w:val="ListParagraph"/>
        <w:numPr>
          <w:ilvl w:val="0"/>
          <w:numId w:val="64"/>
        </w:numPr>
        <w:spacing w:after="0" w:line="240" w:lineRule="auto"/>
        <w:jc w:val="both"/>
      </w:pPr>
      <w:r w:rsidRPr="00C63459">
        <w:t>The implementation of interventions that advance artistic disciplines into viable industries.</w:t>
      </w:r>
    </w:p>
    <w:p w14:paraId="62BB59B4" w14:textId="77777777" w:rsidR="00C63459" w:rsidRPr="00C63459" w:rsidRDefault="00C63459" w:rsidP="00750180">
      <w:pPr>
        <w:pStyle w:val="ListParagraph"/>
        <w:numPr>
          <w:ilvl w:val="1"/>
          <w:numId w:val="64"/>
        </w:numPr>
        <w:spacing w:after="0" w:line="240" w:lineRule="auto"/>
        <w:jc w:val="both"/>
      </w:pPr>
      <w:r w:rsidRPr="00C63459">
        <w:t>Performing arts / visual arts training for inmates</w:t>
      </w:r>
    </w:p>
    <w:p w14:paraId="486D27B4" w14:textId="77777777" w:rsidR="00C63459" w:rsidRPr="00C63459" w:rsidRDefault="00C63459" w:rsidP="00750180">
      <w:pPr>
        <w:pStyle w:val="ListParagraph"/>
        <w:numPr>
          <w:ilvl w:val="1"/>
          <w:numId w:val="64"/>
        </w:numPr>
        <w:spacing w:after="0" w:line="240" w:lineRule="auto"/>
        <w:jc w:val="both"/>
      </w:pPr>
      <w:r w:rsidRPr="00C63459">
        <w:t>Rolling out Main stream Performing and Visual Arts Training</w:t>
      </w:r>
    </w:p>
    <w:p w14:paraId="1E991203" w14:textId="77777777" w:rsidR="00C63459" w:rsidRPr="00C63459" w:rsidRDefault="00C63459" w:rsidP="00750180">
      <w:pPr>
        <w:pStyle w:val="ListParagraph"/>
        <w:numPr>
          <w:ilvl w:val="1"/>
          <w:numId w:val="64"/>
        </w:numPr>
        <w:spacing w:after="0" w:line="240" w:lineRule="auto"/>
        <w:jc w:val="both"/>
      </w:pPr>
      <w:r w:rsidRPr="00C63459">
        <w:t>Performing arts training (theatre/drama, music etc.)</w:t>
      </w:r>
    </w:p>
    <w:p w14:paraId="7154CCF6" w14:textId="77777777" w:rsidR="00C63459" w:rsidRPr="00C63459" w:rsidRDefault="00C63459" w:rsidP="00750180">
      <w:pPr>
        <w:pStyle w:val="ListParagraph"/>
        <w:numPr>
          <w:ilvl w:val="1"/>
          <w:numId w:val="64"/>
        </w:numPr>
        <w:spacing w:after="0" w:line="240" w:lineRule="auto"/>
        <w:jc w:val="both"/>
      </w:pPr>
      <w:r w:rsidRPr="00C63459">
        <w:t>Visual arts and craft training (fine arts, beadwork etc.)</w:t>
      </w:r>
    </w:p>
    <w:p w14:paraId="5D47EB55" w14:textId="77777777" w:rsidR="00C63459" w:rsidRPr="00C63459" w:rsidRDefault="00C63459" w:rsidP="00750180">
      <w:pPr>
        <w:pStyle w:val="ListParagraph"/>
        <w:numPr>
          <w:ilvl w:val="1"/>
          <w:numId w:val="64"/>
        </w:numPr>
        <w:spacing w:after="0" w:line="240" w:lineRule="auto"/>
        <w:jc w:val="both"/>
      </w:pPr>
      <w:r w:rsidRPr="00C63459">
        <w:t>Performing arts/ Visual arts and craft training for people with disabilities.</w:t>
      </w:r>
    </w:p>
    <w:p w14:paraId="2B1C005C" w14:textId="77777777" w:rsidR="00C63459" w:rsidRPr="00C63459" w:rsidRDefault="00C63459" w:rsidP="00750180">
      <w:pPr>
        <w:pStyle w:val="ListParagraph"/>
        <w:numPr>
          <w:ilvl w:val="1"/>
          <w:numId w:val="64"/>
        </w:numPr>
        <w:spacing w:after="0" w:line="240" w:lineRule="auto"/>
        <w:jc w:val="both"/>
      </w:pPr>
      <w:r w:rsidRPr="00C63459">
        <w:t>Youth Camp</w:t>
      </w:r>
    </w:p>
    <w:p w14:paraId="6C469326" w14:textId="77777777" w:rsidR="00C63459" w:rsidRPr="00C63459" w:rsidRDefault="00C63459" w:rsidP="00750180">
      <w:pPr>
        <w:pStyle w:val="ListParagraph"/>
        <w:numPr>
          <w:ilvl w:val="1"/>
          <w:numId w:val="64"/>
        </w:numPr>
        <w:spacing w:after="0" w:line="240" w:lineRule="auto"/>
        <w:jc w:val="both"/>
      </w:pPr>
      <w:r w:rsidRPr="00C63459">
        <w:t>Men’s Project – Amahubo rehearsals</w:t>
      </w:r>
    </w:p>
    <w:p w14:paraId="6A880ED1" w14:textId="77777777" w:rsidR="00C63459" w:rsidRPr="00C63459" w:rsidRDefault="00C63459" w:rsidP="00750180">
      <w:pPr>
        <w:pStyle w:val="ListParagraph"/>
        <w:numPr>
          <w:ilvl w:val="1"/>
          <w:numId w:val="64"/>
        </w:numPr>
        <w:spacing w:after="0" w:line="240" w:lineRule="auto"/>
        <w:jc w:val="both"/>
      </w:pPr>
      <w:r w:rsidRPr="00C63459">
        <w:t>Women’s Project (Operation Siyaya Emhlangeni)</w:t>
      </w:r>
    </w:p>
    <w:p w14:paraId="00AD4511" w14:textId="77777777" w:rsidR="00C63459" w:rsidRPr="00C63459" w:rsidRDefault="00C63459" w:rsidP="00750180">
      <w:pPr>
        <w:pStyle w:val="ListParagraph"/>
        <w:numPr>
          <w:ilvl w:val="1"/>
          <w:numId w:val="64"/>
        </w:numPr>
        <w:spacing w:after="0" w:line="240" w:lineRule="auto"/>
        <w:jc w:val="both"/>
      </w:pPr>
      <w:r w:rsidRPr="00C63459">
        <w:t>Dolosfees</w:t>
      </w:r>
    </w:p>
    <w:p w14:paraId="123F4830" w14:textId="77777777" w:rsidR="00C63459" w:rsidRPr="00C63459" w:rsidRDefault="00C63459" w:rsidP="00750180">
      <w:pPr>
        <w:pStyle w:val="ListParagraph"/>
        <w:numPr>
          <w:ilvl w:val="1"/>
          <w:numId w:val="64"/>
        </w:numPr>
        <w:spacing w:after="0" w:line="240" w:lineRule="auto"/>
        <w:jc w:val="both"/>
      </w:pPr>
      <w:r w:rsidRPr="00C63459">
        <w:t>Regional Choral Music Competition</w:t>
      </w:r>
    </w:p>
    <w:p w14:paraId="20C116F5" w14:textId="77777777" w:rsidR="00C63459" w:rsidRPr="00C63459" w:rsidRDefault="003C03FA" w:rsidP="00750180">
      <w:pPr>
        <w:pStyle w:val="ListParagraph"/>
        <w:numPr>
          <w:ilvl w:val="1"/>
          <w:numId w:val="64"/>
        </w:numPr>
        <w:spacing w:after="0" w:line="240" w:lineRule="auto"/>
        <w:jc w:val="both"/>
      </w:pPr>
      <w:r>
        <w:t>District</w:t>
      </w:r>
      <w:r w:rsidR="00C63459" w:rsidRPr="00C63459">
        <w:t xml:space="preserve"> Community Festivals</w:t>
      </w:r>
    </w:p>
    <w:p w14:paraId="2A9A78DA" w14:textId="77777777" w:rsidR="00C63459" w:rsidRPr="00C63459" w:rsidRDefault="003C03FA" w:rsidP="00750180">
      <w:pPr>
        <w:pStyle w:val="ListParagraph"/>
        <w:numPr>
          <w:ilvl w:val="1"/>
          <w:numId w:val="64"/>
        </w:numPr>
        <w:spacing w:after="0" w:line="240" w:lineRule="auto"/>
        <w:jc w:val="both"/>
      </w:pPr>
      <w:r>
        <w:t>District</w:t>
      </w:r>
      <w:r w:rsidR="00C63459" w:rsidRPr="00C63459">
        <w:t xml:space="preserve"> Ingoma</w:t>
      </w:r>
    </w:p>
    <w:p w14:paraId="031B1C1A" w14:textId="77777777" w:rsidR="00C63459" w:rsidRPr="00C63459" w:rsidRDefault="00C63459" w:rsidP="00C63459">
      <w:pPr>
        <w:pStyle w:val="ListParagraph"/>
        <w:spacing w:after="0" w:line="240" w:lineRule="auto"/>
        <w:ind w:left="360"/>
        <w:jc w:val="both"/>
      </w:pPr>
    </w:p>
    <w:p w14:paraId="4211C58F" w14:textId="77777777" w:rsidR="00A945A7" w:rsidRPr="00C63459" w:rsidRDefault="00A945A7" w:rsidP="00750180">
      <w:pPr>
        <w:pStyle w:val="ListParagraph"/>
        <w:numPr>
          <w:ilvl w:val="0"/>
          <w:numId w:val="64"/>
        </w:numPr>
        <w:spacing w:after="0" w:line="240" w:lineRule="auto"/>
        <w:jc w:val="both"/>
      </w:pPr>
      <w:r w:rsidRPr="00C63459">
        <w:t>The implementation of interventions that enhance social cohesion and inclusion in the Province.</w:t>
      </w:r>
    </w:p>
    <w:p w14:paraId="3ED4D24F" w14:textId="77777777" w:rsidR="00C63459" w:rsidRPr="00C63459" w:rsidRDefault="00C63459" w:rsidP="00750180">
      <w:pPr>
        <w:pStyle w:val="ListParagraph"/>
        <w:numPr>
          <w:ilvl w:val="1"/>
          <w:numId w:val="64"/>
        </w:numPr>
        <w:spacing w:after="0" w:line="240" w:lineRule="auto"/>
        <w:jc w:val="both"/>
      </w:pPr>
      <w:r w:rsidRPr="00C63459">
        <w:t>Community Dialogs</w:t>
      </w:r>
    </w:p>
    <w:p w14:paraId="05950136" w14:textId="77777777" w:rsidR="00C63459" w:rsidRPr="00C63459" w:rsidRDefault="00C63459" w:rsidP="00C63459">
      <w:pPr>
        <w:pStyle w:val="ListParagraph"/>
        <w:spacing w:after="0" w:line="240" w:lineRule="auto"/>
        <w:ind w:left="792"/>
        <w:jc w:val="both"/>
      </w:pPr>
    </w:p>
    <w:p w14:paraId="405C264C" w14:textId="77777777" w:rsidR="00A945A7" w:rsidRPr="00C63459" w:rsidRDefault="00A945A7" w:rsidP="00750180">
      <w:pPr>
        <w:pStyle w:val="ListParagraph"/>
        <w:numPr>
          <w:ilvl w:val="0"/>
          <w:numId w:val="64"/>
        </w:numPr>
        <w:spacing w:after="0" w:line="240" w:lineRule="auto"/>
        <w:jc w:val="both"/>
      </w:pPr>
      <w:r w:rsidRPr="00C63459">
        <w:t>The improvement of the Quality of Education in the Arts, Culture &amp; Heritage</w:t>
      </w:r>
    </w:p>
    <w:p w14:paraId="2A35F57F" w14:textId="77777777" w:rsidR="00C63459" w:rsidRPr="00C63459" w:rsidRDefault="00C63459" w:rsidP="00750180">
      <w:pPr>
        <w:pStyle w:val="ListParagraph"/>
        <w:numPr>
          <w:ilvl w:val="1"/>
          <w:numId w:val="64"/>
        </w:numPr>
        <w:spacing w:after="0" w:line="240" w:lineRule="auto"/>
        <w:jc w:val="both"/>
      </w:pPr>
      <w:r w:rsidRPr="00C63459">
        <w:t>Umkhosi waMaganu</w:t>
      </w:r>
    </w:p>
    <w:p w14:paraId="7317D257" w14:textId="77777777" w:rsidR="00C63459" w:rsidRPr="00C63459" w:rsidRDefault="00C63459" w:rsidP="00750180">
      <w:pPr>
        <w:pStyle w:val="ListParagraph"/>
        <w:numPr>
          <w:ilvl w:val="1"/>
          <w:numId w:val="64"/>
        </w:numPr>
        <w:spacing w:after="0" w:line="240" w:lineRule="auto"/>
        <w:jc w:val="both"/>
      </w:pPr>
      <w:r w:rsidRPr="00C63459">
        <w:t>Freedom Day Celebration</w:t>
      </w:r>
    </w:p>
    <w:p w14:paraId="73ED3F33" w14:textId="77777777" w:rsidR="00C63459" w:rsidRPr="00C63459" w:rsidRDefault="00C63459" w:rsidP="00750180">
      <w:pPr>
        <w:pStyle w:val="ListParagraph"/>
        <w:numPr>
          <w:ilvl w:val="1"/>
          <w:numId w:val="64"/>
        </w:numPr>
        <w:spacing w:after="0" w:line="240" w:lineRule="auto"/>
        <w:jc w:val="both"/>
      </w:pPr>
      <w:r w:rsidRPr="00C63459">
        <w:t>Umkhosi weNonkosazana/ kaNomkhubulwane</w:t>
      </w:r>
    </w:p>
    <w:p w14:paraId="6F9E816F" w14:textId="77777777" w:rsidR="00C63459" w:rsidRPr="00C63459" w:rsidRDefault="00C63459" w:rsidP="00750180">
      <w:pPr>
        <w:pStyle w:val="ListParagraph"/>
        <w:numPr>
          <w:ilvl w:val="1"/>
          <w:numId w:val="64"/>
        </w:numPr>
        <w:spacing w:after="0" w:line="240" w:lineRule="auto"/>
        <w:jc w:val="both"/>
      </w:pPr>
      <w:r w:rsidRPr="00C63459">
        <w:t>Reed Dance Ceremony</w:t>
      </w:r>
    </w:p>
    <w:p w14:paraId="2ED86D8C" w14:textId="77777777" w:rsidR="00C63459" w:rsidRPr="00C63459" w:rsidRDefault="00C63459" w:rsidP="00750180">
      <w:pPr>
        <w:pStyle w:val="ListParagraph"/>
        <w:numPr>
          <w:ilvl w:val="1"/>
          <w:numId w:val="64"/>
        </w:numPr>
        <w:spacing w:after="0" w:line="240" w:lineRule="auto"/>
        <w:jc w:val="both"/>
      </w:pPr>
      <w:r w:rsidRPr="00C63459">
        <w:t>Umkhosi weSivivane/ Izithungo</w:t>
      </w:r>
    </w:p>
    <w:p w14:paraId="3FEF4ED4" w14:textId="77777777" w:rsidR="00C63459" w:rsidRPr="00C63459" w:rsidRDefault="00C63459" w:rsidP="00750180">
      <w:pPr>
        <w:pStyle w:val="ListParagraph"/>
        <w:numPr>
          <w:ilvl w:val="1"/>
          <w:numId w:val="64"/>
        </w:numPr>
        <w:spacing w:after="0" w:line="240" w:lineRule="auto"/>
        <w:jc w:val="both"/>
      </w:pPr>
      <w:r w:rsidRPr="00C63459">
        <w:t>Umkhosi weLembe</w:t>
      </w:r>
    </w:p>
    <w:p w14:paraId="5AAFF2FB" w14:textId="77777777" w:rsidR="00C63459" w:rsidRPr="00C63459" w:rsidRDefault="00C63459" w:rsidP="00750180">
      <w:pPr>
        <w:pStyle w:val="ListParagraph"/>
        <w:numPr>
          <w:ilvl w:val="1"/>
          <w:numId w:val="64"/>
        </w:numPr>
        <w:spacing w:after="0" w:line="240" w:lineRule="auto"/>
        <w:jc w:val="both"/>
      </w:pPr>
      <w:r w:rsidRPr="00C63459">
        <w:t>Umkhosi woSelwa/ UkweShwama</w:t>
      </w:r>
    </w:p>
    <w:p w14:paraId="2B096A77" w14:textId="77777777" w:rsidR="00D521D4" w:rsidRDefault="00D521D4" w:rsidP="00D521D4">
      <w:pPr>
        <w:jc w:val="both"/>
      </w:pPr>
    </w:p>
    <w:p w14:paraId="2346248F" w14:textId="77777777" w:rsidR="0037082E" w:rsidRPr="00297498" w:rsidRDefault="0037082E" w:rsidP="00750180">
      <w:pPr>
        <w:pStyle w:val="Heading2"/>
        <w:numPr>
          <w:ilvl w:val="2"/>
          <w:numId w:val="127"/>
        </w:numPr>
      </w:pPr>
      <w:bookmarkStart w:id="452" w:name="_Toc389740004"/>
      <w:bookmarkStart w:id="453" w:name="_Toc510706642"/>
      <w:r w:rsidRPr="00297498">
        <w:t>Social Development: SWOT Analysis</w:t>
      </w:r>
      <w:bookmarkEnd w:id="452"/>
      <w:bookmarkEnd w:id="453"/>
    </w:p>
    <w:p w14:paraId="54F546CF" w14:textId="77777777" w:rsidR="00202916" w:rsidRPr="00413346" w:rsidRDefault="00202916" w:rsidP="00750180">
      <w:pPr>
        <w:pStyle w:val="Heading4"/>
        <w:numPr>
          <w:ilvl w:val="3"/>
          <w:numId w:val="127"/>
        </w:numPr>
        <w:spacing w:after="240"/>
      </w:pPr>
      <w:bookmarkStart w:id="454" w:name="_Toc389740005"/>
      <w:r w:rsidRPr="00413346">
        <w:t>Strengths / Opportunities</w:t>
      </w:r>
      <w:bookmarkEnd w:id="454"/>
    </w:p>
    <w:p w14:paraId="60AA4A44" w14:textId="77777777" w:rsidR="00202916" w:rsidRPr="00413346" w:rsidRDefault="00202916" w:rsidP="00E31338">
      <w:pPr>
        <w:pStyle w:val="ListParagraph"/>
        <w:numPr>
          <w:ilvl w:val="0"/>
          <w:numId w:val="1"/>
        </w:numPr>
        <w:spacing w:line="288" w:lineRule="auto"/>
        <w:jc w:val="both"/>
        <w:rPr>
          <w:szCs w:val="20"/>
        </w:rPr>
      </w:pPr>
      <w:r w:rsidRPr="00413346">
        <w:rPr>
          <w:szCs w:val="20"/>
        </w:rPr>
        <w:t>Established and functional Ward Committees</w:t>
      </w:r>
    </w:p>
    <w:p w14:paraId="7FEFEF16" w14:textId="77777777" w:rsidR="00202916" w:rsidRPr="00413346" w:rsidRDefault="00202916" w:rsidP="00E31338">
      <w:pPr>
        <w:pStyle w:val="ListParagraph"/>
        <w:numPr>
          <w:ilvl w:val="0"/>
          <w:numId w:val="1"/>
        </w:numPr>
        <w:spacing w:line="288" w:lineRule="auto"/>
        <w:jc w:val="both"/>
        <w:rPr>
          <w:szCs w:val="20"/>
        </w:rPr>
      </w:pPr>
      <w:r w:rsidRPr="00413346">
        <w:rPr>
          <w:szCs w:val="20"/>
        </w:rPr>
        <w:t>Free Basic services for electricity are being provided by the uMlalazi Municipality, for those people on the indigent register and residing in Eshowe and King DinuZulu (where the Municipality is the electricity service provider).  Monies are also being paid over to ESKOM on a monthly basis for free basic electricity for the indigents on ESKOM’s Indigent Register.</w:t>
      </w:r>
    </w:p>
    <w:p w14:paraId="32B41DC6" w14:textId="77777777" w:rsidR="00202916" w:rsidRPr="00413346" w:rsidRDefault="00202916" w:rsidP="00E31338">
      <w:pPr>
        <w:pStyle w:val="ListParagraph"/>
        <w:numPr>
          <w:ilvl w:val="0"/>
          <w:numId w:val="1"/>
        </w:numPr>
        <w:spacing w:line="288" w:lineRule="auto"/>
        <w:jc w:val="both"/>
        <w:rPr>
          <w:szCs w:val="20"/>
        </w:rPr>
      </w:pPr>
      <w:r w:rsidRPr="00413346">
        <w:rPr>
          <w:szCs w:val="20"/>
        </w:rPr>
        <w:t>Free Basic Services for solid waste removal are provided by the Municipality for households on the Municipal Indigent Register for those residing in Eshowe, King DinuZulu and Gingindlovu.</w:t>
      </w:r>
    </w:p>
    <w:p w14:paraId="42E6F54B" w14:textId="17BFBAFE" w:rsidR="00202916" w:rsidRPr="00413346" w:rsidRDefault="00202916" w:rsidP="00E31338">
      <w:pPr>
        <w:pStyle w:val="ListParagraph"/>
        <w:numPr>
          <w:ilvl w:val="0"/>
          <w:numId w:val="1"/>
        </w:numPr>
        <w:spacing w:line="288" w:lineRule="auto"/>
        <w:jc w:val="both"/>
        <w:rPr>
          <w:szCs w:val="20"/>
        </w:rPr>
      </w:pPr>
      <w:r w:rsidRPr="00413346">
        <w:rPr>
          <w:szCs w:val="20"/>
        </w:rPr>
        <w:t>The uMlalazi Local Municipality has a 24 hour Alpha Emergency Control Centr</w:t>
      </w:r>
      <w:r w:rsidR="00BA3715">
        <w:rPr>
          <w:szCs w:val="20"/>
        </w:rPr>
        <w:t xml:space="preserve">e located at the Community </w:t>
      </w:r>
      <w:r w:rsidRPr="00413346">
        <w:rPr>
          <w:szCs w:val="20"/>
        </w:rPr>
        <w:t>Services</w:t>
      </w:r>
      <w:r w:rsidR="00BA3715">
        <w:rPr>
          <w:szCs w:val="20"/>
        </w:rPr>
        <w:t xml:space="preserve"> Department at</w:t>
      </w:r>
      <w:r w:rsidRPr="00413346">
        <w:rPr>
          <w:szCs w:val="20"/>
        </w:rPr>
        <w:t xml:space="preserve"> Butcher Street, Eshowe.</w:t>
      </w:r>
    </w:p>
    <w:p w14:paraId="315D1936" w14:textId="77777777" w:rsidR="008B1649" w:rsidRPr="00413346" w:rsidRDefault="008B1649" w:rsidP="00E31338">
      <w:pPr>
        <w:pStyle w:val="ListParagraph"/>
        <w:numPr>
          <w:ilvl w:val="0"/>
          <w:numId w:val="1"/>
        </w:numPr>
        <w:jc w:val="both"/>
        <w:rPr>
          <w:rFonts w:cs="Arial"/>
          <w:szCs w:val="20"/>
        </w:rPr>
      </w:pPr>
      <w:r w:rsidRPr="00413346">
        <w:rPr>
          <w:rFonts w:cs="Arial"/>
          <w:szCs w:val="20"/>
        </w:rPr>
        <w:t>Local Economic Development (LED) obligations as par</w:t>
      </w:r>
      <w:r w:rsidR="00CD50A4" w:rsidRPr="00413346">
        <w:rPr>
          <w:rFonts w:cs="Arial"/>
          <w:szCs w:val="20"/>
        </w:rPr>
        <w:t>t of Social and Labour Plan of the</w:t>
      </w:r>
      <w:r w:rsidRPr="00413346">
        <w:rPr>
          <w:rFonts w:cs="Arial"/>
          <w:szCs w:val="20"/>
        </w:rPr>
        <w:t xml:space="preserve"> mine will contribute significantly to a municipality and its LED objectives. </w:t>
      </w:r>
    </w:p>
    <w:p w14:paraId="5B9CF3B9" w14:textId="77777777" w:rsidR="00202916" w:rsidRPr="00297498" w:rsidRDefault="00202916" w:rsidP="00750180">
      <w:pPr>
        <w:pStyle w:val="Heading4"/>
        <w:numPr>
          <w:ilvl w:val="3"/>
          <w:numId w:val="127"/>
        </w:numPr>
        <w:spacing w:after="240"/>
      </w:pPr>
      <w:bookmarkStart w:id="455" w:name="_Toc389740006"/>
      <w:r w:rsidRPr="00297498">
        <w:t>Weaknesses / Threats</w:t>
      </w:r>
      <w:bookmarkEnd w:id="455"/>
    </w:p>
    <w:p w14:paraId="2F3EE882" w14:textId="77777777" w:rsidR="00202916" w:rsidRPr="00413346" w:rsidRDefault="00202916" w:rsidP="00E31338">
      <w:pPr>
        <w:pStyle w:val="ListParagraph"/>
        <w:numPr>
          <w:ilvl w:val="0"/>
          <w:numId w:val="1"/>
        </w:numPr>
        <w:spacing w:line="288" w:lineRule="auto"/>
        <w:jc w:val="both"/>
        <w:rPr>
          <w:szCs w:val="20"/>
        </w:rPr>
      </w:pPr>
      <w:r w:rsidRPr="00413346">
        <w:rPr>
          <w:szCs w:val="20"/>
        </w:rPr>
        <w:t>Lack of funds</w:t>
      </w:r>
    </w:p>
    <w:p w14:paraId="1B6A9713" w14:textId="77777777" w:rsidR="00202916" w:rsidRPr="00413346" w:rsidRDefault="00202916" w:rsidP="00E31338">
      <w:pPr>
        <w:pStyle w:val="ListParagraph"/>
        <w:numPr>
          <w:ilvl w:val="0"/>
          <w:numId w:val="1"/>
        </w:numPr>
        <w:spacing w:line="288" w:lineRule="auto"/>
        <w:jc w:val="both"/>
        <w:rPr>
          <w:szCs w:val="20"/>
        </w:rPr>
      </w:pPr>
      <w:r w:rsidRPr="00413346">
        <w:rPr>
          <w:szCs w:val="20"/>
        </w:rPr>
        <w:t xml:space="preserve">Clinics and Traditional Administrative </w:t>
      </w:r>
      <w:r w:rsidR="00E72324" w:rsidRPr="00413346">
        <w:rPr>
          <w:szCs w:val="20"/>
        </w:rPr>
        <w:t>Centers</w:t>
      </w:r>
      <w:r w:rsidRPr="00413346">
        <w:rPr>
          <w:szCs w:val="20"/>
        </w:rPr>
        <w:t xml:space="preserve"> are mainly located along main transport routes, making access to these facilities relatively difficult to people residing in deep rural areas of the municipality.</w:t>
      </w:r>
    </w:p>
    <w:p w14:paraId="63327131" w14:textId="77777777" w:rsidR="00202916" w:rsidRPr="00413346" w:rsidRDefault="00202916" w:rsidP="00E31338">
      <w:pPr>
        <w:pStyle w:val="ListParagraph"/>
        <w:numPr>
          <w:ilvl w:val="0"/>
          <w:numId w:val="1"/>
        </w:numPr>
        <w:spacing w:line="288" w:lineRule="auto"/>
        <w:jc w:val="both"/>
        <w:rPr>
          <w:szCs w:val="20"/>
        </w:rPr>
      </w:pPr>
      <w:r w:rsidRPr="00413346">
        <w:rPr>
          <w:szCs w:val="20"/>
        </w:rPr>
        <w:t>Crèches are poorly distributed in the western parts of the Municipal Area.</w:t>
      </w:r>
    </w:p>
    <w:p w14:paraId="212D54F8" w14:textId="77777777" w:rsidR="00202916" w:rsidRPr="00413346" w:rsidRDefault="00202916" w:rsidP="00E31338">
      <w:pPr>
        <w:pStyle w:val="ListParagraph"/>
        <w:numPr>
          <w:ilvl w:val="0"/>
          <w:numId w:val="1"/>
        </w:numPr>
        <w:spacing w:line="288" w:lineRule="auto"/>
        <w:jc w:val="both"/>
        <w:rPr>
          <w:szCs w:val="20"/>
        </w:rPr>
      </w:pPr>
      <w:r w:rsidRPr="00413346">
        <w:rPr>
          <w:szCs w:val="20"/>
        </w:rPr>
        <w:t>There is a lack of facilities at pension pay points – facilities such as shelters and sanitation facilities</w:t>
      </w:r>
    </w:p>
    <w:p w14:paraId="632184B6" w14:textId="77777777" w:rsidR="00202916" w:rsidRPr="00413346" w:rsidRDefault="00202916" w:rsidP="00E31338">
      <w:pPr>
        <w:pStyle w:val="ListParagraph"/>
        <w:numPr>
          <w:ilvl w:val="0"/>
          <w:numId w:val="1"/>
        </w:numPr>
        <w:spacing w:line="288" w:lineRule="auto"/>
        <w:jc w:val="both"/>
        <w:rPr>
          <w:szCs w:val="20"/>
        </w:rPr>
      </w:pPr>
      <w:r w:rsidRPr="00413346">
        <w:rPr>
          <w:szCs w:val="20"/>
        </w:rPr>
        <w:t>As resultant from the ward-based needs analysis conducted during October and November 2011, there is a need for tertiary education facilities or improved access thereto, as well as for skills development and transfer.</w:t>
      </w:r>
    </w:p>
    <w:p w14:paraId="17ED130F" w14:textId="77777777" w:rsidR="00202916" w:rsidRDefault="00202916" w:rsidP="00E31338">
      <w:pPr>
        <w:pStyle w:val="ListParagraph"/>
        <w:numPr>
          <w:ilvl w:val="0"/>
          <w:numId w:val="1"/>
        </w:numPr>
        <w:spacing w:line="288" w:lineRule="auto"/>
        <w:jc w:val="both"/>
        <w:rPr>
          <w:szCs w:val="20"/>
        </w:rPr>
      </w:pPr>
      <w:r w:rsidRPr="00413346">
        <w:rPr>
          <w:szCs w:val="20"/>
        </w:rPr>
        <w:t>High unemployment rate, low household income levels and poverty-stricken communities, exacerbated by the relatively high incidence of HIV/Aids.</w:t>
      </w:r>
    </w:p>
    <w:p w14:paraId="7D00F139" w14:textId="77777777" w:rsidR="00992B24" w:rsidRPr="00962E25" w:rsidRDefault="00654EDF" w:rsidP="00750180">
      <w:pPr>
        <w:pStyle w:val="Heading2"/>
        <w:numPr>
          <w:ilvl w:val="1"/>
          <w:numId w:val="127"/>
        </w:numPr>
      </w:pPr>
      <w:bookmarkStart w:id="456" w:name="_Toc389740008"/>
      <w:bookmarkStart w:id="457" w:name="_Toc510706643"/>
      <w:r w:rsidRPr="00962E25">
        <w:t>FINANCIAL VIABILITY &amp; MANAGEMENT ANALYSIS</w:t>
      </w:r>
      <w:bookmarkEnd w:id="456"/>
      <w:bookmarkEnd w:id="457"/>
      <w:r w:rsidR="00F979A4" w:rsidRPr="00962E25">
        <w:t xml:space="preserve"> </w:t>
      </w:r>
    </w:p>
    <w:p w14:paraId="2833228D" w14:textId="77777777" w:rsidR="00E63535" w:rsidRPr="00E63535" w:rsidRDefault="00E63535" w:rsidP="00750180">
      <w:pPr>
        <w:pStyle w:val="Heading3"/>
        <w:numPr>
          <w:ilvl w:val="2"/>
          <w:numId w:val="127"/>
        </w:numPr>
        <w:spacing w:after="240"/>
      </w:pPr>
      <w:bookmarkStart w:id="458" w:name="_Toc510706644"/>
      <w:bookmarkStart w:id="459" w:name="_Toc389740009"/>
      <w:r w:rsidRPr="00E63535">
        <w:t>The Municipal Standard Charts of Accounts (mSCOA)</w:t>
      </w:r>
      <w:bookmarkEnd w:id="458"/>
    </w:p>
    <w:p w14:paraId="4CC14507" w14:textId="77777777" w:rsidR="00E63535" w:rsidRPr="00E63535" w:rsidRDefault="00E63535" w:rsidP="00E63535">
      <w:pPr>
        <w:jc w:val="both"/>
      </w:pPr>
      <w:r w:rsidRPr="00E63535">
        <w:t>The mSCOA regulation issued on 22 April 2014, is applicable to all municipalities as well as municipal entities. In order to incorporate entity information the uMlalazi Municipality needs to be transacting on all 7 of the mSCOA segments and their information needs to be seamlessly integrated in to the municipal system. A key objective of the proposed Regulations is to enable the alignment of budget information with information captured during the course of the implementation of the budget. Additional key objectives, which also illustrate the potential benefits, include improved data quality and credibility.</w:t>
      </w:r>
    </w:p>
    <w:p w14:paraId="2D81F429" w14:textId="77777777" w:rsidR="00E63535" w:rsidRPr="00E63535" w:rsidRDefault="00E63535" w:rsidP="00E63535">
      <w:pPr>
        <w:jc w:val="both"/>
      </w:pPr>
      <w:r w:rsidRPr="00E63535">
        <w:t xml:space="preserve"> </w:t>
      </w:r>
      <w:r w:rsidRPr="00E63535">
        <w:rPr>
          <w:rFonts w:eastAsia="+mn-ea" w:cs="+mn-cs"/>
          <w:noProof/>
          <w:color w:val="000000"/>
          <w:kern w:val="24"/>
          <w:sz w:val="22"/>
        </w:rPr>
        <w:drawing>
          <wp:inline distT="0" distB="0" distL="0" distR="0" wp14:anchorId="54EC94D2" wp14:editId="13160F03">
            <wp:extent cx="4690533" cy="26383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698300" cy="2642729"/>
                    </a:xfrm>
                    <a:prstGeom prst="rect">
                      <a:avLst/>
                    </a:prstGeom>
                  </pic:spPr>
                </pic:pic>
              </a:graphicData>
            </a:graphic>
          </wp:inline>
        </w:drawing>
      </w:r>
    </w:p>
    <w:p w14:paraId="6D80A1D5" w14:textId="77777777" w:rsidR="00E63535" w:rsidRPr="00E63535" w:rsidRDefault="00E63535" w:rsidP="002F62F0">
      <w:pPr>
        <w:pStyle w:val="Caption"/>
      </w:pPr>
      <w:r w:rsidRPr="00E63535">
        <w:t xml:space="preserve"> </w:t>
      </w:r>
      <w:bookmarkStart w:id="460" w:name="_Toc510622384"/>
      <w:r>
        <w:t xml:space="preserve">Figure </w:t>
      </w:r>
      <w:r w:rsidR="00B918A6">
        <w:fldChar w:fldCharType="begin"/>
      </w:r>
      <w:r w:rsidR="00B918A6">
        <w:instrText xml:space="preserve"> SEQ Figure \* ARABIC </w:instrText>
      </w:r>
      <w:r w:rsidR="00B918A6">
        <w:fldChar w:fldCharType="separate"/>
      </w:r>
      <w:r w:rsidR="0067023A">
        <w:rPr>
          <w:noProof/>
        </w:rPr>
        <w:t>24</w:t>
      </w:r>
      <w:r w:rsidR="00B918A6">
        <w:rPr>
          <w:noProof/>
        </w:rPr>
        <w:fldChar w:fldCharType="end"/>
      </w:r>
      <w:r>
        <w:t>: MSCOA Segments</w:t>
      </w:r>
      <w:bookmarkEnd w:id="460"/>
    </w:p>
    <w:p w14:paraId="7ACD5984" w14:textId="77777777" w:rsidR="00E63535" w:rsidRPr="00297498" w:rsidRDefault="00E63535" w:rsidP="00750180">
      <w:pPr>
        <w:pStyle w:val="Heading3"/>
        <w:numPr>
          <w:ilvl w:val="2"/>
          <w:numId w:val="127"/>
        </w:numPr>
        <w:spacing w:after="240"/>
      </w:pPr>
      <w:bookmarkStart w:id="461" w:name="_Toc510706645"/>
      <w:r w:rsidRPr="00297498">
        <w:t>GRAP vs mSCOA</w:t>
      </w:r>
      <w:bookmarkEnd w:id="461"/>
    </w:p>
    <w:p w14:paraId="32F027F2" w14:textId="77777777" w:rsidR="00E63535" w:rsidRPr="00E63535" w:rsidRDefault="00E63535" w:rsidP="00E63535">
      <w:pPr>
        <w:jc w:val="both"/>
      </w:pPr>
      <w:r w:rsidRPr="00E63535">
        <w:t>GRAP stipulates the accounting treatment of transactions while mSCOA stipulates the standard format in which to account for these transactions. The standards and regulation have a symbiotic relationship in the context of mSCOA which supports National Treasury's intention to create more comparable, reliable</w:t>
      </w:r>
      <w:r w:rsidR="00825269">
        <w:t xml:space="preserve"> and</w:t>
      </w:r>
      <w:r w:rsidRPr="00E63535">
        <w:t xml:space="preserve"> relevant reporting across municipalities.</w:t>
      </w:r>
    </w:p>
    <w:p w14:paraId="423946A8" w14:textId="77777777" w:rsidR="00E63535" w:rsidRPr="00297498" w:rsidRDefault="00E63535" w:rsidP="00750180">
      <w:pPr>
        <w:pStyle w:val="Heading3"/>
        <w:numPr>
          <w:ilvl w:val="2"/>
          <w:numId w:val="127"/>
        </w:numPr>
        <w:spacing w:after="240"/>
      </w:pPr>
      <w:bookmarkStart w:id="462" w:name="_Toc510706646"/>
      <w:r w:rsidRPr="00297498">
        <w:t>mSCOA Project Steering Commitee</w:t>
      </w:r>
      <w:bookmarkEnd w:id="462"/>
    </w:p>
    <w:p w14:paraId="2A586968" w14:textId="77777777" w:rsidR="00E63535" w:rsidRPr="00E63535" w:rsidRDefault="00E63535" w:rsidP="00E63535">
      <w:pPr>
        <w:jc w:val="both"/>
      </w:pPr>
      <w:r w:rsidRPr="00E63535">
        <w:t>The uMlalazi Municipality established a project steering committee to ensure a successful transition and implementation of mSCOA. The responsibilities of the mSCOA Project Steering Committee are as follows:</w:t>
      </w:r>
    </w:p>
    <w:p w14:paraId="1CD09479" w14:textId="77777777" w:rsidR="00E63535" w:rsidRPr="00E63535" w:rsidRDefault="00E63535" w:rsidP="00750180">
      <w:pPr>
        <w:numPr>
          <w:ilvl w:val="0"/>
          <w:numId w:val="74"/>
        </w:numPr>
        <w:contextualSpacing/>
        <w:jc w:val="both"/>
      </w:pPr>
      <w:r w:rsidRPr="00E63535">
        <w:t>To establish sufficient and proper governance framework/environment in accordance with delegated responsibilities in order to ensure successful implementation of the project. This includes amongst others:</w:t>
      </w:r>
    </w:p>
    <w:p w14:paraId="08DCA9B2" w14:textId="77777777" w:rsidR="00E63535" w:rsidRPr="00E63535" w:rsidRDefault="00E63535" w:rsidP="00750180">
      <w:pPr>
        <w:numPr>
          <w:ilvl w:val="0"/>
          <w:numId w:val="75"/>
        </w:numPr>
        <w:contextualSpacing/>
        <w:jc w:val="both"/>
      </w:pPr>
      <w:r w:rsidRPr="00E63535">
        <w:t>Appointment of a Project Manager to lead mSCOA implementation within the municipality;</w:t>
      </w:r>
    </w:p>
    <w:p w14:paraId="1466CCEF" w14:textId="77777777" w:rsidR="00E63535" w:rsidRPr="00E63535" w:rsidRDefault="00E63535" w:rsidP="00750180">
      <w:pPr>
        <w:numPr>
          <w:ilvl w:val="0"/>
          <w:numId w:val="75"/>
        </w:numPr>
        <w:contextualSpacing/>
        <w:jc w:val="both"/>
      </w:pPr>
      <w:r w:rsidRPr="00E63535">
        <w:t>Appointment of a representative from ICT Unit to give technical IT support to the mSCOA Project Steering Committee during and after implementation of mSCOA processes.</w:t>
      </w:r>
    </w:p>
    <w:p w14:paraId="46D0BA4D" w14:textId="77777777" w:rsidR="00E63535" w:rsidRPr="00E63535" w:rsidRDefault="00E63535" w:rsidP="00750180">
      <w:pPr>
        <w:numPr>
          <w:ilvl w:val="0"/>
          <w:numId w:val="75"/>
        </w:numPr>
        <w:contextualSpacing/>
        <w:jc w:val="both"/>
      </w:pPr>
      <w:r w:rsidRPr="00E63535">
        <w:t>Ensuring that mSCOA responsibilities are incorporated in the Performance Agreements; Performance Evaluation Templates and other applicable documentation for the identified officials; and</w:t>
      </w:r>
    </w:p>
    <w:p w14:paraId="5087EEC5" w14:textId="77777777" w:rsidR="00E63535" w:rsidRPr="00E63535" w:rsidRDefault="00E63535" w:rsidP="00750180">
      <w:pPr>
        <w:numPr>
          <w:ilvl w:val="0"/>
          <w:numId w:val="75"/>
        </w:numPr>
        <w:contextualSpacing/>
        <w:jc w:val="both"/>
      </w:pPr>
      <w:r w:rsidRPr="00E63535">
        <w:t>Identify and appoint individuals responsible and accountable per mSCOA Segment</w:t>
      </w:r>
    </w:p>
    <w:p w14:paraId="09DFCA65" w14:textId="77777777" w:rsidR="00E63535" w:rsidRPr="00E63535" w:rsidRDefault="00E63535" w:rsidP="00E63535">
      <w:pPr>
        <w:ind w:left="1800"/>
        <w:contextualSpacing/>
        <w:jc w:val="both"/>
      </w:pPr>
    </w:p>
    <w:p w14:paraId="69643B76" w14:textId="77777777" w:rsidR="00E63535" w:rsidRPr="00E63535" w:rsidRDefault="00E63535" w:rsidP="00750180">
      <w:pPr>
        <w:numPr>
          <w:ilvl w:val="0"/>
          <w:numId w:val="74"/>
        </w:numPr>
        <w:contextualSpacing/>
        <w:jc w:val="both"/>
      </w:pPr>
      <w:r w:rsidRPr="00E63535">
        <w:t>Monitor successful implementation of the Project, which include amongst others:</w:t>
      </w:r>
    </w:p>
    <w:p w14:paraId="454A159A" w14:textId="77777777" w:rsidR="00E63535" w:rsidRPr="00E63535" w:rsidRDefault="00E63535" w:rsidP="00750180">
      <w:pPr>
        <w:numPr>
          <w:ilvl w:val="0"/>
          <w:numId w:val="76"/>
        </w:numPr>
        <w:contextualSpacing/>
        <w:jc w:val="both"/>
      </w:pPr>
      <w:r w:rsidRPr="00E63535">
        <w:t>Prepare a mSCOA Project Implementation Plan, with the required activities, responsible persons and timeframes;</w:t>
      </w:r>
    </w:p>
    <w:p w14:paraId="462B98D3" w14:textId="77777777" w:rsidR="00E63535" w:rsidRPr="00E63535" w:rsidRDefault="00E63535" w:rsidP="00750180">
      <w:pPr>
        <w:numPr>
          <w:ilvl w:val="0"/>
          <w:numId w:val="76"/>
        </w:numPr>
        <w:contextualSpacing/>
        <w:jc w:val="both"/>
      </w:pPr>
      <w:r w:rsidRPr="00E63535">
        <w:t>Monitor the progress made in terms of implementation of mSCOA project plan, and implement action plans to address any challenges and backlogs;</w:t>
      </w:r>
    </w:p>
    <w:p w14:paraId="1192B55D" w14:textId="77777777" w:rsidR="00E63535" w:rsidRPr="00E63535" w:rsidRDefault="00E63535" w:rsidP="00750180">
      <w:pPr>
        <w:numPr>
          <w:ilvl w:val="0"/>
          <w:numId w:val="76"/>
        </w:numPr>
        <w:contextualSpacing/>
        <w:jc w:val="both"/>
      </w:pPr>
      <w:r w:rsidRPr="00E63535">
        <w:t>Ensure organizational awareness of mSCOA by means of internal workshops, feedback to the various internal committees and Council;</w:t>
      </w:r>
    </w:p>
    <w:p w14:paraId="44447B0A" w14:textId="77777777" w:rsidR="00E63535" w:rsidRPr="00E63535" w:rsidRDefault="00E63535" w:rsidP="00750180">
      <w:pPr>
        <w:numPr>
          <w:ilvl w:val="0"/>
          <w:numId w:val="76"/>
        </w:numPr>
        <w:contextualSpacing/>
        <w:jc w:val="both"/>
      </w:pPr>
      <w:r w:rsidRPr="00E63535">
        <w:t>Ensure that mSCOA is adopted as a permanent standing item on MANCO agenda for tracking progress and noting institutional risk;</w:t>
      </w:r>
    </w:p>
    <w:p w14:paraId="123108B3" w14:textId="77777777" w:rsidR="00E63535" w:rsidRPr="00E63535" w:rsidRDefault="00E63535" w:rsidP="00750180">
      <w:pPr>
        <w:numPr>
          <w:ilvl w:val="0"/>
          <w:numId w:val="76"/>
        </w:numPr>
        <w:contextualSpacing/>
        <w:jc w:val="both"/>
      </w:pPr>
      <w:r w:rsidRPr="00E63535">
        <w:t>Oversee risk matrix assessment and the development of a risk register, with implementation of mitigating action plans, and table to Council for consideration;</w:t>
      </w:r>
    </w:p>
    <w:p w14:paraId="7E277B3D" w14:textId="77777777" w:rsidR="00E63535" w:rsidRPr="00E63535" w:rsidRDefault="00E63535" w:rsidP="00750180">
      <w:pPr>
        <w:numPr>
          <w:ilvl w:val="0"/>
          <w:numId w:val="76"/>
        </w:numPr>
        <w:contextualSpacing/>
        <w:jc w:val="both"/>
      </w:pPr>
      <w:r w:rsidRPr="00E63535">
        <w:t>Monitor the implementation of risk mitigating action plans, and quarterly assessments of the risk register, and provide feedback to Council;</w:t>
      </w:r>
    </w:p>
    <w:p w14:paraId="4BAFC68D" w14:textId="77777777" w:rsidR="00E63535" w:rsidRPr="00E63535" w:rsidRDefault="00E63535" w:rsidP="00750180">
      <w:pPr>
        <w:numPr>
          <w:ilvl w:val="0"/>
          <w:numId w:val="76"/>
        </w:numPr>
        <w:contextualSpacing/>
        <w:jc w:val="both"/>
      </w:pPr>
      <w:r w:rsidRPr="00E63535">
        <w:t>Ensure municipality's current chart is compared on an account by account level to mSCOA (all 7 segments) and notify Provincial Treasury of any anomalies;</w:t>
      </w:r>
    </w:p>
    <w:p w14:paraId="3160DE93" w14:textId="77777777" w:rsidR="00E63535" w:rsidRPr="00E63535" w:rsidRDefault="00E63535" w:rsidP="00750180">
      <w:pPr>
        <w:numPr>
          <w:ilvl w:val="0"/>
          <w:numId w:val="76"/>
        </w:numPr>
        <w:contextualSpacing/>
        <w:jc w:val="both"/>
      </w:pPr>
      <w:r w:rsidRPr="00E63535">
        <w:t>Consider the impact of mSCOA on business processes and develop a business process implementation plan to address change, with specific regard to, among others:</w:t>
      </w:r>
    </w:p>
    <w:p w14:paraId="6C476E96" w14:textId="77777777" w:rsidR="00E63535" w:rsidRPr="00E63535" w:rsidRDefault="00E63535" w:rsidP="00750180">
      <w:pPr>
        <w:numPr>
          <w:ilvl w:val="0"/>
          <w:numId w:val="77"/>
        </w:numPr>
        <w:contextualSpacing/>
        <w:jc w:val="both"/>
      </w:pPr>
      <w:r w:rsidRPr="00E63535">
        <w:t>Impact on municipal Functions(Vote Structure, Internal Operational Work Flows, Costing Methodology, etc)</w:t>
      </w:r>
    </w:p>
    <w:p w14:paraId="0B6A71BF" w14:textId="77777777" w:rsidR="00E63535" w:rsidRPr="00E63535" w:rsidRDefault="00E63535" w:rsidP="00750180">
      <w:pPr>
        <w:numPr>
          <w:ilvl w:val="0"/>
          <w:numId w:val="77"/>
        </w:numPr>
        <w:contextualSpacing/>
        <w:jc w:val="both"/>
      </w:pPr>
      <w:r w:rsidRPr="00E63535">
        <w:t>Impact on Operational and Capital Projects(Setting Up Project based Budgeting)</w:t>
      </w:r>
    </w:p>
    <w:p w14:paraId="0D9A6C9B" w14:textId="77777777" w:rsidR="00E63535" w:rsidRPr="00E63535" w:rsidRDefault="00E63535" w:rsidP="00750180">
      <w:pPr>
        <w:numPr>
          <w:ilvl w:val="0"/>
          <w:numId w:val="76"/>
        </w:numPr>
        <w:contextualSpacing/>
        <w:jc w:val="both"/>
      </w:pPr>
      <w:r w:rsidRPr="00E63535">
        <w:t>Oversee the appointment process for the accounting system service provider by means of providing input to the bid specification and evaluation processes;</w:t>
      </w:r>
    </w:p>
    <w:p w14:paraId="78451CF8" w14:textId="77777777" w:rsidR="00E63535" w:rsidRPr="00E63535" w:rsidRDefault="00E63535" w:rsidP="00750180">
      <w:pPr>
        <w:numPr>
          <w:ilvl w:val="0"/>
          <w:numId w:val="76"/>
        </w:numPr>
        <w:contextualSpacing/>
        <w:jc w:val="both"/>
      </w:pPr>
      <w:r w:rsidRPr="00E63535">
        <w:t>Review the Service Level Agreement with the successful service provider to ensure that all mSCOA requirements are addressed and value for money is achieved;</w:t>
      </w:r>
    </w:p>
    <w:p w14:paraId="0E754BCF" w14:textId="77777777" w:rsidR="00E63535" w:rsidRPr="00E63535" w:rsidRDefault="00E63535" w:rsidP="00750180">
      <w:pPr>
        <w:numPr>
          <w:ilvl w:val="0"/>
          <w:numId w:val="76"/>
        </w:numPr>
        <w:contextualSpacing/>
        <w:jc w:val="both"/>
      </w:pPr>
      <w:r w:rsidRPr="00E63535">
        <w:t>Preparation of a detailed project implementation plan for data conversion and movement to mSCOA compliant system once the service provider is appointed, with input from all the relevant stakeholders;</w:t>
      </w:r>
    </w:p>
    <w:p w14:paraId="44EA0576" w14:textId="77777777" w:rsidR="00E63535" w:rsidRPr="00E63535" w:rsidRDefault="00E63535" w:rsidP="00750180">
      <w:pPr>
        <w:numPr>
          <w:ilvl w:val="0"/>
          <w:numId w:val="76"/>
        </w:numPr>
        <w:contextualSpacing/>
        <w:jc w:val="both"/>
      </w:pPr>
      <w:r w:rsidRPr="00E63535">
        <w:t xml:space="preserve">Ensure the assessment of current IT infrastructure requirements and that modifications are conducted with implementation plans to address current infrastructure needs; </w:t>
      </w:r>
    </w:p>
    <w:p w14:paraId="60E061B9" w14:textId="77777777" w:rsidR="00E63535" w:rsidRPr="00E63535" w:rsidRDefault="00E63535" w:rsidP="00750180">
      <w:pPr>
        <w:numPr>
          <w:ilvl w:val="0"/>
          <w:numId w:val="76"/>
        </w:numPr>
        <w:contextualSpacing/>
        <w:jc w:val="both"/>
      </w:pPr>
      <w:r w:rsidRPr="00E63535">
        <w:t>Facilitate and ensure that current municipal systems that have financial implications and impact into the Core Financial system, i.e. Assets, Billing, Human Resource systems are being integrated seamlessly to the Core Financial system; and</w:t>
      </w:r>
    </w:p>
    <w:p w14:paraId="1B11D897" w14:textId="77777777" w:rsidR="00E63535" w:rsidRPr="00E63535" w:rsidRDefault="00E63535" w:rsidP="00750180">
      <w:pPr>
        <w:numPr>
          <w:ilvl w:val="0"/>
          <w:numId w:val="76"/>
        </w:numPr>
        <w:contextualSpacing/>
        <w:jc w:val="both"/>
      </w:pPr>
      <w:r w:rsidRPr="00E63535">
        <w:t>Facilitate the budgetary planning provisions of mSCOA to ensure that the project is adequately funded for the implementation.</w:t>
      </w:r>
    </w:p>
    <w:p w14:paraId="16AEDF4A" w14:textId="77777777" w:rsidR="00E63535" w:rsidRPr="00E63535" w:rsidRDefault="00E63535" w:rsidP="00E63535">
      <w:pPr>
        <w:ind w:left="1080"/>
        <w:contextualSpacing/>
        <w:jc w:val="both"/>
      </w:pPr>
    </w:p>
    <w:p w14:paraId="4DB8E9D5" w14:textId="77777777" w:rsidR="00E63535" w:rsidRPr="00E63535" w:rsidRDefault="00E63535" w:rsidP="00750180">
      <w:pPr>
        <w:numPr>
          <w:ilvl w:val="0"/>
          <w:numId w:val="74"/>
        </w:numPr>
        <w:contextualSpacing/>
        <w:jc w:val="both"/>
      </w:pPr>
      <w:r w:rsidRPr="00E63535">
        <w:t>Foster collaboration between the municipality, service providers, National/Provincial Treasury and other key stakeholders through:</w:t>
      </w:r>
    </w:p>
    <w:p w14:paraId="49EF62F3" w14:textId="77777777" w:rsidR="00E63535" w:rsidRPr="00E63535" w:rsidRDefault="00E63535" w:rsidP="00750180">
      <w:pPr>
        <w:numPr>
          <w:ilvl w:val="0"/>
          <w:numId w:val="78"/>
        </w:numPr>
        <w:contextualSpacing/>
        <w:jc w:val="both"/>
      </w:pPr>
      <w:r w:rsidRPr="00E63535">
        <w:t>Engagement meeting with service provider, clarify roles and responsibilities, and timeframes;</w:t>
      </w:r>
    </w:p>
    <w:p w14:paraId="7FB3E48E" w14:textId="77777777" w:rsidR="00E63535" w:rsidRPr="00E63535" w:rsidRDefault="00E63535" w:rsidP="00750180">
      <w:pPr>
        <w:numPr>
          <w:ilvl w:val="0"/>
          <w:numId w:val="78"/>
        </w:numPr>
        <w:contextualSpacing/>
        <w:jc w:val="both"/>
      </w:pPr>
      <w:r w:rsidRPr="00E63535">
        <w:t>Finalize the memorandum of agreement or service level agreement for approval by the Accounting Officer;</w:t>
      </w:r>
    </w:p>
    <w:p w14:paraId="33542B73" w14:textId="77777777" w:rsidR="00E63535" w:rsidRPr="00E63535" w:rsidRDefault="00E63535" w:rsidP="00750180">
      <w:pPr>
        <w:numPr>
          <w:ilvl w:val="0"/>
          <w:numId w:val="78"/>
        </w:numPr>
        <w:contextualSpacing/>
        <w:jc w:val="both"/>
      </w:pPr>
      <w:r w:rsidRPr="00E63535">
        <w:t>Establish vendor target dates for converting data and implementation - incorporate into project plan;</w:t>
      </w:r>
    </w:p>
    <w:p w14:paraId="3F13AB07" w14:textId="77777777" w:rsidR="00E63535" w:rsidRPr="00E63535" w:rsidRDefault="00E63535" w:rsidP="00750180">
      <w:pPr>
        <w:numPr>
          <w:ilvl w:val="0"/>
          <w:numId w:val="78"/>
        </w:numPr>
        <w:contextualSpacing/>
        <w:jc w:val="both"/>
      </w:pPr>
      <w:r w:rsidRPr="00E63535">
        <w:t>Attend and participate in vendor forums and progress meetings;</w:t>
      </w:r>
    </w:p>
    <w:p w14:paraId="7094F39F" w14:textId="77777777" w:rsidR="00E63535" w:rsidRPr="00E63535" w:rsidRDefault="00E63535" w:rsidP="00750180">
      <w:pPr>
        <w:numPr>
          <w:ilvl w:val="0"/>
          <w:numId w:val="78"/>
        </w:numPr>
        <w:contextualSpacing/>
        <w:jc w:val="both"/>
      </w:pPr>
      <w:r w:rsidRPr="00E63535">
        <w:t>Monitor municipality’s compliance with the mSCOA regulation, National Treasury and Provincial Treasury directives, and</w:t>
      </w:r>
    </w:p>
    <w:p w14:paraId="1D5310ED" w14:textId="77777777" w:rsidR="00E63535" w:rsidRPr="00E63535" w:rsidRDefault="00E63535" w:rsidP="00750180">
      <w:pPr>
        <w:numPr>
          <w:ilvl w:val="0"/>
          <w:numId w:val="78"/>
        </w:numPr>
        <w:contextualSpacing/>
        <w:jc w:val="both"/>
      </w:pPr>
      <w:r w:rsidRPr="00E63535">
        <w:t>Ensure that the Project Manager/municipality maintains ongoing communications with National and Provincial Treasuries during the implementation of the project</w:t>
      </w:r>
    </w:p>
    <w:p w14:paraId="16BD18CF" w14:textId="5AA73CAB" w:rsidR="00992B24" w:rsidRPr="00881795" w:rsidRDefault="00992B24" w:rsidP="00750180">
      <w:pPr>
        <w:pStyle w:val="Heading3"/>
        <w:numPr>
          <w:ilvl w:val="2"/>
          <w:numId w:val="127"/>
        </w:numPr>
        <w:spacing w:after="240"/>
      </w:pPr>
      <w:bookmarkStart w:id="463" w:name="_Toc510706647"/>
      <w:r w:rsidRPr="00881795">
        <w:t>Cap</w:t>
      </w:r>
      <w:bookmarkEnd w:id="459"/>
      <w:r w:rsidR="007B74DD">
        <w:t>ital Funding and Expenditure to Address Service Delivery</w:t>
      </w:r>
      <w:bookmarkEnd w:id="463"/>
    </w:p>
    <w:p w14:paraId="6F6D8654" w14:textId="2C3B4782" w:rsidR="00B77608" w:rsidRDefault="00B77608" w:rsidP="00750180">
      <w:pPr>
        <w:pStyle w:val="Heading4"/>
        <w:numPr>
          <w:ilvl w:val="3"/>
          <w:numId w:val="127"/>
        </w:numPr>
        <w:spacing w:after="240"/>
      </w:pPr>
      <w:bookmarkStart w:id="464" w:name="_Toc325627961"/>
      <w:bookmarkStart w:id="465" w:name="_Toc389740013"/>
      <w:r>
        <w:t>Components of Capital Budget</w:t>
      </w:r>
    </w:p>
    <w:p w14:paraId="7933102D" w14:textId="26F2CD22" w:rsidR="00B77608" w:rsidRPr="00B77608" w:rsidRDefault="00B77608" w:rsidP="00B77608">
      <w:r>
        <w:t>The components of the Capital Budget are articulated in the table below;</w:t>
      </w:r>
    </w:p>
    <w:p w14:paraId="0C5A2DEC" w14:textId="63154A1A" w:rsidR="00B77608" w:rsidRPr="00B77608" w:rsidRDefault="00B77608" w:rsidP="00B77608">
      <w:pPr>
        <w:spacing w:after="0"/>
      </w:pPr>
      <w:r>
        <w:rPr>
          <w:noProof/>
        </w:rPr>
        <w:drawing>
          <wp:inline distT="0" distB="0" distL="0" distR="0" wp14:anchorId="42C8A448" wp14:editId="0DC6010F">
            <wp:extent cx="6120765" cy="1237615"/>
            <wp:effectExtent l="0" t="0" r="0" b="63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120765" cy="1237615"/>
                    </a:xfrm>
                    <a:prstGeom prst="rect">
                      <a:avLst/>
                    </a:prstGeom>
                  </pic:spPr>
                </pic:pic>
              </a:graphicData>
            </a:graphic>
          </wp:inline>
        </w:drawing>
      </w:r>
    </w:p>
    <w:p w14:paraId="607928DB" w14:textId="6E8B4576" w:rsidR="001432CB" w:rsidRDefault="00B77608" w:rsidP="00B77608">
      <w:pPr>
        <w:pStyle w:val="Caption"/>
        <w:spacing w:after="0"/>
      </w:pPr>
      <w:bookmarkStart w:id="466" w:name="_Toc510622317"/>
      <w:bookmarkStart w:id="467" w:name="_Toc389740014"/>
      <w:bookmarkEnd w:id="464"/>
      <w:bookmarkEnd w:id="465"/>
      <w:r>
        <w:t xml:space="preserve">Table </w:t>
      </w:r>
      <w:r w:rsidR="00B918A6">
        <w:fldChar w:fldCharType="begin"/>
      </w:r>
      <w:r w:rsidR="00B918A6">
        <w:instrText xml:space="preserve"> SEQ Table \* ARABIC </w:instrText>
      </w:r>
      <w:r w:rsidR="00B918A6">
        <w:fldChar w:fldCharType="separate"/>
      </w:r>
      <w:r w:rsidR="0067023A">
        <w:rPr>
          <w:noProof/>
        </w:rPr>
        <w:t>66</w:t>
      </w:r>
      <w:r w:rsidR="00B918A6">
        <w:rPr>
          <w:noProof/>
        </w:rPr>
        <w:fldChar w:fldCharType="end"/>
      </w:r>
      <w:r>
        <w:t>: Components of the Capital Budget</w:t>
      </w:r>
      <w:bookmarkEnd w:id="466"/>
    </w:p>
    <w:p w14:paraId="002355D9" w14:textId="77777777" w:rsidR="00B77608" w:rsidRDefault="00B77608" w:rsidP="001B7B2C"/>
    <w:p w14:paraId="66A11E8D" w14:textId="775FD5E7" w:rsidR="00B77608" w:rsidRDefault="00B77608" w:rsidP="001B7B2C">
      <w:r>
        <w:rPr>
          <w:rFonts w:ascii="Arial Narrow" w:hAnsi="Arial Narrow" w:cs="Arial Narrow"/>
          <w:szCs w:val="20"/>
          <w:lang w:val="en-ZA"/>
        </w:rPr>
        <w:t>The capital budget will be funded as follows:</w:t>
      </w:r>
    </w:p>
    <w:p w14:paraId="09B65BD3" w14:textId="73173D88" w:rsidR="00B77608" w:rsidRDefault="00B77608" w:rsidP="00B77608">
      <w:pPr>
        <w:spacing w:after="0"/>
        <w:rPr>
          <w:noProof/>
          <w:lang w:val="en-ZA" w:eastAsia="en-ZA"/>
        </w:rPr>
      </w:pPr>
      <w:r>
        <w:rPr>
          <w:noProof/>
        </w:rPr>
        <w:drawing>
          <wp:inline distT="0" distB="0" distL="0" distR="0" wp14:anchorId="5DA08EE1" wp14:editId="637FEFD4">
            <wp:extent cx="6120765" cy="1807210"/>
            <wp:effectExtent l="0" t="0" r="0" b="254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120765" cy="1807210"/>
                    </a:xfrm>
                    <a:prstGeom prst="rect">
                      <a:avLst/>
                    </a:prstGeom>
                  </pic:spPr>
                </pic:pic>
              </a:graphicData>
            </a:graphic>
          </wp:inline>
        </w:drawing>
      </w:r>
    </w:p>
    <w:p w14:paraId="4E1DF452" w14:textId="19309D68" w:rsidR="00B77608" w:rsidRDefault="00B77608" w:rsidP="00B77608">
      <w:pPr>
        <w:pStyle w:val="Caption"/>
        <w:keepNext/>
        <w:spacing w:after="0"/>
      </w:pPr>
      <w:bookmarkStart w:id="468" w:name="_Toc510622318"/>
      <w:r>
        <w:t xml:space="preserve">Table </w:t>
      </w:r>
      <w:r w:rsidR="00B918A6">
        <w:fldChar w:fldCharType="begin"/>
      </w:r>
      <w:r w:rsidR="00B918A6">
        <w:instrText xml:space="preserve"> SEQ Table \* ARABIC </w:instrText>
      </w:r>
      <w:r w:rsidR="00B918A6">
        <w:fldChar w:fldCharType="separate"/>
      </w:r>
      <w:r w:rsidR="0067023A">
        <w:rPr>
          <w:noProof/>
        </w:rPr>
        <w:t>67</w:t>
      </w:r>
      <w:r w:rsidR="00B918A6">
        <w:rPr>
          <w:noProof/>
        </w:rPr>
        <w:fldChar w:fldCharType="end"/>
      </w:r>
      <w:r>
        <w:t xml:space="preserve">: </w:t>
      </w:r>
      <w:r>
        <w:rPr>
          <w:noProof/>
          <w:lang w:val="en-ZA" w:eastAsia="en-ZA"/>
        </w:rPr>
        <w:t>Funding for Capital Budget</w:t>
      </w:r>
      <w:bookmarkEnd w:id="468"/>
    </w:p>
    <w:p w14:paraId="3068169F" w14:textId="77777777" w:rsidR="000F47BF" w:rsidRDefault="000F47BF" w:rsidP="001B7B2C"/>
    <w:p w14:paraId="2438A310" w14:textId="535F3036" w:rsidR="000F47BF" w:rsidRDefault="00B77608" w:rsidP="001B7B2C">
      <w:r w:rsidRPr="00B77608">
        <w:t>The capital for departments is set out as follows:</w:t>
      </w:r>
    </w:p>
    <w:p w14:paraId="05C9788A" w14:textId="47BDF26D" w:rsidR="00B77608" w:rsidRDefault="00B77608" w:rsidP="001B7B2C">
      <w:r>
        <w:rPr>
          <w:noProof/>
        </w:rPr>
        <w:drawing>
          <wp:inline distT="0" distB="0" distL="0" distR="0" wp14:anchorId="585D40BD" wp14:editId="55E83173">
            <wp:extent cx="3813779" cy="1362974"/>
            <wp:effectExtent l="0" t="0" r="0" b="889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873777" cy="1384416"/>
                    </a:xfrm>
                    <a:prstGeom prst="rect">
                      <a:avLst/>
                    </a:prstGeom>
                  </pic:spPr>
                </pic:pic>
              </a:graphicData>
            </a:graphic>
          </wp:inline>
        </w:drawing>
      </w:r>
    </w:p>
    <w:p w14:paraId="5D0A1DC8" w14:textId="462530FB" w:rsidR="00B77608" w:rsidRDefault="00B77608" w:rsidP="00B77608">
      <w:pPr>
        <w:pStyle w:val="Caption"/>
      </w:pPr>
      <w:bookmarkStart w:id="469" w:name="_Toc510622319"/>
      <w:r>
        <w:t xml:space="preserve">Table </w:t>
      </w:r>
      <w:r w:rsidR="00B918A6">
        <w:fldChar w:fldCharType="begin"/>
      </w:r>
      <w:r w:rsidR="00B918A6">
        <w:instrText xml:space="preserve"> SEQ Table \* ARABIC </w:instrText>
      </w:r>
      <w:r w:rsidR="00B918A6">
        <w:fldChar w:fldCharType="separate"/>
      </w:r>
      <w:r w:rsidR="0067023A">
        <w:rPr>
          <w:noProof/>
        </w:rPr>
        <w:t>68</w:t>
      </w:r>
      <w:r w:rsidR="00B918A6">
        <w:rPr>
          <w:noProof/>
        </w:rPr>
        <w:fldChar w:fldCharType="end"/>
      </w:r>
      <w:r>
        <w:t>: Capital Budget for the departments</w:t>
      </w:r>
      <w:bookmarkEnd w:id="469"/>
    </w:p>
    <w:p w14:paraId="220EAAEE" w14:textId="77777777" w:rsidR="00B77608" w:rsidRDefault="00B77608" w:rsidP="00B77608"/>
    <w:p w14:paraId="79B61155" w14:textId="77777777" w:rsidR="00B77608" w:rsidRDefault="00B77608" w:rsidP="00B77608">
      <w:r>
        <w:t>The following must be noted:</w:t>
      </w:r>
    </w:p>
    <w:p w14:paraId="6EB8BC38" w14:textId="5536E680" w:rsidR="00B77608" w:rsidRDefault="00B77608" w:rsidP="00750180">
      <w:pPr>
        <w:pStyle w:val="ListParagraph"/>
        <w:numPr>
          <w:ilvl w:val="0"/>
          <w:numId w:val="144"/>
        </w:numPr>
      </w:pPr>
      <w:r>
        <w:t>No replacement of vehicles took place in the 2017/2018 budget year, therefore the large budget provided in 2018/2019.</w:t>
      </w:r>
    </w:p>
    <w:p w14:paraId="40199EA3" w14:textId="69951BB1" w:rsidR="00B77608" w:rsidRDefault="00B77608" w:rsidP="00750180">
      <w:pPr>
        <w:pStyle w:val="ListParagraph"/>
        <w:numPr>
          <w:ilvl w:val="0"/>
          <w:numId w:val="143"/>
        </w:numPr>
      </w:pPr>
      <w:r>
        <w:t>Budget of R7 000 000 is provided for the rehabilitation of urban roads</w:t>
      </w:r>
    </w:p>
    <w:p w14:paraId="64781E83" w14:textId="4C535AAC" w:rsidR="00B77608" w:rsidRDefault="00B77608" w:rsidP="00750180">
      <w:pPr>
        <w:pStyle w:val="ListParagraph"/>
        <w:numPr>
          <w:ilvl w:val="0"/>
          <w:numId w:val="143"/>
        </w:numPr>
      </w:pPr>
      <w:r>
        <w:t>R3 000 000 is provided for storm water management.</w:t>
      </w:r>
    </w:p>
    <w:p w14:paraId="6F377D4D" w14:textId="0CC4B475" w:rsidR="00B77608" w:rsidRDefault="00B77608" w:rsidP="00B77608">
      <w:r w:rsidRPr="00B77608">
        <w:t>Municipal Infrastructure Grant Projects for the next three budget years are as follows:</w:t>
      </w:r>
    </w:p>
    <w:p w14:paraId="714B9B68" w14:textId="647AB46F" w:rsidR="00B77608" w:rsidRDefault="00B77608" w:rsidP="00B77608">
      <w:r>
        <w:rPr>
          <w:noProof/>
        </w:rPr>
        <w:drawing>
          <wp:inline distT="0" distB="0" distL="0" distR="0" wp14:anchorId="5268E868" wp14:editId="1DA8AEB5">
            <wp:extent cx="6000750" cy="675322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000750" cy="6753225"/>
                    </a:xfrm>
                    <a:prstGeom prst="rect">
                      <a:avLst/>
                    </a:prstGeom>
                  </pic:spPr>
                </pic:pic>
              </a:graphicData>
            </a:graphic>
          </wp:inline>
        </w:drawing>
      </w:r>
    </w:p>
    <w:p w14:paraId="20A221B8" w14:textId="7ABF59F7" w:rsidR="00B77608" w:rsidRDefault="00B77608" w:rsidP="00B77608">
      <w:pPr>
        <w:pStyle w:val="Caption"/>
      </w:pPr>
      <w:bookmarkStart w:id="470" w:name="_Toc510622320"/>
      <w:r>
        <w:t xml:space="preserve">Table </w:t>
      </w:r>
      <w:r w:rsidR="00B918A6">
        <w:fldChar w:fldCharType="begin"/>
      </w:r>
      <w:r w:rsidR="00B918A6">
        <w:instrText xml:space="preserve"> SEQ Table \* ARABIC </w:instrText>
      </w:r>
      <w:r w:rsidR="00B918A6">
        <w:fldChar w:fldCharType="separate"/>
      </w:r>
      <w:r w:rsidR="0067023A">
        <w:rPr>
          <w:noProof/>
        </w:rPr>
        <w:t>69</w:t>
      </w:r>
      <w:r w:rsidR="00B918A6">
        <w:rPr>
          <w:noProof/>
        </w:rPr>
        <w:fldChar w:fldCharType="end"/>
      </w:r>
      <w:r>
        <w:t>: 3yr MIG Expenditure</w:t>
      </w:r>
      <w:bookmarkEnd w:id="470"/>
    </w:p>
    <w:p w14:paraId="6123C971" w14:textId="77777777" w:rsidR="00B77608" w:rsidRDefault="00B77608" w:rsidP="00B77608"/>
    <w:p w14:paraId="34F3D42F" w14:textId="77777777" w:rsidR="00B77608" w:rsidRDefault="00B77608" w:rsidP="00B77608"/>
    <w:p w14:paraId="091FEAA4" w14:textId="150147B6" w:rsidR="00B77608" w:rsidRDefault="00B77608" w:rsidP="00B77608">
      <w:r w:rsidRPr="00B77608">
        <w:t>The capital budget will be spent on the following categories of assets:</w:t>
      </w:r>
    </w:p>
    <w:p w14:paraId="6D28C56A" w14:textId="1F061BBB" w:rsidR="00B77608" w:rsidRDefault="00B77608" w:rsidP="0092059E">
      <w:pPr>
        <w:spacing w:after="0"/>
      </w:pPr>
      <w:r>
        <w:rPr>
          <w:noProof/>
        </w:rPr>
        <w:drawing>
          <wp:inline distT="0" distB="0" distL="0" distR="0" wp14:anchorId="4862A974" wp14:editId="0C0B9CCA">
            <wp:extent cx="3848100" cy="153352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848100" cy="1533525"/>
                    </a:xfrm>
                    <a:prstGeom prst="rect">
                      <a:avLst/>
                    </a:prstGeom>
                  </pic:spPr>
                </pic:pic>
              </a:graphicData>
            </a:graphic>
          </wp:inline>
        </w:drawing>
      </w:r>
    </w:p>
    <w:p w14:paraId="348A9619" w14:textId="5757D7F3" w:rsidR="00B77608" w:rsidRDefault="0092059E" w:rsidP="0092059E">
      <w:pPr>
        <w:pStyle w:val="Caption"/>
        <w:spacing w:after="0"/>
      </w:pPr>
      <w:bookmarkStart w:id="471" w:name="_Toc510622321"/>
      <w:r>
        <w:t xml:space="preserve">Table </w:t>
      </w:r>
      <w:r w:rsidR="00B918A6">
        <w:fldChar w:fldCharType="begin"/>
      </w:r>
      <w:r w:rsidR="00B918A6">
        <w:instrText xml:space="preserve"> SEQ Table \* ARABIC </w:instrText>
      </w:r>
      <w:r w:rsidR="00B918A6">
        <w:fldChar w:fldCharType="separate"/>
      </w:r>
      <w:r w:rsidR="0067023A">
        <w:rPr>
          <w:noProof/>
        </w:rPr>
        <w:t>70</w:t>
      </w:r>
      <w:r w:rsidR="00B918A6">
        <w:rPr>
          <w:noProof/>
        </w:rPr>
        <w:fldChar w:fldCharType="end"/>
      </w:r>
      <w:r>
        <w:t>: Expenditure on Assets</w:t>
      </w:r>
      <w:bookmarkEnd w:id="471"/>
    </w:p>
    <w:p w14:paraId="066ADB5C" w14:textId="77777777" w:rsidR="0092059E" w:rsidRDefault="0092059E" w:rsidP="0092059E"/>
    <w:p w14:paraId="1968A1A6" w14:textId="23E88420" w:rsidR="0092059E" w:rsidRDefault="0092059E" w:rsidP="0092059E">
      <w:r w:rsidRPr="0092059E">
        <w:t>Other assets are made up as follows:</w:t>
      </w:r>
    </w:p>
    <w:p w14:paraId="2A218F5A" w14:textId="310A818F" w:rsidR="0092059E" w:rsidRDefault="0092059E" w:rsidP="0092059E">
      <w:pPr>
        <w:spacing w:after="0"/>
      </w:pPr>
      <w:r>
        <w:rPr>
          <w:noProof/>
        </w:rPr>
        <w:drawing>
          <wp:inline distT="0" distB="0" distL="0" distR="0" wp14:anchorId="7B191799" wp14:editId="0CAB41D2">
            <wp:extent cx="3409950" cy="134302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409950" cy="1343025"/>
                    </a:xfrm>
                    <a:prstGeom prst="rect">
                      <a:avLst/>
                    </a:prstGeom>
                  </pic:spPr>
                </pic:pic>
              </a:graphicData>
            </a:graphic>
          </wp:inline>
        </w:drawing>
      </w:r>
    </w:p>
    <w:p w14:paraId="5E0E2F33" w14:textId="3DFD6C67" w:rsidR="0092059E" w:rsidRPr="0092059E" w:rsidRDefault="0092059E" w:rsidP="0092059E">
      <w:pPr>
        <w:pStyle w:val="Caption"/>
        <w:spacing w:after="0"/>
      </w:pPr>
      <w:bookmarkStart w:id="472" w:name="_Toc510622322"/>
      <w:r>
        <w:t xml:space="preserve">Table </w:t>
      </w:r>
      <w:r w:rsidR="00B918A6">
        <w:fldChar w:fldCharType="begin"/>
      </w:r>
      <w:r w:rsidR="00B918A6">
        <w:instrText xml:space="preserve"> SEQ Table \* ARABIC </w:instrText>
      </w:r>
      <w:r w:rsidR="00B918A6">
        <w:fldChar w:fldCharType="separate"/>
      </w:r>
      <w:r w:rsidR="0067023A">
        <w:rPr>
          <w:noProof/>
        </w:rPr>
        <w:t>71</w:t>
      </w:r>
      <w:r w:rsidR="00B918A6">
        <w:rPr>
          <w:noProof/>
        </w:rPr>
        <w:fldChar w:fldCharType="end"/>
      </w:r>
      <w:r>
        <w:t>: Breakdown of Other Assets</w:t>
      </w:r>
      <w:bookmarkEnd w:id="472"/>
    </w:p>
    <w:p w14:paraId="287947B5" w14:textId="77777777" w:rsidR="00B77608" w:rsidRDefault="00B77608" w:rsidP="00B77608"/>
    <w:p w14:paraId="5E698602" w14:textId="77777777" w:rsidR="0092059E" w:rsidRPr="0092059E" w:rsidRDefault="0092059E" w:rsidP="0092059E">
      <w:pPr>
        <w:rPr>
          <w:b/>
        </w:rPr>
      </w:pPr>
      <w:r w:rsidRPr="0092059E">
        <w:rPr>
          <w:b/>
        </w:rPr>
        <w:t>Renewal of existing assets</w:t>
      </w:r>
    </w:p>
    <w:p w14:paraId="54A0DB26" w14:textId="1146D219" w:rsidR="0092059E" w:rsidRDefault="0092059E" w:rsidP="0092059E">
      <w:r>
        <w:t>Hereunder is a table reflecting the budget that is provided for the renewal of existing assets:</w:t>
      </w:r>
    </w:p>
    <w:p w14:paraId="236FC8E4" w14:textId="4AE4958C" w:rsidR="0092059E" w:rsidRDefault="0092059E" w:rsidP="0092059E">
      <w:r>
        <w:t>Even though, the budgeted amounts for the renewal of existing assets are less than the threshold of 40% of the capital budget, management is confident that the budgeted amounts are adequate to secure the ongoing health of the municipality’s infrastructure.</w:t>
      </w:r>
    </w:p>
    <w:p w14:paraId="4FC0B216" w14:textId="7DF563D8" w:rsidR="00B77608" w:rsidRPr="00B77608" w:rsidRDefault="0092059E" w:rsidP="00B77608">
      <w:r>
        <w:rPr>
          <w:noProof/>
        </w:rPr>
        <w:drawing>
          <wp:inline distT="0" distB="0" distL="0" distR="0" wp14:anchorId="4A04579E" wp14:editId="2778A3EB">
            <wp:extent cx="6120765" cy="166306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120765" cy="1663065"/>
                    </a:xfrm>
                    <a:prstGeom prst="rect">
                      <a:avLst/>
                    </a:prstGeom>
                  </pic:spPr>
                </pic:pic>
              </a:graphicData>
            </a:graphic>
          </wp:inline>
        </w:drawing>
      </w:r>
    </w:p>
    <w:p w14:paraId="57D7B393" w14:textId="3F550EDD" w:rsidR="001C4E87" w:rsidRDefault="0092059E" w:rsidP="0092059E">
      <w:pPr>
        <w:pStyle w:val="Caption"/>
        <w:rPr>
          <w:rFonts w:ascii="Arial Narrow,Bold" w:hAnsi="Arial Narrow,Bold" w:cs="Arial Narrow,Bold"/>
          <w:b w:val="0"/>
          <w:bCs w:val="0"/>
          <w:sz w:val="15"/>
          <w:szCs w:val="15"/>
          <w:lang w:val="en-ZA"/>
        </w:rPr>
      </w:pPr>
      <w:bookmarkStart w:id="473" w:name="_Toc510622323"/>
      <w:r>
        <w:t xml:space="preserve">Table </w:t>
      </w:r>
      <w:r w:rsidR="00B918A6">
        <w:fldChar w:fldCharType="begin"/>
      </w:r>
      <w:r w:rsidR="00B918A6">
        <w:instrText xml:space="preserve"> SEQ Table \* ARABIC </w:instrText>
      </w:r>
      <w:r w:rsidR="00B918A6">
        <w:fldChar w:fldCharType="separate"/>
      </w:r>
      <w:r w:rsidR="0067023A">
        <w:rPr>
          <w:noProof/>
        </w:rPr>
        <w:t>72</w:t>
      </w:r>
      <w:r w:rsidR="00B918A6">
        <w:rPr>
          <w:noProof/>
        </w:rPr>
        <w:fldChar w:fldCharType="end"/>
      </w:r>
      <w:r>
        <w:t>: Budget for t</w:t>
      </w:r>
      <w:r w:rsidRPr="0092059E">
        <w:t>he renewal of existing assets</w:t>
      </w:r>
      <w:bookmarkEnd w:id="473"/>
    </w:p>
    <w:p w14:paraId="5A35382D" w14:textId="77777777" w:rsidR="0092059E" w:rsidRDefault="0092059E" w:rsidP="001B7B2C">
      <w:pPr>
        <w:rPr>
          <w:rFonts w:ascii="Arial Narrow,Bold" w:hAnsi="Arial Narrow,Bold" w:cs="Arial Narrow,Bold"/>
          <w:b/>
          <w:bCs/>
          <w:sz w:val="15"/>
          <w:szCs w:val="15"/>
          <w:lang w:val="en-ZA"/>
        </w:rPr>
      </w:pPr>
    </w:p>
    <w:p w14:paraId="3E4A0C1A" w14:textId="77777777" w:rsidR="0092059E" w:rsidRDefault="0092059E" w:rsidP="001B7B2C">
      <w:pPr>
        <w:rPr>
          <w:rFonts w:ascii="Arial Narrow,Bold" w:hAnsi="Arial Narrow,Bold" w:cs="Arial Narrow,Bold"/>
          <w:b/>
          <w:bCs/>
          <w:sz w:val="15"/>
          <w:szCs w:val="15"/>
          <w:lang w:val="en-ZA"/>
        </w:rPr>
      </w:pPr>
    </w:p>
    <w:p w14:paraId="39BF1F08" w14:textId="77777777" w:rsidR="0092059E" w:rsidRDefault="0092059E" w:rsidP="001B7B2C">
      <w:pPr>
        <w:rPr>
          <w:rFonts w:ascii="Arial Narrow,Bold" w:hAnsi="Arial Narrow,Bold" w:cs="Arial Narrow,Bold"/>
          <w:b/>
          <w:bCs/>
          <w:sz w:val="15"/>
          <w:szCs w:val="15"/>
          <w:lang w:val="en-ZA"/>
        </w:rPr>
      </w:pPr>
    </w:p>
    <w:p w14:paraId="74164AB9" w14:textId="77777777" w:rsidR="0092059E" w:rsidRDefault="0092059E" w:rsidP="001B7B2C">
      <w:pPr>
        <w:rPr>
          <w:rFonts w:ascii="Arial Narrow,Bold" w:hAnsi="Arial Narrow,Bold" w:cs="Arial Narrow,Bold"/>
          <w:b/>
          <w:bCs/>
          <w:sz w:val="15"/>
          <w:szCs w:val="15"/>
          <w:lang w:val="en-ZA"/>
        </w:rPr>
      </w:pPr>
    </w:p>
    <w:p w14:paraId="163D8CBA" w14:textId="77777777" w:rsidR="0092059E" w:rsidRDefault="0092059E" w:rsidP="001B7B2C">
      <w:pPr>
        <w:rPr>
          <w:rFonts w:ascii="Arial Narrow,Bold" w:hAnsi="Arial Narrow,Bold" w:cs="Arial Narrow,Bold"/>
          <w:b/>
          <w:bCs/>
          <w:sz w:val="15"/>
          <w:szCs w:val="15"/>
          <w:lang w:val="en-ZA"/>
        </w:rPr>
      </w:pPr>
    </w:p>
    <w:p w14:paraId="524C763D" w14:textId="77777777" w:rsidR="0092059E" w:rsidRDefault="0092059E" w:rsidP="001B7B2C">
      <w:pPr>
        <w:rPr>
          <w:rFonts w:ascii="Arial Narrow,Bold" w:hAnsi="Arial Narrow,Bold" w:cs="Arial Narrow,Bold"/>
          <w:b/>
          <w:bCs/>
          <w:sz w:val="15"/>
          <w:szCs w:val="15"/>
          <w:lang w:val="en-ZA"/>
        </w:rPr>
      </w:pPr>
    </w:p>
    <w:p w14:paraId="5A60E49D" w14:textId="6649ACA2" w:rsidR="0092059E" w:rsidRDefault="0092059E" w:rsidP="0092059E">
      <w:r>
        <w:t>The table below analyses the budgeted transactions within the capital replacement reserve (CRR) for the MTREF period, based on the tabled budget (Investment Register).</w:t>
      </w:r>
    </w:p>
    <w:p w14:paraId="3370BEDC" w14:textId="1A14FB8E" w:rsidR="0092059E" w:rsidRPr="0092059E" w:rsidRDefault="0092059E" w:rsidP="0092059E">
      <w:pPr>
        <w:spacing w:after="0"/>
      </w:pPr>
      <w:r>
        <w:rPr>
          <w:noProof/>
        </w:rPr>
        <w:drawing>
          <wp:inline distT="0" distB="0" distL="0" distR="0" wp14:anchorId="320327E4" wp14:editId="449DB00F">
            <wp:extent cx="6120765" cy="2836545"/>
            <wp:effectExtent l="0" t="0" r="0" b="190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120765" cy="2836545"/>
                    </a:xfrm>
                    <a:prstGeom prst="rect">
                      <a:avLst/>
                    </a:prstGeom>
                  </pic:spPr>
                </pic:pic>
              </a:graphicData>
            </a:graphic>
          </wp:inline>
        </w:drawing>
      </w:r>
    </w:p>
    <w:p w14:paraId="3D281039" w14:textId="40DBF941" w:rsidR="0092059E" w:rsidRPr="0092059E" w:rsidRDefault="0092059E" w:rsidP="0092059E">
      <w:pPr>
        <w:pStyle w:val="Caption"/>
        <w:spacing w:after="0"/>
        <w:rPr>
          <w:rFonts w:cstheme="minorBidi"/>
          <w:szCs w:val="22"/>
        </w:rPr>
      </w:pPr>
      <w:bookmarkStart w:id="474" w:name="_Toc510622324"/>
      <w:r>
        <w:t xml:space="preserve">Table </w:t>
      </w:r>
      <w:r w:rsidR="00B918A6">
        <w:fldChar w:fldCharType="begin"/>
      </w:r>
      <w:r w:rsidR="00B918A6">
        <w:instrText xml:space="preserve"> SEQ Table \* ARABIC </w:instrText>
      </w:r>
      <w:r w:rsidR="00B918A6">
        <w:fldChar w:fldCharType="separate"/>
      </w:r>
      <w:r w:rsidR="0067023A">
        <w:rPr>
          <w:noProof/>
        </w:rPr>
        <w:t>73</w:t>
      </w:r>
      <w:r w:rsidR="00B918A6">
        <w:rPr>
          <w:noProof/>
        </w:rPr>
        <w:fldChar w:fldCharType="end"/>
      </w:r>
      <w:r>
        <w:t>: Summarised Investment Register</w:t>
      </w:r>
      <w:bookmarkEnd w:id="474"/>
    </w:p>
    <w:p w14:paraId="7D1B6DB1" w14:textId="77777777" w:rsidR="0092059E" w:rsidRDefault="0092059E" w:rsidP="001B7B2C">
      <w:pPr>
        <w:rPr>
          <w:rFonts w:ascii="Arial Narrow,Bold" w:hAnsi="Arial Narrow,Bold" w:cs="Arial Narrow,Bold"/>
          <w:b/>
          <w:bCs/>
          <w:sz w:val="15"/>
          <w:szCs w:val="15"/>
          <w:lang w:val="en-ZA"/>
        </w:rPr>
      </w:pPr>
    </w:p>
    <w:tbl>
      <w:tblPr>
        <w:tblW w:w="4900" w:type="pct"/>
        <w:shd w:val="clear" w:color="auto" w:fill="FFFFFF" w:themeFill="background1"/>
        <w:tblLook w:val="04A0" w:firstRow="1" w:lastRow="0" w:firstColumn="1" w:lastColumn="0" w:noHBand="0" w:noVBand="1"/>
      </w:tblPr>
      <w:tblGrid>
        <w:gridCol w:w="2145"/>
        <w:gridCol w:w="1423"/>
        <w:gridCol w:w="1423"/>
        <w:gridCol w:w="1425"/>
        <w:gridCol w:w="1510"/>
        <w:gridCol w:w="1510"/>
      </w:tblGrid>
      <w:tr w:rsidR="000B1A75" w:rsidRPr="000A2C42" w14:paraId="78484FEE" w14:textId="77777777" w:rsidTr="000B1A75">
        <w:trPr>
          <w:trHeight w:val="360"/>
        </w:trPr>
        <w:tc>
          <w:tcPr>
            <w:tcW w:w="1137" w:type="pct"/>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bottom"/>
            <w:hideMark/>
          </w:tcPr>
          <w:bookmarkEnd w:id="467"/>
          <w:p w14:paraId="05E5A7FF" w14:textId="77777777" w:rsidR="000B1A75" w:rsidRPr="00443BBB" w:rsidRDefault="000B1A75" w:rsidP="00273033">
            <w:pPr>
              <w:spacing w:after="0" w:line="240" w:lineRule="auto"/>
              <w:rPr>
                <w:rFonts w:eastAsia="Times New Roman" w:cs="Calibri"/>
                <w:b/>
                <w:bCs/>
                <w:color w:val="000000"/>
                <w:sz w:val="22"/>
                <w:lang w:val="en-ZA" w:eastAsia="en-ZA"/>
              </w:rPr>
            </w:pPr>
            <w:r w:rsidRPr="00443BBB">
              <w:rPr>
                <w:rFonts w:eastAsia="Times New Roman" w:cs="Calibri"/>
                <w:b/>
                <w:bCs/>
                <w:color w:val="000000"/>
                <w:sz w:val="22"/>
                <w:lang w:val="en-ZA" w:eastAsia="en-ZA"/>
              </w:rPr>
              <w:t> </w:t>
            </w:r>
          </w:p>
        </w:tc>
        <w:tc>
          <w:tcPr>
            <w:tcW w:w="754" w:type="pct"/>
            <w:tcBorders>
              <w:top w:val="single" w:sz="4" w:space="0" w:color="auto"/>
              <w:left w:val="nil"/>
              <w:bottom w:val="single" w:sz="4" w:space="0" w:color="auto"/>
              <w:right w:val="single" w:sz="4" w:space="0" w:color="auto"/>
            </w:tcBorders>
            <w:shd w:val="clear" w:color="auto" w:fill="DAEEF3" w:themeFill="accent5" w:themeFillTint="33"/>
          </w:tcPr>
          <w:p w14:paraId="771552B6" w14:textId="5B514CD0" w:rsidR="000B1A75" w:rsidRPr="000B1A75" w:rsidRDefault="000B1A75" w:rsidP="000B1A75">
            <w:pPr>
              <w:spacing w:after="0" w:line="240" w:lineRule="auto"/>
              <w:jc w:val="center"/>
              <w:rPr>
                <w:rFonts w:eastAsia="Times New Roman" w:cs="Calibri"/>
                <w:b/>
                <w:bCs/>
                <w:color w:val="000000"/>
                <w:sz w:val="22"/>
                <w:lang w:val="en-ZA" w:eastAsia="en-ZA"/>
              </w:rPr>
            </w:pPr>
            <w:r w:rsidRPr="000B1A75">
              <w:rPr>
                <w:rFonts w:eastAsia="Times New Roman" w:cs="Calibri"/>
                <w:b/>
                <w:bCs/>
                <w:color w:val="000000"/>
                <w:sz w:val="22"/>
                <w:highlight w:val="yellow"/>
                <w:lang w:val="en-ZA" w:eastAsia="en-ZA"/>
              </w:rPr>
              <w:t>2017</w:t>
            </w:r>
          </w:p>
        </w:tc>
        <w:tc>
          <w:tcPr>
            <w:tcW w:w="754" w:type="pct"/>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566A903E" w14:textId="023CF1CF" w:rsidR="000B1A75" w:rsidRPr="00B4497E" w:rsidRDefault="000B1A75" w:rsidP="000B1A75">
            <w:pPr>
              <w:spacing w:after="0" w:line="240" w:lineRule="auto"/>
              <w:jc w:val="center"/>
              <w:rPr>
                <w:rFonts w:eastAsia="Times New Roman" w:cs="Calibri"/>
                <w:b/>
                <w:bCs/>
                <w:color w:val="000000"/>
                <w:sz w:val="22"/>
                <w:lang w:val="en-ZA" w:eastAsia="en-ZA"/>
              </w:rPr>
            </w:pPr>
            <w:r w:rsidRPr="000B1A75">
              <w:rPr>
                <w:rFonts w:eastAsia="Times New Roman" w:cs="Calibri"/>
                <w:b/>
                <w:bCs/>
                <w:color w:val="000000"/>
                <w:sz w:val="22"/>
                <w:lang w:val="en-ZA" w:eastAsia="en-ZA"/>
              </w:rPr>
              <w:t>2016</w:t>
            </w:r>
          </w:p>
        </w:tc>
        <w:tc>
          <w:tcPr>
            <w:tcW w:w="755" w:type="pct"/>
            <w:tcBorders>
              <w:top w:val="single" w:sz="4" w:space="0" w:color="auto"/>
              <w:left w:val="single" w:sz="4" w:space="0" w:color="auto"/>
              <w:bottom w:val="single" w:sz="4" w:space="0" w:color="auto"/>
              <w:right w:val="single" w:sz="4" w:space="0" w:color="auto"/>
            </w:tcBorders>
            <w:shd w:val="clear" w:color="auto" w:fill="DAEEF3" w:themeFill="accent5" w:themeFillTint="33"/>
            <w:vAlign w:val="bottom"/>
          </w:tcPr>
          <w:p w14:paraId="512C739D" w14:textId="77777777" w:rsidR="000B1A75" w:rsidRPr="00B4497E" w:rsidRDefault="000B1A75" w:rsidP="00273033">
            <w:pPr>
              <w:spacing w:after="0" w:line="240" w:lineRule="auto"/>
              <w:jc w:val="center"/>
              <w:rPr>
                <w:rFonts w:eastAsia="Times New Roman" w:cs="Calibri"/>
                <w:b/>
                <w:bCs/>
                <w:color w:val="000000"/>
                <w:sz w:val="22"/>
                <w:lang w:val="en-ZA" w:eastAsia="en-ZA"/>
              </w:rPr>
            </w:pPr>
            <w:r w:rsidRPr="00B4497E">
              <w:rPr>
                <w:rFonts w:eastAsia="Times New Roman" w:cs="Calibri"/>
                <w:b/>
                <w:bCs/>
                <w:color w:val="000000"/>
                <w:sz w:val="22"/>
                <w:lang w:val="en-ZA" w:eastAsia="en-ZA"/>
              </w:rPr>
              <w:t>2015</w:t>
            </w:r>
          </w:p>
        </w:tc>
        <w:tc>
          <w:tcPr>
            <w:tcW w:w="800" w:type="pct"/>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bottom"/>
            <w:hideMark/>
          </w:tcPr>
          <w:p w14:paraId="315C26C0" w14:textId="77777777" w:rsidR="000B1A75" w:rsidRPr="00B4497E" w:rsidRDefault="000B1A75" w:rsidP="00273033">
            <w:pPr>
              <w:spacing w:after="0" w:line="240" w:lineRule="auto"/>
              <w:jc w:val="center"/>
              <w:rPr>
                <w:rFonts w:eastAsia="Times New Roman" w:cs="Calibri"/>
                <w:b/>
                <w:bCs/>
                <w:color w:val="000000"/>
                <w:sz w:val="22"/>
                <w:lang w:val="en-ZA" w:eastAsia="en-ZA"/>
              </w:rPr>
            </w:pPr>
            <w:r w:rsidRPr="00B4497E">
              <w:rPr>
                <w:rFonts w:eastAsia="Times New Roman" w:cs="Calibri"/>
                <w:b/>
                <w:bCs/>
                <w:color w:val="000000"/>
                <w:sz w:val="22"/>
                <w:lang w:val="en-ZA" w:eastAsia="en-ZA"/>
              </w:rPr>
              <w:t>2014</w:t>
            </w:r>
          </w:p>
        </w:tc>
        <w:tc>
          <w:tcPr>
            <w:tcW w:w="800" w:type="pct"/>
            <w:tcBorders>
              <w:top w:val="single" w:sz="4" w:space="0" w:color="auto"/>
              <w:left w:val="nil"/>
              <w:bottom w:val="single" w:sz="4" w:space="0" w:color="auto"/>
              <w:right w:val="single" w:sz="4" w:space="0" w:color="auto"/>
            </w:tcBorders>
            <w:shd w:val="clear" w:color="auto" w:fill="DAEEF3" w:themeFill="accent5" w:themeFillTint="33"/>
            <w:noWrap/>
            <w:vAlign w:val="bottom"/>
            <w:hideMark/>
          </w:tcPr>
          <w:p w14:paraId="37476FFD" w14:textId="77777777" w:rsidR="000B1A75" w:rsidRPr="00B4497E" w:rsidRDefault="000B1A75" w:rsidP="00273033">
            <w:pPr>
              <w:spacing w:after="0" w:line="240" w:lineRule="auto"/>
              <w:jc w:val="center"/>
              <w:rPr>
                <w:rFonts w:eastAsia="Times New Roman" w:cs="Calibri"/>
                <w:b/>
                <w:bCs/>
                <w:color w:val="000000"/>
                <w:sz w:val="22"/>
                <w:lang w:val="en-ZA" w:eastAsia="en-ZA"/>
              </w:rPr>
            </w:pPr>
            <w:r w:rsidRPr="00B4497E">
              <w:rPr>
                <w:rFonts w:eastAsia="Times New Roman" w:cs="Calibri"/>
                <w:b/>
                <w:bCs/>
                <w:color w:val="000000"/>
                <w:sz w:val="22"/>
                <w:lang w:val="en-ZA" w:eastAsia="en-ZA"/>
              </w:rPr>
              <w:t>2013</w:t>
            </w:r>
          </w:p>
        </w:tc>
      </w:tr>
      <w:tr w:rsidR="0092059E" w:rsidRPr="000A2C42" w14:paraId="1CDFAF07" w14:textId="77777777" w:rsidTr="000B1A75">
        <w:trPr>
          <w:trHeight w:val="187"/>
        </w:trPr>
        <w:tc>
          <w:tcPr>
            <w:tcW w:w="1137" w:type="pct"/>
            <w:tcBorders>
              <w:top w:val="nil"/>
              <w:left w:val="single" w:sz="4" w:space="0" w:color="auto"/>
              <w:bottom w:val="single" w:sz="4" w:space="0" w:color="auto"/>
              <w:right w:val="single" w:sz="4" w:space="0" w:color="auto"/>
            </w:tcBorders>
            <w:shd w:val="clear" w:color="auto" w:fill="FFFFFF" w:themeFill="background1"/>
            <w:noWrap/>
            <w:vAlign w:val="bottom"/>
            <w:hideMark/>
          </w:tcPr>
          <w:p w14:paraId="092F5E0B" w14:textId="77777777" w:rsidR="0092059E" w:rsidRPr="00B4497E" w:rsidRDefault="0092059E" w:rsidP="0092059E">
            <w:pPr>
              <w:spacing w:after="0" w:line="240" w:lineRule="auto"/>
              <w:rPr>
                <w:rFonts w:cs="Calibri"/>
                <w:color w:val="000000" w:themeColor="text1"/>
              </w:rPr>
            </w:pPr>
            <w:r w:rsidRPr="00B4497E">
              <w:rPr>
                <w:rFonts w:cs="Calibri"/>
                <w:color w:val="000000" w:themeColor="text1"/>
              </w:rPr>
              <w:t>Capital budget</w:t>
            </w:r>
          </w:p>
        </w:tc>
        <w:tc>
          <w:tcPr>
            <w:tcW w:w="754" w:type="pct"/>
            <w:tcBorders>
              <w:top w:val="single" w:sz="4" w:space="0" w:color="auto"/>
              <w:left w:val="nil"/>
              <w:bottom w:val="single" w:sz="4" w:space="0" w:color="auto"/>
              <w:right w:val="single" w:sz="4" w:space="0" w:color="auto"/>
            </w:tcBorders>
            <w:shd w:val="clear" w:color="auto" w:fill="FFFFFF" w:themeFill="background1"/>
          </w:tcPr>
          <w:p w14:paraId="5AE80AC2" w14:textId="55F2A65D" w:rsidR="0092059E" w:rsidRDefault="0092059E" w:rsidP="0092059E">
            <w:pPr>
              <w:spacing w:after="0" w:line="240" w:lineRule="auto"/>
              <w:rPr>
                <w:rFonts w:cs="Calibri"/>
                <w:color w:val="000000" w:themeColor="text1"/>
              </w:rPr>
            </w:pPr>
          </w:p>
        </w:tc>
        <w:tc>
          <w:tcPr>
            <w:tcW w:w="754" w:type="pct"/>
            <w:tcBorders>
              <w:top w:val="single" w:sz="4" w:space="0" w:color="auto"/>
              <w:left w:val="single" w:sz="4" w:space="0" w:color="auto"/>
              <w:bottom w:val="single" w:sz="4" w:space="0" w:color="auto"/>
              <w:right w:val="single" w:sz="4" w:space="0" w:color="auto"/>
            </w:tcBorders>
            <w:shd w:val="clear" w:color="auto" w:fill="FFFFFF" w:themeFill="background1"/>
          </w:tcPr>
          <w:p w14:paraId="793773C8" w14:textId="0812F906" w:rsidR="0092059E" w:rsidRPr="00B4497E" w:rsidRDefault="0092059E" w:rsidP="0092059E">
            <w:pPr>
              <w:spacing w:after="0" w:line="240" w:lineRule="auto"/>
              <w:rPr>
                <w:rFonts w:cs="Calibri"/>
                <w:color w:val="000000" w:themeColor="text1"/>
              </w:rPr>
            </w:pPr>
            <w:r>
              <w:rPr>
                <w:rFonts w:cs="Calibri"/>
                <w:color w:val="000000" w:themeColor="text1"/>
              </w:rPr>
              <w:t>79 744 790</w:t>
            </w:r>
          </w:p>
        </w:tc>
        <w:tc>
          <w:tcPr>
            <w:tcW w:w="755" w:type="pct"/>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5F61AACD" w14:textId="77777777" w:rsidR="0092059E" w:rsidRPr="00B4497E" w:rsidRDefault="0092059E" w:rsidP="0092059E">
            <w:pPr>
              <w:spacing w:after="0" w:line="240" w:lineRule="auto"/>
              <w:rPr>
                <w:rFonts w:cs="Calibri"/>
                <w:color w:val="000000" w:themeColor="text1"/>
              </w:rPr>
            </w:pPr>
            <w:r w:rsidRPr="00B4497E">
              <w:rPr>
                <w:rFonts w:cs="Calibri"/>
                <w:color w:val="000000" w:themeColor="text1"/>
              </w:rPr>
              <w:t>72 363 900</w:t>
            </w:r>
          </w:p>
        </w:tc>
        <w:tc>
          <w:tcPr>
            <w:tcW w:w="800" w:type="pct"/>
            <w:tcBorders>
              <w:top w:val="nil"/>
              <w:left w:val="single" w:sz="4" w:space="0" w:color="auto"/>
              <w:bottom w:val="single" w:sz="4" w:space="0" w:color="auto"/>
              <w:right w:val="single" w:sz="4" w:space="0" w:color="auto"/>
            </w:tcBorders>
            <w:shd w:val="clear" w:color="auto" w:fill="FFFFFF" w:themeFill="background1"/>
            <w:noWrap/>
            <w:vAlign w:val="bottom"/>
            <w:hideMark/>
          </w:tcPr>
          <w:p w14:paraId="40E27116" w14:textId="77777777" w:rsidR="0092059E" w:rsidRPr="00B4497E" w:rsidRDefault="0092059E" w:rsidP="0092059E">
            <w:pPr>
              <w:spacing w:after="0" w:line="240" w:lineRule="auto"/>
              <w:rPr>
                <w:rFonts w:cs="Calibri"/>
                <w:color w:val="000000" w:themeColor="text1"/>
              </w:rPr>
            </w:pPr>
            <w:r w:rsidRPr="00B4497E">
              <w:rPr>
                <w:rFonts w:cs="Calibri"/>
                <w:color w:val="000000" w:themeColor="text1"/>
              </w:rPr>
              <w:t xml:space="preserve">    45 958 140 </w:t>
            </w:r>
          </w:p>
        </w:tc>
        <w:tc>
          <w:tcPr>
            <w:tcW w:w="800" w:type="pct"/>
            <w:tcBorders>
              <w:top w:val="nil"/>
              <w:left w:val="nil"/>
              <w:bottom w:val="single" w:sz="4" w:space="0" w:color="auto"/>
              <w:right w:val="single" w:sz="4" w:space="0" w:color="auto"/>
            </w:tcBorders>
            <w:shd w:val="clear" w:color="auto" w:fill="FFFFFF" w:themeFill="background1"/>
            <w:noWrap/>
            <w:vAlign w:val="bottom"/>
            <w:hideMark/>
          </w:tcPr>
          <w:p w14:paraId="4A192113" w14:textId="77777777" w:rsidR="0092059E" w:rsidRPr="00B4497E" w:rsidRDefault="0092059E" w:rsidP="0092059E">
            <w:pPr>
              <w:spacing w:after="0" w:line="240" w:lineRule="auto"/>
              <w:rPr>
                <w:rFonts w:cs="Calibri"/>
                <w:color w:val="000000" w:themeColor="text1"/>
              </w:rPr>
            </w:pPr>
            <w:r w:rsidRPr="00B4497E">
              <w:rPr>
                <w:rFonts w:cs="Calibri"/>
                <w:color w:val="000000" w:themeColor="text1"/>
              </w:rPr>
              <w:t xml:space="preserve">    49 708 931 </w:t>
            </w:r>
          </w:p>
        </w:tc>
      </w:tr>
      <w:tr w:rsidR="0092059E" w:rsidRPr="000A2C42" w14:paraId="5C055202" w14:textId="77777777" w:rsidTr="000B1A75">
        <w:trPr>
          <w:trHeight w:val="220"/>
        </w:trPr>
        <w:tc>
          <w:tcPr>
            <w:tcW w:w="1137" w:type="pct"/>
            <w:tcBorders>
              <w:top w:val="nil"/>
              <w:left w:val="single" w:sz="4" w:space="0" w:color="auto"/>
              <w:bottom w:val="single" w:sz="4" w:space="0" w:color="auto"/>
              <w:right w:val="single" w:sz="4" w:space="0" w:color="auto"/>
            </w:tcBorders>
            <w:shd w:val="clear" w:color="auto" w:fill="FFFFFF" w:themeFill="background1"/>
            <w:noWrap/>
            <w:vAlign w:val="bottom"/>
            <w:hideMark/>
          </w:tcPr>
          <w:p w14:paraId="4C4A61B4" w14:textId="77777777" w:rsidR="0092059E" w:rsidRPr="00B4497E" w:rsidRDefault="0092059E" w:rsidP="0092059E">
            <w:pPr>
              <w:spacing w:after="0" w:line="240" w:lineRule="auto"/>
              <w:rPr>
                <w:rFonts w:cs="Calibri"/>
                <w:color w:val="000000" w:themeColor="text1"/>
              </w:rPr>
            </w:pPr>
            <w:r w:rsidRPr="00B4497E">
              <w:rPr>
                <w:rFonts w:cs="Calibri"/>
                <w:color w:val="000000" w:themeColor="text1"/>
              </w:rPr>
              <w:t>Actual capital spend</w:t>
            </w:r>
          </w:p>
        </w:tc>
        <w:tc>
          <w:tcPr>
            <w:tcW w:w="754" w:type="pct"/>
            <w:tcBorders>
              <w:top w:val="single" w:sz="4" w:space="0" w:color="auto"/>
              <w:left w:val="nil"/>
              <w:bottom w:val="single" w:sz="4" w:space="0" w:color="auto"/>
              <w:right w:val="single" w:sz="4" w:space="0" w:color="auto"/>
            </w:tcBorders>
            <w:shd w:val="clear" w:color="auto" w:fill="FFFFFF" w:themeFill="background1"/>
          </w:tcPr>
          <w:p w14:paraId="59E49477" w14:textId="58E516B9" w:rsidR="0092059E" w:rsidRDefault="0092059E" w:rsidP="0092059E">
            <w:pPr>
              <w:spacing w:after="0" w:line="240" w:lineRule="auto"/>
              <w:rPr>
                <w:rFonts w:cs="Calibri"/>
                <w:color w:val="000000" w:themeColor="text1"/>
              </w:rPr>
            </w:pPr>
          </w:p>
        </w:tc>
        <w:tc>
          <w:tcPr>
            <w:tcW w:w="754" w:type="pct"/>
            <w:tcBorders>
              <w:top w:val="single" w:sz="4" w:space="0" w:color="auto"/>
              <w:left w:val="single" w:sz="4" w:space="0" w:color="auto"/>
              <w:bottom w:val="single" w:sz="4" w:space="0" w:color="auto"/>
              <w:right w:val="single" w:sz="4" w:space="0" w:color="auto"/>
            </w:tcBorders>
            <w:shd w:val="clear" w:color="auto" w:fill="FFFFFF" w:themeFill="background1"/>
          </w:tcPr>
          <w:p w14:paraId="5C931F24" w14:textId="12F19B6E" w:rsidR="0092059E" w:rsidRPr="00B4497E" w:rsidRDefault="0092059E" w:rsidP="0092059E">
            <w:pPr>
              <w:spacing w:after="0" w:line="240" w:lineRule="auto"/>
              <w:rPr>
                <w:rFonts w:cs="Calibri"/>
                <w:color w:val="000000" w:themeColor="text1"/>
              </w:rPr>
            </w:pPr>
            <w:r>
              <w:rPr>
                <w:rFonts w:cs="Calibri"/>
                <w:color w:val="000000" w:themeColor="text1"/>
              </w:rPr>
              <w:t>68 502 050</w:t>
            </w:r>
          </w:p>
        </w:tc>
        <w:tc>
          <w:tcPr>
            <w:tcW w:w="755" w:type="pct"/>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131E7F5F" w14:textId="77777777" w:rsidR="0092059E" w:rsidRPr="00B4497E" w:rsidRDefault="0092059E" w:rsidP="0092059E">
            <w:pPr>
              <w:spacing w:after="0" w:line="240" w:lineRule="auto"/>
              <w:rPr>
                <w:rFonts w:cs="Calibri"/>
                <w:color w:val="000000" w:themeColor="text1"/>
              </w:rPr>
            </w:pPr>
            <w:r w:rsidRPr="00B4497E">
              <w:rPr>
                <w:rFonts w:cs="Calibri"/>
                <w:color w:val="000000" w:themeColor="text1"/>
              </w:rPr>
              <w:t>56 082 022</w:t>
            </w:r>
          </w:p>
        </w:tc>
        <w:tc>
          <w:tcPr>
            <w:tcW w:w="800" w:type="pct"/>
            <w:tcBorders>
              <w:top w:val="nil"/>
              <w:left w:val="single" w:sz="4" w:space="0" w:color="auto"/>
              <w:bottom w:val="single" w:sz="4" w:space="0" w:color="auto"/>
              <w:right w:val="single" w:sz="4" w:space="0" w:color="auto"/>
            </w:tcBorders>
            <w:shd w:val="clear" w:color="auto" w:fill="FFFFFF" w:themeFill="background1"/>
            <w:noWrap/>
            <w:vAlign w:val="bottom"/>
            <w:hideMark/>
          </w:tcPr>
          <w:p w14:paraId="14092A71" w14:textId="77777777" w:rsidR="0092059E" w:rsidRPr="00B4497E" w:rsidRDefault="0092059E" w:rsidP="0092059E">
            <w:pPr>
              <w:spacing w:after="0" w:line="240" w:lineRule="auto"/>
              <w:rPr>
                <w:rFonts w:cs="Calibri"/>
                <w:color w:val="000000" w:themeColor="text1"/>
              </w:rPr>
            </w:pPr>
            <w:r w:rsidRPr="00B4497E">
              <w:rPr>
                <w:rFonts w:cs="Calibri"/>
                <w:color w:val="000000" w:themeColor="text1"/>
              </w:rPr>
              <w:t xml:space="preserve">    37 164 802 </w:t>
            </w:r>
          </w:p>
        </w:tc>
        <w:tc>
          <w:tcPr>
            <w:tcW w:w="800" w:type="pct"/>
            <w:tcBorders>
              <w:top w:val="nil"/>
              <w:left w:val="nil"/>
              <w:bottom w:val="single" w:sz="4" w:space="0" w:color="auto"/>
              <w:right w:val="single" w:sz="4" w:space="0" w:color="auto"/>
            </w:tcBorders>
            <w:shd w:val="clear" w:color="auto" w:fill="FFFFFF" w:themeFill="background1"/>
            <w:noWrap/>
            <w:vAlign w:val="bottom"/>
            <w:hideMark/>
          </w:tcPr>
          <w:p w14:paraId="3EADFD1A" w14:textId="77777777" w:rsidR="0092059E" w:rsidRPr="00B4497E" w:rsidRDefault="0092059E" w:rsidP="0092059E">
            <w:pPr>
              <w:spacing w:after="0" w:line="240" w:lineRule="auto"/>
              <w:rPr>
                <w:rFonts w:cs="Calibri"/>
                <w:color w:val="000000" w:themeColor="text1"/>
              </w:rPr>
            </w:pPr>
            <w:r w:rsidRPr="00B4497E">
              <w:rPr>
                <w:rFonts w:cs="Calibri"/>
                <w:color w:val="000000" w:themeColor="text1"/>
              </w:rPr>
              <w:t xml:space="preserve">    33 670 529 </w:t>
            </w:r>
          </w:p>
        </w:tc>
      </w:tr>
      <w:tr w:rsidR="0092059E" w:rsidRPr="00273033" w14:paraId="2EA8786C" w14:textId="77777777" w:rsidTr="000B1A75">
        <w:trPr>
          <w:trHeight w:val="253"/>
        </w:trPr>
        <w:tc>
          <w:tcPr>
            <w:tcW w:w="1137" w:type="pct"/>
            <w:tcBorders>
              <w:top w:val="nil"/>
              <w:left w:val="single" w:sz="4" w:space="0" w:color="auto"/>
              <w:bottom w:val="single" w:sz="4" w:space="0" w:color="auto"/>
              <w:right w:val="single" w:sz="4" w:space="0" w:color="auto"/>
            </w:tcBorders>
            <w:shd w:val="clear" w:color="auto" w:fill="FFFFFF" w:themeFill="background1"/>
            <w:noWrap/>
            <w:vAlign w:val="bottom"/>
            <w:hideMark/>
          </w:tcPr>
          <w:p w14:paraId="5327ECBE" w14:textId="77777777" w:rsidR="0092059E" w:rsidRPr="00B4497E" w:rsidRDefault="0092059E" w:rsidP="0092059E">
            <w:pPr>
              <w:spacing w:after="0" w:line="240" w:lineRule="auto"/>
              <w:rPr>
                <w:rFonts w:cs="Calibri"/>
                <w:color w:val="000000" w:themeColor="text1"/>
              </w:rPr>
            </w:pPr>
            <w:r w:rsidRPr="00B4497E">
              <w:rPr>
                <w:rFonts w:cs="Calibri"/>
                <w:color w:val="000000" w:themeColor="text1"/>
              </w:rPr>
              <w:t>% Spending</w:t>
            </w:r>
          </w:p>
        </w:tc>
        <w:tc>
          <w:tcPr>
            <w:tcW w:w="754" w:type="pct"/>
            <w:tcBorders>
              <w:top w:val="single" w:sz="4" w:space="0" w:color="auto"/>
              <w:left w:val="nil"/>
              <w:bottom w:val="single" w:sz="4" w:space="0" w:color="auto"/>
              <w:right w:val="single" w:sz="4" w:space="0" w:color="auto"/>
            </w:tcBorders>
            <w:shd w:val="clear" w:color="auto" w:fill="FFFFFF" w:themeFill="background1"/>
          </w:tcPr>
          <w:p w14:paraId="46021EAB" w14:textId="67A5A859" w:rsidR="0092059E" w:rsidRDefault="0092059E" w:rsidP="0092059E">
            <w:pPr>
              <w:spacing w:after="0" w:line="240" w:lineRule="auto"/>
              <w:rPr>
                <w:rFonts w:cs="Calibri"/>
                <w:color w:val="000000" w:themeColor="text1"/>
              </w:rPr>
            </w:pPr>
          </w:p>
        </w:tc>
        <w:tc>
          <w:tcPr>
            <w:tcW w:w="754" w:type="pct"/>
            <w:tcBorders>
              <w:top w:val="single" w:sz="4" w:space="0" w:color="auto"/>
              <w:left w:val="single" w:sz="4" w:space="0" w:color="auto"/>
              <w:bottom w:val="single" w:sz="4" w:space="0" w:color="auto"/>
              <w:right w:val="single" w:sz="4" w:space="0" w:color="auto"/>
            </w:tcBorders>
            <w:shd w:val="clear" w:color="auto" w:fill="FFFFFF" w:themeFill="background1"/>
          </w:tcPr>
          <w:p w14:paraId="3DB222F2" w14:textId="31207A57" w:rsidR="0092059E" w:rsidRPr="00B4497E" w:rsidRDefault="0092059E" w:rsidP="0092059E">
            <w:pPr>
              <w:spacing w:after="0" w:line="240" w:lineRule="auto"/>
              <w:rPr>
                <w:rFonts w:cs="Calibri"/>
                <w:color w:val="000000" w:themeColor="text1"/>
              </w:rPr>
            </w:pPr>
            <w:r>
              <w:rPr>
                <w:rFonts w:cs="Calibri"/>
                <w:color w:val="000000" w:themeColor="text1"/>
              </w:rPr>
              <w:t>89.9</w:t>
            </w:r>
          </w:p>
        </w:tc>
        <w:tc>
          <w:tcPr>
            <w:tcW w:w="755" w:type="pct"/>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75F3634B" w14:textId="77777777" w:rsidR="0092059E" w:rsidRPr="00B4497E" w:rsidRDefault="0092059E" w:rsidP="0092059E">
            <w:pPr>
              <w:spacing w:after="0" w:line="240" w:lineRule="auto"/>
              <w:rPr>
                <w:rFonts w:cs="Calibri"/>
                <w:color w:val="000000" w:themeColor="text1"/>
              </w:rPr>
            </w:pPr>
            <w:r w:rsidRPr="00B4497E">
              <w:rPr>
                <w:rFonts w:cs="Calibri"/>
                <w:color w:val="000000" w:themeColor="text1"/>
              </w:rPr>
              <w:t>77.5</w:t>
            </w:r>
          </w:p>
        </w:tc>
        <w:tc>
          <w:tcPr>
            <w:tcW w:w="800" w:type="pct"/>
            <w:tcBorders>
              <w:top w:val="nil"/>
              <w:left w:val="single" w:sz="4" w:space="0" w:color="auto"/>
              <w:bottom w:val="single" w:sz="4" w:space="0" w:color="auto"/>
              <w:right w:val="single" w:sz="4" w:space="0" w:color="auto"/>
            </w:tcBorders>
            <w:shd w:val="clear" w:color="auto" w:fill="FFFFFF" w:themeFill="background1"/>
            <w:noWrap/>
            <w:vAlign w:val="bottom"/>
            <w:hideMark/>
          </w:tcPr>
          <w:p w14:paraId="15353C18" w14:textId="77777777" w:rsidR="0092059E" w:rsidRPr="00B4497E" w:rsidRDefault="0092059E" w:rsidP="0092059E">
            <w:pPr>
              <w:spacing w:after="0" w:line="240" w:lineRule="auto"/>
              <w:rPr>
                <w:rFonts w:cs="Calibri"/>
                <w:color w:val="000000" w:themeColor="text1"/>
              </w:rPr>
            </w:pPr>
            <w:r w:rsidRPr="00B4497E">
              <w:rPr>
                <w:rFonts w:cs="Calibri"/>
                <w:color w:val="000000" w:themeColor="text1"/>
              </w:rPr>
              <w:t xml:space="preserve">              80.87 </w:t>
            </w:r>
          </w:p>
        </w:tc>
        <w:tc>
          <w:tcPr>
            <w:tcW w:w="800" w:type="pct"/>
            <w:tcBorders>
              <w:top w:val="nil"/>
              <w:left w:val="nil"/>
              <w:bottom w:val="single" w:sz="4" w:space="0" w:color="auto"/>
              <w:right w:val="single" w:sz="4" w:space="0" w:color="auto"/>
            </w:tcBorders>
            <w:shd w:val="clear" w:color="auto" w:fill="FFFFFF" w:themeFill="background1"/>
            <w:noWrap/>
            <w:vAlign w:val="bottom"/>
            <w:hideMark/>
          </w:tcPr>
          <w:p w14:paraId="364F2455" w14:textId="77777777" w:rsidR="0092059E" w:rsidRPr="00B4497E" w:rsidRDefault="0092059E" w:rsidP="0092059E">
            <w:pPr>
              <w:spacing w:after="0" w:line="240" w:lineRule="auto"/>
              <w:rPr>
                <w:rFonts w:cs="Calibri"/>
                <w:color w:val="000000" w:themeColor="text1"/>
              </w:rPr>
            </w:pPr>
            <w:r w:rsidRPr="00B4497E">
              <w:rPr>
                <w:rFonts w:cs="Calibri"/>
                <w:color w:val="000000" w:themeColor="text1"/>
              </w:rPr>
              <w:t xml:space="preserve">              67.74 </w:t>
            </w:r>
          </w:p>
        </w:tc>
      </w:tr>
    </w:tbl>
    <w:p w14:paraId="4626B4CB" w14:textId="4714F5B9" w:rsidR="0092059E" w:rsidRDefault="008D70B7" w:rsidP="008D70B7">
      <w:pPr>
        <w:pStyle w:val="Heading4"/>
        <w:spacing w:after="240"/>
      </w:pPr>
      <w:bookmarkStart w:id="475" w:name="_Toc510622325"/>
      <w:bookmarkStart w:id="476" w:name="_Toc389740015"/>
      <w:r w:rsidRPr="00881795">
        <w:t xml:space="preserve">Table </w:t>
      </w:r>
      <w:r w:rsidR="00B918A6">
        <w:fldChar w:fldCharType="begin"/>
      </w:r>
      <w:r w:rsidR="00B918A6">
        <w:instrText xml:space="preserve"> SEQ Table \* ARABIC </w:instrText>
      </w:r>
      <w:r w:rsidR="00B918A6">
        <w:fldChar w:fldCharType="separate"/>
      </w:r>
      <w:r w:rsidR="0067023A">
        <w:rPr>
          <w:noProof/>
        </w:rPr>
        <w:t>74</w:t>
      </w:r>
      <w:r w:rsidR="00B918A6">
        <w:rPr>
          <w:noProof/>
        </w:rPr>
        <w:fldChar w:fldCharType="end"/>
      </w:r>
      <w:r w:rsidRPr="00881795">
        <w:t>: Expenditure of Capit</w:t>
      </w:r>
      <w:r>
        <w:t>al Budget over last 5 years (2013</w:t>
      </w:r>
      <w:r w:rsidRPr="00881795">
        <w:t xml:space="preserve"> – 20</w:t>
      </w:r>
      <w:r>
        <w:t>17</w:t>
      </w:r>
      <w:r w:rsidRPr="00881795">
        <w:t>)</w:t>
      </w:r>
      <w:bookmarkEnd w:id="475"/>
    </w:p>
    <w:p w14:paraId="1020856E" w14:textId="77777777" w:rsidR="00767DBC" w:rsidRPr="00297498" w:rsidRDefault="00792032" w:rsidP="00750180">
      <w:pPr>
        <w:pStyle w:val="Heading4"/>
        <w:numPr>
          <w:ilvl w:val="3"/>
          <w:numId w:val="127"/>
        </w:numPr>
        <w:spacing w:after="240"/>
      </w:pPr>
      <w:r w:rsidRPr="00297498">
        <w:t>Capital Financing Strategies</w:t>
      </w:r>
      <w:bookmarkEnd w:id="476"/>
    </w:p>
    <w:p w14:paraId="4AAB774C" w14:textId="77777777" w:rsidR="00792032" w:rsidRPr="00881795" w:rsidRDefault="00792032" w:rsidP="00E31338">
      <w:pPr>
        <w:pStyle w:val="ListParagraph"/>
        <w:numPr>
          <w:ilvl w:val="0"/>
          <w:numId w:val="1"/>
        </w:numPr>
        <w:spacing w:line="288" w:lineRule="auto"/>
        <w:jc w:val="both"/>
        <w:rPr>
          <w:szCs w:val="20"/>
        </w:rPr>
      </w:pPr>
      <w:r w:rsidRPr="00881795">
        <w:rPr>
          <w:szCs w:val="20"/>
        </w:rPr>
        <w:t>The basic capital projects of the municipality are funded from internal funds in term of the provisions of Section 109 of the Local Authorities Ordinance, 1974 (Ordinance 25 of 1974).</w:t>
      </w:r>
    </w:p>
    <w:p w14:paraId="2F0C6A23" w14:textId="77777777" w:rsidR="00792032" w:rsidRPr="00881795" w:rsidRDefault="00792032" w:rsidP="00E31338">
      <w:pPr>
        <w:pStyle w:val="ListParagraph"/>
        <w:numPr>
          <w:ilvl w:val="0"/>
          <w:numId w:val="1"/>
        </w:numPr>
        <w:spacing w:line="288" w:lineRule="auto"/>
        <w:jc w:val="both"/>
        <w:rPr>
          <w:szCs w:val="20"/>
        </w:rPr>
      </w:pPr>
      <w:r w:rsidRPr="00881795">
        <w:rPr>
          <w:szCs w:val="20"/>
        </w:rPr>
        <w:t>Ad-hoc capital projects are mostly funded from grant funding and implementation of an ad-hoc capital project commences only when the grant funding has been received.</w:t>
      </w:r>
    </w:p>
    <w:p w14:paraId="0A509E27" w14:textId="77777777" w:rsidR="00792032" w:rsidRPr="00881795" w:rsidRDefault="00792032" w:rsidP="00E31338">
      <w:pPr>
        <w:pStyle w:val="ListParagraph"/>
        <w:numPr>
          <w:ilvl w:val="0"/>
          <w:numId w:val="1"/>
        </w:numPr>
        <w:spacing w:line="288" w:lineRule="auto"/>
        <w:jc w:val="both"/>
        <w:rPr>
          <w:szCs w:val="20"/>
        </w:rPr>
      </w:pPr>
      <w:r w:rsidRPr="00881795">
        <w:rPr>
          <w:szCs w:val="20"/>
        </w:rPr>
        <w:t>Smaller ad-hoc capital projects are funded from the internal funds of the municipality, where possible.</w:t>
      </w:r>
    </w:p>
    <w:p w14:paraId="51D0050D" w14:textId="77777777" w:rsidR="00792032" w:rsidRPr="00881795" w:rsidRDefault="00792032" w:rsidP="00E31338">
      <w:pPr>
        <w:pStyle w:val="ListParagraph"/>
        <w:numPr>
          <w:ilvl w:val="0"/>
          <w:numId w:val="1"/>
        </w:numPr>
        <w:spacing w:line="288" w:lineRule="auto"/>
        <w:jc w:val="both"/>
        <w:rPr>
          <w:szCs w:val="20"/>
        </w:rPr>
      </w:pPr>
      <w:r w:rsidRPr="00881795">
        <w:rPr>
          <w:szCs w:val="20"/>
        </w:rPr>
        <w:t>A portion of the equitable share of the municipality is being used to fund ad-hoc capital projects in the rural areas so that basic services can be provided to indigent communities.</w:t>
      </w:r>
    </w:p>
    <w:p w14:paraId="345E971E" w14:textId="77777777" w:rsidR="00992B24" w:rsidRPr="00297498" w:rsidRDefault="008155E3" w:rsidP="00750180">
      <w:pPr>
        <w:pStyle w:val="Heading3"/>
        <w:numPr>
          <w:ilvl w:val="2"/>
          <w:numId w:val="127"/>
        </w:numPr>
      </w:pPr>
      <w:bookmarkStart w:id="477" w:name="_Toc389740016"/>
      <w:bookmarkStart w:id="478" w:name="_Toc510706648"/>
      <w:r w:rsidRPr="00297498">
        <w:rPr>
          <w:rStyle w:val="Heading3Char"/>
          <w:b/>
          <w:bCs/>
        </w:rPr>
        <w:t xml:space="preserve">Indigent Support (including </w:t>
      </w:r>
      <w:r w:rsidR="00992B24" w:rsidRPr="00297498">
        <w:rPr>
          <w:rStyle w:val="Heading3Char"/>
          <w:b/>
          <w:bCs/>
        </w:rPr>
        <w:t>Free Basic Services</w:t>
      </w:r>
      <w:r w:rsidRPr="00297498">
        <w:t>)</w:t>
      </w:r>
      <w:bookmarkEnd w:id="477"/>
      <w:bookmarkEnd w:id="478"/>
      <w:r w:rsidR="00733EE0" w:rsidRPr="00297498">
        <w:t xml:space="preserve"> </w:t>
      </w:r>
    </w:p>
    <w:p w14:paraId="2BD83A1C" w14:textId="77777777" w:rsidR="00520B3A" w:rsidRPr="00297498" w:rsidRDefault="00520B3A" w:rsidP="00750180">
      <w:pPr>
        <w:pStyle w:val="Heading4"/>
        <w:numPr>
          <w:ilvl w:val="3"/>
          <w:numId w:val="127"/>
        </w:numPr>
        <w:spacing w:after="240"/>
      </w:pPr>
      <w:bookmarkStart w:id="479" w:name="_Toc389740017"/>
      <w:r w:rsidRPr="00297498">
        <w:t>The Roll-out of Free Basic Services</w:t>
      </w:r>
      <w:bookmarkEnd w:id="479"/>
    </w:p>
    <w:p w14:paraId="213A0057" w14:textId="400C40BB" w:rsidR="0081691A" w:rsidRDefault="008D30E1" w:rsidP="00395313">
      <w:pPr>
        <w:autoSpaceDE w:val="0"/>
        <w:autoSpaceDN w:val="0"/>
        <w:adjustRightInd w:val="0"/>
        <w:jc w:val="both"/>
        <w:rPr>
          <w:rFonts w:cs="Calibri"/>
          <w:color w:val="000000" w:themeColor="text1"/>
          <w:szCs w:val="20"/>
        </w:rPr>
      </w:pPr>
      <w:r>
        <w:rPr>
          <w:rFonts w:cs="Calibri"/>
          <w:color w:val="000000" w:themeColor="text1"/>
          <w:szCs w:val="20"/>
        </w:rPr>
        <w:t xml:space="preserve">The UMlalazi Municipality has since 2011/12 enhanced the level of commitment into providing relief of basic services such as electricity as refuse waste removal. The refuse removal service has spread into the rural areas where this function is carried out through the Food- For- Waste Program. Refuse removal </w:t>
      </w:r>
      <w:r w:rsidR="009B286E">
        <w:rPr>
          <w:rFonts w:cs="Calibri"/>
          <w:color w:val="000000" w:themeColor="text1"/>
          <w:szCs w:val="20"/>
        </w:rPr>
        <w:t>services have</w:t>
      </w:r>
      <w:r w:rsidR="00420D3A">
        <w:rPr>
          <w:rFonts w:cs="Calibri"/>
          <w:color w:val="000000" w:themeColor="text1"/>
          <w:szCs w:val="20"/>
        </w:rPr>
        <w:t xml:space="preserve"> been extended to </w:t>
      </w:r>
      <w:r w:rsidR="00D54AD8">
        <w:rPr>
          <w:rFonts w:cs="Calibri"/>
          <w:b/>
          <w:color w:val="FF0000"/>
          <w:szCs w:val="20"/>
        </w:rPr>
        <w:t>13 738</w:t>
      </w:r>
      <w:r w:rsidRPr="00A17436">
        <w:rPr>
          <w:rFonts w:cs="Calibri"/>
          <w:color w:val="FF0000"/>
          <w:szCs w:val="20"/>
        </w:rPr>
        <w:t xml:space="preserve"> </w:t>
      </w:r>
      <w:r>
        <w:rPr>
          <w:rFonts w:cs="Calibri"/>
          <w:color w:val="000000" w:themeColor="text1"/>
          <w:szCs w:val="20"/>
        </w:rPr>
        <w:t xml:space="preserve">urban and rural communities. </w:t>
      </w:r>
      <w:r w:rsidR="00AB1FAA">
        <w:rPr>
          <w:rFonts w:cs="Calibri"/>
          <w:color w:val="000000" w:themeColor="text1"/>
          <w:szCs w:val="20"/>
        </w:rPr>
        <w:t xml:space="preserve">The budget for free basic electricity has been increased almost twice </w:t>
      </w:r>
      <w:r w:rsidR="009B286E">
        <w:rPr>
          <w:rFonts w:cs="Calibri"/>
          <w:color w:val="000000" w:themeColor="text1"/>
          <w:szCs w:val="20"/>
        </w:rPr>
        <w:t>as</w:t>
      </w:r>
      <w:r w:rsidR="00AB1FAA">
        <w:rPr>
          <w:rFonts w:cs="Calibri"/>
          <w:color w:val="000000" w:themeColor="text1"/>
          <w:szCs w:val="20"/>
        </w:rPr>
        <w:t xml:space="preserve"> muc</w:t>
      </w:r>
      <w:r w:rsidR="009110BA">
        <w:rPr>
          <w:rFonts w:cs="Calibri"/>
          <w:color w:val="000000" w:themeColor="text1"/>
          <w:szCs w:val="20"/>
        </w:rPr>
        <w:t>h as it was budgeted for in 2015/16</w:t>
      </w:r>
      <w:r w:rsidR="00AB1FAA">
        <w:rPr>
          <w:rFonts w:cs="Calibri"/>
          <w:color w:val="000000" w:themeColor="text1"/>
          <w:szCs w:val="20"/>
        </w:rPr>
        <w:t xml:space="preserve">, where free electricity has been provided </w:t>
      </w:r>
      <w:r w:rsidR="00AB1FAA" w:rsidRPr="00B4497E">
        <w:rPr>
          <w:rFonts w:cs="Calibri"/>
          <w:color w:val="000000" w:themeColor="text1"/>
          <w:szCs w:val="20"/>
        </w:rPr>
        <w:t xml:space="preserve">for </w:t>
      </w:r>
      <w:r w:rsidR="00D54AD8">
        <w:rPr>
          <w:rFonts w:cs="Calibri"/>
          <w:b/>
          <w:color w:val="FF0000"/>
          <w:szCs w:val="20"/>
        </w:rPr>
        <w:t>4344</w:t>
      </w:r>
      <w:r w:rsidR="00AB1FAA">
        <w:rPr>
          <w:rFonts w:cs="Calibri"/>
          <w:color w:val="000000" w:themeColor="text1"/>
          <w:szCs w:val="20"/>
        </w:rPr>
        <w:t xml:space="preserve"> households within the municipality. The tables below depict the provision of </w:t>
      </w:r>
      <w:r w:rsidR="009B286E">
        <w:rPr>
          <w:rFonts w:cs="Calibri"/>
          <w:color w:val="000000" w:themeColor="text1"/>
          <w:szCs w:val="20"/>
        </w:rPr>
        <w:t>free</w:t>
      </w:r>
      <w:r w:rsidR="00AB1FAA">
        <w:rPr>
          <w:rFonts w:cs="Calibri"/>
          <w:color w:val="000000" w:themeColor="text1"/>
          <w:szCs w:val="20"/>
        </w:rPr>
        <w:t xml:space="preserve"> basic services within the municipality.</w:t>
      </w:r>
      <w:r>
        <w:rPr>
          <w:rFonts w:cs="Calibri"/>
          <w:color w:val="000000" w:themeColor="text1"/>
          <w:szCs w:val="20"/>
        </w:rPr>
        <w:t xml:space="preserve"> </w:t>
      </w:r>
    </w:p>
    <w:p w14:paraId="0D8EA99D" w14:textId="77777777" w:rsidR="00D54AD8" w:rsidRDefault="00D54AD8" w:rsidP="00395313">
      <w:pPr>
        <w:autoSpaceDE w:val="0"/>
        <w:autoSpaceDN w:val="0"/>
        <w:adjustRightInd w:val="0"/>
        <w:jc w:val="both"/>
        <w:rPr>
          <w:rFonts w:cs="Calibri"/>
          <w:color w:val="000000" w:themeColor="text1"/>
          <w:szCs w:val="20"/>
        </w:rPr>
      </w:pPr>
    </w:p>
    <w:p w14:paraId="350DB77D" w14:textId="77777777" w:rsidR="00D54AD8" w:rsidRPr="003A22A7" w:rsidRDefault="00D54AD8" w:rsidP="00395313">
      <w:pPr>
        <w:autoSpaceDE w:val="0"/>
        <w:autoSpaceDN w:val="0"/>
        <w:adjustRightInd w:val="0"/>
        <w:jc w:val="both"/>
        <w:rPr>
          <w:rFonts w:cs="Calibri"/>
          <w:color w:val="000000" w:themeColor="text1"/>
          <w:szCs w:val="20"/>
        </w:rPr>
      </w:pPr>
    </w:p>
    <w:p w14:paraId="492BDDF9" w14:textId="77777777" w:rsidR="006A5D60" w:rsidRPr="003A22A7" w:rsidRDefault="0081691A" w:rsidP="00297498">
      <w:pPr>
        <w:pStyle w:val="Caption"/>
        <w:spacing w:after="0"/>
        <w:rPr>
          <w:i/>
        </w:rPr>
      </w:pPr>
      <w:bookmarkStart w:id="480" w:name="_Toc510622326"/>
      <w:bookmarkStart w:id="481" w:name="_Toc288723500"/>
      <w:bookmarkStart w:id="482" w:name="_Toc325627957"/>
      <w:bookmarkStart w:id="483" w:name="_Toc389740018"/>
      <w:r w:rsidRPr="003A22A7">
        <w:t xml:space="preserve">Table </w:t>
      </w:r>
      <w:r w:rsidR="00D55BDA" w:rsidRPr="003A22A7">
        <w:fldChar w:fldCharType="begin"/>
      </w:r>
      <w:r w:rsidRPr="003A22A7">
        <w:instrText xml:space="preserve"> SEQ Table \* ARABIC </w:instrText>
      </w:r>
      <w:r w:rsidR="00D55BDA" w:rsidRPr="003A22A7">
        <w:fldChar w:fldCharType="separate"/>
      </w:r>
      <w:r w:rsidR="0067023A">
        <w:rPr>
          <w:noProof/>
        </w:rPr>
        <w:t>75</w:t>
      </w:r>
      <w:r w:rsidR="00D55BDA" w:rsidRPr="003A22A7">
        <w:fldChar w:fldCharType="end"/>
      </w:r>
      <w:r w:rsidRPr="003A22A7">
        <w:t>: Eskom Free Basic Electricity</w:t>
      </w:r>
      <w:bookmarkEnd w:id="480"/>
      <w:r w:rsidRPr="003A22A7">
        <w:t xml:space="preserve"> </w:t>
      </w:r>
      <w:bookmarkEnd w:id="481"/>
      <w:bookmarkEnd w:id="482"/>
      <w:bookmarkEnd w:id="483"/>
      <w:r w:rsidR="000A2C42">
        <w:t xml:space="preserve"> </w:t>
      </w:r>
    </w:p>
    <w:tbl>
      <w:tblPr>
        <w:tblW w:w="9534" w:type="dxa"/>
        <w:tblInd w:w="95" w:type="dxa"/>
        <w:tblLook w:val="04A0" w:firstRow="1" w:lastRow="0" w:firstColumn="1" w:lastColumn="0" w:noHBand="0" w:noVBand="1"/>
      </w:tblPr>
      <w:tblGrid>
        <w:gridCol w:w="3161"/>
        <w:gridCol w:w="3260"/>
        <w:gridCol w:w="3113"/>
      </w:tblGrid>
      <w:tr w:rsidR="00966DBC" w:rsidRPr="00B4497E" w14:paraId="2A2F195D" w14:textId="77777777" w:rsidTr="00966DBC">
        <w:trPr>
          <w:trHeight w:val="351"/>
          <w:tblHeader/>
        </w:trPr>
        <w:tc>
          <w:tcPr>
            <w:tcW w:w="9534" w:type="dxa"/>
            <w:gridSpan w:val="3"/>
            <w:tcBorders>
              <w:top w:val="single" w:sz="4" w:space="0" w:color="auto"/>
              <w:left w:val="single" w:sz="4" w:space="0" w:color="auto"/>
              <w:bottom w:val="single" w:sz="4" w:space="0" w:color="auto"/>
              <w:right w:val="single" w:sz="4" w:space="0" w:color="auto"/>
            </w:tcBorders>
            <w:shd w:val="clear" w:color="auto" w:fill="DAEEF3" w:themeFill="accent5" w:themeFillTint="33"/>
            <w:noWrap/>
          </w:tcPr>
          <w:p w14:paraId="32EF8787" w14:textId="77777777" w:rsidR="00966DBC" w:rsidRPr="00B4497E" w:rsidRDefault="00966DBC" w:rsidP="00297498">
            <w:pPr>
              <w:spacing w:after="0" w:line="240" w:lineRule="auto"/>
              <w:jc w:val="center"/>
              <w:rPr>
                <w:rFonts w:cs="Calibri"/>
                <w:b/>
                <w:color w:val="000000"/>
                <w:szCs w:val="20"/>
                <w:lang w:val="en-GB" w:eastAsia="en-ZA"/>
              </w:rPr>
            </w:pPr>
            <w:r w:rsidRPr="00B4497E">
              <w:rPr>
                <w:rFonts w:cs="Calibri"/>
                <w:b/>
                <w:color w:val="000000"/>
                <w:szCs w:val="20"/>
                <w:lang w:val="en-GB" w:eastAsia="en-ZA"/>
              </w:rPr>
              <w:t>ESKOM FREE BASIC ELECTRICITY</w:t>
            </w:r>
          </w:p>
        </w:tc>
      </w:tr>
      <w:tr w:rsidR="00966DBC" w:rsidRPr="00B4497E" w14:paraId="633DD2EB" w14:textId="77777777" w:rsidTr="00966DBC">
        <w:trPr>
          <w:trHeight w:val="271"/>
          <w:tblHeader/>
        </w:trPr>
        <w:tc>
          <w:tcPr>
            <w:tcW w:w="3161"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hideMark/>
          </w:tcPr>
          <w:p w14:paraId="6BECDE06" w14:textId="77777777" w:rsidR="00966DBC" w:rsidRPr="00B4497E" w:rsidRDefault="00966DBC" w:rsidP="00297498">
            <w:pPr>
              <w:spacing w:after="0" w:line="240" w:lineRule="auto"/>
              <w:jc w:val="both"/>
              <w:rPr>
                <w:rFonts w:cs="Calibri"/>
                <w:b/>
                <w:color w:val="000000"/>
                <w:szCs w:val="20"/>
                <w:lang w:val="en-GB" w:eastAsia="en-ZA"/>
              </w:rPr>
            </w:pPr>
            <w:r w:rsidRPr="00966DBC">
              <w:rPr>
                <w:rFonts w:cs="Calibri"/>
                <w:b/>
                <w:color w:val="000000"/>
                <w:szCs w:val="20"/>
                <w:lang w:val="en-GB" w:eastAsia="en-ZA"/>
              </w:rPr>
              <w:t>AMOUNT PAID TO ESKOM FOR FBE</w:t>
            </w:r>
          </w:p>
        </w:tc>
        <w:tc>
          <w:tcPr>
            <w:tcW w:w="3260"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hideMark/>
          </w:tcPr>
          <w:p w14:paraId="790E72D4" w14:textId="77777777" w:rsidR="00966DBC" w:rsidRPr="00B4497E" w:rsidRDefault="00966DBC" w:rsidP="00297498">
            <w:pPr>
              <w:spacing w:after="0" w:line="240" w:lineRule="auto"/>
              <w:jc w:val="both"/>
              <w:rPr>
                <w:rFonts w:cs="Calibri"/>
                <w:b/>
                <w:color w:val="000000"/>
                <w:szCs w:val="20"/>
                <w:lang w:val="en-GB" w:eastAsia="en-ZA"/>
              </w:rPr>
            </w:pPr>
            <w:r w:rsidRPr="00B4497E">
              <w:rPr>
                <w:rFonts w:cs="Calibri"/>
                <w:b/>
                <w:color w:val="000000"/>
                <w:szCs w:val="20"/>
                <w:lang w:val="en-GB" w:eastAsia="en-ZA"/>
              </w:rPr>
              <w:t>AMOUNT PAID TO ESKOM FOR FBE</w:t>
            </w:r>
          </w:p>
        </w:tc>
        <w:tc>
          <w:tcPr>
            <w:tcW w:w="3113"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3A582986" w14:textId="77777777" w:rsidR="00966DBC" w:rsidRPr="00036FB1" w:rsidRDefault="00966DBC" w:rsidP="00297498">
            <w:pPr>
              <w:spacing w:after="0" w:line="240" w:lineRule="auto"/>
              <w:jc w:val="both"/>
              <w:rPr>
                <w:rFonts w:cs="Calibri"/>
                <w:b/>
                <w:color w:val="000000"/>
                <w:szCs w:val="20"/>
                <w:lang w:val="en-GB" w:eastAsia="en-ZA"/>
              </w:rPr>
            </w:pPr>
            <w:r w:rsidRPr="00036FB1">
              <w:rPr>
                <w:rFonts w:cs="Calibri"/>
                <w:b/>
                <w:color w:val="000000"/>
                <w:szCs w:val="20"/>
                <w:lang w:val="en-GB" w:eastAsia="en-ZA"/>
              </w:rPr>
              <w:t>AMOUNT PAID TO ESKOM FOR FBE</w:t>
            </w:r>
          </w:p>
        </w:tc>
      </w:tr>
      <w:tr w:rsidR="00C818F2" w:rsidRPr="00B4497E" w14:paraId="7C01C653" w14:textId="77777777" w:rsidTr="00264FBE">
        <w:trPr>
          <w:trHeight w:val="227"/>
        </w:trPr>
        <w:tc>
          <w:tcPr>
            <w:tcW w:w="3161"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bottom"/>
          </w:tcPr>
          <w:p w14:paraId="55D16806" w14:textId="2185AD5A" w:rsidR="00C818F2" w:rsidRPr="00B4497E" w:rsidRDefault="00C818F2" w:rsidP="00C818F2">
            <w:pPr>
              <w:spacing w:after="0" w:line="240" w:lineRule="auto"/>
              <w:jc w:val="center"/>
              <w:rPr>
                <w:rFonts w:cs="Calibri"/>
                <w:b/>
                <w:color w:val="000000"/>
                <w:szCs w:val="20"/>
                <w:lang w:val="en-GB" w:eastAsia="en-ZA"/>
              </w:rPr>
            </w:pPr>
            <w:r w:rsidRPr="00B4497E">
              <w:rPr>
                <w:rFonts w:cs="Calibri"/>
                <w:b/>
                <w:color w:val="000000"/>
                <w:szCs w:val="20"/>
                <w:lang w:val="en-GB" w:eastAsia="en-ZA"/>
              </w:rPr>
              <w:t>2015/16</w:t>
            </w:r>
          </w:p>
        </w:tc>
        <w:tc>
          <w:tcPr>
            <w:tcW w:w="3260" w:type="dxa"/>
            <w:tcBorders>
              <w:top w:val="single" w:sz="4" w:space="0" w:color="auto"/>
              <w:left w:val="nil"/>
              <w:bottom w:val="single" w:sz="4" w:space="0" w:color="auto"/>
              <w:right w:val="single" w:sz="4" w:space="0" w:color="auto"/>
            </w:tcBorders>
            <w:shd w:val="clear" w:color="auto" w:fill="DAEEF3" w:themeFill="accent5" w:themeFillTint="33"/>
            <w:noWrap/>
          </w:tcPr>
          <w:p w14:paraId="5D90822C" w14:textId="51FD9A46" w:rsidR="00C818F2" w:rsidRPr="00B4497E" w:rsidRDefault="00C818F2" w:rsidP="00C818F2">
            <w:pPr>
              <w:spacing w:after="0" w:line="240" w:lineRule="auto"/>
              <w:jc w:val="center"/>
              <w:rPr>
                <w:rFonts w:cs="Calibri"/>
                <w:b/>
                <w:color w:val="000000"/>
                <w:szCs w:val="20"/>
                <w:lang w:val="en-GB" w:eastAsia="en-ZA"/>
              </w:rPr>
            </w:pPr>
            <w:r>
              <w:rPr>
                <w:rFonts w:cs="Calibri"/>
                <w:b/>
                <w:color w:val="000000"/>
                <w:szCs w:val="20"/>
                <w:lang w:val="en-GB" w:eastAsia="en-ZA"/>
              </w:rPr>
              <w:t>2016/17</w:t>
            </w:r>
          </w:p>
        </w:tc>
        <w:tc>
          <w:tcPr>
            <w:tcW w:w="3113" w:type="dxa"/>
            <w:tcBorders>
              <w:top w:val="single" w:sz="4" w:space="0" w:color="auto"/>
              <w:left w:val="nil"/>
              <w:bottom w:val="single" w:sz="4" w:space="0" w:color="auto"/>
              <w:right w:val="single" w:sz="4" w:space="0" w:color="auto"/>
            </w:tcBorders>
            <w:shd w:val="clear" w:color="auto" w:fill="DAEEF3" w:themeFill="accent5" w:themeFillTint="33"/>
          </w:tcPr>
          <w:p w14:paraId="0BDEC394" w14:textId="67C57EA6" w:rsidR="00C818F2" w:rsidRPr="00036FB1" w:rsidRDefault="00D54AD8" w:rsidP="00C818F2">
            <w:pPr>
              <w:spacing w:after="0" w:line="240" w:lineRule="auto"/>
              <w:jc w:val="center"/>
              <w:rPr>
                <w:rFonts w:cs="Calibri"/>
                <w:b/>
                <w:color w:val="000000"/>
                <w:szCs w:val="20"/>
                <w:lang w:val="en-GB" w:eastAsia="en-ZA"/>
              </w:rPr>
            </w:pPr>
            <w:r w:rsidRPr="00036FB1">
              <w:rPr>
                <w:rFonts w:cs="Calibri"/>
                <w:b/>
                <w:color w:val="000000"/>
                <w:szCs w:val="20"/>
                <w:lang w:val="en-GB" w:eastAsia="en-ZA"/>
              </w:rPr>
              <w:t>2017</w:t>
            </w:r>
            <w:r w:rsidR="00C818F2" w:rsidRPr="00036FB1">
              <w:rPr>
                <w:rFonts w:cs="Calibri"/>
                <w:b/>
                <w:color w:val="000000"/>
                <w:szCs w:val="20"/>
                <w:lang w:val="en-GB" w:eastAsia="en-ZA"/>
              </w:rPr>
              <w:t>/18</w:t>
            </w:r>
          </w:p>
        </w:tc>
      </w:tr>
      <w:tr w:rsidR="00C818F2" w:rsidRPr="00B4497E" w14:paraId="404A8857" w14:textId="77777777" w:rsidTr="00264FBE">
        <w:trPr>
          <w:trHeight w:val="227"/>
        </w:trPr>
        <w:tc>
          <w:tcPr>
            <w:tcW w:w="316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225BE1" w14:textId="20581DEE" w:rsidR="00C818F2" w:rsidRPr="00B4497E" w:rsidRDefault="00C818F2" w:rsidP="00C818F2">
            <w:pPr>
              <w:spacing w:after="0" w:line="240" w:lineRule="auto"/>
              <w:jc w:val="center"/>
              <w:rPr>
                <w:rFonts w:cs="Calibri"/>
                <w:b/>
                <w:color w:val="000000"/>
                <w:szCs w:val="20"/>
                <w:lang w:val="en-GB" w:eastAsia="en-ZA"/>
              </w:rPr>
            </w:pPr>
            <w:r w:rsidRPr="00B4497E">
              <w:rPr>
                <w:rFonts w:cs="Calibri"/>
                <w:b/>
                <w:color w:val="000000"/>
                <w:szCs w:val="20"/>
                <w:lang w:val="en-GB" w:eastAsia="en-ZA"/>
              </w:rPr>
              <w:t>R 1 173 520</w:t>
            </w:r>
          </w:p>
        </w:tc>
        <w:tc>
          <w:tcPr>
            <w:tcW w:w="3260" w:type="dxa"/>
            <w:tcBorders>
              <w:top w:val="single" w:sz="4" w:space="0" w:color="auto"/>
              <w:left w:val="nil"/>
              <w:bottom w:val="single" w:sz="4" w:space="0" w:color="auto"/>
              <w:right w:val="single" w:sz="4" w:space="0" w:color="auto"/>
            </w:tcBorders>
            <w:shd w:val="clear" w:color="auto" w:fill="auto"/>
            <w:noWrap/>
          </w:tcPr>
          <w:p w14:paraId="202BBF26" w14:textId="09145004" w:rsidR="00C818F2" w:rsidRPr="00B4497E" w:rsidRDefault="00C818F2" w:rsidP="00C818F2">
            <w:pPr>
              <w:spacing w:after="0" w:line="240" w:lineRule="auto"/>
              <w:jc w:val="center"/>
              <w:rPr>
                <w:rFonts w:cs="Calibri"/>
                <w:b/>
                <w:color w:val="000000"/>
                <w:szCs w:val="20"/>
                <w:lang w:val="en-GB" w:eastAsia="en-ZA"/>
              </w:rPr>
            </w:pPr>
            <w:r>
              <w:rPr>
                <w:rFonts w:cs="Calibri"/>
                <w:b/>
                <w:color w:val="000000"/>
                <w:szCs w:val="20"/>
                <w:lang w:val="en-GB" w:eastAsia="en-ZA"/>
              </w:rPr>
              <w:t>R2 001 950</w:t>
            </w:r>
          </w:p>
        </w:tc>
        <w:tc>
          <w:tcPr>
            <w:tcW w:w="3113" w:type="dxa"/>
            <w:tcBorders>
              <w:top w:val="single" w:sz="4" w:space="0" w:color="auto"/>
              <w:left w:val="nil"/>
              <w:bottom w:val="single" w:sz="4" w:space="0" w:color="auto"/>
              <w:right w:val="single" w:sz="4" w:space="0" w:color="auto"/>
            </w:tcBorders>
          </w:tcPr>
          <w:p w14:paraId="4950EABF" w14:textId="600570AF" w:rsidR="00C818F2" w:rsidRPr="00B4497E" w:rsidRDefault="00036FB1" w:rsidP="00C818F2">
            <w:pPr>
              <w:spacing w:after="0" w:line="240" w:lineRule="auto"/>
              <w:jc w:val="center"/>
              <w:rPr>
                <w:rFonts w:cs="Calibri"/>
                <w:b/>
                <w:color w:val="000000"/>
                <w:szCs w:val="20"/>
                <w:lang w:val="en-GB" w:eastAsia="en-ZA"/>
              </w:rPr>
            </w:pPr>
            <w:r>
              <w:rPr>
                <w:rFonts w:cs="Calibri"/>
                <w:b/>
                <w:color w:val="000000"/>
                <w:szCs w:val="20"/>
                <w:lang w:val="en-GB" w:eastAsia="en-ZA"/>
              </w:rPr>
              <w:t>R 1 809 086.67</w:t>
            </w:r>
          </w:p>
        </w:tc>
      </w:tr>
    </w:tbl>
    <w:p w14:paraId="065D3B1D" w14:textId="77777777" w:rsidR="00520B3A" w:rsidRPr="00B4497E" w:rsidRDefault="00520B3A" w:rsidP="00395313">
      <w:pPr>
        <w:autoSpaceDE w:val="0"/>
        <w:autoSpaceDN w:val="0"/>
        <w:adjustRightInd w:val="0"/>
        <w:jc w:val="both"/>
        <w:rPr>
          <w:rFonts w:cs="Calibri"/>
          <w:color w:val="000000" w:themeColor="text1"/>
          <w:szCs w:val="20"/>
        </w:rPr>
      </w:pPr>
    </w:p>
    <w:p w14:paraId="41B18247" w14:textId="77777777" w:rsidR="0081691A" w:rsidRPr="00B4497E" w:rsidRDefault="0081691A" w:rsidP="00297498">
      <w:pPr>
        <w:pStyle w:val="Caption"/>
        <w:spacing w:after="0"/>
      </w:pPr>
      <w:bookmarkStart w:id="484" w:name="_Toc288723501"/>
      <w:bookmarkStart w:id="485" w:name="_Toc325627958"/>
      <w:bookmarkStart w:id="486" w:name="_Toc389740020"/>
      <w:bookmarkStart w:id="487" w:name="_Toc510622327"/>
      <w:r w:rsidRPr="00B4497E">
        <w:t xml:space="preserve">Table </w:t>
      </w:r>
      <w:r w:rsidR="00D55BDA" w:rsidRPr="00B4497E">
        <w:fldChar w:fldCharType="begin"/>
      </w:r>
      <w:r w:rsidRPr="00B4497E">
        <w:instrText xml:space="preserve"> SEQ Table \* ARABIC </w:instrText>
      </w:r>
      <w:r w:rsidR="00D55BDA" w:rsidRPr="00B4497E">
        <w:fldChar w:fldCharType="separate"/>
      </w:r>
      <w:r w:rsidR="0067023A">
        <w:rPr>
          <w:noProof/>
        </w:rPr>
        <w:t>76</w:t>
      </w:r>
      <w:r w:rsidR="00D55BDA" w:rsidRPr="00B4497E">
        <w:fldChar w:fldCharType="end"/>
      </w:r>
      <w:r w:rsidRPr="00B4497E">
        <w:t>: Free Basic Electricity (Municipality)</w:t>
      </w:r>
      <w:bookmarkEnd w:id="484"/>
      <w:bookmarkEnd w:id="485"/>
      <w:bookmarkEnd w:id="486"/>
      <w:bookmarkEnd w:id="487"/>
    </w:p>
    <w:tbl>
      <w:tblPr>
        <w:tblW w:w="9534" w:type="dxa"/>
        <w:tblInd w:w="95" w:type="dxa"/>
        <w:tblLook w:val="04A0" w:firstRow="1" w:lastRow="0" w:firstColumn="1" w:lastColumn="0" w:noHBand="0" w:noVBand="1"/>
      </w:tblPr>
      <w:tblGrid>
        <w:gridCol w:w="3161"/>
        <w:gridCol w:w="2409"/>
        <w:gridCol w:w="1701"/>
        <w:gridCol w:w="2263"/>
      </w:tblGrid>
      <w:tr w:rsidR="00E63535" w:rsidRPr="00B4497E" w14:paraId="57898BF0" w14:textId="77777777" w:rsidTr="00E63535">
        <w:trPr>
          <w:trHeight w:val="263"/>
        </w:trPr>
        <w:tc>
          <w:tcPr>
            <w:tcW w:w="3161" w:type="dxa"/>
            <w:vMerge w:val="restart"/>
            <w:tcBorders>
              <w:top w:val="single" w:sz="4" w:space="0" w:color="auto"/>
              <w:left w:val="single" w:sz="4" w:space="0" w:color="auto"/>
              <w:right w:val="nil"/>
            </w:tcBorders>
            <w:shd w:val="clear" w:color="auto" w:fill="DAEEF3" w:themeFill="accent5" w:themeFillTint="33"/>
            <w:noWrap/>
            <w:vAlign w:val="bottom"/>
            <w:hideMark/>
          </w:tcPr>
          <w:p w14:paraId="51DFC737" w14:textId="77777777" w:rsidR="00E63535" w:rsidRPr="00B4497E" w:rsidRDefault="00E63535" w:rsidP="00297498">
            <w:pPr>
              <w:spacing w:after="0" w:line="240" w:lineRule="auto"/>
              <w:jc w:val="both"/>
              <w:rPr>
                <w:rFonts w:cs="Calibri"/>
                <w:b/>
                <w:color w:val="000000"/>
                <w:szCs w:val="20"/>
                <w:lang w:val="en-GB" w:eastAsia="en-ZA"/>
              </w:rPr>
            </w:pPr>
            <w:bookmarkStart w:id="488" w:name="_Toc288723502"/>
            <w:bookmarkStart w:id="489" w:name="_Toc325627959"/>
            <w:r w:rsidRPr="00B4497E">
              <w:rPr>
                <w:rFonts w:cs="Calibri"/>
                <w:b/>
                <w:color w:val="000000"/>
                <w:szCs w:val="20"/>
                <w:lang w:val="en-GB" w:eastAsia="en-ZA"/>
              </w:rPr>
              <w:t> FREE BASIC ELECTRICITY</w:t>
            </w:r>
          </w:p>
          <w:p w14:paraId="10EA78A0" w14:textId="77777777" w:rsidR="00E63535" w:rsidRPr="00B4497E" w:rsidRDefault="00E63535" w:rsidP="00297498">
            <w:pPr>
              <w:spacing w:after="0" w:line="240" w:lineRule="auto"/>
              <w:jc w:val="both"/>
              <w:rPr>
                <w:rFonts w:cs="Calibri"/>
                <w:b/>
                <w:color w:val="000000"/>
                <w:szCs w:val="20"/>
                <w:lang w:val="en-GB" w:eastAsia="en-ZA"/>
              </w:rPr>
            </w:pPr>
            <w:r w:rsidRPr="00B4497E">
              <w:rPr>
                <w:rFonts w:cs="Calibri"/>
                <w:b/>
                <w:color w:val="000000"/>
                <w:szCs w:val="20"/>
                <w:lang w:val="en-GB" w:eastAsia="en-ZA"/>
              </w:rPr>
              <w:t>Supplied by the Municipality</w:t>
            </w:r>
          </w:p>
        </w:tc>
        <w:tc>
          <w:tcPr>
            <w:tcW w:w="6373" w:type="dxa"/>
            <w:gridSpan w:val="3"/>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bottom"/>
            <w:hideMark/>
          </w:tcPr>
          <w:p w14:paraId="0E225E55" w14:textId="77777777" w:rsidR="00E63535" w:rsidRPr="00B4497E" w:rsidRDefault="00E63535" w:rsidP="00297498">
            <w:pPr>
              <w:spacing w:after="0" w:line="240" w:lineRule="auto"/>
              <w:jc w:val="center"/>
              <w:rPr>
                <w:rFonts w:cs="Calibri"/>
                <w:b/>
                <w:color w:val="000000"/>
                <w:szCs w:val="20"/>
                <w:lang w:val="en-GB" w:eastAsia="en-ZA"/>
              </w:rPr>
            </w:pPr>
            <w:r w:rsidRPr="00B4497E">
              <w:rPr>
                <w:rFonts w:cs="Calibri"/>
                <w:b/>
                <w:color w:val="000000"/>
                <w:szCs w:val="20"/>
                <w:lang w:val="en-GB" w:eastAsia="en-ZA"/>
              </w:rPr>
              <w:t>NUMBER OF HOUSEHOLDS</w:t>
            </w:r>
          </w:p>
        </w:tc>
      </w:tr>
      <w:tr w:rsidR="00C818F2" w:rsidRPr="00B4497E" w14:paraId="6F7AA741" w14:textId="77777777" w:rsidTr="00C818F2">
        <w:trPr>
          <w:trHeight w:val="263"/>
        </w:trPr>
        <w:tc>
          <w:tcPr>
            <w:tcW w:w="3161" w:type="dxa"/>
            <w:vMerge/>
            <w:tcBorders>
              <w:left w:val="single" w:sz="4" w:space="0" w:color="auto"/>
              <w:bottom w:val="single" w:sz="4" w:space="0" w:color="auto"/>
              <w:right w:val="nil"/>
            </w:tcBorders>
            <w:shd w:val="clear" w:color="auto" w:fill="DAEEF3" w:themeFill="accent5" w:themeFillTint="33"/>
            <w:noWrap/>
            <w:vAlign w:val="bottom"/>
            <w:hideMark/>
          </w:tcPr>
          <w:p w14:paraId="52CA64B5" w14:textId="77777777" w:rsidR="00C818F2" w:rsidRPr="00B4497E" w:rsidRDefault="00C818F2" w:rsidP="00C818F2">
            <w:pPr>
              <w:spacing w:after="0" w:line="240" w:lineRule="auto"/>
              <w:jc w:val="both"/>
              <w:rPr>
                <w:rFonts w:cs="Calibri"/>
                <w:b/>
                <w:color w:val="000000"/>
                <w:szCs w:val="20"/>
                <w:lang w:val="en-GB" w:eastAsia="en-ZA"/>
              </w:rPr>
            </w:pPr>
          </w:p>
        </w:tc>
        <w:tc>
          <w:tcPr>
            <w:tcW w:w="2409"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tcPr>
          <w:p w14:paraId="39864A86" w14:textId="6B9391CD" w:rsidR="00C818F2" w:rsidRPr="00B4497E" w:rsidRDefault="00C818F2" w:rsidP="00C818F2">
            <w:pPr>
              <w:spacing w:after="0" w:line="240" w:lineRule="auto"/>
              <w:jc w:val="both"/>
              <w:rPr>
                <w:rFonts w:cs="Calibri"/>
                <w:b/>
                <w:color w:val="000000"/>
                <w:szCs w:val="20"/>
                <w:lang w:val="en-GB" w:eastAsia="en-ZA"/>
              </w:rPr>
            </w:pPr>
            <w:r w:rsidRPr="00B4497E">
              <w:rPr>
                <w:rFonts w:cs="Calibri"/>
                <w:b/>
                <w:color w:val="000000"/>
                <w:szCs w:val="20"/>
                <w:lang w:val="en-GB" w:eastAsia="en-ZA"/>
              </w:rPr>
              <w:t>Feb 2015/16</w:t>
            </w:r>
          </w:p>
        </w:tc>
        <w:tc>
          <w:tcPr>
            <w:tcW w:w="1701"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6FE5B731" w14:textId="7A400AA9" w:rsidR="00C818F2" w:rsidRPr="00B4497E" w:rsidRDefault="00C818F2" w:rsidP="00C818F2">
            <w:pPr>
              <w:spacing w:after="0" w:line="240" w:lineRule="auto"/>
              <w:jc w:val="both"/>
              <w:rPr>
                <w:rFonts w:cs="Calibri"/>
                <w:b/>
                <w:color w:val="000000"/>
                <w:szCs w:val="20"/>
                <w:lang w:val="en-GB" w:eastAsia="en-ZA"/>
              </w:rPr>
            </w:pPr>
            <w:r>
              <w:rPr>
                <w:rFonts w:cs="Calibri"/>
                <w:b/>
                <w:color w:val="000000"/>
                <w:szCs w:val="20"/>
                <w:lang w:val="en-GB" w:eastAsia="en-ZA"/>
              </w:rPr>
              <w:t>Feb 2016/17</w:t>
            </w:r>
          </w:p>
        </w:tc>
        <w:tc>
          <w:tcPr>
            <w:tcW w:w="2263"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5AB1BBB3" w14:textId="790491E8" w:rsidR="00C818F2" w:rsidRPr="00B4497E" w:rsidRDefault="00C818F2" w:rsidP="00C818F2">
            <w:pPr>
              <w:spacing w:after="0" w:line="240" w:lineRule="auto"/>
              <w:jc w:val="both"/>
              <w:rPr>
                <w:rFonts w:cs="Calibri"/>
                <w:b/>
                <w:color w:val="000000"/>
                <w:szCs w:val="20"/>
                <w:lang w:val="en-GB" w:eastAsia="en-ZA"/>
              </w:rPr>
            </w:pPr>
            <w:r w:rsidRPr="00D54AD8">
              <w:rPr>
                <w:rFonts w:cs="Calibri"/>
                <w:b/>
                <w:color w:val="000000"/>
                <w:szCs w:val="20"/>
                <w:lang w:val="en-GB" w:eastAsia="en-ZA"/>
              </w:rPr>
              <w:t>Feb 2017/18</w:t>
            </w:r>
          </w:p>
        </w:tc>
      </w:tr>
      <w:tr w:rsidR="00C818F2" w:rsidRPr="00B4497E" w14:paraId="6E8F6374" w14:textId="77777777" w:rsidTr="00C818F2">
        <w:trPr>
          <w:trHeight w:val="263"/>
        </w:trPr>
        <w:tc>
          <w:tcPr>
            <w:tcW w:w="3161" w:type="dxa"/>
            <w:tcBorders>
              <w:top w:val="single" w:sz="4" w:space="0" w:color="auto"/>
              <w:left w:val="single" w:sz="4" w:space="0" w:color="auto"/>
              <w:bottom w:val="single" w:sz="4" w:space="0" w:color="auto"/>
              <w:right w:val="nil"/>
            </w:tcBorders>
            <w:shd w:val="clear" w:color="auto" w:fill="auto"/>
            <w:noWrap/>
            <w:vAlign w:val="bottom"/>
            <w:hideMark/>
          </w:tcPr>
          <w:p w14:paraId="4F6F51AA" w14:textId="77777777" w:rsidR="00C818F2" w:rsidRPr="00B4497E" w:rsidRDefault="00C818F2" w:rsidP="00C818F2">
            <w:pPr>
              <w:spacing w:after="0" w:line="240" w:lineRule="auto"/>
              <w:jc w:val="both"/>
              <w:rPr>
                <w:rFonts w:cs="Calibri"/>
                <w:b/>
                <w:color w:val="000000"/>
                <w:szCs w:val="20"/>
                <w:lang w:val="en-GB" w:eastAsia="en-ZA"/>
              </w:rPr>
            </w:pPr>
            <w:r w:rsidRPr="00B4497E">
              <w:rPr>
                <w:rFonts w:cs="Calibri"/>
                <w:b/>
                <w:color w:val="000000"/>
                <w:szCs w:val="20"/>
                <w:lang w:val="en-GB" w:eastAsia="en-ZA"/>
              </w:rPr>
              <w:t>TOTAL</w:t>
            </w:r>
          </w:p>
        </w:tc>
        <w:tc>
          <w:tcPr>
            <w:tcW w:w="2409" w:type="dxa"/>
            <w:tcBorders>
              <w:top w:val="single" w:sz="4" w:space="0" w:color="auto"/>
              <w:left w:val="single" w:sz="4" w:space="0" w:color="auto"/>
              <w:bottom w:val="single" w:sz="4" w:space="0" w:color="auto"/>
              <w:right w:val="single" w:sz="4" w:space="0" w:color="auto"/>
            </w:tcBorders>
            <w:shd w:val="clear" w:color="auto" w:fill="auto"/>
            <w:noWrap/>
          </w:tcPr>
          <w:p w14:paraId="7C9CB3B5" w14:textId="174D51BF" w:rsidR="00C818F2" w:rsidRPr="00B4497E" w:rsidRDefault="00C818F2" w:rsidP="00C818F2">
            <w:pPr>
              <w:spacing w:after="0" w:line="240" w:lineRule="auto"/>
              <w:jc w:val="both"/>
              <w:rPr>
                <w:rFonts w:cs="Calibri"/>
                <w:b/>
                <w:color w:val="000000"/>
                <w:szCs w:val="20"/>
                <w:lang w:val="en-GB" w:eastAsia="en-ZA"/>
              </w:rPr>
            </w:pPr>
            <w:r w:rsidRPr="00B4497E">
              <w:rPr>
                <w:rFonts w:cs="Calibri"/>
                <w:b/>
                <w:color w:val="000000"/>
                <w:szCs w:val="20"/>
                <w:lang w:val="en-GB" w:eastAsia="en-ZA"/>
              </w:rPr>
              <w:t>2384</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2A71580" w14:textId="5DEE60CA" w:rsidR="00C818F2" w:rsidRPr="00B4497E" w:rsidRDefault="00D54AD8" w:rsidP="00C818F2">
            <w:pPr>
              <w:spacing w:after="0" w:line="240" w:lineRule="auto"/>
              <w:jc w:val="both"/>
              <w:rPr>
                <w:rFonts w:cs="Calibri"/>
                <w:b/>
                <w:color w:val="000000"/>
                <w:szCs w:val="20"/>
                <w:lang w:val="en-GB" w:eastAsia="en-ZA"/>
              </w:rPr>
            </w:pPr>
            <w:r>
              <w:rPr>
                <w:rFonts w:cs="Calibri"/>
                <w:b/>
                <w:color w:val="000000"/>
                <w:szCs w:val="20"/>
                <w:lang w:val="en-GB" w:eastAsia="en-ZA"/>
              </w:rPr>
              <w:t>4344</w:t>
            </w:r>
          </w:p>
        </w:tc>
        <w:tc>
          <w:tcPr>
            <w:tcW w:w="2263" w:type="dxa"/>
            <w:tcBorders>
              <w:top w:val="single" w:sz="4" w:space="0" w:color="auto"/>
              <w:left w:val="single" w:sz="4" w:space="0" w:color="auto"/>
              <w:bottom w:val="single" w:sz="4" w:space="0" w:color="auto"/>
              <w:right w:val="single" w:sz="4" w:space="0" w:color="auto"/>
            </w:tcBorders>
          </w:tcPr>
          <w:p w14:paraId="7EF094F4" w14:textId="0FDCDD1F" w:rsidR="00C818F2" w:rsidRPr="00B4497E" w:rsidRDefault="00D54AD8" w:rsidP="00C818F2">
            <w:pPr>
              <w:spacing w:after="0" w:line="240" w:lineRule="auto"/>
              <w:jc w:val="both"/>
              <w:rPr>
                <w:rFonts w:cs="Calibri"/>
                <w:b/>
                <w:color w:val="000000"/>
                <w:szCs w:val="20"/>
                <w:lang w:val="en-GB" w:eastAsia="en-ZA"/>
              </w:rPr>
            </w:pPr>
            <w:r>
              <w:rPr>
                <w:rFonts w:cs="Calibri"/>
                <w:b/>
                <w:color w:val="000000"/>
                <w:szCs w:val="20"/>
                <w:lang w:val="en-GB" w:eastAsia="en-ZA"/>
              </w:rPr>
              <w:t>4469</w:t>
            </w:r>
          </w:p>
        </w:tc>
      </w:tr>
    </w:tbl>
    <w:p w14:paraId="0DE73B13" w14:textId="77777777" w:rsidR="009110BA" w:rsidRDefault="009110BA" w:rsidP="002F62F0">
      <w:pPr>
        <w:pStyle w:val="Caption"/>
      </w:pPr>
      <w:bookmarkStart w:id="490" w:name="_Toc389740021"/>
    </w:p>
    <w:p w14:paraId="7AD20AF6" w14:textId="286CEA3C" w:rsidR="0081691A" w:rsidRPr="00B4497E" w:rsidRDefault="0081691A" w:rsidP="00297498">
      <w:pPr>
        <w:pStyle w:val="Caption"/>
        <w:spacing w:after="0"/>
      </w:pPr>
      <w:bookmarkStart w:id="491" w:name="_Toc510622328"/>
      <w:r w:rsidRPr="00B4497E">
        <w:t xml:space="preserve">Table </w:t>
      </w:r>
      <w:r w:rsidR="00D55BDA" w:rsidRPr="00B4497E">
        <w:fldChar w:fldCharType="begin"/>
      </w:r>
      <w:r w:rsidRPr="00B4497E">
        <w:instrText xml:space="preserve"> SEQ Table \* ARABIC </w:instrText>
      </w:r>
      <w:r w:rsidR="00D55BDA" w:rsidRPr="00B4497E">
        <w:fldChar w:fldCharType="separate"/>
      </w:r>
      <w:r w:rsidR="0067023A">
        <w:rPr>
          <w:noProof/>
        </w:rPr>
        <w:t>77</w:t>
      </w:r>
      <w:r w:rsidR="00D55BDA" w:rsidRPr="00B4497E">
        <w:fldChar w:fldCharType="end"/>
      </w:r>
      <w:r w:rsidRPr="00B4497E">
        <w:t>: Free Basic Refuse (Municipality)</w:t>
      </w:r>
      <w:bookmarkEnd w:id="488"/>
      <w:bookmarkEnd w:id="489"/>
      <w:bookmarkEnd w:id="490"/>
      <w:bookmarkEnd w:id="491"/>
    </w:p>
    <w:tbl>
      <w:tblPr>
        <w:tblW w:w="9534"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5"/>
        <w:gridCol w:w="2552"/>
        <w:gridCol w:w="1984"/>
        <w:gridCol w:w="2263"/>
      </w:tblGrid>
      <w:tr w:rsidR="00E63535" w:rsidRPr="00B4497E" w14:paraId="55C2606C" w14:textId="77777777" w:rsidTr="00E63535">
        <w:trPr>
          <w:trHeight w:val="263"/>
        </w:trPr>
        <w:tc>
          <w:tcPr>
            <w:tcW w:w="2735" w:type="dxa"/>
            <w:vMerge w:val="restart"/>
            <w:shd w:val="clear" w:color="auto" w:fill="DAEEF3" w:themeFill="accent5" w:themeFillTint="33"/>
            <w:noWrap/>
            <w:vAlign w:val="bottom"/>
            <w:hideMark/>
          </w:tcPr>
          <w:p w14:paraId="66FB6F02" w14:textId="77777777" w:rsidR="00E63535" w:rsidRPr="00B4497E" w:rsidRDefault="00E63535" w:rsidP="00297498">
            <w:pPr>
              <w:spacing w:after="0" w:line="240" w:lineRule="auto"/>
              <w:jc w:val="both"/>
              <w:rPr>
                <w:rFonts w:cs="Calibri"/>
                <w:b/>
                <w:color w:val="000000"/>
                <w:szCs w:val="20"/>
                <w:lang w:val="en-GB" w:eastAsia="en-ZA"/>
              </w:rPr>
            </w:pPr>
            <w:r w:rsidRPr="00B4497E">
              <w:rPr>
                <w:rFonts w:cs="Calibri"/>
                <w:b/>
                <w:color w:val="000000"/>
                <w:szCs w:val="20"/>
                <w:lang w:val="en-GB" w:eastAsia="en-ZA"/>
              </w:rPr>
              <w:t> FREE BASIC REFUSE</w:t>
            </w:r>
          </w:p>
          <w:p w14:paraId="56DE9271" w14:textId="77777777" w:rsidR="00E63535" w:rsidRPr="00B4497E" w:rsidRDefault="00E63535" w:rsidP="00297498">
            <w:pPr>
              <w:spacing w:after="0" w:line="240" w:lineRule="auto"/>
              <w:jc w:val="both"/>
              <w:rPr>
                <w:rFonts w:cs="Calibri"/>
                <w:b/>
                <w:color w:val="000000"/>
                <w:szCs w:val="20"/>
                <w:lang w:val="en-GB" w:eastAsia="en-ZA"/>
              </w:rPr>
            </w:pPr>
            <w:r w:rsidRPr="00B4497E">
              <w:rPr>
                <w:rFonts w:cs="Calibri"/>
                <w:b/>
                <w:color w:val="000000"/>
                <w:szCs w:val="20"/>
                <w:lang w:val="en-GB" w:eastAsia="en-ZA"/>
              </w:rPr>
              <w:t>Supplied by the Municipality</w:t>
            </w:r>
          </w:p>
        </w:tc>
        <w:tc>
          <w:tcPr>
            <w:tcW w:w="6799" w:type="dxa"/>
            <w:gridSpan w:val="3"/>
            <w:shd w:val="clear" w:color="auto" w:fill="DAEEF3" w:themeFill="accent5" w:themeFillTint="33"/>
            <w:noWrap/>
            <w:vAlign w:val="bottom"/>
            <w:hideMark/>
          </w:tcPr>
          <w:p w14:paraId="33A4D66A" w14:textId="77777777" w:rsidR="00E63535" w:rsidRPr="00B4497E" w:rsidRDefault="00E63535" w:rsidP="00297498">
            <w:pPr>
              <w:spacing w:after="0" w:line="240" w:lineRule="auto"/>
              <w:jc w:val="center"/>
              <w:rPr>
                <w:rFonts w:cs="Calibri"/>
                <w:b/>
                <w:color w:val="000000"/>
                <w:szCs w:val="20"/>
                <w:lang w:val="en-GB" w:eastAsia="en-ZA"/>
              </w:rPr>
            </w:pPr>
            <w:r w:rsidRPr="00B4497E">
              <w:rPr>
                <w:rFonts w:cs="Calibri"/>
                <w:b/>
                <w:color w:val="000000"/>
                <w:szCs w:val="20"/>
                <w:lang w:val="en-GB" w:eastAsia="en-ZA"/>
              </w:rPr>
              <w:t>NUMBER OF HOUSEHOLDS</w:t>
            </w:r>
          </w:p>
        </w:tc>
      </w:tr>
      <w:tr w:rsidR="00C818F2" w:rsidRPr="00B4497E" w14:paraId="7B8827C5" w14:textId="77777777" w:rsidTr="00264FBE">
        <w:trPr>
          <w:trHeight w:val="263"/>
        </w:trPr>
        <w:tc>
          <w:tcPr>
            <w:tcW w:w="2735" w:type="dxa"/>
            <w:vMerge/>
            <w:shd w:val="clear" w:color="auto" w:fill="DAEEF3" w:themeFill="accent5" w:themeFillTint="33"/>
            <w:noWrap/>
            <w:vAlign w:val="bottom"/>
            <w:hideMark/>
          </w:tcPr>
          <w:p w14:paraId="1CF9E6C1" w14:textId="77777777" w:rsidR="00C818F2" w:rsidRPr="00B4497E" w:rsidRDefault="00C818F2" w:rsidP="00C818F2">
            <w:pPr>
              <w:spacing w:after="0" w:line="240" w:lineRule="auto"/>
              <w:jc w:val="both"/>
              <w:rPr>
                <w:rFonts w:cs="Calibri"/>
                <w:b/>
                <w:color w:val="000000"/>
                <w:szCs w:val="20"/>
                <w:lang w:val="en-GB" w:eastAsia="en-ZA"/>
              </w:rPr>
            </w:pPr>
          </w:p>
        </w:tc>
        <w:tc>
          <w:tcPr>
            <w:tcW w:w="2552" w:type="dxa"/>
            <w:shd w:val="clear" w:color="auto" w:fill="DAEEF3" w:themeFill="accent5" w:themeFillTint="33"/>
            <w:noWrap/>
          </w:tcPr>
          <w:p w14:paraId="3A163395" w14:textId="2B208FAC" w:rsidR="00C818F2" w:rsidRPr="00B4497E" w:rsidRDefault="00C818F2" w:rsidP="00C818F2">
            <w:pPr>
              <w:spacing w:after="0" w:line="240" w:lineRule="auto"/>
              <w:jc w:val="both"/>
              <w:rPr>
                <w:rFonts w:cs="Calibri"/>
                <w:b/>
                <w:color w:val="000000"/>
                <w:szCs w:val="20"/>
                <w:lang w:val="en-GB" w:eastAsia="en-ZA"/>
              </w:rPr>
            </w:pPr>
            <w:r w:rsidRPr="00B4497E">
              <w:rPr>
                <w:rFonts w:cs="Calibri"/>
                <w:b/>
                <w:color w:val="000000"/>
                <w:szCs w:val="20"/>
                <w:lang w:val="en-GB" w:eastAsia="en-ZA"/>
              </w:rPr>
              <w:t>2015/16</w:t>
            </w:r>
          </w:p>
        </w:tc>
        <w:tc>
          <w:tcPr>
            <w:tcW w:w="1984" w:type="dxa"/>
            <w:shd w:val="clear" w:color="auto" w:fill="DAEEF3" w:themeFill="accent5" w:themeFillTint="33"/>
          </w:tcPr>
          <w:p w14:paraId="00C5C12F" w14:textId="3216A5D2" w:rsidR="00C818F2" w:rsidRPr="00B4497E" w:rsidRDefault="00C818F2" w:rsidP="00C818F2">
            <w:pPr>
              <w:spacing w:after="0" w:line="240" w:lineRule="auto"/>
              <w:jc w:val="both"/>
              <w:rPr>
                <w:rFonts w:cs="Calibri"/>
                <w:b/>
                <w:color w:val="000000"/>
                <w:szCs w:val="20"/>
                <w:lang w:val="en-GB" w:eastAsia="en-ZA"/>
              </w:rPr>
            </w:pPr>
            <w:r>
              <w:rPr>
                <w:rFonts w:cs="Calibri"/>
                <w:b/>
                <w:color w:val="000000"/>
                <w:szCs w:val="20"/>
                <w:lang w:val="en-GB" w:eastAsia="en-ZA"/>
              </w:rPr>
              <w:t>2016/17</w:t>
            </w:r>
          </w:p>
        </w:tc>
        <w:tc>
          <w:tcPr>
            <w:tcW w:w="2263" w:type="dxa"/>
            <w:shd w:val="clear" w:color="auto" w:fill="DAEEF3" w:themeFill="accent5" w:themeFillTint="33"/>
          </w:tcPr>
          <w:p w14:paraId="3D90EAB0" w14:textId="30BA2B29" w:rsidR="00C818F2" w:rsidRPr="00B4497E" w:rsidRDefault="00C818F2" w:rsidP="00C818F2">
            <w:pPr>
              <w:spacing w:after="0" w:line="240" w:lineRule="auto"/>
              <w:jc w:val="both"/>
              <w:rPr>
                <w:rFonts w:cs="Calibri"/>
                <w:b/>
                <w:color w:val="000000"/>
                <w:szCs w:val="20"/>
                <w:lang w:val="en-GB" w:eastAsia="en-ZA"/>
              </w:rPr>
            </w:pPr>
            <w:r w:rsidRPr="00D54AD8">
              <w:rPr>
                <w:rFonts w:cs="Calibri"/>
                <w:b/>
                <w:color w:val="000000"/>
                <w:szCs w:val="20"/>
                <w:lang w:val="en-GB" w:eastAsia="en-ZA"/>
              </w:rPr>
              <w:t>2017/18</w:t>
            </w:r>
          </w:p>
        </w:tc>
      </w:tr>
      <w:tr w:rsidR="00C818F2" w:rsidRPr="00881795" w14:paraId="621C5FAC" w14:textId="77777777" w:rsidTr="00C818F2">
        <w:trPr>
          <w:trHeight w:val="263"/>
        </w:trPr>
        <w:tc>
          <w:tcPr>
            <w:tcW w:w="2735" w:type="dxa"/>
            <w:shd w:val="clear" w:color="auto" w:fill="auto"/>
            <w:noWrap/>
            <w:vAlign w:val="bottom"/>
            <w:hideMark/>
          </w:tcPr>
          <w:p w14:paraId="316AA0F6" w14:textId="77777777" w:rsidR="00C818F2" w:rsidRPr="00B4497E" w:rsidRDefault="00C818F2" w:rsidP="00C818F2">
            <w:pPr>
              <w:spacing w:after="0" w:line="240" w:lineRule="auto"/>
              <w:jc w:val="both"/>
              <w:rPr>
                <w:rFonts w:cs="Calibri"/>
                <w:b/>
                <w:color w:val="000000"/>
                <w:szCs w:val="20"/>
                <w:lang w:val="en-GB" w:eastAsia="en-ZA"/>
              </w:rPr>
            </w:pPr>
            <w:r w:rsidRPr="00B4497E">
              <w:rPr>
                <w:rFonts w:cs="Calibri"/>
                <w:b/>
                <w:color w:val="000000"/>
                <w:szCs w:val="20"/>
                <w:lang w:val="en-GB" w:eastAsia="en-ZA"/>
              </w:rPr>
              <w:t>TOTAL</w:t>
            </w:r>
          </w:p>
        </w:tc>
        <w:tc>
          <w:tcPr>
            <w:tcW w:w="2552" w:type="dxa"/>
            <w:shd w:val="clear" w:color="auto" w:fill="auto"/>
            <w:noWrap/>
          </w:tcPr>
          <w:p w14:paraId="62ADC286" w14:textId="1B348756" w:rsidR="00C818F2" w:rsidRPr="00B4497E" w:rsidRDefault="00C818F2" w:rsidP="00C818F2">
            <w:pPr>
              <w:spacing w:after="0" w:line="240" w:lineRule="auto"/>
              <w:jc w:val="both"/>
              <w:rPr>
                <w:rFonts w:cs="Calibri"/>
                <w:b/>
                <w:color w:val="000000"/>
                <w:szCs w:val="20"/>
                <w:lang w:val="en-GB" w:eastAsia="en-ZA"/>
              </w:rPr>
            </w:pPr>
            <w:r w:rsidRPr="00B4497E">
              <w:rPr>
                <w:rFonts w:cs="Calibri"/>
                <w:b/>
                <w:color w:val="000000"/>
                <w:szCs w:val="20"/>
                <w:lang w:val="en-GB" w:eastAsia="en-ZA"/>
              </w:rPr>
              <w:t>12 205</w:t>
            </w:r>
            <w:r>
              <w:rPr>
                <w:rFonts w:cs="Calibri"/>
                <w:b/>
                <w:color w:val="000000"/>
                <w:szCs w:val="20"/>
                <w:lang w:val="en-GB" w:eastAsia="en-ZA"/>
              </w:rPr>
              <w:t xml:space="preserve"> </w:t>
            </w:r>
          </w:p>
        </w:tc>
        <w:tc>
          <w:tcPr>
            <w:tcW w:w="1984" w:type="dxa"/>
            <w:shd w:val="clear" w:color="auto" w:fill="auto"/>
          </w:tcPr>
          <w:p w14:paraId="3F0C819F" w14:textId="29E42708" w:rsidR="00C818F2" w:rsidRPr="00881795" w:rsidRDefault="00C818F2" w:rsidP="00C818F2">
            <w:pPr>
              <w:spacing w:after="0" w:line="240" w:lineRule="auto"/>
              <w:jc w:val="both"/>
              <w:rPr>
                <w:rFonts w:cs="Calibri"/>
                <w:b/>
                <w:color w:val="000000"/>
                <w:szCs w:val="20"/>
                <w:lang w:val="en-GB" w:eastAsia="en-ZA"/>
              </w:rPr>
            </w:pPr>
            <w:r>
              <w:rPr>
                <w:rFonts w:cs="Calibri"/>
                <w:b/>
                <w:color w:val="000000"/>
                <w:szCs w:val="20"/>
                <w:lang w:val="en-GB" w:eastAsia="en-ZA"/>
              </w:rPr>
              <w:t xml:space="preserve">14 388 </w:t>
            </w:r>
          </w:p>
        </w:tc>
        <w:tc>
          <w:tcPr>
            <w:tcW w:w="2263" w:type="dxa"/>
          </w:tcPr>
          <w:p w14:paraId="5DD57CAA" w14:textId="64B456D8" w:rsidR="00C818F2" w:rsidRPr="00B4497E" w:rsidRDefault="00D54AD8" w:rsidP="00C818F2">
            <w:pPr>
              <w:spacing w:after="0" w:line="240" w:lineRule="auto"/>
              <w:jc w:val="both"/>
              <w:rPr>
                <w:rFonts w:cs="Calibri"/>
                <w:b/>
                <w:color w:val="000000"/>
                <w:szCs w:val="20"/>
                <w:lang w:val="en-GB" w:eastAsia="en-ZA"/>
              </w:rPr>
            </w:pPr>
            <w:r>
              <w:rPr>
                <w:rFonts w:cs="Calibri"/>
                <w:b/>
                <w:color w:val="000000"/>
                <w:szCs w:val="20"/>
                <w:lang w:val="en-GB" w:eastAsia="en-ZA"/>
              </w:rPr>
              <w:t>13 738</w:t>
            </w:r>
          </w:p>
        </w:tc>
      </w:tr>
    </w:tbl>
    <w:p w14:paraId="758F221F" w14:textId="77777777" w:rsidR="00992B24" w:rsidRPr="00297498" w:rsidRDefault="00992B24" w:rsidP="00750180">
      <w:pPr>
        <w:pStyle w:val="Heading3"/>
        <w:numPr>
          <w:ilvl w:val="2"/>
          <w:numId w:val="127"/>
        </w:numPr>
        <w:spacing w:after="240"/>
        <w:rPr>
          <w:rStyle w:val="Heading3Char"/>
          <w:b/>
          <w:bCs/>
        </w:rPr>
      </w:pPr>
      <w:bookmarkStart w:id="492" w:name="_Toc389740022"/>
      <w:bookmarkStart w:id="493" w:name="_Toc510706649"/>
      <w:r w:rsidRPr="00297498">
        <w:rPr>
          <w:rStyle w:val="Heading3Char"/>
          <w:b/>
          <w:bCs/>
        </w:rPr>
        <w:t>Revenue Enhancement and Protection Strategies</w:t>
      </w:r>
      <w:bookmarkEnd w:id="492"/>
      <w:bookmarkEnd w:id="493"/>
    </w:p>
    <w:p w14:paraId="0F1CFAE6" w14:textId="77777777" w:rsidR="00792032" w:rsidRPr="00881795" w:rsidRDefault="00792032" w:rsidP="00E31338">
      <w:pPr>
        <w:pStyle w:val="ListParagraph"/>
        <w:numPr>
          <w:ilvl w:val="0"/>
          <w:numId w:val="1"/>
        </w:numPr>
        <w:spacing w:line="288" w:lineRule="auto"/>
        <w:jc w:val="both"/>
        <w:rPr>
          <w:szCs w:val="20"/>
        </w:rPr>
      </w:pPr>
      <w:r w:rsidRPr="00881795">
        <w:rPr>
          <w:szCs w:val="20"/>
        </w:rPr>
        <w:t>The municipality approves once per annum at the annual budget meeting the rates tariff for the ensuing financial year in terms of the provisions of Section 105 of the Local Authorities Ordinance, 1974 (Ordinance 25 of 1974).</w:t>
      </w:r>
    </w:p>
    <w:p w14:paraId="65D1F1F0" w14:textId="77777777" w:rsidR="00792032" w:rsidRPr="00881795" w:rsidRDefault="00792032" w:rsidP="00E31338">
      <w:pPr>
        <w:pStyle w:val="ListParagraph"/>
        <w:numPr>
          <w:ilvl w:val="0"/>
          <w:numId w:val="1"/>
        </w:numPr>
        <w:spacing w:line="288" w:lineRule="auto"/>
        <w:jc w:val="both"/>
        <w:rPr>
          <w:szCs w:val="20"/>
        </w:rPr>
      </w:pPr>
      <w:r w:rsidRPr="00881795">
        <w:rPr>
          <w:szCs w:val="20"/>
        </w:rPr>
        <w:t>The municipality approves once per annum at the annual budget meeting the increases in the service tariffs for the ensuing financial year.</w:t>
      </w:r>
    </w:p>
    <w:p w14:paraId="423B80B8" w14:textId="77777777" w:rsidR="00792032" w:rsidRPr="00881795" w:rsidRDefault="00792032" w:rsidP="00E31338">
      <w:pPr>
        <w:pStyle w:val="ListParagraph"/>
        <w:numPr>
          <w:ilvl w:val="0"/>
          <w:numId w:val="1"/>
        </w:numPr>
        <w:spacing w:line="288" w:lineRule="auto"/>
        <w:jc w:val="both"/>
        <w:rPr>
          <w:szCs w:val="20"/>
        </w:rPr>
      </w:pPr>
      <w:r w:rsidRPr="00881795">
        <w:rPr>
          <w:szCs w:val="20"/>
        </w:rPr>
        <w:t>Electricity tariffs are submitted to the National Electricity Regulator (NER) for approval prior to implementation.</w:t>
      </w:r>
    </w:p>
    <w:p w14:paraId="7FC5E855" w14:textId="77777777" w:rsidR="00792032" w:rsidRPr="00881795" w:rsidRDefault="00792032" w:rsidP="00E31338">
      <w:pPr>
        <w:pStyle w:val="ListParagraph"/>
        <w:numPr>
          <w:ilvl w:val="0"/>
          <w:numId w:val="1"/>
        </w:numPr>
        <w:spacing w:line="288" w:lineRule="auto"/>
        <w:jc w:val="both"/>
        <w:rPr>
          <w:szCs w:val="20"/>
        </w:rPr>
      </w:pPr>
      <w:r w:rsidRPr="00881795">
        <w:rPr>
          <w:szCs w:val="20"/>
        </w:rPr>
        <w:t>Consumer meters are read on a monthly basis, accounts are sent out monthly, with payment dates clearly reflected thereon.</w:t>
      </w:r>
    </w:p>
    <w:p w14:paraId="666F0EBF" w14:textId="77777777" w:rsidR="00792032" w:rsidRPr="00881795" w:rsidRDefault="00792032" w:rsidP="00E31338">
      <w:pPr>
        <w:pStyle w:val="ListParagraph"/>
        <w:numPr>
          <w:ilvl w:val="0"/>
          <w:numId w:val="1"/>
        </w:numPr>
        <w:spacing w:line="288" w:lineRule="auto"/>
        <w:jc w:val="both"/>
        <w:rPr>
          <w:szCs w:val="20"/>
        </w:rPr>
      </w:pPr>
      <w:r w:rsidRPr="00881795">
        <w:rPr>
          <w:szCs w:val="20"/>
        </w:rPr>
        <w:t>Where payment is not secured by the due date, a termination report is prepared and disconnection is effected if non-payment prevails. If payment is not secured within one month of the specified date, the consumer deposit is used to for payment and he account is handed over to the legal advisors of the municipality for collection. In some instances a tracing agent is employed on the basis of “no trace no pay”.</w:t>
      </w:r>
    </w:p>
    <w:p w14:paraId="4D95979E" w14:textId="77777777" w:rsidR="00792032" w:rsidRPr="00881795" w:rsidRDefault="00792032" w:rsidP="00E31338">
      <w:pPr>
        <w:pStyle w:val="ListParagraph"/>
        <w:numPr>
          <w:ilvl w:val="0"/>
          <w:numId w:val="1"/>
        </w:numPr>
        <w:spacing w:line="288" w:lineRule="auto"/>
        <w:jc w:val="both"/>
        <w:rPr>
          <w:szCs w:val="20"/>
        </w:rPr>
      </w:pPr>
      <w:r w:rsidRPr="00881795">
        <w:rPr>
          <w:szCs w:val="20"/>
        </w:rPr>
        <w:t>Rates are payable by 30 November of the financial year and outstanding rates accounts are dealt with in terms of the provisions of Section 172 of the Local Authorities Ordinance, 1974 (Ordinance 25 of 1974).</w:t>
      </w:r>
    </w:p>
    <w:p w14:paraId="7EE66741" w14:textId="77777777" w:rsidR="00792032" w:rsidRPr="00881795" w:rsidRDefault="00792032" w:rsidP="00E31338">
      <w:pPr>
        <w:pStyle w:val="ListParagraph"/>
        <w:numPr>
          <w:ilvl w:val="0"/>
          <w:numId w:val="1"/>
        </w:numPr>
        <w:spacing w:line="288" w:lineRule="auto"/>
        <w:jc w:val="both"/>
        <w:rPr>
          <w:szCs w:val="20"/>
        </w:rPr>
      </w:pPr>
      <w:r w:rsidRPr="00881795">
        <w:rPr>
          <w:szCs w:val="20"/>
        </w:rPr>
        <w:t>Cashiers are available during normal business hours in each of the urban nodes of Eshowe, Mtunzini and Gingindlovu.</w:t>
      </w:r>
    </w:p>
    <w:p w14:paraId="6814272A" w14:textId="77777777" w:rsidR="00792032" w:rsidRPr="00881795" w:rsidRDefault="00792032" w:rsidP="00E31338">
      <w:pPr>
        <w:pStyle w:val="ListParagraph"/>
        <w:numPr>
          <w:ilvl w:val="0"/>
          <w:numId w:val="1"/>
        </w:numPr>
        <w:spacing w:line="288" w:lineRule="auto"/>
        <w:jc w:val="both"/>
        <w:rPr>
          <w:szCs w:val="20"/>
        </w:rPr>
      </w:pPr>
      <w:r w:rsidRPr="00881795">
        <w:rPr>
          <w:szCs w:val="20"/>
        </w:rPr>
        <w:t xml:space="preserve">All monies received are collected by a security company and deposited into the current account of the municipality. </w:t>
      </w:r>
      <w:r w:rsidR="003F34D3" w:rsidRPr="00881795">
        <w:rPr>
          <w:szCs w:val="20"/>
        </w:rPr>
        <w:t>Monthly</w:t>
      </w:r>
      <w:r w:rsidRPr="00881795">
        <w:rPr>
          <w:szCs w:val="20"/>
        </w:rPr>
        <w:t xml:space="preserve"> bank reconciliation is done to balance the cash books of the municipality. </w:t>
      </w:r>
    </w:p>
    <w:p w14:paraId="682F6E84" w14:textId="77777777" w:rsidR="00792032" w:rsidRPr="00881795" w:rsidRDefault="00792032" w:rsidP="00E31338">
      <w:pPr>
        <w:pStyle w:val="ListParagraph"/>
        <w:numPr>
          <w:ilvl w:val="0"/>
          <w:numId w:val="1"/>
        </w:numPr>
        <w:spacing w:line="288" w:lineRule="auto"/>
        <w:jc w:val="both"/>
        <w:rPr>
          <w:szCs w:val="20"/>
        </w:rPr>
      </w:pPr>
      <w:r w:rsidRPr="00881795">
        <w:rPr>
          <w:szCs w:val="20"/>
        </w:rPr>
        <w:t>The implementation of the Municipality’s Credit Control And Debt Collection Policy</w:t>
      </w:r>
    </w:p>
    <w:p w14:paraId="7EAFAC3E" w14:textId="77777777" w:rsidR="00792032" w:rsidRDefault="00792032" w:rsidP="00E31338">
      <w:pPr>
        <w:pStyle w:val="ListParagraph"/>
        <w:numPr>
          <w:ilvl w:val="0"/>
          <w:numId w:val="1"/>
        </w:numPr>
        <w:spacing w:line="288" w:lineRule="auto"/>
        <w:jc w:val="both"/>
        <w:rPr>
          <w:szCs w:val="20"/>
        </w:rPr>
      </w:pPr>
      <w:r w:rsidRPr="00881795">
        <w:rPr>
          <w:szCs w:val="20"/>
        </w:rPr>
        <w:t>The implementation of the Municipality’s Indigent Policy</w:t>
      </w:r>
    </w:p>
    <w:p w14:paraId="738A8E9D" w14:textId="77777777" w:rsidR="00513ECC" w:rsidRDefault="00513ECC" w:rsidP="00513ECC">
      <w:pPr>
        <w:spacing w:line="288" w:lineRule="auto"/>
        <w:jc w:val="both"/>
        <w:rPr>
          <w:szCs w:val="20"/>
        </w:rPr>
      </w:pPr>
    </w:p>
    <w:p w14:paraId="5EDFCBF3" w14:textId="77777777" w:rsidR="00513ECC" w:rsidRDefault="00513ECC" w:rsidP="00513ECC">
      <w:pPr>
        <w:spacing w:line="288" w:lineRule="auto"/>
        <w:jc w:val="both"/>
        <w:rPr>
          <w:szCs w:val="20"/>
        </w:rPr>
      </w:pPr>
    </w:p>
    <w:p w14:paraId="04ECD523" w14:textId="77777777" w:rsidR="00513ECC" w:rsidRDefault="00513ECC" w:rsidP="00513ECC">
      <w:pPr>
        <w:spacing w:line="288" w:lineRule="auto"/>
        <w:jc w:val="both"/>
        <w:rPr>
          <w:szCs w:val="20"/>
        </w:rPr>
      </w:pPr>
    </w:p>
    <w:p w14:paraId="0CB94F99" w14:textId="77777777" w:rsidR="00513ECC" w:rsidRDefault="00513ECC" w:rsidP="00513ECC">
      <w:pPr>
        <w:spacing w:line="288" w:lineRule="auto"/>
        <w:jc w:val="both"/>
        <w:rPr>
          <w:szCs w:val="20"/>
        </w:rPr>
      </w:pPr>
    </w:p>
    <w:p w14:paraId="3C2F56AE" w14:textId="77777777" w:rsidR="00513ECC" w:rsidRDefault="00513ECC" w:rsidP="00513ECC">
      <w:pPr>
        <w:spacing w:line="288" w:lineRule="auto"/>
        <w:jc w:val="both"/>
        <w:rPr>
          <w:szCs w:val="20"/>
        </w:rPr>
      </w:pPr>
    </w:p>
    <w:p w14:paraId="7F1D3097" w14:textId="77777777" w:rsidR="00513ECC" w:rsidRDefault="00513ECC" w:rsidP="00513ECC">
      <w:pPr>
        <w:spacing w:line="288" w:lineRule="auto"/>
        <w:jc w:val="both"/>
        <w:rPr>
          <w:szCs w:val="20"/>
        </w:rPr>
      </w:pPr>
    </w:p>
    <w:p w14:paraId="1DDE19D4" w14:textId="77777777" w:rsidR="00513ECC" w:rsidRPr="00513ECC" w:rsidRDefault="00513ECC" w:rsidP="00513ECC">
      <w:pPr>
        <w:spacing w:line="288" w:lineRule="auto"/>
        <w:jc w:val="both"/>
        <w:rPr>
          <w:szCs w:val="20"/>
        </w:rPr>
      </w:pPr>
    </w:p>
    <w:p w14:paraId="346FD51D" w14:textId="77777777" w:rsidR="00992B24" w:rsidRDefault="00992B24" w:rsidP="00750180">
      <w:pPr>
        <w:pStyle w:val="Heading3"/>
        <w:numPr>
          <w:ilvl w:val="2"/>
          <w:numId w:val="127"/>
        </w:numPr>
        <w:spacing w:after="240"/>
        <w:rPr>
          <w:rStyle w:val="Heading3Char"/>
          <w:b/>
          <w:bCs/>
        </w:rPr>
      </w:pPr>
      <w:bookmarkStart w:id="494" w:name="_Toc389740023"/>
      <w:bookmarkStart w:id="495" w:name="_Toc510706650"/>
      <w:r w:rsidRPr="00297498">
        <w:rPr>
          <w:rStyle w:val="Heading3Char"/>
          <w:b/>
          <w:bCs/>
        </w:rPr>
        <w:t>Municipal Consumer Debt Position</w:t>
      </w:r>
      <w:bookmarkEnd w:id="494"/>
      <w:bookmarkEnd w:id="495"/>
    </w:p>
    <w:p w14:paraId="541CA134" w14:textId="0183D08D" w:rsidR="00513ECC" w:rsidRPr="00513ECC" w:rsidRDefault="00513ECC" w:rsidP="004B1C0C">
      <w:pPr>
        <w:spacing w:after="0"/>
        <w:jc w:val="both"/>
      </w:pPr>
      <w:r>
        <w:t>Management have considered the effects of any impairment in the values of outstanding and the value of the allowance for doubtful debts. The allowance is adequate to account for any material losses expected to arise from any adjustments that are required to be made to outstanding balances.</w:t>
      </w:r>
    </w:p>
    <w:p w14:paraId="656462BD" w14:textId="348FAECB" w:rsidR="00513ECC" w:rsidRPr="00513ECC" w:rsidRDefault="00513ECC" w:rsidP="00513ECC">
      <w:pPr>
        <w:ind w:left="7920"/>
      </w:pPr>
      <w:r w:rsidRPr="00513ECC">
        <w:rPr>
          <w:u w:val="single"/>
        </w:rPr>
        <w:t>2017</w:t>
      </w:r>
      <w:r>
        <w:tab/>
        <w:t xml:space="preserve">        </w:t>
      </w:r>
      <w:r w:rsidRPr="00513ECC">
        <w:rPr>
          <w:u w:val="single"/>
        </w:rPr>
        <w:t>2016</w:t>
      </w:r>
    </w:p>
    <w:p w14:paraId="05F66138" w14:textId="0F40503B" w:rsidR="00513ECC" w:rsidRDefault="00513ECC" w:rsidP="00513ECC">
      <w:pPr>
        <w:pStyle w:val="Caption"/>
        <w:pBdr>
          <w:bottom w:val="single" w:sz="4" w:space="1" w:color="auto"/>
        </w:pBdr>
        <w:spacing w:after="0"/>
      </w:pPr>
      <w:bookmarkStart w:id="496" w:name="_Toc389740024"/>
      <w:r>
        <w:rPr>
          <w:noProof/>
        </w:rPr>
        <w:drawing>
          <wp:inline distT="0" distB="0" distL="0" distR="0" wp14:anchorId="3152A7A6" wp14:editId="39972BEF">
            <wp:extent cx="6120765" cy="854015"/>
            <wp:effectExtent l="0" t="0" r="0" b="381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224348" cy="868468"/>
                    </a:xfrm>
                    <a:prstGeom prst="rect">
                      <a:avLst/>
                    </a:prstGeom>
                  </pic:spPr>
                </pic:pic>
              </a:graphicData>
            </a:graphic>
          </wp:inline>
        </w:drawing>
      </w:r>
    </w:p>
    <w:p w14:paraId="57FC4994" w14:textId="77777777" w:rsidR="00513ECC" w:rsidRDefault="00513ECC" w:rsidP="00513ECC">
      <w:pPr>
        <w:spacing w:after="0"/>
      </w:pPr>
    </w:p>
    <w:p w14:paraId="69AA67BC" w14:textId="77777777" w:rsidR="00513ECC" w:rsidRDefault="00513ECC" w:rsidP="00513ECC">
      <w:pPr>
        <w:spacing w:after="0"/>
      </w:pPr>
    </w:p>
    <w:p w14:paraId="52F0E8EC" w14:textId="404D1EFB" w:rsidR="00513ECC" w:rsidRPr="00513ECC" w:rsidRDefault="00513ECC" w:rsidP="00513ECC">
      <w:pPr>
        <w:spacing w:after="0"/>
      </w:pPr>
      <w:r>
        <w:tab/>
      </w:r>
      <w:r>
        <w:tab/>
      </w:r>
      <w:r>
        <w:tab/>
      </w:r>
      <w:r>
        <w:tab/>
      </w:r>
      <w:r>
        <w:tab/>
      </w:r>
      <w:r>
        <w:tab/>
      </w:r>
      <w:r>
        <w:tab/>
      </w:r>
      <w:r>
        <w:tab/>
      </w:r>
      <w:r>
        <w:tab/>
      </w:r>
      <w:r>
        <w:tab/>
      </w:r>
      <w:r>
        <w:tab/>
      </w:r>
      <w:r w:rsidRPr="00513ECC">
        <w:rPr>
          <w:u w:val="single"/>
        </w:rPr>
        <w:t>2017</w:t>
      </w:r>
      <w:r>
        <w:tab/>
        <w:t xml:space="preserve">       </w:t>
      </w:r>
      <w:r w:rsidRPr="00513ECC">
        <w:rPr>
          <w:u w:val="single"/>
        </w:rPr>
        <w:t>2016</w:t>
      </w:r>
    </w:p>
    <w:p w14:paraId="16CFA56C" w14:textId="0F1288BE" w:rsidR="000B1A75" w:rsidRDefault="00513ECC" w:rsidP="000B1A75">
      <w:pPr>
        <w:pStyle w:val="Heading3"/>
        <w:spacing w:after="240"/>
        <w:rPr>
          <w:rStyle w:val="Heading3Char"/>
          <w:b/>
          <w:bCs/>
        </w:rPr>
      </w:pPr>
      <w:bookmarkStart w:id="497" w:name="_Toc510706651"/>
      <w:bookmarkStart w:id="498" w:name="_Toc389740025"/>
      <w:bookmarkEnd w:id="496"/>
      <w:r>
        <w:rPr>
          <w:noProof/>
        </w:rPr>
        <w:drawing>
          <wp:inline distT="0" distB="0" distL="0" distR="0" wp14:anchorId="55149BEB" wp14:editId="3E1454BB">
            <wp:extent cx="6120765" cy="127825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120765" cy="1278255"/>
                    </a:xfrm>
                    <a:prstGeom prst="rect">
                      <a:avLst/>
                    </a:prstGeom>
                  </pic:spPr>
                </pic:pic>
              </a:graphicData>
            </a:graphic>
          </wp:inline>
        </w:drawing>
      </w:r>
      <w:bookmarkEnd w:id="497"/>
    </w:p>
    <w:p w14:paraId="3AB9AC0E" w14:textId="3D2E2B8A" w:rsidR="00203233" w:rsidRPr="00203233" w:rsidRDefault="00203233" w:rsidP="00203233">
      <w:r>
        <w:tab/>
      </w:r>
      <w:r>
        <w:tab/>
      </w:r>
      <w:r>
        <w:tab/>
      </w:r>
      <w:r>
        <w:tab/>
      </w:r>
      <w:r>
        <w:tab/>
      </w:r>
      <w:r>
        <w:tab/>
      </w:r>
      <w:r>
        <w:tab/>
      </w:r>
      <w:r>
        <w:tab/>
      </w:r>
      <w:r>
        <w:tab/>
      </w:r>
      <w:r>
        <w:tab/>
      </w:r>
      <w:r>
        <w:tab/>
      </w:r>
      <w:r w:rsidRPr="00203233">
        <w:rPr>
          <w:u w:val="single"/>
        </w:rPr>
        <w:t>2017</w:t>
      </w:r>
      <w:r>
        <w:tab/>
        <w:t xml:space="preserve">     </w:t>
      </w:r>
      <w:r w:rsidRPr="00203233">
        <w:rPr>
          <w:u w:val="single"/>
        </w:rPr>
        <w:t>2016</w:t>
      </w:r>
    </w:p>
    <w:p w14:paraId="3709E5B2" w14:textId="68BB5B75" w:rsidR="000B1A75" w:rsidRDefault="00203233" w:rsidP="000B1A75">
      <w:r>
        <w:rPr>
          <w:noProof/>
        </w:rPr>
        <w:drawing>
          <wp:inline distT="0" distB="0" distL="0" distR="0" wp14:anchorId="76B08A84" wp14:editId="2AA59F2E">
            <wp:extent cx="6120765" cy="133858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120765" cy="1338580"/>
                    </a:xfrm>
                    <a:prstGeom prst="rect">
                      <a:avLst/>
                    </a:prstGeom>
                  </pic:spPr>
                </pic:pic>
              </a:graphicData>
            </a:graphic>
          </wp:inline>
        </w:drawing>
      </w:r>
    </w:p>
    <w:p w14:paraId="121BAAB3" w14:textId="78D276D0" w:rsidR="00203233" w:rsidRDefault="00203233" w:rsidP="000B1A75">
      <w:r>
        <w:tab/>
      </w:r>
      <w:r>
        <w:tab/>
      </w:r>
      <w:r>
        <w:tab/>
      </w:r>
      <w:r>
        <w:tab/>
      </w:r>
      <w:r>
        <w:tab/>
      </w:r>
      <w:r>
        <w:tab/>
      </w:r>
      <w:r>
        <w:tab/>
      </w:r>
      <w:r>
        <w:tab/>
      </w:r>
      <w:r>
        <w:tab/>
      </w:r>
      <w:r>
        <w:tab/>
      </w:r>
      <w:r>
        <w:tab/>
      </w:r>
      <w:r w:rsidRPr="00203233">
        <w:rPr>
          <w:u w:val="single"/>
        </w:rPr>
        <w:t>2017</w:t>
      </w:r>
      <w:r>
        <w:tab/>
        <w:t xml:space="preserve">   </w:t>
      </w:r>
      <w:r w:rsidRPr="00203233">
        <w:rPr>
          <w:u w:val="single"/>
        </w:rPr>
        <w:t xml:space="preserve"> 2016</w:t>
      </w:r>
    </w:p>
    <w:p w14:paraId="11BD9FC1" w14:textId="5F729DAD" w:rsidR="000B1A75" w:rsidRDefault="00203233" w:rsidP="000B1A75">
      <w:r>
        <w:rPr>
          <w:noProof/>
        </w:rPr>
        <w:drawing>
          <wp:inline distT="0" distB="0" distL="0" distR="0" wp14:anchorId="4B17EBA2" wp14:editId="624DB10F">
            <wp:extent cx="6120765" cy="1121434"/>
            <wp:effectExtent l="0" t="0" r="0" b="254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129422" cy="1123020"/>
                    </a:xfrm>
                    <a:prstGeom prst="rect">
                      <a:avLst/>
                    </a:prstGeom>
                  </pic:spPr>
                </pic:pic>
              </a:graphicData>
            </a:graphic>
          </wp:inline>
        </w:drawing>
      </w:r>
    </w:p>
    <w:p w14:paraId="5552E4C2" w14:textId="559BE5BB" w:rsidR="00203233" w:rsidRDefault="00203233" w:rsidP="000B1A75">
      <w:r>
        <w:tab/>
      </w:r>
      <w:r>
        <w:tab/>
      </w:r>
      <w:r>
        <w:tab/>
      </w:r>
      <w:r>
        <w:tab/>
      </w:r>
      <w:r>
        <w:tab/>
      </w:r>
      <w:r>
        <w:tab/>
      </w:r>
      <w:r>
        <w:tab/>
      </w:r>
      <w:r>
        <w:tab/>
      </w:r>
      <w:r>
        <w:tab/>
      </w:r>
      <w:r>
        <w:tab/>
      </w:r>
      <w:r>
        <w:tab/>
      </w:r>
      <w:r w:rsidRPr="00203233">
        <w:rPr>
          <w:u w:val="single"/>
        </w:rPr>
        <w:t>2017</w:t>
      </w:r>
      <w:r>
        <w:tab/>
        <w:t xml:space="preserve">      </w:t>
      </w:r>
      <w:r w:rsidRPr="00203233">
        <w:rPr>
          <w:u w:val="single"/>
        </w:rPr>
        <w:t>2016</w:t>
      </w:r>
    </w:p>
    <w:p w14:paraId="056CDF00" w14:textId="5C2ADB00" w:rsidR="00203233" w:rsidRDefault="00203233" w:rsidP="000B1A75">
      <w:r>
        <w:rPr>
          <w:noProof/>
        </w:rPr>
        <w:drawing>
          <wp:inline distT="0" distB="0" distL="0" distR="0" wp14:anchorId="73207F04" wp14:editId="5CDE403A">
            <wp:extent cx="6120765" cy="128460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120765" cy="1284605"/>
                    </a:xfrm>
                    <a:prstGeom prst="rect">
                      <a:avLst/>
                    </a:prstGeom>
                  </pic:spPr>
                </pic:pic>
              </a:graphicData>
            </a:graphic>
          </wp:inline>
        </w:drawing>
      </w:r>
    </w:p>
    <w:p w14:paraId="1C5AD3B2" w14:textId="7BEBAE16" w:rsidR="00203233" w:rsidRDefault="00203233" w:rsidP="00750180">
      <w:pPr>
        <w:pStyle w:val="Heading4"/>
        <w:numPr>
          <w:ilvl w:val="3"/>
          <w:numId w:val="127"/>
        </w:numPr>
        <w:rPr>
          <w:rFonts w:eastAsiaTheme="minorHAnsi"/>
        </w:rPr>
      </w:pPr>
      <w:r>
        <w:rPr>
          <w:rFonts w:eastAsiaTheme="minorHAnsi"/>
        </w:rPr>
        <w:t xml:space="preserve">Debt Management </w:t>
      </w:r>
    </w:p>
    <w:p w14:paraId="38A8BEA8" w14:textId="608A91D6" w:rsidR="00203233" w:rsidRPr="00203233" w:rsidRDefault="00203233" w:rsidP="00203233">
      <w:pPr>
        <w:pStyle w:val="Heading3"/>
        <w:spacing w:after="240"/>
        <w:jc w:val="both"/>
        <w:rPr>
          <w:rFonts w:ascii="Calibri" w:eastAsiaTheme="minorHAnsi" w:hAnsi="Calibri" w:cstheme="minorBidi"/>
          <w:b w:val="0"/>
          <w:sz w:val="20"/>
        </w:rPr>
      </w:pPr>
      <w:bookmarkStart w:id="499" w:name="_Toc510622179"/>
      <w:bookmarkStart w:id="500" w:name="_Toc510706652"/>
      <w:r w:rsidRPr="00203233">
        <w:rPr>
          <w:rFonts w:ascii="Calibri" w:eastAsiaTheme="minorHAnsi" w:hAnsi="Calibri" w:cstheme="minorBidi"/>
          <w:b w:val="0"/>
          <w:sz w:val="20"/>
        </w:rPr>
        <w:t>Service charges relating to electricity are based on consumption. Meters are read on a monthly basis and are recognised as revenue when invoiced. Provisional estimates of consumption, based on the consumption history, are made monthly when meter readings have not been performed. The provisional estimates of consumption are recognised as revenue when invoiced, except at year-end when estimates of consumption up to year-end are recorded as revenue without being invoiced. Adjustments to provisional estimates of consumption are made in the invoicing period in which meters have been read. These adjustments are recognised as revenue in the invoicing period. In respect of estimates of consumption between the last reading date and the reporting date, an accrual is made based on the average monthly consumption of consumers. Service charges relating to refuse removal are recognised on a monthly basis in arrears by applying the approved tariff to each property that has improvements. Tariffs are determined per category of property usage, and are levied monthly based on the number of refuse containers on each property. In circumstances where services cannot readily be measured and quantified, a flat rate service charge is levied monthly on such properties.</w:t>
      </w:r>
      <w:bookmarkEnd w:id="499"/>
      <w:bookmarkEnd w:id="500"/>
    </w:p>
    <w:p w14:paraId="0D66C380" w14:textId="0D8F4E3D" w:rsidR="00203233" w:rsidRDefault="00203233" w:rsidP="00203233">
      <w:pPr>
        <w:jc w:val="both"/>
      </w:pPr>
      <w:r>
        <w:t>Revenue from property rates is recognised when the legal entitlement to this revenue arises. Collection charges are recognised when such amounts are legally enforceable. Penalty interest on unpaid rates is recognised on a time proportion basis with reference to the principal amount receivable and effective interest rate applicable. A composite rating system charging different rate tariffs is employed. Rebates are granted to certain categories of ratepayers and are deducted from revenue.</w:t>
      </w:r>
    </w:p>
    <w:p w14:paraId="13658E64" w14:textId="77777777" w:rsidR="00203233" w:rsidRPr="00203233" w:rsidRDefault="00203233" w:rsidP="00203233"/>
    <w:p w14:paraId="2E237F1B" w14:textId="77777777" w:rsidR="00992B24" w:rsidRPr="00297498" w:rsidRDefault="00992B24" w:rsidP="00750180">
      <w:pPr>
        <w:pStyle w:val="Heading3"/>
        <w:numPr>
          <w:ilvl w:val="2"/>
          <w:numId w:val="127"/>
        </w:numPr>
        <w:spacing w:after="240"/>
        <w:rPr>
          <w:rStyle w:val="Heading3Char"/>
          <w:b/>
          <w:bCs/>
        </w:rPr>
      </w:pPr>
      <w:bookmarkStart w:id="501" w:name="_Toc510706653"/>
      <w:r w:rsidRPr="00297498">
        <w:rPr>
          <w:rStyle w:val="Heading3Char"/>
          <w:b/>
          <w:bCs/>
        </w:rPr>
        <w:t>Grants &amp; Subsidies</w:t>
      </w:r>
      <w:bookmarkEnd w:id="498"/>
      <w:bookmarkEnd w:id="501"/>
    </w:p>
    <w:p w14:paraId="22CFF77E" w14:textId="77777777" w:rsidR="00FB3F8D" w:rsidRDefault="00667B96" w:rsidP="00297498">
      <w:pPr>
        <w:pStyle w:val="Caption"/>
        <w:spacing w:after="0"/>
      </w:pPr>
      <w:bookmarkStart w:id="502" w:name="_Toc389740026"/>
      <w:bookmarkStart w:id="503" w:name="_Toc510622329"/>
      <w:r w:rsidRPr="00881795">
        <w:t xml:space="preserve">Table </w:t>
      </w:r>
      <w:r w:rsidR="00B918A6">
        <w:fldChar w:fldCharType="begin"/>
      </w:r>
      <w:r w:rsidR="00B918A6">
        <w:instrText xml:space="preserve"> SEQ Table \* ARABIC </w:instrText>
      </w:r>
      <w:r w:rsidR="00B918A6">
        <w:fldChar w:fldCharType="separate"/>
      </w:r>
      <w:r w:rsidR="0067023A">
        <w:rPr>
          <w:noProof/>
        </w:rPr>
        <w:t>78</w:t>
      </w:r>
      <w:r w:rsidR="00B918A6">
        <w:rPr>
          <w:noProof/>
        </w:rPr>
        <w:fldChar w:fldCharType="end"/>
      </w:r>
      <w:r w:rsidRPr="00881795">
        <w:t>: Grants &amp; Subsidies</w:t>
      </w:r>
      <w:r w:rsidR="00AD7DFE">
        <w:t xml:space="preserve"> over the </w:t>
      </w:r>
      <w:bookmarkEnd w:id="502"/>
      <w:r w:rsidR="00036209">
        <w:t>MTRF (2017 – 2020)</w:t>
      </w:r>
      <w:bookmarkEnd w:id="503"/>
    </w:p>
    <w:tbl>
      <w:tblPr>
        <w:tblW w:w="103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7"/>
        <w:gridCol w:w="1023"/>
        <w:gridCol w:w="1118"/>
        <w:gridCol w:w="1099"/>
        <w:gridCol w:w="992"/>
        <w:gridCol w:w="992"/>
        <w:gridCol w:w="996"/>
      </w:tblGrid>
      <w:tr w:rsidR="005A5BA2" w:rsidRPr="005A5BA2" w14:paraId="177E8B67" w14:textId="77777777" w:rsidTr="005A5BA2">
        <w:trPr>
          <w:trHeight w:val="589"/>
          <w:tblHeader/>
        </w:trPr>
        <w:tc>
          <w:tcPr>
            <w:tcW w:w="4127" w:type="dxa"/>
            <w:shd w:val="clear" w:color="auto" w:fill="auto"/>
            <w:vAlign w:val="center"/>
            <w:hideMark/>
          </w:tcPr>
          <w:p w14:paraId="013A5CD4" w14:textId="77777777" w:rsidR="005A5BA2" w:rsidRPr="005A5BA2" w:rsidRDefault="005A5BA2" w:rsidP="005A5BA2">
            <w:pPr>
              <w:spacing w:after="0" w:line="240" w:lineRule="auto"/>
              <w:jc w:val="center"/>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Description</w:t>
            </w:r>
          </w:p>
        </w:tc>
        <w:tc>
          <w:tcPr>
            <w:tcW w:w="3240" w:type="dxa"/>
            <w:gridSpan w:val="3"/>
            <w:shd w:val="clear" w:color="auto" w:fill="auto"/>
            <w:noWrap/>
            <w:vAlign w:val="center"/>
            <w:hideMark/>
          </w:tcPr>
          <w:p w14:paraId="3707E252" w14:textId="77777777" w:rsidR="005A5BA2" w:rsidRPr="005A5BA2" w:rsidRDefault="005A5BA2" w:rsidP="005A5BA2">
            <w:pPr>
              <w:spacing w:after="0" w:line="240" w:lineRule="auto"/>
              <w:jc w:val="center"/>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Current Year 2017/18</w:t>
            </w:r>
          </w:p>
        </w:tc>
        <w:tc>
          <w:tcPr>
            <w:tcW w:w="2980" w:type="dxa"/>
            <w:gridSpan w:val="3"/>
            <w:shd w:val="clear" w:color="auto" w:fill="auto"/>
            <w:vAlign w:val="center"/>
            <w:hideMark/>
          </w:tcPr>
          <w:p w14:paraId="44822B32" w14:textId="77777777" w:rsidR="005A5BA2" w:rsidRPr="005A5BA2" w:rsidRDefault="005A5BA2" w:rsidP="005A5BA2">
            <w:pPr>
              <w:spacing w:after="0" w:line="240" w:lineRule="auto"/>
              <w:jc w:val="center"/>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2018/19 Medium Term Revenue &amp; Expenditure Framework</w:t>
            </w:r>
          </w:p>
        </w:tc>
      </w:tr>
      <w:tr w:rsidR="005A5BA2" w:rsidRPr="005A5BA2" w14:paraId="5F95847C" w14:textId="77777777" w:rsidTr="005A5BA2">
        <w:trPr>
          <w:trHeight w:val="859"/>
          <w:tblHeader/>
        </w:trPr>
        <w:tc>
          <w:tcPr>
            <w:tcW w:w="4127" w:type="dxa"/>
            <w:shd w:val="clear" w:color="auto" w:fill="auto"/>
            <w:noWrap/>
            <w:vAlign w:val="center"/>
            <w:hideMark/>
          </w:tcPr>
          <w:p w14:paraId="6CB6A90C"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R thousand</w:t>
            </w:r>
          </w:p>
        </w:tc>
        <w:tc>
          <w:tcPr>
            <w:tcW w:w="1023" w:type="dxa"/>
            <w:shd w:val="clear" w:color="auto" w:fill="auto"/>
            <w:vAlign w:val="center"/>
            <w:hideMark/>
          </w:tcPr>
          <w:p w14:paraId="36802383" w14:textId="77777777" w:rsidR="005A5BA2" w:rsidRPr="005A5BA2" w:rsidRDefault="005A5BA2" w:rsidP="005A5BA2">
            <w:pPr>
              <w:spacing w:after="0" w:line="240" w:lineRule="auto"/>
              <w:jc w:val="center"/>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Original Budget</w:t>
            </w:r>
          </w:p>
        </w:tc>
        <w:tc>
          <w:tcPr>
            <w:tcW w:w="1118" w:type="dxa"/>
            <w:shd w:val="clear" w:color="auto" w:fill="auto"/>
            <w:vAlign w:val="center"/>
            <w:hideMark/>
          </w:tcPr>
          <w:p w14:paraId="6CDF3B45" w14:textId="77777777" w:rsidR="005A5BA2" w:rsidRPr="005A5BA2" w:rsidRDefault="005A5BA2" w:rsidP="005A5BA2">
            <w:pPr>
              <w:spacing w:after="0" w:line="240" w:lineRule="auto"/>
              <w:jc w:val="center"/>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Adjusted Budget</w:t>
            </w:r>
          </w:p>
        </w:tc>
        <w:tc>
          <w:tcPr>
            <w:tcW w:w="1099" w:type="dxa"/>
            <w:shd w:val="clear" w:color="auto" w:fill="auto"/>
            <w:vAlign w:val="center"/>
            <w:hideMark/>
          </w:tcPr>
          <w:p w14:paraId="4AF1A85F" w14:textId="77777777" w:rsidR="005A5BA2" w:rsidRPr="005A5BA2" w:rsidRDefault="005A5BA2" w:rsidP="005A5BA2">
            <w:pPr>
              <w:spacing w:after="0" w:line="240" w:lineRule="auto"/>
              <w:jc w:val="center"/>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Full Year Forecast</w:t>
            </w:r>
          </w:p>
        </w:tc>
        <w:tc>
          <w:tcPr>
            <w:tcW w:w="992" w:type="dxa"/>
            <w:shd w:val="clear" w:color="auto" w:fill="auto"/>
            <w:vAlign w:val="center"/>
            <w:hideMark/>
          </w:tcPr>
          <w:p w14:paraId="33D52A57" w14:textId="77777777" w:rsidR="005A5BA2" w:rsidRPr="005A5BA2" w:rsidRDefault="005A5BA2" w:rsidP="005A5BA2">
            <w:pPr>
              <w:spacing w:after="0" w:line="240" w:lineRule="auto"/>
              <w:jc w:val="center"/>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Budget Year 2018/19</w:t>
            </w:r>
          </w:p>
        </w:tc>
        <w:tc>
          <w:tcPr>
            <w:tcW w:w="992" w:type="dxa"/>
            <w:shd w:val="clear" w:color="auto" w:fill="auto"/>
            <w:vAlign w:val="center"/>
            <w:hideMark/>
          </w:tcPr>
          <w:p w14:paraId="13C61FAE" w14:textId="77777777" w:rsidR="005A5BA2" w:rsidRPr="005A5BA2" w:rsidRDefault="005A5BA2" w:rsidP="005A5BA2">
            <w:pPr>
              <w:spacing w:after="0" w:line="240" w:lineRule="auto"/>
              <w:jc w:val="center"/>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Budget Year +1 2019/20</w:t>
            </w:r>
          </w:p>
        </w:tc>
        <w:tc>
          <w:tcPr>
            <w:tcW w:w="996" w:type="dxa"/>
            <w:shd w:val="clear" w:color="auto" w:fill="auto"/>
            <w:vAlign w:val="center"/>
            <w:hideMark/>
          </w:tcPr>
          <w:p w14:paraId="32BA020C" w14:textId="77777777" w:rsidR="005A5BA2" w:rsidRPr="005A5BA2" w:rsidRDefault="005A5BA2" w:rsidP="005A5BA2">
            <w:pPr>
              <w:spacing w:after="0" w:line="240" w:lineRule="auto"/>
              <w:jc w:val="center"/>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Budget Year +2 2020/21</w:t>
            </w:r>
          </w:p>
        </w:tc>
      </w:tr>
      <w:tr w:rsidR="005A5BA2" w:rsidRPr="005A5BA2" w14:paraId="60C7904F" w14:textId="77777777" w:rsidTr="005A5BA2">
        <w:trPr>
          <w:trHeight w:val="336"/>
        </w:trPr>
        <w:tc>
          <w:tcPr>
            <w:tcW w:w="4127" w:type="dxa"/>
            <w:shd w:val="clear" w:color="auto" w:fill="auto"/>
            <w:noWrap/>
            <w:vAlign w:val="bottom"/>
            <w:hideMark/>
          </w:tcPr>
          <w:p w14:paraId="06086AAF"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RECEIPTS:</w:t>
            </w:r>
          </w:p>
        </w:tc>
        <w:tc>
          <w:tcPr>
            <w:tcW w:w="1023" w:type="dxa"/>
            <w:shd w:val="clear" w:color="auto" w:fill="auto"/>
            <w:noWrap/>
            <w:vAlign w:val="bottom"/>
            <w:hideMark/>
          </w:tcPr>
          <w:p w14:paraId="0BF162B1"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w:t>
            </w:r>
          </w:p>
        </w:tc>
        <w:tc>
          <w:tcPr>
            <w:tcW w:w="1118" w:type="dxa"/>
            <w:shd w:val="clear" w:color="auto" w:fill="auto"/>
            <w:noWrap/>
            <w:vAlign w:val="bottom"/>
            <w:hideMark/>
          </w:tcPr>
          <w:p w14:paraId="4663CCBC"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w:t>
            </w:r>
          </w:p>
        </w:tc>
        <w:tc>
          <w:tcPr>
            <w:tcW w:w="1099" w:type="dxa"/>
            <w:shd w:val="clear" w:color="auto" w:fill="auto"/>
            <w:noWrap/>
            <w:vAlign w:val="bottom"/>
            <w:hideMark/>
          </w:tcPr>
          <w:p w14:paraId="7DB2171E"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w:t>
            </w:r>
          </w:p>
        </w:tc>
        <w:tc>
          <w:tcPr>
            <w:tcW w:w="992" w:type="dxa"/>
            <w:shd w:val="clear" w:color="auto" w:fill="auto"/>
            <w:noWrap/>
            <w:vAlign w:val="bottom"/>
            <w:hideMark/>
          </w:tcPr>
          <w:p w14:paraId="342DDD66"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w:t>
            </w:r>
          </w:p>
        </w:tc>
        <w:tc>
          <w:tcPr>
            <w:tcW w:w="992" w:type="dxa"/>
            <w:shd w:val="clear" w:color="auto" w:fill="auto"/>
            <w:noWrap/>
            <w:vAlign w:val="bottom"/>
            <w:hideMark/>
          </w:tcPr>
          <w:p w14:paraId="5E936380"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w:t>
            </w:r>
          </w:p>
        </w:tc>
        <w:tc>
          <w:tcPr>
            <w:tcW w:w="996" w:type="dxa"/>
            <w:shd w:val="clear" w:color="auto" w:fill="auto"/>
            <w:noWrap/>
            <w:vAlign w:val="bottom"/>
            <w:hideMark/>
          </w:tcPr>
          <w:p w14:paraId="575D1059"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w:t>
            </w:r>
          </w:p>
        </w:tc>
      </w:tr>
      <w:tr w:rsidR="005A5BA2" w:rsidRPr="005A5BA2" w14:paraId="2B6BC430" w14:textId="77777777" w:rsidTr="005A5BA2">
        <w:trPr>
          <w:trHeight w:val="336"/>
        </w:trPr>
        <w:tc>
          <w:tcPr>
            <w:tcW w:w="4127" w:type="dxa"/>
            <w:shd w:val="clear" w:color="auto" w:fill="auto"/>
            <w:noWrap/>
            <w:vAlign w:val="bottom"/>
            <w:hideMark/>
          </w:tcPr>
          <w:p w14:paraId="5887F377" w14:textId="77777777" w:rsidR="005A5BA2" w:rsidRPr="005A5BA2" w:rsidRDefault="005A5BA2" w:rsidP="005A5BA2">
            <w:pPr>
              <w:spacing w:after="0" w:line="240" w:lineRule="auto"/>
              <w:rPr>
                <w:rFonts w:ascii="Arial Narrow" w:eastAsia="Times New Roman" w:hAnsi="Arial Narrow" w:cs="Times New Roman"/>
                <w:b/>
                <w:bCs/>
                <w:sz w:val="16"/>
                <w:szCs w:val="16"/>
                <w:u w:val="single"/>
                <w:lang w:val="en-ZA" w:eastAsia="en-ZA"/>
              </w:rPr>
            </w:pPr>
            <w:r w:rsidRPr="005A5BA2">
              <w:rPr>
                <w:rFonts w:ascii="Arial Narrow" w:eastAsia="Times New Roman" w:hAnsi="Arial Narrow" w:cs="Times New Roman"/>
                <w:b/>
                <w:bCs/>
                <w:sz w:val="16"/>
                <w:szCs w:val="16"/>
                <w:u w:val="single"/>
                <w:lang w:val="en-ZA" w:eastAsia="en-ZA"/>
              </w:rPr>
              <w:t>Operating Transfers and Grants</w:t>
            </w:r>
          </w:p>
        </w:tc>
        <w:tc>
          <w:tcPr>
            <w:tcW w:w="1023" w:type="dxa"/>
            <w:shd w:val="clear" w:color="auto" w:fill="auto"/>
            <w:noWrap/>
            <w:vAlign w:val="bottom"/>
            <w:hideMark/>
          </w:tcPr>
          <w:p w14:paraId="7293FC70"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w:t>
            </w:r>
          </w:p>
        </w:tc>
        <w:tc>
          <w:tcPr>
            <w:tcW w:w="1118" w:type="dxa"/>
            <w:shd w:val="clear" w:color="auto" w:fill="auto"/>
            <w:noWrap/>
            <w:vAlign w:val="bottom"/>
            <w:hideMark/>
          </w:tcPr>
          <w:p w14:paraId="32483738"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w:t>
            </w:r>
          </w:p>
        </w:tc>
        <w:tc>
          <w:tcPr>
            <w:tcW w:w="1099" w:type="dxa"/>
            <w:shd w:val="clear" w:color="auto" w:fill="auto"/>
            <w:noWrap/>
            <w:vAlign w:val="bottom"/>
            <w:hideMark/>
          </w:tcPr>
          <w:p w14:paraId="177B33CA"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p>
        </w:tc>
        <w:tc>
          <w:tcPr>
            <w:tcW w:w="992" w:type="dxa"/>
            <w:shd w:val="clear" w:color="auto" w:fill="auto"/>
            <w:noWrap/>
            <w:vAlign w:val="bottom"/>
            <w:hideMark/>
          </w:tcPr>
          <w:p w14:paraId="6C7E9B0E"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w:t>
            </w:r>
          </w:p>
        </w:tc>
        <w:tc>
          <w:tcPr>
            <w:tcW w:w="992" w:type="dxa"/>
            <w:shd w:val="clear" w:color="auto" w:fill="auto"/>
            <w:noWrap/>
            <w:vAlign w:val="bottom"/>
            <w:hideMark/>
          </w:tcPr>
          <w:p w14:paraId="500F5DA6"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w:t>
            </w:r>
          </w:p>
        </w:tc>
        <w:tc>
          <w:tcPr>
            <w:tcW w:w="996" w:type="dxa"/>
            <w:shd w:val="clear" w:color="auto" w:fill="auto"/>
            <w:noWrap/>
            <w:vAlign w:val="bottom"/>
            <w:hideMark/>
          </w:tcPr>
          <w:p w14:paraId="788882FE"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w:t>
            </w:r>
          </w:p>
        </w:tc>
      </w:tr>
      <w:tr w:rsidR="005A5BA2" w:rsidRPr="005A5BA2" w14:paraId="3A5A56AC" w14:textId="77777777" w:rsidTr="005A5BA2">
        <w:trPr>
          <w:trHeight w:val="336"/>
        </w:trPr>
        <w:tc>
          <w:tcPr>
            <w:tcW w:w="4127" w:type="dxa"/>
            <w:shd w:val="clear" w:color="auto" w:fill="auto"/>
            <w:noWrap/>
            <w:vAlign w:val="bottom"/>
            <w:hideMark/>
          </w:tcPr>
          <w:p w14:paraId="60523A54" w14:textId="77777777" w:rsidR="005A5BA2" w:rsidRPr="005A5BA2" w:rsidRDefault="005A5BA2" w:rsidP="005A5BA2">
            <w:pPr>
              <w:spacing w:after="0" w:line="240" w:lineRule="auto"/>
              <w:ind w:firstLineChars="100" w:firstLine="161"/>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National Government:</w:t>
            </w:r>
          </w:p>
        </w:tc>
        <w:tc>
          <w:tcPr>
            <w:tcW w:w="1023" w:type="dxa"/>
            <w:shd w:val="clear" w:color="auto" w:fill="auto"/>
            <w:noWrap/>
            <w:vAlign w:val="bottom"/>
            <w:hideMark/>
          </w:tcPr>
          <w:p w14:paraId="4D94A100"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160 511 </w:t>
            </w:r>
          </w:p>
        </w:tc>
        <w:tc>
          <w:tcPr>
            <w:tcW w:w="1118" w:type="dxa"/>
            <w:shd w:val="clear" w:color="auto" w:fill="auto"/>
            <w:noWrap/>
            <w:vAlign w:val="bottom"/>
            <w:hideMark/>
          </w:tcPr>
          <w:p w14:paraId="59F159D6"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159 443 </w:t>
            </w:r>
          </w:p>
        </w:tc>
        <w:tc>
          <w:tcPr>
            <w:tcW w:w="1099" w:type="dxa"/>
            <w:shd w:val="clear" w:color="auto" w:fill="auto"/>
            <w:noWrap/>
            <w:vAlign w:val="bottom"/>
            <w:hideMark/>
          </w:tcPr>
          <w:p w14:paraId="1B10429B"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159 443 </w:t>
            </w:r>
          </w:p>
        </w:tc>
        <w:tc>
          <w:tcPr>
            <w:tcW w:w="992" w:type="dxa"/>
            <w:shd w:val="clear" w:color="auto" w:fill="auto"/>
            <w:noWrap/>
            <w:vAlign w:val="bottom"/>
            <w:hideMark/>
          </w:tcPr>
          <w:p w14:paraId="59D8024F"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165 445 </w:t>
            </w:r>
          </w:p>
        </w:tc>
        <w:tc>
          <w:tcPr>
            <w:tcW w:w="992" w:type="dxa"/>
            <w:shd w:val="clear" w:color="auto" w:fill="auto"/>
            <w:noWrap/>
            <w:vAlign w:val="bottom"/>
            <w:hideMark/>
          </w:tcPr>
          <w:p w14:paraId="4EDD6DE9"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180 890 </w:t>
            </w:r>
          </w:p>
        </w:tc>
        <w:tc>
          <w:tcPr>
            <w:tcW w:w="996" w:type="dxa"/>
            <w:shd w:val="clear" w:color="auto" w:fill="auto"/>
            <w:noWrap/>
            <w:vAlign w:val="bottom"/>
            <w:hideMark/>
          </w:tcPr>
          <w:p w14:paraId="1FCE5BFD"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192 244 </w:t>
            </w:r>
          </w:p>
        </w:tc>
      </w:tr>
      <w:tr w:rsidR="005A5BA2" w:rsidRPr="005A5BA2" w14:paraId="37B119FA" w14:textId="77777777" w:rsidTr="005A5BA2">
        <w:trPr>
          <w:trHeight w:val="336"/>
        </w:trPr>
        <w:tc>
          <w:tcPr>
            <w:tcW w:w="4127" w:type="dxa"/>
            <w:shd w:val="clear" w:color="auto" w:fill="auto"/>
            <w:noWrap/>
            <w:vAlign w:val="bottom"/>
            <w:hideMark/>
          </w:tcPr>
          <w:p w14:paraId="36BBE644" w14:textId="77777777" w:rsidR="005A5BA2" w:rsidRPr="005A5BA2" w:rsidRDefault="005A5BA2" w:rsidP="005A5BA2">
            <w:pPr>
              <w:spacing w:after="0" w:line="240" w:lineRule="auto"/>
              <w:ind w:firstLineChars="200" w:firstLine="320"/>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Local Government Equitable Share</w:t>
            </w:r>
          </w:p>
        </w:tc>
        <w:tc>
          <w:tcPr>
            <w:tcW w:w="1023" w:type="dxa"/>
            <w:shd w:val="clear" w:color="auto" w:fill="auto"/>
            <w:noWrap/>
            <w:vAlign w:val="bottom"/>
            <w:hideMark/>
          </w:tcPr>
          <w:p w14:paraId="617D9A1D"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145 544 </w:t>
            </w:r>
          </w:p>
        </w:tc>
        <w:tc>
          <w:tcPr>
            <w:tcW w:w="1118" w:type="dxa"/>
            <w:shd w:val="clear" w:color="auto" w:fill="auto"/>
            <w:noWrap/>
            <w:vAlign w:val="bottom"/>
            <w:hideMark/>
          </w:tcPr>
          <w:p w14:paraId="2A8E3B74"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144 475 </w:t>
            </w:r>
          </w:p>
        </w:tc>
        <w:tc>
          <w:tcPr>
            <w:tcW w:w="1099" w:type="dxa"/>
            <w:shd w:val="clear" w:color="auto" w:fill="auto"/>
            <w:noWrap/>
            <w:vAlign w:val="bottom"/>
            <w:hideMark/>
          </w:tcPr>
          <w:p w14:paraId="2D8BA0B7"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144 475 </w:t>
            </w:r>
          </w:p>
        </w:tc>
        <w:tc>
          <w:tcPr>
            <w:tcW w:w="992" w:type="dxa"/>
            <w:shd w:val="clear" w:color="auto" w:fill="auto"/>
            <w:noWrap/>
            <w:vAlign w:val="bottom"/>
            <w:hideMark/>
          </w:tcPr>
          <w:p w14:paraId="60A16292"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151 843 </w:t>
            </w:r>
          </w:p>
        </w:tc>
        <w:tc>
          <w:tcPr>
            <w:tcW w:w="992" w:type="dxa"/>
            <w:shd w:val="clear" w:color="auto" w:fill="auto"/>
            <w:noWrap/>
            <w:vAlign w:val="bottom"/>
            <w:hideMark/>
          </w:tcPr>
          <w:p w14:paraId="2A4F6FEE"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167 420 </w:t>
            </w:r>
          </w:p>
        </w:tc>
        <w:tc>
          <w:tcPr>
            <w:tcW w:w="996" w:type="dxa"/>
            <w:shd w:val="clear" w:color="auto" w:fill="auto"/>
            <w:noWrap/>
            <w:vAlign w:val="bottom"/>
            <w:hideMark/>
          </w:tcPr>
          <w:p w14:paraId="4485BEB9"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181 274 </w:t>
            </w:r>
          </w:p>
        </w:tc>
      </w:tr>
      <w:tr w:rsidR="005A5BA2" w:rsidRPr="005A5BA2" w14:paraId="1BA15110" w14:textId="77777777" w:rsidTr="005A5BA2">
        <w:trPr>
          <w:trHeight w:val="336"/>
        </w:trPr>
        <w:tc>
          <w:tcPr>
            <w:tcW w:w="4127" w:type="dxa"/>
            <w:shd w:val="clear" w:color="auto" w:fill="auto"/>
            <w:noWrap/>
            <w:vAlign w:val="bottom"/>
            <w:hideMark/>
          </w:tcPr>
          <w:p w14:paraId="203E6C1B" w14:textId="77777777" w:rsidR="005A5BA2" w:rsidRPr="005A5BA2" w:rsidRDefault="005A5BA2" w:rsidP="005A5BA2">
            <w:pPr>
              <w:spacing w:after="0" w:line="240" w:lineRule="auto"/>
              <w:ind w:firstLineChars="200" w:firstLine="320"/>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Finance Management </w:t>
            </w:r>
          </w:p>
        </w:tc>
        <w:tc>
          <w:tcPr>
            <w:tcW w:w="1023" w:type="dxa"/>
            <w:shd w:val="clear" w:color="auto" w:fill="auto"/>
            <w:noWrap/>
            <w:vAlign w:val="bottom"/>
            <w:hideMark/>
          </w:tcPr>
          <w:p w14:paraId="15C60AF2"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1 700 </w:t>
            </w:r>
          </w:p>
        </w:tc>
        <w:tc>
          <w:tcPr>
            <w:tcW w:w="1118" w:type="dxa"/>
            <w:shd w:val="clear" w:color="auto" w:fill="auto"/>
            <w:noWrap/>
            <w:vAlign w:val="bottom"/>
            <w:hideMark/>
          </w:tcPr>
          <w:p w14:paraId="699EB629"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1 700 </w:t>
            </w:r>
          </w:p>
        </w:tc>
        <w:tc>
          <w:tcPr>
            <w:tcW w:w="1099" w:type="dxa"/>
            <w:shd w:val="clear" w:color="auto" w:fill="auto"/>
            <w:noWrap/>
            <w:vAlign w:val="bottom"/>
            <w:hideMark/>
          </w:tcPr>
          <w:p w14:paraId="08BF3158"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1 700 </w:t>
            </w:r>
          </w:p>
        </w:tc>
        <w:tc>
          <w:tcPr>
            <w:tcW w:w="992" w:type="dxa"/>
            <w:shd w:val="clear" w:color="auto" w:fill="auto"/>
            <w:noWrap/>
            <w:vAlign w:val="bottom"/>
            <w:hideMark/>
          </w:tcPr>
          <w:p w14:paraId="29D4A668"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1 770 </w:t>
            </w:r>
          </w:p>
        </w:tc>
        <w:tc>
          <w:tcPr>
            <w:tcW w:w="992" w:type="dxa"/>
            <w:shd w:val="clear" w:color="auto" w:fill="auto"/>
            <w:noWrap/>
            <w:vAlign w:val="bottom"/>
            <w:hideMark/>
          </w:tcPr>
          <w:p w14:paraId="5E00A86A"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1 770 </w:t>
            </w:r>
          </w:p>
        </w:tc>
        <w:tc>
          <w:tcPr>
            <w:tcW w:w="996" w:type="dxa"/>
            <w:shd w:val="clear" w:color="auto" w:fill="auto"/>
            <w:noWrap/>
            <w:vAlign w:val="bottom"/>
            <w:hideMark/>
          </w:tcPr>
          <w:p w14:paraId="5A49D308"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1 770 </w:t>
            </w:r>
          </w:p>
        </w:tc>
      </w:tr>
      <w:tr w:rsidR="005A5BA2" w:rsidRPr="005A5BA2" w14:paraId="4F54FC41" w14:textId="77777777" w:rsidTr="005A5BA2">
        <w:trPr>
          <w:trHeight w:val="336"/>
        </w:trPr>
        <w:tc>
          <w:tcPr>
            <w:tcW w:w="4127" w:type="dxa"/>
            <w:shd w:val="clear" w:color="auto" w:fill="auto"/>
            <w:noWrap/>
            <w:vAlign w:val="bottom"/>
            <w:hideMark/>
          </w:tcPr>
          <w:p w14:paraId="16AFA337" w14:textId="77777777" w:rsidR="005A5BA2" w:rsidRPr="005A5BA2" w:rsidRDefault="005A5BA2" w:rsidP="005A5BA2">
            <w:pPr>
              <w:spacing w:after="0" w:line="240" w:lineRule="auto"/>
              <w:ind w:firstLineChars="200" w:firstLine="320"/>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Integrated National Electrification Programme</w:t>
            </w:r>
          </w:p>
        </w:tc>
        <w:tc>
          <w:tcPr>
            <w:tcW w:w="1023" w:type="dxa"/>
            <w:shd w:val="clear" w:color="auto" w:fill="auto"/>
            <w:noWrap/>
            <w:vAlign w:val="bottom"/>
            <w:hideMark/>
          </w:tcPr>
          <w:p w14:paraId="6B1524A2"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8 000 </w:t>
            </w:r>
          </w:p>
        </w:tc>
        <w:tc>
          <w:tcPr>
            <w:tcW w:w="1118" w:type="dxa"/>
            <w:shd w:val="clear" w:color="auto" w:fill="auto"/>
            <w:noWrap/>
            <w:vAlign w:val="bottom"/>
            <w:hideMark/>
          </w:tcPr>
          <w:p w14:paraId="252B48C6"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8 000 </w:t>
            </w:r>
          </w:p>
        </w:tc>
        <w:tc>
          <w:tcPr>
            <w:tcW w:w="1099" w:type="dxa"/>
            <w:shd w:val="clear" w:color="auto" w:fill="auto"/>
            <w:noWrap/>
            <w:vAlign w:val="bottom"/>
            <w:hideMark/>
          </w:tcPr>
          <w:p w14:paraId="08939964"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8 000 </w:t>
            </w:r>
          </w:p>
        </w:tc>
        <w:tc>
          <w:tcPr>
            <w:tcW w:w="992" w:type="dxa"/>
            <w:shd w:val="clear" w:color="auto" w:fill="auto"/>
            <w:noWrap/>
            <w:vAlign w:val="bottom"/>
            <w:hideMark/>
          </w:tcPr>
          <w:p w14:paraId="2170536B"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7 000 </w:t>
            </w:r>
          </w:p>
        </w:tc>
        <w:tc>
          <w:tcPr>
            <w:tcW w:w="992" w:type="dxa"/>
            <w:shd w:val="clear" w:color="auto" w:fill="auto"/>
            <w:noWrap/>
            <w:vAlign w:val="bottom"/>
            <w:hideMark/>
          </w:tcPr>
          <w:p w14:paraId="6D3CEB49"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9 500 </w:t>
            </w:r>
          </w:p>
        </w:tc>
        <w:tc>
          <w:tcPr>
            <w:tcW w:w="996" w:type="dxa"/>
            <w:shd w:val="clear" w:color="auto" w:fill="auto"/>
            <w:noWrap/>
            <w:vAlign w:val="bottom"/>
            <w:hideMark/>
          </w:tcPr>
          <w:p w14:paraId="551B514B"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7 000 </w:t>
            </w:r>
          </w:p>
        </w:tc>
      </w:tr>
      <w:tr w:rsidR="005A5BA2" w:rsidRPr="005A5BA2" w14:paraId="11A79E20" w14:textId="77777777" w:rsidTr="005A5BA2">
        <w:trPr>
          <w:trHeight w:val="336"/>
        </w:trPr>
        <w:tc>
          <w:tcPr>
            <w:tcW w:w="4127" w:type="dxa"/>
            <w:shd w:val="clear" w:color="auto" w:fill="auto"/>
            <w:noWrap/>
            <w:vAlign w:val="bottom"/>
            <w:hideMark/>
          </w:tcPr>
          <w:p w14:paraId="0A5E2E52" w14:textId="77777777" w:rsidR="005A5BA2" w:rsidRPr="005A5BA2" w:rsidRDefault="005A5BA2" w:rsidP="005A5BA2">
            <w:pPr>
              <w:spacing w:after="0" w:line="240" w:lineRule="auto"/>
              <w:ind w:firstLineChars="200" w:firstLine="320"/>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EPWP Incentive</w:t>
            </w:r>
          </w:p>
        </w:tc>
        <w:tc>
          <w:tcPr>
            <w:tcW w:w="1023" w:type="dxa"/>
            <w:shd w:val="clear" w:color="auto" w:fill="auto"/>
            <w:noWrap/>
            <w:vAlign w:val="bottom"/>
            <w:hideMark/>
          </w:tcPr>
          <w:p w14:paraId="5A23B80F"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2 985 </w:t>
            </w:r>
          </w:p>
        </w:tc>
        <w:tc>
          <w:tcPr>
            <w:tcW w:w="1118" w:type="dxa"/>
            <w:shd w:val="clear" w:color="auto" w:fill="auto"/>
            <w:noWrap/>
            <w:vAlign w:val="bottom"/>
            <w:hideMark/>
          </w:tcPr>
          <w:p w14:paraId="2759011A"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2 985 </w:t>
            </w:r>
          </w:p>
        </w:tc>
        <w:tc>
          <w:tcPr>
            <w:tcW w:w="1099" w:type="dxa"/>
            <w:shd w:val="clear" w:color="auto" w:fill="auto"/>
            <w:noWrap/>
            <w:vAlign w:val="bottom"/>
            <w:hideMark/>
          </w:tcPr>
          <w:p w14:paraId="1C8BFA45"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2 985 </w:t>
            </w:r>
          </w:p>
        </w:tc>
        <w:tc>
          <w:tcPr>
            <w:tcW w:w="992" w:type="dxa"/>
            <w:shd w:val="clear" w:color="auto" w:fill="auto"/>
            <w:noWrap/>
            <w:vAlign w:val="bottom"/>
            <w:hideMark/>
          </w:tcPr>
          <w:p w14:paraId="410CE8E8"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3 212 </w:t>
            </w:r>
          </w:p>
        </w:tc>
        <w:tc>
          <w:tcPr>
            <w:tcW w:w="992" w:type="dxa"/>
            <w:shd w:val="clear" w:color="auto" w:fill="auto"/>
            <w:noWrap/>
            <w:vAlign w:val="bottom"/>
            <w:hideMark/>
          </w:tcPr>
          <w:p w14:paraId="274FDCD5"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6" w:type="dxa"/>
            <w:shd w:val="clear" w:color="auto" w:fill="auto"/>
            <w:noWrap/>
            <w:vAlign w:val="bottom"/>
            <w:hideMark/>
          </w:tcPr>
          <w:p w14:paraId="3DD794F8"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r>
      <w:tr w:rsidR="005A5BA2" w:rsidRPr="005A5BA2" w14:paraId="31B3835E" w14:textId="77777777" w:rsidTr="005A5BA2">
        <w:trPr>
          <w:trHeight w:val="336"/>
        </w:trPr>
        <w:tc>
          <w:tcPr>
            <w:tcW w:w="4127" w:type="dxa"/>
            <w:shd w:val="clear" w:color="auto" w:fill="auto"/>
            <w:noWrap/>
            <w:vAlign w:val="bottom"/>
            <w:hideMark/>
          </w:tcPr>
          <w:p w14:paraId="6669DC7B" w14:textId="77777777" w:rsidR="005A5BA2" w:rsidRPr="005A5BA2" w:rsidRDefault="005A5BA2" w:rsidP="005A5BA2">
            <w:pPr>
              <w:spacing w:after="0" w:line="240" w:lineRule="auto"/>
              <w:ind w:firstLineChars="200" w:firstLine="320"/>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Project Management Unit (MIG Projects)</w:t>
            </w:r>
          </w:p>
        </w:tc>
        <w:tc>
          <w:tcPr>
            <w:tcW w:w="1023" w:type="dxa"/>
            <w:shd w:val="clear" w:color="auto" w:fill="auto"/>
            <w:noWrap/>
            <w:vAlign w:val="bottom"/>
            <w:hideMark/>
          </w:tcPr>
          <w:p w14:paraId="063C56FE"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2 052 </w:t>
            </w:r>
          </w:p>
        </w:tc>
        <w:tc>
          <w:tcPr>
            <w:tcW w:w="1118" w:type="dxa"/>
            <w:shd w:val="clear" w:color="auto" w:fill="auto"/>
            <w:noWrap/>
            <w:vAlign w:val="bottom"/>
            <w:hideMark/>
          </w:tcPr>
          <w:p w14:paraId="53E20EDC"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2 052 </w:t>
            </w:r>
          </w:p>
        </w:tc>
        <w:tc>
          <w:tcPr>
            <w:tcW w:w="1099" w:type="dxa"/>
            <w:shd w:val="clear" w:color="auto" w:fill="auto"/>
            <w:noWrap/>
            <w:vAlign w:val="bottom"/>
            <w:hideMark/>
          </w:tcPr>
          <w:p w14:paraId="2260FDCB"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2 052 </w:t>
            </w:r>
          </w:p>
        </w:tc>
        <w:tc>
          <w:tcPr>
            <w:tcW w:w="992" w:type="dxa"/>
            <w:shd w:val="clear" w:color="auto" w:fill="auto"/>
            <w:noWrap/>
            <w:vAlign w:val="bottom"/>
            <w:hideMark/>
          </w:tcPr>
          <w:p w14:paraId="7DF50F7D"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1 000 </w:t>
            </w:r>
          </w:p>
        </w:tc>
        <w:tc>
          <w:tcPr>
            <w:tcW w:w="992" w:type="dxa"/>
            <w:shd w:val="clear" w:color="auto" w:fill="auto"/>
            <w:noWrap/>
            <w:vAlign w:val="bottom"/>
            <w:hideMark/>
          </w:tcPr>
          <w:p w14:paraId="3D6017D6"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1 000 </w:t>
            </w:r>
          </w:p>
        </w:tc>
        <w:tc>
          <w:tcPr>
            <w:tcW w:w="996" w:type="dxa"/>
            <w:shd w:val="clear" w:color="auto" w:fill="auto"/>
            <w:noWrap/>
            <w:vAlign w:val="bottom"/>
            <w:hideMark/>
          </w:tcPr>
          <w:p w14:paraId="2A7F3619"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1 000 </w:t>
            </w:r>
          </w:p>
        </w:tc>
      </w:tr>
      <w:tr w:rsidR="005A5BA2" w:rsidRPr="005A5BA2" w14:paraId="49CDCC3D" w14:textId="77777777" w:rsidTr="005A5BA2">
        <w:trPr>
          <w:trHeight w:val="336"/>
        </w:trPr>
        <w:tc>
          <w:tcPr>
            <w:tcW w:w="4127" w:type="dxa"/>
            <w:shd w:val="clear" w:color="auto" w:fill="auto"/>
            <w:noWrap/>
            <w:vAlign w:val="bottom"/>
            <w:hideMark/>
          </w:tcPr>
          <w:p w14:paraId="4EC374C8" w14:textId="77777777" w:rsidR="005A5BA2" w:rsidRPr="005A5BA2" w:rsidRDefault="005A5BA2" w:rsidP="005A5BA2">
            <w:pPr>
              <w:spacing w:after="0" w:line="240" w:lineRule="auto"/>
              <w:ind w:firstLineChars="200" w:firstLine="320"/>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LGSETA: Training</w:t>
            </w:r>
          </w:p>
        </w:tc>
        <w:tc>
          <w:tcPr>
            <w:tcW w:w="1023" w:type="dxa"/>
            <w:shd w:val="clear" w:color="auto" w:fill="auto"/>
            <w:noWrap/>
            <w:vAlign w:val="bottom"/>
            <w:hideMark/>
          </w:tcPr>
          <w:p w14:paraId="3B63E902"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231 </w:t>
            </w:r>
          </w:p>
        </w:tc>
        <w:tc>
          <w:tcPr>
            <w:tcW w:w="1118" w:type="dxa"/>
            <w:shd w:val="clear" w:color="auto" w:fill="auto"/>
            <w:noWrap/>
            <w:vAlign w:val="bottom"/>
            <w:hideMark/>
          </w:tcPr>
          <w:p w14:paraId="02EECF17"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231 </w:t>
            </w:r>
          </w:p>
        </w:tc>
        <w:tc>
          <w:tcPr>
            <w:tcW w:w="1099" w:type="dxa"/>
            <w:shd w:val="clear" w:color="auto" w:fill="auto"/>
            <w:noWrap/>
            <w:vAlign w:val="bottom"/>
            <w:hideMark/>
          </w:tcPr>
          <w:p w14:paraId="1E8B6546"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231 </w:t>
            </w:r>
          </w:p>
        </w:tc>
        <w:tc>
          <w:tcPr>
            <w:tcW w:w="992" w:type="dxa"/>
            <w:shd w:val="clear" w:color="auto" w:fill="auto"/>
            <w:noWrap/>
            <w:vAlign w:val="bottom"/>
            <w:hideMark/>
          </w:tcPr>
          <w:p w14:paraId="64B8DF95"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2" w:type="dxa"/>
            <w:shd w:val="clear" w:color="auto" w:fill="auto"/>
            <w:noWrap/>
            <w:vAlign w:val="bottom"/>
            <w:hideMark/>
          </w:tcPr>
          <w:p w14:paraId="23664DF8"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6" w:type="dxa"/>
            <w:shd w:val="clear" w:color="auto" w:fill="auto"/>
            <w:noWrap/>
            <w:vAlign w:val="bottom"/>
            <w:hideMark/>
          </w:tcPr>
          <w:p w14:paraId="26C9D9B8"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r>
      <w:tr w:rsidR="005A5BA2" w:rsidRPr="005A5BA2" w14:paraId="41A04F6F" w14:textId="77777777" w:rsidTr="005A5BA2">
        <w:trPr>
          <w:trHeight w:val="336"/>
        </w:trPr>
        <w:tc>
          <w:tcPr>
            <w:tcW w:w="4127" w:type="dxa"/>
            <w:shd w:val="clear" w:color="auto" w:fill="auto"/>
            <w:noWrap/>
            <w:vAlign w:val="bottom"/>
            <w:hideMark/>
          </w:tcPr>
          <w:p w14:paraId="772122FD" w14:textId="77777777" w:rsidR="005A5BA2" w:rsidRPr="005A5BA2" w:rsidRDefault="005A5BA2" w:rsidP="005A5BA2">
            <w:pPr>
              <w:spacing w:after="0" w:line="240" w:lineRule="auto"/>
              <w:ind w:firstLineChars="200" w:firstLine="320"/>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Municipal Systems Improvement</w:t>
            </w:r>
          </w:p>
        </w:tc>
        <w:tc>
          <w:tcPr>
            <w:tcW w:w="1023" w:type="dxa"/>
            <w:shd w:val="clear" w:color="auto" w:fill="auto"/>
            <w:noWrap/>
            <w:vAlign w:val="bottom"/>
            <w:hideMark/>
          </w:tcPr>
          <w:p w14:paraId="4D483427"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1118" w:type="dxa"/>
            <w:shd w:val="clear" w:color="auto" w:fill="auto"/>
            <w:noWrap/>
            <w:vAlign w:val="bottom"/>
            <w:hideMark/>
          </w:tcPr>
          <w:p w14:paraId="660599E7"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1099" w:type="dxa"/>
            <w:shd w:val="clear" w:color="auto" w:fill="auto"/>
            <w:noWrap/>
            <w:vAlign w:val="bottom"/>
            <w:hideMark/>
          </w:tcPr>
          <w:p w14:paraId="7FEE15AB"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2" w:type="dxa"/>
            <w:shd w:val="clear" w:color="auto" w:fill="auto"/>
            <w:noWrap/>
            <w:vAlign w:val="bottom"/>
            <w:hideMark/>
          </w:tcPr>
          <w:p w14:paraId="6BC250C2"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620 </w:t>
            </w:r>
          </w:p>
        </w:tc>
        <w:tc>
          <w:tcPr>
            <w:tcW w:w="992" w:type="dxa"/>
            <w:shd w:val="clear" w:color="auto" w:fill="auto"/>
            <w:noWrap/>
            <w:vAlign w:val="bottom"/>
            <w:hideMark/>
          </w:tcPr>
          <w:p w14:paraId="18A10443"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1 200 </w:t>
            </w:r>
          </w:p>
        </w:tc>
        <w:tc>
          <w:tcPr>
            <w:tcW w:w="996" w:type="dxa"/>
            <w:shd w:val="clear" w:color="auto" w:fill="auto"/>
            <w:noWrap/>
            <w:vAlign w:val="bottom"/>
            <w:hideMark/>
          </w:tcPr>
          <w:p w14:paraId="742D3376"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1 200 </w:t>
            </w:r>
          </w:p>
        </w:tc>
      </w:tr>
      <w:tr w:rsidR="005A5BA2" w:rsidRPr="005A5BA2" w14:paraId="1E66104E" w14:textId="77777777" w:rsidTr="005A5BA2">
        <w:trPr>
          <w:trHeight w:val="336"/>
        </w:trPr>
        <w:tc>
          <w:tcPr>
            <w:tcW w:w="4127" w:type="dxa"/>
            <w:shd w:val="clear" w:color="auto" w:fill="auto"/>
            <w:noWrap/>
            <w:vAlign w:val="bottom"/>
            <w:hideMark/>
          </w:tcPr>
          <w:p w14:paraId="3E14390E" w14:textId="77777777" w:rsidR="005A5BA2" w:rsidRPr="005A5BA2" w:rsidRDefault="005A5BA2" w:rsidP="005A5BA2">
            <w:pPr>
              <w:spacing w:after="0" w:line="240" w:lineRule="auto"/>
              <w:ind w:firstLineChars="100" w:firstLine="161"/>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Provincial Government:</w:t>
            </w:r>
          </w:p>
        </w:tc>
        <w:tc>
          <w:tcPr>
            <w:tcW w:w="1023" w:type="dxa"/>
            <w:shd w:val="clear" w:color="auto" w:fill="auto"/>
            <w:noWrap/>
            <w:vAlign w:val="bottom"/>
            <w:hideMark/>
          </w:tcPr>
          <w:p w14:paraId="28DD9EDC"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4 455 </w:t>
            </w:r>
          </w:p>
        </w:tc>
        <w:tc>
          <w:tcPr>
            <w:tcW w:w="1118" w:type="dxa"/>
            <w:shd w:val="clear" w:color="auto" w:fill="auto"/>
            <w:noWrap/>
            <w:vAlign w:val="bottom"/>
            <w:hideMark/>
          </w:tcPr>
          <w:p w14:paraId="5924306B"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4 455 </w:t>
            </w:r>
          </w:p>
        </w:tc>
        <w:tc>
          <w:tcPr>
            <w:tcW w:w="1099" w:type="dxa"/>
            <w:shd w:val="clear" w:color="auto" w:fill="auto"/>
            <w:noWrap/>
            <w:vAlign w:val="bottom"/>
            <w:hideMark/>
          </w:tcPr>
          <w:p w14:paraId="5C62522F"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4 455 </w:t>
            </w:r>
          </w:p>
        </w:tc>
        <w:tc>
          <w:tcPr>
            <w:tcW w:w="992" w:type="dxa"/>
            <w:shd w:val="clear" w:color="auto" w:fill="auto"/>
            <w:noWrap/>
            <w:vAlign w:val="bottom"/>
            <w:hideMark/>
          </w:tcPr>
          <w:p w14:paraId="42F7C2B2"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4 431 </w:t>
            </w:r>
          </w:p>
        </w:tc>
        <w:tc>
          <w:tcPr>
            <w:tcW w:w="992" w:type="dxa"/>
            <w:shd w:val="clear" w:color="auto" w:fill="auto"/>
            <w:noWrap/>
            <w:vAlign w:val="bottom"/>
            <w:hideMark/>
          </w:tcPr>
          <w:p w14:paraId="35F4F68A"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4 229 </w:t>
            </w:r>
          </w:p>
        </w:tc>
        <w:tc>
          <w:tcPr>
            <w:tcW w:w="996" w:type="dxa"/>
            <w:shd w:val="clear" w:color="auto" w:fill="auto"/>
            <w:noWrap/>
            <w:vAlign w:val="bottom"/>
            <w:hideMark/>
          </w:tcPr>
          <w:p w14:paraId="11A2D7BD"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  </w:t>
            </w:r>
          </w:p>
        </w:tc>
      </w:tr>
      <w:tr w:rsidR="005A5BA2" w:rsidRPr="005A5BA2" w14:paraId="31744100" w14:textId="77777777" w:rsidTr="005A5BA2">
        <w:trPr>
          <w:trHeight w:val="336"/>
        </w:trPr>
        <w:tc>
          <w:tcPr>
            <w:tcW w:w="4127" w:type="dxa"/>
            <w:shd w:val="clear" w:color="auto" w:fill="auto"/>
            <w:noWrap/>
            <w:vAlign w:val="bottom"/>
            <w:hideMark/>
          </w:tcPr>
          <w:p w14:paraId="4C8C3037" w14:textId="77777777" w:rsidR="005A5BA2" w:rsidRPr="005A5BA2" w:rsidRDefault="005A5BA2" w:rsidP="005A5BA2">
            <w:pPr>
              <w:spacing w:after="0" w:line="240" w:lineRule="auto"/>
              <w:ind w:firstLineChars="200" w:firstLine="320"/>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Museum Subsidy</w:t>
            </w:r>
          </w:p>
        </w:tc>
        <w:tc>
          <w:tcPr>
            <w:tcW w:w="1023" w:type="dxa"/>
            <w:shd w:val="clear" w:color="auto" w:fill="auto"/>
            <w:noWrap/>
            <w:vAlign w:val="bottom"/>
            <w:hideMark/>
          </w:tcPr>
          <w:p w14:paraId="39228A71"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350 </w:t>
            </w:r>
          </w:p>
        </w:tc>
        <w:tc>
          <w:tcPr>
            <w:tcW w:w="1118" w:type="dxa"/>
            <w:shd w:val="clear" w:color="auto" w:fill="auto"/>
            <w:noWrap/>
            <w:vAlign w:val="bottom"/>
            <w:hideMark/>
          </w:tcPr>
          <w:p w14:paraId="7D25F06E"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350 </w:t>
            </w:r>
          </w:p>
        </w:tc>
        <w:tc>
          <w:tcPr>
            <w:tcW w:w="1099" w:type="dxa"/>
            <w:shd w:val="clear" w:color="auto" w:fill="auto"/>
            <w:noWrap/>
            <w:vAlign w:val="bottom"/>
            <w:hideMark/>
          </w:tcPr>
          <w:p w14:paraId="3385B4EE"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350 </w:t>
            </w:r>
          </w:p>
        </w:tc>
        <w:tc>
          <w:tcPr>
            <w:tcW w:w="992" w:type="dxa"/>
            <w:shd w:val="clear" w:color="auto" w:fill="auto"/>
            <w:noWrap/>
            <w:vAlign w:val="bottom"/>
            <w:hideMark/>
          </w:tcPr>
          <w:p w14:paraId="2B7AE9CD"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368 </w:t>
            </w:r>
          </w:p>
        </w:tc>
        <w:tc>
          <w:tcPr>
            <w:tcW w:w="992" w:type="dxa"/>
            <w:shd w:val="clear" w:color="auto" w:fill="auto"/>
            <w:noWrap/>
            <w:vAlign w:val="bottom"/>
            <w:hideMark/>
          </w:tcPr>
          <w:p w14:paraId="2568210F"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386 </w:t>
            </w:r>
          </w:p>
        </w:tc>
        <w:tc>
          <w:tcPr>
            <w:tcW w:w="996" w:type="dxa"/>
            <w:shd w:val="clear" w:color="auto" w:fill="auto"/>
            <w:noWrap/>
            <w:vAlign w:val="bottom"/>
            <w:hideMark/>
          </w:tcPr>
          <w:p w14:paraId="26C91025"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r>
      <w:tr w:rsidR="005A5BA2" w:rsidRPr="005A5BA2" w14:paraId="0D8C7D8C" w14:textId="77777777" w:rsidTr="005A5BA2">
        <w:trPr>
          <w:trHeight w:val="336"/>
        </w:trPr>
        <w:tc>
          <w:tcPr>
            <w:tcW w:w="4127" w:type="dxa"/>
            <w:shd w:val="clear" w:color="auto" w:fill="auto"/>
            <w:noWrap/>
            <w:vAlign w:val="bottom"/>
            <w:hideMark/>
          </w:tcPr>
          <w:p w14:paraId="53EE7C88" w14:textId="77777777" w:rsidR="005A5BA2" w:rsidRPr="005A5BA2" w:rsidRDefault="005A5BA2" w:rsidP="005A5BA2">
            <w:pPr>
              <w:spacing w:after="0" w:line="240" w:lineRule="auto"/>
              <w:ind w:firstLineChars="200" w:firstLine="320"/>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PT: Provincialisation of Libraries</w:t>
            </w:r>
          </w:p>
        </w:tc>
        <w:tc>
          <w:tcPr>
            <w:tcW w:w="1023" w:type="dxa"/>
            <w:shd w:val="clear" w:color="auto" w:fill="auto"/>
            <w:noWrap/>
            <w:vAlign w:val="bottom"/>
            <w:hideMark/>
          </w:tcPr>
          <w:p w14:paraId="7F2C5DF2"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3 087 </w:t>
            </w:r>
          </w:p>
        </w:tc>
        <w:tc>
          <w:tcPr>
            <w:tcW w:w="1118" w:type="dxa"/>
            <w:shd w:val="clear" w:color="auto" w:fill="auto"/>
            <w:noWrap/>
            <w:vAlign w:val="bottom"/>
            <w:hideMark/>
          </w:tcPr>
          <w:p w14:paraId="641D065F"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3 087 </w:t>
            </w:r>
          </w:p>
        </w:tc>
        <w:tc>
          <w:tcPr>
            <w:tcW w:w="1099" w:type="dxa"/>
            <w:shd w:val="clear" w:color="auto" w:fill="auto"/>
            <w:noWrap/>
            <w:vAlign w:val="bottom"/>
            <w:hideMark/>
          </w:tcPr>
          <w:p w14:paraId="488A5549"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3 087 </w:t>
            </w:r>
          </w:p>
        </w:tc>
        <w:tc>
          <w:tcPr>
            <w:tcW w:w="992" w:type="dxa"/>
            <w:shd w:val="clear" w:color="auto" w:fill="auto"/>
            <w:noWrap/>
            <w:vAlign w:val="bottom"/>
            <w:hideMark/>
          </w:tcPr>
          <w:p w14:paraId="7DF6A523"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3 249 </w:t>
            </w:r>
          </w:p>
        </w:tc>
        <w:tc>
          <w:tcPr>
            <w:tcW w:w="992" w:type="dxa"/>
            <w:shd w:val="clear" w:color="auto" w:fill="auto"/>
            <w:noWrap/>
            <w:vAlign w:val="bottom"/>
            <w:hideMark/>
          </w:tcPr>
          <w:p w14:paraId="7A2A24D3"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3 411 </w:t>
            </w:r>
          </w:p>
        </w:tc>
        <w:tc>
          <w:tcPr>
            <w:tcW w:w="996" w:type="dxa"/>
            <w:shd w:val="clear" w:color="auto" w:fill="auto"/>
            <w:noWrap/>
            <w:vAlign w:val="bottom"/>
            <w:hideMark/>
          </w:tcPr>
          <w:p w14:paraId="3DD3AF42"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r>
      <w:tr w:rsidR="005A5BA2" w:rsidRPr="005A5BA2" w14:paraId="32A554FE" w14:textId="77777777" w:rsidTr="005A5BA2">
        <w:trPr>
          <w:trHeight w:val="336"/>
        </w:trPr>
        <w:tc>
          <w:tcPr>
            <w:tcW w:w="4127" w:type="dxa"/>
            <w:shd w:val="clear" w:color="auto" w:fill="auto"/>
            <w:noWrap/>
            <w:vAlign w:val="bottom"/>
            <w:hideMark/>
          </w:tcPr>
          <w:p w14:paraId="61B90B45" w14:textId="77777777" w:rsidR="005A5BA2" w:rsidRPr="005A5BA2" w:rsidRDefault="005A5BA2" w:rsidP="005A5BA2">
            <w:pPr>
              <w:spacing w:after="0" w:line="240" w:lineRule="auto"/>
              <w:ind w:firstLineChars="200" w:firstLine="320"/>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Community Library Services Grant</w:t>
            </w:r>
          </w:p>
        </w:tc>
        <w:tc>
          <w:tcPr>
            <w:tcW w:w="1023" w:type="dxa"/>
            <w:shd w:val="clear" w:color="auto" w:fill="auto"/>
            <w:noWrap/>
            <w:vAlign w:val="bottom"/>
            <w:hideMark/>
          </w:tcPr>
          <w:p w14:paraId="12F244BD"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400 </w:t>
            </w:r>
          </w:p>
        </w:tc>
        <w:tc>
          <w:tcPr>
            <w:tcW w:w="1118" w:type="dxa"/>
            <w:shd w:val="clear" w:color="auto" w:fill="auto"/>
            <w:noWrap/>
            <w:vAlign w:val="bottom"/>
            <w:hideMark/>
          </w:tcPr>
          <w:p w14:paraId="7343C4FF"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400 </w:t>
            </w:r>
          </w:p>
        </w:tc>
        <w:tc>
          <w:tcPr>
            <w:tcW w:w="1099" w:type="dxa"/>
            <w:shd w:val="clear" w:color="auto" w:fill="auto"/>
            <w:noWrap/>
            <w:vAlign w:val="bottom"/>
            <w:hideMark/>
          </w:tcPr>
          <w:p w14:paraId="09E96FA3"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400 </w:t>
            </w:r>
          </w:p>
        </w:tc>
        <w:tc>
          <w:tcPr>
            <w:tcW w:w="992" w:type="dxa"/>
            <w:shd w:val="clear" w:color="auto" w:fill="auto"/>
            <w:noWrap/>
            <w:vAlign w:val="bottom"/>
            <w:hideMark/>
          </w:tcPr>
          <w:p w14:paraId="5B6C8393"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420 </w:t>
            </w:r>
          </w:p>
        </w:tc>
        <w:tc>
          <w:tcPr>
            <w:tcW w:w="992" w:type="dxa"/>
            <w:shd w:val="clear" w:color="auto" w:fill="auto"/>
            <w:noWrap/>
            <w:vAlign w:val="bottom"/>
            <w:hideMark/>
          </w:tcPr>
          <w:p w14:paraId="6D00838E"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432 </w:t>
            </w:r>
          </w:p>
        </w:tc>
        <w:tc>
          <w:tcPr>
            <w:tcW w:w="996" w:type="dxa"/>
            <w:shd w:val="clear" w:color="auto" w:fill="auto"/>
            <w:noWrap/>
            <w:vAlign w:val="bottom"/>
            <w:hideMark/>
          </w:tcPr>
          <w:p w14:paraId="47C3C0AB"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r>
      <w:tr w:rsidR="005A5BA2" w:rsidRPr="005A5BA2" w14:paraId="11AA13B6" w14:textId="77777777" w:rsidTr="005A5BA2">
        <w:trPr>
          <w:trHeight w:val="336"/>
        </w:trPr>
        <w:tc>
          <w:tcPr>
            <w:tcW w:w="4127" w:type="dxa"/>
            <w:shd w:val="clear" w:color="auto" w:fill="auto"/>
            <w:noWrap/>
            <w:vAlign w:val="bottom"/>
            <w:hideMark/>
          </w:tcPr>
          <w:p w14:paraId="0BBA6ECA" w14:textId="77777777" w:rsidR="005A5BA2" w:rsidRPr="005A5BA2" w:rsidRDefault="005A5BA2" w:rsidP="005A5BA2">
            <w:pPr>
              <w:spacing w:after="0" w:line="240" w:lineRule="auto"/>
              <w:ind w:firstLineChars="200" w:firstLine="320"/>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Dept of Sport and Rec: Maintence of facilities</w:t>
            </w:r>
          </w:p>
        </w:tc>
        <w:tc>
          <w:tcPr>
            <w:tcW w:w="1023" w:type="dxa"/>
            <w:shd w:val="clear" w:color="auto" w:fill="auto"/>
            <w:noWrap/>
            <w:vAlign w:val="bottom"/>
            <w:hideMark/>
          </w:tcPr>
          <w:p w14:paraId="0A38FF0C"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561 </w:t>
            </w:r>
          </w:p>
        </w:tc>
        <w:tc>
          <w:tcPr>
            <w:tcW w:w="1118" w:type="dxa"/>
            <w:shd w:val="clear" w:color="auto" w:fill="auto"/>
            <w:noWrap/>
            <w:vAlign w:val="bottom"/>
            <w:hideMark/>
          </w:tcPr>
          <w:p w14:paraId="479D23A9"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561 </w:t>
            </w:r>
          </w:p>
        </w:tc>
        <w:tc>
          <w:tcPr>
            <w:tcW w:w="1099" w:type="dxa"/>
            <w:shd w:val="clear" w:color="auto" w:fill="auto"/>
            <w:noWrap/>
            <w:vAlign w:val="bottom"/>
            <w:hideMark/>
          </w:tcPr>
          <w:p w14:paraId="726DDBFD"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561 </w:t>
            </w:r>
          </w:p>
        </w:tc>
        <w:tc>
          <w:tcPr>
            <w:tcW w:w="992" w:type="dxa"/>
            <w:shd w:val="clear" w:color="auto" w:fill="auto"/>
            <w:noWrap/>
            <w:vAlign w:val="bottom"/>
            <w:hideMark/>
          </w:tcPr>
          <w:p w14:paraId="7B9D71B1"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2" w:type="dxa"/>
            <w:shd w:val="clear" w:color="auto" w:fill="auto"/>
            <w:noWrap/>
            <w:vAlign w:val="bottom"/>
            <w:hideMark/>
          </w:tcPr>
          <w:p w14:paraId="621F8C02"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6" w:type="dxa"/>
            <w:shd w:val="clear" w:color="auto" w:fill="auto"/>
            <w:noWrap/>
            <w:vAlign w:val="bottom"/>
            <w:hideMark/>
          </w:tcPr>
          <w:p w14:paraId="6F4B1A8A"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r>
      <w:tr w:rsidR="005A5BA2" w:rsidRPr="005A5BA2" w14:paraId="098073BC" w14:textId="77777777" w:rsidTr="005A5BA2">
        <w:trPr>
          <w:trHeight w:val="336"/>
        </w:trPr>
        <w:tc>
          <w:tcPr>
            <w:tcW w:w="4127" w:type="dxa"/>
            <w:shd w:val="clear" w:color="auto" w:fill="auto"/>
            <w:noWrap/>
            <w:vAlign w:val="bottom"/>
            <w:hideMark/>
          </w:tcPr>
          <w:p w14:paraId="44C2F893" w14:textId="77777777" w:rsidR="005A5BA2" w:rsidRPr="005A5BA2" w:rsidRDefault="005A5BA2" w:rsidP="005A5BA2">
            <w:pPr>
              <w:spacing w:after="0" w:line="240" w:lineRule="auto"/>
              <w:ind w:firstLineChars="200" w:firstLine="320"/>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Cogta: Support to community service centre grant</w:t>
            </w:r>
          </w:p>
        </w:tc>
        <w:tc>
          <w:tcPr>
            <w:tcW w:w="1023" w:type="dxa"/>
            <w:shd w:val="clear" w:color="auto" w:fill="auto"/>
            <w:noWrap/>
            <w:vAlign w:val="bottom"/>
            <w:hideMark/>
          </w:tcPr>
          <w:p w14:paraId="06C6E683"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57 </w:t>
            </w:r>
          </w:p>
        </w:tc>
        <w:tc>
          <w:tcPr>
            <w:tcW w:w="1118" w:type="dxa"/>
            <w:shd w:val="clear" w:color="auto" w:fill="auto"/>
            <w:noWrap/>
            <w:vAlign w:val="bottom"/>
            <w:hideMark/>
          </w:tcPr>
          <w:p w14:paraId="1785F188"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57 </w:t>
            </w:r>
          </w:p>
        </w:tc>
        <w:tc>
          <w:tcPr>
            <w:tcW w:w="1099" w:type="dxa"/>
            <w:shd w:val="clear" w:color="auto" w:fill="auto"/>
            <w:noWrap/>
            <w:vAlign w:val="bottom"/>
            <w:hideMark/>
          </w:tcPr>
          <w:p w14:paraId="088F9BE4"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57 </w:t>
            </w:r>
          </w:p>
        </w:tc>
        <w:tc>
          <w:tcPr>
            <w:tcW w:w="992" w:type="dxa"/>
            <w:shd w:val="clear" w:color="auto" w:fill="auto"/>
            <w:noWrap/>
            <w:vAlign w:val="bottom"/>
            <w:hideMark/>
          </w:tcPr>
          <w:p w14:paraId="085C3720"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394 </w:t>
            </w:r>
          </w:p>
        </w:tc>
        <w:tc>
          <w:tcPr>
            <w:tcW w:w="992" w:type="dxa"/>
            <w:shd w:val="clear" w:color="auto" w:fill="auto"/>
            <w:noWrap/>
            <w:vAlign w:val="bottom"/>
            <w:hideMark/>
          </w:tcPr>
          <w:p w14:paraId="54BB6A11"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6" w:type="dxa"/>
            <w:shd w:val="clear" w:color="auto" w:fill="auto"/>
            <w:noWrap/>
            <w:vAlign w:val="bottom"/>
            <w:hideMark/>
          </w:tcPr>
          <w:p w14:paraId="34E0E4CB"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r>
      <w:tr w:rsidR="005A5BA2" w:rsidRPr="005A5BA2" w14:paraId="4BCB3FFC" w14:textId="77777777" w:rsidTr="005A5BA2">
        <w:trPr>
          <w:trHeight w:val="336"/>
        </w:trPr>
        <w:tc>
          <w:tcPr>
            <w:tcW w:w="4127" w:type="dxa"/>
            <w:shd w:val="clear" w:color="auto" w:fill="auto"/>
            <w:noWrap/>
            <w:vAlign w:val="bottom"/>
            <w:hideMark/>
          </w:tcPr>
          <w:p w14:paraId="1FE4A9FF" w14:textId="77777777" w:rsidR="005A5BA2" w:rsidRPr="005A5BA2" w:rsidRDefault="005A5BA2" w:rsidP="005A5BA2">
            <w:pPr>
              <w:spacing w:after="0" w:line="240" w:lineRule="auto"/>
              <w:ind w:firstLineChars="200" w:firstLine="320"/>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Dept of Human settlements</w:t>
            </w:r>
          </w:p>
        </w:tc>
        <w:tc>
          <w:tcPr>
            <w:tcW w:w="1023" w:type="dxa"/>
            <w:shd w:val="clear" w:color="auto" w:fill="auto"/>
            <w:noWrap/>
            <w:vAlign w:val="bottom"/>
            <w:hideMark/>
          </w:tcPr>
          <w:p w14:paraId="225A660B"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1118" w:type="dxa"/>
            <w:shd w:val="clear" w:color="auto" w:fill="auto"/>
            <w:noWrap/>
            <w:vAlign w:val="bottom"/>
            <w:hideMark/>
          </w:tcPr>
          <w:p w14:paraId="010975A3"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1099" w:type="dxa"/>
            <w:shd w:val="clear" w:color="auto" w:fill="auto"/>
            <w:noWrap/>
            <w:vAlign w:val="bottom"/>
            <w:hideMark/>
          </w:tcPr>
          <w:p w14:paraId="62F2A62F"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2" w:type="dxa"/>
            <w:shd w:val="clear" w:color="auto" w:fill="auto"/>
            <w:noWrap/>
            <w:vAlign w:val="bottom"/>
            <w:hideMark/>
          </w:tcPr>
          <w:p w14:paraId="11DE4D38"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2" w:type="dxa"/>
            <w:shd w:val="clear" w:color="auto" w:fill="auto"/>
            <w:noWrap/>
            <w:vAlign w:val="bottom"/>
            <w:hideMark/>
          </w:tcPr>
          <w:p w14:paraId="18450AC1"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6" w:type="dxa"/>
            <w:shd w:val="clear" w:color="auto" w:fill="auto"/>
            <w:noWrap/>
            <w:vAlign w:val="bottom"/>
            <w:hideMark/>
          </w:tcPr>
          <w:p w14:paraId="2BBA4470"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r>
      <w:tr w:rsidR="005A5BA2" w:rsidRPr="005A5BA2" w14:paraId="1F6FDE00" w14:textId="77777777" w:rsidTr="005A5BA2">
        <w:trPr>
          <w:trHeight w:val="336"/>
        </w:trPr>
        <w:tc>
          <w:tcPr>
            <w:tcW w:w="4127" w:type="dxa"/>
            <w:shd w:val="clear" w:color="auto" w:fill="auto"/>
            <w:noWrap/>
            <w:vAlign w:val="bottom"/>
            <w:hideMark/>
          </w:tcPr>
          <w:p w14:paraId="4F6279A4" w14:textId="77777777" w:rsidR="005A5BA2" w:rsidRPr="005A5BA2" w:rsidRDefault="005A5BA2" w:rsidP="005A5BA2">
            <w:pPr>
              <w:spacing w:after="0" w:line="240" w:lineRule="auto"/>
              <w:ind w:firstLineChars="100" w:firstLine="161"/>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District Municipality:</w:t>
            </w:r>
          </w:p>
        </w:tc>
        <w:tc>
          <w:tcPr>
            <w:tcW w:w="1023" w:type="dxa"/>
            <w:shd w:val="clear" w:color="auto" w:fill="auto"/>
            <w:noWrap/>
            <w:vAlign w:val="bottom"/>
            <w:hideMark/>
          </w:tcPr>
          <w:p w14:paraId="0FE17347"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260 </w:t>
            </w:r>
          </w:p>
        </w:tc>
        <w:tc>
          <w:tcPr>
            <w:tcW w:w="1118" w:type="dxa"/>
            <w:shd w:val="clear" w:color="auto" w:fill="auto"/>
            <w:noWrap/>
            <w:vAlign w:val="bottom"/>
            <w:hideMark/>
          </w:tcPr>
          <w:p w14:paraId="57103772"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260 </w:t>
            </w:r>
          </w:p>
        </w:tc>
        <w:tc>
          <w:tcPr>
            <w:tcW w:w="1099" w:type="dxa"/>
            <w:shd w:val="clear" w:color="auto" w:fill="auto"/>
            <w:noWrap/>
            <w:vAlign w:val="bottom"/>
            <w:hideMark/>
          </w:tcPr>
          <w:p w14:paraId="242BE349"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260 </w:t>
            </w:r>
          </w:p>
        </w:tc>
        <w:tc>
          <w:tcPr>
            <w:tcW w:w="992" w:type="dxa"/>
            <w:shd w:val="clear" w:color="auto" w:fill="auto"/>
            <w:noWrap/>
            <w:vAlign w:val="bottom"/>
            <w:hideMark/>
          </w:tcPr>
          <w:p w14:paraId="42BB3D50"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  </w:t>
            </w:r>
          </w:p>
        </w:tc>
        <w:tc>
          <w:tcPr>
            <w:tcW w:w="992" w:type="dxa"/>
            <w:shd w:val="clear" w:color="auto" w:fill="auto"/>
            <w:noWrap/>
            <w:vAlign w:val="bottom"/>
            <w:hideMark/>
          </w:tcPr>
          <w:p w14:paraId="242BFF14"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  </w:t>
            </w:r>
          </w:p>
        </w:tc>
        <w:tc>
          <w:tcPr>
            <w:tcW w:w="996" w:type="dxa"/>
            <w:shd w:val="clear" w:color="auto" w:fill="auto"/>
            <w:noWrap/>
            <w:vAlign w:val="bottom"/>
            <w:hideMark/>
          </w:tcPr>
          <w:p w14:paraId="46E57403"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  </w:t>
            </w:r>
          </w:p>
        </w:tc>
      </w:tr>
      <w:tr w:rsidR="005A5BA2" w:rsidRPr="005A5BA2" w14:paraId="3FEC3A2E" w14:textId="77777777" w:rsidTr="005A5BA2">
        <w:trPr>
          <w:trHeight w:val="336"/>
        </w:trPr>
        <w:tc>
          <w:tcPr>
            <w:tcW w:w="4127" w:type="dxa"/>
            <w:shd w:val="clear" w:color="auto" w:fill="auto"/>
            <w:noWrap/>
            <w:vAlign w:val="bottom"/>
            <w:hideMark/>
          </w:tcPr>
          <w:p w14:paraId="21A45668" w14:textId="77777777" w:rsidR="005A5BA2" w:rsidRPr="005A5BA2" w:rsidRDefault="005A5BA2" w:rsidP="005A5BA2">
            <w:pPr>
              <w:spacing w:after="0" w:line="240" w:lineRule="auto"/>
              <w:ind w:firstLineChars="200" w:firstLine="320"/>
              <w:rPr>
                <w:rFonts w:ascii="Arial Narrow" w:eastAsia="Times New Roman" w:hAnsi="Arial Narrow" w:cs="Times New Roman"/>
                <w:i/>
                <w:iCs/>
                <w:sz w:val="16"/>
                <w:szCs w:val="16"/>
                <w:lang w:val="en-ZA" w:eastAsia="en-ZA"/>
              </w:rPr>
            </w:pPr>
            <w:r w:rsidRPr="005A5BA2">
              <w:rPr>
                <w:rFonts w:ascii="Arial Narrow" w:eastAsia="Times New Roman" w:hAnsi="Arial Narrow" w:cs="Times New Roman"/>
                <w:i/>
                <w:iCs/>
                <w:sz w:val="16"/>
                <w:szCs w:val="16"/>
                <w:lang w:val="en-ZA" w:eastAsia="en-ZA"/>
              </w:rPr>
              <w:t>Informal traders training grant</w:t>
            </w:r>
          </w:p>
        </w:tc>
        <w:tc>
          <w:tcPr>
            <w:tcW w:w="1023" w:type="dxa"/>
            <w:shd w:val="clear" w:color="auto" w:fill="auto"/>
            <w:noWrap/>
            <w:vAlign w:val="bottom"/>
            <w:hideMark/>
          </w:tcPr>
          <w:p w14:paraId="3893944C"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1118" w:type="dxa"/>
            <w:shd w:val="clear" w:color="auto" w:fill="auto"/>
            <w:noWrap/>
            <w:vAlign w:val="bottom"/>
            <w:hideMark/>
          </w:tcPr>
          <w:p w14:paraId="10ACEA26"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1099" w:type="dxa"/>
            <w:shd w:val="clear" w:color="auto" w:fill="auto"/>
            <w:noWrap/>
            <w:vAlign w:val="bottom"/>
            <w:hideMark/>
          </w:tcPr>
          <w:p w14:paraId="549F72AB"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2" w:type="dxa"/>
            <w:shd w:val="clear" w:color="auto" w:fill="auto"/>
            <w:noWrap/>
            <w:vAlign w:val="bottom"/>
            <w:hideMark/>
          </w:tcPr>
          <w:p w14:paraId="03FEF32D"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2" w:type="dxa"/>
            <w:shd w:val="clear" w:color="auto" w:fill="auto"/>
            <w:noWrap/>
            <w:vAlign w:val="bottom"/>
            <w:hideMark/>
          </w:tcPr>
          <w:p w14:paraId="66C3ABC9"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6" w:type="dxa"/>
            <w:shd w:val="clear" w:color="auto" w:fill="auto"/>
            <w:noWrap/>
            <w:vAlign w:val="bottom"/>
            <w:hideMark/>
          </w:tcPr>
          <w:p w14:paraId="7BA21ED3"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r>
      <w:tr w:rsidR="005A5BA2" w:rsidRPr="005A5BA2" w14:paraId="05DDFE17" w14:textId="77777777" w:rsidTr="005A5BA2">
        <w:trPr>
          <w:trHeight w:val="336"/>
        </w:trPr>
        <w:tc>
          <w:tcPr>
            <w:tcW w:w="4127" w:type="dxa"/>
            <w:shd w:val="clear" w:color="auto" w:fill="auto"/>
            <w:noWrap/>
            <w:vAlign w:val="bottom"/>
            <w:hideMark/>
          </w:tcPr>
          <w:p w14:paraId="6480C276" w14:textId="77777777" w:rsidR="005A5BA2" w:rsidRPr="005A5BA2" w:rsidRDefault="005A5BA2" w:rsidP="005A5BA2">
            <w:pPr>
              <w:spacing w:after="0" w:line="240" w:lineRule="auto"/>
              <w:ind w:firstLineChars="200" w:firstLine="320"/>
              <w:rPr>
                <w:rFonts w:ascii="Arial Narrow" w:eastAsia="Times New Roman" w:hAnsi="Arial Narrow" w:cs="Times New Roman"/>
                <w:i/>
                <w:iCs/>
                <w:sz w:val="16"/>
                <w:szCs w:val="16"/>
                <w:lang w:val="en-ZA" w:eastAsia="en-ZA"/>
              </w:rPr>
            </w:pPr>
            <w:r w:rsidRPr="005A5BA2">
              <w:rPr>
                <w:rFonts w:ascii="Arial Narrow" w:eastAsia="Times New Roman" w:hAnsi="Arial Narrow" w:cs="Times New Roman"/>
                <w:i/>
                <w:iCs/>
                <w:sz w:val="16"/>
                <w:szCs w:val="16"/>
                <w:lang w:val="en-ZA" w:eastAsia="en-ZA"/>
              </w:rPr>
              <w:t>Coastal management programme grant</w:t>
            </w:r>
          </w:p>
        </w:tc>
        <w:tc>
          <w:tcPr>
            <w:tcW w:w="1023" w:type="dxa"/>
            <w:shd w:val="clear" w:color="auto" w:fill="auto"/>
            <w:noWrap/>
            <w:vAlign w:val="bottom"/>
            <w:hideMark/>
          </w:tcPr>
          <w:p w14:paraId="3AB11B35"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260 </w:t>
            </w:r>
          </w:p>
        </w:tc>
        <w:tc>
          <w:tcPr>
            <w:tcW w:w="1118" w:type="dxa"/>
            <w:shd w:val="clear" w:color="auto" w:fill="auto"/>
            <w:noWrap/>
            <w:vAlign w:val="bottom"/>
            <w:hideMark/>
          </w:tcPr>
          <w:p w14:paraId="376DA123"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260 </w:t>
            </w:r>
          </w:p>
        </w:tc>
        <w:tc>
          <w:tcPr>
            <w:tcW w:w="1099" w:type="dxa"/>
            <w:shd w:val="clear" w:color="auto" w:fill="auto"/>
            <w:noWrap/>
            <w:vAlign w:val="bottom"/>
            <w:hideMark/>
          </w:tcPr>
          <w:p w14:paraId="03CB903D"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260 </w:t>
            </w:r>
          </w:p>
        </w:tc>
        <w:tc>
          <w:tcPr>
            <w:tcW w:w="992" w:type="dxa"/>
            <w:shd w:val="clear" w:color="auto" w:fill="auto"/>
            <w:noWrap/>
            <w:vAlign w:val="bottom"/>
            <w:hideMark/>
          </w:tcPr>
          <w:p w14:paraId="33692371"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2" w:type="dxa"/>
            <w:shd w:val="clear" w:color="auto" w:fill="auto"/>
            <w:noWrap/>
            <w:vAlign w:val="bottom"/>
            <w:hideMark/>
          </w:tcPr>
          <w:p w14:paraId="63817121"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6" w:type="dxa"/>
            <w:shd w:val="clear" w:color="auto" w:fill="auto"/>
            <w:noWrap/>
            <w:vAlign w:val="bottom"/>
            <w:hideMark/>
          </w:tcPr>
          <w:p w14:paraId="77DDD8F9"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r>
      <w:tr w:rsidR="005A5BA2" w:rsidRPr="005A5BA2" w14:paraId="6AFCF66E" w14:textId="77777777" w:rsidTr="005A5BA2">
        <w:trPr>
          <w:trHeight w:val="336"/>
        </w:trPr>
        <w:tc>
          <w:tcPr>
            <w:tcW w:w="4127" w:type="dxa"/>
            <w:shd w:val="clear" w:color="auto" w:fill="auto"/>
            <w:noWrap/>
            <w:vAlign w:val="bottom"/>
            <w:hideMark/>
          </w:tcPr>
          <w:p w14:paraId="30696D8E" w14:textId="77777777" w:rsidR="005A5BA2" w:rsidRPr="005A5BA2" w:rsidRDefault="005A5BA2" w:rsidP="005A5BA2">
            <w:pPr>
              <w:spacing w:after="0" w:line="240" w:lineRule="auto"/>
              <w:ind w:firstLineChars="100" w:firstLine="161"/>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Other grant providers:</w:t>
            </w:r>
          </w:p>
        </w:tc>
        <w:tc>
          <w:tcPr>
            <w:tcW w:w="1023" w:type="dxa"/>
            <w:shd w:val="clear" w:color="auto" w:fill="auto"/>
            <w:noWrap/>
            <w:vAlign w:val="bottom"/>
            <w:hideMark/>
          </w:tcPr>
          <w:p w14:paraId="579CB913"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  </w:t>
            </w:r>
          </w:p>
        </w:tc>
        <w:tc>
          <w:tcPr>
            <w:tcW w:w="1118" w:type="dxa"/>
            <w:shd w:val="clear" w:color="auto" w:fill="auto"/>
            <w:noWrap/>
            <w:vAlign w:val="bottom"/>
            <w:hideMark/>
          </w:tcPr>
          <w:p w14:paraId="3274FB99"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  </w:t>
            </w:r>
          </w:p>
        </w:tc>
        <w:tc>
          <w:tcPr>
            <w:tcW w:w="1099" w:type="dxa"/>
            <w:shd w:val="clear" w:color="auto" w:fill="auto"/>
            <w:noWrap/>
            <w:vAlign w:val="bottom"/>
            <w:hideMark/>
          </w:tcPr>
          <w:p w14:paraId="4CE4F36C"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  </w:t>
            </w:r>
          </w:p>
        </w:tc>
        <w:tc>
          <w:tcPr>
            <w:tcW w:w="992" w:type="dxa"/>
            <w:shd w:val="clear" w:color="auto" w:fill="auto"/>
            <w:noWrap/>
            <w:vAlign w:val="bottom"/>
            <w:hideMark/>
          </w:tcPr>
          <w:p w14:paraId="065B6415"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  </w:t>
            </w:r>
          </w:p>
        </w:tc>
        <w:tc>
          <w:tcPr>
            <w:tcW w:w="992" w:type="dxa"/>
            <w:shd w:val="clear" w:color="auto" w:fill="auto"/>
            <w:noWrap/>
            <w:vAlign w:val="bottom"/>
            <w:hideMark/>
          </w:tcPr>
          <w:p w14:paraId="7B1B380A"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  </w:t>
            </w:r>
          </w:p>
        </w:tc>
        <w:tc>
          <w:tcPr>
            <w:tcW w:w="996" w:type="dxa"/>
            <w:shd w:val="clear" w:color="auto" w:fill="auto"/>
            <w:noWrap/>
            <w:vAlign w:val="bottom"/>
            <w:hideMark/>
          </w:tcPr>
          <w:p w14:paraId="5E41E399"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  </w:t>
            </w:r>
          </w:p>
        </w:tc>
      </w:tr>
      <w:tr w:rsidR="005A5BA2" w:rsidRPr="005A5BA2" w14:paraId="2D7CD601" w14:textId="77777777" w:rsidTr="005A5BA2">
        <w:trPr>
          <w:trHeight w:val="336"/>
        </w:trPr>
        <w:tc>
          <w:tcPr>
            <w:tcW w:w="4127" w:type="dxa"/>
            <w:shd w:val="clear" w:color="auto" w:fill="auto"/>
            <w:noWrap/>
            <w:vAlign w:val="bottom"/>
            <w:hideMark/>
          </w:tcPr>
          <w:p w14:paraId="0586D466" w14:textId="77777777" w:rsidR="005A5BA2" w:rsidRPr="005A5BA2" w:rsidRDefault="005A5BA2" w:rsidP="005A5BA2">
            <w:pPr>
              <w:spacing w:after="0" w:line="240" w:lineRule="auto"/>
              <w:ind w:firstLineChars="200" w:firstLine="320"/>
              <w:rPr>
                <w:rFonts w:ascii="Arial Narrow" w:eastAsia="Times New Roman" w:hAnsi="Arial Narrow" w:cs="Times New Roman"/>
                <w:i/>
                <w:iCs/>
                <w:sz w:val="16"/>
                <w:szCs w:val="16"/>
                <w:lang w:val="en-ZA" w:eastAsia="en-ZA"/>
              </w:rPr>
            </w:pPr>
            <w:r w:rsidRPr="005A5BA2">
              <w:rPr>
                <w:rFonts w:ascii="Arial Narrow" w:eastAsia="Times New Roman" w:hAnsi="Arial Narrow" w:cs="Times New Roman"/>
                <w:i/>
                <w:iCs/>
                <w:sz w:val="16"/>
                <w:szCs w:val="16"/>
                <w:lang w:val="en-ZA" w:eastAsia="en-ZA"/>
              </w:rPr>
              <w:t xml:space="preserve">  [insert description]</w:t>
            </w:r>
          </w:p>
        </w:tc>
        <w:tc>
          <w:tcPr>
            <w:tcW w:w="1023" w:type="dxa"/>
            <w:shd w:val="clear" w:color="auto" w:fill="auto"/>
            <w:noWrap/>
            <w:vAlign w:val="bottom"/>
            <w:hideMark/>
          </w:tcPr>
          <w:p w14:paraId="208EF90A"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1118" w:type="dxa"/>
            <w:shd w:val="clear" w:color="auto" w:fill="auto"/>
            <w:noWrap/>
            <w:vAlign w:val="bottom"/>
            <w:hideMark/>
          </w:tcPr>
          <w:p w14:paraId="27F4C003"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1099" w:type="dxa"/>
            <w:shd w:val="clear" w:color="auto" w:fill="auto"/>
            <w:noWrap/>
            <w:vAlign w:val="bottom"/>
            <w:hideMark/>
          </w:tcPr>
          <w:p w14:paraId="73770296"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2" w:type="dxa"/>
            <w:shd w:val="clear" w:color="auto" w:fill="auto"/>
            <w:noWrap/>
            <w:vAlign w:val="bottom"/>
            <w:hideMark/>
          </w:tcPr>
          <w:p w14:paraId="37AB29FB"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2" w:type="dxa"/>
            <w:shd w:val="clear" w:color="auto" w:fill="auto"/>
            <w:noWrap/>
            <w:vAlign w:val="bottom"/>
            <w:hideMark/>
          </w:tcPr>
          <w:p w14:paraId="3C7654D4"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6" w:type="dxa"/>
            <w:shd w:val="clear" w:color="auto" w:fill="auto"/>
            <w:noWrap/>
            <w:vAlign w:val="bottom"/>
            <w:hideMark/>
          </w:tcPr>
          <w:p w14:paraId="22A13045"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r>
      <w:tr w:rsidR="005A5BA2" w:rsidRPr="005A5BA2" w14:paraId="489619B2" w14:textId="77777777" w:rsidTr="005A5BA2">
        <w:trPr>
          <w:trHeight w:val="336"/>
        </w:trPr>
        <w:tc>
          <w:tcPr>
            <w:tcW w:w="4127" w:type="dxa"/>
            <w:shd w:val="clear" w:color="auto" w:fill="auto"/>
            <w:noWrap/>
            <w:vAlign w:val="bottom"/>
            <w:hideMark/>
          </w:tcPr>
          <w:p w14:paraId="292ABB48" w14:textId="77777777" w:rsidR="005A5BA2" w:rsidRPr="005A5BA2" w:rsidRDefault="005A5BA2" w:rsidP="005A5BA2">
            <w:pPr>
              <w:spacing w:after="0" w:line="240" w:lineRule="auto"/>
              <w:ind w:firstLineChars="200" w:firstLine="320"/>
              <w:rPr>
                <w:rFonts w:ascii="Arial Narrow" w:eastAsia="Times New Roman" w:hAnsi="Arial Narrow" w:cs="Times New Roman"/>
                <w:i/>
                <w:iCs/>
                <w:sz w:val="16"/>
                <w:szCs w:val="16"/>
                <w:lang w:val="en-ZA" w:eastAsia="en-ZA"/>
              </w:rPr>
            </w:pPr>
            <w:r w:rsidRPr="005A5BA2">
              <w:rPr>
                <w:rFonts w:ascii="Arial Narrow" w:eastAsia="Times New Roman" w:hAnsi="Arial Narrow" w:cs="Times New Roman"/>
                <w:i/>
                <w:iCs/>
                <w:sz w:val="16"/>
                <w:szCs w:val="16"/>
                <w:lang w:val="en-ZA" w:eastAsia="en-ZA"/>
              </w:rPr>
              <w:t> </w:t>
            </w:r>
          </w:p>
        </w:tc>
        <w:tc>
          <w:tcPr>
            <w:tcW w:w="1023" w:type="dxa"/>
            <w:shd w:val="clear" w:color="auto" w:fill="auto"/>
            <w:noWrap/>
            <w:vAlign w:val="bottom"/>
            <w:hideMark/>
          </w:tcPr>
          <w:p w14:paraId="675F879B"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1118" w:type="dxa"/>
            <w:shd w:val="clear" w:color="auto" w:fill="auto"/>
            <w:noWrap/>
            <w:vAlign w:val="bottom"/>
            <w:hideMark/>
          </w:tcPr>
          <w:p w14:paraId="56E225F7"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1099" w:type="dxa"/>
            <w:shd w:val="clear" w:color="auto" w:fill="auto"/>
            <w:noWrap/>
            <w:vAlign w:val="bottom"/>
            <w:hideMark/>
          </w:tcPr>
          <w:p w14:paraId="3CD75AB5"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2" w:type="dxa"/>
            <w:shd w:val="clear" w:color="auto" w:fill="auto"/>
            <w:noWrap/>
            <w:vAlign w:val="bottom"/>
            <w:hideMark/>
          </w:tcPr>
          <w:p w14:paraId="2CBFB3C3"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2" w:type="dxa"/>
            <w:shd w:val="clear" w:color="auto" w:fill="auto"/>
            <w:noWrap/>
            <w:vAlign w:val="bottom"/>
            <w:hideMark/>
          </w:tcPr>
          <w:p w14:paraId="516009CB"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6" w:type="dxa"/>
            <w:shd w:val="clear" w:color="auto" w:fill="auto"/>
            <w:noWrap/>
            <w:vAlign w:val="bottom"/>
            <w:hideMark/>
          </w:tcPr>
          <w:p w14:paraId="6C64954C"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r>
      <w:tr w:rsidR="005A5BA2" w:rsidRPr="005A5BA2" w14:paraId="6A822234" w14:textId="77777777" w:rsidTr="005A5BA2">
        <w:trPr>
          <w:trHeight w:val="336"/>
        </w:trPr>
        <w:tc>
          <w:tcPr>
            <w:tcW w:w="4127" w:type="dxa"/>
            <w:shd w:val="clear" w:color="auto" w:fill="auto"/>
            <w:noWrap/>
            <w:vAlign w:val="center"/>
            <w:hideMark/>
          </w:tcPr>
          <w:p w14:paraId="41649E5A"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Total Operating Transfers and Grants</w:t>
            </w:r>
          </w:p>
        </w:tc>
        <w:tc>
          <w:tcPr>
            <w:tcW w:w="1023" w:type="dxa"/>
            <w:shd w:val="clear" w:color="auto" w:fill="auto"/>
            <w:noWrap/>
            <w:vAlign w:val="center"/>
            <w:hideMark/>
          </w:tcPr>
          <w:p w14:paraId="4C1BB09F"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165 227 </w:t>
            </w:r>
          </w:p>
        </w:tc>
        <w:tc>
          <w:tcPr>
            <w:tcW w:w="1118" w:type="dxa"/>
            <w:shd w:val="clear" w:color="auto" w:fill="auto"/>
            <w:noWrap/>
            <w:vAlign w:val="center"/>
            <w:hideMark/>
          </w:tcPr>
          <w:p w14:paraId="5D539A01"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164 159 </w:t>
            </w:r>
          </w:p>
        </w:tc>
        <w:tc>
          <w:tcPr>
            <w:tcW w:w="1099" w:type="dxa"/>
            <w:shd w:val="clear" w:color="auto" w:fill="auto"/>
            <w:noWrap/>
            <w:vAlign w:val="center"/>
            <w:hideMark/>
          </w:tcPr>
          <w:p w14:paraId="6B47F4D3"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164 159 </w:t>
            </w:r>
          </w:p>
        </w:tc>
        <w:tc>
          <w:tcPr>
            <w:tcW w:w="992" w:type="dxa"/>
            <w:shd w:val="clear" w:color="auto" w:fill="auto"/>
            <w:noWrap/>
            <w:vAlign w:val="center"/>
            <w:hideMark/>
          </w:tcPr>
          <w:p w14:paraId="42882209"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169 876 </w:t>
            </w:r>
          </w:p>
        </w:tc>
        <w:tc>
          <w:tcPr>
            <w:tcW w:w="992" w:type="dxa"/>
            <w:shd w:val="clear" w:color="auto" w:fill="auto"/>
            <w:noWrap/>
            <w:vAlign w:val="center"/>
            <w:hideMark/>
          </w:tcPr>
          <w:p w14:paraId="7B8E95F2"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185 119 </w:t>
            </w:r>
          </w:p>
        </w:tc>
        <w:tc>
          <w:tcPr>
            <w:tcW w:w="996" w:type="dxa"/>
            <w:shd w:val="clear" w:color="auto" w:fill="auto"/>
            <w:noWrap/>
            <w:vAlign w:val="center"/>
            <w:hideMark/>
          </w:tcPr>
          <w:p w14:paraId="281B6D96"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192 244 </w:t>
            </w:r>
          </w:p>
        </w:tc>
      </w:tr>
      <w:tr w:rsidR="005A5BA2" w:rsidRPr="005A5BA2" w14:paraId="628D53B7" w14:textId="77777777" w:rsidTr="005A5BA2">
        <w:trPr>
          <w:trHeight w:val="336"/>
        </w:trPr>
        <w:tc>
          <w:tcPr>
            <w:tcW w:w="4127" w:type="dxa"/>
            <w:shd w:val="clear" w:color="auto" w:fill="auto"/>
            <w:noWrap/>
            <w:vAlign w:val="bottom"/>
            <w:hideMark/>
          </w:tcPr>
          <w:p w14:paraId="31C2E3DC" w14:textId="77777777" w:rsidR="005A5BA2" w:rsidRPr="005A5BA2" w:rsidRDefault="005A5BA2" w:rsidP="005A5BA2">
            <w:pPr>
              <w:spacing w:after="0" w:line="240" w:lineRule="auto"/>
              <w:rPr>
                <w:rFonts w:ascii="Arial Narrow" w:eastAsia="Times New Roman" w:hAnsi="Arial Narrow" w:cs="Times New Roman"/>
                <w:b/>
                <w:bCs/>
                <w:sz w:val="16"/>
                <w:szCs w:val="16"/>
                <w:u w:val="single"/>
                <w:lang w:val="en-ZA" w:eastAsia="en-ZA"/>
              </w:rPr>
            </w:pPr>
            <w:r w:rsidRPr="005A5BA2">
              <w:rPr>
                <w:rFonts w:ascii="Arial Narrow" w:eastAsia="Times New Roman" w:hAnsi="Arial Narrow" w:cs="Times New Roman"/>
                <w:b/>
                <w:bCs/>
                <w:sz w:val="16"/>
                <w:szCs w:val="16"/>
                <w:u w:val="single"/>
                <w:lang w:val="en-ZA" w:eastAsia="en-ZA"/>
              </w:rPr>
              <w:t>Capital Transfers and Grants</w:t>
            </w:r>
          </w:p>
        </w:tc>
        <w:tc>
          <w:tcPr>
            <w:tcW w:w="1023" w:type="dxa"/>
            <w:shd w:val="clear" w:color="auto" w:fill="auto"/>
            <w:noWrap/>
            <w:vAlign w:val="bottom"/>
            <w:hideMark/>
          </w:tcPr>
          <w:p w14:paraId="1CAC2F23"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1118" w:type="dxa"/>
            <w:shd w:val="clear" w:color="auto" w:fill="auto"/>
            <w:noWrap/>
            <w:vAlign w:val="bottom"/>
            <w:hideMark/>
          </w:tcPr>
          <w:p w14:paraId="14991EBE"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1099" w:type="dxa"/>
            <w:shd w:val="clear" w:color="auto" w:fill="auto"/>
            <w:noWrap/>
            <w:vAlign w:val="bottom"/>
            <w:hideMark/>
          </w:tcPr>
          <w:p w14:paraId="513D2E5F"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p>
        </w:tc>
        <w:tc>
          <w:tcPr>
            <w:tcW w:w="992" w:type="dxa"/>
            <w:shd w:val="clear" w:color="auto" w:fill="auto"/>
            <w:noWrap/>
            <w:vAlign w:val="bottom"/>
            <w:hideMark/>
          </w:tcPr>
          <w:p w14:paraId="3328DA10"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2" w:type="dxa"/>
            <w:shd w:val="clear" w:color="auto" w:fill="auto"/>
            <w:noWrap/>
            <w:vAlign w:val="bottom"/>
            <w:hideMark/>
          </w:tcPr>
          <w:p w14:paraId="414272B3"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6" w:type="dxa"/>
            <w:shd w:val="clear" w:color="auto" w:fill="auto"/>
            <w:noWrap/>
            <w:vAlign w:val="bottom"/>
            <w:hideMark/>
          </w:tcPr>
          <w:p w14:paraId="2D372388"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r>
      <w:tr w:rsidR="005A5BA2" w:rsidRPr="005A5BA2" w14:paraId="50100BE6" w14:textId="77777777" w:rsidTr="005A5BA2">
        <w:trPr>
          <w:trHeight w:val="336"/>
        </w:trPr>
        <w:tc>
          <w:tcPr>
            <w:tcW w:w="4127" w:type="dxa"/>
            <w:shd w:val="clear" w:color="auto" w:fill="auto"/>
            <w:noWrap/>
            <w:vAlign w:val="bottom"/>
            <w:hideMark/>
          </w:tcPr>
          <w:p w14:paraId="62D17E07" w14:textId="77777777" w:rsidR="005A5BA2" w:rsidRPr="005A5BA2" w:rsidRDefault="005A5BA2" w:rsidP="005A5BA2">
            <w:pPr>
              <w:spacing w:after="0" w:line="240" w:lineRule="auto"/>
              <w:ind w:firstLineChars="100" w:firstLine="161"/>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National Government:</w:t>
            </w:r>
          </w:p>
        </w:tc>
        <w:tc>
          <w:tcPr>
            <w:tcW w:w="1023" w:type="dxa"/>
            <w:shd w:val="clear" w:color="auto" w:fill="auto"/>
            <w:noWrap/>
            <w:vAlign w:val="bottom"/>
            <w:hideMark/>
          </w:tcPr>
          <w:p w14:paraId="19DCB7A0"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50 448 </w:t>
            </w:r>
          </w:p>
        </w:tc>
        <w:tc>
          <w:tcPr>
            <w:tcW w:w="1118" w:type="dxa"/>
            <w:shd w:val="clear" w:color="auto" w:fill="auto"/>
            <w:noWrap/>
            <w:vAlign w:val="bottom"/>
            <w:hideMark/>
          </w:tcPr>
          <w:p w14:paraId="437D29E0"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52 017 </w:t>
            </w:r>
          </w:p>
        </w:tc>
        <w:tc>
          <w:tcPr>
            <w:tcW w:w="1099" w:type="dxa"/>
            <w:shd w:val="clear" w:color="auto" w:fill="auto"/>
            <w:noWrap/>
            <w:vAlign w:val="bottom"/>
            <w:hideMark/>
          </w:tcPr>
          <w:p w14:paraId="33BC4B6B"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52 017 </w:t>
            </w:r>
          </w:p>
        </w:tc>
        <w:tc>
          <w:tcPr>
            <w:tcW w:w="992" w:type="dxa"/>
            <w:shd w:val="clear" w:color="auto" w:fill="auto"/>
            <w:noWrap/>
            <w:vAlign w:val="bottom"/>
            <w:hideMark/>
          </w:tcPr>
          <w:p w14:paraId="59A627EE"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62 723 </w:t>
            </w:r>
          </w:p>
        </w:tc>
        <w:tc>
          <w:tcPr>
            <w:tcW w:w="992" w:type="dxa"/>
            <w:shd w:val="clear" w:color="auto" w:fill="auto"/>
            <w:noWrap/>
            <w:vAlign w:val="bottom"/>
            <w:hideMark/>
          </w:tcPr>
          <w:p w14:paraId="5656AA0E"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53 780 </w:t>
            </w:r>
          </w:p>
        </w:tc>
        <w:tc>
          <w:tcPr>
            <w:tcW w:w="996" w:type="dxa"/>
            <w:shd w:val="clear" w:color="auto" w:fill="auto"/>
            <w:noWrap/>
            <w:vAlign w:val="bottom"/>
            <w:hideMark/>
          </w:tcPr>
          <w:p w14:paraId="55C6B7B2"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56 629 </w:t>
            </w:r>
          </w:p>
        </w:tc>
      </w:tr>
      <w:tr w:rsidR="005A5BA2" w:rsidRPr="005A5BA2" w14:paraId="1D543323" w14:textId="77777777" w:rsidTr="005A5BA2">
        <w:trPr>
          <w:trHeight w:val="336"/>
        </w:trPr>
        <w:tc>
          <w:tcPr>
            <w:tcW w:w="4127" w:type="dxa"/>
            <w:shd w:val="clear" w:color="auto" w:fill="auto"/>
            <w:noWrap/>
            <w:vAlign w:val="bottom"/>
            <w:hideMark/>
          </w:tcPr>
          <w:p w14:paraId="12A552DF" w14:textId="77777777" w:rsidR="005A5BA2" w:rsidRPr="005A5BA2" w:rsidRDefault="005A5BA2" w:rsidP="005A5BA2">
            <w:pPr>
              <w:spacing w:after="0" w:line="240" w:lineRule="auto"/>
              <w:ind w:firstLineChars="200" w:firstLine="320"/>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Municipal Infrastructure Grant (MIG)</w:t>
            </w:r>
          </w:p>
        </w:tc>
        <w:tc>
          <w:tcPr>
            <w:tcW w:w="1023" w:type="dxa"/>
            <w:shd w:val="clear" w:color="auto" w:fill="auto"/>
            <w:noWrap/>
            <w:vAlign w:val="bottom"/>
            <w:hideMark/>
          </w:tcPr>
          <w:p w14:paraId="6B68E018"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38 993 </w:t>
            </w:r>
          </w:p>
        </w:tc>
        <w:tc>
          <w:tcPr>
            <w:tcW w:w="1118" w:type="dxa"/>
            <w:shd w:val="clear" w:color="auto" w:fill="auto"/>
            <w:noWrap/>
            <w:vAlign w:val="bottom"/>
            <w:hideMark/>
          </w:tcPr>
          <w:p w14:paraId="3169E391"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38 993 </w:t>
            </w:r>
          </w:p>
        </w:tc>
        <w:tc>
          <w:tcPr>
            <w:tcW w:w="1099" w:type="dxa"/>
            <w:shd w:val="clear" w:color="auto" w:fill="auto"/>
            <w:noWrap/>
            <w:vAlign w:val="bottom"/>
            <w:hideMark/>
          </w:tcPr>
          <w:p w14:paraId="464C0C6A"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38 993 </w:t>
            </w:r>
          </w:p>
        </w:tc>
        <w:tc>
          <w:tcPr>
            <w:tcW w:w="992" w:type="dxa"/>
            <w:shd w:val="clear" w:color="auto" w:fill="auto"/>
            <w:noWrap/>
            <w:vAlign w:val="bottom"/>
            <w:hideMark/>
          </w:tcPr>
          <w:p w14:paraId="6E851712"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48 108 </w:t>
            </w:r>
          </w:p>
        </w:tc>
        <w:tc>
          <w:tcPr>
            <w:tcW w:w="992" w:type="dxa"/>
            <w:shd w:val="clear" w:color="auto" w:fill="auto"/>
            <w:noWrap/>
            <w:vAlign w:val="bottom"/>
            <w:hideMark/>
          </w:tcPr>
          <w:p w14:paraId="02D30235"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39 380 </w:t>
            </w:r>
          </w:p>
        </w:tc>
        <w:tc>
          <w:tcPr>
            <w:tcW w:w="996" w:type="dxa"/>
            <w:shd w:val="clear" w:color="auto" w:fill="auto"/>
            <w:noWrap/>
            <w:vAlign w:val="bottom"/>
            <w:hideMark/>
          </w:tcPr>
          <w:p w14:paraId="740857AF"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41 465 </w:t>
            </w:r>
          </w:p>
        </w:tc>
      </w:tr>
      <w:tr w:rsidR="005A5BA2" w:rsidRPr="005A5BA2" w14:paraId="6A2D00E2" w14:textId="77777777" w:rsidTr="005A5BA2">
        <w:trPr>
          <w:trHeight w:val="336"/>
        </w:trPr>
        <w:tc>
          <w:tcPr>
            <w:tcW w:w="4127" w:type="dxa"/>
            <w:shd w:val="clear" w:color="auto" w:fill="auto"/>
            <w:noWrap/>
            <w:vAlign w:val="bottom"/>
            <w:hideMark/>
          </w:tcPr>
          <w:p w14:paraId="423A81BC" w14:textId="77777777" w:rsidR="005A5BA2" w:rsidRPr="005A5BA2" w:rsidRDefault="005A5BA2" w:rsidP="005A5BA2">
            <w:pPr>
              <w:spacing w:after="0" w:line="240" w:lineRule="auto"/>
              <w:ind w:firstLineChars="200" w:firstLine="320"/>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Equitable Share</w:t>
            </w:r>
          </w:p>
        </w:tc>
        <w:tc>
          <w:tcPr>
            <w:tcW w:w="1023" w:type="dxa"/>
            <w:shd w:val="clear" w:color="auto" w:fill="auto"/>
            <w:noWrap/>
            <w:vAlign w:val="bottom"/>
            <w:hideMark/>
          </w:tcPr>
          <w:p w14:paraId="598FCFBA"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11 456 </w:t>
            </w:r>
          </w:p>
        </w:tc>
        <w:tc>
          <w:tcPr>
            <w:tcW w:w="1118" w:type="dxa"/>
            <w:shd w:val="clear" w:color="auto" w:fill="auto"/>
            <w:noWrap/>
            <w:vAlign w:val="bottom"/>
            <w:hideMark/>
          </w:tcPr>
          <w:p w14:paraId="7D2108E1"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12 524 </w:t>
            </w:r>
          </w:p>
        </w:tc>
        <w:tc>
          <w:tcPr>
            <w:tcW w:w="1099" w:type="dxa"/>
            <w:shd w:val="clear" w:color="auto" w:fill="auto"/>
            <w:noWrap/>
            <w:vAlign w:val="bottom"/>
            <w:hideMark/>
          </w:tcPr>
          <w:p w14:paraId="775E98AB"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12 524 </w:t>
            </w:r>
          </w:p>
        </w:tc>
        <w:tc>
          <w:tcPr>
            <w:tcW w:w="992" w:type="dxa"/>
            <w:shd w:val="clear" w:color="auto" w:fill="auto"/>
            <w:noWrap/>
            <w:vAlign w:val="bottom"/>
            <w:hideMark/>
          </w:tcPr>
          <w:p w14:paraId="0313DEEC"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13 535 </w:t>
            </w:r>
          </w:p>
        </w:tc>
        <w:tc>
          <w:tcPr>
            <w:tcW w:w="992" w:type="dxa"/>
            <w:shd w:val="clear" w:color="auto" w:fill="auto"/>
            <w:noWrap/>
            <w:vAlign w:val="bottom"/>
            <w:hideMark/>
          </w:tcPr>
          <w:p w14:paraId="2C5BAE85"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13 900 </w:t>
            </w:r>
          </w:p>
        </w:tc>
        <w:tc>
          <w:tcPr>
            <w:tcW w:w="996" w:type="dxa"/>
            <w:shd w:val="clear" w:color="auto" w:fill="auto"/>
            <w:noWrap/>
            <w:vAlign w:val="bottom"/>
            <w:hideMark/>
          </w:tcPr>
          <w:p w14:paraId="5442F34B"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14 664 </w:t>
            </w:r>
          </w:p>
        </w:tc>
      </w:tr>
      <w:tr w:rsidR="005A5BA2" w:rsidRPr="005A5BA2" w14:paraId="64416A4C" w14:textId="77777777" w:rsidTr="005A5BA2">
        <w:trPr>
          <w:trHeight w:val="336"/>
        </w:trPr>
        <w:tc>
          <w:tcPr>
            <w:tcW w:w="4127" w:type="dxa"/>
            <w:shd w:val="clear" w:color="auto" w:fill="auto"/>
            <w:noWrap/>
            <w:vAlign w:val="bottom"/>
            <w:hideMark/>
          </w:tcPr>
          <w:p w14:paraId="5B87C008" w14:textId="77777777" w:rsidR="005A5BA2" w:rsidRPr="005A5BA2" w:rsidRDefault="005A5BA2" w:rsidP="005A5BA2">
            <w:pPr>
              <w:spacing w:after="0" w:line="240" w:lineRule="auto"/>
              <w:ind w:firstLineChars="200" w:firstLine="320"/>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Integrated Youth Development Summit</w:t>
            </w:r>
          </w:p>
        </w:tc>
        <w:tc>
          <w:tcPr>
            <w:tcW w:w="1023" w:type="dxa"/>
            <w:shd w:val="clear" w:color="auto" w:fill="auto"/>
            <w:noWrap/>
            <w:vAlign w:val="bottom"/>
            <w:hideMark/>
          </w:tcPr>
          <w:p w14:paraId="01DEDC42"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1118" w:type="dxa"/>
            <w:shd w:val="clear" w:color="auto" w:fill="auto"/>
            <w:noWrap/>
            <w:vAlign w:val="bottom"/>
            <w:hideMark/>
          </w:tcPr>
          <w:p w14:paraId="5DB49249"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500 </w:t>
            </w:r>
          </w:p>
        </w:tc>
        <w:tc>
          <w:tcPr>
            <w:tcW w:w="1099" w:type="dxa"/>
            <w:shd w:val="clear" w:color="auto" w:fill="auto"/>
            <w:noWrap/>
            <w:vAlign w:val="bottom"/>
            <w:hideMark/>
          </w:tcPr>
          <w:p w14:paraId="735CF135"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500 </w:t>
            </w:r>
          </w:p>
        </w:tc>
        <w:tc>
          <w:tcPr>
            <w:tcW w:w="992" w:type="dxa"/>
            <w:shd w:val="clear" w:color="auto" w:fill="auto"/>
            <w:noWrap/>
            <w:vAlign w:val="bottom"/>
            <w:hideMark/>
          </w:tcPr>
          <w:p w14:paraId="4F9E644E"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1 080 </w:t>
            </w:r>
          </w:p>
        </w:tc>
        <w:tc>
          <w:tcPr>
            <w:tcW w:w="992" w:type="dxa"/>
            <w:shd w:val="clear" w:color="auto" w:fill="auto"/>
            <w:noWrap/>
            <w:vAlign w:val="bottom"/>
            <w:hideMark/>
          </w:tcPr>
          <w:p w14:paraId="0A7AED77"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500 </w:t>
            </w:r>
          </w:p>
        </w:tc>
        <w:tc>
          <w:tcPr>
            <w:tcW w:w="996" w:type="dxa"/>
            <w:shd w:val="clear" w:color="auto" w:fill="auto"/>
            <w:noWrap/>
            <w:vAlign w:val="bottom"/>
            <w:hideMark/>
          </w:tcPr>
          <w:p w14:paraId="28F49BA4"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500 </w:t>
            </w:r>
          </w:p>
        </w:tc>
      </w:tr>
      <w:tr w:rsidR="005A5BA2" w:rsidRPr="005A5BA2" w14:paraId="3ECD5820" w14:textId="77777777" w:rsidTr="005A5BA2">
        <w:trPr>
          <w:trHeight w:val="336"/>
        </w:trPr>
        <w:tc>
          <w:tcPr>
            <w:tcW w:w="4127" w:type="dxa"/>
            <w:shd w:val="clear" w:color="auto" w:fill="auto"/>
            <w:noWrap/>
            <w:vAlign w:val="bottom"/>
            <w:hideMark/>
          </w:tcPr>
          <w:p w14:paraId="3C97D63A" w14:textId="77777777" w:rsidR="005A5BA2" w:rsidRPr="005A5BA2" w:rsidRDefault="005A5BA2" w:rsidP="005A5BA2">
            <w:pPr>
              <w:spacing w:after="0" w:line="240" w:lineRule="auto"/>
              <w:ind w:firstLineChars="200" w:firstLine="320"/>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Municipal Systems Improvement</w:t>
            </w:r>
          </w:p>
        </w:tc>
        <w:tc>
          <w:tcPr>
            <w:tcW w:w="1023" w:type="dxa"/>
            <w:shd w:val="clear" w:color="auto" w:fill="auto"/>
            <w:noWrap/>
            <w:vAlign w:val="bottom"/>
            <w:hideMark/>
          </w:tcPr>
          <w:p w14:paraId="28024923"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1118" w:type="dxa"/>
            <w:shd w:val="clear" w:color="auto" w:fill="auto"/>
            <w:noWrap/>
            <w:vAlign w:val="bottom"/>
            <w:hideMark/>
          </w:tcPr>
          <w:p w14:paraId="7ABC83ED"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1099" w:type="dxa"/>
            <w:shd w:val="clear" w:color="auto" w:fill="auto"/>
            <w:noWrap/>
            <w:vAlign w:val="bottom"/>
            <w:hideMark/>
          </w:tcPr>
          <w:p w14:paraId="2D1E0E7D"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p>
        </w:tc>
        <w:tc>
          <w:tcPr>
            <w:tcW w:w="992" w:type="dxa"/>
            <w:shd w:val="clear" w:color="auto" w:fill="auto"/>
            <w:noWrap/>
            <w:vAlign w:val="bottom"/>
            <w:hideMark/>
          </w:tcPr>
          <w:p w14:paraId="751EA0C2"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2" w:type="dxa"/>
            <w:shd w:val="clear" w:color="auto" w:fill="auto"/>
            <w:noWrap/>
            <w:vAlign w:val="bottom"/>
            <w:hideMark/>
          </w:tcPr>
          <w:p w14:paraId="330A1A07"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6" w:type="dxa"/>
            <w:shd w:val="clear" w:color="auto" w:fill="auto"/>
            <w:noWrap/>
            <w:vAlign w:val="bottom"/>
            <w:hideMark/>
          </w:tcPr>
          <w:p w14:paraId="25955995"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r>
      <w:tr w:rsidR="005A5BA2" w:rsidRPr="005A5BA2" w14:paraId="13BE1B6D" w14:textId="77777777" w:rsidTr="005A5BA2">
        <w:trPr>
          <w:trHeight w:val="336"/>
        </w:trPr>
        <w:tc>
          <w:tcPr>
            <w:tcW w:w="4127" w:type="dxa"/>
            <w:shd w:val="clear" w:color="auto" w:fill="auto"/>
            <w:noWrap/>
            <w:vAlign w:val="bottom"/>
            <w:hideMark/>
          </w:tcPr>
          <w:p w14:paraId="40FC5A37" w14:textId="77777777" w:rsidR="005A5BA2" w:rsidRPr="005A5BA2" w:rsidRDefault="005A5BA2" w:rsidP="005A5BA2">
            <w:pPr>
              <w:spacing w:after="0" w:line="240" w:lineRule="auto"/>
              <w:ind w:firstLineChars="200" w:firstLine="320"/>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Other capital transfers/grants [insert desc]</w:t>
            </w:r>
          </w:p>
        </w:tc>
        <w:tc>
          <w:tcPr>
            <w:tcW w:w="1023" w:type="dxa"/>
            <w:shd w:val="clear" w:color="auto" w:fill="auto"/>
            <w:noWrap/>
            <w:vAlign w:val="bottom"/>
            <w:hideMark/>
          </w:tcPr>
          <w:p w14:paraId="2C1DCB79"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1118" w:type="dxa"/>
            <w:shd w:val="clear" w:color="auto" w:fill="auto"/>
            <w:noWrap/>
            <w:vAlign w:val="bottom"/>
            <w:hideMark/>
          </w:tcPr>
          <w:p w14:paraId="0E13A31F"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1099" w:type="dxa"/>
            <w:shd w:val="clear" w:color="auto" w:fill="auto"/>
            <w:noWrap/>
            <w:vAlign w:val="bottom"/>
            <w:hideMark/>
          </w:tcPr>
          <w:p w14:paraId="22659EA6"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2" w:type="dxa"/>
            <w:shd w:val="clear" w:color="auto" w:fill="auto"/>
            <w:noWrap/>
            <w:vAlign w:val="bottom"/>
            <w:hideMark/>
          </w:tcPr>
          <w:p w14:paraId="2F841D99"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2" w:type="dxa"/>
            <w:shd w:val="clear" w:color="auto" w:fill="auto"/>
            <w:noWrap/>
            <w:vAlign w:val="bottom"/>
            <w:hideMark/>
          </w:tcPr>
          <w:p w14:paraId="7A704182"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6" w:type="dxa"/>
            <w:shd w:val="clear" w:color="auto" w:fill="auto"/>
            <w:noWrap/>
            <w:vAlign w:val="bottom"/>
            <w:hideMark/>
          </w:tcPr>
          <w:p w14:paraId="3F8E0AA4"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r>
      <w:tr w:rsidR="005A5BA2" w:rsidRPr="005A5BA2" w14:paraId="5C68B158" w14:textId="77777777" w:rsidTr="005A5BA2">
        <w:trPr>
          <w:trHeight w:val="336"/>
        </w:trPr>
        <w:tc>
          <w:tcPr>
            <w:tcW w:w="4127" w:type="dxa"/>
            <w:shd w:val="clear" w:color="auto" w:fill="auto"/>
            <w:noWrap/>
            <w:vAlign w:val="bottom"/>
            <w:hideMark/>
          </w:tcPr>
          <w:p w14:paraId="7F2EF178" w14:textId="77777777" w:rsidR="005A5BA2" w:rsidRPr="005A5BA2" w:rsidRDefault="005A5BA2" w:rsidP="005A5BA2">
            <w:pPr>
              <w:spacing w:after="0" w:line="240" w:lineRule="auto"/>
              <w:ind w:firstLineChars="100" w:firstLine="161"/>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Provincial Government:</w:t>
            </w:r>
          </w:p>
        </w:tc>
        <w:tc>
          <w:tcPr>
            <w:tcW w:w="1023" w:type="dxa"/>
            <w:shd w:val="clear" w:color="auto" w:fill="auto"/>
            <w:noWrap/>
            <w:vAlign w:val="bottom"/>
            <w:hideMark/>
          </w:tcPr>
          <w:p w14:paraId="46F296BC"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133 </w:t>
            </w:r>
          </w:p>
        </w:tc>
        <w:tc>
          <w:tcPr>
            <w:tcW w:w="1118" w:type="dxa"/>
            <w:shd w:val="clear" w:color="auto" w:fill="auto"/>
            <w:noWrap/>
            <w:vAlign w:val="bottom"/>
            <w:hideMark/>
          </w:tcPr>
          <w:p w14:paraId="638D73CD"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133 </w:t>
            </w:r>
          </w:p>
        </w:tc>
        <w:tc>
          <w:tcPr>
            <w:tcW w:w="1099" w:type="dxa"/>
            <w:shd w:val="clear" w:color="auto" w:fill="auto"/>
            <w:noWrap/>
            <w:vAlign w:val="bottom"/>
            <w:hideMark/>
          </w:tcPr>
          <w:p w14:paraId="44A06094"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133 </w:t>
            </w:r>
          </w:p>
        </w:tc>
        <w:tc>
          <w:tcPr>
            <w:tcW w:w="992" w:type="dxa"/>
            <w:shd w:val="clear" w:color="auto" w:fill="auto"/>
            <w:noWrap/>
            <w:vAlign w:val="bottom"/>
            <w:hideMark/>
          </w:tcPr>
          <w:p w14:paraId="57A5F730"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  </w:t>
            </w:r>
          </w:p>
        </w:tc>
        <w:tc>
          <w:tcPr>
            <w:tcW w:w="992" w:type="dxa"/>
            <w:shd w:val="clear" w:color="auto" w:fill="auto"/>
            <w:noWrap/>
            <w:vAlign w:val="bottom"/>
            <w:hideMark/>
          </w:tcPr>
          <w:p w14:paraId="1508DC15"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  </w:t>
            </w:r>
          </w:p>
        </w:tc>
        <w:tc>
          <w:tcPr>
            <w:tcW w:w="996" w:type="dxa"/>
            <w:shd w:val="clear" w:color="auto" w:fill="auto"/>
            <w:noWrap/>
            <w:vAlign w:val="bottom"/>
            <w:hideMark/>
          </w:tcPr>
          <w:p w14:paraId="0FEFDDD6"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  </w:t>
            </w:r>
          </w:p>
        </w:tc>
      </w:tr>
      <w:tr w:rsidR="005A5BA2" w:rsidRPr="005A5BA2" w14:paraId="4643124C" w14:textId="77777777" w:rsidTr="005A5BA2">
        <w:trPr>
          <w:trHeight w:val="572"/>
        </w:trPr>
        <w:tc>
          <w:tcPr>
            <w:tcW w:w="4127" w:type="dxa"/>
            <w:shd w:val="clear" w:color="auto" w:fill="auto"/>
            <w:vAlign w:val="bottom"/>
            <w:hideMark/>
          </w:tcPr>
          <w:p w14:paraId="3768735B" w14:textId="77777777" w:rsidR="005A5BA2" w:rsidRPr="005A5BA2" w:rsidRDefault="005A5BA2" w:rsidP="005A5BA2">
            <w:pPr>
              <w:spacing w:after="0" w:line="240" w:lineRule="auto"/>
              <w:ind w:firstLineChars="200" w:firstLine="320"/>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Cogta: Support to community service centre grant</w:t>
            </w:r>
          </w:p>
        </w:tc>
        <w:tc>
          <w:tcPr>
            <w:tcW w:w="1023" w:type="dxa"/>
            <w:shd w:val="clear" w:color="auto" w:fill="auto"/>
            <w:noWrap/>
            <w:vAlign w:val="bottom"/>
            <w:hideMark/>
          </w:tcPr>
          <w:p w14:paraId="3D1E4399"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73 </w:t>
            </w:r>
          </w:p>
        </w:tc>
        <w:tc>
          <w:tcPr>
            <w:tcW w:w="1118" w:type="dxa"/>
            <w:shd w:val="clear" w:color="auto" w:fill="auto"/>
            <w:noWrap/>
            <w:vAlign w:val="bottom"/>
            <w:hideMark/>
          </w:tcPr>
          <w:p w14:paraId="4D1420BE"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73 </w:t>
            </w:r>
          </w:p>
        </w:tc>
        <w:tc>
          <w:tcPr>
            <w:tcW w:w="1099" w:type="dxa"/>
            <w:shd w:val="clear" w:color="auto" w:fill="auto"/>
            <w:noWrap/>
            <w:vAlign w:val="bottom"/>
            <w:hideMark/>
          </w:tcPr>
          <w:p w14:paraId="183902E6"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73 </w:t>
            </w:r>
          </w:p>
        </w:tc>
        <w:tc>
          <w:tcPr>
            <w:tcW w:w="992" w:type="dxa"/>
            <w:shd w:val="clear" w:color="auto" w:fill="auto"/>
            <w:noWrap/>
            <w:vAlign w:val="bottom"/>
            <w:hideMark/>
          </w:tcPr>
          <w:p w14:paraId="5E30FE48"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2" w:type="dxa"/>
            <w:shd w:val="clear" w:color="auto" w:fill="auto"/>
            <w:noWrap/>
            <w:vAlign w:val="bottom"/>
            <w:hideMark/>
          </w:tcPr>
          <w:p w14:paraId="1897E9FF"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6" w:type="dxa"/>
            <w:shd w:val="clear" w:color="auto" w:fill="auto"/>
            <w:noWrap/>
            <w:vAlign w:val="bottom"/>
            <w:hideMark/>
          </w:tcPr>
          <w:p w14:paraId="16F8AD50"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r>
      <w:tr w:rsidR="005A5BA2" w:rsidRPr="005A5BA2" w14:paraId="272398EE" w14:textId="77777777" w:rsidTr="005A5BA2">
        <w:trPr>
          <w:trHeight w:val="336"/>
        </w:trPr>
        <w:tc>
          <w:tcPr>
            <w:tcW w:w="4127" w:type="dxa"/>
            <w:shd w:val="clear" w:color="auto" w:fill="auto"/>
            <w:vAlign w:val="bottom"/>
            <w:hideMark/>
          </w:tcPr>
          <w:p w14:paraId="1621D025" w14:textId="77777777" w:rsidR="005A5BA2" w:rsidRPr="005A5BA2" w:rsidRDefault="005A5BA2" w:rsidP="005A5BA2">
            <w:pPr>
              <w:spacing w:after="0" w:line="240" w:lineRule="auto"/>
              <w:ind w:firstLineChars="200" w:firstLine="320"/>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Dept of Sport and Rec: Maintence of facilities</w:t>
            </w:r>
          </w:p>
        </w:tc>
        <w:tc>
          <w:tcPr>
            <w:tcW w:w="1023" w:type="dxa"/>
            <w:shd w:val="clear" w:color="auto" w:fill="auto"/>
            <w:noWrap/>
            <w:vAlign w:val="bottom"/>
            <w:hideMark/>
          </w:tcPr>
          <w:p w14:paraId="2A3AC973"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60 </w:t>
            </w:r>
          </w:p>
        </w:tc>
        <w:tc>
          <w:tcPr>
            <w:tcW w:w="1118" w:type="dxa"/>
            <w:shd w:val="clear" w:color="auto" w:fill="auto"/>
            <w:noWrap/>
            <w:vAlign w:val="bottom"/>
            <w:hideMark/>
          </w:tcPr>
          <w:p w14:paraId="2C4F087C"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60 </w:t>
            </w:r>
          </w:p>
        </w:tc>
        <w:tc>
          <w:tcPr>
            <w:tcW w:w="1099" w:type="dxa"/>
            <w:shd w:val="clear" w:color="auto" w:fill="auto"/>
            <w:noWrap/>
            <w:vAlign w:val="bottom"/>
            <w:hideMark/>
          </w:tcPr>
          <w:p w14:paraId="6F05505D"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xml:space="preserve">               60 </w:t>
            </w:r>
          </w:p>
        </w:tc>
        <w:tc>
          <w:tcPr>
            <w:tcW w:w="992" w:type="dxa"/>
            <w:shd w:val="clear" w:color="auto" w:fill="auto"/>
            <w:noWrap/>
            <w:vAlign w:val="bottom"/>
            <w:hideMark/>
          </w:tcPr>
          <w:p w14:paraId="39E8FF64"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2" w:type="dxa"/>
            <w:shd w:val="clear" w:color="auto" w:fill="auto"/>
            <w:noWrap/>
            <w:vAlign w:val="bottom"/>
            <w:hideMark/>
          </w:tcPr>
          <w:p w14:paraId="3A9A5FB1"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6" w:type="dxa"/>
            <w:shd w:val="clear" w:color="auto" w:fill="auto"/>
            <w:noWrap/>
            <w:vAlign w:val="bottom"/>
            <w:hideMark/>
          </w:tcPr>
          <w:p w14:paraId="4F55E443"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r>
      <w:tr w:rsidR="005A5BA2" w:rsidRPr="005A5BA2" w14:paraId="0E4668B6" w14:textId="77777777" w:rsidTr="005A5BA2">
        <w:trPr>
          <w:trHeight w:val="336"/>
        </w:trPr>
        <w:tc>
          <w:tcPr>
            <w:tcW w:w="4127" w:type="dxa"/>
            <w:shd w:val="clear" w:color="auto" w:fill="auto"/>
            <w:noWrap/>
            <w:vAlign w:val="bottom"/>
            <w:hideMark/>
          </w:tcPr>
          <w:p w14:paraId="1BAEB915" w14:textId="77777777" w:rsidR="005A5BA2" w:rsidRPr="005A5BA2" w:rsidRDefault="005A5BA2" w:rsidP="005A5BA2">
            <w:pPr>
              <w:spacing w:after="0" w:line="240" w:lineRule="auto"/>
              <w:ind w:firstLineChars="100" w:firstLine="161"/>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District Municipality:</w:t>
            </w:r>
          </w:p>
        </w:tc>
        <w:tc>
          <w:tcPr>
            <w:tcW w:w="1023" w:type="dxa"/>
            <w:shd w:val="clear" w:color="auto" w:fill="auto"/>
            <w:noWrap/>
            <w:vAlign w:val="bottom"/>
            <w:hideMark/>
          </w:tcPr>
          <w:p w14:paraId="18FF0D35"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  </w:t>
            </w:r>
          </w:p>
        </w:tc>
        <w:tc>
          <w:tcPr>
            <w:tcW w:w="1118" w:type="dxa"/>
            <w:shd w:val="clear" w:color="auto" w:fill="auto"/>
            <w:noWrap/>
            <w:vAlign w:val="bottom"/>
            <w:hideMark/>
          </w:tcPr>
          <w:p w14:paraId="0BAA7509"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  </w:t>
            </w:r>
          </w:p>
        </w:tc>
        <w:tc>
          <w:tcPr>
            <w:tcW w:w="1099" w:type="dxa"/>
            <w:shd w:val="clear" w:color="auto" w:fill="auto"/>
            <w:noWrap/>
            <w:vAlign w:val="bottom"/>
            <w:hideMark/>
          </w:tcPr>
          <w:p w14:paraId="25589863"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  </w:t>
            </w:r>
          </w:p>
        </w:tc>
        <w:tc>
          <w:tcPr>
            <w:tcW w:w="992" w:type="dxa"/>
            <w:shd w:val="clear" w:color="auto" w:fill="auto"/>
            <w:noWrap/>
            <w:vAlign w:val="bottom"/>
            <w:hideMark/>
          </w:tcPr>
          <w:p w14:paraId="52DAD7B2"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  </w:t>
            </w:r>
          </w:p>
        </w:tc>
        <w:tc>
          <w:tcPr>
            <w:tcW w:w="992" w:type="dxa"/>
            <w:shd w:val="clear" w:color="auto" w:fill="auto"/>
            <w:noWrap/>
            <w:vAlign w:val="bottom"/>
            <w:hideMark/>
          </w:tcPr>
          <w:p w14:paraId="30919750"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  </w:t>
            </w:r>
          </w:p>
        </w:tc>
        <w:tc>
          <w:tcPr>
            <w:tcW w:w="996" w:type="dxa"/>
            <w:shd w:val="clear" w:color="auto" w:fill="auto"/>
            <w:noWrap/>
            <w:vAlign w:val="bottom"/>
            <w:hideMark/>
          </w:tcPr>
          <w:p w14:paraId="5C66B51F"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  </w:t>
            </w:r>
          </w:p>
        </w:tc>
      </w:tr>
      <w:tr w:rsidR="005A5BA2" w:rsidRPr="005A5BA2" w14:paraId="3EEE16C4" w14:textId="77777777" w:rsidTr="005A5BA2">
        <w:trPr>
          <w:trHeight w:val="336"/>
        </w:trPr>
        <w:tc>
          <w:tcPr>
            <w:tcW w:w="4127" w:type="dxa"/>
            <w:shd w:val="clear" w:color="auto" w:fill="auto"/>
            <w:noWrap/>
            <w:vAlign w:val="bottom"/>
            <w:hideMark/>
          </w:tcPr>
          <w:p w14:paraId="3E2BC856" w14:textId="77777777" w:rsidR="005A5BA2" w:rsidRPr="005A5BA2" w:rsidRDefault="005A5BA2" w:rsidP="005A5BA2">
            <w:pPr>
              <w:spacing w:after="0" w:line="240" w:lineRule="auto"/>
              <w:ind w:firstLineChars="200" w:firstLine="320"/>
              <w:rPr>
                <w:rFonts w:ascii="Arial Narrow" w:eastAsia="Times New Roman" w:hAnsi="Arial Narrow" w:cs="Times New Roman"/>
                <w:i/>
                <w:iCs/>
                <w:sz w:val="16"/>
                <w:szCs w:val="16"/>
                <w:lang w:val="en-ZA" w:eastAsia="en-ZA"/>
              </w:rPr>
            </w:pPr>
            <w:r w:rsidRPr="005A5BA2">
              <w:rPr>
                <w:rFonts w:ascii="Arial Narrow" w:eastAsia="Times New Roman" w:hAnsi="Arial Narrow" w:cs="Times New Roman"/>
                <w:i/>
                <w:iCs/>
                <w:sz w:val="16"/>
                <w:szCs w:val="16"/>
                <w:lang w:val="en-ZA" w:eastAsia="en-ZA"/>
              </w:rPr>
              <w:t>Informal traders training grant</w:t>
            </w:r>
          </w:p>
        </w:tc>
        <w:tc>
          <w:tcPr>
            <w:tcW w:w="1023" w:type="dxa"/>
            <w:shd w:val="clear" w:color="auto" w:fill="auto"/>
            <w:noWrap/>
            <w:vAlign w:val="bottom"/>
            <w:hideMark/>
          </w:tcPr>
          <w:p w14:paraId="30B16A41"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1118" w:type="dxa"/>
            <w:shd w:val="clear" w:color="auto" w:fill="auto"/>
            <w:noWrap/>
            <w:vAlign w:val="bottom"/>
            <w:hideMark/>
          </w:tcPr>
          <w:p w14:paraId="2145FF61"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1099" w:type="dxa"/>
            <w:shd w:val="clear" w:color="auto" w:fill="auto"/>
            <w:noWrap/>
            <w:vAlign w:val="bottom"/>
            <w:hideMark/>
          </w:tcPr>
          <w:p w14:paraId="1562F5D2"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2" w:type="dxa"/>
            <w:shd w:val="clear" w:color="auto" w:fill="auto"/>
            <w:noWrap/>
            <w:vAlign w:val="bottom"/>
            <w:hideMark/>
          </w:tcPr>
          <w:p w14:paraId="107D3B01"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2" w:type="dxa"/>
            <w:shd w:val="clear" w:color="auto" w:fill="auto"/>
            <w:noWrap/>
            <w:vAlign w:val="bottom"/>
            <w:hideMark/>
          </w:tcPr>
          <w:p w14:paraId="2F4D544E"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6" w:type="dxa"/>
            <w:shd w:val="clear" w:color="auto" w:fill="auto"/>
            <w:noWrap/>
            <w:vAlign w:val="bottom"/>
            <w:hideMark/>
          </w:tcPr>
          <w:p w14:paraId="44A7FDFE"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r>
      <w:tr w:rsidR="005A5BA2" w:rsidRPr="005A5BA2" w14:paraId="40395A17" w14:textId="77777777" w:rsidTr="005A5BA2">
        <w:trPr>
          <w:trHeight w:val="336"/>
        </w:trPr>
        <w:tc>
          <w:tcPr>
            <w:tcW w:w="4127" w:type="dxa"/>
            <w:shd w:val="clear" w:color="auto" w:fill="auto"/>
            <w:noWrap/>
            <w:vAlign w:val="bottom"/>
            <w:hideMark/>
          </w:tcPr>
          <w:p w14:paraId="4EEC297B" w14:textId="77777777" w:rsidR="005A5BA2" w:rsidRPr="005A5BA2" w:rsidRDefault="005A5BA2" w:rsidP="005A5BA2">
            <w:pPr>
              <w:spacing w:after="0" w:line="240" w:lineRule="auto"/>
              <w:ind w:firstLineChars="200" w:firstLine="320"/>
              <w:rPr>
                <w:rFonts w:ascii="Arial Narrow" w:eastAsia="Times New Roman" w:hAnsi="Arial Narrow" w:cs="Times New Roman"/>
                <w:i/>
                <w:iCs/>
                <w:sz w:val="16"/>
                <w:szCs w:val="16"/>
                <w:lang w:val="en-ZA" w:eastAsia="en-ZA"/>
              </w:rPr>
            </w:pPr>
            <w:r w:rsidRPr="005A5BA2">
              <w:rPr>
                <w:rFonts w:ascii="Arial Narrow" w:eastAsia="Times New Roman" w:hAnsi="Arial Narrow" w:cs="Times New Roman"/>
                <w:i/>
                <w:iCs/>
                <w:sz w:val="16"/>
                <w:szCs w:val="16"/>
                <w:lang w:val="en-ZA" w:eastAsia="en-ZA"/>
              </w:rPr>
              <w:t> </w:t>
            </w:r>
          </w:p>
        </w:tc>
        <w:tc>
          <w:tcPr>
            <w:tcW w:w="1023" w:type="dxa"/>
            <w:shd w:val="clear" w:color="auto" w:fill="auto"/>
            <w:noWrap/>
            <w:vAlign w:val="bottom"/>
            <w:hideMark/>
          </w:tcPr>
          <w:p w14:paraId="55002A13"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1118" w:type="dxa"/>
            <w:shd w:val="clear" w:color="auto" w:fill="auto"/>
            <w:noWrap/>
            <w:vAlign w:val="bottom"/>
            <w:hideMark/>
          </w:tcPr>
          <w:p w14:paraId="025B054E"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1099" w:type="dxa"/>
            <w:shd w:val="clear" w:color="auto" w:fill="auto"/>
            <w:noWrap/>
            <w:vAlign w:val="bottom"/>
            <w:hideMark/>
          </w:tcPr>
          <w:p w14:paraId="78E7321C"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2" w:type="dxa"/>
            <w:shd w:val="clear" w:color="auto" w:fill="auto"/>
            <w:noWrap/>
            <w:vAlign w:val="bottom"/>
            <w:hideMark/>
          </w:tcPr>
          <w:p w14:paraId="587A65E4"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2" w:type="dxa"/>
            <w:shd w:val="clear" w:color="auto" w:fill="auto"/>
            <w:noWrap/>
            <w:vAlign w:val="bottom"/>
            <w:hideMark/>
          </w:tcPr>
          <w:p w14:paraId="6AA3C733"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6" w:type="dxa"/>
            <w:shd w:val="clear" w:color="auto" w:fill="auto"/>
            <w:noWrap/>
            <w:vAlign w:val="bottom"/>
            <w:hideMark/>
          </w:tcPr>
          <w:p w14:paraId="281DD488"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r>
      <w:tr w:rsidR="005A5BA2" w:rsidRPr="005A5BA2" w14:paraId="3BF57653" w14:textId="77777777" w:rsidTr="005A5BA2">
        <w:trPr>
          <w:trHeight w:val="336"/>
        </w:trPr>
        <w:tc>
          <w:tcPr>
            <w:tcW w:w="4127" w:type="dxa"/>
            <w:shd w:val="clear" w:color="auto" w:fill="auto"/>
            <w:noWrap/>
            <w:vAlign w:val="bottom"/>
            <w:hideMark/>
          </w:tcPr>
          <w:p w14:paraId="7341E970" w14:textId="77777777" w:rsidR="005A5BA2" w:rsidRPr="005A5BA2" w:rsidRDefault="005A5BA2" w:rsidP="005A5BA2">
            <w:pPr>
              <w:spacing w:after="0" w:line="240" w:lineRule="auto"/>
              <w:ind w:firstLineChars="100" w:firstLine="161"/>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Other grant providers:</w:t>
            </w:r>
          </w:p>
        </w:tc>
        <w:tc>
          <w:tcPr>
            <w:tcW w:w="1023" w:type="dxa"/>
            <w:shd w:val="clear" w:color="auto" w:fill="auto"/>
            <w:noWrap/>
            <w:vAlign w:val="bottom"/>
            <w:hideMark/>
          </w:tcPr>
          <w:p w14:paraId="42A559A9"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  </w:t>
            </w:r>
          </w:p>
        </w:tc>
        <w:tc>
          <w:tcPr>
            <w:tcW w:w="1118" w:type="dxa"/>
            <w:shd w:val="clear" w:color="auto" w:fill="auto"/>
            <w:noWrap/>
            <w:vAlign w:val="bottom"/>
            <w:hideMark/>
          </w:tcPr>
          <w:p w14:paraId="5C6D787E"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  </w:t>
            </w:r>
          </w:p>
        </w:tc>
        <w:tc>
          <w:tcPr>
            <w:tcW w:w="1099" w:type="dxa"/>
            <w:shd w:val="clear" w:color="auto" w:fill="auto"/>
            <w:noWrap/>
            <w:vAlign w:val="bottom"/>
            <w:hideMark/>
          </w:tcPr>
          <w:p w14:paraId="6EB45A47"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  </w:t>
            </w:r>
          </w:p>
        </w:tc>
        <w:tc>
          <w:tcPr>
            <w:tcW w:w="992" w:type="dxa"/>
            <w:shd w:val="clear" w:color="auto" w:fill="auto"/>
            <w:noWrap/>
            <w:vAlign w:val="bottom"/>
            <w:hideMark/>
          </w:tcPr>
          <w:p w14:paraId="17F85433"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  </w:t>
            </w:r>
          </w:p>
        </w:tc>
        <w:tc>
          <w:tcPr>
            <w:tcW w:w="992" w:type="dxa"/>
            <w:shd w:val="clear" w:color="auto" w:fill="auto"/>
            <w:noWrap/>
            <w:vAlign w:val="bottom"/>
            <w:hideMark/>
          </w:tcPr>
          <w:p w14:paraId="2CC2EC7D"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  </w:t>
            </w:r>
          </w:p>
        </w:tc>
        <w:tc>
          <w:tcPr>
            <w:tcW w:w="996" w:type="dxa"/>
            <w:shd w:val="clear" w:color="auto" w:fill="auto"/>
            <w:noWrap/>
            <w:vAlign w:val="bottom"/>
            <w:hideMark/>
          </w:tcPr>
          <w:p w14:paraId="4CF74795"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  </w:t>
            </w:r>
          </w:p>
        </w:tc>
      </w:tr>
      <w:tr w:rsidR="005A5BA2" w:rsidRPr="005A5BA2" w14:paraId="746856AE" w14:textId="77777777" w:rsidTr="005A5BA2">
        <w:trPr>
          <w:trHeight w:val="336"/>
        </w:trPr>
        <w:tc>
          <w:tcPr>
            <w:tcW w:w="4127" w:type="dxa"/>
            <w:shd w:val="clear" w:color="auto" w:fill="auto"/>
            <w:noWrap/>
            <w:vAlign w:val="bottom"/>
            <w:hideMark/>
          </w:tcPr>
          <w:p w14:paraId="52C92392" w14:textId="77777777" w:rsidR="005A5BA2" w:rsidRPr="005A5BA2" w:rsidRDefault="005A5BA2" w:rsidP="005A5BA2">
            <w:pPr>
              <w:spacing w:after="0" w:line="240" w:lineRule="auto"/>
              <w:ind w:firstLineChars="200" w:firstLine="320"/>
              <w:rPr>
                <w:rFonts w:ascii="Arial Narrow" w:eastAsia="Times New Roman" w:hAnsi="Arial Narrow" w:cs="Times New Roman"/>
                <w:i/>
                <w:iCs/>
                <w:sz w:val="16"/>
                <w:szCs w:val="16"/>
                <w:lang w:val="en-ZA" w:eastAsia="en-ZA"/>
              </w:rPr>
            </w:pPr>
            <w:r w:rsidRPr="005A5BA2">
              <w:rPr>
                <w:rFonts w:ascii="Arial Narrow" w:eastAsia="Times New Roman" w:hAnsi="Arial Narrow" w:cs="Times New Roman"/>
                <w:i/>
                <w:iCs/>
                <w:sz w:val="16"/>
                <w:szCs w:val="16"/>
                <w:lang w:val="en-ZA" w:eastAsia="en-ZA"/>
              </w:rPr>
              <w:t xml:space="preserve">  [insert description]</w:t>
            </w:r>
          </w:p>
        </w:tc>
        <w:tc>
          <w:tcPr>
            <w:tcW w:w="1023" w:type="dxa"/>
            <w:shd w:val="clear" w:color="auto" w:fill="auto"/>
            <w:noWrap/>
            <w:vAlign w:val="bottom"/>
            <w:hideMark/>
          </w:tcPr>
          <w:p w14:paraId="09667494"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1118" w:type="dxa"/>
            <w:shd w:val="clear" w:color="auto" w:fill="auto"/>
            <w:noWrap/>
            <w:vAlign w:val="bottom"/>
            <w:hideMark/>
          </w:tcPr>
          <w:p w14:paraId="3A9311C1"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1099" w:type="dxa"/>
            <w:shd w:val="clear" w:color="auto" w:fill="auto"/>
            <w:noWrap/>
            <w:vAlign w:val="bottom"/>
            <w:hideMark/>
          </w:tcPr>
          <w:p w14:paraId="371CF799"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2" w:type="dxa"/>
            <w:shd w:val="clear" w:color="auto" w:fill="auto"/>
            <w:noWrap/>
            <w:vAlign w:val="bottom"/>
            <w:hideMark/>
          </w:tcPr>
          <w:p w14:paraId="6D53844B"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2" w:type="dxa"/>
            <w:shd w:val="clear" w:color="auto" w:fill="auto"/>
            <w:noWrap/>
            <w:vAlign w:val="bottom"/>
            <w:hideMark/>
          </w:tcPr>
          <w:p w14:paraId="380717AD"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c>
          <w:tcPr>
            <w:tcW w:w="996" w:type="dxa"/>
            <w:shd w:val="clear" w:color="auto" w:fill="auto"/>
            <w:noWrap/>
            <w:vAlign w:val="bottom"/>
            <w:hideMark/>
          </w:tcPr>
          <w:p w14:paraId="03240704" w14:textId="77777777" w:rsidR="005A5BA2" w:rsidRPr="005A5BA2" w:rsidRDefault="005A5BA2" w:rsidP="005A5BA2">
            <w:pPr>
              <w:spacing w:after="0" w:line="240" w:lineRule="auto"/>
              <w:rPr>
                <w:rFonts w:ascii="Arial Narrow" w:eastAsia="Times New Roman" w:hAnsi="Arial Narrow" w:cs="Times New Roman"/>
                <w:sz w:val="16"/>
                <w:szCs w:val="16"/>
                <w:lang w:val="en-ZA" w:eastAsia="en-ZA"/>
              </w:rPr>
            </w:pPr>
            <w:r w:rsidRPr="005A5BA2">
              <w:rPr>
                <w:rFonts w:ascii="Arial Narrow" w:eastAsia="Times New Roman" w:hAnsi="Arial Narrow" w:cs="Times New Roman"/>
                <w:sz w:val="16"/>
                <w:szCs w:val="16"/>
                <w:lang w:val="en-ZA" w:eastAsia="en-ZA"/>
              </w:rPr>
              <w:t> </w:t>
            </w:r>
          </w:p>
        </w:tc>
      </w:tr>
      <w:tr w:rsidR="005A5BA2" w:rsidRPr="005A5BA2" w14:paraId="7EE88B42" w14:textId="77777777" w:rsidTr="005A5BA2">
        <w:trPr>
          <w:trHeight w:val="336"/>
        </w:trPr>
        <w:tc>
          <w:tcPr>
            <w:tcW w:w="4127" w:type="dxa"/>
            <w:shd w:val="clear" w:color="auto" w:fill="auto"/>
            <w:noWrap/>
            <w:vAlign w:val="bottom"/>
            <w:hideMark/>
          </w:tcPr>
          <w:p w14:paraId="53E63A93"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Total Capital Transfers and Grants</w:t>
            </w:r>
          </w:p>
        </w:tc>
        <w:tc>
          <w:tcPr>
            <w:tcW w:w="1023" w:type="dxa"/>
            <w:shd w:val="clear" w:color="auto" w:fill="auto"/>
            <w:noWrap/>
            <w:vAlign w:val="bottom"/>
            <w:hideMark/>
          </w:tcPr>
          <w:p w14:paraId="4261EEAC"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50 581 </w:t>
            </w:r>
          </w:p>
        </w:tc>
        <w:tc>
          <w:tcPr>
            <w:tcW w:w="1118" w:type="dxa"/>
            <w:shd w:val="clear" w:color="auto" w:fill="auto"/>
            <w:noWrap/>
            <w:vAlign w:val="bottom"/>
            <w:hideMark/>
          </w:tcPr>
          <w:p w14:paraId="420E0B16"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52 150 </w:t>
            </w:r>
          </w:p>
        </w:tc>
        <w:tc>
          <w:tcPr>
            <w:tcW w:w="1099" w:type="dxa"/>
            <w:shd w:val="clear" w:color="auto" w:fill="auto"/>
            <w:noWrap/>
            <w:vAlign w:val="bottom"/>
            <w:hideMark/>
          </w:tcPr>
          <w:p w14:paraId="2FCC1339"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52 150 </w:t>
            </w:r>
          </w:p>
        </w:tc>
        <w:tc>
          <w:tcPr>
            <w:tcW w:w="992" w:type="dxa"/>
            <w:shd w:val="clear" w:color="auto" w:fill="auto"/>
            <w:noWrap/>
            <w:vAlign w:val="bottom"/>
            <w:hideMark/>
          </w:tcPr>
          <w:p w14:paraId="430A4F71"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62 723 </w:t>
            </w:r>
          </w:p>
        </w:tc>
        <w:tc>
          <w:tcPr>
            <w:tcW w:w="992" w:type="dxa"/>
            <w:shd w:val="clear" w:color="auto" w:fill="auto"/>
            <w:noWrap/>
            <w:vAlign w:val="bottom"/>
            <w:hideMark/>
          </w:tcPr>
          <w:p w14:paraId="7D9684CE"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53 780 </w:t>
            </w:r>
          </w:p>
        </w:tc>
        <w:tc>
          <w:tcPr>
            <w:tcW w:w="996" w:type="dxa"/>
            <w:shd w:val="clear" w:color="auto" w:fill="auto"/>
            <w:noWrap/>
            <w:vAlign w:val="bottom"/>
            <w:hideMark/>
          </w:tcPr>
          <w:p w14:paraId="1271BC1D"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56 629 </w:t>
            </w:r>
          </w:p>
        </w:tc>
      </w:tr>
      <w:tr w:rsidR="005A5BA2" w:rsidRPr="005A5BA2" w14:paraId="065CFC18" w14:textId="77777777" w:rsidTr="005A5BA2">
        <w:trPr>
          <w:trHeight w:val="336"/>
        </w:trPr>
        <w:tc>
          <w:tcPr>
            <w:tcW w:w="4127" w:type="dxa"/>
            <w:shd w:val="clear" w:color="auto" w:fill="auto"/>
            <w:noWrap/>
            <w:vAlign w:val="center"/>
            <w:hideMark/>
          </w:tcPr>
          <w:p w14:paraId="3A3357DE"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TOTAL RECEIPTS OF TRANSFERS &amp; GRANTS</w:t>
            </w:r>
          </w:p>
        </w:tc>
        <w:tc>
          <w:tcPr>
            <w:tcW w:w="1023" w:type="dxa"/>
            <w:shd w:val="clear" w:color="auto" w:fill="auto"/>
            <w:noWrap/>
            <w:vAlign w:val="center"/>
            <w:hideMark/>
          </w:tcPr>
          <w:p w14:paraId="5EBEA0E9"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215 808 </w:t>
            </w:r>
          </w:p>
        </w:tc>
        <w:tc>
          <w:tcPr>
            <w:tcW w:w="1118" w:type="dxa"/>
            <w:shd w:val="clear" w:color="auto" w:fill="auto"/>
            <w:noWrap/>
            <w:vAlign w:val="center"/>
            <w:hideMark/>
          </w:tcPr>
          <w:p w14:paraId="522FEC80"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216 308 </w:t>
            </w:r>
          </w:p>
        </w:tc>
        <w:tc>
          <w:tcPr>
            <w:tcW w:w="1099" w:type="dxa"/>
            <w:shd w:val="clear" w:color="auto" w:fill="auto"/>
            <w:noWrap/>
            <w:vAlign w:val="center"/>
            <w:hideMark/>
          </w:tcPr>
          <w:p w14:paraId="1390CCE2"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216 308 </w:t>
            </w:r>
          </w:p>
        </w:tc>
        <w:tc>
          <w:tcPr>
            <w:tcW w:w="992" w:type="dxa"/>
            <w:shd w:val="clear" w:color="auto" w:fill="auto"/>
            <w:noWrap/>
            <w:vAlign w:val="center"/>
            <w:hideMark/>
          </w:tcPr>
          <w:p w14:paraId="3510C089"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232 599 </w:t>
            </w:r>
          </w:p>
        </w:tc>
        <w:tc>
          <w:tcPr>
            <w:tcW w:w="992" w:type="dxa"/>
            <w:shd w:val="clear" w:color="auto" w:fill="auto"/>
            <w:noWrap/>
            <w:vAlign w:val="center"/>
            <w:hideMark/>
          </w:tcPr>
          <w:p w14:paraId="5EB717B7"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238 899 </w:t>
            </w:r>
          </w:p>
        </w:tc>
        <w:tc>
          <w:tcPr>
            <w:tcW w:w="996" w:type="dxa"/>
            <w:shd w:val="clear" w:color="auto" w:fill="auto"/>
            <w:noWrap/>
            <w:vAlign w:val="center"/>
            <w:hideMark/>
          </w:tcPr>
          <w:p w14:paraId="3115C06A" w14:textId="77777777" w:rsidR="005A5BA2" w:rsidRPr="005A5BA2" w:rsidRDefault="005A5BA2" w:rsidP="005A5BA2">
            <w:pPr>
              <w:spacing w:after="0" w:line="240" w:lineRule="auto"/>
              <w:rPr>
                <w:rFonts w:ascii="Arial Narrow" w:eastAsia="Times New Roman" w:hAnsi="Arial Narrow" w:cs="Times New Roman"/>
                <w:b/>
                <w:bCs/>
                <w:sz w:val="16"/>
                <w:szCs w:val="16"/>
                <w:lang w:val="en-ZA" w:eastAsia="en-ZA"/>
              </w:rPr>
            </w:pPr>
            <w:r w:rsidRPr="005A5BA2">
              <w:rPr>
                <w:rFonts w:ascii="Arial Narrow" w:eastAsia="Times New Roman" w:hAnsi="Arial Narrow" w:cs="Times New Roman"/>
                <w:b/>
                <w:bCs/>
                <w:sz w:val="16"/>
                <w:szCs w:val="16"/>
                <w:lang w:val="en-ZA" w:eastAsia="en-ZA"/>
              </w:rPr>
              <w:t xml:space="preserve">       248 873 </w:t>
            </w:r>
          </w:p>
        </w:tc>
      </w:tr>
    </w:tbl>
    <w:p w14:paraId="1F565798" w14:textId="4FF9DC62" w:rsidR="00036209" w:rsidRPr="00036209" w:rsidRDefault="00036209" w:rsidP="00036209"/>
    <w:p w14:paraId="4E6B2C3F" w14:textId="77777777" w:rsidR="00992B24" w:rsidRPr="00297498" w:rsidRDefault="00992B24" w:rsidP="00750180">
      <w:pPr>
        <w:pStyle w:val="Heading3"/>
        <w:numPr>
          <w:ilvl w:val="2"/>
          <w:numId w:val="127"/>
        </w:numPr>
        <w:spacing w:after="240"/>
        <w:rPr>
          <w:rStyle w:val="Heading3Char"/>
          <w:b/>
          <w:bCs/>
        </w:rPr>
      </w:pPr>
      <w:bookmarkStart w:id="504" w:name="_Toc389740027"/>
      <w:bookmarkStart w:id="505" w:name="_Toc510706654"/>
      <w:r w:rsidRPr="00297498">
        <w:rPr>
          <w:rStyle w:val="Heading3Char"/>
          <w:b/>
          <w:bCs/>
        </w:rPr>
        <w:t>Municipal Infrastructure Assets &amp; Maintenance (Q&amp;M)</w:t>
      </w:r>
      <w:bookmarkEnd w:id="504"/>
      <w:bookmarkEnd w:id="505"/>
    </w:p>
    <w:p w14:paraId="008D586A" w14:textId="77777777" w:rsidR="00792032" w:rsidRPr="00297498" w:rsidRDefault="005A0FA4" w:rsidP="00750180">
      <w:pPr>
        <w:pStyle w:val="Heading4"/>
        <w:numPr>
          <w:ilvl w:val="3"/>
          <w:numId w:val="127"/>
        </w:numPr>
        <w:spacing w:after="240"/>
      </w:pPr>
      <w:bookmarkStart w:id="506" w:name="_Toc389740028"/>
      <w:r w:rsidRPr="00297498">
        <w:t>Municipal Infrastructure Assets &amp; Maintenance (Q&amp;M)</w:t>
      </w:r>
      <w:bookmarkEnd w:id="506"/>
    </w:p>
    <w:p w14:paraId="498580B9" w14:textId="77777777" w:rsidR="005A0FA4" w:rsidRPr="00881795" w:rsidRDefault="005A0FA4" w:rsidP="00297498">
      <w:pPr>
        <w:pStyle w:val="Caption"/>
        <w:spacing w:after="0"/>
      </w:pPr>
      <w:bookmarkStart w:id="507" w:name="_Toc510622330"/>
      <w:bookmarkStart w:id="508" w:name="_Toc389740029"/>
      <w:r w:rsidRPr="00881795">
        <w:t xml:space="preserve">Table </w:t>
      </w:r>
      <w:r w:rsidR="00B918A6">
        <w:fldChar w:fldCharType="begin"/>
      </w:r>
      <w:r w:rsidR="00B918A6">
        <w:instrText xml:space="preserve"> SEQ Table \* ARABIC </w:instrText>
      </w:r>
      <w:r w:rsidR="00B918A6">
        <w:fldChar w:fldCharType="separate"/>
      </w:r>
      <w:r w:rsidR="0067023A">
        <w:rPr>
          <w:noProof/>
        </w:rPr>
        <w:t>79</w:t>
      </w:r>
      <w:r w:rsidR="00B918A6">
        <w:rPr>
          <w:noProof/>
        </w:rPr>
        <w:fldChar w:fldCharType="end"/>
      </w:r>
      <w:r w:rsidRPr="00881795">
        <w:t>:  Municipal Infrastructure Assets &amp; Maintenance</w:t>
      </w:r>
      <w:bookmarkEnd w:id="507"/>
      <w:r w:rsidRPr="00881795">
        <w:t xml:space="preserve"> </w:t>
      </w:r>
      <w:bookmarkEnd w:id="508"/>
    </w:p>
    <w:tbl>
      <w:tblPr>
        <w:tblW w:w="10179" w:type="dxa"/>
        <w:tblLayout w:type="fixed"/>
        <w:tblLook w:val="04A0" w:firstRow="1" w:lastRow="0" w:firstColumn="1" w:lastColumn="0" w:noHBand="0" w:noVBand="1"/>
      </w:tblPr>
      <w:tblGrid>
        <w:gridCol w:w="1350"/>
        <w:gridCol w:w="371"/>
        <w:gridCol w:w="374"/>
        <w:gridCol w:w="324"/>
        <w:gridCol w:w="324"/>
        <w:gridCol w:w="1859"/>
        <w:gridCol w:w="1859"/>
        <w:gridCol w:w="1859"/>
        <w:gridCol w:w="1859"/>
      </w:tblGrid>
      <w:tr w:rsidR="00035013" w:rsidRPr="00FA1EC3" w14:paraId="24DC41D0" w14:textId="77777777" w:rsidTr="005A5BA2">
        <w:trPr>
          <w:trHeight w:val="190"/>
          <w:tblHeader/>
        </w:trPr>
        <w:tc>
          <w:tcPr>
            <w:tcW w:w="1350" w:type="dxa"/>
            <w:tcBorders>
              <w:top w:val="single" w:sz="8" w:space="0" w:color="auto"/>
              <w:left w:val="single" w:sz="8" w:space="0" w:color="auto"/>
              <w:bottom w:val="single" w:sz="4" w:space="0" w:color="auto"/>
              <w:right w:val="nil"/>
            </w:tcBorders>
            <w:shd w:val="clear" w:color="auto" w:fill="DAEEF3" w:themeFill="accent5" w:themeFillTint="33"/>
            <w:noWrap/>
            <w:vAlign w:val="bottom"/>
            <w:hideMark/>
          </w:tcPr>
          <w:p w14:paraId="21A8051D" w14:textId="77777777" w:rsidR="00035013" w:rsidRPr="00FA1EC3" w:rsidRDefault="00035013" w:rsidP="00297498">
            <w:pPr>
              <w:spacing w:after="0" w:line="240" w:lineRule="auto"/>
              <w:rPr>
                <w:rFonts w:eastAsia="Times New Roman" w:cs="Calibri"/>
                <w:color w:val="000000"/>
                <w:lang w:val="en-ZA" w:eastAsia="en-ZA"/>
              </w:rPr>
            </w:pPr>
            <w:r w:rsidRPr="00FA1EC3">
              <w:rPr>
                <w:rFonts w:eastAsia="Times New Roman" w:cs="Calibri"/>
                <w:color w:val="000000"/>
                <w:lang w:val="en-ZA" w:eastAsia="en-ZA"/>
              </w:rPr>
              <w:t> </w:t>
            </w:r>
          </w:p>
        </w:tc>
        <w:tc>
          <w:tcPr>
            <w:tcW w:w="371" w:type="dxa"/>
            <w:tcBorders>
              <w:top w:val="single" w:sz="8" w:space="0" w:color="auto"/>
              <w:left w:val="nil"/>
              <w:bottom w:val="single" w:sz="4" w:space="0" w:color="auto"/>
              <w:right w:val="nil"/>
            </w:tcBorders>
            <w:shd w:val="clear" w:color="auto" w:fill="DAEEF3" w:themeFill="accent5" w:themeFillTint="33"/>
            <w:noWrap/>
            <w:vAlign w:val="bottom"/>
            <w:hideMark/>
          </w:tcPr>
          <w:p w14:paraId="45D8E88D" w14:textId="77777777" w:rsidR="00035013" w:rsidRPr="00FA1EC3" w:rsidRDefault="00035013" w:rsidP="00297498">
            <w:pPr>
              <w:spacing w:after="0" w:line="240" w:lineRule="auto"/>
              <w:rPr>
                <w:rFonts w:eastAsia="Times New Roman" w:cs="Calibri"/>
                <w:color w:val="000000"/>
                <w:lang w:val="en-ZA" w:eastAsia="en-ZA"/>
              </w:rPr>
            </w:pPr>
            <w:r w:rsidRPr="00FA1EC3">
              <w:rPr>
                <w:rFonts w:eastAsia="Times New Roman" w:cs="Calibri"/>
                <w:color w:val="000000"/>
                <w:lang w:val="en-ZA" w:eastAsia="en-ZA"/>
              </w:rPr>
              <w:t> </w:t>
            </w:r>
          </w:p>
        </w:tc>
        <w:tc>
          <w:tcPr>
            <w:tcW w:w="374" w:type="dxa"/>
            <w:tcBorders>
              <w:top w:val="single" w:sz="8" w:space="0" w:color="auto"/>
              <w:left w:val="nil"/>
              <w:bottom w:val="single" w:sz="4" w:space="0" w:color="auto"/>
              <w:right w:val="nil"/>
            </w:tcBorders>
            <w:shd w:val="clear" w:color="auto" w:fill="DAEEF3" w:themeFill="accent5" w:themeFillTint="33"/>
            <w:noWrap/>
            <w:vAlign w:val="bottom"/>
            <w:hideMark/>
          </w:tcPr>
          <w:p w14:paraId="2D5E39D9" w14:textId="77777777" w:rsidR="00035013" w:rsidRPr="00FA1EC3" w:rsidRDefault="00035013" w:rsidP="00297498">
            <w:pPr>
              <w:spacing w:after="0" w:line="240" w:lineRule="auto"/>
              <w:rPr>
                <w:rFonts w:eastAsia="Times New Roman" w:cs="Calibri"/>
                <w:color w:val="000000"/>
                <w:lang w:val="en-ZA" w:eastAsia="en-ZA"/>
              </w:rPr>
            </w:pPr>
            <w:r w:rsidRPr="00FA1EC3">
              <w:rPr>
                <w:rFonts w:eastAsia="Times New Roman" w:cs="Calibri"/>
                <w:color w:val="000000"/>
                <w:lang w:val="en-ZA" w:eastAsia="en-ZA"/>
              </w:rPr>
              <w:t> </w:t>
            </w:r>
          </w:p>
        </w:tc>
        <w:tc>
          <w:tcPr>
            <w:tcW w:w="324" w:type="dxa"/>
            <w:tcBorders>
              <w:top w:val="single" w:sz="8" w:space="0" w:color="auto"/>
              <w:left w:val="nil"/>
              <w:bottom w:val="single" w:sz="4" w:space="0" w:color="auto"/>
              <w:right w:val="nil"/>
            </w:tcBorders>
            <w:shd w:val="clear" w:color="auto" w:fill="DAEEF3" w:themeFill="accent5" w:themeFillTint="33"/>
          </w:tcPr>
          <w:p w14:paraId="4D9B9511" w14:textId="77777777" w:rsidR="00035013" w:rsidRPr="00FA1EC3" w:rsidRDefault="00035013" w:rsidP="00297498">
            <w:pPr>
              <w:spacing w:after="0" w:line="240" w:lineRule="auto"/>
              <w:rPr>
                <w:rFonts w:eastAsia="Times New Roman" w:cs="Calibri"/>
                <w:color w:val="000000"/>
                <w:lang w:val="en-ZA" w:eastAsia="en-ZA"/>
              </w:rPr>
            </w:pPr>
          </w:p>
        </w:tc>
        <w:tc>
          <w:tcPr>
            <w:tcW w:w="324" w:type="dxa"/>
            <w:tcBorders>
              <w:top w:val="single" w:sz="8" w:space="0" w:color="auto"/>
              <w:left w:val="nil"/>
              <w:bottom w:val="single" w:sz="4" w:space="0" w:color="auto"/>
              <w:right w:val="nil"/>
            </w:tcBorders>
            <w:shd w:val="clear" w:color="auto" w:fill="DAEEF3" w:themeFill="accent5" w:themeFillTint="33"/>
            <w:noWrap/>
            <w:vAlign w:val="bottom"/>
            <w:hideMark/>
          </w:tcPr>
          <w:p w14:paraId="12DDFE65" w14:textId="60C701C4" w:rsidR="00035013" w:rsidRPr="00FA1EC3" w:rsidRDefault="00035013" w:rsidP="00297498">
            <w:pPr>
              <w:spacing w:after="0" w:line="240" w:lineRule="auto"/>
              <w:rPr>
                <w:rFonts w:eastAsia="Times New Roman" w:cs="Calibri"/>
                <w:color w:val="000000"/>
                <w:lang w:val="en-ZA" w:eastAsia="en-ZA"/>
              </w:rPr>
            </w:pPr>
            <w:r w:rsidRPr="00FA1EC3">
              <w:rPr>
                <w:rFonts w:eastAsia="Times New Roman" w:cs="Calibri"/>
                <w:color w:val="000000"/>
                <w:lang w:val="en-ZA" w:eastAsia="en-ZA"/>
              </w:rPr>
              <w:t> </w:t>
            </w:r>
          </w:p>
        </w:tc>
        <w:tc>
          <w:tcPr>
            <w:tcW w:w="1859" w:type="dxa"/>
            <w:tcBorders>
              <w:top w:val="single" w:sz="8" w:space="0" w:color="auto"/>
              <w:left w:val="single" w:sz="4" w:space="0" w:color="auto"/>
              <w:bottom w:val="single" w:sz="4" w:space="0" w:color="auto"/>
              <w:right w:val="single" w:sz="4" w:space="0" w:color="auto"/>
            </w:tcBorders>
            <w:shd w:val="clear" w:color="auto" w:fill="DAEEF3" w:themeFill="accent5" w:themeFillTint="33"/>
          </w:tcPr>
          <w:p w14:paraId="7448DF96" w14:textId="4DBD42FC" w:rsidR="00035013" w:rsidRPr="00035013" w:rsidRDefault="00035013" w:rsidP="00035013">
            <w:pPr>
              <w:spacing w:after="0" w:line="240" w:lineRule="auto"/>
              <w:jc w:val="center"/>
              <w:rPr>
                <w:rFonts w:eastAsia="Times New Roman" w:cs="Calibri"/>
                <w:b/>
                <w:bCs/>
                <w:color w:val="000000"/>
                <w:lang w:val="en-ZA" w:eastAsia="en-ZA"/>
              </w:rPr>
            </w:pPr>
            <w:r w:rsidRPr="00035013">
              <w:rPr>
                <w:rFonts w:eastAsia="Times New Roman" w:cs="Calibri"/>
                <w:b/>
                <w:bCs/>
                <w:color w:val="000000"/>
                <w:lang w:val="en-ZA" w:eastAsia="en-ZA"/>
              </w:rPr>
              <w:t>2017</w:t>
            </w:r>
          </w:p>
        </w:tc>
        <w:tc>
          <w:tcPr>
            <w:tcW w:w="1859" w:type="dxa"/>
            <w:tcBorders>
              <w:top w:val="single" w:sz="8" w:space="0" w:color="auto"/>
              <w:left w:val="single" w:sz="4" w:space="0" w:color="auto"/>
              <w:bottom w:val="single" w:sz="4" w:space="0" w:color="auto"/>
              <w:right w:val="single" w:sz="4" w:space="0" w:color="auto"/>
            </w:tcBorders>
            <w:shd w:val="clear" w:color="auto" w:fill="DAEEF3" w:themeFill="accent5" w:themeFillTint="33"/>
          </w:tcPr>
          <w:p w14:paraId="31AECDAA" w14:textId="740A6478" w:rsidR="00035013" w:rsidRPr="00035013" w:rsidRDefault="00035013" w:rsidP="00035013">
            <w:pPr>
              <w:spacing w:after="0" w:line="240" w:lineRule="auto"/>
              <w:jc w:val="center"/>
              <w:rPr>
                <w:rFonts w:eastAsia="Times New Roman" w:cs="Calibri"/>
                <w:b/>
                <w:bCs/>
                <w:color w:val="000000"/>
                <w:lang w:val="en-ZA" w:eastAsia="en-ZA"/>
              </w:rPr>
            </w:pPr>
            <w:r w:rsidRPr="00035013">
              <w:rPr>
                <w:rFonts w:eastAsia="Times New Roman" w:cs="Calibri"/>
                <w:b/>
                <w:bCs/>
                <w:color w:val="000000"/>
                <w:lang w:val="en-ZA" w:eastAsia="en-ZA"/>
              </w:rPr>
              <w:t>2016</w:t>
            </w:r>
          </w:p>
        </w:tc>
        <w:tc>
          <w:tcPr>
            <w:tcW w:w="1859" w:type="dxa"/>
            <w:tcBorders>
              <w:top w:val="single" w:sz="8" w:space="0" w:color="auto"/>
              <w:left w:val="single" w:sz="4" w:space="0" w:color="auto"/>
              <w:bottom w:val="single" w:sz="4" w:space="0" w:color="auto"/>
              <w:right w:val="single" w:sz="4" w:space="0" w:color="auto"/>
            </w:tcBorders>
            <w:shd w:val="clear" w:color="auto" w:fill="DAEEF3" w:themeFill="accent5" w:themeFillTint="33"/>
            <w:vAlign w:val="bottom"/>
          </w:tcPr>
          <w:p w14:paraId="697523E2" w14:textId="11E8F940" w:rsidR="00035013" w:rsidRPr="00FA1EC3" w:rsidRDefault="00035013" w:rsidP="00297498">
            <w:pPr>
              <w:spacing w:after="0" w:line="240" w:lineRule="auto"/>
              <w:jc w:val="center"/>
              <w:rPr>
                <w:rFonts w:eastAsia="Times New Roman" w:cs="Calibri"/>
                <w:b/>
                <w:bCs/>
                <w:color w:val="000000"/>
                <w:lang w:val="en-ZA" w:eastAsia="en-ZA"/>
              </w:rPr>
            </w:pPr>
            <w:r>
              <w:rPr>
                <w:rFonts w:eastAsia="Times New Roman" w:cs="Calibri"/>
                <w:b/>
                <w:bCs/>
                <w:color w:val="000000"/>
                <w:lang w:val="en-ZA" w:eastAsia="en-ZA"/>
              </w:rPr>
              <w:t>2015</w:t>
            </w:r>
          </w:p>
        </w:tc>
        <w:tc>
          <w:tcPr>
            <w:tcW w:w="1859" w:type="dxa"/>
            <w:tcBorders>
              <w:top w:val="single" w:sz="8" w:space="0" w:color="auto"/>
              <w:left w:val="single" w:sz="4" w:space="0" w:color="auto"/>
              <w:bottom w:val="single" w:sz="4" w:space="0" w:color="auto"/>
              <w:right w:val="single" w:sz="4" w:space="0" w:color="auto"/>
            </w:tcBorders>
            <w:shd w:val="clear" w:color="auto" w:fill="DAEEF3" w:themeFill="accent5" w:themeFillTint="33"/>
            <w:noWrap/>
            <w:vAlign w:val="bottom"/>
            <w:hideMark/>
          </w:tcPr>
          <w:p w14:paraId="4DEE81F9" w14:textId="77777777" w:rsidR="00035013" w:rsidRPr="00FA1EC3" w:rsidRDefault="00035013" w:rsidP="00297498">
            <w:pPr>
              <w:spacing w:after="0" w:line="240" w:lineRule="auto"/>
              <w:jc w:val="center"/>
              <w:rPr>
                <w:rFonts w:eastAsia="Times New Roman" w:cs="Calibri"/>
                <w:b/>
                <w:bCs/>
                <w:color w:val="000000"/>
                <w:lang w:val="en-ZA" w:eastAsia="en-ZA"/>
              </w:rPr>
            </w:pPr>
            <w:r w:rsidRPr="00FA1EC3">
              <w:rPr>
                <w:rFonts w:eastAsia="Times New Roman" w:cs="Calibri"/>
                <w:b/>
                <w:bCs/>
                <w:color w:val="000000"/>
                <w:lang w:val="en-ZA" w:eastAsia="en-ZA"/>
              </w:rPr>
              <w:t>2014</w:t>
            </w:r>
          </w:p>
        </w:tc>
      </w:tr>
      <w:tr w:rsidR="00035013" w:rsidRPr="00FA1EC3" w14:paraId="35F36D8F" w14:textId="77777777" w:rsidTr="005A5BA2">
        <w:trPr>
          <w:trHeight w:val="190"/>
        </w:trPr>
        <w:tc>
          <w:tcPr>
            <w:tcW w:w="1350" w:type="dxa"/>
            <w:tcBorders>
              <w:top w:val="nil"/>
              <w:left w:val="single" w:sz="8" w:space="0" w:color="auto"/>
              <w:bottom w:val="nil"/>
              <w:right w:val="nil"/>
            </w:tcBorders>
            <w:shd w:val="clear" w:color="auto" w:fill="auto"/>
            <w:noWrap/>
            <w:vAlign w:val="bottom"/>
            <w:hideMark/>
          </w:tcPr>
          <w:p w14:paraId="30D58854" w14:textId="77777777" w:rsidR="00035013" w:rsidRPr="00FA1EC3" w:rsidRDefault="00035013" w:rsidP="00666DE8">
            <w:pPr>
              <w:spacing w:after="0" w:line="240" w:lineRule="auto"/>
              <w:jc w:val="both"/>
              <w:rPr>
                <w:rFonts w:eastAsia="Times New Roman" w:cs="Calibri"/>
                <w:color w:val="000000"/>
                <w:lang w:val="en-ZA" w:eastAsia="en-ZA"/>
              </w:rPr>
            </w:pPr>
            <w:r w:rsidRPr="00FA1EC3">
              <w:rPr>
                <w:rFonts w:eastAsia="Times New Roman" w:cs="Calibri"/>
                <w:color w:val="000000"/>
                <w:lang w:val="en-ZA" w:eastAsia="en-ZA"/>
              </w:rPr>
              <w:t>Roads</w:t>
            </w:r>
          </w:p>
        </w:tc>
        <w:tc>
          <w:tcPr>
            <w:tcW w:w="371" w:type="dxa"/>
            <w:tcBorders>
              <w:top w:val="nil"/>
              <w:left w:val="nil"/>
              <w:bottom w:val="nil"/>
              <w:right w:val="nil"/>
            </w:tcBorders>
            <w:shd w:val="clear" w:color="auto" w:fill="auto"/>
            <w:noWrap/>
            <w:vAlign w:val="bottom"/>
            <w:hideMark/>
          </w:tcPr>
          <w:p w14:paraId="0ADBC819" w14:textId="77777777" w:rsidR="00035013" w:rsidRPr="00FA1EC3" w:rsidRDefault="00035013" w:rsidP="00FA1EC3">
            <w:pPr>
              <w:spacing w:after="0" w:line="240" w:lineRule="auto"/>
              <w:rPr>
                <w:rFonts w:eastAsia="Times New Roman" w:cs="Calibri"/>
                <w:color w:val="000000"/>
                <w:lang w:val="en-ZA" w:eastAsia="en-ZA"/>
              </w:rPr>
            </w:pPr>
          </w:p>
        </w:tc>
        <w:tc>
          <w:tcPr>
            <w:tcW w:w="374" w:type="dxa"/>
            <w:tcBorders>
              <w:top w:val="nil"/>
              <w:left w:val="nil"/>
              <w:bottom w:val="nil"/>
              <w:right w:val="nil"/>
            </w:tcBorders>
            <w:shd w:val="clear" w:color="auto" w:fill="auto"/>
            <w:noWrap/>
            <w:vAlign w:val="bottom"/>
            <w:hideMark/>
          </w:tcPr>
          <w:p w14:paraId="2C9828CC" w14:textId="77777777" w:rsidR="00035013" w:rsidRPr="00FA1EC3" w:rsidRDefault="00035013" w:rsidP="00FA1EC3">
            <w:pPr>
              <w:spacing w:after="0" w:line="240" w:lineRule="auto"/>
              <w:rPr>
                <w:rFonts w:eastAsia="Times New Roman" w:cs="Calibri"/>
                <w:color w:val="000000"/>
                <w:lang w:val="en-ZA" w:eastAsia="en-ZA"/>
              </w:rPr>
            </w:pPr>
          </w:p>
        </w:tc>
        <w:tc>
          <w:tcPr>
            <w:tcW w:w="324" w:type="dxa"/>
            <w:tcBorders>
              <w:top w:val="nil"/>
              <w:left w:val="nil"/>
              <w:bottom w:val="nil"/>
              <w:right w:val="nil"/>
            </w:tcBorders>
          </w:tcPr>
          <w:p w14:paraId="326519EF" w14:textId="77777777" w:rsidR="00035013" w:rsidRPr="00FA1EC3" w:rsidRDefault="00035013" w:rsidP="00FA1EC3">
            <w:pPr>
              <w:spacing w:after="0" w:line="240" w:lineRule="auto"/>
              <w:rPr>
                <w:rFonts w:eastAsia="Times New Roman" w:cs="Calibri"/>
                <w:color w:val="000000"/>
                <w:lang w:val="en-ZA" w:eastAsia="en-ZA"/>
              </w:rPr>
            </w:pPr>
          </w:p>
        </w:tc>
        <w:tc>
          <w:tcPr>
            <w:tcW w:w="324" w:type="dxa"/>
            <w:tcBorders>
              <w:top w:val="nil"/>
              <w:left w:val="nil"/>
              <w:bottom w:val="nil"/>
              <w:right w:val="nil"/>
            </w:tcBorders>
            <w:shd w:val="clear" w:color="auto" w:fill="auto"/>
            <w:noWrap/>
            <w:vAlign w:val="bottom"/>
            <w:hideMark/>
          </w:tcPr>
          <w:p w14:paraId="6461D90C" w14:textId="64B29759" w:rsidR="00035013" w:rsidRPr="00FA1EC3" w:rsidRDefault="00035013" w:rsidP="00FA1EC3">
            <w:pPr>
              <w:spacing w:after="0" w:line="240" w:lineRule="auto"/>
              <w:rPr>
                <w:rFonts w:eastAsia="Times New Roman" w:cs="Calibri"/>
                <w:color w:val="000000"/>
                <w:lang w:val="en-ZA" w:eastAsia="en-ZA"/>
              </w:rPr>
            </w:pPr>
          </w:p>
        </w:tc>
        <w:tc>
          <w:tcPr>
            <w:tcW w:w="1859" w:type="dxa"/>
            <w:tcBorders>
              <w:top w:val="nil"/>
              <w:left w:val="single" w:sz="4" w:space="0" w:color="auto"/>
              <w:bottom w:val="nil"/>
              <w:right w:val="single" w:sz="4" w:space="0" w:color="auto"/>
            </w:tcBorders>
          </w:tcPr>
          <w:p w14:paraId="32B98D2D" w14:textId="508F704B" w:rsidR="00035013" w:rsidRDefault="005A5BA2" w:rsidP="00666DE8">
            <w:pPr>
              <w:spacing w:after="0" w:line="240" w:lineRule="auto"/>
              <w:rPr>
                <w:rFonts w:eastAsia="Times New Roman" w:cs="Calibri"/>
                <w:color w:val="000000"/>
                <w:lang w:val="en-ZA" w:eastAsia="en-ZA"/>
              </w:rPr>
            </w:pPr>
            <w:r w:rsidRPr="005A5BA2">
              <w:rPr>
                <w:rFonts w:eastAsia="Times New Roman" w:cs="Calibri"/>
                <w:color w:val="000000"/>
                <w:lang w:val="en-ZA" w:eastAsia="en-ZA"/>
              </w:rPr>
              <w:t>290 075 257</w:t>
            </w:r>
          </w:p>
        </w:tc>
        <w:tc>
          <w:tcPr>
            <w:tcW w:w="1859" w:type="dxa"/>
            <w:tcBorders>
              <w:top w:val="nil"/>
              <w:left w:val="single" w:sz="4" w:space="0" w:color="auto"/>
              <w:bottom w:val="nil"/>
              <w:right w:val="single" w:sz="4" w:space="0" w:color="auto"/>
            </w:tcBorders>
          </w:tcPr>
          <w:p w14:paraId="28845794" w14:textId="0D7CB31C" w:rsidR="00035013" w:rsidRDefault="005A5BA2" w:rsidP="00666DE8">
            <w:pPr>
              <w:spacing w:after="0" w:line="240" w:lineRule="auto"/>
              <w:rPr>
                <w:rFonts w:eastAsia="Times New Roman" w:cs="Calibri"/>
                <w:color w:val="000000"/>
                <w:lang w:val="en-ZA" w:eastAsia="en-ZA"/>
              </w:rPr>
            </w:pPr>
            <w:r w:rsidRPr="005A5BA2">
              <w:rPr>
                <w:rFonts w:eastAsia="Times New Roman" w:cs="Calibri"/>
                <w:color w:val="000000"/>
                <w:lang w:val="en-ZA" w:eastAsia="en-ZA"/>
              </w:rPr>
              <w:t>268 686 354</w:t>
            </w:r>
          </w:p>
        </w:tc>
        <w:tc>
          <w:tcPr>
            <w:tcW w:w="1859" w:type="dxa"/>
            <w:tcBorders>
              <w:top w:val="nil"/>
              <w:left w:val="single" w:sz="4" w:space="0" w:color="auto"/>
              <w:bottom w:val="nil"/>
              <w:right w:val="single" w:sz="4" w:space="0" w:color="auto"/>
            </w:tcBorders>
            <w:vAlign w:val="bottom"/>
          </w:tcPr>
          <w:p w14:paraId="18D09161" w14:textId="1A14BC31" w:rsidR="00035013" w:rsidRPr="00FA1EC3" w:rsidRDefault="00035013" w:rsidP="00666DE8">
            <w:pPr>
              <w:spacing w:after="0" w:line="240" w:lineRule="auto"/>
              <w:rPr>
                <w:rFonts w:eastAsia="Times New Roman" w:cs="Calibri"/>
                <w:color w:val="000000"/>
                <w:lang w:val="en-ZA" w:eastAsia="en-ZA"/>
              </w:rPr>
            </w:pPr>
            <w:r>
              <w:rPr>
                <w:rFonts w:eastAsia="Times New Roman" w:cs="Calibri"/>
                <w:color w:val="000000"/>
                <w:lang w:val="en-ZA" w:eastAsia="en-ZA"/>
              </w:rPr>
              <w:t>267 532 489</w:t>
            </w:r>
          </w:p>
        </w:tc>
        <w:tc>
          <w:tcPr>
            <w:tcW w:w="1859" w:type="dxa"/>
            <w:tcBorders>
              <w:top w:val="nil"/>
              <w:left w:val="single" w:sz="4" w:space="0" w:color="auto"/>
              <w:bottom w:val="nil"/>
              <w:right w:val="single" w:sz="4" w:space="0" w:color="auto"/>
            </w:tcBorders>
            <w:shd w:val="clear" w:color="auto" w:fill="auto"/>
            <w:noWrap/>
            <w:vAlign w:val="bottom"/>
            <w:hideMark/>
          </w:tcPr>
          <w:p w14:paraId="1465FEEC" w14:textId="77777777" w:rsidR="00035013" w:rsidRPr="00FA1EC3" w:rsidRDefault="00035013" w:rsidP="00666DE8">
            <w:pPr>
              <w:spacing w:after="0" w:line="240" w:lineRule="auto"/>
              <w:rPr>
                <w:rFonts w:eastAsia="Times New Roman" w:cs="Calibri"/>
                <w:color w:val="000000"/>
                <w:lang w:val="en-ZA" w:eastAsia="en-ZA"/>
              </w:rPr>
            </w:pPr>
            <w:r w:rsidRPr="00FA1EC3">
              <w:rPr>
                <w:rFonts w:eastAsia="Times New Roman" w:cs="Calibri"/>
                <w:color w:val="000000"/>
                <w:lang w:val="en-ZA" w:eastAsia="en-ZA"/>
              </w:rPr>
              <w:t xml:space="preserve"> 199 174 061 </w:t>
            </w:r>
          </w:p>
        </w:tc>
      </w:tr>
      <w:tr w:rsidR="00035013" w:rsidRPr="00FA1EC3" w14:paraId="09D0E8E2" w14:textId="77777777" w:rsidTr="005A5BA2">
        <w:trPr>
          <w:trHeight w:val="190"/>
        </w:trPr>
        <w:tc>
          <w:tcPr>
            <w:tcW w:w="1721" w:type="dxa"/>
            <w:gridSpan w:val="2"/>
            <w:tcBorders>
              <w:top w:val="single" w:sz="4" w:space="0" w:color="auto"/>
              <w:left w:val="single" w:sz="8" w:space="0" w:color="auto"/>
              <w:bottom w:val="single" w:sz="4" w:space="0" w:color="auto"/>
              <w:right w:val="nil"/>
            </w:tcBorders>
            <w:shd w:val="clear" w:color="auto" w:fill="auto"/>
            <w:noWrap/>
            <w:vAlign w:val="bottom"/>
            <w:hideMark/>
          </w:tcPr>
          <w:p w14:paraId="56BED39A" w14:textId="77777777" w:rsidR="00035013" w:rsidRPr="00FA1EC3" w:rsidRDefault="00035013" w:rsidP="00666DE8">
            <w:pPr>
              <w:spacing w:after="0" w:line="240" w:lineRule="auto"/>
              <w:jc w:val="both"/>
              <w:rPr>
                <w:rFonts w:eastAsia="Times New Roman" w:cs="Calibri"/>
                <w:color w:val="000000"/>
                <w:lang w:val="en-ZA" w:eastAsia="en-ZA"/>
              </w:rPr>
            </w:pPr>
            <w:r w:rsidRPr="00FA1EC3">
              <w:rPr>
                <w:rFonts w:eastAsia="Times New Roman" w:cs="Calibri"/>
                <w:color w:val="000000"/>
                <w:lang w:val="en-ZA" w:eastAsia="en-ZA"/>
              </w:rPr>
              <w:t xml:space="preserve">Storm </w:t>
            </w:r>
            <w:r>
              <w:rPr>
                <w:rFonts w:eastAsia="Times New Roman" w:cs="Calibri"/>
                <w:color w:val="000000"/>
                <w:lang w:val="en-ZA" w:eastAsia="en-ZA"/>
              </w:rPr>
              <w:t>W</w:t>
            </w:r>
            <w:r w:rsidRPr="00FA1EC3">
              <w:rPr>
                <w:rFonts w:eastAsia="Times New Roman" w:cs="Calibri"/>
                <w:color w:val="000000"/>
                <w:lang w:val="en-ZA" w:eastAsia="en-ZA"/>
              </w:rPr>
              <w:t>ater</w:t>
            </w:r>
          </w:p>
        </w:tc>
        <w:tc>
          <w:tcPr>
            <w:tcW w:w="374" w:type="dxa"/>
            <w:tcBorders>
              <w:top w:val="single" w:sz="4" w:space="0" w:color="auto"/>
              <w:left w:val="nil"/>
              <w:bottom w:val="single" w:sz="4" w:space="0" w:color="auto"/>
              <w:right w:val="nil"/>
            </w:tcBorders>
            <w:shd w:val="clear" w:color="auto" w:fill="auto"/>
            <w:noWrap/>
            <w:vAlign w:val="bottom"/>
            <w:hideMark/>
          </w:tcPr>
          <w:p w14:paraId="71C88DD0" w14:textId="77777777" w:rsidR="00035013" w:rsidRPr="00FA1EC3" w:rsidRDefault="00035013" w:rsidP="00FA1EC3">
            <w:pPr>
              <w:spacing w:after="0" w:line="240" w:lineRule="auto"/>
              <w:rPr>
                <w:rFonts w:eastAsia="Times New Roman" w:cs="Calibri"/>
                <w:color w:val="000000"/>
                <w:lang w:val="en-ZA" w:eastAsia="en-ZA"/>
              </w:rPr>
            </w:pPr>
          </w:p>
        </w:tc>
        <w:tc>
          <w:tcPr>
            <w:tcW w:w="324" w:type="dxa"/>
            <w:tcBorders>
              <w:top w:val="single" w:sz="4" w:space="0" w:color="auto"/>
              <w:left w:val="nil"/>
              <w:bottom w:val="single" w:sz="4" w:space="0" w:color="auto"/>
              <w:right w:val="nil"/>
            </w:tcBorders>
          </w:tcPr>
          <w:p w14:paraId="0E6D4AE2" w14:textId="77777777" w:rsidR="00035013" w:rsidRPr="00FA1EC3" w:rsidRDefault="00035013" w:rsidP="00FA1EC3">
            <w:pPr>
              <w:spacing w:after="0" w:line="240" w:lineRule="auto"/>
              <w:rPr>
                <w:rFonts w:eastAsia="Times New Roman" w:cs="Calibri"/>
                <w:color w:val="000000"/>
                <w:lang w:val="en-ZA" w:eastAsia="en-ZA"/>
              </w:rPr>
            </w:pPr>
          </w:p>
        </w:tc>
        <w:tc>
          <w:tcPr>
            <w:tcW w:w="324" w:type="dxa"/>
            <w:tcBorders>
              <w:top w:val="single" w:sz="4" w:space="0" w:color="auto"/>
              <w:left w:val="nil"/>
              <w:bottom w:val="single" w:sz="4" w:space="0" w:color="auto"/>
              <w:right w:val="nil"/>
            </w:tcBorders>
            <w:shd w:val="clear" w:color="auto" w:fill="auto"/>
            <w:noWrap/>
            <w:vAlign w:val="bottom"/>
            <w:hideMark/>
          </w:tcPr>
          <w:p w14:paraId="35F560B8" w14:textId="6BA0AF2D" w:rsidR="00035013" w:rsidRPr="00FA1EC3" w:rsidRDefault="00035013" w:rsidP="00FA1EC3">
            <w:pPr>
              <w:spacing w:after="0" w:line="240" w:lineRule="auto"/>
              <w:rPr>
                <w:rFonts w:eastAsia="Times New Roman" w:cs="Calibri"/>
                <w:color w:val="000000"/>
                <w:lang w:val="en-ZA" w:eastAsia="en-ZA"/>
              </w:rPr>
            </w:pPr>
            <w:r w:rsidRPr="00FA1EC3">
              <w:rPr>
                <w:rFonts w:eastAsia="Times New Roman" w:cs="Calibri"/>
                <w:color w:val="000000"/>
                <w:lang w:val="en-ZA" w:eastAsia="en-ZA"/>
              </w:rPr>
              <w:t> </w:t>
            </w:r>
          </w:p>
        </w:tc>
        <w:tc>
          <w:tcPr>
            <w:tcW w:w="1859" w:type="dxa"/>
            <w:tcBorders>
              <w:top w:val="single" w:sz="4" w:space="0" w:color="auto"/>
              <w:left w:val="single" w:sz="4" w:space="0" w:color="auto"/>
              <w:bottom w:val="single" w:sz="4" w:space="0" w:color="auto"/>
              <w:right w:val="single" w:sz="4" w:space="0" w:color="auto"/>
            </w:tcBorders>
          </w:tcPr>
          <w:p w14:paraId="5AE1AEC2" w14:textId="2663D7DB" w:rsidR="00035013" w:rsidRDefault="005A5BA2" w:rsidP="00FA1EC3">
            <w:pPr>
              <w:spacing w:after="0" w:line="240" w:lineRule="auto"/>
              <w:rPr>
                <w:rFonts w:eastAsia="Times New Roman" w:cs="Calibri"/>
                <w:color w:val="000000"/>
                <w:lang w:val="en-ZA" w:eastAsia="en-ZA"/>
              </w:rPr>
            </w:pPr>
            <w:r w:rsidRPr="005A5BA2">
              <w:rPr>
                <w:rFonts w:eastAsia="Times New Roman" w:cs="Calibri"/>
                <w:color w:val="000000"/>
                <w:lang w:val="en-ZA" w:eastAsia="en-ZA"/>
              </w:rPr>
              <w:t>40 497 681</w:t>
            </w:r>
          </w:p>
        </w:tc>
        <w:tc>
          <w:tcPr>
            <w:tcW w:w="1859" w:type="dxa"/>
            <w:tcBorders>
              <w:top w:val="single" w:sz="4" w:space="0" w:color="auto"/>
              <w:left w:val="single" w:sz="4" w:space="0" w:color="auto"/>
              <w:bottom w:val="single" w:sz="4" w:space="0" w:color="auto"/>
              <w:right w:val="single" w:sz="4" w:space="0" w:color="auto"/>
            </w:tcBorders>
          </w:tcPr>
          <w:p w14:paraId="143F2630" w14:textId="45690F1F" w:rsidR="00035013" w:rsidRDefault="005A5BA2" w:rsidP="00FA1EC3">
            <w:pPr>
              <w:spacing w:after="0" w:line="240" w:lineRule="auto"/>
              <w:rPr>
                <w:rFonts w:eastAsia="Times New Roman" w:cs="Calibri"/>
                <w:color w:val="000000"/>
                <w:lang w:val="en-ZA" w:eastAsia="en-ZA"/>
              </w:rPr>
            </w:pPr>
            <w:r w:rsidRPr="005A5BA2">
              <w:rPr>
                <w:rFonts w:eastAsia="Times New Roman" w:cs="Calibri"/>
                <w:color w:val="000000"/>
                <w:lang w:val="en-ZA" w:eastAsia="en-ZA"/>
              </w:rPr>
              <w:t>39 012 489</w:t>
            </w:r>
          </w:p>
        </w:tc>
        <w:tc>
          <w:tcPr>
            <w:tcW w:w="1859" w:type="dxa"/>
            <w:tcBorders>
              <w:top w:val="single" w:sz="4" w:space="0" w:color="auto"/>
              <w:left w:val="single" w:sz="4" w:space="0" w:color="auto"/>
              <w:bottom w:val="single" w:sz="4" w:space="0" w:color="auto"/>
              <w:right w:val="single" w:sz="4" w:space="0" w:color="auto"/>
            </w:tcBorders>
            <w:vAlign w:val="bottom"/>
          </w:tcPr>
          <w:p w14:paraId="218C4BF0" w14:textId="78208FF2" w:rsidR="00035013" w:rsidRPr="00FA1EC3" w:rsidRDefault="00035013" w:rsidP="00FA1EC3">
            <w:pPr>
              <w:spacing w:after="0" w:line="240" w:lineRule="auto"/>
              <w:rPr>
                <w:rFonts w:eastAsia="Times New Roman" w:cs="Calibri"/>
                <w:color w:val="000000"/>
                <w:lang w:val="en-ZA" w:eastAsia="en-ZA"/>
              </w:rPr>
            </w:pPr>
            <w:r>
              <w:rPr>
                <w:rFonts w:eastAsia="Times New Roman" w:cs="Calibri"/>
                <w:color w:val="000000"/>
                <w:lang w:val="en-ZA" w:eastAsia="en-ZA"/>
              </w:rPr>
              <w:t>41 351 759</w:t>
            </w:r>
          </w:p>
        </w:tc>
        <w:tc>
          <w:tcPr>
            <w:tcW w:w="18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49E88B" w14:textId="77777777" w:rsidR="00035013" w:rsidRPr="00FA1EC3" w:rsidRDefault="00035013" w:rsidP="00FA1EC3">
            <w:pPr>
              <w:spacing w:after="0" w:line="240" w:lineRule="auto"/>
              <w:rPr>
                <w:rFonts w:eastAsia="Times New Roman" w:cs="Calibri"/>
                <w:color w:val="000000"/>
                <w:lang w:val="en-ZA" w:eastAsia="en-ZA"/>
              </w:rPr>
            </w:pPr>
            <w:r w:rsidRPr="00FA1EC3">
              <w:rPr>
                <w:rFonts w:eastAsia="Times New Roman" w:cs="Calibri"/>
                <w:color w:val="000000"/>
                <w:lang w:val="en-ZA" w:eastAsia="en-ZA"/>
              </w:rPr>
              <w:t xml:space="preserve">    22 999 128 </w:t>
            </w:r>
          </w:p>
        </w:tc>
      </w:tr>
      <w:tr w:rsidR="00035013" w:rsidRPr="00FA1EC3" w14:paraId="30FB7D61" w14:textId="77777777" w:rsidTr="005A5BA2">
        <w:trPr>
          <w:trHeight w:val="190"/>
        </w:trPr>
        <w:tc>
          <w:tcPr>
            <w:tcW w:w="1350" w:type="dxa"/>
            <w:tcBorders>
              <w:top w:val="nil"/>
              <w:left w:val="single" w:sz="8" w:space="0" w:color="auto"/>
              <w:bottom w:val="nil"/>
              <w:right w:val="nil"/>
            </w:tcBorders>
            <w:shd w:val="clear" w:color="auto" w:fill="auto"/>
            <w:noWrap/>
            <w:vAlign w:val="bottom"/>
            <w:hideMark/>
          </w:tcPr>
          <w:p w14:paraId="2E82D9F4" w14:textId="77777777" w:rsidR="00035013" w:rsidRPr="00FA1EC3" w:rsidRDefault="00035013" w:rsidP="00666DE8">
            <w:pPr>
              <w:spacing w:after="0" w:line="240" w:lineRule="auto"/>
              <w:jc w:val="both"/>
              <w:rPr>
                <w:rFonts w:eastAsia="Times New Roman" w:cs="Calibri"/>
                <w:color w:val="000000"/>
                <w:lang w:val="en-ZA" w:eastAsia="en-ZA"/>
              </w:rPr>
            </w:pPr>
            <w:r w:rsidRPr="00FA1EC3">
              <w:rPr>
                <w:rFonts w:eastAsia="Times New Roman" w:cs="Calibri"/>
                <w:color w:val="000000"/>
                <w:lang w:val="en-ZA" w:eastAsia="en-ZA"/>
              </w:rPr>
              <w:t>Electrical</w:t>
            </w:r>
          </w:p>
        </w:tc>
        <w:tc>
          <w:tcPr>
            <w:tcW w:w="371" w:type="dxa"/>
            <w:tcBorders>
              <w:top w:val="nil"/>
              <w:left w:val="nil"/>
              <w:bottom w:val="nil"/>
              <w:right w:val="nil"/>
            </w:tcBorders>
            <w:shd w:val="clear" w:color="auto" w:fill="auto"/>
            <w:noWrap/>
            <w:vAlign w:val="bottom"/>
            <w:hideMark/>
          </w:tcPr>
          <w:p w14:paraId="6CF033CA" w14:textId="77777777" w:rsidR="00035013" w:rsidRPr="00FA1EC3" w:rsidRDefault="00035013" w:rsidP="00FA1EC3">
            <w:pPr>
              <w:spacing w:after="0" w:line="240" w:lineRule="auto"/>
              <w:rPr>
                <w:rFonts w:eastAsia="Times New Roman" w:cs="Calibri"/>
                <w:color w:val="000000"/>
                <w:lang w:val="en-ZA" w:eastAsia="en-ZA"/>
              </w:rPr>
            </w:pPr>
          </w:p>
        </w:tc>
        <w:tc>
          <w:tcPr>
            <w:tcW w:w="374" w:type="dxa"/>
            <w:tcBorders>
              <w:top w:val="nil"/>
              <w:left w:val="nil"/>
              <w:bottom w:val="nil"/>
              <w:right w:val="nil"/>
            </w:tcBorders>
            <w:shd w:val="clear" w:color="auto" w:fill="auto"/>
            <w:noWrap/>
            <w:vAlign w:val="bottom"/>
            <w:hideMark/>
          </w:tcPr>
          <w:p w14:paraId="55FFB787" w14:textId="77777777" w:rsidR="00035013" w:rsidRPr="00FA1EC3" w:rsidRDefault="00035013" w:rsidP="00FA1EC3">
            <w:pPr>
              <w:spacing w:after="0" w:line="240" w:lineRule="auto"/>
              <w:rPr>
                <w:rFonts w:eastAsia="Times New Roman" w:cs="Calibri"/>
                <w:color w:val="000000"/>
                <w:lang w:val="en-ZA" w:eastAsia="en-ZA"/>
              </w:rPr>
            </w:pPr>
          </w:p>
        </w:tc>
        <w:tc>
          <w:tcPr>
            <w:tcW w:w="324" w:type="dxa"/>
            <w:tcBorders>
              <w:top w:val="nil"/>
              <w:left w:val="nil"/>
              <w:bottom w:val="nil"/>
              <w:right w:val="nil"/>
            </w:tcBorders>
          </w:tcPr>
          <w:p w14:paraId="219C9D0E" w14:textId="77777777" w:rsidR="00035013" w:rsidRPr="00FA1EC3" w:rsidRDefault="00035013" w:rsidP="00FA1EC3">
            <w:pPr>
              <w:spacing w:after="0" w:line="240" w:lineRule="auto"/>
              <w:rPr>
                <w:rFonts w:eastAsia="Times New Roman" w:cs="Calibri"/>
                <w:color w:val="000000"/>
                <w:lang w:val="en-ZA" w:eastAsia="en-ZA"/>
              </w:rPr>
            </w:pPr>
          </w:p>
        </w:tc>
        <w:tc>
          <w:tcPr>
            <w:tcW w:w="324" w:type="dxa"/>
            <w:tcBorders>
              <w:top w:val="nil"/>
              <w:left w:val="nil"/>
              <w:bottom w:val="nil"/>
              <w:right w:val="nil"/>
            </w:tcBorders>
            <w:shd w:val="clear" w:color="auto" w:fill="auto"/>
            <w:noWrap/>
            <w:vAlign w:val="bottom"/>
            <w:hideMark/>
          </w:tcPr>
          <w:p w14:paraId="4E30ACA7" w14:textId="11DE8B8F" w:rsidR="00035013" w:rsidRPr="00FA1EC3" w:rsidRDefault="00035013" w:rsidP="00FA1EC3">
            <w:pPr>
              <w:spacing w:after="0" w:line="240" w:lineRule="auto"/>
              <w:rPr>
                <w:rFonts w:eastAsia="Times New Roman" w:cs="Calibri"/>
                <w:color w:val="000000"/>
                <w:lang w:val="en-ZA" w:eastAsia="en-ZA"/>
              </w:rPr>
            </w:pPr>
          </w:p>
        </w:tc>
        <w:tc>
          <w:tcPr>
            <w:tcW w:w="1859" w:type="dxa"/>
            <w:tcBorders>
              <w:top w:val="nil"/>
              <w:left w:val="single" w:sz="4" w:space="0" w:color="auto"/>
              <w:bottom w:val="nil"/>
              <w:right w:val="single" w:sz="4" w:space="0" w:color="auto"/>
            </w:tcBorders>
          </w:tcPr>
          <w:p w14:paraId="7F95917A" w14:textId="4B601CE0" w:rsidR="00035013" w:rsidRDefault="005A5BA2" w:rsidP="00FA1EC3">
            <w:pPr>
              <w:spacing w:after="0" w:line="240" w:lineRule="auto"/>
              <w:rPr>
                <w:rFonts w:eastAsia="Times New Roman" w:cs="Calibri"/>
                <w:color w:val="000000"/>
                <w:lang w:val="en-ZA" w:eastAsia="en-ZA"/>
              </w:rPr>
            </w:pPr>
            <w:r w:rsidRPr="005A5BA2">
              <w:rPr>
                <w:rFonts w:eastAsia="Times New Roman" w:cs="Calibri"/>
                <w:color w:val="000000"/>
                <w:lang w:val="en-ZA" w:eastAsia="en-ZA"/>
              </w:rPr>
              <w:t>43 083 879</w:t>
            </w:r>
          </w:p>
        </w:tc>
        <w:tc>
          <w:tcPr>
            <w:tcW w:w="1859" w:type="dxa"/>
            <w:tcBorders>
              <w:top w:val="nil"/>
              <w:left w:val="single" w:sz="4" w:space="0" w:color="auto"/>
              <w:bottom w:val="nil"/>
              <w:right w:val="single" w:sz="4" w:space="0" w:color="auto"/>
            </w:tcBorders>
          </w:tcPr>
          <w:p w14:paraId="42635E02" w14:textId="085342C3" w:rsidR="00035013" w:rsidRDefault="005A5BA2" w:rsidP="00FA1EC3">
            <w:pPr>
              <w:spacing w:after="0" w:line="240" w:lineRule="auto"/>
              <w:rPr>
                <w:rFonts w:eastAsia="Times New Roman" w:cs="Calibri"/>
                <w:color w:val="000000"/>
                <w:lang w:val="en-ZA" w:eastAsia="en-ZA"/>
              </w:rPr>
            </w:pPr>
            <w:r w:rsidRPr="005A5BA2">
              <w:rPr>
                <w:rFonts w:eastAsia="Times New Roman" w:cs="Calibri"/>
                <w:color w:val="000000"/>
                <w:lang w:val="en-ZA" w:eastAsia="en-ZA"/>
              </w:rPr>
              <w:t>46 264 905</w:t>
            </w:r>
          </w:p>
        </w:tc>
        <w:tc>
          <w:tcPr>
            <w:tcW w:w="1859" w:type="dxa"/>
            <w:tcBorders>
              <w:top w:val="nil"/>
              <w:left w:val="single" w:sz="4" w:space="0" w:color="auto"/>
              <w:bottom w:val="nil"/>
              <w:right w:val="single" w:sz="4" w:space="0" w:color="auto"/>
            </w:tcBorders>
            <w:vAlign w:val="bottom"/>
          </w:tcPr>
          <w:p w14:paraId="3C5C711D" w14:textId="55A8A8DF" w:rsidR="00035013" w:rsidRPr="00FA1EC3" w:rsidRDefault="00035013" w:rsidP="00FA1EC3">
            <w:pPr>
              <w:spacing w:after="0" w:line="240" w:lineRule="auto"/>
              <w:rPr>
                <w:rFonts w:eastAsia="Times New Roman" w:cs="Calibri"/>
                <w:color w:val="000000"/>
                <w:lang w:val="en-ZA" w:eastAsia="en-ZA"/>
              </w:rPr>
            </w:pPr>
            <w:r>
              <w:rPr>
                <w:rFonts w:eastAsia="Times New Roman" w:cs="Calibri"/>
                <w:color w:val="000000"/>
                <w:lang w:val="en-ZA" w:eastAsia="en-ZA"/>
              </w:rPr>
              <w:t>32 861 712</w:t>
            </w:r>
          </w:p>
        </w:tc>
        <w:tc>
          <w:tcPr>
            <w:tcW w:w="1859" w:type="dxa"/>
            <w:tcBorders>
              <w:top w:val="nil"/>
              <w:left w:val="single" w:sz="4" w:space="0" w:color="auto"/>
              <w:bottom w:val="nil"/>
              <w:right w:val="single" w:sz="4" w:space="0" w:color="auto"/>
            </w:tcBorders>
            <w:shd w:val="clear" w:color="auto" w:fill="auto"/>
            <w:noWrap/>
            <w:vAlign w:val="bottom"/>
            <w:hideMark/>
          </w:tcPr>
          <w:p w14:paraId="416C3556" w14:textId="77777777" w:rsidR="00035013" w:rsidRPr="00FA1EC3" w:rsidRDefault="00035013" w:rsidP="00FA1EC3">
            <w:pPr>
              <w:spacing w:after="0" w:line="240" w:lineRule="auto"/>
              <w:rPr>
                <w:rFonts w:eastAsia="Times New Roman" w:cs="Calibri"/>
                <w:color w:val="000000"/>
                <w:lang w:val="en-ZA" w:eastAsia="en-ZA"/>
              </w:rPr>
            </w:pPr>
            <w:r w:rsidRPr="00FA1EC3">
              <w:rPr>
                <w:rFonts w:eastAsia="Times New Roman" w:cs="Calibri"/>
                <w:color w:val="000000"/>
                <w:lang w:val="en-ZA" w:eastAsia="en-ZA"/>
              </w:rPr>
              <w:t xml:space="preserve">    34 932 153 </w:t>
            </w:r>
          </w:p>
        </w:tc>
      </w:tr>
      <w:tr w:rsidR="00035013" w:rsidRPr="00FA1EC3" w14:paraId="79663F0D" w14:textId="77777777" w:rsidTr="005A5BA2">
        <w:trPr>
          <w:trHeight w:val="190"/>
        </w:trPr>
        <w:tc>
          <w:tcPr>
            <w:tcW w:w="2095" w:type="dxa"/>
            <w:gridSpan w:val="3"/>
            <w:tcBorders>
              <w:top w:val="single" w:sz="4" w:space="0" w:color="auto"/>
              <w:left w:val="single" w:sz="8" w:space="0" w:color="auto"/>
              <w:bottom w:val="single" w:sz="4" w:space="0" w:color="auto"/>
              <w:right w:val="nil"/>
            </w:tcBorders>
            <w:shd w:val="clear" w:color="auto" w:fill="auto"/>
            <w:noWrap/>
            <w:vAlign w:val="bottom"/>
            <w:hideMark/>
          </w:tcPr>
          <w:p w14:paraId="3B05D080" w14:textId="77777777" w:rsidR="00035013" w:rsidRPr="00FA1EC3" w:rsidRDefault="00035013" w:rsidP="007F3E08">
            <w:pPr>
              <w:spacing w:after="0" w:line="240" w:lineRule="auto"/>
              <w:jc w:val="both"/>
              <w:rPr>
                <w:rFonts w:eastAsia="Times New Roman" w:cs="Calibri"/>
                <w:b/>
                <w:bCs/>
                <w:color w:val="000000"/>
                <w:lang w:val="en-ZA" w:eastAsia="en-ZA"/>
              </w:rPr>
            </w:pPr>
            <w:r w:rsidRPr="00FA1EC3">
              <w:rPr>
                <w:rFonts w:eastAsia="Times New Roman" w:cs="Calibri"/>
                <w:b/>
                <w:bCs/>
                <w:color w:val="000000"/>
                <w:lang w:val="en-ZA" w:eastAsia="en-ZA"/>
              </w:rPr>
              <w:t xml:space="preserve">Total </w:t>
            </w:r>
            <w:r>
              <w:rPr>
                <w:rFonts w:eastAsia="Times New Roman" w:cs="Calibri"/>
                <w:b/>
                <w:bCs/>
                <w:color w:val="000000"/>
                <w:lang w:val="en-ZA" w:eastAsia="en-ZA"/>
              </w:rPr>
              <w:t>Infrastructure A</w:t>
            </w:r>
            <w:r w:rsidRPr="00FA1EC3">
              <w:rPr>
                <w:rFonts w:eastAsia="Times New Roman" w:cs="Calibri"/>
                <w:b/>
                <w:bCs/>
                <w:color w:val="000000"/>
                <w:lang w:val="en-ZA" w:eastAsia="en-ZA"/>
              </w:rPr>
              <w:t>ssets</w:t>
            </w:r>
          </w:p>
        </w:tc>
        <w:tc>
          <w:tcPr>
            <w:tcW w:w="324" w:type="dxa"/>
            <w:tcBorders>
              <w:top w:val="single" w:sz="4" w:space="0" w:color="auto"/>
              <w:left w:val="nil"/>
              <w:bottom w:val="single" w:sz="4" w:space="0" w:color="auto"/>
              <w:right w:val="nil"/>
            </w:tcBorders>
          </w:tcPr>
          <w:p w14:paraId="4C315E60" w14:textId="77777777" w:rsidR="00035013" w:rsidRPr="00FA1EC3" w:rsidRDefault="00035013" w:rsidP="00FA1EC3">
            <w:pPr>
              <w:spacing w:after="0" w:line="240" w:lineRule="auto"/>
              <w:rPr>
                <w:rFonts w:eastAsia="Times New Roman" w:cs="Calibri"/>
                <w:b/>
                <w:bCs/>
                <w:color w:val="000000"/>
                <w:lang w:val="en-ZA" w:eastAsia="en-ZA"/>
              </w:rPr>
            </w:pPr>
          </w:p>
        </w:tc>
        <w:tc>
          <w:tcPr>
            <w:tcW w:w="324" w:type="dxa"/>
            <w:tcBorders>
              <w:top w:val="single" w:sz="4" w:space="0" w:color="auto"/>
              <w:left w:val="nil"/>
              <w:bottom w:val="single" w:sz="4" w:space="0" w:color="auto"/>
              <w:right w:val="nil"/>
            </w:tcBorders>
            <w:shd w:val="clear" w:color="auto" w:fill="auto"/>
            <w:noWrap/>
            <w:vAlign w:val="bottom"/>
            <w:hideMark/>
          </w:tcPr>
          <w:p w14:paraId="691C854E" w14:textId="1041ED18" w:rsidR="00035013" w:rsidRPr="00FA1EC3" w:rsidRDefault="00035013" w:rsidP="00FA1EC3">
            <w:pPr>
              <w:spacing w:after="0" w:line="240" w:lineRule="auto"/>
              <w:rPr>
                <w:rFonts w:eastAsia="Times New Roman" w:cs="Calibri"/>
                <w:b/>
                <w:bCs/>
                <w:color w:val="000000"/>
                <w:lang w:val="en-ZA" w:eastAsia="en-ZA"/>
              </w:rPr>
            </w:pPr>
            <w:r w:rsidRPr="00FA1EC3">
              <w:rPr>
                <w:rFonts w:eastAsia="Times New Roman" w:cs="Calibri"/>
                <w:b/>
                <w:bCs/>
                <w:color w:val="000000"/>
                <w:lang w:val="en-ZA" w:eastAsia="en-ZA"/>
              </w:rPr>
              <w:t> </w:t>
            </w:r>
          </w:p>
        </w:tc>
        <w:tc>
          <w:tcPr>
            <w:tcW w:w="1859" w:type="dxa"/>
            <w:tcBorders>
              <w:top w:val="single" w:sz="4" w:space="0" w:color="auto"/>
              <w:left w:val="single" w:sz="4" w:space="0" w:color="auto"/>
              <w:bottom w:val="single" w:sz="4" w:space="0" w:color="auto"/>
              <w:right w:val="single" w:sz="4" w:space="0" w:color="auto"/>
            </w:tcBorders>
          </w:tcPr>
          <w:p w14:paraId="75C7F77F" w14:textId="77777777" w:rsidR="005A5BA2" w:rsidRDefault="005A5BA2" w:rsidP="00FA1EC3">
            <w:pPr>
              <w:spacing w:after="0" w:line="240" w:lineRule="auto"/>
              <w:rPr>
                <w:rFonts w:eastAsia="Times New Roman" w:cs="Calibri"/>
                <w:b/>
                <w:bCs/>
                <w:color w:val="000000"/>
                <w:lang w:val="en-ZA" w:eastAsia="en-ZA"/>
              </w:rPr>
            </w:pPr>
          </w:p>
          <w:p w14:paraId="63E5EDC3" w14:textId="34C38053" w:rsidR="00035013" w:rsidRDefault="005A5BA2" w:rsidP="00FA1EC3">
            <w:pPr>
              <w:spacing w:after="0" w:line="240" w:lineRule="auto"/>
              <w:rPr>
                <w:rFonts w:eastAsia="Times New Roman" w:cs="Calibri"/>
                <w:b/>
                <w:bCs/>
                <w:color w:val="000000"/>
                <w:lang w:val="en-ZA" w:eastAsia="en-ZA"/>
              </w:rPr>
            </w:pPr>
            <w:r w:rsidRPr="005A5BA2">
              <w:rPr>
                <w:rFonts w:eastAsia="Times New Roman" w:cs="Calibri"/>
                <w:b/>
                <w:bCs/>
                <w:color w:val="000000"/>
                <w:lang w:val="en-ZA" w:eastAsia="en-ZA"/>
              </w:rPr>
              <w:t>373 656</w:t>
            </w:r>
            <w:r>
              <w:rPr>
                <w:rFonts w:eastAsia="Times New Roman" w:cs="Calibri"/>
                <w:b/>
                <w:bCs/>
                <w:color w:val="000000"/>
                <w:lang w:val="en-ZA" w:eastAsia="en-ZA"/>
              </w:rPr>
              <w:t> </w:t>
            </w:r>
            <w:r w:rsidRPr="005A5BA2">
              <w:rPr>
                <w:rFonts w:eastAsia="Times New Roman" w:cs="Calibri"/>
                <w:b/>
                <w:bCs/>
                <w:color w:val="000000"/>
                <w:lang w:val="en-ZA" w:eastAsia="en-ZA"/>
              </w:rPr>
              <w:t>817</w:t>
            </w:r>
          </w:p>
        </w:tc>
        <w:tc>
          <w:tcPr>
            <w:tcW w:w="1859" w:type="dxa"/>
            <w:tcBorders>
              <w:top w:val="single" w:sz="4" w:space="0" w:color="auto"/>
              <w:left w:val="single" w:sz="4" w:space="0" w:color="auto"/>
              <w:bottom w:val="single" w:sz="4" w:space="0" w:color="auto"/>
              <w:right w:val="single" w:sz="4" w:space="0" w:color="auto"/>
            </w:tcBorders>
          </w:tcPr>
          <w:p w14:paraId="4B1EC066" w14:textId="77777777" w:rsidR="005A5BA2" w:rsidRDefault="005A5BA2" w:rsidP="00FA1EC3">
            <w:pPr>
              <w:spacing w:after="0" w:line="240" w:lineRule="auto"/>
              <w:rPr>
                <w:rFonts w:eastAsia="Times New Roman" w:cs="Calibri"/>
                <w:b/>
                <w:bCs/>
                <w:color w:val="000000"/>
                <w:lang w:val="en-ZA" w:eastAsia="en-ZA"/>
              </w:rPr>
            </w:pPr>
          </w:p>
          <w:p w14:paraId="032B8F01" w14:textId="27C5E5E7" w:rsidR="00035013" w:rsidRDefault="005A5BA2" w:rsidP="00FA1EC3">
            <w:pPr>
              <w:spacing w:after="0" w:line="240" w:lineRule="auto"/>
              <w:rPr>
                <w:rFonts w:eastAsia="Times New Roman" w:cs="Calibri"/>
                <w:b/>
                <w:bCs/>
                <w:color w:val="000000"/>
                <w:lang w:val="en-ZA" w:eastAsia="en-ZA"/>
              </w:rPr>
            </w:pPr>
            <w:r w:rsidRPr="005A5BA2">
              <w:rPr>
                <w:rFonts w:eastAsia="Times New Roman" w:cs="Calibri"/>
                <w:b/>
                <w:bCs/>
                <w:color w:val="000000"/>
                <w:lang w:val="en-ZA" w:eastAsia="en-ZA"/>
              </w:rPr>
              <w:t>353 963 748</w:t>
            </w:r>
          </w:p>
        </w:tc>
        <w:tc>
          <w:tcPr>
            <w:tcW w:w="1859" w:type="dxa"/>
            <w:tcBorders>
              <w:top w:val="single" w:sz="4" w:space="0" w:color="auto"/>
              <w:left w:val="single" w:sz="4" w:space="0" w:color="auto"/>
              <w:bottom w:val="single" w:sz="4" w:space="0" w:color="auto"/>
              <w:right w:val="single" w:sz="4" w:space="0" w:color="auto"/>
            </w:tcBorders>
            <w:vAlign w:val="bottom"/>
          </w:tcPr>
          <w:p w14:paraId="0632F421" w14:textId="791A5B40" w:rsidR="00035013" w:rsidRPr="00FA1EC3" w:rsidRDefault="00035013" w:rsidP="00FA1EC3">
            <w:pPr>
              <w:spacing w:after="0" w:line="240" w:lineRule="auto"/>
              <w:rPr>
                <w:rFonts w:eastAsia="Times New Roman" w:cs="Calibri"/>
                <w:b/>
                <w:bCs/>
                <w:color w:val="000000"/>
                <w:lang w:val="en-ZA" w:eastAsia="en-ZA"/>
              </w:rPr>
            </w:pPr>
            <w:r>
              <w:rPr>
                <w:rFonts w:eastAsia="Times New Roman" w:cs="Calibri"/>
                <w:b/>
                <w:bCs/>
                <w:color w:val="000000"/>
                <w:lang w:val="en-ZA" w:eastAsia="en-ZA"/>
              </w:rPr>
              <w:t>341 745 960</w:t>
            </w:r>
          </w:p>
        </w:tc>
        <w:tc>
          <w:tcPr>
            <w:tcW w:w="18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CC53F4" w14:textId="77777777" w:rsidR="00035013" w:rsidRPr="00FA1EC3" w:rsidRDefault="00035013" w:rsidP="00FA1EC3">
            <w:pPr>
              <w:spacing w:after="0" w:line="240" w:lineRule="auto"/>
              <w:rPr>
                <w:rFonts w:eastAsia="Times New Roman" w:cs="Calibri"/>
                <w:b/>
                <w:bCs/>
                <w:color w:val="000000"/>
                <w:lang w:val="en-ZA" w:eastAsia="en-ZA"/>
              </w:rPr>
            </w:pPr>
            <w:r w:rsidRPr="00FA1EC3">
              <w:rPr>
                <w:rFonts w:eastAsia="Times New Roman" w:cs="Calibri"/>
                <w:b/>
                <w:bCs/>
                <w:color w:val="000000"/>
                <w:lang w:val="en-ZA" w:eastAsia="en-ZA"/>
              </w:rPr>
              <w:t xml:space="preserve">  257 105 342 </w:t>
            </w:r>
          </w:p>
        </w:tc>
      </w:tr>
      <w:tr w:rsidR="00035013" w:rsidRPr="00FA1EC3" w14:paraId="16061D03" w14:textId="77777777" w:rsidTr="005A5BA2">
        <w:trPr>
          <w:trHeight w:val="190"/>
        </w:trPr>
        <w:tc>
          <w:tcPr>
            <w:tcW w:w="2095" w:type="dxa"/>
            <w:gridSpan w:val="3"/>
            <w:tcBorders>
              <w:top w:val="nil"/>
              <w:left w:val="single" w:sz="8" w:space="0" w:color="auto"/>
              <w:bottom w:val="nil"/>
              <w:right w:val="nil"/>
            </w:tcBorders>
            <w:shd w:val="clear" w:color="auto" w:fill="auto"/>
            <w:noWrap/>
            <w:vAlign w:val="bottom"/>
            <w:hideMark/>
          </w:tcPr>
          <w:p w14:paraId="628DC54A" w14:textId="77777777" w:rsidR="00035013" w:rsidRPr="00FA1EC3" w:rsidRDefault="00035013" w:rsidP="00666DE8">
            <w:pPr>
              <w:spacing w:after="0" w:line="240" w:lineRule="auto"/>
              <w:jc w:val="both"/>
              <w:rPr>
                <w:rFonts w:eastAsia="Times New Roman" w:cs="Calibri"/>
                <w:color w:val="000000"/>
                <w:lang w:val="en-ZA" w:eastAsia="en-ZA"/>
              </w:rPr>
            </w:pPr>
            <w:r w:rsidRPr="00FA1EC3">
              <w:rPr>
                <w:rFonts w:eastAsia="Times New Roman" w:cs="Calibri"/>
                <w:color w:val="000000"/>
                <w:lang w:val="en-ZA" w:eastAsia="en-ZA"/>
              </w:rPr>
              <w:t>Repairs and maintenance</w:t>
            </w:r>
          </w:p>
        </w:tc>
        <w:tc>
          <w:tcPr>
            <w:tcW w:w="324" w:type="dxa"/>
            <w:tcBorders>
              <w:top w:val="nil"/>
              <w:left w:val="nil"/>
              <w:bottom w:val="nil"/>
              <w:right w:val="nil"/>
            </w:tcBorders>
          </w:tcPr>
          <w:p w14:paraId="67994714" w14:textId="77777777" w:rsidR="00035013" w:rsidRPr="00FA1EC3" w:rsidRDefault="00035013" w:rsidP="00FA1EC3">
            <w:pPr>
              <w:spacing w:after="0" w:line="240" w:lineRule="auto"/>
              <w:rPr>
                <w:rFonts w:eastAsia="Times New Roman" w:cs="Calibri"/>
                <w:color w:val="000000"/>
                <w:lang w:val="en-ZA" w:eastAsia="en-ZA"/>
              </w:rPr>
            </w:pPr>
          </w:p>
        </w:tc>
        <w:tc>
          <w:tcPr>
            <w:tcW w:w="324" w:type="dxa"/>
            <w:tcBorders>
              <w:top w:val="nil"/>
              <w:left w:val="nil"/>
              <w:bottom w:val="nil"/>
              <w:right w:val="nil"/>
            </w:tcBorders>
            <w:shd w:val="clear" w:color="auto" w:fill="auto"/>
            <w:noWrap/>
            <w:vAlign w:val="bottom"/>
            <w:hideMark/>
          </w:tcPr>
          <w:p w14:paraId="73D6938D" w14:textId="1CFE6C9B" w:rsidR="00035013" w:rsidRPr="00FA1EC3" w:rsidRDefault="00035013" w:rsidP="00FA1EC3">
            <w:pPr>
              <w:spacing w:after="0" w:line="240" w:lineRule="auto"/>
              <w:rPr>
                <w:rFonts w:eastAsia="Times New Roman" w:cs="Calibri"/>
                <w:color w:val="000000"/>
                <w:lang w:val="en-ZA" w:eastAsia="en-ZA"/>
              </w:rPr>
            </w:pPr>
          </w:p>
        </w:tc>
        <w:tc>
          <w:tcPr>
            <w:tcW w:w="1859" w:type="dxa"/>
            <w:tcBorders>
              <w:top w:val="nil"/>
              <w:left w:val="single" w:sz="4" w:space="0" w:color="auto"/>
              <w:bottom w:val="nil"/>
              <w:right w:val="single" w:sz="4" w:space="0" w:color="auto"/>
            </w:tcBorders>
          </w:tcPr>
          <w:p w14:paraId="077C3C67" w14:textId="77777777" w:rsidR="005A5BA2" w:rsidRDefault="005A5BA2" w:rsidP="00FA1EC3">
            <w:pPr>
              <w:spacing w:after="0" w:line="240" w:lineRule="auto"/>
              <w:rPr>
                <w:rFonts w:eastAsia="Times New Roman" w:cs="Calibri"/>
                <w:color w:val="000000"/>
                <w:lang w:val="en-ZA" w:eastAsia="en-ZA"/>
              </w:rPr>
            </w:pPr>
          </w:p>
          <w:p w14:paraId="4035E359" w14:textId="1A759147" w:rsidR="00035013" w:rsidRDefault="005A5BA2" w:rsidP="00FA1EC3">
            <w:pPr>
              <w:spacing w:after="0" w:line="240" w:lineRule="auto"/>
              <w:rPr>
                <w:rFonts w:eastAsia="Times New Roman" w:cs="Calibri"/>
                <w:color w:val="000000"/>
                <w:lang w:val="en-ZA" w:eastAsia="en-ZA"/>
              </w:rPr>
            </w:pPr>
            <w:r w:rsidRPr="005A5BA2">
              <w:rPr>
                <w:rFonts w:eastAsia="Times New Roman" w:cs="Calibri"/>
                <w:color w:val="000000"/>
                <w:lang w:val="en-ZA" w:eastAsia="en-ZA"/>
              </w:rPr>
              <w:t>20 387</w:t>
            </w:r>
            <w:r>
              <w:rPr>
                <w:rFonts w:eastAsia="Times New Roman" w:cs="Calibri"/>
                <w:color w:val="000000"/>
                <w:lang w:val="en-ZA" w:eastAsia="en-ZA"/>
              </w:rPr>
              <w:t> </w:t>
            </w:r>
            <w:r w:rsidRPr="005A5BA2">
              <w:rPr>
                <w:rFonts w:eastAsia="Times New Roman" w:cs="Calibri"/>
                <w:color w:val="000000"/>
                <w:lang w:val="en-ZA" w:eastAsia="en-ZA"/>
              </w:rPr>
              <w:t>564</w:t>
            </w:r>
          </w:p>
        </w:tc>
        <w:tc>
          <w:tcPr>
            <w:tcW w:w="1859" w:type="dxa"/>
            <w:tcBorders>
              <w:top w:val="nil"/>
              <w:left w:val="single" w:sz="4" w:space="0" w:color="auto"/>
              <w:bottom w:val="nil"/>
              <w:right w:val="single" w:sz="4" w:space="0" w:color="auto"/>
            </w:tcBorders>
          </w:tcPr>
          <w:p w14:paraId="2B530864" w14:textId="77777777" w:rsidR="005A5BA2" w:rsidRDefault="005A5BA2" w:rsidP="00FA1EC3">
            <w:pPr>
              <w:spacing w:after="0" w:line="240" w:lineRule="auto"/>
              <w:rPr>
                <w:rFonts w:eastAsia="Times New Roman" w:cs="Calibri"/>
                <w:color w:val="000000"/>
                <w:lang w:val="en-ZA" w:eastAsia="en-ZA"/>
              </w:rPr>
            </w:pPr>
          </w:p>
          <w:p w14:paraId="2D7829EB" w14:textId="7B053644" w:rsidR="00035013" w:rsidRDefault="005A5BA2" w:rsidP="00FA1EC3">
            <w:pPr>
              <w:spacing w:after="0" w:line="240" w:lineRule="auto"/>
              <w:rPr>
                <w:rFonts w:eastAsia="Times New Roman" w:cs="Calibri"/>
                <w:color w:val="000000"/>
                <w:lang w:val="en-ZA" w:eastAsia="en-ZA"/>
              </w:rPr>
            </w:pPr>
            <w:r w:rsidRPr="005A5BA2">
              <w:rPr>
                <w:rFonts w:eastAsia="Times New Roman" w:cs="Calibri"/>
                <w:color w:val="000000"/>
                <w:lang w:val="en-ZA" w:eastAsia="en-ZA"/>
              </w:rPr>
              <w:t>21 348 145</w:t>
            </w:r>
          </w:p>
        </w:tc>
        <w:tc>
          <w:tcPr>
            <w:tcW w:w="1859" w:type="dxa"/>
            <w:tcBorders>
              <w:top w:val="nil"/>
              <w:left w:val="single" w:sz="4" w:space="0" w:color="auto"/>
              <w:bottom w:val="nil"/>
              <w:right w:val="single" w:sz="4" w:space="0" w:color="auto"/>
            </w:tcBorders>
            <w:vAlign w:val="bottom"/>
          </w:tcPr>
          <w:p w14:paraId="09E7891A" w14:textId="3919CA71" w:rsidR="00035013" w:rsidRPr="00FA1EC3" w:rsidRDefault="00035013" w:rsidP="00FA1EC3">
            <w:pPr>
              <w:spacing w:after="0" w:line="240" w:lineRule="auto"/>
              <w:rPr>
                <w:rFonts w:eastAsia="Times New Roman" w:cs="Calibri"/>
                <w:color w:val="000000"/>
                <w:lang w:val="en-ZA" w:eastAsia="en-ZA"/>
              </w:rPr>
            </w:pPr>
            <w:r>
              <w:rPr>
                <w:rFonts w:eastAsia="Times New Roman" w:cs="Calibri"/>
                <w:color w:val="000000"/>
                <w:lang w:val="en-ZA" w:eastAsia="en-ZA"/>
              </w:rPr>
              <w:t>17 462  762</w:t>
            </w:r>
          </w:p>
        </w:tc>
        <w:tc>
          <w:tcPr>
            <w:tcW w:w="1859" w:type="dxa"/>
            <w:tcBorders>
              <w:top w:val="nil"/>
              <w:left w:val="single" w:sz="4" w:space="0" w:color="auto"/>
              <w:bottom w:val="nil"/>
              <w:right w:val="single" w:sz="4" w:space="0" w:color="auto"/>
            </w:tcBorders>
            <w:shd w:val="clear" w:color="auto" w:fill="auto"/>
            <w:noWrap/>
            <w:vAlign w:val="bottom"/>
            <w:hideMark/>
          </w:tcPr>
          <w:p w14:paraId="12836E1C" w14:textId="77777777" w:rsidR="00035013" w:rsidRPr="00FA1EC3" w:rsidRDefault="00035013" w:rsidP="00FA1EC3">
            <w:pPr>
              <w:spacing w:after="0" w:line="240" w:lineRule="auto"/>
              <w:rPr>
                <w:rFonts w:eastAsia="Times New Roman" w:cs="Calibri"/>
                <w:color w:val="000000"/>
                <w:lang w:val="en-ZA" w:eastAsia="en-ZA"/>
              </w:rPr>
            </w:pPr>
            <w:r w:rsidRPr="00FA1EC3">
              <w:rPr>
                <w:rFonts w:eastAsia="Times New Roman" w:cs="Calibri"/>
                <w:color w:val="000000"/>
                <w:lang w:val="en-ZA" w:eastAsia="en-ZA"/>
              </w:rPr>
              <w:t xml:space="preserve">    15 035 026 </w:t>
            </w:r>
          </w:p>
        </w:tc>
      </w:tr>
      <w:tr w:rsidR="006F22B2" w:rsidRPr="00FA1EC3" w14:paraId="7F9FD7AC" w14:textId="77777777" w:rsidTr="005A5BA2">
        <w:trPr>
          <w:trHeight w:val="200"/>
        </w:trPr>
        <w:tc>
          <w:tcPr>
            <w:tcW w:w="2743" w:type="dxa"/>
            <w:gridSpan w:val="5"/>
            <w:tcBorders>
              <w:top w:val="single" w:sz="4" w:space="0" w:color="auto"/>
              <w:left w:val="single" w:sz="8" w:space="0" w:color="auto"/>
              <w:bottom w:val="single" w:sz="8" w:space="0" w:color="auto"/>
              <w:right w:val="nil"/>
            </w:tcBorders>
          </w:tcPr>
          <w:p w14:paraId="0393A814" w14:textId="7E48C31F" w:rsidR="006F22B2" w:rsidRPr="00FA1EC3" w:rsidRDefault="006F22B2" w:rsidP="00FA1EC3">
            <w:pPr>
              <w:spacing w:after="0" w:line="240" w:lineRule="auto"/>
              <w:rPr>
                <w:rFonts w:eastAsia="Times New Roman" w:cs="Calibri"/>
                <w:b/>
                <w:color w:val="000000"/>
                <w:lang w:val="en-ZA" w:eastAsia="en-ZA"/>
              </w:rPr>
            </w:pPr>
            <w:r w:rsidRPr="00FA1EC3">
              <w:rPr>
                <w:rFonts w:eastAsia="Times New Roman" w:cs="Calibri"/>
                <w:b/>
                <w:color w:val="000000"/>
                <w:lang w:val="en-ZA" w:eastAsia="en-ZA"/>
              </w:rPr>
              <w:t>Percentage of Infrastructure assets</w:t>
            </w:r>
          </w:p>
        </w:tc>
        <w:tc>
          <w:tcPr>
            <w:tcW w:w="1859" w:type="dxa"/>
            <w:tcBorders>
              <w:top w:val="single" w:sz="4" w:space="0" w:color="auto"/>
              <w:left w:val="single" w:sz="4" w:space="0" w:color="auto"/>
              <w:bottom w:val="single" w:sz="8" w:space="0" w:color="auto"/>
              <w:right w:val="single" w:sz="4" w:space="0" w:color="auto"/>
            </w:tcBorders>
          </w:tcPr>
          <w:p w14:paraId="360007D8" w14:textId="77777777" w:rsidR="005A5BA2" w:rsidRDefault="005A5BA2" w:rsidP="007F3E08">
            <w:pPr>
              <w:spacing w:after="0" w:line="240" w:lineRule="auto"/>
              <w:jc w:val="center"/>
              <w:rPr>
                <w:rFonts w:eastAsia="Times New Roman" w:cs="Calibri"/>
                <w:b/>
                <w:color w:val="000000"/>
                <w:lang w:val="en-ZA" w:eastAsia="en-ZA"/>
              </w:rPr>
            </w:pPr>
          </w:p>
          <w:p w14:paraId="68D35B2D" w14:textId="10A8C7A7" w:rsidR="006F22B2" w:rsidRDefault="005A5BA2" w:rsidP="007F3E08">
            <w:pPr>
              <w:spacing w:after="0" w:line="240" w:lineRule="auto"/>
              <w:jc w:val="center"/>
              <w:rPr>
                <w:rFonts w:eastAsia="Times New Roman" w:cs="Calibri"/>
                <w:b/>
                <w:color w:val="000000"/>
                <w:lang w:val="en-ZA" w:eastAsia="en-ZA"/>
              </w:rPr>
            </w:pPr>
            <w:r w:rsidRPr="005A5BA2">
              <w:rPr>
                <w:rFonts w:eastAsia="Times New Roman" w:cs="Calibri"/>
                <w:b/>
                <w:color w:val="000000"/>
                <w:lang w:val="en-ZA" w:eastAsia="en-ZA"/>
              </w:rPr>
              <w:t>5.46</w:t>
            </w:r>
          </w:p>
        </w:tc>
        <w:tc>
          <w:tcPr>
            <w:tcW w:w="1859" w:type="dxa"/>
            <w:tcBorders>
              <w:top w:val="single" w:sz="4" w:space="0" w:color="auto"/>
              <w:left w:val="single" w:sz="4" w:space="0" w:color="auto"/>
              <w:bottom w:val="single" w:sz="8" w:space="0" w:color="auto"/>
              <w:right w:val="single" w:sz="4" w:space="0" w:color="auto"/>
            </w:tcBorders>
          </w:tcPr>
          <w:p w14:paraId="7D4AC453" w14:textId="77777777" w:rsidR="005A5BA2" w:rsidRDefault="005A5BA2" w:rsidP="007F3E08">
            <w:pPr>
              <w:spacing w:after="0" w:line="240" w:lineRule="auto"/>
              <w:jc w:val="center"/>
              <w:rPr>
                <w:rFonts w:eastAsia="Times New Roman" w:cs="Calibri"/>
                <w:b/>
                <w:color w:val="000000"/>
                <w:lang w:val="en-ZA" w:eastAsia="en-ZA"/>
              </w:rPr>
            </w:pPr>
          </w:p>
          <w:p w14:paraId="1ED3A59C" w14:textId="59B7DA9E" w:rsidR="006F22B2" w:rsidRDefault="005A5BA2" w:rsidP="007F3E08">
            <w:pPr>
              <w:spacing w:after="0" w:line="240" w:lineRule="auto"/>
              <w:jc w:val="center"/>
              <w:rPr>
                <w:rFonts w:eastAsia="Times New Roman" w:cs="Calibri"/>
                <w:b/>
                <w:color w:val="000000"/>
                <w:lang w:val="en-ZA" w:eastAsia="en-ZA"/>
              </w:rPr>
            </w:pPr>
            <w:r w:rsidRPr="005A5BA2">
              <w:rPr>
                <w:rFonts w:eastAsia="Times New Roman" w:cs="Calibri"/>
                <w:b/>
                <w:color w:val="000000"/>
                <w:lang w:val="en-ZA" w:eastAsia="en-ZA"/>
              </w:rPr>
              <w:t>6.03</w:t>
            </w:r>
          </w:p>
        </w:tc>
        <w:tc>
          <w:tcPr>
            <w:tcW w:w="1859" w:type="dxa"/>
            <w:tcBorders>
              <w:top w:val="single" w:sz="4" w:space="0" w:color="auto"/>
              <w:left w:val="single" w:sz="4" w:space="0" w:color="auto"/>
              <w:bottom w:val="single" w:sz="8" w:space="0" w:color="auto"/>
              <w:right w:val="single" w:sz="4" w:space="0" w:color="auto"/>
            </w:tcBorders>
            <w:vAlign w:val="bottom"/>
          </w:tcPr>
          <w:p w14:paraId="52A3AC48" w14:textId="75ECF72E" w:rsidR="006F22B2" w:rsidRPr="00FA1EC3" w:rsidRDefault="006F22B2" w:rsidP="007F3E08">
            <w:pPr>
              <w:spacing w:after="0" w:line="240" w:lineRule="auto"/>
              <w:jc w:val="center"/>
              <w:rPr>
                <w:rFonts w:eastAsia="Times New Roman" w:cs="Calibri"/>
                <w:b/>
                <w:color w:val="000000"/>
                <w:lang w:val="en-ZA" w:eastAsia="en-ZA"/>
              </w:rPr>
            </w:pPr>
            <w:r>
              <w:rPr>
                <w:rFonts w:eastAsia="Times New Roman" w:cs="Calibri"/>
                <w:b/>
                <w:color w:val="000000"/>
                <w:lang w:val="en-ZA" w:eastAsia="en-ZA"/>
              </w:rPr>
              <w:t>5.11</w:t>
            </w:r>
          </w:p>
        </w:tc>
        <w:tc>
          <w:tcPr>
            <w:tcW w:w="1859"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6C1515A7" w14:textId="77777777" w:rsidR="006F22B2" w:rsidRPr="00FA1EC3" w:rsidRDefault="006F22B2" w:rsidP="007F3E08">
            <w:pPr>
              <w:spacing w:after="0" w:line="240" w:lineRule="auto"/>
              <w:jc w:val="center"/>
              <w:rPr>
                <w:rFonts w:eastAsia="Times New Roman" w:cs="Calibri"/>
                <w:b/>
                <w:color w:val="000000"/>
                <w:lang w:val="en-ZA" w:eastAsia="en-ZA"/>
              </w:rPr>
            </w:pPr>
            <w:r w:rsidRPr="00FA1EC3">
              <w:rPr>
                <w:rFonts w:eastAsia="Times New Roman" w:cs="Calibri"/>
                <w:b/>
                <w:color w:val="000000"/>
                <w:lang w:val="en-ZA" w:eastAsia="en-ZA"/>
              </w:rPr>
              <w:t>5.85</w:t>
            </w:r>
          </w:p>
        </w:tc>
      </w:tr>
    </w:tbl>
    <w:p w14:paraId="3221CDD5" w14:textId="77777777" w:rsidR="005A0FA4" w:rsidRPr="00881795" w:rsidRDefault="005A0FA4" w:rsidP="00395313">
      <w:pPr>
        <w:spacing w:line="288" w:lineRule="auto"/>
        <w:jc w:val="both"/>
        <w:rPr>
          <w:szCs w:val="20"/>
        </w:rPr>
      </w:pPr>
    </w:p>
    <w:p w14:paraId="55E23108" w14:textId="77777777" w:rsidR="00792032" w:rsidRPr="00007B8F" w:rsidRDefault="00792032" w:rsidP="00750180">
      <w:pPr>
        <w:pStyle w:val="Heading4"/>
        <w:numPr>
          <w:ilvl w:val="3"/>
          <w:numId w:val="127"/>
        </w:numPr>
        <w:spacing w:after="240"/>
      </w:pPr>
      <w:bookmarkStart w:id="509" w:name="_Toc389740030"/>
      <w:r w:rsidRPr="00007B8F">
        <w:t>Asset Management Strategies</w:t>
      </w:r>
      <w:bookmarkEnd w:id="509"/>
    </w:p>
    <w:p w14:paraId="617FD2C6" w14:textId="77777777" w:rsidR="00792032" w:rsidRPr="00881795" w:rsidRDefault="00792032" w:rsidP="00E31338">
      <w:pPr>
        <w:pStyle w:val="ListParagraph"/>
        <w:numPr>
          <w:ilvl w:val="0"/>
          <w:numId w:val="1"/>
        </w:numPr>
        <w:spacing w:line="288" w:lineRule="auto"/>
        <w:jc w:val="both"/>
        <w:rPr>
          <w:szCs w:val="20"/>
        </w:rPr>
      </w:pPr>
      <w:r w:rsidRPr="00881795">
        <w:rPr>
          <w:szCs w:val="20"/>
        </w:rPr>
        <w:t>All the departmental managers take charge of the assets in his/her department.</w:t>
      </w:r>
    </w:p>
    <w:p w14:paraId="7FC5F215" w14:textId="77777777" w:rsidR="00792032" w:rsidRPr="00881795" w:rsidRDefault="00792032" w:rsidP="00E31338">
      <w:pPr>
        <w:pStyle w:val="ListParagraph"/>
        <w:numPr>
          <w:ilvl w:val="0"/>
          <w:numId w:val="1"/>
        </w:numPr>
        <w:spacing w:line="288" w:lineRule="auto"/>
        <w:jc w:val="both"/>
        <w:rPr>
          <w:szCs w:val="20"/>
        </w:rPr>
      </w:pPr>
      <w:r w:rsidRPr="00881795">
        <w:rPr>
          <w:szCs w:val="20"/>
        </w:rPr>
        <w:t>Each manager is charged with the responsibility of indicating the maintenance costs within his/her department’s operating budget in order to ensure cost effectiveness in terms of the use of assets.</w:t>
      </w:r>
    </w:p>
    <w:p w14:paraId="67E50F01" w14:textId="77777777" w:rsidR="00792032" w:rsidRPr="00881795" w:rsidRDefault="00792032" w:rsidP="00E31338">
      <w:pPr>
        <w:pStyle w:val="ListParagraph"/>
        <w:numPr>
          <w:ilvl w:val="0"/>
          <w:numId w:val="1"/>
        </w:numPr>
        <w:spacing w:line="288" w:lineRule="auto"/>
        <w:jc w:val="both"/>
        <w:rPr>
          <w:szCs w:val="20"/>
        </w:rPr>
      </w:pPr>
      <w:r w:rsidRPr="00881795">
        <w:rPr>
          <w:szCs w:val="20"/>
        </w:rPr>
        <w:t>The Council has adopted a policy in terms of which the life span of assets is determined and replacement takes place only when such a date is reached.</w:t>
      </w:r>
    </w:p>
    <w:p w14:paraId="597D9179" w14:textId="77777777" w:rsidR="00792032" w:rsidRPr="00881795" w:rsidRDefault="00792032" w:rsidP="00E31338">
      <w:pPr>
        <w:pStyle w:val="ListParagraph"/>
        <w:numPr>
          <w:ilvl w:val="0"/>
          <w:numId w:val="1"/>
        </w:numPr>
        <w:spacing w:line="288" w:lineRule="auto"/>
        <w:jc w:val="both"/>
        <w:rPr>
          <w:szCs w:val="20"/>
        </w:rPr>
      </w:pPr>
      <w:r w:rsidRPr="00881795">
        <w:rPr>
          <w:szCs w:val="20"/>
        </w:rPr>
        <w:t>Assets having reached the pre-determined life span are sold in terms of the provisions of Section 189 of the Local Authorities Ordinance, 974 (Ordinance 25 of 1974).</w:t>
      </w:r>
    </w:p>
    <w:p w14:paraId="4142AF51" w14:textId="77777777" w:rsidR="00792032" w:rsidRPr="00881795" w:rsidRDefault="00792032" w:rsidP="00E31338">
      <w:pPr>
        <w:pStyle w:val="ListParagraph"/>
        <w:numPr>
          <w:ilvl w:val="0"/>
          <w:numId w:val="1"/>
        </w:numPr>
        <w:spacing w:line="288" w:lineRule="auto"/>
        <w:jc w:val="both"/>
        <w:rPr>
          <w:szCs w:val="20"/>
        </w:rPr>
      </w:pPr>
      <w:r w:rsidRPr="00881795">
        <w:rPr>
          <w:szCs w:val="20"/>
        </w:rPr>
        <w:t>The Manager Financial Services is responsible for the insurance cover of all the assets of the municipality.</w:t>
      </w:r>
    </w:p>
    <w:p w14:paraId="364C8088" w14:textId="77777777" w:rsidR="00792032" w:rsidRDefault="00792032" w:rsidP="00E31338">
      <w:pPr>
        <w:pStyle w:val="ListParagraph"/>
        <w:numPr>
          <w:ilvl w:val="0"/>
          <w:numId w:val="1"/>
        </w:numPr>
        <w:spacing w:line="288" w:lineRule="auto"/>
        <w:jc w:val="both"/>
        <w:rPr>
          <w:szCs w:val="20"/>
        </w:rPr>
      </w:pPr>
      <w:r w:rsidRPr="00881795">
        <w:rPr>
          <w:szCs w:val="20"/>
        </w:rPr>
        <w:t>The development and implementation of a fixed asset register and asset control system as well as the maintenance thereof.</w:t>
      </w:r>
    </w:p>
    <w:p w14:paraId="2FEBAD89" w14:textId="77777777" w:rsidR="00992B24" w:rsidRPr="00297498" w:rsidRDefault="00992B24" w:rsidP="00750180">
      <w:pPr>
        <w:pStyle w:val="Heading3"/>
        <w:numPr>
          <w:ilvl w:val="2"/>
          <w:numId w:val="127"/>
        </w:numPr>
        <w:spacing w:after="240"/>
        <w:rPr>
          <w:rStyle w:val="Heading3Char"/>
          <w:b/>
          <w:bCs/>
        </w:rPr>
      </w:pPr>
      <w:bookmarkStart w:id="510" w:name="_Toc389740031"/>
      <w:bookmarkStart w:id="511" w:name="_Toc510706655"/>
      <w:r w:rsidRPr="00297498">
        <w:rPr>
          <w:rStyle w:val="Heading3Char"/>
          <w:b/>
          <w:bCs/>
        </w:rPr>
        <w:t>Borrowings</w:t>
      </w:r>
      <w:bookmarkEnd w:id="510"/>
      <w:r w:rsidR="00625999" w:rsidRPr="00297498">
        <w:rPr>
          <w:rStyle w:val="Heading3Char"/>
          <w:b/>
          <w:bCs/>
        </w:rPr>
        <w:t xml:space="preserve"> (DBSA)</w:t>
      </w:r>
      <w:bookmarkEnd w:id="511"/>
    </w:p>
    <w:p w14:paraId="7F6D2939" w14:textId="2EE17E46" w:rsidR="005A0FA4" w:rsidRPr="00881795" w:rsidRDefault="005A0FA4" w:rsidP="00297498">
      <w:pPr>
        <w:pStyle w:val="Caption"/>
        <w:spacing w:after="0"/>
      </w:pPr>
      <w:bookmarkStart w:id="512" w:name="_Toc389740032"/>
      <w:bookmarkStart w:id="513" w:name="_Toc510622331"/>
      <w:r w:rsidRPr="00881795">
        <w:t xml:space="preserve">Table </w:t>
      </w:r>
      <w:r w:rsidR="00B918A6">
        <w:fldChar w:fldCharType="begin"/>
      </w:r>
      <w:r w:rsidR="00B918A6">
        <w:instrText xml:space="preserve"> SEQ Table \* ARABIC </w:instrText>
      </w:r>
      <w:r w:rsidR="00B918A6">
        <w:fldChar w:fldCharType="separate"/>
      </w:r>
      <w:r w:rsidR="0067023A">
        <w:rPr>
          <w:noProof/>
        </w:rPr>
        <w:t>80</w:t>
      </w:r>
      <w:r w:rsidR="00B918A6">
        <w:rPr>
          <w:noProof/>
        </w:rPr>
        <w:fldChar w:fldCharType="end"/>
      </w:r>
      <w:r w:rsidRPr="00881795">
        <w:t>:  Municipal Borro</w:t>
      </w:r>
      <w:r w:rsidR="001A0148">
        <w:t>w</w:t>
      </w:r>
      <w:r w:rsidR="00EE4DB7">
        <w:t>in</w:t>
      </w:r>
      <w:r w:rsidR="009C3B45">
        <w:t>gs over the last 5 years (2013</w:t>
      </w:r>
      <w:r w:rsidRPr="00881795">
        <w:t xml:space="preserve"> to 201</w:t>
      </w:r>
      <w:r w:rsidR="009C3B45">
        <w:t>7</w:t>
      </w:r>
      <w:r w:rsidRPr="00881795">
        <w:t>)</w:t>
      </w:r>
      <w:bookmarkEnd w:id="512"/>
      <w:bookmarkEnd w:id="513"/>
    </w:p>
    <w:tbl>
      <w:tblPr>
        <w:tblW w:w="957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1"/>
        <w:gridCol w:w="1674"/>
        <w:gridCol w:w="1674"/>
        <w:gridCol w:w="1674"/>
        <w:gridCol w:w="1725"/>
        <w:gridCol w:w="1540"/>
      </w:tblGrid>
      <w:tr w:rsidR="00035013" w:rsidRPr="00666DE8" w14:paraId="5793EFDB" w14:textId="77777777" w:rsidTr="00035013">
        <w:trPr>
          <w:trHeight w:val="143"/>
        </w:trPr>
        <w:tc>
          <w:tcPr>
            <w:tcW w:w="0" w:type="auto"/>
            <w:shd w:val="clear" w:color="auto" w:fill="DAEEF3" w:themeFill="accent5" w:themeFillTint="33"/>
            <w:noWrap/>
            <w:vAlign w:val="bottom"/>
            <w:hideMark/>
          </w:tcPr>
          <w:p w14:paraId="19D3625A" w14:textId="77777777" w:rsidR="00035013" w:rsidRPr="00666DE8" w:rsidRDefault="00035013" w:rsidP="00035013">
            <w:pPr>
              <w:spacing w:after="0" w:line="240" w:lineRule="auto"/>
              <w:rPr>
                <w:rFonts w:eastAsia="Times New Roman" w:cs="Calibri"/>
                <w:color w:val="000000"/>
                <w:lang w:val="en-ZA" w:eastAsia="en-ZA"/>
              </w:rPr>
            </w:pPr>
            <w:r w:rsidRPr="00666DE8">
              <w:rPr>
                <w:rFonts w:eastAsia="Times New Roman" w:cs="Calibri"/>
                <w:color w:val="000000"/>
                <w:lang w:val="en-ZA" w:eastAsia="en-ZA"/>
              </w:rPr>
              <w:t> </w:t>
            </w:r>
          </w:p>
        </w:tc>
        <w:tc>
          <w:tcPr>
            <w:tcW w:w="0" w:type="auto"/>
            <w:shd w:val="clear" w:color="auto" w:fill="DAEEF3" w:themeFill="accent5" w:themeFillTint="33"/>
          </w:tcPr>
          <w:p w14:paraId="59F8A983" w14:textId="1BA7D377" w:rsidR="00035013" w:rsidRPr="001A0148" w:rsidRDefault="00035013" w:rsidP="00035013">
            <w:pPr>
              <w:spacing w:after="0" w:line="240" w:lineRule="auto"/>
              <w:jc w:val="center"/>
              <w:rPr>
                <w:rFonts w:eastAsia="Times New Roman" w:cs="Calibri"/>
                <w:b/>
                <w:color w:val="000000"/>
                <w:lang w:val="en-ZA" w:eastAsia="en-ZA"/>
              </w:rPr>
            </w:pPr>
            <w:r>
              <w:rPr>
                <w:rFonts w:eastAsia="Times New Roman" w:cs="Calibri"/>
                <w:b/>
                <w:color w:val="000000"/>
                <w:lang w:val="en-ZA" w:eastAsia="en-ZA"/>
              </w:rPr>
              <w:t>2017</w:t>
            </w:r>
          </w:p>
        </w:tc>
        <w:tc>
          <w:tcPr>
            <w:tcW w:w="0" w:type="auto"/>
            <w:shd w:val="clear" w:color="auto" w:fill="DAEEF3" w:themeFill="accent5" w:themeFillTint="33"/>
          </w:tcPr>
          <w:p w14:paraId="36DDC23C" w14:textId="55D4BD93" w:rsidR="00035013" w:rsidRPr="001A0148" w:rsidRDefault="00035013" w:rsidP="00035013">
            <w:pPr>
              <w:spacing w:after="0" w:line="240" w:lineRule="auto"/>
              <w:jc w:val="center"/>
              <w:rPr>
                <w:rFonts w:eastAsia="Times New Roman" w:cs="Calibri"/>
                <w:b/>
                <w:color w:val="000000"/>
                <w:lang w:val="en-ZA" w:eastAsia="en-ZA"/>
              </w:rPr>
            </w:pPr>
            <w:r>
              <w:rPr>
                <w:rFonts w:eastAsia="Times New Roman" w:cs="Calibri"/>
                <w:b/>
                <w:color w:val="000000"/>
                <w:lang w:val="en-ZA" w:eastAsia="en-ZA"/>
              </w:rPr>
              <w:t>2016</w:t>
            </w:r>
          </w:p>
        </w:tc>
        <w:tc>
          <w:tcPr>
            <w:tcW w:w="0" w:type="auto"/>
            <w:shd w:val="clear" w:color="auto" w:fill="DAEEF3" w:themeFill="accent5" w:themeFillTint="33"/>
            <w:noWrap/>
            <w:vAlign w:val="bottom"/>
            <w:hideMark/>
          </w:tcPr>
          <w:p w14:paraId="4A8A5159" w14:textId="6C4BE6AF" w:rsidR="00035013" w:rsidRPr="001A0148" w:rsidRDefault="00035013" w:rsidP="00035013">
            <w:pPr>
              <w:spacing w:after="0" w:line="240" w:lineRule="auto"/>
              <w:jc w:val="center"/>
              <w:rPr>
                <w:rFonts w:eastAsia="Times New Roman" w:cs="Calibri"/>
                <w:b/>
                <w:color w:val="000000"/>
                <w:lang w:val="en-ZA" w:eastAsia="en-ZA"/>
              </w:rPr>
            </w:pPr>
            <w:r w:rsidRPr="001A0148">
              <w:rPr>
                <w:rFonts w:eastAsia="Times New Roman" w:cs="Calibri"/>
                <w:b/>
                <w:color w:val="000000"/>
                <w:lang w:val="en-ZA" w:eastAsia="en-ZA"/>
              </w:rPr>
              <w:t>2015</w:t>
            </w:r>
          </w:p>
        </w:tc>
        <w:tc>
          <w:tcPr>
            <w:tcW w:w="1725" w:type="dxa"/>
            <w:shd w:val="clear" w:color="auto" w:fill="DAEEF3" w:themeFill="accent5" w:themeFillTint="33"/>
            <w:noWrap/>
            <w:vAlign w:val="bottom"/>
            <w:hideMark/>
          </w:tcPr>
          <w:p w14:paraId="375F923B" w14:textId="77777777" w:rsidR="00035013" w:rsidRPr="00666DE8" w:rsidRDefault="00035013" w:rsidP="00035013">
            <w:pPr>
              <w:spacing w:after="0" w:line="240" w:lineRule="auto"/>
              <w:jc w:val="center"/>
              <w:rPr>
                <w:rFonts w:eastAsia="Times New Roman" w:cs="Calibri"/>
                <w:b/>
                <w:bCs/>
                <w:color w:val="000000"/>
                <w:lang w:val="en-ZA" w:eastAsia="en-ZA"/>
              </w:rPr>
            </w:pPr>
            <w:r w:rsidRPr="00666DE8">
              <w:rPr>
                <w:rFonts w:eastAsia="Times New Roman" w:cs="Calibri"/>
                <w:b/>
                <w:bCs/>
                <w:color w:val="000000"/>
                <w:lang w:val="en-ZA" w:eastAsia="en-ZA"/>
              </w:rPr>
              <w:t>2014</w:t>
            </w:r>
          </w:p>
        </w:tc>
        <w:tc>
          <w:tcPr>
            <w:tcW w:w="1540" w:type="dxa"/>
            <w:shd w:val="clear" w:color="auto" w:fill="DAEEF3" w:themeFill="accent5" w:themeFillTint="33"/>
            <w:noWrap/>
            <w:vAlign w:val="bottom"/>
            <w:hideMark/>
          </w:tcPr>
          <w:p w14:paraId="6879C589" w14:textId="77777777" w:rsidR="00035013" w:rsidRPr="00666DE8" w:rsidRDefault="00035013" w:rsidP="00035013">
            <w:pPr>
              <w:spacing w:after="0" w:line="240" w:lineRule="auto"/>
              <w:jc w:val="center"/>
              <w:rPr>
                <w:rFonts w:eastAsia="Times New Roman" w:cs="Calibri"/>
                <w:b/>
                <w:bCs/>
                <w:color w:val="000000"/>
                <w:lang w:val="en-ZA" w:eastAsia="en-ZA"/>
              </w:rPr>
            </w:pPr>
            <w:r w:rsidRPr="00666DE8">
              <w:rPr>
                <w:rFonts w:eastAsia="Times New Roman" w:cs="Calibri"/>
                <w:b/>
                <w:bCs/>
                <w:color w:val="000000"/>
                <w:lang w:val="en-ZA" w:eastAsia="en-ZA"/>
              </w:rPr>
              <w:t>2013</w:t>
            </w:r>
          </w:p>
        </w:tc>
      </w:tr>
      <w:tr w:rsidR="00035013" w:rsidRPr="00666DE8" w14:paraId="3FE2C2FD" w14:textId="77777777" w:rsidTr="00035013">
        <w:trPr>
          <w:trHeight w:val="229"/>
        </w:trPr>
        <w:tc>
          <w:tcPr>
            <w:tcW w:w="0" w:type="auto"/>
            <w:shd w:val="clear" w:color="auto" w:fill="auto"/>
            <w:noWrap/>
            <w:vAlign w:val="bottom"/>
            <w:hideMark/>
          </w:tcPr>
          <w:p w14:paraId="61657FBF" w14:textId="77777777" w:rsidR="00035013" w:rsidRPr="00666DE8" w:rsidRDefault="00035013" w:rsidP="00035013">
            <w:pPr>
              <w:spacing w:after="0" w:line="240" w:lineRule="auto"/>
              <w:rPr>
                <w:rFonts w:eastAsia="Times New Roman" w:cs="Calibri"/>
                <w:b/>
                <w:color w:val="000000"/>
                <w:lang w:val="en-ZA" w:eastAsia="en-ZA"/>
              </w:rPr>
            </w:pPr>
            <w:r w:rsidRPr="00666DE8">
              <w:rPr>
                <w:rFonts w:eastAsia="Times New Roman" w:cs="Calibri"/>
                <w:b/>
                <w:color w:val="000000"/>
                <w:lang w:val="en-ZA" w:eastAsia="en-ZA"/>
              </w:rPr>
              <w:t>Borrowings</w:t>
            </w:r>
          </w:p>
        </w:tc>
        <w:tc>
          <w:tcPr>
            <w:tcW w:w="1674" w:type="dxa"/>
          </w:tcPr>
          <w:p w14:paraId="19D43AA0" w14:textId="20B36ED4" w:rsidR="00035013" w:rsidRPr="00666DE8" w:rsidRDefault="009C3B45" w:rsidP="009C3B45">
            <w:pPr>
              <w:spacing w:after="0" w:line="240" w:lineRule="auto"/>
              <w:jc w:val="center"/>
              <w:rPr>
                <w:rFonts w:eastAsia="Times New Roman" w:cs="Calibri"/>
                <w:b/>
                <w:color w:val="000000"/>
                <w:lang w:val="en-ZA" w:eastAsia="en-ZA"/>
              </w:rPr>
            </w:pPr>
            <w:r w:rsidRPr="009C3B45">
              <w:rPr>
                <w:rFonts w:eastAsia="Times New Roman" w:cs="Calibri"/>
                <w:b/>
                <w:color w:val="000000"/>
                <w:lang w:val="en-ZA" w:eastAsia="en-ZA"/>
              </w:rPr>
              <w:t>4 241 191</w:t>
            </w:r>
          </w:p>
        </w:tc>
        <w:tc>
          <w:tcPr>
            <w:tcW w:w="1674" w:type="dxa"/>
          </w:tcPr>
          <w:p w14:paraId="36959715" w14:textId="5D799075" w:rsidR="00035013" w:rsidRPr="00666DE8" w:rsidRDefault="00035013" w:rsidP="00035013">
            <w:pPr>
              <w:spacing w:after="0" w:line="240" w:lineRule="auto"/>
              <w:jc w:val="center"/>
              <w:rPr>
                <w:rFonts w:eastAsia="Times New Roman" w:cs="Calibri"/>
                <w:b/>
                <w:color w:val="000000"/>
                <w:lang w:val="en-ZA" w:eastAsia="en-ZA"/>
              </w:rPr>
            </w:pPr>
            <w:r w:rsidRPr="00EE4DB7">
              <w:rPr>
                <w:rFonts w:eastAsia="Times New Roman" w:cs="Calibri"/>
                <w:b/>
                <w:color w:val="000000"/>
                <w:lang w:val="en-ZA" w:eastAsia="en-ZA"/>
              </w:rPr>
              <w:t>4 456 604</w:t>
            </w:r>
          </w:p>
        </w:tc>
        <w:tc>
          <w:tcPr>
            <w:tcW w:w="1674" w:type="dxa"/>
            <w:shd w:val="clear" w:color="auto" w:fill="auto"/>
            <w:noWrap/>
            <w:vAlign w:val="bottom"/>
            <w:hideMark/>
          </w:tcPr>
          <w:p w14:paraId="49E38AFE" w14:textId="7471389B" w:rsidR="00035013" w:rsidRDefault="00035013" w:rsidP="00035013">
            <w:pPr>
              <w:spacing w:after="0" w:line="240" w:lineRule="auto"/>
              <w:rPr>
                <w:rFonts w:eastAsia="Times New Roman" w:cs="Calibri"/>
                <w:color w:val="000000"/>
                <w:lang w:val="en-ZA" w:eastAsia="en-ZA"/>
              </w:rPr>
            </w:pPr>
            <w:r w:rsidRPr="00666DE8">
              <w:rPr>
                <w:rFonts w:eastAsia="Times New Roman" w:cs="Calibri"/>
                <w:b/>
                <w:color w:val="000000"/>
                <w:lang w:val="en-ZA" w:eastAsia="en-ZA"/>
              </w:rPr>
              <w:t> </w:t>
            </w:r>
            <w:r w:rsidRPr="00666DE8">
              <w:rPr>
                <w:rFonts w:eastAsia="Times New Roman" w:cs="Calibri"/>
                <w:color w:val="000000"/>
                <w:lang w:val="en-ZA" w:eastAsia="en-ZA"/>
              </w:rPr>
              <w:t> </w:t>
            </w:r>
            <w:r>
              <w:rPr>
                <w:rFonts w:eastAsia="Times New Roman" w:cs="Calibri"/>
                <w:color w:val="000000"/>
                <w:lang w:val="en-ZA" w:eastAsia="en-ZA"/>
              </w:rPr>
              <w:t>4 799 418</w:t>
            </w:r>
          </w:p>
        </w:tc>
        <w:tc>
          <w:tcPr>
            <w:tcW w:w="1725" w:type="dxa"/>
            <w:shd w:val="clear" w:color="auto" w:fill="auto"/>
            <w:noWrap/>
            <w:vAlign w:val="bottom"/>
            <w:hideMark/>
          </w:tcPr>
          <w:p w14:paraId="3958073E" w14:textId="77777777" w:rsidR="00035013" w:rsidRPr="00666DE8" w:rsidRDefault="00035013" w:rsidP="00035013">
            <w:pPr>
              <w:spacing w:after="0" w:line="240" w:lineRule="auto"/>
              <w:rPr>
                <w:rFonts w:eastAsia="Times New Roman" w:cs="Calibri"/>
                <w:color w:val="000000"/>
                <w:lang w:val="en-ZA" w:eastAsia="en-ZA"/>
              </w:rPr>
            </w:pPr>
            <w:r>
              <w:rPr>
                <w:rFonts w:eastAsia="Times New Roman" w:cs="Calibri"/>
                <w:color w:val="000000"/>
                <w:lang w:val="en-ZA" w:eastAsia="en-ZA"/>
              </w:rPr>
              <w:t xml:space="preserve">     </w:t>
            </w:r>
            <w:r w:rsidRPr="00666DE8">
              <w:rPr>
                <w:rFonts w:eastAsia="Times New Roman" w:cs="Calibri"/>
                <w:color w:val="000000"/>
                <w:lang w:val="en-ZA" w:eastAsia="en-ZA"/>
              </w:rPr>
              <w:t xml:space="preserve">5 142 234 </w:t>
            </w:r>
          </w:p>
        </w:tc>
        <w:tc>
          <w:tcPr>
            <w:tcW w:w="1540" w:type="dxa"/>
            <w:shd w:val="clear" w:color="auto" w:fill="auto"/>
            <w:noWrap/>
            <w:vAlign w:val="bottom"/>
            <w:hideMark/>
          </w:tcPr>
          <w:p w14:paraId="011AAE9E" w14:textId="77777777" w:rsidR="00035013" w:rsidRPr="00666DE8" w:rsidRDefault="00035013" w:rsidP="00035013">
            <w:pPr>
              <w:spacing w:after="0" w:line="240" w:lineRule="auto"/>
              <w:rPr>
                <w:rFonts w:eastAsia="Times New Roman" w:cs="Calibri"/>
                <w:color w:val="000000"/>
                <w:lang w:val="en-ZA" w:eastAsia="en-ZA"/>
              </w:rPr>
            </w:pPr>
            <w:r w:rsidRPr="00666DE8">
              <w:rPr>
                <w:rFonts w:eastAsia="Times New Roman" w:cs="Calibri"/>
                <w:color w:val="000000"/>
                <w:lang w:val="en-ZA" w:eastAsia="en-ZA"/>
              </w:rPr>
              <w:t xml:space="preserve">       5 485 050 </w:t>
            </w:r>
          </w:p>
        </w:tc>
      </w:tr>
    </w:tbl>
    <w:p w14:paraId="795F3A00" w14:textId="77777777" w:rsidR="00844FBA" w:rsidRDefault="00844FBA" w:rsidP="00395313">
      <w:pPr>
        <w:jc w:val="both"/>
      </w:pPr>
    </w:p>
    <w:p w14:paraId="3CFD0147" w14:textId="18365A2F" w:rsidR="009C3B45" w:rsidRDefault="009C3B45" w:rsidP="00395313">
      <w:pPr>
        <w:jc w:val="both"/>
      </w:pPr>
      <w:r>
        <w:t>The municipality</w:t>
      </w:r>
      <w:r w:rsidR="00403E60">
        <w:t xml:space="preserve"> </w:t>
      </w:r>
      <w:r>
        <w:t xml:space="preserve"> </w:t>
      </w:r>
      <w:r w:rsidR="00403E60">
        <w:t>has a current borrowings with the Development Bank of South Africa for infrastructure development  in the industrial area of Eshowe to attract investors. The municipality is financially viable and therefore has no challenge in repaying the loanas per agreement.</w:t>
      </w:r>
    </w:p>
    <w:p w14:paraId="554106E3" w14:textId="77777777" w:rsidR="00992B24" w:rsidRPr="00297498" w:rsidRDefault="00992B24" w:rsidP="00750180">
      <w:pPr>
        <w:pStyle w:val="Heading3"/>
        <w:numPr>
          <w:ilvl w:val="2"/>
          <w:numId w:val="127"/>
        </w:numPr>
        <w:spacing w:after="240"/>
        <w:rPr>
          <w:rStyle w:val="Heading3Char"/>
          <w:b/>
          <w:bCs/>
        </w:rPr>
      </w:pPr>
      <w:bookmarkStart w:id="514" w:name="_Toc389740033"/>
      <w:bookmarkStart w:id="515" w:name="_Toc510706656"/>
      <w:r w:rsidRPr="00297498">
        <w:rPr>
          <w:rStyle w:val="Heading3Char"/>
          <w:b/>
          <w:bCs/>
        </w:rPr>
        <w:t>Municipality’s Credit Rating</w:t>
      </w:r>
      <w:bookmarkEnd w:id="514"/>
      <w:bookmarkEnd w:id="515"/>
    </w:p>
    <w:p w14:paraId="3AB21A17" w14:textId="77777777" w:rsidR="00FB3F8D" w:rsidRPr="00881795" w:rsidRDefault="00FB3F8D" w:rsidP="00395313">
      <w:pPr>
        <w:spacing w:line="288" w:lineRule="auto"/>
        <w:jc w:val="both"/>
        <w:outlineLvl w:val="0"/>
        <w:rPr>
          <w:szCs w:val="20"/>
        </w:rPr>
      </w:pPr>
      <w:bookmarkStart w:id="516" w:name="_Toc389740034"/>
      <w:r w:rsidRPr="00881795">
        <w:rPr>
          <w:szCs w:val="20"/>
        </w:rPr>
        <w:t>The Municipality does not currently have a Credit Rating.</w:t>
      </w:r>
      <w:bookmarkEnd w:id="516"/>
    </w:p>
    <w:p w14:paraId="5D9FC636" w14:textId="77777777" w:rsidR="00992B24" w:rsidRPr="006164CB" w:rsidRDefault="00992B24" w:rsidP="00750180">
      <w:pPr>
        <w:pStyle w:val="Heading3"/>
        <w:numPr>
          <w:ilvl w:val="2"/>
          <w:numId w:val="127"/>
        </w:numPr>
        <w:spacing w:after="240"/>
        <w:rPr>
          <w:rStyle w:val="Heading3Char"/>
          <w:b/>
          <w:bCs/>
          <w:highlight w:val="yellow"/>
        </w:rPr>
      </w:pPr>
      <w:bookmarkStart w:id="517" w:name="_Toc389740035"/>
      <w:bookmarkStart w:id="518" w:name="_Toc510706657"/>
      <w:r w:rsidRPr="006164CB">
        <w:rPr>
          <w:rStyle w:val="Heading3Char"/>
          <w:b/>
          <w:bCs/>
          <w:highlight w:val="yellow"/>
        </w:rPr>
        <w:t>Employee Related Costs (including councilor allowances)</w:t>
      </w:r>
      <w:bookmarkEnd w:id="517"/>
      <w:bookmarkEnd w:id="518"/>
    </w:p>
    <w:p w14:paraId="5583E7FF" w14:textId="77777777" w:rsidR="005A0FA4" w:rsidRPr="00881795" w:rsidRDefault="005A0FA4" w:rsidP="002F62F0">
      <w:pPr>
        <w:pStyle w:val="Caption"/>
      </w:pPr>
      <w:bookmarkStart w:id="519" w:name="_Toc389740036"/>
      <w:bookmarkStart w:id="520" w:name="_Toc510622332"/>
      <w:r w:rsidRPr="00881795">
        <w:t xml:space="preserve">Table </w:t>
      </w:r>
      <w:r w:rsidR="00B918A6">
        <w:fldChar w:fldCharType="begin"/>
      </w:r>
      <w:r w:rsidR="00B918A6">
        <w:instrText xml:space="preserve"> SEQ Table \* ARABIC </w:instrText>
      </w:r>
      <w:r w:rsidR="00B918A6">
        <w:fldChar w:fldCharType="separate"/>
      </w:r>
      <w:r w:rsidR="0067023A">
        <w:rPr>
          <w:noProof/>
        </w:rPr>
        <w:t>81</w:t>
      </w:r>
      <w:r w:rsidR="00B918A6">
        <w:rPr>
          <w:noProof/>
        </w:rPr>
        <w:fldChar w:fldCharType="end"/>
      </w:r>
      <w:r w:rsidRPr="00881795">
        <w:t xml:space="preserve">:  </w:t>
      </w:r>
      <w:r w:rsidR="00740ECC">
        <w:t xml:space="preserve">Anticipated </w:t>
      </w:r>
      <w:r w:rsidRPr="00881795">
        <w:t xml:space="preserve">Employee Related Costs and Councilor Allowances </w:t>
      </w:r>
      <w:bookmarkEnd w:id="519"/>
      <w:r w:rsidR="00740ECC">
        <w:t>(2017 – 2020)</w:t>
      </w:r>
      <w:bookmarkEnd w:id="520"/>
    </w:p>
    <w:tbl>
      <w:tblPr>
        <w:tblW w:w="5000" w:type="pct"/>
        <w:tblLook w:val="04A0" w:firstRow="1" w:lastRow="0" w:firstColumn="1" w:lastColumn="0" w:noHBand="0" w:noVBand="1"/>
      </w:tblPr>
      <w:tblGrid>
        <w:gridCol w:w="2262"/>
        <w:gridCol w:w="1054"/>
        <w:gridCol w:w="1053"/>
        <w:gridCol w:w="1053"/>
        <w:gridCol w:w="1053"/>
        <w:gridCol w:w="1053"/>
        <w:gridCol w:w="1053"/>
        <w:gridCol w:w="1048"/>
      </w:tblGrid>
      <w:tr w:rsidR="00740ECC" w:rsidRPr="00740ECC" w14:paraId="14A5B870" w14:textId="77777777" w:rsidTr="00740ECC">
        <w:trPr>
          <w:trHeight w:val="448"/>
        </w:trPr>
        <w:tc>
          <w:tcPr>
            <w:tcW w:w="1174" w:type="pct"/>
            <w:tcBorders>
              <w:top w:val="single" w:sz="4" w:space="0" w:color="auto"/>
              <w:left w:val="single" w:sz="4" w:space="0" w:color="auto"/>
              <w:bottom w:val="nil"/>
              <w:right w:val="single" w:sz="4" w:space="0" w:color="auto"/>
            </w:tcBorders>
            <w:shd w:val="clear" w:color="auto" w:fill="auto"/>
            <w:noWrap/>
            <w:vAlign w:val="center"/>
            <w:hideMark/>
          </w:tcPr>
          <w:p w14:paraId="40680E6F" w14:textId="77777777" w:rsidR="00740ECC" w:rsidRPr="00740ECC" w:rsidRDefault="00740ECC" w:rsidP="00740ECC">
            <w:pPr>
              <w:spacing w:after="0" w:line="240" w:lineRule="auto"/>
              <w:jc w:val="center"/>
              <w:rPr>
                <w:rFonts w:ascii="Arial Narrow" w:eastAsia="Times New Roman" w:hAnsi="Arial Narrow" w:cs="Times New Roman"/>
                <w:b/>
                <w:bCs/>
                <w:sz w:val="18"/>
                <w:szCs w:val="18"/>
                <w:lang w:val="en-ZA" w:eastAsia="en-ZA"/>
              </w:rPr>
            </w:pPr>
            <w:r w:rsidRPr="00740ECC">
              <w:rPr>
                <w:rFonts w:ascii="Arial Narrow" w:eastAsia="Times New Roman" w:hAnsi="Arial Narrow" w:cs="Times New Roman"/>
                <w:b/>
                <w:bCs/>
                <w:sz w:val="18"/>
                <w:szCs w:val="18"/>
                <w:lang w:val="en-ZA" w:eastAsia="en-ZA"/>
              </w:rPr>
              <w:t>Description</w:t>
            </w:r>
          </w:p>
        </w:tc>
        <w:tc>
          <w:tcPr>
            <w:tcW w:w="2188" w:type="pct"/>
            <w:gridSpan w:val="4"/>
            <w:tcBorders>
              <w:top w:val="single" w:sz="4" w:space="0" w:color="auto"/>
              <w:left w:val="single" w:sz="4" w:space="0" w:color="auto"/>
              <w:bottom w:val="single" w:sz="4" w:space="0" w:color="auto"/>
              <w:right w:val="nil"/>
            </w:tcBorders>
            <w:shd w:val="clear" w:color="auto" w:fill="auto"/>
            <w:noWrap/>
            <w:vAlign w:val="center"/>
            <w:hideMark/>
          </w:tcPr>
          <w:p w14:paraId="72FE8845" w14:textId="77777777" w:rsidR="00740ECC" w:rsidRPr="00740ECC" w:rsidRDefault="00740ECC" w:rsidP="00740ECC">
            <w:pPr>
              <w:spacing w:after="0" w:line="240" w:lineRule="auto"/>
              <w:jc w:val="center"/>
              <w:rPr>
                <w:rFonts w:ascii="Arial Narrow" w:eastAsia="Times New Roman" w:hAnsi="Arial Narrow" w:cs="Times New Roman"/>
                <w:b/>
                <w:bCs/>
                <w:sz w:val="18"/>
                <w:szCs w:val="18"/>
                <w:lang w:val="en-ZA" w:eastAsia="en-ZA"/>
              </w:rPr>
            </w:pPr>
            <w:r w:rsidRPr="00740ECC">
              <w:rPr>
                <w:rFonts w:ascii="Arial Narrow" w:eastAsia="Times New Roman" w:hAnsi="Arial Narrow" w:cs="Times New Roman"/>
                <w:b/>
                <w:bCs/>
                <w:sz w:val="18"/>
                <w:szCs w:val="18"/>
                <w:lang w:val="en-ZA" w:eastAsia="en-ZA"/>
              </w:rPr>
              <w:t>Current Year 2016/17</w:t>
            </w:r>
          </w:p>
        </w:tc>
        <w:tc>
          <w:tcPr>
            <w:tcW w:w="1639"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29BEB801" w14:textId="77777777" w:rsidR="00740ECC" w:rsidRPr="00740ECC" w:rsidRDefault="00740ECC" w:rsidP="00740ECC">
            <w:pPr>
              <w:spacing w:after="0" w:line="240" w:lineRule="auto"/>
              <w:jc w:val="center"/>
              <w:rPr>
                <w:rFonts w:ascii="Arial Narrow" w:eastAsia="Times New Roman" w:hAnsi="Arial Narrow" w:cs="Times New Roman"/>
                <w:b/>
                <w:bCs/>
                <w:sz w:val="18"/>
                <w:szCs w:val="18"/>
                <w:lang w:val="en-ZA" w:eastAsia="en-ZA"/>
              </w:rPr>
            </w:pPr>
            <w:r w:rsidRPr="00740ECC">
              <w:rPr>
                <w:rFonts w:ascii="Arial Narrow" w:eastAsia="Times New Roman" w:hAnsi="Arial Narrow" w:cs="Times New Roman"/>
                <w:b/>
                <w:bCs/>
                <w:sz w:val="18"/>
                <w:szCs w:val="18"/>
                <w:lang w:val="en-ZA" w:eastAsia="en-ZA"/>
              </w:rPr>
              <w:t>2017/18 Medium Term Revenue &amp; Expenditure Framework</w:t>
            </w:r>
          </w:p>
        </w:tc>
      </w:tr>
      <w:tr w:rsidR="00740ECC" w:rsidRPr="00740ECC" w14:paraId="6349F3DC" w14:textId="77777777" w:rsidTr="00740ECC">
        <w:trPr>
          <w:trHeight w:val="439"/>
        </w:trPr>
        <w:tc>
          <w:tcPr>
            <w:tcW w:w="1174" w:type="pct"/>
            <w:tcBorders>
              <w:top w:val="nil"/>
              <w:left w:val="single" w:sz="4" w:space="0" w:color="auto"/>
              <w:bottom w:val="single" w:sz="4" w:space="0" w:color="auto"/>
              <w:right w:val="nil"/>
            </w:tcBorders>
            <w:shd w:val="clear" w:color="auto" w:fill="auto"/>
            <w:noWrap/>
            <w:vAlign w:val="center"/>
            <w:hideMark/>
          </w:tcPr>
          <w:p w14:paraId="34A14B66" w14:textId="77777777" w:rsidR="00740ECC" w:rsidRPr="00740ECC" w:rsidRDefault="00740ECC" w:rsidP="00740ECC">
            <w:pPr>
              <w:spacing w:after="0" w:line="240" w:lineRule="auto"/>
              <w:rPr>
                <w:rFonts w:ascii="Arial Narrow" w:eastAsia="Times New Roman" w:hAnsi="Arial Narrow" w:cs="Times New Roman"/>
                <w:b/>
                <w:bCs/>
                <w:sz w:val="18"/>
                <w:szCs w:val="18"/>
                <w:lang w:val="en-ZA" w:eastAsia="en-ZA"/>
              </w:rPr>
            </w:pPr>
            <w:r w:rsidRPr="00740ECC">
              <w:rPr>
                <w:rFonts w:ascii="Arial Narrow" w:eastAsia="Times New Roman" w:hAnsi="Arial Narrow" w:cs="Times New Roman"/>
                <w:b/>
                <w:bCs/>
                <w:sz w:val="18"/>
                <w:szCs w:val="18"/>
                <w:lang w:val="en-ZA" w:eastAsia="en-ZA"/>
              </w:rPr>
              <w:t>R thousand</w:t>
            </w:r>
          </w:p>
        </w:tc>
        <w:tc>
          <w:tcPr>
            <w:tcW w:w="547" w:type="pct"/>
            <w:tcBorders>
              <w:top w:val="nil"/>
              <w:left w:val="single" w:sz="4" w:space="0" w:color="auto"/>
              <w:bottom w:val="single" w:sz="4" w:space="0" w:color="auto"/>
              <w:right w:val="nil"/>
            </w:tcBorders>
            <w:shd w:val="clear" w:color="auto" w:fill="auto"/>
            <w:vAlign w:val="center"/>
            <w:hideMark/>
          </w:tcPr>
          <w:p w14:paraId="2AD65010" w14:textId="77777777" w:rsidR="00740ECC" w:rsidRPr="00740ECC" w:rsidRDefault="00740ECC" w:rsidP="00740ECC">
            <w:pPr>
              <w:spacing w:after="0" w:line="240" w:lineRule="auto"/>
              <w:jc w:val="center"/>
              <w:rPr>
                <w:rFonts w:ascii="Arial Narrow" w:eastAsia="Times New Roman" w:hAnsi="Arial Narrow" w:cs="Times New Roman"/>
                <w:b/>
                <w:bCs/>
                <w:sz w:val="18"/>
                <w:szCs w:val="18"/>
                <w:lang w:val="en-ZA" w:eastAsia="en-ZA"/>
              </w:rPr>
            </w:pPr>
            <w:r w:rsidRPr="00740ECC">
              <w:rPr>
                <w:rFonts w:ascii="Arial Narrow" w:eastAsia="Times New Roman" w:hAnsi="Arial Narrow" w:cs="Times New Roman"/>
                <w:b/>
                <w:bCs/>
                <w:sz w:val="18"/>
                <w:szCs w:val="18"/>
                <w:lang w:val="en-ZA" w:eastAsia="en-ZA"/>
              </w:rPr>
              <w:t>Original Budget</w:t>
            </w:r>
          </w:p>
        </w:tc>
        <w:tc>
          <w:tcPr>
            <w:tcW w:w="547" w:type="pct"/>
            <w:tcBorders>
              <w:top w:val="nil"/>
              <w:left w:val="single" w:sz="4" w:space="0" w:color="auto"/>
              <w:bottom w:val="single" w:sz="4" w:space="0" w:color="auto"/>
              <w:right w:val="single" w:sz="4" w:space="0" w:color="auto"/>
            </w:tcBorders>
            <w:shd w:val="clear" w:color="auto" w:fill="auto"/>
            <w:vAlign w:val="center"/>
            <w:hideMark/>
          </w:tcPr>
          <w:p w14:paraId="7ACA3EA4" w14:textId="77777777" w:rsidR="00740ECC" w:rsidRPr="00740ECC" w:rsidRDefault="00740ECC" w:rsidP="00740ECC">
            <w:pPr>
              <w:spacing w:after="0" w:line="240" w:lineRule="auto"/>
              <w:jc w:val="center"/>
              <w:rPr>
                <w:rFonts w:ascii="Arial Narrow" w:eastAsia="Times New Roman" w:hAnsi="Arial Narrow" w:cs="Times New Roman"/>
                <w:b/>
                <w:bCs/>
                <w:sz w:val="18"/>
                <w:szCs w:val="18"/>
                <w:lang w:val="en-ZA" w:eastAsia="en-ZA"/>
              </w:rPr>
            </w:pPr>
            <w:r w:rsidRPr="00740ECC">
              <w:rPr>
                <w:rFonts w:ascii="Arial Narrow" w:eastAsia="Times New Roman" w:hAnsi="Arial Narrow" w:cs="Times New Roman"/>
                <w:b/>
                <w:bCs/>
                <w:sz w:val="18"/>
                <w:szCs w:val="18"/>
                <w:lang w:val="en-ZA" w:eastAsia="en-ZA"/>
              </w:rPr>
              <w:t>Adjusted Budget</w:t>
            </w:r>
          </w:p>
        </w:tc>
        <w:tc>
          <w:tcPr>
            <w:tcW w:w="547" w:type="pct"/>
            <w:tcBorders>
              <w:top w:val="nil"/>
              <w:left w:val="nil"/>
              <w:bottom w:val="single" w:sz="4" w:space="0" w:color="auto"/>
              <w:right w:val="single" w:sz="4" w:space="0" w:color="auto"/>
            </w:tcBorders>
            <w:shd w:val="clear" w:color="auto" w:fill="auto"/>
            <w:vAlign w:val="center"/>
            <w:hideMark/>
          </w:tcPr>
          <w:p w14:paraId="3BD208B3" w14:textId="77777777" w:rsidR="00740ECC" w:rsidRPr="00740ECC" w:rsidRDefault="00740ECC" w:rsidP="00740ECC">
            <w:pPr>
              <w:spacing w:after="0" w:line="240" w:lineRule="auto"/>
              <w:jc w:val="center"/>
              <w:rPr>
                <w:rFonts w:ascii="Arial Narrow" w:eastAsia="Times New Roman" w:hAnsi="Arial Narrow" w:cs="Times New Roman"/>
                <w:b/>
                <w:bCs/>
                <w:sz w:val="18"/>
                <w:szCs w:val="18"/>
                <w:lang w:val="en-ZA" w:eastAsia="en-ZA"/>
              </w:rPr>
            </w:pPr>
            <w:r w:rsidRPr="00740ECC">
              <w:rPr>
                <w:rFonts w:ascii="Arial Narrow" w:eastAsia="Times New Roman" w:hAnsi="Arial Narrow" w:cs="Times New Roman"/>
                <w:b/>
                <w:bCs/>
                <w:sz w:val="18"/>
                <w:szCs w:val="18"/>
                <w:lang w:val="en-ZA" w:eastAsia="en-ZA"/>
              </w:rPr>
              <w:t>Full Year Forecast</w:t>
            </w:r>
          </w:p>
        </w:tc>
        <w:tc>
          <w:tcPr>
            <w:tcW w:w="547" w:type="pct"/>
            <w:tcBorders>
              <w:top w:val="nil"/>
              <w:left w:val="nil"/>
              <w:bottom w:val="single" w:sz="4" w:space="0" w:color="auto"/>
              <w:right w:val="nil"/>
            </w:tcBorders>
            <w:shd w:val="clear" w:color="auto" w:fill="auto"/>
            <w:vAlign w:val="center"/>
            <w:hideMark/>
          </w:tcPr>
          <w:p w14:paraId="03A47CE5" w14:textId="77777777" w:rsidR="00740ECC" w:rsidRPr="00740ECC" w:rsidRDefault="00740ECC" w:rsidP="00740ECC">
            <w:pPr>
              <w:spacing w:after="0" w:line="240" w:lineRule="auto"/>
              <w:jc w:val="center"/>
              <w:rPr>
                <w:rFonts w:ascii="Arial Narrow" w:eastAsia="Times New Roman" w:hAnsi="Arial Narrow" w:cs="Times New Roman"/>
                <w:b/>
                <w:bCs/>
                <w:sz w:val="18"/>
                <w:szCs w:val="18"/>
                <w:lang w:val="en-ZA" w:eastAsia="en-ZA"/>
              </w:rPr>
            </w:pPr>
            <w:r w:rsidRPr="00740ECC">
              <w:rPr>
                <w:rFonts w:ascii="Arial Narrow" w:eastAsia="Times New Roman" w:hAnsi="Arial Narrow" w:cs="Times New Roman"/>
                <w:b/>
                <w:bCs/>
                <w:sz w:val="18"/>
                <w:szCs w:val="18"/>
                <w:lang w:val="en-ZA" w:eastAsia="en-ZA"/>
              </w:rPr>
              <w:t>Pre-audit outcome</w:t>
            </w:r>
          </w:p>
        </w:tc>
        <w:tc>
          <w:tcPr>
            <w:tcW w:w="547" w:type="pct"/>
            <w:tcBorders>
              <w:top w:val="nil"/>
              <w:left w:val="single" w:sz="4" w:space="0" w:color="auto"/>
              <w:bottom w:val="single" w:sz="4" w:space="0" w:color="auto"/>
              <w:right w:val="nil"/>
            </w:tcBorders>
            <w:shd w:val="clear" w:color="auto" w:fill="auto"/>
            <w:vAlign w:val="center"/>
            <w:hideMark/>
          </w:tcPr>
          <w:p w14:paraId="585803B4" w14:textId="77777777" w:rsidR="00740ECC" w:rsidRPr="00740ECC" w:rsidRDefault="00740ECC" w:rsidP="00740ECC">
            <w:pPr>
              <w:spacing w:after="0" w:line="240" w:lineRule="auto"/>
              <w:jc w:val="center"/>
              <w:rPr>
                <w:rFonts w:ascii="Arial Narrow" w:eastAsia="Times New Roman" w:hAnsi="Arial Narrow" w:cs="Times New Roman"/>
                <w:b/>
                <w:bCs/>
                <w:sz w:val="18"/>
                <w:szCs w:val="18"/>
                <w:lang w:val="en-ZA" w:eastAsia="en-ZA"/>
              </w:rPr>
            </w:pPr>
            <w:r w:rsidRPr="00740ECC">
              <w:rPr>
                <w:rFonts w:ascii="Arial Narrow" w:eastAsia="Times New Roman" w:hAnsi="Arial Narrow" w:cs="Times New Roman"/>
                <w:b/>
                <w:bCs/>
                <w:sz w:val="18"/>
                <w:szCs w:val="18"/>
                <w:lang w:val="en-ZA" w:eastAsia="en-ZA"/>
              </w:rPr>
              <w:t>Budget Year 2017/18</w:t>
            </w:r>
          </w:p>
        </w:tc>
        <w:tc>
          <w:tcPr>
            <w:tcW w:w="547" w:type="pct"/>
            <w:tcBorders>
              <w:top w:val="nil"/>
              <w:left w:val="single" w:sz="4" w:space="0" w:color="auto"/>
              <w:bottom w:val="single" w:sz="4" w:space="0" w:color="auto"/>
              <w:right w:val="single" w:sz="4" w:space="0" w:color="auto"/>
            </w:tcBorders>
            <w:shd w:val="clear" w:color="auto" w:fill="auto"/>
            <w:vAlign w:val="center"/>
            <w:hideMark/>
          </w:tcPr>
          <w:p w14:paraId="4392F82B" w14:textId="77777777" w:rsidR="00740ECC" w:rsidRPr="00740ECC" w:rsidRDefault="00740ECC" w:rsidP="00740ECC">
            <w:pPr>
              <w:spacing w:after="0" w:line="240" w:lineRule="auto"/>
              <w:jc w:val="center"/>
              <w:rPr>
                <w:rFonts w:ascii="Arial Narrow" w:eastAsia="Times New Roman" w:hAnsi="Arial Narrow" w:cs="Times New Roman"/>
                <w:b/>
                <w:bCs/>
                <w:sz w:val="18"/>
                <w:szCs w:val="18"/>
                <w:lang w:val="en-ZA" w:eastAsia="en-ZA"/>
              </w:rPr>
            </w:pPr>
            <w:r w:rsidRPr="00740ECC">
              <w:rPr>
                <w:rFonts w:ascii="Arial Narrow" w:eastAsia="Times New Roman" w:hAnsi="Arial Narrow" w:cs="Times New Roman"/>
                <w:b/>
                <w:bCs/>
                <w:sz w:val="18"/>
                <w:szCs w:val="18"/>
                <w:lang w:val="en-ZA" w:eastAsia="en-ZA"/>
              </w:rPr>
              <w:t>Budget Year +1 2018/19</w:t>
            </w:r>
          </w:p>
        </w:tc>
        <w:tc>
          <w:tcPr>
            <w:tcW w:w="545" w:type="pct"/>
            <w:tcBorders>
              <w:top w:val="nil"/>
              <w:left w:val="nil"/>
              <w:bottom w:val="single" w:sz="4" w:space="0" w:color="auto"/>
              <w:right w:val="single" w:sz="4" w:space="0" w:color="auto"/>
            </w:tcBorders>
            <w:shd w:val="clear" w:color="auto" w:fill="auto"/>
            <w:vAlign w:val="center"/>
            <w:hideMark/>
          </w:tcPr>
          <w:p w14:paraId="7847530C" w14:textId="77777777" w:rsidR="00740ECC" w:rsidRPr="00740ECC" w:rsidRDefault="00740ECC" w:rsidP="00740ECC">
            <w:pPr>
              <w:spacing w:after="0" w:line="240" w:lineRule="auto"/>
              <w:jc w:val="center"/>
              <w:rPr>
                <w:rFonts w:ascii="Arial Narrow" w:eastAsia="Times New Roman" w:hAnsi="Arial Narrow" w:cs="Times New Roman"/>
                <w:b/>
                <w:bCs/>
                <w:sz w:val="18"/>
                <w:szCs w:val="18"/>
                <w:lang w:val="en-ZA" w:eastAsia="en-ZA"/>
              </w:rPr>
            </w:pPr>
            <w:r w:rsidRPr="00740ECC">
              <w:rPr>
                <w:rFonts w:ascii="Arial Narrow" w:eastAsia="Times New Roman" w:hAnsi="Arial Narrow" w:cs="Times New Roman"/>
                <w:b/>
                <w:bCs/>
                <w:sz w:val="18"/>
                <w:szCs w:val="18"/>
                <w:lang w:val="en-ZA" w:eastAsia="en-ZA"/>
              </w:rPr>
              <w:t>Budget Year +2 2019/20</w:t>
            </w:r>
          </w:p>
        </w:tc>
      </w:tr>
      <w:tr w:rsidR="00740ECC" w:rsidRPr="00740ECC" w14:paraId="6CD6B98E" w14:textId="77777777" w:rsidTr="00740ECC">
        <w:trPr>
          <w:trHeight w:val="172"/>
        </w:trPr>
        <w:tc>
          <w:tcPr>
            <w:tcW w:w="1174" w:type="pct"/>
            <w:tcBorders>
              <w:top w:val="nil"/>
              <w:left w:val="single" w:sz="4" w:space="0" w:color="auto"/>
              <w:right w:val="nil"/>
            </w:tcBorders>
            <w:shd w:val="clear" w:color="auto" w:fill="auto"/>
            <w:noWrap/>
            <w:vAlign w:val="bottom"/>
            <w:hideMark/>
          </w:tcPr>
          <w:p w14:paraId="271D2C8B" w14:textId="77777777" w:rsidR="00740ECC" w:rsidRPr="00740ECC" w:rsidRDefault="00740ECC" w:rsidP="00740ECC">
            <w:pPr>
              <w:spacing w:after="0" w:line="240" w:lineRule="auto"/>
              <w:rPr>
                <w:rFonts w:ascii="Arial Narrow" w:eastAsia="Times New Roman" w:hAnsi="Arial Narrow" w:cs="Times New Roman"/>
                <w:b/>
                <w:bCs/>
                <w:sz w:val="18"/>
                <w:szCs w:val="18"/>
                <w:u w:val="single"/>
                <w:lang w:val="en-ZA" w:eastAsia="en-ZA"/>
              </w:rPr>
            </w:pPr>
            <w:r w:rsidRPr="00740ECC">
              <w:rPr>
                <w:rFonts w:ascii="Arial Narrow" w:eastAsia="Times New Roman" w:hAnsi="Arial Narrow" w:cs="Times New Roman"/>
                <w:b/>
                <w:bCs/>
                <w:sz w:val="18"/>
                <w:szCs w:val="18"/>
                <w:u w:val="single"/>
                <w:lang w:val="en-ZA" w:eastAsia="en-ZA"/>
              </w:rPr>
              <w:t>Expenditure By Type</w:t>
            </w:r>
          </w:p>
        </w:tc>
        <w:tc>
          <w:tcPr>
            <w:tcW w:w="547" w:type="pct"/>
            <w:tcBorders>
              <w:top w:val="nil"/>
              <w:left w:val="single" w:sz="4" w:space="0" w:color="auto"/>
              <w:right w:val="nil"/>
            </w:tcBorders>
            <w:shd w:val="clear" w:color="auto" w:fill="auto"/>
            <w:noWrap/>
            <w:vAlign w:val="bottom"/>
            <w:hideMark/>
          </w:tcPr>
          <w:p w14:paraId="2542A05F" w14:textId="77777777" w:rsidR="00740ECC" w:rsidRPr="00740ECC" w:rsidRDefault="00740ECC" w:rsidP="00740ECC">
            <w:pPr>
              <w:spacing w:after="0" w:line="240" w:lineRule="auto"/>
              <w:rPr>
                <w:rFonts w:ascii="Arial Narrow" w:eastAsia="Times New Roman" w:hAnsi="Arial Narrow" w:cs="Times New Roman"/>
                <w:sz w:val="18"/>
                <w:szCs w:val="18"/>
                <w:lang w:val="en-ZA" w:eastAsia="en-ZA"/>
              </w:rPr>
            </w:pPr>
            <w:r w:rsidRPr="00740ECC">
              <w:rPr>
                <w:rFonts w:ascii="Arial Narrow" w:eastAsia="Times New Roman" w:hAnsi="Arial Narrow" w:cs="Times New Roman"/>
                <w:sz w:val="18"/>
                <w:szCs w:val="18"/>
                <w:lang w:val="en-ZA" w:eastAsia="en-ZA"/>
              </w:rPr>
              <w:t> </w:t>
            </w:r>
          </w:p>
        </w:tc>
        <w:tc>
          <w:tcPr>
            <w:tcW w:w="547" w:type="pct"/>
            <w:tcBorders>
              <w:top w:val="nil"/>
              <w:left w:val="single" w:sz="4" w:space="0" w:color="auto"/>
              <w:right w:val="single" w:sz="4" w:space="0" w:color="auto"/>
            </w:tcBorders>
            <w:shd w:val="clear" w:color="auto" w:fill="auto"/>
            <w:noWrap/>
            <w:vAlign w:val="bottom"/>
            <w:hideMark/>
          </w:tcPr>
          <w:p w14:paraId="080F281E" w14:textId="77777777" w:rsidR="00740ECC" w:rsidRPr="00740ECC" w:rsidRDefault="00740ECC" w:rsidP="00740ECC">
            <w:pPr>
              <w:spacing w:after="0" w:line="240" w:lineRule="auto"/>
              <w:rPr>
                <w:rFonts w:ascii="Arial Narrow" w:eastAsia="Times New Roman" w:hAnsi="Arial Narrow" w:cs="Times New Roman"/>
                <w:sz w:val="18"/>
                <w:szCs w:val="18"/>
                <w:lang w:val="en-ZA" w:eastAsia="en-ZA"/>
              </w:rPr>
            </w:pPr>
            <w:r w:rsidRPr="00740ECC">
              <w:rPr>
                <w:rFonts w:ascii="Arial Narrow" w:eastAsia="Times New Roman" w:hAnsi="Arial Narrow" w:cs="Times New Roman"/>
                <w:sz w:val="18"/>
                <w:szCs w:val="18"/>
                <w:lang w:val="en-ZA" w:eastAsia="en-ZA"/>
              </w:rPr>
              <w:t> </w:t>
            </w:r>
          </w:p>
        </w:tc>
        <w:tc>
          <w:tcPr>
            <w:tcW w:w="547" w:type="pct"/>
            <w:tcBorders>
              <w:top w:val="nil"/>
              <w:left w:val="nil"/>
              <w:right w:val="single" w:sz="4" w:space="0" w:color="auto"/>
            </w:tcBorders>
            <w:shd w:val="clear" w:color="auto" w:fill="auto"/>
            <w:noWrap/>
            <w:vAlign w:val="bottom"/>
            <w:hideMark/>
          </w:tcPr>
          <w:p w14:paraId="4882C4F0" w14:textId="77777777" w:rsidR="00740ECC" w:rsidRPr="00740ECC" w:rsidRDefault="00740ECC" w:rsidP="00740ECC">
            <w:pPr>
              <w:spacing w:after="0" w:line="240" w:lineRule="auto"/>
              <w:rPr>
                <w:rFonts w:ascii="Arial Narrow" w:eastAsia="Times New Roman" w:hAnsi="Arial Narrow" w:cs="Times New Roman"/>
                <w:sz w:val="18"/>
                <w:szCs w:val="18"/>
                <w:lang w:val="en-ZA" w:eastAsia="en-ZA"/>
              </w:rPr>
            </w:pPr>
            <w:r w:rsidRPr="00740ECC">
              <w:rPr>
                <w:rFonts w:ascii="Arial Narrow" w:eastAsia="Times New Roman" w:hAnsi="Arial Narrow" w:cs="Times New Roman"/>
                <w:sz w:val="18"/>
                <w:szCs w:val="18"/>
                <w:lang w:val="en-ZA" w:eastAsia="en-ZA"/>
              </w:rPr>
              <w:t> </w:t>
            </w:r>
          </w:p>
        </w:tc>
        <w:tc>
          <w:tcPr>
            <w:tcW w:w="547" w:type="pct"/>
            <w:tcBorders>
              <w:top w:val="nil"/>
              <w:left w:val="nil"/>
              <w:right w:val="nil"/>
            </w:tcBorders>
            <w:shd w:val="clear" w:color="auto" w:fill="auto"/>
            <w:noWrap/>
            <w:vAlign w:val="bottom"/>
            <w:hideMark/>
          </w:tcPr>
          <w:p w14:paraId="5BCA144F" w14:textId="77777777" w:rsidR="00740ECC" w:rsidRPr="00740ECC" w:rsidRDefault="00740ECC" w:rsidP="00740ECC">
            <w:pPr>
              <w:spacing w:after="0" w:line="240" w:lineRule="auto"/>
              <w:rPr>
                <w:rFonts w:ascii="Arial Narrow" w:eastAsia="Times New Roman" w:hAnsi="Arial Narrow" w:cs="Times New Roman"/>
                <w:sz w:val="18"/>
                <w:szCs w:val="18"/>
                <w:lang w:val="en-ZA" w:eastAsia="en-ZA"/>
              </w:rPr>
            </w:pPr>
          </w:p>
        </w:tc>
        <w:tc>
          <w:tcPr>
            <w:tcW w:w="547" w:type="pct"/>
            <w:tcBorders>
              <w:top w:val="nil"/>
              <w:left w:val="single" w:sz="4" w:space="0" w:color="auto"/>
              <w:right w:val="single" w:sz="4" w:space="0" w:color="auto"/>
            </w:tcBorders>
            <w:shd w:val="clear" w:color="auto" w:fill="auto"/>
            <w:noWrap/>
            <w:vAlign w:val="bottom"/>
            <w:hideMark/>
          </w:tcPr>
          <w:p w14:paraId="727A14D4" w14:textId="77777777" w:rsidR="00740ECC" w:rsidRPr="00740ECC" w:rsidRDefault="00740ECC" w:rsidP="00740ECC">
            <w:pPr>
              <w:spacing w:after="0" w:line="240" w:lineRule="auto"/>
              <w:rPr>
                <w:rFonts w:ascii="Arial Narrow" w:eastAsia="Times New Roman" w:hAnsi="Arial Narrow" w:cs="Times New Roman"/>
                <w:sz w:val="18"/>
                <w:szCs w:val="18"/>
                <w:lang w:val="en-ZA" w:eastAsia="en-ZA"/>
              </w:rPr>
            </w:pPr>
            <w:r w:rsidRPr="00740ECC">
              <w:rPr>
                <w:rFonts w:ascii="Arial Narrow" w:eastAsia="Times New Roman" w:hAnsi="Arial Narrow" w:cs="Times New Roman"/>
                <w:sz w:val="18"/>
                <w:szCs w:val="18"/>
                <w:lang w:val="en-ZA" w:eastAsia="en-ZA"/>
              </w:rPr>
              <w:t> </w:t>
            </w:r>
          </w:p>
        </w:tc>
        <w:tc>
          <w:tcPr>
            <w:tcW w:w="547" w:type="pct"/>
            <w:tcBorders>
              <w:top w:val="nil"/>
              <w:left w:val="nil"/>
              <w:right w:val="single" w:sz="4" w:space="0" w:color="auto"/>
            </w:tcBorders>
            <w:shd w:val="clear" w:color="auto" w:fill="auto"/>
            <w:noWrap/>
            <w:vAlign w:val="bottom"/>
            <w:hideMark/>
          </w:tcPr>
          <w:p w14:paraId="507E0C11" w14:textId="77777777" w:rsidR="00740ECC" w:rsidRPr="00740ECC" w:rsidRDefault="00740ECC" w:rsidP="00740ECC">
            <w:pPr>
              <w:spacing w:after="0" w:line="240" w:lineRule="auto"/>
              <w:rPr>
                <w:rFonts w:ascii="Arial Narrow" w:eastAsia="Times New Roman" w:hAnsi="Arial Narrow" w:cs="Times New Roman"/>
                <w:sz w:val="18"/>
                <w:szCs w:val="18"/>
                <w:lang w:val="en-ZA" w:eastAsia="en-ZA"/>
              </w:rPr>
            </w:pPr>
            <w:r w:rsidRPr="00740ECC">
              <w:rPr>
                <w:rFonts w:ascii="Arial Narrow" w:eastAsia="Times New Roman" w:hAnsi="Arial Narrow" w:cs="Times New Roman"/>
                <w:sz w:val="18"/>
                <w:szCs w:val="18"/>
                <w:lang w:val="en-ZA" w:eastAsia="en-ZA"/>
              </w:rPr>
              <w:t> </w:t>
            </w:r>
          </w:p>
        </w:tc>
        <w:tc>
          <w:tcPr>
            <w:tcW w:w="545" w:type="pct"/>
            <w:tcBorders>
              <w:top w:val="nil"/>
              <w:left w:val="nil"/>
              <w:right w:val="single" w:sz="4" w:space="0" w:color="auto"/>
            </w:tcBorders>
            <w:shd w:val="clear" w:color="auto" w:fill="auto"/>
            <w:noWrap/>
            <w:vAlign w:val="bottom"/>
            <w:hideMark/>
          </w:tcPr>
          <w:p w14:paraId="0EA1B62E" w14:textId="77777777" w:rsidR="00740ECC" w:rsidRPr="00740ECC" w:rsidRDefault="00740ECC" w:rsidP="00740ECC">
            <w:pPr>
              <w:spacing w:after="0" w:line="240" w:lineRule="auto"/>
              <w:rPr>
                <w:rFonts w:ascii="Arial Narrow" w:eastAsia="Times New Roman" w:hAnsi="Arial Narrow" w:cs="Times New Roman"/>
                <w:sz w:val="18"/>
                <w:szCs w:val="18"/>
                <w:lang w:val="en-ZA" w:eastAsia="en-ZA"/>
              </w:rPr>
            </w:pPr>
            <w:r w:rsidRPr="00740ECC">
              <w:rPr>
                <w:rFonts w:ascii="Arial Narrow" w:eastAsia="Times New Roman" w:hAnsi="Arial Narrow" w:cs="Times New Roman"/>
                <w:sz w:val="18"/>
                <w:szCs w:val="18"/>
                <w:lang w:val="en-ZA" w:eastAsia="en-ZA"/>
              </w:rPr>
              <w:t> </w:t>
            </w:r>
          </w:p>
        </w:tc>
      </w:tr>
      <w:tr w:rsidR="00740ECC" w:rsidRPr="00740ECC" w14:paraId="0FE4686F" w14:textId="77777777" w:rsidTr="00740ECC">
        <w:trPr>
          <w:trHeight w:val="172"/>
        </w:trPr>
        <w:tc>
          <w:tcPr>
            <w:tcW w:w="1174" w:type="pct"/>
            <w:tcBorders>
              <w:top w:val="nil"/>
              <w:left w:val="single" w:sz="4" w:space="0" w:color="auto"/>
              <w:bottom w:val="nil"/>
              <w:right w:val="nil"/>
            </w:tcBorders>
            <w:shd w:val="clear" w:color="auto" w:fill="auto"/>
            <w:noWrap/>
            <w:vAlign w:val="bottom"/>
            <w:hideMark/>
          </w:tcPr>
          <w:p w14:paraId="04997B4B" w14:textId="77777777" w:rsidR="00740ECC" w:rsidRPr="00740ECC" w:rsidRDefault="00740ECC" w:rsidP="00740ECC">
            <w:pPr>
              <w:spacing w:after="0" w:line="240" w:lineRule="auto"/>
              <w:ind w:firstLineChars="100" w:firstLine="180"/>
              <w:rPr>
                <w:rFonts w:ascii="Arial Narrow" w:eastAsia="Times New Roman" w:hAnsi="Arial Narrow" w:cs="Times New Roman"/>
                <w:sz w:val="18"/>
                <w:szCs w:val="18"/>
                <w:lang w:val="en-ZA" w:eastAsia="en-ZA"/>
              </w:rPr>
            </w:pPr>
            <w:r w:rsidRPr="00740ECC">
              <w:rPr>
                <w:rFonts w:ascii="Arial Narrow" w:eastAsia="Times New Roman" w:hAnsi="Arial Narrow" w:cs="Times New Roman"/>
                <w:sz w:val="18"/>
                <w:szCs w:val="18"/>
                <w:lang w:val="en-ZA" w:eastAsia="en-ZA"/>
              </w:rPr>
              <w:t>Employee related costs</w:t>
            </w:r>
          </w:p>
        </w:tc>
        <w:tc>
          <w:tcPr>
            <w:tcW w:w="547" w:type="pct"/>
            <w:tcBorders>
              <w:top w:val="nil"/>
              <w:left w:val="single" w:sz="4" w:space="0" w:color="auto"/>
              <w:bottom w:val="nil"/>
              <w:right w:val="nil"/>
            </w:tcBorders>
            <w:shd w:val="clear" w:color="auto" w:fill="auto"/>
            <w:noWrap/>
            <w:vAlign w:val="bottom"/>
            <w:hideMark/>
          </w:tcPr>
          <w:p w14:paraId="0F1BA5B8" w14:textId="77777777" w:rsidR="00740ECC" w:rsidRPr="00740ECC" w:rsidRDefault="00740ECC" w:rsidP="00740ECC">
            <w:pPr>
              <w:spacing w:after="0" w:line="240" w:lineRule="auto"/>
              <w:rPr>
                <w:rFonts w:ascii="Arial Narrow" w:eastAsia="Times New Roman" w:hAnsi="Arial Narrow" w:cs="Times New Roman"/>
                <w:sz w:val="18"/>
                <w:szCs w:val="18"/>
                <w:lang w:val="en-ZA" w:eastAsia="en-ZA"/>
              </w:rPr>
            </w:pPr>
            <w:r w:rsidRPr="00740ECC">
              <w:rPr>
                <w:rFonts w:ascii="Arial Narrow" w:eastAsia="Times New Roman" w:hAnsi="Arial Narrow" w:cs="Times New Roman"/>
                <w:sz w:val="18"/>
                <w:szCs w:val="18"/>
                <w:lang w:val="en-ZA" w:eastAsia="en-ZA"/>
              </w:rPr>
              <w:t xml:space="preserve">       114 723 </w:t>
            </w:r>
          </w:p>
        </w:tc>
        <w:tc>
          <w:tcPr>
            <w:tcW w:w="547" w:type="pct"/>
            <w:tcBorders>
              <w:top w:val="nil"/>
              <w:left w:val="single" w:sz="4" w:space="0" w:color="auto"/>
              <w:bottom w:val="nil"/>
              <w:right w:val="single" w:sz="4" w:space="0" w:color="auto"/>
            </w:tcBorders>
            <w:shd w:val="clear" w:color="auto" w:fill="auto"/>
            <w:noWrap/>
            <w:vAlign w:val="bottom"/>
            <w:hideMark/>
          </w:tcPr>
          <w:p w14:paraId="32B14389" w14:textId="77777777" w:rsidR="00740ECC" w:rsidRPr="00740ECC" w:rsidRDefault="00740ECC" w:rsidP="00740ECC">
            <w:pPr>
              <w:spacing w:after="0" w:line="240" w:lineRule="auto"/>
              <w:rPr>
                <w:rFonts w:ascii="Arial Narrow" w:eastAsia="Times New Roman" w:hAnsi="Arial Narrow" w:cs="Times New Roman"/>
                <w:sz w:val="18"/>
                <w:szCs w:val="18"/>
                <w:lang w:val="en-ZA" w:eastAsia="en-ZA"/>
              </w:rPr>
            </w:pPr>
            <w:r w:rsidRPr="00740ECC">
              <w:rPr>
                <w:rFonts w:ascii="Arial Narrow" w:eastAsia="Times New Roman" w:hAnsi="Arial Narrow" w:cs="Times New Roman"/>
                <w:sz w:val="18"/>
                <w:szCs w:val="18"/>
                <w:lang w:val="en-ZA" w:eastAsia="en-ZA"/>
              </w:rPr>
              <w:t xml:space="preserve">       107 783 </w:t>
            </w:r>
          </w:p>
        </w:tc>
        <w:tc>
          <w:tcPr>
            <w:tcW w:w="547" w:type="pct"/>
            <w:tcBorders>
              <w:top w:val="nil"/>
              <w:left w:val="nil"/>
              <w:bottom w:val="nil"/>
              <w:right w:val="single" w:sz="4" w:space="0" w:color="auto"/>
            </w:tcBorders>
            <w:shd w:val="clear" w:color="auto" w:fill="auto"/>
            <w:noWrap/>
            <w:vAlign w:val="bottom"/>
            <w:hideMark/>
          </w:tcPr>
          <w:p w14:paraId="5578A161" w14:textId="77777777" w:rsidR="00740ECC" w:rsidRPr="00740ECC" w:rsidRDefault="00740ECC" w:rsidP="00740ECC">
            <w:pPr>
              <w:spacing w:after="0" w:line="240" w:lineRule="auto"/>
              <w:rPr>
                <w:rFonts w:ascii="Arial Narrow" w:eastAsia="Times New Roman" w:hAnsi="Arial Narrow" w:cs="Times New Roman"/>
                <w:sz w:val="18"/>
                <w:szCs w:val="18"/>
                <w:lang w:val="en-ZA" w:eastAsia="en-ZA"/>
              </w:rPr>
            </w:pPr>
            <w:r w:rsidRPr="00740ECC">
              <w:rPr>
                <w:rFonts w:ascii="Arial Narrow" w:eastAsia="Times New Roman" w:hAnsi="Arial Narrow" w:cs="Times New Roman"/>
                <w:sz w:val="18"/>
                <w:szCs w:val="18"/>
                <w:lang w:val="en-ZA" w:eastAsia="en-ZA"/>
              </w:rPr>
              <w:t xml:space="preserve">       107 783 </w:t>
            </w:r>
          </w:p>
        </w:tc>
        <w:tc>
          <w:tcPr>
            <w:tcW w:w="547" w:type="pct"/>
            <w:tcBorders>
              <w:top w:val="nil"/>
              <w:left w:val="nil"/>
              <w:bottom w:val="nil"/>
              <w:right w:val="nil"/>
            </w:tcBorders>
            <w:shd w:val="clear" w:color="auto" w:fill="auto"/>
            <w:noWrap/>
            <w:vAlign w:val="bottom"/>
            <w:hideMark/>
          </w:tcPr>
          <w:p w14:paraId="0FD3F270" w14:textId="77777777" w:rsidR="00740ECC" w:rsidRPr="00740ECC" w:rsidRDefault="00740ECC" w:rsidP="00740ECC">
            <w:pPr>
              <w:spacing w:after="0" w:line="240" w:lineRule="auto"/>
              <w:rPr>
                <w:rFonts w:ascii="Arial Narrow" w:eastAsia="Times New Roman" w:hAnsi="Arial Narrow" w:cs="Times New Roman"/>
                <w:sz w:val="18"/>
                <w:szCs w:val="18"/>
                <w:lang w:val="en-ZA" w:eastAsia="en-ZA"/>
              </w:rPr>
            </w:pPr>
            <w:r w:rsidRPr="00740ECC">
              <w:rPr>
                <w:rFonts w:ascii="Arial Narrow" w:eastAsia="Times New Roman" w:hAnsi="Arial Narrow" w:cs="Times New Roman"/>
                <w:sz w:val="18"/>
                <w:szCs w:val="18"/>
                <w:lang w:val="en-ZA" w:eastAsia="en-ZA"/>
              </w:rPr>
              <w:t xml:space="preserve">       107 783 </w:t>
            </w:r>
          </w:p>
        </w:tc>
        <w:tc>
          <w:tcPr>
            <w:tcW w:w="547" w:type="pct"/>
            <w:tcBorders>
              <w:top w:val="nil"/>
              <w:left w:val="single" w:sz="4" w:space="0" w:color="auto"/>
              <w:bottom w:val="nil"/>
              <w:right w:val="single" w:sz="4" w:space="0" w:color="auto"/>
            </w:tcBorders>
            <w:shd w:val="clear" w:color="auto" w:fill="auto"/>
            <w:noWrap/>
            <w:vAlign w:val="bottom"/>
            <w:hideMark/>
          </w:tcPr>
          <w:p w14:paraId="51087140" w14:textId="77777777" w:rsidR="00740ECC" w:rsidRPr="00740ECC" w:rsidRDefault="00740ECC" w:rsidP="00740ECC">
            <w:pPr>
              <w:spacing w:after="0" w:line="240" w:lineRule="auto"/>
              <w:rPr>
                <w:rFonts w:ascii="Arial Narrow" w:eastAsia="Times New Roman" w:hAnsi="Arial Narrow" w:cs="Times New Roman"/>
                <w:sz w:val="18"/>
                <w:szCs w:val="18"/>
                <w:lang w:val="en-ZA" w:eastAsia="en-ZA"/>
              </w:rPr>
            </w:pPr>
            <w:r w:rsidRPr="00740ECC">
              <w:rPr>
                <w:rFonts w:ascii="Arial Narrow" w:eastAsia="Times New Roman" w:hAnsi="Arial Narrow" w:cs="Times New Roman"/>
                <w:sz w:val="18"/>
                <w:szCs w:val="18"/>
                <w:lang w:val="en-ZA" w:eastAsia="en-ZA"/>
              </w:rPr>
              <w:t xml:space="preserve">       112 769 </w:t>
            </w:r>
          </w:p>
        </w:tc>
        <w:tc>
          <w:tcPr>
            <w:tcW w:w="547" w:type="pct"/>
            <w:tcBorders>
              <w:top w:val="nil"/>
              <w:left w:val="nil"/>
              <w:bottom w:val="nil"/>
              <w:right w:val="single" w:sz="4" w:space="0" w:color="auto"/>
            </w:tcBorders>
            <w:shd w:val="clear" w:color="auto" w:fill="auto"/>
            <w:noWrap/>
            <w:vAlign w:val="bottom"/>
            <w:hideMark/>
          </w:tcPr>
          <w:p w14:paraId="4BED97CA" w14:textId="77777777" w:rsidR="00740ECC" w:rsidRPr="00740ECC" w:rsidRDefault="00740ECC" w:rsidP="00740ECC">
            <w:pPr>
              <w:spacing w:after="0" w:line="240" w:lineRule="auto"/>
              <w:rPr>
                <w:rFonts w:ascii="Arial Narrow" w:eastAsia="Times New Roman" w:hAnsi="Arial Narrow" w:cs="Times New Roman"/>
                <w:sz w:val="18"/>
                <w:szCs w:val="18"/>
                <w:lang w:val="en-ZA" w:eastAsia="en-ZA"/>
              </w:rPr>
            </w:pPr>
            <w:r w:rsidRPr="00740ECC">
              <w:rPr>
                <w:rFonts w:ascii="Arial Narrow" w:eastAsia="Times New Roman" w:hAnsi="Arial Narrow" w:cs="Times New Roman"/>
                <w:sz w:val="18"/>
                <w:szCs w:val="18"/>
                <w:lang w:val="en-ZA" w:eastAsia="en-ZA"/>
              </w:rPr>
              <w:t xml:space="preserve">       120 324 </w:t>
            </w:r>
          </w:p>
        </w:tc>
        <w:tc>
          <w:tcPr>
            <w:tcW w:w="545" w:type="pct"/>
            <w:tcBorders>
              <w:top w:val="nil"/>
              <w:left w:val="nil"/>
              <w:bottom w:val="nil"/>
              <w:right w:val="single" w:sz="4" w:space="0" w:color="auto"/>
            </w:tcBorders>
            <w:shd w:val="clear" w:color="auto" w:fill="auto"/>
            <w:noWrap/>
            <w:vAlign w:val="bottom"/>
            <w:hideMark/>
          </w:tcPr>
          <w:p w14:paraId="74E4FDAA" w14:textId="77777777" w:rsidR="00740ECC" w:rsidRPr="00740ECC" w:rsidRDefault="00740ECC" w:rsidP="00740ECC">
            <w:pPr>
              <w:spacing w:after="0" w:line="240" w:lineRule="auto"/>
              <w:rPr>
                <w:rFonts w:ascii="Arial Narrow" w:eastAsia="Times New Roman" w:hAnsi="Arial Narrow" w:cs="Times New Roman"/>
                <w:sz w:val="18"/>
                <w:szCs w:val="18"/>
                <w:lang w:val="en-ZA" w:eastAsia="en-ZA"/>
              </w:rPr>
            </w:pPr>
            <w:r w:rsidRPr="00740ECC">
              <w:rPr>
                <w:rFonts w:ascii="Arial Narrow" w:eastAsia="Times New Roman" w:hAnsi="Arial Narrow" w:cs="Times New Roman"/>
                <w:sz w:val="18"/>
                <w:szCs w:val="18"/>
                <w:lang w:val="en-ZA" w:eastAsia="en-ZA"/>
              </w:rPr>
              <w:t xml:space="preserve">       128 056 </w:t>
            </w:r>
          </w:p>
        </w:tc>
      </w:tr>
      <w:tr w:rsidR="00740ECC" w:rsidRPr="00740ECC" w14:paraId="77064BC7" w14:textId="77777777" w:rsidTr="00740ECC">
        <w:trPr>
          <w:trHeight w:val="172"/>
        </w:trPr>
        <w:tc>
          <w:tcPr>
            <w:tcW w:w="1174" w:type="pct"/>
            <w:tcBorders>
              <w:top w:val="nil"/>
              <w:left w:val="single" w:sz="4" w:space="0" w:color="auto"/>
              <w:bottom w:val="single" w:sz="4" w:space="0" w:color="auto"/>
              <w:right w:val="nil"/>
            </w:tcBorders>
            <w:shd w:val="clear" w:color="auto" w:fill="auto"/>
            <w:noWrap/>
            <w:vAlign w:val="bottom"/>
            <w:hideMark/>
          </w:tcPr>
          <w:p w14:paraId="48871F99" w14:textId="77777777" w:rsidR="00740ECC" w:rsidRPr="00740ECC" w:rsidRDefault="00740ECC" w:rsidP="00740ECC">
            <w:pPr>
              <w:spacing w:after="0" w:line="240" w:lineRule="auto"/>
              <w:ind w:firstLineChars="100" w:firstLine="180"/>
              <w:rPr>
                <w:rFonts w:ascii="Arial Narrow" w:eastAsia="Times New Roman" w:hAnsi="Arial Narrow" w:cs="Times New Roman"/>
                <w:sz w:val="18"/>
                <w:szCs w:val="18"/>
                <w:lang w:val="en-ZA" w:eastAsia="en-ZA"/>
              </w:rPr>
            </w:pPr>
            <w:r w:rsidRPr="00740ECC">
              <w:rPr>
                <w:rFonts w:ascii="Arial Narrow" w:eastAsia="Times New Roman" w:hAnsi="Arial Narrow" w:cs="Times New Roman"/>
                <w:sz w:val="18"/>
                <w:szCs w:val="18"/>
                <w:lang w:val="en-ZA" w:eastAsia="en-ZA"/>
              </w:rPr>
              <w:t>Remuneration of councillors</w:t>
            </w:r>
          </w:p>
        </w:tc>
        <w:tc>
          <w:tcPr>
            <w:tcW w:w="547" w:type="pct"/>
            <w:tcBorders>
              <w:top w:val="nil"/>
              <w:left w:val="single" w:sz="4" w:space="0" w:color="auto"/>
              <w:bottom w:val="single" w:sz="4" w:space="0" w:color="auto"/>
              <w:right w:val="nil"/>
            </w:tcBorders>
            <w:shd w:val="clear" w:color="auto" w:fill="auto"/>
            <w:noWrap/>
            <w:vAlign w:val="bottom"/>
            <w:hideMark/>
          </w:tcPr>
          <w:p w14:paraId="02D4100B" w14:textId="77777777" w:rsidR="00740ECC" w:rsidRPr="00740ECC" w:rsidRDefault="00740ECC" w:rsidP="00740ECC">
            <w:pPr>
              <w:spacing w:after="0" w:line="240" w:lineRule="auto"/>
              <w:rPr>
                <w:rFonts w:ascii="Arial Narrow" w:eastAsia="Times New Roman" w:hAnsi="Arial Narrow" w:cs="Times New Roman"/>
                <w:sz w:val="18"/>
                <w:szCs w:val="18"/>
                <w:lang w:val="en-ZA" w:eastAsia="en-ZA"/>
              </w:rPr>
            </w:pPr>
            <w:r w:rsidRPr="00740ECC">
              <w:rPr>
                <w:rFonts w:ascii="Arial Narrow" w:eastAsia="Times New Roman" w:hAnsi="Arial Narrow" w:cs="Times New Roman"/>
                <w:sz w:val="18"/>
                <w:szCs w:val="18"/>
                <w:lang w:val="en-ZA" w:eastAsia="en-ZA"/>
              </w:rPr>
              <w:t xml:space="preserve">         19 334 </w:t>
            </w:r>
          </w:p>
        </w:tc>
        <w:tc>
          <w:tcPr>
            <w:tcW w:w="547" w:type="pct"/>
            <w:tcBorders>
              <w:top w:val="nil"/>
              <w:left w:val="single" w:sz="4" w:space="0" w:color="auto"/>
              <w:bottom w:val="single" w:sz="4" w:space="0" w:color="auto"/>
              <w:right w:val="single" w:sz="4" w:space="0" w:color="auto"/>
            </w:tcBorders>
            <w:shd w:val="clear" w:color="auto" w:fill="auto"/>
            <w:noWrap/>
            <w:vAlign w:val="bottom"/>
            <w:hideMark/>
          </w:tcPr>
          <w:p w14:paraId="1C783936" w14:textId="77777777" w:rsidR="00740ECC" w:rsidRPr="00740ECC" w:rsidRDefault="00740ECC" w:rsidP="00740ECC">
            <w:pPr>
              <w:spacing w:after="0" w:line="240" w:lineRule="auto"/>
              <w:rPr>
                <w:rFonts w:ascii="Arial Narrow" w:eastAsia="Times New Roman" w:hAnsi="Arial Narrow" w:cs="Times New Roman"/>
                <w:sz w:val="18"/>
                <w:szCs w:val="18"/>
                <w:lang w:val="en-ZA" w:eastAsia="en-ZA"/>
              </w:rPr>
            </w:pPr>
            <w:r w:rsidRPr="00740ECC">
              <w:rPr>
                <w:rFonts w:ascii="Arial Narrow" w:eastAsia="Times New Roman" w:hAnsi="Arial Narrow" w:cs="Times New Roman"/>
                <w:sz w:val="18"/>
                <w:szCs w:val="18"/>
                <w:lang w:val="en-ZA" w:eastAsia="en-ZA"/>
              </w:rPr>
              <w:t xml:space="preserve">         18 560 </w:t>
            </w:r>
          </w:p>
        </w:tc>
        <w:tc>
          <w:tcPr>
            <w:tcW w:w="547" w:type="pct"/>
            <w:tcBorders>
              <w:top w:val="nil"/>
              <w:left w:val="nil"/>
              <w:bottom w:val="single" w:sz="4" w:space="0" w:color="auto"/>
              <w:right w:val="single" w:sz="4" w:space="0" w:color="auto"/>
            </w:tcBorders>
            <w:shd w:val="clear" w:color="auto" w:fill="auto"/>
            <w:noWrap/>
            <w:vAlign w:val="bottom"/>
            <w:hideMark/>
          </w:tcPr>
          <w:p w14:paraId="4B377D79" w14:textId="77777777" w:rsidR="00740ECC" w:rsidRPr="00740ECC" w:rsidRDefault="00740ECC" w:rsidP="00740ECC">
            <w:pPr>
              <w:spacing w:after="0" w:line="240" w:lineRule="auto"/>
              <w:rPr>
                <w:rFonts w:ascii="Arial Narrow" w:eastAsia="Times New Roman" w:hAnsi="Arial Narrow" w:cs="Times New Roman"/>
                <w:sz w:val="18"/>
                <w:szCs w:val="18"/>
                <w:lang w:val="en-ZA" w:eastAsia="en-ZA"/>
              </w:rPr>
            </w:pPr>
            <w:r w:rsidRPr="00740ECC">
              <w:rPr>
                <w:rFonts w:ascii="Arial Narrow" w:eastAsia="Times New Roman" w:hAnsi="Arial Narrow" w:cs="Times New Roman"/>
                <w:sz w:val="18"/>
                <w:szCs w:val="18"/>
                <w:lang w:val="en-ZA" w:eastAsia="en-ZA"/>
              </w:rPr>
              <w:t xml:space="preserve">         18 560 </w:t>
            </w:r>
          </w:p>
        </w:tc>
        <w:tc>
          <w:tcPr>
            <w:tcW w:w="547" w:type="pct"/>
            <w:tcBorders>
              <w:top w:val="nil"/>
              <w:left w:val="nil"/>
              <w:bottom w:val="single" w:sz="4" w:space="0" w:color="auto"/>
              <w:right w:val="nil"/>
            </w:tcBorders>
            <w:shd w:val="clear" w:color="auto" w:fill="auto"/>
            <w:noWrap/>
            <w:vAlign w:val="bottom"/>
            <w:hideMark/>
          </w:tcPr>
          <w:p w14:paraId="2AD565EC" w14:textId="77777777" w:rsidR="00740ECC" w:rsidRPr="00740ECC" w:rsidRDefault="00740ECC" w:rsidP="00740ECC">
            <w:pPr>
              <w:spacing w:after="0" w:line="240" w:lineRule="auto"/>
              <w:rPr>
                <w:rFonts w:ascii="Arial Narrow" w:eastAsia="Times New Roman" w:hAnsi="Arial Narrow" w:cs="Times New Roman"/>
                <w:sz w:val="18"/>
                <w:szCs w:val="18"/>
                <w:lang w:val="en-ZA" w:eastAsia="en-ZA"/>
              </w:rPr>
            </w:pPr>
            <w:r w:rsidRPr="00740ECC">
              <w:rPr>
                <w:rFonts w:ascii="Arial Narrow" w:eastAsia="Times New Roman" w:hAnsi="Arial Narrow" w:cs="Times New Roman"/>
                <w:sz w:val="18"/>
                <w:szCs w:val="18"/>
                <w:lang w:val="en-ZA" w:eastAsia="en-ZA"/>
              </w:rPr>
              <w:t xml:space="preserve">         18 560 </w:t>
            </w:r>
          </w:p>
        </w:tc>
        <w:tc>
          <w:tcPr>
            <w:tcW w:w="547" w:type="pct"/>
            <w:tcBorders>
              <w:top w:val="nil"/>
              <w:left w:val="single" w:sz="4" w:space="0" w:color="auto"/>
              <w:bottom w:val="single" w:sz="4" w:space="0" w:color="auto"/>
              <w:right w:val="single" w:sz="4" w:space="0" w:color="auto"/>
            </w:tcBorders>
            <w:shd w:val="clear" w:color="auto" w:fill="auto"/>
            <w:noWrap/>
            <w:vAlign w:val="bottom"/>
            <w:hideMark/>
          </w:tcPr>
          <w:p w14:paraId="57B3D5D7" w14:textId="77777777" w:rsidR="00740ECC" w:rsidRPr="00740ECC" w:rsidRDefault="00740ECC" w:rsidP="00740ECC">
            <w:pPr>
              <w:spacing w:after="0" w:line="240" w:lineRule="auto"/>
              <w:rPr>
                <w:rFonts w:ascii="Arial Narrow" w:eastAsia="Times New Roman" w:hAnsi="Arial Narrow" w:cs="Times New Roman"/>
                <w:sz w:val="18"/>
                <w:szCs w:val="18"/>
                <w:lang w:val="en-ZA" w:eastAsia="en-ZA"/>
              </w:rPr>
            </w:pPr>
            <w:r w:rsidRPr="00740ECC">
              <w:rPr>
                <w:rFonts w:ascii="Arial Narrow" w:eastAsia="Times New Roman" w:hAnsi="Arial Narrow" w:cs="Times New Roman"/>
                <w:sz w:val="18"/>
                <w:szCs w:val="18"/>
                <w:lang w:val="en-ZA" w:eastAsia="en-ZA"/>
              </w:rPr>
              <w:t xml:space="preserve">         20 115 </w:t>
            </w:r>
          </w:p>
        </w:tc>
        <w:tc>
          <w:tcPr>
            <w:tcW w:w="547" w:type="pct"/>
            <w:tcBorders>
              <w:top w:val="nil"/>
              <w:left w:val="nil"/>
              <w:bottom w:val="single" w:sz="4" w:space="0" w:color="auto"/>
              <w:right w:val="single" w:sz="4" w:space="0" w:color="auto"/>
            </w:tcBorders>
            <w:shd w:val="clear" w:color="auto" w:fill="auto"/>
            <w:noWrap/>
            <w:vAlign w:val="bottom"/>
            <w:hideMark/>
          </w:tcPr>
          <w:p w14:paraId="291F8168" w14:textId="77777777" w:rsidR="00740ECC" w:rsidRPr="00740ECC" w:rsidRDefault="00740ECC" w:rsidP="00740ECC">
            <w:pPr>
              <w:spacing w:after="0" w:line="240" w:lineRule="auto"/>
              <w:rPr>
                <w:rFonts w:ascii="Arial Narrow" w:eastAsia="Times New Roman" w:hAnsi="Arial Narrow" w:cs="Times New Roman"/>
                <w:sz w:val="18"/>
                <w:szCs w:val="18"/>
                <w:lang w:val="en-ZA" w:eastAsia="en-ZA"/>
              </w:rPr>
            </w:pPr>
            <w:r w:rsidRPr="00740ECC">
              <w:rPr>
                <w:rFonts w:ascii="Arial Narrow" w:eastAsia="Times New Roman" w:hAnsi="Arial Narrow" w:cs="Times New Roman"/>
                <w:sz w:val="18"/>
                <w:szCs w:val="18"/>
                <w:lang w:val="en-ZA" w:eastAsia="en-ZA"/>
              </w:rPr>
              <w:t xml:space="preserve">         21 523 </w:t>
            </w:r>
          </w:p>
        </w:tc>
        <w:tc>
          <w:tcPr>
            <w:tcW w:w="545" w:type="pct"/>
            <w:tcBorders>
              <w:top w:val="nil"/>
              <w:left w:val="nil"/>
              <w:bottom w:val="single" w:sz="4" w:space="0" w:color="auto"/>
              <w:right w:val="single" w:sz="4" w:space="0" w:color="auto"/>
            </w:tcBorders>
            <w:shd w:val="clear" w:color="auto" w:fill="auto"/>
            <w:noWrap/>
            <w:vAlign w:val="bottom"/>
            <w:hideMark/>
          </w:tcPr>
          <w:p w14:paraId="38B446A0" w14:textId="77777777" w:rsidR="00740ECC" w:rsidRPr="00740ECC" w:rsidRDefault="00740ECC" w:rsidP="00740ECC">
            <w:pPr>
              <w:spacing w:after="0" w:line="240" w:lineRule="auto"/>
              <w:rPr>
                <w:rFonts w:ascii="Arial Narrow" w:eastAsia="Times New Roman" w:hAnsi="Arial Narrow" w:cs="Times New Roman"/>
                <w:sz w:val="18"/>
                <w:szCs w:val="18"/>
                <w:lang w:val="en-ZA" w:eastAsia="en-ZA"/>
              </w:rPr>
            </w:pPr>
            <w:r w:rsidRPr="00740ECC">
              <w:rPr>
                <w:rFonts w:ascii="Arial Narrow" w:eastAsia="Times New Roman" w:hAnsi="Arial Narrow" w:cs="Times New Roman"/>
                <w:sz w:val="18"/>
                <w:szCs w:val="18"/>
                <w:lang w:val="en-ZA" w:eastAsia="en-ZA"/>
              </w:rPr>
              <w:t xml:space="preserve">         23 029 </w:t>
            </w:r>
          </w:p>
        </w:tc>
      </w:tr>
    </w:tbl>
    <w:p w14:paraId="47960176" w14:textId="77777777" w:rsidR="005A0FA4" w:rsidRPr="00881795" w:rsidRDefault="005A0FA4" w:rsidP="00395313">
      <w:pPr>
        <w:jc w:val="both"/>
      </w:pPr>
    </w:p>
    <w:p w14:paraId="2280A72B" w14:textId="1D0D1BA2" w:rsidR="00B30D8A" w:rsidRDefault="00B30D8A" w:rsidP="00750180">
      <w:pPr>
        <w:pStyle w:val="Heading3"/>
        <w:numPr>
          <w:ilvl w:val="2"/>
          <w:numId w:val="127"/>
        </w:numPr>
        <w:spacing w:after="240"/>
        <w:rPr>
          <w:rStyle w:val="Heading3Char"/>
          <w:b/>
          <w:bCs/>
        </w:rPr>
      </w:pPr>
      <w:bookmarkStart w:id="521" w:name="_Toc510706658"/>
      <w:bookmarkStart w:id="522" w:name="_Toc389740037"/>
      <w:r>
        <w:rPr>
          <w:rStyle w:val="Heading3Char"/>
          <w:b/>
          <w:bCs/>
        </w:rPr>
        <w:t>Financial Viability/Sustainability</w:t>
      </w:r>
      <w:bookmarkEnd w:id="521"/>
    </w:p>
    <w:tbl>
      <w:tblPr>
        <w:tblStyle w:val="TableGrid13"/>
        <w:tblW w:w="4882" w:type="pct"/>
        <w:tblLook w:val="04A0" w:firstRow="1" w:lastRow="0" w:firstColumn="1" w:lastColumn="0" w:noHBand="0" w:noVBand="1"/>
      </w:tblPr>
      <w:tblGrid>
        <w:gridCol w:w="4134"/>
        <w:gridCol w:w="1390"/>
        <w:gridCol w:w="592"/>
        <w:gridCol w:w="1348"/>
        <w:gridCol w:w="592"/>
        <w:gridCol w:w="1346"/>
      </w:tblGrid>
      <w:tr w:rsidR="00B30D8A" w:rsidRPr="00B30D8A" w14:paraId="7E3E79F8" w14:textId="77777777" w:rsidTr="00B30D8A">
        <w:trPr>
          <w:trHeight w:val="300"/>
        </w:trPr>
        <w:tc>
          <w:tcPr>
            <w:tcW w:w="2198" w:type="pct"/>
            <w:shd w:val="clear" w:color="auto" w:fill="DAEEF3" w:themeFill="accent5" w:themeFillTint="33"/>
            <w:noWrap/>
            <w:hideMark/>
          </w:tcPr>
          <w:p w14:paraId="26AC35E9" w14:textId="22D60CB3" w:rsidR="00B30D8A" w:rsidRPr="00B30D8A" w:rsidRDefault="00B30D8A" w:rsidP="00B30D8A">
            <w:pPr>
              <w:rPr>
                <w:rFonts w:ascii="Times New Roman" w:eastAsia="Times New Roman" w:hAnsi="Times New Roman" w:cs="Times New Roman"/>
                <w:b/>
                <w:sz w:val="16"/>
                <w:szCs w:val="20"/>
                <w:lang w:val="en-ZA" w:eastAsia="en-ZA"/>
              </w:rPr>
            </w:pPr>
            <w:r w:rsidRPr="00B30D8A">
              <w:rPr>
                <w:rFonts w:ascii="Arial" w:eastAsia="Times New Roman" w:hAnsi="Arial" w:cs="Arial"/>
                <w:b/>
                <w:color w:val="000000"/>
                <w:sz w:val="16"/>
                <w:szCs w:val="20"/>
                <w:lang w:val="en-ZA" w:eastAsia="en-ZA"/>
              </w:rPr>
              <w:t>Cost Coverage Ratio</w:t>
            </w:r>
          </w:p>
        </w:tc>
        <w:tc>
          <w:tcPr>
            <w:tcW w:w="739" w:type="pct"/>
            <w:shd w:val="clear" w:color="auto" w:fill="DAEEF3" w:themeFill="accent5" w:themeFillTint="33"/>
            <w:noWrap/>
            <w:hideMark/>
          </w:tcPr>
          <w:p w14:paraId="379CE8A3" w14:textId="77777777" w:rsidR="00B30D8A" w:rsidRPr="00B30D8A" w:rsidRDefault="00B30D8A" w:rsidP="00B30D8A">
            <w:pPr>
              <w:jc w:val="right"/>
              <w:rPr>
                <w:rFonts w:eastAsia="Times New Roman" w:cs="Times New Roman"/>
                <w:b/>
                <w:bCs/>
                <w:color w:val="000000"/>
                <w:sz w:val="16"/>
                <w:lang w:val="en-ZA" w:eastAsia="en-ZA"/>
              </w:rPr>
            </w:pPr>
            <w:r w:rsidRPr="00B30D8A">
              <w:rPr>
                <w:rFonts w:eastAsia="Times New Roman" w:cs="Times New Roman"/>
                <w:b/>
                <w:bCs/>
                <w:color w:val="000000"/>
                <w:sz w:val="16"/>
                <w:lang w:val="en-ZA" w:eastAsia="en-ZA"/>
              </w:rPr>
              <w:t>2017</w:t>
            </w:r>
          </w:p>
        </w:tc>
        <w:tc>
          <w:tcPr>
            <w:tcW w:w="315" w:type="pct"/>
            <w:shd w:val="clear" w:color="auto" w:fill="DAEEF3" w:themeFill="accent5" w:themeFillTint="33"/>
            <w:noWrap/>
            <w:hideMark/>
          </w:tcPr>
          <w:p w14:paraId="19958983" w14:textId="77777777" w:rsidR="00B30D8A" w:rsidRPr="00B30D8A" w:rsidRDefault="00B30D8A" w:rsidP="00B30D8A">
            <w:pPr>
              <w:jc w:val="right"/>
              <w:rPr>
                <w:rFonts w:eastAsia="Times New Roman" w:cs="Times New Roman"/>
                <w:b/>
                <w:bCs/>
                <w:color w:val="000000"/>
                <w:sz w:val="16"/>
                <w:lang w:val="en-ZA" w:eastAsia="en-ZA"/>
              </w:rPr>
            </w:pPr>
          </w:p>
        </w:tc>
        <w:tc>
          <w:tcPr>
            <w:tcW w:w="717" w:type="pct"/>
            <w:shd w:val="clear" w:color="auto" w:fill="DAEEF3" w:themeFill="accent5" w:themeFillTint="33"/>
            <w:noWrap/>
            <w:hideMark/>
          </w:tcPr>
          <w:p w14:paraId="18C92755" w14:textId="77777777" w:rsidR="00B30D8A" w:rsidRPr="00B30D8A" w:rsidRDefault="00B30D8A" w:rsidP="00B30D8A">
            <w:pPr>
              <w:jc w:val="right"/>
              <w:rPr>
                <w:rFonts w:eastAsia="Times New Roman" w:cs="Times New Roman"/>
                <w:b/>
                <w:bCs/>
                <w:color w:val="000000"/>
                <w:sz w:val="16"/>
                <w:lang w:val="en-ZA" w:eastAsia="en-ZA"/>
              </w:rPr>
            </w:pPr>
            <w:r w:rsidRPr="00B30D8A">
              <w:rPr>
                <w:rFonts w:eastAsia="Times New Roman" w:cs="Times New Roman"/>
                <w:b/>
                <w:bCs/>
                <w:color w:val="000000"/>
                <w:sz w:val="16"/>
                <w:lang w:val="en-ZA" w:eastAsia="en-ZA"/>
              </w:rPr>
              <w:t>2016</w:t>
            </w:r>
          </w:p>
        </w:tc>
        <w:tc>
          <w:tcPr>
            <w:tcW w:w="315" w:type="pct"/>
            <w:shd w:val="clear" w:color="auto" w:fill="DAEEF3" w:themeFill="accent5" w:themeFillTint="33"/>
            <w:noWrap/>
            <w:hideMark/>
          </w:tcPr>
          <w:p w14:paraId="77F698F4" w14:textId="77777777" w:rsidR="00B30D8A" w:rsidRPr="00B30D8A" w:rsidRDefault="00B30D8A" w:rsidP="00B30D8A">
            <w:pPr>
              <w:jc w:val="right"/>
              <w:rPr>
                <w:rFonts w:eastAsia="Times New Roman" w:cs="Times New Roman"/>
                <w:b/>
                <w:bCs/>
                <w:color w:val="000000"/>
                <w:sz w:val="16"/>
                <w:lang w:val="en-ZA" w:eastAsia="en-ZA"/>
              </w:rPr>
            </w:pPr>
          </w:p>
        </w:tc>
        <w:tc>
          <w:tcPr>
            <w:tcW w:w="716" w:type="pct"/>
            <w:shd w:val="clear" w:color="auto" w:fill="DAEEF3" w:themeFill="accent5" w:themeFillTint="33"/>
            <w:noWrap/>
            <w:hideMark/>
          </w:tcPr>
          <w:p w14:paraId="4A56C7DE" w14:textId="77777777" w:rsidR="00B30D8A" w:rsidRPr="00B30D8A" w:rsidRDefault="00B30D8A" w:rsidP="00B30D8A">
            <w:pPr>
              <w:jc w:val="right"/>
              <w:rPr>
                <w:rFonts w:eastAsia="Times New Roman" w:cs="Times New Roman"/>
                <w:b/>
                <w:bCs/>
                <w:color w:val="000000"/>
                <w:sz w:val="16"/>
                <w:lang w:val="en-ZA" w:eastAsia="en-ZA"/>
              </w:rPr>
            </w:pPr>
            <w:r w:rsidRPr="00B30D8A">
              <w:rPr>
                <w:rFonts w:eastAsia="Times New Roman" w:cs="Times New Roman"/>
                <w:b/>
                <w:bCs/>
                <w:color w:val="000000"/>
                <w:sz w:val="16"/>
                <w:lang w:val="en-ZA" w:eastAsia="en-ZA"/>
              </w:rPr>
              <w:t>2015</w:t>
            </w:r>
          </w:p>
        </w:tc>
      </w:tr>
      <w:tr w:rsidR="00B30D8A" w:rsidRPr="00B30D8A" w14:paraId="4274B6E7" w14:textId="77777777" w:rsidTr="00B30D8A">
        <w:trPr>
          <w:trHeight w:val="300"/>
        </w:trPr>
        <w:tc>
          <w:tcPr>
            <w:tcW w:w="2198" w:type="pct"/>
            <w:noWrap/>
            <w:hideMark/>
          </w:tcPr>
          <w:p w14:paraId="727CA91D" w14:textId="77777777" w:rsidR="00B30D8A" w:rsidRPr="00B30D8A" w:rsidRDefault="00B30D8A" w:rsidP="00B30D8A">
            <w:pPr>
              <w:rPr>
                <w:rFonts w:ascii="Arial" w:eastAsia="Times New Roman" w:hAnsi="Arial" w:cs="Arial"/>
                <w:color w:val="000000"/>
                <w:sz w:val="16"/>
                <w:szCs w:val="20"/>
                <w:lang w:val="en-ZA" w:eastAsia="en-ZA"/>
              </w:rPr>
            </w:pPr>
            <w:r w:rsidRPr="00B30D8A">
              <w:rPr>
                <w:rFonts w:ascii="Arial" w:eastAsia="Times New Roman" w:hAnsi="Arial" w:cs="Arial"/>
                <w:color w:val="000000"/>
                <w:sz w:val="16"/>
                <w:szCs w:val="20"/>
                <w:lang w:val="en-ZA" w:eastAsia="en-ZA"/>
              </w:rPr>
              <w:t>Cash and cash equivalents</w:t>
            </w:r>
          </w:p>
        </w:tc>
        <w:tc>
          <w:tcPr>
            <w:tcW w:w="739" w:type="pct"/>
            <w:hideMark/>
          </w:tcPr>
          <w:p w14:paraId="33709F65" w14:textId="77777777" w:rsidR="00B30D8A" w:rsidRPr="00B30D8A" w:rsidRDefault="00B30D8A" w:rsidP="00B30D8A">
            <w:pPr>
              <w:jc w:val="right"/>
              <w:rPr>
                <w:rFonts w:ascii="Arial" w:eastAsia="Times New Roman" w:hAnsi="Arial" w:cs="Arial"/>
                <w:color w:val="000000"/>
                <w:sz w:val="16"/>
                <w:szCs w:val="20"/>
                <w:lang w:val="en-ZA" w:eastAsia="en-ZA"/>
              </w:rPr>
            </w:pPr>
            <w:r w:rsidRPr="00B30D8A">
              <w:rPr>
                <w:rFonts w:ascii="Arial" w:eastAsia="Times New Roman" w:hAnsi="Arial" w:cs="Arial"/>
                <w:color w:val="000000"/>
                <w:sz w:val="16"/>
                <w:szCs w:val="20"/>
                <w:lang w:val="en-ZA" w:eastAsia="en-ZA"/>
              </w:rPr>
              <w:t xml:space="preserve">      3 539 000 </w:t>
            </w:r>
          </w:p>
        </w:tc>
        <w:tc>
          <w:tcPr>
            <w:tcW w:w="315" w:type="pct"/>
            <w:noWrap/>
            <w:hideMark/>
          </w:tcPr>
          <w:p w14:paraId="029FA1DD" w14:textId="77777777" w:rsidR="00B30D8A" w:rsidRPr="00B30D8A" w:rsidRDefault="00B30D8A" w:rsidP="00B30D8A">
            <w:pPr>
              <w:jc w:val="right"/>
              <w:rPr>
                <w:rFonts w:ascii="Arial" w:eastAsia="Times New Roman" w:hAnsi="Arial" w:cs="Arial"/>
                <w:color w:val="000000"/>
                <w:sz w:val="16"/>
                <w:szCs w:val="20"/>
                <w:lang w:val="en-ZA" w:eastAsia="en-ZA"/>
              </w:rPr>
            </w:pPr>
          </w:p>
        </w:tc>
        <w:tc>
          <w:tcPr>
            <w:tcW w:w="717" w:type="pct"/>
            <w:hideMark/>
          </w:tcPr>
          <w:p w14:paraId="4111494B" w14:textId="77777777" w:rsidR="00B30D8A" w:rsidRPr="00B30D8A" w:rsidRDefault="00B30D8A" w:rsidP="00B30D8A">
            <w:pPr>
              <w:jc w:val="right"/>
              <w:rPr>
                <w:rFonts w:ascii="Arial" w:eastAsia="Times New Roman" w:hAnsi="Arial" w:cs="Arial"/>
                <w:color w:val="000000"/>
                <w:sz w:val="16"/>
                <w:szCs w:val="20"/>
                <w:lang w:val="en-ZA" w:eastAsia="en-ZA"/>
              </w:rPr>
            </w:pPr>
            <w:r w:rsidRPr="00B30D8A">
              <w:rPr>
                <w:rFonts w:ascii="Arial" w:eastAsia="Times New Roman" w:hAnsi="Arial" w:cs="Arial"/>
                <w:color w:val="000000"/>
                <w:sz w:val="16"/>
                <w:szCs w:val="20"/>
                <w:lang w:val="en-ZA" w:eastAsia="en-ZA"/>
              </w:rPr>
              <w:t xml:space="preserve">   11 712 000 </w:t>
            </w:r>
          </w:p>
        </w:tc>
        <w:tc>
          <w:tcPr>
            <w:tcW w:w="315" w:type="pct"/>
            <w:noWrap/>
            <w:hideMark/>
          </w:tcPr>
          <w:p w14:paraId="4F3589F4" w14:textId="77777777" w:rsidR="00B30D8A" w:rsidRPr="00B30D8A" w:rsidRDefault="00B30D8A" w:rsidP="00B30D8A">
            <w:pPr>
              <w:jc w:val="right"/>
              <w:rPr>
                <w:rFonts w:ascii="Arial" w:eastAsia="Times New Roman" w:hAnsi="Arial" w:cs="Arial"/>
                <w:color w:val="000000"/>
                <w:sz w:val="16"/>
                <w:szCs w:val="20"/>
                <w:lang w:val="en-ZA" w:eastAsia="en-ZA"/>
              </w:rPr>
            </w:pPr>
          </w:p>
        </w:tc>
        <w:tc>
          <w:tcPr>
            <w:tcW w:w="716" w:type="pct"/>
            <w:noWrap/>
            <w:hideMark/>
          </w:tcPr>
          <w:p w14:paraId="53FA3FF7" w14:textId="77777777" w:rsidR="00B30D8A" w:rsidRPr="00B30D8A" w:rsidRDefault="00B30D8A" w:rsidP="00B30D8A">
            <w:pPr>
              <w:rPr>
                <w:rFonts w:eastAsia="Times New Roman" w:cs="Times New Roman"/>
                <w:color w:val="000000"/>
                <w:sz w:val="16"/>
                <w:lang w:val="en-ZA" w:eastAsia="en-ZA"/>
              </w:rPr>
            </w:pPr>
            <w:r w:rsidRPr="00B30D8A">
              <w:rPr>
                <w:rFonts w:eastAsia="Times New Roman" w:cs="Times New Roman"/>
                <w:color w:val="000000"/>
                <w:sz w:val="16"/>
                <w:lang w:val="en-ZA" w:eastAsia="en-ZA"/>
              </w:rPr>
              <w:t xml:space="preserve">        6 810 000 </w:t>
            </w:r>
          </w:p>
        </w:tc>
      </w:tr>
      <w:tr w:rsidR="00B30D8A" w:rsidRPr="00B30D8A" w14:paraId="15E54454" w14:textId="77777777" w:rsidTr="00B30D8A">
        <w:trPr>
          <w:trHeight w:val="300"/>
        </w:trPr>
        <w:tc>
          <w:tcPr>
            <w:tcW w:w="2198" w:type="pct"/>
            <w:noWrap/>
            <w:hideMark/>
          </w:tcPr>
          <w:p w14:paraId="2B1E2D9D" w14:textId="77777777" w:rsidR="00B30D8A" w:rsidRPr="00B30D8A" w:rsidRDefault="00B30D8A" w:rsidP="00B30D8A">
            <w:pPr>
              <w:rPr>
                <w:rFonts w:ascii="Arial" w:eastAsia="Times New Roman" w:hAnsi="Arial" w:cs="Arial"/>
                <w:color w:val="000000"/>
                <w:sz w:val="16"/>
                <w:szCs w:val="20"/>
                <w:lang w:val="en-ZA" w:eastAsia="en-ZA"/>
              </w:rPr>
            </w:pPr>
            <w:r w:rsidRPr="00B30D8A">
              <w:rPr>
                <w:rFonts w:ascii="Arial" w:eastAsia="Times New Roman" w:hAnsi="Arial" w:cs="Arial"/>
                <w:color w:val="000000"/>
                <w:sz w:val="16"/>
                <w:szCs w:val="20"/>
                <w:lang w:val="en-ZA" w:eastAsia="en-ZA"/>
              </w:rPr>
              <w:t>Unspent Conditional Grants</w:t>
            </w:r>
          </w:p>
        </w:tc>
        <w:tc>
          <w:tcPr>
            <w:tcW w:w="739" w:type="pct"/>
            <w:hideMark/>
          </w:tcPr>
          <w:p w14:paraId="3FC8A44C" w14:textId="77777777" w:rsidR="00B30D8A" w:rsidRPr="00B30D8A" w:rsidRDefault="00B30D8A" w:rsidP="00B30D8A">
            <w:pPr>
              <w:jc w:val="right"/>
              <w:rPr>
                <w:rFonts w:ascii="Arial" w:eastAsia="Times New Roman" w:hAnsi="Arial" w:cs="Arial"/>
                <w:color w:val="000000"/>
                <w:sz w:val="16"/>
                <w:szCs w:val="20"/>
                <w:lang w:val="en-ZA" w:eastAsia="en-ZA"/>
              </w:rPr>
            </w:pPr>
            <w:r w:rsidRPr="00B30D8A">
              <w:rPr>
                <w:rFonts w:ascii="Arial" w:eastAsia="Times New Roman" w:hAnsi="Arial" w:cs="Arial"/>
                <w:color w:val="000000"/>
                <w:sz w:val="16"/>
                <w:szCs w:val="20"/>
                <w:lang w:val="en-ZA" w:eastAsia="en-ZA"/>
              </w:rPr>
              <w:t xml:space="preserve">      6 611 000 </w:t>
            </w:r>
          </w:p>
        </w:tc>
        <w:tc>
          <w:tcPr>
            <w:tcW w:w="315" w:type="pct"/>
            <w:noWrap/>
            <w:hideMark/>
          </w:tcPr>
          <w:p w14:paraId="0F53BD4C" w14:textId="77777777" w:rsidR="00B30D8A" w:rsidRPr="00B30D8A" w:rsidRDefault="00B30D8A" w:rsidP="00B30D8A">
            <w:pPr>
              <w:jc w:val="right"/>
              <w:rPr>
                <w:rFonts w:ascii="Arial" w:eastAsia="Times New Roman" w:hAnsi="Arial" w:cs="Arial"/>
                <w:color w:val="000000"/>
                <w:sz w:val="16"/>
                <w:szCs w:val="20"/>
                <w:lang w:val="en-ZA" w:eastAsia="en-ZA"/>
              </w:rPr>
            </w:pPr>
          </w:p>
        </w:tc>
        <w:tc>
          <w:tcPr>
            <w:tcW w:w="717" w:type="pct"/>
            <w:hideMark/>
          </w:tcPr>
          <w:p w14:paraId="1A91BD3E" w14:textId="77777777" w:rsidR="00B30D8A" w:rsidRPr="00B30D8A" w:rsidRDefault="00B30D8A" w:rsidP="00B30D8A">
            <w:pPr>
              <w:jc w:val="right"/>
              <w:rPr>
                <w:rFonts w:ascii="Arial" w:eastAsia="Times New Roman" w:hAnsi="Arial" w:cs="Arial"/>
                <w:color w:val="000000"/>
                <w:sz w:val="16"/>
                <w:szCs w:val="20"/>
                <w:lang w:val="en-ZA" w:eastAsia="en-ZA"/>
              </w:rPr>
            </w:pPr>
            <w:r w:rsidRPr="00B30D8A">
              <w:rPr>
                <w:rFonts w:ascii="Arial" w:eastAsia="Times New Roman" w:hAnsi="Arial" w:cs="Arial"/>
                <w:color w:val="000000"/>
                <w:sz w:val="16"/>
                <w:szCs w:val="20"/>
                <w:lang w:val="en-ZA" w:eastAsia="en-ZA"/>
              </w:rPr>
              <w:t xml:space="preserve">   20 099 000 </w:t>
            </w:r>
          </w:p>
        </w:tc>
        <w:tc>
          <w:tcPr>
            <w:tcW w:w="315" w:type="pct"/>
            <w:noWrap/>
            <w:hideMark/>
          </w:tcPr>
          <w:p w14:paraId="6415A294" w14:textId="77777777" w:rsidR="00B30D8A" w:rsidRPr="00B30D8A" w:rsidRDefault="00B30D8A" w:rsidP="00B30D8A">
            <w:pPr>
              <w:jc w:val="right"/>
              <w:rPr>
                <w:rFonts w:ascii="Arial" w:eastAsia="Times New Roman" w:hAnsi="Arial" w:cs="Arial"/>
                <w:color w:val="000000"/>
                <w:sz w:val="16"/>
                <w:szCs w:val="20"/>
                <w:lang w:val="en-ZA" w:eastAsia="en-ZA"/>
              </w:rPr>
            </w:pPr>
          </w:p>
        </w:tc>
        <w:tc>
          <w:tcPr>
            <w:tcW w:w="716" w:type="pct"/>
            <w:noWrap/>
            <w:hideMark/>
          </w:tcPr>
          <w:p w14:paraId="2D0AE44E" w14:textId="77777777" w:rsidR="00B30D8A" w:rsidRPr="00B30D8A" w:rsidRDefault="00B30D8A" w:rsidP="00B30D8A">
            <w:pPr>
              <w:rPr>
                <w:rFonts w:eastAsia="Times New Roman" w:cs="Times New Roman"/>
                <w:color w:val="000000"/>
                <w:sz w:val="16"/>
                <w:lang w:val="en-ZA" w:eastAsia="en-ZA"/>
              </w:rPr>
            </w:pPr>
            <w:r w:rsidRPr="00B30D8A">
              <w:rPr>
                <w:rFonts w:eastAsia="Times New Roman" w:cs="Times New Roman"/>
                <w:color w:val="000000"/>
                <w:sz w:val="16"/>
                <w:lang w:val="en-ZA" w:eastAsia="en-ZA"/>
              </w:rPr>
              <w:t xml:space="preserve">      14 951 000 </w:t>
            </w:r>
          </w:p>
        </w:tc>
      </w:tr>
      <w:tr w:rsidR="00B30D8A" w:rsidRPr="00B30D8A" w14:paraId="047D903D" w14:textId="77777777" w:rsidTr="00B30D8A">
        <w:trPr>
          <w:trHeight w:val="300"/>
        </w:trPr>
        <w:tc>
          <w:tcPr>
            <w:tcW w:w="2198" w:type="pct"/>
            <w:noWrap/>
            <w:hideMark/>
          </w:tcPr>
          <w:p w14:paraId="652102ED" w14:textId="77777777" w:rsidR="00B30D8A" w:rsidRPr="00B30D8A" w:rsidRDefault="00B30D8A" w:rsidP="00B30D8A">
            <w:pPr>
              <w:rPr>
                <w:rFonts w:ascii="Arial" w:eastAsia="Times New Roman" w:hAnsi="Arial" w:cs="Arial"/>
                <w:color w:val="000000"/>
                <w:sz w:val="16"/>
                <w:szCs w:val="20"/>
                <w:lang w:val="en-ZA" w:eastAsia="en-ZA"/>
              </w:rPr>
            </w:pPr>
            <w:r w:rsidRPr="00B30D8A">
              <w:rPr>
                <w:rFonts w:ascii="Arial" w:eastAsia="Times New Roman" w:hAnsi="Arial" w:cs="Arial"/>
                <w:color w:val="000000"/>
                <w:sz w:val="16"/>
                <w:szCs w:val="20"/>
                <w:lang w:val="en-ZA" w:eastAsia="en-ZA"/>
              </w:rPr>
              <w:t>Short Term Investments</w:t>
            </w:r>
          </w:p>
        </w:tc>
        <w:tc>
          <w:tcPr>
            <w:tcW w:w="739" w:type="pct"/>
            <w:hideMark/>
          </w:tcPr>
          <w:p w14:paraId="3E7A2486" w14:textId="77777777" w:rsidR="00B30D8A" w:rsidRPr="00B30D8A" w:rsidRDefault="00B30D8A" w:rsidP="00B30D8A">
            <w:pPr>
              <w:jc w:val="right"/>
              <w:rPr>
                <w:rFonts w:ascii="Arial" w:eastAsia="Times New Roman" w:hAnsi="Arial" w:cs="Arial"/>
                <w:color w:val="000000"/>
                <w:sz w:val="16"/>
                <w:szCs w:val="20"/>
                <w:lang w:val="en-ZA" w:eastAsia="en-ZA"/>
              </w:rPr>
            </w:pPr>
            <w:r w:rsidRPr="00B30D8A">
              <w:rPr>
                <w:rFonts w:ascii="Arial" w:eastAsia="Times New Roman" w:hAnsi="Arial" w:cs="Arial"/>
                <w:color w:val="000000"/>
                <w:sz w:val="16"/>
                <w:szCs w:val="20"/>
                <w:lang w:val="en-ZA" w:eastAsia="en-ZA"/>
              </w:rPr>
              <w:t xml:space="preserve">    82 557 000 </w:t>
            </w:r>
          </w:p>
        </w:tc>
        <w:tc>
          <w:tcPr>
            <w:tcW w:w="315" w:type="pct"/>
            <w:noWrap/>
            <w:hideMark/>
          </w:tcPr>
          <w:p w14:paraId="6ED80E21" w14:textId="77777777" w:rsidR="00B30D8A" w:rsidRPr="00B30D8A" w:rsidRDefault="00B30D8A" w:rsidP="00B30D8A">
            <w:pPr>
              <w:jc w:val="right"/>
              <w:rPr>
                <w:rFonts w:ascii="Arial" w:eastAsia="Times New Roman" w:hAnsi="Arial" w:cs="Arial"/>
                <w:color w:val="000000"/>
                <w:sz w:val="16"/>
                <w:szCs w:val="20"/>
                <w:lang w:val="en-ZA" w:eastAsia="en-ZA"/>
              </w:rPr>
            </w:pPr>
          </w:p>
        </w:tc>
        <w:tc>
          <w:tcPr>
            <w:tcW w:w="717" w:type="pct"/>
            <w:hideMark/>
          </w:tcPr>
          <w:p w14:paraId="71A305F1" w14:textId="77777777" w:rsidR="00B30D8A" w:rsidRPr="00B30D8A" w:rsidRDefault="00B30D8A" w:rsidP="00B30D8A">
            <w:pPr>
              <w:jc w:val="right"/>
              <w:rPr>
                <w:rFonts w:ascii="Arial" w:eastAsia="Times New Roman" w:hAnsi="Arial" w:cs="Arial"/>
                <w:color w:val="000000"/>
                <w:sz w:val="16"/>
                <w:szCs w:val="20"/>
                <w:lang w:val="en-ZA" w:eastAsia="en-ZA"/>
              </w:rPr>
            </w:pPr>
            <w:r w:rsidRPr="00B30D8A">
              <w:rPr>
                <w:rFonts w:ascii="Arial" w:eastAsia="Times New Roman" w:hAnsi="Arial" w:cs="Arial"/>
                <w:color w:val="000000"/>
                <w:sz w:val="16"/>
                <w:szCs w:val="20"/>
                <w:lang w:val="en-ZA" w:eastAsia="en-ZA"/>
              </w:rPr>
              <w:t xml:space="preserve">  100 726 000 </w:t>
            </w:r>
          </w:p>
        </w:tc>
        <w:tc>
          <w:tcPr>
            <w:tcW w:w="315" w:type="pct"/>
            <w:noWrap/>
            <w:hideMark/>
          </w:tcPr>
          <w:p w14:paraId="1627D56E" w14:textId="77777777" w:rsidR="00B30D8A" w:rsidRPr="00B30D8A" w:rsidRDefault="00B30D8A" w:rsidP="00B30D8A">
            <w:pPr>
              <w:jc w:val="right"/>
              <w:rPr>
                <w:rFonts w:ascii="Arial" w:eastAsia="Times New Roman" w:hAnsi="Arial" w:cs="Arial"/>
                <w:color w:val="000000"/>
                <w:sz w:val="16"/>
                <w:szCs w:val="20"/>
                <w:lang w:val="en-ZA" w:eastAsia="en-ZA"/>
              </w:rPr>
            </w:pPr>
          </w:p>
        </w:tc>
        <w:tc>
          <w:tcPr>
            <w:tcW w:w="716" w:type="pct"/>
            <w:noWrap/>
            <w:hideMark/>
          </w:tcPr>
          <w:p w14:paraId="11339F93" w14:textId="77777777" w:rsidR="00B30D8A" w:rsidRPr="00B30D8A" w:rsidRDefault="00B30D8A" w:rsidP="00B30D8A">
            <w:pPr>
              <w:rPr>
                <w:rFonts w:eastAsia="Times New Roman" w:cs="Times New Roman"/>
                <w:color w:val="000000"/>
                <w:sz w:val="16"/>
                <w:lang w:val="en-ZA" w:eastAsia="en-ZA"/>
              </w:rPr>
            </w:pPr>
            <w:r w:rsidRPr="00B30D8A">
              <w:rPr>
                <w:rFonts w:eastAsia="Times New Roman" w:cs="Times New Roman"/>
                <w:color w:val="000000"/>
                <w:sz w:val="16"/>
                <w:lang w:val="en-ZA" w:eastAsia="en-ZA"/>
              </w:rPr>
              <w:t xml:space="preserve">      72 224 000 </w:t>
            </w:r>
          </w:p>
        </w:tc>
      </w:tr>
      <w:tr w:rsidR="00B30D8A" w:rsidRPr="00B30D8A" w14:paraId="764DB365" w14:textId="77777777" w:rsidTr="00B30D8A">
        <w:trPr>
          <w:trHeight w:val="510"/>
        </w:trPr>
        <w:tc>
          <w:tcPr>
            <w:tcW w:w="2198" w:type="pct"/>
            <w:hideMark/>
          </w:tcPr>
          <w:p w14:paraId="5B8DD6BF" w14:textId="77777777" w:rsidR="00B30D8A" w:rsidRPr="00B30D8A" w:rsidRDefault="00B30D8A" w:rsidP="00B30D8A">
            <w:pPr>
              <w:rPr>
                <w:rFonts w:ascii="Arial" w:eastAsia="Times New Roman" w:hAnsi="Arial" w:cs="Arial"/>
                <w:color w:val="000000"/>
                <w:sz w:val="16"/>
                <w:szCs w:val="20"/>
                <w:lang w:val="en-ZA" w:eastAsia="en-ZA"/>
              </w:rPr>
            </w:pPr>
            <w:r w:rsidRPr="00B30D8A">
              <w:rPr>
                <w:rFonts w:ascii="Arial" w:eastAsia="Times New Roman" w:hAnsi="Arial" w:cs="Arial"/>
                <w:color w:val="000000"/>
                <w:sz w:val="16"/>
                <w:szCs w:val="20"/>
                <w:lang w:val="en-ZA" w:eastAsia="en-ZA"/>
              </w:rPr>
              <w:t>Total Annual Operational Expenditure</w:t>
            </w:r>
          </w:p>
        </w:tc>
        <w:tc>
          <w:tcPr>
            <w:tcW w:w="739" w:type="pct"/>
            <w:hideMark/>
          </w:tcPr>
          <w:p w14:paraId="6B743AAC" w14:textId="77777777" w:rsidR="00B30D8A" w:rsidRPr="00B30D8A" w:rsidRDefault="00B30D8A" w:rsidP="00B30D8A">
            <w:pPr>
              <w:jc w:val="right"/>
              <w:rPr>
                <w:rFonts w:ascii="Arial" w:eastAsia="Times New Roman" w:hAnsi="Arial" w:cs="Arial"/>
                <w:color w:val="000000"/>
                <w:sz w:val="16"/>
                <w:szCs w:val="20"/>
                <w:lang w:val="en-ZA" w:eastAsia="en-ZA"/>
              </w:rPr>
            </w:pPr>
            <w:r w:rsidRPr="00B30D8A">
              <w:rPr>
                <w:rFonts w:ascii="Arial" w:eastAsia="Times New Roman" w:hAnsi="Arial" w:cs="Arial"/>
                <w:color w:val="000000"/>
                <w:sz w:val="16"/>
                <w:szCs w:val="20"/>
                <w:lang w:val="en-ZA" w:eastAsia="en-ZA"/>
              </w:rPr>
              <w:t>366 174 000</w:t>
            </w:r>
          </w:p>
        </w:tc>
        <w:tc>
          <w:tcPr>
            <w:tcW w:w="315" w:type="pct"/>
            <w:noWrap/>
            <w:hideMark/>
          </w:tcPr>
          <w:p w14:paraId="64FBB7CB" w14:textId="77777777" w:rsidR="00B30D8A" w:rsidRPr="00B30D8A" w:rsidRDefault="00B30D8A" w:rsidP="00B30D8A">
            <w:pPr>
              <w:jc w:val="right"/>
              <w:rPr>
                <w:rFonts w:ascii="Arial" w:eastAsia="Times New Roman" w:hAnsi="Arial" w:cs="Arial"/>
                <w:color w:val="000000"/>
                <w:sz w:val="16"/>
                <w:szCs w:val="20"/>
                <w:lang w:val="en-ZA" w:eastAsia="en-ZA"/>
              </w:rPr>
            </w:pPr>
          </w:p>
        </w:tc>
        <w:tc>
          <w:tcPr>
            <w:tcW w:w="717" w:type="pct"/>
            <w:hideMark/>
          </w:tcPr>
          <w:p w14:paraId="27C6C263" w14:textId="77777777" w:rsidR="00B30D8A" w:rsidRPr="00B30D8A" w:rsidRDefault="00B30D8A" w:rsidP="00B30D8A">
            <w:pPr>
              <w:jc w:val="right"/>
              <w:rPr>
                <w:rFonts w:ascii="Arial" w:eastAsia="Times New Roman" w:hAnsi="Arial" w:cs="Arial"/>
                <w:color w:val="000000"/>
                <w:sz w:val="16"/>
                <w:szCs w:val="20"/>
                <w:lang w:val="en-ZA" w:eastAsia="en-ZA"/>
              </w:rPr>
            </w:pPr>
            <w:r w:rsidRPr="00B30D8A">
              <w:rPr>
                <w:rFonts w:ascii="Arial" w:eastAsia="Times New Roman" w:hAnsi="Arial" w:cs="Arial"/>
                <w:color w:val="000000"/>
                <w:sz w:val="16"/>
                <w:szCs w:val="20"/>
                <w:lang w:val="en-ZA" w:eastAsia="en-ZA"/>
              </w:rPr>
              <w:t>341 206 000</w:t>
            </w:r>
          </w:p>
        </w:tc>
        <w:tc>
          <w:tcPr>
            <w:tcW w:w="315" w:type="pct"/>
            <w:noWrap/>
            <w:hideMark/>
          </w:tcPr>
          <w:p w14:paraId="0F1C0910" w14:textId="77777777" w:rsidR="00B30D8A" w:rsidRPr="00B30D8A" w:rsidRDefault="00B30D8A" w:rsidP="00B30D8A">
            <w:pPr>
              <w:jc w:val="right"/>
              <w:rPr>
                <w:rFonts w:ascii="Arial" w:eastAsia="Times New Roman" w:hAnsi="Arial" w:cs="Arial"/>
                <w:color w:val="000000"/>
                <w:sz w:val="16"/>
                <w:szCs w:val="20"/>
                <w:lang w:val="en-ZA" w:eastAsia="en-ZA"/>
              </w:rPr>
            </w:pPr>
          </w:p>
        </w:tc>
        <w:tc>
          <w:tcPr>
            <w:tcW w:w="716" w:type="pct"/>
            <w:noWrap/>
            <w:hideMark/>
          </w:tcPr>
          <w:p w14:paraId="41946E06" w14:textId="77777777" w:rsidR="00B30D8A" w:rsidRPr="00B30D8A" w:rsidRDefault="00B30D8A" w:rsidP="00B30D8A">
            <w:pPr>
              <w:rPr>
                <w:rFonts w:eastAsia="Times New Roman" w:cs="Times New Roman"/>
                <w:color w:val="000000"/>
                <w:sz w:val="16"/>
                <w:lang w:val="en-ZA" w:eastAsia="en-ZA"/>
              </w:rPr>
            </w:pPr>
            <w:r w:rsidRPr="00B30D8A">
              <w:rPr>
                <w:rFonts w:eastAsia="Times New Roman" w:cs="Times New Roman"/>
                <w:color w:val="000000"/>
                <w:sz w:val="16"/>
                <w:lang w:val="en-ZA" w:eastAsia="en-ZA"/>
              </w:rPr>
              <w:t xml:space="preserve">   283 515 000 </w:t>
            </w:r>
          </w:p>
        </w:tc>
      </w:tr>
      <w:tr w:rsidR="00B30D8A" w:rsidRPr="00B30D8A" w14:paraId="7CDE7989" w14:textId="77777777" w:rsidTr="00B30D8A">
        <w:trPr>
          <w:trHeight w:val="300"/>
        </w:trPr>
        <w:tc>
          <w:tcPr>
            <w:tcW w:w="2198" w:type="pct"/>
            <w:noWrap/>
            <w:hideMark/>
          </w:tcPr>
          <w:p w14:paraId="6B54ADB3" w14:textId="77777777" w:rsidR="00B30D8A" w:rsidRPr="00B30D8A" w:rsidRDefault="00B30D8A" w:rsidP="00B30D8A">
            <w:pPr>
              <w:rPr>
                <w:rFonts w:eastAsia="Times New Roman" w:cs="Times New Roman"/>
                <w:b/>
                <w:bCs/>
                <w:color w:val="000000"/>
                <w:sz w:val="16"/>
                <w:lang w:val="en-ZA" w:eastAsia="en-ZA"/>
              </w:rPr>
            </w:pPr>
            <w:r w:rsidRPr="00B30D8A">
              <w:rPr>
                <w:rFonts w:eastAsia="Times New Roman" w:cs="Times New Roman"/>
                <w:b/>
                <w:bCs/>
                <w:color w:val="000000"/>
                <w:sz w:val="16"/>
                <w:lang w:val="en-ZA" w:eastAsia="en-ZA"/>
              </w:rPr>
              <w:t>Ratio (months)</w:t>
            </w:r>
          </w:p>
        </w:tc>
        <w:tc>
          <w:tcPr>
            <w:tcW w:w="739" w:type="pct"/>
            <w:noWrap/>
            <w:hideMark/>
          </w:tcPr>
          <w:p w14:paraId="2A989A79" w14:textId="77777777" w:rsidR="00B30D8A" w:rsidRPr="00B30D8A" w:rsidRDefault="00B30D8A" w:rsidP="00B30D8A">
            <w:pPr>
              <w:jc w:val="right"/>
              <w:rPr>
                <w:rFonts w:eastAsia="Times New Roman" w:cs="Times New Roman"/>
                <w:b/>
                <w:bCs/>
                <w:color w:val="000000"/>
                <w:sz w:val="16"/>
                <w:lang w:val="en-ZA" w:eastAsia="en-ZA"/>
              </w:rPr>
            </w:pPr>
            <w:r w:rsidRPr="00B30D8A">
              <w:rPr>
                <w:rFonts w:eastAsia="Times New Roman" w:cs="Times New Roman"/>
                <w:b/>
                <w:bCs/>
                <w:color w:val="000000"/>
                <w:sz w:val="16"/>
                <w:lang w:val="en-ZA" w:eastAsia="en-ZA"/>
              </w:rPr>
              <w:t>3</w:t>
            </w:r>
          </w:p>
        </w:tc>
        <w:tc>
          <w:tcPr>
            <w:tcW w:w="315" w:type="pct"/>
            <w:noWrap/>
            <w:hideMark/>
          </w:tcPr>
          <w:p w14:paraId="3B6AE3E8" w14:textId="77777777" w:rsidR="00B30D8A" w:rsidRPr="00B30D8A" w:rsidRDefault="00B30D8A" w:rsidP="00B30D8A">
            <w:pPr>
              <w:jc w:val="right"/>
              <w:rPr>
                <w:rFonts w:eastAsia="Times New Roman" w:cs="Times New Roman"/>
                <w:b/>
                <w:bCs/>
                <w:color w:val="000000"/>
                <w:sz w:val="16"/>
                <w:lang w:val="en-ZA" w:eastAsia="en-ZA"/>
              </w:rPr>
            </w:pPr>
          </w:p>
        </w:tc>
        <w:tc>
          <w:tcPr>
            <w:tcW w:w="717" w:type="pct"/>
            <w:noWrap/>
            <w:hideMark/>
          </w:tcPr>
          <w:p w14:paraId="0EB60DDB" w14:textId="77777777" w:rsidR="00B30D8A" w:rsidRPr="00B30D8A" w:rsidRDefault="00B30D8A" w:rsidP="00B30D8A">
            <w:pPr>
              <w:jc w:val="right"/>
              <w:rPr>
                <w:rFonts w:eastAsia="Times New Roman" w:cs="Times New Roman"/>
                <w:b/>
                <w:bCs/>
                <w:color w:val="000000"/>
                <w:sz w:val="16"/>
                <w:lang w:val="en-ZA" w:eastAsia="en-ZA"/>
              </w:rPr>
            </w:pPr>
            <w:r w:rsidRPr="00B30D8A">
              <w:rPr>
                <w:rFonts w:eastAsia="Times New Roman" w:cs="Times New Roman"/>
                <w:b/>
                <w:bCs/>
                <w:color w:val="000000"/>
                <w:sz w:val="16"/>
                <w:lang w:val="en-ZA" w:eastAsia="en-ZA"/>
              </w:rPr>
              <w:t>3</w:t>
            </w:r>
          </w:p>
        </w:tc>
        <w:tc>
          <w:tcPr>
            <w:tcW w:w="315" w:type="pct"/>
            <w:noWrap/>
            <w:hideMark/>
          </w:tcPr>
          <w:p w14:paraId="793E447A" w14:textId="77777777" w:rsidR="00B30D8A" w:rsidRPr="00B30D8A" w:rsidRDefault="00B30D8A" w:rsidP="00B30D8A">
            <w:pPr>
              <w:jc w:val="right"/>
              <w:rPr>
                <w:rFonts w:eastAsia="Times New Roman" w:cs="Times New Roman"/>
                <w:b/>
                <w:bCs/>
                <w:color w:val="000000"/>
                <w:sz w:val="16"/>
                <w:lang w:val="en-ZA" w:eastAsia="en-ZA"/>
              </w:rPr>
            </w:pPr>
          </w:p>
        </w:tc>
        <w:tc>
          <w:tcPr>
            <w:tcW w:w="716" w:type="pct"/>
            <w:noWrap/>
            <w:hideMark/>
          </w:tcPr>
          <w:p w14:paraId="64D5E5D1" w14:textId="77777777" w:rsidR="00B30D8A" w:rsidRPr="00B30D8A" w:rsidRDefault="00B30D8A" w:rsidP="00B30D8A">
            <w:pPr>
              <w:jc w:val="right"/>
              <w:rPr>
                <w:rFonts w:eastAsia="Times New Roman" w:cs="Times New Roman"/>
                <w:b/>
                <w:bCs/>
                <w:color w:val="000000"/>
                <w:sz w:val="16"/>
                <w:lang w:val="en-ZA" w:eastAsia="en-ZA"/>
              </w:rPr>
            </w:pPr>
            <w:r w:rsidRPr="00B30D8A">
              <w:rPr>
                <w:rFonts w:eastAsia="Times New Roman" w:cs="Times New Roman"/>
                <w:b/>
                <w:bCs/>
                <w:color w:val="000000"/>
                <w:sz w:val="16"/>
                <w:lang w:val="en-ZA" w:eastAsia="en-ZA"/>
              </w:rPr>
              <w:t>3</w:t>
            </w:r>
          </w:p>
        </w:tc>
      </w:tr>
    </w:tbl>
    <w:p w14:paraId="323043D8" w14:textId="6B59015C" w:rsidR="00B30D8A" w:rsidRDefault="00B30D8A" w:rsidP="00B30D8A">
      <w:pPr>
        <w:pStyle w:val="Caption"/>
      </w:pPr>
      <w:bookmarkStart w:id="523" w:name="_Toc510622333"/>
      <w:r>
        <w:t xml:space="preserve">Table </w:t>
      </w:r>
      <w:r w:rsidR="00B918A6">
        <w:fldChar w:fldCharType="begin"/>
      </w:r>
      <w:r w:rsidR="00B918A6">
        <w:instrText xml:space="preserve"> SEQ Table \* ARABIC </w:instrText>
      </w:r>
      <w:r w:rsidR="00B918A6">
        <w:fldChar w:fldCharType="separate"/>
      </w:r>
      <w:r w:rsidR="0067023A">
        <w:rPr>
          <w:noProof/>
        </w:rPr>
        <w:t>82</w:t>
      </w:r>
      <w:r w:rsidR="00B918A6">
        <w:rPr>
          <w:noProof/>
        </w:rPr>
        <w:fldChar w:fldCharType="end"/>
      </w:r>
      <w:r>
        <w:t>: Cost Coverage Ratio</w:t>
      </w:r>
      <w:bookmarkEnd w:id="523"/>
    </w:p>
    <w:p w14:paraId="33B2BF13" w14:textId="77777777" w:rsidR="00B30D8A" w:rsidRDefault="00B30D8A" w:rsidP="00B30D8A"/>
    <w:tbl>
      <w:tblPr>
        <w:tblStyle w:val="TableGrid13"/>
        <w:tblW w:w="10263" w:type="dxa"/>
        <w:tblLook w:val="04A0" w:firstRow="1" w:lastRow="0" w:firstColumn="1" w:lastColumn="0" w:noHBand="0" w:noVBand="1"/>
      </w:tblPr>
      <w:tblGrid>
        <w:gridCol w:w="4483"/>
        <w:gridCol w:w="1532"/>
        <w:gridCol w:w="648"/>
        <w:gridCol w:w="1476"/>
        <w:gridCol w:w="648"/>
        <w:gridCol w:w="1476"/>
      </w:tblGrid>
      <w:tr w:rsidR="00D954DE" w:rsidRPr="00B30D8A" w14:paraId="0006F259" w14:textId="77777777" w:rsidTr="00D954DE">
        <w:trPr>
          <w:trHeight w:val="285"/>
        </w:trPr>
        <w:tc>
          <w:tcPr>
            <w:tcW w:w="4483" w:type="dxa"/>
            <w:shd w:val="clear" w:color="auto" w:fill="DAEEF3" w:themeFill="accent5" w:themeFillTint="33"/>
            <w:noWrap/>
            <w:hideMark/>
          </w:tcPr>
          <w:p w14:paraId="291A3156" w14:textId="7AE195CA" w:rsidR="00D954DE" w:rsidRPr="00D954DE" w:rsidRDefault="00D954DE" w:rsidP="00B30D8A">
            <w:pPr>
              <w:rPr>
                <w:rFonts w:ascii="Arial" w:eastAsia="Times New Roman" w:hAnsi="Arial" w:cs="Arial"/>
                <w:b/>
                <w:color w:val="000000"/>
                <w:sz w:val="16"/>
                <w:szCs w:val="20"/>
                <w:lang w:val="en-ZA" w:eastAsia="en-ZA"/>
              </w:rPr>
            </w:pPr>
            <w:r w:rsidRPr="00D954DE">
              <w:rPr>
                <w:rFonts w:ascii="Arial" w:eastAsia="Times New Roman" w:hAnsi="Arial" w:cs="Arial"/>
                <w:b/>
                <w:color w:val="000000"/>
                <w:sz w:val="16"/>
                <w:szCs w:val="20"/>
                <w:lang w:val="en-ZA" w:eastAsia="en-ZA"/>
              </w:rPr>
              <w:t>Current Ratios</w:t>
            </w:r>
          </w:p>
        </w:tc>
        <w:tc>
          <w:tcPr>
            <w:tcW w:w="1532" w:type="dxa"/>
            <w:shd w:val="clear" w:color="auto" w:fill="DAEEF3" w:themeFill="accent5" w:themeFillTint="33"/>
            <w:noWrap/>
            <w:hideMark/>
          </w:tcPr>
          <w:p w14:paraId="6CE38249" w14:textId="77777777" w:rsidR="00D954DE" w:rsidRPr="00D954DE" w:rsidRDefault="00D954DE" w:rsidP="00B30D8A">
            <w:pPr>
              <w:jc w:val="right"/>
              <w:rPr>
                <w:rFonts w:ascii="Arial" w:eastAsia="Times New Roman" w:hAnsi="Arial" w:cs="Arial"/>
                <w:b/>
                <w:color w:val="000000"/>
                <w:sz w:val="16"/>
                <w:szCs w:val="20"/>
                <w:lang w:val="en-ZA" w:eastAsia="en-ZA"/>
              </w:rPr>
            </w:pPr>
            <w:r w:rsidRPr="00D954DE">
              <w:rPr>
                <w:rFonts w:ascii="Arial" w:eastAsia="Times New Roman" w:hAnsi="Arial" w:cs="Arial"/>
                <w:b/>
                <w:color w:val="000000"/>
                <w:sz w:val="16"/>
                <w:szCs w:val="20"/>
                <w:lang w:val="en-ZA" w:eastAsia="en-ZA"/>
              </w:rPr>
              <w:t>2017</w:t>
            </w:r>
          </w:p>
        </w:tc>
        <w:tc>
          <w:tcPr>
            <w:tcW w:w="648" w:type="dxa"/>
            <w:shd w:val="clear" w:color="auto" w:fill="DAEEF3" w:themeFill="accent5" w:themeFillTint="33"/>
            <w:noWrap/>
            <w:hideMark/>
          </w:tcPr>
          <w:p w14:paraId="6F0A26C0" w14:textId="77777777" w:rsidR="00D954DE" w:rsidRPr="00D954DE" w:rsidRDefault="00D954DE" w:rsidP="00B30D8A">
            <w:pPr>
              <w:jc w:val="right"/>
              <w:rPr>
                <w:rFonts w:ascii="Arial" w:eastAsia="Times New Roman" w:hAnsi="Arial" w:cs="Arial"/>
                <w:b/>
                <w:color w:val="000000"/>
                <w:sz w:val="16"/>
                <w:szCs w:val="20"/>
                <w:lang w:val="en-ZA" w:eastAsia="en-ZA"/>
              </w:rPr>
            </w:pPr>
          </w:p>
        </w:tc>
        <w:tc>
          <w:tcPr>
            <w:tcW w:w="1476" w:type="dxa"/>
            <w:shd w:val="clear" w:color="auto" w:fill="DAEEF3" w:themeFill="accent5" w:themeFillTint="33"/>
            <w:noWrap/>
            <w:hideMark/>
          </w:tcPr>
          <w:p w14:paraId="737D73E1" w14:textId="77777777" w:rsidR="00D954DE" w:rsidRPr="00D954DE" w:rsidRDefault="00D954DE" w:rsidP="00B30D8A">
            <w:pPr>
              <w:jc w:val="right"/>
              <w:rPr>
                <w:rFonts w:ascii="Arial" w:eastAsia="Times New Roman" w:hAnsi="Arial" w:cs="Arial"/>
                <w:b/>
                <w:color w:val="000000"/>
                <w:sz w:val="16"/>
                <w:szCs w:val="20"/>
                <w:lang w:val="en-ZA" w:eastAsia="en-ZA"/>
              </w:rPr>
            </w:pPr>
            <w:r w:rsidRPr="00D954DE">
              <w:rPr>
                <w:rFonts w:ascii="Arial" w:eastAsia="Times New Roman" w:hAnsi="Arial" w:cs="Arial"/>
                <w:b/>
                <w:color w:val="000000"/>
                <w:sz w:val="16"/>
                <w:szCs w:val="20"/>
                <w:lang w:val="en-ZA" w:eastAsia="en-ZA"/>
              </w:rPr>
              <w:t>2016</w:t>
            </w:r>
          </w:p>
        </w:tc>
        <w:tc>
          <w:tcPr>
            <w:tcW w:w="648" w:type="dxa"/>
            <w:shd w:val="clear" w:color="auto" w:fill="DAEEF3" w:themeFill="accent5" w:themeFillTint="33"/>
            <w:noWrap/>
            <w:hideMark/>
          </w:tcPr>
          <w:p w14:paraId="2ED380BE" w14:textId="77777777" w:rsidR="00D954DE" w:rsidRPr="00D954DE" w:rsidRDefault="00D954DE" w:rsidP="00B30D8A">
            <w:pPr>
              <w:jc w:val="right"/>
              <w:rPr>
                <w:rFonts w:ascii="Arial" w:eastAsia="Times New Roman" w:hAnsi="Arial" w:cs="Arial"/>
                <w:b/>
                <w:color w:val="000000"/>
                <w:sz w:val="16"/>
                <w:szCs w:val="20"/>
                <w:lang w:val="en-ZA" w:eastAsia="en-ZA"/>
              </w:rPr>
            </w:pPr>
          </w:p>
        </w:tc>
        <w:tc>
          <w:tcPr>
            <w:tcW w:w="1476" w:type="dxa"/>
            <w:shd w:val="clear" w:color="auto" w:fill="DAEEF3" w:themeFill="accent5" w:themeFillTint="33"/>
            <w:noWrap/>
            <w:hideMark/>
          </w:tcPr>
          <w:p w14:paraId="02FEB233" w14:textId="77777777" w:rsidR="00D954DE" w:rsidRPr="00D954DE" w:rsidRDefault="00D954DE" w:rsidP="00B30D8A">
            <w:pPr>
              <w:jc w:val="right"/>
              <w:rPr>
                <w:rFonts w:ascii="Arial" w:eastAsia="Times New Roman" w:hAnsi="Arial" w:cs="Arial"/>
                <w:b/>
                <w:color w:val="000000"/>
                <w:sz w:val="16"/>
                <w:szCs w:val="20"/>
                <w:lang w:val="en-ZA" w:eastAsia="en-ZA"/>
              </w:rPr>
            </w:pPr>
            <w:r w:rsidRPr="00D954DE">
              <w:rPr>
                <w:rFonts w:ascii="Arial" w:eastAsia="Times New Roman" w:hAnsi="Arial" w:cs="Arial"/>
                <w:b/>
                <w:color w:val="000000"/>
                <w:sz w:val="16"/>
                <w:szCs w:val="20"/>
                <w:lang w:val="en-ZA" w:eastAsia="en-ZA"/>
              </w:rPr>
              <w:t>2015</w:t>
            </w:r>
          </w:p>
        </w:tc>
      </w:tr>
      <w:tr w:rsidR="00D954DE" w:rsidRPr="00B30D8A" w14:paraId="4A2DD86C" w14:textId="77777777" w:rsidTr="00D954DE">
        <w:trPr>
          <w:trHeight w:val="285"/>
        </w:trPr>
        <w:tc>
          <w:tcPr>
            <w:tcW w:w="4483" w:type="dxa"/>
            <w:noWrap/>
            <w:hideMark/>
          </w:tcPr>
          <w:p w14:paraId="04128083" w14:textId="77777777" w:rsidR="00D954DE" w:rsidRPr="00B30D8A" w:rsidRDefault="00D954DE" w:rsidP="00B30D8A">
            <w:pPr>
              <w:rPr>
                <w:rFonts w:ascii="Arial" w:eastAsia="Times New Roman" w:hAnsi="Arial" w:cs="Arial"/>
                <w:color w:val="000000"/>
                <w:sz w:val="16"/>
                <w:szCs w:val="20"/>
                <w:lang w:val="en-ZA" w:eastAsia="en-ZA"/>
              </w:rPr>
            </w:pPr>
            <w:r w:rsidRPr="00B30D8A">
              <w:rPr>
                <w:rFonts w:ascii="Arial" w:eastAsia="Times New Roman" w:hAnsi="Arial" w:cs="Arial"/>
                <w:color w:val="000000"/>
                <w:sz w:val="16"/>
                <w:szCs w:val="20"/>
                <w:lang w:val="en-ZA" w:eastAsia="en-ZA"/>
              </w:rPr>
              <w:t>Current Assets</w:t>
            </w:r>
          </w:p>
        </w:tc>
        <w:tc>
          <w:tcPr>
            <w:tcW w:w="1532" w:type="dxa"/>
            <w:noWrap/>
            <w:hideMark/>
          </w:tcPr>
          <w:p w14:paraId="54D8D434" w14:textId="77777777" w:rsidR="00D954DE" w:rsidRPr="00B30D8A" w:rsidRDefault="00D954DE" w:rsidP="00B30D8A">
            <w:pPr>
              <w:rPr>
                <w:rFonts w:ascii="Arial" w:eastAsia="Times New Roman" w:hAnsi="Arial" w:cs="Arial"/>
                <w:color w:val="000000"/>
                <w:sz w:val="16"/>
                <w:szCs w:val="20"/>
                <w:lang w:val="en-ZA" w:eastAsia="en-ZA"/>
              </w:rPr>
            </w:pPr>
            <w:r w:rsidRPr="00B30D8A">
              <w:rPr>
                <w:rFonts w:ascii="Arial" w:eastAsia="Times New Roman" w:hAnsi="Arial" w:cs="Arial"/>
                <w:color w:val="000000"/>
                <w:sz w:val="16"/>
                <w:szCs w:val="20"/>
                <w:lang w:val="en-ZA" w:eastAsia="en-ZA"/>
              </w:rPr>
              <w:t xml:space="preserve">    112 512 000 </w:t>
            </w:r>
          </w:p>
        </w:tc>
        <w:tc>
          <w:tcPr>
            <w:tcW w:w="648" w:type="dxa"/>
            <w:noWrap/>
            <w:hideMark/>
          </w:tcPr>
          <w:p w14:paraId="1D51B056" w14:textId="77777777" w:rsidR="00D954DE" w:rsidRPr="00B30D8A" w:rsidRDefault="00D954DE" w:rsidP="00B30D8A">
            <w:pPr>
              <w:rPr>
                <w:rFonts w:ascii="Arial" w:eastAsia="Times New Roman" w:hAnsi="Arial" w:cs="Arial"/>
                <w:color w:val="000000"/>
                <w:sz w:val="16"/>
                <w:szCs w:val="20"/>
                <w:lang w:val="en-ZA" w:eastAsia="en-ZA"/>
              </w:rPr>
            </w:pPr>
          </w:p>
        </w:tc>
        <w:tc>
          <w:tcPr>
            <w:tcW w:w="1476" w:type="dxa"/>
            <w:noWrap/>
            <w:hideMark/>
          </w:tcPr>
          <w:p w14:paraId="61E6A284" w14:textId="77777777" w:rsidR="00D954DE" w:rsidRPr="00B30D8A" w:rsidRDefault="00D954DE" w:rsidP="00B30D8A">
            <w:pPr>
              <w:rPr>
                <w:rFonts w:ascii="Arial" w:eastAsia="Times New Roman" w:hAnsi="Arial" w:cs="Arial"/>
                <w:color w:val="000000"/>
                <w:sz w:val="16"/>
                <w:szCs w:val="20"/>
                <w:lang w:val="en-ZA" w:eastAsia="en-ZA"/>
              </w:rPr>
            </w:pPr>
            <w:r w:rsidRPr="00B30D8A">
              <w:rPr>
                <w:rFonts w:ascii="Arial" w:eastAsia="Times New Roman" w:hAnsi="Arial" w:cs="Arial"/>
                <w:color w:val="000000"/>
                <w:sz w:val="16"/>
                <w:szCs w:val="20"/>
                <w:lang w:val="en-ZA" w:eastAsia="en-ZA"/>
              </w:rPr>
              <w:t xml:space="preserve">   148 140 000 </w:t>
            </w:r>
          </w:p>
        </w:tc>
        <w:tc>
          <w:tcPr>
            <w:tcW w:w="648" w:type="dxa"/>
            <w:noWrap/>
            <w:hideMark/>
          </w:tcPr>
          <w:p w14:paraId="67F58289" w14:textId="77777777" w:rsidR="00D954DE" w:rsidRPr="00B30D8A" w:rsidRDefault="00D954DE" w:rsidP="00B30D8A">
            <w:pPr>
              <w:rPr>
                <w:rFonts w:ascii="Arial" w:eastAsia="Times New Roman" w:hAnsi="Arial" w:cs="Arial"/>
                <w:color w:val="000000"/>
                <w:sz w:val="16"/>
                <w:szCs w:val="20"/>
                <w:lang w:val="en-ZA" w:eastAsia="en-ZA"/>
              </w:rPr>
            </w:pPr>
          </w:p>
        </w:tc>
        <w:tc>
          <w:tcPr>
            <w:tcW w:w="1476" w:type="dxa"/>
            <w:noWrap/>
            <w:hideMark/>
          </w:tcPr>
          <w:p w14:paraId="509DA0C7" w14:textId="77777777" w:rsidR="00D954DE" w:rsidRPr="00B30D8A" w:rsidRDefault="00D954DE" w:rsidP="00B30D8A">
            <w:pPr>
              <w:rPr>
                <w:rFonts w:ascii="Arial" w:eastAsia="Times New Roman" w:hAnsi="Arial" w:cs="Arial"/>
                <w:color w:val="000000"/>
                <w:sz w:val="16"/>
                <w:szCs w:val="20"/>
                <w:lang w:val="en-ZA" w:eastAsia="en-ZA"/>
              </w:rPr>
            </w:pPr>
            <w:r w:rsidRPr="00B30D8A">
              <w:rPr>
                <w:rFonts w:ascii="Arial" w:eastAsia="Times New Roman" w:hAnsi="Arial" w:cs="Arial"/>
                <w:color w:val="000000"/>
                <w:sz w:val="16"/>
                <w:szCs w:val="20"/>
                <w:lang w:val="en-ZA" w:eastAsia="en-ZA"/>
              </w:rPr>
              <w:t xml:space="preserve">   106 146 000 </w:t>
            </w:r>
          </w:p>
        </w:tc>
      </w:tr>
      <w:tr w:rsidR="00D954DE" w:rsidRPr="00B30D8A" w14:paraId="6A6CEC85" w14:textId="77777777" w:rsidTr="00D954DE">
        <w:trPr>
          <w:trHeight w:val="285"/>
        </w:trPr>
        <w:tc>
          <w:tcPr>
            <w:tcW w:w="4483" w:type="dxa"/>
            <w:noWrap/>
            <w:hideMark/>
          </w:tcPr>
          <w:p w14:paraId="7FF8C3A2" w14:textId="77777777" w:rsidR="00D954DE" w:rsidRPr="00B30D8A" w:rsidRDefault="00D954DE" w:rsidP="00B30D8A">
            <w:pPr>
              <w:rPr>
                <w:rFonts w:ascii="Arial" w:eastAsia="Times New Roman" w:hAnsi="Arial" w:cs="Arial"/>
                <w:color w:val="000000"/>
                <w:sz w:val="16"/>
                <w:szCs w:val="20"/>
                <w:lang w:val="en-ZA" w:eastAsia="en-ZA"/>
              </w:rPr>
            </w:pPr>
            <w:r w:rsidRPr="00B30D8A">
              <w:rPr>
                <w:rFonts w:ascii="Arial" w:eastAsia="Times New Roman" w:hAnsi="Arial" w:cs="Arial"/>
                <w:color w:val="000000"/>
                <w:sz w:val="16"/>
                <w:szCs w:val="20"/>
                <w:lang w:val="en-ZA" w:eastAsia="en-ZA"/>
              </w:rPr>
              <w:t>Current Liabilities</w:t>
            </w:r>
          </w:p>
        </w:tc>
        <w:tc>
          <w:tcPr>
            <w:tcW w:w="1532" w:type="dxa"/>
            <w:noWrap/>
            <w:hideMark/>
          </w:tcPr>
          <w:p w14:paraId="05762986" w14:textId="77777777" w:rsidR="00D954DE" w:rsidRPr="00B30D8A" w:rsidRDefault="00D954DE" w:rsidP="00B30D8A">
            <w:pPr>
              <w:rPr>
                <w:rFonts w:ascii="Arial" w:eastAsia="Times New Roman" w:hAnsi="Arial" w:cs="Arial"/>
                <w:color w:val="000000"/>
                <w:sz w:val="16"/>
                <w:szCs w:val="20"/>
                <w:lang w:val="en-ZA" w:eastAsia="en-ZA"/>
              </w:rPr>
            </w:pPr>
            <w:r w:rsidRPr="00B30D8A">
              <w:rPr>
                <w:rFonts w:ascii="Arial" w:eastAsia="Times New Roman" w:hAnsi="Arial" w:cs="Arial"/>
                <w:color w:val="000000"/>
                <w:sz w:val="16"/>
                <w:szCs w:val="20"/>
                <w:lang w:val="en-ZA" w:eastAsia="en-ZA"/>
              </w:rPr>
              <w:t xml:space="preserve">       54 883 000 </w:t>
            </w:r>
          </w:p>
        </w:tc>
        <w:tc>
          <w:tcPr>
            <w:tcW w:w="648" w:type="dxa"/>
            <w:noWrap/>
            <w:hideMark/>
          </w:tcPr>
          <w:p w14:paraId="21239CF9" w14:textId="77777777" w:rsidR="00D954DE" w:rsidRPr="00B30D8A" w:rsidRDefault="00D954DE" w:rsidP="00B30D8A">
            <w:pPr>
              <w:rPr>
                <w:rFonts w:ascii="Arial" w:eastAsia="Times New Roman" w:hAnsi="Arial" w:cs="Arial"/>
                <w:color w:val="000000"/>
                <w:sz w:val="16"/>
                <w:szCs w:val="20"/>
                <w:lang w:val="en-ZA" w:eastAsia="en-ZA"/>
              </w:rPr>
            </w:pPr>
          </w:p>
        </w:tc>
        <w:tc>
          <w:tcPr>
            <w:tcW w:w="1476" w:type="dxa"/>
            <w:noWrap/>
            <w:hideMark/>
          </w:tcPr>
          <w:p w14:paraId="6E49C523" w14:textId="77777777" w:rsidR="00D954DE" w:rsidRPr="00B30D8A" w:rsidRDefault="00D954DE" w:rsidP="00B30D8A">
            <w:pPr>
              <w:rPr>
                <w:rFonts w:ascii="Arial" w:eastAsia="Times New Roman" w:hAnsi="Arial" w:cs="Arial"/>
                <w:color w:val="000000"/>
                <w:sz w:val="16"/>
                <w:szCs w:val="20"/>
                <w:lang w:val="en-ZA" w:eastAsia="en-ZA"/>
              </w:rPr>
            </w:pPr>
            <w:r w:rsidRPr="00B30D8A">
              <w:rPr>
                <w:rFonts w:ascii="Arial" w:eastAsia="Times New Roman" w:hAnsi="Arial" w:cs="Arial"/>
                <w:color w:val="000000"/>
                <w:sz w:val="16"/>
                <w:szCs w:val="20"/>
                <w:lang w:val="en-ZA" w:eastAsia="en-ZA"/>
              </w:rPr>
              <w:t xml:space="preserve">      80 369 000 </w:t>
            </w:r>
          </w:p>
        </w:tc>
        <w:tc>
          <w:tcPr>
            <w:tcW w:w="648" w:type="dxa"/>
            <w:noWrap/>
            <w:hideMark/>
          </w:tcPr>
          <w:p w14:paraId="1F1CB0E6" w14:textId="77777777" w:rsidR="00D954DE" w:rsidRPr="00B30D8A" w:rsidRDefault="00D954DE" w:rsidP="00B30D8A">
            <w:pPr>
              <w:rPr>
                <w:rFonts w:ascii="Arial" w:eastAsia="Times New Roman" w:hAnsi="Arial" w:cs="Arial"/>
                <w:color w:val="000000"/>
                <w:sz w:val="16"/>
                <w:szCs w:val="20"/>
                <w:lang w:val="en-ZA" w:eastAsia="en-ZA"/>
              </w:rPr>
            </w:pPr>
          </w:p>
        </w:tc>
        <w:tc>
          <w:tcPr>
            <w:tcW w:w="1476" w:type="dxa"/>
            <w:noWrap/>
            <w:hideMark/>
          </w:tcPr>
          <w:p w14:paraId="2ABB31A9" w14:textId="77777777" w:rsidR="00D954DE" w:rsidRPr="00B30D8A" w:rsidRDefault="00D954DE" w:rsidP="00B30D8A">
            <w:pPr>
              <w:rPr>
                <w:rFonts w:ascii="Arial" w:eastAsia="Times New Roman" w:hAnsi="Arial" w:cs="Arial"/>
                <w:color w:val="000000"/>
                <w:sz w:val="16"/>
                <w:szCs w:val="20"/>
                <w:lang w:val="en-ZA" w:eastAsia="en-ZA"/>
              </w:rPr>
            </w:pPr>
            <w:r w:rsidRPr="00B30D8A">
              <w:rPr>
                <w:rFonts w:ascii="Arial" w:eastAsia="Times New Roman" w:hAnsi="Arial" w:cs="Arial"/>
                <w:color w:val="000000"/>
                <w:sz w:val="16"/>
                <w:szCs w:val="20"/>
                <w:lang w:val="en-ZA" w:eastAsia="en-ZA"/>
              </w:rPr>
              <w:t xml:space="preserve">      49 982 000 </w:t>
            </w:r>
          </w:p>
        </w:tc>
      </w:tr>
      <w:tr w:rsidR="00D954DE" w:rsidRPr="00B30D8A" w14:paraId="38F7050B" w14:textId="77777777" w:rsidTr="00D954DE">
        <w:trPr>
          <w:trHeight w:val="285"/>
        </w:trPr>
        <w:tc>
          <w:tcPr>
            <w:tcW w:w="4483" w:type="dxa"/>
            <w:noWrap/>
            <w:hideMark/>
          </w:tcPr>
          <w:p w14:paraId="64919FFD" w14:textId="77777777" w:rsidR="00D954DE" w:rsidRPr="00B30D8A" w:rsidRDefault="00D954DE" w:rsidP="00B30D8A">
            <w:pPr>
              <w:rPr>
                <w:rFonts w:ascii="Arial" w:eastAsia="Times New Roman" w:hAnsi="Arial" w:cs="Arial"/>
                <w:color w:val="000000"/>
                <w:sz w:val="16"/>
                <w:szCs w:val="20"/>
                <w:lang w:val="en-ZA" w:eastAsia="en-ZA"/>
              </w:rPr>
            </w:pPr>
            <w:r w:rsidRPr="00B30D8A">
              <w:rPr>
                <w:rFonts w:ascii="Arial" w:eastAsia="Times New Roman" w:hAnsi="Arial" w:cs="Arial"/>
                <w:color w:val="000000"/>
                <w:sz w:val="16"/>
                <w:szCs w:val="20"/>
                <w:lang w:val="en-ZA" w:eastAsia="en-ZA"/>
              </w:rPr>
              <w:t xml:space="preserve">Ratio </w:t>
            </w:r>
          </w:p>
        </w:tc>
        <w:tc>
          <w:tcPr>
            <w:tcW w:w="1532" w:type="dxa"/>
            <w:noWrap/>
            <w:hideMark/>
          </w:tcPr>
          <w:p w14:paraId="41B3A9D1" w14:textId="77777777" w:rsidR="00D954DE" w:rsidRPr="00B30D8A" w:rsidRDefault="00D954DE" w:rsidP="00B30D8A">
            <w:pPr>
              <w:jc w:val="center"/>
              <w:rPr>
                <w:rFonts w:ascii="Arial" w:eastAsia="Times New Roman" w:hAnsi="Arial" w:cs="Arial"/>
                <w:color w:val="000000"/>
                <w:sz w:val="16"/>
                <w:szCs w:val="20"/>
                <w:lang w:val="en-ZA" w:eastAsia="en-ZA"/>
              </w:rPr>
            </w:pPr>
            <w:r w:rsidRPr="00B30D8A">
              <w:rPr>
                <w:rFonts w:ascii="Arial" w:eastAsia="Times New Roman" w:hAnsi="Arial" w:cs="Arial"/>
                <w:color w:val="000000"/>
                <w:sz w:val="16"/>
                <w:szCs w:val="20"/>
                <w:lang w:val="en-ZA" w:eastAsia="en-ZA"/>
              </w:rPr>
              <w:t>2.1:1</w:t>
            </w:r>
          </w:p>
        </w:tc>
        <w:tc>
          <w:tcPr>
            <w:tcW w:w="648" w:type="dxa"/>
            <w:noWrap/>
            <w:hideMark/>
          </w:tcPr>
          <w:p w14:paraId="248688E6" w14:textId="77777777" w:rsidR="00D954DE" w:rsidRPr="00B30D8A" w:rsidRDefault="00D954DE" w:rsidP="00B30D8A">
            <w:pPr>
              <w:jc w:val="center"/>
              <w:rPr>
                <w:rFonts w:ascii="Arial" w:eastAsia="Times New Roman" w:hAnsi="Arial" w:cs="Arial"/>
                <w:color w:val="000000"/>
                <w:sz w:val="16"/>
                <w:szCs w:val="20"/>
                <w:lang w:val="en-ZA" w:eastAsia="en-ZA"/>
              </w:rPr>
            </w:pPr>
          </w:p>
        </w:tc>
        <w:tc>
          <w:tcPr>
            <w:tcW w:w="1476" w:type="dxa"/>
            <w:noWrap/>
            <w:hideMark/>
          </w:tcPr>
          <w:p w14:paraId="583EAE74" w14:textId="77777777" w:rsidR="00D954DE" w:rsidRPr="00B30D8A" w:rsidRDefault="00D954DE" w:rsidP="00B30D8A">
            <w:pPr>
              <w:jc w:val="center"/>
              <w:rPr>
                <w:rFonts w:ascii="Arial" w:eastAsia="Times New Roman" w:hAnsi="Arial" w:cs="Arial"/>
                <w:color w:val="000000"/>
                <w:sz w:val="16"/>
                <w:szCs w:val="20"/>
                <w:lang w:val="en-ZA" w:eastAsia="en-ZA"/>
              </w:rPr>
            </w:pPr>
            <w:r w:rsidRPr="00B30D8A">
              <w:rPr>
                <w:rFonts w:ascii="Arial" w:eastAsia="Times New Roman" w:hAnsi="Arial" w:cs="Arial"/>
                <w:color w:val="000000"/>
                <w:sz w:val="16"/>
                <w:szCs w:val="20"/>
                <w:lang w:val="en-ZA" w:eastAsia="en-ZA"/>
              </w:rPr>
              <w:t>1.8:1</w:t>
            </w:r>
          </w:p>
        </w:tc>
        <w:tc>
          <w:tcPr>
            <w:tcW w:w="648" w:type="dxa"/>
            <w:noWrap/>
            <w:hideMark/>
          </w:tcPr>
          <w:p w14:paraId="77B77C3E" w14:textId="77777777" w:rsidR="00D954DE" w:rsidRPr="00B30D8A" w:rsidRDefault="00D954DE" w:rsidP="00B30D8A">
            <w:pPr>
              <w:jc w:val="center"/>
              <w:rPr>
                <w:rFonts w:ascii="Arial" w:eastAsia="Times New Roman" w:hAnsi="Arial" w:cs="Arial"/>
                <w:color w:val="000000"/>
                <w:sz w:val="16"/>
                <w:szCs w:val="20"/>
                <w:lang w:val="en-ZA" w:eastAsia="en-ZA"/>
              </w:rPr>
            </w:pPr>
          </w:p>
        </w:tc>
        <w:tc>
          <w:tcPr>
            <w:tcW w:w="1476" w:type="dxa"/>
            <w:noWrap/>
            <w:hideMark/>
          </w:tcPr>
          <w:p w14:paraId="55264A23" w14:textId="77777777" w:rsidR="00D954DE" w:rsidRPr="00B30D8A" w:rsidRDefault="00D954DE" w:rsidP="00B30D8A">
            <w:pPr>
              <w:jc w:val="center"/>
              <w:rPr>
                <w:rFonts w:ascii="Arial" w:eastAsia="Times New Roman" w:hAnsi="Arial" w:cs="Arial"/>
                <w:color w:val="000000"/>
                <w:sz w:val="16"/>
                <w:szCs w:val="20"/>
                <w:lang w:val="en-ZA" w:eastAsia="en-ZA"/>
              </w:rPr>
            </w:pPr>
            <w:r w:rsidRPr="00B30D8A">
              <w:rPr>
                <w:rFonts w:ascii="Arial" w:eastAsia="Times New Roman" w:hAnsi="Arial" w:cs="Arial"/>
                <w:color w:val="000000"/>
                <w:sz w:val="16"/>
                <w:szCs w:val="20"/>
                <w:lang w:val="en-ZA" w:eastAsia="en-ZA"/>
              </w:rPr>
              <w:t>2.2:1</w:t>
            </w:r>
          </w:p>
        </w:tc>
      </w:tr>
    </w:tbl>
    <w:p w14:paraId="50960EDF" w14:textId="23AB0FF9" w:rsidR="00B30D8A" w:rsidRDefault="00D954DE" w:rsidP="00D954DE">
      <w:pPr>
        <w:pStyle w:val="Caption"/>
      </w:pPr>
      <w:bookmarkStart w:id="524" w:name="_Toc510622334"/>
      <w:r>
        <w:t xml:space="preserve">Table </w:t>
      </w:r>
      <w:r w:rsidR="00B918A6">
        <w:fldChar w:fldCharType="begin"/>
      </w:r>
      <w:r w:rsidR="00B918A6">
        <w:instrText xml:space="preserve"> SEQ Table \* ARABIC </w:instrText>
      </w:r>
      <w:r w:rsidR="00B918A6">
        <w:fldChar w:fldCharType="separate"/>
      </w:r>
      <w:r w:rsidR="0067023A">
        <w:rPr>
          <w:noProof/>
        </w:rPr>
        <w:t>83</w:t>
      </w:r>
      <w:r w:rsidR="00B918A6">
        <w:rPr>
          <w:noProof/>
        </w:rPr>
        <w:fldChar w:fldCharType="end"/>
      </w:r>
      <w:r>
        <w:t>: Current Ratios</w:t>
      </w:r>
      <w:bookmarkEnd w:id="524"/>
    </w:p>
    <w:tbl>
      <w:tblPr>
        <w:tblStyle w:val="TableGrid13"/>
        <w:tblW w:w="10110" w:type="dxa"/>
        <w:tblLook w:val="04A0" w:firstRow="1" w:lastRow="0" w:firstColumn="1" w:lastColumn="0" w:noHBand="0" w:noVBand="1"/>
      </w:tblPr>
      <w:tblGrid>
        <w:gridCol w:w="3140"/>
        <w:gridCol w:w="1370"/>
        <w:gridCol w:w="580"/>
        <w:gridCol w:w="1320"/>
        <w:gridCol w:w="580"/>
        <w:gridCol w:w="1320"/>
        <w:gridCol w:w="580"/>
        <w:gridCol w:w="1220"/>
      </w:tblGrid>
      <w:tr w:rsidR="00D954DE" w:rsidRPr="00D954DE" w14:paraId="5A52E827" w14:textId="77777777" w:rsidTr="00D954DE">
        <w:trPr>
          <w:trHeight w:val="300"/>
        </w:trPr>
        <w:tc>
          <w:tcPr>
            <w:tcW w:w="3140" w:type="dxa"/>
            <w:shd w:val="clear" w:color="auto" w:fill="DAEEF3" w:themeFill="accent5" w:themeFillTint="33"/>
            <w:noWrap/>
            <w:hideMark/>
          </w:tcPr>
          <w:p w14:paraId="1CF92558" w14:textId="1904C632" w:rsidR="00D954DE" w:rsidRPr="00D954DE" w:rsidRDefault="00D954DE" w:rsidP="00D954DE">
            <w:pPr>
              <w:rPr>
                <w:rFonts w:ascii="Arial" w:eastAsia="Times New Roman" w:hAnsi="Arial" w:cs="Arial"/>
                <w:b/>
                <w:color w:val="000000"/>
                <w:sz w:val="16"/>
                <w:szCs w:val="20"/>
                <w:lang w:val="en-ZA" w:eastAsia="en-ZA"/>
              </w:rPr>
            </w:pPr>
            <w:r w:rsidRPr="00D954DE">
              <w:rPr>
                <w:rFonts w:ascii="Arial" w:eastAsia="Times New Roman" w:hAnsi="Arial" w:cs="Arial"/>
                <w:b/>
                <w:color w:val="000000"/>
                <w:sz w:val="16"/>
                <w:szCs w:val="20"/>
                <w:lang w:val="en-ZA" w:eastAsia="en-ZA"/>
              </w:rPr>
              <w:t>Financial Ratios</w:t>
            </w:r>
          </w:p>
        </w:tc>
        <w:tc>
          <w:tcPr>
            <w:tcW w:w="1370" w:type="dxa"/>
            <w:shd w:val="clear" w:color="auto" w:fill="DAEEF3" w:themeFill="accent5" w:themeFillTint="33"/>
            <w:noWrap/>
            <w:hideMark/>
          </w:tcPr>
          <w:p w14:paraId="1D1A733E" w14:textId="77777777" w:rsidR="00D954DE" w:rsidRPr="00D954DE" w:rsidRDefault="00D954DE" w:rsidP="00D954DE">
            <w:pPr>
              <w:jc w:val="right"/>
              <w:rPr>
                <w:rFonts w:ascii="Arial" w:eastAsia="Times New Roman" w:hAnsi="Arial" w:cs="Arial"/>
                <w:b/>
                <w:color w:val="000000"/>
                <w:sz w:val="16"/>
                <w:szCs w:val="20"/>
                <w:lang w:val="en-ZA" w:eastAsia="en-ZA"/>
              </w:rPr>
            </w:pPr>
            <w:r w:rsidRPr="00D954DE">
              <w:rPr>
                <w:rFonts w:ascii="Arial" w:eastAsia="Times New Roman" w:hAnsi="Arial" w:cs="Arial"/>
                <w:b/>
                <w:color w:val="000000"/>
                <w:sz w:val="16"/>
                <w:szCs w:val="20"/>
                <w:lang w:val="en-ZA" w:eastAsia="en-ZA"/>
              </w:rPr>
              <w:t>2017</w:t>
            </w:r>
          </w:p>
        </w:tc>
        <w:tc>
          <w:tcPr>
            <w:tcW w:w="580" w:type="dxa"/>
            <w:shd w:val="clear" w:color="auto" w:fill="DAEEF3" w:themeFill="accent5" w:themeFillTint="33"/>
            <w:noWrap/>
            <w:hideMark/>
          </w:tcPr>
          <w:p w14:paraId="1AC3D5F0" w14:textId="77777777" w:rsidR="00D954DE" w:rsidRPr="00D954DE" w:rsidRDefault="00D954DE" w:rsidP="00D954DE">
            <w:pPr>
              <w:jc w:val="right"/>
              <w:rPr>
                <w:rFonts w:ascii="Arial" w:eastAsia="Times New Roman" w:hAnsi="Arial" w:cs="Arial"/>
                <w:b/>
                <w:color w:val="000000"/>
                <w:sz w:val="16"/>
                <w:szCs w:val="20"/>
                <w:lang w:val="en-ZA" w:eastAsia="en-ZA"/>
              </w:rPr>
            </w:pPr>
          </w:p>
        </w:tc>
        <w:tc>
          <w:tcPr>
            <w:tcW w:w="1320" w:type="dxa"/>
            <w:shd w:val="clear" w:color="auto" w:fill="DAEEF3" w:themeFill="accent5" w:themeFillTint="33"/>
            <w:noWrap/>
            <w:hideMark/>
          </w:tcPr>
          <w:p w14:paraId="65F30571" w14:textId="77777777" w:rsidR="00D954DE" w:rsidRPr="00D954DE" w:rsidRDefault="00D954DE" w:rsidP="00D954DE">
            <w:pPr>
              <w:jc w:val="right"/>
              <w:rPr>
                <w:rFonts w:ascii="Arial" w:eastAsia="Times New Roman" w:hAnsi="Arial" w:cs="Arial"/>
                <w:b/>
                <w:color w:val="000000"/>
                <w:sz w:val="16"/>
                <w:szCs w:val="20"/>
                <w:lang w:val="en-ZA" w:eastAsia="en-ZA"/>
              </w:rPr>
            </w:pPr>
            <w:r w:rsidRPr="00D954DE">
              <w:rPr>
                <w:rFonts w:ascii="Arial" w:eastAsia="Times New Roman" w:hAnsi="Arial" w:cs="Arial"/>
                <w:b/>
                <w:color w:val="000000"/>
                <w:sz w:val="16"/>
                <w:szCs w:val="20"/>
                <w:lang w:val="en-ZA" w:eastAsia="en-ZA"/>
              </w:rPr>
              <w:t>2018</w:t>
            </w:r>
          </w:p>
        </w:tc>
        <w:tc>
          <w:tcPr>
            <w:tcW w:w="580" w:type="dxa"/>
            <w:shd w:val="clear" w:color="auto" w:fill="DAEEF3" w:themeFill="accent5" w:themeFillTint="33"/>
            <w:noWrap/>
            <w:hideMark/>
          </w:tcPr>
          <w:p w14:paraId="3724B52A" w14:textId="77777777" w:rsidR="00D954DE" w:rsidRPr="00D954DE" w:rsidRDefault="00D954DE" w:rsidP="00D954DE">
            <w:pPr>
              <w:jc w:val="right"/>
              <w:rPr>
                <w:rFonts w:ascii="Arial" w:eastAsia="Times New Roman" w:hAnsi="Arial" w:cs="Arial"/>
                <w:b/>
                <w:color w:val="000000"/>
                <w:sz w:val="16"/>
                <w:szCs w:val="20"/>
                <w:lang w:val="en-ZA" w:eastAsia="en-ZA"/>
              </w:rPr>
            </w:pPr>
          </w:p>
        </w:tc>
        <w:tc>
          <w:tcPr>
            <w:tcW w:w="1320" w:type="dxa"/>
            <w:shd w:val="clear" w:color="auto" w:fill="DAEEF3" w:themeFill="accent5" w:themeFillTint="33"/>
            <w:noWrap/>
            <w:hideMark/>
          </w:tcPr>
          <w:p w14:paraId="1646E26E" w14:textId="77777777" w:rsidR="00D954DE" w:rsidRPr="00D954DE" w:rsidRDefault="00D954DE" w:rsidP="00D954DE">
            <w:pPr>
              <w:jc w:val="right"/>
              <w:rPr>
                <w:rFonts w:ascii="Arial" w:eastAsia="Times New Roman" w:hAnsi="Arial" w:cs="Arial"/>
                <w:b/>
                <w:color w:val="000000"/>
                <w:sz w:val="16"/>
                <w:szCs w:val="20"/>
                <w:lang w:val="en-ZA" w:eastAsia="en-ZA"/>
              </w:rPr>
            </w:pPr>
            <w:r w:rsidRPr="00D954DE">
              <w:rPr>
                <w:rFonts w:ascii="Arial" w:eastAsia="Times New Roman" w:hAnsi="Arial" w:cs="Arial"/>
                <w:b/>
                <w:color w:val="000000"/>
                <w:sz w:val="16"/>
                <w:szCs w:val="20"/>
                <w:lang w:val="en-ZA" w:eastAsia="en-ZA"/>
              </w:rPr>
              <w:t>2019</w:t>
            </w:r>
          </w:p>
        </w:tc>
        <w:tc>
          <w:tcPr>
            <w:tcW w:w="580" w:type="dxa"/>
            <w:shd w:val="clear" w:color="auto" w:fill="DAEEF3" w:themeFill="accent5" w:themeFillTint="33"/>
            <w:noWrap/>
            <w:hideMark/>
          </w:tcPr>
          <w:p w14:paraId="38694517" w14:textId="77777777" w:rsidR="00D954DE" w:rsidRPr="00D954DE" w:rsidRDefault="00D954DE" w:rsidP="00D954DE">
            <w:pPr>
              <w:jc w:val="right"/>
              <w:rPr>
                <w:rFonts w:ascii="Arial" w:eastAsia="Times New Roman" w:hAnsi="Arial" w:cs="Arial"/>
                <w:b/>
                <w:color w:val="000000"/>
                <w:sz w:val="16"/>
                <w:szCs w:val="20"/>
                <w:lang w:val="en-ZA" w:eastAsia="en-ZA"/>
              </w:rPr>
            </w:pPr>
          </w:p>
        </w:tc>
        <w:tc>
          <w:tcPr>
            <w:tcW w:w="1220" w:type="dxa"/>
            <w:shd w:val="clear" w:color="auto" w:fill="DAEEF3" w:themeFill="accent5" w:themeFillTint="33"/>
            <w:noWrap/>
            <w:hideMark/>
          </w:tcPr>
          <w:p w14:paraId="398C66DC" w14:textId="77777777" w:rsidR="00D954DE" w:rsidRPr="00D954DE" w:rsidRDefault="00D954DE" w:rsidP="00D954DE">
            <w:pPr>
              <w:jc w:val="right"/>
              <w:rPr>
                <w:rFonts w:ascii="Arial" w:eastAsia="Times New Roman" w:hAnsi="Arial" w:cs="Arial"/>
                <w:b/>
                <w:color w:val="000000"/>
                <w:sz w:val="16"/>
                <w:szCs w:val="20"/>
                <w:lang w:val="en-ZA" w:eastAsia="en-ZA"/>
              </w:rPr>
            </w:pPr>
            <w:r w:rsidRPr="00D954DE">
              <w:rPr>
                <w:rFonts w:ascii="Arial" w:eastAsia="Times New Roman" w:hAnsi="Arial" w:cs="Arial"/>
                <w:b/>
                <w:color w:val="000000"/>
                <w:sz w:val="16"/>
                <w:szCs w:val="20"/>
                <w:lang w:val="en-ZA" w:eastAsia="en-ZA"/>
              </w:rPr>
              <w:t>2020</w:t>
            </w:r>
          </w:p>
        </w:tc>
      </w:tr>
      <w:tr w:rsidR="00D954DE" w:rsidRPr="00D954DE" w14:paraId="083BD424" w14:textId="77777777" w:rsidTr="00D954DE">
        <w:trPr>
          <w:trHeight w:val="300"/>
        </w:trPr>
        <w:tc>
          <w:tcPr>
            <w:tcW w:w="3140" w:type="dxa"/>
            <w:noWrap/>
            <w:hideMark/>
          </w:tcPr>
          <w:p w14:paraId="39A0FF07" w14:textId="77777777" w:rsidR="00D954DE" w:rsidRPr="00D954DE" w:rsidRDefault="00D954DE" w:rsidP="00D954DE">
            <w:pP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Current ratio</w:t>
            </w:r>
          </w:p>
        </w:tc>
        <w:tc>
          <w:tcPr>
            <w:tcW w:w="1370" w:type="dxa"/>
            <w:noWrap/>
            <w:hideMark/>
          </w:tcPr>
          <w:p w14:paraId="706487BB"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2.1:1</w:t>
            </w:r>
          </w:p>
        </w:tc>
        <w:tc>
          <w:tcPr>
            <w:tcW w:w="580" w:type="dxa"/>
            <w:noWrap/>
            <w:hideMark/>
          </w:tcPr>
          <w:p w14:paraId="5BB8091E" w14:textId="77777777" w:rsidR="00D954DE" w:rsidRPr="00D954DE" w:rsidRDefault="00D954DE" w:rsidP="00D954DE">
            <w:pPr>
              <w:jc w:val="center"/>
              <w:rPr>
                <w:rFonts w:ascii="Arial" w:eastAsia="Times New Roman" w:hAnsi="Arial" w:cs="Arial"/>
                <w:color w:val="000000"/>
                <w:sz w:val="16"/>
                <w:szCs w:val="20"/>
                <w:lang w:val="en-ZA" w:eastAsia="en-ZA"/>
              </w:rPr>
            </w:pPr>
          </w:p>
        </w:tc>
        <w:tc>
          <w:tcPr>
            <w:tcW w:w="1320" w:type="dxa"/>
            <w:noWrap/>
            <w:hideMark/>
          </w:tcPr>
          <w:p w14:paraId="3E42AB3A"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1.6:1</w:t>
            </w:r>
          </w:p>
        </w:tc>
        <w:tc>
          <w:tcPr>
            <w:tcW w:w="580" w:type="dxa"/>
            <w:noWrap/>
            <w:hideMark/>
          </w:tcPr>
          <w:p w14:paraId="1EAF960E" w14:textId="77777777" w:rsidR="00D954DE" w:rsidRPr="00D954DE" w:rsidRDefault="00D954DE" w:rsidP="00D954DE">
            <w:pPr>
              <w:jc w:val="center"/>
              <w:rPr>
                <w:rFonts w:ascii="Arial" w:eastAsia="Times New Roman" w:hAnsi="Arial" w:cs="Arial"/>
                <w:color w:val="000000"/>
                <w:sz w:val="16"/>
                <w:szCs w:val="20"/>
                <w:lang w:val="en-ZA" w:eastAsia="en-ZA"/>
              </w:rPr>
            </w:pPr>
          </w:p>
        </w:tc>
        <w:tc>
          <w:tcPr>
            <w:tcW w:w="1320" w:type="dxa"/>
            <w:noWrap/>
            <w:hideMark/>
          </w:tcPr>
          <w:p w14:paraId="511C6396"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1.1:1</w:t>
            </w:r>
          </w:p>
        </w:tc>
        <w:tc>
          <w:tcPr>
            <w:tcW w:w="580" w:type="dxa"/>
            <w:noWrap/>
            <w:hideMark/>
          </w:tcPr>
          <w:p w14:paraId="49255CCA" w14:textId="77777777" w:rsidR="00D954DE" w:rsidRPr="00D954DE" w:rsidRDefault="00D954DE" w:rsidP="00D954DE">
            <w:pPr>
              <w:jc w:val="center"/>
              <w:rPr>
                <w:rFonts w:ascii="Arial" w:eastAsia="Times New Roman" w:hAnsi="Arial" w:cs="Arial"/>
                <w:color w:val="000000"/>
                <w:sz w:val="16"/>
                <w:szCs w:val="20"/>
                <w:lang w:val="en-ZA" w:eastAsia="en-ZA"/>
              </w:rPr>
            </w:pPr>
          </w:p>
        </w:tc>
        <w:tc>
          <w:tcPr>
            <w:tcW w:w="1220" w:type="dxa"/>
            <w:noWrap/>
            <w:hideMark/>
          </w:tcPr>
          <w:p w14:paraId="39658F6B"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1.2:1</w:t>
            </w:r>
          </w:p>
        </w:tc>
      </w:tr>
      <w:tr w:rsidR="00D954DE" w:rsidRPr="00D954DE" w14:paraId="4D5E17C5" w14:textId="77777777" w:rsidTr="00D954DE">
        <w:trPr>
          <w:trHeight w:val="300"/>
        </w:trPr>
        <w:tc>
          <w:tcPr>
            <w:tcW w:w="3140" w:type="dxa"/>
            <w:noWrap/>
            <w:hideMark/>
          </w:tcPr>
          <w:p w14:paraId="7A461B80" w14:textId="77777777" w:rsidR="00D954DE" w:rsidRPr="00D954DE" w:rsidRDefault="00D954DE" w:rsidP="00D954DE">
            <w:pP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Capital expend to Total expend</w:t>
            </w:r>
          </w:p>
        </w:tc>
        <w:tc>
          <w:tcPr>
            <w:tcW w:w="1370" w:type="dxa"/>
            <w:noWrap/>
            <w:hideMark/>
          </w:tcPr>
          <w:p w14:paraId="6E9A0711"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4.9:1</w:t>
            </w:r>
          </w:p>
        </w:tc>
        <w:tc>
          <w:tcPr>
            <w:tcW w:w="580" w:type="dxa"/>
            <w:noWrap/>
            <w:hideMark/>
          </w:tcPr>
          <w:p w14:paraId="260E03E6" w14:textId="77777777" w:rsidR="00D954DE" w:rsidRPr="00D954DE" w:rsidRDefault="00D954DE" w:rsidP="00D954DE">
            <w:pPr>
              <w:jc w:val="center"/>
              <w:rPr>
                <w:rFonts w:ascii="Arial" w:eastAsia="Times New Roman" w:hAnsi="Arial" w:cs="Arial"/>
                <w:color w:val="000000"/>
                <w:sz w:val="16"/>
                <w:szCs w:val="20"/>
                <w:lang w:val="en-ZA" w:eastAsia="en-ZA"/>
              </w:rPr>
            </w:pPr>
          </w:p>
        </w:tc>
        <w:tc>
          <w:tcPr>
            <w:tcW w:w="1320" w:type="dxa"/>
            <w:noWrap/>
            <w:hideMark/>
          </w:tcPr>
          <w:p w14:paraId="02B8579D"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6.9:1</w:t>
            </w:r>
          </w:p>
        </w:tc>
        <w:tc>
          <w:tcPr>
            <w:tcW w:w="580" w:type="dxa"/>
            <w:noWrap/>
            <w:hideMark/>
          </w:tcPr>
          <w:p w14:paraId="7505D954" w14:textId="77777777" w:rsidR="00D954DE" w:rsidRPr="00D954DE" w:rsidRDefault="00D954DE" w:rsidP="00D954DE">
            <w:pPr>
              <w:jc w:val="center"/>
              <w:rPr>
                <w:rFonts w:ascii="Arial" w:eastAsia="Times New Roman" w:hAnsi="Arial" w:cs="Arial"/>
                <w:color w:val="000000"/>
                <w:sz w:val="16"/>
                <w:szCs w:val="20"/>
                <w:lang w:val="en-ZA" w:eastAsia="en-ZA"/>
              </w:rPr>
            </w:pPr>
          </w:p>
        </w:tc>
        <w:tc>
          <w:tcPr>
            <w:tcW w:w="1320" w:type="dxa"/>
            <w:noWrap/>
            <w:hideMark/>
          </w:tcPr>
          <w:p w14:paraId="7C6F6DAA"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5.6:1</w:t>
            </w:r>
          </w:p>
        </w:tc>
        <w:tc>
          <w:tcPr>
            <w:tcW w:w="580" w:type="dxa"/>
            <w:noWrap/>
            <w:hideMark/>
          </w:tcPr>
          <w:p w14:paraId="59CF1728" w14:textId="77777777" w:rsidR="00D954DE" w:rsidRPr="00D954DE" w:rsidRDefault="00D954DE" w:rsidP="00D954DE">
            <w:pPr>
              <w:jc w:val="center"/>
              <w:rPr>
                <w:rFonts w:ascii="Arial" w:eastAsia="Times New Roman" w:hAnsi="Arial" w:cs="Arial"/>
                <w:color w:val="000000"/>
                <w:sz w:val="16"/>
                <w:szCs w:val="20"/>
                <w:lang w:val="en-ZA" w:eastAsia="en-ZA"/>
              </w:rPr>
            </w:pPr>
          </w:p>
        </w:tc>
        <w:tc>
          <w:tcPr>
            <w:tcW w:w="1220" w:type="dxa"/>
            <w:noWrap/>
            <w:hideMark/>
          </w:tcPr>
          <w:p w14:paraId="78B831DE"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7.1:1</w:t>
            </w:r>
          </w:p>
        </w:tc>
      </w:tr>
      <w:tr w:rsidR="00D954DE" w:rsidRPr="00D954DE" w14:paraId="1F9F350F" w14:textId="77777777" w:rsidTr="00D954DE">
        <w:trPr>
          <w:trHeight w:val="300"/>
        </w:trPr>
        <w:tc>
          <w:tcPr>
            <w:tcW w:w="3140" w:type="dxa"/>
            <w:noWrap/>
            <w:hideMark/>
          </w:tcPr>
          <w:p w14:paraId="2DC2BFCD" w14:textId="77777777" w:rsidR="00D954DE" w:rsidRPr="00D954DE" w:rsidRDefault="00D954DE" w:rsidP="00D954DE">
            <w:pP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Debt to revenue</w:t>
            </w:r>
          </w:p>
        </w:tc>
        <w:tc>
          <w:tcPr>
            <w:tcW w:w="1370" w:type="dxa"/>
            <w:noWrap/>
            <w:hideMark/>
          </w:tcPr>
          <w:p w14:paraId="2344F025"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2%</w:t>
            </w:r>
          </w:p>
        </w:tc>
        <w:tc>
          <w:tcPr>
            <w:tcW w:w="580" w:type="dxa"/>
            <w:noWrap/>
            <w:hideMark/>
          </w:tcPr>
          <w:p w14:paraId="26BD78A9" w14:textId="77777777" w:rsidR="00D954DE" w:rsidRPr="00D954DE" w:rsidRDefault="00D954DE" w:rsidP="00D954DE">
            <w:pPr>
              <w:jc w:val="center"/>
              <w:rPr>
                <w:rFonts w:ascii="Arial" w:eastAsia="Times New Roman" w:hAnsi="Arial" w:cs="Arial"/>
                <w:color w:val="000000"/>
                <w:sz w:val="16"/>
                <w:szCs w:val="20"/>
                <w:lang w:val="en-ZA" w:eastAsia="en-ZA"/>
              </w:rPr>
            </w:pPr>
          </w:p>
        </w:tc>
        <w:tc>
          <w:tcPr>
            <w:tcW w:w="1320" w:type="dxa"/>
            <w:noWrap/>
            <w:hideMark/>
          </w:tcPr>
          <w:p w14:paraId="4DCAAE3B"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2%</w:t>
            </w:r>
          </w:p>
        </w:tc>
        <w:tc>
          <w:tcPr>
            <w:tcW w:w="580" w:type="dxa"/>
            <w:noWrap/>
            <w:hideMark/>
          </w:tcPr>
          <w:p w14:paraId="738AE82B" w14:textId="77777777" w:rsidR="00D954DE" w:rsidRPr="00D954DE" w:rsidRDefault="00D954DE" w:rsidP="00D954DE">
            <w:pPr>
              <w:jc w:val="center"/>
              <w:rPr>
                <w:rFonts w:ascii="Arial" w:eastAsia="Times New Roman" w:hAnsi="Arial" w:cs="Arial"/>
                <w:color w:val="000000"/>
                <w:sz w:val="16"/>
                <w:szCs w:val="20"/>
                <w:lang w:val="en-ZA" w:eastAsia="en-ZA"/>
              </w:rPr>
            </w:pPr>
          </w:p>
        </w:tc>
        <w:tc>
          <w:tcPr>
            <w:tcW w:w="1320" w:type="dxa"/>
            <w:noWrap/>
            <w:hideMark/>
          </w:tcPr>
          <w:p w14:paraId="32F9B88D"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1.70%</w:t>
            </w:r>
          </w:p>
        </w:tc>
        <w:tc>
          <w:tcPr>
            <w:tcW w:w="580" w:type="dxa"/>
            <w:noWrap/>
            <w:hideMark/>
          </w:tcPr>
          <w:p w14:paraId="3129C7AC" w14:textId="77777777" w:rsidR="00D954DE" w:rsidRPr="00D954DE" w:rsidRDefault="00D954DE" w:rsidP="00D954DE">
            <w:pPr>
              <w:jc w:val="center"/>
              <w:rPr>
                <w:rFonts w:ascii="Arial" w:eastAsia="Times New Roman" w:hAnsi="Arial" w:cs="Arial"/>
                <w:color w:val="000000"/>
                <w:sz w:val="16"/>
                <w:szCs w:val="20"/>
                <w:lang w:val="en-ZA" w:eastAsia="en-ZA"/>
              </w:rPr>
            </w:pPr>
          </w:p>
        </w:tc>
        <w:tc>
          <w:tcPr>
            <w:tcW w:w="1220" w:type="dxa"/>
            <w:noWrap/>
            <w:hideMark/>
          </w:tcPr>
          <w:p w14:paraId="2ADDF225"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1.40%</w:t>
            </w:r>
          </w:p>
        </w:tc>
      </w:tr>
      <w:tr w:rsidR="00D954DE" w:rsidRPr="00D954DE" w14:paraId="1596FC2F" w14:textId="77777777" w:rsidTr="00D954DE">
        <w:trPr>
          <w:trHeight w:val="300"/>
        </w:trPr>
        <w:tc>
          <w:tcPr>
            <w:tcW w:w="3140" w:type="dxa"/>
            <w:noWrap/>
            <w:hideMark/>
          </w:tcPr>
          <w:p w14:paraId="39C33C18" w14:textId="77777777" w:rsidR="00D954DE" w:rsidRPr="00D954DE" w:rsidRDefault="00D954DE" w:rsidP="00D954DE">
            <w:pP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Collection rate</w:t>
            </w:r>
          </w:p>
        </w:tc>
        <w:tc>
          <w:tcPr>
            <w:tcW w:w="1370" w:type="dxa"/>
            <w:noWrap/>
            <w:hideMark/>
          </w:tcPr>
          <w:p w14:paraId="11E52EAD"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90%</w:t>
            </w:r>
          </w:p>
        </w:tc>
        <w:tc>
          <w:tcPr>
            <w:tcW w:w="580" w:type="dxa"/>
            <w:noWrap/>
            <w:hideMark/>
          </w:tcPr>
          <w:p w14:paraId="203C610A" w14:textId="77777777" w:rsidR="00D954DE" w:rsidRPr="00D954DE" w:rsidRDefault="00D954DE" w:rsidP="00D954DE">
            <w:pPr>
              <w:jc w:val="center"/>
              <w:rPr>
                <w:rFonts w:ascii="Arial" w:eastAsia="Times New Roman" w:hAnsi="Arial" w:cs="Arial"/>
                <w:color w:val="000000"/>
                <w:sz w:val="16"/>
                <w:szCs w:val="20"/>
                <w:lang w:val="en-ZA" w:eastAsia="en-ZA"/>
              </w:rPr>
            </w:pPr>
          </w:p>
        </w:tc>
        <w:tc>
          <w:tcPr>
            <w:tcW w:w="1320" w:type="dxa"/>
            <w:noWrap/>
            <w:hideMark/>
          </w:tcPr>
          <w:p w14:paraId="47638D55"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92%</w:t>
            </w:r>
          </w:p>
        </w:tc>
        <w:tc>
          <w:tcPr>
            <w:tcW w:w="580" w:type="dxa"/>
            <w:noWrap/>
            <w:hideMark/>
          </w:tcPr>
          <w:p w14:paraId="5131C168" w14:textId="77777777" w:rsidR="00D954DE" w:rsidRPr="00D954DE" w:rsidRDefault="00D954DE" w:rsidP="00D954DE">
            <w:pPr>
              <w:jc w:val="center"/>
              <w:rPr>
                <w:rFonts w:ascii="Arial" w:eastAsia="Times New Roman" w:hAnsi="Arial" w:cs="Arial"/>
                <w:color w:val="000000"/>
                <w:sz w:val="16"/>
                <w:szCs w:val="20"/>
                <w:lang w:val="en-ZA" w:eastAsia="en-ZA"/>
              </w:rPr>
            </w:pPr>
          </w:p>
        </w:tc>
        <w:tc>
          <w:tcPr>
            <w:tcW w:w="1320" w:type="dxa"/>
            <w:noWrap/>
            <w:hideMark/>
          </w:tcPr>
          <w:p w14:paraId="7CD59037"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93%</w:t>
            </w:r>
          </w:p>
        </w:tc>
        <w:tc>
          <w:tcPr>
            <w:tcW w:w="580" w:type="dxa"/>
            <w:noWrap/>
            <w:hideMark/>
          </w:tcPr>
          <w:p w14:paraId="280A7B3A" w14:textId="77777777" w:rsidR="00D954DE" w:rsidRPr="00D954DE" w:rsidRDefault="00D954DE" w:rsidP="00D954DE">
            <w:pPr>
              <w:jc w:val="center"/>
              <w:rPr>
                <w:rFonts w:ascii="Arial" w:eastAsia="Times New Roman" w:hAnsi="Arial" w:cs="Arial"/>
                <w:color w:val="000000"/>
                <w:sz w:val="16"/>
                <w:szCs w:val="20"/>
                <w:lang w:val="en-ZA" w:eastAsia="en-ZA"/>
              </w:rPr>
            </w:pPr>
          </w:p>
        </w:tc>
        <w:tc>
          <w:tcPr>
            <w:tcW w:w="1220" w:type="dxa"/>
            <w:noWrap/>
            <w:hideMark/>
          </w:tcPr>
          <w:p w14:paraId="3526339E"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94%</w:t>
            </w:r>
          </w:p>
        </w:tc>
      </w:tr>
      <w:tr w:rsidR="00D954DE" w:rsidRPr="00D954DE" w14:paraId="06C8020A" w14:textId="77777777" w:rsidTr="00D954DE">
        <w:trPr>
          <w:trHeight w:val="300"/>
        </w:trPr>
        <w:tc>
          <w:tcPr>
            <w:tcW w:w="3140" w:type="dxa"/>
            <w:noWrap/>
            <w:hideMark/>
          </w:tcPr>
          <w:p w14:paraId="5C554B00" w14:textId="77777777" w:rsidR="00D954DE" w:rsidRPr="00D954DE" w:rsidRDefault="00D954DE" w:rsidP="00D954DE">
            <w:pP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Remuneration to total expend</w:t>
            </w:r>
          </w:p>
        </w:tc>
        <w:tc>
          <w:tcPr>
            <w:tcW w:w="1370" w:type="dxa"/>
            <w:noWrap/>
            <w:hideMark/>
          </w:tcPr>
          <w:p w14:paraId="4F2B141E"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30.10%</w:t>
            </w:r>
          </w:p>
        </w:tc>
        <w:tc>
          <w:tcPr>
            <w:tcW w:w="580" w:type="dxa"/>
            <w:noWrap/>
            <w:hideMark/>
          </w:tcPr>
          <w:p w14:paraId="42AFA9ED" w14:textId="77777777" w:rsidR="00D954DE" w:rsidRPr="00D954DE" w:rsidRDefault="00D954DE" w:rsidP="00D954DE">
            <w:pPr>
              <w:jc w:val="center"/>
              <w:rPr>
                <w:rFonts w:ascii="Arial" w:eastAsia="Times New Roman" w:hAnsi="Arial" w:cs="Arial"/>
                <w:color w:val="000000"/>
                <w:sz w:val="16"/>
                <w:szCs w:val="20"/>
                <w:lang w:val="en-ZA" w:eastAsia="en-ZA"/>
              </w:rPr>
            </w:pPr>
          </w:p>
        </w:tc>
        <w:tc>
          <w:tcPr>
            <w:tcW w:w="1320" w:type="dxa"/>
            <w:noWrap/>
            <w:hideMark/>
          </w:tcPr>
          <w:p w14:paraId="6816B992"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32.90%</w:t>
            </w:r>
          </w:p>
        </w:tc>
        <w:tc>
          <w:tcPr>
            <w:tcW w:w="580" w:type="dxa"/>
            <w:noWrap/>
            <w:hideMark/>
          </w:tcPr>
          <w:p w14:paraId="4AD9F306" w14:textId="77777777" w:rsidR="00D954DE" w:rsidRPr="00D954DE" w:rsidRDefault="00D954DE" w:rsidP="00D954DE">
            <w:pPr>
              <w:jc w:val="center"/>
              <w:rPr>
                <w:rFonts w:ascii="Arial" w:eastAsia="Times New Roman" w:hAnsi="Arial" w:cs="Arial"/>
                <w:color w:val="000000"/>
                <w:sz w:val="16"/>
                <w:szCs w:val="20"/>
                <w:lang w:val="en-ZA" w:eastAsia="en-ZA"/>
              </w:rPr>
            </w:pPr>
          </w:p>
        </w:tc>
        <w:tc>
          <w:tcPr>
            <w:tcW w:w="1320" w:type="dxa"/>
            <w:noWrap/>
            <w:hideMark/>
          </w:tcPr>
          <w:p w14:paraId="264D16FB"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33.90%</w:t>
            </w:r>
          </w:p>
        </w:tc>
        <w:tc>
          <w:tcPr>
            <w:tcW w:w="580" w:type="dxa"/>
            <w:noWrap/>
            <w:hideMark/>
          </w:tcPr>
          <w:p w14:paraId="767760F0" w14:textId="77777777" w:rsidR="00D954DE" w:rsidRPr="00D954DE" w:rsidRDefault="00D954DE" w:rsidP="00D954DE">
            <w:pPr>
              <w:jc w:val="center"/>
              <w:rPr>
                <w:rFonts w:ascii="Arial" w:eastAsia="Times New Roman" w:hAnsi="Arial" w:cs="Arial"/>
                <w:color w:val="000000"/>
                <w:sz w:val="16"/>
                <w:szCs w:val="20"/>
                <w:lang w:val="en-ZA" w:eastAsia="en-ZA"/>
              </w:rPr>
            </w:pPr>
          </w:p>
        </w:tc>
        <w:tc>
          <w:tcPr>
            <w:tcW w:w="1220" w:type="dxa"/>
            <w:noWrap/>
            <w:hideMark/>
          </w:tcPr>
          <w:p w14:paraId="5CCEDB82"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34.10%</w:t>
            </w:r>
          </w:p>
        </w:tc>
      </w:tr>
      <w:tr w:rsidR="00D954DE" w:rsidRPr="00D954DE" w14:paraId="570D4724" w14:textId="77777777" w:rsidTr="00D954DE">
        <w:trPr>
          <w:trHeight w:val="300"/>
        </w:trPr>
        <w:tc>
          <w:tcPr>
            <w:tcW w:w="3140" w:type="dxa"/>
            <w:noWrap/>
            <w:hideMark/>
          </w:tcPr>
          <w:p w14:paraId="4202FE1E" w14:textId="77777777" w:rsidR="00D954DE" w:rsidRPr="00D954DE" w:rsidRDefault="00D954DE" w:rsidP="00D954DE">
            <w:pP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Distribution losses: Electricity</w:t>
            </w:r>
          </w:p>
        </w:tc>
        <w:tc>
          <w:tcPr>
            <w:tcW w:w="1370" w:type="dxa"/>
            <w:noWrap/>
            <w:hideMark/>
          </w:tcPr>
          <w:p w14:paraId="07DB9F7E"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11.78%</w:t>
            </w:r>
          </w:p>
        </w:tc>
        <w:tc>
          <w:tcPr>
            <w:tcW w:w="580" w:type="dxa"/>
            <w:noWrap/>
            <w:hideMark/>
          </w:tcPr>
          <w:p w14:paraId="0F82490B" w14:textId="77777777" w:rsidR="00D954DE" w:rsidRPr="00D954DE" w:rsidRDefault="00D954DE" w:rsidP="00D954DE">
            <w:pPr>
              <w:jc w:val="center"/>
              <w:rPr>
                <w:rFonts w:ascii="Arial" w:eastAsia="Times New Roman" w:hAnsi="Arial" w:cs="Arial"/>
                <w:color w:val="000000"/>
                <w:sz w:val="16"/>
                <w:szCs w:val="20"/>
                <w:lang w:val="en-ZA" w:eastAsia="en-ZA"/>
              </w:rPr>
            </w:pPr>
          </w:p>
        </w:tc>
        <w:tc>
          <w:tcPr>
            <w:tcW w:w="1320" w:type="dxa"/>
            <w:noWrap/>
            <w:hideMark/>
          </w:tcPr>
          <w:p w14:paraId="1438DB2E"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12%</w:t>
            </w:r>
          </w:p>
        </w:tc>
        <w:tc>
          <w:tcPr>
            <w:tcW w:w="580" w:type="dxa"/>
            <w:noWrap/>
            <w:hideMark/>
          </w:tcPr>
          <w:p w14:paraId="643D1F51" w14:textId="77777777" w:rsidR="00D954DE" w:rsidRPr="00D954DE" w:rsidRDefault="00D954DE" w:rsidP="00D954DE">
            <w:pPr>
              <w:jc w:val="center"/>
              <w:rPr>
                <w:rFonts w:ascii="Arial" w:eastAsia="Times New Roman" w:hAnsi="Arial" w:cs="Arial"/>
                <w:color w:val="000000"/>
                <w:sz w:val="16"/>
                <w:szCs w:val="20"/>
                <w:lang w:val="en-ZA" w:eastAsia="en-ZA"/>
              </w:rPr>
            </w:pPr>
          </w:p>
        </w:tc>
        <w:tc>
          <w:tcPr>
            <w:tcW w:w="1320" w:type="dxa"/>
            <w:noWrap/>
            <w:hideMark/>
          </w:tcPr>
          <w:p w14:paraId="17E75BB1"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11%</w:t>
            </w:r>
          </w:p>
        </w:tc>
        <w:tc>
          <w:tcPr>
            <w:tcW w:w="580" w:type="dxa"/>
            <w:noWrap/>
            <w:hideMark/>
          </w:tcPr>
          <w:p w14:paraId="21B5530B" w14:textId="77777777" w:rsidR="00D954DE" w:rsidRPr="00D954DE" w:rsidRDefault="00D954DE" w:rsidP="00D954DE">
            <w:pPr>
              <w:jc w:val="center"/>
              <w:rPr>
                <w:rFonts w:ascii="Arial" w:eastAsia="Times New Roman" w:hAnsi="Arial" w:cs="Arial"/>
                <w:color w:val="000000"/>
                <w:sz w:val="16"/>
                <w:szCs w:val="20"/>
                <w:lang w:val="en-ZA" w:eastAsia="en-ZA"/>
              </w:rPr>
            </w:pPr>
          </w:p>
        </w:tc>
        <w:tc>
          <w:tcPr>
            <w:tcW w:w="1220" w:type="dxa"/>
            <w:noWrap/>
            <w:hideMark/>
          </w:tcPr>
          <w:p w14:paraId="443F9A3F"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10%</w:t>
            </w:r>
          </w:p>
        </w:tc>
      </w:tr>
      <w:tr w:rsidR="00D954DE" w:rsidRPr="00D954DE" w14:paraId="4F7286A4" w14:textId="77777777" w:rsidTr="00D954DE">
        <w:trPr>
          <w:trHeight w:val="300"/>
        </w:trPr>
        <w:tc>
          <w:tcPr>
            <w:tcW w:w="3140" w:type="dxa"/>
            <w:noWrap/>
            <w:hideMark/>
          </w:tcPr>
          <w:p w14:paraId="336F0B44" w14:textId="77777777" w:rsidR="00D954DE" w:rsidRPr="00D954DE" w:rsidRDefault="00D954DE" w:rsidP="00D954DE">
            <w:pP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Budget for maintenance</w:t>
            </w:r>
          </w:p>
        </w:tc>
        <w:tc>
          <w:tcPr>
            <w:tcW w:w="1370" w:type="dxa"/>
            <w:noWrap/>
            <w:hideMark/>
          </w:tcPr>
          <w:p w14:paraId="46100BB7" w14:textId="77777777" w:rsidR="00D954DE" w:rsidRPr="00D954DE" w:rsidRDefault="00D954DE" w:rsidP="00D954DE">
            <w:pP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 xml:space="preserve">       20 387 000 </w:t>
            </w:r>
          </w:p>
        </w:tc>
        <w:tc>
          <w:tcPr>
            <w:tcW w:w="580" w:type="dxa"/>
            <w:noWrap/>
            <w:hideMark/>
          </w:tcPr>
          <w:p w14:paraId="709E476A" w14:textId="77777777" w:rsidR="00D954DE" w:rsidRPr="00D954DE" w:rsidRDefault="00D954DE" w:rsidP="00D954DE">
            <w:pPr>
              <w:rPr>
                <w:rFonts w:ascii="Arial" w:eastAsia="Times New Roman" w:hAnsi="Arial" w:cs="Arial"/>
                <w:color w:val="000000"/>
                <w:sz w:val="16"/>
                <w:szCs w:val="20"/>
                <w:lang w:val="en-ZA" w:eastAsia="en-ZA"/>
              </w:rPr>
            </w:pPr>
          </w:p>
        </w:tc>
        <w:tc>
          <w:tcPr>
            <w:tcW w:w="1320" w:type="dxa"/>
            <w:noWrap/>
            <w:hideMark/>
          </w:tcPr>
          <w:p w14:paraId="0326A8D8" w14:textId="77777777" w:rsidR="00D954DE" w:rsidRPr="00D954DE" w:rsidRDefault="00D954DE" w:rsidP="00D954DE">
            <w:pP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 xml:space="preserve">      17 234 000 </w:t>
            </w:r>
          </w:p>
        </w:tc>
        <w:tc>
          <w:tcPr>
            <w:tcW w:w="580" w:type="dxa"/>
            <w:noWrap/>
            <w:hideMark/>
          </w:tcPr>
          <w:p w14:paraId="7D281957" w14:textId="77777777" w:rsidR="00D954DE" w:rsidRPr="00D954DE" w:rsidRDefault="00D954DE" w:rsidP="00D954DE">
            <w:pPr>
              <w:rPr>
                <w:rFonts w:ascii="Arial" w:eastAsia="Times New Roman" w:hAnsi="Arial" w:cs="Arial"/>
                <w:color w:val="000000"/>
                <w:sz w:val="16"/>
                <w:szCs w:val="20"/>
                <w:lang w:val="en-ZA" w:eastAsia="en-ZA"/>
              </w:rPr>
            </w:pPr>
          </w:p>
        </w:tc>
        <w:tc>
          <w:tcPr>
            <w:tcW w:w="1320" w:type="dxa"/>
            <w:noWrap/>
            <w:hideMark/>
          </w:tcPr>
          <w:p w14:paraId="06612BA0" w14:textId="77777777" w:rsidR="00D954DE" w:rsidRPr="00D954DE" w:rsidRDefault="00D954DE" w:rsidP="00D954DE">
            <w:pP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 xml:space="preserve">      19 199 000 </w:t>
            </w:r>
          </w:p>
        </w:tc>
        <w:tc>
          <w:tcPr>
            <w:tcW w:w="580" w:type="dxa"/>
            <w:noWrap/>
            <w:hideMark/>
          </w:tcPr>
          <w:p w14:paraId="58D35DD5" w14:textId="77777777" w:rsidR="00D954DE" w:rsidRPr="00D954DE" w:rsidRDefault="00D954DE" w:rsidP="00D954DE">
            <w:pPr>
              <w:rPr>
                <w:rFonts w:ascii="Arial" w:eastAsia="Times New Roman" w:hAnsi="Arial" w:cs="Arial"/>
                <w:color w:val="000000"/>
                <w:sz w:val="16"/>
                <w:szCs w:val="20"/>
                <w:lang w:val="en-ZA" w:eastAsia="en-ZA"/>
              </w:rPr>
            </w:pPr>
          </w:p>
        </w:tc>
        <w:tc>
          <w:tcPr>
            <w:tcW w:w="1220" w:type="dxa"/>
            <w:noWrap/>
            <w:hideMark/>
          </w:tcPr>
          <w:p w14:paraId="3FC3A3DF" w14:textId="77777777" w:rsidR="00D954DE" w:rsidRPr="00D954DE" w:rsidRDefault="00D954DE" w:rsidP="00D954DE">
            <w:pP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 xml:space="preserve">   20 435 000 </w:t>
            </w:r>
          </w:p>
        </w:tc>
      </w:tr>
      <w:tr w:rsidR="00D954DE" w:rsidRPr="00D954DE" w14:paraId="282B1D03" w14:textId="77777777" w:rsidTr="00D954DE">
        <w:trPr>
          <w:trHeight w:val="300"/>
        </w:trPr>
        <w:tc>
          <w:tcPr>
            <w:tcW w:w="3140" w:type="dxa"/>
            <w:noWrap/>
            <w:hideMark/>
          </w:tcPr>
          <w:p w14:paraId="77A4193E" w14:textId="77777777" w:rsidR="00D954DE" w:rsidRPr="00D954DE" w:rsidRDefault="00D954DE" w:rsidP="00D954DE">
            <w:pP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Percentage for renewal of assets</w:t>
            </w:r>
          </w:p>
        </w:tc>
        <w:tc>
          <w:tcPr>
            <w:tcW w:w="1370" w:type="dxa"/>
            <w:noWrap/>
            <w:hideMark/>
          </w:tcPr>
          <w:p w14:paraId="6D694D4A"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35.10%</w:t>
            </w:r>
          </w:p>
        </w:tc>
        <w:tc>
          <w:tcPr>
            <w:tcW w:w="580" w:type="dxa"/>
            <w:noWrap/>
            <w:hideMark/>
          </w:tcPr>
          <w:p w14:paraId="7BC71421" w14:textId="77777777" w:rsidR="00D954DE" w:rsidRPr="00D954DE" w:rsidRDefault="00D954DE" w:rsidP="00D954DE">
            <w:pPr>
              <w:jc w:val="center"/>
              <w:rPr>
                <w:rFonts w:ascii="Arial" w:eastAsia="Times New Roman" w:hAnsi="Arial" w:cs="Arial"/>
                <w:color w:val="000000"/>
                <w:sz w:val="16"/>
                <w:szCs w:val="20"/>
                <w:lang w:val="en-ZA" w:eastAsia="en-ZA"/>
              </w:rPr>
            </w:pPr>
          </w:p>
        </w:tc>
        <w:tc>
          <w:tcPr>
            <w:tcW w:w="1320" w:type="dxa"/>
            <w:noWrap/>
            <w:hideMark/>
          </w:tcPr>
          <w:p w14:paraId="1F5C26C2"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30.90%</w:t>
            </w:r>
          </w:p>
        </w:tc>
        <w:tc>
          <w:tcPr>
            <w:tcW w:w="580" w:type="dxa"/>
            <w:noWrap/>
            <w:hideMark/>
          </w:tcPr>
          <w:p w14:paraId="2D47A231" w14:textId="77777777" w:rsidR="00D954DE" w:rsidRPr="00D954DE" w:rsidRDefault="00D954DE" w:rsidP="00D954DE">
            <w:pPr>
              <w:jc w:val="center"/>
              <w:rPr>
                <w:rFonts w:ascii="Arial" w:eastAsia="Times New Roman" w:hAnsi="Arial" w:cs="Arial"/>
                <w:color w:val="000000"/>
                <w:sz w:val="16"/>
                <w:szCs w:val="20"/>
                <w:lang w:val="en-ZA" w:eastAsia="en-ZA"/>
              </w:rPr>
            </w:pPr>
          </w:p>
        </w:tc>
        <w:tc>
          <w:tcPr>
            <w:tcW w:w="1320" w:type="dxa"/>
            <w:noWrap/>
            <w:hideMark/>
          </w:tcPr>
          <w:p w14:paraId="3025F0BE"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20.10%</w:t>
            </w:r>
          </w:p>
        </w:tc>
        <w:tc>
          <w:tcPr>
            <w:tcW w:w="580" w:type="dxa"/>
            <w:noWrap/>
            <w:hideMark/>
          </w:tcPr>
          <w:p w14:paraId="3A9172AE" w14:textId="77777777" w:rsidR="00D954DE" w:rsidRPr="00D954DE" w:rsidRDefault="00D954DE" w:rsidP="00D954DE">
            <w:pPr>
              <w:jc w:val="center"/>
              <w:rPr>
                <w:rFonts w:ascii="Arial" w:eastAsia="Times New Roman" w:hAnsi="Arial" w:cs="Arial"/>
                <w:color w:val="000000"/>
                <w:sz w:val="16"/>
                <w:szCs w:val="20"/>
                <w:lang w:val="en-ZA" w:eastAsia="en-ZA"/>
              </w:rPr>
            </w:pPr>
          </w:p>
        </w:tc>
        <w:tc>
          <w:tcPr>
            <w:tcW w:w="1220" w:type="dxa"/>
            <w:noWrap/>
            <w:hideMark/>
          </w:tcPr>
          <w:p w14:paraId="78E945E3" w14:textId="77777777" w:rsidR="00D954DE" w:rsidRPr="00D954DE" w:rsidRDefault="00D954DE" w:rsidP="00D954DE">
            <w:pPr>
              <w:jc w:val="center"/>
              <w:rPr>
                <w:rFonts w:ascii="Arial" w:eastAsia="Times New Roman" w:hAnsi="Arial" w:cs="Arial"/>
                <w:color w:val="000000"/>
                <w:sz w:val="16"/>
                <w:szCs w:val="20"/>
                <w:lang w:val="en-ZA" w:eastAsia="en-ZA"/>
              </w:rPr>
            </w:pPr>
            <w:r w:rsidRPr="00D954DE">
              <w:rPr>
                <w:rFonts w:ascii="Arial" w:eastAsia="Times New Roman" w:hAnsi="Arial" w:cs="Arial"/>
                <w:color w:val="000000"/>
                <w:sz w:val="16"/>
                <w:szCs w:val="20"/>
                <w:lang w:val="en-ZA" w:eastAsia="en-ZA"/>
              </w:rPr>
              <w:t>52.20%</w:t>
            </w:r>
          </w:p>
        </w:tc>
      </w:tr>
    </w:tbl>
    <w:p w14:paraId="74907BBA" w14:textId="43EBB20A" w:rsidR="00D954DE" w:rsidRPr="00D954DE" w:rsidRDefault="00D954DE" w:rsidP="00D954DE">
      <w:pPr>
        <w:pStyle w:val="Caption"/>
      </w:pPr>
      <w:bookmarkStart w:id="525" w:name="_Toc510622335"/>
      <w:r>
        <w:t xml:space="preserve">Table </w:t>
      </w:r>
      <w:r w:rsidR="00B918A6">
        <w:fldChar w:fldCharType="begin"/>
      </w:r>
      <w:r w:rsidR="00B918A6">
        <w:instrText xml:space="preserve"> SEQ Table \* ARABIC </w:instrText>
      </w:r>
      <w:r w:rsidR="00B918A6">
        <w:fldChar w:fldCharType="separate"/>
      </w:r>
      <w:r w:rsidR="0067023A">
        <w:rPr>
          <w:noProof/>
        </w:rPr>
        <w:t>84</w:t>
      </w:r>
      <w:r w:rsidR="00B918A6">
        <w:rPr>
          <w:noProof/>
        </w:rPr>
        <w:fldChar w:fldCharType="end"/>
      </w:r>
      <w:r>
        <w:t>: Financial Ratios</w:t>
      </w:r>
      <w:bookmarkEnd w:id="525"/>
    </w:p>
    <w:p w14:paraId="60C2E28F" w14:textId="2A12E6E2" w:rsidR="00992B24" w:rsidRPr="00297498" w:rsidRDefault="00B30D8A" w:rsidP="00750180">
      <w:pPr>
        <w:pStyle w:val="Heading3"/>
        <w:numPr>
          <w:ilvl w:val="2"/>
          <w:numId w:val="127"/>
        </w:numPr>
        <w:spacing w:after="240"/>
        <w:rPr>
          <w:rStyle w:val="Heading3Char"/>
          <w:b/>
          <w:bCs/>
        </w:rPr>
      </w:pPr>
      <w:r>
        <w:rPr>
          <w:rStyle w:val="Heading3Char"/>
          <w:b/>
          <w:bCs/>
        </w:rPr>
        <w:t xml:space="preserve"> </w:t>
      </w:r>
      <w:bookmarkStart w:id="526" w:name="_Toc510706659"/>
      <w:r w:rsidR="00992B24" w:rsidRPr="00297498">
        <w:rPr>
          <w:rStyle w:val="Heading3Char"/>
          <w:b/>
          <w:bCs/>
        </w:rPr>
        <w:t>Supply Chain Management (SCM)</w:t>
      </w:r>
      <w:bookmarkEnd w:id="522"/>
      <w:bookmarkEnd w:id="526"/>
    </w:p>
    <w:p w14:paraId="2F7A67DC" w14:textId="0B4F9BF6" w:rsidR="00767DBC" w:rsidRPr="00881795" w:rsidRDefault="005A0FA4" w:rsidP="00395313">
      <w:pPr>
        <w:spacing w:line="288" w:lineRule="auto"/>
        <w:jc w:val="both"/>
        <w:rPr>
          <w:szCs w:val="20"/>
        </w:rPr>
      </w:pPr>
      <w:r w:rsidRPr="00881795">
        <w:rPr>
          <w:szCs w:val="20"/>
        </w:rPr>
        <w:t xml:space="preserve">The uMlalazi Municipality has a Supply Chain Management Policy in place which was reviewed and adopted in </w:t>
      </w:r>
      <w:r w:rsidR="009C3B45">
        <w:rPr>
          <w:szCs w:val="20"/>
        </w:rPr>
        <w:t xml:space="preserve">May 2017 </w:t>
      </w:r>
      <w:r w:rsidRPr="00881795">
        <w:rPr>
          <w:szCs w:val="20"/>
        </w:rPr>
        <w:t>and which is being implemented.</w:t>
      </w:r>
    </w:p>
    <w:p w14:paraId="05EF2995" w14:textId="77777777" w:rsidR="002B2874" w:rsidRDefault="00666DE8" w:rsidP="00750180">
      <w:pPr>
        <w:pStyle w:val="Heading3"/>
        <w:numPr>
          <w:ilvl w:val="2"/>
          <w:numId w:val="127"/>
        </w:numPr>
        <w:spacing w:after="240"/>
      </w:pPr>
      <w:bookmarkStart w:id="527" w:name="_Toc389740038"/>
      <w:bookmarkStart w:id="528" w:name="_Toc510706660"/>
      <w:r w:rsidRPr="00297498">
        <w:rPr>
          <w:rStyle w:val="Heading3Char"/>
          <w:b/>
          <w:bCs/>
        </w:rPr>
        <w:t>Financial Viability &amp; Management</w:t>
      </w:r>
      <w:r w:rsidR="00654EDF" w:rsidRPr="00297498">
        <w:rPr>
          <w:rStyle w:val="Heading3Char"/>
          <w:b/>
          <w:bCs/>
        </w:rPr>
        <w:t>: SWOT ANALYSIS</w:t>
      </w:r>
      <w:bookmarkEnd w:id="527"/>
      <w:bookmarkEnd w:id="528"/>
    </w:p>
    <w:tbl>
      <w:tblPr>
        <w:tblStyle w:val="TableGrid"/>
        <w:tblW w:w="0" w:type="auto"/>
        <w:tblLook w:val="04A0" w:firstRow="1" w:lastRow="0" w:firstColumn="1" w:lastColumn="0" w:noHBand="0" w:noVBand="1"/>
      </w:tblPr>
      <w:tblGrid>
        <w:gridCol w:w="4814"/>
        <w:gridCol w:w="4815"/>
      </w:tblGrid>
      <w:tr w:rsidR="0053766D" w14:paraId="47BA8F80" w14:textId="77777777" w:rsidTr="0053766D">
        <w:trPr>
          <w:trHeight w:val="401"/>
        </w:trPr>
        <w:tc>
          <w:tcPr>
            <w:tcW w:w="4814" w:type="dxa"/>
            <w:shd w:val="clear" w:color="auto" w:fill="92D050"/>
          </w:tcPr>
          <w:p w14:paraId="431AF79F" w14:textId="77777777" w:rsidR="0053766D" w:rsidRDefault="0053766D" w:rsidP="0053766D">
            <w:pPr>
              <w:pStyle w:val="Heading4"/>
              <w:spacing w:after="240"/>
              <w:ind w:left="720"/>
              <w:outlineLvl w:val="3"/>
            </w:pPr>
            <w:bookmarkStart w:id="529" w:name="_Toc389740039"/>
            <w:r w:rsidRPr="00297498">
              <w:t>Strengths / Opportunities</w:t>
            </w:r>
            <w:bookmarkEnd w:id="529"/>
          </w:p>
        </w:tc>
        <w:tc>
          <w:tcPr>
            <w:tcW w:w="4815" w:type="dxa"/>
            <w:shd w:val="clear" w:color="auto" w:fill="FFC000"/>
          </w:tcPr>
          <w:p w14:paraId="7C9A54F7" w14:textId="77777777" w:rsidR="0053766D" w:rsidRDefault="0053766D" w:rsidP="0053766D">
            <w:pPr>
              <w:pStyle w:val="Heading4"/>
              <w:spacing w:after="240"/>
              <w:ind w:left="720"/>
              <w:outlineLvl w:val="3"/>
            </w:pPr>
            <w:bookmarkStart w:id="530" w:name="_Toc389740040"/>
            <w:r w:rsidRPr="00297498">
              <w:t>Weaknesses / Threats</w:t>
            </w:r>
            <w:bookmarkEnd w:id="530"/>
          </w:p>
        </w:tc>
      </w:tr>
      <w:tr w:rsidR="0053766D" w14:paraId="58169303" w14:textId="77777777" w:rsidTr="0053766D">
        <w:tc>
          <w:tcPr>
            <w:tcW w:w="4814" w:type="dxa"/>
          </w:tcPr>
          <w:p w14:paraId="5B20006F" w14:textId="77777777" w:rsidR="0053766D" w:rsidRPr="00881795" w:rsidRDefault="0053766D" w:rsidP="00EC0A3F">
            <w:pPr>
              <w:pStyle w:val="ListParagraph"/>
              <w:numPr>
                <w:ilvl w:val="0"/>
                <w:numId w:val="19"/>
              </w:numPr>
              <w:spacing w:line="288" w:lineRule="auto"/>
              <w:jc w:val="both"/>
              <w:rPr>
                <w:rFonts w:cs="Arial"/>
                <w:szCs w:val="20"/>
              </w:rPr>
            </w:pPr>
            <w:r w:rsidRPr="00881795">
              <w:rPr>
                <w:rFonts w:cs="Arial"/>
                <w:szCs w:val="20"/>
              </w:rPr>
              <w:t xml:space="preserve">The Municipality has </w:t>
            </w:r>
            <w:r>
              <w:rPr>
                <w:rFonts w:cs="Arial"/>
                <w:szCs w:val="20"/>
              </w:rPr>
              <w:t>-</w:t>
            </w:r>
            <w:r w:rsidRPr="00881795">
              <w:rPr>
                <w:rFonts w:cs="Arial"/>
                <w:szCs w:val="20"/>
              </w:rPr>
              <w:t>sound Capital Financing Strategies in place;</w:t>
            </w:r>
          </w:p>
          <w:p w14:paraId="75BD817B" w14:textId="77777777" w:rsidR="0053766D" w:rsidRPr="00881795" w:rsidRDefault="0053766D" w:rsidP="00EC0A3F">
            <w:pPr>
              <w:pStyle w:val="ListParagraph"/>
              <w:numPr>
                <w:ilvl w:val="0"/>
                <w:numId w:val="19"/>
              </w:numPr>
              <w:spacing w:line="288" w:lineRule="auto"/>
              <w:jc w:val="both"/>
              <w:rPr>
                <w:rFonts w:cs="Arial"/>
                <w:szCs w:val="20"/>
              </w:rPr>
            </w:pPr>
            <w:r w:rsidRPr="00881795">
              <w:rPr>
                <w:rFonts w:cs="Arial"/>
                <w:szCs w:val="20"/>
              </w:rPr>
              <w:t>Up to date, the Municipality has been able to meet its financial obligations with regards to payment and provisioning of Free Basic Services for Electricity and Refuse Removal;</w:t>
            </w:r>
          </w:p>
          <w:p w14:paraId="021D3FC0" w14:textId="77777777" w:rsidR="0053766D" w:rsidRPr="00881795" w:rsidRDefault="0053766D" w:rsidP="00EC0A3F">
            <w:pPr>
              <w:pStyle w:val="ListParagraph"/>
              <w:numPr>
                <w:ilvl w:val="0"/>
                <w:numId w:val="19"/>
              </w:numPr>
              <w:spacing w:line="288" w:lineRule="auto"/>
              <w:jc w:val="both"/>
              <w:rPr>
                <w:rFonts w:cs="Arial"/>
                <w:szCs w:val="20"/>
              </w:rPr>
            </w:pPr>
            <w:r w:rsidRPr="00881795">
              <w:rPr>
                <w:rFonts w:cs="Arial"/>
                <w:szCs w:val="20"/>
              </w:rPr>
              <w:t>The Municipality has sound Revenue Enhancement and Protection Strategies in place;</w:t>
            </w:r>
          </w:p>
          <w:p w14:paraId="37236A2A" w14:textId="77777777" w:rsidR="0053766D" w:rsidRPr="00881795" w:rsidRDefault="0053766D" w:rsidP="00EC0A3F">
            <w:pPr>
              <w:pStyle w:val="ListParagraph"/>
              <w:numPr>
                <w:ilvl w:val="0"/>
                <w:numId w:val="19"/>
              </w:numPr>
              <w:spacing w:line="288" w:lineRule="auto"/>
              <w:jc w:val="both"/>
              <w:rPr>
                <w:rFonts w:cs="Arial"/>
                <w:szCs w:val="20"/>
              </w:rPr>
            </w:pPr>
            <w:r w:rsidRPr="00881795">
              <w:rPr>
                <w:rFonts w:cs="Arial"/>
                <w:szCs w:val="20"/>
              </w:rPr>
              <w:t>The Municipality Consumer Debt Position has remained at roughly the same level since 2008;</w:t>
            </w:r>
          </w:p>
          <w:p w14:paraId="64AC96B0" w14:textId="77777777" w:rsidR="0053766D" w:rsidRPr="00881795" w:rsidRDefault="0053766D" w:rsidP="00EC0A3F">
            <w:pPr>
              <w:pStyle w:val="ListParagraph"/>
              <w:numPr>
                <w:ilvl w:val="0"/>
                <w:numId w:val="19"/>
              </w:numPr>
              <w:spacing w:line="288" w:lineRule="auto"/>
              <w:jc w:val="both"/>
              <w:rPr>
                <w:rFonts w:cs="Arial"/>
                <w:szCs w:val="20"/>
              </w:rPr>
            </w:pPr>
            <w:r w:rsidRPr="00881795">
              <w:rPr>
                <w:rFonts w:cs="Arial"/>
                <w:szCs w:val="20"/>
              </w:rPr>
              <w:t>The Municipality has sound Asset Management Strategies in place;</w:t>
            </w:r>
          </w:p>
          <w:p w14:paraId="4C1DCF14" w14:textId="77777777" w:rsidR="0053766D" w:rsidRPr="00881795" w:rsidRDefault="0053766D" w:rsidP="00EC0A3F">
            <w:pPr>
              <w:pStyle w:val="ListParagraph"/>
              <w:numPr>
                <w:ilvl w:val="0"/>
                <w:numId w:val="19"/>
              </w:numPr>
              <w:spacing w:line="288" w:lineRule="auto"/>
              <w:jc w:val="both"/>
              <w:rPr>
                <w:rFonts w:cs="Arial"/>
                <w:szCs w:val="20"/>
              </w:rPr>
            </w:pPr>
            <w:r w:rsidRPr="00881795">
              <w:rPr>
                <w:rFonts w:cs="Arial"/>
                <w:szCs w:val="20"/>
              </w:rPr>
              <w:t>Employee Related Costs and Councilor Allowances have increased at an acceptable rate from 2008 to 2012; and</w:t>
            </w:r>
          </w:p>
          <w:p w14:paraId="2E9E16BF" w14:textId="77777777" w:rsidR="0053766D" w:rsidRDefault="0053766D" w:rsidP="00EC0A3F">
            <w:pPr>
              <w:pStyle w:val="ListParagraph"/>
              <w:numPr>
                <w:ilvl w:val="0"/>
                <w:numId w:val="19"/>
              </w:numPr>
            </w:pPr>
            <w:r w:rsidRPr="0053766D">
              <w:rPr>
                <w:rFonts w:cs="Arial"/>
                <w:szCs w:val="20"/>
              </w:rPr>
              <w:t>The Municipality has a SCM Policy in place which is being implemented</w:t>
            </w:r>
          </w:p>
        </w:tc>
        <w:tc>
          <w:tcPr>
            <w:tcW w:w="4815" w:type="dxa"/>
          </w:tcPr>
          <w:p w14:paraId="01DB671F" w14:textId="77777777" w:rsidR="0053766D" w:rsidRPr="00881795" w:rsidRDefault="0053766D" w:rsidP="00EC0A3F">
            <w:pPr>
              <w:pStyle w:val="ListParagraph"/>
              <w:numPr>
                <w:ilvl w:val="0"/>
                <w:numId w:val="19"/>
              </w:numPr>
              <w:spacing w:line="288" w:lineRule="auto"/>
              <w:jc w:val="both"/>
              <w:rPr>
                <w:rFonts w:cs="Arial"/>
                <w:szCs w:val="20"/>
              </w:rPr>
            </w:pPr>
            <w:r w:rsidRPr="00881795">
              <w:rPr>
                <w:szCs w:val="20"/>
              </w:rPr>
              <w:t>From 2009 to 2012 there has been a steady decrease in the Municipality’s capability to expend it’s Capital Budget, i.e. 84.32% expenditure of the capital budget in 2009 and 64.88% expenditure of the capital budget in 2012;</w:t>
            </w:r>
          </w:p>
          <w:p w14:paraId="590FB98C" w14:textId="77777777" w:rsidR="0053766D" w:rsidRPr="00881795" w:rsidRDefault="0053766D" w:rsidP="00EC0A3F">
            <w:pPr>
              <w:pStyle w:val="ListParagraph"/>
              <w:numPr>
                <w:ilvl w:val="0"/>
                <w:numId w:val="19"/>
              </w:numPr>
              <w:spacing w:line="288" w:lineRule="auto"/>
              <w:jc w:val="both"/>
              <w:rPr>
                <w:rFonts w:cs="Arial"/>
                <w:szCs w:val="20"/>
              </w:rPr>
            </w:pPr>
            <w:r w:rsidRPr="00881795">
              <w:rPr>
                <w:rFonts w:cs="Arial"/>
                <w:szCs w:val="20"/>
              </w:rPr>
              <w:t>Whilst the Municipality’s assets have increased significantly between 2008 and 2012, the provisioning for operations and maintenance has not increased; and</w:t>
            </w:r>
          </w:p>
          <w:p w14:paraId="4B4E0CEC" w14:textId="77777777" w:rsidR="0053766D" w:rsidRPr="00881795" w:rsidRDefault="0053766D" w:rsidP="00EC0A3F">
            <w:pPr>
              <w:pStyle w:val="ListParagraph"/>
              <w:numPr>
                <w:ilvl w:val="0"/>
                <w:numId w:val="19"/>
              </w:numPr>
              <w:spacing w:line="288" w:lineRule="auto"/>
              <w:jc w:val="both"/>
              <w:rPr>
                <w:rFonts w:cs="Arial"/>
                <w:szCs w:val="20"/>
              </w:rPr>
            </w:pPr>
            <w:r w:rsidRPr="00881795">
              <w:rPr>
                <w:rFonts w:cs="Arial"/>
                <w:szCs w:val="20"/>
              </w:rPr>
              <w:t>The Municipality’s borrowings have increased significantly from 2008 to 2012.</w:t>
            </w:r>
          </w:p>
          <w:p w14:paraId="0C529B25" w14:textId="77777777" w:rsidR="0053766D" w:rsidRDefault="0053766D" w:rsidP="0053766D"/>
        </w:tc>
      </w:tr>
    </w:tbl>
    <w:p w14:paraId="7512B93F" w14:textId="77777777" w:rsidR="0053766D" w:rsidRDefault="0053766D" w:rsidP="0053766D">
      <w:pPr>
        <w:pStyle w:val="Caption"/>
      </w:pPr>
      <w:bookmarkStart w:id="531" w:name="_Toc510622336"/>
      <w:r>
        <w:t xml:space="preserve">Table </w:t>
      </w:r>
      <w:r w:rsidR="00B918A6">
        <w:fldChar w:fldCharType="begin"/>
      </w:r>
      <w:r w:rsidR="00B918A6">
        <w:instrText xml:space="preserve"> SEQ Table \* ARABIC </w:instrText>
      </w:r>
      <w:r w:rsidR="00B918A6">
        <w:fldChar w:fldCharType="separate"/>
      </w:r>
      <w:r w:rsidR="0067023A">
        <w:rPr>
          <w:noProof/>
        </w:rPr>
        <w:t>85</w:t>
      </w:r>
      <w:r w:rsidR="00B918A6">
        <w:rPr>
          <w:noProof/>
        </w:rPr>
        <w:fldChar w:fldCharType="end"/>
      </w:r>
      <w:r>
        <w:t xml:space="preserve">: </w:t>
      </w:r>
      <w:r w:rsidRPr="0053766D">
        <w:t>Financial Viability &amp; Management: SWOT ANALYSIS</w:t>
      </w:r>
      <w:bookmarkEnd w:id="531"/>
    </w:p>
    <w:p w14:paraId="6A5999F3" w14:textId="77777777" w:rsidR="0053766D" w:rsidRPr="0053766D" w:rsidRDefault="0053766D" w:rsidP="0053766D"/>
    <w:p w14:paraId="0A73E70E" w14:textId="77777777" w:rsidR="00992B24" w:rsidRPr="00297498" w:rsidRDefault="00654EDF" w:rsidP="00750180">
      <w:pPr>
        <w:pStyle w:val="Heading2"/>
        <w:numPr>
          <w:ilvl w:val="1"/>
          <w:numId w:val="127"/>
        </w:numPr>
      </w:pPr>
      <w:bookmarkStart w:id="532" w:name="_Toc389740042"/>
      <w:bookmarkStart w:id="533" w:name="_Toc510706661"/>
      <w:r w:rsidRPr="00297498">
        <w:t>GOOD GOVERNANCE ANALYSIS</w:t>
      </w:r>
      <w:bookmarkEnd w:id="532"/>
      <w:bookmarkEnd w:id="533"/>
    </w:p>
    <w:p w14:paraId="1B73CD85" w14:textId="77777777" w:rsidR="00992B24" w:rsidRPr="00881795" w:rsidRDefault="00767DBC" w:rsidP="00750180">
      <w:pPr>
        <w:pStyle w:val="Heading3"/>
        <w:numPr>
          <w:ilvl w:val="2"/>
          <w:numId w:val="127"/>
        </w:numPr>
      </w:pPr>
      <w:bookmarkStart w:id="534" w:name="_Toc389740043"/>
      <w:bookmarkStart w:id="535" w:name="_Toc510706662"/>
      <w:r w:rsidRPr="00881795">
        <w:t>N</w:t>
      </w:r>
      <w:r w:rsidR="00992B24" w:rsidRPr="00881795">
        <w:t xml:space="preserve">ational and Provincial </w:t>
      </w:r>
      <w:r w:rsidR="003F34D3" w:rsidRPr="00881795">
        <w:t>Programs</w:t>
      </w:r>
      <w:r w:rsidR="00992B24" w:rsidRPr="00881795">
        <w:t xml:space="preserve"> rolled-out at Municipal Level</w:t>
      </w:r>
      <w:bookmarkEnd w:id="534"/>
      <w:bookmarkEnd w:id="535"/>
    </w:p>
    <w:p w14:paraId="44A01B18" w14:textId="77777777" w:rsidR="00DE3514" w:rsidRDefault="00BA0B27" w:rsidP="00750180">
      <w:pPr>
        <w:pStyle w:val="Heading4"/>
        <w:numPr>
          <w:ilvl w:val="3"/>
          <w:numId w:val="127"/>
        </w:numPr>
        <w:spacing w:after="240"/>
      </w:pPr>
      <w:bookmarkStart w:id="536" w:name="_Toc389740044"/>
      <w:r>
        <w:t xml:space="preserve">Operation </w:t>
      </w:r>
      <w:r w:rsidR="00DE3514" w:rsidRPr="00BA0B27">
        <w:t>Sukuma Sakhe</w:t>
      </w:r>
      <w:bookmarkEnd w:id="536"/>
      <w:r w:rsidR="00E32E9D" w:rsidRPr="00BA0B27">
        <w:t xml:space="preserve"> </w:t>
      </w:r>
    </w:p>
    <w:p w14:paraId="4D3C2EE6" w14:textId="77777777" w:rsidR="00FB44CE" w:rsidRDefault="00FB44CE" w:rsidP="00FB44CE">
      <w:pPr>
        <w:jc w:val="both"/>
      </w:pPr>
      <w:r>
        <w:t xml:space="preserve">Operation Sukuma Sakhe (OSS) is a call for the people of KwaZulu-Natal to stand up to overcome the issues that have destroyed communities such as HIV and AIDS, TB, poverty, unemployment, crime, substance abuse, and other social ills. It is about communities working together to rebuild the fabric of society, in partnership with multiple stakeholders through a multi-sectoral, integrated service delivery model. </w:t>
      </w:r>
    </w:p>
    <w:p w14:paraId="18E01CD3" w14:textId="77777777" w:rsidR="00FB44CE" w:rsidRDefault="00FB44CE" w:rsidP="00FB44CE">
      <w:pPr>
        <w:jc w:val="both"/>
      </w:pPr>
      <w:r>
        <w:t>OSS is coordinated and implemented at various levels including, the ward, local municipality, district and provincial level. Using the OSS model, KZN is able to institutionalise the coordination and integration of service delivery. Integration and coordination enable partnerships to occur, allowing those involved to achieve certain goals for maximum benefit. Coordination brings together existing services and service delivery processes that government departments/service providers already have in place.</w:t>
      </w:r>
    </w:p>
    <w:p w14:paraId="68BE9A60" w14:textId="77777777" w:rsidR="00FB44CE" w:rsidRDefault="00FB44CE" w:rsidP="00FB44CE">
      <w:pPr>
        <w:jc w:val="both"/>
      </w:pPr>
      <w:r>
        <w:t>These individual processes are brought together to achieve specific goals and objectives, responding to identified needs and enhancing services delivered in a harmonized manner. Coordination therefore means that service providers plan services together and deliver them together to maximise their impact. The Ward Task Teams (War Rooms) play an important coordination function, by identifying needs and referring them to service providers.</w:t>
      </w:r>
    </w:p>
    <w:p w14:paraId="733538E7" w14:textId="77777777" w:rsidR="00FB44CE" w:rsidRDefault="00FB44CE" w:rsidP="00FB44CE">
      <w:pPr>
        <w:jc w:val="both"/>
      </w:pPr>
      <w:r>
        <w:t>OSS aims to coordinate service delivery by mobilising community partnerships with private sector, non-governmental organisations, community-based organisations and governmental stakeholders. War Rooms target specific household and community needs that they identify through profiling and then direct these to the relevant service delivery stakeholders. The integrated service delivery model comprises of four main processes: identify needs, open and refer services, deliver services and close referrals, often through follow-up visits.</w:t>
      </w:r>
    </w:p>
    <w:p w14:paraId="5BD4E290" w14:textId="77777777" w:rsidR="00FB44CE" w:rsidRPr="00FB44CE" w:rsidRDefault="00FB44CE" w:rsidP="00FB44CE">
      <w:pPr>
        <w:spacing w:line="240" w:lineRule="auto"/>
        <w:jc w:val="both"/>
        <w:rPr>
          <w:szCs w:val="20"/>
        </w:rPr>
      </w:pPr>
      <w:r w:rsidRPr="00FB44CE">
        <w:rPr>
          <w:szCs w:val="20"/>
        </w:rPr>
        <w:t xml:space="preserve">The following are Key Indicators </w:t>
      </w:r>
      <w:r>
        <w:rPr>
          <w:szCs w:val="20"/>
        </w:rPr>
        <w:t>of a fully functional War Room:</w:t>
      </w:r>
    </w:p>
    <w:p w14:paraId="110496D7" w14:textId="77777777" w:rsidR="00FB44CE" w:rsidRPr="00FB44CE" w:rsidRDefault="00FB44CE" w:rsidP="00FB44CE">
      <w:pPr>
        <w:numPr>
          <w:ilvl w:val="0"/>
          <w:numId w:val="1"/>
        </w:numPr>
        <w:spacing w:after="0" w:line="240" w:lineRule="auto"/>
        <w:jc w:val="both"/>
        <w:rPr>
          <w:szCs w:val="20"/>
        </w:rPr>
      </w:pPr>
      <w:r w:rsidRPr="00FB44CE">
        <w:rPr>
          <w:szCs w:val="20"/>
        </w:rPr>
        <w:t xml:space="preserve">Venue well known &amp; fully branded &amp; fully resourced </w:t>
      </w:r>
    </w:p>
    <w:p w14:paraId="781B787D" w14:textId="77777777" w:rsidR="00FB44CE" w:rsidRPr="00FB44CE" w:rsidRDefault="00FB44CE" w:rsidP="00FB44CE">
      <w:pPr>
        <w:numPr>
          <w:ilvl w:val="0"/>
          <w:numId w:val="1"/>
        </w:numPr>
        <w:spacing w:after="0" w:line="240" w:lineRule="auto"/>
        <w:jc w:val="both"/>
        <w:rPr>
          <w:szCs w:val="20"/>
        </w:rPr>
      </w:pPr>
      <w:r w:rsidRPr="00FB44CE">
        <w:rPr>
          <w:szCs w:val="20"/>
        </w:rPr>
        <w:t xml:space="preserve">War Room Structure fully operational with ALL field workers coordinated &amp; ALL departments accounted for in WR i.e. Departments send their officials for meetings &amp; interventions &amp; Civil Society fairly represented </w:t>
      </w:r>
    </w:p>
    <w:p w14:paraId="50EA5110" w14:textId="77777777" w:rsidR="00FB44CE" w:rsidRPr="00FB44CE" w:rsidRDefault="00FB44CE" w:rsidP="00FB44CE">
      <w:pPr>
        <w:numPr>
          <w:ilvl w:val="0"/>
          <w:numId w:val="1"/>
        </w:numPr>
        <w:spacing w:after="0" w:line="240" w:lineRule="auto"/>
        <w:jc w:val="both"/>
        <w:rPr>
          <w:szCs w:val="20"/>
        </w:rPr>
      </w:pPr>
      <w:r w:rsidRPr="00FB44CE">
        <w:rPr>
          <w:szCs w:val="20"/>
        </w:rPr>
        <w:t xml:space="preserve">Meeting schedules &amp; Reporting timeous tools/registers ALL used , &amp; interventions/ referrals reports up to date </w:t>
      </w:r>
    </w:p>
    <w:p w14:paraId="4834C42E" w14:textId="77777777" w:rsidR="00FB44CE" w:rsidRPr="00FB44CE" w:rsidRDefault="00FB44CE" w:rsidP="00FB44CE">
      <w:pPr>
        <w:numPr>
          <w:ilvl w:val="0"/>
          <w:numId w:val="1"/>
        </w:numPr>
        <w:spacing w:after="0" w:line="240" w:lineRule="auto"/>
        <w:jc w:val="both"/>
        <w:rPr>
          <w:szCs w:val="20"/>
        </w:rPr>
      </w:pPr>
      <w:r w:rsidRPr="00FB44CE">
        <w:rPr>
          <w:szCs w:val="20"/>
        </w:rPr>
        <w:t xml:space="preserve">Issues emanating from a community profiling or household, available, discussed and are attended to. Interventions/ referrals closed within agreed turnaround times. </w:t>
      </w:r>
    </w:p>
    <w:p w14:paraId="2B56EBBC" w14:textId="77777777" w:rsidR="00FB44CE" w:rsidRPr="00FB44CE" w:rsidRDefault="00FB44CE" w:rsidP="00FB44CE">
      <w:pPr>
        <w:numPr>
          <w:ilvl w:val="0"/>
          <w:numId w:val="1"/>
        </w:numPr>
        <w:spacing w:after="0" w:line="240" w:lineRule="auto"/>
        <w:jc w:val="both"/>
        <w:rPr>
          <w:szCs w:val="20"/>
        </w:rPr>
      </w:pPr>
      <w:r w:rsidRPr="00FB44CE">
        <w:rPr>
          <w:szCs w:val="20"/>
        </w:rPr>
        <w:t>OSS Integrated Flagship Campaigns have footprints: One home One Garden, HCT, Behavioural Change, Community Stakeholder Engagement.</w:t>
      </w:r>
    </w:p>
    <w:p w14:paraId="409E48AA" w14:textId="77777777" w:rsidR="00FB44CE" w:rsidRPr="00FB44CE" w:rsidRDefault="00FB44CE" w:rsidP="00FB44CE">
      <w:pPr>
        <w:numPr>
          <w:ilvl w:val="0"/>
          <w:numId w:val="1"/>
        </w:numPr>
        <w:spacing w:after="0" w:line="240" w:lineRule="auto"/>
        <w:jc w:val="both"/>
        <w:rPr>
          <w:szCs w:val="20"/>
        </w:rPr>
      </w:pPr>
      <w:r w:rsidRPr="00FB44CE">
        <w:rPr>
          <w:szCs w:val="20"/>
        </w:rPr>
        <w:t xml:space="preserve">There is a group of integrated fieldworkers: CCGs, YAs, CDWs &amp; EOs etc. </w:t>
      </w:r>
    </w:p>
    <w:p w14:paraId="13567289" w14:textId="77777777" w:rsidR="00FB44CE" w:rsidRPr="00FB44CE" w:rsidRDefault="00FB44CE" w:rsidP="00FB44CE">
      <w:pPr>
        <w:numPr>
          <w:ilvl w:val="0"/>
          <w:numId w:val="1"/>
        </w:numPr>
        <w:spacing w:after="0" w:line="240" w:lineRule="auto"/>
        <w:jc w:val="both"/>
        <w:rPr>
          <w:szCs w:val="20"/>
        </w:rPr>
      </w:pPr>
      <w:r w:rsidRPr="00FB44CE">
        <w:rPr>
          <w:szCs w:val="20"/>
        </w:rPr>
        <w:t>OSS Activities/Campaigns/programmes of Govt. Departments /OTP systematically coordinated , integrated (vertical/horizontally) in ALL districts distributed spatially in identified wards</w:t>
      </w:r>
    </w:p>
    <w:p w14:paraId="76749DE6" w14:textId="77777777" w:rsidR="00FB44CE" w:rsidRPr="00FB44CE" w:rsidRDefault="00FB44CE" w:rsidP="00FB44CE">
      <w:pPr>
        <w:spacing w:after="0" w:line="240" w:lineRule="auto"/>
        <w:jc w:val="both"/>
        <w:rPr>
          <w:szCs w:val="20"/>
        </w:rPr>
      </w:pPr>
    </w:p>
    <w:p w14:paraId="72DA803B" w14:textId="77777777" w:rsidR="00FB44CE" w:rsidRPr="00FB44CE" w:rsidRDefault="00FB44CE" w:rsidP="00FB44CE">
      <w:pPr>
        <w:spacing w:before="240" w:line="240" w:lineRule="auto"/>
        <w:jc w:val="both"/>
        <w:rPr>
          <w:szCs w:val="20"/>
        </w:rPr>
      </w:pPr>
      <w:r w:rsidRPr="00FB44CE">
        <w:rPr>
          <w:szCs w:val="20"/>
        </w:rPr>
        <w:t>Further to the above the Local Task Team (LTT) plays a role in planning and strategic oversight to Ward Task Teams</w:t>
      </w:r>
      <w:r>
        <w:rPr>
          <w:szCs w:val="20"/>
        </w:rPr>
        <w:t xml:space="preserve"> as follows:</w:t>
      </w:r>
    </w:p>
    <w:p w14:paraId="4376450E" w14:textId="77777777" w:rsidR="00FB44CE" w:rsidRPr="00FB44CE" w:rsidRDefault="00FB44CE" w:rsidP="00FB44CE">
      <w:pPr>
        <w:pStyle w:val="ListParagraph"/>
        <w:numPr>
          <w:ilvl w:val="0"/>
          <w:numId w:val="1"/>
        </w:numPr>
        <w:spacing w:after="0" w:line="240" w:lineRule="auto"/>
        <w:jc w:val="both"/>
        <w:rPr>
          <w:szCs w:val="20"/>
        </w:rPr>
      </w:pPr>
      <w:r w:rsidRPr="00FB44CE">
        <w:rPr>
          <w:szCs w:val="20"/>
        </w:rPr>
        <w:t xml:space="preserve">Develop the Local Municipality Operational Plan with performance targets </w:t>
      </w:r>
    </w:p>
    <w:p w14:paraId="2B43FA09" w14:textId="77777777" w:rsidR="00FB44CE" w:rsidRPr="00FB44CE" w:rsidRDefault="00FB44CE" w:rsidP="00FB44CE">
      <w:pPr>
        <w:pStyle w:val="ListParagraph"/>
        <w:numPr>
          <w:ilvl w:val="0"/>
          <w:numId w:val="1"/>
        </w:numPr>
        <w:spacing w:after="0" w:line="240" w:lineRule="auto"/>
        <w:jc w:val="both"/>
        <w:rPr>
          <w:szCs w:val="20"/>
        </w:rPr>
      </w:pPr>
      <w:r w:rsidRPr="00FB44CE">
        <w:rPr>
          <w:szCs w:val="20"/>
        </w:rPr>
        <w:t xml:space="preserve">Support and align OSS to the Integrated Development Planning Process at local level </w:t>
      </w:r>
    </w:p>
    <w:p w14:paraId="69DBFDD7" w14:textId="77777777" w:rsidR="00FB44CE" w:rsidRPr="00FB44CE" w:rsidRDefault="00FB44CE" w:rsidP="00FB44CE">
      <w:pPr>
        <w:pStyle w:val="ListParagraph"/>
        <w:numPr>
          <w:ilvl w:val="0"/>
          <w:numId w:val="1"/>
        </w:numPr>
        <w:spacing w:after="0" w:line="240" w:lineRule="auto"/>
        <w:jc w:val="both"/>
        <w:rPr>
          <w:szCs w:val="20"/>
        </w:rPr>
      </w:pPr>
      <w:r w:rsidRPr="00FB44CE">
        <w:rPr>
          <w:szCs w:val="20"/>
        </w:rPr>
        <w:t xml:space="preserve">Ensure that Operational Plans are developed by WTTs aligned to the LTT Operational Plan </w:t>
      </w:r>
    </w:p>
    <w:p w14:paraId="37A60164" w14:textId="77777777" w:rsidR="00FB44CE" w:rsidRPr="00FB44CE" w:rsidRDefault="00FB44CE" w:rsidP="00FB44CE">
      <w:pPr>
        <w:pStyle w:val="ListParagraph"/>
        <w:numPr>
          <w:ilvl w:val="0"/>
          <w:numId w:val="1"/>
        </w:numPr>
        <w:spacing w:after="0" w:line="240" w:lineRule="auto"/>
        <w:jc w:val="both"/>
        <w:rPr>
          <w:szCs w:val="20"/>
        </w:rPr>
      </w:pPr>
      <w:r w:rsidRPr="00FB44CE">
        <w:rPr>
          <w:szCs w:val="20"/>
        </w:rPr>
        <w:t xml:space="preserve">Address challenges experienced by WTT such as internal conflicts, bottlenecks, reviving War Rooms and other issues escalated from the WTTs </w:t>
      </w:r>
    </w:p>
    <w:p w14:paraId="76901C76" w14:textId="77777777" w:rsidR="00FB44CE" w:rsidRPr="00FB44CE" w:rsidRDefault="00FB44CE" w:rsidP="00FB44CE">
      <w:pPr>
        <w:pStyle w:val="ListParagraph"/>
        <w:numPr>
          <w:ilvl w:val="0"/>
          <w:numId w:val="1"/>
        </w:numPr>
        <w:spacing w:after="0" w:line="240" w:lineRule="auto"/>
        <w:jc w:val="both"/>
        <w:rPr>
          <w:szCs w:val="20"/>
        </w:rPr>
      </w:pPr>
      <w:r w:rsidRPr="00FB44CE">
        <w:rPr>
          <w:szCs w:val="20"/>
        </w:rPr>
        <w:t xml:space="preserve">Assist WTTs with the development of Household Profiling Plans and ensure access to Household Profiling Tools </w:t>
      </w:r>
    </w:p>
    <w:p w14:paraId="11A0D17B" w14:textId="77777777" w:rsidR="00FB44CE" w:rsidRPr="00FB44CE" w:rsidRDefault="00FB44CE" w:rsidP="00FB44CE">
      <w:pPr>
        <w:pStyle w:val="ListParagraph"/>
        <w:numPr>
          <w:ilvl w:val="0"/>
          <w:numId w:val="1"/>
        </w:numPr>
        <w:spacing w:after="0" w:line="240" w:lineRule="auto"/>
        <w:jc w:val="both"/>
        <w:rPr>
          <w:szCs w:val="20"/>
        </w:rPr>
      </w:pPr>
      <w:r w:rsidRPr="00FB44CE">
        <w:rPr>
          <w:szCs w:val="20"/>
        </w:rPr>
        <w:t xml:space="preserve">Ensure WTTs are established to carry out their mandates, comply with applicable guidelines and encourage integrated service delivery </w:t>
      </w:r>
    </w:p>
    <w:p w14:paraId="619123D6" w14:textId="77777777" w:rsidR="00FB44CE" w:rsidRPr="00FB44CE" w:rsidRDefault="00FB44CE" w:rsidP="00FB44CE">
      <w:pPr>
        <w:spacing w:after="0" w:line="240" w:lineRule="auto"/>
        <w:jc w:val="both"/>
        <w:rPr>
          <w:szCs w:val="20"/>
        </w:rPr>
      </w:pPr>
      <w:r w:rsidRPr="00FB44CE">
        <w:rPr>
          <w:szCs w:val="20"/>
        </w:rPr>
        <w:sym w:font="Symbol" w:char="F0B7"/>
      </w:r>
      <w:r w:rsidRPr="00FB44CE">
        <w:rPr>
          <w:szCs w:val="20"/>
        </w:rPr>
        <w:t xml:space="preserve"> Monitor household profiling at WTTs.</w:t>
      </w:r>
    </w:p>
    <w:p w14:paraId="1818C5E0" w14:textId="77777777" w:rsidR="00FB44CE" w:rsidRPr="00FB44CE" w:rsidRDefault="00FB44CE" w:rsidP="00FB44CE">
      <w:pPr>
        <w:spacing w:after="0" w:line="240" w:lineRule="auto"/>
        <w:jc w:val="both"/>
        <w:rPr>
          <w:szCs w:val="20"/>
        </w:rPr>
      </w:pPr>
    </w:p>
    <w:p w14:paraId="096BE2E4" w14:textId="77777777" w:rsidR="00FB44CE" w:rsidRDefault="00FB44CE" w:rsidP="00FB44CE">
      <w:pPr>
        <w:spacing w:after="0" w:line="240" w:lineRule="auto"/>
        <w:jc w:val="both"/>
      </w:pPr>
      <w:r w:rsidRPr="00FB44CE">
        <w:rPr>
          <w:szCs w:val="20"/>
        </w:rPr>
        <w:t xml:space="preserve">Over and above the above requirements, a mentorship programme was also implemented within the Municipality. Each Management Committee (MANCO) member has been provided with a War Room to mentor to assist with the War Room functionality. </w:t>
      </w:r>
    </w:p>
    <w:p w14:paraId="0AEC075E" w14:textId="77777777" w:rsidR="00FB44CE" w:rsidRDefault="00FB44CE" w:rsidP="00FB44CE">
      <w:pPr>
        <w:jc w:val="both"/>
      </w:pPr>
    </w:p>
    <w:tbl>
      <w:tblPr>
        <w:tblStyle w:val="TableGrid25"/>
        <w:tblW w:w="0" w:type="auto"/>
        <w:tblLook w:val="04A0" w:firstRow="1" w:lastRow="0" w:firstColumn="1" w:lastColumn="0" w:noHBand="0" w:noVBand="1"/>
      </w:tblPr>
      <w:tblGrid>
        <w:gridCol w:w="704"/>
        <w:gridCol w:w="1213"/>
        <w:gridCol w:w="2266"/>
        <w:gridCol w:w="2351"/>
        <w:gridCol w:w="3095"/>
      </w:tblGrid>
      <w:tr w:rsidR="00FB44CE" w:rsidRPr="00FB44CE" w14:paraId="30B4F0CD" w14:textId="77777777" w:rsidTr="00FB44CE">
        <w:trPr>
          <w:tblHeader/>
        </w:trPr>
        <w:tc>
          <w:tcPr>
            <w:tcW w:w="0" w:type="auto"/>
            <w:shd w:val="clear" w:color="auto" w:fill="D9D9D9"/>
          </w:tcPr>
          <w:p w14:paraId="1BE36004" w14:textId="77777777" w:rsidR="00FB44CE" w:rsidRPr="00FB44CE" w:rsidRDefault="00FB44CE" w:rsidP="00FB44CE">
            <w:pPr>
              <w:rPr>
                <w:rFonts w:cs="Times New Roman"/>
                <w:b/>
                <w:sz w:val="18"/>
                <w:szCs w:val="18"/>
              </w:rPr>
            </w:pPr>
            <w:r w:rsidRPr="00FB44CE">
              <w:rPr>
                <w:rFonts w:cs="Times New Roman"/>
                <w:b/>
                <w:sz w:val="18"/>
                <w:szCs w:val="18"/>
              </w:rPr>
              <w:t>WARD</w:t>
            </w:r>
          </w:p>
        </w:tc>
        <w:tc>
          <w:tcPr>
            <w:tcW w:w="0" w:type="auto"/>
            <w:shd w:val="clear" w:color="auto" w:fill="D9D9D9"/>
          </w:tcPr>
          <w:p w14:paraId="7CE73C23" w14:textId="77777777" w:rsidR="00FB44CE" w:rsidRPr="00FB44CE" w:rsidRDefault="00FB44CE" w:rsidP="00FB44CE">
            <w:pPr>
              <w:rPr>
                <w:rFonts w:cs="Times New Roman"/>
                <w:b/>
                <w:sz w:val="18"/>
                <w:szCs w:val="18"/>
              </w:rPr>
            </w:pPr>
            <w:r w:rsidRPr="00FB44CE">
              <w:rPr>
                <w:rFonts w:cs="Times New Roman"/>
                <w:b/>
                <w:sz w:val="18"/>
                <w:szCs w:val="18"/>
              </w:rPr>
              <w:t>COUNCILLOR</w:t>
            </w:r>
          </w:p>
        </w:tc>
        <w:tc>
          <w:tcPr>
            <w:tcW w:w="0" w:type="auto"/>
            <w:shd w:val="clear" w:color="auto" w:fill="D9D9D9"/>
          </w:tcPr>
          <w:p w14:paraId="4DFAFDE1" w14:textId="77777777" w:rsidR="00FB44CE" w:rsidRPr="00FB44CE" w:rsidRDefault="00FB44CE" w:rsidP="00FB44CE">
            <w:pPr>
              <w:rPr>
                <w:rFonts w:cs="Times New Roman"/>
                <w:b/>
                <w:sz w:val="18"/>
                <w:szCs w:val="18"/>
              </w:rPr>
            </w:pPr>
            <w:r w:rsidRPr="00FB44CE">
              <w:rPr>
                <w:rFonts w:cs="Times New Roman"/>
                <w:b/>
                <w:sz w:val="18"/>
                <w:szCs w:val="18"/>
              </w:rPr>
              <w:t>MENTOR</w:t>
            </w:r>
          </w:p>
        </w:tc>
        <w:tc>
          <w:tcPr>
            <w:tcW w:w="0" w:type="auto"/>
            <w:shd w:val="clear" w:color="auto" w:fill="D9D9D9"/>
          </w:tcPr>
          <w:p w14:paraId="30EA819F" w14:textId="77777777" w:rsidR="00FB44CE" w:rsidRPr="00FB44CE" w:rsidRDefault="00FB44CE" w:rsidP="00FB44CE">
            <w:pPr>
              <w:rPr>
                <w:rFonts w:cs="Times New Roman"/>
                <w:b/>
                <w:sz w:val="18"/>
                <w:szCs w:val="18"/>
              </w:rPr>
            </w:pPr>
            <w:r w:rsidRPr="00FB44CE">
              <w:rPr>
                <w:rFonts w:cs="Times New Roman"/>
                <w:b/>
                <w:sz w:val="18"/>
                <w:szCs w:val="18"/>
              </w:rPr>
              <w:t>FUNCTIONALITY STATUS</w:t>
            </w:r>
          </w:p>
        </w:tc>
        <w:tc>
          <w:tcPr>
            <w:tcW w:w="0" w:type="auto"/>
            <w:shd w:val="clear" w:color="auto" w:fill="D9D9D9"/>
          </w:tcPr>
          <w:p w14:paraId="2F7B8548" w14:textId="77777777" w:rsidR="00FB44CE" w:rsidRPr="00FB44CE" w:rsidRDefault="00FB44CE" w:rsidP="00FB44CE">
            <w:pPr>
              <w:rPr>
                <w:rFonts w:cs="Times New Roman"/>
                <w:b/>
                <w:sz w:val="18"/>
                <w:szCs w:val="18"/>
              </w:rPr>
            </w:pPr>
            <w:r w:rsidRPr="00FB44CE">
              <w:rPr>
                <w:rFonts w:cs="Times New Roman"/>
                <w:b/>
                <w:sz w:val="18"/>
                <w:szCs w:val="18"/>
              </w:rPr>
              <w:t>COMMENTS</w:t>
            </w:r>
          </w:p>
        </w:tc>
      </w:tr>
      <w:tr w:rsidR="00FB44CE" w:rsidRPr="00FB44CE" w14:paraId="047F1C81" w14:textId="77777777" w:rsidTr="00FB44CE">
        <w:tc>
          <w:tcPr>
            <w:tcW w:w="0" w:type="auto"/>
          </w:tcPr>
          <w:p w14:paraId="2886B38D" w14:textId="77777777" w:rsidR="00FB44CE" w:rsidRPr="00FB44CE" w:rsidRDefault="00FB44CE" w:rsidP="00FB44CE">
            <w:pPr>
              <w:rPr>
                <w:rFonts w:cs="Times New Roman"/>
                <w:sz w:val="18"/>
                <w:szCs w:val="18"/>
              </w:rPr>
            </w:pPr>
            <w:r w:rsidRPr="00FB44CE">
              <w:rPr>
                <w:rFonts w:cs="Times New Roman"/>
                <w:sz w:val="18"/>
                <w:szCs w:val="18"/>
              </w:rPr>
              <w:t>1</w:t>
            </w:r>
          </w:p>
        </w:tc>
        <w:tc>
          <w:tcPr>
            <w:tcW w:w="0" w:type="auto"/>
          </w:tcPr>
          <w:p w14:paraId="52A30236" w14:textId="77777777" w:rsidR="00FB44CE" w:rsidRPr="00FB44CE" w:rsidRDefault="00FB44CE" w:rsidP="00FB44CE">
            <w:pPr>
              <w:rPr>
                <w:rFonts w:cs="Times New Roman"/>
                <w:sz w:val="18"/>
                <w:szCs w:val="18"/>
              </w:rPr>
            </w:pPr>
            <w:r w:rsidRPr="00FB44CE">
              <w:rPr>
                <w:rFonts w:cs="Times New Roman"/>
                <w:sz w:val="18"/>
                <w:szCs w:val="18"/>
              </w:rPr>
              <w:t>S V Chamane</w:t>
            </w:r>
          </w:p>
        </w:tc>
        <w:tc>
          <w:tcPr>
            <w:tcW w:w="0" w:type="auto"/>
          </w:tcPr>
          <w:p w14:paraId="5298B13A" w14:textId="77777777" w:rsidR="00FB44CE" w:rsidRPr="00FB44CE" w:rsidRDefault="00FB44CE" w:rsidP="00FB44CE">
            <w:pPr>
              <w:rPr>
                <w:rFonts w:cs="Times New Roman"/>
                <w:sz w:val="18"/>
                <w:szCs w:val="18"/>
              </w:rPr>
            </w:pPr>
            <w:r w:rsidRPr="00FB44CE">
              <w:rPr>
                <w:rFonts w:cs="Times New Roman"/>
                <w:sz w:val="18"/>
                <w:szCs w:val="18"/>
              </w:rPr>
              <w:t>Director Community Services (Sibusiso Nzuza)</w:t>
            </w:r>
          </w:p>
        </w:tc>
        <w:tc>
          <w:tcPr>
            <w:tcW w:w="0" w:type="auto"/>
          </w:tcPr>
          <w:p w14:paraId="46D3CF38" w14:textId="77777777" w:rsidR="00FB44CE" w:rsidRPr="00FB44CE" w:rsidRDefault="00FB44CE" w:rsidP="00FB44CE">
            <w:pPr>
              <w:rPr>
                <w:rFonts w:cs="Times New Roman"/>
                <w:sz w:val="18"/>
                <w:szCs w:val="18"/>
              </w:rPr>
            </w:pPr>
            <w:r w:rsidRPr="00FB44CE">
              <w:rPr>
                <w:rFonts w:cs="Times New Roman"/>
                <w:sz w:val="18"/>
                <w:szCs w:val="18"/>
              </w:rPr>
              <w:t>The War Room has been established and is functional – They meet once a month</w:t>
            </w:r>
          </w:p>
        </w:tc>
        <w:tc>
          <w:tcPr>
            <w:tcW w:w="0" w:type="auto"/>
          </w:tcPr>
          <w:p w14:paraId="46C16651" w14:textId="77777777" w:rsidR="00FB44CE" w:rsidRPr="00FB44CE" w:rsidRDefault="00FB44CE" w:rsidP="00FB44CE">
            <w:pPr>
              <w:rPr>
                <w:rFonts w:cs="Times New Roman"/>
                <w:sz w:val="18"/>
                <w:szCs w:val="18"/>
              </w:rPr>
            </w:pPr>
            <w:r w:rsidRPr="00FB44CE">
              <w:rPr>
                <w:rFonts w:cs="Times New Roman"/>
                <w:sz w:val="18"/>
                <w:szCs w:val="18"/>
              </w:rPr>
              <w:t>Sector departments do not attend the meetings. The Councillor reported the issues to the Office of the Premier. The issues will be submitted to the relevant office and they will be requested to attend all future meetings.</w:t>
            </w:r>
          </w:p>
        </w:tc>
      </w:tr>
      <w:tr w:rsidR="00FB44CE" w:rsidRPr="00FB44CE" w14:paraId="50E7D931" w14:textId="77777777" w:rsidTr="00FB44CE">
        <w:tc>
          <w:tcPr>
            <w:tcW w:w="0" w:type="auto"/>
          </w:tcPr>
          <w:p w14:paraId="1B7523A2" w14:textId="77777777" w:rsidR="00FB44CE" w:rsidRPr="00FB44CE" w:rsidRDefault="00FB44CE" w:rsidP="00FB44CE">
            <w:pPr>
              <w:rPr>
                <w:rFonts w:cs="Times New Roman"/>
                <w:sz w:val="18"/>
                <w:szCs w:val="18"/>
              </w:rPr>
            </w:pPr>
            <w:r w:rsidRPr="00FB44CE">
              <w:rPr>
                <w:rFonts w:cs="Times New Roman"/>
                <w:sz w:val="18"/>
                <w:szCs w:val="18"/>
              </w:rPr>
              <w:t>2</w:t>
            </w:r>
          </w:p>
        </w:tc>
        <w:tc>
          <w:tcPr>
            <w:tcW w:w="0" w:type="auto"/>
          </w:tcPr>
          <w:p w14:paraId="77E4BC1D" w14:textId="77777777" w:rsidR="00FB44CE" w:rsidRPr="00FB44CE" w:rsidRDefault="00FB44CE" w:rsidP="00FB44CE">
            <w:pPr>
              <w:rPr>
                <w:rFonts w:cs="Times New Roman"/>
                <w:sz w:val="18"/>
                <w:szCs w:val="18"/>
              </w:rPr>
            </w:pPr>
            <w:r w:rsidRPr="00FB44CE">
              <w:rPr>
                <w:rFonts w:cs="Times New Roman"/>
                <w:sz w:val="18"/>
                <w:szCs w:val="18"/>
              </w:rPr>
              <w:t>N B Nkala</w:t>
            </w:r>
          </w:p>
        </w:tc>
        <w:tc>
          <w:tcPr>
            <w:tcW w:w="0" w:type="auto"/>
          </w:tcPr>
          <w:p w14:paraId="1D11A291" w14:textId="77777777" w:rsidR="00FB44CE" w:rsidRPr="00FB44CE" w:rsidRDefault="00FB44CE" w:rsidP="00FB44CE">
            <w:pPr>
              <w:rPr>
                <w:rFonts w:cs="Times New Roman"/>
                <w:sz w:val="18"/>
                <w:szCs w:val="18"/>
              </w:rPr>
            </w:pPr>
            <w:r w:rsidRPr="00FB44CE">
              <w:rPr>
                <w:rFonts w:cs="Times New Roman"/>
                <w:sz w:val="18"/>
                <w:szCs w:val="18"/>
              </w:rPr>
              <w:t>The Councillor has no idea who the Mentor is.</w:t>
            </w:r>
          </w:p>
        </w:tc>
        <w:tc>
          <w:tcPr>
            <w:tcW w:w="0" w:type="auto"/>
          </w:tcPr>
          <w:p w14:paraId="48965C3B" w14:textId="77777777" w:rsidR="00FB44CE" w:rsidRPr="00FB44CE" w:rsidRDefault="00FB44CE" w:rsidP="00FB44CE">
            <w:pPr>
              <w:rPr>
                <w:rFonts w:cs="Times New Roman"/>
                <w:sz w:val="18"/>
                <w:szCs w:val="18"/>
              </w:rPr>
            </w:pPr>
            <w:r w:rsidRPr="00FB44CE">
              <w:rPr>
                <w:rFonts w:cs="Times New Roman"/>
                <w:sz w:val="18"/>
                <w:szCs w:val="18"/>
              </w:rPr>
              <w:t>The War Room has been established. The members require training.</w:t>
            </w:r>
          </w:p>
        </w:tc>
        <w:tc>
          <w:tcPr>
            <w:tcW w:w="0" w:type="auto"/>
          </w:tcPr>
          <w:p w14:paraId="4B5D2F2E" w14:textId="77777777" w:rsidR="00FB44CE" w:rsidRPr="00FB44CE" w:rsidRDefault="00FB44CE" w:rsidP="00FB44CE">
            <w:pPr>
              <w:rPr>
                <w:rFonts w:cs="Times New Roman"/>
                <w:sz w:val="18"/>
                <w:szCs w:val="18"/>
              </w:rPr>
            </w:pPr>
            <w:r w:rsidRPr="00FB44CE">
              <w:rPr>
                <w:rFonts w:cs="Times New Roman"/>
                <w:sz w:val="18"/>
                <w:szCs w:val="18"/>
              </w:rPr>
              <w:t>The only sector departments that attend the meetings are Department of Health and Department of Social Development.</w:t>
            </w:r>
          </w:p>
        </w:tc>
      </w:tr>
      <w:tr w:rsidR="00FB44CE" w:rsidRPr="00FB44CE" w14:paraId="313E9EC5" w14:textId="77777777" w:rsidTr="00FB44CE">
        <w:tc>
          <w:tcPr>
            <w:tcW w:w="0" w:type="auto"/>
          </w:tcPr>
          <w:p w14:paraId="698412B3" w14:textId="77777777" w:rsidR="00FB44CE" w:rsidRPr="00FB44CE" w:rsidRDefault="00FB44CE" w:rsidP="00FB44CE">
            <w:pPr>
              <w:rPr>
                <w:rFonts w:cs="Times New Roman"/>
                <w:sz w:val="18"/>
                <w:szCs w:val="18"/>
              </w:rPr>
            </w:pPr>
            <w:r w:rsidRPr="00FB44CE">
              <w:rPr>
                <w:rFonts w:cs="Times New Roman"/>
                <w:sz w:val="18"/>
                <w:szCs w:val="18"/>
              </w:rPr>
              <w:t>3</w:t>
            </w:r>
          </w:p>
        </w:tc>
        <w:tc>
          <w:tcPr>
            <w:tcW w:w="0" w:type="auto"/>
          </w:tcPr>
          <w:p w14:paraId="0ACE5E6F" w14:textId="77777777" w:rsidR="00FB44CE" w:rsidRPr="00FB44CE" w:rsidRDefault="00FB44CE" w:rsidP="00FB44CE">
            <w:pPr>
              <w:rPr>
                <w:rFonts w:cs="Times New Roman"/>
                <w:sz w:val="18"/>
                <w:szCs w:val="18"/>
              </w:rPr>
            </w:pPr>
            <w:r w:rsidRPr="00FB44CE">
              <w:rPr>
                <w:rFonts w:cs="Times New Roman"/>
                <w:sz w:val="18"/>
                <w:szCs w:val="18"/>
              </w:rPr>
              <w:t>T V Jiyane</w:t>
            </w:r>
          </w:p>
        </w:tc>
        <w:tc>
          <w:tcPr>
            <w:tcW w:w="0" w:type="auto"/>
          </w:tcPr>
          <w:p w14:paraId="2A09700A" w14:textId="77777777" w:rsidR="00FB44CE" w:rsidRPr="00FB44CE" w:rsidRDefault="00FB44CE" w:rsidP="00FB44CE">
            <w:pPr>
              <w:rPr>
                <w:rFonts w:cs="Times New Roman"/>
                <w:sz w:val="18"/>
                <w:szCs w:val="18"/>
              </w:rPr>
            </w:pPr>
            <w:r w:rsidRPr="00FB44CE">
              <w:rPr>
                <w:rFonts w:cs="Times New Roman"/>
                <w:sz w:val="18"/>
                <w:szCs w:val="18"/>
              </w:rPr>
              <w:t>Manager: HR and Manager IT (Themba Mthethwa and Zethu Fakude)</w:t>
            </w:r>
          </w:p>
        </w:tc>
        <w:tc>
          <w:tcPr>
            <w:tcW w:w="0" w:type="auto"/>
          </w:tcPr>
          <w:p w14:paraId="471BED73" w14:textId="77777777" w:rsidR="00FB44CE" w:rsidRPr="00FB44CE" w:rsidRDefault="00FB44CE" w:rsidP="00FB44CE">
            <w:pPr>
              <w:rPr>
                <w:rFonts w:cs="Times New Roman"/>
                <w:sz w:val="18"/>
                <w:szCs w:val="18"/>
              </w:rPr>
            </w:pPr>
            <w:r w:rsidRPr="00FB44CE">
              <w:rPr>
                <w:rFonts w:cs="Times New Roman"/>
                <w:sz w:val="18"/>
                <w:szCs w:val="18"/>
              </w:rPr>
              <w:t>The War Room has been established. The members require training.</w:t>
            </w:r>
          </w:p>
        </w:tc>
        <w:tc>
          <w:tcPr>
            <w:tcW w:w="0" w:type="auto"/>
          </w:tcPr>
          <w:p w14:paraId="15712900" w14:textId="77777777" w:rsidR="00FB44CE" w:rsidRPr="00FB44CE" w:rsidRDefault="00FB44CE" w:rsidP="00FB44CE">
            <w:pPr>
              <w:rPr>
                <w:rFonts w:cs="Times New Roman"/>
                <w:sz w:val="18"/>
                <w:szCs w:val="18"/>
              </w:rPr>
            </w:pPr>
            <w:r w:rsidRPr="00FB44CE">
              <w:rPr>
                <w:rFonts w:cs="Times New Roman"/>
                <w:sz w:val="18"/>
                <w:szCs w:val="18"/>
              </w:rPr>
              <w:t>The only sector departments that attend the meetings are Department of Health and Department of Social Development.</w:t>
            </w:r>
          </w:p>
        </w:tc>
      </w:tr>
      <w:tr w:rsidR="00FB44CE" w:rsidRPr="00FB44CE" w14:paraId="29041949" w14:textId="77777777" w:rsidTr="00FB44CE">
        <w:tc>
          <w:tcPr>
            <w:tcW w:w="0" w:type="auto"/>
          </w:tcPr>
          <w:p w14:paraId="4A5DC721" w14:textId="77777777" w:rsidR="00FB44CE" w:rsidRPr="00FB44CE" w:rsidRDefault="00FB44CE" w:rsidP="00FB44CE">
            <w:pPr>
              <w:rPr>
                <w:rFonts w:cs="Times New Roman"/>
                <w:sz w:val="18"/>
                <w:szCs w:val="18"/>
              </w:rPr>
            </w:pPr>
            <w:r w:rsidRPr="00FB44CE">
              <w:rPr>
                <w:rFonts w:cs="Times New Roman"/>
                <w:sz w:val="18"/>
                <w:szCs w:val="18"/>
              </w:rPr>
              <w:t>4</w:t>
            </w:r>
          </w:p>
        </w:tc>
        <w:tc>
          <w:tcPr>
            <w:tcW w:w="0" w:type="auto"/>
          </w:tcPr>
          <w:p w14:paraId="0AAD157B" w14:textId="77777777" w:rsidR="00FB44CE" w:rsidRPr="00FB44CE" w:rsidRDefault="00FB44CE" w:rsidP="00FB44CE">
            <w:pPr>
              <w:rPr>
                <w:rFonts w:cs="Times New Roman"/>
                <w:sz w:val="18"/>
                <w:szCs w:val="18"/>
              </w:rPr>
            </w:pPr>
            <w:r w:rsidRPr="00FB44CE">
              <w:rPr>
                <w:rFonts w:cs="Times New Roman"/>
                <w:sz w:val="18"/>
                <w:szCs w:val="18"/>
              </w:rPr>
              <w:t>N N F Luvuno</w:t>
            </w:r>
          </w:p>
        </w:tc>
        <w:tc>
          <w:tcPr>
            <w:tcW w:w="0" w:type="auto"/>
          </w:tcPr>
          <w:p w14:paraId="2D1DD704" w14:textId="77777777" w:rsidR="00FB44CE" w:rsidRPr="00FB44CE" w:rsidRDefault="00FB44CE" w:rsidP="00FB44CE">
            <w:pPr>
              <w:rPr>
                <w:rFonts w:cs="Times New Roman"/>
                <w:sz w:val="18"/>
                <w:szCs w:val="18"/>
              </w:rPr>
            </w:pPr>
            <w:r w:rsidRPr="00FB44CE">
              <w:rPr>
                <w:rFonts w:cs="Times New Roman"/>
                <w:sz w:val="18"/>
                <w:szCs w:val="18"/>
              </w:rPr>
              <w:t>Chief Financial Officer (Zakhele Mhlongo)</w:t>
            </w:r>
          </w:p>
        </w:tc>
        <w:tc>
          <w:tcPr>
            <w:tcW w:w="0" w:type="auto"/>
          </w:tcPr>
          <w:p w14:paraId="6CCE8B4B" w14:textId="77777777" w:rsidR="00FB44CE" w:rsidRPr="00FB44CE" w:rsidRDefault="00FB44CE" w:rsidP="00FB44CE">
            <w:pPr>
              <w:rPr>
                <w:rFonts w:cs="Times New Roman"/>
                <w:sz w:val="18"/>
                <w:szCs w:val="18"/>
              </w:rPr>
            </w:pPr>
            <w:r w:rsidRPr="00FB44CE">
              <w:rPr>
                <w:rFonts w:cs="Times New Roman"/>
                <w:sz w:val="18"/>
                <w:szCs w:val="18"/>
              </w:rPr>
              <w:t>The War Room has been established and is functional – They meet twice a month (First and last Thursday of the month)</w:t>
            </w:r>
          </w:p>
        </w:tc>
        <w:tc>
          <w:tcPr>
            <w:tcW w:w="0" w:type="auto"/>
          </w:tcPr>
          <w:p w14:paraId="4AC2AA17" w14:textId="77777777" w:rsidR="00FB44CE" w:rsidRPr="00FB44CE" w:rsidRDefault="00FB44CE" w:rsidP="00FB44CE">
            <w:pPr>
              <w:rPr>
                <w:rFonts w:cs="Times New Roman"/>
                <w:sz w:val="18"/>
                <w:szCs w:val="18"/>
              </w:rPr>
            </w:pPr>
            <w:r w:rsidRPr="00FB44CE">
              <w:rPr>
                <w:rFonts w:cs="Times New Roman"/>
                <w:sz w:val="18"/>
                <w:szCs w:val="18"/>
              </w:rPr>
              <w:t>The only department that attend the meetings is the Department of Health.</w:t>
            </w:r>
          </w:p>
        </w:tc>
      </w:tr>
      <w:tr w:rsidR="00FB44CE" w:rsidRPr="00FB44CE" w14:paraId="58BA21FD" w14:textId="77777777" w:rsidTr="00FB44CE">
        <w:tc>
          <w:tcPr>
            <w:tcW w:w="0" w:type="auto"/>
          </w:tcPr>
          <w:p w14:paraId="1D4AD2B3" w14:textId="77777777" w:rsidR="00FB44CE" w:rsidRPr="00FB44CE" w:rsidRDefault="00FB44CE" w:rsidP="00FB44CE">
            <w:pPr>
              <w:rPr>
                <w:rFonts w:cs="Times New Roman"/>
                <w:sz w:val="18"/>
                <w:szCs w:val="18"/>
              </w:rPr>
            </w:pPr>
            <w:r w:rsidRPr="00FB44CE">
              <w:rPr>
                <w:rFonts w:cs="Times New Roman"/>
                <w:sz w:val="18"/>
                <w:szCs w:val="18"/>
              </w:rPr>
              <w:t>5</w:t>
            </w:r>
          </w:p>
        </w:tc>
        <w:tc>
          <w:tcPr>
            <w:tcW w:w="0" w:type="auto"/>
          </w:tcPr>
          <w:p w14:paraId="5A81D3F3" w14:textId="77777777" w:rsidR="00FB44CE" w:rsidRPr="00FB44CE" w:rsidRDefault="00FB44CE" w:rsidP="00FB44CE">
            <w:pPr>
              <w:rPr>
                <w:rFonts w:cs="Times New Roman"/>
                <w:sz w:val="18"/>
                <w:szCs w:val="18"/>
              </w:rPr>
            </w:pPr>
            <w:r w:rsidRPr="00FB44CE">
              <w:rPr>
                <w:rFonts w:cs="Times New Roman"/>
                <w:sz w:val="18"/>
                <w:szCs w:val="18"/>
              </w:rPr>
              <w:t>N S Zulu</w:t>
            </w:r>
          </w:p>
        </w:tc>
        <w:tc>
          <w:tcPr>
            <w:tcW w:w="0" w:type="auto"/>
          </w:tcPr>
          <w:p w14:paraId="41ACF096" w14:textId="77777777" w:rsidR="00FB44CE" w:rsidRPr="00FB44CE" w:rsidRDefault="00FB44CE" w:rsidP="00FB44CE">
            <w:pPr>
              <w:rPr>
                <w:rFonts w:cs="Times New Roman"/>
                <w:sz w:val="18"/>
                <w:szCs w:val="18"/>
              </w:rPr>
            </w:pPr>
            <w:r w:rsidRPr="00FB44CE">
              <w:rPr>
                <w:rFonts w:cs="Times New Roman"/>
                <w:sz w:val="18"/>
                <w:szCs w:val="18"/>
              </w:rPr>
              <w:t>Director Community Services (Sibusiso Nzuza)</w:t>
            </w:r>
          </w:p>
        </w:tc>
        <w:tc>
          <w:tcPr>
            <w:tcW w:w="0" w:type="auto"/>
          </w:tcPr>
          <w:p w14:paraId="22968622" w14:textId="77777777" w:rsidR="00FB44CE" w:rsidRPr="00FB44CE" w:rsidRDefault="00FB44CE" w:rsidP="00FB44CE">
            <w:pPr>
              <w:rPr>
                <w:rFonts w:cs="Times New Roman"/>
                <w:sz w:val="18"/>
                <w:szCs w:val="18"/>
              </w:rPr>
            </w:pPr>
            <w:r w:rsidRPr="00FB44CE">
              <w:rPr>
                <w:rFonts w:cs="Times New Roman"/>
                <w:sz w:val="18"/>
                <w:szCs w:val="18"/>
              </w:rPr>
              <w:t>The War Room is has been established and is functional – They meet once a month (second Thursday)</w:t>
            </w:r>
          </w:p>
        </w:tc>
        <w:tc>
          <w:tcPr>
            <w:tcW w:w="0" w:type="auto"/>
          </w:tcPr>
          <w:p w14:paraId="03A47F73" w14:textId="77777777" w:rsidR="00FB44CE" w:rsidRPr="00FB44CE" w:rsidRDefault="00FB44CE" w:rsidP="00FB44CE">
            <w:pPr>
              <w:rPr>
                <w:rFonts w:cs="Times New Roman"/>
                <w:sz w:val="18"/>
                <w:szCs w:val="18"/>
              </w:rPr>
            </w:pPr>
            <w:r w:rsidRPr="00FB44CE">
              <w:rPr>
                <w:rFonts w:cs="Times New Roman"/>
                <w:sz w:val="18"/>
                <w:szCs w:val="18"/>
              </w:rPr>
              <w:t>No departments attend the meeting.</w:t>
            </w:r>
          </w:p>
        </w:tc>
      </w:tr>
      <w:tr w:rsidR="00FB44CE" w:rsidRPr="00FB44CE" w14:paraId="46EA913B" w14:textId="77777777" w:rsidTr="00FB44CE">
        <w:tc>
          <w:tcPr>
            <w:tcW w:w="0" w:type="auto"/>
          </w:tcPr>
          <w:p w14:paraId="77B6BE20" w14:textId="77777777" w:rsidR="00FB44CE" w:rsidRPr="00FB44CE" w:rsidRDefault="00FB44CE" w:rsidP="00FB44CE">
            <w:pPr>
              <w:rPr>
                <w:rFonts w:cs="Times New Roman"/>
                <w:sz w:val="18"/>
                <w:szCs w:val="18"/>
              </w:rPr>
            </w:pPr>
            <w:r w:rsidRPr="00FB44CE">
              <w:rPr>
                <w:rFonts w:cs="Times New Roman"/>
                <w:sz w:val="18"/>
                <w:szCs w:val="18"/>
              </w:rPr>
              <w:t>6</w:t>
            </w:r>
          </w:p>
        </w:tc>
        <w:tc>
          <w:tcPr>
            <w:tcW w:w="0" w:type="auto"/>
          </w:tcPr>
          <w:p w14:paraId="38A8BBF3" w14:textId="77777777" w:rsidR="00FB44CE" w:rsidRPr="00FB44CE" w:rsidRDefault="00FB44CE" w:rsidP="00FB44CE">
            <w:pPr>
              <w:rPr>
                <w:rFonts w:cs="Times New Roman"/>
                <w:sz w:val="18"/>
                <w:szCs w:val="18"/>
              </w:rPr>
            </w:pPr>
            <w:r w:rsidRPr="00FB44CE">
              <w:rPr>
                <w:rFonts w:cs="Times New Roman"/>
                <w:sz w:val="18"/>
                <w:szCs w:val="18"/>
              </w:rPr>
              <w:t>B C Sithole</w:t>
            </w:r>
          </w:p>
        </w:tc>
        <w:tc>
          <w:tcPr>
            <w:tcW w:w="0" w:type="auto"/>
          </w:tcPr>
          <w:p w14:paraId="3C3F2987" w14:textId="77777777" w:rsidR="00FB44CE" w:rsidRPr="00FB44CE" w:rsidRDefault="00FB44CE" w:rsidP="00FB44CE">
            <w:pPr>
              <w:rPr>
                <w:rFonts w:cs="Times New Roman"/>
                <w:sz w:val="18"/>
                <w:szCs w:val="18"/>
              </w:rPr>
            </w:pPr>
            <w:r w:rsidRPr="00FB44CE">
              <w:rPr>
                <w:rFonts w:cs="Times New Roman"/>
                <w:sz w:val="18"/>
                <w:szCs w:val="18"/>
              </w:rPr>
              <w:t>Director Community Services (Sibusiso Nzuza)</w:t>
            </w:r>
          </w:p>
        </w:tc>
        <w:tc>
          <w:tcPr>
            <w:tcW w:w="0" w:type="auto"/>
          </w:tcPr>
          <w:p w14:paraId="5E28E81F" w14:textId="77777777" w:rsidR="00FB44CE" w:rsidRPr="00FB44CE" w:rsidRDefault="00FB44CE" w:rsidP="00FB44CE">
            <w:pPr>
              <w:rPr>
                <w:rFonts w:cs="Times New Roman"/>
                <w:sz w:val="18"/>
                <w:szCs w:val="18"/>
              </w:rPr>
            </w:pPr>
            <w:r w:rsidRPr="00FB44CE">
              <w:rPr>
                <w:rFonts w:cs="Times New Roman"/>
                <w:sz w:val="18"/>
                <w:szCs w:val="18"/>
              </w:rPr>
              <w:t xml:space="preserve">The War Room is has been established and is functional </w:t>
            </w:r>
          </w:p>
        </w:tc>
        <w:tc>
          <w:tcPr>
            <w:tcW w:w="0" w:type="auto"/>
          </w:tcPr>
          <w:p w14:paraId="625DE36C" w14:textId="77777777" w:rsidR="00FB44CE" w:rsidRPr="00FB44CE" w:rsidRDefault="00FB44CE" w:rsidP="00FB44CE">
            <w:pPr>
              <w:rPr>
                <w:rFonts w:cs="Times New Roman"/>
                <w:sz w:val="18"/>
                <w:szCs w:val="18"/>
              </w:rPr>
            </w:pPr>
            <w:r w:rsidRPr="00FB44CE">
              <w:rPr>
                <w:rFonts w:cs="Times New Roman"/>
                <w:sz w:val="18"/>
                <w:szCs w:val="18"/>
              </w:rPr>
              <w:t>The only departments that attend the meetings are the Department of Arts and Culture and SASSA.</w:t>
            </w:r>
          </w:p>
        </w:tc>
      </w:tr>
      <w:tr w:rsidR="00FB44CE" w:rsidRPr="00FB44CE" w14:paraId="6837DD78" w14:textId="77777777" w:rsidTr="00FB44CE">
        <w:tc>
          <w:tcPr>
            <w:tcW w:w="0" w:type="auto"/>
          </w:tcPr>
          <w:p w14:paraId="2FD26CF6" w14:textId="77777777" w:rsidR="00FB44CE" w:rsidRPr="00FB44CE" w:rsidRDefault="00FB44CE" w:rsidP="00FB44CE">
            <w:pPr>
              <w:rPr>
                <w:rFonts w:cs="Times New Roman"/>
                <w:sz w:val="18"/>
                <w:szCs w:val="18"/>
              </w:rPr>
            </w:pPr>
            <w:r w:rsidRPr="00FB44CE">
              <w:rPr>
                <w:rFonts w:cs="Times New Roman"/>
                <w:sz w:val="18"/>
                <w:szCs w:val="18"/>
              </w:rPr>
              <w:t>7</w:t>
            </w:r>
          </w:p>
        </w:tc>
        <w:tc>
          <w:tcPr>
            <w:tcW w:w="0" w:type="auto"/>
          </w:tcPr>
          <w:p w14:paraId="36AADBC1" w14:textId="77777777" w:rsidR="00FB44CE" w:rsidRPr="00FB44CE" w:rsidRDefault="00FB44CE" w:rsidP="00FB44CE">
            <w:pPr>
              <w:rPr>
                <w:rFonts w:cs="Times New Roman"/>
                <w:sz w:val="18"/>
                <w:szCs w:val="18"/>
              </w:rPr>
            </w:pPr>
            <w:r w:rsidRPr="00FB44CE">
              <w:rPr>
                <w:rFonts w:cs="Times New Roman"/>
                <w:sz w:val="18"/>
                <w:szCs w:val="18"/>
              </w:rPr>
              <w:t>P T O Shange</w:t>
            </w:r>
          </w:p>
        </w:tc>
        <w:tc>
          <w:tcPr>
            <w:tcW w:w="0" w:type="auto"/>
          </w:tcPr>
          <w:p w14:paraId="53BD5267" w14:textId="77777777" w:rsidR="00FB44CE" w:rsidRPr="00FB44CE" w:rsidRDefault="00FB44CE" w:rsidP="00FB44CE">
            <w:pPr>
              <w:rPr>
                <w:rFonts w:cs="Times New Roman"/>
                <w:sz w:val="18"/>
                <w:szCs w:val="18"/>
              </w:rPr>
            </w:pPr>
            <w:r w:rsidRPr="00FB44CE">
              <w:rPr>
                <w:rFonts w:cs="Times New Roman"/>
                <w:sz w:val="18"/>
                <w:szCs w:val="18"/>
              </w:rPr>
              <w:t>Director Corporate Services (Bheki Zulu) and Senior Manager Corporate Services (Suzie van der Westhuizen)</w:t>
            </w:r>
          </w:p>
        </w:tc>
        <w:tc>
          <w:tcPr>
            <w:tcW w:w="0" w:type="auto"/>
          </w:tcPr>
          <w:p w14:paraId="210F2AB6" w14:textId="77777777" w:rsidR="00FB44CE" w:rsidRPr="00FB44CE" w:rsidRDefault="00FB44CE" w:rsidP="00FB44CE">
            <w:pPr>
              <w:rPr>
                <w:rFonts w:cs="Times New Roman"/>
                <w:sz w:val="18"/>
                <w:szCs w:val="18"/>
              </w:rPr>
            </w:pPr>
            <w:r w:rsidRPr="00FB44CE">
              <w:rPr>
                <w:rFonts w:cs="Times New Roman"/>
                <w:sz w:val="18"/>
                <w:szCs w:val="18"/>
              </w:rPr>
              <w:t xml:space="preserve">The War Room has been established and is no longer functional. </w:t>
            </w:r>
          </w:p>
        </w:tc>
        <w:tc>
          <w:tcPr>
            <w:tcW w:w="0" w:type="auto"/>
          </w:tcPr>
          <w:p w14:paraId="5DE6542B" w14:textId="77777777" w:rsidR="00FB44CE" w:rsidRPr="00FB44CE" w:rsidRDefault="00FB44CE" w:rsidP="00FB44CE">
            <w:pPr>
              <w:rPr>
                <w:rFonts w:cs="Times New Roman"/>
                <w:sz w:val="18"/>
                <w:szCs w:val="18"/>
              </w:rPr>
            </w:pPr>
            <w:r w:rsidRPr="00FB44CE">
              <w:rPr>
                <w:rFonts w:cs="Times New Roman"/>
                <w:sz w:val="18"/>
                <w:szCs w:val="18"/>
              </w:rPr>
              <w:t>Waiting for the LTT Executive to restructure the War Room.</w:t>
            </w:r>
          </w:p>
        </w:tc>
      </w:tr>
      <w:tr w:rsidR="00FB44CE" w:rsidRPr="00FB44CE" w14:paraId="6DBEFFF2" w14:textId="77777777" w:rsidTr="00FB44CE">
        <w:tc>
          <w:tcPr>
            <w:tcW w:w="0" w:type="auto"/>
          </w:tcPr>
          <w:p w14:paraId="42383B5B" w14:textId="77777777" w:rsidR="00FB44CE" w:rsidRPr="00FB44CE" w:rsidRDefault="00FB44CE" w:rsidP="00FB44CE">
            <w:pPr>
              <w:rPr>
                <w:rFonts w:cs="Times New Roman"/>
                <w:sz w:val="18"/>
                <w:szCs w:val="18"/>
              </w:rPr>
            </w:pPr>
            <w:r w:rsidRPr="00FB44CE">
              <w:rPr>
                <w:rFonts w:cs="Times New Roman"/>
                <w:sz w:val="18"/>
                <w:szCs w:val="18"/>
              </w:rPr>
              <w:t>8</w:t>
            </w:r>
          </w:p>
        </w:tc>
        <w:tc>
          <w:tcPr>
            <w:tcW w:w="0" w:type="auto"/>
          </w:tcPr>
          <w:p w14:paraId="0249E815" w14:textId="77777777" w:rsidR="00FB44CE" w:rsidRPr="00FB44CE" w:rsidRDefault="00FB44CE" w:rsidP="00FB44CE">
            <w:pPr>
              <w:rPr>
                <w:rFonts w:cs="Times New Roman"/>
                <w:sz w:val="18"/>
                <w:szCs w:val="18"/>
              </w:rPr>
            </w:pPr>
            <w:r w:rsidRPr="00FB44CE">
              <w:rPr>
                <w:rFonts w:cs="Times New Roman"/>
                <w:sz w:val="18"/>
                <w:szCs w:val="18"/>
              </w:rPr>
              <w:t>W P Mzimela</w:t>
            </w:r>
          </w:p>
        </w:tc>
        <w:tc>
          <w:tcPr>
            <w:tcW w:w="0" w:type="auto"/>
          </w:tcPr>
          <w:p w14:paraId="68590ED2" w14:textId="77777777" w:rsidR="00FB44CE" w:rsidRPr="00FB44CE" w:rsidRDefault="00FB44CE" w:rsidP="00FB44CE">
            <w:pPr>
              <w:rPr>
                <w:rFonts w:cs="Times New Roman"/>
                <w:sz w:val="18"/>
                <w:szCs w:val="18"/>
              </w:rPr>
            </w:pPr>
            <w:r w:rsidRPr="00FB44CE">
              <w:rPr>
                <w:rFonts w:cs="Times New Roman"/>
                <w:sz w:val="18"/>
                <w:szCs w:val="18"/>
              </w:rPr>
              <w:t>Manager Compliance (Vincent Mbatha)</w:t>
            </w:r>
          </w:p>
        </w:tc>
        <w:tc>
          <w:tcPr>
            <w:tcW w:w="0" w:type="auto"/>
          </w:tcPr>
          <w:p w14:paraId="3B9A7A0A" w14:textId="77777777" w:rsidR="00FB44CE" w:rsidRPr="00FB44CE" w:rsidRDefault="00FB44CE" w:rsidP="00FB44CE">
            <w:pPr>
              <w:rPr>
                <w:rFonts w:cs="Times New Roman"/>
                <w:sz w:val="18"/>
                <w:szCs w:val="18"/>
              </w:rPr>
            </w:pPr>
            <w:r w:rsidRPr="00FB44CE">
              <w:rPr>
                <w:rFonts w:cs="Times New Roman"/>
                <w:sz w:val="18"/>
                <w:szCs w:val="18"/>
              </w:rPr>
              <w:t>The War Room has not yet been established.</w:t>
            </w:r>
          </w:p>
        </w:tc>
        <w:tc>
          <w:tcPr>
            <w:tcW w:w="0" w:type="auto"/>
          </w:tcPr>
          <w:p w14:paraId="3048A3C1" w14:textId="77777777" w:rsidR="00FB44CE" w:rsidRPr="00FB44CE" w:rsidRDefault="00FB44CE" w:rsidP="00FB44CE">
            <w:pPr>
              <w:rPr>
                <w:rFonts w:cs="Times New Roman"/>
                <w:sz w:val="18"/>
                <w:szCs w:val="18"/>
              </w:rPr>
            </w:pPr>
            <w:r w:rsidRPr="00FB44CE">
              <w:rPr>
                <w:rFonts w:cs="Times New Roman"/>
                <w:sz w:val="18"/>
                <w:szCs w:val="18"/>
              </w:rPr>
              <w:t>Waiting for the LTT Executive to restructure the War Room.</w:t>
            </w:r>
          </w:p>
        </w:tc>
      </w:tr>
      <w:tr w:rsidR="00FB44CE" w:rsidRPr="00FB44CE" w14:paraId="3443B0FE" w14:textId="77777777" w:rsidTr="00FB44CE">
        <w:tc>
          <w:tcPr>
            <w:tcW w:w="0" w:type="auto"/>
          </w:tcPr>
          <w:p w14:paraId="536DE923" w14:textId="77777777" w:rsidR="00FB44CE" w:rsidRPr="00FB44CE" w:rsidRDefault="00FB44CE" w:rsidP="00FB44CE">
            <w:pPr>
              <w:rPr>
                <w:rFonts w:cs="Times New Roman"/>
                <w:sz w:val="18"/>
                <w:szCs w:val="18"/>
              </w:rPr>
            </w:pPr>
            <w:r w:rsidRPr="00FB44CE">
              <w:rPr>
                <w:rFonts w:cs="Times New Roman"/>
                <w:sz w:val="18"/>
                <w:szCs w:val="18"/>
              </w:rPr>
              <w:t>9</w:t>
            </w:r>
          </w:p>
        </w:tc>
        <w:tc>
          <w:tcPr>
            <w:tcW w:w="0" w:type="auto"/>
          </w:tcPr>
          <w:p w14:paraId="3A95D83B" w14:textId="77777777" w:rsidR="00FB44CE" w:rsidRPr="00FB44CE" w:rsidRDefault="00FB44CE" w:rsidP="00FB44CE">
            <w:pPr>
              <w:rPr>
                <w:rFonts w:cs="Times New Roman"/>
                <w:sz w:val="18"/>
                <w:szCs w:val="18"/>
              </w:rPr>
            </w:pPr>
            <w:r w:rsidRPr="00FB44CE">
              <w:rPr>
                <w:rFonts w:cs="Times New Roman"/>
                <w:sz w:val="18"/>
                <w:szCs w:val="18"/>
              </w:rPr>
              <w:t>M Dludla</w:t>
            </w:r>
          </w:p>
        </w:tc>
        <w:tc>
          <w:tcPr>
            <w:tcW w:w="0" w:type="auto"/>
          </w:tcPr>
          <w:p w14:paraId="21951438" w14:textId="77777777" w:rsidR="00FB44CE" w:rsidRPr="00FB44CE" w:rsidRDefault="00FB44CE" w:rsidP="00FB44CE">
            <w:pPr>
              <w:rPr>
                <w:rFonts w:cs="Times New Roman"/>
                <w:sz w:val="18"/>
                <w:szCs w:val="18"/>
              </w:rPr>
            </w:pPr>
            <w:r w:rsidRPr="00FB44CE">
              <w:rPr>
                <w:rFonts w:cs="Times New Roman"/>
                <w:sz w:val="18"/>
                <w:szCs w:val="18"/>
              </w:rPr>
              <w:t>Manager PMS (Priscilla Chetty)</w:t>
            </w:r>
          </w:p>
        </w:tc>
        <w:tc>
          <w:tcPr>
            <w:tcW w:w="0" w:type="auto"/>
          </w:tcPr>
          <w:p w14:paraId="6F357871" w14:textId="77777777" w:rsidR="00FB44CE" w:rsidRPr="00FB44CE" w:rsidRDefault="00FB44CE" w:rsidP="00FB44CE">
            <w:pPr>
              <w:rPr>
                <w:rFonts w:cs="Times New Roman"/>
                <w:sz w:val="18"/>
                <w:szCs w:val="18"/>
              </w:rPr>
            </w:pPr>
            <w:r w:rsidRPr="00FB44CE">
              <w:rPr>
                <w:rFonts w:cs="Times New Roman"/>
                <w:sz w:val="18"/>
                <w:szCs w:val="18"/>
              </w:rPr>
              <w:t>The War Room has been established and is functional – They meet once a week (every Thursday)</w:t>
            </w:r>
          </w:p>
        </w:tc>
        <w:tc>
          <w:tcPr>
            <w:tcW w:w="0" w:type="auto"/>
          </w:tcPr>
          <w:p w14:paraId="715A678E" w14:textId="77777777" w:rsidR="00FB44CE" w:rsidRPr="00FB44CE" w:rsidRDefault="00FB44CE" w:rsidP="00FB44CE">
            <w:pPr>
              <w:rPr>
                <w:rFonts w:cs="Times New Roman"/>
                <w:sz w:val="18"/>
                <w:szCs w:val="18"/>
              </w:rPr>
            </w:pPr>
            <w:r w:rsidRPr="00FB44CE">
              <w:rPr>
                <w:rFonts w:cs="Times New Roman"/>
                <w:sz w:val="18"/>
                <w:szCs w:val="18"/>
              </w:rPr>
              <w:t>Only the Department of Health attends the meetings. Eskom, Department of Social Development and Human Settlements have confirmed they will attend the next meeting.</w:t>
            </w:r>
          </w:p>
        </w:tc>
      </w:tr>
      <w:tr w:rsidR="00FB44CE" w:rsidRPr="00FB44CE" w14:paraId="6119DD2B" w14:textId="77777777" w:rsidTr="00FB44CE">
        <w:tc>
          <w:tcPr>
            <w:tcW w:w="0" w:type="auto"/>
          </w:tcPr>
          <w:p w14:paraId="23E9C43C" w14:textId="77777777" w:rsidR="00FB44CE" w:rsidRPr="00FB44CE" w:rsidRDefault="00FB44CE" w:rsidP="00FB44CE">
            <w:pPr>
              <w:rPr>
                <w:rFonts w:cs="Times New Roman"/>
                <w:sz w:val="18"/>
                <w:szCs w:val="18"/>
              </w:rPr>
            </w:pPr>
            <w:r w:rsidRPr="00FB44CE">
              <w:rPr>
                <w:rFonts w:cs="Times New Roman"/>
                <w:sz w:val="18"/>
                <w:szCs w:val="18"/>
              </w:rPr>
              <w:t>10</w:t>
            </w:r>
          </w:p>
        </w:tc>
        <w:tc>
          <w:tcPr>
            <w:tcW w:w="0" w:type="auto"/>
          </w:tcPr>
          <w:p w14:paraId="5A1A01F8" w14:textId="1C5824E8" w:rsidR="00FB44CE" w:rsidRPr="00FB44CE" w:rsidRDefault="00EA7BEE" w:rsidP="00FB44CE">
            <w:pPr>
              <w:rPr>
                <w:rFonts w:cs="Times New Roman"/>
                <w:sz w:val="18"/>
                <w:szCs w:val="18"/>
              </w:rPr>
            </w:pPr>
            <w:r>
              <w:rPr>
                <w:rFonts w:cs="Times New Roman"/>
                <w:sz w:val="18"/>
                <w:szCs w:val="18"/>
              </w:rPr>
              <w:t>SF Mdletshe</w:t>
            </w:r>
          </w:p>
        </w:tc>
        <w:tc>
          <w:tcPr>
            <w:tcW w:w="0" w:type="auto"/>
          </w:tcPr>
          <w:p w14:paraId="32CA6E92" w14:textId="39557AB8" w:rsidR="00FB44CE" w:rsidRPr="00FB44CE" w:rsidRDefault="00FB44CE" w:rsidP="00FB44CE">
            <w:pPr>
              <w:rPr>
                <w:rFonts w:cs="Times New Roman"/>
                <w:sz w:val="18"/>
                <w:szCs w:val="18"/>
              </w:rPr>
            </w:pPr>
          </w:p>
        </w:tc>
        <w:tc>
          <w:tcPr>
            <w:tcW w:w="0" w:type="auto"/>
          </w:tcPr>
          <w:p w14:paraId="1B00AAF6" w14:textId="77777777" w:rsidR="00FB44CE" w:rsidRPr="00FB44CE" w:rsidRDefault="00FB44CE" w:rsidP="00FB44CE">
            <w:pPr>
              <w:rPr>
                <w:rFonts w:cs="Times New Roman"/>
                <w:sz w:val="18"/>
                <w:szCs w:val="18"/>
              </w:rPr>
            </w:pPr>
            <w:r w:rsidRPr="00FB44CE">
              <w:rPr>
                <w:rFonts w:cs="Times New Roman"/>
                <w:sz w:val="18"/>
                <w:szCs w:val="18"/>
              </w:rPr>
              <w:t>The War Room has not yet been established.</w:t>
            </w:r>
          </w:p>
        </w:tc>
        <w:tc>
          <w:tcPr>
            <w:tcW w:w="0" w:type="auto"/>
          </w:tcPr>
          <w:p w14:paraId="03AB63A2" w14:textId="77777777" w:rsidR="00FB44CE" w:rsidRPr="00FB44CE" w:rsidRDefault="00FB44CE" w:rsidP="00FB44CE">
            <w:pPr>
              <w:rPr>
                <w:rFonts w:cs="Times New Roman"/>
                <w:sz w:val="18"/>
                <w:szCs w:val="18"/>
              </w:rPr>
            </w:pPr>
            <w:r w:rsidRPr="00FB44CE">
              <w:rPr>
                <w:rFonts w:cs="Times New Roman"/>
                <w:sz w:val="18"/>
                <w:szCs w:val="18"/>
              </w:rPr>
              <w:t>No meetings were held from July 2016.</w:t>
            </w:r>
          </w:p>
        </w:tc>
      </w:tr>
      <w:tr w:rsidR="00FB44CE" w:rsidRPr="00FB44CE" w14:paraId="3745EFE7" w14:textId="77777777" w:rsidTr="00FB44CE">
        <w:tc>
          <w:tcPr>
            <w:tcW w:w="0" w:type="auto"/>
          </w:tcPr>
          <w:p w14:paraId="3846B7FA" w14:textId="77777777" w:rsidR="00FB44CE" w:rsidRPr="00FB44CE" w:rsidRDefault="00FB44CE" w:rsidP="00FB44CE">
            <w:pPr>
              <w:rPr>
                <w:rFonts w:cs="Times New Roman"/>
                <w:sz w:val="18"/>
                <w:szCs w:val="18"/>
              </w:rPr>
            </w:pPr>
            <w:r w:rsidRPr="00FB44CE">
              <w:rPr>
                <w:rFonts w:cs="Times New Roman"/>
                <w:sz w:val="18"/>
                <w:szCs w:val="18"/>
              </w:rPr>
              <w:t>11</w:t>
            </w:r>
          </w:p>
        </w:tc>
        <w:tc>
          <w:tcPr>
            <w:tcW w:w="0" w:type="auto"/>
          </w:tcPr>
          <w:p w14:paraId="0C0CC73E" w14:textId="77777777" w:rsidR="00FB44CE" w:rsidRPr="00FB44CE" w:rsidRDefault="00FB44CE" w:rsidP="00FB44CE">
            <w:pPr>
              <w:rPr>
                <w:rFonts w:cs="Times New Roman"/>
                <w:sz w:val="18"/>
                <w:szCs w:val="18"/>
              </w:rPr>
            </w:pPr>
            <w:r w:rsidRPr="00FB44CE">
              <w:rPr>
                <w:rFonts w:cs="Times New Roman"/>
                <w:sz w:val="18"/>
                <w:szCs w:val="18"/>
              </w:rPr>
              <w:t>S B Larkan</w:t>
            </w:r>
          </w:p>
        </w:tc>
        <w:tc>
          <w:tcPr>
            <w:tcW w:w="0" w:type="auto"/>
          </w:tcPr>
          <w:p w14:paraId="61444BB2" w14:textId="77777777" w:rsidR="00FB44CE" w:rsidRPr="00FB44CE" w:rsidRDefault="00FB44CE" w:rsidP="00FB44CE">
            <w:pPr>
              <w:rPr>
                <w:rFonts w:cs="Times New Roman"/>
                <w:sz w:val="18"/>
                <w:szCs w:val="18"/>
              </w:rPr>
            </w:pPr>
            <w:r w:rsidRPr="00FB44CE">
              <w:rPr>
                <w:rFonts w:cs="Times New Roman"/>
                <w:sz w:val="18"/>
                <w:szCs w:val="18"/>
              </w:rPr>
              <w:t>Senior Manager Engineering – Electrical (Jaap Le Grange)</w:t>
            </w:r>
          </w:p>
        </w:tc>
        <w:tc>
          <w:tcPr>
            <w:tcW w:w="0" w:type="auto"/>
          </w:tcPr>
          <w:p w14:paraId="1418D205" w14:textId="77777777" w:rsidR="00FB44CE" w:rsidRPr="00FB44CE" w:rsidRDefault="00FB44CE" w:rsidP="00FB44CE">
            <w:pPr>
              <w:rPr>
                <w:rFonts w:cs="Times New Roman"/>
                <w:sz w:val="18"/>
                <w:szCs w:val="18"/>
              </w:rPr>
            </w:pPr>
            <w:r w:rsidRPr="00FB44CE">
              <w:rPr>
                <w:rFonts w:cs="Times New Roman"/>
                <w:sz w:val="18"/>
                <w:szCs w:val="18"/>
              </w:rPr>
              <w:t>The War Room has been established and is functional.</w:t>
            </w:r>
          </w:p>
        </w:tc>
        <w:tc>
          <w:tcPr>
            <w:tcW w:w="0" w:type="auto"/>
          </w:tcPr>
          <w:p w14:paraId="173DC1F1" w14:textId="77777777" w:rsidR="00FB44CE" w:rsidRPr="00FB44CE" w:rsidRDefault="00FB44CE" w:rsidP="00FB44CE">
            <w:pPr>
              <w:rPr>
                <w:rFonts w:cs="Times New Roman"/>
                <w:sz w:val="18"/>
                <w:szCs w:val="18"/>
              </w:rPr>
            </w:pPr>
            <w:r w:rsidRPr="00FB44CE">
              <w:rPr>
                <w:rFonts w:cs="Times New Roman"/>
                <w:sz w:val="18"/>
                <w:szCs w:val="18"/>
              </w:rPr>
              <w:t>No departments attend the meetings.</w:t>
            </w:r>
          </w:p>
        </w:tc>
      </w:tr>
      <w:tr w:rsidR="00FB44CE" w:rsidRPr="00FB44CE" w14:paraId="25B6BADE" w14:textId="77777777" w:rsidTr="00FB44CE">
        <w:tc>
          <w:tcPr>
            <w:tcW w:w="0" w:type="auto"/>
          </w:tcPr>
          <w:p w14:paraId="111130FC" w14:textId="77777777" w:rsidR="00FB44CE" w:rsidRPr="00FB44CE" w:rsidRDefault="00FB44CE" w:rsidP="00FB44CE">
            <w:pPr>
              <w:rPr>
                <w:rFonts w:cs="Times New Roman"/>
                <w:sz w:val="18"/>
                <w:szCs w:val="18"/>
              </w:rPr>
            </w:pPr>
            <w:r w:rsidRPr="00FB44CE">
              <w:rPr>
                <w:rFonts w:cs="Times New Roman"/>
                <w:sz w:val="18"/>
                <w:szCs w:val="18"/>
              </w:rPr>
              <w:t>12</w:t>
            </w:r>
          </w:p>
        </w:tc>
        <w:tc>
          <w:tcPr>
            <w:tcW w:w="0" w:type="auto"/>
          </w:tcPr>
          <w:p w14:paraId="5B90F2A3" w14:textId="77777777" w:rsidR="00FB44CE" w:rsidRPr="00FB44CE" w:rsidRDefault="00FB44CE" w:rsidP="00FB44CE">
            <w:pPr>
              <w:rPr>
                <w:rFonts w:cs="Times New Roman"/>
                <w:sz w:val="18"/>
                <w:szCs w:val="18"/>
              </w:rPr>
            </w:pPr>
            <w:r w:rsidRPr="00FB44CE">
              <w:rPr>
                <w:rFonts w:cs="Times New Roman"/>
                <w:sz w:val="18"/>
                <w:szCs w:val="18"/>
              </w:rPr>
              <w:t>M E Dlamini</w:t>
            </w:r>
          </w:p>
        </w:tc>
        <w:tc>
          <w:tcPr>
            <w:tcW w:w="0" w:type="auto"/>
          </w:tcPr>
          <w:p w14:paraId="62B92ECE" w14:textId="77777777" w:rsidR="00FB44CE" w:rsidRPr="00FB44CE" w:rsidRDefault="00FB44CE" w:rsidP="00FB44CE">
            <w:pPr>
              <w:rPr>
                <w:rFonts w:cs="Times New Roman"/>
                <w:sz w:val="18"/>
                <w:szCs w:val="18"/>
              </w:rPr>
            </w:pPr>
            <w:r w:rsidRPr="00FB44CE">
              <w:rPr>
                <w:rFonts w:cs="Times New Roman"/>
                <w:sz w:val="18"/>
                <w:szCs w:val="18"/>
              </w:rPr>
              <w:t>Chief Financial Officer (Zakhele Mhlongo)</w:t>
            </w:r>
          </w:p>
        </w:tc>
        <w:tc>
          <w:tcPr>
            <w:tcW w:w="0" w:type="auto"/>
          </w:tcPr>
          <w:p w14:paraId="75457BA2" w14:textId="77777777" w:rsidR="00FB44CE" w:rsidRPr="00FB44CE" w:rsidRDefault="00FB44CE" w:rsidP="00FB44CE">
            <w:pPr>
              <w:rPr>
                <w:rFonts w:cs="Times New Roman"/>
                <w:sz w:val="18"/>
                <w:szCs w:val="18"/>
              </w:rPr>
            </w:pPr>
            <w:r w:rsidRPr="00FB44CE">
              <w:rPr>
                <w:rFonts w:cs="Times New Roman"/>
                <w:sz w:val="18"/>
                <w:szCs w:val="18"/>
              </w:rPr>
              <w:t>The War Room has been established and is functional. They meet twice a month (first and third Thursday)</w:t>
            </w:r>
          </w:p>
        </w:tc>
        <w:tc>
          <w:tcPr>
            <w:tcW w:w="0" w:type="auto"/>
          </w:tcPr>
          <w:p w14:paraId="05A4FE26" w14:textId="77777777" w:rsidR="00FB44CE" w:rsidRPr="00FB44CE" w:rsidRDefault="00FB44CE" w:rsidP="00FB44CE">
            <w:pPr>
              <w:rPr>
                <w:rFonts w:cs="Times New Roman"/>
                <w:sz w:val="18"/>
                <w:szCs w:val="18"/>
              </w:rPr>
            </w:pPr>
            <w:r w:rsidRPr="00FB44CE">
              <w:rPr>
                <w:rFonts w:cs="Times New Roman"/>
                <w:sz w:val="18"/>
                <w:szCs w:val="18"/>
              </w:rPr>
              <w:t>Most of the departments attend the meetings eg. Departments of Justice, Social Development, Health, Home Affairs, Agriculture &amp; Education.</w:t>
            </w:r>
          </w:p>
        </w:tc>
      </w:tr>
      <w:tr w:rsidR="00FB44CE" w:rsidRPr="00FB44CE" w14:paraId="2664C99D" w14:textId="77777777" w:rsidTr="00FB44CE">
        <w:tc>
          <w:tcPr>
            <w:tcW w:w="0" w:type="auto"/>
          </w:tcPr>
          <w:p w14:paraId="6E2B9FED" w14:textId="77777777" w:rsidR="00FB44CE" w:rsidRPr="00FB44CE" w:rsidRDefault="00FB44CE" w:rsidP="00FB44CE">
            <w:pPr>
              <w:rPr>
                <w:rFonts w:cs="Times New Roman"/>
                <w:sz w:val="18"/>
                <w:szCs w:val="18"/>
              </w:rPr>
            </w:pPr>
            <w:r w:rsidRPr="00FB44CE">
              <w:rPr>
                <w:rFonts w:cs="Times New Roman"/>
                <w:sz w:val="18"/>
                <w:szCs w:val="18"/>
              </w:rPr>
              <w:t>13</w:t>
            </w:r>
          </w:p>
        </w:tc>
        <w:tc>
          <w:tcPr>
            <w:tcW w:w="0" w:type="auto"/>
          </w:tcPr>
          <w:p w14:paraId="1AA339AA" w14:textId="77777777" w:rsidR="00FB44CE" w:rsidRPr="00FB44CE" w:rsidRDefault="00FB44CE" w:rsidP="00FB44CE">
            <w:pPr>
              <w:rPr>
                <w:rFonts w:cs="Times New Roman"/>
                <w:sz w:val="18"/>
                <w:szCs w:val="18"/>
              </w:rPr>
            </w:pPr>
            <w:r w:rsidRPr="00FB44CE">
              <w:rPr>
                <w:rFonts w:cs="Times New Roman"/>
                <w:sz w:val="18"/>
                <w:szCs w:val="18"/>
              </w:rPr>
              <w:t>H S Thango</w:t>
            </w:r>
          </w:p>
        </w:tc>
        <w:tc>
          <w:tcPr>
            <w:tcW w:w="0" w:type="auto"/>
          </w:tcPr>
          <w:p w14:paraId="02E7FE43" w14:textId="77777777" w:rsidR="00FB44CE" w:rsidRPr="00FB44CE" w:rsidRDefault="00FB44CE" w:rsidP="00FB44CE">
            <w:pPr>
              <w:rPr>
                <w:rFonts w:cs="Times New Roman"/>
                <w:sz w:val="18"/>
                <w:szCs w:val="18"/>
              </w:rPr>
            </w:pPr>
            <w:r w:rsidRPr="00FB44CE">
              <w:rPr>
                <w:rFonts w:cs="Times New Roman"/>
                <w:sz w:val="18"/>
                <w:szCs w:val="18"/>
              </w:rPr>
              <w:t>Superintendent Community Services (Saul Mcithi)</w:t>
            </w:r>
          </w:p>
        </w:tc>
        <w:tc>
          <w:tcPr>
            <w:tcW w:w="0" w:type="auto"/>
          </w:tcPr>
          <w:p w14:paraId="1911F91B" w14:textId="77777777" w:rsidR="00FB44CE" w:rsidRPr="00FB44CE" w:rsidRDefault="00FB44CE" w:rsidP="00FB44CE">
            <w:pPr>
              <w:rPr>
                <w:rFonts w:cs="Times New Roman"/>
                <w:sz w:val="18"/>
                <w:szCs w:val="18"/>
              </w:rPr>
            </w:pPr>
            <w:r w:rsidRPr="00FB44CE">
              <w:rPr>
                <w:rFonts w:cs="Times New Roman"/>
                <w:sz w:val="18"/>
                <w:szCs w:val="18"/>
              </w:rPr>
              <w:t>The War Room has been established and is functional. They meet once a month (second Thursday)</w:t>
            </w:r>
          </w:p>
        </w:tc>
        <w:tc>
          <w:tcPr>
            <w:tcW w:w="0" w:type="auto"/>
          </w:tcPr>
          <w:p w14:paraId="618E2D18" w14:textId="77777777" w:rsidR="00FB44CE" w:rsidRPr="00FB44CE" w:rsidRDefault="00FB44CE" w:rsidP="00FB44CE">
            <w:pPr>
              <w:rPr>
                <w:rFonts w:cs="Times New Roman"/>
                <w:sz w:val="18"/>
                <w:szCs w:val="18"/>
              </w:rPr>
            </w:pPr>
            <w:r w:rsidRPr="00FB44CE">
              <w:rPr>
                <w:rFonts w:cs="Times New Roman"/>
                <w:sz w:val="18"/>
                <w:szCs w:val="18"/>
              </w:rPr>
              <w:t>Department of Education, Health &amp; Correctional Services attends the meetings. However the attendance by the members is poor.</w:t>
            </w:r>
          </w:p>
        </w:tc>
      </w:tr>
      <w:tr w:rsidR="00FB44CE" w:rsidRPr="00FB44CE" w14:paraId="06417525" w14:textId="77777777" w:rsidTr="00FB44CE">
        <w:tc>
          <w:tcPr>
            <w:tcW w:w="0" w:type="auto"/>
          </w:tcPr>
          <w:p w14:paraId="039741FD" w14:textId="77777777" w:rsidR="00FB44CE" w:rsidRPr="00FB44CE" w:rsidRDefault="00FB44CE" w:rsidP="00FB44CE">
            <w:pPr>
              <w:rPr>
                <w:rFonts w:cs="Times New Roman"/>
                <w:sz w:val="18"/>
                <w:szCs w:val="18"/>
              </w:rPr>
            </w:pPr>
            <w:r w:rsidRPr="00FB44CE">
              <w:rPr>
                <w:rFonts w:cs="Times New Roman"/>
                <w:sz w:val="18"/>
                <w:szCs w:val="18"/>
              </w:rPr>
              <w:t>14</w:t>
            </w:r>
          </w:p>
        </w:tc>
        <w:tc>
          <w:tcPr>
            <w:tcW w:w="0" w:type="auto"/>
          </w:tcPr>
          <w:p w14:paraId="5CCB31FE" w14:textId="77777777" w:rsidR="00FB44CE" w:rsidRPr="00FB44CE" w:rsidRDefault="00FB44CE" w:rsidP="00FB44CE">
            <w:pPr>
              <w:rPr>
                <w:rFonts w:cs="Times New Roman"/>
                <w:sz w:val="18"/>
                <w:szCs w:val="18"/>
              </w:rPr>
            </w:pPr>
            <w:r w:rsidRPr="00FB44CE">
              <w:rPr>
                <w:rFonts w:cs="Times New Roman"/>
                <w:sz w:val="18"/>
                <w:szCs w:val="18"/>
              </w:rPr>
              <w:t>S B Dlamuka</w:t>
            </w:r>
          </w:p>
        </w:tc>
        <w:tc>
          <w:tcPr>
            <w:tcW w:w="0" w:type="auto"/>
          </w:tcPr>
          <w:p w14:paraId="7A49C81E" w14:textId="77777777" w:rsidR="00FB44CE" w:rsidRPr="00FB44CE" w:rsidRDefault="00FB44CE" w:rsidP="00FB44CE">
            <w:pPr>
              <w:rPr>
                <w:rFonts w:cs="Times New Roman"/>
                <w:sz w:val="18"/>
                <w:szCs w:val="18"/>
              </w:rPr>
            </w:pPr>
            <w:r w:rsidRPr="00FB44CE">
              <w:rPr>
                <w:rFonts w:cs="Times New Roman"/>
                <w:sz w:val="18"/>
                <w:szCs w:val="18"/>
              </w:rPr>
              <w:t>Chief Building Inspector (Phindile Ngema)</w:t>
            </w:r>
          </w:p>
        </w:tc>
        <w:tc>
          <w:tcPr>
            <w:tcW w:w="0" w:type="auto"/>
          </w:tcPr>
          <w:p w14:paraId="7B8F27D9" w14:textId="77777777" w:rsidR="00FB44CE" w:rsidRPr="00FB44CE" w:rsidRDefault="00FB44CE" w:rsidP="00FB44CE">
            <w:pPr>
              <w:rPr>
                <w:rFonts w:cs="Times New Roman"/>
                <w:sz w:val="18"/>
                <w:szCs w:val="18"/>
              </w:rPr>
            </w:pPr>
            <w:r w:rsidRPr="00FB44CE">
              <w:rPr>
                <w:rFonts w:cs="Times New Roman"/>
                <w:sz w:val="18"/>
                <w:szCs w:val="18"/>
              </w:rPr>
              <w:t xml:space="preserve">The War Room has been established but not functional. </w:t>
            </w:r>
          </w:p>
        </w:tc>
        <w:tc>
          <w:tcPr>
            <w:tcW w:w="0" w:type="auto"/>
          </w:tcPr>
          <w:p w14:paraId="3DF8A0E6" w14:textId="77777777" w:rsidR="00FB44CE" w:rsidRPr="00FB44CE" w:rsidRDefault="00FB44CE" w:rsidP="00FB44CE">
            <w:pPr>
              <w:rPr>
                <w:rFonts w:cs="Times New Roman"/>
                <w:sz w:val="18"/>
                <w:szCs w:val="18"/>
              </w:rPr>
            </w:pPr>
            <w:r w:rsidRPr="00FB44CE">
              <w:rPr>
                <w:rFonts w:cs="Times New Roman"/>
                <w:sz w:val="18"/>
                <w:szCs w:val="18"/>
              </w:rPr>
              <w:t>The structure has not been elected. (Chairperson, secretary etc..)</w:t>
            </w:r>
          </w:p>
        </w:tc>
      </w:tr>
      <w:tr w:rsidR="00FB44CE" w:rsidRPr="00FB44CE" w14:paraId="63E292B3" w14:textId="77777777" w:rsidTr="00FB44CE">
        <w:tc>
          <w:tcPr>
            <w:tcW w:w="0" w:type="auto"/>
          </w:tcPr>
          <w:p w14:paraId="1837BAE6" w14:textId="77777777" w:rsidR="00FB44CE" w:rsidRPr="00FB44CE" w:rsidRDefault="00FB44CE" w:rsidP="00FB44CE">
            <w:pPr>
              <w:rPr>
                <w:rFonts w:cs="Times New Roman"/>
                <w:sz w:val="18"/>
                <w:szCs w:val="18"/>
              </w:rPr>
            </w:pPr>
            <w:r w:rsidRPr="00FB44CE">
              <w:rPr>
                <w:rFonts w:cs="Times New Roman"/>
                <w:sz w:val="18"/>
                <w:szCs w:val="18"/>
              </w:rPr>
              <w:t>15</w:t>
            </w:r>
          </w:p>
        </w:tc>
        <w:tc>
          <w:tcPr>
            <w:tcW w:w="0" w:type="auto"/>
          </w:tcPr>
          <w:p w14:paraId="2D09D4B6" w14:textId="77777777" w:rsidR="00FB44CE" w:rsidRPr="00FB44CE" w:rsidRDefault="00FB44CE" w:rsidP="00FB44CE">
            <w:pPr>
              <w:rPr>
                <w:rFonts w:cs="Times New Roman"/>
                <w:sz w:val="18"/>
                <w:szCs w:val="18"/>
              </w:rPr>
            </w:pPr>
            <w:r w:rsidRPr="00FB44CE">
              <w:rPr>
                <w:rFonts w:cs="Times New Roman"/>
                <w:sz w:val="18"/>
                <w:szCs w:val="18"/>
              </w:rPr>
              <w:t>M H Qwabe</w:t>
            </w:r>
          </w:p>
        </w:tc>
        <w:tc>
          <w:tcPr>
            <w:tcW w:w="0" w:type="auto"/>
          </w:tcPr>
          <w:p w14:paraId="6D3204B5" w14:textId="77777777" w:rsidR="00FB44CE" w:rsidRPr="00FB44CE" w:rsidRDefault="00FB44CE" w:rsidP="00FB44CE">
            <w:pPr>
              <w:rPr>
                <w:rFonts w:cs="Times New Roman"/>
                <w:sz w:val="18"/>
                <w:szCs w:val="18"/>
              </w:rPr>
            </w:pPr>
            <w:r w:rsidRPr="00FB44CE">
              <w:rPr>
                <w:rFonts w:cs="Times New Roman"/>
                <w:sz w:val="18"/>
                <w:szCs w:val="18"/>
              </w:rPr>
              <w:t>Director Community Services (Sibusiso Nzuza)</w:t>
            </w:r>
          </w:p>
        </w:tc>
        <w:tc>
          <w:tcPr>
            <w:tcW w:w="0" w:type="auto"/>
          </w:tcPr>
          <w:p w14:paraId="32EB959B" w14:textId="77777777" w:rsidR="00FB44CE" w:rsidRPr="00FB44CE" w:rsidRDefault="00FB44CE" w:rsidP="00FB44CE">
            <w:pPr>
              <w:rPr>
                <w:rFonts w:cs="Times New Roman"/>
                <w:sz w:val="18"/>
                <w:szCs w:val="18"/>
              </w:rPr>
            </w:pPr>
            <w:r w:rsidRPr="00FB44CE">
              <w:rPr>
                <w:rFonts w:cs="Times New Roman"/>
                <w:sz w:val="18"/>
                <w:szCs w:val="18"/>
              </w:rPr>
              <w:t>The War Room has been established and is functional. They meet on Wednesdays.</w:t>
            </w:r>
          </w:p>
        </w:tc>
        <w:tc>
          <w:tcPr>
            <w:tcW w:w="0" w:type="auto"/>
          </w:tcPr>
          <w:p w14:paraId="12D72CE9" w14:textId="77777777" w:rsidR="00FB44CE" w:rsidRPr="00FB44CE" w:rsidRDefault="00FB44CE" w:rsidP="00FB44CE">
            <w:pPr>
              <w:rPr>
                <w:rFonts w:cs="Times New Roman"/>
                <w:sz w:val="18"/>
                <w:szCs w:val="18"/>
              </w:rPr>
            </w:pPr>
            <w:r w:rsidRPr="00FB44CE">
              <w:rPr>
                <w:rFonts w:cs="Times New Roman"/>
                <w:sz w:val="18"/>
                <w:szCs w:val="18"/>
              </w:rPr>
              <w:t>Challenge. No departments attend the meetings.</w:t>
            </w:r>
          </w:p>
        </w:tc>
      </w:tr>
      <w:tr w:rsidR="00FB44CE" w:rsidRPr="00FB44CE" w14:paraId="38FB3222" w14:textId="77777777" w:rsidTr="00FB44CE">
        <w:tc>
          <w:tcPr>
            <w:tcW w:w="0" w:type="auto"/>
          </w:tcPr>
          <w:p w14:paraId="0622D5BE" w14:textId="77777777" w:rsidR="00FB44CE" w:rsidRPr="00FB44CE" w:rsidRDefault="00FB44CE" w:rsidP="00FB44CE">
            <w:pPr>
              <w:rPr>
                <w:rFonts w:cs="Times New Roman"/>
                <w:sz w:val="18"/>
                <w:szCs w:val="18"/>
              </w:rPr>
            </w:pPr>
            <w:r w:rsidRPr="00FB44CE">
              <w:rPr>
                <w:rFonts w:cs="Times New Roman"/>
                <w:sz w:val="18"/>
                <w:szCs w:val="18"/>
              </w:rPr>
              <w:t>16</w:t>
            </w:r>
          </w:p>
        </w:tc>
        <w:tc>
          <w:tcPr>
            <w:tcW w:w="0" w:type="auto"/>
          </w:tcPr>
          <w:p w14:paraId="016E7F0B" w14:textId="77777777" w:rsidR="00FB44CE" w:rsidRPr="00FB44CE" w:rsidRDefault="00FB44CE" w:rsidP="00FB44CE">
            <w:pPr>
              <w:rPr>
                <w:rFonts w:cs="Times New Roman"/>
                <w:sz w:val="18"/>
                <w:szCs w:val="18"/>
              </w:rPr>
            </w:pPr>
            <w:r w:rsidRPr="00FB44CE">
              <w:rPr>
                <w:rFonts w:cs="Times New Roman"/>
                <w:sz w:val="18"/>
                <w:szCs w:val="18"/>
              </w:rPr>
              <w:t>B D Ngidi</w:t>
            </w:r>
          </w:p>
        </w:tc>
        <w:tc>
          <w:tcPr>
            <w:tcW w:w="0" w:type="auto"/>
          </w:tcPr>
          <w:p w14:paraId="070C7223" w14:textId="4D98E17B" w:rsidR="00FB44CE" w:rsidRPr="00FB44CE" w:rsidRDefault="00FB44CE" w:rsidP="00750180">
            <w:pPr>
              <w:rPr>
                <w:rFonts w:cs="Times New Roman"/>
                <w:sz w:val="18"/>
                <w:szCs w:val="18"/>
              </w:rPr>
            </w:pPr>
            <w:r w:rsidRPr="00FB44CE">
              <w:rPr>
                <w:rFonts w:cs="Times New Roman"/>
                <w:sz w:val="18"/>
                <w:szCs w:val="18"/>
              </w:rPr>
              <w:t>Manager IDP (Siphe</w:t>
            </w:r>
            <w:r w:rsidR="00750180">
              <w:rPr>
                <w:rFonts w:cs="Times New Roman"/>
                <w:sz w:val="18"/>
                <w:szCs w:val="18"/>
              </w:rPr>
              <w:t>ph</w:t>
            </w:r>
            <w:r w:rsidRPr="00FB44CE">
              <w:rPr>
                <w:rFonts w:cs="Times New Roman"/>
                <w:sz w:val="18"/>
                <w:szCs w:val="18"/>
              </w:rPr>
              <w:t>elo Khumalo)</w:t>
            </w:r>
          </w:p>
        </w:tc>
        <w:tc>
          <w:tcPr>
            <w:tcW w:w="0" w:type="auto"/>
          </w:tcPr>
          <w:p w14:paraId="0383517B" w14:textId="77777777" w:rsidR="00FB44CE" w:rsidRPr="00FB44CE" w:rsidRDefault="00FB44CE" w:rsidP="00FB44CE">
            <w:pPr>
              <w:rPr>
                <w:rFonts w:cs="Times New Roman"/>
                <w:sz w:val="18"/>
                <w:szCs w:val="18"/>
              </w:rPr>
            </w:pPr>
            <w:r w:rsidRPr="00FB44CE">
              <w:rPr>
                <w:rFonts w:cs="Times New Roman"/>
                <w:sz w:val="18"/>
                <w:szCs w:val="18"/>
              </w:rPr>
              <w:t>The War Room has been established and is functional. They meet on Thursdays.</w:t>
            </w:r>
          </w:p>
        </w:tc>
        <w:tc>
          <w:tcPr>
            <w:tcW w:w="0" w:type="auto"/>
          </w:tcPr>
          <w:p w14:paraId="5FD99377" w14:textId="77777777" w:rsidR="00FB44CE" w:rsidRPr="00FB44CE" w:rsidRDefault="00FB44CE" w:rsidP="00FB44CE">
            <w:pPr>
              <w:rPr>
                <w:rFonts w:cs="Times New Roman"/>
                <w:sz w:val="18"/>
                <w:szCs w:val="18"/>
              </w:rPr>
            </w:pPr>
            <w:r w:rsidRPr="00FB44CE">
              <w:rPr>
                <w:rFonts w:cs="Times New Roman"/>
                <w:sz w:val="18"/>
                <w:szCs w:val="18"/>
              </w:rPr>
              <w:t>Only King Cetshwayo District Municipality and uMlalazi Municipality attends the meetings.</w:t>
            </w:r>
          </w:p>
        </w:tc>
      </w:tr>
      <w:tr w:rsidR="00FB44CE" w:rsidRPr="00FB44CE" w14:paraId="7748D3E5" w14:textId="77777777" w:rsidTr="00FB44CE">
        <w:tc>
          <w:tcPr>
            <w:tcW w:w="0" w:type="auto"/>
          </w:tcPr>
          <w:p w14:paraId="17BF01BE" w14:textId="77777777" w:rsidR="00FB44CE" w:rsidRPr="00FB44CE" w:rsidRDefault="00FB44CE" w:rsidP="00FB44CE">
            <w:pPr>
              <w:rPr>
                <w:rFonts w:cs="Times New Roman"/>
                <w:sz w:val="18"/>
                <w:szCs w:val="18"/>
              </w:rPr>
            </w:pPr>
            <w:r w:rsidRPr="00FB44CE">
              <w:rPr>
                <w:rFonts w:cs="Times New Roman"/>
                <w:sz w:val="18"/>
                <w:szCs w:val="18"/>
              </w:rPr>
              <w:t>17</w:t>
            </w:r>
          </w:p>
        </w:tc>
        <w:tc>
          <w:tcPr>
            <w:tcW w:w="0" w:type="auto"/>
          </w:tcPr>
          <w:p w14:paraId="15B2A321" w14:textId="77777777" w:rsidR="00FB44CE" w:rsidRPr="00FB44CE" w:rsidRDefault="00FB44CE" w:rsidP="00FB44CE">
            <w:pPr>
              <w:rPr>
                <w:rFonts w:cs="Times New Roman"/>
                <w:sz w:val="18"/>
                <w:szCs w:val="18"/>
              </w:rPr>
            </w:pPr>
            <w:r w:rsidRPr="00FB44CE">
              <w:rPr>
                <w:rFonts w:cs="Times New Roman"/>
                <w:sz w:val="18"/>
                <w:szCs w:val="18"/>
              </w:rPr>
              <w:t>S S Cele</w:t>
            </w:r>
          </w:p>
        </w:tc>
        <w:tc>
          <w:tcPr>
            <w:tcW w:w="0" w:type="auto"/>
          </w:tcPr>
          <w:p w14:paraId="0128D8F2" w14:textId="77777777" w:rsidR="00FB44CE" w:rsidRPr="00FB44CE" w:rsidRDefault="00FB44CE" w:rsidP="00FB44CE">
            <w:pPr>
              <w:rPr>
                <w:rFonts w:cs="Times New Roman"/>
                <w:sz w:val="18"/>
                <w:szCs w:val="18"/>
              </w:rPr>
            </w:pPr>
            <w:r w:rsidRPr="00FB44CE">
              <w:rPr>
                <w:rFonts w:cs="Times New Roman"/>
                <w:sz w:val="18"/>
                <w:szCs w:val="18"/>
              </w:rPr>
              <w:t>Senior Town Planner (Mthokozisi Ngubane)</w:t>
            </w:r>
          </w:p>
        </w:tc>
        <w:tc>
          <w:tcPr>
            <w:tcW w:w="0" w:type="auto"/>
          </w:tcPr>
          <w:p w14:paraId="171778FC" w14:textId="77777777" w:rsidR="00FB44CE" w:rsidRPr="00FB44CE" w:rsidRDefault="00FB44CE" w:rsidP="00FB44CE">
            <w:pPr>
              <w:rPr>
                <w:rFonts w:cs="Times New Roman"/>
                <w:sz w:val="18"/>
                <w:szCs w:val="18"/>
              </w:rPr>
            </w:pPr>
            <w:r w:rsidRPr="00FB44CE">
              <w:rPr>
                <w:rFonts w:cs="Times New Roman"/>
                <w:sz w:val="18"/>
                <w:szCs w:val="18"/>
              </w:rPr>
              <w:t>The War Room has been established and is functional. They meet on every second Wednesday of the month.</w:t>
            </w:r>
          </w:p>
        </w:tc>
        <w:tc>
          <w:tcPr>
            <w:tcW w:w="0" w:type="auto"/>
          </w:tcPr>
          <w:p w14:paraId="7A891072" w14:textId="77777777" w:rsidR="00FB44CE" w:rsidRPr="00FB44CE" w:rsidRDefault="00FB44CE" w:rsidP="00FB44CE">
            <w:pPr>
              <w:rPr>
                <w:rFonts w:cs="Times New Roman"/>
                <w:sz w:val="18"/>
                <w:szCs w:val="18"/>
              </w:rPr>
            </w:pPr>
            <w:r w:rsidRPr="00FB44CE">
              <w:rPr>
                <w:rFonts w:cs="Times New Roman"/>
                <w:sz w:val="18"/>
                <w:szCs w:val="18"/>
              </w:rPr>
              <w:t>The Department of Agriculture and Health attended the meeting once.</w:t>
            </w:r>
          </w:p>
        </w:tc>
      </w:tr>
      <w:tr w:rsidR="00FB44CE" w:rsidRPr="00FB44CE" w14:paraId="7E268BDF" w14:textId="77777777" w:rsidTr="00FB44CE">
        <w:tc>
          <w:tcPr>
            <w:tcW w:w="0" w:type="auto"/>
          </w:tcPr>
          <w:p w14:paraId="3FF5DEC5" w14:textId="77777777" w:rsidR="00FB44CE" w:rsidRPr="00FB44CE" w:rsidRDefault="00FB44CE" w:rsidP="00FB44CE">
            <w:pPr>
              <w:rPr>
                <w:rFonts w:cs="Times New Roman"/>
                <w:sz w:val="18"/>
                <w:szCs w:val="18"/>
              </w:rPr>
            </w:pPr>
            <w:r w:rsidRPr="00FB44CE">
              <w:rPr>
                <w:rFonts w:cs="Times New Roman"/>
                <w:sz w:val="18"/>
                <w:szCs w:val="18"/>
              </w:rPr>
              <w:t>18</w:t>
            </w:r>
          </w:p>
        </w:tc>
        <w:tc>
          <w:tcPr>
            <w:tcW w:w="0" w:type="auto"/>
          </w:tcPr>
          <w:p w14:paraId="566FF8AB" w14:textId="77777777" w:rsidR="00FB44CE" w:rsidRPr="00FB44CE" w:rsidRDefault="00FB44CE" w:rsidP="00FB44CE">
            <w:pPr>
              <w:rPr>
                <w:rFonts w:cs="Times New Roman"/>
                <w:sz w:val="18"/>
                <w:szCs w:val="18"/>
              </w:rPr>
            </w:pPr>
            <w:r w:rsidRPr="00FB44CE">
              <w:rPr>
                <w:rFonts w:cs="Times New Roman"/>
                <w:sz w:val="18"/>
                <w:szCs w:val="18"/>
              </w:rPr>
              <w:t>S S Nsele</w:t>
            </w:r>
          </w:p>
        </w:tc>
        <w:tc>
          <w:tcPr>
            <w:tcW w:w="0" w:type="auto"/>
          </w:tcPr>
          <w:p w14:paraId="20A38E71" w14:textId="77777777" w:rsidR="00FB44CE" w:rsidRPr="00FB44CE" w:rsidRDefault="00FB44CE" w:rsidP="00FB44CE">
            <w:pPr>
              <w:rPr>
                <w:rFonts w:cs="Times New Roman"/>
                <w:sz w:val="18"/>
                <w:szCs w:val="18"/>
              </w:rPr>
            </w:pPr>
            <w:r w:rsidRPr="00FB44CE">
              <w:rPr>
                <w:rFonts w:cs="Times New Roman"/>
                <w:sz w:val="18"/>
                <w:szCs w:val="18"/>
              </w:rPr>
              <w:t>Manager Housing (Blessing Buthelezi)</w:t>
            </w:r>
          </w:p>
        </w:tc>
        <w:tc>
          <w:tcPr>
            <w:tcW w:w="0" w:type="auto"/>
          </w:tcPr>
          <w:p w14:paraId="3D9C421E" w14:textId="77777777" w:rsidR="00FB44CE" w:rsidRPr="00FB44CE" w:rsidRDefault="00FB44CE" w:rsidP="00FB44CE">
            <w:pPr>
              <w:rPr>
                <w:rFonts w:cs="Times New Roman"/>
                <w:sz w:val="18"/>
                <w:szCs w:val="18"/>
              </w:rPr>
            </w:pPr>
            <w:r w:rsidRPr="00FB44CE">
              <w:rPr>
                <w:rFonts w:cs="Times New Roman"/>
                <w:sz w:val="18"/>
                <w:szCs w:val="18"/>
              </w:rPr>
              <w:t xml:space="preserve">The War Room has been established and is functional. </w:t>
            </w:r>
          </w:p>
        </w:tc>
        <w:tc>
          <w:tcPr>
            <w:tcW w:w="0" w:type="auto"/>
          </w:tcPr>
          <w:p w14:paraId="2EA1542A" w14:textId="77777777" w:rsidR="00FB44CE" w:rsidRPr="00FB44CE" w:rsidRDefault="00FB44CE" w:rsidP="00FB44CE">
            <w:pPr>
              <w:rPr>
                <w:rFonts w:cs="Times New Roman"/>
                <w:sz w:val="18"/>
                <w:szCs w:val="18"/>
              </w:rPr>
            </w:pPr>
            <w:r w:rsidRPr="00FB44CE">
              <w:rPr>
                <w:rFonts w:cs="Times New Roman"/>
                <w:sz w:val="18"/>
                <w:szCs w:val="18"/>
              </w:rPr>
              <w:t>The Chairperson has resigned. A new Chairperson must still be elected. Only the Department of Health attends the meeting.</w:t>
            </w:r>
          </w:p>
        </w:tc>
      </w:tr>
      <w:tr w:rsidR="00FB44CE" w:rsidRPr="00FB44CE" w14:paraId="2B5E1F73" w14:textId="77777777" w:rsidTr="00FB44CE">
        <w:tc>
          <w:tcPr>
            <w:tcW w:w="0" w:type="auto"/>
          </w:tcPr>
          <w:p w14:paraId="27D0E831" w14:textId="77777777" w:rsidR="00FB44CE" w:rsidRPr="00FB44CE" w:rsidRDefault="00FB44CE" w:rsidP="00FB44CE">
            <w:pPr>
              <w:rPr>
                <w:rFonts w:cs="Times New Roman"/>
                <w:sz w:val="18"/>
                <w:szCs w:val="18"/>
              </w:rPr>
            </w:pPr>
            <w:r w:rsidRPr="00FB44CE">
              <w:rPr>
                <w:rFonts w:cs="Times New Roman"/>
                <w:sz w:val="18"/>
                <w:szCs w:val="18"/>
              </w:rPr>
              <w:t>19</w:t>
            </w:r>
          </w:p>
        </w:tc>
        <w:tc>
          <w:tcPr>
            <w:tcW w:w="0" w:type="auto"/>
          </w:tcPr>
          <w:p w14:paraId="14687526" w14:textId="77777777" w:rsidR="00FB44CE" w:rsidRPr="00FB44CE" w:rsidRDefault="00FB44CE" w:rsidP="00FB44CE">
            <w:pPr>
              <w:rPr>
                <w:rFonts w:cs="Times New Roman"/>
                <w:sz w:val="18"/>
                <w:szCs w:val="18"/>
              </w:rPr>
            </w:pPr>
            <w:r w:rsidRPr="00FB44CE">
              <w:rPr>
                <w:rFonts w:cs="Times New Roman"/>
                <w:sz w:val="18"/>
                <w:szCs w:val="18"/>
              </w:rPr>
              <w:t>J K Powell</w:t>
            </w:r>
          </w:p>
        </w:tc>
        <w:tc>
          <w:tcPr>
            <w:tcW w:w="0" w:type="auto"/>
          </w:tcPr>
          <w:p w14:paraId="0662E203" w14:textId="77777777" w:rsidR="00FB44CE" w:rsidRPr="00FB44CE" w:rsidRDefault="00FB44CE" w:rsidP="00FB44CE">
            <w:pPr>
              <w:rPr>
                <w:rFonts w:cs="Times New Roman"/>
                <w:sz w:val="18"/>
                <w:szCs w:val="18"/>
              </w:rPr>
            </w:pPr>
            <w:r w:rsidRPr="00FB44CE">
              <w:rPr>
                <w:rFonts w:cs="Times New Roman"/>
                <w:sz w:val="18"/>
                <w:szCs w:val="18"/>
              </w:rPr>
              <w:t>Chief Financial Officer (Zakhele Mhlongo)</w:t>
            </w:r>
          </w:p>
        </w:tc>
        <w:tc>
          <w:tcPr>
            <w:tcW w:w="0" w:type="auto"/>
          </w:tcPr>
          <w:p w14:paraId="1A855134" w14:textId="77777777" w:rsidR="00FB44CE" w:rsidRPr="00FB44CE" w:rsidRDefault="00FB44CE" w:rsidP="00FB44CE">
            <w:pPr>
              <w:rPr>
                <w:rFonts w:cs="Times New Roman"/>
                <w:sz w:val="18"/>
                <w:szCs w:val="18"/>
              </w:rPr>
            </w:pPr>
            <w:r w:rsidRPr="00FB44CE">
              <w:rPr>
                <w:rFonts w:cs="Times New Roman"/>
                <w:sz w:val="18"/>
                <w:szCs w:val="18"/>
              </w:rPr>
              <w:t>The War Room has been established and is functional.</w:t>
            </w:r>
          </w:p>
        </w:tc>
        <w:tc>
          <w:tcPr>
            <w:tcW w:w="0" w:type="auto"/>
          </w:tcPr>
          <w:p w14:paraId="0788EFA4" w14:textId="77777777" w:rsidR="00FB44CE" w:rsidRPr="00FB44CE" w:rsidRDefault="00FB44CE" w:rsidP="00FB44CE">
            <w:pPr>
              <w:rPr>
                <w:rFonts w:cs="Times New Roman"/>
                <w:sz w:val="18"/>
                <w:szCs w:val="18"/>
              </w:rPr>
            </w:pPr>
            <w:r w:rsidRPr="00FB44CE">
              <w:rPr>
                <w:rFonts w:cs="Times New Roman"/>
                <w:sz w:val="18"/>
                <w:szCs w:val="18"/>
              </w:rPr>
              <w:t>No departments attend the meetings. The Manager in the Office of the Mayor was advised and requested to assist.</w:t>
            </w:r>
          </w:p>
        </w:tc>
      </w:tr>
      <w:tr w:rsidR="00FB44CE" w:rsidRPr="00FB44CE" w14:paraId="2C4AFEBC" w14:textId="77777777" w:rsidTr="00FB44CE">
        <w:tc>
          <w:tcPr>
            <w:tcW w:w="0" w:type="auto"/>
          </w:tcPr>
          <w:p w14:paraId="54E95372" w14:textId="77777777" w:rsidR="00FB44CE" w:rsidRPr="00FB44CE" w:rsidRDefault="00FB44CE" w:rsidP="00FB44CE">
            <w:pPr>
              <w:rPr>
                <w:rFonts w:cs="Times New Roman"/>
                <w:sz w:val="18"/>
                <w:szCs w:val="18"/>
              </w:rPr>
            </w:pPr>
            <w:r w:rsidRPr="00FB44CE">
              <w:rPr>
                <w:rFonts w:cs="Times New Roman"/>
                <w:sz w:val="18"/>
                <w:szCs w:val="18"/>
              </w:rPr>
              <w:t>20</w:t>
            </w:r>
          </w:p>
        </w:tc>
        <w:tc>
          <w:tcPr>
            <w:tcW w:w="0" w:type="auto"/>
          </w:tcPr>
          <w:p w14:paraId="16331FFF" w14:textId="77777777" w:rsidR="00FB44CE" w:rsidRPr="00FB44CE" w:rsidRDefault="00FB44CE" w:rsidP="00FB44CE">
            <w:pPr>
              <w:rPr>
                <w:rFonts w:cs="Times New Roman"/>
                <w:sz w:val="18"/>
                <w:szCs w:val="18"/>
              </w:rPr>
            </w:pPr>
            <w:r w:rsidRPr="00FB44CE">
              <w:rPr>
                <w:rFonts w:cs="Times New Roman"/>
                <w:sz w:val="18"/>
                <w:szCs w:val="18"/>
              </w:rPr>
              <w:t>M T Ncanana</w:t>
            </w:r>
          </w:p>
        </w:tc>
        <w:tc>
          <w:tcPr>
            <w:tcW w:w="0" w:type="auto"/>
          </w:tcPr>
          <w:p w14:paraId="425F3C79" w14:textId="77777777" w:rsidR="00FB44CE" w:rsidRPr="00FB44CE" w:rsidRDefault="00FB44CE" w:rsidP="00FB44CE">
            <w:pPr>
              <w:rPr>
                <w:rFonts w:cs="Times New Roman"/>
                <w:sz w:val="18"/>
                <w:szCs w:val="18"/>
              </w:rPr>
            </w:pPr>
            <w:r w:rsidRPr="00FB44CE">
              <w:rPr>
                <w:rFonts w:cs="Times New Roman"/>
                <w:sz w:val="18"/>
                <w:szCs w:val="18"/>
              </w:rPr>
              <w:t>Director Corporate Services (Bheki Zulu)</w:t>
            </w:r>
          </w:p>
        </w:tc>
        <w:tc>
          <w:tcPr>
            <w:tcW w:w="0" w:type="auto"/>
          </w:tcPr>
          <w:p w14:paraId="5A9FC8B2" w14:textId="77777777" w:rsidR="00FB44CE" w:rsidRPr="00FB44CE" w:rsidRDefault="00FB44CE" w:rsidP="00FB44CE">
            <w:pPr>
              <w:rPr>
                <w:rFonts w:cs="Times New Roman"/>
                <w:sz w:val="18"/>
                <w:szCs w:val="18"/>
              </w:rPr>
            </w:pPr>
            <w:r w:rsidRPr="00FB44CE">
              <w:rPr>
                <w:rFonts w:cs="Times New Roman"/>
                <w:sz w:val="18"/>
                <w:szCs w:val="18"/>
              </w:rPr>
              <w:t>The War Room has been established and is functional. They meet every second Wednesday of the month.</w:t>
            </w:r>
          </w:p>
        </w:tc>
        <w:tc>
          <w:tcPr>
            <w:tcW w:w="0" w:type="auto"/>
          </w:tcPr>
          <w:p w14:paraId="3EE32D3B" w14:textId="77777777" w:rsidR="00FB44CE" w:rsidRPr="00FB44CE" w:rsidRDefault="00FB44CE" w:rsidP="00FB44CE">
            <w:pPr>
              <w:rPr>
                <w:rFonts w:cs="Times New Roman"/>
                <w:sz w:val="18"/>
                <w:szCs w:val="18"/>
              </w:rPr>
            </w:pPr>
            <w:r w:rsidRPr="00FB44CE">
              <w:rPr>
                <w:rFonts w:cs="Times New Roman"/>
                <w:sz w:val="18"/>
                <w:szCs w:val="18"/>
              </w:rPr>
              <w:t>The Departments of Transport, Home Affairs, Health and Social Development attends the meetings.</w:t>
            </w:r>
          </w:p>
        </w:tc>
      </w:tr>
      <w:tr w:rsidR="00FB44CE" w:rsidRPr="00FB44CE" w14:paraId="0B62514C" w14:textId="77777777" w:rsidTr="00FB44CE">
        <w:tc>
          <w:tcPr>
            <w:tcW w:w="0" w:type="auto"/>
          </w:tcPr>
          <w:p w14:paraId="541B4504" w14:textId="77777777" w:rsidR="00FB44CE" w:rsidRPr="00FB44CE" w:rsidRDefault="00FB44CE" w:rsidP="00FB44CE">
            <w:pPr>
              <w:rPr>
                <w:rFonts w:cs="Times New Roman"/>
                <w:sz w:val="18"/>
                <w:szCs w:val="18"/>
              </w:rPr>
            </w:pPr>
            <w:r w:rsidRPr="00FB44CE">
              <w:rPr>
                <w:rFonts w:cs="Times New Roman"/>
                <w:sz w:val="18"/>
                <w:szCs w:val="18"/>
              </w:rPr>
              <w:t>21</w:t>
            </w:r>
          </w:p>
        </w:tc>
        <w:tc>
          <w:tcPr>
            <w:tcW w:w="0" w:type="auto"/>
          </w:tcPr>
          <w:p w14:paraId="353398AC" w14:textId="77777777" w:rsidR="00FB44CE" w:rsidRPr="00FB44CE" w:rsidRDefault="00FB44CE" w:rsidP="00FB44CE">
            <w:pPr>
              <w:rPr>
                <w:rFonts w:cs="Times New Roman"/>
                <w:sz w:val="18"/>
                <w:szCs w:val="18"/>
              </w:rPr>
            </w:pPr>
            <w:r w:rsidRPr="00FB44CE">
              <w:rPr>
                <w:rFonts w:cs="Times New Roman"/>
                <w:sz w:val="18"/>
                <w:szCs w:val="18"/>
              </w:rPr>
              <w:t>N M Mnqayi</w:t>
            </w:r>
          </w:p>
        </w:tc>
        <w:tc>
          <w:tcPr>
            <w:tcW w:w="0" w:type="auto"/>
          </w:tcPr>
          <w:p w14:paraId="1774DFBE" w14:textId="77777777" w:rsidR="00FB44CE" w:rsidRPr="00FB44CE" w:rsidRDefault="00FB44CE" w:rsidP="00FB44CE">
            <w:pPr>
              <w:rPr>
                <w:rFonts w:cs="Times New Roman"/>
                <w:sz w:val="18"/>
                <w:szCs w:val="18"/>
              </w:rPr>
            </w:pPr>
            <w:r w:rsidRPr="00FB44CE">
              <w:rPr>
                <w:rFonts w:cs="Times New Roman"/>
                <w:sz w:val="18"/>
                <w:szCs w:val="18"/>
              </w:rPr>
              <w:t>Director Corporate Services (Bheki Zulu)</w:t>
            </w:r>
          </w:p>
        </w:tc>
        <w:tc>
          <w:tcPr>
            <w:tcW w:w="0" w:type="auto"/>
          </w:tcPr>
          <w:p w14:paraId="79B84D05" w14:textId="77777777" w:rsidR="00FB44CE" w:rsidRPr="00FB44CE" w:rsidRDefault="00FB44CE" w:rsidP="00FB44CE">
            <w:pPr>
              <w:rPr>
                <w:rFonts w:cs="Times New Roman"/>
                <w:sz w:val="18"/>
                <w:szCs w:val="18"/>
              </w:rPr>
            </w:pPr>
            <w:r w:rsidRPr="00FB44CE">
              <w:rPr>
                <w:rFonts w:cs="Times New Roman"/>
                <w:sz w:val="18"/>
                <w:szCs w:val="18"/>
              </w:rPr>
              <w:t>The War Room has not been established.</w:t>
            </w:r>
          </w:p>
        </w:tc>
        <w:tc>
          <w:tcPr>
            <w:tcW w:w="0" w:type="auto"/>
          </w:tcPr>
          <w:p w14:paraId="2E6FA038" w14:textId="77777777" w:rsidR="00FB44CE" w:rsidRPr="00FB44CE" w:rsidRDefault="00FB44CE" w:rsidP="00FB44CE">
            <w:pPr>
              <w:rPr>
                <w:rFonts w:cs="Times New Roman"/>
                <w:sz w:val="18"/>
                <w:szCs w:val="18"/>
              </w:rPr>
            </w:pPr>
            <w:r w:rsidRPr="00FB44CE">
              <w:rPr>
                <w:rFonts w:cs="Times New Roman"/>
                <w:sz w:val="18"/>
                <w:szCs w:val="18"/>
              </w:rPr>
              <w:t>The councillor Is waiting for the Mentor to assist.</w:t>
            </w:r>
          </w:p>
        </w:tc>
      </w:tr>
      <w:tr w:rsidR="00FB44CE" w:rsidRPr="00FB44CE" w14:paraId="656E5044" w14:textId="77777777" w:rsidTr="00FB44CE">
        <w:tc>
          <w:tcPr>
            <w:tcW w:w="0" w:type="auto"/>
          </w:tcPr>
          <w:p w14:paraId="55D598FD" w14:textId="77777777" w:rsidR="00FB44CE" w:rsidRPr="00FB44CE" w:rsidRDefault="00FB44CE" w:rsidP="00FB44CE">
            <w:pPr>
              <w:rPr>
                <w:rFonts w:cs="Times New Roman"/>
                <w:sz w:val="18"/>
                <w:szCs w:val="18"/>
              </w:rPr>
            </w:pPr>
            <w:r w:rsidRPr="00FB44CE">
              <w:rPr>
                <w:rFonts w:cs="Times New Roman"/>
                <w:sz w:val="18"/>
                <w:szCs w:val="18"/>
              </w:rPr>
              <w:t>22</w:t>
            </w:r>
          </w:p>
        </w:tc>
        <w:tc>
          <w:tcPr>
            <w:tcW w:w="0" w:type="auto"/>
          </w:tcPr>
          <w:p w14:paraId="7E5B0D94" w14:textId="77777777" w:rsidR="00FB44CE" w:rsidRPr="00FB44CE" w:rsidRDefault="00FB44CE" w:rsidP="00FB44CE">
            <w:pPr>
              <w:rPr>
                <w:rFonts w:cs="Times New Roman"/>
                <w:sz w:val="18"/>
                <w:szCs w:val="18"/>
              </w:rPr>
            </w:pPr>
            <w:r w:rsidRPr="00FB44CE">
              <w:rPr>
                <w:rFonts w:cs="Times New Roman"/>
                <w:sz w:val="18"/>
                <w:szCs w:val="18"/>
              </w:rPr>
              <w:t>M Z Nkwanyana</w:t>
            </w:r>
          </w:p>
        </w:tc>
        <w:tc>
          <w:tcPr>
            <w:tcW w:w="0" w:type="auto"/>
          </w:tcPr>
          <w:p w14:paraId="0624E7A5" w14:textId="77777777" w:rsidR="00FB44CE" w:rsidRPr="00FB44CE" w:rsidRDefault="00FB44CE" w:rsidP="00FB44CE">
            <w:pPr>
              <w:rPr>
                <w:rFonts w:cs="Times New Roman"/>
                <w:sz w:val="18"/>
                <w:szCs w:val="18"/>
              </w:rPr>
            </w:pPr>
            <w:r w:rsidRPr="00FB44CE">
              <w:rPr>
                <w:rFonts w:cs="Times New Roman"/>
                <w:sz w:val="18"/>
                <w:szCs w:val="18"/>
              </w:rPr>
              <w:t>Senior Manager Community Services (Xolani Blose)</w:t>
            </w:r>
          </w:p>
        </w:tc>
        <w:tc>
          <w:tcPr>
            <w:tcW w:w="0" w:type="auto"/>
          </w:tcPr>
          <w:p w14:paraId="50D7689A" w14:textId="77777777" w:rsidR="00FB44CE" w:rsidRPr="00FB44CE" w:rsidRDefault="00FB44CE" w:rsidP="00FB44CE">
            <w:pPr>
              <w:rPr>
                <w:rFonts w:cs="Times New Roman"/>
                <w:sz w:val="18"/>
                <w:szCs w:val="18"/>
              </w:rPr>
            </w:pPr>
            <w:r w:rsidRPr="00FB44CE">
              <w:rPr>
                <w:rFonts w:cs="Times New Roman"/>
                <w:sz w:val="18"/>
                <w:szCs w:val="18"/>
              </w:rPr>
              <w:t>The War Room has been established and is functional.</w:t>
            </w:r>
          </w:p>
        </w:tc>
        <w:tc>
          <w:tcPr>
            <w:tcW w:w="0" w:type="auto"/>
          </w:tcPr>
          <w:p w14:paraId="72D4B69B" w14:textId="77777777" w:rsidR="00FB44CE" w:rsidRPr="00FB44CE" w:rsidRDefault="00FB44CE" w:rsidP="00FB44CE">
            <w:pPr>
              <w:rPr>
                <w:rFonts w:cs="Times New Roman"/>
                <w:sz w:val="18"/>
                <w:szCs w:val="18"/>
              </w:rPr>
            </w:pPr>
            <w:r w:rsidRPr="00FB44CE">
              <w:rPr>
                <w:rFonts w:cs="Times New Roman"/>
                <w:sz w:val="18"/>
                <w:szCs w:val="18"/>
              </w:rPr>
              <w:t>The Departments of Social Development, Health, Agriculture, SAPS and KZN Wildlife attend the meetings.</w:t>
            </w:r>
          </w:p>
        </w:tc>
      </w:tr>
      <w:tr w:rsidR="00FB44CE" w:rsidRPr="00FB44CE" w14:paraId="010ECEF5" w14:textId="77777777" w:rsidTr="00FB44CE">
        <w:tc>
          <w:tcPr>
            <w:tcW w:w="0" w:type="auto"/>
          </w:tcPr>
          <w:p w14:paraId="540A3990" w14:textId="77777777" w:rsidR="00FB44CE" w:rsidRPr="00FB44CE" w:rsidRDefault="00FB44CE" w:rsidP="00FB44CE">
            <w:pPr>
              <w:rPr>
                <w:rFonts w:cs="Times New Roman"/>
                <w:sz w:val="18"/>
                <w:szCs w:val="18"/>
              </w:rPr>
            </w:pPr>
            <w:r w:rsidRPr="00FB44CE">
              <w:rPr>
                <w:rFonts w:cs="Times New Roman"/>
                <w:sz w:val="18"/>
                <w:szCs w:val="18"/>
              </w:rPr>
              <w:t>23</w:t>
            </w:r>
          </w:p>
        </w:tc>
        <w:tc>
          <w:tcPr>
            <w:tcW w:w="0" w:type="auto"/>
          </w:tcPr>
          <w:p w14:paraId="274F22A1" w14:textId="77777777" w:rsidR="00FB44CE" w:rsidRPr="00FB44CE" w:rsidRDefault="00FB44CE" w:rsidP="00FB44CE">
            <w:pPr>
              <w:rPr>
                <w:rFonts w:cs="Times New Roman"/>
                <w:sz w:val="18"/>
                <w:szCs w:val="18"/>
              </w:rPr>
            </w:pPr>
            <w:r w:rsidRPr="00FB44CE">
              <w:rPr>
                <w:rFonts w:cs="Times New Roman"/>
                <w:sz w:val="18"/>
                <w:szCs w:val="18"/>
              </w:rPr>
              <w:t>B L Zungu</w:t>
            </w:r>
          </w:p>
        </w:tc>
        <w:tc>
          <w:tcPr>
            <w:tcW w:w="0" w:type="auto"/>
          </w:tcPr>
          <w:p w14:paraId="21F041BF" w14:textId="77777777" w:rsidR="00FB44CE" w:rsidRPr="00FB44CE" w:rsidRDefault="00FB44CE" w:rsidP="00FB44CE">
            <w:pPr>
              <w:rPr>
                <w:rFonts w:cs="Times New Roman"/>
                <w:sz w:val="18"/>
                <w:szCs w:val="18"/>
              </w:rPr>
            </w:pPr>
            <w:r w:rsidRPr="00FB44CE">
              <w:rPr>
                <w:rFonts w:cs="Times New Roman"/>
                <w:sz w:val="18"/>
                <w:szCs w:val="18"/>
              </w:rPr>
              <w:t>Senior Manager Engineering – Civil (Mbuso Dlamini)</w:t>
            </w:r>
          </w:p>
        </w:tc>
        <w:tc>
          <w:tcPr>
            <w:tcW w:w="0" w:type="auto"/>
          </w:tcPr>
          <w:p w14:paraId="19170C43" w14:textId="77777777" w:rsidR="00FB44CE" w:rsidRPr="00FB44CE" w:rsidRDefault="00FB44CE" w:rsidP="00FB44CE">
            <w:pPr>
              <w:rPr>
                <w:rFonts w:cs="Times New Roman"/>
                <w:sz w:val="18"/>
                <w:szCs w:val="18"/>
              </w:rPr>
            </w:pPr>
            <w:r w:rsidRPr="00FB44CE">
              <w:rPr>
                <w:rFonts w:cs="Times New Roman"/>
                <w:sz w:val="18"/>
                <w:szCs w:val="18"/>
              </w:rPr>
              <w:t>The War Room has been established and is functional. They meet every first Monday of the month.</w:t>
            </w:r>
          </w:p>
        </w:tc>
        <w:tc>
          <w:tcPr>
            <w:tcW w:w="0" w:type="auto"/>
          </w:tcPr>
          <w:p w14:paraId="243E31F2" w14:textId="77777777" w:rsidR="00FB44CE" w:rsidRPr="00FB44CE" w:rsidRDefault="00FB44CE" w:rsidP="00FB44CE">
            <w:pPr>
              <w:rPr>
                <w:rFonts w:cs="Times New Roman"/>
                <w:sz w:val="18"/>
                <w:szCs w:val="18"/>
              </w:rPr>
            </w:pPr>
            <w:r w:rsidRPr="00FB44CE">
              <w:rPr>
                <w:rFonts w:cs="Times New Roman"/>
                <w:sz w:val="18"/>
                <w:szCs w:val="18"/>
              </w:rPr>
              <w:t>The Departments of Social Development, Home Affairs and Health attend the meetings.</w:t>
            </w:r>
          </w:p>
        </w:tc>
      </w:tr>
      <w:tr w:rsidR="00FB44CE" w:rsidRPr="00FB44CE" w14:paraId="399C97DC" w14:textId="77777777" w:rsidTr="00FB44CE">
        <w:tc>
          <w:tcPr>
            <w:tcW w:w="0" w:type="auto"/>
          </w:tcPr>
          <w:p w14:paraId="30264FC4" w14:textId="77777777" w:rsidR="00FB44CE" w:rsidRPr="00FB44CE" w:rsidRDefault="00FB44CE" w:rsidP="00FB44CE">
            <w:pPr>
              <w:rPr>
                <w:rFonts w:cs="Times New Roman"/>
                <w:sz w:val="18"/>
                <w:szCs w:val="18"/>
              </w:rPr>
            </w:pPr>
            <w:r w:rsidRPr="00FB44CE">
              <w:rPr>
                <w:rFonts w:cs="Times New Roman"/>
                <w:sz w:val="18"/>
                <w:szCs w:val="18"/>
              </w:rPr>
              <w:t>24</w:t>
            </w:r>
          </w:p>
        </w:tc>
        <w:tc>
          <w:tcPr>
            <w:tcW w:w="0" w:type="auto"/>
          </w:tcPr>
          <w:p w14:paraId="48CEE5F9" w14:textId="77777777" w:rsidR="00FB44CE" w:rsidRPr="00FB44CE" w:rsidRDefault="00FB44CE" w:rsidP="00FB44CE">
            <w:pPr>
              <w:rPr>
                <w:rFonts w:cs="Times New Roman"/>
                <w:sz w:val="18"/>
                <w:szCs w:val="18"/>
              </w:rPr>
            </w:pPr>
            <w:r w:rsidRPr="00FB44CE">
              <w:rPr>
                <w:rFonts w:cs="Times New Roman"/>
                <w:sz w:val="18"/>
                <w:szCs w:val="18"/>
              </w:rPr>
              <w:t>A B Dlamini</w:t>
            </w:r>
          </w:p>
        </w:tc>
        <w:tc>
          <w:tcPr>
            <w:tcW w:w="0" w:type="auto"/>
          </w:tcPr>
          <w:p w14:paraId="445969A5" w14:textId="77777777" w:rsidR="00FB44CE" w:rsidRPr="00FB44CE" w:rsidRDefault="00FB44CE" w:rsidP="00FB44CE">
            <w:pPr>
              <w:rPr>
                <w:rFonts w:cs="Times New Roman"/>
                <w:sz w:val="18"/>
                <w:szCs w:val="18"/>
              </w:rPr>
            </w:pPr>
            <w:r w:rsidRPr="00FB44CE">
              <w:rPr>
                <w:rFonts w:cs="Times New Roman"/>
                <w:sz w:val="18"/>
                <w:szCs w:val="18"/>
              </w:rPr>
              <w:t>Engineering department</w:t>
            </w:r>
          </w:p>
        </w:tc>
        <w:tc>
          <w:tcPr>
            <w:tcW w:w="0" w:type="auto"/>
          </w:tcPr>
          <w:p w14:paraId="3536BB8E" w14:textId="77777777" w:rsidR="00FB44CE" w:rsidRPr="00FB44CE" w:rsidRDefault="00FB44CE" w:rsidP="00FB44CE">
            <w:pPr>
              <w:rPr>
                <w:rFonts w:cs="Times New Roman"/>
                <w:sz w:val="18"/>
                <w:szCs w:val="18"/>
              </w:rPr>
            </w:pPr>
            <w:r w:rsidRPr="00FB44CE">
              <w:rPr>
                <w:rFonts w:cs="Times New Roman"/>
                <w:sz w:val="18"/>
                <w:szCs w:val="18"/>
              </w:rPr>
              <w:t>The War Room is established and functional. They meet twice a month on a Wednesday.</w:t>
            </w:r>
          </w:p>
        </w:tc>
        <w:tc>
          <w:tcPr>
            <w:tcW w:w="0" w:type="auto"/>
          </w:tcPr>
          <w:p w14:paraId="0FC5FD8C" w14:textId="77777777" w:rsidR="00FB44CE" w:rsidRPr="00FB44CE" w:rsidRDefault="00FB44CE" w:rsidP="00FB44CE">
            <w:pPr>
              <w:rPr>
                <w:rFonts w:cs="Times New Roman"/>
                <w:sz w:val="18"/>
                <w:szCs w:val="18"/>
              </w:rPr>
            </w:pPr>
            <w:r w:rsidRPr="00FB44CE">
              <w:rPr>
                <w:rFonts w:cs="Times New Roman"/>
                <w:sz w:val="18"/>
                <w:szCs w:val="18"/>
              </w:rPr>
              <w:t>The only departments that attend are the Department of Social Development and Health, however an official of the Clinic from Health attends.</w:t>
            </w:r>
          </w:p>
        </w:tc>
      </w:tr>
      <w:tr w:rsidR="00FB44CE" w:rsidRPr="00FB44CE" w14:paraId="0C52F0CE" w14:textId="77777777" w:rsidTr="00FB44CE">
        <w:tc>
          <w:tcPr>
            <w:tcW w:w="0" w:type="auto"/>
          </w:tcPr>
          <w:p w14:paraId="477AAF02" w14:textId="77777777" w:rsidR="00FB44CE" w:rsidRPr="00FB44CE" w:rsidRDefault="00FB44CE" w:rsidP="00FB44CE">
            <w:pPr>
              <w:rPr>
                <w:rFonts w:cs="Times New Roman"/>
                <w:sz w:val="18"/>
                <w:szCs w:val="18"/>
              </w:rPr>
            </w:pPr>
            <w:r w:rsidRPr="00FB44CE">
              <w:rPr>
                <w:rFonts w:cs="Times New Roman"/>
                <w:sz w:val="18"/>
                <w:szCs w:val="18"/>
              </w:rPr>
              <w:t>25</w:t>
            </w:r>
          </w:p>
        </w:tc>
        <w:tc>
          <w:tcPr>
            <w:tcW w:w="0" w:type="auto"/>
          </w:tcPr>
          <w:p w14:paraId="4898C2A2" w14:textId="77777777" w:rsidR="00FB44CE" w:rsidRPr="00FB44CE" w:rsidRDefault="00FB44CE" w:rsidP="00FB44CE">
            <w:pPr>
              <w:rPr>
                <w:rFonts w:cs="Times New Roman"/>
                <w:sz w:val="18"/>
                <w:szCs w:val="18"/>
              </w:rPr>
            </w:pPr>
            <w:r w:rsidRPr="00FB44CE">
              <w:rPr>
                <w:rFonts w:cs="Times New Roman"/>
                <w:sz w:val="18"/>
                <w:szCs w:val="18"/>
              </w:rPr>
              <w:t>L B G Biyela</w:t>
            </w:r>
          </w:p>
        </w:tc>
        <w:tc>
          <w:tcPr>
            <w:tcW w:w="0" w:type="auto"/>
          </w:tcPr>
          <w:p w14:paraId="276F91B3" w14:textId="77777777" w:rsidR="00FB44CE" w:rsidRPr="00FB44CE" w:rsidRDefault="00FB44CE" w:rsidP="00FB44CE">
            <w:pPr>
              <w:rPr>
                <w:rFonts w:cs="Times New Roman"/>
                <w:sz w:val="18"/>
                <w:szCs w:val="18"/>
              </w:rPr>
            </w:pPr>
            <w:r w:rsidRPr="00FB44CE">
              <w:rPr>
                <w:rFonts w:cs="Times New Roman"/>
                <w:sz w:val="18"/>
                <w:szCs w:val="18"/>
              </w:rPr>
              <w:t>Engineering department</w:t>
            </w:r>
          </w:p>
        </w:tc>
        <w:tc>
          <w:tcPr>
            <w:tcW w:w="0" w:type="auto"/>
          </w:tcPr>
          <w:p w14:paraId="7E35597D" w14:textId="77777777" w:rsidR="00FB44CE" w:rsidRPr="00FB44CE" w:rsidRDefault="00FB44CE" w:rsidP="00FB44CE">
            <w:pPr>
              <w:rPr>
                <w:rFonts w:cs="Times New Roman"/>
                <w:sz w:val="18"/>
                <w:szCs w:val="18"/>
              </w:rPr>
            </w:pPr>
            <w:r w:rsidRPr="00FB44CE">
              <w:rPr>
                <w:rFonts w:cs="Times New Roman"/>
                <w:sz w:val="18"/>
                <w:szCs w:val="18"/>
              </w:rPr>
              <w:t xml:space="preserve">The War Room is established and functional. They meet once a month on a Wednesday </w:t>
            </w:r>
          </w:p>
        </w:tc>
        <w:tc>
          <w:tcPr>
            <w:tcW w:w="0" w:type="auto"/>
          </w:tcPr>
          <w:p w14:paraId="5FB70BF7" w14:textId="77777777" w:rsidR="00FB44CE" w:rsidRPr="00FB44CE" w:rsidRDefault="00FB44CE" w:rsidP="00FB44CE">
            <w:pPr>
              <w:rPr>
                <w:rFonts w:cs="Times New Roman"/>
                <w:sz w:val="18"/>
                <w:szCs w:val="18"/>
              </w:rPr>
            </w:pPr>
            <w:r w:rsidRPr="00FB44CE">
              <w:rPr>
                <w:rFonts w:cs="Times New Roman"/>
                <w:sz w:val="18"/>
                <w:szCs w:val="18"/>
              </w:rPr>
              <w:t>No departments attend the War Room meetings.</w:t>
            </w:r>
          </w:p>
        </w:tc>
      </w:tr>
      <w:tr w:rsidR="00FB44CE" w:rsidRPr="00FB44CE" w14:paraId="72E0BC13" w14:textId="77777777" w:rsidTr="00FB44CE">
        <w:tc>
          <w:tcPr>
            <w:tcW w:w="0" w:type="auto"/>
          </w:tcPr>
          <w:p w14:paraId="64ECBBCA" w14:textId="77777777" w:rsidR="00FB44CE" w:rsidRPr="00FB44CE" w:rsidRDefault="00FB44CE" w:rsidP="00FB44CE">
            <w:pPr>
              <w:rPr>
                <w:rFonts w:cs="Times New Roman"/>
                <w:sz w:val="18"/>
                <w:szCs w:val="18"/>
              </w:rPr>
            </w:pPr>
            <w:r w:rsidRPr="00FB44CE">
              <w:rPr>
                <w:rFonts w:cs="Times New Roman"/>
                <w:sz w:val="18"/>
                <w:szCs w:val="18"/>
              </w:rPr>
              <w:t>26</w:t>
            </w:r>
          </w:p>
        </w:tc>
        <w:tc>
          <w:tcPr>
            <w:tcW w:w="0" w:type="auto"/>
          </w:tcPr>
          <w:p w14:paraId="68ED33FC" w14:textId="77777777" w:rsidR="00FB44CE" w:rsidRPr="00FB44CE" w:rsidRDefault="00FB44CE" w:rsidP="00FB44CE">
            <w:pPr>
              <w:rPr>
                <w:rFonts w:cs="Times New Roman"/>
                <w:sz w:val="18"/>
                <w:szCs w:val="18"/>
              </w:rPr>
            </w:pPr>
            <w:r w:rsidRPr="00FB44CE">
              <w:rPr>
                <w:rFonts w:cs="Times New Roman"/>
                <w:sz w:val="18"/>
                <w:szCs w:val="18"/>
              </w:rPr>
              <w:t>T E Nsele</w:t>
            </w:r>
          </w:p>
        </w:tc>
        <w:tc>
          <w:tcPr>
            <w:tcW w:w="0" w:type="auto"/>
          </w:tcPr>
          <w:p w14:paraId="6EF03132" w14:textId="77777777" w:rsidR="00FB44CE" w:rsidRPr="00FB44CE" w:rsidRDefault="00FB44CE" w:rsidP="00FB44CE">
            <w:pPr>
              <w:rPr>
                <w:rFonts w:cs="Times New Roman"/>
                <w:sz w:val="18"/>
                <w:szCs w:val="18"/>
              </w:rPr>
            </w:pPr>
            <w:r w:rsidRPr="00FB44CE">
              <w:rPr>
                <w:rFonts w:cs="Times New Roman"/>
                <w:sz w:val="18"/>
                <w:szCs w:val="18"/>
              </w:rPr>
              <w:t>Manager Communications (Mkhuseli Buthelezi)</w:t>
            </w:r>
          </w:p>
        </w:tc>
        <w:tc>
          <w:tcPr>
            <w:tcW w:w="0" w:type="auto"/>
          </w:tcPr>
          <w:p w14:paraId="0F9C4586" w14:textId="77777777" w:rsidR="00FB44CE" w:rsidRPr="00FB44CE" w:rsidRDefault="00FB44CE" w:rsidP="00FB44CE">
            <w:pPr>
              <w:rPr>
                <w:rFonts w:cs="Times New Roman"/>
                <w:sz w:val="18"/>
                <w:szCs w:val="18"/>
              </w:rPr>
            </w:pPr>
            <w:r w:rsidRPr="00FB44CE">
              <w:rPr>
                <w:rFonts w:cs="Times New Roman"/>
                <w:sz w:val="18"/>
                <w:szCs w:val="18"/>
              </w:rPr>
              <w:t>The War Room has been established and is functional. They meet twice a month on a Tuesday.</w:t>
            </w:r>
          </w:p>
        </w:tc>
        <w:tc>
          <w:tcPr>
            <w:tcW w:w="0" w:type="auto"/>
          </w:tcPr>
          <w:p w14:paraId="7923F0FB" w14:textId="77777777" w:rsidR="00FB44CE" w:rsidRPr="00FB44CE" w:rsidRDefault="00FB44CE" w:rsidP="00FB44CE">
            <w:pPr>
              <w:rPr>
                <w:rFonts w:cs="Times New Roman"/>
                <w:sz w:val="18"/>
                <w:szCs w:val="18"/>
              </w:rPr>
            </w:pPr>
            <w:r w:rsidRPr="00FB44CE">
              <w:rPr>
                <w:rFonts w:cs="Times New Roman"/>
                <w:sz w:val="18"/>
                <w:szCs w:val="18"/>
              </w:rPr>
              <w:t>Only the Department of Health attends the meeting.</w:t>
            </w:r>
          </w:p>
        </w:tc>
      </w:tr>
      <w:tr w:rsidR="00FB44CE" w:rsidRPr="00FB44CE" w14:paraId="19FDFA9B" w14:textId="77777777" w:rsidTr="00FB44CE">
        <w:tc>
          <w:tcPr>
            <w:tcW w:w="0" w:type="auto"/>
          </w:tcPr>
          <w:p w14:paraId="329C1E83" w14:textId="77777777" w:rsidR="00FB44CE" w:rsidRPr="00FB44CE" w:rsidRDefault="00FB44CE" w:rsidP="00FB44CE">
            <w:pPr>
              <w:rPr>
                <w:rFonts w:cs="Times New Roman"/>
                <w:sz w:val="18"/>
                <w:szCs w:val="18"/>
              </w:rPr>
            </w:pPr>
            <w:r w:rsidRPr="00FB44CE">
              <w:rPr>
                <w:rFonts w:cs="Times New Roman"/>
                <w:sz w:val="18"/>
                <w:szCs w:val="18"/>
              </w:rPr>
              <w:t>27</w:t>
            </w:r>
          </w:p>
        </w:tc>
        <w:tc>
          <w:tcPr>
            <w:tcW w:w="0" w:type="auto"/>
          </w:tcPr>
          <w:p w14:paraId="2A4B59F0" w14:textId="77777777" w:rsidR="00FB44CE" w:rsidRPr="00FB44CE" w:rsidRDefault="00FB44CE" w:rsidP="00FB44CE">
            <w:pPr>
              <w:rPr>
                <w:rFonts w:cs="Times New Roman"/>
                <w:sz w:val="18"/>
                <w:szCs w:val="18"/>
              </w:rPr>
            </w:pPr>
            <w:r w:rsidRPr="00FB44CE">
              <w:rPr>
                <w:rFonts w:cs="Times New Roman"/>
                <w:sz w:val="18"/>
                <w:szCs w:val="18"/>
              </w:rPr>
              <w:t>M M Ngema</w:t>
            </w:r>
          </w:p>
        </w:tc>
        <w:tc>
          <w:tcPr>
            <w:tcW w:w="0" w:type="auto"/>
          </w:tcPr>
          <w:p w14:paraId="27C61791" w14:textId="77777777" w:rsidR="00FB44CE" w:rsidRPr="00FB44CE" w:rsidRDefault="00FB44CE" w:rsidP="00FB44CE">
            <w:pPr>
              <w:rPr>
                <w:rFonts w:cs="Times New Roman"/>
                <w:sz w:val="18"/>
                <w:szCs w:val="18"/>
              </w:rPr>
            </w:pPr>
            <w:r w:rsidRPr="00FB44CE">
              <w:rPr>
                <w:rFonts w:cs="Times New Roman"/>
                <w:sz w:val="18"/>
                <w:szCs w:val="18"/>
              </w:rPr>
              <w:t>Director Community Services (Sibusiso Nzuza)</w:t>
            </w:r>
          </w:p>
        </w:tc>
        <w:tc>
          <w:tcPr>
            <w:tcW w:w="0" w:type="auto"/>
          </w:tcPr>
          <w:p w14:paraId="7582E52C" w14:textId="77777777" w:rsidR="00FB44CE" w:rsidRPr="00FB44CE" w:rsidRDefault="00FB44CE" w:rsidP="00FB44CE">
            <w:pPr>
              <w:rPr>
                <w:rFonts w:cs="Times New Roman"/>
                <w:sz w:val="18"/>
                <w:szCs w:val="18"/>
              </w:rPr>
            </w:pPr>
            <w:r w:rsidRPr="00FB44CE">
              <w:rPr>
                <w:rFonts w:cs="Times New Roman"/>
                <w:sz w:val="18"/>
                <w:szCs w:val="18"/>
              </w:rPr>
              <w:t>The War Room has been established and is functional. They meet once a month in the first week.</w:t>
            </w:r>
          </w:p>
        </w:tc>
        <w:tc>
          <w:tcPr>
            <w:tcW w:w="0" w:type="auto"/>
          </w:tcPr>
          <w:p w14:paraId="399EBE79" w14:textId="77777777" w:rsidR="00FB44CE" w:rsidRPr="00FB44CE" w:rsidRDefault="00FB44CE" w:rsidP="00FB44CE">
            <w:pPr>
              <w:rPr>
                <w:rFonts w:cs="Times New Roman"/>
                <w:sz w:val="18"/>
                <w:szCs w:val="18"/>
              </w:rPr>
            </w:pPr>
            <w:r w:rsidRPr="00FB44CE">
              <w:rPr>
                <w:rFonts w:cs="Times New Roman"/>
                <w:sz w:val="18"/>
                <w:szCs w:val="18"/>
              </w:rPr>
              <w:t>The Departments of Social Development, Home Affairs, Home Affairs and Health attend the meetings.</w:t>
            </w:r>
          </w:p>
        </w:tc>
      </w:tr>
    </w:tbl>
    <w:p w14:paraId="3F83CD32" w14:textId="77777777" w:rsidR="00FB44CE" w:rsidRDefault="00461A8C" w:rsidP="00461A8C">
      <w:pPr>
        <w:pStyle w:val="Caption"/>
      </w:pPr>
      <w:bookmarkStart w:id="537" w:name="_Toc510622337"/>
      <w:r>
        <w:t xml:space="preserve">Table </w:t>
      </w:r>
      <w:r w:rsidR="00B918A6">
        <w:fldChar w:fldCharType="begin"/>
      </w:r>
      <w:r w:rsidR="00B918A6">
        <w:instrText xml:space="preserve"> SEQ Table \* ARABIC </w:instrText>
      </w:r>
      <w:r w:rsidR="00B918A6">
        <w:fldChar w:fldCharType="separate"/>
      </w:r>
      <w:r w:rsidR="0067023A">
        <w:rPr>
          <w:noProof/>
        </w:rPr>
        <w:t>86</w:t>
      </w:r>
      <w:r w:rsidR="00B918A6">
        <w:rPr>
          <w:noProof/>
        </w:rPr>
        <w:fldChar w:fldCharType="end"/>
      </w:r>
      <w:r>
        <w:t>:War Room functionality</w:t>
      </w:r>
      <w:bookmarkEnd w:id="537"/>
    </w:p>
    <w:p w14:paraId="7667E615" w14:textId="1AC1B160" w:rsidR="00750180" w:rsidRDefault="00750180" w:rsidP="00750180">
      <w:pPr>
        <w:pStyle w:val="Heading4"/>
        <w:numPr>
          <w:ilvl w:val="3"/>
          <w:numId w:val="127"/>
        </w:numPr>
        <w:spacing w:after="240"/>
      </w:pPr>
      <w:r>
        <w:t>KZN Global Fund Project</w:t>
      </w:r>
    </w:p>
    <w:p w14:paraId="0AF2AC1E" w14:textId="77777777" w:rsidR="00750180" w:rsidRDefault="00750180" w:rsidP="00750180">
      <w:pPr>
        <w:spacing w:after="0" w:line="240" w:lineRule="auto"/>
        <w:jc w:val="both"/>
      </w:pPr>
    </w:p>
    <w:p w14:paraId="7D0F1D0C" w14:textId="77777777" w:rsidR="00750180" w:rsidRPr="00750180" w:rsidRDefault="00750180" w:rsidP="00750180">
      <w:pPr>
        <w:spacing w:after="0" w:line="240" w:lineRule="auto"/>
        <w:jc w:val="both"/>
      </w:pPr>
      <w:r w:rsidRPr="00750180">
        <w:t>KZN Provincial Government received a Global Fund Grant to implement HIV and AIDS programs targeting young girls and women as they are most at risk of being infected with the deceased. Various studies showed that young girls between the ages 19 to 24 were more infected compare to their male peers. HIV prevention strategies seems to be in favor of males, which include Male Medical circumcision, male condoms are easily available compare to female condoms and there is an increase in sexual abuse of young girls in KZN (sugar daddies).</w:t>
      </w:r>
    </w:p>
    <w:p w14:paraId="47DA4EBE" w14:textId="77777777" w:rsidR="00750180" w:rsidRPr="00750180" w:rsidRDefault="00750180" w:rsidP="00750180">
      <w:pPr>
        <w:spacing w:after="0" w:line="240" w:lineRule="auto"/>
        <w:jc w:val="both"/>
      </w:pPr>
    </w:p>
    <w:p w14:paraId="1D0BB2C1" w14:textId="5454993E" w:rsidR="00750180" w:rsidRPr="00750180" w:rsidRDefault="00750180" w:rsidP="00750180">
      <w:pPr>
        <w:pStyle w:val="ListParagraph"/>
        <w:numPr>
          <w:ilvl w:val="0"/>
          <w:numId w:val="145"/>
        </w:numPr>
        <w:spacing w:after="0" w:line="240" w:lineRule="auto"/>
        <w:jc w:val="both"/>
      </w:pPr>
      <w:r w:rsidRPr="00750180">
        <w:t xml:space="preserve">Over 4000 girls and young women (age 19 </w:t>
      </w:r>
      <w:r w:rsidR="00235697">
        <w:t xml:space="preserve">– 24) have been recruited for the </w:t>
      </w:r>
      <w:r w:rsidRPr="00750180">
        <w:t>war rooms (no criteria- all young women to participate)</w:t>
      </w:r>
    </w:p>
    <w:p w14:paraId="64D566E2" w14:textId="77777777" w:rsidR="00750180" w:rsidRPr="00750180" w:rsidRDefault="00750180" w:rsidP="00750180">
      <w:pPr>
        <w:pStyle w:val="ListParagraph"/>
        <w:numPr>
          <w:ilvl w:val="0"/>
          <w:numId w:val="145"/>
        </w:numPr>
        <w:spacing w:after="0" w:line="240" w:lineRule="auto"/>
        <w:jc w:val="both"/>
      </w:pPr>
      <w:r w:rsidRPr="00750180">
        <w:t>Each participant will receive R350 per month, for attending the sessions that will be facilitated by Youth Facilitators. The program will also offer tertiary registration assistance to participants.</w:t>
      </w:r>
    </w:p>
    <w:p w14:paraId="69D8E4F5" w14:textId="77777777" w:rsidR="00750180" w:rsidRPr="00750180" w:rsidRDefault="00750180" w:rsidP="00750180">
      <w:pPr>
        <w:pStyle w:val="ListParagraph"/>
        <w:numPr>
          <w:ilvl w:val="0"/>
          <w:numId w:val="145"/>
        </w:numPr>
        <w:spacing w:after="0" w:line="240" w:lineRule="auto"/>
        <w:jc w:val="both"/>
      </w:pPr>
      <w:r w:rsidRPr="00750180">
        <w:t>Topics will include, HIV &amp; AIDS; Self Esteem; Economic Develop etc.</w:t>
      </w:r>
    </w:p>
    <w:p w14:paraId="40D48AAF" w14:textId="77777777" w:rsidR="00750180" w:rsidRPr="00750180" w:rsidRDefault="00750180" w:rsidP="00750180">
      <w:pPr>
        <w:pStyle w:val="ListParagraph"/>
        <w:numPr>
          <w:ilvl w:val="0"/>
          <w:numId w:val="145"/>
        </w:numPr>
        <w:spacing w:after="0" w:line="240" w:lineRule="auto"/>
        <w:jc w:val="both"/>
      </w:pPr>
      <w:r w:rsidRPr="00750180">
        <w:t>27 Youth Facilitators have been recruited, process was led by the KZN Provincial Treasury &amp; CINDI Network an NGO contracted by the Province to manage the programs.</w:t>
      </w:r>
    </w:p>
    <w:p w14:paraId="34D922D5" w14:textId="25DDF468" w:rsidR="00750180" w:rsidRPr="00750180" w:rsidRDefault="00750180" w:rsidP="00750180">
      <w:pPr>
        <w:pStyle w:val="ListParagraph"/>
        <w:numPr>
          <w:ilvl w:val="0"/>
          <w:numId w:val="145"/>
        </w:numPr>
        <w:spacing w:after="0" w:line="240" w:lineRule="auto"/>
        <w:jc w:val="both"/>
      </w:pPr>
      <w:r w:rsidRPr="00750180">
        <w:t>Salar</w:t>
      </w:r>
      <w:r>
        <w:t>ies will be paid by the provincial government,</w:t>
      </w:r>
      <w:r w:rsidRPr="00750180">
        <w:t xml:space="preserve"> but each facilitator must work in the War room and ensure that the structure is fully functional.</w:t>
      </w:r>
    </w:p>
    <w:p w14:paraId="1810911F" w14:textId="77777777" w:rsidR="00461A8C" w:rsidRPr="00461A8C" w:rsidRDefault="00461A8C" w:rsidP="00461A8C">
      <w:pPr>
        <w:spacing w:after="0" w:line="240" w:lineRule="auto"/>
        <w:rPr>
          <w:rFonts w:eastAsia="Times New Roman" w:cs="Times New Roman"/>
          <w:sz w:val="18"/>
          <w:szCs w:val="18"/>
          <w:lang w:val="en-ZA" w:eastAsia="en-ZA"/>
        </w:rPr>
      </w:pPr>
    </w:p>
    <w:p w14:paraId="4E9C16D2" w14:textId="77777777" w:rsidR="00461A8C" w:rsidRPr="00461A8C" w:rsidRDefault="00461A8C" w:rsidP="00461A8C">
      <w:pPr>
        <w:spacing w:after="0" w:line="240" w:lineRule="auto"/>
        <w:rPr>
          <w:rFonts w:eastAsia="Times New Roman" w:cs="Times New Roman"/>
          <w:sz w:val="18"/>
          <w:szCs w:val="18"/>
          <w:lang w:val="en-ZA" w:eastAsia="en-ZA"/>
        </w:rPr>
      </w:pPr>
    </w:p>
    <w:p w14:paraId="552457D8" w14:textId="77777777" w:rsidR="00461A8C" w:rsidRPr="00461A8C" w:rsidRDefault="00461A8C" w:rsidP="00750180">
      <w:pPr>
        <w:pStyle w:val="Heading5"/>
        <w:numPr>
          <w:ilvl w:val="4"/>
          <w:numId w:val="127"/>
        </w:numPr>
        <w:rPr>
          <w:rFonts w:eastAsia="Times New Roman"/>
          <w:lang w:val="en-ZA" w:eastAsia="en-ZA"/>
        </w:rPr>
      </w:pPr>
      <w:r w:rsidRPr="00461A8C">
        <w:rPr>
          <w:rFonts w:eastAsia="Times New Roman"/>
          <w:lang w:val="en-ZA" w:eastAsia="en-ZA"/>
        </w:rPr>
        <w:t>Overall Performance – War Rooms</w:t>
      </w:r>
    </w:p>
    <w:p w14:paraId="6E4AE656" w14:textId="77777777" w:rsidR="00461A8C" w:rsidRPr="00461A8C" w:rsidRDefault="00461A8C" w:rsidP="00461A8C">
      <w:pPr>
        <w:spacing w:after="0" w:line="240" w:lineRule="auto"/>
        <w:rPr>
          <w:rFonts w:eastAsia="Times New Roman" w:cs="Times New Roman"/>
          <w:sz w:val="18"/>
          <w:szCs w:val="18"/>
          <w:lang w:val="en-ZA" w:eastAsia="en-ZA"/>
        </w:rPr>
      </w:pPr>
    </w:p>
    <w:p w14:paraId="4A736E86" w14:textId="77777777" w:rsidR="00461A8C" w:rsidRPr="00461A8C" w:rsidRDefault="00461A8C" w:rsidP="00750180">
      <w:pPr>
        <w:pStyle w:val="ListParagraph"/>
        <w:numPr>
          <w:ilvl w:val="0"/>
          <w:numId w:val="90"/>
        </w:numPr>
        <w:spacing w:after="0"/>
        <w:jc w:val="both"/>
        <w:rPr>
          <w:rFonts w:eastAsia="Times New Roman" w:cs="Times New Roman"/>
          <w:sz w:val="18"/>
          <w:szCs w:val="18"/>
          <w:lang w:val="en-ZA" w:eastAsia="en-ZA"/>
        </w:rPr>
      </w:pPr>
      <w:r w:rsidRPr="00461A8C">
        <w:rPr>
          <w:rFonts w:eastAsia="Times New Roman" w:cs="Times New Roman"/>
          <w:sz w:val="18"/>
          <w:szCs w:val="18"/>
          <w:lang w:val="en-ZA" w:eastAsia="en-ZA"/>
        </w:rPr>
        <w:t xml:space="preserve">In terms of the key areas for a fully functional War Room, it is noted that ALL War Rooms are not fully functional as in most Wards all the relevant departments do not attend the meetings.  </w:t>
      </w:r>
    </w:p>
    <w:p w14:paraId="4963D921" w14:textId="77777777" w:rsidR="00461A8C" w:rsidRPr="00461A8C" w:rsidRDefault="00461A8C" w:rsidP="00750180">
      <w:pPr>
        <w:pStyle w:val="ListParagraph"/>
        <w:numPr>
          <w:ilvl w:val="0"/>
          <w:numId w:val="90"/>
        </w:numPr>
        <w:spacing w:after="0"/>
        <w:jc w:val="both"/>
        <w:rPr>
          <w:rFonts w:eastAsia="Times New Roman" w:cs="Times New Roman"/>
          <w:sz w:val="18"/>
          <w:szCs w:val="18"/>
          <w:lang w:val="en-ZA" w:eastAsia="en-ZA"/>
        </w:rPr>
      </w:pPr>
      <w:r w:rsidRPr="00461A8C">
        <w:rPr>
          <w:rFonts w:eastAsia="Times New Roman" w:cs="Times New Roman"/>
          <w:sz w:val="18"/>
          <w:szCs w:val="18"/>
          <w:lang w:val="en-ZA" w:eastAsia="en-ZA"/>
        </w:rPr>
        <w:t>The mentorship programme is not effective, as monthly reports are not submitted by Mentors on the status of the functionality of the War Rooms.</w:t>
      </w:r>
    </w:p>
    <w:p w14:paraId="168DA7A6" w14:textId="77777777" w:rsidR="00461A8C" w:rsidRPr="00461A8C" w:rsidRDefault="00461A8C" w:rsidP="00750180">
      <w:pPr>
        <w:pStyle w:val="ListParagraph"/>
        <w:numPr>
          <w:ilvl w:val="0"/>
          <w:numId w:val="90"/>
        </w:numPr>
        <w:spacing w:after="0"/>
        <w:jc w:val="both"/>
        <w:rPr>
          <w:rFonts w:eastAsia="Times New Roman" w:cs="Times New Roman"/>
          <w:sz w:val="18"/>
          <w:szCs w:val="18"/>
          <w:lang w:val="en-ZA" w:eastAsia="en-ZA"/>
        </w:rPr>
      </w:pPr>
      <w:r w:rsidRPr="00461A8C">
        <w:rPr>
          <w:rFonts w:eastAsia="Times New Roman" w:cs="Times New Roman"/>
          <w:sz w:val="18"/>
          <w:szCs w:val="18"/>
          <w:lang w:val="en-ZA" w:eastAsia="en-ZA"/>
        </w:rPr>
        <w:t>The Local Task Team (LTT) meets once a month however not all chairpersons attend.</w:t>
      </w:r>
    </w:p>
    <w:p w14:paraId="53654AEB" w14:textId="77777777" w:rsidR="00FB44CE" w:rsidRPr="00461A8C" w:rsidRDefault="00461A8C" w:rsidP="00750180">
      <w:pPr>
        <w:pStyle w:val="ListParagraph"/>
        <w:numPr>
          <w:ilvl w:val="0"/>
          <w:numId w:val="90"/>
        </w:numPr>
        <w:jc w:val="both"/>
        <w:rPr>
          <w:rFonts w:eastAsia="Times New Roman" w:cs="Times New Roman"/>
          <w:sz w:val="18"/>
          <w:szCs w:val="18"/>
          <w:lang w:val="en-ZA" w:eastAsia="en-ZA"/>
        </w:rPr>
      </w:pPr>
      <w:r w:rsidRPr="00461A8C">
        <w:rPr>
          <w:rFonts w:eastAsia="Times New Roman" w:cs="Times New Roman"/>
          <w:sz w:val="18"/>
          <w:szCs w:val="18"/>
          <w:lang w:val="en-ZA" w:eastAsia="en-ZA"/>
        </w:rPr>
        <w:t>Quarterly reports with statistics should be submitted to Council on the performances of War Rooms and Council should be able to see how the lives of people have been changed due to the effective functioning of War Rooms</w:t>
      </w:r>
    </w:p>
    <w:p w14:paraId="51A51D0D" w14:textId="77777777" w:rsidR="00DB168C" w:rsidRDefault="00DB168C" w:rsidP="00750180">
      <w:pPr>
        <w:pStyle w:val="Heading4"/>
        <w:numPr>
          <w:ilvl w:val="3"/>
          <w:numId w:val="127"/>
        </w:numPr>
      </w:pPr>
      <w:bookmarkStart w:id="538" w:name="_Toc389740045"/>
      <w:r>
        <w:t xml:space="preserve">Batho Pele </w:t>
      </w:r>
      <w:r w:rsidR="00EE570E">
        <w:t>Policy</w:t>
      </w:r>
    </w:p>
    <w:p w14:paraId="46585EED" w14:textId="77777777" w:rsidR="00DB168C" w:rsidRDefault="00DB168C" w:rsidP="00DB168C">
      <w:pPr>
        <w:spacing w:before="240"/>
        <w:jc w:val="both"/>
      </w:pPr>
      <w:r w:rsidRPr="00DB168C">
        <w:t>Batho  Pele  is  understood  to  be  an  initiative  that  aims  to  get  our municipal employees to be service oriented, to strive for excellence in  service  delivery  and  to  commit  to  continuous  service  delivery improvement.  It  commits  us,  as  uMlalazi Local  Municipality,  to  be held  accountable  by  our  communities  for  the  level  of  services  we deliver. Therefore, we have to put our communities at the centre in delivering services.</w:t>
      </w:r>
      <w:r>
        <w:t xml:space="preserve"> </w:t>
      </w:r>
      <w:r w:rsidRPr="00DB168C">
        <w:t>The uMlalazi Municipality recognises the need for the existence of Batho Pele and its importance as a service provider and it also acknowledges that a guiding philosophy in service delivery is to get all its employees to be service oriented, to strive for excellence in service delivery and to commit to continuous service delivery improvement.</w:t>
      </w:r>
    </w:p>
    <w:p w14:paraId="473E96D2" w14:textId="77777777" w:rsidR="00DB168C" w:rsidRDefault="00F60EEC" w:rsidP="00DB168C">
      <w:pPr>
        <w:spacing w:before="240"/>
        <w:jc w:val="both"/>
      </w:pPr>
      <w:r w:rsidRPr="00F60EEC">
        <w:t>The purpose of this policy is to enable the Municipal employees to deliver services in a customer focused way as stated in the Batho Pele national policy and ensure that the uMlalazi Municipality’s systems, procedures and attitudes of its employees are reoriented in favour of service delivery.</w:t>
      </w:r>
    </w:p>
    <w:p w14:paraId="472CBF45" w14:textId="77777777" w:rsidR="00F60EEC" w:rsidRDefault="00F60EEC" w:rsidP="00DB168C">
      <w:pPr>
        <w:spacing w:before="240"/>
        <w:jc w:val="both"/>
      </w:pPr>
      <w:r>
        <w:t>The objectives of the uMlalazi Municipality Batho Pele Policy which was approved by the Council on 27 June 2017 are:-</w:t>
      </w:r>
    </w:p>
    <w:p w14:paraId="1AB290C3" w14:textId="77777777" w:rsidR="00F60EEC" w:rsidRDefault="00F60EEC" w:rsidP="00750180">
      <w:pPr>
        <w:pStyle w:val="ListParagraph"/>
        <w:numPr>
          <w:ilvl w:val="0"/>
          <w:numId w:val="90"/>
        </w:numPr>
        <w:spacing w:before="240"/>
        <w:jc w:val="both"/>
      </w:pPr>
      <w:r>
        <w:t xml:space="preserve"> </w:t>
      </w:r>
      <w:r w:rsidRPr="00F60EEC">
        <w:t>To have a customer - centre</w:t>
      </w:r>
      <w:r>
        <w:t xml:space="preserve">d approach to service delivery </w:t>
      </w:r>
    </w:p>
    <w:p w14:paraId="4F684262" w14:textId="77777777" w:rsidR="00F60EEC" w:rsidRDefault="00F60EEC" w:rsidP="00750180">
      <w:pPr>
        <w:pStyle w:val="ListParagraph"/>
        <w:numPr>
          <w:ilvl w:val="0"/>
          <w:numId w:val="90"/>
        </w:numPr>
        <w:spacing w:before="240"/>
        <w:jc w:val="both"/>
      </w:pPr>
      <w:r w:rsidRPr="00F60EEC">
        <w:t xml:space="preserve">To improve service delivery, with a shift  away from inward-looking, bureaucratic systems, processes and attitudes as in increased commitment, personal sacrifice, dedication    and a search for new ways of working which puts the needs of the public first, which are better, faster and more responsive to the citizen’s needs. </w:t>
      </w:r>
    </w:p>
    <w:p w14:paraId="6DC7969F" w14:textId="77777777" w:rsidR="00F60EEC" w:rsidRDefault="00F60EEC" w:rsidP="00750180">
      <w:pPr>
        <w:pStyle w:val="ListParagraph"/>
        <w:numPr>
          <w:ilvl w:val="0"/>
          <w:numId w:val="90"/>
        </w:numPr>
        <w:spacing w:before="240"/>
        <w:jc w:val="both"/>
      </w:pPr>
      <w:r w:rsidRPr="00F60EEC">
        <w:t xml:space="preserve">To make the employees of the uMlalazi Municipality more accountable to citizens </w:t>
      </w:r>
    </w:p>
    <w:p w14:paraId="1CEA369E" w14:textId="77777777" w:rsidR="00F60EEC" w:rsidRDefault="00F60EEC" w:rsidP="00750180">
      <w:pPr>
        <w:pStyle w:val="ListParagraph"/>
        <w:numPr>
          <w:ilvl w:val="0"/>
          <w:numId w:val="90"/>
        </w:numPr>
        <w:spacing w:before="240"/>
        <w:jc w:val="both"/>
      </w:pPr>
      <w:r w:rsidRPr="00F60EEC">
        <w:t>To build effective relationships with the end users of public services (consultation)</w:t>
      </w:r>
      <w:r>
        <w:t xml:space="preserve"> </w:t>
      </w:r>
    </w:p>
    <w:p w14:paraId="603E11C1" w14:textId="77777777" w:rsidR="00F60EEC" w:rsidRDefault="00F60EEC" w:rsidP="00750180">
      <w:pPr>
        <w:pStyle w:val="ListParagraph"/>
        <w:numPr>
          <w:ilvl w:val="0"/>
          <w:numId w:val="90"/>
        </w:numPr>
        <w:spacing w:before="240"/>
        <w:jc w:val="both"/>
      </w:pPr>
      <w:r w:rsidRPr="00F60EEC">
        <w:t>To apply high standards and professional ethics</w:t>
      </w:r>
    </w:p>
    <w:p w14:paraId="483C0875" w14:textId="77777777" w:rsidR="00EE570E" w:rsidRDefault="00EE570E" w:rsidP="00750180">
      <w:pPr>
        <w:pStyle w:val="Heading4"/>
        <w:numPr>
          <w:ilvl w:val="3"/>
          <w:numId w:val="127"/>
        </w:numPr>
        <w:spacing w:after="240"/>
      </w:pPr>
      <w:r>
        <w:t>Batho Pele Service Standard Charter</w:t>
      </w:r>
    </w:p>
    <w:p w14:paraId="421D4732" w14:textId="77777777" w:rsidR="00EE570E" w:rsidRDefault="00EE570E" w:rsidP="00EE570E">
      <w:pPr>
        <w:jc w:val="both"/>
      </w:pPr>
      <w:r w:rsidRPr="00EE570E">
        <w:t>The uMlalazi Municipality as mandated by the Constitution of the Republic of South Africa, Act 108 of 1998 and other Local Government Acts commit to delivering excelle</w:t>
      </w:r>
      <w:r w:rsidR="00536C32">
        <w:t>nt services to our people. In compliance to this, the uMlalazi LM has developed and adopted the SSC on the 27</w:t>
      </w:r>
      <w:r w:rsidR="00536C32" w:rsidRPr="00536C32">
        <w:rPr>
          <w:vertAlign w:val="superscript"/>
        </w:rPr>
        <w:t>th</w:t>
      </w:r>
      <w:r w:rsidR="00536C32">
        <w:t xml:space="preserve"> of June 2017.  To uMlalazi LM,</w:t>
      </w:r>
      <w:r w:rsidRPr="00EE570E">
        <w:t xml:space="preserve"> putting people first is not an “add on” function to our daily task but a way in which we approach delivering services through an approach that places citizens first as customers.  The Municipality is committed in the implementation of Batho Pele Principles through the implementation </w:t>
      </w:r>
      <w:r w:rsidR="00536C32">
        <w:t>of the Service Delivery Charter</w:t>
      </w:r>
    </w:p>
    <w:p w14:paraId="78412912" w14:textId="77777777" w:rsidR="00536C32" w:rsidRDefault="00536C32" w:rsidP="00750180">
      <w:pPr>
        <w:pStyle w:val="Heading4"/>
        <w:numPr>
          <w:ilvl w:val="3"/>
          <w:numId w:val="127"/>
        </w:numPr>
      </w:pPr>
      <w:r>
        <w:t>Service Delivery Improvement Plan</w:t>
      </w:r>
    </w:p>
    <w:p w14:paraId="76D1848F" w14:textId="77777777" w:rsidR="00536C32" w:rsidRDefault="00536C32" w:rsidP="00536C32">
      <w:pPr>
        <w:spacing w:before="240"/>
        <w:jc w:val="both"/>
      </w:pPr>
      <w:r>
        <w:t>The uMlalazi Municipality recognizes the need to improve service delivery within specific service delivery key performance areas within the municipal area. Although the Service Delivery Improvement Plan has not been adopted by the municipality, specific targeted areas have been identified to be critical improvement areas, which will form part of the final SDIP. The following key service delivery areas will be considered;</w:t>
      </w:r>
    </w:p>
    <w:p w14:paraId="5ED746E0" w14:textId="77777777" w:rsidR="00536C32" w:rsidRDefault="00536C32" w:rsidP="00750180">
      <w:pPr>
        <w:pStyle w:val="ListParagraph"/>
        <w:numPr>
          <w:ilvl w:val="0"/>
          <w:numId w:val="91"/>
        </w:numPr>
        <w:spacing w:before="240"/>
        <w:jc w:val="both"/>
      </w:pPr>
      <w:r>
        <w:t>Infrastructure development</w:t>
      </w:r>
    </w:p>
    <w:p w14:paraId="03C6F2FE" w14:textId="77777777" w:rsidR="00536C32" w:rsidRDefault="00536C32" w:rsidP="00750180">
      <w:pPr>
        <w:pStyle w:val="ListParagraph"/>
        <w:numPr>
          <w:ilvl w:val="0"/>
          <w:numId w:val="91"/>
        </w:numPr>
        <w:spacing w:before="240"/>
        <w:jc w:val="both"/>
      </w:pPr>
      <w:r>
        <w:t>Refuse removal</w:t>
      </w:r>
    </w:p>
    <w:p w14:paraId="0264B82B" w14:textId="77777777" w:rsidR="00536C32" w:rsidRPr="00536C32" w:rsidRDefault="00536C32" w:rsidP="00750180">
      <w:pPr>
        <w:pStyle w:val="ListParagraph"/>
        <w:numPr>
          <w:ilvl w:val="0"/>
          <w:numId w:val="91"/>
        </w:numPr>
        <w:spacing w:before="240"/>
        <w:jc w:val="both"/>
      </w:pPr>
      <w:r>
        <w:t>Local Economic Development</w:t>
      </w:r>
    </w:p>
    <w:p w14:paraId="6CF9FE71" w14:textId="77777777" w:rsidR="00DE3514" w:rsidRPr="00930709" w:rsidRDefault="00DE3514" w:rsidP="00750180">
      <w:pPr>
        <w:pStyle w:val="Heading4"/>
        <w:numPr>
          <w:ilvl w:val="3"/>
          <w:numId w:val="127"/>
        </w:numPr>
      </w:pPr>
      <w:r w:rsidRPr="00930709">
        <w:t xml:space="preserve">EPWP – Sizabonke </w:t>
      </w:r>
      <w:bookmarkEnd w:id="538"/>
      <w:r w:rsidR="003F34D3" w:rsidRPr="00930709">
        <w:t>Program</w:t>
      </w:r>
    </w:p>
    <w:p w14:paraId="4DA3376E" w14:textId="77777777" w:rsidR="000078AE" w:rsidRPr="00D7279C" w:rsidRDefault="000078AE" w:rsidP="00750180">
      <w:pPr>
        <w:pStyle w:val="Heading5"/>
        <w:numPr>
          <w:ilvl w:val="4"/>
          <w:numId w:val="127"/>
        </w:numPr>
        <w:spacing w:after="240"/>
      </w:pPr>
      <w:bookmarkStart w:id="539" w:name="_Toc389740046"/>
      <w:r w:rsidRPr="00D7279C">
        <w:t>Background</w:t>
      </w:r>
      <w:bookmarkEnd w:id="539"/>
    </w:p>
    <w:p w14:paraId="0992439E" w14:textId="77777777" w:rsidR="000078AE" w:rsidRPr="003022DE" w:rsidRDefault="000078AE" w:rsidP="00395313">
      <w:pPr>
        <w:jc w:val="both"/>
        <w:rPr>
          <w:szCs w:val="20"/>
        </w:rPr>
      </w:pPr>
      <w:r w:rsidRPr="003022DE">
        <w:rPr>
          <w:szCs w:val="20"/>
        </w:rPr>
        <w:t xml:space="preserve">His Worship the Mayor, Councilor T.B Zulu entered into an implementation Protocol Agreement with the Premier of the Kwa-Zulu Natal Province in respect of Phase 2 of the Expanded Public Work </w:t>
      </w:r>
      <w:r w:rsidR="003F34D3" w:rsidRPr="003022DE">
        <w:rPr>
          <w:szCs w:val="20"/>
        </w:rPr>
        <w:t>Program</w:t>
      </w:r>
      <w:r w:rsidRPr="003022DE">
        <w:rPr>
          <w:szCs w:val="20"/>
        </w:rPr>
        <w:t xml:space="preserve"> (2009 – 2014). The purpose of the agreement is:</w:t>
      </w:r>
    </w:p>
    <w:p w14:paraId="4B38B0E8" w14:textId="77777777" w:rsidR="000078AE" w:rsidRPr="003022DE" w:rsidRDefault="000078AE" w:rsidP="00E31338">
      <w:pPr>
        <w:pStyle w:val="ListParagraph"/>
        <w:numPr>
          <w:ilvl w:val="0"/>
          <w:numId w:val="1"/>
        </w:numPr>
        <w:spacing w:line="288" w:lineRule="auto"/>
        <w:jc w:val="both"/>
        <w:rPr>
          <w:szCs w:val="20"/>
        </w:rPr>
      </w:pPr>
      <w:r w:rsidRPr="003022DE">
        <w:rPr>
          <w:szCs w:val="20"/>
        </w:rPr>
        <w:t>To establish an agreed framework for cooperation and coordination between the parties</w:t>
      </w:r>
    </w:p>
    <w:p w14:paraId="58E78A13" w14:textId="77777777" w:rsidR="000078AE" w:rsidRPr="003022DE" w:rsidRDefault="000078AE" w:rsidP="00E31338">
      <w:pPr>
        <w:pStyle w:val="ListParagraph"/>
        <w:numPr>
          <w:ilvl w:val="0"/>
          <w:numId w:val="1"/>
        </w:numPr>
        <w:spacing w:line="288" w:lineRule="auto"/>
        <w:jc w:val="both"/>
        <w:rPr>
          <w:szCs w:val="20"/>
        </w:rPr>
      </w:pPr>
      <w:r w:rsidRPr="003022DE">
        <w:rPr>
          <w:szCs w:val="20"/>
        </w:rPr>
        <w:t>To promote the objectives of the EPWP by increasing the number of full time equivalent work opportunities through mainstreaming the use of Labour-Intensive employment in the delivery of public infrastructure, goo and services in the municipality</w:t>
      </w:r>
    </w:p>
    <w:p w14:paraId="45A8D3EB" w14:textId="77777777" w:rsidR="000078AE" w:rsidRPr="003022DE" w:rsidRDefault="000078AE" w:rsidP="00E31338">
      <w:pPr>
        <w:pStyle w:val="ListParagraph"/>
        <w:numPr>
          <w:ilvl w:val="0"/>
          <w:numId w:val="1"/>
        </w:numPr>
        <w:spacing w:line="288" w:lineRule="auto"/>
        <w:jc w:val="both"/>
        <w:rPr>
          <w:szCs w:val="20"/>
        </w:rPr>
      </w:pPr>
      <w:r w:rsidRPr="003022DE">
        <w:rPr>
          <w:szCs w:val="20"/>
        </w:rPr>
        <w:t>To confirm the municipalities’ agreement and commitment to achieve the targeted numbered of full time equivalent work opportunities in the Municipality by 2014 as specified</w:t>
      </w:r>
    </w:p>
    <w:p w14:paraId="78D6B01D" w14:textId="77777777" w:rsidR="000078AE" w:rsidRPr="003022DE" w:rsidRDefault="000078AE" w:rsidP="00E31338">
      <w:pPr>
        <w:pStyle w:val="ListParagraph"/>
        <w:numPr>
          <w:ilvl w:val="0"/>
          <w:numId w:val="1"/>
        </w:numPr>
        <w:spacing w:line="288" w:lineRule="auto"/>
        <w:jc w:val="both"/>
        <w:rPr>
          <w:szCs w:val="20"/>
        </w:rPr>
      </w:pPr>
      <w:r w:rsidRPr="003022DE">
        <w:rPr>
          <w:szCs w:val="20"/>
        </w:rPr>
        <w:t xml:space="preserve">To promote EPWP incentive grants and incentivizes eligible Public Bodies in the Province to increase Labor-Intensive employment through EPWP projects and </w:t>
      </w:r>
      <w:r w:rsidR="003F34D3" w:rsidRPr="003022DE">
        <w:rPr>
          <w:szCs w:val="20"/>
        </w:rPr>
        <w:t>programs</w:t>
      </w:r>
      <w:r w:rsidRPr="003022DE">
        <w:rPr>
          <w:szCs w:val="20"/>
        </w:rPr>
        <w:t xml:space="preserve"> that maximize job creation</w:t>
      </w:r>
    </w:p>
    <w:p w14:paraId="5F2F4F41" w14:textId="77777777" w:rsidR="000078AE" w:rsidRPr="003022DE" w:rsidRDefault="000078AE" w:rsidP="00E31338">
      <w:pPr>
        <w:pStyle w:val="ListParagraph"/>
        <w:numPr>
          <w:ilvl w:val="0"/>
          <w:numId w:val="1"/>
        </w:numPr>
        <w:spacing w:line="288" w:lineRule="auto"/>
        <w:jc w:val="both"/>
        <w:rPr>
          <w:szCs w:val="20"/>
        </w:rPr>
      </w:pPr>
      <w:r w:rsidRPr="003022DE">
        <w:rPr>
          <w:szCs w:val="20"/>
        </w:rPr>
        <w:t>To specify the institutional structures that will oversee, monitor and report on progress in implementation the EPWP and achieving the EPWP targets</w:t>
      </w:r>
    </w:p>
    <w:p w14:paraId="3500613B" w14:textId="77777777" w:rsidR="000078AE" w:rsidRDefault="000078AE" w:rsidP="00E31338">
      <w:pPr>
        <w:pStyle w:val="ListParagraph"/>
        <w:numPr>
          <w:ilvl w:val="0"/>
          <w:numId w:val="1"/>
        </w:numPr>
        <w:spacing w:line="288" w:lineRule="auto"/>
        <w:jc w:val="both"/>
        <w:rPr>
          <w:szCs w:val="20"/>
        </w:rPr>
      </w:pPr>
      <w:r w:rsidRPr="003022DE">
        <w:rPr>
          <w:szCs w:val="20"/>
        </w:rPr>
        <w:t xml:space="preserve">To provide for mutual assistance and support in respect of the </w:t>
      </w:r>
      <w:r w:rsidR="003F34D3" w:rsidRPr="003022DE">
        <w:rPr>
          <w:szCs w:val="20"/>
        </w:rPr>
        <w:t>programs</w:t>
      </w:r>
      <w:r w:rsidRPr="003022DE">
        <w:rPr>
          <w:szCs w:val="20"/>
        </w:rPr>
        <w:t xml:space="preserve"> and initiatives of the EPWP</w:t>
      </w:r>
    </w:p>
    <w:p w14:paraId="6A9EEE7F" w14:textId="77777777" w:rsidR="002D40F5" w:rsidRPr="00930709" w:rsidRDefault="000078AE" w:rsidP="00750180">
      <w:pPr>
        <w:pStyle w:val="Heading5"/>
        <w:numPr>
          <w:ilvl w:val="4"/>
          <w:numId w:val="127"/>
        </w:numPr>
        <w:spacing w:after="240"/>
      </w:pPr>
      <w:bookmarkStart w:id="540" w:name="_Toc389740047"/>
      <w:r w:rsidRPr="00930709">
        <w:t>EPWP Overall Co-Ordination Within The Municipality</w:t>
      </w:r>
      <w:bookmarkEnd w:id="540"/>
    </w:p>
    <w:p w14:paraId="6E3064B6" w14:textId="77777777" w:rsidR="000078AE" w:rsidRPr="00666DE8" w:rsidRDefault="000078AE" w:rsidP="00750180">
      <w:pPr>
        <w:pStyle w:val="Heading6"/>
        <w:numPr>
          <w:ilvl w:val="5"/>
          <w:numId w:val="127"/>
        </w:numPr>
        <w:spacing w:after="240"/>
      </w:pPr>
      <w:bookmarkStart w:id="541" w:name="_Toc389740048"/>
      <w:r w:rsidRPr="00666DE8">
        <w:t>The EPWP Steering Committee and Responsibilities:</w:t>
      </w:r>
      <w:bookmarkEnd w:id="541"/>
    </w:p>
    <w:p w14:paraId="51948D82" w14:textId="77777777" w:rsidR="000078AE" w:rsidRPr="00881795" w:rsidRDefault="000078AE" w:rsidP="00395313">
      <w:pPr>
        <w:jc w:val="both"/>
        <w:rPr>
          <w:szCs w:val="20"/>
        </w:rPr>
      </w:pPr>
      <w:r w:rsidRPr="00881795">
        <w:rPr>
          <w:szCs w:val="20"/>
        </w:rPr>
        <w:t xml:space="preserve">The EPWP Steering Committee was established to: </w:t>
      </w:r>
    </w:p>
    <w:p w14:paraId="4B058393" w14:textId="77777777" w:rsidR="000078AE" w:rsidRPr="00881795" w:rsidRDefault="000078AE" w:rsidP="00E31338">
      <w:pPr>
        <w:pStyle w:val="ListParagraph"/>
        <w:numPr>
          <w:ilvl w:val="0"/>
          <w:numId w:val="1"/>
        </w:numPr>
        <w:spacing w:line="288" w:lineRule="auto"/>
        <w:jc w:val="both"/>
        <w:rPr>
          <w:szCs w:val="20"/>
        </w:rPr>
      </w:pPr>
      <w:r w:rsidRPr="00881795">
        <w:rPr>
          <w:szCs w:val="20"/>
        </w:rPr>
        <w:t>Setting EPWP targets for each department and Sectors.</w:t>
      </w:r>
    </w:p>
    <w:p w14:paraId="2D9585F4" w14:textId="77777777" w:rsidR="000078AE" w:rsidRPr="00881795" w:rsidRDefault="000078AE" w:rsidP="00E31338">
      <w:pPr>
        <w:pStyle w:val="ListParagraph"/>
        <w:numPr>
          <w:ilvl w:val="0"/>
          <w:numId w:val="1"/>
        </w:numPr>
        <w:spacing w:line="288" w:lineRule="auto"/>
        <w:jc w:val="both"/>
        <w:rPr>
          <w:szCs w:val="20"/>
        </w:rPr>
      </w:pPr>
      <w:r w:rsidRPr="00881795">
        <w:rPr>
          <w:szCs w:val="20"/>
        </w:rPr>
        <w:t>Creating an enabling climate for the successful implementation of EPWP in EMM.</w:t>
      </w:r>
    </w:p>
    <w:p w14:paraId="5C40BC87" w14:textId="77777777" w:rsidR="000078AE" w:rsidRPr="00881795" w:rsidRDefault="000078AE" w:rsidP="00E31338">
      <w:pPr>
        <w:pStyle w:val="ListParagraph"/>
        <w:numPr>
          <w:ilvl w:val="0"/>
          <w:numId w:val="1"/>
        </w:numPr>
        <w:spacing w:line="288" w:lineRule="auto"/>
        <w:jc w:val="both"/>
        <w:rPr>
          <w:szCs w:val="20"/>
        </w:rPr>
      </w:pPr>
      <w:r w:rsidRPr="00881795">
        <w:rPr>
          <w:szCs w:val="20"/>
        </w:rPr>
        <w:t>Reporting to EXCO</w:t>
      </w:r>
    </w:p>
    <w:p w14:paraId="3A8D6D8C" w14:textId="77777777" w:rsidR="000078AE" w:rsidRPr="00881795" w:rsidRDefault="003F34D3" w:rsidP="00E31338">
      <w:pPr>
        <w:pStyle w:val="ListParagraph"/>
        <w:numPr>
          <w:ilvl w:val="0"/>
          <w:numId w:val="1"/>
        </w:numPr>
        <w:spacing w:line="288" w:lineRule="auto"/>
        <w:jc w:val="both"/>
        <w:rPr>
          <w:szCs w:val="20"/>
        </w:rPr>
      </w:pPr>
      <w:r w:rsidRPr="00881795">
        <w:rPr>
          <w:szCs w:val="20"/>
        </w:rPr>
        <w:t>Program</w:t>
      </w:r>
      <w:r w:rsidR="000078AE" w:rsidRPr="00881795">
        <w:rPr>
          <w:szCs w:val="20"/>
        </w:rPr>
        <w:t xml:space="preserve"> Monitoring and Evaluation</w:t>
      </w:r>
    </w:p>
    <w:p w14:paraId="5EB059EA" w14:textId="77777777" w:rsidR="000078AE" w:rsidRPr="00881795" w:rsidRDefault="000078AE" w:rsidP="00E31338">
      <w:pPr>
        <w:pStyle w:val="ListParagraph"/>
        <w:numPr>
          <w:ilvl w:val="0"/>
          <w:numId w:val="1"/>
        </w:numPr>
        <w:spacing w:line="288" w:lineRule="auto"/>
        <w:jc w:val="both"/>
        <w:rPr>
          <w:szCs w:val="20"/>
        </w:rPr>
      </w:pPr>
      <w:r w:rsidRPr="00881795">
        <w:rPr>
          <w:szCs w:val="20"/>
        </w:rPr>
        <w:t xml:space="preserve">Setting performance Standard </w:t>
      </w:r>
    </w:p>
    <w:p w14:paraId="2E765FD8" w14:textId="77777777" w:rsidR="000078AE" w:rsidRPr="00881795" w:rsidRDefault="000078AE" w:rsidP="00E31338">
      <w:pPr>
        <w:pStyle w:val="ListParagraph"/>
        <w:numPr>
          <w:ilvl w:val="0"/>
          <w:numId w:val="1"/>
        </w:numPr>
        <w:spacing w:line="288" w:lineRule="auto"/>
        <w:jc w:val="both"/>
        <w:rPr>
          <w:szCs w:val="20"/>
        </w:rPr>
      </w:pPr>
      <w:r w:rsidRPr="00881795">
        <w:rPr>
          <w:szCs w:val="20"/>
        </w:rPr>
        <w:t>Compiling EPWP Management Plan.</w:t>
      </w:r>
    </w:p>
    <w:p w14:paraId="0E47A249" w14:textId="77777777" w:rsidR="000078AE" w:rsidRPr="00881795" w:rsidRDefault="000078AE" w:rsidP="00E31338">
      <w:pPr>
        <w:pStyle w:val="ListParagraph"/>
        <w:numPr>
          <w:ilvl w:val="0"/>
          <w:numId w:val="1"/>
        </w:numPr>
        <w:spacing w:line="288" w:lineRule="auto"/>
        <w:jc w:val="both"/>
        <w:rPr>
          <w:szCs w:val="20"/>
        </w:rPr>
      </w:pPr>
      <w:r w:rsidRPr="00881795">
        <w:rPr>
          <w:szCs w:val="20"/>
        </w:rPr>
        <w:t xml:space="preserve">Guide the execution of the EPWP, including project selection; </w:t>
      </w:r>
    </w:p>
    <w:p w14:paraId="6D298290" w14:textId="77777777" w:rsidR="000078AE" w:rsidRPr="00881795" w:rsidRDefault="000078AE" w:rsidP="00E31338">
      <w:pPr>
        <w:pStyle w:val="ListParagraph"/>
        <w:numPr>
          <w:ilvl w:val="0"/>
          <w:numId w:val="1"/>
        </w:numPr>
        <w:spacing w:line="288" w:lineRule="auto"/>
        <w:jc w:val="both"/>
        <w:rPr>
          <w:szCs w:val="20"/>
        </w:rPr>
      </w:pPr>
      <w:r w:rsidRPr="00881795">
        <w:rPr>
          <w:szCs w:val="20"/>
        </w:rPr>
        <w:t xml:space="preserve">Define Sector reviews; </w:t>
      </w:r>
    </w:p>
    <w:p w14:paraId="6C82C96B" w14:textId="77777777" w:rsidR="000078AE" w:rsidRPr="00881795" w:rsidRDefault="000078AE" w:rsidP="00E31338">
      <w:pPr>
        <w:pStyle w:val="ListParagraph"/>
        <w:numPr>
          <w:ilvl w:val="0"/>
          <w:numId w:val="1"/>
        </w:numPr>
        <w:spacing w:line="288" w:lineRule="auto"/>
        <w:jc w:val="both"/>
        <w:rPr>
          <w:szCs w:val="20"/>
        </w:rPr>
      </w:pPr>
      <w:r w:rsidRPr="00881795">
        <w:rPr>
          <w:szCs w:val="20"/>
        </w:rPr>
        <w:t xml:space="preserve">Facilitate communication among stakeholders; and </w:t>
      </w:r>
    </w:p>
    <w:p w14:paraId="7075F87E" w14:textId="77777777" w:rsidR="000078AE" w:rsidRDefault="000078AE" w:rsidP="00E31338">
      <w:pPr>
        <w:pStyle w:val="ListParagraph"/>
        <w:numPr>
          <w:ilvl w:val="0"/>
          <w:numId w:val="1"/>
        </w:numPr>
        <w:spacing w:line="288" w:lineRule="auto"/>
        <w:jc w:val="both"/>
        <w:rPr>
          <w:szCs w:val="20"/>
        </w:rPr>
      </w:pPr>
      <w:r w:rsidRPr="00881795">
        <w:rPr>
          <w:szCs w:val="20"/>
        </w:rPr>
        <w:t xml:space="preserve">Provide a baseline for progress measurement and </w:t>
      </w:r>
      <w:r w:rsidR="003F34D3" w:rsidRPr="00881795">
        <w:rPr>
          <w:szCs w:val="20"/>
        </w:rPr>
        <w:t>program</w:t>
      </w:r>
      <w:r w:rsidRPr="00881795">
        <w:rPr>
          <w:szCs w:val="20"/>
        </w:rPr>
        <w:t xml:space="preserve"> control.</w:t>
      </w:r>
    </w:p>
    <w:p w14:paraId="78CAE5E4" w14:textId="77777777" w:rsidR="00AC14EF" w:rsidRPr="00930709" w:rsidRDefault="000078AE" w:rsidP="00750180">
      <w:pPr>
        <w:pStyle w:val="Heading6"/>
        <w:numPr>
          <w:ilvl w:val="5"/>
          <w:numId w:val="127"/>
        </w:numPr>
        <w:spacing w:after="240"/>
      </w:pPr>
      <w:bookmarkStart w:id="542" w:name="_Toc389740049"/>
      <w:r w:rsidRPr="00930709">
        <w:t>EPWP uMlalazi Municipality Co-ordination Structure</w:t>
      </w:r>
      <w:bookmarkEnd w:id="542"/>
    </w:p>
    <w:p w14:paraId="1AE2603B" w14:textId="77777777" w:rsidR="000B3A23" w:rsidRPr="000B3A23" w:rsidRDefault="000B3A23" w:rsidP="000B3A23">
      <w:pPr>
        <w:jc w:val="both"/>
        <w:outlineLvl w:val="0"/>
        <w:rPr>
          <w:b/>
          <w:bCs/>
          <w:szCs w:val="20"/>
        </w:rPr>
      </w:pPr>
      <w:r>
        <w:rPr>
          <w:b/>
          <w:bCs/>
          <w:szCs w:val="20"/>
        </w:rPr>
        <w:t>The Council of uMlalazi Municipality is yet to establish a co-ordination structure for EPWP</w:t>
      </w:r>
    </w:p>
    <w:p w14:paraId="79926968" w14:textId="77777777" w:rsidR="00AC14EF" w:rsidRDefault="00930709" w:rsidP="002F62F0">
      <w:pPr>
        <w:pStyle w:val="Caption"/>
      </w:pPr>
      <w:r>
        <w:rPr>
          <w:noProof/>
        </w:rPr>
        <mc:AlternateContent>
          <mc:Choice Requires="wpc">
            <w:drawing>
              <wp:inline distT="0" distB="0" distL="0" distR="0" wp14:anchorId="06C6AEFC" wp14:editId="0F33BA97">
                <wp:extent cx="5172075" cy="4440555"/>
                <wp:effectExtent l="19050" t="19050" r="28575" b="17145"/>
                <wp:docPr id="43009" name="Canvas 1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28575" cap="flat" cmpd="sng" algn="ctr">
                          <a:solidFill>
                            <a:srgbClr val="000000"/>
                          </a:solidFill>
                          <a:prstDash val="solid"/>
                          <a:miter lim="800000"/>
                          <a:headEnd type="none" w="med" len="med"/>
                          <a:tailEnd type="none" w="med" len="med"/>
                        </a:ln>
                      </wpc:whole>
                      <wps:wsp>
                        <wps:cNvPr id="17" name="Text Box 61"/>
                        <wps:cNvSpPr txBox="1">
                          <a:spLocks noChangeArrowheads="1"/>
                        </wps:cNvSpPr>
                        <wps:spPr bwMode="auto">
                          <a:xfrm>
                            <a:off x="683500" y="208900"/>
                            <a:ext cx="1379400" cy="455805"/>
                          </a:xfrm>
                          <a:prstGeom prst="rect">
                            <a:avLst/>
                          </a:prstGeom>
                          <a:solidFill>
                            <a:srgbClr val="C0C0C0"/>
                          </a:solidFill>
                          <a:ln w="38100" cmpd="dbl">
                            <a:solidFill>
                              <a:srgbClr val="000000"/>
                            </a:solidFill>
                            <a:miter lim="800000"/>
                            <a:headEnd/>
                            <a:tailEnd/>
                          </a:ln>
                        </wps:spPr>
                        <wps:txbx>
                          <w:txbxContent>
                            <w:p w14:paraId="20E5F671" w14:textId="77777777" w:rsidR="0067023A" w:rsidRPr="004814D4" w:rsidRDefault="0067023A" w:rsidP="00930709">
                              <w:pPr>
                                <w:jc w:val="center"/>
                              </w:pPr>
                              <w:r w:rsidRPr="004814D4">
                                <w:t>Political Champion</w:t>
                              </w:r>
                            </w:p>
                          </w:txbxContent>
                        </wps:txbx>
                        <wps:bodyPr rot="0" vert="horz" wrap="square" lIns="91440" tIns="45720" rIns="91440" bIns="45720" anchor="t" anchorCtr="0" upright="1">
                          <a:noAutofit/>
                        </wps:bodyPr>
                      </wps:wsp>
                      <wps:wsp>
                        <wps:cNvPr id="224" name="Text Box 62"/>
                        <wps:cNvSpPr txBox="1">
                          <a:spLocks noChangeArrowheads="1"/>
                        </wps:cNvSpPr>
                        <wps:spPr bwMode="auto">
                          <a:xfrm>
                            <a:off x="683500" y="1044709"/>
                            <a:ext cx="1348000" cy="457305"/>
                          </a:xfrm>
                          <a:prstGeom prst="rect">
                            <a:avLst/>
                          </a:prstGeom>
                          <a:solidFill>
                            <a:srgbClr val="C0C0C0"/>
                          </a:solidFill>
                          <a:ln w="38100" cmpd="dbl">
                            <a:solidFill>
                              <a:srgbClr val="000000"/>
                            </a:solidFill>
                            <a:miter lim="800000"/>
                            <a:headEnd/>
                            <a:tailEnd/>
                          </a:ln>
                        </wps:spPr>
                        <wps:txbx>
                          <w:txbxContent>
                            <w:p w14:paraId="04923960" w14:textId="77777777" w:rsidR="0067023A" w:rsidRPr="004814D4" w:rsidRDefault="0067023A" w:rsidP="00930709">
                              <w:pPr>
                                <w:jc w:val="center"/>
                              </w:pPr>
                              <w:r w:rsidRPr="004814D4">
                                <w:t>Administrative Champion</w:t>
                              </w:r>
                            </w:p>
                          </w:txbxContent>
                        </wps:txbx>
                        <wps:bodyPr rot="0" vert="horz" wrap="square" lIns="91440" tIns="45720" rIns="91440" bIns="45720" anchor="t" anchorCtr="0" upright="1">
                          <a:noAutofit/>
                        </wps:bodyPr>
                      </wps:wsp>
                      <wps:wsp>
                        <wps:cNvPr id="232" name="Text Box 9"/>
                        <wps:cNvSpPr txBox="1">
                          <a:spLocks noChangeArrowheads="1"/>
                        </wps:cNvSpPr>
                        <wps:spPr bwMode="auto">
                          <a:xfrm>
                            <a:off x="683500" y="1857017"/>
                            <a:ext cx="1348000" cy="457205"/>
                          </a:xfrm>
                          <a:prstGeom prst="rect">
                            <a:avLst/>
                          </a:prstGeom>
                          <a:solidFill>
                            <a:srgbClr val="C0C0C0"/>
                          </a:solidFill>
                          <a:ln w="38100" cmpd="dbl">
                            <a:solidFill>
                              <a:srgbClr val="000000"/>
                            </a:solidFill>
                            <a:miter lim="800000"/>
                            <a:headEnd/>
                            <a:tailEnd/>
                          </a:ln>
                        </wps:spPr>
                        <wps:txbx>
                          <w:txbxContent>
                            <w:p w14:paraId="0D1016BD" w14:textId="77777777" w:rsidR="0067023A" w:rsidRPr="004814D4" w:rsidRDefault="0067023A" w:rsidP="00930709">
                              <w:pPr>
                                <w:jc w:val="center"/>
                              </w:pPr>
                              <w:r w:rsidRPr="004814D4">
                                <w:t>EPWP Steering Committee</w:t>
                              </w:r>
                            </w:p>
                            <w:p w14:paraId="3D450B7B" w14:textId="77777777" w:rsidR="0067023A" w:rsidRPr="004814D4" w:rsidRDefault="0067023A" w:rsidP="00930709">
                              <w:pPr>
                                <w:jc w:val="center"/>
                              </w:pPr>
                              <w:r w:rsidRPr="004814D4">
                                <w:t>Director’s Forum</w:t>
                              </w:r>
                            </w:p>
                          </w:txbxContent>
                        </wps:txbx>
                        <wps:bodyPr rot="0" vert="horz" wrap="square" lIns="91440" tIns="45720" rIns="91440" bIns="45720" anchor="t" anchorCtr="0" upright="1">
                          <a:noAutofit/>
                        </wps:bodyPr>
                      </wps:wsp>
                      <wps:wsp>
                        <wps:cNvPr id="233" name="Text Box 10"/>
                        <wps:cNvSpPr txBox="1">
                          <a:spLocks noChangeArrowheads="1"/>
                        </wps:cNvSpPr>
                        <wps:spPr bwMode="auto">
                          <a:xfrm>
                            <a:off x="2331700" y="35999"/>
                            <a:ext cx="2804900" cy="971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242CA3" w14:textId="77777777" w:rsidR="0067023A" w:rsidRPr="00F73067" w:rsidRDefault="0067023A" w:rsidP="00930709">
                              <w:pPr>
                                <w:ind w:firstLine="720"/>
                                <w:contextualSpacing/>
                                <w:rPr>
                                  <w:b/>
                                </w:rPr>
                              </w:pPr>
                              <w:r>
                                <w:rPr>
                                  <w:b/>
                                </w:rPr>
                                <w:t xml:space="preserve">His Worship the </w:t>
                              </w:r>
                              <w:r w:rsidRPr="00F73067">
                                <w:rPr>
                                  <w:b/>
                                </w:rPr>
                                <w:t xml:space="preserve">Mayor </w:t>
                              </w:r>
                            </w:p>
                            <w:p w14:paraId="43D15C28" w14:textId="77777777" w:rsidR="0067023A" w:rsidRPr="00F73067" w:rsidRDefault="0067023A" w:rsidP="00930709">
                              <w:pPr>
                                <w:contextualSpacing/>
                              </w:pPr>
                              <w:r w:rsidRPr="00F73067">
                                <w:t>Political leadership and direction</w:t>
                              </w:r>
                            </w:p>
                          </w:txbxContent>
                        </wps:txbx>
                        <wps:bodyPr rot="0" vert="horz" wrap="square" lIns="91440" tIns="45720" rIns="91440" bIns="45720" anchor="t" anchorCtr="0" upright="1">
                          <a:noAutofit/>
                        </wps:bodyPr>
                      </wps:wsp>
                      <wps:wsp>
                        <wps:cNvPr id="235" name="Text Box 65"/>
                        <wps:cNvSpPr txBox="1">
                          <a:spLocks noChangeArrowheads="1"/>
                        </wps:cNvSpPr>
                        <wps:spPr bwMode="auto">
                          <a:xfrm>
                            <a:off x="2331700" y="850407"/>
                            <a:ext cx="2804900" cy="8387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A1A3D" w14:textId="77777777" w:rsidR="0067023A" w:rsidRPr="00823E09" w:rsidRDefault="0067023A" w:rsidP="00930709">
                              <w:pPr>
                                <w:ind w:firstLine="720"/>
                                <w:contextualSpacing/>
                                <w:rPr>
                                  <w:b/>
                                  <w:color w:val="000000"/>
                                </w:rPr>
                              </w:pPr>
                              <w:r w:rsidRPr="00823E09">
                                <w:rPr>
                                  <w:b/>
                                  <w:color w:val="000000"/>
                                </w:rPr>
                                <w:t>Municipal Manager</w:t>
                              </w:r>
                            </w:p>
                            <w:p w14:paraId="630D6ECC" w14:textId="77777777" w:rsidR="0067023A" w:rsidRPr="00F73067" w:rsidRDefault="0067023A" w:rsidP="00930709">
                              <w:pPr>
                                <w:contextualSpacing/>
                              </w:pPr>
                              <w:r w:rsidRPr="00F73067">
                                <w:t>Strategic Direction &amp; Monitoring</w:t>
                              </w:r>
                            </w:p>
                            <w:p w14:paraId="156083BE" w14:textId="77777777" w:rsidR="0067023A" w:rsidRPr="00F73067" w:rsidRDefault="0067023A" w:rsidP="00930709">
                              <w:pPr>
                                <w:jc w:val="center"/>
                              </w:pPr>
                            </w:p>
                            <w:p w14:paraId="32AADEA0" w14:textId="77777777" w:rsidR="0067023A" w:rsidRPr="004814D4" w:rsidRDefault="0067023A" w:rsidP="00930709">
                              <w:r w:rsidRPr="004814D4">
                                <w:t>Function: Coordinating &amp; reporting in the municipality at strategic level.</w:t>
                              </w:r>
                            </w:p>
                            <w:p w14:paraId="602B685B" w14:textId="77777777" w:rsidR="0067023A" w:rsidRPr="004814D4" w:rsidRDefault="0067023A" w:rsidP="00930709"/>
                          </w:txbxContent>
                        </wps:txbx>
                        <wps:bodyPr rot="0" vert="horz" wrap="square" lIns="91440" tIns="45720" rIns="91440" bIns="45720" anchor="t" anchorCtr="0" upright="1">
                          <a:noAutofit/>
                        </wps:bodyPr>
                      </wps:wsp>
                      <wps:wsp>
                        <wps:cNvPr id="239" name="Text Box 12"/>
                        <wps:cNvSpPr txBox="1">
                          <a:spLocks noChangeArrowheads="1"/>
                        </wps:cNvSpPr>
                        <wps:spPr bwMode="auto">
                          <a:xfrm>
                            <a:off x="2277600" y="2542124"/>
                            <a:ext cx="2737000" cy="1202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A87681" w14:textId="77777777" w:rsidR="0067023A" w:rsidRPr="00F73067" w:rsidRDefault="0067023A" w:rsidP="00930709">
                              <w:pPr>
                                <w:ind w:firstLine="720"/>
                                <w:contextualSpacing/>
                                <w:rPr>
                                  <w:b/>
                                  <w:szCs w:val="20"/>
                                </w:rPr>
                              </w:pPr>
                              <w:r w:rsidRPr="00F73067">
                                <w:rPr>
                                  <w:b/>
                                  <w:szCs w:val="20"/>
                                </w:rPr>
                                <w:t>Managers / Project Managers</w:t>
                              </w:r>
                            </w:p>
                            <w:p w14:paraId="41D6F5ED" w14:textId="77777777" w:rsidR="0067023A" w:rsidRPr="00F73067" w:rsidRDefault="0067023A" w:rsidP="00930709">
                              <w:pPr>
                                <w:contextualSpacing/>
                                <w:rPr>
                                  <w:rFonts w:cs="Calibri"/>
                                  <w:b/>
                                  <w:bCs/>
                                  <w:i/>
                                  <w:szCs w:val="20"/>
                                </w:rPr>
                              </w:pPr>
                              <w:r w:rsidRPr="00F73067">
                                <w:rPr>
                                  <w:rFonts w:cs="Calibri"/>
                                  <w:b/>
                                  <w:bCs/>
                                  <w:i/>
                                  <w:szCs w:val="20"/>
                                </w:rPr>
                                <w:t xml:space="preserve">Responsible for: </w:t>
                              </w:r>
                            </w:p>
                            <w:p w14:paraId="6EA54E60" w14:textId="77777777" w:rsidR="0067023A" w:rsidRPr="005321BD" w:rsidRDefault="0067023A" w:rsidP="00930709">
                              <w:pPr>
                                <w:contextualSpacing/>
                                <w:rPr>
                                  <w:color w:val="FF0000"/>
                                  <w:szCs w:val="20"/>
                                </w:rPr>
                              </w:pPr>
                              <w:r w:rsidRPr="00F73067">
                                <w:rPr>
                                  <w:szCs w:val="20"/>
                                </w:rPr>
                                <w:t xml:space="preserve">Program Implementation; project design, Reporting on EPWP System; Sectors coordination </w:t>
                              </w:r>
                            </w:p>
                          </w:txbxContent>
                        </wps:txbx>
                        <wps:bodyPr rot="0" vert="horz" wrap="square" lIns="91440" tIns="45720" rIns="91440" bIns="45720" anchor="t" anchorCtr="0" upright="1">
                          <a:noAutofit/>
                        </wps:bodyPr>
                      </wps:wsp>
                      <wps:wsp>
                        <wps:cNvPr id="240" name="Line 13"/>
                        <wps:cNvCnPr/>
                        <wps:spPr bwMode="auto">
                          <a:xfrm>
                            <a:off x="1339300" y="664705"/>
                            <a:ext cx="2100" cy="34290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1" name="Line 14"/>
                        <wps:cNvCnPr/>
                        <wps:spPr bwMode="auto">
                          <a:xfrm>
                            <a:off x="1338500" y="1502013"/>
                            <a:ext cx="800" cy="34290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2" name="Line 15"/>
                        <wps:cNvCnPr/>
                        <wps:spPr bwMode="auto">
                          <a:xfrm>
                            <a:off x="1341400" y="2314222"/>
                            <a:ext cx="4400" cy="28790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4" name="Text Box 16"/>
                        <wps:cNvSpPr txBox="1">
                          <a:spLocks noChangeArrowheads="1"/>
                        </wps:cNvSpPr>
                        <wps:spPr bwMode="auto">
                          <a:xfrm>
                            <a:off x="683500" y="2602124"/>
                            <a:ext cx="1348000" cy="735107"/>
                          </a:xfrm>
                          <a:prstGeom prst="rect">
                            <a:avLst/>
                          </a:prstGeom>
                          <a:solidFill>
                            <a:srgbClr val="C0C0C0"/>
                          </a:solidFill>
                          <a:ln w="38100" cmpd="dbl">
                            <a:solidFill>
                              <a:srgbClr val="000000"/>
                            </a:solidFill>
                            <a:miter lim="800000"/>
                            <a:headEnd/>
                            <a:tailEnd/>
                          </a:ln>
                        </wps:spPr>
                        <wps:txbx>
                          <w:txbxContent>
                            <w:p w14:paraId="1F09DD8D" w14:textId="77777777" w:rsidR="0067023A" w:rsidRPr="004814D4" w:rsidRDefault="0067023A" w:rsidP="00930709">
                              <w:pPr>
                                <w:jc w:val="center"/>
                              </w:pPr>
                              <w:r w:rsidRPr="004814D4">
                                <w:t xml:space="preserve">EPWP </w:t>
                              </w:r>
                              <w:r>
                                <w:t>Sector Coordination and Implementation</w:t>
                              </w:r>
                            </w:p>
                          </w:txbxContent>
                        </wps:txbx>
                        <wps:bodyPr rot="0" vert="horz" wrap="square" lIns="91440" tIns="45720" rIns="91440" bIns="45720" anchor="t" anchorCtr="0" upright="1">
                          <a:noAutofit/>
                        </wps:bodyPr>
                      </wps:wsp>
                      <wps:wsp>
                        <wps:cNvPr id="246" name="Text Box 71"/>
                        <wps:cNvSpPr txBox="1">
                          <a:spLocks noChangeArrowheads="1"/>
                        </wps:cNvSpPr>
                        <wps:spPr bwMode="auto">
                          <a:xfrm>
                            <a:off x="2331400" y="1502213"/>
                            <a:ext cx="2514000" cy="10999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F5DDFB" w14:textId="77777777" w:rsidR="0067023A" w:rsidRPr="00F73067" w:rsidRDefault="0067023A" w:rsidP="00930709">
                              <w:pPr>
                                <w:contextualSpacing/>
                                <w:rPr>
                                  <w:rFonts w:ascii="Century Gothic" w:hAnsi="Century Gothic"/>
                                  <w:b/>
                                  <w:bCs/>
                                </w:rPr>
                              </w:pPr>
                              <w:r>
                                <w:rPr>
                                  <w:rFonts w:ascii="Century Gothic" w:hAnsi="Century Gothic"/>
                                  <w:b/>
                                  <w:bCs/>
                                </w:rPr>
                                <w:tab/>
                              </w:r>
                              <w:r w:rsidRPr="00F73067">
                                <w:rPr>
                                  <w:b/>
                                </w:rPr>
                                <w:t>Directors’ Forum</w:t>
                              </w:r>
                            </w:p>
                            <w:p w14:paraId="3851A713" w14:textId="77777777" w:rsidR="0067023A" w:rsidRPr="006E7B84" w:rsidRDefault="0067023A" w:rsidP="00930709">
                              <w:pPr>
                                <w:contextualSpacing/>
                              </w:pPr>
                              <w:r w:rsidRPr="00F73067">
                                <w:t>Strategic Direction; Performance Standards; Budget Approval</w:t>
                              </w:r>
                              <w:r w:rsidRPr="003C25DE">
                                <w:t>; Reporting to EXCO; Monitoring &amp; Evaluation</w:t>
                              </w:r>
                              <w:r w:rsidRPr="006E7B84">
                                <w:t xml:space="preserve"> and Evaluation</w:t>
                              </w:r>
                            </w:p>
                          </w:txbxContent>
                        </wps:txbx>
                        <wps:bodyPr rot="0" vert="horz" wrap="square" lIns="91440" tIns="45720" rIns="91440" bIns="45720" anchor="t" anchorCtr="0" upright="1">
                          <a:noAutofit/>
                        </wps:bodyPr>
                      </wps:wsp>
                      <wps:wsp>
                        <wps:cNvPr id="247" name="Text Box 72"/>
                        <wps:cNvSpPr txBox="1">
                          <a:spLocks noChangeArrowheads="1"/>
                        </wps:cNvSpPr>
                        <wps:spPr bwMode="auto">
                          <a:xfrm>
                            <a:off x="0" y="208900"/>
                            <a:ext cx="583400" cy="3904939"/>
                          </a:xfrm>
                          <a:prstGeom prst="rect">
                            <a:avLst/>
                          </a:prstGeom>
                          <a:solidFill>
                            <a:srgbClr val="C0C0C0"/>
                          </a:solidFill>
                          <a:ln w="38100" cmpd="dbl">
                            <a:solidFill>
                              <a:srgbClr val="000000"/>
                            </a:solidFill>
                            <a:miter lim="800000"/>
                            <a:headEnd/>
                            <a:tailEnd/>
                          </a:ln>
                        </wps:spPr>
                        <wps:txbx>
                          <w:txbxContent>
                            <w:p w14:paraId="59AB01FE" w14:textId="77777777" w:rsidR="0067023A" w:rsidRPr="004814D4" w:rsidRDefault="0067023A" w:rsidP="00930709">
                              <w:pPr>
                                <w:jc w:val="center"/>
                              </w:pPr>
                              <w:r>
                                <w:t>Implementation</w:t>
                              </w:r>
                            </w:p>
                          </w:txbxContent>
                        </wps:txbx>
                        <wps:bodyPr rot="0" vert="vert270" wrap="square" lIns="91440" tIns="45720" rIns="91440" bIns="45720" anchor="t" anchorCtr="0" upright="1">
                          <a:noAutofit/>
                        </wps:bodyPr>
                      </wps:wsp>
                      <wps:wsp>
                        <wps:cNvPr id="248" name="Text Box 19"/>
                        <wps:cNvSpPr txBox="1">
                          <a:spLocks noChangeArrowheads="1"/>
                        </wps:cNvSpPr>
                        <wps:spPr bwMode="auto">
                          <a:xfrm>
                            <a:off x="683500" y="3625235"/>
                            <a:ext cx="1348000" cy="488605"/>
                          </a:xfrm>
                          <a:prstGeom prst="rect">
                            <a:avLst/>
                          </a:prstGeom>
                          <a:solidFill>
                            <a:srgbClr val="C0C0C0"/>
                          </a:solidFill>
                          <a:ln w="38100" cmpd="dbl">
                            <a:solidFill>
                              <a:srgbClr val="000000"/>
                            </a:solidFill>
                            <a:miter lim="800000"/>
                            <a:headEnd/>
                            <a:tailEnd/>
                          </a:ln>
                        </wps:spPr>
                        <wps:txbx>
                          <w:txbxContent>
                            <w:p w14:paraId="73DC57B8" w14:textId="77777777" w:rsidR="0067023A" w:rsidRPr="004814D4" w:rsidRDefault="0067023A" w:rsidP="00930709">
                              <w:pPr>
                                <w:jc w:val="center"/>
                              </w:pPr>
                              <w:r w:rsidRPr="004814D4">
                                <w:t xml:space="preserve">EPWP </w:t>
                              </w:r>
                              <w:r>
                                <w:t xml:space="preserve">Cross-cutting Support </w:t>
                              </w:r>
                            </w:p>
                          </w:txbxContent>
                        </wps:txbx>
                        <wps:bodyPr rot="0" vert="horz" wrap="square" lIns="91440" tIns="45720" rIns="91440" bIns="45720" anchor="t" anchorCtr="0" upright="1">
                          <a:noAutofit/>
                        </wps:bodyPr>
                      </wps:wsp>
                      <wps:wsp>
                        <wps:cNvPr id="249" name="Line 20"/>
                        <wps:cNvCnPr/>
                        <wps:spPr bwMode="auto">
                          <a:xfrm>
                            <a:off x="1343600" y="3337232"/>
                            <a:ext cx="3700" cy="28790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0" name="Text Box 21"/>
                        <wps:cNvSpPr txBox="1">
                          <a:spLocks noChangeArrowheads="1"/>
                        </wps:cNvSpPr>
                        <wps:spPr bwMode="auto">
                          <a:xfrm>
                            <a:off x="2331700" y="3744536"/>
                            <a:ext cx="2804900" cy="6965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F3B57A" w14:textId="77777777" w:rsidR="0067023A" w:rsidRPr="004A1EA0" w:rsidRDefault="0067023A" w:rsidP="00930709">
                              <w:pPr>
                                <w:contextualSpacing/>
                                <w:rPr>
                                  <w:b/>
                                  <w:szCs w:val="20"/>
                                </w:rPr>
                              </w:pPr>
                              <w:r w:rsidRPr="004A1EA0">
                                <w:rPr>
                                  <w:b/>
                                  <w:szCs w:val="20"/>
                                </w:rPr>
                                <w:t xml:space="preserve">(Municipal Departments). </w:t>
                              </w:r>
                            </w:p>
                            <w:p w14:paraId="0885B861" w14:textId="77777777" w:rsidR="0067023A" w:rsidRPr="004A1EA0" w:rsidRDefault="0067023A" w:rsidP="00930709">
                              <w:pPr>
                                <w:contextualSpacing/>
                                <w:rPr>
                                  <w:szCs w:val="20"/>
                                </w:rPr>
                              </w:pPr>
                              <w:r w:rsidRPr="004A1EA0">
                                <w:rPr>
                                  <w:b/>
                                  <w:i/>
                                  <w:szCs w:val="20"/>
                                </w:rPr>
                                <w:t>Responsible for</w:t>
                              </w:r>
                              <w:r w:rsidRPr="004A1EA0">
                                <w:rPr>
                                  <w:szCs w:val="20"/>
                                </w:rPr>
                                <w:t xml:space="preserve">:  </w:t>
                              </w:r>
                            </w:p>
                            <w:p w14:paraId="0CFF176A" w14:textId="77777777" w:rsidR="0067023A" w:rsidRPr="004A1EA0" w:rsidRDefault="0067023A" w:rsidP="00930709">
                              <w:pPr>
                                <w:contextualSpacing/>
                                <w:rPr>
                                  <w:szCs w:val="20"/>
                                </w:rPr>
                              </w:pPr>
                              <w:r w:rsidRPr="004A1EA0">
                                <w:rPr>
                                  <w:szCs w:val="20"/>
                                </w:rPr>
                                <w:t>Over-all cross-cutting support</w:t>
                              </w:r>
                            </w:p>
                          </w:txbxContent>
                        </wps:txbx>
                        <wps:bodyPr rot="0" vert="horz" wrap="square" lIns="91440" tIns="45720" rIns="91440" bIns="45720" anchor="t" anchorCtr="0" upright="1">
                          <a:noAutofit/>
                        </wps:bodyPr>
                      </wps:wsp>
                      <wps:wsp>
                        <wps:cNvPr id="251" name="Line 22"/>
                        <wps:cNvCnPr/>
                        <wps:spPr bwMode="auto">
                          <a:xfrm>
                            <a:off x="2062900" y="3927338"/>
                            <a:ext cx="214700" cy="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2" name="Line 23"/>
                        <wps:cNvCnPr/>
                        <wps:spPr bwMode="auto">
                          <a:xfrm>
                            <a:off x="2062900" y="2888627"/>
                            <a:ext cx="268800"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3" name="Line 24"/>
                        <wps:cNvCnPr/>
                        <wps:spPr bwMode="auto">
                          <a:xfrm>
                            <a:off x="2062900" y="2007718"/>
                            <a:ext cx="214700" cy="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4" name="Line 25"/>
                        <wps:cNvCnPr/>
                        <wps:spPr bwMode="auto">
                          <a:xfrm flipV="1">
                            <a:off x="2062900" y="1129710"/>
                            <a:ext cx="183300" cy="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5" name="Line 26"/>
                        <wps:cNvCnPr/>
                        <wps:spPr bwMode="auto">
                          <a:xfrm>
                            <a:off x="2093600" y="411802"/>
                            <a:ext cx="122000"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06C6AEFC" id="Canvas 119" o:spid="_x0000_s1029" editas="canvas" style="width:407.25pt;height:349.65pt;mso-position-horizontal-relative:char;mso-position-vertical-relative:line" coordsize="51720,44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">
                <v:shape id="_x0000_s1030" type="#_x0000_t75" style="position:absolute;width:51720;height:44405;visibility:visible;mso-wrap-style:square" stroked="t" strokeweight="2.25pt">
                  <v:fill o:detectmouseclick="t"/>
                  <v:path o:connecttype="none"/>
                </v:shape>
                <v:shape id="Text Box 61" o:spid="_x0000_s1031" type="#_x0000_t202" style="position:absolute;left:6835;top:2089;width:13794;height:45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C8GsEA&#10;AADbAAAADwAAAGRycy9kb3ducmV2LnhtbERPTYvCMBC9C/6HMII3TZVFl2oUWVjZgy5YxfPQjG01&#10;mZQm2u7+erMg7G0e73OW684a8aDGV44VTMYJCOLc6YoLBafj5+gdhA/IGo1jUvBDHtarfm+JqXYt&#10;H+iRhULEEPYpKihDqFMpfV6SRT92NXHkLq6xGCJsCqkbbGO4NXKaJDNpseLYUGJNHyXlt+xuFVyP&#10;LjvXZj6jX7O9vu327b393ig1HHSbBYhAXfgXv9xfOs6fw98v8QC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TAvBrBAAAA2wAAAA8AAAAAAAAAAAAAAAAAmAIAAGRycy9kb3du&#10;cmV2LnhtbFBLBQYAAAAABAAEAPUAAACGAwAAAAA=&#10;" fillcolor="silver" strokeweight="3pt">
                  <v:stroke linestyle="thinThin"/>
                  <v:textbox>
                    <w:txbxContent>
                      <w:p w14:paraId="20E5F671" w14:textId="77777777" w:rsidR="0067023A" w:rsidRPr="004814D4" w:rsidRDefault="0067023A" w:rsidP="00930709">
                        <w:pPr>
                          <w:jc w:val="center"/>
                        </w:pPr>
                        <w:r w:rsidRPr="004814D4">
                          <w:t>Political Champion</w:t>
                        </w:r>
                      </w:p>
                    </w:txbxContent>
                  </v:textbox>
                </v:shape>
                <v:shape id="Text Box 62" o:spid="_x0000_s1032" type="#_x0000_t202" style="position:absolute;left:6835;top:10447;width:13480;height:45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3dwcQA&#10;AADcAAAADwAAAGRycy9kb3ducmV2LnhtbESPQWvCQBSE7wX/w/IEb3VjECvRVURo8WALjeL5kX0m&#10;0d23Ibua2F/fLRQ8DjPzDbNc99aIO7W+dqxgMk5AEBdO11wqOB7eX+cgfEDWaByTggd5WK8GL0vM&#10;tOv4m+55KEWEsM9QQRVCk0npi4os+rFriKN3dq3FEGVbSt1iF+HWyDRJZtJizXGhwoa2FRXX/GYV&#10;XA4uPzXmbUY/5uMy3X92t+5ro9Ro2G8WIAL14Rn+b++0gjSdwt+ZeAT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93cHEAAAA3AAAAA8AAAAAAAAAAAAAAAAAmAIAAGRycy9k&#10;b3ducmV2LnhtbFBLBQYAAAAABAAEAPUAAACJAwAAAAA=&#10;" fillcolor="silver" strokeweight="3pt">
                  <v:stroke linestyle="thinThin"/>
                  <v:textbox>
                    <w:txbxContent>
                      <w:p w14:paraId="04923960" w14:textId="77777777" w:rsidR="0067023A" w:rsidRPr="004814D4" w:rsidRDefault="0067023A" w:rsidP="00930709">
                        <w:pPr>
                          <w:jc w:val="center"/>
                        </w:pPr>
                        <w:r w:rsidRPr="004814D4">
                          <w:t>Administrative Champion</w:t>
                        </w:r>
                      </w:p>
                    </w:txbxContent>
                  </v:textbox>
                </v:shape>
                <v:shape id="Text Box 9" o:spid="_x0000_s1033" type="#_x0000_t202" style="position:absolute;left:6835;top:18570;width:13480;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F288UA&#10;AADcAAAADwAAAGRycy9kb3ducmV2LnhtbESPQWvCQBSE7wX/w/KE3uqmqWiJriKCpQctGKXnR/aZ&#10;xO6+DdnVRH+9Wyj0OMzMN8x82VsjrtT62rGC11ECgrhwuuZSwfGweXkH4QOyRuOYFNzIw3IxeJpj&#10;pl3He7rmoRQRwj5DBVUITSalLyqy6EeuIY7eybUWQ5RtKXWLXYRbI9MkmUiLNceFChtaV1T85Ber&#10;4Hxw+XdjphO6m4/zeLvrLt3XSqnnYb+agQjUh//wX/tTK0jfUvg9E4+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AXbzxQAAANwAAAAPAAAAAAAAAAAAAAAAAJgCAABkcnMv&#10;ZG93bnJldi54bWxQSwUGAAAAAAQABAD1AAAAigMAAAAA&#10;" fillcolor="silver" strokeweight="3pt">
                  <v:stroke linestyle="thinThin"/>
                  <v:textbox>
                    <w:txbxContent>
                      <w:p w14:paraId="0D1016BD" w14:textId="77777777" w:rsidR="0067023A" w:rsidRPr="004814D4" w:rsidRDefault="0067023A" w:rsidP="00930709">
                        <w:pPr>
                          <w:jc w:val="center"/>
                        </w:pPr>
                        <w:r w:rsidRPr="004814D4">
                          <w:t>EPWP Steering Committee</w:t>
                        </w:r>
                      </w:p>
                      <w:p w14:paraId="3D450B7B" w14:textId="77777777" w:rsidR="0067023A" w:rsidRPr="004814D4" w:rsidRDefault="0067023A" w:rsidP="00930709">
                        <w:pPr>
                          <w:jc w:val="center"/>
                        </w:pPr>
                        <w:r w:rsidRPr="004814D4">
                          <w:t>Director’s Forum</w:t>
                        </w:r>
                      </w:p>
                    </w:txbxContent>
                  </v:textbox>
                </v:shape>
                <v:shape id="Text Box 10" o:spid="_x0000_s1034" type="#_x0000_t202" style="position:absolute;left:23317;top:359;width:28049;height:9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d6p8IA&#10;AADcAAAADwAAAGRycy9kb3ducmV2LnhtbESP3YrCMBSE7xd8h3AEbxZN/ddqFBVWvPXnAY7NsS02&#10;J6WJtr79RhC8HGbmG2a5bkwhnlS53LKCfi8CQZxYnXOq4HL+685AOI+ssbBMCl7kYL1q/Swx1rbm&#10;Iz1PPhUBwi5GBZn3ZSylSzIy6Hq2JA7ezVYGfZBVKnWFdYCbQg6iaCIN5hwWMixpl1FyPz2Mgtuh&#10;/h3P6+veX6bH0WSL+fRqX0p12s1mAcJT47/hT/ugFQyGQ3ifCUd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B3qnwgAAANwAAAAPAAAAAAAAAAAAAAAAAJgCAABkcnMvZG93&#10;bnJldi54bWxQSwUGAAAAAAQABAD1AAAAhwMAAAAA&#10;" stroked="f">
                  <v:textbox>
                    <w:txbxContent>
                      <w:p w14:paraId="61242CA3" w14:textId="77777777" w:rsidR="0067023A" w:rsidRPr="00F73067" w:rsidRDefault="0067023A" w:rsidP="00930709">
                        <w:pPr>
                          <w:ind w:firstLine="720"/>
                          <w:contextualSpacing/>
                          <w:rPr>
                            <w:b/>
                          </w:rPr>
                        </w:pPr>
                        <w:r>
                          <w:rPr>
                            <w:b/>
                          </w:rPr>
                          <w:t xml:space="preserve">His Worship the </w:t>
                        </w:r>
                        <w:r w:rsidRPr="00F73067">
                          <w:rPr>
                            <w:b/>
                          </w:rPr>
                          <w:t xml:space="preserve">Mayor </w:t>
                        </w:r>
                      </w:p>
                      <w:p w14:paraId="43D15C28" w14:textId="77777777" w:rsidR="0067023A" w:rsidRPr="00F73067" w:rsidRDefault="0067023A" w:rsidP="00930709">
                        <w:pPr>
                          <w:contextualSpacing/>
                        </w:pPr>
                        <w:r w:rsidRPr="00F73067">
                          <w:t>Political leadership and direction</w:t>
                        </w:r>
                      </w:p>
                    </w:txbxContent>
                  </v:textbox>
                </v:shape>
                <v:shape id="Text Box 65" o:spid="_x0000_s1035" type="#_x0000_t202" style="position:absolute;left:23317;top:8504;width:28049;height:8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JHSMMA&#10;AADcAAAADwAAAGRycy9kb3ducmV2LnhtbESP0YrCMBRE3wX/IdyFfRFNddW6XaO4C4qvaj/g2lzb&#10;ss1NaaKtf28EwcdhZs4wy3VnKnGjxpWWFYxHEQjizOqScwXpaTtcgHAeWWNlmRTcycF61e8tMdG2&#10;5QPdjj4XAcIuQQWF93UipcsKMuhGtiYO3sU2Bn2QTS51g22Am0pOomguDZYcFgqs6a+g7P94NQou&#10;+3Yw+27PO5/Gh+n8F8v4bO9KfX50mx8Qnjr/Dr/ae61g8jWD55lw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JHSMMAAADcAAAADwAAAAAAAAAAAAAAAACYAgAAZHJzL2Rv&#10;d25yZXYueG1sUEsFBgAAAAAEAAQA9QAAAIgDAAAAAA==&#10;" stroked="f">
                  <v:textbox>
                    <w:txbxContent>
                      <w:p w14:paraId="2F3A1A3D" w14:textId="77777777" w:rsidR="0067023A" w:rsidRPr="00823E09" w:rsidRDefault="0067023A" w:rsidP="00930709">
                        <w:pPr>
                          <w:ind w:firstLine="720"/>
                          <w:contextualSpacing/>
                          <w:rPr>
                            <w:b/>
                            <w:color w:val="000000"/>
                          </w:rPr>
                        </w:pPr>
                        <w:r w:rsidRPr="00823E09">
                          <w:rPr>
                            <w:b/>
                            <w:color w:val="000000"/>
                          </w:rPr>
                          <w:t>Municipal Manager</w:t>
                        </w:r>
                      </w:p>
                      <w:p w14:paraId="630D6ECC" w14:textId="77777777" w:rsidR="0067023A" w:rsidRPr="00F73067" w:rsidRDefault="0067023A" w:rsidP="00930709">
                        <w:pPr>
                          <w:contextualSpacing/>
                        </w:pPr>
                        <w:r w:rsidRPr="00F73067">
                          <w:t>Strategic Direction &amp; Monitoring</w:t>
                        </w:r>
                      </w:p>
                      <w:p w14:paraId="156083BE" w14:textId="77777777" w:rsidR="0067023A" w:rsidRPr="00F73067" w:rsidRDefault="0067023A" w:rsidP="00930709">
                        <w:pPr>
                          <w:jc w:val="center"/>
                        </w:pPr>
                      </w:p>
                      <w:p w14:paraId="32AADEA0" w14:textId="77777777" w:rsidR="0067023A" w:rsidRPr="004814D4" w:rsidRDefault="0067023A" w:rsidP="00930709">
                        <w:r w:rsidRPr="004814D4">
                          <w:t>Function: Coordinating &amp; reporting in the municipality at strategic level.</w:t>
                        </w:r>
                      </w:p>
                      <w:p w14:paraId="602B685B" w14:textId="77777777" w:rsidR="0067023A" w:rsidRPr="004814D4" w:rsidRDefault="0067023A" w:rsidP="00930709"/>
                    </w:txbxContent>
                  </v:textbox>
                </v:shape>
                <v:shape id="Text Box 12" o:spid="_x0000_s1036" type="#_x0000_t202" style="position:absolute;left:22776;top:25421;width:27370;height:120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NTcQA&#10;AADcAAAADwAAAGRycy9kb3ducmV2LnhtbESP3YrCMBSE7wXfIRzBG9FUV+3aNcq6oHjrzwOcNse2&#10;2JyUJmvr25uFBS+HmfmGWW87U4kHNa60rGA6iUAQZ1aXnCu4XvbjTxDOI2usLJOCJznYbvq9NSba&#10;tnyix9nnIkDYJaig8L5OpHRZQQbdxNbEwbvZxqAPssmlbrANcFPJWRQtpcGSw0KBNf0UlN3Pv0bB&#10;7diOFqs2PfhrfJovd1jGqX0qNRx0318gPHX+Hf5vH7WC2ccK/s6EIyA3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vTU3EAAAA3AAAAA8AAAAAAAAAAAAAAAAAmAIAAGRycy9k&#10;b3ducmV2LnhtbFBLBQYAAAAABAAEAPUAAACJAwAAAAA=&#10;" stroked="f">
                  <v:textbox>
                    <w:txbxContent>
                      <w:p w14:paraId="08A87681" w14:textId="77777777" w:rsidR="0067023A" w:rsidRPr="00F73067" w:rsidRDefault="0067023A" w:rsidP="00930709">
                        <w:pPr>
                          <w:ind w:firstLine="720"/>
                          <w:contextualSpacing/>
                          <w:rPr>
                            <w:b/>
                            <w:szCs w:val="20"/>
                          </w:rPr>
                        </w:pPr>
                        <w:r w:rsidRPr="00F73067">
                          <w:rPr>
                            <w:b/>
                            <w:szCs w:val="20"/>
                          </w:rPr>
                          <w:t>Managers / Project Managers</w:t>
                        </w:r>
                      </w:p>
                      <w:p w14:paraId="41D6F5ED" w14:textId="77777777" w:rsidR="0067023A" w:rsidRPr="00F73067" w:rsidRDefault="0067023A" w:rsidP="00930709">
                        <w:pPr>
                          <w:contextualSpacing/>
                          <w:rPr>
                            <w:rFonts w:cs="Calibri"/>
                            <w:b/>
                            <w:bCs/>
                            <w:i/>
                            <w:szCs w:val="20"/>
                          </w:rPr>
                        </w:pPr>
                        <w:r w:rsidRPr="00F73067">
                          <w:rPr>
                            <w:rFonts w:cs="Calibri"/>
                            <w:b/>
                            <w:bCs/>
                            <w:i/>
                            <w:szCs w:val="20"/>
                          </w:rPr>
                          <w:t xml:space="preserve">Responsible for: </w:t>
                        </w:r>
                      </w:p>
                      <w:p w14:paraId="6EA54E60" w14:textId="77777777" w:rsidR="0067023A" w:rsidRPr="005321BD" w:rsidRDefault="0067023A" w:rsidP="00930709">
                        <w:pPr>
                          <w:contextualSpacing/>
                          <w:rPr>
                            <w:color w:val="FF0000"/>
                            <w:szCs w:val="20"/>
                          </w:rPr>
                        </w:pPr>
                        <w:r w:rsidRPr="00F73067">
                          <w:rPr>
                            <w:szCs w:val="20"/>
                          </w:rPr>
                          <w:t xml:space="preserve">Program Implementation; project design, Reporting on EPWP System; Sectors coordination </w:t>
                        </w:r>
                      </w:p>
                    </w:txbxContent>
                  </v:textbox>
                </v:shape>
                <v:line id="Line 13" o:spid="_x0000_s1037" style="position:absolute;visibility:visible;mso-wrap-style:square" from="13393,6647" to="13414,10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4I9sIAAADcAAAADwAAAGRycy9kb3ducmV2LnhtbERPy2oCMRTdF/yHcAvuakaRqqNRpIPg&#10;wgo+6Pp2cp0MndwMk3SMf98sCi4P573aRNuInjpfO1YwHmUgiEuna64UXC+7tzkIH5A1No5JwYM8&#10;bNaDlxXm2t35RP05VCKFsM9RgQmhzaX0pSGLfuRa4sTdXGcxJNhVUnd4T+G2kZMse5cWa04NBlv6&#10;MFT+nH+tgpkpTnImi8PlWPT1eBE/49f3Qqnha9wuQQSK4Sn+d++1gsk0zU9n0hG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44I9sIAAADcAAAADwAAAAAAAAAAAAAA&#10;AAChAgAAZHJzL2Rvd25yZXYueG1sUEsFBgAAAAAEAAQA+QAAAJADAAAAAA==&#10;">
                  <v:stroke endarrow="block"/>
                </v:line>
                <v:line id="Line 14" o:spid="_x0000_s1038" style="position:absolute;visibility:visible;mso-wrap-style:square" from="13385,15020" to="13393,184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KtbcUAAADcAAAADwAAAGRycy9kb3ducmV2LnhtbESPQWsCMRSE70L/Q3iF3jS7IrWuRild&#10;hB60oJaeXzfPzdLNy7JJ1/jvG6HgcZiZb5jVJtpWDNT7xrGCfJKBIK6cbrhW8Hnajl9A+ICssXVM&#10;Cq7kYbN+GK2w0O7CBxqOoRYJwr5ABSaErpDSV4Ys+onriJN3dr3FkGRfS93jJcFtK6dZ9iwtNpwW&#10;DHb0Zqj6Of5aBXNTHuRclrvTRzk0+SLu49f3Qqmnx/i6BBEohnv4v/2uFUxn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MKtbcUAAADcAAAADwAAAAAAAAAA&#10;AAAAAAChAgAAZHJzL2Rvd25yZXYueG1sUEsFBgAAAAAEAAQA+QAAAJMDAAAAAA==&#10;">
                  <v:stroke endarrow="block"/>
                </v:line>
                <v:line id="Line 15" o:spid="_x0000_s1039" style="position:absolute;visibility:visible;mso-wrap-style:square" from="13414,23142" to="13458,260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AzGsUAAADcAAAADwAAAGRycy9kb3ducmV2LnhtbESPQWsCMRSE70L/Q3iF3jTrIrWuRild&#10;hB60oJaeXzfPzdLNy7JJ1/jvG6HgcZiZb5jVJtpWDNT7xrGC6SQDQVw53XCt4PO0Hb+A8AFZY+uY&#10;FFzJw2b9MFphod2FDzQcQy0ShH2BCkwIXSGlrwxZ9BPXESfv7HqLIcm+lrrHS4LbVuZZ9iwtNpwW&#10;DHb0Zqj6Of5aBXNTHuRclrvTRzk000Xcx6/vhVJPj/F1CSJQDPfwf/tdK8hn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BAzGsUAAADcAAAADwAAAAAAAAAA&#10;AAAAAAChAgAAZHJzL2Rvd25yZXYueG1sUEsFBgAAAAAEAAQA+QAAAJMDAAAAAA==&#10;">
                  <v:stroke endarrow="block"/>
                </v:line>
                <v:shape id="Text Box 16" o:spid="_x0000_s1040" type="#_x0000_t202" style="position:absolute;left:6835;top:26021;width:13480;height:7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I4YcQA&#10;AADcAAAADwAAAGRycy9kb3ducmV2LnhtbESPQWvCQBSE7wX/w/IEb3WjBCvRVURo8WALjeL5kX0m&#10;0d23Ibua2F/fLRQ8DjPzDbNc99aIO7W+dqxgMk5AEBdO11wqOB7eX+cgfEDWaByTggd5WK8GL0vM&#10;tOv4m+55KEWEsM9QQRVCk0npi4os+rFriKN3dq3FEGVbSt1iF+HWyGmSzKTFmuNChQ1tKyqu+c0q&#10;uBxcfmrM24x+zMcl3X92t+5ro9Ro2G8WIAL14Rn+b++0gmmawt+ZeAT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iOGHEAAAA3AAAAA8AAAAAAAAAAAAAAAAAmAIAAGRycy9k&#10;b3ducmV2LnhtbFBLBQYAAAAABAAEAPUAAACJAwAAAAA=&#10;" fillcolor="silver" strokeweight="3pt">
                  <v:stroke linestyle="thinThin"/>
                  <v:textbox>
                    <w:txbxContent>
                      <w:p w14:paraId="1F09DD8D" w14:textId="77777777" w:rsidR="0067023A" w:rsidRPr="004814D4" w:rsidRDefault="0067023A" w:rsidP="00930709">
                        <w:pPr>
                          <w:jc w:val="center"/>
                        </w:pPr>
                        <w:r w:rsidRPr="004814D4">
                          <w:t xml:space="preserve">EPWP </w:t>
                        </w:r>
                        <w:r>
                          <w:t>Sector Coordination and Implementation</w:t>
                        </w:r>
                      </w:p>
                    </w:txbxContent>
                  </v:textbox>
                </v:shape>
                <v:shape id="Text Box 71" o:spid="_x0000_s1041" type="#_x0000_t202" style="position:absolute;left:23314;top:15022;width:25140;height:10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aqQsMA&#10;AADcAAAADwAAAGRycy9kb3ducmV2LnhtbESP3YrCMBSE7xd8h3AEbxabKlq1GmVdcPHWnwc4bY5t&#10;sTkpTdbWt98IC14OM/MNs9n1phYPal1lWcEkikEQ51ZXXCi4Xg7jJQjnkTXWlknBkxzstoOPDaba&#10;dnyix9kXIkDYpaig9L5JpXR5SQZdZBvi4N1sa9AH2RZSt9gFuKnlNI4TabDisFBiQ98l5ffzr1Fw&#10;O3af81WX/fjr4jRL9lgtMvtUajTsv9YgPPX+Hf5vH7WC6SyB15lwBO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naqQsMAAADcAAAADwAAAAAAAAAAAAAAAACYAgAAZHJzL2Rv&#10;d25yZXYueG1sUEsFBgAAAAAEAAQA9QAAAIgDAAAAAA==&#10;" stroked="f">
                  <v:textbox>
                    <w:txbxContent>
                      <w:p w14:paraId="09F5DDFB" w14:textId="77777777" w:rsidR="0067023A" w:rsidRPr="00F73067" w:rsidRDefault="0067023A" w:rsidP="00930709">
                        <w:pPr>
                          <w:contextualSpacing/>
                          <w:rPr>
                            <w:rFonts w:ascii="Century Gothic" w:hAnsi="Century Gothic"/>
                            <w:b/>
                            <w:bCs/>
                          </w:rPr>
                        </w:pPr>
                        <w:r>
                          <w:rPr>
                            <w:rFonts w:ascii="Century Gothic" w:hAnsi="Century Gothic"/>
                            <w:b/>
                            <w:bCs/>
                          </w:rPr>
                          <w:tab/>
                        </w:r>
                        <w:r w:rsidRPr="00F73067">
                          <w:rPr>
                            <w:b/>
                          </w:rPr>
                          <w:t>Directors’ Forum</w:t>
                        </w:r>
                      </w:p>
                      <w:p w14:paraId="3851A713" w14:textId="77777777" w:rsidR="0067023A" w:rsidRPr="006E7B84" w:rsidRDefault="0067023A" w:rsidP="00930709">
                        <w:pPr>
                          <w:contextualSpacing/>
                        </w:pPr>
                        <w:r w:rsidRPr="00F73067">
                          <w:t>Strategic Direction; Performance Standards; Budget Approval</w:t>
                        </w:r>
                        <w:r w:rsidRPr="003C25DE">
                          <w:t>; Reporting to EXCO; Monitoring &amp; Evaluation</w:t>
                        </w:r>
                        <w:r w:rsidRPr="006E7B84">
                          <w:t xml:space="preserve"> and Evaluation</w:t>
                        </w:r>
                      </w:p>
                    </w:txbxContent>
                  </v:textbox>
                </v:shape>
                <v:shape id="Text Box 72" o:spid="_x0000_s1042" type="#_x0000_t202" style="position:absolute;top:2089;width:5834;height:390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OKwcUA&#10;AADcAAAADwAAAGRycy9kb3ducmV2LnhtbESPzWrCQBSF9wXfYbhCN0UnSjElOkoMLQRXrRXE3SVz&#10;m4Rm7iSZaUzf3ikIXR7Oz8fZ7EbTiIF6V1tWsJhHIIgLq2suFZw+32YvIJxH1thYJgW/5GC3nTxs&#10;MNH2yh80HH0pwgi7BBVU3reJlK6oyKCb25Y4eF+2N+iD7Eupe7yGcdPIZRStpMGaA6HClrKKiu/j&#10;jwkQ7k5ZeX7SdDnYPO3270P8mir1OB3TNQhPo/8P39u5VrB8juHvTDgCcn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c4rBxQAAANwAAAAPAAAAAAAAAAAAAAAAAJgCAABkcnMv&#10;ZG93bnJldi54bWxQSwUGAAAAAAQABAD1AAAAigMAAAAA&#10;" fillcolor="silver" strokeweight="3pt">
                  <v:stroke linestyle="thinThin"/>
                  <v:textbox style="layout-flow:vertical;mso-layout-flow-alt:bottom-to-top">
                    <w:txbxContent>
                      <w:p w14:paraId="59AB01FE" w14:textId="77777777" w:rsidR="0067023A" w:rsidRPr="004814D4" w:rsidRDefault="0067023A" w:rsidP="00930709">
                        <w:pPr>
                          <w:jc w:val="center"/>
                        </w:pPr>
                        <w:r>
                          <w:t>Implementation</w:t>
                        </w:r>
                      </w:p>
                    </w:txbxContent>
                  </v:textbox>
                </v:shape>
                <v:shape id="Text Box 19" o:spid="_x0000_s1043" type="#_x0000_t202" style="position:absolute;left:6835;top:36252;width:13480;height:4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8yZMMA&#10;AADcAAAADwAAAGRycy9kb3ducmV2LnhtbERPz2vCMBS+D/wfwhN2m6mldKMapQgbO7jB6vD8aJ5t&#10;NXkpTbR1f/1yGOz48f1ebydrxI0G3zlWsFwkIIhrpztuFHwfXp9eQPiArNE4JgV38rDdzB7WWGg3&#10;8hfdqtCIGMK+QAVtCH0hpa9bsugXrieO3MkNFkOEQyP1gGMMt0amSZJLix3HhhZ72rVUX6qrVXA+&#10;uOrYm+ecfszbOdt/jNfxs1TqcT6VKxCBpvAv/nO/awVpFtfGM/EI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8yZMMAAADcAAAADwAAAAAAAAAAAAAAAACYAgAAZHJzL2Rv&#10;d25yZXYueG1sUEsFBgAAAAAEAAQA9QAAAIgDAAAAAA==&#10;" fillcolor="silver" strokeweight="3pt">
                  <v:stroke linestyle="thinThin"/>
                  <v:textbox>
                    <w:txbxContent>
                      <w:p w14:paraId="73DC57B8" w14:textId="77777777" w:rsidR="0067023A" w:rsidRPr="004814D4" w:rsidRDefault="0067023A" w:rsidP="00930709">
                        <w:pPr>
                          <w:jc w:val="center"/>
                        </w:pPr>
                        <w:r w:rsidRPr="004814D4">
                          <w:t xml:space="preserve">EPWP </w:t>
                        </w:r>
                        <w:r>
                          <w:t xml:space="preserve">Cross-cutting Support </w:t>
                        </w:r>
                      </w:p>
                    </w:txbxContent>
                  </v:textbox>
                </v:shape>
                <v:line id="Line 20" o:spid="_x0000_s1044" style="position:absolute;visibility:visible;mso-wrap-style:square" from="13436,33372" to="13473,36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Sha8UAAADcAAAADwAAAGRycy9kb3ducmV2LnhtbESPQWsCMRSE70L/Q3iF3jSrSO2uRild&#10;hB60oJaeXzfPzdLNy7JJ1/jvG6HgcZiZb5jVJtpWDNT7xrGC6SQDQVw53XCt4PO0Hb+A8AFZY+uY&#10;FFzJw2b9MFphod2FDzQcQy0ShH2BCkwIXSGlrwxZ9BPXESfv7HqLIcm+lrrHS4LbVs6y7FlabDgt&#10;GOzozVD1c/y1ChamPMiFLHenj3Jopnncx6/vXKmnx/i6BBEohnv4v/2uFczm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rSha8UAAADcAAAADwAAAAAAAAAA&#10;AAAAAAChAgAAZHJzL2Rvd25yZXYueG1sUEsFBgAAAAAEAAQA+QAAAJMDAAAAAA==&#10;">
                  <v:stroke endarrow="block"/>
                </v:line>
                <v:shape id="Text Box 21" o:spid="_x0000_s1045" type="#_x0000_t202" style="position:absolute;left:23317;top:37445;width:28049;height:6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oBcL0A&#10;AADcAAAADwAAAGRycy9kb3ducmV2LnhtbERPSwrCMBDdC94hjOBGNFX8VqOooLj1c4CxGdtiMylN&#10;tPX2ZiG4fLz/atOYQrypcrllBcNBBII4sTrnVMHteujPQTiPrLGwTAo+5GCzbrdWGGtb85neF5+K&#10;EMIuRgWZ92UspUsyMugGtiQO3MNWBn2AVSp1hXUIN4UcRdFUGsw5NGRY0j6j5Hl5GQWPU92bLOr7&#10;0d9m5/F0h/nsbj9KdTvNdgnCU+P/4p/7pBWMJmF+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woBcL0AAADcAAAADwAAAAAAAAAAAAAAAACYAgAAZHJzL2Rvd25yZXYu&#10;eG1sUEsFBgAAAAAEAAQA9QAAAIIDAAAAAA==&#10;" stroked="f">
                  <v:textbox>
                    <w:txbxContent>
                      <w:p w14:paraId="08F3B57A" w14:textId="77777777" w:rsidR="0067023A" w:rsidRPr="004A1EA0" w:rsidRDefault="0067023A" w:rsidP="00930709">
                        <w:pPr>
                          <w:contextualSpacing/>
                          <w:rPr>
                            <w:b/>
                            <w:szCs w:val="20"/>
                          </w:rPr>
                        </w:pPr>
                        <w:r w:rsidRPr="004A1EA0">
                          <w:rPr>
                            <w:b/>
                            <w:szCs w:val="20"/>
                          </w:rPr>
                          <w:t xml:space="preserve">(Municipal Departments). </w:t>
                        </w:r>
                      </w:p>
                      <w:p w14:paraId="0885B861" w14:textId="77777777" w:rsidR="0067023A" w:rsidRPr="004A1EA0" w:rsidRDefault="0067023A" w:rsidP="00930709">
                        <w:pPr>
                          <w:contextualSpacing/>
                          <w:rPr>
                            <w:szCs w:val="20"/>
                          </w:rPr>
                        </w:pPr>
                        <w:r w:rsidRPr="004A1EA0">
                          <w:rPr>
                            <w:b/>
                            <w:i/>
                            <w:szCs w:val="20"/>
                          </w:rPr>
                          <w:t>Responsible for</w:t>
                        </w:r>
                        <w:r w:rsidRPr="004A1EA0">
                          <w:rPr>
                            <w:szCs w:val="20"/>
                          </w:rPr>
                          <w:t xml:space="preserve">:  </w:t>
                        </w:r>
                      </w:p>
                      <w:p w14:paraId="0CFF176A" w14:textId="77777777" w:rsidR="0067023A" w:rsidRPr="004A1EA0" w:rsidRDefault="0067023A" w:rsidP="00930709">
                        <w:pPr>
                          <w:contextualSpacing/>
                          <w:rPr>
                            <w:szCs w:val="20"/>
                          </w:rPr>
                        </w:pPr>
                        <w:r w:rsidRPr="004A1EA0">
                          <w:rPr>
                            <w:szCs w:val="20"/>
                          </w:rPr>
                          <w:t>Over-all cross-cutting support</w:t>
                        </w:r>
                      </w:p>
                    </w:txbxContent>
                  </v:textbox>
                </v:shape>
                <v:line id="Line 22" o:spid="_x0000_s1046" style="position:absolute;visibility:visible;mso-wrap-style:square" from="20629,39273" to="22776,39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s7sMUAAADcAAAADwAAAGRycy9kb3ducmV2LnhtbESPQWsCMRSE70L/Q3iF3jS7grWuRild&#10;hB60oJaeXzfPzdLNy7JJ1/jvG6HgcZiZb5jVJtpWDNT7xrGCfJKBIK6cbrhW8Hnajl9A+ICssXVM&#10;Cq7kYbN+GK2w0O7CBxqOoRYJwr5ABSaErpDSV4Ys+onriJN3dr3FkGRfS93jJcFtK6dZ9iwtNpwW&#10;DHb0Zqj6Of5aBXNTHuRclrvTRzk0+SLu49f3Qqmnx/i6BBEohnv4v/2uFUxn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Rs7sMUAAADcAAAADwAAAAAAAAAA&#10;AAAAAAChAgAAZHJzL2Rvd25yZXYueG1sUEsFBgAAAAAEAAQA+QAAAJMDAAAAAA==&#10;">
                  <v:stroke endarrow="block"/>
                </v:line>
                <v:line id="Line 23" o:spid="_x0000_s1047" style="position:absolute;visibility:visible;mso-wrap-style:square" from="20629,28886" to="23317,28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mlx8UAAADcAAAADwAAAGRycy9kb3ducmV2LnhtbESPQWsCMRSE70L/Q3iF3jTrgrWuRild&#10;hB60oJaeXzfPzdLNy7JJ1/jvG6HgcZiZb5jVJtpWDNT7xrGC6SQDQVw53XCt4PO0Hb+A8AFZY+uY&#10;FFzJw2b9MFphod2FDzQcQy0ShH2BCkwIXSGlrwxZ9BPXESfv7HqLIcm+lrrHS4LbVuZZ9iwtNpwW&#10;DHb0Zqj6Of5aBXNTHuRclrvTRzk000Xcx6/vhVJPj/F1CSJQDPfwf/tdK8hn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cmlx8UAAADcAAAADwAAAAAAAAAA&#10;AAAAAAChAgAAZHJzL2Rvd25yZXYueG1sUEsFBgAAAAAEAAQA+QAAAJMDAAAAAA==&#10;">
                  <v:stroke endarrow="block"/>
                </v:line>
                <v:line id="Line 24" o:spid="_x0000_s1048" style="position:absolute;visibility:visible;mso-wrap-style:square" from="20629,20077" to="22776,20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UAXMUAAADcAAAADwAAAGRycy9kb3ducmV2LnhtbESPT2sCMRTE7wW/Q3iF3mpWS6uuRpEu&#10;ggdb8A+en5vnZunmZdmka/rtTaHQ4zAzv2EWq2gb0VPna8cKRsMMBHHpdM2VgtNx8zwF4QOyxsYx&#10;KfghD6vl4GGBuXY33lN/CJVIEPY5KjAhtLmUvjRk0Q9dS5y8q+sshiS7SuoObwluGznOsjdpsea0&#10;YLCld0Pl1+HbKpiYYi8nstgdP4u+Hs3iRzxfZko9Pcb1HESgGP7Df+2tVjB+fYHfM+k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oUAXMUAAADcAAAADwAAAAAAAAAA&#10;AAAAAAChAgAAZHJzL2Rvd25yZXYueG1sUEsFBgAAAAAEAAQA+QAAAJMDAAAAAA==&#10;">
                  <v:stroke endarrow="block"/>
                </v:line>
                <v:line id="Line 25" o:spid="_x0000_s1049" style="position:absolute;flip:y;visibility:visible;mso-wrap-style:square" from="20629,11297" to="22462,11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Pfu8UAAADcAAAADwAAAGRycy9kb3ducmV2LnhtbESPT2vCQBDF7wW/wzKCl6AbtZU2dZX+&#10;URCkB7WHHofsNAlmZ0N21PjtXaHQ4+PN+71582XnanWmNlSeDYxHKSji3NuKCwPfh/XwGVQQZIu1&#10;ZzJwpQDLRe9hjpn1F97ReS+FihAOGRooRZpM65CX5DCMfEMcvV/fOpQo20LbFi8R7mo9SdOZdlhx&#10;bCixoY+S8uP+5OIb6y/+nE6Td6eT5IVWP7JNtRgz6Hdvr6CEOvk//ktvrIHJ0yPcx0QC6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Pfu8UAAADcAAAADwAAAAAAAAAA&#10;AAAAAAChAgAAZHJzL2Rvd25yZXYueG1sUEsFBgAAAAAEAAQA+QAAAJMDAAAAAA==&#10;">
                  <v:stroke endarrow="block"/>
                </v:line>
                <v:line id="Line 26" o:spid="_x0000_s1050" style="position:absolute;visibility:visible;mso-wrap-style:square" from="20936,4118" to="22156,4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A9s8QAAADcAAAADwAAAGRycy9kb3ducmV2LnhtbESPQWsCMRSE7wX/Q3iCt5pVsNatUcRF&#10;8GALaun5dfPcLG5elk1c479vCoUeh5n5hlmuo21ET52vHSuYjDMQxKXTNVcKPs+751cQPiBrbByT&#10;ggd5WK8GT0vMtbvzkfpTqESCsM9RgQmhzaX0pSGLfuxa4uRdXGcxJNlVUnd4T3DbyGmWvUiLNacF&#10;gy1tDZXX080qmJviKOeyOJw/ir6eLOJ7/PpeKDUaxs0biEAx/If/2nutYDqbwe+ZdATk6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ID2zxAAAANwAAAAPAAAAAAAAAAAA&#10;AAAAAKECAABkcnMvZG93bnJldi54bWxQSwUGAAAAAAQABAD5AAAAkgMAAAAA&#10;">
                  <v:stroke endarrow="block"/>
                </v:line>
                <w10:anchorlock/>
              </v:group>
            </w:pict>
          </mc:Fallback>
        </mc:AlternateContent>
      </w:r>
    </w:p>
    <w:p w14:paraId="00E2C0E8" w14:textId="51E90C3B" w:rsidR="000078AE" w:rsidRPr="00881795" w:rsidRDefault="002D40F5" w:rsidP="002F62F0">
      <w:pPr>
        <w:pStyle w:val="Caption"/>
      </w:pPr>
      <w:bookmarkStart w:id="543" w:name="_Toc510622385"/>
      <w:r>
        <w:t xml:space="preserve">Figure </w:t>
      </w:r>
      <w:r w:rsidR="00B918A6">
        <w:fldChar w:fldCharType="begin"/>
      </w:r>
      <w:r w:rsidR="00B918A6">
        <w:instrText xml:space="preserve"> SEQ Figure \* ARABIC </w:instrText>
      </w:r>
      <w:r w:rsidR="00B918A6">
        <w:fldChar w:fldCharType="separate"/>
      </w:r>
      <w:r w:rsidR="0067023A">
        <w:rPr>
          <w:noProof/>
        </w:rPr>
        <w:t>25</w:t>
      </w:r>
      <w:r w:rsidR="00B918A6">
        <w:rPr>
          <w:noProof/>
        </w:rPr>
        <w:fldChar w:fldCharType="end"/>
      </w:r>
      <w:r>
        <w:t xml:space="preserve">: </w:t>
      </w:r>
      <w:r w:rsidRPr="002D40F5">
        <w:rPr>
          <w:noProof/>
          <w:lang w:val="en-ZA" w:eastAsia="en-ZA"/>
        </w:rPr>
        <w:t>EPWP uMlalazi Municipality Co-ordination Structure</w:t>
      </w:r>
      <w:bookmarkEnd w:id="543"/>
    </w:p>
    <w:p w14:paraId="160F3D28" w14:textId="4CFC2E7C" w:rsidR="000078AE" w:rsidRPr="00930709" w:rsidRDefault="000078AE" w:rsidP="00750180">
      <w:pPr>
        <w:pStyle w:val="Heading5"/>
        <w:numPr>
          <w:ilvl w:val="4"/>
          <w:numId w:val="127"/>
        </w:numPr>
        <w:spacing w:after="240"/>
      </w:pPr>
      <w:bookmarkStart w:id="544" w:name="_Toc389740051"/>
      <w:r w:rsidRPr="00930709">
        <w:t>Sector Co-Ordination</w:t>
      </w:r>
      <w:bookmarkEnd w:id="544"/>
    </w:p>
    <w:p w14:paraId="61A9D5D6" w14:textId="77777777" w:rsidR="000078AE" w:rsidRPr="002D40F5" w:rsidRDefault="000078AE" w:rsidP="00395313">
      <w:pPr>
        <w:jc w:val="both"/>
        <w:rPr>
          <w:szCs w:val="20"/>
        </w:rPr>
      </w:pPr>
      <w:r w:rsidRPr="002D40F5">
        <w:rPr>
          <w:szCs w:val="20"/>
        </w:rPr>
        <w:t>Sector Coordinators are appointed by the Executive Committee through the Municipal Manager for each of the four sectors namely:</w:t>
      </w:r>
    </w:p>
    <w:p w14:paraId="4B7D61D3" w14:textId="77777777" w:rsidR="000078AE" w:rsidRPr="00881795" w:rsidRDefault="000078AE" w:rsidP="00E31338">
      <w:pPr>
        <w:pStyle w:val="ListParagraph"/>
        <w:numPr>
          <w:ilvl w:val="0"/>
          <w:numId w:val="1"/>
        </w:numPr>
        <w:spacing w:line="288" w:lineRule="auto"/>
        <w:jc w:val="both"/>
        <w:rPr>
          <w:szCs w:val="20"/>
        </w:rPr>
      </w:pPr>
      <w:r w:rsidRPr="00881795">
        <w:rPr>
          <w:szCs w:val="20"/>
        </w:rPr>
        <w:t>Infrastructure Sector</w:t>
      </w:r>
      <w:r w:rsidRPr="00881795">
        <w:rPr>
          <w:szCs w:val="20"/>
        </w:rPr>
        <w:tab/>
      </w:r>
      <w:r w:rsidRPr="00881795">
        <w:rPr>
          <w:szCs w:val="20"/>
        </w:rPr>
        <w:tab/>
      </w:r>
    </w:p>
    <w:p w14:paraId="241EAD2D" w14:textId="77777777" w:rsidR="000078AE" w:rsidRPr="00881795" w:rsidRDefault="000078AE" w:rsidP="00E31338">
      <w:pPr>
        <w:pStyle w:val="ListParagraph"/>
        <w:numPr>
          <w:ilvl w:val="0"/>
          <w:numId w:val="1"/>
        </w:numPr>
        <w:spacing w:line="288" w:lineRule="auto"/>
        <w:jc w:val="both"/>
        <w:rPr>
          <w:szCs w:val="20"/>
        </w:rPr>
      </w:pPr>
      <w:r w:rsidRPr="00881795">
        <w:rPr>
          <w:szCs w:val="20"/>
        </w:rPr>
        <w:t>Environment and Culture Sector</w:t>
      </w:r>
    </w:p>
    <w:p w14:paraId="47E662CD" w14:textId="77777777" w:rsidR="000078AE" w:rsidRPr="00881795" w:rsidRDefault="000078AE" w:rsidP="00E31338">
      <w:pPr>
        <w:pStyle w:val="ListParagraph"/>
        <w:numPr>
          <w:ilvl w:val="0"/>
          <w:numId w:val="1"/>
        </w:numPr>
        <w:spacing w:line="288" w:lineRule="auto"/>
        <w:jc w:val="both"/>
        <w:rPr>
          <w:szCs w:val="20"/>
        </w:rPr>
      </w:pPr>
      <w:r w:rsidRPr="00881795">
        <w:rPr>
          <w:szCs w:val="20"/>
        </w:rPr>
        <w:t>Social Sector; and</w:t>
      </w:r>
    </w:p>
    <w:p w14:paraId="6C6928F0" w14:textId="77777777" w:rsidR="000078AE" w:rsidRPr="002D40F5" w:rsidRDefault="000078AE" w:rsidP="00E31338">
      <w:pPr>
        <w:pStyle w:val="ListParagraph"/>
        <w:numPr>
          <w:ilvl w:val="0"/>
          <w:numId w:val="1"/>
        </w:numPr>
        <w:spacing w:line="288" w:lineRule="auto"/>
        <w:jc w:val="both"/>
        <w:rPr>
          <w:b/>
          <w:szCs w:val="20"/>
        </w:rPr>
      </w:pPr>
      <w:r w:rsidRPr="002D40F5">
        <w:rPr>
          <w:szCs w:val="20"/>
        </w:rPr>
        <w:t xml:space="preserve">Non State Sector </w:t>
      </w:r>
    </w:p>
    <w:p w14:paraId="1954708F" w14:textId="77777777" w:rsidR="000078AE" w:rsidRPr="002D40F5" w:rsidRDefault="003F34D3" w:rsidP="00395313">
      <w:pPr>
        <w:jc w:val="both"/>
        <w:outlineLvl w:val="0"/>
        <w:rPr>
          <w:szCs w:val="20"/>
        </w:rPr>
      </w:pPr>
      <w:bookmarkStart w:id="545" w:name="_Toc389740052"/>
      <w:r w:rsidRPr="002D40F5">
        <w:rPr>
          <w:szCs w:val="20"/>
        </w:rPr>
        <w:t>The appointed Sector Coordinator is a</w:t>
      </w:r>
      <w:r>
        <w:rPr>
          <w:szCs w:val="20"/>
        </w:rPr>
        <w:t>t</w:t>
      </w:r>
      <w:r w:rsidRPr="002D40F5">
        <w:rPr>
          <w:szCs w:val="20"/>
        </w:rPr>
        <w:t xml:space="preserve"> the Management Level and is responsible for:</w:t>
      </w:r>
      <w:bookmarkEnd w:id="545"/>
    </w:p>
    <w:p w14:paraId="576ECAAE" w14:textId="77777777" w:rsidR="000078AE" w:rsidRPr="00881795" w:rsidRDefault="000078AE" w:rsidP="00E31338">
      <w:pPr>
        <w:pStyle w:val="ListParagraph"/>
        <w:numPr>
          <w:ilvl w:val="0"/>
          <w:numId w:val="1"/>
        </w:numPr>
        <w:spacing w:line="288" w:lineRule="auto"/>
        <w:jc w:val="both"/>
        <w:rPr>
          <w:szCs w:val="20"/>
        </w:rPr>
      </w:pPr>
      <w:r w:rsidRPr="00881795">
        <w:rPr>
          <w:szCs w:val="20"/>
        </w:rPr>
        <w:t xml:space="preserve">Liaising with the stakeholders </w:t>
      </w:r>
    </w:p>
    <w:p w14:paraId="50625FE8" w14:textId="77777777" w:rsidR="000078AE" w:rsidRPr="00881795" w:rsidRDefault="000078AE" w:rsidP="00E31338">
      <w:pPr>
        <w:pStyle w:val="ListParagraph"/>
        <w:numPr>
          <w:ilvl w:val="0"/>
          <w:numId w:val="1"/>
        </w:numPr>
        <w:spacing w:line="288" w:lineRule="auto"/>
        <w:jc w:val="both"/>
        <w:rPr>
          <w:szCs w:val="20"/>
        </w:rPr>
      </w:pPr>
      <w:r w:rsidRPr="00881795">
        <w:rPr>
          <w:szCs w:val="20"/>
        </w:rPr>
        <w:t>Keeping abreast with sector specific developments;</w:t>
      </w:r>
    </w:p>
    <w:p w14:paraId="69063A4B" w14:textId="77777777" w:rsidR="000078AE" w:rsidRPr="00881795" w:rsidRDefault="000078AE" w:rsidP="00E31338">
      <w:pPr>
        <w:pStyle w:val="ListParagraph"/>
        <w:numPr>
          <w:ilvl w:val="0"/>
          <w:numId w:val="1"/>
        </w:numPr>
        <w:spacing w:line="288" w:lineRule="auto"/>
        <w:jc w:val="both"/>
        <w:rPr>
          <w:szCs w:val="20"/>
        </w:rPr>
      </w:pPr>
      <w:r w:rsidRPr="00881795">
        <w:rPr>
          <w:szCs w:val="20"/>
        </w:rPr>
        <w:t>Liaising and representing the Municipality on the relevant provincial EPWP Committees;</w:t>
      </w:r>
    </w:p>
    <w:p w14:paraId="2EF7487B" w14:textId="77777777" w:rsidR="000078AE" w:rsidRPr="00881795" w:rsidRDefault="000078AE" w:rsidP="00E31338">
      <w:pPr>
        <w:pStyle w:val="ListParagraph"/>
        <w:numPr>
          <w:ilvl w:val="0"/>
          <w:numId w:val="1"/>
        </w:numPr>
        <w:spacing w:line="288" w:lineRule="auto"/>
        <w:jc w:val="both"/>
        <w:rPr>
          <w:szCs w:val="20"/>
        </w:rPr>
      </w:pPr>
      <w:r w:rsidRPr="00881795">
        <w:rPr>
          <w:szCs w:val="20"/>
        </w:rPr>
        <w:t>Disseminating sector specific information to the dedicated EPWP Champions identified by each of the Departments.</w:t>
      </w:r>
    </w:p>
    <w:p w14:paraId="5FA46C7A" w14:textId="77777777" w:rsidR="000078AE" w:rsidRPr="00881795" w:rsidRDefault="000078AE" w:rsidP="00E31338">
      <w:pPr>
        <w:pStyle w:val="ListParagraph"/>
        <w:numPr>
          <w:ilvl w:val="0"/>
          <w:numId w:val="1"/>
        </w:numPr>
        <w:spacing w:line="288" w:lineRule="auto"/>
        <w:jc w:val="both"/>
        <w:rPr>
          <w:szCs w:val="20"/>
        </w:rPr>
      </w:pPr>
      <w:r w:rsidRPr="00881795">
        <w:rPr>
          <w:szCs w:val="20"/>
        </w:rPr>
        <w:t xml:space="preserve">Sector coordinators are also responsible for </w:t>
      </w:r>
      <w:r w:rsidR="003F34D3" w:rsidRPr="00881795">
        <w:rPr>
          <w:szCs w:val="20"/>
        </w:rPr>
        <w:t>programs</w:t>
      </w:r>
      <w:r w:rsidRPr="00881795">
        <w:rPr>
          <w:szCs w:val="20"/>
        </w:rPr>
        <w:t xml:space="preserve"> design, implementation and reporting on EPWP System; and </w:t>
      </w:r>
    </w:p>
    <w:p w14:paraId="41E25D56" w14:textId="77777777" w:rsidR="002D40F5" w:rsidRDefault="000078AE" w:rsidP="00930709">
      <w:pPr>
        <w:pStyle w:val="ListParagraph"/>
        <w:numPr>
          <w:ilvl w:val="0"/>
          <w:numId w:val="1"/>
        </w:numPr>
        <w:spacing w:line="288" w:lineRule="auto"/>
        <w:jc w:val="both"/>
        <w:rPr>
          <w:szCs w:val="20"/>
        </w:rPr>
      </w:pPr>
      <w:r w:rsidRPr="00881795">
        <w:rPr>
          <w:szCs w:val="20"/>
        </w:rPr>
        <w:t xml:space="preserve">Monitor, evaluate and report on sector specific KPIs to the Head of Department. </w:t>
      </w:r>
      <w:bookmarkStart w:id="546" w:name="_Toc389740053"/>
    </w:p>
    <w:p w14:paraId="24237DFE" w14:textId="77777777" w:rsidR="00930709" w:rsidRPr="00930709" w:rsidRDefault="00930709" w:rsidP="00930709">
      <w:pPr>
        <w:pStyle w:val="ListParagraph"/>
        <w:spacing w:line="288" w:lineRule="auto"/>
        <w:ind w:left="360"/>
        <w:jc w:val="both"/>
        <w:rPr>
          <w:szCs w:val="20"/>
        </w:rPr>
      </w:pPr>
    </w:p>
    <w:p w14:paraId="00A53346" w14:textId="77777777" w:rsidR="000078AE" w:rsidRPr="00930709" w:rsidRDefault="00930709" w:rsidP="00750180">
      <w:pPr>
        <w:pStyle w:val="Heading5"/>
        <w:numPr>
          <w:ilvl w:val="4"/>
          <w:numId w:val="127"/>
        </w:numPr>
        <w:spacing w:after="240"/>
      </w:pPr>
      <w:bookmarkStart w:id="547" w:name="_Toc389740059"/>
      <w:bookmarkEnd w:id="546"/>
      <w:r>
        <w:t xml:space="preserve">Jobs Created Through </w:t>
      </w:r>
      <w:r w:rsidR="00443BBB" w:rsidRPr="00930709">
        <w:t xml:space="preserve">EPWP </w:t>
      </w:r>
      <w:bookmarkEnd w:id="547"/>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0"/>
        <w:gridCol w:w="2581"/>
        <w:gridCol w:w="2581"/>
      </w:tblGrid>
      <w:tr w:rsidR="000078AE" w:rsidRPr="00881795" w14:paraId="707968E2" w14:textId="77777777" w:rsidTr="009110BA">
        <w:trPr>
          <w:trHeight w:val="319"/>
        </w:trPr>
        <w:tc>
          <w:tcPr>
            <w:tcW w:w="2580" w:type="dxa"/>
            <w:shd w:val="clear" w:color="auto" w:fill="DAEEF3" w:themeFill="accent5" w:themeFillTint="33"/>
          </w:tcPr>
          <w:p w14:paraId="5CACA82B" w14:textId="77777777" w:rsidR="000078AE" w:rsidRPr="00881795" w:rsidRDefault="000078AE" w:rsidP="009110BA">
            <w:pPr>
              <w:spacing w:after="0"/>
              <w:jc w:val="both"/>
              <w:rPr>
                <w:b/>
                <w:szCs w:val="20"/>
              </w:rPr>
            </w:pPr>
            <w:r w:rsidRPr="00881795">
              <w:rPr>
                <w:b/>
                <w:szCs w:val="20"/>
              </w:rPr>
              <w:t xml:space="preserve">Financial Year </w:t>
            </w:r>
          </w:p>
        </w:tc>
        <w:tc>
          <w:tcPr>
            <w:tcW w:w="2581" w:type="dxa"/>
            <w:shd w:val="clear" w:color="auto" w:fill="DAEEF3" w:themeFill="accent5" w:themeFillTint="33"/>
          </w:tcPr>
          <w:p w14:paraId="66BC6C1C" w14:textId="77777777" w:rsidR="009110BA" w:rsidRDefault="000078AE" w:rsidP="009110BA">
            <w:pPr>
              <w:spacing w:after="0"/>
              <w:jc w:val="both"/>
              <w:rPr>
                <w:b/>
                <w:szCs w:val="20"/>
              </w:rPr>
            </w:pPr>
            <w:r w:rsidRPr="00881795">
              <w:rPr>
                <w:b/>
                <w:szCs w:val="20"/>
              </w:rPr>
              <w:t xml:space="preserve">Work Opportunities </w:t>
            </w:r>
          </w:p>
          <w:p w14:paraId="658C6874" w14:textId="77777777" w:rsidR="000078AE" w:rsidRPr="00881795" w:rsidRDefault="000078AE" w:rsidP="009110BA">
            <w:pPr>
              <w:spacing w:after="0"/>
              <w:jc w:val="both"/>
              <w:rPr>
                <w:b/>
                <w:szCs w:val="20"/>
              </w:rPr>
            </w:pPr>
            <w:r w:rsidRPr="00881795">
              <w:rPr>
                <w:b/>
                <w:szCs w:val="20"/>
              </w:rPr>
              <w:t>(Jobs Created)</w:t>
            </w:r>
          </w:p>
        </w:tc>
        <w:tc>
          <w:tcPr>
            <w:tcW w:w="2581" w:type="dxa"/>
            <w:shd w:val="clear" w:color="auto" w:fill="DAEEF3" w:themeFill="accent5" w:themeFillTint="33"/>
          </w:tcPr>
          <w:p w14:paraId="569014C3" w14:textId="77777777" w:rsidR="000078AE" w:rsidRPr="00881795" w:rsidRDefault="000078AE" w:rsidP="009110BA">
            <w:pPr>
              <w:spacing w:after="0"/>
              <w:jc w:val="both"/>
              <w:rPr>
                <w:b/>
                <w:szCs w:val="20"/>
              </w:rPr>
            </w:pPr>
            <w:r w:rsidRPr="00881795">
              <w:rPr>
                <w:b/>
                <w:szCs w:val="20"/>
              </w:rPr>
              <w:t>Full Time Equivalent</w:t>
            </w:r>
          </w:p>
        </w:tc>
      </w:tr>
      <w:tr w:rsidR="000078AE" w:rsidRPr="00881795" w14:paraId="7AF9CD40" w14:textId="77777777" w:rsidTr="009110BA">
        <w:trPr>
          <w:trHeight w:val="274"/>
        </w:trPr>
        <w:tc>
          <w:tcPr>
            <w:tcW w:w="2580" w:type="dxa"/>
            <w:shd w:val="clear" w:color="auto" w:fill="auto"/>
          </w:tcPr>
          <w:p w14:paraId="7CB9A374" w14:textId="77777777" w:rsidR="000078AE" w:rsidRPr="00881795" w:rsidRDefault="000078AE" w:rsidP="009110BA">
            <w:pPr>
              <w:spacing w:after="0"/>
              <w:jc w:val="both"/>
              <w:rPr>
                <w:szCs w:val="20"/>
              </w:rPr>
            </w:pPr>
            <w:r w:rsidRPr="00881795">
              <w:rPr>
                <w:szCs w:val="20"/>
              </w:rPr>
              <w:t>2011/2012</w:t>
            </w:r>
          </w:p>
        </w:tc>
        <w:tc>
          <w:tcPr>
            <w:tcW w:w="2581" w:type="dxa"/>
            <w:shd w:val="clear" w:color="auto" w:fill="auto"/>
          </w:tcPr>
          <w:p w14:paraId="78C094FE" w14:textId="77777777" w:rsidR="000078AE" w:rsidRPr="00881795" w:rsidRDefault="000078AE" w:rsidP="009110BA">
            <w:pPr>
              <w:spacing w:after="0"/>
              <w:jc w:val="both"/>
              <w:rPr>
                <w:szCs w:val="20"/>
              </w:rPr>
            </w:pPr>
            <w:r w:rsidRPr="00881795">
              <w:rPr>
                <w:szCs w:val="20"/>
              </w:rPr>
              <w:t>370</w:t>
            </w:r>
          </w:p>
        </w:tc>
        <w:tc>
          <w:tcPr>
            <w:tcW w:w="2581" w:type="dxa"/>
            <w:shd w:val="clear" w:color="auto" w:fill="auto"/>
          </w:tcPr>
          <w:p w14:paraId="0F20DE38" w14:textId="77777777" w:rsidR="000078AE" w:rsidRPr="00881795" w:rsidRDefault="000078AE" w:rsidP="009110BA">
            <w:pPr>
              <w:spacing w:after="0"/>
              <w:jc w:val="both"/>
              <w:rPr>
                <w:szCs w:val="20"/>
              </w:rPr>
            </w:pPr>
            <w:r w:rsidRPr="00881795">
              <w:rPr>
                <w:szCs w:val="20"/>
              </w:rPr>
              <w:t>135</w:t>
            </w:r>
          </w:p>
        </w:tc>
      </w:tr>
      <w:tr w:rsidR="000078AE" w:rsidRPr="00881795" w14:paraId="2A451328" w14:textId="77777777" w:rsidTr="009110BA">
        <w:trPr>
          <w:trHeight w:val="267"/>
        </w:trPr>
        <w:tc>
          <w:tcPr>
            <w:tcW w:w="2580" w:type="dxa"/>
            <w:shd w:val="clear" w:color="auto" w:fill="auto"/>
          </w:tcPr>
          <w:p w14:paraId="5C441852" w14:textId="77777777" w:rsidR="000078AE" w:rsidRPr="00881795" w:rsidRDefault="000078AE" w:rsidP="009110BA">
            <w:pPr>
              <w:spacing w:after="0"/>
              <w:jc w:val="both"/>
              <w:rPr>
                <w:szCs w:val="20"/>
              </w:rPr>
            </w:pPr>
            <w:r w:rsidRPr="00881795">
              <w:rPr>
                <w:szCs w:val="20"/>
              </w:rPr>
              <w:t>2012/2013</w:t>
            </w:r>
          </w:p>
        </w:tc>
        <w:tc>
          <w:tcPr>
            <w:tcW w:w="2581" w:type="dxa"/>
            <w:shd w:val="clear" w:color="auto" w:fill="auto"/>
          </w:tcPr>
          <w:p w14:paraId="3B65D63C" w14:textId="77777777" w:rsidR="000078AE" w:rsidRPr="00881795" w:rsidRDefault="000078AE" w:rsidP="009110BA">
            <w:pPr>
              <w:spacing w:after="0"/>
              <w:jc w:val="both"/>
              <w:rPr>
                <w:szCs w:val="20"/>
              </w:rPr>
            </w:pPr>
            <w:r w:rsidRPr="00881795">
              <w:rPr>
                <w:szCs w:val="20"/>
              </w:rPr>
              <w:t>481</w:t>
            </w:r>
          </w:p>
        </w:tc>
        <w:tc>
          <w:tcPr>
            <w:tcW w:w="2581" w:type="dxa"/>
            <w:shd w:val="clear" w:color="auto" w:fill="auto"/>
          </w:tcPr>
          <w:p w14:paraId="4CD88A79" w14:textId="77777777" w:rsidR="000078AE" w:rsidRPr="00881795" w:rsidRDefault="000078AE" w:rsidP="009110BA">
            <w:pPr>
              <w:spacing w:after="0"/>
              <w:jc w:val="both"/>
              <w:rPr>
                <w:szCs w:val="20"/>
              </w:rPr>
            </w:pPr>
            <w:r w:rsidRPr="00881795">
              <w:rPr>
                <w:szCs w:val="20"/>
              </w:rPr>
              <w:t>175</w:t>
            </w:r>
          </w:p>
        </w:tc>
      </w:tr>
      <w:tr w:rsidR="000078AE" w:rsidRPr="00881795" w14:paraId="04073FDA" w14:textId="77777777" w:rsidTr="009110BA">
        <w:trPr>
          <w:trHeight w:val="274"/>
        </w:trPr>
        <w:tc>
          <w:tcPr>
            <w:tcW w:w="2580" w:type="dxa"/>
            <w:shd w:val="clear" w:color="auto" w:fill="auto"/>
          </w:tcPr>
          <w:p w14:paraId="36FCBF25" w14:textId="77777777" w:rsidR="000078AE" w:rsidRPr="00C92441" w:rsidRDefault="000078AE" w:rsidP="009110BA">
            <w:pPr>
              <w:spacing w:after="0"/>
              <w:jc w:val="both"/>
              <w:rPr>
                <w:szCs w:val="20"/>
              </w:rPr>
            </w:pPr>
            <w:r w:rsidRPr="00C92441">
              <w:rPr>
                <w:szCs w:val="20"/>
              </w:rPr>
              <w:t>2013/2014</w:t>
            </w:r>
          </w:p>
        </w:tc>
        <w:tc>
          <w:tcPr>
            <w:tcW w:w="2581" w:type="dxa"/>
            <w:shd w:val="clear" w:color="auto" w:fill="auto"/>
          </w:tcPr>
          <w:p w14:paraId="193DD193" w14:textId="77777777" w:rsidR="000078AE" w:rsidRPr="00C92441" w:rsidRDefault="000078AE" w:rsidP="009110BA">
            <w:pPr>
              <w:spacing w:after="0"/>
              <w:jc w:val="both"/>
              <w:rPr>
                <w:szCs w:val="20"/>
              </w:rPr>
            </w:pPr>
            <w:r w:rsidRPr="00C92441">
              <w:rPr>
                <w:szCs w:val="20"/>
              </w:rPr>
              <w:t>605</w:t>
            </w:r>
          </w:p>
        </w:tc>
        <w:tc>
          <w:tcPr>
            <w:tcW w:w="2581" w:type="dxa"/>
            <w:shd w:val="clear" w:color="auto" w:fill="auto"/>
          </w:tcPr>
          <w:p w14:paraId="739DB3CA" w14:textId="77777777" w:rsidR="000078AE" w:rsidRPr="00C92441" w:rsidRDefault="000078AE" w:rsidP="009110BA">
            <w:pPr>
              <w:spacing w:after="0"/>
              <w:jc w:val="both"/>
              <w:rPr>
                <w:szCs w:val="20"/>
              </w:rPr>
            </w:pPr>
            <w:r w:rsidRPr="00C92441">
              <w:rPr>
                <w:szCs w:val="20"/>
              </w:rPr>
              <w:t>218</w:t>
            </w:r>
          </w:p>
        </w:tc>
      </w:tr>
      <w:tr w:rsidR="00C22C00" w:rsidRPr="00881795" w14:paraId="64577AA1" w14:textId="77777777" w:rsidTr="009110BA">
        <w:trPr>
          <w:trHeight w:val="274"/>
        </w:trPr>
        <w:tc>
          <w:tcPr>
            <w:tcW w:w="2580" w:type="dxa"/>
            <w:shd w:val="clear" w:color="auto" w:fill="auto"/>
          </w:tcPr>
          <w:p w14:paraId="25293E3A" w14:textId="77777777" w:rsidR="00C22C00" w:rsidRPr="00C92441" w:rsidRDefault="00C22C00" w:rsidP="009110BA">
            <w:pPr>
              <w:spacing w:after="0"/>
              <w:jc w:val="both"/>
              <w:rPr>
                <w:szCs w:val="20"/>
              </w:rPr>
            </w:pPr>
            <w:r w:rsidRPr="00C92441">
              <w:rPr>
                <w:szCs w:val="20"/>
              </w:rPr>
              <w:t>2014/2015</w:t>
            </w:r>
          </w:p>
        </w:tc>
        <w:tc>
          <w:tcPr>
            <w:tcW w:w="2581" w:type="dxa"/>
            <w:shd w:val="clear" w:color="auto" w:fill="auto"/>
          </w:tcPr>
          <w:p w14:paraId="3A44FB1B" w14:textId="77777777" w:rsidR="00C22C00" w:rsidRPr="00C92441" w:rsidRDefault="00C22C00" w:rsidP="009110BA">
            <w:pPr>
              <w:spacing w:after="0"/>
              <w:jc w:val="both"/>
              <w:rPr>
                <w:szCs w:val="20"/>
              </w:rPr>
            </w:pPr>
            <w:r w:rsidRPr="00C92441">
              <w:rPr>
                <w:szCs w:val="20"/>
              </w:rPr>
              <w:t>1010</w:t>
            </w:r>
          </w:p>
        </w:tc>
        <w:tc>
          <w:tcPr>
            <w:tcW w:w="2581" w:type="dxa"/>
            <w:shd w:val="clear" w:color="auto" w:fill="auto"/>
          </w:tcPr>
          <w:p w14:paraId="036211F4" w14:textId="77777777" w:rsidR="00C22C00" w:rsidRPr="00C92441" w:rsidRDefault="00C22C00" w:rsidP="009110BA">
            <w:pPr>
              <w:spacing w:after="0"/>
              <w:jc w:val="both"/>
              <w:rPr>
                <w:szCs w:val="20"/>
              </w:rPr>
            </w:pPr>
            <w:r w:rsidRPr="00C92441">
              <w:rPr>
                <w:szCs w:val="20"/>
              </w:rPr>
              <w:t>825</w:t>
            </w:r>
          </w:p>
        </w:tc>
      </w:tr>
      <w:tr w:rsidR="00C92441" w:rsidRPr="00881795" w14:paraId="06C5920E" w14:textId="77777777" w:rsidTr="009110BA">
        <w:trPr>
          <w:trHeight w:val="274"/>
        </w:trPr>
        <w:tc>
          <w:tcPr>
            <w:tcW w:w="2580" w:type="dxa"/>
            <w:shd w:val="clear" w:color="auto" w:fill="auto"/>
          </w:tcPr>
          <w:p w14:paraId="0B086D26" w14:textId="77777777" w:rsidR="00C92441" w:rsidRPr="009110BA" w:rsidRDefault="00C92441" w:rsidP="009110BA">
            <w:pPr>
              <w:spacing w:after="0"/>
              <w:jc w:val="both"/>
              <w:rPr>
                <w:szCs w:val="20"/>
              </w:rPr>
            </w:pPr>
            <w:r w:rsidRPr="009110BA">
              <w:rPr>
                <w:szCs w:val="20"/>
              </w:rPr>
              <w:t>2015/16</w:t>
            </w:r>
          </w:p>
        </w:tc>
        <w:tc>
          <w:tcPr>
            <w:tcW w:w="2581" w:type="dxa"/>
            <w:shd w:val="clear" w:color="auto" w:fill="auto"/>
          </w:tcPr>
          <w:p w14:paraId="5D500B8B" w14:textId="77777777" w:rsidR="00C92441" w:rsidRPr="009110BA" w:rsidRDefault="00C92441" w:rsidP="009110BA">
            <w:pPr>
              <w:spacing w:after="0"/>
              <w:jc w:val="both"/>
              <w:rPr>
                <w:szCs w:val="20"/>
              </w:rPr>
            </w:pPr>
            <w:r w:rsidRPr="009110BA">
              <w:rPr>
                <w:szCs w:val="20"/>
              </w:rPr>
              <w:t>1650</w:t>
            </w:r>
          </w:p>
        </w:tc>
        <w:tc>
          <w:tcPr>
            <w:tcW w:w="2581" w:type="dxa"/>
            <w:shd w:val="clear" w:color="auto" w:fill="auto"/>
          </w:tcPr>
          <w:p w14:paraId="62D7AAF0" w14:textId="77777777" w:rsidR="00C92441" w:rsidRPr="009110BA" w:rsidRDefault="00C92441" w:rsidP="009110BA">
            <w:pPr>
              <w:spacing w:after="0"/>
              <w:jc w:val="both"/>
              <w:rPr>
                <w:szCs w:val="20"/>
              </w:rPr>
            </w:pPr>
            <w:r w:rsidRPr="009110BA">
              <w:rPr>
                <w:szCs w:val="20"/>
              </w:rPr>
              <w:t>1585</w:t>
            </w:r>
          </w:p>
        </w:tc>
      </w:tr>
      <w:tr w:rsidR="00752920" w:rsidRPr="00881795" w14:paraId="5BFE389D" w14:textId="77777777" w:rsidTr="008B38AB">
        <w:trPr>
          <w:trHeight w:val="267"/>
        </w:trPr>
        <w:tc>
          <w:tcPr>
            <w:tcW w:w="2580" w:type="dxa"/>
            <w:shd w:val="clear" w:color="auto" w:fill="FFFFFF" w:themeFill="background1"/>
          </w:tcPr>
          <w:p w14:paraId="6480E6E5" w14:textId="77777777" w:rsidR="00752920" w:rsidRPr="008B38AB" w:rsidRDefault="00752920" w:rsidP="009110BA">
            <w:pPr>
              <w:spacing w:after="0"/>
              <w:jc w:val="both"/>
              <w:rPr>
                <w:szCs w:val="20"/>
              </w:rPr>
            </w:pPr>
            <w:r w:rsidRPr="008B38AB">
              <w:rPr>
                <w:szCs w:val="20"/>
              </w:rPr>
              <w:t>2016/17</w:t>
            </w:r>
          </w:p>
        </w:tc>
        <w:tc>
          <w:tcPr>
            <w:tcW w:w="2581" w:type="dxa"/>
            <w:shd w:val="clear" w:color="auto" w:fill="FFFFFF" w:themeFill="background1"/>
          </w:tcPr>
          <w:p w14:paraId="4026C7CB" w14:textId="77777777" w:rsidR="00752920" w:rsidRPr="008B38AB" w:rsidRDefault="009110BA" w:rsidP="009110BA">
            <w:pPr>
              <w:spacing w:after="0"/>
              <w:jc w:val="both"/>
              <w:rPr>
                <w:szCs w:val="20"/>
              </w:rPr>
            </w:pPr>
            <w:r w:rsidRPr="008B38AB">
              <w:rPr>
                <w:szCs w:val="20"/>
              </w:rPr>
              <w:t>1650</w:t>
            </w:r>
          </w:p>
        </w:tc>
        <w:tc>
          <w:tcPr>
            <w:tcW w:w="2581" w:type="dxa"/>
            <w:shd w:val="clear" w:color="auto" w:fill="FFFFFF" w:themeFill="background1"/>
          </w:tcPr>
          <w:p w14:paraId="2ACB801A" w14:textId="77777777" w:rsidR="00752920" w:rsidRPr="008B38AB" w:rsidRDefault="009110BA" w:rsidP="009110BA">
            <w:pPr>
              <w:spacing w:after="0"/>
              <w:jc w:val="both"/>
              <w:rPr>
                <w:szCs w:val="20"/>
              </w:rPr>
            </w:pPr>
            <w:r w:rsidRPr="008B38AB">
              <w:rPr>
                <w:szCs w:val="20"/>
              </w:rPr>
              <w:t>661</w:t>
            </w:r>
          </w:p>
        </w:tc>
      </w:tr>
      <w:tr w:rsidR="008B38AB" w:rsidRPr="00881795" w14:paraId="5AE214E2" w14:textId="77777777" w:rsidTr="009110BA">
        <w:trPr>
          <w:trHeight w:val="267"/>
        </w:trPr>
        <w:tc>
          <w:tcPr>
            <w:tcW w:w="2580" w:type="dxa"/>
            <w:shd w:val="clear" w:color="auto" w:fill="E5DFEC" w:themeFill="accent4" w:themeFillTint="33"/>
          </w:tcPr>
          <w:p w14:paraId="72AE2686" w14:textId="2E47FECA" w:rsidR="008B38AB" w:rsidRDefault="008B38AB" w:rsidP="009110BA">
            <w:pPr>
              <w:spacing w:after="0"/>
              <w:jc w:val="both"/>
              <w:rPr>
                <w:b/>
                <w:szCs w:val="20"/>
              </w:rPr>
            </w:pPr>
            <w:r>
              <w:rPr>
                <w:b/>
                <w:szCs w:val="20"/>
              </w:rPr>
              <w:t>2017/18</w:t>
            </w:r>
          </w:p>
        </w:tc>
        <w:tc>
          <w:tcPr>
            <w:tcW w:w="2581" w:type="dxa"/>
            <w:shd w:val="clear" w:color="auto" w:fill="E5DFEC" w:themeFill="accent4" w:themeFillTint="33"/>
          </w:tcPr>
          <w:p w14:paraId="1E08C716" w14:textId="69F6ED79" w:rsidR="008B38AB" w:rsidRDefault="008B38AB" w:rsidP="009110BA">
            <w:pPr>
              <w:spacing w:after="0"/>
              <w:jc w:val="both"/>
              <w:rPr>
                <w:b/>
                <w:szCs w:val="20"/>
              </w:rPr>
            </w:pPr>
            <w:r>
              <w:rPr>
                <w:b/>
                <w:szCs w:val="20"/>
              </w:rPr>
              <w:t>650</w:t>
            </w:r>
          </w:p>
        </w:tc>
        <w:tc>
          <w:tcPr>
            <w:tcW w:w="2581" w:type="dxa"/>
            <w:shd w:val="clear" w:color="auto" w:fill="E5DFEC" w:themeFill="accent4" w:themeFillTint="33"/>
          </w:tcPr>
          <w:p w14:paraId="51CA59C1" w14:textId="5D9D01F1" w:rsidR="008B38AB" w:rsidRDefault="008B38AB" w:rsidP="009110BA">
            <w:pPr>
              <w:spacing w:after="0"/>
              <w:jc w:val="both"/>
              <w:rPr>
                <w:b/>
                <w:szCs w:val="20"/>
              </w:rPr>
            </w:pPr>
            <w:r>
              <w:rPr>
                <w:b/>
                <w:szCs w:val="20"/>
              </w:rPr>
              <w:t>745</w:t>
            </w:r>
          </w:p>
        </w:tc>
      </w:tr>
    </w:tbl>
    <w:p w14:paraId="42CED0B4" w14:textId="77777777" w:rsidR="000078AE" w:rsidRPr="00881795" w:rsidRDefault="008124D9" w:rsidP="00930709">
      <w:pPr>
        <w:pStyle w:val="Caption"/>
      </w:pPr>
      <w:r>
        <w:br w:type="textWrapping" w:clear="all"/>
      </w:r>
      <w:bookmarkStart w:id="548" w:name="_Toc510622338"/>
      <w:r w:rsidR="00930709">
        <w:t xml:space="preserve">Table </w:t>
      </w:r>
      <w:r w:rsidR="00B918A6">
        <w:fldChar w:fldCharType="begin"/>
      </w:r>
      <w:r w:rsidR="00B918A6">
        <w:instrText xml:space="preserve"> SEQ Table \* ARABIC </w:instrText>
      </w:r>
      <w:r w:rsidR="00B918A6">
        <w:fldChar w:fldCharType="separate"/>
      </w:r>
      <w:r w:rsidR="0067023A">
        <w:rPr>
          <w:noProof/>
        </w:rPr>
        <w:t>87</w:t>
      </w:r>
      <w:r w:rsidR="00B918A6">
        <w:rPr>
          <w:noProof/>
        </w:rPr>
        <w:fldChar w:fldCharType="end"/>
      </w:r>
      <w:r w:rsidR="00930709">
        <w:t>: Job Creation through EPWP</w:t>
      </w:r>
      <w:bookmarkEnd w:id="548"/>
    </w:p>
    <w:p w14:paraId="37CD275B" w14:textId="0273AD47" w:rsidR="00D719DB" w:rsidRPr="00D719DB" w:rsidRDefault="000078AE" w:rsidP="001B4AC4">
      <w:pPr>
        <w:jc w:val="both"/>
        <w:rPr>
          <w:szCs w:val="20"/>
        </w:rPr>
      </w:pPr>
      <w:r w:rsidRPr="00881795">
        <w:rPr>
          <w:szCs w:val="20"/>
        </w:rPr>
        <w:t>Below is the list of projects identified for the EPWP with regards to job creation within the u</w:t>
      </w:r>
      <w:r w:rsidR="00C92441">
        <w:rPr>
          <w:szCs w:val="20"/>
        </w:rPr>
        <w:t>Mlalazi Municipality in the 201</w:t>
      </w:r>
      <w:r w:rsidR="00D719DB">
        <w:rPr>
          <w:szCs w:val="20"/>
        </w:rPr>
        <w:t>7</w:t>
      </w:r>
      <w:r w:rsidRPr="00881795">
        <w:rPr>
          <w:szCs w:val="20"/>
        </w:rPr>
        <w:t>/ 201</w:t>
      </w:r>
      <w:r w:rsidR="00D719DB">
        <w:rPr>
          <w:szCs w:val="20"/>
        </w:rPr>
        <w:t>8</w:t>
      </w:r>
      <w:r w:rsidR="00173B5E">
        <w:rPr>
          <w:szCs w:val="20"/>
        </w:rPr>
        <w:t xml:space="preserve"> </w:t>
      </w:r>
      <w:r w:rsidRPr="00881795">
        <w:rPr>
          <w:szCs w:val="20"/>
        </w:rPr>
        <w:t>Financial Year: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3981"/>
        <w:gridCol w:w="1542"/>
      </w:tblGrid>
      <w:tr w:rsidR="00D719DB" w:rsidRPr="00D719DB" w14:paraId="621B4F14" w14:textId="77777777" w:rsidTr="001B4AC4">
        <w:trPr>
          <w:trHeight w:val="497"/>
        </w:trPr>
        <w:tc>
          <w:tcPr>
            <w:tcW w:w="5444" w:type="dxa"/>
            <w:gridSpan w:val="2"/>
            <w:shd w:val="clear" w:color="auto" w:fill="F2F2F2"/>
          </w:tcPr>
          <w:p w14:paraId="546B9C82" w14:textId="77777777" w:rsidR="00D719DB" w:rsidRPr="00D719DB" w:rsidRDefault="00D719DB" w:rsidP="00D719DB">
            <w:pPr>
              <w:spacing w:after="0" w:line="240" w:lineRule="auto"/>
              <w:rPr>
                <w:szCs w:val="20"/>
              </w:rPr>
            </w:pPr>
            <w:r w:rsidRPr="00D719DB">
              <w:rPr>
                <w:szCs w:val="20"/>
              </w:rPr>
              <w:t>Job creation programmes</w:t>
            </w:r>
          </w:p>
        </w:tc>
        <w:tc>
          <w:tcPr>
            <w:tcW w:w="1542" w:type="dxa"/>
            <w:shd w:val="clear" w:color="auto" w:fill="F2F2F2"/>
          </w:tcPr>
          <w:p w14:paraId="3F6007E2" w14:textId="77777777" w:rsidR="00D719DB" w:rsidRPr="00D719DB" w:rsidRDefault="00D719DB" w:rsidP="00D719DB">
            <w:pPr>
              <w:spacing w:after="0" w:line="240" w:lineRule="auto"/>
              <w:rPr>
                <w:szCs w:val="20"/>
              </w:rPr>
            </w:pPr>
            <w:r w:rsidRPr="00D719DB">
              <w:rPr>
                <w:szCs w:val="20"/>
              </w:rPr>
              <w:t>No of jobs created</w:t>
            </w:r>
          </w:p>
        </w:tc>
      </w:tr>
      <w:tr w:rsidR="00D719DB" w:rsidRPr="00D719DB" w14:paraId="50ED3661" w14:textId="77777777" w:rsidTr="001B4AC4">
        <w:trPr>
          <w:trHeight w:val="234"/>
        </w:trPr>
        <w:tc>
          <w:tcPr>
            <w:tcW w:w="1463" w:type="dxa"/>
            <w:shd w:val="clear" w:color="auto" w:fill="auto"/>
          </w:tcPr>
          <w:p w14:paraId="4CB59445" w14:textId="77777777" w:rsidR="00D719DB" w:rsidRPr="00D719DB" w:rsidRDefault="00D719DB" w:rsidP="00D719DB">
            <w:pPr>
              <w:spacing w:after="0" w:line="240" w:lineRule="auto"/>
              <w:rPr>
                <w:szCs w:val="20"/>
              </w:rPr>
            </w:pPr>
            <w:r w:rsidRPr="00D719DB">
              <w:rPr>
                <w:szCs w:val="20"/>
              </w:rPr>
              <w:t>Sector</w:t>
            </w:r>
          </w:p>
        </w:tc>
        <w:tc>
          <w:tcPr>
            <w:tcW w:w="3980" w:type="dxa"/>
            <w:shd w:val="clear" w:color="auto" w:fill="auto"/>
          </w:tcPr>
          <w:p w14:paraId="6D060B62" w14:textId="77777777" w:rsidR="00D719DB" w:rsidRPr="00D719DB" w:rsidRDefault="00D719DB" w:rsidP="00D719DB">
            <w:pPr>
              <w:spacing w:after="0" w:line="240" w:lineRule="auto"/>
              <w:rPr>
                <w:szCs w:val="20"/>
              </w:rPr>
            </w:pPr>
            <w:r w:rsidRPr="00D719DB">
              <w:rPr>
                <w:szCs w:val="20"/>
              </w:rPr>
              <w:t xml:space="preserve">Name of the programme </w:t>
            </w:r>
          </w:p>
        </w:tc>
        <w:tc>
          <w:tcPr>
            <w:tcW w:w="1542" w:type="dxa"/>
            <w:shd w:val="clear" w:color="auto" w:fill="auto"/>
          </w:tcPr>
          <w:p w14:paraId="1BEF9328" w14:textId="77777777" w:rsidR="00D719DB" w:rsidRPr="00D719DB" w:rsidRDefault="00D719DB" w:rsidP="00D719DB">
            <w:pPr>
              <w:spacing w:after="0" w:line="240" w:lineRule="auto"/>
              <w:jc w:val="both"/>
              <w:rPr>
                <w:szCs w:val="20"/>
              </w:rPr>
            </w:pPr>
          </w:p>
        </w:tc>
      </w:tr>
      <w:tr w:rsidR="00D719DB" w:rsidRPr="00D719DB" w14:paraId="0E7F4FFB" w14:textId="77777777" w:rsidTr="001B4AC4">
        <w:trPr>
          <w:trHeight w:val="249"/>
        </w:trPr>
        <w:tc>
          <w:tcPr>
            <w:tcW w:w="1463" w:type="dxa"/>
            <w:vMerge w:val="restart"/>
            <w:shd w:val="clear" w:color="auto" w:fill="auto"/>
          </w:tcPr>
          <w:p w14:paraId="374C00B4" w14:textId="77777777" w:rsidR="00D719DB" w:rsidRPr="00D719DB" w:rsidRDefault="00D719DB" w:rsidP="00D719DB">
            <w:pPr>
              <w:spacing w:after="0" w:line="240" w:lineRule="auto"/>
              <w:rPr>
                <w:szCs w:val="20"/>
              </w:rPr>
            </w:pPr>
            <w:r w:rsidRPr="00D719DB">
              <w:rPr>
                <w:szCs w:val="20"/>
              </w:rPr>
              <w:t>Environment</w:t>
            </w:r>
          </w:p>
        </w:tc>
        <w:tc>
          <w:tcPr>
            <w:tcW w:w="3980" w:type="dxa"/>
            <w:shd w:val="clear" w:color="auto" w:fill="auto"/>
          </w:tcPr>
          <w:p w14:paraId="79C3CE95" w14:textId="77777777" w:rsidR="00D719DB" w:rsidRPr="00D719DB" w:rsidRDefault="00D719DB" w:rsidP="00D719DB">
            <w:pPr>
              <w:spacing w:after="0" w:line="240" w:lineRule="auto"/>
              <w:rPr>
                <w:szCs w:val="20"/>
              </w:rPr>
            </w:pPr>
            <w:r w:rsidRPr="00D719DB">
              <w:rPr>
                <w:szCs w:val="20"/>
              </w:rPr>
              <w:t>IG/ War Against Poverty</w:t>
            </w:r>
          </w:p>
        </w:tc>
        <w:tc>
          <w:tcPr>
            <w:tcW w:w="1542" w:type="dxa"/>
            <w:shd w:val="clear" w:color="auto" w:fill="auto"/>
          </w:tcPr>
          <w:p w14:paraId="67D9181F" w14:textId="77777777" w:rsidR="00D719DB" w:rsidRPr="00D719DB" w:rsidRDefault="00D719DB" w:rsidP="00D719DB">
            <w:pPr>
              <w:spacing w:after="0" w:line="240" w:lineRule="auto"/>
              <w:jc w:val="center"/>
              <w:rPr>
                <w:szCs w:val="20"/>
              </w:rPr>
            </w:pPr>
            <w:r w:rsidRPr="00D719DB">
              <w:rPr>
                <w:szCs w:val="20"/>
              </w:rPr>
              <w:t>105</w:t>
            </w:r>
          </w:p>
        </w:tc>
      </w:tr>
      <w:tr w:rsidR="00D719DB" w:rsidRPr="00D719DB" w14:paraId="1E330F6F" w14:textId="77777777" w:rsidTr="001B4AC4">
        <w:trPr>
          <w:trHeight w:val="511"/>
        </w:trPr>
        <w:tc>
          <w:tcPr>
            <w:tcW w:w="1463" w:type="dxa"/>
            <w:vMerge/>
            <w:shd w:val="clear" w:color="auto" w:fill="auto"/>
          </w:tcPr>
          <w:p w14:paraId="452C072E" w14:textId="77777777" w:rsidR="00D719DB" w:rsidRPr="00D719DB" w:rsidRDefault="00D719DB" w:rsidP="00D719DB">
            <w:pPr>
              <w:spacing w:after="0" w:line="240" w:lineRule="auto"/>
              <w:rPr>
                <w:szCs w:val="20"/>
              </w:rPr>
            </w:pPr>
          </w:p>
        </w:tc>
        <w:tc>
          <w:tcPr>
            <w:tcW w:w="3980" w:type="dxa"/>
            <w:shd w:val="clear" w:color="auto" w:fill="auto"/>
          </w:tcPr>
          <w:p w14:paraId="451C55FD" w14:textId="77777777" w:rsidR="00D719DB" w:rsidRPr="00D719DB" w:rsidRDefault="00D719DB" w:rsidP="00D719DB">
            <w:pPr>
              <w:spacing w:after="0" w:line="240" w:lineRule="auto"/>
              <w:rPr>
                <w:szCs w:val="20"/>
              </w:rPr>
            </w:pPr>
            <w:r w:rsidRPr="00D719DB">
              <w:rPr>
                <w:szCs w:val="20"/>
              </w:rPr>
              <w:t>IG/ Umlalazi  Fire Prevention and Protection</w:t>
            </w:r>
            <w:r w:rsidRPr="00D719DB">
              <w:rPr>
                <w:szCs w:val="20"/>
              </w:rPr>
              <w:tab/>
            </w:r>
          </w:p>
        </w:tc>
        <w:tc>
          <w:tcPr>
            <w:tcW w:w="1542" w:type="dxa"/>
            <w:shd w:val="clear" w:color="auto" w:fill="auto"/>
          </w:tcPr>
          <w:p w14:paraId="6B1BA26D" w14:textId="77777777" w:rsidR="00D719DB" w:rsidRPr="00D719DB" w:rsidRDefault="00D719DB" w:rsidP="00D719DB">
            <w:pPr>
              <w:spacing w:after="0" w:line="240" w:lineRule="auto"/>
              <w:jc w:val="center"/>
              <w:rPr>
                <w:szCs w:val="20"/>
              </w:rPr>
            </w:pPr>
            <w:r w:rsidRPr="00D719DB">
              <w:rPr>
                <w:szCs w:val="20"/>
              </w:rPr>
              <w:t>21</w:t>
            </w:r>
          </w:p>
        </w:tc>
      </w:tr>
      <w:tr w:rsidR="00D719DB" w:rsidRPr="00D719DB" w14:paraId="4C5AB0DB" w14:textId="77777777" w:rsidTr="001B4AC4">
        <w:trPr>
          <w:trHeight w:val="234"/>
        </w:trPr>
        <w:tc>
          <w:tcPr>
            <w:tcW w:w="1463" w:type="dxa"/>
            <w:vMerge w:val="restart"/>
            <w:shd w:val="clear" w:color="auto" w:fill="auto"/>
          </w:tcPr>
          <w:p w14:paraId="27E3D517" w14:textId="77777777" w:rsidR="00D719DB" w:rsidRPr="00D719DB" w:rsidRDefault="00D719DB" w:rsidP="00D719DB">
            <w:pPr>
              <w:spacing w:after="0" w:line="240" w:lineRule="auto"/>
              <w:rPr>
                <w:szCs w:val="20"/>
              </w:rPr>
            </w:pPr>
            <w:r w:rsidRPr="00D719DB">
              <w:rPr>
                <w:szCs w:val="20"/>
              </w:rPr>
              <w:t>Social</w:t>
            </w:r>
          </w:p>
        </w:tc>
        <w:tc>
          <w:tcPr>
            <w:tcW w:w="3980" w:type="dxa"/>
            <w:shd w:val="clear" w:color="auto" w:fill="auto"/>
          </w:tcPr>
          <w:p w14:paraId="6A729CEF" w14:textId="77777777" w:rsidR="00D719DB" w:rsidRPr="00D719DB" w:rsidRDefault="00D719DB" w:rsidP="00D719DB">
            <w:pPr>
              <w:spacing w:after="0" w:line="240" w:lineRule="auto"/>
              <w:rPr>
                <w:szCs w:val="20"/>
              </w:rPr>
            </w:pPr>
            <w:r w:rsidRPr="00D719DB">
              <w:rPr>
                <w:szCs w:val="20"/>
              </w:rPr>
              <w:t>IG/ School Safety</w:t>
            </w:r>
          </w:p>
        </w:tc>
        <w:tc>
          <w:tcPr>
            <w:tcW w:w="1542" w:type="dxa"/>
            <w:shd w:val="clear" w:color="auto" w:fill="auto"/>
          </w:tcPr>
          <w:p w14:paraId="49FB64E6" w14:textId="77777777" w:rsidR="00D719DB" w:rsidRPr="00D719DB" w:rsidRDefault="00D719DB" w:rsidP="00D719DB">
            <w:pPr>
              <w:spacing w:after="0" w:line="240" w:lineRule="auto"/>
              <w:jc w:val="center"/>
              <w:rPr>
                <w:szCs w:val="20"/>
              </w:rPr>
            </w:pPr>
            <w:r w:rsidRPr="00D719DB">
              <w:rPr>
                <w:szCs w:val="20"/>
              </w:rPr>
              <w:t>39</w:t>
            </w:r>
          </w:p>
        </w:tc>
      </w:tr>
      <w:tr w:rsidR="00D719DB" w:rsidRPr="00D719DB" w14:paraId="73841C10" w14:textId="77777777" w:rsidTr="001B4AC4">
        <w:trPr>
          <w:trHeight w:val="759"/>
        </w:trPr>
        <w:tc>
          <w:tcPr>
            <w:tcW w:w="1463" w:type="dxa"/>
            <w:vMerge/>
            <w:shd w:val="clear" w:color="auto" w:fill="auto"/>
          </w:tcPr>
          <w:p w14:paraId="4E3FB193" w14:textId="77777777" w:rsidR="00D719DB" w:rsidRPr="00D719DB" w:rsidRDefault="00D719DB" w:rsidP="00D719DB">
            <w:pPr>
              <w:spacing w:after="0" w:line="240" w:lineRule="auto"/>
              <w:rPr>
                <w:szCs w:val="20"/>
              </w:rPr>
            </w:pPr>
          </w:p>
        </w:tc>
        <w:tc>
          <w:tcPr>
            <w:tcW w:w="3980" w:type="dxa"/>
            <w:shd w:val="clear" w:color="auto" w:fill="auto"/>
          </w:tcPr>
          <w:p w14:paraId="7C8C4371" w14:textId="77777777" w:rsidR="00D719DB" w:rsidRPr="00D719DB" w:rsidRDefault="00D719DB" w:rsidP="00D719DB">
            <w:pPr>
              <w:spacing w:after="0" w:line="240" w:lineRule="auto"/>
              <w:rPr>
                <w:szCs w:val="20"/>
              </w:rPr>
            </w:pPr>
            <w:r w:rsidRPr="00D719DB">
              <w:rPr>
                <w:szCs w:val="20"/>
              </w:rPr>
              <w:t>I/G Umlalazi Community based programme</w:t>
            </w:r>
          </w:p>
          <w:p w14:paraId="2C044D99" w14:textId="77777777" w:rsidR="00D719DB" w:rsidRPr="00D719DB" w:rsidRDefault="00D719DB" w:rsidP="00D719DB">
            <w:pPr>
              <w:spacing w:after="0" w:line="240" w:lineRule="auto"/>
              <w:rPr>
                <w:szCs w:val="20"/>
              </w:rPr>
            </w:pPr>
          </w:p>
        </w:tc>
        <w:tc>
          <w:tcPr>
            <w:tcW w:w="1542" w:type="dxa"/>
            <w:shd w:val="clear" w:color="auto" w:fill="auto"/>
          </w:tcPr>
          <w:p w14:paraId="3C21B0B0" w14:textId="77777777" w:rsidR="00D719DB" w:rsidRPr="00D719DB" w:rsidRDefault="00D719DB" w:rsidP="00D719DB">
            <w:pPr>
              <w:spacing w:after="0" w:line="240" w:lineRule="auto"/>
              <w:jc w:val="center"/>
              <w:rPr>
                <w:szCs w:val="20"/>
              </w:rPr>
            </w:pPr>
            <w:r w:rsidRPr="00D719DB">
              <w:rPr>
                <w:szCs w:val="20"/>
              </w:rPr>
              <w:t>28</w:t>
            </w:r>
          </w:p>
        </w:tc>
      </w:tr>
      <w:tr w:rsidR="00D719DB" w:rsidRPr="00D719DB" w14:paraId="47446DBA" w14:textId="77777777" w:rsidTr="001B4AC4">
        <w:trPr>
          <w:trHeight w:val="720"/>
        </w:trPr>
        <w:tc>
          <w:tcPr>
            <w:tcW w:w="1463" w:type="dxa"/>
            <w:shd w:val="clear" w:color="auto" w:fill="auto"/>
          </w:tcPr>
          <w:p w14:paraId="2E3580A2" w14:textId="77777777" w:rsidR="00D719DB" w:rsidRPr="00D719DB" w:rsidRDefault="00D719DB" w:rsidP="00D719DB">
            <w:pPr>
              <w:spacing w:after="0" w:line="240" w:lineRule="auto"/>
              <w:rPr>
                <w:szCs w:val="20"/>
              </w:rPr>
            </w:pPr>
            <w:r w:rsidRPr="00D719DB">
              <w:rPr>
                <w:szCs w:val="20"/>
              </w:rPr>
              <w:t>Infrastructure</w:t>
            </w:r>
          </w:p>
          <w:p w14:paraId="55949334" w14:textId="77777777" w:rsidR="00D719DB" w:rsidRPr="00D719DB" w:rsidRDefault="00D719DB" w:rsidP="00D719DB">
            <w:pPr>
              <w:spacing w:after="0" w:line="240" w:lineRule="auto"/>
              <w:rPr>
                <w:szCs w:val="20"/>
              </w:rPr>
            </w:pPr>
          </w:p>
          <w:p w14:paraId="3FE00F40" w14:textId="77777777" w:rsidR="00D719DB" w:rsidRPr="00D719DB" w:rsidRDefault="00D719DB" w:rsidP="00D719DB">
            <w:pPr>
              <w:spacing w:after="0" w:line="240" w:lineRule="auto"/>
              <w:rPr>
                <w:szCs w:val="20"/>
              </w:rPr>
            </w:pPr>
          </w:p>
        </w:tc>
        <w:tc>
          <w:tcPr>
            <w:tcW w:w="3980" w:type="dxa"/>
            <w:shd w:val="clear" w:color="auto" w:fill="auto"/>
          </w:tcPr>
          <w:p w14:paraId="11B5F088" w14:textId="77777777" w:rsidR="00D719DB" w:rsidRPr="00D719DB" w:rsidRDefault="00D719DB" w:rsidP="00D719DB">
            <w:pPr>
              <w:spacing w:after="0" w:line="240" w:lineRule="auto"/>
              <w:rPr>
                <w:szCs w:val="20"/>
              </w:rPr>
            </w:pPr>
            <w:r w:rsidRPr="00D719DB">
              <w:rPr>
                <w:szCs w:val="20"/>
              </w:rPr>
              <w:t>I/G Cleaning of Sidewalks, road verges and street</w:t>
            </w:r>
          </w:p>
          <w:p w14:paraId="0BD94290" w14:textId="77777777" w:rsidR="00D719DB" w:rsidRPr="00D719DB" w:rsidRDefault="00D719DB" w:rsidP="00D719DB">
            <w:pPr>
              <w:spacing w:after="0" w:line="240" w:lineRule="auto"/>
              <w:rPr>
                <w:szCs w:val="20"/>
              </w:rPr>
            </w:pPr>
          </w:p>
        </w:tc>
        <w:tc>
          <w:tcPr>
            <w:tcW w:w="1542" w:type="dxa"/>
            <w:shd w:val="clear" w:color="auto" w:fill="auto"/>
          </w:tcPr>
          <w:p w14:paraId="28DB47C9" w14:textId="77777777" w:rsidR="00D719DB" w:rsidRPr="00D719DB" w:rsidRDefault="00D719DB" w:rsidP="00D719DB">
            <w:pPr>
              <w:spacing w:after="0" w:line="240" w:lineRule="auto"/>
              <w:jc w:val="center"/>
              <w:rPr>
                <w:szCs w:val="20"/>
              </w:rPr>
            </w:pPr>
            <w:r w:rsidRPr="00D719DB">
              <w:rPr>
                <w:szCs w:val="20"/>
              </w:rPr>
              <w:t>54</w:t>
            </w:r>
          </w:p>
          <w:p w14:paraId="7F5DA9B4" w14:textId="77777777" w:rsidR="00D719DB" w:rsidRPr="00D719DB" w:rsidRDefault="00D719DB" w:rsidP="00D719DB">
            <w:pPr>
              <w:spacing w:after="0" w:line="240" w:lineRule="auto"/>
              <w:jc w:val="center"/>
              <w:rPr>
                <w:szCs w:val="20"/>
              </w:rPr>
            </w:pPr>
          </w:p>
        </w:tc>
      </w:tr>
    </w:tbl>
    <w:p w14:paraId="442F876B" w14:textId="77777777" w:rsidR="00D719DB" w:rsidRPr="00D719DB" w:rsidRDefault="00D719DB" w:rsidP="001B4AC4">
      <w:pPr>
        <w:spacing w:after="0" w:line="240" w:lineRule="auto"/>
        <w:jc w:val="both"/>
        <w:rPr>
          <w:szCs w:val="20"/>
        </w:rPr>
      </w:pPr>
    </w:p>
    <w:tbl>
      <w:tblPr>
        <w:tblW w:w="0" w:type="auto"/>
        <w:tblInd w:w="1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4052"/>
        <w:gridCol w:w="1589"/>
      </w:tblGrid>
      <w:tr w:rsidR="00D719DB" w:rsidRPr="00D719DB" w14:paraId="5A19A745" w14:textId="77777777" w:rsidTr="001B4AC4">
        <w:trPr>
          <w:trHeight w:val="500"/>
        </w:trPr>
        <w:tc>
          <w:tcPr>
            <w:tcW w:w="5487" w:type="dxa"/>
            <w:gridSpan w:val="2"/>
            <w:shd w:val="clear" w:color="auto" w:fill="F2F2F2"/>
          </w:tcPr>
          <w:p w14:paraId="6E6AF187" w14:textId="77777777" w:rsidR="00D719DB" w:rsidRPr="00D719DB" w:rsidRDefault="00D719DB" w:rsidP="00D719DB">
            <w:pPr>
              <w:spacing w:after="0" w:line="240" w:lineRule="auto"/>
              <w:rPr>
                <w:szCs w:val="20"/>
              </w:rPr>
            </w:pPr>
            <w:r w:rsidRPr="00D719DB">
              <w:rPr>
                <w:szCs w:val="20"/>
              </w:rPr>
              <w:t>Job creation programmes</w:t>
            </w:r>
          </w:p>
        </w:tc>
        <w:tc>
          <w:tcPr>
            <w:tcW w:w="1589" w:type="dxa"/>
            <w:shd w:val="clear" w:color="auto" w:fill="F2F2F2"/>
          </w:tcPr>
          <w:p w14:paraId="17C0CA32" w14:textId="77777777" w:rsidR="00D719DB" w:rsidRPr="00D719DB" w:rsidRDefault="00D719DB" w:rsidP="00D719DB">
            <w:pPr>
              <w:spacing w:after="0" w:line="240" w:lineRule="auto"/>
              <w:rPr>
                <w:szCs w:val="20"/>
              </w:rPr>
            </w:pPr>
            <w:r w:rsidRPr="00D719DB">
              <w:rPr>
                <w:szCs w:val="20"/>
              </w:rPr>
              <w:t>No of jobs created</w:t>
            </w:r>
          </w:p>
        </w:tc>
      </w:tr>
      <w:tr w:rsidR="00D719DB" w:rsidRPr="00D719DB" w14:paraId="68B93E43" w14:textId="77777777" w:rsidTr="001B4AC4">
        <w:trPr>
          <w:trHeight w:val="236"/>
        </w:trPr>
        <w:tc>
          <w:tcPr>
            <w:tcW w:w="1435" w:type="dxa"/>
            <w:vMerge w:val="restart"/>
            <w:shd w:val="clear" w:color="auto" w:fill="auto"/>
          </w:tcPr>
          <w:p w14:paraId="2532EA5E" w14:textId="77777777" w:rsidR="00D719DB" w:rsidRPr="00D719DB" w:rsidRDefault="00D719DB" w:rsidP="00D719DB">
            <w:pPr>
              <w:spacing w:after="0" w:line="240" w:lineRule="auto"/>
              <w:rPr>
                <w:szCs w:val="20"/>
              </w:rPr>
            </w:pPr>
            <w:r w:rsidRPr="00D719DB">
              <w:rPr>
                <w:szCs w:val="20"/>
              </w:rPr>
              <w:t>Environment</w:t>
            </w:r>
          </w:p>
        </w:tc>
        <w:tc>
          <w:tcPr>
            <w:tcW w:w="4051" w:type="dxa"/>
            <w:shd w:val="clear" w:color="auto" w:fill="auto"/>
          </w:tcPr>
          <w:p w14:paraId="2D55EBFF" w14:textId="77777777" w:rsidR="00D719DB" w:rsidRPr="00D719DB" w:rsidRDefault="00D719DB" w:rsidP="00D719DB">
            <w:pPr>
              <w:tabs>
                <w:tab w:val="left" w:pos="810"/>
                <w:tab w:val="center" w:pos="1082"/>
              </w:tabs>
              <w:spacing w:after="0" w:line="240" w:lineRule="auto"/>
              <w:rPr>
                <w:szCs w:val="20"/>
              </w:rPr>
            </w:pPr>
            <w:r w:rsidRPr="00D719DB">
              <w:rPr>
                <w:szCs w:val="20"/>
              </w:rPr>
              <w:t>Food For Waste</w:t>
            </w:r>
          </w:p>
        </w:tc>
        <w:tc>
          <w:tcPr>
            <w:tcW w:w="1589" w:type="dxa"/>
            <w:shd w:val="clear" w:color="auto" w:fill="auto"/>
          </w:tcPr>
          <w:p w14:paraId="544B52ED" w14:textId="77777777" w:rsidR="00D719DB" w:rsidRPr="00D719DB" w:rsidRDefault="00D719DB" w:rsidP="00D719DB">
            <w:pPr>
              <w:spacing w:after="0" w:line="240" w:lineRule="auto"/>
              <w:jc w:val="center"/>
              <w:rPr>
                <w:szCs w:val="20"/>
              </w:rPr>
            </w:pPr>
            <w:r w:rsidRPr="00D719DB">
              <w:rPr>
                <w:szCs w:val="20"/>
              </w:rPr>
              <w:t>113</w:t>
            </w:r>
          </w:p>
        </w:tc>
      </w:tr>
      <w:tr w:rsidR="00D719DB" w:rsidRPr="00D719DB" w14:paraId="4BCA2D98" w14:textId="77777777" w:rsidTr="001B4AC4">
        <w:trPr>
          <w:trHeight w:val="263"/>
        </w:trPr>
        <w:tc>
          <w:tcPr>
            <w:tcW w:w="1435" w:type="dxa"/>
            <w:vMerge/>
            <w:shd w:val="clear" w:color="auto" w:fill="auto"/>
          </w:tcPr>
          <w:p w14:paraId="25968D52" w14:textId="77777777" w:rsidR="00D719DB" w:rsidRPr="00D719DB" w:rsidRDefault="00D719DB" w:rsidP="00D719DB">
            <w:pPr>
              <w:spacing w:after="0" w:line="240" w:lineRule="auto"/>
              <w:rPr>
                <w:szCs w:val="20"/>
              </w:rPr>
            </w:pPr>
          </w:p>
        </w:tc>
        <w:tc>
          <w:tcPr>
            <w:tcW w:w="4051" w:type="dxa"/>
            <w:shd w:val="clear" w:color="auto" w:fill="auto"/>
          </w:tcPr>
          <w:p w14:paraId="1BB85BBB" w14:textId="77777777" w:rsidR="00D719DB" w:rsidRPr="00D719DB" w:rsidRDefault="00D719DB" w:rsidP="00D719DB">
            <w:pPr>
              <w:tabs>
                <w:tab w:val="left" w:pos="810"/>
                <w:tab w:val="center" w:pos="1082"/>
              </w:tabs>
              <w:spacing w:after="0" w:line="240" w:lineRule="auto"/>
              <w:rPr>
                <w:szCs w:val="20"/>
              </w:rPr>
            </w:pPr>
            <w:r w:rsidRPr="00D719DB">
              <w:rPr>
                <w:szCs w:val="20"/>
              </w:rPr>
              <w:t>Sizabonke</w:t>
            </w:r>
          </w:p>
        </w:tc>
        <w:tc>
          <w:tcPr>
            <w:tcW w:w="1589" w:type="dxa"/>
            <w:shd w:val="clear" w:color="auto" w:fill="auto"/>
          </w:tcPr>
          <w:p w14:paraId="0AA3DFB7" w14:textId="77777777" w:rsidR="00D719DB" w:rsidRPr="00D719DB" w:rsidRDefault="00D719DB" w:rsidP="00D719DB">
            <w:pPr>
              <w:spacing w:after="0" w:line="240" w:lineRule="auto"/>
              <w:jc w:val="center"/>
              <w:rPr>
                <w:szCs w:val="20"/>
              </w:rPr>
            </w:pPr>
            <w:r w:rsidRPr="00D719DB">
              <w:rPr>
                <w:szCs w:val="20"/>
              </w:rPr>
              <w:t>100</w:t>
            </w:r>
          </w:p>
        </w:tc>
      </w:tr>
      <w:tr w:rsidR="00D719DB" w:rsidRPr="00D719DB" w14:paraId="52C2E21D" w14:textId="77777777" w:rsidTr="001B4AC4">
        <w:trPr>
          <w:trHeight w:val="263"/>
        </w:trPr>
        <w:tc>
          <w:tcPr>
            <w:tcW w:w="1435" w:type="dxa"/>
            <w:vMerge/>
            <w:shd w:val="clear" w:color="auto" w:fill="auto"/>
          </w:tcPr>
          <w:p w14:paraId="26441050" w14:textId="77777777" w:rsidR="00D719DB" w:rsidRPr="00D719DB" w:rsidRDefault="00D719DB" w:rsidP="00D719DB">
            <w:pPr>
              <w:spacing w:after="0" w:line="240" w:lineRule="auto"/>
              <w:rPr>
                <w:szCs w:val="20"/>
              </w:rPr>
            </w:pPr>
          </w:p>
        </w:tc>
        <w:tc>
          <w:tcPr>
            <w:tcW w:w="4051" w:type="dxa"/>
            <w:shd w:val="clear" w:color="auto" w:fill="auto"/>
          </w:tcPr>
          <w:p w14:paraId="1C329CB7" w14:textId="77777777" w:rsidR="00D719DB" w:rsidRPr="00D719DB" w:rsidRDefault="00D719DB" w:rsidP="00D719DB">
            <w:pPr>
              <w:tabs>
                <w:tab w:val="left" w:pos="810"/>
                <w:tab w:val="center" w:pos="1082"/>
              </w:tabs>
              <w:spacing w:after="0" w:line="240" w:lineRule="auto"/>
              <w:rPr>
                <w:szCs w:val="20"/>
              </w:rPr>
            </w:pPr>
            <w:r w:rsidRPr="00D719DB">
              <w:rPr>
                <w:szCs w:val="20"/>
              </w:rPr>
              <w:t>Cemetery Maintenance</w:t>
            </w:r>
          </w:p>
        </w:tc>
        <w:tc>
          <w:tcPr>
            <w:tcW w:w="1589" w:type="dxa"/>
            <w:shd w:val="clear" w:color="auto" w:fill="auto"/>
          </w:tcPr>
          <w:p w14:paraId="5CB2CF2D" w14:textId="77777777" w:rsidR="00D719DB" w:rsidRPr="00D719DB" w:rsidRDefault="00D719DB" w:rsidP="00D719DB">
            <w:pPr>
              <w:spacing w:after="0" w:line="240" w:lineRule="auto"/>
              <w:jc w:val="center"/>
              <w:rPr>
                <w:szCs w:val="20"/>
              </w:rPr>
            </w:pPr>
            <w:r w:rsidRPr="00D719DB">
              <w:rPr>
                <w:szCs w:val="20"/>
              </w:rPr>
              <w:t>4</w:t>
            </w:r>
          </w:p>
        </w:tc>
      </w:tr>
      <w:tr w:rsidR="00D719DB" w:rsidRPr="00D719DB" w14:paraId="7B5DEFF2" w14:textId="77777777" w:rsidTr="001B4AC4">
        <w:trPr>
          <w:trHeight w:val="250"/>
        </w:trPr>
        <w:tc>
          <w:tcPr>
            <w:tcW w:w="1435" w:type="dxa"/>
            <w:shd w:val="clear" w:color="auto" w:fill="auto"/>
          </w:tcPr>
          <w:p w14:paraId="19695A8A" w14:textId="77777777" w:rsidR="00D719DB" w:rsidRPr="00D719DB" w:rsidRDefault="00D719DB" w:rsidP="00D719DB">
            <w:pPr>
              <w:spacing w:after="0" w:line="240" w:lineRule="auto"/>
              <w:rPr>
                <w:szCs w:val="20"/>
              </w:rPr>
            </w:pPr>
            <w:r w:rsidRPr="00D719DB">
              <w:rPr>
                <w:szCs w:val="20"/>
              </w:rPr>
              <w:t>Environment</w:t>
            </w:r>
          </w:p>
        </w:tc>
        <w:tc>
          <w:tcPr>
            <w:tcW w:w="4051" w:type="dxa"/>
            <w:shd w:val="clear" w:color="auto" w:fill="auto"/>
          </w:tcPr>
          <w:p w14:paraId="79C3181A" w14:textId="77777777" w:rsidR="00D719DB" w:rsidRPr="00D719DB" w:rsidRDefault="00D719DB" w:rsidP="00D719DB">
            <w:pPr>
              <w:tabs>
                <w:tab w:val="left" w:pos="810"/>
                <w:tab w:val="center" w:pos="1082"/>
              </w:tabs>
              <w:spacing w:after="0" w:line="240" w:lineRule="auto"/>
              <w:rPr>
                <w:szCs w:val="20"/>
              </w:rPr>
            </w:pPr>
            <w:r w:rsidRPr="00D719DB">
              <w:rPr>
                <w:szCs w:val="20"/>
              </w:rPr>
              <w:t>Refuse contractors</w:t>
            </w:r>
          </w:p>
        </w:tc>
        <w:tc>
          <w:tcPr>
            <w:tcW w:w="1589" w:type="dxa"/>
            <w:shd w:val="clear" w:color="auto" w:fill="auto"/>
          </w:tcPr>
          <w:p w14:paraId="4C809195" w14:textId="77777777" w:rsidR="00D719DB" w:rsidRPr="00D719DB" w:rsidRDefault="00D719DB" w:rsidP="00D719DB">
            <w:pPr>
              <w:spacing w:after="0" w:line="240" w:lineRule="auto"/>
              <w:jc w:val="center"/>
              <w:rPr>
                <w:szCs w:val="20"/>
              </w:rPr>
            </w:pPr>
            <w:r w:rsidRPr="00D719DB">
              <w:rPr>
                <w:szCs w:val="20"/>
              </w:rPr>
              <w:t>19</w:t>
            </w:r>
          </w:p>
        </w:tc>
      </w:tr>
      <w:tr w:rsidR="00D719DB" w:rsidRPr="00D719DB" w14:paraId="52863E44" w14:textId="77777777" w:rsidTr="001B4AC4">
        <w:trPr>
          <w:trHeight w:val="236"/>
        </w:trPr>
        <w:tc>
          <w:tcPr>
            <w:tcW w:w="1435" w:type="dxa"/>
            <w:shd w:val="clear" w:color="auto" w:fill="auto"/>
          </w:tcPr>
          <w:p w14:paraId="5DCB098E" w14:textId="77777777" w:rsidR="00D719DB" w:rsidRPr="00D719DB" w:rsidRDefault="00D719DB" w:rsidP="00D719DB">
            <w:pPr>
              <w:spacing w:after="0" w:line="240" w:lineRule="auto"/>
              <w:rPr>
                <w:szCs w:val="20"/>
              </w:rPr>
            </w:pPr>
          </w:p>
        </w:tc>
        <w:tc>
          <w:tcPr>
            <w:tcW w:w="4051" w:type="dxa"/>
            <w:shd w:val="clear" w:color="auto" w:fill="auto"/>
          </w:tcPr>
          <w:p w14:paraId="513A6321" w14:textId="77777777" w:rsidR="00D719DB" w:rsidRPr="00D719DB" w:rsidRDefault="00D719DB" w:rsidP="00D719DB">
            <w:pPr>
              <w:tabs>
                <w:tab w:val="left" w:pos="810"/>
                <w:tab w:val="center" w:pos="1082"/>
              </w:tabs>
              <w:spacing w:after="0" w:line="240" w:lineRule="auto"/>
              <w:rPr>
                <w:szCs w:val="20"/>
              </w:rPr>
            </w:pPr>
            <w:r w:rsidRPr="00D719DB">
              <w:rPr>
                <w:szCs w:val="20"/>
              </w:rPr>
              <w:t>Grass cutting contracts</w:t>
            </w:r>
          </w:p>
        </w:tc>
        <w:tc>
          <w:tcPr>
            <w:tcW w:w="1589" w:type="dxa"/>
            <w:shd w:val="clear" w:color="auto" w:fill="auto"/>
          </w:tcPr>
          <w:p w14:paraId="47F9BAF6" w14:textId="77777777" w:rsidR="00D719DB" w:rsidRPr="00D719DB" w:rsidRDefault="00D719DB" w:rsidP="00D719DB">
            <w:pPr>
              <w:spacing w:after="0" w:line="240" w:lineRule="auto"/>
              <w:jc w:val="center"/>
              <w:rPr>
                <w:szCs w:val="20"/>
              </w:rPr>
            </w:pPr>
            <w:r w:rsidRPr="00D719DB">
              <w:rPr>
                <w:szCs w:val="20"/>
              </w:rPr>
              <w:t>11</w:t>
            </w:r>
          </w:p>
        </w:tc>
      </w:tr>
    </w:tbl>
    <w:p w14:paraId="4D275409" w14:textId="77777777" w:rsidR="00D719DB" w:rsidRPr="00D719DB" w:rsidRDefault="00D719DB" w:rsidP="001B4AC4">
      <w:pPr>
        <w:spacing w:after="0" w:line="240" w:lineRule="auto"/>
        <w:jc w:val="both"/>
        <w:rPr>
          <w:szCs w:val="20"/>
        </w:rPr>
      </w:pPr>
    </w:p>
    <w:tbl>
      <w:tblPr>
        <w:tblW w:w="0" w:type="auto"/>
        <w:tblInd w:w="1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4136"/>
        <w:gridCol w:w="1463"/>
      </w:tblGrid>
      <w:tr w:rsidR="00D719DB" w:rsidRPr="00D719DB" w14:paraId="19C5C332" w14:textId="77777777" w:rsidTr="001B4AC4">
        <w:trPr>
          <w:trHeight w:val="425"/>
        </w:trPr>
        <w:tc>
          <w:tcPr>
            <w:tcW w:w="5644" w:type="dxa"/>
            <w:gridSpan w:val="2"/>
            <w:shd w:val="clear" w:color="auto" w:fill="F2F2F2"/>
          </w:tcPr>
          <w:p w14:paraId="78CFA916" w14:textId="77777777" w:rsidR="00D719DB" w:rsidRPr="00D719DB" w:rsidRDefault="00D719DB" w:rsidP="00D719DB">
            <w:pPr>
              <w:spacing w:after="0" w:line="240" w:lineRule="auto"/>
              <w:rPr>
                <w:szCs w:val="20"/>
              </w:rPr>
            </w:pPr>
            <w:r w:rsidRPr="00D719DB">
              <w:rPr>
                <w:szCs w:val="20"/>
              </w:rPr>
              <w:t>Job creation programmes</w:t>
            </w:r>
          </w:p>
        </w:tc>
        <w:tc>
          <w:tcPr>
            <w:tcW w:w="1463" w:type="dxa"/>
            <w:shd w:val="clear" w:color="auto" w:fill="F2F2F2"/>
          </w:tcPr>
          <w:p w14:paraId="51969B04" w14:textId="77777777" w:rsidR="00D719DB" w:rsidRPr="00D719DB" w:rsidRDefault="00D719DB" w:rsidP="00D719DB">
            <w:pPr>
              <w:spacing w:after="0" w:line="240" w:lineRule="auto"/>
              <w:rPr>
                <w:szCs w:val="20"/>
              </w:rPr>
            </w:pPr>
            <w:r w:rsidRPr="00D719DB">
              <w:rPr>
                <w:szCs w:val="20"/>
              </w:rPr>
              <w:t>No of jobs created</w:t>
            </w:r>
          </w:p>
        </w:tc>
      </w:tr>
      <w:tr w:rsidR="00D719DB" w:rsidRPr="00D719DB" w14:paraId="57EFF36D" w14:textId="77777777" w:rsidTr="001B4AC4">
        <w:trPr>
          <w:trHeight w:val="200"/>
        </w:trPr>
        <w:tc>
          <w:tcPr>
            <w:tcW w:w="1508" w:type="dxa"/>
            <w:vMerge w:val="restart"/>
            <w:shd w:val="clear" w:color="auto" w:fill="auto"/>
          </w:tcPr>
          <w:p w14:paraId="52DE075D" w14:textId="77777777" w:rsidR="00D719DB" w:rsidRPr="00D719DB" w:rsidRDefault="00D719DB" w:rsidP="00D719DB">
            <w:pPr>
              <w:spacing w:after="0" w:line="240" w:lineRule="auto"/>
              <w:rPr>
                <w:szCs w:val="20"/>
              </w:rPr>
            </w:pPr>
          </w:p>
          <w:p w14:paraId="2ACD6F73" w14:textId="77777777" w:rsidR="00D719DB" w:rsidRPr="00D719DB" w:rsidRDefault="00D719DB" w:rsidP="00D719DB">
            <w:pPr>
              <w:spacing w:after="0" w:line="240" w:lineRule="auto"/>
              <w:rPr>
                <w:szCs w:val="20"/>
              </w:rPr>
            </w:pPr>
            <w:r w:rsidRPr="00D719DB">
              <w:rPr>
                <w:szCs w:val="20"/>
              </w:rPr>
              <w:t xml:space="preserve">Infrastructure </w:t>
            </w:r>
          </w:p>
          <w:p w14:paraId="26396180" w14:textId="77777777" w:rsidR="00D719DB" w:rsidRPr="00D719DB" w:rsidRDefault="00D719DB" w:rsidP="00D719DB">
            <w:pPr>
              <w:spacing w:after="0" w:line="240" w:lineRule="auto"/>
              <w:rPr>
                <w:szCs w:val="20"/>
              </w:rPr>
            </w:pPr>
            <w:r w:rsidRPr="00D719DB">
              <w:rPr>
                <w:szCs w:val="20"/>
              </w:rPr>
              <w:t xml:space="preserve">     (MIG) </w:t>
            </w:r>
          </w:p>
        </w:tc>
        <w:tc>
          <w:tcPr>
            <w:tcW w:w="4136" w:type="dxa"/>
            <w:shd w:val="clear" w:color="auto" w:fill="auto"/>
          </w:tcPr>
          <w:p w14:paraId="025E335C" w14:textId="77777777" w:rsidR="00D719DB" w:rsidRPr="00D719DB" w:rsidRDefault="00D719DB" w:rsidP="00D719DB">
            <w:pPr>
              <w:spacing w:after="0" w:line="240" w:lineRule="auto"/>
              <w:rPr>
                <w:szCs w:val="20"/>
              </w:rPr>
            </w:pPr>
            <w:r w:rsidRPr="00D719DB">
              <w:rPr>
                <w:szCs w:val="20"/>
              </w:rPr>
              <w:t>Mbangayiya Causeway and Access Road</w:t>
            </w:r>
          </w:p>
        </w:tc>
        <w:tc>
          <w:tcPr>
            <w:tcW w:w="1463" w:type="dxa"/>
            <w:shd w:val="clear" w:color="auto" w:fill="auto"/>
          </w:tcPr>
          <w:p w14:paraId="72E50B50" w14:textId="77777777" w:rsidR="00D719DB" w:rsidRPr="00D719DB" w:rsidRDefault="00D719DB" w:rsidP="00D719DB">
            <w:pPr>
              <w:spacing w:after="0" w:line="240" w:lineRule="auto"/>
              <w:jc w:val="center"/>
              <w:rPr>
                <w:szCs w:val="20"/>
              </w:rPr>
            </w:pPr>
            <w:r w:rsidRPr="00D719DB">
              <w:rPr>
                <w:szCs w:val="20"/>
              </w:rPr>
              <w:t>05</w:t>
            </w:r>
          </w:p>
        </w:tc>
      </w:tr>
      <w:tr w:rsidR="00D719DB" w:rsidRPr="00D719DB" w14:paraId="6AA186EB" w14:textId="77777777" w:rsidTr="001B4AC4">
        <w:trPr>
          <w:trHeight w:val="224"/>
        </w:trPr>
        <w:tc>
          <w:tcPr>
            <w:tcW w:w="1508" w:type="dxa"/>
            <w:vMerge/>
            <w:shd w:val="clear" w:color="auto" w:fill="auto"/>
          </w:tcPr>
          <w:p w14:paraId="2B5A74A4" w14:textId="77777777" w:rsidR="00D719DB" w:rsidRPr="00D719DB" w:rsidRDefault="00D719DB" w:rsidP="00D719DB">
            <w:pPr>
              <w:spacing w:after="0" w:line="240" w:lineRule="auto"/>
              <w:rPr>
                <w:szCs w:val="20"/>
              </w:rPr>
            </w:pPr>
          </w:p>
        </w:tc>
        <w:tc>
          <w:tcPr>
            <w:tcW w:w="4136" w:type="dxa"/>
            <w:shd w:val="clear" w:color="auto" w:fill="auto"/>
          </w:tcPr>
          <w:p w14:paraId="48397B77" w14:textId="77777777" w:rsidR="00D719DB" w:rsidRPr="00D719DB" w:rsidRDefault="00D719DB" w:rsidP="00D719DB">
            <w:pPr>
              <w:spacing w:after="0" w:line="240" w:lineRule="auto"/>
              <w:rPr>
                <w:szCs w:val="20"/>
              </w:rPr>
            </w:pPr>
            <w:r w:rsidRPr="00D719DB">
              <w:rPr>
                <w:szCs w:val="20"/>
              </w:rPr>
              <w:t>KDS Bus Route – Phase 2</w:t>
            </w:r>
          </w:p>
        </w:tc>
        <w:tc>
          <w:tcPr>
            <w:tcW w:w="1463" w:type="dxa"/>
            <w:shd w:val="clear" w:color="auto" w:fill="auto"/>
          </w:tcPr>
          <w:p w14:paraId="60424D6F" w14:textId="77777777" w:rsidR="00D719DB" w:rsidRPr="00D719DB" w:rsidRDefault="00D719DB" w:rsidP="00D719DB">
            <w:pPr>
              <w:tabs>
                <w:tab w:val="left" w:pos="216"/>
              </w:tabs>
              <w:spacing w:after="0" w:line="240" w:lineRule="auto"/>
              <w:rPr>
                <w:szCs w:val="20"/>
              </w:rPr>
            </w:pPr>
            <w:r w:rsidRPr="00D719DB">
              <w:rPr>
                <w:szCs w:val="20"/>
              </w:rPr>
              <w:t xml:space="preserve">         05</w:t>
            </w:r>
          </w:p>
        </w:tc>
      </w:tr>
    </w:tbl>
    <w:p w14:paraId="4679C517" w14:textId="77777777" w:rsidR="00D719DB" w:rsidRPr="00D719DB" w:rsidRDefault="00D719DB" w:rsidP="001B4AC4">
      <w:pPr>
        <w:spacing w:after="0" w:line="240" w:lineRule="auto"/>
        <w:jc w:val="both"/>
        <w:rPr>
          <w:szCs w:val="20"/>
        </w:rPr>
      </w:pP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5"/>
        <w:gridCol w:w="4206"/>
        <w:gridCol w:w="1456"/>
      </w:tblGrid>
      <w:tr w:rsidR="00D719DB" w:rsidRPr="00D719DB" w14:paraId="12D20B1F" w14:textId="77777777" w:rsidTr="001B4AC4">
        <w:trPr>
          <w:trHeight w:val="259"/>
        </w:trPr>
        <w:tc>
          <w:tcPr>
            <w:tcW w:w="5661" w:type="dxa"/>
            <w:gridSpan w:val="2"/>
            <w:shd w:val="clear" w:color="auto" w:fill="E7E6E6"/>
          </w:tcPr>
          <w:p w14:paraId="488AE2E4" w14:textId="77777777" w:rsidR="00D719DB" w:rsidRPr="00D719DB" w:rsidRDefault="00D719DB" w:rsidP="00D719DB">
            <w:pPr>
              <w:spacing w:after="0" w:line="240" w:lineRule="auto"/>
              <w:jc w:val="both"/>
              <w:rPr>
                <w:szCs w:val="20"/>
              </w:rPr>
            </w:pPr>
            <w:r w:rsidRPr="00D719DB">
              <w:rPr>
                <w:szCs w:val="20"/>
              </w:rPr>
              <w:t>Job creation programmes</w:t>
            </w:r>
          </w:p>
        </w:tc>
        <w:tc>
          <w:tcPr>
            <w:tcW w:w="1456" w:type="dxa"/>
            <w:shd w:val="clear" w:color="auto" w:fill="E7E6E6"/>
          </w:tcPr>
          <w:p w14:paraId="132F2603" w14:textId="77777777" w:rsidR="00D719DB" w:rsidRPr="00D719DB" w:rsidRDefault="00D719DB" w:rsidP="00D719DB">
            <w:pPr>
              <w:spacing w:after="0" w:line="240" w:lineRule="auto"/>
              <w:jc w:val="both"/>
              <w:rPr>
                <w:szCs w:val="20"/>
              </w:rPr>
            </w:pPr>
            <w:r w:rsidRPr="00D719DB">
              <w:rPr>
                <w:szCs w:val="20"/>
              </w:rPr>
              <w:t>Jobs created</w:t>
            </w:r>
          </w:p>
        </w:tc>
      </w:tr>
      <w:tr w:rsidR="00D719DB" w:rsidRPr="00D719DB" w14:paraId="34E08A25" w14:textId="77777777" w:rsidTr="001B4AC4">
        <w:trPr>
          <w:trHeight w:val="244"/>
        </w:trPr>
        <w:tc>
          <w:tcPr>
            <w:tcW w:w="1455" w:type="dxa"/>
            <w:shd w:val="clear" w:color="auto" w:fill="auto"/>
          </w:tcPr>
          <w:p w14:paraId="1F01696C" w14:textId="0FDD6FAD" w:rsidR="00D719DB" w:rsidRPr="00D719DB" w:rsidRDefault="001B4AC4" w:rsidP="00D719DB">
            <w:pPr>
              <w:spacing w:after="0" w:line="240" w:lineRule="auto"/>
              <w:jc w:val="both"/>
              <w:rPr>
                <w:szCs w:val="20"/>
              </w:rPr>
            </w:pPr>
            <w:r>
              <w:rPr>
                <w:szCs w:val="20"/>
              </w:rPr>
              <w:t>Electricity</w:t>
            </w:r>
          </w:p>
        </w:tc>
        <w:tc>
          <w:tcPr>
            <w:tcW w:w="4206" w:type="dxa"/>
            <w:shd w:val="clear" w:color="auto" w:fill="auto"/>
          </w:tcPr>
          <w:p w14:paraId="143620D0" w14:textId="77777777" w:rsidR="00D719DB" w:rsidRPr="00D719DB" w:rsidRDefault="00D719DB" w:rsidP="00D719DB">
            <w:pPr>
              <w:spacing w:after="0" w:line="240" w:lineRule="auto"/>
              <w:jc w:val="both"/>
              <w:rPr>
                <w:szCs w:val="20"/>
              </w:rPr>
            </w:pPr>
            <w:r w:rsidRPr="00D719DB">
              <w:rPr>
                <w:szCs w:val="20"/>
              </w:rPr>
              <w:t xml:space="preserve">uMlalazi Municipality substation upgrade </w:t>
            </w:r>
          </w:p>
        </w:tc>
        <w:tc>
          <w:tcPr>
            <w:tcW w:w="1456" w:type="dxa"/>
            <w:shd w:val="clear" w:color="auto" w:fill="auto"/>
          </w:tcPr>
          <w:p w14:paraId="7B959776" w14:textId="77777777" w:rsidR="00D719DB" w:rsidRPr="00D719DB" w:rsidRDefault="00D719DB" w:rsidP="00D719DB">
            <w:pPr>
              <w:spacing w:after="0" w:line="240" w:lineRule="auto"/>
              <w:jc w:val="both"/>
              <w:rPr>
                <w:szCs w:val="20"/>
              </w:rPr>
            </w:pPr>
            <w:r w:rsidRPr="00D719DB">
              <w:rPr>
                <w:szCs w:val="20"/>
              </w:rPr>
              <w:t>11</w:t>
            </w:r>
          </w:p>
        </w:tc>
      </w:tr>
    </w:tbl>
    <w:p w14:paraId="25208615" w14:textId="77777777" w:rsidR="00D719DB" w:rsidRPr="00D719DB" w:rsidRDefault="00D719DB" w:rsidP="001B4AC4">
      <w:pPr>
        <w:spacing w:after="0" w:line="240" w:lineRule="auto"/>
        <w:jc w:val="both"/>
        <w:rPr>
          <w:szCs w:val="20"/>
        </w:rPr>
      </w:pPr>
    </w:p>
    <w:p w14:paraId="6BC4A8E5" w14:textId="74856AC3" w:rsidR="00D719DB" w:rsidRPr="00D719DB" w:rsidRDefault="00D719DB" w:rsidP="001B4AC4">
      <w:pPr>
        <w:spacing w:after="0" w:line="240" w:lineRule="auto"/>
        <w:jc w:val="both"/>
        <w:rPr>
          <w:szCs w:val="20"/>
        </w:rPr>
      </w:pP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9"/>
        <w:gridCol w:w="4190"/>
        <w:gridCol w:w="1450"/>
      </w:tblGrid>
      <w:tr w:rsidR="00D719DB" w:rsidRPr="00D719DB" w14:paraId="69462285" w14:textId="77777777" w:rsidTr="001B4AC4">
        <w:trPr>
          <w:trHeight w:val="279"/>
        </w:trPr>
        <w:tc>
          <w:tcPr>
            <w:tcW w:w="5639" w:type="dxa"/>
            <w:gridSpan w:val="2"/>
            <w:shd w:val="clear" w:color="auto" w:fill="E7E6E6"/>
          </w:tcPr>
          <w:p w14:paraId="72904E27" w14:textId="77777777" w:rsidR="00D719DB" w:rsidRPr="00D719DB" w:rsidRDefault="00D719DB" w:rsidP="00D719DB">
            <w:pPr>
              <w:spacing w:after="0" w:line="240" w:lineRule="auto"/>
              <w:jc w:val="both"/>
              <w:rPr>
                <w:szCs w:val="20"/>
              </w:rPr>
            </w:pPr>
            <w:r w:rsidRPr="00D719DB">
              <w:rPr>
                <w:szCs w:val="20"/>
              </w:rPr>
              <w:t>Job creation programmes</w:t>
            </w:r>
          </w:p>
        </w:tc>
        <w:tc>
          <w:tcPr>
            <w:tcW w:w="1450" w:type="dxa"/>
            <w:shd w:val="clear" w:color="auto" w:fill="E7E6E6"/>
          </w:tcPr>
          <w:p w14:paraId="25131CD7" w14:textId="77777777" w:rsidR="00D719DB" w:rsidRPr="00D719DB" w:rsidRDefault="00D719DB" w:rsidP="00D719DB">
            <w:pPr>
              <w:spacing w:after="0" w:line="240" w:lineRule="auto"/>
              <w:jc w:val="both"/>
              <w:rPr>
                <w:szCs w:val="20"/>
              </w:rPr>
            </w:pPr>
            <w:r w:rsidRPr="00D719DB">
              <w:rPr>
                <w:szCs w:val="20"/>
              </w:rPr>
              <w:t>Jobs created</w:t>
            </w:r>
          </w:p>
        </w:tc>
      </w:tr>
      <w:tr w:rsidR="00D719DB" w:rsidRPr="00D719DB" w14:paraId="42E55637" w14:textId="77777777" w:rsidTr="001B4AC4">
        <w:trPr>
          <w:trHeight w:val="263"/>
        </w:trPr>
        <w:tc>
          <w:tcPr>
            <w:tcW w:w="1449" w:type="dxa"/>
            <w:shd w:val="clear" w:color="auto" w:fill="auto"/>
          </w:tcPr>
          <w:p w14:paraId="42A72DEB" w14:textId="3D11F233" w:rsidR="00D719DB" w:rsidRPr="00D719DB" w:rsidRDefault="001B4AC4" w:rsidP="00D719DB">
            <w:pPr>
              <w:spacing w:after="0" w:line="240" w:lineRule="auto"/>
              <w:jc w:val="both"/>
              <w:rPr>
                <w:szCs w:val="20"/>
              </w:rPr>
            </w:pPr>
            <w:r>
              <w:rPr>
                <w:szCs w:val="20"/>
              </w:rPr>
              <w:t>Other</w:t>
            </w:r>
          </w:p>
        </w:tc>
        <w:tc>
          <w:tcPr>
            <w:tcW w:w="4190" w:type="dxa"/>
            <w:shd w:val="clear" w:color="auto" w:fill="auto"/>
          </w:tcPr>
          <w:p w14:paraId="229975E7" w14:textId="77777777" w:rsidR="00D719DB" w:rsidRPr="00D719DB" w:rsidRDefault="00D719DB" w:rsidP="00D719DB">
            <w:pPr>
              <w:spacing w:after="0" w:line="240" w:lineRule="auto"/>
              <w:jc w:val="both"/>
              <w:rPr>
                <w:szCs w:val="20"/>
              </w:rPr>
            </w:pPr>
            <w:r w:rsidRPr="00D719DB">
              <w:rPr>
                <w:szCs w:val="20"/>
              </w:rPr>
              <w:t>Internship programme</w:t>
            </w:r>
          </w:p>
        </w:tc>
        <w:tc>
          <w:tcPr>
            <w:tcW w:w="1450" w:type="dxa"/>
            <w:shd w:val="clear" w:color="auto" w:fill="auto"/>
          </w:tcPr>
          <w:p w14:paraId="744CD71C" w14:textId="77777777" w:rsidR="00D719DB" w:rsidRPr="00D719DB" w:rsidRDefault="00D719DB" w:rsidP="00D719DB">
            <w:pPr>
              <w:spacing w:after="0" w:line="240" w:lineRule="auto"/>
              <w:jc w:val="both"/>
              <w:rPr>
                <w:szCs w:val="20"/>
              </w:rPr>
            </w:pPr>
            <w:r w:rsidRPr="00D719DB">
              <w:rPr>
                <w:szCs w:val="20"/>
              </w:rPr>
              <w:t>18</w:t>
            </w:r>
          </w:p>
        </w:tc>
      </w:tr>
    </w:tbl>
    <w:p w14:paraId="402888EE" w14:textId="77777777" w:rsidR="000078AE" w:rsidRDefault="00E56F6F" w:rsidP="002F62F0">
      <w:pPr>
        <w:pStyle w:val="Caption"/>
      </w:pPr>
      <w:bookmarkStart w:id="549" w:name="_Toc510622339"/>
      <w:r>
        <w:t xml:space="preserve">Table </w:t>
      </w:r>
      <w:r w:rsidR="00B918A6">
        <w:fldChar w:fldCharType="begin"/>
      </w:r>
      <w:r w:rsidR="00B918A6">
        <w:instrText xml:space="preserve"> SEQ Table \* ARABIC </w:instrText>
      </w:r>
      <w:r w:rsidR="00B918A6">
        <w:fldChar w:fldCharType="separate"/>
      </w:r>
      <w:r w:rsidR="0067023A">
        <w:rPr>
          <w:noProof/>
        </w:rPr>
        <w:t>88</w:t>
      </w:r>
      <w:r w:rsidR="00B918A6">
        <w:rPr>
          <w:noProof/>
        </w:rPr>
        <w:fldChar w:fldCharType="end"/>
      </w:r>
      <w:r>
        <w:t>: P</w:t>
      </w:r>
      <w:r w:rsidRPr="00881795">
        <w:t xml:space="preserve">rojects Identified For </w:t>
      </w:r>
      <w:r w:rsidR="003F34D3" w:rsidRPr="00881795">
        <w:t>the</w:t>
      </w:r>
      <w:r w:rsidRPr="00881795">
        <w:t xml:space="preserve"> EPWP</w:t>
      </w:r>
      <w:bookmarkEnd w:id="549"/>
    </w:p>
    <w:p w14:paraId="6E19EB40" w14:textId="1CB9F2A2" w:rsidR="000078AE" w:rsidRPr="00881795" w:rsidRDefault="001B4AC4" w:rsidP="00395313">
      <w:pPr>
        <w:jc w:val="both"/>
        <w:rPr>
          <w:szCs w:val="20"/>
        </w:rPr>
      </w:pPr>
      <w:r>
        <w:rPr>
          <w:szCs w:val="20"/>
        </w:rPr>
        <w:t xml:space="preserve">The above </w:t>
      </w:r>
      <w:r w:rsidR="000078AE" w:rsidRPr="00881795">
        <w:rPr>
          <w:szCs w:val="20"/>
        </w:rPr>
        <w:t>projects are funded from:</w:t>
      </w:r>
    </w:p>
    <w:p w14:paraId="7362D974" w14:textId="77777777" w:rsidR="000078AE" w:rsidRPr="00881795" w:rsidRDefault="000078AE" w:rsidP="00E31338">
      <w:pPr>
        <w:pStyle w:val="ListParagraph"/>
        <w:numPr>
          <w:ilvl w:val="0"/>
          <w:numId w:val="1"/>
        </w:numPr>
        <w:spacing w:line="288" w:lineRule="auto"/>
        <w:jc w:val="both"/>
        <w:rPr>
          <w:szCs w:val="20"/>
        </w:rPr>
      </w:pPr>
      <w:r w:rsidRPr="00881795">
        <w:rPr>
          <w:szCs w:val="20"/>
          <w:u w:val="single"/>
        </w:rPr>
        <w:t>Equitable Share Grant</w:t>
      </w:r>
      <w:r w:rsidRPr="00881795">
        <w:rPr>
          <w:szCs w:val="20"/>
        </w:rPr>
        <w:t xml:space="preserve">: (Poverty Alleviation; Work Creation; Local Economic Development); </w:t>
      </w:r>
    </w:p>
    <w:p w14:paraId="323D23DD" w14:textId="77777777" w:rsidR="000078AE" w:rsidRPr="00881795" w:rsidRDefault="000078AE" w:rsidP="00E31338">
      <w:pPr>
        <w:pStyle w:val="ListParagraph"/>
        <w:numPr>
          <w:ilvl w:val="0"/>
          <w:numId w:val="1"/>
        </w:numPr>
        <w:spacing w:line="288" w:lineRule="auto"/>
        <w:jc w:val="both"/>
        <w:rPr>
          <w:szCs w:val="20"/>
          <w:u w:val="single"/>
        </w:rPr>
      </w:pPr>
      <w:r w:rsidRPr="00881795">
        <w:rPr>
          <w:szCs w:val="20"/>
          <w:u w:val="single"/>
        </w:rPr>
        <w:t xml:space="preserve">EPWP Grant </w:t>
      </w:r>
    </w:p>
    <w:p w14:paraId="6E959E56" w14:textId="77777777" w:rsidR="000078AE" w:rsidRPr="00881795" w:rsidRDefault="000078AE" w:rsidP="00E31338">
      <w:pPr>
        <w:pStyle w:val="ListParagraph"/>
        <w:numPr>
          <w:ilvl w:val="0"/>
          <w:numId w:val="1"/>
        </w:numPr>
        <w:spacing w:line="288" w:lineRule="auto"/>
        <w:jc w:val="both"/>
        <w:rPr>
          <w:szCs w:val="20"/>
        </w:rPr>
      </w:pPr>
      <w:r w:rsidRPr="00881795">
        <w:rPr>
          <w:szCs w:val="20"/>
        </w:rPr>
        <w:t xml:space="preserve">and </w:t>
      </w:r>
      <w:r w:rsidRPr="00881795">
        <w:rPr>
          <w:szCs w:val="20"/>
          <w:u w:val="single"/>
        </w:rPr>
        <w:t>MIG</w:t>
      </w:r>
      <w:r w:rsidRPr="00881795">
        <w:rPr>
          <w:szCs w:val="20"/>
        </w:rPr>
        <w:t xml:space="preserve"> (Labour-Intensive Construction method) </w:t>
      </w:r>
    </w:p>
    <w:p w14:paraId="7CE84D43" w14:textId="77777777" w:rsidR="00992B24" w:rsidRPr="00E56F6F" w:rsidRDefault="00992B24" w:rsidP="00750180">
      <w:pPr>
        <w:pStyle w:val="Heading3"/>
        <w:numPr>
          <w:ilvl w:val="2"/>
          <w:numId w:val="127"/>
        </w:numPr>
        <w:spacing w:after="240"/>
      </w:pPr>
      <w:bookmarkStart w:id="550" w:name="_Toc389740061"/>
      <w:bookmarkStart w:id="551" w:name="_Toc510706663"/>
      <w:r w:rsidRPr="00E56F6F">
        <w:t>IGR</w:t>
      </w:r>
      <w:bookmarkEnd w:id="550"/>
      <w:bookmarkEnd w:id="551"/>
    </w:p>
    <w:p w14:paraId="76E905A3" w14:textId="77777777" w:rsidR="009760AA" w:rsidRPr="00E56F6F" w:rsidRDefault="009760AA" w:rsidP="00395313">
      <w:pPr>
        <w:jc w:val="both"/>
        <w:rPr>
          <w:rFonts w:cs="Calibri"/>
          <w:color w:val="000000" w:themeColor="text1"/>
        </w:rPr>
      </w:pPr>
      <w:r w:rsidRPr="00E56F6F">
        <w:rPr>
          <w:rFonts w:cs="Calibri"/>
          <w:color w:val="000000" w:themeColor="text1"/>
        </w:rPr>
        <w:t xml:space="preserve">The Intergovernmental Relations Framework Act of 2005 </w:t>
      </w:r>
      <w:r w:rsidR="00A273CB">
        <w:rPr>
          <w:rFonts w:cs="Calibri"/>
          <w:color w:val="000000" w:themeColor="text1"/>
        </w:rPr>
        <w:t>provides for</w:t>
      </w:r>
      <w:r w:rsidRPr="00E56F6F">
        <w:rPr>
          <w:rFonts w:cs="Calibri"/>
          <w:color w:val="000000" w:themeColor="text1"/>
        </w:rPr>
        <w:t xml:space="preserve"> </w:t>
      </w:r>
      <w:r w:rsidR="00ED4182" w:rsidRPr="00E56F6F">
        <w:rPr>
          <w:rFonts w:cs="Calibri"/>
          <w:color w:val="000000" w:themeColor="text1"/>
        </w:rPr>
        <w:t>the establishment</w:t>
      </w:r>
      <w:r w:rsidRPr="00E56F6F">
        <w:rPr>
          <w:rFonts w:cs="Calibri"/>
          <w:color w:val="000000" w:themeColor="text1"/>
        </w:rPr>
        <w:t xml:space="preserve"> of a </w:t>
      </w:r>
      <w:r w:rsidR="003C03FA">
        <w:rPr>
          <w:rFonts w:cs="Calibri"/>
          <w:color w:val="000000" w:themeColor="text1"/>
        </w:rPr>
        <w:t>District</w:t>
      </w:r>
      <w:r w:rsidRPr="00E56F6F">
        <w:rPr>
          <w:rFonts w:cs="Calibri"/>
          <w:color w:val="000000" w:themeColor="text1"/>
        </w:rPr>
        <w:t xml:space="preserve"> Intergovernmental Forum for every district, giving effect to the goals and principles of intergovernmental relations and cooperative government as contained in Chapter 3 of the Constitution.</w:t>
      </w:r>
    </w:p>
    <w:p w14:paraId="648A399F" w14:textId="77777777" w:rsidR="009760AA" w:rsidRPr="00E56F6F" w:rsidRDefault="009760AA" w:rsidP="00395313">
      <w:pPr>
        <w:jc w:val="both"/>
        <w:rPr>
          <w:rFonts w:cs="Calibri"/>
          <w:color w:val="000000" w:themeColor="text1"/>
        </w:rPr>
      </w:pPr>
      <w:r w:rsidRPr="00E56F6F">
        <w:rPr>
          <w:rFonts w:cs="Calibri"/>
          <w:color w:val="000000" w:themeColor="text1"/>
        </w:rPr>
        <w:t xml:space="preserve">The KZN Department of Cooperative Governance and Traditional Affairs (KZN COGTA) provided assistance with the preparation of a Draft Mayoral Protocol for the </w:t>
      </w:r>
      <w:r w:rsidR="001D792E">
        <w:rPr>
          <w:rFonts w:cs="Calibri"/>
          <w:color w:val="000000" w:themeColor="text1"/>
        </w:rPr>
        <w:t>King Cetshwayo</w:t>
      </w:r>
      <w:r w:rsidRPr="00E56F6F">
        <w:rPr>
          <w:rFonts w:cs="Calibri"/>
          <w:color w:val="000000" w:themeColor="text1"/>
        </w:rPr>
        <w:t xml:space="preserve"> </w:t>
      </w:r>
      <w:r w:rsidR="003C03FA">
        <w:rPr>
          <w:rFonts w:cs="Calibri"/>
          <w:color w:val="000000" w:themeColor="text1"/>
        </w:rPr>
        <w:t>District</w:t>
      </w:r>
      <w:r w:rsidRPr="00E56F6F">
        <w:rPr>
          <w:rFonts w:cs="Calibri"/>
          <w:color w:val="000000" w:themeColor="text1"/>
        </w:rPr>
        <w:t xml:space="preserve"> Mayor’s Coordinating Forum.</w:t>
      </w:r>
    </w:p>
    <w:p w14:paraId="25D168E6" w14:textId="77777777" w:rsidR="009760AA" w:rsidRPr="00E56F6F" w:rsidRDefault="009760AA" w:rsidP="00395313">
      <w:pPr>
        <w:jc w:val="both"/>
        <w:rPr>
          <w:rFonts w:cs="Calibri"/>
          <w:color w:val="000000" w:themeColor="text1"/>
        </w:rPr>
      </w:pPr>
      <w:r w:rsidRPr="00E56F6F">
        <w:rPr>
          <w:rFonts w:cs="Calibri"/>
          <w:color w:val="000000" w:themeColor="text1"/>
        </w:rPr>
        <w:t xml:space="preserve">The Mayoral Protocol will serve as a Terms of Reference for the </w:t>
      </w:r>
      <w:r w:rsidR="001D792E">
        <w:rPr>
          <w:rFonts w:cs="Calibri"/>
          <w:color w:val="000000" w:themeColor="text1"/>
        </w:rPr>
        <w:t>King Cetshwayo</w:t>
      </w:r>
      <w:r w:rsidRPr="00E56F6F">
        <w:rPr>
          <w:rFonts w:cs="Calibri"/>
          <w:color w:val="000000" w:themeColor="text1"/>
        </w:rPr>
        <w:t xml:space="preserve"> </w:t>
      </w:r>
      <w:r w:rsidR="003C03FA">
        <w:rPr>
          <w:rFonts w:cs="Calibri"/>
          <w:color w:val="000000" w:themeColor="text1"/>
        </w:rPr>
        <w:t>District</w:t>
      </w:r>
      <w:r w:rsidRPr="00E56F6F">
        <w:rPr>
          <w:rFonts w:cs="Calibri"/>
          <w:color w:val="000000" w:themeColor="text1"/>
        </w:rPr>
        <w:t xml:space="preserve"> Mayor’s Coordinating Forum in order to promote Intergovernmental Relations within the </w:t>
      </w:r>
      <w:r w:rsidR="003C03FA">
        <w:rPr>
          <w:rFonts w:cs="Calibri"/>
          <w:color w:val="000000" w:themeColor="text1"/>
        </w:rPr>
        <w:t>District</w:t>
      </w:r>
      <w:r w:rsidRPr="00E56F6F">
        <w:rPr>
          <w:rFonts w:cs="Calibri"/>
          <w:color w:val="000000" w:themeColor="text1"/>
        </w:rPr>
        <w:t>.</w:t>
      </w:r>
    </w:p>
    <w:p w14:paraId="6DB1F4C0" w14:textId="77777777" w:rsidR="009760AA" w:rsidRPr="00E56F6F" w:rsidRDefault="009760AA" w:rsidP="00395313">
      <w:pPr>
        <w:jc w:val="both"/>
        <w:rPr>
          <w:rFonts w:cs="Calibri"/>
          <w:color w:val="000000" w:themeColor="text1"/>
        </w:rPr>
      </w:pPr>
      <w:r w:rsidRPr="00E56F6F">
        <w:rPr>
          <w:rFonts w:cs="Calibri"/>
          <w:color w:val="000000" w:themeColor="text1"/>
        </w:rPr>
        <w:t xml:space="preserve">The Mayoral Protocol provides a framework or guidance on the following matters of the </w:t>
      </w:r>
      <w:r w:rsidR="001D792E">
        <w:rPr>
          <w:rFonts w:cs="Calibri"/>
          <w:color w:val="000000" w:themeColor="text1"/>
        </w:rPr>
        <w:t>King Cetshwayo</w:t>
      </w:r>
      <w:r w:rsidRPr="00E56F6F">
        <w:rPr>
          <w:rFonts w:cs="Calibri"/>
          <w:color w:val="000000" w:themeColor="text1"/>
        </w:rPr>
        <w:t xml:space="preserve"> </w:t>
      </w:r>
      <w:r w:rsidR="003C03FA">
        <w:rPr>
          <w:rFonts w:cs="Calibri"/>
          <w:color w:val="000000" w:themeColor="text1"/>
        </w:rPr>
        <w:t>District</w:t>
      </w:r>
      <w:r w:rsidRPr="00E56F6F">
        <w:rPr>
          <w:rFonts w:cs="Calibri"/>
          <w:color w:val="000000" w:themeColor="text1"/>
        </w:rPr>
        <w:t xml:space="preserve"> Mayors Coordinating Forum:</w:t>
      </w:r>
    </w:p>
    <w:p w14:paraId="5F07689A" w14:textId="77777777" w:rsidR="009760AA" w:rsidRPr="00E56F6F" w:rsidRDefault="009760AA" w:rsidP="00E31338">
      <w:pPr>
        <w:pStyle w:val="ListParagraph"/>
        <w:numPr>
          <w:ilvl w:val="0"/>
          <w:numId w:val="1"/>
        </w:numPr>
        <w:spacing w:line="288" w:lineRule="auto"/>
        <w:jc w:val="both"/>
        <w:rPr>
          <w:szCs w:val="20"/>
        </w:rPr>
      </w:pPr>
      <w:r w:rsidRPr="00E56F6F">
        <w:rPr>
          <w:szCs w:val="20"/>
        </w:rPr>
        <w:t>Membership;</w:t>
      </w:r>
    </w:p>
    <w:p w14:paraId="3A44C9B7" w14:textId="77777777" w:rsidR="009760AA" w:rsidRPr="00E56F6F" w:rsidRDefault="009760AA" w:rsidP="00E31338">
      <w:pPr>
        <w:pStyle w:val="ListParagraph"/>
        <w:numPr>
          <w:ilvl w:val="0"/>
          <w:numId w:val="1"/>
        </w:numPr>
        <w:spacing w:line="288" w:lineRule="auto"/>
        <w:jc w:val="both"/>
        <w:rPr>
          <w:szCs w:val="20"/>
        </w:rPr>
      </w:pPr>
      <w:r w:rsidRPr="00E56F6F">
        <w:rPr>
          <w:szCs w:val="20"/>
        </w:rPr>
        <w:t>Object of the Forum;</w:t>
      </w:r>
    </w:p>
    <w:p w14:paraId="7BFB4F4A" w14:textId="77777777" w:rsidR="009760AA" w:rsidRPr="00E56F6F" w:rsidRDefault="009760AA" w:rsidP="00E31338">
      <w:pPr>
        <w:pStyle w:val="ListParagraph"/>
        <w:numPr>
          <w:ilvl w:val="0"/>
          <w:numId w:val="1"/>
        </w:numPr>
        <w:spacing w:line="288" w:lineRule="auto"/>
        <w:jc w:val="both"/>
        <w:rPr>
          <w:szCs w:val="20"/>
        </w:rPr>
      </w:pPr>
      <w:r w:rsidRPr="00E56F6F">
        <w:rPr>
          <w:szCs w:val="20"/>
        </w:rPr>
        <w:t>Functions of the Forum;</w:t>
      </w:r>
    </w:p>
    <w:p w14:paraId="731DB39B" w14:textId="77777777" w:rsidR="009760AA" w:rsidRPr="00E56F6F" w:rsidRDefault="009760AA" w:rsidP="00E31338">
      <w:pPr>
        <w:pStyle w:val="ListParagraph"/>
        <w:numPr>
          <w:ilvl w:val="0"/>
          <w:numId w:val="1"/>
        </w:numPr>
        <w:spacing w:line="288" w:lineRule="auto"/>
        <w:jc w:val="both"/>
        <w:rPr>
          <w:szCs w:val="20"/>
        </w:rPr>
      </w:pPr>
      <w:r w:rsidRPr="00E56F6F">
        <w:rPr>
          <w:szCs w:val="20"/>
        </w:rPr>
        <w:t>Referral of matters;</w:t>
      </w:r>
    </w:p>
    <w:p w14:paraId="55802689" w14:textId="77777777" w:rsidR="009760AA" w:rsidRPr="00E56F6F" w:rsidRDefault="009760AA" w:rsidP="00E31338">
      <w:pPr>
        <w:pStyle w:val="ListParagraph"/>
        <w:numPr>
          <w:ilvl w:val="0"/>
          <w:numId w:val="1"/>
        </w:numPr>
        <w:spacing w:line="288" w:lineRule="auto"/>
        <w:jc w:val="both"/>
        <w:rPr>
          <w:szCs w:val="20"/>
        </w:rPr>
      </w:pPr>
      <w:r w:rsidRPr="00E56F6F">
        <w:rPr>
          <w:szCs w:val="20"/>
        </w:rPr>
        <w:t>Meeting of the Forum;</w:t>
      </w:r>
    </w:p>
    <w:p w14:paraId="30533EE5" w14:textId="77777777" w:rsidR="009760AA" w:rsidRPr="00E56F6F" w:rsidRDefault="009760AA" w:rsidP="00E31338">
      <w:pPr>
        <w:pStyle w:val="ListParagraph"/>
        <w:numPr>
          <w:ilvl w:val="0"/>
          <w:numId w:val="1"/>
        </w:numPr>
        <w:spacing w:line="288" w:lineRule="auto"/>
        <w:jc w:val="both"/>
        <w:rPr>
          <w:szCs w:val="20"/>
        </w:rPr>
      </w:pPr>
      <w:r w:rsidRPr="00E56F6F">
        <w:rPr>
          <w:szCs w:val="20"/>
        </w:rPr>
        <w:t>Broad consultative meeting;</w:t>
      </w:r>
    </w:p>
    <w:p w14:paraId="04A0AAF7" w14:textId="77777777" w:rsidR="009760AA" w:rsidRPr="00E56F6F" w:rsidRDefault="009760AA" w:rsidP="00E31338">
      <w:pPr>
        <w:pStyle w:val="ListParagraph"/>
        <w:numPr>
          <w:ilvl w:val="0"/>
          <w:numId w:val="1"/>
        </w:numPr>
        <w:spacing w:line="288" w:lineRule="auto"/>
        <w:jc w:val="both"/>
        <w:rPr>
          <w:szCs w:val="20"/>
        </w:rPr>
      </w:pPr>
      <w:r w:rsidRPr="00E56F6F">
        <w:rPr>
          <w:szCs w:val="20"/>
        </w:rPr>
        <w:t>Procedure;</w:t>
      </w:r>
    </w:p>
    <w:p w14:paraId="22CB7C0E" w14:textId="77777777" w:rsidR="009760AA" w:rsidRPr="00E56F6F" w:rsidRDefault="009760AA" w:rsidP="00E31338">
      <w:pPr>
        <w:pStyle w:val="ListParagraph"/>
        <w:numPr>
          <w:ilvl w:val="0"/>
          <w:numId w:val="1"/>
        </w:numPr>
        <w:spacing w:line="288" w:lineRule="auto"/>
        <w:jc w:val="both"/>
        <w:rPr>
          <w:szCs w:val="20"/>
        </w:rPr>
      </w:pPr>
      <w:r w:rsidRPr="00E56F6F">
        <w:rPr>
          <w:szCs w:val="20"/>
        </w:rPr>
        <w:t>Resolutions and their implementation;</w:t>
      </w:r>
    </w:p>
    <w:p w14:paraId="7362F302" w14:textId="77777777" w:rsidR="009760AA" w:rsidRPr="00E56F6F" w:rsidRDefault="009760AA" w:rsidP="00E31338">
      <w:pPr>
        <w:pStyle w:val="ListParagraph"/>
        <w:numPr>
          <w:ilvl w:val="0"/>
          <w:numId w:val="1"/>
        </w:numPr>
        <w:spacing w:line="288" w:lineRule="auto"/>
        <w:jc w:val="both"/>
        <w:rPr>
          <w:szCs w:val="20"/>
        </w:rPr>
      </w:pPr>
      <w:r w:rsidRPr="00E56F6F">
        <w:rPr>
          <w:szCs w:val="20"/>
        </w:rPr>
        <w:t>Settlement of Disputes;</w:t>
      </w:r>
    </w:p>
    <w:p w14:paraId="36119055" w14:textId="77777777" w:rsidR="009760AA" w:rsidRPr="00E56F6F" w:rsidRDefault="009760AA" w:rsidP="00E31338">
      <w:pPr>
        <w:pStyle w:val="ListParagraph"/>
        <w:numPr>
          <w:ilvl w:val="0"/>
          <w:numId w:val="1"/>
        </w:numPr>
        <w:spacing w:line="288" w:lineRule="auto"/>
        <w:jc w:val="both"/>
        <w:rPr>
          <w:szCs w:val="20"/>
        </w:rPr>
      </w:pPr>
      <w:r w:rsidRPr="00E56F6F">
        <w:rPr>
          <w:szCs w:val="20"/>
        </w:rPr>
        <w:t>Technical support structure;</w:t>
      </w:r>
    </w:p>
    <w:p w14:paraId="5ADAE96A" w14:textId="77777777" w:rsidR="009760AA" w:rsidRPr="00E56F6F" w:rsidRDefault="009760AA" w:rsidP="00E31338">
      <w:pPr>
        <w:pStyle w:val="ListParagraph"/>
        <w:numPr>
          <w:ilvl w:val="0"/>
          <w:numId w:val="1"/>
        </w:numPr>
        <w:spacing w:line="288" w:lineRule="auto"/>
        <w:jc w:val="both"/>
        <w:rPr>
          <w:szCs w:val="20"/>
        </w:rPr>
      </w:pPr>
      <w:r w:rsidRPr="00E56F6F">
        <w:rPr>
          <w:szCs w:val="20"/>
        </w:rPr>
        <w:t>Funding;</w:t>
      </w:r>
    </w:p>
    <w:p w14:paraId="1B396DDD" w14:textId="77777777" w:rsidR="009760AA" w:rsidRPr="00E56F6F" w:rsidRDefault="009760AA" w:rsidP="00E31338">
      <w:pPr>
        <w:pStyle w:val="ListParagraph"/>
        <w:numPr>
          <w:ilvl w:val="0"/>
          <w:numId w:val="1"/>
        </w:numPr>
        <w:spacing w:line="288" w:lineRule="auto"/>
        <w:jc w:val="both"/>
        <w:rPr>
          <w:szCs w:val="20"/>
        </w:rPr>
      </w:pPr>
      <w:r w:rsidRPr="00E56F6F">
        <w:rPr>
          <w:szCs w:val="20"/>
        </w:rPr>
        <w:t>Amendment of protocol</w:t>
      </w:r>
    </w:p>
    <w:p w14:paraId="05386F69" w14:textId="77777777" w:rsidR="009760AA" w:rsidRDefault="009760AA" w:rsidP="00E31338">
      <w:pPr>
        <w:pStyle w:val="ListParagraph"/>
        <w:numPr>
          <w:ilvl w:val="0"/>
          <w:numId w:val="1"/>
        </w:numPr>
        <w:spacing w:line="288" w:lineRule="auto"/>
        <w:jc w:val="both"/>
        <w:rPr>
          <w:szCs w:val="20"/>
        </w:rPr>
      </w:pPr>
      <w:r w:rsidRPr="00E56F6F">
        <w:rPr>
          <w:szCs w:val="20"/>
        </w:rPr>
        <w:t>Application.</w:t>
      </w:r>
    </w:p>
    <w:p w14:paraId="6116C47E" w14:textId="77777777" w:rsidR="009760AA" w:rsidRPr="00E56F6F" w:rsidRDefault="009760AA" w:rsidP="00395313">
      <w:pPr>
        <w:jc w:val="both"/>
        <w:outlineLvl w:val="0"/>
        <w:rPr>
          <w:rFonts w:cs="Calibri"/>
          <w:color w:val="000000" w:themeColor="text1"/>
        </w:rPr>
      </w:pPr>
      <w:bookmarkStart w:id="552" w:name="_Toc389740062"/>
      <w:r w:rsidRPr="00E56F6F">
        <w:rPr>
          <w:rFonts w:cs="Calibri"/>
          <w:color w:val="000000" w:themeColor="text1"/>
          <w:u w:val="single"/>
        </w:rPr>
        <w:t>The Forum consists of</w:t>
      </w:r>
      <w:r w:rsidRPr="00E56F6F">
        <w:rPr>
          <w:rFonts w:cs="Calibri"/>
          <w:color w:val="000000" w:themeColor="text1"/>
        </w:rPr>
        <w:t>:</w:t>
      </w:r>
      <w:bookmarkEnd w:id="552"/>
    </w:p>
    <w:p w14:paraId="417CFC33" w14:textId="77777777" w:rsidR="009760AA" w:rsidRPr="00E56F6F" w:rsidRDefault="009760AA" w:rsidP="00E31338">
      <w:pPr>
        <w:pStyle w:val="ListParagraph"/>
        <w:numPr>
          <w:ilvl w:val="0"/>
          <w:numId w:val="1"/>
        </w:numPr>
        <w:spacing w:line="288" w:lineRule="auto"/>
        <w:jc w:val="both"/>
        <w:rPr>
          <w:szCs w:val="20"/>
        </w:rPr>
      </w:pPr>
      <w:r w:rsidRPr="00E56F6F">
        <w:rPr>
          <w:szCs w:val="20"/>
        </w:rPr>
        <w:t xml:space="preserve">the mayor of the </w:t>
      </w:r>
      <w:r w:rsidR="001D792E">
        <w:rPr>
          <w:szCs w:val="20"/>
        </w:rPr>
        <w:t>King Cetshwayo</w:t>
      </w:r>
      <w:r w:rsidRPr="00E56F6F">
        <w:rPr>
          <w:szCs w:val="20"/>
        </w:rPr>
        <w:t xml:space="preserve"> </w:t>
      </w:r>
      <w:r w:rsidR="003C03FA">
        <w:rPr>
          <w:szCs w:val="20"/>
        </w:rPr>
        <w:t>District</w:t>
      </w:r>
      <w:r w:rsidRPr="00E56F6F">
        <w:rPr>
          <w:szCs w:val="20"/>
        </w:rPr>
        <w:t xml:space="preserve"> Municipality;</w:t>
      </w:r>
    </w:p>
    <w:p w14:paraId="72E415FA" w14:textId="77777777" w:rsidR="009760AA" w:rsidRPr="00E56F6F" w:rsidRDefault="009760AA" w:rsidP="00E31338">
      <w:pPr>
        <w:pStyle w:val="ListParagraph"/>
        <w:numPr>
          <w:ilvl w:val="0"/>
          <w:numId w:val="1"/>
        </w:numPr>
        <w:spacing w:line="288" w:lineRule="auto"/>
        <w:jc w:val="both"/>
        <w:rPr>
          <w:szCs w:val="20"/>
        </w:rPr>
      </w:pPr>
      <w:r w:rsidRPr="00E56F6F">
        <w:rPr>
          <w:szCs w:val="20"/>
        </w:rPr>
        <w:t xml:space="preserve">the mayors of local municipalities in the </w:t>
      </w:r>
      <w:r w:rsidR="003C03FA">
        <w:rPr>
          <w:szCs w:val="20"/>
        </w:rPr>
        <w:t>District</w:t>
      </w:r>
      <w:r w:rsidRPr="00E56F6F">
        <w:rPr>
          <w:szCs w:val="20"/>
        </w:rPr>
        <w:t>; and</w:t>
      </w:r>
    </w:p>
    <w:p w14:paraId="332C15C7" w14:textId="77777777" w:rsidR="009760AA" w:rsidRPr="00E56F6F" w:rsidRDefault="009760AA" w:rsidP="00E31338">
      <w:pPr>
        <w:pStyle w:val="ListParagraph"/>
        <w:numPr>
          <w:ilvl w:val="0"/>
          <w:numId w:val="1"/>
        </w:numPr>
        <w:spacing w:line="288" w:lineRule="auto"/>
        <w:jc w:val="both"/>
        <w:rPr>
          <w:szCs w:val="20"/>
        </w:rPr>
      </w:pPr>
      <w:r w:rsidRPr="00E56F6F">
        <w:rPr>
          <w:szCs w:val="20"/>
        </w:rPr>
        <w:t xml:space="preserve">Socio-Economic partners and other stakeholders as may be invited by the </w:t>
      </w:r>
      <w:r w:rsidR="003C03FA">
        <w:rPr>
          <w:szCs w:val="20"/>
        </w:rPr>
        <w:t>District</w:t>
      </w:r>
      <w:r w:rsidRPr="00E56F6F">
        <w:rPr>
          <w:szCs w:val="20"/>
        </w:rPr>
        <w:t xml:space="preserve"> Mayor.</w:t>
      </w:r>
    </w:p>
    <w:p w14:paraId="3D4C33CF" w14:textId="77777777" w:rsidR="009760AA" w:rsidRDefault="00A273CB" w:rsidP="00395313">
      <w:pPr>
        <w:spacing w:line="288" w:lineRule="auto"/>
        <w:jc w:val="both"/>
        <w:rPr>
          <w:rFonts w:cs="Calibri"/>
          <w:color w:val="000000" w:themeColor="text1"/>
        </w:rPr>
      </w:pPr>
      <w:r>
        <w:rPr>
          <w:rFonts w:cs="Calibri"/>
          <w:color w:val="000000" w:themeColor="text1"/>
        </w:rPr>
        <w:t xml:space="preserve">Other IGR Meetings within the </w:t>
      </w:r>
      <w:r w:rsidR="001D792E">
        <w:rPr>
          <w:rFonts w:cs="Calibri"/>
          <w:color w:val="000000" w:themeColor="text1"/>
        </w:rPr>
        <w:t>King Cetshwayo</w:t>
      </w:r>
      <w:r>
        <w:rPr>
          <w:rFonts w:cs="Calibri"/>
          <w:color w:val="000000" w:themeColor="text1"/>
        </w:rPr>
        <w:t xml:space="preserve"> </w:t>
      </w:r>
      <w:r w:rsidR="003C03FA">
        <w:rPr>
          <w:rFonts w:cs="Calibri"/>
          <w:color w:val="000000" w:themeColor="text1"/>
        </w:rPr>
        <w:t>District</w:t>
      </w:r>
      <w:r>
        <w:rPr>
          <w:rFonts w:cs="Calibri"/>
          <w:color w:val="000000" w:themeColor="text1"/>
        </w:rPr>
        <w:t xml:space="preserve"> Municipality are scheduled as follows;</w:t>
      </w:r>
    </w:p>
    <w:tbl>
      <w:tblPr>
        <w:tblStyle w:val="TableGrid"/>
        <w:tblW w:w="0" w:type="auto"/>
        <w:tblLook w:val="04A0" w:firstRow="1" w:lastRow="0" w:firstColumn="1" w:lastColumn="0" w:noHBand="0" w:noVBand="1"/>
      </w:tblPr>
      <w:tblGrid>
        <w:gridCol w:w="1921"/>
        <w:gridCol w:w="5255"/>
        <w:gridCol w:w="2453"/>
      </w:tblGrid>
      <w:tr w:rsidR="004D2FA7" w:rsidRPr="004D2FA7" w14:paraId="038B9ABD" w14:textId="77777777" w:rsidTr="004D2FA7">
        <w:tc>
          <w:tcPr>
            <w:tcW w:w="1951" w:type="dxa"/>
            <w:shd w:val="clear" w:color="auto" w:fill="DAEEF3" w:themeFill="accent5" w:themeFillTint="33"/>
          </w:tcPr>
          <w:p w14:paraId="2F6C4EBD" w14:textId="77777777" w:rsidR="004D2FA7" w:rsidRPr="004D2FA7" w:rsidRDefault="004D2FA7" w:rsidP="004D2FA7">
            <w:pPr>
              <w:spacing w:line="288" w:lineRule="auto"/>
              <w:jc w:val="center"/>
              <w:rPr>
                <w:rFonts w:cs="Calibri"/>
                <w:b/>
                <w:color w:val="000000" w:themeColor="text1"/>
              </w:rPr>
            </w:pPr>
            <w:r w:rsidRPr="004D2FA7">
              <w:rPr>
                <w:rFonts w:cs="Calibri"/>
                <w:b/>
                <w:color w:val="000000" w:themeColor="text1"/>
              </w:rPr>
              <w:t>Date</w:t>
            </w:r>
          </w:p>
        </w:tc>
        <w:tc>
          <w:tcPr>
            <w:tcW w:w="5387" w:type="dxa"/>
            <w:shd w:val="clear" w:color="auto" w:fill="DAEEF3" w:themeFill="accent5" w:themeFillTint="33"/>
          </w:tcPr>
          <w:p w14:paraId="69156786" w14:textId="77777777" w:rsidR="004D2FA7" w:rsidRPr="004D2FA7" w:rsidRDefault="004D2FA7" w:rsidP="004D2FA7">
            <w:pPr>
              <w:spacing w:line="288" w:lineRule="auto"/>
              <w:jc w:val="center"/>
              <w:rPr>
                <w:rFonts w:cs="Calibri"/>
                <w:b/>
                <w:color w:val="000000" w:themeColor="text1"/>
              </w:rPr>
            </w:pPr>
            <w:r w:rsidRPr="004D2FA7">
              <w:rPr>
                <w:rFonts w:cs="Calibri"/>
                <w:b/>
                <w:color w:val="000000" w:themeColor="text1"/>
              </w:rPr>
              <w:t>Forum</w:t>
            </w:r>
          </w:p>
        </w:tc>
        <w:tc>
          <w:tcPr>
            <w:tcW w:w="2517" w:type="dxa"/>
            <w:shd w:val="clear" w:color="auto" w:fill="DAEEF3" w:themeFill="accent5" w:themeFillTint="33"/>
          </w:tcPr>
          <w:p w14:paraId="753168BA" w14:textId="77777777" w:rsidR="004D2FA7" w:rsidRPr="004D2FA7" w:rsidRDefault="004D2FA7" w:rsidP="004D2FA7">
            <w:pPr>
              <w:spacing w:line="288" w:lineRule="auto"/>
              <w:jc w:val="center"/>
              <w:rPr>
                <w:rFonts w:cs="Calibri"/>
                <w:b/>
                <w:color w:val="000000" w:themeColor="text1"/>
              </w:rPr>
            </w:pPr>
            <w:r w:rsidRPr="004D2FA7">
              <w:rPr>
                <w:rFonts w:cs="Calibri"/>
                <w:b/>
                <w:color w:val="000000" w:themeColor="text1"/>
              </w:rPr>
              <w:t>Time</w:t>
            </w:r>
          </w:p>
        </w:tc>
      </w:tr>
      <w:tr w:rsidR="004D2FA7" w14:paraId="2392DF59" w14:textId="77777777" w:rsidTr="004D2FA7">
        <w:tc>
          <w:tcPr>
            <w:tcW w:w="1951" w:type="dxa"/>
          </w:tcPr>
          <w:p w14:paraId="1DBBFF2E" w14:textId="77777777" w:rsidR="004D2FA7" w:rsidRDefault="004D2FA7" w:rsidP="00395313">
            <w:pPr>
              <w:spacing w:line="288" w:lineRule="auto"/>
              <w:jc w:val="both"/>
              <w:rPr>
                <w:rFonts w:cs="Calibri"/>
                <w:color w:val="000000" w:themeColor="text1"/>
              </w:rPr>
            </w:pPr>
            <w:r>
              <w:rPr>
                <w:rFonts w:cs="Calibri"/>
                <w:color w:val="000000" w:themeColor="text1"/>
              </w:rPr>
              <w:t>20 January</w:t>
            </w:r>
          </w:p>
        </w:tc>
        <w:tc>
          <w:tcPr>
            <w:tcW w:w="5387" w:type="dxa"/>
          </w:tcPr>
          <w:p w14:paraId="50395C3B" w14:textId="77777777" w:rsidR="004D2FA7" w:rsidRDefault="004D2FA7" w:rsidP="00395313">
            <w:pPr>
              <w:spacing w:line="288" w:lineRule="auto"/>
              <w:jc w:val="both"/>
              <w:rPr>
                <w:rFonts w:cs="Calibri"/>
                <w:color w:val="000000" w:themeColor="text1"/>
              </w:rPr>
            </w:pPr>
            <w:r>
              <w:rPr>
                <w:rFonts w:cs="Calibri"/>
                <w:color w:val="000000" w:themeColor="text1"/>
              </w:rPr>
              <w:t>Technical Support Forum (TFS) MMs</w:t>
            </w:r>
          </w:p>
        </w:tc>
        <w:tc>
          <w:tcPr>
            <w:tcW w:w="2517" w:type="dxa"/>
          </w:tcPr>
          <w:p w14:paraId="43941914" w14:textId="77777777" w:rsidR="004D2FA7" w:rsidRDefault="004D2FA7" w:rsidP="00395313">
            <w:pPr>
              <w:spacing w:line="288" w:lineRule="auto"/>
              <w:jc w:val="both"/>
              <w:rPr>
                <w:rFonts w:cs="Calibri"/>
                <w:color w:val="000000" w:themeColor="text1"/>
              </w:rPr>
            </w:pPr>
            <w:r>
              <w:rPr>
                <w:rFonts w:cs="Calibri"/>
                <w:color w:val="000000" w:themeColor="text1"/>
              </w:rPr>
              <w:t>11H00</w:t>
            </w:r>
          </w:p>
        </w:tc>
      </w:tr>
      <w:tr w:rsidR="004D2FA7" w14:paraId="082FD40D" w14:textId="77777777" w:rsidTr="004D2FA7">
        <w:tc>
          <w:tcPr>
            <w:tcW w:w="1951" w:type="dxa"/>
          </w:tcPr>
          <w:p w14:paraId="548F0CF5" w14:textId="77777777" w:rsidR="004D2FA7" w:rsidRDefault="004D2FA7" w:rsidP="00395313">
            <w:pPr>
              <w:spacing w:line="288" w:lineRule="auto"/>
              <w:jc w:val="both"/>
              <w:rPr>
                <w:rFonts w:cs="Calibri"/>
                <w:color w:val="000000" w:themeColor="text1"/>
              </w:rPr>
            </w:pPr>
            <w:r>
              <w:rPr>
                <w:rFonts w:cs="Calibri"/>
                <w:color w:val="000000" w:themeColor="text1"/>
              </w:rPr>
              <w:t>27 January</w:t>
            </w:r>
          </w:p>
        </w:tc>
        <w:tc>
          <w:tcPr>
            <w:tcW w:w="5387" w:type="dxa"/>
          </w:tcPr>
          <w:p w14:paraId="0EF0F29E" w14:textId="77777777" w:rsidR="004D2FA7" w:rsidRDefault="003C03FA" w:rsidP="00395313">
            <w:pPr>
              <w:spacing w:line="288" w:lineRule="auto"/>
              <w:jc w:val="both"/>
              <w:rPr>
                <w:rFonts w:cs="Calibri"/>
                <w:color w:val="000000" w:themeColor="text1"/>
              </w:rPr>
            </w:pPr>
            <w:r>
              <w:rPr>
                <w:rFonts w:cs="Calibri"/>
                <w:color w:val="000000" w:themeColor="text1"/>
              </w:rPr>
              <w:t>District</w:t>
            </w:r>
            <w:r w:rsidR="004D2FA7">
              <w:rPr>
                <w:rFonts w:cs="Calibri"/>
                <w:color w:val="000000" w:themeColor="text1"/>
              </w:rPr>
              <w:t xml:space="preserve"> Intergovernmental Forum (DIF) Mayors</w:t>
            </w:r>
          </w:p>
        </w:tc>
        <w:tc>
          <w:tcPr>
            <w:tcW w:w="2517" w:type="dxa"/>
          </w:tcPr>
          <w:p w14:paraId="4C98422F" w14:textId="77777777" w:rsidR="004D2FA7" w:rsidRDefault="004D2FA7" w:rsidP="00395313">
            <w:pPr>
              <w:spacing w:line="288" w:lineRule="auto"/>
              <w:jc w:val="both"/>
              <w:rPr>
                <w:rFonts w:cs="Calibri"/>
                <w:color w:val="000000" w:themeColor="text1"/>
              </w:rPr>
            </w:pPr>
            <w:r>
              <w:rPr>
                <w:rFonts w:cs="Calibri"/>
                <w:color w:val="000000" w:themeColor="text1"/>
              </w:rPr>
              <w:t>13H00</w:t>
            </w:r>
          </w:p>
        </w:tc>
      </w:tr>
      <w:tr w:rsidR="004D2FA7" w14:paraId="133F753C" w14:textId="77777777" w:rsidTr="004D2FA7">
        <w:tc>
          <w:tcPr>
            <w:tcW w:w="1951" w:type="dxa"/>
          </w:tcPr>
          <w:p w14:paraId="2DE6BB6F" w14:textId="77777777" w:rsidR="004D2FA7" w:rsidRDefault="004D2FA7" w:rsidP="00395313">
            <w:pPr>
              <w:spacing w:line="288" w:lineRule="auto"/>
              <w:jc w:val="both"/>
              <w:rPr>
                <w:rFonts w:cs="Calibri"/>
                <w:color w:val="000000" w:themeColor="text1"/>
              </w:rPr>
            </w:pPr>
            <w:r>
              <w:rPr>
                <w:rFonts w:cs="Calibri"/>
                <w:color w:val="000000" w:themeColor="text1"/>
              </w:rPr>
              <w:t>19 February</w:t>
            </w:r>
          </w:p>
        </w:tc>
        <w:tc>
          <w:tcPr>
            <w:tcW w:w="5387" w:type="dxa"/>
          </w:tcPr>
          <w:p w14:paraId="07B15A75" w14:textId="77777777" w:rsidR="004D2FA7" w:rsidRDefault="004D2FA7" w:rsidP="00825269">
            <w:pPr>
              <w:spacing w:line="288" w:lineRule="auto"/>
              <w:jc w:val="both"/>
              <w:rPr>
                <w:rFonts w:cs="Calibri"/>
                <w:color w:val="000000" w:themeColor="text1"/>
              </w:rPr>
            </w:pPr>
            <w:r>
              <w:rPr>
                <w:rFonts w:cs="Calibri"/>
                <w:color w:val="000000" w:themeColor="text1"/>
              </w:rPr>
              <w:t>Communicat</w:t>
            </w:r>
            <w:r w:rsidR="00825269">
              <w:rPr>
                <w:rFonts w:cs="Calibri"/>
                <w:color w:val="000000" w:themeColor="text1"/>
              </w:rPr>
              <w:t>ors</w:t>
            </w:r>
            <w:r>
              <w:rPr>
                <w:rFonts w:cs="Calibri"/>
                <w:color w:val="000000" w:themeColor="text1"/>
              </w:rPr>
              <w:t xml:space="preserve"> Forum</w:t>
            </w:r>
          </w:p>
        </w:tc>
        <w:tc>
          <w:tcPr>
            <w:tcW w:w="2517" w:type="dxa"/>
          </w:tcPr>
          <w:p w14:paraId="39E7F8C5" w14:textId="77777777" w:rsidR="004D2FA7" w:rsidRDefault="004D2FA7" w:rsidP="00395313">
            <w:pPr>
              <w:spacing w:line="288" w:lineRule="auto"/>
              <w:jc w:val="both"/>
              <w:rPr>
                <w:rFonts w:cs="Calibri"/>
                <w:color w:val="000000" w:themeColor="text1"/>
              </w:rPr>
            </w:pPr>
            <w:r>
              <w:rPr>
                <w:rFonts w:cs="Calibri"/>
                <w:color w:val="000000" w:themeColor="text1"/>
              </w:rPr>
              <w:t>10H00</w:t>
            </w:r>
          </w:p>
        </w:tc>
      </w:tr>
      <w:tr w:rsidR="004D2FA7" w14:paraId="00F73CFB" w14:textId="77777777" w:rsidTr="004D2FA7">
        <w:tc>
          <w:tcPr>
            <w:tcW w:w="1951" w:type="dxa"/>
          </w:tcPr>
          <w:p w14:paraId="04814635" w14:textId="77777777" w:rsidR="004D2FA7" w:rsidRDefault="004D2FA7" w:rsidP="00395313">
            <w:pPr>
              <w:spacing w:line="288" w:lineRule="auto"/>
              <w:jc w:val="both"/>
              <w:rPr>
                <w:rFonts w:cs="Calibri"/>
                <w:color w:val="000000" w:themeColor="text1"/>
              </w:rPr>
            </w:pPr>
            <w:r>
              <w:rPr>
                <w:rFonts w:cs="Calibri"/>
                <w:color w:val="000000" w:themeColor="text1"/>
              </w:rPr>
              <w:t>20 February</w:t>
            </w:r>
          </w:p>
        </w:tc>
        <w:tc>
          <w:tcPr>
            <w:tcW w:w="5387" w:type="dxa"/>
          </w:tcPr>
          <w:p w14:paraId="6E6F16B3" w14:textId="77777777" w:rsidR="004D2FA7" w:rsidRDefault="004D2FA7" w:rsidP="00395313">
            <w:pPr>
              <w:spacing w:line="288" w:lineRule="auto"/>
              <w:jc w:val="both"/>
              <w:rPr>
                <w:rFonts w:cs="Calibri"/>
                <w:color w:val="000000" w:themeColor="text1"/>
              </w:rPr>
            </w:pPr>
            <w:r>
              <w:rPr>
                <w:rFonts w:cs="Calibri"/>
                <w:color w:val="000000" w:themeColor="text1"/>
              </w:rPr>
              <w:t>CFO Forum</w:t>
            </w:r>
          </w:p>
        </w:tc>
        <w:tc>
          <w:tcPr>
            <w:tcW w:w="2517" w:type="dxa"/>
          </w:tcPr>
          <w:p w14:paraId="36C6BAC1" w14:textId="77777777" w:rsidR="004D2FA7" w:rsidRDefault="004D2FA7" w:rsidP="00395313">
            <w:pPr>
              <w:spacing w:line="288" w:lineRule="auto"/>
              <w:jc w:val="both"/>
              <w:rPr>
                <w:rFonts w:cs="Calibri"/>
                <w:color w:val="000000" w:themeColor="text1"/>
              </w:rPr>
            </w:pPr>
            <w:r>
              <w:rPr>
                <w:rFonts w:cs="Calibri"/>
                <w:color w:val="000000" w:themeColor="text1"/>
              </w:rPr>
              <w:t>10H00</w:t>
            </w:r>
          </w:p>
        </w:tc>
      </w:tr>
      <w:tr w:rsidR="004D2FA7" w14:paraId="76B0A835" w14:textId="77777777" w:rsidTr="004D2FA7">
        <w:tc>
          <w:tcPr>
            <w:tcW w:w="1951" w:type="dxa"/>
          </w:tcPr>
          <w:p w14:paraId="27EB2BDF" w14:textId="77777777" w:rsidR="004D2FA7" w:rsidRDefault="004D2FA7" w:rsidP="00395313">
            <w:pPr>
              <w:spacing w:line="288" w:lineRule="auto"/>
              <w:jc w:val="both"/>
              <w:rPr>
                <w:rFonts w:cs="Calibri"/>
                <w:color w:val="000000" w:themeColor="text1"/>
              </w:rPr>
            </w:pPr>
            <w:r>
              <w:rPr>
                <w:rFonts w:cs="Calibri"/>
                <w:color w:val="000000" w:themeColor="text1"/>
              </w:rPr>
              <w:t>24 February</w:t>
            </w:r>
          </w:p>
        </w:tc>
        <w:tc>
          <w:tcPr>
            <w:tcW w:w="5387" w:type="dxa"/>
          </w:tcPr>
          <w:p w14:paraId="03FED6D2" w14:textId="77777777" w:rsidR="004D2FA7" w:rsidRDefault="004D2FA7" w:rsidP="00395313">
            <w:pPr>
              <w:spacing w:line="288" w:lineRule="auto"/>
              <w:jc w:val="both"/>
              <w:rPr>
                <w:rFonts w:cs="Calibri"/>
                <w:color w:val="000000" w:themeColor="text1"/>
              </w:rPr>
            </w:pPr>
            <w:r>
              <w:rPr>
                <w:rFonts w:cs="Calibri"/>
                <w:color w:val="000000" w:themeColor="text1"/>
              </w:rPr>
              <w:t>Community Forum</w:t>
            </w:r>
          </w:p>
        </w:tc>
        <w:tc>
          <w:tcPr>
            <w:tcW w:w="2517" w:type="dxa"/>
          </w:tcPr>
          <w:p w14:paraId="6283D5DF" w14:textId="77777777" w:rsidR="004D2FA7" w:rsidRDefault="004D2FA7" w:rsidP="00395313">
            <w:pPr>
              <w:spacing w:line="288" w:lineRule="auto"/>
              <w:jc w:val="both"/>
              <w:rPr>
                <w:rFonts w:cs="Calibri"/>
                <w:color w:val="000000" w:themeColor="text1"/>
              </w:rPr>
            </w:pPr>
            <w:r>
              <w:rPr>
                <w:rFonts w:cs="Calibri"/>
                <w:color w:val="000000" w:themeColor="text1"/>
              </w:rPr>
              <w:t>9H00</w:t>
            </w:r>
          </w:p>
        </w:tc>
      </w:tr>
      <w:tr w:rsidR="004D2FA7" w14:paraId="43F9F3C6" w14:textId="77777777" w:rsidTr="004D2FA7">
        <w:tc>
          <w:tcPr>
            <w:tcW w:w="1951" w:type="dxa"/>
          </w:tcPr>
          <w:p w14:paraId="7231F9D4" w14:textId="77777777" w:rsidR="004D2FA7" w:rsidRDefault="004D2FA7" w:rsidP="00395313">
            <w:pPr>
              <w:spacing w:line="288" w:lineRule="auto"/>
              <w:jc w:val="both"/>
              <w:rPr>
                <w:rFonts w:cs="Calibri"/>
                <w:color w:val="000000" w:themeColor="text1"/>
              </w:rPr>
            </w:pPr>
            <w:r>
              <w:rPr>
                <w:rFonts w:cs="Calibri"/>
                <w:color w:val="000000" w:themeColor="text1"/>
              </w:rPr>
              <w:t>24 February</w:t>
            </w:r>
          </w:p>
        </w:tc>
        <w:tc>
          <w:tcPr>
            <w:tcW w:w="5387" w:type="dxa"/>
          </w:tcPr>
          <w:p w14:paraId="024A2E89" w14:textId="77777777" w:rsidR="004D2FA7" w:rsidRDefault="004D2FA7" w:rsidP="00395313">
            <w:pPr>
              <w:spacing w:line="288" w:lineRule="auto"/>
              <w:jc w:val="both"/>
              <w:rPr>
                <w:rFonts w:cs="Calibri"/>
                <w:color w:val="000000" w:themeColor="text1"/>
              </w:rPr>
            </w:pPr>
            <w:r>
              <w:rPr>
                <w:rFonts w:cs="Calibri"/>
                <w:color w:val="000000" w:themeColor="text1"/>
              </w:rPr>
              <w:t>Infrastructure Forum</w:t>
            </w:r>
          </w:p>
        </w:tc>
        <w:tc>
          <w:tcPr>
            <w:tcW w:w="2517" w:type="dxa"/>
          </w:tcPr>
          <w:p w14:paraId="72E7DC43" w14:textId="77777777" w:rsidR="004D2FA7" w:rsidRDefault="004D2FA7" w:rsidP="00395313">
            <w:pPr>
              <w:spacing w:line="288" w:lineRule="auto"/>
              <w:jc w:val="both"/>
              <w:rPr>
                <w:rFonts w:cs="Calibri"/>
                <w:color w:val="000000" w:themeColor="text1"/>
              </w:rPr>
            </w:pPr>
            <w:r>
              <w:rPr>
                <w:rFonts w:cs="Calibri"/>
                <w:color w:val="000000" w:themeColor="text1"/>
              </w:rPr>
              <w:t>14H00</w:t>
            </w:r>
          </w:p>
        </w:tc>
      </w:tr>
      <w:tr w:rsidR="004D2FA7" w14:paraId="5309E10D" w14:textId="77777777" w:rsidTr="004D2FA7">
        <w:tc>
          <w:tcPr>
            <w:tcW w:w="1951" w:type="dxa"/>
          </w:tcPr>
          <w:p w14:paraId="6709C007" w14:textId="77777777" w:rsidR="004D2FA7" w:rsidRDefault="004D2FA7" w:rsidP="004D2FA7">
            <w:pPr>
              <w:spacing w:line="288" w:lineRule="auto"/>
              <w:jc w:val="both"/>
              <w:rPr>
                <w:rFonts w:cs="Calibri"/>
                <w:color w:val="000000" w:themeColor="text1"/>
              </w:rPr>
            </w:pPr>
            <w:r>
              <w:rPr>
                <w:rFonts w:cs="Calibri"/>
                <w:color w:val="000000" w:themeColor="text1"/>
              </w:rPr>
              <w:t>6 March</w:t>
            </w:r>
          </w:p>
        </w:tc>
        <w:tc>
          <w:tcPr>
            <w:tcW w:w="5387" w:type="dxa"/>
          </w:tcPr>
          <w:p w14:paraId="7C18C938" w14:textId="77777777" w:rsidR="004D2FA7" w:rsidRDefault="004D2FA7" w:rsidP="00395313">
            <w:pPr>
              <w:spacing w:line="288" w:lineRule="auto"/>
              <w:jc w:val="both"/>
              <w:rPr>
                <w:rFonts w:cs="Calibri"/>
                <w:color w:val="000000" w:themeColor="text1"/>
              </w:rPr>
            </w:pPr>
            <w:r>
              <w:rPr>
                <w:rFonts w:cs="Calibri"/>
                <w:color w:val="000000" w:themeColor="text1"/>
              </w:rPr>
              <w:t>Corporate</w:t>
            </w:r>
            <w:r w:rsidR="00825269">
              <w:rPr>
                <w:rFonts w:cs="Calibri"/>
                <w:color w:val="000000" w:themeColor="text1"/>
              </w:rPr>
              <w:t xml:space="preserve"> Services</w:t>
            </w:r>
            <w:r>
              <w:rPr>
                <w:rFonts w:cs="Calibri"/>
                <w:color w:val="000000" w:themeColor="text1"/>
              </w:rPr>
              <w:t xml:space="preserve"> Forum</w:t>
            </w:r>
          </w:p>
        </w:tc>
        <w:tc>
          <w:tcPr>
            <w:tcW w:w="2517" w:type="dxa"/>
          </w:tcPr>
          <w:p w14:paraId="5DEC7323" w14:textId="77777777" w:rsidR="004D2FA7" w:rsidRDefault="004D2FA7" w:rsidP="00395313">
            <w:pPr>
              <w:spacing w:line="288" w:lineRule="auto"/>
              <w:jc w:val="both"/>
              <w:rPr>
                <w:rFonts w:cs="Calibri"/>
                <w:color w:val="000000" w:themeColor="text1"/>
              </w:rPr>
            </w:pPr>
            <w:r>
              <w:rPr>
                <w:rFonts w:cs="Calibri"/>
                <w:color w:val="000000" w:themeColor="text1"/>
              </w:rPr>
              <w:t>10H00</w:t>
            </w:r>
          </w:p>
        </w:tc>
      </w:tr>
      <w:tr w:rsidR="004D2FA7" w14:paraId="71A6C702" w14:textId="77777777" w:rsidTr="004D2FA7">
        <w:tc>
          <w:tcPr>
            <w:tcW w:w="1951" w:type="dxa"/>
          </w:tcPr>
          <w:p w14:paraId="3D0B99AC" w14:textId="77777777" w:rsidR="004D2FA7" w:rsidRDefault="004D2FA7" w:rsidP="004D2FA7">
            <w:pPr>
              <w:spacing w:line="288" w:lineRule="auto"/>
              <w:jc w:val="both"/>
              <w:rPr>
                <w:rFonts w:cs="Calibri"/>
                <w:color w:val="000000" w:themeColor="text1"/>
              </w:rPr>
            </w:pPr>
            <w:r w:rsidRPr="004D2FA7">
              <w:rPr>
                <w:rFonts w:cs="Calibri"/>
                <w:color w:val="000000" w:themeColor="text1"/>
              </w:rPr>
              <w:t>13 March</w:t>
            </w:r>
          </w:p>
        </w:tc>
        <w:tc>
          <w:tcPr>
            <w:tcW w:w="5387" w:type="dxa"/>
          </w:tcPr>
          <w:p w14:paraId="01132F2F" w14:textId="77777777" w:rsidR="004D2FA7" w:rsidRDefault="004D2FA7" w:rsidP="00395313">
            <w:pPr>
              <w:spacing w:line="288" w:lineRule="auto"/>
              <w:jc w:val="both"/>
              <w:rPr>
                <w:rFonts w:cs="Calibri"/>
                <w:color w:val="000000" w:themeColor="text1"/>
              </w:rPr>
            </w:pPr>
            <w:r>
              <w:rPr>
                <w:rFonts w:cs="Calibri"/>
                <w:color w:val="000000" w:themeColor="text1"/>
              </w:rPr>
              <w:t>Planners Forum</w:t>
            </w:r>
          </w:p>
        </w:tc>
        <w:tc>
          <w:tcPr>
            <w:tcW w:w="2517" w:type="dxa"/>
          </w:tcPr>
          <w:p w14:paraId="5805CD6E" w14:textId="77777777" w:rsidR="004D2FA7" w:rsidRDefault="004D2FA7" w:rsidP="00395313">
            <w:pPr>
              <w:spacing w:line="288" w:lineRule="auto"/>
              <w:jc w:val="both"/>
              <w:rPr>
                <w:rFonts w:cs="Calibri"/>
                <w:color w:val="000000" w:themeColor="text1"/>
              </w:rPr>
            </w:pPr>
            <w:r>
              <w:rPr>
                <w:rFonts w:cs="Calibri"/>
                <w:color w:val="000000" w:themeColor="text1"/>
              </w:rPr>
              <w:t>9H30</w:t>
            </w:r>
          </w:p>
        </w:tc>
      </w:tr>
      <w:tr w:rsidR="004D2FA7" w14:paraId="3462799A" w14:textId="77777777" w:rsidTr="004D2FA7">
        <w:tc>
          <w:tcPr>
            <w:tcW w:w="1951" w:type="dxa"/>
          </w:tcPr>
          <w:p w14:paraId="262D790F" w14:textId="77777777" w:rsidR="004D2FA7" w:rsidRDefault="004D2FA7" w:rsidP="00395313">
            <w:pPr>
              <w:spacing w:line="288" w:lineRule="auto"/>
              <w:jc w:val="both"/>
              <w:rPr>
                <w:rFonts w:cs="Calibri"/>
                <w:color w:val="000000" w:themeColor="text1"/>
              </w:rPr>
            </w:pPr>
            <w:r>
              <w:rPr>
                <w:rFonts w:cs="Calibri"/>
                <w:color w:val="000000" w:themeColor="text1"/>
              </w:rPr>
              <w:t>19 May</w:t>
            </w:r>
          </w:p>
        </w:tc>
        <w:tc>
          <w:tcPr>
            <w:tcW w:w="5387" w:type="dxa"/>
          </w:tcPr>
          <w:p w14:paraId="398A0C7E" w14:textId="77777777" w:rsidR="004D2FA7" w:rsidRDefault="004D2FA7" w:rsidP="00395313">
            <w:pPr>
              <w:spacing w:line="288" w:lineRule="auto"/>
              <w:jc w:val="both"/>
              <w:rPr>
                <w:rFonts w:cs="Calibri"/>
                <w:color w:val="000000" w:themeColor="text1"/>
              </w:rPr>
            </w:pPr>
            <w:r w:rsidRPr="004D2FA7">
              <w:rPr>
                <w:rFonts w:cs="Calibri"/>
                <w:color w:val="000000" w:themeColor="text1"/>
              </w:rPr>
              <w:t>CFO Forum</w:t>
            </w:r>
          </w:p>
        </w:tc>
        <w:tc>
          <w:tcPr>
            <w:tcW w:w="2517" w:type="dxa"/>
          </w:tcPr>
          <w:p w14:paraId="000E01AA" w14:textId="77777777" w:rsidR="004D2FA7" w:rsidRDefault="004D2FA7" w:rsidP="00395313">
            <w:pPr>
              <w:spacing w:line="288" w:lineRule="auto"/>
              <w:jc w:val="both"/>
              <w:rPr>
                <w:rFonts w:cs="Calibri"/>
                <w:color w:val="000000" w:themeColor="text1"/>
              </w:rPr>
            </w:pPr>
            <w:r>
              <w:rPr>
                <w:rFonts w:cs="Calibri"/>
                <w:color w:val="000000" w:themeColor="text1"/>
              </w:rPr>
              <w:t>10H00</w:t>
            </w:r>
          </w:p>
        </w:tc>
      </w:tr>
      <w:tr w:rsidR="004D2FA7" w14:paraId="3679D1DE" w14:textId="77777777" w:rsidTr="004D2FA7">
        <w:tc>
          <w:tcPr>
            <w:tcW w:w="1951" w:type="dxa"/>
          </w:tcPr>
          <w:p w14:paraId="40DFCE2E" w14:textId="77777777" w:rsidR="004D2FA7" w:rsidRDefault="004D2FA7" w:rsidP="00395313">
            <w:pPr>
              <w:spacing w:line="288" w:lineRule="auto"/>
              <w:jc w:val="both"/>
              <w:rPr>
                <w:rFonts w:cs="Calibri"/>
                <w:color w:val="000000" w:themeColor="text1"/>
              </w:rPr>
            </w:pPr>
            <w:r w:rsidRPr="004D2FA7">
              <w:rPr>
                <w:rFonts w:cs="Calibri"/>
                <w:color w:val="000000" w:themeColor="text1"/>
              </w:rPr>
              <w:t>19 May</w:t>
            </w:r>
          </w:p>
        </w:tc>
        <w:tc>
          <w:tcPr>
            <w:tcW w:w="5387" w:type="dxa"/>
          </w:tcPr>
          <w:p w14:paraId="64F59BE4" w14:textId="77777777" w:rsidR="004D2FA7" w:rsidRDefault="004D2FA7" w:rsidP="00395313">
            <w:pPr>
              <w:spacing w:line="288" w:lineRule="auto"/>
              <w:jc w:val="both"/>
              <w:rPr>
                <w:rFonts w:cs="Calibri"/>
                <w:color w:val="000000" w:themeColor="text1"/>
              </w:rPr>
            </w:pPr>
            <w:r w:rsidRPr="004D2FA7">
              <w:rPr>
                <w:rFonts w:cs="Calibri"/>
                <w:color w:val="000000" w:themeColor="text1"/>
              </w:rPr>
              <w:t>Infrastructure Forum</w:t>
            </w:r>
          </w:p>
        </w:tc>
        <w:tc>
          <w:tcPr>
            <w:tcW w:w="2517" w:type="dxa"/>
          </w:tcPr>
          <w:p w14:paraId="3D6A6A39" w14:textId="77777777" w:rsidR="004D2FA7" w:rsidRDefault="004D2FA7" w:rsidP="00395313">
            <w:pPr>
              <w:spacing w:line="288" w:lineRule="auto"/>
              <w:jc w:val="both"/>
              <w:rPr>
                <w:rFonts w:cs="Calibri"/>
                <w:color w:val="000000" w:themeColor="text1"/>
              </w:rPr>
            </w:pPr>
            <w:r w:rsidRPr="004D2FA7">
              <w:rPr>
                <w:rFonts w:cs="Calibri"/>
                <w:color w:val="000000" w:themeColor="text1"/>
              </w:rPr>
              <w:t>10H00</w:t>
            </w:r>
          </w:p>
        </w:tc>
      </w:tr>
      <w:tr w:rsidR="004D2FA7" w14:paraId="37B68919" w14:textId="77777777" w:rsidTr="004D2FA7">
        <w:tc>
          <w:tcPr>
            <w:tcW w:w="1951" w:type="dxa"/>
          </w:tcPr>
          <w:p w14:paraId="7A74FE39" w14:textId="77777777" w:rsidR="004D2FA7" w:rsidRDefault="004D2FA7" w:rsidP="00395313">
            <w:pPr>
              <w:spacing w:line="288" w:lineRule="auto"/>
              <w:jc w:val="both"/>
              <w:rPr>
                <w:rFonts w:cs="Calibri"/>
                <w:color w:val="000000" w:themeColor="text1"/>
              </w:rPr>
            </w:pPr>
            <w:r>
              <w:rPr>
                <w:rFonts w:cs="Calibri"/>
                <w:color w:val="000000" w:themeColor="text1"/>
              </w:rPr>
              <w:t>21 May</w:t>
            </w:r>
          </w:p>
        </w:tc>
        <w:tc>
          <w:tcPr>
            <w:tcW w:w="5387" w:type="dxa"/>
          </w:tcPr>
          <w:p w14:paraId="7549C2F8" w14:textId="77777777" w:rsidR="004D2FA7" w:rsidRDefault="004D2FA7" w:rsidP="00825269">
            <w:pPr>
              <w:spacing w:line="288" w:lineRule="auto"/>
              <w:jc w:val="both"/>
              <w:rPr>
                <w:rFonts w:cs="Calibri"/>
                <w:color w:val="000000" w:themeColor="text1"/>
              </w:rPr>
            </w:pPr>
            <w:r w:rsidRPr="004D2FA7">
              <w:rPr>
                <w:rFonts w:cs="Calibri"/>
                <w:color w:val="000000" w:themeColor="text1"/>
              </w:rPr>
              <w:t>Communicat</w:t>
            </w:r>
            <w:r w:rsidR="00825269">
              <w:rPr>
                <w:rFonts w:cs="Calibri"/>
                <w:color w:val="000000" w:themeColor="text1"/>
              </w:rPr>
              <w:t xml:space="preserve">ors </w:t>
            </w:r>
            <w:r w:rsidRPr="004D2FA7">
              <w:rPr>
                <w:rFonts w:cs="Calibri"/>
                <w:color w:val="000000" w:themeColor="text1"/>
              </w:rPr>
              <w:t>Forum</w:t>
            </w:r>
          </w:p>
        </w:tc>
        <w:tc>
          <w:tcPr>
            <w:tcW w:w="2517" w:type="dxa"/>
          </w:tcPr>
          <w:p w14:paraId="29C9A473" w14:textId="77777777" w:rsidR="004D2FA7" w:rsidRDefault="004D2FA7" w:rsidP="00395313">
            <w:pPr>
              <w:spacing w:line="288" w:lineRule="auto"/>
              <w:jc w:val="both"/>
              <w:rPr>
                <w:rFonts w:cs="Calibri"/>
                <w:color w:val="000000" w:themeColor="text1"/>
              </w:rPr>
            </w:pPr>
            <w:r>
              <w:rPr>
                <w:rFonts w:cs="Calibri"/>
                <w:color w:val="000000" w:themeColor="text1"/>
              </w:rPr>
              <w:t>10H00</w:t>
            </w:r>
          </w:p>
        </w:tc>
      </w:tr>
      <w:tr w:rsidR="004D2FA7" w14:paraId="30C91C6B" w14:textId="77777777" w:rsidTr="004D2FA7">
        <w:tc>
          <w:tcPr>
            <w:tcW w:w="1951" w:type="dxa"/>
          </w:tcPr>
          <w:p w14:paraId="70B65C32" w14:textId="77777777" w:rsidR="004D2FA7" w:rsidRDefault="004D2FA7" w:rsidP="00395313">
            <w:pPr>
              <w:spacing w:line="288" w:lineRule="auto"/>
              <w:jc w:val="both"/>
              <w:rPr>
                <w:rFonts w:cs="Calibri"/>
                <w:color w:val="000000" w:themeColor="text1"/>
              </w:rPr>
            </w:pPr>
            <w:r>
              <w:rPr>
                <w:rFonts w:cs="Calibri"/>
                <w:color w:val="000000" w:themeColor="text1"/>
              </w:rPr>
              <w:t>12 June</w:t>
            </w:r>
          </w:p>
        </w:tc>
        <w:tc>
          <w:tcPr>
            <w:tcW w:w="5387" w:type="dxa"/>
          </w:tcPr>
          <w:p w14:paraId="1EFBDB62" w14:textId="77777777" w:rsidR="004D2FA7" w:rsidRDefault="004D2FA7" w:rsidP="00395313">
            <w:pPr>
              <w:spacing w:line="288" w:lineRule="auto"/>
              <w:jc w:val="both"/>
              <w:rPr>
                <w:rFonts w:cs="Calibri"/>
                <w:color w:val="000000" w:themeColor="text1"/>
              </w:rPr>
            </w:pPr>
            <w:r>
              <w:rPr>
                <w:rFonts w:cs="Calibri"/>
                <w:color w:val="000000" w:themeColor="text1"/>
              </w:rPr>
              <w:t>Planners Forum</w:t>
            </w:r>
          </w:p>
        </w:tc>
        <w:tc>
          <w:tcPr>
            <w:tcW w:w="2517" w:type="dxa"/>
          </w:tcPr>
          <w:p w14:paraId="3F1C03C3" w14:textId="77777777" w:rsidR="004D2FA7" w:rsidRDefault="004D2FA7" w:rsidP="00395313">
            <w:pPr>
              <w:spacing w:line="288" w:lineRule="auto"/>
              <w:jc w:val="both"/>
              <w:rPr>
                <w:rFonts w:cs="Calibri"/>
                <w:color w:val="000000" w:themeColor="text1"/>
              </w:rPr>
            </w:pPr>
            <w:r>
              <w:rPr>
                <w:rFonts w:cs="Calibri"/>
                <w:color w:val="000000" w:themeColor="text1"/>
              </w:rPr>
              <w:t>9H00</w:t>
            </w:r>
          </w:p>
        </w:tc>
      </w:tr>
      <w:tr w:rsidR="004D2FA7" w14:paraId="2BDF6F71" w14:textId="77777777" w:rsidTr="004D2FA7">
        <w:tc>
          <w:tcPr>
            <w:tcW w:w="1951" w:type="dxa"/>
          </w:tcPr>
          <w:p w14:paraId="2E5400C6" w14:textId="77777777" w:rsidR="004D2FA7" w:rsidRDefault="004D2FA7" w:rsidP="00395313">
            <w:pPr>
              <w:spacing w:line="288" w:lineRule="auto"/>
              <w:jc w:val="both"/>
              <w:rPr>
                <w:rFonts w:cs="Calibri"/>
                <w:color w:val="000000" w:themeColor="text1"/>
              </w:rPr>
            </w:pPr>
            <w:r>
              <w:rPr>
                <w:rFonts w:cs="Calibri"/>
                <w:color w:val="000000" w:themeColor="text1"/>
              </w:rPr>
              <w:t>13 August</w:t>
            </w:r>
          </w:p>
        </w:tc>
        <w:tc>
          <w:tcPr>
            <w:tcW w:w="5387" w:type="dxa"/>
          </w:tcPr>
          <w:p w14:paraId="67AE85D7" w14:textId="77777777" w:rsidR="004D2FA7" w:rsidRDefault="004D2FA7" w:rsidP="00395313">
            <w:pPr>
              <w:spacing w:line="288" w:lineRule="auto"/>
              <w:jc w:val="both"/>
              <w:rPr>
                <w:rFonts w:cs="Calibri"/>
                <w:color w:val="000000" w:themeColor="text1"/>
              </w:rPr>
            </w:pPr>
            <w:r w:rsidRPr="004D2FA7">
              <w:rPr>
                <w:rFonts w:cs="Calibri"/>
                <w:color w:val="000000" w:themeColor="text1"/>
              </w:rPr>
              <w:t>Infrastructure Forum</w:t>
            </w:r>
          </w:p>
        </w:tc>
        <w:tc>
          <w:tcPr>
            <w:tcW w:w="2517" w:type="dxa"/>
          </w:tcPr>
          <w:p w14:paraId="2D51881C" w14:textId="77777777" w:rsidR="004D2FA7" w:rsidRDefault="004D2FA7" w:rsidP="00395313">
            <w:pPr>
              <w:spacing w:line="288" w:lineRule="auto"/>
              <w:jc w:val="both"/>
              <w:rPr>
                <w:rFonts w:cs="Calibri"/>
                <w:color w:val="000000" w:themeColor="text1"/>
              </w:rPr>
            </w:pPr>
            <w:r>
              <w:rPr>
                <w:rFonts w:cs="Calibri"/>
                <w:color w:val="000000" w:themeColor="text1"/>
              </w:rPr>
              <w:t>12H00</w:t>
            </w:r>
          </w:p>
        </w:tc>
      </w:tr>
      <w:tr w:rsidR="004D2FA7" w14:paraId="0EFBE8A4" w14:textId="77777777" w:rsidTr="004D2FA7">
        <w:tc>
          <w:tcPr>
            <w:tcW w:w="1951" w:type="dxa"/>
          </w:tcPr>
          <w:p w14:paraId="35C310A7" w14:textId="77777777" w:rsidR="004D2FA7" w:rsidRDefault="004D2FA7" w:rsidP="00395313">
            <w:pPr>
              <w:spacing w:line="288" w:lineRule="auto"/>
              <w:jc w:val="both"/>
              <w:rPr>
                <w:rFonts w:cs="Calibri"/>
                <w:color w:val="000000" w:themeColor="text1"/>
              </w:rPr>
            </w:pPr>
            <w:r>
              <w:rPr>
                <w:rFonts w:cs="Calibri"/>
                <w:color w:val="000000" w:themeColor="text1"/>
              </w:rPr>
              <w:t>20 August</w:t>
            </w:r>
          </w:p>
        </w:tc>
        <w:tc>
          <w:tcPr>
            <w:tcW w:w="5387" w:type="dxa"/>
          </w:tcPr>
          <w:p w14:paraId="17629EE7" w14:textId="77777777" w:rsidR="004D2FA7" w:rsidRDefault="004D2FA7" w:rsidP="00825269">
            <w:pPr>
              <w:spacing w:line="288" w:lineRule="auto"/>
              <w:jc w:val="both"/>
              <w:rPr>
                <w:rFonts w:cs="Calibri"/>
                <w:color w:val="000000" w:themeColor="text1"/>
              </w:rPr>
            </w:pPr>
            <w:r w:rsidRPr="004D2FA7">
              <w:rPr>
                <w:rFonts w:cs="Calibri"/>
                <w:color w:val="000000" w:themeColor="text1"/>
              </w:rPr>
              <w:t>Communicat</w:t>
            </w:r>
            <w:r w:rsidR="00825269">
              <w:rPr>
                <w:rFonts w:cs="Calibri"/>
                <w:color w:val="000000" w:themeColor="text1"/>
              </w:rPr>
              <w:t>ors</w:t>
            </w:r>
            <w:r w:rsidRPr="004D2FA7">
              <w:rPr>
                <w:rFonts w:cs="Calibri"/>
                <w:color w:val="000000" w:themeColor="text1"/>
              </w:rPr>
              <w:t xml:space="preserve"> Forum</w:t>
            </w:r>
          </w:p>
        </w:tc>
        <w:tc>
          <w:tcPr>
            <w:tcW w:w="2517" w:type="dxa"/>
          </w:tcPr>
          <w:p w14:paraId="3D76BB4A" w14:textId="77777777" w:rsidR="004D2FA7" w:rsidRDefault="004D2FA7" w:rsidP="00395313">
            <w:pPr>
              <w:spacing w:line="288" w:lineRule="auto"/>
              <w:jc w:val="both"/>
              <w:rPr>
                <w:rFonts w:cs="Calibri"/>
                <w:color w:val="000000" w:themeColor="text1"/>
              </w:rPr>
            </w:pPr>
            <w:r>
              <w:rPr>
                <w:rFonts w:cs="Calibri"/>
                <w:color w:val="000000" w:themeColor="text1"/>
              </w:rPr>
              <w:t>10H00</w:t>
            </w:r>
          </w:p>
        </w:tc>
      </w:tr>
      <w:tr w:rsidR="004D2FA7" w14:paraId="735D80A4" w14:textId="77777777" w:rsidTr="004D2FA7">
        <w:tc>
          <w:tcPr>
            <w:tcW w:w="1951" w:type="dxa"/>
          </w:tcPr>
          <w:p w14:paraId="71189E7D" w14:textId="77777777" w:rsidR="004D2FA7" w:rsidRDefault="004D2FA7" w:rsidP="00395313">
            <w:pPr>
              <w:spacing w:line="288" w:lineRule="auto"/>
              <w:jc w:val="both"/>
              <w:rPr>
                <w:rFonts w:cs="Calibri"/>
                <w:color w:val="000000" w:themeColor="text1"/>
              </w:rPr>
            </w:pPr>
            <w:r>
              <w:rPr>
                <w:rFonts w:cs="Calibri"/>
                <w:color w:val="000000" w:themeColor="text1"/>
              </w:rPr>
              <w:t>10 September</w:t>
            </w:r>
          </w:p>
        </w:tc>
        <w:tc>
          <w:tcPr>
            <w:tcW w:w="5387" w:type="dxa"/>
          </w:tcPr>
          <w:p w14:paraId="5885031E" w14:textId="77777777" w:rsidR="004D2FA7" w:rsidRDefault="004D2FA7" w:rsidP="00395313">
            <w:pPr>
              <w:spacing w:line="288" w:lineRule="auto"/>
              <w:jc w:val="both"/>
              <w:rPr>
                <w:rFonts w:cs="Calibri"/>
                <w:color w:val="000000" w:themeColor="text1"/>
              </w:rPr>
            </w:pPr>
            <w:r>
              <w:rPr>
                <w:rFonts w:cs="Calibri"/>
                <w:color w:val="000000" w:themeColor="text1"/>
              </w:rPr>
              <w:t>CFO Forum</w:t>
            </w:r>
          </w:p>
        </w:tc>
        <w:tc>
          <w:tcPr>
            <w:tcW w:w="2517" w:type="dxa"/>
          </w:tcPr>
          <w:p w14:paraId="01D56A59" w14:textId="77777777" w:rsidR="004D2FA7" w:rsidRDefault="006D0C3E" w:rsidP="00395313">
            <w:pPr>
              <w:spacing w:line="288" w:lineRule="auto"/>
              <w:jc w:val="both"/>
              <w:rPr>
                <w:rFonts w:cs="Calibri"/>
                <w:color w:val="000000" w:themeColor="text1"/>
              </w:rPr>
            </w:pPr>
            <w:r>
              <w:rPr>
                <w:rFonts w:cs="Calibri"/>
                <w:color w:val="000000" w:themeColor="text1"/>
              </w:rPr>
              <w:t>9H00</w:t>
            </w:r>
          </w:p>
        </w:tc>
      </w:tr>
      <w:tr w:rsidR="004D2FA7" w14:paraId="1F275E26" w14:textId="77777777" w:rsidTr="004D2FA7">
        <w:tc>
          <w:tcPr>
            <w:tcW w:w="1951" w:type="dxa"/>
          </w:tcPr>
          <w:p w14:paraId="651D0924" w14:textId="77777777" w:rsidR="004D2FA7" w:rsidRDefault="006D0C3E" w:rsidP="00395313">
            <w:pPr>
              <w:spacing w:line="288" w:lineRule="auto"/>
              <w:jc w:val="both"/>
              <w:rPr>
                <w:rFonts w:cs="Calibri"/>
                <w:color w:val="000000" w:themeColor="text1"/>
              </w:rPr>
            </w:pPr>
            <w:r>
              <w:rPr>
                <w:rFonts w:cs="Calibri"/>
                <w:color w:val="000000" w:themeColor="text1"/>
              </w:rPr>
              <w:t>11 September</w:t>
            </w:r>
          </w:p>
        </w:tc>
        <w:tc>
          <w:tcPr>
            <w:tcW w:w="5387" w:type="dxa"/>
          </w:tcPr>
          <w:p w14:paraId="25F49AB2" w14:textId="77777777" w:rsidR="004D2FA7" w:rsidRDefault="006D0C3E" w:rsidP="00395313">
            <w:pPr>
              <w:spacing w:line="288" w:lineRule="auto"/>
              <w:jc w:val="both"/>
              <w:rPr>
                <w:rFonts w:cs="Calibri"/>
                <w:color w:val="000000" w:themeColor="text1"/>
              </w:rPr>
            </w:pPr>
            <w:r>
              <w:rPr>
                <w:rFonts w:cs="Calibri"/>
                <w:color w:val="000000" w:themeColor="text1"/>
              </w:rPr>
              <w:t>Planners Forum</w:t>
            </w:r>
          </w:p>
        </w:tc>
        <w:tc>
          <w:tcPr>
            <w:tcW w:w="2517" w:type="dxa"/>
          </w:tcPr>
          <w:p w14:paraId="33DF78BB" w14:textId="77777777" w:rsidR="004D2FA7" w:rsidRDefault="006D0C3E" w:rsidP="00395313">
            <w:pPr>
              <w:spacing w:line="288" w:lineRule="auto"/>
              <w:jc w:val="both"/>
              <w:rPr>
                <w:rFonts w:cs="Calibri"/>
                <w:color w:val="000000" w:themeColor="text1"/>
              </w:rPr>
            </w:pPr>
            <w:r>
              <w:rPr>
                <w:rFonts w:cs="Calibri"/>
                <w:color w:val="000000" w:themeColor="text1"/>
              </w:rPr>
              <w:t>9H00</w:t>
            </w:r>
          </w:p>
        </w:tc>
      </w:tr>
      <w:tr w:rsidR="004D2FA7" w14:paraId="019E0927" w14:textId="77777777" w:rsidTr="004D2FA7">
        <w:tc>
          <w:tcPr>
            <w:tcW w:w="1951" w:type="dxa"/>
          </w:tcPr>
          <w:p w14:paraId="4453A4D5" w14:textId="77777777" w:rsidR="004D2FA7" w:rsidRDefault="006D0C3E" w:rsidP="00395313">
            <w:pPr>
              <w:spacing w:line="288" w:lineRule="auto"/>
              <w:jc w:val="both"/>
              <w:rPr>
                <w:rFonts w:cs="Calibri"/>
                <w:color w:val="000000" w:themeColor="text1"/>
              </w:rPr>
            </w:pPr>
            <w:r>
              <w:rPr>
                <w:rFonts w:cs="Calibri"/>
                <w:color w:val="000000" w:themeColor="text1"/>
              </w:rPr>
              <w:t>17 November</w:t>
            </w:r>
          </w:p>
        </w:tc>
        <w:tc>
          <w:tcPr>
            <w:tcW w:w="5387" w:type="dxa"/>
          </w:tcPr>
          <w:p w14:paraId="57E74EBA" w14:textId="77777777" w:rsidR="004D2FA7" w:rsidRDefault="006D0C3E" w:rsidP="00395313">
            <w:pPr>
              <w:spacing w:line="288" w:lineRule="auto"/>
              <w:jc w:val="both"/>
              <w:rPr>
                <w:rFonts w:cs="Calibri"/>
                <w:color w:val="000000" w:themeColor="text1"/>
              </w:rPr>
            </w:pPr>
            <w:r w:rsidRPr="006D0C3E">
              <w:rPr>
                <w:rFonts w:cs="Calibri"/>
                <w:color w:val="000000" w:themeColor="text1"/>
              </w:rPr>
              <w:t>Infrastructure Forum</w:t>
            </w:r>
          </w:p>
        </w:tc>
        <w:tc>
          <w:tcPr>
            <w:tcW w:w="2517" w:type="dxa"/>
          </w:tcPr>
          <w:p w14:paraId="5FC41D1F" w14:textId="77777777" w:rsidR="004D2FA7" w:rsidRDefault="006D0C3E" w:rsidP="00395313">
            <w:pPr>
              <w:spacing w:line="288" w:lineRule="auto"/>
              <w:jc w:val="both"/>
              <w:rPr>
                <w:rFonts w:cs="Calibri"/>
                <w:color w:val="000000" w:themeColor="text1"/>
              </w:rPr>
            </w:pPr>
            <w:r w:rsidRPr="006D0C3E">
              <w:rPr>
                <w:rFonts w:cs="Calibri"/>
                <w:color w:val="000000" w:themeColor="text1"/>
              </w:rPr>
              <w:t>12H00</w:t>
            </w:r>
          </w:p>
        </w:tc>
      </w:tr>
      <w:tr w:rsidR="006D0C3E" w14:paraId="66606533" w14:textId="77777777" w:rsidTr="004D2FA7">
        <w:tc>
          <w:tcPr>
            <w:tcW w:w="1951" w:type="dxa"/>
          </w:tcPr>
          <w:p w14:paraId="26D1DD4F" w14:textId="77777777" w:rsidR="006D0C3E" w:rsidRDefault="006D0C3E" w:rsidP="00395313">
            <w:pPr>
              <w:spacing w:line="288" w:lineRule="auto"/>
              <w:jc w:val="both"/>
              <w:rPr>
                <w:rFonts w:cs="Calibri"/>
                <w:color w:val="000000" w:themeColor="text1"/>
              </w:rPr>
            </w:pPr>
            <w:r>
              <w:rPr>
                <w:rFonts w:cs="Calibri"/>
                <w:color w:val="000000" w:themeColor="text1"/>
              </w:rPr>
              <w:t>19 November</w:t>
            </w:r>
          </w:p>
        </w:tc>
        <w:tc>
          <w:tcPr>
            <w:tcW w:w="5387" w:type="dxa"/>
          </w:tcPr>
          <w:p w14:paraId="5C23E5C2" w14:textId="77777777" w:rsidR="006D0C3E" w:rsidRPr="006D0C3E" w:rsidRDefault="006D0C3E" w:rsidP="00825269">
            <w:pPr>
              <w:spacing w:line="288" w:lineRule="auto"/>
              <w:jc w:val="both"/>
              <w:rPr>
                <w:rFonts w:cs="Calibri"/>
                <w:color w:val="000000" w:themeColor="text1"/>
              </w:rPr>
            </w:pPr>
            <w:r w:rsidRPr="006D0C3E">
              <w:rPr>
                <w:rFonts w:cs="Calibri"/>
                <w:color w:val="000000" w:themeColor="text1"/>
              </w:rPr>
              <w:t>Communicat</w:t>
            </w:r>
            <w:r w:rsidR="00825269">
              <w:rPr>
                <w:rFonts w:cs="Calibri"/>
                <w:color w:val="000000" w:themeColor="text1"/>
              </w:rPr>
              <w:t>ors</w:t>
            </w:r>
            <w:r w:rsidRPr="006D0C3E">
              <w:rPr>
                <w:rFonts w:cs="Calibri"/>
                <w:color w:val="000000" w:themeColor="text1"/>
              </w:rPr>
              <w:t xml:space="preserve"> Forum</w:t>
            </w:r>
          </w:p>
        </w:tc>
        <w:tc>
          <w:tcPr>
            <w:tcW w:w="2517" w:type="dxa"/>
          </w:tcPr>
          <w:p w14:paraId="68322272" w14:textId="77777777" w:rsidR="006D0C3E" w:rsidRPr="006D0C3E" w:rsidRDefault="006D0C3E" w:rsidP="00395313">
            <w:pPr>
              <w:spacing w:line="288" w:lineRule="auto"/>
              <w:jc w:val="both"/>
              <w:rPr>
                <w:rFonts w:cs="Calibri"/>
                <w:color w:val="000000" w:themeColor="text1"/>
              </w:rPr>
            </w:pPr>
            <w:r w:rsidRPr="006D0C3E">
              <w:rPr>
                <w:rFonts w:cs="Calibri"/>
                <w:color w:val="000000" w:themeColor="text1"/>
              </w:rPr>
              <w:t>10H00</w:t>
            </w:r>
          </w:p>
        </w:tc>
      </w:tr>
      <w:tr w:rsidR="006D0C3E" w14:paraId="7B631065" w14:textId="77777777" w:rsidTr="004D2FA7">
        <w:tc>
          <w:tcPr>
            <w:tcW w:w="1951" w:type="dxa"/>
          </w:tcPr>
          <w:p w14:paraId="1B17440D" w14:textId="77777777" w:rsidR="006D0C3E" w:rsidRDefault="006D0C3E" w:rsidP="00395313">
            <w:pPr>
              <w:spacing w:line="288" w:lineRule="auto"/>
              <w:jc w:val="both"/>
              <w:rPr>
                <w:rFonts w:cs="Calibri"/>
                <w:color w:val="000000" w:themeColor="text1"/>
              </w:rPr>
            </w:pPr>
            <w:r>
              <w:rPr>
                <w:rFonts w:cs="Calibri"/>
                <w:color w:val="000000" w:themeColor="text1"/>
              </w:rPr>
              <w:t>26 November</w:t>
            </w:r>
          </w:p>
        </w:tc>
        <w:tc>
          <w:tcPr>
            <w:tcW w:w="5387" w:type="dxa"/>
          </w:tcPr>
          <w:p w14:paraId="669A5720" w14:textId="77777777" w:rsidR="006D0C3E" w:rsidRPr="006D0C3E" w:rsidRDefault="006D0C3E" w:rsidP="00395313">
            <w:pPr>
              <w:spacing w:line="288" w:lineRule="auto"/>
              <w:jc w:val="both"/>
              <w:rPr>
                <w:rFonts w:cs="Calibri"/>
                <w:color w:val="000000" w:themeColor="text1"/>
              </w:rPr>
            </w:pPr>
            <w:r w:rsidRPr="006D0C3E">
              <w:rPr>
                <w:rFonts w:cs="Calibri"/>
                <w:color w:val="000000" w:themeColor="text1"/>
              </w:rPr>
              <w:t>CFO Forum</w:t>
            </w:r>
          </w:p>
        </w:tc>
        <w:tc>
          <w:tcPr>
            <w:tcW w:w="2517" w:type="dxa"/>
          </w:tcPr>
          <w:p w14:paraId="4A0D4D80" w14:textId="77777777" w:rsidR="006D0C3E" w:rsidRPr="006D0C3E" w:rsidRDefault="006D0C3E" w:rsidP="00395313">
            <w:pPr>
              <w:spacing w:line="288" w:lineRule="auto"/>
              <w:jc w:val="both"/>
              <w:rPr>
                <w:rFonts w:cs="Calibri"/>
                <w:color w:val="000000" w:themeColor="text1"/>
              </w:rPr>
            </w:pPr>
            <w:r w:rsidRPr="006D0C3E">
              <w:rPr>
                <w:rFonts w:cs="Calibri"/>
                <w:color w:val="000000" w:themeColor="text1"/>
              </w:rPr>
              <w:t>10H00</w:t>
            </w:r>
          </w:p>
        </w:tc>
      </w:tr>
      <w:tr w:rsidR="004D2FA7" w14:paraId="52A1EAC8" w14:textId="77777777" w:rsidTr="004D2FA7">
        <w:tc>
          <w:tcPr>
            <w:tcW w:w="1951" w:type="dxa"/>
          </w:tcPr>
          <w:p w14:paraId="2278FE49" w14:textId="77777777" w:rsidR="004D2FA7" w:rsidRDefault="006D0C3E" w:rsidP="00395313">
            <w:pPr>
              <w:spacing w:line="288" w:lineRule="auto"/>
              <w:jc w:val="both"/>
              <w:rPr>
                <w:rFonts w:cs="Calibri"/>
                <w:color w:val="000000" w:themeColor="text1"/>
              </w:rPr>
            </w:pPr>
            <w:r>
              <w:rPr>
                <w:rFonts w:cs="Calibri"/>
                <w:color w:val="000000" w:themeColor="text1"/>
              </w:rPr>
              <w:t>11 December</w:t>
            </w:r>
          </w:p>
        </w:tc>
        <w:tc>
          <w:tcPr>
            <w:tcW w:w="5387" w:type="dxa"/>
          </w:tcPr>
          <w:p w14:paraId="16BFF949" w14:textId="77777777" w:rsidR="004D2FA7" w:rsidRDefault="006D0C3E" w:rsidP="00395313">
            <w:pPr>
              <w:spacing w:line="288" w:lineRule="auto"/>
              <w:jc w:val="both"/>
              <w:rPr>
                <w:rFonts w:cs="Calibri"/>
                <w:color w:val="000000" w:themeColor="text1"/>
              </w:rPr>
            </w:pPr>
            <w:r w:rsidRPr="006D0C3E">
              <w:rPr>
                <w:rFonts w:cs="Calibri"/>
                <w:color w:val="000000" w:themeColor="text1"/>
              </w:rPr>
              <w:t>Planners Forum</w:t>
            </w:r>
          </w:p>
        </w:tc>
        <w:tc>
          <w:tcPr>
            <w:tcW w:w="2517" w:type="dxa"/>
          </w:tcPr>
          <w:p w14:paraId="5DCB12ED" w14:textId="77777777" w:rsidR="004D2FA7" w:rsidRDefault="006D0C3E" w:rsidP="00395313">
            <w:pPr>
              <w:spacing w:line="288" w:lineRule="auto"/>
              <w:jc w:val="both"/>
              <w:rPr>
                <w:rFonts w:cs="Calibri"/>
                <w:color w:val="000000" w:themeColor="text1"/>
              </w:rPr>
            </w:pPr>
            <w:r>
              <w:rPr>
                <w:rFonts w:cs="Calibri"/>
                <w:color w:val="000000" w:themeColor="text1"/>
              </w:rPr>
              <w:t>9H30</w:t>
            </w:r>
          </w:p>
        </w:tc>
      </w:tr>
    </w:tbl>
    <w:p w14:paraId="28B8EEF2" w14:textId="77777777" w:rsidR="00A273CB" w:rsidRDefault="006D0C3E" w:rsidP="002F62F0">
      <w:pPr>
        <w:pStyle w:val="Caption"/>
        <w:rPr>
          <w:color w:val="000000" w:themeColor="text1"/>
        </w:rPr>
      </w:pPr>
      <w:bookmarkStart w:id="553" w:name="_Toc510622340"/>
      <w:r>
        <w:t xml:space="preserve">Table </w:t>
      </w:r>
      <w:r w:rsidR="00B918A6">
        <w:fldChar w:fldCharType="begin"/>
      </w:r>
      <w:r w:rsidR="00B918A6">
        <w:instrText xml:space="preserve"> SEQ Table \* ARABIC </w:instrText>
      </w:r>
      <w:r w:rsidR="00B918A6">
        <w:fldChar w:fldCharType="separate"/>
      </w:r>
      <w:r w:rsidR="0067023A">
        <w:rPr>
          <w:noProof/>
        </w:rPr>
        <w:t>89</w:t>
      </w:r>
      <w:r w:rsidR="00B918A6">
        <w:rPr>
          <w:noProof/>
        </w:rPr>
        <w:fldChar w:fldCharType="end"/>
      </w:r>
      <w:r>
        <w:t xml:space="preserve">: </w:t>
      </w:r>
      <w:r>
        <w:rPr>
          <w:color w:val="000000" w:themeColor="text1"/>
        </w:rPr>
        <w:t>IGR Meeting Schedule</w:t>
      </w:r>
      <w:bookmarkEnd w:id="553"/>
    </w:p>
    <w:p w14:paraId="59B39028" w14:textId="77777777" w:rsidR="00410C4E" w:rsidRDefault="00410C4E" w:rsidP="00750180">
      <w:pPr>
        <w:pStyle w:val="Heading4"/>
        <w:numPr>
          <w:ilvl w:val="3"/>
          <w:numId w:val="127"/>
        </w:numPr>
      </w:pPr>
      <w:r w:rsidRPr="00410C4E">
        <w:t>MUNI-MEC</w:t>
      </w:r>
      <w:r>
        <w:t xml:space="preserve"> Meetings</w:t>
      </w:r>
    </w:p>
    <w:p w14:paraId="58AE2AFE" w14:textId="77777777" w:rsidR="00410C4E" w:rsidRDefault="00410C4E" w:rsidP="00FC1718">
      <w:pPr>
        <w:jc w:val="both"/>
      </w:pPr>
      <w:r w:rsidRPr="00FC1718">
        <w:t>The MUNI-MEC is a provincial intergovernmental body that meets quarterly to analyse the state of local governments and is made up of the MEC and Municipal Mayors and Municipal Managers within the province. The body also serves and platform where programs and projects by Provincial and National Government that will be implemented locally are packaged. Current issues and challenges affecting municipalities are identified and strategically dealt with.  As such the His Worship the Mayor Cllr TB Zulu and the Municipal Manager form an integral part of this forum</w:t>
      </w:r>
      <w:r w:rsidR="00FC1718" w:rsidRPr="00FC1718">
        <w:t xml:space="preserve"> and representatives of the municipality</w:t>
      </w:r>
      <w:r w:rsidR="00C96481">
        <w:t>.</w:t>
      </w:r>
    </w:p>
    <w:p w14:paraId="2CB431A9" w14:textId="77777777" w:rsidR="00C96481" w:rsidRPr="00BA506B" w:rsidRDefault="00E21023" w:rsidP="00750180">
      <w:pPr>
        <w:pStyle w:val="Heading4"/>
        <w:numPr>
          <w:ilvl w:val="3"/>
          <w:numId w:val="127"/>
        </w:numPr>
      </w:pPr>
      <w:r w:rsidRPr="00BA506B">
        <w:t>IDP Representative Forum</w:t>
      </w:r>
    </w:p>
    <w:p w14:paraId="17E1DCA4" w14:textId="77777777" w:rsidR="00E21023" w:rsidRPr="00E21023" w:rsidRDefault="00E21023" w:rsidP="00E21023">
      <w:pPr>
        <w:jc w:val="both"/>
      </w:pPr>
      <w:r w:rsidRPr="00E21023">
        <w:t xml:space="preserve">This is the structure, which institutionalises and ensures a participatory IDP review process.  It represents the interests of the constituents of the municipality in the review process.  It is envisaged that all </w:t>
      </w:r>
      <w:r w:rsidR="00A13F1E">
        <w:t>government and no</w:t>
      </w:r>
      <w:r w:rsidR="00825269">
        <w:t xml:space="preserve">n </w:t>
      </w:r>
      <w:r w:rsidR="00A13F1E">
        <w:t xml:space="preserve">government </w:t>
      </w:r>
      <w:r w:rsidRPr="00E21023">
        <w:t>organisations, stakeholders or interest groups are represented in the forum.</w:t>
      </w:r>
      <w:r>
        <w:t xml:space="preserve"> In terms of the adopted IDP, Budget and /PMS Process Plan, the municipality is required to conduct one representative forum per quarter of the financial year. This ensures an integrated and inclusive approach to development and </w:t>
      </w:r>
      <w:r w:rsidR="00A13F1E">
        <w:t>within a vertically and horizontally aligned platform.</w:t>
      </w:r>
    </w:p>
    <w:p w14:paraId="4EDA348D" w14:textId="77777777" w:rsidR="00992B24" w:rsidRPr="00BA506B" w:rsidRDefault="00992B24" w:rsidP="00750180">
      <w:pPr>
        <w:pStyle w:val="Heading4"/>
        <w:numPr>
          <w:ilvl w:val="3"/>
          <w:numId w:val="127"/>
        </w:numPr>
      </w:pPr>
      <w:bookmarkStart w:id="554" w:name="_Toc389740063"/>
      <w:r w:rsidRPr="00BA506B">
        <w:t>Municipal Structures</w:t>
      </w:r>
      <w:bookmarkEnd w:id="554"/>
    </w:p>
    <w:p w14:paraId="241EEF2C" w14:textId="77777777" w:rsidR="002C35D0" w:rsidRPr="00E56F6F" w:rsidRDefault="002C35D0" w:rsidP="00750180">
      <w:pPr>
        <w:pStyle w:val="Heading5"/>
        <w:numPr>
          <w:ilvl w:val="4"/>
          <w:numId w:val="127"/>
        </w:numPr>
        <w:rPr>
          <w:rFonts w:eastAsia="Times New Roman" w:cs="Times New Roman"/>
          <w:lang w:val="en-ZA" w:eastAsia="en-ZA"/>
        </w:rPr>
      </w:pPr>
      <w:r w:rsidRPr="00E56F6F">
        <w:rPr>
          <w:rFonts w:eastAsia="Times New Roman"/>
          <w:lang w:val="en-ZA" w:eastAsia="en-ZA"/>
        </w:rPr>
        <w:t xml:space="preserve">Council Representatives at </w:t>
      </w:r>
      <w:r w:rsidR="001D792E">
        <w:rPr>
          <w:rFonts w:eastAsia="Times New Roman"/>
          <w:lang w:val="en-ZA" w:eastAsia="en-ZA"/>
        </w:rPr>
        <w:t>King Cetshwayo</w:t>
      </w:r>
      <w:r w:rsidRPr="00E56F6F">
        <w:rPr>
          <w:rFonts w:eastAsia="Times New Roman"/>
          <w:lang w:val="en-ZA" w:eastAsia="en-ZA"/>
        </w:rPr>
        <w:t xml:space="preserve"> </w:t>
      </w:r>
      <w:r w:rsidR="003C03FA">
        <w:rPr>
          <w:rFonts w:eastAsia="Times New Roman"/>
          <w:lang w:val="en-ZA" w:eastAsia="en-ZA"/>
        </w:rPr>
        <w:t>District</w:t>
      </w:r>
      <w:r w:rsidRPr="00E56F6F">
        <w:rPr>
          <w:rFonts w:eastAsia="Times New Roman"/>
          <w:lang w:val="en-ZA" w:eastAsia="en-ZA"/>
        </w:rPr>
        <w:t xml:space="preserve"> Municipality </w:t>
      </w:r>
    </w:p>
    <w:p w14:paraId="51CA3EAE" w14:textId="77777777" w:rsidR="00896DF5" w:rsidRPr="002C35D0" w:rsidRDefault="00896DF5" w:rsidP="00896DF5">
      <w:pPr>
        <w:pStyle w:val="Default"/>
        <w:ind w:left="1080"/>
        <w:rPr>
          <w:rFonts w:eastAsia="Times New Roman" w:cs="Times New Roman"/>
          <w:sz w:val="22"/>
          <w:lang w:val="en-ZA" w:eastAsia="en-ZA"/>
        </w:rPr>
      </w:pPr>
    </w:p>
    <w:p w14:paraId="56D36EEE" w14:textId="77777777" w:rsidR="002C35D0" w:rsidRDefault="002C35D0" w:rsidP="002C35D0">
      <w:pPr>
        <w:jc w:val="both"/>
        <w:rPr>
          <w:rFonts w:eastAsia="Times New Roman" w:cs="Times New Roman"/>
          <w:lang w:val="en-ZA" w:eastAsia="en-ZA"/>
        </w:rPr>
      </w:pPr>
      <w:r w:rsidRPr="00E56F6F">
        <w:rPr>
          <w:rFonts w:eastAsia="Times New Roman" w:cs="Times New Roman"/>
          <w:lang w:val="en-ZA" w:eastAsia="en-ZA"/>
        </w:rPr>
        <w:t>The following councill</w:t>
      </w:r>
      <w:r w:rsidR="00DE7DAE">
        <w:rPr>
          <w:rFonts w:eastAsia="Times New Roman" w:cs="Times New Roman"/>
          <w:lang w:val="en-ZA" w:eastAsia="en-ZA"/>
        </w:rPr>
        <w:t>ors are</w:t>
      </w:r>
      <w:r w:rsidRPr="00E56F6F">
        <w:rPr>
          <w:rFonts w:eastAsia="Times New Roman" w:cs="Times New Roman"/>
          <w:lang w:val="en-ZA" w:eastAsia="en-ZA"/>
        </w:rPr>
        <w:t xml:space="preserve"> representatives of uMlalazi Municipality in the </w:t>
      </w:r>
      <w:r w:rsidR="001D792E">
        <w:rPr>
          <w:rFonts w:eastAsia="Times New Roman" w:cs="Times New Roman"/>
          <w:lang w:val="en-ZA" w:eastAsia="en-ZA"/>
        </w:rPr>
        <w:t>King Cetshwayo</w:t>
      </w:r>
      <w:r w:rsidRPr="00E56F6F">
        <w:rPr>
          <w:rFonts w:eastAsia="Times New Roman" w:cs="Times New Roman"/>
          <w:lang w:val="en-ZA" w:eastAsia="en-ZA"/>
        </w:rPr>
        <w:t xml:space="preserve"> </w:t>
      </w:r>
      <w:r w:rsidR="003C03FA">
        <w:rPr>
          <w:rFonts w:eastAsia="Times New Roman" w:cs="Times New Roman"/>
          <w:lang w:val="en-ZA" w:eastAsia="en-ZA"/>
        </w:rPr>
        <w:t>District</w:t>
      </w:r>
      <w:r w:rsidRPr="00E56F6F">
        <w:rPr>
          <w:rFonts w:eastAsia="Times New Roman" w:cs="Times New Roman"/>
          <w:lang w:val="en-ZA" w:eastAsia="en-ZA"/>
        </w:rPr>
        <w:t xml:space="preserve"> Council:</w:t>
      </w:r>
    </w:p>
    <w:p w14:paraId="08537283" w14:textId="77777777" w:rsidR="00DE7DAE" w:rsidRPr="00DE7DAE" w:rsidRDefault="00DE7DAE" w:rsidP="00750180">
      <w:pPr>
        <w:pStyle w:val="ListParagraph"/>
        <w:numPr>
          <w:ilvl w:val="0"/>
          <w:numId w:val="85"/>
        </w:numPr>
        <w:spacing w:after="0"/>
        <w:rPr>
          <w:rFonts w:eastAsia="Times New Roman" w:cs="Times New Roman"/>
          <w:lang w:val="en-ZA" w:eastAsia="en-ZA"/>
        </w:rPr>
      </w:pPr>
      <w:r>
        <w:rPr>
          <w:rFonts w:eastAsia="Times New Roman" w:cs="Times New Roman"/>
          <w:lang w:val="en-ZA" w:eastAsia="en-ZA"/>
        </w:rPr>
        <w:t xml:space="preserve">His Worship the Mayor: </w:t>
      </w:r>
      <w:r w:rsidRPr="00DE7DAE">
        <w:rPr>
          <w:rFonts w:eastAsia="Times New Roman" w:cs="Times New Roman"/>
          <w:lang w:val="en-ZA" w:eastAsia="en-ZA"/>
        </w:rPr>
        <w:t>Councillor T B Zulu (ANC)</w:t>
      </w:r>
    </w:p>
    <w:p w14:paraId="045CBB19" w14:textId="77777777" w:rsidR="00DE7DAE" w:rsidRPr="00DE7DAE" w:rsidRDefault="00DE7DAE" w:rsidP="00750180">
      <w:pPr>
        <w:pStyle w:val="ListParagraph"/>
        <w:numPr>
          <w:ilvl w:val="0"/>
          <w:numId w:val="85"/>
        </w:numPr>
        <w:spacing w:after="0"/>
        <w:rPr>
          <w:rFonts w:eastAsia="Times New Roman" w:cs="Times New Roman"/>
          <w:lang w:val="en-ZA" w:eastAsia="en-ZA"/>
        </w:rPr>
      </w:pPr>
      <w:r w:rsidRPr="00DE7DAE">
        <w:rPr>
          <w:rFonts w:eastAsia="Times New Roman" w:cs="Times New Roman"/>
          <w:lang w:val="en-ZA" w:eastAsia="en-ZA"/>
        </w:rPr>
        <w:t>Councillor B P Simelane (ANC)</w:t>
      </w:r>
    </w:p>
    <w:p w14:paraId="748267B3" w14:textId="77777777" w:rsidR="00DE7DAE" w:rsidRPr="00DE7DAE" w:rsidRDefault="00DE7DAE" w:rsidP="00750180">
      <w:pPr>
        <w:pStyle w:val="ListParagraph"/>
        <w:numPr>
          <w:ilvl w:val="0"/>
          <w:numId w:val="85"/>
        </w:numPr>
        <w:spacing w:after="0"/>
        <w:rPr>
          <w:rFonts w:eastAsia="Times New Roman" w:cs="Times New Roman"/>
          <w:lang w:val="en-ZA" w:eastAsia="en-ZA"/>
        </w:rPr>
      </w:pPr>
      <w:r w:rsidRPr="00DE7DAE">
        <w:rPr>
          <w:rFonts w:eastAsia="Times New Roman" w:cs="Times New Roman"/>
          <w:lang w:val="en-ZA" w:eastAsia="en-ZA"/>
        </w:rPr>
        <w:t>Councillor C T Dlamini (ANC)</w:t>
      </w:r>
    </w:p>
    <w:p w14:paraId="49D13204" w14:textId="77777777" w:rsidR="00DE7DAE" w:rsidRPr="00DE7DAE" w:rsidRDefault="00DE7DAE" w:rsidP="00750180">
      <w:pPr>
        <w:pStyle w:val="ListParagraph"/>
        <w:numPr>
          <w:ilvl w:val="0"/>
          <w:numId w:val="85"/>
        </w:numPr>
        <w:spacing w:after="0"/>
        <w:rPr>
          <w:rFonts w:eastAsia="Times New Roman" w:cs="Times New Roman"/>
          <w:lang w:val="en-ZA" w:eastAsia="en-ZA"/>
        </w:rPr>
      </w:pPr>
      <w:r w:rsidRPr="00DE7DAE">
        <w:rPr>
          <w:rFonts w:eastAsia="Times New Roman" w:cs="Times New Roman"/>
          <w:lang w:val="en-ZA" w:eastAsia="en-ZA"/>
        </w:rPr>
        <w:t>Councillor N L Ngidi (IFP)</w:t>
      </w:r>
    </w:p>
    <w:p w14:paraId="7978A42F" w14:textId="77777777" w:rsidR="00DE7DAE" w:rsidRDefault="00DE7DAE" w:rsidP="00750180">
      <w:pPr>
        <w:pStyle w:val="ListParagraph"/>
        <w:numPr>
          <w:ilvl w:val="0"/>
          <w:numId w:val="85"/>
        </w:numPr>
        <w:spacing w:after="0"/>
        <w:rPr>
          <w:rFonts w:eastAsia="Times New Roman" w:cs="Times New Roman"/>
          <w:lang w:val="en-ZA" w:eastAsia="en-ZA"/>
        </w:rPr>
      </w:pPr>
      <w:r w:rsidRPr="00DE7DAE">
        <w:rPr>
          <w:rFonts w:eastAsia="Times New Roman" w:cs="Times New Roman"/>
          <w:lang w:val="en-ZA" w:eastAsia="en-ZA"/>
        </w:rPr>
        <w:t>Councillor S S Cele (IFP)</w:t>
      </w:r>
    </w:p>
    <w:p w14:paraId="243F8C06" w14:textId="77777777" w:rsidR="000B3A23" w:rsidRDefault="000B3A23" w:rsidP="000B3A23">
      <w:pPr>
        <w:spacing w:after="0"/>
        <w:rPr>
          <w:rFonts w:eastAsia="Times New Roman" w:cs="Times New Roman"/>
          <w:lang w:val="en-ZA" w:eastAsia="en-ZA"/>
        </w:rPr>
      </w:pPr>
    </w:p>
    <w:p w14:paraId="34EB79DA" w14:textId="77777777" w:rsidR="002C35D0" w:rsidRPr="00BA506B" w:rsidRDefault="000B3A23" w:rsidP="00750180">
      <w:pPr>
        <w:pStyle w:val="Heading5"/>
        <w:numPr>
          <w:ilvl w:val="4"/>
          <w:numId w:val="127"/>
        </w:numPr>
        <w:rPr>
          <w:rFonts w:eastAsia="Times New Roman"/>
          <w:lang w:val="en-ZA" w:eastAsia="en-ZA"/>
        </w:rPr>
      </w:pPr>
      <w:r w:rsidRPr="00BA506B">
        <w:rPr>
          <w:rFonts w:eastAsia="Times New Roman"/>
          <w:lang w:val="en-ZA" w:eastAsia="en-ZA"/>
        </w:rPr>
        <w:t>Section 80</w:t>
      </w:r>
      <w:r w:rsidR="002C35D0" w:rsidRPr="00BA506B">
        <w:rPr>
          <w:rFonts w:eastAsia="Times New Roman"/>
          <w:lang w:val="en-ZA" w:eastAsia="en-ZA"/>
        </w:rPr>
        <w:t xml:space="preserve"> Committees </w:t>
      </w:r>
    </w:p>
    <w:p w14:paraId="48AE7876" w14:textId="77777777" w:rsidR="002C35D0" w:rsidRPr="00E56F6F" w:rsidRDefault="002C35D0" w:rsidP="002C35D0">
      <w:pPr>
        <w:autoSpaceDE w:val="0"/>
        <w:autoSpaceDN w:val="0"/>
        <w:adjustRightInd w:val="0"/>
        <w:spacing w:after="0" w:line="240" w:lineRule="auto"/>
        <w:rPr>
          <w:rFonts w:eastAsia="Times New Roman" w:cs="Calibri"/>
          <w:color w:val="000000"/>
          <w:szCs w:val="20"/>
          <w:lang w:val="en-ZA" w:eastAsia="en-ZA"/>
        </w:rPr>
      </w:pPr>
    </w:p>
    <w:p w14:paraId="68501FA8" w14:textId="77777777" w:rsidR="002C35D0" w:rsidRDefault="00DE7DAE" w:rsidP="00E56F6F">
      <w:pPr>
        <w:spacing w:after="0" w:line="240" w:lineRule="auto"/>
        <w:rPr>
          <w:rFonts w:asciiTheme="minorHAnsi" w:eastAsia="Times New Roman" w:hAnsiTheme="minorHAnsi" w:cstheme="minorHAnsi"/>
          <w:color w:val="000000"/>
          <w:szCs w:val="20"/>
          <w:lang w:val="en-ZA" w:eastAsia="en-ZA"/>
        </w:rPr>
      </w:pPr>
      <w:r>
        <w:rPr>
          <w:rFonts w:asciiTheme="minorHAnsi" w:eastAsia="Times New Roman" w:hAnsiTheme="minorHAnsi" w:cstheme="minorHAnsi"/>
          <w:color w:val="000000"/>
          <w:szCs w:val="20"/>
          <w:lang w:val="en-ZA" w:eastAsia="en-ZA"/>
        </w:rPr>
        <w:t>At the Inauguration of the new Council on the 18</w:t>
      </w:r>
      <w:r w:rsidRPr="00DE7DAE">
        <w:rPr>
          <w:rFonts w:asciiTheme="minorHAnsi" w:eastAsia="Times New Roman" w:hAnsiTheme="minorHAnsi" w:cstheme="minorHAnsi"/>
          <w:color w:val="000000"/>
          <w:szCs w:val="20"/>
          <w:vertAlign w:val="superscript"/>
          <w:lang w:val="en-ZA" w:eastAsia="en-ZA"/>
        </w:rPr>
        <w:t>th</w:t>
      </w:r>
      <w:r>
        <w:rPr>
          <w:rFonts w:asciiTheme="minorHAnsi" w:eastAsia="Times New Roman" w:hAnsiTheme="minorHAnsi" w:cstheme="minorHAnsi"/>
          <w:color w:val="000000"/>
          <w:szCs w:val="20"/>
          <w:lang w:val="en-ZA" w:eastAsia="en-ZA"/>
        </w:rPr>
        <w:t xml:space="preserve"> of August 2016, </w:t>
      </w:r>
      <w:r w:rsidR="002C35D0" w:rsidRPr="00E56F6F">
        <w:rPr>
          <w:rFonts w:asciiTheme="minorHAnsi" w:eastAsia="Times New Roman" w:hAnsiTheme="minorHAnsi" w:cstheme="minorHAnsi"/>
          <w:color w:val="000000"/>
          <w:szCs w:val="20"/>
          <w:lang w:val="en-ZA" w:eastAsia="en-ZA"/>
        </w:rPr>
        <w:t>Council recomposed its Section 79 committees and they reflect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3"/>
        <w:gridCol w:w="6"/>
        <w:gridCol w:w="4969"/>
        <w:gridCol w:w="16"/>
        <w:gridCol w:w="39"/>
        <w:gridCol w:w="3266"/>
        <w:gridCol w:w="28"/>
        <w:gridCol w:w="60"/>
      </w:tblGrid>
      <w:tr w:rsidR="00DE7DAE" w:rsidRPr="00DE7DAE" w14:paraId="4D151184" w14:textId="77777777" w:rsidTr="00F36672">
        <w:trPr>
          <w:gridAfter w:val="2"/>
          <w:wAfter w:w="25" w:type="dxa"/>
          <w:trHeight w:val="250"/>
        </w:trPr>
        <w:tc>
          <w:tcPr>
            <w:tcW w:w="9147" w:type="dxa"/>
            <w:gridSpan w:val="6"/>
            <w:shd w:val="clear" w:color="auto" w:fill="auto"/>
          </w:tcPr>
          <w:p w14:paraId="64DB533C" w14:textId="77777777" w:rsidR="00DE7DAE" w:rsidRPr="00DE7DAE" w:rsidRDefault="00DE7DAE" w:rsidP="00F36672">
            <w:pPr>
              <w:tabs>
                <w:tab w:val="left" w:pos="993"/>
              </w:tabs>
              <w:spacing w:after="0" w:line="240" w:lineRule="auto"/>
              <w:jc w:val="center"/>
              <w:rPr>
                <w:rFonts w:asciiTheme="minorHAnsi" w:eastAsia="Times New Roman" w:hAnsiTheme="minorHAnsi" w:cstheme="minorHAnsi"/>
                <w:b/>
                <w:color w:val="000000"/>
                <w:szCs w:val="20"/>
                <w:lang w:val="en-ZA" w:eastAsia="en-ZA"/>
              </w:rPr>
            </w:pPr>
            <w:r w:rsidRPr="00DE7DAE">
              <w:rPr>
                <w:rFonts w:asciiTheme="minorHAnsi" w:eastAsia="Times New Roman" w:hAnsiTheme="minorHAnsi" w:cstheme="minorHAnsi"/>
                <w:b/>
                <w:color w:val="000000"/>
                <w:szCs w:val="20"/>
                <w:lang w:val="en-ZA" w:eastAsia="en-ZA"/>
              </w:rPr>
              <w:t>Financial Services Committee</w:t>
            </w:r>
          </w:p>
        </w:tc>
      </w:tr>
      <w:tr w:rsidR="00DE7DAE" w:rsidRPr="00DE7DAE" w14:paraId="751FC7C2" w14:textId="77777777" w:rsidTr="00F36672">
        <w:trPr>
          <w:gridAfter w:val="2"/>
          <w:wAfter w:w="25" w:type="dxa"/>
          <w:trHeight w:val="250"/>
        </w:trPr>
        <w:tc>
          <w:tcPr>
            <w:tcW w:w="850" w:type="dxa"/>
            <w:shd w:val="clear" w:color="auto" w:fill="auto"/>
          </w:tcPr>
          <w:p w14:paraId="3C4DE44C" w14:textId="77777777" w:rsidR="00DE7DAE" w:rsidRPr="00DE7DAE" w:rsidRDefault="00DE7DAE" w:rsidP="00F36672">
            <w:pPr>
              <w:tabs>
                <w:tab w:val="left" w:pos="993"/>
              </w:tabs>
              <w:spacing w:after="0" w:line="240" w:lineRule="auto"/>
              <w:jc w:val="both"/>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No</w:t>
            </w:r>
          </w:p>
        </w:tc>
        <w:tc>
          <w:tcPr>
            <w:tcW w:w="4975" w:type="dxa"/>
            <w:gridSpan w:val="2"/>
            <w:shd w:val="clear" w:color="auto" w:fill="auto"/>
          </w:tcPr>
          <w:p w14:paraId="133C0E4E" w14:textId="77777777" w:rsidR="00DE7DAE" w:rsidRPr="00DE7DAE" w:rsidRDefault="00DE7DAE" w:rsidP="00F36672">
            <w:pPr>
              <w:tabs>
                <w:tab w:val="left" w:pos="993"/>
              </w:tabs>
              <w:spacing w:after="0" w:line="240" w:lineRule="auto"/>
              <w:jc w:val="both"/>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Councillor</w:t>
            </w:r>
          </w:p>
        </w:tc>
        <w:tc>
          <w:tcPr>
            <w:tcW w:w="3321" w:type="dxa"/>
            <w:gridSpan w:val="3"/>
            <w:shd w:val="clear" w:color="auto" w:fill="auto"/>
          </w:tcPr>
          <w:p w14:paraId="01FD7FE3" w14:textId="77777777" w:rsidR="00DE7DAE" w:rsidRPr="00DE7DAE" w:rsidRDefault="00DE7DAE" w:rsidP="00F36672">
            <w:pPr>
              <w:tabs>
                <w:tab w:val="left" w:pos="993"/>
              </w:tabs>
              <w:spacing w:after="0" w:line="240" w:lineRule="auto"/>
              <w:jc w:val="both"/>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Representing</w:t>
            </w:r>
          </w:p>
        </w:tc>
      </w:tr>
      <w:tr w:rsidR="00DE7DAE" w:rsidRPr="00DE7DAE" w14:paraId="0AED0C51" w14:textId="77777777" w:rsidTr="00F36672">
        <w:trPr>
          <w:gridAfter w:val="2"/>
          <w:wAfter w:w="25" w:type="dxa"/>
          <w:trHeight w:val="250"/>
        </w:trPr>
        <w:tc>
          <w:tcPr>
            <w:tcW w:w="850" w:type="dxa"/>
            <w:shd w:val="clear" w:color="auto" w:fill="auto"/>
          </w:tcPr>
          <w:p w14:paraId="5F3F4255" w14:textId="77777777" w:rsidR="00DE7DAE" w:rsidRPr="00DE7DAE" w:rsidRDefault="00DE7DAE" w:rsidP="00F36672">
            <w:pPr>
              <w:tabs>
                <w:tab w:val="left" w:pos="993"/>
              </w:tabs>
              <w:spacing w:after="0" w:line="240" w:lineRule="auto"/>
              <w:jc w:val="center"/>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1</w:t>
            </w:r>
          </w:p>
        </w:tc>
        <w:tc>
          <w:tcPr>
            <w:tcW w:w="4975" w:type="dxa"/>
            <w:gridSpan w:val="2"/>
            <w:shd w:val="clear" w:color="auto" w:fill="auto"/>
          </w:tcPr>
          <w:p w14:paraId="18E0942B" w14:textId="77777777" w:rsidR="00DE7DAE" w:rsidRPr="00DE7DAE" w:rsidRDefault="00DE7DAE" w:rsidP="00F36672">
            <w:pPr>
              <w:tabs>
                <w:tab w:val="left" w:pos="993"/>
              </w:tabs>
              <w:spacing w:after="0" w:line="240" w:lineRule="auto"/>
              <w:jc w:val="both"/>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T B Zulu</w:t>
            </w:r>
          </w:p>
        </w:tc>
        <w:tc>
          <w:tcPr>
            <w:tcW w:w="3321" w:type="dxa"/>
            <w:gridSpan w:val="3"/>
            <w:shd w:val="clear" w:color="auto" w:fill="auto"/>
          </w:tcPr>
          <w:p w14:paraId="7AA0EE90" w14:textId="77777777" w:rsidR="00DE7DAE" w:rsidRPr="00DE7DAE" w:rsidRDefault="00DE7DAE" w:rsidP="00F36672">
            <w:pPr>
              <w:tabs>
                <w:tab w:val="left" w:pos="993"/>
              </w:tabs>
              <w:spacing w:after="0" w:line="240" w:lineRule="auto"/>
              <w:jc w:val="both"/>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ANC</w:t>
            </w:r>
          </w:p>
        </w:tc>
      </w:tr>
      <w:tr w:rsidR="00DE7DAE" w:rsidRPr="00DE7DAE" w14:paraId="7FF58185" w14:textId="77777777" w:rsidTr="00F36672">
        <w:trPr>
          <w:gridAfter w:val="2"/>
          <w:wAfter w:w="25" w:type="dxa"/>
          <w:trHeight w:val="250"/>
        </w:trPr>
        <w:tc>
          <w:tcPr>
            <w:tcW w:w="850" w:type="dxa"/>
            <w:shd w:val="clear" w:color="auto" w:fill="auto"/>
          </w:tcPr>
          <w:p w14:paraId="42FE3899" w14:textId="77777777" w:rsidR="00DE7DAE" w:rsidRPr="00DE7DAE" w:rsidRDefault="00DE7DAE" w:rsidP="00F36672">
            <w:pPr>
              <w:tabs>
                <w:tab w:val="left" w:pos="993"/>
              </w:tabs>
              <w:spacing w:after="0" w:line="240" w:lineRule="auto"/>
              <w:jc w:val="center"/>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2</w:t>
            </w:r>
          </w:p>
        </w:tc>
        <w:tc>
          <w:tcPr>
            <w:tcW w:w="4975" w:type="dxa"/>
            <w:gridSpan w:val="2"/>
            <w:shd w:val="clear" w:color="auto" w:fill="auto"/>
          </w:tcPr>
          <w:p w14:paraId="2DCE0FC3" w14:textId="77777777" w:rsidR="00DE7DAE" w:rsidRPr="00DE7DAE" w:rsidRDefault="00DE7DAE" w:rsidP="00F36672">
            <w:pPr>
              <w:tabs>
                <w:tab w:val="left" w:pos="993"/>
              </w:tabs>
              <w:spacing w:after="0" w:line="240" w:lineRule="auto"/>
              <w:jc w:val="both"/>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M N Mnqayi</w:t>
            </w:r>
          </w:p>
        </w:tc>
        <w:tc>
          <w:tcPr>
            <w:tcW w:w="3321" w:type="dxa"/>
            <w:gridSpan w:val="3"/>
            <w:shd w:val="clear" w:color="auto" w:fill="auto"/>
          </w:tcPr>
          <w:p w14:paraId="553F7EEF" w14:textId="77777777" w:rsidR="00DE7DAE" w:rsidRPr="00DE7DAE" w:rsidRDefault="00DE7DAE" w:rsidP="00F36672">
            <w:pPr>
              <w:spacing w:after="0" w:line="240" w:lineRule="auto"/>
              <w:jc w:val="both"/>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ANC</w:t>
            </w:r>
          </w:p>
        </w:tc>
      </w:tr>
      <w:tr w:rsidR="00DE7DAE" w:rsidRPr="00DE7DAE" w14:paraId="73ED6366" w14:textId="77777777" w:rsidTr="00F36672">
        <w:trPr>
          <w:gridAfter w:val="2"/>
          <w:wAfter w:w="25" w:type="dxa"/>
          <w:trHeight w:val="250"/>
        </w:trPr>
        <w:tc>
          <w:tcPr>
            <w:tcW w:w="850" w:type="dxa"/>
            <w:shd w:val="clear" w:color="auto" w:fill="auto"/>
          </w:tcPr>
          <w:p w14:paraId="0876BE56" w14:textId="77777777" w:rsidR="00DE7DAE" w:rsidRPr="00DE7DAE" w:rsidRDefault="00DE7DAE" w:rsidP="00F36672">
            <w:pPr>
              <w:tabs>
                <w:tab w:val="left" w:pos="993"/>
              </w:tabs>
              <w:spacing w:after="0" w:line="240" w:lineRule="auto"/>
              <w:jc w:val="center"/>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3</w:t>
            </w:r>
          </w:p>
        </w:tc>
        <w:tc>
          <w:tcPr>
            <w:tcW w:w="4975" w:type="dxa"/>
            <w:gridSpan w:val="2"/>
            <w:shd w:val="clear" w:color="auto" w:fill="auto"/>
          </w:tcPr>
          <w:p w14:paraId="4E7095D3" w14:textId="77777777" w:rsidR="00DE7DAE" w:rsidRPr="00DE7DAE" w:rsidRDefault="00DE7DAE" w:rsidP="00F36672">
            <w:pPr>
              <w:tabs>
                <w:tab w:val="left" w:pos="993"/>
              </w:tabs>
              <w:spacing w:after="0" w:line="240" w:lineRule="auto"/>
              <w:jc w:val="both"/>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S Naicker</w:t>
            </w:r>
          </w:p>
        </w:tc>
        <w:tc>
          <w:tcPr>
            <w:tcW w:w="3321" w:type="dxa"/>
            <w:gridSpan w:val="3"/>
            <w:shd w:val="clear" w:color="auto" w:fill="auto"/>
          </w:tcPr>
          <w:p w14:paraId="50309C6A" w14:textId="77777777" w:rsidR="00DE7DAE" w:rsidRPr="00DE7DAE" w:rsidRDefault="00DE7DAE" w:rsidP="00F36672">
            <w:pPr>
              <w:spacing w:after="0" w:line="240" w:lineRule="auto"/>
              <w:jc w:val="both"/>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ANC</w:t>
            </w:r>
          </w:p>
        </w:tc>
      </w:tr>
      <w:tr w:rsidR="00DE7DAE" w:rsidRPr="00DE7DAE" w14:paraId="244DA7E0" w14:textId="77777777" w:rsidTr="00F36672">
        <w:trPr>
          <w:gridAfter w:val="2"/>
          <w:wAfter w:w="25" w:type="dxa"/>
          <w:trHeight w:val="250"/>
        </w:trPr>
        <w:tc>
          <w:tcPr>
            <w:tcW w:w="850" w:type="dxa"/>
            <w:shd w:val="clear" w:color="auto" w:fill="auto"/>
          </w:tcPr>
          <w:p w14:paraId="750B3889" w14:textId="77777777" w:rsidR="00DE7DAE" w:rsidRPr="00DE7DAE" w:rsidRDefault="00DE7DAE" w:rsidP="00F36672">
            <w:pPr>
              <w:tabs>
                <w:tab w:val="left" w:pos="993"/>
              </w:tabs>
              <w:spacing w:after="0" w:line="240" w:lineRule="auto"/>
              <w:jc w:val="center"/>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4</w:t>
            </w:r>
          </w:p>
        </w:tc>
        <w:tc>
          <w:tcPr>
            <w:tcW w:w="4975" w:type="dxa"/>
            <w:gridSpan w:val="2"/>
            <w:shd w:val="clear" w:color="auto" w:fill="auto"/>
          </w:tcPr>
          <w:p w14:paraId="4A84E2F8" w14:textId="77777777" w:rsidR="00DE7DAE" w:rsidRPr="00DE7DAE" w:rsidRDefault="00DE7DAE" w:rsidP="00F36672">
            <w:pPr>
              <w:tabs>
                <w:tab w:val="left" w:pos="993"/>
              </w:tabs>
              <w:spacing w:after="0" w:line="240" w:lineRule="auto"/>
              <w:jc w:val="both"/>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B D Ngidi</w:t>
            </w:r>
          </w:p>
        </w:tc>
        <w:tc>
          <w:tcPr>
            <w:tcW w:w="3321" w:type="dxa"/>
            <w:gridSpan w:val="3"/>
            <w:shd w:val="clear" w:color="auto" w:fill="auto"/>
          </w:tcPr>
          <w:p w14:paraId="67042007" w14:textId="77777777" w:rsidR="00DE7DAE" w:rsidRPr="00DE7DAE" w:rsidRDefault="00DE7DAE" w:rsidP="00F36672">
            <w:pPr>
              <w:spacing w:after="0" w:line="240" w:lineRule="auto"/>
              <w:jc w:val="both"/>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ANC</w:t>
            </w:r>
          </w:p>
        </w:tc>
      </w:tr>
      <w:tr w:rsidR="00DE7DAE" w:rsidRPr="00DE7DAE" w14:paraId="34C880A6" w14:textId="77777777" w:rsidTr="00F36672">
        <w:trPr>
          <w:gridAfter w:val="2"/>
          <w:wAfter w:w="25" w:type="dxa"/>
          <w:trHeight w:val="250"/>
        </w:trPr>
        <w:tc>
          <w:tcPr>
            <w:tcW w:w="850" w:type="dxa"/>
            <w:shd w:val="clear" w:color="auto" w:fill="auto"/>
          </w:tcPr>
          <w:p w14:paraId="522E1577" w14:textId="77777777" w:rsidR="00DE7DAE" w:rsidRPr="00DE7DAE" w:rsidRDefault="00DE7DAE" w:rsidP="00F36672">
            <w:pPr>
              <w:tabs>
                <w:tab w:val="left" w:pos="993"/>
              </w:tabs>
              <w:spacing w:after="0" w:line="240" w:lineRule="auto"/>
              <w:jc w:val="center"/>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5</w:t>
            </w:r>
          </w:p>
        </w:tc>
        <w:tc>
          <w:tcPr>
            <w:tcW w:w="4975" w:type="dxa"/>
            <w:gridSpan w:val="2"/>
            <w:shd w:val="clear" w:color="auto" w:fill="auto"/>
          </w:tcPr>
          <w:p w14:paraId="4CFA4EF2" w14:textId="77777777" w:rsidR="00DE7DAE" w:rsidRPr="00DE7DAE" w:rsidRDefault="00DE7DAE" w:rsidP="00F36672">
            <w:pPr>
              <w:tabs>
                <w:tab w:val="left" w:pos="993"/>
              </w:tabs>
              <w:spacing w:after="0" w:line="240" w:lineRule="auto"/>
              <w:jc w:val="both"/>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P T O Shange</w:t>
            </w:r>
          </w:p>
        </w:tc>
        <w:tc>
          <w:tcPr>
            <w:tcW w:w="3321" w:type="dxa"/>
            <w:gridSpan w:val="3"/>
            <w:shd w:val="clear" w:color="auto" w:fill="auto"/>
          </w:tcPr>
          <w:p w14:paraId="39B37627" w14:textId="77777777" w:rsidR="00DE7DAE" w:rsidRPr="00DE7DAE" w:rsidRDefault="00DE7DAE" w:rsidP="00F36672">
            <w:pPr>
              <w:spacing w:after="0" w:line="240" w:lineRule="auto"/>
              <w:jc w:val="both"/>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ANC</w:t>
            </w:r>
          </w:p>
        </w:tc>
      </w:tr>
      <w:tr w:rsidR="00DE7DAE" w:rsidRPr="00DE7DAE" w14:paraId="4C7637B0" w14:textId="77777777" w:rsidTr="00F36672">
        <w:trPr>
          <w:gridAfter w:val="2"/>
          <w:wAfter w:w="25" w:type="dxa"/>
          <w:trHeight w:val="229"/>
        </w:trPr>
        <w:tc>
          <w:tcPr>
            <w:tcW w:w="850" w:type="dxa"/>
            <w:shd w:val="clear" w:color="auto" w:fill="auto"/>
          </w:tcPr>
          <w:p w14:paraId="0AFC28EA" w14:textId="77777777" w:rsidR="00DE7DAE" w:rsidRPr="00DE7DAE" w:rsidRDefault="00DE7DAE" w:rsidP="00F36672">
            <w:pPr>
              <w:tabs>
                <w:tab w:val="left" w:pos="993"/>
              </w:tabs>
              <w:spacing w:after="0" w:line="240" w:lineRule="auto"/>
              <w:jc w:val="center"/>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6</w:t>
            </w:r>
          </w:p>
        </w:tc>
        <w:tc>
          <w:tcPr>
            <w:tcW w:w="4975" w:type="dxa"/>
            <w:gridSpan w:val="2"/>
            <w:shd w:val="clear" w:color="auto" w:fill="auto"/>
          </w:tcPr>
          <w:p w14:paraId="06BA4CDD" w14:textId="77777777" w:rsidR="00DE7DAE" w:rsidRPr="00DE7DAE" w:rsidRDefault="00DE7DAE" w:rsidP="00F36672">
            <w:pPr>
              <w:tabs>
                <w:tab w:val="left" w:pos="993"/>
              </w:tabs>
              <w:spacing w:after="0" w:line="240" w:lineRule="auto"/>
              <w:jc w:val="both"/>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I Woollatt</w:t>
            </w:r>
          </w:p>
        </w:tc>
        <w:tc>
          <w:tcPr>
            <w:tcW w:w="3321" w:type="dxa"/>
            <w:gridSpan w:val="3"/>
            <w:shd w:val="clear" w:color="auto" w:fill="auto"/>
          </w:tcPr>
          <w:p w14:paraId="34236213" w14:textId="77777777" w:rsidR="00DE7DAE" w:rsidRPr="00DE7DAE" w:rsidRDefault="00DE7DAE" w:rsidP="00F36672">
            <w:pPr>
              <w:spacing w:after="0" w:line="240" w:lineRule="auto"/>
              <w:jc w:val="both"/>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ANC</w:t>
            </w:r>
          </w:p>
        </w:tc>
      </w:tr>
      <w:tr w:rsidR="00DE7DAE" w:rsidRPr="00DE7DAE" w14:paraId="25FD0121" w14:textId="77777777" w:rsidTr="00F36672">
        <w:trPr>
          <w:gridAfter w:val="2"/>
          <w:wAfter w:w="25" w:type="dxa"/>
          <w:trHeight w:val="250"/>
        </w:trPr>
        <w:tc>
          <w:tcPr>
            <w:tcW w:w="850" w:type="dxa"/>
            <w:shd w:val="clear" w:color="auto" w:fill="auto"/>
          </w:tcPr>
          <w:p w14:paraId="6E432B09" w14:textId="77777777" w:rsidR="00DE7DAE" w:rsidRPr="00DE7DAE" w:rsidRDefault="00DE7DAE" w:rsidP="00F36672">
            <w:pPr>
              <w:tabs>
                <w:tab w:val="left" w:pos="993"/>
              </w:tabs>
              <w:spacing w:after="0" w:line="240" w:lineRule="auto"/>
              <w:jc w:val="center"/>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7</w:t>
            </w:r>
          </w:p>
        </w:tc>
        <w:tc>
          <w:tcPr>
            <w:tcW w:w="4975" w:type="dxa"/>
            <w:gridSpan w:val="2"/>
            <w:shd w:val="clear" w:color="auto" w:fill="auto"/>
          </w:tcPr>
          <w:p w14:paraId="21D6D8C8" w14:textId="77777777" w:rsidR="00DE7DAE" w:rsidRPr="00DE7DAE" w:rsidRDefault="00DE7DAE" w:rsidP="00F36672">
            <w:pPr>
              <w:tabs>
                <w:tab w:val="left" w:pos="993"/>
              </w:tabs>
              <w:spacing w:after="0" w:line="240" w:lineRule="auto"/>
              <w:jc w:val="both"/>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S B Larkan</w:t>
            </w:r>
          </w:p>
        </w:tc>
        <w:tc>
          <w:tcPr>
            <w:tcW w:w="3321" w:type="dxa"/>
            <w:gridSpan w:val="3"/>
            <w:shd w:val="clear" w:color="auto" w:fill="auto"/>
          </w:tcPr>
          <w:p w14:paraId="4A472255" w14:textId="77777777" w:rsidR="00DE7DAE" w:rsidRPr="00DE7DAE" w:rsidRDefault="00DE7DAE" w:rsidP="00F36672">
            <w:pPr>
              <w:tabs>
                <w:tab w:val="left" w:pos="993"/>
              </w:tabs>
              <w:spacing w:after="0" w:line="240" w:lineRule="auto"/>
              <w:jc w:val="both"/>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IFP</w:t>
            </w:r>
          </w:p>
        </w:tc>
      </w:tr>
      <w:tr w:rsidR="00DE7DAE" w:rsidRPr="00DE7DAE" w14:paraId="47471ACD" w14:textId="77777777" w:rsidTr="00F36672">
        <w:trPr>
          <w:gridAfter w:val="2"/>
          <w:wAfter w:w="25" w:type="dxa"/>
          <w:trHeight w:val="250"/>
        </w:trPr>
        <w:tc>
          <w:tcPr>
            <w:tcW w:w="850" w:type="dxa"/>
            <w:shd w:val="clear" w:color="auto" w:fill="auto"/>
          </w:tcPr>
          <w:p w14:paraId="76211831" w14:textId="77777777" w:rsidR="00DE7DAE" w:rsidRPr="00DE7DAE" w:rsidRDefault="00DE7DAE" w:rsidP="00F36672">
            <w:pPr>
              <w:tabs>
                <w:tab w:val="left" w:pos="993"/>
              </w:tabs>
              <w:spacing w:after="0" w:line="240" w:lineRule="auto"/>
              <w:jc w:val="center"/>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8</w:t>
            </w:r>
          </w:p>
        </w:tc>
        <w:tc>
          <w:tcPr>
            <w:tcW w:w="4975" w:type="dxa"/>
            <w:gridSpan w:val="2"/>
            <w:shd w:val="clear" w:color="auto" w:fill="auto"/>
          </w:tcPr>
          <w:p w14:paraId="6EA9FB65" w14:textId="77777777" w:rsidR="00DE7DAE" w:rsidRPr="00DE7DAE" w:rsidRDefault="00DE7DAE" w:rsidP="00F36672">
            <w:pPr>
              <w:tabs>
                <w:tab w:val="left" w:pos="993"/>
              </w:tabs>
              <w:spacing w:after="0" w:line="240" w:lineRule="auto"/>
              <w:jc w:val="both"/>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J C Erasmus</w:t>
            </w:r>
          </w:p>
        </w:tc>
        <w:tc>
          <w:tcPr>
            <w:tcW w:w="3321" w:type="dxa"/>
            <w:gridSpan w:val="3"/>
            <w:shd w:val="clear" w:color="auto" w:fill="auto"/>
          </w:tcPr>
          <w:p w14:paraId="0A1E4B9A" w14:textId="77777777" w:rsidR="00DE7DAE" w:rsidRPr="00DE7DAE" w:rsidRDefault="00DE7DAE" w:rsidP="00F36672">
            <w:pPr>
              <w:tabs>
                <w:tab w:val="left" w:pos="993"/>
              </w:tabs>
              <w:spacing w:after="0" w:line="240" w:lineRule="auto"/>
              <w:jc w:val="both"/>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IFP</w:t>
            </w:r>
          </w:p>
        </w:tc>
      </w:tr>
      <w:tr w:rsidR="00DE7DAE" w:rsidRPr="00DE7DAE" w14:paraId="134AD53D" w14:textId="77777777" w:rsidTr="00F36672">
        <w:trPr>
          <w:gridAfter w:val="2"/>
          <w:wAfter w:w="25" w:type="dxa"/>
          <w:trHeight w:val="250"/>
        </w:trPr>
        <w:tc>
          <w:tcPr>
            <w:tcW w:w="850" w:type="dxa"/>
            <w:shd w:val="clear" w:color="auto" w:fill="auto"/>
          </w:tcPr>
          <w:p w14:paraId="0DDC0BBC" w14:textId="77777777" w:rsidR="00DE7DAE" w:rsidRPr="00DE7DAE" w:rsidRDefault="00DE7DAE" w:rsidP="00F36672">
            <w:pPr>
              <w:tabs>
                <w:tab w:val="left" w:pos="993"/>
              </w:tabs>
              <w:spacing w:after="0" w:line="240" w:lineRule="auto"/>
              <w:jc w:val="center"/>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9</w:t>
            </w:r>
          </w:p>
        </w:tc>
        <w:tc>
          <w:tcPr>
            <w:tcW w:w="4975" w:type="dxa"/>
            <w:gridSpan w:val="2"/>
            <w:shd w:val="clear" w:color="auto" w:fill="auto"/>
          </w:tcPr>
          <w:p w14:paraId="4DBAD5EE" w14:textId="77777777" w:rsidR="00DE7DAE" w:rsidRPr="00DE7DAE" w:rsidRDefault="00DE7DAE" w:rsidP="00F36672">
            <w:pPr>
              <w:tabs>
                <w:tab w:val="left" w:pos="993"/>
              </w:tabs>
              <w:spacing w:after="0" w:line="240" w:lineRule="auto"/>
              <w:jc w:val="both"/>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B N Shandu</w:t>
            </w:r>
          </w:p>
        </w:tc>
        <w:tc>
          <w:tcPr>
            <w:tcW w:w="3321" w:type="dxa"/>
            <w:gridSpan w:val="3"/>
            <w:shd w:val="clear" w:color="auto" w:fill="auto"/>
          </w:tcPr>
          <w:p w14:paraId="13ADF2DD" w14:textId="77777777" w:rsidR="00DE7DAE" w:rsidRPr="00DE7DAE" w:rsidRDefault="00DE7DAE" w:rsidP="00F36672">
            <w:pPr>
              <w:tabs>
                <w:tab w:val="left" w:pos="993"/>
              </w:tabs>
              <w:spacing w:after="0" w:line="240" w:lineRule="auto"/>
              <w:jc w:val="both"/>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IFP</w:t>
            </w:r>
          </w:p>
        </w:tc>
      </w:tr>
      <w:tr w:rsidR="00DE7DAE" w:rsidRPr="00DE7DAE" w14:paraId="6161175B" w14:textId="77777777" w:rsidTr="00F36672">
        <w:trPr>
          <w:gridAfter w:val="2"/>
          <w:wAfter w:w="25" w:type="dxa"/>
          <w:trHeight w:val="250"/>
        </w:trPr>
        <w:tc>
          <w:tcPr>
            <w:tcW w:w="850" w:type="dxa"/>
            <w:shd w:val="clear" w:color="auto" w:fill="auto"/>
          </w:tcPr>
          <w:p w14:paraId="38E34D8B" w14:textId="77777777" w:rsidR="00DE7DAE" w:rsidRPr="00DE7DAE" w:rsidRDefault="00DE7DAE" w:rsidP="00F36672">
            <w:pPr>
              <w:tabs>
                <w:tab w:val="left" w:pos="993"/>
              </w:tabs>
              <w:spacing w:after="0" w:line="240" w:lineRule="auto"/>
              <w:jc w:val="center"/>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10</w:t>
            </w:r>
          </w:p>
        </w:tc>
        <w:tc>
          <w:tcPr>
            <w:tcW w:w="4975" w:type="dxa"/>
            <w:gridSpan w:val="2"/>
            <w:shd w:val="clear" w:color="auto" w:fill="auto"/>
          </w:tcPr>
          <w:p w14:paraId="032292CF" w14:textId="77777777" w:rsidR="00DE7DAE" w:rsidRPr="00DE7DAE" w:rsidRDefault="00DE7DAE" w:rsidP="00F36672">
            <w:pPr>
              <w:tabs>
                <w:tab w:val="left" w:pos="993"/>
              </w:tabs>
              <w:spacing w:after="0" w:line="240" w:lineRule="auto"/>
              <w:jc w:val="both"/>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S S Cele</w:t>
            </w:r>
          </w:p>
        </w:tc>
        <w:tc>
          <w:tcPr>
            <w:tcW w:w="3321" w:type="dxa"/>
            <w:gridSpan w:val="3"/>
            <w:shd w:val="clear" w:color="auto" w:fill="auto"/>
          </w:tcPr>
          <w:p w14:paraId="6066C359" w14:textId="77777777" w:rsidR="00DE7DAE" w:rsidRPr="00DE7DAE" w:rsidRDefault="00DE7DAE" w:rsidP="00F36672">
            <w:pPr>
              <w:tabs>
                <w:tab w:val="left" w:pos="993"/>
              </w:tabs>
              <w:spacing w:after="0" w:line="240" w:lineRule="auto"/>
              <w:jc w:val="both"/>
              <w:rPr>
                <w:rFonts w:asciiTheme="minorHAnsi" w:eastAsia="Times New Roman" w:hAnsiTheme="minorHAnsi" w:cstheme="minorHAnsi"/>
                <w:color w:val="000000"/>
                <w:szCs w:val="20"/>
                <w:lang w:val="en-ZA" w:eastAsia="en-ZA"/>
              </w:rPr>
            </w:pPr>
            <w:r w:rsidRPr="00DE7DAE">
              <w:rPr>
                <w:rFonts w:asciiTheme="minorHAnsi" w:eastAsia="Times New Roman" w:hAnsiTheme="minorHAnsi" w:cstheme="minorHAnsi"/>
                <w:color w:val="000000"/>
                <w:szCs w:val="20"/>
                <w:lang w:val="en-ZA" w:eastAsia="en-ZA"/>
              </w:rPr>
              <w:t>IFP</w:t>
            </w:r>
          </w:p>
        </w:tc>
      </w:tr>
      <w:tr w:rsidR="00DE7DAE" w:rsidRPr="00DE7DAE" w14:paraId="31FE7B1A" w14:textId="77777777" w:rsidTr="00DE7DAE">
        <w:trPr>
          <w:gridAfter w:val="1"/>
          <w:wAfter w:w="60" w:type="dxa"/>
          <w:trHeight w:val="250"/>
        </w:trPr>
        <w:tc>
          <w:tcPr>
            <w:tcW w:w="9177" w:type="dxa"/>
            <w:gridSpan w:val="7"/>
            <w:shd w:val="clear" w:color="auto" w:fill="auto"/>
          </w:tcPr>
          <w:p w14:paraId="64C9EFB9" w14:textId="77777777" w:rsidR="00DE7DAE" w:rsidRPr="00DE7DAE" w:rsidRDefault="00F36672" w:rsidP="00F36672">
            <w:pPr>
              <w:tabs>
                <w:tab w:val="left" w:pos="315"/>
                <w:tab w:val="left" w:pos="993"/>
                <w:tab w:val="center" w:pos="4480"/>
              </w:tabs>
              <w:spacing w:after="0" w:line="240" w:lineRule="auto"/>
              <w:rPr>
                <w:rFonts w:asciiTheme="minorHAnsi" w:eastAsia="Times New Roman" w:hAnsiTheme="minorHAnsi" w:cstheme="minorHAnsi"/>
                <w:color w:val="000000"/>
                <w:sz w:val="18"/>
                <w:szCs w:val="20"/>
                <w:lang w:val="en-ZA" w:eastAsia="en-ZA"/>
              </w:rPr>
            </w:pPr>
            <w:r>
              <w:rPr>
                <w:rFonts w:asciiTheme="minorHAnsi" w:eastAsia="Times New Roman" w:hAnsiTheme="minorHAnsi" w:cstheme="minorHAnsi"/>
                <w:color w:val="000000"/>
                <w:sz w:val="18"/>
                <w:szCs w:val="20"/>
                <w:lang w:val="en-ZA" w:eastAsia="en-ZA"/>
              </w:rPr>
              <w:tab/>
            </w:r>
            <w:r>
              <w:rPr>
                <w:rFonts w:asciiTheme="minorHAnsi" w:eastAsia="Times New Roman" w:hAnsiTheme="minorHAnsi" w:cstheme="minorHAnsi"/>
                <w:color w:val="000000"/>
                <w:sz w:val="18"/>
                <w:szCs w:val="20"/>
                <w:lang w:val="en-ZA" w:eastAsia="en-ZA"/>
              </w:rPr>
              <w:tab/>
            </w:r>
            <w:r>
              <w:rPr>
                <w:rFonts w:asciiTheme="minorHAnsi" w:eastAsia="Times New Roman" w:hAnsiTheme="minorHAnsi" w:cstheme="minorHAnsi"/>
                <w:color w:val="000000"/>
                <w:sz w:val="18"/>
                <w:szCs w:val="20"/>
                <w:lang w:val="en-ZA" w:eastAsia="en-ZA"/>
              </w:rPr>
              <w:tab/>
              <w:t>C</w:t>
            </w:r>
            <w:r w:rsidR="00DE7DAE" w:rsidRPr="00DE7DAE">
              <w:rPr>
                <w:rFonts w:asciiTheme="minorHAnsi" w:eastAsia="Times New Roman" w:hAnsiTheme="minorHAnsi" w:cstheme="minorHAnsi"/>
                <w:color w:val="000000"/>
                <w:sz w:val="18"/>
                <w:szCs w:val="20"/>
                <w:lang w:val="en-ZA" w:eastAsia="en-ZA"/>
              </w:rPr>
              <w:t>orporate Services Committee</w:t>
            </w:r>
          </w:p>
        </w:tc>
      </w:tr>
      <w:tr w:rsidR="00DE7DAE" w:rsidRPr="00DE7DAE" w14:paraId="7A20D92E" w14:textId="77777777" w:rsidTr="00DE7DAE">
        <w:trPr>
          <w:gridAfter w:val="1"/>
          <w:wAfter w:w="60" w:type="dxa"/>
          <w:trHeight w:val="250"/>
        </w:trPr>
        <w:tc>
          <w:tcPr>
            <w:tcW w:w="853" w:type="dxa"/>
            <w:shd w:val="clear" w:color="auto" w:fill="auto"/>
          </w:tcPr>
          <w:p w14:paraId="0AC567B2" w14:textId="77777777" w:rsidR="00DE7DAE" w:rsidRPr="00DE7DAE" w:rsidRDefault="00DE7DAE" w:rsidP="00DE7DAE">
            <w:pPr>
              <w:tabs>
                <w:tab w:val="left" w:pos="993"/>
              </w:tabs>
              <w:spacing w:after="0" w:line="240" w:lineRule="auto"/>
              <w:jc w:val="both"/>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No</w:t>
            </w:r>
          </w:p>
        </w:tc>
        <w:tc>
          <w:tcPr>
            <w:tcW w:w="4991" w:type="dxa"/>
            <w:gridSpan w:val="3"/>
            <w:shd w:val="clear" w:color="auto" w:fill="auto"/>
          </w:tcPr>
          <w:p w14:paraId="5227C392" w14:textId="77777777" w:rsidR="00DE7DAE" w:rsidRPr="00DE7DAE" w:rsidRDefault="00DE7DAE" w:rsidP="00DE7DAE">
            <w:pPr>
              <w:tabs>
                <w:tab w:val="left" w:pos="993"/>
              </w:tabs>
              <w:spacing w:after="0" w:line="240" w:lineRule="auto"/>
              <w:jc w:val="both"/>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Councillor</w:t>
            </w:r>
          </w:p>
        </w:tc>
        <w:tc>
          <w:tcPr>
            <w:tcW w:w="3333" w:type="dxa"/>
            <w:gridSpan w:val="3"/>
            <w:shd w:val="clear" w:color="auto" w:fill="auto"/>
          </w:tcPr>
          <w:p w14:paraId="5A86A2D0" w14:textId="77777777" w:rsidR="00DE7DAE" w:rsidRPr="00DE7DAE" w:rsidRDefault="00DE7DAE" w:rsidP="00DE7DAE">
            <w:pPr>
              <w:tabs>
                <w:tab w:val="left" w:pos="993"/>
              </w:tabs>
              <w:spacing w:after="0" w:line="240" w:lineRule="auto"/>
              <w:jc w:val="both"/>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Representing</w:t>
            </w:r>
          </w:p>
        </w:tc>
      </w:tr>
      <w:tr w:rsidR="00DE7DAE" w:rsidRPr="00DE7DAE" w14:paraId="1F8DB934" w14:textId="77777777" w:rsidTr="00DE7DAE">
        <w:trPr>
          <w:gridAfter w:val="1"/>
          <w:wAfter w:w="60" w:type="dxa"/>
          <w:trHeight w:val="250"/>
        </w:trPr>
        <w:tc>
          <w:tcPr>
            <w:tcW w:w="853" w:type="dxa"/>
            <w:shd w:val="clear" w:color="auto" w:fill="auto"/>
          </w:tcPr>
          <w:p w14:paraId="5938AED3" w14:textId="77777777" w:rsidR="00DE7DAE" w:rsidRPr="00DE7DAE" w:rsidRDefault="00DE7DAE" w:rsidP="00DE7DAE">
            <w:pPr>
              <w:tabs>
                <w:tab w:val="left" w:pos="993"/>
              </w:tabs>
              <w:spacing w:after="0" w:line="240" w:lineRule="auto"/>
              <w:jc w:val="center"/>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1</w:t>
            </w:r>
          </w:p>
        </w:tc>
        <w:tc>
          <w:tcPr>
            <w:tcW w:w="4991" w:type="dxa"/>
            <w:gridSpan w:val="3"/>
            <w:shd w:val="clear" w:color="auto" w:fill="auto"/>
          </w:tcPr>
          <w:p w14:paraId="6E97AAE4" w14:textId="77777777" w:rsidR="00DE7DAE" w:rsidRPr="00DE7DAE" w:rsidRDefault="00DE7DAE" w:rsidP="00DE7DAE">
            <w:pPr>
              <w:tabs>
                <w:tab w:val="left" w:pos="993"/>
              </w:tabs>
              <w:spacing w:after="0" w:line="240" w:lineRule="auto"/>
              <w:jc w:val="both"/>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B P Simelane</w:t>
            </w:r>
          </w:p>
        </w:tc>
        <w:tc>
          <w:tcPr>
            <w:tcW w:w="3333" w:type="dxa"/>
            <w:gridSpan w:val="3"/>
            <w:shd w:val="clear" w:color="auto" w:fill="auto"/>
          </w:tcPr>
          <w:p w14:paraId="4B83EFA7" w14:textId="77777777" w:rsidR="00DE7DAE" w:rsidRPr="00DE7DAE" w:rsidRDefault="00DE7DAE" w:rsidP="00DE7DAE">
            <w:pPr>
              <w:tabs>
                <w:tab w:val="left" w:pos="993"/>
              </w:tabs>
              <w:spacing w:after="0" w:line="240" w:lineRule="auto"/>
              <w:jc w:val="both"/>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ANC</w:t>
            </w:r>
          </w:p>
        </w:tc>
      </w:tr>
      <w:tr w:rsidR="00DE7DAE" w:rsidRPr="00DE7DAE" w14:paraId="3F3D19E0" w14:textId="77777777" w:rsidTr="00DE7DAE">
        <w:trPr>
          <w:gridAfter w:val="1"/>
          <w:wAfter w:w="60" w:type="dxa"/>
          <w:trHeight w:val="250"/>
        </w:trPr>
        <w:tc>
          <w:tcPr>
            <w:tcW w:w="853" w:type="dxa"/>
            <w:shd w:val="clear" w:color="auto" w:fill="auto"/>
          </w:tcPr>
          <w:p w14:paraId="1B06CA12" w14:textId="77777777" w:rsidR="00DE7DAE" w:rsidRPr="00DE7DAE" w:rsidRDefault="00DE7DAE" w:rsidP="00DE7DAE">
            <w:pPr>
              <w:tabs>
                <w:tab w:val="left" w:pos="993"/>
              </w:tabs>
              <w:spacing w:after="0" w:line="240" w:lineRule="auto"/>
              <w:jc w:val="center"/>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2</w:t>
            </w:r>
          </w:p>
        </w:tc>
        <w:tc>
          <w:tcPr>
            <w:tcW w:w="4991" w:type="dxa"/>
            <w:gridSpan w:val="3"/>
            <w:shd w:val="clear" w:color="auto" w:fill="auto"/>
          </w:tcPr>
          <w:p w14:paraId="6E82E7A2" w14:textId="77777777" w:rsidR="00DE7DAE" w:rsidRPr="00DE7DAE" w:rsidRDefault="00DE7DAE" w:rsidP="00DE7DAE">
            <w:pPr>
              <w:tabs>
                <w:tab w:val="left" w:pos="993"/>
              </w:tabs>
              <w:spacing w:after="0" w:line="240" w:lineRule="auto"/>
              <w:jc w:val="both"/>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 xml:space="preserve">M M Khanyile </w:t>
            </w:r>
          </w:p>
        </w:tc>
        <w:tc>
          <w:tcPr>
            <w:tcW w:w="3333" w:type="dxa"/>
            <w:gridSpan w:val="3"/>
            <w:shd w:val="clear" w:color="auto" w:fill="auto"/>
          </w:tcPr>
          <w:p w14:paraId="2EFD1C8D" w14:textId="77777777" w:rsidR="00DE7DAE" w:rsidRPr="00DE7DAE" w:rsidRDefault="00DE7DAE" w:rsidP="00DE7DAE">
            <w:pPr>
              <w:spacing w:after="0" w:line="240" w:lineRule="auto"/>
              <w:jc w:val="both"/>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ANC</w:t>
            </w:r>
          </w:p>
        </w:tc>
      </w:tr>
      <w:tr w:rsidR="00DE7DAE" w:rsidRPr="00DE7DAE" w14:paraId="376491D1" w14:textId="77777777" w:rsidTr="00DE7DAE">
        <w:trPr>
          <w:gridAfter w:val="1"/>
          <w:wAfter w:w="60" w:type="dxa"/>
          <w:trHeight w:val="250"/>
        </w:trPr>
        <w:tc>
          <w:tcPr>
            <w:tcW w:w="853" w:type="dxa"/>
            <w:shd w:val="clear" w:color="auto" w:fill="auto"/>
          </w:tcPr>
          <w:p w14:paraId="2616793F" w14:textId="77777777" w:rsidR="00DE7DAE" w:rsidRPr="00DE7DAE" w:rsidRDefault="00DE7DAE" w:rsidP="00DE7DAE">
            <w:pPr>
              <w:tabs>
                <w:tab w:val="left" w:pos="993"/>
              </w:tabs>
              <w:spacing w:after="0" w:line="240" w:lineRule="auto"/>
              <w:jc w:val="center"/>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3</w:t>
            </w:r>
          </w:p>
        </w:tc>
        <w:tc>
          <w:tcPr>
            <w:tcW w:w="4991" w:type="dxa"/>
            <w:gridSpan w:val="3"/>
            <w:shd w:val="clear" w:color="auto" w:fill="auto"/>
          </w:tcPr>
          <w:p w14:paraId="47363BAE" w14:textId="77777777" w:rsidR="00DE7DAE" w:rsidRPr="00DE7DAE" w:rsidRDefault="00DE7DAE" w:rsidP="00DE7DAE">
            <w:pPr>
              <w:tabs>
                <w:tab w:val="left" w:pos="993"/>
              </w:tabs>
              <w:spacing w:after="0" w:line="240" w:lineRule="auto"/>
              <w:jc w:val="both"/>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 xml:space="preserve">M E Dlamini </w:t>
            </w:r>
          </w:p>
        </w:tc>
        <w:tc>
          <w:tcPr>
            <w:tcW w:w="3333" w:type="dxa"/>
            <w:gridSpan w:val="3"/>
            <w:shd w:val="clear" w:color="auto" w:fill="auto"/>
          </w:tcPr>
          <w:p w14:paraId="069C5B3B" w14:textId="77777777" w:rsidR="00DE7DAE" w:rsidRPr="00DE7DAE" w:rsidRDefault="00DE7DAE" w:rsidP="00DE7DAE">
            <w:pPr>
              <w:spacing w:after="0" w:line="240" w:lineRule="auto"/>
              <w:jc w:val="both"/>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ANC</w:t>
            </w:r>
          </w:p>
        </w:tc>
      </w:tr>
      <w:tr w:rsidR="00DE7DAE" w:rsidRPr="00DE7DAE" w14:paraId="1127D912" w14:textId="77777777" w:rsidTr="00DE7DAE">
        <w:trPr>
          <w:gridAfter w:val="1"/>
          <w:wAfter w:w="60" w:type="dxa"/>
          <w:trHeight w:val="250"/>
        </w:trPr>
        <w:tc>
          <w:tcPr>
            <w:tcW w:w="853" w:type="dxa"/>
            <w:shd w:val="clear" w:color="auto" w:fill="auto"/>
          </w:tcPr>
          <w:p w14:paraId="283ADF49" w14:textId="77777777" w:rsidR="00DE7DAE" w:rsidRPr="00DE7DAE" w:rsidRDefault="00DE7DAE" w:rsidP="00DE7DAE">
            <w:pPr>
              <w:tabs>
                <w:tab w:val="left" w:pos="993"/>
              </w:tabs>
              <w:spacing w:after="0" w:line="240" w:lineRule="auto"/>
              <w:jc w:val="center"/>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4</w:t>
            </w:r>
          </w:p>
        </w:tc>
        <w:tc>
          <w:tcPr>
            <w:tcW w:w="4991" w:type="dxa"/>
            <w:gridSpan w:val="3"/>
            <w:shd w:val="clear" w:color="auto" w:fill="auto"/>
          </w:tcPr>
          <w:p w14:paraId="7594BD9F" w14:textId="77777777" w:rsidR="00DE7DAE" w:rsidRPr="00DE7DAE" w:rsidRDefault="00DE7DAE" w:rsidP="00DE7DAE">
            <w:pPr>
              <w:tabs>
                <w:tab w:val="left" w:pos="993"/>
              </w:tabs>
              <w:spacing w:after="0" w:line="240" w:lineRule="auto"/>
              <w:jc w:val="both"/>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 xml:space="preserve">N B Nkala </w:t>
            </w:r>
          </w:p>
        </w:tc>
        <w:tc>
          <w:tcPr>
            <w:tcW w:w="3333" w:type="dxa"/>
            <w:gridSpan w:val="3"/>
            <w:shd w:val="clear" w:color="auto" w:fill="auto"/>
          </w:tcPr>
          <w:p w14:paraId="663B6F40" w14:textId="77777777" w:rsidR="00DE7DAE" w:rsidRPr="00DE7DAE" w:rsidRDefault="00DE7DAE" w:rsidP="00DE7DAE">
            <w:pPr>
              <w:spacing w:after="0" w:line="240" w:lineRule="auto"/>
              <w:jc w:val="both"/>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ANC</w:t>
            </w:r>
          </w:p>
        </w:tc>
      </w:tr>
      <w:tr w:rsidR="00DE7DAE" w:rsidRPr="00DE7DAE" w14:paraId="17FC35CC" w14:textId="77777777" w:rsidTr="00DE7DAE">
        <w:trPr>
          <w:gridAfter w:val="1"/>
          <w:wAfter w:w="60" w:type="dxa"/>
          <w:trHeight w:val="250"/>
        </w:trPr>
        <w:tc>
          <w:tcPr>
            <w:tcW w:w="853" w:type="dxa"/>
            <w:shd w:val="clear" w:color="auto" w:fill="auto"/>
          </w:tcPr>
          <w:p w14:paraId="40BF53D1" w14:textId="77777777" w:rsidR="00DE7DAE" w:rsidRPr="00DE7DAE" w:rsidRDefault="00DE7DAE" w:rsidP="00DE7DAE">
            <w:pPr>
              <w:tabs>
                <w:tab w:val="left" w:pos="993"/>
              </w:tabs>
              <w:spacing w:after="0" w:line="240" w:lineRule="auto"/>
              <w:jc w:val="center"/>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5</w:t>
            </w:r>
          </w:p>
        </w:tc>
        <w:tc>
          <w:tcPr>
            <w:tcW w:w="4991" w:type="dxa"/>
            <w:gridSpan w:val="3"/>
            <w:shd w:val="clear" w:color="auto" w:fill="auto"/>
          </w:tcPr>
          <w:p w14:paraId="06FF4F52" w14:textId="77777777" w:rsidR="00DE7DAE" w:rsidRPr="00DE7DAE" w:rsidRDefault="00DE7DAE" w:rsidP="00DE7DAE">
            <w:pPr>
              <w:tabs>
                <w:tab w:val="left" w:pos="993"/>
              </w:tabs>
              <w:spacing w:after="0" w:line="240" w:lineRule="auto"/>
              <w:jc w:val="both"/>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 xml:space="preserve">W P Mzimela </w:t>
            </w:r>
          </w:p>
        </w:tc>
        <w:tc>
          <w:tcPr>
            <w:tcW w:w="3333" w:type="dxa"/>
            <w:gridSpan w:val="3"/>
            <w:shd w:val="clear" w:color="auto" w:fill="auto"/>
          </w:tcPr>
          <w:p w14:paraId="0B92C0D4" w14:textId="77777777" w:rsidR="00DE7DAE" w:rsidRPr="00DE7DAE" w:rsidRDefault="00DE7DAE" w:rsidP="00DE7DAE">
            <w:pPr>
              <w:spacing w:after="0" w:line="240" w:lineRule="auto"/>
              <w:jc w:val="both"/>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ANC</w:t>
            </w:r>
          </w:p>
        </w:tc>
      </w:tr>
      <w:tr w:rsidR="00DE7DAE" w:rsidRPr="00DE7DAE" w14:paraId="601AD648" w14:textId="77777777" w:rsidTr="00DE7DAE">
        <w:trPr>
          <w:gridAfter w:val="1"/>
          <w:wAfter w:w="60" w:type="dxa"/>
          <w:trHeight w:val="229"/>
        </w:trPr>
        <w:tc>
          <w:tcPr>
            <w:tcW w:w="853" w:type="dxa"/>
            <w:shd w:val="clear" w:color="auto" w:fill="auto"/>
          </w:tcPr>
          <w:p w14:paraId="41A8901A" w14:textId="77777777" w:rsidR="00DE7DAE" w:rsidRPr="00DE7DAE" w:rsidRDefault="00DE7DAE" w:rsidP="00DE7DAE">
            <w:pPr>
              <w:tabs>
                <w:tab w:val="left" w:pos="993"/>
              </w:tabs>
              <w:spacing w:after="0" w:line="240" w:lineRule="auto"/>
              <w:jc w:val="center"/>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6</w:t>
            </w:r>
          </w:p>
        </w:tc>
        <w:tc>
          <w:tcPr>
            <w:tcW w:w="4991" w:type="dxa"/>
            <w:gridSpan w:val="3"/>
            <w:shd w:val="clear" w:color="auto" w:fill="auto"/>
          </w:tcPr>
          <w:p w14:paraId="7AAD09BD" w14:textId="77777777" w:rsidR="00DE7DAE" w:rsidRPr="00DE7DAE" w:rsidRDefault="00DE7DAE" w:rsidP="00DE7DAE">
            <w:pPr>
              <w:tabs>
                <w:tab w:val="left" w:pos="993"/>
              </w:tabs>
              <w:spacing w:after="0" w:line="240" w:lineRule="auto"/>
              <w:jc w:val="both"/>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 xml:space="preserve">L B G Biyela </w:t>
            </w:r>
          </w:p>
        </w:tc>
        <w:tc>
          <w:tcPr>
            <w:tcW w:w="3333" w:type="dxa"/>
            <w:gridSpan w:val="3"/>
            <w:shd w:val="clear" w:color="auto" w:fill="auto"/>
          </w:tcPr>
          <w:p w14:paraId="5B5B7EC3" w14:textId="77777777" w:rsidR="00DE7DAE" w:rsidRPr="00DE7DAE" w:rsidRDefault="00DE7DAE" w:rsidP="00DE7DAE">
            <w:pPr>
              <w:spacing w:after="0" w:line="240" w:lineRule="auto"/>
              <w:jc w:val="both"/>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ANC</w:t>
            </w:r>
          </w:p>
        </w:tc>
      </w:tr>
      <w:tr w:rsidR="00DE7DAE" w:rsidRPr="00DE7DAE" w14:paraId="4C125669" w14:textId="77777777" w:rsidTr="00DE7DAE">
        <w:trPr>
          <w:gridAfter w:val="1"/>
          <w:wAfter w:w="60" w:type="dxa"/>
          <w:trHeight w:val="250"/>
        </w:trPr>
        <w:tc>
          <w:tcPr>
            <w:tcW w:w="853" w:type="dxa"/>
            <w:shd w:val="clear" w:color="auto" w:fill="auto"/>
          </w:tcPr>
          <w:p w14:paraId="009B6107" w14:textId="77777777" w:rsidR="00DE7DAE" w:rsidRPr="00DE7DAE" w:rsidRDefault="00DE7DAE" w:rsidP="00DE7DAE">
            <w:pPr>
              <w:tabs>
                <w:tab w:val="left" w:pos="993"/>
              </w:tabs>
              <w:spacing w:after="0" w:line="240" w:lineRule="auto"/>
              <w:jc w:val="center"/>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7</w:t>
            </w:r>
          </w:p>
        </w:tc>
        <w:tc>
          <w:tcPr>
            <w:tcW w:w="4991" w:type="dxa"/>
            <w:gridSpan w:val="3"/>
            <w:shd w:val="clear" w:color="auto" w:fill="auto"/>
          </w:tcPr>
          <w:p w14:paraId="63E5E6FD" w14:textId="77777777" w:rsidR="00DE7DAE" w:rsidRPr="00DE7DAE" w:rsidRDefault="00DE7DAE" w:rsidP="00DE7DAE">
            <w:pPr>
              <w:tabs>
                <w:tab w:val="left" w:pos="993"/>
              </w:tabs>
              <w:spacing w:after="0" w:line="240" w:lineRule="auto"/>
              <w:jc w:val="both"/>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J K Powell</w:t>
            </w:r>
          </w:p>
        </w:tc>
        <w:tc>
          <w:tcPr>
            <w:tcW w:w="3333" w:type="dxa"/>
            <w:gridSpan w:val="3"/>
            <w:shd w:val="clear" w:color="auto" w:fill="auto"/>
          </w:tcPr>
          <w:p w14:paraId="05DB6084" w14:textId="77777777" w:rsidR="00DE7DAE" w:rsidRPr="00DE7DAE" w:rsidRDefault="00DE7DAE" w:rsidP="00DE7DAE">
            <w:pPr>
              <w:tabs>
                <w:tab w:val="left" w:pos="993"/>
              </w:tabs>
              <w:spacing w:after="0" w:line="240" w:lineRule="auto"/>
              <w:jc w:val="both"/>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IFP</w:t>
            </w:r>
          </w:p>
        </w:tc>
      </w:tr>
      <w:tr w:rsidR="00DE7DAE" w:rsidRPr="00DE7DAE" w14:paraId="56C79785" w14:textId="77777777" w:rsidTr="00DE7DAE">
        <w:trPr>
          <w:gridAfter w:val="1"/>
          <w:wAfter w:w="60" w:type="dxa"/>
          <w:trHeight w:val="250"/>
        </w:trPr>
        <w:tc>
          <w:tcPr>
            <w:tcW w:w="853" w:type="dxa"/>
            <w:shd w:val="clear" w:color="auto" w:fill="auto"/>
          </w:tcPr>
          <w:p w14:paraId="7689C54B" w14:textId="77777777" w:rsidR="00DE7DAE" w:rsidRPr="00DE7DAE" w:rsidRDefault="00DE7DAE" w:rsidP="00DE7DAE">
            <w:pPr>
              <w:tabs>
                <w:tab w:val="left" w:pos="993"/>
              </w:tabs>
              <w:spacing w:after="0" w:line="240" w:lineRule="auto"/>
              <w:jc w:val="center"/>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8</w:t>
            </w:r>
          </w:p>
        </w:tc>
        <w:tc>
          <w:tcPr>
            <w:tcW w:w="4991" w:type="dxa"/>
            <w:gridSpan w:val="3"/>
            <w:shd w:val="clear" w:color="auto" w:fill="auto"/>
          </w:tcPr>
          <w:p w14:paraId="1E62D592" w14:textId="77777777" w:rsidR="00DE7DAE" w:rsidRPr="00DE7DAE" w:rsidRDefault="00DE7DAE" w:rsidP="00DE7DAE">
            <w:pPr>
              <w:tabs>
                <w:tab w:val="left" w:pos="993"/>
              </w:tabs>
              <w:spacing w:after="0" w:line="240" w:lineRule="auto"/>
              <w:jc w:val="both"/>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B C Magwaza</w:t>
            </w:r>
          </w:p>
        </w:tc>
        <w:tc>
          <w:tcPr>
            <w:tcW w:w="3333" w:type="dxa"/>
            <w:gridSpan w:val="3"/>
            <w:shd w:val="clear" w:color="auto" w:fill="auto"/>
          </w:tcPr>
          <w:p w14:paraId="50A7F750" w14:textId="77777777" w:rsidR="00DE7DAE" w:rsidRPr="00DE7DAE" w:rsidRDefault="00DE7DAE" w:rsidP="00DE7DAE">
            <w:pPr>
              <w:tabs>
                <w:tab w:val="left" w:pos="993"/>
              </w:tabs>
              <w:spacing w:after="0" w:line="240" w:lineRule="auto"/>
              <w:jc w:val="both"/>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IFP</w:t>
            </w:r>
          </w:p>
        </w:tc>
      </w:tr>
      <w:tr w:rsidR="00DE7DAE" w:rsidRPr="00DE7DAE" w14:paraId="0E75760A" w14:textId="77777777" w:rsidTr="00DE7DAE">
        <w:trPr>
          <w:gridAfter w:val="1"/>
          <w:wAfter w:w="60" w:type="dxa"/>
          <w:trHeight w:val="250"/>
        </w:trPr>
        <w:tc>
          <w:tcPr>
            <w:tcW w:w="853" w:type="dxa"/>
            <w:shd w:val="clear" w:color="auto" w:fill="auto"/>
          </w:tcPr>
          <w:p w14:paraId="420CB2E4" w14:textId="77777777" w:rsidR="00DE7DAE" w:rsidRPr="00DE7DAE" w:rsidRDefault="00DE7DAE" w:rsidP="00DE7DAE">
            <w:pPr>
              <w:tabs>
                <w:tab w:val="left" w:pos="993"/>
              </w:tabs>
              <w:spacing w:after="0" w:line="240" w:lineRule="auto"/>
              <w:jc w:val="center"/>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9</w:t>
            </w:r>
          </w:p>
        </w:tc>
        <w:tc>
          <w:tcPr>
            <w:tcW w:w="4991" w:type="dxa"/>
            <w:gridSpan w:val="3"/>
            <w:shd w:val="clear" w:color="auto" w:fill="auto"/>
          </w:tcPr>
          <w:p w14:paraId="7C37AC0B" w14:textId="77777777" w:rsidR="00DE7DAE" w:rsidRPr="00DE7DAE" w:rsidRDefault="00DE7DAE" w:rsidP="00DE7DAE">
            <w:pPr>
              <w:tabs>
                <w:tab w:val="left" w:pos="993"/>
              </w:tabs>
              <w:spacing w:after="0" w:line="240" w:lineRule="auto"/>
              <w:jc w:val="both"/>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I M Filand</w:t>
            </w:r>
          </w:p>
        </w:tc>
        <w:tc>
          <w:tcPr>
            <w:tcW w:w="3333" w:type="dxa"/>
            <w:gridSpan w:val="3"/>
            <w:shd w:val="clear" w:color="auto" w:fill="auto"/>
          </w:tcPr>
          <w:p w14:paraId="7ED00C51" w14:textId="77777777" w:rsidR="00DE7DAE" w:rsidRPr="00DE7DAE" w:rsidRDefault="00DE7DAE" w:rsidP="00DE7DAE">
            <w:pPr>
              <w:tabs>
                <w:tab w:val="left" w:pos="993"/>
              </w:tabs>
              <w:spacing w:after="0" w:line="240" w:lineRule="auto"/>
              <w:jc w:val="both"/>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IFP</w:t>
            </w:r>
          </w:p>
        </w:tc>
      </w:tr>
      <w:tr w:rsidR="00DE7DAE" w:rsidRPr="00DE7DAE" w14:paraId="441BE91C" w14:textId="77777777" w:rsidTr="00DE7DAE">
        <w:trPr>
          <w:gridAfter w:val="1"/>
          <w:wAfter w:w="60" w:type="dxa"/>
          <w:trHeight w:val="250"/>
        </w:trPr>
        <w:tc>
          <w:tcPr>
            <w:tcW w:w="853" w:type="dxa"/>
            <w:shd w:val="clear" w:color="auto" w:fill="auto"/>
          </w:tcPr>
          <w:p w14:paraId="4B3E25CA" w14:textId="77777777" w:rsidR="00DE7DAE" w:rsidRPr="00DE7DAE" w:rsidRDefault="00DE7DAE" w:rsidP="00DE7DAE">
            <w:pPr>
              <w:tabs>
                <w:tab w:val="left" w:pos="993"/>
              </w:tabs>
              <w:spacing w:after="0" w:line="240" w:lineRule="auto"/>
              <w:jc w:val="center"/>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10</w:t>
            </w:r>
          </w:p>
        </w:tc>
        <w:tc>
          <w:tcPr>
            <w:tcW w:w="4991" w:type="dxa"/>
            <w:gridSpan w:val="3"/>
            <w:shd w:val="clear" w:color="auto" w:fill="auto"/>
          </w:tcPr>
          <w:p w14:paraId="2A3C8D27" w14:textId="77777777" w:rsidR="00DE7DAE" w:rsidRPr="00DE7DAE" w:rsidRDefault="00DE7DAE" w:rsidP="00DE7DAE">
            <w:pPr>
              <w:tabs>
                <w:tab w:val="left" w:pos="993"/>
              </w:tabs>
              <w:spacing w:after="0" w:line="240" w:lineRule="auto"/>
              <w:jc w:val="both"/>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B C Sithole</w:t>
            </w:r>
          </w:p>
        </w:tc>
        <w:tc>
          <w:tcPr>
            <w:tcW w:w="3333" w:type="dxa"/>
            <w:gridSpan w:val="3"/>
            <w:shd w:val="clear" w:color="auto" w:fill="auto"/>
          </w:tcPr>
          <w:p w14:paraId="6FFFD1AE" w14:textId="77777777" w:rsidR="00DE7DAE" w:rsidRPr="00DE7DAE" w:rsidRDefault="00DE7DAE" w:rsidP="00DE7DAE">
            <w:pPr>
              <w:tabs>
                <w:tab w:val="left" w:pos="993"/>
              </w:tabs>
              <w:spacing w:after="0" w:line="240" w:lineRule="auto"/>
              <w:jc w:val="both"/>
              <w:rPr>
                <w:rFonts w:asciiTheme="minorHAnsi" w:eastAsia="Times New Roman" w:hAnsiTheme="minorHAnsi" w:cstheme="minorHAnsi"/>
                <w:color w:val="000000"/>
                <w:sz w:val="18"/>
                <w:szCs w:val="20"/>
                <w:lang w:val="en-ZA" w:eastAsia="en-ZA"/>
              </w:rPr>
            </w:pPr>
            <w:r w:rsidRPr="00DE7DAE">
              <w:rPr>
                <w:rFonts w:asciiTheme="minorHAnsi" w:eastAsia="Times New Roman" w:hAnsiTheme="minorHAnsi" w:cstheme="minorHAnsi"/>
                <w:color w:val="000000"/>
                <w:sz w:val="18"/>
                <w:szCs w:val="20"/>
                <w:lang w:val="en-ZA" w:eastAsia="en-ZA"/>
              </w:rPr>
              <w:t>IFP</w:t>
            </w:r>
          </w:p>
        </w:tc>
      </w:tr>
      <w:tr w:rsidR="00DE7DAE" w:rsidRPr="00DE7DAE" w14:paraId="65AA7E1A" w14:textId="77777777" w:rsidTr="00BA506B">
        <w:trPr>
          <w:trHeight w:val="250"/>
        </w:trPr>
        <w:tc>
          <w:tcPr>
            <w:tcW w:w="9237" w:type="dxa"/>
            <w:gridSpan w:val="8"/>
            <w:shd w:val="clear" w:color="auto" w:fill="auto"/>
          </w:tcPr>
          <w:p w14:paraId="7DCABC66" w14:textId="77777777" w:rsidR="00DE7DAE" w:rsidRPr="00DE7DAE" w:rsidRDefault="00DE7DAE" w:rsidP="00BA506B">
            <w:pPr>
              <w:autoSpaceDE w:val="0"/>
              <w:autoSpaceDN w:val="0"/>
              <w:adjustRightInd w:val="0"/>
              <w:spacing w:after="0" w:line="240" w:lineRule="auto"/>
              <w:jc w:val="center"/>
              <w:rPr>
                <w:rFonts w:eastAsia="Times New Roman" w:cs="Calibri"/>
                <w:color w:val="000000"/>
                <w:szCs w:val="20"/>
                <w:lang w:val="en-ZA" w:eastAsia="en-ZA"/>
              </w:rPr>
            </w:pPr>
            <w:r w:rsidRPr="00DE7DAE">
              <w:rPr>
                <w:rFonts w:eastAsia="Times New Roman" w:cs="Calibri"/>
                <w:color w:val="000000"/>
                <w:szCs w:val="20"/>
                <w:lang w:val="en-ZA" w:eastAsia="en-ZA"/>
              </w:rPr>
              <w:t>Engineering Services Committee</w:t>
            </w:r>
          </w:p>
        </w:tc>
      </w:tr>
      <w:tr w:rsidR="00DE7DAE" w:rsidRPr="00DE7DAE" w14:paraId="425A62F7" w14:textId="77777777" w:rsidTr="00BA506B">
        <w:trPr>
          <w:trHeight w:val="250"/>
        </w:trPr>
        <w:tc>
          <w:tcPr>
            <w:tcW w:w="859" w:type="dxa"/>
            <w:gridSpan w:val="2"/>
            <w:shd w:val="clear" w:color="auto" w:fill="auto"/>
          </w:tcPr>
          <w:p w14:paraId="58B49EC2"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No</w:t>
            </w:r>
          </w:p>
        </w:tc>
        <w:tc>
          <w:tcPr>
            <w:tcW w:w="5024" w:type="dxa"/>
            <w:gridSpan w:val="3"/>
            <w:shd w:val="clear" w:color="auto" w:fill="auto"/>
          </w:tcPr>
          <w:p w14:paraId="243B6739"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Councillor</w:t>
            </w:r>
          </w:p>
        </w:tc>
        <w:tc>
          <w:tcPr>
            <w:tcW w:w="3353" w:type="dxa"/>
            <w:gridSpan w:val="3"/>
            <w:shd w:val="clear" w:color="auto" w:fill="auto"/>
          </w:tcPr>
          <w:p w14:paraId="15F3BB05"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Representing</w:t>
            </w:r>
          </w:p>
        </w:tc>
      </w:tr>
      <w:tr w:rsidR="00DE7DAE" w:rsidRPr="00DE7DAE" w14:paraId="5C324D3F" w14:textId="77777777" w:rsidTr="00BA506B">
        <w:trPr>
          <w:trHeight w:val="250"/>
        </w:trPr>
        <w:tc>
          <w:tcPr>
            <w:tcW w:w="859" w:type="dxa"/>
            <w:gridSpan w:val="2"/>
            <w:shd w:val="clear" w:color="auto" w:fill="auto"/>
          </w:tcPr>
          <w:p w14:paraId="209387C2"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1</w:t>
            </w:r>
          </w:p>
        </w:tc>
        <w:tc>
          <w:tcPr>
            <w:tcW w:w="5024" w:type="dxa"/>
            <w:gridSpan w:val="3"/>
            <w:shd w:val="clear" w:color="auto" w:fill="auto"/>
          </w:tcPr>
          <w:p w14:paraId="56CBD1C7"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M M Khanyile</w:t>
            </w:r>
          </w:p>
        </w:tc>
        <w:tc>
          <w:tcPr>
            <w:tcW w:w="3353" w:type="dxa"/>
            <w:gridSpan w:val="3"/>
            <w:shd w:val="clear" w:color="auto" w:fill="auto"/>
          </w:tcPr>
          <w:p w14:paraId="643B90E3"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ANC</w:t>
            </w:r>
          </w:p>
        </w:tc>
      </w:tr>
      <w:tr w:rsidR="00DE7DAE" w:rsidRPr="00DE7DAE" w14:paraId="0828F1C7" w14:textId="77777777" w:rsidTr="00BA506B">
        <w:trPr>
          <w:trHeight w:val="250"/>
        </w:trPr>
        <w:tc>
          <w:tcPr>
            <w:tcW w:w="859" w:type="dxa"/>
            <w:gridSpan w:val="2"/>
            <w:shd w:val="clear" w:color="auto" w:fill="auto"/>
          </w:tcPr>
          <w:p w14:paraId="10CA6299"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2</w:t>
            </w:r>
          </w:p>
        </w:tc>
        <w:tc>
          <w:tcPr>
            <w:tcW w:w="5024" w:type="dxa"/>
            <w:gridSpan w:val="3"/>
            <w:shd w:val="clear" w:color="auto" w:fill="auto"/>
          </w:tcPr>
          <w:p w14:paraId="3F3552F6"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M Z Nkwanyana</w:t>
            </w:r>
          </w:p>
        </w:tc>
        <w:tc>
          <w:tcPr>
            <w:tcW w:w="3353" w:type="dxa"/>
            <w:gridSpan w:val="3"/>
            <w:shd w:val="clear" w:color="auto" w:fill="auto"/>
          </w:tcPr>
          <w:p w14:paraId="7BBC76DD"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ANC</w:t>
            </w:r>
          </w:p>
        </w:tc>
      </w:tr>
      <w:tr w:rsidR="00DE7DAE" w:rsidRPr="00DE7DAE" w14:paraId="19A86DFC" w14:textId="77777777" w:rsidTr="00BA506B">
        <w:trPr>
          <w:trHeight w:val="250"/>
        </w:trPr>
        <w:tc>
          <w:tcPr>
            <w:tcW w:w="859" w:type="dxa"/>
            <w:gridSpan w:val="2"/>
            <w:shd w:val="clear" w:color="auto" w:fill="auto"/>
          </w:tcPr>
          <w:p w14:paraId="25D00B94"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3</w:t>
            </w:r>
          </w:p>
        </w:tc>
        <w:tc>
          <w:tcPr>
            <w:tcW w:w="5024" w:type="dxa"/>
            <w:gridSpan w:val="3"/>
            <w:shd w:val="clear" w:color="auto" w:fill="auto"/>
          </w:tcPr>
          <w:p w14:paraId="3958EDA7"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W L Ngema</w:t>
            </w:r>
          </w:p>
        </w:tc>
        <w:tc>
          <w:tcPr>
            <w:tcW w:w="3353" w:type="dxa"/>
            <w:gridSpan w:val="3"/>
            <w:shd w:val="clear" w:color="auto" w:fill="auto"/>
          </w:tcPr>
          <w:p w14:paraId="23A2050C"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ANC</w:t>
            </w:r>
          </w:p>
        </w:tc>
      </w:tr>
      <w:tr w:rsidR="00DE7DAE" w:rsidRPr="00DE7DAE" w14:paraId="737169B0" w14:textId="77777777" w:rsidTr="00BA506B">
        <w:trPr>
          <w:trHeight w:val="250"/>
        </w:trPr>
        <w:tc>
          <w:tcPr>
            <w:tcW w:w="859" w:type="dxa"/>
            <w:gridSpan w:val="2"/>
            <w:shd w:val="clear" w:color="auto" w:fill="auto"/>
          </w:tcPr>
          <w:p w14:paraId="6D90211B"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4</w:t>
            </w:r>
          </w:p>
        </w:tc>
        <w:tc>
          <w:tcPr>
            <w:tcW w:w="5024" w:type="dxa"/>
            <w:gridSpan w:val="3"/>
            <w:shd w:val="clear" w:color="auto" w:fill="auto"/>
          </w:tcPr>
          <w:p w14:paraId="4D52EA5D"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S B Dlamuka</w:t>
            </w:r>
          </w:p>
        </w:tc>
        <w:tc>
          <w:tcPr>
            <w:tcW w:w="3353" w:type="dxa"/>
            <w:gridSpan w:val="3"/>
            <w:shd w:val="clear" w:color="auto" w:fill="auto"/>
          </w:tcPr>
          <w:p w14:paraId="00F5DECF"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ANC</w:t>
            </w:r>
          </w:p>
        </w:tc>
      </w:tr>
      <w:tr w:rsidR="00DE7DAE" w:rsidRPr="00DE7DAE" w14:paraId="7417FD3B" w14:textId="77777777" w:rsidTr="00BA506B">
        <w:trPr>
          <w:trHeight w:val="250"/>
        </w:trPr>
        <w:tc>
          <w:tcPr>
            <w:tcW w:w="859" w:type="dxa"/>
            <w:gridSpan w:val="2"/>
            <w:shd w:val="clear" w:color="auto" w:fill="auto"/>
          </w:tcPr>
          <w:p w14:paraId="60F07182"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5</w:t>
            </w:r>
          </w:p>
        </w:tc>
        <w:tc>
          <w:tcPr>
            <w:tcW w:w="5024" w:type="dxa"/>
            <w:gridSpan w:val="3"/>
            <w:shd w:val="clear" w:color="auto" w:fill="auto"/>
          </w:tcPr>
          <w:p w14:paraId="033F7540"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MT Ncanana</w:t>
            </w:r>
          </w:p>
        </w:tc>
        <w:tc>
          <w:tcPr>
            <w:tcW w:w="3353" w:type="dxa"/>
            <w:gridSpan w:val="3"/>
            <w:shd w:val="clear" w:color="auto" w:fill="auto"/>
          </w:tcPr>
          <w:p w14:paraId="3481D6BE"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ANC</w:t>
            </w:r>
          </w:p>
        </w:tc>
      </w:tr>
      <w:tr w:rsidR="00DE7DAE" w:rsidRPr="00DE7DAE" w14:paraId="73112B95" w14:textId="77777777" w:rsidTr="00BA506B">
        <w:trPr>
          <w:trHeight w:val="229"/>
        </w:trPr>
        <w:tc>
          <w:tcPr>
            <w:tcW w:w="859" w:type="dxa"/>
            <w:gridSpan w:val="2"/>
            <w:shd w:val="clear" w:color="auto" w:fill="auto"/>
          </w:tcPr>
          <w:p w14:paraId="575AB8D8"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6</w:t>
            </w:r>
          </w:p>
        </w:tc>
        <w:tc>
          <w:tcPr>
            <w:tcW w:w="5024" w:type="dxa"/>
            <w:gridSpan w:val="3"/>
            <w:shd w:val="clear" w:color="auto" w:fill="auto"/>
          </w:tcPr>
          <w:p w14:paraId="4E720C69"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N N F Luvuno</w:t>
            </w:r>
          </w:p>
        </w:tc>
        <w:tc>
          <w:tcPr>
            <w:tcW w:w="3353" w:type="dxa"/>
            <w:gridSpan w:val="3"/>
            <w:shd w:val="clear" w:color="auto" w:fill="auto"/>
          </w:tcPr>
          <w:p w14:paraId="0852FF1A"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ANC</w:t>
            </w:r>
          </w:p>
        </w:tc>
      </w:tr>
      <w:tr w:rsidR="00DE7DAE" w:rsidRPr="00DE7DAE" w14:paraId="6F0DA7CC" w14:textId="77777777" w:rsidTr="00BA506B">
        <w:trPr>
          <w:trHeight w:val="250"/>
        </w:trPr>
        <w:tc>
          <w:tcPr>
            <w:tcW w:w="859" w:type="dxa"/>
            <w:gridSpan w:val="2"/>
            <w:shd w:val="clear" w:color="auto" w:fill="auto"/>
          </w:tcPr>
          <w:p w14:paraId="74C1FA99"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7</w:t>
            </w:r>
          </w:p>
        </w:tc>
        <w:tc>
          <w:tcPr>
            <w:tcW w:w="5024" w:type="dxa"/>
            <w:gridSpan w:val="3"/>
            <w:shd w:val="clear" w:color="auto" w:fill="auto"/>
          </w:tcPr>
          <w:p w14:paraId="50B7A901"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S B Larkan</w:t>
            </w:r>
          </w:p>
        </w:tc>
        <w:tc>
          <w:tcPr>
            <w:tcW w:w="3353" w:type="dxa"/>
            <w:gridSpan w:val="3"/>
            <w:shd w:val="clear" w:color="auto" w:fill="auto"/>
          </w:tcPr>
          <w:p w14:paraId="30DB7B15"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IFP</w:t>
            </w:r>
          </w:p>
        </w:tc>
      </w:tr>
      <w:tr w:rsidR="00DE7DAE" w:rsidRPr="00DE7DAE" w14:paraId="37107097" w14:textId="77777777" w:rsidTr="00BA506B">
        <w:trPr>
          <w:trHeight w:val="250"/>
        </w:trPr>
        <w:tc>
          <w:tcPr>
            <w:tcW w:w="859" w:type="dxa"/>
            <w:gridSpan w:val="2"/>
            <w:shd w:val="clear" w:color="auto" w:fill="auto"/>
          </w:tcPr>
          <w:p w14:paraId="79EB2EC6"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8</w:t>
            </w:r>
          </w:p>
        </w:tc>
        <w:tc>
          <w:tcPr>
            <w:tcW w:w="5024" w:type="dxa"/>
            <w:gridSpan w:val="3"/>
            <w:shd w:val="clear" w:color="auto" w:fill="auto"/>
          </w:tcPr>
          <w:p w14:paraId="4E6E50E6"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S V Chamane</w:t>
            </w:r>
          </w:p>
        </w:tc>
        <w:tc>
          <w:tcPr>
            <w:tcW w:w="3353" w:type="dxa"/>
            <w:gridSpan w:val="3"/>
            <w:shd w:val="clear" w:color="auto" w:fill="auto"/>
          </w:tcPr>
          <w:p w14:paraId="792261D7"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IFP</w:t>
            </w:r>
          </w:p>
        </w:tc>
      </w:tr>
      <w:tr w:rsidR="00DE7DAE" w:rsidRPr="00DE7DAE" w14:paraId="4BC1DCF2" w14:textId="77777777" w:rsidTr="00BA506B">
        <w:trPr>
          <w:trHeight w:val="250"/>
        </w:trPr>
        <w:tc>
          <w:tcPr>
            <w:tcW w:w="859" w:type="dxa"/>
            <w:gridSpan w:val="2"/>
            <w:shd w:val="clear" w:color="auto" w:fill="auto"/>
          </w:tcPr>
          <w:p w14:paraId="0CBC1186"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9</w:t>
            </w:r>
          </w:p>
        </w:tc>
        <w:tc>
          <w:tcPr>
            <w:tcW w:w="5024" w:type="dxa"/>
            <w:gridSpan w:val="3"/>
            <w:shd w:val="clear" w:color="auto" w:fill="auto"/>
          </w:tcPr>
          <w:p w14:paraId="25F8EBCB"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S S Ntsele</w:t>
            </w:r>
          </w:p>
        </w:tc>
        <w:tc>
          <w:tcPr>
            <w:tcW w:w="3353" w:type="dxa"/>
            <w:gridSpan w:val="3"/>
            <w:shd w:val="clear" w:color="auto" w:fill="auto"/>
          </w:tcPr>
          <w:p w14:paraId="597A815E"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IFP</w:t>
            </w:r>
          </w:p>
        </w:tc>
      </w:tr>
      <w:tr w:rsidR="00DE7DAE" w:rsidRPr="00DE7DAE" w14:paraId="4CF9A5D8" w14:textId="77777777" w:rsidTr="00BA506B">
        <w:trPr>
          <w:trHeight w:val="250"/>
        </w:trPr>
        <w:tc>
          <w:tcPr>
            <w:tcW w:w="859" w:type="dxa"/>
            <w:gridSpan w:val="2"/>
            <w:shd w:val="clear" w:color="auto" w:fill="auto"/>
          </w:tcPr>
          <w:p w14:paraId="67461C09"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10</w:t>
            </w:r>
          </w:p>
        </w:tc>
        <w:tc>
          <w:tcPr>
            <w:tcW w:w="5024" w:type="dxa"/>
            <w:gridSpan w:val="3"/>
            <w:shd w:val="clear" w:color="auto" w:fill="auto"/>
          </w:tcPr>
          <w:p w14:paraId="07AE633C"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M Govinsamy</w:t>
            </w:r>
          </w:p>
        </w:tc>
        <w:tc>
          <w:tcPr>
            <w:tcW w:w="3353" w:type="dxa"/>
            <w:gridSpan w:val="3"/>
            <w:shd w:val="clear" w:color="auto" w:fill="auto"/>
          </w:tcPr>
          <w:p w14:paraId="48219FBB" w14:textId="77777777" w:rsidR="00DE7DAE" w:rsidRPr="00DE7DAE" w:rsidRDefault="00DE7DAE" w:rsidP="00BA506B">
            <w:pPr>
              <w:autoSpaceDE w:val="0"/>
              <w:autoSpaceDN w:val="0"/>
              <w:adjustRightInd w:val="0"/>
              <w:spacing w:after="0" w:line="240" w:lineRule="auto"/>
              <w:rPr>
                <w:rFonts w:eastAsia="Times New Roman" w:cs="Calibri"/>
                <w:color w:val="000000"/>
                <w:szCs w:val="20"/>
                <w:lang w:val="en-ZA" w:eastAsia="en-ZA"/>
              </w:rPr>
            </w:pPr>
            <w:r w:rsidRPr="00DE7DAE">
              <w:rPr>
                <w:rFonts w:eastAsia="Times New Roman" w:cs="Calibri"/>
                <w:color w:val="000000"/>
                <w:szCs w:val="20"/>
                <w:lang w:val="en-ZA" w:eastAsia="en-ZA"/>
              </w:rPr>
              <w:t>IFP</w:t>
            </w:r>
          </w:p>
        </w:tc>
      </w:tr>
    </w:tbl>
    <w:p w14:paraId="205C324D" w14:textId="77777777" w:rsidR="00DE7DAE" w:rsidRPr="00DE7DAE" w:rsidRDefault="00DE7DAE" w:rsidP="00E56F6F">
      <w:pPr>
        <w:spacing w:after="0" w:line="240" w:lineRule="auto"/>
        <w:rPr>
          <w:rFonts w:asciiTheme="minorHAnsi" w:eastAsia="Times New Roman" w:hAnsiTheme="minorHAnsi" w:cstheme="minorHAnsi"/>
          <w:b/>
          <w:color w:val="000000"/>
          <w:szCs w:val="20"/>
          <w:lang w:val="en-ZA" w:eastAsia="en-ZA"/>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9"/>
        <w:gridCol w:w="5024"/>
        <w:gridCol w:w="3354"/>
      </w:tblGrid>
      <w:tr w:rsidR="00DE7DAE" w:rsidRPr="00DE7DAE" w14:paraId="56A2F1C8" w14:textId="77777777" w:rsidTr="00DE7DAE">
        <w:trPr>
          <w:trHeight w:val="250"/>
        </w:trPr>
        <w:tc>
          <w:tcPr>
            <w:tcW w:w="9237" w:type="dxa"/>
            <w:gridSpan w:val="3"/>
            <w:shd w:val="clear" w:color="auto" w:fill="auto"/>
          </w:tcPr>
          <w:p w14:paraId="0C027DDB" w14:textId="77777777" w:rsidR="00DE7DAE" w:rsidRPr="00DE7DAE" w:rsidRDefault="00DE7DAE" w:rsidP="00DE7DAE">
            <w:pPr>
              <w:tabs>
                <w:tab w:val="left" w:pos="993"/>
              </w:tabs>
              <w:spacing w:after="0" w:line="240" w:lineRule="auto"/>
              <w:jc w:val="center"/>
              <w:rPr>
                <w:rFonts w:eastAsia="Times New Roman" w:cs="Calibri"/>
                <w:b/>
                <w:color w:val="000000"/>
                <w:szCs w:val="20"/>
                <w:lang w:val="en-ZA" w:eastAsia="en-ZA"/>
              </w:rPr>
            </w:pPr>
            <w:r w:rsidRPr="00DE7DAE">
              <w:rPr>
                <w:rFonts w:eastAsia="Times New Roman" w:cs="Calibri"/>
                <w:b/>
                <w:color w:val="000000"/>
                <w:szCs w:val="20"/>
                <w:lang w:val="en-ZA" w:eastAsia="en-ZA"/>
              </w:rPr>
              <w:t>Community Services Committee (includes Protection)</w:t>
            </w:r>
          </w:p>
        </w:tc>
      </w:tr>
      <w:tr w:rsidR="00DE7DAE" w:rsidRPr="00DE7DAE" w14:paraId="522853A5" w14:textId="77777777" w:rsidTr="00DE7DAE">
        <w:trPr>
          <w:trHeight w:val="250"/>
        </w:trPr>
        <w:tc>
          <w:tcPr>
            <w:tcW w:w="859" w:type="dxa"/>
            <w:shd w:val="clear" w:color="auto" w:fill="auto"/>
          </w:tcPr>
          <w:p w14:paraId="44225A7A" w14:textId="77777777" w:rsidR="00DE7DAE" w:rsidRPr="00DE7DAE" w:rsidRDefault="00DE7DAE" w:rsidP="00DE7DAE">
            <w:pPr>
              <w:tabs>
                <w:tab w:val="left" w:pos="993"/>
              </w:tabs>
              <w:spacing w:after="0" w:line="240" w:lineRule="auto"/>
              <w:jc w:val="both"/>
              <w:rPr>
                <w:rFonts w:eastAsia="Times New Roman" w:cs="Calibri"/>
                <w:color w:val="000000"/>
                <w:szCs w:val="20"/>
                <w:lang w:val="en-ZA" w:eastAsia="en-ZA"/>
              </w:rPr>
            </w:pPr>
            <w:r w:rsidRPr="00DE7DAE">
              <w:rPr>
                <w:rFonts w:eastAsia="Times New Roman" w:cs="Calibri"/>
                <w:color w:val="000000"/>
                <w:szCs w:val="20"/>
                <w:lang w:val="en-ZA" w:eastAsia="en-ZA"/>
              </w:rPr>
              <w:t>No</w:t>
            </w:r>
          </w:p>
        </w:tc>
        <w:tc>
          <w:tcPr>
            <w:tcW w:w="5024" w:type="dxa"/>
            <w:shd w:val="clear" w:color="auto" w:fill="auto"/>
          </w:tcPr>
          <w:p w14:paraId="74F5C578" w14:textId="77777777" w:rsidR="00DE7DAE" w:rsidRPr="00DE7DAE" w:rsidRDefault="00DE7DAE" w:rsidP="00DE7DAE">
            <w:pPr>
              <w:tabs>
                <w:tab w:val="left" w:pos="993"/>
              </w:tabs>
              <w:spacing w:after="0" w:line="240" w:lineRule="auto"/>
              <w:jc w:val="both"/>
              <w:rPr>
                <w:rFonts w:eastAsia="Times New Roman" w:cs="Calibri"/>
                <w:color w:val="000000"/>
                <w:szCs w:val="20"/>
                <w:lang w:val="en-ZA" w:eastAsia="en-ZA"/>
              </w:rPr>
            </w:pPr>
            <w:r w:rsidRPr="00DE7DAE">
              <w:rPr>
                <w:rFonts w:eastAsia="Times New Roman" w:cs="Calibri"/>
                <w:color w:val="000000"/>
                <w:szCs w:val="20"/>
                <w:lang w:val="en-ZA" w:eastAsia="en-ZA"/>
              </w:rPr>
              <w:t>Councillor</w:t>
            </w:r>
          </w:p>
        </w:tc>
        <w:tc>
          <w:tcPr>
            <w:tcW w:w="3353" w:type="dxa"/>
            <w:shd w:val="clear" w:color="auto" w:fill="auto"/>
          </w:tcPr>
          <w:p w14:paraId="13A593EB" w14:textId="77777777" w:rsidR="00DE7DAE" w:rsidRPr="00DE7DAE" w:rsidRDefault="00DE7DAE" w:rsidP="00DE7DAE">
            <w:pPr>
              <w:tabs>
                <w:tab w:val="left" w:pos="993"/>
              </w:tabs>
              <w:spacing w:after="0" w:line="240" w:lineRule="auto"/>
              <w:jc w:val="both"/>
              <w:rPr>
                <w:rFonts w:eastAsia="Times New Roman" w:cs="Calibri"/>
                <w:color w:val="000000"/>
                <w:szCs w:val="20"/>
                <w:lang w:val="en-ZA" w:eastAsia="en-ZA"/>
              </w:rPr>
            </w:pPr>
            <w:r w:rsidRPr="00DE7DAE">
              <w:rPr>
                <w:rFonts w:eastAsia="Times New Roman" w:cs="Calibri"/>
                <w:color w:val="000000"/>
                <w:szCs w:val="20"/>
                <w:lang w:val="en-ZA" w:eastAsia="en-ZA"/>
              </w:rPr>
              <w:t>Representing</w:t>
            </w:r>
          </w:p>
        </w:tc>
      </w:tr>
      <w:tr w:rsidR="00DE7DAE" w:rsidRPr="00DE7DAE" w14:paraId="0AE48097" w14:textId="77777777" w:rsidTr="00DE7DAE">
        <w:trPr>
          <w:trHeight w:val="250"/>
        </w:trPr>
        <w:tc>
          <w:tcPr>
            <w:tcW w:w="859" w:type="dxa"/>
            <w:shd w:val="clear" w:color="auto" w:fill="auto"/>
          </w:tcPr>
          <w:p w14:paraId="701DC066" w14:textId="77777777" w:rsidR="00DE7DAE" w:rsidRPr="00DE7DAE" w:rsidRDefault="00DE7DAE" w:rsidP="00DE7DAE">
            <w:pPr>
              <w:tabs>
                <w:tab w:val="left" w:pos="993"/>
              </w:tabs>
              <w:spacing w:after="0" w:line="240" w:lineRule="auto"/>
              <w:jc w:val="center"/>
              <w:rPr>
                <w:rFonts w:eastAsia="Times New Roman" w:cs="Calibri"/>
                <w:color w:val="000000"/>
                <w:szCs w:val="20"/>
                <w:lang w:val="en-ZA" w:eastAsia="en-ZA"/>
              </w:rPr>
            </w:pPr>
            <w:r w:rsidRPr="00DE7DAE">
              <w:rPr>
                <w:rFonts w:eastAsia="Times New Roman" w:cs="Calibri"/>
                <w:color w:val="000000"/>
                <w:szCs w:val="20"/>
                <w:lang w:val="en-ZA" w:eastAsia="en-ZA"/>
              </w:rPr>
              <w:t>1</w:t>
            </w:r>
          </w:p>
        </w:tc>
        <w:tc>
          <w:tcPr>
            <w:tcW w:w="5024" w:type="dxa"/>
            <w:shd w:val="clear" w:color="auto" w:fill="auto"/>
          </w:tcPr>
          <w:p w14:paraId="406AF2A1" w14:textId="77777777" w:rsidR="00DE7DAE" w:rsidRPr="00DE7DAE" w:rsidRDefault="00DE7DAE" w:rsidP="00DE7DAE">
            <w:pPr>
              <w:tabs>
                <w:tab w:val="left" w:pos="993"/>
              </w:tabs>
              <w:spacing w:after="0" w:line="240" w:lineRule="auto"/>
              <w:jc w:val="both"/>
              <w:rPr>
                <w:rFonts w:eastAsia="Times New Roman" w:cs="Calibri"/>
                <w:color w:val="000000"/>
                <w:szCs w:val="20"/>
                <w:lang w:val="en-ZA" w:eastAsia="en-ZA"/>
              </w:rPr>
            </w:pPr>
            <w:r w:rsidRPr="00DE7DAE">
              <w:rPr>
                <w:rFonts w:eastAsia="Times New Roman" w:cs="Calibri"/>
                <w:color w:val="000000"/>
                <w:szCs w:val="20"/>
                <w:lang w:val="en-ZA" w:eastAsia="en-ZA"/>
              </w:rPr>
              <w:t>M H Qwabe</w:t>
            </w:r>
          </w:p>
        </w:tc>
        <w:tc>
          <w:tcPr>
            <w:tcW w:w="3353" w:type="dxa"/>
            <w:shd w:val="clear" w:color="auto" w:fill="auto"/>
          </w:tcPr>
          <w:p w14:paraId="61EAE1C7" w14:textId="77777777" w:rsidR="00DE7DAE" w:rsidRPr="00DE7DAE" w:rsidRDefault="00DE7DAE" w:rsidP="00DE7DAE">
            <w:pPr>
              <w:tabs>
                <w:tab w:val="left" w:pos="993"/>
              </w:tabs>
              <w:spacing w:after="0" w:line="240" w:lineRule="auto"/>
              <w:jc w:val="both"/>
              <w:rPr>
                <w:rFonts w:eastAsia="Times New Roman" w:cs="Calibri"/>
                <w:color w:val="000000"/>
                <w:szCs w:val="20"/>
                <w:lang w:val="en-ZA" w:eastAsia="en-ZA"/>
              </w:rPr>
            </w:pPr>
            <w:r w:rsidRPr="00DE7DAE">
              <w:rPr>
                <w:rFonts w:eastAsia="Times New Roman" w:cs="Calibri"/>
                <w:color w:val="000000"/>
                <w:szCs w:val="20"/>
                <w:lang w:val="en-ZA" w:eastAsia="en-ZA"/>
              </w:rPr>
              <w:t>ANC</w:t>
            </w:r>
          </w:p>
        </w:tc>
      </w:tr>
      <w:tr w:rsidR="00DE7DAE" w:rsidRPr="00DE7DAE" w14:paraId="6B07E3C4" w14:textId="77777777" w:rsidTr="00DE7DAE">
        <w:trPr>
          <w:trHeight w:val="250"/>
        </w:trPr>
        <w:tc>
          <w:tcPr>
            <w:tcW w:w="859" w:type="dxa"/>
            <w:shd w:val="clear" w:color="auto" w:fill="auto"/>
          </w:tcPr>
          <w:p w14:paraId="7B25C68B" w14:textId="77777777" w:rsidR="00DE7DAE" w:rsidRPr="00DE7DAE" w:rsidRDefault="00DE7DAE" w:rsidP="00DE7DAE">
            <w:pPr>
              <w:tabs>
                <w:tab w:val="left" w:pos="993"/>
              </w:tabs>
              <w:spacing w:after="0" w:line="240" w:lineRule="auto"/>
              <w:jc w:val="center"/>
              <w:rPr>
                <w:rFonts w:eastAsia="Times New Roman" w:cs="Calibri"/>
                <w:color w:val="000000"/>
                <w:szCs w:val="20"/>
                <w:lang w:val="en-ZA" w:eastAsia="en-ZA"/>
              </w:rPr>
            </w:pPr>
            <w:r w:rsidRPr="00DE7DAE">
              <w:rPr>
                <w:rFonts w:eastAsia="Times New Roman" w:cs="Calibri"/>
                <w:color w:val="000000"/>
                <w:szCs w:val="20"/>
                <w:lang w:val="en-ZA" w:eastAsia="en-ZA"/>
              </w:rPr>
              <w:t>2</w:t>
            </w:r>
          </w:p>
        </w:tc>
        <w:tc>
          <w:tcPr>
            <w:tcW w:w="5024" w:type="dxa"/>
            <w:shd w:val="clear" w:color="auto" w:fill="auto"/>
          </w:tcPr>
          <w:p w14:paraId="733EAA58" w14:textId="655459DF" w:rsidR="00DE7DAE" w:rsidRPr="00DE7DAE" w:rsidRDefault="003560AA" w:rsidP="00DE7DAE">
            <w:pPr>
              <w:tabs>
                <w:tab w:val="left" w:pos="993"/>
              </w:tabs>
              <w:spacing w:after="0" w:line="240" w:lineRule="auto"/>
              <w:jc w:val="both"/>
              <w:rPr>
                <w:rFonts w:eastAsia="Times New Roman" w:cs="Calibri"/>
                <w:color w:val="000000"/>
                <w:szCs w:val="20"/>
                <w:lang w:val="en-ZA" w:eastAsia="en-ZA"/>
              </w:rPr>
            </w:pPr>
            <w:r>
              <w:rPr>
                <w:rFonts w:eastAsia="Times New Roman" w:cs="Calibri"/>
                <w:color w:val="000000"/>
                <w:szCs w:val="20"/>
                <w:lang w:val="en-ZA" w:eastAsia="en-ZA"/>
              </w:rPr>
              <w:t>SF Mdletshe</w:t>
            </w:r>
          </w:p>
        </w:tc>
        <w:tc>
          <w:tcPr>
            <w:tcW w:w="3353" w:type="dxa"/>
            <w:shd w:val="clear" w:color="auto" w:fill="auto"/>
          </w:tcPr>
          <w:p w14:paraId="4619E8E1" w14:textId="699D00D2" w:rsidR="00DE7DAE" w:rsidRPr="00DE7DAE" w:rsidRDefault="003560AA" w:rsidP="00DE7DAE">
            <w:pPr>
              <w:spacing w:after="0" w:line="240" w:lineRule="auto"/>
              <w:jc w:val="both"/>
              <w:rPr>
                <w:rFonts w:eastAsia="Times New Roman" w:cs="Calibri"/>
                <w:color w:val="000000"/>
                <w:szCs w:val="20"/>
                <w:lang w:val="en-ZA" w:eastAsia="en-ZA"/>
              </w:rPr>
            </w:pPr>
            <w:r>
              <w:rPr>
                <w:rFonts w:eastAsia="Times New Roman" w:cs="Calibri"/>
                <w:color w:val="000000"/>
                <w:szCs w:val="20"/>
                <w:lang w:val="en-ZA" w:eastAsia="en-ZA"/>
              </w:rPr>
              <w:t>IFP</w:t>
            </w:r>
          </w:p>
        </w:tc>
      </w:tr>
      <w:tr w:rsidR="00DE7DAE" w:rsidRPr="00DE7DAE" w14:paraId="68C6BAA3" w14:textId="77777777" w:rsidTr="00DE7DAE">
        <w:trPr>
          <w:trHeight w:val="250"/>
        </w:trPr>
        <w:tc>
          <w:tcPr>
            <w:tcW w:w="859" w:type="dxa"/>
            <w:shd w:val="clear" w:color="auto" w:fill="auto"/>
          </w:tcPr>
          <w:p w14:paraId="28B9C2DA" w14:textId="77777777" w:rsidR="00DE7DAE" w:rsidRPr="00DE7DAE" w:rsidRDefault="00DE7DAE" w:rsidP="00DE7DAE">
            <w:pPr>
              <w:tabs>
                <w:tab w:val="left" w:pos="993"/>
              </w:tabs>
              <w:spacing w:after="0" w:line="240" w:lineRule="auto"/>
              <w:jc w:val="center"/>
              <w:rPr>
                <w:rFonts w:eastAsia="Times New Roman" w:cs="Calibri"/>
                <w:color w:val="000000"/>
                <w:szCs w:val="20"/>
                <w:lang w:val="en-ZA" w:eastAsia="en-ZA"/>
              </w:rPr>
            </w:pPr>
            <w:r w:rsidRPr="00DE7DAE">
              <w:rPr>
                <w:rFonts w:eastAsia="Times New Roman" w:cs="Calibri"/>
                <w:color w:val="000000"/>
                <w:szCs w:val="20"/>
                <w:lang w:val="en-ZA" w:eastAsia="en-ZA"/>
              </w:rPr>
              <w:t>3</w:t>
            </w:r>
          </w:p>
        </w:tc>
        <w:tc>
          <w:tcPr>
            <w:tcW w:w="5024" w:type="dxa"/>
            <w:shd w:val="clear" w:color="auto" w:fill="auto"/>
          </w:tcPr>
          <w:p w14:paraId="7974E75B" w14:textId="77777777" w:rsidR="00DE7DAE" w:rsidRPr="00DE7DAE" w:rsidRDefault="00DE7DAE" w:rsidP="00DE7DAE">
            <w:pPr>
              <w:tabs>
                <w:tab w:val="left" w:pos="993"/>
              </w:tabs>
              <w:spacing w:after="0" w:line="240" w:lineRule="auto"/>
              <w:jc w:val="both"/>
              <w:rPr>
                <w:rFonts w:eastAsia="Times New Roman" w:cs="Calibri"/>
                <w:color w:val="000000"/>
                <w:szCs w:val="20"/>
                <w:lang w:val="en-ZA" w:eastAsia="en-ZA"/>
              </w:rPr>
            </w:pPr>
            <w:r w:rsidRPr="00DE7DAE">
              <w:rPr>
                <w:rFonts w:eastAsia="Times New Roman" w:cs="Calibri"/>
                <w:color w:val="000000"/>
                <w:szCs w:val="20"/>
                <w:lang w:val="en-ZA" w:eastAsia="en-ZA"/>
              </w:rPr>
              <w:t>N S Zulu</w:t>
            </w:r>
          </w:p>
        </w:tc>
        <w:tc>
          <w:tcPr>
            <w:tcW w:w="3353" w:type="dxa"/>
            <w:shd w:val="clear" w:color="auto" w:fill="auto"/>
          </w:tcPr>
          <w:p w14:paraId="14DC76D0" w14:textId="77777777" w:rsidR="00DE7DAE" w:rsidRPr="00DE7DAE" w:rsidRDefault="00DE7DAE" w:rsidP="00DE7DAE">
            <w:pPr>
              <w:spacing w:after="0" w:line="240" w:lineRule="auto"/>
              <w:jc w:val="both"/>
              <w:rPr>
                <w:rFonts w:eastAsia="Times New Roman" w:cs="Calibri"/>
                <w:color w:val="000000"/>
                <w:szCs w:val="20"/>
                <w:lang w:val="en-ZA" w:eastAsia="en-ZA"/>
              </w:rPr>
            </w:pPr>
            <w:r w:rsidRPr="00DE7DAE">
              <w:rPr>
                <w:rFonts w:eastAsia="Times New Roman" w:cs="Calibri"/>
                <w:color w:val="000000"/>
                <w:szCs w:val="20"/>
                <w:lang w:val="en-ZA" w:eastAsia="en-ZA"/>
              </w:rPr>
              <w:t>ANC</w:t>
            </w:r>
          </w:p>
        </w:tc>
      </w:tr>
      <w:tr w:rsidR="00DE7DAE" w:rsidRPr="00DE7DAE" w14:paraId="62C8BE0D" w14:textId="77777777" w:rsidTr="00DE7DAE">
        <w:trPr>
          <w:trHeight w:val="250"/>
        </w:trPr>
        <w:tc>
          <w:tcPr>
            <w:tcW w:w="859" w:type="dxa"/>
            <w:shd w:val="clear" w:color="auto" w:fill="auto"/>
          </w:tcPr>
          <w:p w14:paraId="2AF2FE72" w14:textId="77777777" w:rsidR="00DE7DAE" w:rsidRPr="00DE7DAE" w:rsidRDefault="00DE7DAE" w:rsidP="00DE7DAE">
            <w:pPr>
              <w:tabs>
                <w:tab w:val="left" w:pos="993"/>
              </w:tabs>
              <w:spacing w:after="0" w:line="240" w:lineRule="auto"/>
              <w:jc w:val="center"/>
              <w:rPr>
                <w:rFonts w:eastAsia="Times New Roman" w:cs="Calibri"/>
                <w:color w:val="000000"/>
                <w:szCs w:val="20"/>
                <w:lang w:val="en-ZA" w:eastAsia="en-ZA"/>
              </w:rPr>
            </w:pPr>
            <w:r w:rsidRPr="00DE7DAE">
              <w:rPr>
                <w:rFonts w:eastAsia="Times New Roman" w:cs="Calibri"/>
                <w:color w:val="000000"/>
                <w:szCs w:val="20"/>
                <w:lang w:val="en-ZA" w:eastAsia="en-ZA"/>
              </w:rPr>
              <w:t>4</w:t>
            </w:r>
          </w:p>
        </w:tc>
        <w:tc>
          <w:tcPr>
            <w:tcW w:w="5024" w:type="dxa"/>
            <w:shd w:val="clear" w:color="auto" w:fill="auto"/>
          </w:tcPr>
          <w:p w14:paraId="47181F39" w14:textId="77777777" w:rsidR="00DE7DAE" w:rsidRPr="00DE7DAE" w:rsidRDefault="00DE7DAE" w:rsidP="00DE7DAE">
            <w:pPr>
              <w:tabs>
                <w:tab w:val="left" w:pos="993"/>
              </w:tabs>
              <w:spacing w:after="0" w:line="240" w:lineRule="auto"/>
              <w:jc w:val="both"/>
              <w:rPr>
                <w:rFonts w:eastAsia="Times New Roman" w:cs="Calibri"/>
                <w:color w:val="000000"/>
                <w:szCs w:val="20"/>
                <w:lang w:val="en-ZA" w:eastAsia="en-ZA"/>
              </w:rPr>
            </w:pPr>
            <w:r w:rsidRPr="00DE7DAE">
              <w:rPr>
                <w:rFonts w:eastAsia="Times New Roman" w:cs="Calibri"/>
                <w:color w:val="000000"/>
                <w:szCs w:val="20"/>
                <w:lang w:val="en-ZA" w:eastAsia="en-ZA"/>
              </w:rPr>
              <w:t>G S Mkhize</w:t>
            </w:r>
          </w:p>
        </w:tc>
        <w:tc>
          <w:tcPr>
            <w:tcW w:w="3353" w:type="dxa"/>
            <w:shd w:val="clear" w:color="auto" w:fill="auto"/>
          </w:tcPr>
          <w:p w14:paraId="0372B650" w14:textId="77777777" w:rsidR="00DE7DAE" w:rsidRPr="00DE7DAE" w:rsidRDefault="00DE7DAE" w:rsidP="00DE7DAE">
            <w:pPr>
              <w:spacing w:after="0" w:line="240" w:lineRule="auto"/>
              <w:jc w:val="both"/>
              <w:rPr>
                <w:rFonts w:eastAsia="Times New Roman" w:cs="Calibri"/>
                <w:color w:val="000000"/>
                <w:szCs w:val="20"/>
                <w:lang w:val="en-ZA" w:eastAsia="en-ZA"/>
              </w:rPr>
            </w:pPr>
            <w:r w:rsidRPr="00DE7DAE">
              <w:rPr>
                <w:rFonts w:eastAsia="Times New Roman" w:cs="Calibri"/>
                <w:color w:val="000000"/>
                <w:szCs w:val="20"/>
                <w:lang w:val="en-ZA" w:eastAsia="en-ZA"/>
              </w:rPr>
              <w:t>ANC</w:t>
            </w:r>
          </w:p>
        </w:tc>
      </w:tr>
      <w:tr w:rsidR="00DE7DAE" w:rsidRPr="00DE7DAE" w14:paraId="65655E2E" w14:textId="77777777" w:rsidTr="00DE7DAE">
        <w:trPr>
          <w:trHeight w:val="250"/>
        </w:trPr>
        <w:tc>
          <w:tcPr>
            <w:tcW w:w="859" w:type="dxa"/>
            <w:shd w:val="clear" w:color="auto" w:fill="auto"/>
          </w:tcPr>
          <w:p w14:paraId="4A2FF242" w14:textId="77777777" w:rsidR="00DE7DAE" w:rsidRPr="00DE7DAE" w:rsidRDefault="00DE7DAE" w:rsidP="00DE7DAE">
            <w:pPr>
              <w:tabs>
                <w:tab w:val="left" w:pos="993"/>
              </w:tabs>
              <w:spacing w:after="0" w:line="240" w:lineRule="auto"/>
              <w:jc w:val="center"/>
              <w:rPr>
                <w:rFonts w:eastAsia="Times New Roman" w:cs="Calibri"/>
                <w:color w:val="000000"/>
                <w:szCs w:val="20"/>
                <w:lang w:val="en-ZA" w:eastAsia="en-ZA"/>
              </w:rPr>
            </w:pPr>
            <w:r w:rsidRPr="00DE7DAE">
              <w:rPr>
                <w:rFonts w:eastAsia="Times New Roman" w:cs="Calibri"/>
                <w:color w:val="000000"/>
                <w:szCs w:val="20"/>
                <w:lang w:val="en-ZA" w:eastAsia="en-ZA"/>
              </w:rPr>
              <w:t>5</w:t>
            </w:r>
          </w:p>
        </w:tc>
        <w:tc>
          <w:tcPr>
            <w:tcW w:w="5024" w:type="dxa"/>
            <w:shd w:val="clear" w:color="auto" w:fill="auto"/>
          </w:tcPr>
          <w:p w14:paraId="2C6D9948" w14:textId="77777777" w:rsidR="00DE7DAE" w:rsidRPr="00DE7DAE" w:rsidRDefault="00DE7DAE" w:rsidP="00DE7DAE">
            <w:pPr>
              <w:tabs>
                <w:tab w:val="left" w:pos="993"/>
              </w:tabs>
              <w:spacing w:after="0" w:line="240" w:lineRule="auto"/>
              <w:jc w:val="both"/>
              <w:rPr>
                <w:rFonts w:eastAsia="Times New Roman" w:cs="Calibri"/>
                <w:color w:val="000000"/>
                <w:szCs w:val="20"/>
                <w:lang w:val="en-ZA" w:eastAsia="en-ZA"/>
              </w:rPr>
            </w:pPr>
            <w:r w:rsidRPr="00DE7DAE">
              <w:rPr>
                <w:rFonts w:eastAsia="Times New Roman" w:cs="Calibri"/>
                <w:color w:val="000000"/>
                <w:szCs w:val="20"/>
                <w:lang w:val="en-ZA" w:eastAsia="en-ZA"/>
              </w:rPr>
              <w:t>A B Dlamini</w:t>
            </w:r>
          </w:p>
        </w:tc>
        <w:tc>
          <w:tcPr>
            <w:tcW w:w="3353" w:type="dxa"/>
            <w:shd w:val="clear" w:color="auto" w:fill="auto"/>
          </w:tcPr>
          <w:p w14:paraId="039E27B1" w14:textId="77777777" w:rsidR="00DE7DAE" w:rsidRPr="00DE7DAE" w:rsidRDefault="00DE7DAE" w:rsidP="00DE7DAE">
            <w:pPr>
              <w:spacing w:after="0" w:line="240" w:lineRule="auto"/>
              <w:jc w:val="both"/>
              <w:rPr>
                <w:rFonts w:eastAsia="Times New Roman" w:cs="Calibri"/>
                <w:color w:val="000000"/>
                <w:szCs w:val="20"/>
                <w:lang w:val="en-ZA" w:eastAsia="en-ZA"/>
              </w:rPr>
            </w:pPr>
            <w:r w:rsidRPr="00DE7DAE">
              <w:rPr>
                <w:rFonts w:eastAsia="Times New Roman" w:cs="Calibri"/>
                <w:color w:val="000000"/>
                <w:szCs w:val="20"/>
                <w:lang w:val="en-ZA" w:eastAsia="en-ZA"/>
              </w:rPr>
              <w:t>ANC</w:t>
            </w:r>
          </w:p>
        </w:tc>
      </w:tr>
      <w:tr w:rsidR="00DE7DAE" w:rsidRPr="00DE7DAE" w14:paraId="10C07DA4" w14:textId="77777777" w:rsidTr="00DE7DAE">
        <w:trPr>
          <w:trHeight w:val="229"/>
        </w:trPr>
        <w:tc>
          <w:tcPr>
            <w:tcW w:w="859" w:type="dxa"/>
            <w:shd w:val="clear" w:color="auto" w:fill="auto"/>
          </w:tcPr>
          <w:p w14:paraId="7CDB0358" w14:textId="77777777" w:rsidR="00DE7DAE" w:rsidRPr="00DE7DAE" w:rsidRDefault="00DE7DAE" w:rsidP="00DE7DAE">
            <w:pPr>
              <w:tabs>
                <w:tab w:val="left" w:pos="993"/>
              </w:tabs>
              <w:spacing w:after="0" w:line="240" w:lineRule="auto"/>
              <w:jc w:val="center"/>
              <w:rPr>
                <w:rFonts w:eastAsia="Times New Roman" w:cs="Calibri"/>
                <w:color w:val="000000"/>
                <w:szCs w:val="20"/>
                <w:lang w:val="en-ZA" w:eastAsia="en-ZA"/>
              </w:rPr>
            </w:pPr>
            <w:r w:rsidRPr="00DE7DAE">
              <w:rPr>
                <w:rFonts w:eastAsia="Times New Roman" w:cs="Calibri"/>
                <w:color w:val="000000"/>
                <w:szCs w:val="20"/>
                <w:lang w:val="en-ZA" w:eastAsia="en-ZA"/>
              </w:rPr>
              <w:t>6</w:t>
            </w:r>
          </w:p>
        </w:tc>
        <w:tc>
          <w:tcPr>
            <w:tcW w:w="5024" w:type="dxa"/>
            <w:shd w:val="clear" w:color="auto" w:fill="auto"/>
          </w:tcPr>
          <w:p w14:paraId="791C31BD" w14:textId="77777777" w:rsidR="00DE7DAE" w:rsidRPr="00DE7DAE" w:rsidRDefault="00DE7DAE" w:rsidP="00DE7DAE">
            <w:pPr>
              <w:tabs>
                <w:tab w:val="left" w:pos="993"/>
              </w:tabs>
              <w:spacing w:after="0" w:line="240" w:lineRule="auto"/>
              <w:jc w:val="both"/>
              <w:rPr>
                <w:rFonts w:eastAsia="Times New Roman" w:cs="Calibri"/>
                <w:color w:val="000000"/>
                <w:szCs w:val="20"/>
                <w:lang w:val="en-ZA" w:eastAsia="en-ZA"/>
              </w:rPr>
            </w:pPr>
            <w:r w:rsidRPr="00DE7DAE">
              <w:rPr>
                <w:rFonts w:eastAsia="Times New Roman" w:cs="Calibri"/>
                <w:color w:val="000000"/>
                <w:szCs w:val="20"/>
                <w:lang w:val="en-ZA" w:eastAsia="en-ZA"/>
              </w:rPr>
              <w:t>N Mbuyisa</w:t>
            </w:r>
          </w:p>
        </w:tc>
        <w:tc>
          <w:tcPr>
            <w:tcW w:w="3353" w:type="dxa"/>
            <w:shd w:val="clear" w:color="auto" w:fill="auto"/>
          </w:tcPr>
          <w:p w14:paraId="49AD19B8" w14:textId="77777777" w:rsidR="00DE7DAE" w:rsidRPr="00DE7DAE" w:rsidRDefault="00DE7DAE" w:rsidP="00DE7DAE">
            <w:pPr>
              <w:spacing w:after="0" w:line="240" w:lineRule="auto"/>
              <w:jc w:val="both"/>
              <w:rPr>
                <w:rFonts w:eastAsia="Times New Roman" w:cs="Calibri"/>
                <w:color w:val="000000"/>
                <w:szCs w:val="20"/>
                <w:lang w:val="en-ZA" w:eastAsia="en-ZA"/>
              </w:rPr>
            </w:pPr>
            <w:r w:rsidRPr="00DE7DAE">
              <w:rPr>
                <w:rFonts w:eastAsia="Times New Roman" w:cs="Calibri"/>
                <w:color w:val="000000"/>
                <w:szCs w:val="20"/>
                <w:lang w:val="en-ZA" w:eastAsia="en-ZA"/>
              </w:rPr>
              <w:t>ANC</w:t>
            </w:r>
          </w:p>
        </w:tc>
      </w:tr>
      <w:tr w:rsidR="00DE7DAE" w:rsidRPr="00DE7DAE" w14:paraId="511E29A4" w14:textId="77777777" w:rsidTr="00DE7DAE">
        <w:trPr>
          <w:trHeight w:val="250"/>
        </w:trPr>
        <w:tc>
          <w:tcPr>
            <w:tcW w:w="859" w:type="dxa"/>
            <w:shd w:val="clear" w:color="auto" w:fill="auto"/>
          </w:tcPr>
          <w:p w14:paraId="43A0AF3B" w14:textId="77777777" w:rsidR="00DE7DAE" w:rsidRPr="00DE7DAE" w:rsidRDefault="00DE7DAE" w:rsidP="00DE7DAE">
            <w:pPr>
              <w:tabs>
                <w:tab w:val="left" w:pos="993"/>
              </w:tabs>
              <w:spacing w:after="0" w:line="240" w:lineRule="auto"/>
              <w:jc w:val="center"/>
              <w:rPr>
                <w:rFonts w:eastAsia="Times New Roman" w:cs="Calibri"/>
                <w:color w:val="000000"/>
                <w:szCs w:val="20"/>
                <w:lang w:val="en-ZA" w:eastAsia="en-ZA"/>
              </w:rPr>
            </w:pPr>
            <w:r w:rsidRPr="00DE7DAE">
              <w:rPr>
                <w:rFonts w:eastAsia="Times New Roman" w:cs="Calibri"/>
                <w:color w:val="000000"/>
                <w:szCs w:val="20"/>
                <w:lang w:val="en-ZA" w:eastAsia="en-ZA"/>
              </w:rPr>
              <w:t>7</w:t>
            </w:r>
          </w:p>
        </w:tc>
        <w:tc>
          <w:tcPr>
            <w:tcW w:w="5024" w:type="dxa"/>
            <w:shd w:val="clear" w:color="auto" w:fill="auto"/>
          </w:tcPr>
          <w:p w14:paraId="066F3C2F" w14:textId="77777777" w:rsidR="00DE7DAE" w:rsidRPr="00DE7DAE" w:rsidRDefault="00DE7DAE" w:rsidP="00DE7DAE">
            <w:pPr>
              <w:tabs>
                <w:tab w:val="left" w:pos="993"/>
              </w:tabs>
              <w:spacing w:after="0" w:line="240" w:lineRule="auto"/>
              <w:jc w:val="both"/>
              <w:rPr>
                <w:rFonts w:eastAsia="Times New Roman" w:cs="Calibri"/>
                <w:color w:val="000000"/>
                <w:szCs w:val="20"/>
                <w:lang w:val="en-ZA" w:eastAsia="en-ZA"/>
              </w:rPr>
            </w:pPr>
            <w:r w:rsidRPr="00DE7DAE">
              <w:rPr>
                <w:rFonts w:eastAsia="Times New Roman" w:cs="Calibri"/>
                <w:color w:val="000000"/>
                <w:szCs w:val="20"/>
                <w:lang w:val="en-ZA" w:eastAsia="en-ZA"/>
              </w:rPr>
              <w:t>Q T Xulu</w:t>
            </w:r>
          </w:p>
        </w:tc>
        <w:tc>
          <w:tcPr>
            <w:tcW w:w="3353" w:type="dxa"/>
            <w:shd w:val="clear" w:color="auto" w:fill="auto"/>
          </w:tcPr>
          <w:p w14:paraId="74649111" w14:textId="77777777" w:rsidR="00DE7DAE" w:rsidRPr="00DE7DAE" w:rsidRDefault="00DE7DAE" w:rsidP="00DE7DAE">
            <w:pPr>
              <w:tabs>
                <w:tab w:val="left" w:pos="993"/>
              </w:tabs>
              <w:spacing w:after="0" w:line="240" w:lineRule="auto"/>
              <w:jc w:val="both"/>
              <w:rPr>
                <w:rFonts w:eastAsia="Times New Roman" w:cs="Calibri"/>
                <w:color w:val="000000"/>
                <w:szCs w:val="20"/>
                <w:lang w:val="en-ZA" w:eastAsia="en-ZA"/>
              </w:rPr>
            </w:pPr>
            <w:r w:rsidRPr="00DE7DAE">
              <w:rPr>
                <w:rFonts w:eastAsia="Times New Roman" w:cs="Calibri"/>
                <w:color w:val="000000"/>
                <w:szCs w:val="20"/>
                <w:lang w:val="en-ZA" w:eastAsia="en-ZA"/>
              </w:rPr>
              <w:t>IFP</w:t>
            </w:r>
          </w:p>
        </w:tc>
      </w:tr>
      <w:tr w:rsidR="00DE7DAE" w:rsidRPr="00DE7DAE" w14:paraId="0B12D29B" w14:textId="77777777" w:rsidTr="00DE7DAE">
        <w:trPr>
          <w:trHeight w:val="250"/>
        </w:trPr>
        <w:tc>
          <w:tcPr>
            <w:tcW w:w="859" w:type="dxa"/>
            <w:shd w:val="clear" w:color="auto" w:fill="auto"/>
          </w:tcPr>
          <w:p w14:paraId="0D306B26" w14:textId="77777777" w:rsidR="00DE7DAE" w:rsidRPr="00DE7DAE" w:rsidRDefault="00DE7DAE" w:rsidP="00DE7DAE">
            <w:pPr>
              <w:tabs>
                <w:tab w:val="left" w:pos="993"/>
              </w:tabs>
              <w:spacing w:after="0" w:line="240" w:lineRule="auto"/>
              <w:jc w:val="center"/>
              <w:rPr>
                <w:rFonts w:eastAsia="Times New Roman" w:cs="Calibri"/>
                <w:color w:val="000000"/>
                <w:szCs w:val="20"/>
                <w:lang w:val="en-ZA" w:eastAsia="en-ZA"/>
              </w:rPr>
            </w:pPr>
            <w:r w:rsidRPr="00DE7DAE">
              <w:rPr>
                <w:rFonts w:eastAsia="Times New Roman" w:cs="Calibri"/>
                <w:color w:val="000000"/>
                <w:szCs w:val="20"/>
                <w:lang w:val="en-ZA" w:eastAsia="en-ZA"/>
              </w:rPr>
              <w:t>8</w:t>
            </w:r>
          </w:p>
        </w:tc>
        <w:tc>
          <w:tcPr>
            <w:tcW w:w="5024" w:type="dxa"/>
            <w:shd w:val="clear" w:color="auto" w:fill="auto"/>
          </w:tcPr>
          <w:p w14:paraId="158B39DE" w14:textId="77777777" w:rsidR="00DE7DAE" w:rsidRPr="00DE7DAE" w:rsidRDefault="00DE7DAE" w:rsidP="00DE7DAE">
            <w:pPr>
              <w:tabs>
                <w:tab w:val="left" w:pos="993"/>
              </w:tabs>
              <w:spacing w:after="0" w:line="240" w:lineRule="auto"/>
              <w:jc w:val="both"/>
              <w:rPr>
                <w:rFonts w:eastAsia="Times New Roman" w:cs="Calibri"/>
                <w:color w:val="000000"/>
                <w:szCs w:val="20"/>
                <w:lang w:val="en-ZA" w:eastAsia="en-ZA"/>
              </w:rPr>
            </w:pPr>
            <w:r w:rsidRPr="00DE7DAE">
              <w:rPr>
                <w:rFonts w:eastAsia="Times New Roman" w:cs="Calibri"/>
                <w:color w:val="000000"/>
                <w:szCs w:val="20"/>
                <w:lang w:val="en-ZA" w:eastAsia="en-ZA"/>
              </w:rPr>
              <w:t>N L Ngidi</w:t>
            </w:r>
          </w:p>
        </w:tc>
        <w:tc>
          <w:tcPr>
            <w:tcW w:w="3353" w:type="dxa"/>
            <w:shd w:val="clear" w:color="auto" w:fill="auto"/>
          </w:tcPr>
          <w:p w14:paraId="1937C1CF" w14:textId="77777777" w:rsidR="00DE7DAE" w:rsidRPr="00DE7DAE" w:rsidRDefault="00DE7DAE" w:rsidP="00DE7DAE">
            <w:pPr>
              <w:tabs>
                <w:tab w:val="left" w:pos="993"/>
              </w:tabs>
              <w:spacing w:after="0" w:line="240" w:lineRule="auto"/>
              <w:jc w:val="both"/>
              <w:rPr>
                <w:rFonts w:eastAsia="Times New Roman" w:cs="Calibri"/>
                <w:color w:val="000000"/>
                <w:szCs w:val="20"/>
                <w:lang w:val="en-ZA" w:eastAsia="en-ZA"/>
              </w:rPr>
            </w:pPr>
            <w:r w:rsidRPr="00DE7DAE">
              <w:rPr>
                <w:rFonts w:eastAsia="Times New Roman" w:cs="Calibri"/>
                <w:color w:val="000000"/>
                <w:szCs w:val="20"/>
                <w:lang w:val="en-ZA" w:eastAsia="en-ZA"/>
              </w:rPr>
              <w:t>IFP</w:t>
            </w:r>
          </w:p>
        </w:tc>
      </w:tr>
      <w:tr w:rsidR="00DE7DAE" w:rsidRPr="00DE7DAE" w14:paraId="730ADDCE" w14:textId="77777777" w:rsidTr="00DE7DAE">
        <w:trPr>
          <w:trHeight w:val="250"/>
        </w:trPr>
        <w:tc>
          <w:tcPr>
            <w:tcW w:w="859" w:type="dxa"/>
            <w:shd w:val="clear" w:color="auto" w:fill="auto"/>
          </w:tcPr>
          <w:p w14:paraId="6C2644D2" w14:textId="77777777" w:rsidR="00DE7DAE" w:rsidRPr="00DE7DAE" w:rsidRDefault="00DE7DAE" w:rsidP="00DE7DAE">
            <w:pPr>
              <w:tabs>
                <w:tab w:val="left" w:pos="993"/>
              </w:tabs>
              <w:spacing w:after="0" w:line="240" w:lineRule="auto"/>
              <w:jc w:val="center"/>
              <w:rPr>
                <w:rFonts w:eastAsia="Times New Roman" w:cs="Calibri"/>
                <w:color w:val="000000"/>
                <w:szCs w:val="20"/>
                <w:lang w:val="en-ZA" w:eastAsia="en-ZA"/>
              </w:rPr>
            </w:pPr>
            <w:r w:rsidRPr="00DE7DAE">
              <w:rPr>
                <w:rFonts w:eastAsia="Times New Roman" w:cs="Calibri"/>
                <w:color w:val="000000"/>
                <w:szCs w:val="20"/>
                <w:lang w:val="en-ZA" w:eastAsia="en-ZA"/>
              </w:rPr>
              <w:t>9</w:t>
            </w:r>
          </w:p>
        </w:tc>
        <w:tc>
          <w:tcPr>
            <w:tcW w:w="5024" w:type="dxa"/>
            <w:shd w:val="clear" w:color="auto" w:fill="auto"/>
          </w:tcPr>
          <w:p w14:paraId="132B1531" w14:textId="77777777" w:rsidR="00DE7DAE" w:rsidRPr="00DE7DAE" w:rsidRDefault="00DE7DAE" w:rsidP="00DE7DAE">
            <w:pPr>
              <w:tabs>
                <w:tab w:val="left" w:pos="993"/>
              </w:tabs>
              <w:spacing w:after="0" w:line="240" w:lineRule="auto"/>
              <w:jc w:val="both"/>
              <w:rPr>
                <w:rFonts w:eastAsia="Times New Roman" w:cs="Calibri"/>
                <w:color w:val="000000"/>
                <w:szCs w:val="20"/>
                <w:lang w:val="en-ZA" w:eastAsia="en-ZA"/>
              </w:rPr>
            </w:pPr>
            <w:r w:rsidRPr="00DE7DAE">
              <w:rPr>
                <w:rFonts w:eastAsia="Times New Roman" w:cs="Calibri"/>
                <w:color w:val="000000"/>
                <w:szCs w:val="20"/>
                <w:lang w:val="en-ZA" w:eastAsia="en-ZA"/>
              </w:rPr>
              <w:t>M M M Ntuli</w:t>
            </w:r>
          </w:p>
        </w:tc>
        <w:tc>
          <w:tcPr>
            <w:tcW w:w="3353" w:type="dxa"/>
            <w:shd w:val="clear" w:color="auto" w:fill="auto"/>
          </w:tcPr>
          <w:p w14:paraId="76D8B7AA" w14:textId="77777777" w:rsidR="00DE7DAE" w:rsidRPr="00DE7DAE" w:rsidRDefault="00DE7DAE" w:rsidP="00DE7DAE">
            <w:pPr>
              <w:tabs>
                <w:tab w:val="left" w:pos="993"/>
              </w:tabs>
              <w:spacing w:after="0" w:line="240" w:lineRule="auto"/>
              <w:jc w:val="both"/>
              <w:rPr>
                <w:rFonts w:eastAsia="Times New Roman" w:cs="Calibri"/>
                <w:color w:val="000000"/>
                <w:szCs w:val="20"/>
                <w:lang w:val="en-ZA" w:eastAsia="en-ZA"/>
              </w:rPr>
            </w:pPr>
            <w:r w:rsidRPr="00DE7DAE">
              <w:rPr>
                <w:rFonts w:eastAsia="Times New Roman" w:cs="Calibri"/>
                <w:color w:val="000000"/>
                <w:szCs w:val="20"/>
                <w:lang w:val="en-ZA" w:eastAsia="en-ZA"/>
              </w:rPr>
              <w:t>IFP</w:t>
            </w:r>
          </w:p>
        </w:tc>
      </w:tr>
      <w:tr w:rsidR="00DE7DAE" w:rsidRPr="00DE7DAE" w14:paraId="135071D1" w14:textId="77777777" w:rsidTr="00DE7DAE">
        <w:trPr>
          <w:trHeight w:val="250"/>
        </w:trPr>
        <w:tc>
          <w:tcPr>
            <w:tcW w:w="859" w:type="dxa"/>
            <w:shd w:val="clear" w:color="auto" w:fill="auto"/>
          </w:tcPr>
          <w:p w14:paraId="02EC1B28" w14:textId="77777777" w:rsidR="00DE7DAE" w:rsidRPr="00DE7DAE" w:rsidRDefault="00DE7DAE" w:rsidP="00DE7DAE">
            <w:pPr>
              <w:tabs>
                <w:tab w:val="left" w:pos="993"/>
              </w:tabs>
              <w:spacing w:after="0" w:line="240" w:lineRule="auto"/>
              <w:jc w:val="center"/>
              <w:rPr>
                <w:rFonts w:ascii="Times New Roman" w:eastAsia="Calibri" w:hAnsi="Times New Roman" w:cs="Times New Roman"/>
                <w:b/>
                <w:sz w:val="16"/>
                <w:szCs w:val="16"/>
              </w:rPr>
            </w:pPr>
            <w:r w:rsidRPr="00DE7DAE">
              <w:rPr>
                <w:rFonts w:ascii="Times New Roman" w:eastAsia="Calibri" w:hAnsi="Times New Roman" w:cs="Times New Roman"/>
                <w:b/>
                <w:sz w:val="16"/>
                <w:szCs w:val="16"/>
              </w:rPr>
              <w:t>10</w:t>
            </w:r>
          </w:p>
        </w:tc>
        <w:tc>
          <w:tcPr>
            <w:tcW w:w="5024" w:type="dxa"/>
            <w:shd w:val="clear" w:color="auto" w:fill="auto"/>
          </w:tcPr>
          <w:p w14:paraId="36DA6FA0" w14:textId="77777777" w:rsidR="00DE7DAE" w:rsidRPr="00DE7DAE" w:rsidRDefault="00DE7DAE" w:rsidP="00DE7DAE">
            <w:pPr>
              <w:tabs>
                <w:tab w:val="left" w:pos="993"/>
              </w:tabs>
              <w:spacing w:after="0" w:line="240" w:lineRule="auto"/>
              <w:jc w:val="both"/>
              <w:rPr>
                <w:rFonts w:ascii="Times New Roman" w:eastAsia="Calibri" w:hAnsi="Times New Roman" w:cs="Times New Roman"/>
                <w:sz w:val="16"/>
                <w:szCs w:val="16"/>
              </w:rPr>
            </w:pPr>
            <w:r w:rsidRPr="00DE7DAE">
              <w:rPr>
                <w:rFonts w:ascii="Times New Roman" w:eastAsia="Calibri" w:hAnsi="Times New Roman" w:cs="Times New Roman"/>
                <w:sz w:val="16"/>
                <w:szCs w:val="16"/>
              </w:rPr>
              <w:t>N G Ntuli</w:t>
            </w:r>
          </w:p>
        </w:tc>
        <w:tc>
          <w:tcPr>
            <w:tcW w:w="3353" w:type="dxa"/>
            <w:shd w:val="clear" w:color="auto" w:fill="auto"/>
          </w:tcPr>
          <w:p w14:paraId="74F91967" w14:textId="77777777" w:rsidR="00DE7DAE" w:rsidRPr="00DE7DAE" w:rsidRDefault="00DE7DAE" w:rsidP="00DE7DAE">
            <w:pPr>
              <w:tabs>
                <w:tab w:val="left" w:pos="993"/>
              </w:tabs>
              <w:spacing w:after="0" w:line="240" w:lineRule="auto"/>
              <w:jc w:val="both"/>
              <w:rPr>
                <w:rFonts w:ascii="Times New Roman" w:eastAsia="Calibri" w:hAnsi="Times New Roman" w:cs="Times New Roman"/>
                <w:sz w:val="16"/>
                <w:szCs w:val="16"/>
              </w:rPr>
            </w:pPr>
            <w:r w:rsidRPr="00DE7DAE">
              <w:rPr>
                <w:rFonts w:ascii="Times New Roman" w:eastAsia="Calibri" w:hAnsi="Times New Roman" w:cs="Times New Roman"/>
                <w:sz w:val="16"/>
                <w:szCs w:val="16"/>
              </w:rPr>
              <w:t>IFP</w:t>
            </w:r>
          </w:p>
        </w:tc>
      </w:tr>
    </w:tbl>
    <w:p w14:paraId="102B19E6" w14:textId="77777777" w:rsidR="00DE7DAE" w:rsidRDefault="00DE7DAE" w:rsidP="00E56F6F">
      <w:pPr>
        <w:spacing w:after="0" w:line="240" w:lineRule="auto"/>
        <w:rPr>
          <w:rFonts w:asciiTheme="minorHAnsi" w:eastAsia="Times New Roman" w:hAnsiTheme="minorHAnsi" w:cstheme="minorHAnsi"/>
          <w:color w:val="000000"/>
          <w:szCs w:val="20"/>
          <w:lang w:val="en-ZA" w:eastAsia="en-ZA"/>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1"/>
        <w:gridCol w:w="5040"/>
        <w:gridCol w:w="3366"/>
      </w:tblGrid>
      <w:tr w:rsidR="00DE7DAE" w:rsidRPr="00DE7DAE" w14:paraId="259667D0" w14:textId="77777777" w:rsidTr="00453987">
        <w:trPr>
          <w:trHeight w:val="250"/>
        </w:trPr>
        <w:tc>
          <w:tcPr>
            <w:tcW w:w="9267" w:type="dxa"/>
            <w:gridSpan w:val="3"/>
            <w:shd w:val="clear" w:color="auto" w:fill="auto"/>
          </w:tcPr>
          <w:p w14:paraId="608D3E28" w14:textId="77777777" w:rsidR="00DE7DAE" w:rsidRPr="00453987" w:rsidRDefault="00DE7DAE" w:rsidP="00DE7DAE">
            <w:pPr>
              <w:tabs>
                <w:tab w:val="left" w:pos="993"/>
              </w:tabs>
              <w:spacing w:after="0" w:line="240" w:lineRule="auto"/>
              <w:jc w:val="center"/>
              <w:rPr>
                <w:rFonts w:eastAsia="Times New Roman" w:cs="Calibri"/>
                <w:color w:val="000000"/>
                <w:szCs w:val="20"/>
                <w:lang w:val="en-ZA" w:eastAsia="en-ZA"/>
              </w:rPr>
            </w:pPr>
            <w:r w:rsidRPr="00453987">
              <w:rPr>
                <w:rFonts w:eastAsia="Times New Roman" w:cs="Calibri"/>
                <w:color w:val="000000"/>
                <w:szCs w:val="20"/>
                <w:lang w:val="en-ZA" w:eastAsia="en-ZA"/>
              </w:rPr>
              <w:t>Planning and Economic Development Committee</w:t>
            </w:r>
          </w:p>
        </w:tc>
      </w:tr>
      <w:tr w:rsidR="00DE7DAE" w:rsidRPr="00DE7DAE" w14:paraId="769993BF" w14:textId="77777777" w:rsidTr="00453987">
        <w:trPr>
          <w:trHeight w:val="250"/>
        </w:trPr>
        <w:tc>
          <w:tcPr>
            <w:tcW w:w="861" w:type="dxa"/>
            <w:shd w:val="clear" w:color="auto" w:fill="auto"/>
          </w:tcPr>
          <w:p w14:paraId="161963E4" w14:textId="77777777" w:rsidR="00DE7DAE" w:rsidRPr="00453987" w:rsidRDefault="00DE7DAE" w:rsidP="00DE7DAE">
            <w:pPr>
              <w:tabs>
                <w:tab w:val="left" w:pos="993"/>
              </w:tabs>
              <w:spacing w:after="0" w:line="240" w:lineRule="auto"/>
              <w:jc w:val="both"/>
              <w:rPr>
                <w:rFonts w:eastAsia="Times New Roman" w:cs="Calibri"/>
                <w:color w:val="000000"/>
                <w:szCs w:val="20"/>
                <w:lang w:val="en-ZA" w:eastAsia="en-ZA"/>
              </w:rPr>
            </w:pPr>
            <w:r w:rsidRPr="00453987">
              <w:rPr>
                <w:rFonts w:eastAsia="Times New Roman" w:cs="Calibri"/>
                <w:color w:val="000000"/>
                <w:szCs w:val="20"/>
                <w:lang w:val="en-ZA" w:eastAsia="en-ZA"/>
              </w:rPr>
              <w:t>No</w:t>
            </w:r>
          </w:p>
        </w:tc>
        <w:tc>
          <w:tcPr>
            <w:tcW w:w="5040" w:type="dxa"/>
            <w:shd w:val="clear" w:color="auto" w:fill="auto"/>
          </w:tcPr>
          <w:p w14:paraId="6719E6AF" w14:textId="77777777" w:rsidR="00DE7DAE" w:rsidRPr="00453987" w:rsidRDefault="00DE7DAE" w:rsidP="00DE7DAE">
            <w:pPr>
              <w:tabs>
                <w:tab w:val="left" w:pos="993"/>
              </w:tabs>
              <w:spacing w:after="0" w:line="240" w:lineRule="auto"/>
              <w:jc w:val="both"/>
              <w:rPr>
                <w:rFonts w:eastAsia="Times New Roman" w:cs="Calibri"/>
                <w:color w:val="000000"/>
                <w:szCs w:val="20"/>
                <w:lang w:val="en-ZA" w:eastAsia="en-ZA"/>
              </w:rPr>
            </w:pPr>
            <w:r w:rsidRPr="00453987">
              <w:rPr>
                <w:rFonts w:eastAsia="Times New Roman" w:cs="Calibri"/>
                <w:color w:val="000000"/>
                <w:szCs w:val="20"/>
                <w:lang w:val="en-ZA" w:eastAsia="en-ZA"/>
              </w:rPr>
              <w:t>Councillor</w:t>
            </w:r>
          </w:p>
        </w:tc>
        <w:tc>
          <w:tcPr>
            <w:tcW w:w="3364" w:type="dxa"/>
            <w:shd w:val="clear" w:color="auto" w:fill="auto"/>
          </w:tcPr>
          <w:p w14:paraId="67B3C501" w14:textId="77777777" w:rsidR="00DE7DAE" w:rsidRPr="00453987" w:rsidRDefault="00DE7DAE" w:rsidP="00DE7DAE">
            <w:pPr>
              <w:tabs>
                <w:tab w:val="left" w:pos="993"/>
              </w:tabs>
              <w:spacing w:after="0" w:line="240" w:lineRule="auto"/>
              <w:jc w:val="both"/>
              <w:rPr>
                <w:rFonts w:eastAsia="Times New Roman" w:cs="Calibri"/>
                <w:color w:val="000000"/>
                <w:szCs w:val="20"/>
                <w:lang w:val="en-ZA" w:eastAsia="en-ZA"/>
              </w:rPr>
            </w:pPr>
            <w:r w:rsidRPr="00453987">
              <w:rPr>
                <w:rFonts w:eastAsia="Times New Roman" w:cs="Calibri"/>
                <w:color w:val="000000"/>
                <w:szCs w:val="20"/>
                <w:lang w:val="en-ZA" w:eastAsia="en-ZA"/>
              </w:rPr>
              <w:t>Representing</w:t>
            </w:r>
          </w:p>
        </w:tc>
      </w:tr>
      <w:tr w:rsidR="00DE7DAE" w:rsidRPr="00DE7DAE" w14:paraId="3EFF4091" w14:textId="77777777" w:rsidTr="00453987">
        <w:trPr>
          <w:trHeight w:val="250"/>
        </w:trPr>
        <w:tc>
          <w:tcPr>
            <w:tcW w:w="861" w:type="dxa"/>
            <w:shd w:val="clear" w:color="auto" w:fill="auto"/>
          </w:tcPr>
          <w:p w14:paraId="7CC60529" w14:textId="77777777" w:rsidR="00DE7DAE" w:rsidRPr="00453987" w:rsidRDefault="00DE7DAE" w:rsidP="00DE7DAE">
            <w:pPr>
              <w:tabs>
                <w:tab w:val="left" w:pos="993"/>
              </w:tabs>
              <w:spacing w:after="0" w:line="240" w:lineRule="auto"/>
              <w:jc w:val="center"/>
              <w:rPr>
                <w:rFonts w:eastAsia="Times New Roman" w:cs="Calibri"/>
                <w:color w:val="000000"/>
                <w:szCs w:val="20"/>
                <w:lang w:val="en-ZA" w:eastAsia="en-ZA"/>
              </w:rPr>
            </w:pPr>
            <w:r w:rsidRPr="00453987">
              <w:rPr>
                <w:rFonts w:eastAsia="Times New Roman" w:cs="Calibri"/>
                <w:color w:val="000000"/>
                <w:szCs w:val="20"/>
                <w:lang w:val="en-ZA" w:eastAsia="en-ZA"/>
              </w:rPr>
              <w:t>1</w:t>
            </w:r>
          </w:p>
        </w:tc>
        <w:tc>
          <w:tcPr>
            <w:tcW w:w="5040" w:type="dxa"/>
            <w:shd w:val="clear" w:color="auto" w:fill="auto"/>
          </w:tcPr>
          <w:p w14:paraId="53C102FC" w14:textId="77777777" w:rsidR="00DE7DAE" w:rsidRPr="00453987" w:rsidRDefault="00DE7DAE" w:rsidP="00DE7DAE">
            <w:pPr>
              <w:tabs>
                <w:tab w:val="left" w:pos="993"/>
              </w:tabs>
              <w:spacing w:after="0" w:line="240" w:lineRule="auto"/>
              <w:jc w:val="both"/>
              <w:rPr>
                <w:rFonts w:eastAsia="Times New Roman" w:cs="Calibri"/>
                <w:color w:val="000000"/>
                <w:szCs w:val="20"/>
                <w:lang w:val="en-ZA" w:eastAsia="en-ZA"/>
              </w:rPr>
            </w:pPr>
            <w:r w:rsidRPr="00453987">
              <w:rPr>
                <w:rFonts w:eastAsia="Times New Roman" w:cs="Calibri"/>
                <w:color w:val="000000"/>
                <w:szCs w:val="20"/>
                <w:lang w:val="en-ZA" w:eastAsia="en-ZA"/>
              </w:rPr>
              <w:t>C Gamede</w:t>
            </w:r>
          </w:p>
        </w:tc>
        <w:tc>
          <w:tcPr>
            <w:tcW w:w="3364" w:type="dxa"/>
            <w:shd w:val="clear" w:color="auto" w:fill="auto"/>
          </w:tcPr>
          <w:p w14:paraId="2E9C5896" w14:textId="77777777" w:rsidR="00DE7DAE" w:rsidRPr="00453987" w:rsidRDefault="00DE7DAE" w:rsidP="00DE7DAE">
            <w:pPr>
              <w:tabs>
                <w:tab w:val="left" w:pos="993"/>
              </w:tabs>
              <w:spacing w:after="0" w:line="240" w:lineRule="auto"/>
              <w:jc w:val="both"/>
              <w:rPr>
                <w:rFonts w:eastAsia="Times New Roman" w:cs="Calibri"/>
                <w:color w:val="000000"/>
                <w:szCs w:val="20"/>
                <w:lang w:val="en-ZA" w:eastAsia="en-ZA"/>
              </w:rPr>
            </w:pPr>
            <w:r w:rsidRPr="00453987">
              <w:rPr>
                <w:rFonts w:eastAsia="Times New Roman" w:cs="Calibri"/>
                <w:color w:val="000000"/>
                <w:szCs w:val="20"/>
                <w:lang w:val="en-ZA" w:eastAsia="en-ZA"/>
              </w:rPr>
              <w:t>ANC</w:t>
            </w:r>
          </w:p>
        </w:tc>
      </w:tr>
      <w:tr w:rsidR="00DE7DAE" w:rsidRPr="00DE7DAE" w14:paraId="62F3BE29" w14:textId="77777777" w:rsidTr="00453987">
        <w:trPr>
          <w:trHeight w:val="250"/>
        </w:trPr>
        <w:tc>
          <w:tcPr>
            <w:tcW w:w="861" w:type="dxa"/>
            <w:shd w:val="clear" w:color="auto" w:fill="auto"/>
          </w:tcPr>
          <w:p w14:paraId="615CDEDA" w14:textId="77777777" w:rsidR="00DE7DAE" w:rsidRPr="00453987" w:rsidRDefault="00DE7DAE" w:rsidP="00DE7DAE">
            <w:pPr>
              <w:tabs>
                <w:tab w:val="left" w:pos="993"/>
              </w:tabs>
              <w:spacing w:after="0" w:line="240" w:lineRule="auto"/>
              <w:jc w:val="center"/>
              <w:rPr>
                <w:rFonts w:eastAsia="Times New Roman" w:cs="Calibri"/>
                <w:color w:val="000000"/>
                <w:szCs w:val="20"/>
                <w:lang w:val="en-ZA" w:eastAsia="en-ZA"/>
              </w:rPr>
            </w:pPr>
            <w:r w:rsidRPr="00453987">
              <w:rPr>
                <w:rFonts w:eastAsia="Times New Roman" w:cs="Calibri"/>
                <w:color w:val="000000"/>
                <w:szCs w:val="20"/>
                <w:lang w:val="en-ZA" w:eastAsia="en-ZA"/>
              </w:rPr>
              <w:t>2</w:t>
            </w:r>
          </w:p>
        </w:tc>
        <w:tc>
          <w:tcPr>
            <w:tcW w:w="5040" w:type="dxa"/>
            <w:shd w:val="clear" w:color="auto" w:fill="auto"/>
          </w:tcPr>
          <w:p w14:paraId="42DE4BC7" w14:textId="77777777" w:rsidR="00DE7DAE" w:rsidRPr="00453987" w:rsidRDefault="00DE7DAE" w:rsidP="00DE7DAE">
            <w:pPr>
              <w:tabs>
                <w:tab w:val="left" w:pos="993"/>
              </w:tabs>
              <w:spacing w:after="0" w:line="240" w:lineRule="auto"/>
              <w:jc w:val="both"/>
              <w:rPr>
                <w:rFonts w:eastAsia="Times New Roman" w:cs="Calibri"/>
                <w:color w:val="000000"/>
                <w:szCs w:val="20"/>
                <w:lang w:val="en-ZA" w:eastAsia="en-ZA"/>
              </w:rPr>
            </w:pPr>
            <w:r w:rsidRPr="00453987">
              <w:rPr>
                <w:rFonts w:eastAsia="Times New Roman" w:cs="Calibri"/>
                <w:color w:val="000000"/>
                <w:szCs w:val="20"/>
                <w:lang w:val="en-ZA" w:eastAsia="en-ZA"/>
              </w:rPr>
              <w:t>E Z Jaffe</w:t>
            </w:r>
          </w:p>
        </w:tc>
        <w:tc>
          <w:tcPr>
            <w:tcW w:w="3364" w:type="dxa"/>
            <w:shd w:val="clear" w:color="auto" w:fill="auto"/>
          </w:tcPr>
          <w:p w14:paraId="650DF16D" w14:textId="77777777" w:rsidR="00DE7DAE" w:rsidRPr="00453987" w:rsidRDefault="00DE7DAE" w:rsidP="00DE7DAE">
            <w:pPr>
              <w:spacing w:after="0" w:line="240" w:lineRule="auto"/>
              <w:jc w:val="both"/>
              <w:rPr>
                <w:rFonts w:eastAsia="Times New Roman" w:cs="Calibri"/>
                <w:color w:val="000000"/>
                <w:szCs w:val="20"/>
                <w:lang w:val="en-ZA" w:eastAsia="en-ZA"/>
              </w:rPr>
            </w:pPr>
            <w:r w:rsidRPr="00453987">
              <w:rPr>
                <w:rFonts w:eastAsia="Times New Roman" w:cs="Calibri"/>
                <w:color w:val="000000"/>
                <w:szCs w:val="20"/>
                <w:lang w:val="en-ZA" w:eastAsia="en-ZA"/>
              </w:rPr>
              <w:t>ANC</w:t>
            </w:r>
          </w:p>
        </w:tc>
      </w:tr>
      <w:tr w:rsidR="00DE7DAE" w:rsidRPr="00DE7DAE" w14:paraId="58958F9F" w14:textId="77777777" w:rsidTr="00453987">
        <w:trPr>
          <w:trHeight w:val="250"/>
        </w:trPr>
        <w:tc>
          <w:tcPr>
            <w:tcW w:w="861" w:type="dxa"/>
            <w:shd w:val="clear" w:color="auto" w:fill="auto"/>
          </w:tcPr>
          <w:p w14:paraId="3BD30363" w14:textId="77777777" w:rsidR="00DE7DAE" w:rsidRPr="00453987" w:rsidRDefault="00DE7DAE" w:rsidP="00DE7DAE">
            <w:pPr>
              <w:tabs>
                <w:tab w:val="left" w:pos="993"/>
              </w:tabs>
              <w:spacing w:after="0" w:line="240" w:lineRule="auto"/>
              <w:jc w:val="center"/>
              <w:rPr>
                <w:rFonts w:eastAsia="Times New Roman" w:cs="Calibri"/>
                <w:color w:val="000000"/>
                <w:szCs w:val="20"/>
                <w:lang w:val="en-ZA" w:eastAsia="en-ZA"/>
              </w:rPr>
            </w:pPr>
            <w:r w:rsidRPr="00453987">
              <w:rPr>
                <w:rFonts w:eastAsia="Times New Roman" w:cs="Calibri"/>
                <w:color w:val="000000"/>
                <w:szCs w:val="20"/>
                <w:lang w:val="en-ZA" w:eastAsia="en-ZA"/>
              </w:rPr>
              <w:t>3</w:t>
            </w:r>
          </w:p>
        </w:tc>
        <w:tc>
          <w:tcPr>
            <w:tcW w:w="5040" w:type="dxa"/>
            <w:shd w:val="clear" w:color="auto" w:fill="auto"/>
          </w:tcPr>
          <w:p w14:paraId="2935B44C" w14:textId="77777777" w:rsidR="00DE7DAE" w:rsidRPr="00453987" w:rsidRDefault="00DE7DAE" w:rsidP="00DE7DAE">
            <w:pPr>
              <w:tabs>
                <w:tab w:val="left" w:pos="993"/>
              </w:tabs>
              <w:spacing w:after="0" w:line="240" w:lineRule="auto"/>
              <w:jc w:val="both"/>
              <w:rPr>
                <w:rFonts w:eastAsia="Times New Roman" w:cs="Calibri"/>
                <w:color w:val="000000"/>
                <w:szCs w:val="20"/>
                <w:lang w:val="en-ZA" w:eastAsia="en-ZA"/>
              </w:rPr>
            </w:pPr>
            <w:r w:rsidRPr="00453987">
              <w:rPr>
                <w:rFonts w:eastAsia="Times New Roman" w:cs="Calibri"/>
                <w:color w:val="000000"/>
                <w:szCs w:val="20"/>
                <w:lang w:val="en-ZA" w:eastAsia="en-ZA"/>
              </w:rPr>
              <w:t>T E Nsele</w:t>
            </w:r>
          </w:p>
        </w:tc>
        <w:tc>
          <w:tcPr>
            <w:tcW w:w="3364" w:type="dxa"/>
            <w:shd w:val="clear" w:color="auto" w:fill="auto"/>
          </w:tcPr>
          <w:p w14:paraId="0C529E74" w14:textId="77777777" w:rsidR="00DE7DAE" w:rsidRPr="00453987" w:rsidRDefault="00DE7DAE" w:rsidP="00DE7DAE">
            <w:pPr>
              <w:spacing w:after="0" w:line="240" w:lineRule="auto"/>
              <w:jc w:val="both"/>
              <w:rPr>
                <w:rFonts w:eastAsia="Times New Roman" w:cs="Calibri"/>
                <w:color w:val="000000"/>
                <w:szCs w:val="20"/>
                <w:lang w:val="en-ZA" w:eastAsia="en-ZA"/>
              </w:rPr>
            </w:pPr>
            <w:r w:rsidRPr="00453987">
              <w:rPr>
                <w:rFonts w:eastAsia="Times New Roman" w:cs="Calibri"/>
                <w:color w:val="000000"/>
                <w:szCs w:val="20"/>
                <w:lang w:val="en-ZA" w:eastAsia="en-ZA"/>
              </w:rPr>
              <w:t>ANC</w:t>
            </w:r>
          </w:p>
        </w:tc>
      </w:tr>
      <w:tr w:rsidR="00DE7DAE" w:rsidRPr="00DE7DAE" w14:paraId="139B6C37" w14:textId="77777777" w:rsidTr="00453987">
        <w:trPr>
          <w:trHeight w:val="250"/>
        </w:trPr>
        <w:tc>
          <w:tcPr>
            <w:tcW w:w="861" w:type="dxa"/>
            <w:shd w:val="clear" w:color="auto" w:fill="auto"/>
          </w:tcPr>
          <w:p w14:paraId="7CB3AB89" w14:textId="77777777" w:rsidR="00DE7DAE" w:rsidRPr="00453987" w:rsidRDefault="00DE7DAE" w:rsidP="00DE7DAE">
            <w:pPr>
              <w:tabs>
                <w:tab w:val="left" w:pos="993"/>
              </w:tabs>
              <w:spacing w:after="0" w:line="240" w:lineRule="auto"/>
              <w:jc w:val="center"/>
              <w:rPr>
                <w:rFonts w:eastAsia="Times New Roman" w:cs="Calibri"/>
                <w:color w:val="000000"/>
                <w:szCs w:val="20"/>
                <w:lang w:val="en-ZA" w:eastAsia="en-ZA"/>
              </w:rPr>
            </w:pPr>
            <w:r w:rsidRPr="00453987">
              <w:rPr>
                <w:rFonts w:eastAsia="Times New Roman" w:cs="Calibri"/>
                <w:color w:val="000000"/>
                <w:szCs w:val="20"/>
                <w:lang w:val="en-ZA" w:eastAsia="en-ZA"/>
              </w:rPr>
              <w:t>4</w:t>
            </w:r>
          </w:p>
        </w:tc>
        <w:tc>
          <w:tcPr>
            <w:tcW w:w="5040" w:type="dxa"/>
            <w:shd w:val="clear" w:color="auto" w:fill="auto"/>
          </w:tcPr>
          <w:p w14:paraId="13C8B2BD" w14:textId="77777777" w:rsidR="00DE7DAE" w:rsidRPr="00453987" w:rsidRDefault="00DE7DAE" w:rsidP="00DE7DAE">
            <w:pPr>
              <w:tabs>
                <w:tab w:val="left" w:pos="993"/>
              </w:tabs>
              <w:spacing w:after="0" w:line="240" w:lineRule="auto"/>
              <w:jc w:val="both"/>
              <w:rPr>
                <w:rFonts w:eastAsia="Times New Roman" w:cs="Calibri"/>
                <w:color w:val="000000"/>
                <w:szCs w:val="20"/>
                <w:lang w:val="en-ZA" w:eastAsia="en-ZA"/>
              </w:rPr>
            </w:pPr>
            <w:r w:rsidRPr="00453987">
              <w:rPr>
                <w:rFonts w:eastAsia="Times New Roman" w:cs="Calibri"/>
                <w:color w:val="000000"/>
                <w:szCs w:val="20"/>
                <w:lang w:val="en-ZA" w:eastAsia="en-ZA"/>
              </w:rPr>
              <w:t>B L Zungu</w:t>
            </w:r>
          </w:p>
        </w:tc>
        <w:tc>
          <w:tcPr>
            <w:tcW w:w="3364" w:type="dxa"/>
            <w:shd w:val="clear" w:color="auto" w:fill="auto"/>
          </w:tcPr>
          <w:p w14:paraId="157DBBD4" w14:textId="77777777" w:rsidR="00DE7DAE" w:rsidRPr="00453987" w:rsidRDefault="00DE7DAE" w:rsidP="00DE7DAE">
            <w:pPr>
              <w:spacing w:after="0" w:line="240" w:lineRule="auto"/>
              <w:jc w:val="both"/>
              <w:rPr>
                <w:rFonts w:eastAsia="Times New Roman" w:cs="Calibri"/>
                <w:color w:val="000000"/>
                <w:szCs w:val="20"/>
                <w:lang w:val="en-ZA" w:eastAsia="en-ZA"/>
              </w:rPr>
            </w:pPr>
            <w:r w:rsidRPr="00453987">
              <w:rPr>
                <w:rFonts w:eastAsia="Times New Roman" w:cs="Calibri"/>
                <w:color w:val="000000"/>
                <w:szCs w:val="20"/>
                <w:lang w:val="en-ZA" w:eastAsia="en-ZA"/>
              </w:rPr>
              <w:t>ANC</w:t>
            </w:r>
          </w:p>
        </w:tc>
      </w:tr>
      <w:tr w:rsidR="00DE7DAE" w:rsidRPr="00DE7DAE" w14:paraId="492C7ED0" w14:textId="77777777" w:rsidTr="00453987">
        <w:trPr>
          <w:trHeight w:val="250"/>
        </w:trPr>
        <w:tc>
          <w:tcPr>
            <w:tcW w:w="861" w:type="dxa"/>
            <w:shd w:val="clear" w:color="auto" w:fill="auto"/>
          </w:tcPr>
          <w:p w14:paraId="4C93364C" w14:textId="77777777" w:rsidR="00DE7DAE" w:rsidRPr="00453987" w:rsidRDefault="00DE7DAE" w:rsidP="00DE7DAE">
            <w:pPr>
              <w:tabs>
                <w:tab w:val="left" w:pos="993"/>
              </w:tabs>
              <w:spacing w:after="0" w:line="240" w:lineRule="auto"/>
              <w:jc w:val="center"/>
              <w:rPr>
                <w:rFonts w:eastAsia="Times New Roman" w:cs="Calibri"/>
                <w:color w:val="000000"/>
                <w:szCs w:val="20"/>
                <w:lang w:val="en-ZA" w:eastAsia="en-ZA"/>
              </w:rPr>
            </w:pPr>
            <w:r w:rsidRPr="00453987">
              <w:rPr>
                <w:rFonts w:eastAsia="Times New Roman" w:cs="Calibri"/>
                <w:color w:val="000000"/>
                <w:szCs w:val="20"/>
                <w:lang w:val="en-ZA" w:eastAsia="en-ZA"/>
              </w:rPr>
              <w:t>5</w:t>
            </w:r>
          </w:p>
        </w:tc>
        <w:tc>
          <w:tcPr>
            <w:tcW w:w="5040" w:type="dxa"/>
            <w:shd w:val="clear" w:color="auto" w:fill="auto"/>
          </w:tcPr>
          <w:p w14:paraId="4696E3EA" w14:textId="77777777" w:rsidR="00DE7DAE" w:rsidRPr="00453987" w:rsidRDefault="00DE7DAE" w:rsidP="00DE7DAE">
            <w:pPr>
              <w:tabs>
                <w:tab w:val="left" w:pos="993"/>
              </w:tabs>
              <w:spacing w:after="0" w:line="240" w:lineRule="auto"/>
              <w:jc w:val="both"/>
              <w:rPr>
                <w:rFonts w:eastAsia="Times New Roman" w:cs="Calibri"/>
                <w:color w:val="000000"/>
                <w:szCs w:val="20"/>
                <w:lang w:val="en-ZA" w:eastAsia="en-ZA"/>
              </w:rPr>
            </w:pPr>
            <w:r w:rsidRPr="00453987">
              <w:rPr>
                <w:rFonts w:eastAsia="Times New Roman" w:cs="Calibri"/>
                <w:color w:val="000000"/>
                <w:szCs w:val="20"/>
                <w:lang w:val="en-ZA" w:eastAsia="en-ZA"/>
              </w:rPr>
              <w:t>T V Jiyane</w:t>
            </w:r>
          </w:p>
        </w:tc>
        <w:tc>
          <w:tcPr>
            <w:tcW w:w="3364" w:type="dxa"/>
            <w:shd w:val="clear" w:color="auto" w:fill="auto"/>
          </w:tcPr>
          <w:p w14:paraId="25B26DD6" w14:textId="77777777" w:rsidR="00DE7DAE" w:rsidRPr="00453987" w:rsidRDefault="00DE7DAE" w:rsidP="00DE7DAE">
            <w:pPr>
              <w:spacing w:after="0" w:line="240" w:lineRule="auto"/>
              <w:jc w:val="both"/>
              <w:rPr>
                <w:rFonts w:eastAsia="Times New Roman" w:cs="Calibri"/>
                <w:color w:val="000000"/>
                <w:szCs w:val="20"/>
                <w:lang w:val="en-ZA" w:eastAsia="en-ZA"/>
              </w:rPr>
            </w:pPr>
            <w:r w:rsidRPr="00453987">
              <w:rPr>
                <w:rFonts w:eastAsia="Times New Roman" w:cs="Calibri"/>
                <w:color w:val="000000"/>
                <w:szCs w:val="20"/>
                <w:lang w:val="en-ZA" w:eastAsia="en-ZA"/>
              </w:rPr>
              <w:t>ANC</w:t>
            </w:r>
          </w:p>
        </w:tc>
      </w:tr>
      <w:tr w:rsidR="00DE7DAE" w:rsidRPr="00DE7DAE" w14:paraId="1DC3B7EF" w14:textId="77777777" w:rsidTr="00453987">
        <w:trPr>
          <w:trHeight w:val="229"/>
        </w:trPr>
        <w:tc>
          <w:tcPr>
            <w:tcW w:w="861" w:type="dxa"/>
            <w:shd w:val="clear" w:color="auto" w:fill="auto"/>
          </w:tcPr>
          <w:p w14:paraId="4B09C3C2" w14:textId="77777777" w:rsidR="00DE7DAE" w:rsidRPr="00453987" w:rsidRDefault="00DE7DAE" w:rsidP="00DE7DAE">
            <w:pPr>
              <w:tabs>
                <w:tab w:val="left" w:pos="993"/>
              </w:tabs>
              <w:spacing w:after="0" w:line="240" w:lineRule="auto"/>
              <w:jc w:val="center"/>
              <w:rPr>
                <w:rFonts w:eastAsia="Times New Roman" w:cs="Calibri"/>
                <w:color w:val="000000"/>
                <w:szCs w:val="20"/>
                <w:lang w:val="en-ZA" w:eastAsia="en-ZA"/>
              </w:rPr>
            </w:pPr>
            <w:r w:rsidRPr="00453987">
              <w:rPr>
                <w:rFonts w:eastAsia="Times New Roman" w:cs="Calibri"/>
                <w:color w:val="000000"/>
                <w:szCs w:val="20"/>
                <w:lang w:val="en-ZA" w:eastAsia="en-ZA"/>
              </w:rPr>
              <w:t>6</w:t>
            </w:r>
          </w:p>
        </w:tc>
        <w:tc>
          <w:tcPr>
            <w:tcW w:w="5040" w:type="dxa"/>
            <w:shd w:val="clear" w:color="auto" w:fill="auto"/>
          </w:tcPr>
          <w:p w14:paraId="50A7CD48" w14:textId="77777777" w:rsidR="00DE7DAE" w:rsidRPr="00453987" w:rsidRDefault="00DE7DAE" w:rsidP="00DE7DAE">
            <w:pPr>
              <w:tabs>
                <w:tab w:val="left" w:pos="993"/>
              </w:tabs>
              <w:spacing w:after="0" w:line="240" w:lineRule="auto"/>
              <w:jc w:val="both"/>
              <w:rPr>
                <w:rFonts w:eastAsia="Times New Roman" w:cs="Calibri"/>
                <w:color w:val="000000"/>
                <w:szCs w:val="20"/>
                <w:lang w:val="en-ZA" w:eastAsia="en-ZA"/>
              </w:rPr>
            </w:pPr>
            <w:r w:rsidRPr="00453987">
              <w:rPr>
                <w:rFonts w:eastAsia="Times New Roman" w:cs="Calibri"/>
                <w:color w:val="000000"/>
                <w:szCs w:val="20"/>
                <w:lang w:val="en-ZA" w:eastAsia="en-ZA"/>
              </w:rPr>
              <w:t>H S Thango</w:t>
            </w:r>
          </w:p>
        </w:tc>
        <w:tc>
          <w:tcPr>
            <w:tcW w:w="3364" w:type="dxa"/>
            <w:shd w:val="clear" w:color="auto" w:fill="auto"/>
          </w:tcPr>
          <w:p w14:paraId="507B1AE6" w14:textId="77777777" w:rsidR="00DE7DAE" w:rsidRPr="00453987" w:rsidRDefault="00DE7DAE" w:rsidP="00DE7DAE">
            <w:pPr>
              <w:spacing w:after="0" w:line="240" w:lineRule="auto"/>
              <w:jc w:val="both"/>
              <w:rPr>
                <w:rFonts w:eastAsia="Times New Roman" w:cs="Calibri"/>
                <w:color w:val="000000"/>
                <w:szCs w:val="20"/>
                <w:lang w:val="en-ZA" w:eastAsia="en-ZA"/>
              </w:rPr>
            </w:pPr>
            <w:r w:rsidRPr="00453987">
              <w:rPr>
                <w:rFonts w:eastAsia="Times New Roman" w:cs="Calibri"/>
                <w:color w:val="000000"/>
                <w:szCs w:val="20"/>
                <w:lang w:val="en-ZA" w:eastAsia="en-ZA"/>
              </w:rPr>
              <w:t>ANC</w:t>
            </w:r>
          </w:p>
        </w:tc>
      </w:tr>
      <w:tr w:rsidR="00DE7DAE" w:rsidRPr="00DE7DAE" w14:paraId="51C3BFB3" w14:textId="77777777" w:rsidTr="00453987">
        <w:trPr>
          <w:trHeight w:val="250"/>
        </w:trPr>
        <w:tc>
          <w:tcPr>
            <w:tcW w:w="861" w:type="dxa"/>
            <w:shd w:val="clear" w:color="auto" w:fill="auto"/>
          </w:tcPr>
          <w:p w14:paraId="7873FF26" w14:textId="77777777" w:rsidR="00DE7DAE" w:rsidRPr="00453987" w:rsidRDefault="00DE7DAE" w:rsidP="00DE7DAE">
            <w:pPr>
              <w:tabs>
                <w:tab w:val="left" w:pos="993"/>
              </w:tabs>
              <w:spacing w:after="0" w:line="240" w:lineRule="auto"/>
              <w:jc w:val="center"/>
              <w:rPr>
                <w:rFonts w:eastAsia="Times New Roman" w:cs="Calibri"/>
                <w:color w:val="000000"/>
                <w:szCs w:val="20"/>
                <w:lang w:val="en-ZA" w:eastAsia="en-ZA"/>
              </w:rPr>
            </w:pPr>
            <w:r w:rsidRPr="00453987">
              <w:rPr>
                <w:rFonts w:eastAsia="Times New Roman" w:cs="Calibri"/>
                <w:color w:val="000000"/>
                <w:szCs w:val="20"/>
                <w:lang w:val="en-ZA" w:eastAsia="en-ZA"/>
              </w:rPr>
              <w:t>7</w:t>
            </w:r>
          </w:p>
        </w:tc>
        <w:tc>
          <w:tcPr>
            <w:tcW w:w="5040" w:type="dxa"/>
            <w:shd w:val="clear" w:color="auto" w:fill="auto"/>
          </w:tcPr>
          <w:p w14:paraId="15103EE8" w14:textId="77777777" w:rsidR="00DE7DAE" w:rsidRPr="00453987" w:rsidRDefault="00DE7DAE" w:rsidP="00DE7DAE">
            <w:pPr>
              <w:tabs>
                <w:tab w:val="left" w:pos="993"/>
              </w:tabs>
              <w:spacing w:after="0" w:line="240" w:lineRule="auto"/>
              <w:jc w:val="both"/>
              <w:rPr>
                <w:rFonts w:eastAsia="Times New Roman" w:cs="Calibri"/>
                <w:color w:val="000000"/>
                <w:szCs w:val="20"/>
                <w:lang w:val="en-ZA" w:eastAsia="en-ZA"/>
              </w:rPr>
            </w:pPr>
            <w:r w:rsidRPr="00453987">
              <w:rPr>
                <w:rFonts w:eastAsia="Times New Roman" w:cs="Calibri"/>
                <w:color w:val="000000"/>
                <w:szCs w:val="20"/>
                <w:lang w:val="en-ZA" w:eastAsia="en-ZA"/>
              </w:rPr>
              <w:t>S F Ngonyama</w:t>
            </w:r>
          </w:p>
        </w:tc>
        <w:tc>
          <w:tcPr>
            <w:tcW w:w="3364" w:type="dxa"/>
            <w:shd w:val="clear" w:color="auto" w:fill="auto"/>
          </w:tcPr>
          <w:p w14:paraId="2B4A058D" w14:textId="77777777" w:rsidR="00DE7DAE" w:rsidRPr="00453987" w:rsidRDefault="00DE7DAE" w:rsidP="00DE7DAE">
            <w:pPr>
              <w:tabs>
                <w:tab w:val="left" w:pos="993"/>
              </w:tabs>
              <w:spacing w:after="0" w:line="240" w:lineRule="auto"/>
              <w:jc w:val="both"/>
              <w:rPr>
                <w:rFonts w:eastAsia="Times New Roman" w:cs="Calibri"/>
                <w:color w:val="000000"/>
                <w:szCs w:val="20"/>
                <w:lang w:val="en-ZA" w:eastAsia="en-ZA"/>
              </w:rPr>
            </w:pPr>
            <w:r w:rsidRPr="00453987">
              <w:rPr>
                <w:rFonts w:eastAsia="Times New Roman" w:cs="Calibri"/>
                <w:color w:val="000000"/>
                <w:szCs w:val="20"/>
                <w:lang w:val="en-ZA" w:eastAsia="en-ZA"/>
              </w:rPr>
              <w:t>IFP</w:t>
            </w:r>
          </w:p>
        </w:tc>
      </w:tr>
      <w:tr w:rsidR="00DE7DAE" w:rsidRPr="00DE7DAE" w14:paraId="6C9D87E0" w14:textId="77777777" w:rsidTr="00453987">
        <w:trPr>
          <w:trHeight w:val="250"/>
        </w:trPr>
        <w:tc>
          <w:tcPr>
            <w:tcW w:w="861" w:type="dxa"/>
            <w:shd w:val="clear" w:color="auto" w:fill="auto"/>
          </w:tcPr>
          <w:p w14:paraId="5D9E08D2" w14:textId="77777777" w:rsidR="00DE7DAE" w:rsidRPr="00453987" w:rsidRDefault="00DE7DAE" w:rsidP="00DE7DAE">
            <w:pPr>
              <w:tabs>
                <w:tab w:val="left" w:pos="993"/>
              </w:tabs>
              <w:spacing w:after="0" w:line="240" w:lineRule="auto"/>
              <w:jc w:val="center"/>
              <w:rPr>
                <w:rFonts w:eastAsia="Times New Roman" w:cs="Calibri"/>
                <w:color w:val="000000"/>
                <w:szCs w:val="20"/>
                <w:lang w:val="en-ZA" w:eastAsia="en-ZA"/>
              </w:rPr>
            </w:pPr>
            <w:r w:rsidRPr="00453987">
              <w:rPr>
                <w:rFonts w:eastAsia="Times New Roman" w:cs="Calibri"/>
                <w:color w:val="000000"/>
                <w:szCs w:val="20"/>
                <w:lang w:val="en-ZA" w:eastAsia="en-ZA"/>
              </w:rPr>
              <w:t>8</w:t>
            </w:r>
          </w:p>
        </w:tc>
        <w:tc>
          <w:tcPr>
            <w:tcW w:w="5040" w:type="dxa"/>
            <w:shd w:val="clear" w:color="auto" w:fill="auto"/>
          </w:tcPr>
          <w:p w14:paraId="12C5557B" w14:textId="77777777" w:rsidR="00DE7DAE" w:rsidRPr="00453987" w:rsidRDefault="00DE7DAE" w:rsidP="00DE7DAE">
            <w:pPr>
              <w:tabs>
                <w:tab w:val="left" w:pos="993"/>
              </w:tabs>
              <w:spacing w:after="0" w:line="240" w:lineRule="auto"/>
              <w:jc w:val="both"/>
              <w:rPr>
                <w:rFonts w:eastAsia="Times New Roman" w:cs="Calibri"/>
                <w:color w:val="000000"/>
                <w:szCs w:val="20"/>
                <w:lang w:val="en-ZA" w:eastAsia="en-ZA"/>
              </w:rPr>
            </w:pPr>
            <w:r w:rsidRPr="00453987">
              <w:rPr>
                <w:rFonts w:eastAsia="Times New Roman" w:cs="Calibri"/>
                <w:color w:val="000000"/>
                <w:szCs w:val="20"/>
                <w:lang w:val="en-ZA" w:eastAsia="en-ZA"/>
              </w:rPr>
              <w:t>M Dludla</w:t>
            </w:r>
          </w:p>
        </w:tc>
        <w:tc>
          <w:tcPr>
            <w:tcW w:w="3364" w:type="dxa"/>
            <w:shd w:val="clear" w:color="auto" w:fill="auto"/>
          </w:tcPr>
          <w:p w14:paraId="376D0675" w14:textId="77777777" w:rsidR="00DE7DAE" w:rsidRPr="00453987" w:rsidRDefault="00DE7DAE" w:rsidP="00DE7DAE">
            <w:pPr>
              <w:tabs>
                <w:tab w:val="left" w:pos="993"/>
              </w:tabs>
              <w:spacing w:after="0" w:line="240" w:lineRule="auto"/>
              <w:jc w:val="both"/>
              <w:rPr>
                <w:rFonts w:eastAsia="Times New Roman" w:cs="Calibri"/>
                <w:color w:val="000000"/>
                <w:szCs w:val="20"/>
                <w:lang w:val="en-ZA" w:eastAsia="en-ZA"/>
              </w:rPr>
            </w:pPr>
            <w:r w:rsidRPr="00453987">
              <w:rPr>
                <w:rFonts w:eastAsia="Times New Roman" w:cs="Calibri"/>
                <w:color w:val="000000"/>
                <w:szCs w:val="20"/>
                <w:lang w:val="en-ZA" w:eastAsia="en-ZA"/>
              </w:rPr>
              <w:t>IFP</w:t>
            </w:r>
          </w:p>
        </w:tc>
      </w:tr>
      <w:tr w:rsidR="00DE7DAE" w:rsidRPr="00DE7DAE" w14:paraId="2A54C79C" w14:textId="77777777" w:rsidTr="00453987">
        <w:trPr>
          <w:trHeight w:val="250"/>
        </w:trPr>
        <w:tc>
          <w:tcPr>
            <w:tcW w:w="861" w:type="dxa"/>
            <w:shd w:val="clear" w:color="auto" w:fill="auto"/>
          </w:tcPr>
          <w:p w14:paraId="72728040" w14:textId="77777777" w:rsidR="00DE7DAE" w:rsidRPr="00453987" w:rsidRDefault="00DE7DAE" w:rsidP="00DE7DAE">
            <w:pPr>
              <w:tabs>
                <w:tab w:val="left" w:pos="993"/>
              </w:tabs>
              <w:spacing w:after="0" w:line="240" w:lineRule="auto"/>
              <w:jc w:val="center"/>
              <w:rPr>
                <w:rFonts w:eastAsia="Times New Roman" w:cs="Calibri"/>
                <w:color w:val="000000"/>
                <w:szCs w:val="20"/>
                <w:lang w:val="en-ZA" w:eastAsia="en-ZA"/>
              </w:rPr>
            </w:pPr>
            <w:r w:rsidRPr="00453987">
              <w:rPr>
                <w:rFonts w:eastAsia="Times New Roman" w:cs="Calibri"/>
                <w:color w:val="000000"/>
                <w:szCs w:val="20"/>
                <w:lang w:val="en-ZA" w:eastAsia="en-ZA"/>
              </w:rPr>
              <w:t>9</w:t>
            </w:r>
          </w:p>
        </w:tc>
        <w:tc>
          <w:tcPr>
            <w:tcW w:w="5040" w:type="dxa"/>
            <w:shd w:val="clear" w:color="auto" w:fill="auto"/>
          </w:tcPr>
          <w:p w14:paraId="2DAF1C66" w14:textId="77777777" w:rsidR="00DE7DAE" w:rsidRPr="00453987" w:rsidRDefault="00DE7DAE" w:rsidP="00DE7DAE">
            <w:pPr>
              <w:tabs>
                <w:tab w:val="left" w:pos="993"/>
              </w:tabs>
              <w:spacing w:after="0" w:line="240" w:lineRule="auto"/>
              <w:jc w:val="both"/>
              <w:rPr>
                <w:rFonts w:eastAsia="Times New Roman" w:cs="Calibri"/>
                <w:color w:val="000000"/>
                <w:szCs w:val="20"/>
                <w:lang w:val="en-ZA" w:eastAsia="en-ZA"/>
              </w:rPr>
            </w:pPr>
            <w:r w:rsidRPr="00453987">
              <w:rPr>
                <w:rFonts w:eastAsia="Times New Roman" w:cs="Calibri"/>
                <w:color w:val="000000"/>
                <w:szCs w:val="20"/>
                <w:lang w:val="en-ZA" w:eastAsia="en-ZA"/>
              </w:rPr>
              <w:t>T Magwaza</w:t>
            </w:r>
          </w:p>
        </w:tc>
        <w:tc>
          <w:tcPr>
            <w:tcW w:w="3364" w:type="dxa"/>
            <w:shd w:val="clear" w:color="auto" w:fill="auto"/>
          </w:tcPr>
          <w:p w14:paraId="31E1465A" w14:textId="77777777" w:rsidR="00DE7DAE" w:rsidRPr="00453987" w:rsidRDefault="00DE7DAE" w:rsidP="00DE7DAE">
            <w:pPr>
              <w:tabs>
                <w:tab w:val="left" w:pos="993"/>
              </w:tabs>
              <w:spacing w:after="0" w:line="240" w:lineRule="auto"/>
              <w:jc w:val="both"/>
              <w:rPr>
                <w:rFonts w:eastAsia="Times New Roman" w:cs="Calibri"/>
                <w:color w:val="000000"/>
                <w:szCs w:val="20"/>
                <w:lang w:val="en-ZA" w:eastAsia="en-ZA"/>
              </w:rPr>
            </w:pPr>
            <w:r w:rsidRPr="00453987">
              <w:rPr>
                <w:rFonts w:eastAsia="Times New Roman" w:cs="Calibri"/>
                <w:color w:val="000000"/>
                <w:szCs w:val="20"/>
                <w:lang w:val="en-ZA" w:eastAsia="en-ZA"/>
              </w:rPr>
              <w:t>IFP</w:t>
            </w:r>
          </w:p>
        </w:tc>
      </w:tr>
      <w:tr w:rsidR="00DE7DAE" w:rsidRPr="00DE7DAE" w14:paraId="07FE5FAE" w14:textId="77777777" w:rsidTr="00453987">
        <w:trPr>
          <w:trHeight w:val="250"/>
        </w:trPr>
        <w:tc>
          <w:tcPr>
            <w:tcW w:w="861" w:type="dxa"/>
            <w:shd w:val="clear" w:color="auto" w:fill="auto"/>
          </w:tcPr>
          <w:p w14:paraId="117A6824" w14:textId="77777777" w:rsidR="00DE7DAE" w:rsidRPr="00453987" w:rsidRDefault="00DE7DAE" w:rsidP="00DE7DAE">
            <w:pPr>
              <w:tabs>
                <w:tab w:val="left" w:pos="993"/>
              </w:tabs>
              <w:spacing w:after="0" w:line="240" w:lineRule="auto"/>
              <w:jc w:val="center"/>
              <w:rPr>
                <w:rFonts w:eastAsia="Times New Roman" w:cs="Calibri"/>
                <w:color w:val="000000"/>
                <w:szCs w:val="20"/>
                <w:lang w:val="en-ZA" w:eastAsia="en-ZA"/>
              </w:rPr>
            </w:pPr>
            <w:r w:rsidRPr="00453987">
              <w:rPr>
                <w:rFonts w:eastAsia="Times New Roman" w:cs="Calibri"/>
                <w:color w:val="000000"/>
                <w:szCs w:val="20"/>
                <w:lang w:val="en-ZA" w:eastAsia="en-ZA"/>
              </w:rPr>
              <w:t>10</w:t>
            </w:r>
          </w:p>
        </w:tc>
        <w:tc>
          <w:tcPr>
            <w:tcW w:w="5040" w:type="dxa"/>
            <w:shd w:val="clear" w:color="auto" w:fill="auto"/>
          </w:tcPr>
          <w:p w14:paraId="1FF9F6F6" w14:textId="77777777" w:rsidR="00DE7DAE" w:rsidRPr="00453987" w:rsidRDefault="00DE7DAE" w:rsidP="00DE7DAE">
            <w:pPr>
              <w:tabs>
                <w:tab w:val="left" w:pos="993"/>
              </w:tabs>
              <w:spacing w:after="0" w:line="240" w:lineRule="auto"/>
              <w:jc w:val="both"/>
              <w:rPr>
                <w:rFonts w:eastAsia="Times New Roman" w:cs="Calibri"/>
                <w:color w:val="000000"/>
                <w:szCs w:val="20"/>
                <w:lang w:val="en-ZA" w:eastAsia="en-ZA"/>
              </w:rPr>
            </w:pPr>
            <w:r w:rsidRPr="00453987">
              <w:rPr>
                <w:rFonts w:eastAsia="Times New Roman" w:cs="Calibri"/>
                <w:color w:val="000000"/>
                <w:szCs w:val="20"/>
                <w:lang w:val="en-ZA" w:eastAsia="en-ZA"/>
              </w:rPr>
              <w:t>Q T Xulu</w:t>
            </w:r>
          </w:p>
        </w:tc>
        <w:tc>
          <w:tcPr>
            <w:tcW w:w="3364" w:type="dxa"/>
            <w:shd w:val="clear" w:color="auto" w:fill="auto"/>
          </w:tcPr>
          <w:p w14:paraId="5383F297" w14:textId="77777777" w:rsidR="00DE7DAE" w:rsidRPr="00453987" w:rsidRDefault="00DE7DAE" w:rsidP="00DE7DAE">
            <w:pPr>
              <w:tabs>
                <w:tab w:val="left" w:pos="993"/>
              </w:tabs>
              <w:spacing w:after="0" w:line="240" w:lineRule="auto"/>
              <w:jc w:val="both"/>
              <w:rPr>
                <w:rFonts w:eastAsia="Times New Roman" w:cs="Calibri"/>
                <w:color w:val="000000"/>
                <w:szCs w:val="20"/>
                <w:lang w:val="en-ZA" w:eastAsia="en-ZA"/>
              </w:rPr>
            </w:pPr>
            <w:r w:rsidRPr="00453987">
              <w:rPr>
                <w:rFonts w:eastAsia="Times New Roman" w:cs="Calibri"/>
                <w:color w:val="000000"/>
                <w:szCs w:val="20"/>
                <w:lang w:val="en-ZA" w:eastAsia="en-ZA"/>
              </w:rPr>
              <w:t>IFP</w:t>
            </w:r>
          </w:p>
        </w:tc>
      </w:tr>
    </w:tbl>
    <w:p w14:paraId="44A93B00" w14:textId="77777777" w:rsidR="00896DF5" w:rsidRDefault="00314A49" w:rsidP="002F62F0">
      <w:pPr>
        <w:pStyle w:val="Caption"/>
        <w:rPr>
          <w:rFonts w:eastAsia="Times New Roman" w:cs="Times New Roman"/>
          <w:color w:val="000000"/>
          <w:szCs w:val="24"/>
          <w:lang w:val="en-ZA" w:eastAsia="en-ZA"/>
        </w:rPr>
      </w:pPr>
      <w:bookmarkStart w:id="555" w:name="_Toc510622341"/>
      <w:r>
        <w:t xml:space="preserve">Table </w:t>
      </w:r>
      <w:r w:rsidR="00B918A6">
        <w:fldChar w:fldCharType="begin"/>
      </w:r>
      <w:r w:rsidR="00B918A6">
        <w:instrText xml:space="preserve"> SEQ Table \* ARABIC </w:instrText>
      </w:r>
      <w:r w:rsidR="00B918A6">
        <w:fldChar w:fldCharType="separate"/>
      </w:r>
      <w:r w:rsidR="0067023A">
        <w:rPr>
          <w:noProof/>
        </w:rPr>
        <w:t>90</w:t>
      </w:r>
      <w:r w:rsidR="00B918A6">
        <w:rPr>
          <w:noProof/>
        </w:rPr>
        <w:fldChar w:fldCharType="end"/>
      </w:r>
      <w:r>
        <w:t xml:space="preserve">: </w:t>
      </w:r>
      <w:r w:rsidR="00F36672">
        <w:rPr>
          <w:rFonts w:eastAsia="Times New Roman" w:cs="Times New Roman"/>
          <w:color w:val="000000"/>
          <w:szCs w:val="24"/>
          <w:lang w:val="en-ZA" w:eastAsia="en-ZA"/>
        </w:rPr>
        <w:t>Section 80</w:t>
      </w:r>
      <w:r w:rsidRPr="00314A49">
        <w:rPr>
          <w:rFonts w:eastAsia="Times New Roman" w:cs="Times New Roman"/>
          <w:color w:val="000000"/>
          <w:szCs w:val="24"/>
          <w:lang w:val="en-ZA" w:eastAsia="en-ZA"/>
        </w:rPr>
        <w:t xml:space="preserve"> Committees</w:t>
      </w:r>
      <w:bookmarkEnd w:id="555"/>
    </w:p>
    <w:p w14:paraId="2B494FF5" w14:textId="77777777" w:rsidR="00453987" w:rsidRDefault="00453987" w:rsidP="00750180">
      <w:pPr>
        <w:pStyle w:val="Heading5"/>
        <w:numPr>
          <w:ilvl w:val="4"/>
          <w:numId w:val="127"/>
        </w:numPr>
        <w:spacing w:after="240"/>
        <w:rPr>
          <w:b w:val="0"/>
          <w:lang w:val="en-ZA" w:eastAsia="en-ZA"/>
        </w:rPr>
      </w:pPr>
      <w:r w:rsidRPr="00BA506B">
        <w:rPr>
          <w:rFonts w:eastAsia="Times New Roman"/>
          <w:lang w:val="en-ZA" w:eastAsia="en-ZA"/>
        </w:rPr>
        <w:t>Composition of the uMlalazi Executive Council</w:t>
      </w:r>
    </w:p>
    <w:p w14:paraId="368D457E" w14:textId="77777777" w:rsidR="00453987" w:rsidRDefault="00453987" w:rsidP="00453987">
      <w:pPr>
        <w:rPr>
          <w:lang w:val="en-ZA" w:eastAsia="en-ZA"/>
        </w:rPr>
      </w:pPr>
      <w:r>
        <w:rPr>
          <w:lang w:val="en-ZA" w:eastAsia="en-ZA"/>
        </w:rPr>
        <w:t>Ath the inauguration of the Municipal Council on the 18</w:t>
      </w:r>
      <w:r w:rsidRPr="00453987">
        <w:rPr>
          <w:vertAlign w:val="superscript"/>
          <w:lang w:val="en-ZA" w:eastAsia="en-ZA"/>
        </w:rPr>
        <w:t>th</w:t>
      </w:r>
      <w:r>
        <w:rPr>
          <w:lang w:val="en-ZA" w:eastAsia="en-ZA"/>
        </w:rPr>
        <w:t xml:space="preserve"> </w:t>
      </w:r>
      <w:r w:rsidRPr="00BA506B">
        <w:rPr>
          <w:lang w:val="en-ZA" w:eastAsia="en-ZA"/>
        </w:rPr>
        <w:t>of August 201</w:t>
      </w:r>
      <w:r w:rsidR="00F36672" w:rsidRPr="00BA506B">
        <w:rPr>
          <w:lang w:val="en-ZA" w:eastAsia="en-ZA"/>
        </w:rPr>
        <w:t>6</w:t>
      </w:r>
      <w:r w:rsidR="002E2896" w:rsidRPr="00BA506B">
        <w:rPr>
          <w:lang w:val="en-ZA" w:eastAsia="en-ZA"/>
        </w:rPr>
        <w:t>, Council</w:t>
      </w:r>
      <w:r w:rsidR="002E2896">
        <w:rPr>
          <w:lang w:val="en-ZA" w:eastAsia="en-ZA"/>
        </w:rPr>
        <w:t xml:space="preserve"> resoloved that the following Councillors will form part of the Executive Committee;</w:t>
      </w:r>
    </w:p>
    <w:p w14:paraId="64AFC44B" w14:textId="77777777" w:rsidR="002E2896" w:rsidRPr="002E2896" w:rsidRDefault="002E2896" w:rsidP="00750180">
      <w:pPr>
        <w:numPr>
          <w:ilvl w:val="0"/>
          <w:numId w:val="86"/>
        </w:numPr>
        <w:spacing w:after="0" w:line="240" w:lineRule="auto"/>
        <w:ind w:left="567" w:hanging="283"/>
        <w:jc w:val="both"/>
        <w:rPr>
          <w:lang w:val="en-ZA" w:eastAsia="en-ZA"/>
        </w:rPr>
      </w:pPr>
      <w:r w:rsidRPr="002E2896">
        <w:rPr>
          <w:lang w:val="en-ZA" w:eastAsia="en-ZA"/>
        </w:rPr>
        <w:t>Councillor T B Zulu  - ANC</w:t>
      </w:r>
    </w:p>
    <w:p w14:paraId="460A6310" w14:textId="77777777" w:rsidR="002E2896" w:rsidRPr="002E2896" w:rsidRDefault="002E2896" w:rsidP="00750180">
      <w:pPr>
        <w:numPr>
          <w:ilvl w:val="0"/>
          <w:numId w:val="86"/>
        </w:numPr>
        <w:spacing w:after="0" w:line="240" w:lineRule="auto"/>
        <w:ind w:left="567" w:hanging="283"/>
        <w:jc w:val="both"/>
        <w:rPr>
          <w:lang w:val="en-ZA" w:eastAsia="en-ZA"/>
        </w:rPr>
      </w:pPr>
      <w:r w:rsidRPr="002E2896">
        <w:rPr>
          <w:lang w:val="en-ZA" w:eastAsia="en-ZA"/>
        </w:rPr>
        <w:t>Councillor B P Simelane - ANC</w:t>
      </w:r>
    </w:p>
    <w:p w14:paraId="17873348" w14:textId="77777777" w:rsidR="002E2896" w:rsidRPr="002E2896" w:rsidRDefault="002E2896" w:rsidP="00750180">
      <w:pPr>
        <w:numPr>
          <w:ilvl w:val="0"/>
          <w:numId w:val="86"/>
        </w:numPr>
        <w:spacing w:after="0" w:line="240" w:lineRule="auto"/>
        <w:ind w:left="567" w:hanging="283"/>
        <w:jc w:val="both"/>
        <w:rPr>
          <w:lang w:val="en-ZA" w:eastAsia="en-ZA"/>
        </w:rPr>
      </w:pPr>
      <w:r w:rsidRPr="002E2896">
        <w:rPr>
          <w:lang w:val="en-ZA" w:eastAsia="en-ZA"/>
        </w:rPr>
        <w:t>Councillor C Gamede – ANC</w:t>
      </w:r>
    </w:p>
    <w:p w14:paraId="38C71C29" w14:textId="77777777" w:rsidR="002E2896" w:rsidRPr="002E2896" w:rsidRDefault="002E2896" w:rsidP="00750180">
      <w:pPr>
        <w:numPr>
          <w:ilvl w:val="0"/>
          <w:numId w:val="86"/>
        </w:numPr>
        <w:spacing w:after="0" w:line="240" w:lineRule="auto"/>
        <w:ind w:left="567" w:hanging="283"/>
        <w:jc w:val="both"/>
        <w:rPr>
          <w:lang w:val="en-ZA" w:eastAsia="en-ZA"/>
        </w:rPr>
      </w:pPr>
      <w:r w:rsidRPr="002E2896">
        <w:rPr>
          <w:lang w:val="en-ZA" w:eastAsia="en-ZA"/>
        </w:rPr>
        <w:t>Councillor I Woollatt - ANC</w:t>
      </w:r>
    </w:p>
    <w:p w14:paraId="499023EA" w14:textId="77777777" w:rsidR="002E2896" w:rsidRPr="002E2896" w:rsidRDefault="002E2896" w:rsidP="00750180">
      <w:pPr>
        <w:numPr>
          <w:ilvl w:val="0"/>
          <w:numId w:val="86"/>
        </w:numPr>
        <w:spacing w:after="0" w:line="240" w:lineRule="auto"/>
        <w:ind w:left="567" w:hanging="283"/>
        <w:jc w:val="both"/>
        <w:rPr>
          <w:lang w:val="en-ZA" w:eastAsia="en-ZA"/>
        </w:rPr>
      </w:pPr>
      <w:r w:rsidRPr="002E2896">
        <w:rPr>
          <w:lang w:val="en-ZA" w:eastAsia="en-ZA"/>
        </w:rPr>
        <w:t>Councillor M M Khanyile - ANC</w:t>
      </w:r>
    </w:p>
    <w:p w14:paraId="39BEABBD" w14:textId="77777777" w:rsidR="002E2896" w:rsidRPr="002E2896" w:rsidRDefault="002E2896" w:rsidP="00750180">
      <w:pPr>
        <w:numPr>
          <w:ilvl w:val="0"/>
          <w:numId w:val="86"/>
        </w:numPr>
        <w:spacing w:after="0" w:line="240" w:lineRule="auto"/>
        <w:ind w:left="567" w:hanging="283"/>
        <w:jc w:val="both"/>
        <w:rPr>
          <w:lang w:val="en-ZA" w:eastAsia="en-ZA"/>
        </w:rPr>
      </w:pPr>
      <w:r w:rsidRPr="002E2896">
        <w:rPr>
          <w:lang w:val="en-ZA" w:eastAsia="en-ZA"/>
        </w:rPr>
        <w:t xml:space="preserve">Councillor M H Qwabe – ANC </w:t>
      </w:r>
    </w:p>
    <w:p w14:paraId="62CF426E" w14:textId="77777777" w:rsidR="002E2896" w:rsidRPr="002E2896" w:rsidRDefault="002E2896" w:rsidP="00750180">
      <w:pPr>
        <w:numPr>
          <w:ilvl w:val="0"/>
          <w:numId w:val="86"/>
        </w:numPr>
        <w:spacing w:after="0" w:line="240" w:lineRule="auto"/>
        <w:ind w:left="567" w:hanging="283"/>
        <w:jc w:val="both"/>
        <w:rPr>
          <w:lang w:val="en-ZA" w:eastAsia="en-ZA"/>
        </w:rPr>
      </w:pPr>
      <w:r w:rsidRPr="002E2896">
        <w:rPr>
          <w:lang w:val="en-ZA" w:eastAsia="en-ZA"/>
        </w:rPr>
        <w:t>Alderman S B Larkan - IFP</w:t>
      </w:r>
    </w:p>
    <w:p w14:paraId="44346ED2" w14:textId="77777777" w:rsidR="002E2896" w:rsidRPr="002E2896" w:rsidRDefault="002E2896" w:rsidP="00750180">
      <w:pPr>
        <w:numPr>
          <w:ilvl w:val="0"/>
          <w:numId w:val="86"/>
        </w:numPr>
        <w:spacing w:after="0" w:line="240" w:lineRule="auto"/>
        <w:ind w:left="567" w:hanging="283"/>
        <w:jc w:val="both"/>
        <w:rPr>
          <w:lang w:val="en-ZA" w:eastAsia="en-ZA"/>
        </w:rPr>
      </w:pPr>
      <w:r w:rsidRPr="002E2896">
        <w:rPr>
          <w:lang w:val="en-ZA" w:eastAsia="en-ZA"/>
        </w:rPr>
        <w:t>Councillor Q T Xulu - IFP</w:t>
      </w:r>
    </w:p>
    <w:p w14:paraId="2A8C479B" w14:textId="77777777" w:rsidR="002E2896" w:rsidRPr="002E2896" w:rsidRDefault="002E2896" w:rsidP="00750180">
      <w:pPr>
        <w:numPr>
          <w:ilvl w:val="0"/>
          <w:numId w:val="86"/>
        </w:numPr>
        <w:spacing w:after="0" w:line="240" w:lineRule="auto"/>
        <w:ind w:left="567" w:hanging="283"/>
        <w:jc w:val="both"/>
        <w:rPr>
          <w:lang w:val="en-ZA" w:eastAsia="en-ZA"/>
        </w:rPr>
      </w:pPr>
      <w:r w:rsidRPr="002E2896">
        <w:rPr>
          <w:lang w:val="en-ZA" w:eastAsia="en-ZA"/>
        </w:rPr>
        <w:t>Councillor J K Powell – IFP</w:t>
      </w:r>
    </w:p>
    <w:p w14:paraId="62A3CC90" w14:textId="77777777" w:rsidR="002E2896" w:rsidRPr="002E2896" w:rsidRDefault="002E2896" w:rsidP="00750180">
      <w:pPr>
        <w:numPr>
          <w:ilvl w:val="0"/>
          <w:numId w:val="86"/>
        </w:numPr>
        <w:spacing w:after="0" w:line="240" w:lineRule="auto"/>
        <w:ind w:left="567" w:hanging="283"/>
        <w:jc w:val="both"/>
        <w:rPr>
          <w:lang w:val="en-ZA" w:eastAsia="en-ZA"/>
        </w:rPr>
      </w:pPr>
      <w:r w:rsidRPr="002E2896">
        <w:rPr>
          <w:lang w:val="en-ZA" w:eastAsia="en-ZA"/>
        </w:rPr>
        <w:t>Councillor N L Ngidi – IFP</w:t>
      </w:r>
    </w:p>
    <w:p w14:paraId="40EBA68D" w14:textId="77777777" w:rsidR="00F36672" w:rsidRPr="00E66595" w:rsidRDefault="00F36672" w:rsidP="00750180">
      <w:pPr>
        <w:pStyle w:val="Heading4"/>
        <w:numPr>
          <w:ilvl w:val="3"/>
          <w:numId w:val="127"/>
        </w:numPr>
      </w:pPr>
      <w:r w:rsidRPr="00E66595">
        <w:t>Section 79 Committees</w:t>
      </w:r>
    </w:p>
    <w:p w14:paraId="2B613AD4" w14:textId="77777777" w:rsidR="002C35D0" w:rsidRPr="00BB6855" w:rsidRDefault="002C35D0" w:rsidP="00750180">
      <w:pPr>
        <w:pStyle w:val="Heading5"/>
        <w:numPr>
          <w:ilvl w:val="4"/>
          <w:numId w:val="127"/>
        </w:numPr>
        <w:spacing w:after="240"/>
        <w:rPr>
          <w:rFonts w:eastAsia="Times New Roman"/>
          <w:lang w:val="en-ZA" w:eastAsia="en-ZA"/>
        </w:rPr>
      </w:pPr>
      <w:r w:rsidRPr="00BB6855">
        <w:rPr>
          <w:rFonts w:eastAsia="Times New Roman"/>
          <w:lang w:val="en-ZA" w:eastAsia="en-ZA"/>
        </w:rPr>
        <w:t>The Audit and Performance Audit Committee</w:t>
      </w:r>
    </w:p>
    <w:p w14:paraId="4C1A950E" w14:textId="77777777" w:rsidR="002E2896" w:rsidRPr="002E2896" w:rsidRDefault="002E2896" w:rsidP="002E2896">
      <w:pPr>
        <w:jc w:val="both"/>
        <w:rPr>
          <w:rFonts w:eastAsia="Times New Roman" w:cs="Times New Roman"/>
          <w:color w:val="000000"/>
          <w:szCs w:val="20"/>
          <w:lang w:val="en-ZA" w:eastAsia="en-ZA"/>
        </w:rPr>
      </w:pPr>
      <w:r>
        <w:rPr>
          <w:rFonts w:eastAsia="Times New Roman" w:cs="Times New Roman"/>
          <w:color w:val="000000"/>
          <w:szCs w:val="20"/>
          <w:lang w:val="en-ZA" w:eastAsia="en-ZA"/>
        </w:rPr>
        <w:t>T</w:t>
      </w:r>
      <w:r w:rsidRPr="002E2896">
        <w:rPr>
          <w:rFonts w:eastAsia="Times New Roman" w:cs="Times New Roman"/>
          <w:color w:val="000000"/>
          <w:szCs w:val="20"/>
          <w:lang w:val="en-ZA" w:eastAsia="en-ZA"/>
        </w:rPr>
        <w:t>he appointment of the foll</w:t>
      </w:r>
      <w:r>
        <w:rPr>
          <w:rFonts w:eastAsia="Times New Roman" w:cs="Times New Roman"/>
          <w:color w:val="000000"/>
          <w:szCs w:val="20"/>
          <w:lang w:val="en-ZA" w:eastAsia="en-ZA"/>
        </w:rPr>
        <w:t xml:space="preserve">owing Audit Committee members were extended </w:t>
      </w:r>
      <w:r w:rsidRPr="002E2896">
        <w:rPr>
          <w:rFonts w:eastAsia="Times New Roman" w:cs="Times New Roman"/>
          <w:color w:val="000000"/>
          <w:szCs w:val="20"/>
          <w:lang w:val="en-ZA" w:eastAsia="en-ZA"/>
        </w:rPr>
        <w:t>from the end of the previous Council’s term until 31 August 2016, it being noted that due to continuity they are required to attend the Audit and Performance Audit Committee meeting scheduled for 30 August 2016 to consider the draft Annual Financial Statements, Draft Annual Performance Report:-</w:t>
      </w:r>
    </w:p>
    <w:p w14:paraId="32D52336" w14:textId="77777777" w:rsidR="002E2896" w:rsidRPr="002E2896" w:rsidRDefault="002E2896" w:rsidP="002E2896">
      <w:pPr>
        <w:spacing w:after="0"/>
        <w:rPr>
          <w:rFonts w:eastAsia="Times New Roman" w:cs="Times New Roman"/>
          <w:color w:val="000000"/>
          <w:szCs w:val="20"/>
          <w:lang w:val="en-ZA" w:eastAsia="en-ZA"/>
        </w:rPr>
      </w:pPr>
      <w:r w:rsidRPr="002E2896">
        <w:rPr>
          <w:rFonts w:eastAsia="Times New Roman" w:cs="Times New Roman"/>
          <w:color w:val="000000"/>
          <w:szCs w:val="20"/>
          <w:lang w:val="en-ZA" w:eastAsia="en-ZA"/>
        </w:rPr>
        <w:t>1. Mr D Bosch</w:t>
      </w:r>
    </w:p>
    <w:p w14:paraId="35B4A263" w14:textId="77777777" w:rsidR="002E2896" w:rsidRPr="002E2896" w:rsidRDefault="002E2896" w:rsidP="002E2896">
      <w:pPr>
        <w:spacing w:after="0"/>
        <w:rPr>
          <w:rFonts w:eastAsia="Times New Roman" w:cs="Times New Roman"/>
          <w:color w:val="000000"/>
          <w:szCs w:val="20"/>
          <w:lang w:val="en-ZA" w:eastAsia="en-ZA"/>
        </w:rPr>
      </w:pPr>
      <w:r w:rsidRPr="002E2896">
        <w:rPr>
          <w:rFonts w:eastAsia="Times New Roman" w:cs="Times New Roman"/>
          <w:color w:val="000000"/>
          <w:szCs w:val="20"/>
          <w:lang w:val="en-ZA" w:eastAsia="en-ZA"/>
        </w:rPr>
        <w:t>2. Mr Z Zulu</w:t>
      </w:r>
    </w:p>
    <w:p w14:paraId="6DC68CA6" w14:textId="77777777" w:rsidR="00F36672" w:rsidRDefault="002E2896" w:rsidP="002E2896">
      <w:pPr>
        <w:spacing w:after="0"/>
        <w:rPr>
          <w:rFonts w:eastAsia="Times New Roman" w:cs="Times New Roman"/>
          <w:color w:val="000000"/>
          <w:szCs w:val="20"/>
          <w:lang w:val="en-ZA" w:eastAsia="en-ZA"/>
        </w:rPr>
      </w:pPr>
      <w:r w:rsidRPr="002E2896">
        <w:rPr>
          <w:rFonts w:eastAsia="Times New Roman" w:cs="Times New Roman"/>
          <w:color w:val="000000"/>
          <w:szCs w:val="20"/>
          <w:lang w:val="en-ZA" w:eastAsia="en-ZA"/>
        </w:rPr>
        <w:t>3. Mr M Dlamini</w:t>
      </w:r>
    </w:p>
    <w:p w14:paraId="750EB097" w14:textId="77777777" w:rsidR="00F36672" w:rsidRDefault="00F36672" w:rsidP="002E2896">
      <w:pPr>
        <w:spacing w:after="0"/>
        <w:rPr>
          <w:rFonts w:eastAsia="Times New Roman" w:cs="Times New Roman"/>
          <w:color w:val="000000"/>
          <w:szCs w:val="20"/>
          <w:lang w:val="en-ZA" w:eastAsia="en-ZA"/>
        </w:rPr>
      </w:pPr>
      <w:r>
        <w:rPr>
          <w:rFonts w:eastAsia="Times New Roman" w:cs="Times New Roman"/>
          <w:color w:val="000000"/>
          <w:szCs w:val="20"/>
          <w:lang w:val="en-ZA" w:eastAsia="en-ZA"/>
        </w:rPr>
        <w:t>4. Ms N Mchunu</w:t>
      </w:r>
    </w:p>
    <w:p w14:paraId="4F998D76" w14:textId="77777777" w:rsidR="00F36672" w:rsidRDefault="00F36672" w:rsidP="002E2896">
      <w:pPr>
        <w:spacing w:after="0"/>
        <w:rPr>
          <w:rFonts w:eastAsia="Times New Roman" w:cs="Times New Roman"/>
          <w:color w:val="000000"/>
          <w:szCs w:val="20"/>
          <w:lang w:val="en-ZA" w:eastAsia="en-ZA"/>
        </w:rPr>
      </w:pPr>
      <w:r>
        <w:rPr>
          <w:rFonts w:eastAsia="Times New Roman" w:cs="Times New Roman"/>
          <w:color w:val="000000"/>
          <w:szCs w:val="20"/>
          <w:lang w:val="en-ZA" w:eastAsia="en-ZA"/>
        </w:rPr>
        <w:t>5. Mr D Langa</w:t>
      </w:r>
    </w:p>
    <w:p w14:paraId="50D4C467" w14:textId="77777777" w:rsidR="0016169B" w:rsidRPr="00314A49" w:rsidRDefault="0016169B" w:rsidP="002C35D0">
      <w:pPr>
        <w:autoSpaceDE w:val="0"/>
        <w:autoSpaceDN w:val="0"/>
        <w:adjustRightInd w:val="0"/>
        <w:spacing w:after="0" w:line="240" w:lineRule="auto"/>
        <w:jc w:val="both"/>
        <w:rPr>
          <w:rFonts w:eastAsia="Times New Roman" w:cs="Calibri"/>
          <w:color w:val="000000"/>
          <w:lang w:val="en-ZA" w:eastAsia="en-ZA"/>
        </w:rPr>
      </w:pPr>
    </w:p>
    <w:p w14:paraId="0D7F89C6" w14:textId="77777777" w:rsidR="002C35D0" w:rsidRDefault="002C35D0" w:rsidP="00BA4784">
      <w:pPr>
        <w:autoSpaceDE w:val="0"/>
        <w:autoSpaceDN w:val="0"/>
        <w:adjustRightInd w:val="0"/>
        <w:spacing w:after="0" w:line="240" w:lineRule="auto"/>
        <w:jc w:val="both"/>
        <w:rPr>
          <w:rFonts w:eastAsia="Times New Roman" w:cs="Calibri"/>
          <w:color w:val="000000"/>
          <w:lang w:val="en-ZA" w:eastAsia="en-ZA"/>
        </w:rPr>
      </w:pPr>
      <w:r w:rsidRPr="00314A49">
        <w:rPr>
          <w:rFonts w:eastAsia="Times New Roman" w:cs="Calibri"/>
          <w:color w:val="000000"/>
          <w:lang w:val="en-ZA" w:eastAsia="en-ZA"/>
        </w:rPr>
        <w:t>The Committee members are remunerated for preparation and attendance of meetings in line with the National Treasury Regulation that regulate the remuneration of commission and committee and were reimbursed for expenses incurred for atten</w:t>
      </w:r>
      <w:r w:rsidR="00BA4784">
        <w:rPr>
          <w:rFonts w:eastAsia="Times New Roman" w:cs="Calibri"/>
          <w:color w:val="000000"/>
          <w:lang w:val="en-ZA" w:eastAsia="en-ZA"/>
        </w:rPr>
        <w:t>ding audit committee meetings.</w:t>
      </w:r>
    </w:p>
    <w:p w14:paraId="70D5290C" w14:textId="77777777" w:rsidR="002C35D0" w:rsidRPr="00BB6855" w:rsidRDefault="00896DF5" w:rsidP="00750180">
      <w:pPr>
        <w:pStyle w:val="Heading5"/>
        <w:numPr>
          <w:ilvl w:val="4"/>
          <w:numId w:val="127"/>
        </w:numPr>
        <w:spacing w:after="240"/>
        <w:rPr>
          <w:rFonts w:eastAsia="Times New Roman"/>
          <w:lang w:val="en-ZA" w:eastAsia="en-ZA"/>
        </w:rPr>
      </w:pPr>
      <w:r w:rsidRPr="00BB6855">
        <w:rPr>
          <w:rFonts w:eastAsia="Times New Roman"/>
          <w:lang w:val="en-ZA" w:eastAsia="en-ZA"/>
        </w:rPr>
        <w:t>Municipal Public Accounts Committee</w:t>
      </w:r>
    </w:p>
    <w:p w14:paraId="3C94B36F" w14:textId="77777777" w:rsidR="002C35D0" w:rsidRPr="00314A49" w:rsidRDefault="002C35D0" w:rsidP="002C35D0">
      <w:pPr>
        <w:autoSpaceDE w:val="0"/>
        <w:autoSpaceDN w:val="0"/>
        <w:adjustRightInd w:val="0"/>
        <w:spacing w:after="0" w:line="240" w:lineRule="auto"/>
        <w:jc w:val="both"/>
        <w:rPr>
          <w:rFonts w:eastAsia="Calibri" w:cs="Arial"/>
          <w:lang w:val="en-ZA"/>
        </w:rPr>
      </w:pPr>
      <w:r w:rsidRPr="00314A49">
        <w:rPr>
          <w:rFonts w:eastAsia="Calibri" w:cs="Arial"/>
          <w:lang w:val="en-ZA"/>
        </w:rPr>
        <w:t>Guidelines for the Establishment of Municipal Public Accounts Committees were issued jointly by</w:t>
      </w:r>
    </w:p>
    <w:p w14:paraId="2FB48FC1" w14:textId="77777777" w:rsidR="002C35D0" w:rsidRPr="00314A49" w:rsidRDefault="002C35D0" w:rsidP="002C35D0">
      <w:pPr>
        <w:autoSpaceDE w:val="0"/>
        <w:autoSpaceDN w:val="0"/>
        <w:adjustRightInd w:val="0"/>
        <w:spacing w:after="0" w:line="240" w:lineRule="auto"/>
        <w:jc w:val="both"/>
        <w:rPr>
          <w:rFonts w:eastAsia="Calibri" w:cs="Arial"/>
          <w:lang w:val="en-ZA"/>
        </w:rPr>
      </w:pPr>
      <w:r w:rsidRPr="00314A49">
        <w:rPr>
          <w:rFonts w:eastAsia="Calibri" w:cs="Arial"/>
          <w:lang w:val="en-ZA"/>
        </w:rPr>
        <w:t>Cooperative Governance and Traditional Affairs and National Treasury Departments during August 2011.</w:t>
      </w:r>
    </w:p>
    <w:p w14:paraId="3CFB9E34" w14:textId="77777777" w:rsidR="002C35D0" w:rsidRPr="00314A49" w:rsidRDefault="002C35D0" w:rsidP="002C35D0">
      <w:pPr>
        <w:autoSpaceDE w:val="0"/>
        <w:autoSpaceDN w:val="0"/>
        <w:adjustRightInd w:val="0"/>
        <w:spacing w:after="0" w:line="240" w:lineRule="auto"/>
        <w:jc w:val="both"/>
        <w:rPr>
          <w:rFonts w:eastAsia="Calibri" w:cs="Arial"/>
          <w:lang w:val="en-ZA"/>
        </w:rPr>
      </w:pPr>
    </w:p>
    <w:p w14:paraId="1BF1087C" w14:textId="77777777" w:rsidR="002C35D0" w:rsidRPr="00314A49" w:rsidRDefault="002C35D0" w:rsidP="002C35D0">
      <w:pPr>
        <w:autoSpaceDE w:val="0"/>
        <w:autoSpaceDN w:val="0"/>
        <w:adjustRightInd w:val="0"/>
        <w:spacing w:after="0" w:line="240" w:lineRule="auto"/>
        <w:jc w:val="both"/>
        <w:rPr>
          <w:rFonts w:eastAsia="Calibri" w:cs="Arial"/>
          <w:lang w:val="en-ZA"/>
        </w:rPr>
      </w:pPr>
      <w:r w:rsidRPr="00314A49">
        <w:rPr>
          <w:rFonts w:eastAsia="Calibri" w:cs="Arial"/>
          <w:lang w:val="en-ZA"/>
        </w:rPr>
        <w:t>The MPAC may engage directly with the public and consider public comments when received and will be entitled to request for documents or evidence from the Accounting Officer of a municipality or municipal entity.</w:t>
      </w:r>
    </w:p>
    <w:p w14:paraId="08DF3D7D" w14:textId="77777777" w:rsidR="002C35D0" w:rsidRPr="00314A49" w:rsidRDefault="002C35D0" w:rsidP="002C35D0">
      <w:pPr>
        <w:autoSpaceDE w:val="0"/>
        <w:autoSpaceDN w:val="0"/>
        <w:adjustRightInd w:val="0"/>
        <w:spacing w:after="0" w:line="240" w:lineRule="auto"/>
        <w:jc w:val="both"/>
        <w:rPr>
          <w:rFonts w:eastAsia="Calibri" w:cs="Arial"/>
          <w:lang w:val="en-ZA"/>
        </w:rPr>
      </w:pPr>
    </w:p>
    <w:p w14:paraId="77469FFA" w14:textId="77777777" w:rsidR="002C35D0" w:rsidRPr="00314A49" w:rsidRDefault="002C35D0" w:rsidP="002C35D0">
      <w:pPr>
        <w:autoSpaceDE w:val="0"/>
        <w:autoSpaceDN w:val="0"/>
        <w:adjustRightInd w:val="0"/>
        <w:spacing w:after="0" w:line="240" w:lineRule="auto"/>
        <w:jc w:val="both"/>
        <w:rPr>
          <w:rFonts w:eastAsia="Calibri" w:cs="Arial"/>
          <w:lang w:val="en-ZA"/>
        </w:rPr>
      </w:pPr>
      <w:r w:rsidRPr="00314A49">
        <w:rPr>
          <w:rFonts w:eastAsia="Calibri" w:cs="Arial"/>
          <w:lang w:val="en-ZA"/>
        </w:rPr>
        <w:t>The primary functions of the Municipal Public Accounts Committees are as follows:</w:t>
      </w:r>
    </w:p>
    <w:p w14:paraId="6B74232B" w14:textId="77777777" w:rsidR="002C35D0" w:rsidRPr="00314A49" w:rsidRDefault="002C35D0" w:rsidP="002C35D0">
      <w:pPr>
        <w:autoSpaceDE w:val="0"/>
        <w:autoSpaceDN w:val="0"/>
        <w:adjustRightInd w:val="0"/>
        <w:spacing w:after="0" w:line="240" w:lineRule="auto"/>
        <w:jc w:val="both"/>
        <w:rPr>
          <w:rFonts w:eastAsia="Calibri" w:cs="Arial"/>
          <w:lang w:val="en-ZA"/>
        </w:rPr>
      </w:pPr>
    </w:p>
    <w:p w14:paraId="61761172" w14:textId="77777777" w:rsidR="002C35D0" w:rsidRPr="00314A49" w:rsidRDefault="002C35D0" w:rsidP="00750180">
      <w:pPr>
        <w:numPr>
          <w:ilvl w:val="0"/>
          <w:numId w:val="34"/>
        </w:numPr>
        <w:autoSpaceDE w:val="0"/>
        <w:autoSpaceDN w:val="0"/>
        <w:adjustRightInd w:val="0"/>
        <w:spacing w:after="0" w:line="240" w:lineRule="auto"/>
        <w:contextualSpacing/>
        <w:jc w:val="both"/>
        <w:rPr>
          <w:rFonts w:eastAsia="Calibri" w:cs="Arial"/>
          <w:lang w:val="en-ZA"/>
        </w:rPr>
      </w:pPr>
      <w:r w:rsidRPr="00314A49">
        <w:rPr>
          <w:rFonts w:eastAsia="Calibri" w:cs="Arial"/>
          <w:lang w:val="en-ZA"/>
        </w:rPr>
        <w:t>To consider and evaluate the content of the Annual Report and to make recommendations to Council when adopting an oversight report on the Annual Report;</w:t>
      </w:r>
    </w:p>
    <w:p w14:paraId="098820C1" w14:textId="77777777" w:rsidR="002C35D0" w:rsidRPr="00314A49" w:rsidRDefault="002C35D0" w:rsidP="00750180">
      <w:pPr>
        <w:numPr>
          <w:ilvl w:val="0"/>
          <w:numId w:val="34"/>
        </w:numPr>
        <w:autoSpaceDE w:val="0"/>
        <w:autoSpaceDN w:val="0"/>
        <w:adjustRightInd w:val="0"/>
        <w:spacing w:after="0" w:line="240" w:lineRule="auto"/>
        <w:contextualSpacing/>
        <w:jc w:val="both"/>
        <w:rPr>
          <w:rFonts w:eastAsia="Calibri" w:cs="Arial"/>
          <w:lang w:val="en-ZA"/>
        </w:rPr>
      </w:pPr>
      <w:r w:rsidRPr="00314A49">
        <w:rPr>
          <w:rFonts w:eastAsia="Calibri" w:cs="Arial"/>
          <w:lang w:val="en-ZA"/>
        </w:rPr>
        <w:t>In order to assist with the conclusion of matters that may not be finalised, information relating to past recommendations made on the Annual Report, must also be reviewed. This relates to current in-year reports, including the quarterly, mid-year and Annual Reports;</w:t>
      </w:r>
    </w:p>
    <w:p w14:paraId="465D3387" w14:textId="77777777" w:rsidR="002C35D0" w:rsidRPr="00314A49" w:rsidRDefault="002C35D0" w:rsidP="00750180">
      <w:pPr>
        <w:numPr>
          <w:ilvl w:val="0"/>
          <w:numId w:val="34"/>
        </w:numPr>
        <w:autoSpaceDE w:val="0"/>
        <w:autoSpaceDN w:val="0"/>
        <w:adjustRightInd w:val="0"/>
        <w:spacing w:after="0" w:line="240" w:lineRule="auto"/>
        <w:contextualSpacing/>
        <w:jc w:val="both"/>
        <w:rPr>
          <w:rFonts w:eastAsia="Calibri" w:cs="Arial"/>
          <w:lang w:val="en-ZA"/>
        </w:rPr>
      </w:pPr>
      <w:r w:rsidRPr="00314A49">
        <w:rPr>
          <w:rFonts w:eastAsia="Calibri" w:cs="Arial"/>
          <w:lang w:val="en-ZA"/>
        </w:rPr>
        <w:t>To examine the financial statements and audit reports of the municipality and municipal entities, and in doing so, the committee must consider improvements from previous statements and reports and must evaluate the extent to which the Audit Committee’s and the Auditor General’s recommendations have been implemented;</w:t>
      </w:r>
    </w:p>
    <w:p w14:paraId="008E8A5A" w14:textId="77777777" w:rsidR="002C35D0" w:rsidRPr="00314A49" w:rsidRDefault="002C35D0" w:rsidP="00750180">
      <w:pPr>
        <w:numPr>
          <w:ilvl w:val="0"/>
          <w:numId w:val="34"/>
        </w:numPr>
        <w:autoSpaceDE w:val="0"/>
        <w:autoSpaceDN w:val="0"/>
        <w:adjustRightInd w:val="0"/>
        <w:spacing w:after="0" w:line="240" w:lineRule="auto"/>
        <w:contextualSpacing/>
        <w:jc w:val="both"/>
        <w:rPr>
          <w:rFonts w:eastAsia="Calibri" w:cs="Arial"/>
          <w:lang w:val="en-ZA"/>
        </w:rPr>
      </w:pPr>
      <w:r w:rsidRPr="00314A49">
        <w:rPr>
          <w:rFonts w:eastAsia="Calibri" w:cs="Arial"/>
          <w:lang w:val="en-ZA"/>
        </w:rPr>
        <w:t>To promote good governance, transparency and accountability on the use of municipal resources;</w:t>
      </w:r>
    </w:p>
    <w:p w14:paraId="775E5D08" w14:textId="77777777" w:rsidR="002C35D0" w:rsidRPr="00314A49" w:rsidRDefault="002C35D0" w:rsidP="00750180">
      <w:pPr>
        <w:numPr>
          <w:ilvl w:val="0"/>
          <w:numId w:val="34"/>
        </w:numPr>
        <w:autoSpaceDE w:val="0"/>
        <w:autoSpaceDN w:val="0"/>
        <w:adjustRightInd w:val="0"/>
        <w:spacing w:after="0" w:line="240" w:lineRule="auto"/>
        <w:contextualSpacing/>
        <w:jc w:val="both"/>
        <w:rPr>
          <w:rFonts w:eastAsia="Calibri" w:cs="Arial"/>
          <w:lang w:val="en-ZA"/>
        </w:rPr>
      </w:pPr>
      <w:r w:rsidRPr="00314A49">
        <w:rPr>
          <w:rFonts w:eastAsia="Calibri" w:cs="Arial"/>
          <w:lang w:val="en-ZA"/>
        </w:rPr>
        <w:t>To recommend or undertake any investigation in its area of responsibility, after reviewing any investigation report already undertaken by the municipality or the Audit Committee; and</w:t>
      </w:r>
    </w:p>
    <w:p w14:paraId="7A2400E7" w14:textId="77777777" w:rsidR="002C35D0" w:rsidRPr="00314A49" w:rsidRDefault="002C35D0" w:rsidP="00750180">
      <w:pPr>
        <w:numPr>
          <w:ilvl w:val="0"/>
          <w:numId w:val="34"/>
        </w:numPr>
        <w:autoSpaceDE w:val="0"/>
        <w:autoSpaceDN w:val="0"/>
        <w:adjustRightInd w:val="0"/>
        <w:spacing w:after="0" w:line="240" w:lineRule="auto"/>
        <w:contextualSpacing/>
        <w:jc w:val="both"/>
        <w:rPr>
          <w:rFonts w:eastAsia="Calibri" w:cs="Arial"/>
          <w:lang w:val="en-ZA"/>
        </w:rPr>
      </w:pPr>
      <w:r w:rsidRPr="00314A49">
        <w:rPr>
          <w:rFonts w:eastAsia="Calibri" w:cs="Arial"/>
          <w:lang w:val="en-ZA"/>
        </w:rPr>
        <w:t>To perform any other functions assigned to it through a resolution of Council within its area of responsibility.</w:t>
      </w:r>
    </w:p>
    <w:p w14:paraId="5243932E" w14:textId="77777777" w:rsidR="002C35D0" w:rsidRPr="00314A49" w:rsidRDefault="002C35D0" w:rsidP="00750180">
      <w:pPr>
        <w:numPr>
          <w:ilvl w:val="0"/>
          <w:numId w:val="34"/>
        </w:numPr>
        <w:autoSpaceDE w:val="0"/>
        <w:autoSpaceDN w:val="0"/>
        <w:adjustRightInd w:val="0"/>
        <w:spacing w:after="0" w:line="240" w:lineRule="auto"/>
        <w:contextualSpacing/>
        <w:jc w:val="both"/>
        <w:rPr>
          <w:rFonts w:eastAsia="Calibri" w:cs="Arial"/>
          <w:lang w:val="en-ZA"/>
        </w:rPr>
      </w:pPr>
      <w:r w:rsidRPr="00314A49">
        <w:rPr>
          <w:rFonts w:eastAsia="Calibri" w:cs="Arial"/>
          <w:lang w:val="en-ZA"/>
        </w:rPr>
        <w:t>The MPAC reports to Council, at least quarterly, on the activities of the Committee which will include a report detailing its activities of the preceding and current financial years, the number of meetings held, the membership of the committee and key resolutions taken in the annual report.</w:t>
      </w:r>
    </w:p>
    <w:p w14:paraId="05722FE5" w14:textId="77777777" w:rsidR="002C35D0" w:rsidRPr="007A5075" w:rsidRDefault="002C35D0" w:rsidP="00750180">
      <w:pPr>
        <w:numPr>
          <w:ilvl w:val="0"/>
          <w:numId w:val="34"/>
        </w:numPr>
        <w:autoSpaceDE w:val="0"/>
        <w:autoSpaceDN w:val="0"/>
        <w:adjustRightInd w:val="0"/>
        <w:spacing w:after="0" w:line="240" w:lineRule="auto"/>
        <w:contextualSpacing/>
        <w:jc w:val="both"/>
        <w:rPr>
          <w:rFonts w:eastAsia="Times New Roman" w:cs="Times New Roman"/>
          <w:lang w:val="en-ZA" w:eastAsia="en-ZA"/>
        </w:rPr>
      </w:pPr>
      <w:r w:rsidRPr="00314A49">
        <w:rPr>
          <w:rFonts w:eastAsia="Calibri" w:cs="Arial"/>
          <w:lang w:val="en-ZA"/>
        </w:rPr>
        <w:t>Municipal Public Accounts Committee (MPAC) is established instead of the Standing Committee on Public Accounts (SCOPA).</w:t>
      </w:r>
    </w:p>
    <w:p w14:paraId="08A4120D" w14:textId="77777777" w:rsidR="007A5075" w:rsidRDefault="007A5075" w:rsidP="007A5075">
      <w:pPr>
        <w:autoSpaceDE w:val="0"/>
        <w:autoSpaceDN w:val="0"/>
        <w:adjustRightInd w:val="0"/>
        <w:spacing w:after="0" w:line="240" w:lineRule="auto"/>
        <w:contextualSpacing/>
        <w:jc w:val="both"/>
        <w:rPr>
          <w:rFonts w:eastAsia="Calibri" w:cs="Arial"/>
          <w:lang w:val="en-ZA"/>
        </w:rPr>
      </w:pPr>
    </w:p>
    <w:p w14:paraId="1955367F" w14:textId="77777777" w:rsidR="007A5075" w:rsidRDefault="007A5075" w:rsidP="007A5075">
      <w:pPr>
        <w:autoSpaceDE w:val="0"/>
        <w:autoSpaceDN w:val="0"/>
        <w:adjustRightInd w:val="0"/>
        <w:spacing w:after="0" w:line="240" w:lineRule="auto"/>
        <w:contextualSpacing/>
        <w:jc w:val="both"/>
        <w:rPr>
          <w:rFonts w:eastAsia="Calibri" w:cs="Arial"/>
          <w:lang w:val="en-ZA"/>
        </w:rPr>
      </w:pPr>
      <w:r>
        <w:rPr>
          <w:rFonts w:eastAsia="Calibri" w:cs="Arial"/>
          <w:lang w:val="en-ZA"/>
        </w:rPr>
        <w:t>The structural composition of the committee is as follows;</w:t>
      </w:r>
    </w:p>
    <w:p w14:paraId="75185B55" w14:textId="77777777" w:rsidR="002E2896" w:rsidRDefault="002E2896" w:rsidP="007A5075">
      <w:pPr>
        <w:autoSpaceDE w:val="0"/>
        <w:autoSpaceDN w:val="0"/>
        <w:adjustRightInd w:val="0"/>
        <w:spacing w:after="0" w:line="240" w:lineRule="auto"/>
        <w:contextualSpacing/>
        <w:jc w:val="both"/>
        <w:rPr>
          <w:rFonts w:eastAsia="Calibri" w:cs="Arial"/>
          <w:lang w:val="en-ZA"/>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8"/>
        <w:gridCol w:w="4730"/>
        <w:gridCol w:w="3159"/>
      </w:tblGrid>
      <w:tr w:rsidR="002E2896" w:rsidRPr="002E2896" w14:paraId="159255B5" w14:textId="77777777" w:rsidTr="002E2896">
        <w:trPr>
          <w:trHeight w:val="256"/>
        </w:trPr>
        <w:tc>
          <w:tcPr>
            <w:tcW w:w="8697" w:type="dxa"/>
            <w:gridSpan w:val="3"/>
            <w:shd w:val="clear" w:color="auto" w:fill="auto"/>
          </w:tcPr>
          <w:p w14:paraId="4274CABC" w14:textId="77777777" w:rsidR="002E2896" w:rsidRPr="002E2896" w:rsidRDefault="002E2896" w:rsidP="00DE78EC">
            <w:pPr>
              <w:tabs>
                <w:tab w:val="left" w:pos="993"/>
              </w:tabs>
              <w:spacing w:after="0" w:line="240" w:lineRule="auto"/>
              <w:jc w:val="center"/>
              <w:rPr>
                <w:rFonts w:eastAsia="Calibri" w:cs="Arial"/>
                <w:lang w:val="en-ZA"/>
              </w:rPr>
            </w:pPr>
            <w:r w:rsidRPr="002E2896">
              <w:rPr>
                <w:rFonts w:eastAsia="Calibri" w:cs="Arial"/>
                <w:lang w:val="en-ZA"/>
              </w:rPr>
              <w:t>Municipal Public Accounts Committee (MPAC)</w:t>
            </w:r>
          </w:p>
        </w:tc>
      </w:tr>
      <w:tr w:rsidR="002E2896" w:rsidRPr="002E2896" w14:paraId="24127380" w14:textId="77777777" w:rsidTr="002E2896">
        <w:trPr>
          <w:trHeight w:val="256"/>
        </w:trPr>
        <w:tc>
          <w:tcPr>
            <w:tcW w:w="808" w:type="dxa"/>
            <w:shd w:val="clear" w:color="auto" w:fill="auto"/>
          </w:tcPr>
          <w:p w14:paraId="29EEB834" w14:textId="77777777" w:rsidR="002E2896" w:rsidRPr="002E2896" w:rsidRDefault="002E2896" w:rsidP="00DE78EC">
            <w:pPr>
              <w:tabs>
                <w:tab w:val="left" w:pos="993"/>
              </w:tabs>
              <w:spacing w:after="0" w:line="240" w:lineRule="auto"/>
              <w:jc w:val="both"/>
              <w:rPr>
                <w:rFonts w:eastAsia="Calibri" w:cs="Arial"/>
                <w:lang w:val="en-ZA"/>
              </w:rPr>
            </w:pPr>
            <w:r w:rsidRPr="002E2896">
              <w:rPr>
                <w:rFonts w:eastAsia="Calibri" w:cs="Arial"/>
                <w:lang w:val="en-ZA"/>
              </w:rPr>
              <w:t>No</w:t>
            </w:r>
          </w:p>
        </w:tc>
        <w:tc>
          <w:tcPr>
            <w:tcW w:w="4730" w:type="dxa"/>
            <w:shd w:val="clear" w:color="auto" w:fill="auto"/>
          </w:tcPr>
          <w:p w14:paraId="461D6640" w14:textId="77777777" w:rsidR="002E2896" w:rsidRPr="002E2896" w:rsidRDefault="002E2896" w:rsidP="00DE78EC">
            <w:pPr>
              <w:tabs>
                <w:tab w:val="left" w:pos="993"/>
              </w:tabs>
              <w:spacing w:after="0" w:line="240" w:lineRule="auto"/>
              <w:jc w:val="both"/>
              <w:rPr>
                <w:rFonts w:eastAsia="Calibri" w:cs="Arial"/>
                <w:lang w:val="en-ZA"/>
              </w:rPr>
            </w:pPr>
            <w:r w:rsidRPr="002E2896">
              <w:rPr>
                <w:rFonts w:eastAsia="Calibri" w:cs="Arial"/>
                <w:lang w:val="en-ZA"/>
              </w:rPr>
              <w:t>Councillor</w:t>
            </w:r>
          </w:p>
        </w:tc>
        <w:tc>
          <w:tcPr>
            <w:tcW w:w="3157" w:type="dxa"/>
            <w:shd w:val="clear" w:color="auto" w:fill="auto"/>
          </w:tcPr>
          <w:p w14:paraId="70E88A67" w14:textId="77777777" w:rsidR="002E2896" w:rsidRPr="002E2896" w:rsidRDefault="002E2896" w:rsidP="00DE78EC">
            <w:pPr>
              <w:tabs>
                <w:tab w:val="left" w:pos="993"/>
              </w:tabs>
              <w:spacing w:after="0" w:line="240" w:lineRule="auto"/>
              <w:jc w:val="both"/>
              <w:rPr>
                <w:rFonts w:eastAsia="Calibri" w:cs="Arial"/>
                <w:lang w:val="en-ZA"/>
              </w:rPr>
            </w:pPr>
            <w:r w:rsidRPr="002E2896">
              <w:rPr>
                <w:rFonts w:eastAsia="Calibri" w:cs="Arial"/>
                <w:lang w:val="en-ZA"/>
              </w:rPr>
              <w:t>Representing</w:t>
            </w:r>
          </w:p>
        </w:tc>
      </w:tr>
      <w:tr w:rsidR="002E2896" w:rsidRPr="002E2896" w14:paraId="122E4873" w14:textId="77777777" w:rsidTr="002E2896">
        <w:trPr>
          <w:trHeight w:val="256"/>
        </w:trPr>
        <w:tc>
          <w:tcPr>
            <w:tcW w:w="808" w:type="dxa"/>
            <w:shd w:val="clear" w:color="auto" w:fill="auto"/>
          </w:tcPr>
          <w:p w14:paraId="72E5C67F" w14:textId="77777777" w:rsidR="002E2896" w:rsidRPr="002E2896" w:rsidRDefault="002E2896" w:rsidP="00DE78EC">
            <w:pPr>
              <w:tabs>
                <w:tab w:val="left" w:pos="993"/>
              </w:tabs>
              <w:spacing w:after="0" w:line="240" w:lineRule="auto"/>
              <w:jc w:val="center"/>
              <w:rPr>
                <w:rFonts w:eastAsia="Calibri" w:cs="Arial"/>
                <w:lang w:val="en-ZA"/>
              </w:rPr>
            </w:pPr>
            <w:r w:rsidRPr="002E2896">
              <w:rPr>
                <w:rFonts w:eastAsia="Calibri" w:cs="Arial"/>
                <w:lang w:val="en-ZA"/>
              </w:rPr>
              <w:t>1</w:t>
            </w:r>
          </w:p>
        </w:tc>
        <w:tc>
          <w:tcPr>
            <w:tcW w:w="4730" w:type="dxa"/>
            <w:shd w:val="clear" w:color="auto" w:fill="auto"/>
          </w:tcPr>
          <w:p w14:paraId="73FCDD89" w14:textId="77777777" w:rsidR="002E2896" w:rsidRPr="002E2896" w:rsidRDefault="002E2896" w:rsidP="00DE78EC">
            <w:pPr>
              <w:tabs>
                <w:tab w:val="left" w:pos="993"/>
              </w:tabs>
              <w:spacing w:after="0" w:line="240" w:lineRule="auto"/>
              <w:jc w:val="both"/>
              <w:rPr>
                <w:rFonts w:eastAsia="Calibri" w:cs="Arial"/>
                <w:lang w:val="en-ZA"/>
              </w:rPr>
            </w:pPr>
            <w:r w:rsidRPr="002E2896">
              <w:rPr>
                <w:rFonts w:eastAsia="Calibri" w:cs="Arial"/>
                <w:lang w:val="en-ZA"/>
              </w:rPr>
              <w:t>M E Dlamini</w:t>
            </w:r>
          </w:p>
        </w:tc>
        <w:tc>
          <w:tcPr>
            <w:tcW w:w="3157" w:type="dxa"/>
            <w:shd w:val="clear" w:color="auto" w:fill="auto"/>
          </w:tcPr>
          <w:p w14:paraId="46CBC416" w14:textId="77777777" w:rsidR="002E2896" w:rsidRPr="002E2896" w:rsidRDefault="002E2896" w:rsidP="00DE78EC">
            <w:pPr>
              <w:tabs>
                <w:tab w:val="left" w:pos="993"/>
              </w:tabs>
              <w:spacing w:after="0" w:line="240" w:lineRule="auto"/>
              <w:jc w:val="both"/>
              <w:rPr>
                <w:rFonts w:eastAsia="Calibri" w:cs="Arial"/>
                <w:lang w:val="en-ZA"/>
              </w:rPr>
            </w:pPr>
            <w:r w:rsidRPr="002E2896">
              <w:rPr>
                <w:rFonts w:eastAsia="Calibri" w:cs="Arial"/>
                <w:lang w:val="en-ZA"/>
              </w:rPr>
              <w:t>ANC</w:t>
            </w:r>
          </w:p>
        </w:tc>
      </w:tr>
      <w:tr w:rsidR="002E2896" w:rsidRPr="002E2896" w14:paraId="39AD2AFC" w14:textId="77777777" w:rsidTr="002E2896">
        <w:trPr>
          <w:trHeight w:val="256"/>
        </w:trPr>
        <w:tc>
          <w:tcPr>
            <w:tcW w:w="808" w:type="dxa"/>
            <w:shd w:val="clear" w:color="auto" w:fill="auto"/>
          </w:tcPr>
          <w:p w14:paraId="149E300F" w14:textId="77777777" w:rsidR="002E2896" w:rsidRPr="002E2896" w:rsidRDefault="002E2896" w:rsidP="00DE78EC">
            <w:pPr>
              <w:tabs>
                <w:tab w:val="left" w:pos="993"/>
              </w:tabs>
              <w:spacing w:after="0" w:line="240" w:lineRule="auto"/>
              <w:jc w:val="center"/>
              <w:rPr>
                <w:rFonts w:eastAsia="Calibri" w:cs="Arial"/>
                <w:lang w:val="en-ZA"/>
              </w:rPr>
            </w:pPr>
            <w:r w:rsidRPr="002E2896">
              <w:rPr>
                <w:rFonts w:eastAsia="Calibri" w:cs="Arial"/>
                <w:lang w:val="en-ZA"/>
              </w:rPr>
              <w:t>2</w:t>
            </w:r>
          </w:p>
        </w:tc>
        <w:tc>
          <w:tcPr>
            <w:tcW w:w="4730" w:type="dxa"/>
            <w:shd w:val="clear" w:color="auto" w:fill="auto"/>
          </w:tcPr>
          <w:p w14:paraId="13A65F7B" w14:textId="77777777" w:rsidR="002E2896" w:rsidRPr="002E2896" w:rsidRDefault="002E2896" w:rsidP="00DE78EC">
            <w:pPr>
              <w:tabs>
                <w:tab w:val="left" w:pos="993"/>
              </w:tabs>
              <w:spacing w:after="0" w:line="240" w:lineRule="auto"/>
              <w:jc w:val="both"/>
              <w:rPr>
                <w:rFonts w:eastAsia="Calibri" w:cs="Arial"/>
                <w:lang w:val="en-ZA"/>
              </w:rPr>
            </w:pPr>
            <w:r w:rsidRPr="002E2896">
              <w:rPr>
                <w:rFonts w:eastAsia="Calibri" w:cs="Arial"/>
                <w:lang w:val="en-ZA"/>
              </w:rPr>
              <w:t>P T O Shange</w:t>
            </w:r>
          </w:p>
        </w:tc>
        <w:tc>
          <w:tcPr>
            <w:tcW w:w="3157" w:type="dxa"/>
            <w:shd w:val="clear" w:color="auto" w:fill="auto"/>
          </w:tcPr>
          <w:p w14:paraId="70A9B5B7" w14:textId="77777777" w:rsidR="002E2896" w:rsidRPr="002E2896" w:rsidRDefault="002E2896" w:rsidP="00DE78EC">
            <w:pPr>
              <w:spacing w:after="0" w:line="240" w:lineRule="auto"/>
              <w:jc w:val="both"/>
              <w:rPr>
                <w:rFonts w:eastAsia="Calibri" w:cs="Arial"/>
                <w:lang w:val="en-ZA"/>
              </w:rPr>
            </w:pPr>
            <w:r w:rsidRPr="002E2896">
              <w:rPr>
                <w:rFonts w:eastAsia="Calibri" w:cs="Arial"/>
                <w:lang w:val="en-ZA"/>
              </w:rPr>
              <w:t>ANC</w:t>
            </w:r>
          </w:p>
        </w:tc>
      </w:tr>
      <w:tr w:rsidR="002E2896" w:rsidRPr="002E2896" w14:paraId="6E260A8F" w14:textId="77777777" w:rsidTr="002E2896">
        <w:trPr>
          <w:trHeight w:val="256"/>
        </w:trPr>
        <w:tc>
          <w:tcPr>
            <w:tcW w:w="808" w:type="dxa"/>
            <w:shd w:val="clear" w:color="auto" w:fill="auto"/>
          </w:tcPr>
          <w:p w14:paraId="4356E8FA" w14:textId="77777777" w:rsidR="002E2896" w:rsidRPr="002E2896" w:rsidRDefault="002E2896" w:rsidP="00DE78EC">
            <w:pPr>
              <w:tabs>
                <w:tab w:val="left" w:pos="993"/>
              </w:tabs>
              <w:spacing w:after="0" w:line="240" w:lineRule="auto"/>
              <w:jc w:val="center"/>
              <w:rPr>
                <w:rFonts w:eastAsia="Calibri" w:cs="Arial"/>
                <w:lang w:val="en-ZA"/>
              </w:rPr>
            </w:pPr>
            <w:r w:rsidRPr="002E2896">
              <w:rPr>
                <w:rFonts w:eastAsia="Calibri" w:cs="Arial"/>
                <w:lang w:val="en-ZA"/>
              </w:rPr>
              <w:t>3</w:t>
            </w:r>
          </w:p>
        </w:tc>
        <w:tc>
          <w:tcPr>
            <w:tcW w:w="4730" w:type="dxa"/>
            <w:shd w:val="clear" w:color="auto" w:fill="auto"/>
          </w:tcPr>
          <w:p w14:paraId="78349A14" w14:textId="77777777" w:rsidR="002E2896" w:rsidRPr="002E2896" w:rsidRDefault="002E2896" w:rsidP="00DE78EC">
            <w:pPr>
              <w:tabs>
                <w:tab w:val="left" w:pos="993"/>
              </w:tabs>
              <w:spacing w:after="0" w:line="240" w:lineRule="auto"/>
              <w:jc w:val="both"/>
              <w:rPr>
                <w:rFonts w:eastAsia="Calibri" w:cs="Arial"/>
                <w:lang w:val="en-ZA"/>
              </w:rPr>
            </w:pPr>
            <w:r w:rsidRPr="002E2896">
              <w:rPr>
                <w:rFonts w:eastAsia="Calibri" w:cs="Arial"/>
                <w:lang w:val="en-ZA"/>
              </w:rPr>
              <w:t>G S Mkhize</w:t>
            </w:r>
          </w:p>
        </w:tc>
        <w:tc>
          <w:tcPr>
            <w:tcW w:w="3157" w:type="dxa"/>
            <w:shd w:val="clear" w:color="auto" w:fill="auto"/>
          </w:tcPr>
          <w:p w14:paraId="1507FA9D" w14:textId="77777777" w:rsidR="002E2896" w:rsidRPr="002E2896" w:rsidRDefault="002E2896" w:rsidP="00DE78EC">
            <w:pPr>
              <w:spacing w:after="0" w:line="240" w:lineRule="auto"/>
              <w:jc w:val="both"/>
              <w:rPr>
                <w:rFonts w:eastAsia="Calibri" w:cs="Arial"/>
                <w:lang w:val="en-ZA"/>
              </w:rPr>
            </w:pPr>
            <w:r w:rsidRPr="002E2896">
              <w:rPr>
                <w:rFonts w:eastAsia="Calibri" w:cs="Arial"/>
                <w:lang w:val="en-ZA"/>
              </w:rPr>
              <w:t>ANC</w:t>
            </w:r>
          </w:p>
        </w:tc>
      </w:tr>
      <w:tr w:rsidR="002E2896" w:rsidRPr="002E2896" w14:paraId="49F75B0E" w14:textId="77777777" w:rsidTr="002E2896">
        <w:trPr>
          <w:trHeight w:val="256"/>
        </w:trPr>
        <w:tc>
          <w:tcPr>
            <w:tcW w:w="808" w:type="dxa"/>
            <w:shd w:val="clear" w:color="auto" w:fill="auto"/>
          </w:tcPr>
          <w:p w14:paraId="447012A0" w14:textId="77777777" w:rsidR="002E2896" w:rsidRPr="002E2896" w:rsidRDefault="002E2896" w:rsidP="00DE78EC">
            <w:pPr>
              <w:tabs>
                <w:tab w:val="left" w:pos="993"/>
              </w:tabs>
              <w:spacing w:after="0" w:line="240" w:lineRule="auto"/>
              <w:jc w:val="center"/>
              <w:rPr>
                <w:rFonts w:eastAsia="Calibri" w:cs="Arial"/>
                <w:lang w:val="en-ZA"/>
              </w:rPr>
            </w:pPr>
            <w:r w:rsidRPr="002E2896">
              <w:rPr>
                <w:rFonts w:eastAsia="Calibri" w:cs="Arial"/>
                <w:lang w:val="en-ZA"/>
              </w:rPr>
              <w:t>4</w:t>
            </w:r>
          </w:p>
        </w:tc>
        <w:tc>
          <w:tcPr>
            <w:tcW w:w="4730" w:type="dxa"/>
            <w:shd w:val="clear" w:color="auto" w:fill="auto"/>
          </w:tcPr>
          <w:p w14:paraId="1A875593" w14:textId="77777777" w:rsidR="002E2896" w:rsidRPr="002E2896" w:rsidRDefault="002E2896" w:rsidP="00DE78EC">
            <w:pPr>
              <w:tabs>
                <w:tab w:val="left" w:pos="993"/>
              </w:tabs>
              <w:spacing w:after="0" w:line="240" w:lineRule="auto"/>
              <w:jc w:val="both"/>
              <w:rPr>
                <w:rFonts w:eastAsia="Calibri" w:cs="Arial"/>
                <w:lang w:val="en-ZA"/>
              </w:rPr>
            </w:pPr>
            <w:r w:rsidRPr="002E2896">
              <w:rPr>
                <w:rFonts w:eastAsia="Calibri" w:cs="Arial"/>
                <w:lang w:val="en-ZA"/>
              </w:rPr>
              <w:t>J C Erasmus</w:t>
            </w:r>
          </w:p>
        </w:tc>
        <w:tc>
          <w:tcPr>
            <w:tcW w:w="3157" w:type="dxa"/>
            <w:shd w:val="clear" w:color="auto" w:fill="auto"/>
          </w:tcPr>
          <w:p w14:paraId="54EAACE3" w14:textId="77777777" w:rsidR="002E2896" w:rsidRPr="002E2896" w:rsidRDefault="002E2896" w:rsidP="00DE78EC">
            <w:pPr>
              <w:tabs>
                <w:tab w:val="left" w:pos="993"/>
              </w:tabs>
              <w:spacing w:after="0" w:line="240" w:lineRule="auto"/>
              <w:jc w:val="both"/>
              <w:rPr>
                <w:rFonts w:eastAsia="Calibri" w:cs="Arial"/>
                <w:lang w:val="en-ZA"/>
              </w:rPr>
            </w:pPr>
            <w:r w:rsidRPr="002E2896">
              <w:rPr>
                <w:rFonts w:eastAsia="Calibri" w:cs="Arial"/>
                <w:lang w:val="en-ZA"/>
              </w:rPr>
              <w:t>IFP</w:t>
            </w:r>
          </w:p>
        </w:tc>
      </w:tr>
      <w:tr w:rsidR="002E2896" w:rsidRPr="002E2896" w14:paraId="0BA2D412" w14:textId="77777777" w:rsidTr="002E2896">
        <w:trPr>
          <w:trHeight w:val="240"/>
        </w:trPr>
        <w:tc>
          <w:tcPr>
            <w:tcW w:w="808" w:type="dxa"/>
            <w:shd w:val="clear" w:color="auto" w:fill="auto"/>
          </w:tcPr>
          <w:p w14:paraId="316CF2B7" w14:textId="77777777" w:rsidR="002E2896" w:rsidRPr="002E2896" w:rsidRDefault="002E2896" w:rsidP="00DE78EC">
            <w:pPr>
              <w:tabs>
                <w:tab w:val="left" w:pos="993"/>
              </w:tabs>
              <w:spacing w:after="0" w:line="240" w:lineRule="auto"/>
              <w:jc w:val="center"/>
              <w:rPr>
                <w:rFonts w:eastAsia="Calibri" w:cs="Arial"/>
                <w:lang w:val="en-ZA"/>
              </w:rPr>
            </w:pPr>
            <w:r w:rsidRPr="002E2896">
              <w:rPr>
                <w:rFonts w:eastAsia="Calibri" w:cs="Arial"/>
                <w:lang w:val="en-ZA"/>
              </w:rPr>
              <w:t>5</w:t>
            </w:r>
          </w:p>
        </w:tc>
        <w:tc>
          <w:tcPr>
            <w:tcW w:w="4730" w:type="dxa"/>
            <w:shd w:val="clear" w:color="auto" w:fill="auto"/>
          </w:tcPr>
          <w:p w14:paraId="3BA82D06" w14:textId="77777777" w:rsidR="002E2896" w:rsidRPr="002E2896" w:rsidRDefault="002E2896" w:rsidP="00DE78EC">
            <w:pPr>
              <w:tabs>
                <w:tab w:val="left" w:pos="993"/>
              </w:tabs>
              <w:spacing w:after="0" w:line="240" w:lineRule="auto"/>
              <w:jc w:val="both"/>
              <w:rPr>
                <w:rFonts w:eastAsia="Calibri" w:cs="Arial"/>
                <w:lang w:val="en-ZA"/>
              </w:rPr>
            </w:pPr>
            <w:r w:rsidRPr="002E2896">
              <w:rPr>
                <w:rFonts w:eastAsia="Calibri" w:cs="Arial"/>
                <w:lang w:val="en-ZA"/>
              </w:rPr>
              <w:t>S G Mbambo</w:t>
            </w:r>
          </w:p>
        </w:tc>
        <w:tc>
          <w:tcPr>
            <w:tcW w:w="3157" w:type="dxa"/>
            <w:shd w:val="clear" w:color="auto" w:fill="auto"/>
          </w:tcPr>
          <w:p w14:paraId="3DD41127" w14:textId="77777777" w:rsidR="002E2896" w:rsidRPr="002E2896" w:rsidRDefault="002E2896" w:rsidP="00DE78EC">
            <w:pPr>
              <w:tabs>
                <w:tab w:val="left" w:pos="993"/>
              </w:tabs>
              <w:spacing w:after="0" w:line="240" w:lineRule="auto"/>
              <w:jc w:val="both"/>
              <w:rPr>
                <w:rFonts w:eastAsia="Calibri" w:cs="Arial"/>
                <w:lang w:val="en-ZA"/>
              </w:rPr>
            </w:pPr>
            <w:r w:rsidRPr="002E2896">
              <w:rPr>
                <w:rFonts w:eastAsia="Calibri" w:cs="Arial"/>
                <w:lang w:val="en-ZA"/>
              </w:rPr>
              <w:t>IFP</w:t>
            </w:r>
          </w:p>
        </w:tc>
      </w:tr>
    </w:tbl>
    <w:p w14:paraId="00AE7449" w14:textId="77777777" w:rsidR="00844FBA" w:rsidRPr="00BB6855" w:rsidRDefault="007A5075" w:rsidP="00BB6855">
      <w:pPr>
        <w:pStyle w:val="Caption"/>
        <w:rPr>
          <w:lang w:val="en-ZA" w:eastAsia="en-ZA"/>
        </w:rPr>
      </w:pPr>
      <w:bookmarkStart w:id="556" w:name="_Toc510622342"/>
      <w:r>
        <w:t xml:space="preserve">Table </w:t>
      </w:r>
      <w:r w:rsidR="00B918A6">
        <w:fldChar w:fldCharType="begin"/>
      </w:r>
      <w:r w:rsidR="00B918A6">
        <w:instrText xml:space="preserve"> SEQ Table \* ARABIC </w:instrText>
      </w:r>
      <w:r w:rsidR="00B918A6">
        <w:fldChar w:fldCharType="separate"/>
      </w:r>
      <w:r w:rsidR="0067023A">
        <w:rPr>
          <w:noProof/>
        </w:rPr>
        <w:t>91</w:t>
      </w:r>
      <w:r w:rsidR="00B918A6">
        <w:rPr>
          <w:noProof/>
        </w:rPr>
        <w:fldChar w:fldCharType="end"/>
      </w:r>
      <w:r>
        <w:t xml:space="preserve">: </w:t>
      </w:r>
      <w:r>
        <w:rPr>
          <w:lang w:val="en-ZA" w:eastAsia="en-ZA"/>
        </w:rPr>
        <w:t>Municipal Public Accounts Committee Members</w:t>
      </w:r>
      <w:bookmarkEnd w:id="556"/>
    </w:p>
    <w:p w14:paraId="3FAFBB68" w14:textId="77777777" w:rsidR="002C35D0" w:rsidRPr="00BB6855" w:rsidRDefault="00896DF5" w:rsidP="00750180">
      <w:pPr>
        <w:pStyle w:val="Heading5"/>
        <w:numPr>
          <w:ilvl w:val="4"/>
          <w:numId w:val="127"/>
        </w:numPr>
        <w:spacing w:after="240"/>
        <w:rPr>
          <w:rFonts w:eastAsia="Times New Roman"/>
          <w:lang w:val="en-ZA" w:eastAsia="en-ZA"/>
        </w:rPr>
      </w:pPr>
      <w:r w:rsidRPr="00BB6855">
        <w:rPr>
          <w:rFonts w:eastAsia="Times New Roman"/>
          <w:lang w:val="en-ZA" w:eastAsia="en-ZA"/>
        </w:rPr>
        <w:t>Bid Committees</w:t>
      </w:r>
    </w:p>
    <w:p w14:paraId="53B56909" w14:textId="77777777" w:rsidR="002C35D0" w:rsidRPr="00314A49" w:rsidRDefault="002C35D0" w:rsidP="002C35D0">
      <w:pPr>
        <w:tabs>
          <w:tab w:val="left" w:pos="0"/>
        </w:tabs>
        <w:spacing w:after="0" w:line="240" w:lineRule="auto"/>
        <w:jc w:val="both"/>
        <w:rPr>
          <w:rFonts w:eastAsia="Calibri" w:cs="Arial"/>
          <w:lang w:val="en-ZA"/>
        </w:rPr>
      </w:pPr>
      <w:r w:rsidRPr="00314A49">
        <w:rPr>
          <w:rFonts w:eastAsia="Calibri" w:cs="Arial"/>
          <w:lang w:val="en-ZA"/>
        </w:rPr>
        <w:t xml:space="preserve">In terms of Section 112(1) of the Local Government Municipal Finance Management Act 56 of 2003 the supply chain management policy of a municipality must be fair, equitable, transparent, competitive and cost-effective and comply with a prescribed regulatory framework for municipal supply chain management.  </w:t>
      </w:r>
    </w:p>
    <w:p w14:paraId="718B64EB" w14:textId="77777777" w:rsidR="002C35D0" w:rsidRPr="00314A49" w:rsidRDefault="002C35D0" w:rsidP="002C35D0">
      <w:pPr>
        <w:tabs>
          <w:tab w:val="left" w:pos="0"/>
        </w:tabs>
        <w:spacing w:after="0" w:line="240" w:lineRule="auto"/>
        <w:jc w:val="both"/>
        <w:rPr>
          <w:rFonts w:eastAsia="Calibri" w:cs="Arial"/>
          <w:lang w:val="en-ZA"/>
        </w:rPr>
      </w:pPr>
    </w:p>
    <w:p w14:paraId="0BAB85BC" w14:textId="77777777" w:rsidR="002C35D0" w:rsidRPr="00314A49" w:rsidRDefault="002C35D0" w:rsidP="002C35D0">
      <w:pPr>
        <w:tabs>
          <w:tab w:val="left" w:pos="0"/>
        </w:tabs>
        <w:spacing w:after="0" w:line="240" w:lineRule="auto"/>
        <w:jc w:val="both"/>
        <w:rPr>
          <w:rFonts w:eastAsia="Calibri" w:cs="Arial"/>
          <w:lang w:val="en-ZA"/>
        </w:rPr>
      </w:pPr>
      <w:r w:rsidRPr="00314A49">
        <w:rPr>
          <w:rFonts w:eastAsia="Calibri" w:cs="Arial"/>
          <w:lang w:val="en-ZA"/>
        </w:rPr>
        <w:t>In terms of Section 26 (1) (a) (i) to (iii) of the uMlalazi Supply Chain Management Policy the Accounting Officer is required to establish a committee system for competitive bids consisting of : -</w:t>
      </w:r>
    </w:p>
    <w:p w14:paraId="4E36223C" w14:textId="77777777" w:rsidR="002C35D0" w:rsidRPr="00314A49" w:rsidRDefault="002C35D0" w:rsidP="002C35D0">
      <w:pPr>
        <w:tabs>
          <w:tab w:val="left" w:pos="0"/>
        </w:tabs>
        <w:spacing w:after="0" w:line="240" w:lineRule="auto"/>
        <w:jc w:val="both"/>
        <w:rPr>
          <w:rFonts w:eastAsia="Calibri" w:cs="Arial"/>
          <w:lang w:val="en-ZA"/>
        </w:rPr>
      </w:pPr>
    </w:p>
    <w:p w14:paraId="0DCC46B2" w14:textId="77777777" w:rsidR="002C35D0" w:rsidRPr="00314A49" w:rsidRDefault="002C35D0" w:rsidP="002C35D0">
      <w:pPr>
        <w:tabs>
          <w:tab w:val="left" w:pos="810"/>
        </w:tabs>
        <w:spacing w:after="0" w:line="240" w:lineRule="auto"/>
        <w:jc w:val="both"/>
        <w:rPr>
          <w:rFonts w:eastAsia="Calibri" w:cs="Arial"/>
          <w:lang w:val="en-ZA"/>
        </w:rPr>
      </w:pPr>
      <w:r w:rsidRPr="00314A49">
        <w:rPr>
          <w:rFonts w:eastAsia="Calibri" w:cs="Arial"/>
          <w:lang w:val="en-ZA"/>
        </w:rPr>
        <w:tab/>
        <w:t>(i)</w:t>
      </w:r>
      <w:r w:rsidRPr="00314A49">
        <w:rPr>
          <w:rFonts w:eastAsia="Calibri" w:cs="Arial"/>
          <w:lang w:val="en-ZA"/>
        </w:rPr>
        <w:tab/>
        <w:t>A Bid Specification Committee;</w:t>
      </w:r>
    </w:p>
    <w:p w14:paraId="70C0C78B" w14:textId="77777777" w:rsidR="002C35D0" w:rsidRPr="00314A49" w:rsidRDefault="002C35D0" w:rsidP="002C35D0">
      <w:pPr>
        <w:tabs>
          <w:tab w:val="left" w:pos="810"/>
        </w:tabs>
        <w:spacing w:after="0" w:line="240" w:lineRule="auto"/>
        <w:jc w:val="both"/>
        <w:rPr>
          <w:rFonts w:eastAsia="Calibri" w:cs="Arial"/>
          <w:lang w:val="en-ZA"/>
        </w:rPr>
      </w:pPr>
      <w:r w:rsidRPr="00314A49">
        <w:rPr>
          <w:rFonts w:eastAsia="Calibri" w:cs="Arial"/>
          <w:lang w:val="en-ZA"/>
        </w:rPr>
        <w:tab/>
        <w:t>(ii)</w:t>
      </w:r>
      <w:r w:rsidRPr="00314A49">
        <w:rPr>
          <w:rFonts w:eastAsia="Calibri" w:cs="Arial"/>
          <w:lang w:val="en-ZA"/>
        </w:rPr>
        <w:tab/>
        <w:t>A Bid Evaluation Committee; and</w:t>
      </w:r>
    </w:p>
    <w:p w14:paraId="2EB41822" w14:textId="77777777" w:rsidR="002C35D0" w:rsidRPr="00314A49" w:rsidRDefault="002C35D0" w:rsidP="002C35D0">
      <w:pPr>
        <w:tabs>
          <w:tab w:val="left" w:pos="810"/>
        </w:tabs>
        <w:spacing w:after="0" w:line="240" w:lineRule="auto"/>
        <w:jc w:val="both"/>
        <w:rPr>
          <w:rFonts w:eastAsia="Calibri" w:cs="Arial"/>
          <w:lang w:val="en-ZA"/>
        </w:rPr>
      </w:pPr>
      <w:r w:rsidRPr="00314A49">
        <w:rPr>
          <w:rFonts w:eastAsia="Calibri" w:cs="Arial"/>
          <w:lang w:val="en-ZA"/>
        </w:rPr>
        <w:tab/>
        <w:t>(iii)</w:t>
      </w:r>
      <w:r w:rsidRPr="00314A49">
        <w:rPr>
          <w:rFonts w:eastAsia="Calibri" w:cs="Arial"/>
          <w:lang w:val="en-ZA"/>
        </w:rPr>
        <w:tab/>
        <w:t xml:space="preserve">A Bid Adjudication Committee; </w:t>
      </w:r>
    </w:p>
    <w:p w14:paraId="4E0E94E9" w14:textId="77777777" w:rsidR="002C35D0" w:rsidRPr="00BB6855" w:rsidRDefault="002C35D0" w:rsidP="00750180">
      <w:pPr>
        <w:pStyle w:val="Heading5"/>
        <w:numPr>
          <w:ilvl w:val="4"/>
          <w:numId w:val="127"/>
        </w:numPr>
        <w:spacing w:after="240"/>
        <w:rPr>
          <w:rFonts w:eastAsia="Times New Roman"/>
          <w:lang w:val="en-ZA" w:eastAsia="en-ZA"/>
        </w:rPr>
      </w:pPr>
      <w:r w:rsidRPr="00BB6855">
        <w:rPr>
          <w:rFonts w:eastAsia="Times New Roman"/>
          <w:lang w:val="en-ZA" w:eastAsia="en-ZA"/>
        </w:rPr>
        <w:t>Composition of Bid Committees</w:t>
      </w:r>
    </w:p>
    <w:p w14:paraId="20739034" w14:textId="77777777" w:rsidR="002C35D0" w:rsidRPr="00314A49" w:rsidRDefault="002C35D0" w:rsidP="002C35D0">
      <w:pPr>
        <w:tabs>
          <w:tab w:val="left" w:pos="810"/>
        </w:tabs>
        <w:spacing w:after="0" w:line="240" w:lineRule="auto"/>
        <w:jc w:val="both"/>
        <w:rPr>
          <w:rFonts w:eastAsia="Calibri" w:cs="Arial"/>
          <w:lang w:val="en-ZA"/>
        </w:rPr>
      </w:pPr>
    </w:p>
    <w:p w14:paraId="0C6FE167" w14:textId="77777777" w:rsidR="002C35D0" w:rsidRPr="0016169B" w:rsidRDefault="002C35D0" w:rsidP="002C35D0">
      <w:pPr>
        <w:tabs>
          <w:tab w:val="left" w:pos="810"/>
        </w:tabs>
        <w:spacing w:after="0" w:line="240" w:lineRule="auto"/>
        <w:jc w:val="both"/>
        <w:rPr>
          <w:rFonts w:eastAsia="Calibri" w:cs="Arial"/>
          <w:b/>
          <w:lang w:val="en-ZA"/>
        </w:rPr>
      </w:pPr>
      <w:r w:rsidRPr="0016169B">
        <w:rPr>
          <w:rFonts w:eastAsia="Calibri" w:cs="Arial"/>
          <w:b/>
          <w:lang w:val="en-ZA"/>
        </w:rPr>
        <w:t>Regulation 27(3) - BSC</w:t>
      </w:r>
    </w:p>
    <w:p w14:paraId="3B26DCF9" w14:textId="77777777" w:rsidR="002C35D0" w:rsidRPr="00314A49" w:rsidRDefault="002C35D0" w:rsidP="002C35D0">
      <w:pPr>
        <w:tabs>
          <w:tab w:val="left" w:pos="810"/>
        </w:tabs>
        <w:spacing w:after="0" w:line="240" w:lineRule="auto"/>
        <w:jc w:val="both"/>
        <w:rPr>
          <w:rFonts w:eastAsia="Calibri" w:cs="Arial"/>
          <w:lang w:val="en-ZA"/>
        </w:rPr>
      </w:pPr>
    </w:p>
    <w:p w14:paraId="5CF80AE8" w14:textId="77777777" w:rsidR="002C35D0" w:rsidRPr="00314A49" w:rsidRDefault="002C35D0" w:rsidP="002C35D0">
      <w:pPr>
        <w:tabs>
          <w:tab w:val="left" w:pos="810"/>
        </w:tabs>
        <w:spacing w:after="0" w:line="240" w:lineRule="auto"/>
        <w:jc w:val="both"/>
        <w:rPr>
          <w:rFonts w:eastAsia="Calibri" w:cs="Arial"/>
          <w:lang w:val="en-ZA"/>
        </w:rPr>
      </w:pPr>
      <w:r w:rsidRPr="00314A49">
        <w:rPr>
          <w:rFonts w:eastAsia="Calibri" w:cs="Arial"/>
          <w:lang w:val="en-ZA"/>
        </w:rPr>
        <w:t>Must be composed of one or more officials of the municipality, preferably the manager responsible for the function involved, and may when appropriate, include external specialist advisors.</w:t>
      </w:r>
    </w:p>
    <w:p w14:paraId="32C746F1" w14:textId="77777777" w:rsidR="002C35D0" w:rsidRPr="00314A49" w:rsidRDefault="002C35D0" w:rsidP="002C35D0">
      <w:pPr>
        <w:tabs>
          <w:tab w:val="left" w:pos="810"/>
        </w:tabs>
        <w:spacing w:after="0" w:line="240" w:lineRule="auto"/>
        <w:jc w:val="both"/>
        <w:rPr>
          <w:rFonts w:eastAsia="Calibri" w:cs="Arial"/>
          <w:lang w:val="en-ZA"/>
        </w:rPr>
      </w:pPr>
    </w:p>
    <w:p w14:paraId="21F94B2B" w14:textId="77777777" w:rsidR="002C35D0" w:rsidRPr="0016169B" w:rsidRDefault="002C35D0" w:rsidP="002C35D0">
      <w:pPr>
        <w:tabs>
          <w:tab w:val="left" w:pos="810"/>
        </w:tabs>
        <w:spacing w:after="0" w:line="240" w:lineRule="auto"/>
        <w:jc w:val="both"/>
        <w:rPr>
          <w:rFonts w:eastAsia="Calibri" w:cs="Arial"/>
          <w:b/>
          <w:lang w:val="en-ZA"/>
        </w:rPr>
      </w:pPr>
      <w:r w:rsidRPr="0016169B">
        <w:rPr>
          <w:rFonts w:eastAsia="Calibri" w:cs="Arial"/>
          <w:b/>
          <w:lang w:val="en-ZA"/>
        </w:rPr>
        <w:t>Regulation 28 (2) (a) &amp; (b) BEC</w:t>
      </w:r>
    </w:p>
    <w:p w14:paraId="73C56C43" w14:textId="77777777" w:rsidR="002C35D0" w:rsidRPr="00314A49" w:rsidRDefault="002C35D0" w:rsidP="002C35D0">
      <w:pPr>
        <w:tabs>
          <w:tab w:val="left" w:pos="810"/>
        </w:tabs>
        <w:spacing w:after="0" w:line="240" w:lineRule="auto"/>
        <w:jc w:val="both"/>
        <w:rPr>
          <w:rFonts w:eastAsia="Calibri" w:cs="Arial"/>
          <w:lang w:val="en-ZA"/>
        </w:rPr>
      </w:pPr>
    </w:p>
    <w:p w14:paraId="77D736A7" w14:textId="77777777" w:rsidR="002C35D0" w:rsidRPr="00314A49" w:rsidRDefault="002C35D0" w:rsidP="002C35D0">
      <w:pPr>
        <w:tabs>
          <w:tab w:val="left" w:pos="810"/>
        </w:tabs>
        <w:spacing w:after="0" w:line="240" w:lineRule="auto"/>
        <w:jc w:val="both"/>
        <w:rPr>
          <w:rFonts w:eastAsia="Calibri" w:cs="Arial"/>
          <w:lang w:val="en-ZA"/>
        </w:rPr>
      </w:pPr>
      <w:r w:rsidRPr="00314A49">
        <w:rPr>
          <w:rFonts w:eastAsia="Calibri" w:cs="Arial"/>
          <w:lang w:val="en-ZA"/>
        </w:rPr>
        <w:t>A bid evaluation committee must as far as possible be comprised from departments requiring the goods and services and at least one SCM practitioner of a municipality.</w:t>
      </w:r>
    </w:p>
    <w:p w14:paraId="1658AFAA" w14:textId="77777777" w:rsidR="002C35D0" w:rsidRPr="00314A49" w:rsidRDefault="002C35D0" w:rsidP="002C35D0">
      <w:pPr>
        <w:tabs>
          <w:tab w:val="left" w:pos="810"/>
        </w:tabs>
        <w:spacing w:after="0" w:line="240" w:lineRule="auto"/>
        <w:jc w:val="both"/>
        <w:rPr>
          <w:rFonts w:eastAsia="Calibri" w:cs="Arial"/>
          <w:lang w:val="en-ZA"/>
        </w:rPr>
      </w:pPr>
    </w:p>
    <w:p w14:paraId="6357BE22" w14:textId="77777777" w:rsidR="002C35D0" w:rsidRPr="0016169B" w:rsidRDefault="002C35D0" w:rsidP="002C35D0">
      <w:pPr>
        <w:tabs>
          <w:tab w:val="left" w:pos="810"/>
        </w:tabs>
        <w:spacing w:after="0" w:line="240" w:lineRule="auto"/>
        <w:jc w:val="both"/>
        <w:rPr>
          <w:rFonts w:eastAsia="Calibri" w:cs="Arial"/>
          <w:b/>
          <w:lang w:val="en-ZA"/>
        </w:rPr>
      </w:pPr>
      <w:r w:rsidRPr="0016169B">
        <w:rPr>
          <w:rFonts w:eastAsia="Calibri" w:cs="Arial"/>
          <w:b/>
          <w:lang w:val="en-ZA"/>
        </w:rPr>
        <w:t>Regulation (2) (i) to (iii) - BAC</w:t>
      </w:r>
    </w:p>
    <w:p w14:paraId="38261317" w14:textId="77777777" w:rsidR="002C35D0" w:rsidRPr="00314A49" w:rsidRDefault="002C35D0" w:rsidP="002C35D0">
      <w:pPr>
        <w:tabs>
          <w:tab w:val="left" w:pos="810"/>
        </w:tabs>
        <w:spacing w:after="0" w:line="240" w:lineRule="auto"/>
        <w:jc w:val="both"/>
        <w:rPr>
          <w:rFonts w:eastAsia="Calibri" w:cs="Arial"/>
          <w:lang w:val="en-ZA"/>
        </w:rPr>
      </w:pPr>
    </w:p>
    <w:p w14:paraId="27B7330C" w14:textId="77777777" w:rsidR="002C35D0" w:rsidRPr="00314A49" w:rsidRDefault="002C35D0" w:rsidP="002C35D0">
      <w:pPr>
        <w:tabs>
          <w:tab w:val="left" w:pos="810"/>
        </w:tabs>
        <w:spacing w:after="0" w:line="240" w:lineRule="auto"/>
        <w:jc w:val="both"/>
        <w:rPr>
          <w:rFonts w:eastAsia="Calibri" w:cs="Arial"/>
          <w:lang w:val="en-ZA"/>
        </w:rPr>
      </w:pPr>
      <w:r w:rsidRPr="00314A49">
        <w:rPr>
          <w:rFonts w:eastAsia="Calibri" w:cs="Arial"/>
          <w:lang w:val="en-ZA"/>
        </w:rPr>
        <w:t xml:space="preserve">A Bid adjudication committee must consist of at least four senior managers of the municipality, which must </w:t>
      </w:r>
      <w:r w:rsidR="003F34D3" w:rsidRPr="00314A49">
        <w:rPr>
          <w:rFonts w:eastAsia="Calibri" w:cs="Arial"/>
          <w:lang w:val="en-ZA"/>
        </w:rPr>
        <w:t>include:</w:t>
      </w:r>
      <w:r w:rsidRPr="00314A49">
        <w:rPr>
          <w:rFonts w:eastAsia="Calibri" w:cs="Arial"/>
          <w:lang w:val="en-ZA"/>
        </w:rPr>
        <w:t xml:space="preserve"> </w:t>
      </w:r>
    </w:p>
    <w:p w14:paraId="3A2E1718" w14:textId="77777777" w:rsidR="002C35D0" w:rsidRPr="00314A49" w:rsidRDefault="002C35D0" w:rsidP="00750180">
      <w:pPr>
        <w:numPr>
          <w:ilvl w:val="1"/>
          <w:numId w:val="35"/>
        </w:numPr>
        <w:tabs>
          <w:tab w:val="left" w:pos="810"/>
        </w:tabs>
        <w:spacing w:after="0" w:line="240" w:lineRule="auto"/>
        <w:jc w:val="both"/>
        <w:rPr>
          <w:rFonts w:eastAsia="Calibri" w:cs="Arial"/>
          <w:lang w:val="en-ZA"/>
        </w:rPr>
      </w:pPr>
      <w:r w:rsidRPr="00314A49">
        <w:rPr>
          <w:rFonts w:eastAsia="Calibri" w:cs="Arial"/>
          <w:lang w:val="en-ZA"/>
        </w:rPr>
        <w:t>The Chief Financial Officer or if the Chief Financial Officer is not available another manager in the budget and treasury office reporting directly to the Chief Financial Officer and designated by the Chief Financial Officer.</w:t>
      </w:r>
    </w:p>
    <w:p w14:paraId="1538D55A" w14:textId="77777777" w:rsidR="002C35D0" w:rsidRPr="00314A49" w:rsidRDefault="002C35D0" w:rsidP="00750180">
      <w:pPr>
        <w:numPr>
          <w:ilvl w:val="1"/>
          <w:numId w:val="35"/>
        </w:numPr>
        <w:tabs>
          <w:tab w:val="left" w:pos="810"/>
        </w:tabs>
        <w:spacing w:after="0" w:line="240" w:lineRule="auto"/>
        <w:jc w:val="both"/>
        <w:rPr>
          <w:rFonts w:eastAsia="Calibri" w:cs="Arial"/>
          <w:lang w:val="en-ZA"/>
        </w:rPr>
      </w:pPr>
      <w:r w:rsidRPr="00314A49">
        <w:rPr>
          <w:rFonts w:eastAsia="Calibri" w:cs="Arial"/>
          <w:lang w:val="en-ZA"/>
        </w:rPr>
        <w:t>At least one senior supply chain management practitioner who is an official of the municipality, and</w:t>
      </w:r>
    </w:p>
    <w:p w14:paraId="405DAB2C" w14:textId="77777777" w:rsidR="002C35D0" w:rsidRPr="00314A49" w:rsidRDefault="002C35D0" w:rsidP="00750180">
      <w:pPr>
        <w:numPr>
          <w:ilvl w:val="1"/>
          <w:numId w:val="35"/>
        </w:numPr>
        <w:tabs>
          <w:tab w:val="left" w:pos="810"/>
        </w:tabs>
        <w:spacing w:after="0" w:line="240" w:lineRule="auto"/>
        <w:jc w:val="both"/>
        <w:rPr>
          <w:rFonts w:eastAsia="Calibri" w:cs="Arial"/>
          <w:lang w:val="en-ZA"/>
        </w:rPr>
      </w:pPr>
      <w:r w:rsidRPr="00314A49">
        <w:rPr>
          <w:rFonts w:eastAsia="Calibri" w:cs="Arial"/>
          <w:lang w:val="en-ZA"/>
        </w:rPr>
        <w:t xml:space="preserve">A technical expert in the field which is an official of the municipality </w:t>
      </w:r>
    </w:p>
    <w:p w14:paraId="647C89C7" w14:textId="77777777" w:rsidR="002C35D0" w:rsidRPr="00314A49" w:rsidRDefault="002C35D0" w:rsidP="002C35D0">
      <w:pPr>
        <w:tabs>
          <w:tab w:val="left" w:pos="810"/>
        </w:tabs>
        <w:spacing w:after="0" w:line="240" w:lineRule="auto"/>
        <w:ind w:left="720" w:hanging="720"/>
        <w:jc w:val="both"/>
        <w:rPr>
          <w:rFonts w:eastAsia="Calibri" w:cs="Arial"/>
          <w:lang w:val="en-ZA"/>
        </w:rPr>
      </w:pPr>
    </w:p>
    <w:p w14:paraId="18BE8C7C" w14:textId="77777777" w:rsidR="002C35D0" w:rsidRPr="00314A49" w:rsidRDefault="002C35D0" w:rsidP="002C35D0">
      <w:pPr>
        <w:tabs>
          <w:tab w:val="left" w:pos="0"/>
        </w:tabs>
        <w:spacing w:after="0" w:line="240" w:lineRule="auto"/>
        <w:jc w:val="both"/>
        <w:rPr>
          <w:rFonts w:eastAsia="Calibri" w:cs="Arial"/>
          <w:lang w:val="en-ZA"/>
        </w:rPr>
      </w:pPr>
      <w:r w:rsidRPr="00314A49">
        <w:rPr>
          <w:rFonts w:eastAsia="Calibri" w:cs="Arial"/>
          <w:lang w:val="en-ZA"/>
        </w:rPr>
        <w:t>In view of the above and noting the regulations, the following officials have been appointed to represent the uMlalazi Council on the aforementioned Committees: -</w:t>
      </w:r>
    </w:p>
    <w:p w14:paraId="612027D1" w14:textId="77777777" w:rsidR="002C35D0" w:rsidRPr="00314A49" w:rsidRDefault="002C35D0" w:rsidP="002C35D0">
      <w:pPr>
        <w:tabs>
          <w:tab w:val="left" w:pos="0"/>
        </w:tabs>
        <w:spacing w:after="0" w:line="240" w:lineRule="auto"/>
        <w:jc w:val="both"/>
        <w:rPr>
          <w:rFonts w:eastAsia="Calibri" w:cs="Arial"/>
          <w:lang w:val="en-ZA"/>
        </w:rPr>
      </w:pPr>
    </w:p>
    <w:p w14:paraId="29A474AA" w14:textId="77777777" w:rsidR="002C35D0" w:rsidRDefault="00896DF5" w:rsidP="00750180">
      <w:pPr>
        <w:pStyle w:val="Heading5"/>
        <w:numPr>
          <w:ilvl w:val="4"/>
          <w:numId w:val="127"/>
        </w:numPr>
        <w:tabs>
          <w:tab w:val="left" w:pos="0"/>
        </w:tabs>
        <w:spacing w:line="240" w:lineRule="auto"/>
        <w:jc w:val="both"/>
        <w:rPr>
          <w:rFonts w:eastAsia="Times New Roman"/>
          <w:lang w:val="en-ZA" w:eastAsia="en-ZA"/>
        </w:rPr>
      </w:pPr>
      <w:r w:rsidRPr="00BB6855">
        <w:rPr>
          <w:rFonts w:eastAsia="Times New Roman"/>
          <w:lang w:val="en-ZA" w:eastAsia="en-ZA"/>
        </w:rPr>
        <w:t>Bid Specifications Committee Members: -</w:t>
      </w:r>
    </w:p>
    <w:p w14:paraId="251C5B47" w14:textId="77777777" w:rsidR="00BB6855" w:rsidRPr="00BB6855" w:rsidRDefault="00BB6855" w:rsidP="00BB6855">
      <w:pPr>
        <w:rPr>
          <w:lang w:val="en-ZA" w:eastAsia="en-ZA"/>
        </w:rPr>
      </w:pPr>
    </w:p>
    <w:tbl>
      <w:tblPr>
        <w:tblStyle w:val="TableGrid19"/>
        <w:tblW w:w="5000" w:type="pct"/>
        <w:tblLook w:val="04A0" w:firstRow="1" w:lastRow="0" w:firstColumn="1" w:lastColumn="0" w:noHBand="0" w:noVBand="1"/>
      </w:tblPr>
      <w:tblGrid>
        <w:gridCol w:w="368"/>
        <w:gridCol w:w="2815"/>
        <w:gridCol w:w="2816"/>
        <w:gridCol w:w="2361"/>
        <w:gridCol w:w="1269"/>
      </w:tblGrid>
      <w:tr w:rsidR="002E2896" w:rsidRPr="002E2896" w14:paraId="3EA04BCD" w14:textId="77777777" w:rsidTr="002E2896">
        <w:tc>
          <w:tcPr>
            <w:tcW w:w="191" w:type="pct"/>
          </w:tcPr>
          <w:p w14:paraId="4BE66B23" w14:textId="77777777" w:rsidR="002E2896" w:rsidRPr="002E2896" w:rsidRDefault="002E2896" w:rsidP="002E2896">
            <w:pPr>
              <w:rPr>
                <w:rFonts w:asciiTheme="minorHAnsi" w:hAnsiTheme="minorHAnsi"/>
                <w:szCs w:val="20"/>
              </w:rPr>
            </w:pPr>
          </w:p>
        </w:tc>
        <w:tc>
          <w:tcPr>
            <w:tcW w:w="1462" w:type="pct"/>
          </w:tcPr>
          <w:p w14:paraId="61A90E55" w14:textId="77777777" w:rsidR="002E2896" w:rsidRPr="002E2896" w:rsidRDefault="002E2896" w:rsidP="002E2896">
            <w:pPr>
              <w:rPr>
                <w:rFonts w:asciiTheme="minorHAnsi" w:hAnsiTheme="minorHAnsi"/>
                <w:b/>
                <w:szCs w:val="20"/>
              </w:rPr>
            </w:pPr>
            <w:r w:rsidRPr="002E2896">
              <w:rPr>
                <w:rFonts w:asciiTheme="minorHAnsi" w:hAnsiTheme="minorHAnsi"/>
                <w:b/>
                <w:szCs w:val="20"/>
              </w:rPr>
              <w:t xml:space="preserve">Name of Member </w:t>
            </w:r>
          </w:p>
        </w:tc>
        <w:tc>
          <w:tcPr>
            <w:tcW w:w="1462" w:type="pct"/>
          </w:tcPr>
          <w:p w14:paraId="2D97ACF2" w14:textId="77777777" w:rsidR="002E2896" w:rsidRPr="002E2896" w:rsidRDefault="002E2896" w:rsidP="002E2896">
            <w:pPr>
              <w:jc w:val="center"/>
              <w:rPr>
                <w:rFonts w:asciiTheme="minorHAnsi" w:hAnsiTheme="minorHAnsi"/>
                <w:b/>
                <w:szCs w:val="20"/>
              </w:rPr>
            </w:pPr>
            <w:r w:rsidRPr="002E2896">
              <w:rPr>
                <w:rFonts w:asciiTheme="minorHAnsi" w:hAnsiTheme="minorHAnsi"/>
                <w:b/>
                <w:szCs w:val="20"/>
              </w:rPr>
              <w:t>Designation</w:t>
            </w:r>
          </w:p>
        </w:tc>
        <w:tc>
          <w:tcPr>
            <w:tcW w:w="1226" w:type="pct"/>
          </w:tcPr>
          <w:p w14:paraId="2ED28021" w14:textId="77777777" w:rsidR="002E2896" w:rsidRPr="002E2896" w:rsidRDefault="002E2896" w:rsidP="002E2896">
            <w:pPr>
              <w:jc w:val="center"/>
              <w:rPr>
                <w:rFonts w:asciiTheme="minorHAnsi" w:hAnsiTheme="minorHAnsi"/>
                <w:b/>
                <w:szCs w:val="20"/>
              </w:rPr>
            </w:pPr>
            <w:r w:rsidRPr="002E2896">
              <w:rPr>
                <w:rFonts w:asciiTheme="minorHAnsi" w:hAnsiTheme="minorHAnsi"/>
                <w:b/>
                <w:szCs w:val="20"/>
              </w:rPr>
              <w:t>Department</w:t>
            </w:r>
          </w:p>
        </w:tc>
        <w:tc>
          <w:tcPr>
            <w:tcW w:w="659" w:type="pct"/>
          </w:tcPr>
          <w:p w14:paraId="5C8A3F03" w14:textId="77777777" w:rsidR="002E2896" w:rsidRPr="002E2896" w:rsidRDefault="002E2896" w:rsidP="002E2896">
            <w:pPr>
              <w:jc w:val="center"/>
              <w:rPr>
                <w:rFonts w:asciiTheme="minorHAnsi" w:hAnsiTheme="minorHAnsi"/>
                <w:b/>
                <w:szCs w:val="20"/>
              </w:rPr>
            </w:pPr>
            <w:r w:rsidRPr="002E2896">
              <w:rPr>
                <w:rFonts w:asciiTheme="minorHAnsi" w:hAnsiTheme="minorHAnsi"/>
                <w:b/>
                <w:szCs w:val="20"/>
              </w:rPr>
              <w:t>Capacity</w:t>
            </w:r>
          </w:p>
        </w:tc>
      </w:tr>
      <w:tr w:rsidR="002E2896" w:rsidRPr="002E2896" w14:paraId="59364FF2" w14:textId="77777777" w:rsidTr="002E2896">
        <w:tc>
          <w:tcPr>
            <w:tcW w:w="191" w:type="pct"/>
          </w:tcPr>
          <w:p w14:paraId="2688DF07" w14:textId="77777777" w:rsidR="002E2896" w:rsidRPr="002E2896" w:rsidRDefault="002E2896" w:rsidP="002E2896">
            <w:pPr>
              <w:rPr>
                <w:rFonts w:asciiTheme="minorHAnsi" w:hAnsiTheme="minorHAnsi"/>
                <w:szCs w:val="20"/>
              </w:rPr>
            </w:pPr>
            <w:r w:rsidRPr="002E2896">
              <w:rPr>
                <w:rFonts w:asciiTheme="minorHAnsi" w:hAnsiTheme="minorHAnsi"/>
                <w:szCs w:val="20"/>
              </w:rPr>
              <w:t>1.</w:t>
            </w:r>
          </w:p>
        </w:tc>
        <w:tc>
          <w:tcPr>
            <w:tcW w:w="1462" w:type="pct"/>
          </w:tcPr>
          <w:p w14:paraId="6BE0C411" w14:textId="77777777" w:rsidR="002E2896" w:rsidRPr="002E2896" w:rsidRDefault="002E2896" w:rsidP="002E2896">
            <w:pPr>
              <w:rPr>
                <w:rFonts w:asciiTheme="minorHAnsi" w:hAnsiTheme="minorHAnsi"/>
                <w:szCs w:val="20"/>
              </w:rPr>
            </w:pPr>
            <w:r w:rsidRPr="002E2896">
              <w:rPr>
                <w:rFonts w:asciiTheme="minorHAnsi" w:hAnsiTheme="minorHAnsi"/>
                <w:szCs w:val="20"/>
              </w:rPr>
              <w:t xml:space="preserve">Khulekani Nxumalo </w:t>
            </w:r>
          </w:p>
        </w:tc>
        <w:tc>
          <w:tcPr>
            <w:tcW w:w="1462" w:type="pct"/>
          </w:tcPr>
          <w:p w14:paraId="28CEA6AE" w14:textId="77777777" w:rsidR="002E2896" w:rsidRPr="002E2896" w:rsidRDefault="002E2896" w:rsidP="002E2896">
            <w:pPr>
              <w:rPr>
                <w:rFonts w:asciiTheme="minorHAnsi" w:hAnsiTheme="minorHAnsi"/>
                <w:szCs w:val="20"/>
              </w:rPr>
            </w:pPr>
            <w:r w:rsidRPr="002E2896">
              <w:rPr>
                <w:rFonts w:asciiTheme="minorHAnsi" w:hAnsiTheme="minorHAnsi"/>
                <w:szCs w:val="20"/>
              </w:rPr>
              <w:t>Manager Finance (Revenue)</w:t>
            </w:r>
          </w:p>
        </w:tc>
        <w:tc>
          <w:tcPr>
            <w:tcW w:w="1226" w:type="pct"/>
          </w:tcPr>
          <w:p w14:paraId="1ADD2746" w14:textId="77777777" w:rsidR="002E2896" w:rsidRPr="002E2896" w:rsidRDefault="002E2896" w:rsidP="002E2896">
            <w:pPr>
              <w:rPr>
                <w:rFonts w:asciiTheme="minorHAnsi" w:hAnsiTheme="minorHAnsi"/>
                <w:szCs w:val="20"/>
              </w:rPr>
            </w:pPr>
            <w:r w:rsidRPr="002E2896">
              <w:rPr>
                <w:rFonts w:asciiTheme="minorHAnsi" w:hAnsiTheme="minorHAnsi"/>
                <w:szCs w:val="20"/>
              </w:rPr>
              <w:t>Financial Services</w:t>
            </w:r>
          </w:p>
        </w:tc>
        <w:tc>
          <w:tcPr>
            <w:tcW w:w="659" w:type="pct"/>
          </w:tcPr>
          <w:p w14:paraId="3138558A" w14:textId="77777777" w:rsidR="002E2896" w:rsidRPr="002E2896" w:rsidRDefault="002E2896" w:rsidP="002E2896">
            <w:pPr>
              <w:rPr>
                <w:rFonts w:asciiTheme="minorHAnsi" w:hAnsiTheme="minorHAnsi"/>
                <w:szCs w:val="20"/>
              </w:rPr>
            </w:pPr>
            <w:r w:rsidRPr="002E2896">
              <w:rPr>
                <w:rFonts w:asciiTheme="minorHAnsi" w:hAnsiTheme="minorHAnsi"/>
                <w:szCs w:val="20"/>
              </w:rPr>
              <w:t xml:space="preserve">Chairman </w:t>
            </w:r>
          </w:p>
        </w:tc>
      </w:tr>
      <w:tr w:rsidR="002E2896" w:rsidRPr="002E2896" w14:paraId="77BAC4D7" w14:textId="77777777" w:rsidTr="002E2896">
        <w:tc>
          <w:tcPr>
            <w:tcW w:w="191" w:type="pct"/>
          </w:tcPr>
          <w:p w14:paraId="13A5D554" w14:textId="77777777" w:rsidR="002E2896" w:rsidRPr="002E2896" w:rsidRDefault="002E2896" w:rsidP="002E2896">
            <w:pPr>
              <w:rPr>
                <w:rFonts w:asciiTheme="minorHAnsi" w:hAnsiTheme="minorHAnsi"/>
                <w:szCs w:val="20"/>
              </w:rPr>
            </w:pPr>
            <w:r w:rsidRPr="002E2896">
              <w:rPr>
                <w:rFonts w:asciiTheme="minorHAnsi" w:hAnsiTheme="minorHAnsi"/>
                <w:szCs w:val="20"/>
              </w:rPr>
              <w:t>2.</w:t>
            </w:r>
          </w:p>
        </w:tc>
        <w:tc>
          <w:tcPr>
            <w:tcW w:w="1462" w:type="pct"/>
          </w:tcPr>
          <w:p w14:paraId="5BF5A5E5" w14:textId="77777777" w:rsidR="002E2896" w:rsidRPr="002E2896" w:rsidRDefault="002E2896" w:rsidP="002E2896">
            <w:pPr>
              <w:rPr>
                <w:rFonts w:asciiTheme="minorHAnsi" w:hAnsiTheme="minorHAnsi"/>
                <w:szCs w:val="20"/>
              </w:rPr>
            </w:pPr>
            <w:r w:rsidRPr="002E2896">
              <w:rPr>
                <w:rFonts w:asciiTheme="minorHAnsi" w:hAnsiTheme="minorHAnsi"/>
                <w:szCs w:val="20"/>
              </w:rPr>
              <w:t>Suzie van der Westhuizen</w:t>
            </w:r>
          </w:p>
        </w:tc>
        <w:tc>
          <w:tcPr>
            <w:tcW w:w="1462" w:type="pct"/>
          </w:tcPr>
          <w:p w14:paraId="79EA2CBC" w14:textId="77777777" w:rsidR="002E2896" w:rsidRPr="002E2896" w:rsidRDefault="002E2896" w:rsidP="002E2896">
            <w:pPr>
              <w:rPr>
                <w:rFonts w:asciiTheme="minorHAnsi" w:hAnsiTheme="minorHAnsi"/>
                <w:szCs w:val="20"/>
              </w:rPr>
            </w:pPr>
            <w:r w:rsidRPr="002E2896">
              <w:rPr>
                <w:rFonts w:asciiTheme="minorHAnsi" w:hAnsiTheme="minorHAnsi"/>
                <w:szCs w:val="20"/>
              </w:rPr>
              <w:t xml:space="preserve">Senior Manager Corporate Services  </w:t>
            </w:r>
          </w:p>
        </w:tc>
        <w:tc>
          <w:tcPr>
            <w:tcW w:w="1226" w:type="pct"/>
          </w:tcPr>
          <w:p w14:paraId="27C333BD" w14:textId="77777777" w:rsidR="002E2896" w:rsidRPr="002E2896" w:rsidRDefault="002E2896" w:rsidP="002E2896">
            <w:pPr>
              <w:rPr>
                <w:rFonts w:asciiTheme="minorHAnsi" w:hAnsiTheme="minorHAnsi"/>
                <w:szCs w:val="20"/>
              </w:rPr>
            </w:pPr>
            <w:r w:rsidRPr="002E2896">
              <w:rPr>
                <w:rFonts w:asciiTheme="minorHAnsi" w:hAnsiTheme="minorHAnsi"/>
                <w:szCs w:val="20"/>
              </w:rPr>
              <w:t xml:space="preserve">Corporate Services </w:t>
            </w:r>
          </w:p>
        </w:tc>
        <w:tc>
          <w:tcPr>
            <w:tcW w:w="659" w:type="pct"/>
          </w:tcPr>
          <w:p w14:paraId="06A4B4DA" w14:textId="77777777" w:rsidR="002E2896" w:rsidRPr="002E2896" w:rsidRDefault="002E2896" w:rsidP="002E2896">
            <w:pPr>
              <w:rPr>
                <w:rFonts w:asciiTheme="minorHAnsi" w:hAnsiTheme="minorHAnsi"/>
                <w:szCs w:val="20"/>
              </w:rPr>
            </w:pPr>
            <w:r w:rsidRPr="002E2896">
              <w:rPr>
                <w:rFonts w:asciiTheme="minorHAnsi" w:hAnsiTheme="minorHAnsi"/>
                <w:szCs w:val="20"/>
              </w:rPr>
              <w:t xml:space="preserve">Member </w:t>
            </w:r>
          </w:p>
        </w:tc>
      </w:tr>
      <w:tr w:rsidR="002E2896" w:rsidRPr="002E2896" w14:paraId="469546D6" w14:textId="77777777" w:rsidTr="002E2896">
        <w:tc>
          <w:tcPr>
            <w:tcW w:w="191" w:type="pct"/>
          </w:tcPr>
          <w:p w14:paraId="531E6E68" w14:textId="77777777" w:rsidR="002E2896" w:rsidRPr="002E2896" w:rsidRDefault="002E2896" w:rsidP="002E2896">
            <w:pPr>
              <w:rPr>
                <w:rFonts w:asciiTheme="minorHAnsi" w:hAnsiTheme="minorHAnsi"/>
                <w:szCs w:val="20"/>
              </w:rPr>
            </w:pPr>
            <w:r w:rsidRPr="002E2896">
              <w:rPr>
                <w:rFonts w:asciiTheme="minorHAnsi" w:hAnsiTheme="minorHAnsi"/>
                <w:szCs w:val="20"/>
              </w:rPr>
              <w:t>3.</w:t>
            </w:r>
          </w:p>
        </w:tc>
        <w:tc>
          <w:tcPr>
            <w:tcW w:w="1462" w:type="pct"/>
          </w:tcPr>
          <w:p w14:paraId="517E60D3" w14:textId="77777777" w:rsidR="002E2896" w:rsidRPr="002E2896" w:rsidRDefault="002E2896" w:rsidP="002E2896">
            <w:pPr>
              <w:rPr>
                <w:rFonts w:asciiTheme="minorHAnsi" w:hAnsiTheme="minorHAnsi"/>
                <w:szCs w:val="20"/>
              </w:rPr>
            </w:pPr>
            <w:r w:rsidRPr="002E2896">
              <w:rPr>
                <w:rFonts w:asciiTheme="minorHAnsi" w:hAnsiTheme="minorHAnsi"/>
                <w:szCs w:val="20"/>
              </w:rPr>
              <w:t xml:space="preserve">Futhi Mahaye </w:t>
            </w:r>
          </w:p>
        </w:tc>
        <w:tc>
          <w:tcPr>
            <w:tcW w:w="1462" w:type="pct"/>
          </w:tcPr>
          <w:p w14:paraId="78555EB5" w14:textId="77777777" w:rsidR="002E2896" w:rsidRPr="002E2896" w:rsidRDefault="002E2896" w:rsidP="002E2896">
            <w:pPr>
              <w:rPr>
                <w:rFonts w:asciiTheme="minorHAnsi" w:hAnsiTheme="minorHAnsi"/>
                <w:szCs w:val="20"/>
              </w:rPr>
            </w:pPr>
            <w:r w:rsidRPr="002E2896">
              <w:rPr>
                <w:rFonts w:asciiTheme="minorHAnsi" w:hAnsiTheme="minorHAnsi"/>
                <w:szCs w:val="20"/>
              </w:rPr>
              <w:t xml:space="preserve">Senior Manager  Community Services </w:t>
            </w:r>
          </w:p>
        </w:tc>
        <w:tc>
          <w:tcPr>
            <w:tcW w:w="1226" w:type="pct"/>
          </w:tcPr>
          <w:p w14:paraId="7E1F40B5" w14:textId="77777777" w:rsidR="002E2896" w:rsidRPr="002E2896" w:rsidRDefault="002E2896" w:rsidP="002E2896">
            <w:pPr>
              <w:rPr>
                <w:rFonts w:asciiTheme="minorHAnsi" w:hAnsiTheme="minorHAnsi"/>
                <w:szCs w:val="20"/>
              </w:rPr>
            </w:pPr>
            <w:r w:rsidRPr="002E2896">
              <w:rPr>
                <w:rFonts w:asciiTheme="minorHAnsi" w:hAnsiTheme="minorHAnsi"/>
                <w:szCs w:val="20"/>
              </w:rPr>
              <w:t xml:space="preserve">Community Services </w:t>
            </w:r>
          </w:p>
        </w:tc>
        <w:tc>
          <w:tcPr>
            <w:tcW w:w="659" w:type="pct"/>
          </w:tcPr>
          <w:p w14:paraId="100262CF" w14:textId="77777777" w:rsidR="002E2896" w:rsidRPr="002E2896" w:rsidRDefault="002E2896" w:rsidP="002E2896">
            <w:pPr>
              <w:rPr>
                <w:rFonts w:asciiTheme="minorHAnsi" w:hAnsiTheme="minorHAnsi"/>
                <w:szCs w:val="20"/>
              </w:rPr>
            </w:pPr>
            <w:r w:rsidRPr="002E2896">
              <w:rPr>
                <w:rFonts w:asciiTheme="minorHAnsi" w:hAnsiTheme="minorHAnsi"/>
                <w:szCs w:val="20"/>
              </w:rPr>
              <w:t xml:space="preserve">Member </w:t>
            </w:r>
          </w:p>
        </w:tc>
      </w:tr>
      <w:tr w:rsidR="002E2896" w:rsidRPr="002E2896" w14:paraId="1933E685" w14:textId="77777777" w:rsidTr="002E2896">
        <w:tc>
          <w:tcPr>
            <w:tcW w:w="191" w:type="pct"/>
          </w:tcPr>
          <w:p w14:paraId="67CB5CF3" w14:textId="77777777" w:rsidR="002E2896" w:rsidRPr="002E2896" w:rsidRDefault="002E2896" w:rsidP="002E2896">
            <w:pPr>
              <w:rPr>
                <w:rFonts w:asciiTheme="minorHAnsi" w:hAnsiTheme="minorHAnsi"/>
                <w:szCs w:val="20"/>
              </w:rPr>
            </w:pPr>
            <w:r w:rsidRPr="002E2896">
              <w:rPr>
                <w:rFonts w:asciiTheme="minorHAnsi" w:hAnsiTheme="minorHAnsi"/>
                <w:szCs w:val="20"/>
              </w:rPr>
              <w:t>4.</w:t>
            </w:r>
          </w:p>
        </w:tc>
        <w:tc>
          <w:tcPr>
            <w:tcW w:w="1462" w:type="pct"/>
          </w:tcPr>
          <w:p w14:paraId="7FB9D4FA" w14:textId="77777777" w:rsidR="002E2896" w:rsidRPr="002E2896" w:rsidRDefault="002E2896" w:rsidP="002E2896">
            <w:pPr>
              <w:rPr>
                <w:rFonts w:asciiTheme="minorHAnsi" w:hAnsiTheme="minorHAnsi"/>
                <w:szCs w:val="20"/>
              </w:rPr>
            </w:pPr>
            <w:r w:rsidRPr="002E2896">
              <w:rPr>
                <w:rFonts w:asciiTheme="minorHAnsi" w:hAnsiTheme="minorHAnsi"/>
                <w:szCs w:val="20"/>
              </w:rPr>
              <w:t xml:space="preserve">Nonkanyiso Nhleko </w:t>
            </w:r>
          </w:p>
        </w:tc>
        <w:tc>
          <w:tcPr>
            <w:tcW w:w="1462" w:type="pct"/>
          </w:tcPr>
          <w:p w14:paraId="172C80F2" w14:textId="77777777" w:rsidR="002E2896" w:rsidRPr="002E2896" w:rsidRDefault="002E2896" w:rsidP="002E2896">
            <w:pPr>
              <w:rPr>
                <w:rFonts w:asciiTheme="minorHAnsi" w:hAnsiTheme="minorHAnsi"/>
                <w:szCs w:val="20"/>
              </w:rPr>
            </w:pPr>
            <w:r w:rsidRPr="002E2896">
              <w:rPr>
                <w:rFonts w:asciiTheme="minorHAnsi" w:hAnsiTheme="minorHAnsi"/>
                <w:szCs w:val="20"/>
              </w:rPr>
              <w:t>Contract Monitoring Officer</w:t>
            </w:r>
          </w:p>
        </w:tc>
        <w:tc>
          <w:tcPr>
            <w:tcW w:w="1226" w:type="pct"/>
          </w:tcPr>
          <w:p w14:paraId="215B7CC9" w14:textId="77777777" w:rsidR="002E2896" w:rsidRPr="002E2896" w:rsidRDefault="002E2896" w:rsidP="002E2896">
            <w:pPr>
              <w:rPr>
                <w:rFonts w:asciiTheme="minorHAnsi" w:hAnsiTheme="minorHAnsi"/>
                <w:szCs w:val="20"/>
              </w:rPr>
            </w:pPr>
            <w:r w:rsidRPr="002E2896">
              <w:rPr>
                <w:rFonts w:asciiTheme="minorHAnsi" w:hAnsiTheme="minorHAnsi"/>
                <w:szCs w:val="20"/>
              </w:rPr>
              <w:t>Financial Services ( SCM)</w:t>
            </w:r>
          </w:p>
        </w:tc>
        <w:tc>
          <w:tcPr>
            <w:tcW w:w="659" w:type="pct"/>
          </w:tcPr>
          <w:p w14:paraId="4DCEFFB0" w14:textId="77777777" w:rsidR="002E2896" w:rsidRPr="002E2896" w:rsidRDefault="002E2896" w:rsidP="002E2896">
            <w:pPr>
              <w:rPr>
                <w:rFonts w:asciiTheme="minorHAnsi" w:hAnsiTheme="minorHAnsi"/>
                <w:szCs w:val="20"/>
              </w:rPr>
            </w:pPr>
            <w:r w:rsidRPr="002E2896">
              <w:rPr>
                <w:rFonts w:asciiTheme="minorHAnsi" w:hAnsiTheme="minorHAnsi"/>
                <w:szCs w:val="20"/>
              </w:rPr>
              <w:t xml:space="preserve">Member </w:t>
            </w:r>
          </w:p>
        </w:tc>
      </w:tr>
    </w:tbl>
    <w:p w14:paraId="771F3F26" w14:textId="77777777" w:rsidR="002C35D0" w:rsidRPr="00314A49" w:rsidRDefault="0016169B" w:rsidP="002F62F0">
      <w:pPr>
        <w:pStyle w:val="Caption"/>
        <w:rPr>
          <w:lang w:val="en-ZA"/>
        </w:rPr>
      </w:pPr>
      <w:bookmarkStart w:id="557" w:name="_Toc510622343"/>
      <w:r>
        <w:t xml:space="preserve">Table </w:t>
      </w:r>
      <w:r w:rsidR="00B918A6">
        <w:fldChar w:fldCharType="begin"/>
      </w:r>
      <w:r w:rsidR="00B918A6">
        <w:instrText xml:space="preserve"> SEQ Table \* ARABIC </w:instrText>
      </w:r>
      <w:r w:rsidR="00B918A6">
        <w:fldChar w:fldCharType="separate"/>
      </w:r>
      <w:r w:rsidR="0067023A">
        <w:rPr>
          <w:noProof/>
        </w:rPr>
        <w:t>92</w:t>
      </w:r>
      <w:r w:rsidR="00B918A6">
        <w:rPr>
          <w:noProof/>
        </w:rPr>
        <w:fldChar w:fldCharType="end"/>
      </w:r>
      <w:r>
        <w:t xml:space="preserve">: </w:t>
      </w:r>
      <w:r w:rsidRPr="0016169B">
        <w:rPr>
          <w:lang w:val="en-ZA"/>
        </w:rPr>
        <w:t>Bid Specifications Committee Members</w:t>
      </w:r>
      <w:bookmarkEnd w:id="557"/>
    </w:p>
    <w:p w14:paraId="04C695E9" w14:textId="77777777" w:rsidR="002C35D0" w:rsidRDefault="003F34D3" w:rsidP="002C35D0">
      <w:pPr>
        <w:tabs>
          <w:tab w:val="left" w:pos="0"/>
        </w:tabs>
        <w:spacing w:after="0" w:line="240" w:lineRule="auto"/>
        <w:jc w:val="both"/>
        <w:rPr>
          <w:rFonts w:eastAsia="Calibri" w:cs="Arial"/>
          <w:lang w:val="en-ZA"/>
        </w:rPr>
      </w:pPr>
      <w:r w:rsidRPr="00314A49">
        <w:rPr>
          <w:rFonts w:eastAsia="Calibri" w:cs="Arial"/>
          <w:lang w:val="en-ZA"/>
        </w:rPr>
        <w:t>Note:</w:t>
      </w:r>
      <w:r w:rsidR="002C35D0" w:rsidRPr="00314A49">
        <w:rPr>
          <w:rFonts w:eastAsia="Calibri" w:cs="Arial"/>
          <w:lang w:val="en-ZA"/>
        </w:rPr>
        <w:t xml:space="preserve"> Quorum is made by at least 50% +1.  It should be noted that this committee may when appropriate, include external specialist advisors for technical matters.</w:t>
      </w:r>
    </w:p>
    <w:p w14:paraId="5171BDEC" w14:textId="77777777" w:rsidR="002E2896" w:rsidRDefault="002E2896" w:rsidP="002C35D0">
      <w:pPr>
        <w:tabs>
          <w:tab w:val="left" w:pos="0"/>
        </w:tabs>
        <w:spacing w:after="0" w:line="240" w:lineRule="auto"/>
        <w:jc w:val="both"/>
        <w:rPr>
          <w:rFonts w:eastAsia="Calibri" w:cs="Arial"/>
          <w:lang w:val="en-ZA"/>
        </w:rPr>
      </w:pPr>
    </w:p>
    <w:p w14:paraId="138FDC01" w14:textId="77777777" w:rsidR="002C35D0" w:rsidRPr="00BB6855" w:rsidRDefault="00896DF5" w:rsidP="00750180">
      <w:pPr>
        <w:pStyle w:val="Heading5"/>
        <w:numPr>
          <w:ilvl w:val="4"/>
          <w:numId w:val="127"/>
        </w:numPr>
        <w:tabs>
          <w:tab w:val="left" w:pos="0"/>
        </w:tabs>
        <w:spacing w:line="240" w:lineRule="auto"/>
        <w:jc w:val="both"/>
        <w:rPr>
          <w:rFonts w:eastAsia="Times New Roman"/>
          <w:lang w:val="en-ZA" w:eastAsia="en-ZA"/>
        </w:rPr>
      </w:pPr>
      <w:r w:rsidRPr="00BB6855">
        <w:rPr>
          <w:rFonts w:eastAsia="Times New Roman"/>
          <w:lang w:val="en-ZA" w:eastAsia="en-ZA"/>
        </w:rPr>
        <w:t>Bid Evaluation Committee Members: -</w:t>
      </w:r>
    </w:p>
    <w:p w14:paraId="10F7E0F7" w14:textId="77777777" w:rsidR="002E2896" w:rsidRDefault="002E2896" w:rsidP="002E2896">
      <w:pPr>
        <w:tabs>
          <w:tab w:val="left" w:pos="810"/>
        </w:tabs>
        <w:spacing w:after="0" w:line="240" w:lineRule="auto"/>
        <w:jc w:val="both"/>
        <w:rPr>
          <w:rFonts w:eastAsia="Calibri" w:cs="Arial"/>
          <w:b/>
          <w:lang w:val="en-ZA"/>
        </w:rPr>
      </w:pPr>
    </w:p>
    <w:tbl>
      <w:tblPr>
        <w:tblStyle w:val="TableGrid20"/>
        <w:tblW w:w="5000" w:type="pct"/>
        <w:tblLook w:val="04A0" w:firstRow="1" w:lastRow="0" w:firstColumn="1" w:lastColumn="0" w:noHBand="0" w:noVBand="1"/>
      </w:tblPr>
      <w:tblGrid>
        <w:gridCol w:w="368"/>
        <w:gridCol w:w="2815"/>
        <w:gridCol w:w="2815"/>
        <w:gridCol w:w="2167"/>
        <w:gridCol w:w="1464"/>
      </w:tblGrid>
      <w:tr w:rsidR="002E2896" w:rsidRPr="002E2896" w14:paraId="4CCEC228" w14:textId="77777777" w:rsidTr="002E2896">
        <w:tc>
          <w:tcPr>
            <w:tcW w:w="191" w:type="pct"/>
          </w:tcPr>
          <w:p w14:paraId="107E2BF7" w14:textId="77777777" w:rsidR="002E2896" w:rsidRPr="002E2896" w:rsidRDefault="002E2896" w:rsidP="002E2896">
            <w:pPr>
              <w:rPr>
                <w:rFonts w:asciiTheme="minorHAnsi" w:hAnsiTheme="minorHAnsi"/>
                <w:szCs w:val="18"/>
              </w:rPr>
            </w:pPr>
          </w:p>
        </w:tc>
        <w:tc>
          <w:tcPr>
            <w:tcW w:w="1462" w:type="pct"/>
          </w:tcPr>
          <w:p w14:paraId="53695A1A" w14:textId="77777777" w:rsidR="002E2896" w:rsidRPr="002E2896" w:rsidRDefault="002E2896" w:rsidP="002E2896">
            <w:pPr>
              <w:rPr>
                <w:rFonts w:asciiTheme="minorHAnsi" w:hAnsiTheme="minorHAnsi"/>
                <w:b/>
                <w:szCs w:val="18"/>
              </w:rPr>
            </w:pPr>
            <w:r w:rsidRPr="002E2896">
              <w:rPr>
                <w:rFonts w:asciiTheme="minorHAnsi" w:hAnsiTheme="minorHAnsi"/>
                <w:b/>
                <w:szCs w:val="18"/>
              </w:rPr>
              <w:t>Name of Member</w:t>
            </w:r>
          </w:p>
        </w:tc>
        <w:tc>
          <w:tcPr>
            <w:tcW w:w="1462" w:type="pct"/>
          </w:tcPr>
          <w:p w14:paraId="0BB27A34" w14:textId="77777777" w:rsidR="002E2896" w:rsidRPr="002E2896" w:rsidRDefault="002E2896" w:rsidP="002E2896">
            <w:pPr>
              <w:jc w:val="center"/>
              <w:rPr>
                <w:rFonts w:asciiTheme="minorHAnsi" w:hAnsiTheme="minorHAnsi"/>
                <w:b/>
                <w:szCs w:val="18"/>
              </w:rPr>
            </w:pPr>
            <w:r w:rsidRPr="002E2896">
              <w:rPr>
                <w:rFonts w:asciiTheme="minorHAnsi" w:hAnsiTheme="minorHAnsi"/>
                <w:b/>
                <w:szCs w:val="18"/>
              </w:rPr>
              <w:t>Designation</w:t>
            </w:r>
          </w:p>
        </w:tc>
        <w:tc>
          <w:tcPr>
            <w:tcW w:w="1125" w:type="pct"/>
          </w:tcPr>
          <w:p w14:paraId="5906DFCD" w14:textId="77777777" w:rsidR="002E2896" w:rsidRPr="002E2896" w:rsidRDefault="002E2896" w:rsidP="002E2896">
            <w:pPr>
              <w:jc w:val="center"/>
              <w:rPr>
                <w:rFonts w:asciiTheme="minorHAnsi" w:hAnsiTheme="minorHAnsi"/>
                <w:b/>
                <w:szCs w:val="18"/>
              </w:rPr>
            </w:pPr>
            <w:r w:rsidRPr="002E2896">
              <w:rPr>
                <w:rFonts w:asciiTheme="minorHAnsi" w:hAnsiTheme="minorHAnsi"/>
                <w:b/>
                <w:szCs w:val="18"/>
              </w:rPr>
              <w:t>Department</w:t>
            </w:r>
          </w:p>
        </w:tc>
        <w:tc>
          <w:tcPr>
            <w:tcW w:w="761" w:type="pct"/>
          </w:tcPr>
          <w:p w14:paraId="77C49D2D" w14:textId="77777777" w:rsidR="002E2896" w:rsidRPr="002E2896" w:rsidRDefault="002E2896" w:rsidP="002E2896">
            <w:pPr>
              <w:jc w:val="center"/>
              <w:rPr>
                <w:rFonts w:asciiTheme="minorHAnsi" w:hAnsiTheme="minorHAnsi"/>
                <w:b/>
                <w:szCs w:val="18"/>
              </w:rPr>
            </w:pPr>
            <w:r w:rsidRPr="002E2896">
              <w:rPr>
                <w:rFonts w:asciiTheme="minorHAnsi" w:hAnsiTheme="minorHAnsi"/>
                <w:b/>
                <w:szCs w:val="18"/>
              </w:rPr>
              <w:t>Capacity</w:t>
            </w:r>
          </w:p>
        </w:tc>
      </w:tr>
      <w:tr w:rsidR="002E2896" w:rsidRPr="002E2896" w14:paraId="4F419690" w14:textId="77777777" w:rsidTr="002E2896">
        <w:tc>
          <w:tcPr>
            <w:tcW w:w="191" w:type="pct"/>
          </w:tcPr>
          <w:p w14:paraId="32FB4748" w14:textId="77777777" w:rsidR="002E2896" w:rsidRPr="002E2896" w:rsidRDefault="002E2896" w:rsidP="002E2896">
            <w:pPr>
              <w:rPr>
                <w:rFonts w:asciiTheme="minorHAnsi" w:hAnsiTheme="minorHAnsi"/>
                <w:szCs w:val="18"/>
              </w:rPr>
            </w:pPr>
            <w:r w:rsidRPr="002E2896">
              <w:rPr>
                <w:rFonts w:asciiTheme="minorHAnsi" w:hAnsiTheme="minorHAnsi"/>
                <w:szCs w:val="18"/>
              </w:rPr>
              <w:t>1.</w:t>
            </w:r>
          </w:p>
        </w:tc>
        <w:tc>
          <w:tcPr>
            <w:tcW w:w="1462" w:type="pct"/>
          </w:tcPr>
          <w:p w14:paraId="6CEA6B52" w14:textId="77777777" w:rsidR="002E2896" w:rsidRPr="002E2896" w:rsidRDefault="002E2896" w:rsidP="002E2896">
            <w:pPr>
              <w:rPr>
                <w:rFonts w:asciiTheme="minorHAnsi" w:hAnsiTheme="minorHAnsi"/>
                <w:szCs w:val="18"/>
              </w:rPr>
            </w:pPr>
            <w:r w:rsidRPr="002E2896">
              <w:rPr>
                <w:rFonts w:asciiTheme="minorHAnsi" w:hAnsiTheme="minorHAnsi"/>
                <w:szCs w:val="18"/>
              </w:rPr>
              <w:t xml:space="preserve">Khulekani C Zulu </w:t>
            </w:r>
          </w:p>
        </w:tc>
        <w:tc>
          <w:tcPr>
            <w:tcW w:w="1462" w:type="pct"/>
          </w:tcPr>
          <w:p w14:paraId="782424A4" w14:textId="77777777" w:rsidR="002E2896" w:rsidRPr="002E2896" w:rsidRDefault="002E2896" w:rsidP="002E2896">
            <w:pPr>
              <w:rPr>
                <w:rFonts w:asciiTheme="minorHAnsi" w:hAnsiTheme="minorHAnsi"/>
                <w:szCs w:val="18"/>
              </w:rPr>
            </w:pPr>
            <w:r w:rsidRPr="002E2896">
              <w:rPr>
                <w:rFonts w:asciiTheme="minorHAnsi" w:hAnsiTheme="minorHAnsi"/>
                <w:szCs w:val="18"/>
              </w:rPr>
              <w:t xml:space="preserve">Director Corporate Services </w:t>
            </w:r>
          </w:p>
        </w:tc>
        <w:tc>
          <w:tcPr>
            <w:tcW w:w="1125" w:type="pct"/>
          </w:tcPr>
          <w:p w14:paraId="1D9EB186" w14:textId="77777777" w:rsidR="002E2896" w:rsidRPr="002E2896" w:rsidRDefault="002E2896" w:rsidP="002E2896">
            <w:pPr>
              <w:rPr>
                <w:rFonts w:asciiTheme="minorHAnsi" w:hAnsiTheme="minorHAnsi"/>
                <w:szCs w:val="18"/>
              </w:rPr>
            </w:pPr>
            <w:r w:rsidRPr="002E2896">
              <w:rPr>
                <w:rFonts w:asciiTheme="minorHAnsi" w:hAnsiTheme="minorHAnsi"/>
                <w:szCs w:val="18"/>
              </w:rPr>
              <w:t xml:space="preserve">Corporate Services </w:t>
            </w:r>
          </w:p>
        </w:tc>
        <w:tc>
          <w:tcPr>
            <w:tcW w:w="761" w:type="pct"/>
          </w:tcPr>
          <w:p w14:paraId="6C0D2497" w14:textId="77777777" w:rsidR="002E2896" w:rsidRPr="002E2896" w:rsidRDefault="002E2896" w:rsidP="002E2896">
            <w:pPr>
              <w:rPr>
                <w:rFonts w:asciiTheme="minorHAnsi" w:hAnsiTheme="minorHAnsi"/>
                <w:szCs w:val="18"/>
              </w:rPr>
            </w:pPr>
            <w:r w:rsidRPr="002E2896">
              <w:rPr>
                <w:rFonts w:asciiTheme="minorHAnsi" w:hAnsiTheme="minorHAnsi"/>
                <w:szCs w:val="18"/>
              </w:rPr>
              <w:t xml:space="preserve">Chairman </w:t>
            </w:r>
          </w:p>
        </w:tc>
      </w:tr>
      <w:tr w:rsidR="002E2896" w:rsidRPr="002E2896" w14:paraId="232767D9" w14:textId="77777777" w:rsidTr="002E2896">
        <w:tc>
          <w:tcPr>
            <w:tcW w:w="191" w:type="pct"/>
          </w:tcPr>
          <w:p w14:paraId="2239E6C2" w14:textId="77777777" w:rsidR="002E2896" w:rsidRPr="002E2896" w:rsidRDefault="002E2896" w:rsidP="002E2896">
            <w:pPr>
              <w:rPr>
                <w:rFonts w:asciiTheme="minorHAnsi" w:hAnsiTheme="minorHAnsi"/>
                <w:szCs w:val="18"/>
              </w:rPr>
            </w:pPr>
            <w:r w:rsidRPr="002E2896">
              <w:rPr>
                <w:rFonts w:asciiTheme="minorHAnsi" w:hAnsiTheme="minorHAnsi"/>
                <w:szCs w:val="18"/>
              </w:rPr>
              <w:t>2.</w:t>
            </w:r>
          </w:p>
        </w:tc>
        <w:tc>
          <w:tcPr>
            <w:tcW w:w="1462" w:type="pct"/>
          </w:tcPr>
          <w:p w14:paraId="22566F27" w14:textId="77777777" w:rsidR="002E2896" w:rsidRPr="002E2896" w:rsidRDefault="002E2896" w:rsidP="002E2896">
            <w:pPr>
              <w:rPr>
                <w:rFonts w:asciiTheme="minorHAnsi" w:hAnsiTheme="minorHAnsi"/>
                <w:szCs w:val="18"/>
              </w:rPr>
            </w:pPr>
            <w:r w:rsidRPr="002E2896">
              <w:rPr>
                <w:rFonts w:asciiTheme="minorHAnsi" w:hAnsiTheme="minorHAnsi"/>
                <w:szCs w:val="18"/>
              </w:rPr>
              <w:t xml:space="preserve">Themba Mnguni </w:t>
            </w:r>
          </w:p>
        </w:tc>
        <w:tc>
          <w:tcPr>
            <w:tcW w:w="1462" w:type="pct"/>
          </w:tcPr>
          <w:p w14:paraId="68F2FA5D" w14:textId="77777777" w:rsidR="002E2896" w:rsidRPr="002E2896" w:rsidRDefault="002E2896" w:rsidP="002E2896">
            <w:pPr>
              <w:rPr>
                <w:rFonts w:asciiTheme="minorHAnsi" w:hAnsiTheme="minorHAnsi"/>
                <w:szCs w:val="18"/>
              </w:rPr>
            </w:pPr>
            <w:r w:rsidRPr="002E2896">
              <w:rPr>
                <w:rFonts w:asciiTheme="minorHAnsi" w:hAnsiTheme="minorHAnsi"/>
                <w:szCs w:val="18"/>
              </w:rPr>
              <w:t>Manager Finance (Expenditure)</w:t>
            </w:r>
          </w:p>
        </w:tc>
        <w:tc>
          <w:tcPr>
            <w:tcW w:w="1125" w:type="pct"/>
          </w:tcPr>
          <w:p w14:paraId="4C7BC1C3" w14:textId="77777777" w:rsidR="002E2896" w:rsidRPr="002E2896" w:rsidRDefault="002E2896" w:rsidP="002E2896">
            <w:pPr>
              <w:rPr>
                <w:rFonts w:asciiTheme="minorHAnsi" w:hAnsiTheme="minorHAnsi"/>
                <w:szCs w:val="18"/>
              </w:rPr>
            </w:pPr>
            <w:r w:rsidRPr="002E2896">
              <w:rPr>
                <w:rFonts w:asciiTheme="minorHAnsi" w:hAnsiTheme="minorHAnsi"/>
                <w:szCs w:val="18"/>
              </w:rPr>
              <w:t xml:space="preserve">Financial Services </w:t>
            </w:r>
          </w:p>
        </w:tc>
        <w:tc>
          <w:tcPr>
            <w:tcW w:w="761" w:type="pct"/>
          </w:tcPr>
          <w:p w14:paraId="42C538F8" w14:textId="77777777" w:rsidR="002E2896" w:rsidRPr="002E2896" w:rsidRDefault="002E2896" w:rsidP="002E2896">
            <w:pPr>
              <w:rPr>
                <w:rFonts w:asciiTheme="minorHAnsi" w:hAnsiTheme="minorHAnsi"/>
                <w:szCs w:val="18"/>
              </w:rPr>
            </w:pPr>
            <w:r w:rsidRPr="002E2896">
              <w:rPr>
                <w:rFonts w:asciiTheme="minorHAnsi" w:hAnsiTheme="minorHAnsi"/>
                <w:szCs w:val="18"/>
              </w:rPr>
              <w:t xml:space="preserve">Member </w:t>
            </w:r>
          </w:p>
        </w:tc>
      </w:tr>
      <w:tr w:rsidR="002E2896" w:rsidRPr="002E2896" w14:paraId="3E6B8B25" w14:textId="77777777" w:rsidTr="002E2896">
        <w:tc>
          <w:tcPr>
            <w:tcW w:w="191" w:type="pct"/>
          </w:tcPr>
          <w:p w14:paraId="39C7BCEF" w14:textId="77777777" w:rsidR="002E2896" w:rsidRPr="002E2896" w:rsidRDefault="002E2896" w:rsidP="002E2896">
            <w:pPr>
              <w:rPr>
                <w:rFonts w:asciiTheme="minorHAnsi" w:hAnsiTheme="minorHAnsi"/>
                <w:szCs w:val="18"/>
              </w:rPr>
            </w:pPr>
            <w:r w:rsidRPr="002E2896">
              <w:rPr>
                <w:rFonts w:asciiTheme="minorHAnsi" w:hAnsiTheme="minorHAnsi"/>
                <w:szCs w:val="18"/>
              </w:rPr>
              <w:t>3.</w:t>
            </w:r>
          </w:p>
        </w:tc>
        <w:tc>
          <w:tcPr>
            <w:tcW w:w="1462" w:type="pct"/>
          </w:tcPr>
          <w:p w14:paraId="3EA7F324" w14:textId="77777777" w:rsidR="002E2896" w:rsidRPr="002E2896" w:rsidRDefault="002E2896" w:rsidP="002E2896">
            <w:pPr>
              <w:rPr>
                <w:rFonts w:asciiTheme="minorHAnsi" w:hAnsiTheme="minorHAnsi"/>
                <w:szCs w:val="18"/>
              </w:rPr>
            </w:pPr>
            <w:r w:rsidRPr="002E2896">
              <w:rPr>
                <w:rFonts w:asciiTheme="minorHAnsi" w:hAnsiTheme="minorHAnsi"/>
                <w:szCs w:val="18"/>
              </w:rPr>
              <w:t xml:space="preserve">Mbuso Dlamini </w:t>
            </w:r>
          </w:p>
        </w:tc>
        <w:tc>
          <w:tcPr>
            <w:tcW w:w="1462" w:type="pct"/>
          </w:tcPr>
          <w:p w14:paraId="4C278F82" w14:textId="77777777" w:rsidR="002E2896" w:rsidRPr="002E2896" w:rsidRDefault="002E2896" w:rsidP="002E2896">
            <w:pPr>
              <w:rPr>
                <w:rFonts w:asciiTheme="minorHAnsi" w:hAnsiTheme="minorHAnsi"/>
                <w:szCs w:val="18"/>
              </w:rPr>
            </w:pPr>
            <w:r w:rsidRPr="002E2896">
              <w:rPr>
                <w:rFonts w:asciiTheme="minorHAnsi" w:hAnsiTheme="minorHAnsi"/>
                <w:szCs w:val="18"/>
              </w:rPr>
              <w:t>Senior Manager  Engineering (Civil)</w:t>
            </w:r>
          </w:p>
        </w:tc>
        <w:tc>
          <w:tcPr>
            <w:tcW w:w="1125" w:type="pct"/>
          </w:tcPr>
          <w:p w14:paraId="24B9497E" w14:textId="77777777" w:rsidR="002E2896" w:rsidRPr="002E2896" w:rsidRDefault="002E2896" w:rsidP="002E2896">
            <w:pPr>
              <w:rPr>
                <w:rFonts w:asciiTheme="minorHAnsi" w:hAnsiTheme="minorHAnsi"/>
                <w:szCs w:val="18"/>
              </w:rPr>
            </w:pPr>
            <w:r w:rsidRPr="002E2896">
              <w:rPr>
                <w:rFonts w:asciiTheme="minorHAnsi" w:hAnsiTheme="minorHAnsi"/>
                <w:szCs w:val="18"/>
              </w:rPr>
              <w:t xml:space="preserve">Engineering Services  </w:t>
            </w:r>
          </w:p>
        </w:tc>
        <w:tc>
          <w:tcPr>
            <w:tcW w:w="761" w:type="pct"/>
          </w:tcPr>
          <w:p w14:paraId="73452363" w14:textId="77777777" w:rsidR="002E2896" w:rsidRPr="002E2896" w:rsidRDefault="002E2896" w:rsidP="002E2896">
            <w:pPr>
              <w:rPr>
                <w:rFonts w:asciiTheme="minorHAnsi" w:hAnsiTheme="minorHAnsi"/>
                <w:szCs w:val="18"/>
              </w:rPr>
            </w:pPr>
            <w:r w:rsidRPr="002E2896">
              <w:rPr>
                <w:rFonts w:asciiTheme="minorHAnsi" w:hAnsiTheme="minorHAnsi"/>
                <w:szCs w:val="18"/>
              </w:rPr>
              <w:t xml:space="preserve">Member </w:t>
            </w:r>
          </w:p>
        </w:tc>
      </w:tr>
      <w:tr w:rsidR="002E2896" w:rsidRPr="002E2896" w14:paraId="472D7D59" w14:textId="77777777" w:rsidTr="002E2896">
        <w:tc>
          <w:tcPr>
            <w:tcW w:w="191" w:type="pct"/>
          </w:tcPr>
          <w:p w14:paraId="3EC5DFC9" w14:textId="77777777" w:rsidR="002E2896" w:rsidRPr="002E2896" w:rsidRDefault="002E2896" w:rsidP="002E2896">
            <w:pPr>
              <w:rPr>
                <w:rFonts w:asciiTheme="minorHAnsi" w:hAnsiTheme="minorHAnsi"/>
                <w:szCs w:val="18"/>
              </w:rPr>
            </w:pPr>
            <w:r w:rsidRPr="002E2896">
              <w:rPr>
                <w:rFonts w:asciiTheme="minorHAnsi" w:hAnsiTheme="minorHAnsi"/>
                <w:szCs w:val="18"/>
              </w:rPr>
              <w:t>4.</w:t>
            </w:r>
          </w:p>
        </w:tc>
        <w:tc>
          <w:tcPr>
            <w:tcW w:w="1462" w:type="pct"/>
          </w:tcPr>
          <w:p w14:paraId="4826F796" w14:textId="77777777" w:rsidR="002E2896" w:rsidRPr="002E2896" w:rsidRDefault="002E2896" w:rsidP="002E2896">
            <w:pPr>
              <w:rPr>
                <w:rFonts w:asciiTheme="minorHAnsi" w:hAnsiTheme="minorHAnsi"/>
                <w:szCs w:val="18"/>
              </w:rPr>
            </w:pPr>
            <w:r w:rsidRPr="002E2896">
              <w:rPr>
                <w:rFonts w:asciiTheme="minorHAnsi" w:hAnsiTheme="minorHAnsi"/>
                <w:szCs w:val="18"/>
              </w:rPr>
              <w:t xml:space="preserve">Xolani Blose </w:t>
            </w:r>
          </w:p>
        </w:tc>
        <w:tc>
          <w:tcPr>
            <w:tcW w:w="1462" w:type="pct"/>
          </w:tcPr>
          <w:p w14:paraId="19F51FF8" w14:textId="77777777" w:rsidR="002E2896" w:rsidRPr="002E2896" w:rsidRDefault="002E2896" w:rsidP="002E2896">
            <w:pPr>
              <w:rPr>
                <w:rFonts w:asciiTheme="minorHAnsi" w:hAnsiTheme="minorHAnsi"/>
                <w:szCs w:val="18"/>
              </w:rPr>
            </w:pPr>
            <w:r w:rsidRPr="002E2896">
              <w:rPr>
                <w:rFonts w:asciiTheme="minorHAnsi" w:hAnsiTheme="minorHAnsi"/>
                <w:szCs w:val="18"/>
              </w:rPr>
              <w:t xml:space="preserve">Senior Manager Protection Services </w:t>
            </w:r>
          </w:p>
        </w:tc>
        <w:tc>
          <w:tcPr>
            <w:tcW w:w="1125" w:type="pct"/>
          </w:tcPr>
          <w:p w14:paraId="6BD824D7" w14:textId="77777777" w:rsidR="002E2896" w:rsidRPr="002E2896" w:rsidRDefault="002E2896" w:rsidP="002E2896">
            <w:pPr>
              <w:rPr>
                <w:rFonts w:asciiTheme="minorHAnsi" w:hAnsiTheme="minorHAnsi"/>
                <w:szCs w:val="18"/>
              </w:rPr>
            </w:pPr>
            <w:r w:rsidRPr="002E2896">
              <w:rPr>
                <w:rFonts w:asciiTheme="minorHAnsi" w:hAnsiTheme="minorHAnsi"/>
                <w:szCs w:val="18"/>
              </w:rPr>
              <w:t xml:space="preserve">Municipal Managers  Office </w:t>
            </w:r>
          </w:p>
        </w:tc>
        <w:tc>
          <w:tcPr>
            <w:tcW w:w="761" w:type="pct"/>
          </w:tcPr>
          <w:p w14:paraId="5E0A2B56" w14:textId="77777777" w:rsidR="002E2896" w:rsidRPr="002E2896" w:rsidRDefault="002E2896" w:rsidP="002E2896">
            <w:pPr>
              <w:rPr>
                <w:rFonts w:asciiTheme="minorHAnsi" w:hAnsiTheme="minorHAnsi"/>
                <w:szCs w:val="18"/>
              </w:rPr>
            </w:pPr>
            <w:r w:rsidRPr="002E2896">
              <w:rPr>
                <w:rFonts w:asciiTheme="minorHAnsi" w:hAnsiTheme="minorHAnsi"/>
                <w:szCs w:val="18"/>
              </w:rPr>
              <w:t xml:space="preserve">Member </w:t>
            </w:r>
          </w:p>
        </w:tc>
      </w:tr>
      <w:tr w:rsidR="002E2896" w:rsidRPr="002E2896" w14:paraId="04F85AE1" w14:textId="77777777" w:rsidTr="002E2896">
        <w:tc>
          <w:tcPr>
            <w:tcW w:w="191" w:type="pct"/>
          </w:tcPr>
          <w:p w14:paraId="372EA9E2" w14:textId="77777777" w:rsidR="002E2896" w:rsidRPr="002E2896" w:rsidRDefault="002E2896" w:rsidP="002E2896">
            <w:pPr>
              <w:rPr>
                <w:rFonts w:asciiTheme="minorHAnsi" w:hAnsiTheme="minorHAnsi"/>
                <w:szCs w:val="18"/>
              </w:rPr>
            </w:pPr>
            <w:r w:rsidRPr="002E2896">
              <w:rPr>
                <w:rFonts w:asciiTheme="minorHAnsi" w:hAnsiTheme="minorHAnsi"/>
                <w:szCs w:val="18"/>
              </w:rPr>
              <w:t xml:space="preserve">5. </w:t>
            </w:r>
          </w:p>
        </w:tc>
        <w:tc>
          <w:tcPr>
            <w:tcW w:w="1462" w:type="pct"/>
          </w:tcPr>
          <w:p w14:paraId="143801D2" w14:textId="77777777" w:rsidR="002E2896" w:rsidRPr="002E2896" w:rsidRDefault="002E2896" w:rsidP="002E2896">
            <w:pPr>
              <w:rPr>
                <w:rFonts w:asciiTheme="minorHAnsi" w:hAnsiTheme="minorHAnsi"/>
                <w:szCs w:val="18"/>
              </w:rPr>
            </w:pPr>
            <w:r w:rsidRPr="002E2896">
              <w:rPr>
                <w:rFonts w:asciiTheme="minorHAnsi" w:hAnsiTheme="minorHAnsi"/>
                <w:szCs w:val="18"/>
              </w:rPr>
              <w:t xml:space="preserve">Slungile Maphumulo </w:t>
            </w:r>
          </w:p>
        </w:tc>
        <w:tc>
          <w:tcPr>
            <w:tcW w:w="1462" w:type="pct"/>
          </w:tcPr>
          <w:p w14:paraId="43AA8A0A" w14:textId="77777777" w:rsidR="002E2896" w:rsidRPr="002E2896" w:rsidRDefault="002E2896" w:rsidP="002E2896">
            <w:pPr>
              <w:rPr>
                <w:rFonts w:asciiTheme="minorHAnsi" w:hAnsiTheme="minorHAnsi"/>
                <w:szCs w:val="18"/>
              </w:rPr>
            </w:pPr>
            <w:r w:rsidRPr="002E2896">
              <w:rPr>
                <w:rFonts w:asciiTheme="minorHAnsi" w:hAnsiTheme="minorHAnsi"/>
                <w:szCs w:val="18"/>
              </w:rPr>
              <w:t xml:space="preserve">Procurement  Officer </w:t>
            </w:r>
          </w:p>
        </w:tc>
        <w:tc>
          <w:tcPr>
            <w:tcW w:w="1125" w:type="pct"/>
          </w:tcPr>
          <w:p w14:paraId="007E76AE" w14:textId="77777777" w:rsidR="002E2896" w:rsidRPr="002E2896" w:rsidRDefault="002E2896" w:rsidP="002E2896">
            <w:pPr>
              <w:rPr>
                <w:rFonts w:asciiTheme="minorHAnsi" w:hAnsiTheme="minorHAnsi"/>
                <w:szCs w:val="18"/>
              </w:rPr>
            </w:pPr>
            <w:r w:rsidRPr="002E2896">
              <w:rPr>
                <w:rFonts w:asciiTheme="minorHAnsi" w:hAnsiTheme="minorHAnsi"/>
                <w:szCs w:val="18"/>
              </w:rPr>
              <w:t>Financial Services (SCM)</w:t>
            </w:r>
          </w:p>
        </w:tc>
        <w:tc>
          <w:tcPr>
            <w:tcW w:w="761" w:type="pct"/>
          </w:tcPr>
          <w:p w14:paraId="0E9BAAE9" w14:textId="77777777" w:rsidR="002E2896" w:rsidRPr="002E2896" w:rsidRDefault="002E2896" w:rsidP="002E2896">
            <w:pPr>
              <w:rPr>
                <w:rFonts w:asciiTheme="minorHAnsi" w:hAnsiTheme="minorHAnsi"/>
                <w:szCs w:val="18"/>
              </w:rPr>
            </w:pPr>
            <w:r w:rsidRPr="002E2896">
              <w:rPr>
                <w:rFonts w:asciiTheme="minorHAnsi" w:hAnsiTheme="minorHAnsi"/>
                <w:szCs w:val="18"/>
              </w:rPr>
              <w:t xml:space="preserve">Member </w:t>
            </w:r>
          </w:p>
        </w:tc>
      </w:tr>
    </w:tbl>
    <w:p w14:paraId="46C32B7D" w14:textId="77777777" w:rsidR="002C35D0" w:rsidRPr="00314A49" w:rsidRDefault="0016169B" w:rsidP="002F62F0">
      <w:pPr>
        <w:pStyle w:val="Caption"/>
        <w:rPr>
          <w:rFonts w:eastAsia="Calibri" w:cs="Arial"/>
          <w:lang w:val="en-ZA"/>
        </w:rPr>
      </w:pPr>
      <w:bookmarkStart w:id="558" w:name="_Toc510622344"/>
      <w:r>
        <w:t xml:space="preserve">Table </w:t>
      </w:r>
      <w:r w:rsidR="00B918A6">
        <w:fldChar w:fldCharType="begin"/>
      </w:r>
      <w:r w:rsidR="00B918A6">
        <w:instrText xml:space="preserve"> SEQ Table \* ARABIC </w:instrText>
      </w:r>
      <w:r w:rsidR="00B918A6">
        <w:fldChar w:fldCharType="separate"/>
      </w:r>
      <w:r w:rsidR="0067023A">
        <w:rPr>
          <w:noProof/>
        </w:rPr>
        <w:t>93</w:t>
      </w:r>
      <w:r w:rsidR="00B918A6">
        <w:rPr>
          <w:noProof/>
        </w:rPr>
        <w:fldChar w:fldCharType="end"/>
      </w:r>
      <w:r>
        <w:t xml:space="preserve">: </w:t>
      </w:r>
      <w:r w:rsidRPr="0016169B">
        <w:rPr>
          <w:rFonts w:eastAsia="Calibri" w:cs="Arial"/>
          <w:lang w:val="en-ZA"/>
        </w:rPr>
        <w:t>Bid Evaluation Committee Members</w:t>
      </w:r>
      <w:bookmarkEnd w:id="558"/>
    </w:p>
    <w:p w14:paraId="48683004" w14:textId="77777777" w:rsidR="002C35D0" w:rsidRPr="00314A49" w:rsidRDefault="003F34D3" w:rsidP="002C35D0">
      <w:pPr>
        <w:tabs>
          <w:tab w:val="left" w:pos="0"/>
        </w:tabs>
        <w:spacing w:after="0" w:line="240" w:lineRule="auto"/>
        <w:jc w:val="both"/>
        <w:rPr>
          <w:rFonts w:eastAsia="Calibri" w:cs="Arial"/>
          <w:lang w:val="en-ZA"/>
        </w:rPr>
      </w:pPr>
      <w:r w:rsidRPr="00314A49">
        <w:rPr>
          <w:rFonts w:eastAsia="Calibri" w:cs="Arial"/>
          <w:lang w:val="en-ZA"/>
        </w:rPr>
        <w:t>Note:</w:t>
      </w:r>
      <w:r w:rsidR="002C35D0" w:rsidRPr="00314A49">
        <w:rPr>
          <w:rFonts w:eastAsia="Calibri" w:cs="Arial"/>
          <w:lang w:val="en-ZA"/>
        </w:rPr>
        <w:t xml:space="preserve"> Quorum is made by at least 50% +1.  </w:t>
      </w:r>
    </w:p>
    <w:p w14:paraId="6006E444" w14:textId="77777777" w:rsidR="002C35D0" w:rsidRPr="00314A49" w:rsidRDefault="002C35D0" w:rsidP="002C35D0">
      <w:pPr>
        <w:tabs>
          <w:tab w:val="left" w:pos="0"/>
        </w:tabs>
        <w:spacing w:after="0" w:line="240" w:lineRule="auto"/>
        <w:jc w:val="both"/>
        <w:rPr>
          <w:rFonts w:eastAsia="Calibri" w:cs="Arial"/>
          <w:lang w:val="en-ZA"/>
        </w:rPr>
      </w:pPr>
    </w:p>
    <w:p w14:paraId="036FE43E" w14:textId="77777777" w:rsidR="002C35D0" w:rsidRDefault="00896DF5" w:rsidP="00750180">
      <w:pPr>
        <w:pStyle w:val="Heading5"/>
        <w:numPr>
          <w:ilvl w:val="4"/>
          <w:numId w:val="127"/>
        </w:numPr>
        <w:tabs>
          <w:tab w:val="left" w:pos="0"/>
        </w:tabs>
        <w:spacing w:line="240" w:lineRule="auto"/>
        <w:jc w:val="both"/>
        <w:rPr>
          <w:rFonts w:eastAsia="Calibri" w:cs="Arial"/>
          <w:b w:val="0"/>
          <w:lang w:val="en-ZA"/>
        </w:rPr>
      </w:pPr>
      <w:r w:rsidRPr="00BB6855">
        <w:rPr>
          <w:rFonts w:eastAsia="Times New Roman"/>
          <w:lang w:val="en-ZA" w:eastAsia="en-ZA"/>
        </w:rPr>
        <w:t>Bid Adjudication Committee Members: -</w:t>
      </w:r>
    </w:p>
    <w:p w14:paraId="7693C256" w14:textId="77777777" w:rsidR="002E2896" w:rsidRDefault="002E2896" w:rsidP="00BA4784">
      <w:pPr>
        <w:tabs>
          <w:tab w:val="left" w:pos="810"/>
        </w:tabs>
        <w:spacing w:after="0" w:line="240" w:lineRule="auto"/>
        <w:jc w:val="both"/>
        <w:rPr>
          <w:rFonts w:eastAsia="Calibri" w:cs="Arial"/>
          <w:lang w:val="en-ZA"/>
        </w:rPr>
      </w:pPr>
    </w:p>
    <w:tbl>
      <w:tblPr>
        <w:tblStyle w:val="TableGrid22"/>
        <w:tblW w:w="5000" w:type="pct"/>
        <w:tblLook w:val="04A0" w:firstRow="1" w:lastRow="0" w:firstColumn="1" w:lastColumn="0" w:noHBand="0" w:noVBand="1"/>
      </w:tblPr>
      <w:tblGrid>
        <w:gridCol w:w="368"/>
        <w:gridCol w:w="2815"/>
        <w:gridCol w:w="2815"/>
        <w:gridCol w:w="2167"/>
        <w:gridCol w:w="1464"/>
      </w:tblGrid>
      <w:tr w:rsidR="002E2896" w:rsidRPr="002E2896" w14:paraId="7F928154" w14:textId="77777777" w:rsidTr="002E2896">
        <w:tc>
          <w:tcPr>
            <w:tcW w:w="191" w:type="pct"/>
          </w:tcPr>
          <w:p w14:paraId="1D9356B4" w14:textId="77777777" w:rsidR="002E2896" w:rsidRPr="002E2896" w:rsidRDefault="002E2896" w:rsidP="002E2896">
            <w:pPr>
              <w:rPr>
                <w:rFonts w:asciiTheme="minorHAnsi" w:hAnsiTheme="minorHAnsi"/>
              </w:rPr>
            </w:pPr>
          </w:p>
        </w:tc>
        <w:tc>
          <w:tcPr>
            <w:tcW w:w="1462" w:type="pct"/>
          </w:tcPr>
          <w:p w14:paraId="3871FBCD" w14:textId="77777777" w:rsidR="002E2896" w:rsidRPr="002E2896" w:rsidRDefault="002E2896" w:rsidP="002E2896">
            <w:pPr>
              <w:rPr>
                <w:rFonts w:asciiTheme="minorHAnsi" w:hAnsiTheme="minorHAnsi"/>
                <w:b/>
              </w:rPr>
            </w:pPr>
            <w:r w:rsidRPr="002E2896">
              <w:rPr>
                <w:rFonts w:asciiTheme="minorHAnsi" w:hAnsiTheme="minorHAnsi"/>
                <w:b/>
              </w:rPr>
              <w:t>Name of Member</w:t>
            </w:r>
          </w:p>
        </w:tc>
        <w:tc>
          <w:tcPr>
            <w:tcW w:w="1462" w:type="pct"/>
          </w:tcPr>
          <w:p w14:paraId="07D5BB19" w14:textId="77777777" w:rsidR="002E2896" w:rsidRPr="002E2896" w:rsidRDefault="002E2896" w:rsidP="002E2896">
            <w:pPr>
              <w:jc w:val="center"/>
              <w:rPr>
                <w:rFonts w:asciiTheme="minorHAnsi" w:hAnsiTheme="minorHAnsi"/>
                <w:b/>
              </w:rPr>
            </w:pPr>
            <w:r w:rsidRPr="002E2896">
              <w:rPr>
                <w:rFonts w:asciiTheme="minorHAnsi" w:hAnsiTheme="minorHAnsi"/>
                <w:b/>
              </w:rPr>
              <w:t>Designation</w:t>
            </w:r>
          </w:p>
        </w:tc>
        <w:tc>
          <w:tcPr>
            <w:tcW w:w="1125" w:type="pct"/>
          </w:tcPr>
          <w:p w14:paraId="2D775678" w14:textId="77777777" w:rsidR="002E2896" w:rsidRPr="002E2896" w:rsidRDefault="002E2896" w:rsidP="002E2896">
            <w:pPr>
              <w:jc w:val="center"/>
              <w:rPr>
                <w:rFonts w:asciiTheme="minorHAnsi" w:hAnsiTheme="minorHAnsi"/>
                <w:b/>
              </w:rPr>
            </w:pPr>
            <w:r w:rsidRPr="002E2896">
              <w:rPr>
                <w:rFonts w:asciiTheme="minorHAnsi" w:hAnsiTheme="minorHAnsi"/>
                <w:b/>
              </w:rPr>
              <w:t>Department</w:t>
            </w:r>
          </w:p>
        </w:tc>
        <w:tc>
          <w:tcPr>
            <w:tcW w:w="761" w:type="pct"/>
          </w:tcPr>
          <w:p w14:paraId="563D0FC3" w14:textId="77777777" w:rsidR="002E2896" w:rsidRPr="002E2896" w:rsidRDefault="002E2896" w:rsidP="002E2896">
            <w:pPr>
              <w:jc w:val="center"/>
              <w:rPr>
                <w:rFonts w:asciiTheme="minorHAnsi" w:hAnsiTheme="minorHAnsi"/>
                <w:b/>
              </w:rPr>
            </w:pPr>
            <w:r w:rsidRPr="002E2896">
              <w:rPr>
                <w:rFonts w:asciiTheme="minorHAnsi" w:hAnsiTheme="minorHAnsi"/>
                <w:b/>
              </w:rPr>
              <w:t>Capacity</w:t>
            </w:r>
          </w:p>
        </w:tc>
      </w:tr>
      <w:tr w:rsidR="002E2896" w:rsidRPr="002E2896" w14:paraId="6671ED47" w14:textId="77777777" w:rsidTr="002E2896">
        <w:tc>
          <w:tcPr>
            <w:tcW w:w="191" w:type="pct"/>
          </w:tcPr>
          <w:p w14:paraId="32787D63" w14:textId="77777777" w:rsidR="002E2896" w:rsidRPr="002E2896" w:rsidRDefault="002E2896" w:rsidP="002E2896">
            <w:pPr>
              <w:rPr>
                <w:rFonts w:asciiTheme="minorHAnsi" w:hAnsiTheme="minorHAnsi"/>
              </w:rPr>
            </w:pPr>
            <w:r w:rsidRPr="002E2896">
              <w:rPr>
                <w:rFonts w:asciiTheme="minorHAnsi" w:hAnsiTheme="minorHAnsi"/>
              </w:rPr>
              <w:t>1.</w:t>
            </w:r>
          </w:p>
        </w:tc>
        <w:tc>
          <w:tcPr>
            <w:tcW w:w="1462" w:type="pct"/>
          </w:tcPr>
          <w:p w14:paraId="536EFAD5" w14:textId="77777777" w:rsidR="002E2896" w:rsidRPr="002E2896" w:rsidRDefault="002E2896" w:rsidP="002E2896">
            <w:pPr>
              <w:rPr>
                <w:rFonts w:asciiTheme="minorHAnsi" w:hAnsiTheme="minorHAnsi"/>
              </w:rPr>
            </w:pPr>
            <w:r w:rsidRPr="002E2896">
              <w:rPr>
                <w:rFonts w:asciiTheme="minorHAnsi" w:hAnsiTheme="minorHAnsi"/>
              </w:rPr>
              <w:t xml:space="preserve">Zakhele Mhlongo </w:t>
            </w:r>
          </w:p>
        </w:tc>
        <w:tc>
          <w:tcPr>
            <w:tcW w:w="1462" w:type="pct"/>
          </w:tcPr>
          <w:p w14:paraId="63999C3C" w14:textId="77777777" w:rsidR="002E2896" w:rsidRPr="002E2896" w:rsidRDefault="002E2896" w:rsidP="002E2896">
            <w:pPr>
              <w:rPr>
                <w:rFonts w:asciiTheme="minorHAnsi" w:hAnsiTheme="minorHAnsi"/>
              </w:rPr>
            </w:pPr>
            <w:r w:rsidRPr="002E2896">
              <w:rPr>
                <w:rFonts w:asciiTheme="minorHAnsi" w:hAnsiTheme="minorHAnsi"/>
              </w:rPr>
              <w:t xml:space="preserve">Chief Financial Officer </w:t>
            </w:r>
          </w:p>
        </w:tc>
        <w:tc>
          <w:tcPr>
            <w:tcW w:w="1125" w:type="pct"/>
          </w:tcPr>
          <w:p w14:paraId="170BA85B" w14:textId="77777777" w:rsidR="002E2896" w:rsidRPr="002E2896" w:rsidRDefault="002E2896" w:rsidP="002E2896">
            <w:pPr>
              <w:rPr>
                <w:rFonts w:asciiTheme="minorHAnsi" w:hAnsiTheme="minorHAnsi"/>
              </w:rPr>
            </w:pPr>
            <w:r w:rsidRPr="002E2896">
              <w:rPr>
                <w:rFonts w:asciiTheme="minorHAnsi" w:hAnsiTheme="minorHAnsi"/>
              </w:rPr>
              <w:t xml:space="preserve">Financial Services </w:t>
            </w:r>
          </w:p>
        </w:tc>
        <w:tc>
          <w:tcPr>
            <w:tcW w:w="761" w:type="pct"/>
          </w:tcPr>
          <w:p w14:paraId="35465685" w14:textId="77777777" w:rsidR="002E2896" w:rsidRPr="002E2896" w:rsidRDefault="002E2896" w:rsidP="002E2896">
            <w:pPr>
              <w:rPr>
                <w:rFonts w:asciiTheme="minorHAnsi" w:hAnsiTheme="minorHAnsi"/>
              </w:rPr>
            </w:pPr>
            <w:r w:rsidRPr="002E2896">
              <w:rPr>
                <w:rFonts w:asciiTheme="minorHAnsi" w:hAnsiTheme="minorHAnsi"/>
              </w:rPr>
              <w:t xml:space="preserve">Chairman </w:t>
            </w:r>
          </w:p>
        </w:tc>
      </w:tr>
      <w:tr w:rsidR="002E2896" w:rsidRPr="002E2896" w14:paraId="45D4EEDF" w14:textId="77777777" w:rsidTr="002E2896">
        <w:tc>
          <w:tcPr>
            <w:tcW w:w="191" w:type="pct"/>
          </w:tcPr>
          <w:p w14:paraId="3BA8A924" w14:textId="77777777" w:rsidR="002E2896" w:rsidRPr="002E2896" w:rsidRDefault="002E2896" w:rsidP="002E2896">
            <w:pPr>
              <w:rPr>
                <w:rFonts w:asciiTheme="minorHAnsi" w:hAnsiTheme="minorHAnsi"/>
              </w:rPr>
            </w:pPr>
            <w:r w:rsidRPr="002E2896">
              <w:rPr>
                <w:rFonts w:asciiTheme="minorHAnsi" w:hAnsiTheme="minorHAnsi"/>
              </w:rPr>
              <w:t>2.</w:t>
            </w:r>
          </w:p>
        </w:tc>
        <w:tc>
          <w:tcPr>
            <w:tcW w:w="1462" w:type="pct"/>
          </w:tcPr>
          <w:p w14:paraId="506D9694" w14:textId="77777777" w:rsidR="002E2896" w:rsidRPr="002E2896" w:rsidRDefault="002E2896" w:rsidP="002E2896">
            <w:pPr>
              <w:rPr>
                <w:rFonts w:asciiTheme="minorHAnsi" w:hAnsiTheme="minorHAnsi"/>
              </w:rPr>
            </w:pPr>
            <w:r w:rsidRPr="002E2896">
              <w:rPr>
                <w:rFonts w:asciiTheme="minorHAnsi" w:hAnsiTheme="minorHAnsi"/>
              </w:rPr>
              <w:t xml:space="preserve">Buks Koster </w:t>
            </w:r>
          </w:p>
        </w:tc>
        <w:tc>
          <w:tcPr>
            <w:tcW w:w="1462" w:type="pct"/>
          </w:tcPr>
          <w:p w14:paraId="17369711" w14:textId="77777777" w:rsidR="002E2896" w:rsidRPr="002E2896" w:rsidRDefault="002E2896" w:rsidP="002E2896">
            <w:pPr>
              <w:rPr>
                <w:rFonts w:asciiTheme="minorHAnsi" w:hAnsiTheme="minorHAnsi"/>
              </w:rPr>
            </w:pPr>
            <w:r w:rsidRPr="002E2896">
              <w:rPr>
                <w:rFonts w:asciiTheme="minorHAnsi" w:hAnsiTheme="minorHAnsi"/>
              </w:rPr>
              <w:t xml:space="preserve">Deputy Chief Financial Officer </w:t>
            </w:r>
          </w:p>
        </w:tc>
        <w:tc>
          <w:tcPr>
            <w:tcW w:w="1125" w:type="pct"/>
          </w:tcPr>
          <w:p w14:paraId="244E1ED9" w14:textId="77777777" w:rsidR="002E2896" w:rsidRPr="002E2896" w:rsidRDefault="002E2896" w:rsidP="002E2896">
            <w:pPr>
              <w:rPr>
                <w:rFonts w:asciiTheme="minorHAnsi" w:hAnsiTheme="minorHAnsi"/>
              </w:rPr>
            </w:pPr>
            <w:r w:rsidRPr="002E2896">
              <w:rPr>
                <w:rFonts w:asciiTheme="minorHAnsi" w:hAnsiTheme="minorHAnsi"/>
              </w:rPr>
              <w:t>Financial Services</w:t>
            </w:r>
          </w:p>
        </w:tc>
        <w:tc>
          <w:tcPr>
            <w:tcW w:w="761" w:type="pct"/>
          </w:tcPr>
          <w:p w14:paraId="64024318" w14:textId="77777777" w:rsidR="002E2896" w:rsidRPr="002E2896" w:rsidRDefault="002E2896" w:rsidP="002E2896">
            <w:pPr>
              <w:rPr>
                <w:rFonts w:asciiTheme="minorHAnsi" w:hAnsiTheme="minorHAnsi"/>
              </w:rPr>
            </w:pPr>
            <w:r w:rsidRPr="002E2896">
              <w:rPr>
                <w:rFonts w:asciiTheme="minorHAnsi" w:hAnsiTheme="minorHAnsi"/>
              </w:rPr>
              <w:t xml:space="preserve">Member </w:t>
            </w:r>
          </w:p>
        </w:tc>
      </w:tr>
      <w:tr w:rsidR="002E2896" w:rsidRPr="002E2896" w14:paraId="579487E9" w14:textId="77777777" w:rsidTr="002E2896">
        <w:tc>
          <w:tcPr>
            <w:tcW w:w="191" w:type="pct"/>
          </w:tcPr>
          <w:p w14:paraId="14DCC438" w14:textId="77777777" w:rsidR="002E2896" w:rsidRPr="002E2896" w:rsidRDefault="002E2896" w:rsidP="002E2896">
            <w:pPr>
              <w:rPr>
                <w:rFonts w:asciiTheme="minorHAnsi" w:hAnsiTheme="minorHAnsi"/>
              </w:rPr>
            </w:pPr>
            <w:r w:rsidRPr="002E2896">
              <w:rPr>
                <w:rFonts w:asciiTheme="minorHAnsi" w:hAnsiTheme="minorHAnsi"/>
              </w:rPr>
              <w:t>3.</w:t>
            </w:r>
          </w:p>
        </w:tc>
        <w:tc>
          <w:tcPr>
            <w:tcW w:w="1462" w:type="pct"/>
          </w:tcPr>
          <w:p w14:paraId="74605EB3" w14:textId="77777777" w:rsidR="002E2896" w:rsidRPr="002E2896" w:rsidRDefault="002E2896" w:rsidP="002E2896">
            <w:pPr>
              <w:rPr>
                <w:rFonts w:asciiTheme="minorHAnsi" w:hAnsiTheme="minorHAnsi"/>
              </w:rPr>
            </w:pPr>
            <w:r w:rsidRPr="002E2896">
              <w:rPr>
                <w:rFonts w:asciiTheme="minorHAnsi" w:hAnsiTheme="minorHAnsi"/>
              </w:rPr>
              <w:t xml:space="preserve">Skhumbuzo Mbuyazi </w:t>
            </w:r>
          </w:p>
        </w:tc>
        <w:tc>
          <w:tcPr>
            <w:tcW w:w="1462" w:type="pct"/>
          </w:tcPr>
          <w:p w14:paraId="301DE85F" w14:textId="77777777" w:rsidR="002E2896" w:rsidRPr="002E2896" w:rsidRDefault="002E2896" w:rsidP="002E2896">
            <w:pPr>
              <w:rPr>
                <w:rFonts w:asciiTheme="minorHAnsi" w:hAnsiTheme="minorHAnsi"/>
              </w:rPr>
            </w:pPr>
            <w:r w:rsidRPr="002E2896">
              <w:rPr>
                <w:rFonts w:asciiTheme="minorHAnsi" w:hAnsiTheme="minorHAnsi"/>
              </w:rPr>
              <w:t xml:space="preserve">Senior Manager SCM </w:t>
            </w:r>
          </w:p>
        </w:tc>
        <w:tc>
          <w:tcPr>
            <w:tcW w:w="1125" w:type="pct"/>
          </w:tcPr>
          <w:p w14:paraId="06685B5C" w14:textId="77777777" w:rsidR="002E2896" w:rsidRPr="002E2896" w:rsidRDefault="002E2896" w:rsidP="002E2896">
            <w:pPr>
              <w:rPr>
                <w:rFonts w:asciiTheme="minorHAnsi" w:hAnsiTheme="minorHAnsi"/>
              </w:rPr>
            </w:pPr>
            <w:r w:rsidRPr="002E2896">
              <w:rPr>
                <w:rFonts w:asciiTheme="minorHAnsi" w:hAnsiTheme="minorHAnsi"/>
              </w:rPr>
              <w:t xml:space="preserve">Financial Services (SCM) </w:t>
            </w:r>
          </w:p>
        </w:tc>
        <w:tc>
          <w:tcPr>
            <w:tcW w:w="761" w:type="pct"/>
          </w:tcPr>
          <w:p w14:paraId="6C85798A" w14:textId="77777777" w:rsidR="002E2896" w:rsidRPr="002E2896" w:rsidRDefault="002E2896" w:rsidP="002E2896">
            <w:pPr>
              <w:rPr>
                <w:rFonts w:asciiTheme="minorHAnsi" w:hAnsiTheme="minorHAnsi"/>
              </w:rPr>
            </w:pPr>
            <w:r w:rsidRPr="002E2896">
              <w:rPr>
                <w:rFonts w:asciiTheme="minorHAnsi" w:hAnsiTheme="minorHAnsi"/>
              </w:rPr>
              <w:t xml:space="preserve">Member </w:t>
            </w:r>
          </w:p>
        </w:tc>
      </w:tr>
      <w:tr w:rsidR="002E2896" w:rsidRPr="002E2896" w14:paraId="32766605" w14:textId="77777777" w:rsidTr="002E2896">
        <w:tc>
          <w:tcPr>
            <w:tcW w:w="191" w:type="pct"/>
          </w:tcPr>
          <w:p w14:paraId="782EDB52" w14:textId="77777777" w:rsidR="002E2896" w:rsidRPr="002E2896" w:rsidRDefault="002E2896" w:rsidP="002E2896">
            <w:pPr>
              <w:rPr>
                <w:rFonts w:asciiTheme="minorHAnsi" w:hAnsiTheme="minorHAnsi"/>
              </w:rPr>
            </w:pPr>
            <w:r w:rsidRPr="002E2896">
              <w:rPr>
                <w:rFonts w:asciiTheme="minorHAnsi" w:hAnsiTheme="minorHAnsi"/>
              </w:rPr>
              <w:t xml:space="preserve">4. </w:t>
            </w:r>
          </w:p>
        </w:tc>
        <w:tc>
          <w:tcPr>
            <w:tcW w:w="1462" w:type="pct"/>
          </w:tcPr>
          <w:p w14:paraId="38A0C549" w14:textId="77777777" w:rsidR="002E2896" w:rsidRPr="002E2896" w:rsidRDefault="002E2896" w:rsidP="002E2896">
            <w:pPr>
              <w:rPr>
                <w:rFonts w:asciiTheme="minorHAnsi" w:hAnsiTheme="minorHAnsi"/>
              </w:rPr>
            </w:pPr>
            <w:r w:rsidRPr="002E2896">
              <w:rPr>
                <w:rFonts w:asciiTheme="minorHAnsi" w:hAnsiTheme="minorHAnsi"/>
              </w:rPr>
              <w:t>Sibusiso Nzuza</w:t>
            </w:r>
          </w:p>
        </w:tc>
        <w:tc>
          <w:tcPr>
            <w:tcW w:w="1462" w:type="pct"/>
          </w:tcPr>
          <w:p w14:paraId="0ABD5BF6" w14:textId="77777777" w:rsidR="002E2896" w:rsidRPr="002E2896" w:rsidRDefault="002E2896" w:rsidP="002E2896">
            <w:pPr>
              <w:rPr>
                <w:rFonts w:asciiTheme="minorHAnsi" w:hAnsiTheme="minorHAnsi"/>
              </w:rPr>
            </w:pPr>
            <w:r w:rsidRPr="002E2896">
              <w:rPr>
                <w:rFonts w:asciiTheme="minorHAnsi" w:hAnsiTheme="minorHAnsi"/>
              </w:rPr>
              <w:t xml:space="preserve">Director Community Services </w:t>
            </w:r>
          </w:p>
        </w:tc>
        <w:tc>
          <w:tcPr>
            <w:tcW w:w="1125" w:type="pct"/>
          </w:tcPr>
          <w:p w14:paraId="1D7DA910" w14:textId="77777777" w:rsidR="002E2896" w:rsidRPr="002E2896" w:rsidRDefault="002E2896" w:rsidP="002E2896">
            <w:pPr>
              <w:rPr>
                <w:rFonts w:asciiTheme="minorHAnsi" w:hAnsiTheme="minorHAnsi"/>
              </w:rPr>
            </w:pPr>
            <w:r w:rsidRPr="002E2896">
              <w:rPr>
                <w:rFonts w:asciiTheme="minorHAnsi" w:hAnsiTheme="minorHAnsi"/>
              </w:rPr>
              <w:t xml:space="preserve">Community Services </w:t>
            </w:r>
          </w:p>
        </w:tc>
        <w:tc>
          <w:tcPr>
            <w:tcW w:w="761" w:type="pct"/>
          </w:tcPr>
          <w:p w14:paraId="78CB833B" w14:textId="77777777" w:rsidR="002E2896" w:rsidRPr="002E2896" w:rsidRDefault="002E2896" w:rsidP="002E2896">
            <w:pPr>
              <w:rPr>
                <w:rFonts w:asciiTheme="minorHAnsi" w:hAnsiTheme="minorHAnsi"/>
              </w:rPr>
            </w:pPr>
            <w:r w:rsidRPr="002E2896">
              <w:rPr>
                <w:rFonts w:asciiTheme="minorHAnsi" w:hAnsiTheme="minorHAnsi"/>
              </w:rPr>
              <w:t xml:space="preserve">Member </w:t>
            </w:r>
          </w:p>
        </w:tc>
      </w:tr>
      <w:tr w:rsidR="002E2896" w:rsidRPr="002E2896" w14:paraId="2615F0FC" w14:textId="77777777" w:rsidTr="002E2896">
        <w:tc>
          <w:tcPr>
            <w:tcW w:w="191" w:type="pct"/>
          </w:tcPr>
          <w:p w14:paraId="0334A3C3" w14:textId="77777777" w:rsidR="002E2896" w:rsidRPr="002E2896" w:rsidRDefault="002E2896" w:rsidP="002E2896">
            <w:pPr>
              <w:rPr>
                <w:rFonts w:asciiTheme="minorHAnsi" w:hAnsiTheme="minorHAnsi"/>
              </w:rPr>
            </w:pPr>
            <w:r w:rsidRPr="002E2896">
              <w:rPr>
                <w:rFonts w:asciiTheme="minorHAnsi" w:hAnsiTheme="minorHAnsi"/>
              </w:rPr>
              <w:t>5.</w:t>
            </w:r>
          </w:p>
        </w:tc>
        <w:tc>
          <w:tcPr>
            <w:tcW w:w="1462" w:type="pct"/>
          </w:tcPr>
          <w:p w14:paraId="157B306E" w14:textId="77777777" w:rsidR="002E2896" w:rsidRPr="002E2896" w:rsidRDefault="002E2896" w:rsidP="002E2896">
            <w:pPr>
              <w:rPr>
                <w:rFonts w:asciiTheme="minorHAnsi" w:hAnsiTheme="minorHAnsi"/>
              </w:rPr>
            </w:pPr>
            <w:r w:rsidRPr="002E2896">
              <w:rPr>
                <w:rFonts w:asciiTheme="minorHAnsi" w:hAnsiTheme="minorHAnsi"/>
              </w:rPr>
              <w:t xml:space="preserve">Jaap Le Grange </w:t>
            </w:r>
          </w:p>
        </w:tc>
        <w:tc>
          <w:tcPr>
            <w:tcW w:w="1462" w:type="pct"/>
          </w:tcPr>
          <w:p w14:paraId="31FDB578" w14:textId="77777777" w:rsidR="002E2896" w:rsidRPr="002E2896" w:rsidRDefault="002E2896" w:rsidP="002E2896">
            <w:pPr>
              <w:rPr>
                <w:rFonts w:asciiTheme="minorHAnsi" w:hAnsiTheme="minorHAnsi"/>
              </w:rPr>
            </w:pPr>
            <w:r w:rsidRPr="002E2896">
              <w:rPr>
                <w:rFonts w:asciiTheme="minorHAnsi" w:hAnsiTheme="minorHAnsi"/>
              </w:rPr>
              <w:t>Senior Manager Engineering (Electrical)</w:t>
            </w:r>
          </w:p>
        </w:tc>
        <w:tc>
          <w:tcPr>
            <w:tcW w:w="1125" w:type="pct"/>
          </w:tcPr>
          <w:p w14:paraId="6D278E57" w14:textId="77777777" w:rsidR="002E2896" w:rsidRPr="002E2896" w:rsidRDefault="002E2896" w:rsidP="002E2896">
            <w:pPr>
              <w:rPr>
                <w:rFonts w:asciiTheme="minorHAnsi" w:hAnsiTheme="minorHAnsi"/>
              </w:rPr>
            </w:pPr>
            <w:r w:rsidRPr="002E2896">
              <w:rPr>
                <w:rFonts w:asciiTheme="minorHAnsi" w:hAnsiTheme="minorHAnsi"/>
              </w:rPr>
              <w:t>Engineering  Services</w:t>
            </w:r>
          </w:p>
        </w:tc>
        <w:tc>
          <w:tcPr>
            <w:tcW w:w="761" w:type="pct"/>
          </w:tcPr>
          <w:p w14:paraId="218C7FF7" w14:textId="77777777" w:rsidR="002E2896" w:rsidRPr="002E2896" w:rsidRDefault="002E2896" w:rsidP="002E2896">
            <w:pPr>
              <w:rPr>
                <w:rFonts w:asciiTheme="minorHAnsi" w:hAnsiTheme="minorHAnsi"/>
              </w:rPr>
            </w:pPr>
            <w:r w:rsidRPr="002E2896">
              <w:rPr>
                <w:rFonts w:asciiTheme="minorHAnsi" w:hAnsiTheme="minorHAnsi"/>
              </w:rPr>
              <w:t>Chairman</w:t>
            </w:r>
          </w:p>
        </w:tc>
      </w:tr>
    </w:tbl>
    <w:p w14:paraId="32CACD9D" w14:textId="77777777" w:rsidR="002C35D0" w:rsidRPr="00314A49" w:rsidRDefault="0016169B" w:rsidP="002F62F0">
      <w:pPr>
        <w:pStyle w:val="Caption"/>
        <w:rPr>
          <w:lang w:val="en-ZA"/>
        </w:rPr>
      </w:pPr>
      <w:bookmarkStart w:id="559" w:name="_Toc510622345"/>
      <w:r>
        <w:t xml:space="preserve">Table </w:t>
      </w:r>
      <w:r w:rsidR="00B918A6">
        <w:fldChar w:fldCharType="begin"/>
      </w:r>
      <w:r w:rsidR="00B918A6">
        <w:instrText xml:space="preserve"> SEQ Table \* ARABIC </w:instrText>
      </w:r>
      <w:r w:rsidR="00B918A6">
        <w:fldChar w:fldCharType="separate"/>
      </w:r>
      <w:r w:rsidR="0067023A">
        <w:rPr>
          <w:noProof/>
        </w:rPr>
        <w:t>94</w:t>
      </w:r>
      <w:r w:rsidR="00B918A6">
        <w:rPr>
          <w:noProof/>
        </w:rPr>
        <w:fldChar w:fldCharType="end"/>
      </w:r>
      <w:r>
        <w:t xml:space="preserve">: </w:t>
      </w:r>
      <w:r w:rsidRPr="0016169B">
        <w:rPr>
          <w:lang w:val="en-ZA"/>
        </w:rPr>
        <w:t>Bid Adjudication Committee Members</w:t>
      </w:r>
      <w:bookmarkEnd w:id="559"/>
    </w:p>
    <w:p w14:paraId="293EC040" w14:textId="77777777" w:rsidR="002C35D0" w:rsidRPr="00314A49" w:rsidRDefault="003F34D3" w:rsidP="002C35D0">
      <w:pPr>
        <w:tabs>
          <w:tab w:val="left" w:pos="0"/>
        </w:tabs>
        <w:spacing w:after="0" w:line="240" w:lineRule="auto"/>
        <w:jc w:val="both"/>
        <w:rPr>
          <w:rFonts w:eastAsia="Calibri" w:cs="Arial"/>
          <w:lang w:val="en-ZA"/>
        </w:rPr>
      </w:pPr>
      <w:r w:rsidRPr="00314A49">
        <w:rPr>
          <w:rFonts w:eastAsia="Calibri" w:cs="Arial"/>
          <w:lang w:val="en-ZA"/>
        </w:rPr>
        <w:t>Note:</w:t>
      </w:r>
      <w:r w:rsidR="002C35D0" w:rsidRPr="00314A49">
        <w:rPr>
          <w:rFonts w:eastAsia="Calibri" w:cs="Arial"/>
          <w:lang w:val="en-ZA"/>
        </w:rPr>
        <w:t xml:space="preserve"> Quorum is made by at least 50% +1.  </w:t>
      </w:r>
    </w:p>
    <w:p w14:paraId="67622446" w14:textId="77777777" w:rsidR="002C35D0" w:rsidRPr="00314A49" w:rsidRDefault="002C35D0" w:rsidP="002C35D0">
      <w:pPr>
        <w:tabs>
          <w:tab w:val="left" w:pos="0"/>
        </w:tabs>
        <w:spacing w:after="0" w:line="240" w:lineRule="auto"/>
        <w:jc w:val="both"/>
        <w:rPr>
          <w:rFonts w:eastAsia="Calibri" w:cs="Arial"/>
          <w:lang w:val="en-ZA"/>
        </w:rPr>
      </w:pPr>
    </w:p>
    <w:p w14:paraId="3B168725" w14:textId="77777777" w:rsidR="002C35D0" w:rsidRPr="00314A49" w:rsidRDefault="002C35D0" w:rsidP="002C35D0">
      <w:pPr>
        <w:tabs>
          <w:tab w:val="left" w:pos="0"/>
        </w:tabs>
        <w:spacing w:after="0" w:line="240" w:lineRule="auto"/>
        <w:jc w:val="both"/>
        <w:rPr>
          <w:rFonts w:eastAsia="Calibri" w:cs="Arial"/>
          <w:lang w:val="en-ZA"/>
        </w:rPr>
      </w:pPr>
      <w:r w:rsidRPr="00314A49">
        <w:rPr>
          <w:rFonts w:eastAsia="Calibri" w:cs="Arial"/>
          <w:lang w:val="en-ZA"/>
        </w:rPr>
        <w:t xml:space="preserve">An Employee of the Supply Chain Management Unit is required to be present at the meetings of the Specification and Evaluation Committees as an Observer.  </w:t>
      </w:r>
    </w:p>
    <w:p w14:paraId="6A4B57A0" w14:textId="77777777" w:rsidR="002C35D0" w:rsidRPr="00314A49" w:rsidRDefault="002C35D0" w:rsidP="002C35D0">
      <w:pPr>
        <w:tabs>
          <w:tab w:val="left" w:pos="0"/>
        </w:tabs>
        <w:spacing w:after="0" w:line="240" w:lineRule="auto"/>
        <w:jc w:val="both"/>
        <w:rPr>
          <w:rFonts w:eastAsia="Calibri" w:cs="Arial"/>
          <w:lang w:val="en-ZA"/>
        </w:rPr>
      </w:pPr>
    </w:p>
    <w:p w14:paraId="676D9660" w14:textId="77777777" w:rsidR="002C35D0" w:rsidRPr="00314A49" w:rsidRDefault="002C35D0" w:rsidP="002C35D0">
      <w:pPr>
        <w:tabs>
          <w:tab w:val="left" w:pos="0"/>
        </w:tabs>
        <w:spacing w:after="0" w:line="240" w:lineRule="auto"/>
        <w:jc w:val="both"/>
        <w:rPr>
          <w:rFonts w:eastAsia="Calibri" w:cs="Arial"/>
          <w:lang w:val="en-ZA"/>
        </w:rPr>
      </w:pPr>
      <w:r w:rsidRPr="00314A49">
        <w:rPr>
          <w:rFonts w:eastAsia="Calibri" w:cs="Arial"/>
          <w:lang w:val="en-ZA"/>
        </w:rPr>
        <w:t xml:space="preserve">The requirements of their respective committee which are detailed in Clause 29 of the uMlalazi Supply Chain Management Policy are applied.  </w:t>
      </w:r>
    </w:p>
    <w:p w14:paraId="722EC760" w14:textId="77777777" w:rsidR="0025268F" w:rsidRPr="00BB6855" w:rsidRDefault="0025268F" w:rsidP="00750180">
      <w:pPr>
        <w:pStyle w:val="Heading5"/>
        <w:numPr>
          <w:ilvl w:val="4"/>
          <w:numId w:val="127"/>
        </w:numPr>
        <w:tabs>
          <w:tab w:val="left" w:pos="0"/>
        </w:tabs>
        <w:spacing w:line="240" w:lineRule="auto"/>
        <w:jc w:val="both"/>
        <w:rPr>
          <w:rFonts w:eastAsia="Times New Roman"/>
          <w:lang w:val="en-ZA" w:eastAsia="en-ZA"/>
        </w:rPr>
      </w:pPr>
      <w:bookmarkStart w:id="560" w:name="_Toc389740066"/>
      <w:r w:rsidRPr="00BB6855">
        <w:rPr>
          <w:rFonts w:eastAsia="Times New Roman"/>
          <w:lang w:val="en-ZA" w:eastAsia="en-ZA"/>
        </w:rPr>
        <w:t>Other Supporting Committees</w:t>
      </w:r>
      <w:bookmarkEnd w:id="560"/>
    </w:p>
    <w:p w14:paraId="07A39A4D" w14:textId="77777777" w:rsidR="0025268F" w:rsidRPr="00881795" w:rsidRDefault="0025268F" w:rsidP="00E31338">
      <w:pPr>
        <w:pStyle w:val="ListParagraph"/>
        <w:numPr>
          <w:ilvl w:val="0"/>
          <w:numId w:val="1"/>
        </w:numPr>
        <w:spacing w:line="288" w:lineRule="auto"/>
        <w:jc w:val="both"/>
        <w:rPr>
          <w:szCs w:val="20"/>
        </w:rPr>
      </w:pPr>
      <w:r w:rsidRPr="00881795">
        <w:rPr>
          <w:szCs w:val="20"/>
        </w:rPr>
        <w:t>The HIV/Aids Desk.</w:t>
      </w:r>
    </w:p>
    <w:p w14:paraId="2A632928" w14:textId="77777777" w:rsidR="0025268F" w:rsidRPr="00881795" w:rsidRDefault="0025268F" w:rsidP="00E31338">
      <w:pPr>
        <w:pStyle w:val="ListParagraph"/>
        <w:numPr>
          <w:ilvl w:val="0"/>
          <w:numId w:val="1"/>
        </w:numPr>
        <w:spacing w:line="288" w:lineRule="auto"/>
        <w:jc w:val="both"/>
        <w:rPr>
          <w:szCs w:val="20"/>
        </w:rPr>
      </w:pPr>
      <w:r w:rsidRPr="00881795">
        <w:rPr>
          <w:szCs w:val="20"/>
        </w:rPr>
        <w:t>The Sports Desk.</w:t>
      </w:r>
    </w:p>
    <w:p w14:paraId="392EAB50" w14:textId="77777777" w:rsidR="0025268F" w:rsidRPr="00881795" w:rsidRDefault="0025268F" w:rsidP="00E31338">
      <w:pPr>
        <w:pStyle w:val="ListParagraph"/>
        <w:numPr>
          <w:ilvl w:val="0"/>
          <w:numId w:val="1"/>
        </w:numPr>
        <w:spacing w:line="288" w:lineRule="auto"/>
        <w:jc w:val="both"/>
        <w:rPr>
          <w:szCs w:val="20"/>
        </w:rPr>
      </w:pPr>
      <w:r w:rsidRPr="00881795">
        <w:rPr>
          <w:szCs w:val="20"/>
        </w:rPr>
        <w:t>Arts and Culture Desk.</w:t>
      </w:r>
    </w:p>
    <w:p w14:paraId="4E6EF65A" w14:textId="77777777" w:rsidR="0025268F" w:rsidRPr="00881795" w:rsidRDefault="0025268F" w:rsidP="00E31338">
      <w:pPr>
        <w:pStyle w:val="ListParagraph"/>
        <w:numPr>
          <w:ilvl w:val="0"/>
          <w:numId w:val="1"/>
        </w:numPr>
        <w:spacing w:line="288" w:lineRule="auto"/>
        <w:jc w:val="both"/>
        <w:rPr>
          <w:szCs w:val="20"/>
        </w:rPr>
      </w:pPr>
      <w:r w:rsidRPr="00881795">
        <w:rPr>
          <w:szCs w:val="20"/>
        </w:rPr>
        <w:t>Youth Desk.</w:t>
      </w:r>
    </w:p>
    <w:p w14:paraId="11EDAFD1" w14:textId="77777777" w:rsidR="0025268F" w:rsidRDefault="0025268F" w:rsidP="00E31338">
      <w:pPr>
        <w:pStyle w:val="ListParagraph"/>
        <w:numPr>
          <w:ilvl w:val="0"/>
          <w:numId w:val="1"/>
        </w:numPr>
        <w:spacing w:before="240" w:line="288" w:lineRule="auto"/>
        <w:jc w:val="both"/>
        <w:rPr>
          <w:szCs w:val="20"/>
        </w:rPr>
      </w:pPr>
      <w:r w:rsidRPr="00881795">
        <w:rPr>
          <w:szCs w:val="20"/>
        </w:rPr>
        <w:t>Ward Committees for 2</w:t>
      </w:r>
      <w:r w:rsidR="003C03FA">
        <w:rPr>
          <w:szCs w:val="20"/>
        </w:rPr>
        <w:t>7</w:t>
      </w:r>
      <w:r w:rsidRPr="00881795">
        <w:rPr>
          <w:szCs w:val="20"/>
        </w:rPr>
        <w:t xml:space="preserve"> wards in the municipality.</w:t>
      </w:r>
    </w:p>
    <w:p w14:paraId="667EA596" w14:textId="77777777" w:rsidR="00844FBA" w:rsidRPr="00881795" w:rsidRDefault="00844FBA" w:rsidP="00844FBA">
      <w:pPr>
        <w:pStyle w:val="ListParagraph"/>
        <w:spacing w:before="240" w:line="288" w:lineRule="auto"/>
        <w:ind w:left="360"/>
        <w:jc w:val="both"/>
        <w:rPr>
          <w:szCs w:val="20"/>
        </w:rPr>
      </w:pPr>
    </w:p>
    <w:p w14:paraId="23A36255" w14:textId="77777777" w:rsidR="001B3CC4" w:rsidRPr="00BB6855" w:rsidRDefault="001B3CC4" w:rsidP="00750180">
      <w:pPr>
        <w:pStyle w:val="Heading5"/>
        <w:numPr>
          <w:ilvl w:val="4"/>
          <w:numId w:val="127"/>
        </w:numPr>
        <w:tabs>
          <w:tab w:val="left" w:pos="0"/>
        </w:tabs>
        <w:spacing w:after="240" w:line="240" w:lineRule="auto"/>
        <w:jc w:val="both"/>
        <w:rPr>
          <w:rFonts w:eastAsia="Times New Roman"/>
          <w:lang w:val="en-ZA" w:eastAsia="en-ZA"/>
        </w:rPr>
      </w:pPr>
      <w:bookmarkStart w:id="561" w:name="_Toc389740067"/>
      <w:r w:rsidRPr="00BB6855">
        <w:rPr>
          <w:rFonts w:eastAsia="Times New Roman"/>
          <w:lang w:val="en-ZA" w:eastAsia="en-ZA"/>
        </w:rPr>
        <w:t>IDP Public Participation Structures</w:t>
      </w:r>
      <w:bookmarkEnd w:id="561"/>
    </w:p>
    <w:p w14:paraId="4E000D80" w14:textId="77777777" w:rsidR="001B3CC4" w:rsidRPr="00881795" w:rsidRDefault="001B3CC4" w:rsidP="00395313">
      <w:pPr>
        <w:jc w:val="both"/>
        <w:rPr>
          <w:rFonts w:cs="Calibri"/>
          <w:color w:val="000000" w:themeColor="text1"/>
        </w:rPr>
      </w:pPr>
      <w:r w:rsidRPr="00881795">
        <w:rPr>
          <w:rFonts w:cs="Calibri"/>
          <w:color w:val="000000" w:themeColor="text1"/>
        </w:rPr>
        <w:t xml:space="preserve">As set out in the IDP Review Process Plan for 2013/2014, the following Structures have been established to ensure effective and efficient public participation around </w:t>
      </w:r>
      <w:r w:rsidR="00B629DA">
        <w:rPr>
          <w:rFonts w:cs="Calibri"/>
          <w:color w:val="000000" w:themeColor="text1"/>
        </w:rPr>
        <w:t>Planning and Economic Development</w:t>
      </w:r>
      <w:r w:rsidRPr="00881795">
        <w:rPr>
          <w:rFonts w:cs="Calibri"/>
          <w:color w:val="000000" w:themeColor="text1"/>
        </w:rPr>
        <w:t xml:space="preserve"> that affects people’s life:</w:t>
      </w:r>
    </w:p>
    <w:p w14:paraId="7312D14C" w14:textId="77777777" w:rsidR="001B3CC4" w:rsidRPr="00881795" w:rsidRDefault="001B3CC4" w:rsidP="002F62F0">
      <w:pPr>
        <w:pStyle w:val="Caption"/>
      </w:pPr>
      <w:bookmarkStart w:id="562" w:name="_Toc389740068"/>
      <w:bookmarkStart w:id="563" w:name="_Toc510622346"/>
      <w:r w:rsidRPr="00881795">
        <w:t xml:space="preserve">Table </w:t>
      </w:r>
      <w:r w:rsidR="00D55BDA" w:rsidRPr="00881795">
        <w:fldChar w:fldCharType="begin"/>
      </w:r>
      <w:r w:rsidRPr="00881795">
        <w:instrText xml:space="preserve"> SEQ Table \* ARABIC </w:instrText>
      </w:r>
      <w:r w:rsidR="00D55BDA" w:rsidRPr="00881795">
        <w:fldChar w:fldCharType="separate"/>
      </w:r>
      <w:r w:rsidR="0067023A">
        <w:rPr>
          <w:noProof/>
        </w:rPr>
        <w:t>95</w:t>
      </w:r>
      <w:r w:rsidR="00D55BDA" w:rsidRPr="00881795">
        <w:fldChar w:fldCharType="end"/>
      </w:r>
      <w:r w:rsidRPr="00881795">
        <w:t>: Public Participation Structures</w:t>
      </w:r>
      <w:bookmarkEnd w:id="562"/>
      <w:bookmarkEnd w:id="563"/>
    </w:p>
    <w:tbl>
      <w:tblPr>
        <w:tblStyle w:val="TableGrid"/>
        <w:tblW w:w="0" w:type="auto"/>
        <w:tblLook w:val="04A0" w:firstRow="1" w:lastRow="0" w:firstColumn="1" w:lastColumn="0" w:noHBand="0" w:noVBand="1"/>
      </w:tblPr>
      <w:tblGrid>
        <w:gridCol w:w="3644"/>
        <w:gridCol w:w="3644"/>
      </w:tblGrid>
      <w:tr w:rsidR="001B3CC4" w:rsidRPr="00881795" w14:paraId="69CD955B" w14:textId="77777777" w:rsidTr="00C31C45">
        <w:trPr>
          <w:tblHeader/>
        </w:trPr>
        <w:tc>
          <w:tcPr>
            <w:tcW w:w="3644" w:type="dxa"/>
            <w:shd w:val="clear" w:color="auto" w:fill="DAEEF3" w:themeFill="accent5" w:themeFillTint="33"/>
          </w:tcPr>
          <w:p w14:paraId="33F43CBB" w14:textId="77777777" w:rsidR="001B3CC4" w:rsidRPr="00881795" w:rsidRDefault="001B3CC4" w:rsidP="00395313">
            <w:pPr>
              <w:jc w:val="both"/>
              <w:rPr>
                <w:rFonts w:cs="Calibri"/>
                <w:b/>
                <w:color w:val="000000" w:themeColor="text1"/>
                <w:lang w:val="en-ZA"/>
              </w:rPr>
            </w:pPr>
            <w:r w:rsidRPr="00881795">
              <w:rPr>
                <w:rFonts w:cs="Calibri"/>
                <w:b/>
                <w:color w:val="000000" w:themeColor="text1"/>
                <w:lang w:val="en-ZA"/>
              </w:rPr>
              <w:t>Structure</w:t>
            </w:r>
          </w:p>
        </w:tc>
        <w:tc>
          <w:tcPr>
            <w:tcW w:w="3644" w:type="dxa"/>
            <w:shd w:val="clear" w:color="auto" w:fill="DAEEF3" w:themeFill="accent5" w:themeFillTint="33"/>
          </w:tcPr>
          <w:p w14:paraId="3BCAAFF8" w14:textId="77777777" w:rsidR="001B3CC4" w:rsidRPr="00881795" w:rsidRDefault="001B3CC4" w:rsidP="00395313">
            <w:pPr>
              <w:jc w:val="both"/>
              <w:rPr>
                <w:rFonts w:cs="Calibri"/>
                <w:b/>
                <w:color w:val="000000" w:themeColor="text1"/>
                <w:lang w:val="en-ZA"/>
              </w:rPr>
            </w:pPr>
            <w:r w:rsidRPr="00881795">
              <w:rPr>
                <w:rFonts w:cs="Calibri"/>
                <w:b/>
                <w:color w:val="000000" w:themeColor="text1"/>
                <w:lang w:val="en-ZA"/>
              </w:rPr>
              <w:t>Status</w:t>
            </w:r>
          </w:p>
        </w:tc>
      </w:tr>
      <w:tr w:rsidR="001B3CC4" w:rsidRPr="00881795" w14:paraId="5AD65202" w14:textId="77777777" w:rsidTr="004D1A5F">
        <w:tc>
          <w:tcPr>
            <w:tcW w:w="3644" w:type="dxa"/>
          </w:tcPr>
          <w:p w14:paraId="0EE7C337" w14:textId="77777777" w:rsidR="001B3CC4" w:rsidRPr="00881795" w:rsidRDefault="001B3CC4" w:rsidP="00395313">
            <w:pPr>
              <w:jc w:val="both"/>
              <w:rPr>
                <w:rFonts w:cs="Calibri"/>
                <w:color w:val="000000" w:themeColor="text1"/>
                <w:lang w:val="en-ZA"/>
              </w:rPr>
            </w:pPr>
            <w:r w:rsidRPr="00881795">
              <w:rPr>
                <w:rFonts w:cs="Calibri"/>
                <w:color w:val="000000" w:themeColor="text1"/>
                <w:lang w:val="en-ZA"/>
              </w:rPr>
              <w:t>IDP Representative Forum</w:t>
            </w:r>
          </w:p>
        </w:tc>
        <w:tc>
          <w:tcPr>
            <w:tcW w:w="3644" w:type="dxa"/>
          </w:tcPr>
          <w:p w14:paraId="6C38D1D2" w14:textId="77777777" w:rsidR="001B3CC4" w:rsidRPr="00881795" w:rsidRDefault="001B3CC4" w:rsidP="00395313">
            <w:pPr>
              <w:jc w:val="both"/>
              <w:rPr>
                <w:rFonts w:cs="Calibri"/>
                <w:color w:val="000000" w:themeColor="text1"/>
                <w:lang w:val="en-ZA"/>
              </w:rPr>
            </w:pPr>
            <w:r w:rsidRPr="00881795">
              <w:rPr>
                <w:rFonts w:cs="Calibri"/>
                <w:color w:val="000000" w:themeColor="text1"/>
                <w:lang w:val="en-ZA"/>
              </w:rPr>
              <w:t>Functional</w:t>
            </w:r>
          </w:p>
        </w:tc>
      </w:tr>
      <w:tr w:rsidR="001B3CC4" w:rsidRPr="00881795" w14:paraId="3F469C62" w14:textId="77777777" w:rsidTr="004D1A5F">
        <w:tc>
          <w:tcPr>
            <w:tcW w:w="3644" w:type="dxa"/>
          </w:tcPr>
          <w:p w14:paraId="6B150625" w14:textId="77777777" w:rsidR="001B3CC4" w:rsidRPr="00881795" w:rsidRDefault="001B3CC4" w:rsidP="00395313">
            <w:pPr>
              <w:jc w:val="both"/>
              <w:rPr>
                <w:rFonts w:cs="Calibri"/>
                <w:color w:val="000000" w:themeColor="text1"/>
                <w:lang w:val="en-ZA"/>
              </w:rPr>
            </w:pPr>
            <w:r w:rsidRPr="00881795">
              <w:rPr>
                <w:rFonts w:cs="Calibri"/>
                <w:color w:val="000000" w:themeColor="text1"/>
                <w:lang w:val="en-ZA"/>
              </w:rPr>
              <w:t>Road Shows</w:t>
            </w:r>
          </w:p>
        </w:tc>
        <w:tc>
          <w:tcPr>
            <w:tcW w:w="3644" w:type="dxa"/>
          </w:tcPr>
          <w:p w14:paraId="2099971B" w14:textId="77777777" w:rsidR="001B3CC4" w:rsidRPr="00881795" w:rsidRDefault="001B3CC4" w:rsidP="00395313">
            <w:pPr>
              <w:jc w:val="both"/>
              <w:rPr>
                <w:rFonts w:cs="Calibri"/>
                <w:color w:val="000000" w:themeColor="text1"/>
                <w:lang w:val="en-ZA"/>
              </w:rPr>
            </w:pPr>
            <w:r w:rsidRPr="00881795">
              <w:rPr>
                <w:rFonts w:cs="Calibri"/>
                <w:color w:val="000000" w:themeColor="text1"/>
                <w:lang w:val="en-ZA"/>
              </w:rPr>
              <w:t>Functional</w:t>
            </w:r>
          </w:p>
        </w:tc>
      </w:tr>
      <w:tr w:rsidR="001B3CC4" w:rsidRPr="00881795" w14:paraId="2D9B0CB4" w14:textId="77777777" w:rsidTr="004D1A5F">
        <w:tc>
          <w:tcPr>
            <w:tcW w:w="3644" w:type="dxa"/>
          </w:tcPr>
          <w:p w14:paraId="12EA3093" w14:textId="77777777" w:rsidR="001B3CC4" w:rsidRPr="00881795" w:rsidRDefault="001B3CC4" w:rsidP="00395313">
            <w:pPr>
              <w:jc w:val="both"/>
              <w:rPr>
                <w:rFonts w:cs="Calibri"/>
                <w:color w:val="000000" w:themeColor="text1"/>
                <w:lang w:val="en-ZA"/>
              </w:rPr>
            </w:pPr>
            <w:r w:rsidRPr="00881795">
              <w:rPr>
                <w:rFonts w:cs="Calibri"/>
                <w:color w:val="000000" w:themeColor="text1"/>
                <w:lang w:val="en-ZA"/>
              </w:rPr>
              <w:t>Ward Committees</w:t>
            </w:r>
          </w:p>
        </w:tc>
        <w:tc>
          <w:tcPr>
            <w:tcW w:w="3644" w:type="dxa"/>
          </w:tcPr>
          <w:p w14:paraId="3D562A21" w14:textId="77777777" w:rsidR="001B3CC4" w:rsidRPr="00881795" w:rsidRDefault="001B3CC4" w:rsidP="00395313">
            <w:pPr>
              <w:jc w:val="both"/>
              <w:rPr>
                <w:rFonts w:cs="Calibri"/>
                <w:color w:val="000000" w:themeColor="text1"/>
                <w:lang w:val="en-ZA"/>
              </w:rPr>
            </w:pPr>
            <w:r w:rsidRPr="00881795">
              <w:rPr>
                <w:rFonts w:cs="Calibri"/>
                <w:color w:val="000000" w:themeColor="text1"/>
                <w:lang w:val="en-ZA"/>
              </w:rPr>
              <w:t>Established and Functional</w:t>
            </w:r>
          </w:p>
        </w:tc>
      </w:tr>
      <w:tr w:rsidR="003560AA" w:rsidRPr="00881795" w14:paraId="67951EFD" w14:textId="77777777" w:rsidTr="004D1A5F">
        <w:tc>
          <w:tcPr>
            <w:tcW w:w="3644" w:type="dxa"/>
          </w:tcPr>
          <w:p w14:paraId="19A85A2C" w14:textId="5ED2C28D" w:rsidR="003560AA" w:rsidRPr="00881795" w:rsidRDefault="003560AA" w:rsidP="00395313">
            <w:pPr>
              <w:jc w:val="both"/>
              <w:rPr>
                <w:rFonts w:cs="Calibri"/>
                <w:color w:val="000000" w:themeColor="text1"/>
                <w:lang w:val="en-ZA"/>
              </w:rPr>
            </w:pPr>
            <w:r>
              <w:rPr>
                <w:rFonts w:cs="Calibri"/>
                <w:color w:val="000000" w:themeColor="text1"/>
                <w:lang w:val="en-ZA"/>
              </w:rPr>
              <w:t xml:space="preserve">War Room </w:t>
            </w:r>
          </w:p>
        </w:tc>
        <w:tc>
          <w:tcPr>
            <w:tcW w:w="3644" w:type="dxa"/>
          </w:tcPr>
          <w:p w14:paraId="6A98161C" w14:textId="567E719D" w:rsidR="003560AA" w:rsidRPr="00881795" w:rsidRDefault="003560AA" w:rsidP="00395313">
            <w:pPr>
              <w:jc w:val="both"/>
              <w:rPr>
                <w:rFonts w:cs="Calibri"/>
                <w:color w:val="000000" w:themeColor="text1"/>
                <w:lang w:val="en-ZA"/>
              </w:rPr>
            </w:pPr>
            <w:r>
              <w:rPr>
                <w:rFonts w:cs="Calibri"/>
                <w:color w:val="000000" w:themeColor="text1"/>
                <w:lang w:val="en-ZA"/>
              </w:rPr>
              <w:t>Functional</w:t>
            </w:r>
          </w:p>
        </w:tc>
      </w:tr>
      <w:tr w:rsidR="001B3CC4" w:rsidRPr="00881795" w14:paraId="04206B1A" w14:textId="77777777" w:rsidTr="004D1A5F">
        <w:tc>
          <w:tcPr>
            <w:tcW w:w="3644" w:type="dxa"/>
          </w:tcPr>
          <w:p w14:paraId="5F8E463D" w14:textId="77777777" w:rsidR="001B3CC4" w:rsidRPr="00881795" w:rsidRDefault="001B3CC4" w:rsidP="00395313">
            <w:pPr>
              <w:jc w:val="both"/>
              <w:rPr>
                <w:rFonts w:cs="Calibri"/>
                <w:color w:val="000000" w:themeColor="text1"/>
                <w:lang w:val="en-ZA"/>
              </w:rPr>
            </w:pPr>
            <w:r w:rsidRPr="00881795">
              <w:rPr>
                <w:rFonts w:cs="Calibri"/>
                <w:color w:val="000000" w:themeColor="text1"/>
                <w:lang w:val="en-ZA"/>
              </w:rPr>
              <w:t>Ward-based Planning forum</w:t>
            </w:r>
          </w:p>
        </w:tc>
        <w:tc>
          <w:tcPr>
            <w:tcW w:w="3644" w:type="dxa"/>
          </w:tcPr>
          <w:p w14:paraId="702986AC" w14:textId="77777777" w:rsidR="001B3CC4" w:rsidRPr="00881795" w:rsidRDefault="001B3CC4" w:rsidP="00395313">
            <w:pPr>
              <w:jc w:val="both"/>
              <w:rPr>
                <w:rFonts w:cs="Calibri"/>
                <w:color w:val="000000" w:themeColor="text1"/>
                <w:lang w:val="en-ZA"/>
              </w:rPr>
            </w:pPr>
            <w:r w:rsidRPr="00881795">
              <w:rPr>
                <w:rFonts w:cs="Calibri"/>
                <w:color w:val="000000" w:themeColor="text1"/>
                <w:lang w:val="en-ZA"/>
              </w:rPr>
              <w:t>Still to be established</w:t>
            </w:r>
          </w:p>
        </w:tc>
      </w:tr>
    </w:tbl>
    <w:p w14:paraId="6AB9663C" w14:textId="77777777" w:rsidR="0025762B" w:rsidRDefault="0025762B" w:rsidP="002F62F0">
      <w:pPr>
        <w:pStyle w:val="Caption"/>
      </w:pPr>
    </w:p>
    <w:p w14:paraId="659408ED" w14:textId="15B1311A" w:rsidR="00992B24" w:rsidRPr="00BA4784" w:rsidRDefault="0016169B" w:rsidP="00BB6855">
      <w:pPr>
        <w:pStyle w:val="Caption"/>
        <w:spacing w:after="0"/>
      </w:pPr>
      <w:bookmarkStart w:id="564" w:name="_Toc510622347"/>
      <w:r>
        <w:t xml:space="preserve">Table </w:t>
      </w:r>
      <w:r w:rsidR="00B918A6">
        <w:fldChar w:fldCharType="begin"/>
      </w:r>
      <w:r w:rsidR="00B918A6">
        <w:instrText xml:space="preserve"> SEQ Table \* ARABIC </w:instrText>
      </w:r>
      <w:r w:rsidR="00B918A6">
        <w:fldChar w:fldCharType="separate"/>
      </w:r>
      <w:r w:rsidR="0067023A">
        <w:rPr>
          <w:noProof/>
        </w:rPr>
        <w:t>96</w:t>
      </w:r>
      <w:r w:rsidR="00B918A6">
        <w:rPr>
          <w:noProof/>
        </w:rPr>
        <w:fldChar w:fldCharType="end"/>
      </w:r>
      <w:r>
        <w:t xml:space="preserve">: </w:t>
      </w:r>
      <w:bookmarkStart w:id="565" w:name="_Toc389740070"/>
      <w:r w:rsidR="00992B24" w:rsidRPr="00BA4784">
        <w:t>Status of Municipal Policies</w:t>
      </w:r>
      <w:bookmarkEnd w:id="564"/>
      <w:bookmarkEnd w:id="565"/>
    </w:p>
    <w:tbl>
      <w:tblPr>
        <w:tblStyle w:val="TableGrid"/>
        <w:tblW w:w="10031" w:type="dxa"/>
        <w:tblLook w:val="04A0" w:firstRow="1" w:lastRow="0" w:firstColumn="1" w:lastColumn="0" w:noHBand="0" w:noVBand="1"/>
      </w:tblPr>
      <w:tblGrid>
        <w:gridCol w:w="3232"/>
        <w:gridCol w:w="1129"/>
        <w:gridCol w:w="1559"/>
        <w:gridCol w:w="2268"/>
        <w:gridCol w:w="1843"/>
      </w:tblGrid>
      <w:tr w:rsidR="007B3A20" w:rsidRPr="004217A1" w14:paraId="66B56DE9" w14:textId="77777777" w:rsidTr="00C31C45">
        <w:trPr>
          <w:trHeight w:val="240"/>
        </w:trPr>
        <w:tc>
          <w:tcPr>
            <w:tcW w:w="3232" w:type="dxa"/>
            <w:shd w:val="clear" w:color="auto" w:fill="DAEEF3" w:themeFill="accent5" w:themeFillTint="33"/>
          </w:tcPr>
          <w:p w14:paraId="7B2752F9" w14:textId="77777777" w:rsidR="007B3A20" w:rsidRPr="004217A1" w:rsidRDefault="007B3A20" w:rsidP="00BB6855">
            <w:pPr>
              <w:jc w:val="center"/>
              <w:rPr>
                <w:b/>
                <w:bCs/>
                <w:u w:val="single"/>
              </w:rPr>
            </w:pPr>
            <w:r w:rsidRPr="004217A1">
              <w:rPr>
                <w:b/>
                <w:bCs/>
                <w:u w:val="single"/>
              </w:rPr>
              <w:t>POLICY</w:t>
            </w:r>
          </w:p>
        </w:tc>
        <w:tc>
          <w:tcPr>
            <w:tcW w:w="1129" w:type="dxa"/>
            <w:shd w:val="clear" w:color="auto" w:fill="DAEEF3" w:themeFill="accent5" w:themeFillTint="33"/>
          </w:tcPr>
          <w:p w14:paraId="2EA7035C" w14:textId="77777777" w:rsidR="007B3A20" w:rsidRPr="004217A1" w:rsidRDefault="007B3A20" w:rsidP="00BB6855">
            <w:pPr>
              <w:jc w:val="center"/>
              <w:rPr>
                <w:b/>
                <w:bCs/>
                <w:u w:val="single"/>
              </w:rPr>
            </w:pPr>
            <w:r w:rsidRPr="004217A1">
              <w:rPr>
                <w:b/>
                <w:bCs/>
                <w:u w:val="single"/>
              </w:rPr>
              <w:t>FILE REF</w:t>
            </w:r>
          </w:p>
        </w:tc>
        <w:tc>
          <w:tcPr>
            <w:tcW w:w="1559" w:type="dxa"/>
            <w:shd w:val="clear" w:color="auto" w:fill="DAEEF3" w:themeFill="accent5" w:themeFillTint="33"/>
          </w:tcPr>
          <w:p w14:paraId="58389F49" w14:textId="77777777" w:rsidR="007B3A20" w:rsidRPr="004217A1" w:rsidRDefault="007B3A20" w:rsidP="00BB6855">
            <w:pPr>
              <w:jc w:val="center"/>
              <w:rPr>
                <w:b/>
                <w:bCs/>
                <w:u w:val="single"/>
              </w:rPr>
            </w:pPr>
            <w:r w:rsidRPr="004217A1">
              <w:rPr>
                <w:b/>
                <w:bCs/>
                <w:u w:val="single"/>
              </w:rPr>
              <w:t>SECTION</w:t>
            </w:r>
          </w:p>
        </w:tc>
        <w:tc>
          <w:tcPr>
            <w:tcW w:w="2268" w:type="dxa"/>
            <w:shd w:val="clear" w:color="auto" w:fill="DAEEF3" w:themeFill="accent5" w:themeFillTint="33"/>
          </w:tcPr>
          <w:p w14:paraId="0F439C93" w14:textId="77777777" w:rsidR="007B3A20" w:rsidRPr="004217A1" w:rsidRDefault="007B3A20" w:rsidP="00BB6855">
            <w:pPr>
              <w:jc w:val="center"/>
              <w:rPr>
                <w:b/>
                <w:bCs/>
                <w:u w:val="single"/>
              </w:rPr>
            </w:pPr>
            <w:r w:rsidRPr="004217A1">
              <w:rPr>
                <w:b/>
                <w:bCs/>
                <w:u w:val="single"/>
              </w:rPr>
              <w:t>EXCO ADOPTION</w:t>
            </w:r>
          </w:p>
        </w:tc>
        <w:tc>
          <w:tcPr>
            <w:tcW w:w="1843" w:type="dxa"/>
            <w:shd w:val="clear" w:color="auto" w:fill="DAEEF3" w:themeFill="accent5" w:themeFillTint="33"/>
          </w:tcPr>
          <w:p w14:paraId="2FDA59D8" w14:textId="77777777" w:rsidR="007B3A20" w:rsidRPr="004217A1" w:rsidRDefault="007B3A20" w:rsidP="00BB6855">
            <w:pPr>
              <w:jc w:val="center"/>
              <w:rPr>
                <w:b/>
                <w:bCs/>
                <w:u w:val="single"/>
              </w:rPr>
            </w:pPr>
            <w:r w:rsidRPr="004217A1">
              <w:rPr>
                <w:b/>
                <w:bCs/>
                <w:u w:val="single"/>
              </w:rPr>
              <w:t>REVIEW DATES</w:t>
            </w:r>
          </w:p>
        </w:tc>
      </w:tr>
      <w:tr w:rsidR="007B3A20" w:rsidRPr="004217A1" w14:paraId="0FBBCE02" w14:textId="77777777" w:rsidTr="00C31C45">
        <w:trPr>
          <w:trHeight w:val="240"/>
        </w:trPr>
        <w:tc>
          <w:tcPr>
            <w:tcW w:w="3232" w:type="dxa"/>
          </w:tcPr>
          <w:p w14:paraId="5946778F" w14:textId="77777777" w:rsidR="007B3A20" w:rsidRPr="004217A1" w:rsidRDefault="007B3A20" w:rsidP="00BB6855">
            <w:pPr>
              <w:rPr>
                <w:bCs/>
              </w:rPr>
            </w:pPr>
            <w:r w:rsidRPr="004217A1">
              <w:rPr>
                <w:bCs/>
              </w:rPr>
              <w:t>Pool Motor Vehicle Policy</w:t>
            </w:r>
          </w:p>
        </w:tc>
        <w:tc>
          <w:tcPr>
            <w:tcW w:w="1129" w:type="dxa"/>
          </w:tcPr>
          <w:p w14:paraId="7F6582B6" w14:textId="77777777" w:rsidR="007B3A20" w:rsidRPr="004217A1" w:rsidRDefault="007B3A20" w:rsidP="00BB6855">
            <w:pPr>
              <w:jc w:val="center"/>
              <w:rPr>
                <w:bCs/>
              </w:rPr>
            </w:pPr>
            <w:r w:rsidRPr="004217A1">
              <w:rPr>
                <w:bCs/>
              </w:rPr>
              <w:t>3/3/1</w:t>
            </w:r>
          </w:p>
        </w:tc>
        <w:tc>
          <w:tcPr>
            <w:tcW w:w="1559" w:type="dxa"/>
          </w:tcPr>
          <w:p w14:paraId="7454712E" w14:textId="77777777" w:rsidR="007B3A20" w:rsidRPr="004217A1" w:rsidRDefault="007B3A20" w:rsidP="00BB6855">
            <w:pPr>
              <w:jc w:val="center"/>
              <w:rPr>
                <w:bCs/>
              </w:rPr>
            </w:pPr>
            <w:r w:rsidRPr="004217A1">
              <w:rPr>
                <w:bCs/>
              </w:rPr>
              <w:t>General</w:t>
            </w:r>
          </w:p>
        </w:tc>
        <w:tc>
          <w:tcPr>
            <w:tcW w:w="2268" w:type="dxa"/>
          </w:tcPr>
          <w:p w14:paraId="6686F5A8" w14:textId="77777777" w:rsidR="007B3A20" w:rsidRPr="004217A1" w:rsidRDefault="007B3A20" w:rsidP="00BB6855">
            <w:pPr>
              <w:jc w:val="center"/>
              <w:rPr>
                <w:bCs/>
              </w:rPr>
            </w:pPr>
            <w:r w:rsidRPr="004217A1">
              <w:rPr>
                <w:bCs/>
              </w:rPr>
              <w:t>07 Feb 2012</w:t>
            </w:r>
          </w:p>
        </w:tc>
        <w:tc>
          <w:tcPr>
            <w:tcW w:w="1843" w:type="dxa"/>
          </w:tcPr>
          <w:p w14:paraId="628B2949" w14:textId="77777777" w:rsidR="007B3A20" w:rsidRPr="004217A1" w:rsidRDefault="007B3A20" w:rsidP="00BB6855">
            <w:pPr>
              <w:jc w:val="center"/>
              <w:rPr>
                <w:bCs/>
              </w:rPr>
            </w:pPr>
          </w:p>
        </w:tc>
      </w:tr>
      <w:tr w:rsidR="007B3A20" w:rsidRPr="004217A1" w14:paraId="4294E767" w14:textId="77777777" w:rsidTr="00C31C45">
        <w:trPr>
          <w:trHeight w:val="240"/>
        </w:trPr>
        <w:tc>
          <w:tcPr>
            <w:tcW w:w="3232" w:type="dxa"/>
          </w:tcPr>
          <w:p w14:paraId="32DAD933" w14:textId="77777777" w:rsidR="007B3A20" w:rsidRPr="004217A1" w:rsidRDefault="007B3A20" w:rsidP="00844FBA">
            <w:pPr>
              <w:rPr>
                <w:bCs/>
              </w:rPr>
            </w:pPr>
            <w:r w:rsidRPr="004217A1">
              <w:t>Office Bearers Security Services Policy</w:t>
            </w:r>
          </w:p>
        </w:tc>
        <w:tc>
          <w:tcPr>
            <w:tcW w:w="1129" w:type="dxa"/>
          </w:tcPr>
          <w:p w14:paraId="10CB5565" w14:textId="77777777" w:rsidR="007B3A20" w:rsidRPr="004217A1" w:rsidRDefault="007B3A20" w:rsidP="00844FBA">
            <w:pPr>
              <w:jc w:val="center"/>
              <w:rPr>
                <w:bCs/>
              </w:rPr>
            </w:pPr>
            <w:r w:rsidRPr="004217A1">
              <w:t>3/3/2</w:t>
            </w:r>
          </w:p>
        </w:tc>
        <w:tc>
          <w:tcPr>
            <w:tcW w:w="1559" w:type="dxa"/>
          </w:tcPr>
          <w:p w14:paraId="6397AB54" w14:textId="77777777" w:rsidR="007B3A20" w:rsidRPr="004217A1" w:rsidRDefault="007B3A20" w:rsidP="00844FBA">
            <w:pPr>
              <w:jc w:val="center"/>
              <w:rPr>
                <w:bCs/>
              </w:rPr>
            </w:pPr>
            <w:r w:rsidRPr="004217A1">
              <w:rPr>
                <w:bCs/>
              </w:rPr>
              <w:t>General</w:t>
            </w:r>
          </w:p>
        </w:tc>
        <w:tc>
          <w:tcPr>
            <w:tcW w:w="2268" w:type="dxa"/>
          </w:tcPr>
          <w:p w14:paraId="4C9492BA" w14:textId="77777777" w:rsidR="007B3A20" w:rsidRPr="004217A1" w:rsidRDefault="007B3A20" w:rsidP="00844FBA">
            <w:pPr>
              <w:jc w:val="center"/>
              <w:rPr>
                <w:bCs/>
              </w:rPr>
            </w:pPr>
            <w:r w:rsidRPr="004217A1">
              <w:rPr>
                <w:bCs/>
              </w:rPr>
              <w:t>16 Feb 2012</w:t>
            </w:r>
          </w:p>
        </w:tc>
        <w:tc>
          <w:tcPr>
            <w:tcW w:w="1843" w:type="dxa"/>
          </w:tcPr>
          <w:p w14:paraId="7ACDC1E8" w14:textId="77777777" w:rsidR="007B3A20" w:rsidRPr="004217A1" w:rsidRDefault="007B3A20" w:rsidP="00844FBA">
            <w:pPr>
              <w:jc w:val="center"/>
              <w:rPr>
                <w:bCs/>
              </w:rPr>
            </w:pPr>
          </w:p>
        </w:tc>
      </w:tr>
      <w:tr w:rsidR="007B3A20" w:rsidRPr="004217A1" w14:paraId="25319F60" w14:textId="77777777" w:rsidTr="00C31C45">
        <w:trPr>
          <w:trHeight w:val="240"/>
        </w:trPr>
        <w:tc>
          <w:tcPr>
            <w:tcW w:w="3232" w:type="dxa"/>
          </w:tcPr>
          <w:p w14:paraId="657E39A6" w14:textId="77777777" w:rsidR="007B3A20" w:rsidRPr="004217A1" w:rsidRDefault="007B3A20" w:rsidP="00844FBA">
            <w:pPr>
              <w:rPr>
                <w:bCs/>
              </w:rPr>
            </w:pPr>
            <w:r w:rsidRPr="004217A1">
              <w:t>Whistle Blowing Policy</w:t>
            </w:r>
          </w:p>
        </w:tc>
        <w:tc>
          <w:tcPr>
            <w:tcW w:w="1129" w:type="dxa"/>
          </w:tcPr>
          <w:p w14:paraId="36769056" w14:textId="77777777" w:rsidR="007B3A20" w:rsidRPr="004217A1" w:rsidRDefault="007B3A20" w:rsidP="00844FBA">
            <w:pPr>
              <w:jc w:val="center"/>
              <w:rPr>
                <w:bCs/>
              </w:rPr>
            </w:pPr>
            <w:r w:rsidRPr="004217A1">
              <w:t>3/3/3</w:t>
            </w:r>
          </w:p>
        </w:tc>
        <w:tc>
          <w:tcPr>
            <w:tcW w:w="1559" w:type="dxa"/>
          </w:tcPr>
          <w:p w14:paraId="7D8C16D2" w14:textId="77777777" w:rsidR="007B3A20" w:rsidRPr="004217A1" w:rsidRDefault="007B3A20" w:rsidP="00844FBA">
            <w:pPr>
              <w:jc w:val="center"/>
              <w:rPr>
                <w:bCs/>
              </w:rPr>
            </w:pPr>
            <w:r w:rsidRPr="004217A1">
              <w:rPr>
                <w:bCs/>
              </w:rPr>
              <w:t>General</w:t>
            </w:r>
          </w:p>
        </w:tc>
        <w:tc>
          <w:tcPr>
            <w:tcW w:w="2268" w:type="dxa"/>
          </w:tcPr>
          <w:p w14:paraId="02545F7E" w14:textId="77777777" w:rsidR="007B3A20" w:rsidRPr="004217A1" w:rsidRDefault="007B3A20" w:rsidP="00844FBA">
            <w:pPr>
              <w:jc w:val="center"/>
              <w:rPr>
                <w:bCs/>
              </w:rPr>
            </w:pPr>
            <w:r w:rsidRPr="004217A1">
              <w:rPr>
                <w:bCs/>
              </w:rPr>
              <w:t>07 Feb 2012</w:t>
            </w:r>
          </w:p>
        </w:tc>
        <w:tc>
          <w:tcPr>
            <w:tcW w:w="1843" w:type="dxa"/>
          </w:tcPr>
          <w:p w14:paraId="79E01925" w14:textId="77777777" w:rsidR="007B3A20" w:rsidRPr="004217A1" w:rsidRDefault="007B3A20" w:rsidP="00844FBA">
            <w:pPr>
              <w:jc w:val="center"/>
              <w:rPr>
                <w:bCs/>
              </w:rPr>
            </w:pPr>
          </w:p>
        </w:tc>
      </w:tr>
      <w:tr w:rsidR="007B3A20" w:rsidRPr="004217A1" w14:paraId="6EDBCEAD" w14:textId="77777777" w:rsidTr="00C31C45">
        <w:trPr>
          <w:trHeight w:val="240"/>
        </w:trPr>
        <w:tc>
          <w:tcPr>
            <w:tcW w:w="3232" w:type="dxa"/>
          </w:tcPr>
          <w:p w14:paraId="7BBBE4E3" w14:textId="77777777" w:rsidR="007B3A20" w:rsidRPr="004217A1" w:rsidRDefault="007B3A20" w:rsidP="00844FBA">
            <w:pPr>
              <w:rPr>
                <w:bCs/>
              </w:rPr>
            </w:pPr>
            <w:r w:rsidRPr="004217A1">
              <w:rPr>
                <w:bCs/>
              </w:rPr>
              <w:t>Risk Management Policy</w:t>
            </w:r>
          </w:p>
        </w:tc>
        <w:tc>
          <w:tcPr>
            <w:tcW w:w="1129" w:type="dxa"/>
          </w:tcPr>
          <w:p w14:paraId="7248CF73" w14:textId="77777777" w:rsidR="007B3A20" w:rsidRPr="004217A1" w:rsidRDefault="007B3A20" w:rsidP="00844FBA">
            <w:pPr>
              <w:jc w:val="center"/>
              <w:rPr>
                <w:bCs/>
              </w:rPr>
            </w:pPr>
            <w:r w:rsidRPr="004217A1">
              <w:rPr>
                <w:bCs/>
              </w:rPr>
              <w:t>3/3/4</w:t>
            </w:r>
          </w:p>
        </w:tc>
        <w:tc>
          <w:tcPr>
            <w:tcW w:w="1559" w:type="dxa"/>
          </w:tcPr>
          <w:p w14:paraId="6E4B59B3" w14:textId="77777777" w:rsidR="007B3A20" w:rsidRPr="004217A1" w:rsidRDefault="007B3A20" w:rsidP="00844FBA">
            <w:pPr>
              <w:jc w:val="center"/>
              <w:rPr>
                <w:bCs/>
              </w:rPr>
            </w:pPr>
            <w:r w:rsidRPr="004217A1">
              <w:rPr>
                <w:bCs/>
              </w:rPr>
              <w:t>General</w:t>
            </w:r>
          </w:p>
        </w:tc>
        <w:tc>
          <w:tcPr>
            <w:tcW w:w="2268" w:type="dxa"/>
          </w:tcPr>
          <w:p w14:paraId="5BBD09A8" w14:textId="77777777" w:rsidR="007B3A20" w:rsidRPr="004217A1" w:rsidRDefault="007B3A20" w:rsidP="00844FBA">
            <w:pPr>
              <w:jc w:val="center"/>
              <w:rPr>
                <w:bCs/>
              </w:rPr>
            </w:pPr>
            <w:r w:rsidRPr="004217A1">
              <w:rPr>
                <w:bCs/>
              </w:rPr>
              <w:t>07 Feb 2012</w:t>
            </w:r>
          </w:p>
        </w:tc>
        <w:tc>
          <w:tcPr>
            <w:tcW w:w="1843" w:type="dxa"/>
          </w:tcPr>
          <w:p w14:paraId="7E2865F1" w14:textId="77777777" w:rsidR="007B3A20" w:rsidRPr="004217A1" w:rsidRDefault="007B3A20" w:rsidP="00844FBA">
            <w:pPr>
              <w:jc w:val="center"/>
              <w:rPr>
                <w:bCs/>
              </w:rPr>
            </w:pPr>
          </w:p>
        </w:tc>
      </w:tr>
      <w:tr w:rsidR="007B3A20" w:rsidRPr="004217A1" w14:paraId="51F9EF64" w14:textId="77777777" w:rsidTr="00C31C45">
        <w:trPr>
          <w:trHeight w:val="240"/>
        </w:trPr>
        <w:tc>
          <w:tcPr>
            <w:tcW w:w="3232" w:type="dxa"/>
          </w:tcPr>
          <w:p w14:paraId="0194B412" w14:textId="77777777" w:rsidR="007B3A20" w:rsidRPr="004217A1" w:rsidRDefault="007B3A20" w:rsidP="00844FBA">
            <w:pPr>
              <w:rPr>
                <w:bCs/>
              </w:rPr>
            </w:pPr>
            <w:r w:rsidRPr="004217A1">
              <w:rPr>
                <w:bCs/>
              </w:rPr>
              <w:t>I T   Policy</w:t>
            </w:r>
          </w:p>
        </w:tc>
        <w:tc>
          <w:tcPr>
            <w:tcW w:w="1129" w:type="dxa"/>
          </w:tcPr>
          <w:p w14:paraId="40CCB556" w14:textId="77777777" w:rsidR="007B3A20" w:rsidRPr="004217A1" w:rsidRDefault="007B3A20" w:rsidP="00844FBA">
            <w:pPr>
              <w:jc w:val="center"/>
              <w:rPr>
                <w:bCs/>
              </w:rPr>
            </w:pPr>
            <w:r w:rsidRPr="004217A1">
              <w:rPr>
                <w:bCs/>
              </w:rPr>
              <w:t>3/3/6</w:t>
            </w:r>
          </w:p>
        </w:tc>
        <w:tc>
          <w:tcPr>
            <w:tcW w:w="1559" w:type="dxa"/>
          </w:tcPr>
          <w:p w14:paraId="085570D3" w14:textId="77777777" w:rsidR="007B3A20" w:rsidRPr="004217A1" w:rsidRDefault="007B3A20" w:rsidP="00844FBA">
            <w:pPr>
              <w:jc w:val="center"/>
              <w:rPr>
                <w:bCs/>
              </w:rPr>
            </w:pPr>
            <w:r w:rsidRPr="004217A1">
              <w:rPr>
                <w:bCs/>
              </w:rPr>
              <w:t>General</w:t>
            </w:r>
          </w:p>
        </w:tc>
        <w:tc>
          <w:tcPr>
            <w:tcW w:w="2268" w:type="dxa"/>
          </w:tcPr>
          <w:p w14:paraId="50D5FFA8" w14:textId="77777777" w:rsidR="007B3A20" w:rsidRPr="004217A1" w:rsidRDefault="007B3A20" w:rsidP="00844FBA">
            <w:pPr>
              <w:jc w:val="center"/>
              <w:rPr>
                <w:bCs/>
              </w:rPr>
            </w:pPr>
            <w:r w:rsidRPr="004217A1">
              <w:rPr>
                <w:bCs/>
              </w:rPr>
              <w:t>07 March 2012</w:t>
            </w:r>
          </w:p>
        </w:tc>
        <w:tc>
          <w:tcPr>
            <w:tcW w:w="1843" w:type="dxa"/>
          </w:tcPr>
          <w:p w14:paraId="3CBDA1EE" w14:textId="77777777" w:rsidR="007B3A20" w:rsidRPr="004217A1" w:rsidRDefault="007B3A20" w:rsidP="00844FBA">
            <w:pPr>
              <w:jc w:val="center"/>
              <w:rPr>
                <w:bCs/>
              </w:rPr>
            </w:pPr>
          </w:p>
        </w:tc>
      </w:tr>
      <w:tr w:rsidR="007B3A20" w:rsidRPr="004217A1" w14:paraId="7585F454" w14:textId="77777777" w:rsidTr="00C31C45">
        <w:trPr>
          <w:trHeight w:val="240"/>
        </w:trPr>
        <w:tc>
          <w:tcPr>
            <w:tcW w:w="3232" w:type="dxa"/>
          </w:tcPr>
          <w:p w14:paraId="7C61B78D" w14:textId="77777777" w:rsidR="007B3A20" w:rsidRPr="004217A1" w:rsidRDefault="007B3A20" w:rsidP="00844FBA">
            <w:pPr>
              <w:rPr>
                <w:bCs/>
              </w:rPr>
            </w:pPr>
            <w:r w:rsidRPr="004217A1">
              <w:rPr>
                <w:bCs/>
              </w:rPr>
              <w:t>Communication Plan Policy</w:t>
            </w:r>
          </w:p>
        </w:tc>
        <w:tc>
          <w:tcPr>
            <w:tcW w:w="1129" w:type="dxa"/>
          </w:tcPr>
          <w:p w14:paraId="4BCB8F76" w14:textId="77777777" w:rsidR="007B3A20" w:rsidRPr="004217A1" w:rsidRDefault="007B3A20" w:rsidP="00844FBA">
            <w:pPr>
              <w:jc w:val="center"/>
              <w:rPr>
                <w:bCs/>
              </w:rPr>
            </w:pPr>
            <w:r w:rsidRPr="004217A1">
              <w:rPr>
                <w:bCs/>
              </w:rPr>
              <w:t>3/3/21</w:t>
            </w:r>
          </w:p>
        </w:tc>
        <w:tc>
          <w:tcPr>
            <w:tcW w:w="1559" w:type="dxa"/>
          </w:tcPr>
          <w:p w14:paraId="5B4B89CB" w14:textId="77777777" w:rsidR="007B3A20" w:rsidRPr="004217A1" w:rsidRDefault="007B3A20" w:rsidP="00844FBA">
            <w:pPr>
              <w:jc w:val="center"/>
              <w:rPr>
                <w:bCs/>
              </w:rPr>
            </w:pPr>
            <w:r w:rsidRPr="004217A1">
              <w:rPr>
                <w:bCs/>
              </w:rPr>
              <w:t>General</w:t>
            </w:r>
          </w:p>
        </w:tc>
        <w:tc>
          <w:tcPr>
            <w:tcW w:w="2268" w:type="dxa"/>
          </w:tcPr>
          <w:p w14:paraId="7BF2081C" w14:textId="77777777" w:rsidR="007B3A20" w:rsidRPr="004217A1" w:rsidRDefault="007B3A20" w:rsidP="00844FBA">
            <w:pPr>
              <w:jc w:val="center"/>
              <w:rPr>
                <w:bCs/>
              </w:rPr>
            </w:pPr>
            <w:r w:rsidRPr="004217A1">
              <w:rPr>
                <w:bCs/>
              </w:rPr>
              <w:t>05 June 2013</w:t>
            </w:r>
          </w:p>
        </w:tc>
        <w:tc>
          <w:tcPr>
            <w:tcW w:w="1843" w:type="dxa"/>
          </w:tcPr>
          <w:p w14:paraId="0F2E126F" w14:textId="77777777" w:rsidR="007B3A20" w:rsidRPr="004217A1" w:rsidRDefault="007B3A20" w:rsidP="00844FBA">
            <w:pPr>
              <w:jc w:val="center"/>
              <w:rPr>
                <w:bCs/>
              </w:rPr>
            </w:pPr>
          </w:p>
        </w:tc>
      </w:tr>
      <w:tr w:rsidR="007B3A20" w:rsidRPr="004217A1" w14:paraId="25FFF15F" w14:textId="77777777" w:rsidTr="00C31C45">
        <w:trPr>
          <w:trHeight w:val="240"/>
        </w:trPr>
        <w:tc>
          <w:tcPr>
            <w:tcW w:w="3232" w:type="dxa"/>
          </w:tcPr>
          <w:p w14:paraId="2EFB29B6" w14:textId="77777777" w:rsidR="007B3A20" w:rsidRPr="004217A1" w:rsidRDefault="007B3A20" w:rsidP="00844FBA">
            <w:pPr>
              <w:rPr>
                <w:bCs/>
              </w:rPr>
            </w:pPr>
            <w:r w:rsidRPr="004217A1">
              <w:rPr>
                <w:bCs/>
              </w:rPr>
              <w:t>Records Management Policy</w:t>
            </w:r>
          </w:p>
        </w:tc>
        <w:tc>
          <w:tcPr>
            <w:tcW w:w="1129" w:type="dxa"/>
          </w:tcPr>
          <w:p w14:paraId="747BF3DF" w14:textId="77777777" w:rsidR="007B3A20" w:rsidRPr="004217A1" w:rsidRDefault="007B3A20" w:rsidP="00844FBA">
            <w:pPr>
              <w:jc w:val="center"/>
              <w:rPr>
                <w:bCs/>
              </w:rPr>
            </w:pPr>
            <w:r w:rsidRPr="004217A1">
              <w:rPr>
                <w:bCs/>
              </w:rPr>
              <w:t>3/3/25</w:t>
            </w:r>
          </w:p>
        </w:tc>
        <w:tc>
          <w:tcPr>
            <w:tcW w:w="1559" w:type="dxa"/>
          </w:tcPr>
          <w:p w14:paraId="52479A29" w14:textId="77777777" w:rsidR="007B3A20" w:rsidRPr="004217A1" w:rsidRDefault="007B3A20" w:rsidP="00844FBA">
            <w:pPr>
              <w:jc w:val="center"/>
            </w:pPr>
            <w:r w:rsidRPr="004217A1">
              <w:rPr>
                <w:bCs/>
              </w:rPr>
              <w:t>General</w:t>
            </w:r>
          </w:p>
        </w:tc>
        <w:tc>
          <w:tcPr>
            <w:tcW w:w="2268" w:type="dxa"/>
          </w:tcPr>
          <w:p w14:paraId="1FF20351" w14:textId="77777777" w:rsidR="007B3A20" w:rsidRPr="004217A1" w:rsidRDefault="007B3A20" w:rsidP="00844FBA">
            <w:pPr>
              <w:jc w:val="center"/>
              <w:rPr>
                <w:bCs/>
              </w:rPr>
            </w:pPr>
            <w:r w:rsidRPr="004217A1">
              <w:rPr>
                <w:bCs/>
              </w:rPr>
              <w:t>02 October 2013</w:t>
            </w:r>
          </w:p>
        </w:tc>
        <w:tc>
          <w:tcPr>
            <w:tcW w:w="1843" w:type="dxa"/>
          </w:tcPr>
          <w:p w14:paraId="22760DE6" w14:textId="77777777" w:rsidR="007B3A20" w:rsidRPr="004217A1" w:rsidRDefault="007B3A20" w:rsidP="00844FBA">
            <w:pPr>
              <w:jc w:val="center"/>
              <w:rPr>
                <w:bCs/>
              </w:rPr>
            </w:pPr>
          </w:p>
        </w:tc>
      </w:tr>
      <w:tr w:rsidR="007B3A20" w:rsidRPr="004217A1" w14:paraId="37AC6885" w14:textId="77777777" w:rsidTr="00C31C45">
        <w:trPr>
          <w:trHeight w:val="240"/>
        </w:trPr>
        <w:tc>
          <w:tcPr>
            <w:tcW w:w="3232" w:type="dxa"/>
          </w:tcPr>
          <w:p w14:paraId="66DB818E" w14:textId="77777777" w:rsidR="007B3A20" w:rsidRPr="004217A1" w:rsidRDefault="007B3A20" w:rsidP="00844FBA">
            <w:pPr>
              <w:rPr>
                <w:bCs/>
              </w:rPr>
            </w:pPr>
            <w:r w:rsidRPr="004217A1">
              <w:rPr>
                <w:bCs/>
              </w:rPr>
              <w:t>Informal Economy Policy</w:t>
            </w:r>
          </w:p>
        </w:tc>
        <w:tc>
          <w:tcPr>
            <w:tcW w:w="1129" w:type="dxa"/>
          </w:tcPr>
          <w:p w14:paraId="0E061FB2" w14:textId="77777777" w:rsidR="007B3A20" w:rsidRPr="004217A1" w:rsidRDefault="007B3A20" w:rsidP="00844FBA">
            <w:pPr>
              <w:jc w:val="center"/>
              <w:rPr>
                <w:bCs/>
              </w:rPr>
            </w:pPr>
            <w:r w:rsidRPr="004217A1">
              <w:rPr>
                <w:bCs/>
              </w:rPr>
              <w:t>3/3/26</w:t>
            </w:r>
          </w:p>
        </w:tc>
        <w:tc>
          <w:tcPr>
            <w:tcW w:w="1559" w:type="dxa"/>
          </w:tcPr>
          <w:p w14:paraId="1BFAB3DA" w14:textId="77777777" w:rsidR="007B3A20" w:rsidRPr="004217A1" w:rsidRDefault="007B3A20" w:rsidP="00844FBA">
            <w:pPr>
              <w:jc w:val="center"/>
            </w:pPr>
            <w:r w:rsidRPr="004217A1">
              <w:rPr>
                <w:bCs/>
              </w:rPr>
              <w:t>General</w:t>
            </w:r>
          </w:p>
        </w:tc>
        <w:tc>
          <w:tcPr>
            <w:tcW w:w="2268" w:type="dxa"/>
          </w:tcPr>
          <w:p w14:paraId="7BD270E8" w14:textId="77777777" w:rsidR="007B3A20" w:rsidRPr="004217A1" w:rsidRDefault="007B3A20" w:rsidP="00844FBA">
            <w:pPr>
              <w:jc w:val="center"/>
              <w:rPr>
                <w:bCs/>
              </w:rPr>
            </w:pPr>
            <w:r w:rsidRPr="004217A1">
              <w:rPr>
                <w:bCs/>
              </w:rPr>
              <w:t>02 October 2013</w:t>
            </w:r>
          </w:p>
        </w:tc>
        <w:tc>
          <w:tcPr>
            <w:tcW w:w="1843" w:type="dxa"/>
          </w:tcPr>
          <w:p w14:paraId="534275C2" w14:textId="77777777" w:rsidR="007B3A20" w:rsidRPr="004217A1" w:rsidRDefault="007B3A20" w:rsidP="00844FBA">
            <w:pPr>
              <w:jc w:val="center"/>
              <w:rPr>
                <w:bCs/>
              </w:rPr>
            </w:pPr>
          </w:p>
        </w:tc>
      </w:tr>
      <w:tr w:rsidR="007B3A20" w:rsidRPr="004217A1" w14:paraId="37F3355D" w14:textId="77777777" w:rsidTr="00C31C45">
        <w:trPr>
          <w:trHeight w:val="240"/>
        </w:trPr>
        <w:tc>
          <w:tcPr>
            <w:tcW w:w="3232" w:type="dxa"/>
          </w:tcPr>
          <w:p w14:paraId="6C32965F" w14:textId="77777777" w:rsidR="007B3A20" w:rsidRPr="004217A1" w:rsidRDefault="007B3A20" w:rsidP="00844FBA">
            <w:pPr>
              <w:rPr>
                <w:bCs/>
              </w:rPr>
            </w:pPr>
            <w:r w:rsidRPr="004217A1">
              <w:rPr>
                <w:bCs/>
              </w:rPr>
              <w:t>Expanded Public Works Policy (LLF  29 Jan 14)</w:t>
            </w:r>
          </w:p>
        </w:tc>
        <w:tc>
          <w:tcPr>
            <w:tcW w:w="1129" w:type="dxa"/>
          </w:tcPr>
          <w:p w14:paraId="6BBFB577" w14:textId="77777777" w:rsidR="007B3A20" w:rsidRPr="004217A1" w:rsidRDefault="007B3A20" w:rsidP="00844FBA">
            <w:pPr>
              <w:jc w:val="center"/>
              <w:rPr>
                <w:bCs/>
              </w:rPr>
            </w:pPr>
            <w:r w:rsidRPr="004217A1">
              <w:rPr>
                <w:bCs/>
              </w:rPr>
              <w:t>3/3/33</w:t>
            </w:r>
          </w:p>
        </w:tc>
        <w:tc>
          <w:tcPr>
            <w:tcW w:w="1559" w:type="dxa"/>
          </w:tcPr>
          <w:p w14:paraId="34A19948" w14:textId="77777777" w:rsidR="007B3A20" w:rsidRPr="004217A1" w:rsidRDefault="007B3A20" w:rsidP="00844FBA">
            <w:pPr>
              <w:jc w:val="center"/>
              <w:rPr>
                <w:bCs/>
              </w:rPr>
            </w:pPr>
            <w:r w:rsidRPr="004217A1">
              <w:rPr>
                <w:bCs/>
              </w:rPr>
              <w:t>General</w:t>
            </w:r>
          </w:p>
        </w:tc>
        <w:tc>
          <w:tcPr>
            <w:tcW w:w="2268" w:type="dxa"/>
          </w:tcPr>
          <w:p w14:paraId="36822D28" w14:textId="77777777" w:rsidR="007B3A20" w:rsidRPr="004217A1" w:rsidRDefault="007B3A20" w:rsidP="00844FBA">
            <w:pPr>
              <w:jc w:val="center"/>
              <w:rPr>
                <w:bCs/>
              </w:rPr>
            </w:pPr>
            <w:r w:rsidRPr="004217A1">
              <w:rPr>
                <w:bCs/>
              </w:rPr>
              <w:t>05 March 2014</w:t>
            </w:r>
          </w:p>
        </w:tc>
        <w:tc>
          <w:tcPr>
            <w:tcW w:w="1843" w:type="dxa"/>
          </w:tcPr>
          <w:p w14:paraId="3B0B34BE" w14:textId="77777777" w:rsidR="007B3A20" w:rsidRPr="004217A1" w:rsidRDefault="007B3A20" w:rsidP="00844FBA">
            <w:pPr>
              <w:jc w:val="center"/>
              <w:rPr>
                <w:bCs/>
              </w:rPr>
            </w:pPr>
          </w:p>
        </w:tc>
      </w:tr>
      <w:tr w:rsidR="007B3A20" w:rsidRPr="004217A1" w14:paraId="3E58F0BD" w14:textId="77777777" w:rsidTr="00C31C45">
        <w:trPr>
          <w:trHeight w:val="240"/>
        </w:trPr>
        <w:tc>
          <w:tcPr>
            <w:tcW w:w="3232" w:type="dxa"/>
          </w:tcPr>
          <w:p w14:paraId="0853108C" w14:textId="77777777" w:rsidR="007B3A20" w:rsidRPr="004217A1" w:rsidRDefault="007B3A20" w:rsidP="00844FBA">
            <w:pPr>
              <w:rPr>
                <w:bCs/>
              </w:rPr>
            </w:pPr>
            <w:r w:rsidRPr="004217A1">
              <w:rPr>
                <w:bCs/>
              </w:rPr>
              <w:t>Budget Policy</w:t>
            </w:r>
          </w:p>
        </w:tc>
        <w:tc>
          <w:tcPr>
            <w:tcW w:w="1129" w:type="dxa"/>
          </w:tcPr>
          <w:p w14:paraId="75AE8394" w14:textId="77777777" w:rsidR="007B3A20" w:rsidRPr="004217A1" w:rsidRDefault="007B3A20" w:rsidP="00844FBA">
            <w:pPr>
              <w:jc w:val="center"/>
              <w:rPr>
                <w:bCs/>
              </w:rPr>
            </w:pPr>
            <w:r w:rsidRPr="004217A1">
              <w:rPr>
                <w:bCs/>
              </w:rPr>
              <w:t>3/3/7</w:t>
            </w:r>
          </w:p>
        </w:tc>
        <w:tc>
          <w:tcPr>
            <w:tcW w:w="1559" w:type="dxa"/>
          </w:tcPr>
          <w:p w14:paraId="42FAB1DD" w14:textId="77777777" w:rsidR="007B3A20" w:rsidRPr="004217A1" w:rsidRDefault="007B3A20" w:rsidP="00844FBA">
            <w:pPr>
              <w:jc w:val="center"/>
              <w:rPr>
                <w:bCs/>
              </w:rPr>
            </w:pPr>
            <w:r w:rsidRPr="004217A1">
              <w:rPr>
                <w:bCs/>
              </w:rPr>
              <w:t>Finance</w:t>
            </w:r>
          </w:p>
        </w:tc>
        <w:tc>
          <w:tcPr>
            <w:tcW w:w="2268" w:type="dxa"/>
          </w:tcPr>
          <w:p w14:paraId="268630BF" w14:textId="77777777" w:rsidR="007B3A20" w:rsidRPr="004217A1" w:rsidRDefault="007B3A20" w:rsidP="00844FBA">
            <w:pPr>
              <w:jc w:val="center"/>
              <w:rPr>
                <w:bCs/>
              </w:rPr>
            </w:pPr>
          </w:p>
        </w:tc>
        <w:tc>
          <w:tcPr>
            <w:tcW w:w="1843" w:type="dxa"/>
          </w:tcPr>
          <w:p w14:paraId="0508D17A" w14:textId="77777777" w:rsidR="007B3A20" w:rsidRPr="004217A1" w:rsidRDefault="007B3A20" w:rsidP="00844FBA">
            <w:pPr>
              <w:jc w:val="center"/>
              <w:rPr>
                <w:bCs/>
              </w:rPr>
            </w:pPr>
            <w:r w:rsidRPr="004217A1">
              <w:rPr>
                <w:bCs/>
              </w:rPr>
              <w:t>Council 30 May 2013</w:t>
            </w:r>
          </w:p>
        </w:tc>
      </w:tr>
      <w:tr w:rsidR="007B3A20" w:rsidRPr="004217A1" w14:paraId="7B8764BD" w14:textId="77777777" w:rsidTr="00C31C45">
        <w:trPr>
          <w:trHeight w:val="240"/>
        </w:trPr>
        <w:tc>
          <w:tcPr>
            <w:tcW w:w="3232" w:type="dxa"/>
          </w:tcPr>
          <w:p w14:paraId="75185E12" w14:textId="77777777" w:rsidR="007B3A20" w:rsidRPr="004217A1" w:rsidRDefault="007B3A20" w:rsidP="00844FBA">
            <w:pPr>
              <w:tabs>
                <w:tab w:val="left" w:pos="3449"/>
              </w:tabs>
              <w:rPr>
                <w:bCs/>
              </w:rPr>
            </w:pPr>
            <w:r w:rsidRPr="004217A1">
              <w:rPr>
                <w:bCs/>
              </w:rPr>
              <w:t xml:space="preserve">S &amp; T Allowance Policy </w:t>
            </w:r>
            <w:r w:rsidRPr="004217A1">
              <w:rPr>
                <w:bCs/>
              </w:rPr>
              <w:tab/>
            </w:r>
          </w:p>
        </w:tc>
        <w:tc>
          <w:tcPr>
            <w:tcW w:w="1129" w:type="dxa"/>
          </w:tcPr>
          <w:p w14:paraId="42DDC975" w14:textId="77777777" w:rsidR="007B3A20" w:rsidRPr="004217A1" w:rsidRDefault="007B3A20" w:rsidP="00844FBA">
            <w:pPr>
              <w:jc w:val="center"/>
              <w:rPr>
                <w:bCs/>
              </w:rPr>
            </w:pPr>
            <w:r w:rsidRPr="004217A1">
              <w:rPr>
                <w:bCs/>
              </w:rPr>
              <w:t>3/3/8</w:t>
            </w:r>
          </w:p>
        </w:tc>
        <w:tc>
          <w:tcPr>
            <w:tcW w:w="1559" w:type="dxa"/>
          </w:tcPr>
          <w:p w14:paraId="51865D27" w14:textId="77777777" w:rsidR="007B3A20" w:rsidRPr="004217A1" w:rsidRDefault="007B3A20" w:rsidP="00844FBA">
            <w:pPr>
              <w:jc w:val="center"/>
            </w:pPr>
            <w:r w:rsidRPr="004217A1">
              <w:rPr>
                <w:bCs/>
              </w:rPr>
              <w:t>Finance</w:t>
            </w:r>
          </w:p>
        </w:tc>
        <w:tc>
          <w:tcPr>
            <w:tcW w:w="2268" w:type="dxa"/>
          </w:tcPr>
          <w:p w14:paraId="2AB07E3B" w14:textId="77777777" w:rsidR="007B3A20" w:rsidRPr="004217A1" w:rsidRDefault="007B3A20" w:rsidP="00844FBA">
            <w:pPr>
              <w:jc w:val="center"/>
              <w:rPr>
                <w:bCs/>
              </w:rPr>
            </w:pPr>
            <w:r w:rsidRPr="004217A1">
              <w:rPr>
                <w:bCs/>
              </w:rPr>
              <w:t>08 Oct 2012</w:t>
            </w:r>
          </w:p>
        </w:tc>
        <w:tc>
          <w:tcPr>
            <w:tcW w:w="1843" w:type="dxa"/>
          </w:tcPr>
          <w:p w14:paraId="4FE767D6" w14:textId="77777777" w:rsidR="007B3A20" w:rsidRPr="004217A1" w:rsidRDefault="007B3A20" w:rsidP="00844FBA">
            <w:pPr>
              <w:jc w:val="center"/>
              <w:rPr>
                <w:bCs/>
              </w:rPr>
            </w:pPr>
          </w:p>
        </w:tc>
      </w:tr>
      <w:tr w:rsidR="007B3A20" w:rsidRPr="004217A1" w14:paraId="4EBF415B" w14:textId="77777777" w:rsidTr="00C31C45">
        <w:trPr>
          <w:trHeight w:val="225"/>
        </w:trPr>
        <w:tc>
          <w:tcPr>
            <w:tcW w:w="3232" w:type="dxa"/>
          </w:tcPr>
          <w:p w14:paraId="1430AB5C" w14:textId="77777777" w:rsidR="007B3A20" w:rsidRPr="004217A1" w:rsidRDefault="007B3A20" w:rsidP="00844FBA">
            <w:pPr>
              <w:rPr>
                <w:bCs/>
              </w:rPr>
            </w:pPr>
            <w:r w:rsidRPr="004217A1">
              <w:rPr>
                <w:bCs/>
              </w:rPr>
              <w:t>Supply Chain Management</w:t>
            </w:r>
          </w:p>
        </w:tc>
        <w:tc>
          <w:tcPr>
            <w:tcW w:w="1129" w:type="dxa"/>
          </w:tcPr>
          <w:p w14:paraId="2A2AB646" w14:textId="77777777" w:rsidR="007B3A20" w:rsidRPr="004217A1" w:rsidRDefault="007B3A20" w:rsidP="00844FBA">
            <w:pPr>
              <w:jc w:val="center"/>
              <w:rPr>
                <w:bCs/>
              </w:rPr>
            </w:pPr>
            <w:r w:rsidRPr="004217A1">
              <w:rPr>
                <w:bCs/>
              </w:rPr>
              <w:t>3/3/9</w:t>
            </w:r>
          </w:p>
        </w:tc>
        <w:tc>
          <w:tcPr>
            <w:tcW w:w="1559" w:type="dxa"/>
          </w:tcPr>
          <w:p w14:paraId="439F6AB4" w14:textId="77777777" w:rsidR="007B3A20" w:rsidRPr="004217A1" w:rsidRDefault="007B3A20" w:rsidP="00844FBA">
            <w:pPr>
              <w:jc w:val="center"/>
            </w:pPr>
            <w:r w:rsidRPr="004217A1">
              <w:rPr>
                <w:bCs/>
              </w:rPr>
              <w:t>Finance</w:t>
            </w:r>
          </w:p>
        </w:tc>
        <w:tc>
          <w:tcPr>
            <w:tcW w:w="2268" w:type="dxa"/>
          </w:tcPr>
          <w:p w14:paraId="55CD5BF9" w14:textId="77777777" w:rsidR="007B3A20" w:rsidRPr="004217A1" w:rsidRDefault="007B3A20" w:rsidP="00844FBA">
            <w:pPr>
              <w:jc w:val="center"/>
              <w:rPr>
                <w:bCs/>
              </w:rPr>
            </w:pPr>
          </w:p>
        </w:tc>
        <w:tc>
          <w:tcPr>
            <w:tcW w:w="1843" w:type="dxa"/>
          </w:tcPr>
          <w:p w14:paraId="424E3E77" w14:textId="77777777" w:rsidR="007B3A20" w:rsidRPr="004217A1" w:rsidRDefault="007B3A20" w:rsidP="00844FBA">
            <w:pPr>
              <w:jc w:val="center"/>
              <w:rPr>
                <w:bCs/>
              </w:rPr>
            </w:pPr>
            <w:r w:rsidRPr="004217A1">
              <w:rPr>
                <w:bCs/>
              </w:rPr>
              <w:t>EXCO 05 June 2013</w:t>
            </w:r>
          </w:p>
        </w:tc>
      </w:tr>
      <w:tr w:rsidR="007B3A20" w:rsidRPr="004217A1" w14:paraId="7B45D047" w14:textId="77777777" w:rsidTr="00C31C45">
        <w:trPr>
          <w:trHeight w:val="240"/>
        </w:trPr>
        <w:tc>
          <w:tcPr>
            <w:tcW w:w="3232" w:type="dxa"/>
          </w:tcPr>
          <w:p w14:paraId="1A3B3001" w14:textId="77777777" w:rsidR="007B3A20" w:rsidRPr="004217A1" w:rsidRDefault="007B3A20" w:rsidP="00844FBA">
            <w:pPr>
              <w:rPr>
                <w:bCs/>
              </w:rPr>
            </w:pPr>
            <w:r w:rsidRPr="004217A1">
              <w:rPr>
                <w:bCs/>
              </w:rPr>
              <w:t>Bad Debt Write off and Impairment of Debts Policy</w:t>
            </w:r>
          </w:p>
        </w:tc>
        <w:tc>
          <w:tcPr>
            <w:tcW w:w="1129" w:type="dxa"/>
          </w:tcPr>
          <w:p w14:paraId="6BAD5813" w14:textId="77777777" w:rsidR="007B3A20" w:rsidRPr="004217A1" w:rsidRDefault="007B3A20" w:rsidP="00844FBA">
            <w:pPr>
              <w:jc w:val="center"/>
              <w:rPr>
                <w:bCs/>
              </w:rPr>
            </w:pPr>
            <w:r w:rsidRPr="004217A1">
              <w:rPr>
                <w:bCs/>
              </w:rPr>
              <w:t>3/3/10</w:t>
            </w:r>
          </w:p>
        </w:tc>
        <w:tc>
          <w:tcPr>
            <w:tcW w:w="1559" w:type="dxa"/>
          </w:tcPr>
          <w:p w14:paraId="7418B634" w14:textId="77777777" w:rsidR="007B3A20" w:rsidRPr="004217A1" w:rsidRDefault="007B3A20" w:rsidP="00844FBA">
            <w:pPr>
              <w:jc w:val="center"/>
            </w:pPr>
            <w:r w:rsidRPr="004217A1">
              <w:rPr>
                <w:bCs/>
              </w:rPr>
              <w:t>Finance</w:t>
            </w:r>
          </w:p>
        </w:tc>
        <w:tc>
          <w:tcPr>
            <w:tcW w:w="2268" w:type="dxa"/>
          </w:tcPr>
          <w:p w14:paraId="7312D8E8" w14:textId="77777777" w:rsidR="007B3A20" w:rsidRPr="004217A1" w:rsidRDefault="007B3A20" w:rsidP="00844FBA">
            <w:pPr>
              <w:jc w:val="center"/>
              <w:rPr>
                <w:bCs/>
              </w:rPr>
            </w:pPr>
            <w:r w:rsidRPr="004217A1">
              <w:rPr>
                <w:bCs/>
              </w:rPr>
              <w:t>Council  30 May 2013</w:t>
            </w:r>
          </w:p>
        </w:tc>
        <w:tc>
          <w:tcPr>
            <w:tcW w:w="1843" w:type="dxa"/>
          </w:tcPr>
          <w:p w14:paraId="35182B67" w14:textId="77777777" w:rsidR="007B3A20" w:rsidRPr="004217A1" w:rsidRDefault="007B3A20" w:rsidP="00844FBA">
            <w:pPr>
              <w:jc w:val="center"/>
              <w:rPr>
                <w:bCs/>
              </w:rPr>
            </w:pPr>
          </w:p>
        </w:tc>
      </w:tr>
      <w:tr w:rsidR="007B3A20" w:rsidRPr="004217A1" w14:paraId="002597B9" w14:textId="77777777" w:rsidTr="00C31C45">
        <w:trPr>
          <w:trHeight w:val="494"/>
        </w:trPr>
        <w:tc>
          <w:tcPr>
            <w:tcW w:w="3232" w:type="dxa"/>
          </w:tcPr>
          <w:p w14:paraId="40542708" w14:textId="77777777" w:rsidR="007B3A20" w:rsidRPr="004217A1" w:rsidRDefault="007B3A20" w:rsidP="00844FBA">
            <w:pPr>
              <w:rPr>
                <w:bCs/>
              </w:rPr>
            </w:pPr>
            <w:r w:rsidRPr="004217A1">
              <w:rPr>
                <w:bCs/>
              </w:rPr>
              <w:t>Credit Control and Debt Collection Policy</w:t>
            </w:r>
          </w:p>
        </w:tc>
        <w:tc>
          <w:tcPr>
            <w:tcW w:w="1129" w:type="dxa"/>
          </w:tcPr>
          <w:p w14:paraId="776A45D4" w14:textId="77777777" w:rsidR="007B3A20" w:rsidRPr="004217A1" w:rsidRDefault="007B3A20" w:rsidP="00844FBA">
            <w:pPr>
              <w:jc w:val="center"/>
              <w:rPr>
                <w:bCs/>
              </w:rPr>
            </w:pPr>
            <w:r w:rsidRPr="004217A1">
              <w:rPr>
                <w:bCs/>
              </w:rPr>
              <w:t>3/3/11</w:t>
            </w:r>
          </w:p>
        </w:tc>
        <w:tc>
          <w:tcPr>
            <w:tcW w:w="1559" w:type="dxa"/>
          </w:tcPr>
          <w:p w14:paraId="4305D3BF" w14:textId="77777777" w:rsidR="007B3A20" w:rsidRPr="004217A1" w:rsidRDefault="007B3A20" w:rsidP="00844FBA">
            <w:pPr>
              <w:jc w:val="center"/>
            </w:pPr>
            <w:r w:rsidRPr="004217A1">
              <w:rPr>
                <w:bCs/>
              </w:rPr>
              <w:t>Finance</w:t>
            </w:r>
          </w:p>
        </w:tc>
        <w:tc>
          <w:tcPr>
            <w:tcW w:w="2268" w:type="dxa"/>
          </w:tcPr>
          <w:p w14:paraId="5199186F" w14:textId="77777777" w:rsidR="007B3A20" w:rsidRPr="004217A1" w:rsidRDefault="007B3A20" w:rsidP="00844FBA">
            <w:pPr>
              <w:jc w:val="center"/>
              <w:rPr>
                <w:bCs/>
              </w:rPr>
            </w:pPr>
          </w:p>
        </w:tc>
        <w:tc>
          <w:tcPr>
            <w:tcW w:w="1843" w:type="dxa"/>
          </w:tcPr>
          <w:p w14:paraId="794B3030" w14:textId="77777777" w:rsidR="007B3A20" w:rsidRPr="004217A1" w:rsidRDefault="007B3A20" w:rsidP="00844FBA">
            <w:pPr>
              <w:jc w:val="center"/>
              <w:rPr>
                <w:bCs/>
              </w:rPr>
            </w:pPr>
            <w:r w:rsidRPr="004217A1">
              <w:rPr>
                <w:bCs/>
              </w:rPr>
              <w:t>Council  30 May 2013</w:t>
            </w:r>
          </w:p>
          <w:p w14:paraId="5484A7C8" w14:textId="77777777" w:rsidR="007B3A20" w:rsidRPr="004217A1" w:rsidRDefault="007B3A20" w:rsidP="00844FBA">
            <w:pPr>
              <w:jc w:val="center"/>
              <w:rPr>
                <w:bCs/>
                <w:color w:val="FF0000"/>
              </w:rPr>
            </w:pPr>
            <w:r w:rsidRPr="00664922">
              <w:rPr>
                <w:bCs/>
              </w:rPr>
              <w:t>Council 29 May 2014</w:t>
            </w:r>
          </w:p>
        </w:tc>
      </w:tr>
      <w:tr w:rsidR="007B3A20" w:rsidRPr="004217A1" w14:paraId="4F7B72EC" w14:textId="77777777" w:rsidTr="00C31C45">
        <w:trPr>
          <w:trHeight w:val="240"/>
        </w:trPr>
        <w:tc>
          <w:tcPr>
            <w:tcW w:w="3232" w:type="dxa"/>
          </w:tcPr>
          <w:p w14:paraId="3D3A558C" w14:textId="77777777" w:rsidR="007B3A20" w:rsidRPr="004217A1" w:rsidRDefault="007B3A20" w:rsidP="00844FBA">
            <w:pPr>
              <w:rPr>
                <w:bCs/>
              </w:rPr>
            </w:pPr>
            <w:r w:rsidRPr="004217A1">
              <w:rPr>
                <w:bCs/>
              </w:rPr>
              <w:t>Indigent Policy</w:t>
            </w:r>
          </w:p>
        </w:tc>
        <w:tc>
          <w:tcPr>
            <w:tcW w:w="1129" w:type="dxa"/>
          </w:tcPr>
          <w:p w14:paraId="01F09E54" w14:textId="77777777" w:rsidR="007B3A20" w:rsidRPr="004217A1" w:rsidRDefault="007B3A20" w:rsidP="00844FBA">
            <w:pPr>
              <w:jc w:val="center"/>
              <w:rPr>
                <w:bCs/>
              </w:rPr>
            </w:pPr>
            <w:r w:rsidRPr="004217A1">
              <w:rPr>
                <w:bCs/>
              </w:rPr>
              <w:t>3/3/13</w:t>
            </w:r>
          </w:p>
        </w:tc>
        <w:tc>
          <w:tcPr>
            <w:tcW w:w="1559" w:type="dxa"/>
          </w:tcPr>
          <w:p w14:paraId="06F69C70" w14:textId="77777777" w:rsidR="007B3A20" w:rsidRPr="004217A1" w:rsidRDefault="007B3A20" w:rsidP="00844FBA">
            <w:pPr>
              <w:jc w:val="center"/>
            </w:pPr>
            <w:r w:rsidRPr="004217A1">
              <w:rPr>
                <w:bCs/>
              </w:rPr>
              <w:t>Finance</w:t>
            </w:r>
          </w:p>
        </w:tc>
        <w:tc>
          <w:tcPr>
            <w:tcW w:w="2268" w:type="dxa"/>
          </w:tcPr>
          <w:p w14:paraId="3DDC36B4" w14:textId="77777777" w:rsidR="007B3A20" w:rsidRPr="004217A1" w:rsidRDefault="007B3A20" w:rsidP="00844FBA">
            <w:pPr>
              <w:jc w:val="center"/>
              <w:rPr>
                <w:bCs/>
              </w:rPr>
            </w:pPr>
          </w:p>
        </w:tc>
        <w:tc>
          <w:tcPr>
            <w:tcW w:w="1843" w:type="dxa"/>
          </w:tcPr>
          <w:p w14:paraId="442B62D6" w14:textId="77777777" w:rsidR="007B3A20" w:rsidRPr="004217A1" w:rsidRDefault="007B3A20" w:rsidP="00844FBA">
            <w:pPr>
              <w:jc w:val="center"/>
              <w:rPr>
                <w:bCs/>
              </w:rPr>
            </w:pPr>
            <w:r w:rsidRPr="004217A1">
              <w:rPr>
                <w:bCs/>
              </w:rPr>
              <w:t>Council  30 May 2013</w:t>
            </w:r>
          </w:p>
        </w:tc>
      </w:tr>
      <w:tr w:rsidR="007B3A20" w:rsidRPr="004217A1" w14:paraId="36A63D56" w14:textId="77777777" w:rsidTr="00C31C45">
        <w:trPr>
          <w:trHeight w:val="240"/>
        </w:trPr>
        <w:tc>
          <w:tcPr>
            <w:tcW w:w="3232" w:type="dxa"/>
          </w:tcPr>
          <w:p w14:paraId="4DF4B701" w14:textId="77777777" w:rsidR="007B3A20" w:rsidRPr="004217A1" w:rsidRDefault="007B3A20" w:rsidP="00844FBA">
            <w:pPr>
              <w:rPr>
                <w:bCs/>
              </w:rPr>
            </w:pPr>
            <w:r w:rsidRPr="004217A1">
              <w:rPr>
                <w:bCs/>
              </w:rPr>
              <w:t>Funding and Reserve Policy</w:t>
            </w:r>
          </w:p>
        </w:tc>
        <w:tc>
          <w:tcPr>
            <w:tcW w:w="1129" w:type="dxa"/>
          </w:tcPr>
          <w:p w14:paraId="401D7116" w14:textId="77777777" w:rsidR="007B3A20" w:rsidRPr="004217A1" w:rsidRDefault="007B3A20" w:rsidP="00844FBA">
            <w:pPr>
              <w:jc w:val="center"/>
              <w:rPr>
                <w:bCs/>
              </w:rPr>
            </w:pPr>
            <w:r w:rsidRPr="004217A1">
              <w:rPr>
                <w:bCs/>
              </w:rPr>
              <w:t>3/3/14</w:t>
            </w:r>
          </w:p>
        </w:tc>
        <w:tc>
          <w:tcPr>
            <w:tcW w:w="1559" w:type="dxa"/>
          </w:tcPr>
          <w:p w14:paraId="44883D06" w14:textId="77777777" w:rsidR="007B3A20" w:rsidRPr="004217A1" w:rsidRDefault="007B3A20" w:rsidP="00844FBA">
            <w:pPr>
              <w:jc w:val="center"/>
            </w:pPr>
            <w:r w:rsidRPr="004217A1">
              <w:rPr>
                <w:bCs/>
              </w:rPr>
              <w:t>Finance</w:t>
            </w:r>
          </w:p>
        </w:tc>
        <w:tc>
          <w:tcPr>
            <w:tcW w:w="2268" w:type="dxa"/>
          </w:tcPr>
          <w:p w14:paraId="3999D577" w14:textId="77777777" w:rsidR="007B3A20" w:rsidRPr="004217A1" w:rsidRDefault="007B3A20" w:rsidP="00844FBA">
            <w:pPr>
              <w:jc w:val="center"/>
              <w:rPr>
                <w:bCs/>
              </w:rPr>
            </w:pPr>
            <w:r w:rsidRPr="004217A1">
              <w:rPr>
                <w:bCs/>
              </w:rPr>
              <w:t>Council  30 May 2013</w:t>
            </w:r>
          </w:p>
        </w:tc>
        <w:tc>
          <w:tcPr>
            <w:tcW w:w="1843" w:type="dxa"/>
          </w:tcPr>
          <w:p w14:paraId="5D9EF83E" w14:textId="77777777" w:rsidR="007B3A20" w:rsidRPr="004217A1" w:rsidRDefault="007B3A20" w:rsidP="00844FBA">
            <w:pPr>
              <w:jc w:val="center"/>
              <w:rPr>
                <w:bCs/>
              </w:rPr>
            </w:pPr>
          </w:p>
        </w:tc>
      </w:tr>
      <w:tr w:rsidR="007B3A20" w:rsidRPr="004217A1" w14:paraId="39BFA93A" w14:textId="77777777" w:rsidTr="00C31C45">
        <w:trPr>
          <w:trHeight w:val="225"/>
        </w:trPr>
        <w:tc>
          <w:tcPr>
            <w:tcW w:w="3232" w:type="dxa"/>
          </w:tcPr>
          <w:p w14:paraId="228BEBC7" w14:textId="77777777" w:rsidR="007B3A20" w:rsidRPr="004217A1" w:rsidRDefault="007B3A20" w:rsidP="00844FBA">
            <w:pPr>
              <w:rPr>
                <w:bCs/>
              </w:rPr>
            </w:pPr>
            <w:r w:rsidRPr="004217A1">
              <w:rPr>
                <w:bCs/>
              </w:rPr>
              <w:t>Borrowing Policy</w:t>
            </w:r>
          </w:p>
        </w:tc>
        <w:tc>
          <w:tcPr>
            <w:tcW w:w="1129" w:type="dxa"/>
          </w:tcPr>
          <w:p w14:paraId="6CE0FB78" w14:textId="77777777" w:rsidR="007B3A20" w:rsidRPr="004217A1" w:rsidRDefault="007B3A20" w:rsidP="00844FBA">
            <w:pPr>
              <w:jc w:val="center"/>
              <w:rPr>
                <w:bCs/>
              </w:rPr>
            </w:pPr>
            <w:r w:rsidRPr="004217A1">
              <w:rPr>
                <w:bCs/>
              </w:rPr>
              <w:t>3/3/15</w:t>
            </w:r>
          </w:p>
        </w:tc>
        <w:tc>
          <w:tcPr>
            <w:tcW w:w="1559" w:type="dxa"/>
          </w:tcPr>
          <w:p w14:paraId="0E1C240E" w14:textId="77777777" w:rsidR="007B3A20" w:rsidRPr="004217A1" w:rsidRDefault="007B3A20" w:rsidP="00844FBA">
            <w:pPr>
              <w:jc w:val="center"/>
            </w:pPr>
            <w:r w:rsidRPr="004217A1">
              <w:rPr>
                <w:bCs/>
              </w:rPr>
              <w:t>Finance</w:t>
            </w:r>
          </w:p>
        </w:tc>
        <w:tc>
          <w:tcPr>
            <w:tcW w:w="2268" w:type="dxa"/>
          </w:tcPr>
          <w:p w14:paraId="689FF17E" w14:textId="77777777" w:rsidR="007B3A20" w:rsidRPr="004217A1" w:rsidRDefault="007B3A20" w:rsidP="00844FBA">
            <w:pPr>
              <w:jc w:val="center"/>
              <w:rPr>
                <w:bCs/>
              </w:rPr>
            </w:pPr>
            <w:r w:rsidRPr="004217A1">
              <w:rPr>
                <w:bCs/>
              </w:rPr>
              <w:t>Council  30 May 2013</w:t>
            </w:r>
          </w:p>
        </w:tc>
        <w:tc>
          <w:tcPr>
            <w:tcW w:w="1843" w:type="dxa"/>
          </w:tcPr>
          <w:p w14:paraId="5B0068C1" w14:textId="77777777" w:rsidR="007B3A20" w:rsidRPr="004217A1" w:rsidRDefault="007B3A20" w:rsidP="00844FBA">
            <w:pPr>
              <w:jc w:val="center"/>
              <w:rPr>
                <w:bCs/>
              </w:rPr>
            </w:pPr>
          </w:p>
        </w:tc>
      </w:tr>
      <w:tr w:rsidR="007B3A20" w:rsidRPr="004217A1" w14:paraId="24235D4C" w14:textId="77777777" w:rsidTr="00C31C45">
        <w:trPr>
          <w:trHeight w:val="240"/>
        </w:trPr>
        <w:tc>
          <w:tcPr>
            <w:tcW w:w="3232" w:type="dxa"/>
          </w:tcPr>
          <w:p w14:paraId="08CBEC3E" w14:textId="77777777" w:rsidR="007B3A20" w:rsidRPr="004217A1" w:rsidRDefault="007B3A20" w:rsidP="00844FBA">
            <w:pPr>
              <w:rPr>
                <w:bCs/>
              </w:rPr>
            </w:pPr>
            <w:r w:rsidRPr="004217A1">
              <w:rPr>
                <w:bCs/>
              </w:rPr>
              <w:t>Investment and Cash Management Policy</w:t>
            </w:r>
          </w:p>
        </w:tc>
        <w:tc>
          <w:tcPr>
            <w:tcW w:w="1129" w:type="dxa"/>
          </w:tcPr>
          <w:p w14:paraId="1232B5A8" w14:textId="77777777" w:rsidR="007B3A20" w:rsidRPr="004217A1" w:rsidRDefault="007B3A20" w:rsidP="00844FBA">
            <w:pPr>
              <w:jc w:val="center"/>
              <w:rPr>
                <w:bCs/>
              </w:rPr>
            </w:pPr>
            <w:r w:rsidRPr="004217A1">
              <w:rPr>
                <w:bCs/>
              </w:rPr>
              <w:t>3/3/17</w:t>
            </w:r>
          </w:p>
        </w:tc>
        <w:tc>
          <w:tcPr>
            <w:tcW w:w="1559" w:type="dxa"/>
          </w:tcPr>
          <w:p w14:paraId="3E6FAB2C" w14:textId="77777777" w:rsidR="007B3A20" w:rsidRPr="004217A1" w:rsidRDefault="007B3A20" w:rsidP="00844FBA">
            <w:pPr>
              <w:jc w:val="center"/>
            </w:pPr>
            <w:r w:rsidRPr="004217A1">
              <w:rPr>
                <w:bCs/>
              </w:rPr>
              <w:t>Finance</w:t>
            </w:r>
          </w:p>
        </w:tc>
        <w:tc>
          <w:tcPr>
            <w:tcW w:w="2268" w:type="dxa"/>
          </w:tcPr>
          <w:p w14:paraId="5D069937" w14:textId="77777777" w:rsidR="007B3A20" w:rsidRPr="004217A1" w:rsidRDefault="007B3A20" w:rsidP="00844FBA">
            <w:pPr>
              <w:jc w:val="center"/>
              <w:rPr>
                <w:bCs/>
              </w:rPr>
            </w:pPr>
          </w:p>
        </w:tc>
        <w:tc>
          <w:tcPr>
            <w:tcW w:w="1843" w:type="dxa"/>
          </w:tcPr>
          <w:p w14:paraId="6130B1D7" w14:textId="77777777" w:rsidR="007B3A20" w:rsidRPr="004217A1" w:rsidRDefault="007B3A20" w:rsidP="00844FBA">
            <w:pPr>
              <w:jc w:val="center"/>
              <w:rPr>
                <w:bCs/>
              </w:rPr>
            </w:pPr>
            <w:r w:rsidRPr="004217A1">
              <w:rPr>
                <w:bCs/>
              </w:rPr>
              <w:t>Council  30 May 2013</w:t>
            </w:r>
          </w:p>
        </w:tc>
      </w:tr>
      <w:tr w:rsidR="007B3A20" w:rsidRPr="004217A1" w14:paraId="0BAF7A6E" w14:textId="77777777" w:rsidTr="00C31C45">
        <w:trPr>
          <w:trHeight w:val="240"/>
        </w:trPr>
        <w:tc>
          <w:tcPr>
            <w:tcW w:w="3232" w:type="dxa"/>
          </w:tcPr>
          <w:p w14:paraId="7BBEFE6E" w14:textId="77777777" w:rsidR="007B3A20" w:rsidRPr="004217A1" w:rsidRDefault="007B3A20" w:rsidP="00844FBA">
            <w:pPr>
              <w:rPr>
                <w:bCs/>
              </w:rPr>
            </w:pPr>
            <w:r w:rsidRPr="004217A1">
              <w:rPr>
                <w:bCs/>
              </w:rPr>
              <w:t>Tariff Policy</w:t>
            </w:r>
          </w:p>
        </w:tc>
        <w:tc>
          <w:tcPr>
            <w:tcW w:w="1129" w:type="dxa"/>
          </w:tcPr>
          <w:p w14:paraId="6933A949" w14:textId="77777777" w:rsidR="007B3A20" w:rsidRPr="004217A1" w:rsidRDefault="007B3A20" w:rsidP="00844FBA">
            <w:pPr>
              <w:jc w:val="center"/>
              <w:rPr>
                <w:bCs/>
              </w:rPr>
            </w:pPr>
            <w:r w:rsidRPr="004217A1">
              <w:rPr>
                <w:bCs/>
              </w:rPr>
              <w:t>3/3/18</w:t>
            </w:r>
          </w:p>
        </w:tc>
        <w:tc>
          <w:tcPr>
            <w:tcW w:w="1559" w:type="dxa"/>
          </w:tcPr>
          <w:p w14:paraId="7DF241F0" w14:textId="77777777" w:rsidR="007B3A20" w:rsidRPr="004217A1" w:rsidRDefault="007B3A20" w:rsidP="00844FBA">
            <w:pPr>
              <w:jc w:val="center"/>
            </w:pPr>
            <w:r w:rsidRPr="004217A1">
              <w:rPr>
                <w:bCs/>
              </w:rPr>
              <w:t>Finance</w:t>
            </w:r>
          </w:p>
        </w:tc>
        <w:tc>
          <w:tcPr>
            <w:tcW w:w="2268" w:type="dxa"/>
          </w:tcPr>
          <w:p w14:paraId="51D88E05" w14:textId="77777777" w:rsidR="007B3A20" w:rsidRPr="004217A1" w:rsidRDefault="007B3A20" w:rsidP="00844FBA">
            <w:pPr>
              <w:jc w:val="center"/>
              <w:rPr>
                <w:bCs/>
              </w:rPr>
            </w:pPr>
            <w:r w:rsidRPr="004217A1">
              <w:rPr>
                <w:bCs/>
              </w:rPr>
              <w:t>01 June 2007</w:t>
            </w:r>
          </w:p>
        </w:tc>
        <w:tc>
          <w:tcPr>
            <w:tcW w:w="1843" w:type="dxa"/>
          </w:tcPr>
          <w:p w14:paraId="7BCD3D24" w14:textId="77777777" w:rsidR="007B3A20" w:rsidRPr="004217A1" w:rsidRDefault="007B3A20" w:rsidP="00844FBA">
            <w:pPr>
              <w:jc w:val="center"/>
              <w:rPr>
                <w:b/>
                <w:bCs/>
                <w:u w:val="single"/>
              </w:rPr>
            </w:pPr>
            <w:r w:rsidRPr="004217A1">
              <w:rPr>
                <w:bCs/>
              </w:rPr>
              <w:t>Council  30 May 2013</w:t>
            </w:r>
          </w:p>
        </w:tc>
      </w:tr>
      <w:tr w:rsidR="007B3A20" w:rsidRPr="004217A1" w14:paraId="674C0A28" w14:textId="77777777" w:rsidTr="00C31C45">
        <w:trPr>
          <w:trHeight w:val="494"/>
        </w:trPr>
        <w:tc>
          <w:tcPr>
            <w:tcW w:w="3232" w:type="dxa"/>
          </w:tcPr>
          <w:p w14:paraId="65F8743F" w14:textId="77777777" w:rsidR="007B3A20" w:rsidRPr="004217A1" w:rsidRDefault="007B3A20" w:rsidP="00844FBA">
            <w:pPr>
              <w:rPr>
                <w:bCs/>
              </w:rPr>
            </w:pPr>
            <w:r w:rsidRPr="004217A1">
              <w:rPr>
                <w:bCs/>
              </w:rPr>
              <w:t>Property Rates Policy</w:t>
            </w:r>
          </w:p>
        </w:tc>
        <w:tc>
          <w:tcPr>
            <w:tcW w:w="1129" w:type="dxa"/>
          </w:tcPr>
          <w:p w14:paraId="07908E20" w14:textId="77777777" w:rsidR="007B3A20" w:rsidRPr="004217A1" w:rsidRDefault="007B3A20" w:rsidP="00844FBA">
            <w:pPr>
              <w:jc w:val="center"/>
              <w:rPr>
                <w:bCs/>
              </w:rPr>
            </w:pPr>
            <w:r w:rsidRPr="004217A1">
              <w:rPr>
                <w:bCs/>
              </w:rPr>
              <w:t>3/3/20</w:t>
            </w:r>
          </w:p>
        </w:tc>
        <w:tc>
          <w:tcPr>
            <w:tcW w:w="1559" w:type="dxa"/>
          </w:tcPr>
          <w:p w14:paraId="4FA9110E" w14:textId="77777777" w:rsidR="007B3A20" w:rsidRPr="004217A1" w:rsidRDefault="007B3A20" w:rsidP="00844FBA">
            <w:pPr>
              <w:jc w:val="center"/>
              <w:rPr>
                <w:bCs/>
              </w:rPr>
            </w:pPr>
            <w:r w:rsidRPr="004217A1">
              <w:rPr>
                <w:bCs/>
              </w:rPr>
              <w:t>Finance</w:t>
            </w:r>
          </w:p>
        </w:tc>
        <w:tc>
          <w:tcPr>
            <w:tcW w:w="2268" w:type="dxa"/>
          </w:tcPr>
          <w:p w14:paraId="24001F1A" w14:textId="77777777" w:rsidR="007B3A20" w:rsidRPr="004217A1" w:rsidRDefault="007B3A20" w:rsidP="00844FBA">
            <w:pPr>
              <w:jc w:val="center"/>
              <w:rPr>
                <w:bCs/>
              </w:rPr>
            </w:pPr>
          </w:p>
        </w:tc>
        <w:tc>
          <w:tcPr>
            <w:tcW w:w="1843" w:type="dxa"/>
          </w:tcPr>
          <w:p w14:paraId="33B5FA31" w14:textId="77777777" w:rsidR="007B3A20" w:rsidRPr="004217A1" w:rsidRDefault="007B3A20" w:rsidP="00844FBA">
            <w:pPr>
              <w:jc w:val="center"/>
              <w:rPr>
                <w:bCs/>
                <w:color w:val="FF0000"/>
              </w:rPr>
            </w:pPr>
            <w:r w:rsidRPr="00664922">
              <w:rPr>
                <w:bCs/>
              </w:rPr>
              <w:t>Council 29 May 2014</w:t>
            </w:r>
          </w:p>
        </w:tc>
      </w:tr>
      <w:tr w:rsidR="007B3A20" w:rsidRPr="004217A1" w14:paraId="5BBC5ABD" w14:textId="77777777" w:rsidTr="00C31C45">
        <w:trPr>
          <w:trHeight w:val="240"/>
        </w:trPr>
        <w:tc>
          <w:tcPr>
            <w:tcW w:w="3232" w:type="dxa"/>
          </w:tcPr>
          <w:p w14:paraId="6B2E90FF" w14:textId="77777777" w:rsidR="007B3A20" w:rsidRPr="004217A1" w:rsidRDefault="007B3A20" w:rsidP="00844FBA">
            <w:pPr>
              <w:rPr>
                <w:bCs/>
              </w:rPr>
            </w:pPr>
            <w:r w:rsidRPr="004217A1">
              <w:rPr>
                <w:bCs/>
              </w:rPr>
              <w:t>Leave Policy and Procedures Policy</w:t>
            </w:r>
          </w:p>
        </w:tc>
        <w:tc>
          <w:tcPr>
            <w:tcW w:w="1129" w:type="dxa"/>
          </w:tcPr>
          <w:p w14:paraId="747D7920" w14:textId="77777777" w:rsidR="007B3A20" w:rsidRPr="004217A1" w:rsidRDefault="007B3A20" w:rsidP="00844FBA">
            <w:pPr>
              <w:jc w:val="center"/>
              <w:rPr>
                <w:bCs/>
              </w:rPr>
            </w:pPr>
            <w:r w:rsidRPr="004217A1">
              <w:rPr>
                <w:bCs/>
              </w:rPr>
              <w:t>3/3/5</w:t>
            </w:r>
          </w:p>
        </w:tc>
        <w:tc>
          <w:tcPr>
            <w:tcW w:w="1559" w:type="dxa"/>
          </w:tcPr>
          <w:p w14:paraId="0C9CAF73" w14:textId="77777777" w:rsidR="007B3A20" w:rsidRPr="004217A1" w:rsidRDefault="007B3A20" w:rsidP="00844FBA">
            <w:pPr>
              <w:jc w:val="center"/>
              <w:rPr>
                <w:bCs/>
              </w:rPr>
            </w:pPr>
            <w:r w:rsidRPr="004217A1">
              <w:rPr>
                <w:bCs/>
              </w:rPr>
              <w:t>Human Resource</w:t>
            </w:r>
          </w:p>
        </w:tc>
        <w:tc>
          <w:tcPr>
            <w:tcW w:w="2268" w:type="dxa"/>
          </w:tcPr>
          <w:p w14:paraId="720374C3" w14:textId="77777777" w:rsidR="007B3A20" w:rsidRPr="004217A1" w:rsidRDefault="007B3A20" w:rsidP="00844FBA">
            <w:pPr>
              <w:jc w:val="center"/>
              <w:rPr>
                <w:bCs/>
              </w:rPr>
            </w:pPr>
            <w:r w:rsidRPr="004217A1">
              <w:rPr>
                <w:bCs/>
              </w:rPr>
              <w:t>03 April 2013</w:t>
            </w:r>
          </w:p>
        </w:tc>
        <w:tc>
          <w:tcPr>
            <w:tcW w:w="1843" w:type="dxa"/>
          </w:tcPr>
          <w:p w14:paraId="09A36091" w14:textId="77777777" w:rsidR="007B3A20" w:rsidRPr="004217A1" w:rsidRDefault="007B3A20" w:rsidP="00844FBA">
            <w:pPr>
              <w:jc w:val="center"/>
              <w:rPr>
                <w:bCs/>
                <w:color w:val="FF0000"/>
              </w:rPr>
            </w:pPr>
          </w:p>
        </w:tc>
      </w:tr>
      <w:tr w:rsidR="007B3A20" w:rsidRPr="004217A1" w14:paraId="14977402" w14:textId="77777777" w:rsidTr="00C31C45">
        <w:trPr>
          <w:trHeight w:val="225"/>
        </w:trPr>
        <w:tc>
          <w:tcPr>
            <w:tcW w:w="3232" w:type="dxa"/>
          </w:tcPr>
          <w:p w14:paraId="63F1EA1C" w14:textId="77777777" w:rsidR="007B3A20" w:rsidRPr="004217A1" w:rsidRDefault="007B3A20" w:rsidP="00844FBA">
            <w:pPr>
              <w:rPr>
                <w:bCs/>
              </w:rPr>
            </w:pPr>
            <w:r w:rsidRPr="004217A1">
              <w:rPr>
                <w:bCs/>
              </w:rPr>
              <w:t>Rewards, Gifts and Favours Policy</w:t>
            </w:r>
          </w:p>
        </w:tc>
        <w:tc>
          <w:tcPr>
            <w:tcW w:w="1129" w:type="dxa"/>
          </w:tcPr>
          <w:p w14:paraId="52AF3220" w14:textId="77777777" w:rsidR="007B3A20" w:rsidRPr="004217A1" w:rsidRDefault="007B3A20" w:rsidP="00844FBA">
            <w:pPr>
              <w:jc w:val="center"/>
              <w:rPr>
                <w:bCs/>
              </w:rPr>
            </w:pPr>
            <w:r w:rsidRPr="004217A1">
              <w:rPr>
                <w:bCs/>
              </w:rPr>
              <w:t>3/3/12</w:t>
            </w:r>
          </w:p>
        </w:tc>
        <w:tc>
          <w:tcPr>
            <w:tcW w:w="1559" w:type="dxa"/>
          </w:tcPr>
          <w:p w14:paraId="2622DC6E" w14:textId="77777777" w:rsidR="007B3A20" w:rsidRPr="004217A1" w:rsidRDefault="007B3A20" w:rsidP="00844FBA">
            <w:pPr>
              <w:jc w:val="center"/>
              <w:rPr>
                <w:bCs/>
              </w:rPr>
            </w:pPr>
            <w:r w:rsidRPr="004217A1">
              <w:rPr>
                <w:bCs/>
              </w:rPr>
              <w:t>Human Resource</w:t>
            </w:r>
          </w:p>
        </w:tc>
        <w:tc>
          <w:tcPr>
            <w:tcW w:w="2268" w:type="dxa"/>
          </w:tcPr>
          <w:p w14:paraId="226F2388" w14:textId="77777777" w:rsidR="007B3A20" w:rsidRPr="004217A1" w:rsidRDefault="007B3A20" w:rsidP="00844FBA">
            <w:pPr>
              <w:jc w:val="center"/>
              <w:rPr>
                <w:bCs/>
              </w:rPr>
            </w:pPr>
            <w:r w:rsidRPr="004217A1">
              <w:rPr>
                <w:bCs/>
              </w:rPr>
              <w:t>08 May 2013</w:t>
            </w:r>
          </w:p>
        </w:tc>
        <w:tc>
          <w:tcPr>
            <w:tcW w:w="1843" w:type="dxa"/>
          </w:tcPr>
          <w:p w14:paraId="1CB2DB65" w14:textId="77777777" w:rsidR="007B3A20" w:rsidRPr="004217A1" w:rsidRDefault="007B3A20" w:rsidP="00844FBA">
            <w:pPr>
              <w:jc w:val="center"/>
              <w:rPr>
                <w:bCs/>
              </w:rPr>
            </w:pPr>
          </w:p>
        </w:tc>
      </w:tr>
      <w:tr w:rsidR="007B3A20" w:rsidRPr="004217A1" w14:paraId="363557E6" w14:textId="77777777" w:rsidTr="00C31C45">
        <w:trPr>
          <w:trHeight w:val="240"/>
        </w:trPr>
        <w:tc>
          <w:tcPr>
            <w:tcW w:w="3232" w:type="dxa"/>
          </w:tcPr>
          <w:p w14:paraId="114A1AB1" w14:textId="77777777" w:rsidR="007B3A20" w:rsidRPr="004217A1" w:rsidRDefault="007B3A20" w:rsidP="00844FBA">
            <w:pPr>
              <w:rPr>
                <w:bCs/>
              </w:rPr>
            </w:pPr>
            <w:r w:rsidRPr="004217A1">
              <w:rPr>
                <w:bCs/>
              </w:rPr>
              <w:t>Bursary Policy for Council Officials</w:t>
            </w:r>
          </w:p>
        </w:tc>
        <w:tc>
          <w:tcPr>
            <w:tcW w:w="1129" w:type="dxa"/>
          </w:tcPr>
          <w:p w14:paraId="62EEA0FC" w14:textId="77777777" w:rsidR="007B3A20" w:rsidRPr="004217A1" w:rsidRDefault="007B3A20" w:rsidP="00844FBA">
            <w:pPr>
              <w:jc w:val="center"/>
              <w:rPr>
                <w:bCs/>
              </w:rPr>
            </w:pPr>
            <w:r w:rsidRPr="004217A1">
              <w:rPr>
                <w:bCs/>
              </w:rPr>
              <w:t>3/3/16</w:t>
            </w:r>
          </w:p>
        </w:tc>
        <w:tc>
          <w:tcPr>
            <w:tcW w:w="1559" w:type="dxa"/>
          </w:tcPr>
          <w:p w14:paraId="77A2D596" w14:textId="77777777" w:rsidR="007B3A20" w:rsidRPr="004217A1" w:rsidRDefault="007B3A20" w:rsidP="00844FBA">
            <w:pPr>
              <w:jc w:val="center"/>
              <w:rPr>
                <w:bCs/>
              </w:rPr>
            </w:pPr>
            <w:r w:rsidRPr="004217A1">
              <w:rPr>
                <w:bCs/>
              </w:rPr>
              <w:t>Human Resource</w:t>
            </w:r>
          </w:p>
        </w:tc>
        <w:tc>
          <w:tcPr>
            <w:tcW w:w="2268" w:type="dxa"/>
          </w:tcPr>
          <w:p w14:paraId="3CE8C6DD" w14:textId="77777777" w:rsidR="007B3A20" w:rsidRPr="004217A1" w:rsidRDefault="007B3A20" w:rsidP="00844FBA">
            <w:pPr>
              <w:jc w:val="center"/>
              <w:rPr>
                <w:bCs/>
              </w:rPr>
            </w:pPr>
            <w:r w:rsidRPr="004217A1">
              <w:rPr>
                <w:bCs/>
              </w:rPr>
              <w:t>19 Sept 2012</w:t>
            </w:r>
          </w:p>
        </w:tc>
        <w:tc>
          <w:tcPr>
            <w:tcW w:w="1843" w:type="dxa"/>
          </w:tcPr>
          <w:p w14:paraId="4921F15D" w14:textId="77777777" w:rsidR="007B3A20" w:rsidRPr="004217A1" w:rsidRDefault="007B3A20" w:rsidP="00844FBA">
            <w:pPr>
              <w:jc w:val="center"/>
              <w:rPr>
                <w:bCs/>
              </w:rPr>
            </w:pPr>
          </w:p>
        </w:tc>
      </w:tr>
      <w:tr w:rsidR="007B3A20" w:rsidRPr="004217A1" w14:paraId="7AEB4091" w14:textId="77777777" w:rsidTr="00C31C45">
        <w:trPr>
          <w:trHeight w:val="240"/>
        </w:trPr>
        <w:tc>
          <w:tcPr>
            <w:tcW w:w="3232" w:type="dxa"/>
          </w:tcPr>
          <w:p w14:paraId="3779E799" w14:textId="77777777" w:rsidR="007B3A20" w:rsidRPr="004217A1" w:rsidRDefault="007B3A20" w:rsidP="00844FBA">
            <w:pPr>
              <w:rPr>
                <w:bCs/>
              </w:rPr>
            </w:pPr>
            <w:r w:rsidRPr="004217A1">
              <w:rPr>
                <w:bCs/>
              </w:rPr>
              <w:t>Training and Development Policy</w:t>
            </w:r>
          </w:p>
        </w:tc>
        <w:tc>
          <w:tcPr>
            <w:tcW w:w="1129" w:type="dxa"/>
          </w:tcPr>
          <w:p w14:paraId="5AB6B8A4" w14:textId="77777777" w:rsidR="007B3A20" w:rsidRPr="004217A1" w:rsidRDefault="007B3A20" w:rsidP="00844FBA">
            <w:pPr>
              <w:jc w:val="center"/>
              <w:rPr>
                <w:bCs/>
              </w:rPr>
            </w:pPr>
            <w:r w:rsidRPr="004217A1">
              <w:rPr>
                <w:bCs/>
              </w:rPr>
              <w:t>3/3/19</w:t>
            </w:r>
          </w:p>
        </w:tc>
        <w:tc>
          <w:tcPr>
            <w:tcW w:w="1559" w:type="dxa"/>
          </w:tcPr>
          <w:p w14:paraId="2ED6402C" w14:textId="77777777" w:rsidR="007B3A20" w:rsidRPr="004217A1" w:rsidRDefault="007B3A20" w:rsidP="00844FBA">
            <w:pPr>
              <w:jc w:val="center"/>
              <w:rPr>
                <w:bCs/>
              </w:rPr>
            </w:pPr>
            <w:r w:rsidRPr="004217A1">
              <w:rPr>
                <w:bCs/>
              </w:rPr>
              <w:t>Human Resource</w:t>
            </w:r>
          </w:p>
        </w:tc>
        <w:tc>
          <w:tcPr>
            <w:tcW w:w="2268" w:type="dxa"/>
          </w:tcPr>
          <w:p w14:paraId="6C68B498" w14:textId="77777777" w:rsidR="007B3A20" w:rsidRPr="004217A1" w:rsidRDefault="007B3A20" w:rsidP="00844FBA">
            <w:pPr>
              <w:jc w:val="center"/>
              <w:rPr>
                <w:bCs/>
              </w:rPr>
            </w:pPr>
            <w:r w:rsidRPr="004217A1">
              <w:rPr>
                <w:bCs/>
              </w:rPr>
              <w:t>06 July 2010</w:t>
            </w:r>
          </w:p>
        </w:tc>
        <w:tc>
          <w:tcPr>
            <w:tcW w:w="1843" w:type="dxa"/>
          </w:tcPr>
          <w:p w14:paraId="07E5188B" w14:textId="77777777" w:rsidR="007B3A20" w:rsidRPr="004217A1" w:rsidRDefault="007B3A20" w:rsidP="00844FBA">
            <w:pPr>
              <w:jc w:val="center"/>
              <w:rPr>
                <w:b/>
                <w:bCs/>
                <w:u w:val="single"/>
              </w:rPr>
            </w:pPr>
          </w:p>
        </w:tc>
      </w:tr>
      <w:tr w:rsidR="007B3A20" w:rsidRPr="004217A1" w14:paraId="5F0B4789" w14:textId="77777777" w:rsidTr="00C31C45">
        <w:trPr>
          <w:trHeight w:val="494"/>
        </w:trPr>
        <w:tc>
          <w:tcPr>
            <w:tcW w:w="3232" w:type="dxa"/>
          </w:tcPr>
          <w:p w14:paraId="2E190418" w14:textId="77777777" w:rsidR="007B3A20" w:rsidRPr="004217A1" w:rsidRDefault="007B3A20" w:rsidP="00844FBA">
            <w:pPr>
              <w:rPr>
                <w:bCs/>
              </w:rPr>
            </w:pPr>
            <w:r w:rsidRPr="004217A1">
              <w:rPr>
                <w:bCs/>
              </w:rPr>
              <w:t>Scarce Skills Policy  (LLF 17 July 13 &amp; 23 Sept 14)</w:t>
            </w:r>
          </w:p>
        </w:tc>
        <w:tc>
          <w:tcPr>
            <w:tcW w:w="1129" w:type="dxa"/>
          </w:tcPr>
          <w:p w14:paraId="10BEEBA8" w14:textId="77777777" w:rsidR="007B3A20" w:rsidRPr="004217A1" w:rsidRDefault="007B3A20" w:rsidP="00844FBA">
            <w:pPr>
              <w:jc w:val="center"/>
              <w:rPr>
                <w:bCs/>
              </w:rPr>
            </w:pPr>
            <w:r w:rsidRPr="004217A1">
              <w:rPr>
                <w:bCs/>
              </w:rPr>
              <w:t>3/3/23</w:t>
            </w:r>
          </w:p>
        </w:tc>
        <w:tc>
          <w:tcPr>
            <w:tcW w:w="1559" w:type="dxa"/>
          </w:tcPr>
          <w:p w14:paraId="076344D5" w14:textId="77777777" w:rsidR="007B3A20" w:rsidRPr="004217A1" w:rsidRDefault="007B3A20" w:rsidP="00844FBA">
            <w:pPr>
              <w:jc w:val="center"/>
              <w:rPr>
                <w:bCs/>
              </w:rPr>
            </w:pPr>
            <w:r w:rsidRPr="004217A1">
              <w:rPr>
                <w:bCs/>
              </w:rPr>
              <w:t>Human Resource</w:t>
            </w:r>
          </w:p>
        </w:tc>
        <w:tc>
          <w:tcPr>
            <w:tcW w:w="2268" w:type="dxa"/>
          </w:tcPr>
          <w:p w14:paraId="065446B8" w14:textId="77777777" w:rsidR="007B3A20" w:rsidRPr="004217A1" w:rsidRDefault="007B3A20" w:rsidP="00844FBA">
            <w:pPr>
              <w:jc w:val="center"/>
              <w:rPr>
                <w:bCs/>
                <w:color w:val="FF0000"/>
              </w:rPr>
            </w:pPr>
            <w:r w:rsidRPr="00664922">
              <w:rPr>
                <w:bCs/>
              </w:rPr>
              <w:t>05 November 2014</w:t>
            </w:r>
          </w:p>
        </w:tc>
        <w:tc>
          <w:tcPr>
            <w:tcW w:w="1843" w:type="dxa"/>
          </w:tcPr>
          <w:p w14:paraId="6A29C22E" w14:textId="77777777" w:rsidR="007B3A20" w:rsidRPr="004217A1" w:rsidRDefault="007B3A20" w:rsidP="00844FBA">
            <w:pPr>
              <w:jc w:val="center"/>
              <w:rPr>
                <w:bCs/>
              </w:rPr>
            </w:pPr>
          </w:p>
        </w:tc>
      </w:tr>
      <w:tr w:rsidR="007B3A20" w:rsidRPr="004217A1" w14:paraId="77553D0E" w14:textId="77777777" w:rsidTr="00C31C45">
        <w:trPr>
          <w:trHeight w:val="240"/>
        </w:trPr>
        <w:tc>
          <w:tcPr>
            <w:tcW w:w="3232" w:type="dxa"/>
          </w:tcPr>
          <w:p w14:paraId="4EC43107" w14:textId="77777777" w:rsidR="007B3A20" w:rsidRPr="004217A1" w:rsidRDefault="007B3A20" w:rsidP="00844FBA">
            <w:pPr>
              <w:rPr>
                <w:bCs/>
              </w:rPr>
            </w:pPr>
            <w:r w:rsidRPr="004217A1">
              <w:rPr>
                <w:bCs/>
              </w:rPr>
              <w:t>Staff Retention Policy  (LLF 17 July 13)</w:t>
            </w:r>
          </w:p>
        </w:tc>
        <w:tc>
          <w:tcPr>
            <w:tcW w:w="1129" w:type="dxa"/>
          </w:tcPr>
          <w:p w14:paraId="5799C6B6" w14:textId="77777777" w:rsidR="007B3A20" w:rsidRPr="004217A1" w:rsidRDefault="007B3A20" w:rsidP="00844FBA">
            <w:pPr>
              <w:jc w:val="center"/>
              <w:rPr>
                <w:bCs/>
              </w:rPr>
            </w:pPr>
            <w:r w:rsidRPr="004217A1">
              <w:rPr>
                <w:bCs/>
              </w:rPr>
              <w:t>3/3/24</w:t>
            </w:r>
          </w:p>
        </w:tc>
        <w:tc>
          <w:tcPr>
            <w:tcW w:w="1559" w:type="dxa"/>
          </w:tcPr>
          <w:p w14:paraId="416926E8" w14:textId="77777777" w:rsidR="007B3A20" w:rsidRPr="004217A1" w:rsidRDefault="007B3A20" w:rsidP="00844FBA">
            <w:pPr>
              <w:jc w:val="center"/>
              <w:rPr>
                <w:bCs/>
              </w:rPr>
            </w:pPr>
            <w:r w:rsidRPr="004217A1">
              <w:rPr>
                <w:bCs/>
              </w:rPr>
              <w:t>Human Resource</w:t>
            </w:r>
          </w:p>
        </w:tc>
        <w:tc>
          <w:tcPr>
            <w:tcW w:w="2268" w:type="dxa"/>
          </w:tcPr>
          <w:p w14:paraId="7A06769B" w14:textId="77777777" w:rsidR="007B3A20" w:rsidRPr="004217A1" w:rsidRDefault="007B3A20" w:rsidP="00844FBA">
            <w:pPr>
              <w:jc w:val="center"/>
              <w:rPr>
                <w:bCs/>
              </w:rPr>
            </w:pPr>
            <w:r w:rsidRPr="004217A1">
              <w:rPr>
                <w:bCs/>
              </w:rPr>
              <w:t>21 August 2013</w:t>
            </w:r>
          </w:p>
        </w:tc>
        <w:tc>
          <w:tcPr>
            <w:tcW w:w="1843" w:type="dxa"/>
          </w:tcPr>
          <w:p w14:paraId="650120D3" w14:textId="77777777" w:rsidR="007B3A20" w:rsidRPr="004217A1" w:rsidRDefault="007B3A20" w:rsidP="00844FBA">
            <w:pPr>
              <w:jc w:val="center"/>
              <w:rPr>
                <w:bCs/>
              </w:rPr>
            </w:pPr>
          </w:p>
        </w:tc>
      </w:tr>
      <w:tr w:rsidR="007B3A20" w:rsidRPr="004217A1" w14:paraId="454EC6AA" w14:textId="77777777" w:rsidTr="00C31C45">
        <w:trPr>
          <w:trHeight w:val="240"/>
        </w:trPr>
        <w:tc>
          <w:tcPr>
            <w:tcW w:w="3232" w:type="dxa"/>
          </w:tcPr>
          <w:p w14:paraId="1C142C56" w14:textId="77777777" w:rsidR="007B3A20" w:rsidRPr="004217A1" w:rsidRDefault="007B3A20" w:rsidP="00844FBA">
            <w:pPr>
              <w:rPr>
                <w:bCs/>
              </w:rPr>
            </w:pPr>
            <w:r w:rsidRPr="004217A1">
              <w:rPr>
                <w:bCs/>
              </w:rPr>
              <w:t>Voluntarism and Internship Policy   (LLF  29 Jan 14)</w:t>
            </w:r>
          </w:p>
        </w:tc>
        <w:tc>
          <w:tcPr>
            <w:tcW w:w="1129" w:type="dxa"/>
          </w:tcPr>
          <w:p w14:paraId="4CF5A899" w14:textId="77777777" w:rsidR="007B3A20" w:rsidRPr="004217A1" w:rsidRDefault="007B3A20" w:rsidP="00844FBA">
            <w:pPr>
              <w:jc w:val="center"/>
              <w:rPr>
                <w:bCs/>
              </w:rPr>
            </w:pPr>
            <w:r w:rsidRPr="004217A1">
              <w:rPr>
                <w:bCs/>
              </w:rPr>
              <w:t>3/3/28</w:t>
            </w:r>
          </w:p>
        </w:tc>
        <w:tc>
          <w:tcPr>
            <w:tcW w:w="1559" w:type="dxa"/>
          </w:tcPr>
          <w:p w14:paraId="0751C8C2" w14:textId="77777777" w:rsidR="007B3A20" w:rsidRPr="004217A1" w:rsidRDefault="007B3A20" w:rsidP="00844FBA">
            <w:pPr>
              <w:jc w:val="center"/>
              <w:rPr>
                <w:bCs/>
              </w:rPr>
            </w:pPr>
            <w:r w:rsidRPr="004217A1">
              <w:rPr>
                <w:bCs/>
              </w:rPr>
              <w:t>Human Resource</w:t>
            </w:r>
          </w:p>
        </w:tc>
        <w:tc>
          <w:tcPr>
            <w:tcW w:w="2268" w:type="dxa"/>
          </w:tcPr>
          <w:p w14:paraId="678F5F6A" w14:textId="77777777" w:rsidR="007B3A20" w:rsidRPr="004217A1" w:rsidRDefault="007B3A20" w:rsidP="00844FBA">
            <w:pPr>
              <w:jc w:val="center"/>
              <w:rPr>
                <w:bCs/>
              </w:rPr>
            </w:pPr>
            <w:r w:rsidRPr="004217A1">
              <w:rPr>
                <w:bCs/>
              </w:rPr>
              <w:t>05 March 2014</w:t>
            </w:r>
          </w:p>
        </w:tc>
        <w:tc>
          <w:tcPr>
            <w:tcW w:w="1843" w:type="dxa"/>
          </w:tcPr>
          <w:p w14:paraId="024C5468" w14:textId="77777777" w:rsidR="007B3A20" w:rsidRPr="004217A1" w:rsidRDefault="007B3A20" w:rsidP="00844FBA">
            <w:pPr>
              <w:jc w:val="center"/>
              <w:rPr>
                <w:bCs/>
              </w:rPr>
            </w:pPr>
          </w:p>
        </w:tc>
      </w:tr>
      <w:tr w:rsidR="007B3A20" w:rsidRPr="004217A1" w14:paraId="449B5645" w14:textId="77777777" w:rsidTr="00C31C45">
        <w:trPr>
          <w:trHeight w:val="479"/>
        </w:trPr>
        <w:tc>
          <w:tcPr>
            <w:tcW w:w="3232" w:type="dxa"/>
          </w:tcPr>
          <w:p w14:paraId="7A283A07" w14:textId="77777777" w:rsidR="007B3A20" w:rsidRPr="004217A1" w:rsidRDefault="007B3A20" w:rsidP="00844FBA">
            <w:pPr>
              <w:rPr>
                <w:bCs/>
              </w:rPr>
            </w:pPr>
            <w:r w:rsidRPr="004217A1">
              <w:rPr>
                <w:bCs/>
              </w:rPr>
              <w:t>Occupational Health and Safety Policy (LLF  29 Jan 14)</w:t>
            </w:r>
          </w:p>
        </w:tc>
        <w:tc>
          <w:tcPr>
            <w:tcW w:w="1129" w:type="dxa"/>
          </w:tcPr>
          <w:p w14:paraId="74472051" w14:textId="77777777" w:rsidR="007B3A20" w:rsidRPr="004217A1" w:rsidRDefault="007B3A20" w:rsidP="00844FBA">
            <w:pPr>
              <w:jc w:val="center"/>
              <w:rPr>
                <w:bCs/>
              </w:rPr>
            </w:pPr>
            <w:r w:rsidRPr="004217A1">
              <w:rPr>
                <w:bCs/>
              </w:rPr>
              <w:t>3/3/29</w:t>
            </w:r>
          </w:p>
        </w:tc>
        <w:tc>
          <w:tcPr>
            <w:tcW w:w="1559" w:type="dxa"/>
          </w:tcPr>
          <w:p w14:paraId="67AFB457" w14:textId="77777777" w:rsidR="007B3A20" w:rsidRPr="004217A1" w:rsidRDefault="007B3A20" w:rsidP="00844FBA">
            <w:pPr>
              <w:jc w:val="center"/>
              <w:rPr>
                <w:bCs/>
              </w:rPr>
            </w:pPr>
            <w:r w:rsidRPr="004217A1">
              <w:rPr>
                <w:bCs/>
              </w:rPr>
              <w:t>Human Resource</w:t>
            </w:r>
          </w:p>
        </w:tc>
        <w:tc>
          <w:tcPr>
            <w:tcW w:w="2268" w:type="dxa"/>
          </w:tcPr>
          <w:p w14:paraId="5AA6639E" w14:textId="77777777" w:rsidR="007B3A20" w:rsidRPr="004217A1" w:rsidRDefault="007B3A20" w:rsidP="00844FBA">
            <w:pPr>
              <w:jc w:val="center"/>
              <w:rPr>
                <w:bCs/>
              </w:rPr>
            </w:pPr>
            <w:r w:rsidRPr="004217A1">
              <w:rPr>
                <w:bCs/>
              </w:rPr>
              <w:t>05 March 2014</w:t>
            </w:r>
          </w:p>
        </w:tc>
        <w:tc>
          <w:tcPr>
            <w:tcW w:w="1843" w:type="dxa"/>
          </w:tcPr>
          <w:p w14:paraId="3C488176" w14:textId="77777777" w:rsidR="007B3A20" w:rsidRPr="004217A1" w:rsidRDefault="007B3A20" w:rsidP="00844FBA">
            <w:pPr>
              <w:jc w:val="center"/>
              <w:rPr>
                <w:bCs/>
              </w:rPr>
            </w:pPr>
          </w:p>
        </w:tc>
      </w:tr>
      <w:tr w:rsidR="007B3A20" w:rsidRPr="004217A1" w14:paraId="29F9671B" w14:textId="77777777" w:rsidTr="00C31C45">
        <w:trPr>
          <w:trHeight w:val="240"/>
        </w:trPr>
        <w:tc>
          <w:tcPr>
            <w:tcW w:w="3232" w:type="dxa"/>
          </w:tcPr>
          <w:p w14:paraId="16497D12" w14:textId="77777777" w:rsidR="007B3A20" w:rsidRPr="004217A1" w:rsidRDefault="007B3A20" w:rsidP="00844FBA">
            <w:pPr>
              <w:rPr>
                <w:bCs/>
              </w:rPr>
            </w:pPr>
            <w:r w:rsidRPr="004217A1">
              <w:rPr>
                <w:bCs/>
              </w:rPr>
              <w:t>Protective Clothing (LLF  29 Jan 14)</w:t>
            </w:r>
          </w:p>
        </w:tc>
        <w:tc>
          <w:tcPr>
            <w:tcW w:w="1129" w:type="dxa"/>
          </w:tcPr>
          <w:p w14:paraId="1C4FD383" w14:textId="77777777" w:rsidR="007B3A20" w:rsidRPr="004217A1" w:rsidRDefault="007B3A20" w:rsidP="00844FBA">
            <w:pPr>
              <w:jc w:val="center"/>
              <w:rPr>
                <w:bCs/>
              </w:rPr>
            </w:pPr>
            <w:r w:rsidRPr="004217A1">
              <w:rPr>
                <w:bCs/>
              </w:rPr>
              <w:t>3/3/30</w:t>
            </w:r>
          </w:p>
        </w:tc>
        <w:tc>
          <w:tcPr>
            <w:tcW w:w="1559" w:type="dxa"/>
          </w:tcPr>
          <w:p w14:paraId="3D72165E" w14:textId="77777777" w:rsidR="007B3A20" w:rsidRPr="004217A1" w:rsidRDefault="007B3A20" w:rsidP="00844FBA">
            <w:pPr>
              <w:jc w:val="center"/>
              <w:rPr>
                <w:bCs/>
              </w:rPr>
            </w:pPr>
            <w:r w:rsidRPr="004217A1">
              <w:rPr>
                <w:bCs/>
              </w:rPr>
              <w:t>Human Resource</w:t>
            </w:r>
          </w:p>
        </w:tc>
        <w:tc>
          <w:tcPr>
            <w:tcW w:w="2268" w:type="dxa"/>
          </w:tcPr>
          <w:p w14:paraId="5CD0DC74" w14:textId="77777777" w:rsidR="007B3A20" w:rsidRPr="004217A1" w:rsidRDefault="007B3A20" w:rsidP="00844FBA">
            <w:pPr>
              <w:jc w:val="center"/>
              <w:rPr>
                <w:bCs/>
              </w:rPr>
            </w:pPr>
            <w:r w:rsidRPr="004217A1">
              <w:rPr>
                <w:bCs/>
              </w:rPr>
              <w:t>05 March 2014</w:t>
            </w:r>
          </w:p>
        </w:tc>
        <w:tc>
          <w:tcPr>
            <w:tcW w:w="1843" w:type="dxa"/>
          </w:tcPr>
          <w:p w14:paraId="53A632D8" w14:textId="77777777" w:rsidR="007B3A20" w:rsidRPr="004217A1" w:rsidRDefault="007B3A20" w:rsidP="00844FBA">
            <w:pPr>
              <w:jc w:val="center"/>
              <w:rPr>
                <w:bCs/>
              </w:rPr>
            </w:pPr>
          </w:p>
        </w:tc>
      </w:tr>
      <w:tr w:rsidR="007B3A20" w:rsidRPr="004217A1" w14:paraId="3148DBD9" w14:textId="77777777" w:rsidTr="00C31C45">
        <w:trPr>
          <w:trHeight w:val="240"/>
        </w:trPr>
        <w:tc>
          <w:tcPr>
            <w:tcW w:w="3232" w:type="dxa"/>
          </w:tcPr>
          <w:p w14:paraId="5FF53A18" w14:textId="77777777" w:rsidR="007B3A20" w:rsidRPr="004217A1" w:rsidRDefault="007B3A20" w:rsidP="00844FBA">
            <w:pPr>
              <w:rPr>
                <w:bCs/>
              </w:rPr>
            </w:pPr>
            <w:r w:rsidRPr="004217A1">
              <w:rPr>
                <w:bCs/>
              </w:rPr>
              <w:t>Dress Code Policy (LLF  29 Jan 14)</w:t>
            </w:r>
          </w:p>
        </w:tc>
        <w:tc>
          <w:tcPr>
            <w:tcW w:w="1129" w:type="dxa"/>
          </w:tcPr>
          <w:p w14:paraId="5DC288E7" w14:textId="77777777" w:rsidR="007B3A20" w:rsidRPr="004217A1" w:rsidRDefault="007B3A20" w:rsidP="00844FBA">
            <w:pPr>
              <w:jc w:val="center"/>
              <w:rPr>
                <w:bCs/>
              </w:rPr>
            </w:pPr>
            <w:r w:rsidRPr="004217A1">
              <w:rPr>
                <w:bCs/>
              </w:rPr>
              <w:t>3/3/31</w:t>
            </w:r>
          </w:p>
        </w:tc>
        <w:tc>
          <w:tcPr>
            <w:tcW w:w="1559" w:type="dxa"/>
          </w:tcPr>
          <w:p w14:paraId="0B0AEC20" w14:textId="77777777" w:rsidR="007B3A20" w:rsidRPr="004217A1" w:rsidRDefault="007B3A20" w:rsidP="00844FBA">
            <w:pPr>
              <w:jc w:val="center"/>
              <w:rPr>
                <w:bCs/>
              </w:rPr>
            </w:pPr>
            <w:r w:rsidRPr="004217A1">
              <w:rPr>
                <w:bCs/>
              </w:rPr>
              <w:t>Human Resource</w:t>
            </w:r>
          </w:p>
        </w:tc>
        <w:tc>
          <w:tcPr>
            <w:tcW w:w="2268" w:type="dxa"/>
          </w:tcPr>
          <w:p w14:paraId="3D1131CF" w14:textId="77777777" w:rsidR="007B3A20" w:rsidRPr="004217A1" w:rsidRDefault="007B3A20" w:rsidP="00844FBA">
            <w:pPr>
              <w:jc w:val="center"/>
              <w:rPr>
                <w:bCs/>
              </w:rPr>
            </w:pPr>
            <w:r w:rsidRPr="004217A1">
              <w:rPr>
                <w:bCs/>
              </w:rPr>
              <w:t>05 March 2014</w:t>
            </w:r>
          </w:p>
        </w:tc>
        <w:tc>
          <w:tcPr>
            <w:tcW w:w="1843" w:type="dxa"/>
          </w:tcPr>
          <w:p w14:paraId="57B0B627" w14:textId="77777777" w:rsidR="007B3A20" w:rsidRPr="004217A1" w:rsidRDefault="007B3A20" w:rsidP="00844FBA">
            <w:pPr>
              <w:jc w:val="center"/>
              <w:rPr>
                <w:bCs/>
              </w:rPr>
            </w:pPr>
          </w:p>
        </w:tc>
      </w:tr>
      <w:tr w:rsidR="007B3A20" w:rsidRPr="004217A1" w14:paraId="44C990D8" w14:textId="77777777" w:rsidTr="00C31C45">
        <w:trPr>
          <w:trHeight w:val="255"/>
        </w:trPr>
        <w:tc>
          <w:tcPr>
            <w:tcW w:w="3232" w:type="dxa"/>
          </w:tcPr>
          <w:p w14:paraId="5326D9F7" w14:textId="77777777" w:rsidR="007B3A20" w:rsidRPr="004217A1" w:rsidRDefault="007B3A20" w:rsidP="00844FBA">
            <w:pPr>
              <w:rPr>
                <w:bCs/>
              </w:rPr>
            </w:pPr>
            <w:r w:rsidRPr="004217A1">
              <w:rPr>
                <w:bCs/>
              </w:rPr>
              <w:t>Employee Assistance Policy (LLF  29 Jan 14)</w:t>
            </w:r>
          </w:p>
        </w:tc>
        <w:tc>
          <w:tcPr>
            <w:tcW w:w="1129" w:type="dxa"/>
          </w:tcPr>
          <w:p w14:paraId="1484B32C" w14:textId="77777777" w:rsidR="007B3A20" w:rsidRPr="004217A1" w:rsidRDefault="007B3A20" w:rsidP="00844FBA">
            <w:pPr>
              <w:jc w:val="center"/>
              <w:rPr>
                <w:bCs/>
              </w:rPr>
            </w:pPr>
            <w:r w:rsidRPr="004217A1">
              <w:rPr>
                <w:bCs/>
              </w:rPr>
              <w:t>3/3/32</w:t>
            </w:r>
          </w:p>
        </w:tc>
        <w:tc>
          <w:tcPr>
            <w:tcW w:w="1559" w:type="dxa"/>
          </w:tcPr>
          <w:p w14:paraId="41DA5BAD" w14:textId="77777777" w:rsidR="007B3A20" w:rsidRPr="004217A1" w:rsidRDefault="007B3A20" w:rsidP="00844FBA">
            <w:pPr>
              <w:jc w:val="center"/>
              <w:rPr>
                <w:bCs/>
              </w:rPr>
            </w:pPr>
            <w:r w:rsidRPr="004217A1">
              <w:rPr>
                <w:bCs/>
              </w:rPr>
              <w:t>Human Resource</w:t>
            </w:r>
          </w:p>
        </w:tc>
        <w:tc>
          <w:tcPr>
            <w:tcW w:w="2268" w:type="dxa"/>
          </w:tcPr>
          <w:p w14:paraId="70FBDAA1" w14:textId="77777777" w:rsidR="007B3A20" w:rsidRPr="004217A1" w:rsidRDefault="007B3A20" w:rsidP="00844FBA">
            <w:pPr>
              <w:jc w:val="center"/>
              <w:rPr>
                <w:bCs/>
              </w:rPr>
            </w:pPr>
            <w:r w:rsidRPr="004217A1">
              <w:rPr>
                <w:bCs/>
              </w:rPr>
              <w:t>05 March 2014</w:t>
            </w:r>
          </w:p>
        </w:tc>
        <w:tc>
          <w:tcPr>
            <w:tcW w:w="1843" w:type="dxa"/>
          </w:tcPr>
          <w:p w14:paraId="08FF4A14" w14:textId="77777777" w:rsidR="007B3A20" w:rsidRPr="004217A1" w:rsidRDefault="007B3A20" w:rsidP="00844FBA">
            <w:pPr>
              <w:jc w:val="center"/>
              <w:rPr>
                <w:bCs/>
              </w:rPr>
            </w:pPr>
          </w:p>
        </w:tc>
      </w:tr>
    </w:tbl>
    <w:p w14:paraId="03C6956D" w14:textId="77777777" w:rsidR="00992B24" w:rsidRPr="00881795" w:rsidRDefault="00992B24" w:rsidP="00395313">
      <w:pPr>
        <w:spacing w:line="288" w:lineRule="auto"/>
        <w:jc w:val="both"/>
        <w:rPr>
          <w:szCs w:val="20"/>
        </w:rPr>
      </w:pPr>
    </w:p>
    <w:p w14:paraId="7F6B48C4" w14:textId="77777777" w:rsidR="008155E3" w:rsidRPr="00881795" w:rsidRDefault="008155E3" w:rsidP="00750180">
      <w:pPr>
        <w:pStyle w:val="Heading3"/>
        <w:numPr>
          <w:ilvl w:val="2"/>
          <w:numId w:val="127"/>
        </w:numPr>
        <w:spacing w:after="240"/>
      </w:pPr>
      <w:bookmarkStart w:id="566" w:name="_Toc389740071"/>
      <w:bookmarkStart w:id="567" w:name="_Toc510706664"/>
      <w:r w:rsidRPr="00881795">
        <w:t>Municipal Risk Management</w:t>
      </w:r>
      <w:bookmarkEnd w:id="566"/>
      <w:bookmarkEnd w:id="567"/>
    </w:p>
    <w:p w14:paraId="06E1C11A" w14:textId="77777777" w:rsidR="00B52275" w:rsidRPr="00B52275" w:rsidRDefault="00B52275" w:rsidP="00B52275">
      <w:pPr>
        <w:pStyle w:val="Caption"/>
        <w:spacing w:line="276" w:lineRule="auto"/>
        <w:jc w:val="both"/>
        <w:rPr>
          <w:b w:val="0"/>
          <w:bCs w:val="0"/>
          <w:color w:val="000000" w:themeColor="text1"/>
          <w:szCs w:val="22"/>
        </w:rPr>
      </w:pPr>
      <w:bookmarkStart w:id="568" w:name="_Toc325627907"/>
      <w:bookmarkStart w:id="569" w:name="_Toc389740072"/>
      <w:r w:rsidRPr="00B52275">
        <w:rPr>
          <w:b w:val="0"/>
          <w:bCs w:val="0"/>
          <w:color w:val="000000" w:themeColor="text1"/>
          <w:szCs w:val="22"/>
        </w:rPr>
        <w:t xml:space="preserve">The Municipal Finance Management Act ("MFMA") assigns extensive responsibilities to Accounting Officers/Municipal Managers. These responsibilities include ensuring that the organisation under their control has effective, efficient and transparent systems of financial and risk management and internal control.  </w:t>
      </w:r>
    </w:p>
    <w:p w14:paraId="1DB9A6F0" w14:textId="77777777" w:rsidR="00B52275" w:rsidRPr="00B52275" w:rsidRDefault="00B52275" w:rsidP="00B52275">
      <w:pPr>
        <w:pStyle w:val="Caption"/>
        <w:spacing w:line="276" w:lineRule="auto"/>
        <w:jc w:val="both"/>
        <w:rPr>
          <w:b w:val="0"/>
          <w:bCs w:val="0"/>
          <w:color w:val="000000" w:themeColor="text1"/>
          <w:szCs w:val="22"/>
        </w:rPr>
      </w:pPr>
      <w:r w:rsidRPr="00B52275">
        <w:rPr>
          <w:b w:val="0"/>
          <w:bCs w:val="0"/>
          <w:color w:val="000000" w:themeColor="text1"/>
          <w:szCs w:val="22"/>
        </w:rPr>
        <w:t>Enterprise Risk Management (ERM) forms a critical part of any institution’s strategic management.  It is a process whereby an institution both methodically and intuitively addresses the risks attached to its activities with the goal of achieving sustained benefit within each activity and across the portfolio of activities.  ERM is therefore recognized as an integral part of sound organizational management and is being promoted internationally and in South Africa as good practice applicable to the public and private sectors.</w:t>
      </w:r>
    </w:p>
    <w:p w14:paraId="53C1075D" w14:textId="77777777" w:rsidR="00B52275" w:rsidRDefault="00B52275" w:rsidP="00B52275">
      <w:pPr>
        <w:pStyle w:val="Caption"/>
        <w:spacing w:line="276" w:lineRule="auto"/>
        <w:jc w:val="both"/>
        <w:rPr>
          <w:b w:val="0"/>
          <w:bCs w:val="0"/>
          <w:color w:val="000000" w:themeColor="text1"/>
          <w:szCs w:val="22"/>
        </w:rPr>
      </w:pPr>
      <w:r w:rsidRPr="00B52275">
        <w:rPr>
          <w:b w:val="0"/>
          <w:bCs w:val="0"/>
          <w:color w:val="000000" w:themeColor="text1"/>
          <w:szCs w:val="22"/>
        </w:rPr>
        <w:t xml:space="preserve">The underlying premise of risk management is that every government body exists to provide value for its stakeholders.  Such value is based on the quality of service delivery to the citizens.  All institutions face uncertainty and the challenge for management is to determine how much uncertainty is the institution prepared to accept as it strives to grow stakeholder value.  Uncertainty presents both risk and opportunity, with the potential to erode or enhance value.  Value is maximized when management sets objectives to strike an optimal balance between growth and related risks, and effectively deploys resources in pursuit of the institution’s objectives.  </w:t>
      </w:r>
    </w:p>
    <w:p w14:paraId="6E2130C2" w14:textId="77777777" w:rsidR="00B52275" w:rsidRDefault="00B52275" w:rsidP="00B52275">
      <w:pPr>
        <w:pStyle w:val="Caption"/>
        <w:rPr>
          <w:b w:val="0"/>
          <w:bCs w:val="0"/>
          <w:color w:val="000000" w:themeColor="text1"/>
          <w:szCs w:val="22"/>
        </w:rPr>
      </w:pPr>
    </w:p>
    <w:p w14:paraId="379499D8" w14:textId="2F44669C" w:rsidR="009760AA" w:rsidRPr="00881795" w:rsidRDefault="009760AA" w:rsidP="00B52275">
      <w:pPr>
        <w:pStyle w:val="Caption"/>
      </w:pPr>
      <w:bookmarkStart w:id="570" w:name="_Toc510622386"/>
      <w:r w:rsidRPr="00881795">
        <w:t xml:space="preserve">Figure </w:t>
      </w:r>
      <w:r w:rsidR="00D55BDA" w:rsidRPr="00881795">
        <w:fldChar w:fldCharType="begin"/>
      </w:r>
      <w:r w:rsidRPr="00881795">
        <w:instrText xml:space="preserve"> SEQ Figure \* ARABIC </w:instrText>
      </w:r>
      <w:r w:rsidR="00D55BDA" w:rsidRPr="00881795">
        <w:fldChar w:fldCharType="separate"/>
      </w:r>
      <w:r w:rsidR="0067023A">
        <w:rPr>
          <w:noProof/>
        </w:rPr>
        <w:t>26</w:t>
      </w:r>
      <w:r w:rsidR="00D55BDA" w:rsidRPr="00881795">
        <w:fldChar w:fldCharType="end"/>
      </w:r>
      <w:r w:rsidRPr="00881795">
        <w:t>: Four Risk Categories</w:t>
      </w:r>
      <w:bookmarkEnd w:id="568"/>
      <w:bookmarkEnd w:id="569"/>
      <w:bookmarkEnd w:id="570"/>
    </w:p>
    <w:p w14:paraId="5ADEC6A3" w14:textId="77777777" w:rsidR="009760AA" w:rsidRPr="00881795" w:rsidRDefault="009760AA" w:rsidP="00395313">
      <w:pPr>
        <w:jc w:val="both"/>
        <w:rPr>
          <w:rFonts w:cs="Calibri"/>
          <w:color w:val="000000" w:themeColor="text1"/>
        </w:rPr>
      </w:pPr>
      <w:r w:rsidRPr="00881795">
        <w:rPr>
          <w:rFonts w:cs="Calibri"/>
          <w:noProof/>
          <w:color w:val="000000" w:themeColor="text1"/>
        </w:rPr>
        <w:drawing>
          <wp:inline distT="0" distB="0" distL="0" distR="0" wp14:anchorId="4E89D971" wp14:editId="1967B2CC">
            <wp:extent cx="2721935" cy="1562986"/>
            <wp:effectExtent l="0" t="0" r="0" b="18415"/>
            <wp:docPr id="245" name="Diagram 13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1" r:lo="rId102" r:qs="rId103" r:cs="rId104"/>
              </a:graphicData>
            </a:graphic>
          </wp:inline>
        </w:drawing>
      </w:r>
    </w:p>
    <w:p w14:paraId="2F774CE2" w14:textId="77777777" w:rsidR="009760AA" w:rsidRPr="00881795" w:rsidRDefault="009760AA" w:rsidP="002F62F0">
      <w:pPr>
        <w:pStyle w:val="Caption"/>
      </w:pPr>
      <w:bookmarkStart w:id="571" w:name="_Toc325627929"/>
      <w:bookmarkStart w:id="572" w:name="_Toc389740073"/>
      <w:bookmarkStart w:id="573" w:name="_Toc510622348"/>
      <w:r w:rsidRPr="00881795">
        <w:t xml:space="preserve">Table </w:t>
      </w:r>
      <w:r w:rsidR="00D55BDA" w:rsidRPr="00881795">
        <w:fldChar w:fldCharType="begin"/>
      </w:r>
      <w:r w:rsidRPr="00881795">
        <w:instrText xml:space="preserve"> SEQ Table \* ARABIC </w:instrText>
      </w:r>
      <w:r w:rsidR="00D55BDA" w:rsidRPr="00881795">
        <w:fldChar w:fldCharType="separate"/>
      </w:r>
      <w:r w:rsidR="0067023A">
        <w:rPr>
          <w:noProof/>
        </w:rPr>
        <w:t>97</w:t>
      </w:r>
      <w:r w:rsidR="00D55BDA" w:rsidRPr="00881795">
        <w:fldChar w:fldCharType="end"/>
      </w:r>
      <w:r w:rsidRPr="00881795">
        <w:t>: Unpacking of the four identified Risk Categories</w:t>
      </w:r>
      <w:bookmarkEnd w:id="571"/>
      <w:bookmarkEnd w:id="572"/>
      <w:bookmarkEnd w:id="57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8"/>
        <w:gridCol w:w="3402"/>
        <w:gridCol w:w="4677"/>
      </w:tblGrid>
      <w:tr w:rsidR="009760AA" w:rsidRPr="00173B5E" w14:paraId="0B8AC89F" w14:textId="77777777" w:rsidTr="00C31C45">
        <w:trPr>
          <w:tblHeader/>
        </w:trPr>
        <w:tc>
          <w:tcPr>
            <w:tcW w:w="1668" w:type="dxa"/>
            <w:shd w:val="clear" w:color="auto" w:fill="DAEEF3" w:themeFill="accent5" w:themeFillTint="33"/>
          </w:tcPr>
          <w:p w14:paraId="0ECD42A3" w14:textId="77777777" w:rsidR="009760AA" w:rsidRPr="00173B5E" w:rsidRDefault="009760AA" w:rsidP="00395313">
            <w:pPr>
              <w:jc w:val="both"/>
              <w:rPr>
                <w:rFonts w:cs="Calibri"/>
                <w:b/>
                <w:color w:val="000000" w:themeColor="text1"/>
              </w:rPr>
            </w:pPr>
            <w:r w:rsidRPr="00173B5E">
              <w:rPr>
                <w:rFonts w:cs="Calibri"/>
                <w:b/>
                <w:color w:val="000000" w:themeColor="text1"/>
              </w:rPr>
              <w:t>Main Risk Categories</w:t>
            </w:r>
          </w:p>
        </w:tc>
        <w:tc>
          <w:tcPr>
            <w:tcW w:w="3402" w:type="dxa"/>
            <w:shd w:val="clear" w:color="auto" w:fill="DAEEF3" w:themeFill="accent5" w:themeFillTint="33"/>
          </w:tcPr>
          <w:p w14:paraId="73821418" w14:textId="77777777" w:rsidR="009760AA" w:rsidRPr="00173B5E" w:rsidRDefault="009760AA" w:rsidP="00395313">
            <w:pPr>
              <w:jc w:val="both"/>
              <w:rPr>
                <w:rFonts w:cs="Calibri"/>
                <w:b/>
                <w:color w:val="000000" w:themeColor="text1"/>
              </w:rPr>
            </w:pPr>
            <w:r w:rsidRPr="00173B5E">
              <w:rPr>
                <w:rFonts w:cs="Calibri"/>
                <w:b/>
                <w:color w:val="000000" w:themeColor="text1"/>
              </w:rPr>
              <w:t>Examples</w:t>
            </w:r>
          </w:p>
        </w:tc>
        <w:tc>
          <w:tcPr>
            <w:tcW w:w="4677" w:type="dxa"/>
            <w:shd w:val="clear" w:color="auto" w:fill="DAEEF3" w:themeFill="accent5" w:themeFillTint="33"/>
          </w:tcPr>
          <w:p w14:paraId="6049D55A" w14:textId="77777777" w:rsidR="009760AA" w:rsidRPr="00173B5E" w:rsidRDefault="009760AA" w:rsidP="00395313">
            <w:pPr>
              <w:jc w:val="both"/>
              <w:rPr>
                <w:rFonts w:cs="Calibri"/>
                <w:b/>
                <w:color w:val="000000" w:themeColor="text1"/>
              </w:rPr>
            </w:pPr>
            <w:r w:rsidRPr="00173B5E">
              <w:rPr>
                <w:rFonts w:cs="Calibri"/>
                <w:b/>
                <w:color w:val="000000" w:themeColor="text1"/>
              </w:rPr>
              <w:t>Main Mitigation Measures</w:t>
            </w:r>
          </w:p>
        </w:tc>
      </w:tr>
      <w:tr w:rsidR="009760AA" w:rsidRPr="00173B5E" w14:paraId="2A7C4688" w14:textId="77777777" w:rsidTr="000A2E48">
        <w:tc>
          <w:tcPr>
            <w:tcW w:w="1668" w:type="dxa"/>
          </w:tcPr>
          <w:p w14:paraId="663F36F4" w14:textId="77777777" w:rsidR="009760AA" w:rsidRPr="00173B5E" w:rsidRDefault="009760AA" w:rsidP="00395313">
            <w:pPr>
              <w:jc w:val="both"/>
              <w:rPr>
                <w:rFonts w:cs="Calibri"/>
                <w:b/>
                <w:color w:val="000000" w:themeColor="text1"/>
              </w:rPr>
            </w:pPr>
            <w:r w:rsidRPr="00173B5E">
              <w:rPr>
                <w:rFonts w:cs="Calibri"/>
                <w:b/>
                <w:color w:val="000000" w:themeColor="text1"/>
              </w:rPr>
              <w:t>Strategic risk</w:t>
            </w:r>
          </w:p>
          <w:p w14:paraId="222C1B83" w14:textId="77777777" w:rsidR="009760AA" w:rsidRPr="00173B5E" w:rsidRDefault="009760AA" w:rsidP="00395313">
            <w:pPr>
              <w:jc w:val="both"/>
              <w:rPr>
                <w:rFonts w:cs="Calibri"/>
                <w:b/>
                <w:color w:val="000000" w:themeColor="text1"/>
              </w:rPr>
            </w:pPr>
          </w:p>
        </w:tc>
        <w:tc>
          <w:tcPr>
            <w:tcW w:w="3402" w:type="dxa"/>
          </w:tcPr>
          <w:p w14:paraId="11284783" w14:textId="77777777" w:rsidR="009760AA" w:rsidRPr="00173B5E" w:rsidRDefault="009760AA" w:rsidP="00E31338">
            <w:pPr>
              <w:numPr>
                <w:ilvl w:val="0"/>
                <w:numId w:val="4"/>
              </w:numPr>
              <w:spacing w:after="0"/>
              <w:jc w:val="both"/>
              <w:rPr>
                <w:rFonts w:cs="Calibri"/>
                <w:color w:val="000000" w:themeColor="text1"/>
              </w:rPr>
            </w:pPr>
            <w:r w:rsidRPr="00173B5E">
              <w:rPr>
                <w:rFonts w:cs="Calibri"/>
                <w:color w:val="000000" w:themeColor="text1"/>
              </w:rPr>
              <w:t>Political changes or change in system of government or policies particularly as our system in South Africa is base d on proportional representation which means political parties and political alignments are more profound.</w:t>
            </w:r>
          </w:p>
          <w:p w14:paraId="514C14AD" w14:textId="77777777" w:rsidR="009760AA" w:rsidRPr="00173B5E" w:rsidRDefault="009760AA" w:rsidP="00E31338">
            <w:pPr>
              <w:numPr>
                <w:ilvl w:val="0"/>
                <w:numId w:val="4"/>
              </w:numPr>
              <w:spacing w:after="0"/>
              <w:jc w:val="both"/>
              <w:rPr>
                <w:rFonts w:cs="Calibri"/>
                <w:color w:val="000000" w:themeColor="text1"/>
              </w:rPr>
            </w:pPr>
            <w:r w:rsidRPr="00173B5E">
              <w:rPr>
                <w:rFonts w:cs="Calibri"/>
                <w:color w:val="000000" w:themeColor="text1"/>
              </w:rPr>
              <w:t>Faction fighting</w:t>
            </w:r>
          </w:p>
          <w:p w14:paraId="6EC21181" w14:textId="77777777" w:rsidR="009760AA" w:rsidRPr="00173B5E" w:rsidRDefault="009760AA" w:rsidP="00E31338">
            <w:pPr>
              <w:numPr>
                <w:ilvl w:val="0"/>
                <w:numId w:val="4"/>
              </w:numPr>
              <w:spacing w:after="0"/>
              <w:jc w:val="both"/>
              <w:rPr>
                <w:rFonts w:cs="Calibri"/>
                <w:color w:val="000000" w:themeColor="text1"/>
              </w:rPr>
            </w:pPr>
            <w:r w:rsidRPr="00173B5E">
              <w:rPr>
                <w:rFonts w:cs="Calibri"/>
                <w:color w:val="000000" w:themeColor="text1"/>
              </w:rPr>
              <w:t>Forceful and grabs</w:t>
            </w:r>
          </w:p>
        </w:tc>
        <w:tc>
          <w:tcPr>
            <w:tcW w:w="4677" w:type="dxa"/>
          </w:tcPr>
          <w:p w14:paraId="262667D8" w14:textId="77777777" w:rsidR="009760AA" w:rsidRPr="00173B5E" w:rsidRDefault="009760AA" w:rsidP="00395313">
            <w:pPr>
              <w:spacing w:after="0"/>
              <w:jc w:val="both"/>
              <w:rPr>
                <w:rFonts w:cs="Calibri"/>
                <w:color w:val="000000" w:themeColor="text1"/>
              </w:rPr>
            </w:pPr>
            <w:r w:rsidRPr="00173B5E">
              <w:rPr>
                <w:rFonts w:cs="Calibri"/>
                <w:color w:val="000000" w:themeColor="text1"/>
              </w:rPr>
              <w:t>Hard to predict or quantify, this can be addressed through:</w:t>
            </w:r>
          </w:p>
          <w:p w14:paraId="2A6A8530" w14:textId="77777777" w:rsidR="009760AA" w:rsidRPr="00173B5E" w:rsidRDefault="009760AA" w:rsidP="00E31338">
            <w:pPr>
              <w:numPr>
                <w:ilvl w:val="0"/>
                <w:numId w:val="8"/>
              </w:numPr>
              <w:spacing w:after="0"/>
              <w:jc w:val="both"/>
              <w:rPr>
                <w:rFonts w:cs="Calibri"/>
                <w:color w:val="000000" w:themeColor="text1"/>
              </w:rPr>
            </w:pPr>
            <w:r w:rsidRPr="00173B5E">
              <w:rPr>
                <w:rFonts w:cs="Calibri"/>
                <w:color w:val="000000" w:themeColor="text1"/>
              </w:rPr>
              <w:t>Environmental scanning, scenario development and simulation.</w:t>
            </w:r>
          </w:p>
          <w:p w14:paraId="5384535C" w14:textId="77777777" w:rsidR="009760AA" w:rsidRPr="00173B5E" w:rsidRDefault="009760AA" w:rsidP="00E31338">
            <w:pPr>
              <w:numPr>
                <w:ilvl w:val="0"/>
                <w:numId w:val="8"/>
              </w:numPr>
              <w:spacing w:after="0"/>
              <w:jc w:val="both"/>
              <w:rPr>
                <w:rFonts w:cs="Calibri"/>
                <w:color w:val="000000" w:themeColor="text1"/>
              </w:rPr>
            </w:pPr>
            <w:r w:rsidRPr="00173B5E">
              <w:rPr>
                <w:rFonts w:cs="Calibri"/>
                <w:color w:val="000000" w:themeColor="text1"/>
              </w:rPr>
              <w:t>Ensuring that service delivery and people’s needs surpass political affiliation and subjectivity.</w:t>
            </w:r>
          </w:p>
          <w:p w14:paraId="167ED0DC" w14:textId="77777777" w:rsidR="009760AA" w:rsidRPr="00173B5E" w:rsidRDefault="009760AA" w:rsidP="00E31338">
            <w:pPr>
              <w:numPr>
                <w:ilvl w:val="0"/>
                <w:numId w:val="8"/>
              </w:numPr>
              <w:spacing w:after="0"/>
              <w:jc w:val="both"/>
              <w:rPr>
                <w:rFonts w:cs="Calibri"/>
                <w:color w:val="000000" w:themeColor="text1"/>
              </w:rPr>
            </w:pPr>
            <w:r w:rsidRPr="00173B5E">
              <w:rPr>
                <w:rFonts w:cs="Calibri"/>
                <w:color w:val="000000" w:themeColor="text1"/>
              </w:rPr>
              <w:t>Maximize public participation in matters of local government.</w:t>
            </w:r>
          </w:p>
          <w:p w14:paraId="1A1F32A2" w14:textId="77777777" w:rsidR="009760AA" w:rsidRPr="00173B5E" w:rsidRDefault="009760AA" w:rsidP="00E31338">
            <w:pPr>
              <w:numPr>
                <w:ilvl w:val="0"/>
                <w:numId w:val="8"/>
              </w:numPr>
              <w:spacing w:after="0"/>
              <w:jc w:val="both"/>
              <w:rPr>
                <w:rFonts w:cs="Calibri"/>
                <w:color w:val="000000" w:themeColor="text1"/>
              </w:rPr>
            </w:pPr>
            <w:r w:rsidRPr="00173B5E">
              <w:rPr>
                <w:rFonts w:cs="Calibri"/>
                <w:color w:val="000000" w:themeColor="text1"/>
              </w:rPr>
              <w:t>Effective strategic management.</w:t>
            </w:r>
          </w:p>
          <w:p w14:paraId="39E638DC" w14:textId="77777777" w:rsidR="009760AA" w:rsidRPr="00173B5E" w:rsidRDefault="009760AA" w:rsidP="00E31338">
            <w:pPr>
              <w:numPr>
                <w:ilvl w:val="0"/>
                <w:numId w:val="8"/>
              </w:numPr>
              <w:spacing w:after="0"/>
              <w:jc w:val="both"/>
              <w:rPr>
                <w:rFonts w:cs="Calibri"/>
                <w:color w:val="000000" w:themeColor="text1"/>
              </w:rPr>
            </w:pPr>
            <w:r w:rsidRPr="00173B5E">
              <w:rPr>
                <w:rFonts w:cs="Calibri"/>
                <w:color w:val="000000" w:themeColor="text1"/>
              </w:rPr>
              <w:t xml:space="preserve">Capacity building for </w:t>
            </w:r>
            <w:r w:rsidR="003F34D3" w:rsidRPr="00173B5E">
              <w:rPr>
                <w:rFonts w:cs="Calibri"/>
                <w:color w:val="000000" w:themeColor="text1"/>
              </w:rPr>
              <w:t>all</w:t>
            </w:r>
            <w:r w:rsidRPr="00173B5E">
              <w:rPr>
                <w:rFonts w:cs="Calibri"/>
                <w:color w:val="000000" w:themeColor="text1"/>
              </w:rPr>
              <w:t xml:space="preserve"> stakeholders.</w:t>
            </w:r>
          </w:p>
          <w:p w14:paraId="502018C0" w14:textId="77777777" w:rsidR="009760AA" w:rsidRPr="00173B5E" w:rsidRDefault="009760AA" w:rsidP="00E31338">
            <w:pPr>
              <w:numPr>
                <w:ilvl w:val="0"/>
                <w:numId w:val="8"/>
              </w:numPr>
              <w:spacing w:after="0"/>
              <w:jc w:val="both"/>
              <w:rPr>
                <w:rFonts w:cs="Calibri"/>
                <w:color w:val="000000" w:themeColor="text1"/>
              </w:rPr>
            </w:pPr>
            <w:r w:rsidRPr="00173B5E">
              <w:rPr>
                <w:rFonts w:cs="Calibri"/>
                <w:color w:val="000000" w:themeColor="text1"/>
              </w:rPr>
              <w:t>Passing appropriate by-laws and ensuring there is rule of law.</w:t>
            </w:r>
          </w:p>
          <w:p w14:paraId="7A626CDE" w14:textId="77777777" w:rsidR="009760AA" w:rsidRPr="00173B5E" w:rsidRDefault="009760AA" w:rsidP="00E31338">
            <w:pPr>
              <w:numPr>
                <w:ilvl w:val="0"/>
                <w:numId w:val="8"/>
              </w:numPr>
              <w:spacing w:after="0"/>
              <w:jc w:val="both"/>
              <w:rPr>
                <w:rFonts w:cs="Calibri"/>
                <w:color w:val="000000" w:themeColor="text1"/>
              </w:rPr>
            </w:pPr>
            <w:r w:rsidRPr="00173B5E">
              <w:rPr>
                <w:rFonts w:cs="Calibri"/>
                <w:color w:val="000000" w:themeColor="text1"/>
              </w:rPr>
              <w:t>Development of strategic response to each alternative scenario.</w:t>
            </w:r>
          </w:p>
          <w:p w14:paraId="2CF768CD" w14:textId="77777777" w:rsidR="009760AA" w:rsidRPr="00173B5E" w:rsidRDefault="009760AA" w:rsidP="00E31338">
            <w:pPr>
              <w:numPr>
                <w:ilvl w:val="0"/>
                <w:numId w:val="8"/>
              </w:numPr>
              <w:spacing w:after="0"/>
              <w:jc w:val="both"/>
              <w:rPr>
                <w:rFonts w:cs="Calibri"/>
                <w:color w:val="000000" w:themeColor="text1"/>
              </w:rPr>
            </w:pPr>
            <w:r w:rsidRPr="00173B5E">
              <w:rPr>
                <w:rFonts w:cs="Calibri"/>
                <w:color w:val="000000" w:themeColor="text1"/>
              </w:rPr>
              <w:t>Development of conflict resolution skills.</w:t>
            </w:r>
          </w:p>
        </w:tc>
      </w:tr>
      <w:tr w:rsidR="009760AA" w:rsidRPr="00173B5E" w14:paraId="79EAC83B" w14:textId="77777777" w:rsidTr="000A2E48">
        <w:tc>
          <w:tcPr>
            <w:tcW w:w="1668" w:type="dxa"/>
          </w:tcPr>
          <w:p w14:paraId="7CAAA2DF" w14:textId="77777777" w:rsidR="009760AA" w:rsidRPr="00173B5E" w:rsidRDefault="009760AA" w:rsidP="00395313">
            <w:pPr>
              <w:jc w:val="both"/>
              <w:rPr>
                <w:rFonts w:cs="Calibri"/>
                <w:b/>
                <w:color w:val="000000" w:themeColor="text1"/>
              </w:rPr>
            </w:pPr>
            <w:r w:rsidRPr="00173B5E">
              <w:rPr>
                <w:rFonts w:cs="Calibri"/>
                <w:b/>
                <w:color w:val="000000" w:themeColor="text1"/>
              </w:rPr>
              <w:t>Financial risk</w:t>
            </w:r>
          </w:p>
          <w:p w14:paraId="3937528D" w14:textId="77777777" w:rsidR="009760AA" w:rsidRPr="00173B5E" w:rsidRDefault="009760AA" w:rsidP="00395313">
            <w:pPr>
              <w:jc w:val="both"/>
              <w:rPr>
                <w:rFonts w:cs="Calibri"/>
                <w:b/>
                <w:color w:val="000000" w:themeColor="text1"/>
              </w:rPr>
            </w:pPr>
          </w:p>
          <w:p w14:paraId="1A66C9B6" w14:textId="77777777" w:rsidR="009760AA" w:rsidRPr="00173B5E" w:rsidRDefault="009760AA" w:rsidP="00395313">
            <w:pPr>
              <w:jc w:val="both"/>
              <w:rPr>
                <w:rFonts w:cs="Calibri"/>
                <w:color w:val="000000" w:themeColor="text1"/>
              </w:rPr>
            </w:pPr>
            <w:r w:rsidRPr="00173B5E">
              <w:rPr>
                <w:rFonts w:cs="Calibri"/>
                <w:b/>
                <w:color w:val="000000" w:themeColor="text1"/>
              </w:rPr>
              <w:t>Risk pertaining to corruption, solvency, profitability and liquidity</w:t>
            </w:r>
          </w:p>
        </w:tc>
        <w:tc>
          <w:tcPr>
            <w:tcW w:w="3402" w:type="dxa"/>
          </w:tcPr>
          <w:p w14:paraId="74550077" w14:textId="77777777" w:rsidR="009760AA" w:rsidRPr="00173B5E" w:rsidRDefault="009760AA" w:rsidP="00E31338">
            <w:pPr>
              <w:numPr>
                <w:ilvl w:val="0"/>
                <w:numId w:val="7"/>
              </w:numPr>
              <w:spacing w:after="0"/>
              <w:jc w:val="both"/>
              <w:rPr>
                <w:rFonts w:cs="Calibri"/>
                <w:color w:val="000000" w:themeColor="text1"/>
              </w:rPr>
            </w:pPr>
            <w:r w:rsidRPr="00173B5E">
              <w:rPr>
                <w:rFonts w:cs="Calibri"/>
                <w:color w:val="000000" w:themeColor="text1"/>
              </w:rPr>
              <w:t>Fraud and corruption</w:t>
            </w:r>
          </w:p>
          <w:p w14:paraId="7BFFBBA7" w14:textId="77777777" w:rsidR="009760AA" w:rsidRPr="00173B5E" w:rsidRDefault="009760AA" w:rsidP="00E31338">
            <w:pPr>
              <w:numPr>
                <w:ilvl w:val="0"/>
                <w:numId w:val="7"/>
              </w:numPr>
              <w:spacing w:after="0"/>
              <w:jc w:val="both"/>
              <w:rPr>
                <w:rFonts w:cs="Calibri"/>
                <w:color w:val="000000" w:themeColor="text1"/>
              </w:rPr>
            </w:pPr>
            <w:r w:rsidRPr="00173B5E">
              <w:rPr>
                <w:rFonts w:cs="Calibri"/>
                <w:color w:val="000000" w:themeColor="text1"/>
              </w:rPr>
              <w:t>Market risks</w:t>
            </w:r>
          </w:p>
          <w:p w14:paraId="1CCF0190" w14:textId="77777777" w:rsidR="009760AA" w:rsidRPr="00173B5E" w:rsidRDefault="009760AA" w:rsidP="00E31338">
            <w:pPr>
              <w:numPr>
                <w:ilvl w:val="0"/>
                <w:numId w:val="7"/>
              </w:numPr>
              <w:spacing w:after="0"/>
              <w:jc w:val="both"/>
              <w:rPr>
                <w:rFonts w:cs="Calibri"/>
                <w:color w:val="000000" w:themeColor="text1"/>
              </w:rPr>
            </w:pPr>
            <w:r w:rsidRPr="00173B5E">
              <w:rPr>
                <w:rFonts w:cs="Calibri"/>
                <w:color w:val="000000" w:themeColor="text1"/>
              </w:rPr>
              <w:t>Interest rates</w:t>
            </w:r>
          </w:p>
          <w:p w14:paraId="4C7BA995" w14:textId="77777777" w:rsidR="009760AA" w:rsidRPr="00173B5E" w:rsidRDefault="009760AA" w:rsidP="00E31338">
            <w:pPr>
              <w:numPr>
                <w:ilvl w:val="0"/>
                <w:numId w:val="7"/>
              </w:numPr>
              <w:spacing w:after="0"/>
              <w:jc w:val="both"/>
              <w:rPr>
                <w:rFonts w:cs="Calibri"/>
                <w:color w:val="000000" w:themeColor="text1"/>
              </w:rPr>
            </w:pPr>
            <w:r w:rsidRPr="00173B5E">
              <w:rPr>
                <w:rFonts w:cs="Calibri"/>
                <w:color w:val="000000" w:themeColor="text1"/>
              </w:rPr>
              <w:t>Equity prices</w:t>
            </w:r>
          </w:p>
          <w:p w14:paraId="3F25A2C7" w14:textId="77777777" w:rsidR="009760AA" w:rsidRPr="00173B5E" w:rsidRDefault="009760AA" w:rsidP="00E31338">
            <w:pPr>
              <w:numPr>
                <w:ilvl w:val="0"/>
                <w:numId w:val="7"/>
              </w:numPr>
              <w:spacing w:after="0"/>
              <w:jc w:val="both"/>
              <w:rPr>
                <w:rFonts w:cs="Calibri"/>
                <w:color w:val="000000" w:themeColor="text1"/>
              </w:rPr>
            </w:pPr>
            <w:r w:rsidRPr="00173B5E">
              <w:rPr>
                <w:rFonts w:cs="Calibri"/>
                <w:color w:val="000000" w:themeColor="text1"/>
              </w:rPr>
              <w:t>Transfer risk</w:t>
            </w:r>
          </w:p>
          <w:p w14:paraId="21E28A7B" w14:textId="77777777" w:rsidR="009760AA" w:rsidRPr="00173B5E" w:rsidRDefault="009760AA" w:rsidP="00E31338">
            <w:pPr>
              <w:numPr>
                <w:ilvl w:val="0"/>
                <w:numId w:val="7"/>
              </w:numPr>
              <w:spacing w:after="0"/>
              <w:jc w:val="both"/>
              <w:rPr>
                <w:rFonts w:cs="Calibri"/>
                <w:color w:val="000000" w:themeColor="text1"/>
              </w:rPr>
            </w:pPr>
            <w:r w:rsidRPr="00173B5E">
              <w:rPr>
                <w:rFonts w:cs="Calibri"/>
                <w:color w:val="000000" w:themeColor="text1"/>
              </w:rPr>
              <w:t>Political risk</w:t>
            </w:r>
          </w:p>
          <w:p w14:paraId="0AE75087" w14:textId="77777777" w:rsidR="009760AA" w:rsidRPr="00173B5E" w:rsidRDefault="009760AA" w:rsidP="00E31338">
            <w:pPr>
              <w:numPr>
                <w:ilvl w:val="0"/>
                <w:numId w:val="7"/>
              </w:numPr>
              <w:spacing w:after="0"/>
              <w:jc w:val="both"/>
              <w:rPr>
                <w:rFonts w:cs="Calibri"/>
                <w:color w:val="000000" w:themeColor="text1"/>
              </w:rPr>
            </w:pPr>
            <w:r w:rsidRPr="00173B5E">
              <w:rPr>
                <w:rFonts w:cs="Calibri"/>
                <w:color w:val="000000" w:themeColor="text1"/>
              </w:rPr>
              <w:t>Crime</w:t>
            </w:r>
          </w:p>
          <w:p w14:paraId="6708F53A" w14:textId="77777777" w:rsidR="009760AA" w:rsidRPr="00173B5E" w:rsidRDefault="009760AA" w:rsidP="00E31338">
            <w:pPr>
              <w:numPr>
                <w:ilvl w:val="0"/>
                <w:numId w:val="7"/>
              </w:numPr>
              <w:spacing w:after="0"/>
              <w:jc w:val="both"/>
              <w:rPr>
                <w:rFonts w:cs="Calibri"/>
                <w:color w:val="000000" w:themeColor="text1"/>
              </w:rPr>
            </w:pPr>
            <w:r w:rsidRPr="00173B5E">
              <w:rPr>
                <w:rFonts w:cs="Calibri"/>
                <w:color w:val="000000" w:themeColor="text1"/>
              </w:rPr>
              <w:t>Economic risk</w:t>
            </w:r>
          </w:p>
          <w:p w14:paraId="5DB49606" w14:textId="77777777" w:rsidR="009760AA" w:rsidRPr="00173B5E" w:rsidRDefault="009760AA" w:rsidP="00E31338">
            <w:pPr>
              <w:numPr>
                <w:ilvl w:val="0"/>
                <w:numId w:val="7"/>
              </w:numPr>
              <w:spacing w:after="0"/>
              <w:jc w:val="both"/>
              <w:rPr>
                <w:rFonts w:cs="Calibri"/>
                <w:color w:val="000000" w:themeColor="text1"/>
              </w:rPr>
            </w:pPr>
            <w:r w:rsidRPr="00173B5E">
              <w:rPr>
                <w:rFonts w:cs="Calibri"/>
                <w:color w:val="000000" w:themeColor="text1"/>
              </w:rPr>
              <w:t>Liquidity risk</w:t>
            </w:r>
          </w:p>
          <w:p w14:paraId="73EC49DB" w14:textId="77777777" w:rsidR="009760AA" w:rsidRPr="00173B5E" w:rsidRDefault="009760AA" w:rsidP="00E31338">
            <w:pPr>
              <w:numPr>
                <w:ilvl w:val="0"/>
                <w:numId w:val="7"/>
              </w:numPr>
              <w:spacing w:after="0"/>
              <w:jc w:val="both"/>
              <w:rPr>
                <w:rFonts w:cs="Calibri"/>
                <w:color w:val="000000" w:themeColor="text1"/>
              </w:rPr>
            </w:pPr>
            <w:r w:rsidRPr="00173B5E">
              <w:rPr>
                <w:rFonts w:cs="Calibri"/>
                <w:color w:val="000000" w:themeColor="text1"/>
              </w:rPr>
              <w:t>Rates or rent boycott</w:t>
            </w:r>
          </w:p>
          <w:p w14:paraId="4ADA430E" w14:textId="77777777" w:rsidR="009760AA" w:rsidRPr="00173B5E" w:rsidRDefault="009760AA" w:rsidP="00E31338">
            <w:pPr>
              <w:numPr>
                <w:ilvl w:val="0"/>
                <w:numId w:val="7"/>
              </w:numPr>
              <w:spacing w:after="0"/>
              <w:jc w:val="both"/>
              <w:rPr>
                <w:rFonts w:cs="Calibri"/>
                <w:color w:val="000000" w:themeColor="text1"/>
              </w:rPr>
            </w:pPr>
            <w:r w:rsidRPr="00173B5E">
              <w:rPr>
                <w:rFonts w:cs="Calibri"/>
                <w:color w:val="000000" w:themeColor="text1"/>
              </w:rPr>
              <w:t>Failure to collect rates and municipal taxes</w:t>
            </w:r>
          </w:p>
          <w:p w14:paraId="324B4A87" w14:textId="77777777" w:rsidR="009760AA" w:rsidRPr="00173B5E" w:rsidRDefault="009760AA" w:rsidP="00E31338">
            <w:pPr>
              <w:numPr>
                <w:ilvl w:val="0"/>
                <w:numId w:val="7"/>
              </w:numPr>
              <w:spacing w:after="0"/>
              <w:jc w:val="both"/>
              <w:rPr>
                <w:rFonts w:cs="Calibri"/>
                <w:color w:val="000000" w:themeColor="text1"/>
              </w:rPr>
            </w:pPr>
            <w:r w:rsidRPr="00173B5E">
              <w:rPr>
                <w:rFonts w:cs="Calibri"/>
                <w:color w:val="000000" w:themeColor="text1"/>
              </w:rPr>
              <w:t>Failure to collect monies from municipal creditors.</w:t>
            </w:r>
          </w:p>
        </w:tc>
        <w:tc>
          <w:tcPr>
            <w:tcW w:w="4677" w:type="dxa"/>
          </w:tcPr>
          <w:p w14:paraId="0D76D9BD" w14:textId="77777777" w:rsidR="009760AA" w:rsidRPr="00173B5E" w:rsidRDefault="009760AA" w:rsidP="00E31338">
            <w:pPr>
              <w:numPr>
                <w:ilvl w:val="0"/>
                <w:numId w:val="12"/>
              </w:numPr>
              <w:spacing w:after="0"/>
              <w:jc w:val="both"/>
              <w:rPr>
                <w:rFonts w:cs="Calibri"/>
                <w:color w:val="000000" w:themeColor="text1"/>
              </w:rPr>
            </w:pPr>
            <w:r w:rsidRPr="00173B5E">
              <w:rPr>
                <w:rFonts w:cs="Calibri"/>
                <w:color w:val="000000" w:themeColor="text1"/>
              </w:rPr>
              <w:t>Application monitoring of policies and plans such a fraud and corruption plan.</w:t>
            </w:r>
          </w:p>
          <w:p w14:paraId="238BE015" w14:textId="77777777" w:rsidR="009760AA" w:rsidRPr="00173B5E" w:rsidRDefault="009760AA" w:rsidP="00E31338">
            <w:pPr>
              <w:numPr>
                <w:ilvl w:val="0"/>
                <w:numId w:val="12"/>
              </w:numPr>
              <w:spacing w:after="0"/>
              <w:jc w:val="both"/>
              <w:rPr>
                <w:rFonts w:cs="Calibri"/>
                <w:color w:val="000000" w:themeColor="text1"/>
              </w:rPr>
            </w:pPr>
            <w:r w:rsidRPr="00173B5E">
              <w:rPr>
                <w:rFonts w:cs="Calibri"/>
                <w:color w:val="000000" w:themeColor="text1"/>
              </w:rPr>
              <w:t>Proper implementation and monitoring of the Acts such as the Municipal Finance Management Act</w:t>
            </w:r>
          </w:p>
          <w:p w14:paraId="482056DA" w14:textId="77777777" w:rsidR="009760AA" w:rsidRPr="00173B5E" w:rsidRDefault="009760AA" w:rsidP="00E31338">
            <w:pPr>
              <w:numPr>
                <w:ilvl w:val="0"/>
                <w:numId w:val="12"/>
              </w:numPr>
              <w:spacing w:after="0"/>
              <w:jc w:val="both"/>
              <w:rPr>
                <w:rFonts w:cs="Calibri"/>
                <w:color w:val="000000" w:themeColor="text1"/>
              </w:rPr>
            </w:pPr>
            <w:r w:rsidRPr="00173B5E">
              <w:rPr>
                <w:rFonts w:cs="Calibri"/>
                <w:color w:val="000000" w:themeColor="text1"/>
              </w:rPr>
              <w:t>early warning system</w:t>
            </w:r>
          </w:p>
          <w:p w14:paraId="1BB0BF24" w14:textId="77777777" w:rsidR="009760AA" w:rsidRPr="00173B5E" w:rsidRDefault="009760AA" w:rsidP="00E31338">
            <w:pPr>
              <w:numPr>
                <w:ilvl w:val="0"/>
                <w:numId w:val="12"/>
              </w:numPr>
              <w:spacing w:after="0"/>
              <w:jc w:val="both"/>
              <w:rPr>
                <w:rFonts w:cs="Calibri"/>
                <w:color w:val="000000" w:themeColor="text1"/>
              </w:rPr>
            </w:pPr>
            <w:r w:rsidRPr="00173B5E">
              <w:rPr>
                <w:rFonts w:cs="Calibri"/>
                <w:color w:val="000000" w:themeColor="text1"/>
              </w:rPr>
              <w:t>An effective and efficient justice system at local level.</w:t>
            </w:r>
          </w:p>
          <w:p w14:paraId="66A188AA" w14:textId="77777777" w:rsidR="009760AA" w:rsidRPr="00173B5E" w:rsidRDefault="009760AA" w:rsidP="00E31338">
            <w:pPr>
              <w:numPr>
                <w:ilvl w:val="0"/>
                <w:numId w:val="12"/>
              </w:numPr>
              <w:spacing w:after="0"/>
              <w:jc w:val="both"/>
              <w:rPr>
                <w:rFonts w:cs="Calibri"/>
                <w:color w:val="000000" w:themeColor="text1"/>
              </w:rPr>
            </w:pPr>
            <w:r w:rsidRPr="00173B5E">
              <w:rPr>
                <w:rFonts w:cs="Calibri"/>
                <w:color w:val="000000" w:themeColor="text1"/>
              </w:rPr>
              <w:t>Collaborative efforts in combating crime such as developing the capacity of ward committees, financial committees and policing forums.</w:t>
            </w:r>
          </w:p>
          <w:p w14:paraId="5E04D1A0" w14:textId="77777777" w:rsidR="009760AA" w:rsidRPr="00173B5E" w:rsidRDefault="009760AA" w:rsidP="00E31338">
            <w:pPr>
              <w:numPr>
                <w:ilvl w:val="0"/>
                <w:numId w:val="12"/>
              </w:numPr>
              <w:spacing w:after="0"/>
              <w:jc w:val="both"/>
              <w:rPr>
                <w:rFonts w:cs="Calibri"/>
                <w:color w:val="000000" w:themeColor="text1"/>
              </w:rPr>
            </w:pPr>
            <w:r w:rsidRPr="00173B5E">
              <w:rPr>
                <w:rFonts w:cs="Calibri"/>
                <w:color w:val="000000" w:themeColor="text1"/>
              </w:rPr>
              <w:t>Transparent procurement system.</w:t>
            </w:r>
          </w:p>
        </w:tc>
      </w:tr>
      <w:tr w:rsidR="009760AA" w:rsidRPr="00173B5E" w14:paraId="6AEF3B33" w14:textId="77777777" w:rsidTr="000A2E48">
        <w:tc>
          <w:tcPr>
            <w:tcW w:w="1668" w:type="dxa"/>
          </w:tcPr>
          <w:p w14:paraId="3F1068DC" w14:textId="77777777" w:rsidR="009760AA" w:rsidRPr="00173B5E" w:rsidRDefault="009760AA" w:rsidP="00395313">
            <w:pPr>
              <w:jc w:val="both"/>
              <w:rPr>
                <w:rFonts w:cs="Calibri"/>
                <w:b/>
                <w:color w:val="000000" w:themeColor="text1"/>
              </w:rPr>
            </w:pPr>
            <w:r w:rsidRPr="00173B5E">
              <w:rPr>
                <w:rFonts w:cs="Calibri"/>
                <w:b/>
                <w:color w:val="000000" w:themeColor="text1"/>
              </w:rPr>
              <w:t>Operational risks</w:t>
            </w:r>
          </w:p>
          <w:p w14:paraId="73938946" w14:textId="77777777" w:rsidR="009760AA" w:rsidRPr="00173B5E" w:rsidRDefault="009760AA" w:rsidP="00395313">
            <w:pPr>
              <w:jc w:val="both"/>
              <w:rPr>
                <w:rFonts w:cs="Calibri"/>
                <w:b/>
                <w:color w:val="000000" w:themeColor="text1"/>
              </w:rPr>
            </w:pPr>
          </w:p>
          <w:p w14:paraId="7E063BF6" w14:textId="77777777" w:rsidR="009760AA" w:rsidRPr="00173B5E" w:rsidRDefault="009760AA" w:rsidP="00395313">
            <w:pPr>
              <w:jc w:val="both"/>
              <w:rPr>
                <w:rFonts w:cs="Calibri"/>
                <w:b/>
                <w:color w:val="000000" w:themeColor="text1"/>
              </w:rPr>
            </w:pPr>
            <w:r w:rsidRPr="00173B5E">
              <w:rPr>
                <w:rFonts w:cs="Calibri"/>
                <w:b/>
                <w:color w:val="000000" w:themeColor="text1"/>
              </w:rPr>
              <w:t>Failures of operational effectiveness or service delivery in municipal operations due to inadequate internal processes or ineffective response to external challenges.</w:t>
            </w:r>
          </w:p>
        </w:tc>
        <w:tc>
          <w:tcPr>
            <w:tcW w:w="3402" w:type="dxa"/>
          </w:tcPr>
          <w:p w14:paraId="50373E2F" w14:textId="77777777" w:rsidR="009760AA" w:rsidRPr="00173B5E" w:rsidRDefault="009760AA" w:rsidP="00E31338">
            <w:pPr>
              <w:numPr>
                <w:ilvl w:val="0"/>
                <w:numId w:val="5"/>
              </w:numPr>
              <w:spacing w:after="0"/>
              <w:jc w:val="both"/>
              <w:rPr>
                <w:rFonts w:cs="Calibri"/>
                <w:color w:val="000000" w:themeColor="text1"/>
              </w:rPr>
            </w:pPr>
            <w:r w:rsidRPr="00173B5E">
              <w:rPr>
                <w:rFonts w:cs="Calibri"/>
                <w:color w:val="000000" w:themeColor="text1"/>
              </w:rPr>
              <w:t>Poor performance in       critical KPA.</w:t>
            </w:r>
          </w:p>
          <w:p w14:paraId="7259679D" w14:textId="77777777" w:rsidR="009760AA" w:rsidRPr="00173B5E" w:rsidRDefault="009760AA" w:rsidP="00E31338">
            <w:pPr>
              <w:numPr>
                <w:ilvl w:val="0"/>
                <w:numId w:val="5"/>
              </w:numPr>
              <w:spacing w:after="0"/>
              <w:jc w:val="both"/>
              <w:rPr>
                <w:rFonts w:cs="Calibri"/>
                <w:color w:val="000000" w:themeColor="text1"/>
              </w:rPr>
            </w:pPr>
            <w:r w:rsidRPr="00173B5E">
              <w:rPr>
                <w:rFonts w:cs="Calibri"/>
                <w:color w:val="000000" w:themeColor="text1"/>
              </w:rPr>
              <w:t>Dissatisfaction of residents with service delivery which might lead to protests and even violence.</w:t>
            </w:r>
          </w:p>
          <w:p w14:paraId="6AE8EA5E" w14:textId="77777777" w:rsidR="009760AA" w:rsidRPr="00173B5E" w:rsidRDefault="00703CE6" w:rsidP="00E31338">
            <w:pPr>
              <w:numPr>
                <w:ilvl w:val="0"/>
                <w:numId w:val="5"/>
              </w:numPr>
              <w:spacing w:after="0"/>
              <w:jc w:val="both"/>
              <w:rPr>
                <w:rFonts w:cs="Calibri"/>
                <w:color w:val="000000" w:themeColor="text1"/>
              </w:rPr>
            </w:pPr>
            <w:r w:rsidRPr="00173B5E">
              <w:rPr>
                <w:rFonts w:cs="Calibri"/>
                <w:color w:val="000000" w:themeColor="text1"/>
              </w:rPr>
              <w:t>Councilors</w:t>
            </w:r>
            <w:r w:rsidR="009760AA" w:rsidRPr="00173B5E">
              <w:rPr>
                <w:rFonts w:cs="Calibri"/>
                <w:color w:val="000000" w:themeColor="text1"/>
              </w:rPr>
              <w:t xml:space="preserve"> who are not accountable.</w:t>
            </w:r>
          </w:p>
          <w:p w14:paraId="04740D91" w14:textId="77777777" w:rsidR="009760AA" w:rsidRPr="00173B5E" w:rsidRDefault="009760AA" w:rsidP="00E31338">
            <w:pPr>
              <w:numPr>
                <w:ilvl w:val="0"/>
                <w:numId w:val="5"/>
              </w:numPr>
              <w:spacing w:after="0"/>
              <w:jc w:val="both"/>
              <w:rPr>
                <w:rFonts w:cs="Calibri"/>
                <w:color w:val="000000" w:themeColor="text1"/>
              </w:rPr>
            </w:pPr>
            <w:r w:rsidRPr="00173B5E">
              <w:rPr>
                <w:rFonts w:cs="Calibri"/>
                <w:color w:val="000000" w:themeColor="text1"/>
              </w:rPr>
              <w:t>Not adhering to the Batho Pele principles</w:t>
            </w:r>
          </w:p>
          <w:p w14:paraId="73391910" w14:textId="77777777" w:rsidR="009760AA" w:rsidRPr="00173B5E" w:rsidRDefault="009760AA" w:rsidP="00E31338">
            <w:pPr>
              <w:numPr>
                <w:ilvl w:val="0"/>
                <w:numId w:val="5"/>
              </w:numPr>
              <w:spacing w:after="0"/>
              <w:jc w:val="both"/>
              <w:rPr>
                <w:rFonts w:cs="Calibri"/>
                <w:color w:val="000000" w:themeColor="text1"/>
              </w:rPr>
            </w:pPr>
            <w:r w:rsidRPr="00173B5E">
              <w:rPr>
                <w:rFonts w:cs="Calibri"/>
                <w:color w:val="000000" w:themeColor="text1"/>
              </w:rPr>
              <w:t>No clear roles and functions of municipal stakeholders.</w:t>
            </w:r>
          </w:p>
          <w:p w14:paraId="70836D27" w14:textId="77777777" w:rsidR="009760AA" w:rsidRPr="00173B5E" w:rsidRDefault="009760AA" w:rsidP="00E31338">
            <w:pPr>
              <w:numPr>
                <w:ilvl w:val="0"/>
                <w:numId w:val="5"/>
              </w:numPr>
              <w:spacing w:after="0"/>
              <w:jc w:val="both"/>
              <w:rPr>
                <w:rFonts w:cs="Calibri"/>
                <w:color w:val="000000" w:themeColor="text1"/>
              </w:rPr>
            </w:pPr>
            <w:r w:rsidRPr="00173B5E">
              <w:rPr>
                <w:rFonts w:cs="Calibri"/>
                <w:color w:val="000000" w:themeColor="text1"/>
              </w:rPr>
              <w:t>Political interference in service delivery.</w:t>
            </w:r>
          </w:p>
          <w:p w14:paraId="7CFF5232" w14:textId="77777777" w:rsidR="009760AA" w:rsidRPr="00173B5E" w:rsidRDefault="009760AA" w:rsidP="00E31338">
            <w:pPr>
              <w:numPr>
                <w:ilvl w:val="0"/>
                <w:numId w:val="5"/>
              </w:numPr>
              <w:spacing w:after="0"/>
              <w:jc w:val="both"/>
              <w:rPr>
                <w:rFonts w:cs="Calibri"/>
                <w:color w:val="000000" w:themeColor="text1"/>
              </w:rPr>
            </w:pPr>
            <w:r w:rsidRPr="00173B5E">
              <w:rPr>
                <w:rFonts w:cs="Calibri"/>
                <w:color w:val="000000" w:themeColor="text1"/>
              </w:rPr>
              <w:t xml:space="preserve">lack of cooperation between the municipality and other spheres of government including the </w:t>
            </w:r>
            <w:r w:rsidR="003C03FA">
              <w:rPr>
                <w:rFonts w:cs="Calibri"/>
                <w:color w:val="000000" w:themeColor="text1"/>
              </w:rPr>
              <w:t>District</w:t>
            </w:r>
            <w:r w:rsidRPr="00173B5E">
              <w:rPr>
                <w:rFonts w:cs="Calibri"/>
                <w:color w:val="000000" w:themeColor="text1"/>
              </w:rPr>
              <w:t xml:space="preserve"> Municipality</w:t>
            </w:r>
          </w:p>
          <w:p w14:paraId="6A01510E" w14:textId="77777777" w:rsidR="009760AA" w:rsidRPr="00173B5E" w:rsidRDefault="009760AA" w:rsidP="00395313">
            <w:pPr>
              <w:jc w:val="both"/>
              <w:rPr>
                <w:rFonts w:cs="Calibri"/>
                <w:color w:val="000000" w:themeColor="text1"/>
              </w:rPr>
            </w:pPr>
          </w:p>
        </w:tc>
        <w:tc>
          <w:tcPr>
            <w:tcW w:w="4677" w:type="dxa"/>
          </w:tcPr>
          <w:p w14:paraId="4F8F80E5" w14:textId="77777777" w:rsidR="009760AA" w:rsidRPr="00173B5E" w:rsidRDefault="009760AA" w:rsidP="00E31338">
            <w:pPr>
              <w:numPr>
                <w:ilvl w:val="0"/>
                <w:numId w:val="9"/>
              </w:numPr>
              <w:spacing w:after="0"/>
              <w:jc w:val="both"/>
              <w:rPr>
                <w:rFonts w:cs="Calibri"/>
                <w:color w:val="000000" w:themeColor="text1"/>
              </w:rPr>
            </w:pPr>
            <w:r w:rsidRPr="00173B5E">
              <w:rPr>
                <w:rFonts w:cs="Calibri"/>
                <w:color w:val="000000" w:themeColor="text1"/>
              </w:rPr>
              <w:t xml:space="preserve"> Application and monitoring of performance managements systems within the municipality.</w:t>
            </w:r>
          </w:p>
          <w:p w14:paraId="4F509FDE" w14:textId="77777777" w:rsidR="009760AA" w:rsidRPr="00173B5E" w:rsidRDefault="009760AA" w:rsidP="00E31338">
            <w:pPr>
              <w:numPr>
                <w:ilvl w:val="0"/>
                <w:numId w:val="9"/>
              </w:numPr>
              <w:spacing w:after="0"/>
              <w:jc w:val="both"/>
              <w:rPr>
                <w:rFonts w:cs="Calibri"/>
                <w:color w:val="000000" w:themeColor="text1"/>
              </w:rPr>
            </w:pPr>
            <w:r w:rsidRPr="00173B5E">
              <w:rPr>
                <w:rFonts w:cs="Calibri"/>
                <w:color w:val="000000" w:themeColor="text1"/>
              </w:rPr>
              <w:t>Development of mechanisms and systems of involving the community in matters of governance and decision making at local level such as ward committees, project committees.</w:t>
            </w:r>
          </w:p>
          <w:p w14:paraId="6311D6D9" w14:textId="77777777" w:rsidR="009760AA" w:rsidRPr="00173B5E" w:rsidRDefault="009760AA" w:rsidP="00E31338">
            <w:pPr>
              <w:numPr>
                <w:ilvl w:val="0"/>
                <w:numId w:val="9"/>
              </w:numPr>
              <w:spacing w:after="0"/>
              <w:jc w:val="both"/>
              <w:rPr>
                <w:rFonts w:cs="Calibri"/>
                <w:color w:val="000000" w:themeColor="text1"/>
              </w:rPr>
            </w:pPr>
            <w:r w:rsidRPr="00173B5E">
              <w:rPr>
                <w:rFonts w:cs="Calibri"/>
                <w:color w:val="000000" w:themeColor="text1"/>
              </w:rPr>
              <w:t xml:space="preserve"> Communication internally and externally improved.</w:t>
            </w:r>
          </w:p>
          <w:p w14:paraId="3E6C1C72" w14:textId="77777777" w:rsidR="009760AA" w:rsidRPr="00173B5E" w:rsidRDefault="009760AA" w:rsidP="00E31338">
            <w:pPr>
              <w:numPr>
                <w:ilvl w:val="0"/>
                <w:numId w:val="9"/>
              </w:numPr>
              <w:spacing w:after="0"/>
              <w:jc w:val="both"/>
              <w:rPr>
                <w:rFonts w:cs="Calibri"/>
                <w:color w:val="000000" w:themeColor="text1"/>
              </w:rPr>
            </w:pPr>
            <w:r w:rsidRPr="00173B5E">
              <w:rPr>
                <w:rFonts w:cs="Calibri"/>
                <w:color w:val="000000" w:themeColor="text1"/>
              </w:rPr>
              <w:t xml:space="preserve"> Capacity building regarding roles, function, and responsibility of each municipal stakeholder.</w:t>
            </w:r>
          </w:p>
          <w:p w14:paraId="548C248B" w14:textId="77777777" w:rsidR="009760AA" w:rsidRPr="00173B5E" w:rsidRDefault="009760AA" w:rsidP="00E31338">
            <w:pPr>
              <w:numPr>
                <w:ilvl w:val="0"/>
                <w:numId w:val="9"/>
              </w:numPr>
              <w:spacing w:after="0"/>
              <w:jc w:val="both"/>
              <w:rPr>
                <w:rFonts w:cs="Calibri"/>
                <w:color w:val="000000" w:themeColor="text1"/>
              </w:rPr>
            </w:pPr>
            <w:r w:rsidRPr="00173B5E">
              <w:rPr>
                <w:rFonts w:cs="Calibri"/>
                <w:color w:val="000000" w:themeColor="text1"/>
              </w:rPr>
              <w:t xml:space="preserve"> </w:t>
            </w:r>
            <w:r w:rsidR="003F34D3" w:rsidRPr="00173B5E">
              <w:rPr>
                <w:rFonts w:cs="Calibri"/>
                <w:color w:val="000000" w:themeColor="text1"/>
              </w:rPr>
              <w:t>Enforce adherence to the code of conduct by both councilors</w:t>
            </w:r>
            <w:r w:rsidR="003F34D3">
              <w:rPr>
                <w:rFonts w:cs="Calibri"/>
                <w:color w:val="000000" w:themeColor="text1"/>
              </w:rPr>
              <w:t xml:space="preserve"> and</w:t>
            </w:r>
            <w:r w:rsidR="003F34D3" w:rsidRPr="00173B5E">
              <w:rPr>
                <w:rFonts w:cs="Calibri"/>
                <w:color w:val="000000" w:themeColor="text1"/>
              </w:rPr>
              <w:t xml:space="preserve"> officials.</w:t>
            </w:r>
          </w:p>
          <w:p w14:paraId="1F62CE40" w14:textId="77777777" w:rsidR="009760AA" w:rsidRPr="00173B5E" w:rsidRDefault="009760AA" w:rsidP="00E31338">
            <w:pPr>
              <w:numPr>
                <w:ilvl w:val="0"/>
                <w:numId w:val="9"/>
              </w:numPr>
              <w:spacing w:after="0"/>
              <w:jc w:val="both"/>
              <w:rPr>
                <w:rFonts w:cs="Calibri"/>
                <w:color w:val="000000" w:themeColor="text1"/>
              </w:rPr>
            </w:pPr>
            <w:r w:rsidRPr="00173B5E">
              <w:rPr>
                <w:rFonts w:cs="Calibri"/>
                <w:color w:val="000000" w:themeColor="text1"/>
              </w:rPr>
              <w:t>Making the IDP development and the budgeting processes a community driven process.</w:t>
            </w:r>
          </w:p>
          <w:p w14:paraId="2C8F3A5A" w14:textId="77777777" w:rsidR="009760AA" w:rsidRPr="00173B5E" w:rsidRDefault="009760AA" w:rsidP="00E31338">
            <w:pPr>
              <w:numPr>
                <w:ilvl w:val="0"/>
                <w:numId w:val="9"/>
              </w:numPr>
              <w:spacing w:after="0"/>
              <w:jc w:val="both"/>
              <w:rPr>
                <w:rFonts w:cs="Calibri"/>
                <w:color w:val="000000" w:themeColor="text1"/>
              </w:rPr>
            </w:pPr>
            <w:r w:rsidRPr="00173B5E">
              <w:rPr>
                <w:rFonts w:cs="Calibri"/>
                <w:color w:val="000000" w:themeColor="text1"/>
              </w:rPr>
              <w:t>Improve intergovernmental relations.</w:t>
            </w:r>
          </w:p>
          <w:p w14:paraId="0DBE6504" w14:textId="77777777" w:rsidR="009760AA" w:rsidRPr="00173B5E" w:rsidRDefault="009760AA" w:rsidP="00E31338">
            <w:pPr>
              <w:numPr>
                <w:ilvl w:val="0"/>
                <w:numId w:val="9"/>
              </w:numPr>
              <w:spacing w:after="0"/>
              <w:jc w:val="both"/>
              <w:rPr>
                <w:rFonts w:cs="Calibri"/>
                <w:color w:val="000000" w:themeColor="text1"/>
              </w:rPr>
            </w:pPr>
            <w:r w:rsidRPr="00173B5E">
              <w:rPr>
                <w:rFonts w:cs="Calibri"/>
                <w:color w:val="000000" w:themeColor="text1"/>
              </w:rPr>
              <w:t>Adherence to the Municipal Financial management systems and sound financial practices.</w:t>
            </w:r>
          </w:p>
          <w:p w14:paraId="5C360785" w14:textId="77777777" w:rsidR="009760AA" w:rsidRPr="00173B5E" w:rsidRDefault="009760AA" w:rsidP="00E31338">
            <w:pPr>
              <w:numPr>
                <w:ilvl w:val="0"/>
                <w:numId w:val="9"/>
              </w:numPr>
              <w:spacing w:after="0"/>
              <w:jc w:val="both"/>
              <w:rPr>
                <w:rFonts w:cs="Calibri"/>
                <w:color w:val="000000" w:themeColor="text1"/>
              </w:rPr>
            </w:pPr>
            <w:r w:rsidRPr="00173B5E">
              <w:rPr>
                <w:rFonts w:cs="Calibri"/>
                <w:color w:val="000000" w:themeColor="text1"/>
              </w:rPr>
              <w:t>Good governance principles such as accountability and transparency, openness, responsiveness and so on</w:t>
            </w:r>
          </w:p>
          <w:p w14:paraId="1FCB5495" w14:textId="77777777" w:rsidR="009760AA" w:rsidRPr="00173B5E" w:rsidRDefault="009760AA" w:rsidP="00E31338">
            <w:pPr>
              <w:numPr>
                <w:ilvl w:val="0"/>
                <w:numId w:val="9"/>
              </w:numPr>
              <w:spacing w:after="0"/>
              <w:jc w:val="both"/>
              <w:rPr>
                <w:rFonts w:cs="Calibri"/>
                <w:color w:val="000000" w:themeColor="text1"/>
              </w:rPr>
            </w:pPr>
            <w:r w:rsidRPr="00173B5E">
              <w:rPr>
                <w:rFonts w:cs="Calibri"/>
                <w:color w:val="000000" w:themeColor="text1"/>
              </w:rPr>
              <w:t>Informing the public about what quality and standard of service to expect.</w:t>
            </w:r>
          </w:p>
          <w:p w14:paraId="567894BF" w14:textId="77777777" w:rsidR="009760AA" w:rsidRPr="00173B5E" w:rsidRDefault="009760AA" w:rsidP="00E31338">
            <w:pPr>
              <w:numPr>
                <w:ilvl w:val="0"/>
                <w:numId w:val="9"/>
              </w:numPr>
              <w:spacing w:after="0"/>
              <w:jc w:val="both"/>
              <w:rPr>
                <w:rFonts w:cs="Calibri"/>
                <w:color w:val="000000" w:themeColor="text1"/>
              </w:rPr>
            </w:pPr>
            <w:r w:rsidRPr="00173B5E">
              <w:rPr>
                <w:rFonts w:cs="Calibri"/>
                <w:color w:val="000000" w:themeColor="text1"/>
              </w:rPr>
              <w:t>Ensuring that public meetings to update communities about development are held regularly.</w:t>
            </w:r>
          </w:p>
        </w:tc>
      </w:tr>
      <w:tr w:rsidR="009760AA" w:rsidRPr="00792E30" w14:paraId="4C69487B" w14:textId="77777777" w:rsidTr="000A2E48">
        <w:tc>
          <w:tcPr>
            <w:tcW w:w="1668" w:type="dxa"/>
          </w:tcPr>
          <w:p w14:paraId="76BF0F3B" w14:textId="77777777" w:rsidR="009760AA" w:rsidRPr="001E78B6" w:rsidRDefault="009760AA" w:rsidP="00395313">
            <w:pPr>
              <w:jc w:val="both"/>
              <w:rPr>
                <w:rFonts w:cs="Calibri"/>
                <w:b/>
                <w:color w:val="000000" w:themeColor="text1"/>
              </w:rPr>
            </w:pPr>
            <w:r w:rsidRPr="001E78B6">
              <w:rPr>
                <w:rFonts w:cs="Calibri"/>
                <w:b/>
                <w:color w:val="000000" w:themeColor="text1"/>
              </w:rPr>
              <w:t xml:space="preserve">Project and </w:t>
            </w:r>
            <w:r w:rsidR="003F34D3" w:rsidRPr="001E78B6">
              <w:rPr>
                <w:rFonts w:cs="Calibri"/>
                <w:b/>
                <w:color w:val="000000" w:themeColor="text1"/>
              </w:rPr>
              <w:t>program</w:t>
            </w:r>
            <w:r w:rsidRPr="001E78B6">
              <w:rPr>
                <w:rFonts w:cs="Calibri"/>
                <w:b/>
                <w:color w:val="000000" w:themeColor="text1"/>
              </w:rPr>
              <w:t xml:space="preserve"> risks</w:t>
            </w:r>
          </w:p>
          <w:p w14:paraId="1AB84671" w14:textId="77777777" w:rsidR="009760AA" w:rsidRPr="001E78B6" w:rsidRDefault="009760AA" w:rsidP="00395313">
            <w:pPr>
              <w:jc w:val="both"/>
              <w:rPr>
                <w:rFonts w:cs="Calibri"/>
                <w:b/>
                <w:color w:val="000000" w:themeColor="text1"/>
              </w:rPr>
            </w:pPr>
          </w:p>
          <w:p w14:paraId="2A732835" w14:textId="77777777" w:rsidR="009760AA" w:rsidRPr="001E78B6" w:rsidRDefault="009760AA" w:rsidP="00395313">
            <w:pPr>
              <w:jc w:val="both"/>
              <w:rPr>
                <w:rFonts w:cs="Calibri"/>
                <w:b/>
                <w:color w:val="000000" w:themeColor="text1"/>
              </w:rPr>
            </w:pPr>
            <w:r w:rsidRPr="001E78B6">
              <w:rPr>
                <w:rFonts w:cs="Calibri"/>
                <w:b/>
                <w:color w:val="000000" w:themeColor="text1"/>
              </w:rPr>
              <w:t>Risk within specific projects, involving technology, human behavior and external threats.</w:t>
            </w:r>
          </w:p>
          <w:p w14:paraId="1EDA33DA" w14:textId="77777777" w:rsidR="009760AA" w:rsidRPr="001E78B6" w:rsidRDefault="009760AA" w:rsidP="00395313">
            <w:pPr>
              <w:jc w:val="both"/>
              <w:rPr>
                <w:rFonts w:cs="Calibri"/>
                <w:color w:val="000000" w:themeColor="text1"/>
              </w:rPr>
            </w:pPr>
          </w:p>
        </w:tc>
        <w:tc>
          <w:tcPr>
            <w:tcW w:w="3402" w:type="dxa"/>
          </w:tcPr>
          <w:p w14:paraId="3403E752" w14:textId="77777777" w:rsidR="009760AA" w:rsidRPr="001E78B6" w:rsidRDefault="009760AA" w:rsidP="00E31338">
            <w:pPr>
              <w:numPr>
                <w:ilvl w:val="0"/>
                <w:numId w:val="6"/>
              </w:numPr>
              <w:spacing w:after="0"/>
              <w:jc w:val="both"/>
              <w:rPr>
                <w:rFonts w:cs="Calibri"/>
                <w:color w:val="000000" w:themeColor="text1"/>
              </w:rPr>
            </w:pPr>
            <w:r w:rsidRPr="001E78B6">
              <w:rPr>
                <w:rFonts w:cs="Calibri"/>
                <w:color w:val="000000" w:themeColor="text1"/>
              </w:rPr>
              <w:t>Risk of technology failure.</w:t>
            </w:r>
          </w:p>
          <w:p w14:paraId="14CE0650" w14:textId="77777777" w:rsidR="009760AA" w:rsidRPr="001E78B6" w:rsidRDefault="009760AA" w:rsidP="00E31338">
            <w:pPr>
              <w:numPr>
                <w:ilvl w:val="0"/>
                <w:numId w:val="6"/>
              </w:numPr>
              <w:spacing w:after="0"/>
              <w:jc w:val="both"/>
              <w:rPr>
                <w:rFonts w:cs="Calibri"/>
                <w:color w:val="000000" w:themeColor="text1"/>
              </w:rPr>
            </w:pPr>
            <w:r w:rsidRPr="001E78B6">
              <w:rPr>
                <w:rFonts w:cs="Calibri"/>
                <w:color w:val="000000" w:themeColor="text1"/>
              </w:rPr>
              <w:t xml:space="preserve"> Strikes</w:t>
            </w:r>
          </w:p>
          <w:p w14:paraId="3ED4F684" w14:textId="77777777" w:rsidR="009760AA" w:rsidRPr="001E78B6" w:rsidRDefault="009760AA" w:rsidP="00E31338">
            <w:pPr>
              <w:numPr>
                <w:ilvl w:val="0"/>
                <w:numId w:val="6"/>
              </w:numPr>
              <w:spacing w:after="0"/>
              <w:jc w:val="both"/>
              <w:rPr>
                <w:rFonts w:cs="Calibri"/>
                <w:color w:val="000000" w:themeColor="text1"/>
              </w:rPr>
            </w:pPr>
            <w:r w:rsidRPr="001E78B6">
              <w:rPr>
                <w:rFonts w:cs="Calibri"/>
                <w:color w:val="000000" w:themeColor="text1"/>
              </w:rPr>
              <w:t xml:space="preserve"> Project personnel that does not have appropriate skills to deliver.</w:t>
            </w:r>
          </w:p>
          <w:p w14:paraId="0B01FC6D" w14:textId="77777777" w:rsidR="009760AA" w:rsidRPr="001E78B6" w:rsidRDefault="009760AA" w:rsidP="00E31338">
            <w:pPr>
              <w:numPr>
                <w:ilvl w:val="0"/>
                <w:numId w:val="6"/>
              </w:numPr>
              <w:spacing w:after="0"/>
              <w:jc w:val="both"/>
              <w:rPr>
                <w:rFonts w:cs="Calibri"/>
                <w:color w:val="000000" w:themeColor="text1"/>
              </w:rPr>
            </w:pPr>
            <w:r w:rsidRPr="001E78B6">
              <w:rPr>
                <w:rFonts w:cs="Calibri"/>
                <w:color w:val="000000" w:themeColor="text1"/>
              </w:rPr>
              <w:t>Failure to complete the project</w:t>
            </w:r>
          </w:p>
          <w:p w14:paraId="663D863C" w14:textId="77777777" w:rsidR="009760AA" w:rsidRPr="001E78B6" w:rsidRDefault="009760AA" w:rsidP="00E31338">
            <w:pPr>
              <w:numPr>
                <w:ilvl w:val="0"/>
                <w:numId w:val="6"/>
              </w:numPr>
              <w:spacing w:after="0"/>
              <w:jc w:val="both"/>
              <w:rPr>
                <w:rFonts w:cs="Calibri"/>
                <w:color w:val="000000" w:themeColor="text1"/>
              </w:rPr>
            </w:pPr>
            <w:r w:rsidRPr="001E78B6">
              <w:rPr>
                <w:rFonts w:cs="Calibri"/>
                <w:color w:val="000000" w:themeColor="text1"/>
              </w:rPr>
              <w:t>Project is of low standard, and it is difficult to retrieve municipal monies used.</w:t>
            </w:r>
          </w:p>
          <w:p w14:paraId="6153A52E" w14:textId="77777777" w:rsidR="009760AA" w:rsidRPr="001E78B6" w:rsidRDefault="009760AA" w:rsidP="00E31338">
            <w:pPr>
              <w:numPr>
                <w:ilvl w:val="0"/>
                <w:numId w:val="6"/>
              </w:numPr>
              <w:spacing w:after="0"/>
              <w:jc w:val="both"/>
              <w:rPr>
                <w:rFonts w:cs="Calibri"/>
                <w:color w:val="000000" w:themeColor="text1"/>
              </w:rPr>
            </w:pPr>
            <w:r w:rsidRPr="001E78B6">
              <w:rPr>
                <w:rFonts w:cs="Calibri"/>
                <w:color w:val="000000" w:themeColor="text1"/>
              </w:rPr>
              <w:t xml:space="preserve"> The procurement process was not open and transparent.</w:t>
            </w:r>
          </w:p>
          <w:p w14:paraId="60F4B970" w14:textId="77777777" w:rsidR="009760AA" w:rsidRPr="001E78B6" w:rsidRDefault="009760AA" w:rsidP="00E31338">
            <w:pPr>
              <w:numPr>
                <w:ilvl w:val="0"/>
                <w:numId w:val="6"/>
              </w:numPr>
              <w:spacing w:after="0"/>
              <w:jc w:val="both"/>
              <w:rPr>
                <w:rFonts w:cs="Calibri"/>
                <w:color w:val="000000" w:themeColor="text1"/>
              </w:rPr>
            </w:pPr>
            <w:r w:rsidRPr="001E78B6">
              <w:rPr>
                <w:rFonts w:cs="Calibri"/>
                <w:color w:val="000000" w:themeColor="text1"/>
              </w:rPr>
              <w:t>There is no buy in or ownership of the project by the community.</w:t>
            </w:r>
          </w:p>
          <w:p w14:paraId="277AF4D3" w14:textId="77777777" w:rsidR="009760AA" w:rsidRPr="001E78B6" w:rsidRDefault="009760AA" w:rsidP="00E31338">
            <w:pPr>
              <w:numPr>
                <w:ilvl w:val="0"/>
                <w:numId w:val="6"/>
              </w:numPr>
              <w:spacing w:after="0"/>
              <w:jc w:val="both"/>
              <w:rPr>
                <w:rFonts w:cs="Calibri"/>
                <w:color w:val="000000" w:themeColor="text1"/>
              </w:rPr>
            </w:pPr>
            <w:r w:rsidRPr="001E78B6">
              <w:rPr>
                <w:rFonts w:cs="Calibri"/>
                <w:color w:val="000000" w:themeColor="text1"/>
              </w:rPr>
              <w:t>The project is not based on the real needs of the people, and thus does not address the real needs of the people.</w:t>
            </w:r>
          </w:p>
          <w:p w14:paraId="330F1526" w14:textId="77777777" w:rsidR="009760AA" w:rsidRPr="001E78B6" w:rsidRDefault="009760AA" w:rsidP="00E31338">
            <w:pPr>
              <w:numPr>
                <w:ilvl w:val="0"/>
                <w:numId w:val="6"/>
              </w:numPr>
              <w:spacing w:after="0"/>
              <w:jc w:val="both"/>
              <w:rPr>
                <w:rFonts w:cs="Calibri"/>
                <w:color w:val="000000" w:themeColor="text1"/>
              </w:rPr>
            </w:pPr>
            <w:r w:rsidRPr="001E78B6">
              <w:rPr>
                <w:rFonts w:cs="Calibri"/>
                <w:color w:val="000000" w:themeColor="text1"/>
              </w:rPr>
              <w:t>Lack of cooperation and good working relationship between the municipality and different government departments.</w:t>
            </w:r>
          </w:p>
          <w:p w14:paraId="64AB2C1E" w14:textId="77777777" w:rsidR="009760AA" w:rsidRPr="001E78B6" w:rsidRDefault="009760AA" w:rsidP="00E31338">
            <w:pPr>
              <w:numPr>
                <w:ilvl w:val="0"/>
                <w:numId w:val="6"/>
              </w:numPr>
              <w:spacing w:after="0"/>
              <w:jc w:val="both"/>
              <w:rPr>
                <w:rFonts w:cs="Calibri"/>
                <w:color w:val="000000" w:themeColor="text1"/>
              </w:rPr>
            </w:pPr>
            <w:r w:rsidRPr="001E78B6">
              <w:rPr>
                <w:rFonts w:cs="Calibri"/>
                <w:color w:val="000000" w:themeColor="text1"/>
              </w:rPr>
              <w:t>Budgetary constraints</w:t>
            </w:r>
          </w:p>
          <w:p w14:paraId="15C86885" w14:textId="77777777" w:rsidR="009760AA" w:rsidRPr="001E78B6" w:rsidRDefault="009760AA" w:rsidP="00E31338">
            <w:pPr>
              <w:numPr>
                <w:ilvl w:val="0"/>
                <w:numId w:val="6"/>
              </w:numPr>
              <w:spacing w:after="0"/>
              <w:jc w:val="both"/>
              <w:rPr>
                <w:rFonts w:cs="Calibri"/>
                <w:color w:val="000000" w:themeColor="text1"/>
              </w:rPr>
            </w:pPr>
            <w:r w:rsidRPr="001E78B6">
              <w:rPr>
                <w:rFonts w:cs="Calibri"/>
                <w:color w:val="000000" w:themeColor="text1"/>
              </w:rPr>
              <w:t>The project is not aligned to the IDP</w:t>
            </w:r>
          </w:p>
        </w:tc>
        <w:tc>
          <w:tcPr>
            <w:tcW w:w="4677" w:type="dxa"/>
          </w:tcPr>
          <w:p w14:paraId="445E8631" w14:textId="77777777" w:rsidR="009760AA" w:rsidRPr="001E78B6" w:rsidRDefault="009760AA" w:rsidP="00E31338">
            <w:pPr>
              <w:numPr>
                <w:ilvl w:val="0"/>
                <w:numId w:val="10"/>
              </w:numPr>
              <w:spacing w:after="0"/>
              <w:jc w:val="both"/>
              <w:rPr>
                <w:rFonts w:cs="Calibri"/>
                <w:color w:val="000000" w:themeColor="text1"/>
              </w:rPr>
            </w:pPr>
            <w:r w:rsidRPr="001E78B6">
              <w:rPr>
                <w:rFonts w:cs="Calibri"/>
                <w:color w:val="000000" w:themeColor="text1"/>
              </w:rPr>
              <w:t>Effective strategic planning, incorporating internal and external stakeholders.</w:t>
            </w:r>
          </w:p>
          <w:p w14:paraId="794ED166" w14:textId="77777777" w:rsidR="009760AA" w:rsidRPr="001E78B6" w:rsidRDefault="009760AA" w:rsidP="00E31338">
            <w:pPr>
              <w:numPr>
                <w:ilvl w:val="0"/>
                <w:numId w:val="10"/>
              </w:numPr>
              <w:spacing w:after="0"/>
              <w:jc w:val="both"/>
              <w:rPr>
                <w:rFonts w:cs="Calibri"/>
                <w:color w:val="000000" w:themeColor="text1"/>
              </w:rPr>
            </w:pPr>
            <w:r w:rsidRPr="001E78B6">
              <w:rPr>
                <w:rFonts w:cs="Calibri"/>
                <w:color w:val="000000" w:themeColor="text1"/>
              </w:rPr>
              <w:t>Ensuring alignment of the project to the IDP.</w:t>
            </w:r>
          </w:p>
          <w:p w14:paraId="5FC440D2" w14:textId="77777777" w:rsidR="009760AA" w:rsidRPr="001E78B6" w:rsidRDefault="009760AA" w:rsidP="00E31338">
            <w:pPr>
              <w:numPr>
                <w:ilvl w:val="0"/>
                <w:numId w:val="10"/>
              </w:numPr>
              <w:spacing w:after="0"/>
              <w:jc w:val="both"/>
              <w:rPr>
                <w:rFonts w:cs="Calibri"/>
                <w:color w:val="000000" w:themeColor="text1"/>
              </w:rPr>
            </w:pPr>
            <w:r w:rsidRPr="001E78B6">
              <w:rPr>
                <w:rFonts w:cs="Calibri"/>
                <w:color w:val="000000" w:themeColor="text1"/>
              </w:rPr>
              <w:t>Open and transparent procurement system.</w:t>
            </w:r>
          </w:p>
          <w:p w14:paraId="06F7A16B" w14:textId="77777777" w:rsidR="009760AA" w:rsidRPr="001E78B6" w:rsidRDefault="009760AA" w:rsidP="00E31338">
            <w:pPr>
              <w:numPr>
                <w:ilvl w:val="0"/>
                <w:numId w:val="10"/>
              </w:numPr>
              <w:spacing w:after="0"/>
              <w:jc w:val="both"/>
              <w:rPr>
                <w:rFonts w:cs="Calibri"/>
                <w:color w:val="000000" w:themeColor="text1"/>
              </w:rPr>
            </w:pPr>
            <w:r w:rsidRPr="001E78B6">
              <w:rPr>
                <w:rFonts w:cs="Calibri"/>
                <w:color w:val="000000" w:themeColor="text1"/>
              </w:rPr>
              <w:t>Formation of project committees.</w:t>
            </w:r>
          </w:p>
          <w:p w14:paraId="64F83347" w14:textId="77777777" w:rsidR="009760AA" w:rsidRPr="001E78B6" w:rsidRDefault="009760AA" w:rsidP="00E31338">
            <w:pPr>
              <w:numPr>
                <w:ilvl w:val="0"/>
                <w:numId w:val="10"/>
              </w:numPr>
              <w:spacing w:after="0"/>
              <w:jc w:val="both"/>
              <w:rPr>
                <w:rFonts w:cs="Calibri"/>
                <w:color w:val="000000" w:themeColor="text1"/>
              </w:rPr>
            </w:pPr>
            <w:r w:rsidRPr="001E78B6">
              <w:rPr>
                <w:rFonts w:cs="Calibri"/>
                <w:color w:val="000000" w:themeColor="text1"/>
              </w:rPr>
              <w:t>Project steering committees to be well versed with their roles functions and responsibilities.</w:t>
            </w:r>
          </w:p>
          <w:p w14:paraId="20D4077B" w14:textId="77777777" w:rsidR="009760AA" w:rsidRPr="001E78B6" w:rsidRDefault="009760AA" w:rsidP="00E31338">
            <w:pPr>
              <w:numPr>
                <w:ilvl w:val="0"/>
                <w:numId w:val="10"/>
              </w:numPr>
              <w:spacing w:after="0"/>
              <w:jc w:val="both"/>
              <w:rPr>
                <w:rFonts w:cs="Calibri"/>
                <w:color w:val="000000" w:themeColor="text1"/>
              </w:rPr>
            </w:pPr>
            <w:r w:rsidRPr="001E78B6">
              <w:rPr>
                <w:rFonts w:cs="Calibri"/>
                <w:color w:val="000000" w:themeColor="text1"/>
              </w:rPr>
              <w:t>Ensuring that the service provider provides quality service.</w:t>
            </w:r>
          </w:p>
          <w:p w14:paraId="012FC79D" w14:textId="77777777" w:rsidR="009760AA" w:rsidRPr="001E78B6" w:rsidRDefault="009760AA" w:rsidP="00E31338">
            <w:pPr>
              <w:numPr>
                <w:ilvl w:val="0"/>
                <w:numId w:val="10"/>
              </w:numPr>
              <w:spacing w:after="0"/>
              <w:jc w:val="both"/>
              <w:rPr>
                <w:rFonts w:cs="Calibri"/>
                <w:color w:val="000000" w:themeColor="text1"/>
              </w:rPr>
            </w:pPr>
            <w:r w:rsidRPr="001E78B6">
              <w:rPr>
                <w:rFonts w:cs="Calibri"/>
                <w:color w:val="000000" w:themeColor="text1"/>
              </w:rPr>
              <w:t>Proper project budgeting.</w:t>
            </w:r>
          </w:p>
          <w:p w14:paraId="210981EB" w14:textId="77777777" w:rsidR="009760AA" w:rsidRPr="001E78B6" w:rsidRDefault="009760AA" w:rsidP="00E31338">
            <w:pPr>
              <w:numPr>
                <w:ilvl w:val="0"/>
                <w:numId w:val="10"/>
              </w:numPr>
              <w:spacing w:after="0"/>
              <w:jc w:val="both"/>
              <w:rPr>
                <w:rFonts w:cs="Calibri"/>
                <w:color w:val="000000" w:themeColor="text1"/>
              </w:rPr>
            </w:pPr>
            <w:r w:rsidRPr="001E78B6">
              <w:rPr>
                <w:rFonts w:cs="Calibri"/>
                <w:color w:val="000000" w:themeColor="text1"/>
              </w:rPr>
              <w:t>Accountability, transparency, monitoring and constant reporting regard project progress.</w:t>
            </w:r>
          </w:p>
          <w:p w14:paraId="04C9CA79" w14:textId="77777777" w:rsidR="009760AA" w:rsidRPr="001E78B6" w:rsidRDefault="009760AA" w:rsidP="00E31338">
            <w:pPr>
              <w:numPr>
                <w:ilvl w:val="0"/>
                <w:numId w:val="10"/>
              </w:numPr>
              <w:spacing w:after="0"/>
              <w:jc w:val="both"/>
              <w:rPr>
                <w:rFonts w:cs="Calibri"/>
                <w:color w:val="000000" w:themeColor="text1"/>
              </w:rPr>
            </w:pPr>
            <w:r w:rsidRPr="001E78B6">
              <w:rPr>
                <w:rFonts w:cs="Calibri"/>
                <w:color w:val="000000" w:themeColor="text1"/>
              </w:rPr>
              <w:t>Use of local resources.</w:t>
            </w:r>
          </w:p>
        </w:tc>
      </w:tr>
    </w:tbl>
    <w:p w14:paraId="011A43B5" w14:textId="77777777" w:rsidR="00B52275" w:rsidRDefault="00B52275" w:rsidP="00B52275">
      <w:pPr>
        <w:pStyle w:val="Heading4"/>
        <w:rPr>
          <w:rFonts w:ascii="Calibri" w:eastAsiaTheme="minorHAnsi" w:hAnsi="Calibri" w:cs="Calibri"/>
          <w:bCs w:val="0"/>
          <w:iCs w:val="0"/>
          <w:color w:val="000000" w:themeColor="text1"/>
          <w:sz w:val="20"/>
        </w:rPr>
      </w:pPr>
    </w:p>
    <w:p w14:paraId="6689C117" w14:textId="172C3161" w:rsidR="00B52275" w:rsidRDefault="00B52275" w:rsidP="00B52275">
      <w:r w:rsidRPr="00B52275">
        <w:t>The top operational risks identified by the uMlalazi Municipality are as follows:-</w:t>
      </w:r>
    </w:p>
    <w:p w14:paraId="366614EE" w14:textId="226937A3" w:rsidR="00B52275" w:rsidRPr="00B52275" w:rsidRDefault="00B52275" w:rsidP="00B52275">
      <w:pPr>
        <w:pStyle w:val="Caption"/>
      </w:pPr>
      <w:bookmarkStart w:id="574" w:name="_Toc510622387"/>
      <w:r>
        <w:t xml:space="preserve">Figure </w:t>
      </w:r>
      <w:r w:rsidR="00B918A6">
        <w:fldChar w:fldCharType="begin"/>
      </w:r>
      <w:r w:rsidR="00B918A6">
        <w:instrText xml:space="preserve"> SEQ Figure \* ARABIC </w:instrText>
      </w:r>
      <w:r w:rsidR="00B918A6">
        <w:fldChar w:fldCharType="separate"/>
      </w:r>
      <w:r w:rsidR="0067023A">
        <w:rPr>
          <w:noProof/>
        </w:rPr>
        <w:t>27</w:t>
      </w:r>
      <w:r w:rsidR="00B918A6">
        <w:rPr>
          <w:noProof/>
        </w:rPr>
        <w:fldChar w:fldCharType="end"/>
      </w:r>
      <w:r>
        <w:t>: Top 10 Organisational Risks</w:t>
      </w:r>
      <w:bookmarkEnd w:id="574"/>
    </w:p>
    <w:p w14:paraId="1D19D622" w14:textId="43B91037" w:rsidR="00B52275" w:rsidRPr="00B52275" w:rsidRDefault="00B52275" w:rsidP="00B52275">
      <w:r w:rsidRPr="00B52275">
        <w:rPr>
          <w:rFonts w:eastAsia="Times New Roman" w:cs="Times New Roman"/>
          <w:noProof/>
          <w:sz w:val="22"/>
        </w:rPr>
        <w:drawing>
          <wp:inline distT="0" distB="0" distL="0" distR="0" wp14:anchorId="2DAFEA72" wp14:editId="50C1D06F">
            <wp:extent cx="5731510" cy="3126105"/>
            <wp:effectExtent l="0" t="0" r="254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731510" cy="3126105"/>
                    </a:xfrm>
                    <a:prstGeom prst="rect">
                      <a:avLst/>
                    </a:prstGeom>
                  </pic:spPr>
                </pic:pic>
              </a:graphicData>
            </a:graphic>
          </wp:inline>
        </w:drawing>
      </w:r>
    </w:p>
    <w:p w14:paraId="098A8D07" w14:textId="0704FF05" w:rsidR="00B52275" w:rsidRDefault="00B52275" w:rsidP="00750180">
      <w:pPr>
        <w:pStyle w:val="Heading4"/>
        <w:numPr>
          <w:ilvl w:val="3"/>
          <w:numId w:val="127"/>
        </w:numPr>
      </w:pPr>
      <w:r>
        <w:t>Risk Management Committee</w:t>
      </w:r>
    </w:p>
    <w:p w14:paraId="56A31D3E" w14:textId="1EA7CFA6" w:rsidR="007D0F03" w:rsidRDefault="00F27DEC" w:rsidP="00F27DEC">
      <w:pPr>
        <w:spacing w:before="240"/>
        <w:jc w:val="both"/>
        <w:rPr>
          <w:rFonts w:cs="Calibri"/>
          <w:color w:val="000000" w:themeColor="text1"/>
        </w:rPr>
      </w:pPr>
      <w:r>
        <w:t xml:space="preserve">The Municipal RMC comprises of the MM and Senior Managers and they meet quarterly. The senior managers are responsible for monitoring, updating and reviewing the risk register at middle management meetings. The risk register is also submitted to the Audit committee on a quarterly basis for oversight.  </w:t>
      </w:r>
    </w:p>
    <w:p w14:paraId="4AA5C3FE" w14:textId="77777777" w:rsidR="009760AA" w:rsidRPr="00881795" w:rsidRDefault="009760AA" w:rsidP="00750180">
      <w:pPr>
        <w:pStyle w:val="Heading3"/>
        <w:numPr>
          <w:ilvl w:val="2"/>
          <w:numId w:val="127"/>
        </w:numPr>
        <w:spacing w:after="240"/>
      </w:pPr>
      <w:bookmarkStart w:id="575" w:name="_Toc389740074"/>
      <w:bookmarkStart w:id="576" w:name="_Toc510706665"/>
      <w:r w:rsidRPr="00881795">
        <w:t>Fraud &amp; Corruption</w:t>
      </w:r>
      <w:bookmarkEnd w:id="575"/>
      <w:bookmarkEnd w:id="576"/>
    </w:p>
    <w:p w14:paraId="545CB366" w14:textId="77777777" w:rsidR="009760AA" w:rsidRPr="00881795" w:rsidRDefault="009760AA" w:rsidP="00395313">
      <w:pPr>
        <w:jc w:val="both"/>
        <w:rPr>
          <w:rFonts w:cs="Calibri"/>
          <w:color w:val="000000" w:themeColor="text1"/>
        </w:rPr>
      </w:pPr>
      <w:r w:rsidRPr="00881795">
        <w:rPr>
          <w:rFonts w:cs="Calibri"/>
          <w:color w:val="000000" w:themeColor="text1"/>
        </w:rPr>
        <w:t>The uMlalazi Municipality has adopted an Anti-Corruption / Fraud Prevention Plan, with the following aims:</w:t>
      </w:r>
    </w:p>
    <w:p w14:paraId="035B3EE1" w14:textId="77777777" w:rsidR="009760AA" w:rsidRPr="00881795" w:rsidRDefault="009760AA" w:rsidP="00E31338">
      <w:pPr>
        <w:pStyle w:val="ListParagraph"/>
        <w:numPr>
          <w:ilvl w:val="0"/>
          <w:numId w:val="1"/>
        </w:numPr>
        <w:spacing w:line="288" w:lineRule="auto"/>
        <w:jc w:val="both"/>
        <w:rPr>
          <w:szCs w:val="20"/>
        </w:rPr>
      </w:pPr>
      <w:r w:rsidRPr="00881795">
        <w:rPr>
          <w:szCs w:val="20"/>
        </w:rPr>
        <w:t>Enhance public confidence in the municipality,</w:t>
      </w:r>
    </w:p>
    <w:p w14:paraId="5E87E3A7" w14:textId="77777777" w:rsidR="009760AA" w:rsidRPr="00881795" w:rsidRDefault="009760AA" w:rsidP="00E31338">
      <w:pPr>
        <w:pStyle w:val="ListParagraph"/>
        <w:numPr>
          <w:ilvl w:val="0"/>
          <w:numId w:val="1"/>
        </w:numPr>
        <w:spacing w:line="288" w:lineRule="auto"/>
        <w:jc w:val="both"/>
        <w:rPr>
          <w:szCs w:val="20"/>
        </w:rPr>
      </w:pPr>
      <w:r w:rsidRPr="00881795">
        <w:rPr>
          <w:szCs w:val="20"/>
        </w:rPr>
        <w:t>Build and maintain an ethics culture in order to avoid possibilities for conflict of interest well in advance,</w:t>
      </w:r>
    </w:p>
    <w:p w14:paraId="1E355410" w14:textId="77777777" w:rsidR="009760AA" w:rsidRPr="00881795" w:rsidRDefault="009760AA" w:rsidP="00E31338">
      <w:pPr>
        <w:pStyle w:val="ListParagraph"/>
        <w:numPr>
          <w:ilvl w:val="0"/>
          <w:numId w:val="1"/>
        </w:numPr>
        <w:spacing w:line="288" w:lineRule="auto"/>
        <w:jc w:val="both"/>
        <w:rPr>
          <w:szCs w:val="20"/>
        </w:rPr>
      </w:pPr>
      <w:r w:rsidRPr="00881795">
        <w:rPr>
          <w:szCs w:val="20"/>
        </w:rPr>
        <w:t>Strengthen community participation in exposing and reporting corruption,</w:t>
      </w:r>
    </w:p>
    <w:p w14:paraId="7EE6ADD8" w14:textId="77777777" w:rsidR="009760AA" w:rsidRPr="00881795" w:rsidRDefault="009760AA" w:rsidP="00E31338">
      <w:pPr>
        <w:pStyle w:val="ListParagraph"/>
        <w:numPr>
          <w:ilvl w:val="0"/>
          <w:numId w:val="1"/>
        </w:numPr>
        <w:spacing w:line="288" w:lineRule="auto"/>
        <w:jc w:val="both"/>
        <w:rPr>
          <w:szCs w:val="20"/>
        </w:rPr>
      </w:pPr>
      <w:r w:rsidRPr="00881795">
        <w:rPr>
          <w:szCs w:val="20"/>
        </w:rPr>
        <w:t>Create organizational culture of transparency,</w:t>
      </w:r>
    </w:p>
    <w:p w14:paraId="72A834F9" w14:textId="77777777" w:rsidR="009760AA" w:rsidRPr="00881795" w:rsidRDefault="009760AA" w:rsidP="00E31338">
      <w:pPr>
        <w:pStyle w:val="ListParagraph"/>
        <w:numPr>
          <w:ilvl w:val="0"/>
          <w:numId w:val="1"/>
        </w:numPr>
        <w:spacing w:line="288" w:lineRule="auto"/>
        <w:jc w:val="both"/>
        <w:rPr>
          <w:szCs w:val="20"/>
        </w:rPr>
      </w:pPr>
      <w:r w:rsidRPr="00881795">
        <w:rPr>
          <w:szCs w:val="20"/>
        </w:rPr>
        <w:t xml:space="preserve">To encourage </w:t>
      </w:r>
      <w:r w:rsidR="00703CE6" w:rsidRPr="00881795">
        <w:rPr>
          <w:szCs w:val="20"/>
        </w:rPr>
        <w:t>councilors</w:t>
      </w:r>
      <w:r w:rsidRPr="00881795">
        <w:rPr>
          <w:szCs w:val="20"/>
        </w:rPr>
        <w:t xml:space="preserve"> in particular to engage communities in </w:t>
      </w:r>
      <w:r w:rsidR="0060482A" w:rsidRPr="00881795">
        <w:rPr>
          <w:szCs w:val="20"/>
        </w:rPr>
        <w:t>anti-corruption</w:t>
      </w:r>
      <w:r w:rsidRPr="00881795">
        <w:rPr>
          <w:szCs w:val="20"/>
        </w:rPr>
        <w:t xml:space="preserve"> initiative,</w:t>
      </w:r>
    </w:p>
    <w:p w14:paraId="3A0517E3" w14:textId="77777777" w:rsidR="009760AA" w:rsidRPr="00881795" w:rsidRDefault="009760AA" w:rsidP="00E31338">
      <w:pPr>
        <w:pStyle w:val="ListParagraph"/>
        <w:numPr>
          <w:ilvl w:val="0"/>
          <w:numId w:val="1"/>
        </w:numPr>
        <w:spacing w:line="288" w:lineRule="auto"/>
        <w:jc w:val="both"/>
        <w:rPr>
          <w:szCs w:val="20"/>
        </w:rPr>
      </w:pPr>
      <w:r w:rsidRPr="00881795">
        <w:rPr>
          <w:szCs w:val="20"/>
        </w:rPr>
        <w:t>To prevent, detect and investigate fraud and corruption, and take appropriate action in the event of such irregularities,</w:t>
      </w:r>
    </w:p>
    <w:p w14:paraId="70723ACD" w14:textId="77777777" w:rsidR="009760AA" w:rsidRPr="00881795" w:rsidRDefault="009760AA" w:rsidP="00E31338">
      <w:pPr>
        <w:pStyle w:val="ListParagraph"/>
        <w:numPr>
          <w:ilvl w:val="0"/>
          <w:numId w:val="1"/>
        </w:numPr>
        <w:spacing w:line="288" w:lineRule="auto"/>
        <w:jc w:val="both"/>
        <w:rPr>
          <w:szCs w:val="20"/>
        </w:rPr>
      </w:pPr>
      <w:r w:rsidRPr="00881795">
        <w:rPr>
          <w:szCs w:val="20"/>
        </w:rPr>
        <w:t>To build public accountability as well as internal accountability and transparency,</w:t>
      </w:r>
    </w:p>
    <w:p w14:paraId="6946B46B" w14:textId="77777777" w:rsidR="009760AA" w:rsidRPr="00881795" w:rsidRDefault="009760AA" w:rsidP="00E31338">
      <w:pPr>
        <w:pStyle w:val="ListParagraph"/>
        <w:numPr>
          <w:ilvl w:val="0"/>
          <w:numId w:val="1"/>
        </w:numPr>
        <w:spacing w:line="288" w:lineRule="auto"/>
        <w:jc w:val="both"/>
        <w:rPr>
          <w:szCs w:val="20"/>
        </w:rPr>
      </w:pPr>
      <w:r w:rsidRPr="00881795">
        <w:rPr>
          <w:szCs w:val="20"/>
        </w:rPr>
        <w:t xml:space="preserve">To enhance efficiency, effectiveness and responsiveness of the </w:t>
      </w:r>
      <w:r w:rsidR="00A36163" w:rsidRPr="00881795">
        <w:rPr>
          <w:szCs w:val="20"/>
        </w:rPr>
        <w:t>uMlalazi</w:t>
      </w:r>
      <w:r w:rsidRPr="00881795">
        <w:rPr>
          <w:szCs w:val="20"/>
        </w:rPr>
        <w:t xml:space="preserve"> Municipality,</w:t>
      </w:r>
    </w:p>
    <w:p w14:paraId="58846714" w14:textId="77777777" w:rsidR="009760AA" w:rsidRPr="00881795" w:rsidRDefault="009760AA" w:rsidP="00E31338">
      <w:pPr>
        <w:pStyle w:val="ListParagraph"/>
        <w:numPr>
          <w:ilvl w:val="0"/>
          <w:numId w:val="1"/>
        </w:numPr>
        <w:spacing w:line="288" w:lineRule="auto"/>
        <w:jc w:val="both"/>
        <w:rPr>
          <w:szCs w:val="20"/>
        </w:rPr>
      </w:pPr>
      <w:r w:rsidRPr="00881795">
        <w:rPr>
          <w:szCs w:val="20"/>
        </w:rPr>
        <w:t>To promote effective participation of municipal stakeholders in decision making and in corruption prevention, and</w:t>
      </w:r>
    </w:p>
    <w:p w14:paraId="6A734DEB" w14:textId="77777777" w:rsidR="009760AA" w:rsidRPr="00881795" w:rsidRDefault="009760AA" w:rsidP="00E31338">
      <w:pPr>
        <w:pStyle w:val="ListParagraph"/>
        <w:numPr>
          <w:ilvl w:val="0"/>
          <w:numId w:val="1"/>
        </w:numPr>
        <w:spacing w:line="288" w:lineRule="auto"/>
        <w:jc w:val="both"/>
        <w:rPr>
          <w:szCs w:val="20"/>
        </w:rPr>
      </w:pPr>
      <w:r w:rsidRPr="00881795">
        <w:rPr>
          <w:szCs w:val="20"/>
        </w:rPr>
        <w:t>Increase municipal credibility and remove public distrust.</w:t>
      </w:r>
    </w:p>
    <w:p w14:paraId="64812089" w14:textId="77777777" w:rsidR="008155E3" w:rsidRPr="00BB6855" w:rsidRDefault="008155E3" w:rsidP="00750180">
      <w:pPr>
        <w:pStyle w:val="Heading3"/>
        <w:numPr>
          <w:ilvl w:val="2"/>
          <w:numId w:val="127"/>
        </w:numPr>
        <w:spacing w:after="240"/>
      </w:pPr>
      <w:bookmarkStart w:id="577" w:name="_Toc389740075"/>
      <w:bookmarkStart w:id="578" w:name="_Toc510706666"/>
      <w:r w:rsidRPr="00BB6855">
        <w:t>Municipal Bylaws</w:t>
      </w:r>
      <w:bookmarkEnd w:id="577"/>
      <w:bookmarkEnd w:id="578"/>
    </w:p>
    <w:p w14:paraId="48CA24C0" w14:textId="77777777" w:rsidR="008155E3" w:rsidRPr="00881795" w:rsidRDefault="002C66C9" w:rsidP="00395313">
      <w:pPr>
        <w:spacing w:line="288" w:lineRule="auto"/>
        <w:jc w:val="both"/>
        <w:rPr>
          <w:szCs w:val="20"/>
        </w:rPr>
      </w:pPr>
      <w:r w:rsidRPr="00881795">
        <w:rPr>
          <w:szCs w:val="20"/>
        </w:rPr>
        <w:t>The table below indicates Bylaws that the Municipality has adopted since 2003 to current:</w:t>
      </w:r>
    </w:p>
    <w:p w14:paraId="0DF0B2B1" w14:textId="77777777" w:rsidR="002C66C9" w:rsidRPr="00881795" w:rsidRDefault="00BB6855" w:rsidP="00BB6855">
      <w:pPr>
        <w:pStyle w:val="Caption"/>
      </w:pPr>
      <w:bookmarkStart w:id="579" w:name="_Toc510622349"/>
      <w:bookmarkStart w:id="580" w:name="_Toc389740076"/>
      <w:r>
        <w:t xml:space="preserve">Table </w:t>
      </w:r>
      <w:r w:rsidR="00B918A6">
        <w:fldChar w:fldCharType="begin"/>
      </w:r>
      <w:r w:rsidR="00B918A6">
        <w:instrText xml:space="preserve"> SEQ Table \* ARABIC </w:instrText>
      </w:r>
      <w:r w:rsidR="00B918A6">
        <w:fldChar w:fldCharType="separate"/>
      </w:r>
      <w:r w:rsidR="0067023A">
        <w:rPr>
          <w:noProof/>
        </w:rPr>
        <w:t>98</w:t>
      </w:r>
      <w:r w:rsidR="00B918A6">
        <w:rPr>
          <w:noProof/>
        </w:rPr>
        <w:fldChar w:fldCharType="end"/>
      </w:r>
      <w:r>
        <w:t xml:space="preserve">: </w:t>
      </w:r>
      <w:r w:rsidR="00A67724">
        <w:t xml:space="preserve">Adopted </w:t>
      </w:r>
      <w:r w:rsidR="002C66C9" w:rsidRPr="00881795">
        <w:t>Bylaws</w:t>
      </w:r>
      <w:bookmarkEnd w:id="579"/>
      <w:r w:rsidR="002C66C9" w:rsidRPr="00881795">
        <w:t xml:space="preserve"> </w:t>
      </w:r>
      <w:bookmarkEnd w:id="580"/>
    </w:p>
    <w:tbl>
      <w:tblPr>
        <w:tblStyle w:val="TableGrid13"/>
        <w:tblpPr w:leftFromText="180" w:rightFromText="180" w:vertAnchor="text" w:tblpXSpec="center" w:tblpY="1"/>
        <w:tblW w:w="8912" w:type="dxa"/>
        <w:tblLayout w:type="fixed"/>
        <w:tblLook w:val="01E0" w:firstRow="1" w:lastRow="1" w:firstColumn="1" w:lastColumn="1" w:noHBand="0" w:noVBand="0"/>
      </w:tblPr>
      <w:tblGrid>
        <w:gridCol w:w="709"/>
        <w:gridCol w:w="1980"/>
        <w:gridCol w:w="4434"/>
        <w:gridCol w:w="1789"/>
      </w:tblGrid>
      <w:tr w:rsidR="00F27DEC" w:rsidRPr="00F27DEC" w14:paraId="33A311F3" w14:textId="77777777" w:rsidTr="00F27DEC">
        <w:tc>
          <w:tcPr>
            <w:tcW w:w="709" w:type="dxa"/>
            <w:vMerge w:val="restart"/>
            <w:shd w:val="clear" w:color="auto" w:fill="D9D9D9" w:themeFill="background1" w:themeFillShade="D9"/>
            <w:hideMark/>
          </w:tcPr>
          <w:p w14:paraId="26D5D2C6" w14:textId="77777777" w:rsidR="00F27DEC" w:rsidRPr="00F27DEC" w:rsidRDefault="00F27DEC" w:rsidP="00F27DEC">
            <w:pPr>
              <w:spacing w:line="256" w:lineRule="auto"/>
              <w:jc w:val="center"/>
              <w:rPr>
                <w:rFonts w:eastAsia="Calibri" w:cs="Times New Roman"/>
                <w:b/>
                <w:sz w:val="18"/>
                <w:lang w:eastAsia="en-ZA"/>
              </w:rPr>
            </w:pPr>
            <w:r w:rsidRPr="00F27DEC">
              <w:rPr>
                <w:rFonts w:eastAsia="Calibri" w:cs="Times New Roman"/>
                <w:b/>
                <w:sz w:val="18"/>
                <w:lang w:eastAsia="en-ZA"/>
              </w:rPr>
              <w:t>NO</w:t>
            </w:r>
          </w:p>
        </w:tc>
        <w:tc>
          <w:tcPr>
            <w:tcW w:w="1980" w:type="dxa"/>
            <w:shd w:val="clear" w:color="auto" w:fill="D9D9D9" w:themeFill="background1" w:themeFillShade="D9"/>
            <w:hideMark/>
          </w:tcPr>
          <w:p w14:paraId="7403AF22" w14:textId="77777777" w:rsidR="00F27DEC" w:rsidRPr="00F27DEC" w:rsidRDefault="00F27DEC" w:rsidP="00F27DEC">
            <w:pPr>
              <w:spacing w:line="256" w:lineRule="auto"/>
              <w:jc w:val="center"/>
              <w:rPr>
                <w:rFonts w:eastAsia="Calibri" w:cs="Times New Roman"/>
                <w:b/>
                <w:sz w:val="18"/>
                <w:lang w:eastAsia="en-ZA"/>
              </w:rPr>
            </w:pPr>
            <w:r w:rsidRPr="00F27DEC">
              <w:rPr>
                <w:rFonts w:eastAsia="Calibri" w:cs="Times New Roman"/>
                <w:b/>
                <w:sz w:val="18"/>
                <w:lang w:eastAsia="en-ZA"/>
              </w:rPr>
              <w:t>DATE OF ADOPTION</w:t>
            </w:r>
          </w:p>
        </w:tc>
        <w:tc>
          <w:tcPr>
            <w:tcW w:w="4434" w:type="dxa"/>
            <w:vMerge w:val="restart"/>
            <w:shd w:val="clear" w:color="auto" w:fill="D9D9D9" w:themeFill="background1" w:themeFillShade="D9"/>
            <w:hideMark/>
          </w:tcPr>
          <w:p w14:paraId="4C62B28F" w14:textId="77777777" w:rsidR="00F27DEC" w:rsidRPr="00F27DEC" w:rsidRDefault="00F27DEC" w:rsidP="00F27DEC">
            <w:pPr>
              <w:spacing w:line="256" w:lineRule="auto"/>
              <w:jc w:val="center"/>
              <w:rPr>
                <w:rFonts w:eastAsia="Calibri" w:cs="Times New Roman"/>
                <w:b/>
                <w:sz w:val="18"/>
                <w:lang w:eastAsia="en-ZA"/>
              </w:rPr>
            </w:pPr>
            <w:r w:rsidRPr="00F27DEC">
              <w:rPr>
                <w:rFonts w:eastAsia="Calibri" w:cs="Times New Roman"/>
                <w:b/>
                <w:sz w:val="18"/>
                <w:lang w:eastAsia="en-ZA"/>
              </w:rPr>
              <w:t>BY-LAWS</w:t>
            </w:r>
          </w:p>
        </w:tc>
        <w:tc>
          <w:tcPr>
            <w:tcW w:w="1789" w:type="dxa"/>
            <w:vMerge w:val="restart"/>
            <w:shd w:val="clear" w:color="auto" w:fill="D9D9D9" w:themeFill="background1" w:themeFillShade="D9"/>
            <w:hideMark/>
          </w:tcPr>
          <w:p w14:paraId="0168FC48" w14:textId="77777777" w:rsidR="00F27DEC" w:rsidRPr="00F27DEC" w:rsidRDefault="00F27DEC" w:rsidP="00F27DEC">
            <w:pPr>
              <w:spacing w:line="256" w:lineRule="auto"/>
              <w:jc w:val="center"/>
              <w:rPr>
                <w:rFonts w:eastAsia="Calibri" w:cs="Times New Roman"/>
                <w:b/>
                <w:sz w:val="18"/>
                <w:lang w:eastAsia="en-ZA"/>
              </w:rPr>
            </w:pPr>
            <w:r w:rsidRPr="00F27DEC">
              <w:rPr>
                <w:rFonts w:eastAsia="Times New Roman" w:cs="Times New Roman"/>
                <w:b/>
                <w:sz w:val="18"/>
                <w:lang w:eastAsia="en-ZA"/>
              </w:rPr>
              <w:t>PROMULGATION DATE</w:t>
            </w:r>
          </w:p>
        </w:tc>
      </w:tr>
      <w:tr w:rsidR="00F27DEC" w:rsidRPr="00F27DEC" w14:paraId="5650424C" w14:textId="77777777" w:rsidTr="00F27DEC">
        <w:tc>
          <w:tcPr>
            <w:tcW w:w="709" w:type="dxa"/>
            <w:vMerge/>
            <w:hideMark/>
          </w:tcPr>
          <w:p w14:paraId="11F46F2C" w14:textId="77777777" w:rsidR="00F27DEC" w:rsidRPr="00F27DEC" w:rsidRDefault="00F27DEC" w:rsidP="00F27DEC">
            <w:pPr>
              <w:spacing w:line="256" w:lineRule="auto"/>
              <w:rPr>
                <w:rFonts w:eastAsia="Calibri" w:cs="Times New Roman"/>
                <w:b/>
                <w:sz w:val="18"/>
              </w:rPr>
            </w:pPr>
          </w:p>
        </w:tc>
        <w:tc>
          <w:tcPr>
            <w:tcW w:w="1980" w:type="dxa"/>
            <w:shd w:val="clear" w:color="auto" w:fill="D9D9D9" w:themeFill="background1" w:themeFillShade="D9"/>
            <w:hideMark/>
          </w:tcPr>
          <w:p w14:paraId="6959AC6F" w14:textId="77777777" w:rsidR="00F27DEC" w:rsidRPr="00F27DEC" w:rsidRDefault="00F27DEC" w:rsidP="00F27DEC">
            <w:pPr>
              <w:spacing w:line="256" w:lineRule="auto"/>
              <w:jc w:val="center"/>
              <w:rPr>
                <w:rFonts w:eastAsia="Calibri" w:cs="Times New Roman"/>
                <w:b/>
                <w:sz w:val="18"/>
                <w:lang w:eastAsia="en-ZA"/>
              </w:rPr>
            </w:pPr>
            <w:r w:rsidRPr="00F27DEC">
              <w:rPr>
                <w:rFonts w:eastAsia="Calibri" w:cs="Times New Roman"/>
                <w:b/>
                <w:sz w:val="18"/>
                <w:lang w:eastAsia="en-ZA"/>
              </w:rPr>
              <w:t>E = EXCO</w:t>
            </w:r>
          </w:p>
          <w:p w14:paraId="3038FE6C"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b/>
                <w:sz w:val="18"/>
                <w:lang w:eastAsia="en-ZA"/>
              </w:rPr>
              <w:t>C = COUNCIL</w:t>
            </w:r>
          </w:p>
        </w:tc>
        <w:tc>
          <w:tcPr>
            <w:tcW w:w="4434" w:type="dxa"/>
            <w:vMerge/>
            <w:hideMark/>
          </w:tcPr>
          <w:p w14:paraId="15853A2C" w14:textId="77777777" w:rsidR="00F27DEC" w:rsidRPr="00F27DEC" w:rsidRDefault="00F27DEC" w:rsidP="00F27DEC">
            <w:pPr>
              <w:spacing w:line="256" w:lineRule="auto"/>
              <w:rPr>
                <w:rFonts w:eastAsia="Calibri" w:cs="Times New Roman"/>
                <w:b/>
                <w:sz w:val="18"/>
              </w:rPr>
            </w:pPr>
          </w:p>
        </w:tc>
        <w:tc>
          <w:tcPr>
            <w:tcW w:w="1789" w:type="dxa"/>
            <w:vMerge/>
            <w:hideMark/>
          </w:tcPr>
          <w:p w14:paraId="331561A8" w14:textId="77777777" w:rsidR="00F27DEC" w:rsidRPr="00F27DEC" w:rsidRDefault="00F27DEC" w:rsidP="00F27DEC">
            <w:pPr>
              <w:spacing w:line="256" w:lineRule="auto"/>
              <w:rPr>
                <w:rFonts w:eastAsia="Calibri" w:cs="Times New Roman"/>
                <w:b/>
                <w:sz w:val="18"/>
              </w:rPr>
            </w:pPr>
          </w:p>
        </w:tc>
      </w:tr>
      <w:tr w:rsidR="00F27DEC" w:rsidRPr="00F27DEC" w14:paraId="31AE6051" w14:textId="77777777" w:rsidTr="00F27DEC">
        <w:trPr>
          <w:trHeight w:val="572"/>
        </w:trPr>
        <w:tc>
          <w:tcPr>
            <w:tcW w:w="709" w:type="dxa"/>
            <w:hideMark/>
          </w:tcPr>
          <w:p w14:paraId="600C3666" w14:textId="77777777" w:rsidR="00F27DEC" w:rsidRPr="00F27DEC" w:rsidRDefault="00F27DEC" w:rsidP="00F27DEC">
            <w:pPr>
              <w:spacing w:line="256" w:lineRule="auto"/>
              <w:jc w:val="center"/>
              <w:rPr>
                <w:rFonts w:eastAsia="Calibri" w:cs="Times New Roman"/>
                <w:sz w:val="18"/>
                <w:lang w:eastAsia="en-ZA"/>
              </w:rPr>
            </w:pPr>
            <w:r w:rsidRPr="00F27DEC">
              <w:rPr>
                <w:rFonts w:eastAsia="Times New Roman" w:cs="Times New Roman"/>
                <w:sz w:val="18"/>
                <w:lang w:eastAsia="en-ZA"/>
              </w:rPr>
              <w:t>1</w:t>
            </w:r>
          </w:p>
        </w:tc>
        <w:tc>
          <w:tcPr>
            <w:tcW w:w="1980" w:type="dxa"/>
            <w:hideMark/>
          </w:tcPr>
          <w:p w14:paraId="4F8FCA42"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E – 04/02/08</w:t>
            </w:r>
          </w:p>
          <w:p w14:paraId="5A4F32B2"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25/03/08</w:t>
            </w:r>
          </w:p>
        </w:tc>
        <w:tc>
          <w:tcPr>
            <w:tcW w:w="4434" w:type="dxa"/>
          </w:tcPr>
          <w:p w14:paraId="2B58C602" w14:textId="77777777" w:rsidR="00F27DEC" w:rsidRPr="00F27DEC" w:rsidRDefault="00F27DEC" w:rsidP="00F27DEC">
            <w:pPr>
              <w:spacing w:line="256" w:lineRule="auto"/>
              <w:jc w:val="both"/>
              <w:rPr>
                <w:rFonts w:eastAsia="Calibri" w:cs="Times New Roman"/>
                <w:sz w:val="18"/>
                <w:lang w:eastAsia="en-ZA"/>
              </w:rPr>
            </w:pPr>
            <w:r w:rsidRPr="00F27DEC">
              <w:rPr>
                <w:rFonts w:eastAsia="Calibri" w:cs="Times New Roman"/>
                <w:sz w:val="18"/>
                <w:lang w:eastAsia="en-ZA"/>
              </w:rPr>
              <w:t xml:space="preserve">Advertising </w:t>
            </w:r>
            <w:bookmarkStart w:id="581" w:name="OLE_LINK7"/>
            <w:bookmarkStart w:id="582" w:name="OLE_LINK8"/>
            <w:r w:rsidRPr="00F27DEC">
              <w:rPr>
                <w:rFonts w:eastAsia="Calibri" w:cs="Times New Roman"/>
                <w:sz w:val="18"/>
                <w:lang w:eastAsia="en-ZA"/>
              </w:rPr>
              <w:t>By-laws</w:t>
            </w:r>
            <w:bookmarkEnd w:id="581"/>
            <w:bookmarkEnd w:id="582"/>
          </w:p>
          <w:p w14:paraId="07B1116C" w14:textId="77777777" w:rsidR="00F27DEC" w:rsidRPr="00F27DEC" w:rsidRDefault="00F27DEC" w:rsidP="00F27DEC">
            <w:pPr>
              <w:spacing w:line="256" w:lineRule="auto"/>
              <w:jc w:val="both"/>
              <w:rPr>
                <w:rFonts w:eastAsia="Calibri" w:cs="Times New Roman"/>
                <w:sz w:val="18"/>
                <w:lang w:eastAsia="en-ZA"/>
              </w:rPr>
            </w:pPr>
          </w:p>
        </w:tc>
        <w:tc>
          <w:tcPr>
            <w:tcW w:w="1789" w:type="dxa"/>
            <w:hideMark/>
          </w:tcPr>
          <w:p w14:paraId="2EF615C8"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09/04/09</w:t>
            </w:r>
          </w:p>
        </w:tc>
      </w:tr>
      <w:tr w:rsidR="00F27DEC" w:rsidRPr="00F27DEC" w14:paraId="37FD5567" w14:textId="77777777" w:rsidTr="00F27DEC">
        <w:tc>
          <w:tcPr>
            <w:tcW w:w="709" w:type="dxa"/>
            <w:hideMark/>
          </w:tcPr>
          <w:p w14:paraId="09B1C1EB" w14:textId="77777777" w:rsidR="00F27DEC" w:rsidRPr="00F27DEC" w:rsidRDefault="00F27DEC" w:rsidP="00F27DEC">
            <w:pPr>
              <w:spacing w:line="256" w:lineRule="auto"/>
              <w:jc w:val="center"/>
              <w:rPr>
                <w:rFonts w:eastAsia="Calibri" w:cs="Times New Roman"/>
                <w:sz w:val="18"/>
                <w:lang w:eastAsia="en-ZA"/>
              </w:rPr>
            </w:pPr>
            <w:r w:rsidRPr="00F27DEC">
              <w:rPr>
                <w:rFonts w:eastAsia="Times New Roman" w:cs="Times New Roman"/>
                <w:sz w:val="18"/>
                <w:lang w:eastAsia="en-ZA"/>
              </w:rPr>
              <w:t>2</w:t>
            </w:r>
          </w:p>
        </w:tc>
        <w:tc>
          <w:tcPr>
            <w:tcW w:w="1980" w:type="dxa"/>
            <w:hideMark/>
          </w:tcPr>
          <w:p w14:paraId="03691A95"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E – 05/05/03</w:t>
            </w:r>
          </w:p>
          <w:p w14:paraId="722D812B"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- 29/09/03</w:t>
            </w:r>
          </w:p>
        </w:tc>
        <w:tc>
          <w:tcPr>
            <w:tcW w:w="4434" w:type="dxa"/>
          </w:tcPr>
          <w:p w14:paraId="56C153EB" w14:textId="77777777" w:rsidR="00F27DEC" w:rsidRPr="00F27DEC" w:rsidRDefault="00F27DEC" w:rsidP="00F27DEC">
            <w:pPr>
              <w:spacing w:line="256" w:lineRule="auto"/>
              <w:jc w:val="both"/>
              <w:rPr>
                <w:rFonts w:eastAsia="Calibri" w:cs="Times New Roman"/>
                <w:sz w:val="18"/>
                <w:lang w:eastAsia="en-ZA"/>
              </w:rPr>
            </w:pPr>
            <w:r w:rsidRPr="00F27DEC">
              <w:rPr>
                <w:rFonts w:eastAsia="Calibri" w:cs="Times New Roman"/>
                <w:sz w:val="18"/>
                <w:lang w:eastAsia="en-ZA"/>
              </w:rPr>
              <w:t>Aerodrome By-laws</w:t>
            </w:r>
          </w:p>
          <w:p w14:paraId="51BD3D9B" w14:textId="77777777" w:rsidR="00F27DEC" w:rsidRPr="00F27DEC" w:rsidRDefault="00F27DEC" w:rsidP="00F27DEC">
            <w:pPr>
              <w:spacing w:line="256" w:lineRule="auto"/>
              <w:jc w:val="both"/>
              <w:rPr>
                <w:rFonts w:eastAsia="Calibri" w:cs="Times New Roman"/>
                <w:sz w:val="18"/>
                <w:lang w:eastAsia="en-ZA"/>
              </w:rPr>
            </w:pPr>
          </w:p>
        </w:tc>
        <w:tc>
          <w:tcPr>
            <w:tcW w:w="1789" w:type="dxa"/>
            <w:hideMark/>
          </w:tcPr>
          <w:p w14:paraId="63F137FA"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04/03/04</w:t>
            </w:r>
          </w:p>
        </w:tc>
      </w:tr>
      <w:tr w:rsidR="00F27DEC" w:rsidRPr="00F27DEC" w14:paraId="1F865946" w14:textId="77777777" w:rsidTr="00F27DEC">
        <w:tc>
          <w:tcPr>
            <w:tcW w:w="709" w:type="dxa"/>
            <w:hideMark/>
          </w:tcPr>
          <w:p w14:paraId="0CC21342" w14:textId="77777777" w:rsidR="00F27DEC" w:rsidRPr="00F27DEC" w:rsidRDefault="00F27DEC" w:rsidP="00F27DEC">
            <w:pPr>
              <w:spacing w:line="256" w:lineRule="auto"/>
              <w:jc w:val="center"/>
              <w:rPr>
                <w:rFonts w:eastAsia="Calibri" w:cs="Times New Roman"/>
                <w:sz w:val="18"/>
                <w:lang w:eastAsia="en-ZA"/>
              </w:rPr>
            </w:pPr>
            <w:r w:rsidRPr="00F27DEC">
              <w:rPr>
                <w:rFonts w:eastAsia="Times New Roman" w:cs="Times New Roman"/>
                <w:sz w:val="18"/>
                <w:lang w:eastAsia="en-ZA"/>
              </w:rPr>
              <w:t>3</w:t>
            </w:r>
          </w:p>
        </w:tc>
        <w:tc>
          <w:tcPr>
            <w:tcW w:w="1980" w:type="dxa"/>
            <w:hideMark/>
          </w:tcPr>
          <w:p w14:paraId="0C697F5B"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E – 04/07/05</w:t>
            </w:r>
          </w:p>
          <w:p w14:paraId="46477843"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- 26/09/05</w:t>
            </w:r>
          </w:p>
        </w:tc>
        <w:tc>
          <w:tcPr>
            <w:tcW w:w="4434" w:type="dxa"/>
          </w:tcPr>
          <w:p w14:paraId="3EDD70A4" w14:textId="77777777" w:rsidR="00F27DEC" w:rsidRPr="00F27DEC" w:rsidRDefault="00F27DEC" w:rsidP="00F27DEC">
            <w:pPr>
              <w:spacing w:line="256" w:lineRule="auto"/>
              <w:jc w:val="both"/>
              <w:rPr>
                <w:rFonts w:eastAsia="Calibri" w:cs="Times New Roman"/>
                <w:sz w:val="18"/>
                <w:lang w:eastAsia="en-ZA"/>
              </w:rPr>
            </w:pPr>
            <w:r w:rsidRPr="00F27DEC">
              <w:rPr>
                <w:rFonts w:eastAsia="Calibri" w:cs="Times New Roman"/>
                <w:sz w:val="18"/>
                <w:lang w:eastAsia="en-ZA"/>
              </w:rPr>
              <w:t>Beaches By-laws</w:t>
            </w:r>
          </w:p>
          <w:p w14:paraId="5037164C" w14:textId="77777777" w:rsidR="00F27DEC" w:rsidRPr="00F27DEC" w:rsidRDefault="00F27DEC" w:rsidP="00F27DEC">
            <w:pPr>
              <w:spacing w:line="256" w:lineRule="auto"/>
              <w:jc w:val="both"/>
              <w:rPr>
                <w:rFonts w:eastAsia="Calibri" w:cs="Times New Roman"/>
                <w:sz w:val="18"/>
                <w:lang w:eastAsia="en-ZA"/>
              </w:rPr>
            </w:pPr>
          </w:p>
        </w:tc>
        <w:tc>
          <w:tcPr>
            <w:tcW w:w="1789" w:type="dxa"/>
            <w:hideMark/>
          </w:tcPr>
          <w:p w14:paraId="6C5F4FD4"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11/03/10</w:t>
            </w:r>
          </w:p>
        </w:tc>
      </w:tr>
      <w:tr w:rsidR="00F27DEC" w:rsidRPr="00F27DEC" w14:paraId="5A2D0026" w14:textId="77777777" w:rsidTr="00F27DEC">
        <w:tc>
          <w:tcPr>
            <w:tcW w:w="709" w:type="dxa"/>
            <w:hideMark/>
          </w:tcPr>
          <w:p w14:paraId="001BA395" w14:textId="77777777" w:rsidR="00F27DEC" w:rsidRPr="00F27DEC" w:rsidRDefault="00F27DEC" w:rsidP="00F27DEC">
            <w:pPr>
              <w:spacing w:line="256" w:lineRule="auto"/>
              <w:jc w:val="center"/>
              <w:rPr>
                <w:rFonts w:eastAsia="Calibri" w:cs="Times New Roman"/>
                <w:sz w:val="18"/>
                <w:lang w:eastAsia="en-ZA"/>
              </w:rPr>
            </w:pPr>
            <w:r w:rsidRPr="00F27DEC">
              <w:rPr>
                <w:rFonts w:eastAsia="Times New Roman" w:cs="Times New Roman"/>
                <w:sz w:val="18"/>
                <w:lang w:eastAsia="en-ZA"/>
              </w:rPr>
              <w:t>4</w:t>
            </w:r>
          </w:p>
        </w:tc>
        <w:tc>
          <w:tcPr>
            <w:tcW w:w="1980" w:type="dxa"/>
            <w:hideMark/>
          </w:tcPr>
          <w:p w14:paraId="3F5F33BE"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E – 03/02/03</w:t>
            </w:r>
          </w:p>
          <w:p w14:paraId="4250C4BC"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- 24/03/03</w:t>
            </w:r>
          </w:p>
        </w:tc>
        <w:tc>
          <w:tcPr>
            <w:tcW w:w="4434" w:type="dxa"/>
          </w:tcPr>
          <w:p w14:paraId="2F9837D0" w14:textId="77777777" w:rsidR="00F27DEC" w:rsidRPr="00F27DEC" w:rsidRDefault="00F27DEC" w:rsidP="00F27DEC">
            <w:pPr>
              <w:spacing w:line="256" w:lineRule="auto"/>
              <w:jc w:val="both"/>
              <w:rPr>
                <w:rFonts w:eastAsia="Calibri" w:cs="Times New Roman"/>
                <w:sz w:val="18"/>
                <w:lang w:eastAsia="en-ZA"/>
              </w:rPr>
            </w:pPr>
            <w:r w:rsidRPr="00F27DEC">
              <w:rPr>
                <w:rFonts w:eastAsia="Calibri" w:cs="Times New Roman"/>
                <w:sz w:val="18"/>
                <w:lang w:eastAsia="en-ZA"/>
              </w:rPr>
              <w:t>Caravan Park By-laws</w:t>
            </w:r>
          </w:p>
          <w:p w14:paraId="7DA20664" w14:textId="77777777" w:rsidR="00F27DEC" w:rsidRPr="00F27DEC" w:rsidRDefault="00F27DEC" w:rsidP="00F27DEC">
            <w:pPr>
              <w:spacing w:line="256" w:lineRule="auto"/>
              <w:jc w:val="both"/>
              <w:rPr>
                <w:rFonts w:eastAsia="Calibri" w:cs="Times New Roman"/>
                <w:sz w:val="18"/>
                <w:lang w:eastAsia="en-ZA"/>
              </w:rPr>
            </w:pPr>
          </w:p>
        </w:tc>
        <w:tc>
          <w:tcPr>
            <w:tcW w:w="1789" w:type="dxa"/>
            <w:hideMark/>
          </w:tcPr>
          <w:p w14:paraId="4BDC36BE"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10/07/03</w:t>
            </w:r>
          </w:p>
        </w:tc>
      </w:tr>
      <w:tr w:rsidR="00F27DEC" w:rsidRPr="00F27DEC" w14:paraId="51443D56" w14:textId="77777777" w:rsidTr="00F27DEC">
        <w:tc>
          <w:tcPr>
            <w:tcW w:w="709" w:type="dxa"/>
            <w:hideMark/>
          </w:tcPr>
          <w:p w14:paraId="0B6B8594" w14:textId="77777777" w:rsidR="00F27DEC" w:rsidRPr="00F27DEC" w:rsidRDefault="00F27DEC" w:rsidP="00F27DEC">
            <w:pPr>
              <w:spacing w:line="256" w:lineRule="auto"/>
              <w:jc w:val="center"/>
              <w:rPr>
                <w:rFonts w:eastAsia="Calibri" w:cs="Times New Roman"/>
                <w:sz w:val="18"/>
                <w:lang w:eastAsia="en-ZA"/>
              </w:rPr>
            </w:pPr>
            <w:r w:rsidRPr="00F27DEC">
              <w:rPr>
                <w:rFonts w:eastAsia="Times New Roman" w:cs="Times New Roman"/>
                <w:sz w:val="18"/>
                <w:lang w:eastAsia="en-ZA"/>
              </w:rPr>
              <w:t>5</w:t>
            </w:r>
          </w:p>
        </w:tc>
        <w:tc>
          <w:tcPr>
            <w:tcW w:w="1980" w:type="dxa"/>
            <w:hideMark/>
          </w:tcPr>
          <w:p w14:paraId="36F03517"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E – 03/02/03</w:t>
            </w:r>
          </w:p>
          <w:p w14:paraId="38318148"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- 24/03/03</w:t>
            </w:r>
          </w:p>
        </w:tc>
        <w:tc>
          <w:tcPr>
            <w:tcW w:w="4434" w:type="dxa"/>
            <w:hideMark/>
          </w:tcPr>
          <w:p w14:paraId="5E397D66" w14:textId="77777777" w:rsidR="00F27DEC" w:rsidRPr="00F27DEC" w:rsidRDefault="00F27DEC" w:rsidP="00F27DEC">
            <w:pPr>
              <w:spacing w:line="256" w:lineRule="auto"/>
              <w:jc w:val="both"/>
              <w:rPr>
                <w:rFonts w:eastAsia="Calibri" w:cs="Times New Roman"/>
                <w:sz w:val="18"/>
                <w:lang w:eastAsia="en-ZA"/>
              </w:rPr>
            </w:pPr>
            <w:r w:rsidRPr="00F27DEC">
              <w:rPr>
                <w:rFonts w:eastAsia="Calibri" w:cs="Times New Roman"/>
                <w:sz w:val="18"/>
                <w:lang w:eastAsia="en-ZA"/>
              </w:rPr>
              <w:t>Cemetery  and Crematorium By-laws</w:t>
            </w:r>
          </w:p>
        </w:tc>
        <w:tc>
          <w:tcPr>
            <w:tcW w:w="1789" w:type="dxa"/>
            <w:hideMark/>
          </w:tcPr>
          <w:p w14:paraId="5E8C8E84"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10/07/03</w:t>
            </w:r>
          </w:p>
        </w:tc>
      </w:tr>
      <w:tr w:rsidR="00F27DEC" w:rsidRPr="00F27DEC" w14:paraId="170BC6C2" w14:textId="77777777" w:rsidTr="00F27DEC">
        <w:tc>
          <w:tcPr>
            <w:tcW w:w="709" w:type="dxa"/>
            <w:hideMark/>
          </w:tcPr>
          <w:p w14:paraId="41F1EED9" w14:textId="77777777" w:rsidR="00F27DEC" w:rsidRPr="00F27DEC" w:rsidRDefault="00F27DEC" w:rsidP="00F27DEC">
            <w:pPr>
              <w:spacing w:line="256" w:lineRule="auto"/>
              <w:jc w:val="center"/>
              <w:rPr>
                <w:rFonts w:eastAsia="Calibri" w:cs="Times New Roman"/>
                <w:sz w:val="18"/>
                <w:lang w:eastAsia="en-ZA"/>
              </w:rPr>
            </w:pPr>
            <w:r w:rsidRPr="00F27DEC">
              <w:rPr>
                <w:rFonts w:eastAsia="Times New Roman" w:cs="Times New Roman"/>
                <w:sz w:val="18"/>
                <w:lang w:eastAsia="en-ZA"/>
              </w:rPr>
              <w:t>6</w:t>
            </w:r>
          </w:p>
        </w:tc>
        <w:tc>
          <w:tcPr>
            <w:tcW w:w="1980" w:type="dxa"/>
            <w:hideMark/>
          </w:tcPr>
          <w:p w14:paraId="7964D62B"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28/03/14</w:t>
            </w:r>
          </w:p>
        </w:tc>
        <w:tc>
          <w:tcPr>
            <w:tcW w:w="4434" w:type="dxa"/>
            <w:hideMark/>
          </w:tcPr>
          <w:p w14:paraId="2C791992" w14:textId="77777777" w:rsidR="00F27DEC" w:rsidRPr="00F27DEC" w:rsidRDefault="00F27DEC" w:rsidP="00F27DEC">
            <w:pPr>
              <w:spacing w:line="256" w:lineRule="auto"/>
              <w:jc w:val="both"/>
              <w:rPr>
                <w:rFonts w:eastAsia="Calibri" w:cs="Times New Roman"/>
                <w:sz w:val="18"/>
                <w:lang w:eastAsia="en-ZA"/>
              </w:rPr>
            </w:pPr>
            <w:r w:rsidRPr="00F27DEC">
              <w:rPr>
                <w:rFonts w:eastAsia="Calibri" w:cs="Times New Roman"/>
                <w:sz w:val="18"/>
                <w:lang w:eastAsia="en-ZA"/>
              </w:rPr>
              <w:t>Credit Control and Debt Collection By-laws</w:t>
            </w:r>
          </w:p>
        </w:tc>
        <w:tc>
          <w:tcPr>
            <w:tcW w:w="1789" w:type="dxa"/>
            <w:hideMark/>
          </w:tcPr>
          <w:p w14:paraId="3CD6C9E2"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Due</w:t>
            </w:r>
          </w:p>
        </w:tc>
      </w:tr>
      <w:tr w:rsidR="00F27DEC" w:rsidRPr="00F27DEC" w14:paraId="264FA004" w14:textId="77777777" w:rsidTr="00F27DEC">
        <w:tc>
          <w:tcPr>
            <w:tcW w:w="709" w:type="dxa"/>
            <w:hideMark/>
          </w:tcPr>
          <w:p w14:paraId="39D4CA48" w14:textId="77777777" w:rsidR="00F27DEC" w:rsidRPr="00F27DEC" w:rsidRDefault="00F27DEC" w:rsidP="00F27DEC">
            <w:pPr>
              <w:spacing w:line="256" w:lineRule="auto"/>
              <w:jc w:val="center"/>
              <w:rPr>
                <w:rFonts w:eastAsia="Calibri" w:cs="Times New Roman"/>
                <w:sz w:val="18"/>
                <w:lang w:eastAsia="en-ZA"/>
              </w:rPr>
            </w:pPr>
            <w:r w:rsidRPr="00F27DEC">
              <w:rPr>
                <w:rFonts w:eastAsia="Times New Roman" w:cs="Times New Roman"/>
                <w:sz w:val="18"/>
                <w:lang w:eastAsia="en-ZA"/>
              </w:rPr>
              <w:t>7</w:t>
            </w:r>
          </w:p>
        </w:tc>
        <w:tc>
          <w:tcPr>
            <w:tcW w:w="1980" w:type="dxa"/>
            <w:hideMark/>
          </w:tcPr>
          <w:p w14:paraId="336102C6"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E – 04/04/08</w:t>
            </w:r>
          </w:p>
          <w:p w14:paraId="2BB43EDF"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- 07/04/08</w:t>
            </w:r>
          </w:p>
        </w:tc>
        <w:tc>
          <w:tcPr>
            <w:tcW w:w="4434" w:type="dxa"/>
            <w:hideMark/>
          </w:tcPr>
          <w:p w14:paraId="3CDCBBCA" w14:textId="77777777" w:rsidR="00F27DEC" w:rsidRPr="00F27DEC" w:rsidRDefault="00F27DEC" w:rsidP="00F27DEC">
            <w:pPr>
              <w:spacing w:line="256" w:lineRule="auto"/>
              <w:jc w:val="both"/>
              <w:rPr>
                <w:rFonts w:eastAsia="Calibri" w:cs="Times New Roman"/>
                <w:sz w:val="18"/>
                <w:lang w:eastAsia="en-ZA"/>
              </w:rPr>
            </w:pPr>
            <w:r w:rsidRPr="00F27DEC">
              <w:rPr>
                <w:rFonts w:eastAsia="Calibri" w:cs="Times New Roman"/>
                <w:sz w:val="18"/>
                <w:lang w:eastAsia="en-ZA"/>
              </w:rPr>
              <w:t>Delegation of Powers By-laws</w:t>
            </w:r>
          </w:p>
        </w:tc>
        <w:tc>
          <w:tcPr>
            <w:tcW w:w="1789" w:type="dxa"/>
            <w:hideMark/>
          </w:tcPr>
          <w:p w14:paraId="7B1D18DC"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11/03/10</w:t>
            </w:r>
          </w:p>
        </w:tc>
      </w:tr>
      <w:tr w:rsidR="00F27DEC" w:rsidRPr="00F27DEC" w14:paraId="3BAC256F" w14:textId="77777777" w:rsidTr="00F27DEC">
        <w:tc>
          <w:tcPr>
            <w:tcW w:w="709" w:type="dxa"/>
            <w:hideMark/>
          </w:tcPr>
          <w:p w14:paraId="57BA891A" w14:textId="77777777" w:rsidR="00F27DEC" w:rsidRPr="00F27DEC" w:rsidRDefault="00F27DEC" w:rsidP="00F27DEC">
            <w:pPr>
              <w:spacing w:line="256" w:lineRule="auto"/>
              <w:jc w:val="center"/>
              <w:rPr>
                <w:rFonts w:eastAsia="Calibri" w:cs="Times New Roman"/>
                <w:sz w:val="18"/>
                <w:lang w:eastAsia="en-ZA"/>
              </w:rPr>
            </w:pPr>
            <w:r w:rsidRPr="00F27DEC">
              <w:rPr>
                <w:rFonts w:eastAsia="Times New Roman" w:cs="Times New Roman"/>
                <w:sz w:val="18"/>
                <w:lang w:eastAsia="en-ZA"/>
              </w:rPr>
              <w:t>8</w:t>
            </w:r>
          </w:p>
        </w:tc>
        <w:tc>
          <w:tcPr>
            <w:tcW w:w="1980" w:type="dxa"/>
            <w:hideMark/>
          </w:tcPr>
          <w:p w14:paraId="2A2A8782"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E – 04/07/05</w:t>
            </w:r>
          </w:p>
          <w:p w14:paraId="3C9D50A2"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- 26/09/05</w:t>
            </w:r>
          </w:p>
        </w:tc>
        <w:tc>
          <w:tcPr>
            <w:tcW w:w="4434" w:type="dxa"/>
          </w:tcPr>
          <w:p w14:paraId="7A2B187C" w14:textId="77777777" w:rsidR="00F27DEC" w:rsidRPr="00F27DEC" w:rsidRDefault="00F27DEC" w:rsidP="00F27DEC">
            <w:pPr>
              <w:spacing w:line="256" w:lineRule="auto"/>
              <w:jc w:val="both"/>
              <w:rPr>
                <w:rFonts w:eastAsia="Calibri" w:cs="Times New Roman"/>
                <w:sz w:val="18"/>
                <w:lang w:eastAsia="en-ZA"/>
              </w:rPr>
            </w:pPr>
            <w:r w:rsidRPr="00F27DEC">
              <w:rPr>
                <w:rFonts w:eastAsia="Calibri" w:cs="Times New Roman"/>
                <w:sz w:val="18"/>
                <w:lang w:eastAsia="en-ZA"/>
              </w:rPr>
              <w:t>Electricity By-laws</w:t>
            </w:r>
          </w:p>
          <w:p w14:paraId="625751BE" w14:textId="77777777" w:rsidR="00F27DEC" w:rsidRPr="00F27DEC" w:rsidRDefault="00F27DEC" w:rsidP="00F27DEC">
            <w:pPr>
              <w:spacing w:line="256" w:lineRule="auto"/>
              <w:jc w:val="both"/>
              <w:rPr>
                <w:rFonts w:eastAsia="Calibri" w:cs="Times New Roman"/>
                <w:sz w:val="18"/>
                <w:lang w:eastAsia="en-ZA"/>
              </w:rPr>
            </w:pPr>
          </w:p>
        </w:tc>
        <w:tc>
          <w:tcPr>
            <w:tcW w:w="1789" w:type="dxa"/>
            <w:hideMark/>
          </w:tcPr>
          <w:p w14:paraId="4AE7DA3D"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11/03/10</w:t>
            </w:r>
          </w:p>
        </w:tc>
      </w:tr>
      <w:tr w:rsidR="00F27DEC" w:rsidRPr="00F27DEC" w14:paraId="0A40BF1F" w14:textId="77777777" w:rsidTr="00F27DEC">
        <w:tc>
          <w:tcPr>
            <w:tcW w:w="709" w:type="dxa"/>
            <w:hideMark/>
          </w:tcPr>
          <w:p w14:paraId="5624F3E8" w14:textId="77777777" w:rsidR="00F27DEC" w:rsidRPr="00F27DEC" w:rsidRDefault="00F27DEC" w:rsidP="00F27DEC">
            <w:pPr>
              <w:spacing w:line="256" w:lineRule="auto"/>
              <w:jc w:val="center"/>
              <w:rPr>
                <w:rFonts w:eastAsia="Calibri" w:cs="Times New Roman"/>
                <w:sz w:val="18"/>
                <w:lang w:eastAsia="en-ZA"/>
              </w:rPr>
            </w:pPr>
            <w:r w:rsidRPr="00F27DEC">
              <w:rPr>
                <w:rFonts w:eastAsia="Times New Roman" w:cs="Times New Roman"/>
                <w:sz w:val="18"/>
                <w:lang w:eastAsia="en-ZA"/>
              </w:rPr>
              <w:t>9</w:t>
            </w:r>
          </w:p>
        </w:tc>
        <w:tc>
          <w:tcPr>
            <w:tcW w:w="1980" w:type="dxa"/>
            <w:hideMark/>
          </w:tcPr>
          <w:p w14:paraId="62ADEA4A"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E – 04/07/05</w:t>
            </w:r>
          </w:p>
          <w:p w14:paraId="4501FF03"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- 26/09/05</w:t>
            </w:r>
          </w:p>
        </w:tc>
        <w:tc>
          <w:tcPr>
            <w:tcW w:w="4434" w:type="dxa"/>
          </w:tcPr>
          <w:p w14:paraId="78A0DFAB" w14:textId="77777777" w:rsidR="00F27DEC" w:rsidRPr="00F27DEC" w:rsidRDefault="00F27DEC" w:rsidP="00F27DEC">
            <w:pPr>
              <w:spacing w:line="256" w:lineRule="auto"/>
              <w:jc w:val="both"/>
              <w:rPr>
                <w:rFonts w:eastAsia="Calibri" w:cs="Times New Roman"/>
                <w:sz w:val="18"/>
                <w:lang w:eastAsia="en-ZA"/>
              </w:rPr>
            </w:pPr>
            <w:r w:rsidRPr="00F27DEC">
              <w:rPr>
                <w:rFonts w:eastAsia="Calibri" w:cs="Times New Roman"/>
                <w:sz w:val="18"/>
                <w:lang w:eastAsia="en-ZA"/>
              </w:rPr>
              <w:t>Encroachment By-laws</w:t>
            </w:r>
          </w:p>
          <w:p w14:paraId="4EB18B32" w14:textId="77777777" w:rsidR="00F27DEC" w:rsidRPr="00F27DEC" w:rsidRDefault="00F27DEC" w:rsidP="00F27DEC">
            <w:pPr>
              <w:spacing w:line="256" w:lineRule="auto"/>
              <w:jc w:val="both"/>
              <w:rPr>
                <w:rFonts w:eastAsia="Calibri" w:cs="Times New Roman"/>
                <w:sz w:val="18"/>
                <w:lang w:eastAsia="en-ZA"/>
              </w:rPr>
            </w:pPr>
          </w:p>
        </w:tc>
        <w:tc>
          <w:tcPr>
            <w:tcW w:w="1789" w:type="dxa"/>
            <w:hideMark/>
          </w:tcPr>
          <w:p w14:paraId="0C35E28C"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11/03/10</w:t>
            </w:r>
          </w:p>
        </w:tc>
      </w:tr>
      <w:tr w:rsidR="00F27DEC" w:rsidRPr="00F27DEC" w14:paraId="4F3AC60D" w14:textId="77777777" w:rsidTr="00F27DEC">
        <w:tc>
          <w:tcPr>
            <w:tcW w:w="709" w:type="dxa"/>
            <w:hideMark/>
          </w:tcPr>
          <w:p w14:paraId="70F0CCD2" w14:textId="77777777" w:rsidR="00F27DEC" w:rsidRPr="00F27DEC" w:rsidRDefault="00F27DEC" w:rsidP="00F27DEC">
            <w:pPr>
              <w:spacing w:line="256" w:lineRule="auto"/>
              <w:jc w:val="center"/>
              <w:rPr>
                <w:rFonts w:eastAsia="Calibri" w:cs="Times New Roman"/>
                <w:sz w:val="18"/>
                <w:lang w:eastAsia="en-ZA"/>
              </w:rPr>
            </w:pPr>
            <w:r w:rsidRPr="00F27DEC">
              <w:rPr>
                <w:rFonts w:eastAsia="Times New Roman" w:cs="Times New Roman"/>
                <w:sz w:val="18"/>
                <w:lang w:eastAsia="en-ZA"/>
              </w:rPr>
              <w:t>10</w:t>
            </w:r>
          </w:p>
        </w:tc>
        <w:tc>
          <w:tcPr>
            <w:tcW w:w="1980" w:type="dxa"/>
            <w:hideMark/>
          </w:tcPr>
          <w:p w14:paraId="60EE75D8"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E – 01/08/05</w:t>
            </w:r>
          </w:p>
          <w:p w14:paraId="372BCC7E"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- 26/09/05</w:t>
            </w:r>
          </w:p>
        </w:tc>
        <w:tc>
          <w:tcPr>
            <w:tcW w:w="4434" w:type="dxa"/>
            <w:hideMark/>
          </w:tcPr>
          <w:p w14:paraId="2650BC44" w14:textId="77777777" w:rsidR="00F27DEC" w:rsidRPr="00F27DEC" w:rsidRDefault="00F27DEC" w:rsidP="00F27DEC">
            <w:pPr>
              <w:spacing w:line="256" w:lineRule="auto"/>
              <w:jc w:val="both"/>
              <w:rPr>
                <w:rFonts w:eastAsia="Calibri" w:cs="Times New Roman"/>
                <w:sz w:val="18"/>
                <w:lang w:eastAsia="en-ZA"/>
              </w:rPr>
            </w:pPr>
            <w:r w:rsidRPr="00F27DEC">
              <w:rPr>
                <w:rFonts w:eastAsia="Calibri" w:cs="Times New Roman"/>
                <w:sz w:val="18"/>
                <w:lang w:eastAsia="en-ZA"/>
              </w:rPr>
              <w:t>Environmental Health By-laws</w:t>
            </w:r>
          </w:p>
        </w:tc>
        <w:tc>
          <w:tcPr>
            <w:tcW w:w="1789" w:type="dxa"/>
            <w:hideMark/>
          </w:tcPr>
          <w:p w14:paraId="025342EA"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11/03/10</w:t>
            </w:r>
          </w:p>
        </w:tc>
      </w:tr>
      <w:tr w:rsidR="00F27DEC" w:rsidRPr="00F27DEC" w14:paraId="6BD27862" w14:textId="77777777" w:rsidTr="00F27DEC">
        <w:tc>
          <w:tcPr>
            <w:tcW w:w="709" w:type="dxa"/>
            <w:hideMark/>
          </w:tcPr>
          <w:p w14:paraId="1CCCBFA9" w14:textId="77777777" w:rsidR="00F27DEC" w:rsidRPr="00F27DEC" w:rsidRDefault="00F27DEC" w:rsidP="00F27DEC">
            <w:pPr>
              <w:spacing w:line="256" w:lineRule="auto"/>
              <w:jc w:val="center"/>
              <w:rPr>
                <w:rFonts w:eastAsia="Calibri" w:cs="Times New Roman"/>
                <w:sz w:val="18"/>
                <w:lang w:eastAsia="en-ZA"/>
              </w:rPr>
            </w:pPr>
            <w:r w:rsidRPr="00F27DEC">
              <w:rPr>
                <w:rFonts w:eastAsia="Times New Roman" w:cs="Times New Roman"/>
                <w:sz w:val="18"/>
                <w:lang w:eastAsia="en-ZA"/>
              </w:rPr>
              <w:t>11</w:t>
            </w:r>
          </w:p>
        </w:tc>
        <w:tc>
          <w:tcPr>
            <w:tcW w:w="1980" w:type="dxa"/>
            <w:hideMark/>
          </w:tcPr>
          <w:p w14:paraId="75E18631" w14:textId="77777777" w:rsidR="00F27DEC" w:rsidRPr="00F27DEC" w:rsidRDefault="00F27DEC" w:rsidP="00F27DEC">
            <w:pPr>
              <w:spacing w:line="256" w:lineRule="auto"/>
              <w:jc w:val="center"/>
              <w:rPr>
                <w:rFonts w:eastAsia="Calibri" w:cs="Times New Roman"/>
                <w:sz w:val="18"/>
                <w:lang w:eastAsia="en-ZA"/>
              </w:rPr>
            </w:pPr>
            <w:bookmarkStart w:id="583" w:name="OLE_LINK1"/>
            <w:bookmarkStart w:id="584" w:name="OLE_LINK2"/>
            <w:r w:rsidRPr="00F27DEC">
              <w:rPr>
                <w:rFonts w:eastAsia="Calibri" w:cs="Times New Roman"/>
                <w:sz w:val="18"/>
                <w:lang w:eastAsia="en-ZA"/>
              </w:rPr>
              <w:t>E – 04/07/05</w:t>
            </w:r>
          </w:p>
          <w:p w14:paraId="67E5F0CC"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- 26/09/05</w:t>
            </w:r>
            <w:bookmarkEnd w:id="583"/>
            <w:bookmarkEnd w:id="584"/>
          </w:p>
        </w:tc>
        <w:tc>
          <w:tcPr>
            <w:tcW w:w="4434" w:type="dxa"/>
            <w:hideMark/>
          </w:tcPr>
          <w:p w14:paraId="7B53AAA2" w14:textId="77777777" w:rsidR="00F27DEC" w:rsidRPr="00F27DEC" w:rsidRDefault="00F27DEC" w:rsidP="00F27DEC">
            <w:pPr>
              <w:spacing w:line="256" w:lineRule="auto"/>
              <w:jc w:val="both"/>
              <w:rPr>
                <w:rFonts w:eastAsia="Calibri" w:cs="Times New Roman"/>
                <w:sz w:val="18"/>
                <w:lang w:eastAsia="en-ZA"/>
              </w:rPr>
            </w:pPr>
            <w:r w:rsidRPr="00F27DEC">
              <w:rPr>
                <w:rFonts w:eastAsia="Calibri" w:cs="Times New Roman"/>
                <w:sz w:val="18"/>
                <w:lang w:eastAsia="en-ZA"/>
              </w:rPr>
              <w:t>Fire Prevention By-laws</w:t>
            </w:r>
          </w:p>
        </w:tc>
        <w:tc>
          <w:tcPr>
            <w:tcW w:w="1789" w:type="dxa"/>
            <w:hideMark/>
          </w:tcPr>
          <w:p w14:paraId="53C5F19A"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09/10/08</w:t>
            </w:r>
          </w:p>
        </w:tc>
      </w:tr>
      <w:tr w:rsidR="00F27DEC" w:rsidRPr="00F27DEC" w14:paraId="6A6F2F2A" w14:textId="77777777" w:rsidTr="00F27DEC">
        <w:tc>
          <w:tcPr>
            <w:tcW w:w="709" w:type="dxa"/>
            <w:hideMark/>
          </w:tcPr>
          <w:p w14:paraId="046146D5" w14:textId="77777777" w:rsidR="00F27DEC" w:rsidRPr="00F27DEC" w:rsidRDefault="00F27DEC" w:rsidP="00F27DEC">
            <w:pPr>
              <w:spacing w:line="256" w:lineRule="auto"/>
              <w:jc w:val="center"/>
              <w:rPr>
                <w:rFonts w:eastAsia="Calibri" w:cs="Times New Roman"/>
                <w:sz w:val="18"/>
                <w:lang w:eastAsia="en-ZA"/>
              </w:rPr>
            </w:pPr>
            <w:r w:rsidRPr="00F27DEC">
              <w:rPr>
                <w:rFonts w:eastAsia="Times New Roman" w:cs="Times New Roman"/>
                <w:sz w:val="18"/>
                <w:lang w:eastAsia="en-ZA"/>
              </w:rPr>
              <w:t>12</w:t>
            </w:r>
          </w:p>
        </w:tc>
        <w:tc>
          <w:tcPr>
            <w:tcW w:w="1980" w:type="dxa"/>
            <w:hideMark/>
          </w:tcPr>
          <w:p w14:paraId="22E71D57"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E – 03/10/05</w:t>
            </w:r>
          </w:p>
          <w:p w14:paraId="175D62C8"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- 12/12/05</w:t>
            </w:r>
          </w:p>
        </w:tc>
        <w:tc>
          <w:tcPr>
            <w:tcW w:w="4434" w:type="dxa"/>
          </w:tcPr>
          <w:p w14:paraId="74A353C4" w14:textId="77777777" w:rsidR="00F27DEC" w:rsidRPr="00F27DEC" w:rsidRDefault="00F27DEC" w:rsidP="00F27DEC">
            <w:pPr>
              <w:spacing w:line="256" w:lineRule="auto"/>
              <w:jc w:val="both"/>
              <w:rPr>
                <w:rFonts w:eastAsia="Calibri" w:cs="Times New Roman"/>
                <w:sz w:val="18"/>
                <w:lang w:eastAsia="en-ZA"/>
              </w:rPr>
            </w:pPr>
            <w:r w:rsidRPr="00F27DEC">
              <w:rPr>
                <w:rFonts w:eastAsia="Calibri" w:cs="Times New Roman"/>
                <w:sz w:val="18"/>
                <w:lang w:eastAsia="en-ZA"/>
              </w:rPr>
              <w:t>Financial By-laws</w:t>
            </w:r>
          </w:p>
          <w:p w14:paraId="38D1807D" w14:textId="77777777" w:rsidR="00F27DEC" w:rsidRPr="00F27DEC" w:rsidRDefault="00F27DEC" w:rsidP="00F27DEC">
            <w:pPr>
              <w:spacing w:line="256" w:lineRule="auto"/>
              <w:jc w:val="both"/>
              <w:rPr>
                <w:rFonts w:eastAsia="Calibri" w:cs="Times New Roman"/>
                <w:sz w:val="18"/>
                <w:lang w:eastAsia="en-ZA"/>
              </w:rPr>
            </w:pPr>
          </w:p>
        </w:tc>
        <w:tc>
          <w:tcPr>
            <w:tcW w:w="1789" w:type="dxa"/>
            <w:hideMark/>
          </w:tcPr>
          <w:p w14:paraId="583AFFAB"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11/03/10</w:t>
            </w:r>
          </w:p>
        </w:tc>
      </w:tr>
      <w:tr w:rsidR="00F27DEC" w:rsidRPr="00F27DEC" w14:paraId="5DC3EF03" w14:textId="77777777" w:rsidTr="00F27DEC">
        <w:tc>
          <w:tcPr>
            <w:tcW w:w="709" w:type="dxa"/>
            <w:hideMark/>
          </w:tcPr>
          <w:p w14:paraId="46715B9D" w14:textId="77777777" w:rsidR="00F27DEC" w:rsidRPr="00F27DEC" w:rsidRDefault="00F27DEC" w:rsidP="00F27DEC">
            <w:pPr>
              <w:spacing w:line="256" w:lineRule="auto"/>
              <w:jc w:val="center"/>
              <w:rPr>
                <w:rFonts w:eastAsia="Calibri" w:cs="Times New Roman"/>
                <w:sz w:val="18"/>
                <w:lang w:eastAsia="en-ZA"/>
              </w:rPr>
            </w:pPr>
            <w:r w:rsidRPr="00F27DEC">
              <w:rPr>
                <w:rFonts w:eastAsia="Times New Roman" w:cs="Times New Roman"/>
                <w:sz w:val="18"/>
                <w:lang w:eastAsia="en-ZA"/>
              </w:rPr>
              <w:t>13</w:t>
            </w:r>
          </w:p>
        </w:tc>
        <w:tc>
          <w:tcPr>
            <w:tcW w:w="1980" w:type="dxa"/>
          </w:tcPr>
          <w:p w14:paraId="05D46B75"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- 27/02/07</w:t>
            </w:r>
          </w:p>
        </w:tc>
        <w:tc>
          <w:tcPr>
            <w:tcW w:w="4434" w:type="dxa"/>
          </w:tcPr>
          <w:p w14:paraId="412B1DAD" w14:textId="77777777" w:rsidR="00F27DEC" w:rsidRPr="00F27DEC" w:rsidRDefault="00F27DEC" w:rsidP="00F27DEC">
            <w:pPr>
              <w:spacing w:line="256" w:lineRule="auto"/>
              <w:jc w:val="both"/>
              <w:rPr>
                <w:rFonts w:eastAsia="Calibri" w:cs="Times New Roman"/>
                <w:sz w:val="18"/>
                <w:lang w:eastAsia="en-ZA"/>
              </w:rPr>
            </w:pPr>
            <w:r w:rsidRPr="00F27DEC">
              <w:rPr>
                <w:rFonts w:eastAsia="Calibri" w:cs="Times New Roman"/>
                <w:sz w:val="18"/>
                <w:lang w:eastAsia="en-ZA"/>
              </w:rPr>
              <w:t>Finance Rates By-laws</w:t>
            </w:r>
          </w:p>
        </w:tc>
        <w:tc>
          <w:tcPr>
            <w:tcW w:w="1789" w:type="dxa"/>
            <w:hideMark/>
          </w:tcPr>
          <w:p w14:paraId="2E1E5C33"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11/03/10</w:t>
            </w:r>
          </w:p>
        </w:tc>
      </w:tr>
      <w:tr w:rsidR="00F27DEC" w:rsidRPr="00F27DEC" w14:paraId="58CAA8C8" w14:textId="77777777" w:rsidTr="00F27DEC">
        <w:tc>
          <w:tcPr>
            <w:tcW w:w="709" w:type="dxa"/>
            <w:hideMark/>
          </w:tcPr>
          <w:p w14:paraId="40B521CD" w14:textId="77777777" w:rsidR="00F27DEC" w:rsidRPr="00F27DEC" w:rsidRDefault="00F27DEC" w:rsidP="00F27DEC">
            <w:pPr>
              <w:spacing w:line="256" w:lineRule="auto"/>
              <w:jc w:val="center"/>
              <w:rPr>
                <w:rFonts w:eastAsia="Calibri" w:cs="Times New Roman"/>
                <w:sz w:val="18"/>
                <w:lang w:eastAsia="en-ZA"/>
              </w:rPr>
            </w:pPr>
            <w:r w:rsidRPr="00F27DEC">
              <w:rPr>
                <w:rFonts w:eastAsia="Times New Roman" w:cs="Times New Roman"/>
                <w:sz w:val="18"/>
                <w:lang w:eastAsia="en-ZA"/>
              </w:rPr>
              <w:t>14</w:t>
            </w:r>
          </w:p>
        </w:tc>
        <w:tc>
          <w:tcPr>
            <w:tcW w:w="1980" w:type="dxa"/>
            <w:hideMark/>
          </w:tcPr>
          <w:p w14:paraId="7FDE9BE5"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E – 05/05/03</w:t>
            </w:r>
          </w:p>
          <w:p w14:paraId="1A0FAC03"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- 29/09/03</w:t>
            </w:r>
          </w:p>
        </w:tc>
        <w:tc>
          <w:tcPr>
            <w:tcW w:w="4434" w:type="dxa"/>
            <w:hideMark/>
          </w:tcPr>
          <w:p w14:paraId="6646A077" w14:textId="77777777" w:rsidR="00F27DEC" w:rsidRPr="00F27DEC" w:rsidRDefault="00F27DEC" w:rsidP="00F27DEC">
            <w:pPr>
              <w:spacing w:line="256" w:lineRule="auto"/>
              <w:jc w:val="both"/>
              <w:rPr>
                <w:rFonts w:eastAsia="Calibri" w:cs="Times New Roman"/>
                <w:sz w:val="18"/>
                <w:lang w:eastAsia="en-ZA"/>
              </w:rPr>
            </w:pPr>
            <w:r w:rsidRPr="00F27DEC">
              <w:rPr>
                <w:rFonts w:eastAsia="Calibri" w:cs="Times New Roman"/>
                <w:sz w:val="18"/>
                <w:lang w:eastAsia="en-ZA"/>
              </w:rPr>
              <w:t>Funeral Undertaker By-laws</w:t>
            </w:r>
          </w:p>
        </w:tc>
        <w:tc>
          <w:tcPr>
            <w:tcW w:w="1789" w:type="dxa"/>
            <w:hideMark/>
          </w:tcPr>
          <w:p w14:paraId="3E86E9F8"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04/03/04</w:t>
            </w:r>
          </w:p>
        </w:tc>
      </w:tr>
      <w:tr w:rsidR="00F27DEC" w:rsidRPr="00F27DEC" w14:paraId="462D877B" w14:textId="77777777" w:rsidTr="00F27DEC">
        <w:tc>
          <w:tcPr>
            <w:tcW w:w="709" w:type="dxa"/>
            <w:hideMark/>
          </w:tcPr>
          <w:p w14:paraId="71B9EAC1" w14:textId="77777777" w:rsidR="00F27DEC" w:rsidRPr="00F27DEC" w:rsidRDefault="00F27DEC" w:rsidP="00F27DEC">
            <w:pPr>
              <w:spacing w:line="256" w:lineRule="auto"/>
              <w:jc w:val="center"/>
              <w:rPr>
                <w:rFonts w:eastAsia="Calibri" w:cs="Times New Roman"/>
                <w:sz w:val="18"/>
                <w:lang w:eastAsia="en-ZA"/>
              </w:rPr>
            </w:pPr>
            <w:r w:rsidRPr="00F27DEC">
              <w:rPr>
                <w:rFonts w:eastAsia="Times New Roman" w:cs="Times New Roman"/>
                <w:sz w:val="18"/>
                <w:lang w:eastAsia="en-ZA"/>
              </w:rPr>
              <w:t>15</w:t>
            </w:r>
          </w:p>
        </w:tc>
        <w:tc>
          <w:tcPr>
            <w:tcW w:w="1980" w:type="dxa"/>
            <w:hideMark/>
          </w:tcPr>
          <w:p w14:paraId="046FCFC0"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E – 03/02/03</w:t>
            </w:r>
          </w:p>
          <w:p w14:paraId="50819FF0"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- 24/03/03</w:t>
            </w:r>
          </w:p>
        </w:tc>
        <w:tc>
          <w:tcPr>
            <w:tcW w:w="4434" w:type="dxa"/>
            <w:hideMark/>
          </w:tcPr>
          <w:p w14:paraId="17E193F4" w14:textId="77777777" w:rsidR="00F27DEC" w:rsidRPr="00F27DEC" w:rsidRDefault="00F27DEC" w:rsidP="00F27DEC">
            <w:pPr>
              <w:spacing w:line="256" w:lineRule="auto"/>
              <w:jc w:val="both"/>
              <w:rPr>
                <w:rFonts w:eastAsia="Calibri" w:cs="Times New Roman"/>
                <w:sz w:val="18"/>
                <w:lang w:eastAsia="en-ZA"/>
              </w:rPr>
            </w:pPr>
            <w:r w:rsidRPr="00F27DEC">
              <w:rPr>
                <w:rFonts w:eastAsia="Calibri" w:cs="Times New Roman"/>
                <w:sz w:val="18"/>
                <w:lang w:eastAsia="en-ZA"/>
              </w:rPr>
              <w:t>Lease of Halls and Conference Facilities By-laws</w:t>
            </w:r>
          </w:p>
        </w:tc>
        <w:tc>
          <w:tcPr>
            <w:tcW w:w="1789" w:type="dxa"/>
            <w:hideMark/>
          </w:tcPr>
          <w:p w14:paraId="43F5C258"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10/07/03</w:t>
            </w:r>
          </w:p>
        </w:tc>
      </w:tr>
      <w:tr w:rsidR="00F27DEC" w:rsidRPr="00F27DEC" w14:paraId="7EE0DF06" w14:textId="77777777" w:rsidTr="00F27DEC">
        <w:tc>
          <w:tcPr>
            <w:tcW w:w="709" w:type="dxa"/>
            <w:hideMark/>
          </w:tcPr>
          <w:p w14:paraId="5BB34788" w14:textId="77777777" w:rsidR="00F27DEC" w:rsidRPr="00F27DEC" w:rsidRDefault="00F27DEC" w:rsidP="00F27DEC">
            <w:pPr>
              <w:spacing w:line="256" w:lineRule="auto"/>
              <w:jc w:val="center"/>
              <w:rPr>
                <w:rFonts w:eastAsia="Calibri" w:cs="Times New Roman"/>
                <w:sz w:val="18"/>
                <w:lang w:eastAsia="en-ZA"/>
              </w:rPr>
            </w:pPr>
            <w:r w:rsidRPr="00F27DEC">
              <w:rPr>
                <w:rFonts w:eastAsia="Times New Roman" w:cs="Times New Roman"/>
                <w:sz w:val="18"/>
                <w:lang w:eastAsia="en-ZA"/>
              </w:rPr>
              <w:t>16</w:t>
            </w:r>
          </w:p>
        </w:tc>
        <w:tc>
          <w:tcPr>
            <w:tcW w:w="1980" w:type="dxa"/>
            <w:hideMark/>
          </w:tcPr>
          <w:p w14:paraId="07CC220C"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E – 01/08/05</w:t>
            </w:r>
          </w:p>
          <w:p w14:paraId="3D42E094"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- 26/09/05</w:t>
            </w:r>
          </w:p>
        </w:tc>
        <w:tc>
          <w:tcPr>
            <w:tcW w:w="4434" w:type="dxa"/>
            <w:hideMark/>
          </w:tcPr>
          <w:p w14:paraId="49AE6CC6" w14:textId="77777777" w:rsidR="00F27DEC" w:rsidRPr="00F27DEC" w:rsidRDefault="00F27DEC" w:rsidP="00F27DEC">
            <w:pPr>
              <w:spacing w:line="256" w:lineRule="auto"/>
              <w:jc w:val="both"/>
              <w:rPr>
                <w:rFonts w:eastAsia="Calibri" w:cs="Times New Roman"/>
                <w:sz w:val="18"/>
                <w:lang w:eastAsia="en-ZA"/>
              </w:rPr>
            </w:pPr>
            <w:r w:rsidRPr="00F27DEC">
              <w:rPr>
                <w:rFonts w:eastAsia="Calibri" w:cs="Times New Roman"/>
                <w:sz w:val="18"/>
                <w:lang w:eastAsia="en-ZA"/>
              </w:rPr>
              <w:t>Keeping of Animals By-laws</w:t>
            </w:r>
          </w:p>
        </w:tc>
        <w:tc>
          <w:tcPr>
            <w:tcW w:w="1789" w:type="dxa"/>
            <w:hideMark/>
          </w:tcPr>
          <w:p w14:paraId="438FCE0F"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11/03/10</w:t>
            </w:r>
          </w:p>
        </w:tc>
      </w:tr>
      <w:tr w:rsidR="00F27DEC" w:rsidRPr="00F27DEC" w14:paraId="163D6E18" w14:textId="77777777" w:rsidTr="00F27DEC">
        <w:tc>
          <w:tcPr>
            <w:tcW w:w="709" w:type="dxa"/>
            <w:hideMark/>
          </w:tcPr>
          <w:p w14:paraId="13D8F79F" w14:textId="77777777" w:rsidR="00F27DEC" w:rsidRPr="00F27DEC" w:rsidRDefault="00F27DEC" w:rsidP="00F27DEC">
            <w:pPr>
              <w:spacing w:line="256" w:lineRule="auto"/>
              <w:jc w:val="center"/>
              <w:rPr>
                <w:rFonts w:eastAsia="Calibri" w:cs="Times New Roman"/>
                <w:sz w:val="18"/>
                <w:lang w:eastAsia="en-ZA"/>
              </w:rPr>
            </w:pPr>
            <w:r w:rsidRPr="00F27DEC">
              <w:rPr>
                <w:rFonts w:eastAsia="Times New Roman" w:cs="Times New Roman"/>
                <w:sz w:val="18"/>
                <w:lang w:eastAsia="en-ZA"/>
              </w:rPr>
              <w:t>17</w:t>
            </w:r>
          </w:p>
        </w:tc>
        <w:tc>
          <w:tcPr>
            <w:tcW w:w="1980" w:type="dxa"/>
            <w:hideMark/>
          </w:tcPr>
          <w:p w14:paraId="05A04DC8"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- 26/03/07</w:t>
            </w:r>
          </w:p>
        </w:tc>
        <w:tc>
          <w:tcPr>
            <w:tcW w:w="4434" w:type="dxa"/>
            <w:hideMark/>
          </w:tcPr>
          <w:p w14:paraId="71D49BEA" w14:textId="77777777" w:rsidR="00F27DEC" w:rsidRPr="00F27DEC" w:rsidRDefault="00F27DEC" w:rsidP="00F27DEC">
            <w:pPr>
              <w:spacing w:line="256" w:lineRule="auto"/>
              <w:jc w:val="both"/>
              <w:rPr>
                <w:rFonts w:eastAsia="Calibri" w:cs="Times New Roman"/>
                <w:sz w:val="18"/>
                <w:lang w:eastAsia="en-ZA"/>
              </w:rPr>
            </w:pPr>
            <w:r w:rsidRPr="00F27DEC">
              <w:rPr>
                <w:rFonts w:eastAsia="Calibri" w:cs="Times New Roman"/>
                <w:sz w:val="18"/>
                <w:lang w:eastAsia="en-ZA"/>
              </w:rPr>
              <w:t>Motor Vehicle and Traffic By-laws</w:t>
            </w:r>
          </w:p>
        </w:tc>
        <w:tc>
          <w:tcPr>
            <w:tcW w:w="1789" w:type="dxa"/>
            <w:hideMark/>
          </w:tcPr>
          <w:p w14:paraId="046E4AEF"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11/03/10</w:t>
            </w:r>
          </w:p>
        </w:tc>
      </w:tr>
      <w:tr w:rsidR="00F27DEC" w:rsidRPr="00F27DEC" w14:paraId="3D5FBCD5" w14:textId="77777777" w:rsidTr="00F27DEC">
        <w:tc>
          <w:tcPr>
            <w:tcW w:w="709" w:type="dxa"/>
            <w:hideMark/>
          </w:tcPr>
          <w:p w14:paraId="4DB55C32" w14:textId="77777777" w:rsidR="00F27DEC" w:rsidRPr="00F27DEC" w:rsidRDefault="00F27DEC" w:rsidP="00F27DEC">
            <w:pPr>
              <w:spacing w:line="256" w:lineRule="auto"/>
              <w:jc w:val="center"/>
              <w:rPr>
                <w:rFonts w:eastAsia="Calibri" w:cs="Times New Roman"/>
                <w:sz w:val="18"/>
                <w:lang w:eastAsia="en-ZA"/>
              </w:rPr>
            </w:pPr>
            <w:r w:rsidRPr="00F27DEC">
              <w:rPr>
                <w:rFonts w:eastAsia="Times New Roman" w:cs="Times New Roman"/>
                <w:sz w:val="18"/>
                <w:lang w:eastAsia="en-ZA"/>
              </w:rPr>
              <w:t>18</w:t>
            </w:r>
          </w:p>
        </w:tc>
        <w:tc>
          <w:tcPr>
            <w:tcW w:w="1980" w:type="dxa"/>
            <w:hideMark/>
          </w:tcPr>
          <w:p w14:paraId="419EBCF6"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E – 04/07/05</w:t>
            </w:r>
          </w:p>
          <w:p w14:paraId="01C3F832"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- 26/09/05</w:t>
            </w:r>
          </w:p>
        </w:tc>
        <w:tc>
          <w:tcPr>
            <w:tcW w:w="4434" w:type="dxa"/>
            <w:hideMark/>
          </w:tcPr>
          <w:p w14:paraId="56154CF0" w14:textId="77777777" w:rsidR="00F27DEC" w:rsidRPr="00F27DEC" w:rsidRDefault="00F27DEC" w:rsidP="00F27DEC">
            <w:pPr>
              <w:spacing w:line="256" w:lineRule="auto"/>
              <w:rPr>
                <w:rFonts w:eastAsia="Calibri" w:cs="Times New Roman"/>
                <w:sz w:val="18"/>
                <w:lang w:eastAsia="en-ZA"/>
              </w:rPr>
            </w:pPr>
            <w:r w:rsidRPr="00F27DEC">
              <w:rPr>
                <w:rFonts w:eastAsia="Calibri" w:cs="Times New Roman"/>
                <w:sz w:val="18"/>
                <w:lang w:eastAsia="en-ZA"/>
              </w:rPr>
              <w:t>Municipal Public Transport By-laws</w:t>
            </w:r>
          </w:p>
        </w:tc>
        <w:tc>
          <w:tcPr>
            <w:tcW w:w="1789" w:type="dxa"/>
            <w:hideMark/>
          </w:tcPr>
          <w:p w14:paraId="0A356491"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11/03/10</w:t>
            </w:r>
          </w:p>
        </w:tc>
      </w:tr>
      <w:tr w:rsidR="00F27DEC" w:rsidRPr="00F27DEC" w14:paraId="70DF0DEF" w14:textId="77777777" w:rsidTr="00F27DEC">
        <w:tc>
          <w:tcPr>
            <w:tcW w:w="709" w:type="dxa"/>
            <w:hideMark/>
          </w:tcPr>
          <w:p w14:paraId="1CDC0D06" w14:textId="77777777" w:rsidR="00F27DEC" w:rsidRPr="00F27DEC" w:rsidRDefault="00F27DEC" w:rsidP="00F27DEC">
            <w:pPr>
              <w:spacing w:line="256" w:lineRule="auto"/>
              <w:jc w:val="center"/>
              <w:rPr>
                <w:rFonts w:eastAsia="Calibri" w:cs="Times New Roman"/>
                <w:sz w:val="18"/>
                <w:lang w:eastAsia="en-ZA"/>
              </w:rPr>
            </w:pPr>
            <w:r w:rsidRPr="00F27DEC">
              <w:rPr>
                <w:rFonts w:eastAsia="Times New Roman" w:cs="Times New Roman"/>
                <w:sz w:val="18"/>
                <w:lang w:eastAsia="en-ZA"/>
              </w:rPr>
              <w:t>19</w:t>
            </w:r>
          </w:p>
        </w:tc>
        <w:tc>
          <w:tcPr>
            <w:tcW w:w="1980" w:type="dxa"/>
            <w:hideMark/>
          </w:tcPr>
          <w:p w14:paraId="40EC6A42"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E - 07/06/04</w:t>
            </w:r>
          </w:p>
          <w:p w14:paraId="48B53FF7"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- 28/06/04</w:t>
            </w:r>
          </w:p>
        </w:tc>
        <w:tc>
          <w:tcPr>
            <w:tcW w:w="4434" w:type="dxa"/>
          </w:tcPr>
          <w:p w14:paraId="6C63C656" w14:textId="77777777" w:rsidR="00F27DEC" w:rsidRPr="00F27DEC" w:rsidRDefault="00F27DEC" w:rsidP="00F27DEC">
            <w:pPr>
              <w:spacing w:line="256" w:lineRule="auto"/>
              <w:jc w:val="both"/>
              <w:rPr>
                <w:rFonts w:eastAsia="Calibri" w:cs="Times New Roman"/>
                <w:sz w:val="18"/>
                <w:lang w:eastAsia="en-ZA"/>
              </w:rPr>
            </w:pPr>
            <w:r w:rsidRPr="00F27DEC">
              <w:rPr>
                <w:rFonts w:eastAsia="Calibri" w:cs="Times New Roman"/>
                <w:sz w:val="18"/>
                <w:lang w:eastAsia="en-ZA"/>
              </w:rPr>
              <w:t>Nuisance By-laws</w:t>
            </w:r>
          </w:p>
          <w:p w14:paraId="4ABCC8C1" w14:textId="77777777" w:rsidR="00F27DEC" w:rsidRPr="00F27DEC" w:rsidRDefault="00F27DEC" w:rsidP="00F27DEC">
            <w:pPr>
              <w:spacing w:line="256" w:lineRule="auto"/>
              <w:jc w:val="both"/>
              <w:rPr>
                <w:rFonts w:eastAsia="Calibri" w:cs="Times New Roman"/>
                <w:sz w:val="18"/>
                <w:lang w:eastAsia="en-ZA"/>
              </w:rPr>
            </w:pPr>
          </w:p>
        </w:tc>
        <w:tc>
          <w:tcPr>
            <w:tcW w:w="1789" w:type="dxa"/>
            <w:hideMark/>
          </w:tcPr>
          <w:p w14:paraId="476E632A"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11/11/04</w:t>
            </w:r>
          </w:p>
        </w:tc>
      </w:tr>
      <w:tr w:rsidR="00F27DEC" w:rsidRPr="00F27DEC" w14:paraId="61428AA3" w14:textId="77777777" w:rsidTr="00F27DEC">
        <w:tc>
          <w:tcPr>
            <w:tcW w:w="709" w:type="dxa"/>
            <w:hideMark/>
          </w:tcPr>
          <w:p w14:paraId="38267533" w14:textId="77777777" w:rsidR="00F27DEC" w:rsidRPr="00F27DEC" w:rsidRDefault="00F27DEC" w:rsidP="00F27DEC">
            <w:pPr>
              <w:spacing w:line="256" w:lineRule="auto"/>
              <w:jc w:val="center"/>
              <w:rPr>
                <w:rFonts w:eastAsia="Calibri" w:cs="Times New Roman"/>
                <w:sz w:val="18"/>
                <w:lang w:eastAsia="en-ZA"/>
              </w:rPr>
            </w:pPr>
            <w:r w:rsidRPr="00F27DEC">
              <w:rPr>
                <w:rFonts w:eastAsia="Times New Roman" w:cs="Times New Roman"/>
                <w:sz w:val="18"/>
                <w:lang w:eastAsia="en-ZA"/>
              </w:rPr>
              <w:t>20</w:t>
            </w:r>
          </w:p>
        </w:tc>
        <w:tc>
          <w:tcPr>
            <w:tcW w:w="1980" w:type="dxa"/>
            <w:hideMark/>
          </w:tcPr>
          <w:p w14:paraId="366AE43E"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E – 04/07/05</w:t>
            </w:r>
          </w:p>
          <w:p w14:paraId="3DC2F9A3"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- 26/09/05</w:t>
            </w:r>
          </w:p>
        </w:tc>
        <w:tc>
          <w:tcPr>
            <w:tcW w:w="4434" w:type="dxa"/>
          </w:tcPr>
          <w:p w14:paraId="7BEFB741" w14:textId="77777777" w:rsidR="00F27DEC" w:rsidRPr="00F27DEC" w:rsidRDefault="00F27DEC" w:rsidP="00F27DEC">
            <w:pPr>
              <w:spacing w:line="256" w:lineRule="auto"/>
              <w:jc w:val="both"/>
              <w:rPr>
                <w:rFonts w:eastAsia="Calibri" w:cs="Times New Roman"/>
                <w:sz w:val="18"/>
                <w:lang w:eastAsia="en-ZA"/>
              </w:rPr>
            </w:pPr>
            <w:r w:rsidRPr="00F27DEC">
              <w:rPr>
                <w:rFonts w:eastAsia="Calibri" w:cs="Times New Roman"/>
                <w:sz w:val="18"/>
                <w:lang w:eastAsia="en-ZA"/>
              </w:rPr>
              <w:t>Parking By-laws</w:t>
            </w:r>
          </w:p>
          <w:p w14:paraId="36563F09" w14:textId="77777777" w:rsidR="00F27DEC" w:rsidRPr="00F27DEC" w:rsidRDefault="00F27DEC" w:rsidP="00F27DEC">
            <w:pPr>
              <w:spacing w:line="256" w:lineRule="auto"/>
              <w:jc w:val="both"/>
              <w:rPr>
                <w:rFonts w:eastAsia="Calibri" w:cs="Times New Roman"/>
                <w:sz w:val="18"/>
                <w:lang w:eastAsia="en-ZA"/>
              </w:rPr>
            </w:pPr>
          </w:p>
        </w:tc>
        <w:tc>
          <w:tcPr>
            <w:tcW w:w="1789" w:type="dxa"/>
            <w:hideMark/>
          </w:tcPr>
          <w:p w14:paraId="25BD1104"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11/03/10</w:t>
            </w:r>
          </w:p>
        </w:tc>
      </w:tr>
      <w:tr w:rsidR="00F27DEC" w:rsidRPr="00F27DEC" w14:paraId="54621CD2" w14:textId="77777777" w:rsidTr="00F27DEC">
        <w:tc>
          <w:tcPr>
            <w:tcW w:w="709" w:type="dxa"/>
            <w:hideMark/>
          </w:tcPr>
          <w:p w14:paraId="50CD744B" w14:textId="77777777" w:rsidR="00F27DEC" w:rsidRPr="00F27DEC" w:rsidRDefault="00F27DEC" w:rsidP="00F27DEC">
            <w:pPr>
              <w:spacing w:line="256" w:lineRule="auto"/>
              <w:jc w:val="center"/>
              <w:rPr>
                <w:rFonts w:eastAsia="Calibri" w:cs="Times New Roman"/>
                <w:sz w:val="18"/>
                <w:lang w:eastAsia="en-ZA"/>
              </w:rPr>
            </w:pPr>
            <w:r w:rsidRPr="00F27DEC">
              <w:rPr>
                <w:rFonts w:eastAsia="Times New Roman" w:cs="Times New Roman"/>
                <w:sz w:val="18"/>
                <w:lang w:eastAsia="en-ZA"/>
              </w:rPr>
              <w:t>21</w:t>
            </w:r>
          </w:p>
        </w:tc>
        <w:tc>
          <w:tcPr>
            <w:tcW w:w="1980" w:type="dxa"/>
            <w:hideMark/>
          </w:tcPr>
          <w:p w14:paraId="74F33C5B"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E – 05/02/07</w:t>
            </w:r>
          </w:p>
          <w:p w14:paraId="325F6A77"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- 26/03/07</w:t>
            </w:r>
          </w:p>
        </w:tc>
        <w:tc>
          <w:tcPr>
            <w:tcW w:w="4434" w:type="dxa"/>
            <w:hideMark/>
          </w:tcPr>
          <w:p w14:paraId="1184375E" w14:textId="77777777" w:rsidR="00F27DEC" w:rsidRPr="00F27DEC" w:rsidRDefault="00F27DEC" w:rsidP="00F27DEC">
            <w:pPr>
              <w:spacing w:line="256" w:lineRule="auto"/>
              <w:jc w:val="both"/>
              <w:rPr>
                <w:rFonts w:eastAsia="Calibri" w:cs="Times New Roman"/>
                <w:sz w:val="18"/>
                <w:lang w:eastAsia="en-ZA"/>
              </w:rPr>
            </w:pPr>
            <w:r w:rsidRPr="00F27DEC">
              <w:rPr>
                <w:rFonts w:eastAsia="Calibri" w:cs="Times New Roman"/>
                <w:sz w:val="18"/>
                <w:lang w:eastAsia="en-ZA"/>
              </w:rPr>
              <w:t xml:space="preserve">Pound By-laws </w:t>
            </w:r>
          </w:p>
        </w:tc>
        <w:tc>
          <w:tcPr>
            <w:tcW w:w="1789" w:type="dxa"/>
            <w:hideMark/>
          </w:tcPr>
          <w:p w14:paraId="184CC65A"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11/03/10</w:t>
            </w:r>
          </w:p>
        </w:tc>
      </w:tr>
      <w:tr w:rsidR="00F27DEC" w:rsidRPr="00F27DEC" w14:paraId="375237C4" w14:textId="77777777" w:rsidTr="00F27DEC">
        <w:tc>
          <w:tcPr>
            <w:tcW w:w="709" w:type="dxa"/>
            <w:hideMark/>
          </w:tcPr>
          <w:p w14:paraId="52F891FC" w14:textId="77777777" w:rsidR="00F27DEC" w:rsidRPr="00F27DEC" w:rsidRDefault="00F27DEC" w:rsidP="00F27DEC">
            <w:pPr>
              <w:spacing w:line="256" w:lineRule="auto"/>
              <w:jc w:val="center"/>
              <w:rPr>
                <w:rFonts w:eastAsia="Calibri" w:cs="Times New Roman"/>
                <w:sz w:val="18"/>
                <w:lang w:eastAsia="en-ZA"/>
              </w:rPr>
            </w:pPr>
            <w:r w:rsidRPr="00F27DEC">
              <w:rPr>
                <w:rFonts w:eastAsia="Times New Roman" w:cs="Times New Roman"/>
                <w:sz w:val="18"/>
                <w:lang w:eastAsia="en-ZA"/>
              </w:rPr>
              <w:t>22</w:t>
            </w:r>
          </w:p>
        </w:tc>
        <w:tc>
          <w:tcPr>
            <w:tcW w:w="1980" w:type="dxa"/>
            <w:hideMark/>
          </w:tcPr>
          <w:p w14:paraId="25054764"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E – 05/05/03</w:t>
            </w:r>
          </w:p>
          <w:p w14:paraId="56908ECF"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- 29/09/03</w:t>
            </w:r>
          </w:p>
        </w:tc>
        <w:tc>
          <w:tcPr>
            <w:tcW w:w="4434" w:type="dxa"/>
            <w:hideMark/>
          </w:tcPr>
          <w:p w14:paraId="02C37FFB" w14:textId="77777777" w:rsidR="00F27DEC" w:rsidRPr="00F27DEC" w:rsidRDefault="00F27DEC" w:rsidP="00F27DEC">
            <w:pPr>
              <w:spacing w:line="256" w:lineRule="auto"/>
              <w:jc w:val="both"/>
              <w:rPr>
                <w:rFonts w:eastAsia="Calibri" w:cs="Times New Roman"/>
                <w:sz w:val="18"/>
                <w:lang w:eastAsia="en-ZA"/>
              </w:rPr>
            </w:pPr>
            <w:r w:rsidRPr="00F27DEC">
              <w:rPr>
                <w:rFonts w:eastAsia="Calibri" w:cs="Times New Roman"/>
                <w:sz w:val="18"/>
                <w:lang w:eastAsia="en-ZA"/>
              </w:rPr>
              <w:t>Public Amenities By-laws</w:t>
            </w:r>
          </w:p>
        </w:tc>
        <w:tc>
          <w:tcPr>
            <w:tcW w:w="1789" w:type="dxa"/>
            <w:hideMark/>
          </w:tcPr>
          <w:p w14:paraId="21117F6D"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08/04/04</w:t>
            </w:r>
          </w:p>
        </w:tc>
      </w:tr>
      <w:tr w:rsidR="00F27DEC" w:rsidRPr="00F27DEC" w14:paraId="2B377763" w14:textId="77777777" w:rsidTr="00F27DEC">
        <w:tc>
          <w:tcPr>
            <w:tcW w:w="709" w:type="dxa"/>
            <w:hideMark/>
          </w:tcPr>
          <w:p w14:paraId="68322966" w14:textId="77777777" w:rsidR="00F27DEC" w:rsidRPr="00F27DEC" w:rsidRDefault="00F27DEC" w:rsidP="00F27DEC">
            <w:pPr>
              <w:spacing w:line="256" w:lineRule="auto"/>
              <w:jc w:val="center"/>
              <w:rPr>
                <w:rFonts w:eastAsia="Calibri" w:cs="Times New Roman"/>
                <w:sz w:val="18"/>
                <w:lang w:eastAsia="en-ZA"/>
              </w:rPr>
            </w:pPr>
            <w:r w:rsidRPr="00F27DEC">
              <w:rPr>
                <w:rFonts w:eastAsia="Times New Roman" w:cs="Times New Roman"/>
                <w:sz w:val="18"/>
                <w:lang w:eastAsia="en-ZA"/>
              </w:rPr>
              <w:t>23</w:t>
            </w:r>
          </w:p>
        </w:tc>
        <w:tc>
          <w:tcPr>
            <w:tcW w:w="1980" w:type="dxa"/>
            <w:hideMark/>
          </w:tcPr>
          <w:p w14:paraId="676B2E08"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E – 04/07/05</w:t>
            </w:r>
          </w:p>
          <w:p w14:paraId="15D1CC0A"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- 26/09/05</w:t>
            </w:r>
          </w:p>
        </w:tc>
        <w:tc>
          <w:tcPr>
            <w:tcW w:w="4434" w:type="dxa"/>
          </w:tcPr>
          <w:p w14:paraId="2C8D5B06" w14:textId="77777777" w:rsidR="00F27DEC" w:rsidRPr="00F27DEC" w:rsidRDefault="00F27DEC" w:rsidP="00F27DEC">
            <w:pPr>
              <w:spacing w:line="256" w:lineRule="auto"/>
              <w:jc w:val="both"/>
              <w:rPr>
                <w:rFonts w:eastAsia="Calibri" w:cs="Times New Roman"/>
                <w:sz w:val="18"/>
                <w:lang w:eastAsia="en-ZA"/>
              </w:rPr>
            </w:pPr>
            <w:r w:rsidRPr="00F27DEC">
              <w:rPr>
                <w:rFonts w:eastAsia="Calibri" w:cs="Times New Roman"/>
                <w:sz w:val="18"/>
                <w:lang w:eastAsia="en-ZA"/>
              </w:rPr>
              <w:t>Public Roads By-laws</w:t>
            </w:r>
          </w:p>
          <w:p w14:paraId="45E9C248" w14:textId="77777777" w:rsidR="00F27DEC" w:rsidRPr="00F27DEC" w:rsidRDefault="00F27DEC" w:rsidP="00F27DEC">
            <w:pPr>
              <w:spacing w:line="256" w:lineRule="auto"/>
              <w:jc w:val="both"/>
              <w:rPr>
                <w:rFonts w:eastAsia="Calibri" w:cs="Times New Roman"/>
                <w:sz w:val="18"/>
                <w:lang w:eastAsia="en-ZA"/>
              </w:rPr>
            </w:pPr>
          </w:p>
        </w:tc>
        <w:tc>
          <w:tcPr>
            <w:tcW w:w="1789" w:type="dxa"/>
            <w:hideMark/>
          </w:tcPr>
          <w:p w14:paraId="33CF1A7A"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11/03/10</w:t>
            </w:r>
          </w:p>
        </w:tc>
      </w:tr>
      <w:tr w:rsidR="00F27DEC" w:rsidRPr="00F27DEC" w14:paraId="1A34994D" w14:textId="77777777" w:rsidTr="00F27DEC">
        <w:tc>
          <w:tcPr>
            <w:tcW w:w="709" w:type="dxa"/>
            <w:hideMark/>
          </w:tcPr>
          <w:p w14:paraId="09EBEC3B" w14:textId="77777777" w:rsidR="00F27DEC" w:rsidRPr="00F27DEC" w:rsidRDefault="00F27DEC" w:rsidP="00F27DEC">
            <w:pPr>
              <w:spacing w:line="256" w:lineRule="auto"/>
              <w:jc w:val="center"/>
              <w:rPr>
                <w:rFonts w:eastAsia="Calibri" w:cs="Times New Roman"/>
                <w:sz w:val="18"/>
                <w:lang w:eastAsia="en-ZA"/>
              </w:rPr>
            </w:pPr>
            <w:r w:rsidRPr="00F27DEC">
              <w:rPr>
                <w:rFonts w:eastAsia="Times New Roman" w:cs="Times New Roman"/>
                <w:sz w:val="18"/>
                <w:lang w:eastAsia="en-ZA"/>
              </w:rPr>
              <w:t>24</w:t>
            </w:r>
          </w:p>
        </w:tc>
        <w:tc>
          <w:tcPr>
            <w:tcW w:w="1980" w:type="dxa"/>
            <w:hideMark/>
          </w:tcPr>
          <w:p w14:paraId="3AD2500D"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E – 07/08/06</w:t>
            </w:r>
          </w:p>
          <w:p w14:paraId="3155DA8A"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- 26/09/06</w:t>
            </w:r>
          </w:p>
        </w:tc>
        <w:tc>
          <w:tcPr>
            <w:tcW w:w="4434" w:type="dxa"/>
          </w:tcPr>
          <w:p w14:paraId="45ADB57A" w14:textId="77777777" w:rsidR="00F27DEC" w:rsidRPr="00F27DEC" w:rsidRDefault="00F27DEC" w:rsidP="00F27DEC">
            <w:pPr>
              <w:spacing w:line="256" w:lineRule="auto"/>
              <w:jc w:val="both"/>
              <w:rPr>
                <w:rFonts w:eastAsia="Calibri" w:cs="Times New Roman"/>
                <w:sz w:val="18"/>
                <w:lang w:eastAsia="en-ZA"/>
              </w:rPr>
            </w:pPr>
            <w:r w:rsidRPr="00F27DEC">
              <w:rPr>
                <w:rFonts w:eastAsia="Calibri" w:cs="Times New Roman"/>
                <w:sz w:val="18"/>
                <w:lang w:eastAsia="en-ZA"/>
              </w:rPr>
              <w:t>Refuse By-laws</w:t>
            </w:r>
          </w:p>
          <w:p w14:paraId="3417DEE4" w14:textId="77777777" w:rsidR="00F27DEC" w:rsidRPr="00F27DEC" w:rsidRDefault="00F27DEC" w:rsidP="00F27DEC">
            <w:pPr>
              <w:spacing w:line="256" w:lineRule="auto"/>
              <w:jc w:val="both"/>
              <w:rPr>
                <w:rFonts w:eastAsia="Calibri" w:cs="Times New Roman"/>
                <w:sz w:val="18"/>
                <w:lang w:eastAsia="en-ZA"/>
              </w:rPr>
            </w:pPr>
          </w:p>
        </w:tc>
        <w:tc>
          <w:tcPr>
            <w:tcW w:w="1789" w:type="dxa"/>
            <w:hideMark/>
          </w:tcPr>
          <w:p w14:paraId="12CE94F1"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11/03/10</w:t>
            </w:r>
          </w:p>
        </w:tc>
      </w:tr>
      <w:tr w:rsidR="00F27DEC" w:rsidRPr="00F27DEC" w14:paraId="207F9F35" w14:textId="77777777" w:rsidTr="00F27DEC">
        <w:tc>
          <w:tcPr>
            <w:tcW w:w="709" w:type="dxa"/>
            <w:hideMark/>
          </w:tcPr>
          <w:p w14:paraId="6EE9D7D7" w14:textId="77777777" w:rsidR="00F27DEC" w:rsidRPr="00F27DEC" w:rsidRDefault="00F27DEC" w:rsidP="00F27DEC">
            <w:pPr>
              <w:spacing w:line="256" w:lineRule="auto"/>
              <w:jc w:val="center"/>
              <w:rPr>
                <w:rFonts w:eastAsia="Calibri" w:cs="Times New Roman"/>
                <w:sz w:val="18"/>
                <w:lang w:eastAsia="en-ZA"/>
              </w:rPr>
            </w:pPr>
            <w:r w:rsidRPr="00F27DEC">
              <w:rPr>
                <w:rFonts w:eastAsia="Times New Roman" w:cs="Times New Roman"/>
                <w:sz w:val="18"/>
                <w:lang w:eastAsia="en-ZA"/>
              </w:rPr>
              <w:t>25</w:t>
            </w:r>
          </w:p>
        </w:tc>
        <w:tc>
          <w:tcPr>
            <w:tcW w:w="1980" w:type="dxa"/>
            <w:hideMark/>
          </w:tcPr>
          <w:p w14:paraId="1C0A4E24"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E – 04/07/05</w:t>
            </w:r>
          </w:p>
          <w:p w14:paraId="52647872"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- 26/09/05</w:t>
            </w:r>
          </w:p>
        </w:tc>
        <w:tc>
          <w:tcPr>
            <w:tcW w:w="4434" w:type="dxa"/>
          </w:tcPr>
          <w:p w14:paraId="736D7E2F" w14:textId="77777777" w:rsidR="00F27DEC" w:rsidRPr="00F27DEC" w:rsidRDefault="00F27DEC" w:rsidP="00F27DEC">
            <w:pPr>
              <w:spacing w:line="256" w:lineRule="auto"/>
              <w:jc w:val="both"/>
              <w:rPr>
                <w:rFonts w:eastAsia="Calibri" w:cs="Times New Roman"/>
                <w:sz w:val="18"/>
                <w:lang w:eastAsia="en-ZA"/>
              </w:rPr>
            </w:pPr>
            <w:r w:rsidRPr="00F27DEC">
              <w:rPr>
                <w:rFonts w:eastAsia="Calibri" w:cs="Times New Roman"/>
                <w:sz w:val="18"/>
                <w:lang w:eastAsia="en-ZA"/>
              </w:rPr>
              <w:t>Street Trading By-laws</w:t>
            </w:r>
          </w:p>
          <w:p w14:paraId="4A8EC9EF" w14:textId="77777777" w:rsidR="00F27DEC" w:rsidRPr="00F27DEC" w:rsidRDefault="00F27DEC" w:rsidP="00F27DEC">
            <w:pPr>
              <w:spacing w:line="256" w:lineRule="auto"/>
              <w:jc w:val="center"/>
              <w:rPr>
                <w:rFonts w:eastAsia="Calibri" w:cs="Times New Roman"/>
                <w:sz w:val="18"/>
                <w:lang w:eastAsia="en-ZA"/>
              </w:rPr>
            </w:pPr>
          </w:p>
        </w:tc>
        <w:tc>
          <w:tcPr>
            <w:tcW w:w="1789" w:type="dxa"/>
            <w:hideMark/>
          </w:tcPr>
          <w:p w14:paraId="62E5AF36"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11/03/10</w:t>
            </w:r>
          </w:p>
        </w:tc>
      </w:tr>
      <w:tr w:rsidR="00F27DEC" w:rsidRPr="00F27DEC" w14:paraId="249EFEE4" w14:textId="77777777" w:rsidTr="00F27DEC">
        <w:tc>
          <w:tcPr>
            <w:tcW w:w="709" w:type="dxa"/>
            <w:hideMark/>
          </w:tcPr>
          <w:p w14:paraId="5B0B8001" w14:textId="77777777" w:rsidR="00F27DEC" w:rsidRPr="00F27DEC" w:rsidRDefault="00F27DEC" w:rsidP="00F27DEC">
            <w:pPr>
              <w:spacing w:line="256" w:lineRule="auto"/>
              <w:jc w:val="center"/>
              <w:rPr>
                <w:rFonts w:eastAsia="Calibri" w:cs="Times New Roman"/>
                <w:sz w:val="18"/>
                <w:lang w:eastAsia="en-ZA"/>
              </w:rPr>
            </w:pPr>
            <w:r w:rsidRPr="00F27DEC">
              <w:rPr>
                <w:rFonts w:eastAsia="Times New Roman" w:cs="Times New Roman"/>
                <w:sz w:val="18"/>
                <w:lang w:eastAsia="en-ZA"/>
              </w:rPr>
              <w:t>26</w:t>
            </w:r>
          </w:p>
        </w:tc>
        <w:tc>
          <w:tcPr>
            <w:tcW w:w="1980" w:type="dxa"/>
            <w:hideMark/>
          </w:tcPr>
          <w:p w14:paraId="633A98B4"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E – 04/07/05</w:t>
            </w:r>
          </w:p>
          <w:p w14:paraId="5A011246"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- 26/09/05</w:t>
            </w:r>
          </w:p>
        </w:tc>
        <w:tc>
          <w:tcPr>
            <w:tcW w:w="4434" w:type="dxa"/>
            <w:hideMark/>
          </w:tcPr>
          <w:p w14:paraId="7626DBF2" w14:textId="77777777" w:rsidR="00F27DEC" w:rsidRPr="00F27DEC" w:rsidRDefault="00F27DEC" w:rsidP="00F27DEC">
            <w:pPr>
              <w:spacing w:line="256" w:lineRule="auto"/>
              <w:rPr>
                <w:rFonts w:eastAsia="Calibri" w:cs="Times New Roman"/>
                <w:sz w:val="18"/>
                <w:lang w:eastAsia="en-ZA"/>
              </w:rPr>
            </w:pPr>
            <w:r w:rsidRPr="00F27DEC">
              <w:rPr>
                <w:rFonts w:eastAsia="Calibri" w:cs="Times New Roman"/>
                <w:sz w:val="18"/>
                <w:lang w:eastAsia="en-ZA"/>
              </w:rPr>
              <w:t>Storm Water Management By-laws</w:t>
            </w:r>
          </w:p>
        </w:tc>
        <w:tc>
          <w:tcPr>
            <w:tcW w:w="1789" w:type="dxa"/>
            <w:hideMark/>
          </w:tcPr>
          <w:p w14:paraId="4BD0CEEC"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11/03/10</w:t>
            </w:r>
          </w:p>
        </w:tc>
      </w:tr>
      <w:tr w:rsidR="00F27DEC" w:rsidRPr="00F27DEC" w14:paraId="34A4B8BB" w14:textId="77777777" w:rsidTr="00F27DEC">
        <w:tc>
          <w:tcPr>
            <w:tcW w:w="709" w:type="dxa"/>
          </w:tcPr>
          <w:p w14:paraId="02A52B6D" w14:textId="77777777" w:rsidR="00F27DEC" w:rsidRPr="00F27DEC" w:rsidRDefault="00F27DEC" w:rsidP="00F27DEC">
            <w:pPr>
              <w:spacing w:line="256" w:lineRule="auto"/>
              <w:jc w:val="center"/>
              <w:rPr>
                <w:rFonts w:eastAsia="Times New Roman" w:cs="Times New Roman"/>
                <w:sz w:val="18"/>
                <w:lang w:eastAsia="en-ZA"/>
              </w:rPr>
            </w:pPr>
            <w:r w:rsidRPr="00F27DEC">
              <w:rPr>
                <w:rFonts w:eastAsia="Times New Roman" w:cs="Times New Roman"/>
                <w:sz w:val="18"/>
                <w:lang w:eastAsia="en-ZA"/>
              </w:rPr>
              <w:t>27</w:t>
            </w:r>
          </w:p>
        </w:tc>
        <w:tc>
          <w:tcPr>
            <w:tcW w:w="1980" w:type="dxa"/>
          </w:tcPr>
          <w:p w14:paraId="157FA9BA"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C – 28/13/2017</w:t>
            </w:r>
          </w:p>
        </w:tc>
        <w:tc>
          <w:tcPr>
            <w:tcW w:w="4434" w:type="dxa"/>
          </w:tcPr>
          <w:p w14:paraId="5D9EEFBB" w14:textId="77777777" w:rsidR="00F27DEC" w:rsidRPr="00F27DEC" w:rsidRDefault="00F27DEC" w:rsidP="00F27DEC">
            <w:pPr>
              <w:spacing w:line="256" w:lineRule="auto"/>
              <w:rPr>
                <w:rFonts w:eastAsia="Calibri" w:cs="Times New Roman"/>
                <w:sz w:val="18"/>
                <w:lang w:eastAsia="en-ZA"/>
              </w:rPr>
            </w:pPr>
            <w:r w:rsidRPr="00F27DEC">
              <w:rPr>
                <w:rFonts w:eastAsia="Calibri" w:cs="Times New Roman"/>
                <w:sz w:val="18"/>
                <w:lang w:eastAsia="en-ZA"/>
              </w:rPr>
              <w:t>Standing Rules and Orders</w:t>
            </w:r>
          </w:p>
        </w:tc>
        <w:tc>
          <w:tcPr>
            <w:tcW w:w="1789" w:type="dxa"/>
          </w:tcPr>
          <w:p w14:paraId="355FBB64" w14:textId="77777777" w:rsidR="00F27DEC" w:rsidRPr="00F27DEC" w:rsidRDefault="00F27DEC" w:rsidP="00F27DEC">
            <w:pPr>
              <w:spacing w:line="256" w:lineRule="auto"/>
              <w:jc w:val="center"/>
              <w:rPr>
                <w:rFonts w:eastAsia="Calibri" w:cs="Times New Roman"/>
                <w:sz w:val="18"/>
                <w:lang w:eastAsia="en-ZA"/>
              </w:rPr>
            </w:pPr>
            <w:r w:rsidRPr="00F27DEC">
              <w:rPr>
                <w:rFonts w:eastAsia="Calibri" w:cs="Times New Roman"/>
                <w:sz w:val="18"/>
                <w:lang w:eastAsia="en-ZA"/>
              </w:rPr>
              <w:t>20/04/17</w:t>
            </w:r>
          </w:p>
        </w:tc>
      </w:tr>
    </w:tbl>
    <w:p w14:paraId="28DD2D5D" w14:textId="77777777" w:rsidR="002C66C9" w:rsidRDefault="002C66C9" w:rsidP="00395313">
      <w:pPr>
        <w:jc w:val="both"/>
      </w:pPr>
    </w:p>
    <w:p w14:paraId="4821FEBC" w14:textId="77777777" w:rsidR="00992B24" w:rsidRPr="00BB6855" w:rsidRDefault="00654EDF" w:rsidP="00750180">
      <w:pPr>
        <w:pStyle w:val="Heading2"/>
        <w:numPr>
          <w:ilvl w:val="1"/>
          <w:numId w:val="127"/>
        </w:numPr>
      </w:pPr>
      <w:bookmarkStart w:id="585" w:name="_Toc389740077"/>
      <w:bookmarkStart w:id="586" w:name="_Toc510706667"/>
      <w:r w:rsidRPr="00BB6855">
        <w:t>PUBLIC PARTICIPATION ANALYSIS</w:t>
      </w:r>
      <w:bookmarkEnd w:id="585"/>
      <w:bookmarkEnd w:id="586"/>
    </w:p>
    <w:p w14:paraId="5B3643BE" w14:textId="77777777" w:rsidR="00026667" w:rsidRPr="00881795" w:rsidRDefault="00026667" w:rsidP="00395313">
      <w:pPr>
        <w:jc w:val="both"/>
        <w:rPr>
          <w:rFonts w:cs="Calibri"/>
          <w:color w:val="000000" w:themeColor="text1"/>
        </w:rPr>
      </w:pPr>
      <w:r w:rsidRPr="00881795">
        <w:rPr>
          <w:rFonts w:cs="Calibri"/>
          <w:color w:val="000000" w:themeColor="text1"/>
        </w:rPr>
        <w:t>The uMlalazi Communication Plan was completed in 2007 and subsequently revised.</w:t>
      </w:r>
    </w:p>
    <w:p w14:paraId="4BD1BADF" w14:textId="77777777" w:rsidR="00026667" w:rsidRPr="007B3A20" w:rsidRDefault="00026667" w:rsidP="00395313">
      <w:pPr>
        <w:jc w:val="both"/>
        <w:outlineLvl w:val="0"/>
        <w:rPr>
          <w:rFonts w:cs="Calibri"/>
          <w:color w:val="000000" w:themeColor="text1"/>
        </w:rPr>
      </w:pPr>
      <w:bookmarkStart w:id="587" w:name="_Toc389740078"/>
      <w:r w:rsidRPr="007B3A20">
        <w:rPr>
          <w:rFonts w:cs="Calibri"/>
          <w:color w:val="000000" w:themeColor="text1"/>
        </w:rPr>
        <w:t>The Objectives of the Communication Plan are:</w:t>
      </w:r>
      <w:bookmarkEnd w:id="587"/>
    </w:p>
    <w:p w14:paraId="47FAD79A" w14:textId="77777777" w:rsidR="00026667" w:rsidRPr="007B3A20" w:rsidRDefault="00026667" w:rsidP="00750180">
      <w:pPr>
        <w:pStyle w:val="Heading3"/>
        <w:numPr>
          <w:ilvl w:val="2"/>
          <w:numId w:val="127"/>
        </w:numPr>
      </w:pPr>
      <w:bookmarkStart w:id="588" w:name="_Toc389740079"/>
      <w:bookmarkStart w:id="589" w:name="_Toc510706668"/>
      <w:r w:rsidRPr="007B3A20">
        <w:t>Public Education</w:t>
      </w:r>
      <w:bookmarkEnd w:id="588"/>
      <w:bookmarkEnd w:id="589"/>
    </w:p>
    <w:p w14:paraId="7D2DF992" w14:textId="77777777" w:rsidR="00026667" w:rsidRPr="00881795" w:rsidRDefault="00026667" w:rsidP="00E31338">
      <w:pPr>
        <w:pStyle w:val="ListParagraph"/>
        <w:numPr>
          <w:ilvl w:val="0"/>
          <w:numId w:val="1"/>
        </w:numPr>
        <w:spacing w:line="288" w:lineRule="auto"/>
        <w:jc w:val="both"/>
        <w:rPr>
          <w:szCs w:val="20"/>
        </w:rPr>
      </w:pPr>
      <w:r w:rsidRPr="00881795">
        <w:rPr>
          <w:szCs w:val="20"/>
        </w:rPr>
        <w:t>To educate the community about the roles, functions and processes of Council.</w:t>
      </w:r>
    </w:p>
    <w:p w14:paraId="67CC52F1" w14:textId="77777777" w:rsidR="00026667" w:rsidRPr="00881795" w:rsidRDefault="00026667" w:rsidP="00E31338">
      <w:pPr>
        <w:pStyle w:val="ListParagraph"/>
        <w:numPr>
          <w:ilvl w:val="0"/>
          <w:numId w:val="1"/>
        </w:numPr>
        <w:spacing w:line="288" w:lineRule="auto"/>
        <w:jc w:val="both"/>
        <w:rPr>
          <w:szCs w:val="20"/>
        </w:rPr>
      </w:pPr>
      <w:r w:rsidRPr="00881795">
        <w:rPr>
          <w:szCs w:val="20"/>
        </w:rPr>
        <w:t>To develop and maintain correct public perception on government delivery.</w:t>
      </w:r>
    </w:p>
    <w:p w14:paraId="2496DFF6" w14:textId="77777777" w:rsidR="00026667" w:rsidRPr="00881795" w:rsidRDefault="00026667" w:rsidP="00E31338">
      <w:pPr>
        <w:pStyle w:val="ListParagraph"/>
        <w:numPr>
          <w:ilvl w:val="0"/>
          <w:numId w:val="1"/>
        </w:numPr>
        <w:spacing w:line="288" w:lineRule="auto"/>
        <w:jc w:val="both"/>
        <w:rPr>
          <w:szCs w:val="20"/>
        </w:rPr>
      </w:pPr>
      <w:r w:rsidRPr="00881795">
        <w:rPr>
          <w:szCs w:val="20"/>
        </w:rPr>
        <w:t>To forge links with the media.</w:t>
      </w:r>
    </w:p>
    <w:p w14:paraId="4B1AB63C" w14:textId="77777777" w:rsidR="00026667" w:rsidRPr="00881795" w:rsidRDefault="00026667" w:rsidP="00E31338">
      <w:pPr>
        <w:pStyle w:val="ListParagraph"/>
        <w:numPr>
          <w:ilvl w:val="0"/>
          <w:numId w:val="1"/>
        </w:numPr>
        <w:spacing w:line="288" w:lineRule="auto"/>
        <w:jc w:val="both"/>
        <w:rPr>
          <w:szCs w:val="20"/>
        </w:rPr>
      </w:pPr>
      <w:r w:rsidRPr="00881795">
        <w:rPr>
          <w:szCs w:val="20"/>
        </w:rPr>
        <w:t>To educate the people about their rights and obligations, more especially, on the kind and quality of services they are entitled to, and understand why they have to pay for these services.</w:t>
      </w:r>
    </w:p>
    <w:p w14:paraId="5ACDFBC7" w14:textId="77777777" w:rsidR="00026667" w:rsidRPr="00881795" w:rsidRDefault="00026667" w:rsidP="00E31338">
      <w:pPr>
        <w:pStyle w:val="ListParagraph"/>
        <w:numPr>
          <w:ilvl w:val="0"/>
          <w:numId w:val="1"/>
        </w:numPr>
        <w:spacing w:line="288" w:lineRule="auto"/>
        <w:jc w:val="both"/>
        <w:rPr>
          <w:szCs w:val="20"/>
        </w:rPr>
      </w:pPr>
      <w:r w:rsidRPr="00881795">
        <w:rPr>
          <w:szCs w:val="20"/>
        </w:rPr>
        <w:t>To inform the community about the king of services provided by the municipality vis-a-vis those delivered by the provincial and government, and the costs thereof.</w:t>
      </w:r>
    </w:p>
    <w:p w14:paraId="2B40F549" w14:textId="77777777" w:rsidR="00026667" w:rsidRDefault="00026667" w:rsidP="00E31338">
      <w:pPr>
        <w:pStyle w:val="ListParagraph"/>
        <w:numPr>
          <w:ilvl w:val="0"/>
          <w:numId w:val="1"/>
        </w:numPr>
        <w:spacing w:line="288" w:lineRule="auto"/>
        <w:jc w:val="both"/>
        <w:rPr>
          <w:szCs w:val="20"/>
        </w:rPr>
      </w:pPr>
      <w:r w:rsidRPr="00881795">
        <w:rPr>
          <w:szCs w:val="20"/>
        </w:rPr>
        <w:t>To enhance communication between the three spheres of government and all the stakeholders.</w:t>
      </w:r>
    </w:p>
    <w:p w14:paraId="760EABE3" w14:textId="77777777" w:rsidR="007B3A20" w:rsidRPr="00881795" w:rsidRDefault="007B3A20" w:rsidP="007B3A20">
      <w:pPr>
        <w:pStyle w:val="ListParagraph"/>
        <w:spacing w:line="288" w:lineRule="auto"/>
        <w:ind w:left="360"/>
        <w:jc w:val="both"/>
        <w:rPr>
          <w:szCs w:val="20"/>
        </w:rPr>
      </w:pPr>
    </w:p>
    <w:p w14:paraId="2BE5106A" w14:textId="77777777" w:rsidR="00026667" w:rsidRPr="00BB6855" w:rsidRDefault="00026667" w:rsidP="00750180">
      <w:pPr>
        <w:pStyle w:val="Heading3"/>
        <w:numPr>
          <w:ilvl w:val="2"/>
          <w:numId w:val="127"/>
        </w:numPr>
      </w:pPr>
      <w:bookmarkStart w:id="590" w:name="_Toc389740080"/>
      <w:bookmarkStart w:id="591" w:name="_Toc510706669"/>
      <w:r w:rsidRPr="00BB6855">
        <w:t>Public Participation</w:t>
      </w:r>
      <w:bookmarkEnd w:id="590"/>
      <w:bookmarkEnd w:id="591"/>
    </w:p>
    <w:p w14:paraId="0DB36A2F" w14:textId="77777777" w:rsidR="00026667" w:rsidRPr="00881795" w:rsidRDefault="00026667" w:rsidP="00E31338">
      <w:pPr>
        <w:pStyle w:val="ListParagraph"/>
        <w:numPr>
          <w:ilvl w:val="0"/>
          <w:numId w:val="1"/>
        </w:numPr>
        <w:spacing w:line="288" w:lineRule="auto"/>
        <w:jc w:val="both"/>
        <w:rPr>
          <w:szCs w:val="20"/>
        </w:rPr>
      </w:pPr>
      <w:r w:rsidRPr="00881795">
        <w:rPr>
          <w:szCs w:val="20"/>
        </w:rPr>
        <w:t>To inform the community about the resolutions and programs of Council.</w:t>
      </w:r>
    </w:p>
    <w:p w14:paraId="36FD3EFA" w14:textId="77777777" w:rsidR="00026667" w:rsidRPr="00881795" w:rsidRDefault="00026667" w:rsidP="00E31338">
      <w:pPr>
        <w:pStyle w:val="ListParagraph"/>
        <w:numPr>
          <w:ilvl w:val="0"/>
          <w:numId w:val="1"/>
        </w:numPr>
        <w:spacing w:line="288" w:lineRule="auto"/>
        <w:jc w:val="both"/>
        <w:rPr>
          <w:szCs w:val="20"/>
        </w:rPr>
      </w:pPr>
      <w:r w:rsidRPr="00881795">
        <w:rPr>
          <w:szCs w:val="20"/>
        </w:rPr>
        <w:t>To foster healthy relations with the communities so that they identify with Council.</w:t>
      </w:r>
    </w:p>
    <w:p w14:paraId="2C65D59D" w14:textId="77777777" w:rsidR="00026667" w:rsidRPr="00881795" w:rsidRDefault="00026667" w:rsidP="00E31338">
      <w:pPr>
        <w:pStyle w:val="ListParagraph"/>
        <w:numPr>
          <w:ilvl w:val="0"/>
          <w:numId w:val="1"/>
        </w:numPr>
        <w:spacing w:line="288" w:lineRule="auto"/>
        <w:jc w:val="both"/>
        <w:rPr>
          <w:szCs w:val="20"/>
        </w:rPr>
      </w:pPr>
      <w:r w:rsidRPr="00881795">
        <w:rPr>
          <w:szCs w:val="20"/>
        </w:rPr>
        <w:t xml:space="preserve">To encourage public involvement in the </w:t>
      </w:r>
      <w:r w:rsidR="00D521D4">
        <w:rPr>
          <w:szCs w:val="20"/>
        </w:rPr>
        <w:t>*</w:t>
      </w:r>
      <w:r w:rsidRPr="00881795">
        <w:rPr>
          <w:szCs w:val="20"/>
        </w:rPr>
        <w:t>activities of the municipality.</w:t>
      </w:r>
    </w:p>
    <w:p w14:paraId="59C0A4E0" w14:textId="77777777" w:rsidR="00026667" w:rsidRPr="00881795" w:rsidRDefault="00026667" w:rsidP="00E31338">
      <w:pPr>
        <w:pStyle w:val="ListParagraph"/>
        <w:numPr>
          <w:ilvl w:val="0"/>
          <w:numId w:val="1"/>
        </w:numPr>
        <w:spacing w:line="288" w:lineRule="auto"/>
        <w:jc w:val="both"/>
        <w:rPr>
          <w:szCs w:val="20"/>
        </w:rPr>
      </w:pPr>
      <w:r w:rsidRPr="00881795">
        <w:rPr>
          <w:szCs w:val="20"/>
        </w:rPr>
        <w:t>To produce an informed and responsive citizenry capable of making a meaningful contribution to the work of Council.</w:t>
      </w:r>
    </w:p>
    <w:p w14:paraId="4E821218" w14:textId="77777777" w:rsidR="00026667" w:rsidRDefault="00026667" w:rsidP="00E31338">
      <w:pPr>
        <w:pStyle w:val="ListParagraph"/>
        <w:numPr>
          <w:ilvl w:val="0"/>
          <w:numId w:val="1"/>
        </w:numPr>
        <w:spacing w:line="288" w:lineRule="auto"/>
        <w:jc w:val="both"/>
        <w:rPr>
          <w:szCs w:val="20"/>
        </w:rPr>
      </w:pPr>
      <w:r w:rsidRPr="00881795">
        <w:rPr>
          <w:szCs w:val="20"/>
        </w:rPr>
        <w:t>To ensure that the community is at the center of developmental programs of their local government.</w:t>
      </w:r>
    </w:p>
    <w:p w14:paraId="6EFD120F" w14:textId="77777777" w:rsidR="007B3A20" w:rsidRPr="00881795" w:rsidRDefault="007B3A20" w:rsidP="007B3A20">
      <w:pPr>
        <w:pStyle w:val="ListParagraph"/>
        <w:spacing w:line="288" w:lineRule="auto"/>
        <w:ind w:left="360"/>
        <w:jc w:val="both"/>
        <w:rPr>
          <w:szCs w:val="20"/>
        </w:rPr>
      </w:pPr>
    </w:p>
    <w:p w14:paraId="7DAAC680" w14:textId="77777777" w:rsidR="00026667" w:rsidRPr="00BB6855" w:rsidRDefault="00026667" w:rsidP="00750180">
      <w:pPr>
        <w:pStyle w:val="Heading3"/>
        <w:numPr>
          <w:ilvl w:val="2"/>
          <w:numId w:val="127"/>
        </w:numPr>
      </w:pPr>
      <w:bookmarkStart w:id="592" w:name="_Toc389740081"/>
      <w:bookmarkStart w:id="593" w:name="_Toc510706670"/>
      <w:r w:rsidRPr="00BB6855">
        <w:t>Performance Management</w:t>
      </w:r>
      <w:bookmarkEnd w:id="592"/>
      <w:bookmarkEnd w:id="593"/>
    </w:p>
    <w:p w14:paraId="1B8E22D9" w14:textId="77777777" w:rsidR="00026667" w:rsidRPr="00881795" w:rsidRDefault="00026667" w:rsidP="00E31338">
      <w:pPr>
        <w:pStyle w:val="ListParagraph"/>
        <w:numPr>
          <w:ilvl w:val="0"/>
          <w:numId w:val="1"/>
        </w:numPr>
        <w:spacing w:line="288" w:lineRule="auto"/>
        <w:jc w:val="both"/>
        <w:rPr>
          <w:szCs w:val="20"/>
        </w:rPr>
      </w:pPr>
      <w:r w:rsidRPr="00881795">
        <w:rPr>
          <w:szCs w:val="20"/>
        </w:rPr>
        <w:t>To improve communication and efficiency within Council.</w:t>
      </w:r>
    </w:p>
    <w:p w14:paraId="36DBAC89" w14:textId="77777777" w:rsidR="00026667" w:rsidRPr="00881795" w:rsidRDefault="00026667" w:rsidP="00E31338">
      <w:pPr>
        <w:pStyle w:val="ListParagraph"/>
        <w:numPr>
          <w:ilvl w:val="0"/>
          <w:numId w:val="1"/>
        </w:numPr>
        <w:spacing w:line="288" w:lineRule="auto"/>
        <w:jc w:val="both"/>
        <w:rPr>
          <w:szCs w:val="20"/>
        </w:rPr>
      </w:pPr>
      <w:r w:rsidRPr="00881795">
        <w:rPr>
          <w:szCs w:val="20"/>
        </w:rPr>
        <w:t>To show case (exhibit) the achievements of the municipality.</w:t>
      </w:r>
    </w:p>
    <w:p w14:paraId="2476C51C" w14:textId="77777777" w:rsidR="00026667" w:rsidRPr="00881795" w:rsidRDefault="00026667" w:rsidP="00E31338">
      <w:pPr>
        <w:pStyle w:val="ListParagraph"/>
        <w:numPr>
          <w:ilvl w:val="0"/>
          <w:numId w:val="1"/>
        </w:numPr>
        <w:spacing w:line="288" w:lineRule="auto"/>
        <w:jc w:val="both"/>
        <w:rPr>
          <w:szCs w:val="20"/>
        </w:rPr>
      </w:pPr>
      <w:r w:rsidRPr="00881795">
        <w:rPr>
          <w:szCs w:val="20"/>
        </w:rPr>
        <w:t>To receive and provide feedback (evaluation) about municipal programs.</w:t>
      </w:r>
    </w:p>
    <w:p w14:paraId="7B7485A1" w14:textId="77777777" w:rsidR="00026667" w:rsidRDefault="00026667" w:rsidP="00E31338">
      <w:pPr>
        <w:pStyle w:val="ListParagraph"/>
        <w:numPr>
          <w:ilvl w:val="0"/>
          <w:numId w:val="1"/>
        </w:numPr>
        <w:spacing w:line="288" w:lineRule="auto"/>
        <w:jc w:val="both"/>
        <w:rPr>
          <w:szCs w:val="20"/>
        </w:rPr>
      </w:pPr>
      <w:r w:rsidRPr="00881795">
        <w:rPr>
          <w:szCs w:val="20"/>
        </w:rPr>
        <w:t>To reassure people that Council cares and works hard to solve their problems.</w:t>
      </w:r>
    </w:p>
    <w:p w14:paraId="4037761D" w14:textId="77777777" w:rsidR="007B3A20" w:rsidRPr="00881795" w:rsidRDefault="007B3A20" w:rsidP="007B3A20">
      <w:pPr>
        <w:pStyle w:val="ListParagraph"/>
        <w:spacing w:line="288" w:lineRule="auto"/>
        <w:ind w:left="360"/>
        <w:jc w:val="both"/>
        <w:rPr>
          <w:szCs w:val="20"/>
        </w:rPr>
      </w:pPr>
    </w:p>
    <w:p w14:paraId="2ABAFD7E" w14:textId="77777777" w:rsidR="00026667" w:rsidRPr="007B3A20" w:rsidRDefault="00026667" w:rsidP="00750180">
      <w:pPr>
        <w:pStyle w:val="Heading3"/>
        <w:numPr>
          <w:ilvl w:val="2"/>
          <w:numId w:val="127"/>
        </w:numPr>
        <w:rPr>
          <w:rFonts w:cs="Calibri"/>
          <w:b w:val="0"/>
          <w:bCs w:val="0"/>
          <w:color w:val="000000" w:themeColor="text1"/>
        </w:rPr>
      </w:pPr>
      <w:bookmarkStart w:id="594" w:name="_Toc389740082"/>
      <w:bookmarkStart w:id="595" w:name="_Toc510706671"/>
      <w:r w:rsidRPr="00BB6855">
        <w:t>Marketing/Branding</w:t>
      </w:r>
      <w:bookmarkEnd w:id="594"/>
      <w:bookmarkEnd w:id="595"/>
    </w:p>
    <w:p w14:paraId="629BA523" w14:textId="77777777" w:rsidR="00026667" w:rsidRPr="00881795" w:rsidRDefault="00026667" w:rsidP="00E31338">
      <w:pPr>
        <w:pStyle w:val="ListParagraph"/>
        <w:numPr>
          <w:ilvl w:val="0"/>
          <w:numId w:val="1"/>
        </w:numPr>
        <w:spacing w:line="288" w:lineRule="auto"/>
        <w:jc w:val="both"/>
        <w:rPr>
          <w:szCs w:val="20"/>
        </w:rPr>
      </w:pPr>
      <w:r w:rsidRPr="00881795">
        <w:rPr>
          <w:szCs w:val="20"/>
        </w:rPr>
        <w:t>To position the uMlalazi Municipal Council as a professional organization.</w:t>
      </w:r>
    </w:p>
    <w:p w14:paraId="081B0BCE" w14:textId="77777777" w:rsidR="00026667" w:rsidRPr="00881795" w:rsidRDefault="00026667" w:rsidP="00E31338">
      <w:pPr>
        <w:pStyle w:val="ListParagraph"/>
        <w:numPr>
          <w:ilvl w:val="0"/>
          <w:numId w:val="1"/>
        </w:numPr>
        <w:spacing w:line="288" w:lineRule="auto"/>
        <w:jc w:val="both"/>
        <w:rPr>
          <w:szCs w:val="20"/>
        </w:rPr>
      </w:pPr>
      <w:r w:rsidRPr="00881795">
        <w:rPr>
          <w:szCs w:val="20"/>
        </w:rPr>
        <w:t>To improve the corporate image of Council.</w:t>
      </w:r>
    </w:p>
    <w:p w14:paraId="10A09A62" w14:textId="77777777" w:rsidR="00026667" w:rsidRPr="00881795" w:rsidRDefault="00026667" w:rsidP="00E31338">
      <w:pPr>
        <w:pStyle w:val="ListParagraph"/>
        <w:numPr>
          <w:ilvl w:val="0"/>
          <w:numId w:val="1"/>
        </w:numPr>
        <w:spacing w:line="288" w:lineRule="auto"/>
        <w:jc w:val="both"/>
        <w:rPr>
          <w:szCs w:val="20"/>
        </w:rPr>
      </w:pPr>
      <w:r w:rsidRPr="00881795">
        <w:rPr>
          <w:szCs w:val="20"/>
        </w:rPr>
        <w:t>To brand uMlalazi Municipality as a premier destination for leisure, business and residence.</w:t>
      </w:r>
    </w:p>
    <w:p w14:paraId="7C4F4C15" w14:textId="77777777" w:rsidR="00026667" w:rsidRPr="00881795" w:rsidRDefault="00026667" w:rsidP="00E31338">
      <w:pPr>
        <w:pStyle w:val="ListParagraph"/>
        <w:numPr>
          <w:ilvl w:val="0"/>
          <w:numId w:val="1"/>
        </w:numPr>
        <w:spacing w:line="288" w:lineRule="auto"/>
        <w:jc w:val="both"/>
        <w:rPr>
          <w:szCs w:val="20"/>
        </w:rPr>
      </w:pPr>
      <w:r w:rsidRPr="00881795">
        <w:rPr>
          <w:szCs w:val="20"/>
        </w:rPr>
        <w:t>To market the municipal area to current and potential residents, tourists and investors.</w:t>
      </w:r>
    </w:p>
    <w:p w14:paraId="0926C176" w14:textId="77777777" w:rsidR="009760AA" w:rsidRDefault="001B3CC4" w:rsidP="00395313">
      <w:pPr>
        <w:jc w:val="both"/>
        <w:rPr>
          <w:rFonts w:cs="Calibri"/>
          <w:color w:val="000000" w:themeColor="text1"/>
        </w:rPr>
      </w:pPr>
      <w:r w:rsidRPr="00881795">
        <w:rPr>
          <w:rFonts w:cs="Calibri"/>
          <w:color w:val="000000" w:themeColor="text1"/>
        </w:rPr>
        <w:t>As indicated previously</w:t>
      </w:r>
      <w:r w:rsidR="009760AA" w:rsidRPr="00881795">
        <w:rPr>
          <w:rFonts w:cs="Calibri"/>
          <w:color w:val="000000" w:themeColor="text1"/>
        </w:rPr>
        <w:t xml:space="preserve">, the following Structures have been established to ensure effective and efficient public participation around </w:t>
      </w:r>
      <w:r w:rsidR="00B629DA">
        <w:rPr>
          <w:rFonts w:cs="Calibri"/>
          <w:color w:val="000000" w:themeColor="text1"/>
        </w:rPr>
        <w:t>Planning and Economic Development</w:t>
      </w:r>
      <w:r w:rsidR="009760AA" w:rsidRPr="00881795">
        <w:rPr>
          <w:rFonts w:cs="Calibri"/>
          <w:color w:val="000000" w:themeColor="text1"/>
        </w:rPr>
        <w:t xml:space="preserve"> that affects people’s life:</w:t>
      </w:r>
    </w:p>
    <w:p w14:paraId="2ED87AD9" w14:textId="77777777" w:rsidR="009760AA" w:rsidRPr="00881795" w:rsidRDefault="009760AA" w:rsidP="002F62F0">
      <w:pPr>
        <w:pStyle w:val="Caption"/>
      </w:pPr>
      <w:bookmarkStart w:id="596" w:name="_Toc325627930"/>
      <w:bookmarkStart w:id="597" w:name="_Toc389740083"/>
      <w:bookmarkStart w:id="598" w:name="_Toc510622350"/>
      <w:r w:rsidRPr="00881795">
        <w:t xml:space="preserve">Table </w:t>
      </w:r>
      <w:r w:rsidR="00D55BDA" w:rsidRPr="00881795">
        <w:fldChar w:fldCharType="begin"/>
      </w:r>
      <w:r w:rsidRPr="00881795">
        <w:instrText xml:space="preserve"> SEQ Table \* ARABIC </w:instrText>
      </w:r>
      <w:r w:rsidR="00D55BDA" w:rsidRPr="00881795">
        <w:fldChar w:fldCharType="separate"/>
      </w:r>
      <w:r w:rsidR="0067023A">
        <w:rPr>
          <w:noProof/>
        </w:rPr>
        <w:t>99</w:t>
      </w:r>
      <w:r w:rsidR="00D55BDA" w:rsidRPr="00881795">
        <w:fldChar w:fldCharType="end"/>
      </w:r>
      <w:r w:rsidRPr="00881795">
        <w:t>: Public Participation Structures</w:t>
      </w:r>
      <w:bookmarkEnd w:id="596"/>
      <w:bookmarkEnd w:id="597"/>
      <w:bookmarkEnd w:id="598"/>
    </w:p>
    <w:tbl>
      <w:tblPr>
        <w:tblStyle w:val="TableGrid"/>
        <w:tblW w:w="0" w:type="auto"/>
        <w:tblLook w:val="04A0" w:firstRow="1" w:lastRow="0" w:firstColumn="1" w:lastColumn="0" w:noHBand="0" w:noVBand="1"/>
      </w:tblPr>
      <w:tblGrid>
        <w:gridCol w:w="3644"/>
        <w:gridCol w:w="3644"/>
      </w:tblGrid>
      <w:tr w:rsidR="009760AA" w:rsidRPr="00881795" w14:paraId="3389AC27" w14:textId="77777777" w:rsidTr="00C31C45">
        <w:trPr>
          <w:tblHeader/>
        </w:trPr>
        <w:tc>
          <w:tcPr>
            <w:tcW w:w="3644" w:type="dxa"/>
            <w:shd w:val="clear" w:color="auto" w:fill="DAEEF3" w:themeFill="accent5" w:themeFillTint="33"/>
          </w:tcPr>
          <w:p w14:paraId="41EDAC66" w14:textId="77777777" w:rsidR="009760AA" w:rsidRPr="00881795" w:rsidRDefault="009760AA" w:rsidP="00395313">
            <w:pPr>
              <w:jc w:val="both"/>
              <w:rPr>
                <w:rFonts w:cs="Calibri"/>
                <w:b/>
                <w:color w:val="000000" w:themeColor="text1"/>
                <w:lang w:val="en-ZA"/>
              </w:rPr>
            </w:pPr>
            <w:r w:rsidRPr="00881795">
              <w:rPr>
                <w:rFonts w:cs="Calibri"/>
                <w:b/>
                <w:color w:val="000000" w:themeColor="text1"/>
                <w:lang w:val="en-ZA"/>
              </w:rPr>
              <w:t>Structure</w:t>
            </w:r>
          </w:p>
        </w:tc>
        <w:tc>
          <w:tcPr>
            <w:tcW w:w="3644" w:type="dxa"/>
            <w:shd w:val="clear" w:color="auto" w:fill="DAEEF3" w:themeFill="accent5" w:themeFillTint="33"/>
          </w:tcPr>
          <w:p w14:paraId="55FBAF87" w14:textId="77777777" w:rsidR="009760AA" w:rsidRPr="00881795" w:rsidRDefault="009760AA" w:rsidP="00395313">
            <w:pPr>
              <w:jc w:val="both"/>
              <w:rPr>
                <w:rFonts w:cs="Calibri"/>
                <w:b/>
                <w:color w:val="000000" w:themeColor="text1"/>
                <w:lang w:val="en-ZA"/>
              </w:rPr>
            </w:pPr>
            <w:r w:rsidRPr="00881795">
              <w:rPr>
                <w:rFonts w:cs="Calibri"/>
                <w:b/>
                <w:color w:val="000000" w:themeColor="text1"/>
                <w:lang w:val="en-ZA"/>
              </w:rPr>
              <w:t>Status</w:t>
            </w:r>
          </w:p>
        </w:tc>
      </w:tr>
      <w:tr w:rsidR="009760AA" w:rsidRPr="00881795" w14:paraId="1649EE93" w14:textId="77777777" w:rsidTr="002F3002">
        <w:tc>
          <w:tcPr>
            <w:tcW w:w="3644" w:type="dxa"/>
          </w:tcPr>
          <w:p w14:paraId="439E3367" w14:textId="77777777" w:rsidR="009760AA" w:rsidRPr="00881795" w:rsidRDefault="009760AA" w:rsidP="00395313">
            <w:pPr>
              <w:jc w:val="both"/>
              <w:rPr>
                <w:rFonts w:cs="Calibri"/>
                <w:color w:val="000000" w:themeColor="text1"/>
                <w:lang w:val="en-ZA"/>
              </w:rPr>
            </w:pPr>
            <w:r w:rsidRPr="00881795">
              <w:rPr>
                <w:rFonts w:cs="Calibri"/>
                <w:color w:val="000000" w:themeColor="text1"/>
                <w:lang w:val="en-ZA"/>
              </w:rPr>
              <w:t>IDP Representative Forum</w:t>
            </w:r>
          </w:p>
        </w:tc>
        <w:tc>
          <w:tcPr>
            <w:tcW w:w="3644" w:type="dxa"/>
          </w:tcPr>
          <w:p w14:paraId="2726CB17" w14:textId="77777777" w:rsidR="009760AA" w:rsidRPr="00881795" w:rsidRDefault="009760AA" w:rsidP="00395313">
            <w:pPr>
              <w:jc w:val="both"/>
              <w:rPr>
                <w:rFonts w:cs="Calibri"/>
                <w:color w:val="000000" w:themeColor="text1"/>
                <w:lang w:val="en-ZA"/>
              </w:rPr>
            </w:pPr>
            <w:r w:rsidRPr="00881795">
              <w:rPr>
                <w:rFonts w:cs="Calibri"/>
                <w:color w:val="000000" w:themeColor="text1"/>
                <w:lang w:val="en-ZA"/>
              </w:rPr>
              <w:t>Functional</w:t>
            </w:r>
          </w:p>
        </w:tc>
      </w:tr>
      <w:tr w:rsidR="009760AA" w:rsidRPr="00881795" w14:paraId="44B4D61F" w14:textId="77777777" w:rsidTr="002F3002">
        <w:tc>
          <w:tcPr>
            <w:tcW w:w="3644" w:type="dxa"/>
          </w:tcPr>
          <w:p w14:paraId="2D52403D" w14:textId="77777777" w:rsidR="009760AA" w:rsidRPr="00881795" w:rsidRDefault="009760AA" w:rsidP="00395313">
            <w:pPr>
              <w:jc w:val="both"/>
              <w:rPr>
                <w:rFonts w:cs="Calibri"/>
                <w:color w:val="000000" w:themeColor="text1"/>
                <w:lang w:val="en-ZA"/>
              </w:rPr>
            </w:pPr>
            <w:r w:rsidRPr="00881795">
              <w:rPr>
                <w:rFonts w:cs="Calibri"/>
                <w:color w:val="000000" w:themeColor="text1"/>
                <w:lang w:val="en-ZA"/>
              </w:rPr>
              <w:t>Road Shows</w:t>
            </w:r>
          </w:p>
        </w:tc>
        <w:tc>
          <w:tcPr>
            <w:tcW w:w="3644" w:type="dxa"/>
          </w:tcPr>
          <w:p w14:paraId="47773EE6" w14:textId="77777777" w:rsidR="009760AA" w:rsidRPr="00881795" w:rsidRDefault="009760AA" w:rsidP="00395313">
            <w:pPr>
              <w:jc w:val="both"/>
              <w:rPr>
                <w:rFonts w:cs="Calibri"/>
                <w:color w:val="000000" w:themeColor="text1"/>
                <w:lang w:val="en-ZA"/>
              </w:rPr>
            </w:pPr>
            <w:r w:rsidRPr="00881795">
              <w:rPr>
                <w:rFonts w:cs="Calibri"/>
                <w:color w:val="000000" w:themeColor="text1"/>
                <w:lang w:val="en-ZA"/>
              </w:rPr>
              <w:t>Functional</w:t>
            </w:r>
          </w:p>
        </w:tc>
      </w:tr>
      <w:tr w:rsidR="009760AA" w:rsidRPr="00881795" w14:paraId="022A0521" w14:textId="77777777" w:rsidTr="002F3002">
        <w:tc>
          <w:tcPr>
            <w:tcW w:w="3644" w:type="dxa"/>
          </w:tcPr>
          <w:p w14:paraId="6887318F" w14:textId="77777777" w:rsidR="009760AA" w:rsidRPr="00881795" w:rsidRDefault="009760AA" w:rsidP="00395313">
            <w:pPr>
              <w:jc w:val="both"/>
              <w:rPr>
                <w:rFonts w:cs="Calibri"/>
                <w:color w:val="000000" w:themeColor="text1"/>
                <w:lang w:val="en-ZA"/>
              </w:rPr>
            </w:pPr>
            <w:r w:rsidRPr="00881795">
              <w:rPr>
                <w:rFonts w:cs="Calibri"/>
                <w:color w:val="000000" w:themeColor="text1"/>
                <w:lang w:val="en-ZA"/>
              </w:rPr>
              <w:t>Ward Committees</w:t>
            </w:r>
          </w:p>
        </w:tc>
        <w:tc>
          <w:tcPr>
            <w:tcW w:w="3644" w:type="dxa"/>
          </w:tcPr>
          <w:p w14:paraId="25853409" w14:textId="77777777" w:rsidR="009760AA" w:rsidRPr="00881795" w:rsidRDefault="009760AA" w:rsidP="00395313">
            <w:pPr>
              <w:jc w:val="both"/>
              <w:rPr>
                <w:rFonts w:cs="Calibri"/>
                <w:color w:val="000000" w:themeColor="text1"/>
                <w:lang w:val="en-ZA"/>
              </w:rPr>
            </w:pPr>
            <w:r w:rsidRPr="00881795">
              <w:rPr>
                <w:rFonts w:cs="Calibri"/>
                <w:color w:val="000000" w:themeColor="text1"/>
                <w:lang w:val="en-ZA"/>
              </w:rPr>
              <w:t>Established and Functional</w:t>
            </w:r>
          </w:p>
        </w:tc>
      </w:tr>
      <w:tr w:rsidR="009760AA" w:rsidRPr="00881795" w14:paraId="0796757D" w14:textId="77777777" w:rsidTr="002F3002">
        <w:tc>
          <w:tcPr>
            <w:tcW w:w="3644" w:type="dxa"/>
          </w:tcPr>
          <w:p w14:paraId="21137DE2" w14:textId="77777777" w:rsidR="009760AA" w:rsidRPr="00881795" w:rsidRDefault="009760AA" w:rsidP="00395313">
            <w:pPr>
              <w:jc w:val="both"/>
              <w:rPr>
                <w:rFonts w:cs="Calibri"/>
                <w:color w:val="000000" w:themeColor="text1"/>
                <w:lang w:val="en-ZA"/>
              </w:rPr>
            </w:pPr>
            <w:r w:rsidRPr="00881795">
              <w:rPr>
                <w:rFonts w:cs="Calibri"/>
                <w:color w:val="000000" w:themeColor="text1"/>
                <w:lang w:val="en-ZA"/>
              </w:rPr>
              <w:t>Izimbizos</w:t>
            </w:r>
          </w:p>
        </w:tc>
        <w:tc>
          <w:tcPr>
            <w:tcW w:w="3644" w:type="dxa"/>
          </w:tcPr>
          <w:p w14:paraId="03D1181B" w14:textId="77777777" w:rsidR="009760AA" w:rsidRPr="00881795" w:rsidRDefault="009760AA" w:rsidP="00395313">
            <w:pPr>
              <w:jc w:val="both"/>
              <w:rPr>
                <w:rFonts w:cs="Calibri"/>
                <w:color w:val="000000" w:themeColor="text1"/>
                <w:lang w:val="en-ZA"/>
              </w:rPr>
            </w:pPr>
            <w:r w:rsidRPr="00881795">
              <w:rPr>
                <w:rFonts w:cs="Calibri"/>
                <w:color w:val="000000" w:themeColor="text1"/>
                <w:lang w:val="en-ZA"/>
              </w:rPr>
              <w:t>Functional</w:t>
            </w:r>
          </w:p>
        </w:tc>
      </w:tr>
      <w:tr w:rsidR="009760AA" w:rsidRPr="00881795" w14:paraId="77521328" w14:textId="77777777" w:rsidTr="002F3002">
        <w:tc>
          <w:tcPr>
            <w:tcW w:w="3644" w:type="dxa"/>
          </w:tcPr>
          <w:p w14:paraId="3226004C" w14:textId="77777777" w:rsidR="009760AA" w:rsidRPr="00881795" w:rsidRDefault="009760AA" w:rsidP="00395313">
            <w:pPr>
              <w:jc w:val="both"/>
              <w:rPr>
                <w:rFonts w:cs="Calibri"/>
                <w:color w:val="000000" w:themeColor="text1"/>
                <w:lang w:val="en-ZA"/>
              </w:rPr>
            </w:pPr>
            <w:r w:rsidRPr="00881795">
              <w:rPr>
                <w:rFonts w:cs="Calibri"/>
                <w:color w:val="000000" w:themeColor="text1"/>
                <w:lang w:val="en-ZA"/>
              </w:rPr>
              <w:t>Ward-based Planning forum</w:t>
            </w:r>
          </w:p>
        </w:tc>
        <w:tc>
          <w:tcPr>
            <w:tcW w:w="3644" w:type="dxa"/>
          </w:tcPr>
          <w:p w14:paraId="76E62CD0" w14:textId="77777777" w:rsidR="009760AA" w:rsidRPr="00881795" w:rsidRDefault="009760AA" w:rsidP="00395313">
            <w:pPr>
              <w:jc w:val="both"/>
              <w:rPr>
                <w:rFonts w:cs="Calibri"/>
                <w:color w:val="000000" w:themeColor="text1"/>
                <w:lang w:val="en-ZA"/>
              </w:rPr>
            </w:pPr>
            <w:r w:rsidRPr="00881795">
              <w:rPr>
                <w:rFonts w:cs="Calibri"/>
                <w:color w:val="000000" w:themeColor="text1"/>
                <w:lang w:val="en-ZA"/>
              </w:rPr>
              <w:t>Still to be established</w:t>
            </w:r>
          </w:p>
        </w:tc>
      </w:tr>
    </w:tbl>
    <w:p w14:paraId="22B5DF71" w14:textId="77777777" w:rsidR="009760AA" w:rsidRPr="00881795" w:rsidRDefault="009760AA" w:rsidP="00395313">
      <w:pPr>
        <w:jc w:val="both"/>
        <w:rPr>
          <w:rFonts w:cs="Calibri"/>
          <w:color w:val="000000" w:themeColor="text1"/>
        </w:rPr>
      </w:pPr>
    </w:p>
    <w:p w14:paraId="3649B9E8" w14:textId="77777777" w:rsidR="009760AA" w:rsidRPr="00881795" w:rsidRDefault="009760AA" w:rsidP="00395313">
      <w:pPr>
        <w:jc w:val="both"/>
        <w:rPr>
          <w:rFonts w:cs="Calibri"/>
          <w:color w:val="000000" w:themeColor="text1"/>
        </w:rPr>
      </w:pPr>
      <w:r w:rsidRPr="00881795">
        <w:rPr>
          <w:rFonts w:cs="Calibri"/>
          <w:color w:val="000000" w:themeColor="text1"/>
        </w:rPr>
        <w:t>In addition to the above structures, the media is also used to distribute information to communities and to notify them of meetings or workshops.  Media includes radio, newspapers, posters and leaflets.</w:t>
      </w:r>
    </w:p>
    <w:p w14:paraId="456DDA8A" w14:textId="77777777" w:rsidR="00992B24" w:rsidRPr="00881795" w:rsidRDefault="00654EDF" w:rsidP="00750180">
      <w:pPr>
        <w:pStyle w:val="Heading2"/>
        <w:numPr>
          <w:ilvl w:val="1"/>
          <w:numId w:val="127"/>
        </w:numPr>
      </w:pPr>
      <w:bookmarkStart w:id="599" w:name="_Toc389740084"/>
      <w:bookmarkStart w:id="600" w:name="_Toc510706672"/>
      <w:r w:rsidRPr="00881795">
        <w:t>GOOD GOVERNANCE &amp; PUBLIC PARTICIPATION: SWOT ANALYSIS</w:t>
      </w:r>
      <w:bookmarkEnd w:id="599"/>
      <w:bookmarkEnd w:id="600"/>
    </w:p>
    <w:p w14:paraId="2265B122" w14:textId="77777777" w:rsidR="00202916" w:rsidRPr="00BB6855" w:rsidRDefault="00202916" w:rsidP="00750180">
      <w:pPr>
        <w:pStyle w:val="Heading4"/>
        <w:numPr>
          <w:ilvl w:val="3"/>
          <w:numId w:val="127"/>
        </w:numPr>
      </w:pPr>
      <w:bookmarkStart w:id="601" w:name="_Toc389740085"/>
      <w:r w:rsidRPr="00BB6855">
        <w:t>Strengths / Opportunities</w:t>
      </w:r>
      <w:bookmarkEnd w:id="601"/>
    </w:p>
    <w:p w14:paraId="32492664" w14:textId="77777777" w:rsidR="00202916" w:rsidRPr="00881795" w:rsidRDefault="00202916" w:rsidP="00E31338">
      <w:pPr>
        <w:pStyle w:val="ListParagraph"/>
        <w:numPr>
          <w:ilvl w:val="0"/>
          <w:numId w:val="1"/>
        </w:numPr>
        <w:spacing w:line="288" w:lineRule="auto"/>
        <w:jc w:val="both"/>
        <w:rPr>
          <w:szCs w:val="20"/>
        </w:rPr>
      </w:pPr>
      <w:r w:rsidRPr="00881795">
        <w:rPr>
          <w:szCs w:val="20"/>
        </w:rPr>
        <w:t xml:space="preserve">Committed staff and </w:t>
      </w:r>
      <w:r w:rsidR="00703CE6" w:rsidRPr="00881795">
        <w:rPr>
          <w:szCs w:val="20"/>
        </w:rPr>
        <w:t>Councilors</w:t>
      </w:r>
    </w:p>
    <w:p w14:paraId="3B529748" w14:textId="77777777" w:rsidR="00202916" w:rsidRPr="00881795" w:rsidRDefault="00202916" w:rsidP="00E31338">
      <w:pPr>
        <w:pStyle w:val="ListParagraph"/>
        <w:numPr>
          <w:ilvl w:val="0"/>
          <w:numId w:val="1"/>
        </w:numPr>
        <w:spacing w:line="288" w:lineRule="auto"/>
        <w:jc w:val="both"/>
        <w:rPr>
          <w:szCs w:val="20"/>
        </w:rPr>
      </w:pPr>
      <w:r w:rsidRPr="00881795">
        <w:rPr>
          <w:szCs w:val="20"/>
        </w:rPr>
        <w:t>Established and functional Ward Committees</w:t>
      </w:r>
    </w:p>
    <w:p w14:paraId="6A826D89" w14:textId="77777777" w:rsidR="00202916" w:rsidRPr="00BB6855" w:rsidRDefault="00202916" w:rsidP="00750180">
      <w:pPr>
        <w:pStyle w:val="Heading4"/>
        <w:numPr>
          <w:ilvl w:val="3"/>
          <w:numId w:val="127"/>
        </w:numPr>
      </w:pPr>
      <w:bookmarkStart w:id="602" w:name="_Toc389740086"/>
      <w:r w:rsidRPr="00BB6855">
        <w:t>Weaknesses / Threats</w:t>
      </w:r>
      <w:bookmarkEnd w:id="602"/>
    </w:p>
    <w:p w14:paraId="28B10C71" w14:textId="77777777" w:rsidR="00202916" w:rsidRPr="00881795" w:rsidRDefault="00202916" w:rsidP="00E31338">
      <w:pPr>
        <w:pStyle w:val="ListParagraph"/>
        <w:numPr>
          <w:ilvl w:val="0"/>
          <w:numId w:val="1"/>
        </w:numPr>
        <w:spacing w:line="288" w:lineRule="auto"/>
        <w:jc w:val="both"/>
        <w:rPr>
          <w:szCs w:val="20"/>
        </w:rPr>
      </w:pPr>
      <w:r w:rsidRPr="00881795">
        <w:rPr>
          <w:szCs w:val="20"/>
        </w:rPr>
        <w:t xml:space="preserve">Inadequate training and development of staff &amp; </w:t>
      </w:r>
      <w:r w:rsidR="00703CE6" w:rsidRPr="00881795">
        <w:rPr>
          <w:szCs w:val="20"/>
        </w:rPr>
        <w:t>councilors</w:t>
      </w:r>
    </w:p>
    <w:p w14:paraId="2B372591" w14:textId="77777777" w:rsidR="00202916" w:rsidRPr="00881795" w:rsidRDefault="00202916" w:rsidP="00E31338">
      <w:pPr>
        <w:pStyle w:val="ListParagraph"/>
        <w:numPr>
          <w:ilvl w:val="0"/>
          <w:numId w:val="1"/>
        </w:numPr>
        <w:spacing w:line="288" w:lineRule="auto"/>
        <w:jc w:val="both"/>
        <w:rPr>
          <w:szCs w:val="20"/>
        </w:rPr>
      </w:pPr>
      <w:r w:rsidRPr="00881795">
        <w:rPr>
          <w:szCs w:val="20"/>
        </w:rPr>
        <w:t>No succession plan in place</w:t>
      </w:r>
    </w:p>
    <w:p w14:paraId="7DA8EF55" w14:textId="77777777" w:rsidR="00202916" w:rsidRPr="00881795" w:rsidRDefault="00202916" w:rsidP="00E31338">
      <w:pPr>
        <w:pStyle w:val="ListParagraph"/>
        <w:numPr>
          <w:ilvl w:val="0"/>
          <w:numId w:val="1"/>
        </w:numPr>
        <w:spacing w:line="288" w:lineRule="auto"/>
        <w:jc w:val="both"/>
        <w:rPr>
          <w:szCs w:val="20"/>
        </w:rPr>
      </w:pPr>
      <w:r w:rsidRPr="00881795">
        <w:rPr>
          <w:szCs w:val="20"/>
        </w:rPr>
        <w:t>Poor risk management</w:t>
      </w:r>
    </w:p>
    <w:p w14:paraId="54F290E8" w14:textId="77777777" w:rsidR="00202916" w:rsidRPr="00881795" w:rsidRDefault="00202916" w:rsidP="00E31338">
      <w:pPr>
        <w:pStyle w:val="ListParagraph"/>
        <w:numPr>
          <w:ilvl w:val="0"/>
          <w:numId w:val="1"/>
        </w:numPr>
        <w:spacing w:line="288" w:lineRule="auto"/>
        <w:jc w:val="both"/>
        <w:rPr>
          <w:szCs w:val="20"/>
        </w:rPr>
      </w:pPr>
      <w:r w:rsidRPr="00881795">
        <w:rPr>
          <w:szCs w:val="20"/>
        </w:rPr>
        <w:t>Lack in capacity to enforce all Bylaws</w:t>
      </w:r>
    </w:p>
    <w:p w14:paraId="78ADE606" w14:textId="77777777" w:rsidR="00202916" w:rsidRPr="00881795" w:rsidRDefault="00202916" w:rsidP="00E31338">
      <w:pPr>
        <w:pStyle w:val="ListParagraph"/>
        <w:numPr>
          <w:ilvl w:val="0"/>
          <w:numId w:val="1"/>
        </w:numPr>
        <w:spacing w:line="288" w:lineRule="auto"/>
        <w:jc w:val="both"/>
        <w:rPr>
          <w:szCs w:val="20"/>
        </w:rPr>
      </w:pPr>
      <w:r w:rsidRPr="00881795">
        <w:rPr>
          <w:szCs w:val="20"/>
        </w:rPr>
        <w:t>Poor inter-departmental and external communication</w:t>
      </w:r>
    </w:p>
    <w:p w14:paraId="425E7AE7" w14:textId="77777777" w:rsidR="00202916" w:rsidRPr="00881795" w:rsidRDefault="00202916" w:rsidP="00E31338">
      <w:pPr>
        <w:pStyle w:val="ListParagraph"/>
        <w:numPr>
          <w:ilvl w:val="0"/>
          <w:numId w:val="1"/>
        </w:numPr>
        <w:spacing w:line="288" w:lineRule="auto"/>
        <w:jc w:val="both"/>
        <w:rPr>
          <w:szCs w:val="20"/>
        </w:rPr>
      </w:pPr>
      <w:r w:rsidRPr="00881795">
        <w:rPr>
          <w:szCs w:val="20"/>
        </w:rPr>
        <w:t>Lack of funds</w:t>
      </w:r>
    </w:p>
    <w:p w14:paraId="3D9DBA2C" w14:textId="77777777" w:rsidR="00202916" w:rsidRDefault="00202916" w:rsidP="00E31338">
      <w:pPr>
        <w:pStyle w:val="ListParagraph"/>
        <w:numPr>
          <w:ilvl w:val="0"/>
          <w:numId w:val="1"/>
        </w:numPr>
        <w:spacing w:line="288" w:lineRule="auto"/>
        <w:jc w:val="both"/>
        <w:rPr>
          <w:szCs w:val="20"/>
        </w:rPr>
      </w:pPr>
      <w:r w:rsidRPr="00881795">
        <w:rPr>
          <w:szCs w:val="20"/>
        </w:rPr>
        <w:t>IGR relatively poor</w:t>
      </w:r>
    </w:p>
    <w:p w14:paraId="66FC040C" w14:textId="77777777" w:rsidR="007B3A20" w:rsidRPr="00881795" w:rsidRDefault="007B3A20" w:rsidP="007B3A20">
      <w:pPr>
        <w:pStyle w:val="ListParagraph"/>
        <w:spacing w:line="288" w:lineRule="auto"/>
        <w:ind w:left="360"/>
        <w:jc w:val="both"/>
        <w:rPr>
          <w:szCs w:val="20"/>
        </w:rPr>
      </w:pPr>
    </w:p>
    <w:p w14:paraId="6D3426EF" w14:textId="77777777" w:rsidR="00572739" w:rsidRPr="00DB5293" w:rsidRDefault="007B3A20" w:rsidP="00750180">
      <w:pPr>
        <w:pStyle w:val="Heading2"/>
        <w:numPr>
          <w:ilvl w:val="1"/>
          <w:numId w:val="127"/>
        </w:numPr>
        <w:spacing w:after="240"/>
        <w:rPr>
          <w:color w:val="00B050"/>
        </w:rPr>
      </w:pPr>
      <w:bookmarkStart w:id="603" w:name="_Toc510706673"/>
      <w:r w:rsidRPr="00DB5293">
        <w:rPr>
          <w:color w:val="00B050"/>
        </w:rPr>
        <w:t>COMBINED SWOT ANALYSIS</w:t>
      </w:r>
      <w:bookmarkEnd w:id="603"/>
    </w:p>
    <w:tbl>
      <w:tblPr>
        <w:tblStyle w:val="TableGrid"/>
        <w:tblW w:w="0" w:type="auto"/>
        <w:tblLook w:val="04A0" w:firstRow="1" w:lastRow="0" w:firstColumn="1" w:lastColumn="0" w:noHBand="0" w:noVBand="1"/>
      </w:tblPr>
      <w:tblGrid>
        <w:gridCol w:w="4508"/>
        <w:gridCol w:w="4508"/>
      </w:tblGrid>
      <w:tr w:rsidR="00DB5293" w:rsidRPr="00E2521A" w14:paraId="595FD911" w14:textId="77777777" w:rsidTr="009259F3">
        <w:tc>
          <w:tcPr>
            <w:tcW w:w="4508" w:type="dxa"/>
            <w:shd w:val="clear" w:color="auto" w:fill="00B050"/>
          </w:tcPr>
          <w:p w14:paraId="04C69238" w14:textId="77777777" w:rsidR="00DB5293" w:rsidRPr="00E2521A" w:rsidRDefault="00DB5293" w:rsidP="009259F3">
            <w:pPr>
              <w:rPr>
                <w:rFonts w:eastAsia="Calibri" w:cs="Times New Roman"/>
                <w:sz w:val="18"/>
                <w:lang w:val="en-ZA"/>
              </w:rPr>
            </w:pPr>
            <w:r w:rsidRPr="00E2521A">
              <w:rPr>
                <w:rFonts w:eastAsia="Calibri" w:cs="Times New Roman"/>
                <w:sz w:val="18"/>
                <w:lang w:val="en-ZA"/>
              </w:rPr>
              <w:t>STRENGTHS</w:t>
            </w:r>
          </w:p>
        </w:tc>
        <w:tc>
          <w:tcPr>
            <w:tcW w:w="4508" w:type="dxa"/>
            <w:shd w:val="clear" w:color="auto" w:fill="FF0000"/>
          </w:tcPr>
          <w:p w14:paraId="50E41754" w14:textId="77777777" w:rsidR="00DB5293" w:rsidRPr="00E2521A" w:rsidRDefault="00DB5293" w:rsidP="009259F3">
            <w:pPr>
              <w:rPr>
                <w:rFonts w:eastAsia="Calibri" w:cs="Times New Roman"/>
                <w:sz w:val="18"/>
                <w:lang w:val="en-ZA"/>
              </w:rPr>
            </w:pPr>
            <w:r w:rsidRPr="00E2521A">
              <w:rPr>
                <w:rFonts w:eastAsia="Calibri" w:cs="Times New Roman"/>
                <w:sz w:val="18"/>
                <w:lang w:val="en-ZA"/>
              </w:rPr>
              <w:t>WEAKNESSES</w:t>
            </w:r>
          </w:p>
        </w:tc>
      </w:tr>
      <w:tr w:rsidR="00DB5293" w:rsidRPr="00E2521A" w14:paraId="23A25D29" w14:textId="77777777" w:rsidTr="009259F3">
        <w:tc>
          <w:tcPr>
            <w:tcW w:w="4508" w:type="dxa"/>
          </w:tcPr>
          <w:p w14:paraId="4D173C10" w14:textId="77777777" w:rsidR="00DB5293" w:rsidRPr="00E2521A" w:rsidRDefault="00DB5293" w:rsidP="00750180">
            <w:pPr>
              <w:numPr>
                <w:ilvl w:val="0"/>
                <w:numId w:val="79"/>
              </w:numPr>
              <w:contextualSpacing/>
              <w:rPr>
                <w:rFonts w:eastAsia="Calibri" w:cs="Times New Roman"/>
                <w:sz w:val="18"/>
                <w:lang w:val="en-ZA"/>
              </w:rPr>
            </w:pPr>
            <w:r w:rsidRPr="00E2521A">
              <w:rPr>
                <w:rFonts w:eastAsia="Calibri" w:cs="Times New Roman"/>
                <w:sz w:val="18"/>
                <w:lang w:val="en-ZA"/>
              </w:rPr>
              <w:t>Availability Of Developable Land</w:t>
            </w:r>
          </w:p>
          <w:p w14:paraId="0F681851" w14:textId="77777777" w:rsidR="00DB5293" w:rsidRPr="00E2521A" w:rsidRDefault="00DB5293" w:rsidP="00750180">
            <w:pPr>
              <w:numPr>
                <w:ilvl w:val="0"/>
                <w:numId w:val="79"/>
              </w:numPr>
              <w:contextualSpacing/>
              <w:rPr>
                <w:rFonts w:eastAsia="Calibri" w:cs="Times New Roman"/>
                <w:sz w:val="18"/>
                <w:lang w:val="en-ZA"/>
              </w:rPr>
            </w:pPr>
            <w:r w:rsidRPr="00E2521A">
              <w:rPr>
                <w:rFonts w:eastAsia="Calibri" w:cs="Times New Roman"/>
                <w:sz w:val="18"/>
                <w:lang w:val="en-ZA"/>
              </w:rPr>
              <w:t xml:space="preserve">Political Stability (Stable Council) </w:t>
            </w:r>
          </w:p>
          <w:p w14:paraId="2779A17C" w14:textId="77777777" w:rsidR="00DB5293" w:rsidRPr="00E2521A" w:rsidRDefault="00DB5293" w:rsidP="00750180">
            <w:pPr>
              <w:numPr>
                <w:ilvl w:val="0"/>
                <w:numId w:val="79"/>
              </w:numPr>
              <w:contextualSpacing/>
              <w:rPr>
                <w:rFonts w:eastAsia="Calibri" w:cs="Times New Roman"/>
                <w:sz w:val="18"/>
                <w:lang w:val="en-ZA"/>
              </w:rPr>
            </w:pPr>
            <w:r w:rsidRPr="00E2521A">
              <w:rPr>
                <w:rFonts w:eastAsia="Calibri" w:cs="Times New Roman"/>
                <w:sz w:val="18"/>
                <w:lang w:val="en-ZA"/>
              </w:rPr>
              <w:t>Adopted Organogram</w:t>
            </w:r>
          </w:p>
          <w:p w14:paraId="0034E585" w14:textId="77777777" w:rsidR="00DB5293" w:rsidRPr="00E2521A" w:rsidRDefault="00DB5293" w:rsidP="00750180">
            <w:pPr>
              <w:numPr>
                <w:ilvl w:val="0"/>
                <w:numId w:val="79"/>
              </w:numPr>
              <w:contextualSpacing/>
              <w:rPr>
                <w:rFonts w:eastAsia="Calibri" w:cs="Times New Roman"/>
                <w:sz w:val="18"/>
                <w:lang w:val="en-ZA"/>
              </w:rPr>
            </w:pPr>
            <w:r w:rsidRPr="00E2521A">
              <w:rPr>
                <w:rFonts w:eastAsia="Calibri" w:cs="Times New Roman"/>
                <w:sz w:val="18"/>
                <w:lang w:val="en-ZA"/>
              </w:rPr>
              <w:t xml:space="preserve">Introduction To Fleet Management System </w:t>
            </w:r>
          </w:p>
          <w:p w14:paraId="0855E022" w14:textId="77777777" w:rsidR="00DB5293" w:rsidRPr="00E2521A" w:rsidRDefault="00DB5293" w:rsidP="00750180">
            <w:pPr>
              <w:numPr>
                <w:ilvl w:val="0"/>
                <w:numId w:val="79"/>
              </w:numPr>
              <w:contextualSpacing/>
              <w:rPr>
                <w:rFonts w:eastAsia="Calibri" w:cs="Times New Roman"/>
                <w:sz w:val="18"/>
                <w:lang w:val="en-ZA"/>
              </w:rPr>
            </w:pPr>
            <w:r w:rsidRPr="00E2521A">
              <w:rPr>
                <w:rFonts w:eastAsia="Calibri" w:cs="Times New Roman"/>
                <w:sz w:val="18"/>
                <w:lang w:val="en-ZA"/>
              </w:rPr>
              <w:t>LMs Proximity To The Dube Trade Port</w:t>
            </w:r>
          </w:p>
          <w:p w14:paraId="61843066" w14:textId="77777777" w:rsidR="00DB5293" w:rsidRPr="00E2521A" w:rsidRDefault="00DB5293" w:rsidP="00750180">
            <w:pPr>
              <w:numPr>
                <w:ilvl w:val="0"/>
                <w:numId w:val="79"/>
              </w:numPr>
              <w:contextualSpacing/>
              <w:rPr>
                <w:rFonts w:eastAsia="Calibri" w:cs="Times New Roman"/>
                <w:sz w:val="18"/>
                <w:lang w:val="en-ZA"/>
              </w:rPr>
            </w:pPr>
            <w:r w:rsidRPr="00E2521A">
              <w:rPr>
                <w:rFonts w:eastAsia="Calibri" w:cs="Times New Roman"/>
                <w:sz w:val="18"/>
                <w:lang w:val="en-ZA"/>
              </w:rPr>
              <w:t>Fresh Produce Market (in Mhlathuze)</w:t>
            </w:r>
          </w:p>
          <w:p w14:paraId="27419C2D" w14:textId="77777777" w:rsidR="00DB5293" w:rsidRPr="00E2521A" w:rsidRDefault="00DB5293" w:rsidP="00750180">
            <w:pPr>
              <w:numPr>
                <w:ilvl w:val="0"/>
                <w:numId w:val="79"/>
              </w:numPr>
              <w:contextualSpacing/>
              <w:rPr>
                <w:rFonts w:eastAsia="Calibri" w:cs="Times New Roman"/>
                <w:sz w:val="18"/>
                <w:lang w:val="en-ZA"/>
              </w:rPr>
            </w:pPr>
            <w:r w:rsidRPr="00E2521A">
              <w:rPr>
                <w:rFonts w:eastAsia="Calibri" w:cs="Times New Roman"/>
                <w:sz w:val="18"/>
                <w:lang w:val="en-ZA"/>
              </w:rPr>
              <w:t>Policies And Bylaws In Place</w:t>
            </w:r>
          </w:p>
          <w:p w14:paraId="1B1140D1" w14:textId="77777777" w:rsidR="00DB5293" w:rsidRPr="00E2521A" w:rsidRDefault="00DB5293" w:rsidP="00750180">
            <w:pPr>
              <w:numPr>
                <w:ilvl w:val="0"/>
                <w:numId w:val="79"/>
              </w:numPr>
              <w:contextualSpacing/>
              <w:rPr>
                <w:rFonts w:eastAsia="Calibri" w:cs="Times New Roman"/>
                <w:sz w:val="18"/>
                <w:lang w:val="en-ZA"/>
              </w:rPr>
            </w:pPr>
            <w:r w:rsidRPr="00E2521A">
              <w:rPr>
                <w:rFonts w:eastAsia="Calibri" w:cs="Times New Roman"/>
                <w:sz w:val="18"/>
                <w:lang w:val="en-ZA"/>
              </w:rPr>
              <w:t xml:space="preserve">Good Governance </w:t>
            </w:r>
          </w:p>
          <w:p w14:paraId="7FF05CED" w14:textId="77777777" w:rsidR="00DB5293" w:rsidRPr="00E2521A" w:rsidRDefault="00DB5293" w:rsidP="00750180">
            <w:pPr>
              <w:numPr>
                <w:ilvl w:val="0"/>
                <w:numId w:val="79"/>
              </w:numPr>
              <w:contextualSpacing/>
              <w:rPr>
                <w:rFonts w:eastAsia="Calibri" w:cs="Times New Roman"/>
                <w:sz w:val="18"/>
                <w:lang w:val="en-ZA"/>
              </w:rPr>
            </w:pPr>
            <w:r w:rsidRPr="00E2521A">
              <w:rPr>
                <w:rFonts w:eastAsia="Calibri" w:cs="Times New Roman"/>
                <w:sz w:val="18"/>
                <w:lang w:val="en-ZA"/>
              </w:rPr>
              <w:t>Financially Viable</w:t>
            </w:r>
          </w:p>
          <w:p w14:paraId="4329E97B" w14:textId="77777777" w:rsidR="00DB5293" w:rsidRPr="00E2521A" w:rsidRDefault="00DB5293" w:rsidP="00750180">
            <w:pPr>
              <w:numPr>
                <w:ilvl w:val="0"/>
                <w:numId w:val="79"/>
              </w:numPr>
              <w:contextualSpacing/>
              <w:rPr>
                <w:rFonts w:eastAsia="Calibri" w:cs="Times New Roman"/>
                <w:sz w:val="18"/>
                <w:lang w:val="en-ZA"/>
              </w:rPr>
            </w:pPr>
            <w:r w:rsidRPr="00E2521A">
              <w:rPr>
                <w:rFonts w:eastAsia="Calibri" w:cs="Times New Roman"/>
                <w:sz w:val="18"/>
                <w:lang w:val="en-ZA"/>
              </w:rPr>
              <w:t>Skilled Labour</w:t>
            </w:r>
          </w:p>
          <w:p w14:paraId="39EEF76A" w14:textId="77777777" w:rsidR="00DB5293" w:rsidRPr="00E2521A" w:rsidRDefault="00DB5293" w:rsidP="00750180">
            <w:pPr>
              <w:numPr>
                <w:ilvl w:val="0"/>
                <w:numId w:val="79"/>
              </w:numPr>
              <w:contextualSpacing/>
              <w:rPr>
                <w:rFonts w:eastAsia="Calibri" w:cs="Times New Roman"/>
                <w:sz w:val="18"/>
                <w:lang w:val="en-ZA"/>
              </w:rPr>
            </w:pPr>
            <w:r w:rsidRPr="00E2521A">
              <w:rPr>
                <w:rFonts w:eastAsia="Calibri" w:cs="Times New Roman"/>
                <w:sz w:val="18"/>
                <w:lang w:val="en-ZA"/>
              </w:rPr>
              <w:t xml:space="preserve">85% Households Electrified </w:t>
            </w:r>
          </w:p>
          <w:p w14:paraId="1F966E48" w14:textId="77777777" w:rsidR="00DB5293" w:rsidRPr="00E2521A" w:rsidRDefault="00DB5293" w:rsidP="00750180">
            <w:pPr>
              <w:numPr>
                <w:ilvl w:val="0"/>
                <w:numId w:val="79"/>
              </w:numPr>
              <w:contextualSpacing/>
              <w:rPr>
                <w:rFonts w:eastAsia="Calibri" w:cs="Times New Roman"/>
                <w:sz w:val="18"/>
                <w:lang w:val="en-ZA"/>
              </w:rPr>
            </w:pPr>
            <w:r w:rsidRPr="00E2521A">
              <w:rPr>
                <w:rFonts w:eastAsia="Calibri" w:cs="Times New Roman"/>
                <w:sz w:val="18"/>
                <w:lang w:val="en-ZA"/>
              </w:rPr>
              <w:t xml:space="preserve">Service Delivery Orientated </w:t>
            </w:r>
          </w:p>
          <w:p w14:paraId="691192A6" w14:textId="77777777" w:rsidR="00DB5293" w:rsidRPr="00E2521A" w:rsidRDefault="00DB5293" w:rsidP="00750180">
            <w:pPr>
              <w:numPr>
                <w:ilvl w:val="0"/>
                <w:numId w:val="79"/>
              </w:numPr>
              <w:contextualSpacing/>
              <w:rPr>
                <w:rFonts w:eastAsia="Calibri" w:cs="Times New Roman"/>
                <w:sz w:val="18"/>
                <w:lang w:val="en-ZA"/>
              </w:rPr>
            </w:pPr>
            <w:r w:rsidRPr="00E2521A">
              <w:rPr>
                <w:rFonts w:eastAsia="Calibri" w:cs="Times New Roman"/>
                <w:sz w:val="18"/>
                <w:lang w:val="en-ZA"/>
              </w:rPr>
              <w:t>Tourism (Heritage)</w:t>
            </w:r>
          </w:p>
          <w:p w14:paraId="6233E9FB" w14:textId="77777777" w:rsidR="00DB5293" w:rsidRPr="00E2521A" w:rsidRDefault="00DB5293" w:rsidP="00750180">
            <w:pPr>
              <w:numPr>
                <w:ilvl w:val="0"/>
                <w:numId w:val="79"/>
              </w:numPr>
              <w:contextualSpacing/>
              <w:rPr>
                <w:rFonts w:eastAsia="Calibri" w:cs="Times New Roman"/>
                <w:sz w:val="18"/>
                <w:lang w:val="en-ZA"/>
              </w:rPr>
            </w:pPr>
            <w:r w:rsidRPr="00E2521A">
              <w:rPr>
                <w:rFonts w:eastAsia="Calibri" w:cs="Times New Roman"/>
                <w:sz w:val="18"/>
                <w:lang w:val="en-ZA"/>
              </w:rPr>
              <w:t>Libraries</w:t>
            </w:r>
          </w:p>
          <w:p w14:paraId="7CA42FCD" w14:textId="77777777" w:rsidR="00DB5293" w:rsidRPr="00E2521A" w:rsidRDefault="00DB5293" w:rsidP="00750180">
            <w:pPr>
              <w:numPr>
                <w:ilvl w:val="0"/>
                <w:numId w:val="79"/>
              </w:numPr>
              <w:contextualSpacing/>
              <w:rPr>
                <w:rFonts w:eastAsia="Calibri" w:cs="Times New Roman"/>
                <w:sz w:val="18"/>
                <w:lang w:val="en-ZA"/>
              </w:rPr>
            </w:pPr>
            <w:r w:rsidRPr="00E2521A">
              <w:rPr>
                <w:rFonts w:eastAsia="Calibri" w:cs="Times New Roman"/>
                <w:sz w:val="18"/>
                <w:lang w:val="en-ZA"/>
              </w:rPr>
              <w:t>Youth Business Advisory Center</w:t>
            </w:r>
          </w:p>
          <w:p w14:paraId="41CAC1B6" w14:textId="77777777" w:rsidR="00DB5293" w:rsidRPr="00E2521A" w:rsidRDefault="00DB5293" w:rsidP="00750180">
            <w:pPr>
              <w:numPr>
                <w:ilvl w:val="0"/>
                <w:numId w:val="79"/>
              </w:numPr>
              <w:contextualSpacing/>
              <w:rPr>
                <w:rFonts w:eastAsia="Calibri" w:cs="Times New Roman"/>
                <w:sz w:val="18"/>
                <w:lang w:val="en-ZA"/>
              </w:rPr>
            </w:pPr>
            <w:r w:rsidRPr="00E2521A">
              <w:rPr>
                <w:rFonts w:eastAsia="Calibri" w:cs="Times New Roman"/>
                <w:sz w:val="18"/>
                <w:lang w:val="en-ZA"/>
              </w:rPr>
              <w:t>Merging of Departments</w:t>
            </w:r>
          </w:p>
        </w:tc>
        <w:tc>
          <w:tcPr>
            <w:tcW w:w="4508" w:type="dxa"/>
          </w:tcPr>
          <w:p w14:paraId="1A762EDF" w14:textId="77777777" w:rsidR="00DB5293" w:rsidRPr="00E2521A" w:rsidRDefault="00DB5293" w:rsidP="00750180">
            <w:pPr>
              <w:numPr>
                <w:ilvl w:val="0"/>
                <w:numId w:val="80"/>
              </w:numPr>
              <w:contextualSpacing/>
              <w:rPr>
                <w:rFonts w:eastAsia="Calibri" w:cs="Times New Roman"/>
                <w:sz w:val="18"/>
                <w:lang w:val="en-ZA"/>
              </w:rPr>
            </w:pPr>
            <w:r w:rsidRPr="00E2521A">
              <w:rPr>
                <w:rFonts w:eastAsia="Calibri" w:cs="Times New Roman"/>
                <w:sz w:val="18"/>
                <w:lang w:val="en-ZA"/>
              </w:rPr>
              <w:t>Poor State of Municipal Infrastructure</w:t>
            </w:r>
          </w:p>
          <w:p w14:paraId="42F0ECFD" w14:textId="77777777" w:rsidR="00DB5293" w:rsidRPr="00E2521A" w:rsidRDefault="00DB5293" w:rsidP="00750180">
            <w:pPr>
              <w:numPr>
                <w:ilvl w:val="0"/>
                <w:numId w:val="80"/>
              </w:numPr>
              <w:contextualSpacing/>
              <w:rPr>
                <w:rFonts w:eastAsia="Calibri" w:cs="Times New Roman"/>
                <w:sz w:val="18"/>
                <w:lang w:val="en-ZA"/>
              </w:rPr>
            </w:pPr>
            <w:r w:rsidRPr="00E2521A">
              <w:rPr>
                <w:rFonts w:eastAsia="Calibri" w:cs="Times New Roman"/>
                <w:sz w:val="18"/>
                <w:lang w:val="en-ZA"/>
              </w:rPr>
              <w:t>Insufficient Revenue Sources</w:t>
            </w:r>
          </w:p>
          <w:p w14:paraId="2FC086CB" w14:textId="77777777" w:rsidR="00DB5293" w:rsidRPr="00E2521A" w:rsidRDefault="00DB5293" w:rsidP="00750180">
            <w:pPr>
              <w:numPr>
                <w:ilvl w:val="0"/>
                <w:numId w:val="80"/>
              </w:numPr>
              <w:contextualSpacing/>
              <w:rPr>
                <w:rFonts w:eastAsia="Calibri" w:cs="Times New Roman"/>
                <w:sz w:val="18"/>
                <w:lang w:val="en-ZA"/>
              </w:rPr>
            </w:pPr>
            <w:r w:rsidRPr="00E2521A">
              <w:rPr>
                <w:rFonts w:eastAsia="Calibri" w:cs="Times New Roman"/>
                <w:sz w:val="18"/>
                <w:lang w:val="en-ZA"/>
              </w:rPr>
              <w:t xml:space="preserve">Insufficient Infrastructure Maintenance </w:t>
            </w:r>
          </w:p>
          <w:p w14:paraId="07FFEE45" w14:textId="77777777" w:rsidR="00DB5293" w:rsidRPr="00E2521A" w:rsidRDefault="00DB5293" w:rsidP="00750180">
            <w:pPr>
              <w:numPr>
                <w:ilvl w:val="0"/>
                <w:numId w:val="80"/>
              </w:numPr>
              <w:contextualSpacing/>
              <w:rPr>
                <w:rFonts w:eastAsia="Calibri" w:cs="Times New Roman"/>
                <w:sz w:val="18"/>
                <w:lang w:val="en-ZA"/>
              </w:rPr>
            </w:pPr>
            <w:r w:rsidRPr="00E2521A">
              <w:rPr>
                <w:rFonts w:eastAsia="Calibri" w:cs="Times New Roman"/>
                <w:sz w:val="18"/>
                <w:lang w:val="en-ZA"/>
              </w:rPr>
              <w:t>MIG Expenditure</w:t>
            </w:r>
          </w:p>
          <w:p w14:paraId="00647C5A" w14:textId="77777777" w:rsidR="00DB5293" w:rsidRPr="00E2521A" w:rsidRDefault="00DB5293" w:rsidP="00750180">
            <w:pPr>
              <w:numPr>
                <w:ilvl w:val="0"/>
                <w:numId w:val="80"/>
              </w:numPr>
              <w:contextualSpacing/>
              <w:rPr>
                <w:rFonts w:eastAsia="Calibri" w:cs="Times New Roman"/>
                <w:sz w:val="18"/>
                <w:lang w:val="en-ZA"/>
              </w:rPr>
            </w:pPr>
            <w:r w:rsidRPr="00E2521A">
              <w:rPr>
                <w:rFonts w:eastAsia="Calibri" w:cs="Times New Roman"/>
                <w:sz w:val="18"/>
                <w:lang w:val="en-ZA"/>
              </w:rPr>
              <w:t>Monitoring Service Providers</w:t>
            </w:r>
          </w:p>
          <w:p w14:paraId="2A032D69" w14:textId="77777777" w:rsidR="00DB5293" w:rsidRPr="00E2521A" w:rsidRDefault="00DB5293" w:rsidP="00750180">
            <w:pPr>
              <w:numPr>
                <w:ilvl w:val="0"/>
                <w:numId w:val="80"/>
              </w:numPr>
              <w:contextualSpacing/>
              <w:rPr>
                <w:rFonts w:eastAsia="Calibri" w:cs="Times New Roman"/>
                <w:sz w:val="18"/>
                <w:lang w:val="en-ZA"/>
              </w:rPr>
            </w:pPr>
            <w:r w:rsidRPr="00E2521A">
              <w:rPr>
                <w:rFonts w:eastAsia="Calibri" w:cs="Times New Roman"/>
                <w:sz w:val="18"/>
                <w:lang w:val="en-ZA"/>
              </w:rPr>
              <w:t>Lack of Resources</w:t>
            </w:r>
          </w:p>
          <w:p w14:paraId="56F1EF22" w14:textId="77777777" w:rsidR="00DB5293" w:rsidRPr="00E2521A" w:rsidRDefault="00DB5293" w:rsidP="00750180">
            <w:pPr>
              <w:numPr>
                <w:ilvl w:val="0"/>
                <w:numId w:val="80"/>
              </w:numPr>
              <w:contextualSpacing/>
              <w:rPr>
                <w:rFonts w:eastAsia="Calibri" w:cs="Times New Roman"/>
                <w:sz w:val="18"/>
                <w:lang w:val="en-ZA"/>
              </w:rPr>
            </w:pPr>
            <w:r w:rsidRPr="00E2521A">
              <w:rPr>
                <w:rFonts w:eastAsia="Calibri" w:cs="Times New Roman"/>
                <w:sz w:val="18"/>
                <w:lang w:val="en-ZA"/>
              </w:rPr>
              <w:t>Poor Planning</w:t>
            </w:r>
          </w:p>
          <w:p w14:paraId="1A6FD959" w14:textId="77777777" w:rsidR="00DB5293" w:rsidRPr="00E2521A" w:rsidRDefault="00DB5293" w:rsidP="00750180">
            <w:pPr>
              <w:numPr>
                <w:ilvl w:val="0"/>
                <w:numId w:val="80"/>
              </w:numPr>
              <w:contextualSpacing/>
              <w:rPr>
                <w:rFonts w:eastAsia="Calibri" w:cs="Times New Roman"/>
                <w:sz w:val="18"/>
                <w:lang w:val="en-ZA"/>
              </w:rPr>
            </w:pPr>
            <w:r w:rsidRPr="00E2521A">
              <w:rPr>
                <w:rFonts w:eastAsia="Calibri" w:cs="Times New Roman"/>
                <w:sz w:val="18"/>
                <w:lang w:val="en-ZA"/>
              </w:rPr>
              <w:t>Insufficient Human and Technical Capacity</w:t>
            </w:r>
          </w:p>
          <w:p w14:paraId="4FF1F7AF" w14:textId="77777777" w:rsidR="00DB5293" w:rsidRPr="00E2521A" w:rsidRDefault="00DB5293" w:rsidP="00750180">
            <w:pPr>
              <w:numPr>
                <w:ilvl w:val="0"/>
                <w:numId w:val="80"/>
              </w:numPr>
              <w:contextualSpacing/>
              <w:rPr>
                <w:rFonts w:eastAsia="Calibri" w:cs="Times New Roman"/>
                <w:sz w:val="18"/>
                <w:lang w:val="en-ZA"/>
              </w:rPr>
            </w:pPr>
            <w:r w:rsidRPr="00E2521A">
              <w:rPr>
                <w:rFonts w:eastAsia="Calibri" w:cs="Times New Roman"/>
                <w:sz w:val="18"/>
                <w:lang w:val="en-ZA"/>
              </w:rPr>
              <w:t>Financial Constraints</w:t>
            </w:r>
          </w:p>
          <w:p w14:paraId="10B7D1F0" w14:textId="77777777" w:rsidR="00DB5293" w:rsidRPr="00E2521A" w:rsidRDefault="00DB5293" w:rsidP="00750180">
            <w:pPr>
              <w:numPr>
                <w:ilvl w:val="0"/>
                <w:numId w:val="80"/>
              </w:numPr>
              <w:contextualSpacing/>
              <w:rPr>
                <w:rFonts w:eastAsia="Calibri" w:cs="Times New Roman"/>
                <w:sz w:val="18"/>
                <w:lang w:val="en-ZA"/>
              </w:rPr>
            </w:pPr>
            <w:r w:rsidRPr="00E2521A">
              <w:rPr>
                <w:rFonts w:eastAsia="Calibri" w:cs="Times New Roman"/>
                <w:sz w:val="18"/>
                <w:lang w:val="en-ZA"/>
              </w:rPr>
              <w:t>Lack of Development Plans (Dormant Development)</w:t>
            </w:r>
          </w:p>
          <w:p w14:paraId="76FDA419" w14:textId="77777777" w:rsidR="00DB5293" w:rsidRPr="00E2521A" w:rsidRDefault="00DB5293" w:rsidP="00750180">
            <w:pPr>
              <w:numPr>
                <w:ilvl w:val="0"/>
                <w:numId w:val="80"/>
              </w:numPr>
              <w:contextualSpacing/>
              <w:rPr>
                <w:rFonts w:eastAsia="Calibri" w:cs="Times New Roman"/>
                <w:sz w:val="18"/>
                <w:lang w:val="en-ZA"/>
              </w:rPr>
            </w:pPr>
            <w:r w:rsidRPr="00E2521A">
              <w:rPr>
                <w:rFonts w:eastAsia="Calibri" w:cs="Times New Roman"/>
                <w:sz w:val="18"/>
                <w:lang w:val="en-ZA"/>
              </w:rPr>
              <w:t>Communication Channels</w:t>
            </w:r>
          </w:p>
          <w:p w14:paraId="7B8D50F5" w14:textId="77777777" w:rsidR="00DB5293" w:rsidRPr="00E2521A" w:rsidRDefault="00DB5293" w:rsidP="00750180">
            <w:pPr>
              <w:numPr>
                <w:ilvl w:val="0"/>
                <w:numId w:val="80"/>
              </w:numPr>
              <w:contextualSpacing/>
              <w:rPr>
                <w:rFonts w:eastAsia="Calibri" w:cs="Times New Roman"/>
                <w:sz w:val="18"/>
                <w:lang w:val="en-ZA"/>
              </w:rPr>
            </w:pPr>
            <w:r w:rsidRPr="00E2521A">
              <w:rPr>
                <w:rFonts w:eastAsia="Calibri" w:cs="Times New Roman"/>
                <w:sz w:val="18"/>
                <w:lang w:val="en-ZA"/>
              </w:rPr>
              <w:t>Lack of Office Space</w:t>
            </w:r>
          </w:p>
          <w:p w14:paraId="7767CD33" w14:textId="77777777" w:rsidR="00DB5293" w:rsidRPr="00E2521A" w:rsidRDefault="00DB5293" w:rsidP="00750180">
            <w:pPr>
              <w:numPr>
                <w:ilvl w:val="0"/>
                <w:numId w:val="80"/>
              </w:numPr>
              <w:contextualSpacing/>
              <w:rPr>
                <w:rFonts w:eastAsia="Calibri" w:cs="Times New Roman"/>
                <w:sz w:val="18"/>
                <w:lang w:val="en-ZA"/>
              </w:rPr>
            </w:pPr>
            <w:r w:rsidRPr="00E2521A">
              <w:rPr>
                <w:rFonts w:eastAsia="Calibri" w:cs="Times New Roman"/>
                <w:sz w:val="18"/>
                <w:lang w:val="en-ZA"/>
              </w:rPr>
              <w:t>Continuation of Approved Development</w:t>
            </w:r>
          </w:p>
          <w:p w14:paraId="643803A7" w14:textId="77777777" w:rsidR="00DB5293" w:rsidRPr="00E2521A" w:rsidRDefault="00DB5293" w:rsidP="00750180">
            <w:pPr>
              <w:numPr>
                <w:ilvl w:val="0"/>
                <w:numId w:val="80"/>
              </w:numPr>
              <w:contextualSpacing/>
              <w:rPr>
                <w:rFonts w:eastAsia="Calibri" w:cs="Times New Roman"/>
                <w:sz w:val="18"/>
                <w:lang w:val="en-ZA"/>
              </w:rPr>
            </w:pPr>
            <w:r w:rsidRPr="00E2521A">
              <w:rPr>
                <w:rFonts w:eastAsia="Calibri" w:cs="Times New Roman"/>
                <w:sz w:val="18"/>
                <w:lang w:val="en-ZA"/>
              </w:rPr>
              <w:t>Indefinite Lease Periods &amp; Rentals</w:t>
            </w:r>
          </w:p>
          <w:p w14:paraId="53F10DAF" w14:textId="77777777" w:rsidR="00DB5293" w:rsidRPr="00E2521A" w:rsidRDefault="00DB5293" w:rsidP="00750180">
            <w:pPr>
              <w:numPr>
                <w:ilvl w:val="0"/>
                <w:numId w:val="80"/>
              </w:numPr>
              <w:contextualSpacing/>
              <w:rPr>
                <w:rFonts w:eastAsia="Calibri" w:cs="Times New Roman"/>
                <w:sz w:val="18"/>
                <w:lang w:val="en-ZA"/>
              </w:rPr>
            </w:pPr>
            <w:r w:rsidRPr="00E2521A">
              <w:rPr>
                <w:rFonts w:eastAsia="Calibri" w:cs="Times New Roman"/>
                <w:sz w:val="18"/>
                <w:lang w:val="en-ZA"/>
              </w:rPr>
              <w:t>Unfunded Posts on Organogram Insufficient Fleet</w:t>
            </w:r>
          </w:p>
          <w:p w14:paraId="61A6E19E" w14:textId="77777777" w:rsidR="00DB5293" w:rsidRPr="00E2521A" w:rsidRDefault="00DB5293" w:rsidP="00750180">
            <w:pPr>
              <w:numPr>
                <w:ilvl w:val="0"/>
                <w:numId w:val="80"/>
              </w:numPr>
              <w:contextualSpacing/>
              <w:rPr>
                <w:rFonts w:eastAsia="Calibri" w:cs="Times New Roman"/>
                <w:sz w:val="18"/>
                <w:lang w:val="en-ZA"/>
              </w:rPr>
            </w:pPr>
            <w:r w:rsidRPr="00E2521A">
              <w:rPr>
                <w:rFonts w:eastAsia="Calibri" w:cs="Times New Roman"/>
                <w:sz w:val="18"/>
                <w:lang w:val="en-ZA"/>
              </w:rPr>
              <w:t>Poor Work Ethics</w:t>
            </w:r>
          </w:p>
          <w:p w14:paraId="5A2A4B94" w14:textId="77777777" w:rsidR="00DB5293" w:rsidRPr="00E2521A" w:rsidRDefault="00DB5293" w:rsidP="00750180">
            <w:pPr>
              <w:numPr>
                <w:ilvl w:val="0"/>
                <w:numId w:val="80"/>
              </w:numPr>
              <w:contextualSpacing/>
              <w:rPr>
                <w:rFonts w:eastAsia="Calibri" w:cs="Times New Roman"/>
                <w:sz w:val="18"/>
                <w:lang w:val="en-ZA"/>
              </w:rPr>
            </w:pPr>
            <w:r w:rsidRPr="00E2521A">
              <w:rPr>
                <w:rFonts w:eastAsia="Calibri" w:cs="Times New Roman"/>
                <w:sz w:val="18"/>
                <w:lang w:val="en-ZA"/>
              </w:rPr>
              <w:t>Dependency On Grants For Infrastructural Development</w:t>
            </w:r>
          </w:p>
        </w:tc>
      </w:tr>
      <w:tr w:rsidR="00DB5293" w:rsidRPr="00E2521A" w14:paraId="25FD01A9" w14:textId="77777777" w:rsidTr="009259F3">
        <w:tc>
          <w:tcPr>
            <w:tcW w:w="4508" w:type="dxa"/>
            <w:shd w:val="clear" w:color="auto" w:fill="FFC000"/>
          </w:tcPr>
          <w:p w14:paraId="26DCB30E" w14:textId="77777777" w:rsidR="00DB5293" w:rsidRPr="00E2521A" w:rsidRDefault="00DB5293" w:rsidP="009259F3">
            <w:pPr>
              <w:rPr>
                <w:rFonts w:eastAsia="Calibri" w:cs="Times New Roman"/>
                <w:b/>
                <w:sz w:val="18"/>
                <w:lang w:val="en-ZA"/>
              </w:rPr>
            </w:pPr>
            <w:r w:rsidRPr="00E2521A">
              <w:rPr>
                <w:rFonts w:eastAsia="Calibri" w:cs="Times New Roman"/>
                <w:b/>
                <w:sz w:val="18"/>
                <w:lang w:val="en-ZA"/>
              </w:rPr>
              <w:t>OPPORTUNITIES</w:t>
            </w:r>
          </w:p>
        </w:tc>
        <w:tc>
          <w:tcPr>
            <w:tcW w:w="4508" w:type="dxa"/>
            <w:shd w:val="clear" w:color="auto" w:fill="000000"/>
          </w:tcPr>
          <w:p w14:paraId="7BCDECA9" w14:textId="77777777" w:rsidR="00DB5293" w:rsidRPr="00E2521A" w:rsidRDefault="00DB5293" w:rsidP="009259F3">
            <w:pPr>
              <w:rPr>
                <w:rFonts w:eastAsia="Calibri" w:cs="Times New Roman"/>
                <w:b/>
                <w:sz w:val="18"/>
                <w:lang w:val="en-ZA"/>
              </w:rPr>
            </w:pPr>
            <w:r w:rsidRPr="00E2521A">
              <w:rPr>
                <w:rFonts w:eastAsia="Calibri" w:cs="Times New Roman"/>
                <w:b/>
                <w:sz w:val="18"/>
                <w:lang w:val="en-ZA"/>
              </w:rPr>
              <w:t>THREATS</w:t>
            </w:r>
          </w:p>
        </w:tc>
      </w:tr>
      <w:tr w:rsidR="00DB5293" w:rsidRPr="00E2521A" w14:paraId="5547F152" w14:textId="77777777" w:rsidTr="009259F3">
        <w:tc>
          <w:tcPr>
            <w:tcW w:w="4508" w:type="dxa"/>
          </w:tcPr>
          <w:p w14:paraId="76358A61"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 xml:space="preserve">Strategic Location </w:t>
            </w:r>
          </w:p>
          <w:p w14:paraId="7F0AB135"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Agriculture Potential</w:t>
            </w:r>
          </w:p>
          <w:p w14:paraId="583D35C3"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 xml:space="preserve">17km Coastline/ Coastline Development </w:t>
            </w:r>
          </w:p>
          <w:p w14:paraId="3F446F41"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Active Youth</w:t>
            </w:r>
          </w:p>
          <w:p w14:paraId="3F6CDC4B"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 xml:space="preserve">Mining Potential </w:t>
            </w:r>
          </w:p>
          <w:p w14:paraId="4E4BEE41"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Good working relationship with AmaKhosi</w:t>
            </w:r>
          </w:p>
          <w:p w14:paraId="5200189E"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Utilization of Available Land for Economic Growth</w:t>
            </w:r>
          </w:p>
          <w:p w14:paraId="68BD398A"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Set  Aside Policy</w:t>
            </w:r>
          </w:p>
          <w:p w14:paraId="3E5562A9"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 xml:space="preserve">LM is Attractive to Investors  </w:t>
            </w:r>
          </w:p>
          <w:p w14:paraId="6CB6CD13"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Job Opportunities through Agriculture and Tourism</w:t>
            </w:r>
          </w:p>
          <w:p w14:paraId="3BE65062"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Rich Cultural History Heritage &amp; Culture</w:t>
            </w:r>
          </w:p>
          <w:p w14:paraId="0DA68A75"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 xml:space="preserve">Sugar Cane Plantations </w:t>
            </w:r>
          </w:p>
          <w:p w14:paraId="491A6F96"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 xml:space="preserve">Major Transport Route </w:t>
            </w:r>
          </w:p>
          <w:p w14:paraId="1637B977"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Oranges &amp; Grapefruit Plantations</w:t>
            </w:r>
          </w:p>
          <w:p w14:paraId="72D2DA40"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Beach Development Tourism</w:t>
            </w:r>
          </w:p>
          <w:p w14:paraId="1E0BC928"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Nodal Development (Precinct Plans)</w:t>
            </w:r>
          </w:p>
          <w:p w14:paraId="4530B968"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 xml:space="preserve">Logistics Hub Potential </w:t>
            </w:r>
          </w:p>
          <w:p w14:paraId="79459542"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Industrial Development</w:t>
            </w:r>
          </w:p>
        </w:tc>
        <w:tc>
          <w:tcPr>
            <w:tcW w:w="4508" w:type="dxa"/>
          </w:tcPr>
          <w:p w14:paraId="7D7BF3F1"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Drought</w:t>
            </w:r>
          </w:p>
          <w:p w14:paraId="174A6535"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Bulk Infrastructure Electricity Losses</w:t>
            </w:r>
          </w:p>
          <w:p w14:paraId="1C195116"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Affordability Of The Community</w:t>
            </w:r>
          </w:p>
          <w:p w14:paraId="124880A0"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Mscoa Implementation</w:t>
            </w:r>
          </w:p>
          <w:p w14:paraId="027B467B"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Unfunded Mandates</w:t>
            </w:r>
          </w:p>
          <w:p w14:paraId="4E4B93AE"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Undulating Topography in Rural Areas Municipality</w:t>
            </w:r>
          </w:p>
          <w:p w14:paraId="446D607E"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 xml:space="preserve">Large Number Of Indigents </w:t>
            </w:r>
          </w:p>
          <w:p w14:paraId="331B89EE"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Crime</w:t>
            </w:r>
          </w:p>
          <w:p w14:paraId="4287463A"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Vandalism Of Infrastructure</w:t>
            </w:r>
          </w:p>
          <w:p w14:paraId="5A9E05F2"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High Unemployment Rate</w:t>
            </w:r>
          </w:p>
          <w:p w14:paraId="7B56FDCF"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 xml:space="preserve">Service Delivery Protests </w:t>
            </w:r>
          </w:p>
          <w:p w14:paraId="5353F9CA"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Political Interference</w:t>
            </w:r>
          </w:p>
          <w:p w14:paraId="57A2A382"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Bulk Services</w:t>
            </w:r>
          </w:p>
          <w:p w14:paraId="15678600"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Lack Of Funding</w:t>
            </w:r>
          </w:p>
          <w:p w14:paraId="3F8C6453"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Disasters</w:t>
            </w:r>
          </w:p>
          <w:p w14:paraId="07F19215"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Security Within The Municipality</w:t>
            </w:r>
          </w:p>
          <w:p w14:paraId="597DDF82"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Fragmented Development</w:t>
            </w:r>
          </w:p>
          <w:p w14:paraId="4CF45AB0" w14:textId="77777777" w:rsidR="00DB5293" w:rsidRPr="00E2521A" w:rsidRDefault="00DB5293" w:rsidP="00750180">
            <w:pPr>
              <w:numPr>
                <w:ilvl w:val="0"/>
                <w:numId w:val="81"/>
              </w:numPr>
              <w:contextualSpacing/>
              <w:rPr>
                <w:rFonts w:eastAsia="Calibri" w:cs="Times New Roman"/>
                <w:sz w:val="18"/>
                <w:lang w:val="en-ZA"/>
              </w:rPr>
            </w:pPr>
            <w:r w:rsidRPr="00E2521A">
              <w:rPr>
                <w:rFonts w:eastAsia="Calibri" w:cs="Times New Roman"/>
                <w:sz w:val="18"/>
                <w:lang w:val="en-ZA"/>
              </w:rPr>
              <w:t>Lack Of Infrastructure Development For Tourism/Heritage &amp; Culture</w:t>
            </w:r>
          </w:p>
        </w:tc>
      </w:tr>
    </w:tbl>
    <w:p w14:paraId="4401B965" w14:textId="77777777" w:rsidR="00DB5293" w:rsidRPr="00DB5293" w:rsidRDefault="00DB5293" w:rsidP="00DB5293"/>
    <w:p w14:paraId="11323308" w14:textId="77777777" w:rsidR="00992B24" w:rsidRPr="00173B5E" w:rsidRDefault="00173B5E" w:rsidP="00750180">
      <w:pPr>
        <w:pStyle w:val="Heading2"/>
        <w:numPr>
          <w:ilvl w:val="1"/>
          <w:numId w:val="127"/>
        </w:numPr>
      </w:pPr>
      <w:bookmarkStart w:id="604" w:name="_Toc389740088"/>
      <w:bookmarkStart w:id="605" w:name="_Toc510706674"/>
      <w:r w:rsidRPr="00173B5E">
        <w:t xml:space="preserve">BROAD </w:t>
      </w:r>
      <w:r w:rsidR="00992B24" w:rsidRPr="00173B5E">
        <w:t>KEY CHALLENGES</w:t>
      </w:r>
      <w:bookmarkEnd w:id="604"/>
      <w:bookmarkEnd w:id="605"/>
    </w:p>
    <w:p w14:paraId="4DDC7D7E" w14:textId="77777777" w:rsidR="00173B5E" w:rsidRDefault="00173B5E" w:rsidP="00750180">
      <w:pPr>
        <w:pStyle w:val="Heading3"/>
        <w:numPr>
          <w:ilvl w:val="2"/>
          <w:numId w:val="127"/>
        </w:numPr>
      </w:pPr>
      <w:bookmarkStart w:id="606" w:name="_Toc510706675"/>
      <w:r w:rsidRPr="00173B5E">
        <w:t>KPA 1: MUNICIPAL TRANSFORMATION AND ORGANISATIONAL DEVELOPMENT</w:t>
      </w:r>
      <w:bookmarkEnd w:id="606"/>
    </w:p>
    <w:p w14:paraId="1EC71E78" w14:textId="77777777" w:rsidR="00173B5E" w:rsidRPr="00173B5E" w:rsidRDefault="00173B5E" w:rsidP="00173B5E">
      <w:pPr>
        <w:pStyle w:val="ListParagraph"/>
        <w:spacing w:before="240"/>
        <w:jc w:val="both"/>
        <w:rPr>
          <w:b/>
          <w:szCs w:val="20"/>
        </w:rPr>
      </w:pPr>
    </w:p>
    <w:p w14:paraId="57E8B750" w14:textId="77777777" w:rsidR="00173B5E" w:rsidRPr="00173B5E" w:rsidRDefault="00173B5E" w:rsidP="00750180">
      <w:pPr>
        <w:pStyle w:val="ListParagraph"/>
        <w:numPr>
          <w:ilvl w:val="0"/>
          <w:numId w:val="42"/>
        </w:numPr>
        <w:spacing w:after="0" w:line="240" w:lineRule="auto"/>
        <w:jc w:val="both"/>
        <w:rPr>
          <w:szCs w:val="20"/>
        </w:rPr>
      </w:pPr>
      <w:r w:rsidRPr="00173B5E">
        <w:rPr>
          <w:szCs w:val="20"/>
        </w:rPr>
        <w:t>Insufficient Human Resource Capacity</w:t>
      </w:r>
    </w:p>
    <w:p w14:paraId="15CD4A1D" w14:textId="77777777" w:rsidR="00173B5E" w:rsidRPr="00173B5E" w:rsidRDefault="00173B5E" w:rsidP="00750180">
      <w:pPr>
        <w:pStyle w:val="ListParagraph"/>
        <w:numPr>
          <w:ilvl w:val="0"/>
          <w:numId w:val="42"/>
        </w:numPr>
        <w:spacing w:after="0" w:line="240" w:lineRule="auto"/>
        <w:jc w:val="both"/>
        <w:rPr>
          <w:szCs w:val="20"/>
        </w:rPr>
      </w:pPr>
      <w:r w:rsidRPr="00173B5E">
        <w:rPr>
          <w:szCs w:val="20"/>
        </w:rPr>
        <w:t>Insufficient Skills Development</w:t>
      </w:r>
    </w:p>
    <w:p w14:paraId="7FA0EA09" w14:textId="77777777" w:rsidR="00173B5E" w:rsidRPr="00173B5E" w:rsidRDefault="00173B5E" w:rsidP="00750180">
      <w:pPr>
        <w:pStyle w:val="ListParagraph"/>
        <w:numPr>
          <w:ilvl w:val="0"/>
          <w:numId w:val="42"/>
        </w:numPr>
        <w:spacing w:after="0" w:line="240" w:lineRule="auto"/>
        <w:jc w:val="both"/>
        <w:rPr>
          <w:szCs w:val="20"/>
        </w:rPr>
      </w:pPr>
      <w:r w:rsidRPr="00173B5E">
        <w:rPr>
          <w:szCs w:val="20"/>
        </w:rPr>
        <w:t>Outdated &amp; Inadequate Policies</w:t>
      </w:r>
    </w:p>
    <w:p w14:paraId="5B3F619D" w14:textId="77777777" w:rsidR="00173B5E" w:rsidRPr="00173B5E" w:rsidRDefault="00173B5E" w:rsidP="00750180">
      <w:pPr>
        <w:pStyle w:val="ListParagraph"/>
        <w:numPr>
          <w:ilvl w:val="0"/>
          <w:numId w:val="42"/>
        </w:numPr>
        <w:spacing w:after="0" w:line="240" w:lineRule="auto"/>
        <w:jc w:val="both"/>
        <w:rPr>
          <w:szCs w:val="20"/>
        </w:rPr>
      </w:pPr>
      <w:r w:rsidRPr="00173B5E">
        <w:rPr>
          <w:szCs w:val="20"/>
        </w:rPr>
        <w:t>Poor Performance of Service Providers</w:t>
      </w:r>
    </w:p>
    <w:p w14:paraId="2990B81A" w14:textId="77777777" w:rsidR="00173B5E" w:rsidRPr="00173B5E" w:rsidRDefault="00173B5E" w:rsidP="00750180">
      <w:pPr>
        <w:pStyle w:val="ListParagraph"/>
        <w:numPr>
          <w:ilvl w:val="0"/>
          <w:numId w:val="42"/>
        </w:numPr>
        <w:spacing w:after="0" w:line="240" w:lineRule="auto"/>
        <w:jc w:val="both"/>
        <w:rPr>
          <w:szCs w:val="20"/>
        </w:rPr>
      </w:pPr>
      <w:r w:rsidRPr="00173B5E">
        <w:rPr>
          <w:szCs w:val="20"/>
        </w:rPr>
        <w:t>Outdated ICT Systems</w:t>
      </w:r>
    </w:p>
    <w:p w14:paraId="2FF37EC9" w14:textId="77777777" w:rsidR="00173B5E" w:rsidRPr="00173B5E" w:rsidRDefault="00173B5E" w:rsidP="00750180">
      <w:pPr>
        <w:pStyle w:val="ListParagraph"/>
        <w:numPr>
          <w:ilvl w:val="0"/>
          <w:numId w:val="42"/>
        </w:numPr>
        <w:spacing w:after="0" w:line="240" w:lineRule="auto"/>
        <w:jc w:val="both"/>
        <w:rPr>
          <w:szCs w:val="20"/>
        </w:rPr>
      </w:pPr>
      <w:r w:rsidRPr="00173B5E">
        <w:rPr>
          <w:szCs w:val="20"/>
        </w:rPr>
        <w:t>Ineffective Internal &amp; external Communication</w:t>
      </w:r>
    </w:p>
    <w:p w14:paraId="2B53A77C" w14:textId="77777777" w:rsidR="00173B5E" w:rsidRPr="00173B5E" w:rsidRDefault="00173B5E" w:rsidP="00750180">
      <w:pPr>
        <w:pStyle w:val="ListParagraph"/>
        <w:numPr>
          <w:ilvl w:val="0"/>
          <w:numId w:val="42"/>
        </w:numPr>
        <w:spacing w:after="0" w:line="240" w:lineRule="auto"/>
        <w:jc w:val="both"/>
        <w:rPr>
          <w:szCs w:val="20"/>
        </w:rPr>
      </w:pPr>
      <w:r w:rsidRPr="00173B5E">
        <w:rPr>
          <w:szCs w:val="20"/>
        </w:rPr>
        <w:t xml:space="preserve">Non achievement of Employment equity Targets </w:t>
      </w:r>
    </w:p>
    <w:p w14:paraId="434CF7F2" w14:textId="77777777" w:rsidR="00173B5E" w:rsidRDefault="00173B5E" w:rsidP="00750180">
      <w:pPr>
        <w:pStyle w:val="ListParagraph"/>
        <w:numPr>
          <w:ilvl w:val="0"/>
          <w:numId w:val="42"/>
        </w:numPr>
        <w:spacing w:after="0" w:line="240" w:lineRule="auto"/>
        <w:jc w:val="both"/>
        <w:rPr>
          <w:szCs w:val="20"/>
        </w:rPr>
      </w:pPr>
      <w:r w:rsidRPr="00173B5E">
        <w:rPr>
          <w:szCs w:val="20"/>
        </w:rPr>
        <w:t>Inadequate office space</w:t>
      </w:r>
    </w:p>
    <w:p w14:paraId="7AD0C5B8" w14:textId="77777777" w:rsidR="0025762B" w:rsidRPr="00173B5E" w:rsidRDefault="0025762B" w:rsidP="0025762B">
      <w:pPr>
        <w:pStyle w:val="ListParagraph"/>
        <w:spacing w:after="0" w:line="240" w:lineRule="auto"/>
        <w:jc w:val="both"/>
        <w:rPr>
          <w:szCs w:val="20"/>
        </w:rPr>
      </w:pPr>
    </w:p>
    <w:p w14:paraId="363E16A3" w14:textId="77777777" w:rsidR="00173B5E" w:rsidRPr="00BB6855" w:rsidRDefault="00173B5E" w:rsidP="00750180">
      <w:pPr>
        <w:pStyle w:val="Heading3"/>
        <w:numPr>
          <w:ilvl w:val="2"/>
          <w:numId w:val="127"/>
        </w:numPr>
        <w:spacing w:after="240"/>
      </w:pPr>
      <w:bookmarkStart w:id="607" w:name="_Toc510706676"/>
      <w:r w:rsidRPr="00BB6855">
        <w:t>KPA 2: SERVICE DELIVERY</w:t>
      </w:r>
      <w:bookmarkEnd w:id="607"/>
    </w:p>
    <w:p w14:paraId="06F7292F" w14:textId="77777777" w:rsidR="00173B5E" w:rsidRPr="00173B5E" w:rsidRDefault="00173B5E" w:rsidP="00750180">
      <w:pPr>
        <w:pStyle w:val="ListParagraph"/>
        <w:numPr>
          <w:ilvl w:val="0"/>
          <w:numId w:val="42"/>
        </w:numPr>
        <w:spacing w:after="0" w:line="240" w:lineRule="auto"/>
        <w:jc w:val="both"/>
        <w:rPr>
          <w:szCs w:val="20"/>
        </w:rPr>
      </w:pPr>
      <w:r w:rsidRPr="00173B5E">
        <w:rPr>
          <w:szCs w:val="20"/>
        </w:rPr>
        <w:t>Service Delivery Backlogs</w:t>
      </w:r>
    </w:p>
    <w:p w14:paraId="52F3ABDE" w14:textId="77777777" w:rsidR="00173B5E" w:rsidRPr="00173B5E" w:rsidRDefault="00173B5E" w:rsidP="00750180">
      <w:pPr>
        <w:pStyle w:val="ListParagraph"/>
        <w:numPr>
          <w:ilvl w:val="0"/>
          <w:numId w:val="42"/>
        </w:numPr>
        <w:spacing w:after="0" w:line="240" w:lineRule="auto"/>
        <w:jc w:val="both"/>
        <w:rPr>
          <w:szCs w:val="20"/>
        </w:rPr>
      </w:pPr>
      <w:r w:rsidRPr="00173B5E">
        <w:rPr>
          <w:szCs w:val="20"/>
        </w:rPr>
        <w:t>Lack of formalized trading areas</w:t>
      </w:r>
    </w:p>
    <w:p w14:paraId="69153B8A" w14:textId="77777777" w:rsidR="00173B5E" w:rsidRPr="00173B5E" w:rsidRDefault="00173B5E" w:rsidP="00750180">
      <w:pPr>
        <w:pStyle w:val="ListParagraph"/>
        <w:numPr>
          <w:ilvl w:val="0"/>
          <w:numId w:val="42"/>
        </w:numPr>
        <w:spacing w:after="0" w:line="240" w:lineRule="auto"/>
        <w:jc w:val="both"/>
        <w:rPr>
          <w:szCs w:val="20"/>
        </w:rPr>
      </w:pPr>
      <w:r w:rsidRPr="00173B5E">
        <w:rPr>
          <w:szCs w:val="20"/>
        </w:rPr>
        <w:t>Poor quality workmanship on Capital Projects</w:t>
      </w:r>
    </w:p>
    <w:p w14:paraId="6E99F971" w14:textId="77777777" w:rsidR="00173B5E" w:rsidRPr="00173B5E" w:rsidRDefault="00173B5E" w:rsidP="00750180">
      <w:pPr>
        <w:pStyle w:val="ListParagraph"/>
        <w:numPr>
          <w:ilvl w:val="0"/>
          <w:numId w:val="42"/>
        </w:numPr>
        <w:spacing w:after="0" w:line="240" w:lineRule="auto"/>
        <w:jc w:val="both"/>
        <w:rPr>
          <w:szCs w:val="20"/>
        </w:rPr>
      </w:pPr>
      <w:r w:rsidRPr="00173B5E">
        <w:rPr>
          <w:szCs w:val="20"/>
        </w:rPr>
        <w:t>Ineffective Disaster Management</w:t>
      </w:r>
    </w:p>
    <w:p w14:paraId="24035BDD" w14:textId="77777777" w:rsidR="00173B5E" w:rsidRPr="00173B5E" w:rsidRDefault="00173B5E" w:rsidP="00750180">
      <w:pPr>
        <w:pStyle w:val="ListParagraph"/>
        <w:numPr>
          <w:ilvl w:val="0"/>
          <w:numId w:val="42"/>
        </w:numPr>
        <w:spacing w:after="0" w:line="240" w:lineRule="auto"/>
        <w:jc w:val="both"/>
        <w:rPr>
          <w:szCs w:val="20"/>
        </w:rPr>
      </w:pPr>
      <w:r w:rsidRPr="00173B5E">
        <w:rPr>
          <w:szCs w:val="20"/>
        </w:rPr>
        <w:t xml:space="preserve">Ineffective Sukuma Sakhe </w:t>
      </w:r>
      <w:r w:rsidR="003F34D3" w:rsidRPr="00173B5E">
        <w:rPr>
          <w:szCs w:val="20"/>
        </w:rPr>
        <w:t>program</w:t>
      </w:r>
    </w:p>
    <w:p w14:paraId="2FE7F1D9" w14:textId="77777777" w:rsidR="00173B5E" w:rsidRPr="00173B5E" w:rsidRDefault="00173B5E" w:rsidP="00750180">
      <w:pPr>
        <w:pStyle w:val="ListParagraph"/>
        <w:numPr>
          <w:ilvl w:val="0"/>
          <w:numId w:val="42"/>
        </w:numPr>
        <w:spacing w:after="0" w:line="240" w:lineRule="auto"/>
        <w:jc w:val="both"/>
        <w:rPr>
          <w:szCs w:val="20"/>
        </w:rPr>
      </w:pPr>
      <w:r w:rsidRPr="00173B5E">
        <w:rPr>
          <w:szCs w:val="20"/>
        </w:rPr>
        <w:t>Lack of Planning for Cemetery needs</w:t>
      </w:r>
    </w:p>
    <w:p w14:paraId="7035CD06" w14:textId="77777777" w:rsidR="00173B5E" w:rsidRPr="00173B5E" w:rsidRDefault="00173B5E" w:rsidP="00750180">
      <w:pPr>
        <w:pStyle w:val="ListParagraph"/>
        <w:numPr>
          <w:ilvl w:val="0"/>
          <w:numId w:val="42"/>
        </w:numPr>
        <w:spacing w:after="0" w:line="240" w:lineRule="auto"/>
        <w:jc w:val="both"/>
        <w:rPr>
          <w:szCs w:val="20"/>
        </w:rPr>
      </w:pPr>
      <w:r w:rsidRPr="00173B5E">
        <w:rPr>
          <w:szCs w:val="20"/>
        </w:rPr>
        <w:t>Lack of Sports development &amp; planning</w:t>
      </w:r>
    </w:p>
    <w:p w14:paraId="5B074C0D" w14:textId="77777777" w:rsidR="00173B5E" w:rsidRPr="00173B5E" w:rsidRDefault="00173B5E" w:rsidP="00750180">
      <w:pPr>
        <w:pStyle w:val="ListParagraph"/>
        <w:numPr>
          <w:ilvl w:val="0"/>
          <w:numId w:val="42"/>
        </w:numPr>
        <w:spacing w:after="0" w:line="240" w:lineRule="auto"/>
        <w:jc w:val="both"/>
        <w:rPr>
          <w:szCs w:val="20"/>
        </w:rPr>
      </w:pPr>
      <w:r w:rsidRPr="00173B5E">
        <w:rPr>
          <w:szCs w:val="20"/>
        </w:rPr>
        <w:t>Crime</w:t>
      </w:r>
    </w:p>
    <w:p w14:paraId="41FD65B7" w14:textId="77777777" w:rsidR="00D67FED" w:rsidRDefault="00173B5E" w:rsidP="00750180">
      <w:pPr>
        <w:pStyle w:val="ListParagraph"/>
        <w:numPr>
          <w:ilvl w:val="0"/>
          <w:numId w:val="42"/>
        </w:numPr>
        <w:spacing w:after="0" w:line="240" w:lineRule="auto"/>
        <w:jc w:val="both"/>
        <w:rPr>
          <w:szCs w:val="20"/>
        </w:rPr>
      </w:pPr>
      <w:r w:rsidRPr="00173B5E">
        <w:rPr>
          <w:szCs w:val="20"/>
        </w:rPr>
        <w:t>Poor facilitation of early childhood development</w:t>
      </w:r>
    </w:p>
    <w:p w14:paraId="3133F2E6" w14:textId="77777777" w:rsidR="00173B5E" w:rsidRPr="00BB6855" w:rsidRDefault="00173B5E" w:rsidP="00750180">
      <w:pPr>
        <w:pStyle w:val="Heading3"/>
        <w:numPr>
          <w:ilvl w:val="2"/>
          <w:numId w:val="127"/>
        </w:numPr>
        <w:spacing w:after="240"/>
      </w:pPr>
      <w:bookmarkStart w:id="608" w:name="_Toc510706677"/>
      <w:r w:rsidRPr="00BB6855">
        <w:t>KPA 3: LOCAL ECONOMIC &amp; SOCIAL DEVELOPMENT</w:t>
      </w:r>
      <w:bookmarkEnd w:id="608"/>
    </w:p>
    <w:p w14:paraId="30FA3E18" w14:textId="77777777" w:rsidR="00173B5E" w:rsidRPr="00173B5E" w:rsidRDefault="00173B5E" w:rsidP="00750180">
      <w:pPr>
        <w:pStyle w:val="ListParagraph"/>
        <w:numPr>
          <w:ilvl w:val="0"/>
          <w:numId w:val="42"/>
        </w:numPr>
        <w:spacing w:after="0" w:line="240" w:lineRule="auto"/>
        <w:jc w:val="both"/>
        <w:rPr>
          <w:szCs w:val="20"/>
        </w:rPr>
      </w:pPr>
      <w:r w:rsidRPr="00173B5E">
        <w:rPr>
          <w:szCs w:val="20"/>
        </w:rPr>
        <w:t>Slow progress on LED &amp; Tourism Development in uMlalazi Municipality area</w:t>
      </w:r>
    </w:p>
    <w:p w14:paraId="0B2CDEB6" w14:textId="77777777" w:rsidR="00173B5E" w:rsidRDefault="00173B5E" w:rsidP="00750180">
      <w:pPr>
        <w:pStyle w:val="ListParagraph"/>
        <w:numPr>
          <w:ilvl w:val="0"/>
          <w:numId w:val="42"/>
        </w:numPr>
        <w:spacing w:after="0" w:line="240" w:lineRule="auto"/>
        <w:jc w:val="both"/>
        <w:rPr>
          <w:szCs w:val="20"/>
        </w:rPr>
      </w:pPr>
      <w:r w:rsidRPr="00173B5E">
        <w:rPr>
          <w:szCs w:val="20"/>
        </w:rPr>
        <w:t>Unemployment</w:t>
      </w:r>
    </w:p>
    <w:p w14:paraId="5368A43D" w14:textId="77777777" w:rsidR="0025762B" w:rsidRDefault="0025762B" w:rsidP="0025762B">
      <w:pPr>
        <w:pStyle w:val="ListParagraph"/>
        <w:spacing w:after="0" w:line="240" w:lineRule="auto"/>
        <w:jc w:val="both"/>
        <w:rPr>
          <w:szCs w:val="20"/>
        </w:rPr>
      </w:pPr>
    </w:p>
    <w:p w14:paraId="707193DF" w14:textId="77777777" w:rsidR="00173B5E" w:rsidRPr="00BB6855" w:rsidRDefault="00173B5E" w:rsidP="00750180">
      <w:pPr>
        <w:pStyle w:val="Heading3"/>
        <w:numPr>
          <w:ilvl w:val="2"/>
          <w:numId w:val="127"/>
        </w:numPr>
        <w:spacing w:after="240"/>
      </w:pPr>
      <w:bookmarkStart w:id="609" w:name="_Toc510706678"/>
      <w:r w:rsidRPr="00BB6855">
        <w:t>KPA 4:  MUNICIPAL FINANCIAL VIABILITY AND MANAGEMENT</w:t>
      </w:r>
      <w:bookmarkEnd w:id="609"/>
    </w:p>
    <w:p w14:paraId="5042B870" w14:textId="77777777" w:rsidR="008A0329" w:rsidRPr="008A0329" w:rsidRDefault="008A0329" w:rsidP="00750180">
      <w:pPr>
        <w:pStyle w:val="ListParagraph"/>
        <w:numPr>
          <w:ilvl w:val="0"/>
          <w:numId w:val="88"/>
        </w:numPr>
        <w:spacing w:after="0" w:line="240" w:lineRule="auto"/>
        <w:jc w:val="both"/>
        <w:rPr>
          <w:szCs w:val="20"/>
        </w:rPr>
      </w:pPr>
      <w:r w:rsidRPr="008A0329">
        <w:rPr>
          <w:szCs w:val="20"/>
        </w:rPr>
        <w:t>Insufficient Revenue Sources</w:t>
      </w:r>
    </w:p>
    <w:p w14:paraId="2AAA8638" w14:textId="77777777" w:rsidR="008A0329" w:rsidRPr="008A0329" w:rsidRDefault="008A0329" w:rsidP="00750180">
      <w:pPr>
        <w:pStyle w:val="ListParagraph"/>
        <w:numPr>
          <w:ilvl w:val="0"/>
          <w:numId w:val="88"/>
        </w:numPr>
        <w:spacing w:after="0" w:line="240" w:lineRule="auto"/>
        <w:jc w:val="both"/>
        <w:rPr>
          <w:szCs w:val="20"/>
        </w:rPr>
      </w:pPr>
      <w:r w:rsidRPr="008A0329">
        <w:rPr>
          <w:szCs w:val="20"/>
        </w:rPr>
        <w:t xml:space="preserve">Insufficient Infrastructure Maintenance </w:t>
      </w:r>
    </w:p>
    <w:p w14:paraId="6AEBCA8A" w14:textId="77777777" w:rsidR="008A0329" w:rsidRPr="008A0329" w:rsidRDefault="008A0329" w:rsidP="00750180">
      <w:pPr>
        <w:pStyle w:val="ListParagraph"/>
        <w:numPr>
          <w:ilvl w:val="0"/>
          <w:numId w:val="88"/>
        </w:numPr>
        <w:spacing w:after="0" w:line="240" w:lineRule="auto"/>
        <w:jc w:val="both"/>
        <w:rPr>
          <w:szCs w:val="20"/>
        </w:rPr>
      </w:pPr>
      <w:r w:rsidRPr="008A0329">
        <w:rPr>
          <w:szCs w:val="20"/>
        </w:rPr>
        <w:t>MIG Expenditure</w:t>
      </w:r>
    </w:p>
    <w:p w14:paraId="72C5F2D0" w14:textId="77777777" w:rsidR="00BA4784" w:rsidRPr="00173B5E" w:rsidRDefault="008A0329" w:rsidP="00750180">
      <w:pPr>
        <w:pStyle w:val="ListParagraph"/>
        <w:numPr>
          <w:ilvl w:val="0"/>
          <w:numId w:val="88"/>
        </w:numPr>
        <w:spacing w:after="0" w:line="240" w:lineRule="auto"/>
        <w:jc w:val="both"/>
        <w:rPr>
          <w:szCs w:val="20"/>
        </w:rPr>
      </w:pPr>
      <w:r w:rsidRPr="008A0329">
        <w:rPr>
          <w:szCs w:val="20"/>
        </w:rPr>
        <w:t>Monitoring Service Providers</w:t>
      </w:r>
    </w:p>
    <w:p w14:paraId="2F00F7F2" w14:textId="77777777" w:rsidR="00173B5E" w:rsidRPr="00BB6855" w:rsidRDefault="00173B5E" w:rsidP="00750180">
      <w:pPr>
        <w:pStyle w:val="Heading3"/>
        <w:numPr>
          <w:ilvl w:val="2"/>
          <w:numId w:val="127"/>
        </w:numPr>
        <w:spacing w:after="240"/>
      </w:pPr>
      <w:bookmarkStart w:id="610" w:name="_Toc510706679"/>
      <w:r w:rsidRPr="00BB6855">
        <w:t>KPA 5: GOOD GOVERNANCE AND PUBLIC PARTICIPATION</w:t>
      </w:r>
      <w:bookmarkEnd w:id="610"/>
    </w:p>
    <w:p w14:paraId="5334C56C" w14:textId="77777777" w:rsidR="00173B5E" w:rsidRPr="00173B5E" w:rsidRDefault="00173B5E" w:rsidP="00173B5E">
      <w:pPr>
        <w:pStyle w:val="ListParagraph"/>
        <w:spacing w:before="240"/>
        <w:jc w:val="both"/>
        <w:rPr>
          <w:b/>
          <w:szCs w:val="20"/>
        </w:rPr>
      </w:pPr>
    </w:p>
    <w:p w14:paraId="2A869727" w14:textId="77777777" w:rsidR="00173B5E" w:rsidRPr="00173B5E" w:rsidRDefault="00173B5E" w:rsidP="00750180">
      <w:pPr>
        <w:pStyle w:val="ListParagraph"/>
        <w:numPr>
          <w:ilvl w:val="0"/>
          <w:numId w:val="43"/>
        </w:numPr>
        <w:spacing w:after="0" w:line="240" w:lineRule="auto"/>
        <w:jc w:val="both"/>
        <w:rPr>
          <w:szCs w:val="20"/>
        </w:rPr>
      </w:pPr>
      <w:r w:rsidRPr="00173B5E">
        <w:rPr>
          <w:szCs w:val="20"/>
        </w:rPr>
        <w:t>Unqualified Audit Opinion</w:t>
      </w:r>
    </w:p>
    <w:p w14:paraId="0861819F" w14:textId="77777777" w:rsidR="00173B5E" w:rsidRPr="00173B5E" w:rsidRDefault="00173B5E" w:rsidP="00750180">
      <w:pPr>
        <w:pStyle w:val="ListParagraph"/>
        <w:numPr>
          <w:ilvl w:val="0"/>
          <w:numId w:val="43"/>
        </w:numPr>
        <w:spacing w:after="0" w:line="240" w:lineRule="auto"/>
        <w:jc w:val="both"/>
        <w:rPr>
          <w:szCs w:val="20"/>
        </w:rPr>
      </w:pPr>
      <w:r w:rsidRPr="00173B5E">
        <w:rPr>
          <w:szCs w:val="20"/>
        </w:rPr>
        <w:t xml:space="preserve">Poor participation in HIV/Aids </w:t>
      </w:r>
      <w:r w:rsidR="003F34D3" w:rsidRPr="00173B5E">
        <w:rPr>
          <w:szCs w:val="20"/>
        </w:rPr>
        <w:t>Programs</w:t>
      </w:r>
    </w:p>
    <w:p w14:paraId="1FB66B0F" w14:textId="77777777" w:rsidR="00173B5E" w:rsidRPr="00173B5E" w:rsidRDefault="00173B5E" w:rsidP="00750180">
      <w:pPr>
        <w:pStyle w:val="ListParagraph"/>
        <w:numPr>
          <w:ilvl w:val="0"/>
          <w:numId w:val="43"/>
        </w:numPr>
        <w:spacing w:after="0" w:line="240" w:lineRule="auto"/>
        <w:jc w:val="both"/>
        <w:rPr>
          <w:szCs w:val="20"/>
        </w:rPr>
      </w:pPr>
      <w:r w:rsidRPr="00173B5E">
        <w:rPr>
          <w:szCs w:val="20"/>
        </w:rPr>
        <w:t>Inadequate Risk Reduction measures in place</w:t>
      </w:r>
    </w:p>
    <w:p w14:paraId="3435DE10" w14:textId="77777777" w:rsidR="00173B5E" w:rsidRPr="00173B5E" w:rsidRDefault="00173B5E" w:rsidP="00750180">
      <w:pPr>
        <w:pStyle w:val="ListParagraph"/>
        <w:numPr>
          <w:ilvl w:val="0"/>
          <w:numId w:val="43"/>
        </w:numPr>
        <w:spacing w:after="0" w:line="240" w:lineRule="auto"/>
        <w:jc w:val="both"/>
        <w:rPr>
          <w:szCs w:val="20"/>
        </w:rPr>
      </w:pPr>
      <w:r w:rsidRPr="00173B5E">
        <w:rPr>
          <w:szCs w:val="20"/>
        </w:rPr>
        <w:t>Poor Public participation initiatives</w:t>
      </w:r>
    </w:p>
    <w:p w14:paraId="1194EDD2" w14:textId="77777777" w:rsidR="00173B5E" w:rsidRPr="00173B5E" w:rsidRDefault="00173B5E" w:rsidP="00750180">
      <w:pPr>
        <w:pStyle w:val="ListParagraph"/>
        <w:numPr>
          <w:ilvl w:val="0"/>
          <w:numId w:val="43"/>
        </w:numPr>
        <w:spacing w:after="0" w:line="240" w:lineRule="auto"/>
        <w:jc w:val="both"/>
        <w:rPr>
          <w:szCs w:val="20"/>
        </w:rPr>
      </w:pPr>
      <w:r w:rsidRPr="00173B5E">
        <w:rPr>
          <w:szCs w:val="20"/>
        </w:rPr>
        <w:t>Lack of outcome on International and National Relations</w:t>
      </w:r>
    </w:p>
    <w:p w14:paraId="19745B3F" w14:textId="77777777" w:rsidR="00173B5E" w:rsidRDefault="00173B5E" w:rsidP="00750180">
      <w:pPr>
        <w:pStyle w:val="ListParagraph"/>
        <w:numPr>
          <w:ilvl w:val="0"/>
          <w:numId w:val="43"/>
        </w:numPr>
        <w:spacing w:after="0" w:line="240" w:lineRule="auto"/>
        <w:jc w:val="both"/>
        <w:rPr>
          <w:szCs w:val="20"/>
        </w:rPr>
      </w:pPr>
      <w:r w:rsidRPr="00173B5E">
        <w:rPr>
          <w:szCs w:val="20"/>
        </w:rPr>
        <w:t>Ineffective oversight</w:t>
      </w:r>
    </w:p>
    <w:p w14:paraId="1FDD3E14" w14:textId="77777777" w:rsidR="00BA4784" w:rsidRPr="00173B5E" w:rsidRDefault="00BA4784" w:rsidP="00BA4784">
      <w:pPr>
        <w:pStyle w:val="ListParagraph"/>
        <w:spacing w:after="0" w:line="240" w:lineRule="auto"/>
        <w:jc w:val="both"/>
        <w:rPr>
          <w:szCs w:val="20"/>
        </w:rPr>
      </w:pPr>
    </w:p>
    <w:p w14:paraId="05A355F8" w14:textId="77777777" w:rsidR="00173B5E" w:rsidRPr="00BB6855" w:rsidRDefault="00173B5E" w:rsidP="00750180">
      <w:pPr>
        <w:pStyle w:val="Heading3"/>
        <w:numPr>
          <w:ilvl w:val="2"/>
          <w:numId w:val="127"/>
        </w:numPr>
        <w:spacing w:after="240"/>
      </w:pPr>
      <w:bookmarkStart w:id="611" w:name="_Toc510706680"/>
      <w:r w:rsidRPr="00BB6855">
        <w:t>KPA 6: CROSS CUTTING ISSUES</w:t>
      </w:r>
      <w:bookmarkEnd w:id="611"/>
    </w:p>
    <w:p w14:paraId="6625B042" w14:textId="77777777" w:rsidR="00173B5E" w:rsidRDefault="00173B5E" w:rsidP="00750180">
      <w:pPr>
        <w:pStyle w:val="ListParagraph"/>
        <w:numPr>
          <w:ilvl w:val="0"/>
          <w:numId w:val="44"/>
        </w:numPr>
        <w:spacing w:after="0" w:line="240" w:lineRule="auto"/>
        <w:jc w:val="both"/>
        <w:rPr>
          <w:szCs w:val="20"/>
        </w:rPr>
      </w:pPr>
      <w:r w:rsidRPr="00173B5E">
        <w:rPr>
          <w:szCs w:val="20"/>
        </w:rPr>
        <w:t>Fragmented or adhoc Planning</w:t>
      </w:r>
    </w:p>
    <w:p w14:paraId="4EE7B169" w14:textId="77777777" w:rsidR="000A1FCC" w:rsidRPr="00881795" w:rsidRDefault="000A1FCC" w:rsidP="00FB61F8">
      <w:pPr>
        <w:pStyle w:val="Heading1"/>
      </w:pPr>
      <w:bookmarkStart w:id="612" w:name="_Toc350708866"/>
      <w:bookmarkStart w:id="613" w:name="_Toc350694364"/>
      <w:bookmarkStart w:id="614" w:name="_Toc389740095"/>
      <w:bookmarkStart w:id="615" w:name="_Toc510706681"/>
      <w:r w:rsidRPr="00FB61F8">
        <w:t>SECTION</w:t>
      </w:r>
      <w:r w:rsidRPr="00881795">
        <w:t xml:space="preserve"> </w:t>
      </w:r>
      <w:r w:rsidR="00FB61F8" w:rsidRPr="00881795">
        <w:t>D</w:t>
      </w:r>
      <w:r w:rsidR="00FB61F8">
        <w:t>:</w:t>
      </w:r>
      <w:r w:rsidRPr="00881795">
        <w:t xml:space="preserve"> </w:t>
      </w:r>
      <w:r w:rsidR="00FB61F8">
        <w:t xml:space="preserve">4 </w:t>
      </w:r>
      <w:r w:rsidRPr="00881795">
        <w:t>VISION</w:t>
      </w:r>
      <w:r w:rsidR="000C0213" w:rsidRPr="00881795">
        <w:t xml:space="preserve"> AND</w:t>
      </w:r>
      <w:r w:rsidRPr="00881795">
        <w:t xml:space="preserve"> MISSION &amp; GOALS AND OBJECTIVES</w:t>
      </w:r>
      <w:bookmarkEnd w:id="612"/>
      <w:bookmarkEnd w:id="613"/>
      <w:bookmarkEnd w:id="614"/>
      <w:bookmarkEnd w:id="615"/>
    </w:p>
    <w:p w14:paraId="298DF664" w14:textId="77777777" w:rsidR="000C0213" w:rsidRPr="001F3FDA" w:rsidRDefault="000C0213" w:rsidP="00750180">
      <w:pPr>
        <w:pStyle w:val="Heading2"/>
        <w:numPr>
          <w:ilvl w:val="1"/>
          <w:numId w:val="89"/>
        </w:numPr>
        <w:spacing w:after="240"/>
      </w:pPr>
      <w:bookmarkStart w:id="616" w:name="_Toc327349354"/>
      <w:bookmarkStart w:id="617" w:name="_Toc291152514"/>
      <w:bookmarkStart w:id="618" w:name="_Toc181433196"/>
      <w:bookmarkStart w:id="619" w:name="_Toc389740096"/>
      <w:bookmarkStart w:id="620" w:name="_Toc510706682"/>
      <w:r w:rsidRPr="00FB61F8">
        <w:t>STRATEGIC</w:t>
      </w:r>
      <w:r w:rsidRPr="001F3FDA">
        <w:t xml:space="preserve"> DEVELOPMENT RATIONALE: COMPARATIVE ADVANTAGE AREAS</w:t>
      </w:r>
      <w:bookmarkEnd w:id="616"/>
      <w:bookmarkEnd w:id="617"/>
      <w:bookmarkEnd w:id="618"/>
      <w:bookmarkEnd w:id="619"/>
      <w:bookmarkEnd w:id="620"/>
    </w:p>
    <w:p w14:paraId="46322DB9" w14:textId="77777777" w:rsidR="000C0213" w:rsidRPr="00881795" w:rsidRDefault="000C0213" w:rsidP="00395313">
      <w:pPr>
        <w:jc w:val="both"/>
        <w:rPr>
          <w:szCs w:val="20"/>
          <w:lang w:bidi="en-US"/>
        </w:rPr>
      </w:pPr>
      <w:r w:rsidRPr="00881795">
        <w:rPr>
          <w:szCs w:val="20"/>
          <w:lang w:bidi="en-US"/>
        </w:rPr>
        <w:t>The Strategic Development Rationale provides the overall approach to the Development of the uMlalazi Municipal Area.  This Rationale forms the premise for the Spatial Development Framework.  The rational has both physical and institutional components, i.e. it focuses on the structuring of the urban and rural form to overcome developmental problems and address key priorities and needs as well as the institutional requirements in terms of resourcing (human and financial) to attain the aforesaid.</w:t>
      </w:r>
    </w:p>
    <w:p w14:paraId="0E10F26B" w14:textId="77777777" w:rsidR="000C0213" w:rsidRPr="00881795" w:rsidRDefault="000C0213" w:rsidP="00395313">
      <w:pPr>
        <w:jc w:val="both"/>
        <w:rPr>
          <w:szCs w:val="20"/>
          <w:lang w:bidi="en-US"/>
        </w:rPr>
      </w:pPr>
      <w:r w:rsidRPr="00881795">
        <w:rPr>
          <w:szCs w:val="20"/>
          <w:lang w:bidi="en-US"/>
        </w:rPr>
        <w:t>The key aspect to the Strategic Development Rationale is to focus on those components, elements or areas that will provide the highest impact in terms of sustainable development contributing towards local economic development and in a substantial increase in the living standard of people residing in the municipal area, as well as the financial viability of the municipality itself.  This cannot be attained without financial inputs while the effective use of such financial inputs cannot be done without a Council that is empowered to make efficient and effective use of scarce resources.</w:t>
      </w:r>
    </w:p>
    <w:p w14:paraId="3B30AF0A" w14:textId="77777777" w:rsidR="000C0213" w:rsidRPr="00881795" w:rsidRDefault="000C0213" w:rsidP="00395313">
      <w:pPr>
        <w:jc w:val="both"/>
        <w:rPr>
          <w:szCs w:val="20"/>
          <w:lang w:bidi="en-US"/>
        </w:rPr>
      </w:pPr>
      <w:r w:rsidRPr="00881795">
        <w:rPr>
          <w:szCs w:val="20"/>
          <w:lang w:bidi="en-US"/>
        </w:rPr>
        <w:t xml:space="preserve">The Strategic Development Rationale for UMlalazi is supported through the development of a </w:t>
      </w:r>
      <w:r w:rsidRPr="00881795">
        <w:rPr>
          <w:b/>
          <w:bCs/>
          <w:szCs w:val="20"/>
          <w:lang w:bidi="en-US"/>
        </w:rPr>
        <w:t xml:space="preserve">hierarchy of nodes </w:t>
      </w:r>
      <w:r w:rsidRPr="00881795">
        <w:rPr>
          <w:bCs/>
          <w:szCs w:val="20"/>
          <w:lang w:bidi="en-US"/>
        </w:rPr>
        <w:t>(as proposed through the revised SDF)</w:t>
      </w:r>
      <w:r w:rsidRPr="00881795">
        <w:rPr>
          <w:szCs w:val="20"/>
          <w:lang w:bidi="en-US"/>
        </w:rPr>
        <w:t xml:space="preserve">. These nodes will form the focal points for development and service provision, to ensure access to social and economic opportunities for the entire area.  The concentration of activities in and around nodes will stimulate a higher order of activities and development.  Access to social and economic opportunities at such nodal areas will have to be managed and supported to ensure its efficiency.  </w:t>
      </w:r>
    </w:p>
    <w:p w14:paraId="55B7E700" w14:textId="77777777" w:rsidR="000C0213" w:rsidRPr="00881795" w:rsidRDefault="000C0213" w:rsidP="00395313">
      <w:pPr>
        <w:jc w:val="both"/>
        <w:rPr>
          <w:szCs w:val="20"/>
          <w:lang w:bidi="en-US"/>
        </w:rPr>
      </w:pPr>
      <w:r w:rsidRPr="00881795">
        <w:rPr>
          <w:szCs w:val="20"/>
          <w:lang w:bidi="en-US"/>
        </w:rPr>
        <w:t xml:space="preserve">The Strategic Development Rationale puts forward an </w:t>
      </w:r>
      <w:r w:rsidRPr="00881795">
        <w:rPr>
          <w:b/>
          <w:bCs/>
          <w:szCs w:val="20"/>
          <w:lang w:bidi="en-US"/>
        </w:rPr>
        <w:t>incremental development approach</w:t>
      </w:r>
      <w:r w:rsidRPr="00881795">
        <w:rPr>
          <w:szCs w:val="20"/>
          <w:lang w:bidi="en-US"/>
        </w:rPr>
        <w:t>, where the upgrading of existing services and provision of new services is focused in specific areas according to settlement and nodal classification and according to areas where there is already economic growth or the potential for economic growth.</w:t>
      </w:r>
    </w:p>
    <w:p w14:paraId="0B25D913" w14:textId="77777777" w:rsidR="000C0213" w:rsidRPr="00881795" w:rsidRDefault="000C0213" w:rsidP="00395313">
      <w:pPr>
        <w:jc w:val="both"/>
        <w:rPr>
          <w:szCs w:val="20"/>
          <w:lang w:bidi="en-US"/>
        </w:rPr>
      </w:pPr>
      <w:r w:rsidRPr="00881795">
        <w:rPr>
          <w:szCs w:val="20"/>
          <w:lang w:bidi="en-US"/>
        </w:rPr>
        <w:t xml:space="preserve">The Strategic Development Rationale also recognises the need for the Municipality to </w:t>
      </w:r>
      <w:r w:rsidRPr="00881795">
        <w:rPr>
          <w:b/>
          <w:szCs w:val="20"/>
          <w:lang w:bidi="en-US"/>
        </w:rPr>
        <w:t>build strong public – public (between local, district, provincial and national government) and public – private partnerships</w:t>
      </w:r>
      <w:r w:rsidRPr="00881795">
        <w:rPr>
          <w:szCs w:val="20"/>
          <w:lang w:bidi="en-US"/>
        </w:rPr>
        <w:t xml:space="preserve">.  This component is essential to ensure that obstacles are identified and dealt with – procedural, human resource as well as financial. </w:t>
      </w:r>
    </w:p>
    <w:p w14:paraId="46055ADC" w14:textId="77777777" w:rsidR="000C0213" w:rsidRPr="001F3FDA" w:rsidRDefault="000C0213" w:rsidP="00750180">
      <w:pPr>
        <w:pStyle w:val="Heading3"/>
        <w:numPr>
          <w:ilvl w:val="2"/>
          <w:numId w:val="89"/>
        </w:numPr>
      </w:pPr>
      <w:bookmarkStart w:id="621" w:name="_Toc327349355"/>
      <w:bookmarkStart w:id="622" w:name="_Toc389740097"/>
      <w:bookmarkStart w:id="623" w:name="_Toc510706683"/>
      <w:r w:rsidRPr="001F3FDA">
        <w:t>IDENTIFIED COMPARATIVE ADVANTAGES</w:t>
      </w:r>
      <w:bookmarkEnd w:id="621"/>
      <w:bookmarkEnd w:id="622"/>
      <w:bookmarkEnd w:id="623"/>
    </w:p>
    <w:p w14:paraId="567B8329" w14:textId="77777777" w:rsidR="000C0213" w:rsidRPr="00881795" w:rsidRDefault="000C0213" w:rsidP="00395313">
      <w:pPr>
        <w:pStyle w:val="ListParagraph"/>
        <w:spacing w:line="288" w:lineRule="auto"/>
        <w:ind w:left="360"/>
        <w:jc w:val="both"/>
        <w:rPr>
          <w:szCs w:val="20"/>
        </w:rPr>
      </w:pPr>
    </w:p>
    <w:p w14:paraId="5B63A28C" w14:textId="77777777" w:rsidR="000C0213" w:rsidRPr="00881795" w:rsidRDefault="003F34D3" w:rsidP="00E31338">
      <w:pPr>
        <w:pStyle w:val="ListParagraph"/>
        <w:numPr>
          <w:ilvl w:val="0"/>
          <w:numId w:val="1"/>
        </w:numPr>
        <w:spacing w:line="288" w:lineRule="auto"/>
        <w:jc w:val="both"/>
        <w:rPr>
          <w:szCs w:val="20"/>
        </w:rPr>
      </w:pPr>
      <w:r w:rsidRPr="007976E3">
        <w:rPr>
          <w:szCs w:val="20"/>
        </w:rPr>
        <w:t>Pristine</w:t>
      </w:r>
      <w:r w:rsidR="003779B9" w:rsidRPr="007976E3">
        <w:rPr>
          <w:szCs w:val="20"/>
        </w:rPr>
        <w:t xml:space="preserve"> </w:t>
      </w:r>
      <w:r w:rsidR="000C0213" w:rsidRPr="007976E3">
        <w:rPr>
          <w:szCs w:val="20"/>
        </w:rPr>
        <w:t>Coastline</w:t>
      </w:r>
      <w:r w:rsidR="000C0213" w:rsidRPr="00881795">
        <w:rPr>
          <w:szCs w:val="20"/>
        </w:rPr>
        <w:t xml:space="preserve"> of approximately 17kms</w:t>
      </w:r>
    </w:p>
    <w:p w14:paraId="185FA8DB" w14:textId="77777777" w:rsidR="000C0213" w:rsidRPr="00881795" w:rsidRDefault="000C0213" w:rsidP="00E31338">
      <w:pPr>
        <w:pStyle w:val="ListParagraph"/>
        <w:numPr>
          <w:ilvl w:val="0"/>
          <w:numId w:val="1"/>
        </w:numPr>
        <w:spacing w:line="288" w:lineRule="auto"/>
        <w:jc w:val="both"/>
        <w:rPr>
          <w:szCs w:val="20"/>
        </w:rPr>
      </w:pPr>
      <w:r w:rsidRPr="00881795">
        <w:rPr>
          <w:szCs w:val="20"/>
        </w:rPr>
        <w:t>Excellent biodiversity</w:t>
      </w:r>
    </w:p>
    <w:p w14:paraId="28DDA4CA" w14:textId="77777777" w:rsidR="000C0213" w:rsidRPr="00881795" w:rsidRDefault="000C0213" w:rsidP="00E31338">
      <w:pPr>
        <w:pStyle w:val="ListParagraph"/>
        <w:numPr>
          <w:ilvl w:val="0"/>
          <w:numId w:val="1"/>
        </w:numPr>
        <w:spacing w:line="288" w:lineRule="auto"/>
        <w:jc w:val="both"/>
        <w:rPr>
          <w:szCs w:val="20"/>
        </w:rPr>
      </w:pPr>
      <w:r w:rsidRPr="00881795">
        <w:rPr>
          <w:szCs w:val="20"/>
        </w:rPr>
        <w:t>Goedertrouw/Phobane Dam</w:t>
      </w:r>
    </w:p>
    <w:p w14:paraId="5A079AF2" w14:textId="77777777" w:rsidR="000C0213" w:rsidRPr="00881795" w:rsidRDefault="000C0213" w:rsidP="00E31338">
      <w:pPr>
        <w:pStyle w:val="ListParagraph"/>
        <w:numPr>
          <w:ilvl w:val="0"/>
          <w:numId w:val="1"/>
        </w:numPr>
        <w:spacing w:line="288" w:lineRule="auto"/>
        <w:jc w:val="both"/>
        <w:rPr>
          <w:szCs w:val="20"/>
        </w:rPr>
      </w:pPr>
      <w:r w:rsidRPr="00881795">
        <w:rPr>
          <w:szCs w:val="20"/>
        </w:rPr>
        <w:t>Siyaya Coastal Reserve (the uMlalazi Reserve and the Amatikulu Reserve)</w:t>
      </w:r>
    </w:p>
    <w:p w14:paraId="70D00D47" w14:textId="77777777" w:rsidR="000C0213" w:rsidRPr="00881795" w:rsidRDefault="000C0213" w:rsidP="00E31338">
      <w:pPr>
        <w:pStyle w:val="ListParagraph"/>
        <w:numPr>
          <w:ilvl w:val="0"/>
          <w:numId w:val="1"/>
        </w:numPr>
        <w:spacing w:line="288" w:lineRule="auto"/>
        <w:jc w:val="both"/>
        <w:rPr>
          <w:szCs w:val="20"/>
        </w:rPr>
      </w:pPr>
      <w:r w:rsidRPr="00881795">
        <w:rPr>
          <w:szCs w:val="20"/>
        </w:rPr>
        <w:t>Four Conservation Areas (Entumeni Nature Reserve, Mbongolwane Wetland, Ongoye and Dhlinza Forests)</w:t>
      </w:r>
    </w:p>
    <w:p w14:paraId="789A550D" w14:textId="77777777" w:rsidR="000C0213" w:rsidRPr="00881795" w:rsidRDefault="000C0213" w:rsidP="00E31338">
      <w:pPr>
        <w:pStyle w:val="ListParagraph"/>
        <w:numPr>
          <w:ilvl w:val="0"/>
          <w:numId w:val="1"/>
        </w:numPr>
        <w:spacing w:line="288" w:lineRule="auto"/>
        <w:jc w:val="both"/>
        <w:rPr>
          <w:szCs w:val="20"/>
        </w:rPr>
      </w:pPr>
      <w:r w:rsidRPr="00881795">
        <w:rPr>
          <w:szCs w:val="20"/>
        </w:rPr>
        <w:t>N2 National Road traverses through the Municipal Area along its south-eastern boundary</w:t>
      </w:r>
    </w:p>
    <w:p w14:paraId="53BDC217" w14:textId="77777777" w:rsidR="000C0213" w:rsidRPr="00881795" w:rsidRDefault="000C0213" w:rsidP="00E31338">
      <w:pPr>
        <w:pStyle w:val="ListParagraph"/>
        <w:numPr>
          <w:ilvl w:val="0"/>
          <w:numId w:val="1"/>
        </w:numPr>
        <w:spacing w:line="288" w:lineRule="auto"/>
        <w:jc w:val="both"/>
        <w:rPr>
          <w:szCs w:val="20"/>
        </w:rPr>
      </w:pPr>
      <w:r w:rsidRPr="00881795">
        <w:rPr>
          <w:szCs w:val="20"/>
        </w:rPr>
        <w:t xml:space="preserve">The R66 Main Road traverses through the </w:t>
      </w:r>
      <w:r w:rsidR="003F34D3" w:rsidRPr="00881795">
        <w:rPr>
          <w:szCs w:val="20"/>
        </w:rPr>
        <w:t>center</w:t>
      </w:r>
      <w:r w:rsidRPr="00881795">
        <w:rPr>
          <w:szCs w:val="20"/>
        </w:rPr>
        <w:t xml:space="preserve"> of the municipal area from south to north, providing a road link between Durban, Ulundi and Vryheid.</w:t>
      </w:r>
    </w:p>
    <w:p w14:paraId="31CBDBA0" w14:textId="77777777" w:rsidR="000C0213" w:rsidRPr="00881795" w:rsidRDefault="000C0213" w:rsidP="00E31338">
      <w:pPr>
        <w:pStyle w:val="ListParagraph"/>
        <w:numPr>
          <w:ilvl w:val="0"/>
          <w:numId w:val="1"/>
        </w:numPr>
        <w:spacing w:line="288" w:lineRule="auto"/>
        <w:jc w:val="both"/>
        <w:rPr>
          <w:szCs w:val="20"/>
        </w:rPr>
      </w:pPr>
      <w:r w:rsidRPr="00881795">
        <w:rPr>
          <w:szCs w:val="20"/>
        </w:rPr>
        <w:t xml:space="preserve">The municipality is located adjacent and to the south of one of the fastest growing urban </w:t>
      </w:r>
      <w:r w:rsidR="003F34D3" w:rsidRPr="00881795">
        <w:rPr>
          <w:szCs w:val="20"/>
        </w:rPr>
        <w:t>centers</w:t>
      </w:r>
      <w:r w:rsidRPr="00881795">
        <w:rPr>
          <w:szCs w:val="20"/>
        </w:rPr>
        <w:t xml:space="preserve"> in South Africa, namely Richards Bay – Empangeni.</w:t>
      </w:r>
    </w:p>
    <w:p w14:paraId="74B558D9" w14:textId="77777777" w:rsidR="00260E65" w:rsidRPr="000C4150" w:rsidRDefault="000C0213" w:rsidP="00141189">
      <w:pPr>
        <w:pStyle w:val="ListParagraph"/>
        <w:numPr>
          <w:ilvl w:val="0"/>
          <w:numId w:val="1"/>
        </w:numPr>
        <w:spacing w:line="288" w:lineRule="auto"/>
        <w:jc w:val="both"/>
        <w:rPr>
          <w:szCs w:val="20"/>
        </w:rPr>
        <w:sectPr w:rsidR="00260E65" w:rsidRPr="000C4150" w:rsidSect="00260E65">
          <w:type w:val="continuous"/>
          <w:pgSz w:w="11907" w:h="16839" w:code="9"/>
          <w:pgMar w:top="851" w:right="1134" w:bottom="851" w:left="1134" w:header="720" w:footer="720" w:gutter="0"/>
          <w:cols w:space="720"/>
          <w:docGrid w:linePitch="299"/>
        </w:sectPr>
      </w:pPr>
      <w:r w:rsidRPr="000C4150">
        <w:rPr>
          <w:szCs w:val="20"/>
        </w:rPr>
        <w:t>The municipal area is rich in historical and cultural assets.</w:t>
      </w:r>
    </w:p>
    <w:p w14:paraId="6C1E60DC" w14:textId="77777777" w:rsidR="000C0213" w:rsidRPr="00BB6855" w:rsidRDefault="000C0213" w:rsidP="00750180">
      <w:pPr>
        <w:pStyle w:val="Heading2"/>
        <w:numPr>
          <w:ilvl w:val="1"/>
          <w:numId w:val="89"/>
        </w:numPr>
        <w:spacing w:after="240"/>
      </w:pPr>
      <w:bookmarkStart w:id="624" w:name="_Toc327349356"/>
      <w:bookmarkStart w:id="625" w:name="_Toc291152515"/>
      <w:bookmarkStart w:id="626" w:name="_Toc181433194"/>
      <w:bookmarkStart w:id="627" w:name="_Toc389740098"/>
      <w:bookmarkStart w:id="628" w:name="_Toc510706684"/>
      <w:r w:rsidRPr="00BB6855">
        <w:t>MUNICIPAL VISION AND MISSION</w:t>
      </w:r>
      <w:bookmarkEnd w:id="624"/>
      <w:bookmarkEnd w:id="625"/>
      <w:bookmarkEnd w:id="626"/>
      <w:bookmarkEnd w:id="627"/>
      <w:bookmarkEnd w:id="628"/>
    </w:p>
    <w:p w14:paraId="6476C4A4" w14:textId="77777777" w:rsidR="000C0213" w:rsidRPr="00BB6855" w:rsidRDefault="000C0213" w:rsidP="00750180">
      <w:pPr>
        <w:pStyle w:val="Heading3"/>
        <w:numPr>
          <w:ilvl w:val="2"/>
          <w:numId w:val="89"/>
        </w:numPr>
        <w:spacing w:after="240"/>
      </w:pPr>
      <w:bookmarkStart w:id="629" w:name="_Toc327349357"/>
      <w:bookmarkStart w:id="630" w:name="_Toc291152516"/>
      <w:bookmarkStart w:id="631" w:name="_Toc181433195"/>
      <w:bookmarkStart w:id="632" w:name="_Toc389740099"/>
      <w:bookmarkStart w:id="633" w:name="_Toc510706685"/>
      <w:r w:rsidRPr="00BB6855">
        <w:t>THE MUNICIPAL VISION</w:t>
      </w:r>
      <w:bookmarkEnd w:id="629"/>
      <w:bookmarkEnd w:id="630"/>
      <w:bookmarkEnd w:id="631"/>
      <w:bookmarkEnd w:id="632"/>
      <w:bookmarkEnd w:id="633"/>
    </w:p>
    <w:bookmarkStart w:id="634" w:name="_Toc327349358"/>
    <w:p w14:paraId="5513324C" w14:textId="77777777" w:rsidR="00B760CB" w:rsidRPr="00B760CB" w:rsidRDefault="00B760CB" w:rsidP="00B760CB">
      <w:pPr>
        <w:jc w:val="both"/>
        <w:rPr>
          <w:szCs w:val="20"/>
          <w:lang w:bidi="en-US"/>
        </w:rPr>
      </w:pPr>
      <w:r w:rsidRPr="00B760CB">
        <w:rPr>
          <w:noProof/>
          <w:szCs w:val="20"/>
        </w:rPr>
        <mc:AlternateContent>
          <mc:Choice Requires="wps">
            <w:drawing>
              <wp:inline distT="0" distB="0" distL="0" distR="0" wp14:anchorId="3A43016B" wp14:editId="379A4063">
                <wp:extent cx="8559376" cy="1159933"/>
                <wp:effectExtent l="57150" t="38100" r="70485" b="97790"/>
                <wp:docPr id="14"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59376" cy="1159933"/>
                        </a:xfrm>
                        <a:prstGeom prst="rect">
                          <a:avLst/>
                        </a:prstGeom>
                        <a:gradFill rotWithShape="1">
                          <a:gsLst>
                            <a:gs pos="0">
                              <a:srgbClr val="9BBB59">
                                <a:tint val="50000"/>
                                <a:satMod val="300000"/>
                              </a:srgbClr>
                            </a:gs>
                            <a:gs pos="35000">
                              <a:srgbClr val="9BBB59">
                                <a:tint val="37000"/>
                                <a:satMod val="300000"/>
                              </a:srgbClr>
                            </a:gs>
                            <a:gs pos="100000">
                              <a:srgbClr val="9BBB59">
                                <a:tint val="15000"/>
                                <a:satMod val="350000"/>
                              </a:srgbClr>
                            </a:gs>
                          </a:gsLst>
                          <a:lin ang="16200000" scaled="1"/>
                        </a:gradFill>
                        <a:ln w="9525" cap="flat" cmpd="sng" algn="ctr">
                          <a:solidFill>
                            <a:srgbClr val="9BBB59">
                              <a:shade val="95000"/>
                              <a:satMod val="105000"/>
                            </a:srgbClr>
                          </a:solidFill>
                          <a:prstDash val="solid"/>
                          <a:headEnd/>
                          <a:tailEnd/>
                        </a:ln>
                        <a:effectLst>
                          <a:outerShdw blurRad="40000" dist="20000" dir="5400000" rotWithShape="0">
                            <a:srgbClr val="000000">
                              <a:alpha val="38000"/>
                            </a:srgbClr>
                          </a:outerShdw>
                        </a:effectLst>
                      </wps:spPr>
                      <wps:txbx>
                        <w:txbxContent>
                          <w:p w14:paraId="65D6CF9F" w14:textId="77777777" w:rsidR="0067023A" w:rsidRPr="00B760CB" w:rsidRDefault="0067023A" w:rsidP="00B760CB">
                            <w:pPr>
                              <w:pStyle w:val="NormalWeb"/>
                              <w:spacing w:before="0" w:beforeAutospacing="0" w:after="200" w:afterAutospacing="0"/>
                              <w:jc w:val="center"/>
                              <w:textAlignment w:val="baseline"/>
                              <w:rPr>
                                <w:rFonts w:ascii="Calibri" w:hAnsi="Calibri"/>
                                <w:b/>
                                <w:sz w:val="32"/>
                                <w:szCs w:val="28"/>
                              </w:rPr>
                            </w:pPr>
                            <w:r w:rsidRPr="00B760CB">
                              <w:rPr>
                                <w:rFonts w:ascii="Calibri" w:hAnsi="Calibri"/>
                                <w:b/>
                                <w:sz w:val="32"/>
                                <w:szCs w:val="28"/>
                              </w:rPr>
                              <w:t>VISION:</w:t>
                            </w:r>
                          </w:p>
                          <w:p w14:paraId="7CE7E278" w14:textId="77777777" w:rsidR="0067023A" w:rsidRPr="00D4718F" w:rsidRDefault="0067023A" w:rsidP="00B760CB">
                            <w:pPr>
                              <w:pStyle w:val="NormalWeb"/>
                              <w:spacing w:before="0" w:beforeAutospacing="0" w:after="200" w:afterAutospacing="0"/>
                              <w:jc w:val="center"/>
                              <w:textAlignment w:val="baseline"/>
                              <w:rPr>
                                <w:rFonts w:ascii="Calibri" w:hAnsi="Calibri"/>
                                <w:sz w:val="36"/>
                                <w:szCs w:val="28"/>
                              </w:rPr>
                            </w:pPr>
                            <w:r w:rsidRPr="00D4718F">
                              <w:rPr>
                                <w:rFonts w:ascii="Calibri" w:hAnsi="Calibri"/>
                                <w:sz w:val="36"/>
                                <w:szCs w:val="28"/>
                              </w:rPr>
                              <w:t>“A model municipality for community empowerment and provision of services by a transformed institution in an area where e</w:t>
                            </w:r>
                            <w:r>
                              <w:rPr>
                                <w:rFonts w:ascii="Calibri" w:hAnsi="Calibri"/>
                                <w:sz w:val="36"/>
                                <w:szCs w:val="28"/>
                              </w:rPr>
                              <w:t>veryone lives in harmony by 2035</w:t>
                            </w:r>
                            <w:r w:rsidRPr="00D4718F">
                              <w:rPr>
                                <w:rFonts w:ascii="Calibri" w:hAnsi="Calibri"/>
                                <w:sz w:val="36"/>
                                <w:szCs w:val="28"/>
                              </w:rPr>
                              <w:t>”</w:t>
                            </w:r>
                          </w:p>
                          <w:p w14:paraId="66E82262" w14:textId="77777777" w:rsidR="0067023A" w:rsidRPr="0091233B" w:rsidRDefault="0067023A" w:rsidP="00B760CB">
                            <w:pPr>
                              <w:pStyle w:val="NormalWeb"/>
                              <w:spacing w:before="0" w:beforeAutospacing="0" w:after="200" w:afterAutospacing="0"/>
                              <w:jc w:val="center"/>
                              <w:textAlignment w:val="baseline"/>
                              <w:rPr>
                                <w:rFonts w:ascii="Calibri" w:hAnsi="Calibri"/>
                                <w:sz w:val="28"/>
                                <w:szCs w:val="28"/>
                              </w:rPr>
                            </w:pPr>
                          </w:p>
                        </w:txbxContent>
                      </wps:txbx>
                      <wps:bodyPr/>
                    </wps:wsp>
                  </a:graphicData>
                </a:graphic>
              </wp:inline>
            </w:drawing>
          </mc:Choice>
          <mc:Fallback>
            <w:pict>
              <v:shape w14:anchorId="3A43016B" id="_x0000_s1051" type="#_x0000_t202" style="width:673.95pt;height:91.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" fillcolor="#dafda7" strokecolor="#98b954">
                <v:fill color2="#f5ffe6" rotate="t" angle="180" colors="0 #dafda7;22938f #e4fdc2;1 #f5ffe6" focus="100%" type="gradient"/>
                <v:shadow on="t" color="black" opacity="24903f" origin=",.5" offset="0,.55556mm"/>
                <v:textbox>
                  <w:txbxContent>
                    <w:p w14:paraId="65D6CF9F" w14:textId="77777777" w:rsidR="0067023A" w:rsidRPr="00B760CB" w:rsidRDefault="0067023A" w:rsidP="00B760CB">
                      <w:pPr>
                        <w:pStyle w:val="NormalWeb"/>
                        <w:spacing w:before="0" w:beforeAutospacing="0" w:after="200" w:afterAutospacing="0"/>
                        <w:jc w:val="center"/>
                        <w:textAlignment w:val="baseline"/>
                        <w:rPr>
                          <w:rFonts w:ascii="Calibri" w:hAnsi="Calibri"/>
                          <w:b/>
                          <w:sz w:val="32"/>
                          <w:szCs w:val="28"/>
                        </w:rPr>
                      </w:pPr>
                      <w:r w:rsidRPr="00B760CB">
                        <w:rPr>
                          <w:rFonts w:ascii="Calibri" w:hAnsi="Calibri"/>
                          <w:b/>
                          <w:sz w:val="32"/>
                          <w:szCs w:val="28"/>
                        </w:rPr>
                        <w:t>VISION:</w:t>
                      </w:r>
                    </w:p>
                    <w:p w14:paraId="7CE7E278" w14:textId="77777777" w:rsidR="0067023A" w:rsidRPr="00D4718F" w:rsidRDefault="0067023A" w:rsidP="00B760CB">
                      <w:pPr>
                        <w:pStyle w:val="NormalWeb"/>
                        <w:spacing w:before="0" w:beforeAutospacing="0" w:after="200" w:afterAutospacing="0"/>
                        <w:jc w:val="center"/>
                        <w:textAlignment w:val="baseline"/>
                        <w:rPr>
                          <w:rFonts w:ascii="Calibri" w:hAnsi="Calibri"/>
                          <w:sz w:val="36"/>
                          <w:szCs w:val="28"/>
                        </w:rPr>
                      </w:pPr>
                      <w:r w:rsidRPr="00D4718F">
                        <w:rPr>
                          <w:rFonts w:ascii="Calibri" w:hAnsi="Calibri"/>
                          <w:sz w:val="36"/>
                          <w:szCs w:val="28"/>
                        </w:rPr>
                        <w:t>“A model municipality for community empowerment and provision of services by a transformed institution in an area where e</w:t>
                      </w:r>
                      <w:r>
                        <w:rPr>
                          <w:rFonts w:ascii="Calibri" w:hAnsi="Calibri"/>
                          <w:sz w:val="36"/>
                          <w:szCs w:val="28"/>
                        </w:rPr>
                        <w:t>veryone lives in harmony by 2035</w:t>
                      </w:r>
                      <w:r w:rsidRPr="00D4718F">
                        <w:rPr>
                          <w:rFonts w:ascii="Calibri" w:hAnsi="Calibri"/>
                          <w:sz w:val="36"/>
                          <w:szCs w:val="28"/>
                        </w:rPr>
                        <w:t>”</w:t>
                      </w:r>
                    </w:p>
                    <w:p w14:paraId="66E82262" w14:textId="77777777" w:rsidR="0067023A" w:rsidRPr="0091233B" w:rsidRDefault="0067023A" w:rsidP="00B760CB">
                      <w:pPr>
                        <w:pStyle w:val="NormalWeb"/>
                        <w:spacing w:before="0" w:beforeAutospacing="0" w:after="200" w:afterAutospacing="0"/>
                        <w:jc w:val="center"/>
                        <w:textAlignment w:val="baseline"/>
                        <w:rPr>
                          <w:rFonts w:ascii="Calibri" w:hAnsi="Calibri"/>
                          <w:sz w:val="28"/>
                          <w:szCs w:val="28"/>
                        </w:rPr>
                      </w:pPr>
                    </w:p>
                  </w:txbxContent>
                </v:textbox>
                <w10:anchorlock/>
              </v:shape>
            </w:pict>
          </mc:Fallback>
        </mc:AlternateContent>
      </w:r>
    </w:p>
    <w:p w14:paraId="5C7D6965" w14:textId="77777777" w:rsidR="00B760CB" w:rsidRPr="00BB6855" w:rsidRDefault="00B760CB" w:rsidP="00750180">
      <w:pPr>
        <w:pStyle w:val="Heading3"/>
        <w:numPr>
          <w:ilvl w:val="2"/>
          <w:numId w:val="89"/>
        </w:numPr>
        <w:spacing w:after="240"/>
      </w:pPr>
      <w:r w:rsidRPr="00BB6855">
        <w:t xml:space="preserve"> </w:t>
      </w:r>
      <w:bookmarkStart w:id="635" w:name="_Toc510706686"/>
      <w:r w:rsidRPr="00BB6855">
        <w:t>Proposed New Mission</w:t>
      </w:r>
      <w:bookmarkEnd w:id="635"/>
    </w:p>
    <w:p w14:paraId="52413516" w14:textId="76939B95" w:rsidR="00B760CB" w:rsidRPr="00B760CB" w:rsidRDefault="00B760CB" w:rsidP="00B760CB">
      <w:pPr>
        <w:jc w:val="both"/>
        <w:rPr>
          <w:szCs w:val="20"/>
          <w:lang w:bidi="en-US"/>
        </w:rPr>
      </w:pPr>
      <w:r w:rsidRPr="00B760CB">
        <w:rPr>
          <w:szCs w:val="20"/>
          <w:lang w:bidi="en-US"/>
        </w:rPr>
        <w:t>As part of the revision of the long term vision for the municipality, inevitably the mission will also be amended to be in line with the new proposed vision. Below are the commitments, in the form of mission statements, in which the municipality proposes to adopt;</w:t>
      </w:r>
    </w:p>
    <w:p w14:paraId="2A9E6E53" w14:textId="77777777" w:rsidR="00B760CB" w:rsidRPr="00B760CB" w:rsidRDefault="00B760CB" w:rsidP="00B760CB">
      <w:pPr>
        <w:jc w:val="both"/>
        <w:rPr>
          <w:szCs w:val="20"/>
          <w:lang w:bidi="en-US"/>
        </w:rPr>
      </w:pPr>
      <w:r w:rsidRPr="00B760CB">
        <w:rPr>
          <w:szCs w:val="20"/>
          <w:lang w:bidi="en-US"/>
        </w:rPr>
        <w:t>The uMlalazi municipality in partnership with its community will strive to:</w:t>
      </w:r>
    </w:p>
    <w:p w14:paraId="1AFB3E1F" w14:textId="77777777" w:rsidR="00B760CB" w:rsidRPr="00B760CB" w:rsidRDefault="00B760CB" w:rsidP="00B760CB">
      <w:pPr>
        <w:spacing w:after="0" w:line="240" w:lineRule="auto"/>
        <w:jc w:val="both"/>
        <w:rPr>
          <w:szCs w:val="20"/>
          <w:lang w:bidi="en-US"/>
        </w:rPr>
      </w:pPr>
      <w:r w:rsidRPr="00B760CB">
        <w:rPr>
          <w:szCs w:val="20"/>
          <w:lang w:bidi="en-US"/>
        </w:rPr>
        <w:t>•</w:t>
      </w:r>
      <w:r w:rsidRPr="00B760CB">
        <w:rPr>
          <w:szCs w:val="20"/>
          <w:lang w:bidi="en-US"/>
        </w:rPr>
        <w:tab/>
        <w:t xml:space="preserve"> Create sustainable and better services for all; </w:t>
      </w:r>
    </w:p>
    <w:p w14:paraId="338AE82E" w14:textId="77777777" w:rsidR="00B760CB" w:rsidRPr="00B760CB" w:rsidRDefault="00B760CB" w:rsidP="00B760CB">
      <w:pPr>
        <w:spacing w:after="0" w:line="240" w:lineRule="auto"/>
        <w:jc w:val="both"/>
        <w:rPr>
          <w:szCs w:val="20"/>
          <w:lang w:bidi="en-US"/>
        </w:rPr>
      </w:pPr>
      <w:r w:rsidRPr="00B760CB">
        <w:rPr>
          <w:szCs w:val="20"/>
          <w:lang w:bidi="en-US"/>
        </w:rPr>
        <w:t>•</w:t>
      </w:r>
      <w:r w:rsidRPr="00B760CB">
        <w:rPr>
          <w:szCs w:val="20"/>
          <w:lang w:bidi="en-US"/>
        </w:rPr>
        <w:tab/>
        <w:t>Ensure a skilled, motivated and committed workforce;</w:t>
      </w:r>
    </w:p>
    <w:p w14:paraId="72F9FA09" w14:textId="77777777" w:rsidR="00B760CB" w:rsidRPr="00B760CB" w:rsidRDefault="00B760CB" w:rsidP="00B760CB">
      <w:pPr>
        <w:spacing w:after="0" w:line="240" w:lineRule="auto"/>
        <w:jc w:val="both"/>
        <w:rPr>
          <w:szCs w:val="20"/>
          <w:lang w:bidi="en-US"/>
        </w:rPr>
      </w:pPr>
      <w:r w:rsidRPr="00B760CB">
        <w:rPr>
          <w:szCs w:val="20"/>
          <w:lang w:bidi="en-US"/>
        </w:rPr>
        <w:t>•</w:t>
      </w:r>
      <w:r w:rsidRPr="00B760CB">
        <w:rPr>
          <w:szCs w:val="20"/>
          <w:lang w:bidi="en-US"/>
        </w:rPr>
        <w:tab/>
        <w:t xml:space="preserve">Create mutual trust and understanding between the municipality and the community through effective communication </w:t>
      </w:r>
    </w:p>
    <w:p w14:paraId="7AFA167D" w14:textId="77777777" w:rsidR="00B760CB" w:rsidRPr="00B760CB" w:rsidRDefault="00B760CB" w:rsidP="00B760CB">
      <w:pPr>
        <w:spacing w:after="0" w:line="240" w:lineRule="auto"/>
        <w:jc w:val="both"/>
        <w:rPr>
          <w:szCs w:val="20"/>
          <w:lang w:bidi="en-US"/>
        </w:rPr>
      </w:pPr>
      <w:r w:rsidRPr="00B760CB">
        <w:rPr>
          <w:szCs w:val="20"/>
          <w:lang w:bidi="en-US"/>
        </w:rPr>
        <w:t>•</w:t>
      </w:r>
      <w:r w:rsidRPr="00B760CB">
        <w:rPr>
          <w:szCs w:val="20"/>
          <w:lang w:bidi="en-US"/>
        </w:rPr>
        <w:tab/>
        <w:t xml:space="preserve">Emphasize better usage of resources; </w:t>
      </w:r>
    </w:p>
    <w:p w14:paraId="673DB6EA" w14:textId="77777777" w:rsidR="00B760CB" w:rsidRPr="00B760CB" w:rsidRDefault="00B760CB" w:rsidP="00B760CB">
      <w:pPr>
        <w:spacing w:after="0" w:line="240" w:lineRule="auto"/>
        <w:jc w:val="both"/>
        <w:rPr>
          <w:szCs w:val="20"/>
          <w:lang w:bidi="en-US"/>
        </w:rPr>
      </w:pPr>
      <w:r w:rsidRPr="00B760CB">
        <w:rPr>
          <w:szCs w:val="20"/>
          <w:lang w:bidi="en-US"/>
        </w:rPr>
        <w:t>•</w:t>
      </w:r>
      <w:r w:rsidRPr="00B760CB">
        <w:rPr>
          <w:szCs w:val="20"/>
          <w:lang w:bidi="en-US"/>
        </w:rPr>
        <w:tab/>
        <w:t>Provide infrastructure and build investor confidence;</w:t>
      </w:r>
    </w:p>
    <w:p w14:paraId="459F1270" w14:textId="77777777" w:rsidR="00B760CB" w:rsidRPr="00B760CB" w:rsidRDefault="00B760CB" w:rsidP="00B760CB">
      <w:pPr>
        <w:spacing w:after="0" w:line="240" w:lineRule="auto"/>
        <w:jc w:val="both"/>
        <w:rPr>
          <w:szCs w:val="20"/>
          <w:lang w:bidi="en-US"/>
        </w:rPr>
      </w:pPr>
      <w:r w:rsidRPr="00B760CB">
        <w:rPr>
          <w:szCs w:val="20"/>
          <w:lang w:bidi="en-US"/>
        </w:rPr>
        <w:t>•</w:t>
      </w:r>
      <w:r w:rsidRPr="00B760CB">
        <w:rPr>
          <w:szCs w:val="20"/>
          <w:lang w:bidi="en-US"/>
        </w:rPr>
        <w:tab/>
        <w:t xml:space="preserve">Enhance Batho - Pele principles and B2B pillars; </w:t>
      </w:r>
    </w:p>
    <w:p w14:paraId="02932DF4" w14:textId="77777777" w:rsidR="00B760CB" w:rsidRPr="00B760CB" w:rsidRDefault="00B760CB" w:rsidP="00B760CB">
      <w:pPr>
        <w:spacing w:after="0" w:line="240" w:lineRule="auto"/>
        <w:jc w:val="both"/>
        <w:rPr>
          <w:szCs w:val="20"/>
          <w:lang w:bidi="en-US"/>
        </w:rPr>
      </w:pPr>
      <w:r w:rsidRPr="00B760CB">
        <w:rPr>
          <w:szCs w:val="20"/>
          <w:lang w:bidi="en-US"/>
        </w:rPr>
        <w:t>•</w:t>
      </w:r>
      <w:r w:rsidRPr="00B760CB">
        <w:rPr>
          <w:szCs w:val="20"/>
          <w:lang w:bidi="en-US"/>
        </w:rPr>
        <w:tab/>
        <w:t xml:space="preserve">Create a safe environment for all; </w:t>
      </w:r>
    </w:p>
    <w:p w14:paraId="6356A641" w14:textId="77777777" w:rsidR="00B760CB" w:rsidRPr="00B760CB" w:rsidRDefault="00B760CB" w:rsidP="00B760CB">
      <w:pPr>
        <w:spacing w:after="0" w:line="240" w:lineRule="auto"/>
        <w:jc w:val="both"/>
        <w:rPr>
          <w:szCs w:val="20"/>
          <w:lang w:bidi="en-US"/>
        </w:rPr>
      </w:pPr>
      <w:r w:rsidRPr="00B760CB">
        <w:rPr>
          <w:szCs w:val="20"/>
          <w:lang w:bidi="en-US"/>
        </w:rPr>
        <w:t>•</w:t>
      </w:r>
      <w:r w:rsidRPr="00B760CB">
        <w:rPr>
          <w:szCs w:val="20"/>
          <w:lang w:bidi="en-US"/>
        </w:rPr>
        <w:tab/>
        <w:t xml:space="preserve">Improve the Green Economy of our community by partnering with all stakeholders to create clean &amp; safe place where people live and work; </w:t>
      </w:r>
    </w:p>
    <w:p w14:paraId="0E3509CC" w14:textId="77777777" w:rsidR="00B760CB" w:rsidRPr="00B760CB" w:rsidRDefault="00B760CB" w:rsidP="00B760CB">
      <w:pPr>
        <w:spacing w:after="0" w:line="240" w:lineRule="auto"/>
        <w:jc w:val="both"/>
        <w:rPr>
          <w:szCs w:val="20"/>
          <w:lang w:bidi="en-US"/>
        </w:rPr>
      </w:pPr>
      <w:r w:rsidRPr="00B760CB">
        <w:rPr>
          <w:szCs w:val="20"/>
          <w:lang w:bidi="en-US"/>
        </w:rPr>
        <w:t>•</w:t>
      </w:r>
      <w:r w:rsidRPr="00B760CB">
        <w:rPr>
          <w:szCs w:val="20"/>
          <w:lang w:bidi="en-US"/>
        </w:rPr>
        <w:tab/>
        <w:t>Ensure effective land use management that take cognizance of sound environmental practices;</w:t>
      </w:r>
    </w:p>
    <w:p w14:paraId="23C59D18" w14:textId="77777777" w:rsidR="00B760CB" w:rsidRPr="00B760CB" w:rsidRDefault="00B760CB" w:rsidP="00B760CB">
      <w:pPr>
        <w:spacing w:after="0" w:line="240" w:lineRule="auto"/>
        <w:jc w:val="both"/>
        <w:rPr>
          <w:szCs w:val="20"/>
          <w:lang w:bidi="en-US"/>
        </w:rPr>
      </w:pPr>
      <w:r w:rsidRPr="00B760CB">
        <w:rPr>
          <w:szCs w:val="20"/>
          <w:lang w:bidi="en-US"/>
        </w:rPr>
        <w:t>•</w:t>
      </w:r>
      <w:r w:rsidRPr="00B760CB">
        <w:rPr>
          <w:szCs w:val="20"/>
          <w:lang w:bidi="en-US"/>
        </w:rPr>
        <w:tab/>
        <w:t xml:space="preserve">Enhance good governance through leadership excellence &amp; community participation; </w:t>
      </w:r>
    </w:p>
    <w:p w14:paraId="6F286E38" w14:textId="77777777" w:rsidR="00B760CB" w:rsidRPr="00B760CB" w:rsidRDefault="00B760CB" w:rsidP="00B760CB">
      <w:pPr>
        <w:spacing w:after="0" w:line="240" w:lineRule="auto"/>
        <w:jc w:val="both"/>
        <w:rPr>
          <w:szCs w:val="20"/>
          <w:lang w:bidi="en-US"/>
        </w:rPr>
      </w:pPr>
      <w:r w:rsidRPr="00B760CB">
        <w:rPr>
          <w:szCs w:val="20"/>
          <w:lang w:bidi="en-US"/>
        </w:rPr>
        <w:t>•</w:t>
      </w:r>
      <w:r w:rsidRPr="00B760CB">
        <w:rPr>
          <w:szCs w:val="20"/>
          <w:lang w:bidi="en-US"/>
        </w:rPr>
        <w:tab/>
        <w:t xml:space="preserve">Facilitate institutional transformation; </w:t>
      </w:r>
    </w:p>
    <w:p w14:paraId="7D1945A3" w14:textId="77777777" w:rsidR="00B760CB" w:rsidRPr="00B760CB" w:rsidRDefault="00B760CB" w:rsidP="00B760CB">
      <w:pPr>
        <w:spacing w:after="0" w:line="240" w:lineRule="auto"/>
        <w:jc w:val="both"/>
        <w:rPr>
          <w:szCs w:val="20"/>
          <w:lang w:bidi="en-US"/>
        </w:rPr>
      </w:pPr>
      <w:r w:rsidRPr="00B760CB">
        <w:rPr>
          <w:szCs w:val="20"/>
          <w:lang w:bidi="en-US"/>
        </w:rPr>
        <w:t>•</w:t>
      </w:r>
      <w:r w:rsidRPr="00B760CB">
        <w:rPr>
          <w:szCs w:val="20"/>
          <w:lang w:bidi="en-US"/>
        </w:rPr>
        <w:tab/>
        <w:t>Ensure continued sound financial management;</w:t>
      </w:r>
    </w:p>
    <w:p w14:paraId="4D91829D" w14:textId="77777777" w:rsidR="00B760CB" w:rsidRPr="00B760CB" w:rsidRDefault="00B760CB" w:rsidP="00B760CB">
      <w:pPr>
        <w:spacing w:after="0" w:line="240" w:lineRule="auto"/>
        <w:jc w:val="both"/>
        <w:rPr>
          <w:szCs w:val="20"/>
          <w:lang w:bidi="en-US"/>
        </w:rPr>
      </w:pPr>
      <w:r w:rsidRPr="00B760CB">
        <w:rPr>
          <w:szCs w:val="20"/>
          <w:lang w:bidi="en-US"/>
        </w:rPr>
        <w:t>•</w:t>
      </w:r>
      <w:r w:rsidRPr="00B760CB">
        <w:rPr>
          <w:szCs w:val="20"/>
          <w:lang w:bidi="en-US"/>
        </w:rPr>
        <w:tab/>
        <w:t>Provide services to the entire community with diligence and empathy; and</w:t>
      </w:r>
    </w:p>
    <w:p w14:paraId="624C9960" w14:textId="77777777" w:rsidR="000C0213" w:rsidRDefault="00B760CB" w:rsidP="00B760CB">
      <w:pPr>
        <w:spacing w:after="0" w:line="240" w:lineRule="auto"/>
        <w:jc w:val="both"/>
        <w:rPr>
          <w:szCs w:val="20"/>
          <w:lang w:bidi="en-US"/>
        </w:rPr>
      </w:pPr>
      <w:r w:rsidRPr="00B760CB">
        <w:rPr>
          <w:szCs w:val="20"/>
          <w:lang w:bidi="en-US"/>
        </w:rPr>
        <w:t>•</w:t>
      </w:r>
      <w:r w:rsidRPr="00B760CB">
        <w:rPr>
          <w:szCs w:val="20"/>
          <w:lang w:bidi="en-US"/>
        </w:rPr>
        <w:tab/>
        <w:t>Apply good and transparent corporate governance to promote community prosperity</w:t>
      </w:r>
    </w:p>
    <w:p w14:paraId="5406319C" w14:textId="77777777" w:rsidR="003560AA" w:rsidRDefault="003560AA" w:rsidP="00B760CB">
      <w:pPr>
        <w:spacing w:after="0" w:line="240" w:lineRule="auto"/>
        <w:jc w:val="both"/>
        <w:rPr>
          <w:szCs w:val="20"/>
          <w:lang w:bidi="en-US"/>
        </w:rPr>
      </w:pPr>
    </w:p>
    <w:p w14:paraId="5CB1C9ED" w14:textId="77777777" w:rsidR="003560AA" w:rsidRPr="00881795" w:rsidRDefault="003560AA" w:rsidP="00B760CB">
      <w:pPr>
        <w:spacing w:after="0" w:line="240" w:lineRule="auto"/>
        <w:jc w:val="both"/>
        <w:rPr>
          <w:szCs w:val="20"/>
          <w:lang w:bidi="en-US"/>
        </w:rPr>
      </w:pPr>
    </w:p>
    <w:tbl>
      <w:tblPr>
        <w:tblStyle w:val="TableGrid"/>
        <w:tblpPr w:leftFromText="180" w:rightFromText="180" w:vertAnchor="page" w:horzAnchor="margin" w:tblpY="817"/>
        <w:tblW w:w="15498" w:type="dxa"/>
        <w:tblLook w:val="04A0" w:firstRow="1" w:lastRow="0" w:firstColumn="1" w:lastColumn="0" w:noHBand="0" w:noVBand="1"/>
      </w:tblPr>
      <w:tblGrid>
        <w:gridCol w:w="1747"/>
        <w:gridCol w:w="2210"/>
        <w:gridCol w:w="1577"/>
        <w:gridCol w:w="1262"/>
        <w:gridCol w:w="1736"/>
        <w:gridCol w:w="1893"/>
        <w:gridCol w:w="1893"/>
        <w:gridCol w:w="3180"/>
      </w:tblGrid>
      <w:tr w:rsidR="003560AA" w:rsidRPr="003560AA" w14:paraId="29642DA1" w14:textId="77777777" w:rsidTr="003560AA">
        <w:trPr>
          <w:trHeight w:val="251"/>
          <w:tblHeader/>
        </w:trPr>
        <w:tc>
          <w:tcPr>
            <w:tcW w:w="1747" w:type="dxa"/>
            <w:shd w:val="clear" w:color="auto" w:fill="AEAAAA"/>
          </w:tcPr>
          <w:bookmarkEnd w:id="634"/>
          <w:p w14:paraId="093042AC" w14:textId="77777777" w:rsidR="003560AA" w:rsidRPr="003560AA" w:rsidRDefault="003560AA" w:rsidP="003560AA">
            <w:pPr>
              <w:rPr>
                <w:rFonts w:eastAsia="Calibri" w:cs="Times New Roman"/>
                <w:b/>
                <w:sz w:val="16"/>
              </w:rPr>
            </w:pPr>
            <w:r w:rsidRPr="003560AA">
              <w:rPr>
                <w:rFonts w:eastAsia="Calibri" w:cs="Times New Roman"/>
                <w:b/>
                <w:sz w:val="16"/>
              </w:rPr>
              <w:t>NDP</w:t>
            </w:r>
          </w:p>
        </w:tc>
        <w:tc>
          <w:tcPr>
            <w:tcW w:w="2210" w:type="dxa"/>
            <w:shd w:val="clear" w:color="auto" w:fill="AEAAAA"/>
          </w:tcPr>
          <w:p w14:paraId="1B7A7B61" w14:textId="77777777" w:rsidR="003560AA" w:rsidRPr="003560AA" w:rsidRDefault="003560AA" w:rsidP="003560AA">
            <w:pPr>
              <w:rPr>
                <w:rFonts w:eastAsia="Calibri" w:cs="Times New Roman"/>
                <w:b/>
                <w:sz w:val="16"/>
              </w:rPr>
            </w:pPr>
            <w:r w:rsidRPr="003560AA">
              <w:rPr>
                <w:rFonts w:eastAsia="Calibri" w:cs="Times New Roman"/>
                <w:b/>
                <w:sz w:val="16"/>
              </w:rPr>
              <w:t>PGDS/DGDP</w:t>
            </w:r>
          </w:p>
        </w:tc>
        <w:tc>
          <w:tcPr>
            <w:tcW w:w="1577" w:type="dxa"/>
            <w:shd w:val="clear" w:color="auto" w:fill="AEAAAA"/>
          </w:tcPr>
          <w:p w14:paraId="44DC093C" w14:textId="77777777" w:rsidR="003560AA" w:rsidRPr="003560AA" w:rsidRDefault="003560AA" w:rsidP="003560AA">
            <w:pPr>
              <w:rPr>
                <w:rFonts w:eastAsia="Calibri" w:cs="Times New Roman"/>
                <w:b/>
                <w:sz w:val="16"/>
              </w:rPr>
            </w:pPr>
            <w:r w:rsidRPr="003560AA">
              <w:rPr>
                <w:rFonts w:eastAsia="Calibri" w:cs="Times New Roman"/>
                <w:b/>
                <w:sz w:val="16"/>
              </w:rPr>
              <w:t>KCDM IDP GOALS</w:t>
            </w:r>
          </w:p>
        </w:tc>
        <w:tc>
          <w:tcPr>
            <w:tcW w:w="1262" w:type="dxa"/>
            <w:shd w:val="clear" w:color="auto" w:fill="AEAAAA"/>
          </w:tcPr>
          <w:p w14:paraId="485B2A33" w14:textId="77777777" w:rsidR="003560AA" w:rsidRPr="003560AA" w:rsidRDefault="003560AA" w:rsidP="003560AA">
            <w:pPr>
              <w:rPr>
                <w:rFonts w:eastAsia="Calibri" w:cs="Times New Roman"/>
                <w:b/>
                <w:sz w:val="16"/>
              </w:rPr>
            </w:pPr>
            <w:r w:rsidRPr="003560AA">
              <w:rPr>
                <w:rFonts w:eastAsia="Calibri" w:cs="Times New Roman"/>
                <w:b/>
                <w:sz w:val="16"/>
              </w:rPr>
              <w:t>B2B</w:t>
            </w:r>
          </w:p>
        </w:tc>
        <w:tc>
          <w:tcPr>
            <w:tcW w:w="1736" w:type="dxa"/>
            <w:shd w:val="clear" w:color="auto" w:fill="AEAAAA"/>
          </w:tcPr>
          <w:p w14:paraId="6C6EB37A" w14:textId="77777777" w:rsidR="003560AA" w:rsidRPr="003560AA" w:rsidRDefault="003560AA" w:rsidP="003560AA">
            <w:pPr>
              <w:rPr>
                <w:rFonts w:eastAsia="Calibri" w:cs="Times New Roman"/>
                <w:b/>
                <w:sz w:val="16"/>
              </w:rPr>
            </w:pPr>
            <w:r w:rsidRPr="003560AA">
              <w:rPr>
                <w:rFonts w:eastAsia="Calibri" w:cs="Times New Roman"/>
                <w:b/>
                <w:sz w:val="16"/>
              </w:rPr>
              <w:t>NKPAs (GOALS)</w:t>
            </w:r>
          </w:p>
        </w:tc>
        <w:tc>
          <w:tcPr>
            <w:tcW w:w="1893" w:type="dxa"/>
            <w:shd w:val="clear" w:color="auto" w:fill="AEAAAA"/>
          </w:tcPr>
          <w:p w14:paraId="6DE83E10" w14:textId="77777777" w:rsidR="003560AA" w:rsidRPr="003560AA" w:rsidRDefault="003560AA" w:rsidP="003560AA">
            <w:pPr>
              <w:rPr>
                <w:rFonts w:eastAsia="Calibri" w:cs="Times New Roman"/>
                <w:b/>
                <w:sz w:val="16"/>
              </w:rPr>
            </w:pPr>
            <w:r w:rsidRPr="003560AA">
              <w:rPr>
                <w:rFonts w:eastAsia="Calibri" w:cs="Times New Roman"/>
                <w:b/>
                <w:sz w:val="16"/>
              </w:rPr>
              <w:t>LM STRATEGIC GOALS</w:t>
            </w:r>
          </w:p>
        </w:tc>
        <w:tc>
          <w:tcPr>
            <w:tcW w:w="1893" w:type="dxa"/>
            <w:shd w:val="clear" w:color="auto" w:fill="AEAAAA"/>
          </w:tcPr>
          <w:p w14:paraId="01A1D7A3" w14:textId="77777777" w:rsidR="003560AA" w:rsidRPr="003560AA" w:rsidRDefault="003560AA" w:rsidP="003560AA">
            <w:pPr>
              <w:rPr>
                <w:rFonts w:eastAsia="Calibri" w:cs="Times New Roman"/>
                <w:b/>
                <w:sz w:val="16"/>
              </w:rPr>
            </w:pPr>
            <w:r w:rsidRPr="003560AA">
              <w:rPr>
                <w:rFonts w:eastAsia="Calibri" w:cs="Times New Roman"/>
                <w:b/>
                <w:sz w:val="16"/>
              </w:rPr>
              <w:t>OBLECTIVES</w:t>
            </w:r>
          </w:p>
        </w:tc>
        <w:tc>
          <w:tcPr>
            <w:tcW w:w="3180" w:type="dxa"/>
            <w:shd w:val="clear" w:color="auto" w:fill="AEAAAA"/>
          </w:tcPr>
          <w:p w14:paraId="38DA4A61" w14:textId="77777777" w:rsidR="003560AA" w:rsidRPr="003560AA" w:rsidRDefault="003560AA" w:rsidP="003560AA">
            <w:pPr>
              <w:rPr>
                <w:rFonts w:eastAsia="Calibri" w:cs="Times New Roman"/>
                <w:b/>
                <w:sz w:val="14"/>
                <w:szCs w:val="14"/>
              </w:rPr>
            </w:pPr>
            <w:r w:rsidRPr="003560AA">
              <w:rPr>
                <w:rFonts w:eastAsia="Calibri" w:cs="Times New Roman"/>
                <w:b/>
                <w:sz w:val="14"/>
                <w:szCs w:val="14"/>
              </w:rPr>
              <w:t>STRATEGY</w:t>
            </w:r>
          </w:p>
        </w:tc>
      </w:tr>
      <w:tr w:rsidR="003560AA" w:rsidRPr="003560AA" w14:paraId="27647F87" w14:textId="77777777" w:rsidTr="003560AA">
        <w:trPr>
          <w:trHeight w:val="518"/>
        </w:trPr>
        <w:tc>
          <w:tcPr>
            <w:tcW w:w="1747" w:type="dxa"/>
          </w:tcPr>
          <w:p w14:paraId="033735E2" w14:textId="77777777" w:rsidR="003560AA" w:rsidRPr="003560AA" w:rsidRDefault="003560AA" w:rsidP="003560AA">
            <w:pPr>
              <w:rPr>
                <w:rFonts w:eastAsia="Calibri" w:cs="Times New Roman"/>
                <w:sz w:val="16"/>
              </w:rPr>
            </w:pPr>
            <w:r w:rsidRPr="003560AA">
              <w:rPr>
                <w:rFonts w:eastAsia="Calibri" w:cs="Times New Roman"/>
                <w:sz w:val="16"/>
              </w:rPr>
              <w:t>Build a capable state</w:t>
            </w:r>
          </w:p>
          <w:p w14:paraId="781AE202" w14:textId="77777777" w:rsidR="003560AA" w:rsidRPr="003560AA" w:rsidRDefault="003560AA" w:rsidP="003560AA">
            <w:pPr>
              <w:rPr>
                <w:rFonts w:eastAsia="Calibri" w:cs="Times New Roman"/>
                <w:sz w:val="16"/>
              </w:rPr>
            </w:pPr>
            <w:r w:rsidRPr="003560AA">
              <w:rPr>
                <w:rFonts w:eastAsia="Calibri" w:cs="Times New Roman"/>
                <w:sz w:val="16"/>
              </w:rPr>
              <w:t>Fight corruption</w:t>
            </w:r>
          </w:p>
        </w:tc>
        <w:tc>
          <w:tcPr>
            <w:tcW w:w="2210" w:type="dxa"/>
          </w:tcPr>
          <w:p w14:paraId="3A5D6ECD" w14:textId="77777777" w:rsidR="003560AA" w:rsidRPr="003560AA" w:rsidRDefault="003560AA" w:rsidP="003560AA">
            <w:pPr>
              <w:rPr>
                <w:rFonts w:eastAsia="Calibri" w:cs="Times New Roman"/>
                <w:sz w:val="16"/>
              </w:rPr>
            </w:pPr>
            <w:r w:rsidRPr="003560AA">
              <w:rPr>
                <w:rFonts w:eastAsia="Calibri" w:cs="Times New Roman"/>
                <w:sz w:val="16"/>
              </w:rPr>
              <w:t>Human Resource Development</w:t>
            </w:r>
          </w:p>
          <w:p w14:paraId="2D7073A2" w14:textId="77777777" w:rsidR="003560AA" w:rsidRPr="003560AA" w:rsidRDefault="003560AA" w:rsidP="003560AA">
            <w:pPr>
              <w:rPr>
                <w:rFonts w:eastAsia="Calibri" w:cs="Times New Roman"/>
                <w:sz w:val="16"/>
              </w:rPr>
            </w:pPr>
            <w:r w:rsidRPr="003560AA">
              <w:rPr>
                <w:rFonts w:eastAsia="Calibri" w:cs="Times New Roman"/>
                <w:sz w:val="16"/>
              </w:rPr>
              <w:t>Human &amp;Community Development</w:t>
            </w:r>
          </w:p>
          <w:p w14:paraId="4E10DA6E" w14:textId="77777777" w:rsidR="003560AA" w:rsidRPr="003560AA" w:rsidRDefault="003560AA" w:rsidP="003560AA">
            <w:pPr>
              <w:rPr>
                <w:rFonts w:eastAsia="Calibri" w:cs="Times New Roman"/>
                <w:sz w:val="16"/>
              </w:rPr>
            </w:pPr>
            <w:r w:rsidRPr="003560AA">
              <w:rPr>
                <w:rFonts w:eastAsia="Calibri" w:cs="Times New Roman"/>
                <w:sz w:val="16"/>
              </w:rPr>
              <w:t>Governance and Policy</w:t>
            </w:r>
          </w:p>
        </w:tc>
        <w:tc>
          <w:tcPr>
            <w:tcW w:w="1577" w:type="dxa"/>
          </w:tcPr>
          <w:p w14:paraId="779879DC" w14:textId="77777777" w:rsidR="003560AA" w:rsidRPr="003560AA" w:rsidRDefault="003560AA" w:rsidP="003560AA">
            <w:pPr>
              <w:rPr>
                <w:rFonts w:eastAsia="Calibri" w:cs="Times New Roman"/>
                <w:sz w:val="16"/>
              </w:rPr>
            </w:pPr>
            <w:r w:rsidRPr="003560AA">
              <w:rPr>
                <w:rFonts w:eastAsia="Calibri" w:cs="Times New Roman"/>
                <w:sz w:val="16"/>
              </w:rPr>
              <w:t>Municipal Transformation, Organizational and Human Resource Development</w:t>
            </w:r>
          </w:p>
        </w:tc>
        <w:tc>
          <w:tcPr>
            <w:tcW w:w="1262" w:type="dxa"/>
          </w:tcPr>
          <w:p w14:paraId="2F87ED33" w14:textId="77777777" w:rsidR="003560AA" w:rsidRPr="003560AA" w:rsidRDefault="003560AA" w:rsidP="003560AA">
            <w:pPr>
              <w:rPr>
                <w:rFonts w:eastAsia="Calibri" w:cs="Times New Roman"/>
                <w:sz w:val="16"/>
              </w:rPr>
            </w:pPr>
            <w:r w:rsidRPr="003560AA">
              <w:rPr>
                <w:rFonts w:eastAsia="Calibri" w:cs="Times New Roman"/>
                <w:sz w:val="16"/>
              </w:rPr>
              <w:t>Institutional Capacity</w:t>
            </w:r>
          </w:p>
        </w:tc>
        <w:tc>
          <w:tcPr>
            <w:tcW w:w="1736" w:type="dxa"/>
          </w:tcPr>
          <w:p w14:paraId="0CA3962C" w14:textId="77777777" w:rsidR="003560AA" w:rsidRPr="003560AA" w:rsidRDefault="003560AA" w:rsidP="003560AA">
            <w:pPr>
              <w:rPr>
                <w:rFonts w:eastAsia="Calibri" w:cs="Times New Roman"/>
                <w:sz w:val="16"/>
              </w:rPr>
            </w:pPr>
            <w:r w:rsidRPr="003560AA">
              <w:rPr>
                <w:rFonts w:eastAsia="Calibri" w:cs="Times New Roman"/>
                <w:sz w:val="16"/>
              </w:rPr>
              <w:t>Municipal Transformation and Institutional Development</w:t>
            </w:r>
          </w:p>
        </w:tc>
        <w:tc>
          <w:tcPr>
            <w:tcW w:w="1893" w:type="dxa"/>
          </w:tcPr>
          <w:p w14:paraId="7AC4C4E3" w14:textId="77777777" w:rsidR="003560AA" w:rsidRPr="003560AA" w:rsidRDefault="003560AA" w:rsidP="003560AA">
            <w:pPr>
              <w:rPr>
                <w:rFonts w:eastAsia="Calibri" w:cs="Times New Roman"/>
                <w:sz w:val="16"/>
              </w:rPr>
            </w:pPr>
            <w:r w:rsidRPr="003560AA">
              <w:rPr>
                <w:rFonts w:eastAsia="Calibri" w:cs="Times New Roman"/>
                <w:sz w:val="16"/>
              </w:rPr>
              <w:t>Municipal Transformation, Institutional and Human Resource Development</w:t>
            </w:r>
          </w:p>
        </w:tc>
        <w:tc>
          <w:tcPr>
            <w:tcW w:w="1893" w:type="dxa"/>
          </w:tcPr>
          <w:p w14:paraId="69C22D6D" w14:textId="77777777" w:rsidR="003560AA" w:rsidRPr="003560AA" w:rsidRDefault="003560AA" w:rsidP="003560AA">
            <w:pPr>
              <w:rPr>
                <w:rFonts w:eastAsia="Calibri" w:cs="Times New Roman"/>
                <w:sz w:val="14"/>
              </w:rPr>
            </w:pPr>
            <w:r w:rsidRPr="003560AA">
              <w:rPr>
                <w:rFonts w:eastAsia="Calibri" w:cs="Times New Roman"/>
                <w:sz w:val="14"/>
              </w:rPr>
              <w:t>To Develop the Institution and to Facilitate Institutional Transformation</w:t>
            </w:r>
          </w:p>
          <w:p w14:paraId="59559D44" w14:textId="77777777" w:rsidR="003560AA" w:rsidRPr="003560AA" w:rsidRDefault="003560AA" w:rsidP="003560AA">
            <w:pPr>
              <w:rPr>
                <w:rFonts w:eastAsia="Calibri" w:cs="Times New Roman"/>
                <w:sz w:val="14"/>
              </w:rPr>
            </w:pPr>
          </w:p>
          <w:p w14:paraId="447F1E68" w14:textId="77777777" w:rsidR="003560AA" w:rsidRPr="003560AA" w:rsidRDefault="003560AA" w:rsidP="003560AA">
            <w:pPr>
              <w:rPr>
                <w:rFonts w:eastAsia="Calibri" w:cs="Times New Roman"/>
                <w:sz w:val="16"/>
              </w:rPr>
            </w:pPr>
            <w:r w:rsidRPr="003560AA">
              <w:rPr>
                <w:rFonts w:eastAsia="Calibri" w:cs="Times New Roman"/>
                <w:sz w:val="14"/>
              </w:rPr>
              <w:t xml:space="preserve">To Support and Implement Internship,  and In-service Training Programs </w:t>
            </w:r>
          </w:p>
        </w:tc>
        <w:tc>
          <w:tcPr>
            <w:tcW w:w="3180" w:type="dxa"/>
          </w:tcPr>
          <w:p w14:paraId="5BBE5A6A" w14:textId="77777777" w:rsidR="003560AA" w:rsidRPr="003560AA" w:rsidRDefault="003560AA" w:rsidP="003560AA">
            <w:pPr>
              <w:rPr>
                <w:rFonts w:eastAsia="Calibri" w:cs="Times New Roman"/>
                <w:sz w:val="14"/>
                <w:szCs w:val="14"/>
              </w:rPr>
            </w:pPr>
            <w:r w:rsidRPr="003560AA">
              <w:rPr>
                <w:rFonts w:eastAsia="Calibri" w:cs="Times New Roman"/>
                <w:sz w:val="14"/>
                <w:szCs w:val="14"/>
              </w:rPr>
              <w:t>Improve ICT within the Institution</w:t>
            </w:r>
          </w:p>
          <w:p w14:paraId="309F7E28" w14:textId="77777777" w:rsidR="003560AA" w:rsidRPr="003560AA" w:rsidRDefault="003560AA" w:rsidP="003560AA">
            <w:pPr>
              <w:rPr>
                <w:rFonts w:eastAsia="Calibri" w:cs="Times New Roman"/>
                <w:sz w:val="14"/>
                <w:szCs w:val="14"/>
              </w:rPr>
            </w:pPr>
            <w:r w:rsidRPr="003560AA">
              <w:rPr>
                <w:rFonts w:eastAsia="Calibri" w:cs="Times New Roman"/>
                <w:sz w:val="14"/>
                <w:szCs w:val="14"/>
              </w:rPr>
              <w:t>Training and Capacitating of Staff</w:t>
            </w:r>
          </w:p>
          <w:p w14:paraId="71B7A2B7" w14:textId="77777777" w:rsidR="003560AA" w:rsidRPr="003560AA" w:rsidRDefault="003560AA" w:rsidP="003560AA">
            <w:pPr>
              <w:rPr>
                <w:rFonts w:eastAsia="Calibri" w:cs="Times New Roman"/>
                <w:sz w:val="14"/>
                <w:szCs w:val="14"/>
              </w:rPr>
            </w:pPr>
            <w:r w:rsidRPr="003560AA">
              <w:rPr>
                <w:rFonts w:eastAsia="Calibri" w:cs="Times New Roman"/>
                <w:sz w:val="14"/>
                <w:szCs w:val="14"/>
              </w:rPr>
              <w:t>Training of Councilors</w:t>
            </w:r>
          </w:p>
          <w:p w14:paraId="2CEA2CAF" w14:textId="77777777" w:rsidR="003560AA" w:rsidRPr="003560AA" w:rsidRDefault="003560AA" w:rsidP="003560AA">
            <w:pPr>
              <w:rPr>
                <w:rFonts w:eastAsia="Calibri" w:cs="Times New Roman"/>
                <w:sz w:val="14"/>
                <w:szCs w:val="14"/>
              </w:rPr>
            </w:pPr>
            <w:r w:rsidRPr="003560AA">
              <w:rPr>
                <w:rFonts w:eastAsia="Calibri" w:cs="Times New Roman"/>
                <w:sz w:val="14"/>
                <w:szCs w:val="14"/>
              </w:rPr>
              <w:t>Internships and In-service Training</w:t>
            </w:r>
          </w:p>
          <w:p w14:paraId="2EC10620" w14:textId="77777777" w:rsidR="003560AA" w:rsidRPr="003560AA" w:rsidRDefault="003560AA" w:rsidP="003560AA">
            <w:pPr>
              <w:rPr>
                <w:rFonts w:eastAsia="Calibri" w:cs="Times New Roman"/>
                <w:sz w:val="14"/>
                <w:szCs w:val="14"/>
              </w:rPr>
            </w:pPr>
            <w:r w:rsidRPr="003560AA">
              <w:rPr>
                <w:rFonts w:eastAsia="Calibri" w:cs="Times New Roman"/>
                <w:sz w:val="14"/>
                <w:szCs w:val="14"/>
              </w:rPr>
              <w:t>Employee Wellness</w:t>
            </w:r>
          </w:p>
          <w:p w14:paraId="3E14B737" w14:textId="77777777" w:rsidR="003560AA" w:rsidRPr="003560AA" w:rsidRDefault="003560AA" w:rsidP="003560AA">
            <w:pPr>
              <w:rPr>
                <w:rFonts w:eastAsia="Calibri" w:cs="Times New Roman"/>
                <w:sz w:val="14"/>
                <w:szCs w:val="14"/>
              </w:rPr>
            </w:pPr>
            <w:r w:rsidRPr="003560AA">
              <w:rPr>
                <w:rFonts w:eastAsia="Calibri" w:cs="Times New Roman"/>
                <w:sz w:val="14"/>
                <w:szCs w:val="14"/>
              </w:rPr>
              <w:t>Filling of Critical Posts</w:t>
            </w:r>
          </w:p>
          <w:p w14:paraId="3BC59EA9" w14:textId="77777777" w:rsidR="003560AA" w:rsidRPr="003560AA" w:rsidRDefault="003560AA" w:rsidP="003560AA">
            <w:pPr>
              <w:rPr>
                <w:rFonts w:eastAsia="Calibri" w:cs="Times New Roman"/>
                <w:sz w:val="14"/>
                <w:szCs w:val="14"/>
              </w:rPr>
            </w:pPr>
            <w:r w:rsidRPr="003560AA">
              <w:rPr>
                <w:rFonts w:eastAsia="Calibri" w:cs="Times New Roman"/>
                <w:sz w:val="14"/>
                <w:szCs w:val="14"/>
              </w:rPr>
              <w:t>Job Evaluations</w:t>
            </w:r>
          </w:p>
        </w:tc>
      </w:tr>
      <w:tr w:rsidR="003560AA" w:rsidRPr="003560AA" w14:paraId="3E8FF480" w14:textId="77777777" w:rsidTr="003560AA">
        <w:trPr>
          <w:trHeight w:val="479"/>
        </w:trPr>
        <w:tc>
          <w:tcPr>
            <w:tcW w:w="1747" w:type="dxa"/>
          </w:tcPr>
          <w:p w14:paraId="557D387B" w14:textId="77777777" w:rsidR="003560AA" w:rsidRPr="003560AA" w:rsidRDefault="003560AA" w:rsidP="003560AA">
            <w:pPr>
              <w:rPr>
                <w:rFonts w:eastAsia="Calibri" w:cs="Times New Roman"/>
                <w:sz w:val="16"/>
              </w:rPr>
            </w:pPr>
            <w:r w:rsidRPr="003560AA">
              <w:rPr>
                <w:rFonts w:eastAsia="Calibri" w:cs="Times New Roman"/>
                <w:sz w:val="16"/>
              </w:rPr>
              <w:t>Create jobs</w:t>
            </w:r>
          </w:p>
          <w:p w14:paraId="3FECA9BD" w14:textId="77777777" w:rsidR="003560AA" w:rsidRPr="003560AA" w:rsidRDefault="003560AA" w:rsidP="003560AA">
            <w:pPr>
              <w:rPr>
                <w:rFonts w:eastAsia="Calibri" w:cs="Times New Roman"/>
                <w:sz w:val="16"/>
              </w:rPr>
            </w:pPr>
            <w:r w:rsidRPr="003560AA">
              <w:rPr>
                <w:rFonts w:eastAsia="Calibri" w:cs="Times New Roman"/>
                <w:sz w:val="16"/>
              </w:rPr>
              <w:t>Use Resources Properly</w:t>
            </w:r>
          </w:p>
          <w:p w14:paraId="75389671" w14:textId="77777777" w:rsidR="003560AA" w:rsidRPr="003560AA" w:rsidRDefault="003560AA" w:rsidP="003560AA">
            <w:pPr>
              <w:rPr>
                <w:rFonts w:eastAsia="Calibri" w:cs="Times New Roman"/>
                <w:sz w:val="16"/>
              </w:rPr>
            </w:pPr>
            <w:r w:rsidRPr="003560AA">
              <w:rPr>
                <w:rFonts w:eastAsia="Calibri" w:cs="Times New Roman"/>
                <w:sz w:val="16"/>
              </w:rPr>
              <w:t>Inclusive Planning</w:t>
            </w:r>
          </w:p>
          <w:p w14:paraId="16F064A4" w14:textId="77777777" w:rsidR="003560AA" w:rsidRPr="003560AA" w:rsidRDefault="003560AA" w:rsidP="003560AA">
            <w:pPr>
              <w:rPr>
                <w:rFonts w:eastAsia="Calibri" w:cs="Times New Roman"/>
                <w:sz w:val="16"/>
              </w:rPr>
            </w:pPr>
            <w:r w:rsidRPr="003560AA">
              <w:rPr>
                <w:rFonts w:eastAsia="Calibri" w:cs="Times New Roman"/>
                <w:sz w:val="16"/>
              </w:rPr>
              <w:t>Build a Capable State</w:t>
            </w:r>
          </w:p>
        </w:tc>
        <w:tc>
          <w:tcPr>
            <w:tcW w:w="2210" w:type="dxa"/>
          </w:tcPr>
          <w:p w14:paraId="1F519729" w14:textId="77777777" w:rsidR="003560AA" w:rsidRPr="003560AA" w:rsidRDefault="003560AA" w:rsidP="003560AA">
            <w:pPr>
              <w:rPr>
                <w:rFonts w:eastAsia="Calibri" w:cs="Times New Roman"/>
                <w:sz w:val="16"/>
              </w:rPr>
            </w:pPr>
            <w:r w:rsidRPr="003560AA">
              <w:rPr>
                <w:rFonts w:eastAsia="Calibri" w:cs="Times New Roman"/>
                <w:sz w:val="16"/>
              </w:rPr>
              <w:t>Inclusive Economic Growth</w:t>
            </w:r>
          </w:p>
          <w:p w14:paraId="1820C07C" w14:textId="77777777" w:rsidR="003560AA" w:rsidRPr="003560AA" w:rsidRDefault="003560AA" w:rsidP="003560AA">
            <w:pPr>
              <w:rPr>
                <w:rFonts w:eastAsia="Calibri" w:cs="Times New Roman"/>
                <w:sz w:val="16"/>
              </w:rPr>
            </w:pPr>
            <w:r w:rsidRPr="003560AA">
              <w:rPr>
                <w:rFonts w:eastAsia="Calibri" w:cs="Times New Roman"/>
                <w:sz w:val="16"/>
              </w:rPr>
              <w:t>Human &amp; Community Development</w:t>
            </w:r>
          </w:p>
          <w:p w14:paraId="3B851E8D" w14:textId="77777777" w:rsidR="003560AA" w:rsidRPr="003560AA" w:rsidRDefault="003560AA" w:rsidP="003560AA">
            <w:pPr>
              <w:rPr>
                <w:rFonts w:eastAsia="Calibri" w:cs="Times New Roman"/>
                <w:sz w:val="16"/>
              </w:rPr>
            </w:pPr>
            <w:r w:rsidRPr="003560AA">
              <w:rPr>
                <w:rFonts w:eastAsia="Calibri" w:cs="Times New Roman"/>
                <w:sz w:val="16"/>
              </w:rPr>
              <w:t>Strategic Infrastructure</w:t>
            </w:r>
          </w:p>
        </w:tc>
        <w:tc>
          <w:tcPr>
            <w:tcW w:w="1577" w:type="dxa"/>
          </w:tcPr>
          <w:p w14:paraId="7CF1E854" w14:textId="77777777" w:rsidR="003560AA" w:rsidRPr="003560AA" w:rsidRDefault="003560AA" w:rsidP="003560AA">
            <w:pPr>
              <w:rPr>
                <w:rFonts w:eastAsia="Calibri" w:cs="Times New Roman"/>
                <w:sz w:val="16"/>
              </w:rPr>
            </w:pPr>
            <w:r w:rsidRPr="003560AA">
              <w:rPr>
                <w:rFonts w:eastAsia="Calibri" w:cs="Times New Roman"/>
                <w:sz w:val="16"/>
              </w:rPr>
              <w:t>Radical Local Economic and Rural Development and Food Security</w:t>
            </w:r>
          </w:p>
        </w:tc>
        <w:tc>
          <w:tcPr>
            <w:tcW w:w="1262" w:type="dxa"/>
          </w:tcPr>
          <w:p w14:paraId="676AC7F0" w14:textId="77777777" w:rsidR="003560AA" w:rsidRPr="003560AA" w:rsidRDefault="003560AA" w:rsidP="003560AA">
            <w:pPr>
              <w:rPr>
                <w:rFonts w:eastAsia="Calibri" w:cs="Times New Roman"/>
                <w:sz w:val="16"/>
              </w:rPr>
            </w:pPr>
            <w:r w:rsidRPr="003560AA">
              <w:rPr>
                <w:rFonts w:eastAsia="Calibri" w:cs="Times New Roman"/>
                <w:sz w:val="16"/>
              </w:rPr>
              <w:t>Basic Services</w:t>
            </w:r>
          </w:p>
        </w:tc>
        <w:tc>
          <w:tcPr>
            <w:tcW w:w="1736" w:type="dxa"/>
          </w:tcPr>
          <w:p w14:paraId="068531E9" w14:textId="77777777" w:rsidR="003560AA" w:rsidRPr="003560AA" w:rsidRDefault="003560AA" w:rsidP="003560AA">
            <w:pPr>
              <w:rPr>
                <w:rFonts w:eastAsia="Calibri" w:cs="Times New Roman"/>
                <w:sz w:val="16"/>
              </w:rPr>
            </w:pPr>
            <w:r w:rsidRPr="003560AA">
              <w:rPr>
                <w:rFonts w:eastAsia="Calibri" w:cs="Times New Roman"/>
                <w:sz w:val="16"/>
              </w:rPr>
              <w:t>Local Economic and Social Development</w:t>
            </w:r>
          </w:p>
        </w:tc>
        <w:tc>
          <w:tcPr>
            <w:tcW w:w="1893" w:type="dxa"/>
          </w:tcPr>
          <w:p w14:paraId="3ED86474" w14:textId="77777777" w:rsidR="003560AA" w:rsidRPr="003560AA" w:rsidRDefault="003560AA" w:rsidP="003560AA">
            <w:pPr>
              <w:rPr>
                <w:rFonts w:eastAsia="Calibri" w:cs="Times New Roman"/>
                <w:sz w:val="16"/>
              </w:rPr>
            </w:pPr>
            <w:r w:rsidRPr="003560AA">
              <w:rPr>
                <w:rFonts w:eastAsia="Calibri" w:cs="Times New Roman"/>
                <w:sz w:val="16"/>
              </w:rPr>
              <w:t>Radical Local Economic Development and accelerated economic growth.</w:t>
            </w:r>
          </w:p>
        </w:tc>
        <w:tc>
          <w:tcPr>
            <w:tcW w:w="1893" w:type="dxa"/>
          </w:tcPr>
          <w:p w14:paraId="0E928172" w14:textId="77777777" w:rsidR="003560AA" w:rsidRPr="003560AA" w:rsidRDefault="003560AA" w:rsidP="003560AA">
            <w:pPr>
              <w:rPr>
                <w:rFonts w:eastAsia="Calibri" w:cs="Times New Roman"/>
                <w:sz w:val="14"/>
              </w:rPr>
            </w:pPr>
            <w:r w:rsidRPr="003560AA">
              <w:rPr>
                <w:rFonts w:eastAsia="Calibri" w:cs="Times New Roman"/>
                <w:sz w:val="14"/>
              </w:rPr>
              <w:t xml:space="preserve">To Facilitate and Support Accelerated Economic Development </w:t>
            </w:r>
          </w:p>
          <w:p w14:paraId="257CBAF2" w14:textId="77777777" w:rsidR="003560AA" w:rsidRPr="003560AA" w:rsidRDefault="003560AA" w:rsidP="003560AA">
            <w:pPr>
              <w:rPr>
                <w:rFonts w:eastAsia="Calibri" w:cs="Times New Roman"/>
                <w:sz w:val="16"/>
              </w:rPr>
            </w:pPr>
          </w:p>
          <w:p w14:paraId="3D1CA929" w14:textId="77777777" w:rsidR="003560AA" w:rsidRPr="003560AA" w:rsidRDefault="003560AA" w:rsidP="003560AA">
            <w:pPr>
              <w:rPr>
                <w:rFonts w:eastAsia="Calibri" w:cs="Times New Roman"/>
                <w:sz w:val="16"/>
              </w:rPr>
            </w:pPr>
            <w:r w:rsidRPr="003560AA">
              <w:rPr>
                <w:rFonts w:eastAsia="Calibri" w:cs="Times New Roman"/>
                <w:sz w:val="14"/>
              </w:rPr>
              <w:t xml:space="preserve">To effectively contribute towards the reduction of unemployment. </w:t>
            </w:r>
          </w:p>
        </w:tc>
        <w:tc>
          <w:tcPr>
            <w:tcW w:w="3180" w:type="dxa"/>
          </w:tcPr>
          <w:p w14:paraId="0F925C2B" w14:textId="77777777" w:rsidR="003560AA" w:rsidRPr="003560AA" w:rsidRDefault="003560AA" w:rsidP="003560AA">
            <w:pPr>
              <w:rPr>
                <w:rFonts w:eastAsia="Calibri" w:cs="Times New Roman"/>
                <w:sz w:val="14"/>
                <w:szCs w:val="14"/>
              </w:rPr>
            </w:pPr>
            <w:r w:rsidRPr="003560AA">
              <w:rPr>
                <w:rFonts w:eastAsia="Calibri" w:cs="Times New Roman"/>
                <w:sz w:val="14"/>
                <w:szCs w:val="14"/>
              </w:rPr>
              <w:t>Agriculture Development</w:t>
            </w:r>
          </w:p>
          <w:p w14:paraId="7CE6A207" w14:textId="77777777" w:rsidR="003560AA" w:rsidRPr="003560AA" w:rsidRDefault="003560AA" w:rsidP="003560AA">
            <w:pPr>
              <w:rPr>
                <w:rFonts w:eastAsia="Calibri" w:cs="Times New Roman"/>
                <w:sz w:val="14"/>
                <w:szCs w:val="14"/>
              </w:rPr>
            </w:pPr>
            <w:r w:rsidRPr="003560AA">
              <w:rPr>
                <w:rFonts w:eastAsia="Calibri" w:cs="Times New Roman"/>
                <w:sz w:val="14"/>
                <w:szCs w:val="14"/>
              </w:rPr>
              <w:t>Tourism Development</w:t>
            </w:r>
          </w:p>
          <w:p w14:paraId="36E2E087" w14:textId="77777777" w:rsidR="003560AA" w:rsidRPr="003560AA" w:rsidRDefault="003560AA" w:rsidP="003560AA">
            <w:pPr>
              <w:rPr>
                <w:rFonts w:eastAsia="Calibri" w:cs="Times New Roman"/>
                <w:sz w:val="14"/>
                <w:szCs w:val="14"/>
              </w:rPr>
            </w:pPr>
            <w:r w:rsidRPr="003560AA">
              <w:rPr>
                <w:rFonts w:eastAsia="Calibri" w:cs="Times New Roman"/>
                <w:sz w:val="14"/>
                <w:szCs w:val="14"/>
              </w:rPr>
              <w:t>Industrial Development</w:t>
            </w:r>
          </w:p>
          <w:p w14:paraId="38CC69CB" w14:textId="77777777" w:rsidR="003560AA" w:rsidRPr="003560AA" w:rsidRDefault="003560AA" w:rsidP="003560AA">
            <w:pPr>
              <w:rPr>
                <w:rFonts w:eastAsia="Calibri" w:cs="Times New Roman"/>
                <w:sz w:val="14"/>
                <w:szCs w:val="14"/>
              </w:rPr>
            </w:pPr>
            <w:r w:rsidRPr="003560AA">
              <w:rPr>
                <w:rFonts w:eastAsia="Calibri" w:cs="Times New Roman"/>
                <w:sz w:val="14"/>
                <w:szCs w:val="14"/>
              </w:rPr>
              <w:t>SMME Development/Support Youth Development</w:t>
            </w:r>
          </w:p>
          <w:p w14:paraId="150366EB" w14:textId="77777777" w:rsidR="003560AA" w:rsidRPr="003560AA" w:rsidRDefault="003560AA" w:rsidP="003560AA">
            <w:pPr>
              <w:rPr>
                <w:rFonts w:eastAsia="Calibri" w:cs="Times New Roman"/>
                <w:sz w:val="14"/>
                <w:szCs w:val="14"/>
              </w:rPr>
            </w:pPr>
            <w:r w:rsidRPr="003560AA">
              <w:rPr>
                <w:rFonts w:eastAsia="Calibri" w:cs="Times New Roman"/>
                <w:sz w:val="14"/>
                <w:szCs w:val="14"/>
              </w:rPr>
              <w:t>Job Creation</w:t>
            </w:r>
          </w:p>
        </w:tc>
      </w:tr>
      <w:tr w:rsidR="003560AA" w:rsidRPr="003560AA" w14:paraId="12535110" w14:textId="77777777" w:rsidTr="003560AA">
        <w:trPr>
          <w:trHeight w:val="374"/>
        </w:trPr>
        <w:tc>
          <w:tcPr>
            <w:tcW w:w="1747" w:type="dxa"/>
          </w:tcPr>
          <w:p w14:paraId="33A3B601" w14:textId="77777777" w:rsidR="003560AA" w:rsidRPr="003560AA" w:rsidRDefault="003560AA" w:rsidP="003560AA">
            <w:pPr>
              <w:rPr>
                <w:rFonts w:eastAsia="Calibri" w:cs="Times New Roman"/>
                <w:sz w:val="16"/>
              </w:rPr>
            </w:pPr>
            <w:r w:rsidRPr="003560AA">
              <w:rPr>
                <w:rFonts w:eastAsia="Calibri" w:cs="Times New Roman"/>
                <w:sz w:val="16"/>
              </w:rPr>
              <w:t>Expand Infrastructure</w:t>
            </w:r>
          </w:p>
          <w:p w14:paraId="2A8A2699" w14:textId="77777777" w:rsidR="003560AA" w:rsidRPr="003560AA" w:rsidRDefault="003560AA" w:rsidP="003560AA">
            <w:pPr>
              <w:rPr>
                <w:rFonts w:eastAsia="Calibri" w:cs="Times New Roman"/>
                <w:sz w:val="16"/>
              </w:rPr>
            </w:pPr>
            <w:r w:rsidRPr="003560AA">
              <w:rPr>
                <w:rFonts w:eastAsia="Calibri" w:cs="Times New Roman"/>
                <w:sz w:val="16"/>
              </w:rPr>
              <w:t>Use resources properly</w:t>
            </w:r>
          </w:p>
          <w:p w14:paraId="10F77415" w14:textId="77777777" w:rsidR="003560AA" w:rsidRPr="003560AA" w:rsidRDefault="003560AA" w:rsidP="003560AA">
            <w:pPr>
              <w:rPr>
                <w:rFonts w:eastAsia="Calibri" w:cs="Times New Roman"/>
                <w:sz w:val="16"/>
              </w:rPr>
            </w:pPr>
            <w:r w:rsidRPr="003560AA">
              <w:rPr>
                <w:rFonts w:eastAsia="Calibri" w:cs="Times New Roman"/>
                <w:sz w:val="16"/>
              </w:rPr>
              <w:t>Inclusive planning</w:t>
            </w:r>
          </w:p>
        </w:tc>
        <w:tc>
          <w:tcPr>
            <w:tcW w:w="2210" w:type="dxa"/>
          </w:tcPr>
          <w:p w14:paraId="002CFB76" w14:textId="77777777" w:rsidR="003560AA" w:rsidRPr="003560AA" w:rsidRDefault="003560AA" w:rsidP="003560AA">
            <w:pPr>
              <w:rPr>
                <w:rFonts w:eastAsia="Calibri" w:cs="Times New Roman"/>
                <w:sz w:val="16"/>
              </w:rPr>
            </w:pPr>
            <w:r w:rsidRPr="003560AA">
              <w:rPr>
                <w:rFonts w:eastAsia="Calibri" w:cs="Times New Roman"/>
                <w:sz w:val="16"/>
              </w:rPr>
              <w:t>Strategic Infrastructure</w:t>
            </w:r>
          </w:p>
          <w:p w14:paraId="58B78953" w14:textId="77777777" w:rsidR="003560AA" w:rsidRPr="003560AA" w:rsidRDefault="003560AA" w:rsidP="003560AA">
            <w:pPr>
              <w:rPr>
                <w:rFonts w:eastAsia="Calibri" w:cs="Times New Roman"/>
                <w:sz w:val="16"/>
              </w:rPr>
            </w:pPr>
            <w:r w:rsidRPr="003560AA">
              <w:rPr>
                <w:rFonts w:eastAsia="Calibri" w:cs="Times New Roman"/>
                <w:sz w:val="16"/>
              </w:rPr>
              <w:t>Spatial Equity</w:t>
            </w:r>
          </w:p>
        </w:tc>
        <w:tc>
          <w:tcPr>
            <w:tcW w:w="1577" w:type="dxa"/>
          </w:tcPr>
          <w:p w14:paraId="141C1C7C" w14:textId="77777777" w:rsidR="003560AA" w:rsidRPr="003560AA" w:rsidRDefault="003560AA" w:rsidP="003560AA">
            <w:pPr>
              <w:rPr>
                <w:rFonts w:eastAsia="Calibri" w:cs="Times New Roman"/>
                <w:sz w:val="16"/>
              </w:rPr>
            </w:pPr>
            <w:r w:rsidRPr="003560AA">
              <w:rPr>
                <w:rFonts w:eastAsia="Calibri" w:cs="Times New Roman"/>
                <w:sz w:val="16"/>
              </w:rPr>
              <w:t>Infrastructure and Basic Service Delivery</w:t>
            </w:r>
          </w:p>
        </w:tc>
        <w:tc>
          <w:tcPr>
            <w:tcW w:w="1262" w:type="dxa"/>
          </w:tcPr>
          <w:p w14:paraId="157D6F0E" w14:textId="77777777" w:rsidR="003560AA" w:rsidRPr="003560AA" w:rsidRDefault="003560AA" w:rsidP="003560AA">
            <w:pPr>
              <w:rPr>
                <w:rFonts w:eastAsia="Calibri" w:cs="Times New Roman"/>
                <w:sz w:val="16"/>
              </w:rPr>
            </w:pPr>
            <w:r w:rsidRPr="003560AA">
              <w:rPr>
                <w:rFonts w:eastAsia="Calibri" w:cs="Times New Roman"/>
                <w:sz w:val="16"/>
              </w:rPr>
              <w:t>Basic Services</w:t>
            </w:r>
          </w:p>
        </w:tc>
        <w:tc>
          <w:tcPr>
            <w:tcW w:w="1736" w:type="dxa"/>
          </w:tcPr>
          <w:p w14:paraId="081A33CC" w14:textId="77777777" w:rsidR="003560AA" w:rsidRPr="003560AA" w:rsidRDefault="003560AA" w:rsidP="003560AA">
            <w:pPr>
              <w:rPr>
                <w:rFonts w:eastAsia="Calibri" w:cs="Times New Roman"/>
                <w:sz w:val="16"/>
              </w:rPr>
            </w:pPr>
            <w:r w:rsidRPr="003560AA">
              <w:rPr>
                <w:rFonts w:eastAsia="Calibri" w:cs="Times New Roman"/>
                <w:sz w:val="16"/>
              </w:rPr>
              <w:t>Basic Service Delivery</w:t>
            </w:r>
          </w:p>
        </w:tc>
        <w:tc>
          <w:tcPr>
            <w:tcW w:w="1893" w:type="dxa"/>
          </w:tcPr>
          <w:p w14:paraId="7041C610" w14:textId="77777777" w:rsidR="003560AA" w:rsidRPr="003560AA" w:rsidRDefault="003560AA" w:rsidP="003560AA">
            <w:pPr>
              <w:rPr>
                <w:rFonts w:eastAsia="Calibri" w:cs="Times New Roman"/>
                <w:sz w:val="16"/>
              </w:rPr>
            </w:pPr>
            <w:r w:rsidRPr="003560AA">
              <w:rPr>
                <w:rFonts w:eastAsia="Calibri" w:cs="Times New Roman"/>
                <w:sz w:val="16"/>
              </w:rPr>
              <w:t>Continued Basic Service Delivery and Strategic Infrastructure Development</w:t>
            </w:r>
          </w:p>
        </w:tc>
        <w:tc>
          <w:tcPr>
            <w:tcW w:w="1893" w:type="dxa"/>
          </w:tcPr>
          <w:p w14:paraId="2658536B" w14:textId="77777777" w:rsidR="003560AA" w:rsidRPr="003560AA" w:rsidRDefault="003560AA" w:rsidP="003560AA">
            <w:pPr>
              <w:rPr>
                <w:rFonts w:eastAsia="Calibri" w:cs="Times New Roman"/>
                <w:sz w:val="14"/>
              </w:rPr>
            </w:pPr>
            <w:r w:rsidRPr="003560AA">
              <w:rPr>
                <w:rFonts w:eastAsia="Calibri" w:cs="Times New Roman"/>
                <w:sz w:val="14"/>
              </w:rPr>
              <w:t>To Provide and Maintain Infrastructure and Services to All, With Special Emphasis on Rural Communities in a Sustainable Manner</w:t>
            </w:r>
          </w:p>
        </w:tc>
        <w:tc>
          <w:tcPr>
            <w:tcW w:w="3180" w:type="dxa"/>
          </w:tcPr>
          <w:p w14:paraId="2584F03D" w14:textId="77777777" w:rsidR="003560AA" w:rsidRPr="003560AA" w:rsidRDefault="003560AA" w:rsidP="003560AA">
            <w:pPr>
              <w:rPr>
                <w:rFonts w:eastAsia="Calibri" w:cs="Times New Roman"/>
                <w:sz w:val="14"/>
                <w:szCs w:val="14"/>
              </w:rPr>
            </w:pPr>
            <w:r w:rsidRPr="003560AA">
              <w:rPr>
                <w:rFonts w:eastAsia="Calibri" w:cs="Times New Roman"/>
                <w:sz w:val="14"/>
                <w:szCs w:val="14"/>
              </w:rPr>
              <w:t>New Roads, Causeways, Speed Humps &amp; Sidewalks</w:t>
            </w:r>
          </w:p>
          <w:p w14:paraId="780108C2" w14:textId="77777777" w:rsidR="003560AA" w:rsidRPr="003560AA" w:rsidRDefault="003560AA" w:rsidP="003560AA">
            <w:pPr>
              <w:rPr>
                <w:rFonts w:eastAsia="Calibri" w:cs="Times New Roman"/>
                <w:sz w:val="14"/>
                <w:szCs w:val="14"/>
              </w:rPr>
            </w:pPr>
            <w:r w:rsidRPr="003560AA">
              <w:rPr>
                <w:rFonts w:eastAsia="Calibri" w:cs="Times New Roman"/>
                <w:sz w:val="14"/>
                <w:szCs w:val="14"/>
              </w:rPr>
              <w:t>Maintenance of Existing Infrastructure</w:t>
            </w:r>
          </w:p>
          <w:p w14:paraId="5AB9E7F2" w14:textId="77777777" w:rsidR="003560AA" w:rsidRPr="003560AA" w:rsidRDefault="003560AA" w:rsidP="003560AA">
            <w:pPr>
              <w:rPr>
                <w:rFonts w:eastAsia="Calibri" w:cs="Times New Roman"/>
                <w:sz w:val="14"/>
                <w:szCs w:val="14"/>
              </w:rPr>
            </w:pPr>
            <w:r w:rsidRPr="003560AA">
              <w:rPr>
                <w:rFonts w:eastAsia="Calibri" w:cs="Times New Roman"/>
                <w:sz w:val="14"/>
                <w:szCs w:val="14"/>
              </w:rPr>
              <w:t>Provision of  Electricity</w:t>
            </w:r>
          </w:p>
          <w:p w14:paraId="2904174A" w14:textId="77777777" w:rsidR="003560AA" w:rsidRPr="003560AA" w:rsidRDefault="003560AA" w:rsidP="003560AA">
            <w:pPr>
              <w:rPr>
                <w:rFonts w:eastAsia="Calibri" w:cs="Times New Roman"/>
                <w:sz w:val="14"/>
                <w:szCs w:val="14"/>
              </w:rPr>
            </w:pPr>
            <w:r w:rsidRPr="003560AA">
              <w:rPr>
                <w:rFonts w:eastAsia="Calibri" w:cs="Times New Roman"/>
                <w:sz w:val="14"/>
                <w:szCs w:val="14"/>
              </w:rPr>
              <w:t>Refuse Removal</w:t>
            </w:r>
          </w:p>
          <w:p w14:paraId="1CFE4CB3" w14:textId="77777777" w:rsidR="003560AA" w:rsidRPr="003560AA" w:rsidRDefault="003560AA" w:rsidP="003560AA">
            <w:pPr>
              <w:rPr>
                <w:rFonts w:eastAsia="Calibri" w:cs="Times New Roman"/>
                <w:sz w:val="14"/>
                <w:szCs w:val="14"/>
              </w:rPr>
            </w:pPr>
            <w:r w:rsidRPr="003560AA">
              <w:rPr>
                <w:rFonts w:eastAsia="Calibri" w:cs="Times New Roman"/>
                <w:sz w:val="14"/>
                <w:szCs w:val="14"/>
              </w:rPr>
              <w:t xml:space="preserve">Accelerate Provision of Housing </w:t>
            </w:r>
          </w:p>
          <w:p w14:paraId="62D12832" w14:textId="77777777" w:rsidR="003560AA" w:rsidRPr="003560AA" w:rsidRDefault="003560AA" w:rsidP="003560AA">
            <w:pPr>
              <w:rPr>
                <w:rFonts w:eastAsia="Calibri" w:cs="Times New Roman"/>
                <w:sz w:val="14"/>
                <w:szCs w:val="14"/>
              </w:rPr>
            </w:pPr>
            <w:r w:rsidRPr="003560AA">
              <w:rPr>
                <w:rFonts w:eastAsia="Calibri" w:cs="Times New Roman"/>
                <w:sz w:val="14"/>
                <w:szCs w:val="14"/>
              </w:rPr>
              <w:t>Provision of Recreational Facilities</w:t>
            </w:r>
          </w:p>
          <w:p w14:paraId="0CFFF6B6" w14:textId="77777777" w:rsidR="003560AA" w:rsidRPr="003560AA" w:rsidRDefault="003560AA" w:rsidP="003560AA">
            <w:pPr>
              <w:rPr>
                <w:rFonts w:eastAsia="Calibri" w:cs="Times New Roman"/>
                <w:sz w:val="14"/>
                <w:szCs w:val="14"/>
              </w:rPr>
            </w:pPr>
            <w:r w:rsidRPr="003560AA">
              <w:rPr>
                <w:rFonts w:eastAsia="Calibri" w:cs="Times New Roman"/>
                <w:sz w:val="14"/>
                <w:szCs w:val="14"/>
              </w:rPr>
              <w:t>Effective Management of Disasters</w:t>
            </w:r>
          </w:p>
          <w:p w14:paraId="52A850D9" w14:textId="77777777" w:rsidR="003560AA" w:rsidRPr="003560AA" w:rsidRDefault="003560AA" w:rsidP="003560AA">
            <w:pPr>
              <w:rPr>
                <w:rFonts w:eastAsia="Calibri" w:cs="Times New Roman"/>
                <w:sz w:val="14"/>
                <w:szCs w:val="14"/>
              </w:rPr>
            </w:pPr>
            <w:r w:rsidRPr="003560AA">
              <w:rPr>
                <w:rFonts w:eastAsia="Calibri" w:cs="Times New Roman"/>
                <w:sz w:val="14"/>
                <w:szCs w:val="14"/>
              </w:rPr>
              <w:t>Storm Water Management</w:t>
            </w:r>
          </w:p>
          <w:p w14:paraId="1E327F88" w14:textId="77777777" w:rsidR="003560AA" w:rsidRPr="003560AA" w:rsidRDefault="003560AA" w:rsidP="003560AA">
            <w:pPr>
              <w:rPr>
                <w:rFonts w:eastAsia="Calibri" w:cs="Times New Roman"/>
                <w:sz w:val="14"/>
                <w:szCs w:val="14"/>
              </w:rPr>
            </w:pPr>
            <w:r w:rsidRPr="003560AA">
              <w:rPr>
                <w:rFonts w:eastAsia="Calibri" w:cs="Times New Roman"/>
                <w:sz w:val="14"/>
                <w:szCs w:val="14"/>
              </w:rPr>
              <w:t>Free Basic Services</w:t>
            </w:r>
          </w:p>
        </w:tc>
      </w:tr>
      <w:tr w:rsidR="003560AA" w:rsidRPr="003560AA" w14:paraId="73E85916" w14:textId="77777777" w:rsidTr="003560AA">
        <w:trPr>
          <w:trHeight w:val="354"/>
        </w:trPr>
        <w:tc>
          <w:tcPr>
            <w:tcW w:w="1747" w:type="dxa"/>
          </w:tcPr>
          <w:p w14:paraId="21597F52" w14:textId="77777777" w:rsidR="003560AA" w:rsidRPr="003560AA" w:rsidRDefault="003560AA" w:rsidP="003560AA">
            <w:pPr>
              <w:rPr>
                <w:rFonts w:eastAsia="Calibri" w:cs="Times New Roman"/>
                <w:sz w:val="16"/>
              </w:rPr>
            </w:pPr>
            <w:r w:rsidRPr="003560AA">
              <w:rPr>
                <w:rFonts w:eastAsia="Calibri" w:cs="Times New Roman"/>
                <w:sz w:val="16"/>
              </w:rPr>
              <w:t>Expand Infrastructure</w:t>
            </w:r>
          </w:p>
          <w:p w14:paraId="01764296" w14:textId="77777777" w:rsidR="003560AA" w:rsidRPr="003560AA" w:rsidRDefault="003560AA" w:rsidP="003560AA">
            <w:pPr>
              <w:rPr>
                <w:rFonts w:eastAsia="Calibri" w:cs="Times New Roman"/>
                <w:sz w:val="16"/>
              </w:rPr>
            </w:pPr>
            <w:r w:rsidRPr="003560AA">
              <w:rPr>
                <w:rFonts w:eastAsia="Calibri" w:cs="Times New Roman"/>
                <w:sz w:val="16"/>
              </w:rPr>
              <w:t>Use Resources Properly</w:t>
            </w:r>
          </w:p>
          <w:p w14:paraId="30E52725" w14:textId="77777777" w:rsidR="003560AA" w:rsidRPr="003560AA" w:rsidRDefault="003560AA" w:rsidP="003560AA">
            <w:pPr>
              <w:rPr>
                <w:rFonts w:eastAsia="Calibri" w:cs="Times New Roman"/>
                <w:sz w:val="16"/>
              </w:rPr>
            </w:pPr>
            <w:r w:rsidRPr="003560AA">
              <w:rPr>
                <w:rFonts w:eastAsia="Calibri" w:cs="Times New Roman"/>
                <w:sz w:val="16"/>
              </w:rPr>
              <w:t>Inclusive Planning</w:t>
            </w:r>
          </w:p>
        </w:tc>
        <w:tc>
          <w:tcPr>
            <w:tcW w:w="2210" w:type="dxa"/>
          </w:tcPr>
          <w:p w14:paraId="621B8830" w14:textId="77777777" w:rsidR="003560AA" w:rsidRPr="003560AA" w:rsidRDefault="003560AA" w:rsidP="003560AA">
            <w:pPr>
              <w:rPr>
                <w:rFonts w:eastAsia="Calibri" w:cs="Times New Roman"/>
                <w:sz w:val="16"/>
              </w:rPr>
            </w:pPr>
            <w:r w:rsidRPr="003560AA">
              <w:rPr>
                <w:rFonts w:eastAsia="Calibri" w:cs="Times New Roman"/>
                <w:sz w:val="16"/>
              </w:rPr>
              <w:t>Inclusive Economic Growth</w:t>
            </w:r>
          </w:p>
          <w:p w14:paraId="5544854C" w14:textId="77777777" w:rsidR="003560AA" w:rsidRPr="003560AA" w:rsidRDefault="003560AA" w:rsidP="003560AA">
            <w:pPr>
              <w:rPr>
                <w:rFonts w:eastAsia="Calibri" w:cs="Times New Roman"/>
                <w:sz w:val="16"/>
              </w:rPr>
            </w:pPr>
            <w:r w:rsidRPr="003560AA">
              <w:rPr>
                <w:rFonts w:eastAsia="Calibri" w:cs="Times New Roman"/>
                <w:sz w:val="16"/>
              </w:rPr>
              <w:t>Governance and Policy</w:t>
            </w:r>
          </w:p>
        </w:tc>
        <w:tc>
          <w:tcPr>
            <w:tcW w:w="1577" w:type="dxa"/>
          </w:tcPr>
          <w:p w14:paraId="40BA8D53" w14:textId="77777777" w:rsidR="003560AA" w:rsidRPr="003560AA" w:rsidRDefault="003560AA" w:rsidP="003560AA">
            <w:pPr>
              <w:rPr>
                <w:rFonts w:eastAsia="Calibri" w:cs="Times New Roman"/>
                <w:sz w:val="16"/>
              </w:rPr>
            </w:pPr>
            <w:r w:rsidRPr="003560AA">
              <w:rPr>
                <w:rFonts w:eastAsia="Calibri" w:cs="Times New Roman"/>
                <w:sz w:val="16"/>
              </w:rPr>
              <w:t>Sound Financial Management and Viability</w:t>
            </w:r>
          </w:p>
        </w:tc>
        <w:tc>
          <w:tcPr>
            <w:tcW w:w="1262" w:type="dxa"/>
          </w:tcPr>
          <w:p w14:paraId="4FCC8563" w14:textId="77777777" w:rsidR="003560AA" w:rsidRPr="003560AA" w:rsidRDefault="003560AA" w:rsidP="003560AA">
            <w:pPr>
              <w:rPr>
                <w:rFonts w:eastAsia="Calibri" w:cs="Times New Roman"/>
                <w:sz w:val="16"/>
              </w:rPr>
            </w:pPr>
            <w:r w:rsidRPr="003560AA">
              <w:rPr>
                <w:rFonts w:eastAsia="Calibri" w:cs="Times New Roman"/>
                <w:sz w:val="16"/>
              </w:rPr>
              <w:t>Financial Management</w:t>
            </w:r>
          </w:p>
        </w:tc>
        <w:tc>
          <w:tcPr>
            <w:tcW w:w="1736" w:type="dxa"/>
          </w:tcPr>
          <w:p w14:paraId="742617CE" w14:textId="77777777" w:rsidR="003560AA" w:rsidRPr="003560AA" w:rsidRDefault="003560AA" w:rsidP="003560AA">
            <w:pPr>
              <w:rPr>
                <w:rFonts w:eastAsia="Calibri" w:cs="Times New Roman"/>
                <w:sz w:val="16"/>
              </w:rPr>
            </w:pPr>
            <w:r w:rsidRPr="003560AA">
              <w:rPr>
                <w:rFonts w:eastAsia="Calibri" w:cs="Times New Roman"/>
                <w:sz w:val="16"/>
              </w:rPr>
              <w:t>Financial Viability and Management</w:t>
            </w:r>
          </w:p>
        </w:tc>
        <w:tc>
          <w:tcPr>
            <w:tcW w:w="1893" w:type="dxa"/>
          </w:tcPr>
          <w:p w14:paraId="746C28CD" w14:textId="77777777" w:rsidR="003560AA" w:rsidRPr="003560AA" w:rsidRDefault="003560AA" w:rsidP="003560AA">
            <w:pPr>
              <w:rPr>
                <w:rFonts w:eastAsia="Calibri" w:cs="Times New Roman"/>
                <w:sz w:val="16"/>
              </w:rPr>
            </w:pPr>
            <w:r w:rsidRPr="003560AA">
              <w:rPr>
                <w:rFonts w:eastAsia="Calibri" w:cs="Times New Roman"/>
                <w:sz w:val="16"/>
              </w:rPr>
              <w:t>Financial Viability and Sound Financial Management</w:t>
            </w:r>
          </w:p>
        </w:tc>
        <w:tc>
          <w:tcPr>
            <w:tcW w:w="1893" w:type="dxa"/>
          </w:tcPr>
          <w:p w14:paraId="7466411F" w14:textId="77777777" w:rsidR="003560AA" w:rsidRPr="003560AA" w:rsidRDefault="003560AA" w:rsidP="003560AA">
            <w:pPr>
              <w:rPr>
                <w:rFonts w:eastAsia="Calibri" w:cs="Times New Roman"/>
                <w:sz w:val="16"/>
              </w:rPr>
            </w:pPr>
            <w:r w:rsidRPr="003560AA">
              <w:rPr>
                <w:rFonts w:eastAsia="Calibri" w:cs="Times New Roman"/>
                <w:sz w:val="14"/>
              </w:rPr>
              <w:t xml:space="preserve">To Ensure Continued Sound Financial Management </w:t>
            </w:r>
          </w:p>
        </w:tc>
        <w:tc>
          <w:tcPr>
            <w:tcW w:w="3180" w:type="dxa"/>
          </w:tcPr>
          <w:p w14:paraId="11DD3DD2" w14:textId="77777777" w:rsidR="003560AA" w:rsidRPr="003560AA" w:rsidRDefault="003560AA" w:rsidP="003560AA">
            <w:pPr>
              <w:rPr>
                <w:rFonts w:eastAsia="Calibri" w:cs="Times New Roman"/>
                <w:sz w:val="14"/>
                <w:szCs w:val="14"/>
              </w:rPr>
            </w:pPr>
            <w:r w:rsidRPr="003560AA">
              <w:rPr>
                <w:rFonts w:eastAsia="Calibri" w:cs="Times New Roman"/>
                <w:sz w:val="14"/>
                <w:szCs w:val="14"/>
              </w:rPr>
              <w:t xml:space="preserve">Effective Debt Collection/ Management </w:t>
            </w:r>
          </w:p>
          <w:p w14:paraId="6F9968FE" w14:textId="77777777" w:rsidR="003560AA" w:rsidRPr="003560AA" w:rsidRDefault="003560AA" w:rsidP="003560AA">
            <w:pPr>
              <w:rPr>
                <w:rFonts w:eastAsia="Calibri" w:cs="Times New Roman"/>
                <w:sz w:val="14"/>
                <w:szCs w:val="14"/>
              </w:rPr>
            </w:pPr>
            <w:r w:rsidRPr="003560AA">
              <w:rPr>
                <w:rFonts w:eastAsia="Calibri" w:cs="Times New Roman"/>
                <w:sz w:val="14"/>
                <w:szCs w:val="14"/>
              </w:rPr>
              <w:t>Accelerated Revenue Enhancement</w:t>
            </w:r>
          </w:p>
          <w:p w14:paraId="6B5DD1F4" w14:textId="77777777" w:rsidR="003560AA" w:rsidRPr="003560AA" w:rsidRDefault="003560AA" w:rsidP="003560AA">
            <w:pPr>
              <w:rPr>
                <w:rFonts w:eastAsia="Calibri" w:cs="Times New Roman"/>
                <w:sz w:val="14"/>
                <w:szCs w:val="14"/>
              </w:rPr>
            </w:pPr>
            <w:r w:rsidRPr="003560AA">
              <w:rPr>
                <w:rFonts w:eastAsia="Calibri" w:cs="Times New Roman"/>
                <w:sz w:val="14"/>
                <w:szCs w:val="14"/>
              </w:rPr>
              <w:t>Improve Spending</w:t>
            </w:r>
          </w:p>
          <w:p w14:paraId="094C7D3F" w14:textId="77777777" w:rsidR="003560AA" w:rsidRPr="003560AA" w:rsidRDefault="003560AA" w:rsidP="003560AA">
            <w:pPr>
              <w:rPr>
                <w:rFonts w:eastAsia="Calibri" w:cs="Times New Roman"/>
                <w:sz w:val="14"/>
                <w:szCs w:val="14"/>
              </w:rPr>
            </w:pPr>
            <w:r w:rsidRPr="003560AA">
              <w:rPr>
                <w:rFonts w:eastAsia="Calibri" w:cs="Times New Roman"/>
                <w:sz w:val="14"/>
                <w:szCs w:val="14"/>
              </w:rPr>
              <w:t>Effective Management of Employee Related Cost Expenditure</w:t>
            </w:r>
          </w:p>
          <w:p w14:paraId="566D9A40" w14:textId="77777777" w:rsidR="003560AA" w:rsidRPr="003560AA" w:rsidRDefault="003560AA" w:rsidP="003560AA">
            <w:pPr>
              <w:rPr>
                <w:rFonts w:eastAsia="Calibri" w:cs="Times New Roman"/>
                <w:sz w:val="14"/>
                <w:szCs w:val="14"/>
              </w:rPr>
            </w:pPr>
            <w:r w:rsidRPr="003560AA">
              <w:rPr>
                <w:rFonts w:eastAsia="Calibri" w:cs="Times New Roman"/>
                <w:sz w:val="14"/>
                <w:szCs w:val="14"/>
              </w:rPr>
              <w:t>Monitor SP Performance</w:t>
            </w:r>
          </w:p>
          <w:p w14:paraId="45C36437" w14:textId="77777777" w:rsidR="003560AA" w:rsidRPr="003560AA" w:rsidRDefault="003560AA" w:rsidP="003560AA">
            <w:pPr>
              <w:rPr>
                <w:rFonts w:eastAsia="Calibri" w:cs="Times New Roman"/>
                <w:sz w:val="14"/>
                <w:szCs w:val="14"/>
              </w:rPr>
            </w:pPr>
            <w:r w:rsidRPr="003560AA">
              <w:rPr>
                <w:rFonts w:eastAsia="Calibri" w:cs="Times New Roman"/>
                <w:sz w:val="14"/>
                <w:szCs w:val="14"/>
              </w:rPr>
              <w:t xml:space="preserve">Effective Asset Management </w:t>
            </w:r>
          </w:p>
        </w:tc>
      </w:tr>
      <w:tr w:rsidR="003560AA" w:rsidRPr="003560AA" w14:paraId="6D9B0189" w14:textId="77777777" w:rsidTr="003560AA">
        <w:trPr>
          <w:trHeight w:val="47"/>
        </w:trPr>
        <w:tc>
          <w:tcPr>
            <w:tcW w:w="1747" w:type="dxa"/>
          </w:tcPr>
          <w:p w14:paraId="33AE894B" w14:textId="77777777" w:rsidR="003560AA" w:rsidRPr="003560AA" w:rsidRDefault="003560AA" w:rsidP="003560AA">
            <w:pPr>
              <w:rPr>
                <w:rFonts w:eastAsia="Calibri" w:cs="Times New Roman"/>
                <w:sz w:val="16"/>
              </w:rPr>
            </w:pPr>
            <w:r w:rsidRPr="003560AA">
              <w:rPr>
                <w:rFonts w:eastAsia="Calibri" w:cs="Times New Roman"/>
                <w:sz w:val="16"/>
              </w:rPr>
              <w:t>Use resources properly</w:t>
            </w:r>
          </w:p>
          <w:p w14:paraId="49D5D617" w14:textId="77777777" w:rsidR="003560AA" w:rsidRPr="003560AA" w:rsidRDefault="003560AA" w:rsidP="003560AA">
            <w:pPr>
              <w:rPr>
                <w:rFonts w:eastAsia="Calibri" w:cs="Times New Roman"/>
                <w:sz w:val="16"/>
              </w:rPr>
            </w:pPr>
            <w:r w:rsidRPr="003560AA">
              <w:rPr>
                <w:rFonts w:eastAsia="Calibri" w:cs="Times New Roman"/>
                <w:sz w:val="16"/>
              </w:rPr>
              <w:t>Build a capable state</w:t>
            </w:r>
          </w:p>
          <w:p w14:paraId="2B831403" w14:textId="77777777" w:rsidR="003560AA" w:rsidRPr="003560AA" w:rsidRDefault="003560AA" w:rsidP="003560AA">
            <w:pPr>
              <w:rPr>
                <w:rFonts w:eastAsia="Calibri" w:cs="Times New Roman"/>
                <w:sz w:val="16"/>
              </w:rPr>
            </w:pPr>
            <w:r w:rsidRPr="003560AA">
              <w:rPr>
                <w:rFonts w:eastAsia="Calibri" w:cs="Times New Roman"/>
                <w:sz w:val="16"/>
              </w:rPr>
              <w:t>Fight corruption</w:t>
            </w:r>
          </w:p>
          <w:p w14:paraId="5EA380E5" w14:textId="77777777" w:rsidR="003560AA" w:rsidRPr="003560AA" w:rsidRDefault="003560AA" w:rsidP="003560AA">
            <w:pPr>
              <w:rPr>
                <w:rFonts w:eastAsia="Calibri" w:cs="Times New Roman"/>
                <w:sz w:val="16"/>
              </w:rPr>
            </w:pPr>
            <w:r w:rsidRPr="003560AA">
              <w:rPr>
                <w:rFonts w:eastAsia="Calibri" w:cs="Times New Roman"/>
                <w:sz w:val="16"/>
              </w:rPr>
              <w:t>Unite the nation</w:t>
            </w:r>
          </w:p>
        </w:tc>
        <w:tc>
          <w:tcPr>
            <w:tcW w:w="2210" w:type="dxa"/>
          </w:tcPr>
          <w:p w14:paraId="4194A7CF" w14:textId="77777777" w:rsidR="003560AA" w:rsidRPr="003560AA" w:rsidRDefault="003560AA" w:rsidP="003560AA">
            <w:pPr>
              <w:rPr>
                <w:rFonts w:eastAsia="Calibri" w:cs="Times New Roman"/>
                <w:sz w:val="16"/>
              </w:rPr>
            </w:pPr>
            <w:r w:rsidRPr="003560AA">
              <w:rPr>
                <w:rFonts w:eastAsia="Calibri" w:cs="Times New Roman"/>
                <w:sz w:val="16"/>
              </w:rPr>
              <w:t>Governance and Policy</w:t>
            </w:r>
          </w:p>
        </w:tc>
        <w:tc>
          <w:tcPr>
            <w:tcW w:w="1577" w:type="dxa"/>
          </w:tcPr>
          <w:p w14:paraId="7EF68923" w14:textId="77777777" w:rsidR="003560AA" w:rsidRPr="003560AA" w:rsidRDefault="003560AA" w:rsidP="003560AA">
            <w:pPr>
              <w:rPr>
                <w:rFonts w:eastAsia="Calibri" w:cs="Times New Roman"/>
                <w:sz w:val="16"/>
              </w:rPr>
            </w:pPr>
            <w:r w:rsidRPr="003560AA">
              <w:rPr>
                <w:rFonts w:eastAsia="Calibri" w:cs="Times New Roman"/>
                <w:sz w:val="16"/>
              </w:rPr>
              <w:t>Good Governance and Public Participation</w:t>
            </w:r>
          </w:p>
        </w:tc>
        <w:tc>
          <w:tcPr>
            <w:tcW w:w="1262" w:type="dxa"/>
          </w:tcPr>
          <w:p w14:paraId="52F7F4DB" w14:textId="77777777" w:rsidR="003560AA" w:rsidRPr="003560AA" w:rsidRDefault="003560AA" w:rsidP="003560AA">
            <w:pPr>
              <w:rPr>
                <w:rFonts w:eastAsia="Calibri" w:cs="Times New Roman"/>
                <w:sz w:val="16"/>
              </w:rPr>
            </w:pPr>
            <w:r w:rsidRPr="003560AA">
              <w:rPr>
                <w:rFonts w:eastAsia="Calibri" w:cs="Times New Roman"/>
                <w:sz w:val="16"/>
              </w:rPr>
              <w:t xml:space="preserve">Good Governance </w:t>
            </w:r>
          </w:p>
          <w:p w14:paraId="0D795A31" w14:textId="77777777" w:rsidR="003560AA" w:rsidRPr="003560AA" w:rsidRDefault="003560AA" w:rsidP="003560AA">
            <w:pPr>
              <w:rPr>
                <w:rFonts w:eastAsia="Calibri" w:cs="Times New Roman"/>
                <w:sz w:val="16"/>
              </w:rPr>
            </w:pPr>
            <w:r w:rsidRPr="003560AA">
              <w:rPr>
                <w:rFonts w:eastAsia="Calibri" w:cs="Times New Roman"/>
                <w:sz w:val="16"/>
              </w:rPr>
              <w:t>Public Participation</w:t>
            </w:r>
          </w:p>
        </w:tc>
        <w:tc>
          <w:tcPr>
            <w:tcW w:w="1736" w:type="dxa"/>
          </w:tcPr>
          <w:p w14:paraId="0385BB1C" w14:textId="77777777" w:rsidR="003560AA" w:rsidRPr="003560AA" w:rsidRDefault="003560AA" w:rsidP="003560AA">
            <w:pPr>
              <w:rPr>
                <w:rFonts w:eastAsia="Calibri" w:cs="Times New Roman"/>
                <w:sz w:val="16"/>
              </w:rPr>
            </w:pPr>
            <w:r w:rsidRPr="003560AA">
              <w:rPr>
                <w:rFonts w:eastAsia="Calibri" w:cs="Times New Roman"/>
                <w:sz w:val="16"/>
              </w:rPr>
              <w:t>Good Governance and Public Participation</w:t>
            </w:r>
          </w:p>
        </w:tc>
        <w:tc>
          <w:tcPr>
            <w:tcW w:w="1893" w:type="dxa"/>
          </w:tcPr>
          <w:p w14:paraId="3C67C237" w14:textId="77777777" w:rsidR="003560AA" w:rsidRPr="003560AA" w:rsidRDefault="003560AA" w:rsidP="003560AA">
            <w:pPr>
              <w:rPr>
                <w:rFonts w:eastAsia="Calibri" w:cs="Times New Roman"/>
                <w:sz w:val="16"/>
              </w:rPr>
            </w:pPr>
            <w:r w:rsidRPr="003560AA">
              <w:rPr>
                <w:rFonts w:eastAsia="Calibri" w:cs="Times New Roman"/>
                <w:sz w:val="16"/>
              </w:rPr>
              <w:t>Good Governance and Public Participation</w:t>
            </w:r>
          </w:p>
        </w:tc>
        <w:tc>
          <w:tcPr>
            <w:tcW w:w="1893" w:type="dxa"/>
          </w:tcPr>
          <w:p w14:paraId="739295CA" w14:textId="77777777" w:rsidR="003560AA" w:rsidRPr="003560AA" w:rsidRDefault="003560AA" w:rsidP="003560AA">
            <w:pPr>
              <w:rPr>
                <w:rFonts w:eastAsia="Calibri" w:cs="Times New Roman"/>
                <w:sz w:val="16"/>
              </w:rPr>
            </w:pPr>
            <w:r w:rsidRPr="003560AA">
              <w:rPr>
                <w:rFonts w:eastAsia="Calibri" w:cs="Times New Roman"/>
                <w:sz w:val="14"/>
              </w:rPr>
              <w:t>To Promote a Culture of Public Participatory Democracy and Social Cohesion</w:t>
            </w:r>
          </w:p>
        </w:tc>
        <w:tc>
          <w:tcPr>
            <w:tcW w:w="3180" w:type="dxa"/>
          </w:tcPr>
          <w:p w14:paraId="5989501B" w14:textId="77777777" w:rsidR="003560AA" w:rsidRPr="003560AA" w:rsidRDefault="003560AA" w:rsidP="003560AA">
            <w:pPr>
              <w:rPr>
                <w:rFonts w:eastAsia="Calibri" w:cs="Times New Roman"/>
                <w:sz w:val="14"/>
                <w:szCs w:val="14"/>
              </w:rPr>
            </w:pPr>
            <w:r w:rsidRPr="003560AA">
              <w:rPr>
                <w:rFonts w:eastAsia="Calibri" w:cs="Times New Roman"/>
                <w:sz w:val="14"/>
                <w:szCs w:val="14"/>
              </w:rPr>
              <w:t>Complaints Management</w:t>
            </w:r>
          </w:p>
          <w:p w14:paraId="03D3010A" w14:textId="77777777" w:rsidR="003560AA" w:rsidRPr="003560AA" w:rsidRDefault="003560AA" w:rsidP="003560AA">
            <w:pPr>
              <w:rPr>
                <w:rFonts w:eastAsia="Calibri" w:cs="Times New Roman"/>
                <w:sz w:val="14"/>
                <w:szCs w:val="14"/>
              </w:rPr>
            </w:pPr>
            <w:r w:rsidRPr="003560AA">
              <w:rPr>
                <w:rFonts w:eastAsia="Calibri" w:cs="Times New Roman"/>
                <w:sz w:val="14"/>
                <w:szCs w:val="14"/>
              </w:rPr>
              <w:t>Keeping With BATO-PELE Principles</w:t>
            </w:r>
          </w:p>
          <w:p w14:paraId="50DB9F51" w14:textId="77777777" w:rsidR="003560AA" w:rsidRPr="003560AA" w:rsidRDefault="003560AA" w:rsidP="003560AA">
            <w:pPr>
              <w:rPr>
                <w:rFonts w:eastAsia="Calibri" w:cs="Times New Roman"/>
                <w:sz w:val="14"/>
                <w:szCs w:val="14"/>
              </w:rPr>
            </w:pPr>
            <w:r w:rsidRPr="003560AA">
              <w:rPr>
                <w:rFonts w:eastAsia="Calibri" w:cs="Times New Roman"/>
                <w:sz w:val="14"/>
                <w:szCs w:val="14"/>
              </w:rPr>
              <w:t>Develop SDIP</w:t>
            </w:r>
          </w:p>
          <w:p w14:paraId="147BD998" w14:textId="77777777" w:rsidR="003560AA" w:rsidRPr="003560AA" w:rsidRDefault="003560AA" w:rsidP="003560AA">
            <w:pPr>
              <w:rPr>
                <w:rFonts w:eastAsia="Calibri" w:cs="Times New Roman"/>
                <w:sz w:val="14"/>
                <w:szCs w:val="14"/>
              </w:rPr>
            </w:pPr>
            <w:r w:rsidRPr="003560AA">
              <w:rPr>
                <w:rFonts w:eastAsia="Calibri" w:cs="Times New Roman"/>
                <w:sz w:val="14"/>
                <w:szCs w:val="14"/>
              </w:rPr>
              <w:t>Fully Functional Ward Committees</w:t>
            </w:r>
          </w:p>
          <w:p w14:paraId="6E5756A9" w14:textId="77777777" w:rsidR="003560AA" w:rsidRPr="003560AA" w:rsidRDefault="003560AA" w:rsidP="003560AA">
            <w:pPr>
              <w:rPr>
                <w:rFonts w:eastAsia="Calibri" w:cs="Times New Roman"/>
                <w:sz w:val="14"/>
                <w:szCs w:val="14"/>
              </w:rPr>
            </w:pPr>
            <w:r w:rsidRPr="003560AA">
              <w:rPr>
                <w:rFonts w:eastAsia="Calibri" w:cs="Times New Roman"/>
                <w:sz w:val="14"/>
                <w:szCs w:val="14"/>
              </w:rPr>
              <w:t>Special Programs (Target Groups)</w:t>
            </w:r>
          </w:p>
          <w:p w14:paraId="27A4854F" w14:textId="77777777" w:rsidR="003560AA" w:rsidRPr="003560AA" w:rsidRDefault="003560AA" w:rsidP="003560AA">
            <w:pPr>
              <w:rPr>
                <w:rFonts w:eastAsia="Calibri" w:cs="Times New Roman"/>
                <w:sz w:val="14"/>
                <w:szCs w:val="14"/>
              </w:rPr>
            </w:pPr>
            <w:r w:rsidRPr="003560AA">
              <w:rPr>
                <w:rFonts w:eastAsia="Calibri" w:cs="Times New Roman"/>
                <w:sz w:val="14"/>
                <w:szCs w:val="14"/>
              </w:rPr>
              <w:t>Public Relations/Communications</w:t>
            </w:r>
          </w:p>
        </w:tc>
      </w:tr>
      <w:tr w:rsidR="003560AA" w:rsidRPr="003560AA" w14:paraId="0D0FB5E7" w14:textId="77777777" w:rsidTr="003560AA">
        <w:trPr>
          <w:trHeight w:val="47"/>
        </w:trPr>
        <w:tc>
          <w:tcPr>
            <w:tcW w:w="1747" w:type="dxa"/>
          </w:tcPr>
          <w:p w14:paraId="6E96DCCD" w14:textId="77777777" w:rsidR="003560AA" w:rsidRPr="003560AA" w:rsidRDefault="003560AA" w:rsidP="003560AA">
            <w:pPr>
              <w:rPr>
                <w:rFonts w:eastAsia="Calibri" w:cs="Times New Roman"/>
                <w:sz w:val="16"/>
              </w:rPr>
            </w:pPr>
            <w:r w:rsidRPr="003560AA">
              <w:rPr>
                <w:rFonts w:eastAsia="Calibri" w:cs="Times New Roman"/>
                <w:sz w:val="16"/>
              </w:rPr>
              <w:t>Expand Infrastructure</w:t>
            </w:r>
          </w:p>
          <w:p w14:paraId="2CA1A460" w14:textId="77777777" w:rsidR="003560AA" w:rsidRPr="003560AA" w:rsidRDefault="003560AA" w:rsidP="003560AA">
            <w:pPr>
              <w:rPr>
                <w:rFonts w:eastAsia="Calibri" w:cs="Times New Roman"/>
                <w:sz w:val="16"/>
              </w:rPr>
            </w:pPr>
            <w:r w:rsidRPr="003560AA">
              <w:rPr>
                <w:rFonts w:eastAsia="Calibri" w:cs="Times New Roman"/>
                <w:sz w:val="16"/>
              </w:rPr>
              <w:t>Inclusive Planning</w:t>
            </w:r>
          </w:p>
        </w:tc>
        <w:tc>
          <w:tcPr>
            <w:tcW w:w="2210" w:type="dxa"/>
          </w:tcPr>
          <w:p w14:paraId="502BD31C" w14:textId="77777777" w:rsidR="003560AA" w:rsidRPr="003560AA" w:rsidRDefault="003560AA" w:rsidP="003560AA">
            <w:pPr>
              <w:rPr>
                <w:rFonts w:eastAsia="Calibri" w:cs="Times New Roman"/>
                <w:sz w:val="16"/>
              </w:rPr>
            </w:pPr>
            <w:r w:rsidRPr="003560AA">
              <w:rPr>
                <w:rFonts w:eastAsia="Calibri" w:cs="Times New Roman"/>
                <w:sz w:val="16"/>
              </w:rPr>
              <w:t>Inclusive Economic Growth</w:t>
            </w:r>
          </w:p>
          <w:p w14:paraId="3C4ECA04" w14:textId="77777777" w:rsidR="003560AA" w:rsidRPr="003560AA" w:rsidRDefault="003560AA" w:rsidP="003560AA">
            <w:pPr>
              <w:rPr>
                <w:rFonts w:eastAsia="Calibri" w:cs="Times New Roman"/>
                <w:sz w:val="16"/>
              </w:rPr>
            </w:pPr>
            <w:r w:rsidRPr="003560AA">
              <w:rPr>
                <w:rFonts w:eastAsia="Calibri" w:cs="Times New Roman"/>
                <w:sz w:val="16"/>
              </w:rPr>
              <w:t>Strategic Infrastructure</w:t>
            </w:r>
          </w:p>
          <w:p w14:paraId="35A8C40F" w14:textId="77777777" w:rsidR="003560AA" w:rsidRPr="003560AA" w:rsidRDefault="003560AA" w:rsidP="003560AA">
            <w:pPr>
              <w:rPr>
                <w:rFonts w:eastAsia="Calibri" w:cs="Times New Roman"/>
                <w:sz w:val="16"/>
              </w:rPr>
            </w:pPr>
            <w:r w:rsidRPr="003560AA">
              <w:rPr>
                <w:rFonts w:eastAsia="Calibri" w:cs="Times New Roman"/>
                <w:sz w:val="16"/>
              </w:rPr>
              <w:t>Environmental Sustainability</w:t>
            </w:r>
          </w:p>
          <w:p w14:paraId="26764DAA" w14:textId="77777777" w:rsidR="003560AA" w:rsidRPr="003560AA" w:rsidRDefault="003560AA" w:rsidP="003560AA">
            <w:pPr>
              <w:rPr>
                <w:rFonts w:eastAsia="Calibri" w:cs="Times New Roman"/>
                <w:sz w:val="16"/>
              </w:rPr>
            </w:pPr>
            <w:r w:rsidRPr="003560AA">
              <w:rPr>
                <w:rFonts w:eastAsia="Calibri" w:cs="Times New Roman"/>
                <w:sz w:val="16"/>
              </w:rPr>
              <w:t>Spatial Equity</w:t>
            </w:r>
          </w:p>
        </w:tc>
        <w:tc>
          <w:tcPr>
            <w:tcW w:w="1577" w:type="dxa"/>
          </w:tcPr>
          <w:p w14:paraId="238E40E9" w14:textId="77777777" w:rsidR="003560AA" w:rsidRPr="003560AA" w:rsidRDefault="003560AA" w:rsidP="003560AA">
            <w:pPr>
              <w:rPr>
                <w:rFonts w:eastAsia="Calibri" w:cs="Times New Roman"/>
                <w:sz w:val="16"/>
              </w:rPr>
            </w:pPr>
            <w:r w:rsidRPr="003560AA">
              <w:rPr>
                <w:rFonts w:eastAsia="Calibri" w:cs="Times New Roman"/>
                <w:sz w:val="16"/>
              </w:rPr>
              <w:t>Coordinated Planning, Spatial Equity, Coastal and Environmental Management</w:t>
            </w:r>
          </w:p>
        </w:tc>
        <w:tc>
          <w:tcPr>
            <w:tcW w:w="1262" w:type="dxa"/>
          </w:tcPr>
          <w:p w14:paraId="235CEF6E" w14:textId="77777777" w:rsidR="003560AA" w:rsidRPr="003560AA" w:rsidRDefault="003560AA" w:rsidP="003560AA">
            <w:pPr>
              <w:rPr>
                <w:rFonts w:eastAsia="Calibri" w:cs="Times New Roman"/>
                <w:sz w:val="16"/>
              </w:rPr>
            </w:pPr>
          </w:p>
        </w:tc>
        <w:tc>
          <w:tcPr>
            <w:tcW w:w="1736" w:type="dxa"/>
          </w:tcPr>
          <w:p w14:paraId="3F5A1F0F" w14:textId="77777777" w:rsidR="003560AA" w:rsidRPr="003560AA" w:rsidRDefault="003560AA" w:rsidP="003560AA">
            <w:pPr>
              <w:rPr>
                <w:rFonts w:eastAsia="Calibri" w:cs="Times New Roman"/>
                <w:sz w:val="16"/>
              </w:rPr>
            </w:pPr>
            <w:r w:rsidRPr="003560AA">
              <w:rPr>
                <w:rFonts w:eastAsia="Calibri" w:cs="Times New Roman"/>
                <w:sz w:val="16"/>
              </w:rPr>
              <w:t xml:space="preserve">Cross Cutting </w:t>
            </w:r>
          </w:p>
        </w:tc>
        <w:tc>
          <w:tcPr>
            <w:tcW w:w="1893" w:type="dxa"/>
          </w:tcPr>
          <w:p w14:paraId="7F6662F4" w14:textId="77777777" w:rsidR="003560AA" w:rsidRPr="003560AA" w:rsidRDefault="003560AA" w:rsidP="003560AA">
            <w:pPr>
              <w:rPr>
                <w:rFonts w:eastAsia="Calibri" w:cs="Times New Roman"/>
                <w:sz w:val="16"/>
              </w:rPr>
            </w:pPr>
            <w:r w:rsidRPr="003560AA">
              <w:rPr>
                <w:rFonts w:eastAsia="Calibri" w:cs="Times New Roman"/>
                <w:sz w:val="16"/>
              </w:rPr>
              <w:t xml:space="preserve">Co-ordinated Spatial Development Planning and Environmental Management </w:t>
            </w:r>
          </w:p>
          <w:p w14:paraId="15EF290C" w14:textId="77777777" w:rsidR="003560AA" w:rsidRPr="003560AA" w:rsidRDefault="003560AA" w:rsidP="003560AA">
            <w:pPr>
              <w:rPr>
                <w:rFonts w:eastAsia="Calibri" w:cs="Times New Roman"/>
                <w:sz w:val="16"/>
              </w:rPr>
            </w:pPr>
          </w:p>
          <w:p w14:paraId="13067553" w14:textId="77777777" w:rsidR="003560AA" w:rsidRPr="003560AA" w:rsidRDefault="003560AA" w:rsidP="003560AA">
            <w:pPr>
              <w:rPr>
                <w:rFonts w:eastAsia="Calibri" w:cs="Times New Roman"/>
                <w:sz w:val="16"/>
              </w:rPr>
            </w:pPr>
          </w:p>
        </w:tc>
        <w:tc>
          <w:tcPr>
            <w:tcW w:w="1893" w:type="dxa"/>
          </w:tcPr>
          <w:p w14:paraId="79CF9AF6" w14:textId="77777777" w:rsidR="003560AA" w:rsidRPr="003560AA" w:rsidRDefault="003560AA" w:rsidP="003560AA">
            <w:pPr>
              <w:rPr>
                <w:rFonts w:eastAsia="Calibri" w:cs="Times New Roman"/>
                <w:sz w:val="14"/>
              </w:rPr>
            </w:pPr>
            <w:r w:rsidRPr="003560AA">
              <w:rPr>
                <w:rFonts w:eastAsia="Calibri" w:cs="Times New Roman"/>
                <w:sz w:val="14"/>
              </w:rPr>
              <w:t xml:space="preserve">To ensure coordinated Land Use Management, Taking cognizance of Sound Environmental Practices  </w:t>
            </w:r>
          </w:p>
          <w:p w14:paraId="2C78B6D8" w14:textId="77777777" w:rsidR="003560AA" w:rsidRPr="003560AA" w:rsidRDefault="003560AA" w:rsidP="003560AA">
            <w:pPr>
              <w:rPr>
                <w:rFonts w:eastAsia="Calibri" w:cs="Times New Roman"/>
                <w:sz w:val="14"/>
              </w:rPr>
            </w:pPr>
          </w:p>
          <w:p w14:paraId="2E0B5077" w14:textId="77777777" w:rsidR="003560AA" w:rsidRPr="003560AA" w:rsidRDefault="003560AA" w:rsidP="003560AA">
            <w:pPr>
              <w:rPr>
                <w:rFonts w:eastAsia="Calibri" w:cs="Times New Roman"/>
                <w:sz w:val="16"/>
              </w:rPr>
            </w:pPr>
            <w:r w:rsidRPr="003560AA">
              <w:rPr>
                <w:rFonts w:eastAsia="Calibri" w:cs="Times New Roman"/>
                <w:color w:val="FF0000"/>
                <w:sz w:val="14"/>
              </w:rPr>
              <w:t>To Develop a Credible and Implementable IDP</w:t>
            </w:r>
          </w:p>
        </w:tc>
        <w:tc>
          <w:tcPr>
            <w:tcW w:w="3180" w:type="dxa"/>
          </w:tcPr>
          <w:p w14:paraId="031AB076" w14:textId="77777777" w:rsidR="003560AA" w:rsidRPr="003560AA" w:rsidRDefault="003560AA" w:rsidP="003560AA">
            <w:pPr>
              <w:rPr>
                <w:rFonts w:eastAsia="Calibri" w:cs="Times New Roman"/>
                <w:color w:val="FF0000"/>
                <w:sz w:val="14"/>
                <w:szCs w:val="14"/>
              </w:rPr>
            </w:pPr>
            <w:r w:rsidRPr="003560AA">
              <w:rPr>
                <w:rFonts w:eastAsia="Calibri" w:cs="Times New Roman"/>
                <w:color w:val="FF0000"/>
                <w:sz w:val="14"/>
                <w:szCs w:val="14"/>
              </w:rPr>
              <w:t>LUMS (Bylaw Enforcement)</w:t>
            </w:r>
          </w:p>
          <w:p w14:paraId="31F0606E" w14:textId="77777777" w:rsidR="003560AA" w:rsidRPr="003560AA" w:rsidRDefault="003560AA" w:rsidP="003560AA">
            <w:pPr>
              <w:rPr>
                <w:rFonts w:eastAsia="Calibri" w:cs="Times New Roman"/>
                <w:color w:val="FF0000"/>
                <w:sz w:val="14"/>
                <w:szCs w:val="14"/>
              </w:rPr>
            </w:pPr>
            <w:r w:rsidRPr="003560AA">
              <w:rPr>
                <w:rFonts w:eastAsia="Calibri" w:cs="Times New Roman"/>
                <w:color w:val="FF0000"/>
                <w:sz w:val="14"/>
                <w:szCs w:val="14"/>
              </w:rPr>
              <w:t>Effective Building Controls</w:t>
            </w:r>
          </w:p>
          <w:p w14:paraId="6DB03354" w14:textId="77777777" w:rsidR="003560AA" w:rsidRPr="003560AA" w:rsidRDefault="003560AA" w:rsidP="003560AA">
            <w:pPr>
              <w:rPr>
                <w:rFonts w:eastAsia="Calibri" w:cs="Times New Roman"/>
                <w:color w:val="FF0000"/>
                <w:sz w:val="14"/>
                <w:szCs w:val="14"/>
              </w:rPr>
            </w:pPr>
            <w:r w:rsidRPr="003560AA">
              <w:rPr>
                <w:rFonts w:eastAsia="Calibri" w:cs="Times New Roman"/>
                <w:color w:val="FF0000"/>
                <w:sz w:val="14"/>
                <w:szCs w:val="14"/>
              </w:rPr>
              <w:t>Coordinated Spatial Development</w:t>
            </w:r>
          </w:p>
          <w:p w14:paraId="1BAE066B" w14:textId="77777777" w:rsidR="003560AA" w:rsidRPr="003560AA" w:rsidRDefault="003560AA" w:rsidP="003560AA">
            <w:pPr>
              <w:rPr>
                <w:rFonts w:eastAsia="Calibri" w:cs="Times New Roman"/>
                <w:color w:val="FF0000"/>
                <w:sz w:val="14"/>
                <w:szCs w:val="14"/>
              </w:rPr>
            </w:pPr>
            <w:r w:rsidRPr="003560AA">
              <w:rPr>
                <w:rFonts w:eastAsia="Calibri" w:cs="Times New Roman"/>
                <w:color w:val="FF0000"/>
                <w:sz w:val="14"/>
                <w:szCs w:val="14"/>
              </w:rPr>
              <w:t>Environmental Management</w:t>
            </w:r>
          </w:p>
          <w:p w14:paraId="7E38F5BC" w14:textId="77777777" w:rsidR="003560AA" w:rsidRPr="003560AA" w:rsidRDefault="003560AA" w:rsidP="003560AA">
            <w:pPr>
              <w:rPr>
                <w:rFonts w:eastAsia="Calibri" w:cs="Times New Roman"/>
                <w:color w:val="FF0000"/>
                <w:sz w:val="14"/>
                <w:szCs w:val="14"/>
              </w:rPr>
            </w:pPr>
            <w:r w:rsidRPr="003560AA">
              <w:rPr>
                <w:rFonts w:eastAsia="Calibri" w:cs="Times New Roman"/>
                <w:color w:val="FF0000"/>
                <w:sz w:val="14"/>
                <w:szCs w:val="14"/>
              </w:rPr>
              <w:t>Effective/ Participative IDP Roadshows.</w:t>
            </w:r>
          </w:p>
          <w:p w14:paraId="6A381658" w14:textId="77777777" w:rsidR="003560AA" w:rsidRPr="003560AA" w:rsidRDefault="003560AA" w:rsidP="003560AA">
            <w:pPr>
              <w:rPr>
                <w:rFonts w:eastAsia="Calibri" w:cs="Times New Roman"/>
                <w:color w:val="FF0000"/>
                <w:sz w:val="14"/>
                <w:szCs w:val="14"/>
              </w:rPr>
            </w:pPr>
            <w:r w:rsidRPr="003560AA">
              <w:rPr>
                <w:rFonts w:eastAsia="Calibri" w:cs="Times New Roman"/>
                <w:color w:val="FF0000"/>
                <w:sz w:val="14"/>
                <w:szCs w:val="14"/>
              </w:rPr>
              <w:t>Community Based Planning</w:t>
            </w:r>
          </w:p>
          <w:p w14:paraId="04BE214A" w14:textId="77777777" w:rsidR="003560AA" w:rsidRPr="003560AA" w:rsidRDefault="003560AA" w:rsidP="003560AA">
            <w:pPr>
              <w:rPr>
                <w:rFonts w:eastAsia="Calibri" w:cs="Times New Roman"/>
                <w:sz w:val="14"/>
                <w:szCs w:val="14"/>
              </w:rPr>
            </w:pPr>
            <w:r w:rsidRPr="003560AA">
              <w:rPr>
                <w:rFonts w:eastAsia="Calibri" w:cs="Times New Roman"/>
                <w:color w:val="FF0000"/>
                <w:sz w:val="14"/>
                <w:szCs w:val="14"/>
              </w:rPr>
              <w:t>Improve IDP Ranking</w:t>
            </w:r>
          </w:p>
        </w:tc>
      </w:tr>
      <w:tr w:rsidR="003560AA" w:rsidRPr="003560AA" w14:paraId="38C8A336" w14:textId="77777777" w:rsidTr="003560AA">
        <w:trPr>
          <w:trHeight w:val="332"/>
        </w:trPr>
        <w:tc>
          <w:tcPr>
            <w:tcW w:w="1747" w:type="dxa"/>
            <w:shd w:val="clear" w:color="auto" w:fill="AEAAAA"/>
          </w:tcPr>
          <w:p w14:paraId="2EC2243A" w14:textId="77777777" w:rsidR="003560AA" w:rsidRPr="003560AA" w:rsidRDefault="003560AA" w:rsidP="003560AA">
            <w:pPr>
              <w:rPr>
                <w:rFonts w:eastAsia="Calibri" w:cs="Times New Roman"/>
                <w:sz w:val="16"/>
              </w:rPr>
            </w:pPr>
            <w:r w:rsidRPr="003560AA">
              <w:rPr>
                <w:rFonts w:eastAsia="Calibri" w:cs="Times New Roman"/>
                <w:sz w:val="16"/>
              </w:rPr>
              <w:t>Quality Education</w:t>
            </w:r>
          </w:p>
          <w:p w14:paraId="68F49F95" w14:textId="77777777" w:rsidR="003560AA" w:rsidRPr="003560AA" w:rsidRDefault="003560AA" w:rsidP="003560AA">
            <w:pPr>
              <w:rPr>
                <w:rFonts w:eastAsia="Calibri" w:cs="Times New Roman"/>
                <w:sz w:val="16"/>
              </w:rPr>
            </w:pPr>
            <w:r w:rsidRPr="003560AA">
              <w:rPr>
                <w:rFonts w:eastAsia="Calibri" w:cs="Times New Roman"/>
                <w:sz w:val="16"/>
              </w:rPr>
              <w:t>Quality Healthcare</w:t>
            </w:r>
          </w:p>
          <w:p w14:paraId="0B9B0128" w14:textId="77777777" w:rsidR="003560AA" w:rsidRPr="003560AA" w:rsidRDefault="003560AA" w:rsidP="003560AA">
            <w:pPr>
              <w:rPr>
                <w:rFonts w:eastAsia="Calibri" w:cs="Times New Roman"/>
                <w:sz w:val="16"/>
              </w:rPr>
            </w:pPr>
            <w:r w:rsidRPr="003560AA">
              <w:rPr>
                <w:rFonts w:eastAsia="Calibri" w:cs="Times New Roman"/>
                <w:sz w:val="16"/>
              </w:rPr>
              <w:t>Unite The Nation</w:t>
            </w:r>
          </w:p>
        </w:tc>
        <w:tc>
          <w:tcPr>
            <w:tcW w:w="2210" w:type="dxa"/>
            <w:shd w:val="clear" w:color="auto" w:fill="AEAAAA"/>
          </w:tcPr>
          <w:p w14:paraId="54880FD5" w14:textId="77777777" w:rsidR="003560AA" w:rsidRPr="003560AA" w:rsidRDefault="003560AA" w:rsidP="003560AA">
            <w:pPr>
              <w:rPr>
                <w:rFonts w:eastAsia="Calibri" w:cs="Times New Roman"/>
                <w:sz w:val="16"/>
              </w:rPr>
            </w:pPr>
            <w:r w:rsidRPr="003560AA">
              <w:rPr>
                <w:rFonts w:eastAsia="Calibri" w:cs="Times New Roman"/>
                <w:sz w:val="16"/>
              </w:rPr>
              <w:t>Human &amp;Community Development</w:t>
            </w:r>
          </w:p>
        </w:tc>
        <w:tc>
          <w:tcPr>
            <w:tcW w:w="1577" w:type="dxa"/>
            <w:shd w:val="clear" w:color="auto" w:fill="AEAAAA"/>
          </w:tcPr>
          <w:p w14:paraId="02D42FFB" w14:textId="77777777" w:rsidR="003560AA" w:rsidRPr="003560AA" w:rsidRDefault="003560AA" w:rsidP="003560AA">
            <w:pPr>
              <w:rPr>
                <w:rFonts w:eastAsia="Calibri" w:cs="Times New Roman"/>
                <w:sz w:val="16"/>
              </w:rPr>
            </w:pPr>
            <w:r w:rsidRPr="003560AA">
              <w:rPr>
                <w:rFonts w:eastAsia="Calibri" w:cs="Times New Roman"/>
                <w:sz w:val="16"/>
              </w:rPr>
              <w:t>Social Services, Human and Community Development</w:t>
            </w:r>
          </w:p>
        </w:tc>
        <w:tc>
          <w:tcPr>
            <w:tcW w:w="1262" w:type="dxa"/>
            <w:shd w:val="clear" w:color="auto" w:fill="AEAAAA"/>
          </w:tcPr>
          <w:p w14:paraId="21415C3E" w14:textId="77777777" w:rsidR="003560AA" w:rsidRPr="003560AA" w:rsidRDefault="003560AA" w:rsidP="003560AA">
            <w:pPr>
              <w:rPr>
                <w:rFonts w:eastAsia="Calibri" w:cs="Times New Roman"/>
                <w:sz w:val="16"/>
              </w:rPr>
            </w:pPr>
            <w:r w:rsidRPr="003560AA">
              <w:rPr>
                <w:rFonts w:eastAsia="Calibri" w:cs="Times New Roman"/>
                <w:sz w:val="16"/>
              </w:rPr>
              <w:t>Basic Services</w:t>
            </w:r>
          </w:p>
        </w:tc>
        <w:tc>
          <w:tcPr>
            <w:tcW w:w="1736" w:type="dxa"/>
            <w:shd w:val="clear" w:color="auto" w:fill="AEAAAA"/>
          </w:tcPr>
          <w:p w14:paraId="637C88DF" w14:textId="77777777" w:rsidR="003560AA" w:rsidRPr="003560AA" w:rsidRDefault="003560AA" w:rsidP="003560AA">
            <w:pPr>
              <w:rPr>
                <w:rFonts w:eastAsia="Calibri" w:cs="Times New Roman"/>
                <w:sz w:val="16"/>
              </w:rPr>
            </w:pPr>
            <w:r w:rsidRPr="003560AA">
              <w:rPr>
                <w:rFonts w:eastAsia="Calibri" w:cs="Times New Roman"/>
                <w:sz w:val="16"/>
              </w:rPr>
              <w:t>Social Development**</w:t>
            </w:r>
          </w:p>
        </w:tc>
        <w:tc>
          <w:tcPr>
            <w:tcW w:w="1893" w:type="dxa"/>
            <w:shd w:val="clear" w:color="auto" w:fill="AEAAAA"/>
          </w:tcPr>
          <w:p w14:paraId="3B9BB565" w14:textId="77777777" w:rsidR="003560AA" w:rsidRPr="003560AA" w:rsidRDefault="003560AA" w:rsidP="003560AA">
            <w:pPr>
              <w:rPr>
                <w:rFonts w:eastAsia="Calibri" w:cs="Times New Roman"/>
                <w:sz w:val="16"/>
              </w:rPr>
            </w:pPr>
            <w:r w:rsidRPr="003560AA">
              <w:rPr>
                <w:rFonts w:eastAsia="Calibri" w:cs="Times New Roman"/>
                <w:sz w:val="16"/>
              </w:rPr>
              <w:t>Social and Community Development</w:t>
            </w:r>
          </w:p>
        </w:tc>
        <w:tc>
          <w:tcPr>
            <w:tcW w:w="1893" w:type="dxa"/>
            <w:shd w:val="clear" w:color="auto" w:fill="AEAAAA"/>
          </w:tcPr>
          <w:p w14:paraId="5F8AAA1F" w14:textId="77777777" w:rsidR="003560AA" w:rsidRPr="003560AA" w:rsidRDefault="003560AA" w:rsidP="003560AA">
            <w:pPr>
              <w:rPr>
                <w:rFonts w:eastAsia="Calibri" w:cs="Times New Roman"/>
                <w:sz w:val="14"/>
              </w:rPr>
            </w:pPr>
            <w:r w:rsidRPr="003560AA">
              <w:rPr>
                <w:rFonts w:eastAsia="Calibri" w:cs="Times New Roman"/>
                <w:sz w:val="14"/>
              </w:rPr>
              <w:t xml:space="preserve">To Mitigate the impact of HIV/AIDS </w:t>
            </w:r>
          </w:p>
          <w:p w14:paraId="65AD5D92" w14:textId="77777777" w:rsidR="003560AA" w:rsidRPr="003560AA" w:rsidRDefault="003560AA" w:rsidP="003560AA">
            <w:pPr>
              <w:rPr>
                <w:rFonts w:eastAsia="Calibri" w:cs="Times New Roman"/>
                <w:sz w:val="14"/>
              </w:rPr>
            </w:pPr>
          </w:p>
          <w:p w14:paraId="46EBA2F9" w14:textId="77777777" w:rsidR="003560AA" w:rsidRPr="003560AA" w:rsidRDefault="003560AA" w:rsidP="003560AA">
            <w:pPr>
              <w:rPr>
                <w:rFonts w:eastAsia="Calibri" w:cs="Times New Roman"/>
                <w:sz w:val="16"/>
              </w:rPr>
            </w:pPr>
            <w:r w:rsidRPr="003560AA">
              <w:rPr>
                <w:rFonts w:eastAsia="Calibri" w:cs="Times New Roman"/>
                <w:color w:val="FF0000"/>
                <w:sz w:val="14"/>
              </w:rPr>
              <w:t>To Facilitate and Support Social Cohesion and Social Development Initaitives</w:t>
            </w:r>
          </w:p>
        </w:tc>
        <w:tc>
          <w:tcPr>
            <w:tcW w:w="3180" w:type="dxa"/>
            <w:shd w:val="clear" w:color="auto" w:fill="AEAAAA"/>
          </w:tcPr>
          <w:p w14:paraId="58D80ABD" w14:textId="77777777" w:rsidR="003560AA" w:rsidRPr="003560AA" w:rsidRDefault="003560AA" w:rsidP="003560AA">
            <w:pPr>
              <w:rPr>
                <w:rFonts w:eastAsia="Calibri" w:cs="Times New Roman"/>
                <w:sz w:val="14"/>
                <w:szCs w:val="14"/>
              </w:rPr>
            </w:pPr>
            <w:r w:rsidRPr="003560AA">
              <w:rPr>
                <w:rFonts w:eastAsia="Calibri" w:cs="Times New Roman"/>
                <w:sz w:val="14"/>
                <w:szCs w:val="14"/>
              </w:rPr>
              <w:t>Reduction of HIV/AIDS Infections</w:t>
            </w:r>
          </w:p>
          <w:p w14:paraId="7320DE28" w14:textId="77777777" w:rsidR="003560AA" w:rsidRPr="003560AA" w:rsidRDefault="003560AA" w:rsidP="003560AA">
            <w:pPr>
              <w:rPr>
                <w:rFonts w:eastAsia="Calibri" w:cs="Times New Roman"/>
                <w:sz w:val="14"/>
                <w:szCs w:val="14"/>
              </w:rPr>
            </w:pPr>
          </w:p>
          <w:p w14:paraId="4EF79B24" w14:textId="77777777" w:rsidR="003560AA" w:rsidRPr="003560AA" w:rsidRDefault="003560AA" w:rsidP="003560AA">
            <w:pPr>
              <w:rPr>
                <w:rFonts w:eastAsia="Calibri" w:cs="Times New Roman"/>
                <w:sz w:val="14"/>
                <w:szCs w:val="14"/>
              </w:rPr>
            </w:pPr>
            <w:r w:rsidRPr="003560AA">
              <w:rPr>
                <w:rFonts w:eastAsia="Calibri" w:cs="Times New Roman"/>
                <w:sz w:val="14"/>
                <w:szCs w:val="14"/>
              </w:rPr>
              <w:t>Community Support Programs and Initiatives</w:t>
            </w:r>
          </w:p>
          <w:p w14:paraId="0C07A29A" w14:textId="77777777" w:rsidR="003560AA" w:rsidRPr="003560AA" w:rsidRDefault="003560AA" w:rsidP="003560AA">
            <w:pPr>
              <w:rPr>
                <w:rFonts w:eastAsia="Calibri" w:cs="Times New Roman"/>
                <w:sz w:val="14"/>
                <w:szCs w:val="14"/>
              </w:rPr>
            </w:pPr>
          </w:p>
          <w:p w14:paraId="1BF59E5A" w14:textId="77777777" w:rsidR="003560AA" w:rsidRPr="003560AA" w:rsidRDefault="003560AA" w:rsidP="003560AA">
            <w:pPr>
              <w:rPr>
                <w:rFonts w:eastAsia="Calibri" w:cs="Times New Roman"/>
                <w:sz w:val="14"/>
                <w:szCs w:val="14"/>
              </w:rPr>
            </w:pPr>
            <w:r w:rsidRPr="003560AA">
              <w:rPr>
                <w:rFonts w:eastAsia="Calibri" w:cs="Times New Roman"/>
                <w:sz w:val="14"/>
                <w:szCs w:val="14"/>
              </w:rPr>
              <w:t>Operation Sukuma Sakhe</w:t>
            </w:r>
          </w:p>
        </w:tc>
      </w:tr>
    </w:tbl>
    <w:p w14:paraId="2FA4D7A2" w14:textId="77777777" w:rsidR="00DE028C" w:rsidRPr="003560AA" w:rsidRDefault="00DE028C" w:rsidP="00750180">
      <w:pPr>
        <w:pStyle w:val="Heading2"/>
        <w:numPr>
          <w:ilvl w:val="1"/>
          <w:numId w:val="89"/>
        </w:numPr>
        <w:spacing w:after="240"/>
        <w:rPr>
          <w:sz w:val="20"/>
          <w:highlight w:val="yellow"/>
        </w:rPr>
      </w:pPr>
      <w:bookmarkStart w:id="636" w:name="_Toc510706687"/>
      <w:r w:rsidRPr="003560AA">
        <w:rPr>
          <w:sz w:val="20"/>
          <w:highlight w:val="yellow"/>
        </w:rPr>
        <w:t>Cross Boarder Alignment with National Outcomes and Provincial Goals and Development Strategies.</w:t>
      </w:r>
      <w:bookmarkEnd w:id="636"/>
    </w:p>
    <w:p w14:paraId="0D278FB5" w14:textId="77777777" w:rsidR="00F81D74" w:rsidRPr="00881795" w:rsidRDefault="00F81D74" w:rsidP="00395313">
      <w:pPr>
        <w:jc w:val="both"/>
        <w:rPr>
          <w:rFonts w:cs="Times New Roman"/>
          <w:szCs w:val="20"/>
        </w:rPr>
      </w:pPr>
    </w:p>
    <w:p w14:paraId="41C0BA8B" w14:textId="77777777" w:rsidR="00F81D74" w:rsidRPr="00881795" w:rsidRDefault="00F81D74" w:rsidP="00395313">
      <w:pPr>
        <w:framePr w:w="14498" w:wrap="auto" w:hAnchor="text"/>
        <w:jc w:val="both"/>
        <w:rPr>
          <w:rFonts w:cs="Times New Roman"/>
          <w:szCs w:val="20"/>
        </w:rPr>
        <w:sectPr w:rsidR="00F81D74" w:rsidRPr="00881795" w:rsidSect="000A2E48">
          <w:pgSz w:w="16839" w:h="11907" w:orient="landscape" w:code="9"/>
          <w:pgMar w:top="1134" w:right="851" w:bottom="1134" w:left="851" w:header="720" w:footer="720" w:gutter="0"/>
          <w:cols w:space="720"/>
          <w:docGrid w:linePitch="360"/>
        </w:sectPr>
      </w:pPr>
    </w:p>
    <w:p w14:paraId="19C12B48" w14:textId="77777777" w:rsidR="000A1FCC" w:rsidRPr="00881795" w:rsidRDefault="00FB61F8" w:rsidP="00143BDB">
      <w:pPr>
        <w:pStyle w:val="Heading1"/>
      </w:pPr>
      <w:bookmarkStart w:id="637" w:name="_Toc350708871"/>
      <w:bookmarkStart w:id="638" w:name="_Toc350694369"/>
      <w:bookmarkStart w:id="639" w:name="_Toc389740106"/>
      <w:bookmarkStart w:id="640" w:name="_Toc510706688"/>
      <w:r>
        <w:t>SECTION E: 5</w:t>
      </w:r>
      <w:r w:rsidR="000A1FCC" w:rsidRPr="00881795">
        <w:t xml:space="preserve"> STRATEGIC MAPPING</w:t>
      </w:r>
      <w:bookmarkEnd w:id="637"/>
      <w:bookmarkEnd w:id="638"/>
      <w:bookmarkEnd w:id="639"/>
      <w:bookmarkEnd w:id="640"/>
    </w:p>
    <w:p w14:paraId="22A63942" w14:textId="77777777" w:rsidR="00610137" w:rsidRPr="00881795" w:rsidRDefault="00610137" w:rsidP="00395313">
      <w:pPr>
        <w:jc w:val="both"/>
        <w:rPr>
          <w:szCs w:val="20"/>
        </w:rPr>
      </w:pPr>
      <w:bookmarkStart w:id="641" w:name="_Toc350708872"/>
      <w:bookmarkStart w:id="642" w:name="_Toc350694370"/>
    </w:p>
    <w:p w14:paraId="5DEF531F" w14:textId="77777777" w:rsidR="0070643D" w:rsidRPr="000F6D9F" w:rsidRDefault="0070643D" w:rsidP="00750180">
      <w:pPr>
        <w:pStyle w:val="Heading2"/>
        <w:numPr>
          <w:ilvl w:val="1"/>
          <w:numId w:val="40"/>
        </w:numPr>
      </w:pPr>
      <w:bookmarkStart w:id="643" w:name="_Toc327349365"/>
      <w:bookmarkStart w:id="644" w:name="_Toc291152528"/>
      <w:bookmarkStart w:id="645" w:name="_Toc389740107"/>
      <w:bookmarkStart w:id="646" w:name="_Toc510706689"/>
      <w:r w:rsidRPr="000F6D9F">
        <w:t>DEVELOPMENT CENTRES</w:t>
      </w:r>
      <w:bookmarkEnd w:id="643"/>
      <w:bookmarkEnd w:id="644"/>
      <w:bookmarkEnd w:id="645"/>
      <w:bookmarkEnd w:id="646"/>
    </w:p>
    <w:p w14:paraId="4154A44D" w14:textId="77777777" w:rsidR="0070643D" w:rsidRPr="00881795" w:rsidRDefault="0070643D" w:rsidP="00750180">
      <w:pPr>
        <w:pStyle w:val="Heading3"/>
        <w:numPr>
          <w:ilvl w:val="2"/>
          <w:numId w:val="40"/>
        </w:numPr>
        <w:spacing w:after="240"/>
      </w:pPr>
      <w:bookmarkStart w:id="647" w:name="_Toc327349366"/>
      <w:bookmarkStart w:id="648" w:name="_Toc291152529"/>
      <w:bookmarkStart w:id="649" w:name="_Toc389740108"/>
      <w:bookmarkStart w:id="650" w:name="_Toc510706690"/>
      <w:r w:rsidRPr="00881795">
        <w:t xml:space="preserve">PRIMARY </w:t>
      </w:r>
      <w:r w:rsidRPr="00143BDB">
        <w:t>ADMINISTRATION</w:t>
      </w:r>
      <w:r w:rsidRPr="00881795">
        <w:t xml:space="preserve"> CENTRE</w:t>
      </w:r>
      <w:bookmarkEnd w:id="647"/>
      <w:bookmarkEnd w:id="648"/>
      <w:bookmarkEnd w:id="649"/>
      <w:bookmarkEnd w:id="650"/>
    </w:p>
    <w:p w14:paraId="67300838" w14:textId="77777777" w:rsidR="0070643D" w:rsidRPr="00881795" w:rsidRDefault="0070643D" w:rsidP="00395313">
      <w:pPr>
        <w:jc w:val="both"/>
        <w:rPr>
          <w:bCs/>
          <w:iCs/>
          <w:szCs w:val="20"/>
          <w:lang w:bidi="en-US"/>
        </w:rPr>
      </w:pPr>
      <w:r w:rsidRPr="00881795">
        <w:rPr>
          <w:bCs/>
          <w:iCs/>
          <w:szCs w:val="20"/>
          <w:lang w:val="en-GB"/>
        </w:rPr>
        <w:t xml:space="preserve">Eshowe </w:t>
      </w:r>
      <w:r w:rsidRPr="00881795">
        <w:rPr>
          <w:bCs/>
          <w:iCs/>
          <w:szCs w:val="20"/>
          <w:lang w:bidi="en-US"/>
        </w:rPr>
        <w:t xml:space="preserve">is the most dominant urban area within the uMlalazi Municipality and is referred to as the Primary Administration Centre, owing to its diverse economy (when compared to the other main </w:t>
      </w:r>
      <w:r w:rsidR="003F34D3" w:rsidRPr="00881795">
        <w:rPr>
          <w:bCs/>
          <w:iCs/>
          <w:szCs w:val="20"/>
          <w:lang w:bidi="en-US"/>
        </w:rPr>
        <w:t>centers</w:t>
      </w:r>
      <w:r w:rsidRPr="00881795">
        <w:rPr>
          <w:bCs/>
          <w:iCs/>
          <w:szCs w:val="20"/>
          <w:lang w:bidi="en-US"/>
        </w:rPr>
        <w:t>), superior level of infrastructure and service, and sphere of influence.</w:t>
      </w:r>
    </w:p>
    <w:p w14:paraId="38B83BEA" w14:textId="77777777" w:rsidR="0070643D" w:rsidRPr="00143BDB" w:rsidRDefault="0070643D" w:rsidP="00750180">
      <w:pPr>
        <w:pStyle w:val="Heading3"/>
        <w:numPr>
          <w:ilvl w:val="2"/>
          <w:numId w:val="40"/>
        </w:numPr>
        <w:spacing w:after="240"/>
      </w:pPr>
      <w:bookmarkStart w:id="651" w:name="_Toc327349367"/>
      <w:bookmarkStart w:id="652" w:name="_Toc291152530"/>
      <w:bookmarkStart w:id="653" w:name="_Toc389740109"/>
      <w:bookmarkStart w:id="654" w:name="_Toc510706691"/>
      <w:r w:rsidRPr="00143BDB">
        <w:t>SECONDARY CENTRES</w:t>
      </w:r>
      <w:bookmarkEnd w:id="651"/>
      <w:bookmarkEnd w:id="652"/>
      <w:bookmarkEnd w:id="653"/>
      <w:bookmarkEnd w:id="654"/>
    </w:p>
    <w:p w14:paraId="0EDF453F" w14:textId="77777777" w:rsidR="0070643D" w:rsidRPr="00881795" w:rsidRDefault="0070643D" w:rsidP="00395313">
      <w:pPr>
        <w:jc w:val="both"/>
        <w:rPr>
          <w:szCs w:val="20"/>
          <w:lang w:val="en-GB"/>
        </w:rPr>
      </w:pPr>
      <w:r w:rsidRPr="00881795">
        <w:rPr>
          <w:szCs w:val="20"/>
          <w:lang w:val="en-GB"/>
        </w:rPr>
        <w:t xml:space="preserve">These settlements are the key links to the rural hinterland, as they are the only “trading posts” for these areas. </w:t>
      </w:r>
    </w:p>
    <w:p w14:paraId="26702F12" w14:textId="77777777" w:rsidR="0070643D" w:rsidRPr="00881795" w:rsidRDefault="0070643D" w:rsidP="00395313">
      <w:pPr>
        <w:jc w:val="both"/>
        <w:rPr>
          <w:szCs w:val="20"/>
          <w:lang w:val="en-GB"/>
        </w:rPr>
      </w:pPr>
      <w:r w:rsidRPr="00881795">
        <w:rPr>
          <w:szCs w:val="20"/>
          <w:lang w:val="en-GB"/>
        </w:rPr>
        <w:t>The definitive reason behind these towns being classified as Secondary Centres, is their development potential as well the thresholds of service that exist which are significant smaller to those within the major town centre of Eshowe.</w:t>
      </w:r>
    </w:p>
    <w:p w14:paraId="38CA8D52" w14:textId="77777777" w:rsidR="0070643D" w:rsidRPr="00881795" w:rsidRDefault="0070643D" w:rsidP="00395313">
      <w:pPr>
        <w:jc w:val="both"/>
        <w:rPr>
          <w:szCs w:val="20"/>
          <w:lang w:val="en-GB"/>
        </w:rPr>
      </w:pPr>
      <w:r w:rsidRPr="00881795">
        <w:rPr>
          <w:szCs w:val="20"/>
          <w:lang w:val="en-GB"/>
        </w:rPr>
        <w:t xml:space="preserve">There are two types of Secondary Centres within the uMlalazi Context i.e. Upper Secondary Centres and Lower Secondary Centres. </w:t>
      </w:r>
    </w:p>
    <w:p w14:paraId="4D9C5D14" w14:textId="77777777" w:rsidR="0070643D" w:rsidRPr="00881795" w:rsidRDefault="0070643D" w:rsidP="00395313">
      <w:pPr>
        <w:jc w:val="both"/>
        <w:rPr>
          <w:bCs/>
          <w:iCs/>
          <w:szCs w:val="20"/>
          <w:lang w:bidi="en-US"/>
        </w:rPr>
      </w:pPr>
      <w:r w:rsidRPr="00881795">
        <w:rPr>
          <w:bCs/>
          <w:iCs/>
          <w:szCs w:val="20"/>
          <w:lang w:bidi="en-US"/>
        </w:rPr>
        <w:t xml:space="preserve">The Upper Secondary </w:t>
      </w:r>
      <w:r w:rsidR="003F34D3" w:rsidRPr="00881795">
        <w:rPr>
          <w:bCs/>
          <w:iCs/>
          <w:szCs w:val="20"/>
          <w:lang w:bidi="en-US"/>
        </w:rPr>
        <w:t>Centers</w:t>
      </w:r>
      <w:r w:rsidRPr="00881795">
        <w:rPr>
          <w:bCs/>
          <w:iCs/>
          <w:szCs w:val="20"/>
          <w:lang w:bidi="en-US"/>
        </w:rPr>
        <w:t xml:space="preserve"> are important at a municipal level and reflect minimum levels of economic diversification, where limited tertiary services are available and marginal value-adding activities take place. These include:</w:t>
      </w:r>
    </w:p>
    <w:p w14:paraId="02AB9D63" w14:textId="77777777" w:rsidR="0070643D" w:rsidRPr="00881795" w:rsidRDefault="0070643D" w:rsidP="00395313">
      <w:pPr>
        <w:jc w:val="both"/>
        <w:outlineLvl w:val="0"/>
        <w:rPr>
          <w:b/>
          <w:bCs/>
          <w:iCs/>
          <w:szCs w:val="20"/>
          <w:lang w:bidi="en-US"/>
        </w:rPr>
      </w:pPr>
      <w:bookmarkStart w:id="655" w:name="_Toc288723518"/>
      <w:bookmarkStart w:id="656" w:name="_Toc325627964"/>
      <w:bookmarkStart w:id="657" w:name="_Toc389740110"/>
      <w:bookmarkStart w:id="658" w:name="_Toc510622351"/>
      <w:r w:rsidRPr="00881795">
        <w:rPr>
          <w:b/>
          <w:bCs/>
          <w:szCs w:val="20"/>
          <w:lang w:bidi="en-US"/>
        </w:rPr>
        <w:t xml:space="preserve">Table </w:t>
      </w:r>
      <w:r w:rsidR="00D55BDA" w:rsidRPr="00881795">
        <w:rPr>
          <w:b/>
          <w:bCs/>
          <w:szCs w:val="20"/>
          <w:lang w:bidi="en-US"/>
        </w:rPr>
        <w:fldChar w:fldCharType="begin"/>
      </w:r>
      <w:r w:rsidRPr="00881795">
        <w:rPr>
          <w:b/>
          <w:bCs/>
          <w:szCs w:val="20"/>
          <w:lang w:bidi="en-US"/>
        </w:rPr>
        <w:instrText xml:space="preserve"> SEQ Table \* ARABIC </w:instrText>
      </w:r>
      <w:r w:rsidR="00D55BDA" w:rsidRPr="00881795">
        <w:rPr>
          <w:b/>
          <w:bCs/>
          <w:szCs w:val="20"/>
          <w:lang w:bidi="en-US"/>
        </w:rPr>
        <w:fldChar w:fldCharType="separate"/>
      </w:r>
      <w:r w:rsidR="0067023A">
        <w:rPr>
          <w:b/>
          <w:bCs/>
          <w:noProof/>
          <w:szCs w:val="20"/>
          <w:lang w:bidi="en-US"/>
        </w:rPr>
        <w:t>100</w:t>
      </w:r>
      <w:r w:rsidR="00D55BDA" w:rsidRPr="00881795">
        <w:rPr>
          <w:szCs w:val="20"/>
        </w:rPr>
        <w:fldChar w:fldCharType="end"/>
      </w:r>
      <w:r w:rsidRPr="00881795">
        <w:rPr>
          <w:b/>
          <w:bCs/>
          <w:szCs w:val="20"/>
          <w:lang w:bidi="en-US"/>
        </w:rPr>
        <w:t xml:space="preserve">: </w:t>
      </w:r>
      <w:r w:rsidRPr="00881795">
        <w:rPr>
          <w:b/>
          <w:bCs/>
          <w:iCs/>
          <w:szCs w:val="20"/>
          <w:lang w:bidi="en-US"/>
        </w:rPr>
        <w:t xml:space="preserve">Upper Secondary </w:t>
      </w:r>
      <w:bookmarkEnd w:id="655"/>
      <w:bookmarkEnd w:id="656"/>
      <w:bookmarkEnd w:id="657"/>
      <w:r w:rsidR="003F34D3" w:rsidRPr="00881795">
        <w:rPr>
          <w:b/>
          <w:bCs/>
          <w:iCs/>
          <w:szCs w:val="20"/>
          <w:lang w:bidi="en-US"/>
        </w:rPr>
        <w:t>Centers</w:t>
      </w:r>
      <w:bookmarkEnd w:id="65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2"/>
        <w:gridCol w:w="7327"/>
      </w:tblGrid>
      <w:tr w:rsidR="0070643D" w:rsidRPr="00881795" w14:paraId="0AA5D85A" w14:textId="77777777" w:rsidTr="00C31C45">
        <w:trPr>
          <w:trHeight w:val="385"/>
          <w:tblHeader/>
        </w:trPr>
        <w:tc>
          <w:tcPr>
            <w:tcW w:w="232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CC19FA2" w14:textId="77777777" w:rsidR="0070643D" w:rsidRPr="00881795" w:rsidRDefault="0070643D" w:rsidP="00395313">
            <w:pPr>
              <w:jc w:val="both"/>
              <w:rPr>
                <w:b/>
                <w:szCs w:val="20"/>
                <w:lang w:bidi="en-US"/>
              </w:rPr>
            </w:pPr>
            <w:r w:rsidRPr="00881795">
              <w:rPr>
                <w:b/>
                <w:szCs w:val="20"/>
                <w:lang w:bidi="en-US"/>
              </w:rPr>
              <w:t>Name</w:t>
            </w:r>
          </w:p>
        </w:tc>
        <w:tc>
          <w:tcPr>
            <w:tcW w:w="742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B15B3F6" w14:textId="77777777" w:rsidR="0070643D" w:rsidRPr="00881795" w:rsidRDefault="0070643D" w:rsidP="00395313">
            <w:pPr>
              <w:jc w:val="both"/>
              <w:rPr>
                <w:b/>
                <w:szCs w:val="20"/>
                <w:lang w:bidi="en-US"/>
              </w:rPr>
            </w:pPr>
            <w:r w:rsidRPr="00881795">
              <w:rPr>
                <w:b/>
                <w:szCs w:val="20"/>
                <w:lang w:bidi="en-US"/>
              </w:rPr>
              <w:t>Location/Description</w:t>
            </w:r>
          </w:p>
        </w:tc>
      </w:tr>
      <w:tr w:rsidR="0070643D" w:rsidRPr="00881795" w14:paraId="2B849373" w14:textId="77777777" w:rsidTr="00BA0065">
        <w:tc>
          <w:tcPr>
            <w:tcW w:w="2322" w:type="dxa"/>
            <w:tcBorders>
              <w:top w:val="single" w:sz="4" w:space="0" w:color="auto"/>
              <w:left w:val="single" w:sz="4" w:space="0" w:color="auto"/>
              <w:bottom w:val="single" w:sz="4" w:space="0" w:color="auto"/>
              <w:right w:val="single" w:sz="4" w:space="0" w:color="auto"/>
            </w:tcBorders>
            <w:hideMark/>
          </w:tcPr>
          <w:p w14:paraId="17699FEF" w14:textId="77777777" w:rsidR="0070643D" w:rsidRPr="00881795" w:rsidRDefault="0070643D" w:rsidP="00395313">
            <w:pPr>
              <w:jc w:val="both"/>
              <w:rPr>
                <w:szCs w:val="20"/>
                <w:lang w:bidi="en-US"/>
              </w:rPr>
            </w:pPr>
            <w:r w:rsidRPr="00881795">
              <w:rPr>
                <w:szCs w:val="20"/>
                <w:lang w:bidi="en-US"/>
              </w:rPr>
              <w:t>Mtunzini</w:t>
            </w:r>
          </w:p>
        </w:tc>
        <w:tc>
          <w:tcPr>
            <w:tcW w:w="7425" w:type="dxa"/>
            <w:tcBorders>
              <w:top w:val="single" w:sz="4" w:space="0" w:color="auto"/>
              <w:left w:val="single" w:sz="4" w:space="0" w:color="auto"/>
              <w:bottom w:val="single" w:sz="4" w:space="0" w:color="auto"/>
              <w:right w:val="single" w:sz="4" w:space="0" w:color="auto"/>
            </w:tcBorders>
            <w:hideMark/>
          </w:tcPr>
          <w:p w14:paraId="4A293FE2" w14:textId="77777777" w:rsidR="0070643D" w:rsidRPr="00881795" w:rsidRDefault="0070643D" w:rsidP="00395313">
            <w:pPr>
              <w:jc w:val="both"/>
              <w:rPr>
                <w:szCs w:val="20"/>
                <w:lang w:bidi="en-US"/>
              </w:rPr>
            </w:pPr>
            <w:r w:rsidRPr="00881795">
              <w:rPr>
                <w:bCs/>
                <w:szCs w:val="20"/>
                <w:lang w:bidi="en-US"/>
              </w:rPr>
              <w:t xml:space="preserve">This town is well established and offers a modern residential environment. It is attractive from the point of view that is located on the Indian Ocean. The business infrastructure is relatively poorly developed and little employment opportunities exist. The town serves as a dormitory town for the University of Zululand and the urban areas of Richards Bay and Empangeni. The </w:t>
            </w:r>
            <w:r w:rsidR="003F34D3" w:rsidRPr="00881795">
              <w:rPr>
                <w:bCs/>
                <w:szCs w:val="20"/>
                <w:lang w:bidi="en-US"/>
              </w:rPr>
              <w:t>center</w:t>
            </w:r>
            <w:r w:rsidRPr="00881795">
              <w:rPr>
                <w:bCs/>
                <w:szCs w:val="20"/>
                <w:lang w:bidi="en-US"/>
              </w:rPr>
              <w:t xml:space="preserve"> is located in proximity to both the R102 and N2 Motorway, allowing significant mobility for commuters</w:t>
            </w:r>
          </w:p>
        </w:tc>
      </w:tr>
      <w:tr w:rsidR="0070643D" w:rsidRPr="00881795" w14:paraId="7FA43607" w14:textId="77777777" w:rsidTr="00BA0065">
        <w:tc>
          <w:tcPr>
            <w:tcW w:w="2322" w:type="dxa"/>
            <w:tcBorders>
              <w:top w:val="single" w:sz="4" w:space="0" w:color="auto"/>
              <w:left w:val="single" w:sz="4" w:space="0" w:color="auto"/>
              <w:bottom w:val="single" w:sz="4" w:space="0" w:color="auto"/>
              <w:right w:val="single" w:sz="4" w:space="0" w:color="auto"/>
            </w:tcBorders>
            <w:hideMark/>
          </w:tcPr>
          <w:p w14:paraId="18196E28" w14:textId="77777777" w:rsidR="0070643D" w:rsidRPr="00881795" w:rsidRDefault="0070643D" w:rsidP="00395313">
            <w:pPr>
              <w:jc w:val="both"/>
              <w:rPr>
                <w:szCs w:val="20"/>
                <w:lang w:bidi="en-US"/>
              </w:rPr>
            </w:pPr>
            <w:r w:rsidRPr="00881795">
              <w:rPr>
                <w:szCs w:val="20"/>
                <w:lang w:bidi="en-US"/>
              </w:rPr>
              <w:t>Gingindlovu</w:t>
            </w:r>
          </w:p>
        </w:tc>
        <w:tc>
          <w:tcPr>
            <w:tcW w:w="7425" w:type="dxa"/>
            <w:tcBorders>
              <w:top w:val="single" w:sz="4" w:space="0" w:color="auto"/>
              <w:left w:val="single" w:sz="4" w:space="0" w:color="auto"/>
              <w:bottom w:val="single" w:sz="4" w:space="0" w:color="auto"/>
              <w:right w:val="single" w:sz="4" w:space="0" w:color="auto"/>
            </w:tcBorders>
            <w:hideMark/>
          </w:tcPr>
          <w:p w14:paraId="22A3C408" w14:textId="77777777" w:rsidR="0070643D" w:rsidRPr="00881795" w:rsidRDefault="0070643D" w:rsidP="00395313">
            <w:pPr>
              <w:jc w:val="both"/>
              <w:rPr>
                <w:bCs/>
                <w:szCs w:val="20"/>
                <w:lang w:bidi="en-US"/>
              </w:rPr>
            </w:pPr>
            <w:r w:rsidRPr="00881795">
              <w:rPr>
                <w:bCs/>
                <w:szCs w:val="20"/>
                <w:lang w:bidi="en-US"/>
              </w:rPr>
              <w:t xml:space="preserve">The town is located at the intersection between the R102 and the R66, with the N2 Motorway in proximity. Importantly, the N2 Motorway can be accessed or left in proximity to Gingindlovu. The </w:t>
            </w:r>
            <w:r w:rsidR="003F34D3" w:rsidRPr="00881795">
              <w:rPr>
                <w:bCs/>
                <w:szCs w:val="20"/>
                <w:lang w:bidi="en-US"/>
              </w:rPr>
              <w:t>center</w:t>
            </w:r>
            <w:r w:rsidRPr="00881795">
              <w:rPr>
                <w:bCs/>
                <w:szCs w:val="20"/>
                <w:lang w:bidi="en-US"/>
              </w:rPr>
              <w:t xml:space="preserve"> provides a high level of services from an engineering point of view, but social services are somewhat lacking. It is in competition with both Mtunzini and Eshowe internally and externally with Mandeni.</w:t>
            </w:r>
          </w:p>
        </w:tc>
      </w:tr>
    </w:tbl>
    <w:p w14:paraId="59B9A38D" w14:textId="77777777" w:rsidR="00844FBA" w:rsidRDefault="00844FBA" w:rsidP="00395313">
      <w:pPr>
        <w:jc w:val="both"/>
        <w:rPr>
          <w:szCs w:val="20"/>
          <w:lang w:val="en-GB"/>
        </w:rPr>
      </w:pPr>
    </w:p>
    <w:p w14:paraId="41C43F8D" w14:textId="77777777" w:rsidR="0070643D" w:rsidRDefault="0070643D" w:rsidP="00395313">
      <w:pPr>
        <w:jc w:val="both"/>
        <w:rPr>
          <w:szCs w:val="20"/>
          <w:lang w:val="en-GB"/>
        </w:rPr>
      </w:pPr>
      <w:r w:rsidRPr="00881795">
        <w:rPr>
          <w:szCs w:val="20"/>
          <w:lang w:val="en-GB"/>
        </w:rPr>
        <w:t>Lower Secondary Centres are a number of smaller settlements within the Municipality which have developed as a result of population concentration. These minor centres service the adjacent rural areas and are complimented by basic engineering services/infrastructure and community facilities, transport nodes and basic public and administration facilities.  They include:</w:t>
      </w:r>
    </w:p>
    <w:p w14:paraId="20C6CA35" w14:textId="77777777" w:rsidR="00AD4671" w:rsidRDefault="00AD4671" w:rsidP="00395313">
      <w:pPr>
        <w:jc w:val="both"/>
        <w:rPr>
          <w:szCs w:val="20"/>
          <w:lang w:val="en-GB"/>
        </w:rPr>
      </w:pPr>
    </w:p>
    <w:p w14:paraId="05481FC2" w14:textId="77777777" w:rsidR="00DC047A" w:rsidRDefault="00DC047A" w:rsidP="00395313">
      <w:pPr>
        <w:jc w:val="both"/>
        <w:rPr>
          <w:szCs w:val="20"/>
          <w:lang w:val="en-GB"/>
        </w:rPr>
      </w:pPr>
    </w:p>
    <w:p w14:paraId="3AF71A69" w14:textId="77777777" w:rsidR="00DC047A" w:rsidRDefault="00DC047A" w:rsidP="00395313">
      <w:pPr>
        <w:jc w:val="both"/>
        <w:rPr>
          <w:szCs w:val="20"/>
          <w:lang w:val="en-GB"/>
        </w:rPr>
      </w:pPr>
    </w:p>
    <w:p w14:paraId="34BD0C2E" w14:textId="77777777" w:rsidR="00DC047A" w:rsidRDefault="00DC047A" w:rsidP="00395313">
      <w:pPr>
        <w:jc w:val="both"/>
        <w:rPr>
          <w:szCs w:val="20"/>
          <w:lang w:val="en-GB"/>
        </w:rPr>
      </w:pPr>
    </w:p>
    <w:p w14:paraId="538918FA" w14:textId="77777777" w:rsidR="0070643D" w:rsidRPr="00881795" w:rsidRDefault="0070643D" w:rsidP="00395313">
      <w:pPr>
        <w:jc w:val="both"/>
        <w:outlineLvl w:val="0"/>
        <w:rPr>
          <w:b/>
          <w:bCs/>
          <w:szCs w:val="20"/>
          <w:lang w:val="en-GB"/>
        </w:rPr>
      </w:pPr>
      <w:bookmarkStart w:id="659" w:name="_Toc288723519"/>
      <w:bookmarkStart w:id="660" w:name="_Toc325627965"/>
      <w:bookmarkStart w:id="661" w:name="_Toc389740111"/>
      <w:bookmarkStart w:id="662" w:name="_Toc510622352"/>
      <w:r w:rsidRPr="00881795">
        <w:rPr>
          <w:b/>
          <w:bCs/>
          <w:szCs w:val="20"/>
          <w:lang w:bidi="en-US"/>
        </w:rPr>
        <w:t xml:space="preserve">Table </w:t>
      </w:r>
      <w:r w:rsidR="00D55BDA" w:rsidRPr="00881795">
        <w:rPr>
          <w:b/>
          <w:bCs/>
          <w:szCs w:val="20"/>
          <w:lang w:bidi="en-US"/>
        </w:rPr>
        <w:fldChar w:fldCharType="begin"/>
      </w:r>
      <w:r w:rsidRPr="00881795">
        <w:rPr>
          <w:b/>
          <w:bCs/>
          <w:szCs w:val="20"/>
          <w:lang w:bidi="en-US"/>
        </w:rPr>
        <w:instrText xml:space="preserve"> SEQ Table \* ARABIC </w:instrText>
      </w:r>
      <w:r w:rsidR="00D55BDA" w:rsidRPr="00881795">
        <w:rPr>
          <w:b/>
          <w:bCs/>
          <w:szCs w:val="20"/>
          <w:lang w:bidi="en-US"/>
        </w:rPr>
        <w:fldChar w:fldCharType="separate"/>
      </w:r>
      <w:r w:rsidR="0067023A">
        <w:rPr>
          <w:b/>
          <w:bCs/>
          <w:noProof/>
          <w:szCs w:val="20"/>
          <w:lang w:bidi="en-US"/>
        </w:rPr>
        <w:t>101</w:t>
      </w:r>
      <w:r w:rsidR="00D55BDA" w:rsidRPr="00881795">
        <w:rPr>
          <w:szCs w:val="20"/>
        </w:rPr>
        <w:fldChar w:fldCharType="end"/>
      </w:r>
      <w:r w:rsidRPr="00881795">
        <w:rPr>
          <w:b/>
          <w:bCs/>
          <w:szCs w:val="20"/>
          <w:lang w:bidi="en-US"/>
        </w:rPr>
        <w:t xml:space="preserve">: </w:t>
      </w:r>
      <w:r w:rsidRPr="00881795">
        <w:rPr>
          <w:b/>
          <w:bCs/>
          <w:szCs w:val="20"/>
          <w:lang w:val="en-GB"/>
        </w:rPr>
        <w:t>Lower Secondary Centres</w:t>
      </w:r>
      <w:bookmarkEnd w:id="659"/>
      <w:bookmarkEnd w:id="660"/>
      <w:bookmarkEnd w:id="661"/>
      <w:bookmarkEnd w:id="6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1"/>
        <w:gridCol w:w="7318"/>
      </w:tblGrid>
      <w:tr w:rsidR="0070643D" w:rsidRPr="00881795" w14:paraId="4D8D5418" w14:textId="77777777" w:rsidTr="00BA0065">
        <w:trPr>
          <w:trHeight w:val="385"/>
          <w:tblHeader/>
        </w:trPr>
        <w:tc>
          <w:tcPr>
            <w:tcW w:w="2329" w:type="dxa"/>
            <w:tcBorders>
              <w:top w:val="single" w:sz="4" w:space="0" w:color="auto"/>
              <w:left w:val="single" w:sz="4" w:space="0" w:color="auto"/>
              <w:bottom w:val="single" w:sz="4" w:space="0" w:color="auto"/>
              <w:right w:val="single" w:sz="4" w:space="0" w:color="auto"/>
            </w:tcBorders>
            <w:vAlign w:val="center"/>
            <w:hideMark/>
          </w:tcPr>
          <w:p w14:paraId="4D90079C" w14:textId="77777777" w:rsidR="0070643D" w:rsidRPr="00881795" w:rsidRDefault="0070643D" w:rsidP="00395313">
            <w:pPr>
              <w:jc w:val="both"/>
              <w:rPr>
                <w:b/>
                <w:szCs w:val="20"/>
                <w:lang w:bidi="en-US"/>
              </w:rPr>
            </w:pPr>
            <w:r w:rsidRPr="00881795">
              <w:rPr>
                <w:b/>
                <w:szCs w:val="20"/>
                <w:lang w:bidi="en-US"/>
              </w:rPr>
              <w:t>Name</w:t>
            </w:r>
          </w:p>
        </w:tc>
        <w:tc>
          <w:tcPr>
            <w:tcW w:w="7418" w:type="dxa"/>
            <w:tcBorders>
              <w:top w:val="single" w:sz="4" w:space="0" w:color="auto"/>
              <w:left w:val="single" w:sz="4" w:space="0" w:color="auto"/>
              <w:bottom w:val="single" w:sz="4" w:space="0" w:color="auto"/>
              <w:right w:val="single" w:sz="4" w:space="0" w:color="auto"/>
            </w:tcBorders>
            <w:vAlign w:val="center"/>
            <w:hideMark/>
          </w:tcPr>
          <w:p w14:paraId="2980CEE1" w14:textId="77777777" w:rsidR="0070643D" w:rsidRPr="00881795" w:rsidRDefault="0070643D" w:rsidP="00395313">
            <w:pPr>
              <w:jc w:val="both"/>
              <w:rPr>
                <w:b/>
                <w:szCs w:val="20"/>
                <w:lang w:bidi="en-US"/>
              </w:rPr>
            </w:pPr>
            <w:r w:rsidRPr="00881795">
              <w:rPr>
                <w:b/>
                <w:szCs w:val="20"/>
                <w:lang w:bidi="en-US"/>
              </w:rPr>
              <w:t>Location/Description</w:t>
            </w:r>
          </w:p>
        </w:tc>
      </w:tr>
      <w:tr w:rsidR="0070643D" w:rsidRPr="00881795" w14:paraId="48566CC5" w14:textId="77777777" w:rsidTr="00BA0065">
        <w:tc>
          <w:tcPr>
            <w:tcW w:w="2329" w:type="dxa"/>
            <w:tcBorders>
              <w:top w:val="single" w:sz="4" w:space="0" w:color="auto"/>
              <w:left w:val="single" w:sz="4" w:space="0" w:color="auto"/>
              <w:bottom w:val="single" w:sz="4" w:space="0" w:color="auto"/>
              <w:right w:val="single" w:sz="4" w:space="0" w:color="auto"/>
            </w:tcBorders>
            <w:hideMark/>
          </w:tcPr>
          <w:p w14:paraId="41E00C10" w14:textId="77777777" w:rsidR="0070643D" w:rsidRPr="00F3229F" w:rsidRDefault="00DC047A" w:rsidP="00395313">
            <w:pPr>
              <w:jc w:val="both"/>
              <w:rPr>
                <w:szCs w:val="20"/>
                <w:lang w:bidi="en-US"/>
              </w:rPr>
            </w:pPr>
            <w:r w:rsidRPr="00F3229F">
              <w:rPr>
                <w:szCs w:val="20"/>
                <w:lang w:bidi="en-US"/>
              </w:rPr>
              <w:t>Mv</w:t>
            </w:r>
            <w:r w:rsidR="0070643D" w:rsidRPr="00F3229F">
              <w:rPr>
                <w:szCs w:val="20"/>
                <w:lang w:bidi="en-US"/>
              </w:rPr>
              <w:t>utshini</w:t>
            </w:r>
          </w:p>
        </w:tc>
        <w:tc>
          <w:tcPr>
            <w:tcW w:w="7418" w:type="dxa"/>
            <w:tcBorders>
              <w:top w:val="single" w:sz="4" w:space="0" w:color="auto"/>
              <w:left w:val="single" w:sz="4" w:space="0" w:color="auto"/>
              <w:bottom w:val="single" w:sz="4" w:space="0" w:color="auto"/>
              <w:right w:val="single" w:sz="4" w:space="0" w:color="auto"/>
            </w:tcBorders>
            <w:hideMark/>
          </w:tcPr>
          <w:p w14:paraId="4B3B9881" w14:textId="77777777" w:rsidR="0070643D" w:rsidRPr="00F3229F" w:rsidRDefault="0070643D" w:rsidP="00395313">
            <w:pPr>
              <w:jc w:val="both"/>
              <w:rPr>
                <w:bCs/>
                <w:szCs w:val="20"/>
                <w:lang w:bidi="en-US"/>
              </w:rPr>
            </w:pPr>
            <w:r w:rsidRPr="00F3229F">
              <w:rPr>
                <w:bCs/>
                <w:szCs w:val="20"/>
                <w:lang w:bidi="en-US"/>
              </w:rPr>
              <w:t>Located in proximity to the</w:t>
            </w:r>
            <w:r w:rsidR="00DC047A" w:rsidRPr="00F3229F">
              <w:rPr>
                <w:bCs/>
                <w:szCs w:val="20"/>
                <w:lang w:bidi="en-US"/>
              </w:rPr>
              <w:t xml:space="preserve"> R66</w:t>
            </w:r>
            <w:r w:rsidRPr="00F3229F">
              <w:rPr>
                <w:bCs/>
                <w:szCs w:val="20"/>
                <w:lang w:bidi="en-US"/>
              </w:rPr>
              <w:t xml:space="preserve"> and N2 Motorway between Gingindlovu and Empangeni/Richards Bay. It is a </w:t>
            </w:r>
            <w:r w:rsidR="003F34D3" w:rsidRPr="00F3229F">
              <w:rPr>
                <w:bCs/>
                <w:szCs w:val="20"/>
                <w:lang w:bidi="en-US"/>
              </w:rPr>
              <w:t>center</w:t>
            </w:r>
            <w:r w:rsidRPr="00F3229F">
              <w:rPr>
                <w:bCs/>
                <w:szCs w:val="20"/>
                <w:lang w:bidi="en-US"/>
              </w:rPr>
              <w:t>, which has developed as a result of proximity to both Gingindlovu and Mtunzini, where a higher level of services is available. The proximity to both the R102 and the N2 Motorway has also influenced the development of this area as a Secondary Centre.</w:t>
            </w:r>
          </w:p>
        </w:tc>
      </w:tr>
      <w:tr w:rsidR="0070643D" w:rsidRPr="00881795" w14:paraId="619B3D8A" w14:textId="77777777" w:rsidTr="00BA0065">
        <w:tc>
          <w:tcPr>
            <w:tcW w:w="2329" w:type="dxa"/>
            <w:tcBorders>
              <w:top w:val="single" w:sz="4" w:space="0" w:color="auto"/>
              <w:left w:val="single" w:sz="4" w:space="0" w:color="auto"/>
              <w:bottom w:val="single" w:sz="4" w:space="0" w:color="auto"/>
              <w:right w:val="single" w:sz="4" w:space="0" w:color="auto"/>
            </w:tcBorders>
            <w:hideMark/>
          </w:tcPr>
          <w:p w14:paraId="3697AE97" w14:textId="77777777" w:rsidR="0070643D" w:rsidRPr="00881795" w:rsidRDefault="0070643D" w:rsidP="00395313">
            <w:pPr>
              <w:jc w:val="both"/>
              <w:rPr>
                <w:szCs w:val="20"/>
                <w:lang w:bidi="en-US"/>
              </w:rPr>
            </w:pPr>
            <w:r w:rsidRPr="00881795">
              <w:rPr>
                <w:szCs w:val="20"/>
                <w:lang w:bidi="en-US"/>
              </w:rPr>
              <w:t>Ndlangubo</w:t>
            </w:r>
          </w:p>
        </w:tc>
        <w:tc>
          <w:tcPr>
            <w:tcW w:w="7418" w:type="dxa"/>
            <w:tcBorders>
              <w:top w:val="single" w:sz="4" w:space="0" w:color="auto"/>
              <w:left w:val="single" w:sz="4" w:space="0" w:color="auto"/>
              <w:bottom w:val="single" w:sz="4" w:space="0" w:color="auto"/>
              <w:right w:val="single" w:sz="4" w:space="0" w:color="auto"/>
            </w:tcBorders>
            <w:hideMark/>
          </w:tcPr>
          <w:p w14:paraId="74119558" w14:textId="77777777" w:rsidR="0070643D" w:rsidRPr="00881795" w:rsidRDefault="0070643D" w:rsidP="00395313">
            <w:pPr>
              <w:jc w:val="both"/>
              <w:rPr>
                <w:bCs/>
                <w:szCs w:val="20"/>
                <w:lang w:bidi="en-US"/>
              </w:rPr>
            </w:pPr>
            <w:r w:rsidRPr="00881795">
              <w:rPr>
                <w:bCs/>
                <w:szCs w:val="20"/>
                <w:lang w:bidi="en-US"/>
              </w:rPr>
              <w:t xml:space="preserve">This </w:t>
            </w:r>
            <w:r w:rsidR="003F34D3" w:rsidRPr="00881795">
              <w:rPr>
                <w:bCs/>
                <w:szCs w:val="20"/>
                <w:lang w:bidi="en-US"/>
              </w:rPr>
              <w:t>center</w:t>
            </w:r>
            <w:r w:rsidRPr="00881795">
              <w:rPr>
                <w:bCs/>
                <w:szCs w:val="20"/>
                <w:lang w:bidi="en-US"/>
              </w:rPr>
              <w:t xml:space="preserve"> is located on the P230, between Empangeni/Ngwelezane and the R66. The P230 links with the R66 approximately 10km north of Eshowe. It is an important transportation route and is also an identified tertiary corridor. The importance of this route is that it shortens the traveling distance between Richards Bay/Empangeni and Eshowe, as it offers a more direct route than the R34 and R66. The R34 is a Primary Corridor and has a tarred surface. On the other hand, the P230 is a gravel-surfaced road, which is in a poor condition in certain areas.</w:t>
            </w:r>
          </w:p>
        </w:tc>
      </w:tr>
      <w:tr w:rsidR="0070643D" w:rsidRPr="00881795" w14:paraId="1B10863A" w14:textId="77777777" w:rsidTr="00BA0065">
        <w:tc>
          <w:tcPr>
            <w:tcW w:w="2329" w:type="dxa"/>
            <w:tcBorders>
              <w:top w:val="single" w:sz="4" w:space="0" w:color="auto"/>
              <w:left w:val="single" w:sz="4" w:space="0" w:color="auto"/>
              <w:bottom w:val="single" w:sz="4" w:space="0" w:color="auto"/>
              <w:right w:val="single" w:sz="4" w:space="0" w:color="auto"/>
            </w:tcBorders>
            <w:hideMark/>
          </w:tcPr>
          <w:p w14:paraId="1B94B89E" w14:textId="77777777" w:rsidR="0070643D" w:rsidRPr="00881795" w:rsidRDefault="0070643D" w:rsidP="00395313">
            <w:pPr>
              <w:jc w:val="both"/>
              <w:rPr>
                <w:szCs w:val="20"/>
                <w:lang w:bidi="en-US"/>
              </w:rPr>
            </w:pPr>
            <w:r w:rsidRPr="00881795">
              <w:rPr>
                <w:szCs w:val="20"/>
                <w:lang w:bidi="en-US"/>
              </w:rPr>
              <w:t>Nkume</w:t>
            </w:r>
          </w:p>
        </w:tc>
        <w:tc>
          <w:tcPr>
            <w:tcW w:w="7418" w:type="dxa"/>
            <w:tcBorders>
              <w:top w:val="single" w:sz="4" w:space="0" w:color="auto"/>
              <w:left w:val="single" w:sz="4" w:space="0" w:color="auto"/>
              <w:bottom w:val="single" w:sz="4" w:space="0" w:color="auto"/>
              <w:right w:val="single" w:sz="4" w:space="0" w:color="auto"/>
            </w:tcBorders>
            <w:hideMark/>
          </w:tcPr>
          <w:p w14:paraId="337B44F0" w14:textId="77777777" w:rsidR="0070643D" w:rsidRPr="00881795" w:rsidRDefault="0070643D" w:rsidP="00395313">
            <w:pPr>
              <w:jc w:val="both"/>
              <w:rPr>
                <w:szCs w:val="20"/>
                <w:lang w:bidi="en-US"/>
              </w:rPr>
            </w:pPr>
            <w:r w:rsidRPr="00881795">
              <w:rPr>
                <w:bCs/>
                <w:szCs w:val="20"/>
                <w:lang w:bidi="en-US"/>
              </w:rPr>
              <w:t xml:space="preserve">Along the R66, approximately 10km north of Eshowe. This settlement has grown rapidly over the past 5 years and certainly constitutes an emerging settlement. The proximity of this </w:t>
            </w:r>
            <w:r w:rsidR="003F34D3" w:rsidRPr="00881795">
              <w:rPr>
                <w:bCs/>
                <w:szCs w:val="20"/>
                <w:lang w:bidi="en-US"/>
              </w:rPr>
              <w:t>center</w:t>
            </w:r>
            <w:r w:rsidRPr="00881795">
              <w:rPr>
                <w:bCs/>
                <w:szCs w:val="20"/>
                <w:lang w:bidi="en-US"/>
              </w:rPr>
              <w:t xml:space="preserve"> to the junction between the P230 and the R66 has influenced the development thereof. Proximity to Eshowe as the economic hub of the area makes the </w:t>
            </w:r>
            <w:r w:rsidR="003F34D3" w:rsidRPr="00881795">
              <w:rPr>
                <w:bCs/>
                <w:szCs w:val="20"/>
                <w:lang w:bidi="en-US"/>
              </w:rPr>
              <w:t>center</w:t>
            </w:r>
            <w:r w:rsidRPr="00881795">
              <w:rPr>
                <w:bCs/>
                <w:szCs w:val="20"/>
                <w:lang w:bidi="en-US"/>
              </w:rPr>
              <w:t xml:space="preserve"> a popular destination in respect of residential accommodation.</w:t>
            </w:r>
          </w:p>
        </w:tc>
      </w:tr>
      <w:tr w:rsidR="0070643D" w:rsidRPr="00881795" w14:paraId="72F74FFA" w14:textId="77777777" w:rsidTr="00BA0065">
        <w:tc>
          <w:tcPr>
            <w:tcW w:w="2329" w:type="dxa"/>
            <w:tcBorders>
              <w:top w:val="single" w:sz="4" w:space="0" w:color="auto"/>
              <w:left w:val="single" w:sz="4" w:space="0" w:color="auto"/>
              <w:bottom w:val="single" w:sz="4" w:space="0" w:color="auto"/>
              <w:right w:val="single" w:sz="4" w:space="0" w:color="auto"/>
            </w:tcBorders>
            <w:hideMark/>
          </w:tcPr>
          <w:p w14:paraId="63FA2D25" w14:textId="77777777" w:rsidR="0070643D" w:rsidRPr="00881795" w:rsidRDefault="0070643D" w:rsidP="00395313">
            <w:pPr>
              <w:jc w:val="both"/>
              <w:rPr>
                <w:szCs w:val="20"/>
                <w:lang w:bidi="en-US"/>
              </w:rPr>
            </w:pPr>
            <w:r w:rsidRPr="00881795">
              <w:rPr>
                <w:szCs w:val="20"/>
                <w:lang w:bidi="en-US"/>
              </w:rPr>
              <w:t>Mbongolwane</w:t>
            </w:r>
          </w:p>
        </w:tc>
        <w:tc>
          <w:tcPr>
            <w:tcW w:w="7418" w:type="dxa"/>
            <w:tcBorders>
              <w:top w:val="single" w:sz="4" w:space="0" w:color="auto"/>
              <w:left w:val="single" w:sz="4" w:space="0" w:color="auto"/>
              <w:bottom w:val="single" w:sz="4" w:space="0" w:color="auto"/>
              <w:right w:val="single" w:sz="4" w:space="0" w:color="auto"/>
            </w:tcBorders>
            <w:hideMark/>
          </w:tcPr>
          <w:p w14:paraId="0FA2C8A0" w14:textId="77777777" w:rsidR="0070643D" w:rsidRPr="00881795" w:rsidRDefault="0070643D" w:rsidP="00395313">
            <w:pPr>
              <w:jc w:val="both"/>
              <w:rPr>
                <w:bCs/>
                <w:szCs w:val="20"/>
                <w:lang w:bidi="en-US"/>
              </w:rPr>
            </w:pPr>
            <w:r w:rsidRPr="00881795">
              <w:rPr>
                <w:bCs/>
                <w:szCs w:val="20"/>
                <w:lang w:bidi="en-US"/>
              </w:rPr>
              <w:t>The area is also an emerging development node with a hospital and other community facilities centered therein. It is located approximately 25km to the west of Eshowe, on the P50. The P50 also links Eshowe and Nkandla, further to the north-west of Eshowe.</w:t>
            </w:r>
          </w:p>
        </w:tc>
      </w:tr>
      <w:tr w:rsidR="0070643D" w:rsidRPr="00881795" w14:paraId="1E779846" w14:textId="77777777" w:rsidTr="00BA0065">
        <w:tc>
          <w:tcPr>
            <w:tcW w:w="2329" w:type="dxa"/>
            <w:tcBorders>
              <w:top w:val="single" w:sz="4" w:space="0" w:color="auto"/>
              <w:left w:val="single" w:sz="4" w:space="0" w:color="auto"/>
              <w:bottom w:val="single" w:sz="4" w:space="0" w:color="auto"/>
              <w:right w:val="single" w:sz="4" w:space="0" w:color="auto"/>
            </w:tcBorders>
            <w:hideMark/>
          </w:tcPr>
          <w:p w14:paraId="14C43052" w14:textId="77777777" w:rsidR="0070643D" w:rsidRPr="00881795" w:rsidRDefault="0070643D" w:rsidP="00395313">
            <w:pPr>
              <w:jc w:val="both"/>
              <w:rPr>
                <w:szCs w:val="20"/>
                <w:lang w:bidi="en-US"/>
              </w:rPr>
            </w:pPr>
            <w:r w:rsidRPr="00881795">
              <w:rPr>
                <w:szCs w:val="20"/>
                <w:lang w:bidi="en-US"/>
              </w:rPr>
              <w:t>Khomo</w:t>
            </w:r>
          </w:p>
        </w:tc>
        <w:tc>
          <w:tcPr>
            <w:tcW w:w="7418" w:type="dxa"/>
            <w:tcBorders>
              <w:top w:val="single" w:sz="4" w:space="0" w:color="auto"/>
              <w:left w:val="single" w:sz="4" w:space="0" w:color="auto"/>
              <w:bottom w:val="single" w:sz="4" w:space="0" w:color="auto"/>
              <w:right w:val="single" w:sz="4" w:space="0" w:color="auto"/>
            </w:tcBorders>
            <w:hideMark/>
          </w:tcPr>
          <w:p w14:paraId="457E6F10" w14:textId="77777777" w:rsidR="0070643D" w:rsidRPr="00881795" w:rsidRDefault="0070643D" w:rsidP="00395313">
            <w:pPr>
              <w:jc w:val="both"/>
              <w:rPr>
                <w:bCs/>
                <w:szCs w:val="20"/>
                <w:lang w:bidi="en-US"/>
              </w:rPr>
            </w:pPr>
            <w:r w:rsidRPr="00881795">
              <w:rPr>
                <w:bCs/>
                <w:szCs w:val="20"/>
                <w:lang w:bidi="en-US"/>
              </w:rPr>
              <w:t xml:space="preserve">This </w:t>
            </w:r>
            <w:r w:rsidR="003F34D3" w:rsidRPr="00881795">
              <w:rPr>
                <w:bCs/>
                <w:szCs w:val="20"/>
                <w:lang w:bidi="en-US"/>
              </w:rPr>
              <w:t>center</w:t>
            </w:r>
            <w:r w:rsidRPr="00881795">
              <w:rPr>
                <w:bCs/>
                <w:szCs w:val="20"/>
                <w:lang w:bidi="en-US"/>
              </w:rPr>
              <w:t xml:space="preserve"> is located on the uMlalazi/Nkandla Local Municipality border and is closer to Nkandla than Eshowe. It is located in proximity to the P50, at the P15 and P50 split. The P50 is a Secondary Corridor from a transportation point of view.</w:t>
            </w:r>
          </w:p>
        </w:tc>
      </w:tr>
    </w:tbl>
    <w:p w14:paraId="6D1978A3" w14:textId="77777777" w:rsidR="0070643D" w:rsidRPr="00881795" w:rsidRDefault="0070643D" w:rsidP="00395313">
      <w:pPr>
        <w:jc w:val="both"/>
        <w:rPr>
          <w:szCs w:val="20"/>
          <w:lang w:bidi="en-US"/>
        </w:rPr>
      </w:pPr>
    </w:p>
    <w:p w14:paraId="053602CC" w14:textId="77777777" w:rsidR="0070643D" w:rsidRPr="00143BDB" w:rsidRDefault="0070643D" w:rsidP="00750180">
      <w:pPr>
        <w:pStyle w:val="Heading3"/>
        <w:numPr>
          <w:ilvl w:val="2"/>
          <w:numId w:val="40"/>
        </w:numPr>
        <w:spacing w:after="240"/>
      </w:pPr>
      <w:bookmarkStart w:id="663" w:name="_Toc327349368"/>
      <w:bookmarkStart w:id="664" w:name="_Toc291152531"/>
      <w:bookmarkStart w:id="665" w:name="_Toc389740112"/>
      <w:bookmarkStart w:id="666" w:name="_Toc510706692"/>
      <w:r w:rsidRPr="00143BDB">
        <w:t>TERTIARY CENTRES</w:t>
      </w:r>
      <w:bookmarkEnd w:id="663"/>
      <w:bookmarkEnd w:id="664"/>
      <w:bookmarkEnd w:id="665"/>
      <w:bookmarkEnd w:id="666"/>
    </w:p>
    <w:p w14:paraId="04161013" w14:textId="77777777" w:rsidR="0070643D" w:rsidRPr="00881795" w:rsidRDefault="0070643D" w:rsidP="00395313">
      <w:pPr>
        <w:jc w:val="both"/>
        <w:rPr>
          <w:bCs/>
          <w:szCs w:val="20"/>
          <w:lang w:bidi="en-US"/>
        </w:rPr>
      </w:pPr>
      <w:r w:rsidRPr="00881795">
        <w:rPr>
          <w:bCs/>
          <w:szCs w:val="20"/>
          <w:lang w:bidi="en-US"/>
        </w:rPr>
        <w:t xml:space="preserve">In general terms, the Tertiary </w:t>
      </w:r>
      <w:r w:rsidR="003F34D3" w:rsidRPr="00881795">
        <w:rPr>
          <w:bCs/>
          <w:szCs w:val="20"/>
          <w:lang w:bidi="en-US"/>
        </w:rPr>
        <w:t>Centers</w:t>
      </w:r>
      <w:r w:rsidRPr="00881795">
        <w:rPr>
          <w:bCs/>
          <w:szCs w:val="20"/>
          <w:lang w:bidi="en-US"/>
        </w:rPr>
        <w:t xml:space="preserve"> are emerging </w:t>
      </w:r>
      <w:r w:rsidR="003F34D3" w:rsidRPr="00881795">
        <w:rPr>
          <w:bCs/>
          <w:szCs w:val="20"/>
          <w:lang w:bidi="en-US"/>
        </w:rPr>
        <w:t>centers</w:t>
      </w:r>
      <w:r w:rsidRPr="00881795">
        <w:rPr>
          <w:bCs/>
          <w:szCs w:val="20"/>
          <w:lang w:bidi="en-US"/>
        </w:rPr>
        <w:t xml:space="preserve"> characterized by population densification, with basic administrative functions being available. There are localized services such as a primary school, a pension pay point, postal service, public phones, local (informal) markets, transport facilities and minor commercial enterprises.</w:t>
      </w:r>
    </w:p>
    <w:p w14:paraId="5D7352B6" w14:textId="77777777" w:rsidR="0070643D" w:rsidRPr="00881795" w:rsidRDefault="0070643D" w:rsidP="00395313">
      <w:pPr>
        <w:jc w:val="both"/>
        <w:rPr>
          <w:bCs/>
          <w:szCs w:val="20"/>
          <w:lang w:bidi="en-US"/>
        </w:rPr>
      </w:pPr>
      <w:r w:rsidRPr="00881795">
        <w:rPr>
          <w:bCs/>
          <w:szCs w:val="20"/>
          <w:lang w:bidi="en-US"/>
        </w:rPr>
        <w:t xml:space="preserve">It is again of significance to note that the Tertiary </w:t>
      </w:r>
      <w:r w:rsidR="003F34D3" w:rsidRPr="00881795">
        <w:rPr>
          <w:bCs/>
          <w:szCs w:val="20"/>
          <w:lang w:bidi="en-US"/>
        </w:rPr>
        <w:t>Centers</w:t>
      </w:r>
      <w:r w:rsidRPr="00881795">
        <w:rPr>
          <w:bCs/>
          <w:szCs w:val="20"/>
          <w:lang w:bidi="en-US"/>
        </w:rPr>
        <w:t xml:space="preserve"> are also located on or near important transportation routes. These include:</w:t>
      </w:r>
    </w:p>
    <w:p w14:paraId="2C38F798" w14:textId="77777777" w:rsidR="0070643D" w:rsidRPr="00881795" w:rsidRDefault="0070643D" w:rsidP="00395313">
      <w:pPr>
        <w:jc w:val="both"/>
        <w:outlineLvl w:val="0"/>
        <w:rPr>
          <w:b/>
          <w:bCs/>
          <w:szCs w:val="20"/>
          <w:lang w:bidi="en-US"/>
        </w:rPr>
      </w:pPr>
      <w:bookmarkStart w:id="667" w:name="_Toc325627966"/>
      <w:bookmarkStart w:id="668" w:name="_Toc288723520"/>
      <w:bookmarkStart w:id="669" w:name="_Toc389740113"/>
      <w:bookmarkStart w:id="670" w:name="_Toc510622353"/>
      <w:r w:rsidRPr="00881795">
        <w:rPr>
          <w:b/>
          <w:bCs/>
          <w:szCs w:val="20"/>
          <w:lang w:bidi="en-US"/>
        </w:rPr>
        <w:t xml:space="preserve">Table </w:t>
      </w:r>
      <w:r w:rsidR="00D55BDA" w:rsidRPr="00881795">
        <w:rPr>
          <w:b/>
          <w:bCs/>
          <w:szCs w:val="20"/>
          <w:lang w:bidi="en-US"/>
        </w:rPr>
        <w:fldChar w:fldCharType="begin"/>
      </w:r>
      <w:r w:rsidRPr="00881795">
        <w:rPr>
          <w:b/>
          <w:bCs/>
          <w:szCs w:val="20"/>
          <w:lang w:bidi="en-US"/>
        </w:rPr>
        <w:instrText xml:space="preserve"> SEQ Table \* ARABIC </w:instrText>
      </w:r>
      <w:r w:rsidR="00D55BDA" w:rsidRPr="00881795">
        <w:rPr>
          <w:b/>
          <w:bCs/>
          <w:szCs w:val="20"/>
          <w:lang w:bidi="en-US"/>
        </w:rPr>
        <w:fldChar w:fldCharType="separate"/>
      </w:r>
      <w:r w:rsidR="0067023A">
        <w:rPr>
          <w:b/>
          <w:bCs/>
          <w:noProof/>
          <w:szCs w:val="20"/>
          <w:lang w:bidi="en-US"/>
        </w:rPr>
        <w:t>102</w:t>
      </w:r>
      <w:r w:rsidR="00D55BDA" w:rsidRPr="00881795">
        <w:rPr>
          <w:szCs w:val="20"/>
        </w:rPr>
        <w:fldChar w:fldCharType="end"/>
      </w:r>
      <w:r w:rsidRPr="00881795">
        <w:rPr>
          <w:b/>
          <w:bCs/>
          <w:szCs w:val="20"/>
          <w:lang w:bidi="en-US"/>
        </w:rPr>
        <w:t xml:space="preserve">: Tertiary </w:t>
      </w:r>
      <w:bookmarkEnd w:id="667"/>
      <w:bookmarkEnd w:id="668"/>
      <w:bookmarkEnd w:id="669"/>
      <w:r w:rsidR="003F34D3" w:rsidRPr="00881795">
        <w:rPr>
          <w:b/>
          <w:bCs/>
          <w:szCs w:val="20"/>
          <w:lang w:bidi="en-US"/>
        </w:rPr>
        <w:t>Centers</w:t>
      </w:r>
      <w:bookmarkEnd w:id="67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7309"/>
      </w:tblGrid>
      <w:tr w:rsidR="0070643D" w:rsidRPr="00881795" w14:paraId="53413A4A" w14:textId="77777777" w:rsidTr="00C31C45">
        <w:trPr>
          <w:trHeight w:val="385"/>
          <w:tblHeader/>
        </w:trPr>
        <w:tc>
          <w:tcPr>
            <w:tcW w:w="233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07F5624" w14:textId="77777777" w:rsidR="0070643D" w:rsidRPr="00881795" w:rsidRDefault="0070643D" w:rsidP="00395313">
            <w:pPr>
              <w:jc w:val="both"/>
              <w:rPr>
                <w:b/>
                <w:szCs w:val="20"/>
                <w:lang w:bidi="en-US"/>
              </w:rPr>
            </w:pPr>
            <w:r w:rsidRPr="00881795">
              <w:rPr>
                <w:b/>
                <w:szCs w:val="20"/>
                <w:lang w:bidi="en-US"/>
              </w:rPr>
              <w:t>Name</w:t>
            </w:r>
          </w:p>
        </w:tc>
        <w:tc>
          <w:tcPr>
            <w:tcW w:w="741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0186756" w14:textId="77777777" w:rsidR="0070643D" w:rsidRPr="00881795" w:rsidRDefault="0070643D" w:rsidP="00395313">
            <w:pPr>
              <w:jc w:val="both"/>
              <w:rPr>
                <w:b/>
                <w:szCs w:val="20"/>
                <w:lang w:bidi="en-US"/>
              </w:rPr>
            </w:pPr>
            <w:r w:rsidRPr="00881795">
              <w:rPr>
                <w:b/>
                <w:szCs w:val="20"/>
                <w:lang w:bidi="en-US"/>
              </w:rPr>
              <w:t>Location/Description</w:t>
            </w:r>
          </w:p>
        </w:tc>
      </w:tr>
      <w:tr w:rsidR="0070643D" w:rsidRPr="00881795" w14:paraId="04828D49" w14:textId="77777777" w:rsidTr="00BA0065">
        <w:tc>
          <w:tcPr>
            <w:tcW w:w="2335" w:type="dxa"/>
            <w:tcBorders>
              <w:top w:val="single" w:sz="4" w:space="0" w:color="auto"/>
              <w:left w:val="single" w:sz="4" w:space="0" w:color="auto"/>
              <w:bottom w:val="single" w:sz="4" w:space="0" w:color="auto"/>
              <w:right w:val="single" w:sz="4" w:space="0" w:color="auto"/>
            </w:tcBorders>
            <w:hideMark/>
          </w:tcPr>
          <w:p w14:paraId="0865FFE1" w14:textId="77777777" w:rsidR="0070643D" w:rsidRPr="00881795" w:rsidRDefault="0070643D" w:rsidP="00395313">
            <w:pPr>
              <w:jc w:val="both"/>
              <w:rPr>
                <w:szCs w:val="20"/>
                <w:lang w:bidi="en-US"/>
              </w:rPr>
            </w:pPr>
            <w:r w:rsidRPr="00881795">
              <w:rPr>
                <w:szCs w:val="20"/>
                <w:lang w:bidi="en-US"/>
              </w:rPr>
              <w:t>Nkwaleni</w:t>
            </w:r>
          </w:p>
        </w:tc>
        <w:tc>
          <w:tcPr>
            <w:tcW w:w="7412" w:type="dxa"/>
            <w:tcBorders>
              <w:top w:val="single" w:sz="4" w:space="0" w:color="auto"/>
              <w:left w:val="single" w:sz="4" w:space="0" w:color="auto"/>
              <w:bottom w:val="single" w:sz="4" w:space="0" w:color="auto"/>
              <w:right w:val="single" w:sz="4" w:space="0" w:color="auto"/>
            </w:tcBorders>
            <w:hideMark/>
          </w:tcPr>
          <w:p w14:paraId="4C1609CB" w14:textId="77777777" w:rsidR="0070643D" w:rsidRPr="00881795" w:rsidRDefault="0070643D" w:rsidP="00395313">
            <w:pPr>
              <w:jc w:val="both"/>
              <w:rPr>
                <w:bCs/>
                <w:szCs w:val="20"/>
                <w:lang w:bidi="en-US"/>
              </w:rPr>
            </w:pPr>
            <w:r w:rsidRPr="00881795">
              <w:rPr>
                <w:bCs/>
                <w:szCs w:val="20"/>
                <w:lang w:bidi="en-US"/>
              </w:rPr>
              <w:t xml:space="preserve">This </w:t>
            </w:r>
            <w:r w:rsidR="003F34D3" w:rsidRPr="00881795">
              <w:rPr>
                <w:bCs/>
                <w:szCs w:val="20"/>
                <w:lang w:bidi="en-US"/>
              </w:rPr>
              <w:t>center</w:t>
            </w:r>
            <w:r w:rsidRPr="00881795">
              <w:rPr>
                <w:bCs/>
                <w:szCs w:val="20"/>
                <w:lang w:bidi="en-US"/>
              </w:rPr>
              <w:t xml:space="preserve"> has a strategic locality, as it is located at the junction between the R34 from Empangeni and the R66 between Eshowe and Melmoth. It is a highly accessible </w:t>
            </w:r>
            <w:r w:rsidR="003F34D3" w:rsidRPr="00881795">
              <w:rPr>
                <w:bCs/>
                <w:szCs w:val="20"/>
                <w:lang w:bidi="en-US"/>
              </w:rPr>
              <w:t>center</w:t>
            </w:r>
            <w:r w:rsidRPr="00881795">
              <w:rPr>
                <w:bCs/>
                <w:szCs w:val="20"/>
                <w:lang w:bidi="en-US"/>
              </w:rPr>
              <w:t xml:space="preserve"> and development in and around it should be encouraged. It is surrounded by commercial farming areas and has been slow to develop, given its strategic locality. A police station was in existence in this </w:t>
            </w:r>
            <w:r w:rsidR="003F34D3" w:rsidRPr="00881795">
              <w:rPr>
                <w:bCs/>
                <w:szCs w:val="20"/>
                <w:lang w:bidi="en-US"/>
              </w:rPr>
              <w:t>center</w:t>
            </w:r>
            <w:r w:rsidRPr="00881795">
              <w:rPr>
                <w:bCs/>
                <w:szCs w:val="20"/>
                <w:lang w:bidi="en-US"/>
              </w:rPr>
              <w:t xml:space="preserve">, but was closed down. The reason for its slow development can be ascribed to the fact that the </w:t>
            </w:r>
            <w:r w:rsidR="003F34D3" w:rsidRPr="00881795">
              <w:rPr>
                <w:bCs/>
                <w:szCs w:val="20"/>
                <w:lang w:bidi="en-US"/>
              </w:rPr>
              <w:t>center</w:t>
            </w:r>
            <w:r w:rsidRPr="00881795">
              <w:rPr>
                <w:bCs/>
                <w:szCs w:val="20"/>
                <w:lang w:bidi="en-US"/>
              </w:rPr>
              <w:t xml:space="preserve"> is approximately 30km north of Eshowe and that the commercial farmers have a high ratio of vehicular ownership, allowing for a high level of mobility. Travel by road in a privately owned vehicle to Eshowe, is therefore no obstacle</w:t>
            </w:r>
          </w:p>
        </w:tc>
      </w:tr>
      <w:tr w:rsidR="0070643D" w:rsidRPr="00881795" w14:paraId="215C67D5" w14:textId="77777777" w:rsidTr="00BA0065">
        <w:tc>
          <w:tcPr>
            <w:tcW w:w="2335" w:type="dxa"/>
            <w:tcBorders>
              <w:top w:val="single" w:sz="4" w:space="0" w:color="auto"/>
              <w:left w:val="single" w:sz="4" w:space="0" w:color="auto"/>
              <w:bottom w:val="single" w:sz="4" w:space="0" w:color="auto"/>
              <w:right w:val="single" w:sz="4" w:space="0" w:color="auto"/>
            </w:tcBorders>
            <w:hideMark/>
          </w:tcPr>
          <w:p w14:paraId="1F72E983" w14:textId="77777777" w:rsidR="0070643D" w:rsidRPr="00881795" w:rsidRDefault="0070643D" w:rsidP="00395313">
            <w:pPr>
              <w:jc w:val="both"/>
              <w:rPr>
                <w:szCs w:val="20"/>
                <w:lang w:bidi="en-US"/>
              </w:rPr>
            </w:pPr>
            <w:r w:rsidRPr="00881795">
              <w:rPr>
                <w:szCs w:val="20"/>
                <w:lang w:bidi="en-US"/>
              </w:rPr>
              <w:t>Nteneshane</w:t>
            </w:r>
          </w:p>
        </w:tc>
        <w:tc>
          <w:tcPr>
            <w:tcW w:w="7412" w:type="dxa"/>
            <w:tcBorders>
              <w:top w:val="single" w:sz="4" w:space="0" w:color="auto"/>
              <w:left w:val="single" w:sz="4" w:space="0" w:color="auto"/>
              <w:bottom w:val="single" w:sz="4" w:space="0" w:color="auto"/>
              <w:right w:val="single" w:sz="4" w:space="0" w:color="auto"/>
            </w:tcBorders>
            <w:hideMark/>
          </w:tcPr>
          <w:p w14:paraId="1674FEB7" w14:textId="77777777" w:rsidR="0070643D" w:rsidRPr="00881795" w:rsidRDefault="0070643D" w:rsidP="00395313">
            <w:pPr>
              <w:jc w:val="both"/>
              <w:rPr>
                <w:bCs/>
                <w:szCs w:val="20"/>
                <w:lang w:bidi="en-US"/>
              </w:rPr>
            </w:pPr>
            <w:r w:rsidRPr="00881795">
              <w:rPr>
                <w:bCs/>
                <w:szCs w:val="20"/>
                <w:lang w:bidi="en-US"/>
              </w:rPr>
              <w:t xml:space="preserve">It is located in the east of the municipal area on the D518, which links the </w:t>
            </w:r>
            <w:r w:rsidRPr="00881795">
              <w:rPr>
                <w:bCs/>
                <w:szCs w:val="20"/>
                <w:lang w:bidi="en-US"/>
              </w:rPr>
              <w:tab/>
              <w:t xml:space="preserve">R102 and the P230, both roads being tertiary transportation corridors. These roads have played a significant role in the establishment of this </w:t>
            </w:r>
            <w:r w:rsidR="003F34D3" w:rsidRPr="00881795">
              <w:rPr>
                <w:bCs/>
                <w:szCs w:val="20"/>
                <w:lang w:bidi="en-US"/>
              </w:rPr>
              <w:t>center</w:t>
            </w:r>
            <w:r w:rsidRPr="00881795">
              <w:rPr>
                <w:bCs/>
                <w:szCs w:val="20"/>
                <w:lang w:bidi="en-US"/>
              </w:rPr>
              <w:t xml:space="preserve">. It however is in proximity to Ngwelezane and Empangeni, and development in this </w:t>
            </w:r>
            <w:r w:rsidR="003F34D3" w:rsidRPr="00881795">
              <w:rPr>
                <w:bCs/>
                <w:szCs w:val="20"/>
                <w:lang w:bidi="en-US"/>
              </w:rPr>
              <w:t>center</w:t>
            </w:r>
            <w:r w:rsidRPr="00881795">
              <w:rPr>
                <w:bCs/>
                <w:szCs w:val="20"/>
                <w:lang w:bidi="en-US"/>
              </w:rPr>
              <w:t xml:space="preserve"> will in all likelihood be slow.</w:t>
            </w:r>
          </w:p>
        </w:tc>
      </w:tr>
      <w:tr w:rsidR="0070643D" w:rsidRPr="00881795" w14:paraId="0405769C" w14:textId="77777777" w:rsidTr="00BA0065">
        <w:tc>
          <w:tcPr>
            <w:tcW w:w="2335" w:type="dxa"/>
            <w:tcBorders>
              <w:top w:val="single" w:sz="4" w:space="0" w:color="auto"/>
              <w:left w:val="single" w:sz="4" w:space="0" w:color="auto"/>
              <w:bottom w:val="single" w:sz="4" w:space="0" w:color="auto"/>
              <w:right w:val="single" w:sz="4" w:space="0" w:color="auto"/>
            </w:tcBorders>
            <w:hideMark/>
          </w:tcPr>
          <w:p w14:paraId="71081671" w14:textId="77777777" w:rsidR="0070643D" w:rsidRPr="00881795" w:rsidRDefault="0070643D" w:rsidP="00395313">
            <w:pPr>
              <w:jc w:val="both"/>
              <w:rPr>
                <w:szCs w:val="20"/>
                <w:lang w:bidi="en-US"/>
              </w:rPr>
            </w:pPr>
            <w:r w:rsidRPr="00881795">
              <w:rPr>
                <w:szCs w:val="20"/>
                <w:lang w:bidi="en-US"/>
              </w:rPr>
              <w:t>Ondini</w:t>
            </w:r>
          </w:p>
        </w:tc>
        <w:tc>
          <w:tcPr>
            <w:tcW w:w="7412" w:type="dxa"/>
            <w:tcBorders>
              <w:top w:val="single" w:sz="4" w:space="0" w:color="auto"/>
              <w:left w:val="single" w:sz="4" w:space="0" w:color="auto"/>
              <w:bottom w:val="single" w:sz="4" w:space="0" w:color="auto"/>
              <w:right w:val="single" w:sz="4" w:space="0" w:color="auto"/>
            </w:tcBorders>
            <w:hideMark/>
          </w:tcPr>
          <w:p w14:paraId="5E51D281" w14:textId="77777777" w:rsidR="0070643D" w:rsidRPr="00881795" w:rsidRDefault="0070643D" w:rsidP="00395313">
            <w:pPr>
              <w:jc w:val="both"/>
              <w:rPr>
                <w:szCs w:val="20"/>
                <w:lang w:bidi="en-US"/>
              </w:rPr>
            </w:pPr>
            <w:r w:rsidRPr="00881795">
              <w:rPr>
                <w:bCs/>
                <w:szCs w:val="20"/>
                <w:lang w:bidi="en-US"/>
              </w:rPr>
              <w:t xml:space="preserve">This </w:t>
            </w:r>
            <w:r w:rsidR="003F34D3" w:rsidRPr="00881795">
              <w:rPr>
                <w:bCs/>
                <w:szCs w:val="20"/>
                <w:lang w:bidi="en-US"/>
              </w:rPr>
              <w:t>center</w:t>
            </w:r>
            <w:r w:rsidRPr="00881795">
              <w:rPr>
                <w:bCs/>
                <w:szCs w:val="20"/>
                <w:lang w:bidi="en-US"/>
              </w:rPr>
              <w:t xml:space="preserve"> is located on the P230, almost midway between Empangeni and Eshowe. The role that the P230 is fulfilling in the context of linking settlements again comes to the forefront. Development may be regarded as a result of proximity to Ndlangubo, a Secondary Centre.</w:t>
            </w:r>
          </w:p>
        </w:tc>
      </w:tr>
      <w:tr w:rsidR="0070643D" w:rsidRPr="00881795" w14:paraId="40987170" w14:textId="77777777" w:rsidTr="00BA0065">
        <w:tc>
          <w:tcPr>
            <w:tcW w:w="2335" w:type="dxa"/>
            <w:tcBorders>
              <w:top w:val="single" w:sz="4" w:space="0" w:color="auto"/>
              <w:left w:val="single" w:sz="4" w:space="0" w:color="auto"/>
              <w:bottom w:val="single" w:sz="4" w:space="0" w:color="auto"/>
              <w:right w:val="single" w:sz="4" w:space="0" w:color="auto"/>
            </w:tcBorders>
            <w:hideMark/>
          </w:tcPr>
          <w:p w14:paraId="60A3E6AF" w14:textId="77777777" w:rsidR="0070643D" w:rsidRPr="00881795" w:rsidRDefault="0070643D" w:rsidP="00395313">
            <w:pPr>
              <w:jc w:val="both"/>
              <w:rPr>
                <w:szCs w:val="20"/>
                <w:lang w:bidi="en-US"/>
              </w:rPr>
            </w:pPr>
            <w:r w:rsidRPr="00881795">
              <w:rPr>
                <w:szCs w:val="20"/>
                <w:lang w:bidi="en-US"/>
              </w:rPr>
              <w:t>Oquqeni</w:t>
            </w:r>
          </w:p>
        </w:tc>
        <w:tc>
          <w:tcPr>
            <w:tcW w:w="7412" w:type="dxa"/>
            <w:tcBorders>
              <w:top w:val="single" w:sz="4" w:space="0" w:color="auto"/>
              <w:left w:val="single" w:sz="4" w:space="0" w:color="auto"/>
              <w:bottom w:val="single" w:sz="4" w:space="0" w:color="auto"/>
              <w:right w:val="single" w:sz="4" w:space="0" w:color="auto"/>
            </w:tcBorders>
            <w:hideMark/>
          </w:tcPr>
          <w:p w14:paraId="0AD5A144" w14:textId="77777777" w:rsidR="0070643D" w:rsidRPr="00881795" w:rsidRDefault="0070643D" w:rsidP="00395313">
            <w:pPr>
              <w:jc w:val="both"/>
              <w:rPr>
                <w:bCs/>
                <w:szCs w:val="20"/>
                <w:lang w:bidi="en-US"/>
              </w:rPr>
            </w:pPr>
            <w:r w:rsidRPr="00881795">
              <w:rPr>
                <w:bCs/>
                <w:szCs w:val="20"/>
                <w:lang w:bidi="en-US"/>
              </w:rPr>
              <w:t xml:space="preserve">It is also a </w:t>
            </w:r>
            <w:r w:rsidR="003F34D3" w:rsidRPr="00881795">
              <w:rPr>
                <w:bCs/>
                <w:szCs w:val="20"/>
                <w:lang w:bidi="en-US"/>
              </w:rPr>
              <w:t>center</w:t>
            </w:r>
            <w:r w:rsidRPr="00881795">
              <w:rPr>
                <w:bCs/>
                <w:szCs w:val="20"/>
                <w:lang w:bidi="en-US"/>
              </w:rPr>
              <w:t xml:space="preserve"> that is located on the P230, further underlining the importance of this transportation route as a functional route. The rate of development of this </w:t>
            </w:r>
            <w:r w:rsidR="003F34D3" w:rsidRPr="00881795">
              <w:rPr>
                <w:bCs/>
                <w:szCs w:val="20"/>
                <w:lang w:bidi="en-US"/>
              </w:rPr>
              <w:t>center</w:t>
            </w:r>
            <w:r w:rsidRPr="00881795">
              <w:rPr>
                <w:bCs/>
                <w:szCs w:val="20"/>
                <w:lang w:bidi="en-US"/>
              </w:rPr>
              <w:t xml:space="preserve"> may also be regarded as a result of proximity to Nkume, a Secondary Centre.</w:t>
            </w:r>
          </w:p>
        </w:tc>
      </w:tr>
      <w:tr w:rsidR="0070643D" w:rsidRPr="00881795" w14:paraId="31AD0D80" w14:textId="77777777" w:rsidTr="00BA0065">
        <w:tc>
          <w:tcPr>
            <w:tcW w:w="2335" w:type="dxa"/>
            <w:tcBorders>
              <w:top w:val="single" w:sz="4" w:space="0" w:color="auto"/>
              <w:left w:val="single" w:sz="4" w:space="0" w:color="auto"/>
              <w:bottom w:val="single" w:sz="4" w:space="0" w:color="auto"/>
              <w:right w:val="single" w:sz="4" w:space="0" w:color="auto"/>
            </w:tcBorders>
            <w:hideMark/>
          </w:tcPr>
          <w:p w14:paraId="3344B752" w14:textId="77777777" w:rsidR="0070643D" w:rsidRPr="00881795" w:rsidRDefault="0070643D" w:rsidP="00395313">
            <w:pPr>
              <w:jc w:val="both"/>
              <w:rPr>
                <w:szCs w:val="20"/>
                <w:lang w:bidi="en-US"/>
              </w:rPr>
            </w:pPr>
            <w:r w:rsidRPr="00881795">
              <w:rPr>
                <w:szCs w:val="20"/>
                <w:lang w:bidi="en-US"/>
              </w:rPr>
              <w:t>Ziphambanwani</w:t>
            </w:r>
          </w:p>
        </w:tc>
        <w:tc>
          <w:tcPr>
            <w:tcW w:w="7412" w:type="dxa"/>
            <w:tcBorders>
              <w:top w:val="single" w:sz="4" w:space="0" w:color="auto"/>
              <w:left w:val="single" w:sz="4" w:space="0" w:color="auto"/>
              <w:bottom w:val="single" w:sz="4" w:space="0" w:color="auto"/>
              <w:right w:val="single" w:sz="4" w:space="0" w:color="auto"/>
            </w:tcBorders>
            <w:hideMark/>
          </w:tcPr>
          <w:p w14:paraId="6E399243" w14:textId="77777777" w:rsidR="0070643D" w:rsidRPr="00881795" w:rsidRDefault="0070643D" w:rsidP="00395313">
            <w:pPr>
              <w:jc w:val="both"/>
              <w:rPr>
                <w:bCs/>
                <w:szCs w:val="20"/>
                <w:lang w:bidi="en-US"/>
              </w:rPr>
            </w:pPr>
            <w:r w:rsidRPr="00881795">
              <w:rPr>
                <w:szCs w:val="20"/>
                <w:lang w:bidi="en-US"/>
              </w:rPr>
              <w:t>This center is emerging as a Tertiary Centre because of its locality on the R66, midway between Gingindlovu and Eshowe. Ease of access to both Eshowe (The Primary Administrative Centre) and Gingindlovu (Secondary Centre) will popularize this center. It is also located at the junction between the D884 and the R66, the first mentioned road linking the R102 and the R66.</w:t>
            </w:r>
          </w:p>
        </w:tc>
      </w:tr>
      <w:tr w:rsidR="0070643D" w:rsidRPr="00881795" w14:paraId="316D3126" w14:textId="77777777" w:rsidTr="00BA0065">
        <w:tc>
          <w:tcPr>
            <w:tcW w:w="2335" w:type="dxa"/>
            <w:tcBorders>
              <w:top w:val="single" w:sz="4" w:space="0" w:color="auto"/>
              <w:left w:val="single" w:sz="4" w:space="0" w:color="auto"/>
              <w:bottom w:val="single" w:sz="4" w:space="0" w:color="auto"/>
              <w:right w:val="single" w:sz="4" w:space="0" w:color="auto"/>
            </w:tcBorders>
            <w:hideMark/>
          </w:tcPr>
          <w:p w14:paraId="56EBB666" w14:textId="77777777" w:rsidR="0070643D" w:rsidRPr="00881795" w:rsidRDefault="0070643D" w:rsidP="00395313">
            <w:pPr>
              <w:jc w:val="both"/>
              <w:rPr>
                <w:szCs w:val="20"/>
                <w:lang w:bidi="en-US"/>
              </w:rPr>
            </w:pPr>
            <w:r w:rsidRPr="00881795">
              <w:rPr>
                <w:szCs w:val="20"/>
                <w:lang w:bidi="en-US"/>
              </w:rPr>
              <w:t>Nyanini</w:t>
            </w:r>
          </w:p>
        </w:tc>
        <w:tc>
          <w:tcPr>
            <w:tcW w:w="7412" w:type="dxa"/>
            <w:tcBorders>
              <w:top w:val="single" w:sz="4" w:space="0" w:color="auto"/>
              <w:left w:val="single" w:sz="4" w:space="0" w:color="auto"/>
              <w:bottom w:val="single" w:sz="4" w:space="0" w:color="auto"/>
              <w:right w:val="single" w:sz="4" w:space="0" w:color="auto"/>
            </w:tcBorders>
            <w:hideMark/>
          </w:tcPr>
          <w:p w14:paraId="2BC14B29" w14:textId="77777777" w:rsidR="0070643D" w:rsidRPr="00881795" w:rsidRDefault="0070643D" w:rsidP="00395313">
            <w:pPr>
              <w:jc w:val="both"/>
              <w:rPr>
                <w:szCs w:val="20"/>
                <w:lang w:bidi="en-US"/>
              </w:rPr>
            </w:pPr>
            <w:r w:rsidRPr="00881795">
              <w:rPr>
                <w:bCs/>
                <w:szCs w:val="20"/>
                <w:lang w:bidi="en-US"/>
              </w:rPr>
              <w:t>It is only a few kilometers to the south-east of Eshowe on the R66. Proximity to the Primary Administrative Centre will tend to slow the tempo of development in this center.</w:t>
            </w:r>
          </w:p>
        </w:tc>
      </w:tr>
      <w:tr w:rsidR="0070643D" w:rsidRPr="00881795" w14:paraId="2D69AE35" w14:textId="77777777" w:rsidTr="00BA0065">
        <w:tc>
          <w:tcPr>
            <w:tcW w:w="2335" w:type="dxa"/>
            <w:tcBorders>
              <w:top w:val="single" w:sz="4" w:space="0" w:color="auto"/>
              <w:left w:val="single" w:sz="4" w:space="0" w:color="auto"/>
              <w:bottom w:val="single" w:sz="4" w:space="0" w:color="auto"/>
              <w:right w:val="single" w:sz="4" w:space="0" w:color="auto"/>
            </w:tcBorders>
            <w:hideMark/>
          </w:tcPr>
          <w:p w14:paraId="45033CB2" w14:textId="77777777" w:rsidR="0070643D" w:rsidRPr="00881795" w:rsidRDefault="0070643D" w:rsidP="00395313">
            <w:pPr>
              <w:jc w:val="both"/>
              <w:rPr>
                <w:szCs w:val="20"/>
                <w:lang w:bidi="en-US"/>
              </w:rPr>
            </w:pPr>
            <w:r w:rsidRPr="00881795">
              <w:rPr>
                <w:szCs w:val="20"/>
                <w:lang w:bidi="en-US"/>
              </w:rPr>
              <w:t>Impatala</w:t>
            </w:r>
          </w:p>
        </w:tc>
        <w:tc>
          <w:tcPr>
            <w:tcW w:w="7412" w:type="dxa"/>
            <w:tcBorders>
              <w:top w:val="single" w:sz="4" w:space="0" w:color="auto"/>
              <w:left w:val="single" w:sz="4" w:space="0" w:color="auto"/>
              <w:bottom w:val="single" w:sz="4" w:space="0" w:color="auto"/>
              <w:right w:val="single" w:sz="4" w:space="0" w:color="auto"/>
            </w:tcBorders>
            <w:hideMark/>
          </w:tcPr>
          <w:p w14:paraId="283C53DB" w14:textId="77777777" w:rsidR="0070643D" w:rsidRPr="00881795" w:rsidRDefault="0070643D" w:rsidP="00395313">
            <w:pPr>
              <w:jc w:val="both"/>
              <w:rPr>
                <w:szCs w:val="20"/>
                <w:lang w:bidi="en-US"/>
              </w:rPr>
            </w:pPr>
            <w:r w:rsidRPr="00881795">
              <w:rPr>
                <w:bCs/>
                <w:szCs w:val="20"/>
                <w:lang w:bidi="en-US"/>
              </w:rPr>
              <w:t>It is located to the west of Eshowe, on the P50, a secondary transportation corridor. It is located midway between Mbongolwane (Secondary Centre) and Eshowe (Primary Administrative Centre). Development is therefore expected to be slow.</w:t>
            </w:r>
          </w:p>
        </w:tc>
      </w:tr>
      <w:tr w:rsidR="0070643D" w:rsidRPr="00881795" w14:paraId="5EB4B5A8" w14:textId="77777777" w:rsidTr="00BA0065">
        <w:tc>
          <w:tcPr>
            <w:tcW w:w="2335" w:type="dxa"/>
            <w:tcBorders>
              <w:top w:val="single" w:sz="4" w:space="0" w:color="auto"/>
              <w:left w:val="single" w:sz="4" w:space="0" w:color="auto"/>
              <w:bottom w:val="single" w:sz="4" w:space="0" w:color="auto"/>
              <w:right w:val="single" w:sz="4" w:space="0" w:color="auto"/>
            </w:tcBorders>
            <w:hideMark/>
          </w:tcPr>
          <w:p w14:paraId="4A4D0331" w14:textId="77777777" w:rsidR="0070643D" w:rsidRPr="00881795" w:rsidRDefault="0070643D" w:rsidP="00395313">
            <w:pPr>
              <w:jc w:val="both"/>
              <w:rPr>
                <w:szCs w:val="20"/>
                <w:lang w:bidi="en-US"/>
              </w:rPr>
            </w:pPr>
            <w:r w:rsidRPr="00881795">
              <w:rPr>
                <w:szCs w:val="20"/>
                <w:lang w:bidi="en-US"/>
              </w:rPr>
              <w:t>Nkulisbantwana</w:t>
            </w:r>
          </w:p>
        </w:tc>
        <w:tc>
          <w:tcPr>
            <w:tcW w:w="7412" w:type="dxa"/>
            <w:tcBorders>
              <w:top w:val="single" w:sz="4" w:space="0" w:color="auto"/>
              <w:left w:val="single" w:sz="4" w:space="0" w:color="auto"/>
              <w:bottom w:val="single" w:sz="4" w:space="0" w:color="auto"/>
              <w:right w:val="single" w:sz="4" w:space="0" w:color="auto"/>
            </w:tcBorders>
            <w:hideMark/>
          </w:tcPr>
          <w:p w14:paraId="078043C6" w14:textId="77777777" w:rsidR="0070643D" w:rsidRPr="00881795" w:rsidRDefault="0070643D" w:rsidP="00395313">
            <w:pPr>
              <w:jc w:val="both"/>
              <w:rPr>
                <w:bCs/>
                <w:szCs w:val="20"/>
                <w:lang w:bidi="en-US"/>
              </w:rPr>
            </w:pPr>
            <w:r w:rsidRPr="00881795">
              <w:rPr>
                <w:bCs/>
                <w:szCs w:val="20"/>
                <w:lang w:bidi="en-US"/>
              </w:rPr>
              <w:t>It is located at the junction between the D356, a tertiary transportation corridor linking Eshowe with the P710, and the P710, a secondary transportation corridor to the west and south-west of Eshowe. The importance of a locality on or near important transportation routes is again emphasized.</w:t>
            </w:r>
          </w:p>
        </w:tc>
      </w:tr>
      <w:tr w:rsidR="0070643D" w:rsidRPr="00881795" w14:paraId="74F2E99A" w14:textId="77777777" w:rsidTr="00BA0065">
        <w:tc>
          <w:tcPr>
            <w:tcW w:w="2335" w:type="dxa"/>
            <w:tcBorders>
              <w:top w:val="single" w:sz="4" w:space="0" w:color="auto"/>
              <w:left w:val="single" w:sz="4" w:space="0" w:color="auto"/>
              <w:bottom w:val="single" w:sz="4" w:space="0" w:color="auto"/>
              <w:right w:val="single" w:sz="4" w:space="0" w:color="auto"/>
            </w:tcBorders>
            <w:hideMark/>
          </w:tcPr>
          <w:p w14:paraId="55A9C6BF" w14:textId="77777777" w:rsidR="0070643D" w:rsidRPr="00881795" w:rsidRDefault="0070643D" w:rsidP="00395313">
            <w:pPr>
              <w:jc w:val="both"/>
              <w:rPr>
                <w:szCs w:val="20"/>
                <w:lang w:bidi="en-US"/>
              </w:rPr>
            </w:pPr>
            <w:r w:rsidRPr="00881795">
              <w:rPr>
                <w:szCs w:val="20"/>
                <w:lang w:bidi="en-US"/>
              </w:rPr>
              <w:t>Shayinga</w:t>
            </w:r>
          </w:p>
        </w:tc>
        <w:tc>
          <w:tcPr>
            <w:tcW w:w="7412" w:type="dxa"/>
            <w:tcBorders>
              <w:top w:val="single" w:sz="4" w:space="0" w:color="auto"/>
              <w:left w:val="single" w:sz="4" w:space="0" w:color="auto"/>
              <w:bottom w:val="single" w:sz="4" w:space="0" w:color="auto"/>
              <w:right w:val="single" w:sz="4" w:space="0" w:color="auto"/>
            </w:tcBorders>
            <w:hideMark/>
          </w:tcPr>
          <w:p w14:paraId="6D3A699F" w14:textId="77777777" w:rsidR="0070643D" w:rsidRPr="00881795" w:rsidRDefault="0070643D" w:rsidP="00395313">
            <w:pPr>
              <w:jc w:val="both"/>
              <w:rPr>
                <w:szCs w:val="20"/>
                <w:lang w:bidi="en-US"/>
              </w:rPr>
            </w:pPr>
            <w:r w:rsidRPr="00881795">
              <w:rPr>
                <w:bCs/>
                <w:szCs w:val="20"/>
                <w:lang w:bidi="en-US"/>
              </w:rPr>
              <w:t>This center is also located on the P710 and is in relative close proximity to Nkulisbantwana to the north of it.</w:t>
            </w:r>
          </w:p>
        </w:tc>
      </w:tr>
      <w:tr w:rsidR="0070643D" w:rsidRPr="00881795" w14:paraId="71758A82" w14:textId="77777777" w:rsidTr="00BA0065">
        <w:tc>
          <w:tcPr>
            <w:tcW w:w="2335" w:type="dxa"/>
            <w:tcBorders>
              <w:top w:val="single" w:sz="4" w:space="0" w:color="auto"/>
              <w:left w:val="single" w:sz="4" w:space="0" w:color="auto"/>
              <w:bottom w:val="single" w:sz="4" w:space="0" w:color="auto"/>
              <w:right w:val="single" w:sz="4" w:space="0" w:color="auto"/>
            </w:tcBorders>
            <w:hideMark/>
          </w:tcPr>
          <w:p w14:paraId="25F8A811" w14:textId="77777777" w:rsidR="0070643D" w:rsidRPr="00881795" w:rsidRDefault="0070643D" w:rsidP="00395313">
            <w:pPr>
              <w:jc w:val="both"/>
              <w:rPr>
                <w:szCs w:val="20"/>
                <w:lang w:bidi="en-US"/>
              </w:rPr>
            </w:pPr>
            <w:r w:rsidRPr="00881795">
              <w:rPr>
                <w:szCs w:val="20"/>
                <w:lang w:bidi="en-US"/>
              </w:rPr>
              <w:t>Samungu</w:t>
            </w:r>
          </w:p>
        </w:tc>
        <w:tc>
          <w:tcPr>
            <w:tcW w:w="7412" w:type="dxa"/>
            <w:tcBorders>
              <w:top w:val="single" w:sz="4" w:space="0" w:color="auto"/>
              <w:left w:val="single" w:sz="4" w:space="0" w:color="auto"/>
              <w:bottom w:val="single" w:sz="4" w:space="0" w:color="auto"/>
              <w:right w:val="single" w:sz="4" w:space="0" w:color="auto"/>
            </w:tcBorders>
            <w:hideMark/>
          </w:tcPr>
          <w:p w14:paraId="4F54560A" w14:textId="77777777" w:rsidR="0070643D" w:rsidRPr="00881795" w:rsidRDefault="0070643D" w:rsidP="00395313">
            <w:pPr>
              <w:jc w:val="both"/>
              <w:rPr>
                <w:bCs/>
                <w:szCs w:val="20"/>
                <w:lang w:bidi="en-US"/>
              </w:rPr>
            </w:pPr>
            <w:r w:rsidRPr="00881795">
              <w:rPr>
                <w:bCs/>
                <w:szCs w:val="20"/>
                <w:lang w:bidi="en-US"/>
              </w:rPr>
              <w:t>This center is located on the D356 and is showing a steady population growth rate over the past five (5) years.</w:t>
            </w:r>
          </w:p>
        </w:tc>
      </w:tr>
      <w:tr w:rsidR="0070643D" w:rsidRPr="00881795" w14:paraId="35FB65C2" w14:textId="77777777" w:rsidTr="00BA0065">
        <w:tc>
          <w:tcPr>
            <w:tcW w:w="2335" w:type="dxa"/>
            <w:tcBorders>
              <w:top w:val="single" w:sz="4" w:space="0" w:color="auto"/>
              <w:left w:val="single" w:sz="4" w:space="0" w:color="auto"/>
              <w:bottom w:val="single" w:sz="4" w:space="0" w:color="auto"/>
              <w:right w:val="single" w:sz="4" w:space="0" w:color="auto"/>
            </w:tcBorders>
            <w:hideMark/>
          </w:tcPr>
          <w:p w14:paraId="454F8501" w14:textId="77777777" w:rsidR="0070643D" w:rsidRPr="00881795" w:rsidRDefault="0070643D" w:rsidP="00395313">
            <w:pPr>
              <w:jc w:val="both"/>
              <w:rPr>
                <w:szCs w:val="20"/>
                <w:lang w:bidi="en-US"/>
              </w:rPr>
            </w:pPr>
            <w:r w:rsidRPr="00881795">
              <w:rPr>
                <w:szCs w:val="20"/>
                <w:lang w:bidi="en-US"/>
              </w:rPr>
              <w:t>Danyini</w:t>
            </w:r>
          </w:p>
        </w:tc>
        <w:tc>
          <w:tcPr>
            <w:tcW w:w="7412" w:type="dxa"/>
            <w:tcBorders>
              <w:top w:val="single" w:sz="4" w:space="0" w:color="auto"/>
              <w:left w:val="single" w:sz="4" w:space="0" w:color="auto"/>
              <w:bottom w:val="single" w:sz="4" w:space="0" w:color="auto"/>
              <w:right w:val="single" w:sz="4" w:space="0" w:color="auto"/>
            </w:tcBorders>
            <w:hideMark/>
          </w:tcPr>
          <w:p w14:paraId="16AE40DF" w14:textId="77777777" w:rsidR="0070643D" w:rsidRPr="00881795" w:rsidRDefault="0070643D" w:rsidP="00395313">
            <w:pPr>
              <w:jc w:val="both"/>
              <w:rPr>
                <w:bCs/>
                <w:szCs w:val="20"/>
                <w:lang w:bidi="en-US"/>
              </w:rPr>
            </w:pPr>
            <w:r w:rsidRPr="00881795">
              <w:rPr>
                <w:bCs/>
                <w:szCs w:val="20"/>
                <w:lang w:bidi="en-US"/>
              </w:rPr>
              <w:t xml:space="preserve">It is also located on the D356, in relative close proximity to Eshowe. It can be expected that the growth rate will be slow, given the proximity to Eshowe and the proximity to Samungu, which is showing a faster growth rate.  </w:t>
            </w:r>
          </w:p>
        </w:tc>
      </w:tr>
    </w:tbl>
    <w:p w14:paraId="087B868B" w14:textId="77777777" w:rsidR="000F6D9F" w:rsidRDefault="000F6D9F" w:rsidP="000F6D9F">
      <w:pPr>
        <w:jc w:val="both"/>
        <w:rPr>
          <w:rFonts w:eastAsiaTheme="majorEastAsia" w:cstheme="majorBidi"/>
          <w:b/>
          <w:bCs/>
          <w:sz w:val="26"/>
          <w:szCs w:val="26"/>
        </w:rPr>
      </w:pPr>
      <w:bookmarkStart w:id="671" w:name="_Toc327349369"/>
      <w:bookmarkStart w:id="672" w:name="_Toc291152532"/>
      <w:bookmarkStart w:id="673" w:name="_Toc167265744"/>
      <w:bookmarkStart w:id="674" w:name="_Toc389740114"/>
    </w:p>
    <w:p w14:paraId="05E5256B" w14:textId="77777777" w:rsidR="004342A9" w:rsidRDefault="004342A9" w:rsidP="000F6D9F">
      <w:pPr>
        <w:jc w:val="both"/>
        <w:rPr>
          <w:rFonts w:eastAsiaTheme="majorEastAsia" w:cstheme="majorBidi"/>
          <w:b/>
          <w:bCs/>
          <w:sz w:val="26"/>
          <w:szCs w:val="26"/>
        </w:rPr>
      </w:pPr>
    </w:p>
    <w:p w14:paraId="552B94A7" w14:textId="77777777" w:rsidR="0070643D" w:rsidRPr="006600F2" w:rsidRDefault="0070643D" w:rsidP="00750180">
      <w:pPr>
        <w:pStyle w:val="Heading3"/>
        <w:numPr>
          <w:ilvl w:val="2"/>
          <w:numId w:val="40"/>
        </w:numPr>
        <w:spacing w:after="240"/>
      </w:pPr>
      <w:bookmarkStart w:id="675" w:name="_Toc510706693"/>
      <w:r w:rsidRPr="006600F2">
        <w:t>DEVELOPMENT CORRIDORS</w:t>
      </w:r>
      <w:bookmarkEnd w:id="671"/>
      <w:bookmarkEnd w:id="672"/>
      <w:bookmarkEnd w:id="673"/>
      <w:bookmarkEnd w:id="674"/>
      <w:bookmarkEnd w:id="675"/>
    </w:p>
    <w:p w14:paraId="03F2A170" w14:textId="77777777" w:rsidR="0070643D" w:rsidRPr="00881795" w:rsidRDefault="0070643D" w:rsidP="00395313">
      <w:pPr>
        <w:jc w:val="both"/>
        <w:rPr>
          <w:bCs/>
          <w:szCs w:val="20"/>
          <w:lang w:bidi="en-US"/>
        </w:rPr>
      </w:pPr>
      <w:r w:rsidRPr="00881795">
        <w:rPr>
          <w:szCs w:val="20"/>
          <w:lang w:bidi="en-US"/>
        </w:rPr>
        <w:t xml:space="preserve">The definition and (and even ranking) of the above mentioned Development </w:t>
      </w:r>
      <w:r w:rsidR="003F34D3" w:rsidRPr="00881795">
        <w:rPr>
          <w:szCs w:val="20"/>
          <w:lang w:bidi="en-US"/>
        </w:rPr>
        <w:t>Centers</w:t>
      </w:r>
      <w:r w:rsidRPr="00881795">
        <w:rPr>
          <w:szCs w:val="20"/>
          <w:lang w:bidi="en-US"/>
        </w:rPr>
        <w:t xml:space="preserve"> is highly influenced by the transport routes that service them. </w:t>
      </w:r>
      <w:r w:rsidRPr="00881795">
        <w:rPr>
          <w:bCs/>
          <w:szCs w:val="20"/>
          <w:lang w:bidi="en-US"/>
        </w:rPr>
        <w:t>The uMlalazi Integrated Development Plan has identified a number of roads for as part of their Development Corridor network based on condition of roads, level of access afforded by the roads and its importance at a district/regional scale.</w:t>
      </w:r>
    </w:p>
    <w:p w14:paraId="0E280634" w14:textId="77777777" w:rsidR="0070643D" w:rsidRPr="00881795" w:rsidRDefault="0070643D" w:rsidP="00750180">
      <w:pPr>
        <w:pStyle w:val="Heading4"/>
        <w:numPr>
          <w:ilvl w:val="3"/>
          <w:numId w:val="40"/>
        </w:numPr>
        <w:spacing w:after="240"/>
      </w:pPr>
      <w:bookmarkStart w:id="676" w:name="_Toc327349370"/>
      <w:bookmarkStart w:id="677" w:name="_Toc291152533"/>
      <w:bookmarkStart w:id="678" w:name="_Toc389740115"/>
      <w:r w:rsidRPr="00881795">
        <w:t>PRIMARY CORRIDORS</w:t>
      </w:r>
      <w:bookmarkEnd w:id="676"/>
      <w:bookmarkEnd w:id="677"/>
      <w:bookmarkEnd w:id="678"/>
    </w:p>
    <w:p w14:paraId="3082BB6E" w14:textId="77777777" w:rsidR="0070643D" w:rsidRPr="00881795" w:rsidRDefault="0070643D" w:rsidP="006600F2">
      <w:pPr>
        <w:spacing w:after="0"/>
        <w:jc w:val="both"/>
        <w:outlineLvl w:val="0"/>
        <w:rPr>
          <w:b/>
          <w:bCs/>
          <w:szCs w:val="20"/>
          <w:lang w:bidi="en-US"/>
        </w:rPr>
      </w:pPr>
      <w:bookmarkStart w:id="679" w:name="_Toc325627967"/>
      <w:bookmarkStart w:id="680" w:name="_Toc288723521"/>
      <w:bookmarkStart w:id="681" w:name="_Toc389740116"/>
      <w:bookmarkStart w:id="682" w:name="_Toc510622354"/>
      <w:r w:rsidRPr="00881795">
        <w:rPr>
          <w:b/>
          <w:bCs/>
          <w:szCs w:val="20"/>
          <w:lang w:bidi="en-US"/>
        </w:rPr>
        <w:t xml:space="preserve">Table </w:t>
      </w:r>
      <w:r w:rsidR="00D55BDA" w:rsidRPr="00881795">
        <w:rPr>
          <w:b/>
          <w:bCs/>
          <w:szCs w:val="20"/>
          <w:lang w:bidi="en-US"/>
        </w:rPr>
        <w:fldChar w:fldCharType="begin"/>
      </w:r>
      <w:r w:rsidRPr="00881795">
        <w:rPr>
          <w:b/>
          <w:bCs/>
          <w:szCs w:val="20"/>
          <w:lang w:bidi="en-US"/>
        </w:rPr>
        <w:instrText xml:space="preserve"> SEQ Table \* ARABIC </w:instrText>
      </w:r>
      <w:r w:rsidR="00D55BDA" w:rsidRPr="00881795">
        <w:rPr>
          <w:b/>
          <w:bCs/>
          <w:szCs w:val="20"/>
          <w:lang w:bidi="en-US"/>
        </w:rPr>
        <w:fldChar w:fldCharType="separate"/>
      </w:r>
      <w:r w:rsidR="0067023A">
        <w:rPr>
          <w:b/>
          <w:bCs/>
          <w:noProof/>
          <w:szCs w:val="20"/>
          <w:lang w:bidi="en-US"/>
        </w:rPr>
        <w:t>103</w:t>
      </w:r>
      <w:r w:rsidR="00D55BDA" w:rsidRPr="00881795">
        <w:rPr>
          <w:szCs w:val="20"/>
        </w:rPr>
        <w:fldChar w:fldCharType="end"/>
      </w:r>
      <w:r w:rsidRPr="00881795">
        <w:rPr>
          <w:b/>
          <w:bCs/>
          <w:szCs w:val="20"/>
          <w:lang w:bidi="en-US"/>
        </w:rPr>
        <w:t>: Primary Corridors</w:t>
      </w:r>
      <w:bookmarkEnd w:id="679"/>
      <w:bookmarkEnd w:id="680"/>
      <w:bookmarkEnd w:id="681"/>
      <w:bookmarkEnd w:id="68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8"/>
        <w:gridCol w:w="7301"/>
      </w:tblGrid>
      <w:tr w:rsidR="0070643D" w:rsidRPr="00881795" w14:paraId="6FC90231" w14:textId="77777777" w:rsidTr="00C31C45">
        <w:trPr>
          <w:trHeight w:val="385"/>
          <w:tblHeader/>
        </w:trPr>
        <w:tc>
          <w:tcPr>
            <w:tcW w:w="235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25D29D4" w14:textId="77777777" w:rsidR="0070643D" w:rsidRPr="00881795" w:rsidRDefault="0070643D" w:rsidP="006600F2">
            <w:pPr>
              <w:spacing w:after="0"/>
              <w:jc w:val="both"/>
              <w:rPr>
                <w:b/>
                <w:szCs w:val="20"/>
                <w:lang w:bidi="en-US"/>
              </w:rPr>
            </w:pPr>
            <w:r w:rsidRPr="00881795">
              <w:rPr>
                <w:b/>
                <w:szCs w:val="20"/>
                <w:lang w:bidi="en-US"/>
              </w:rPr>
              <w:t>Name</w:t>
            </w:r>
          </w:p>
        </w:tc>
        <w:tc>
          <w:tcPr>
            <w:tcW w:w="739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B1A6CB3" w14:textId="77777777" w:rsidR="0070643D" w:rsidRPr="00881795" w:rsidRDefault="0070643D" w:rsidP="006600F2">
            <w:pPr>
              <w:spacing w:after="0"/>
              <w:jc w:val="both"/>
              <w:rPr>
                <w:b/>
                <w:szCs w:val="20"/>
                <w:lang w:bidi="en-US"/>
              </w:rPr>
            </w:pPr>
            <w:r w:rsidRPr="00881795">
              <w:rPr>
                <w:b/>
                <w:szCs w:val="20"/>
                <w:lang w:bidi="en-US"/>
              </w:rPr>
              <w:t>Location/Description</w:t>
            </w:r>
          </w:p>
        </w:tc>
      </w:tr>
      <w:tr w:rsidR="0070643D" w:rsidRPr="00881795" w14:paraId="1B0C663C" w14:textId="77777777" w:rsidTr="00BA0065">
        <w:tc>
          <w:tcPr>
            <w:tcW w:w="2353" w:type="dxa"/>
            <w:tcBorders>
              <w:top w:val="single" w:sz="4" w:space="0" w:color="auto"/>
              <w:left w:val="single" w:sz="4" w:space="0" w:color="auto"/>
              <w:bottom w:val="single" w:sz="4" w:space="0" w:color="auto"/>
              <w:right w:val="single" w:sz="4" w:space="0" w:color="auto"/>
            </w:tcBorders>
            <w:hideMark/>
          </w:tcPr>
          <w:p w14:paraId="0D65F2B0" w14:textId="77777777" w:rsidR="0070643D" w:rsidRPr="00881795" w:rsidRDefault="0070643D" w:rsidP="00395313">
            <w:pPr>
              <w:jc w:val="both"/>
              <w:rPr>
                <w:szCs w:val="20"/>
                <w:lang w:bidi="en-US"/>
              </w:rPr>
            </w:pPr>
            <w:r w:rsidRPr="00881795">
              <w:rPr>
                <w:szCs w:val="20"/>
                <w:lang w:bidi="en-US"/>
              </w:rPr>
              <w:t>The N2 Highway (and R102)</w:t>
            </w:r>
          </w:p>
        </w:tc>
        <w:tc>
          <w:tcPr>
            <w:tcW w:w="7394" w:type="dxa"/>
            <w:tcBorders>
              <w:top w:val="single" w:sz="4" w:space="0" w:color="auto"/>
              <w:left w:val="single" w:sz="4" w:space="0" w:color="auto"/>
              <w:bottom w:val="single" w:sz="4" w:space="0" w:color="auto"/>
              <w:right w:val="single" w:sz="4" w:space="0" w:color="auto"/>
            </w:tcBorders>
            <w:hideMark/>
          </w:tcPr>
          <w:p w14:paraId="1B1BF82C" w14:textId="77777777" w:rsidR="0070643D" w:rsidRPr="00881795" w:rsidRDefault="0070643D" w:rsidP="00395313">
            <w:pPr>
              <w:jc w:val="both"/>
              <w:rPr>
                <w:szCs w:val="20"/>
                <w:lang w:bidi="en-US"/>
              </w:rPr>
            </w:pPr>
            <w:r w:rsidRPr="00881795">
              <w:rPr>
                <w:bCs/>
                <w:szCs w:val="20"/>
                <w:lang w:bidi="en-US"/>
              </w:rPr>
              <w:t xml:space="preserve">The two routes are aligned parallel to each other in the south-eastern sector of the uMlalazi municipal area. It offers access to Richards Bay/Empangeni, as well as the three Secondary </w:t>
            </w:r>
            <w:r w:rsidR="003F34D3" w:rsidRPr="00881795">
              <w:rPr>
                <w:bCs/>
                <w:szCs w:val="20"/>
                <w:lang w:bidi="en-US"/>
              </w:rPr>
              <w:t>Centers</w:t>
            </w:r>
            <w:r w:rsidRPr="00881795">
              <w:rPr>
                <w:bCs/>
                <w:szCs w:val="20"/>
                <w:lang w:bidi="en-US"/>
              </w:rPr>
              <w:t xml:space="preserve"> (Gingindlovu, Nqutshini and Mtunzini).</w:t>
            </w:r>
          </w:p>
        </w:tc>
      </w:tr>
      <w:tr w:rsidR="0070643D" w:rsidRPr="00881795" w14:paraId="0768F469" w14:textId="77777777" w:rsidTr="00BA0065">
        <w:tc>
          <w:tcPr>
            <w:tcW w:w="2353" w:type="dxa"/>
            <w:tcBorders>
              <w:top w:val="single" w:sz="4" w:space="0" w:color="auto"/>
              <w:left w:val="single" w:sz="4" w:space="0" w:color="auto"/>
              <w:bottom w:val="single" w:sz="4" w:space="0" w:color="auto"/>
              <w:right w:val="single" w:sz="4" w:space="0" w:color="auto"/>
            </w:tcBorders>
            <w:hideMark/>
          </w:tcPr>
          <w:p w14:paraId="45BAD2C1" w14:textId="77777777" w:rsidR="0070643D" w:rsidRPr="00881795" w:rsidRDefault="0070643D" w:rsidP="00395313">
            <w:pPr>
              <w:jc w:val="both"/>
              <w:rPr>
                <w:szCs w:val="20"/>
                <w:lang w:bidi="en-US"/>
              </w:rPr>
            </w:pPr>
            <w:r w:rsidRPr="00881795">
              <w:rPr>
                <w:szCs w:val="20"/>
                <w:lang w:bidi="en-US"/>
              </w:rPr>
              <w:t>The R66</w:t>
            </w:r>
          </w:p>
        </w:tc>
        <w:tc>
          <w:tcPr>
            <w:tcW w:w="7394" w:type="dxa"/>
            <w:tcBorders>
              <w:top w:val="single" w:sz="4" w:space="0" w:color="auto"/>
              <w:left w:val="single" w:sz="4" w:space="0" w:color="auto"/>
              <w:bottom w:val="single" w:sz="4" w:space="0" w:color="auto"/>
              <w:right w:val="single" w:sz="4" w:space="0" w:color="auto"/>
            </w:tcBorders>
            <w:hideMark/>
          </w:tcPr>
          <w:p w14:paraId="2B34107A" w14:textId="77777777" w:rsidR="0070643D" w:rsidRPr="00881795" w:rsidRDefault="0070643D" w:rsidP="00395313">
            <w:pPr>
              <w:jc w:val="both"/>
              <w:rPr>
                <w:bCs/>
                <w:szCs w:val="20"/>
                <w:lang w:bidi="en-US"/>
              </w:rPr>
            </w:pPr>
            <w:r w:rsidRPr="00881795">
              <w:rPr>
                <w:bCs/>
                <w:szCs w:val="20"/>
                <w:lang w:bidi="en-US"/>
              </w:rPr>
              <w:t xml:space="preserve">The R68 can be considered to be an as important transportation route within the uMlalazi Area as the N2 Highway. Emphasis is placed on the R66 in that it forms an almost central spine through the municipal area as well the location of the Primary Administrative Centre, two Secondary </w:t>
            </w:r>
            <w:r w:rsidR="003F34D3" w:rsidRPr="00881795">
              <w:rPr>
                <w:bCs/>
                <w:szCs w:val="20"/>
                <w:lang w:bidi="en-US"/>
              </w:rPr>
              <w:t>Centers</w:t>
            </w:r>
            <w:r w:rsidRPr="00881795">
              <w:rPr>
                <w:bCs/>
                <w:szCs w:val="20"/>
                <w:lang w:bidi="en-US"/>
              </w:rPr>
              <w:t xml:space="preserve"> and three Tertiary </w:t>
            </w:r>
            <w:r w:rsidR="003F34D3" w:rsidRPr="00881795">
              <w:rPr>
                <w:bCs/>
                <w:szCs w:val="20"/>
                <w:lang w:bidi="en-US"/>
              </w:rPr>
              <w:t>Centers</w:t>
            </w:r>
            <w:r w:rsidRPr="00881795">
              <w:rPr>
                <w:bCs/>
                <w:szCs w:val="20"/>
                <w:lang w:bidi="en-US"/>
              </w:rPr>
              <w:t xml:space="preserve"> on it. It is a road that links the uMlalazi Area with the rest of the KwaZulu Natal interior and with the N2 Highway which in turn links to Richards Bay/Empangeni to the north, and Durban to the south.</w:t>
            </w:r>
          </w:p>
        </w:tc>
      </w:tr>
      <w:tr w:rsidR="0070643D" w:rsidRPr="00881795" w14:paraId="5F26647B" w14:textId="77777777" w:rsidTr="00BA0065">
        <w:tc>
          <w:tcPr>
            <w:tcW w:w="2353" w:type="dxa"/>
            <w:tcBorders>
              <w:top w:val="single" w:sz="4" w:space="0" w:color="auto"/>
              <w:left w:val="single" w:sz="4" w:space="0" w:color="auto"/>
              <w:bottom w:val="single" w:sz="4" w:space="0" w:color="auto"/>
              <w:right w:val="single" w:sz="4" w:space="0" w:color="auto"/>
            </w:tcBorders>
            <w:hideMark/>
          </w:tcPr>
          <w:p w14:paraId="60751CAF" w14:textId="77777777" w:rsidR="0070643D" w:rsidRPr="00881795" w:rsidRDefault="0070643D" w:rsidP="00395313">
            <w:pPr>
              <w:jc w:val="both"/>
              <w:rPr>
                <w:szCs w:val="20"/>
                <w:lang w:bidi="en-US"/>
              </w:rPr>
            </w:pPr>
            <w:r w:rsidRPr="00881795">
              <w:rPr>
                <w:szCs w:val="20"/>
                <w:lang w:bidi="en-US"/>
              </w:rPr>
              <w:t>The R34</w:t>
            </w:r>
          </w:p>
        </w:tc>
        <w:tc>
          <w:tcPr>
            <w:tcW w:w="7394" w:type="dxa"/>
            <w:tcBorders>
              <w:top w:val="single" w:sz="4" w:space="0" w:color="auto"/>
              <w:left w:val="single" w:sz="4" w:space="0" w:color="auto"/>
              <w:bottom w:val="single" w:sz="4" w:space="0" w:color="auto"/>
              <w:right w:val="single" w:sz="4" w:space="0" w:color="auto"/>
            </w:tcBorders>
            <w:hideMark/>
          </w:tcPr>
          <w:p w14:paraId="07DA5CCA" w14:textId="77777777" w:rsidR="0070643D" w:rsidRPr="00881795" w:rsidRDefault="0070643D" w:rsidP="00395313">
            <w:pPr>
              <w:jc w:val="both"/>
              <w:rPr>
                <w:bCs/>
                <w:szCs w:val="20"/>
                <w:lang w:bidi="en-US"/>
              </w:rPr>
            </w:pPr>
            <w:r w:rsidRPr="00881795">
              <w:rPr>
                <w:bCs/>
                <w:szCs w:val="20"/>
                <w:lang w:bidi="en-US"/>
              </w:rPr>
              <w:t xml:space="preserve">This route is located in the north of the municipal area and is the current most effective link between The </w:t>
            </w:r>
            <w:r w:rsidR="003F34D3" w:rsidRPr="00881795">
              <w:rPr>
                <w:bCs/>
                <w:szCs w:val="20"/>
                <w:lang w:bidi="en-US"/>
              </w:rPr>
              <w:t>R66 (</w:t>
            </w:r>
            <w:r w:rsidRPr="00881795">
              <w:rPr>
                <w:bCs/>
                <w:szCs w:val="20"/>
                <w:lang w:bidi="en-US"/>
              </w:rPr>
              <w:t xml:space="preserve">between Melmoth and Eshowe) and Richards Bay Empangeni. Only one Tertiary Centre has been identified in relation to this road (Nkwaleni). The reason is the fact that the area, within which this road is aligned through the uMlalazi Local Municipality, is dominated by commercial farming, which discourages nodal development. The importance of this road is in its link with the </w:t>
            </w:r>
            <w:r w:rsidR="003C03FA">
              <w:rPr>
                <w:bCs/>
                <w:szCs w:val="20"/>
                <w:lang w:bidi="en-US"/>
              </w:rPr>
              <w:t>District</w:t>
            </w:r>
            <w:r w:rsidRPr="00881795">
              <w:rPr>
                <w:bCs/>
                <w:szCs w:val="20"/>
                <w:lang w:bidi="en-US"/>
              </w:rPr>
              <w:t xml:space="preserve"> Centre of Richards Bay/Empangeni.</w:t>
            </w:r>
          </w:p>
        </w:tc>
      </w:tr>
    </w:tbl>
    <w:p w14:paraId="5EE9BE3D" w14:textId="77777777" w:rsidR="0070643D" w:rsidRPr="006600F2" w:rsidRDefault="0070643D" w:rsidP="00750180">
      <w:pPr>
        <w:pStyle w:val="Heading4"/>
        <w:numPr>
          <w:ilvl w:val="3"/>
          <w:numId w:val="40"/>
        </w:numPr>
        <w:spacing w:after="240"/>
      </w:pPr>
      <w:bookmarkStart w:id="683" w:name="_Toc327349371"/>
      <w:bookmarkStart w:id="684" w:name="_Toc291152534"/>
      <w:bookmarkStart w:id="685" w:name="_Toc389740117"/>
      <w:r w:rsidRPr="006600F2">
        <w:t>SECONDARY CORRIDORS</w:t>
      </w:r>
      <w:bookmarkEnd w:id="683"/>
      <w:bookmarkEnd w:id="684"/>
      <w:bookmarkEnd w:id="685"/>
    </w:p>
    <w:p w14:paraId="48341828" w14:textId="77777777" w:rsidR="0070643D" w:rsidRPr="00FB61F8" w:rsidRDefault="0070643D" w:rsidP="006600F2">
      <w:pPr>
        <w:spacing w:after="0"/>
        <w:jc w:val="both"/>
        <w:outlineLvl w:val="0"/>
        <w:rPr>
          <w:b/>
          <w:bCs/>
          <w:szCs w:val="20"/>
          <w:lang w:bidi="en-US"/>
        </w:rPr>
      </w:pPr>
      <w:bookmarkStart w:id="686" w:name="_Toc325627968"/>
      <w:bookmarkStart w:id="687" w:name="_Toc288723522"/>
      <w:bookmarkStart w:id="688" w:name="_Toc389740118"/>
      <w:bookmarkStart w:id="689" w:name="_Toc510622355"/>
      <w:r w:rsidRPr="00FB61F8">
        <w:rPr>
          <w:b/>
          <w:bCs/>
          <w:szCs w:val="20"/>
          <w:lang w:bidi="en-US"/>
        </w:rPr>
        <w:t xml:space="preserve">Table </w:t>
      </w:r>
      <w:r w:rsidR="00D55BDA" w:rsidRPr="00FB61F8">
        <w:rPr>
          <w:b/>
          <w:bCs/>
          <w:szCs w:val="20"/>
          <w:lang w:bidi="en-US"/>
        </w:rPr>
        <w:fldChar w:fldCharType="begin"/>
      </w:r>
      <w:r w:rsidRPr="00FB61F8">
        <w:rPr>
          <w:b/>
          <w:bCs/>
          <w:szCs w:val="20"/>
          <w:lang w:bidi="en-US"/>
        </w:rPr>
        <w:instrText xml:space="preserve"> SEQ Table \* ARABIC </w:instrText>
      </w:r>
      <w:r w:rsidR="00D55BDA" w:rsidRPr="00FB61F8">
        <w:rPr>
          <w:b/>
          <w:bCs/>
          <w:szCs w:val="20"/>
          <w:lang w:bidi="en-US"/>
        </w:rPr>
        <w:fldChar w:fldCharType="separate"/>
      </w:r>
      <w:r w:rsidR="0067023A">
        <w:rPr>
          <w:b/>
          <w:bCs/>
          <w:noProof/>
          <w:szCs w:val="20"/>
          <w:lang w:bidi="en-US"/>
        </w:rPr>
        <w:t>104</w:t>
      </w:r>
      <w:r w:rsidR="00D55BDA" w:rsidRPr="00FB61F8">
        <w:rPr>
          <w:szCs w:val="20"/>
        </w:rPr>
        <w:fldChar w:fldCharType="end"/>
      </w:r>
      <w:r w:rsidRPr="00FB61F8">
        <w:rPr>
          <w:b/>
          <w:bCs/>
          <w:szCs w:val="20"/>
          <w:lang w:bidi="en-US"/>
        </w:rPr>
        <w:t>: Secondary Corridors</w:t>
      </w:r>
      <w:bookmarkEnd w:id="686"/>
      <w:bookmarkEnd w:id="687"/>
      <w:bookmarkEnd w:id="688"/>
      <w:bookmarkEnd w:id="68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3"/>
        <w:gridCol w:w="7316"/>
      </w:tblGrid>
      <w:tr w:rsidR="0070643D" w:rsidRPr="00FB61F8" w14:paraId="25819625" w14:textId="77777777" w:rsidTr="00C31C45">
        <w:trPr>
          <w:trHeight w:val="385"/>
          <w:tblHeader/>
        </w:trPr>
        <w:tc>
          <w:tcPr>
            <w:tcW w:w="234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18F82E3" w14:textId="77777777" w:rsidR="0070643D" w:rsidRPr="00FB61F8" w:rsidRDefault="0070643D" w:rsidP="006600F2">
            <w:pPr>
              <w:spacing w:after="0"/>
              <w:jc w:val="both"/>
              <w:rPr>
                <w:b/>
                <w:szCs w:val="20"/>
                <w:lang w:bidi="en-US"/>
              </w:rPr>
            </w:pPr>
            <w:r w:rsidRPr="00FB61F8">
              <w:rPr>
                <w:b/>
                <w:szCs w:val="20"/>
                <w:lang w:bidi="en-US"/>
              </w:rPr>
              <w:t>Name</w:t>
            </w:r>
          </w:p>
        </w:tc>
        <w:tc>
          <w:tcPr>
            <w:tcW w:w="740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99CF576" w14:textId="77777777" w:rsidR="0070643D" w:rsidRPr="00FB61F8" w:rsidRDefault="0070643D" w:rsidP="006600F2">
            <w:pPr>
              <w:spacing w:after="0"/>
              <w:jc w:val="both"/>
              <w:rPr>
                <w:b/>
                <w:szCs w:val="20"/>
                <w:lang w:bidi="en-US"/>
              </w:rPr>
            </w:pPr>
            <w:r w:rsidRPr="00FB61F8">
              <w:rPr>
                <w:b/>
                <w:szCs w:val="20"/>
                <w:lang w:bidi="en-US"/>
              </w:rPr>
              <w:t>Location/Description</w:t>
            </w:r>
          </w:p>
        </w:tc>
      </w:tr>
      <w:tr w:rsidR="0070643D" w:rsidRPr="00FB61F8" w14:paraId="64F555DE" w14:textId="77777777" w:rsidTr="00BA0065">
        <w:tc>
          <w:tcPr>
            <w:tcW w:w="2342" w:type="dxa"/>
            <w:tcBorders>
              <w:top w:val="single" w:sz="4" w:space="0" w:color="auto"/>
              <w:left w:val="single" w:sz="4" w:space="0" w:color="auto"/>
              <w:bottom w:val="single" w:sz="4" w:space="0" w:color="auto"/>
              <w:right w:val="single" w:sz="4" w:space="0" w:color="auto"/>
            </w:tcBorders>
            <w:hideMark/>
          </w:tcPr>
          <w:p w14:paraId="7769E0F4" w14:textId="77777777" w:rsidR="0070643D" w:rsidRPr="00FB61F8" w:rsidRDefault="0070643D" w:rsidP="00395313">
            <w:pPr>
              <w:jc w:val="both"/>
              <w:rPr>
                <w:szCs w:val="20"/>
                <w:lang w:bidi="en-US"/>
              </w:rPr>
            </w:pPr>
            <w:r w:rsidRPr="00FB61F8">
              <w:rPr>
                <w:szCs w:val="20"/>
                <w:lang w:bidi="en-US"/>
              </w:rPr>
              <w:t>The P710</w:t>
            </w:r>
          </w:p>
        </w:tc>
        <w:tc>
          <w:tcPr>
            <w:tcW w:w="7405" w:type="dxa"/>
            <w:tcBorders>
              <w:top w:val="single" w:sz="4" w:space="0" w:color="auto"/>
              <w:left w:val="single" w:sz="4" w:space="0" w:color="auto"/>
              <w:bottom w:val="single" w:sz="4" w:space="0" w:color="auto"/>
              <w:right w:val="single" w:sz="4" w:space="0" w:color="auto"/>
            </w:tcBorders>
            <w:hideMark/>
          </w:tcPr>
          <w:p w14:paraId="33E7F6D7" w14:textId="77777777" w:rsidR="0070643D" w:rsidRPr="00FB61F8" w:rsidRDefault="0070643D" w:rsidP="00395313">
            <w:pPr>
              <w:jc w:val="both"/>
              <w:rPr>
                <w:bCs/>
                <w:szCs w:val="20"/>
                <w:lang w:bidi="en-US"/>
              </w:rPr>
            </w:pPr>
            <w:r w:rsidRPr="00FB61F8">
              <w:rPr>
                <w:bCs/>
                <w:szCs w:val="20"/>
                <w:lang w:bidi="en-US"/>
              </w:rPr>
              <w:t xml:space="preserve">This route is aligned along the western/south-western boundary of the municipal area. It links Mandeni to the south of Eshowe, with Mbongolwane, a Secondary Centre. Two other Tertiary </w:t>
            </w:r>
            <w:r w:rsidR="003F34D3" w:rsidRPr="00FB61F8">
              <w:rPr>
                <w:bCs/>
                <w:szCs w:val="20"/>
                <w:lang w:bidi="en-US"/>
              </w:rPr>
              <w:t>Centers</w:t>
            </w:r>
            <w:r w:rsidRPr="00FB61F8">
              <w:rPr>
                <w:bCs/>
                <w:szCs w:val="20"/>
                <w:lang w:bidi="en-US"/>
              </w:rPr>
              <w:t xml:space="preserve"> are located along the route. The road is presently gravel-surfaced, and has been identified in the uMlalazi IDP for upgrading by means of tarring. The route serves the farming areas alongside it as well as scattered human settlements.</w:t>
            </w:r>
          </w:p>
        </w:tc>
      </w:tr>
      <w:tr w:rsidR="0070643D" w:rsidRPr="00FB61F8" w14:paraId="2F2674C4" w14:textId="77777777" w:rsidTr="00BA0065">
        <w:tc>
          <w:tcPr>
            <w:tcW w:w="2342" w:type="dxa"/>
            <w:tcBorders>
              <w:top w:val="single" w:sz="4" w:space="0" w:color="auto"/>
              <w:left w:val="single" w:sz="4" w:space="0" w:color="auto"/>
              <w:bottom w:val="single" w:sz="4" w:space="0" w:color="auto"/>
              <w:right w:val="single" w:sz="4" w:space="0" w:color="auto"/>
            </w:tcBorders>
            <w:hideMark/>
          </w:tcPr>
          <w:p w14:paraId="32EC1598" w14:textId="77777777" w:rsidR="0070643D" w:rsidRPr="00FB61F8" w:rsidRDefault="0070643D" w:rsidP="00395313">
            <w:pPr>
              <w:jc w:val="both"/>
              <w:rPr>
                <w:szCs w:val="20"/>
                <w:lang w:bidi="en-US"/>
              </w:rPr>
            </w:pPr>
            <w:r w:rsidRPr="00FB61F8">
              <w:rPr>
                <w:szCs w:val="20"/>
                <w:lang w:bidi="en-US"/>
              </w:rPr>
              <w:t>The P50</w:t>
            </w:r>
          </w:p>
        </w:tc>
        <w:tc>
          <w:tcPr>
            <w:tcW w:w="7405" w:type="dxa"/>
            <w:tcBorders>
              <w:top w:val="single" w:sz="4" w:space="0" w:color="auto"/>
              <w:left w:val="single" w:sz="4" w:space="0" w:color="auto"/>
              <w:bottom w:val="single" w:sz="4" w:space="0" w:color="auto"/>
              <w:right w:val="single" w:sz="4" w:space="0" w:color="auto"/>
            </w:tcBorders>
            <w:hideMark/>
          </w:tcPr>
          <w:p w14:paraId="260529EF" w14:textId="77777777" w:rsidR="0070643D" w:rsidRPr="00FB61F8" w:rsidRDefault="0070643D" w:rsidP="00395313">
            <w:pPr>
              <w:jc w:val="both"/>
              <w:rPr>
                <w:bCs/>
                <w:szCs w:val="20"/>
                <w:lang w:bidi="en-US"/>
              </w:rPr>
            </w:pPr>
            <w:r w:rsidRPr="00FB61F8">
              <w:rPr>
                <w:bCs/>
                <w:szCs w:val="20"/>
                <w:lang w:bidi="en-US"/>
              </w:rPr>
              <w:t>This route links Eshowe and Nkandla to the north-west of Eshowe. It also links Entumeni with Eshowe and Mbongolwane is on this route. This corridor services an agricultural area of considerable size and will become increasingly important with the implementation of the Mbambiswano/Entumeni Agricultural project. The route is aligned through areas of outstanding agricultural quality</w:t>
            </w:r>
          </w:p>
        </w:tc>
      </w:tr>
      <w:tr w:rsidR="0070643D" w:rsidRPr="00FB61F8" w14:paraId="23446147" w14:textId="77777777" w:rsidTr="00BA0065">
        <w:tc>
          <w:tcPr>
            <w:tcW w:w="2342" w:type="dxa"/>
            <w:tcBorders>
              <w:top w:val="single" w:sz="4" w:space="0" w:color="auto"/>
              <w:left w:val="single" w:sz="4" w:space="0" w:color="auto"/>
              <w:bottom w:val="single" w:sz="4" w:space="0" w:color="auto"/>
              <w:right w:val="single" w:sz="4" w:space="0" w:color="auto"/>
            </w:tcBorders>
            <w:hideMark/>
          </w:tcPr>
          <w:p w14:paraId="715A4CDB" w14:textId="77777777" w:rsidR="0070643D" w:rsidRPr="00FB61F8" w:rsidRDefault="0070643D" w:rsidP="00395313">
            <w:pPr>
              <w:jc w:val="both"/>
              <w:rPr>
                <w:szCs w:val="20"/>
                <w:lang w:bidi="en-US"/>
              </w:rPr>
            </w:pPr>
            <w:r w:rsidRPr="00FB61F8">
              <w:rPr>
                <w:szCs w:val="20"/>
                <w:lang w:bidi="en-US"/>
              </w:rPr>
              <w:t>The P15</w:t>
            </w:r>
          </w:p>
        </w:tc>
        <w:tc>
          <w:tcPr>
            <w:tcW w:w="7405" w:type="dxa"/>
            <w:tcBorders>
              <w:top w:val="single" w:sz="4" w:space="0" w:color="auto"/>
              <w:left w:val="single" w:sz="4" w:space="0" w:color="auto"/>
              <w:bottom w:val="single" w:sz="4" w:space="0" w:color="auto"/>
              <w:right w:val="single" w:sz="4" w:space="0" w:color="auto"/>
            </w:tcBorders>
            <w:hideMark/>
          </w:tcPr>
          <w:p w14:paraId="30435C9B" w14:textId="77777777" w:rsidR="0070643D" w:rsidRPr="00FB61F8" w:rsidRDefault="0070643D" w:rsidP="00395313">
            <w:pPr>
              <w:jc w:val="both"/>
              <w:rPr>
                <w:bCs/>
                <w:szCs w:val="20"/>
                <w:lang w:bidi="en-US"/>
              </w:rPr>
            </w:pPr>
            <w:r w:rsidRPr="00FB61F8">
              <w:rPr>
                <w:bCs/>
                <w:szCs w:val="20"/>
                <w:lang w:bidi="en-US"/>
              </w:rPr>
              <w:t>This corridor establishes a road link between Kranskop and the P50. It is aligned through areas that accommodate the poorer section of the uMlalazi population. The road is generally in a poor condition and has a gravel surface. If improved to an acceptable standard, it will encourage traffic movement between the areas of Greytown/Kranskop and Eshowe, as it will shorten the traveling distance to a considerable extent. The route also serves farming areas and areas of human settlement.</w:t>
            </w:r>
          </w:p>
        </w:tc>
      </w:tr>
    </w:tbl>
    <w:p w14:paraId="1154B8C3" w14:textId="77777777" w:rsidR="0070643D" w:rsidRPr="006600F2" w:rsidRDefault="0070643D" w:rsidP="00750180">
      <w:pPr>
        <w:pStyle w:val="Heading4"/>
        <w:numPr>
          <w:ilvl w:val="3"/>
          <w:numId w:val="40"/>
        </w:numPr>
        <w:spacing w:after="240"/>
      </w:pPr>
      <w:bookmarkStart w:id="690" w:name="_Toc327349372"/>
      <w:bookmarkStart w:id="691" w:name="_Toc291152535"/>
      <w:bookmarkStart w:id="692" w:name="_Toc389740119"/>
      <w:r w:rsidRPr="006600F2">
        <w:t>TERTIARY CORRIDORS</w:t>
      </w:r>
      <w:bookmarkEnd w:id="690"/>
      <w:bookmarkEnd w:id="691"/>
      <w:bookmarkEnd w:id="692"/>
    </w:p>
    <w:p w14:paraId="7A40CDC1" w14:textId="77777777" w:rsidR="0070643D" w:rsidRPr="00FB61F8" w:rsidRDefault="0070643D" w:rsidP="006600F2">
      <w:pPr>
        <w:spacing w:after="0"/>
        <w:jc w:val="both"/>
        <w:outlineLvl w:val="0"/>
        <w:rPr>
          <w:b/>
          <w:bCs/>
          <w:szCs w:val="20"/>
          <w:lang w:bidi="en-US"/>
        </w:rPr>
      </w:pPr>
      <w:bookmarkStart w:id="693" w:name="_Toc325627969"/>
      <w:bookmarkStart w:id="694" w:name="_Toc288723523"/>
      <w:bookmarkStart w:id="695" w:name="_Toc389740120"/>
      <w:bookmarkStart w:id="696" w:name="_Toc510622356"/>
      <w:r w:rsidRPr="00FB61F8">
        <w:rPr>
          <w:b/>
          <w:bCs/>
          <w:szCs w:val="20"/>
          <w:lang w:bidi="en-US"/>
        </w:rPr>
        <w:t xml:space="preserve">Table </w:t>
      </w:r>
      <w:r w:rsidR="00D55BDA" w:rsidRPr="00FB61F8">
        <w:rPr>
          <w:b/>
          <w:bCs/>
          <w:szCs w:val="20"/>
          <w:lang w:bidi="en-US"/>
        </w:rPr>
        <w:fldChar w:fldCharType="begin"/>
      </w:r>
      <w:r w:rsidRPr="00FB61F8">
        <w:rPr>
          <w:b/>
          <w:bCs/>
          <w:szCs w:val="20"/>
          <w:lang w:bidi="en-US"/>
        </w:rPr>
        <w:instrText xml:space="preserve"> SEQ Table \* ARABIC </w:instrText>
      </w:r>
      <w:r w:rsidR="00D55BDA" w:rsidRPr="00FB61F8">
        <w:rPr>
          <w:b/>
          <w:bCs/>
          <w:szCs w:val="20"/>
          <w:lang w:bidi="en-US"/>
        </w:rPr>
        <w:fldChar w:fldCharType="separate"/>
      </w:r>
      <w:r w:rsidR="0067023A">
        <w:rPr>
          <w:b/>
          <w:bCs/>
          <w:noProof/>
          <w:szCs w:val="20"/>
          <w:lang w:bidi="en-US"/>
        </w:rPr>
        <w:t>105</w:t>
      </w:r>
      <w:r w:rsidR="00D55BDA" w:rsidRPr="00FB61F8">
        <w:rPr>
          <w:szCs w:val="20"/>
        </w:rPr>
        <w:fldChar w:fldCharType="end"/>
      </w:r>
      <w:r w:rsidRPr="00FB61F8">
        <w:rPr>
          <w:b/>
          <w:bCs/>
          <w:szCs w:val="20"/>
          <w:lang w:bidi="en-US"/>
        </w:rPr>
        <w:t>: Tertiary Corridors</w:t>
      </w:r>
      <w:bookmarkEnd w:id="693"/>
      <w:bookmarkEnd w:id="694"/>
      <w:bookmarkEnd w:id="695"/>
      <w:bookmarkEnd w:id="69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9"/>
        <w:gridCol w:w="7310"/>
      </w:tblGrid>
      <w:tr w:rsidR="0070643D" w:rsidRPr="00FB61F8" w14:paraId="0D22D2BC" w14:textId="77777777" w:rsidTr="00C31C45">
        <w:trPr>
          <w:trHeight w:val="385"/>
          <w:tblHeader/>
        </w:trPr>
        <w:tc>
          <w:tcPr>
            <w:tcW w:w="234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32258CE" w14:textId="77777777" w:rsidR="0070643D" w:rsidRPr="00FB61F8" w:rsidRDefault="0070643D" w:rsidP="006600F2">
            <w:pPr>
              <w:spacing w:after="0"/>
              <w:jc w:val="both"/>
              <w:rPr>
                <w:b/>
                <w:szCs w:val="20"/>
                <w:lang w:bidi="en-US"/>
              </w:rPr>
            </w:pPr>
            <w:r w:rsidRPr="00FB61F8">
              <w:rPr>
                <w:b/>
                <w:szCs w:val="20"/>
                <w:lang w:bidi="en-US"/>
              </w:rPr>
              <w:t>Name</w:t>
            </w:r>
          </w:p>
        </w:tc>
        <w:tc>
          <w:tcPr>
            <w:tcW w:w="740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7B59BB1" w14:textId="77777777" w:rsidR="0070643D" w:rsidRPr="00FB61F8" w:rsidRDefault="0070643D" w:rsidP="006600F2">
            <w:pPr>
              <w:spacing w:after="0"/>
              <w:jc w:val="both"/>
              <w:rPr>
                <w:b/>
                <w:szCs w:val="20"/>
                <w:lang w:bidi="en-US"/>
              </w:rPr>
            </w:pPr>
            <w:r w:rsidRPr="00FB61F8">
              <w:rPr>
                <w:b/>
                <w:szCs w:val="20"/>
                <w:lang w:bidi="en-US"/>
              </w:rPr>
              <w:t>Location/Description</w:t>
            </w:r>
          </w:p>
        </w:tc>
      </w:tr>
      <w:tr w:rsidR="0070643D" w:rsidRPr="00FB61F8" w14:paraId="36806B66" w14:textId="77777777" w:rsidTr="00BA0065">
        <w:tc>
          <w:tcPr>
            <w:tcW w:w="2346" w:type="dxa"/>
            <w:tcBorders>
              <w:top w:val="single" w:sz="4" w:space="0" w:color="auto"/>
              <w:left w:val="single" w:sz="4" w:space="0" w:color="auto"/>
              <w:bottom w:val="single" w:sz="4" w:space="0" w:color="auto"/>
              <w:right w:val="single" w:sz="4" w:space="0" w:color="auto"/>
            </w:tcBorders>
            <w:hideMark/>
          </w:tcPr>
          <w:p w14:paraId="0BFB2C79" w14:textId="77777777" w:rsidR="0070643D" w:rsidRPr="00FB61F8" w:rsidRDefault="0070643D" w:rsidP="00395313">
            <w:pPr>
              <w:jc w:val="both"/>
              <w:rPr>
                <w:szCs w:val="20"/>
                <w:lang w:bidi="en-US"/>
              </w:rPr>
            </w:pPr>
            <w:r w:rsidRPr="00FB61F8">
              <w:rPr>
                <w:szCs w:val="20"/>
                <w:lang w:bidi="en-US"/>
              </w:rPr>
              <w:t>The P230</w:t>
            </w:r>
          </w:p>
        </w:tc>
        <w:tc>
          <w:tcPr>
            <w:tcW w:w="7401" w:type="dxa"/>
            <w:tcBorders>
              <w:top w:val="single" w:sz="4" w:space="0" w:color="auto"/>
              <w:left w:val="single" w:sz="4" w:space="0" w:color="auto"/>
              <w:bottom w:val="single" w:sz="4" w:space="0" w:color="auto"/>
              <w:right w:val="single" w:sz="4" w:space="0" w:color="auto"/>
            </w:tcBorders>
            <w:hideMark/>
          </w:tcPr>
          <w:p w14:paraId="3DE5DDF2" w14:textId="77777777" w:rsidR="0070643D" w:rsidRPr="00FB61F8" w:rsidRDefault="0070643D" w:rsidP="00395313">
            <w:pPr>
              <w:jc w:val="both"/>
              <w:rPr>
                <w:bCs/>
                <w:szCs w:val="20"/>
                <w:lang w:bidi="en-US"/>
              </w:rPr>
            </w:pPr>
            <w:r w:rsidRPr="00FB61F8">
              <w:rPr>
                <w:szCs w:val="20"/>
                <w:lang w:bidi="en-US"/>
              </w:rPr>
              <w:t xml:space="preserve">This is identified as a Tertiary Corridor for the present, but it is expected that this route, which is identified for upgrading will develop over the medium term into a Secondary Corridor. Not only the improved condition of the road will contribute to this, but also there are already two Secondary </w:t>
            </w:r>
            <w:r w:rsidR="003F34D3" w:rsidRPr="00FB61F8">
              <w:rPr>
                <w:szCs w:val="20"/>
                <w:lang w:bidi="en-US"/>
              </w:rPr>
              <w:t>Centers</w:t>
            </w:r>
            <w:r w:rsidRPr="00FB61F8">
              <w:rPr>
                <w:szCs w:val="20"/>
                <w:lang w:bidi="en-US"/>
              </w:rPr>
              <w:t xml:space="preserve"> (Ndlangubo and Nkumo) and two Tertiary </w:t>
            </w:r>
            <w:r w:rsidR="003F34D3" w:rsidRPr="00FB61F8">
              <w:rPr>
                <w:szCs w:val="20"/>
                <w:lang w:bidi="en-US"/>
              </w:rPr>
              <w:t>Centers</w:t>
            </w:r>
            <w:r w:rsidRPr="00FB61F8">
              <w:rPr>
                <w:szCs w:val="20"/>
                <w:lang w:bidi="en-US"/>
              </w:rPr>
              <w:t xml:space="preserve"> (Ondini and Oquqeni), located along it. It is also a route, which is used extensively by tourists visiting the area. Added to this, it presents a shorter traveling distance between Richards Bay/Empangeni and Eshowe, when compared to the R34. The alternative route is the R34, which is aligned to the north of the municipal area and has a tarred surface. </w:t>
            </w:r>
          </w:p>
        </w:tc>
      </w:tr>
      <w:tr w:rsidR="0070643D" w:rsidRPr="00FB61F8" w14:paraId="40847204" w14:textId="77777777" w:rsidTr="00BA0065">
        <w:tc>
          <w:tcPr>
            <w:tcW w:w="2346" w:type="dxa"/>
            <w:tcBorders>
              <w:top w:val="single" w:sz="4" w:space="0" w:color="auto"/>
              <w:left w:val="single" w:sz="4" w:space="0" w:color="auto"/>
              <w:bottom w:val="single" w:sz="4" w:space="0" w:color="auto"/>
              <w:right w:val="single" w:sz="4" w:space="0" w:color="auto"/>
            </w:tcBorders>
            <w:hideMark/>
          </w:tcPr>
          <w:p w14:paraId="77A503C4" w14:textId="77777777" w:rsidR="0070643D" w:rsidRPr="00FB61F8" w:rsidRDefault="0070643D" w:rsidP="00395313">
            <w:pPr>
              <w:jc w:val="both"/>
              <w:rPr>
                <w:szCs w:val="20"/>
                <w:lang w:bidi="en-US"/>
              </w:rPr>
            </w:pPr>
            <w:r w:rsidRPr="00FB61F8">
              <w:rPr>
                <w:szCs w:val="20"/>
                <w:lang w:bidi="en-US"/>
              </w:rPr>
              <w:t>The D528</w:t>
            </w:r>
          </w:p>
        </w:tc>
        <w:tc>
          <w:tcPr>
            <w:tcW w:w="7401" w:type="dxa"/>
            <w:tcBorders>
              <w:top w:val="single" w:sz="4" w:space="0" w:color="auto"/>
              <w:left w:val="single" w:sz="4" w:space="0" w:color="auto"/>
              <w:bottom w:val="single" w:sz="4" w:space="0" w:color="auto"/>
              <w:right w:val="single" w:sz="4" w:space="0" w:color="auto"/>
            </w:tcBorders>
            <w:hideMark/>
          </w:tcPr>
          <w:p w14:paraId="108E5CA2" w14:textId="77777777" w:rsidR="0070643D" w:rsidRPr="00FB61F8" w:rsidRDefault="0070643D" w:rsidP="00395313">
            <w:pPr>
              <w:jc w:val="both"/>
              <w:rPr>
                <w:bCs/>
                <w:szCs w:val="20"/>
                <w:lang w:bidi="en-US"/>
              </w:rPr>
            </w:pPr>
            <w:r w:rsidRPr="00FB61F8">
              <w:rPr>
                <w:bCs/>
                <w:szCs w:val="20"/>
                <w:lang w:bidi="en-US"/>
              </w:rPr>
              <w:t>This tertiary corridor links the R102 (Primary Corridor) with the P230 and is aligned through an area of agricultural production to the east of the Ongoye Forest. The importance of this corridor is the link it provides between the two aforesaid corridors</w:t>
            </w:r>
          </w:p>
        </w:tc>
      </w:tr>
      <w:tr w:rsidR="0070643D" w:rsidRPr="00881795" w14:paraId="5271BADF" w14:textId="77777777" w:rsidTr="00BA0065">
        <w:tc>
          <w:tcPr>
            <w:tcW w:w="2346" w:type="dxa"/>
            <w:tcBorders>
              <w:top w:val="single" w:sz="4" w:space="0" w:color="auto"/>
              <w:left w:val="single" w:sz="4" w:space="0" w:color="auto"/>
              <w:bottom w:val="single" w:sz="4" w:space="0" w:color="auto"/>
              <w:right w:val="single" w:sz="4" w:space="0" w:color="auto"/>
            </w:tcBorders>
            <w:hideMark/>
          </w:tcPr>
          <w:p w14:paraId="3416E204" w14:textId="77777777" w:rsidR="0070643D" w:rsidRPr="00FB61F8" w:rsidRDefault="0070643D" w:rsidP="00395313">
            <w:pPr>
              <w:jc w:val="both"/>
              <w:rPr>
                <w:szCs w:val="20"/>
                <w:lang w:bidi="en-US"/>
              </w:rPr>
            </w:pPr>
            <w:r w:rsidRPr="00FB61F8">
              <w:rPr>
                <w:szCs w:val="20"/>
                <w:lang w:bidi="en-US"/>
              </w:rPr>
              <w:t>The D356</w:t>
            </w:r>
          </w:p>
        </w:tc>
        <w:tc>
          <w:tcPr>
            <w:tcW w:w="7401" w:type="dxa"/>
            <w:tcBorders>
              <w:top w:val="single" w:sz="4" w:space="0" w:color="auto"/>
              <w:left w:val="single" w:sz="4" w:space="0" w:color="auto"/>
              <w:bottom w:val="single" w:sz="4" w:space="0" w:color="auto"/>
              <w:right w:val="single" w:sz="4" w:space="0" w:color="auto"/>
            </w:tcBorders>
            <w:hideMark/>
          </w:tcPr>
          <w:p w14:paraId="6CE96FC5" w14:textId="77777777" w:rsidR="0070643D" w:rsidRPr="00881795" w:rsidRDefault="0070643D" w:rsidP="00395313">
            <w:pPr>
              <w:jc w:val="both"/>
              <w:rPr>
                <w:bCs/>
                <w:szCs w:val="20"/>
                <w:lang w:bidi="en-US"/>
              </w:rPr>
            </w:pPr>
            <w:r w:rsidRPr="00FB61F8">
              <w:rPr>
                <w:bCs/>
                <w:szCs w:val="20"/>
                <w:lang w:bidi="en-US"/>
              </w:rPr>
              <w:t>This tertiary corridor is aligned between Eshowe and the P710 and serves some scattered human settlements and areas of agricultural production</w:t>
            </w:r>
          </w:p>
        </w:tc>
      </w:tr>
    </w:tbl>
    <w:p w14:paraId="701AE2D6" w14:textId="77777777" w:rsidR="0053744E" w:rsidRDefault="0053744E" w:rsidP="00395313">
      <w:pPr>
        <w:jc w:val="both"/>
        <w:rPr>
          <w:szCs w:val="20"/>
          <w:lang w:bidi="en-US"/>
        </w:rPr>
      </w:pPr>
    </w:p>
    <w:p w14:paraId="527D262D" w14:textId="77777777" w:rsidR="0053744E" w:rsidRDefault="0053744E" w:rsidP="00395313">
      <w:pPr>
        <w:jc w:val="both"/>
        <w:rPr>
          <w:szCs w:val="20"/>
          <w:lang w:bidi="en-US"/>
        </w:rPr>
      </w:pPr>
    </w:p>
    <w:p w14:paraId="262E5EB2" w14:textId="77777777" w:rsidR="0053744E" w:rsidRPr="00881795" w:rsidRDefault="0053744E" w:rsidP="00395313">
      <w:pPr>
        <w:jc w:val="both"/>
        <w:rPr>
          <w:szCs w:val="20"/>
        </w:rPr>
        <w:sectPr w:rsidR="0053744E" w:rsidRPr="00881795" w:rsidSect="00E20FA5">
          <w:pgSz w:w="11907" w:h="16839" w:code="9"/>
          <w:pgMar w:top="851" w:right="1134" w:bottom="851" w:left="1134" w:header="720" w:footer="720" w:gutter="0"/>
          <w:cols w:space="720"/>
          <w:docGrid w:linePitch="360"/>
        </w:sectPr>
      </w:pPr>
    </w:p>
    <w:p w14:paraId="5BF39E0A" w14:textId="77777777" w:rsidR="00AD4671" w:rsidRPr="00AD4671" w:rsidRDefault="00544B05" w:rsidP="002F62F0">
      <w:pPr>
        <w:pStyle w:val="Caption"/>
      </w:pPr>
      <w:bookmarkStart w:id="697" w:name="_Toc325627825"/>
      <w:bookmarkStart w:id="698" w:name="_Toc389740122"/>
      <w:bookmarkStart w:id="699" w:name="_Toc481468941"/>
      <w:r w:rsidRPr="00881795">
        <w:t xml:space="preserve">Map </w:t>
      </w:r>
      <w:r w:rsidR="00D55BDA" w:rsidRPr="00881795">
        <w:fldChar w:fldCharType="begin"/>
      </w:r>
      <w:r w:rsidR="00267165" w:rsidRPr="00881795">
        <w:instrText xml:space="preserve"> SEQ Map \* ARABIC </w:instrText>
      </w:r>
      <w:r w:rsidR="00D55BDA" w:rsidRPr="00881795">
        <w:fldChar w:fldCharType="separate"/>
      </w:r>
      <w:r w:rsidR="0067023A">
        <w:rPr>
          <w:noProof/>
        </w:rPr>
        <w:t>29</w:t>
      </w:r>
      <w:r w:rsidR="00D55BDA" w:rsidRPr="00881795">
        <w:rPr>
          <w:noProof/>
        </w:rPr>
        <w:fldChar w:fldCharType="end"/>
      </w:r>
      <w:r w:rsidRPr="00881795">
        <w:t xml:space="preserve">:  </w:t>
      </w:r>
      <w:bookmarkEnd w:id="697"/>
      <w:bookmarkEnd w:id="698"/>
      <w:r w:rsidR="00AD4671">
        <w:t>Nodes and Settlements</w:t>
      </w:r>
      <w:bookmarkEnd w:id="699"/>
    </w:p>
    <w:p w14:paraId="2C02DB7F" w14:textId="77777777" w:rsidR="00AD4671" w:rsidRPr="00AD4671" w:rsidRDefault="00787705" w:rsidP="00AD4671">
      <w:r w:rsidRPr="00787705">
        <w:rPr>
          <w:noProof/>
        </w:rPr>
        <w:drawing>
          <wp:inline distT="0" distB="0" distL="0" distR="0" wp14:anchorId="33A4D9A0" wp14:editId="563DA9CA">
            <wp:extent cx="8505825" cy="5486400"/>
            <wp:effectExtent l="0" t="0" r="9525" b="0"/>
            <wp:docPr id="28685" name="Picture 28685" descr="C:\Users\siphephelok\Desktop\Nodes and Settleme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C:\Users\siphephelok\Desktop\Nodes and Settlements.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505825" cy="5486400"/>
                    </a:xfrm>
                    <a:prstGeom prst="rect">
                      <a:avLst/>
                    </a:prstGeom>
                    <a:noFill/>
                    <a:ln>
                      <a:noFill/>
                    </a:ln>
                  </pic:spPr>
                </pic:pic>
              </a:graphicData>
            </a:graphic>
          </wp:inline>
        </w:drawing>
      </w:r>
    </w:p>
    <w:p w14:paraId="6DDFA1DE" w14:textId="3D31AB55" w:rsidR="0044326E" w:rsidRDefault="0044326E" w:rsidP="002F62F0">
      <w:pPr>
        <w:pStyle w:val="Caption"/>
      </w:pPr>
      <w:bookmarkStart w:id="700" w:name="_Toc481468942"/>
      <w:r w:rsidRPr="0044326E">
        <w:rPr>
          <w:noProof/>
        </w:rPr>
        <w:drawing>
          <wp:inline distT="0" distB="0" distL="0" distR="0" wp14:anchorId="21C1297F" wp14:editId="79630EFC">
            <wp:extent cx="9213215" cy="5710687"/>
            <wp:effectExtent l="0" t="0" r="6985" b="444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9214448" cy="5711451"/>
                    </a:xfrm>
                    <a:prstGeom prst="rect">
                      <a:avLst/>
                    </a:prstGeom>
                    <a:noFill/>
                    <a:ln>
                      <a:noFill/>
                    </a:ln>
                  </pic:spPr>
                </pic:pic>
              </a:graphicData>
            </a:graphic>
          </wp:inline>
        </w:drawing>
      </w:r>
    </w:p>
    <w:p w14:paraId="3751B0FE" w14:textId="5616BAA5" w:rsidR="0044326E" w:rsidRDefault="0044326E" w:rsidP="0044326E">
      <w:pPr>
        <w:pStyle w:val="Caption"/>
      </w:pPr>
      <w:r>
        <w:t xml:space="preserve">Map </w:t>
      </w:r>
      <w:r w:rsidR="00B918A6">
        <w:fldChar w:fldCharType="begin"/>
      </w:r>
      <w:r w:rsidR="00B918A6">
        <w:instrText xml:space="preserve"> SEQ Map \* ARABIC </w:instrText>
      </w:r>
      <w:r w:rsidR="00B918A6">
        <w:fldChar w:fldCharType="separate"/>
      </w:r>
      <w:r w:rsidR="0067023A">
        <w:rPr>
          <w:noProof/>
        </w:rPr>
        <w:t>30</w:t>
      </w:r>
      <w:r w:rsidR="00B918A6">
        <w:rPr>
          <w:noProof/>
        </w:rPr>
        <w:fldChar w:fldCharType="end"/>
      </w:r>
      <w:r>
        <w:t>: Environmentally Sensitive Areas</w:t>
      </w:r>
    </w:p>
    <w:p w14:paraId="04AB6644" w14:textId="77777777" w:rsidR="00AD4671" w:rsidRDefault="000E19C7" w:rsidP="002F62F0">
      <w:pPr>
        <w:pStyle w:val="Caption"/>
      </w:pPr>
      <w:r>
        <w:t xml:space="preserve">Map </w:t>
      </w:r>
      <w:r w:rsidR="00B918A6">
        <w:fldChar w:fldCharType="begin"/>
      </w:r>
      <w:r w:rsidR="00B918A6">
        <w:instrText xml:space="preserve"> SEQ Map \* ARABIC </w:instrText>
      </w:r>
      <w:r w:rsidR="00B918A6">
        <w:fldChar w:fldCharType="separate"/>
      </w:r>
      <w:r w:rsidR="0067023A">
        <w:rPr>
          <w:noProof/>
        </w:rPr>
        <w:t>31</w:t>
      </w:r>
      <w:r w:rsidR="00B918A6">
        <w:rPr>
          <w:noProof/>
        </w:rPr>
        <w:fldChar w:fldCharType="end"/>
      </w:r>
      <w:r>
        <w:t>: Corridors</w:t>
      </w:r>
      <w:bookmarkEnd w:id="700"/>
    </w:p>
    <w:p w14:paraId="3E7EEAFC" w14:textId="77777777" w:rsidR="00AD4671" w:rsidRPr="00AD4671" w:rsidRDefault="00AD4671" w:rsidP="00AD4671">
      <w:r>
        <w:rPr>
          <w:noProof/>
        </w:rPr>
        <w:drawing>
          <wp:inline distT="0" distB="0" distL="0" distR="0" wp14:anchorId="16A77BFC" wp14:editId="324C1E9B">
            <wp:extent cx="9600316" cy="5143500"/>
            <wp:effectExtent l="0" t="0" r="1270" b="0"/>
            <wp:docPr id="43024" name="Picture 43024" descr="C:\Users\DR NGIDI\Downloads\Corridors_24May2015_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DR NGIDI\Downloads\Corridors_24May2015_a3.jp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9613542" cy="5150586"/>
                    </a:xfrm>
                    <a:prstGeom prst="rect">
                      <a:avLst/>
                    </a:prstGeom>
                    <a:noFill/>
                    <a:ln>
                      <a:noFill/>
                    </a:ln>
                  </pic:spPr>
                </pic:pic>
              </a:graphicData>
            </a:graphic>
          </wp:inline>
        </w:drawing>
      </w:r>
    </w:p>
    <w:p w14:paraId="2609ACCD" w14:textId="77777777" w:rsidR="00326482" w:rsidRDefault="00326482" w:rsidP="00395313">
      <w:pPr>
        <w:jc w:val="both"/>
        <w:rPr>
          <w:szCs w:val="20"/>
        </w:rPr>
      </w:pPr>
    </w:p>
    <w:p w14:paraId="7C8EA0F2" w14:textId="77777777" w:rsidR="0044326E" w:rsidRPr="00881795" w:rsidRDefault="0044326E" w:rsidP="00395313">
      <w:pPr>
        <w:jc w:val="both"/>
        <w:rPr>
          <w:szCs w:val="20"/>
        </w:rPr>
      </w:pPr>
    </w:p>
    <w:p w14:paraId="5C36F37C" w14:textId="77777777" w:rsidR="00877188" w:rsidRDefault="00877188" w:rsidP="002F62F0">
      <w:pPr>
        <w:pStyle w:val="Caption"/>
      </w:pPr>
      <w:bookmarkStart w:id="701" w:name="_Toc389740123"/>
      <w:bookmarkStart w:id="702" w:name="_Toc481468943"/>
      <w:r w:rsidRPr="00881795">
        <w:t xml:space="preserve">Map </w:t>
      </w:r>
      <w:r w:rsidR="00D55BDA" w:rsidRPr="00881795">
        <w:fldChar w:fldCharType="begin"/>
      </w:r>
      <w:r w:rsidR="001F5827" w:rsidRPr="00881795">
        <w:instrText xml:space="preserve"> SEQ Map \* ARABIC </w:instrText>
      </w:r>
      <w:r w:rsidR="00D55BDA" w:rsidRPr="00881795">
        <w:fldChar w:fldCharType="separate"/>
      </w:r>
      <w:r w:rsidR="0067023A">
        <w:rPr>
          <w:noProof/>
        </w:rPr>
        <w:t>32</w:t>
      </w:r>
      <w:r w:rsidR="00D55BDA" w:rsidRPr="00881795">
        <w:fldChar w:fldCharType="end"/>
      </w:r>
      <w:r w:rsidRPr="00881795">
        <w:t xml:space="preserve">: </w:t>
      </w:r>
      <w:bookmarkEnd w:id="701"/>
      <w:r w:rsidR="000E19C7">
        <w:t>Areas with Socio-economic Needs</w:t>
      </w:r>
      <w:bookmarkEnd w:id="702"/>
    </w:p>
    <w:p w14:paraId="4327D308" w14:textId="77777777" w:rsidR="00F67A53" w:rsidRDefault="00F67A53" w:rsidP="00F67A53">
      <w:r>
        <w:rPr>
          <w:noProof/>
        </w:rPr>
        <w:drawing>
          <wp:anchor distT="0" distB="0" distL="114300" distR="114300" simplePos="0" relativeHeight="251708928" behindDoc="0" locked="0" layoutInCell="1" allowOverlap="1" wp14:anchorId="2D3EF2A8" wp14:editId="62EFE268">
            <wp:simplePos x="0" y="0"/>
            <wp:positionH relativeFrom="margin">
              <wp:align>center</wp:align>
            </wp:positionH>
            <wp:positionV relativeFrom="margin">
              <wp:posOffset>473075</wp:posOffset>
            </wp:positionV>
            <wp:extent cx="9173210" cy="5257800"/>
            <wp:effectExtent l="0" t="0" r="8890" b="0"/>
            <wp:wrapSquare wrapText="bothSides"/>
            <wp:docPr id="28716" name="Picture 28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extLst>
                        <a:ext uri="{28A0092B-C50C-407E-A947-70E740481C1C}">
                          <a14:useLocalDpi xmlns:a14="http://schemas.microsoft.com/office/drawing/2010/main" val="0"/>
                        </a:ext>
                      </a:extLst>
                    </a:blip>
                    <a:stretch>
                      <a:fillRect/>
                    </a:stretch>
                  </pic:blipFill>
                  <pic:spPr>
                    <a:xfrm>
                      <a:off x="0" y="0"/>
                      <a:ext cx="9173210" cy="5257800"/>
                    </a:xfrm>
                    <a:prstGeom prst="rect">
                      <a:avLst/>
                    </a:prstGeom>
                  </pic:spPr>
                </pic:pic>
              </a:graphicData>
            </a:graphic>
            <wp14:sizeRelH relativeFrom="margin">
              <wp14:pctWidth>0</wp14:pctWidth>
            </wp14:sizeRelH>
          </wp:anchor>
        </w:drawing>
      </w:r>
    </w:p>
    <w:p w14:paraId="69D7C4D4" w14:textId="77777777" w:rsidR="00F67A53" w:rsidRDefault="00F67A53" w:rsidP="00F67A53"/>
    <w:p w14:paraId="15A6DA93" w14:textId="77777777" w:rsidR="000E19C7" w:rsidRDefault="000E19C7" w:rsidP="002F62F0">
      <w:pPr>
        <w:pStyle w:val="Caption"/>
      </w:pPr>
      <w:bookmarkStart w:id="703" w:name="_Toc481468944"/>
      <w:bookmarkStart w:id="704" w:name="_Toc389740124"/>
      <w:r>
        <w:t xml:space="preserve">Map </w:t>
      </w:r>
      <w:r w:rsidR="00B918A6">
        <w:fldChar w:fldCharType="begin"/>
      </w:r>
      <w:r w:rsidR="00B918A6">
        <w:instrText xml:space="preserve"> SEQ Map \* ARABIC </w:instrText>
      </w:r>
      <w:r w:rsidR="00B918A6">
        <w:fldChar w:fldCharType="separate"/>
      </w:r>
      <w:r w:rsidR="0067023A">
        <w:rPr>
          <w:noProof/>
        </w:rPr>
        <w:t>33</w:t>
      </w:r>
      <w:r w:rsidR="00B918A6">
        <w:rPr>
          <w:noProof/>
        </w:rPr>
        <w:fldChar w:fldCharType="end"/>
      </w:r>
      <w:r>
        <w:t>: Areas with Infrastructural Needs</w:t>
      </w:r>
      <w:bookmarkEnd w:id="703"/>
    </w:p>
    <w:p w14:paraId="3D1BFFE9" w14:textId="77777777" w:rsidR="000E19C7" w:rsidRDefault="000E19C7" w:rsidP="000E19C7">
      <w:r>
        <w:rPr>
          <w:noProof/>
        </w:rPr>
        <w:drawing>
          <wp:inline distT="0" distB="0" distL="0" distR="0" wp14:anchorId="27CDA5A5" wp14:editId="17587A12">
            <wp:extent cx="9631017" cy="5575852"/>
            <wp:effectExtent l="0" t="0" r="8890" b="6350"/>
            <wp:docPr id="28717" name="Picture 28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9631017" cy="5575852"/>
                    </a:xfrm>
                    <a:prstGeom prst="rect">
                      <a:avLst/>
                    </a:prstGeom>
                  </pic:spPr>
                </pic:pic>
              </a:graphicData>
            </a:graphic>
          </wp:inline>
        </w:drawing>
      </w:r>
    </w:p>
    <w:p w14:paraId="7635648F" w14:textId="77777777" w:rsidR="00877188" w:rsidRPr="00881795" w:rsidRDefault="00877188" w:rsidP="002F62F0">
      <w:pPr>
        <w:pStyle w:val="Caption"/>
      </w:pPr>
      <w:bookmarkStart w:id="705" w:name="_Toc481468945"/>
      <w:r w:rsidRPr="00881795">
        <w:t xml:space="preserve">Map </w:t>
      </w:r>
      <w:r w:rsidR="00D55BDA" w:rsidRPr="00881795">
        <w:fldChar w:fldCharType="begin"/>
      </w:r>
      <w:r w:rsidR="001F5827" w:rsidRPr="00881795">
        <w:instrText xml:space="preserve"> SEQ Map \* ARABIC </w:instrText>
      </w:r>
      <w:r w:rsidR="00D55BDA" w:rsidRPr="00881795">
        <w:fldChar w:fldCharType="separate"/>
      </w:r>
      <w:r w:rsidR="0067023A">
        <w:rPr>
          <w:noProof/>
        </w:rPr>
        <w:t>34</w:t>
      </w:r>
      <w:r w:rsidR="00D55BDA" w:rsidRPr="00881795">
        <w:fldChar w:fldCharType="end"/>
      </w:r>
      <w:r w:rsidRPr="00881795">
        <w:t>:  Land Capability</w:t>
      </w:r>
      <w:r w:rsidR="00EE1EB8" w:rsidRPr="00881795">
        <w:t xml:space="preserve"> for Agricultural Development in Relation to </w:t>
      </w:r>
      <w:r w:rsidRPr="00881795">
        <w:t>Poverty</w:t>
      </w:r>
      <w:bookmarkEnd w:id="704"/>
      <w:bookmarkEnd w:id="705"/>
    </w:p>
    <w:p w14:paraId="795FB6C2" w14:textId="77777777" w:rsidR="00877188" w:rsidRPr="00881795" w:rsidRDefault="00C96B9D" w:rsidP="00395313">
      <w:pPr>
        <w:jc w:val="both"/>
      </w:pPr>
      <w:r w:rsidRPr="00881795">
        <w:rPr>
          <w:noProof/>
        </w:rPr>
        <w:drawing>
          <wp:inline distT="0" distB="0" distL="0" distR="0" wp14:anchorId="384FB0D3" wp14:editId="643F4F8A">
            <wp:extent cx="9496425" cy="5723255"/>
            <wp:effectExtent l="0" t="0" r="9525" b="0"/>
            <wp:docPr id="43038" name="Picture 4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ndCapabilityAndPoverty2011_a3.jp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9507723" cy="5730064"/>
                    </a:xfrm>
                    <a:prstGeom prst="rect">
                      <a:avLst/>
                    </a:prstGeom>
                  </pic:spPr>
                </pic:pic>
              </a:graphicData>
            </a:graphic>
          </wp:inline>
        </w:drawing>
      </w:r>
    </w:p>
    <w:p w14:paraId="67F33792" w14:textId="77777777" w:rsidR="00877188" w:rsidRPr="00881795" w:rsidRDefault="00877188" w:rsidP="002F62F0">
      <w:pPr>
        <w:pStyle w:val="Caption"/>
      </w:pPr>
      <w:bookmarkStart w:id="706" w:name="_Toc389740126"/>
      <w:bookmarkStart w:id="707" w:name="_Toc481468946"/>
      <w:r w:rsidRPr="00881795">
        <w:t xml:space="preserve">Map </w:t>
      </w:r>
      <w:r w:rsidR="00D55BDA" w:rsidRPr="00881795">
        <w:fldChar w:fldCharType="begin"/>
      </w:r>
      <w:r w:rsidR="001F5827" w:rsidRPr="00881795">
        <w:instrText xml:space="preserve"> SEQ Map \* ARABIC </w:instrText>
      </w:r>
      <w:r w:rsidR="00D55BDA" w:rsidRPr="00881795">
        <w:fldChar w:fldCharType="separate"/>
      </w:r>
      <w:r w:rsidR="0067023A">
        <w:rPr>
          <w:noProof/>
        </w:rPr>
        <w:t>35</w:t>
      </w:r>
      <w:r w:rsidR="00D55BDA" w:rsidRPr="00881795">
        <w:fldChar w:fldCharType="end"/>
      </w:r>
      <w:r w:rsidRPr="00881795">
        <w:t>:  Population Density and Access to Nodes</w:t>
      </w:r>
      <w:bookmarkEnd w:id="706"/>
      <w:r w:rsidR="00C96B9D" w:rsidRPr="00881795">
        <w:rPr>
          <w:noProof/>
        </w:rPr>
        <w:drawing>
          <wp:inline distT="0" distB="0" distL="0" distR="0" wp14:anchorId="6BDB4682" wp14:editId="562CE036">
            <wp:extent cx="9467850" cy="572008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pulationDensityAndAccessToNodes2011_a3.jp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9472133" cy="5722668"/>
                    </a:xfrm>
                    <a:prstGeom prst="rect">
                      <a:avLst/>
                    </a:prstGeom>
                  </pic:spPr>
                </pic:pic>
              </a:graphicData>
            </a:graphic>
          </wp:inline>
        </w:drawing>
      </w:r>
      <w:bookmarkEnd w:id="707"/>
    </w:p>
    <w:p w14:paraId="78A7C90E" w14:textId="77777777" w:rsidR="00877188" w:rsidRDefault="00877188" w:rsidP="002F62F0">
      <w:pPr>
        <w:pStyle w:val="Caption"/>
      </w:pPr>
      <w:bookmarkStart w:id="708" w:name="_Toc389740127"/>
      <w:bookmarkStart w:id="709" w:name="_Toc481468947"/>
      <w:r w:rsidRPr="00881795">
        <w:t xml:space="preserve">Map </w:t>
      </w:r>
      <w:r w:rsidR="00D55BDA" w:rsidRPr="00881795">
        <w:fldChar w:fldCharType="begin"/>
      </w:r>
      <w:r w:rsidR="001F5827" w:rsidRPr="00881795">
        <w:instrText xml:space="preserve"> SEQ Map \* ARABIC </w:instrText>
      </w:r>
      <w:r w:rsidR="00D55BDA" w:rsidRPr="00881795">
        <w:fldChar w:fldCharType="separate"/>
      </w:r>
      <w:r w:rsidR="0067023A">
        <w:rPr>
          <w:noProof/>
        </w:rPr>
        <w:t>36</w:t>
      </w:r>
      <w:r w:rsidR="00D55BDA" w:rsidRPr="00881795">
        <w:fldChar w:fldCharType="end"/>
      </w:r>
      <w:r w:rsidRPr="00881795">
        <w:t xml:space="preserve">:  </w:t>
      </w:r>
      <w:bookmarkEnd w:id="708"/>
      <w:r w:rsidR="00B20214">
        <w:t>Intervention Areas: Human Resources and Community Development</w:t>
      </w:r>
      <w:bookmarkEnd w:id="709"/>
    </w:p>
    <w:p w14:paraId="57D9294D" w14:textId="77777777" w:rsidR="00B20214" w:rsidRPr="00B20214" w:rsidRDefault="00B20214" w:rsidP="00B20214">
      <w:r>
        <w:rPr>
          <w:noProof/>
        </w:rPr>
        <w:drawing>
          <wp:inline distT="0" distB="0" distL="0" distR="0" wp14:anchorId="12A2628B" wp14:editId="7AAB29B0">
            <wp:extent cx="9631017" cy="5734878"/>
            <wp:effectExtent l="0" t="0" r="8890" b="0"/>
            <wp:docPr id="28718" name="Picture 28718" descr="C:\Users\DR NGIDI\Downloads\HumanResources_24May2015_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Users\DR NGIDI\Downloads\HumanResources_24May2015_a3.jp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646851" cy="5744307"/>
                    </a:xfrm>
                    <a:prstGeom prst="rect">
                      <a:avLst/>
                    </a:prstGeom>
                    <a:noFill/>
                    <a:ln>
                      <a:noFill/>
                    </a:ln>
                  </pic:spPr>
                </pic:pic>
              </a:graphicData>
            </a:graphic>
          </wp:inline>
        </w:drawing>
      </w:r>
    </w:p>
    <w:p w14:paraId="41125BB2" w14:textId="77777777" w:rsidR="00877188" w:rsidRPr="00881795" w:rsidRDefault="00B20214" w:rsidP="002F62F0">
      <w:pPr>
        <w:pStyle w:val="Caption"/>
      </w:pPr>
      <w:bookmarkStart w:id="710" w:name="_Toc481468948"/>
      <w:r>
        <w:t xml:space="preserve">Map </w:t>
      </w:r>
      <w:r w:rsidR="00B918A6">
        <w:fldChar w:fldCharType="begin"/>
      </w:r>
      <w:r w:rsidR="00B918A6">
        <w:instrText xml:space="preserve"> SEQ Map \* ARABIC </w:instrText>
      </w:r>
      <w:r w:rsidR="00B918A6">
        <w:fldChar w:fldCharType="separate"/>
      </w:r>
      <w:r w:rsidR="0067023A">
        <w:rPr>
          <w:noProof/>
        </w:rPr>
        <w:t>37</w:t>
      </w:r>
      <w:r w:rsidR="00B918A6">
        <w:rPr>
          <w:noProof/>
        </w:rPr>
        <w:fldChar w:fldCharType="end"/>
      </w:r>
      <w:r>
        <w:t>: Intervention Areas: Job Creation</w:t>
      </w:r>
      <w:bookmarkEnd w:id="710"/>
    </w:p>
    <w:p w14:paraId="785484A4" w14:textId="77777777" w:rsidR="00877188" w:rsidRPr="00881795" w:rsidRDefault="00B20214" w:rsidP="00395313">
      <w:pPr>
        <w:jc w:val="both"/>
      </w:pPr>
      <w:r>
        <w:rPr>
          <w:noProof/>
        </w:rPr>
        <w:drawing>
          <wp:inline distT="0" distB="0" distL="0" distR="0" wp14:anchorId="136B31D0" wp14:editId="1262A932">
            <wp:extent cx="9720469" cy="5188226"/>
            <wp:effectExtent l="0" t="0" r="0" b="0"/>
            <wp:docPr id="28719" name="Picture 28719" descr="C:\Users\DR NGIDI\Downloads\JobCreation_24May2015_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DR NGIDI\Downloads\JobCreation_24May2015_a3.jp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9731846" cy="5194298"/>
                    </a:xfrm>
                    <a:prstGeom prst="rect">
                      <a:avLst/>
                    </a:prstGeom>
                    <a:noFill/>
                    <a:ln>
                      <a:noFill/>
                    </a:ln>
                  </pic:spPr>
                </pic:pic>
              </a:graphicData>
            </a:graphic>
          </wp:inline>
        </w:drawing>
      </w:r>
    </w:p>
    <w:p w14:paraId="5D7184A2" w14:textId="77777777" w:rsidR="00B20214" w:rsidRDefault="00B20214" w:rsidP="00B20214">
      <w:pPr>
        <w:ind w:firstLine="720"/>
        <w:jc w:val="both"/>
      </w:pPr>
    </w:p>
    <w:p w14:paraId="66FA1AD5" w14:textId="77777777" w:rsidR="00B20214" w:rsidRDefault="00B20214" w:rsidP="002F62F0">
      <w:pPr>
        <w:pStyle w:val="Caption"/>
      </w:pPr>
      <w:bookmarkStart w:id="711" w:name="_Toc481468949"/>
      <w:r>
        <w:t xml:space="preserve">Map </w:t>
      </w:r>
      <w:r w:rsidR="00B918A6">
        <w:fldChar w:fldCharType="begin"/>
      </w:r>
      <w:r w:rsidR="00B918A6">
        <w:instrText xml:space="preserve"> SEQ Map \* ARABIC </w:instrText>
      </w:r>
      <w:r w:rsidR="00B918A6">
        <w:fldChar w:fldCharType="separate"/>
      </w:r>
      <w:r w:rsidR="0067023A">
        <w:rPr>
          <w:noProof/>
        </w:rPr>
        <w:t>38</w:t>
      </w:r>
      <w:r w:rsidR="00B918A6">
        <w:rPr>
          <w:noProof/>
        </w:rPr>
        <w:fldChar w:fldCharType="end"/>
      </w:r>
      <w:r>
        <w:t>: Combined Focus Areas</w:t>
      </w:r>
      <w:bookmarkEnd w:id="711"/>
    </w:p>
    <w:p w14:paraId="23E4515F" w14:textId="77777777" w:rsidR="00B20214" w:rsidRDefault="00B20214" w:rsidP="00B20214">
      <w:pPr>
        <w:jc w:val="both"/>
      </w:pPr>
      <w:r>
        <w:rPr>
          <w:noProof/>
        </w:rPr>
        <w:drawing>
          <wp:inline distT="0" distB="0" distL="0" distR="0" wp14:anchorId="6E019237" wp14:editId="4D534AE1">
            <wp:extent cx="9640957" cy="5476461"/>
            <wp:effectExtent l="0" t="0" r="0" b="0"/>
            <wp:docPr id="28720" name="Picture 28720" descr="C:\Users\DR NGIDI\Downloads\AllInterventionAreas_24May2015_a3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Users\DR NGIDI\Downloads\AllInterventionAreas_24May2015_a3 (1).jp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9640957" cy="5476461"/>
                    </a:xfrm>
                    <a:prstGeom prst="rect">
                      <a:avLst/>
                    </a:prstGeom>
                    <a:noFill/>
                    <a:ln>
                      <a:noFill/>
                    </a:ln>
                  </pic:spPr>
                </pic:pic>
              </a:graphicData>
            </a:graphic>
          </wp:inline>
        </w:drawing>
      </w:r>
    </w:p>
    <w:p w14:paraId="091263E2" w14:textId="3072BA3C" w:rsidR="000330B6" w:rsidRDefault="00FB61F8" w:rsidP="00594AB3">
      <w:pPr>
        <w:pStyle w:val="Heading1"/>
      </w:pPr>
      <w:bookmarkStart w:id="712" w:name="_Toc389740129"/>
      <w:bookmarkStart w:id="713" w:name="_Toc510706694"/>
      <w:r>
        <w:t>SECTION E: 5.2</w:t>
      </w:r>
      <w:r w:rsidR="000A1FCC" w:rsidRPr="00881795">
        <w:t xml:space="preserve"> </w:t>
      </w:r>
      <w:r w:rsidR="000A1FCC" w:rsidRPr="00594AB3">
        <w:t>IMPLEMENTATION</w:t>
      </w:r>
      <w:r w:rsidR="000A1FCC" w:rsidRPr="00881795">
        <w:t xml:space="preserve"> PLAN</w:t>
      </w:r>
      <w:bookmarkEnd w:id="641"/>
      <w:bookmarkEnd w:id="642"/>
      <w:bookmarkEnd w:id="712"/>
      <w:bookmarkEnd w:id="713"/>
    </w:p>
    <w:p w14:paraId="218E9BB0" w14:textId="77777777" w:rsidR="000330B6" w:rsidRDefault="000330B6" w:rsidP="000330B6"/>
    <w:p w14:paraId="69B05114" w14:textId="77777777" w:rsidR="000330B6" w:rsidRPr="000330B6" w:rsidRDefault="000330B6" w:rsidP="000330B6"/>
    <w:tbl>
      <w:tblPr>
        <w:tblStyle w:val="TableGrid13"/>
        <w:tblW w:w="5000" w:type="pct"/>
        <w:tblLook w:val="04A0" w:firstRow="1" w:lastRow="0" w:firstColumn="1" w:lastColumn="0" w:noHBand="0" w:noVBand="1"/>
      </w:tblPr>
      <w:tblGrid>
        <w:gridCol w:w="840"/>
        <w:gridCol w:w="361"/>
        <w:gridCol w:w="818"/>
        <w:gridCol w:w="812"/>
        <w:gridCol w:w="1092"/>
        <w:gridCol w:w="1092"/>
        <w:gridCol w:w="1092"/>
        <w:gridCol w:w="1092"/>
        <w:gridCol w:w="1092"/>
        <w:gridCol w:w="1092"/>
        <w:gridCol w:w="1092"/>
        <w:gridCol w:w="549"/>
        <w:gridCol w:w="812"/>
        <w:gridCol w:w="925"/>
        <w:gridCol w:w="1113"/>
        <w:gridCol w:w="755"/>
        <w:gridCol w:w="498"/>
      </w:tblGrid>
      <w:tr w:rsidR="008A0277" w:rsidRPr="008A0277" w14:paraId="1BD2EE20" w14:textId="77777777" w:rsidTr="008A0277">
        <w:trPr>
          <w:trHeight w:val="567"/>
          <w:tblHeader/>
        </w:trPr>
        <w:tc>
          <w:tcPr>
            <w:tcW w:w="277" w:type="pct"/>
            <w:shd w:val="clear" w:color="auto" w:fill="D9D9D9" w:themeFill="background1" w:themeFillShade="D9"/>
            <w:hideMark/>
          </w:tcPr>
          <w:p w14:paraId="02C9C257"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KEY CHALLENGE</w:t>
            </w:r>
          </w:p>
        </w:tc>
        <w:tc>
          <w:tcPr>
            <w:tcW w:w="116" w:type="pct"/>
            <w:shd w:val="clear" w:color="auto" w:fill="D9D9D9" w:themeFill="background1" w:themeFillShade="D9"/>
            <w:hideMark/>
          </w:tcPr>
          <w:p w14:paraId="11312973"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REF</w:t>
            </w:r>
          </w:p>
        </w:tc>
        <w:tc>
          <w:tcPr>
            <w:tcW w:w="270" w:type="pct"/>
            <w:shd w:val="clear" w:color="auto" w:fill="D9D9D9" w:themeFill="background1" w:themeFillShade="D9"/>
            <w:hideMark/>
          </w:tcPr>
          <w:p w14:paraId="260FC9D8"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Key Performance Area (KPA)</w:t>
            </w:r>
          </w:p>
        </w:tc>
        <w:tc>
          <w:tcPr>
            <w:tcW w:w="268" w:type="pct"/>
            <w:shd w:val="clear" w:color="auto" w:fill="D9D9D9" w:themeFill="background1" w:themeFillShade="D9"/>
            <w:hideMark/>
          </w:tcPr>
          <w:p w14:paraId="46BF1C44"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Strategic Objective</w:t>
            </w:r>
          </w:p>
        </w:tc>
        <w:tc>
          <w:tcPr>
            <w:tcW w:w="362" w:type="pct"/>
            <w:shd w:val="clear" w:color="auto" w:fill="D9D9D9" w:themeFill="background1" w:themeFillShade="D9"/>
            <w:hideMark/>
          </w:tcPr>
          <w:p w14:paraId="2CAC2A68"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Key Performance Indicator</w:t>
            </w:r>
          </w:p>
        </w:tc>
        <w:tc>
          <w:tcPr>
            <w:tcW w:w="362" w:type="pct"/>
            <w:shd w:val="clear" w:color="auto" w:fill="D9D9D9" w:themeFill="background1" w:themeFillShade="D9"/>
            <w:hideMark/>
          </w:tcPr>
          <w:p w14:paraId="63E3991E"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Unit of Measurement</w:t>
            </w:r>
          </w:p>
        </w:tc>
        <w:tc>
          <w:tcPr>
            <w:tcW w:w="362" w:type="pct"/>
            <w:shd w:val="clear" w:color="auto" w:fill="D9D9D9" w:themeFill="background1" w:themeFillShade="D9"/>
            <w:hideMark/>
          </w:tcPr>
          <w:p w14:paraId="2D75FCB9"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Budget Year18/19</w:t>
            </w:r>
          </w:p>
        </w:tc>
        <w:tc>
          <w:tcPr>
            <w:tcW w:w="362" w:type="pct"/>
            <w:shd w:val="clear" w:color="auto" w:fill="D9D9D9" w:themeFill="background1" w:themeFillShade="D9"/>
            <w:hideMark/>
          </w:tcPr>
          <w:p w14:paraId="226D2378"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Budget Year 19/20</w:t>
            </w:r>
          </w:p>
        </w:tc>
        <w:tc>
          <w:tcPr>
            <w:tcW w:w="362" w:type="pct"/>
            <w:shd w:val="clear" w:color="auto" w:fill="D9D9D9" w:themeFill="background1" w:themeFillShade="D9"/>
            <w:hideMark/>
          </w:tcPr>
          <w:p w14:paraId="4FF67966"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Budget Year 20/21</w:t>
            </w:r>
          </w:p>
        </w:tc>
        <w:tc>
          <w:tcPr>
            <w:tcW w:w="362" w:type="pct"/>
            <w:shd w:val="clear" w:color="auto" w:fill="D9D9D9" w:themeFill="background1" w:themeFillShade="D9"/>
            <w:hideMark/>
          </w:tcPr>
          <w:p w14:paraId="3D9C30D8"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Budget Year 21/22</w:t>
            </w:r>
          </w:p>
        </w:tc>
        <w:tc>
          <w:tcPr>
            <w:tcW w:w="362" w:type="pct"/>
            <w:shd w:val="clear" w:color="auto" w:fill="D9D9D9" w:themeFill="background1" w:themeFillShade="D9"/>
            <w:hideMark/>
          </w:tcPr>
          <w:p w14:paraId="2C0AB2CD"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Budget Year 22/23</w:t>
            </w:r>
          </w:p>
        </w:tc>
        <w:tc>
          <w:tcPr>
            <w:tcW w:w="180" w:type="pct"/>
            <w:shd w:val="clear" w:color="auto" w:fill="D9D9D9" w:themeFill="background1" w:themeFillShade="D9"/>
            <w:hideMark/>
          </w:tcPr>
          <w:p w14:paraId="317A1E44"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Baseline</w:t>
            </w:r>
          </w:p>
        </w:tc>
        <w:tc>
          <w:tcPr>
            <w:tcW w:w="268" w:type="pct"/>
            <w:shd w:val="clear" w:color="auto" w:fill="D9D9D9" w:themeFill="background1" w:themeFillShade="D9"/>
            <w:hideMark/>
          </w:tcPr>
          <w:p w14:paraId="34E7EE98"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Responsible department</w:t>
            </w:r>
          </w:p>
        </w:tc>
        <w:tc>
          <w:tcPr>
            <w:tcW w:w="306" w:type="pct"/>
            <w:shd w:val="clear" w:color="auto" w:fill="D9D9D9" w:themeFill="background1" w:themeFillShade="D9"/>
            <w:hideMark/>
          </w:tcPr>
          <w:p w14:paraId="40B91988"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MSCOA Project Description</w:t>
            </w:r>
          </w:p>
        </w:tc>
        <w:tc>
          <w:tcPr>
            <w:tcW w:w="369" w:type="pct"/>
            <w:shd w:val="clear" w:color="auto" w:fill="D9D9D9" w:themeFill="background1" w:themeFillShade="D9"/>
            <w:hideMark/>
          </w:tcPr>
          <w:p w14:paraId="181547DB"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MSCOA Function Description</w:t>
            </w:r>
          </w:p>
        </w:tc>
        <w:tc>
          <w:tcPr>
            <w:tcW w:w="249" w:type="pct"/>
            <w:shd w:val="clear" w:color="auto" w:fill="D9D9D9" w:themeFill="background1" w:themeFillShade="D9"/>
            <w:hideMark/>
          </w:tcPr>
          <w:p w14:paraId="0372610C"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Funding Source</w:t>
            </w:r>
          </w:p>
        </w:tc>
        <w:tc>
          <w:tcPr>
            <w:tcW w:w="162" w:type="pct"/>
            <w:shd w:val="clear" w:color="auto" w:fill="D9D9D9" w:themeFill="background1" w:themeFillShade="D9"/>
            <w:hideMark/>
          </w:tcPr>
          <w:p w14:paraId="5601BD95"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Ward</w:t>
            </w:r>
          </w:p>
        </w:tc>
      </w:tr>
      <w:tr w:rsidR="008A0277" w:rsidRPr="008A0277" w14:paraId="0DDEC1F9" w14:textId="77777777" w:rsidTr="008A0277">
        <w:trPr>
          <w:trHeight w:val="767"/>
        </w:trPr>
        <w:tc>
          <w:tcPr>
            <w:tcW w:w="277" w:type="pct"/>
            <w:vMerge w:val="restart"/>
            <w:hideMark/>
          </w:tcPr>
          <w:p w14:paraId="0605F1C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Poor participation in HIV/Aids programs</w:t>
            </w:r>
          </w:p>
        </w:tc>
        <w:tc>
          <w:tcPr>
            <w:tcW w:w="116" w:type="pct"/>
            <w:vMerge w:val="restart"/>
            <w:hideMark/>
          </w:tcPr>
          <w:p w14:paraId="2D1A3DCF"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1</w:t>
            </w:r>
          </w:p>
        </w:tc>
        <w:tc>
          <w:tcPr>
            <w:tcW w:w="270" w:type="pct"/>
            <w:vMerge w:val="restart"/>
            <w:hideMark/>
          </w:tcPr>
          <w:p w14:paraId="62C1FD1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Good Governance and Public Participation</w:t>
            </w:r>
          </w:p>
        </w:tc>
        <w:tc>
          <w:tcPr>
            <w:tcW w:w="268" w:type="pct"/>
            <w:vMerge w:val="restart"/>
            <w:hideMark/>
          </w:tcPr>
          <w:p w14:paraId="47178C3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Mitigate the Impact of HIV/Aids in the Municipality area</w:t>
            </w:r>
          </w:p>
        </w:tc>
        <w:tc>
          <w:tcPr>
            <w:tcW w:w="362" w:type="pct"/>
            <w:vMerge w:val="restart"/>
            <w:hideMark/>
          </w:tcPr>
          <w:p w14:paraId="6D69DAB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Hold quarterly HIV/AIDS Council Meetings</w:t>
            </w:r>
          </w:p>
        </w:tc>
        <w:tc>
          <w:tcPr>
            <w:tcW w:w="362" w:type="pct"/>
            <w:vMerge w:val="restart"/>
            <w:hideMark/>
          </w:tcPr>
          <w:p w14:paraId="10F7763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No of HIV/AIDS Council Meetings</w:t>
            </w:r>
          </w:p>
        </w:tc>
        <w:tc>
          <w:tcPr>
            <w:tcW w:w="362" w:type="pct"/>
            <w:hideMark/>
          </w:tcPr>
          <w:p w14:paraId="007E112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4 HIV/Aids Council meetings held by 30 June                     </w:t>
            </w:r>
          </w:p>
        </w:tc>
        <w:tc>
          <w:tcPr>
            <w:tcW w:w="362" w:type="pct"/>
            <w:hideMark/>
          </w:tcPr>
          <w:p w14:paraId="7F6455A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4 HIV/Aids Council meetings held by 30 June                     </w:t>
            </w:r>
          </w:p>
        </w:tc>
        <w:tc>
          <w:tcPr>
            <w:tcW w:w="362" w:type="pct"/>
            <w:hideMark/>
          </w:tcPr>
          <w:p w14:paraId="47372E7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4 HIV/Aids Council meetings held by 30 June                     </w:t>
            </w:r>
          </w:p>
        </w:tc>
        <w:tc>
          <w:tcPr>
            <w:tcW w:w="362" w:type="pct"/>
            <w:hideMark/>
          </w:tcPr>
          <w:p w14:paraId="2AFDF97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4 HIV/Aids Council meetings held by 30 June                     </w:t>
            </w:r>
          </w:p>
        </w:tc>
        <w:tc>
          <w:tcPr>
            <w:tcW w:w="362" w:type="pct"/>
            <w:hideMark/>
          </w:tcPr>
          <w:p w14:paraId="6C586EE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4 HIV/Aids Council meetings held by 30 June                     </w:t>
            </w:r>
          </w:p>
        </w:tc>
        <w:tc>
          <w:tcPr>
            <w:tcW w:w="180" w:type="pct"/>
            <w:vMerge w:val="restart"/>
            <w:hideMark/>
          </w:tcPr>
          <w:p w14:paraId="17A4370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w:t>
            </w:r>
          </w:p>
        </w:tc>
        <w:tc>
          <w:tcPr>
            <w:tcW w:w="268" w:type="pct"/>
            <w:vMerge w:val="restart"/>
            <w:hideMark/>
          </w:tcPr>
          <w:p w14:paraId="11DF61D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MAYORAL OFFICE</w:t>
            </w:r>
          </w:p>
        </w:tc>
        <w:tc>
          <w:tcPr>
            <w:tcW w:w="306" w:type="pct"/>
            <w:vMerge w:val="restart"/>
            <w:hideMark/>
          </w:tcPr>
          <w:p w14:paraId="41B9DA6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HIV/Aids</w:t>
            </w:r>
          </w:p>
        </w:tc>
        <w:tc>
          <w:tcPr>
            <w:tcW w:w="369" w:type="pct"/>
            <w:vMerge w:val="restart"/>
            <w:hideMark/>
          </w:tcPr>
          <w:p w14:paraId="11FBDAE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Mayor and Council</w:t>
            </w:r>
          </w:p>
        </w:tc>
        <w:tc>
          <w:tcPr>
            <w:tcW w:w="249" w:type="pct"/>
            <w:vMerge w:val="restart"/>
            <w:hideMark/>
          </w:tcPr>
          <w:p w14:paraId="0609F96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Equitable Share</w:t>
            </w:r>
          </w:p>
        </w:tc>
        <w:tc>
          <w:tcPr>
            <w:tcW w:w="162" w:type="pct"/>
            <w:vMerge w:val="restart"/>
            <w:hideMark/>
          </w:tcPr>
          <w:p w14:paraId="47B1DFA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42A0292D" w14:textId="77777777" w:rsidTr="008A0277">
        <w:trPr>
          <w:trHeight w:val="135"/>
        </w:trPr>
        <w:tc>
          <w:tcPr>
            <w:tcW w:w="277" w:type="pct"/>
            <w:vMerge/>
            <w:hideMark/>
          </w:tcPr>
          <w:p w14:paraId="35C423EE"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40A33D53"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51746727"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79A62060"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75350193"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0D8A6A9A"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122855B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415 000.00</w:t>
            </w:r>
          </w:p>
        </w:tc>
        <w:tc>
          <w:tcPr>
            <w:tcW w:w="362" w:type="pct"/>
            <w:hideMark/>
          </w:tcPr>
          <w:p w14:paraId="306CF0B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195 000,00</w:t>
            </w:r>
          </w:p>
        </w:tc>
        <w:tc>
          <w:tcPr>
            <w:tcW w:w="362" w:type="pct"/>
            <w:hideMark/>
          </w:tcPr>
          <w:p w14:paraId="5E5AC4B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235 000,00</w:t>
            </w:r>
          </w:p>
        </w:tc>
        <w:tc>
          <w:tcPr>
            <w:tcW w:w="362" w:type="pct"/>
            <w:hideMark/>
          </w:tcPr>
          <w:p w14:paraId="5B3A6BF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250 000,00</w:t>
            </w:r>
          </w:p>
        </w:tc>
        <w:tc>
          <w:tcPr>
            <w:tcW w:w="362" w:type="pct"/>
            <w:hideMark/>
          </w:tcPr>
          <w:p w14:paraId="6B4CAC6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300 000,00</w:t>
            </w:r>
          </w:p>
        </w:tc>
        <w:tc>
          <w:tcPr>
            <w:tcW w:w="180" w:type="pct"/>
            <w:vMerge/>
            <w:hideMark/>
          </w:tcPr>
          <w:p w14:paraId="777E1AA4"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3BD10D46"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5DF70E78"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69F2FBD7"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29B456AD"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066DF016"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11FE6B18" w14:textId="77777777" w:rsidTr="008A0277">
        <w:trPr>
          <w:trHeight w:val="1249"/>
        </w:trPr>
        <w:tc>
          <w:tcPr>
            <w:tcW w:w="277" w:type="pct"/>
            <w:vMerge w:val="restart"/>
            <w:hideMark/>
          </w:tcPr>
          <w:p w14:paraId="15586B2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Inadequate financial performance</w:t>
            </w:r>
          </w:p>
        </w:tc>
        <w:tc>
          <w:tcPr>
            <w:tcW w:w="116" w:type="pct"/>
            <w:vMerge w:val="restart"/>
            <w:hideMark/>
          </w:tcPr>
          <w:p w14:paraId="7C12AB46"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2</w:t>
            </w:r>
          </w:p>
        </w:tc>
        <w:tc>
          <w:tcPr>
            <w:tcW w:w="270" w:type="pct"/>
            <w:vMerge w:val="restart"/>
            <w:hideMark/>
          </w:tcPr>
          <w:p w14:paraId="734197E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Financial Viability and Management</w:t>
            </w:r>
          </w:p>
        </w:tc>
        <w:tc>
          <w:tcPr>
            <w:tcW w:w="268" w:type="pct"/>
            <w:vMerge w:val="restart"/>
            <w:hideMark/>
          </w:tcPr>
          <w:p w14:paraId="366DACA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ensure continued sound financial management</w:t>
            </w:r>
          </w:p>
        </w:tc>
        <w:tc>
          <w:tcPr>
            <w:tcW w:w="362" w:type="pct"/>
            <w:vMerge w:val="restart"/>
            <w:hideMark/>
          </w:tcPr>
          <w:p w14:paraId="2886130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Submit quarterly reports to Council on Community support, youth development, Commemorative, budget expenditure </w:t>
            </w:r>
          </w:p>
        </w:tc>
        <w:tc>
          <w:tcPr>
            <w:tcW w:w="362" w:type="pct"/>
            <w:vMerge w:val="restart"/>
            <w:hideMark/>
          </w:tcPr>
          <w:p w14:paraId="3A94FDD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Number of reports submitted to Council by 30 June</w:t>
            </w:r>
          </w:p>
        </w:tc>
        <w:tc>
          <w:tcPr>
            <w:tcW w:w="362" w:type="pct"/>
            <w:hideMark/>
          </w:tcPr>
          <w:p w14:paraId="00DBC69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on Community support, youth development, Commemorative budget expenditure</w:t>
            </w:r>
          </w:p>
        </w:tc>
        <w:tc>
          <w:tcPr>
            <w:tcW w:w="362" w:type="pct"/>
            <w:hideMark/>
          </w:tcPr>
          <w:p w14:paraId="0A5EC81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on Community support, youth development, Commemorative budget expenditure</w:t>
            </w:r>
          </w:p>
        </w:tc>
        <w:tc>
          <w:tcPr>
            <w:tcW w:w="362" w:type="pct"/>
            <w:hideMark/>
          </w:tcPr>
          <w:p w14:paraId="712E81B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on Community support, youth development, Commemorative budget expenditure</w:t>
            </w:r>
          </w:p>
        </w:tc>
        <w:tc>
          <w:tcPr>
            <w:tcW w:w="362" w:type="pct"/>
            <w:hideMark/>
          </w:tcPr>
          <w:p w14:paraId="2032C4F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on Community support, youth development, Commemorative budget expenditure</w:t>
            </w:r>
          </w:p>
        </w:tc>
        <w:tc>
          <w:tcPr>
            <w:tcW w:w="362" w:type="pct"/>
            <w:hideMark/>
          </w:tcPr>
          <w:p w14:paraId="56BA656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on Community support, youth development, Commemorative budget expenditure</w:t>
            </w:r>
          </w:p>
        </w:tc>
        <w:tc>
          <w:tcPr>
            <w:tcW w:w="180" w:type="pct"/>
            <w:vMerge w:val="restart"/>
            <w:hideMark/>
          </w:tcPr>
          <w:p w14:paraId="47D048E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1C8999C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MAYORAL OFFICE</w:t>
            </w:r>
          </w:p>
        </w:tc>
        <w:tc>
          <w:tcPr>
            <w:tcW w:w="306" w:type="pct"/>
            <w:vMerge w:val="restart"/>
            <w:hideMark/>
          </w:tcPr>
          <w:p w14:paraId="65DCB17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Rural Education, Ceremonial, Youth Development, Community Support</w:t>
            </w:r>
          </w:p>
        </w:tc>
        <w:tc>
          <w:tcPr>
            <w:tcW w:w="369" w:type="pct"/>
            <w:vMerge w:val="restart"/>
            <w:hideMark/>
          </w:tcPr>
          <w:p w14:paraId="5E921EF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Mayor and Council</w:t>
            </w:r>
          </w:p>
        </w:tc>
        <w:tc>
          <w:tcPr>
            <w:tcW w:w="249" w:type="pct"/>
            <w:vMerge w:val="restart"/>
            <w:hideMark/>
          </w:tcPr>
          <w:p w14:paraId="26B9DA2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Equitable Share</w:t>
            </w:r>
          </w:p>
        </w:tc>
        <w:tc>
          <w:tcPr>
            <w:tcW w:w="162" w:type="pct"/>
            <w:vMerge w:val="restart"/>
            <w:hideMark/>
          </w:tcPr>
          <w:p w14:paraId="42F37C9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 11</w:t>
            </w:r>
          </w:p>
        </w:tc>
      </w:tr>
      <w:tr w:rsidR="008A0277" w:rsidRPr="008A0277" w14:paraId="3D3AE47A" w14:textId="77777777" w:rsidTr="008A0277">
        <w:trPr>
          <w:trHeight w:val="192"/>
        </w:trPr>
        <w:tc>
          <w:tcPr>
            <w:tcW w:w="277" w:type="pct"/>
            <w:vMerge/>
            <w:hideMark/>
          </w:tcPr>
          <w:p w14:paraId="685F35D5"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27A11C79"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6ACE1D9B"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0052A060"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7CDF2710"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17EA86C1"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1B40583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1 712 000.00</w:t>
            </w:r>
          </w:p>
        </w:tc>
        <w:tc>
          <w:tcPr>
            <w:tcW w:w="362" w:type="pct"/>
            <w:hideMark/>
          </w:tcPr>
          <w:p w14:paraId="0E85992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1 566 670.00</w:t>
            </w:r>
          </w:p>
        </w:tc>
        <w:tc>
          <w:tcPr>
            <w:tcW w:w="362" w:type="pct"/>
            <w:hideMark/>
          </w:tcPr>
          <w:p w14:paraId="3651AFE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1 523 080.00</w:t>
            </w:r>
          </w:p>
        </w:tc>
        <w:tc>
          <w:tcPr>
            <w:tcW w:w="362" w:type="pct"/>
            <w:hideMark/>
          </w:tcPr>
          <w:p w14:paraId="76D6345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1 600 000.00</w:t>
            </w:r>
          </w:p>
        </w:tc>
        <w:tc>
          <w:tcPr>
            <w:tcW w:w="362" w:type="pct"/>
            <w:hideMark/>
          </w:tcPr>
          <w:p w14:paraId="12A2DE6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1 700 000.00</w:t>
            </w:r>
          </w:p>
        </w:tc>
        <w:tc>
          <w:tcPr>
            <w:tcW w:w="180" w:type="pct"/>
            <w:vMerge/>
            <w:hideMark/>
          </w:tcPr>
          <w:p w14:paraId="0D39CA97"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7D1DC1CB"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79A078C3"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1C45BFF6"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3AE2023B"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0B7C5E50"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1BC8B631" w14:textId="77777777" w:rsidTr="008A0277">
        <w:trPr>
          <w:trHeight w:val="876"/>
        </w:trPr>
        <w:tc>
          <w:tcPr>
            <w:tcW w:w="277" w:type="pct"/>
            <w:vMerge w:val="restart"/>
            <w:hideMark/>
          </w:tcPr>
          <w:p w14:paraId="175BE5C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Inadequate financial performance</w:t>
            </w:r>
          </w:p>
        </w:tc>
        <w:tc>
          <w:tcPr>
            <w:tcW w:w="116" w:type="pct"/>
            <w:vMerge w:val="restart"/>
            <w:hideMark/>
          </w:tcPr>
          <w:p w14:paraId="3B89D0E4"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3</w:t>
            </w:r>
          </w:p>
        </w:tc>
        <w:tc>
          <w:tcPr>
            <w:tcW w:w="270" w:type="pct"/>
            <w:vMerge w:val="restart"/>
            <w:hideMark/>
          </w:tcPr>
          <w:p w14:paraId="311F820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Financial Viability and Management</w:t>
            </w:r>
          </w:p>
        </w:tc>
        <w:tc>
          <w:tcPr>
            <w:tcW w:w="268" w:type="pct"/>
            <w:vMerge w:val="restart"/>
            <w:hideMark/>
          </w:tcPr>
          <w:p w14:paraId="20CB75F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ensure continued sound financial management</w:t>
            </w:r>
          </w:p>
        </w:tc>
        <w:tc>
          <w:tcPr>
            <w:tcW w:w="362" w:type="pct"/>
            <w:vMerge w:val="restart"/>
            <w:hideMark/>
          </w:tcPr>
          <w:p w14:paraId="387A875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Undertake annual stock count of inventory at stores by 30 June </w:t>
            </w:r>
          </w:p>
        </w:tc>
        <w:tc>
          <w:tcPr>
            <w:tcW w:w="362" w:type="pct"/>
            <w:vMerge w:val="restart"/>
            <w:hideMark/>
          </w:tcPr>
          <w:p w14:paraId="4FA7B87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Date of completion of annual stock count of inventory </w:t>
            </w:r>
          </w:p>
        </w:tc>
        <w:tc>
          <w:tcPr>
            <w:tcW w:w="362" w:type="pct"/>
            <w:hideMark/>
          </w:tcPr>
          <w:p w14:paraId="705C006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Annual stock count of inventory at stores undertaken by 30 June</w:t>
            </w:r>
          </w:p>
        </w:tc>
        <w:tc>
          <w:tcPr>
            <w:tcW w:w="362" w:type="pct"/>
            <w:hideMark/>
          </w:tcPr>
          <w:p w14:paraId="1489179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Annual stock count of inventory at stores undertaken by 30 June</w:t>
            </w:r>
          </w:p>
        </w:tc>
        <w:tc>
          <w:tcPr>
            <w:tcW w:w="362" w:type="pct"/>
            <w:hideMark/>
          </w:tcPr>
          <w:p w14:paraId="6A5B968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Annual stock count of inventory at stores undertaken by 30 June</w:t>
            </w:r>
          </w:p>
        </w:tc>
        <w:tc>
          <w:tcPr>
            <w:tcW w:w="362" w:type="pct"/>
            <w:hideMark/>
          </w:tcPr>
          <w:p w14:paraId="56ABD27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Annual stock count of inventory at stores undertaken by 30 June</w:t>
            </w:r>
          </w:p>
        </w:tc>
        <w:tc>
          <w:tcPr>
            <w:tcW w:w="362" w:type="pct"/>
            <w:hideMark/>
          </w:tcPr>
          <w:p w14:paraId="18B5723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Annual stock count of inventory at stores undertaken by 30 June</w:t>
            </w:r>
          </w:p>
        </w:tc>
        <w:tc>
          <w:tcPr>
            <w:tcW w:w="180" w:type="pct"/>
            <w:vMerge w:val="restart"/>
            <w:hideMark/>
          </w:tcPr>
          <w:p w14:paraId="03EAE20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64ECDAD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MAYORAL OFFICE</w:t>
            </w:r>
          </w:p>
        </w:tc>
        <w:tc>
          <w:tcPr>
            <w:tcW w:w="306" w:type="pct"/>
            <w:vMerge w:val="restart"/>
            <w:hideMark/>
          </w:tcPr>
          <w:p w14:paraId="6D933BF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Inventory</w:t>
            </w:r>
          </w:p>
        </w:tc>
        <w:tc>
          <w:tcPr>
            <w:tcW w:w="369" w:type="pct"/>
            <w:vMerge w:val="restart"/>
            <w:hideMark/>
          </w:tcPr>
          <w:p w14:paraId="4470943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Mayor and Council</w:t>
            </w:r>
          </w:p>
        </w:tc>
        <w:tc>
          <w:tcPr>
            <w:tcW w:w="249" w:type="pct"/>
            <w:vMerge w:val="restart"/>
            <w:hideMark/>
          </w:tcPr>
          <w:p w14:paraId="2DF2532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Equitable Share</w:t>
            </w:r>
          </w:p>
        </w:tc>
        <w:tc>
          <w:tcPr>
            <w:tcW w:w="162" w:type="pct"/>
            <w:vMerge w:val="restart"/>
            <w:hideMark/>
          </w:tcPr>
          <w:p w14:paraId="446CC4D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05B4B185" w14:textId="77777777" w:rsidTr="008A0277">
        <w:trPr>
          <w:trHeight w:val="198"/>
        </w:trPr>
        <w:tc>
          <w:tcPr>
            <w:tcW w:w="277" w:type="pct"/>
            <w:vMerge/>
            <w:hideMark/>
          </w:tcPr>
          <w:p w14:paraId="7E0224DA"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334CC219"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22BEF926"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1368E5E6"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3A4859C9"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04A93476"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6A4E4E6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10 379 040.00</w:t>
            </w:r>
          </w:p>
        </w:tc>
        <w:tc>
          <w:tcPr>
            <w:tcW w:w="362" w:type="pct"/>
            <w:hideMark/>
          </w:tcPr>
          <w:p w14:paraId="5923E1A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10 928 730.00</w:t>
            </w:r>
          </w:p>
        </w:tc>
        <w:tc>
          <w:tcPr>
            <w:tcW w:w="362" w:type="pct"/>
            <w:hideMark/>
          </w:tcPr>
          <w:p w14:paraId="50956C2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11 518 030.00</w:t>
            </w:r>
          </w:p>
        </w:tc>
        <w:tc>
          <w:tcPr>
            <w:tcW w:w="362" w:type="pct"/>
            <w:hideMark/>
          </w:tcPr>
          <w:p w14:paraId="0F63313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11 518 030.00</w:t>
            </w:r>
          </w:p>
        </w:tc>
        <w:tc>
          <w:tcPr>
            <w:tcW w:w="362" w:type="pct"/>
            <w:hideMark/>
          </w:tcPr>
          <w:p w14:paraId="6B64006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11 518 030.00</w:t>
            </w:r>
          </w:p>
        </w:tc>
        <w:tc>
          <w:tcPr>
            <w:tcW w:w="180" w:type="pct"/>
            <w:vMerge/>
            <w:hideMark/>
          </w:tcPr>
          <w:p w14:paraId="766FEE5E"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3F1877AC"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28B3CE23"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14F7E797"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057C3B4A"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09FB388A"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6E0670E2" w14:textId="77777777" w:rsidTr="008A0277">
        <w:trPr>
          <w:trHeight w:val="1137"/>
        </w:trPr>
        <w:tc>
          <w:tcPr>
            <w:tcW w:w="277" w:type="pct"/>
            <w:vMerge w:val="restart"/>
            <w:hideMark/>
          </w:tcPr>
          <w:p w14:paraId="000AF55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Inadequate financial performance</w:t>
            </w:r>
          </w:p>
        </w:tc>
        <w:tc>
          <w:tcPr>
            <w:tcW w:w="116" w:type="pct"/>
            <w:vMerge w:val="restart"/>
            <w:hideMark/>
          </w:tcPr>
          <w:p w14:paraId="3F71C82B"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4</w:t>
            </w:r>
          </w:p>
        </w:tc>
        <w:tc>
          <w:tcPr>
            <w:tcW w:w="270" w:type="pct"/>
            <w:vMerge w:val="restart"/>
            <w:hideMark/>
          </w:tcPr>
          <w:p w14:paraId="0B18E5C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Financial Viability and Management</w:t>
            </w:r>
          </w:p>
        </w:tc>
        <w:tc>
          <w:tcPr>
            <w:tcW w:w="268" w:type="pct"/>
            <w:vMerge w:val="restart"/>
            <w:hideMark/>
          </w:tcPr>
          <w:p w14:paraId="5532CCD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ensure continued sound financial management</w:t>
            </w:r>
          </w:p>
        </w:tc>
        <w:tc>
          <w:tcPr>
            <w:tcW w:w="362" w:type="pct"/>
            <w:vMerge w:val="restart"/>
            <w:hideMark/>
          </w:tcPr>
          <w:p w14:paraId="18E948F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Submit quarterly reports to Council on Employee related costs expenditure </w:t>
            </w:r>
          </w:p>
        </w:tc>
        <w:tc>
          <w:tcPr>
            <w:tcW w:w="362" w:type="pct"/>
            <w:vMerge w:val="restart"/>
            <w:hideMark/>
          </w:tcPr>
          <w:p w14:paraId="48A21FE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Number of reports submitted to Council by 30 June</w:t>
            </w:r>
          </w:p>
        </w:tc>
        <w:tc>
          <w:tcPr>
            <w:tcW w:w="362" w:type="pct"/>
            <w:hideMark/>
          </w:tcPr>
          <w:p w14:paraId="0EAE9C6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by 30 June on employee related cost expenditure</w:t>
            </w:r>
          </w:p>
        </w:tc>
        <w:tc>
          <w:tcPr>
            <w:tcW w:w="362" w:type="pct"/>
            <w:hideMark/>
          </w:tcPr>
          <w:p w14:paraId="5BB34A8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by 30 June on employee related cost expenditure</w:t>
            </w:r>
          </w:p>
        </w:tc>
        <w:tc>
          <w:tcPr>
            <w:tcW w:w="362" w:type="pct"/>
            <w:hideMark/>
          </w:tcPr>
          <w:p w14:paraId="083EE37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by 30 June on employee related cost expenditure</w:t>
            </w:r>
          </w:p>
        </w:tc>
        <w:tc>
          <w:tcPr>
            <w:tcW w:w="362" w:type="pct"/>
            <w:hideMark/>
          </w:tcPr>
          <w:p w14:paraId="6FA98F4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by 30 June on employee related cost expenditure</w:t>
            </w:r>
          </w:p>
        </w:tc>
        <w:tc>
          <w:tcPr>
            <w:tcW w:w="362" w:type="pct"/>
            <w:hideMark/>
          </w:tcPr>
          <w:p w14:paraId="56EA1CA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by 30 June on employee related cost expenditure</w:t>
            </w:r>
          </w:p>
        </w:tc>
        <w:tc>
          <w:tcPr>
            <w:tcW w:w="180" w:type="pct"/>
            <w:vMerge w:val="restart"/>
            <w:hideMark/>
          </w:tcPr>
          <w:p w14:paraId="6E5979A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799CA66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MAYORAL OFFICE</w:t>
            </w:r>
          </w:p>
        </w:tc>
        <w:tc>
          <w:tcPr>
            <w:tcW w:w="306" w:type="pct"/>
            <w:vMerge w:val="restart"/>
            <w:hideMark/>
          </w:tcPr>
          <w:p w14:paraId="09A79F6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Employee related cost</w:t>
            </w:r>
          </w:p>
        </w:tc>
        <w:tc>
          <w:tcPr>
            <w:tcW w:w="369" w:type="pct"/>
            <w:vMerge w:val="restart"/>
            <w:hideMark/>
          </w:tcPr>
          <w:p w14:paraId="7E9ABC8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Mayor &amp; Council</w:t>
            </w:r>
          </w:p>
        </w:tc>
        <w:tc>
          <w:tcPr>
            <w:tcW w:w="249" w:type="pct"/>
            <w:vMerge w:val="restart"/>
            <w:hideMark/>
          </w:tcPr>
          <w:p w14:paraId="113F9B4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Equitable Share</w:t>
            </w:r>
          </w:p>
        </w:tc>
        <w:tc>
          <w:tcPr>
            <w:tcW w:w="162" w:type="pct"/>
            <w:vMerge w:val="restart"/>
            <w:hideMark/>
          </w:tcPr>
          <w:p w14:paraId="5033CB2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106FEEAE" w14:textId="77777777" w:rsidTr="008A0277">
        <w:trPr>
          <w:trHeight w:val="300"/>
        </w:trPr>
        <w:tc>
          <w:tcPr>
            <w:tcW w:w="277" w:type="pct"/>
            <w:vMerge/>
            <w:hideMark/>
          </w:tcPr>
          <w:p w14:paraId="082591C1"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24555223"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783CC4F4"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4E5CC657"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5831E1A1"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0CA9B828"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660A81C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115 603 110.00</w:t>
            </w:r>
          </w:p>
        </w:tc>
        <w:tc>
          <w:tcPr>
            <w:tcW w:w="362" w:type="pct"/>
            <w:hideMark/>
          </w:tcPr>
          <w:p w14:paraId="3C210EA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122 973 100.00</w:t>
            </w:r>
          </w:p>
        </w:tc>
        <w:tc>
          <w:tcPr>
            <w:tcW w:w="362" w:type="pct"/>
            <w:hideMark/>
          </w:tcPr>
          <w:p w14:paraId="5B3AE27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131 313 610.00</w:t>
            </w:r>
          </w:p>
        </w:tc>
        <w:tc>
          <w:tcPr>
            <w:tcW w:w="362" w:type="pct"/>
            <w:hideMark/>
          </w:tcPr>
          <w:p w14:paraId="7D0F075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150 000 000</w:t>
            </w:r>
          </w:p>
        </w:tc>
        <w:tc>
          <w:tcPr>
            <w:tcW w:w="362" w:type="pct"/>
            <w:hideMark/>
          </w:tcPr>
          <w:p w14:paraId="44993DB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160 000 000.00</w:t>
            </w:r>
          </w:p>
        </w:tc>
        <w:tc>
          <w:tcPr>
            <w:tcW w:w="180" w:type="pct"/>
            <w:vMerge/>
            <w:hideMark/>
          </w:tcPr>
          <w:p w14:paraId="45E27139"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1B1E7153"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79EE39EA"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4330D220"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42F9E2E0"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07818FA2"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42FEA13B" w14:textId="77777777" w:rsidTr="008A0277">
        <w:trPr>
          <w:trHeight w:val="1515"/>
        </w:trPr>
        <w:tc>
          <w:tcPr>
            <w:tcW w:w="277" w:type="pct"/>
            <w:vMerge w:val="restart"/>
            <w:hideMark/>
          </w:tcPr>
          <w:p w14:paraId="31243ED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Poor public participation initiatives</w:t>
            </w:r>
          </w:p>
        </w:tc>
        <w:tc>
          <w:tcPr>
            <w:tcW w:w="116" w:type="pct"/>
            <w:vMerge w:val="restart"/>
            <w:hideMark/>
          </w:tcPr>
          <w:p w14:paraId="568C59DC"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5</w:t>
            </w:r>
          </w:p>
        </w:tc>
        <w:tc>
          <w:tcPr>
            <w:tcW w:w="270" w:type="pct"/>
            <w:vMerge w:val="restart"/>
            <w:hideMark/>
          </w:tcPr>
          <w:p w14:paraId="616021E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Good Governance and Public Participation</w:t>
            </w:r>
          </w:p>
        </w:tc>
        <w:tc>
          <w:tcPr>
            <w:tcW w:w="268" w:type="pct"/>
            <w:vMerge w:val="restart"/>
            <w:hideMark/>
          </w:tcPr>
          <w:p w14:paraId="400100E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promote a culture of participatory democracy and social cohesion</w:t>
            </w:r>
          </w:p>
        </w:tc>
        <w:tc>
          <w:tcPr>
            <w:tcW w:w="362" w:type="pct"/>
            <w:vMerge w:val="restart"/>
            <w:hideMark/>
          </w:tcPr>
          <w:p w14:paraId="018D101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Submit quarterly reports to Council on the activities undertaken by the communication unit on Municipal Communication</w:t>
            </w:r>
          </w:p>
        </w:tc>
        <w:tc>
          <w:tcPr>
            <w:tcW w:w="362" w:type="pct"/>
            <w:vMerge w:val="restart"/>
            <w:hideMark/>
          </w:tcPr>
          <w:p w14:paraId="1BAEF83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Number of reports submitted to Council by 30 June</w:t>
            </w:r>
          </w:p>
        </w:tc>
        <w:tc>
          <w:tcPr>
            <w:tcW w:w="362" w:type="pct"/>
            <w:hideMark/>
          </w:tcPr>
          <w:p w14:paraId="2275B9E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on the activities undertaken by the Communication unit on Municipal Communication</w:t>
            </w:r>
          </w:p>
        </w:tc>
        <w:tc>
          <w:tcPr>
            <w:tcW w:w="362" w:type="pct"/>
            <w:hideMark/>
          </w:tcPr>
          <w:p w14:paraId="196A1A1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on the activities undertaken by the Communication unit on Municipal Communication</w:t>
            </w:r>
          </w:p>
        </w:tc>
        <w:tc>
          <w:tcPr>
            <w:tcW w:w="362" w:type="pct"/>
            <w:hideMark/>
          </w:tcPr>
          <w:p w14:paraId="1678B36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on the activities undertaken by the Communication unit on Municipal Communication</w:t>
            </w:r>
          </w:p>
        </w:tc>
        <w:tc>
          <w:tcPr>
            <w:tcW w:w="362" w:type="pct"/>
            <w:hideMark/>
          </w:tcPr>
          <w:p w14:paraId="2F871E9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on the activities undertaken by the Communication unit on Municipal Communication</w:t>
            </w:r>
          </w:p>
        </w:tc>
        <w:tc>
          <w:tcPr>
            <w:tcW w:w="362" w:type="pct"/>
            <w:hideMark/>
          </w:tcPr>
          <w:p w14:paraId="6DAE6B5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on the activities undertaken by the Communication unit on Municipal Communication</w:t>
            </w:r>
          </w:p>
        </w:tc>
        <w:tc>
          <w:tcPr>
            <w:tcW w:w="180" w:type="pct"/>
            <w:vMerge w:val="restart"/>
            <w:hideMark/>
          </w:tcPr>
          <w:p w14:paraId="5758422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w:t>
            </w:r>
          </w:p>
        </w:tc>
        <w:tc>
          <w:tcPr>
            <w:tcW w:w="268" w:type="pct"/>
            <w:vMerge w:val="restart"/>
            <w:hideMark/>
          </w:tcPr>
          <w:p w14:paraId="6FEDCEA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MAYORAL OFFICE</w:t>
            </w:r>
          </w:p>
        </w:tc>
        <w:tc>
          <w:tcPr>
            <w:tcW w:w="306" w:type="pct"/>
            <w:vMerge w:val="restart"/>
            <w:hideMark/>
          </w:tcPr>
          <w:p w14:paraId="111E586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Advertising &amp; Publication</w:t>
            </w:r>
          </w:p>
        </w:tc>
        <w:tc>
          <w:tcPr>
            <w:tcW w:w="369" w:type="pct"/>
            <w:vMerge w:val="restart"/>
            <w:hideMark/>
          </w:tcPr>
          <w:p w14:paraId="5433336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Various</w:t>
            </w:r>
          </w:p>
        </w:tc>
        <w:tc>
          <w:tcPr>
            <w:tcW w:w="249" w:type="pct"/>
            <w:vMerge w:val="restart"/>
            <w:hideMark/>
          </w:tcPr>
          <w:p w14:paraId="4B48B0A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Equitable Share</w:t>
            </w:r>
          </w:p>
        </w:tc>
        <w:tc>
          <w:tcPr>
            <w:tcW w:w="162" w:type="pct"/>
            <w:vMerge w:val="restart"/>
            <w:hideMark/>
          </w:tcPr>
          <w:p w14:paraId="3EAE625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3EE20728" w14:textId="77777777" w:rsidTr="008A0277">
        <w:trPr>
          <w:trHeight w:val="300"/>
        </w:trPr>
        <w:tc>
          <w:tcPr>
            <w:tcW w:w="277" w:type="pct"/>
            <w:vMerge/>
            <w:hideMark/>
          </w:tcPr>
          <w:p w14:paraId="3D7C2C2D"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5FB788B9"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1F04FAE6"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1D1A0D4B"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0B7CB185"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49B2E26E"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6EA568C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6 674 980.00</w:t>
            </w:r>
          </w:p>
        </w:tc>
        <w:tc>
          <w:tcPr>
            <w:tcW w:w="362" w:type="pct"/>
            <w:hideMark/>
          </w:tcPr>
          <w:p w14:paraId="5AB0A94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1 767 010.00</w:t>
            </w:r>
          </w:p>
        </w:tc>
        <w:tc>
          <w:tcPr>
            <w:tcW w:w="362" w:type="pct"/>
            <w:hideMark/>
          </w:tcPr>
          <w:p w14:paraId="465BCC1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1 600 590.00</w:t>
            </w:r>
          </w:p>
        </w:tc>
        <w:tc>
          <w:tcPr>
            <w:tcW w:w="362" w:type="pct"/>
            <w:hideMark/>
          </w:tcPr>
          <w:p w14:paraId="4AB21F8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1 600 590.00</w:t>
            </w:r>
          </w:p>
        </w:tc>
        <w:tc>
          <w:tcPr>
            <w:tcW w:w="362" w:type="pct"/>
            <w:hideMark/>
          </w:tcPr>
          <w:p w14:paraId="2E70FB6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1 600 590.00</w:t>
            </w:r>
          </w:p>
        </w:tc>
        <w:tc>
          <w:tcPr>
            <w:tcW w:w="180" w:type="pct"/>
            <w:vMerge/>
            <w:hideMark/>
          </w:tcPr>
          <w:p w14:paraId="3F687096"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24B3F4C0"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26C11D74"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5993AB5A"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11218F17"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4F7B0E57"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292A50A2" w14:textId="77777777" w:rsidTr="008A0277">
        <w:trPr>
          <w:trHeight w:val="1095"/>
        </w:trPr>
        <w:tc>
          <w:tcPr>
            <w:tcW w:w="277" w:type="pct"/>
            <w:vMerge w:val="restart"/>
            <w:hideMark/>
          </w:tcPr>
          <w:p w14:paraId="0039646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Inadequate financial performance</w:t>
            </w:r>
          </w:p>
        </w:tc>
        <w:tc>
          <w:tcPr>
            <w:tcW w:w="116" w:type="pct"/>
            <w:vMerge w:val="restart"/>
            <w:hideMark/>
          </w:tcPr>
          <w:p w14:paraId="34CE4360"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6</w:t>
            </w:r>
          </w:p>
        </w:tc>
        <w:tc>
          <w:tcPr>
            <w:tcW w:w="270" w:type="pct"/>
            <w:vMerge w:val="restart"/>
            <w:hideMark/>
          </w:tcPr>
          <w:p w14:paraId="67FB7FE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Transformation and institutional development</w:t>
            </w:r>
          </w:p>
        </w:tc>
        <w:tc>
          <w:tcPr>
            <w:tcW w:w="268" w:type="pct"/>
            <w:vMerge w:val="restart"/>
            <w:hideMark/>
          </w:tcPr>
          <w:p w14:paraId="3667D5A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develop the institution and to facilitate institutional transformation</w:t>
            </w:r>
          </w:p>
        </w:tc>
        <w:tc>
          <w:tcPr>
            <w:tcW w:w="362" w:type="pct"/>
            <w:vMerge w:val="restart"/>
            <w:hideMark/>
          </w:tcPr>
          <w:p w14:paraId="487D569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Complete annual worksplace skills plan and submit to LLF by 28 February </w:t>
            </w:r>
          </w:p>
        </w:tc>
        <w:tc>
          <w:tcPr>
            <w:tcW w:w="362" w:type="pct"/>
            <w:vMerge w:val="restart"/>
            <w:hideMark/>
          </w:tcPr>
          <w:p w14:paraId="0B6FCBA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Date of submission of WSP to LLF</w:t>
            </w:r>
          </w:p>
        </w:tc>
        <w:tc>
          <w:tcPr>
            <w:tcW w:w="362" w:type="pct"/>
            <w:hideMark/>
          </w:tcPr>
          <w:p w14:paraId="5AE4959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WSP completed and submitted to LLF by 28 February</w:t>
            </w:r>
          </w:p>
        </w:tc>
        <w:tc>
          <w:tcPr>
            <w:tcW w:w="362" w:type="pct"/>
            <w:hideMark/>
          </w:tcPr>
          <w:p w14:paraId="0E4CA0F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WSP completed and submitted to LLF by 28 February</w:t>
            </w:r>
          </w:p>
        </w:tc>
        <w:tc>
          <w:tcPr>
            <w:tcW w:w="362" w:type="pct"/>
            <w:hideMark/>
          </w:tcPr>
          <w:p w14:paraId="2CC82A6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WSP completed and submitted to LLF by 28 February</w:t>
            </w:r>
          </w:p>
        </w:tc>
        <w:tc>
          <w:tcPr>
            <w:tcW w:w="362" w:type="pct"/>
            <w:hideMark/>
          </w:tcPr>
          <w:p w14:paraId="160E8E6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WSP completed and submitted to LLF by 28 February</w:t>
            </w:r>
          </w:p>
        </w:tc>
        <w:tc>
          <w:tcPr>
            <w:tcW w:w="362" w:type="pct"/>
            <w:hideMark/>
          </w:tcPr>
          <w:p w14:paraId="4778C92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WSP completed and submitted to LLF by 28 February</w:t>
            </w:r>
          </w:p>
        </w:tc>
        <w:tc>
          <w:tcPr>
            <w:tcW w:w="180" w:type="pct"/>
            <w:vMerge w:val="restart"/>
            <w:hideMark/>
          </w:tcPr>
          <w:p w14:paraId="7FC898B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w:t>
            </w:r>
          </w:p>
        </w:tc>
        <w:tc>
          <w:tcPr>
            <w:tcW w:w="268" w:type="pct"/>
            <w:vMerge w:val="restart"/>
            <w:hideMark/>
          </w:tcPr>
          <w:p w14:paraId="4D97278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CORPORATE SERVICES </w:t>
            </w:r>
          </w:p>
        </w:tc>
        <w:tc>
          <w:tcPr>
            <w:tcW w:w="306" w:type="pct"/>
            <w:vMerge w:val="restart"/>
            <w:hideMark/>
          </w:tcPr>
          <w:p w14:paraId="3AD5374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Skills development levy</w:t>
            </w:r>
          </w:p>
        </w:tc>
        <w:tc>
          <w:tcPr>
            <w:tcW w:w="369" w:type="pct"/>
            <w:vMerge w:val="restart"/>
            <w:hideMark/>
          </w:tcPr>
          <w:p w14:paraId="20B727B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Administrative and Corporate Support</w:t>
            </w:r>
          </w:p>
        </w:tc>
        <w:tc>
          <w:tcPr>
            <w:tcW w:w="249" w:type="pct"/>
            <w:vMerge w:val="restart"/>
            <w:hideMark/>
          </w:tcPr>
          <w:p w14:paraId="2D7C624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Equitable Share</w:t>
            </w:r>
          </w:p>
        </w:tc>
        <w:tc>
          <w:tcPr>
            <w:tcW w:w="162" w:type="pct"/>
            <w:vMerge w:val="restart"/>
            <w:hideMark/>
          </w:tcPr>
          <w:p w14:paraId="17D3888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0E3E4240" w14:textId="77777777" w:rsidTr="008A0277">
        <w:trPr>
          <w:trHeight w:val="186"/>
        </w:trPr>
        <w:tc>
          <w:tcPr>
            <w:tcW w:w="277" w:type="pct"/>
            <w:vMerge/>
            <w:hideMark/>
          </w:tcPr>
          <w:p w14:paraId="57640E4C"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34856356"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7C409907"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553BA9FD"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6CF51FE8"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12D5EEAF"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34327C8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1 166 560.00</w:t>
            </w:r>
          </w:p>
        </w:tc>
        <w:tc>
          <w:tcPr>
            <w:tcW w:w="362" w:type="pct"/>
            <w:hideMark/>
          </w:tcPr>
          <w:p w14:paraId="0FE00F6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1 227 710.00</w:t>
            </w:r>
          </w:p>
        </w:tc>
        <w:tc>
          <w:tcPr>
            <w:tcW w:w="362" w:type="pct"/>
            <w:hideMark/>
          </w:tcPr>
          <w:p w14:paraId="21BC8DE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1 310 240.00</w:t>
            </w:r>
          </w:p>
        </w:tc>
        <w:tc>
          <w:tcPr>
            <w:tcW w:w="362" w:type="pct"/>
            <w:hideMark/>
          </w:tcPr>
          <w:p w14:paraId="599CD7C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1 310 240.00</w:t>
            </w:r>
          </w:p>
        </w:tc>
        <w:tc>
          <w:tcPr>
            <w:tcW w:w="362" w:type="pct"/>
            <w:hideMark/>
          </w:tcPr>
          <w:p w14:paraId="710F70C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1 310 240.00</w:t>
            </w:r>
          </w:p>
        </w:tc>
        <w:tc>
          <w:tcPr>
            <w:tcW w:w="180" w:type="pct"/>
            <w:vMerge/>
            <w:hideMark/>
          </w:tcPr>
          <w:p w14:paraId="7866103A"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7E89792D"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7AFABA24"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7FC3EE96"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1AA4E5E8"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4314C109"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096F9746" w14:textId="77777777" w:rsidTr="008A0277">
        <w:trPr>
          <w:trHeight w:val="1080"/>
        </w:trPr>
        <w:tc>
          <w:tcPr>
            <w:tcW w:w="277" w:type="pct"/>
            <w:vMerge w:val="restart"/>
            <w:hideMark/>
          </w:tcPr>
          <w:p w14:paraId="05804BC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Poor public participation initiatives</w:t>
            </w:r>
          </w:p>
        </w:tc>
        <w:tc>
          <w:tcPr>
            <w:tcW w:w="116" w:type="pct"/>
            <w:vMerge w:val="restart"/>
            <w:hideMark/>
          </w:tcPr>
          <w:p w14:paraId="25E79916"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7</w:t>
            </w:r>
          </w:p>
        </w:tc>
        <w:tc>
          <w:tcPr>
            <w:tcW w:w="270" w:type="pct"/>
            <w:vMerge w:val="restart"/>
            <w:hideMark/>
          </w:tcPr>
          <w:p w14:paraId="40E8B6A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Good Governance and Public Participation</w:t>
            </w:r>
          </w:p>
        </w:tc>
        <w:tc>
          <w:tcPr>
            <w:tcW w:w="268" w:type="pct"/>
            <w:vMerge w:val="restart"/>
            <w:hideMark/>
          </w:tcPr>
          <w:p w14:paraId="3AB3564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promote a culture of participatory democracy and social cohesion</w:t>
            </w:r>
          </w:p>
        </w:tc>
        <w:tc>
          <w:tcPr>
            <w:tcW w:w="362" w:type="pct"/>
            <w:vMerge w:val="restart"/>
            <w:hideMark/>
          </w:tcPr>
          <w:p w14:paraId="0D02553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Ensure Ward Committees are 100% functional by 30 June </w:t>
            </w:r>
          </w:p>
        </w:tc>
        <w:tc>
          <w:tcPr>
            <w:tcW w:w="362" w:type="pct"/>
            <w:vMerge w:val="restart"/>
            <w:hideMark/>
          </w:tcPr>
          <w:p w14:paraId="2D8CBE6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Percentage functionality of Ward Committees by 30 June</w:t>
            </w:r>
          </w:p>
        </w:tc>
        <w:tc>
          <w:tcPr>
            <w:tcW w:w="362" w:type="pct"/>
            <w:hideMark/>
          </w:tcPr>
          <w:p w14:paraId="0B716CE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100% functionality of Ward Committees by 30 June</w:t>
            </w:r>
          </w:p>
        </w:tc>
        <w:tc>
          <w:tcPr>
            <w:tcW w:w="362" w:type="pct"/>
            <w:hideMark/>
          </w:tcPr>
          <w:p w14:paraId="196CB57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100% functionality of Ward Committees by 30 June</w:t>
            </w:r>
          </w:p>
        </w:tc>
        <w:tc>
          <w:tcPr>
            <w:tcW w:w="362" w:type="pct"/>
            <w:hideMark/>
          </w:tcPr>
          <w:p w14:paraId="7A794E6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100% functionality of Ward Committees by 30 June</w:t>
            </w:r>
          </w:p>
        </w:tc>
        <w:tc>
          <w:tcPr>
            <w:tcW w:w="362" w:type="pct"/>
            <w:hideMark/>
          </w:tcPr>
          <w:p w14:paraId="1AC1683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100% functionality of Ward Committees by 30 June</w:t>
            </w:r>
          </w:p>
        </w:tc>
        <w:tc>
          <w:tcPr>
            <w:tcW w:w="362" w:type="pct"/>
            <w:hideMark/>
          </w:tcPr>
          <w:p w14:paraId="08C6B7B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100% functionality of Ward Committees by 30 June</w:t>
            </w:r>
          </w:p>
        </w:tc>
        <w:tc>
          <w:tcPr>
            <w:tcW w:w="180" w:type="pct"/>
            <w:vMerge w:val="restart"/>
            <w:hideMark/>
          </w:tcPr>
          <w:p w14:paraId="4A824C0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268" w:type="pct"/>
            <w:vMerge w:val="restart"/>
            <w:hideMark/>
          </w:tcPr>
          <w:p w14:paraId="03ACA2D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MAYORAL OFFICE</w:t>
            </w:r>
          </w:p>
        </w:tc>
        <w:tc>
          <w:tcPr>
            <w:tcW w:w="306" w:type="pct"/>
            <w:vMerge w:val="restart"/>
            <w:hideMark/>
          </w:tcPr>
          <w:p w14:paraId="10F0895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Remuneration of Ward Committees</w:t>
            </w:r>
          </w:p>
        </w:tc>
        <w:tc>
          <w:tcPr>
            <w:tcW w:w="369" w:type="pct"/>
            <w:vMerge w:val="restart"/>
            <w:hideMark/>
          </w:tcPr>
          <w:p w14:paraId="76D2C4D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Mayor and Council</w:t>
            </w:r>
          </w:p>
        </w:tc>
        <w:tc>
          <w:tcPr>
            <w:tcW w:w="249" w:type="pct"/>
            <w:vMerge w:val="restart"/>
            <w:hideMark/>
          </w:tcPr>
          <w:p w14:paraId="0ED7842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Equitable Share</w:t>
            </w:r>
          </w:p>
        </w:tc>
        <w:tc>
          <w:tcPr>
            <w:tcW w:w="162" w:type="pct"/>
            <w:vMerge w:val="restart"/>
            <w:hideMark/>
          </w:tcPr>
          <w:p w14:paraId="7CF6217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759898B0" w14:textId="77777777" w:rsidTr="008A0277">
        <w:trPr>
          <w:trHeight w:val="300"/>
        </w:trPr>
        <w:tc>
          <w:tcPr>
            <w:tcW w:w="277" w:type="pct"/>
            <w:vMerge/>
            <w:hideMark/>
          </w:tcPr>
          <w:p w14:paraId="190B0A69"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579B178A"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73E2E837"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62F37313"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30928BBA"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010720A9"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097CAED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3 000 000.00</w:t>
            </w:r>
          </w:p>
        </w:tc>
        <w:tc>
          <w:tcPr>
            <w:tcW w:w="362" w:type="pct"/>
            <w:hideMark/>
          </w:tcPr>
          <w:p w14:paraId="0F4B3CF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3 000 000.00</w:t>
            </w:r>
          </w:p>
        </w:tc>
        <w:tc>
          <w:tcPr>
            <w:tcW w:w="362" w:type="pct"/>
            <w:hideMark/>
          </w:tcPr>
          <w:p w14:paraId="546F18E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3 000 000.00</w:t>
            </w:r>
          </w:p>
        </w:tc>
        <w:tc>
          <w:tcPr>
            <w:tcW w:w="362" w:type="pct"/>
            <w:hideMark/>
          </w:tcPr>
          <w:p w14:paraId="451A279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3 000 000.00</w:t>
            </w:r>
          </w:p>
        </w:tc>
        <w:tc>
          <w:tcPr>
            <w:tcW w:w="362" w:type="pct"/>
            <w:hideMark/>
          </w:tcPr>
          <w:p w14:paraId="176DEF0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3 000 000.00</w:t>
            </w:r>
          </w:p>
        </w:tc>
        <w:tc>
          <w:tcPr>
            <w:tcW w:w="180" w:type="pct"/>
            <w:vMerge/>
            <w:hideMark/>
          </w:tcPr>
          <w:p w14:paraId="6F7890B9"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7F550296"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7B513E95"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76DAD156"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439DD025"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1846F7AE"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54777BCC" w14:textId="77777777" w:rsidTr="008A0277">
        <w:trPr>
          <w:trHeight w:val="1785"/>
        </w:trPr>
        <w:tc>
          <w:tcPr>
            <w:tcW w:w="277" w:type="pct"/>
            <w:vMerge w:val="restart"/>
            <w:hideMark/>
          </w:tcPr>
          <w:p w14:paraId="7A2686E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Inadequate financial performance</w:t>
            </w:r>
          </w:p>
        </w:tc>
        <w:tc>
          <w:tcPr>
            <w:tcW w:w="116" w:type="pct"/>
            <w:vMerge w:val="restart"/>
            <w:hideMark/>
          </w:tcPr>
          <w:p w14:paraId="33124C92"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8</w:t>
            </w:r>
          </w:p>
        </w:tc>
        <w:tc>
          <w:tcPr>
            <w:tcW w:w="270" w:type="pct"/>
            <w:vMerge w:val="restart"/>
            <w:hideMark/>
          </w:tcPr>
          <w:p w14:paraId="6010523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Financial Viability and Management</w:t>
            </w:r>
          </w:p>
        </w:tc>
        <w:tc>
          <w:tcPr>
            <w:tcW w:w="268" w:type="pct"/>
            <w:vMerge w:val="restart"/>
            <w:hideMark/>
          </w:tcPr>
          <w:p w14:paraId="6D2F8F6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ensure continued sound financial management</w:t>
            </w:r>
          </w:p>
        </w:tc>
        <w:tc>
          <w:tcPr>
            <w:tcW w:w="362" w:type="pct"/>
            <w:hideMark/>
          </w:tcPr>
          <w:p w14:paraId="549E3B5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Submit quarterly reports to Council on the expenditure of PMU costs through DORA grant (MIG) funding</w:t>
            </w:r>
          </w:p>
        </w:tc>
        <w:tc>
          <w:tcPr>
            <w:tcW w:w="362" w:type="pct"/>
            <w:hideMark/>
          </w:tcPr>
          <w:p w14:paraId="5556497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Number of reports submitted to Council by 30 June</w:t>
            </w:r>
          </w:p>
        </w:tc>
        <w:tc>
          <w:tcPr>
            <w:tcW w:w="362" w:type="pct"/>
            <w:hideMark/>
          </w:tcPr>
          <w:p w14:paraId="6A4E7A6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by 30 June on the expenditure of PMU costs through DORA grant (MIG) funding and the output thereof</w:t>
            </w:r>
          </w:p>
        </w:tc>
        <w:tc>
          <w:tcPr>
            <w:tcW w:w="362" w:type="pct"/>
            <w:hideMark/>
          </w:tcPr>
          <w:p w14:paraId="5FB9D4F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by 30 June on the expenditure of PMU costs through DORA grant (MIG) funding and the output thereof</w:t>
            </w:r>
          </w:p>
        </w:tc>
        <w:tc>
          <w:tcPr>
            <w:tcW w:w="362" w:type="pct"/>
            <w:hideMark/>
          </w:tcPr>
          <w:p w14:paraId="772D1AD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by 30 June on the expenditure of PMU costs through DORA grant (MIG) funding and the output thereof</w:t>
            </w:r>
          </w:p>
        </w:tc>
        <w:tc>
          <w:tcPr>
            <w:tcW w:w="362" w:type="pct"/>
            <w:hideMark/>
          </w:tcPr>
          <w:p w14:paraId="186BB30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by 30 June on the expenditure of PMU costs through DORA grant (MIG) funding and the output thereof</w:t>
            </w:r>
          </w:p>
        </w:tc>
        <w:tc>
          <w:tcPr>
            <w:tcW w:w="362" w:type="pct"/>
            <w:hideMark/>
          </w:tcPr>
          <w:p w14:paraId="76BEDB7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by 30 June on the expenditure of PMU costs through DORA grant (MIG) funding and the output thereof</w:t>
            </w:r>
          </w:p>
        </w:tc>
        <w:tc>
          <w:tcPr>
            <w:tcW w:w="180" w:type="pct"/>
            <w:vMerge w:val="restart"/>
            <w:hideMark/>
          </w:tcPr>
          <w:p w14:paraId="12F5731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6D4D08B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FINANCIAL SERVICES</w:t>
            </w:r>
          </w:p>
        </w:tc>
        <w:tc>
          <w:tcPr>
            <w:tcW w:w="306" w:type="pct"/>
            <w:vMerge w:val="restart"/>
            <w:hideMark/>
          </w:tcPr>
          <w:p w14:paraId="3F53C8F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PMU costs - MIG funding</w:t>
            </w:r>
          </w:p>
        </w:tc>
        <w:tc>
          <w:tcPr>
            <w:tcW w:w="369" w:type="pct"/>
            <w:vMerge w:val="restart"/>
            <w:hideMark/>
          </w:tcPr>
          <w:p w14:paraId="0C50A09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Administrative and Corporate Support</w:t>
            </w:r>
          </w:p>
        </w:tc>
        <w:tc>
          <w:tcPr>
            <w:tcW w:w="249" w:type="pct"/>
            <w:vMerge w:val="restart"/>
            <w:hideMark/>
          </w:tcPr>
          <w:p w14:paraId="0C2D8EE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Equitable Share</w:t>
            </w:r>
          </w:p>
        </w:tc>
        <w:tc>
          <w:tcPr>
            <w:tcW w:w="162" w:type="pct"/>
            <w:vMerge w:val="restart"/>
            <w:hideMark/>
          </w:tcPr>
          <w:p w14:paraId="4AD124A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ADMIN</w:t>
            </w:r>
          </w:p>
        </w:tc>
      </w:tr>
      <w:tr w:rsidR="008A0277" w:rsidRPr="008A0277" w14:paraId="1027221D" w14:textId="77777777" w:rsidTr="008A0277">
        <w:trPr>
          <w:trHeight w:val="300"/>
        </w:trPr>
        <w:tc>
          <w:tcPr>
            <w:tcW w:w="277" w:type="pct"/>
            <w:vMerge/>
            <w:hideMark/>
          </w:tcPr>
          <w:p w14:paraId="06D5213F"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39692316"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1173DB7C"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24B7EB61"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3ECDBF1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7628501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039626F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1 000 000.00</w:t>
            </w:r>
          </w:p>
        </w:tc>
        <w:tc>
          <w:tcPr>
            <w:tcW w:w="362" w:type="pct"/>
            <w:hideMark/>
          </w:tcPr>
          <w:p w14:paraId="32611DF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1 000 000.00</w:t>
            </w:r>
          </w:p>
        </w:tc>
        <w:tc>
          <w:tcPr>
            <w:tcW w:w="362" w:type="pct"/>
            <w:hideMark/>
          </w:tcPr>
          <w:p w14:paraId="52C7062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1 000 000.00</w:t>
            </w:r>
          </w:p>
        </w:tc>
        <w:tc>
          <w:tcPr>
            <w:tcW w:w="362" w:type="pct"/>
            <w:hideMark/>
          </w:tcPr>
          <w:p w14:paraId="3843472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1 000 000.00</w:t>
            </w:r>
          </w:p>
        </w:tc>
        <w:tc>
          <w:tcPr>
            <w:tcW w:w="362" w:type="pct"/>
            <w:hideMark/>
          </w:tcPr>
          <w:p w14:paraId="080D863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1 000 000.00</w:t>
            </w:r>
          </w:p>
        </w:tc>
        <w:tc>
          <w:tcPr>
            <w:tcW w:w="180" w:type="pct"/>
            <w:vMerge/>
            <w:hideMark/>
          </w:tcPr>
          <w:p w14:paraId="09E3177F"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68090DFE"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3E6AC594"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212AA5B8"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7C244D58"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17B83071"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135B00F5" w14:textId="77777777" w:rsidTr="008A0277">
        <w:trPr>
          <w:trHeight w:val="1530"/>
        </w:trPr>
        <w:tc>
          <w:tcPr>
            <w:tcW w:w="277" w:type="pct"/>
            <w:vMerge w:val="restart"/>
            <w:hideMark/>
          </w:tcPr>
          <w:p w14:paraId="48547BD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Insufficient skills development</w:t>
            </w:r>
          </w:p>
        </w:tc>
        <w:tc>
          <w:tcPr>
            <w:tcW w:w="116" w:type="pct"/>
            <w:vMerge w:val="restart"/>
            <w:hideMark/>
          </w:tcPr>
          <w:p w14:paraId="6C1ECD20"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9</w:t>
            </w:r>
          </w:p>
        </w:tc>
        <w:tc>
          <w:tcPr>
            <w:tcW w:w="270" w:type="pct"/>
            <w:vMerge w:val="restart"/>
            <w:hideMark/>
          </w:tcPr>
          <w:p w14:paraId="74B03A6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Transformation and institutional development</w:t>
            </w:r>
          </w:p>
        </w:tc>
        <w:tc>
          <w:tcPr>
            <w:tcW w:w="268" w:type="pct"/>
            <w:vMerge w:val="restart"/>
            <w:hideMark/>
          </w:tcPr>
          <w:p w14:paraId="27BDBCA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implement and support internship, learnership and in-service training programmes</w:t>
            </w:r>
          </w:p>
        </w:tc>
        <w:tc>
          <w:tcPr>
            <w:tcW w:w="362" w:type="pct"/>
            <w:hideMark/>
          </w:tcPr>
          <w:p w14:paraId="34FB9C9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Appoint 7 students on internship, learnership and/or in-service trainings/programmes by 30 June</w:t>
            </w:r>
          </w:p>
        </w:tc>
        <w:tc>
          <w:tcPr>
            <w:tcW w:w="362" w:type="pct"/>
            <w:hideMark/>
          </w:tcPr>
          <w:p w14:paraId="33B3876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Number of students appointed by 30 June </w:t>
            </w:r>
          </w:p>
        </w:tc>
        <w:tc>
          <w:tcPr>
            <w:tcW w:w="362" w:type="pct"/>
            <w:hideMark/>
          </w:tcPr>
          <w:p w14:paraId="095F456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7 students appointed for intership, learnership and/or in-service trainings/programmes by 30 June</w:t>
            </w:r>
          </w:p>
        </w:tc>
        <w:tc>
          <w:tcPr>
            <w:tcW w:w="362" w:type="pct"/>
            <w:hideMark/>
          </w:tcPr>
          <w:p w14:paraId="26F5597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7 students appointed for intership, learnership and/or in-service trainings/programmes by 30 June</w:t>
            </w:r>
          </w:p>
        </w:tc>
        <w:tc>
          <w:tcPr>
            <w:tcW w:w="362" w:type="pct"/>
            <w:hideMark/>
          </w:tcPr>
          <w:p w14:paraId="2D7682D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7 students appointed for intership, learnership and/or in-service trainings/programmes by 30 June</w:t>
            </w:r>
          </w:p>
        </w:tc>
        <w:tc>
          <w:tcPr>
            <w:tcW w:w="362" w:type="pct"/>
            <w:hideMark/>
          </w:tcPr>
          <w:p w14:paraId="36869D6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7 students appointed for intership, learnership and/or in-service trainings/programmes by 30 June</w:t>
            </w:r>
          </w:p>
        </w:tc>
        <w:tc>
          <w:tcPr>
            <w:tcW w:w="362" w:type="pct"/>
            <w:hideMark/>
          </w:tcPr>
          <w:p w14:paraId="6550E80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7 students appointed for intership, learnership and/or in-service trainings/programmes by 30 June</w:t>
            </w:r>
          </w:p>
        </w:tc>
        <w:tc>
          <w:tcPr>
            <w:tcW w:w="180" w:type="pct"/>
            <w:vMerge w:val="restart"/>
            <w:hideMark/>
          </w:tcPr>
          <w:p w14:paraId="6BE1770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43A053B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CORPORATE SERVICES </w:t>
            </w:r>
          </w:p>
        </w:tc>
        <w:tc>
          <w:tcPr>
            <w:tcW w:w="306" w:type="pct"/>
            <w:vMerge w:val="restart"/>
            <w:hideMark/>
          </w:tcPr>
          <w:p w14:paraId="78B9277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Learnership &amp; Internship</w:t>
            </w:r>
          </w:p>
        </w:tc>
        <w:tc>
          <w:tcPr>
            <w:tcW w:w="369" w:type="pct"/>
            <w:vMerge w:val="restart"/>
            <w:hideMark/>
          </w:tcPr>
          <w:p w14:paraId="722AF33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Administrative and Corporate Support</w:t>
            </w:r>
          </w:p>
        </w:tc>
        <w:tc>
          <w:tcPr>
            <w:tcW w:w="249" w:type="pct"/>
            <w:vMerge w:val="restart"/>
            <w:hideMark/>
          </w:tcPr>
          <w:p w14:paraId="74C164D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Equitable Share</w:t>
            </w:r>
          </w:p>
        </w:tc>
        <w:tc>
          <w:tcPr>
            <w:tcW w:w="162" w:type="pct"/>
            <w:vMerge w:val="restart"/>
            <w:hideMark/>
          </w:tcPr>
          <w:p w14:paraId="3A4565B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0E6541C5" w14:textId="77777777" w:rsidTr="008A0277">
        <w:trPr>
          <w:trHeight w:val="300"/>
        </w:trPr>
        <w:tc>
          <w:tcPr>
            <w:tcW w:w="277" w:type="pct"/>
            <w:vMerge/>
            <w:hideMark/>
          </w:tcPr>
          <w:p w14:paraId="25407FB0"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366F3DC2"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64A10581"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105D1163"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5D70CF8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4BD6D36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0B78C9F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229 160.00</w:t>
            </w:r>
          </w:p>
        </w:tc>
        <w:tc>
          <w:tcPr>
            <w:tcW w:w="362" w:type="pct"/>
            <w:hideMark/>
          </w:tcPr>
          <w:p w14:paraId="33E907B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241 540.00</w:t>
            </w:r>
          </w:p>
        </w:tc>
        <w:tc>
          <w:tcPr>
            <w:tcW w:w="362" w:type="pct"/>
            <w:hideMark/>
          </w:tcPr>
          <w:p w14:paraId="0DDA8C9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254 820.00</w:t>
            </w:r>
          </w:p>
        </w:tc>
        <w:tc>
          <w:tcPr>
            <w:tcW w:w="362" w:type="pct"/>
            <w:hideMark/>
          </w:tcPr>
          <w:p w14:paraId="144F654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254 820.00</w:t>
            </w:r>
          </w:p>
        </w:tc>
        <w:tc>
          <w:tcPr>
            <w:tcW w:w="362" w:type="pct"/>
            <w:hideMark/>
          </w:tcPr>
          <w:p w14:paraId="44ED1D0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254 820.00</w:t>
            </w:r>
          </w:p>
        </w:tc>
        <w:tc>
          <w:tcPr>
            <w:tcW w:w="180" w:type="pct"/>
            <w:vMerge/>
            <w:hideMark/>
          </w:tcPr>
          <w:p w14:paraId="577F4CEA"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49B68FC3"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7BB6151C"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1354DB3F"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396BADF8"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72FDD1C4"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70611546" w14:textId="77777777" w:rsidTr="008A0277">
        <w:trPr>
          <w:trHeight w:val="284"/>
        </w:trPr>
        <w:tc>
          <w:tcPr>
            <w:tcW w:w="277" w:type="pct"/>
            <w:vMerge w:val="restart"/>
            <w:hideMark/>
          </w:tcPr>
          <w:p w14:paraId="5D98D5E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Inadequate performance monitoring</w:t>
            </w:r>
          </w:p>
        </w:tc>
        <w:tc>
          <w:tcPr>
            <w:tcW w:w="116" w:type="pct"/>
            <w:vMerge w:val="restart"/>
            <w:hideMark/>
          </w:tcPr>
          <w:p w14:paraId="4B5275ED"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10</w:t>
            </w:r>
          </w:p>
        </w:tc>
        <w:tc>
          <w:tcPr>
            <w:tcW w:w="270" w:type="pct"/>
            <w:vMerge w:val="restart"/>
            <w:hideMark/>
          </w:tcPr>
          <w:p w14:paraId="3582E6B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Financial Viability and Management</w:t>
            </w:r>
          </w:p>
        </w:tc>
        <w:tc>
          <w:tcPr>
            <w:tcW w:w="268" w:type="pct"/>
            <w:vMerge w:val="restart"/>
            <w:hideMark/>
          </w:tcPr>
          <w:p w14:paraId="79DA616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ensure continued sound financial management</w:t>
            </w:r>
          </w:p>
        </w:tc>
        <w:tc>
          <w:tcPr>
            <w:tcW w:w="362" w:type="pct"/>
            <w:vMerge w:val="restart"/>
            <w:hideMark/>
          </w:tcPr>
          <w:p w14:paraId="49D7CBF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Submit monthly reports to PMS on the performance of the Service Providers (Valuation, Easy pay, monthly mailing of accounts, MSCOA implementation, Fleet)</w:t>
            </w:r>
          </w:p>
        </w:tc>
        <w:tc>
          <w:tcPr>
            <w:tcW w:w="362" w:type="pct"/>
            <w:hideMark/>
          </w:tcPr>
          <w:p w14:paraId="76B7AB7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Number of reports submitted by 30 June </w:t>
            </w:r>
          </w:p>
        </w:tc>
        <w:tc>
          <w:tcPr>
            <w:tcW w:w="362" w:type="pct"/>
            <w:hideMark/>
          </w:tcPr>
          <w:p w14:paraId="7F393EE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60 reports submitted by 30 June on the performance of the Service Providers (Valuation, Easy pay, monthly mailing of accounts, MSCOA implementation, Fleet)</w:t>
            </w:r>
          </w:p>
        </w:tc>
        <w:tc>
          <w:tcPr>
            <w:tcW w:w="362" w:type="pct"/>
            <w:hideMark/>
          </w:tcPr>
          <w:p w14:paraId="522E315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60 reports submitted by 30 June on the performance of the Service Providers (Valuation, Easy pay, monthly mailing of accounts, MSCOA implementation, Fleet)</w:t>
            </w:r>
          </w:p>
        </w:tc>
        <w:tc>
          <w:tcPr>
            <w:tcW w:w="362" w:type="pct"/>
            <w:hideMark/>
          </w:tcPr>
          <w:p w14:paraId="51282E0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60 reports submitted by 30 June on the performance of the Service Providers (Valuation, Easy pay, monthly mailing of accounts, MSCOA implementation, Fleet)</w:t>
            </w:r>
          </w:p>
        </w:tc>
        <w:tc>
          <w:tcPr>
            <w:tcW w:w="362" w:type="pct"/>
            <w:hideMark/>
          </w:tcPr>
          <w:p w14:paraId="0D7A7E5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60 reports submitted by 30 June on the performance of the Service Providers (Valuation, Easy pay, monthly mailing of accounts, MSCOA implementation, Fleet)</w:t>
            </w:r>
          </w:p>
        </w:tc>
        <w:tc>
          <w:tcPr>
            <w:tcW w:w="362" w:type="pct"/>
            <w:hideMark/>
          </w:tcPr>
          <w:p w14:paraId="2F4D812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60 reports submitted by 30 June on the performance of the Service Providers (Valuation, Easy pay, monthly mailing of accounts, MSCOA implementation, Fleet)</w:t>
            </w:r>
          </w:p>
        </w:tc>
        <w:tc>
          <w:tcPr>
            <w:tcW w:w="180" w:type="pct"/>
            <w:vMerge w:val="restart"/>
            <w:hideMark/>
          </w:tcPr>
          <w:p w14:paraId="4B5FD1A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100%</w:t>
            </w:r>
          </w:p>
        </w:tc>
        <w:tc>
          <w:tcPr>
            <w:tcW w:w="268" w:type="pct"/>
            <w:vMerge w:val="restart"/>
            <w:hideMark/>
          </w:tcPr>
          <w:p w14:paraId="35FB383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FINANCIAL SERVICES</w:t>
            </w:r>
          </w:p>
        </w:tc>
        <w:tc>
          <w:tcPr>
            <w:tcW w:w="306" w:type="pct"/>
            <w:vMerge w:val="restart"/>
            <w:hideMark/>
          </w:tcPr>
          <w:p w14:paraId="01A80DB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Contracted Services - Valuation, Easy pay, mailing monthly statements, MSCOA, Fleet</w:t>
            </w:r>
          </w:p>
        </w:tc>
        <w:tc>
          <w:tcPr>
            <w:tcW w:w="369" w:type="pct"/>
            <w:vMerge w:val="restart"/>
            <w:hideMark/>
          </w:tcPr>
          <w:p w14:paraId="2723E64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Finance</w:t>
            </w:r>
          </w:p>
        </w:tc>
        <w:tc>
          <w:tcPr>
            <w:tcW w:w="249" w:type="pct"/>
            <w:vMerge w:val="restart"/>
            <w:hideMark/>
          </w:tcPr>
          <w:p w14:paraId="2744EFE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Equitable Share</w:t>
            </w:r>
          </w:p>
        </w:tc>
        <w:tc>
          <w:tcPr>
            <w:tcW w:w="162" w:type="pct"/>
            <w:vMerge w:val="restart"/>
            <w:hideMark/>
          </w:tcPr>
          <w:p w14:paraId="1AB36CC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ADMIN</w:t>
            </w:r>
          </w:p>
        </w:tc>
      </w:tr>
      <w:tr w:rsidR="008A0277" w:rsidRPr="008A0277" w14:paraId="6C0237F9" w14:textId="77777777" w:rsidTr="008A0277">
        <w:trPr>
          <w:trHeight w:val="300"/>
        </w:trPr>
        <w:tc>
          <w:tcPr>
            <w:tcW w:w="277" w:type="pct"/>
            <w:vMerge/>
            <w:hideMark/>
          </w:tcPr>
          <w:p w14:paraId="577A141A"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016220CF"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2C91663D"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610BFF1C"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2446CF6B"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4B900FC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70BAA30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2 259 660.00</w:t>
            </w:r>
          </w:p>
        </w:tc>
        <w:tc>
          <w:tcPr>
            <w:tcW w:w="362" w:type="pct"/>
            <w:hideMark/>
          </w:tcPr>
          <w:p w14:paraId="430C496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2 382 880.00</w:t>
            </w:r>
          </w:p>
        </w:tc>
        <w:tc>
          <w:tcPr>
            <w:tcW w:w="362" w:type="pct"/>
            <w:hideMark/>
          </w:tcPr>
          <w:p w14:paraId="4969184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2 324 638.00</w:t>
            </w:r>
          </w:p>
        </w:tc>
        <w:tc>
          <w:tcPr>
            <w:tcW w:w="362" w:type="pct"/>
            <w:hideMark/>
          </w:tcPr>
          <w:p w14:paraId="5FD58BD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2 324 638.00</w:t>
            </w:r>
          </w:p>
        </w:tc>
        <w:tc>
          <w:tcPr>
            <w:tcW w:w="362" w:type="pct"/>
            <w:hideMark/>
          </w:tcPr>
          <w:p w14:paraId="1E63E4A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2 324 638.00</w:t>
            </w:r>
          </w:p>
        </w:tc>
        <w:tc>
          <w:tcPr>
            <w:tcW w:w="180" w:type="pct"/>
            <w:vMerge/>
            <w:hideMark/>
          </w:tcPr>
          <w:p w14:paraId="79485B38"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67E07125"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286197BF"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4307452A"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08F540BE"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43C15C64"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53962DB6" w14:textId="77777777" w:rsidTr="008A0277">
        <w:trPr>
          <w:trHeight w:val="1046"/>
        </w:trPr>
        <w:tc>
          <w:tcPr>
            <w:tcW w:w="277" w:type="pct"/>
            <w:vMerge w:val="restart"/>
            <w:hideMark/>
          </w:tcPr>
          <w:p w14:paraId="2C2A4EE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Insufficient skills development</w:t>
            </w:r>
          </w:p>
        </w:tc>
        <w:tc>
          <w:tcPr>
            <w:tcW w:w="116" w:type="pct"/>
            <w:vMerge w:val="restart"/>
            <w:hideMark/>
          </w:tcPr>
          <w:p w14:paraId="6E20FEA7"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11</w:t>
            </w:r>
          </w:p>
        </w:tc>
        <w:tc>
          <w:tcPr>
            <w:tcW w:w="270" w:type="pct"/>
            <w:vMerge w:val="restart"/>
            <w:hideMark/>
          </w:tcPr>
          <w:p w14:paraId="02D6429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Transformation and institutional development</w:t>
            </w:r>
          </w:p>
        </w:tc>
        <w:tc>
          <w:tcPr>
            <w:tcW w:w="268" w:type="pct"/>
            <w:vMerge w:val="restart"/>
            <w:hideMark/>
          </w:tcPr>
          <w:p w14:paraId="70C60A8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develop the institution and to facilitate institutional transformation</w:t>
            </w:r>
          </w:p>
        </w:tc>
        <w:tc>
          <w:tcPr>
            <w:tcW w:w="362" w:type="pct"/>
            <w:hideMark/>
          </w:tcPr>
          <w:p w14:paraId="788F9FA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Conduct 2 Employee Wellness programmes by 30 June</w:t>
            </w:r>
          </w:p>
        </w:tc>
        <w:tc>
          <w:tcPr>
            <w:tcW w:w="362" w:type="pct"/>
            <w:hideMark/>
          </w:tcPr>
          <w:p w14:paraId="38EDF30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Number of Employee Wellness programmes conducted by 30 June</w:t>
            </w:r>
          </w:p>
        </w:tc>
        <w:tc>
          <w:tcPr>
            <w:tcW w:w="362" w:type="pct"/>
            <w:hideMark/>
          </w:tcPr>
          <w:p w14:paraId="1B9180D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2 Employee Wellness programmes conducted by 30 June </w:t>
            </w:r>
          </w:p>
        </w:tc>
        <w:tc>
          <w:tcPr>
            <w:tcW w:w="362" w:type="pct"/>
            <w:hideMark/>
          </w:tcPr>
          <w:p w14:paraId="38090A3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2 Employee Wellness programmes conducted by 30 June </w:t>
            </w:r>
          </w:p>
        </w:tc>
        <w:tc>
          <w:tcPr>
            <w:tcW w:w="362" w:type="pct"/>
            <w:hideMark/>
          </w:tcPr>
          <w:p w14:paraId="4DD9530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2 Employee Wellness programmes conducted by 30 June </w:t>
            </w:r>
          </w:p>
        </w:tc>
        <w:tc>
          <w:tcPr>
            <w:tcW w:w="362" w:type="pct"/>
            <w:hideMark/>
          </w:tcPr>
          <w:p w14:paraId="2552B06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2 Employee Wellness programmes conducted by 30 June </w:t>
            </w:r>
          </w:p>
        </w:tc>
        <w:tc>
          <w:tcPr>
            <w:tcW w:w="362" w:type="pct"/>
            <w:hideMark/>
          </w:tcPr>
          <w:p w14:paraId="7045FAC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2 Employee Wellness programmes conducted by 30 June </w:t>
            </w:r>
          </w:p>
        </w:tc>
        <w:tc>
          <w:tcPr>
            <w:tcW w:w="180" w:type="pct"/>
            <w:vMerge w:val="restart"/>
            <w:hideMark/>
          </w:tcPr>
          <w:p w14:paraId="47B2168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w:t>
            </w:r>
          </w:p>
        </w:tc>
        <w:tc>
          <w:tcPr>
            <w:tcW w:w="268" w:type="pct"/>
            <w:vMerge w:val="restart"/>
            <w:hideMark/>
          </w:tcPr>
          <w:p w14:paraId="161642E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CORPORATE SERVICES </w:t>
            </w:r>
          </w:p>
        </w:tc>
        <w:tc>
          <w:tcPr>
            <w:tcW w:w="306" w:type="pct"/>
            <w:vMerge w:val="restart"/>
            <w:hideMark/>
          </w:tcPr>
          <w:p w14:paraId="6F10A0C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Employee related costs</w:t>
            </w:r>
          </w:p>
        </w:tc>
        <w:tc>
          <w:tcPr>
            <w:tcW w:w="369" w:type="pct"/>
            <w:vMerge w:val="restart"/>
            <w:hideMark/>
          </w:tcPr>
          <w:p w14:paraId="6BF4F9D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Human Resources</w:t>
            </w:r>
          </w:p>
        </w:tc>
        <w:tc>
          <w:tcPr>
            <w:tcW w:w="249" w:type="pct"/>
            <w:vMerge w:val="restart"/>
            <w:hideMark/>
          </w:tcPr>
          <w:p w14:paraId="3021773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Equitable Share</w:t>
            </w:r>
          </w:p>
        </w:tc>
        <w:tc>
          <w:tcPr>
            <w:tcW w:w="162" w:type="pct"/>
            <w:vMerge w:val="restart"/>
            <w:hideMark/>
          </w:tcPr>
          <w:p w14:paraId="0EE71ED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ADMIN</w:t>
            </w:r>
          </w:p>
        </w:tc>
      </w:tr>
      <w:tr w:rsidR="008A0277" w:rsidRPr="008A0277" w14:paraId="41DE2D4C" w14:textId="77777777" w:rsidTr="008A0277">
        <w:trPr>
          <w:trHeight w:val="330"/>
        </w:trPr>
        <w:tc>
          <w:tcPr>
            <w:tcW w:w="277" w:type="pct"/>
            <w:vMerge/>
            <w:hideMark/>
          </w:tcPr>
          <w:p w14:paraId="43648DA3"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039A7CFC"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58B9900F"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61D87859"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488DD38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03F9FE0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289212C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133 890.00</w:t>
            </w:r>
          </w:p>
        </w:tc>
        <w:tc>
          <w:tcPr>
            <w:tcW w:w="362" w:type="pct"/>
            <w:hideMark/>
          </w:tcPr>
          <w:p w14:paraId="06E8234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115 000.00</w:t>
            </w:r>
          </w:p>
        </w:tc>
        <w:tc>
          <w:tcPr>
            <w:tcW w:w="362" w:type="pct"/>
            <w:hideMark/>
          </w:tcPr>
          <w:p w14:paraId="129E4EB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115 270.00</w:t>
            </w:r>
          </w:p>
        </w:tc>
        <w:tc>
          <w:tcPr>
            <w:tcW w:w="362" w:type="pct"/>
            <w:hideMark/>
          </w:tcPr>
          <w:p w14:paraId="5E3E4F8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115 270.00</w:t>
            </w:r>
          </w:p>
        </w:tc>
        <w:tc>
          <w:tcPr>
            <w:tcW w:w="362" w:type="pct"/>
            <w:hideMark/>
          </w:tcPr>
          <w:p w14:paraId="177D6C0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115 270.00</w:t>
            </w:r>
          </w:p>
        </w:tc>
        <w:tc>
          <w:tcPr>
            <w:tcW w:w="180" w:type="pct"/>
            <w:vMerge/>
            <w:hideMark/>
          </w:tcPr>
          <w:p w14:paraId="41A5D954"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128F395F"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1B989A6D"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486901D1"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7F778DEE"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288CEFF4"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3DF42D24" w14:textId="77777777" w:rsidTr="008A0277">
        <w:trPr>
          <w:trHeight w:val="1395"/>
        </w:trPr>
        <w:tc>
          <w:tcPr>
            <w:tcW w:w="277" w:type="pct"/>
            <w:vMerge w:val="restart"/>
            <w:hideMark/>
          </w:tcPr>
          <w:p w14:paraId="037C854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Insufficient skills development</w:t>
            </w:r>
          </w:p>
        </w:tc>
        <w:tc>
          <w:tcPr>
            <w:tcW w:w="116" w:type="pct"/>
            <w:vMerge w:val="restart"/>
            <w:hideMark/>
          </w:tcPr>
          <w:p w14:paraId="5B124910"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12</w:t>
            </w:r>
          </w:p>
        </w:tc>
        <w:tc>
          <w:tcPr>
            <w:tcW w:w="270" w:type="pct"/>
            <w:vMerge w:val="restart"/>
            <w:hideMark/>
          </w:tcPr>
          <w:p w14:paraId="6789DB3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Transformation and institutional development</w:t>
            </w:r>
          </w:p>
        </w:tc>
        <w:tc>
          <w:tcPr>
            <w:tcW w:w="268" w:type="pct"/>
            <w:vMerge w:val="restart"/>
            <w:hideMark/>
          </w:tcPr>
          <w:p w14:paraId="2EAB456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develop the institution and to facilitate institutional transformation</w:t>
            </w:r>
          </w:p>
        </w:tc>
        <w:tc>
          <w:tcPr>
            <w:tcW w:w="362" w:type="pct"/>
            <w:hideMark/>
          </w:tcPr>
          <w:p w14:paraId="7B92C01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Provide training to 54 Councillors by 30 June  in terms of skills audit undertaken </w:t>
            </w:r>
          </w:p>
        </w:tc>
        <w:tc>
          <w:tcPr>
            <w:tcW w:w="362" w:type="pct"/>
            <w:hideMark/>
          </w:tcPr>
          <w:p w14:paraId="47DFD7E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Number of Councillors trained by 30 June </w:t>
            </w:r>
          </w:p>
        </w:tc>
        <w:tc>
          <w:tcPr>
            <w:tcW w:w="362" w:type="pct"/>
            <w:hideMark/>
          </w:tcPr>
          <w:p w14:paraId="716A462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training provided to 54 Councillors by 30 June  in terms of skills audit undertaken </w:t>
            </w:r>
          </w:p>
        </w:tc>
        <w:tc>
          <w:tcPr>
            <w:tcW w:w="362" w:type="pct"/>
            <w:hideMark/>
          </w:tcPr>
          <w:p w14:paraId="1513325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training provided to 54 Councillors by 30 June  in terms of skills audit undertaken </w:t>
            </w:r>
          </w:p>
        </w:tc>
        <w:tc>
          <w:tcPr>
            <w:tcW w:w="362" w:type="pct"/>
            <w:hideMark/>
          </w:tcPr>
          <w:p w14:paraId="1C7E44F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training provided to 54 Councillors by 30 June  in terms of skills audit undertaken </w:t>
            </w:r>
          </w:p>
        </w:tc>
        <w:tc>
          <w:tcPr>
            <w:tcW w:w="362" w:type="pct"/>
            <w:hideMark/>
          </w:tcPr>
          <w:p w14:paraId="33277A2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training provided to 54 Councillors by 30 June  in terms of skills audit undertaken </w:t>
            </w:r>
          </w:p>
        </w:tc>
        <w:tc>
          <w:tcPr>
            <w:tcW w:w="362" w:type="pct"/>
            <w:hideMark/>
          </w:tcPr>
          <w:p w14:paraId="0C8661F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training provided to 54 Councillors by 30 June  in terms of skills audit undertaken </w:t>
            </w:r>
          </w:p>
        </w:tc>
        <w:tc>
          <w:tcPr>
            <w:tcW w:w="180" w:type="pct"/>
            <w:vMerge w:val="restart"/>
            <w:hideMark/>
          </w:tcPr>
          <w:p w14:paraId="1A69303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100%</w:t>
            </w:r>
          </w:p>
        </w:tc>
        <w:tc>
          <w:tcPr>
            <w:tcW w:w="268" w:type="pct"/>
            <w:vMerge w:val="restart"/>
            <w:hideMark/>
          </w:tcPr>
          <w:p w14:paraId="506BDF5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CORPORATE SERVICES </w:t>
            </w:r>
          </w:p>
        </w:tc>
        <w:tc>
          <w:tcPr>
            <w:tcW w:w="306" w:type="pct"/>
            <w:vMerge w:val="restart"/>
            <w:hideMark/>
          </w:tcPr>
          <w:p w14:paraId="5563BDE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Registration fees</w:t>
            </w:r>
          </w:p>
        </w:tc>
        <w:tc>
          <w:tcPr>
            <w:tcW w:w="369" w:type="pct"/>
            <w:vMerge w:val="restart"/>
            <w:hideMark/>
          </w:tcPr>
          <w:p w14:paraId="6E795B0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Human Resources</w:t>
            </w:r>
          </w:p>
        </w:tc>
        <w:tc>
          <w:tcPr>
            <w:tcW w:w="249" w:type="pct"/>
            <w:vMerge w:val="restart"/>
            <w:hideMark/>
          </w:tcPr>
          <w:p w14:paraId="40A6DF8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Equitable Share</w:t>
            </w:r>
          </w:p>
        </w:tc>
        <w:tc>
          <w:tcPr>
            <w:tcW w:w="162" w:type="pct"/>
            <w:vMerge w:val="restart"/>
            <w:hideMark/>
          </w:tcPr>
          <w:p w14:paraId="5CDA4E2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ADMIN</w:t>
            </w:r>
          </w:p>
        </w:tc>
      </w:tr>
      <w:tr w:rsidR="008A0277" w:rsidRPr="008A0277" w14:paraId="10842FBB" w14:textId="77777777" w:rsidTr="008A0277">
        <w:trPr>
          <w:trHeight w:val="300"/>
        </w:trPr>
        <w:tc>
          <w:tcPr>
            <w:tcW w:w="277" w:type="pct"/>
            <w:vMerge/>
            <w:hideMark/>
          </w:tcPr>
          <w:p w14:paraId="5B74A028"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243115D2"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0A1ED35D"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5B9F417E"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07A06D2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3087ED4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69A65F2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250 000.00</w:t>
            </w:r>
          </w:p>
        </w:tc>
        <w:tc>
          <w:tcPr>
            <w:tcW w:w="362" w:type="pct"/>
            <w:hideMark/>
          </w:tcPr>
          <w:p w14:paraId="2E9E763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250 000.00</w:t>
            </w:r>
          </w:p>
        </w:tc>
        <w:tc>
          <w:tcPr>
            <w:tcW w:w="362" w:type="pct"/>
            <w:hideMark/>
          </w:tcPr>
          <w:p w14:paraId="102A54F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250 000.00</w:t>
            </w:r>
          </w:p>
        </w:tc>
        <w:tc>
          <w:tcPr>
            <w:tcW w:w="362" w:type="pct"/>
            <w:hideMark/>
          </w:tcPr>
          <w:p w14:paraId="430AE6B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250 000.00</w:t>
            </w:r>
          </w:p>
        </w:tc>
        <w:tc>
          <w:tcPr>
            <w:tcW w:w="362" w:type="pct"/>
            <w:hideMark/>
          </w:tcPr>
          <w:p w14:paraId="1441E9E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250 000.00</w:t>
            </w:r>
          </w:p>
        </w:tc>
        <w:tc>
          <w:tcPr>
            <w:tcW w:w="180" w:type="pct"/>
            <w:vMerge/>
            <w:hideMark/>
          </w:tcPr>
          <w:p w14:paraId="3FB6FA37"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69A9EBC4"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36C6AB99"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7EB1EDE9"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0B0101FA"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40B590E3"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68E3C348" w14:textId="77777777" w:rsidTr="008A0277">
        <w:trPr>
          <w:trHeight w:val="1433"/>
        </w:trPr>
        <w:tc>
          <w:tcPr>
            <w:tcW w:w="277" w:type="pct"/>
            <w:vMerge w:val="restart"/>
            <w:hideMark/>
          </w:tcPr>
          <w:p w14:paraId="3A27D58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Insufficient skills development</w:t>
            </w:r>
          </w:p>
        </w:tc>
        <w:tc>
          <w:tcPr>
            <w:tcW w:w="116" w:type="pct"/>
            <w:vMerge w:val="restart"/>
            <w:hideMark/>
          </w:tcPr>
          <w:p w14:paraId="25385A0A"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13</w:t>
            </w:r>
          </w:p>
        </w:tc>
        <w:tc>
          <w:tcPr>
            <w:tcW w:w="270" w:type="pct"/>
            <w:vMerge w:val="restart"/>
            <w:hideMark/>
          </w:tcPr>
          <w:p w14:paraId="7DE306F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Transformation and institutional development</w:t>
            </w:r>
          </w:p>
        </w:tc>
        <w:tc>
          <w:tcPr>
            <w:tcW w:w="268" w:type="pct"/>
            <w:vMerge w:val="restart"/>
            <w:hideMark/>
          </w:tcPr>
          <w:p w14:paraId="098F7A6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develop the institution and to facilitate institutional transformation</w:t>
            </w:r>
          </w:p>
        </w:tc>
        <w:tc>
          <w:tcPr>
            <w:tcW w:w="362" w:type="pct"/>
            <w:hideMark/>
          </w:tcPr>
          <w:p w14:paraId="6057129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Provide training to staff in terms of skills development plan and ensure 90% expenditure on staff training costs</w:t>
            </w:r>
          </w:p>
        </w:tc>
        <w:tc>
          <w:tcPr>
            <w:tcW w:w="362" w:type="pct"/>
            <w:hideMark/>
          </w:tcPr>
          <w:p w14:paraId="0770F08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Percentage expenditure on staff training costs by 30 June</w:t>
            </w:r>
          </w:p>
        </w:tc>
        <w:tc>
          <w:tcPr>
            <w:tcW w:w="362" w:type="pct"/>
            <w:hideMark/>
          </w:tcPr>
          <w:p w14:paraId="12C8B52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90% expenditure on staff training costs budget by 30 June</w:t>
            </w:r>
          </w:p>
        </w:tc>
        <w:tc>
          <w:tcPr>
            <w:tcW w:w="362" w:type="pct"/>
            <w:hideMark/>
          </w:tcPr>
          <w:p w14:paraId="38D9620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90% expenditure on staff training costs budget by 30 June</w:t>
            </w:r>
          </w:p>
        </w:tc>
        <w:tc>
          <w:tcPr>
            <w:tcW w:w="362" w:type="pct"/>
            <w:hideMark/>
          </w:tcPr>
          <w:p w14:paraId="06931C8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90% expenditure on staff training costs budget by 30 June</w:t>
            </w:r>
          </w:p>
        </w:tc>
        <w:tc>
          <w:tcPr>
            <w:tcW w:w="362" w:type="pct"/>
            <w:hideMark/>
          </w:tcPr>
          <w:p w14:paraId="54BA73C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90% expenditure on staff training costs budget by 30 June</w:t>
            </w:r>
          </w:p>
        </w:tc>
        <w:tc>
          <w:tcPr>
            <w:tcW w:w="362" w:type="pct"/>
            <w:hideMark/>
          </w:tcPr>
          <w:p w14:paraId="0FF7B7F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90% expenditure on staff training costs budget by 30 June</w:t>
            </w:r>
          </w:p>
        </w:tc>
        <w:tc>
          <w:tcPr>
            <w:tcW w:w="180" w:type="pct"/>
            <w:vMerge w:val="restart"/>
            <w:hideMark/>
          </w:tcPr>
          <w:p w14:paraId="2D59341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100%</w:t>
            </w:r>
          </w:p>
        </w:tc>
        <w:tc>
          <w:tcPr>
            <w:tcW w:w="268" w:type="pct"/>
            <w:vMerge w:val="restart"/>
            <w:hideMark/>
          </w:tcPr>
          <w:p w14:paraId="522FC9B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CORPORATE SERVICES </w:t>
            </w:r>
          </w:p>
        </w:tc>
        <w:tc>
          <w:tcPr>
            <w:tcW w:w="306" w:type="pct"/>
            <w:vMerge w:val="restart"/>
            <w:hideMark/>
          </w:tcPr>
          <w:p w14:paraId="0E5970C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Workshops, Seminars and Subject Matter Training/bursaries</w:t>
            </w:r>
          </w:p>
        </w:tc>
        <w:tc>
          <w:tcPr>
            <w:tcW w:w="369" w:type="pct"/>
            <w:vMerge w:val="restart"/>
            <w:hideMark/>
          </w:tcPr>
          <w:p w14:paraId="184773B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Human Resources</w:t>
            </w:r>
          </w:p>
        </w:tc>
        <w:tc>
          <w:tcPr>
            <w:tcW w:w="249" w:type="pct"/>
            <w:vMerge w:val="restart"/>
            <w:hideMark/>
          </w:tcPr>
          <w:p w14:paraId="082EA73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Equitable Share</w:t>
            </w:r>
          </w:p>
        </w:tc>
        <w:tc>
          <w:tcPr>
            <w:tcW w:w="162" w:type="pct"/>
            <w:vMerge w:val="restart"/>
            <w:hideMark/>
          </w:tcPr>
          <w:p w14:paraId="00D0E4B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ADMIN</w:t>
            </w:r>
          </w:p>
        </w:tc>
      </w:tr>
      <w:tr w:rsidR="008A0277" w:rsidRPr="008A0277" w14:paraId="39E09DC4" w14:textId="77777777" w:rsidTr="008A0277">
        <w:trPr>
          <w:trHeight w:val="300"/>
        </w:trPr>
        <w:tc>
          <w:tcPr>
            <w:tcW w:w="277" w:type="pct"/>
            <w:vMerge/>
            <w:hideMark/>
          </w:tcPr>
          <w:p w14:paraId="04C789D6"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75FF8C2A"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67B114A7"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0F722C01"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2A0ED3F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15E68E0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48E2D66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608 190.00</w:t>
            </w:r>
          </w:p>
        </w:tc>
        <w:tc>
          <w:tcPr>
            <w:tcW w:w="362" w:type="pct"/>
            <w:hideMark/>
          </w:tcPr>
          <w:p w14:paraId="41488BB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608 190.00</w:t>
            </w:r>
          </w:p>
        </w:tc>
        <w:tc>
          <w:tcPr>
            <w:tcW w:w="362" w:type="pct"/>
            <w:hideMark/>
          </w:tcPr>
          <w:p w14:paraId="17255C0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608 190.00</w:t>
            </w:r>
          </w:p>
        </w:tc>
        <w:tc>
          <w:tcPr>
            <w:tcW w:w="362" w:type="pct"/>
            <w:hideMark/>
          </w:tcPr>
          <w:p w14:paraId="0F47486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608 190.00</w:t>
            </w:r>
          </w:p>
        </w:tc>
        <w:tc>
          <w:tcPr>
            <w:tcW w:w="362" w:type="pct"/>
            <w:hideMark/>
          </w:tcPr>
          <w:p w14:paraId="3CB0D66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608 190.00</w:t>
            </w:r>
          </w:p>
        </w:tc>
        <w:tc>
          <w:tcPr>
            <w:tcW w:w="180" w:type="pct"/>
            <w:vMerge/>
            <w:hideMark/>
          </w:tcPr>
          <w:p w14:paraId="671D2DF7"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657937B1"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765A6EC5"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065863DF"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07FC0F7F"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6BEB386D"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3C64002C" w14:textId="77777777" w:rsidTr="008A0277">
        <w:trPr>
          <w:trHeight w:val="1125"/>
        </w:trPr>
        <w:tc>
          <w:tcPr>
            <w:tcW w:w="277" w:type="pct"/>
            <w:vMerge w:val="restart"/>
            <w:hideMark/>
          </w:tcPr>
          <w:p w14:paraId="79113EE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IT Audit quaery</w:t>
            </w:r>
          </w:p>
        </w:tc>
        <w:tc>
          <w:tcPr>
            <w:tcW w:w="116" w:type="pct"/>
            <w:vMerge w:val="restart"/>
            <w:hideMark/>
          </w:tcPr>
          <w:p w14:paraId="25A6B71A"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14</w:t>
            </w:r>
          </w:p>
        </w:tc>
        <w:tc>
          <w:tcPr>
            <w:tcW w:w="270" w:type="pct"/>
            <w:vMerge w:val="restart"/>
            <w:hideMark/>
          </w:tcPr>
          <w:p w14:paraId="07CB271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Financial Viability and Management</w:t>
            </w:r>
          </w:p>
        </w:tc>
        <w:tc>
          <w:tcPr>
            <w:tcW w:w="268" w:type="pct"/>
            <w:vMerge w:val="restart"/>
            <w:hideMark/>
          </w:tcPr>
          <w:p w14:paraId="17A7F54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develop the institution and to facilitate institutional transformation</w:t>
            </w:r>
          </w:p>
        </w:tc>
        <w:tc>
          <w:tcPr>
            <w:tcW w:w="362" w:type="pct"/>
            <w:hideMark/>
          </w:tcPr>
          <w:p w14:paraId="217A512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Spend 90% of the IT budget by 31 March </w:t>
            </w:r>
          </w:p>
        </w:tc>
        <w:tc>
          <w:tcPr>
            <w:tcW w:w="362" w:type="pct"/>
            <w:hideMark/>
          </w:tcPr>
          <w:p w14:paraId="6C89331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Percentage of IT budget spent by 31 March</w:t>
            </w:r>
          </w:p>
        </w:tc>
        <w:tc>
          <w:tcPr>
            <w:tcW w:w="362" w:type="pct"/>
            <w:hideMark/>
          </w:tcPr>
          <w:p w14:paraId="667AE4D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90% expenditure on IT budget by 31 March</w:t>
            </w:r>
          </w:p>
        </w:tc>
        <w:tc>
          <w:tcPr>
            <w:tcW w:w="362" w:type="pct"/>
            <w:hideMark/>
          </w:tcPr>
          <w:p w14:paraId="13A99E9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90% expenditure on IT budget by 31 March</w:t>
            </w:r>
          </w:p>
        </w:tc>
        <w:tc>
          <w:tcPr>
            <w:tcW w:w="362" w:type="pct"/>
            <w:hideMark/>
          </w:tcPr>
          <w:p w14:paraId="6D36C1B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90% expenditure on IT budget by 31 March</w:t>
            </w:r>
          </w:p>
        </w:tc>
        <w:tc>
          <w:tcPr>
            <w:tcW w:w="362" w:type="pct"/>
            <w:hideMark/>
          </w:tcPr>
          <w:p w14:paraId="68B1F9F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90% expenditure on IT budget by 31 March</w:t>
            </w:r>
          </w:p>
        </w:tc>
        <w:tc>
          <w:tcPr>
            <w:tcW w:w="362" w:type="pct"/>
            <w:hideMark/>
          </w:tcPr>
          <w:p w14:paraId="0ECF885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90% expenditure on IT budget by 31 March</w:t>
            </w:r>
          </w:p>
        </w:tc>
        <w:tc>
          <w:tcPr>
            <w:tcW w:w="180" w:type="pct"/>
            <w:vMerge w:val="restart"/>
            <w:hideMark/>
          </w:tcPr>
          <w:p w14:paraId="4AAF5FD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100%</w:t>
            </w:r>
          </w:p>
        </w:tc>
        <w:tc>
          <w:tcPr>
            <w:tcW w:w="268" w:type="pct"/>
            <w:vMerge w:val="restart"/>
            <w:hideMark/>
          </w:tcPr>
          <w:p w14:paraId="44FD290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CORPORATE SERVICES </w:t>
            </w:r>
          </w:p>
        </w:tc>
        <w:tc>
          <w:tcPr>
            <w:tcW w:w="306" w:type="pct"/>
            <w:vMerge w:val="restart"/>
            <w:hideMark/>
          </w:tcPr>
          <w:p w14:paraId="3F1ADA0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External computer se</w:t>
            </w:r>
          </w:p>
        </w:tc>
        <w:tc>
          <w:tcPr>
            <w:tcW w:w="369" w:type="pct"/>
            <w:vMerge w:val="restart"/>
            <w:hideMark/>
          </w:tcPr>
          <w:p w14:paraId="042B80D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Information Technology</w:t>
            </w:r>
          </w:p>
        </w:tc>
        <w:tc>
          <w:tcPr>
            <w:tcW w:w="249" w:type="pct"/>
            <w:vMerge w:val="restart"/>
            <w:hideMark/>
          </w:tcPr>
          <w:p w14:paraId="13FA44F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Equitable Share</w:t>
            </w:r>
          </w:p>
        </w:tc>
        <w:tc>
          <w:tcPr>
            <w:tcW w:w="162" w:type="pct"/>
            <w:vMerge w:val="restart"/>
            <w:hideMark/>
          </w:tcPr>
          <w:p w14:paraId="0335A76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ADMIN</w:t>
            </w:r>
          </w:p>
        </w:tc>
      </w:tr>
      <w:tr w:rsidR="008A0277" w:rsidRPr="008A0277" w14:paraId="5E4FDADE" w14:textId="77777777" w:rsidTr="008A0277">
        <w:trPr>
          <w:trHeight w:val="269"/>
        </w:trPr>
        <w:tc>
          <w:tcPr>
            <w:tcW w:w="277" w:type="pct"/>
            <w:vMerge/>
            <w:hideMark/>
          </w:tcPr>
          <w:p w14:paraId="63676516"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109DEA51"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1532D96E"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5ACC06AF"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60294A7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2B1B218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4AE237D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3 278 440.00</w:t>
            </w:r>
          </w:p>
        </w:tc>
        <w:tc>
          <w:tcPr>
            <w:tcW w:w="362" w:type="pct"/>
            <w:hideMark/>
          </w:tcPr>
          <w:p w14:paraId="63863B3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3 455 470.00</w:t>
            </w:r>
          </w:p>
        </w:tc>
        <w:tc>
          <w:tcPr>
            <w:tcW w:w="362" w:type="pct"/>
            <w:hideMark/>
          </w:tcPr>
          <w:p w14:paraId="2F9A27E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3 645 520.00</w:t>
            </w:r>
          </w:p>
        </w:tc>
        <w:tc>
          <w:tcPr>
            <w:tcW w:w="362" w:type="pct"/>
            <w:hideMark/>
          </w:tcPr>
          <w:p w14:paraId="47F8FBD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3 645 520.00</w:t>
            </w:r>
          </w:p>
        </w:tc>
        <w:tc>
          <w:tcPr>
            <w:tcW w:w="362" w:type="pct"/>
            <w:hideMark/>
          </w:tcPr>
          <w:p w14:paraId="35E15E4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3 645 520.00</w:t>
            </w:r>
          </w:p>
        </w:tc>
        <w:tc>
          <w:tcPr>
            <w:tcW w:w="180" w:type="pct"/>
            <w:vMerge/>
            <w:hideMark/>
          </w:tcPr>
          <w:p w14:paraId="21EAFCCC"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4EF0F5A0"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0D0BDAF6"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1ADBCF0F"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7DA3350F"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79376CA4"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2A5DAD2A" w14:textId="77777777" w:rsidTr="008A0277">
        <w:trPr>
          <w:trHeight w:val="1020"/>
        </w:trPr>
        <w:tc>
          <w:tcPr>
            <w:tcW w:w="277" w:type="pct"/>
            <w:vMerge w:val="restart"/>
            <w:hideMark/>
          </w:tcPr>
          <w:p w14:paraId="388C6A4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Inadequate performance monitoring</w:t>
            </w:r>
          </w:p>
        </w:tc>
        <w:tc>
          <w:tcPr>
            <w:tcW w:w="116" w:type="pct"/>
            <w:vMerge w:val="restart"/>
            <w:hideMark/>
          </w:tcPr>
          <w:p w14:paraId="7DD57097"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15</w:t>
            </w:r>
          </w:p>
        </w:tc>
        <w:tc>
          <w:tcPr>
            <w:tcW w:w="270" w:type="pct"/>
            <w:vMerge w:val="restart"/>
            <w:hideMark/>
          </w:tcPr>
          <w:p w14:paraId="004D526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Financial Viability and Management</w:t>
            </w:r>
          </w:p>
        </w:tc>
        <w:tc>
          <w:tcPr>
            <w:tcW w:w="268" w:type="pct"/>
            <w:vMerge w:val="restart"/>
            <w:hideMark/>
          </w:tcPr>
          <w:p w14:paraId="315F3BD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ensure continued sound financial management</w:t>
            </w:r>
          </w:p>
        </w:tc>
        <w:tc>
          <w:tcPr>
            <w:tcW w:w="362" w:type="pct"/>
            <w:vMerge w:val="restart"/>
            <w:hideMark/>
          </w:tcPr>
          <w:p w14:paraId="2D88968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Submit monthly reports to PMS on the performance of the Service Provider  </w:t>
            </w:r>
          </w:p>
        </w:tc>
        <w:tc>
          <w:tcPr>
            <w:tcW w:w="362" w:type="pct"/>
            <w:vMerge w:val="restart"/>
            <w:hideMark/>
          </w:tcPr>
          <w:p w14:paraId="6C04A4D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Number of reports submitted by 30 June </w:t>
            </w:r>
          </w:p>
        </w:tc>
        <w:tc>
          <w:tcPr>
            <w:tcW w:w="362" w:type="pct"/>
            <w:hideMark/>
          </w:tcPr>
          <w:p w14:paraId="0933E0F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12 reports submitted to PMS by 30 June on the performance of the Service Provider</w:t>
            </w:r>
          </w:p>
        </w:tc>
        <w:tc>
          <w:tcPr>
            <w:tcW w:w="362" w:type="pct"/>
            <w:hideMark/>
          </w:tcPr>
          <w:p w14:paraId="2649FAB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reports submitted to PMS by 30 June on the performance of the Service Provider</w:t>
            </w:r>
          </w:p>
        </w:tc>
        <w:tc>
          <w:tcPr>
            <w:tcW w:w="362" w:type="pct"/>
            <w:hideMark/>
          </w:tcPr>
          <w:p w14:paraId="7F24CF1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reports submitted to PMS by 30 June on the performance of the Service Provider</w:t>
            </w:r>
          </w:p>
        </w:tc>
        <w:tc>
          <w:tcPr>
            <w:tcW w:w="362" w:type="pct"/>
            <w:hideMark/>
          </w:tcPr>
          <w:p w14:paraId="4228B80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2F290AA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548AC39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6A7F768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FINANCIAL SERVICES</w:t>
            </w:r>
          </w:p>
        </w:tc>
        <w:tc>
          <w:tcPr>
            <w:tcW w:w="306" w:type="pct"/>
            <w:vMerge w:val="restart"/>
            <w:hideMark/>
          </w:tcPr>
          <w:p w14:paraId="36F271E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Outsourced services</w:t>
            </w:r>
          </w:p>
        </w:tc>
        <w:tc>
          <w:tcPr>
            <w:tcW w:w="369" w:type="pct"/>
            <w:vMerge w:val="restart"/>
            <w:hideMark/>
          </w:tcPr>
          <w:p w14:paraId="0E09985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Asset Management</w:t>
            </w:r>
          </w:p>
        </w:tc>
        <w:tc>
          <w:tcPr>
            <w:tcW w:w="249" w:type="pct"/>
            <w:vMerge w:val="restart"/>
            <w:hideMark/>
          </w:tcPr>
          <w:p w14:paraId="21263C7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Equitable Share</w:t>
            </w:r>
          </w:p>
        </w:tc>
        <w:tc>
          <w:tcPr>
            <w:tcW w:w="162" w:type="pct"/>
            <w:vMerge w:val="restart"/>
            <w:hideMark/>
          </w:tcPr>
          <w:p w14:paraId="52EB5D0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ADMIN</w:t>
            </w:r>
          </w:p>
        </w:tc>
      </w:tr>
      <w:tr w:rsidR="008A0277" w:rsidRPr="008A0277" w14:paraId="55FDE697" w14:textId="77777777" w:rsidTr="008A0277">
        <w:trPr>
          <w:trHeight w:val="300"/>
        </w:trPr>
        <w:tc>
          <w:tcPr>
            <w:tcW w:w="277" w:type="pct"/>
            <w:vMerge/>
            <w:hideMark/>
          </w:tcPr>
          <w:p w14:paraId="66C8FE3F"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47CE967F"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5B705748"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7FD15A7E"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1D897ED9"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3ED4140A"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691188D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500 000.00</w:t>
            </w:r>
          </w:p>
        </w:tc>
        <w:tc>
          <w:tcPr>
            <w:tcW w:w="362" w:type="pct"/>
            <w:hideMark/>
          </w:tcPr>
          <w:p w14:paraId="60BC803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550 000.00</w:t>
            </w:r>
          </w:p>
        </w:tc>
        <w:tc>
          <w:tcPr>
            <w:tcW w:w="362" w:type="pct"/>
            <w:hideMark/>
          </w:tcPr>
          <w:p w14:paraId="3A8EC5F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600 000.00</w:t>
            </w:r>
          </w:p>
        </w:tc>
        <w:tc>
          <w:tcPr>
            <w:tcW w:w="362" w:type="pct"/>
            <w:hideMark/>
          </w:tcPr>
          <w:p w14:paraId="124CAF3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22EA330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180" w:type="pct"/>
            <w:vMerge/>
            <w:hideMark/>
          </w:tcPr>
          <w:p w14:paraId="0DB3BAC2"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43104E96"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63A3AD7A"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19430B1F"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3C0E6A05"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10061FC8"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385C6423" w14:textId="77777777" w:rsidTr="008A0277">
        <w:trPr>
          <w:trHeight w:val="1005"/>
        </w:trPr>
        <w:tc>
          <w:tcPr>
            <w:tcW w:w="277" w:type="pct"/>
            <w:vMerge w:val="restart"/>
            <w:hideMark/>
          </w:tcPr>
          <w:p w14:paraId="08840BC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Inadequate financial performance</w:t>
            </w:r>
          </w:p>
        </w:tc>
        <w:tc>
          <w:tcPr>
            <w:tcW w:w="116" w:type="pct"/>
            <w:vMerge w:val="restart"/>
            <w:hideMark/>
          </w:tcPr>
          <w:p w14:paraId="4CC44108"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16</w:t>
            </w:r>
          </w:p>
        </w:tc>
        <w:tc>
          <w:tcPr>
            <w:tcW w:w="270" w:type="pct"/>
            <w:vMerge w:val="restart"/>
            <w:hideMark/>
          </w:tcPr>
          <w:p w14:paraId="1FFFC02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Financial Viability and Management</w:t>
            </w:r>
          </w:p>
        </w:tc>
        <w:tc>
          <w:tcPr>
            <w:tcW w:w="268" w:type="pct"/>
            <w:vMerge w:val="restart"/>
            <w:hideMark/>
          </w:tcPr>
          <w:p w14:paraId="317B4F6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ensure continued sound financial management</w:t>
            </w:r>
          </w:p>
        </w:tc>
        <w:tc>
          <w:tcPr>
            <w:tcW w:w="362" w:type="pct"/>
            <w:vMerge w:val="restart"/>
            <w:hideMark/>
          </w:tcPr>
          <w:p w14:paraId="62A1842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Spend 95% of the Capital budget by 30 June</w:t>
            </w:r>
          </w:p>
        </w:tc>
        <w:tc>
          <w:tcPr>
            <w:tcW w:w="362" w:type="pct"/>
            <w:vMerge w:val="restart"/>
            <w:hideMark/>
          </w:tcPr>
          <w:p w14:paraId="695770F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Percentage spent on capital budget by 30 June</w:t>
            </w:r>
          </w:p>
        </w:tc>
        <w:tc>
          <w:tcPr>
            <w:tcW w:w="362" w:type="pct"/>
            <w:hideMark/>
          </w:tcPr>
          <w:p w14:paraId="5A9547F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95% spent on Capital budget by 30 June</w:t>
            </w:r>
          </w:p>
        </w:tc>
        <w:tc>
          <w:tcPr>
            <w:tcW w:w="362" w:type="pct"/>
            <w:hideMark/>
          </w:tcPr>
          <w:p w14:paraId="2BF683D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95% spent on Capital budget by 30 June</w:t>
            </w:r>
          </w:p>
        </w:tc>
        <w:tc>
          <w:tcPr>
            <w:tcW w:w="362" w:type="pct"/>
            <w:hideMark/>
          </w:tcPr>
          <w:p w14:paraId="2B2D3A1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95% spent on Capital budget by 30 June</w:t>
            </w:r>
          </w:p>
        </w:tc>
        <w:tc>
          <w:tcPr>
            <w:tcW w:w="362" w:type="pct"/>
            <w:hideMark/>
          </w:tcPr>
          <w:p w14:paraId="011A031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95% spent on Capital budget by 30 June</w:t>
            </w:r>
          </w:p>
        </w:tc>
        <w:tc>
          <w:tcPr>
            <w:tcW w:w="362" w:type="pct"/>
            <w:hideMark/>
          </w:tcPr>
          <w:p w14:paraId="5DF5131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95% spent on Capital budget by 30 June</w:t>
            </w:r>
          </w:p>
        </w:tc>
        <w:tc>
          <w:tcPr>
            <w:tcW w:w="180" w:type="pct"/>
            <w:vMerge w:val="restart"/>
            <w:hideMark/>
          </w:tcPr>
          <w:p w14:paraId="1DEA711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4601377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FINANCIAL SERVICES</w:t>
            </w:r>
          </w:p>
        </w:tc>
        <w:tc>
          <w:tcPr>
            <w:tcW w:w="306" w:type="pct"/>
            <w:vMerge w:val="restart"/>
            <w:hideMark/>
          </w:tcPr>
          <w:p w14:paraId="37BA1F0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Capital budget expenditure</w:t>
            </w:r>
          </w:p>
        </w:tc>
        <w:tc>
          <w:tcPr>
            <w:tcW w:w="369" w:type="pct"/>
            <w:vMerge w:val="restart"/>
            <w:hideMark/>
          </w:tcPr>
          <w:p w14:paraId="7A455C5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Finance</w:t>
            </w:r>
          </w:p>
        </w:tc>
        <w:tc>
          <w:tcPr>
            <w:tcW w:w="249" w:type="pct"/>
            <w:vMerge w:val="restart"/>
            <w:hideMark/>
          </w:tcPr>
          <w:p w14:paraId="51F40E5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Levies</w:t>
            </w:r>
          </w:p>
        </w:tc>
        <w:tc>
          <w:tcPr>
            <w:tcW w:w="162" w:type="pct"/>
            <w:vMerge w:val="restart"/>
            <w:hideMark/>
          </w:tcPr>
          <w:p w14:paraId="1AD6AA9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ADMIN</w:t>
            </w:r>
          </w:p>
        </w:tc>
      </w:tr>
      <w:tr w:rsidR="008A0277" w:rsidRPr="008A0277" w14:paraId="4897A21B" w14:textId="77777777" w:rsidTr="008A0277">
        <w:trPr>
          <w:trHeight w:val="300"/>
        </w:trPr>
        <w:tc>
          <w:tcPr>
            <w:tcW w:w="277" w:type="pct"/>
            <w:vMerge/>
            <w:hideMark/>
          </w:tcPr>
          <w:p w14:paraId="4B7A6C67"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329D9584"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627DCA95"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0ED1A9F9"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1C7261E4"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6B2236A6"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1A9781C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72 723 000.00</w:t>
            </w:r>
          </w:p>
        </w:tc>
        <w:tc>
          <w:tcPr>
            <w:tcW w:w="362" w:type="pct"/>
            <w:hideMark/>
          </w:tcPr>
          <w:p w14:paraId="415B8D4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60 779 520.00</w:t>
            </w:r>
          </w:p>
        </w:tc>
        <w:tc>
          <w:tcPr>
            <w:tcW w:w="362" w:type="pct"/>
            <w:hideMark/>
          </w:tcPr>
          <w:p w14:paraId="7047EE0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64 628 990.00</w:t>
            </w:r>
          </w:p>
        </w:tc>
        <w:tc>
          <w:tcPr>
            <w:tcW w:w="362" w:type="pct"/>
            <w:hideMark/>
          </w:tcPr>
          <w:p w14:paraId="128276F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64 628 990.00</w:t>
            </w:r>
          </w:p>
        </w:tc>
        <w:tc>
          <w:tcPr>
            <w:tcW w:w="362" w:type="pct"/>
            <w:hideMark/>
          </w:tcPr>
          <w:p w14:paraId="321A395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64 628 990.00</w:t>
            </w:r>
          </w:p>
        </w:tc>
        <w:tc>
          <w:tcPr>
            <w:tcW w:w="180" w:type="pct"/>
            <w:vMerge/>
            <w:hideMark/>
          </w:tcPr>
          <w:p w14:paraId="3316C27B"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0B2FB68A"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407A750B"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34E90794"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6AD497C6"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78CF6D0E"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323E670C" w14:textId="77777777" w:rsidTr="008A0277">
        <w:trPr>
          <w:trHeight w:val="1020"/>
        </w:trPr>
        <w:tc>
          <w:tcPr>
            <w:tcW w:w="277" w:type="pct"/>
            <w:vMerge w:val="restart"/>
            <w:hideMark/>
          </w:tcPr>
          <w:p w14:paraId="7C32AE9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Inadequate financial performance</w:t>
            </w:r>
          </w:p>
        </w:tc>
        <w:tc>
          <w:tcPr>
            <w:tcW w:w="116" w:type="pct"/>
            <w:vMerge w:val="restart"/>
            <w:hideMark/>
          </w:tcPr>
          <w:p w14:paraId="3F5FB277"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17</w:t>
            </w:r>
          </w:p>
        </w:tc>
        <w:tc>
          <w:tcPr>
            <w:tcW w:w="270" w:type="pct"/>
            <w:vMerge w:val="restart"/>
            <w:hideMark/>
          </w:tcPr>
          <w:p w14:paraId="554E454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Financial Viability and Management</w:t>
            </w:r>
          </w:p>
        </w:tc>
        <w:tc>
          <w:tcPr>
            <w:tcW w:w="268" w:type="pct"/>
            <w:vMerge w:val="restart"/>
            <w:hideMark/>
          </w:tcPr>
          <w:p w14:paraId="36C4FB5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ensure continued sound financial management</w:t>
            </w:r>
          </w:p>
        </w:tc>
        <w:tc>
          <w:tcPr>
            <w:tcW w:w="362" w:type="pct"/>
            <w:vMerge w:val="restart"/>
            <w:hideMark/>
          </w:tcPr>
          <w:p w14:paraId="3DEB92D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Submit quarterly reports to Council on the implementation of the budget </w:t>
            </w:r>
          </w:p>
        </w:tc>
        <w:tc>
          <w:tcPr>
            <w:tcW w:w="362" w:type="pct"/>
            <w:vMerge w:val="restart"/>
            <w:hideMark/>
          </w:tcPr>
          <w:p w14:paraId="116E536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Number of reports submitted to Council by 30 June</w:t>
            </w:r>
          </w:p>
        </w:tc>
        <w:tc>
          <w:tcPr>
            <w:tcW w:w="362" w:type="pct"/>
            <w:hideMark/>
          </w:tcPr>
          <w:p w14:paraId="50832AF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by 30 June on the implementation of the budget</w:t>
            </w:r>
          </w:p>
        </w:tc>
        <w:tc>
          <w:tcPr>
            <w:tcW w:w="362" w:type="pct"/>
            <w:hideMark/>
          </w:tcPr>
          <w:p w14:paraId="5314A35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by 30 June on the implementation of the budget</w:t>
            </w:r>
          </w:p>
        </w:tc>
        <w:tc>
          <w:tcPr>
            <w:tcW w:w="362" w:type="pct"/>
            <w:hideMark/>
          </w:tcPr>
          <w:p w14:paraId="59CC323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by 30 June on the implementation of the budget</w:t>
            </w:r>
          </w:p>
        </w:tc>
        <w:tc>
          <w:tcPr>
            <w:tcW w:w="362" w:type="pct"/>
            <w:hideMark/>
          </w:tcPr>
          <w:p w14:paraId="09AFB63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by 30 June on the implementation of the budget</w:t>
            </w:r>
          </w:p>
        </w:tc>
        <w:tc>
          <w:tcPr>
            <w:tcW w:w="362" w:type="pct"/>
            <w:hideMark/>
          </w:tcPr>
          <w:p w14:paraId="34ECFE1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by 30 June on the implementation of the budget</w:t>
            </w:r>
          </w:p>
        </w:tc>
        <w:tc>
          <w:tcPr>
            <w:tcW w:w="180" w:type="pct"/>
            <w:vMerge w:val="restart"/>
            <w:hideMark/>
          </w:tcPr>
          <w:p w14:paraId="02DDA4F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0C0E1F9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FINANCIAL SERVICES</w:t>
            </w:r>
          </w:p>
        </w:tc>
        <w:tc>
          <w:tcPr>
            <w:tcW w:w="306" w:type="pct"/>
            <w:vMerge w:val="restart"/>
            <w:hideMark/>
          </w:tcPr>
          <w:p w14:paraId="14DF0D3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Budget expenditure</w:t>
            </w:r>
          </w:p>
        </w:tc>
        <w:tc>
          <w:tcPr>
            <w:tcW w:w="369" w:type="pct"/>
            <w:vMerge w:val="restart"/>
            <w:hideMark/>
          </w:tcPr>
          <w:p w14:paraId="4C0A151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Finance</w:t>
            </w:r>
          </w:p>
        </w:tc>
        <w:tc>
          <w:tcPr>
            <w:tcW w:w="249" w:type="pct"/>
            <w:vMerge w:val="restart"/>
            <w:hideMark/>
          </w:tcPr>
          <w:p w14:paraId="39D8E1F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Levies</w:t>
            </w:r>
          </w:p>
        </w:tc>
        <w:tc>
          <w:tcPr>
            <w:tcW w:w="162" w:type="pct"/>
            <w:vMerge w:val="restart"/>
            <w:hideMark/>
          </w:tcPr>
          <w:p w14:paraId="5060F25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ADMIN</w:t>
            </w:r>
          </w:p>
        </w:tc>
      </w:tr>
      <w:tr w:rsidR="008A0277" w:rsidRPr="008A0277" w14:paraId="655A5FB8" w14:textId="77777777" w:rsidTr="008A0277">
        <w:trPr>
          <w:trHeight w:val="300"/>
        </w:trPr>
        <w:tc>
          <w:tcPr>
            <w:tcW w:w="277" w:type="pct"/>
            <w:vMerge/>
            <w:hideMark/>
          </w:tcPr>
          <w:p w14:paraId="1F0416F8"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7AF1F93D"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2FF38E80"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2DAE895C"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1BD8657E"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57BA48CC"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2087928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404 848 000.00</w:t>
            </w:r>
          </w:p>
        </w:tc>
        <w:tc>
          <w:tcPr>
            <w:tcW w:w="362" w:type="pct"/>
            <w:hideMark/>
          </w:tcPr>
          <w:p w14:paraId="0C0D056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428 888 000.00</w:t>
            </w:r>
          </w:p>
        </w:tc>
        <w:tc>
          <w:tcPr>
            <w:tcW w:w="362" w:type="pct"/>
            <w:hideMark/>
          </w:tcPr>
          <w:p w14:paraId="6A9541B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450 039 000.00</w:t>
            </w:r>
          </w:p>
        </w:tc>
        <w:tc>
          <w:tcPr>
            <w:tcW w:w="362" w:type="pct"/>
            <w:hideMark/>
          </w:tcPr>
          <w:p w14:paraId="7B08037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450 039 000.00</w:t>
            </w:r>
          </w:p>
        </w:tc>
        <w:tc>
          <w:tcPr>
            <w:tcW w:w="362" w:type="pct"/>
            <w:hideMark/>
          </w:tcPr>
          <w:p w14:paraId="7D7AE11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450 039 000.00</w:t>
            </w:r>
          </w:p>
        </w:tc>
        <w:tc>
          <w:tcPr>
            <w:tcW w:w="180" w:type="pct"/>
            <w:vMerge/>
            <w:hideMark/>
          </w:tcPr>
          <w:p w14:paraId="6E1969BF"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5FFAA81D"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2E1057BF"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440313DA"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451D6764"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14142EF6"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129DB1CF" w14:textId="77777777" w:rsidTr="008A0277">
        <w:trPr>
          <w:trHeight w:val="1260"/>
        </w:trPr>
        <w:tc>
          <w:tcPr>
            <w:tcW w:w="277" w:type="pct"/>
            <w:vMerge w:val="restart"/>
            <w:hideMark/>
          </w:tcPr>
          <w:p w14:paraId="5716F33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Inadequate performance monitoring</w:t>
            </w:r>
          </w:p>
        </w:tc>
        <w:tc>
          <w:tcPr>
            <w:tcW w:w="116" w:type="pct"/>
            <w:vMerge w:val="restart"/>
            <w:hideMark/>
          </w:tcPr>
          <w:p w14:paraId="267CF82B"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18</w:t>
            </w:r>
          </w:p>
        </w:tc>
        <w:tc>
          <w:tcPr>
            <w:tcW w:w="270" w:type="pct"/>
            <w:vMerge w:val="restart"/>
            <w:hideMark/>
          </w:tcPr>
          <w:p w14:paraId="2349612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Transformation and institutional development</w:t>
            </w:r>
          </w:p>
        </w:tc>
        <w:tc>
          <w:tcPr>
            <w:tcW w:w="268" w:type="pct"/>
            <w:vMerge w:val="restart"/>
            <w:hideMark/>
          </w:tcPr>
          <w:p w14:paraId="51205B8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develop the institution and to facilitate institutional transformation</w:t>
            </w:r>
          </w:p>
        </w:tc>
        <w:tc>
          <w:tcPr>
            <w:tcW w:w="362" w:type="pct"/>
            <w:vMerge w:val="restart"/>
            <w:hideMark/>
          </w:tcPr>
          <w:p w14:paraId="6164EFE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Monitor the performance of IT Consultants and submit reports monthly to PMS</w:t>
            </w:r>
          </w:p>
        </w:tc>
        <w:tc>
          <w:tcPr>
            <w:tcW w:w="362" w:type="pct"/>
            <w:vMerge w:val="restart"/>
            <w:hideMark/>
          </w:tcPr>
          <w:p w14:paraId="7854A69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Number of reports submitted to PMS by 30 June </w:t>
            </w:r>
          </w:p>
        </w:tc>
        <w:tc>
          <w:tcPr>
            <w:tcW w:w="362" w:type="pct"/>
            <w:hideMark/>
          </w:tcPr>
          <w:p w14:paraId="6288E79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reports submitted to PMS by 30 June on performance of IT Consultants</w:t>
            </w:r>
          </w:p>
        </w:tc>
        <w:tc>
          <w:tcPr>
            <w:tcW w:w="362" w:type="pct"/>
            <w:hideMark/>
          </w:tcPr>
          <w:p w14:paraId="3929972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reports submitted to PMS by 30 June on performance of IT Consultants</w:t>
            </w:r>
          </w:p>
        </w:tc>
        <w:tc>
          <w:tcPr>
            <w:tcW w:w="362" w:type="pct"/>
            <w:hideMark/>
          </w:tcPr>
          <w:p w14:paraId="0B9859F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reports submitted to PMS by 30 June on performance of IT Consultants</w:t>
            </w:r>
          </w:p>
        </w:tc>
        <w:tc>
          <w:tcPr>
            <w:tcW w:w="362" w:type="pct"/>
            <w:hideMark/>
          </w:tcPr>
          <w:p w14:paraId="6EC0CF7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reports submitted to PMS by 30 June on performance of IT Consultants</w:t>
            </w:r>
          </w:p>
        </w:tc>
        <w:tc>
          <w:tcPr>
            <w:tcW w:w="362" w:type="pct"/>
            <w:hideMark/>
          </w:tcPr>
          <w:p w14:paraId="75E40DE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reports submitted to PMS by 30 June on performance of IT Consultants</w:t>
            </w:r>
          </w:p>
        </w:tc>
        <w:tc>
          <w:tcPr>
            <w:tcW w:w="180" w:type="pct"/>
            <w:vMerge w:val="restart"/>
            <w:hideMark/>
          </w:tcPr>
          <w:p w14:paraId="48F6328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100%</w:t>
            </w:r>
          </w:p>
        </w:tc>
        <w:tc>
          <w:tcPr>
            <w:tcW w:w="268" w:type="pct"/>
            <w:vMerge w:val="restart"/>
            <w:hideMark/>
          </w:tcPr>
          <w:p w14:paraId="27FE511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CORPORATE SERVICES </w:t>
            </w:r>
          </w:p>
        </w:tc>
        <w:tc>
          <w:tcPr>
            <w:tcW w:w="306" w:type="pct"/>
            <w:vMerge w:val="restart"/>
            <w:hideMark/>
          </w:tcPr>
          <w:p w14:paraId="627ADC7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Contracted Services consultants</w:t>
            </w:r>
          </w:p>
        </w:tc>
        <w:tc>
          <w:tcPr>
            <w:tcW w:w="369" w:type="pct"/>
            <w:vMerge w:val="restart"/>
            <w:hideMark/>
          </w:tcPr>
          <w:p w14:paraId="1E67AE2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IT</w:t>
            </w:r>
          </w:p>
        </w:tc>
        <w:tc>
          <w:tcPr>
            <w:tcW w:w="249" w:type="pct"/>
            <w:vMerge w:val="restart"/>
            <w:hideMark/>
          </w:tcPr>
          <w:p w14:paraId="0A90AC2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Levies</w:t>
            </w:r>
          </w:p>
        </w:tc>
        <w:tc>
          <w:tcPr>
            <w:tcW w:w="162" w:type="pct"/>
            <w:vMerge w:val="restart"/>
            <w:hideMark/>
          </w:tcPr>
          <w:p w14:paraId="6B28ADB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ADMIN</w:t>
            </w:r>
          </w:p>
        </w:tc>
      </w:tr>
      <w:tr w:rsidR="008A0277" w:rsidRPr="008A0277" w14:paraId="335ABFE3" w14:textId="77777777" w:rsidTr="008A0277">
        <w:trPr>
          <w:trHeight w:val="300"/>
        </w:trPr>
        <w:tc>
          <w:tcPr>
            <w:tcW w:w="277" w:type="pct"/>
            <w:vMerge/>
            <w:hideMark/>
          </w:tcPr>
          <w:p w14:paraId="46BB01C7"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0F40163F"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28A23865"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725A356F"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09C0CCC1"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447BAB1B"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575FFDF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250 000.00</w:t>
            </w:r>
          </w:p>
        </w:tc>
        <w:tc>
          <w:tcPr>
            <w:tcW w:w="362" w:type="pct"/>
            <w:hideMark/>
          </w:tcPr>
          <w:p w14:paraId="189F517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263 500.00</w:t>
            </w:r>
          </w:p>
        </w:tc>
        <w:tc>
          <w:tcPr>
            <w:tcW w:w="362" w:type="pct"/>
            <w:hideMark/>
          </w:tcPr>
          <w:p w14:paraId="3305F0F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277 990.00</w:t>
            </w:r>
          </w:p>
        </w:tc>
        <w:tc>
          <w:tcPr>
            <w:tcW w:w="362" w:type="pct"/>
            <w:hideMark/>
          </w:tcPr>
          <w:p w14:paraId="05F920C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277 990.00</w:t>
            </w:r>
          </w:p>
        </w:tc>
        <w:tc>
          <w:tcPr>
            <w:tcW w:w="362" w:type="pct"/>
            <w:hideMark/>
          </w:tcPr>
          <w:p w14:paraId="416C046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277 990.00</w:t>
            </w:r>
          </w:p>
        </w:tc>
        <w:tc>
          <w:tcPr>
            <w:tcW w:w="180" w:type="pct"/>
            <w:vMerge/>
            <w:hideMark/>
          </w:tcPr>
          <w:p w14:paraId="67F0E802"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20018EB6"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76CCAADD"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24C3DCD1"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08FB1393"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232A931F"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7FF7489A" w14:textId="77777777" w:rsidTr="008A0277">
        <w:trPr>
          <w:trHeight w:val="1335"/>
        </w:trPr>
        <w:tc>
          <w:tcPr>
            <w:tcW w:w="277" w:type="pct"/>
            <w:vMerge w:val="restart"/>
            <w:hideMark/>
          </w:tcPr>
          <w:p w14:paraId="3B80471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4333750D"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19</w:t>
            </w:r>
          </w:p>
        </w:tc>
        <w:tc>
          <w:tcPr>
            <w:tcW w:w="270" w:type="pct"/>
            <w:vMerge w:val="restart"/>
            <w:hideMark/>
          </w:tcPr>
          <w:p w14:paraId="281E42B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Financial Viability and Management</w:t>
            </w:r>
          </w:p>
        </w:tc>
        <w:tc>
          <w:tcPr>
            <w:tcW w:w="268" w:type="pct"/>
            <w:vMerge w:val="restart"/>
            <w:hideMark/>
          </w:tcPr>
          <w:p w14:paraId="2BF191B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ensure continued sound financial management</w:t>
            </w:r>
          </w:p>
        </w:tc>
        <w:tc>
          <w:tcPr>
            <w:tcW w:w="362" w:type="pct"/>
            <w:vMerge w:val="restart"/>
            <w:hideMark/>
          </w:tcPr>
          <w:p w14:paraId="6D70C8C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Provide 4000 households with free basic electricity by 30 June </w:t>
            </w:r>
          </w:p>
        </w:tc>
        <w:tc>
          <w:tcPr>
            <w:tcW w:w="362" w:type="pct"/>
            <w:vMerge w:val="restart"/>
            <w:hideMark/>
          </w:tcPr>
          <w:p w14:paraId="1AD3D20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Number of households provided with Free basic electricity by 30 June  </w:t>
            </w:r>
          </w:p>
        </w:tc>
        <w:tc>
          <w:tcPr>
            <w:tcW w:w="362" w:type="pct"/>
            <w:hideMark/>
          </w:tcPr>
          <w:p w14:paraId="4B2C94D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4000 households provided with free basic electricity by 30 June </w:t>
            </w:r>
          </w:p>
        </w:tc>
        <w:tc>
          <w:tcPr>
            <w:tcW w:w="362" w:type="pct"/>
            <w:hideMark/>
          </w:tcPr>
          <w:p w14:paraId="08567DC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4000 households provided with free basic electricity by 30 June </w:t>
            </w:r>
          </w:p>
        </w:tc>
        <w:tc>
          <w:tcPr>
            <w:tcW w:w="362" w:type="pct"/>
            <w:hideMark/>
          </w:tcPr>
          <w:p w14:paraId="79232EC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4000 households provided with free basic electricity by 30 June </w:t>
            </w:r>
          </w:p>
        </w:tc>
        <w:tc>
          <w:tcPr>
            <w:tcW w:w="362" w:type="pct"/>
            <w:hideMark/>
          </w:tcPr>
          <w:p w14:paraId="55C7589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4000 households provided with free basic electricity by 30 June </w:t>
            </w:r>
          </w:p>
        </w:tc>
        <w:tc>
          <w:tcPr>
            <w:tcW w:w="362" w:type="pct"/>
            <w:hideMark/>
          </w:tcPr>
          <w:p w14:paraId="5B9DBAA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4000 households provided with free basic electricity by 30 June </w:t>
            </w:r>
          </w:p>
        </w:tc>
        <w:tc>
          <w:tcPr>
            <w:tcW w:w="180" w:type="pct"/>
            <w:vMerge w:val="restart"/>
            <w:hideMark/>
          </w:tcPr>
          <w:p w14:paraId="4D0F25F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5930212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2675171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Indigent Relief</w:t>
            </w:r>
          </w:p>
        </w:tc>
        <w:tc>
          <w:tcPr>
            <w:tcW w:w="369" w:type="pct"/>
            <w:vMerge w:val="restart"/>
            <w:hideMark/>
          </w:tcPr>
          <w:p w14:paraId="75035DC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Electricity</w:t>
            </w:r>
          </w:p>
        </w:tc>
        <w:tc>
          <w:tcPr>
            <w:tcW w:w="249" w:type="pct"/>
            <w:vMerge w:val="restart"/>
            <w:hideMark/>
          </w:tcPr>
          <w:p w14:paraId="1D30F99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Electricity</w:t>
            </w:r>
          </w:p>
        </w:tc>
        <w:tc>
          <w:tcPr>
            <w:tcW w:w="162" w:type="pct"/>
            <w:vMerge w:val="restart"/>
            <w:hideMark/>
          </w:tcPr>
          <w:p w14:paraId="7AE3606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7C9E4CD2" w14:textId="77777777" w:rsidTr="008A0277">
        <w:trPr>
          <w:trHeight w:val="300"/>
        </w:trPr>
        <w:tc>
          <w:tcPr>
            <w:tcW w:w="277" w:type="pct"/>
            <w:vMerge/>
            <w:hideMark/>
          </w:tcPr>
          <w:p w14:paraId="4CA94AD5"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15A8B635"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0462C728"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5C7EE9F9"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0BE2E840"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1AF49D38"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3540292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2 817 630.00</w:t>
            </w:r>
          </w:p>
        </w:tc>
        <w:tc>
          <w:tcPr>
            <w:tcW w:w="362" w:type="pct"/>
            <w:hideMark/>
          </w:tcPr>
          <w:p w14:paraId="7976FB9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2 972 590.00</w:t>
            </w:r>
          </w:p>
        </w:tc>
        <w:tc>
          <w:tcPr>
            <w:tcW w:w="362" w:type="pct"/>
            <w:hideMark/>
          </w:tcPr>
          <w:p w14:paraId="649F459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3 136 090.00</w:t>
            </w:r>
          </w:p>
        </w:tc>
        <w:tc>
          <w:tcPr>
            <w:tcW w:w="362" w:type="pct"/>
            <w:hideMark/>
          </w:tcPr>
          <w:p w14:paraId="4D3EB63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3 136 090.00</w:t>
            </w:r>
          </w:p>
        </w:tc>
        <w:tc>
          <w:tcPr>
            <w:tcW w:w="362" w:type="pct"/>
            <w:hideMark/>
          </w:tcPr>
          <w:p w14:paraId="79E0FA1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3 136 090.00</w:t>
            </w:r>
          </w:p>
        </w:tc>
        <w:tc>
          <w:tcPr>
            <w:tcW w:w="180" w:type="pct"/>
            <w:vMerge/>
            <w:hideMark/>
          </w:tcPr>
          <w:p w14:paraId="46E79209"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3CDA2DF9"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192286F8"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5CA0A5F1"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1A0B0431"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33AC8605"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20F919F9" w14:textId="77777777" w:rsidTr="008A0277">
        <w:trPr>
          <w:trHeight w:val="1635"/>
        </w:trPr>
        <w:tc>
          <w:tcPr>
            <w:tcW w:w="277" w:type="pct"/>
            <w:vMerge w:val="restart"/>
            <w:hideMark/>
          </w:tcPr>
          <w:p w14:paraId="5FF620C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00546251"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20</w:t>
            </w:r>
          </w:p>
        </w:tc>
        <w:tc>
          <w:tcPr>
            <w:tcW w:w="270" w:type="pct"/>
            <w:vMerge w:val="restart"/>
            <w:hideMark/>
          </w:tcPr>
          <w:p w14:paraId="404C5FB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service delivery</w:t>
            </w:r>
          </w:p>
        </w:tc>
        <w:tc>
          <w:tcPr>
            <w:tcW w:w="268" w:type="pct"/>
            <w:vMerge w:val="restart"/>
            <w:hideMark/>
          </w:tcPr>
          <w:p w14:paraId="4D01DD3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provide and maintain infrastructure and services to all, with emphasis on rural communities, in a sustainable manner</w:t>
            </w:r>
          </w:p>
        </w:tc>
        <w:tc>
          <w:tcPr>
            <w:tcW w:w="362" w:type="pct"/>
            <w:vMerge w:val="restart"/>
            <w:hideMark/>
          </w:tcPr>
          <w:p w14:paraId="5B9012A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Provide 85% households with electrification services by 30 June</w:t>
            </w:r>
          </w:p>
        </w:tc>
        <w:tc>
          <w:tcPr>
            <w:tcW w:w="362" w:type="pct"/>
            <w:vMerge w:val="restart"/>
            <w:hideMark/>
          </w:tcPr>
          <w:p w14:paraId="412910D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Percentage of households provided with electrification services by 30 June</w:t>
            </w:r>
          </w:p>
        </w:tc>
        <w:tc>
          <w:tcPr>
            <w:tcW w:w="362" w:type="pct"/>
            <w:hideMark/>
          </w:tcPr>
          <w:p w14:paraId="5F782FC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85% households provided with electrification services by 30 June</w:t>
            </w:r>
          </w:p>
        </w:tc>
        <w:tc>
          <w:tcPr>
            <w:tcW w:w="362" w:type="pct"/>
            <w:hideMark/>
          </w:tcPr>
          <w:p w14:paraId="20CE6C3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85% households provided with electrification services by 30 June</w:t>
            </w:r>
          </w:p>
        </w:tc>
        <w:tc>
          <w:tcPr>
            <w:tcW w:w="362" w:type="pct"/>
            <w:hideMark/>
          </w:tcPr>
          <w:p w14:paraId="2A1A624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85%  households provided with electrification services by 30 June</w:t>
            </w:r>
          </w:p>
        </w:tc>
        <w:tc>
          <w:tcPr>
            <w:tcW w:w="362" w:type="pct"/>
            <w:hideMark/>
          </w:tcPr>
          <w:p w14:paraId="5139380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85% households provided with electrification services by 30 June</w:t>
            </w:r>
          </w:p>
        </w:tc>
        <w:tc>
          <w:tcPr>
            <w:tcW w:w="362" w:type="pct"/>
            <w:hideMark/>
          </w:tcPr>
          <w:p w14:paraId="1B263BA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85% households provided with electrification services by 30 June</w:t>
            </w:r>
          </w:p>
        </w:tc>
        <w:tc>
          <w:tcPr>
            <w:tcW w:w="180" w:type="pct"/>
            <w:vMerge w:val="restart"/>
            <w:hideMark/>
          </w:tcPr>
          <w:p w14:paraId="24CB65D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2A0E995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0D1E375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Contracted services / outsourced</w:t>
            </w:r>
          </w:p>
        </w:tc>
        <w:tc>
          <w:tcPr>
            <w:tcW w:w="369" w:type="pct"/>
            <w:vMerge w:val="restart"/>
            <w:hideMark/>
          </w:tcPr>
          <w:p w14:paraId="5B3EB59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Electricity</w:t>
            </w:r>
          </w:p>
        </w:tc>
        <w:tc>
          <w:tcPr>
            <w:tcW w:w="249" w:type="pct"/>
            <w:vMerge w:val="restart"/>
            <w:hideMark/>
          </w:tcPr>
          <w:p w14:paraId="0FC839C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Levies</w:t>
            </w:r>
          </w:p>
        </w:tc>
        <w:tc>
          <w:tcPr>
            <w:tcW w:w="162" w:type="pct"/>
            <w:vMerge w:val="restart"/>
            <w:hideMark/>
          </w:tcPr>
          <w:p w14:paraId="0F5DEA7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21DD65B0" w14:textId="77777777" w:rsidTr="008A0277">
        <w:trPr>
          <w:trHeight w:val="300"/>
        </w:trPr>
        <w:tc>
          <w:tcPr>
            <w:tcW w:w="277" w:type="pct"/>
            <w:vMerge/>
            <w:hideMark/>
          </w:tcPr>
          <w:p w14:paraId="0F661C28"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5B52F4EF"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188B5CD4"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3574E8FD"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611AFFAF"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63CFCB3E"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35B4EE3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7 713 250.00</w:t>
            </w:r>
          </w:p>
        </w:tc>
        <w:tc>
          <w:tcPr>
            <w:tcW w:w="362" w:type="pct"/>
            <w:hideMark/>
          </w:tcPr>
          <w:p w14:paraId="792405B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9 500 000.00</w:t>
            </w:r>
          </w:p>
        </w:tc>
        <w:tc>
          <w:tcPr>
            <w:tcW w:w="362" w:type="pct"/>
            <w:hideMark/>
          </w:tcPr>
          <w:p w14:paraId="75FBB40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7 000 000.00</w:t>
            </w:r>
          </w:p>
        </w:tc>
        <w:tc>
          <w:tcPr>
            <w:tcW w:w="362" w:type="pct"/>
            <w:hideMark/>
          </w:tcPr>
          <w:p w14:paraId="5436C1F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7 000 000.00</w:t>
            </w:r>
          </w:p>
        </w:tc>
        <w:tc>
          <w:tcPr>
            <w:tcW w:w="362" w:type="pct"/>
            <w:hideMark/>
          </w:tcPr>
          <w:p w14:paraId="53BC14F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7 000 000.00</w:t>
            </w:r>
          </w:p>
        </w:tc>
        <w:tc>
          <w:tcPr>
            <w:tcW w:w="180" w:type="pct"/>
            <w:vMerge/>
            <w:hideMark/>
          </w:tcPr>
          <w:p w14:paraId="717C572F"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4A29AD05"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3BDF77E7"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07079FA7"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4A848F20"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5A73A713"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6D60BB47" w14:textId="77777777" w:rsidTr="008A0277">
        <w:trPr>
          <w:trHeight w:val="765"/>
        </w:trPr>
        <w:tc>
          <w:tcPr>
            <w:tcW w:w="277" w:type="pct"/>
            <w:vMerge w:val="restart"/>
            <w:hideMark/>
          </w:tcPr>
          <w:p w14:paraId="4592C5F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Electricity losses</w:t>
            </w:r>
          </w:p>
        </w:tc>
        <w:tc>
          <w:tcPr>
            <w:tcW w:w="116" w:type="pct"/>
            <w:vMerge w:val="restart"/>
            <w:hideMark/>
          </w:tcPr>
          <w:p w14:paraId="2AC24577"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21</w:t>
            </w:r>
          </w:p>
        </w:tc>
        <w:tc>
          <w:tcPr>
            <w:tcW w:w="270" w:type="pct"/>
            <w:vMerge w:val="restart"/>
            <w:hideMark/>
          </w:tcPr>
          <w:p w14:paraId="79EFB5C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Financial Viability and Management</w:t>
            </w:r>
          </w:p>
        </w:tc>
        <w:tc>
          <w:tcPr>
            <w:tcW w:w="268" w:type="pct"/>
            <w:vMerge w:val="restart"/>
            <w:hideMark/>
          </w:tcPr>
          <w:p w14:paraId="7C1E75E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ensure continued sound financial management</w:t>
            </w:r>
          </w:p>
        </w:tc>
        <w:tc>
          <w:tcPr>
            <w:tcW w:w="362" w:type="pct"/>
            <w:vMerge w:val="restart"/>
            <w:hideMark/>
          </w:tcPr>
          <w:p w14:paraId="379EFA1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Ensure electricity losses remain within the norm of 5-10% by 30 June </w:t>
            </w:r>
          </w:p>
        </w:tc>
        <w:tc>
          <w:tcPr>
            <w:tcW w:w="362" w:type="pct"/>
            <w:vMerge w:val="restart"/>
            <w:hideMark/>
          </w:tcPr>
          <w:p w14:paraId="68EC001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Percentage electricity losses by 30 June</w:t>
            </w:r>
          </w:p>
        </w:tc>
        <w:tc>
          <w:tcPr>
            <w:tcW w:w="362" w:type="pct"/>
            <w:hideMark/>
          </w:tcPr>
          <w:p w14:paraId="40CD639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Electricity losses to remain within the norm of 5-10% by 30 June </w:t>
            </w:r>
          </w:p>
        </w:tc>
        <w:tc>
          <w:tcPr>
            <w:tcW w:w="362" w:type="pct"/>
            <w:hideMark/>
          </w:tcPr>
          <w:p w14:paraId="2272E99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Electricity losses to remain within the norm of 5-10% by 30 June </w:t>
            </w:r>
          </w:p>
        </w:tc>
        <w:tc>
          <w:tcPr>
            <w:tcW w:w="362" w:type="pct"/>
            <w:hideMark/>
          </w:tcPr>
          <w:p w14:paraId="2D77BC6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Electricity losses to remain within the norm of 5-10% by 30 June </w:t>
            </w:r>
          </w:p>
        </w:tc>
        <w:tc>
          <w:tcPr>
            <w:tcW w:w="362" w:type="pct"/>
            <w:hideMark/>
          </w:tcPr>
          <w:p w14:paraId="65840CB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Electricity losses to remain within the norm of 5-10% by 30 June </w:t>
            </w:r>
          </w:p>
        </w:tc>
        <w:tc>
          <w:tcPr>
            <w:tcW w:w="362" w:type="pct"/>
            <w:hideMark/>
          </w:tcPr>
          <w:p w14:paraId="15E7C88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Electricity losses to remain within the norm of 5-10% by 30 June </w:t>
            </w:r>
          </w:p>
        </w:tc>
        <w:tc>
          <w:tcPr>
            <w:tcW w:w="180" w:type="pct"/>
            <w:vMerge w:val="restart"/>
            <w:hideMark/>
          </w:tcPr>
          <w:p w14:paraId="7803CD6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44EC191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308BB9E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Bulk purchases</w:t>
            </w:r>
          </w:p>
        </w:tc>
        <w:tc>
          <w:tcPr>
            <w:tcW w:w="369" w:type="pct"/>
            <w:vMerge w:val="restart"/>
            <w:hideMark/>
          </w:tcPr>
          <w:p w14:paraId="7B67F3B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Electricity</w:t>
            </w:r>
          </w:p>
        </w:tc>
        <w:tc>
          <w:tcPr>
            <w:tcW w:w="249" w:type="pct"/>
            <w:vMerge w:val="restart"/>
            <w:hideMark/>
          </w:tcPr>
          <w:p w14:paraId="5DFD85A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Levies</w:t>
            </w:r>
          </w:p>
        </w:tc>
        <w:tc>
          <w:tcPr>
            <w:tcW w:w="162" w:type="pct"/>
            <w:vMerge w:val="restart"/>
            <w:hideMark/>
          </w:tcPr>
          <w:p w14:paraId="61FE21B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ADMIN</w:t>
            </w:r>
          </w:p>
        </w:tc>
      </w:tr>
      <w:tr w:rsidR="008A0277" w:rsidRPr="008A0277" w14:paraId="61DDAB8B" w14:textId="77777777" w:rsidTr="008A0277">
        <w:trPr>
          <w:trHeight w:val="300"/>
        </w:trPr>
        <w:tc>
          <w:tcPr>
            <w:tcW w:w="277" w:type="pct"/>
            <w:vMerge/>
            <w:hideMark/>
          </w:tcPr>
          <w:p w14:paraId="32FD8369"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42A72D49"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228110B4"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4C6A924C"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2F7B3D56"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25ECC9E9"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080AB5E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9 955 090.00</w:t>
            </w:r>
          </w:p>
        </w:tc>
        <w:tc>
          <w:tcPr>
            <w:tcW w:w="362" w:type="pct"/>
            <w:hideMark/>
          </w:tcPr>
          <w:p w14:paraId="1DF22D7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9 955 090.00</w:t>
            </w:r>
          </w:p>
        </w:tc>
        <w:tc>
          <w:tcPr>
            <w:tcW w:w="362" w:type="pct"/>
            <w:hideMark/>
          </w:tcPr>
          <w:p w14:paraId="6EC755C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9 955 090.00</w:t>
            </w:r>
          </w:p>
        </w:tc>
        <w:tc>
          <w:tcPr>
            <w:tcW w:w="362" w:type="pct"/>
            <w:hideMark/>
          </w:tcPr>
          <w:p w14:paraId="7032461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9 955 090.00</w:t>
            </w:r>
          </w:p>
        </w:tc>
        <w:tc>
          <w:tcPr>
            <w:tcW w:w="362" w:type="pct"/>
            <w:hideMark/>
          </w:tcPr>
          <w:p w14:paraId="53B81DB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9 955 090.00</w:t>
            </w:r>
          </w:p>
        </w:tc>
        <w:tc>
          <w:tcPr>
            <w:tcW w:w="180" w:type="pct"/>
            <w:vMerge/>
            <w:hideMark/>
          </w:tcPr>
          <w:p w14:paraId="5958362A"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2822D6CE"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5B9765BD"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5A26F9BF"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2447F86B"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7811E727"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49BBFE97" w14:textId="77777777" w:rsidTr="008A0277">
        <w:trPr>
          <w:trHeight w:val="1245"/>
        </w:trPr>
        <w:tc>
          <w:tcPr>
            <w:tcW w:w="277" w:type="pct"/>
            <w:vMerge w:val="restart"/>
            <w:hideMark/>
          </w:tcPr>
          <w:p w14:paraId="100ACE6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Electricity losses</w:t>
            </w:r>
          </w:p>
        </w:tc>
        <w:tc>
          <w:tcPr>
            <w:tcW w:w="116" w:type="pct"/>
            <w:vMerge w:val="restart"/>
            <w:hideMark/>
          </w:tcPr>
          <w:p w14:paraId="099C6C1B"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22</w:t>
            </w:r>
          </w:p>
        </w:tc>
        <w:tc>
          <w:tcPr>
            <w:tcW w:w="270" w:type="pct"/>
            <w:vMerge w:val="restart"/>
            <w:hideMark/>
          </w:tcPr>
          <w:p w14:paraId="50EC0DD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Financial Viability and Management</w:t>
            </w:r>
          </w:p>
        </w:tc>
        <w:tc>
          <w:tcPr>
            <w:tcW w:w="268" w:type="pct"/>
            <w:vMerge w:val="restart"/>
            <w:hideMark/>
          </w:tcPr>
          <w:p w14:paraId="0ADCD11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ensure continued sound financial management</w:t>
            </w:r>
          </w:p>
        </w:tc>
        <w:tc>
          <w:tcPr>
            <w:tcW w:w="362" w:type="pct"/>
            <w:vMerge w:val="restart"/>
            <w:hideMark/>
          </w:tcPr>
          <w:p w14:paraId="544F531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Undertake electricity meter audit by 31 March to reduce electricity losses</w:t>
            </w:r>
          </w:p>
        </w:tc>
        <w:tc>
          <w:tcPr>
            <w:tcW w:w="362" w:type="pct"/>
            <w:vMerge w:val="restart"/>
            <w:hideMark/>
          </w:tcPr>
          <w:p w14:paraId="0232DE5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Date of completion of meter audit</w:t>
            </w:r>
          </w:p>
        </w:tc>
        <w:tc>
          <w:tcPr>
            <w:tcW w:w="362" w:type="pct"/>
            <w:hideMark/>
          </w:tcPr>
          <w:p w14:paraId="748777C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Melectricity meter audit undertaken by 31 March to reduce electricity losses</w:t>
            </w:r>
          </w:p>
        </w:tc>
        <w:tc>
          <w:tcPr>
            <w:tcW w:w="362" w:type="pct"/>
            <w:hideMark/>
          </w:tcPr>
          <w:p w14:paraId="0C0C046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Melectricity meter audit undertaken by 31 March to reduce electricity losses</w:t>
            </w:r>
          </w:p>
        </w:tc>
        <w:tc>
          <w:tcPr>
            <w:tcW w:w="362" w:type="pct"/>
            <w:hideMark/>
          </w:tcPr>
          <w:p w14:paraId="44111FC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Melectricity meter audit undertaken by 31 March to reduce electricity losses</w:t>
            </w:r>
          </w:p>
        </w:tc>
        <w:tc>
          <w:tcPr>
            <w:tcW w:w="362" w:type="pct"/>
            <w:hideMark/>
          </w:tcPr>
          <w:p w14:paraId="5FFC2E7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6890698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072CF3A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628CFDF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55F745C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Contracted services - meter audit</w:t>
            </w:r>
          </w:p>
        </w:tc>
        <w:tc>
          <w:tcPr>
            <w:tcW w:w="369" w:type="pct"/>
            <w:vMerge w:val="restart"/>
            <w:hideMark/>
          </w:tcPr>
          <w:p w14:paraId="0A3C5F0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Electricity</w:t>
            </w:r>
          </w:p>
        </w:tc>
        <w:tc>
          <w:tcPr>
            <w:tcW w:w="249" w:type="pct"/>
            <w:vMerge w:val="restart"/>
            <w:hideMark/>
          </w:tcPr>
          <w:p w14:paraId="4916357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Levies</w:t>
            </w:r>
          </w:p>
        </w:tc>
        <w:tc>
          <w:tcPr>
            <w:tcW w:w="162" w:type="pct"/>
            <w:vMerge w:val="restart"/>
            <w:hideMark/>
          </w:tcPr>
          <w:p w14:paraId="740D9FE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ADMIN</w:t>
            </w:r>
          </w:p>
        </w:tc>
      </w:tr>
      <w:tr w:rsidR="008A0277" w:rsidRPr="008A0277" w14:paraId="3C62B37E" w14:textId="77777777" w:rsidTr="008A0277">
        <w:trPr>
          <w:trHeight w:val="300"/>
        </w:trPr>
        <w:tc>
          <w:tcPr>
            <w:tcW w:w="277" w:type="pct"/>
            <w:vMerge/>
            <w:hideMark/>
          </w:tcPr>
          <w:p w14:paraId="4C22BDFF"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6BDFC2FD"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02485E92"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2D60C7DA"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74DFD49B"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49EC2A0E"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04163CB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250 000.00</w:t>
            </w:r>
          </w:p>
        </w:tc>
        <w:tc>
          <w:tcPr>
            <w:tcW w:w="362" w:type="pct"/>
            <w:hideMark/>
          </w:tcPr>
          <w:p w14:paraId="64242C5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300 000.00</w:t>
            </w:r>
          </w:p>
        </w:tc>
        <w:tc>
          <w:tcPr>
            <w:tcW w:w="362" w:type="pct"/>
            <w:hideMark/>
          </w:tcPr>
          <w:p w14:paraId="5AC5189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750 000.00</w:t>
            </w:r>
          </w:p>
        </w:tc>
        <w:tc>
          <w:tcPr>
            <w:tcW w:w="362" w:type="pct"/>
            <w:hideMark/>
          </w:tcPr>
          <w:p w14:paraId="564D015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63385D8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180" w:type="pct"/>
            <w:vMerge/>
            <w:hideMark/>
          </w:tcPr>
          <w:p w14:paraId="046A2EB0"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788DD373"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73F5E7D9"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3BCC6073"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2A9CF5EB"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6292FF8D"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4BD69102" w14:textId="77777777" w:rsidTr="008A0277">
        <w:trPr>
          <w:trHeight w:val="1335"/>
        </w:trPr>
        <w:tc>
          <w:tcPr>
            <w:tcW w:w="277" w:type="pct"/>
            <w:hideMark/>
          </w:tcPr>
          <w:p w14:paraId="318CB88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Inadequate performance monitoring</w:t>
            </w:r>
          </w:p>
        </w:tc>
        <w:tc>
          <w:tcPr>
            <w:tcW w:w="116" w:type="pct"/>
            <w:hideMark/>
          </w:tcPr>
          <w:p w14:paraId="7E8EC42A"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23</w:t>
            </w:r>
          </w:p>
        </w:tc>
        <w:tc>
          <w:tcPr>
            <w:tcW w:w="270" w:type="pct"/>
            <w:hideMark/>
          </w:tcPr>
          <w:p w14:paraId="46086BE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Financial Viability and Management</w:t>
            </w:r>
          </w:p>
        </w:tc>
        <w:tc>
          <w:tcPr>
            <w:tcW w:w="268" w:type="pct"/>
            <w:hideMark/>
          </w:tcPr>
          <w:p w14:paraId="4C20657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ensure continued sound financial management</w:t>
            </w:r>
          </w:p>
        </w:tc>
        <w:tc>
          <w:tcPr>
            <w:tcW w:w="362" w:type="pct"/>
            <w:hideMark/>
          </w:tcPr>
          <w:p w14:paraId="11E088C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Submit quarterly reports to PMS on performance of Service Providers </w:t>
            </w:r>
          </w:p>
        </w:tc>
        <w:tc>
          <w:tcPr>
            <w:tcW w:w="362" w:type="pct"/>
            <w:hideMark/>
          </w:tcPr>
          <w:p w14:paraId="6DECF7C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Number of reports submitted to PMS by 30 June</w:t>
            </w:r>
          </w:p>
        </w:tc>
        <w:tc>
          <w:tcPr>
            <w:tcW w:w="362" w:type="pct"/>
            <w:hideMark/>
          </w:tcPr>
          <w:p w14:paraId="36E9E52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4 reports submitted to PMS by 30 June of the Performance of Service Providers </w:t>
            </w:r>
          </w:p>
        </w:tc>
        <w:tc>
          <w:tcPr>
            <w:tcW w:w="362" w:type="pct"/>
            <w:hideMark/>
          </w:tcPr>
          <w:p w14:paraId="4608156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4 reports submitted to PMS by 30 June of the Performance of Service Providers </w:t>
            </w:r>
          </w:p>
        </w:tc>
        <w:tc>
          <w:tcPr>
            <w:tcW w:w="362" w:type="pct"/>
            <w:hideMark/>
          </w:tcPr>
          <w:p w14:paraId="3F29F84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4 reports submitted to PMS by 30 June of the Performance of Service Providers </w:t>
            </w:r>
          </w:p>
        </w:tc>
        <w:tc>
          <w:tcPr>
            <w:tcW w:w="362" w:type="pct"/>
            <w:hideMark/>
          </w:tcPr>
          <w:p w14:paraId="48263F7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4 reports submitted to PMS by 30 June of the Performance of Service Providers </w:t>
            </w:r>
          </w:p>
        </w:tc>
        <w:tc>
          <w:tcPr>
            <w:tcW w:w="362" w:type="pct"/>
            <w:hideMark/>
          </w:tcPr>
          <w:p w14:paraId="7E5D8E3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4 reports submitted to PMS by 30 June of the Performance of Service Providers </w:t>
            </w:r>
          </w:p>
        </w:tc>
        <w:tc>
          <w:tcPr>
            <w:tcW w:w="180" w:type="pct"/>
            <w:hideMark/>
          </w:tcPr>
          <w:p w14:paraId="6626F4C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hideMark/>
          </w:tcPr>
          <w:p w14:paraId="7F8A6EA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hideMark/>
          </w:tcPr>
          <w:p w14:paraId="7CC40B7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Contracted services</w:t>
            </w:r>
          </w:p>
        </w:tc>
        <w:tc>
          <w:tcPr>
            <w:tcW w:w="369" w:type="pct"/>
            <w:hideMark/>
          </w:tcPr>
          <w:p w14:paraId="07F94F9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Project Management</w:t>
            </w:r>
          </w:p>
        </w:tc>
        <w:tc>
          <w:tcPr>
            <w:tcW w:w="249" w:type="pct"/>
            <w:hideMark/>
          </w:tcPr>
          <w:p w14:paraId="0270237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162" w:type="pct"/>
            <w:hideMark/>
          </w:tcPr>
          <w:p w14:paraId="230D2F2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r>
      <w:tr w:rsidR="008A0277" w:rsidRPr="008A0277" w14:paraId="4DA347BD" w14:textId="77777777" w:rsidTr="008A0277">
        <w:trPr>
          <w:trHeight w:val="300"/>
        </w:trPr>
        <w:tc>
          <w:tcPr>
            <w:tcW w:w="277" w:type="pct"/>
            <w:hideMark/>
          </w:tcPr>
          <w:p w14:paraId="0185E02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116" w:type="pct"/>
            <w:hideMark/>
          </w:tcPr>
          <w:p w14:paraId="07F51DA0"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 xml:space="preserve"> </w:t>
            </w:r>
          </w:p>
        </w:tc>
        <w:tc>
          <w:tcPr>
            <w:tcW w:w="270" w:type="pct"/>
            <w:hideMark/>
          </w:tcPr>
          <w:p w14:paraId="617E345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hideMark/>
          </w:tcPr>
          <w:p w14:paraId="41AB530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649BF12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4D8044C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4CDC7D8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2 048 220,00</w:t>
            </w:r>
          </w:p>
        </w:tc>
        <w:tc>
          <w:tcPr>
            <w:tcW w:w="362" w:type="pct"/>
            <w:hideMark/>
          </w:tcPr>
          <w:p w14:paraId="41C8BD6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2 048 220,00</w:t>
            </w:r>
          </w:p>
        </w:tc>
        <w:tc>
          <w:tcPr>
            <w:tcW w:w="362" w:type="pct"/>
            <w:hideMark/>
          </w:tcPr>
          <w:p w14:paraId="4D17AB1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2 048 220,00</w:t>
            </w:r>
          </w:p>
        </w:tc>
        <w:tc>
          <w:tcPr>
            <w:tcW w:w="362" w:type="pct"/>
            <w:hideMark/>
          </w:tcPr>
          <w:p w14:paraId="200C009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2 048 220,00</w:t>
            </w:r>
          </w:p>
        </w:tc>
        <w:tc>
          <w:tcPr>
            <w:tcW w:w="362" w:type="pct"/>
            <w:hideMark/>
          </w:tcPr>
          <w:p w14:paraId="077FECF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2 048 220,00</w:t>
            </w:r>
          </w:p>
        </w:tc>
        <w:tc>
          <w:tcPr>
            <w:tcW w:w="180" w:type="pct"/>
            <w:hideMark/>
          </w:tcPr>
          <w:p w14:paraId="51B26B1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w:t>
            </w:r>
          </w:p>
        </w:tc>
        <w:tc>
          <w:tcPr>
            <w:tcW w:w="268" w:type="pct"/>
            <w:hideMark/>
          </w:tcPr>
          <w:p w14:paraId="44C417E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06" w:type="pct"/>
            <w:hideMark/>
          </w:tcPr>
          <w:p w14:paraId="31D5764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9" w:type="pct"/>
            <w:hideMark/>
          </w:tcPr>
          <w:p w14:paraId="65280DB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49" w:type="pct"/>
            <w:hideMark/>
          </w:tcPr>
          <w:p w14:paraId="4CA3D41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162" w:type="pct"/>
            <w:hideMark/>
          </w:tcPr>
          <w:p w14:paraId="440D4F2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r>
      <w:tr w:rsidR="008A0277" w:rsidRPr="008A0277" w14:paraId="72159547" w14:textId="77777777" w:rsidTr="008A0277">
        <w:trPr>
          <w:trHeight w:val="1412"/>
        </w:trPr>
        <w:tc>
          <w:tcPr>
            <w:tcW w:w="277" w:type="pct"/>
            <w:vMerge w:val="restart"/>
            <w:hideMark/>
          </w:tcPr>
          <w:p w14:paraId="0C04081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11B5FE98"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24</w:t>
            </w:r>
          </w:p>
        </w:tc>
        <w:tc>
          <w:tcPr>
            <w:tcW w:w="270" w:type="pct"/>
            <w:vMerge w:val="restart"/>
            <w:hideMark/>
          </w:tcPr>
          <w:p w14:paraId="0DF4CA3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service delivery</w:t>
            </w:r>
          </w:p>
        </w:tc>
        <w:tc>
          <w:tcPr>
            <w:tcW w:w="268" w:type="pct"/>
            <w:vMerge w:val="restart"/>
            <w:hideMark/>
          </w:tcPr>
          <w:p w14:paraId="02FE4DE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Ensure the provision and maintenance of municipal roads, access roads and causeways</w:t>
            </w:r>
          </w:p>
        </w:tc>
        <w:tc>
          <w:tcPr>
            <w:tcW w:w="362" w:type="pct"/>
            <w:vMerge w:val="restart"/>
            <w:hideMark/>
          </w:tcPr>
          <w:p w14:paraId="70FFCAB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Construct 4.406 km's of Mbangayiya road / causeways as per MIG budget by 30 June</w:t>
            </w:r>
          </w:p>
        </w:tc>
        <w:tc>
          <w:tcPr>
            <w:tcW w:w="362" w:type="pct"/>
            <w:vMerge w:val="restart"/>
            <w:hideMark/>
          </w:tcPr>
          <w:p w14:paraId="2011D8D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Km of roads / causeways Constructed by 30 June </w:t>
            </w:r>
          </w:p>
        </w:tc>
        <w:tc>
          <w:tcPr>
            <w:tcW w:w="362" w:type="pct"/>
            <w:hideMark/>
          </w:tcPr>
          <w:p w14:paraId="67B82CE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4.406km of Mbangayiya road / causeway constructed by 30 June</w:t>
            </w:r>
          </w:p>
        </w:tc>
        <w:tc>
          <w:tcPr>
            <w:tcW w:w="362" w:type="pct"/>
            <w:hideMark/>
          </w:tcPr>
          <w:p w14:paraId="1F9EBB3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2780C9A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12C5E17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4C686AF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5CDCC83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1CFAE10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5F9839C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369" w:type="pct"/>
            <w:vMerge w:val="restart"/>
            <w:hideMark/>
          </w:tcPr>
          <w:p w14:paraId="6DECD4B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249" w:type="pct"/>
            <w:vMerge w:val="restart"/>
            <w:hideMark/>
          </w:tcPr>
          <w:p w14:paraId="31A9596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Infrastructure Grant [Schedule 5B]</w:t>
            </w:r>
          </w:p>
        </w:tc>
        <w:tc>
          <w:tcPr>
            <w:tcW w:w="162" w:type="pct"/>
            <w:vMerge w:val="restart"/>
            <w:hideMark/>
          </w:tcPr>
          <w:p w14:paraId="48D6C37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 14</w:t>
            </w:r>
          </w:p>
        </w:tc>
      </w:tr>
      <w:tr w:rsidR="008A0277" w:rsidRPr="008A0277" w14:paraId="32F941C1" w14:textId="77777777" w:rsidTr="008A0277">
        <w:trPr>
          <w:trHeight w:val="300"/>
        </w:trPr>
        <w:tc>
          <w:tcPr>
            <w:tcW w:w="277" w:type="pct"/>
            <w:vMerge/>
            <w:hideMark/>
          </w:tcPr>
          <w:p w14:paraId="410CB7F5"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1FFA12E3"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57B362FC"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17E93331"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685DA9E0"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6C4AF6BA"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12E81D2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1 500 000.00</w:t>
            </w:r>
          </w:p>
        </w:tc>
        <w:tc>
          <w:tcPr>
            <w:tcW w:w="362" w:type="pct"/>
            <w:hideMark/>
          </w:tcPr>
          <w:p w14:paraId="6DB43ED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36DC4CE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3C7ED86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6941319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180" w:type="pct"/>
            <w:vMerge/>
            <w:hideMark/>
          </w:tcPr>
          <w:p w14:paraId="0517B0CB"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78E60DCC"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2CAC31D6"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6500B9C7"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67E3FBBB"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303D191D"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70844FB7" w14:textId="77777777" w:rsidTr="008A0277">
        <w:trPr>
          <w:trHeight w:val="1800"/>
        </w:trPr>
        <w:tc>
          <w:tcPr>
            <w:tcW w:w="277" w:type="pct"/>
            <w:vMerge w:val="restart"/>
            <w:hideMark/>
          </w:tcPr>
          <w:p w14:paraId="1F5C694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373E7173"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25</w:t>
            </w:r>
          </w:p>
        </w:tc>
        <w:tc>
          <w:tcPr>
            <w:tcW w:w="270" w:type="pct"/>
            <w:vMerge w:val="restart"/>
            <w:hideMark/>
          </w:tcPr>
          <w:p w14:paraId="7193214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service delivery</w:t>
            </w:r>
          </w:p>
        </w:tc>
        <w:tc>
          <w:tcPr>
            <w:tcW w:w="268" w:type="pct"/>
            <w:vMerge w:val="restart"/>
            <w:hideMark/>
          </w:tcPr>
          <w:p w14:paraId="34701B6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provide and maintain infrastructure and services to all, with emphasis on rural communities, in a sustainable manner</w:t>
            </w:r>
          </w:p>
        </w:tc>
        <w:tc>
          <w:tcPr>
            <w:tcW w:w="362" w:type="pct"/>
            <w:vMerge w:val="restart"/>
            <w:hideMark/>
          </w:tcPr>
          <w:p w14:paraId="4BD7EEE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Construct Izingwenya community hall by 31 March</w:t>
            </w:r>
          </w:p>
        </w:tc>
        <w:tc>
          <w:tcPr>
            <w:tcW w:w="362" w:type="pct"/>
            <w:vMerge w:val="restart"/>
            <w:hideMark/>
          </w:tcPr>
          <w:p w14:paraId="35F4B50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Date of construction of community hall</w:t>
            </w:r>
          </w:p>
        </w:tc>
        <w:tc>
          <w:tcPr>
            <w:tcW w:w="362" w:type="pct"/>
            <w:hideMark/>
          </w:tcPr>
          <w:p w14:paraId="07D1FF0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Izingwenya community hall constructed by 31 March </w:t>
            </w:r>
          </w:p>
        </w:tc>
        <w:tc>
          <w:tcPr>
            <w:tcW w:w="362" w:type="pct"/>
            <w:hideMark/>
          </w:tcPr>
          <w:p w14:paraId="1E3254F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0BF246E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68969DC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752EB16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1B59AB4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5A0C358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216E767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Community hall</w:t>
            </w:r>
          </w:p>
        </w:tc>
        <w:tc>
          <w:tcPr>
            <w:tcW w:w="369" w:type="pct"/>
            <w:vMerge w:val="restart"/>
            <w:hideMark/>
          </w:tcPr>
          <w:p w14:paraId="25C3F88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Buildings</w:t>
            </w:r>
          </w:p>
        </w:tc>
        <w:tc>
          <w:tcPr>
            <w:tcW w:w="249" w:type="pct"/>
            <w:vMerge w:val="restart"/>
            <w:hideMark/>
          </w:tcPr>
          <w:p w14:paraId="6A21C3C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Infrastructure Grant [Schedule 5B]</w:t>
            </w:r>
          </w:p>
        </w:tc>
        <w:tc>
          <w:tcPr>
            <w:tcW w:w="162" w:type="pct"/>
            <w:vMerge w:val="restart"/>
            <w:hideMark/>
          </w:tcPr>
          <w:p w14:paraId="2C5FC13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 21</w:t>
            </w:r>
          </w:p>
        </w:tc>
      </w:tr>
      <w:tr w:rsidR="008A0277" w:rsidRPr="008A0277" w14:paraId="08FB03F0" w14:textId="77777777" w:rsidTr="008A0277">
        <w:trPr>
          <w:trHeight w:val="300"/>
        </w:trPr>
        <w:tc>
          <w:tcPr>
            <w:tcW w:w="277" w:type="pct"/>
            <w:vMerge/>
            <w:hideMark/>
          </w:tcPr>
          <w:p w14:paraId="1EF31F89"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700D8E94"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5323AC5D"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1A985B81"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61FB3708"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7D7B1F92"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777712E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4 450 000.00</w:t>
            </w:r>
          </w:p>
        </w:tc>
        <w:tc>
          <w:tcPr>
            <w:tcW w:w="362" w:type="pct"/>
            <w:hideMark/>
          </w:tcPr>
          <w:p w14:paraId="2E1E2E1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56DA3AE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0D11E1D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0211EAF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180" w:type="pct"/>
            <w:vMerge/>
            <w:hideMark/>
          </w:tcPr>
          <w:p w14:paraId="046FFB39"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570565FE"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05269929"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34CE608F"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6C5B1D4C"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7E7FD428"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2186C0D1" w14:textId="77777777" w:rsidTr="008A0277">
        <w:trPr>
          <w:trHeight w:val="1800"/>
        </w:trPr>
        <w:tc>
          <w:tcPr>
            <w:tcW w:w="277" w:type="pct"/>
            <w:vMerge w:val="restart"/>
            <w:hideMark/>
          </w:tcPr>
          <w:p w14:paraId="20D2B5F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4E9BFC9B"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26</w:t>
            </w:r>
          </w:p>
        </w:tc>
        <w:tc>
          <w:tcPr>
            <w:tcW w:w="270" w:type="pct"/>
            <w:vMerge w:val="restart"/>
            <w:hideMark/>
          </w:tcPr>
          <w:p w14:paraId="5136966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service delivery</w:t>
            </w:r>
          </w:p>
        </w:tc>
        <w:tc>
          <w:tcPr>
            <w:tcW w:w="268" w:type="pct"/>
            <w:vMerge w:val="restart"/>
            <w:hideMark/>
          </w:tcPr>
          <w:p w14:paraId="3634F44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provide and maintain infrastructure and services to all, with emphasis on rural communities, in a sustainable manner</w:t>
            </w:r>
          </w:p>
        </w:tc>
        <w:tc>
          <w:tcPr>
            <w:tcW w:w="362" w:type="pct"/>
            <w:vMerge w:val="restart"/>
            <w:hideMark/>
          </w:tcPr>
          <w:p w14:paraId="288C92E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Construct Qhlika community hall by 31 March</w:t>
            </w:r>
          </w:p>
        </w:tc>
        <w:tc>
          <w:tcPr>
            <w:tcW w:w="362" w:type="pct"/>
            <w:vMerge w:val="restart"/>
            <w:hideMark/>
          </w:tcPr>
          <w:p w14:paraId="33ED51F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Date of construction of community hall</w:t>
            </w:r>
          </w:p>
        </w:tc>
        <w:tc>
          <w:tcPr>
            <w:tcW w:w="362" w:type="pct"/>
            <w:hideMark/>
          </w:tcPr>
          <w:p w14:paraId="326EF9C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6670265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Qhlika community hall constructed by 31 March </w:t>
            </w:r>
          </w:p>
        </w:tc>
        <w:tc>
          <w:tcPr>
            <w:tcW w:w="362" w:type="pct"/>
            <w:hideMark/>
          </w:tcPr>
          <w:p w14:paraId="777BF7E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69E13A8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008EDAC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036B012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3B18AD6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3CC14B8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Community hall</w:t>
            </w:r>
          </w:p>
        </w:tc>
        <w:tc>
          <w:tcPr>
            <w:tcW w:w="369" w:type="pct"/>
            <w:vMerge w:val="restart"/>
            <w:hideMark/>
          </w:tcPr>
          <w:p w14:paraId="5E7A4A7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Buildings</w:t>
            </w:r>
          </w:p>
        </w:tc>
        <w:tc>
          <w:tcPr>
            <w:tcW w:w="249" w:type="pct"/>
            <w:vMerge w:val="restart"/>
            <w:hideMark/>
          </w:tcPr>
          <w:p w14:paraId="148860D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Infrastructure Grant [Schedule 5B]</w:t>
            </w:r>
          </w:p>
        </w:tc>
        <w:tc>
          <w:tcPr>
            <w:tcW w:w="162" w:type="pct"/>
            <w:vMerge w:val="restart"/>
            <w:hideMark/>
          </w:tcPr>
          <w:p w14:paraId="4EF82A9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 25</w:t>
            </w:r>
          </w:p>
        </w:tc>
      </w:tr>
      <w:tr w:rsidR="008A0277" w:rsidRPr="008A0277" w14:paraId="208FE441" w14:textId="77777777" w:rsidTr="008A0277">
        <w:trPr>
          <w:trHeight w:val="300"/>
        </w:trPr>
        <w:tc>
          <w:tcPr>
            <w:tcW w:w="277" w:type="pct"/>
            <w:vMerge/>
            <w:hideMark/>
          </w:tcPr>
          <w:p w14:paraId="499FE339"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15DCDE9F"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5555363A"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410E3F50"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5A9FBDA6"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3D3B5E20"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2996BCC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16D4FF4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4 500 000.00</w:t>
            </w:r>
          </w:p>
        </w:tc>
        <w:tc>
          <w:tcPr>
            <w:tcW w:w="362" w:type="pct"/>
            <w:hideMark/>
          </w:tcPr>
          <w:p w14:paraId="045115B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35BBC52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7F88678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180" w:type="pct"/>
            <w:vMerge/>
            <w:hideMark/>
          </w:tcPr>
          <w:p w14:paraId="2EF87C83"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0DCD78BF"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1E9DF1FC"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2C5905AC"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6E3B6901"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78383D2D"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0679FAB2" w14:textId="77777777" w:rsidTr="008A0277">
        <w:trPr>
          <w:trHeight w:val="1800"/>
        </w:trPr>
        <w:tc>
          <w:tcPr>
            <w:tcW w:w="277" w:type="pct"/>
            <w:vMerge w:val="restart"/>
            <w:hideMark/>
          </w:tcPr>
          <w:p w14:paraId="4B3463A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33E02043"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27</w:t>
            </w:r>
          </w:p>
        </w:tc>
        <w:tc>
          <w:tcPr>
            <w:tcW w:w="270" w:type="pct"/>
            <w:vMerge w:val="restart"/>
            <w:hideMark/>
          </w:tcPr>
          <w:p w14:paraId="38428A5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service delivery</w:t>
            </w:r>
          </w:p>
        </w:tc>
        <w:tc>
          <w:tcPr>
            <w:tcW w:w="268" w:type="pct"/>
            <w:vMerge w:val="restart"/>
            <w:hideMark/>
          </w:tcPr>
          <w:p w14:paraId="6BC15FC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provide and maintain infrastructure and services to all, with emphasis on rural communities, in a sustainable manner</w:t>
            </w:r>
          </w:p>
        </w:tc>
        <w:tc>
          <w:tcPr>
            <w:tcW w:w="362" w:type="pct"/>
            <w:vMerge w:val="restart"/>
            <w:hideMark/>
          </w:tcPr>
          <w:p w14:paraId="7484360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Construct Obanjeni community hall by 28 February</w:t>
            </w:r>
          </w:p>
        </w:tc>
        <w:tc>
          <w:tcPr>
            <w:tcW w:w="362" w:type="pct"/>
            <w:vMerge w:val="restart"/>
            <w:hideMark/>
          </w:tcPr>
          <w:p w14:paraId="0F19713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Date of construction of community hall</w:t>
            </w:r>
          </w:p>
        </w:tc>
        <w:tc>
          <w:tcPr>
            <w:tcW w:w="362" w:type="pct"/>
            <w:hideMark/>
          </w:tcPr>
          <w:p w14:paraId="5E18967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Obanjeni community hall constructed by 28 February</w:t>
            </w:r>
          </w:p>
        </w:tc>
        <w:tc>
          <w:tcPr>
            <w:tcW w:w="362" w:type="pct"/>
            <w:hideMark/>
          </w:tcPr>
          <w:p w14:paraId="7050D3A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67D5977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0821C28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12304AE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61B71B1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48966B7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4DA66E1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Community hall</w:t>
            </w:r>
          </w:p>
        </w:tc>
        <w:tc>
          <w:tcPr>
            <w:tcW w:w="369" w:type="pct"/>
            <w:vMerge w:val="restart"/>
            <w:hideMark/>
          </w:tcPr>
          <w:p w14:paraId="04DAD78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Buildings</w:t>
            </w:r>
          </w:p>
        </w:tc>
        <w:tc>
          <w:tcPr>
            <w:tcW w:w="249" w:type="pct"/>
            <w:vMerge w:val="restart"/>
            <w:hideMark/>
          </w:tcPr>
          <w:p w14:paraId="5A8B281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Infrastructure Grant [Schedule 5B]</w:t>
            </w:r>
          </w:p>
        </w:tc>
        <w:tc>
          <w:tcPr>
            <w:tcW w:w="162" w:type="pct"/>
            <w:vMerge w:val="restart"/>
            <w:hideMark/>
          </w:tcPr>
          <w:p w14:paraId="278DD03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 20</w:t>
            </w:r>
          </w:p>
        </w:tc>
      </w:tr>
      <w:tr w:rsidR="008A0277" w:rsidRPr="008A0277" w14:paraId="7E4136AA" w14:textId="77777777" w:rsidTr="008A0277">
        <w:trPr>
          <w:trHeight w:val="300"/>
        </w:trPr>
        <w:tc>
          <w:tcPr>
            <w:tcW w:w="277" w:type="pct"/>
            <w:vMerge/>
            <w:hideMark/>
          </w:tcPr>
          <w:p w14:paraId="109325EE"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7822D5D4"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6B7212F6"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124E4568"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5FC958C2"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4A5EEA3C"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364CDEE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3 400 000.00</w:t>
            </w:r>
          </w:p>
        </w:tc>
        <w:tc>
          <w:tcPr>
            <w:tcW w:w="362" w:type="pct"/>
            <w:hideMark/>
          </w:tcPr>
          <w:p w14:paraId="3E0F4AD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6BB6B93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5BEBC1F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7E7D75C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180" w:type="pct"/>
            <w:vMerge/>
            <w:hideMark/>
          </w:tcPr>
          <w:p w14:paraId="2E1B301A"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641117E8"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7ECEFD8A"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65E1844D"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179D70D7"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0DFEAD0B"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4481F911" w14:textId="77777777" w:rsidTr="008A0277">
        <w:trPr>
          <w:trHeight w:val="1800"/>
        </w:trPr>
        <w:tc>
          <w:tcPr>
            <w:tcW w:w="277" w:type="pct"/>
            <w:vMerge w:val="restart"/>
            <w:hideMark/>
          </w:tcPr>
          <w:p w14:paraId="26DB166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3DF6ACE8"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28</w:t>
            </w:r>
          </w:p>
        </w:tc>
        <w:tc>
          <w:tcPr>
            <w:tcW w:w="270" w:type="pct"/>
            <w:vMerge w:val="restart"/>
            <w:hideMark/>
          </w:tcPr>
          <w:p w14:paraId="3B540B0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service delivery</w:t>
            </w:r>
          </w:p>
        </w:tc>
        <w:tc>
          <w:tcPr>
            <w:tcW w:w="268" w:type="pct"/>
            <w:vMerge w:val="restart"/>
            <w:hideMark/>
          </w:tcPr>
          <w:p w14:paraId="223922E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provide and maintain infrastructure and services to all, with emphasis on rural communities, in a sustainable manner</w:t>
            </w:r>
          </w:p>
        </w:tc>
        <w:tc>
          <w:tcPr>
            <w:tcW w:w="362" w:type="pct"/>
            <w:vMerge w:val="restart"/>
            <w:hideMark/>
          </w:tcPr>
          <w:p w14:paraId="04FDCE3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Construct Vuma community hall by 31 March</w:t>
            </w:r>
          </w:p>
        </w:tc>
        <w:tc>
          <w:tcPr>
            <w:tcW w:w="362" w:type="pct"/>
            <w:vMerge w:val="restart"/>
            <w:hideMark/>
          </w:tcPr>
          <w:p w14:paraId="17DBFD7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Date of construction of community hall</w:t>
            </w:r>
          </w:p>
        </w:tc>
        <w:tc>
          <w:tcPr>
            <w:tcW w:w="362" w:type="pct"/>
            <w:hideMark/>
          </w:tcPr>
          <w:p w14:paraId="6D9701D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552E5F8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6F12E64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Vuma community hall constructed by 31 March </w:t>
            </w:r>
          </w:p>
        </w:tc>
        <w:tc>
          <w:tcPr>
            <w:tcW w:w="362" w:type="pct"/>
            <w:hideMark/>
          </w:tcPr>
          <w:p w14:paraId="4319FD4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5716567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0EFF427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71A563A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70EE20F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Community hall</w:t>
            </w:r>
          </w:p>
        </w:tc>
        <w:tc>
          <w:tcPr>
            <w:tcW w:w="369" w:type="pct"/>
            <w:vMerge w:val="restart"/>
            <w:hideMark/>
          </w:tcPr>
          <w:p w14:paraId="7A738F4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Buildings</w:t>
            </w:r>
          </w:p>
        </w:tc>
        <w:tc>
          <w:tcPr>
            <w:tcW w:w="249" w:type="pct"/>
            <w:vMerge w:val="restart"/>
            <w:hideMark/>
          </w:tcPr>
          <w:p w14:paraId="3E4B7D4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Infrastructure Grant [Schedule 5B]</w:t>
            </w:r>
          </w:p>
        </w:tc>
        <w:tc>
          <w:tcPr>
            <w:tcW w:w="162" w:type="pct"/>
            <w:vMerge w:val="restart"/>
            <w:hideMark/>
          </w:tcPr>
          <w:p w14:paraId="71116CA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 8</w:t>
            </w:r>
          </w:p>
        </w:tc>
      </w:tr>
      <w:tr w:rsidR="008A0277" w:rsidRPr="008A0277" w14:paraId="31FE9A16" w14:textId="77777777" w:rsidTr="008A0277">
        <w:trPr>
          <w:trHeight w:val="300"/>
        </w:trPr>
        <w:tc>
          <w:tcPr>
            <w:tcW w:w="277" w:type="pct"/>
            <w:vMerge/>
            <w:hideMark/>
          </w:tcPr>
          <w:p w14:paraId="493CD638"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3DF30267"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2EAFFE03"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30B095B4"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016BE15A"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22B0EDB3"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789BA1C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0599312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60FFAB1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4 500 000.00</w:t>
            </w:r>
          </w:p>
        </w:tc>
        <w:tc>
          <w:tcPr>
            <w:tcW w:w="362" w:type="pct"/>
            <w:hideMark/>
          </w:tcPr>
          <w:p w14:paraId="4B52755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356CF72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180" w:type="pct"/>
            <w:vMerge/>
            <w:hideMark/>
          </w:tcPr>
          <w:p w14:paraId="30527DDE"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67B37A4C"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6B67AED7"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03AB6A44"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6218656E"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5CF805AD"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29C4083D" w14:textId="77777777" w:rsidTr="008A0277">
        <w:trPr>
          <w:trHeight w:val="1800"/>
        </w:trPr>
        <w:tc>
          <w:tcPr>
            <w:tcW w:w="277" w:type="pct"/>
            <w:vMerge w:val="restart"/>
            <w:hideMark/>
          </w:tcPr>
          <w:p w14:paraId="0F6A087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71D3D28F"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29</w:t>
            </w:r>
          </w:p>
        </w:tc>
        <w:tc>
          <w:tcPr>
            <w:tcW w:w="270" w:type="pct"/>
            <w:vMerge w:val="restart"/>
            <w:hideMark/>
          </w:tcPr>
          <w:p w14:paraId="6641B88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service delivery</w:t>
            </w:r>
          </w:p>
        </w:tc>
        <w:tc>
          <w:tcPr>
            <w:tcW w:w="268" w:type="pct"/>
            <w:vMerge w:val="restart"/>
            <w:hideMark/>
          </w:tcPr>
          <w:p w14:paraId="0250E13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provide and maintain infrastructure and services to all, with emphasis on rural communities, in a sustainable manner</w:t>
            </w:r>
          </w:p>
        </w:tc>
        <w:tc>
          <w:tcPr>
            <w:tcW w:w="362" w:type="pct"/>
            <w:vMerge w:val="restart"/>
            <w:hideMark/>
          </w:tcPr>
          <w:p w14:paraId="73DBFFF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Construct Nkume community hall by 31 March</w:t>
            </w:r>
          </w:p>
        </w:tc>
        <w:tc>
          <w:tcPr>
            <w:tcW w:w="362" w:type="pct"/>
            <w:vMerge w:val="restart"/>
            <w:hideMark/>
          </w:tcPr>
          <w:p w14:paraId="59F6DD6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Date of construction of community hall</w:t>
            </w:r>
          </w:p>
        </w:tc>
        <w:tc>
          <w:tcPr>
            <w:tcW w:w="362" w:type="pct"/>
            <w:hideMark/>
          </w:tcPr>
          <w:p w14:paraId="6E97A36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Nkume community hall constructed by 31 March </w:t>
            </w:r>
          </w:p>
        </w:tc>
        <w:tc>
          <w:tcPr>
            <w:tcW w:w="362" w:type="pct"/>
            <w:hideMark/>
          </w:tcPr>
          <w:p w14:paraId="4A63DBF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73F9716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4380A03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388F142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6405028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2F3E86C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0CC6423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Community hall</w:t>
            </w:r>
          </w:p>
        </w:tc>
        <w:tc>
          <w:tcPr>
            <w:tcW w:w="369" w:type="pct"/>
            <w:vMerge w:val="restart"/>
            <w:hideMark/>
          </w:tcPr>
          <w:p w14:paraId="2CE5EB8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Buildings</w:t>
            </w:r>
          </w:p>
        </w:tc>
        <w:tc>
          <w:tcPr>
            <w:tcW w:w="249" w:type="pct"/>
            <w:vMerge w:val="restart"/>
            <w:hideMark/>
          </w:tcPr>
          <w:p w14:paraId="0B8872F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Infrastructure Grant [Schedule 5B]</w:t>
            </w:r>
          </w:p>
        </w:tc>
        <w:tc>
          <w:tcPr>
            <w:tcW w:w="162" w:type="pct"/>
            <w:vMerge w:val="restart"/>
            <w:hideMark/>
          </w:tcPr>
          <w:p w14:paraId="0CAED23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 10</w:t>
            </w:r>
          </w:p>
        </w:tc>
      </w:tr>
      <w:tr w:rsidR="008A0277" w:rsidRPr="008A0277" w14:paraId="75EC14FF" w14:textId="77777777" w:rsidTr="008A0277">
        <w:trPr>
          <w:trHeight w:val="300"/>
        </w:trPr>
        <w:tc>
          <w:tcPr>
            <w:tcW w:w="277" w:type="pct"/>
            <w:vMerge/>
            <w:hideMark/>
          </w:tcPr>
          <w:p w14:paraId="607CC7BA"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2E0713EC"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6094070B"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29DF27AF"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7102339F"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7C834CCD"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54263FF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4 500 000.00</w:t>
            </w:r>
          </w:p>
        </w:tc>
        <w:tc>
          <w:tcPr>
            <w:tcW w:w="362" w:type="pct"/>
            <w:hideMark/>
          </w:tcPr>
          <w:p w14:paraId="5A71E64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5E9C77C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33AAFCE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41B5294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180" w:type="pct"/>
            <w:vMerge/>
            <w:hideMark/>
          </w:tcPr>
          <w:p w14:paraId="5DFE1A5B"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7845F56A"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2EE4D3FA"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1BA4EA06"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20B2B79B"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033A7D78"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42D68B8D" w14:textId="77777777" w:rsidTr="008A0277">
        <w:trPr>
          <w:trHeight w:val="2025"/>
        </w:trPr>
        <w:tc>
          <w:tcPr>
            <w:tcW w:w="277" w:type="pct"/>
            <w:vMerge w:val="restart"/>
            <w:hideMark/>
          </w:tcPr>
          <w:p w14:paraId="7CEE618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601FDE7E"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30</w:t>
            </w:r>
          </w:p>
        </w:tc>
        <w:tc>
          <w:tcPr>
            <w:tcW w:w="270" w:type="pct"/>
            <w:vMerge w:val="restart"/>
            <w:hideMark/>
          </w:tcPr>
          <w:p w14:paraId="41A7640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service delivery</w:t>
            </w:r>
          </w:p>
        </w:tc>
        <w:tc>
          <w:tcPr>
            <w:tcW w:w="268" w:type="pct"/>
            <w:vMerge w:val="restart"/>
            <w:hideMark/>
          </w:tcPr>
          <w:p w14:paraId="4DB4919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Ensure the provision and maintenance of municipal roads, access roads and causeways</w:t>
            </w:r>
          </w:p>
        </w:tc>
        <w:tc>
          <w:tcPr>
            <w:tcW w:w="362" w:type="pct"/>
            <w:vMerge w:val="restart"/>
            <w:hideMark/>
          </w:tcPr>
          <w:p w14:paraId="234156A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Construct 4.406 km's of Mbangayiya road / causeways as per MIG budget by 30 June</w:t>
            </w:r>
          </w:p>
        </w:tc>
        <w:tc>
          <w:tcPr>
            <w:tcW w:w="362" w:type="pct"/>
            <w:vMerge w:val="restart"/>
            <w:hideMark/>
          </w:tcPr>
          <w:p w14:paraId="1CA5D22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Km of roads / causeways Constructed by 30 June </w:t>
            </w:r>
          </w:p>
        </w:tc>
        <w:tc>
          <w:tcPr>
            <w:tcW w:w="362" w:type="pct"/>
            <w:hideMark/>
          </w:tcPr>
          <w:p w14:paraId="207C16A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4.406km of Mbangayiya road / causeway constructed by 30 June</w:t>
            </w:r>
          </w:p>
        </w:tc>
        <w:tc>
          <w:tcPr>
            <w:tcW w:w="362" w:type="pct"/>
            <w:hideMark/>
          </w:tcPr>
          <w:p w14:paraId="537EFC5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49A4258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39403FD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70DD59B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76C6C58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42957B9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7BB2B00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369" w:type="pct"/>
            <w:vMerge w:val="restart"/>
            <w:hideMark/>
          </w:tcPr>
          <w:p w14:paraId="1117355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249" w:type="pct"/>
            <w:vMerge w:val="restart"/>
            <w:hideMark/>
          </w:tcPr>
          <w:p w14:paraId="4266F55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Infrastructure Grant [Schedule 5B]</w:t>
            </w:r>
          </w:p>
        </w:tc>
        <w:tc>
          <w:tcPr>
            <w:tcW w:w="162" w:type="pct"/>
            <w:vMerge w:val="restart"/>
            <w:hideMark/>
          </w:tcPr>
          <w:p w14:paraId="02DF128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 14</w:t>
            </w:r>
          </w:p>
        </w:tc>
      </w:tr>
      <w:tr w:rsidR="008A0277" w:rsidRPr="008A0277" w14:paraId="1D05EF67" w14:textId="77777777" w:rsidTr="008A0277">
        <w:trPr>
          <w:trHeight w:val="300"/>
        </w:trPr>
        <w:tc>
          <w:tcPr>
            <w:tcW w:w="277" w:type="pct"/>
            <w:vMerge/>
            <w:hideMark/>
          </w:tcPr>
          <w:p w14:paraId="3BB47724"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154B8589"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0D4E8A00"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1910E271"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37CBC49F"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1F42CAC0"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6068EA0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1 500 000.00</w:t>
            </w:r>
          </w:p>
        </w:tc>
        <w:tc>
          <w:tcPr>
            <w:tcW w:w="362" w:type="pct"/>
            <w:hideMark/>
          </w:tcPr>
          <w:p w14:paraId="33E8382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6EBE65C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1952DBE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1ACA324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180" w:type="pct"/>
            <w:vMerge/>
            <w:hideMark/>
          </w:tcPr>
          <w:p w14:paraId="59F700EA"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73EB0345"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19E96E59"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2B3AFE9C"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11467BF2"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580D9B26"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4ACCF0BD" w14:textId="77777777" w:rsidTr="008A0277">
        <w:trPr>
          <w:trHeight w:val="1351"/>
        </w:trPr>
        <w:tc>
          <w:tcPr>
            <w:tcW w:w="277" w:type="pct"/>
            <w:vMerge w:val="restart"/>
            <w:hideMark/>
          </w:tcPr>
          <w:p w14:paraId="07BDF9C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1E249D24"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31</w:t>
            </w:r>
          </w:p>
        </w:tc>
        <w:tc>
          <w:tcPr>
            <w:tcW w:w="270" w:type="pct"/>
            <w:vMerge w:val="restart"/>
            <w:hideMark/>
          </w:tcPr>
          <w:p w14:paraId="7DAD30F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service delivery</w:t>
            </w:r>
          </w:p>
        </w:tc>
        <w:tc>
          <w:tcPr>
            <w:tcW w:w="268" w:type="pct"/>
            <w:vMerge w:val="restart"/>
            <w:hideMark/>
          </w:tcPr>
          <w:p w14:paraId="783D3B9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Ensure the provision and maintenance of municipal roads, access roads and causeways</w:t>
            </w:r>
          </w:p>
        </w:tc>
        <w:tc>
          <w:tcPr>
            <w:tcW w:w="362" w:type="pct"/>
            <w:vMerge w:val="restart"/>
            <w:hideMark/>
          </w:tcPr>
          <w:p w14:paraId="6024F0D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Construct X km's of Izingwenya road / causeways as per MIG budget by 30 June</w:t>
            </w:r>
          </w:p>
        </w:tc>
        <w:tc>
          <w:tcPr>
            <w:tcW w:w="362" w:type="pct"/>
            <w:vMerge w:val="restart"/>
            <w:hideMark/>
          </w:tcPr>
          <w:p w14:paraId="04385D3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Km of roads / causeways Constructed by 30 June </w:t>
            </w:r>
          </w:p>
        </w:tc>
        <w:tc>
          <w:tcPr>
            <w:tcW w:w="362" w:type="pct"/>
            <w:hideMark/>
          </w:tcPr>
          <w:p w14:paraId="015D038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685C8E1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41C39F2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Xkm of Izingwenya road / causeway constructed by 30 June</w:t>
            </w:r>
          </w:p>
        </w:tc>
        <w:tc>
          <w:tcPr>
            <w:tcW w:w="362" w:type="pct"/>
            <w:hideMark/>
          </w:tcPr>
          <w:p w14:paraId="08BCC90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4D79A83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4F369A5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7CCD134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6269E37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369" w:type="pct"/>
            <w:vMerge w:val="restart"/>
            <w:hideMark/>
          </w:tcPr>
          <w:p w14:paraId="1348F19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249" w:type="pct"/>
            <w:vMerge w:val="restart"/>
            <w:hideMark/>
          </w:tcPr>
          <w:p w14:paraId="706872F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Infrastructure Grant [Schedule 5B]</w:t>
            </w:r>
          </w:p>
        </w:tc>
        <w:tc>
          <w:tcPr>
            <w:tcW w:w="162" w:type="pct"/>
            <w:vMerge w:val="restart"/>
            <w:hideMark/>
          </w:tcPr>
          <w:p w14:paraId="720F2A0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 21</w:t>
            </w:r>
          </w:p>
        </w:tc>
      </w:tr>
      <w:tr w:rsidR="008A0277" w:rsidRPr="008A0277" w14:paraId="35EFFDA6" w14:textId="77777777" w:rsidTr="008A0277">
        <w:trPr>
          <w:trHeight w:val="300"/>
        </w:trPr>
        <w:tc>
          <w:tcPr>
            <w:tcW w:w="277" w:type="pct"/>
            <w:vMerge/>
            <w:hideMark/>
          </w:tcPr>
          <w:p w14:paraId="333C6F88"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308F8B53"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0DE0BD9B"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01D69D9B"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216902ED"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54A1F9BE"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64F6CEF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6B6F4EA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2829EE0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4 500 000.00</w:t>
            </w:r>
          </w:p>
        </w:tc>
        <w:tc>
          <w:tcPr>
            <w:tcW w:w="362" w:type="pct"/>
            <w:hideMark/>
          </w:tcPr>
          <w:p w14:paraId="6B9C8E2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7007512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180" w:type="pct"/>
            <w:vMerge/>
            <w:hideMark/>
          </w:tcPr>
          <w:p w14:paraId="63C21CDD"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28DA2B52"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54BCA4E1"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640E3F80"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11A703B2"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4F45703F"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27CDCC07" w14:textId="77777777" w:rsidTr="008A0277">
        <w:trPr>
          <w:trHeight w:val="1305"/>
        </w:trPr>
        <w:tc>
          <w:tcPr>
            <w:tcW w:w="277" w:type="pct"/>
            <w:vMerge w:val="restart"/>
            <w:hideMark/>
          </w:tcPr>
          <w:p w14:paraId="52E29E3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5ADBDCA6"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32</w:t>
            </w:r>
          </w:p>
        </w:tc>
        <w:tc>
          <w:tcPr>
            <w:tcW w:w="270" w:type="pct"/>
            <w:vMerge w:val="restart"/>
            <w:hideMark/>
          </w:tcPr>
          <w:p w14:paraId="3FACA92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service delivery</w:t>
            </w:r>
          </w:p>
        </w:tc>
        <w:tc>
          <w:tcPr>
            <w:tcW w:w="268" w:type="pct"/>
            <w:vMerge w:val="restart"/>
            <w:hideMark/>
          </w:tcPr>
          <w:p w14:paraId="5DE1A5F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Ensure the provision and maintenance of municipal roads, access roads and causeways</w:t>
            </w:r>
          </w:p>
        </w:tc>
        <w:tc>
          <w:tcPr>
            <w:tcW w:w="362" w:type="pct"/>
            <w:vMerge w:val="restart"/>
            <w:hideMark/>
          </w:tcPr>
          <w:p w14:paraId="34A7DC8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Construct Xkm's of Makhehle road / causeways as per MIG budget by 30 June</w:t>
            </w:r>
          </w:p>
        </w:tc>
        <w:tc>
          <w:tcPr>
            <w:tcW w:w="362" w:type="pct"/>
            <w:vMerge w:val="restart"/>
            <w:hideMark/>
          </w:tcPr>
          <w:p w14:paraId="26C4EA6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Km of roads / causeways Constructed by 30 June </w:t>
            </w:r>
          </w:p>
        </w:tc>
        <w:tc>
          <w:tcPr>
            <w:tcW w:w="362" w:type="pct"/>
            <w:hideMark/>
          </w:tcPr>
          <w:p w14:paraId="6B627CA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3C55658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3324583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Xkm of Makhehle road / causeway constructed by 30 June</w:t>
            </w:r>
          </w:p>
        </w:tc>
        <w:tc>
          <w:tcPr>
            <w:tcW w:w="362" w:type="pct"/>
            <w:hideMark/>
          </w:tcPr>
          <w:p w14:paraId="1457FE1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0EBC356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6559002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2268260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1086803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369" w:type="pct"/>
            <w:vMerge w:val="restart"/>
            <w:hideMark/>
          </w:tcPr>
          <w:p w14:paraId="12F1193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249" w:type="pct"/>
            <w:vMerge w:val="restart"/>
            <w:hideMark/>
          </w:tcPr>
          <w:p w14:paraId="46603F8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Infrastructure Grant [Schedule 5B]</w:t>
            </w:r>
          </w:p>
        </w:tc>
        <w:tc>
          <w:tcPr>
            <w:tcW w:w="162" w:type="pct"/>
            <w:vMerge w:val="restart"/>
            <w:hideMark/>
          </w:tcPr>
          <w:p w14:paraId="7571BF8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 24</w:t>
            </w:r>
          </w:p>
        </w:tc>
      </w:tr>
      <w:tr w:rsidR="008A0277" w:rsidRPr="008A0277" w14:paraId="01BE21BB" w14:textId="77777777" w:rsidTr="008A0277">
        <w:trPr>
          <w:trHeight w:val="300"/>
        </w:trPr>
        <w:tc>
          <w:tcPr>
            <w:tcW w:w="277" w:type="pct"/>
            <w:vMerge/>
            <w:hideMark/>
          </w:tcPr>
          <w:p w14:paraId="1D18F9B1"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622FCA46"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5E6FCA80"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01B87FFF"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1E1317E8"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5D88D096"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64B6E8E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5811BAA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3B32CFF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4 500 000.00</w:t>
            </w:r>
          </w:p>
        </w:tc>
        <w:tc>
          <w:tcPr>
            <w:tcW w:w="362" w:type="pct"/>
            <w:hideMark/>
          </w:tcPr>
          <w:p w14:paraId="276035A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30F63C9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180" w:type="pct"/>
            <w:vMerge/>
            <w:hideMark/>
          </w:tcPr>
          <w:p w14:paraId="717FB4FC"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4B4F2DF8"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37A357D7"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106D974B"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5751D6F6"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79B0767A"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5F1EF4B5" w14:textId="77777777" w:rsidTr="008A0277">
        <w:trPr>
          <w:trHeight w:val="1556"/>
        </w:trPr>
        <w:tc>
          <w:tcPr>
            <w:tcW w:w="277" w:type="pct"/>
            <w:vMerge w:val="restart"/>
            <w:hideMark/>
          </w:tcPr>
          <w:p w14:paraId="7620BCB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60F420F4"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33</w:t>
            </w:r>
          </w:p>
        </w:tc>
        <w:tc>
          <w:tcPr>
            <w:tcW w:w="270" w:type="pct"/>
            <w:vMerge w:val="restart"/>
            <w:hideMark/>
          </w:tcPr>
          <w:p w14:paraId="10A1203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service delivery</w:t>
            </w:r>
          </w:p>
        </w:tc>
        <w:tc>
          <w:tcPr>
            <w:tcW w:w="268" w:type="pct"/>
            <w:vMerge w:val="restart"/>
            <w:hideMark/>
          </w:tcPr>
          <w:p w14:paraId="105D7CD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Ensure the provision and maintenance of municipal roads, access roads and causeways</w:t>
            </w:r>
          </w:p>
        </w:tc>
        <w:tc>
          <w:tcPr>
            <w:tcW w:w="362" w:type="pct"/>
            <w:vMerge w:val="restart"/>
            <w:hideMark/>
          </w:tcPr>
          <w:p w14:paraId="6D8B8AB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Construct Xkm's of Endayini to Ngedlezi road / causeways as per MIG budget by 30 June</w:t>
            </w:r>
          </w:p>
        </w:tc>
        <w:tc>
          <w:tcPr>
            <w:tcW w:w="362" w:type="pct"/>
            <w:vMerge w:val="restart"/>
            <w:hideMark/>
          </w:tcPr>
          <w:p w14:paraId="1D5662C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Km of roads / causeways Constructed by 30 June </w:t>
            </w:r>
          </w:p>
        </w:tc>
        <w:tc>
          <w:tcPr>
            <w:tcW w:w="362" w:type="pct"/>
            <w:hideMark/>
          </w:tcPr>
          <w:p w14:paraId="1619534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649C877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64067ED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Xkm of Endayini to Ngedlezi road / causeway constructed by 30 June</w:t>
            </w:r>
          </w:p>
        </w:tc>
        <w:tc>
          <w:tcPr>
            <w:tcW w:w="362" w:type="pct"/>
            <w:hideMark/>
          </w:tcPr>
          <w:p w14:paraId="683C829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746B23E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4D4CA26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0FFFAC8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5E8A7FB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369" w:type="pct"/>
            <w:vMerge w:val="restart"/>
            <w:hideMark/>
          </w:tcPr>
          <w:p w14:paraId="0252BD6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249" w:type="pct"/>
            <w:vMerge w:val="restart"/>
            <w:hideMark/>
          </w:tcPr>
          <w:p w14:paraId="3B386F5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Infrastructure Grant [Schedule 5B]</w:t>
            </w:r>
          </w:p>
        </w:tc>
        <w:tc>
          <w:tcPr>
            <w:tcW w:w="162" w:type="pct"/>
            <w:vMerge w:val="restart"/>
            <w:hideMark/>
          </w:tcPr>
          <w:p w14:paraId="7F14E19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 4</w:t>
            </w:r>
          </w:p>
        </w:tc>
      </w:tr>
      <w:tr w:rsidR="008A0277" w:rsidRPr="008A0277" w14:paraId="103C61C4" w14:textId="77777777" w:rsidTr="008A0277">
        <w:trPr>
          <w:trHeight w:val="300"/>
        </w:trPr>
        <w:tc>
          <w:tcPr>
            <w:tcW w:w="277" w:type="pct"/>
            <w:vMerge/>
            <w:hideMark/>
          </w:tcPr>
          <w:p w14:paraId="419EAD07"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7F60C73F"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3EC8B6B2"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3515996A"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18AB4DAE"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7ECFBB56"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0252DC1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3FD3006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1CC34E4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1 500 000.00</w:t>
            </w:r>
          </w:p>
        </w:tc>
        <w:tc>
          <w:tcPr>
            <w:tcW w:w="362" w:type="pct"/>
            <w:hideMark/>
          </w:tcPr>
          <w:p w14:paraId="0B9EE8F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6A5CFAA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180" w:type="pct"/>
            <w:vMerge/>
            <w:hideMark/>
          </w:tcPr>
          <w:p w14:paraId="0C0933E9"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5819378D"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5A75081E"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56C55651"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6B8D3F15"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24BA0AC8"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203FDE6E" w14:textId="77777777" w:rsidTr="008A0277">
        <w:trPr>
          <w:trHeight w:val="1418"/>
        </w:trPr>
        <w:tc>
          <w:tcPr>
            <w:tcW w:w="277" w:type="pct"/>
            <w:vMerge w:val="restart"/>
            <w:hideMark/>
          </w:tcPr>
          <w:p w14:paraId="777F5E2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6C4B5EEC"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34</w:t>
            </w:r>
          </w:p>
        </w:tc>
        <w:tc>
          <w:tcPr>
            <w:tcW w:w="270" w:type="pct"/>
            <w:vMerge w:val="restart"/>
            <w:hideMark/>
          </w:tcPr>
          <w:p w14:paraId="2285677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service delivery</w:t>
            </w:r>
          </w:p>
        </w:tc>
        <w:tc>
          <w:tcPr>
            <w:tcW w:w="268" w:type="pct"/>
            <w:vMerge w:val="restart"/>
            <w:hideMark/>
          </w:tcPr>
          <w:p w14:paraId="72DF111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Ensure the provision and maintenance of municipal roads, access roads and causeways</w:t>
            </w:r>
          </w:p>
        </w:tc>
        <w:tc>
          <w:tcPr>
            <w:tcW w:w="362" w:type="pct"/>
            <w:vMerge w:val="restart"/>
            <w:hideMark/>
          </w:tcPr>
          <w:p w14:paraId="729F05B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Construct Xkm's of Kwabonga road / causeways as per MIG budget by 30 June</w:t>
            </w:r>
          </w:p>
        </w:tc>
        <w:tc>
          <w:tcPr>
            <w:tcW w:w="362" w:type="pct"/>
            <w:vMerge w:val="restart"/>
            <w:hideMark/>
          </w:tcPr>
          <w:p w14:paraId="59ABAC4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Km of roads / causeways Constructed by 30 June </w:t>
            </w:r>
          </w:p>
        </w:tc>
        <w:tc>
          <w:tcPr>
            <w:tcW w:w="362" w:type="pct"/>
            <w:hideMark/>
          </w:tcPr>
          <w:p w14:paraId="29FCF57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686094C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5C37FD3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Xkm of Endayini to Kwabonga road / causeway constructed by 30 June</w:t>
            </w:r>
          </w:p>
        </w:tc>
        <w:tc>
          <w:tcPr>
            <w:tcW w:w="362" w:type="pct"/>
            <w:hideMark/>
          </w:tcPr>
          <w:p w14:paraId="6AF9206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725D2D4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7B9F654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2CFDE05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22951BD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369" w:type="pct"/>
            <w:vMerge w:val="restart"/>
            <w:hideMark/>
          </w:tcPr>
          <w:p w14:paraId="4D59C89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249" w:type="pct"/>
            <w:vMerge w:val="restart"/>
            <w:hideMark/>
          </w:tcPr>
          <w:p w14:paraId="08713F9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Infrastructure Grant [Schedule 5B]</w:t>
            </w:r>
          </w:p>
        </w:tc>
        <w:tc>
          <w:tcPr>
            <w:tcW w:w="162" w:type="pct"/>
            <w:vMerge w:val="restart"/>
            <w:hideMark/>
          </w:tcPr>
          <w:p w14:paraId="7BA2666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 13</w:t>
            </w:r>
          </w:p>
        </w:tc>
      </w:tr>
      <w:tr w:rsidR="008A0277" w:rsidRPr="008A0277" w14:paraId="241BBE90" w14:textId="77777777" w:rsidTr="008A0277">
        <w:trPr>
          <w:trHeight w:val="300"/>
        </w:trPr>
        <w:tc>
          <w:tcPr>
            <w:tcW w:w="277" w:type="pct"/>
            <w:vMerge/>
            <w:hideMark/>
          </w:tcPr>
          <w:p w14:paraId="4D44E76B"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676EDC52"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23071793"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62201773"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043087B3"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54D2873D"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2B9B054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75255D2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3572EF5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4 500 000.00</w:t>
            </w:r>
          </w:p>
        </w:tc>
        <w:tc>
          <w:tcPr>
            <w:tcW w:w="362" w:type="pct"/>
            <w:hideMark/>
          </w:tcPr>
          <w:p w14:paraId="1554BE8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6F1E771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180" w:type="pct"/>
            <w:vMerge/>
            <w:hideMark/>
          </w:tcPr>
          <w:p w14:paraId="7ECCA292"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0B85B1CE"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2302DB91"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3FAE1833"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14E34428"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6DBA6E06"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6E14C0E6" w14:textId="77777777" w:rsidTr="008A0277">
        <w:trPr>
          <w:trHeight w:val="1470"/>
        </w:trPr>
        <w:tc>
          <w:tcPr>
            <w:tcW w:w="277" w:type="pct"/>
            <w:vMerge w:val="restart"/>
            <w:hideMark/>
          </w:tcPr>
          <w:p w14:paraId="576A60D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27112F35"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35</w:t>
            </w:r>
          </w:p>
        </w:tc>
        <w:tc>
          <w:tcPr>
            <w:tcW w:w="270" w:type="pct"/>
            <w:vMerge w:val="restart"/>
            <w:hideMark/>
          </w:tcPr>
          <w:p w14:paraId="594CD2B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Basic service delivery</w:t>
            </w:r>
          </w:p>
        </w:tc>
        <w:tc>
          <w:tcPr>
            <w:tcW w:w="268" w:type="pct"/>
            <w:vMerge w:val="restart"/>
            <w:hideMark/>
          </w:tcPr>
          <w:p w14:paraId="733C240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Ensure the provision and maintenance of municipal roads, access roads and causeways</w:t>
            </w:r>
          </w:p>
        </w:tc>
        <w:tc>
          <w:tcPr>
            <w:tcW w:w="362" w:type="pct"/>
            <w:vMerge w:val="restart"/>
            <w:hideMark/>
          </w:tcPr>
          <w:p w14:paraId="653FC65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Construct Xkm's of Kangela (Phase 3) road / causeways as per MIG budget by 30 June</w:t>
            </w:r>
          </w:p>
        </w:tc>
        <w:tc>
          <w:tcPr>
            <w:tcW w:w="362" w:type="pct"/>
            <w:vMerge w:val="restart"/>
            <w:hideMark/>
          </w:tcPr>
          <w:p w14:paraId="5AA8B35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Km of Kangela phase 3 roads / causeways Constructed by 30 June </w:t>
            </w:r>
          </w:p>
        </w:tc>
        <w:tc>
          <w:tcPr>
            <w:tcW w:w="362" w:type="pct"/>
            <w:hideMark/>
          </w:tcPr>
          <w:p w14:paraId="14F4481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7A7DE15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4A3A715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Xkm of Kangela phase 3 road / causeway constructed by 30 June</w:t>
            </w:r>
          </w:p>
        </w:tc>
        <w:tc>
          <w:tcPr>
            <w:tcW w:w="362" w:type="pct"/>
            <w:hideMark/>
          </w:tcPr>
          <w:p w14:paraId="3F19F89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626242E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6EAD321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05669F1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4CF1812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369" w:type="pct"/>
            <w:vMerge w:val="restart"/>
            <w:hideMark/>
          </w:tcPr>
          <w:p w14:paraId="67F3B80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249" w:type="pct"/>
            <w:vMerge w:val="restart"/>
            <w:hideMark/>
          </w:tcPr>
          <w:p w14:paraId="0BE8247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Infrastructure Grant [Schedule 5B]</w:t>
            </w:r>
          </w:p>
        </w:tc>
        <w:tc>
          <w:tcPr>
            <w:tcW w:w="162" w:type="pct"/>
            <w:vMerge w:val="restart"/>
            <w:hideMark/>
          </w:tcPr>
          <w:p w14:paraId="63CA972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 11</w:t>
            </w:r>
          </w:p>
        </w:tc>
      </w:tr>
      <w:tr w:rsidR="008A0277" w:rsidRPr="008A0277" w14:paraId="7FFE05B2" w14:textId="77777777" w:rsidTr="008A0277">
        <w:trPr>
          <w:trHeight w:val="300"/>
        </w:trPr>
        <w:tc>
          <w:tcPr>
            <w:tcW w:w="277" w:type="pct"/>
            <w:vMerge/>
            <w:hideMark/>
          </w:tcPr>
          <w:p w14:paraId="2D3937AF"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0719FF6E"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0B68E40C"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520165F8"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1AB1AB1F"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2CFE7770"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3938DFD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55F071B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0446F97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11 108 900.00</w:t>
            </w:r>
          </w:p>
        </w:tc>
        <w:tc>
          <w:tcPr>
            <w:tcW w:w="362" w:type="pct"/>
            <w:hideMark/>
          </w:tcPr>
          <w:p w14:paraId="31DDBD8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22BC8F5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180" w:type="pct"/>
            <w:vMerge/>
            <w:hideMark/>
          </w:tcPr>
          <w:p w14:paraId="36D44916"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09049F39"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115CF319"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35E6D20F"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73156A54"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179D1367"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13368700" w14:textId="77777777" w:rsidTr="008A0277">
        <w:trPr>
          <w:trHeight w:val="1785"/>
        </w:trPr>
        <w:tc>
          <w:tcPr>
            <w:tcW w:w="277" w:type="pct"/>
            <w:vMerge w:val="restart"/>
            <w:hideMark/>
          </w:tcPr>
          <w:p w14:paraId="4F2D6F1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1D0C38F3"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36</w:t>
            </w:r>
          </w:p>
        </w:tc>
        <w:tc>
          <w:tcPr>
            <w:tcW w:w="270" w:type="pct"/>
            <w:vMerge w:val="restart"/>
            <w:hideMark/>
          </w:tcPr>
          <w:p w14:paraId="78F1897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Basic service delivery</w:t>
            </w:r>
          </w:p>
        </w:tc>
        <w:tc>
          <w:tcPr>
            <w:tcW w:w="268" w:type="pct"/>
            <w:vMerge w:val="restart"/>
            <w:hideMark/>
          </w:tcPr>
          <w:p w14:paraId="65333CC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provide and maintain infrastructure and services to all, with emphasis on rural communities, in a sustainable manner</w:t>
            </w:r>
          </w:p>
        </w:tc>
        <w:tc>
          <w:tcPr>
            <w:tcW w:w="362" w:type="pct"/>
            <w:vMerge w:val="restart"/>
            <w:hideMark/>
          </w:tcPr>
          <w:p w14:paraId="79AF47B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Spend 90%  on Sidewalks &amp; stormwater budget by 30 June</w:t>
            </w:r>
          </w:p>
        </w:tc>
        <w:tc>
          <w:tcPr>
            <w:tcW w:w="362" w:type="pct"/>
            <w:vMerge w:val="restart"/>
            <w:hideMark/>
          </w:tcPr>
          <w:p w14:paraId="545F959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Percentage of budget for speedhumps, sidewalks &amp; stormwater spent by 30 June</w:t>
            </w:r>
          </w:p>
        </w:tc>
        <w:tc>
          <w:tcPr>
            <w:tcW w:w="362" w:type="pct"/>
            <w:hideMark/>
          </w:tcPr>
          <w:p w14:paraId="71F9C43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90% expenditure on speedhumps, sidewalk &amp; stormwater budget spent by 30 June</w:t>
            </w:r>
          </w:p>
        </w:tc>
        <w:tc>
          <w:tcPr>
            <w:tcW w:w="362" w:type="pct"/>
            <w:hideMark/>
          </w:tcPr>
          <w:p w14:paraId="15E8C14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90% expenditure on speedhumps,sidewalk &amp; Stormwater budget spent by 30 June</w:t>
            </w:r>
          </w:p>
        </w:tc>
        <w:tc>
          <w:tcPr>
            <w:tcW w:w="362" w:type="pct"/>
            <w:hideMark/>
          </w:tcPr>
          <w:p w14:paraId="1D4B983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90% expenditure on speedhumps,sidewalk &amp; Stormwater budget spent by 30 June</w:t>
            </w:r>
          </w:p>
        </w:tc>
        <w:tc>
          <w:tcPr>
            <w:tcW w:w="362" w:type="pct"/>
            <w:hideMark/>
          </w:tcPr>
          <w:p w14:paraId="781C0EA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90% expenditure on speedhumps,sidewalk &amp; Stormwater budget spent by 30 June</w:t>
            </w:r>
          </w:p>
        </w:tc>
        <w:tc>
          <w:tcPr>
            <w:tcW w:w="362" w:type="pct"/>
            <w:hideMark/>
          </w:tcPr>
          <w:p w14:paraId="676B539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90% expenditure on speedhumps,sidewalk &amp; Stormwater budget spent by 30 June</w:t>
            </w:r>
          </w:p>
        </w:tc>
        <w:tc>
          <w:tcPr>
            <w:tcW w:w="180" w:type="pct"/>
            <w:vMerge w:val="restart"/>
            <w:hideMark/>
          </w:tcPr>
          <w:p w14:paraId="1B71CA5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776CAF0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1F8321D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369" w:type="pct"/>
            <w:vMerge w:val="restart"/>
            <w:hideMark/>
          </w:tcPr>
          <w:p w14:paraId="04B70D6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249" w:type="pct"/>
            <w:vMerge w:val="restart"/>
            <w:hideMark/>
          </w:tcPr>
          <w:p w14:paraId="7D89F46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Equitable Share</w:t>
            </w:r>
          </w:p>
        </w:tc>
        <w:tc>
          <w:tcPr>
            <w:tcW w:w="162" w:type="pct"/>
            <w:vMerge w:val="restart"/>
            <w:hideMark/>
          </w:tcPr>
          <w:p w14:paraId="3071A79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Wards 11,,12, 18, 19</w:t>
            </w:r>
          </w:p>
        </w:tc>
      </w:tr>
      <w:tr w:rsidR="008A0277" w:rsidRPr="008A0277" w14:paraId="655D7E01" w14:textId="77777777" w:rsidTr="008A0277">
        <w:trPr>
          <w:trHeight w:val="300"/>
        </w:trPr>
        <w:tc>
          <w:tcPr>
            <w:tcW w:w="277" w:type="pct"/>
            <w:vMerge/>
            <w:hideMark/>
          </w:tcPr>
          <w:p w14:paraId="2DE5C140"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62337B35"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6C0A7A9D"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690EDB7C"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7A070706"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7AA56F5B"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37ADF1C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4 230 000.00</w:t>
            </w:r>
          </w:p>
        </w:tc>
        <w:tc>
          <w:tcPr>
            <w:tcW w:w="362" w:type="pct"/>
            <w:hideMark/>
          </w:tcPr>
          <w:p w14:paraId="2720C1D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4 230 000.00</w:t>
            </w:r>
          </w:p>
        </w:tc>
        <w:tc>
          <w:tcPr>
            <w:tcW w:w="362" w:type="pct"/>
            <w:hideMark/>
          </w:tcPr>
          <w:p w14:paraId="2EB96CE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4 230 000.00</w:t>
            </w:r>
          </w:p>
        </w:tc>
        <w:tc>
          <w:tcPr>
            <w:tcW w:w="362" w:type="pct"/>
            <w:hideMark/>
          </w:tcPr>
          <w:p w14:paraId="1A9400A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4 230 000.00</w:t>
            </w:r>
          </w:p>
        </w:tc>
        <w:tc>
          <w:tcPr>
            <w:tcW w:w="362" w:type="pct"/>
            <w:hideMark/>
          </w:tcPr>
          <w:p w14:paraId="3AE9267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4 230 000.00</w:t>
            </w:r>
          </w:p>
        </w:tc>
        <w:tc>
          <w:tcPr>
            <w:tcW w:w="180" w:type="pct"/>
            <w:vMerge/>
            <w:hideMark/>
          </w:tcPr>
          <w:p w14:paraId="1D754E04"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383EBE6E"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5A1C46AB"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09CFFD9E"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0B4154AB"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6459D56C"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1F14610F" w14:textId="77777777" w:rsidTr="008A0277">
        <w:trPr>
          <w:trHeight w:val="2085"/>
        </w:trPr>
        <w:tc>
          <w:tcPr>
            <w:tcW w:w="277" w:type="pct"/>
            <w:vMerge w:val="restart"/>
            <w:hideMark/>
          </w:tcPr>
          <w:p w14:paraId="4EB7CA2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7BD3E3B4"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37</w:t>
            </w:r>
          </w:p>
        </w:tc>
        <w:tc>
          <w:tcPr>
            <w:tcW w:w="270" w:type="pct"/>
            <w:vMerge w:val="restart"/>
            <w:hideMark/>
          </w:tcPr>
          <w:p w14:paraId="0AD37BE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Basic service delivery</w:t>
            </w:r>
          </w:p>
        </w:tc>
        <w:tc>
          <w:tcPr>
            <w:tcW w:w="268" w:type="pct"/>
            <w:vMerge w:val="restart"/>
            <w:hideMark/>
          </w:tcPr>
          <w:p w14:paraId="6E45558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provide and maintain infrastructure and services to all, with emphasis on rural communities, in a sustainable manner</w:t>
            </w:r>
          </w:p>
        </w:tc>
        <w:tc>
          <w:tcPr>
            <w:tcW w:w="362" w:type="pct"/>
            <w:vMerge w:val="restart"/>
            <w:hideMark/>
          </w:tcPr>
          <w:p w14:paraId="74EE617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Implement Pavement Management System (annually) and ensure 90% budget expenditure on Urban roads rehabilitation</w:t>
            </w:r>
          </w:p>
        </w:tc>
        <w:tc>
          <w:tcPr>
            <w:tcW w:w="362" w:type="pct"/>
            <w:vMerge w:val="restart"/>
            <w:hideMark/>
          </w:tcPr>
          <w:p w14:paraId="781D511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of budget spent on  urban road rehabilitation in terms of Pavement Management System (PMS) by 30 June</w:t>
            </w:r>
          </w:p>
        </w:tc>
        <w:tc>
          <w:tcPr>
            <w:tcW w:w="362" w:type="pct"/>
            <w:hideMark/>
          </w:tcPr>
          <w:p w14:paraId="17BDCBB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90% expenditure on urban road rehabilitation budget by 30 June</w:t>
            </w:r>
          </w:p>
        </w:tc>
        <w:tc>
          <w:tcPr>
            <w:tcW w:w="362" w:type="pct"/>
            <w:hideMark/>
          </w:tcPr>
          <w:p w14:paraId="673DAB0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90% expenditure on urban road rehabilitation budget by 30 June</w:t>
            </w:r>
          </w:p>
        </w:tc>
        <w:tc>
          <w:tcPr>
            <w:tcW w:w="362" w:type="pct"/>
            <w:hideMark/>
          </w:tcPr>
          <w:p w14:paraId="43D84E6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90% expenditure on urban road rehabilitation budget by 30 June</w:t>
            </w:r>
          </w:p>
        </w:tc>
        <w:tc>
          <w:tcPr>
            <w:tcW w:w="362" w:type="pct"/>
            <w:hideMark/>
          </w:tcPr>
          <w:p w14:paraId="5C443A6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90% expenditure on urban road rehabilitation budget by 30 June</w:t>
            </w:r>
          </w:p>
        </w:tc>
        <w:tc>
          <w:tcPr>
            <w:tcW w:w="362" w:type="pct"/>
            <w:hideMark/>
          </w:tcPr>
          <w:p w14:paraId="408166B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90% expenditure on urban road rehabilitation budget by 30 June</w:t>
            </w:r>
          </w:p>
        </w:tc>
        <w:tc>
          <w:tcPr>
            <w:tcW w:w="180" w:type="pct"/>
            <w:vMerge w:val="restart"/>
            <w:hideMark/>
          </w:tcPr>
          <w:p w14:paraId="3F4E90D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2km</w:t>
            </w:r>
          </w:p>
        </w:tc>
        <w:tc>
          <w:tcPr>
            <w:tcW w:w="268" w:type="pct"/>
            <w:vMerge w:val="restart"/>
            <w:hideMark/>
          </w:tcPr>
          <w:p w14:paraId="441836F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700182E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 - urban rehab</w:t>
            </w:r>
          </w:p>
        </w:tc>
        <w:tc>
          <w:tcPr>
            <w:tcW w:w="369" w:type="pct"/>
            <w:vMerge w:val="restart"/>
            <w:hideMark/>
          </w:tcPr>
          <w:p w14:paraId="0508150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249" w:type="pct"/>
            <w:vMerge w:val="restart"/>
            <w:hideMark/>
          </w:tcPr>
          <w:p w14:paraId="221BE5C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Cash Backed Reserves</w:t>
            </w:r>
          </w:p>
        </w:tc>
        <w:tc>
          <w:tcPr>
            <w:tcW w:w="162" w:type="pct"/>
            <w:vMerge w:val="restart"/>
            <w:hideMark/>
          </w:tcPr>
          <w:p w14:paraId="234B695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Wards 11,,12, 18, 19</w:t>
            </w:r>
          </w:p>
        </w:tc>
      </w:tr>
      <w:tr w:rsidR="008A0277" w:rsidRPr="008A0277" w14:paraId="1535B386" w14:textId="77777777" w:rsidTr="008A0277">
        <w:trPr>
          <w:trHeight w:val="300"/>
        </w:trPr>
        <w:tc>
          <w:tcPr>
            <w:tcW w:w="277" w:type="pct"/>
            <w:vMerge/>
            <w:hideMark/>
          </w:tcPr>
          <w:p w14:paraId="6BDC2FFF"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792A48A3"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663190EB"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16918361"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6769EB50"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65755C6A"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62672E1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7 000 000.00</w:t>
            </w:r>
          </w:p>
        </w:tc>
        <w:tc>
          <w:tcPr>
            <w:tcW w:w="362" w:type="pct"/>
            <w:hideMark/>
          </w:tcPr>
          <w:p w14:paraId="2B61060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5 400 000,00</w:t>
            </w:r>
          </w:p>
        </w:tc>
        <w:tc>
          <w:tcPr>
            <w:tcW w:w="362" w:type="pct"/>
            <w:hideMark/>
          </w:tcPr>
          <w:p w14:paraId="4431C95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5 400 000,00</w:t>
            </w:r>
          </w:p>
        </w:tc>
        <w:tc>
          <w:tcPr>
            <w:tcW w:w="362" w:type="pct"/>
            <w:hideMark/>
          </w:tcPr>
          <w:p w14:paraId="4505ACF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5 400 000,00</w:t>
            </w:r>
          </w:p>
        </w:tc>
        <w:tc>
          <w:tcPr>
            <w:tcW w:w="362" w:type="pct"/>
            <w:hideMark/>
          </w:tcPr>
          <w:p w14:paraId="05C8D5C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5 400 000,00</w:t>
            </w:r>
          </w:p>
        </w:tc>
        <w:tc>
          <w:tcPr>
            <w:tcW w:w="180" w:type="pct"/>
            <w:vMerge/>
            <w:hideMark/>
          </w:tcPr>
          <w:p w14:paraId="04BDCB33"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002914D6"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4310F6C9"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7CD85AD4"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13216F21"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04B0FF10"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6011996F" w14:textId="77777777" w:rsidTr="008A0277">
        <w:trPr>
          <w:trHeight w:val="1418"/>
        </w:trPr>
        <w:tc>
          <w:tcPr>
            <w:tcW w:w="277" w:type="pct"/>
            <w:vMerge w:val="restart"/>
            <w:hideMark/>
          </w:tcPr>
          <w:p w14:paraId="4834E3B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300F9FC5"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38</w:t>
            </w:r>
          </w:p>
        </w:tc>
        <w:tc>
          <w:tcPr>
            <w:tcW w:w="270" w:type="pct"/>
            <w:vMerge w:val="restart"/>
            <w:hideMark/>
          </w:tcPr>
          <w:p w14:paraId="6271115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Basic service delivery</w:t>
            </w:r>
          </w:p>
        </w:tc>
        <w:tc>
          <w:tcPr>
            <w:tcW w:w="268" w:type="pct"/>
            <w:vMerge w:val="restart"/>
            <w:hideMark/>
          </w:tcPr>
          <w:p w14:paraId="26B25EF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Ensure the provision and maintenance of municipal roads, access roads and causeways</w:t>
            </w:r>
          </w:p>
        </w:tc>
        <w:tc>
          <w:tcPr>
            <w:tcW w:w="362" w:type="pct"/>
            <w:vMerge w:val="restart"/>
            <w:hideMark/>
          </w:tcPr>
          <w:p w14:paraId="23F1097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Construct X km's of Yimba pedestrian causeway as per MIG budget by 30 June</w:t>
            </w:r>
          </w:p>
        </w:tc>
        <w:tc>
          <w:tcPr>
            <w:tcW w:w="362" w:type="pct"/>
            <w:vMerge w:val="restart"/>
            <w:hideMark/>
          </w:tcPr>
          <w:p w14:paraId="7104B96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Km of Yimba pedestrian causeway Constructed by 30 June </w:t>
            </w:r>
          </w:p>
        </w:tc>
        <w:tc>
          <w:tcPr>
            <w:tcW w:w="362" w:type="pct"/>
            <w:hideMark/>
          </w:tcPr>
          <w:p w14:paraId="5D496D7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64F998B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Xkm of Yimba causeway constructed by 30 June</w:t>
            </w:r>
          </w:p>
        </w:tc>
        <w:tc>
          <w:tcPr>
            <w:tcW w:w="362" w:type="pct"/>
            <w:hideMark/>
          </w:tcPr>
          <w:p w14:paraId="5663A10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47267F5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2AF0CE2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73209C6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451E1D0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2F4B585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369" w:type="pct"/>
            <w:vMerge w:val="restart"/>
            <w:hideMark/>
          </w:tcPr>
          <w:p w14:paraId="788935E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249" w:type="pct"/>
            <w:vMerge w:val="restart"/>
            <w:hideMark/>
          </w:tcPr>
          <w:p w14:paraId="42E4F9F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Infrastructure Grant [Schedule 5B]</w:t>
            </w:r>
          </w:p>
        </w:tc>
        <w:tc>
          <w:tcPr>
            <w:tcW w:w="162" w:type="pct"/>
            <w:vMerge w:val="restart"/>
            <w:hideMark/>
          </w:tcPr>
          <w:p w14:paraId="6557457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 19</w:t>
            </w:r>
          </w:p>
        </w:tc>
      </w:tr>
      <w:tr w:rsidR="008A0277" w:rsidRPr="008A0277" w14:paraId="1A30F079" w14:textId="77777777" w:rsidTr="008A0277">
        <w:trPr>
          <w:trHeight w:val="300"/>
        </w:trPr>
        <w:tc>
          <w:tcPr>
            <w:tcW w:w="277" w:type="pct"/>
            <w:vMerge/>
            <w:hideMark/>
          </w:tcPr>
          <w:p w14:paraId="1E382D0A"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6C2499D1"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532DE82D"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2330ECED"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26FE0D20"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7B4A53F9"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6D845F0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0A3DAAC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1 300 000,00</w:t>
            </w:r>
          </w:p>
        </w:tc>
        <w:tc>
          <w:tcPr>
            <w:tcW w:w="362" w:type="pct"/>
            <w:hideMark/>
          </w:tcPr>
          <w:p w14:paraId="7ACCEF5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23073AD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676940B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180" w:type="pct"/>
            <w:vMerge/>
            <w:hideMark/>
          </w:tcPr>
          <w:p w14:paraId="4BE49AED"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1C1845E6"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6A3E4D30"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732412F6"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49F8501E"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56266657"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1CE086A7" w14:textId="77777777" w:rsidTr="008A0277">
        <w:trPr>
          <w:trHeight w:val="1320"/>
        </w:trPr>
        <w:tc>
          <w:tcPr>
            <w:tcW w:w="277" w:type="pct"/>
            <w:vMerge w:val="restart"/>
            <w:hideMark/>
          </w:tcPr>
          <w:p w14:paraId="628615C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4CFDE8CD"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39</w:t>
            </w:r>
          </w:p>
        </w:tc>
        <w:tc>
          <w:tcPr>
            <w:tcW w:w="270" w:type="pct"/>
            <w:vMerge w:val="restart"/>
            <w:hideMark/>
          </w:tcPr>
          <w:p w14:paraId="43D8F03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Basic service delivery</w:t>
            </w:r>
          </w:p>
        </w:tc>
        <w:tc>
          <w:tcPr>
            <w:tcW w:w="268" w:type="pct"/>
            <w:vMerge w:val="restart"/>
            <w:hideMark/>
          </w:tcPr>
          <w:p w14:paraId="74835AF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Ensure the provision and maintenance of municipal roads, access roads and causeways</w:t>
            </w:r>
          </w:p>
        </w:tc>
        <w:tc>
          <w:tcPr>
            <w:tcW w:w="362" w:type="pct"/>
            <w:vMerge w:val="restart"/>
            <w:hideMark/>
          </w:tcPr>
          <w:p w14:paraId="6E45CDC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Ensure the upgrade of Sunnydale Intersection by 31 March</w:t>
            </w:r>
          </w:p>
        </w:tc>
        <w:tc>
          <w:tcPr>
            <w:tcW w:w="362" w:type="pct"/>
            <w:vMerge w:val="restart"/>
            <w:hideMark/>
          </w:tcPr>
          <w:p w14:paraId="06F37A7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Date of completion of upgrade of Sunnydale intersection</w:t>
            </w:r>
          </w:p>
        </w:tc>
        <w:tc>
          <w:tcPr>
            <w:tcW w:w="362" w:type="pct"/>
            <w:hideMark/>
          </w:tcPr>
          <w:p w14:paraId="45AD41B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The upgrade of Sunnydale intersection completed by 31 March</w:t>
            </w:r>
          </w:p>
        </w:tc>
        <w:tc>
          <w:tcPr>
            <w:tcW w:w="362" w:type="pct"/>
            <w:hideMark/>
          </w:tcPr>
          <w:p w14:paraId="22BE6B8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7E2F414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75E72B1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406CC82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28466B7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30946C2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4906AE9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369" w:type="pct"/>
            <w:vMerge w:val="restart"/>
            <w:hideMark/>
          </w:tcPr>
          <w:p w14:paraId="2064080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249" w:type="pct"/>
            <w:vMerge w:val="restart"/>
            <w:hideMark/>
          </w:tcPr>
          <w:p w14:paraId="3894F17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Infrastructure Grant [Schedule 5B]</w:t>
            </w:r>
          </w:p>
        </w:tc>
        <w:tc>
          <w:tcPr>
            <w:tcW w:w="162" w:type="pct"/>
            <w:vMerge w:val="restart"/>
            <w:hideMark/>
          </w:tcPr>
          <w:p w14:paraId="44FF9AC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 11</w:t>
            </w:r>
          </w:p>
        </w:tc>
      </w:tr>
      <w:tr w:rsidR="008A0277" w:rsidRPr="008A0277" w14:paraId="41D6AC0D" w14:textId="77777777" w:rsidTr="008A0277">
        <w:trPr>
          <w:trHeight w:val="300"/>
        </w:trPr>
        <w:tc>
          <w:tcPr>
            <w:tcW w:w="277" w:type="pct"/>
            <w:vMerge/>
            <w:hideMark/>
          </w:tcPr>
          <w:p w14:paraId="6C9A7268"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7C23F364"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0A3D4E06"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6CE6F80C"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73C6C337"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2B3C13B0"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3ACC006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3F387BD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400 000,00</w:t>
            </w:r>
          </w:p>
        </w:tc>
        <w:tc>
          <w:tcPr>
            <w:tcW w:w="362" w:type="pct"/>
            <w:hideMark/>
          </w:tcPr>
          <w:p w14:paraId="74F3835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3D02FFE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371FB2C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180" w:type="pct"/>
            <w:vMerge/>
            <w:hideMark/>
          </w:tcPr>
          <w:p w14:paraId="561989A7"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2CC2A8F5"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42D877F3"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057E80EB"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61247077"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4DFB6ECE"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60CAB833" w14:textId="77777777" w:rsidTr="008A0277">
        <w:trPr>
          <w:trHeight w:val="1339"/>
        </w:trPr>
        <w:tc>
          <w:tcPr>
            <w:tcW w:w="277" w:type="pct"/>
            <w:vMerge w:val="restart"/>
            <w:hideMark/>
          </w:tcPr>
          <w:p w14:paraId="6393590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26CBF189"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40</w:t>
            </w:r>
          </w:p>
        </w:tc>
        <w:tc>
          <w:tcPr>
            <w:tcW w:w="270" w:type="pct"/>
            <w:vMerge w:val="restart"/>
            <w:hideMark/>
          </w:tcPr>
          <w:p w14:paraId="78FDD5E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Basic service delivery</w:t>
            </w:r>
          </w:p>
        </w:tc>
        <w:tc>
          <w:tcPr>
            <w:tcW w:w="268" w:type="pct"/>
            <w:vMerge w:val="restart"/>
            <w:hideMark/>
          </w:tcPr>
          <w:p w14:paraId="3D03130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Ensure the provision and maintenance of municipal roads, access roads and causeways</w:t>
            </w:r>
          </w:p>
        </w:tc>
        <w:tc>
          <w:tcPr>
            <w:tcW w:w="362" w:type="pct"/>
            <w:vMerge w:val="restart"/>
            <w:hideMark/>
          </w:tcPr>
          <w:p w14:paraId="39FD917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Construct X km's of Osborne road as per MIG budget by 30 June</w:t>
            </w:r>
          </w:p>
        </w:tc>
        <w:tc>
          <w:tcPr>
            <w:tcW w:w="362" w:type="pct"/>
            <w:vMerge w:val="restart"/>
            <w:hideMark/>
          </w:tcPr>
          <w:p w14:paraId="4FC161B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Km of Osborne road Constructed by 30 June </w:t>
            </w:r>
          </w:p>
        </w:tc>
        <w:tc>
          <w:tcPr>
            <w:tcW w:w="362" w:type="pct"/>
            <w:hideMark/>
          </w:tcPr>
          <w:p w14:paraId="48CF404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51E22C4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Xkm of Osborne road constructed by 30 June</w:t>
            </w:r>
          </w:p>
        </w:tc>
        <w:tc>
          <w:tcPr>
            <w:tcW w:w="362" w:type="pct"/>
            <w:hideMark/>
          </w:tcPr>
          <w:p w14:paraId="6CCA628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2B31FB9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378D3B6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402CA1B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0B44549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576D719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369" w:type="pct"/>
            <w:vMerge w:val="restart"/>
            <w:hideMark/>
          </w:tcPr>
          <w:p w14:paraId="1CAC17D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249" w:type="pct"/>
            <w:vMerge w:val="restart"/>
            <w:hideMark/>
          </w:tcPr>
          <w:p w14:paraId="111C108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Infrastructure Grant [Schedule 5B]</w:t>
            </w:r>
          </w:p>
        </w:tc>
        <w:tc>
          <w:tcPr>
            <w:tcW w:w="162" w:type="pct"/>
            <w:vMerge w:val="restart"/>
            <w:hideMark/>
          </w:tcPr>
          <w:p w14:paraId="7CB2574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 11</w:t>
            </w:r>
          </w:p>
        </w:tc>
      </w:tr>
      <w:tr w:rsidR="008A0277" w:rsidRPr="008A0277" w14:paraId="4A84DD2D" w14:textId="77777777" w:rsidTr="008A0277">
        <w:trPr>
          <w:trHeight w:val="300"/>
        </w:trPr>
        <w:tc>
          <w:tcPr>
            <w:tcW w:w="277" w:type="pct"/>
            <w:vMerge/>
            <w:hideMark/>
          </w:tcPr>
          <w:p w14:paraId="5C0956F7"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6D5A24C9"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364211CE"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1FB1DD23"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057D3E44"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30CA732C"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61B128D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647983D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15 000 000.00</w:t>
            </w:r>
          </w:p>
        </w:tc>
        <w:tc>
          <w:tcPr>
            <w:tcW w:w="362" w:type="pct"/>
            <w:hideMark/>
          </w:tcPr>
          <w:p w14:paraId="24C4D6D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2E72748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77ED665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180" w:type="pct"/>
            <w:vMerge/>
            <w:hideMark/>
          </w:tcPr>
          <w:p w14:paraId="697CD945"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75A82406"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4E7AF2F7"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5DC7C013"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53208AA5"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2273AB71"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526FC59E" w14:textId="77777777" w:rsidTr="008A0277">
        <w:trPr>
          <w:trHeight w:val="1410"/>
        </w:trPr>
        <w:tc>
          <w:tcPr>
            <w:tcW w:w="277" w:type="pct"/>
            <w:vMerge w:val="restart"/>
            <w:hideMark/>
          </w:tcPr>
          <w:p w14:paraId="6625D9F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5528CC86"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41</w:t>
            </w:r>
          </w:p>
        </w:tc>
        <w:tc>
          <w:tcPr>
            <w:tcW w:w="270" w:type="pct"/>
            <w:vMerge w:val="restart"/>
            <w:hideMark/>
          </w:tcPr>
          <w:p w14:paraId="193B160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Basic service delivery</w:t>
            </w:r>
          </w:p>
        </w:tc>
        <w:tc>
          <w:tcPr>
            <w:tcW w:w="268" w:type="pct"/>
            <w:vMerge w:val="restart"/>
            <w:hideMark/>
          </w:tcPr>
          <w:p w14:paraId="0ACA0E1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Ensure the provision and maintenance of municipal roads, access roads and causeways</w:t>
            </w:r>
          </w:p>
        </w:tc>
        <w:tc>
          <w:tcPr>
            <w:tcW w:w="362" w:type="pct"/>
            <w:vMerge w:val="restart"/>
            <w:hideMark/>
          </w:tcPr>
          <w:p w14:paraId="048AB37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Construct X km's of Emahhushini road / causeways as per MIG budget by 30 June</w:t>
            </w:r>
          </w:p>
        </w:tc>
        <w:tc>
          <w:tcPr>
            <w:tcW w:w="362" w:type="pct"/>
            <w:vMerge w:val="restart"/>
            <w:hideMark/>
          </w:tcPr>
          <w:p w14:paraId="5813976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Km of Emahhushini roads / causeways Constructed by 30 June </w:t>
            </w:r>
          </w:p>
        </w:tc>
        <w:tc>
          <w:tcPr>
            <w:tcW w:w="362" w:type="pct"/>
            <w:hideMark/>
          </w:tcPr>
          <w:p w14:paraId="02A4F71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Xkm of Emahhushini road / causeway constructed by 30 June</w:t>
            </w:r>
          </w:p>
        </w:tc>
        <w:tc>
          <w:tcPr>
            <w:tcW w:w="362" w:type="pct"/>
            <w:hideMark/>
          </w:tcPr>
          <w:p w14:paraId="0DA89DB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18B7B70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5AF5327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0B9E4F3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53526D4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1C36939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74C898B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369" w:type="pct"/>
            <w:vMerge w:val="restart"/>
            <w:hideMark/>
          </w:tcPr>
          <w:p w14:paraId="4E97794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249" w:type="pct"/>
            <w:vMerge w:val="restart"/>
            <w:hideMark/>
          </w:tcPr>
          <w:p w14:paraId="24154A2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Infrastructure Grant [Schedule 5B]</w:t>
            </w:r>
          </w:p>
        </w:tc>
        <w:tc>
          <w:tcPr>
            <w:tcW w:w="162" w:type="pct"/>
            <w:vMerge w:val="restart"/>
            <w:hideMark/>
          </w:tcPr>
          <w:p w14:paraId="5FC98E9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 7</w:t>
            </w:r>
          </w:p>
        </w:tc>
      </w:tr>
      <w:tr w:rsidR="008A0277" w:rsidRPr="008A0277" w14:paraId="08755B83" w14:textId="77777777" w:rsidTr="008A0277">
        <w:trPr>
          <w:trHeight w:val="300"/>
        </w:trPr>
        <w:tc>
          <w:tcPr>
            <w:tcW w:w="277" w:type="pct"/>
            <w:vMerge/>
            <w:hideMark/>
          </w:tcPr>
          <w:p w14:paraId="24FD0FEC"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1B589C31"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316CB3E8"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323E9649"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2618418B"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0B972EDE"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41EDA50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4 543 910.00</w:t>
            </w:r>
          </w:p>
        </w:tc>
        <w:tc>
          <w:tcPr>
            <w:tcW w:w="362" w:type="pct"/>
            <w:hideMark/>
          </w:tcPr>
          <w:p w14:paraId="54E202F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7D97D73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4528B9B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46688B4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180" w:type="pct"/>
            <w:vMerge/>
            <w:hideMark/>
          </w:tcPr>
          <w:p w14:paraId="33B2E8D2"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719AA092"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540EEA8A"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5B488061"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0771F7B0"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3A37C460"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3D829D28" w14:textId="77777777" w:rsidTr="008A0277">
        <w:trPr>
          <w:trHeight w:val="1425"/>
        </w:trPr>
        <w:tc>
          <w:tcPr>
            <w:tcW w:w="277" w:type="pct"/>
            <w:vMerge w:val="restart"/>
            <w:hideMark/>
          </w:tcPr>
          <w:p w14:paraId="194472C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71F3187F"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42</w:t>
            </w:r>
          </w:p>
        </w:tc>
        <w:tc>
          <w:tcPr>
            <w:tcW w:w="270" w:type="pct"/>
            <w:vMerge w:val="restart"/>
            <w:hideMark/>
          </w:tcPr>
          <w:p w14:paraId="15FFBDC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Basic service delivery</w:t>
            </w:r>
          </w:p>
        </w:tc>
        <w:tc>
          <w:tcPr>
            <w:tcW w:w="268" w:type="pct"/>
            <w:vMerge w:val="restart"/>
            <w:hideMark/>
          </w:tcPr>
          <w:p w14:paraId="0F20DFC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Ensure the provision and maintenance of municipal roads, access roads and causeways</w:t>
            </w:r>
          </w:p>
        </w:tc>
        <w:tc>
          <w:tcPr>
            <w:tcW w:w="362" w:type="pct"/>
            <w:vMerge w:val="restart"/>
            <w:hideMark/>
          </w:tcPr>
          <w:p w14:paraId="7B349BC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Construct X km's of Kwagalagala road / causeways as per MIG budget by 30 June</w:t>
            </w:r>
          </w:p>
        </w:tc>
        <w:tc>
          <w:tcPr>
            <w:tcW w:w="362" w:type="pct"/>
            <w:vMerge w:val="restart"/>
            <w:hideMark/>
          </w:tcPr>
          <w:p w14:paraId="2C48B84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Km of Kwagalagala roads / causeways Constructed by 30 June </w:t>
            </w:r>
          </w:p>
        </w:tc>
        <w:tc>
          <w:tcPr>
            <w:tcW w:w="362" w:type="pct"/>
            <w:hideMark/>
          </w:tcPr>
          <w:p w14:paraId="7CD30C7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Xkm of Kwagalagala road / causeway constructed by 30 June</w:t>
            </w:r>
          </w:p>
        </w:tc>
        <w:tc>
          <w:tcPr>
            <w:tcW w:w="362" w:type="pct"/>
            <w:hideMark/>
          </w:tcPr>
          <w:p w14:paraId="4791BDF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3D31A87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3517A64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6751F61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4E5A881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02242CA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40D2E3E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369" w:type="pct"/>
            <w:vMerge w:val="restart"/>
            <w:hideMark/>
          </w:tcPr>
          <w:p w14:paraId="757D125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249" w:type="pct"/>
            <w:vMerge w:val="restart"/>
            <w:hideMark/>
          </w:tcPr>
          <w:p w14:paraId="5A34ADA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Infrastructure Grant [Schedule 5B]</w:t>
            </w:r>
          </w:p>
        </w:tc>
        <w:tc>
          <w:tcPr>
            <w:tcW w:w="162" w:type="pct"/>
            <w:vMerge w:val="restart"/>
            <w:hideMark/>
          </w:tcPr>
          <w:p w14:paraId="31F5CB3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 13</w:t>
            </w:r>
          </w:p>
        </w:tc>
      </w:tr>
      <w:tr w:rsidR="008A0277" w:rsidRPr="008A0277" w14:paraId="14A760F9" w14:textId="77777777" w:rsidTr="008A0277">
        <w:trPr>
          <w:trHeight w:val="300"/>
        </w:trPr>
        <w:tc>
          <w:tcPr>
            <w:tcW w:w="277" w:type="pct"/>
            <w:vMerge/>
            <w:hideMark/>
          </w:tcPr>
          <w:p w14:paraId="56D3D1A2"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171E2658"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7AB1C66C"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11160FE1"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166BDAEC"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42BA3B58"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7D836DD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2 501 620.00</w:t>
            </w:r>
          </w:p>
        </w:tc>
        <w:tc>
          <w:tcPr>
            <w:tcW w:w="362" w:type="pct"/>
            <w:hideMark/>
          </w:tcPr>
          <w:p w14:paraId="361AC1C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3B87D65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6537920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1FEA64D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180" w:type="pct"/>
            <w:vMerge/>
            <w:hideMark/>
          </w:tcPr>
          <w:p w14:paraId="7E2AA84C"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45876DE9"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779058AF"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77A737FE"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651C0661"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7F2DA1DC"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2B74E996" w14:textId="77777777" w:rsidTr="008A0277">
        <w:trPr>
          <w:trHeight w:val="1440"/>
        </w:trPr>
        <w:tc>
          <w:tcPr>
            <w:tcW w:w="277" w:type="pct"/>
            <w:vMerge w:val="restart"/>
            <w:hideMark/>
          </w:tcPr>
          <w:p w14:paraId="743FE13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51B09E27"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43</w:t>
            </w:r>
          </w:p>
        </w:tc>
        <w:tc>
          <w:tcPr>
            <w:tcW w:w="270" w:type="pct"/>
            <w:vMerge w:val="restart"/>
            <w:hideMark/>
          </w:tcPr>
          <w:p w14:paraId="7FB0129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Basic service delivery</w:t>
            </w:r>
          </w:p>
        </w:tc>
        <w:tc>
          <w:tcPr>
            <w:tcW w:w="268" w:type="pct"/>
            <w:vMerge w:val="restart"/>
            <w:hideMark/>
          </w:tcPr>
          <w:p w14:paraId="20C6DFB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Ensure the provision and maintenance of municipal roads, access roads and causeways</w:t>
            </w:r>
          </w:p>
        </w:tc>
        <w:tc>
          <w:tcPr>
            <w:tcW w:w="362" w:type="pct"/>
            <w:vMerge w:val="restart"/>
            <w:hideMark/>
          </w:tcPr>
          <w:p w14:paraId="0881187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Construct X km's of Mtipela/ Ntabankulu road / causeways as per MIG budget by 30 June</w:t>
            </w:r>
          </w:p>
        </w:tc>
        <w:tc>
          <w:tcPr>
            <w:tcW w:w="362" w:type="pct"/>
            <w:vMerge w:val="restart"/>
            <w:hideMark/>
          </w:tcPr>
          <w:p w14:paraId="5B9474C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Km of Mtipela/ Ntabankulu roads / causeways Constructed by 30 June </w:t>
            </w:r>
          </w:p>
        </w:tc>
        <w:tc>
          <w:tcPr>
            <w:tcW w:w="362" w:type="pct"/>
            <w:hideMark/>
          </w:tcPr>
          <w:p w14:paraId="6950F78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623575F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Xkm of Mtipela/ Ntabankulu road / causeway constructed by 30 June</w:t>
            </w:r>
          </w:p>
        </w:tc>
        <w:tc>
          <w:tcPr>
            <w:tcW w:w="362" w:type="pct"/>
            <w:hideMark/>
          </w:tcPr>
          <w:p w14:paraId="37FCA40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Xkm of Mtipela/ Ntabankulu road / causeway constructed by 30 June</w:t>
            </w:r>
          </w:p>
        </w:tc>
        <w:tc>
          <w:tcPr>
            <w:tcW w:w="362" w:type="pct"/>
            <w:hideMark/>
          </w:tcPr>
          <w:p w14:paraId="722EA6E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02C66C8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113F155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3C22ACA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19478CA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369" w:type="pct"/>
            <w:vMerge w:val="restart"/>
            <w:hideMark/>
          </w:tcPr>
          <w:p w14:paraId="68EB4BF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249" w:type="pct"/>
            <w:vMerge w:val="restart"/>
            <w:hideMark/>
          </w:tcPr>
          <w:p w14:paraId="25CE1B2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Infrastructure Grant [Schedule 5B]</w:t>
            </w:r>
          </w:p>
        </w:tc>
        <w:tc>
          <w:tcPr>
            <w:tcW w:w="162" w:type="pct"/>
            <w:vMerge w:val="restart"/>
            <w:hideMark/>
          </w:tcPr>
          <w:p w14:paraId="6EF4412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 3</w:t>
            </w:r>
          </w:p>
        </w:tc>
      </w:tr>
      <w:tr w:rsidR="008A0277" w:rsidRPr="008A0277" w14:paraId="05C2B3C9" w14:textId="77777777" w:rsidTr="008A0277">
        <w:trPr>
          <w:trHeight w:val="300"/>
        </w:trPr>
        <w:tc>
          <w:tcPr>
            <w:tcW w:w="277" w:type="pct"/>
            <w:vMerge/>
            <w:hideMark/>
          </w:tcPr>
          <w:p w14:paraId="3F31E6C0"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786E239F"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34597CBB"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6812D00C"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34C44C74"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69B5CDCA"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7EA49B7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0BEC2ED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8 000 000.00</w:t>
            </w:r>
          </w:p>
        </w:tc>
        <w:tc>
          <w:tcPr>
            <w:tcW w:w="362" w:type="pct"/>
            <w:hideMark/>
          </w:tcPr>
          <w:p w14:paraId="7ECCEFF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5 500 000.00</w:t>
            </w:r>
          </w:p>
        </w:tc>
        <w:tc>
          <w:tcPr>
            <w:tcW w:w="362" w:type="pct"/>
            <w:hideMark/>
          </w:tcPr>
          <w:p w14:paraId="1720154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44DE1AF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180" w:type="pct"/>
            <w:vMerge/>
            <w:hideMark/>
          </w:tcPr>
          <w:p w14:paraId="17BE4AF5"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7A4E53D2"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29F28FAF"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597EF1BB"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760C85DF"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5978AE47"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70F5D959" w14:textId="77777777" w:rsidTr="008A0277">
        <w:trPr>
          <w:trHeight w:val="1455"/>
        </w:trPr>
        <w:tc>
          <w:tcPr>
            <w:tcW w:w="277" w:type="pct"/>
            <w:vMerge w:val="restart"/>
            <w:hideMark/>
          </w:tcPr>
          <w:p w14:paraId="1977DF4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26BD04DA"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44</w:t>
            </w:r>
          </w:p>
        </w:tc>
        <w:tc>
          <w:tcPr>
            <w:tcW w:w="270" w:type="pct"/>
            <w:vMerge w:val="restart"/>
            <w:hideMark/>
          </w:tcPr>
          <w:p w14:paraId="3C6FEE2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Basic service delivery</w:t>
            </w:r>
          </w:p>
        </w:tc>
        <w:tc>
          <w:tcPr>
            <w:tcW w:w="268" w:type="pct"/>
            <w:vMerge w:val="restart"/>
            <w:hideMark/>
          </w:tcPr>
          <w:p w14:paraId="2D10D2B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Ensure the provision and maintenance of municipal roads, access roads and causeways</w:t>
            </w:r>
          </w:p>
        </w:tc>
        <w:tc>
          <w:tcPr>
            <w:tcW w:w="362" w:type="pct"/>
            <w:vMerge w:val="restart"/>
            <w:hideMark/>
          </w:tcPr>
          <w:p w14:paraId="796FBFC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Construct X km's of Mthintombi road / causeways as per MIG budget by 30 June</w:t>
            </w:r>
          </w:p>
        </w:tc>
        <w:tc>
          <w:tcPr>
            <w:tcW w:w="362" w:type="pct"/>
            <w:vMerge w:val="restart"/>
            <w:hideMark/>
          </w:tcPr>
          <w:p w14:paraId="4F1DB36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Km of Mthintombi roads / causeways Constructed by 30 June </w:t>
            </w:r>
          </w:p>
        </w:tc>
        <w:tc>
          <w:tcPr>
            <w:tcW w:w="362" w:type="pct"/>
            <w:hideMark/>
          </w:tcPr>
          <w:p w14:paraId="4177419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Xkm of Mthintombi road / causeway constructed by 30 June</w:t>
            </w:r>
          </w:p>
        </w:tc>
        <w:tc>
          <w:tcPr>
            <w:tcW w:w="362" w:type="pct"/>
            <w:hideMark/>
          </w:tcPr>
          <w:p w14:paraId="171D18C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524C3D9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51E4C07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4FB9A9C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20B2B80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034B50C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7B674A9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369" w:type="pct"/>
            <w:vMerge w:val="restart"/>
            <w:hideMark/>
          </w:tcPr>
          <w:p w14:paraId="44A4A02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249" w:type="pct"/>
            <w:vMerge w:val="restart"/>
            <w:hideMark/>
          </w:tcPr>
          <w:p w14:paraId="7AA1C6B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Infrastructure Grant [Schedule 5B]</w:t>
            </w:r>
          </w:p>
        </w:tc>
        <w:tc>
          <w:tcPr>
            <w:tcW w:w="162" w:type="pct"/>
            <w:vMerge w:val="restart"/>
            <w:hideMark/>
          </w:tcPr>
          <w:p w14:paraId="2B51820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 22</w:t>
            </w:r>
          </w:p>
        </w:tc>
      </w:tr>
      <w:tr w:rsidR="008A0277" w:rsidRPr="008A0277" w14:paraId="19AEACFF" w14:textId="77777777" w:rsidTr="008A0277">
        <w:trPr>
          <w:trHeight w:val="300"/>
        </w:trPr>
        <w:tc>
          <w:tcPr>
            <w:tcW w:w="277" w:type="pct"/>
            <w:vMerge/>
            <w:hideMark/>
          </w:tcPr>
          <w:p w14:paraId="22A01BE0"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735A339E"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667B2D08"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1E7B76D5"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018A8494"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3A0CC1E9"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1677DE9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4 500 000,00</w:t>
            </w:r>
          </w:p>
        </w:tc>
        <w:tc>
          <w:tcPr>
            <w:tcW w:w="362" w:type="pct"/>
            <w:hideMark/>
          </w:tcPr>
          <w:p w14:paraId="0FA2143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57EECDB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7F56946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3787689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180" w:type="pct"/>
            <w:vMerge/>
            <w:hideMark/>
          </w:tcPr>
          <w:p w14:paraId="60C34AFB"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3F2063E3"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58A4DA19"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474FDABB"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5D87161E"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2268631A"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5ED99866" w14:textId="77777777" w:rsidTr="008A0277">
        <w:trPr>
          <w:trHeight w:val="1470"/>
        </w:trPr>
        <w:tc>
          <w:tcPr>
            <w:tcW w:w="277" w:type="pct"/>
            <w:vMerge w:val="restart"/>
            <w:hideMark/>
          </w:tcPr>
          <w:p w14:paraId="5D2F703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7FF146BF"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45</w:t>
            </w:r>
          </w:p>
        </w:tc>
        <w:tc>
          <w:tcPr>
            <w:tcW w:w="270" w:type="pct"/>
            <w:vMerge w:val="restart"/>
            <w:hideMark/>
          </w:tcPr>
          <w:p w14:paraId="6633F9E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Basic service delivery</w:t>
            </w:r>
          </w:p>
        </w:tc>
        <w:tc>
          <w:tcPr>
            <w:tcW w:w="268" w:type="pct"/>
            <w:vMerge w:val="restart"/>
            <w:hideMark/>
          </w:tcPr>
          <w:p w14:paraId="73062D8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Ensure the provision and maintenance of municipal roads, access roads and causeways</w:t>
            </w:r>
          </w:p>
        </w:tc>
        <w:tc>
          <w:tcPr>
            <w:tcW w:w="362" w:type="pct"/>
            <w:vMerge w:val="restart"/>
            <w:hideMark/>
          </w:tcPr>
          <w:p w14:paraId="4F0DEA3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Construct X km's of Ethafeni road / causeways as per MIG budget by 30 June</w:t>
            </w:r>
          </w:p>
        </w:tc>
        <w:tc>
          <w:tcPr>
            <w:tcW w:w="362" w:type="pct"/>
            <w:vMerge w:val="restart"/>
            <w:hideMark/>
          </w:tcPr>
          <w:p w14:paraId="63DE125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Km of Ethafeni roads / causeways Constructed by 30 June </w:t>
            </w:r>
          </w:p>
        </w:tc>
        <w:tc>
          <w:tcPr>
            <w:tcW w:w="362" w:type="pct"/>
            <w:hideMark/>
          </w:tcPr>
          <w:p w14:paraId="5973A5A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44A7852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Xkm of Ethafeni road / causeway constructed by 30 June</w:t>
            </w:r>
          </w:p>
        </w:tc>
        <w:tc>
          <w:tcPr>
            <w:tcW w:w="362" w:type="pct"/>
            <w:hideMark/>
          </w:tcPr>
          <w:p w14:paraId="69AD43C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370DEBC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2C1A296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02B20EB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03EA1C0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4741105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369" w:type="pct"/>
            <w:vMerge w:val="restart"/>
            <w:hideMark/>
          </w:tcPr>
          <w:p w14:paraId="261C5FA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249" w:type="pct"/>
            <w:vMerge w:val="restart"/>
            <w:hideMark/>
          </w:tcPr>
          <w:p w14:paraId="298EE2A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Infrastructure Grant [Schedule 5B]</w:t>
            </w:r>
          </w:p>
        </w:tc>
        <w:tc>
          <w:tcPr>
            <w:tcW w:w="162" w:type="pct"/>
            <w:vMerge w:val="restart"/>
            <w:hideMark/>
          </w:tcPr>
          <w:p w14:paraId="699A486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 18</w:t>
            </w:r>
          </w:p>
        </w:tc>
      </w:tr>
      <w:tr w:rsidR="008A0277" w:rsidRPr="008A0277" w14:paraId="78F10867" w14:textId="77777777" w:rsidTr="008A0277">
        <w:trPr>
          <w:trHeight w:val="300"/>
        </w:trPr>
        <w:tc>
          <w:tcPr>
            <w:tcW w:w="277" w:type="pct"/>
            <w:vMerge/>
            <w:hideMark/>
          </w:tcPr>
          <w:p w14:paraId="5CB8653B"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29108305"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797F1095"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1AAC260F"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593CBFBA"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0A9417D8"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6E6361B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75A824F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6 080 000.00</w:t>
            </w:r>
          </w:p>
        </w:tc>
        <w:tc>
          <w:tcPr>
            <w:tcW w:w="362" w:type="pct"/>
            <w:hideMark/>
          </w:tcPr>
          <w:p w14:paraId="4E9FB54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5FFA6DF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255A4CC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180" w:type="pct"/>
            <w:vMerge/>
            <w:hideMark/>
          </w:tcPr>
          <w:p w14:paraId="1440BEF9"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12EB04EA"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5D285029"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6E9815D9"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5B8B27AE"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047E362D"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628A0566" w14:textId="77777777" w:rsidTr="008A0277">
        <w:trPr>
          <w:trHeight w:val="1440"/>
        </w:trPr>
        <w:tc>
          <w:tcPr>
            <w:tcW w:w="277" w:type="pct"/>
            <w:vMerge w:val="restart"/>
            <w:hideMark/>
          </w:tcPr>
          <w:p w14:paraId="51DC502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0BFACD72"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46</w:t>
            </w:r>
          </w:p>
        </w:tc>
        <w:tc>
          <w:tcPr>
            <w:tcW w:w="270" w:type="pct"/>
            <w:vMerge w:val="restart"/>
            <w:hideMark/>
          </w:tcPr>
          <w:p w14:paraId="2FA83E8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Basic service delivery</w:t>
            </w:r>
          </w:p>
        </w:tc>
        <w:tc>
          <w:tcPr>
            <w:tcW w:w="268" w:type="pct"/>
            <w:vMerge w:val="restart"/>
            <w:hideMark/>
          </w:tcPr>
          <w:p w14:paraId="64733F5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Ensure the provision and maintenance of municipal roads, access roads and causeways</w:t>
            </w:r>
          </w:p>
        </w:tc>
        <w:tc>
          <w:tcPr>
            <w:tcW w:w="362" w:type="pct"/>
            <w:vMerge w:val="restart"/>
            <w:hideMark/>
          </w:tcPr>
          <w:p w14:paraId="3450FFD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Construct X km's of Vekeza road / causeways as per MIG budget by 30 June </w:t>
            </w:r>
          </w:p>
        </w:tc>
        <w:tc>
          <w:tcPr>
            <w:tcW w:w="362" w:type="pct"/>
            <w:vMerge w:val="restart"/>
            <w:hideMark/>
          </w:tcPr>
          <w:p w14:paraId="22728BE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Km of Vekeza roads / causeways Constructed by 30 June </w:t>
            </w:r>
          </w:p>
        </w:tc>
        <w:tc>
          <w:tcPr>
            <w:tcW w:w="362" w:type="pct"/>
            <w:hideMark/>
          </w:tcPr>
          <w:p w14:paraId="1F6EFA3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7F82A24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5198F08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Xkm of Vekeza road / causeway constructed by 30 June</w:t>
            </w:r>
          </w:p>
        </w:tc>
        <w:tc>
          <w:tcPr>
            <w:tcW w:w="362" w:type="pct"/>
            <w:hideMark/>
          </w:tcPr>
          <w:p w14:paraId="73518B9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1A642FE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108EEFC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5690D7D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 ENGINEERING SERVICES</w:t>
            </w:r>
          </w:p>
        </w:tc>
        <w:tc>
          <w:tcPr>
            <w:tcW w:w="306" w:type="pct"/>
            <w:vMerge w:val="restart"/>
            <w:hideMark/>
          </w:tcPr>
          <w:p w14:paraId="0DB44DD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369" w:type="pct"/>
            <w:vMerge w:val="restart"/>
            <w:hideMark/>
          </w:tcPr>
          <w:p w14:paraId="5919D2B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Roads</w:t>
            </w:r>
          </w:p>
        </w:tc>
        <w:tc>
          <w:tcPr>
            <w:tcW w:w="249" w:type="pct"/>
            <w:vMerge w:val="restart"/>
            <w:hideMark/>
          </w:tcPr>
          <w:p w14:paraId="4EB5B27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Infrastructure Grant [Schedule 5B]</w:t>
            </w:r>
          </w:p>
        </w:tc>
        <w:tc>
          <w:tcPr>
            <w:tcW w:w="162" w:type="pct"/>
            <w:vMerge w:val="restart"/>
            <w:hideMark/>
          </w:tcPr>
          <w:p w14:paraId="2B8D307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 17</w:t>
            </w:r>
          </w:p>
        </w:tc>
      </w:tr>
      <w:tr w:rsidR="008A0277" w:rsidRPr="008A0277" w14:paraId="23590389" w14:textId="77777777" w:rsidTr="008A0277">
        <w:trPr>
          <w:trHeight w:val="300"/>
        </w:trPr>
        <w:tc>
          <w:tcPr>
            <w:tcW w:w="277" w:type="pct"/>
            <w:vMerge/>
            <w:hideMark/>
          </w:tcPr>
          <w:p w14:paraId="63FDF9A9"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215FBFE8"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7151F641"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706106AF"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554A5724"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1FFDEBC1"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6B49FF4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10D2975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7A05A58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4 356 100,00</w:t>
            </w:r>
          </w:p>
        </w:tc>
        <w:tc>
          <w:tcPr>
            <w:tcW w:w="362" w:type="pct"/>
            <w:hideMark/>
          </w:tcPr>
          <w:p w14:paraId="45ABDE3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6D79E55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180" w:type="pct"/>
            <w:vMerge/>
            <w:hideMark/>
          </w:tcPr>
          <w:p w14:paraId="785FF4E6"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144301AF"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69A4603A"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620C801D"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149BB9B8"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353091E0"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37462B17" w14:textId="77777777" w:rsidTr="008A0277">
        <w:trPr>
          <w:trHeight w:val="1695"/>
        </w:trPr>
        <w:tc>
          <w:tcPr>
            <w:tcW w:w="277" w:type="pct"/>
            <w:vMerge w:val="restart"/>
            <w:hideMark/>
          </w:tcPr>
          <w:p w14:paraId="28E96B5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Fragmented or adhoc planning</w:t>
            </w:r>
          </w:p>
        </w:tc>
        <w:tc>
          <w:tcPr>
            <w:tcW w:w="116" w:type="pct"/>
            <w:vMerge w:val="restart"/>
            <w:hideMark/>
          </w:tcPr>
          <w:p w14:paraId="1DC8013D"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47</w:t>
            </w:r>
          </w:p>
        </w:tc>
        <w:tc>
          <w:tcPr>
            <w:tcW w:w="270" w:type="pct"/>
            <w:vMerge w:val="restart"/>
            <w:hideMark/>
          </w:tcPr>
          <w:p w14:paraId="1CE434B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cross cutting issues</w:t>
            </w:r>
          </w:p>
        </w:tc>
        <w:tc>
          <w:tcPr>
            <w:tcW w:w="268" w:type="pct"/>
            <w:vMerge w:val="restart"/>
            <w:hideMark/>
          </w:tcPr>
          <w:p w14:paraId="79C702C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ensure effective and efficient Land Use Management, taking cognizance of sound environmental practices</w:t>
            </w:r>
          </w:p>
        </w:tc>
        <w:tc>
          <w:tcPr>
            <w:tcW w:w="362" w:type="pct"/>
            <w:vMerge w:val="restart"/>
            <w:hideMark/>
          </w:tcPr>
          <w:p w14:paraId="62C1A1B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Hold 8 Clustered IDP Road shows by 31 December</w:t>
            </w:r>
          </w:p>
        </w:tc>
        <w:tc>
          <w:tcPr>
            <w:tcW w:w="362" w:type="pct"/>
            <w:vMerge w:val="restart"/>
            <w:hideMark/>
          </w:tcPr>
          <w:p w14:paraId="3966EB2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Number of clustered IDP roads shows held by 31 December</w:t>
            </w:r>
          </w:p>
        </w:tc>
        <w:tc>
          <w:tcPr>
            <w:tcW w:w="362" w:type="pct"/>
            <w:hideMark/>
          </w:tcPr>
          <w:p w14:paraId="3C5773E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8 Clustered Roadshows held by 31 December </w:t>
            </w:r>
          </w:p>
        </w:tc>
        <w:tc>
          <w:tcPr>
            <w:tcW w:w="362" w:type="pct"/>
            <w:hideMark/>
          </w:tcPr>
          <w:p w14:paraId="02057A9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8 Clustered Roadshows held by 31 December </w:t>
            </w:r>
          </w:p>
        </w:tc>
        <w:tc>
          <w:tcPr>
            <w:tcW w:w="362" w:type="pct"/>
            <w:hideMark/>
          </w:tcPr>
          <w:p w14:paraId="273CFCB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8 Clustered Roadshows held by 31 December </w:t>
            </w:r>
          </w:p>
        </w:tc>
        <w:tc>
          <w:tcPr>
            <w:tcW w:w="362" w:type="pct"/>
            <w:hideMark/>
          </w:tcPr>
          <w:p w14:paraId="69B8277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8 Clustered Roadshows held by 31 December </w:t>
            </w:r>
          </w:p>
        </w:tc>
        <w:tc>
          <w:tcPr>
            <w:tcW w:w="362" w:type="pct"/>
            <w:hideMark/>
          </w:tcPr>
          <w:p w14:paraId="58CDE98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8 Clustered Roadshows held by 31 December </w:t>
            </w:r>
          </w:p>
        </w:tc>
        <w:tc>
          <w:tcPr>
            <w:tcW w:w="180" w:type="pct"/>
            <w:vMerge w:val="restart"/>
            <w:hideMark/>
          </w:tcPr>
          <w:p w14:paraId="6E85955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8</w:t>
            </w:r>
          </w:p>
        </w:tc>
        <w:tc>
          <w:tcPr>
            <w:tcW w:w="268" w:type="pct"/>
            <w:vMerge w:val="restart"/>
            <w:hideMark/>
          </w:tcPr>
          <w:p w14:paraId="15BF49F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PLANNING AND DEVELOPMENT</w:t>
            </w:r>
          </w:p>
        </w:tc>
        <w:tc>
          <w:tcPr>
            <w:tcW w:w="306" w:type="pct"/>
            <w:vMerge w:val="restart"/>
            <w:hideMark/>
          </w:tcPr>
          <w:p w14:paraId="6685E32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IDP Planning and Revision</w:t>
            </w:r>
          </w:p>
        </w:tc>
        <w:tc>
          <w:tcPr>
            <w:tcW w:w="369" w:type="pct"/>
            <w:vMerge w:val="restart"/>
            <w:hideMark/>
          </w:tcPr>
          <w:p w14:paraId="3967EEC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Corporate Wide Strategic Planning (IDPs, LEDs)</w:t>
            </w:r>
          </w:p>
        </w:tc>
        <w:tc>
          <w:tcPr>
            <w:tcW w:w="249" w:type="pct"/>
            <w:vMerge w:val="restart"/>
            <w:hideMark/>
          </w:tcPr>
          <w:p w14:paraId="634087E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Equitable Share</w:t>
            </w:r>
          </w:p>
        </w:tc>
        <w:tc>
          <w:tcPr>
            <w:tcW w:w="162" w:type="pct"/>
            <w:vMerge w:val="restart"/>
            <w:hideMark/>
          </w:tcPr>
          <w:p w14:paraId="3DA9D46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0EED514C" w14:textId="77777777" w:rsidTr="008A0277">
        <w:trPr>
          <w:trHeight w:val="300"/>
        </w:trPr>
        <w:tc>
          <w:tcPr>
            <w:tcW w:w="277" w:type="pct"/>
            <w:vMerge/>
            <w:hideMark/>
          </w:tcPr>
          <w:p w14:paraId="19EFE9A0"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23E2518E"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3C5F716E"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348F4F52"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78E2C5C4"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2EC9ED43"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139FDCF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840 530.00</w:t>
            </w:r>
          </w:p>
        </w:tc>
        <w:tc>
          <w:tcPr>
            <w:tcW w:w="362" w:type="pct"/>
            <w:hideMark/>
          </w:tcPr>
          <w:p w14:paraId="76EC96F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729 370.00</w:t>
            </w:r>
          </w:p>
        </w:tc>
        <w:tc>
          <w:tcPr>
            <w:tcW w:w="362" w:type="pct"/>
            <w:hideMark/>
          </w:tcPr>
          <w:p w14:paraId="6D696F0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770 010.00</w:t>
            </w:r>
          </w:p>
        </w:tc>
        <w:tc>
          <w:tcPr>
            <w:tcW w:w="362" w:type="pct"/>
            <w:hideMark/>
          </w:tcPr>
          <w:p w14:paraId="00D4666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770 010.00</w:t>
            </w:r>
          </w:p>
        </w:tc>
        <w:tc>
          <w:tcPr>
            <w:tcW w:w="362" w:type="pct"/>
            <w:hideMark/>
          </w:tcPr>
          <w:p w14:paraId="6F68A28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770 010.00</w:t>
            </w:r>
          </w:p>
        </w:tc>
        <w:tc>
          <w:tcPr>
            <w:tcW w:w="180" w:type="pct"/>
            <w:vMerge/>
            <w:hideMark/>
          </w:tcPr>
          <w:p w14:paraId="1C300896"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79C624F3"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418482E7"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139E9EE1"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4741D1BD"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43181BBF"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3CBD9CA6" w14:textId="77777777" w:rsidTr="008A0277">
        <w:trPr>
          <w:trHeight w:val="1665"/>
        </w:trPr>
        <w:tc>
          <w:tcPr>
            <w:tcW w:w="277" w:type="pct"/>
            <w:vMerge w:val="restart"/>
            <w:hideMark/>
          </w:tcPr>
          <w:p w14:paraId="41547B1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Fragmented or adhoc planning</w:t>
            </w:r>
          </w:p>
        </w:tc>
        <w:tc>
          <w:tcPr>
            <w:tcW w:w="116" w:type="pct"/>
            <w:vMerge w:val="restart"/>
            <w:hideMark/>
          </w:tcPr>
          <w:p w14:paraId="6103212E"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48</w:t>
            </w:r>
          </w:p>
        </w:tc>
        <w:tc>
          <w:tcPr>
            <w:tcW w:w="270" w:type="pct"/>
            <w:vMerge w:val="restart"/>
            <w:hideMark/>
          </w:tcPr>
          <w:p w14:paraId="501CDD4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cross cutting issues</w:t>
            </w:r>
          </w:p>
        </w:tc>
        <w:tc>
          <w:tcPr>
            <w:tcW w:w="268" w:type="pct"/>
            <w:vMerge w:val="restart"/>
            <w:hideMark/>
          </w:tcPr>
          <w:p w14:paraId="7E6167B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ensure effective and efficient Land Use Management, taking cognizance of sound environmental practices</w:t>
            </w:r>
          </w:p>
        </w:tc>
        <w:tc>
          <w:tcPr>
            <w:tcW w:w="362" w:type="pct"/>
            <w:vMerge w:val="restart"/>
            <w:hideMark/>
          </w:tcPr>
          <w:p w14:paraId="79D40A6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Complete 27 Ward Based plans by 31 March </w:t>
            </w:r>
          </w:p>
        </w:tc>
        <w:tc>
          <w:tcPr>
            <w:tcW w:w="362" w:type="pct"/>
            <w:vMerge w:val="restart"/>
            <w:hideMark/>
          </w:tcPr>
          <w:p w14:paraId="569F08A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Number of Ward Based Plans completed by 31 March </w:t>
            </w:r>
          </w:p>
        </w:tc>
        <w:tc>
          <w:tcPr>
            <w:tcW w:w="362" w:type="pct"/>
            <w:hideMark/>
          </w:tcPr>
          <w:p w14:paraId="2E1C9BC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27 Ward Based Plans completed by 31 March</w:t>
            </w:r>
          </w:p>
        </w:tc>
        <w:tc>
          <w:tcPr>
            <w:tcW w:w="362" w:type="pct"/>
            <w:hideMark/>
          </w:tcPr>
          <w:p w14:paraId="1A92083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27 Ward Based Plans completed by 31 March</w:t>
            </w:r>
          </w:p>
        </w:tc>
        <w:tc>
          <w:tcPr>
            <w:tcW w:w="362" w:type="pct"/>
            <w:hideMark/>
          </w:tcPr>
          <w:p w14:paraId="6F51689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27 Ward Based Plans completed by 31 March</w:t>
            </w:r>
          </w:p>
        </w:tc>
        <w:tc>
          <w:tcPr>
            <w:tcW w:w="362" w:type="pct"/>
            <w:hideMark/>
          </w:tcPr>
          <w:p w14:paraId="212731F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27 Ward Based Plans completed by 31 March</w:t>
            </w:r>
          </w:p>
        </w:tc>
        <w:tc>
          <w:tcPr>
            <w:tcW w:w="362" w:type="pct"/>
            <w:hideMark/>
          </w:tcPr>
          <w:p w14:paraId="77B3BB6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27 Ward Based Plans completed by 31 March</w:t>
            </w:r>
          </w:p>
        </w:tc>
        <w:tc>
          <w:tcPr>
            <w:tcW w:w="180" w:type="pct"/>
            <w:vMerge w:val="restart"/>
            <w:hideMark/>
          </w:tcPr>
          <w:p w14:paraId="4529118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8</w:t>
            </w:r>
          </w:p>
        </w:tc>
        <w:tc>
          <w:tcPr>
            <w:tcW w:w="268" w:type="pct"/>
            <w:vMerge w:val="restart"/>
            <w:hideMark/>
          </w:tcPr>
          <w:p w14:paraId="5391F0A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PLANNING AND DEVELOPMENT</w:t>
            </w:r>
          </w:p>
        </w:tc>
        <w:tc>
          <w:tcPr>
            <w:tcW w:w="306" w:type="pct"/>
            <w:vMerge w:val="restart"/>
            <w:hideMark/>
          </w:tcPr>
          <w:p w14:paraId="20CA58F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IDP Planning and Revision</w:t>
            </w:r>
          </w:p>
        </w:tc>
        <w:tc>
          <w:tcPr>
            <w:tcW w:w="369" w:type="pct"/>
            <w:vMerge w:val="restart"/>
            <w:hideMark/>
          </w:tcPr>
          <w:p w14:paraId="0DC3BFD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Corporate Wide Strategic Planning (IDPs, LEDs)</w:t>
            </w:r>
          </w:p>
        </w:tc>
        <w:tc>
          <w:tcPr>
            <w:tcW w:w="249" w:type="pct"/>
            <w:vMerge w:val="restart"/>
            <w:hideMark/>
          </w:tcPr>
          <w:p w14:paraId="29A3793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Equitable Share</w:t>
            </w:r>
          </w:p>
        </w:tc>
        <w:tc>
          <w:tcPr>
            <w:tcW w:w="162" w:type="pct"/>
            <w:vMerge w:val="restart"/>
            <w:hideMark/>
          </w:tcPr>
          <w:p w14:paraId="7F6E123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37B67646" w14:textId="77777777" w:rsidTr="008A0277">
        <w:trPr>
          <w:trHeight w:val="300"/>
        </w:trPr>
        <w:tc>
          <w:tcPr>
            <w:tcW w:w="277" w:type="pct"/>
            <w:vMerge/>
            <w:hideMark/>
          </w:tcPr>
          <w:p w14:paraId="512F7009"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23E9DA0B"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5D5EAA7E"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13BF7D17"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342EA29D"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7C2130E8"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205E264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150 000.00</w:t>
            </w:r>
          </w:p>
        </w:tc>
        <w:tc>
          <w:tcPr>
            <w:tcW w:w="362" w:type="pct"/>
            <w:hideMark/>
          </w:tcPr>
          <w:p w14:paraId="56EE235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158 100.00</w:t>
            </w:r>
          </w:p>
        </w:tc>
        <w:tc>
          <w:tcPr>
            <w:tcW w:w="362" w:type="pct"/>
            <w:hideMark/>
          </w:tcPr>
          <w:p w14:paraId="08CF96E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166 800.00</w:t>
            </w:r>
          </w:p>
        </w:tc>
        <w:tc>
          <w:tcPr>
            <w:tcW w:w="362" w:type="pct"/>
            <w:hideMark/>
          </w:tcPr>
          <w:p w14:paraId="1EDC056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166 800.00</w:t>
            </w:r>
          </w:p>
        </w:tc>
        <w:tc>
          <w:tcPr>
            <w:tcW w:w="362" w:type="pct"/>
            <w:hideMark/>
          </w:tcPr>
          <w:p w14:paraId="79C7840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166 800.00</w:t>
            </w:r>
          </w:p>
        </w:tc>
        <w:tc>
          <w:tcPr>
            <w:tcW w:w="180" w:type="pct"/>
            <w:vMerge/>
            <w:hideMark/>
          </w:tcPr>
          <w:p w14:paraId="7620CAF2"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63168DFD"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73520849"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2D14CF82"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126972CA"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72656A93"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05BD0061" w14:textId="77777777" w:rsidTr="008A0277">
        <w:trPr>
          <w:trHeight w:val="2289"/>
        </w:trPr>
        <w:tc>
          <w:tcPr>
            <w:tcW w:w="277" w:type="pct"/>
            <w:vMerge w:val="restart"/>
            <w:hideMark/>
          </w:tcPr>
          <w:p w14:paraId="6DE4326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Slow progress on LED &amp; Tourism development</w:t>
            </w:r>
          </w:p>
        </w:tc>
        <w:tc>
          <w:tcPr>
            <w:tcW w:w="116" w:type="pct"/>
            <w:vMerge w:val="restart"/>
            <w:hideMark/>
          </w:tcPr>
          <w:p w14:paraId="666F2EA7"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49</w:t>
            </w:r>
          </w:p>
        </w:tc>
        <w:tc>
          <w:tcPr>
            <w:tcW w:w="270" w:type="pct"/>
            <w:vMerge w:val="restart"/>
            <w:hideMark/>
          </w:tcPr>
          <w:p w14:paraId="525D993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Local Economic Development </w:t>
            </w:r>
          </w:p>
        </w:tc>
        <w:tc>
          <w:tcPr>
            <w:tcW w:w="268" w:type="pct"/>
            <w:vMerge w:val="restart"/>
            <w:hideMark/>
          </w:tcPr>
          <w:p w14:paraId="6BCB463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develop and support sustainable economic development, through focussing on tourism, agriculture development, industrial development which incorporates the youth</w:t>
            </w:r>
          </w:p>
        </w:tc>
        <w:tc>
          <w:tcPr>
            <w:tcW w:w="362" w:type="pct"/>
            <w:hideMark/>
          </w:tcPr>
          <w:p w14:paraId="7052970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Submit a report to Council by 31 May on all the projects funded by the Municipality to grow the economy and the benefits derived from the funding</w:t>
            </w:r>
          </w:p>
        </w:tc>
        <w:tc>
          <w:tcPr>
            <w:tcW w:w="362" w:type="pct"/>
            <w:hideMark/>
          </w:tcPr>
          <w:p w14:paraId="2B78038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Date of submission of report to Council.</w:t>
            </w:r>
          </w:p>
        </w:tc>
        <w:tc>
          <w:tcPr>
            <w:tcW w:w="362" w:type="pct"/>
            <w:hideMark/>
          </w:tcPr>
          <w:p w14:paraId="362BA61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report submitted to Council by 31 May on all the projects funded by the Municipality to grow the economy and the benefits derived from the funding</w:t>
            </w:r>
          </w:p>
        </w:tc>
        <w:tc>
          <w:tcPr>
            <w:tcW w:w="362" w:type="pct"/>
            <w:hideMark/>
          </w:tcPr>
          <w:p w14:paraId="438E75C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report submitted to Council by 31 May on all the projects funded by the Municipality to grow the economy and the benefits derived from the funding</w:t>
            </w:r>
          </w:p>
        </w:tc>
        <w:tc>
          <w:tcPr>
            <w:tcW w:w="362" w:type="pct"/>
            <w:hideMark/>
          </w:tcPr>
          <w:p w14:paraId="4B481A9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report submitted to Council by 31 May on all the projects funded by the Municipality to grow the economy and the benefits derived from the funding</w:t>
            </w:r>
          </w:p>
        </w:tc>
        <w:tc>
          <w:tcPr>
            <w:tcW w:w="362" w:type="pct"/>
            <w:hideMark/>
          </w:tcPr>
          <w:p w14:paraId="28311CE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report submitted to Council by 31 May on all the projects funded by the Municipality to grow the economy and the benefits derived from the funding</w:t>
            </w:r>
          </w:p>
        </w:tc>
        <w:tc>
          <w:tcPr>
            <w:tcW w:w="362" w:type="pct"/>
            <w:hideMark/>
          </w:tcPr>
          <w:p w14:paraId="7F2D872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report submitted to Council by 31 May on all the projects funded by the Municipality to grow the economy and the benefits derived from the funding</w:t>
            </w:r>
          </w:p>
        </w:tc>
        <w:tc>
          <w:tcPr>
            <w:tcW w:w="180" w:type="pct"/>
            <w:vMerge w:val="restart"/>
            <w:hideMark/>
          </w:tcPr>
          <w:p w14:paraId="10A7C65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0F705D7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PLANNING AND DEVELOPMENT</w:t>
            </w:r>
          </w:p>
        </w:tc>
        <w:tc>
          <w:tcPr>
            <w:tcW w:w="306" w:type="pct"/>
            <w:vMerge w:val="restart"/>
            <w:hideMark/>
          </w:tcPr>
          <w:p w14:paraId="64BE1C4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Contracted Services</w:t>
            </w:r>
          </w:p>
        </w:tc>
        <w:tc>
          <w:tcPr>
            <w:tcW w:w="369" w:type="pct"/>
            <w:vMerge w:val="restart"/>
            <w:hideMark/>
          </w:tcPr>
          <w:p w14:paraId="6C4FDAA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Economic Development/Planning</w:t>
            </w:r>
          </w:p>
        </w:tc>
        <w:tc>
          <w:tcPr>
            <w:tcW w:w="249" w:type="pct"/>
            <w:vMerge w:val="restart"/>
            <w:hideMark/>
          </w:tcPr>
          <w:p w14:paraId="4E8368F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Levies</w:t>
            </w:r>
          </w:p>
        </w:tc>
        <w:tc>
          <w:tcPr>
            <w:tcW w:w="162" w:type="pct"/>
            <w:vMerge w:val="restart"/>
            <w:hideMark/>
          </w:tcPr>
          <w:p w14:paraId="225DDB9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60964C30" w14:textId="77777777" w:rsidTr="008A0277">
        <w:trPr>
          <w:trHeight w:val="300"/>
        </w:trPr>
        <w:tc>
          <w:tcPr>
            <w:tcW w:w="277" w:type="pct"/>
            <w:vMerge/>
            <w:hideMark/>
          </w:tcPr>
          <w:p w14:paraId="3EC42D47"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0709E4CC"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219B1E15"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56DDD967"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17EA331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0EB6B7B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12B2064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2 780 090.00</w:t>
            </w:r>
          </w:p>
        </w:tc>
        <w:tc>
          <w:tcPr>
            <w:tcW w:w="362" w:type="pct"/>
            <w:hideMark/>
          </w:tcPr>
          <w:p w14:paraId="52A87B4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2 518 560.00</w:t>
            </w:r>
          </w:p>
        </w:tc>
        <w:tc>
          <w:tcPr>
            <w:tcW w:w="362" w:type="pct"/>
            <w:hideMark/>
          </w:tcPr>
          <w:p w14:paraId="248D712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3 423 100.00</w:t>
            </w:r>
          </w:p>
        </w:tc>
        <w:tc>
          <w:tcPr>
            <w:tcW w:w="362" w:type="pct"/>
            <w:hideMark/>
          </w:tcPr>
          <w:p w14:paraId="613B181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3 423 100.00</w:t>
            </w:r>
          </w:p>
        </w:tc>
        <w:tc>
          <w:tcPr>
            <w:tcW w:w="362" w:type="pct"/>
            <w:hideMark/>
          </w:tcPr>
          <w:p w14:paraId="331847A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3 423 100.00</w:t>
            </w:r>
          </w:p>
        </w:tc>
        <w:tc>
          <w:tcPr>
            <w:tcW w:w="180" w:type="pct"/>
            <w:vMerge/>
            <w:hideMark/>
          </w:tcPr>
          <w:p w14:paraId="4580CF71"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79A307BA"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7E6C5710"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1D55019E"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612BC72A"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67847C02"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607CA0EF" w14:textId="77777777" w:rsidTr="008A0277">
        <w:trPr>
          <w:trHeight w:val="1275"/>
        </w:trPr>
        <w:tc>
          <w:tcPr>
            <w:tcW w:w="277" w:type="pct"/>
            <w:vMerge w:val="restart"/>
            <w:hideMark/>
          </w:tcPr>
          <w:p w14:paraId="00F5CA1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Fragmented or adhoc planning</w:t>
            </w:r>
          </w:p>
        </w:tc>
        <w:tc>
          <w:tcPr>
            <w:tcW w:w="116" w:type="pct"/>
            <w:vMerge w:val="restart"/>
            <w:hideMark/>
          </w:tcPr>
          <w:p w14:paraId="7057C453"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50</w:t>
            </w:r>
          </w:p>
        </w:tc>
        <w:tc>
          <w:tcPr>
            <w:tcW w:w="270" w:type="pct"/>
            <w:vMerge w:val="restart"/>
            <w:hideMark/>
          </w:tcPr>
          <w:p w14:paraId="7213A5C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Cross cutting issues</w:t>
            </w:r>
          </w:p>
        </w:tc>
        <w:tc>
          <w:tcPr>
            <w:tcW w:w="268" w:type="pct"/>
            <w:vMerge w:val="restart"/>
            <w:hideMark/>
          </w:tcPr>
          <w:p w14:paraId="76CBB1C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ensure effective and efficient Land Use Management, taking cognizance of sound environmental practices</w:t>
            </w:r>
          </w:p>
        </w:tc>
        <w:tc>
          <w:tcPr>
            <w:tcW w:w="362" w:type="pct"/>
            <w:hideMark/>
          </w:tcPr>
          <w:p w14:paraId="7F714F6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Ensure the completion of the Nodal Development Plan by 31 May </w:t>
            </w:r>
          </w:p>
        </w:tc>
        <w:tc>
          <w:tcPr>
            <w:tcW w:w="362" w:type="pct"/>
            <w:hideMark/>
          </w:tcPr>
          <w:p w14:paraId="3900105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Date of completion of Nodal Development Plan</w:t>
            </w:r>
          </w:p>
        </w:tc>
        <w:tc>
          <w:tcPr>
            <w:tcW w:w="362" w:type="pct"/>
            <w:hideMark/>
          </w:tcPr>
          <w:p w14:paraId="527F9F1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Nodal Development Plan completed by 31 May </w:t>
            </w:r>
          </w:p>
        </w:tc>
        <w:tc>
          <w:tcPr>
            <w:tcW w:w="362" w:type="pct"/>
            <w:hideMark/>
          </w:tcPr>
          <w:p w14:paraId="0506114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4 reports submitted to the Portfolio Committee by 30 June on the implementation of the Nodal Framework Plan </w:t>
            </w:r>
          </w:p>
        </w:tc>
        <w:tc>
          <w:tcPr>
            <w:tcW w:w="362" w:type="pct"/>
            <w:hideMark/>
          </w:tcPr>
          <w:p w14:paraId="54D1191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4 reports submitted to the Portfolio Committee by 30 June on the implementation of the Nodal Framework Plan </w:t>
            </w:r>
          </w:p>
        </w:tc>
        <w:tc>
          <w:tcPr>
            <w:tcW w:w="362" w:type="pct"/>
            <w:hideMark/>
          </w:tcPr>
          <w:p w14:paraId="74BD95A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4 reports submitted to the Portfolio Committee by 30 June on the implementation of the Nodal Framework Plan </w:t>
            </w:r>
          </w:p>
        </w:tc>
        <w:tc>
          <w:tcPr>
            <w:tcW w:w="362" w:type="pct"/>
            <w:hideMark/>
          </w:tcPr>
          <w:p w14:paraId="2823D86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4 reports submitted to the Portfolio Committee by 30 June on the implementation of the Nodal Framework Plan </w:t>
            </w:r>
          </w:p>
        </w:tc>
        <w:tc>
          <w:tcPr>
            <w:tcW w:w="180" w:type="pct"/>
            <w:vMerge w:val="restart"/>
            <w:hideMark/>
          </w:tcPr>
          <w:p w14:paraId="0231B71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4848E43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PLANNING AND DEVELOPMENT</w:t>
            </w:r>
          </w:p>
        </w:tc>
        <w:tc>
          <w:tcPr>
            <w:tcW w:w="306" w:type="pct"/>
            <w:vMerge w:val="restart"/>
            <w:hideMark/>
          </w:tcPr>
          <w:p w14:paraId="2F68C29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Employee related cost</w:t>
            </w:r>
          </w:p>
        </w:tc>
        <w:tc>
          <w:tcPr>
            <w:tcW w:w="369" w:type="pct"/>
            <w:vMerge w:val="restart"/>
            <w:hideMark/>
          </w:tcPr>
          <w:p w14:paraId="60FD0D5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Town Planning, Building Regulations and Enforcement, and City Engineer</w:t>
            </w:r>
          </w:p>
        </w:tc>
        <w:tc>
          <w:tcPr>
            <w:tcW w:w="249" w:type="pct"/>
            <w:vMerge w:val="restart"/>
            <w:hideMark/>
          </w:tcPr>
          <w:p w14:paraId="66F4B1B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Levies</w:t>
            </w:r>
          </w:p>
        </w:tc>
        <w:tc>
          <w:tcPr>
            <w:tcW w:w="162" w:type="pct"/>
            <w:vMerge w:val="restart"/>
            <w:hideMark/>
          </w:tcPr>
          <w:p w14:paraId="5451C84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ADMIN</w:t>
            </w:r>
          </w:p>
        </w:tc>
      </w:tr>
      <w:tr w:rsidR="008A0277" w:rsidRPr="008A0277" w14:paraId="433A5F5D" w14:textId="77777777" w:rsidTr="008A0277">
        <w:trPr>
          <w:trHeight w:val="300"/>
        </w:trPr>
        <w:tc>
          <w:tcPr>
            <w:tcW w:w="277" w:type="pct"/>
            <w:vMerge/>
            <w:hideMark/>
          </w:tcPr>
          <w:p w14:paraId="2836CE90"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599F26B4"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499CB0AA"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1B324B78"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7385E8A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733C038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605FFB0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350 000.00</w:t>
            </w:r>
          </w:p>
        </w:tc>
        <w:tc>
          <w:tcPr>
            <w:tcW w:w="362" w:type="pct"/>
            <w:hideMark/>
          </w:tcPr>
          <w:p w14:paraId="5D2E232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368 900.00</w:t>
            </w:r>
          </w:p>
        </w:tc>
        <w:tc>
          <w:tcPr>
            <w:tcW w:w="362" w:type="pct"/>
            <w:hideMark/>
          </w:tcPr>
          <w:p w14:paraId="4E080A7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389 190.00</w:t>
            </w:r>
          </w:p>
        </w:tc>
        <w:tc>
          <w:tcPr>
            <w:tcW w:w="362" w:type="pct"/>
            <w:hideMark/>
          </w:tcPr>
          <w:p w14:paraId="2586CCB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389 190.00</w:t>
            </w:r>
          </w:p>
        </w:tc>
        <w:tc>
          <w:tcPr>
            <w:tcW w:w="362" w:type="pct"/>
            <w:hideMark/>
          </w:tcPr>
          <w:p w14:paraId="3F67DBD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389 190.00</w:t>
            </w:r>
          </w:p>
        </w:tc>
        <w:tc>
          <w:tcPr>
            <w:tcW w:w="180" w:type="pct"/>
            <w:vMerge/>
            <w:hideMark/>
          </w:tcPr>
          <w:p w14:paraId="0E68FD9B"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6CD5CF84"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6186DB3C"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0D957660"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39EAF1BB"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054856E6"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3FA480E5" w14:textId="77777777" w:rsidTr="008A0277">
        <w:trPr>
          <w:trHeight w:val="284"/>
        </w:trPr>
        <w:tc>
          <w:tcPr>
            <w:tcW w:w="277" w:type="pct"/>
            <w:vMerge w:val="restart"/>
            <w:hideMark/>
          </w:tcPr>
          <w:p w14:paraId="31695A4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Fragmented or adhoc planning</w:t>
            </w:r>
          </w:p>
        </w:tc>
        <w:tc>
          <w:tcPr>
            <w:tcW w:w="116" w:type="pct"/>
            <w:vMerge w:val="restart"/>
            <w:hideMark/>
          </w:tcPr>
          <w:p w14:paraId="31B89043"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51</w:t>
            </w:r>
          </w:p>
        </w:tc>
        <w:tc>
          <w:tcPr>
            <w:tcW w:w="270" w:type="pct"/>
            <w:vMerge w:val="restart"/>
            <w:hideMark/>
          </w:tcPr>
          <w:p w14:paraId="10831E9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Financial Viability and Management</w:t>
            </w:r>
          </w:p>
        </w:tc>
        <w:tc>
          <w:tcPr>
            <w:tcW w:w="268" w:type="pct"/>
            <w:vMerge w:val="restart"/>
            <w:hideMark/>
          </w:tcPr>
          <w:p w14:paraId="1139BFA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ensure continued sound financial management</w:t>
            </w:r>
          </w:p>
        </w:tc>
        <w:tc>
          <w:tcPr>
            <w:tcW w:w="362" w:type="pct"/>
            <w:hideMark/>
          </w:tcPr>
          <w:p w14:paraId="6F795A7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Submit quarterly reports to the Portfolio Committee on the status of Town Planning &amp; Building applications processed by the department</w:t>
            </w:r>
          </w:p>
        </w:tc>
        <w:tc>
          <w:tcPr>
            <w:tcW w:w="362" w:type="pct"/>
            <w:hideMark/>
          </w:tcPr>
          <w:p w14:paraId="1D90F61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Number of reports submitted to the Portfolio Committee by 30 June</w:t>
            </w:r>
          </w:p>
        </w:tc>
        <w:tc>
          <w:tcPr>
            <w:tcW w:w="362" w:type="pct"/>
            <w:hideMark/>
          </w:tcPr>
          <w:p w14:paraId="5D3E1FF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the Portfolio Committee by 30 June on the status of Town Planning &amp; Building applications processed by the department</w:t>
            </w:r>
          </w:p>
        </w:tc>
        <w:tc>
          <w:tcPr>
            <w:tcW w:w="362" w:type="pct"/>
            <w:hideMark/>
          </w:tcPr>
          <w:p w14:paraId="335DC68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the Portfolio Committee by 30 June on the status of Town Planning &amp; Building applications processed by the department</w:t>
            </w:r>
          </w:p>
        </w:tc>
        <w:tc>
          <w:tcPr>
            <w:tcW w:w="362" w:type="pct"/>
            <w:hideMark/>
          </w:tcPr>
          <w:p w14:paraId="2F96544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the Portfolio Committee by 30 June on the status of Town Planning &amp; Building applications processed by the department</w:t>
            </w:r>
          </w:p>
        </w:tc>
        <w:tc>
          <w:tcPr>
            <w:tcW w:w="362" w:type="pct"/>
            <w:hideMark/>
          </w:tcPr>
          <w:p w14:paraId="352B1D5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the Portfolio Committee by 30 June on the status of Town Planning &amp; Building applications processed by the department</w:t>
            </w:r>
          </w:p>
        </w:tc>
        <w:tc>
          <w:tcPr>
            <w:tcW w:w="362" w:type="pct"/>
            <w:hideMark/>
          </w:tcPr>
          <w:p w14:paraId="5210DF9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the Portfolio Committee by 30 June on the status of Town Planning &amp; Building applications processed by the department</w:t>
            </w:r>
          </w:p>
        </w:tc>
        <w:tc>
          <w:tcPr>
            <w:tcW w:w="180" w:type="pct"/>
            <w:vMerge w:val="restart"/>
            <w:hideMark/>
          </w:tcPr>
          <w:p w14:paraId="6C5E163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708739E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PLANNING AND DEVELOPMENT</w:t>
            </w:r>
          </w:p>
        </w:tc>
        <w:tc>
          <w:tcPr>
            <w:tcW w:w="306" w:type="pct"/>
            <w:vMerge w:val="restart"/>
            <w:hideMark/>
          </w:tcPr>
          <w:p w14:paraId="0EC66CB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Contracted Services</w:t>
            </w:r>
          </w:p>
        </w:tc>
        <w:tc>
          <w:tcPr>
            <w:tcW w:w="369" w:type="pct"/>
            <w:vMerge w:val="restart"/>
            <w:hideMark/>
          </w:tcPr>
          <w:p w14:paraId="6D44F80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Town Planning, Building Regulations and Enforcement, and City Engineer</w:t>
            </w:r>
          </w:p>
        </w:tc>
        <w:tc>
          <w:tcPr>
            <w:tcW w:w="249" w:type="pct"/>
            <w:vMerge w:val="restart"/>
            <w:hideMark/>
          </w:tcPr>
          <w:p w14:paraId="09EB043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Levies</w:t>
            </w:r>
          </w:p>
        </w:tc>
        <w:tc>
          <w:tcPr>
            <w:tcW w:w="162" w:type="pct"/>
            <w:vMerge w:val="restart"/>
            <w:hideMark/>
          </w:tcPr>
          <w:p w14:paraId="180CD71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ADMIN</w:t>
            </w:r>
          </w:p>
        </w:tc>
      </w:tr>
      <w:tr w:rsidR="008A0277" w:rsidRPr="008A0277" w14:paraId="765FBD3D" w14:textId="77777777" w:rsidTr="008A0277">
        <w:trPr>
          <w:trHeight w:val="300"/>
        </w:trPr>
        <w:tc>
          <w:tcPr>
            <w:tcW w:w="277" w:type="pct"/>
            <w:vMerge/>
            <w:hideMark/>
          </w:tcPr>
          <w:p w14:paraId="24F1AE7B"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66BF5DA1"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5677C520"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4BD23C15"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5B57DB3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5481311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7B45C32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508 090.00</w:t>
            </w:r>
          </w:p>
        </w:tc>
        <w:tc>
          <w:tcPr>
            <w:tcW w:w="362" w:type="pct"/>
            <w:hideMark/>
          </w:tcPr>
          <w:p w14:paraId="3E5BBF8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535 530.00</w:t>
            </w:r>
          </w:p>
        </w:tc>
        <w:tc>
          <w:tcPr>
            <w:tcW w:w="362" w:type="pct"/>
            <w:hideMark/>
          </w:tcPr>
          <w:p w14:paraId="60CF5F4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564 970.00</w:t>
            </w:r>
          </w:p>
        </w:tc>
        <w:tc>
          <w:tcPr>
            <w:tcW w:w="362" w:type="pct"/>
            <w:hideMark/>
          </w:tcPr>
          <w:p w14:paraId="0E88153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564 970.00</w:t>
            </w:r>
          </w:p>
        </w:tc>
        <w:tc>
          <w:tcPr>
            <w:tcW w:w="362" w:type="pct"/>
            <w:hideMark/>
          </w:tcPr>
          <w:p w14:paraId="15A1DB2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564 970.00</w:t>
            </w:r>
          </w:p>
        </w:tc>
        <w:tc>
          <w:tcPr>
            <w:tcW w:w="180" w:type="pct"/>
            <w:vMerge/>
            <w:hideMark/>
          </w:tcPr>
          <w:p w14:paraId="7D626081"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421D2B2D"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740E2FFE"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5F540A86"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36249C35"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35897BD0"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7B9D8C1D" w14:textId="77777777" w:rsidTr="008A0277">
        <w:trPr>
          <w:trHeight w:val="2040"/>
        </w:trPr>
        <w:tc>
          <w:tcPr>
            <w:tcW w:w="277" w:type="pct"/>
            <w:vMerge w:val="restart"/>
            <w:hideMark/>
          </w:tcPr>
          <w:p w14:paraId="51EBD5D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Inadequate performance monitoring</w:t>
            </w:r>
          </w:p>
        </w:tc>
        <w:tc>
          <w:tcPr>
            <w:tcW w:w="116" w:type="pct"/>
            <w:vMerge w:val="restart"/>
            <w:hideMark/>
          </w:tcPr>
          <w:p w14:paraId="5F770BD7"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52</w:t>
            </w:r>
          </w:p>
        </w:tc>
        <w:tc>
          <w:tcPr>
            <w:tcW w:w="270" w:type="pct"/>
            <w:vMerge w:val="restart"/>
            <w:hideMark/>
          </w:tcPr>
          <w:p w14:paraId="750E318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Service Delivery</w:t>
            </w:r>
          </w:p>
        </w:tc>
        <w:tc>
          <w:tcPr>
            <w:tcW w:w="268" w:type="pct"/>
            <w:vMerge w:val="restart"/>
            <w:hideMark/>
          </w:tcPr>
          <w:p w14:paraId="3C8F4D5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provide and maintain infrastructure and services to all, with emphasis on rural communities, in a sustainable manner</w:t>
            </w:r>
          </w:p>
        </w:tc>
        <w:tc>
          <w:tcPr>
            <w:tcW w:w="362" w:type="pct"/>
            <w:vMerge w:val="restart"/>
            <w:hideMark/>
          </w:tcPr>
          <w:p w14:paraId="6096736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Monitor the performance of all Service Providers and ensure that monthly reports are attached to invoices when submitted for payments</w:t>
            </w:r>
          </w:p>
        </w:tc>
        <w:tc>
          <w:tcPr>
            <w:tcW w:w="362" w:type="pct"/>
            <w:vMerge w:val="restart"/>
            <w:hideMark/>
          </w:tcPr>
          <w:p w14:paraId="06D5C86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Number of performance assessments reports completed by 30 June on the assessment for Weed eradication</w:t>
            </w:r>
          </w:p>
        </w:tc>
        <w:tc>
          <w:tcPr>
            <w:tcW w:w="362" w:type="pct"/>
            <w:hideMark/>
          </w:tcPr>
          <w:p w14:paraId="5275E1A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service provider assessment reports completed by 30 June and attached to invoices for weed eradication services when submitted for payments</w:t>
            </w:r>
          </w:p>
        </w:tc>
        <w:tc>
          <w:tcPr>
            <w:tcW w:w="362" w:type="pct"/>
            <w:hideMark/>
          </w:tcPr>
          <w:p w14:paraId="0F5F5D8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service provider assessment reports completed by 30 June and attached to invoices for weed eradication services when submitted for payments</w:t>
            </w:r>
          </w:p>
        </w:tc>
        <w:tc>
          <w:tcPr>
            <w:tcW w:w="362" w:type="pct"/>
            <w:hideMark/>
          </w:tcPr>
          <w:p w14:paraId="5894AA6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service provider assessment reports completed by 30 June and attached to invoices for weed eradication services when submitted for payments</w:t>
            </w:r>
          </w:p>
        </w:tc>
        <w:tc>
          <w:tcPr>
            <w:tcW w:w="362" w:type="pct"/>
            <w:hideMark/>
          </w:tcPr>
          <w:p w14:paraId="5A5B57B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service provider assessment reports completed by 30 June and attached to invoices for weed eradication services when submitted for payments</w:t>
            </w:r>
          </w:p>
        </w:tc>
        <w:tc>
          <w:tcPr>
            <w:tcW w:w="362" w:type="pct"/>
            <w:hideMark/>
          </w:tcPr>
          <w:p w14:paraId="7D40D6D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service provider assessment reports completed by 30 June and attached to invoices for weed eradication services when submitted for payments</w:t>
            </w:r>
          </w:p>
        </w:tc>
        <w:tc>
          <w:tcPr>
            <w:tcW w:w="180" w:type="pct"/>
            <w:vMerge w:val="restart"/>
            <w:hideMark/>
          </w:tcPr>
          <w:p w14:paraId="3B7E6A9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w:t>
            </w:r>
          </w:p>
        </w:tc>
        <w:tc>
          <w:tcPr>
            <w:tcW w:w="268" w:type="pct"/>
            <w:vMerge w:val="restart"/>
            <w:hideMark/>
          </w:tcPr>
          <w:p w14:paraId="7BCB17B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COMMUNITY SERVICES</w:t>
            </w:r>
          </w:p>
        </w:tc>
        <w:tc>
          <w:tcPr>
            <w:tcW w:w="306" w:type="pct"/>
            <w:vMerge w:val="restart"/>
            <w:hideMark/>
          </w:tcPr>
          <w:p w14:paraId="3959958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Contracted services - Weed Eradicatopn</w:t>
            </w:r>
          </w:p>
        </w:tc>
        <w:tc>
          <w:tcPr>
            <w:tcW w:w="369" w:type="pct"/>
            <w:vMerge w:val="restart"/>
            <w:hideMark/>
          </w:tcPr>
          <w:p w14:paraId="3CCB4CE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Community Parks (including Nurseries)</w:t>
            </w:r>
          </w:p>
        </w:tc>
        <w:tc>
          <w:tcPr>
            <w:tcW w:w="249" w:type="pct"/>
            <w:vMerge w:val="restart"/>
            <w:hideMark/>
          </w:tcPr>
          <w:p w14:paraId="5E528F2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Levies</w:t>
            </w:r>
          </w:p>
        </w:tc>
        <w:tc>
          <w:tcPr>
            <w:tcW w:w="162" w:type="pct"/>
            <w:vMerge w:val="restart"/>
            <w:hideMark/>
          </w:tcPr>
          <w:p w14:paraId="204B162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6F106B6A" w14:textId="77777777" w:rsidTr="008A0277">
        <w:trPr>
          <w:trHeight w:val="300"/>
        </w:trPr>
        <w:tc>
          <w:tcPr>
            <w:tcW w:w="277" w:type="pct"/>
            <w:vMerge/>
            <w:hideMark/>
          </w:tcPr>
          <w:p w14:paraId="66152C58"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555316E4"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6FA20A62"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36753E79"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4AEA7EF3"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211505B3"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3E885A33"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594 920.00</w:t>
            </w:r>
          </w:p>
        </w:tc>
        <w:tc>
          <w:tcPr>
            <w:tcW w:w="362" w:type="pct"/>
            <w:hideMark/>
          </w:tcPr>
          <w:p w14:paraId="0FF93CE2"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627 050.00</w:t>
            </w:r>
          </w:p>
        </w:tc>
        <w:tc>
          <w:tcPr>
            <w:tcW w:w="362" w:type="pct"/>
            <w:hideMark/>
          </w:tcPr>
          <w:p w14:paraId="67A16239"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661 540.00</w:t>
            </w:r>
          </w:p>
        </w:tc>
        <w:tc>
          <w:tcPr>
            <w:tcW w:w="362" w:type="pct"/>
            <w:hideMark/>
          </w:tcPr>
          <w:p w14:paraId="3542006C"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661 540.00</w:t>
            </w:r>
          </w:p>
        </w:tc>
        <w:tc>
          <w:tcPr>
            <w:tcW w:w="362" w:type="pct"/>
            <w:hideMark/>
          </w:tcPr>
          <w:p w14:paraId="4016EF4C"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661 540.00</w:t>
            </w:r>
          </w:p>
        </w:tc>
        <w:tc>
          <w:tcPr>
            <w:tcW w:w="180" w:type="pct"/>
            <w:vMerge/>
            <w:hideMark/>
          </w:tcPr>
          <w:p w14:paraId="4AE71C10"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1F2C6968"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05D47B39"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4387F546"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51D967C7"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1C6F25F8"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37319B60" w14:textId="77777777" w:rsidTr="008A0277">
        <w:trPr>
          <w:trHeight w:val="1661"/>
        </w:trPr>
        <w:tc>
          <w:tcPr>
            <w:tcW w:w="277" w:type="pct"/>
            <w:vMerge w:val="restart"/>
            <w:hideMark/>
          </w:tcPr>
          <w:p w14:paraId="63F5B6E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Inadequate performance monitoring</w:t>
            </w:r>
          </w:p>
        </w:tc>
        <w:tc>
          <w:tcPr>
            <w:tcW w:w="116" w:type="pct"/>
            <w:vMerge w:val="restart"/>
            <w:hideMark/>
          </w:tcPr>
          <w:p w14:paraId="6477477C"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53</w:t>
            </w:r>
          </w:p>
        </w:tc>
        <w:tc>
          <w:tcPr>
            <w:tcW w:w="270" w:type="pct"/>
            <w:vMerge w:val="restart"/>
            <w:hideMark/>
          </w:tcPr>
          <w:p w14:paraId="4EFE526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Service Delivery</w:t>
            </w:r>
          </w:p>
        </w:tc>
        <w:tc>
          <w:tcPr>
            <w:tcW w:w="268" w:type="pct"/>
            <w:vMerge w:val="restart"/>
            <w:hideMark/>
          </w:tcPr>
          <w:p w14:paraId="0DAB80D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provide and maintain infrastructure and services to all, with emphasis on rural communities, in a sustainable manner</w:t>
            </w:r>
          </w:p>
        </w:tc>
        <w:tc>
          <w:tcPr>
            <w:tcW w:w="362" w:type="pct"/>
            <w:vMerge w:val="restart"/>
            <w:hideMark/>
          </w:tcPr>
          <w:p w14:paraId="077AD95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Monitor the performance of all Service Providers appointed for grass cutting and ensure that monthly reports are attached to invoices when submitting for payments</w:t>
            </w:r>
          </w:p>
        </w:tc>
        <w:tc>
          <w:tcPr>
            <w:tcW w:w="362" w:type="pct"/>
            <w:vMerge w:val="restart"/>
            <w:hideMark/>
          </w:tcPr>
          <w:p w14:paraId="0EF1275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Number of performance assessments reports completed on the assessment for grass cutting services</w:t>
            </w:r>
          </w:p>
        </w:tc>
        <w:tc>
          <w:tcPr>
            <w:tcW w:w="362" w:type="pct"/>
            <w:hideMark/>
          </w:tcPr>
          <w:p w14:paraId="547EFFA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service provider assessment reports completed by 30 June and attached to invoices for grass cutting services when submitted for payments</w:t>
            </w:r>
          </w:p>
        </w:tc>
        <w:tc>
          <w:tcPr>
            <w:tcW w:w="362" w:type="pct"/>
            <w:hideMark/>
          </w:tcPr>
          <w:p w14:paraId="2723B69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service provider assessment reports completed by 30 June and attached to invoices for grass cutting services when submitted for payments</w:t>
            </w:r>
          </w:p>
        </w:tc>
        <w:tc>
          <w:tcPr>
            <w:tcW w:w="362" w:type="pct"/>
            <w:hideMark/>
          </w:tcPr>
          <w:p w14:paraId="201F91E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service provider assessment reports completed by 30 June and attached to invoices for grass cutting services when submitted for payments</w:t>
            </w:r>
          </w:p>
        </w:tc>
        <w:tc>
          <w:tcPr>
            <w:tcW w:w="362" w:type="pct"/>
            <w:hideMark/>
          </w:tcPr>
          <w:p w14:paraId="762DDBE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service provider assessment reports completed by 30 June and attached to invoices for grass cutting services when submitted for payments</w:t>
            </w:r>
          </w:p>
        </w:tc>
        <w:tc>
          <w:tcPr>
            <w:tcW w:w="362" w:type="pct"/>
            <w:hideMark/>
          </w:tcPr>
          <w:p w14:paraId="58593C1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service provider assessment reports completed by 30 June and attached to invoices for grass cutting services when submitted for payments</w:t>
            </w:r>
          </w:p>
        </w:tc>
        <w:tc>
          <w:tcPr>
            <w:tcW w:w="180" w:type="pct"/>
            <w:vMerge w:val="restart"/>
            <w:hideMark/>
          </w:tcPr>
          <w:p w14:paraId="7262901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w:t>
            </w:r>
          </w:p>
        </w:tc>
        <w:tc>
          <w:tcPr>
            <w:tcW w:w="268" w:type="pct"/>
            <w:vMerge w:val="restart"/>
            <w:hideMark/>
          </w:tcPr>
          <w:p w14:paraId="4A3FF2B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COMMUNITY SERVICES</w:t>
            </w:r>
          </w:p>
        </w:tc>
        <w:tc>
          <w:tcPr>
            <w:tcW w:w="306" w:type="pct"/>
            <w:vMerge w:val="restart"/>
            <w:hideMark/>
          </w:tcPr>
          <w:p w14:paraId="124E4CD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Contracted services - grass cutting</w:t>
            </w:r>
          </w:p>
        </w:tc>
        <w:tc>
          <w:tcPr>
            <w:tcW w:w="369" w:type="pct"/>
            <w:vMerge w:val="restart"/>
            <w:hideMark/>
          </w:tcPr>
          <w:p w14:paraId="60E6941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Community Parks (including Nurseries)</w:t>
            </w:r>
          </w:p>
        </w:tc>
        <w:tc>
          <w:tcPr>
            <w:tcW w:w="249" w:type="pct"/>
            <w:vMerge w:val="restart"/>
            <w:hideMark/>
          </w:tcPr>
          <w:p w14:paraId="08CC3B3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Local Government Financial Management Grant  [Schedule 5B]</w:t>
            </w:r>
          </w:p>
        </w:tc>
        <w:tc>
          <w:tcPr>
            <w:tcW w:w="162" w:type="pct"/>
            <w:vMerge w:val="restart"/>
            <w:hideMark/>
          </w:tcPr>
          <w:p w14:paraId="1E08159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Wards 11, 12, 18, 19</w:t>
            </w:r>
          </w:p>
        </w:tc>
      </w:tr>
      <w:tr w:rsidR="008A0277" w:rsidRPr="008A0277" w14:paraId="0BFD7496" w14:textId="77777777" w:rsidTr="008A0277">
        <w:trPr>
          <w:trHeight w:val="300"/>
        </w:trPr>
        <w:tc>
          <w:tcPr>
            <w:tcW w:w="277" w:type="pct"/>
            <w:vMerge/>
            <w:hideMark/>
          </w:tcPr>
          <w:p w14:paraId="052270F8"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15548B53"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6771AF97"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0F6A15CA"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73D2A95E"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73B863D2"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03DA660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1 898 440.00</w:t>
            </w:r>
          </w:p>
        </w:tc>
        <w:tc>
          <w:tcPr>
            <w:tcW w:w="362" w:type="pct"/>
            <w:hideMark/>
          </w:tcPr>
          <w:p w14:paraId="6C89D6D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2 000 950.00</w:t>
            </w:r>
          </w:p>
        </w:tc>
        <w:tc>
          <w:tcPr>
            <w:tcW w:w="362" w:type="pct"/>
            <w:hideMark/>
          </w:tcPr>
          <w:p w14:paraId="7F02DE7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2 111 000.00</w:t>
            </w:r>
          </w:p>
        </w:tc>
        <w:tc>
          <w:tcPr>
            <w:tcW w:w="362" w:type="pct"/>
            <w:hideMark/>
          </w:tcPr>
          <w:p w14:paraId="2C1CC96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2 111 000.00</w:t>
            </w:r>
          </w:p>
        </w:tc>
        <w:tc>
          <w:tcPr>
            <w:tcW w:w="362" w:type="pct"/>
            <w:hideMark/>
          </w:tcPr>
          <w:p w14:paraId="6767565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2 111 000.00</w:t>
            </w:r>
          </w:p>
        </w:tc>
        <w:tc>
          <w:tcPr>
            <w:tcW w:w="180" w:type="pct"/>
            <w:vMerge/>
            <w:hideMark/>
          </w:tcPr>
          <w:p w14:paraId="02687DAF"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7DAA64E2"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0CED28CB"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0142B384"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76ED722B"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0E41C3B3"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0BB95ECE" w14:textId="77777777" w:rsidTr="008A0277">
        <w:trPr>
          <w:trHeight w:val="1815"/>
        </w:trPr>
        <w:tc>
          <w:tcPr>
            <w:tcW w:w="277" w:type="pct"/>
            <w:vMerge w:val="restart"/>
            <w:hideMark/>
          </w:tcPr>
          <w:p w14:paraId="156E47B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42C19A7C"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54</w:t>
            </w:r>
          </w:p>
        </w:tc>
        <w:tc>
          <w:tcPr>
            <w:tcW w:w="270" w:type="pct"/>
            <w:vMerge w:val="restart"/>
            <w:hideMark/>
          </w:tcPr>
          <w:p w14:paraId="1850559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Service Delivery</w:t>
            </w:r>
          </w:p>
        </w:tc>
        <w:tc>
          <w:tcPr>
            <w:tcW w:w="268" w:type="pct"/>
            <w:vMerge w:val="restart"/>
            <w:hideMark/>
          </w:tcPr>
          <w:p w14:paraId="5CEFA9A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provide and maintain infrastructure and services to all, with emphasis on rural communities, in a sustainable manner</w:t>
            </w:r>
          </w:p>
        </w:tc>
        <w:tc>
          <w:tcPr>
            <w:tcW w:w="362" w:type="pct"/>
            <w:vMerge w:val="restart"/>
            <w:hideMark/>
          </w:tcPr>
          <w:p w14:paraId="714CC09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Ensure that monthly waste awareness programmes are conducted</w:t>
            </w:r>
          </w:p>
        </w:tc>
        <w:tc>
          <w:tcPr>
            <w:tcW w:w="362" w:type="pct"/>
            <w:vMerge w:val="restart"/>
            <w:hideMark/>
          </w:tcPr>
          <w:p w14:paraId="2886296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Number of waste awareness programmes held by 30 June</w:t>
            </w:r>
          </w:p>
        </w:tc>
        <w:tc>
          <w:tcPr>
            <w:tcW w:w="362" w:type="pct"/>
            <w:hideMark/>
          </w:tcPr>
          <w:p w14:paraId="3DEFB46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waste awareness programmes held by 30 June</w:t>
            </w:r>
          </w:p>
        </w:tc>
        <w:tc>
          <w:tcPr>
            <w:tcW w:w="362" w:type="pct"/>
            <w:hideMark/>
          </w:tcPr>
          <w:p w14:paraId="2FE7C42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waste awareness programmes held by 30 June</w:t>
            </w:r>
          </w:p>
        </w:tc>
        <w:tc>
          <w:tcPr>
            <w:tcW w:w="362" w:type="pct"/>
            <w:hideMark/>
          </w:tcPr>
          <w:p w14:paraId="695D00F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waste awareness programmes held by 30 June</w:t>
            </w:r>
          </w:p>
        </w:tc>
        <w:tc>
          <w:tcPr>
            <w:tcW w:w="362" w:type="pct"/>
            <w:hideMark/>
          </w:tcPr>
          <w:p w14:paraId="2FFB7DD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waste awareness programmes held by 30 June</w:t>
            </w:r>
          </w:p>
        </w:tc>
        <w:tc>
          <w:tcPr>
            <w:tcW w:w="362" w:type="pct"/>
            <w:hideMark/>
          </w:tcPr>
          <w:p w14:paraId="5E17871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waste awareness programmes held by 30 June</w:t>
            </w:r>
          </w:p>
        </w:tc>
        <w:tc>
          <w:tcPr>
            <w:tcW w:w="180" w:type="pct"/>
            <w:vMerge w:val="restart"/>
            <w:hideMark/>
          </w:tcPr>
          <w:p w14:paraId="47A612A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w:t>
            </w:r>
          </w:p>
        </w:tc>
        <w:tc>
          <w:tcPr>
            <w:tcW w:w="268" w:type="pct"/>
            <w:vMerge w:val="restart"/>
            <w:hideMark/>
          </w:tcPr>
          <w:p w14:paraId="4925C12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COMMUNITY SERVICES</w:t>
            </w:r>
          </w:p>
        </w:tc>
        <w:tc>
          <w:tcPr>
            <w:tcW w:w="306" w:type="pct"/>
            <w:vMerge w:val="restart"/>
            <w:hideMark/>
          </w:tcPr>
          <w:p w14:paraId="4870732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Awareness Campaign</w:t>
            </w:r>
          </w:p>
        </w:tc>
        <w:tc>
          <w:tcPr>
            <w:tcW w:w="369" w:type="pct"/>
            <w:vMerge w:val="restart"/>
            <w:hideMark/>
          </w:tcPr>
          <w:p w14:paraId="1CFF560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Solid Waste Removal</w:t>
            </w:r>
          </w:p>
        </w:tc>
        <w:tc>
          <w:tcPr>
            <w:tcW w:w="249" w:type="pct"/>
            <w:vMerge w:val="restart"/>
            <w:hideMark/>
          </w:tcPr>
          <w:p w14:paraId="0A94D5E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Waste</w:t>
            </w:r>
          </w:p>
        </w:tc>
        <w:tc>
          <w:tcPr>
            <w:tcW w:w="162" w:type="pct"/>
            <w:vMerge w:val="restart"/>
            <w:hideMark/>
          </w:tcPr>
          <w:p w14:paraId="0ADE42E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656663E7" w14:textId="77777777" w:rsidTr="008A0277">
        <w:trPr>
          <w:trHeight w:val="300"/>
        </w:trPr>
        <w:tc>
          <w:tcPr>
            <w:tcW w:w="277" w:type="pct"/>
            <w:vMerge/>
            <w:hideMark/>
          </w:tcPr>
          <w:p w14:paraId="6176B1DE"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219271DC"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0A26C118"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0BCA63BA"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6E609E46"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0BA4DD1E"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4EC37AC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101 490.00</w:t>
            </w:r>
          </w:p>
        </w:tc>
        <w:tc>
          <w:tcPr>
            <w:tcW w:w="362" w:type="pct"/>
            <w:hideMark/>
          </w:tcPr>
          <w:p w14:paraId="3C49E49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80 820.00</w:t>
            </w:r>
          </w:p>
        </w:tc>
        <w:tc>
          <w:tcPr>
            <w:tcW w:w="362" w:type="pct"/>
            <w:hideMark/>
          </w:tcPr>
          <w:p w14:paraId="79D2FC1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85 270.00</w:t>
            </w:r>
          </w:p>
        </w:tc>
        <w:tc>
          <w:tcPr>
            <w:tcW w:w="362" w:type="pct"/>
            <w:hideMark/>
          </w:tcPr>
          <w:p w14:paraId="2E1F22D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85 270.00</w:t>
            </w:r>
          </w:p>
        </w:tc>
        <w:tc>
          <w:tcPr>
            <w:tcW w:w="362" w:type="pct"/>
            <w:hideMark/>
          </w:tcPr>
          <w:p w14:paraId="7B88ED1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85 270.00</w:t>
            </w:r>
          </w:p>
        </w:tc>
        <w:tc>
          <w:tcPr>
            <w:tcW w:w="180" w:type="pct"/>
            <w:vMerge/>
            <w:hideMark/>
          </w:tcPr>
          <w:p w14:paraId="4EFD95A1"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71621388"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5A9444A3"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051A015A"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51B28EE5"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4A20BFAE"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419420EC" w14:textId="77777777" w:rsidTr="008A0277">
        <w:trPr>
          <w:trHeight w:val="765"/>
        </w:trPr>
        <w:tc>
          <w:tcPr>
            <w:tcW w:w="277" w:type="pct"/>
            <w:vMerge w:val="restart"/>
            <w:hideMark/>
          </w:tcPr>
          <w:p w14:paraId="2413922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Inadequate financial performance</w:t>
            </w:r>
          </w:p>
        </w:tc>
        <w:tc>
          <w:tcPr>
            <w:tcW w:w="116" w:type="pct"/>
            <w:vMerge w:val="restart"/>
            <w:hideMark/>
          </w:tcPr>
          <w:p w14:paraId="1DD99D1C"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55</w:t>
            </w:r>
          </w:p>
        </w:tc>
        <w:tc>
          <w:tcPr>
            <w:tcW w:w="270" w:type="pct"/>
            <w:vMerge w:val="restart"/>
            <w:hideMark/>
          </w:tcPr>
          <w:p w14:paraId="406CF99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Financial Viability and Management</w:t>
            </w:r>
          </w:p>
        </w:tc>
        <w:tc>
          <w:tcPr>
            <w:tcW w:w="268" w:type="pct"/>
            <w:vMerge w:val="restart"/>
            <w:hideMark/>
          </w:tcPr>
          <w:p w14:paraId="2FAFD51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ensure continued sound financial management</w:t>
            </w:r>
          </w:p>
        </w:tc>
        <w:tc>
          <w:tcPr>
            <w:tcW w:w="362" w:type="pct"/>
            <w:vMerge w:val="restart"/>
            <w:hideMark/>
          </w:tcPr>
          <w:p w14:paraId="078EDF4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Ensure 100% of Creditors are paid within 30 days of receipt of invoice </w:t>
            </w:r>
          </w:p>
        </w:tc>
        <w:tc>
          <w:tcPr>
            <w:tcW w:w="362" w:type="pct"/>
            <w:vMerge w:val="restart"/>
            <w:hideMark/>
          </w:tcPr>
          <w:p w14:paraId="0F17527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Percentage of creditors paid within 30 days</w:t>
            </w:r>
          </w:p>
        </w:tc>
        <w:tc>
          <w:tcPr>
            <w:tcW w:w="362" w:type="pct"/>
            <w:hideMark/>
          </w:tcPr>
          <w:p w14:paraId="0CC2C21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100% of creditors paid within 30 days of receipt of invoice</w:t>
            </w:r>
          </w:p>
        </w:tc>
        <w:tc>
          <w:tcPr>
            <w:tcW w:w="362" w:type="pct"/>
            <w:hideMark/>
          </w:tcPr>
          <w:p w14:paraId="269CF50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100% of creditors paid within 30 days of receipt of invoice</w:t>
            </w:r>
          </w:p>
        </w:tc>
        <w:tc>
          <w:tcPr>
            <w:tcW w:w="362" w:type="pct"/>
            <w:hideMark/>
          </w:tcPr>
          <w:p w14:paraId="6E70CD0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100% of creditors paid within 30 days of receipt of invoice</w:t>
            </w:r>
          </w:p>
        </w:tc>
        <w:tc>
          <w:tcPr>
            <w:tcW w:w="362" w:type="pct"/>
            <w:hideMark/>
          </w:tcPr>
          <w:p w14:paraId="787599C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100% of creditors paid within 30 days of receipt of invoice</w:t>
            </w:r>
          </w:p>
        </w:tc>
        <w:tc>
          <w:tcPr>
            <w:tcW w:w="362" w:type="pct"/>
            <w:hideMark/>
          </w:tcPr>
          <w:p w14:paraId="5299F97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100% of creditors paid within 30 days of receipt of invoice</w:t>
            </w:r>
          </w:p>
        </w:tc>
        <w:tc>
          <w:tcPr>
            <w:tcW w:w="180" w:type="pct"/>
            <w:vMerge w:val="restart"/>
            <w:hideMark/>
          </w:tcPr>
          <w:p w14:paraId="7803C8F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4441357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FINANCIAL SERVICES</w:t>
            </w:r>
          </w:p>
        </w:tc>
        <w:tc>
          <w:tcPr>
            <w:tcW w:w="306" w:type="pct"/>
            <w:vMerge w:val="restart"/>
            <w:hideMark/>
          </w:tcPr>
          <w:p w14:paraId="14AD2E1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Services</w:t>
            </w:r>
          </w:p>
        </w:tc>
        <w:tc>
          <w:tcPr>
            <w:tcW w:w="369" w:type="pct"/>
            <w:vMerge w:val="restart"/>
            <w:hideMark/>
          </w:tcPr>
          <w:p w14:paraId="52CEC92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Water &amp; Sanitation</w:t>
            </w:r>
          </w:p>
        </w:tc>
        <w:tc>
          <w:tcPr>
            <w:tcW w:w="249" w:type="pct"/>
            <w:vMerge w:val="restart"/>
            <w:hideMark/>
          </w:tcPr>
          <w:p w14:paraId="6206D27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Levies</w:t>
            </w:r>
          </w:p>
        </w:tc>
        <w:tc>
          <w:tcPr>
            <w:tcW w:w="162" w:type="pct"/>
            <w:vMerge w:val="restart"/>
            <w:hideMark/>
          </w:tcPr>
          <w:p w14:paraId="3AC563D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ADMIN</w:t>
            </w:r>
          </w:p>
        </w:tc>
      </w:tr>
      <w:tr w:rsidR="008A0277" w:rsidRPr="008A0277" w14:paraId="445594C7" w14:textId="77777777" w:rsidTr="008A0277">
        <w:trPr>
          <w:trHeight w:val="300"/>
        </w:trPr>
        <w:tc>
          <w:tcPr>
            <w:tcW w:w="277" w:type="pct"/>
            <w:vMerge/>
            <w:hideMark/>
          </w:tcPr>
          <w:p w14:paraId="6ABFD433"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5C3C99E4"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1BE8B937"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4A163059"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5049971B"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3236B94E"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786FBEA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1 889 890.00</w:t>
            </w:r>
          </w:p>
        </w:tc>
        <w:tc>
          <w:tcPr>
            <w:tcW w:w="362" w:type="pct"/>
            <w:hideMark/>
          </w:tcPr>
          <w:p w14:paraId="71F1D3E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1 991 940.00</w:t>
            </w:r>
          </w:p>
        </w:tc>
        <w:tc>
          <w:tcPr>
            <w:tcW w:w="362" w:type="pct"/>
            <w:hideMark/>
          </w:tcPr>
          <w:p w14:paraId="655BFB0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2 101 500.00</w:t>
            </w:r>
          </w:p>
        </w:tc>
        <w:tc>
          <w:tcPr>
            <w:tcW w:w="362" w:type="pct"/>
            <w:hideMark/>
          </w:tcPr>
          <w:p w14:paraId="14BACE0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2 101 500.00</w:t>
            </w:r>
          </w:p>
        </w:tc>
        <w:tc>
          <w:tcPr>
            <w:tcW w:w="362" w:type="pct"/>
            <w:hideMark/>
          </w:tcPr>
          <w:p w14:paraId="5D7DE39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2 101 500.00</w:t>
            </w:r>
          </w:p>
        </w:tc>
        <w:tc>
          <w:tcPr>
            <w:tcW w:w="180" w:type="pct"/>
            <w:vMerge/>
            <w:hideMark/>
          </w:tcPr>
          <w:p w14:paraId="4191E36A"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14CE2A22"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44331EE9"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7835B233"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3F023B66"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53AD8F0C"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502D1B81" w14:textId="77777777" w:rsidTr="008A0277">
        <w:trPr>
          <w:trHeight w:val="1620"/>
        </w:trPr>
        <w:tc>
          <w:tcPr>
            <w:tcW w:w="277" w:type="pct"/>
            <w:vMerge w:val="restart"/>
            <w:hideMark/>
          </w:tcPr>
          <w:p w14:paraId="223972D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Inadequate compliance with National Archives Act</w:t>
            </w:r>
          </w:p>
        </w:tc>
        <w:tc>
          <w:tcPr>
            <w:tcW w:w="116" w:type="pct"/>
            <w:vMerge w:val="restart"/>
            <w:hideMark/>
          </w:tcPr>
          <w:p w14:paraId="10F7155F"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56</w:t>
            </w:r>
          </w:p>
        </w:tc>
        <w:tc>
          <w:tcPr>
            <w:tcW w:w="270" w:type="pct"/>
            <w:vMerge w:val="restart"/>
            <w:hideMark/>
          </w:tcPr>
          <w:p w14:paraId="71FB95A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Service Delivery</w:t>
            </w:r>
          </w:p>
        </w:tc>
        <w:tc>
          <w:tcPr>
            <w:tcW w:w="268" w:type="pct"/>
            <w:vMerge w:val="restart"/>
            <w:hideMark/>
          </w:tcPr>
          <w:p w14:paraId="5BA8439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provide and maintain infrastructure and services to all, with emphasis on rural communities, in a sustainable manner</w:t>
            </w:r>
          </w:p>
        </w:tc>
        <w:tc>
          <w:tcPr>
            <w:tcW w:w="362" w:type="pct"/>
            <w:vMerge w:val="restart"/>
            <w:hideMark/>
          </w:tcPr>
          <w:p w14:paraId="6134D1B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Ensure correspondence received by the records office attended to daily</w:t>
            </w:r>
          </w:p>
        </w:tc>
        <w:tc>
          <w:tcPr>
            <w:tcW w:w="362" w:type="pct"/>
            <w:vMerge w:val="restart"/>
            <w:hideMark/>
          </w:tcPr>
          <w:p w14:paraId="425F251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Percentage correspondence attended to daily</w:t>
            </w:r>
          </w:p>
        </w:tc>
        <w:tc>
          <w:tcPr>
            <w:tcW w:w="362" w:type="pct"/>
            <w:hideMark/>
          </w:tcPr>
          <w:p w14:paraId="571FA12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100% correspondence received by records office attended to daily </w:t>
            </w:r>
          </w:p>
        </w:tc>
        <w:tc>
          <w:tcPr>
            <w:tcW w:w="362" w:type="pct"/>
            <w:hideMark/>
          </w:tcPr>
          <w:p w14:paraId="73752F6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100% correspondence received by records office attended to daily </w:t>
            </w:r>
          </w:p>
        </w:tc>
        <w:tc>
          <w:tcPr>
            <w:tcW w:w="362" w:type="pct"/>
            <w:hideMark/>
          </w:tcPr>
          <w:p w14:paraId="71A94A8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100% correspondence received by records office attended to daily </w:t>
            </w:r>
          </w:p>
        </w:tc>
        <w:tc>
          <w:tcPr>
            <w:tcW w:w="362" w:type="pct"/>
            <w:hideMark/>
          </w:tcPr>
          <w:p w14:paraId="069D067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100% correspondence received by records office attended to daily </w:t>
            </w:r>
          </w:p>
        </w:tc>
        <w:tc>
          <w:tcPr>
            <w:tcW w:w="362" w:type="pct"/>
            <w:hideMark/>
          </w:tcPr>
          <w:p w14:paraId="510DF2F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100% correspondence received by records office attended to daily </w:t>
            </w:r>
          </w:p>
        </w:tc>
        <w:tc>
          <w:tcPr>
            <w:tcW w:w="180" w:type="pct"/>
            <w:vMerge w:val="restart"/>
            <w:hideMark/>
          </w:tcPr>
          <w:p w14:paraId="1F2E277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268" w:type="pct"/>
            <w:vMerge w:val="restart"/>
            <w:hideMark/>
          </w:tcPr>
          <w:p w14:paraId="48AC321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CORPORATE SERVICES </w:t>
            </w:r>
          </w:p>
        </w:tc>
        <w:tc>
          <w:tcPr>
            <w:tcW w:w="306" w:type="pct"/>
            <w:vMerge w:val="restart"/>
            <w:hideMark/>
          </w:tcPr>
          <w:p w14:paraId="110A182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Document management system</w:t>
            </w:r>
          </w:p>
        </w:tc>
        <w:tc>
          <w:tcPr>
            <w:tcW w:w="369" w:type="pct"/>
            <w:vMerge w:val="restart"/>
            <w:hideMark/>
          </w:tcPr>
          <w:p w14:paraId="4B4DB02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Administrative and Corporate Support</w:t>
            </w:r>
          </w:p>
        </w:tc>
        <w:tc>
          <w:tcPr>
            <w:tcW w:w="249" w:type="pct"/>
            <w:vMerge w:val="restart"/>
            <w:hideMark/>
          </w:tcPr>
          <w:p w14:paraId="7E6B275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Equitable Share</w:t>
            </w:r>
          </w:p>
        </w:tc>
        <w:tc>
          <w:tcPr>
            <w:tcW w:w="162" w:type="pct"/>
            <w:vMerge w:val="restart"/>
            <w:hideMark/>
          </w:tcPr>
          <w:p w14:paraId="6FD16C1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31929D34" w14:textId="77777777" w:rsidTr="008A0277">
        <w:trPr>
          <w:trHeight w:val="300"/>
        </w:trPr>
        <w:tc>
          <w:tcPr>
            <w:tcW w:w="277" w:type="pct"/>
            <w:vMerge/>
            <w:hideMark/>
          </w:tcPr>
          <w:p w14:paraId="6D84F9A7"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216A7B0C"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0CFF4D1C"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393DE52B"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168D6CBA"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4A90E7B2"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3415867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162 740.00</w:t>
            </w:r>
          </w:p>
        </w:tc>
        <w:tc>
          <w:tcPr>
            <w:tcW w:w="362" w:type="pct"/>
            <w:hideMark/>
          </w:tcPr>
          <w:p w14:paraId="38D50F5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166 130.00</w:t>
            </w:r>
          </w:p>
        </w:tc>
        <w:tc>
          <w:tcPr>
            <w:tcW w:w="362" w:type="pct"/>
            <w:hideMark/>
          </w:tcPr>
          <w:p w14:paraId="60B9B98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69 760.00</w:t>
            </w:r>
          </w:p>
        </w:tc>
        <w:tc>
          <w:tcPr>
            <w:tcW w:w="362" w:type="pct"/>
            <w:hideMark/>
          </w:tcPr>
          <w:p w14:paraId="500FF3E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69 760.00</w:t>
            </w:r>
          </w:p>
        </w:tc>
        <w:tc>
          <w:tcPr>
            <w:tcW w:w="362" w:type="pct"/>
            <w:hideMark/>
          </w:tcPr>
          <w:p w14:paraId="0F0C6F5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69 760.00</w:t>
            </w:r>
          </w:p>
        </w:tc>
        <w:tc>
          <w:tcPr>
            <w:tcW w:w="180" w:type="pct"/>
            <w:vMerge/>
            <w:hideMark/>
          </w:tcPr>
          <w:p w14:paraId="6B17F33B"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10DB1918"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405E6E88"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01C335D2"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38F467AC"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1339F5AD"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79023C49" w14:textId="77777777" w:rsidTr="008A0277">
        <w:trPr>
          <w:trHeight w:val="1965"/>
        </w:trPr>
        <w:tc>
          <w:tcPr>
            <w:tcW w:w="277" w:type="pct"/>
            <w:vMerge w:val="restart"/>
            <w:hideMark/>
          </w:tcPr>
          <w:p w14:paraId="60A5A5E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Slow progress on LED &amp; Tourism development</w:t>
            </w:r>
          </w:p>
        </w:tc>
        <w:tc>
          <w:tcPr>
            <w:tcW w:w="116" w:type="pct"/>
            <w:vMerge w:val="restart"/>
            <w:hideMark/>
          </w:tcPr>
          <w:p w14:paraId="4DDBBE0E"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57</w:t>
            </w:r>
          </w:p>
        </w:tc>
        <w:tc>
          <w:tcPr>
            <w:tcW w:w="270" w:type="pct"/>
            <w:vMerge w:val="restart"/>
            <w:hideMark/>
          </w:tcPr>
          <w:p w14:paraId="0216FF1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Local Economic Development </w:t>
            </w:r>
          </w:p>
        </w:tc>
        <w:tc>
          <w:tcPr>
            <w:tcW w:w="268" w:type="pct"/>
            <w:vMerge w:val="restart"/>
            <w:hideMark/>
          </w:tcPr>
          <w:p w14:paraId="4744232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develop and support social development initiatives, particularly those focussed on the youth and the vulnerable groups</w:t>
            </w:r>
          </w:p>
        </w:tc>
        <w:tc>
          <w:tcPr>
            <w:tcW w:w="362" w:type="pct"/>
            <w:vMerge w:val="restart"/>
            <w:hideMark/>
          </w:tcPr>
          <w:p w14:paraId="1C05E2F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Facilitate 2 arts and culture activities/programmes by 30 June</w:t>
            </w:r>
          </w:p>
        </w:tc>
        <w:tc>
          <w:tcPr>
            <w:tcW w:w="362" w:type="pct"/>
            <w:vMerge w:val="restart"/>
            <w:hideMark/>
          </w:tcPr>
          <w:p w14:paraId="28E207D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No of arts and cultural activities/programmes facilitated by 30 June</w:t>
            </w:r>
          </w:p>
        </w:tc>
        <w:tc>
          <w:tcPr>
            <w:tcW w:w="362" w:type="pct"/>
            <w:hideMark/>
          </w:tcPr>
          <w:p w14:paraId="025457B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arts and culture activities/programmes facilitated by 30 June</w:t>
            </w:r>
          </w:p>
        </w:tc>
        <w:tc>
          <w:tcPr>
            <w:tcW w:w="362" w:type="pct"/>
            <w:hideMark/>
          </w:tcPr>
          <w:p w14:paraId="78B6DF2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arts and culture activities/programmes facilitated by 30 June</w:t>
            </w:r>
          </w:p>
        </w:tc>
        <w:tc>
          <w:tcPr>
            <w:tcW w:w="362" w:type="pct"/>
            <w:hideMark/>
          </w:tcPr>
          <w:p w14:paraId="1A9CA24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arts and culture activities/programmes facilitated by 30 June</w:t>
            </w:r>
          </w:p>
        </w:tc>
        <w:tc>
          <w:tcPr>
            <w:tcW w:w="362" w:type="pct"/>
            <w:hideMark/>
          </w:tcPr>
          <w:p w14:paraId="060B7CE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arts and culture activities/programmes facilitated by 30 June</w:t>
            </w:r>
          </w:p>
        </w:tc>
        <w:tc>
          <w:tcPr>
            <w:tcW w:w="362" w:type="pct"/>
            <w:hideMark/>
          </w:tcPr>
          <w:p w14:paraId="01C3795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 arts and culture activities/programmes facilitated by 30 June</w:t>
            </w:r>
          </w:p>
        </w:tc>
        <w:tc>
          <w:tcPr>
            <w:tcW w:w="180" w:type="pct"/>
            <w:vMerge w:val="restart"/>
            <w:hideMark/>
          </w:tcPr>
          <w:p w14:paraId="4312ED2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481FBB6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COMMUNITY SERVICES</w:t>
            </w:r>
          </w:p>
        </w:tc>
        <w:tc>
          <w:tcPr>
            <w:tcW w:w="306" w:type="pct"/>
            <w:vMerge w:val="restart"/>
            <w:hideMark/>
          </w:tcPr>
          <w:p w14:paraId="0464E93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Contracted Services</w:t>
            </w:r>
          </w:p>
        </w:tc>
        <w:tc>
          <w:tcPr>
            <w:tcW w:w="369" w:type="pct"/>
            <w:vMerge w:val="restart"/>
            <w:hideMark/>
          </w:tcPr>
          <w:p w14:paraId="2E53761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Cultural Matters</w:t>
            </w:r>
          </w:p>
        </w:tc>
        <w:tc>
          <w:tcPr>
            <w:tcW w:w="249" w:type="pct"/>
            <w:vMerge w:val="restart"/>
            <w:hideMark/>
          </w:tcPr>
          <w:p w14:paraId="52E6100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Equitable Share</w:t>
            </w:r>
          </w:p>
        </w:tc>
        <w:tc>
          <w:tcPr>
            <w:tcW w:w="162" w:type="pct"/>
            <w:vMerge w:val="restart"/>
            <w:hideMark/>
          </w:tcPr>
          <w:p w14:paraId="5F025EF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654F67B2" w14:textId="77777777" w:rsidTr="008A0277">
        <w:trPr>
          <w:trHeight w:val="300"/>
        </w:trPr>
        <w:tc>
          <w:tcPr>
            <w:tcW w:w="277" w:type="pct"/>
            <w:vMerge/>
            <w:hideMark/>
          </w:tcPr>
          <w:p w14:paraId="65CFC7CF"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6F3143D0"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500366D1"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2D8C3B44"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77CA6349"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2A4FE194"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558DC08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204 530.00</w:t>
            </w:r>
          </w:p>
        </w:tc>
        <w:tc>
          <w:tcPr>
            <w:tcW w:w="362" w:type="pct"/>
            <w:hideMark/>
          </w:tcPr>
          <w:p w14:paraId="3A2106F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211 710.00</w:t>
            </w:r>
          </w:p>
        </w:tc>
        <w:tc>
          <w:tcPr>
            <w:tcW w:w="362" w:type="pct"/>
            <w:hideMark/>
          </w:tcPr>
          <w:p w14:paraId="2015037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217 140.00</w:t>
            </w:r>
          </w:p>
        </w:tc>
        <w:tc>
          <w:tcPr>
            <w:tcW w:w="362" w:type="pct"/>
            <w:hideMark/>
          </w:tcPr>
          <w:p w14:paraId="61333FA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217 140.00</w:t>
            </w:r>
          </w:p>
        </w:tc>
        <w:tc>
          <w:tcPr>
            <w:tcW w:w="362" w:type="pct"/>
            <w:hideMark/>
          </w:tcPr>
          <w:p w14:paraId="061EC05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217 140.00</w:t>
            </w:r>
          </w:p>
        </w:tc>
        <w:tc>
          <w:tcPr>
            <w:tcW w:w="180" w:type="pct"/>
            <w:vMerge/>
            <w:hideMark/>
          </w:tcPr>
          <w:p w14:paraId="64C4AF8D"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688FA30A"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696EA945"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5560B8D2"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7A9F3AAF"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499B4914"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74023F54" w14:textId="77777777" w:rsidTr="008A0277">
        <w:trPr>
          <w:trHeight w:val="1755"/>
        </w:trPr>
        <w:tc>
          <w:tcPr>
            <w:tcW w:w="277" w:type="pct"/>
            <w:vMerge w:val="restart"/>
            <w:hideMark/>
          </w:tcPr>
          <w:p w14:paraId="3249F2E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Inadequate performance monitoring</w:t>
            </w:r>
          </w:p>
        </w:tc>
        <w:tc>
          <w:tcPr>
            <w:tcW w:w="116" w:type="pct"/>
            <w:vMerge w:val="restart"/>
            <w:hideMark/>
          </w:tcPr>
          <w:p w14:paraId="59F95114"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58</w:t>
            </w:r>
          </w:p>
        </w:tc>
        <w:tc>
          <w:tcPr>
            <w:tcW w:w="270" w:type="pct"/>
            <w:vMerge w:val="restart"/>
            <w:hideMark/>
          </w:tcPr>
          <w:p w14:paraId="4CA8441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Service Delivery</w:t>
            </w:r>
          </w:p>
        </w:tc>
        <w:tc>
          <w:tcPr>
            <w:tcW w:w="268" w:type="pct"/>
            <w:vMerge w:val="restart"/>
            <w:hideMark/>
          </w:tcPr>
          <w:p w14:paraId="6E48AEF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provide and maintain infrastructure and services to all, with emphasis on rural communities, in a sustainable manner</w:t>
            </w:r>
          </w:p>
        </w:tc>
        <w:tc>
          <w:tcPr>
            <w:tcW w:w="362" w:type="pct"/>
            <w:vMerge w:val="restart"/>
            <w:hideMark/>
          </w:tcPr>
          <w:p w14:paraId="756D5C0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Submit monthly reports to PMS on performance of Service Provider for managing the Municipal Pound</w:t>
            </w:r>
          </w:p>
        </w:tc>
        <w:tc>
          <w:tcPr>
            <w:tcW w:w="362" w:type="pct"/>
            <w:vMerge w:val="restart"/>
            <w:hideMark/>
          </w:tcPr>
          <w:p w14:paraId="7F703CC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Number of reports submitted to PMS by 30 June</w:t>
            </w:r>
          </w:p>
        </w:tc>
        <w:tc>
          <w:tcPr>
            <w:tcW w:w="362" w:type="pct"/>
            <w:hideMark/>
          </w:tcPr>
          <w:p w14:paraId="0FD9709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reports submitted to PMS by 30 June on the performance of service provider for managing the municipal Pound</w:t>
            </w:r>
          </w:p>
        </w:tc>
        <w:tc>
          <w:tcPr>
            <w:tcW w:w="362" w:type="pct"/>
            <w:hideMark/>
          </w:tcPr>
          <w:p w14:paraId="23C1554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reports submitted to PMS by 30 June on the performance of service provider for managing the municipal Pound</w:t>
            </w:r>
          </w:p>
        </w:tc>
        <w:tc>
          <w:tcPr>
            <w:tcW w:w="362" w:type="pct"/>
            <w:hideMark/>
          </w:tcPr>
          <w:p w14:paraId="4AF076E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reports submitted to PMS by 30 June on the performance of service provider for managing the municipal Pound</w:t>
            </w:r>
          </w:p>
        </w:tc>
        <w:tc>
          <w:tcPr>
            <w:tcW w:w="362" w:type="pct"/>
            <w:hideMark/>
          </w:tcPr>
          <w:p w14:paraId="060D6E8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reports submitted to PMS by 30 June on the performance of service provider for managing the municipal Pound</w:t>
            </w:r>
          </w:p>
        </w:tc>
        <w:tc>
          <w:tcPr>
            <w:tcW w:w="362" w:type="pct"/>
            <w:hideMark/>
          </w:tcPr>
          <w:p w14:paraId="4C56143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reports submitted to PMS by 30 June on the performance of service provider for managing the municipal Pound</w:t>
            </w:r>
          </w:p>
        </w:tc>
        <w:tc>
          <w:tcPr>
            <w:tcW w:w="180" w:type="pct"/>
            <w:vMerge w:val="restart"/>
            <w:hideMark/>
          </w:tcPr>
          <w:p w14:paraId="1D53A19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w:t>
            </w:r>
          </w:p>
        </w:tc>
        <w:tc>
          <w:tcPr>
            <w:tcW w:w="268" w:type="pct"/>
            <w:vMerge w:val="restart"/>
            <w:hideMark/>
          </w:tcPr>
          <w:p w14:paraId="2C6BA6A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COMMUNITY SERVICES</w:t>
            </w:r>
          </w:p>
        </w:tc>
        <w:tc>
          <w:tcPr>
            <w:tcW w:w="306" w:type="pct"/>
            <w:vMerge w:val="restart"/>
            <w:hideMark/>
          </w:tcPr>
          <w:p w14:paraId="38E52B5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Contracted Services</w:t>
            </w:r>
          </w:p>
        </w:tc>
        <w:tc>
          <w:tcPr>
            <w:tcW w:w="369" w:type="pct"/>
            <w:vMerge w:val="restart"/>
            <w:hideMark/>
          </w:tcPr>
          <w:p w14:paraId="4ABD485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Disaster Management</w:t>
            </w:r>
          </w:p>
        </w:tc>
        <w:tc>
          <w:tcPr>
            <w:tcW w:w="249" w:type="pct"/>
            <w:vMerge w:val="restart"/>
            <w:hideMark/>
          </w:tcPr>
          <w:p w14:paraId="5A8CAB8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Equitable Share</w:t>
            </w:r>
          </w:p>
        </w:tc>
        <w:tc>
          <w:tcPr>
            <w:tcW w:w="162" w:type="pct"/>
            <w:vMerge w:val="restart"/>
            <w:hideMark/>
          </w:tcPr>
          <w:p w14:paraId="619D8B9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1C6BCAFD" w14:textId="77777777" w:rsidTr="008A0277">
        <w:trPr>
          <w:trHeight w:val="300"/>
        </w:trPr>
        <w:tc>
          <w:tcPr>
            <w:tcW w:w="277" w:type="pct"/>
            <w:vMerge/>
            <w:hideMark/>
          </w:tcPr>
          <w:p w14:paraId="1544814A"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0020AC75"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0084BD4E"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7F5F00AC"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7AA9BC8E"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5CB392BD"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70113FF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617 580.00</w:t>
            </w:r>
          </w:p>
        </w:tc>
        <w:tc>
          <w:tcPr>
            <w:tcW w:w="362" w:type="pct"/>
            <w:hideMark/>
          </w:tcPr>
          <w:p w14:paraId="60CECDE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650 930.00</w:t>
            </w:r>
          </w:p>
        </w:tc>
        <w:tc>
          <w:tcPr>
            <w:tcW w:w="362" w:type="pct"/>
            <w:hideMark/>
          </w:tcPr>
          <w:p w14:paraId="78BCF59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686 730.00</w:t>
            </w:r>
          </w:p>
        </w:tc>
        <w:tc>
          <w:tcPr>
            <w:tcW w:w="362" w:type="pct"/>
            <w:hideMark/>
          </w:tcPr>
          <w:p w14:paraId="0426C5A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686 730.00</w:t>
            </w:r>
          </w:p>
        </w:tc>
        <w:tc>
          <w:tcPr>
            <w:tcW w:w="362" w:type="pct"/>
            <w:hideMark/>
          </w:tcPr>
          <w:p w14:paraId="5E794DD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686 730.00</w:t>
            </w:r>
          </w:p>
        </w:tc>
        <w:tc>
          <w:tcPr>
            <w:tcW w:w="180" w:type="pct"/>
            <w:vMerge/>
            <w:hideMark/>
          </w:tcPr>
          <w:p w14:paraId="6EAC1774"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5B0CC1FD"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137AE2B3"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6C57B40F"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7BA384C7"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4B29C4B2"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12ED42C7" w14:textId="77777777" w:rsidTr="008A0277">
        <w:trPr>
          <w:trHeight w:val="1635"/>
        </w:trPr>
        <w:tc>
          <w:tcPr>
            <w:tcW w:w="277" w:type="pct"/>
            <w:vMerge w:val="restart"/>
            <w:hideMark/>
          </w:tcPr>
          <w:p w14:paraId="6E571C1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Natural Disasters</w:t>
            </w:r>
          </w:p>
        </w:tc>
        <w:tc>
          <w:tcPr>
            <w:tcW w:w="116" w:type="pct"/>
            <w:vMerge w:val="restart"/>
            <w:hideMark/>
          </w:tcPr>
          <w:p w14:paraId="1EDD391B"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59</w:t>
            </w:r>
          </w:p>
        </w:tc>
        <w:tc>
          <w:tcPr>
            <w:tcW w:w="270" w:type="pct"/>
            <w:vMerge w:val="restart"/>
            <w:hideMark/>
          </w:tcPr>
          <w:p w14:paraId="27E494C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Service Delivery</w:t>
            </w:r>
          </w:p>
        </w:tc>
        <w:tc>
          <w:tcPr>
            <w:tcW w:w="268" w:type="pct"/>
            <w:vMerge w:val="restart"/>
            <w:hideMark/>
          </w:tcPr>
          <w:p w14:paraId="072D6E1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provide and maintain infrastructure and services to all, with emphasis on rural communities, in a sustainable manner</w:t>
            </w:r>
          </w:p>
        </w:tc>
        <w:tc>
          <w:tcPr>
            <w:tcW w:w="362" w:type="pct"/>
            <w:vMerge w:val="restart"/>
            <w:hideMark/>
          </w:tcPr>
          <w:p w14:paraId="74E443B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Hold quarterly Disaster Forum meetings</w:t>
            </w:r>
          </w:p>
        </w:tc>
        <w:tc>
          <w:tcPr>
            <w:tcW w:w="362" w:type="pct"/>
            <w:vMerge w:val="restart"/>
            <w:hideMark/>
          </w:tcPr>
          <w:p w14:paraId="7407810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Number of Disaster Forum meetings held by 30 June</w:t>
            </w:r>
          </w:p>
        </w:tc>
        <w:tc>
          <w:tcPr>
            <w:tcW w:w="362" w:type="pct"/>
            <w:hideMark/>
          </w:tcPr>
          <w:p w14:paraId="5EEDBB9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4 Disaster Forum meetings held by 30 June </w:t>
            </w:r>
          </w:p>
        </w:tc>
        <w:tc>
          <w:tcPr>
            <w:tcW w:w="362" w:type="pct"/>
            <w:hideMark/>
          </w:tcPr>
          <w:p w14:paraId="614265C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4 Disaster Forum meetings held by 30 June </w:t>
            </w:r>
          </w:p>
        </w:tc>
        <w:tc>
          <w:tcPr>
            <w:tcW w:w="362" w:type="pct"/>
            <w:hideMark/>
          </w:tcPr>
          <w:p w14:paraId="4B482A0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4 Disaster Forum meetings held by 30 June </w:t>
            </w:r>
          </w:p>
        </w:tc>
        <w:tc>
          <w:tcPr>
            <w:tcW w:w="362" w:type="pct"/>
            <w:hideMark/>
          </w:tcPr>
          <w:p w14:paraId="2A82715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4 Disaster Forum meetings held by 30 June </w:t>
            </w:r>
          </w:p>
        </w:tc>
        <w:tc>
          <w:tcPr>
            <w:tcW w:w="362" w:type="pct"/>
            <w:hideMark/>
          </w:tcPr>
          <w:p w14:paraId="6942118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4 Disaster Forum meetings held by 30 June </w:t>
            </w:r>
          </w:p>
        </w:tc>
        <w:tc>
          <w:tcPr>
            <w:tcW w:w="180" w:type="pct"/>
            <w:vMerge w:val="restart"/>
            <w:hideMark/>
          </w:tcPr>
          <w:p w14:paraId="26A777D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w:t>
            </w:r>
          </w:p>
        </w:tc>
        <w:tc>
          <w:tcPr>
            <w:tcW w:w="268" w:type="pct"/>
            <w:vMerge w:val="restart"/>
            <w:hideMark/>
          </w:tcPr>
          <w:p w14:paraId="01ACEFA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COMMUNITY SERVICES</w:t>
            </w:r>
          </w:p>
        </w:tc>
        <w:tc>
          <w:tcPr>
            <w:tcW w:w="306" w:type="pct"/>
            <w:vMerge w:val="restart"/>
            <w:hideMark/>
          </w:tcPr>
          <w:p w14:paraId="6272F29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Transfers and subsidies; Contracted Services</w:t>
            </w:r>
          </w:p>
        </w:tc>
        <w:tc>
          <w:tcPr>
            <w:tcW w:w="369" w:type="pct"/>
            <w:vMerge w:val="restart"/>
            <w:hideMark/>
          </w:tcPr>
          <w:p w14:paraId="6ED1A70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Disaster Management</w:t>
            </w:r>
          </w:p>
        </w:tc>
        <w:tc>
          <w:tcPr>
            <w:tcW w:w="249" w:type="pct"/>
            <w:vMerge w:val="restart"/>
            <w:hideMark/>
          </w:tcPr>
          <w:p w14:paraId="7C00D6E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Equitable Share</w:t>
            </w:r>
          </w:p>
        </w:tc>
        <w:tc>
          <w:tcPr>
            <w:tcW w:w="162" w:type="pct"/>
            <w:vMerge w:val="restart"/>
            <w:hideMark/>
          </w:tcPr>
          <w:p w14:paraId="4740905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4EFED65A" w14:textId="77777777" w:rsidTr="008A0277">
        <w:trPr>
          <w:trHeight w:val="300"/>
        </w:trPr>
        <w:tc>
          <w:tcPr>
            <w:tcW w:w="277" w:type="pct"/>
            <w:vMerge/>
            <w:hideMark/>
          </w:tcPr>
          <w:p w14:paraId="33278D7B"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0F6B8293"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2A7D018B"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18B0F78F"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5815D60E"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58C1BE43"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1BACEEC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880 220.00</w:t>
            </w:r>
          </w:p>
        </w:tc>
        <w:tc>
          <w:tcPr>
            <w:tcW w:w="362" w:type="pct"/>
            <w:hideMark/>
          </w:tcPr>
          <w:p w14:paraId="5450107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942 640.00</w:t>
            </w:r>
          </w:p>
        </w:tc>
        <w:tc>
          <w:tcPr>
            <w:tcW w:w="362" w:type="pct"/>
            <w:hideMark/>
          </w:tcPr>
          <w:p w14:paraId="1E959C5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1 005 980.00</w:t>
            </w:r>
          </w:p>
        </w:tc>
        <w:tc>
          <w:tcPr>
            <w:tcW w:w="362" w:type="pct"/>
            <w:hideMark/>
          </w:tcPr>
          <w:p w14:paraId="6C9ADAD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1 005 980.00</w:t>
            </w:r>
          </w:p>
        </w:tc>
        <w:tc>
          <w:tcPr>
            <w:tcW w:w="362" w:type="pct"/>
            <w:hideMark/>
          </w:tcPr>
          <w:p w14:paraId="0BCB51C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1 005 980.00</w:t>
            </w:r>
          </w:p>
        </w:tc>
        <w:tc>
          <w:tcPr>
            <w:tcW w:w="180" w:type="pct"/>
            <w:vMerge/>
            <w:hideMark/>
          </w:tcPr>
          <w:p w14:paraId="120C7AE3"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03D3102A"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531FC97D"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05819D07"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5871B623"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1D653715"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11332923" w14:textId="77777777" w:rsidTr="008A0277">
        <w:trPr>
          <w:trHeight w:val="1020"/>
        </w:trPr>
        <w:tc>
          <w:tcPr>
            <w:tcW w:w="277" w:type="pct"/>
            <w:vMerge w:val="restart"/>
            <w:hideMark/>
          </w:tcPr>
          <w:p w14:paraId="21721D9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Inadequate performance monitoring</w:t>
            </w:r>
          </w:p>
        </w:tc>
        <w:tc>
          <w:tcPr>
            <w:tcW w:w="116" w:type="pct"/>
            <w:vMerge w:val="restart"/>
            <w:hideMark/>
          </w:tcPr>
          <w:p w14:paraId="31E66DCB"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60</w:t>
            </w:r>
          </w:p>
        </w:tc>
        <w:tc>
          <w:tcPr>
            <w:tcW w:w="270" w:type="pct"/>
            <w:vMerge w:val="restart"/>
            <w:hideMark/>
          </w:tcPr>
          <w:p w14:paraId="700EDE3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Financial Viability and Management</w:t>
            </w:r>
          </w:p>
        </w:tc>
        <w:tc>
          <w:tcPr>
            <w:tcW w:w="268" w:type="pct"/>
            <w:vMerge w:val="restart"/>
            <w:hideMark/>
          </w:tcPr>
          <w:p w14:paraId="056F92D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ensure continued sound financial management</w:t>
            </w:r>
          </w:p>
        </w:tc>
        <w:tc>
          <w:tcPr>
            <w:tcW w:w="362" w:type="pct"/>
            <w:vMerge w:val="restart"/>
            <w:hideMark/>
          </w:tcPr>
          <w:p w14:paraId="245FFD4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Submit monthly reports to PMS on performance of TMT Service Provider</w:t>
            </w:r>
          </w:p>
        </w:tc>
        <w:tc>
          <w:tcPr>
            <w:tcW w:w="362" w:type="pct"/>
            <w:vMerge w:val="restart"/>
            <w:hideMark/>
          </w:tcPr>
          <w:p w14:paraId="1184136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Number of reports submitted to PMS by 30 June</w:t>
            </w:r>
          </w:p>
        </w:tc>
        <w:tc>
          <w:tcPr>
            <w:tcW w:w="362" w:type="pct"/>
            <w:hideMark/>
          </w:tcPr>
          <w:p w14:paraId="12E8963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reports submitted to PMS by 30 June on the performance of TMT service provider</w:t>
            </w:r>
          </w:p>
        </w:tc>
        <w:tc>
          <w:tcPr>
            <w:tcW w:w="362" w:type="pct"/>
            <w:hideMark/>
          </w:tcPr>
          <w:p w14:paraId="7FD72F8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reports submitted to PMS by 30 June on the performance of TMT service provider</w:t>
            </w:r>
          </w:p>
        </w:tc>
        <w:tc>
          <w:tcPr>
            <w:tcW w:w="362" w:type="pct"/>
            <w:hideMark/>
          </w:tcPr>
          <w:p w14:paraId="7D47BB7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reports submitted to PMS by 30 June on the performance of TMT service provider</w:t>
            </w:r>
          </w:p>
        </w:tc>
        <w:tc>
          <w:tcPr>
            <w:tcW w:w="362" w:type="pct"/>
            <w:hideMark/>
          </w:tcPr>
          <w:p w14:paraId="43F09C1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reports submitted to PMS by 30 June on the performance of TMT service provider</w:t>
            </w:r>
          </w:p>
        </w:tc>
        <w:tc>
          <w:tcPr>
            <w:tcW w:w="362" w:type="pct"/>
            <w:hideMark/>
          </w:tcPr>
          <w:p w14:paraId="00A073E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 reports submitted to PMS by 30 June on the performance of TMT service provider</w:t>
            </w:r>
          </w:p>
        </w:tc>
        <w:tc>
          <w:tcPr>
            <w:tcW w:w="180" w:type="pct"/>
            <w:vMerge w:val="restart"/>
            <w:hideMark/>
          </w:tcPr>
          <w:p w14:paraId="268A0C3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1903DB3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COMMUNITY SERVICES</w:t>
            </w:r>
          </w:p>
        </w:tc>
        <w:tc>
          <w:tcPr>
            <w:tcW w:w="306" w:type="pct"/>
            <w:vMerge w:val="restart"/>
            <w:hideMark/>
          </w:tcPr>
          <w:p w14:paraId="43FDE9F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Contracted services - TMT</w:t>
            </w:r>
          </w:p>
        </w:tc>
        <w:tc>
          <w:tcPr>
            <w:tcW w:w="369" w:type="pct"/>
            <w:vMerge w:val="restart"/>
            <w:hideMark/>
          </w:tcPr>
          <w:p w14:paraId="7F06940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Police Forces, Traffic and Street Parking Control</w:t>
            </w:r>
          </w:p>
        </w:tc>
        <w:tc>
          <w:tcPr>
            <w:tcW w:w="249" w:type="pct"/>
            <w:vMerge w:val="restart"/>
            <w:hideMark/>
          </w:tcPr>
          <w:p w14:paraId="3A6964C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Levies</w:t>
            </w:r>
          </w:p>
        </w:tc>
        <w:tc>
          <w:tcPr>
            <w:tcW w:w="162" w:type="pct"/>
            <w:vMerge w:val="restart"/>
            <w:hideMark/>
          </w:tcPr>
          <w:p w14:paraId="784BDB9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ADMIN</w:t>
            </w:r>
          </w:p>
        </w:tc>
      </w:tr>
      <w:tr w:rsidR="008A0277" w:rsidRPr="008A0277" w14:paraId="2689AEC3" w14:textId="77777777" w:rsidTr="008A0277">
        <w:trPr>
          <w:trHeight w:val="300"/>
        </w:trPr>
        <w:tc>
          <w:tcPr>
            <w:tcW w:w="277" w:type="pct"/>
            <w:vMerge/>
            <w:hideMark/>
          </w:tcPr>
          <w:p w14:paraId="72BDE713"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7A56A90D"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69A06051"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489BE25C"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1F47C295"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1F009BD5"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7566FBB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3 088 140.00</w:t>
            </w:r>
          </w:p>
        </w:tc>
        <w:tc>
          <w:tcPr>
            <w:tcW w:w="362" w:type="pct"/>
            <w:hideMark/>
          </w:tcPr>
          <w:p w14:paraId="0AD3844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3 254 910.00</w:t>
            </w:r>
          </w:p>
        </w:tc>
        <w:tc>
          <w:tcPr>
            <w:tcW w:w="362" w:type="pct"/>
            <w:hideMark/>
          </w:tcPr>
          <w:p w14:paraId="6F8782A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3 433 920.00</w:t>
            </w:r>
          </w:p>
        </w:tc>
        <w:tc>
          <w:tcPr>
            <w:tcW w:w="362" w:type="pct"/>
            <w:hideMark/>
          </w:tcPr>
          <w:p w14:paraId="3CACCE4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3 433 920.00</w:t>
            </w:r>
          </w:p>
        </w:tc>
        <w:tc>
          <w:tcPr>
            <w:tcW w:w="362" w:type="pct"/>
            <w:hideMark/>
          </w:tcPr>
          <w:p w14:paraId="4C71A8C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3 433 920.00</w:t>
            </w:r>
          </w:p>
        </w:tc>
        <w:tc>
          <w:tcPr>
            <w:tcW w:w="180" w:type="pct"/>
            <w:vMerge/>
            <w:hideMark/>
          </w:tcPr>
          <w:p w14:paraId="3F656663"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3015BA5C"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4C9B1F75"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7612A2A4"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43F6774C"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614B730D"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03661CA4" w14:textId="77777777" w:rsidTr="008A0277">
        <w:trPr>
          <w:trHeight w:val="1635"/>
        </w:trPr>
        <w:tc>
          <w:tcPr>
            <w:tcW w:w="277" w:type="pct"/>
            <w:vMerge w:val="restart"/>
            <w:hideMark/>
          </w:tcPr>
          <w:p w14:paraId="0B023E0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7012DF3F"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61</w:t>
            </w:r>
          </w:p>
        </w:tc>
        <w:tc>
          <w:tcPr>
            <w:tcW w:w="270" w:type="pct"/>
            <w:vMerge w:val="restart"/>
            <w:hideMark/>
          </w:tcPr>
          <w:p w14:paraId="1F0B570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Service Delivery</w:t>
            </w:r>
          </w:p>
        </w:tc>
        <w:tc>
          <w:tcPr>
            <w:tcW w:w="268" w:type="pct"/>
            <w:vMerge w:val="restart"/>
            <w:hideMark/>
          </w:tcPr>
          <w:p w14:paraId="11161A4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provide and maintain infrastructure and services to all, with emphasis on rural communities, in a sustainable manner</w:t>
            </w:r>
          </w:p>
        </w:tc>
        <w:tc>
          <w:tcPr>
            <w:tcW w:w="362" w:type="pct"/>
            <w:vMerge w:val="restart"/>
            <w:hideMark/>
          </w:tcPr>
          <w:p w14:paraId="17FB103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Ensure the Construction of Nteneshane Sports field by 31 March</w:t>
            </w:r>
          </w:p>
        </w:tc>
        <w:tc>
          <w:tcPr>
            <w:tcW w:w="362" w:type="pct"/>
            <w:vMerge w:val="restart"/>
            <w:hideMark/>
          </w:tcPr>
          <w:p w14:paraId="15AA534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Date of completion of construction of Sportsfield</w:t>
            </w:r>
          </w:p>
        </w:tc>
        <w:tc>
          <w:tcPr>
            <w:tcW w:w="362" w:type="pct"/>
            <w:hideMark/>
          </w:tcPr>
          <w:p w14:paraId="42493B8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Construction of sportsfield to be completed by 31 March</w:t>
            </w:r>
          </w:p>
        </w:tc>
        <w:tc>
          <w:tcPr>
            <w:tcW w:w="362" w:type="pct"/>
            <w:hideMark/>
          </w:tcPr>
          <w:p w14:paraId="0E7CC1F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632A157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6086764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2174924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101BA94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1038A35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COMMUNITY SERVICES</w:t>
            </w:r>
          </w:p>
        </w:tc>
        <w:tc>
          <w:tcPr>
            <w:tcW w:w="306" w:type="pct"/>
            <w:vMerge w:val="restart"/>
            <w:hideMark/>
          </w:tcPr>
          <w:p w14:paraId="67DFF99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Outdoor Facilities</w:t>
            </w:r>
          </w:p>
        </w:tc>
        <w:tc>
          <w:tcPr>
            <w:tcW w:w="369" w:type="pct"/>
            <w:vMerge w:val="restart"/>
            <w:hideMark/>
          </w:tcPr>
          <w:p w14:paraId="167697F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Sports Grounds and Stadiums</w:t>
            </w:r>
          </w:p>
        </w:tc>
        <w:tc>
          <w:tcPr>
            <w:tcW w:w="249" w:type="pct"/>
            <w:vMerge w:val="restart"/>
            <w:hideMark/>
          </w:tcPr>
          <w:p w14:paraId="5EB048C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Infrastructure Grant [Schedule 5B]</w:t>
            </w:r>
          </w:p>
        </w:tc>
        <w:tc>
          <w:tcPr>
            <w:tcW w:w="162" w:type="pct"/>
            <w:vMerge w:val="restart"/>
            <w:hideMark/>
          </w:tcPr>
          <w:p w14:paraId="2BE4CBA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 23</w:t>
            </w:r>
          </w:p>
        </w:tc>
      </w:tr>
      <w:tr w:rsidR="008A0277" w:rsidRPr="008A0277" w14:paraId="2FB18A08" w14:textId="77777777" w:rsidTr="008A0277">
        <w:trPr>
          <w:trHeight w:val="300"/>
        </w:trPr>
        <w:tc>
          <w:tcPr>
            <w:tcW w:w="277" w:type="pct"/>
            <w:vMerge/>
            <w:hideMark/>
          </w:tcPr>
          <w:p w14:paraId="7F6577EC"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72B68959"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5FC01BD5"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67F8A7FF"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4951D7E0"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63D377FA"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42AE963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4 212 470.00</w:t>
            </w:r>
          </w:p>
        </w:tc>
        <w:tc>
          <w:tcPr>
            <w:tcW w:w="362" w:type="pct"/>
            <w:hideMark/>
          </w:tcPr>
          <w:p w14:paraId="3EC5F1D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4ADB4C2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5A052A7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133BF1B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180" w:type="pct"/>
            <w:vMerge/>
            <w:hideMark/>
          </w:tcPr>
          <w:p w14:paraId="7DB43644"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0592D188"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6C7D0793"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139882F3"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5CE45128"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3E0A642B"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4023878C" w14:textId="77777777" w:rsidTr="008A0277">
        <w:trPr>
          <w:trHeight w:val="1635"/>
        </w:trPr>
        <w:tc>
          <w:tcPr>
            <w:tcW w:w="277" w:type="pct"/>
            <w:vMerge w:val="restart"/>
            <w:hideMark/>
          </w:tcPr>
          <w:p w14:paraId="4909288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7F6491CA"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62</w:t>
            </w:r>
          </w:p>
        </w:tc>
        <w:tc>
          <w:tcPr>
            <w:tcW w:w="270" w:type="pct"/>
            <w:vMerge w:val="restart"/>
            <w:hideMark/>
          </w:tcPr>
          <w:p w14:paraId="5039EEE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Service Delivery</w:t>
            </w:r>
          </w:p>
        </w:tc>
        <w:tc>
          <w:tcPr>
            <w:tcW w:w="268" w:type="pct"/>
            <w:vMerge w:val="restart"/>
            <w:hideMark/>
          </w:tcPr>
          <w:p w14:paraId="598F5CA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provide and maintain infrastructure and services to all, with emphasis on rural communities, in a sustainable manner</w:t>
            </w:r>
          </w:p>
        </w:tc>
        <w:tc>
          <w:tcPr>
            <w:tcW w:w="362" w:type="pct"/>
            <w:vMerge w:val="restart"/>
            <w:hideMark/>
          </w:tcPr>
          <w:p w14:paraId="6BE23DB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Ensure the Construction of Basamlilo Sports field by 30 June</w:t>
            </w:r>
          </w:p>
        </w:tc>
        <w:tc>
          <w:tcPr>
            <w:tcW w:w="362" w:type="pct"/>
            <w:vMerge w:val="restart"/>
            <w:hideMark/>
          </w:tcPr>
          <w:p w14:paraId="6167A26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Date of completion of construction of Sportsfield</w:t>
            </w:r>
          </w:p>
        </w:tc>
        <w:tc>
          <w:tcPr>
            <w:tcW w:w="362" w:type="pct"/>
            <w:hideMark/>
          </w:tcPr>
          <w:p w14:paraId="5FCD1C8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Construction of Basamlilo sportsfield to be completed by 30 June</w:t>
            </w:r>
          </w:p>
        </w:tc>
        <w:tc>
          <w:tcPr>
            <w:tcW w:w="362" w:type="pct"/>
            <w:hideMark/>
          </w:tcPr>
          <w:p w14:paraId="5ACD721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169DC10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3D0314F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3A4919E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2172C32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4AB47C2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COMMUNITY SERVICES</w:t>
            </w:r>
          </w:p>
        </w:tc>
        <w:tc>
          <w:tcPr>
            <w:tcW w:w="306" w:type="pct"/>
            <w:vMerge w:val="restart"/>
            <w:hideMark/>
          </w:tcPr>
          <w:p w14:paraId="090C336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Outdoor Facilities</w:t>
            </w:r>
          </w:p>
        </w:tc>
        <w:tc>
          <w:tcPr>
            <w:tcW w:w="369" w:type="pct"/>
            <w:vMerge w:val="restart"/>
            <w:hideMark/>
          </w:tcPr>
          <w:p w14:paraId="341D79B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Sports Grounds and Stadiums</w:t>
            </w:r>
          </w:p>
        </w:tc>
        <w:tc>
          <w:tcPr>
            <w:tcW w:w="249" w:type="pct"/>
            <w:vMerge w:val="restart"/>
            <w:hideMark/>
          </w:tcPr>
          <w:p w14:paraId="69D4611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Infrastructure Grant [Schedule 5B]</w:t>
            </w:r>
          </w:p>
        </w:tc>
        <w:tc>
          <w:tcPr>
            <w:tcW w:w="162" w:type="pct"/>
            <w:vMerge w:val="restart"/>
            <w:hideMark/>
          </w:tcPr>
          <w:p w14:paraId="139E6F6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 27</w:t>
            </w:r>
          </w:p>
        </w:tc>
      </w:tr>
      <w:tr w:rsidR="008A0277" w:rsidRPr="008A0277" w14:paraId="3612518E" w14:textId="77777777" w:rsidTr="008A0277">
        <w:trPr>
          <w:trHeight w:val="300"/>
        </w:trPr>
        <w:tc>
          <w:tcPr>
            <w:tcW w:w="277" w:type="pct"/>
            <w:vMerge/>
            <w:hideMark/>
          </w:tcPr>
          <w:p w14:paraId="2E13DF40"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4B68687A"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7F7CDC12"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741390E0"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2DA9E8C6"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6A53B018"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2797837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9 500 000.00</w:t>
            </w:r>
          </w:p>
        </w:tc>
        <w:tc>
          <w:tcPr>
            <w:tcW w:w="362" w:type="pct"/>
            <w:hideMark/>
          </w:tcPr>
          <w:p w14:paraId="7A9AC0D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1DE5182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78DC696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3AC4A16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180" w:type="pct"/>
            <w:vMerge/>
            <w:hideMark/>
          </w:tcPr>
          <w:p w14:paraId="2471F378"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42961BC2"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13B3C12A"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72061A02"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6F20AFF1"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540A9C12"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6CBE0ED3" w14:textId="77777777" w:rsidTr="008A0277">
        <w:trPr>
          <w:trHeight w:val="1560"/>
        </w:trPr>
        <w:tc>
          <w:tcPr>
            <w:tcW w:w="277" w:type="pct"/>
            <w:vMerge w:val="restart"/>
            <w:hideMark/>
          </w:tcPr>
          <w:p w14:paraId="77CF877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6F8C694B"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63</w:t>
            </w:r>
          </w:p>
        </w:tc>
        <w:tc>
          <w:tcPr>
            <w:tcW w:w="270" w:type="pct"/>
            <w:vMerge w:val="restart"/>
            <w:hideMark/>
          </w:tcPr>
          <w:p w14:paraId="78B061B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Service Delivery</w:t>
            </w:r>
          </w:p>
        </w:tc>
        <w:tc>
          <w:tcPr>
            <w:tcW w:w="268" w:type="pct"/>
            <w:vMerge w:val="restart"/>
            <w:hideMark/>
          </w:tcPr>
          <w:p w14:paraId="21A0E8D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provide and maintain infrastructure and services to all, with emphasis on rural communities, in a sustainable manner</w:t>
            </w:r>
          </w:p>
        </w:tc>
        <w:tc>
          <w:tcPr>
            <w:tcW w:w="362" w:type="pct"/>
            <w:vMerge w:val="restart"/>
            <w:hideMark/>
          </w:tcPr>
          <w:p w14:paraId="35107D3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Ensure the Construction of KDS Sports Park by 31 March</w:t>
            </w:r>
          </w:p>
        </w:tc>
        <w:tc>
          <w:tcPr>
            <w:tcW w:w="362" w:type="pct"/>
            <w:vMerge w:val="restart"/>
            <w:hideMark/>
          </w:tcPr>
          <w:p w14:paraId="54A0279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Date of completion of construction of Sportsfield</w:t>
            </w:r>
          </w:p>
        </w:tc>
        <w:tc>
          <w:tcPr>
            <w:tcW w:w="362" w:type="pct"/>
            <w:hideMark/>
          </w:tcPr>
          <w:p w14:paraId="1F1B43F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Construction of KDS Sports Park to be completed by 31 March</w:t>
            </w:r>
          </w:p>
        </w:tc>
        <w:tc>
          <w:tcPr>
            <w:tcW w:w="362" w:type="pct"/>
            <w:hideMark/>
          </w:tcPr>
          <w:p w14:paraId="740C17F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0F00AE3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2827FFB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218B09B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6E00AEA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2B3A5D6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COMMUNITY SERVICES</w:t>
            </w:r>
          </w:p>
        </w:tc>
        <w:tc>
          <w:tcPr>
            <w:tcW w:w="306" w:type="pct"/>
            <w:vMerge w:val="restart"/>
            <w:hideMark/>
          </w:tcPr>
          <w:p w14:paraId="791EB6C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Outdoor Facilities</w:t>
            </w:r>
          </w:p>
        </w:tc>
        <w:tc>
          <w:tcPr>
            <w:tcW w:w="369" w:type="pct"/>
            <w:vMerge w:val="restart"/>
            <w:hideMark/>
          </w:tcPr>
          <w:p w14:paraId="2A57A3A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Sports Grounds and Stadiums</w:t>
            </w:r>
          </w:p>
        </w:tc>
        <w:tc>
          <w:tcPr>
            <w:tcW w:w="249" w:type="pct"/>
            <w:vMerge w:val="restart"/>
            <w:hideMark/>
          </w:tcPr>
          <w:p w14:paraId="7F2DF4B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Infrastructure Grant [Schedule 5B]</w:t>
            </w:r>
          </w:p>
        </w:tc>
        <w:tc>
          <w:tcPr>
            <w:tcW w:w="162" w:type="pct"/>
            <w:vMerge w:val="restart"/>
            <w:hideMark/>
          </w:tcPr>
          <w:p w14:paraId="2112E3E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 12</w:t>
            </w:r>
          </w:p>
        </w:tc>
      </w:tr>
      <w:tr w:rsidR="008A0277" w:rsidRPr="008A0277" w14:paraId="2209FB6F" w14:textId="77777777" w:rsidTr="008A0277">
        <w:trPr>
          <w:trHeight w:val="300"/>
        </w:trPr>
        <w:tc>
          <w:tcPr>
            <w:tcW w:w="277" w:type="pct"/>
            <w:vMerge/>
            <w:hideMark/>
          </w:tcPr>
          <w:p w14:paraId="524BA2CC"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3AB1468C"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3DEC4BEA"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2D292ECB"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1FF4F2F8"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1319EA0A"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6434423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5 000 000,00</w:t>
            </w:r>
          </w:p>
        </w:tc>
        <w:tc>
          <w:tcPr>
            <w:tcW w:w="362" w:type="pct"/>
            <w:hideMark/>
          </w:tcPr>
          <w:p w14:paraId="43DD4E3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1C0E4EB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6BEEF8A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49C5282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180" w:type="pct"/>
            <w:vMerge/>
            <w:hideMark/>
          </w:tcPr>
          <w:p w14:paraId="2BA16CB4"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6AD412C0"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64E03606"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08858223"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04DE3928"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5C436F19"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14287902" w14:textId="77777777" w:rsidTr="008A0277">
        <w:trPr>
          <w:trHeight w:val="1725"/>
        </w:trPr>
        <w:tc>
          <w:tcPr>
            <w:tcW w:w="277" w:type="pct"/>
            <w:vMerge w:val="restart"/>
            <w:hideMark/>
          </w:tcPr>
          <w:p w14:paraId="73FF93A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2ECFA48A"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64</w:t>
            </w:r>
          </w:p>
        </w:tc>
        <w:tc>
          <w:tcPr>
            <w:tcW w:w="270" w:type="pct"/>
            <w:hideMark/>
          </w:tcPr>
          <w:p w14:paraId="6EE8112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Basic service delivery</w:t>
            </w:r>
          </w:p>
        </w:tc>
        <w:tc>
          <w:tcPr>
            <w:tcW w:w="268" w:type="pct"/>
            <w:vMerge w:val="restart"/>
            <w:hideMark/>
          </w:tcPr>
          <w:p w14:paraId="57E803C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provide and maintain infrastructure and services to all, with emphasis on rural communities, in a sustainable manner</w:t>
            </w:r>
          </w:p>
        </w:tc>
        <w:tc>
          <w:tcPr>
            <w:tcW w:w="362" w:type="pct"/>
            <w:vMerge w:val="restart"/>
            <w:hideMark/>
          </w:tcPr>
          <w:p w14:paraId="7AE4C84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Ensure the Construction of Phase 2 Kwabulawayo Sports field by 31 March</w:t>
            </w:r>
          </w:p>
        </w:tc>
        <w:tc>
          <w:tcPr>
            <w:tcW w:w="362" w:type="pct"/>
            <w:vMerge w:val="restart"/>
            <w:hideMark/>
          </w:tcPr>
          <w:p w14:paraId="35E3F20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Date of completion of construction of Sportsfield</w:t>
            </w:r>
          </w:p>
        </w:tc>
        <w:tc>
          <w:tcPr>
            <w:tcW w:w="362" w:type="pct"/>
            <w:hideMark/>
          </w:tcPr>
          <w:p w14:paraId="04C802C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Construction of Kwabulawayo sportfield to be completed by 31 March</w:t>
            </w:r>
          </w:p>
        </w:tc>
        <w:tc>
          <w:tcPr>
            <w:tcW w:w="362" w:type="pct"/>
            <w:hideMark/>
          </w:tcPr>
          <w:p w14:paraId="081F742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39B77FD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4FB0311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2" w:type="pct"/>
            <w:hideMark/>
          </w:tcPr>
          <w:p w14:paraId="3559602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80" w:type="pct"/>
            <w:vMerge w:val="restart"/>
            <w:hideMark/>
          </w:tcPr>
          <w:p w14:paraId="40CBB07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New</w:t>
            </w:r>
          </w:p>
        </w:tc>
        <w:tc>
          <w:tcPr>
            <w:tcW w:w="268" w:type="pct"/>
            <w:vMerge w:val="restart"/>
            <w:hideMark/>
          </w:tcPr>
          <w:p w14:paraId="613D59F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COMMUNITY SERVICES</w:t>
            </w:r>
          </w:p>
        </w:tc>
        <w:tc>
          <w:tcPr>
            <w:tcW w:w="306" w:type="pct"/>
            <w:vMerge w:val="restart"/>
            <w:hideMark/>
          </w:tcPr>
          <w:p w14:paraId="09B1FE7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Outdoor Facilities</w:t>
            </w:r>
          </w:p>
        </w:tc>
        <w:tc>
          <w:tcPr>
            <w:tcW w:w="369" w:type="pct"/>
            <w:vMerge w:val="restart"/>
            <w:hideMark/>
          </w:tcPr>
          <w:p w14:paraId="0C7B5CD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Sports Grounds and Stadiums</w:t>
            </w:r>
          </w:p>
        </w:tc>
        <w:tc>
          <w:tcPr>
            <w:tcW w:w="249" w:type="pct"/>
            <w:vMerge w:val="restart"/>
            <w:hideMark/>
          </w:tcPr>
          <w:p w14:paraId="73A48C0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Infrastructure Grant [Schedule 5B]</w:t>
            </w:r>
          </w:p>
        </w:tc>
        <w:tc>
          <w:tcPr>
            <w:tcW w:w="162" w:type="pct"/>
            <w:vMerge w:val="restart"/>
            <w:hideMark/>
          </w:tcPr>
          <w:p w14:paraId="0A9BC02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Ward 26</w:t>
            </w:r>
          </w:p>
        </w:tc>
      </w:tr>
      <w:tr w:rsidR="008A0277" w:rsidRPr="008A0277" w14:paraId="680DC698" w14:textId="77777777" w:rsidTr="008A0277">
        <w:trPr>
          <w:trHeight w:val="300"/>
        </w:trPr>
        <w:tc>
          <w:tcPr>
            <w:tcW w:w="277" w:type="pct"/>
            <w:vMerge/>
            <w:hideMark/>
          </w:tcPr>
          <w:p w14:paraId="6FB70276"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5AE666AC" w14:textId="77777777" w:rsidR="008A0277" w:rsidRPr="008A0277" w:rsidRDefault="008A0277" w:rsidP="008A0277">
            <w:pPr>
              <w:spacing w:after="160" w:line="259" w:lineRule="auto"/>
              <w:rPr>
                <w:rFonts w:eastAsia="Calibri" w:cs="Times New Roman"/>
                <w:b/>
                <w:bCs/>
                <w:sz w:val="12"/>
                <w:szCs w:val="12"/>
                <w:lang w:val="en-ZA"/>
              </w:rPr>
            </w:pPr>
          </w:p>
        </w:tc>
        <w:tc>
          <w:tcPr>
            <w:tcW w:w="270" w:type="pct"/>
            <w:hideMark/>
          </w:tcPr>
          <w:p w14:paraId="53FDAD6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vMerge/>
            <w:hideMark/>
          </w:tcPr>
          <w:p w14:paraId="45F2F960"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1555BC5B"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1527B8CA"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2FE8ED0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4 000 000.00</w:t>
            </w:r>
          </w:p>
        </w:tc>
        <w:tc>
          <w:tcPr>
            <w:tcW w:w="362" w:type="pct"/>
            <w:hideMark/>
          </w:tcPr>
          <w:p w14:paraId="15DA28F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6D627C7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764EFC2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362" w:type="pct"/>
            <w:hideMark/>
          </w:tcPr>
          <w:p w14:paraId="4F2BA90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0,00</w:t>
            </w:r>
          </w:p>
        </w:tc>
        <w:tc>
          <w:tcPr>
            <w:tcW w:w="180" w:type="pct"/>
            <w:vMerge/>
            <w:hideMark/>
          </w:tcPr>
          <w:p w14:paraId="59012592"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1C0B47AE"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77C9986D"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0BE992F9"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1AB81A39"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23D2C64A"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600444A4" w14:textId="77777777" w:rsidTr="008A0277">
        <w:trPr>
          <w:trHeight w:val="1463"/>
        </w:trPr>
        <w:tc>
          <w:tcPr>
            <w:tcW w:w="277" w:type="pct"/>
            <w:vMerge w:val="restart"/>
            <w:hideMark/>
          </w:tcPr>
          <w:p w14:paraId="73889A8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Unemployment</w:t>
            </w:r>
          </w:p>
        </w:tc>
        <w:tc>
          <w:tcPr>
            <w:tcW w:w="116" w:type="pct"/>
            <w:vMerge w:val="restart"/>
            <w:hideMark/>
          </w:tcPr>
          <w:p w14:paraId="5A9CD055"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65</w:t>
            </w:r>
          </w:p>
        </w:tc>
        <w:tc>
          <w:tcPr>
            <w:tcW w:w="270" w:type="pct"/>
            <w:vMerge w:val="restart"/>
            <w:hideMark/>
          </w:tcPr>
          <w:p w14:paraId="4CF13BF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Local Economic &amp; Social Development</w:t>
            </w:r>
          </w:p>
        </w:tc>
        <w:tc>
          <w:tcPr>
            <w:tcW w:w="268" w:type="pct"/>
            <w:vMerge w:val="restart"/>
            <w:hideMark/>
          </w:tcPr>
          <w:p w14:paraId="5D978DC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contribute towards the reduction of unemployment</w:t>
            </w:r>
          </w:p>
        </w:tc>
        <w:tc>
          <w:tcPr>
            <w:tcW w:w="362" w:type="pct"/>
            <w:vMerge w:val="restart"/>
            <w:hideMark/>
          </w:tcPr>
          <w:p w14:paraId="1A27444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Create 650 temporary job opportunities through EPWP projects and other operational projects by 30 June </w:t>
            </w:r>
          </w:p>
        </w:tc>
        <w:tc>
          <w:tcPr>
            <w:tcW w:w="362" w:type="pct"/>
            <w:vMerge w:val="restart"/>
            <w:hideMark/>
          </w:tcPr>
          <w:p w14:paraId="6F73B6C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Number of temporary job opportunities created through EPWP projects and other operational projects by 30 June </w:t>
            </w:r>
          </w:p>
        </w:tc>
        <w:tc>
          <w:tcPr>
            <w:tcW w:w="362" w:type="pct"/>
            <w:hideMark/>
          </w:tcPr>
          <w:p w14:paraId="4537DFB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931 jobs opportunities created through EPWP projects and other operational projects by 30 June</w:t>
            </w:r>
          </w:p>
        </w:tc>
        <w:tc>
          <w:tcPr>
            <w:tcW w:w="362" w:type="pct"/>
            <w:hideMark/>
          </w:tcPr>
          <w:p w14:paraId="0B8E26D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931 jobs opportunities created through EPWP projects and other operational projects by 30 June</w:t>
            </w:r>
          </w:p>
        </w:tc>
        <w:tc>
          <w:tcPr>
            <w:tcW w:w="362" w:type="pct"/>
            <w:hideMark/>
          </w:tcPr>
          <w:p w14:paraId="67755BF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931 jobs opportunities created through EPWP projects and other operational projects by 30 June</w:t>
            </w:r>
          </w:p>
        </w:tc>
        <w:tc>
          <w:tcPr>
            <w:tcW w:w="362" w:type="pct"/>
            <w:hideMark/>
          </w:tcPr>
          <w:p w14:paraId="1C55628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931 jobs opportunities created through EPWP projects and other operational projects by 30 June</w:t>
            </w:r>
          </w:p>
        </w:tc>
        <w:tc>
          <w:tcPr>
            <w:tcW w:w="362" w:type="pct"/>
            <w:hideMark/>
          </w:tcPr>
          <w:p w14:paraId="12B29CE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931 jobs opportunities created through EPWP projects and other operational projects by 30 June</w:t>
            </w:r>
          </w:p>
        </w:tc>
        <w:tc>
          <w:tcPr>
            <w:tcW w:w="180" w:type="pct"/>
            <w:vMerge w:val="restart"/>
            <w:hideMark/>
          </w:tcPr>
          <w:p w14:paraId="693B2AE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663</w:t>
            </w:r>
          </w:p>
        </w:tc>
        <w:tc>
          <w:tcPr>
            <w:tcW w:w="268" w:type="pct"/>
            <w:vMerge w:val="restart"/>
            <w:hideMark/>
          </w:tcPr>
          <w:p w14:paraId="1DE9D4F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COMMUNITY SERVICES</w:t>
            </w:r>
          </w:p>
        </w:tc>
        <w:tc>
          <w:tcPr>
            <w:tcW w:w="306" w:type="pct"/>
            <w:vMerge w:val="restart"/>
            <w:hideMark/>
          </w:tcPr>
          <w:p w14:paraId="2E9B8A3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Project</w:t>
            </w:r>
          </w:p>
        </w:tc>
        <w:tc>
          <w:tcPr>
            <w:tcW w:w="369" w:type="pct"/>
            <w:vMerge w:val="restart"/>
            <w:hideMark/>
          </w:tcPr>
          <w:p w14:paraId="2011C68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Solid Waste Removal</w:t>
            </w:r>
          </w:p>
        </w:tc>
        <w:tc>
          <w:tcPr>
            <w:tcW w:w="249" w:type="pct"/>
            <w:vMerge w:val="restart"/>
            <w:hideMark/>
          </w:tcPr>
          <w:p w14:paraId="64F925F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Non-funding Transactions</w:t>
            </w:r>
          </w:p>
        </w:tc>
        <w:tc>
          <w:tcPr>
            <w:tcW w:w="162" w:type="pct"/>
            <w:vMerge w:val="restart"/>
            <w:hideMark/>
          </w:tcPr>
          <w:p w14:paraId="4533670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7BA286A9" w14:textId="77777777" w:rsidTr="008A0277">
        <w:trPr>
          <w:trHeight w:val="300"/>
        </w:trPr>
        <w:tc>
          <w:tcPr>
            <w:tcW w:w="277" w:type="pct"/>
            <w:vMerge/>
            <w:hideMark/>
          </w:tcPr>
          <w:p w14:paraId="1ECA4443"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50A97B68"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10F0200C"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670A28F9"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0BD2D6A4"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3281008F"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19FF438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6 657 000.00</w:t>
            </w:r>
          </w:p>
        </w:tc>
        <w:tc>
          <w:tcPr>
            <w:tcW w:w="362" w:type="pct"/>
            <w:hideMark/>
          </w:tcPr>
          <w:p w14:paraId="70CE096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6 890 450.00</w:t>
            </w:r>
          </w:p>
        </w:tc>
        <w:tc>
          <w:tcPr>
            <w:tcW w:w="362" w:type="pct"/>
            <w:hideMark/>
          </w:tcPr>
          <w:p w14:paraId="2B4C78B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7 216 650.00</w:t>
            </w:r>
          </w:p>
        </w:tc>
        <w:tc>
          <w:tcPr>
            <w:tcW w:w="362" w:type="pct"/>
            <w:hideMark/>
          </w:tcPr>
          <w:p w14:paraId="2FBF96F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7 216 650.00</w:t>
            </w:r>
          </w:p>
        </w:tc>
        <w:tc>
          <w:tcPr>
            <w:tcW w:w="362" w:type="pct"/>
            <w:hideMark/>
          </w:tcPr>
          <w:p w14:paraId="64103C9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7 216 650.00</w:t>
            </w:r>
          </w:p>
        </w:tc>
        <w:tc>
          <w:tcPr>
            <w:tcW w:w="180" w:type="pct"/>
            <w:vMerge/>
            <w:hideMark/>
          </w:tcPr>
          <w:p w14:paraId="5DF0DD58"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7C68622A"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4B8AE65C"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2AB43010"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5DA4AB14"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1144133B"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412DDDFF" w14:textId="77777777" w:rsidTr="008A0277">
        <w:trPr>
          <w:trHeight w:val="1755"/>
        </w:trPr>
        <w:tc>
          <w:tcPr>
            <w:tcW w:w="277" w:type="pct"/>
            <w:vMerge w:val="restart"/>
            <w:hideMark/>
          </w:tcPr>
          <w:p w14:paraId="2515057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Service Delivery Backlogs</w:t>
            </w:r>
          </w:p>
        </w:tc>
        <w:tc>
          <w:tcPr>
            <w:tcW w:w="116" w:type="pct"/>
            <w:vMerge w:val="restart"/>
            <w:hideMark/>
          </w:tcPr>
          <w:p w14:paraId="3280959B"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66</w:t>
            </w:r>
          </w:p>
        </w:tc>
        <w:tc>
          <w:tcPr>
            <w:tcW w:w="270" w:type="pct"/>
            <w:vMerge w:val="restart"/>
            <w:hideMark/>
          </w:tcPr>
          <w:p w14:paraId="09F8253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Basic  service delivery</w:t>
            </w:r>
          </w:p>
        </w:tc>
        <w:tc>
          <w:tcPr>
            <w:tcW w:w="268" w:type="pct"/>
            <w:vMerge w:val="restart"/>
            <w:hideMark/>
          </w:tcPr>
          <w:p w14:paraId="0FB7800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provide and maintain infrastructure and services to all, with emphasis on rural communities, in a sustainable manner</w:t>
            </w:r>
          </w:p>
        </w:tc>
        <w:tc>
          <w:tcPr>
            <w:tcW w:w="362" w:type="pct"/>
            <w:vMerge w:val="restart"/>
            <w:hideMark/>
          </w:tcPr>
          <w:p w14:paraId="0DB73B0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Provide free basic refuse removal services to 15 000 rural households by 30 June </w:t>
            </w:r>
          </w:p>
        </w:tc>
        <w:tc>
          <w:tcPr>
            <w:tcW w:w="362" w:type="pct"/>
            <w:vMerge w:val="restart"/>
            <w:hideMark/>
          </w:tcPr>
          <w:p w14:paraId="495F3A2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Number of rural households provided with free basic refuse removal services</w:t>
            </w:r>
          </w:p>
        </w:tc>
        <w:tc>
          <w:tcPr>
            <w:tcW w:w="362" w:type="pct"/>
            <w:hideMark/>
          </w:tcPr>
          <w:p w14:paraId="6546CB2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15 000 households provided with free basic refuse services by 30 June</w:t>
            </w:r>
          </w:p>
        </w:tc>
        <w:tc>
          <w:tcPr>
            <w:tcW w:w="362" w:type="pct"/>
            <w:hideMark/>
          </w:tcPr>
          <w:p w14:paraId="67EB661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15 000 households provided with free basic refuse services by 30 June</w:t>
            </w:r>
          </w:p>
        </w:tc>
        <w:tc>
          <w:tcPr>
            <w:tcW w:w="362" w:type="pct"/>
            <w:hideMark/>
          </w:tcPr>
          <w:p w14:paraId="4CB9380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15 000 households provided with free basic refuse services by 30 June</w:t>
            </w:r>
          </w:p>
        </w:tc>
        <w:tc>
          <w:tcPr>
            <w:tcW w:w="362" w:type="pct"/>
            <w:hideMark/>
          </w:tcPr>
          <w:p w14:paraId="78A862E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15 000 households provided with free basic refuse services by 30 June</w:t>
            </w:r>
          </w:p>
        </w:tc>
        <w:tc>
          <w:tcPr>
            <w:tcW w:w="362" w:type="pct"/>
            <w:hideMark/>
          </w:tcPr>
          <w:p w14:paraId="6EE70E6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15 000 households provided with free basic refuse services by 30 June</w:t>
            </w:r>
          </w:p>
        </w:tc>
        <w:tc>
          <w:tcPr>
            <w:tcW w:w="180" w:type="pct"/>
            <w:vMerge w:val="restart"/>
            <w:hideMark/>
          </w:tcPr>
          <w:p w14:paraId="311FB71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14388</w:t>
            </w:r>
          </w:p>
        </w:tc>
        <w:tc>
          <w:tcPr>
            <w:tcW w:w="268" w:type="pct"/>
            <w:vMerge w:val="restart"/>
            <w:hideMark/>
          </w:tcPr>
          <w:p w14:paraId="28C0DAE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COMMUNITY SERVICES</w:t>
            </w:r>
          </w:p>
        </w:tc>
        <w:tc>
          <w:tcPr>
            <w:tcW w:w="306" w:type="pct"/>
            <w:vMerge w:val="restart"/>
            <w:hideMark/>
          </w:tcPr>
          <w:p w14:paraId="099BBEE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Poverty alleviation; inventory, work creation</w:t>
            </w:r>
          </w:p>
        </w:tc>
        <w:tc>
          <w:tcPr>
            <w:tcW w:w="369" w:type="pct"/>
            <w:vMerge w:val="restart"/>
            <w:hideMark/>
          </w:tcPr>
          <w:p w14:paraId="36F80AC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Solid Waste Removal</w:t>
            </w:r>
          </w:p>
        </w:tc>
        <w:tc>
          <w:tcPr>
            <w:tcW w:w="249" w:type="pct"/>
            <w:vMerge w:val="restart"/>
            <w:hideMark/>
          </w:tcPr>
          <w:p w14:paraId="64C219C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Equitable Share</w:t>
            </w:r>
          </w:p>
        </w:tc>
        <w:tc>
          <w:tcPr>
            <w:tcW w:w="162" w:type="pct"/>
            <w:vMerge w:val="restart"/>
            <w:hideMark/>
          </w:tcPr>
          <w:p w14:paraId="0562FA6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4E03F438" w14:textId="77777777" w:rsidTr="008A0277">
        <w:trPr>
          <w:trHeight w:val="300"/>
        </w:trPr>
        <w:tc>
          <w:tcPr>
            <w:tcW w:w="277" w:type="pct"/>
            <w:vMerge/>
            <w:hideMark/>
          </w:tcPr>
          <w:p w14:paraId="17AA5489" w14:textId="77777777" w:rsidR="008A0277" w:rsidRPr="008A0277" w:rsidRDefault="008A0277" w:rsidP="008A0277">
            <w:pPr>
              <w:spacing w:after="160" w:line="259" w:lineRule="auto"/>
              <w:rPr>
                <w:rFonts w:eastAsia="Calibri" w:cs="Times New Roman"/>
                <w:sz w:val="12"/>
                <w:szCs w:val="12"/>
                <w:lang w:val="en-ZA"/>
              </w:rPr>
            </w:pPr>
          </w:p>
        </w:tc>
        <w:tc>
          <w:tcPr>
            <w:tcW w:w="116" w:type="pct"/>
            <w:vMerge/>
            <w:hideMark/>
          </w:tcPr>
          <w:p w14:paraId="7C79B786" w14:textId="77777777" w:rsidR="008A0277" w:rsidRPr="008A0277" w:rsidRDefault="008A0277" w:rsidP="008A0277">
            <w:pPr>
              <w:spacing w:after="160" w:line="259" w:lineRule="auto"/>
              <w:rPr>
                <w:rFonts w:eastAsia="Calibri" w:cs="Times New Roman"/>
                <w:b/>
                <w:bCs/>
                <w:sz w:val="12"/>
                <w:szCs w:val="12"/>
                <w:lang w:val="en-ZA"/>
              </w:rPr>
            </w:pPr>
          </w:p>
        </w:tc>
        <w:tc>
          <w:tcPr>
            <w:tcW w:w="270" w:type="pct"/>
            <w:vMerge/>
            <w:hideMark/>
          </w:tcPr>
          <w:p w14:paraId="648292E1"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00499DAE"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2332CAD2" w14:textId="77777777" w:rsidR="008A0277" w:rsidRPr="008A0277" w:rsidRDefault="008A0277" w:rsidP="008A0277">
            <w:pPr>
              <w:spacing w:after="160" w:line="259" w:lineRule="auto"/>
              <w:rPr>
                <w:rFonts w:eastAsia="Calibri" w:cs="Times New Roman"/>
                <w:sz w:val="12"/>
                <w:szCs w:val="12"/>
                <w:lang w:val="en-ZA"/>
              </w:rPr>
            </w:pPr>
          </w:p>
        </w:tc>
        <w:tc>
          <w:tcPr>
            <w:tcW w:w="362" w:type="pct"/>
            <w:vMerge/>
            <w:hideMark/>
          </w:tcPr>
          <w:p w14:paraId="6E9B8D04"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607DB98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3 508 140.00</w:t>
            </w:r>
          </w:p>
        </w:tc>
        <w:tc>
          <w:tcPr>
            <w:tcW w:w="362" w:type="pct"/>
            <w:hideMark/>
          </w:tcPr>
          <w:p w14:paraId="5244540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3 677 600.00</w:t>
            </w:r>
          </w:p>
        </w:tc>
        <w:tc>
          <w:tcPr>
            <w:tcW w:w="362" w:type="pct"/>
            <w:hideMark/>
          </w:tcPr>
          <w:p w14:paraId="2258696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3 859 510.00</w:t>
            </w:r>
          </w:p>
        </w:tc>
        <w:tc>
          <w:tcPr>
            <w:tcW w:w="362" w:type="pct"/>
            <w:hideMark/>
          </w:tcPr>
          <w:p w14:paraId="34D0A4F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3 859 510.00</w:t>
            </w:r>
          </w:p>
        </w:tc>
        <w:tc>
          <w:tcPr>
            <w:tcW w:w="362" w:type="pct"/>
            <w:hideMark/>
          </w:tcPr>
          <w:p w14:paraId="43550D3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3 859 510.00</w:t>
            </w:r>
          </w:p>
        </w:tc>
        <w:tc>
          <w:tcPr>
            <w:tcW w:w="180" w:type="pct"/>
            <w:vMerge/>
            <w:hideMark/>
          </w:tcPr>
          <w:p w14:paraId="30E9CCE1" w14:textId="77777777" w:rsidR="008A0277" w:rsidRPr="008A0277" w:rsidRDefault="008A0277" w:rsidP="008A0277">
            <w:pPr>
              <w:spacing w:after="160" w:line="259" w:lineRule="auto"/>
              <w:rPr>
                <w:rFonts w:eastAsia="Calibri" w:cs="Times New Roman"/>
                <w:sz w:val="12"/>
                <w:szCs w:val="12"/>
                <w:lang w:val="en-ZA"/>
              </w:rPr>
            </w:pPr>
          </w:p>
        </w:tc>
        <w:tc>
          <w:tcPr>
            <w:tcW w:w="268" w:type="pct"/>
            <w:vMerge/>
            <w:hideMark/>
          </w:tcPr>
          <w:p w14:paraId="1465A6E9" w14:textId="77777777" w:rsidR="008A0277" w:rsidRPr="008A0277" w:rsidRDefault="008A0277" w:rsidP="008A0277">
            <w:pPr>
              <w:spacing w:after="160" w:line="259" w:lineRule="auto"/>
              <w:rPr>
                <w:rFonts w:eastAsia="Calibri" w:cs="Times New Roman"/>
                <w:sz w:val="12"/>
                <w:szCs w:val="12"/>
                <w:lang w:val="en-ZA"/>
              </w:rPr>
            </w:pPr>
          </w:p>
        </w:tc>
        <w:tc>
          <w:tcPr>
            <w:tcW w:w="306" w:type="pct"/>
            <w:vMerge/>
            <w:hideMark/>
          </w:tcPr>
          <w:p w14:paraId="1AC103F3" w14:textId="77777777" w:rsidR="008A0277" w:rsidRPr="008A0277" w:rsidRDefault="008A0277" w:rsidP="008A0277">
            <w:pPr>
              <w:spacing w:after="160" w:line="259" w:lineRule="auto"/>
              <w:rPr>
                <w:rFonts w:eastAsia="Calibri" w:cs="Times New Roman"/>
                <w:sz w:val="12"/>
                <w:szCs w:val="12"/>
                <w:lang w:val="en-ZA"/>
              </w:rPr>
            </w:pPr>
          </w:p>
        </w:tc>
        <w:tc>
          <w:tcPr>
            <w:tcW w:w="369" w:type="pct"/>
            <w:vMerge/>
            <w:hideMark/>
          </w:tcPr>
          <w:p w14:paraId="79C149CE" w14:textId="77777777" w:rsidR="008A0277" w:rsidRPr="008A0277" w:rsidRDefault="008A0277" w:rsidP="008A0277">
            <w:pPr>
              <w:spacing w:after="160" w:line="259" w:lineRule="auto"/>
              <w:rPr>
                <w:rFonts w:eastAsia="Calibri" w:cs="Times New Roman"/>
                <w:sz w:val="12"/>
                <w:szCs w:val="12"/>
                <w:lang w:val="en-ZA"/>
              </w:rPr>
            </w:pPr>
          </w:p>
        </w:tc>
        <w:tc>
          <w:tcPr>
            <w:tcW w:w="249" w:type="pct"/>
            <w:vMerge/>
            <w:hideMark/>
          </w:tcPr>
          <w:p w14:paraId="07395D73" w14:textId="77777777" w:rsidR="008A0277" w:rsidRPr="008A0277" w:rsidRDefault="008A0277" w:rsidP="008A0277">
            <w:pPr>
              <w:spacing w:after="160" w:line="259" w:lineRule="auto"/>
              <w:rPr>
                <w:rFonts w:eastAsia="Calibri" w:cs="Times New Roman"/>
                <w:sz w:val="12"/>
                <w:szCs w:val="12"/>
                <w:lang w:val="en-ZA"/>
              </w:rPr>
            </w:pPr>
          </w:p>
        </w:tc>
        <w:tc>
          <w:tcPr>
            <w:tcW w:w="162" w:type="pct"/>
            <w:vMerge/>
            <w:hideMark/>
          </w:tcPr>
          <w:p w14:paraId="3EC2B0C3" w14:textId="77777777" w:rsidR="008A0277" w:rsidRPr="008A0277" w:rsidRDefault="008A0277" w:rsidP="008A0277">
            <w:pPr>
              <w:spacing w:after="160" w:line="259" w:lineRule="auto"/>
              <w:rPr>
                <w:rFonts w:eastAsia="Calibri" w:cs="Times New Roman"/>
                <w:sz w:val="12"/>
                <w:szCs w:val="12"/>
                <w:lang w:val="en-ZA"/>
              </w:rPr>
            </w:pPr>
          </w:p>
        </w:tc>
      </w:tr>
      <w:tr w:rsidR="008A0277" w:rsidRPr="008A0277" w14:paraId="1839E4E2" w14:textId="77777777" w:rsidTr="008A0277">
        <w:trPr>
          <w:trHeight w:val="1965"/>
        </w:trPr>
        <w:tc>
          <w:tcPr>
            <w:tcW w:w="277" w:type="pct"/>
            <w:hideMark/>
          </w:tcPr>
          <w:p w14:paraId="08BCD7D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Poor implementation of Batho Pele</w:t>
            </w:r>
          </w:p>
        </w:tc>
        <w:tc>
          <w:tcPr>
            <w:tcW w:w="116" w:type="pct"/>
            <w:hideMark/>
          </w:tcPr>
          <w:p w14:paraId="4FB14898"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67</w:t>
            </w:r>
          </w:p>
        </w:tc>
        <w:tc>
          <w:tcPr>
            <w:tcW w:w="270" w:type="pct"/>
            <w:hideMark/>
          </w:tcPr>
          <w:p w14:paraId="5F3AC1D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Good Governance &amp; Public Participation</w:t>
            </w:r>
          </w:p>
        </w:tc>
        <w:tc>
          <w:tcPr>
            <w:tcW w:w="268" w:type="pct"/>
            <w:hideMark/>
          </w:tcPr>
          <w:p w14:paraId="6C2C228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promote a culture of participatory democracy and social cohesion</w:t>
            </w:r>
          </w:p>
        </w:tc>
        <w:tc>
          <w:tcPr>
            <w:tcW w:w="362" w:type="pct"/>
            <w:vMerge w:val="restart"/>
            <w:hideMark/>
          </w:tcPr>
          <w:p w14:paraId="7435C72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Submit a report annually to Council by 30 June on the programmes implemented through the grants-in-aid provided to Museum, SPCA, Tourism and Social Welfare</w:t>
            </w:r>
          </w:p>
        </w:tc>
        <w:tc>
          <w:tcPr>
            <w:tcW w:w="362" w:type="pct"/>
            <w:hideMark/>
          </w:tcPr>
          <w:p w14:paraId="4E25CD8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Date of submission of report to Council</w:t>
            </w:r>
          </w:p>
        </w:tc>
        <w:tc>
          <w:tcPr>
            <w:tcW w:w="362" w:type="pct"/>
            <w:hideMark/>
          </w:tcPr>
          <w:p w14:paraId="1B49997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report submitted to Council by 30 June on the programmes implemented through the grants-in-aid provided to Museum, SPCA, Tourism and Social Welfare</w:t>
            </w:r>
          </w:p>
        </w:tc>
        <w:tc>
          <w:tcPr>
            <w:tcW w:w="362" w:type="pct"/>
            <w:hideMark/>
          </w:tcPr>
          <w:p w14:paraId="71914EA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report submitted to Council by 30 June on the programmes implemented through the grants-in-aid provided to Museum, SPCA, Tourism and Social Welfare</w:t>
            </w:r>
          </w:p>
        </w:tc>
        <w:tc>
          <w:tcPr>
            <w:tcW w:w="362" w:type="pct"/>
            <w:hideMark/>
          </w:tcPr>
          <w:p w14:paraId="6E8285F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report submitted to Council by 30 June on the programmes implemented through the grants-in-aid provided to Museum, SPCA, Tourism and Social Welfare</w:t>
            </w:r>
          </w:p>
        </w:tc>
        <w:tc>
          <w:tcPr>
            <w:tcW w:w="362" w:type="pct"/>
            <w:hideMark/>
          </w:tcPr>
          <w:p w14:paraId="205A9BA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report submitted to Council by 30 June on the programmes implemented through the grants-in-aid provided to Museum, SPCA, Tourism and Social Welfare</w:t>
            </w:r>
          </w:p>
        </w:tc>
        <w:tc>
          <w:tcPr>
            <w:tcW w:w="362" w:type="pct"/>
            <w:hideMark/>
          </w:tcPr>
          <w:p w14:paraId="4F12AC7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 report submitted to Council by 30 June on the programmes implemented through the grants-in-aid provided to Museum, SPCA, Tourism and Social Welfare</w:t>
            </w:r>
          </w:p>
        </w:tc>
        <w:tc>
          <w:tcPr>
            <w:tcW w:w="180" w:type="pct"/>
            <w:hideMark/>
          </w:tcPr>
          <w:p w14:paraId="1A70082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hideMark/>
          </w:tcPr>
          <w:p w14:paraId="56F6C59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CORPORATE SERVICES </w:t>
            </w:r>
          </w:p>
        </w:tc>
        <w:tc>
          <w:tcPr>
            <w:tcW w:w="306" w:type="pct"/>
            <w:hideMark/>
          </w:tcPr>
          <w:p w14:paraId="54064B5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Grants-in-aid</w:t>
            </w:r>
          </w:p>
        </w:tc>
        <w:tc>
          <w:tcPr>
            <w:tcW w:w="369" w:type="pct"/>
            <w:hideMark/>
          </w:tcPr>
          <w:p w14:paraId="1085A95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Museum, SPCA, Tourism &amp; Social Development</w:t>
            </w:r>
          </w:p>
        </w:tc>
        <w:tc>
          <w:tcPr>
            <w:tcW w:w="249" w:type="pct"/>
            <w:hideMark/>
          </w:tcPr>
          <w:p w14:paraId="72BD584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62" w:type="pct"/>
            <w:hideMark/>
          </w:tcPr>
          <w:p w14:paraId="64F14D9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4C6FB6E0" w14:textId="77777777" w:rsidTr="008A0277">
        <w:trPr>
          <w:trHeight w:val="300"/>
        </w:trPr>
        <w:tc>
          <w:tcPr>
            <w:tcW w:w="277" w:type="pct"/>
            <w:hideMark/>
          </w:tcPr>
          <w:p w14:paraId="000E7BD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116" w:type="pct"/>
            <w:hideMark/>
          </w:tcPr>
          <w:p w14:paraId="46B16A07"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 </w:t>
            </w:r>
          </w:p>
        </w:tc>
        <w:tc>
          <w:tcPr>
            <w:tcW w:w="270" w:type="pct"/>
            <w:hideMark/>
          </w:tcPr>
          <w:p w14:paraId="1F3D6B9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hideMark/>
          </w:tcPr>
          <w:p w14:paraId="1255F15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vMerge/>
            <w:hideMark/>
          </w:tcPr>
          <w:p w14:paraId="0618CD96" w14:textId="77777777" w:rsidR="008A0277" w:rsidRPr="008A0277" w:rsidRDefault="008A0277" w:rsidP="008A0277">
            <w:pPr>
              <w:spacing w:after="160" w:line="259" w:lineRule="auto"/>
              <w:rPr>
                <w:rFonts w:eastAsia="Calibri" w:cs="Times New Roman"/>
                <w:sz w:val="12"/>
                <w:szCs w:val="12"/>
                <w:lang w:val="en-ZA"/>
              </w:rPr>
            </w:pPr>
          </w:p>
        </w:tc>
        <w:tc>
          <w:tcPr>
            <w:tcW w:w="362" w:type="pct"/>
            <w:hideMark/>
          </w:tcPr>
          <w:p w14:paraId="0093965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38FB267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764 180.00</w:t>
            </w:r>
          </w:p>
        </w:tc>
        <w:tc>
          <w:tcPr>
            <w:tcW w:w="362" w:type="pct"/>
            <w:hideMark/>
          </w:tcPr>
          <w:p w14:paraId="15FFE9D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649 000.00</w:t>
            </w:r>
          </w:p>
        </w:tc>
        <w:tc>
          <w:tcPr>
            <w:tcW w:w="362" w:type="pct"/>
            <w:hideMark/>
          </w:tcPr>
          <w:p w14:paraId="15BBBCE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620 590.00</w:t>
            </w:r>
          </w:p>
        </w:tc>
        <w:tc>
          <w:tcPr>
            <w:tcW w:w="362" w:type="pct"/>
            <w:hideMark/>
          </w:tcPr>
          <w:p w14:paraId="5E4A6F7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620 590.00</w:t>
            </w:r>
          </w:p>
        </w:tc>
        <w:tc>
          <w:tcPr>
            <w:tcW w:w="362" w:type="pct"/>
            <w:hideMark/>
          </w:tcPr>
          <w:p w14:paraId="68A2ECA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620 590.00</w:t>
            </w:r>
          </w:p>
        </w:tc>
        <w:tc>
          <w:tcPr>
            <w:tcW w:w="180" w:type="pct"/>
            <w:hideMark/>
          </w:tcPr>
          <w:p w14:paraId="4D5D233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hideMark/>
          </w:tcPr>
          <w:p w14:paraId="091C2A4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06" w:type="pct"/>
            <w:hideMark/>
          </w:tcPr>
          <w:p w14:paraId="188EBBF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9" w:type="pct"/>
            <w:hideMark/>
          </w:tcPr>
          <w:p w14:paraId="36CDA1D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49" w:type="pct"/>
            <w:hideMark/>
          </w:tcPr>
          <w:p w14:paraId="09C7586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162" w:type="pct"/>
            <w:hideMark/>
          </w:tcPr>
          <w:p w14:paraId="3F982FD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r>
      <w:tr w:rsidR="008A0277" w:rsidRPr="008A0277" w14:paraId="24460C2E" w14:textId="77777777" w:rsidTr="008A0277">
        <w:trPr>
          <w:trHeight w:val="1350"/>
        </w:trPr>
        <w:tc>
          <w:tcPr>
            <w:tcW w:w="277" w:type="pct"/>
            <w:hideMark/>
          </w:tcPr>
          <w:p w14:paraId="74C7879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Poor implementation of Batho Pele</w:t>
            </w:r>
          </w:p>
        </w:tc>
        <w:tc>
          <w:tcPr>
            <w:tcW w:w="116" w:type="pct"/>
            <w:hideMark/>
          </w:tcPr>
          <w:p w14:paraId="25A89780"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68</w:t>
            </w:r>
          </w:p>
        </w:tc>
        <w:tc>
          <w:tcPr>
            <w:tcW w:w="270" w:type="pct"/>
            <w:hideMark/>
          </w:tcPr>
          <w:p w14:paraId="4FC8CA7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Good Governance &amp; Public Participation</w:t>
            </w:r>
          </w:p>
        </w:tc>
        <w:tc>
          <w:tcPr>
            <w:tcW w:w="268" w:type="pct"/>
            <w:hideMark/>
          </w:tcPr>
          <w:p w14:paraId="650BFD3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promote a culture of participatory democracy and social cohesion</w:t>
            </w:r>
          </w:p>
        </w:tc>
        <w:tc>
          <w:tcPr>
            <w:tcW w:w="362" w:type="pct"/>
            <w:hideMark/>
          </w:tcPr>
          <w:p w14:paraId="17FDF37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Establish a Batho Pele Forum by 30 September </w:t>
            </w:r>
          </w:p>
        </w:tc>
        <w:tc>
          <w:tcPr>
            <w:tcW w:w="362" w:type="pct"/>
            <w:hideMark/>
          </w:tcPr>
          <w:p w14:paraId="0472A0F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Date of establishment of Batho Pele Forum</w:t>
            </w:r>
          </w:p>
        </w:tc>
        <w:tc>
          <w:tcPr>
            <w:tcW w:w="362" w:type="pct"/>
            <w:hideMark/>
          </w:tcPr>
          <w:p w14:paraId="3C969B3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Batho Pele Forum established by 30 September </w:t>
            </w:r>
          </w:p>
        </w:tc>
        <w:tc>
          <w:tcPr>
            <w:tcW w:w="362" w:type="pct"/>
            <w:hideMark/>
          </w:tcPr>
          <w:p w14:paraId="78CD8B9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4 Batho Pele Forum meetings held by 30 June </w:t>
            </w:r>
          </w:p>
        </w:tc>
        <w:tc>
          <w:tcPr>
            <w:tcW w:w="362" w:type="pct"/>
            <w:hideMark/>
          </w:tcPr>
          <w:p w14:paraId="0071B87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4 Batho Pele Forum meetings held by 30 June </w:t>
            </w:r>
          </w:p>
        </w:tc>
        <w:tc>
          <w:tcPr>
            <w:tcW w:w="362" w:type="pct"/>
            <w:hideMark/>
          </w:tcPr>
          <w:p w14:paraId="25BE6A2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4 Batho Pele Forum meetings held by 30 June </w:t>
            </w:r>
          </w:p>
        </w:tc>
        <w:tc>
          <w:tcPr>
            <w:tcW w:w="362" w:type="pct"/>
            <w:hideMark/>
          </w:tcPr>
          <w:p w14:paraId="14FB012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4 Batho Pele Forum meetings held by 30 June </w:t>
            </w:r>
          </w:p>
        </w:tc>
        <w:tc>
          <w:tcPr>
            <w:tcW w:w="180" w:type="pct"/>
            <w:hideMark/>
          </w:tcPr>
          <w:p w14:paraId="7C6745B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hideMark/>
          </w:tcPr>
          <w:p w14:paraId="20EA3CD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MANAGER</w:t>
            </w:r>
          </w:p>
        </w:tc>
        <w:tc>
          <w:tcPr>
            <w:tcW w:w="306" w:type="pct"/>
            <w:hideMark/>
          </w:tcPr>
          <w:p w14:paraId="552C943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9" w:type="pct"/>
            <w:hideMark/>
          </w:tcPr>
          <w:p w14:paraId="2A3EDDD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249" w:type="pct"/>
            <w:hideMark/>
          </w:tcPr>
          <w:p w14:paraId="48D1757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62" w:type="pct"/>
            <w:hideMark/>
          </w:tcPr>
          <w:p w14:paraId="269459C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528D92FE" w14:textId="77777777" w:rsidTr="008A0277">
        <w:trPr>
          <w:trHeight w:val="300"/>
        </w:trPr>
        <w:tc>
          <w:tcPr>
            <w:tcW w:w="277" w:type="pct"/>
            <w:hideMark/>
          </w:tcPr>
          <w:p w14:paraId="2E4DFA1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116" w:type="pct"/>
            <w:hideMark/>
          </w:tcPr>
          <w:p w14:paraId="0080BCE6"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 </w:t>
            </w:r>
          </w:p>
        </w:tc>
        <w:tc>
          <w:tcPr>
            <w:tcW w:w="270" w:type="pct"/>
            <w:hideMark/>
          </w:tcPr>
          <w:p w14:paraId="65DB63E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hideMark/>
          </w:tcPr>
          <w:p w14:paraId="2C95408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74DA7B7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7CC0B74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0843768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1F28111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5F252BB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300C30A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5EB3509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180" w:type="pct"/>
            <w:hideMark/>
          </w:tcPr>
          <w:p w14:paraId="20273CC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hideMark/>
          </w:tcPr>
          <w:p w14:paraId="1C5326D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06" w:type="pct"/>
            <w:hideMark/>
          </w:tcPr>
          <w:p w14:paraId="3D05AE5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9" w:type="pct"/>
            <w:hideMark/>
          </w:tcPr>
          <w:p w14:paraId="1DFE2E3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49" w:type="pct"/>
            <w:hideMark/>
          </w:tcPr>
          <w:p w14:paraId="3B3F384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162" w:type="pct"/>
            <w:hideMark/>
          </w:tcPr>
          <w:p w14:paraId="035E451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r>
      <w:tr w:rsidR="008A0277" w:rsidRPr="008A0277" w14:paraId="19912846" w14:textId="77777777" w:rsidTr="008A0277">
        <w:trPr>
          <w:trHeight w:val="1275"/>
        </w:trPr>
        <w:tc>
          <w:tcPr>
            <w:tcW w:w="277" w:type="pct"/>
            <w:hideMark/>
          </w:tcPr>
          <w:p w14:paraId="1C4CFBF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Poor implementation of Batho Pele</w:t>
            </w:r>
          </w:p>
        </w:tc>
        <w:tc>
          <w:tcPr>
            <w:tcW w:w="116" w:type="pct"/>
            <w:hideMark/>
          </w:tcPr>
          <w:p w14:paraId="506BA0A1"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69</w:t>
            </w:r>
          </w:p>
        </w:tc>
        <w:tc>
          <w:tcPr>
            <w:tcW w:w="270" w:type="pct"/>
            <w:hideMark/>
          </w:tcPr>
          <w:p w14:paraId="4BFE0F2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Good Governance &amp; Public Participation</w:t>
            </w:r>
          </w:p>
        </w:tc>
        <w:tc>
          <w:tcPr>
            <w:tcW w:w="268" w:type="pct"/>
            <w:hideMark/>
          </w:tcPr>
          <w:p w14:paraId="6C988D7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promote a culture of participatory democracy and social cohesion</w:t>
            </w:r>
          </w:p>
        </w:tc>
        <w:tc>
          <w:tcPr>
            <w:tcW w:w="362" w:type="pct"/>
            <w:hideMark/>
          </w:tcPr>
          <w:p w14:paraId="33779B1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Conduct 1 Batho Pele workshop to MANCO by 31 December </w:t>
            </w:r>
          </w:p>
        </w:tc>
        <w:tc>
          <w:tcPr>
            <w:tcW w:w="362" w:type="pct"/>
            <w:hideMark/>
          </w:tcPr>
          <w:p w14:paraId="0E86B10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Date of Batho Pele workshop</w:t>
            </w:r>
          </w:p>
        </w:tc>
        <w:tc>
          <w:tcPr>
            <w:tcW w:w="362" w:type="pct"/>
            <w:hideMark/>
          </w:tcPr>
          <w:p w14:paraId="60423F4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1 Batho Pele workshop conducted for MANCO by 31 December </w:t>
            </w:r>
          </w:p>
        </w:tc>
        <w:tc>
          <w:tcPr>
            <w:tcW w:w="362" w:type="pct"/>
            <w:hideMark/>
          </w:tcPr>
          <w:p w14:paraId="688313B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1 Batho Pele workshop conducted for MANCO by 31 December </w:t>
            </w:r>
          </w:p>
        </w:tc>
        <w:tc>
          <w:tcPr>
            <w:tcW w:w="362" w:type="pct"/>
            <w:hideMark/>
          </w:tcPr>
          <w:p w14:paraId="0798037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1 Batho Pele workshop conducted for MANCO by 31 December </w:t>
            </w:r>
          </w:p>
        </w:tc>
        <w:tc>
          <w:tcPr>
            <w:tcW w:w="362" w:type="pct"/>
            <w:hideMark/>
          </w:tcPr>
          <w:p w14:paraId="6DC89CC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1 Batho Pele workshop conducted for MANCO by 31 December </w:t>
            </w:r>
          </w:p>
        </w:tc>
        <w:tc>
          <w:tcPr>
            <w:tcW w:w="362" w:type="pct"/>
            <w:hideMark/>
          </w:tcPr>
          <w:p w14:paraId="4432736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1 Batho Pele workshop conducted for MANCO by 31 December </w:t>
            </w:r>
          </w:p>
        </w:tc>
        <w:tc>
          <w:tcPr>
            <w:tcW w:w="180" w:type="pct"/>
            <w:hideMark/>
          </w:tcPr>
          <w:p w14:paraId="5E810D0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hideMark/>
          </w:tcPr>
          <w:p w14:paraId="17DCC51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MANAGER</w:t>
            </w:r>
          </w:p>
        </w:tc>
        <w:tc>
          <w:tcPr>
            <w:tcW w:w="306" w:type="pct"/>
            <w:hideMark/>
          </w:tcPr>
          <w:p w14:paraId="0B82DD0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9" w:type="pct"/>
            <w:hideMark/>
          </w:tcPr>
          <w:p w14:paraId="36651F5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249" w:type="pct"/>
            <w:hideMark/>
          </w:tcPr>
          <w:p w14:paraId="606F49D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62" w:type="pct"/>
            <w:hideMark/>
          </w:tcPr>
          <w:p w14:paraId="287131D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723D4618" w14:textId="77777777" w:rsidTr="008A0277">
        <w:trPr>
          <w:trHeight w:val="300"/>
        </w:trPr>
        <w:tc>
          <w:tcPr>
            <w:tcW w:w="277" w:type="pct"/>
            <w:hideMark/>
          </w:tcPr>
          <w:p w14:paraId="70C2B6E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116" w:type="pct"/>
            <w:hideMark/>
          </w:tcPr>
          <w:p w14:paraId="78EED171"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 </w:t>
            </w:r>
          </w:p>
        </w:tc>
        <w:tc>
          <w:tcPr>
            <w:tcW w:w="270" w:type="pct"/>
            <w:hideMark/>
          </w:tcPr>
          <w:p w14:paraId="7CE5D80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hideMark/>
          </w:tcPr>
          <w:p w14:paraId="189E829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14052EF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25E80F4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529EE43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34A51DF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3D7C6C3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69507D1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4FDC49B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180" w:type="pct"/>
            <w:hideMark/>
          </w:tcPr>
          <w:p w14:paraId="5104508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hideMark/>
          </w:tcPr>
          <w:p w14:paraId="2D918E6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06" w:type="pct"/>
            <w:hideMark/>
          </w:tcPr>
          <w:p w14:paraId="4411C77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9" w:type="pct"/>
            <w:hideMark/>
          </w:tcPr>
          <w:p w14:paraId="791DC7D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49" w:type="pct"/>
            <w:hideMark/>
          </w:tcPr>
          <w:p w14:paraId="06896CD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162" w:type="pct"/>
            <w:hideMark/>
          </w:tcPr>
          <w:p w14:paraId="61220C4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r>
      <w:tr w:rsidR="008A0277" w:rsidRPr="008A0277" w14:paraId="1ED39CDD" w14:textId="77777777" w:rsidTr="008A0277">
        <w:trPr>
          <w:trHeight w:val="1275"/>
        </w:trPr>
        <w:tc>
          <w:tcPr>
            <w:tcW w:w="277" w:type="pct"/>
            <w:hideMark/>
          </w:tcPr>
          <w:p w14:paraId="33B70C2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Poor implementation of Batho Pele</w:t>
            </w:r>
          </w:p>
        </w:tc>
        <w:tc>
          <w:tcPr>
            <w:tcW w:w="116" w:type="pct"/>
            <w:hideMark/>
          </w:tcPr>
          <w:p w14:paraId="105A946E"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70</w:t>
            </w:r>
          </w:p>
        </w:tc>
        <w:tc>
          <w:tcPr>
            <w:tcW w:w="270" w:type="pct"/>
            <w:hideMark/>
          </w:tcPr>
          <w:p w14:paraId="7DFD0C6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Good Governance &amp; Public Participation</w:t>
            </w:r>
          </w:p>
        </w:tc>
        <w:tc>
          <w:tcPr>
            <w:tcW w:w="268" w:type="pct"/>
            <w:hideMark/>
          </w:tcPr>
          <w:p w14:paraId="6FD1164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promote a culture of participatory democracy and social cohesion</w:t>
            </w:r>
          </w:p>
        </w:tc>
        <w:tc>
          <w:tcPr>
            <w:tcW w:w="362" w:type="pct"/>
            <w:hideMark/>
          </w:tcPr>
          <w:p w14:paraId="43511D7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Compile a Service Delivery Improvement Plan (SDIP) by 31 March </w:t>
            </w:r>
          </w:p>
        </w:tc>
        <w:tc>
          <w:tcPr>
            <w:tcW w:w="362" w:type="pct"/>
            <w:hideMark/>
          </w:tcPr>
          <w:p w14:paraId="19E4B04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Date SDIP compiled</w:t>
            </w:r>
          </w:p>
        </w:tc>
        <w:tc>
          <w:tcPr>
            <w:tcW w:w="362" w:type="pct"/>
            <w:hideMark/>
          </w:tcPr>
          <w:p w14:paraId="754A8CC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Service Delivery Improvement Plan compiled by 31 March </w:t>
            </w:r>
          </w:p>
        </w:tc>
        <w:tc>
          <w:tcPr>
            <w:tcW w:w="362" w:type="pct"/>
            <w:hideMark/>
          </w:tcPr>
          <w:p w14:paraId="480755A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EXCO by 30 June on the Implementation of the SDIP</w:t>
            </w:r>
          </w:p>
        </w:tc>
        <w:tc>
          <w:tcPr>
            <w:tcW w:w="362" w:type="pct"/>
            <w:hideMark/>
          </w:tcPr>
          <w:p w14:paraId="5C6CE94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EXCO by 30 June on the Implementation of the SDIP</w:t>
            </w:r>
          </w:p>
        </w:tc>
        <w:tc>
          <w:tcPr>
            <w:tcW w:w="362" w:type="pct"/>
            <w:hideMark/>
          </w:tcPr>
          <w:p w14:paraId="593D9F2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EXCO by 30 June on the Implementation of the SDIP</w:t>
            </w:r>
          </w:p>
        </w:tc>
        <w:tc>
          <w:tcPr>
            <w:tcW w:w="362" w:type="pct"/>
            <w:hideMark/>
          </w:tcPr>
          <w:p w14:paraId="2C0EB57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EXCO by 30 June on the Implementation of the SDIP</w:t>
            </w:r>
          </w:p>
        </w:tc>
        <w:tc>
          <w:tcPr>
            <w:tcW w:w="180" w:type="pct"/>
            <w:hideMark/>
          </w:tcPr>
          <w:p w14:paraId="4B5569F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hideMark/>
          </w:tcPr>
          <w:p w14:paraId="26CEA4E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MANAGER</w:t>
            </w:r>
          </w:p>
        </w:tc>
        <w:tc>
          <w:tcPr>
            <w:tcW w:w="306" w:type="pct"/>
            <w:hideMark/>
          </w:tcPr>
          <w:p w14:paraId="60994E5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9" w:type="pct"/>
            <w:hideMark/>
          </w:tcPr>
          <w:p w14:paraId="7460502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249" w:type="pct"/>
            <w:hideMark/>
          </w:tcPr>
          <w:p w14:paraId="2DF0BAF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62" w:type="pct"/>
            <w:hideMark/>
          </w:tcPr>
          <w:p w14:paraId="07428AC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3271DEAE" w14:textId="77777777" w:rsidTr="008A0277">
        <w:trPr>
          <w:trHeight w:val="300"/>
        </w:trPr>
        <w:tc>
          <w:tcPr>
            <w:tcW w:w="277" w:type="pct"/>
            <w:hideMark/>
          </w:tcPr>
          <w:p w14:paraId="37357B3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116" w:type="pct"/>
            <w:hideMark/>
          </w:tcPr>
          <w:p w14:paraId="19C4B7E9"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 </w:t>
            </w:r>
          </w:p>
        </w:tc>
        <w:tc>
          <w:tcPr>
            <w:tcW w:w="270" w:type="pct"/>
            <w:hideMark/>
          </w:tcPr>
          <w:p w14:paraId="2AD031B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hideMark/>
          </w:tcPr>
          <w:p w14:paraId="100F618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391CD55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2231B3B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67C83B0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078DB40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623FDEE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47585CB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362" w:type="pct"/>
            <w:hideMark/>
          </w:tcPr>
          <w:p w14:paraId="23EA269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0</w:t>
            </w:r>
          </w:p>
        </w:tc>
        <w:tc>
          <w:tcPr>
            <w:tcW w:w="180" w:type="pct"/>
            <w:hideMark/>
          </w:tcPr>
          <w:p w14:paraId="68D7FCB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hideMark/>
          </w:tcPr>
          <w:p w14:paraId="41080F9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06" w:type="pct"/>
            <w:hideMark/>
          </w:tcPr>
          <w:p w14:paraId="6D4A01E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9" w:type="pct"/>
            <w:hideMark/>
          </w:tcPr>
          <w:p w14:paraId="4B378E5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49" w:type="pct"/>
            <w:hideMark/>
          </w:tcPr>
          <w:p w14:paraId="2D5BE1C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162" w:type="pct"/>
            <w:hideMark/>
          </w:tcPr>
          <w:p w14:paraId="38F1E1D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r>
      <w:tr w:rsidR="008A0277" w:rsidRPr="008A0277" w14:paraId="160D25D6" w14:textId="77777777" w:rsidTr="008A0277">
        <w:trPr>
          <w:trHeight w:val="1275"/>
        </w:trPr>
        <w:tc>
          <w:tcPr>
            <w:tcW w:w="277" w:type="pct"/>
            <w:hideMark/>
          </w:tcPr>
          <w:p w14:paraId="5578906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Poor implementation of Batho Pele</w:t>
            </w:r>
          </w:p>
        </w:tc>
        <w:tc>
          <w:tcPr>
            <w:tcW w:w="116" w:type="pct"/>
            <w:hideMark/>
          </w:tcPr>
          <w:p w14:paraId="0D498FED"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71</w:t>
            </w:r>
          </w:p>
        </w:tc>
        <w:tc>
          <w:tcPr>
            <w:tcW w:w="270" w:type="pct"/>
            <w:hideMark/>
          </w:tcPr>
          <w:p w14:paraId="5A2320E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Good Governance &amp; Public Participation</w:t>
            </w:r>
          </w:p>
        </w:tc>
        <w:tc>
          <w:tcPr>
            <w:tcW w:w="268" w:type="pct"/>
            <w:hideMark/>
          </w:tcPr>
          <w:p w14:paraId="10B24BC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promote a culture of participatory democracy and social cohesion</w:t>
            </w:r>
          </w:p>
        </w:tc>
        <w:tc>
          <w:tcPr>
            <w:tcW w:w="362" w:type="pct"/>
            <w:hideMark/>
          </w:tcPr>
          <w:p w14:paraId="2311256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Undertake 1 Batho Pele campaign per department (5 departments)  by 31 December </w:t>
            </w:r>
          </w:p>
        </w:tc>
        <w:tc>
          <w:tcPr>
            <w:tcW w:w="362" w:type="pct"/>
            <w:hideMark/>
          </w:tcPr>
          <w:p w14:paraId="63D47E5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Number of campaigns undertaken</w:t>
            </w:r>
          </w:p>
        </w:tc>
        <w:tc>
          <w:tcPr>
            <w:tcW w:w="362" w:type="pct"/>
            <w:hideMark/>
          </w:tcPr>
          <w:p w14:paraId="69FEAF1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5 Batho Pele Campaigns undertaken by 31 December</w:t>
            </w:r>
          </w:p>
        </w:tc>
        <w:tc>
          <w:tcPr>
            <w:tcW w:w="362" w:type="pct"/>
            <w:hideMark/>
          </w:tcPr>
          <w:p w14:paraId="6A909C2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5 Batho Pele Campaigns undertaken by 31 December</w:t>
            </w:r>
          </w:p>
        </w:tc>
        <w:tc>
          <w:tcPr>
            <w:tcW w:w="362" w:type="pct"/>
            <w:hideMark/>
          </w:tcPr>
          <w:p w14:paraId="48C3CCA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5 Batho Pele Campaigns undertaken by 31 December</w:t>
            </w:r>
          </w:p>
        </w:tc>
        <w:tc>
          <w:tcPr>
            <w:tcW w:w="362" w:type="pct"/>
            <w:hideMark/>
          </w:tcPr>
          <w:p w14:paraId="1A8FE56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5 Batho Pele Campaigns undertaken by 31 December</w:t>
            </w:r>
          </w:p>
        </w:tc>
        <w:tc>
          <w:tcPr>
            <w:tcW w:w="362" w:type="pct"/>
            <w:hideMark/>
          </w:tcPr>
          <w:p w14:paraId="1D5FC6F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5 Batho Pele Campaigns undertaken by 31 December</w:t>
            </w:r>
          </w:p>
        </w:tc>
        <w:tc>
          <w:tcPr>
            <w:tcW w:w="180" w:type="pct"/>
            <w:hideMark/>
          </w:tcPr>
          <w:p w14:paraId="7E605D1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hideMark/>
          </w:tcPr>
          <w:p w14:paraId="51E1705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MANAGER</w:t>
            </w:r>
          </w:p>
        </w:tc>
        <w:tc>
          <w:tcPr>
            <w:tcW w:w="306" w:type="pct"/>
            <w:hideMark/>
          </w:tcPr>
          <w:p w14:paraId="509F79A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9" w:type="pct"/>
            <w:hideMark/>
          </w:tcPr>
          <w:p w14:paraId="110B7A9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249" w:type="pct"/>
            <w:hideMark/>
          </w:tcPr>
          <w:p w14:paraId="006A30F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62" w:type="pct"/>
            <w:hideMark/>
          </w:tcPr>
          <w:p w14:paraId="04E6671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6F3C31CA" w14:textId="77777777" w:rsidTr="008A0277">
        <w:trPr>
          <w:trHeight w:val="300"/>
        </w:trPr>
        <w:tc>
          <w:tcPr>
            <w:tcW w:w="277" w:type="pct"/>
            <w:hideMark/>
          </w:tcPr>
          <w:p w14:paraId="1171513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116" w:type="pct"/>
            <w:hideMark/>
          </w:tcPr>
          <w:p w14:paraId="4345E768"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 </w:t>
            </w:r>
          </w:p>
        </w:tc>
        <w:tc>
          <w:tcPr>
            <w:tcW w:w="270" w:type="pct"/>
            <w:hideMark/>
          </w:tcPr>
          <w:p w14:paraId="6BCB5BC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hideMark/>
          </w:tcPr>
          <w:p w14:paraId="738D9D6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1ADCD28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2485A25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35B0E16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50 000.00</w:t>
            </w:r>
          </w:p>
        </w:tc>
        <w:tc>
          <w:tcPr>
            <w:tcW w:w="362" w:type="pct"/>
            <w:hideMark/>
          </w:tcPr>
          <w:p w14:paraId="5DC32BE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50 000.00</w:t>
            </w:r>
          </w:p>
        </w:tc>
        <w:tc>
          <w:tcPr>
            <w:tcW w:w="362" w:type="pct"/>
            <w:hideMark/>
          </w:tcPr>
          <w:p w14:paraId="23789C8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50 000.00</w:t>
            </w:r>
          </w:p>
        </w:tc>
        <w:tc>
          <w:tcPr>
            <w:tcW w:w="362" w:type="pct"/>
            <w:hideMark/>
          </w:tcPr>
          <w:p w14:paraId="6518DB4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50 000.00</w:t>
            </w:r>
          </w:p>
        </w:tc>
        <w:tc>
          <w:tcPr>
            <w:tcW w:w="362" w:type="pct"/>
            <w:hideMark/>
          </w:tcPr>
          <w:p w14:paraId="05A1FC0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50 000.00</w:t>
            </w:r>
          </w:p>
        </w:tc>
        <w:tc>
          <w:tcPr>
            <w:tcW w:w="180" w:type="pct"/>
            <w:hideMark/>
          </w:tcPr>
          <w:p w14:paraId="324E775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hideMark/>
          </w:tcPr>
          <w:p w14:paraId="0744A2B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06" w:type="pct"/>
            <w:hideMark/>
          </w:tcPr>
          <w:p w14:paraId="6F24029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9" w:type="pct"/>
            <w:hideMark/>
          </w:tcPr>
          <w:p w14:paraId="5384B4E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49" w:type="pct"/>
            <w:hideMark/>
          </w:tcPr>
          <w:p w14:paraId="251CA53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162" w:type="pct"/>
            <w:hideMark/>
          </w:tcPr>
          <w:p w14:paraId="56FAD14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r>
      <w:tr w:rsidR="008A0277" w:rsidRPr="008A0277" w14:paraId="40A685C8" w14:textId="77777777" w:rsidTr="008A0277">
        <w:trPr>
          <w:trHeight w:val="1275"/>
        </w:trPr>
        <w:tc>
          <w:tcPr>
            <w:tcW w:w="277" w:type="pct"/>
            <w:hideMark/>
          </w:tcPr>
          <w:p w14:paraId="734F02C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Poor implementation of Batho Pele</w:t>
            </w:r>
          </w:p>
        </w:tc>
        <w:tc>
          <w:tcPr>
            <w:tcW w:w="116" w:type="pct"/>
            <w:hideMark/>
          </w:tcPr>
          <w:p w14:paraId="392A5174"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72</w:t>
            </w:r>
          </w:p>
        </w:tc>
        <w:tc>
          <w:tcPr>
            <w:tcW w:w="270" w:type="pct"/>
            <w:hideMark/>
          </w:tcPr>
          <w:p w14:paraId="27839BC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Good Governance &amp; Public Participation</w:t>
            </w:r>
          </w:p>
        </w:tc>
        <w:tc>
          <w:tcPr>
            <w:tcW w:w="268" w:type="pct"/>
            <w:hideMark/>
          </w:tcPr>
          <w:p w14:paraId="7EFC8D9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promote a culture of participatory democracy and social cohesion</w:t>
            </w:r>
          </w:p>
        </w:tc>
        <w:tc>
          <w:tcPr>
            <w:tcW w:w="362" w:type="pct"/>
            <w:hideMark/>
          </w:tcPr>
          <w:p w14:paraId="39D1BC3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Attend to 100% of complaints within 3 days of receipt</w:t>
            </w:r>
          </w:p>
        </w:tc>
        <w:tc>
          <w:tcPr>
            <w:tcW w:w="362" w:type="pct"/>
            <w:hideMark/>
          </w:tcPr>
          <w:p w14:paraId="3E2D7CE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Percentage of complaints attended to within 3 days of receipt</w:t>
            </w:r>
          </w:p>
        </w:tc>
        <w:tc>
          <w:tcPr>
            <w:tcW w:w="362" w:type="pct"/>
            <w:hideMark/>
          </w:tcPr>
          <w:p w14:paraId="721D0F8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100% of complaints attended to within 3 days of receipt</w:t>
            </w:r>
          </w:p>
        </w:tc>
        <w:tc>
          <w:tcPr>
            <w:tcW w:w="362" w:type="pct"/>
            <w:hideMark/>
          </w:tcPr>
          <w:p w14:paraId="5FEA23B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100% of complaints attended to within 3 days of receipt</w:t>
            </w:r>
          </w:p>
        </w:tc>
        <w:tc>
          <w:tcPr>
            <w:tcW w:w="362" w:type="pct"/>
            <w:hideMark/>
          </w:tcPr>
          <w:p w14:paraId="3469ADD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100% of complaints attended to within 3 days of receipt</w:t>
            </w:r>
          </w:p>
        </w:tc>
        <w:tc>
          <w:tcPr>
            <w:tcW w:w="362" w:type="pct"/>
            <w:hideMark/>
          </w:tcPr>
          <w:p w14:paraId="553F53C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100% of complaints attended to within 3 days of receipt</w:t>
            </w:r>
          </w:p>
        </w:tc>
        <w:tc>
          <w:tcPr>
            <w:tcW w:w="362" w:type="pct"/>
            <w:hideMark/>
          </w:tcPr>
          <w:p w14:paraId="797D82A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100% of complaints attended to within 3 days of receipt</w:t>
            </w:r>
          </w:p>
        </w:tc>
        <w:tc>
          <w:tcPr>
            <w:tcW w:w="180" w:type="pct"/>
            <w:hideMark/>
          </w:tcPr>
          <w:p w14:paraId="5F0A5BE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hideMark/>
          </w:tcPr>
          <w:p w14:paraId="2B752E0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MANAGER</w:t>
            </w:r>
          </w:p>
        </w:tc>
        <w:tc>
          <w:tcPr>
            <w:tcW w:w="306" w:type="pct"/>
            <w:hideMark/>
          </w:tcPr>
          <w:p w14:paraId="4972717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369" w:type="pct"/>
            <w:hideMark/>
          </w:tcPr>
          <w:p w14:paraId="4678D12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249" w:type="pct"/>
            <w:hideMark/>
          </w:tcPr>
          <w:p w14:paraId="23FCB1F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62" w:type="pct"/>
            <w:hideMark/>
          </w:tcPr>
          <w:p w14:paraId="304420A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104A6771" w14:textId="77777777" w:rsidTr="008A0277">
        <w:trPr>
          <w:trHeight w:val="300"/>
        </w:trPr>
        <w:tc>
          <w:tcPr>
            <w:tcW w:w="277" w:type="pct"/>
            <w:hideMark/>
          </w:tcPr>
          <w:p w14:paraId="4F6729F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116" w:type="pct"/>
            <w:hideMark/>
          </w:tcPr>
          <w:p w14:paraId="43C0C5B0"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 </w:t>
            </w:r>
          </w:p>
        </w:tc>
        <w:tc>
          <w:tcPr>
            <w:tcW w:w="270" w:type="pct"/>
            <w:hideMark/>
          </w:tcPr>
          <w:p w14:paraId="556CC12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hideMark/>
          </w:tcPr>
          <w:p w14:paraId="483C168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4438BC1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4F958F8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37B03CE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70 000.00</w:t>
            </w:r>
          </w:p>
        </w:tc>
        <w:tc>
          <w:tcPr>
            <w:tcW w:w="362" w:type="pct"/>
            <w:hideMark/>
          </w:tcPr>
          <w:p w14:paraId="7F1E5F3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70 000.00</w:t>
            </w:r>
          </w:p>
        </w:tc>
        <w:tc>
          <w:tcPr>
            <w:tcW w:w="362" w:type="pct"/>
            <w:hideMark/>
          </w:tcPr>
          <w:p w14:paraId="4B3771E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70 000.00</w:t>
            </w:r>
          </w:p>
        </w:tc>
        <w:tc>
          <w:tcPr>
            <w:tcW w:w="362" w:type="pct"/>
            <w:hideMark/>
          </w:tcPr>
          <w:p w14:paraId="2919C2A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70 000.00</w:t>
            </w:r>
          </w:p>
        </w:tc>
        <w:tc>
          <w:tcPr>
            <w:tcW w:w="362" w:type="pct"/>
            <w:hideMark/>
          </w:tcPr>
          <w:p w14:paraId="5C4D2D5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70 000.00</w:t>
            </w:r>
          </w:p>
        </w:tc>
        <w:tc>
          <w:tcPr>
            <w:tcW w:w="180" w:type="pct"/>
            <w:hideMark/>
          </w:tcPr>
          <w:p w14:paraId="17D0ACE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hideMark/>
          </w:tcPr>
          <w:p w14:paraId="3B852AE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06" w:type="pct"/>
            <w:hideMark/>
          </w:tcPr>
          <w:p w14:paraId="7ECAA5D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9" w:type="pct"/>
            <w:hideMark/>
          </w:tcPr>
          <w:p w14:paraId="3F4A355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49" w:type="pct"/>
            <w:hideMark/>
          </w:tcPr>
          <w:p w14:paraId="1CEC9EC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162" w:type="pct"/>
            <w:hideMark/>
          </w:tcPr>
          <w:p w14:paraId="3C93E1C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r>
      <w:tr w:rsidR="008A0277" w:rsidRPr="008A0277" w14:paraId="0F60E993" w14:textId="77777777" w:rsidTr="008A0277">
        <w:trPr>
          <w:trHeight w:val="2040"/>
        </w:trPr>
        <w:tc>
          <w:tcPr>
            <w:tcW w:w="277" w:type="pct"/>
            <w:hideMark/>
          </w:tcPr>
          <w:p w14:paraId="116F181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Inadequate public participation</w:t>
            </w:r>
          </w:p>
        </w:tc>
        <w:tc>
          <w:tcPr>
            <w:tcW w:w="116" w:type="pct"/>
            <w:hideMark/>
          </w:tcPr>
          <w:p w14:paraId="6DFC137A"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73</w:t>
            </w:r>
          </w:p>
        </w:tc>
        <w:tc>
          <w:tcPr>
            <w:tcW w:w="270" w:type="pct"/>
            <w:hideMark/>
          </w:tcPr>
          <w:p w14:paraId="7A84297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Good Governance &amp; Public Participation</w:t>
            </w:r>
          </w:p>
        </w:tc>
        <w:tc>
          <w:tcPr>
            <w:tcW w:w="268" w:type="pct"/>
            <w:hideMark/>
          </w:tcPr>
          <w:p w14:paraId="3B3723F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promote a culture of participatory democracy and social cohesion</w:t>
            </w:r>
          </w:p>
        </w:tc>
        <w:tc>
          <w:tcPr>
            <w:tcW w:w="362" w:type="pct"/>
            <w:hideMark/>
          </w:tcPr>
          <w:p w14:paraId="4D6C09C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Submit quarterly reports to Council on the functionality of the War Rooms operated through the Operation Sukuma Sakhe (OSS) Programme</w:t>
            </w:r>
          </w:p>
        </w:tc>
        <w:tc>
          <w:tcPr>
            <w:tcW w:w="362" w:type="pct"/>
            <w:hideMark/>
          </w:tcPr>
          <w:p w14:paraId="44BF2C7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Number of reports submitted to Council by 30 June </w:t>
            </w:r>
          </w:p>
        </w:tc>
        <w:tc>
          <w:tcPr>
            <w:tcW w:w="362" w:type="pct"/>
            <w:hideMark/>
          </w:tcPr>
          <w:p w14:paraId="7518EA8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by 30 June  on the functionality of the War Rooms operated through the Operation Sukuma Sakhe (OSS) Programme</w:t>
            </w:r>
          </w:p>
        </w:tc>
        <w:tc>
          <w:tcPr>
            <w:tcW w:w="362" w:type="pct"/>
            <w:hideMark/>
          </w:tcPr>
          <w:p w14:paraId="57E92F9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by 30 June  on the functionality of the War Rooms operated through the Operation Sukuma Sakhe (OSS) Programme</w:t>
            </w:r>
          </w:p>
        </w:tc>
        <w:tc>
          <w:tcPr>
            <w:tcW w:w="362" w:type="pct"/>
            <w:hideMark/>
          </w:tcPr>
          <w:p w14:paraId="27D31D0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by 30 June  on the functionality of the War Rooms operated through the Operation Sukuma Sakhe (OSS) Programme</w:t>
            </w:r>
          </w:p>
        </w:tc>
        <w:tc>
          <w:tcPr>
            <w:tcW w:w="362" w:type="pct"/>
            <w:hideMark/>
          </w:tcPr>
          <w:p w14:paraId="690C79D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by 30 June  on the functionality of the War Rooms operated through the Operation Sukuma Sakhe (OSS) Programme</w:t>
            </w:r>
          </w:p>
        </w:tc>
        <w:tc>
          <w:tcPr>
            <w:tcW w:w="362" w:type="pct"/>
            <w:hideMark/>
          </w:tcPr>
          <w:p w14:paraId="1EAB1C1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Council by 30 June  on the functionality of the War Rooms operated through the Operation Sukuma Sakhe (OSS) Programme</w:t>
            </w:r>
          </w:p>
        </w:tc>
        <w:tc>
          <w:tcPr>
            <w:tcW w:w="180" w:type="pct"/>
            <w:hideMark/>
          </w:tcPr>
          <w:p w14:paraId="2560DF1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hideMark/>
          </w:tcPr>
          <w:p w14:paraId="105C500D"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MANAGER</w:t>
            </w:r>
          </w:p>
        </w:tc>
        <w:tc>
          <w:tcPr>
            <w:tcW w:w="306" w:type="pct"/>
            <w:hideMark/>
          </w:tcPr>
          <w:p w14:paraId="4077C78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Operation Sukuma Sakhe</w:t>
            </w:r>
          </w:p>
        </w:tc>
        <w:tc>
          <w:tcPr>
            <w:tcW w:w="369" w:type="pct"/>
            <w:hideMark/>
          </w:tcPr>
          <w:p w14:paraId="4E2D965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249" w:type="pct"/>
            <w:hideMark/>
          </w:tcPr>
          <w:p w14:paraId="45ECCEA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62" w:type="pct"/>
            <w:hideMark/>
          </w:tcPr>
          <w:p w14:paraId="28C1017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3988B9E7" w14:textId="77777777" w:rsidTr="008A0277">
        <w:trPr>
          <w:trHeight w:val="300"/>
        </w:trPr>
        <w:tc>
          <w:tcPr>
            <w:tcW w:w="277" w:type="pct"/>
            <w:hideMark/>
          </w:tcPr>
          <w:p w14:paraId="13ED759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116" w:type="pct"/>
            <w:hideMark/>
          </w:tcPr>
          <w:p w14:paraId="17C5A6E9"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 </w:t>
            </w:r>
          </w:p>
        </w:tc>
        <w:tc>
          <w:tcPr>
            <w:tcW w:w="270" w:type="pct"/>
            <w:hideMark/>
          </w:tcPr>
          <w:p w14:paraId="14A0E5D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hideMark/>
          </w:tcPr>
          <w:p w14:paraId="7B9DBDCB"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6D87156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724CBF3F"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0551C1F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150 000.00</w:t>
            </w:r>
          </w:p>
        </w:tc>
        <w:tc>
          <w:tcPr>
            <w:tcW w:w="362" w:type="pct"/>
            <w:hideMark/>
          </w:tcPr>
          <w:p w14:paraId="2C8AA76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150 000.00</w:t>
            </w:r>
          </w:p>
        </w:tc>
        <w:tc>
          <w:tcPr>
            <w:tcW w:w="362" w:type="pct"/>
            <w:hideMark/>
          </w:tcPr>
          <w:p w14:paraId="5E44D44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150 000.00</w:t>
            </w:r>
          </w:p>
        </w:tc>
        <w:tc>
          <w:tcPr>
            <w:tcW w:w="362" w:type="pct"/>
            <w:hideMark/>
          </w:tcPr>
          <w:p w14:paraId="118FF0E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150 000.00</w:t>
            </w:r>
          </w:p>
        </w:tc>
        <w:tc>
          <w:tcPr>
            <w:tcW w:w="362" w:type="pct"/>
            <w:hideMark/>
          </w:tcPr>
          <w:p w14:paraId="5A186F61"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150 000.00</w:t>
            </w:r>
          </w:p>
        </w:tc>
        <w:tc>
          <w:tcPr>
            <w:tcW w:w="180" w:type="pct"/>
            <w:hideMark/>
          </w:tcPr>
          <w:p w14:paraId="7675CA4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hideMark/>
          </w:tcPr>
          <w:p w14:paraId="1FDF0C0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06" w:type="pct"/>
            <w:hideMark/>
          </w:tcPr>
          <w:p w14:paraId="4ADCF50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9" w:type="pct"/>
            <w:hideMark/>
          </w:tcPr>
          <w:p w14:paraId="19B200B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49" w:type="pct"/>
            <w:hideMark/>
          </w:tcPr>
          <w:p w14:paraId="5CD326A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162" w:type="pct"/>
            <w:hideMark/>
          </w:tcPr>
          <w:p w14:paraId="2B7EC64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r>
      <w:tr w:rsidR="008A0277" w:rsidRPr="008A0277" w14:paraId="6BD0A9C9" w14:textId="77777777" w:rsidTr="008A0277">
        <w:trPr>
          <w:trHeight w:val="1275"/>
        </w:trPr>
        <w:tc>
          <w:tcPr>
            <w:tcW w:w="277" w:type="pct"/>
            <w:hideMark/>
          </w:tcPr>
          <w:p w14:paraId="4D50AA4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Poor participation of Amakhosi at Council meetings</w:t>
            </w:r>
          </w:p>
        </w:tc>
        <w:tc>
          <w:tcPr>
            <w:tcW w:w="116" w:type="pct"/>
            <w:hideMark/>
          </w:tcPr>
          <w:p w14:paraId="2AA1846B"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74</w:t>
            </w:r>
          </w:p>
        </w:tc>
        <w:tc>
          <w:tcPr>
            <w:tcW w:w="270" w:type="pct"/>
            <w:hideMark/>
          </w:tcPr>
          <w:p w14:paraId="1161C4C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Good Governance &amp; Public Participation</w:t>
            </w:r>
          </w:p>
        </w:tc>
        <w:tc>
          <w:tcPr>
            <w:tcW w:w="268" w:type="pct"/>
            <w:hideMark/>
          </w:tcPr>
          <w:p w14:paraId="6EC7D4B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To promote a culture of participatory democracy and social cohesion</w:t>
            </w:r>
          </w:p>
        </w:tc>
        <w:tc>
          <w:tcPr>
            <w:tcW w:w="362" w:type="pct"/>
            <w:hideMark/>
          </w:tcPr>
          <w:p w14:paraId="0337A3E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Submit quarterly reports to COGTA on the attendance of Amakhosi at Council meetings</w:t>
            </w:r>
          </w:p>
        </w:tc>
        <w:tc>
          <w:tcPr>
            <w:tcW w:w="362" w:type="pct"/>
            <w:hideMark/>
          </w:tcPr>
          <w:p w14:paraId="0897BCD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xml:space="preserve">Number of reports submitted to COGTA by 30 June </w:t>
            </w:r>
          </w:p>
        </w:tc>
        <w:tc>
          <w:tcPr>
            <w:tcW w:w="362" w:type="pct"/>
            <w:hideMark/>
          </w:tcPr>
          <w:p w14:paraId="403481D6"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COGTA by 30 June on the attendance of Amakhosi at Council meetings</w:t>
            </w:r>
          </w:p>
        </w:tc>
        <w:tc>
          <w:tcPr>
            <w:tcW w:w="362" w:type="pct"/>
            <w:hideMark/>
          </w:tcPr>
          <w:p w14:paraId="3965D7A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COGTA by 30 June on the attendance of Amakhosi at Council meetings</w:t>
            </w:r>
          </w:p>
        </w:tc>
        <w:tc>
          <w:tcPr>
            <w:tcW w:w="362" w:type="pct"/>
            <w:hideMark/>
          </w:tcPr>
          <w:p w14:paraId="130E37C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COGTA by 30 June on the attendance of Amakhosi at Council meetings</w:t>
            </w:r>
          </w:p>
        </w:tc>
        <w:tc>
          <w:tcPr>
            <w:tcW w:w="362" w:type="pct"/>
            <w:hideMark/>
          </w:tcPr>
          <w:p w14:paraId="237F4DB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COGTA by 30 June on the attendance of Amakhosi at Council meetings</w:t>
            </w:r>
          </w:p>
        </w:tc>
        <w:tc>
          <w:tcPr>
            <w:tcW w:w="362" w:type="pct"/>
            <w:hideMark/>
          </w:tcPr>
          <w:p w14:paraId="65D4958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4 reports submitted to COGTA by 30 June on the attendance of Amakhosi at Council meetings</w:t>
            </w:r>
          </w:p>
        </w:tc>
        <w:tc>
          <w:tcPr>
            <w:tcW w:w="180" w:type="pct"/>
            <w:hideMark/>
          </w:tcPr>
          <w:p w14:paraId="27796384"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hideMark/>
          </w:tcPr>
          <w:p w14:paraId="76EB8203"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MUNICIPAL MANAGER</w:t>
            </w:r>
          </w:p>
        </w:tc>
        <w:tc>
          <w:tcPr>
            <w:tcW w:w="306" w:type="pct"/>
            <w:hideMark/>
          </w:tcPr>
          <w:p w14:paraId="43E79CB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Operation Sukuma Sakhe</w:t>
            </w:r>
          </w:p>
        </w:tc>
        <w:tc>
          <w:tcPr>
            <w:tcW w:w="369" w:type="pct"/>
            <w:hideMark/>
          </w:tcPr>
          <w:p w14:paraId="2774A4A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249" w:type="pct"/>
            <w:hideMark/>
          </w:tcPr>
          <w:p w14:paraId="40DD51A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N/A</w:t>
            </w:r>
          </w:p>
        </w:tc>
        <w:tc>
          <w:tcPr>
            <w:tcW w:w="162" w:type="pct"/>
            <w:hideMark/>
          </w:tcPr>
          <w:p w14:paraId="0592CD0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ALL</w:t>
            </w:r>
          </w:p>
        </w:tc>
      </w:tr>
      <w:tr w:rsidR="008A0277" w:rsidRPr="008A0277" w14:paraId="3D224F55" w14:textId="77777777" w:rsidTr="008A0277">
        <w:trPr>
          <w:trHeight w:val="300"/>
        </w:trPr>
        <w:tc>
          <w:tcPr>
            <w:tcW w:w="277" w:type="pct"/>
            <w:hideMark/>
          </w:tcPr>
          <w:p w14:paraId="3F0E63D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116" w:type="pct"/>
            <w:hideMark/>
          </w:tcPr>
          <w:p w14:paraId="26198853" w14:textId="77777777" w:rsidR="008A0277" w:rsidRPr="008A0277" w:rsidRDefault="008A0277" w:rsidP="008A0277">
            <w:pPr>
              <w:spacing w:after="160" w:line="259" w:lineRule="auto"/>
              <w:rPr>
                <w:rFonts w:eastAsia="Calibri" w:cs="Times New Roman"/>
                <w:b/>
                <w:bCs/>
                <w:sz w:val="12"/>
                <w:szCs w:val="12"/>
                <w:lang w:val="en-ZA"/>
              </w:rPr>
            </w:pPr>
            <w:r w:rsidRPr="008A0277">
              <w:rPr>
                <w:rFonts w:eastAsia="Calibri" w:cs="Times New Roman"/>
                <w:b/>
                <w:bCs/>
                <w:sz w:val="12"/>
                <w:szCs w:val="12"/>
                <w:lang w:val="en-ZA"/>
              </w:rPr>
              <w:t> </w:t>
            </w:r>
          </w:p>
        </w:tc>
        <w:tc>
          <w:tcPr>
            <w:tcW w:w="270" w:type="pct"/>
            <w:hideMark/>
          </w:tcPr>
          <w:p w14:paraId="3C8FA1BC"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hideMark/>
          </w:tcPr>
          <w:p w14:paraId="6D3C6B02"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41E2110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18B4299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2" w:type="pct"/>
            <w:hideMark/>
          </w:tcPr>
          <w:p w14:paraId="52AB41F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109 800.00</w:t>
            </w:r>
          </w:p>
        </w:tc>
        <w:tc>
          <w:tcPr>
            <w:tcW w:w="362" w:type="pct"/>
            <w:hideMark/>
          </w:tcPr>
          <w:p w14:paraId="0F0F8E75"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115 730.00</w:t>
            </w:r>
          </w:p>
        </w:tc>
        <w:tc>
          <w:tcPr>
            <w:tcW w:w="362" w:type="pct"/>
            <w:hideMark/>
          </w:tcPr>
          <w:p w14:paraId="62D8E888"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122 090.00</w:t>
            </w:r>
          </w:p>
        </w:tc>
        <w:tc>
          <w:tcPr>
            <w:tcW w:w="362" w:type="pct"/>
            <w:hideMark/>
          </w:tcPr>
          <w:p w14:paraId="365D94E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122 090.00</w:t>
            </w:r>
          </w:p>
        </w:tc>
        <w:tc>
          <w:tcPr>
            <w:tcW w:w="362" w:type="pct"/>
            <w:hideMark/>
          </w:tcPr>
          <w:p w14:paraId="3F273B0A"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122 090.00</w:t>
            </w:r>
          </w:p>
        </w:tc>
        <w:tc>
          <w:tcPr>
            <w:tcW w:w="180" w:type="pct"/>
            <w:hideMark/>
          </w:tcPr>
          <w:p w14:paraId="5F10BA8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68" w:type="pct"/>
            <w:hideMark/>
          </w:tcPr>
          <w:p w14:paraId="1FD0F3B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06" w:type="pct"/>
            <w:hideMark/>
          </w:tcPr>
          <w:p w14:paraId="2E215937"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369" w:type="pct"/>
            <w:hideMark/>
          </w:tcPr>
          <w:p w14:paraId="50686840"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249" w:type="pct"/>
            <w:hideMark/>
          </w:tcPr>
          <w:p w14:paraId="50742DD9"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c>
          <w:tcPr>
            <w:tcW w:w="162" w:type="pct"/>
            <w:hideMark/>
          </w:tcPr>
          <w:p w14:paraId="140FCC6E" w14:textId="77777777" w:rsidR="008A0277" w:rsidRPr="008A0277" w:rsidRDefault="008A0277" w:rsidP="008A0277">
            <w:pPr>
              <w:spacing w:after="160" w:line="259" w:lineRule="auto"/>
              <w:rPr>
                <w:rFonts w:eastAsia="Calibri" w:cs="Times New Roman"/>
                <w:sz w:val="12"/>
                <w:szCs w:val="12"/>
                <w:lang w:val="en-ZA"/>
              </w:rPr>
            </w:pPr>
            <w:r w:rsidRPr="008A0277">
              <w:rPr>
                <w:rFonts w:eastAsia="Calibri" w:cs="Times New Roman"/>
                <w:sz w:val="12"/>
                <w:szCs w:val="12"/>
                <w:lang w:val="en-ZA"/>
              </w:rPr>
              <w:t> </w:t>
            </w:r>
          </w:p>
        </w:tc>
      </w:tr>
    </w:tbl>
    <w:p w14:paraId="2C235DC9" w14:textId="073C6FB1" w:rsidR="008A0277" w:rsidRDefault="008A0277" w:rsidP="008A0277">
      <w:pPr>
        <w:pStyle w:val="Caption"/>
        <w:rPr>
          <w:rFonts w:eastAsia="Calibri" w:cs="Times New Roman"/>
          <w:sz w:val="22"/>
          <w:lang w:val="en-ZA"/>
        </w:rPr>
      </w:pPr>
      <w:bookmarkStart w:id="714" w:name="_Toc510622357"/>
      <w:r>
        <w:t xml:space="preserve">Table </w:t>
      </w:r>
      <w:r w:rsidR="00B918A6">
        <w:fldChar w:fldCharType="begin"/>
      </w:r>
      <w:r w:rsidR="00B918A6">
        <w:instrText xml:space="preserve"> SEQ Table \* ARABIC </w:instrText>
      </w:r>
      <w:r w:rsidR="00B918A6">
        <w:fldChar w:fldCharType="separate"/>
      </w:r>
      <w:r w:rsidR="0067023A">
        <w:rPr>
          <w:noProof/>
        </w:rPr>
        <w:t>106</w:t>
      </w:r>
      <w:r w:rsidR="00B918A6">
        <w:rPr>
          <w:noProof/>
        </w:rPr>
        <w:fldChar w:fldCharType="end"/>
      </w:r>
      <w:r>
        <w:t>: Implementation Plan</w:t>
      </w:r>
      <w:bookmarkEnd w:id="714"/>
    </w:p>
    <w:p w14:paraId="479FBD83" w14:textId="77777777" w:rsidR="00062768" w:rsidRPr="008A0277" w:rsidRDefault="00062768" w:rsidP="008A0277">
      <w:pPr>
        <w:rPr>
          <w:lang w:val="en-ZA"/>
        </w:rPr>
        <w:sectPr w:rsidR="00062768" w:rsidRPr="008A0277" w:rsidSect="006F4356">
          <w:type w:val="continuous"/>
          <w:pgSz w:w="16839" w:h="11907" w:orient="landscape" w:code="9"/>
          <w:pgMar w:top="1134" w:right="851" w:bottom="1134" w:left="851" w:header="720" w:footer="720" w:gutter="0"/>
          <w:cols w:space="720"/>
          <w:docGrid w:linePitch="360"/>
        </w:sectPr>
      </w:pPr>
    </w:p>
    <w:p w14:paraId="63D1A29D" w14:textId="77777777" w:rsidR="0017184A" w:rsidRPr="000330B6" w:rsidRDefault="0017184A" w:rsidP="000330B6">
      <w:pPr>
        <w:pStyle w:val="ListParagraph"/>
        <w:ind w:left="660"/>
        <w:rPr>
          <w:szCs w:val="20"/>
        </w:rPr>
      </w:pPr>
    </w:p>
    <w:p w14:paraId="7C583C85" w14:textId="77777777" w:rsidR="000A1FCC" w:rsidRPr="00881795" w:rsidRDefault="000A1FCC" w:rsidP="00984E8E">
      <w:pPr>
        <w:pStyle w:val="Heading1"/>
      </w:pPr>
      <w:bookmarkStart w:id="715" w:name="_Toc350708873"/>
      <w:bookmarkStart w:id="716" w:name="_Toc350694371"/>
      <w:bookmarkStart w:id="717" w:name="_Toc389740130"/>
      <w:bookmarkStart w:id="718" w:name="_Toc510706695"/>
      <w:r w:rsidRPr="00881795">
        <w:t xml:space="preserve">SECTION F: </w:t>
      </w:r>
      <w:r w:rsidR="00984E8E">
        <w:t xml:space="preserve">6 </w:t>
      </w:r>
      <w:r w:rsidRPr="00881795">
        <w:t>FINANCIAL PLAN</w:t>
      </w:r>
      <w:bookmarkEnd w:id="715"/>
      <w:bookmarkEnd w:id="716"/>
      <w:bookmarkEnd w:id="717"/>
      <w:bookmarkEnd w:id="718"/>
    </w:p>
    <w:p w14:paraId="6016B233" w14:textId="55A0C582" w:rsidR="00666543" w:rsidRPr="00781508" w:rsidRDefault="007C1941" w:rsidP="007C1941">
      <w:pPr>
        <w:pStyle w:val="Heading2"/>
        <w:numPr>
          <w:ilvl w:val="1"/>
          <w:numId w:val="12"/>
        </w:numPr>
        <w:rPr>
          <w:sz w:val="14"/>
        </w:rPr>
      </w:pPr>
      <w:bookmarkStart w:id="719" w:name="_Toc510706696"/>
      <w:r w:rsidRPr="00781508">
        <w:t>CAPITAL BUDGET FOR 201</w:t>
      </w:r>
      <w:r w:rsidR="00430F9E">
        <w:t>8</w:t>
      </w:r>
      <w:r w:rsidRPr="00781508">
        <w:t>/</w:t>
      </w:r>
      <w:r w:rsidRPr="007C1941">
        <w:t>201</w:t>
      </w:r>
      <w:r w:rsidR="00430F9E">
        <w:t>9</w:t>
      </w:r>
      <w:r w:rsidRPr="00781508">
        <w:t xml:space="preserve"> FINANCIAL YEAR</w:t>
      </w:r>
      <w:bookmarkEnd w:id="719"/>
    </w:p>
    <w:p w14:paraId="61BF4057" w14:textId="77777777" w:rsidR="00666543" w:rsidRPr="00881795" w:rsidRDefault="00666543" w:rsidP="00395313">
      <w:pPr>
        <w:jc w:val="both"/>
        <w:rPr>
          <w:rFonts w:cs="Calibri"/>
          <w:color w:val="000000" w:themeColor="text1"/>
        </w:rPr>
      </w:pPr>
      <w:r w:rsidRPr="00881795">
        <w:rPr>
          <w:rFonts w:cs="Calibri"/>
          <w:color w:val="000000" w:themeColor="text1"/>
        </w:rPr>
        <w:t>Below is a summary of the Munic</w:t>
      </w:r>
      <w:r w:rsidR="00FA6590">
        <w:rPr>
          <w:rFonts w:cs="Calibri"/>
          <w:color w:val="000000" w:themeColor="text1"/>
        </w:rPr>
        <w:t>ipality’s proposed 5 year Capital Budget;</w:t>
      </w:r>
    </w:p>
    <w:tbl>
      <w:tblPr>
        <w:tblW w:w="5271" w:type="pct"/>
        <w:tblLook w:val="04A0" w:firstRow="1" w:lastRow="0" w:firstColumn="1" w:lastColumn="0" w:noHBand="0" w:noVBand="1"/>
      </w:tblPr>
      <w:tblGrid>
        <w:gridCol w:w="613"/>
        <w:gridCol w:w="700"/>
        <w:gridCol w:w="699"/>
        <w:gridCol w:w="610"/>
        <w:gridCol w:w="258"/>
        <w:gridCol w:w="258"/>
        <w:gridCol w:w="1150"/>
        <w:gridCol w:w="1150"/>
        <w:gridCol w:w="1150"/>
        <w:gridCol w:w="1150"/>
        <w:gridCol w:w="1150"/>
        <w:gridCol w:w="1252"/>
      </w:tblGrid>
      <w:tr w:rsidR="00430F9E" w:rsidRPr="00430F9E" w14:paraId="2C349BBB" w14:textId="77777777" w:rsidTr="00BE05EA">
        <w:trPr>
          <w:trHeight w:val="197"/>
        </w:trPr>
        <w:tc>
          <w:tcPr>
            <w:tcW w:w="303" w:type="pct"/>
            <w:tcBorders>
              <w:top w:val="single" w:sz="8" w:space="0" w:color="auto"/>
              <w:left w:val="single" w:sz="8" w:space="0" w:color="auto"/>
              <w:bottom w:val="nil"/>
              <w:right w:val="nil"/>
            </w:tcBorders>
            <w:shd w:val="clear" w:color="auto" w:fill="auto"/>
            <w:noWrap/>
            <w:vAlign w:val="bottom"/>
            <w:hideMark/>
          </w:tcPr>
          <w:p w14:paraId="5CAC7CE8"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345" w:type="pct"/>
            <w:tcBorders>
              <w:top w:val="single" w:sz="8" w:space="0" w:color="auto"/>
              <w:left w:val="nil"/>
              <w:bottom w:val="nil"/>
              <w:right w:val="nil"/>
            </w:tcBorders>
            <w:shd w:val="clear" w:color="auto" w:fill="auto"/>
            <w:noWrap/>
            <w:vAlign w:val="bottom"/>
            <w:hideMark/>
          </w:tcPr>
          <w:p w14:paraId="6040AE17"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345" w:type="pct"/>
            <w:tcBorders>
              <w:top w:val="single" w:sz="8" w:space="0" w:color="auto"/>
              <w:left w:val="nil"/>
              <w:bottom w:val="nil"/>
              <w:right w:val="nil"/>
            </w:tcBorders>
            <w:shd w:val="clear" w:color="auto" w:fill="auto"/>
            <w:noWrap/>
            <w:vAlign w:val="bottom"/>
            <w:hideMark/>
          </w:tcPr>
          <w:p w14:paraId="2C639215"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301" w:type="pct"/>
            <w:tcBorders>
              <w:top w:val="single" w:sz="8" w:space="0" w:color="auto"/>
              <w:left w:val="nil"/>
              <w:bottom w:val="nil"/>
              <w:right w:val="nil"/>
            </w:tcBorders>
            <w:shd w:val="clear" w:color="auto" w:fill="auto"/>
            <w:noWrap/>
            <w:vAlign w:val="bottom"/>
            <w:hideMark/>
          </w:tcPr>
          <w:p w14:paraId="02E7EE6C"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127" w:type="pct"/>
            <w:tcBorders>
              <w:top w:val="single" w:sz="8" w:space="0" w:color="auto"/>
              <w:left w:val="nil"/>
              <w:bottom w:val="nil"/>
              <w:right w:val="nil"/>
            </w:tcBorders>
            <w:shd w:val="clear" w:color="auto" w:fill="auto"/>
            <w:noWrap/>
            <w:vAlign w:val="bottom"/>
            <w:hideMark/>
          </w:tcPr>
          <w:p w14:paraId="16B260F4"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127" w:type="pct"/>
            <w:tcBorders>
              <w:top w:val="single" w:sz="8" w:space="0" w:color="auto"/>
              <w:left w:val="nil"/>
              <w:bottom w:val="nil"/>
              <w:right w:val="single" w:sz="8" w:space="0" w:color="auto"/>
            </w:tcBorders>
            <w:shd w:val="clear" w:color="auto" w:fill="auto"/>
            <w:noWrap/>
            <w:vAlign w:val="bottom"/>
            <w:hideMark/>
          </w:tcPr>
          <w:p w14:paraId="543E4191"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567" w:type="pct"/>
            <w:tcBorders>
              <w:top w:val="single" w:sz="8" w:space="0" w:color="auto"/>
              <w:left w:val="nil"/>
              <w:bottom w:val="nil"/>
              <w:right w:val="single" w:sz="8" w:space="0" w:color="auto"/>
            </w:tcBorders>
            <w:shd w:val="clear" w:color="auto" w:fill="auto"/>
            <w:noWrap/>
            <w:vAlign w:val="bottom"/>
            <w:hideMark/>
          </w:tcPr>
          <w:p w14:paraId="736628BF" w14:textId="77777777" w:rsidR="00430F9E" w:rsidRPr="00430F9E" w:rsidRDefault="00430F9E" w:rsidP="00430F9E">
            <w:pPr>
              <w:spacing w:after="0" w:line="240" w:lineRule="auto"/>
              <w:jc w:val="center"/>
              <w:rPr>
                <w:rFonts w:eastAsia="Times New Roman" w:cs="Times New Roman"/>
                <w:b/>
                <w:bCs/>
                <w:color w:val="000000"/>
                <w:sz w:val="18"/>
                <w:lang w:val="en-ZA" w:eastAsia="en-ZA"/>
              </w:rPr>
            </w:pPr>
            <w:r w:rsidRPr="00430F9E">
              <w:rPr>
                <w:rFonts w:eastAsia="Times New Roman" w:cs="Times New Roman"/>
                <w:b/>
                <w:bCs/>
                <w:color w:val="000000"/>
                <w:sz w:val="18"/>
                <w:lang w:val="en-ZA" w:eastAsia="en-ZA"/>
              </w:rPr>
              <w:t>Budget</w:t>
            </w:r>
          </w:p>
        </w:tc>
        <w:tc>
          <w:tcPr>
            <w:tcW w:w="567" w:type="pct"/>
            <w:tcBorders>
              <w:top w:val="single" w:sz="8" w:space="0" w:color="auto"/>
              <w:left w:val="nil"/>
              <w:bottom w:val="nil"/>
              <w:right w:val="single" w:sz="8" w:space="0" w:color="auto"/>
            </w:tcBorders>
            <w:shd w:val="clear" w:color="auto" w:fill="auto"/>
            <w:noWrap/>
            <w:vAlign w:val="bottom"/>
            <w:hideMark/>
          </w:tcPr>
          <w:p w14:paraId="313615C2" w14:textId="77777777" w:rsidR="00430F9E" w:rsidRPr="00430F9E" w:rsidRDefault="00430F9E" w:rsidP="00430F9E">
            <w:pPr>
              <w:spacing w:after="0" w:line="240" w:lineRule="auto"/>
              <w:jc w:val="center"/>
              <w:rPr>
                <w:rFonts w:eastAsia="Times New Roman" w:cs="Times New Roman"/>
                <w:b/>
                <w:bCs/>
                <w:color w:val="000000"/>
                <w:sz w:val="18"/>
                <w:lang w:val="en-ZA" w:eastAsia="en-ZA"/>
              </w:rPr>
            </w:pPr>
            <w:r w:rsidRPr="00430F9E">
              <w:rPr>
                <w:rFonts w:eastAsia="Times New Roman" w:cs="Times New Roman"/>
                <w:b/>
                <w:bCs/>
                <w:color w:val="000000"/>
                <w:sz w:val="18"/>
                <w:lang w:val="en-ZA" w:eastAsia="en-ZA"/>
              </w:rPr>
              <w:t>Budget</w:t>
            </w:r>
          </w:p>
        </w:tc>
        <w:tc>
          <w:tcPr>
            <w:tcW w:w="567" w:type="pct"/>
            <w:tcBorders>
              <w:top w:val="single" w:sz="8" w:space="0" w:color="auto"/>
              <w:left w:val="nil"/>
              <w:bottom w:val="nil"/>
              <w:right w:val="single" w:sz="8" w:space="0" w:color="auto"/>
            </w:tcBorders>
            <w:shd w:val="clear" w:color="auto" w:fill="auto"/>
            <w:noWrap/>
            <w:vAlign w:val="bottom"/>
            <w:hideMark/>
          </w:tcPr>
          <w:p w14:paraId="02ED7C63" w14:textId="77777777" w:rsidR="00430F9E" w:rsidRPr="00430F9E" w:rsidRDefault="00430F9E" w:rsidP="00430F9E">
            <w:pPr>
              <w:spacing w:after="0" w:line="240" w:lineRule="auto"/>
              <w:jc w:val="center"/>
              <w:rPr>
                <w:rFonts w:eastAsia="Times New Roman" w:cs="Times New Roman"/>
                <w:b/>
                <w:bCs/>
                <w:color w:val="000000"/>
                <w:sz w:val="18"/>
                <w:lang w:val="en-ZA" w:eastAsia="en-ZA"/>
              </w:rPr>
            </w:pPr>
            <w:r w:rsidRPr="00430F9E">
              <w:rPr>
                <w:rFonts w:eastAsia="Times New Roman" w:cs="Times New Roman"/>
                <w:b/>
                <w:bCs/>
                <w:color w:val="000000"/>
                <w:sz w:val="18"/>
                <w:lang w:val="en-ZA" w:eastAsia="en-ZA"/>
              </w:rPr>
              <w:t>Budget</w:t>
            </w:r>
          </w:p>
        </w:tc>
        <w:tc>
          <w:tcPr>
            <w:tcW w:w="567" w:type="pct"/>
            <w:tcBorders>
              <w:top w:val="single" w:sz="8" w:space="0" w:color="auto"/>
              <w:left w:val="nil"/>
              <w:bottom w:val="nil"/>
              <w:right w:val="single" w:sz="8" w:space="0" w:color="auto"/>
            </w:tcBorders>
            <w:shd w:val="clear" w:color="auto" w:fill="auto"/>
            <w:noWrap/>
            <w:vAlign w:val="bottom"/>
            <w:hideMark/>
          </w:tcPr>
          <w:p w14:paraId="6BC98B53" w14:textId="77777777" w:rsidR="00430F9E" w:rsidRPr="00430F9E" w:rsidRDefault="00430F9E" w:rsidP="00430F9E">
            <w:pPr>
              <w:spacing w:after="0" w:line="240" w:lineRule="auto"/>
              <w:jc w:val="center"/>
              <w:rPr>
                <w:rFonts w:eastAsia="Times New Roman" w:cs="Times New Roman"/>
                <w:b/>
                <w:bCs/>
                <w:color w:val="000000"/>
                <w:sz w:val="18"/>
                <w:lang w:val="en-ZA" w:eastAsia="en-ZA"/>
              </w:rPr>
            </w:pPr>
            <w:r w:rsidRPr="00430F9E">
              <w:rPr>
                <w:rFonts w:eastAsia="Times New Roman" w:cs="Times New Roman"/>
                <w:b/>
                <w:bCs/>
                <w:color w:val="000000"/>
                <w:sz w:val="18"/>
                <w:lang w:val="en-ZA" w:eastAsia="en-ZA"/>
              </w:rPr>
              <w:t>Budget</w:t>
            </w:r>
          </w:p>
        </w:tc>
        <w:tc>
          <w:tcPr>
            <w:tcW w:w="567" w:type="pct"/>
            <w:tcBorders>
              <w:top w:val="single" w:sz="8" w:space="0" w:color="auto"/>
              <w:left w:val="nil"/>
              <w:bottom w:val="nil"/>
              <w:right w:val="single" w:sz="8" w:space="0" w:color="auto"/>
            </w:tcBorders>
            <w:shd w:val="clear" w:color="auto" w:fill="auto"/>
            <w:noWrap/>
            <w:vAlign w:val="bottom"/>
            <w:hideMark/>
          </w:tcPr>
          <w:p w14:paraId="2DF2D32F" w14:textId="77777777" w:rsidR="00430F9E" w:rsidRPr="00430F9E" w:rsidRDefault="00430F9E" w:rsidP="00430F9E">
            <w:pPr>
              <w:spacing w:after="0" w:line="240" w:lineRule="auto"/>
              <w:jc w:val="center"/>
              <w:rPr>
                <w:rFonts w:eastAsia="Times New Roman" w:cs="Times New Roman"/>
                <w:b/>
                <w:bCs/>
                <w:color w:val="000000"/>
                <w:sz w:val="18"/>
                <w:lang w:val="en-ZA" w:eastAsia="en-ZA"/>
              </w:rPr>
            </w:pPr>
            <w:r w:rsidRPr="00430F9E">
              <w:rPr>
                <w:rFonts w:eastAsia="Times New Roman" w:cs="Times New Roman"/>
                <w:b/>
                <w:bCs/>
                <w:color w:val="000000"/>
                <w:sz w:val="18"/>
                <w:lang w:val="en-ZA" w:eastAsia="en-ZA"/>
              </w:rPr>
              <w:t>Budget</w:t>
            </w:r>
          </w:p>
        </w:tc>
        <w:tc>
          <w:tcPr>
            <w:tcW w:w="617" w:type="pct"/>
            <w:tcBorders>
              <w:top w:val="single" w:sz="8" w:space="0" w:color="auto"/>
              <w:left w:val="nil"/>
              <w:bottom w:val="nil"/>
              <w:right w:val="single" w:sz="8" w:space="0" w:color="auto"/>
            </w:tcBorders>
            <w:shd w:val="clear" w:color="auto" w:fill="auto"/>
            <w:noWrap/>
            <w:vAlign w:val="bottom"/>
            <w:hideMark/>
          </w:tcPr>
          <w:p w14:paraId="579C8F5C" w14:textId="77777777" w:rsidR="00430F9E" w:rsidRPr="00430F9E" w:rsidRDefault="00430F9E" w:rsidP="00430F9E">
            <w:pPr>
              <w:spacing w:after="0" w:line="240" w:lineRule="auto"/>
              <w:jc w:val="center"/>
              <w:rPr>
                <w:rFonts w:eastAsia="Times New Roman" w:cs="Times New Roman"/>
                <w:b/>
                <w:bCs/>
                <w:color w:val="000000"/>
                <w:sz w:val="18"/>
                <w:lang w:val="en-ZA" w:eastAsia="en-ZA"/>
              </w:rPr>
            </w:pPr>
            <w:r w:rsidRPr="00430F9E">
              <w:rPr>
                <w:rFonts w:eastAsia="Times New Roman" w:cs="Times New Roman"/>
                <w:b/>
                <w:bCs/>
                <w:color w:val="000000"/>
                <w:sz w:val="18"/>
                <w:lang w:val="en-ZA" w:eastAsia="en-ZA"/>
              </w:rPr>
              <w:t>5 Year</w:t>
            </w:r>
          </w:p>
        </w:tc>
      </w:tr>
      <w:tr w:rsidR="00430F9E" w:rsidRPr="00430F9E" w14:paraId="2D4E9A9A" w14:textId="77777777" w:rsidTr="00BE05EA">
        <w:trPr>
          <w:trHeight w:val="197"/>
        </w:trPr>
        <w:tc>
          <w:tcPr>
            <w:tcW w:w="303" w:type="pct"/>
            <w:tcBorders>
              <w:top w:val="nil"/>
              <w:left w:val="single" w:sz="8" w:space="0" w:color="auto"/>
              <w:bottom w:val="nil"/>
              <w:right w:val="nil"/>
            </w:tcBorders>
            <w:shd w:val="clear" w:color="auto" w:fill="auto"/>
            <w:noWrap/>
            <w:vAlign w:val="bottom"/>
            <w:hideMark/>
          </w:tcPr>
          <w:p w14:paraId="79473091"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345" w:type="pct"/>
            <w:tcBorders>
              <w:top w:val="nil"/>
              <w:left w:val="nil"/>
              <w:bottom w:val="nil"/>
              <w:right w:val="nil"/>
            </w:tcBorders>
            <w:shd w:val="clear" w:color="auto" w:fill="auto"/>
            <w:noWrap/>
            <w:vAlign w:val="bottom"/>
            <w:hideMark/>
          </w:tcPr>
          <w:p w14:paraId="3B1F3080" w14:textId="77777777" w:rsidR="00430F9E" w:rsidRPr="00430F9E" w:rsidRDefault="00430F9E" w:rsidP="00430F9E">
            <w:pPr>
              <w:spacing w:after="0" w:line="240" w:lineRule="auto"/>
              <w:rPr>
                <w:rFonts w:eastAsia="Times New Roman" w:cs="Times New Roman"/>
                <w:color w:val="000000"/>
                <w:sz w:val="18"/>
                <w:lang w:val="en-ZA" w:eastAsia="en-ZA"/>
              </w:rPr>
            </w:pPr>
          </w:p>
        </w:tc>
        <w:tc>
          <w:tcPr>
            <w:tcW w:w="345" w:type="pct"/>
            <w:tcBorders>
              <w:top w:val="nil"/>
              <w:left w:val="nil"/>
              <w:bottom w:val="nil"/>
              <w:right w:val="nil"/>
            </w:tcBorders>
            <w:shd w:val="clear" w:color="auto" w:fill="auto"/>
            <w:noWrap/>
            <w:vAlign w:val="bottom"/>
            <w:hideMark/>
          </w:tcPr>
          <w:p w14:paraId="369461DD" w14:textId="77777777" w:rsidR="00430F9E" w:rsidRPr="00430F9E" w:rsidRDefault="00430F9E" w:rsidP="00430F9E">
            <w:pPr>
              <w:spacing w:after="0" w:line="240" w:lineRule="auto"/>
              <w:rPr>
                <w:rFonts w:ascii="Times New Roman" w:eastAsia="Times New Roman" w:hAnsi="Times New Roman" w:cs="Times New Roman"/>
                <w:sz w:val="18"/>
                <w:szCs w:val="20"/>
                <w:lang w:val="en-ZA" w:eastAsia="en-ZA"/>
              </w:rPr>
            </w:pPr>
          </w:p>
        </w:tc>
        <w:tc>
          <w:tcPr>
            <w:tcW w:w="301" w:type="pct"/>
            <w:tcBorders>
              <w:top w:val="nil"/>
              <w:left w:val="nil"/>
              <w:bottom w:val="nil"/>
              <w:right w:val="nil"/>
            </w:tcBorders>
            <w:shd w:val="clear" w:color="auto" w:fill="auto"/>
            <w:noWrap/>
            <w:vAlign w:val="bottom"/>
            <w:hideMark/>
          </w:tcPr>
          <w:p w14:paraId="757B1A12" w14:textId="77777777" w:rsidR="00430F9E" w:rsidRPr="00430F9E" w:rsidRDefault="00430F9E" w:rsidP="00430F9E">
            <w:pPr>
              <w:spacing w:after="0" w:line="240" w:lineRule="auto"/>
              <w:rPr>
                <w:rFonts w:ascii="Times New Roman" w:eastAsia="Times New Roman" w:hAnsi="Times New Roman" w:cs="Times New Roman"/>
                <w:sz w:val="18"/>
                <w:szCs w:val="20"/>
                <w:lang w:val="en-ZA" w:eastAsia="en-ZA"/>
              </w:rPr>
            </w:pPr>
          </w:p>
        </w:tc>
        <w:tc>
          <w:tcPr>
            <w:tcW w:w="127" w:type="pct"/>
            <w:tcBorders>
              <w:top w:val="nil"/>
              <w:left w:val="nil"/>
              <w:bottom w:val="nil"/>
              <w:right w:val="nil"/>
            </w:tcBorders>
            <w:shd w:val="clear" w:color="auto" w:fill="auto"/>
            <w:noWrap/>
            <w:vAlign w:val="bottom"/>
            <w:hideMark/>
          </w:tcPr>
          <w:p w14:paraId="0EA42CFD" w14:textId="77777777" w:rsidR="00430F9E" w:rsidRPr="00430F9E" w:rsidRDefault="00430F9E" w:rsidP="00430F9E">
            <w:pPr>
              <w:spacing w:after="0" w:line="240" w:lineRule="auto"/>
              <w:rPr>
                <w:rFonts w:ascii="Times New Roman" w:eastAsia="Times New Roman" w:hAnsi="Times New Roman" w:cs="Times New Roman"/>
                <w:sz w:val="18"/>
                <w:szCs w:val="20"/>
                <w:lang w:val="en-ZA" w:eastAsia="en-ZA"/>
              </w:rPr>
            </w:pPr>
          </w:p>
        </w:tc>
        <w:tc>
          <w:tcPr>
            <w:tcW w:w="127" w:type="pct"/>
            <w:tcBorders>
              <w:top w:val="nil"/>
              <w:left w:val="nil"/>
              <w:bottom w:val="nil"/>
              <w:right w:val="single" w:sz="8" w:space="0" w:color="auto"/>
            </w:tcBorders>
            <w:shd w:val="clear" w:color="auto" w:fill="auto"/>
            <w:noWrap/>
            <w:vAlign w:val="bottom"/>
            <w:hideMark/>
          </w:tcPr>
          <w:p w14:paraId="4B5E908B"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567" w:type="pct"/>
            <w:tcBorders>
              <w:top w:val="nil"/>
              <w:left w:val="nil"/>
              <w:bottom w:val="nil"/>
              <w:right w:val="single" w:sz="8" w:space="0" w:color="auto"/>
            </w:tcBorders>
            <w:shd w:val="clear" w:color="auto" w:fill="auto"/>
            <w:noWrap/>
            <w:vAlign w:val="bottom"/>
            <w:hideMark/>
          </w:tcPr>
          <w:p w14:paraId="05DC0BE7" w14:textId="77777777" w:rsidR="00430F9E" w:rsidRPr="00430F9E" w:rsidRDefault="00430F9E" w:rsidP="00430F9E">
            <w:pPr>
              <w:spacing w:after="0" w:line="240" w:lineRule="auto"/>
              <w:jc w:val="center"/>
              <w:rPr>
                <w:rFonts w:eastAsia="Times New Roman" w:cs="Times New Roman"/>
                <w:b/>
                <w:bCs/>
                <w:color w:val="000000"/>
                <w:sz w:val="18"/>
                <w:lang w:val="en-ZA" w:eastAsia="en-ZA"/>
              </w:rPr>
            </w:pPr>
            <w:r w:rsidRPr="00430F9E">
              <w:rPr>
                <w:rFonts w:eastAsia="Times New Roman" w:cs="Times New Roman"/>
                <w:b/>
                <w:bCs/>
                <w:color w:val="000000"/>
                <w:sz w:val="18"/>
                <w:lang w:val="en-ZA" w:eastAsia="en-ZA"/>
              </w:rPr>
              <w:t>year</w:t>
            </w:r>
          </w:p>
        </w:tc>
        <w:tc>
          <w:tcPr>
            <w:tcW w:w="567" w:type="pct"/>
            <w:tcBorders>
              <w:top w:val="nil"/>
              <w:left w:val="nil"/>
              <w:bottom w:val="nil"/>
              <w:right w:val="single" w:sz="8" w:space="0" w:color="auto"/>
            </w:tcBorders>
            <w:shd w:val="clear" w:color="auto" w:fill="auto"/>
            <w:noWrap/>
            <w:vAlign w:val="bottom"/>
            <w:hideMark/>
          </w:tcPr>
          <w:p w14:paraId="65C14381" w14:textId="77777777" w:rsidR="00430F9E" w:rsidRPr="00430F9E" w:rsidRDefault="00430F9E" w:rsidP="00430F9E">
            <w:pPr>
              <w:spacing w:after="0" w:line="240" w:lineRule="auto"/>
              <w:jc w:val="center"/>
              <w:rPr>
                <w:rFonts w:eastAsia="Times New Roman" w:cs="Times New Roman"/>
                <w:b/>
                <w:bCs/>
                <w:color w:val="000000"/>
                <w:sz w:val="18"/>
                <w:lang w:val="en-ZA" w:eastAsia="en-ZA"/>
              </w:rPr>
            </w:pPr>
            <w:r w:rsidRPr="00430F9E">
              <w:rPr>
                <w:rFonts w:eastAsia="Times New Roman" w:cs="Times New Roman"/>
                <w:b/>
                <w:bCs/>
                <w:color w:val="000000"/>
                <w:sz w:val="18"/>
                <w:lang w:val="en-ZA" w:eastAsia="en-ZA"/>
              </w:rPr>
              <w:t>year</w:t>
            </w:r>
          </w:p>
        </w:tc>
        <w:tc>
          <w:tcPr>
            <w:tcW w:w="567" w:type="pct"/>
            <w:tcBorders>
              <w:top w:val="nil"/>
              <w:left w:val="nil"/>
              <w:bottom w:val="nil"/>
              <w:right w:val="single" w:sz="8" w:space="0" w:color="auto"/>
            </w:tcBorders>
            <w:shd w:val="clear" w:color="auto" w:fill="auto"/>
            <w:noWrap/>
            <w:vAlign w:val="bottom"/>
            <w:hideMark/>
          </w:tcPr>
          <w:p w14:paraId="42479A9C" w14:textId="77777777" w:rsidR="00430F9E" w:rsidRPr="00430F9E" w:rsidRDefault="00430F9E" w:rsidP="00430F9E">
            <w:pPr>
              <w:spacing w:after="0" w:line="240" w:lineRule="auto"/>
              <w:jc w:val="center"/>
              <w:rPr>
                <w:rFonts w:eastAsia="Times New Roman" w:cs="Times New Roman"/>
                <w:b/>
                <w:bCs/>
                <w:color w:val="000000"/>
                <w:sz w:val="18"/>
                <w:lang w:val="en-ZA" w:eastAsia="en-ZA"/>
              </w:rPr>
            </w:pPr>
            <w:r w:rsidRPr="00430F9E">
              <w:rPr>
                <w:rFonts w:eastAsia="Times New Roman" w:cs="Times New Roman"/>
                <w:b/>
                <w:bCs/>
                <w:color w:val="000000"/>
                <w:sz w:val="18"/>
                <w:lang w:val="en-ZA" w:eastAsia="en-ZA"/>
              </w:rPr>
              <w:t>year</w:t>
            </w:r>
          </w:p>
        </w:tc>
        <w:tc>
          <w:tcPr>
            <w:tcW w:w="567" w:type="pct"/>
            <w:tcBorders>
              <w:top w:val="nil"/>
              <w:left w:val="nil"/>
              <w:bottom w:val="nil"/>
              <w:right w:val="single" w:sz="8" w:space="0" w:color="auto"/>
            </w:tcBorders>
            <w:shd w:val="clear" w:color="auto" w:fill="auto"/>
            <w:noWrap/>
            <w:vAlign w:val="bottom"/>
            <w:hideMark/>
          </w:tcPr>
          <w:p w14:paraId="500317FB" w14:textId="77777777" w:rsidR="00430F9E" w:rsidRPr="00430F9E" w:rsidRDefault="00430F9E" w:rsidP="00430F9E">
            <w:pPr>
              <w:spacing w:after="0" w:line="240" w:lineRule="auto"/>
              <w:jc w:val="center"/>
              <w:rPr>
                <w:rFonts w:eastAsia="Times New Roman" w:cs="Times New Roman"/>
                <w:b/>
                <w:bCs/>
                <w:color w:val="000000"/>
                <w:sz w:val="18"/>
                <w:lang w:val="en-ZA" w:eastAsia="en-ZA"/>
              </w:rPr>
            </w:pPr>
            <w:r w:rsidRPr="00430F9E">
              <w:rPr>
                <w:rFonts w:eastAsia="Times New Roman" w:cs="Times New Roman"/>
                <w:b/>
                <w:bCs/>
                <w:color w:val="000000"/>
                <w:sz w:val="18"/>
                <w:lang w:val="en-ZA" w:eastAsia="en-ZA"/>
              </w:rPr>
              <w:t>year</w:t>
            </w:r>
          </w:p>
        </w:tc>
        <w:tc>
          <w:tcPr>
            <w:tcW w:w="567" w:type="pct"/>
            <w:tcBorders>
              <w:top w:val="nil"/>
              <w:left w:val="nil"/>
              <w:bottom w:val="nil"/>
              <w:right w:val="single" w:sz="8" w:space="0" w:color="auto"/>
            </w:tcBorders>
            <w:shd w:val="clear" w:color="auto" w:fill="auto"/>
            <w:noWrap/>
            <w:vAlign w:val="bottom"/>
            <w:hideMark/>
          </w:tcPr>
          <w:p w14:paraId="21BBD2B3" w14:textId="77777777" w:rsidR="00430F9E" w:rsidRPr="00430F9E" w:rsidRDefault="00430F9E" w:rsidP="00430F9E">
            <w:pPr>
              <w:spacing w:after="0" w:line="240" w:lineRule="auto"/>
              <w:jc w:val="center"/>
              <w:rPr>
                <w:rFonts w:eastAsia="Times New Roman" w:cs="Times New Roman"/>
                <w:b/>
                <w:bCs/>
                <w:color w:val="000000"/>
                <w:sz w:val="18"/>
                <w:lang w:val="en-ZA" w:eastAsia="en-ZA"/>
              </w:rPr>
            </w:pPr>
            <w:r w:rsidRPr="00430F9E">
              <w:rPr>
                <w:rFonts w:eastAsia="Times New Roman" w:cs="Times New Roman"/>
                <w:b/>
                <w:bCs/>
                <w:color w:val="000000"/>
                <w:sz w:val="18"/>
                <w:lang w:val="en-ZA" w:eastAsia="en-ZA"/>
              </w:rPr>
              <w:t>year</w:t>
            </w:r>
          </w:p>
        </w:tc>
        <w:tc>
          <w:tcPr>
            <w:tcW w:w="617" w:type="pct"/>
            <w:tcBorders>
              <w:top w:val="nil"/>
              <w:left w:val="nil"/>
              <w:bottom w:val="nil"/>
              <w:right w:val="single" w:sz="8" w:space="0" w:color="auto"/>
            </w:tcBorders>
            <w:shd w:val="clear" w:color="auto" w:fill="auto"/>
            <w:noWrap/>
            <w:vAlign w:val="bottom"/>
            <w:hideMark/>
          </w:tcPr>
          <w:p w14:paraId="3D8EE0B0" w14:textId="77777777" w:rsidR="00430F9E" w:rsidRPr="00430F9E" w:rsidRDefault="00430F9E" w:rsidP="00430F9E">
            <w:pPr>
              <w:spacing w:after="0" w:line="240" w:lineRule="auto"/>
              <w:jc w:val="center"/>
              <w:rPr>
                <w:rFonts w:eastAsia="Times New Roman" w:cs="Times New Roman"/>
                <w:b/>
                <w:bCs/>
                <w:color w:val="000000"/>
                <w:sz w:val="18"/>
                <w:lang w:val="en-ZA" w:eastAsia="en-ZA"/>
              </w:rPr>
            </w:pPr>
            <w:r w:rsidRPr="00430F9E">
              <w:rPr>
                <w:rFonts w:eastAsia="Times New Roman" w:cs="Times New Roman"/>
                <w:b/>
                <w:bCs/>
                <w:color w:val="000000"/>
                <w:sz w:val="18"/>
                <w:lang w:val="en-ZA" w:eastAsia="en-ZA"/>
              </w:rPr>
              <w:t>total</w:t>
            </w:r>
          </w:p>
        </w:tc>
      </w:tr>
      <w:tr w:rsidR="00430F9E" w:rsidRPr="00430F9E" w14:paraId="7C2ABC5E" w14:textId="77777777" w:rsidTr="00BE05EA">
        <w:trPr>
          <w:trHeight w:val="197"/>
        </w:trPr>
        <w:tc>
          <w:tcPr>
            <w:tcW w:w="303" w:type="pct"/>
            <w:tcBorders>
              <w:top w:val="nil"/>
              <w:left w:val="single" w:sz="8" w:space="0" w:color="auto"/>
              <w:bottom w:val="nil"/>
              <w:right w:val="nil"/>
            </w:tcBorders>
            <w:shd w:val="clear" w:color="auto" w:fill="auto"/>
            <w:noWrap/>
            <w:vAlign w:val="bottom"/>
            <w:hideMark/>
          </w:tcPr>
          <w:p w14:paraId="3B8DD78B"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345" w:type="pct"/>
            <w:tcBorders>
              <w:top w:val="nil"/>
              <w:left w:val="nil"/>
              <w:bottom w:val="nil"/>
              <w:right w:val="nil"/>
            </w:tcBorders>
            <w:shd w:val="clear" w:color="auto" w:fill="auto"/>
            <w:noWrap/>
            <w:vAlign w:val="bottom"/>
            <w:hideMark/>
          </w:tcPr>
          <w:p w14:paraId="4B92C1EB" w14:textId="77777777" w:rsidR="00430F9E" w:rsidRPr="00430F9E" w:rsidRDefault="00430F9E" w:rsidP="00430F9E">
            <w:pPr>
              <w:spacing w:after="0" w:line="240" w:lineRule="auto"/>
              <w:rPr>
                <w:rFonts w:eastAsia="Times New Roman" w:cs="Times New Roman"/>
                <w:color w:val="000000"/>
                <w:sz w:val="18"/>
                <w:lang w:val="en-ZA" w:eastAsia="en-ZA"/>
              </w:rPr>
            </w:pPr>
          </w:p>
        </w:tc>
        <w:tc>
          <w:tcPr>
            <w:tcW w:w="345" w:type="pct"/>
            <w:tcBorders>
              <w:top w:val="nil"/>
              <w:left w:val="nil"/>
              <w:bottom w:val="nil"/>
              <w:right w:val="nil"/>
            </w:tcBorders>
            <w:shd w:val="clear" w:color="auto" w:fill="auto"/>
            <w:noWrap/>
            <w:vAlign w:val="bottom"/>
            <w:hideMark/>
          </w:tcPr>
          <w:p w14:paraId="582626B7" w14:textId="77777777" w:rsidR="00430F9E" w:rsidRPr="00430F9E" w:rsidRDefault="00430F9E" w:rsidP="00430F9E">
            <w:pPr>
              <w:spacing w:after="0" w:line="240" w:lineRule="auto"/>
              <w:rPr>
                <w:rFonts w:ascii="Times New Roman" w:eastAsia="Times New Roman" w:hAnsi="Times New Roman" w:cs="Times New Roman"/>
                <w:sz w:val="18"/>
                <w:szCs w:val="20"/>
                <w:lang w:val="en-ZA" w:eastAsia="en-ZA"/>
              </w:rPr>
            </w:pPr>
          </w:p>
        </w:tc>
        <w:tc>
          <w:tcPr>
            <w:tcW w:w="301" w:type="pct"/>
            <w:tcBorders>
              <w:top w:val="nil"/>
              <w:left w:val="nil"/>
              <w:bottom w:val="nil"/>
              <w:right w:val="nil"/>
            </w:tcBorders>
            <w:shd w:val="clear" w:color="auto" w:fill="auto"/>
            <w:noWrap/>
            <w:vAlign w:val="bottom"/>
            <w:hideMark/>
          </w:tcPr>
          <w:p w14:paraId="4AA82C39" w14:textId="77777777" w:rsidR="00430F9E" w:rsidRPr="00430F9E" w:rsidRDefault="00430F9E" w:rsidP="00430F9E">
            <w:pPr>
              <w:spacing w:after="0" w:line="240" w:lineRule="auto"/>
              <w:rPr>
                <w:rFonts w:ascii="Times New Roman" w:eastAsia="Times New Roman" w:hAnsi="Times New Roman" w:cs="Times New Roman"/>
                <w:sz w:val="18"/>
                <w:szCs w:val="20"/>
                <w:lang w:val="en-ZA" w:eastAsia="en-ZA"/>
              </w:rPr>
            </w:pPr>
          </w:p>
        </w:tc>
        <w:tc>
          <w:tcPr>
            <w:tcW w:w="127" w:type="pct"/>
            <w:tcBorders>
              <w:top w:val="nil"/>
              <w:left w:val="nil"/>
              <w:bottom w:val="nil"/>
              <w:right w:val="nil"/>
            </w:tcBorders>
            <w:shd w:val="clear" w:color="auto" w:fill="auto"/>
            <w:noWrap/>
            <w:vAlign w:val="bottom"/>
            <w:hideMark/>
          </w:tcPr>
          <w:p w14:paraId="30B55635" w14:textId="77777777" w:rsidR="00430F9E" w:rsidRPr="00430F9E" w:rsidRDefault="00430F9E" w:rsidP="00430F9E">
            <w:pPr>
              <w:spacing w:after="0" w:line="240" w:lineRule="auto"/>
              <w:rPr>
                <w:rFonts w:ascii="Times New Roman" w:eastAsia="Times New Roman" w:hAnsi="Times New Roman" w:cs="Times New Roman"/>
                <w:sz w:val="18"/>
                <w:szCs w:val="20"/>
                <w:lang w:val="en-ZA" w:eastAsia="en-ZA"/>
              </w:rPr>
            </w:pPr>
          </w:p>
        </w:tc>
        <w:tc>
          <w:tcPr>
            <w:tcW w:w="127" w:type="pct"/>
            <w:tcBorders>
              <w:top w:val="nil"/>
              <w:left w:val="nil"/>
              <w:bottom w:val="nil"/>
              <w:right w:val="single" w:sz="8" w:space="0" w:color="auto"/>
            </w:tcBorders>
            <w:shd w:val="clear" w:color="auto" w:fill="auto"/>
            <w:noWrap/>
            <w:vAlign w:val="bottom"/>
            <w:hideMark/>
          </w:tcPr>
          <w:p w14:paraId="37B8FE61"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567" w:type="pct"/>
            <w:tcBorders>
              <w:top w:val="nil"/>
              <w:left w:val="nil"/>
              <w:bottom w:val="nil"/>
              <w:right w:val="single" w:sz="8" w:space="0" w:color="auto"/>
            </w:tcBorders>
            <w:shd w:val="clear" w:color="auto" w:fill="auto"/>
            <w:noWrap/>
            <w:vAlign w:val="bottom"/>
            <w:hideMark/>
          </w:tcPr>
          <w:p w14:paraId="4F03A1E2" w14:textId="77777777" w:rsidR="00430F9E" w:rsidRPr="00430F9E" w:rsidRDefault="00430F9E" w:rsidP="00430F9E">
            <w:pPr>
              <w:spacing w:after="0" w:line="240" w:lineRule="auto"/>
              <w:jc w:val="center"/>
              <w:rPr>
                <w:rFonts w:eastAsia="Times New Roman" w:cs="Times New Roman"/>
                <w:b/>
                <w:bCs/>
                <w:color w:val="000000"/>
                <w:sz w:val="18"/>
                <w:lang w:val="en-ZA" w:eastAsia="en-ZA"/>
              </w:rPr>
            </w:pPr>
            <w:r w:rsidRPr="00430F9E">
              <w:rPr>
                <w:rFonts w:eastAsia="Times New Roman" w:cs="Times New Roman"/>
                <w:b/>
                <w:bCs/>
                <w:color w:val="000000"/>
                <w:sz w:val="18"/>
                <w:lang w:val="en-ZA" w:eastAsia="en-ZA"/>
              </w:rPr>
              <w:t>2018/2019</w:t>
            </w:r>
          </w:p>
        </w:tc>
        <w:tc>
          <w:tcPr>
            <w:tcW w:w="567" w:type="pct"/>
            <w:tcBorders>
              <w:top w:val="nil"/>
              <w:left w:val="nil"/>
              <w:bottom w:val="nil"/>
              <w:right w:val="single" w:sz="8" w:space="0" w:color="auto"/>
            </w:tcBorders>
            <w:shd w:val="clear" w:color="auto" w:fill="auto"/>
            <w:noWrap/>
            <w:vAlign w:val="bottom"/>
            <w:hideMark/>
          </w:tcPr>
          <w:p w14:paraId="5966425A" w14:textId="77777777" w:rsidR="00430F9E" w:rsidRPr="00430F9E" w:rsidRDefault="00430F9E" w:rsidP="00430F9E">
            <w:pPr>
              <w:spacing w:after="0" w:line="240" w:lineRule="auto"/>
              <w:jc w:val="center"/>
              <w:rPr>
                <w:rFonts w:eastAsia="Times New Roman" w:cs="Times New Roman"/>
                <w:b/>
                <w:bCs/>
                <w:color w:val="000000"/>
                <w:sz w:val="18"/>
                <w:lang w:val="en-ZA" w:eastAsia="en-ZA"/>
              </w:rPr>
            </w:pPr>
            <w:r w:rsidRPr="00430F9E">
              <w:rPr>
                <w:rFonts w:eastAsia="Times New Roman" w:cs="Times New Roman"/>
                <w:b/>
                <w:bCs/>
                <w:color w:val="000000"/>
                <w:sz w:val="18"/>
                <w:lang w:val="en-ZA" w:eastAsia="en-ZA"/>
              </w:rPr>
              <w:t>2019/2020</w:t>
            </w:r>
          </w:p>
        </w:tc>
        <w:tc>
          <w:tcPr>
            <w:tcW w:w="567" w:type="pct"/>
            <w:tcBorders>
              <w:top w:val="nil"/>
              <w:left w:val="nil"/>
              <w:bottom w:val="nil"/>
              <w:right w:val="single" w:sz="8" w:space="0" w:color="auto"/>
            </w:tcBorders>
            <w:shd w:val="clear" w:color="auto" w:fill="auto"/>
            <w:noWrap/>
            <w:vAlign w:val="bottom"/>
            <w:hideMark/>
          </w:tcPr>
          <w:p w14:paraId="430C5C13" w14:textId="77777777" w:rsidR="00430F9E" w:rsidRPr="00430F9E" w:rsidRDefault="00430F9E" w:rsidP="00430F9E">
            <w:pPr>
              <w:spacing w:after="0" w:line="240" w:lineRule="auto"/>
              <w:jc w:val="center"/>
              <w:rPr>
                <w:rFonts w:eastAsia="Times New Roman" w:cs="Times New Roman"/>
                <w:b/>
                <w:bCs/>
                <w:color w:val="000000"/>
                <w:sz w:val="18"/>
                <w:lang w:val="en-ZA" w:eastAsia="en-ZA"/>
              </w:rPr>
            </w:pPr>
            <w:r w:rsidRPr="00430F9E">
              <w:rPr>
                <w:rFonts w:eastAsia="Times New Roman" w:cs="Times New Roman"/>
                <w:b/>
                <w:bCs/>
                <w:color w:val="000000"/>
                <w:sz w:val="18"/>
                <w:lang w:val="en-ZA" w:eastAsia="en-ZA"/>
              </w:rPr>
              <w:t>2020/2021</w:t>
            </w:r>
          </w:p>
        </w:tc>
        <w:tc>
          <w:tcPr>
            <w:tcW w:w="567" w:type="pct"/>
            <w:tcBorders>
              <w:top w:val="nil"/>
              <w:left w:val="nil"/>
              <w:bottom w:val="nil"/>
              <w:right w:val="single" w:sz="8" w:space="0" w:color="auto"/>
            </w:tcBorders>
            <w:shd w:val="clear" w:color="auto" w:fill="auto"/>
            <w:noWrap/>
            <w:vAlign w:val="bottom"/>
            <w:hideMark/>
          </w:tcPr>
          <w:p w14:paraId="4C351586" w14:textId="77777777" w:rsidR="00430F9E" w:rsidRPr="00430F9E" w:rsidRDefault="00430F9E" w:rsidP="00430F9E">
            <w:pPr>
              <w:spacing w:after="0" w:line="240" w:lineRule="auto"/>
              <w:jc w:val="center"/>
              <w:rPr>
                <w:rFonts w:eastAsia="Times New Roman" w:cs="Times New Roman"/>
                <w:b/>
                <w:bCs/>
                <w:color w:val="000000"/>
                <w:sz w:val="18"/>
                <w:lang w:val="en-ZA" w:eastAsia="en-ZA"/>
              </w:rPr>
            </w:pPr>
            <w:r w:rsidRPr="00430F9E">
              <w:rPr>
                <w:rFonts w:eastAsia="Times New Roman" w:cs="Times New Roman"/>
                <w:b/>
                <w:bCs/>
                <w:color w:val="000000"/>
                <w:sz w:val="18"/>
                <w:lang w:val="en-ZA" w:eastAsia="en-ZA"/>
              </w:rPr>
              <w:t>2021/2022</w:t>
            </w:r>
          </w:p>
        </w:tc>
        <w:tc>
          <w:tcPr>
            <w:tcW w:w="567" w:type="pct"/>
            <w:tcBorders>
              <w:top w:val="nil"/>
              <w:left w:val="nil"/>
              <w:bottom w:val="nil"/>
              <w:right w:val="single" w:sz="8" w:space="0" w:color="auto"/>
            </w:tcBorders>
            <w:shd w:val="clear" w:color="auto" w:fill="auto"/>
            <w:noWrap/>
            <w:vAlign w:val="bottom"/>
            <w:hideMark/>
          </w:tcPr>
          <w:p w14:paraId="2B87A09B" w14:textId="77777777" w:rsidR="00430F9E" w:rsidRPr="00430F9E" w:rsidRDefault="00430F9E" w:rsidP="00430F9E">
            <w:pPr>
              <w:spacing w:after="0" w:line="240" w:lineRule="auto"/>
              <w:jc w:val="center"/>
              <w:rPr>
                <w:rFonts w:eastAsia="Times New Roman" w:cs="Times New Roman"/>
                <w:b/>
                <w:bCs/>
                <w:color w:val="000000"/>
                <w:sz w:val="18"/>
                <w:lang w:val="en-ZA" w:eastAsia="en-ZA"/>
              </w:rPr>
            </w:pPr>
            <w:r w:rsidRPr="00430F9E">
              <w:rPr>
                <w:rFonts w:eastAsia="Times New Roman" w:cs="Times New Roman"/>
                <w:b/>
                <w:bCs/>
                <w:color w:val="000000"/>
                <w:sz w:val="18"/>
                <w:lang w:val="en-ZA" w:eastAsia="en-ZA"/>
              </w:rPr>
              <w:t>2022/2023</w:t>
            </w:r>
          </w:p>
        </w:tc>
        <w:tc>
          <w:tcPr>
            <w:tcW w:w="617" w:type="pct"/>
            <w:tcBorders>
              <w:top w:val="nil"/>
              <w:left w:val="nil"/>
              <w:bottom w:val="nil"/>
              <w:right w:val="single" w:sz="8" w:space="0" w:color="auto"/>
            </w:tcBorders>
            <w:shd w:val="clear" w:color="auto" w:fill="auto"/>
            <w:noWrap/>
            <w:vAlign w:val="bottom"/>
            <w:hideMark/>
          </w:tcPr>
          <w:p w14:paraId="0D291581" w14:textId="77777777" w:rsidR="00430F9E" w:rsidRPr="00430F9E" w:rsidRDefault="00430F9E" w:rsidP="00430F9E">
            <w:pPr>
              <w:spacing w:after="0" w:line="240" w:lineRule="auto"/>
              <w:rPr>
                <w:rFonts w:eastAsia="Times New Roman" w:cs="Times New Roman"/>
                <w:b/>
                <w:bCs/>
                <w:color w:val="000000"/>
                <w:sz w:val="18"/>
                <w:lang w:val="en-ZA" w:eastAsia="en-ZA"/>
              </w:rPr>
            </w:pPr>
            <w:r w:rsidRPr="00430F9E">
              <w:rPr>
                <w:rFonts w:eastAsia="Times New Roman" w:cs="Times New Roman"/>
                <w:b/>
                <w:bCs/>
                <w:color w:val="000000"/>
                <w:sz w:val="18"/>
                <w:lang w:val="en-ZA" w:eastAsia="en-ZA"/>
              </w:rPr>
              <w:t> </w:t>
            </w:r>
          </w:p>
        </w:tc>
      </w:tr>
      <w:tr w:rsidR="00430F9E" w:rsidRPr="00430F9E" w14:paraId="4E4FF4FC" w14:textId="77777777" w:rsidTr="00BE05EA">
        <w:trPr>
          <w:trHeight w:val="206"/>
        </w:trPr>
        <w:tc>
          <w:tcPr>
            <w:tcW w:w="303" w:type="pct"/>
            <w:tcBorders>
              <w:top w:val="nil"/>
              <w:left w:val="single" w:sz="8" w:space="0" w:color="auto"/>
              <w:bottom w:val="single" w:sz="8" w:space="0" w:color="auto"/>
              <w:right w:val="nil"/>
            </w:tcBorders>
            <w:shd w:val="clear" w:color="auto" w:fill="auto"/>
            <w:noWrap/>
            <w:vAlign w:val="bottom"/>
            <w:hideMark/>
          </w:tcPr>
          <w:p w14:paraId="0E895F6F"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690" w:type="pct"/>
            <w:gridSpan w:val="2"/>
            <w:tcBorders>
              <w:top w:val="nil"/>
              <w:left w:val="nil"/>
              <w:bottom w:val="single" w:sz="8" w:space="0" w:color="auto"/>
              <w:right w:val="nil"/>
            </w:tcBorders>
            <w:shd w:val="clear" w:color="auto" w:fill="auto"/>
            <w:noWrap/>
            <w:vAlign w:val="bottom"/>
            <w:hideMark/>
          </w:tcPr>
          <w:p w14:paraId="471ECD69" w14:textId="77777777" w:rsidR="00430F9E" w:rsidRPr="00430F9E" w:rsidRDefault="00430F9E" w:rsidP="00430F9E">
            <w:pPr>
              <w:spacing w:after="0" w:line="240" w:lineRule="auto"/>
              <w:ind w:firstLineChars="200" w:firstLine="361"/>
              <w:rPr>
                <w:rFonts w:eastAsia="Times New Roman" w:cs="Times New Roman"/>
                <w:b/>
                <w:bCs/>
                <w:color w:val="000000"/>
                <w:sz w:val="18"/>
                <w:lang w:val="en-ZA" w:eastAsia="en-ZA"/>
              </w:rPr>
            </w:pPr>
            <w:r w:rsidRPr="00430F9E">
              <w:rPr>
                <w:rFonts w:eastAsia="Times New Roman" w:cs="Times New Roman"/>
                <w:b/>
                <w:bCs/>
                <w:color w:val="000000"/>
                <w:sz w:val="18"/>
                <w:lang w:val="en-ZA" w:eastAsia="en-ZA"/>
              </w:rPr>
              <w:t>SUMMARY</w:t>
            </w:r>
          </w:p>
        </w:tc>
        <w:tc>
          <w:tcPr>
            <w:tcW w:w="301" w:type="pct"/>
            <w:tcBorders>
              <w:top w:val="nil"/>
              <w:left w:val="nil"/>
              <w:bottom w:val="single" w:sz="8" w:space="0" w:color="auto"/>
              <w:right w:val="nil"/>
            </w:tcBorders>
            <w:shd w:val="clear" w:color="auto" w:fill="auto"/>
            <w:noWrap/>
            <w:vAlign w:val="bottom"/>
            <w:hideMark/>
          </w:tcPr>
          <w:p w14:paraId="03BB15CE"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127" w:type="pct"/>
            <w:tcBorders>
              <w:top w:val="nil"/>
              <w:left w:val="nil"/>
              <w:bottom w:val="single" w:sz="8" w:space="0" w:color="auto"/>
              <w:right w:val="nil"/>
            </w:tcBorders>
            <w:shd w:val="clear" w:color="auto" w:fill="auto"/>
            <w:noWrap/>
            <w:vAlign w:val="bottom"/>
            <w:hideMark/>
          </w:tcPr>
          <w:p w14:paraId="3B403F73"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127" w:type="pct"/>
            <w:tcBorders>
              <w:top w:val="nil"/>
              <w:left w:val="nil"/>
              <w:bottom w:val="single" w:sz="8" w:space="0" w:color="auto"/>
              <w:right w:val="single" w:sz="8" w:space="0" w:color="auto"/>
            </w:tcBorders>
            <w:shd w:val="clear" w:color="auto" w:fill="auto"/>
            <w:noWrap/>
            <w:vAlign w:val="bottom"/>
            <w:hideMark/>
          </w:tcPr>
          <w:p w14:paraId="2ACF00C9"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567" w:type="pct"/>
            <w:tcBorders>
              <w:top w:val="nil"/>
              <w:left w:val="nil"/>
              <w:bottom w:val="single" w:sz="4" w:space="0" w:color="auto"/>
              <w:right w:val="single" w:sz="8" w:space="0" w:color="auto"/>
            </w:tcBorders>
            <w:shd w:val="clear" w:color="auto" w:fill="auto"/>
            <w:noWrap/>
            <w:vAlign w:val="bottom"/>
            <w:hideMark/>
          </w:tcPr>
          <w:p w14:paraId="625DE8F9"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567" w:type="pct"/>
            <w:tcBorders>
              <w:top w:val="nil"/>
              <w:left w:val="nil"/>
              <w:bottom w:val="single" w:sz="4" w:space="0" w:color="auto"/>
              <w:right w:val="single" w:sz="8" w:space="0" w:color="auto"/>
            </w:tcBorders>
            <w:shd w:val="clear" w:color="auto" w:fill="auto"/>
            <w:noWrap/>
            <w:vAlign w:val="bottom"/>
            <w:hideMark/>
          </w:tcPr>
          <w:p w14:paraId="47BF7D03"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567" w:type="pct"/>
            <w:tcBorders>
              <w:top w:val="nil"/>
              <w:left w:val="nil"/>
              <w:bottom w:val="single" w:sz="4" w:space="0" w:color="auto"/>
              <w:right w:val="single" w:sz="8" w:space="0" w:color="auto"/>
            </w:tcBorders>
            <w:shd w:val="clear" w:color="auto" w:fill="auto"/>
            <w:noWrap/>
            <w:vAlign w:val="bottom"/>
            <w:hideMark/>
          </w:tcPr>
          <w:p w14:paraId="182BACCA"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567" w:type="pct"/>
            <w:tcBorders>
              <w:top w:val="nil"/>
              <w:left w:val="nil"/>
              <w:bottom w:val="single" w:sz="4" w:space="0" w:color="auto"/>
              <w:right w:val="single" w:sz="8" w:space="0" w:color="auto"/>
            </w:tcBorders>
            <w:shd w:val="clear" w:color="auto" w:fill="auto"/>
            <w:noWrap/>
            <w:vAlign w:val="bottom"/>
            <w:hideMark/>
          </w:tcPr>
          <w:p w14:paraId="5E908CE9"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567" w:type="pct"/>
            <w:tcBorders>
              <w:top w:val="nil"/>
              <w:left w:val="nil"/>
              <w:bottom w:val="single" w:sz="4" w:space="0" w:color="auto"/>
              <w:right w:val="single" w:sz="8" w:space="0" w:color="auto"/>
            </w:tcBorders>
            <w:shd w:val="clear" w:color="auto" w:fill="auto"/>
            <w:noWrap/>
            <w:vAlign w:val="bottom"/>
            <w:hideMark/>
          </w:tcPr>
          <w:p w14:paraId="6A7AA414"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617" w:type="pct"/>
            <w:tcBorders>
              <w:top w:val="nil"/>
              <w:left w:val="nil"/>
              <w:bottom w:val="single" w:sz="4" w:space="0" w:color="auto"/>
              <w:right w:val="single" w:sz="8" w:space="0" w:color="auto"/>
            </w:tcBorders>
            <w:shd w:val="clear" w:color="auto" w:fill="auto"/>
            <w:noWrap/>
            <w:vAlign w:val="bottom"/>
            <w:hideMark/>
          </w:tcPr>
          <w:p w14:paraId="7DF58082"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r>
      <w:tr w:rsidR="00430F9E" w:rsidRPr="00430F9E" w14:paraId="24A8FE9F" w14:textId="77777777" w:rsidTr="00BE05EA">
        <w:trPr>
          <w:trHeight w:val="197"/>
        </w:trPr>
        <w:tc>
          <w:tcPr>
            <w:tcW w:w="993" w:type="pct"/>
            <w:gridSpan w:val="3"/>
            <w:tcBorders>
              <w:top w:val="single" w:sz="8" w:space="0" w:color="auto"/>
              <w:left w:val="single" w:sz="8" w:space="0" w:color="auto"/>
              <w:bottom w:val="nil"/>
              <w:right w:val="nil"/>
            </w:tcBorders>
            <w:shd w:val="clear" w:color="auto" w:fill="auto"/>
            <w:noWrap/>
            <w:vAlign w:val="bottom"/>
            <w:hideMark/>
          </w:tcPr>
          <w:p w14:paraId="6C7647D4"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MAYOR AND COUNCIL</w:t>
            </w:r>
          </w:p>
        </w:tc>
        <w:tc>
          <w:tcPr>
            <w:tcW w:w="301" w:type="pct"/>
            <w:tcBorders>
              <w:top w:val="nil"/>
              <w:left w:val="nil"/>
              <w:bottom w:val="nil"/>
              <w:right w:val="nil"/>
            </w:tcBorders>
            <w:shd w:val="clear" w:color="auto" w:fill="auto"/>
            <w:noWrap/>
            <w:vAlign w:val="bottom"/>
            <w:hideMark/>
          </w:tcPr>
          <w:p w14:paraId="10AE7985"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127" w:type="pct"/>
            <w:tcBorders>
              <w:top w:val="nil"/>
              <w:left w:val="nil"/>
              <w:bottom w:val="nil"/>
              <w:right w:val="nil"/>
            </w:tcBorders>
            <w:shd w:val="clear" w:color="auto" w:fill="auto"/>
            <w:noWrap/>
            <w:vAlign w:val="bottom"/>
            <w:hideMark/>
          </w:tcPr>
          <w:p w14:paraId="10788D34"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127" w:type="pct"/>
            <w:tcBorders>
              <w:top w:val="nil"/>
              <w:left w:val="nil"/>
              <w:bottom w:val="nil"/>
              <w:right w:val="single" w:sz="4" w:space="0" w:color="auto"/>
            </w:tcBorders>
            <w:shd w:val="clear" w:color="auto" w:fill="auto"/>
            <w:noWrap/>
            <w:vAlign w:val="bottom"/>
            <w:hideMark/>
          </w:tcPr>
          <w:p w14:paraId="7BCDCBF8"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16DF42"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7FABB1"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EA4812"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DB98CD"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81EE80"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   </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A7926B"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   </w:t>
            </w:r>
          </w:p>
        </w:tc>
      </w:tr>
      <w:tr w:rsidR="00430F9E" w:rsidRPr="00430F9E" w14:paraId="17DE35E1" w14:textId="77777777" w:rsidTr="00BE05EA">
        <w:trPr>
          <w:trHeight w:val="197"/>
        </w:trPr>
        <w:tc>
          <w:tcPr>
            <w:tcW w:w="993" w:type="pct"/>
            <w:gridSpan w:val="3"/>
            <w:tcBorders>
              <w:top w:val="nil"/>
              <w:left w:val="single" w:sz="8" w:space="0" w:color="auto"/>
              <w:bottom w:val="nil"/>
              <w:right w:val="nil"/>
            </w:tcBorders>
            <w:shd w:val="clear" w:color="auto" w:fill="auto"/>
            <w:noWrap/>
            <w:vAlign w:val="bottom"/>
            <w:hideMark/>
          </w:tcPr>
          <w:p w14:paraId="023CD4E2"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MUNICIPAL MANAGER</w:t>
            </w:r>
          </w:p>
        </w:tc>
        <w:tc>
          <w:tcPr>
            <w:tcW w:w="301" w:type="pct"/>
            <w:tcBorders>
              <w:top w:val="nil"/>
              <w:left w:val="nil"/>
              <w:bottom w:val="nil"/>
              <w:right w:val="nil"/>
            </w:tcBorders>
            <w:shd w:val="clear" w:color="auto" w:fill="auto"/>
            <w:noWrap/>
            <w:vAlign w:val="bottom"/>
            <w:hideMark/>
          </w:tcPr>
          <w:p w14:paraId="72BFA1A3" w14:textId="77777777" w:rsidR="00430F9E" w:rsidRPr="00430F9E" w:rsidRDefault="00430F9E" w:rsidP="00430F9E">
            <w:pPr>
              <w:spacing w:after="0" w:line="240" w:lineRule="auto"/>
              <w:rPr>
                <w:rFonts w:eastAsia="Times New Roman" w:cs="Times New Roman"/>
                <w:color w:val="000000"/>
                <w:sz w:val="18"/>
                <w:lang w:val="en-ZA" w:eastAsia="en-ZA"/>
              </w:rPr>
            </w:pPr>
          </w:p>
        </w:tc>
        <w:tc>
          <w:tcPr>
            <w:tcW w:w="127" w:type="pct"/>
            <w:tcBorders>
              <w:top w:val="nil"/>
              <w:left w:val="nil"/>
              <w:bottom w:val="nil"/>
              <w:right w:val="nil"/>
            </w:tcBorders>
            <w:shd w:val="clear" w:color="auto" w:fill="auto"/>
            <w:noWrap/>
            <w:vAlign w:val="bottom"/>
            <w:hideMark/>
          </w:tcPr>
          <w:p w14:paraId="3CA8EB9E" w14:textId="77777777" w:rsidR="00430F9E" w:rsidRPr="00430F9E" w:rsidRDefault="00430F9E" w:rsidP="00430F9E">
            <w:pPr>
              <w:spacing w:after="0" w:line="240" w:lineRule="auto"/>
              <w:rPr>
                <w:rFonts w:ascii="Times New Roman" w:eastAsia="Times New Roman" w:hAnsi="Times New Roman" w:cs="Times New Roman"/>
                <w:sz w:val="18"/>
                <w:szCs w:val="20"/>
                <w:lang w:val="en-ZA" w:eastAsia="en-ZA"/>
              </w:rPr>
            </w:pPr>
          </w:p>
        </w:tc>
        <w:tc>
          <w:tcPr>
            <w:tcW w:w="127" w:type="pct"/>
            <w:tcBorders>
              <w:top w:val="nil"/>
              <w:left w:val="nil"/>
              <w:bottom w:val="nil"/>
              <w:right w:val="single" w:sz="4" w:space="0" w:color="auto"/>
            </w:tcBorders>
            <w:shd w:val="clear" w:color="auto" w:fill="auto"/>
            <w:noWrap/>
            <w:vAlign w:val="bottom"/>
            <w:hideMark/>
          </w:tcPr>
          <w:p w14:paraId="3763F17A"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33B070"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04675F"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580 000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FE6136"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1 330 000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E402DA"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4E1B71"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   </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7FAB60"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1 910 000 </w:t>
            </w:r>
          </w:p>
        </w:tc>
      </w:tr>
      <w:tr w:rsidR="00430F9E" w:rsidRPr="00430F9E" w14:paraId="5447933A" w14:textId="77777777" w:rsidTr="00BE05EA">
        <w:trPr>
          <w:trHeight w:val="197"/>
        </w:trPr>
        <w:tc>
          <w:tcPr>
            <w:tcW w:w="993" w:type="pct"/>
            <w:gridSpan w:val="3"/>
            <w:tcBorders>
              <w:top w:val="nil"/>
              <w:left w:val="single" w:sz="8" w:space="0" w:color="auto"/>
              <w:bottom w:val="nil"/>
              <w:right w:val="nil"/>
            </w:tcBorders>
            <w:shd w:val="clear" w:color="auto" w:fill="auto"/>
            <w:noWrap/>
            <w:vAlign w:val="bottom"/>
            <w:hideMark/>
          </w:tcPr>
          <w:p w14:paraId="42C5AE76"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CORPORATE SERVICES</w:t>
            </w:r>
          </w:p>
        </w:tc>
        <w:tc>
          <w:tcPr>
            <w:tcW w:w="301" w:type="pct"/>
            <w:tcBorders>
              <w:top w:val="nil"/>
              <w:left w:val="nil"/>
              <w:bottom w:val="nil"/>
              <w:right w:val="nil"/>
            </w:tcBorders>
            <w:shd w:val="clear" w:color="auto" w:fill="auto"/>
            <w:noWrap/>
            <w:vAlign w:val="bottom"/>
            <w:hideMark/>
          </w:tcPr>
          <w:p w14:paraId="34C2C7C6" w14:textId="77777777" w:rsidR="00430F9E" w:rsidRPr="00430F9E" w:rsidRDefault="00430F9E" w:rsidP="00430F9E">
            <w:pPr>
              <w:spacing w:after="0" w:line="240" w:lineRule="auto"/>
              <w:rPr>
                <w:rFonts w:eastAsia="Times New Roman" w:cs="Times New Roman"/>
                <w:color w:val="000000"/>
                <w:sz w:val="18"/>
                <w:lang w:val="en-ZA" w:eastAsia="en-ZA"/>
              </w:rPr>
            </w:pPr>
          </w:p>
        </w:tc>
        <w:tc>
          <w:tcPr>
            <w:tcW w:w="127" w:type="pct"/>
            <w:tcBorders>
              <w:top w:val="nil"/>
              <w:left w:val="nil"/>
              <w:bottom w:val="nil"/>
              <w:right w:val="nil"/>
            </w:tcBorders>
            <w:shd w:val="clear" w:color="auto" w:fill="auto"/>
            <w:noWrap/>
            <w:vAlign w:val="bottom"/>
            <w:hideMark/>
          </w:tcPr>
          <w:p w14:paraId="2F76C7C7" w14:textId="77777777" w:rsidR="00430F9E" w:rsidRPr="00430F9E" w:rsidRDefault="00430F9E" w:rsidP="00430F9E">
            <w:pPr>
              <w:spacing w:after="0" w:line="240" w:lineRule="auto"/>
              <w:rPr>
                <w:rFonts w:ascii="Times New Roman" w:eastAsia="Times New Roman" w:hAnsi="Times New Roman" w:cs="Times New Roman"/>
                <w:sz w:val="18"/>
                <w:szCs w:val="20"/>
                <w:lang w:val="en-ZA" w:eastAsia="en-ZA"/>
              </w:rPr>
            </w:pPr>
          </w:p>
        </w:tc>
        <w:tc>
          <w:tcPr>
            <w:tcW w:w="127" w:type="pct"/>
            <w:tcBorders>
              <w:top w:val="nil"/>
              <w:left w:val="nil"/>
              <w:bottom w:val="nil"/>
              <w:right w:val="single" w:sz="4" w:space="0" w:color="auto"/>
            </w:tcBorders>
            <w:shd w:val="clear" w:color="auto" w:fill="auto"/>
            <w:noWrap/>
            <w:vAlign w:val="bottom"/>
            <w:hideMark/>
          </w:tcPr>
          <w:p w14:paraId="7ADAF6C1"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3945AC"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3 750 000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329F31"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1 500 000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11EE20"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3 860 000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E8F480"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4 910 000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F8B928"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6 200 000 </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E3E150"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20 220 000 </w:t>
            </w:r>
          </w:p>
        </w:tc>
      </w:tr>
      <w:tr w:rsidR="00430F9E" w:rsidRPr="00430F9E" w14:paraId="70BD1886" w14:textId="77777777" w:rsidTr="00BE05EA">
        <w:trPr>
          <w:trHeight w:val="197"/>
        </w:trPr>
        <w:tc>
          <w:tcPr>
            <w:tcW w:w="1294" w:type="pct"/>
            <w:gridSpan w:val="4"/>
            <w:tcBorders>
              <w:top w:val="nil"/>
              <w:left w:val="single" w:sz="8" w:space="0" w:color="auto"/>
              <w:bottom w:val="nil"/>
              <w:right w:val="nil"/>
            </w:tcBorders>
            <w:shd w:val="clear" w:color="auto" w:fill="auto"/>
            <w:noWrap/>
            <w:vAlign w:val="bottom"/>
            <w:hideMark/>
          </w:tcPr>
          <w:p w14:paraId="58E7F7C1"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BUDGET AND TREASURY OFFICE</w:t>
            </w:r>
          </w:p>
        </w:tc>
        <w:tc>
          <w:tcPr>
            <w:tcW w:w="127" w:type="pct"/>
            <w:tcBorders>
              <w:top w:val="nil"/>
              <w:left w:val="nil"/>
              <w:bottom w:val="nil"/>
              <w:right w:val="nil"/>
            </w:tcBorders>
            <w:shd w:val="clear" w:color="auto" w:fill="auto"/>
            <w:noWrap/>
            <w:vAlign w:val="bottom"/>
            <w:hideMark/>
          </w:tcPr>
          <w:p w14:paraId="56187F3A" w14:textId="77777777" w:rsidR="00430F9E" w:rsidRPr="00430F9E" w:rsidRDefault="00430F9E" w:rsidP="00430F9E">
            <w:pPr>
              <w:spacing w:after="0" w:line="240" w:lineRule="auto"/>
              <w:rPr>
                <w:rFonts w:eastAsia="Times New Roman" w:cs="Times New Roman"/>
                <w:color w:val="000000"/>
                <w:sz w:val="18"/>
                <w:lang w:val="en-ZA" w:eastAsia="en-ZA"/>
              </w:rPr>
            </w:pPr>
          </w:p>
        </w:tc>
        <w:tc>
          <w:tcPr>
            <w:tcW w:w="127" w:type="pct"/>
            <w:tcBorders>
              <w:top w:val="nil"/>
              <w:left w:val="nil"/>
              <w:bottom w:val="nil"/>
              <w:right w:val="single" w:sz="4" w:space="0" w:color="auto"/>
            </w:tcBorders>
            <w:shd w:val="clear" w:color="auto" w:fill="auto"/>
            <w:noWrap/>
            <w:vAlign w:val="bottom"/>
            <w:hideMark/>
          </w:tcPr>
          <w:p w14:paraId="04D5C54A"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FE6CF8"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420 000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A72BB4"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370 000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44686A"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210 000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66840C"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250 000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E49C85"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270 000 </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558431"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1 520 000 </w:t>
            </w:r>
          </w:p>
        </w:tc>
      </w:tr>
      <w:tr w:rsidR="00430F9E" w:rsidRPr="00430F9E" w14:paraId="3548466A" w14:textId="77777777" w:rsidTr="00BE05EA">
        <w:trPr>
          <w:trHeight w:val="197"/>
        </w:trPr>
        <w:tc>
          <w:tcPr>
            <w:tcW w:w="993" w:type="pct"/>
            <w:gridSpan w:val="3"/>
            <w:tcBorders>
              <w:top w:val="nil"/>
              <w:left w:val="single" w:sz="8" w:space="0" w:color="auto"/>
              <w:bottom w:val="nil"/>
              <w:right w:val="nil"/>
            </w:tcBorders>
            <w:shd w:val="clear" w:color="auto" w:fill="auto"/>
            <w:noWrap/>
            <w:vAlign w:val="bottom"/>
            <w:hideMark/>
          </w:tcPr>
          <w:p w14:paraId="2162CCE2"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COMMUNITY SERVICES</w:t>
            </w:r>
          </w:p>
        </w:tc>
        <w:tc>
          <w:tcPr>
            <w:tcW w:w="301" w:type="pct"/>
            <w:tcBorders>
              <w:top w:val="nil"/>
              <w:left w:val="nil"/>
              <w:bottom w:val="nil"/>
              <w:right w:val="nil"/>
            </w:tcBorders>
            <w:shd w:val="clear" w:color="auto" w:fill="auto"/>
            <w:noWrap/>
            <w:vAlign w:val="bottom"/>
            <w:hideMark/>
          </w:tcPr>
          <w:p w14:paraId="665ACBD9" w14:textId="77777777" w:rsidR="00430F9E" w:rsidRPr="00430F9E" w:rsidRDefault="00430F9E" w:rsidP="00430F9E">
            <w:pPr>
              <w:spacing w:after="0" w:line="240" w:lineRule="auto"/>
              <w:rPr>
                <w:rFonts w:eastAsia="Times New Roman" w:cs="Times New Roman"/>
                <w:color w:val="000000"/>
                <w:sz w:val="18"/>
                <w:lang w:val="en-ZA" w:eastAsia="en-ZA"/>
              </w:rPr>
            </w:pPr>
          </w:p>
        </w:tc>
        <w:tc>
          <w:tcPr>
            <w:tcW w:w="127" w:type="pct"/>
            <w:tcBorders>
              <w:top w:val="nil"/>
              <w:left w:val="nil"/>
              <w:bottom w:val="nil"/>
              <w:right w:val="nil"/>
            </w:tcBorders>
            <w:shd w:val="clear" w:color="auto" w:fill="auto"/>
            <w:noWrap/>
            <w:vAlign w:val="bottom"/>
            <w:hideMark/>
          </w:tcPr>
          <w:p w14:paraId="444B2431" w14:textId="77777777" w:rsidR="00430F9E" w:rsidRPr="00430F9E" w:rsidRDefault="00430F9E" w:rsidP="00430F9E">
            <w:pPr>
              <w:spacing w:after="0" w:line="240" w:lineRule="auto"/>
              <w:rPr>
                <w:rFonts w:ascii="Times New Roman" w:eastAsia="Times New Roman" w:hAnsi="Times New Roman" w:cs="Times New Roman"/>
                <w:sz w:val="18"/>
                <w:szCs w:val="20"/>
                <w:lang w:val="en-ZA" w:eastAsia="en-ZA"/>
              </w:rPr>
            </w:pPr>
          </w:p>
        </w:tc>
        <w:tc>
          <w:tcPr>
            <w:tcW w:w="127" w:type="pct"/>
            <w:tcBorders>
              <w:top w:val="nil"/>
              <w:left w:val="nil"/>
              <w:bottom w:val="nil"/>
              <w:right w:val="single" w:sz="4" w:space="0" w:color="auto"/>
            </w:tcBorders>
            <w:shd w:val="clear" w:color="auto" w:fill="auto"/>
            <w:noWrap/>
            <w:vAlign w:val="bottom"/>
            <w:hideMark/>
          </w:tcPr>
          <w:p w14:paraId="11B835E8"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F8D168"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4 910 000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867199"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6 275 000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C0ED3A"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2 940 000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97A40"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2 240 000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B3BB39"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1 100 000 </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22489B"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17 465 000 </w:t>
            </w:r>
          </w:p>
        </w:tc>
      </w:tr>
      <w:tr w:rsidR="00430F9E" w:rsidRPr="00430F9E" w14:paraId="11AD1428" w14:textId="77777777" w:rsidTr="00BE05EA">
        <w:trPr>
          <w:trHeight w:val="197"/>
        </w:trPr>
        <w:tc>
          <w:tcPr>
            <w:tcW w:w="1294" w:type="pct"/>
            <w:gridSpan w:val="4"/>
            <w:tcBorders>
              <w:top w:val="nil"/>
              <w:left w:val="single" w:sz="8" w:space="0" w:color="auto"/>
              <w:bottom w:val="nil"/>
              <w:right w:val="nil"/>
            </w:tcBorders>
            <w:shd w:val="clear" w:color="auto" w:fill="auto"/>
            <w:noWrap/>
            <w:vAlign w:val="bottom"/>
            <w:hideMark/>
          </w:tcPr>
          <w:p w14:paraId="30C21DC3"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PLANNING AND DEVELOPMENT</w:t>
            </w:r>
          </w:p>
        </w:tc>
        <w:tc>
          <w:tcPr>
            <w:tcW w:w="127" w:type="pct"/>
            <w:tcBorders>
              <w:top w:val="nil"/>
              <w:left w:val="nil"/>
              <w:bottom w:val="nil"/>
              <w:right w:val="nil"/>
            </w:tcBorders>
            <w:shd w:val="clear" w:color="auto" w:fill="auto"/>
            <w:noWrap/>
            <w:vAlign w:val="bottom"/>
            <w:hideMark/>
          </w:tcPr>
          <w:p w14:paraId="21FC7FBC" w14:textId="77777777" w:rsidR="00430F9E" w:rsidRPr="00430F9E" w:rsidRDefault="00430F9E" w:rsidP="00430F9E">
            <w:pPr>
              <w:spacing w:after="0" w:line="240" w:lineRule="auto"/>
              <w:rPr>
                <w:rFonts w:eastAsia="Times New Roman" w:cs="Times New Roman"/>
                <w:color w:val="000000"/>
                <w:sz w:val="18"/>
                <w:lang w:val="en-ZA" w:eastAsia="en-ZA"/>
              </w:rPr>
            </w:pPr>
          </w:p>
        </w:tc>
        <w:tc>
          <w:tcPr>
            <w:tcW w:w="127" w:type="pct"/>
            <w:tcBorders>
              <w:top w:val="nil"/>
              <w:left w:val="nil"/>
              <w:bottom w:val="nil"/>
              <w:right w:val="single" w:sz="4" w:space="0" w:color="auto"/>
            </w:tcBorders>
            <w:shd w:val="clear" w:color="auto" w:fill="auto"/>
            <w:noWrap/>
            <w:vAlign w:val="bottom"/>
            <w:hideMark/>
          </w:tcPr>
          <w:p w14:paraId="6EBD041E"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53F546"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F55A5F"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989D1D"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D060FD"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520 000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25A2B3"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   </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DF903B"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520 000 </w:t>
            </w:r>
          </w:p>
        </w:tc>
      </w:tr>
      <w:tr w:rsidR="00430F9E" w:rsidRPr="00430F9E" w14:paraId="6C7A396C" w14:textId="77777777" w:rsidTr="00BE05EA">
        <w:trPr>
          <w:trHeight w:val="197"/>
        </w:trPr>
        <w:tc>
          <w:tcPr>
            <w:tcW w:w="993" w:type="pct"/>
            <w:gridSpan w:val="3"/>
            <w:tcBorders>
              <w:top w:val="nil"/>
              <w:left w:val="single" w:sz="8" w:space="0" w:color="auto"/>
              <w:bottom w:val="nil"/>
              <w:right w:val="nil"/>
            </w:tcBorders>
            <w:shd w:val="clear" w:color="auto" w:fill="auto"/>
            <w:noWrap/>
            <w:vAlign w:val="bottom"/>
            <w:hideMark/>
          </w:tcPr>
          <w:p w14:paraId="37EB0B96"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ENGINEERING SERVICES</w:t>
            </w:r>
          </w:p>
        </w:tc>
        <w:tc>
          <w:tcPr>
            <w:tcW w:w="301" w:type="pct"/>
            <w:tcBorders>
              <w:top w:val="nil"/>
              <w:left w:val="nil"/>
              <w:bottom w:val="nil"/>
              <w:right w:val="nil"/>
            </w:tcBorders>
            <w:shd w:val="clear" w:color="auto" w:fill="auto"/>
            <w:noWrap/>
            <w:vAlign w:val="bottom"/>
            <w:hideMark/>
          </w:tcPr>
          <w:p w14:paraId="4F285727" w14:textId="77777777" w:rsidR="00430F9E" w:rsidRPr="00430F9E" w:rsidRDefault="00430F9E" w:rsidP="00430F9E">
            <w:pPr>
              <w:spacing w:after="0" w:line="240" w:lineRule="auto"/>
              <w:rPr>
                <w:rFonts w:eastAsia="Times New Roman" w:cs="Times New Roman"/>
                <w:color w:val="000000"/>
                <w:sz w:val="18"/>
                <w:lang w:val="en-ZA" w:eastAsia="en-ZA"/>
              </w:rPr>
            </w:pPr>
          </w:p>
        </w:tc>
        <w:tc>
          <w:tcPr>
            <w:tcW w:w="127" w:type="pct"/>
            <w:tcBorders>
              <w:top w:val="nil"/>
              <w:left w:val="nil"/>
              <w:bottom w:val="nil"/>
              <w:right w:val="nil"/>
            </w:tcBorders>
            <w:shd w:val="clear" w:color="auto" w:fill="auto"/>
            <w:noWrap/>
            <w:vAlign w:val="bottom"/>
            <w:hideMark/>
          </w:tcPr>
          <w:p w14:paraId="59A44EF4" w14:textId="77777777" w:rsidR="00430F9E" w:rsidRPr="00430F9E" w:rsidRDefault="00430F9E" w:rsidP="00430F9E">
            <w:pPr>
              <w:spacing w:after="0" w:line="240" w:lineRule="auto"/>
              <w:rPr>
                <w:rFonts w:ascii="Times New Roman" w:eastAsia="Times New Roman" w:hAnsi="Times New Roman" w:cs="Times New Roman"/>
                <w:sz w:val="18"/>
                <w:szCs w:val="20"/>
                <w:lang w:val="en-ZA" w:eastAsia="en-ZA"/>
              </w:rPr>
            </w:pPr>
          </w:p>
        </w:tc>
        <w:tc>
          <w:tcPr>
            <w:tcW w:w="127" w:type="pct"/>
            <w:tcBorders>
              <w:top w:val="nil"/>
              <w:left w:val="nil"/>
              <w:bottom w:val="nil"/>
              <w:right w:val="single" w:sz="4" w:space="0" w:color="auto"/>
            </w:tcBorders>
            <w:shd w:val="clear" w:color="auto" w:fill="auto"/>
            <w:noWrap/>
            <w:vAlign w:val="bottom"/>
            <w:hideMark/>
          </w:tcPr>
          <w:p w14:paraId="0F75D40A"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543E9A"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63 643 000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F271E9"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52 054 520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08DAEC"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56 288 990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C3836D"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59 301 340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95B176"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62 951 390 </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C5AC92"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xml:space="preserve">   294 239 240 </w:t>
            </w:r>
          </w:p>
        </w:tc>
      </w:tr>
      <w:tr w:rsidR="00430F9E" w:rsidRPr="00430F9E" w14:paraId="33A05110" w14:textId="77777777" w:rsidTr="00BE05EA">
        <w:trPr>
          <w:trHeight w:val="206"/>
        </w:trPr>
        <w:tc>
          <w:tcPr>
            <w:tcW w:w="303" w:type="pct"/>
            <w:tcBorders>
              <w:top w:val="nil"/>
              <w:left w:val="single" w:sz="8" w:space="0" w:color="auto"/>
              <w:bottom w:val="nil"/>
              <w:right w:val="nil"/>
            </w:tcBorders>
            <w:shd w:val="clear" w:color="auto" w:fill="auto"/>
            <w:noWrap/>
            <w:vAlign w:val="bottom"/>
            <w:hideMark/>
          </w:tcPr>
          <w:p w14:paraId="27F9E304"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345" w:type="pct"/>
            <w:tcBorders>
              <w:top w:val="nil"/>
              <w:left w:val="nil"/>
              <w:bottom w:val="nil"/>
              <w:right w:val="nil"/>
            </w:tcBorders>
            <w:shd w:val="clear" w:color="auto" w:fill="auto"/>
            <w:noWrap/>
            <w:vAlign w:val="bottom"/>
            <w:hideMark/>
          </w:tcPr>
          <w:p w14:paraId="3886D0D1" w14:textId="77777777" w:rsidR="00430F9E" w:rsidRPr="00430F9E" w:rsidRDefault="00430F9E" w:rsidP="00430F9E">
            <w:pPr>
              <w:spacing w:after="0" w:line="240" w:lineRule="auto"/>
              <w:rPr>
                <w:rFonts w:eastAsia="Times New Roman" w:cs="Times New Roman"/>
                <w:color w:val="000000"/>
                <w:sz w:val="18"/>
                <w:lang w:val="en-ZA" w:eastAsia="en-ZA"/>
              </w:rPr>
            </w:pPr>
          </w:p>
        </w:tc>
        <w:tc>
          <w:tcPr>
            <w:tcW w:w="345" w:type="pct"/>
            <w:tcBorders>
              <w:top w:val="nil"/>
              <w:left w:val="nil"/>
              <w:bottom w:val="nil"/>
              <w:right w:val="nil"/>
            </w:tcBorders>
            <w:shd w:val="clear" w:color="auto" w:fill="auto"/>
            <w:noWrap/>
            <w:vAlign w:val="bottom"/>
            <w:hideMark/>
          </w:tcPr>
          <w:p w14:paraId="2705BCE4" w14:textId="77777777" w:rsidR="00430F9E" w:rsidRPr="00430F9E" w:rsidRDefault="00430F9E" w:rsidP="00430F9E">
            <w:pPr>
              <w:spacing w:after="0" w:line="240" w:lineRule="auto"/>
              <w:rPr>
                <w:rFonts w:ascii="Times New Roman" w:eastAsia="Times New Roman" w:hAnsi="Times New Roman" w:cs="Times New Roman"/>
                <w:sz w:val="18"/>
                <w:szCs w:val="20"/>
                <w:lang w:val="en-ZA" w:eastAsia="en-ZA"/>
              </w:rPr>
            </w:pPr>
          </w:p>
        </w:tc>
        <w:tc>
          <w:tcPr>
            <w:tcW w:w="301" w:type="pct"/>
            <w:tcBorders>
              <w:top w:val="nil"/>
              <w:left w:val="nil"/>
              <w:bottom w:val="nil"/>
              <w:right w:val="nil"/>
            </w:tcBorders>
            <w:shd w:val="clear" w:color="auto" w:fill="auto"/>
            <w:noWrap/>
            <w:vAlign w:val="bottom"/>
            <w:hideMark/>
          </w:tcPr>
          <w:p w14:paraId="222C3DF0" w14:textId="77777777" w:rsidR="00430F9E" w:rsidRPr="00430F9E" w:rsidRDefault="00430F9E" w:rsidP="00430F9E">
            <w:pPr>
              <w:spacing w:after="0" w:line="240" w:lineRule="auto"/>
              <w:rPr>
                <w:rFonts w:ascii="Times New Roman" w:eastAsia="Times New Roman" w:hAnsi="Times New Roman" w:cs="Times New Roman"/>
                <w:sz w:val="18"/>
                <w:szCs w:val="20"/>
                <w:lang w:val="en-ZA" w:eastAsia="en-ZA"/>
              </w:rPr>
            </w:pPr>
          </w:p>
        </w:tc>
        <w:tc>
          <w:tcPr>
            <w:tcW w:w="127" w:type="pct"/>
            <w:tcBorders>
              <w:top w:val="nil"/>
              <w:left w:val="nil"/>
              <w:bottom w:val="nil"/>
              <w:right w:val="nil"/>
            </w:tcBorders>
            <w:shd w:val="clear" w:color="auto" w:fill="auto"/>
            <w:noWrap/>
            <w:vAlign w:val="bottom"/>
            <w:hideMark/>
          </w:tcPr>
          <w:p w14:paraId="1650E221" w14:textId="77777777" w:rsidR="00430F9E" w:rsidRPr="00430F9E" w:rsidRDefault="00430F9E" w:rsidP="00430F9E">
            <w:pPr>
              <w:spacing w:after="0" w:line="240" w:lineRule="auto"/>
              <w:rPr>
                <w:rFonts w:ascii="Times New Roman" w:eastAsia="Times New Roman" w:hAnsi="Times New Roman" w:cs="Times New Roman"/>
                <w:sz w:val="18"/>
                <w:szCs w:val="20"/>
                <w:lang w:val="en-ZA" w:eastAsia="en-ZA"/>
              </w:rPr>
            </w:pPr>
          </w:p>
        </w:tc>
        <w:tc>
          <w:tcPr>
            <w:tcW w:w="127" w:type="pct"/>
            <w:tcBorders>
              <w:top w:val="nil"/>
              <w:left w:val="nil"/>
              <w:bottom w:val="nil"/>
              <w:right w:val="single" w:sz="4" w:space="0" w:color="auto"/>
            </w:tcBorders>
            <w:shd w:val="clear" w:color="auto" w:fill="auto"/>
            <w:noWrap/>
            <w:vAlign w:val="bottom"/>
            <w:hideMark/>
          </w:tcPr>
          <w:p w14:paraId="37FFB978"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7B143F" w14:textId="77777777" w:rsidR="00430F9E" w:rsidRPr="00430F9E" w:rsidRDefault="00430F9E" w:rsidP="00430F9E">
            <w:pPr>
              <w:spacing w:after="0" w:line="240" w:lineRule="auto"/>
              <w:rPr>
                <w:rFonts w:eastAsia="Times New Roman" w:cs="Times New Roman"/>
                <w:b/>
                <w:bCs/>
                <w:color w:val="000000"/>
                <w:sz w:val="18"/>
                <w:lang w:val="en-ZA" w:eastAsia="en-ZA"/>
              </w:rPr>
            </w:pPr>
            <w:r w:rsidRPr="00430F9E">
              <w:rPr>
                <w:rFonts w:eastAsia="Times New Roman" w:cs="Times New Roman"/>
                <w:b/>
                <w:bCs/>
                <w:color w:val="000000"/>
                <w:sz w:val="18"/>
                <w:lang w:val="en-ZA" w:eastAsia="en-ZA"/>
              </w:rPr>
              <w:t xml:space="preserve">   72 723 000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C4A50E" w14:textId="77777777" w:rsidR="00430F9E" w:rsidRPr="00430F9E" w:rsidRDefault="00430F9E" w:rsidP="00430F9E">
            <w:pPr>
              <w:spacing w:after="0" w:line="240" w:lineRule="auto"/>
              <w:rPr>
                <w:rFonts w:eastAsia="Times New Roman" w:cs="Times New Roman"/>
                <w:b/>
                <w:bCs/>
                <w:color w:val="000000"/>
                <w:sz w:val="18"/>
                <w:lang w:val="en-ZA" w:eastAsia="en-ZA"/>
              </w:rPr>
            </w:pPr>
            <w:r w:rsidRPr="00430F9E">
              <w:rPr>
                <w:rFonts w:eastAsia="Times New Roman" w:cs="Times New Roman"/>
                <w:b/>
                <w:bCs/>
                <w:color w:val="000000"/>
                <w:sz w:val="18"/>
                <w:lang w:val="en-ZA" w:eastAsia="en-ZA"/>
              </w:rPr>
              <w:t xml:space="preserve">   60 779 520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FCE0B5" w14:textId="77777777" w:rsidR="00430F9E" w:rsidRPr="00430F9E" w:rsidRDefault="00430F9E" w:rsidP="00430F9E">
            <w:pPr>
              <w:spacing w:after="0" w:line="240" w:lineRule="auto"/>
              <w:rPr>
                <w:rFonts w:eastAsia="Times New Roman" w:cs="Times New Roman"/>
                <w:b/>
                <w:bCs/>
                <w:color w:val="000000"/>
                <w:sz w:val="18"/>
                <w:lang w:val="en-ZA" w:eastAsia="en-ZA"/>
              </w:rPr>
            </w:pPr>
            <w:r w:rsidRPr="00430F9E">
              <w:rPr>
                <w:rFonts w:eastAsia="Times New Roman" w:cs="Times New Roman"/>
                <w:b/>
                <w:bCs/>
                <w:color w:val="000000"/>
                <w:sz w:val="18"/>
                <w:lang w:val="en-ZA" w:eastAsia="en-ZA"/>
              </w:rPr>
              <w:t xml:space="preserve">   64 628 990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453254" w14:textId="77777777" w:rsidR="00430F9E" w:rsidRPr="00430F9E" w:rsidRDefault="00430F9E" w:rsidP="00430F9E">
            <w:pPr>
              <w:spacing w:after="0" w:line="240" w:lineRule="auto"/>
              <w:rPr>
                <w:rFonts w:eastAsia="Times New Roman" w:cs="Times New Roman"/>
                <w:b/>
                <w:bCs/>
                <w:color w:val="000000"/>
                <w:sz w:val="18"/>
                <w:lang w:val="en-ZA" w:eastAsia="en-ZA"/>
              </w:rPr>
            </w:pPr>
            <w:r w:rsidRPr="00430F9E">
              <w:rPr>
                <w:rFonts w:eastAsia="Times New Roman" w:cs="Times New Roman"/>
                <w:b/>
                <w:bCs/>
                <w:color w:val="000000"/>
                <w:sz w:val="18"/>
                <w:lang w:val="en-ZA" w:eastAsia="en-ZA"/>
              </w:rPr>
              <w:t xml:space="preserve">   67 221 340 </w:t>
            </w:r>
          </w:p>
        </w:tc>
        <w:tc>
          <w:tcPr>
            <w:tcW w:w="5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A8B1A8" w14:textId="77777777" w:rsidR="00430F9E" w:rsidRPr="00430F9E" w:rsidRDefault="00430F9E" w:rsidP="00430F9E">
            <w:pPr>
              <w:spacing w:after="0" w:line="240" w:lineRule="auto"/>
              <w:rPr>
                <w:rFonts w:eastAsia="Times New Roman" w:cs="Times New Roman"/>
                <w:b/>
                <w:bCs/>
                <w:color w:val="000000"/>
                <w:sz w:val="18"/>
                <w:lang w:val="en-ZA" w:eastAsia="en-ZA"/>
              </w:rPr>
            </w:pPr>
            <w:r w:rsidRPr="00430F9E">
              <w:rPr>
                <w:rFonts w:eastAsia="Times New Roman" w:cs="Times New Roman"/>
                <w:b/>
                <w:bCs/>
                <w:color w:val="000000"/>
                <w:sz w:val="18"/>
                <w:lang w:val="en-ZA" w:eastAsia="en-ZA"/>
              </w:rPr>
              <w:t xml:space="preserve">   70 521 390 </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B45EA9" w14:textId="77777777" w:rsidR="00430F9E" w:rsidRPr="00430F9E" w:rsidRDefault="00430F9E" w:rsidP="00430F9E">
            <w:pPr>
              <w:spacing w:after="0" w:line="240" w:lineRule="auto"/>
              <w:rPr>
                <w:rFonts w:eastAsia="Times New Roman" w:cs="Times New Roman"/>
                <w:b/>
                <w:bCs/>
                <w:color w:val="000000"/>
                <w:sz w:val="18"/>
                <w:lang w:val="en-ZA" w:eastAsia="en-ZA"/>
              </w:rPr>
            </w:pPr>
            <w:r w:rsidRPr="00430F9E">
              <w:rPr>
                <w:rFonts w:eastAsia="Times New Roman" w:cs="Times New Roman"/>
                <w:b/>
                <w:bCs/>
                <w:color w:val="000000"/>
                <w:sz w:val="18"/>
                <w:lang w:val="en-ZA" w:eastAsia="en-ZA"/>
              </w:rPr>
              <w:t xml:space="preserve">   335 874 240 </w:t>
            </w:r>
          </w:p>
        </w:tc>
      </w:tr>
      <w:tr w:rsidR="00430F9E" w:rsidRPr="00430F9E" w14:paraId="45BF1F6A" w14:textId="77777777" w:rsidTr="00BE05EA">
        <w:trPr>
          <w:trHeight w:val="216"/>
        </w:trPr>
        <w:tc>
          <w:tcPr>
            <w:tcW w:w="303" w:type="pct"/>
            <w:tcBorders>
              <w:top w:val="nil"/>
              <w:left w:val="single" w:sz="8" w:space="0" w:color="auto"/>
              <w:bottom w:val="single" w:sz="8" w:space="0" w:color="auto"/>
              <w:right w:val="nil"/>
            </w:tcBorders>
            <w:shd w:val="clear" w:color="auto" w:fill="auto"/>
            <w:noWrap/>
            <w:vAlign w:val="bottom"/>
            <w:hideMark/>
          </w:tcPr>
          <w:p w14:paraId="28529A39"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345" w:type="pct"/>
            <w:tcBorders>
              <w:top w:val="nil"/>
              <w:left w:val="nil"/>
              <w:bottom w:val="single" w:sz="8" w:space="0" w:color="auto"/>
              <w:right w:val="nil"/>
            </w:tcBorders>
            <w:shd w:val="clear" w:color="auto" w:fill="auto"/>
            <w:noWrap/>
            <w:vAlign w:val="bottom"/>
            <w:hideMark/>
          </w:tcPr>
          <w:p w14:paraId="03F33428"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345" w:type="pct"/>
            <w:tcBorders>
              <w:top w:val="nil"/>
              <w:left w:val="nil"/>
              <w:bottom w:val="single" w:sz="8" w:space="0" w:color="auto"/>
              <w:right w:val="nil"/>
            </w:tcBorders>
            <w:shd w:val="clear" w:color="auto" w:fill="auto"/>
            <w:noWrap/>
            <w:vAlign w:val="bottom"/>
            <w:hideMark/>
          </w:tcPr>
          <w:p w14:paraId="2424A5E5"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301" w:type="pct"/>
            <w:tcBorders>
              <w:top w:val="nil"/>
              <w:left w:val="nil"/>
              <w:bottom w:val="single" w:sz="8" w:space="0" w:color="auto"/>
              <w:right w:val="nil"/>
            </w:tcBorders>
            <w:shd w:val="clear" w:color="auto" w:fill="auto"/>
            <w:noWrap/>
            <w:vAlign w:val="bottom"/>
            <w:hideMark/>
          </w:tcPr>
          <w:p w14:paraId="2CFD00FC"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127" w:type="pct"/>
            <w:tcBorders>
              <w:top w:val="nil"/>
              <w:left w:val="nil"/>
              <w:bottom w:val="single" w:sz="8" w:space="0" w:color="auto"/>
              <w:right w:val="nil"/>
            </w:tcBorders>
            <w:shd w:val="clear" w:color="auto" w:fill="auto"/>
            <w:noWrap/>
            <w:vAlign w:val="bottom"/>
            <w:hideMark/>
          </w:tcPr>
          <w:p w14:paraId="011B7F45"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127" w:type="pct"/>
            <w:tcBorders>
              <w:top w:val="nil"/>
              <w:left w:val="nil"/>
              <w:bottom w:val="single" w:sz="8" w:space="0" w:color="auto"/>
              <w:right w:val="single" w:sz="8" w:space="0" w:color="auto"/>
            </w:tcBorders>
            <w:shd w:val="clear" w:color="auto" w:fill="auto"/>
            <w:noWrap/>
            <w:vAlign w:val="bottom"/>
            <w:hideMark/>
          </w:tcPr>
          <w:p w14:paraId="16EE24A1"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567" w:type="pct"/>
            <w:tcBorders>
              <w:top w:val="single" w:sz="4" w:space="0" w:color="auto"/>
              <w:left w:val="nil"/>
              <w:bottom w:val="single" w:sz="8" w:space="0" w:color="auto"/>
              <w:right w:val="single" w:sz="8" w:space="0" w:color="auto"/>
            </w:tcBorders>
            <w:shd w:val="clear" w:color="auto" w:fill="auto"/>
            <w:noWrap/>
            <w:vAlign w:val="bottom"/>
            <w:hideMark/>
          </w:tcPr>
          <w:p w14:paraId="48FFEE8F"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567" w:type="pct"/>
            <w:tcBorders>
              <w:top w:val="single" w:sz="4" w:space="0" w:color="auto"/>
              <w:left w:val="nil"/>
              <w:bottom w:val="single" w:sz="8" w:space="0" w:color="auto"/>
              <w:right w:val="single" w:sz="8" w:space="0" w:color="auto"/>
            </w:tcBorders>
            <w:shd w:val="clear" w:color="auto" w:fill="auto"/>
            <w:noWrap/>
            <w:vAlign w:val="bottom"/>
            <w:hideMark/>
          </w:tcPr>
          <w:p w14:paraId="1D6FC087"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567" w:type="pct"/>
            <w:tcBorders>
              <w:top w:val="single" w:sz="4" w:space="0" w:color="auto"/>
              <w:left w:val="nil"/>
              <w:bottom w:val="single" w:sz="8" w:space="0" w:color="auto"/>
              <w:right w:val="single" w:sz="8" w:space="0" w:color="auto"/>
            </w:tcBorders>
            <w:shd w:val="clear" w:color="auto" w:fill="auto"/>
            <w:noWrap/>
            <w:vAlign w:val="bottom"/>
            <w:hideMark/>
          </w:tcPr>
          <w:p w14:paraId="6339AB4C"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567" w:type="pct"/>
            <w:tcBorders>
              <w:top w:val="single" w:sz="4" w:space="0" w:color="auto"/>
              <w:left w:val="nil"/>
              <w:bottom w:val="single" w:sz="8" w:space="0" w:color="auto"/>
              <w:right w:val="single" w:sz="8" w:space="0" w:color="auto"/>
            </w:tcBorders>
            <w:shd w:val="clear" w:color="auto" w:fill="auto"/>
            <w:noWrap/>
            <w:vAlign w:val="bottom"/>
            <w:hideMark/>
          </w:tcPr>
          <w:p w14:paraId="366D5B8D"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567" w:type="pct"/>
            <w:tcBorders>
              <w:top w:val="single" w:sz="4" w:space="0" w:color="auto"/>
              <w:left w:val="nil"/>
              <w:bottom w:val="single" w:sz="8" w:space="0" w:color="auto"/>
              <w:right w:val="single" w:sz="8" w:space="0" w:color="auto"/>
            </w:tcBorders>
            <w:shd w:val="clear" w:color="auto" w:fill="auto"/>
            <w:noWrap/>
            <w:vAlign w:val="bottom"/>
            <w:hideMark/>
          </w:tcPr>
          <w:p w14:paraId="1C5DFB01"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c>
          <w:tcPr>
            <w:tcW w:w="617" w:type="pct"/>
            <w:tcBorders>
              <w:top w:val="single" w:sz="4" w:space="0" w:color="auto"/>
              <w:left w:val="nil"/>
              <w:bottom w:val="single" w:sz="8" w:space="0" w:color="auto"/>
              <w:right w:val="single" w:sz="8" w:space="0" w:color="auto"/>
            </w:tcBorders>
            <w:shd w:val="clear" w:color="auto" w:fill="auto"/>
            <w:noWrap/>
            <w:vAlign w:val="bottom"/>
            <w:hideMark/>
          </w:tcPr>
          <w:p w14:paraId="5C73137A" w14:textId="77777777" w:rsidR="00430F9E" w:rsidRPr="00430F9E" w:rsidRDefault="00430F9E" w:rsidP="00430F9E">
            <w:pPr>
              <w:spacing w:after="0" w:line="240" w:lineRule="auto"/>
              <w:rPr>
                <w:rFonts w:eastAsia="Times New Roman" w:cs="Times New Roman"/>
                <w:color w:val="000000"/>
                <w:sz w:val="18"/>
                <w:lang w:val="en-ZA" w:eastAsia="en-ZA"/>
              </w:rPr>
            </w:pPr>
            <w:r w:rsidRPr="00430F9E">
              <w:rPr>
                <w:rFonts w:eastAsia="Times New Roman" w:cs="Times New Roman"/>
                <w:color w:val="000000"/>
                <w:sz w:val="18"/>
                <w:lang w:val="en-ZA" w:eastAsia="en-ZA"/>
              </w:rPr>
              <w:t> </w:t>
            </w:r>
          </w:p>
        </w:tc>
      </w:tr>
    </w:tbl>
    <w:p w14:paraId="662BA309" w14:textId="6CE04DA7" w:rsidR="00BA6153" w:rsidRDefault="007C1941" w:rsidP="007C1941">
      <w:pPr>
        <w:pStyle w:val="Caption"/>
      </w:pPr>
      <w:bookmarkStart w:id="720" w:name="_Toc510622358"/>
      <w:r>
        <w:t xml:space="preserve">Table </w:t>
      </w:r>
      <w:r w:rsidR="00B918A6">
        <w:fldChar w:fldCharType="begin"/>
      </w:r>
      <w:r w:rsidR="00B918A6">
        <w:instrText xml:space="preserve"> SEQ Table \* ARABIC </w:instrText>
      </w:r>
      <w:r w:rsidR="00B918A6">
        <w:fldChar w:fldCharType="separate"/>
      </w:r>
      <w:r w:rsidR="0067023A">
        <w:rPr>
          <w:noProof/>
        </w:rPr>
        <w:t>107</w:t>
      </w:r>
      <w:r w:rsidR="00B918A6">
        <w:rPr>
          <w:noProof/>
        </w:rPr>
        <w:fldChar w:fldCharType="end"/>
      </w:r>
      <w:r>
        <w:t>:</w:t>
      </w:r>
      <w:r w:rsidRPr="007C1941">
        <w:t xml:space="preserve"> </w:t>
      </w:r>
      <w:r w:rsidR="00BA6153" w:rsidRPr="007C1941">
        <w:t>The following sets out the uMlalazi Municipality’s Implementation Plan for</w:t>
      </w:r>
      <w:r w:rsidR="00430F9E">
        <w:t xml:space="preserve"> the 2018/19 – 2022/23</w:t>
      </w:r>
      <w:r w:rsidR="00FA6590" w:rsidRPr="007C1941">
        <w:t xml:space="preserve"> Council Term</w:t>
      </w:r>
      <w:bookmarkEnd w:id="720"/>
    </w:p>
    <w:tbl>
      <w:tblPr>
        <w:tblW w:w="5450" w:type="pct"/>
        <w:jc w:val="center"/>
        <w:tblLayout w:type="fixed"/>
        <w:tblLook w:val="04A0" w:firstRow="1" w:lastRow="0" w:firstColumn="1" w:lastColumn="0" w:noHBand="0" w:noVBand="1"/>
      </w:tblPr>
      <w:tblGrid>
        <w:gridCol w:w="1643"/>
        <w:gridCol w:w="2399"/>
        <w:gridCol w:w="1499"/>
        <w:gridCol w:w="1197"/>
        <w:gridCol w:w="1197"/>
        <w:gridCol w:w="1223"/>
        <w:gridCol w:w="1327"/>
      </w:tblGrid>
      <w:tr w:rsidR="00430F9E" w:rsidRPr="00264FBE" w14:paraId="216205A0" w14:textId="77777777" w:rsidTr="00BE05EA">
        <w:trPr>
          <w:trHeight w:val="226"/>
          <w:jc w:val="center"/>
        </w:trPr>
        <w:tc>
          <w:tcPr>
            <w:tcW w:w="783" w:type="pct"/>
            <w:tcBorders>
              <w:top w:val="single" w:sz="8" w:space="0" w:color="auto"/>
              <w:left w:val="single" w:sz="8" w:space="0" w:color="auto"/>
              <w:bottom w:val="nil"/>
              <w:right w:val="nil"/>
            </w:tcBorders>
            <w:shd w:val="clear" w:color="000000" w:fill="CCFFFF"/>
            <w:noWrap/>
            <w:vAlign w:val="bottom"/>
            <w:hideMark/>
          </w:tcPr>
          <w:p w14:paraId="369EE20C" w14:textId="77777777" w:rsidR="00430F9E" w:rsidRPr="000B1A75" w:rsidRDefault="00430F9E" w:rsidP="00B77608">
            <w:pPr>
              <w:spacing w:after="0" w:line="240" w:lineRule="auto"/>
              <w:jc w:val="center"/>
              <w:rPr>
                <w:b/>
                <w:sz w:val="18"/>
              </w:rPr>
            </w:pPr>
            <w:bookmarkStart w:id="721" w:name="_Toc288723535"/>
            <w:bookmarkStart w:id="722" w:name="_Toc325627982"/>
            <w:bookmarkStart w:id="723" w:name="_Toc389740133"/>
            <w:r w:rsidRPr="000B1A75">
              <w:rPr>
                <w:b/>
                <w:sz w:val="18"/>
              </w:rPr>
              <w:t>DESCRIPTION</w:t>
            </w:r>
          </w:p>
        </w:tc>
        <w:tc>
          <w:tcPr>
            <w:tcW w:w="1144" w:type="pct"/>
            <w:tcBorders>
              <w:top w:val="single" w:sz="8" w:space="0" w:color="auto"/>
              <w:left w:val="single" w:sz="8" w:space="0" w:color="auto"/>
              <w:bottom w:val="nil"/>
              <w:right w:val="single" w:sz="8" w:space="0" w:color="auto"/>
            </w:tcBorders>
            <w:shd w:val="clear" w:color="000000" w:fill="CCFFFF"/>
            <w:noWrap/>
            <w:vAlign w:val="bottom"/>
            <w:hideMark/>
          </w:tcPr>
          <w:p w14:paraId="0852A53A" w14:textId="77777777" w:rsidR="00430F9E" w:rsidRPr="000B1A75" w:rsidRDefault="00430F9E" w:rsidP="00B77608">
            <w:pPr>
              <w:spacing w:after="0" w:line="240" w:lineRule="auto"/>
              <w:jc w:val="center"/>
              <w:rPr>
                <w:b/>
                <w:sz w:val="18"/>
              </w:rPr>
            </w:pPr>
            <w:r w:rsidRPr="000B1A75">
              <w:rPr>
                <w:b/>
                <w:sz w:val="18"/>
              </w:rPr>
              <w:t>GRANT</w:t>
            </w:r>
          </w:p>
        </w:tc>
        <w:tc>
          <w:tcPr>
            <w:tcW w:w="715" w:type="pct"/>
            <w:tcBorders>
              <w:top w:val="single" w:sz="8" w:space="0" w:color="auto"/>
              <w:left w:val="nil"/>
              <w:bottom w:val="nil"/>
              <w:right w:val="nil"/>
            </w:tcBorders>
            <w:shd w:val="clear" w:color="000000" w:fill="CCFFFF"/>
            <w:noWrap/>
            <w:vAlign w:val="bottom"/>
            <w:hideMark/>
          </w:tcPr>
          <w:p w14:paraId="659964C1" w14:textId="77777777" w:rsidR="00430F9E" w:rsidRPr="000B1A75" w:rsidRDefault="00430F9E" w:rsidP="00B77608">
            <w:pPr>
              <w:spacing w:after="0" w:line="240" w:lineRule="auto"/>
              <w:jc w:val="center"/>
              <w:rPr>
                <w:b/>
                <w:sz w:val="18"/>
              </w:rPr>
            </w:pPr>
            <w:r w:rsidRPr="000B1A75">
              <w:rPr>
                <w:b/>
                <w:sz w:val="18"/>
              </w:rPr>
              <w:t>2018/2019</w:t>
            </w:r>
          </w:p>
        </w:tc>
        <w:tc>
          <w:tcPr>
            <w:tcW w:w="571" w:type="pct"/>
            <w:tcBorders>
              <w:top w:val="single" w:sz="8" w:space="0" w:color="auto"/>
              <w:left w:val="single" w:sz="8" w:space="0" w:color="auto"/>
              <w:bottom w:val="nil"/>
              <w:right w:val="single" w:sz="8" w:space="0" w:color="auto"/>
            </w:tcBorders>
            <w:shd w:val="clear" w:color="000000" w:fill="CCFFFF"/>
            <w:noWrap/>
            <w:vAlign w:val="bottom"/>
            <w:hideMark/>
          </w:tcPr>
          <w:p w14:paraId="48BB3347" w14:textId="77777777" w:rsidR="00430F9E" w:rsidRPr="000B1A75" w:rsidRDefault="00430F9E" w:rsidP="00B77608">
            <w:pPr>
              <w:spacing w:after="0" w:line="240" w:lineRule="auto"/>
              <w:jc w:val="center"/>
              <w:rPr>
                <w:b/>
                <w:sz w:val="18"/>
              </w:rPr>
            </w:pPr>
            <w:r w:rsidRPr="000B1A75">
              <w:rPr>
                <w:b/>
                <w:sz w:val="18"/>
              </w:rPr>
              <w:t>2019/2020</w:t>
            </w:r>
          </w:p>
        </w:tc>
        <w:tc>
          <w:tcPr>
            <w:tcW w:w="571" w:type="pct"/>
            <w:tcBorders>
              <w:top w:val="single" w:sz="8" w:space="0" w:color="auto"/>
              <w:left w:val="nil"/>
              <w:bottom w:val="nil"/>
              <w:right w:val="single" w:sz="8" w:space="0" w:color="auto"/>
            </w:tcBorders>
            <w:shd w:val="clear" w:color="000000" w:fill="CCFFFF"/>
            <w:noWrap/>
            <w:vAlign w:val="bottom"/>
            <w:hideMark/>
          </w:tcPr>
          <w:p w14:paraId="50AB0B9A" w14:textId="77777777" w:rsidR="00430F9E" w:rsidRPr="000B1A75" w:rsidRDefault="00430F9E" w:rsidP="00B77608">
            <w:pPr>
              <w:spacing w:after="0" w:line="240" w:lineRule="auto"/>
              <w:jc w:val="center"/>
              <w:rPr>
                <w:b/>
                <w:sz w:val="18"/>
              </w:rPr>
            </w:pPr>
            <w:r w:rsidRPr="000B1A75">
              <w:rPr>
                <w:b/>
                <w:sz w:val="18"/>
              </w:rPr>
              <w:t>2020/2021</w:t>
            </w:r>
          </w:p>
        </w:tc>
        <w:tc>
          <w:tcPr>
            <w:tcW w:w="583" w:type="pct"/>
            <w:tcBorders>
              <w:top w:val="single" w:sz="8" w:space="0" w:color="auto"/>
              <w:left w:val="nil"/>
              <w:bottom w:val="nil"/>
              <w:right w:val="single" w:sz="8" w:space="0" w:color="auto"/>
            </w:tcBorders>
            <w:shd w:val="clear" w:color="000000" w:fill="CCFFFF"/>
            <w:noWrap/>
            <w:vAlign w:val="bottom"/>
            <w:hideMark/>
          </w:tcPr>
          <w:p w14:paraId="4CE8E07F" w14:textId="77777777" w:rsidR="00430F9E" w:rsidRPr="000B1A75" w:rsidRDefault="00430F9E" w:rsidP="00B77608">
            <w:pPr>
              <w:spacing w:after="0" w:line="240" w:lineRule="auto"/>
              <w:jc w:val="center"/>
              <w:rPr>
                <w:b/>
                <w:sz w:val="18"/>
              </w:rPr>
            </w:pPr>
            <w:r w:rsidRPr="000B1A75">
              <w:rPr>
                <w:b/>
                <w:sz w:val="18"/>
              </w:rPr>
              <w:t>2021/2022</w:t>
            </w:r>
          </w:p>
        </w:tc>
        <w:tc>
          <w:tcPr>
            <w:tcW w:w="633" w:type="pct"/>
            <w:tcBorders>
              <w:top w:val="single" w:sz="8" w:space="0" w:color="auto"/>
              <w:left w:val="nil"/>
              <w:bottom w:val="nil"/>
              <w:right w:val="single" w:sz="8" w:space="0" w:color="auto"/>
            </w:tcBorders>
            <w:shd w:val="clear" w:color="000000" w:fill="CCFFFF"/>
            <w:noWrap/>
            <w:vAlign w:val="bottom"/>
            <w:hideMark/>
          </w:tcPr>
          <w:p w14:paraId="1CF941E7" w14:textId="77777777" w:rsidR="00430F9E" w:rsidRPr="000B1A75" w:rsidRDefault="00430F9E" w:rsidP="00B77608">
            <w:pPr>
              <w:spacing w:after="0" w:line="240" w:lineRule="auto"/>
              <w:jc w:val="center"/>
              <w:rPr>
                <w:b/>
                <w:sz w:val="18"/>
              </w:rPr>
            </w:pPr>
            <w:r w:rsidRPr="000B1A75">
              <w:rPr>
                <w:b/>
                <w:sz w:val="18"/>
              </w:rPr>
              <w:t>2022/2023</w:t>
            </w:r>
          </w:p>
        </w:tc>
      </w:tr>
      <w:tr w:rsidR="00430F9E" w:rsidRPr="00264FBE" w14:paraId="2A622F46" w14:textId="77777777" w:rsidTr="00BE05EA">
        <w:trPr>
          <w:trHeight w:val="238"/>
          <w:jc w:val="center"/>
        </w:trPr>
        <w:tc>
          <w:tcPr>
            <w:tcW w:w="783" w:type="pct"/>
            <w:tcBorders>
              <w:top w:val="nil"/>
              <w:left w:val="single" w:sz="8" w:space="0" w:color="auto"/>
              <w:bottom w:val="single" w:sz="8" w:space="0" w:color="auto"/>
              <w:right w:val="nil"/>
            </w:tcBorders>
            <w:shd w:val="clear" w:color="000000" w:fill="CCFFFF"/>
            <w:noWrap/>
            <w:vAlign w:val="bottom"/>
            <w:hideMark/>
          </w:tcPr>
          <w:p w14:paraId="487E8246" w14:textId="77777777" w:rsidR="00430F9E" w:rsidRPr="000B1A75" w:rsidRDefault="00430F9E" w:rsidP="00B77608">
            <w:pPr>
              <w:spacing w:after="0" w:line="240" w:lineRule="auto"/>
              <w:jc w:val="center"/>
              <w:rPr>
                <w:b/>
                <w:sz w:val="18"/>
              </w:rPr>
            </w:pPr>
            <w:r w:rsidRPr="000B1A75">
              <w:rPr>
                <w:b/>
                <w:sz w:val="18"/>
              </w:rPr>
              <w:t> </w:t>
            </w:r>
          </w:p>
        </w:tc>
        <w:tc>
          <w:tcPr>
            <w:tcW w:w="1144" w:type="pct"/>
            <w:tcBorders>
              <w:top w:val="nil"/>
              <w:left w:val="single" w:sz="8" w:space="0" w:color="auto"/>
              <w:bottom w:val="single" w:sz="8" w:space="0" w:color="auto"/>
              <w:right w:val="single" w:sz="8" w:space="0" w:color="auto"/>
            </w:tcBorders>
            <w:shd w:val="clear" w:color="000000" w:fill="CCFFFF"/>
            <w:noWrap/>
            <w:vAlign w:val="bottom"/>
            <w:hideMark/>
          </w:tcPr>
          <w:p w14:paraId="38588548" w14:textId="77777777" w:rsidR="00430F9E" w:rsidRPr="000B1A75" w:rsidRDefault="00430F9E" w:rsidP="00B77608">
            <w:pPr>
              <w:spacing w:after="0" w:line="240" w:lineRule="auto"/>
              <w:jc w:val="center"/>
              <w:rPr>
                <w:b/>
                <w:sz w:val="18"/>
              </w:rPr>
            </w:pPr>
            <w:r w:rsidRPr="000B1A75">
              <w:rPr>
                <w:b/>
                <w:sz w:val="18"/>
              </w:rPr>
              <w:t xml:space="preserve"> DESCRIPTION</w:t>
            </w:r>
          </w:p>
        </w:tc>
        <w:tc>
          <w:tcPr>
            <w:tcW w:w="715" w:type="pct"/>
            <w:tcBorders>
              <w:top w:val="nil"/>
              <w:left w:val="nil"/>
              <w:bottom w:val="single" w:sz="8" w:space="0" w:color="auto"/>
              <w:right w:val="single" w:sz="8" w:space="0" w:color="auto"/>
            </w:tcBorders>
            <w:shd w:val="clear" w:color="000000" w:fill="CCFFFF"/>
            <w:noWrap/>
            <w:vAlign w:val="bottom"/>
            <w:hideMark/>
          </w:tcPr>
          <w:p w14:paraId="36FDEA6E" w14:textId="77777777" w:rsidR="00430F9E" w:rsidRPr="000B1A75" w:rsidRDefault="00430F9E" w:rsidP="00B77608">
            <w:pPr>
              <w:spacing w:after="0" w:line="240" w:lineRule="auto"/>
              <w:rPr>
                <w:b/>
                <w:sz w:val="18"/>
              </w:rPr>
            </w:pPr>
            <w:r w:rsidRPr="000B1A75">
              <w:rPr>
                <w:b/>
                <w:sz w:val="18"/>
              </w:rPr>
              <w:t> </w:t>
            </w:r>
          </w:p>
        </w:tc>
        <w:tc>
          <w:tcPr>
            <w:tcW w:w="571" w:type="pct"/>
            <w:tcBorders>
              <w:top w:val="nil"/>
              <w:left w:val="nil"/>
              <w:bottom w:val="single" w:sz="8" w:space="0" w:color="auto"/>
              <w:right w:val="nil"/>
            </w:tcBorders>
            <w:shd w:val="clear" w:color="000000" w:fill="CCFFFF"/>
            <w:noWrap/>
            <w:vAlign w:val="bottom"/>
            <w:hideMark/>
          </w:tcPr>
          <w:p w14:paraId="46175E8B" w14:textId="77777777" w:rsidR="00430F9E" w:rsidRPr="000B1A75" w:rsidRDefault="00430F9E" w:rsidP="00B77608">
            <w:pPr>
              <w:spacing w:after="0" w:line="240" w:lineRule="auto"/>
              <w:rPr>
                <w:b/>
                <w:sz w:val="18"/>
              </w:rPr>
            </w:pPr>
            <w:r w:rsidRPr="000B1A75">
              <w:rPr>
                <w:b/>
                <w:sz w:val="18"/>
              </w:rPr>
              <w:t> </w:t>
            </w:r>
          </w:p>
        </w:tc>
        <w:tc>
          <w:tcPr>
            <w:tcW w:w="571" w:type="pct"/>
            <w:tcBorders>
              <w:top w:val="nil"/>
              <w:left w:val="single" w:sz="8" w:space="0" w:color="auto"/>
              <w:bottom w:val="single" w:sz="8" w:space="0" w:color="auto"/>
              <w:right w:val="single" w:sz="8" w:space="0" w:color="auto"/>
            </w:tcBorders>
            <w:shd w:val="clear" w:color="000000" w:fill="CCFFFF"/>
            <w:noWrap/>
            <w:vAlign w:val="bottom"/>
            <w:hideMark/>
          </w:tcPr>
          <w:p w14:paraId="0992D982" w14:textId="77777777" w:rsidR="00430F9E" w:rsidRPr="000B1A75" w:rsidRDefault="00430F9E" w:rsidP="00B77608">
            <w:pPr>
              <w:spacing w:after="0" w:line="240" w:lineRule="auto"/>
              <w:rPr>
                <w:b/>
                <w:sz w:val="18"/>
              </w:rPr>
            </w:pPr>
            <w:r w:rsidRPr="000B1A75">
              <w:rPr>
                <w:b/>
                <w:sz w:val="18"/>
              </w:rPr>
              <w:t> </w:t>
            </w:r>
          </w:p>
        </w:tc>
        <w:tc>
          <w:tcPr>
            <w:tcW w:w="583" w:type="pct"/>
            <w:tcBorders>
              <w:top w:val="nil"/>
              <w:left w:val="nil"/>
              <w:bottom w:val="single" w:sz="8" w:space="0" w:color="auto"/>
              <w:right w:val="single" w:sz="8" w:space="0" w:color="auto"/>
            </w:tcBorders>
            <w:shd w:val="clear" w:color="000000" w:fill="CCFFFF"/>
            <w:noWrap/>
            <w:vAlign w:val="bottom"/>
            <w:hideMark/>
          </w:tcPr>
          <w:p w14:paraId="61AF0FFD" w14:textId="77777777" w:rsidR="00430F9E" w:rsidRPr="000B1A75" w:rsidRDefault="00430F9E" w:rsidP="00B77608">
            <w:pPr>
              <w:spacing w:after="0" w:line="240" w:lineRule="auto"/>
              <w:rPr>
                <w:b/>
                <w:sz w:val="18"/>
              </w:rPr>
            </w:pPr>
            <w:r w:rsidRPr="000B1A75">
              <w:rPr>
                <w:b/>
                <w:sz w:val="18"/>
              </w:rPr>
              <w:t> </w:t>
            </w:r>
          </w:p>
        </w:tc>
        <w:tc>
          <w:tcPr>
            <w:tcW w:w="633" w:type="pct"/>
            <w:tcBorders>
              <w:top w:val="nil"/>
              <w:left w:val="nil"/>
              <w:bottom w:val="single" w:sz="8" w:space="0" w:color="auto"/>
              <w:right w:val="single" w:sz="8" w:space="0" w:color="auto"/>
            </w:tcBorders>
            <w:shd w:val="clear" w:color="000000" w:fill="CCFFFF"/>
            <w:noWrap/>
            <w:vAlign w:val="bottom"/>
            <w:hideMark/>
          </w:tcPr>
          <w:p w14:paraId="14054CDB" w14:textId="77777777" w:rsidR="00430F9E" w:rsidRPr="000B1A75" w:rsidRDefault="00430F9E" w:rsidP="00B77608">
            <w:pPr>
              <w:spacing w:after="0" w:line="240" w:lineRule="auto"/>
              <w:rPr>
                <w:b/>
                <w:sz w:val="18"/>
              </w:rPr>
            </w:pPr>
            <w:r w:rsidRPr="000B1A75">
              <w:rPr>
                <w:b/>
                <w:sz w:val="18"/>
              </w:rPr>
              <w:t> </w:t>
            </w:r>
          </w:p>
        </w:tc>
      </w:tr>
      <w:tr w:rsidR="00430F9E" w:rsidRPr="00264FBE" w14:paraId="0D0100E1" w14:textId="77777777" w:rsidTr="00BE05EA">
        <w:trPr>
          <w:trHeight w:val="226"/>
          <w:jc w:val="center"/>
        </w:trPr>
        <w:tc>
          <w:tcPr>
            <w:tcW w:w="783" w:type="pct"/>
            <w:tcBorders>
              <w:top w:val="single" w:sz="8" w:space="0" w:color="auto"/>
              <w:left w:val="single" w:sz="8" w:space="0" w:color="auto"/>
              <w:bottom w:val="single" w:sz="4" w:space="0" w:color="auto"/>
              <w:right w:val="nil"/>
            </w:tcBorders>
            <w:shd w:val="clear" w:color="auto" w:fill="auto"/>
            <w:noWrap/>
            <w:vAlign w:val="bottom"/>
            <w:hideMark/>
          </w:tcPr>
          <w:p w14:paraId="13BC4F5F" w14:textId="77777777" w:rsidR="00430F9E" w:rsidRPr="000B1A75" w:rsidRDefault="00430F9E" w:rsidP="00B77608">
            <w:pPr>
              <w:spacing w:after="0" w:line="240" w:lineRule="auto"/>
              <w:rPr>
                <w:sz w:val="18"/>
              </w:rPr>
            </w:pPr>
            <w:r w:rsidRPr="000B1A75">
              <w:rPr>
                <w:sz w:val="18"/>
              </w:rPr>
              <w:t>CAPITAL FOR DEPARTMENTS</w:t>
            </w:r>
          </w:p>
        </w:tc>
        <w:tc>
          <w:tcPr>
            <w:tcW w:w="1144" w:type="pct"/>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3A3DB92B" w14:textId="77777777" w:rsidR="00430F9E" w:rsidRPr="000B1A75" w:rsidRDefault="00430F9E" w:rsidP="00B77608">
            <w:pPr>
              <w:spacing w:after="0" w:line="240" w:lineRule="auto"/>
              <w:rPr>
                <w:sz w:val="18"/>
              </w:rPr>
            </w:pPr>
            <w:r w:rsidRPr="000B1A75">
              <w:rPr>
                <w:sz w:val="18"/>
              </w:rPr>
              <w:t>EQUITABLE SHARE GRANT FUNDING</w:t>
            </w:r>
          </w:p>
        </w:tc>
        <w:tc>
          <w:tcPr>
            <w:tcW w:w="715" w:type="pct"/>
            <w:tcBorders>
              <w:top w:val="single" w:sz="8" w:space="0" w:color="auto"/>
              <w:left w:val="nil"/>
              <w:bottom w:val="single" w:sz="4" w:space="0" w:color="auto"/>
              <w:right w:val="single" w:sz="8" w:space="0" w:color="auto"/>
            </w:tcBorders>
            <w:shd w:val="clear" w:color="auto" w:fill="auto"/>
            <w:noWrap/>
            <w:vAlign w:val="bottom"/>
            <w:hideMark/>
          </w:tcPr>
          <w:p w14:paraId="6CF56F4D" w14:textId="77777777" w:rsidR="00430F9E" w:rsidRPr="000B1A75" w:rsidRDefault="00430F9E" w:rsidP="00B77608">
            <w:pPr>
              <w:spacing w:after="0" w:line="240" w:lineRule="auto"/>
              <w:jc w:val="right"/>
              <w:rPr>
                <w:sz w:val="18"/>
              </w:rPr>
            </w:pPr>
            <w:r w:rsidRPr="000B1A75">
              <w:rPr>
                <w:sz w:val="18"/>
              </w:rPr>
              <w:t>13 535 000</w:t>
            </w:r>
          </w:p>
        </w:tc>
        <w:tc>
          <w:tcPr>
            <w:tcW w:w="571" w:type="pct"/>
            <w:tcBorders>
              <w:top w:val="single" w:sz="8" w:space="0" w:color="auto"/>
              <w:left w:val="nil"/>
              <w:bottom w:val="single" w:sz="4" w:space="0" w:color="auto"/>
              <w:right w:val="nil"/>
            </w:tcBorders>
            <w:shd w:val="clear" w:color="auto" w:fill="auto"/>
            <w:noWrap/>
            <w:vAlign w:val="bottom"/>
            <w:hideMark/>
          </w:tcPr>
          <w:p w14:paraId="1EBBBE28" w14:textId="77777777" w:rsidR="00430F9E" w:rsidRPr="000B1A75" w:rsidRDefault="00430F9E" w:rsidP="00B77608">
            <w:pPr>
              <w:spacing w:after="0" w:line="240" w:lineRule="auto"/>
              <w:jc w:val="right"/>
              <w:rPr>
                <w:sz w:val="18"/>
              </w:rPr>
            </w:pPr>
            <w:r w:rsidRPr="000B1A75">
              <w:rPr>
                <w:sz w:val="18"/>
              </w:rPr>
              <w:t>13 899 520</w:t>
            </w:r>
          </w:p>
        </w:tc>
        <w:tc>
          <w:tcPr>
            <w:tcW w:w="571" w:type="pct"/>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237ACEA3" w14:textId="77777777" w:rsidR="00430F9E" w:rsidRPr="000B1A75" w:rsidRDefault="00430F9E" w:rsidP="00B77608">
            <w:pPr>
              <w:spacing w:after="0" w:line="240" w:lineRule="auto"/>
              <w:jc w:val="right"/>
              <w:rPr>
                <w:sz w:val="18"/>
              </w:rPr>
            </w:pPr>
            <w:r w:rsidRPr="000B1A75">
              <w:rPr>
                <w:sz w:val="18"/>
              </w:rPr>
              <w:t>14 663 990</w:t>
            </w:r>
          </w:p>
        </w:tc>
        <w:tc>
          <w:tcPr>
            <w:tcW w:w="583" w:type="pct"/>
            <w:tcBorders>
              <w:top w:val="single" w:sz="8" w:space="0" w:color="auto"/>
              <w:left w:val="nil"/>
              <w:bottom w:val="single" w:sz="4" w:space="0" w:color="auto"/>
              <w:right w:val="single" w:sz="8" w:space="0" w:color="auto"/>
            </w:tcBorders>
            <w:shd w:val="clear" w:color="auto" w:fill="auto"/>
            <w:noWrap/>
            <w:vAlign w:val="bottom"/>
            <w:hideMark/>
          </w:tcPr>
          <w:p w14:paraId="39560F58" w14:textId="77777777" w:rsidR="00430F9E" w:rsidRPr="000B1A75" w:rsidRDefault="00430F9E" w:rsidP="00B77608">
            <w:pPr>
              <w:spacing w:after="0" w:line="240" w:lineRule="auto"/>
              <w:jc w:val="right"/>
              <w:rPr>
                <w:sz w:val="18"/>
              </w:rPr>
            </w:pPr>
            <w:r w:rsidRPr="000B1A75">
              <w:rPr>
                <w:sz w:val="18"/>
              </w:rPr>
              <w:t>15 470 510</w:t>
            </w:r>
          </w:p>
        </w:tc>
        <w:tc>
          <w:tcPr>
            <w:tcW w:w="633" w:type="pct"/>
            <w:tcBorders>
              <w:top w:val="single" w:sz="8" w:space="0" w:color="auto"/>
              <w:left w:val="nil"/>
              <w:bottom w:val="single" w:sz="4" w:space="0" w:color="auto"/>
              <w:right w:val="single" w:sz="8" w:space="0" w:color="auto"/>
            </w:tcBorders>
            <w:shd w:val="clear" w:color="auto" w:fill="auto"/>
            <w:noWrap/>
            <w:vAlign w:val="bottom"/>
            <w:hideMark/>
          </w:tcPr>
          <w:p w14:paraId="35976B6D" w14:textId="77777777" w:rsidR="00430F9E" w:rsidRPr="000B1A75" w:rsidRDefault="00430F9E" w:rsidP="00B77608">
            <w:pPr>
              <w:spacing w:after="0" w:line="240" w:lineRule="auto"/>
              <w:jc w:val="right"/>
              <w:rPr>
                <w:sz w:val="18"/>
              </w:rPr>
            </w:pPr>
            <w:r w:rsidRPr="000B1A75">
              <w:rPr>
                <w:sz w:val="18"/>
              </w:rPr>
              <w:t>16 321 390</w:t>
            </w:r>
          </w:p>
        </w:tc>
      </w:tr>
      <w:tr w:rsidR="00430F9E" w:rsidRPr="00264FBE" w14:paraId="5CDCABAB" w14:textId="77777777" w:rsidTr="00BE05EA">
        <w:trPr>
          <w:trHeight w:val="226"/>
          <w:jc w:val="center"/>
        </w:trPr>
        <w:tc>
          <w:tcPr>
            <w:tcW w:w="783" w:type="pct"/>
            <w:tcBorders>
              <w:top w:val="single" w:sz="4" w:space="0" w:color="auto"/>
              <w:left w:val="single" w:sz="8" w:space="0" w:color="auto"/>
              <w:bottom w:val="nil"/>
              <w:right w:val="nil"/>
            </w:tcBorders>
            <w:shd w:val="clear" w:color="auto" w:fill="auto"/>
            <w:noWrap/>
            <w:vAlign w:val="bottom"/>
            <w:hideMark/>
          </w:tcPr>
          <w:p w14:paraId="7A8B67C4" w14:textId="77777777" w:rsidR="00430F9E" w:rsidRPr="000B1A75" w:rsidRDefault="00430F9E" w:rsidP="00B77608">
            <w:pPr>
              <w:spacing w:after="0" w:line="240" w:lineRule="auto"/>
              <w:rPr>
                <w:sz w:val="18"/>
              </w:rPr>
            </w:pPr>
            <w:r w:rsidRPr="000B1A75">
              <w:rPr>
                <w:sz w:val="18"/>
              </w:rPr>
              <w:t xml:space="preserve">GRANTS: </w:t>
            </w:r>
          </w:p>
        </w:tc>
        <w:tc>
          <w:tcPr>
            <w:tcW w:w="1144" w:type="pct"/>
            <w:tcBorders>
              <w:top w:val="single" w:sz="4" w:space="0" w:color="auto"/>
              <w:left w:val="single" w:sz="8" w:space="0" w:color="auto"/>
              <w:bottom w:val="nil"/>
              <w:right w:val="single" w:sz="8" w:space="0" w:color="auto"/>
            </w:tcBorders>
            <w:shd w:val="clear" w:color="auto" w:fill="auto"/>
            <w:noWrap/>
            <w:vAlign w:val="bottom"/>
            <w:hideMark/>
          </w:tcPr>
          <w:p w14:paraId="5118B49A" w14:textId="77777777" w:rsidR="00430F9E" w:rsidRPr="000B1A75" w:rsidRDefault="00430F9E" w:rsidP="00B77608">
            <w:pPr>
              <w:spacing w:after="0" w:line="240" w:lineRule="auto"/>
              <w:rPr>
                <w:sz w:val="18"/>
              </w:rPr>
            </w:pPr>
            <w:r w:rsidRPr="000B1A75">
              <w:rPr>
                <w:sz w:val="18"/>
              </w:rPr>
              <w:t>MUNICIPAL</w:t>
            </w:r>
          </w:p>
        </w:tc>
        <w:tc>
          <w:tcPr>
            <w:tcW w:w="715" w:type="pct"/>
            <w:tcBorders>
              <w:top w:val="single" w:sz="4" w:space="0" w:color="auto"/>
              <w:left w:val="nil"/>
              <w:bottom w:val="nil"/>
              <w:right w:val="single" w:sz="8" w:space="0" w:color="auto"/>
            </w:tcBorders>
            <w:shd w:val="clear" w:color="auto" w:fill="auto"/>
            <w:noWrap/>
            <w:vAlign w:val="bottom"/>
            <w:hideMark/>
          </w:tcPr>
          <w:p w14:paraId="3BD54F16" w14:textId="77777777" w:rsidR="00430F9E" w:rsidRPr="000B1A75" w:rsidRDefault="00430F9E" w:rsidP="00B77608">
            <w:pPr>
              <w:spacing w:after="0" w:line="240" w:lineRule="auto"/>
              <w:rPr>
                <w:sz w:val="18"/>
              </w:rPr>
            </w:pPr>
            <w:r w:rsidRPr="000B1A75">
              <w:rPr>
                <w:sz w:val="18"/>
              </w:rPr>
              <w:t> </w:t>
            </w:r>
          </w:p>
        </w:tc>
        <w:tc>
          <w:tcPr>
            <w:tcW w:w="571" w:type="pct"/>
            <w:tcBorders>
              <w:top w:val="single" w:sz="4" w:space="0" w:color="auto"/>
              <w:left w:val="nil"/>
              <w:bottom w:val="nil"/>
              <w:right w:val="nil"/>
            </w:tcBorders>
            <w:shd w:val="clear" w:color="auto" w:fill="auto"/>
            <w:noWrap/>
            <w:vAlign w:val="bottom"/>
            <w:hideMark/>
          </w:tcPr>
          <w:p w14:paraId="0147E25A" w14:textId="77777777" w:rsidR="00430F9E" w:rsidRPr="000B1A75" w:rsidRDefault="00430F9E" w:rsidP="00B77608">
            <w:pPr>
              <w:spacing w:after="0" w:line="240" w:lineRule="auto"/>
              <w:rPr>
                <w:sz w:val="18"/>
              </w:rPr>
            </w:pPr>
            <w:r w:rsidRPr="000B1A75">
              <w:rPr>
                <w:sz w:val="18"/>
              </w:rPr>
              <w:t> </w:t>
            </w:r>
          </w:p>
        </w:tc>
        <w:tc>
          <w:tcPr>
            <w:tcW w:w="571" w:type="pct"/>
            <w:tcBorders>
              <w:top w:val="single" w:sz="4" w:space="0" w:color="auto"/>
              <w:left w:val="single" w:sz="8" w:space="0" w:color="auto"/>
              <w:bottom w:val="nil"/>
              <w:right w:val="single" w:sz="8" w:space="0" w:color="auto"/>
            </w:tcBorders>
            <w:shd w:val="clear" w:color="auto" w:fill="auto"/>
            <w:noWrap/>
            <w:vAlign w:val="bottom"/>
            <w:hideMark/>
          </w:tcPr>
          <w:p w14:paraId="3DC344A0" w14:textId="77777777" w:rsidR="00430F9E" w:rsidRPr="000B1A75" w:rsidRDefault="00430F9E" w:rsidP="00B77608">
            <w:pPr>
              <w:spacing w:after="0" w:line="240" w:lineRule="auto"/>
              <w:rPr>
                <w:sz w:val="18"/>
              </w:rPr>
            </w:pPr>
            <w:r w:rsidRPr="000B1A75">
              <w:rPr>
                <w:sz w:val="18"/>
              </w:rPr>
              <w:t> </w:t>
            </w:r>
          </w:p>
        </w:tc>
        <w:tc>
          <w:tcPr>
            <w:tcW w:w="583" w:type="pct"/>
            <w:tcBorders>
              <w:top w:val="single" w:sz="4" w:space="0" w:color="auto"/>
              <w:left w:val="nil"/>
              <w:bottom w:val="nil"/>
              <w:right w:val="single" w:sz="8" w:space="0" w:color="auto"/>
            </w:tcBorders>
            <w:shd w:val="clear" w:color="auto" w:fill="auto"/>
            <w:noWrap/>
            <w:vAlign w:val="bottom"/>
            <w:hideMark/>
          </w:tcPr>
          <w:p w14:paraId="072C953B" w14:textId="77777777" w:rsidR="00430F9E" w:rsidRPr="000B1A75" w:rsidRDefault="00430F9E" w:rsidP="00B77608">
            <w:pPr>
              <w:spacing w:after="0" w:line="240" w:lineRule="auto"/>
              <w:rPr>
                <w:sz w:val="18"/>
              </w:rPr>
            </w:pPr>
            <w:r w:rsidRPr="000B1A75">
              <w:rPr>
                <w:sz w:val="18"/>
              </w:rPr>
              <w:t> </w:t>
            </w:r>
          </w:p>
        </w:tc>
        <w:tc>
          <w:tcPr>
            <w:tcW w:w="633" w:type="pct"/>
            <w:tcBorders>
              <w:top w:val="single" w:sz="4" w:space="0" w:color="auto"/>
              <w:left w:val="nil"/>
              <w:bottom w:val="nil"/>
              <w:right w:val="single" w:sz="8" w:space="0" w:color="auto"/>
            </w:tcBorders>
            <w:shd w:val="clear" w:color="auto" w:fill="auto"/>
            <w:noWrap/>
            <w:vAlign w:val="bottom"/>
            <w:hideMark/>
          </w:tcPr>
          <w:p w14:paraId="5465B4FA" w14:textId="77777777" w:rsidR="00430F9E" w:rsidRPr="000B1A75" w:rsidRDefault="00430F9E" w:rsidP="00B77608">
            <w:pPr>
              <w:spacing w:after="0" w:line="240" w:lineRule="auto"/>
              <w:rPr>
                <w:sz w:val="18"/>
              </w:rPr>
            </w:pPr>
            <w:r w:rsidRPr="000B1A75">
              <w:rPr>
                <w:sz w:val="18"/>
              </w:rPr>
              <w:t> </w:t>
            </w:r>
          </w:p>
        </w:tc>
      </w:tr>
      <w:tr w:rsidR="00430F9E" w:rsidRPr="00264FBE" w14:paraId="37CDFA52" w14:textId="77777777" w:rsidTr="00BE05EA">
        <w:trPr>
          <w:trHeight w:val="226"/>
          <w:jc w:val="center"/>
        </w:trPr>
        <w:tc>
          <w:tcPr>
            <w:tcW w:w="783" w:type="pct"/>
            <w:vMerge w:val="restart"/>
            <w:tcBorders>
              <w:top w:val="nil"/>
              <w:left w:val="single" w:sz="8" w:space="0" w:color="auto"/>
              <w:right w:val="nil"/>
            </w:tcBorders>
            <w:shd w:val="clear" w:color="auto" w:fill="auto"/>
            <w:noWrap/>
            <w:vAlign w:val="bottom"/>
            <w:hideMark/>
          </w:tcPr>
          <w:p w14:paraId="18B29897" w14:textId="77777777" w:rsidR="00430F9E" w:rsidRPr="000B1A75" w:rsidRDefault="00430F9E" w:rsidP="00B77608">
            <w:pPr>
              <w:spacing w:after="0" w:line="240" w:lineRule="auto"/>
              <w:rPr>
                <w:sz w:val="18"/>
              </w:rPr>
            </w:pPr>
            <w:r w:rsidRPr="000B1A75">
              <w:rPr>
                <w:sz w:val="18"/>
              </w:rPr>
              <w:t> </w:t>
            </w:r>
          </w:p>
          <w:p w14:paraId="169487B0" w14:textId="77777777" w:rsidR="00430F9E" w:rsidRPr="000B1A75" w:rsidRDefault="00430F9E" w:rsidP="00B77608">
            <w:pPr>
              <w:spacing w:after="0" w:line="240" w:lineRule="auto"/>
              <w:rPr>
                <w:sz w:val="18"/>
              </w:rPr>
            </w:pPr>
            <w:r w:rsidRPr="000B1A75">
              <w:rPr>
                <w:sz w:val="18"/>
              </w:rPr>
              <w:t> </w:t>
            </w:r>
          </w:p>
          <w:p w14:paraId="5B263291" w14:textId="77777777" w:rsidR="00430F9E" w:rsidRPr="000B1A75" w:rsidRDefault="00430F9E" w:rsidP="00B77608">
            <w:pPr>
              <w:spacing w:after="0" w:line="240" w:lineRule="auto"/>
              <w:rPr>
                <w:sz w:val="18"/>
              </w:rPr>
            </w:pPr>
            <w:r w:rsidRPr="000B1A75">
              <w:rPr>
                <w:sz w:val="18"/>
              </w:rPr>
              <w:t> </w:t>
            </w:r>
          </w:p>
          <w:p w14:paraId="636ED764" w14:textId="77777777" w:rsidR="00430F9E" w:rsidRPr="000B1A75" w:rsidRDefault="00430F9E" w:rsidP="00B77608">
            <w:pPr>
              <w:spacing w:after="0" w:line="240" w:lineRule="auto"/>
              <w:rPr>
                <w:sz w:val="18"/>
              </w:rPr>
            </w:pPr>
            <w:r w:rsidRPr="000B1A75">
              <w:rPr>
                <w:sz w:val="18"/>
              </w:rPr>
              <w:t> </w:t>
            </w:r>
          </w:p>
          <w:p w14:paraId="2E49F4B1" w14:textId="77777777" w:rsidR="00430F9E" w:rsidRPr="000B1A75" w:rsidRDefault="00430F9E" w:rsidP="00B77608">
            <w:pPr>
              <w:spacing w:after="0" w:line="240" w:lineRule="auto"/>
              <w:rPr>
                <w:sz w:val="18"/>
              </w:rPr>
            </w:pPr>
            <w:r w:rsidRPr="000B1A75">
              <w:rPr>
                <w:sz w:val="18"/>
              </w:rPr>
              <w:t> </w:t>
            </w:r>
          </w:p>
        </w:tc>
        <w:tc>
          <w:tcPr>
            <w:tcW w:w="1144" w:type="pct"/>
            <w:tcBorders>
              <w:top w:val="nil"/>
              <w:left w:val="single" w:sz="8" w:space="0" w:color="auto"/>
              <w:bottom w:val="single" w:sz="4" w:space="0" w:color="auto"/>
              <w:right w:val="single" w:sz="8" w:space="0" w:color="auto"/>
            </w:tcBorders>
            <w:shd w:val="clear" w:color="auto" w:fill="auto"/>
            <w:noWrap/>
            <w:vAlign w:val="bottom"/>
            <w:hideMark/>
          </w:tcPr>
          <w:p w14:paraId="663CEA36" w14:textId="77777777" w:rsidR="00430F9E" w:rsidRPr="000B1A75" w:rsidRDefault="00430F9E" w:rsidP="00B77608">
            <w:pPr>
              <w:spacing w:after="0" w:line="240" w:lineRule="auto"/>
              <w:rPr>
                <w:sz w:val="18"/>
              </w:rPr>
            </w:pPr>
            <w:r w:rsidRPr="000B1A75">
              <w:rPr>
                <w:sz w:val="18"/>
              </w:rPr>
              <w:t>INFRASTRUCTURE GRANT (MIG)</w:t>
            </w:r>
          </w:p>
        </w:tc>
        <w:tc>
          <w:tcPr>
            <w:tcW w:w="715" w:type="pct"/>
            <w:tcBorders>
              <w:top w:val="nil"/>
              <w:left w:val="nil"/>
              <w:bottom w:val="single" w:sz="4" w:space="0" w:color="auto"/>
              <w:right w:val="single" w:sz="8" w:space="0" w:color="auto"/>
            </w:tcBorders>
            <w:shd w:val="clear" w:color="auto" w:fill="auto"/>
            <w:noWrap/>
            <w:vAlign w:val="bottom"/>
            <w:hideMark/>
          </w:tcPr>
          <w:p w14:paraId="49F2177F" w14:textId="77777777" w:rsidR="00430F9E" w:rsidRPr="000B1A75" w:rsidRDefault="00430F9E" w:rsidP="00B77608">
            <w:pPr>
              <w:spacing w:after="0" w:line="240" w:lineRule="auto"/>
              <w:jc w:val="center"/>
              <w:rPr>
                <w:sz w:val="18"/>
              </w:rPr>
            </w:pPr>
            <w:r w:rsidRPr="000B1A75">
              <w:rPr>
                <w:sz w:val="18"/>
              </w:rPr>
              <w:t>48 108 000</w:t>
            </w:r>
          </w:p>
        </w:tc>
        <w:tc>
          <w:tcPr>
            <w:tcW w:w="571" w:type="pct"/>
            <w:tcBorders>
              <w:top w:val="nil"/>
              <w:left w:val="nil"/>
              <w:bottom w:val="single" w:sz="4" w:space="0" w:color="auto"/>
              <w:right w:val="nil"/>
            </w:tcBorders>
            <w:shd w:val="clear" w:color="auto" w:fill="auto"/>
            <w:noWrap/>
            <w:vAlign w:val="bottom"/>
            <w:hideMark/>
          </w:tcPr>
          <w:p w14:paraId="677C42F8" w14:textId="77777777" w:rsidR="00430F9E" w:rsidRPr="000B1A75" w:rsidRDefault="00430F9E" w:rsidP="00B77608">
            <w:pPr>
              <w:spacing w:after="0" w:line="240" w:lineRule="auto"/>
              <w:jc w:val="center"/>
              <w:rPr>
                <w:sz w:val="18"/>
              </w:rPr>
            </w:pPr>
            <w:r w:rsidRPr="000B1A75">
              <w:rPr>
                <w:sz w:val="18"/>
              </w:rPr>
              <w:t>39 380 000</w:t>
            </w:r>
          </w:p>
        </w:tc>
        <w:tc>
          <w:tcPr>
            <w:tcW w:w="571" w:type="pct"/>
            <w:tcBorders>
              <w:top w:val="nil"/>
              <w:left w:val="single" w:sz="8" w:space="0" w:color="auto"/>
              <w:bottom w:val="single" w:sz="4" w:space="0" w:color="auto"/>
              <w:right w:val="single" w:sz="8" w:space="0" w:color="auto"/>
            </w:tcBorders>
            <w:shd w:val="clear" w:color="auto" w:fill="auto"/>
            <w:noWrap/>
            <w:vAlign w:val="bottom"/>
            <w:hideMark/>
          </w:tcPr>
          <w:p w14:paraId="25220A26" w14:textId="77777777" w:rsidR="00430F9E" w:rsidRPr="000B1A75" w:rsidRDefault="00430F9E" w:rsidP="00B77608">
            <w:pPr>
              <w:spacing w:after="0" w:line="240" w:lineRule="auto"/>
              <w:jc w:val="center"/>
              <w:rPr>
                <w:sz w:val="18"/>
              </w:rPr>
            </w:pPr>
            <w:r w:rsidRPr="000B1A75">
              <w:rPr>
                <w:sz w:val="18"/>
              </w:rPr>
              <w:t>41 465 000</w:t>
            </w:r>
          </w:p>
        </w:tc>
        <w:tc>
          <w:tcPr>
            <w:tcW w:w="583" w:type="pct"/>
            <w:tcBorders>
              <w:top w:val="nil"/>
              <w:left w:val="nil"/>
              <w:bottom w:val="single" w:sz="4" w:space="0" w:color="auto"/>
              <w:right w:val="single" w:sz="8" w:space="0" w:color="auto"/>
            </w:tcBorders>
            <w:shd w:val="clear" w:color="auto" w:fill="auto"/>
            <w:noWrap/>
            <w:vAlign w:val="bottom"/>
            <w:hideMark/>
          </w:tcPr>
          <w:p w14:paraId="25EC166B" w14:textId="77777777" w:rsidR="00430F9E" w:rsidRPr="000B1A75" w:rsidRDefault="00430F9E" w:rsidP="00B77608">
            <w:pPr>
              <w:spacing w:after="0" w:line="240" w:lineRule="auto"/>
              <w:jc w:val="center"/>
              <w:rPr>
                <w:sz w:val="18"/>
              </w:rPr>
            </w:pPr>
            <w:r w:rsidRPr="000B1A75">
              <w:rPr>
                <w:sz w:val="18"/>
              </w:rPr>
              <w:t>43 750 830</w:t>
            </w:r>
          </w:p>
        </w:tc>
        <w:tc>
          <w:tcPr>
            <w:tcW w:w="633" w:type="pct"/>
            <w:tcBorders>
              <w:top w:val="nil"/>
              <w:left w:val="nil"/>
              <w:bottom w:val="single" w:sz="4" w:space="0" w:color="auto"/>
              <w:right w:val="single" w:sz="8" w:space="0" w:color="auto"/>
            </w:tcBorders>
            <w:shd w:val="clear" w:color="auto" w:fill="auto"/>
            <w:noWrap/>
            <w:vAlign w:val="bottom"/>
            <w:hideMark/>
          </w:tcPr>
          <w:p w14:paraId="6D24CCB4" w14:textId="77777777" w:rsidR="00430F9E" w:rsidRPr="000B1A75" w:rsidRDefault="00430F9E" w:rsidP="00B77608">
            <w:pPr>
              <w:spacing w:after="0" w:line="240" w:lineRule="auto"/>
              <w:jc w:val="center"/>
              <w:rPr>
                <w:sz w:val="18"/>
              </w:rPr>
            </w:pPr>
            <w:r w:rsidRPr="000B1A75">
              <w:rPr>
                <w:sz w:val="18"/>
              </w:rPr>
              <w:t>46 200 000</w:t>
            </w:r>
          </w:p>
        </w:tc>
      </w:tr>
      <w:tr w:rsidR="00430F9E" w:rsidRPr="00264FBE" w14:paraId="78C2773B" w14:textId="77777777" w:rsidTr="00BE05EA">
        <w:trPr>
          <w:trHeight w:val="226"/>
          <w:jc w:val="center"/>
        </w:trPr>
        <w:tc>
          <w:tcPr>
            <w:tcW w:w="783" w:type="pct"/>
            <w:vMerge/>
            <w:tcBorders>
              <w:left w:val="single" w:sz="8" w:space="0" w:color="auto"/>
              <w:right w:val="nil"/>
            </w:tcBorders>
            <w:shd w:val="clear" w:color="auto" w:fill="auto"/>
            <w:noWrap/>
            <w:vAlign w:val="bottom"/>
            <w:hideMark/>
          </w:tcPr>
          <w:p w14:paraId="7408E90A" w14:textId="77777777" w:rsidR="00430F9E" w:rsidRPr="000B1A75" w:rsidRDefault="00430F9E" w:rsidP="00B77608">
            <w:pPr>
              <w:spacing w:after="0" w:line="240" w:lineRule="auto"/>
              <w:rPr>
                <w:sz w:val="18"/>
              </w:rPr>
            </w:pPr>
          </w:p>
        </w:tc>
        <w:tc>
          <w:tcPr>
            <w:tcW w:w="1144" w:type="pct"/>
            <w:tcBorders>
              <w:top w:val="single" w:sz="4" w:space="0" w:color="auto"/>
              <w:left w:val="single" w:sz="8" w:space="0" w:color="auto"/>
              <w:bottom w:val="nil"/>
              <w:right w:val="single" w:sz="8" w:space="0" w:color="auto"/>
            </w:tcBorders>
            <w:shd w:val="clear" w:color="auto" w:fill="auto"/>
            <w:noWrap/>
            <w:vAlign w:val="bottom"/>
            <w:hideMark/>
          </w:tcPr>
          <w:p w14:paraId="14E108E4" w14:textId="77777777" w:rsidR="00430F9E" w:rsidRPr="000B1A75" w:rsidRDefault="00430F9E" w:rsidP="00B77608">
            <w:pPr>
              <w:spacing w:after="0" w:line="240" w:lineRule="auto"/>
              <w:rPr>
                <w:sz w:val="18"/>
              </w:rPr>
            </w:pPr>
            <w:r w:rsidRPr="000B1A75">
              <w:rPr>
                <w:sz w:val="18"/>
              </w:rPr>
              <w:t>MUNICIPAL SYSTEMS</w:t>
            </w:r>
          </w:p>
        </w:tc>
        <w:tc>
          <w:tcPr>
            <w:tcW w:w="715" w:type="pct"/>
            <w:tcBorders>
              <w:top w:val="single" w:sz="4" w:space="0" w:color="auto"/>
              <w:left w:val="nil"/>
              <w:bottom w:val="nil"/>
              <w:right w:val="single" w:sz="8" w:space="0" w:color="auto"/>
            </w:tcBorders>
            <w:shd w:val="clear" w:color="auto" w:fill="auto"/>
            <w:noWrap/>
            <w:vAlign w:val="bottom"/>
            <w:hideMark/>
          </w:tcPr>
          <w:p w14:paraId="181EC7CE" w14:textId="77777777" w:rsidR="00430F9E" w:rsidRPr="000B1A75" w:rsidRDefault="00430F9E" w:rsidP="00B77608">
            <w:pPr>
              <w:spacing w:after="0" w:line="240" w:lineRule="auto"/>
              <w:jc w:val="center"/>
              <w:rPr>
                <w:sz w:val="18"/>
              </w:rPr>
            </w:pPr>
          </w:p>
        </w:tc>
        <w:tc>
          <w:tcPr>
            <w:tcW w:w="571" w:type="pct"/>
            <w:tcBorders>
              <w:top w:val="single" w:sz="4" w:space="0" w:color="auto"/>
              <w:left w:val="nil"/>
              <w:bottom w:val="nil"/>
              <w:right w:val="nil"/>
            </w:tcBorders>
            <w:shd w:val="clear" w:color="auto" w:fill="auto"/>
            <w:noWrap/>
            <w:vAlign w:val="bottom"/>
            <w:hideMark/>
          </w:tcPr>
          <w:p w14:paraId="6FE3ED6B" w14:textId="77777777" w:rsidR="00430F9E" w:rsidRPr="000B1A75" w:rsidRDefault="00430F9E" w:rsidP="00B77608">
            <w:pPr>
              <w:spacing w:after="0" w:line="240" w:lineRule="auto"/>
              <w:jc w:val="center"/>
              <w:rPr>
                <w:sz w:val="18"/>
              </w:rPr>
            </w:pPr>
          </w:p>
        </w:tc>
        <w:tc>
          <w:tcPr>
            <w:tcW w:w="571" w:type="pct"/>
            <w:tcBorders>
              <w:top w:val="single" w:sz="4" w:space="0" w:color="auto"/>
              <w:left w:val="single" w:sz="8" w:space="0" w:color="auto"/>
              <w:bottom w:val="nil"/>
              <w:right w:val="single" w:sz="8" w:space="0" w:color="auto"/>
            </w:tcBorders>
            <w:shd w:val="clear" w:color="auto" w:fill="auto"/>
            <w:noWrap/>
            <w:vAlign w:val="bottom"/>
            <w:hideMark/>
          </w:tcPr>
          <w:p w14:paraId="16181BEF" w14:textId="77777777" w:rsidR="00430F9E" w:rsidRPr="000B1A75" w:rsidRDefault="00430F9E" w:rsidP="00B77608">
            <w:pPr>
              <w:spacing w:after="0" w:line="240" w:lineRule="auto"/>
              <w:jc w:val="center"/>
              <w:rPr>
                <w:sz w:val="18"/>
              </w:rPr>
            </w:pPr>
          </w:p>
        </w:tc>
        <w:tc>
          <w:tcPr>
            <w:tcW w:w="583" w:type="pct"/>
            <w:tcBorders>
              <w:top w:val="single" w:sz="4" w:space="0" w:color="auto"/>
              <w:left w:val="nil"/>
              <w:bottom w:val="nil"/>
              <w:right w:val="single" w:sz="8" w:space="0" w:color="auto"/>
            </w:tcBorders>
            <w:shd w:val="clear" w:color="auto" w:fill="auto"/>
            <w:noWrap/>
            <w:vAlign w:val="bottom"/>
            <w:hideMark/>
          </w:tcPr>
          <w:p w14:paraId="35F44F41" w14:textId="77777777" w:rsidR="00430F9E" w:rsidRPr="000B1A75" w:rsidRDefault="00430F9E" w:rsidP="00B77608">
            <w:pPr>
              <w:spacing w:after="0" w:line="240" w:lineRule="auto"/>
              <w:jc w:val="center"/>
              <w:rPr>
                <w:sz w:val="18"/>
              </w:rPr>
            </w:pPr>
          </w:p>
        </w:tc>
        <w:tc>
          <w:tcPr>
            <w:tcW w:w="633" w:type="pct"/>
            <w:tcBorders>
              <w:top w:val="single" w:sz="4" w:space="0" w:color="auto"/>
              <w:left w:val="nil"/>
              <w:bottom w:val="nil"/>
              <w:right w:val="single" w:sz="8" w:space="0" w:color="auto"/>
            </w:tcBorders>
            <w:shd w:val="clear" w:color="auto" w:fill="auto"/>
            <w:noWrap/>
            <w:vAlign w:val="bottom"/>
            <w:hideMark/>
          </w:tcPr>
          <w:p w14:paraId="789149A0" w14:textId="77777777" w:rsidR="00430F9E" w:rsidRPr="000B1A75" w:rsidRDefault="00430F9E" w:rsidP="00B77608">
            <w:pPr>
              <w:spacing w:after="0" w:line="240" w:lineRule="auto"/>
              <w:jc w:val="center"/>
              <w:rPr>
                <w:sz w:val="18"/>
              </w:rPr>
            </w:pPr>
          </w:p>
        </w:tc>
      </w:tr>
      <w:tr w:rsidR="00430F9E" w:rsidRPr="00264FBE" w14:paraId="6AF33350" w14:textId="77777777" w:rsidTr="00BE05EA">
        <w:trPr>
          <w:trHeight w:val="226"/>
          <w:jc w:val="center"/>
        </w:trPr>
        <w:tc>
          <w:tcPr>
            <w:tcW w:w="783" w:type="pct"/>
            <w:vMerge/>
            <w:tcBorders>
              <w:left w:val="single" w:sz="8" w:space="0" w:color="auto"/>
              <w:right w:val="nil"/>
            </w:tcBorders>
            <w:shd w:val="clear" w:color="auto" w:fill="auto"/>
            <w:noWrap/>
            <w:vAlign w:val="bottom"/>
            <w:hideMark/>
          </w:tcPr>
          <w:p w14:paraId="5765193A" w14:textId="77777777" w:rsidR="00430F9E" w:rsidRPr="000B1A75" w:rsidRDefault="00430F9E" w:rsidP="00B77608">
            <w:pPr>
              <w:spacing w:after="0" w:line="240" w:lineRule="auto"/>
              <w:rPr>
                <w:sz w:val="18"/>
              </w:rPr>
            </w:pPr>
          </w:p>
        </w:tc>
        <w:tc>
          <w:tcPr>
            <w:tcW w:w="1144" w:type="pct"/>
            <w:tcBorders>
              <w:top w:val="nil"/>
              <w:left w:val="single" w:sz="8" w:space="0" w:color="auto"/>
              <w:bottom w:val="nil"/>
              <w:right w:val="single" w:sz="8" w:space="0" w:color="auto"/>
            </w:tcBorders>
            <w:shd w:val="clear" w:color="auto" w:fill="auto"/>
            <w:noWrap/>
            <w:vAlign w:val="bottom"/>
            <w:hideMark/>
          </w:tcPr>
          <w:p w14:paraId="5C85BD94" w14:textId="77777777" w:rsidR="00430F9E" w:rsidRPr="000B1A75" w:rsidRDefault="00430F9E" w:rsidP="00B77608">
            <w:pPr>
              <w:spacing w:after="0" w:line="240" w:lineRule="auto"/>
              <w:rPr>
                <w:sz w:val="18"/>
              </w:rPr>
            </w:pPr>
            <w:r w:rsidRPr="000B1A75">
              <w:rPr>
                <w:sz w:val="18"/>
              </w:rPr>
              <w:t>IMPROVEMENT GRANT (MSIG)</w:t>
            </w:r>
          </w:p>
        </w:tc>
        <w:tc>
          <w:tcPr>
            <w:tcW w:w="715" w:type="pct"/>
            <w:tcBorders>
              <w:top w:val="nil"/>
              <w:left w:val="nil"/>
              <w:bottom w:val="nil"/>
              <w:right w:val="single" w:sz="8" w:space="0" w:color="auto"/>
            </w:tcBorders>
            <w:shd w:val="clear" w:color="auto" w:fill="auto"/>
            <w:noWrap/>
            <w:vAlign w:val="bottom"/>
            <w:hideMark/>
          </w:tcPr>
          <w:p w14:paraId="11C6CC1B" w14:textId="77777777" w:rsidR="00430F9E" w:rsidRPr="000B1A75" w:rsidRDefault="00430F9E" w:rsidP="00B77608">
            <w:pPr>
              <w:spacing w:after="0" w:line="240" w:lineRule="auto"/>
              <w:jc w:val="center"/>
              <w:rPr>
                <w:sz w:val="18"/>
              </w:rPr>
            </w:pPr>
            <w:r w:rsidRPr="000B1A75">
              <w:rPr>
                <w:sz w:val="18"/>
              </w:rPr>
              <w:t>1 080 000</w:t>
            </w:r>
          </w:p>
        </w:tc>
        <w:tc>
          <w:tcPr>
            <w:tcW w:w="571" w:type="pct"/>
            <w:tcBorders>
              <w:top w:val="nil"/>
              <w:left w:val="nil"/>
              <w:bottom w:val="nil"/>
              <w:right w:val="nil"/>
            </w:tcBorders>
            <w:shd w:val="clear" w:color="auto" w:fill="auto"/>
            <w:noWrap/>
            <w:vAlign w:val="bottom"/>
            <w:hideMark/>
          </w:tcPr>
          <w:p w14:paraId="1290EC85" w14:textId="77777777" w:rsidR="00430F9E" w:rsidRPr="000B1A75" w:rsidRDefault="00430F9E" w:rsidP="00B77608">
            <w:pPr>
              <w:spacing w:after="0" w:line="240" w:lineRule="auto"/>
              <w:jc w:val="center"/>
              <w:rPr>
                <w:sz w:val="18"/>
              </w:rPr>
            </w:pPr>
            <w:r w:rsidRPr="000B1A75">
              <w:rPr>
                <w:sz w:val="18"/>
              </w:rPr>
              <w:t>500 000</w:t>
            </w:r>
          </w:p>
        </w:tc>
        <w:tc>
          <w:tcPr>
            <w:tcW w:w="571" w:type="pct"/>
            <w:tcBorders>
              <w:top w:val="nil"/>
              <w:left w:val="single" w:sz="8" w:space="0" w:color="auto"/>
              <w:bottom w:val="nil"/>
              <w:right w:val="single" w:sz="8" w:space="0" w:color="auto"/>
            </w:tcBorders>
            <w:shd w:val="clear" w:color="auto" w:fill="auto"/>
            <w:noWrap/>
            <w:vAlign w:val="bottom"/>
            <w:hideMark/>
          </w:tcPr>
          <w:p w14:paraId="5CCE7372" w14:textId="77777777" w:rsidR="00430F9E" w:rsidRPr="000B1A75" w:rsidRDefault="00430F9E" w:rsidP="00B77608">
            <w:pPr>
              <w:spacing w:after="0" w:line="240" w:lineRule="auto"/>
              <w:jc w:val="center"/>
              <w:rPr>
                <w:sz w:val="18"/>
              </w:rPr>
            </w:pPr>
            <w:r w:rsidRPr="000B1A75">
              <w:rPr>
                <w:sz w:val="18"/>
              </w:rPr>
              <w:t>500 000</w:t>
            </w:r>
          </w:p>
        </w:tc>
        <w:tc>
          <w:tcPr>
            <w:tcW w:w="583" w:type="pct"/>
            <w:tcBorders>
              <w:top w:val="nil"/>
              <w:left w:val="nil"/>
              <w:bottom w:val="nil"/>
              <w:right w:val="single" w:sz="8" w:space="0" w:color="auto"/>
            </w:tcBorders>
            <w:shd w:val="clear" w:color="auto" w:fill="auto"/>
            <w:noWrap/>
            <w:vAlign w:val="bottom"/>
            <w:hideMark/>
          </w:tcPr>
          <w:p w14:paraId="772FC10A" w14:textId="77777777" w:rsidR="00430F9E" w:rsidRPr="000B1A75" w:rsidRDefault="00430F9E" w:rsidP="00B77608">
            <w:pPr>
              <w:spacing w:after="0" w:line="240" w:lineRule="auto"/>
              <w:jc w:val="center"/>
              <w:rPr>
                <w:sz w:val="18"/>
              </w:rPr>
            </w:pPr>
          </w:p>
        </w:tc>
        <w:tc>
          <w:tcPr>
            <w:tcW w:w="633" w:type="pct"/>
            <w:tcBorders>
              <w:top w:val="nil"/>
              <w:left w:val="nil"/>
              <w:bottom w:val="nil"/>
              <w:right w:val="single" w:sz="8" w:space="0" w:color="auto"/>
            </w:tcBorders>
            <w:shd w:val="clear" w:color="auto" w:fill="auto"/>
            <w:noWrap/>
            <w:vAlign w:val="bottom"/>
            <w:hideMark/>
          </w:tcPr>
          <w:p w14:paraId="7E0D9AA9" w14:textId="77777777" w:rsidR="00430F9E" w:rsidRPr="000B1A75" w:rsidRDefault="00430F9E" w:rsidP="00B77608">
            <w:pPr>
              <w:spacing w:after="0" w:line="240" w:lineRule="auto"/>
              <w:jc w:val="center"/>
              <w:rPr>
                <w:sz w:val="18"/>
              </w:rPr>
            </w:pPr>
          </w:p>
        </w:tc>
      </w:tr>
      <w:tr w:rsidR="00430F9E" w:rsidRPr="00264FBE" w14:paraId="3A8D080E" w14:textId="77777777" w:rsidTr="00BE05EA">
        <w:trPr>
          <w:trHeight w:val="226"/>
          <w:jc w:val="center"/>
        </w:trPr>
        <w:tc>
          <w:tcPr>
            <w:tcW w:w="783" w:type="pct"/>
            <w:vMerge/>
            <w:tcBorders>
              <w:left w:val="single" w:sz="8" w:space="0" w:color="auto"/>
              <w:right w:val="nil"/>
            </w:tcBorders>
            <w:shd w:val="clear" w:color="auto" w:fill="auto"/>
            <w:noWrap/>
            <w:vAlign w:val="bottom"/>
            <w:hideMark/>
          </w:tcPr>
          <w:p w14:paraId="0F046FE3" w14:textId="77777777" w:rsidR="00430F9E" w:rsidRPr="000B1A75" w:rsidRDefault="00430F9E" w:rsidP="00B77608">
            <w:pPr>
              <w:spacing w:after="0" w:line="240" w:lineRule="auto"/>
              <w:rPr>
                <w:sz w:val="18"/>
              </w:rPr>
            </w:pPr>
          </w:p>
        </w:tc>
        <w:tc>
          <w:tcPr>
            <w:tcW w:w="1144" w:type="pct"/>
            <w:tcBorders>
              <w:top w:val="nil"/>
              <w:left w:val="single" w:sz="8" w:space="0" w:color="auto"/>
              <w:bottom w:val="single" w:sz="4" w:space="0" w:color="auto"/>
              <w:right w:val="single" w:sz="8" w:space="0" w:color="auto"/>
            </w:tcBorders>
            <w:shd w:val="clear" w:color="auto" w:fill="auto"/>
            <w:noWrap/>
            <w:vAlign w:val="bottom"/>
            <w:hideMark/>
          </w:tcPr>
          <w:p w14:paraId="384519A1" w14:textId="77777777" w:rsidR="00430F9E" w:rsidRPr="000B1A75" w:rsidRDefault="00430F9E" w:rsidP="00B77608">
            <w:pPr>
              <w:spacing w:after="0" w:line="240" w:lineRule="auto"/>
              <w:rPr>
                <w:sz w:val="18"/>
              </w:rPr>
            </w:pPr>
            <w:r w:rsidRPr="000B1A75">
              <w:rPr>
                <w:sz w:val="18"/>
              </w:rPr>
              <w:t> </w:t>
            </w:r>
          </w:p>
        </w:tc>
        <w:tc>
          <w:tcPr>
            <w:tcW w:w="715" w:type="pct"/>
            <w:tcBorders>
              <w:top w:val="nil"/>
              <w:left w:val="nil"/>
              <w:bottom w:val="single" w:sz="4" w:space="0" w:color="auto"/>
              <w:right w:val="single" w:sz="8" w:space="0" w:color="auto"/>
            </w:tcBorders>
            <w:shd w:val="clear" w:color="auto" w:fill="auto"/>
            <w:noWrap/>
            <w:vAlign w:val="bottom"/>
            <w:hideMark/>
          </w:tcPr>
          <w:p w14:paraId="4DF4F7E0" w14:textId="77777777" w:rsidR="00430F9E" w:rsidRPr="000B1A75" w:rsidRDefault="00430F9E" w:rsidP="00B77608">
            <w:pPr>
              <w:spacing w:after="0" w:line="240" w:lineRule="auto"/>
              <w:jc w:val="center"/>
              <w:rPr>
                <w:sz w:val="18"/>
              </w:rPr>
            </w:pPr>
          </w:p>
        </w:tc>
        <w:tc>
          <w:tcPr>
            <w:tcW w:w="571" w:type="pct"/>
            <w:tcBorders>
              <w:top w:val="nil"/>
              <w:left w:val="nil"/>
              <w:bottom w:val="single" w:sz="4" w:space="0" w:color="auto"/>
              <w:right w:val="nil"/>
            </w:tcBorders>
            <w:shd w:val="clear" w:color="auto" w:fill="auto"/>
            <w:noWrap/>
            <w:vAlign w:val="bottom"/>
            <w:hideMark/>
          </w:tcPr>
          <w:p w14:paraId="49D623AB" w14:textId="77777777" w:rsidR="00430F9E" w:rsidRPr="000B1A75" w:rsidRDefault="00430F9E" w:rsidP="00B77608">
            <w:pPr>
              <w:spacing w:after="0" w:line="240" w:lineRule="auto"/>
              <w:jc w:val="center"/>
              <w:rPr>
                <w:sz w:val="18"/>
              </w:rPr>
            </w:pPr>
          </w:p>
        </w:tc>
        <w:tc>
          <w:tcPr>
            <w:tcW w:w="571" w:type="pct"/>
            <w:tcBorders>
              <w:top w:val="nil"/>
              <w:left w:val="single" w:sz="8" w:space="0" w:color="auto"/>
              <w:bottom w:val="single" w:sz="4" w:space="0" w:color="auto"/>
              <w:right w:val="single" w:sz="8" w:space="0" w:color="auto"/>
            </w:tcBorders>
            <w:shd w:val="clear" w:color="auto" w:fill="auto"/>
            <w:noWrap/>
            <w:vAlign w:val="bottom"/>
            <w:hideMark/>
          </w:tcPr>
          <w:p w14:paraId="3723220D" w14:textId="77777777" w:rsidR="00430F9E" w:rsidRPr="000B1A75" w:rsidRDefault="00430F9E" w:rsidP="00B77608">
            <w:pPr>
              <w:spacing w:after="0" w:line="240" w:lineRule="auto"/>
              <w:jc w:val="center"/>
              <w:rPr>
                <w:sz w:val="18"/>
              </w:rPr>
            </w:pPr>
          </w:p>
        </w:tc>
        <w:tc>
          <w:tcPr>
            <w:tcW w:w="583" w:type="pct"/>
            <w:tcBorders>
              <w:top w:val="nil"/>
              <w:left w:val="nil"/>
              <w:bottom w:val="single" w:sz="4" w:space="0" w:color="auto"/>
              <w:right w:val="single" w:sz="8" w:space="0" w:color="auto"/>
            </w:tcBorders>
            <w:shd w:val="clear" w:color="auto" w:fill="auto"/>
            <w:noWrap/>
            <w:vAlign w:val="bottom"/>
            <w:hideMark/>
          </w:tcPr>
          <w:p w14:paraId="59DE18C6" w14:textId="77777777" w:rsidR="00430F9E" w:rsidRPr="000B1A75" w:rsidRDefault="00430F9E" w:rsidP="00B77608">
            <w:pPr>
              <w:spacing w:after="0" w:line="240" w:lineRule="auto"/>
              <w:jc w:val="center"/>
              <w:rPr>
                <w:sz w:val="18"/>
              </w:rPr>
            </w:pPr>
          </w:p>
        </w:tc>
        <w:tc>
          <w:tcPr>
            <w:tcW w:w="633" w:type="pct"/>
            <w:tcBorders>
              <w:top w:val="nil"/>
              <w:left w:val="nil"/>
              <w:bottom w:val="single" w:sz="4" w:space="0" w:color="auto"/>
              <w:right w:val="single" w:sz="8" w:space="0" w:color="auto"/>
            </w:tcBorders>
            <w:shd w:val="clear" w:color="auto" w:fill="auto"/>
            <w:noWrap/>
            <w:vAlign w:val="bottom"/>
            <w:hideMark/>
          </w:tcPr>
          <w:p w14:paraId="38694BC8" w14:textId="77777777" w:rsidR="00430F9E" w:rsidRPr="000B1A75" w:rsidRDefault="00430F9E" w:rsidP="00B77608">
            <w:pPr>
              <w:spacing w:after="0" w:line="240" w:lineRule="auto"/>
              <w:jc w:val="center"/>
              <w:rPr>
                <w:sz w:val="18"/>
              </w:rPr>
            </w:pPr>
          </w:p>
        </w:tc>
      </w:tr>
      <w:tr w:rsidR="00430F9E" w:rsidRPr="00264FBE" w14:paraId="434022F9" w14:textId="77777777" w:rsidTr="00BE05EA">
        <w:trPr>
          <w:trHeight w:val="226"/>
          <w:jc w:val="center"/>
        </w:trPr>
        <w:tc>
          <w:tcPr>
            <w:tcW w:w="783" w:type="pct"/>
            <w:vMerge/>
            <w:tcBorders>
              <w:left w:val="single" w:sz="8" w:space="0" w:color="auto"/>
              <w:bottom w:val="single" w:sz="4" w:space="0" w:color="auto"/>
              <w:right w:val="nil"/>
            </w:tcBorders>
            <w:shd w:val="clear" w:color="auto" w:fill="auto"/>
            <w:noWrap/>
            <w:vAlign w:val="bottom"/>
            <w:hideMark/>
          </w:tcPr>
          <w:p w14:paraId="4F7AD71A" w14:textId="77777777" w:rsidR="00430F9E" w:rsidRPr="000B1A75" w:rsidRDefault="00430F9E" w:rsidP="00B77608">
            <w:pPr>
              <w:spacing w:after="0" w:line="240" w:lineRule="auto"/>
              <w:rPr>
                <w:sz w:val="18"/>
              </w:rPr>
            </w:pPr>
          </w:p>
        </w:tc>
        <w:tc>
          <w:tcPr>
            <w:tcW w:w="1144" w:type="pct"/>
            <w:tcBorders>
              <w:top w:val="single" w:sz="4" w:space="0" w:color="auto"/>
              <w:left w:val="single" w:sz="8" w:space="0" w:color="auto"/>
              <w:bottom w:val="single" w:sz="4" w:space="0" w:color="auto"/>
              <w:right w:val="single" w:sz="8" w:space="0" w:color="auto"/>
            </w:tcBorders>
            <w:shd w:val="clear" w:color="auto" w:fill="auto"/>
            <w:noWrap/>
            <w:vAlign w:val="bottom"/>
            <w:hideMark/>
          </w:tcPr>
          <w:p w14:paraId="369AEE5E" w14:textId="77777777" w:rsidR="00430F9E" w:rsidRPr="000B1A75" w:rsidRDefault="00430F9E" w:rsidP="00B77608">
            <w:pPr>
              <w:spacing w:after="0" w:line="240" w:lineRule="auto"/>
              <w:rPr>
                <w:sz w:val="18"/>
              </w:rPr>
            </w:pPr>
            <w:r w:rsidRPr="000B1A75">
              <w:rPr>
                <w:sz w:val="18"/>
              </w:rPr>
              <w:t> </w:t>
            </w:r>
          </w:p>
        </w:tc>
        <w:tc>
          <w:tcPr>
            <w:tcW w:w="715" w:type="pct"/>
            <w:tcBorders>
              <w:top w:val="single" w:sz="4" w:space="0" w:color="auto"/>
              <w:left w:val="nil"/>
              <w:bottom w:val="single" w:sz="4" w:space="0" w:color="auto"/>
              <w:right w:val="single" w:sz="8" w:space="0" w:color="auto"/>
            </w:tcBorders>
            <w:shd w:val="clear" w:color="auto" w:fill="auto"/>
            <w:noWrap/>
            <w:vAlign w:val="bottom"/>
            <w:hideMark/>
          </w:tcPr>
          <w:p w14:paraId="70B75188" w14:textId="77777777" w:rsidR="00430F9E" w:rsidRPr="000B1A75" w:rsidRDefault="00430F9E" w:rsidP="00B77608">
            <w:pPr>
              <w:spacing w:after="0" w:line="240" w:lineRule="auto"/>
              <w:jc w:val="center"/>
              <w:rPr>
                <w:sz w:val="18"/>
              </w:rPr>
            </w:pPr>
            <w:r w:rsidRPr="000B1A75">
              <w:rPr>
                <w:sz w:val="18"/>
              </w:rPr>
              <w:t>62 723 000</w:t>
            </w:r>
          </w:p>
        </w:tc>
        <w:tc>
          <w:tcPr>
            <w:tcW w:w="571" w:type="pct"/>
            <w:tcBorders>
              <w:top w:val="single" w:sz="4" w:space="0" w:color="auto"/>
              <w:left w:val="nil"/>
              <w:bottom w:val="single" w:sz="4" w:space="0" w:color="auto"/>
              <w:right w:val="nil"/>
            </w:tcBorders>
            <w:shd w:val="clear" w:color="auto" w:fill="auto"/>
            <w:noWrap/>
            <w:vAlign w:val="bottom"/>
            <w:hideMark/>
          </w:tcPr>
          <w:p w14:paraId="43BFAFE3" w14:textId="77777777" w:rsidR="00430F9E" w:rsidRPr="000B1A75" w:rsidRDefault="00430F9E" w:rsidP="00B77608">
            <w:pPr>
              <w:spacing w:after="0" w:line="240" w:lineRule="auto"/>
              <w:jc w:val="center"/>
              <w:rPr>
                <w:sz w:val="18"/>
              </w:rPr>
            </w:pPr>
            <w:r w:rsidRPr="000B1A75">
              <w:rPr>
                <w:sz w:val="18"/>
              </w:rPr>
              <w:t>53 779 520</w:t>
            </w:r>
          </w:p>
        </w:tc>
        <w:tc>
          <w:tcPr>
            <w:tcW w:w="571" w:type="pct"/>
            <w:tcBorders>
              <w:top w:val="single" w:sz="4" w:space="0" w:color="auto"/>
              <w:left w:val="single" w:sz="8" w:space="0" w:color="auto"/>
              <w:bottom w:val="single" w:sz="4" w:space="0" w:color="auto"/>
              <w:right w:val="single" w:sz="8" w:space="0" w:color="auto"/>
            </w:tcBorders>
            <w:shd w:val="clear" w:color="auto" w:fill="auto"/>
            <w:noWrap/>
            <w:vAlign w:val="bottom"/>
            <w:hideMark/>
          </w:tcPr>
          <w:p w14:paraId="2BCB7D72" w14:textId="77777777" w:rsidR="00430F9E" w:rsidRPr="000B1A75" w:rsidRDefault="00430F9E" w:rsidP="00B77608">
            <w:pPr>
              <w:spacing w:after="0" w:line="240" w:lineRule="auto"/>
              <w:jc w:val="center"/>
              <w:rPr>
                <w:sz w:val="18"/>
              </w:rPr>
            </w:pPr>
            <w:r w:rsidRPr="000B1A75">
              <w:rPr>
                <w:sz w:val="18"/>
              </w:rPr>
              <w:t>56 628 990</w:t>
            </w:r>
          </w:p>
        </w:tc>
        <w:tc>
          <w:tcPr>
            <w:tcW w:w="583" w:type="pct"/>
            <w:tcBorders>
              <w:top w:val="single" w:sz="4" w:space="0" w:color="auto"/>
              <w:left w:val="nil"/>
              <w:bottom w:val="single" w:sz="4" w:space="0" w:color="auto"/>
              <w:right w:val="single" w:sz="8" w:space="0" w:color="auto"/>
            </w:tcBorders>
            <w:shd w:val="clear" w:color="auto" w:fill="auto"/>
            <w:noWrap/>
            <w:vAlign w:val="bottom"/>
            <w:hideMark/>
          </w:tcPr>
          <w:p w14:paraId="38983A0F" w14:textId="77777777" w:rsidR="00430F9E" w:rsidRPr="000B1A75" w:rsidRDefault="00430F9E" w:rsidP="00B77608">
            <w:pPr>
              <w:spacing w:after="0" w:line="240" w:lineRule="auto"/>
              <w:jc w:val="center"/>
              <w:rPr>
                <w:sz w:val="18"/>
              </w:rPr>
            </w:pPr>
            <w:r w:rsidRPr="000B1A75">
              <w:rPr>
                <w:sz w:val="18"/>
              </w:rPr>
              <w:t>59 221 340</w:t>
            </w:r>
          </w:p>
        </w:tc>
        <w:tc>
          <w:tcPr>
            <w:tcW w:w="633" w:type="pct"/>
            <w:tcBorders>
              <w:top w:val="single" w:sz="4" w:space="0" w:color="auto"/>
              <w:left w:val="nil"/>
              <w:bottom w:val="single" w:sz="4" w:space="0" w:color="auto"/>
              <w:right w:val="single" w:sz="8" w:space="0" w:color="auto"/>
            </w:tcBorders>
            <w:shd w:val="clear" w:color="auto" w:fill="auto"/>
            <w:noWrap/>
            <w:vAlign w:val="bottom"/>
            <w:hideMark/>
          </w:tcPr>
          <w:p w14:paraId="42F81B67" w14:textId="77777777" w:rsidR="00430F9E" w:rsidRPr="000B1A75" w:rsidRDefault="00430F9E" w:rsidP="00B77608">
            <w:pPr>
              <w:spacing w:after="0" w:line="240" w:lineRule="auto"/>
              <w:jc w:val="center"/>
              <w:rPr>
                <w:sz w:val="18"/>
              </w:rPr>
            </w:pPr>
            <w:r w:rsidRPr="000B1A75">
              <w:rPr>
                <w:sz w:val="18"/>
              </w:rPr>
              <w:t>62 521 390</w:t>
            </w:r>
          </w:p>
        </w:tc>
      </w:tr>
      <w:tr w:rsidR="00430F9E" w:rsidRPr="00264FBE" w14:paraId="5D48EA64" w14:textId="77777777" w:rsidTr="00BE05EA">
        <w:trPr>
          <w:trHeight w:val="226"/>
          <w:jc w:val="center"/>
        </w:trPr>
        <w:tc>
          <w:tcPr>
            <w:tcW w:w="783" w:type="pct"/>
            <w:tcBorders>
              <w:top w:val="single" w:sz="4" w:space="0" w:color="auto"/>
              <w:left w:val="single" w:sz="8" w:space="0" w:color="auto"/>
              <w:bottom w:val="nil"/>
              <w:right w:val="nil"/>
            </w:tcBorders>
            <w:shd w:val="clear" w:color="auto" w:fill="auto"/>
            <w:noWrap/>
            <w:vAlign w:val="bottom"/>
            <w:hideMark/>
          </w:tcPr>
          <w:p w14:paraId="0E8A7B28" w14:textId="77777777" w:rsidR="00430F9E" w:rsidRPr="000B1A75" w:rsidRDefault="00430F9E" w:rsidP="00B77608">
            <w:pPr>
              <w:spacing w:after="0" w:line="240" w:lineRule="auto"/>
              <w:rPr>
                <w:sz w:val="18"/>
              </w:rPr>
            </w:pPr>
            <w:r w:rsidRPr="000B1A75">
              <w:rPr>
                <w:sz w:val="18"/>
              </w:rPr>
              <w:t>OWN FUNDS</w:t>
            </w:r>
          </w:p>
        </w:tc>
        <w:tc>
          <w:tcPr>
            <w:tcW w:w="1144" w:type="pct"/>
            <w:tcBorders>
              <w:top w:val="single" w:sz="4" w:space="0" w:color="auto"/>
              <w:left w:val="single" w:sz="8" w:space="0" w:color="auto"/>
              <w:bottom w:val="nil"/>
              <w:right w:val="single" w:sz="8" w:space="0" w:color="auto"/>
            </w:tcBorders>
            <w:shd w:val="clear" w:color="auto" w:fill="auto"/>
            <w:noWrap/>
            <w:vAlign w:val="bottom"/>
            <w:hideMark/>
          </w:tcPr>
          <w:p w14:paraId="71A3790E" w14:textId="77777777" w:rsidR="00430F9E" w:rsidRPr="000B1A75" w:rsidRDefault="00430F9E" w:rsidP="00B77608">
            <w:pPr>
              <w:spacing w:after="0" w:line="240" w:lineRule="auto"/>
              <w:rPr>
                <w:sz w:val="18"/>
              </w:rPr>
            </w:pPr>
            <w:r w:rsidRPr="000B1A75">
              <w:rPr>
                <w:sz w:val="18"/>
              </w:rPr>
              <w:t>CAPITAL REPLACEMENT</w:t>
            </w:r>
          </w:p>
        </w:tc>
        <w:tc>
          <w:tcPr>
            <w:tcW w:w="715" w:type="pct"/>
            <w:tcBorders>
              <w:top w:val="single" w:sz="4" w:space="0" w:color="auto"/>
              <w:left w:val="nil"/>
              <w:bottom w:val="nil"/>
              <w:right w:val="single" w:sz="8" w:space="0" w:color="auto"/>
            </w:tcBorders>
            <w:shd w:val="clear" w:color="auto" w:fill="auto"/>
            <w:noWrap/>
            <w:vAlign w:val="bottom"/>
            <w:hideMark/>
          </w:tcPr>
          <w:p w14:paraId="276811E3" w14:textId="77777777" w:rsidR="00430F9E" w:rsidRPr="000B1A75" w:rsidRDefault="00430F9E" w:rsidP="00B77608">
            <w:pPr>
              <w:spacing w:after="0" w:line="240" w:lineRule="auto"/>
              <w:jc w:val="center"/>
              <w:rPr>
                <w:sz w:val="18"/>
              </w:rPr>
            </w:pPr>
          </w:p>
        </w:tc>
        <w:tc>
          <w:tcPr>
            <w:tcW w:w="571" w:type="pct"/>
            <w:tcBorders>
              <w:top w:val="single" w:sz="4" w:space="0" w:color="auto"/>
              <w:left w:val="nil"/>
              <w:bottom w:val="nil"/>
              <w:right w:val="nil"/>
            </w:tcBorders>
            <w:shd w:val="clear" w:color="auto" w:fill="auto"/>
            <w:noWrap/>
            <w:vAlign w:val="bottom"/>
            <w:hideMark/>
          </w:tcPr>
          <w:p w14:paraId="5E82F86C" w14:textId="77777777" w:rsidR="00430F9E" w:rsidRPr="000B1A75" w:rsidRDefault="00430F9E" w:rsidP="00B77608">
            <w:pPr>
              <w:spacing w:after="0" w:line="240" w:lineRule="auto"/>
              <w:jc w:val="center"/>
              <w:rPr>
                <w:sz w:val="18"/>
              </w:rPr>
            </w:pPr>
          </w:p>
        </w:tc>
        <w:tc>
          <w:tcPr>
            <w:tcW w:w="571" w:type="pct"/>
            <w:tcBorders>
              <w:top w:val="single" w:sz="4" w:space="0" w:color="auto"/>
              <w:left w:val="single" w:sz="8" w:space="0" w:color="auto"/>
              <w:bottom w:val="nil"/>
              <w:right w:val="single" w:sz="8" w:space="0" w:color="auto"/>
            </w:tcBorders>
            <w:shd w:val="clear" w:color="auto" w:fill="auto"/>
            <w:noWrap/>
            <w:vAlign w:val="bottom"/>
            <w:hideMark/>
          </w:tcPr>
          <w:p w14:paraId="61812199" w14:textId="77777777" w:rsidR="00430F9E" w:rsidRPr="000B1A75" w:rsidRDefault="00430F9E" w:rsidP="00B77608">
            <w:pPr>
              <w:spacing w:after="0" w:line="240" w:lineRule="auto"/>
              <w:jc w:val="center"/>
              <w:rPr>
                <w:sz w:val="18"/>
              </w:rPr>
            </w:pPr>
          </w:p>
        </w:tc>
        <w:tc>
          <w:tcPr>
            <w:tcW w:w="583" w:type="pct"/>
            <w:tcBorders>
              <w:top w:val="single" w:sz="4" w:space="0" w:color="auto"/>
              <w:left w:val="nil"/>
              <w:bottom w:val="nil"/>
              <w:right w:val="single" w:sz="8" w:space="0" w:color="auto"/>
            </w:tcBorders>
            <w:shd w:val="clear" w:color="auto" w:fill="auto"/>
            <w:noWrap/>
            <w:vAlign w:val="bottom"/>
            <w:hideMark/>
          </w:tcPr>
          <w:p w14:paraId="31F2C6AC" w14:textId="77777777" w:rsidR="00430F9E" w:rsidRPr="000B1A75" w:rsidRDefault="00430F9E" w:rsidP="00B77608">
            <w:pPr>
              <w:spacing w:after="0" w:line="240" w:lineRule="auto"/>
              <w:jc w:val="center"/>
              <w:rPr>
                <w:sz w:val="18"/>
              </w:rPr>
            </w:pPr>
          </w:p>
        </w:tc>
        <w:tc>
          <w:tcPr>
            <w:tcW w:w="633" w:type="pct"/>
            <w:tcBorders>
              <w:top w:val="single" w:sz="4" w:space="0" w:color="auto"/>
              <w:left w:val="nil"/>
              <w:bottom w:val="nil"/>
              <w:right w:val="single" w:sz="8" w:space="0" w:color="auto"/>
            </w:tcBorders>
            <w:shd w:val="clear" w:color="auto" w:fill="auto"/>
            <w:noWrap/>
            <w:vAlign w:val="bottom"/>
            <w:hideMark/>
          </w:tcPr>
          <w:p w14:paraId="49BC7107" w14:textId="77777777" w:rsidR="00430F9E" w:rsidRPr="000B1A75" w:rsidRDefault="00430F9E" w:rsidP="00B77608">
            <w:pPr>
              <w:spacing w:after="0" w:line="240" w:lineRule="auto"/>
              <w:jc w:val="center"/>
              <w:rPr>
                <w:sz w:val="18"/>
              </w:rPr>
            </w:pPr>
          </w:p>
        </w:tc>
      </w:tr>
      <w:tr w:rsidR="00430F9E" w:rsidRPr="00264FBE" w14:paraId="35CCCD52" w14:textId="77777777" w:rsidTr="00BE05EA">
        <w:trPr>
          <w:trHeight w:val="226"/>
          <w:jc w:val="center"/>
        </w:trPr>
        <w:tc>
          <w:tcPr>
            <w:tcW w:w="783" w:type="pct"/>
            <w:tcBorders>
              <w:top w:val="nil"/>
              <w:left w:val="single" w:sz="8" w:space="0" w:color="auto"/>
              <w:bottom w:val="single" w:sz="4" w:space="0" w:color="auto"/>
              <w:right w:val="nil"/>
            </w:tcBorders>
            <w:shd w:val="clear" w:color="auto" w:fill="auto"/>
            <w:noWrap/>
            <w:vAlign w:val="bottom"/>
            <w:hideMark/>
          </w:tcPr>
          <w:p w14:paraId="5154D7CB" w14:textId="77777777" w:rsidR="00430F9E" w:rsidRPr="000B1A75" w:rsidRDefault="00430F9E" w:rsidP="00B77608">
            <w:pPr>
              <w:spacing w:after="0" w:line="240" w:lineRule="auto"/>
              <w:rPr>
                <w:sz w:val="18"/>
              </w:rPr>
            </w:pPr>
            <w:r w:rsidRPr="000B1A75">
              <w:rPr>
                <w:sz w:val="18"/>
              </w:rPr>
              <w:t> </w:t>
            </w:r>
          </w:p>
        </w:tc>
        <w:tc>
          <w:tcPr>
            <w:tcW w:w="1144" w:type="pct"/>
            <w:tcBorders>
              <w:top w:val="nil"/>
              <w:left w:val="single" w:sz="8" w:space="0" w:color="auto"/>
              <w:bottom w:val="single" w:sz="4" w:space="0" w:color="auto"/>
              <w:right w:val="single" w:sz="8" w:space="0" w:color="auto"/>
            </w:tcBorders>
            <w:shd w:val="clear" w:color="auto" w:fill="auto"/>
            <w:noWrap/>
            <w:vAlign w:val="bottom"/>
            <w:hideMark/>
          </w:tcPr>
          <w:p w14:paraId="3EE75BF1" w14:textId="77777777" w:rsidR="00430F9E" w:rsidRPr="000B1A75" w:rsidRDefault="00430F9E" w:rsidP="00B77608">
            <w:pPr>
              <w:spacing w:after="0" w:line="240" w:lineRule="auto"/>
              <w:rPr>
                <w:sz w:val="18"/>
              </w:rPr>
            </w:pPr>
            <w:r w:rsidRPr="000B1A75">
              <w:rPr>
                <w:sz w:val="18"/>
              </w:rPr>
              <w:t>RESERVE</w:t>
            </w:r>
          </w:p>
        </w:tc>
        <w:tc>
          <w:tcPr>
            <w:tcW w:w="715" w:type="pct"/>
            <w:tcBorders>
              <w:top w:val="nil"/>
              <w:left w:val="nil"/>
              <w:bottom w:val="single" w:sz="4" w:space="0" w:color="auto"/>
              <w:right w:val="single" w:sz="8" w:space="0" w:color="auto"/>
            </w:tcBorders>
            <w:shd w:val="clear" w:color="auto" w:fill="auto"/>
            <w:noWrap/>
            <w:vAlign w:val="bottom"/>
            <w:hideMark/>
          </w:tcPr>
          <w:p w14:paraId="4CBEF42F" w14:textId="77777777" w:rsidR="00430F9E" w:rsidRPr="000B1A75" w:rsidRDefault="00430F9E" w:rsidP="00B77608">
            <w:pPr>
              <w:spacing w:after="0" w:line="240" w:lineRule="auto"/>
              <w:jc w:val="center"/>
              <w:rPr>
                <w:sz w:val="18"/>
              </w:rPr>
            </w:pPr>
            <w:r w:rsidRPr="000B1A75">
              <w:rPr>
                <w:sz w:val="18"/>
              </w:rPr>
              <w:t>10 000 000</w:t>
            </w:r>
          </w:p>
        </w:tc>
        <w:tc>
          <w:tcPr>
            <w:tcW w:w="571" w:type="pct"/>
            <w:tcBorders>
              <w:top w:val="nil"/>
              <w:left w:val="nil"/>
              <w:bottom w:val="single" w:sz="4" w:space="0" w:color="auto"/>
              <w:right w:val="nil"/>
            </w:tcBorders>
            <w:shd w:val="clear" w:color="auto" w:fill="auto"/>
            <w:noWrap/>
            <w:vAlign w:val="bottom"/>
            <w:hideMark/>
          </w:tcPr>
          <w:p w14:paraId="54AA7B6D" w14:textId="77777777" w:rsidR="00430F9E" w:rsidRPr="000B1A75" w:rsidRDefault="00430F9E" w:rsidP="00B77608">
            <w:pPr>
              <w:spacing w:after="0" w:line="240" w:lineRule="auto"/>
              <w:jc w:val="center"/>
              <w:rPr>
                <w:sz w:val="18"/>
              </w:rPr>
            </w:pPr>
            <w:r w:rsidRPr="000B1A75">
              <w:rPr>
                <w:sz w:val="18"/>
              </w:rPr>
              <w:t>7 000 000</w:t>
            </w:r>
          </w:p>
        </w:tc>
        <w:tc>
          <w:tcPr>
            <w:tcW w:w="571" w:type="pct"/>
            <w:tcBorders>
              <w:top w:val="nil"/>
              <w:left w:val="single" w:sz="8" w:space="0" w:color="auto"/>
              <w:bottom w:val="single" w:sz="4" w:space="0" w:color="auto"/>
              <w:right w:val="single" w:sz="8" w:space="0" w:color="auto"/>
            </w:tcBorders>
            <w:shd w:val="clear" w:color="auto" w:fill="auto"/>
            <w:noWrap/>
            <w:vAlign w:val="bottom"/>
            <w:hideMark/>
          </w:tcPr>
          <w:p w14:paraId="2B4DE1F6" w14:textId="77777777" w:rsidR="00430F9E" w:rsidRPr="000B1A75" w:rsidRDefault="00430F9E" w:rsidP="00B77608">
            <w:pPr>
              <w:spacing w:after="0" w:line="240" w:lineRule="auto"/>
              <w:jc w:val="center"/>
              <w:rPr>
                <w:sz w:val="18"/>
              </w:rPr>
            </w:pPr>
            <w:r w:rsidRPr="000B1A75">
              <w:rPr>
                <w:sz w:val="18"/>
              </w:rPr>
              <w:t>8 000 000</w:t>
            </w:r>
          </w:p>
        </w:tc>
        <w:tc>
          <w:tcPr>
            <w:tcW w:w="583" w:type="pct"/>
            <w:tcBorders>
              <w:top w:val="nil"/>
              <w:left w:val="nil"/>
              <w:bottom w:val="single" w:sz="4" w:space="0" w:color="auto"/>
              <w:right w:val="single" w:sz="8" w:space="0" w:color="auto"/>
            </w:tcBorders>
            <w:shd w:val="clear" w:color="auto" w:fill="auto"/>
            <w:noWrap/>
            <w:vAlign w:val="bottom"/>
            <w:hideMark/>
          </w:tcPr>
          <w:p w14:paraId="65E25A47" w14:textId="77777777" w:rsidR="00430F9E" w:rsidRPr="000B1A75" w:rsidRDefault="00430F9E" w:rsidP="00B77608">
            <w:pPr>
              <w:spacing w:after="0" w:line="240" w:lineRule="auto"/>
              <w:jc w:val="center"/>
              <w:rPr>
                <w:sz w:val="18"/>
              </w:rPr>
            </w:pPr>
            <w:r w:rsidRPr="000B1A75">
              <w:rPr>
                <w:sz w:val="18"/>
              </w:rPr>
              <w:t>8 000 000</w:t>
            </w:r>
          </w:p>
        </w:tc>
        <w:tc>
          <w:tcPr>
            <w:tcW w:w="633" w:type="pct"/>
            <w:tcBorders>
              <w:top w:val="nil"/>
              <w:left w:val="nil"/>
              <w:bottom w:val="single" w:sz="4" w:space="0" w:color="auto"/>
              <w:right w:val="single" w:sz="8" w:space="0" w:color="auto"/>
            </w:tcBorders>
            <w:shd w:val="clear" w:color="auto" w:fill="auto"/>
            <w:noWrap/>
            <w:vAlign w:val="bottom"/>
            <w:hideMark/>
          </w:tcPr>
          <w:p w14:paraId="37AE53AC" w14:textId="77777777" w:rsidR="00430F9E" w:rsidRPr="000B1A75" w:rsidRDefault="00430F9E" w:rsidP="00B77608">
            <w:pPr>
              <w:spacing w:after="0" w:line="240" w:lineRule="auto"/>
              <w:jc w:val="center"/>
              <w:rPr>
                <w:sz w:val="18"/>
              </w:rPr>
            </w:pPr>
            <w:r w:rsidRPr="000B1A75">
              <w:rPr>
                <w:sz w:val="18"/>
              </w:rPr>
              <w:t>8 000 000</w:t>
            </w:r>
          </w:p>
        </w:tc>
      </w:tr>
      <w:tr w:rsidR="00430F9E" w:rsidRPr="00264FBE" w14:paraId="01E4F774" w14:textId="77777777" w:rsidTr="00BE05EA">
        <w:trPr>
          <w:trHeight w:val="238"/>
          <w:jc w:val="center"/>
        </w:trPr>
        <w:tc>
          <w:tcPr>
            <w:tcW w:w="783" w:type="pct"/>
            <w:tcBorders>
              <w:top w:val="single" w:sz="4" w:space="0" w:color="auto"/>
              <w:left w:val="single" w:sz="8" w:space="0" w:color="auto"/>
              <w:bottom w:val="single" w:sz="4" w:space="0" w:color="auto"/>
              <w:right w:val="nil"/>
            </w:tcBorders>
            <w:shd w:val="clear" w:color="000000" w:fill="FFFF99"/>
            <w:noWrap/>
            <w:vAlign w:val="bottom"/>
            <w:hideMark/>
          </w:tcPr>
          <w:p w14:paraId="0CED827B" w14:textId="77777777" w:rsidR="00430F9E" w:rsidRPr="000B1A75" w:rsidRDefault="00430F9E" w:rsidP="00B77608">
            <w:pPr>
              <w:spacing w:after="0" w:line="240" w:lineRule="auto"/>
              <w:rPr>
                <w:sz w:val="18"/>
              </w:rPr>
            </w:pPr>
            <w:r w:rsidRPr="000B1A75">
              <w:rPr>
                <w:sz w:val="18"/>
              </w:rPr>
              <w:t>TOTAL</w:t>
            </w:r>
          </w:p>
        </w:tc>
        <w:tc>
          <w:tcPr>
            <w:tcW w:w="1144" w:type="pct"/>
            <w:tcBorders>
              <w:top w:val="single" w:sz="4" w:space="0" w:color="auto"/>
              <w:left w:val="single" w:sz="8" w:space="0" w:color="auto"/>
              <w:bottom w:val="single" w:sz="4" w:space="0" w:color="auto"/>
              <w:right w:val="single" w:sz="8" w:space="0" w:color="auto"/>
            </w:tcBorders>
            <w:shd w:val="clear" w:color="000000" w:fill="FFFF99"/>
            <w:noWrap/>
            <w:vAlign w:val="bottom"/>
            <w:hideMark/>
          </w:tcPr>
          <w:p w14:paraId="0EB36B4C" w14:textId="77777777" w:rsidR="00430F9E" w:rsidRPr="000B1A75" w:rsidRDefault="00430F9E" w:rsidP="00B77608">
            <w:pPr>
              <w:spacing w:after="0" w:line="240" w:lineRule="auto"/>
              <w:rPr>
                <w:sz w:val="18"/>
              </w:rPr>
            </w:pPr>
            <w:r w:rsidRPr="000B1A75">
              <w:rPr>
                <w:sz w:val="18"/>
              </w:rPr>
              <w:t> </w:t>
            </w:r>
          </w:p>
        </w:tc>
        <w:tc>
          <w:tcPr>
            <w:tcW w:w="715" w:type="pct"/>
            <w:tcBorders>
              <w:top w:val="single" w:sz="4" w:space="0" w:color="auto"/>
              <w:left w:val="nil"/>
              <w:bottom w:val="single" w:sz="4" w:space="0" w:color="auto"/>
              <w:right w:val="single" w:sz="8" w:space="0" w:color="auto"/>
            </w:tcBorders>
            <w:shd w:val="clear" w:color="000000" w:fill="FFFF99"/>
            <w:noWrap/>
            <w:vAlign w:val="bottom"/>
            <w:hideMark/>
          </w:tcPr>
          <w:p w14:paraId="14280872" w14:textId="77777777" w:rsidR="00430F9E" w:rsidRPr="000B1A75" w:rsidRDefault="00430F9E" w:rsidP="00B77608">
            <w:pPr>
              <w:spacing w:after="0" w:line="240" w:lineRule="auto"/>
              <w:jc w:val="center"/>
              <w:rPr>
                <w:sz w:val="18"/>
              </w:rPr>
            </w:pPr>
            <w:r w:rsidRPr="000B1A75">
              <w:rPr>
                <w:sz w:val="18"/>
              </w:rPr>
              <w:t>72 723 000</w:t>
            </w:r>
          </w:p>
        </w:tc>
        <w:tc>
          <w:tcPr>
            <w:tcW w:w="571" w:type="pct"/>
            <w:tcBorders>
              <w:top w:val="single" w:sz="4" w:space="0" w:color="auto"/>
              <w:left w:val="nil"/>
              <w:bottom w:val="double" w:sz="6" w:space="0" w:color="auto"/>
              <w:right w:val="nil"/>
            </w:tcBorders>
            <w:shd w:val="clear" w:color="000000" w:fill="FFFF99"/>
            <w:noWrap/>
            <w:vAlign w:val="bottom"/>
            <w:hideMark/>
          </w:tcPr>
          <w:p w14:paraId="5ED8BBFA" w14:textId="77777777" w:rsidR="00430F9E" w:rsidRPr="000B1A75" w:rsidRDefault="00430F9E" w:rsidP="00B77608">
            <w:pPr>
              <w:spacing w:after="0" w:line="240" w:lineRule="auto"/>
              <w:jc w:val="center"/>
              <w:rPr>
                <w:sz w:val="18"/>
              </w:rPr>
            </w:pPr>
            <w:r w:rsidRPr="000B1A75">
              <w:rPr>
                <w:sz w:val="18"/>
              </w:rPr>
              <w:t>60 779 520</w:t>
            </w:r>
          </w:p>
        </w:tc>
        <w:tc>
          <w:tcPr>
            <w:tcW w:w="571" w:type="pct"/>
            <w:tcBorders>
              <w:top w:val="single" w:sz="4" w:space="0" w:color="auto"/>
              <w:left w:val="single" w:sz="8" w:space="0" w:color="auto"/>
              <w:bottom w:val="double" w:sz="6" w:space="0" w:color="auto"/>
              <w:right w:val="single" w:sz="8" w:space="0" w:color="auto"/>
            </w:tcBorders>
            <w:shd w:val="clear" w:color="000000" w:fill="FFFF99"/>
            <w:noWrap/>
            <w:vAlign w:val="bottom"/>
            <w:hideMark/>
          </w:tcPr>
          <w:p w14:paraId="3BB0595C" w14:textId="77777777" w:rsidR="00430F9E" w:rsidRPr="000B1A75" w:rsidRDefault="00430F9E" w:rsidP="00B77608">
            <w:pPr>
              <w:spacing w:after="0" w:line="240" w:lineRule="auto"/>
              <w:jc w:val="center"/>
              <w:rPr>
                <w:sz w:val="18"/>
              </w:rPr>
            </w:pPr>
            <w:r w:rsidRPr="000B1A75">
              <w:rPr>
                <w:sz w:val="18"/>
              </w:rPr>
              <w:t>64 628 990</w:t>
            </w:r>
          </w:p>
        </w:tc>
        <w:tc>
          <w:tcPr>
            <w:tcW w:w="583" w:type="pct"/>
            <w:tcBorders>
              <w:top w:val="single" w:sz="4" w:space="0" w:color="auto"/>
              <w:left w:val="nil"/>
              <w:bottom w:val="double" w:sz="6" w:space="0" w:color="auto"/>
              <w:right w:val="single" w:sz="8" w:space="0" w:color="auto"/>
            </w:tcBorders>
            <w:shd w:val="clear" w:color="000000" w:fill="FFFF99"/>
            <w:noWrap/>
            <w:vAlign w:val="bottom"/>
            <w:hideMark/>
          </w:tcPr>
          <w:p w14:paraId="7760FBB4" w14:textId="77777777" w:rsidR="00430F9E" w:rsidRPr="000B1A75" w:rsidRDefault="00430F9E" w:rsidP="00B77608">
            <w:pPr>
              <w:spacing w:after="0" w:line="240" w:lineRule="auto"/>
              <w:jc w:val="center"/>
              <w:rPr>
                <w:sz w:val="18"/>
              </w:rPr>
            </w:pPr>
            <w:r w:rsidRPr="000B1A75">
              <w:rPr>
                <w:sz w:val="18"/>
              </w:rPr>
              <w:t>67 221 340</w:t>
            </w:r>
          </w:p>
        </w:tc>
        <w:tc>
          <w:tcPr>
            <w:tcW w:w="633" w:type="pct"/>
            <w:tcBorders>
              <w:top w:val="single" w:sz="4" w:space="0" w:color="auto"/>
              <w:left w:val="nil"/>
              <w:bottom w:val="double" w:sz="6" w:space="0" w:color="auto"/>
              <w:right w:val="single" w:sz="8" w:space="0" w:color="auto"/>
            </w:tcBorders>
            <w:shd w:val="clear" w:color="000000" w:fill="FFFF99"/>
            <w:noWrap/>
            <w:vAlign w:val="bottom"/>
            <w:hideMark/>
          </w:tcPr>
          <w:p w14:paraId="5EA52E10" w14:textId="77777777" w:rsidR="00430F9E" w:rsidRPr="000B1A75" w:rsidRDefault="00430F9E" w:rsidP="00B77608">
            <w:pPr>
              <w:spacing w:after="0" w:line="240" w:lineRule="auto"/>
              <w:jc w:val="center"/>
              <w:rPr>
                <w:sz w:val="18"/>
              </w:rPr>
            </w:pPr>
            <w:r w:rsidRPr="000B1A75">
              <w:rPr>
                <w:sz w:val="18"/>
              </w:rPr>
              <w:t>70 521 390</w:t>
            </w:r>
          </w:p>
        </w:tc>
      </w:tr>
    </w:tbl>
    <w:p w14:paraId="17FAFF1F" w14:textId="5FD1462B" w:rsidR="00666543" w:rsidRDefault="00666543" w:rsidP="002F62F0">
      <w:pPr>
        <w:pStyle w:val="Caption"/>
      </w:pPr>
      <w:bookmarkStart w:id="724" w:name="_Toc510622359"/>
      <w:r w:rsidRPr="00BA6153">
        <w:t xml:space="preserve">Table </w:t>
      </w:r>
      <w:r w:rsidR="00D55BDA" w:rsidRPr="00BA6153">
        <w:fldChar w:fldCharType="begin"/>
      </w:r>
      <w:r w:rsidRPr="00BA6153">
        <w:instrText xml:space="preserve"> SEQ Table \* ARABIC </w:instrText>
      </w:r>
      <w:r w:rsidR="00D55BDA" w:rsidRPr="00BA6153">
        <w:fldChar w:fldCharType="separate"/>
      </w:r>
      <w:r w:rsidR="0067023A">
        <w:rPr>
          <w:noProof/>
        </w:rPr>
        <w:t>108</w:t>
      </w:r>
      <w:r w:rsidR="00D55BDA" w:rsidRPr="00BA6153">
        <w:fldChar w:fldCharType="end"/>
      </w:r>
      <w:r w:rsidRPr="00BA6153">
        <w:t xml:space="preserve">: Sources of </w:t>
      </w:r>
      <w:r w:rsidR="00114A9B" w:rsidRPr="00BA6153">
        <w:t>F</w:t>
      </w:r>
      <w:r w:rsidRPr="00BA6153">
        <w:t xml:space="preserve">unding for </w:t>
      </w:r>
      <w:r w:rsidR="00114A9B" w:rsidRPr="00BA6153">
        <w:t xml:space="preserve">the </w:t>
      </w:r>
      <w:r w:rsidRPr="00BA6153">
        <w:t xml:space="preserve">5-Year Capital </w:t>
      </w:r>
      <w:r w:rsidR="00114A9B" w:rsidRPr="00BA6153">
        <w:t>Budget</w:t>
      </w:r>
      <w:r w:rsidRPr="00BA6153">
        <w:t xml:space="preserve"> (201</w:t>
      </w:r>
      <w:r w:rsidR="00FA6590">
        <w:t>7/</w:t>
      </w:r>
      <w:r w:rsidRPr="00BA6153">
        <w:t>201</w:t>
      </w:r>
      <w:r w:rsidR="00FA6590">
        <w:t>8</w:t>
      </w:r>
      <w:r w:rsidRPr="00BA6153">
        <w:t xml:space="preserve"> to 20</w:t>
      </w:r>
      <w:r w:rsidR="00FA6590">
        <w:t>21</w:t>
      </w:r>
      <w:r w:rsidRPr="00BA6153">
        <w:t>/20</w:t>
      </w:r>
      <w:r w:rsidR="001D688B">
        <w:t>2</w:t>
      </w:r>
      <w:r w:rsidR="00FA6590">
        <w:t>2</w:t>
      </w:r>
      <w:r w:rsidRPr="00BA6153">
        <w:t>)</w:t>
      </w:r>
      <w:bookmarkEnd w:id="721"/>
      <w:bookmarkEnd w:id="722"/>
      <w:bookmarkEnd w:id="723"/>
      <w:bookmarkEnd w:id="724"/>
    </w:p>
    <w:p w14:paraId="5AB5D41D" w14:textId="78872FFF" w:rsidR="00681A24" w:rsidRDefault="00681A24" w:rsidP="001322A6">
      <w:pPr>
        <w:pStyle w:val="Heading2"/>
        <w:rPr>
          <w:b w:val="0"/>
          <w:bCs w:val="0"/>
        </w:rPr>
        <w:sectPr w:rsidR="00681A24" w:rsidSect="00062768">
          <w:pgSz w:w="11907" w:h="16839" w:code="9"/>
          <w:pgMar w:top="851" w:right="1134" w:bottom="851" w:left="1134" w:header="720" w:footer="720" w:gutter="0"/>
          <w:cols w:space="720"/>
          <w:docGrid w:linePitch="360"/>
        </w:sectPr>
      </w:pPr>
    </w:p>
    <w:p w14:paraId="0C974C2F" w14:textId="77777777" w:rsidR="00C148DC" w:rsidRDefault="00811ABD" w:rsidP="00236ABE">
      <w:pPr>
        <w:pStyle w:val="Heading2"/>
        <w:numPr>
          <w:ilvl w:val="1"/>
          <w:numId w:val="12"/>
        </w:numPr>
      </w:pPr>
      <w:bookmarkStart w:id="725" w:name="_Toc510706697"/>
      <w:r w:rsidRPr="007976E3">
        <w:t xml:space="preserve">PROJECTS TO BE </w:t>
      </w:r>
      <w:r w:rsidRPr="00236ABE">
        <w:t>IM</w:t>
      </w:r>
      <w:r w:rsidR="005071D9" w:rsidRPr="00236ABE">
        <w:t>PLEMENTED</w:t>
      </w:r>
      <w:r w:rsidR="005071D9">
        <w:t xml:space="preserve"> BY SECTOR DEPARTMENTS</w:t>
      </w:r>
      <w:bookmarkEnd w:id="725"/>
    </w:p>
    <w:p w14:paraId="23524CEA" w14:textId="1FFF6E7E" w:rsidR="00C148DC" w:rsidRDefault="00C148DC" w:rsidP="00236ABE">
      <w:pPr>
        <w:pStyle w:val="Heading3"/>
        <w:numPr>
          <w:ilvl w:val="2"/>
          <w:numId w:val="12"/>
        </w:numPr>
      </w:pPr>
      <w:bookmarkStart w:id="726" w:name="_Toc510706698"/>
      <w:r w:rsidRPr="000D20BB">
        <w:t>Departmen</w:t>
      </w:r>
      <w:r w:rsidR="00752133">
        <w:t>t of Transport: Progress on 2017/18</w:t>
      </w:r>
      <w:r w:rsidRPr="000D20BB">
        <w:t xml:space="preserve"> Projects</w:t>
      </w:r>
      <w:bookmarkEnd w:id="726"/>
    </w:p>
    <w:tbl>
      <w:tblPr>
        <w:tblStyle w:val="TableGrid132"/>
        <w:tblW w:w="5059" w:type="pct"/>
        <w:tblLook w:val="0420" w:firstRow="1" w:lastRow="0" w:firstColumn="0" w:lastColumn="0" w:noHBand="0" w:noVBand="1"/>
      </w:tblPr>
      <w:tblGrid>
        <w:gridCol w:w="1273"/>
        <w:gridCol w:w="1399"/>
        <w:gridCol w:w="1427"/>
        <w:gridCol w:w="1193"/>
        <w:gridCol w:w="1193"/>
        <w:gridCol w:w="1549"/>
        <w:gridCol w:w="1406"/>
      </w:tblGrid>
      <w:tr w:rsidR="00752133" w:rsidRPr="00752133" w14:paraId="4D449736" w14:textId="77777777" w:rsidTr="00752133">
        <w:trPr>
          <w:trHeight w:val="278"/>
          <w:tblHeader/>
        </w:trPr>
        <w:tc>
          <w:tcPr>
            <w:tcW w:w="683" w:type="pct"/>
            <w:shd w:val="clear" w:color="auto" w:fill="DAEEF3"/>
            <w:hideMark/>
          </w:tcPr>
          <w:p w14:paraId="292EC8C8" w14:textId="77777777" w:rsidR="00752133" w:rsidRPr="00752133" w:rsidRDefault="00752133" w:rsidP="00752133">
            <w:pPr>
              <w:jc w:val="center"/>
              <w:rPr>
                <w:rFonts w:eastAsia="Calibri" w:cs="Times New Roman"/>
                <w:b/>
                <w:sz w:val="16"/>
                <w:szCs w:val="16"/>
              </w:rPr>
            </w:pPr>
            <w:r w:rsidRPr="00752133">
              <w:rPr>
                <w:rFonts w:eastAsia="Calibri" w:cs="Times New Roman"/>
                <w:b/>
                <w:sz w:val="16"/>
                <w:szCs w:val="16"/>
              </w:rPr>
              <w:t>Activity</w:t>
            </w:r>
          </w:p>
        </w:tc>
        <w:tc>
          <w:tcPr>
            <w:tcW w:w="750" w:type="pct"/>
            <w:shd w:val="clear" w:color="auto" w:fill="DAEEF3"/>
            <w:hideMark/>
          </w:tcPr>
          <w:p w14:paraId="02D97302" w14:textId="77777777" w:rsidR="00752133" w:rsidRPr="00752133" w:rsidRDefault="00752133" w:rsidP="00752133">
            <w:pPr>
              <w:spacing w:before="67"/>
              <w:jc w:val="center"/>
              <w:textAlignment w:val="baseline"/>
              <w:rPr>
                <w:rFonts w:eastAsia="Calibri" w:cs="Times New Roman"/>
                <w:b/>
                <w:sz w:val="16"/>
                <w:szCs w:val="16"/>
              </w:rPr>
            </w:pPr>
            <w:r w:rsidRPr="00752133">
              <w:rPr>
                <w:rFonts w:eastAsia="Calibri" w:cs="Times New Roman"/>
                <w:b/>
                <w:sz w:val="16"/>
                <w:szCs w:val="16"/>
              </w:rPr>
              <w:t xml:space="preserve">Location </w:t>
            </w:r>
          </w:p>
        </w:tc>
        <w:tc>
          <w:tcPr>
            <w:tcW w:w="732" w:type="pct"/>
            <w:shd w:val="clear" w:color="auto" w:fill="DAEEF3"/>
            <w:hideMark/>
          </w:tcPr>
          <w:p w14:paraId="6B1DB8BD" w14:textId="77777777" w:rsidR="00752133" w:rsidRPr="00752133" w:rsidRDefault="00752133" w:rsidP="00752133">
            <w:pPr>
              <w:spacing w:before="67"/>
              <w:jc w:val="center"/>
              <w:textAlignment w:val="baseline"/>
              <w:rPr>
                <w:rFonts w:eastAsia="Calibri" w:cs="Times New Roman"/>
                <w:b/>
                <w:sz w:val="16"/>
                <w:szCs w:val="16"/>
              </w:rPr>
            </w:pPr>
            <w:r w:rsidRPr="00752133">
              <w:rPr>
                <w:rFonts w:eastAsia="Calibri" w:cs="Times New Roman"/>
                <w:b/>
                <w:sz w:val="16"/>
                <w:szCs w:val="16"/>
              </w:rPr>
              <w:t xml:space="preserve">Ward No </w:t>
            </w:r>
          </w:p>
        </w:tc>
        <w:tc>
          <w:tcPr>
            <w:tcW w:w="612" w:type="pct"/>
            <w:shd w:val="clear" w:color="auto" w:fill="DAEEF3"/>
            <w:hideMark/>
          </w:tcPr>
          <w:p w14:paraId="6E452086" w14:textId="77777777" w:rsidR="00752133" w:rsidRPr="00752133" w:rsidRDefault="00752133" w:rsidP="00752133">
            <w:pPr>
              <w:spacing w:before="67"/>
              <w:jc w:val="center"/>
              <w:textAlignment w:val="baseline"/>
              <w:rPr>
                <w:rFonts w:eastAsia="Calibri" w:cs="Times New Roman"/>
                <w:b/>
                <w:sz w:val="16"/>
                <w:szCs w:val="16"/>
              </w:rPr>
            </w:pPr>
            <w:r w:rsidRPr="00752133">
              <w:rPr>
                <w:rFonts w:eastAsia="Calibri" w:cs="Times New Roman"/>
                <w:b/>
                <w:sz w:val="16"/>
                <w:szCs w:val="16"/>
              </w:rPr>
              <w:t>Road number</w:t>
            </w:r>
          </w:p>
        </w:tc>
        <w:tc>
          <w:tcPr>
            <w:tcW w:w="641" w:type="pct"/>
            <w:shd w:val="clear" w:color="auto" w:fill="DAEEF3"/>
            <w:hideMark/>
          </w:tcPr>
          <w:p w14:paraId="6CFD9ACE" w14:textId="77777777" w:rsidR="00752133" w:rsidRPr="00752133" w:rsidRDefault="00752133" w:rsidP="00752133">
            <w:pPr>
              <w:spacing w:before="67"/>
              <w:jc w:val="center"/>
              <w:textAlignment w:val="baseline"/>
              <w:rPr>
                <w:rFonts w:eastAsia="Calibri" w:cs="Times New Roman"/>
                <w:b/>
                <w:sz w:val="16"/>
                <w:szCs w:val="16"/>
              </w:rPr>
            </w:pPr>
            <w:r w:rsidRPr="00752133">
              <w:rPr>
                <w:rFonts w:eastAsia="Calibri" w:cs="Times New Roman"/>
                <w:b/>
                <w:sz w:val="16"/>
                <w:szCs w:val="16"/>
              </w:rPr>
              <w:t>Output (km/m²/no)</w:t>
            </w:r>
          </w:p>
        </w:tc>
        <w:tc>
          <w:tcPr>
            <w:tcW w:w="829" w:type="pct"/>
            <w:shd w:val="clear" w:color="auto" w:fill="DAEEF3"/>
            <w:hideMark/>
          </w:tcPr>
          <w:p w14:paraId="5828C0DA" w14:textId="77777777" w:rsidR="00752133" w:rsidRPr="00752133" w:rsidRDefault="00752133" w:rsidP="00752133">
            <w:pPr>
              <w:spacing w:before="67"/>
              <w:jc w:val="center"/>
              <w:textAlignment w:val="baseline"/>
              <w:rPr>
                <w:rFonts w:eastAsia="Calibri" w:cs="Times New Roman"/>
                <w:b/>
                <w:sz w:val="16"/>
                <w:szCs w:val="16"/>
              </w:rPr>
            </w:pPr>
            <w:r w:rsidRPr="00752133">
              <w:rPr>
                <w:rFonts w:eastAsia="Calibri" w:cs="Times New Roman"/>
                <w:b/>
                <w:sz w:val="16"/>
                <w:szCs w:val="16"/>
              </w:rPr>
              <w:t>Project Status</w:t>
            </w:r>
          </w:p>
        </w:tc>
        <w:tc>
          <w:tcPr>
            <w:tcW w:w="753" w:type="pct"/>
            <w:shd w:val="clear" w:color="auto" w:fill="DAEEF3"/>
            <w:hideMark/>
          </w:tcPr>
          <w:p w14:paraId="2E7B5A51" w14:textId="77777777" w:rsidR="00752133" w:rsidRPr="00752133" w:rsidRDefault="00752133" w:rsidP="00752133">
            <w:pPr>
              <w:spacing w:before="67"/>
              <w:jc w:val="center"/>
              <w:textAlignment w:val="baseline"/>
              <w:rPr>
                <w:rFonts w:eastAsia="Calibri" w:cs="Times New Roman"/>
                <w:b/>
                <w:sz w:val="16"/>
                <w:szCs w:val="16"/>
              </w:rPr>
            </w:pPr>
            <w:r w:rsidRPr="00752133">
              <w:rPr>
                <w:rFonts w:eastAsia="Calibri" w:cs="Times New Roman"/>
                <w:b/>
                <w:sz w:val="16"/>
                <w:szCs w:val="16"/>
              </w:rPr>
              <w:t>Comments</w:t>
            </w:r>
          </w:p>
        </w:tc>
      </w:tr>
      <w:tr w:rsidR="00752133" w:rsidRPr="00752133" w14:paraId="068F82ED" w14:textId="77777777" w:rsidTr="00752133">
        <w:trPr>
          <w:trHeight w:val="355"/>
        </w:trPr>
        <w:tc>
          <w:tcPr>
            <w:tcW w:w="683" w:type="pct"/>
            <w:hideMark/>
          </w:tcPr>
          <w:p w14:paraId="5B69DEE3"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 xml:space="preserve">Blacktop Patching </w:t>
            </w:r>
          </w:p>
        </w:tc>
        <w:tc>
          <w:tcPr>
            <w:tcW w:w="750" w:type="pct"/>
            <w:hideMark/>
          </w:tcPr>
          <w:p w14:paraId="0798965E" w14:textId="77777777" w:rsidR="00752133" w:rsidRPr="00752133" w:rsidRDefault="00752133" w:rsidP="00752133">
            <w:pPr>
              <w:rPr>
                <w:rFonts w:eastAsia="Calibri" w:cs="Times New Roman"/>
                <w:sz w:val="16"/>
                <w:szCs w:val="16"/>
              </w:rPr>
            </w:pPr>
          </w:p>
        </w:tc>
        <w:tc>
          <w:tcPr>
            <w:tcW w:w="732" w:type="pct"/>
            <w:hideMark/>
          </w:tcPr>
          <w:p w14:paraId="03CD36D8"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8, 17, 19, 27</w:t>
            </w:r>
          </w:p>
        </w:tc>
        <w:tc>
          <w:tcPr>
            <w:tcW w:w="612" w:type="pct"/>
            <w:hideMark/>
          </w:tcPr>
          <w:p w14:paraId="72BDB3C3"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P50/1, P326, P393,P2/4, P47,P266,P240</w:t>
            </w:r>
          </w:p>
        </w:tc>
        <w:tc>
          <w:tcPr>
            <w:tcW w:w="641" w:type="pct"/>
            <w:hideMark/>
          </w:tcPr>
          <w:p w14:paraId="72A641FD" w14:textId="77777777" w:rsidR="00752133" w:rsidRPr="00752133" w:rsidRDefault="00752133" w:rsidP="00752133">
            <w:pPr>
              <w:rPr>
                <w:rFonts w:eastAsia="Calibri" w:cs="Times New Roman"/>
                <w:sz w:val="16"/>
                <w:szCs w:val="16"/>
              </w:rPr>
            </w:pPr>
          </w:p>
        </w:tc>
        <w:tc>
          <w:tcPr>
            <w:tcW w:w="829" w:type="pct"/>
            <w:hideMark/>
          </w:tcPr>
          <w:p w14:paraId="6F3E7461"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90-99% Complete</w:t>
            </w:r>
          </w:p>
        </w:tc>
        <w:tc>
          <w:tcPr>
            <w:tcW w:w="753" w:type="pct"/>
            <w:hideMark/>
          </w:tcPr>
          <w:p w14:paraId="4A03959D"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On progress</w:t>
            </w:r>
          </w:p>
        </w:tc>
      </w:tr>
      <w:tr w:rsidR="00752133" w:rsidRPr="00752133" w14:paraId="3FD7E357" w14:textId="77777777" w:rsidTr="00752133">
        <w:trPr>
          <w:trHeight w:val="355"/>
        </w:trPr>
        <w:tc>
          <w:tcPr>
            <w:tcW w:w="683" w:type="pct"/>
            <w:hideMark/>
          </w:tcPr>
          <w:p w14:paraId="4A9E7E3C"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New Gravel Road</w:t>
            </w:r>
          </w:p>
        </w:tc>
        <w:tc>
          <w:tcPr>
            <w:tcW w:w="750" w:type="pct"/>
            <w:hideMark/>
          </w:tcPr>
          <w:p w14:paraId="3D5DB038"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Sgodo</w:t>
            </w:r>
          </w:p>
        </w:tc>
        <w:tc>
          <w:tcPr>
            <w:tcW w:w="732" w:type="pct"/>
            <w:hideMark/>
          </w:tcPr>
          <w:p w14:paraId="4E3E27D0"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Ward 21</w:t>
            </w:r>
          </w:p>
        </w:tc>
        <w:tc>
          <w:tcPr>
            <w:tcW w:w="612" w:type="pct"/>
            <w:hideMark/>
          </w:tcPr>
          <w:p w14:paraId="418A3DBD"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L627</w:t>
            </w:r>
          </w:p>
        </w:tc>
        <w:tc>
          <w:tcPr>
            <w:tcW w:w="641" w:type="pct"/>
            <w:hideMark/>
          </w:tcPr>
          <w:p w14:paraId="6F6F5A11"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2,8</w:t>
            </w:r>
          </w:p>
        </w:tc>
        <w:tc>
          <w:tcPr>
            <w:tcW w:w="829" w:type="pct"/>
            <w:hideMark/>
          </w:tcPr>
          <w:p w14:paraId="1DDF3949"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41-80% Complete</w:t>
            </w:r>
          </w:p>
        </w:tc>
        <w:tc>
          <w:tcPr>
            <w:tcW w:w="753" w:type="pct"/>
            <w:hideMark/>
          </w:tcPr>
          <w:p w14:paraId="17A569C8"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Busy with headwalls</w:t>
            </w:r>
          </w:p>
        </w:tc>
      </w:tr>
      <w:tr w:rsidR="00752133" w:rsidRPr="00752133" w14:paraId="7044B9F3" w14:textId="77777777" w:rsidTr="00752133">
        <w:trPr>
          <w:trHeight w:val="355"/>
        </w:trPr>
        <w:tc>
          <w:tcPr>
            <w:tcW w:w="683" w:type="pct"/>
            <w:hideMark/>
          </w:tcPr>
          <w:p w14:paraId="58395799"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Blading</w:t>
            </w:r>
          </w:p>
        </w:tc>
        <w:tc>
          <w:tcPr>
            <w:tcW w:w="750" w:type="pct"/>
            <w:hideMark/>
          </w:tcPr>
          <w:p w14:paraId="2AE25E00"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Various Roads</w:t>
            </w:r>
          </w:p>
        </w:tc>
        <w:tc>
          <w:tcPr>
            <w:tcW w:w="732" w:type="pct"/>
            <w:hideMark/>
          </w:tcPr>
          <w:p w14:paraId="493D0289"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1,2,3,4,5,6,8,6,7,9,</w:t>
            </w:r>
          </w:p>
          <w:p w14:paraId="4497281F"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10,13,14,</w:t>
            </w:r>
          </w:p>
        </w:tc>
        <w:tc>
          <w:tcPr>
            <w:tcW w:w="612" w:type="pct"/>
            <w:hideMark/>
          </w:tcPr>
          <w:p w14:paraId="75EB0BBE"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Various</w:t>
            </w:r>
          </w:p>
        </w:tc>
        <w:tc>
          <w:tcPr>
            <w:tcW w:w="641" w:type="pct"/>
            <w:hideMark/>
          </w:tcPr>
          <w:p w14:paraId="552E7A19" w14:textId="77777777" w:rsidR="00752133" w:rsidRPr="00752133" w:rsidRDefault="00752133" w:rsidP="00752133">
            <w:pPr>
              <w:rPr>
                <w:rFonts w:eastAsia="Calibri" w:cs="Times New Roman"/>
                <w:sz w:val="16"/>
                <w:szCs w:val="16"/>
              </w:rPr>
            </w:pPr>
          </w:p>
        </w:tc>
        <w:tc>
          <w:tcPr>
            <w:tcW w:w="829" w:type="pct"/>
            <w:hideMark/>
          </w:tcPr>
          <w:p w14:paraId="730EF782"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80-90% Complete</w:t>
            </w:r>
          </w:p>
        </w:tc>
        <w:tc>
          <w:tcPr>
            <w:tcW w:w="753" w:type="pct"/>
            <w:hideMark/>
          </w:tcPr>
          <w:p w14:paraId="203A1BAF"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On progress</w:t>
            </w:r>
          </w:p>
        </w:tc>
      </w:tr>
      <w:tr w:rsidR="00752133" w:rsidRPr="00752133" w14:paraId="4AC1BD29" w14:textId="77777777" w:rsidTr="00752133">
        <w:trPr>
          <w:trHeight w:val="355"/>
        </w:trPr>
        <w:tc>
          <w:tcPr>
            <w:tcW w:w="683" w:type="pct"/>
            <w:hideMark/>
          </w:tcPr>
          <w:p w14:paraId="179E9405"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Betterment &amp; Regravelling</w:t>
            </w:r>
          </w:p>
        </w:tc>
        <w:tc>
          <w:tcPr>
            <w:tcW w:w="750" w:type="pct"/>
            <w:hideMark/>
          </w:tcPr>
          <w:p w14:paraId="39A1374B"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Mbongolwane- Madidima</w:t>
            </w:r>
          </w:p>
        </w:tc>
        <w:tc>
          <w:tcPr>
            <w:tcW w:w="732" w:type="pct"/>
            <w:hideMark/>
          </w:tcPr>
          <w:p w14:paraId="78D309EA"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Ward 4</w:t>
            </w:r>
          </w:p>
        </w:tc>
        <w:tc>
          <w:tcPr>
            <w:tcW w:w="612" w:type="pct"/>
            <w:hideMark/>
          </w:tcPr>
          <w:p w14:paraId="533055C2"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 xml:space="preserve">P218 </w:t>
            </w:r>
          </w:p>
        </w:tc>
        <w:tc>
          <w:tcPr>
            <w:tcW w:w="641" w:type="pct"/>
            <w:hideMark/>
          </w:tcPr>
          <w:p w14:paraId="0056E825"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3,3</w:t>
            </w:r>
          </w:p>
        </w:tc>
        <w:tc>
          <w:tcPr>
            <w:tcW w:w="829" w:type="pct"/>
            <w:hideMark/>
          </w:tcPr>
          <w:p w14:paraId="21147FCD"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0-10% Complete</w:t>
            </w:r>
          </w:p>
        </w:tc>
        <w:tc>
          <w:tcPr>
            <w:tcW w:w="753" w:type="pct"/>
            <w:hideMark/>
          </w:tcPr>
          <w:p w14:paraId="2A77A355" w14:textId="77777777" w:rsidR="00752133" w:rsidRPr="00752133" w:rsidRDefault="00752133" w:rsidP="00752133">
            <w:pPr>
              <w:rPr>
                <w:rFonts w:eastAsia="Calibri" w:cs="Times New Roman"/>
                <w:sz w:val="16"/>
                <w:szCs w:val="16"/>
              </w:rPr>
            </w:pPr>
          </w:p>
        </w:tc>
      </w:tr>
      <w:tr w:rsidR="00752133" w:rsidRPr="00752133" w14:paraId="1BBA2F41" w14:textId="77777777" w:rsidTr="00752133">
        <w:trPr>
          <w:trHeight w:val="355"/>
        </w:trPr>
        <w:tc>
          <w:tcPr>
            <w:tcW w:w="683" w:type="pct"/>
            <w:hideMark/>
          </w:tcPr>
          <w:p w14:paraId="05829A1A"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Patch Gravelling &amp; Gabions protection</w:t>
            </w:r>
          </w:p>
        </w:tc>
        <w:tc>
          <w:tcPr>
            <w:tcW w:w="750" w:type="pct"/>
            <w:hideMark/>
          </w:tcPr>
          <w:p w14:paraId="7E5E8081"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 xml:space="preserve">Mbongolwane </w:t>
            </w:r>
          </w:p>
          <w:p w14:paraId="0A74C363"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(kopokopo)</w:t>
            </w:r>
          </w:p>
        </w:tc>
        <w:tc>
          <w:tcPr>
            <w:tcW w:w="732" w:type="pct"/>
            <w:hideMark/>
          </w:tcPr>
          <w:p w14:paraId="3C785D72"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Ward 2,3</w:t>
            </w:r>
          </w:p>
        </w:tc>
        <w:tc>
          <w:tcPr>
            <w:tcW w:w="612" w:type="pct"/>
            <w:hideMark/>
          </w:tcPr>
          <w:p w14:paraId="70A5A5E5"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L594</w:t>
            </w:r>
          </w:p>
        </w:tc>
        <w:tc>
          <w:tcPr>
            <w:tcW w:w="641" w:type="pct"/>
            <w:hideMark/>
          </w:tcPr>
          <w:p w14:paraId="1DDA26F9"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2</w:t>
            </w:r>
          </w:p>
        </w:tc>
        <w:tc>
          <w:tcPr>
            <w:tcW w:w="829" w:type="pct"/>
            <w:hideMark/>
          </w:tcPr>
          <w:p w14:paraId="5515DDC5"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95% Complete</w:t>
            </w:r>
          </w:p>
        </w:tc>
        <w:tc>
          <w:tcPr>
            <w:tcW w:w="753" w:type="pct"/>
            <w:hideMark/>
          </w:tcPr>
          <w:p w14:paraId="42E9BB10"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Done by internal team</w:t>
            </w:r>
          </w:p>
        </w:tc>
      </w:tr>
      <w:tr w:rsidR="00752133" w:rsidRPr="00752133" w14:paraId="297531D6" w14:textId="77777777" w:rsidTr="00752133">
        <w:trPr>
          <w:trHeight w:val="355"/>
        </w:trPr>
        <w:tc>
          <w:tcPr>
            <w:tcW w:w="683" w:type="pct"/>
            <w:hideMark/>
          </w:tcPr>
          <w:p w14:paraId="50B38D4E"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 xml:space="preserve">Patch Gravelling </w:t>
            </w:r>
          </w:p>
        </w:tc>
        <w:tc>
          <w:tcPr>
            <w:tcW w:w="750" w:type="pct"/>
            <w:hideMark/>
          </w:tcPr>
          <w:p w14:paraId="1340C820"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Ntumeni</w:t>
            </w:r>
          </w:p>
        </w:tc>
        <w:tc>
          <w:tcPr>
            <w:tcW w:w="732" w:type="pct"/>
            <w:hideMark/>
          </w:tcPr>
          <w:p w14:paraId="374A1E7C"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Ward 8</w:t>
            </w:r>
          </w:p>
        </w:tc>
        <w:tc>
          <w:tcPr>
            <w:tcW w:w="612" w:type="pct"/>
            <w:hideMark/>
          </w:tcPr>
          <w:p w14:paraId="318050FE"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L1371</w:t>
            </w:r>
          </w:p>
        </w:tc>
        <w:tc>
          <w:tcPr>
            <w:tcW w:w="641" w:type="pct"/>
            <w:hideMark/>
          </w:tcPr>
          <w:p w14:paraId="22AFE0DD"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0.5</w:t>
            </w:r>
          </w:p>
        </w:tc>
        <w:tc>
          <w:tcPr>
            <w:tcW w:w="829" w:type="pct"/>
            <w:hideMark/>
          </w:tcPr>
          <w:p w14:paraId="505247CA"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90-100% Complete</w:t>
            </w:r>
          </w:p>
        </w:tc>
        <w:tc>
          <w:tcPr>
            <w:tcW w:w="753" w:type="pct"/>
            <w:hideMark/>
          </w:tcPr>
          <w:p w14:paraId="7F98F17C"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Done by internal team</w:t>
            </w:r>
          </w:p>
        </w:tc>
      </w:tr>
      <w:tr w:rsidR="00752133" w:rsidRPr="00752133" w14:paraId="1C5BF67B" w14:textId="77777777" w:rsidTr="00752133">
        <w:trPr>
          <w:trHeight w:val="355"/>
        </w:trPr>
        <w:tc>
          <w:tcPr>
            <w:tcW w:w="683" w:type="pct"/>
            <w:hideMark/>
          </w:tcPr>
          <w:p w14:paraId="1005A81A"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 xml:space="preserve">Patch Gravelling </w:t>
            </w:r>
          </w:p>
        </w:tc>
        <w:tc>
          <w:tcPr>
            <w:tcW w:w="750" w:type="pct"/>
            <w:hideMark/>
          </w:tcPr>
          <w:p w14:paraId="440E9A41"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Nkanini</w:t>
            </w:r>
          </w:p>
          <w:p w14:paraId="7F407AEA"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(Mathibelana)</w:t>
            </w:r>
          </w:p>
        </w:tc>
        <w:tc>
          <w:tcPr>
            <w:tcW w:w="732" w:type="pct"/>
            <w:hideMark/>
          </w:tcPr>
          <w:p w14:paraId="67B851E6"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Ward 7,15</w:t>
            </w:r>
          </w:p>
        </w:tc>
        <w:tc>
          <w:tcPr>
            <w:tcW w:w="612" w:type="pct"/>
            <w:hideMark/>
          </w:tcPr>
          <w:p w14:paraId="252ADE2A"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L537</w:t>
            </w:r>
          </w:p>
        </w:tc>
        <w:tc>
          <w:tcPr>
            <w:tcW w:w="641" w:type="pct"/>
            <w:hideMark/>
          </w:tcPr>
          <w:p w14:paraId="7899C387"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0.5</w:t>
            </w:r>
          </w:p>
        </w:tc>
        <w:tc>
          <w:tcPr>
            <w:tcW w:w="829" w:type="pct"/>
            <w:hideMark/>
          </w:tcPr>
          <w:p w14:paraId="3DEEFCD1"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100% Complete</w:t>
            </w:r>
          </w:p>
        </w:tc>
        <w:tc>
          <w:tcPr>
            <w:tcW w:w="753" w:type="pct"/>
            <w:hideMark/>
          </w:tcPr>
          <w:p w14:paraId="1465B1A0"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Done by internal team</w:t>
            </w:r>
          </w:p>
        </w:tc>
      </w:tr>
      <w:tr w:rsidR="00752133" w:rsidRPr="00752133" w14:paraId="57305A49" w14:textId="77777777" w:rsidTr="00752133">
        <w:trPr>
          <w:trHeight w:val="355"/>
        </w:trPr>
        <w:tc>
          <w:tcPr>
            <w:tcW w:w="683" w:type="pct"/>
            <w:hideMark/>
          </w:tcPr>
          <w:p w14:paraId="0F0B9EBC"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 xml:space="preserve">Patch Gravelling </w:t>
            </w:r>
          </w:p>
        </w:tc>
        <w:tc>
          <w:tcPr>
            <w:tcW w:w="750" w:type="pct"/>
            <w:hideMark/>
          </w:tcPr>
          <w:p w14:paraId="4BD541CD"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Mpumazi</w:t>
            </w:r>
          </w:p>
        </w:tc>
        <w:tc>
          <w:tcPr>
            <w:tcW w:w="732" w:type="pct"/>
            <w:hideMark/>
          </w:tcPr>
          <w:p w14:paraId="4F4A3575"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Ward 13</w:t>
            </w:r>
          </w:p>
        </w:tc>
        <w:tc>
          <w:tcPr>
            <w:tcW w:w="612" w:type="pct"/>
            <w:hideMark/>
          </w:tcPr>
          <w:p w14:paraId="6CF19721"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D1548</w:t>
            </w:r>
          </w:p>
        </w:tc>
        <w:tc>
          <w:tcPr>
            <w:tcW w:w="641" w:type="pct"/>
            <w:hideMark/>
          </w:tcPr>
          <w:p w14:paraId="0B3FADB9"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1.8</w:t>
            </w:r>
          </w:p>
        </w:tc>
        <w:tc>
          <w:tcPr>
            <w:tcW w:w="829" w:type="pct"/>
            <w:hideMark/>
          </w:tcPr>
          <w:p w14:paraId="24F858DE"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100% Complete</w:t>
            </w:r>
          </w:p>
        </w:tc>
        <w:tc>
          <w:tcPr>
            <w:tcW w:w="753" w:type="pct"/>
            <w:hideMark/>
          </w:tcPr>
          <w:p w14:paraId="6675FB23"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Done by internal team</w:t>
            </w:r>
          </w:p>
        </w:tc>
      </w:tr>
      <w:tr w:rsidR="00752133" w:rsidRPr="00752133" w14:paraId="2544412B" w14:textId="77777777" w:rsidTr="00752133">
        <w:trPr>
          <w:trHeight w:val="355"/>
        </w:trPr>
        <w:tc>
          <w:tcPr>
            <w:tcW w:w="683" w:type="pct"/>
            <w:hideMark/>
          </w:tcPr>
          <w:p w14:paraId="750483EC"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Betterment &amp; Regravelling</w:t>
            </w:r>
          </w:p>
        </w:tc>
        <w:tc>
          <w:tcPr>
            <w:tcW w:w="750" w:type="pct"/>
            <w:hideMark/>
          </w:tcPr>
          <w:p w14:paraId="4945FA08"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Mthintombi</w:t>
            </w:r>
          </w:p>
        </w:tc>
        <w:tc>
          <w:tcPr>
            <w:tcW w:w="732" w:type="pct"/>
            <w:hideMark/>
          </w:tcPr>
          <w:p w14:paraId="1C95E425"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Ward 22</w:t>
            </w:r>
          </w:p>
        </w:tc>
        <w:tc>
          <w:tcPr>
            <w:tcW w:w="612" w:type="pct"/>
            <w:hideMark/>
          </w:tcPr>
          <w:p w14:paraId="3D5E0DBF"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L524</w:t>
            </w:r>
          </w:p>
        </w:tc>
        <w:tc>
          <w:tcPr>
            <w:tcW w:w="641" w:type="pct"/>
            <w:hideMark/>
          </w:tcPr>
          <w:p w14:paraId="5C423BF7"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2,5</w:t>
            </w:r>
          </w:p>
        </w:tc>
        <w:tc>
          <w:tcPr>
            <w:tcW w:w="829" w:type="pct"/>
            <w:hideMark/>
          </w:tcPr>
          <w:p w14:paraId="74035BED"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100% Complete</w:t>
            </w:r>
          </w:p>
        </w:tc>
        <w:tc>
          <w:tcPr>
            <w:tcW w:w="753" w:type="pct"/>
            <w:hideMark/>
          </w:tcPr>
          <w:p w14:paraId="3FEA9433" w14:textId="77777777" w:rsidR="00752133" w:rsidRPr="00752133" w:rsidRDefault="00752133" w:rsidP="00752133">
            <w:pPr>
              <w:rPr>
                <w:rFonts w:eastAsia="Calibri" w:cs="Times New Roman"/>
                <w:sz w:val="16"/>
                <w:szCs w:val="16"/>
              </w:rPr>
            </w:pPr>
          </w:p>
        </w:tc>
      </w:tr>
      <w:tr w:rsidR="00752133" w:rsidRPr="00752133" w14:paraId="64DA54B8" w14:textId="77777777" w:rsidTr="00752133">
        <w:trPr>
          <w:trHeight w:val="355"/>
        </w:trPr>
        <w:tc>
          <w:tcPr>
            <w:tcW w:w="683" w:type="pct"/>
            <w:hideMark/>
          </w:tcPr>
          <w:p w14:paraId="4684E3E4"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Betterment &amp; Regravelling</w:t>
            </w:r>
          </w:p>
        </w:tc>
        <w:tc>
          <w:tcPr>
            <w:tcW w:w="750" w:type="pct"/>
            <w:hideMark/>
          </w:tcPr>
          <w:p w14:paraId="7327706D"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Ntshidi</w:t>
            </w:r>
          </w:p>
        </w:tc>
        <w:tc>
          <w:tcPr>
            <w:tcW w:w="732" w:type="pct"/>
            <w:hideMark/>
          </w:tcPr>
          <w:p w14:paraId="4B10F431"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Ward 23</w:t>
            </w:r>
          </w:p>
        </w:tc>
        <w:tc>
          <w:tcPr>
            <w:tcW w:w="612" w:type="pct"/>
            <w:hideMark/>
          </w:tcPr>
          <w:p w14:paraId="6474D989"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(D1556)</w:t>
            </w:r>
          </w:p>
        </w:tc>
        <w:tc>
          <w:tcPr>
            <w:tcW w:w="641" w:type="pct"/>
            <w:hideMark/>
          </w:tcPr>
          <w:p w14:paraId="71CA3F86"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2,5</w:t>
            </w:r>
          </w:p>
        </w:tc>
        <w:tc>
          <w:tcPr>
            <w:tcW w:w="829" w:type="pct"/>
            <w:hideMark/>
          </w:tcPr>
          <w:p w14:paraId="76F3E0F3"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0-10 % complete</w:t>
            </w:r>
          </w:p>
        </w:tc>
        <w:tc>
          <w:tcPr>
            <w:tcW w:w="753" w:type="pct"/>
            <w:hideMark/>
          </w:tcPr>
          <w:p w14:paraId="0509D26D"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Still to lay pipes</w:t>
            </w:r>
          </w:p>
        </w:tc>
      </w:tr>
      <w:tr w:rsidR="00752133" w:rsidRPr="00752133" w14:paraId="5807CAED" w14:textId="77777777" w:rsidTr="00752133">
        <w:trPr>
          <w:trHeight w:val="355"/>
        </w:trPr>
        <w:tc>
          <w:tcPr>
            <w:tcW w:w="683" w:type="pct"/>
          </w:tcPr>
          <w:p w14:paraId="26F10EBB"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 xml:space="preserve">Patch Gravelling </w:t>
            </w:r>
          </w:p>
        </w:tc>
        <w:tc>
          <w:tcPr>
            <w:tcW w:w="750" w:type="pct"/>
          </w:tcPr>
          <w:p w14:paraId="08CEE764"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Mombheni</w:t>
            </w:r>
          </w:p>
        </w:tc>
        <w:tc>
          <w:tcPr>
            <w:tcW w:w="732" w:type="pct"/>
          </w:tcPr>
          <w:p w14:paraId="048F9770"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Ward 6</w:t>
            </w:r>
          </w:p>
        </w:tc>
        <w:tc>
          <w:tcPr>
            <w:tcW w:w="612" w:type="pct"/>
          </w:tcPr>
          <w:p w14:paraId="13B14855"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D356</w:t>
            </w:r>
          </w:p>
        </w:tc>
        <w:tc>
          <w:tcPr>
            <w:tcW w:w="641" w:type="pct"/>
          </w:tcPr>
          <w:p w14:paraId="1330918A"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2.3</w:t>
            </w:r>
          </w:p>
        </w:tc>
        <w:tc>
          <w:tcPr>
            <w:tcW w:w="829" w:type="pct"/>
          </w:tcPr>
          <w:p w14:paraId="494C1880"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100% Complete</w:t>
            </w:r>
          </w:p>
        </w:tc>
        <w:tc>
          <w:tcPr>
            <w:tcW w:w="753" w:type="pct"/>
          </w:tcPr>
          <w:p w14:paraId="0754B747"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Done by internal team</w:t>
            </w:r>
          </w:p>
        </w:tc>
      </w:tr>
      <w:tr w:rsidR="00752133" w:rsidRPr="00752133" w14:paraId="775FFBB9" w14:textId="77777777" w:rsidTr="00752133">
        <w:trPr>
          <w:trHeight w:val="355"/>
        </w:trPr>
        <w:tc>
          <w:tcPr>
            <w:tcW w:w="683" w:type="pct"/>
          </w:tcPr>
          <w:p w14:paraId="3E00BF6A"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 xml:space="preserve">Patch Gravelling </w:t>
            </w:r>
          </w:p>
        </w:tc>
        <w:tc>
          <w:tcPr>
            <w:tcW w:w="750" w:type="pct"/>
          </w:tcPr>
          <w:p w14:paraId="3DBC0CC4"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Khoza</w:t>
            </w:r>
          </w:p>
        </w:tc>
        <w:tc>
          <w:tcPr>
            <w:tcW w:w="732" w:type="pct"/>
          </w:tcPr>
          <w:p w14:paraId="72428B13"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Ward 15</w:t>
            </w:r>
          </w:p>
        </w:tc>
        <w:tc>
          <w:tcPr>
            <w:tcW w:w="612" w:type="pct"/>
          </w:tcPr>
          <w:p w14:paraId="7DDE49DD"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D135</w:t>
            </w:r>
          </w:p>
        </w:tc>
        <w:tc>
          <w:tcPr>
            <w:tcW w:w="641" w:type="pct"/>
          </w:tcPr>
          <w:p w14:paraId="53C4AE20"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3.3</w:t>
            </w:r>
          </w:p>
        </w:tc>
        <w:tc>
          <w:tcPr>
            <w:tcW w:w="829" w:type="pct"/>
          </w:tcPr>
          <w:p w14:paraId="3B58F1CB"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100% Complete</w:t>
            </w:r>
          </w:p>
        </w:tc>
        <w:tc>
          <w:tcPr>
            <w:tcW w:w="753" w:type="pct"/>
          </w:tcPr>
          <w:p w14:paraId="5E40CF5D"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Done by internal team</w:t>
            </w:r>
          </w:p>
        </w:tc>
      </w:tr>
      <w:tr w:rsidR="00752133" w:rsidRPr="00752133" w14:paraId="03FE5FCA" w14:textId="77777777" w:rsidTr="00752133">
        <w:trPr>
          <w:trHeight w:val="355"/>
        </w:trPr>
        <w:tc>
          <w:tcPr>
            <w:tcW w:w="683" w:type="pct"/>
          </w:tcPr>
          <w:p w14:paraId="3848D959"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 xml:space="preserve">Patch Gravelling </w:t>
            </w:r>
          </w:p>
        </w:tc>
        <w:tc>
          <w:tcPr>
            <w:tcW w:w="750" w:type="pct"/>
          </w:tcPr>
          <w:p w14:paraId="5DC70FF6"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Obanjeni</w:t>
            </w:r>
          </w:p>
        </w:tc>
        <w:tc>
          <w:tcPr>
            <w:tcW w:w="732" w:type="pct"/>
          </w:tcPr>
          <w:p w14:paraId="38BC2809"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Ward 20</w:t>
            </w:r>
          </w:p>
        </w:tc>
        <w:tc>
          <w:tcPr>
            <w:tcW w:w="612" w:type="pct"/>
          </w:tcPr>
          <w:p w14:paraId="2558A8AE"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L1696</w:t>
            </w:r>
          </w:p>
        </w:tc>
        <w:tc>
          <w:tcPr>
            <w:tcW w:w="641" w:type="pct"/>
          </w:tcPr>
          <w:p w14:paraId="554BD2A8"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2.9</w:t>
            </w:r>
          </w:p>
        </w:tc>
        <w:tc>
          <w:tcPr>
            <w:tcW w:w="829" w:type="pct"/>
          </w:tcPr>
          <w:p w14:paraId="58DD60C1"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100% Complete</w:t>
            </w:r>
          </w:p>
        </w:tc>
        <w:tc>
          <w:tcPr>
            <w:tcW w:w="753" w:type="pct"/>
          </w:tcPr>
          <w:p w14:paraId="3FD5B144"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Done by internal team</w:t>
            </w:r>
          </w:p>
        </w:tc>
      </w:tr>
      <w:tr w:rsidR="00752133" w:rsidRPr="00752133" w14:paraId="471AD89A" w14:textId="77777777" w:rsidTr="00752133">
        <w:trPr>
          <w:trHeight w:val="355"/>
        </w:trPr>
        <w:tc>
          <w:tcPr>
            <w:tcW w:w="683" w:type="pct"/>
          </w:tcPr>
          <w:p w14:paraId="50AD72F1"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 xml:space="preserve">Patch Gravelling </w:t>
            </w:r>
          </w:p>
        </w:tc>
        <w:tc>
          <w:tcPr>
            <w:tcW w:w="750" w:type="pct"/>
          </w:tcPr>
          <w:p w14:paraId="291F67FC"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Khoza</w:t>
            </w:r>
          </w:p>
        </w:tc>
        <w:tc>
          <w:tcPr>
            <w:tcW w:w="732" w:type="pct"/>
          </w:tcPr>
          <w:p w14:paraId="34E4FF9F"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Ward 15</w:t>
            </w:r>
          </w:p>
        </w:tc>
        <w:tc>
          <w:tcPr>
            <w:tcW w:w="612" w:type="pct"/>
          </w:tcPr>
          <w:p w14:paraId="502F3EC4"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A1641</w:t>
            </w:r>
          </w:p>
        </w:tc>
        <w:tc>
          <w:tcPr>
            <w:tcW w:w="641" w:type="pct"/>
          </w:tcPr>
          <w:p w14:paraId="3F87D466"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3.2</w:t>
            </w:r>
          </w:p>
        </w:tc>
        <w:tc>
          <w:tcPr>
            <w:tcW w:w="829" w:type="pct"/>
          </w:tcPr>
          <w:p w14:paraId="58EC15CF"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100% Complete</w:t>
            </w:r>
          </w:p>
        </w:tc>
        <w:tc>
          <w:tcPr>
            <w:tcW w:w="753" w:type="pct"/>
          </w:tcPr>
          <w:p w14:paraId="740D8E59"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Done by internal team</w:t>
            </w:r>
          </w:p>
        </w:tc>
      </w:tr>
      <w:tr w:rsidR="00752133" w:rsidRPr="00752133" w14:paraId="2AB7055D" w14:textId="77777777" w:rsidTr="00752133">
        <w:trPr>
          <w:trHeight w:val="355"/>
        </w:trPr>
        <w:tc>
          <w:tcPr>
            <w:tcW w:w="683" w:type="pct"/>
          </w:tcPr>
          <w:p w14:paraId="6BF477EA"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 xml:space="preserve">Patch Gravelling </w:t>
            </w:r>
          </w:p>
        </w:tc>
        <w:tc>
          <w:tcPr>
            <w:tcW w:w="750" w:type="pct"/>
          </w:tcPr>
          <w:p w14:paraId="1CA94266"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Mzimela</w:t>
            </w:r>
          </w:p>
        </w:tc>
        <w:tc>
          <w:tcPr>
            <w:tcW w:w="732" w:type="pct"/>
          </w:tcPr>
          <w:p w14:paraId="2464F63C"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Ward 23</w:t>
            </w:r>
          </w:p>
        </w:tc>
        <w:tc>
          <w:tcPr>
            <w:tcW w:w="612" w:type="pct"/>
          </w:tcPr>
          <w:p w14:paraId="50471198"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D1560</w:t>
            </w:r>
          </w:p>
        </w:tc>
        <w:tc>
          <w:tcPr>
            <w:tcW w:w="641" w:type="pct"/>
          </w:tcPr>
          <w:p w14:paraId="517ADE17"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4.4</w:t>
            </w:r>
          </w:p>
        </w:tc>
        <w:tc>
          <w:tcPr>
            <w:tcW w:w="829" w:type="pct"/>
          </w:tcPr>
          <w:p w14:paraId="71A70B71"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100% Complete</w:t>
            </w:r>
          </w:p>
        </w:tc>
        <w:tc>
          <w:tcPr>
            <w:tcW w:w="753" w:type="pct"/>
          </w:tcPr>
          <w:p w14:paraId="306EEE41"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Done by internal team</w:t>
            </w:r>
          </w:p>
        </w:tc>
      </w:tr>
      <w:tr w:rsidR="00752133" w:rsidRPr="00752133" w14:paraId="30A72837" w14:textId="77777777" w:rsidTr="00752133">
        <w:trPr>
          <w:trHeight w:val="355"/>
        </w:trPr>
        <w:tc>
          <w:tcPr>
            <w:tcW w:w="683" w:type="pct"/>
          </w:tcPr>
          <w:p w14:paraId="4A557AC8"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Betterment &amp; Regravelling</w:t>
            </w:r>
          </w:p>
        </w:tc>
        <w:tc>
          <w:tcPr>
            <w:tcW w:w="750" w:type="pct"/>
          </w:tcPr>
          <w:p w14:paraId="4C5414C3"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Mbongolwane</w:t>
            </w:r>
          </w:p>
        </w:tc>
        <w:tc>
          <w:tcPr>
            <w:tcW w:w="732" w:type="pct"/>
          </w:tcPr>
          <w:p w14:paraId="50AD48F7"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Ward 2</w:t>
            </w:r>
          </w:p>
        </w:tc>
        <w:tc>
          <w:tcPr>
            <w:tcW w:w="612" w:type="pct"/>
          </w:tcPr>
          <w:p w14:paraId="22D51A8D"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L588</w:t>
            </w:r>
          </w:p>
        </w:tc>
        <w:tc>
          <w:tcPr>
            <w:tcW w:w="641" w:type="pct"/>
          </w:tcPr>
          <w:p w14:paraId="64685F7F"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3,4</w:t>
            </w:r>
          </w:p>
        </w:tc>
        <w:tc>
          <w:tcPr>
            <w:tcW w:w="829" w:type="pct"/>
          </w:tcPr>
          <w:p w14:paraId="132487E5" w14:textId="77777777" w:rsidR="00752133" w:rsidRPr="00752133" w:rsidRDefault="00752133" w:rsidP="00752133">
            <w:pPr>
              <w:jc w:val="center"/>
              <w:textAlignment w:val="top"/>
              <w:rPr>
                <w:rFonts w:eastAsia="Calibri" w:cs="Times New Roman"/>
                <w:sz w:val="16"/>
                <w:szCs w:val="16"/>
              </w:rPr>
            </w:pPr>
            <w:r w:rsidRPr="00752133">
              <w:rPr>
                <w:rFonts w:eastAsia="Calibri" w:cs="Times New Roman"/>
                <w:sz w:val="16"/>
                <w:szCs w:val="16"/>
              </w:rPr>
              <w:t>41-80% Complete</w:t>
            </w:r>
          </w:p>
        </w:tc>
        <w:tc>
          <w:tcPr>
            <w:tcW w:w="753" w:type="pct"/>
          </w:tcPr>
          <w:p w14:paraId="7B7E2039" w14:textId="77777777" w:rsidR="00752133" w:rsidRPr="00752133" w:rsidRDefault="00752133" w:rsidP="00752133">
            <w:pPr>
              <w:textAlignment w:val="top"/>
              <w:rPr>
                <w:rFonts w:eastAsia="Calibri" w:cs="Times New Roman"/>
                <w:sz w:val="16"/>
                <w:szCs w:val="16"/>
              </w:rPr>
            </w:pPr>
          </w:p>
        </w:tc>
      </w:tr>
    </w:tbl>
    <w:p w14:paraId="3EDE17B3" w14:textId="77777777" w:rsidR="000D20BB" w:rsidRDefault="000D20BB" w:rsidP="00C148DC"/>
    <w:p w14:paraId="69400B3C" w14:textId="6A3D3B86" w:rsidR="001623EC" w:rsidRPr="00236ABE" w:rsidRDefault="000D20BB" w:rsidP="00236ABE">
      <w:pPr>
        <w:pStyle w:val="Heading3"/>
        <w:numPr>
          <w:ilvl w:val="2"/>
          <w:numId w:val="12"/>
        </w:numPr>
      </w:pPr>
      <w:bookmarkStart w:id="727" w:name="_Toc510706699"/>
      <w:r w:rsidRPr="00236ABE">
        <w:t>Department of Transport: 201</w:t>
      </w:r>
      <w:r w:rsidR="00752133">
        <w:t>8/19</w:t>
      </w:r>
      <w:r w:rsidRPr="00236ABE">
        <w:t xml:space="preserve"> uMlalazi LM Planned Projects.</w:t>
      </w:r>
      <w:bookmarkEnd w:id="727"/>
    </w:p>
    <w:tbl>
      <w:tblPr>
        <w:tblStyle w:val="TableGrid13"/>
        <w:tblW w:w="5181" w:type="pct"/>
        <w:tblLook w:val="0420" w:firstRow="1" w:lastRow="0" w:firstColumn="0" w:lastColumn="0" w:noHBand="0" w:noVBand="1"/>
      </w:tblPr>
      <w:tblGrid>
        <w:gridCol w:w="2252"/>
        <w:gridCol w:w="1526"/>
        <w:gridCol w:w="1187"/>
        <w:gridCol w:w="1203"/>
        <w:gridCol w:w="1798"/>
        <w:gridCol w:w="1702"/>
      </w:tblGrid>
      <w:tr w:rsidR="00752133" w:rsidRPr="00752133" w14:paraId="6149ED59" w14:textId="77777777" w:rsidTr="00752133">
        <w:trPr>
          <w:trHeight w:val="132"/>
        </w:trPr>
        <w:tc>
          <w:tcPr>
            <w:tcW w:w="1165" w:type="pct"/>
            <w:shd w:val="clear" w:color="auto" w:fill="BFBFBF" w:themeFill="background1" w:themeFillShade="BF"/>
            <w:hideMark/>
          </w:tcPr>
          <w:p w14:paraId="7B6567DF" w14:textId="77777777" w:rsidR="00752133" w:rsidRPr="00752133" w:rsidRDefault="00752133" w:rsidP="00752133">
            <w:pPr>
              <w:textAlignment w:val="top"/>
              <w:rPr>
                <w:rFonts w:eastAsia="Calibri" w:cs="Times New Roman"/>
                <w:b/>
                <w:szCs w:val="16"/>
              </w:rPr>
            </w:pPr>
            <w:r w:rsidRPr="00752133">
              <w:rPr>
                <w:rFonts w:eastAsia="Calibri" w:cs="Times New Roman"/>
                <w:b/>
                <w:szCs w:val="16"/>
              </w:rPr>
              <w:t>Activity</w:t>
            </w:r>
          </w:p>
        </w:tc>
        <w:tc>
          <w:tcPr>
            <w:tcW w:w="789" w:type="pct"/>
            <w:shd w:val="clear" w:color="auto" w:fill="BFBFBF" w:themeFill="background1" w:themeFillShade="BF"/>
            <w:hideMark/>
          </w:tcPr>
          <w:p w14:paraId="7C4EC653" w14:textId="77777777" w:rsidR="00752133" w:rsidRPr="00752133" w:rsidRDefault="00752133" w:rsidP="00752133">
            <w:pPr>
              <w:textAlignment w:val="top"/>
              <w:rPr>
                <w:rFonts w:eastAsia="Calibri" w:cs="Times New Roman"/>
                <w:b/>
                <w:szCs w:val="16"/>
              </w:rPr>
            </w:pPr>
            <w:r w:rsidRPr="00752133">
              <w:rPr>
                <w:rFonts w:eastAsia="Calibri" w:cs="Times New Roman"/>
                <w:b/>
                <w:szCs w:val="16"/>
              </w:rPr>
              <w:t>Location</w:t>
            </w:r>
          </w:p>
        </w:tc>
        <w:tc>
          <w:tcPr>
            <w:tcW w:w="614" w:type="pct"/>
            <w:shd w:val="clear" w:color="auto" w:fill="BFBFBF" w:themeFill="background1" w:themeFillShade="BF"/>
            <w:hideMark/>
          </w:tcPr>
          <w:p w14:paraId="751B6924" w14:textId="77777777" w:rsidR="00752133" w:rsidRPr="00752133" w:rsidRDefault="00752133" w:rsidP="00752133">
            <w:pPr>
              <w:textAlignment w:val="top"/>
              <w:rPr>
                <w:rFonts w:eastAsia="Calibri" w:cs="Times New Roman"/>
                <w:b/>
                <w:szCs w:val="16"/>
              </w:rPr>
            </w:pPr>
            <w:r w:rsidRPr="00752133">
              <w:rPr>
                <w:rFonts w:eastAsia="Calibri" w:cs="Times New Roman"/>
                <w:b/>
                <w:szCs w:val="16"/>
              </w:rPr>
              <w:t xml:space="preserve">Ward No </w:t>
            </w:r>
          </w:p>
        </w:tc>
        <w:tc>
          <w:tcPr>
            <w:tcW w:w="622" w:type="pct"/>
            <w:shd w:val="clear" w:color="auto" w:fill="BFBFBF" w:themeFill="background1" w:themeFillShade="BF"/>
            <w:hideMark/>
          </w:tcPr>
          <w:p w14:paraId="379D882F" w14:textId="77777777" w:rsidR="00752133" w:rsidRPr="00752133" w:rsidRDefault="00752133" w:rsidP="00752133">
            <w:pPr>
              <w:textAlignment w:val="top"/>
              <w:rPr>
                <w:rFonts w:eastAsia="Calibri" w:cs="Times New Roman"/>
                <w:b/>
                <w:szCs w:val="16"/>
              </w:rPr>
            </w:pPr>
            <w:r w:rsidRPr="00752133">
              <w:rPr>
                <w:rFonts w:eastAsia="Calibri" w:cs="Times New Roman"/>
                <w:b/>
                <w:szCs w:val="16"/>
              </w:rPr>
              <w:t>Road number</w:t>
            </w:r>
          </w:p>
        </w:tc>
        <w:tc>
          <w:tcPr>
            <w:tcW w:w="930" w:type="pct"/>
            <w:shd w:val="clear" w:color="auto" w:fill="BFBFBF" w:themeFill="background1" w:themeFillShade="BF"/>
            <w:hideMark/>
          </w:tcPr>
          <w:p w14:paraId="317E4186" w14:textId="77777777" w:rsidR="00752133" w:rsidRPr="00752133" w:rsidRDefault="00752133" w:rsidP="00752133">
            <w:pPr>
              <w:textAlignment w:val="top"/>
              <w:rPr>
                <w:rFonts w:eastAsia="Calibri" w:cs="Times New Roman"/>
                <w:b/>
                <w:szCs w:val="16"/>
              </w:rPr>
            </w:pPr>
            <w:r w:rsidRPr="00752133">
              <w:rPr>
                <w:rFonts w:eastAsia="Calibri" w:cs="Times New Roman"/>
                <w:b/>
                <w:szCs w:val="16"/>
              </w:rPr>
              <w:t>Project Status</w:t>
            </w:r>
          </w:p>
        </w:tc>
        <w:tc>
          <w:tcPr>
            <w:tcW w:w="880" w:type="pct"/>
            <w:shd w:val="clear" w:color="auto" w:fill="BFBFBF" w:themeFill="background1" w:themeFillShade="BF"/>
            <w:hideMark/>
          </w:tcPr>
          <w:p w14:paraId="53A49256" w14:textId="77777777" w:rsidR="00752133" w:rsidRPr="00752133" w:rsidRDefault="00752133" w:rsidP="00752133">
            <w:pPr>
              <w:textAlignment w:val="top"/>
              <w:rPr>
                <w:rFonts w:eastAsia="Calibri" w:cs="Times New Roman"/>
                <w:b/>
                <w:szCs w:val="16"/>
              </w:rPr>
            </w:pPr>
            <w:r w:rsidRPr="00752133">
              <w:rPr>
                <w:rFonts w:eastAsia="Calibri" w:cs="Times New Roman"/>
                <w:b/>
                <w:szCs w:val="16"/>
              </w:rPr>
              <w:t>Output (km/m²/no)</w:t>
            </w:r>
          </w:p>
        </w:tc>
      </w:tr>
      <w:tr w:rsidR="00752133" w:rsidRPr="00752133" w14:paraId="4C2D8D2A" w14:textId="77777777" w:rsidTr="00752133">
        <w:trPr>
          <w:trHeight w:val="81"/>
        </w:trPr>
        <w:tc>
          <w:tcPr>
            <w:tcW w:w="1165" w:type="pct"/>
            <w:hideMark/>
          </w:tcPr>
          <w:p w14:paraId="6C235FA6"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Betterment &amp; Regravelling</w:t>
            </w:r>
          </w:p>
        </w:tc>
        <w:tc>
          <w:tcPr>
            <w:tcW w:w="789" w:type="pct"/>
            <w:hideMark/>
          </w:tcPr>
          <w:p w14:paraId="241947DC"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 xml:space="preserve">Ngudwini </w:t>
            </w:r>
          </w:p>
        </w:tc>
        <w:tc>
          <w:tcPr>
            <w:tcW w:w="614" w:type="pct"/>
            <w:hideMark/>
          </w:tcPr>
          <w:p w14:paraId="78E693C4"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Ward 5</w:t>
            </w:r>
          </w:p>
        </w:tc>
        <w:tc>
          <w:tcPr>
            <w:tcW w:w="622" w:type="pct"/>
            <w:hideMark/>
          </w:tcPr>
          <w:p w14:paraId="40BFC608"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L1370</w:t>
            </w:r>
          </w:p>
        </w:tc>
        <w:tc>
          <w:tcPr>
            <w:tcW w:w="930" w:type="pct"/>
            <w:hideMark/>
          </w:tcPr>
          <w:p w14:paraId="181CF641"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Submitted to BEC</w:t>
            </w:r>
          </w:p>
        </w:tc>
        <w:tc>
          <w:tcPr>
            <w:tcW w:w="880" w:type="pct"/>
            <w:hideMark/>
          </w:tcPr>
          <w:p w14:paraId="2A1FCAD2"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2,5</w:t>
            </w:r>
          </w:p>
        </w:tc>
      </w:tr>
      <w:tr w:rsidR="00752133" w:rsidRPr="00752133" w14:paraId="081C164B" w14:textId="77777777" w:rsidTr="00752133">
        <w:trPr>
          <w:trHeight w:val="72"/>
        </w:trPr>
        <w:tc>
          <w:tcPr>
            <w:tcW w:w="1165" w:type="pct"/>
            <w:hideMark/>
          </w:tcPr>
          <w:p w14:paraId="0A8D637F"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Betterment &amp; Regravelling</w:t>
            </w:r>
          </w:p>
        </w:tc>
        <w:tc>
          <w:tcPr>
            <w:tcW w:w="789" w:type="pct"/>
            <w:hideMark/>
          </w:tcPr>
          <w:p w14:paraId="6D2EAD71"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Mombeni</w:t>
            </w:r>
          </w:p>
        </w:tc>
        <w:tc>
          <w:tcPr>
            <w:tcW w:w="614" w:type="pct"/>
            <w:hideMark/>
          </w:tcPr>
          <w:p w14:paraId="32C0ABA2"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Ward 6</w:t>
            </w:r>
          </w:p>
        </w:tc>
        <w:tc>
          <w:tcPr>
            <w:tcW w:w="622" w:type="pct"/>
            <w:hideMark/>
          </w:tcPr>
          <w:p w14:paraId="248528C4"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D356</w:t>
            </w:r>
          </w:p>
        </w:tc>
        <w:tc>
          <w:tcPr>
            <w:tcW w:w="930" w:type="pct"/>
            <w:hideMark/>
          </w:tcPr>
          <w:p w14:paraId="2379A28C"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Preparing Spec Docs</w:t>
            </w:r>
          </w:p>
        </w:tc>
        <w:tc>
          <w:tcPr>
            <w:tcW w:w="880" w:type="pct"/>
            <w:hideMark/>
          </w:tcPr>
          <w:p w14:paraId="0C5DA94F"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3,5</w:t>
            </w:r>
          </w:p>
        </w:tc>
      </w:tr>
      <w:tr w:rsidR="00752133" w:rsidRPr="00752133" w14:paraId="7B54B973" w14:textId="77777777" w:rsidTr="00752133">
        <w:trPr>
          <w:trHeight w:val="64"/>
        </w:trPr>
        <w:tc>
          <w:tcPr>
            <w:tcW w:w="1165" w:type="pct"/>
            <w:hideMark/>
          </w:tcPr>
          <w:p w14:paraId="388FEE80"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Betterment &amp; Regravelling</w:t>
            </w:r>
          </w:p>
        </w:tc>
        <w:tc>
          <w:tcPr>
            <w:tcW w:w="789" w:type="pct"/>
            <w:hideMark/>
          </w:tcPr>
          <w:p w14:paraId="04BD6FA6"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 xml:space="preserve">Matshekazane </w:t>
            </w:r>
          </w:p>
        </w:tc>
        <w:tc>
          <w:tcPr>
            <w:tcW w:w="614" w:type="pct"/>
            <w:hideMark/>
          </w:tcPr>
          <w:p w14:paraId="7270DE9C"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Ward 1</w:t>
            </w:r>
          </w:p>
        </w:tc>
        <w:tc>
          <w:tcPr>
            <w:tcW w:w="622" w:type="pct"/>
            <w:hideMark/>
          </w:tcPr>
          <w:p w14:paraId="6F19066C"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L591</w:t>
            </w:r>
          </w:p>
        </w:tc>
        <w:tc>
          <w:tcPr>
            <w:tcW w:w="930" w:type="pct"/>
            <w:hideMark/>
          </w:tcPr>
          <w:p w14:paraId="2E1851E6"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Preparing Spec Docs</w:t>
            </w:r>
          </w:p>
        </w:tc>
        <w:tc>
          <w:tcPr>
            <w:tcW w:w="880" w:type="pct"/>
            <w:hideMark/>
          </w:tcPr>
          <w:p w14:paraId="760AB759"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3,7</w:t>
            </w:r>
          </w:p>
        </w:tc>
      </w:tr>
      <w:tr w:rsidR="00752133" w:rsidRPr="00752133" w14:paraId="571472F4" w14:textId="77777777" w:rsidTr="00752133">
        <w:trPr>
          <w:trHeight w:val="114"/>
        </w:trPr>
        <w:tc>
          <w:tcPr>
            <w:tcW w:w="1165" w:type="pct"/>
            <w:hideMark/>
          </w:tcPr>
          <w:p w14:paraId="7C5B6882"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Betterment &amp; Regravelling</w:t>
            </w:r>
          </w:p>
        </w:tc>
        <w:tc>
          <w:tcPr>
            <w:tcW w:w="789" w:type="pct"/>
            <w:hideMark/>
          </w:tcPr>
          <w:p w14:paraId="59C54D9E"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Ntabantuzuma</w:t>
            </w:r>
          </w:p>
        </w:tc>
        <w:tc>
          <w:tcPr>
            <w:tcW w:w="614" w:type="pct"/>
            <w:hideMark/>
          </w:tcPr>
          <w:p w14:paraId="013F9320"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Ward 8</w:t>
            </w:r>
          </w:p>
        </w:tc>
        <w:tc>
          <w:tcPr>
            <w:tcW w:w="622" w:type="pct"/>
            <w:hideMark/>
          </w:tcPr>
          <w:p w14:paraId="7EFBD53D"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L1242 &amp; L1245</w:t>
            </w:r>
          </w:p>
        </w:tc>
        <w:tc>
          <w:tcPr>
            <w:tcW w:w="930" w:type="pct"/>
            <w:hideMark/>
          </w:tcPr>
          <w:p w14:paraId="1E308238"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Submitted to BEC</w:t>
            </w:r>
          </w:p>
        </w:tc>
        <w:tc>
          <w:tcPr>
            <w:tcW w:w="880" w:type="pct"/>
            <w:hideMark/>
          </w:tcPr>
          <w:p w14:paraId="46006381"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7,7</w:t>
            </w:r>
          </w:p>
        </w:tc>
      </w:tr>
      <w:tr w:rsidR="00752133" w:rsidRPr="00752133" w14:paraId="36781D4A" w14:textId="77777777" w:rsidTr="00752133">
        <w:trPr>
          <w:trHeight w:val="164"/>
        </w:trPr>
        <w:tc>
          <w:tcPr>
            <w:tcW w:w="1165" w:type="pct"/>
            <w:hideMark/>
          </w:tcPr>
          <w:p w14:paraId="468AD48E"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Betterment &amp; Regravelling</w:t>
            </w:r>
          </w:p>
        </w:tc>
        <w:tc>
          <w:tcPr>
            <w:tcW w:w="789" w:type="pct"/>
            <w:hideMark/>
          </w:tcPr>
          <w:p w14:paraId="5709243A"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Mbongolwane-</w:t>
            </w:r>
          </w:p>
        </w:tc>
        <w:tc>
          <w:tcPr>
            <w:tcW w:w="614" w:type="pct"/>
            <w:hideMark/>
          </w:tcPr>
          <w:p w14:paraId="14BF9A57"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Ward 3</w:t>
            </w:r>
          </w:p>
        </w:tc>
        <w:tc>
          <w:tcPr>
            <w:tcW w:w="622" w:type="pct"/>
            <w:hideMark/>
          </w:tcPr>
          <w:p w14:paraId="1590CA35"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D1544</w:t>
            </w:r>
          </w:p>
        </w:tc>
        <w:tc>
          <w:tcPr>
            <w:tcW w:w="930" w:type="pct"/>
            <w:hideMark/>
          </w:tcPr>
          <w:p w14:paraId="6EAA1B7B"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Submitted to BEC</w:t>
            </w:r>
          </w:p>
        </w:tc>
        <w:tc>
          <w:tcPr>
            <w:tcW w:w="880" w:type="pct"/>
            <w:hideMark/>
          </w:tcPr>
          <w:p w14:paraId="0EED41C9"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5,7</w:t>
            </w:r>
          </w:p>
        </w:tc>
      </w:tr>
      <w:tr w:rsidR="00752133" w:rsidRPr="00752133" w14:paraId="4BC206BD" w14:textId="77777777" w:rsidTr="00752133">
        <w:trPr>
          <w:trHeight w:val="64"/>
        </w:trPr>
        <w:tc>
          <w:tcPr>
            <w:tcW w:w="1165" w:type="pct"/>
            <w:hideMark/>
          </w:tcPr>
          <w:p w14:paraId="39087D78"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Betterment &amp; Regravelling</w:t>
            </w:r>
          </w:p>
        </w:tc>
        <w:tc>
          <w:tcPr>
            <w:tcW w:w="789" w:type="pct"/>
            <w:hideMark/>
          </w:tcPr>
          <w:p w14:paraId="15C2396A"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Obanjeni</w:t>
            </w:r>
          </w:p>
        </w:tc>
        <w:tc>
          <w:tcPr>
            <w:tcW w:w="614" w:type="pct"/>
            <w:hideMark/>
          </w:tcPr>
          <w:p w14:paraId="572162A9"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Ward 21</w:t>
            </w:r>
          </w:p>
        </w:tc>
        <w:tc>
          <w:tcPr>
            <w:tcW w:w="622" w:type="pct"/>
            <w:hideMark/>
          </w:tcPr>
          <w:p w14:paraId="36D2CE5A"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P525</w:t>
            </w:r>
          </w:p>
        </w:tc>
        <w:tc>
          <w:tcPr>
            <w:tcW w:w="930" w:type="pct"/>
            <w:hideMark/>
          </w:tcPr>
          <w:p w14:paraId="50432E2F"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Preparing Spec Docs</w:t>
            </w:r>
          </w:p>
        </w:tc>
        <w:tc>
          <w:tcPr>
            <w:tcW w:w="880" w:type="pct"/>
            <w:hideMark/>
          </w:tcPr>
          <w:p w14:paraId="3C4F9299"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5</w:t>
            </w:r>
          </w:p>
        </w:tc>
      </w:tr>
      <w:tr w:rsidR="00752133" w:rsidRPr="00752133" w14:paraId="719AFB89" w14:textId="77777777" w:rsidTr="00752133">
        <w:trPr>
          <w:trHeight w:val="64"/>
        </w:trPr>
        <w:tc>
          <w:tcPr>
            <w:tcW w:w="1165" w:type="pct"/>
            <w:hideMark/>
          </w:tcPr>
          <w:p w14:paraId="6D894BA9"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Betterment &amp; Regravelling</w:t>
            </w:r>
          </w:p>
        </w:tc>
        <w:tc>
          <w:tcPr>
            <w:tcW w:w="789" w:type="pct"/>
            <w:hideMark/>
          </w:tcPr>
          <w:p w14:paraId="47288BC7"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Habeni</w:t>
            </w:r>
          </w:p>
        </w:tc>
        <w:tc>
          <w:tcPr>
            <w:tcW w:w="614" w:type="pct"/>
            <w:hideMark/>
          </w:tcPr>
          <w:p w14:paraId="79873505"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Ward 25</w:t>
            </w:r>
          </w:p>
        </w:tc>
        <w:tc>
          <w:tcPr>
            <w:tcW w:w="622" w:type="pct"/>
            <w:hideMark/>
          </w:tcPr>
          <w:p w14:paraId="5309F7F4"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L1697</w:t>
            </w:r>
          </w:p>
        </w:tc>
        <w:tc>
          <w:tcPr>
            <w:tcW w:w="930" w:type="pct"/>
            <w:hideMark/>
          </w:tcPr>
          <w:p w14:paraId="407A1E49"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Preparing Spec Docs</w:t>
            </w:r>
          </w:p>
        </w:tc>
        <w:tc>
          <w:tcPr>
            <w:tcW w:w="880" w:type="pct"/>
            <w:hideMark/>
          </w:tcPr>
          <w:p w14:paraId="27E8BDC6"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3</w:t>
            </w:r>
          </w:p>
        </w:tc>
      </w:tr>
      <w:tr w:rsidR="00752133" w:rsidRPr="00752133" w14:paraId="7916F0D2" w14:textId="77777777" w:rsidTr="00752133">
        <w:trPr>
          <w:trHeight w:val="180"/>
        </w:trPr>
        <w:tc>
          <w:tcPr>
            <w:tcW w:w="1165" w:type="pct"/>
            <w:hideMark/>
          </w:tcPr>
          <w:p w14:paraId="61B0A1B1"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Betterment &amp; Regravelliing</w:t>
            </w:r>
          </w:p>
        </w:tc>
        <w:tc>
          <w:tcPr>
            <w:tcW w:w="789" w:type="pct"/>
            <w:hideMark/>
          </w:tcPr>
          <w:p w14:paraId="5037E4EF"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Kholweni</w:t>
            </w:r>
          </w:p>
        </w:tc>
        <w:tc>
          <w:tcPr>
            <w:tcW w:w="614" w:type="pct"/>
            <w:hideMark/>
          </w:tcPr>
          <w:p w14:paraId="0B56724E"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Ward 8</w:t>
            </w:r>
          </w:p>
        </w:tc>
        <w:tc>
          <w:tcPr>
            <w:tcW w:w="622" w:type="pct"/>
            <w:hideMark/>
          </w:tcPr>
          <w:p w14:paraId="0E6BC6C6"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L1246</w:t>
            </w:r>
          </w:p>
        </w:tc>
        <w:tc>
          <w:tcPr>
            <w:tcW w:w="930" w:type="pct"/>
            <w:hideMark/>
          </w:tcPr>
          <w:p w14:paraId="57B54264"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Preparing Spec Docs</w:t>
            </w:r>
          </w:p>
        </w:tc>
        <w:tc>
          <w:tcPr>
            <w:tcW w:w="880" w:type="pct"/>
            <w:hideMark/>
          </w:tcPr>
          <w:p w14:paraId="5FC0D376"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3</w:t>
            </w:r>
          </w:p>
        </w:tc>
      </w:tr>
      <w:tr w:rsidR="00752133" w:rsidRPr="00752133" w14:paraId="379AA0CB" w14:textId="77777777" w:rsidTr="00752133">
        <w:trPr>
          <w:trHeight w:val="101"/>
        </w:trPr>
        <w:tc>
          <w:tcPr>
            <w:tcW w:w="1165" w:type="pct"/>
            <w:hideMark/>
          </w:tcPr>
          <w:p w14:paraId="0021AD5E"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Betterment &amp; Regravelliing</w:t>
            </w:r>
          </w:p>
        </w:tc>
        <w:tc>
          <w:tcPr>
            <w:tcW w:w="789" w:type="pct"/>
            <w:hideMark/>
          </w:tcPr>
          <w:p w14:paraId="2704930A"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Makhilimba</w:t>
            </w:r>
          </w:p>
        </w:tc>
        <w:tc>
          <w:tcPr>
            <w:tcW w:w="614" w:type="pct"/>
            <w:hideMark/>
          </w:tcPr>
          <w:p w14:paraId="7589C0B2"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Ward 14</w:t>
            </w:r>
          </w:p>
        </w:tc>
        <w:tc>
          <w:tcPr>
            <w:tcW w:w="622" w:type="pct"/>
            <w:hideMark/>
          </w:tcPr>
          <w:p w14:paraId="40B261A1"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L623</w:t>
            </w:r>
          </w:p>
        </w:tc>
        <w:tc>
          <w:tcPr>
            <w:tcW w:w="930" w:type="pct"/>
            <w:hideMark/>
          </w:tcPr>
          <w:p w14:paraId="165825CC"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Preparing Spec Docs</w:t>
            </w:r>
          </w:p>
        </w:tc>
        <w:tc>
          <w:tcPr>
            <w:tcW w:w="880" w:type="pct"/>
            <w:hideMark/>
          </w:tcPr>
          <w:p w14:paraId="4EAEC173"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2,0</w:t>
            </w:r>
          </w:p>
        </w:tc>
      </w:tr>
      <w:tr w:rsidR="00752133" w:rsidRPr="00752133" w14:paraId="50C1FA40" w14:textId="77777777" w:rsidTr="00752133">
        <w:trPr>
          <w:trHeight w:val="109"/>
        </w:trPr>
        <w:tc>
          <w:tcPr>
            <w:tcW w:w="1165" w:type="pct"/>
            <w:hideMark/>
          </w:tcPr>
          <w:p w14:paraId="421769EE"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Betterment &amp; Regravelliing</w:t>
            </w:r>
          </w:p>
        </w:tc>
        <w:tc>
          <w:tcPr>
            <w:tcW w:w="789" w:type="pct"/>
            <w:hideMark/>
          </w:tcPr>
          <w:p w14:paraId="1747B5AA"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Makhilimba</w:t>
            </w:r>
          </w:p>
        </w:tc>
        <w:tc>
          <w:tcPr>
            <w:tcW w:w="614" w:type="pct"/>
            <w:hideMark/>
          </w:tcPr>
          <w:p w14:paraId="35110B4F"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Ward 11</w:t>
            </w:r>
          </w:p>
        </w:tc>
        <w:tc>
          <w:tcPr>
            <w:tcW w:w="622" w:type="pct"/>
            <w:hideMark/>
          </w:tcPr>
          <w:p w14:paraId="69EB934A"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L628</w:t>
            </w:r>
          </w:p>
        </w:tc>
        <w:tc>
          <w:tcPr>
            <w:tcW w:w="930" w:type="pct"/>
            <w:hideMark/>
          </w:tcPr>
          <w:p w14:paraId="0D7E6390"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Preparing Spec Docs</w:t>
            </w:r>
          </w:p>
        </w:tc>
        <w:tc>
          <w:tcPr>
            <w:tcW w:w="880" w:type="pct"/>
            <w:hideMark/>
          </w:tcPr>
          <w:p w14:paraId="44BE5172"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4,0</w:t>
            </w:r>
          </w:p>
        </w:tc>
      </w:tr>
      <w:tr w:rsidR="00752133" w:rsidRPr="00752133" w14:paraId="79CA1374" w14:textId="77777777" w:rsidTr="00752133">
        <w:trPr>
          <w:trHeight w:val="183"/>
        </w:trPr>
        <w:tc>
          <w:tcPr>
            <w:tcW w:w="1165" w:type="pct"/>
            <w:hideMark/>
          </w:tcPr>
          <w:p w14:paraId="3CAA4809"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Betterment &amp; Regravelliing</w:t>
            </w:r>
          </w:p>
        </w:tc>
        <w:tc>
          <w:tcPr>
            <w:tcW w:w="789" w:type="pct"/>
            <w:hideMark/>
          </w:tcPr>
          <w:p w14:paraId="6B9A527D"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Mombeni</w:t>
            </w:r>
          </w:p>
        </w:tc>
        <w:tc>
          <w:tcPr>
            <w:tcW w:w="614" w:type="pct"/>
            <w:hideMark/>
          </w:tcPr>
          <w:p w14:paraId="1A5B81B8"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Ward 6</w:t>
            </w:r>
          </w:p>
        </w:tc>
        <w:tc>
          <w:tcPr>
            <w:tcW w:w="622" w:type="pct"/>
            <w:hideMark/>
          </w:tcPr>
          <w:p w14:paraId="438C3082"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A1662</w:t>
            </w:r>
          </w:p>
        </w:tc>
        <w:tc>
          <w:tcPr>
            <w:tcW w:w="930" w:type="pct"/>
            <w:hideMark/>
          </w:tcPr>
          <w:p w14:paraId="742DBBB2"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Preparing Spec Docs</w:t>
            </w:r>
          </w:p>
        </w:tc>
        <w:tc>
          <w:tcPr>
            <w:tcW w:w="880" w:type="pct"/>
            <w:hideMark/>
          </w:tcPr>
          <w:p w14:paraId="19869F04"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3,5</w:t>
            </w:r>
          </w:p>
        </w:tc>
      </w:tr>
      <w:tr w:rsidR="00752133" w:rsidRPr="00752133" w14:paraId="733BC884" w14:textId="77777777" w:rsidTr="00752133">
        <w:trPr>
          <w:trHeight w:val="256"/>
        </w:trPr>
        <w:tc>
          <w:tcPr>
            <w:tcW w:w="1165" w:type="pct"/>
            <w:hideMark/>
          </w:tcPr>
          <w:p w14:paraId="58594957"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Betterment &amp; Regravelliing</w:t>
            </w:r>
          </w:p>
        </w:tc>
        <w:tc>
          <w:tcPr>
            <w:tcW w:w="789" w:type="pct"/>
            <w:hideMark/>
          </w:tcPr>
          <w:p w14:paraId="745F86B6"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Emombeni</w:t>
            </w:r>
          </w:p>
        </w:tc>
        <w:tc>
          <w:tcPr>
            <w:tcW w:w="614" w:type="pct"/>
            <w:hideMark/>
          </w:tcPr>
          <w:p w14:paraId="0FBFFAD7"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Ward 6</w:t>
            </w:r>
          </w:p>
        </w:tc>
        <w:tc>
          <w:tcPr>
            <w:tcW w:w="622" w:type="pct"/>
            <w:hideMark/>
          </w:tcPr>
          <w:p w14:paraId="5306D45C"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A1661</w:t>
            </w:r>
          </w:p>
        </w:tc>
        <w:tc>
          <w:tcPr>
            <w:tcW w:w="930" w:type="pct"/>
            <w:hideMark/>
          </w:tcPr>
          <w:p w14:paraId="480DA77C"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Preparing Spec Docs</w:t>
            </w:r>
          </w:p>
        </w:tc>
        <w:tc>
          <w:tcPr>
            <w:tcW w:w="880" w:type="pct"/>
            <w:hideMark/>
          </w:tcPr>
          <w:p w14:paraId="4EDF26A0" w14:textId="77777777" w:rsidR="00752133" w:rsidRPr="00752133" w:rsidRDefault="00752133" w:rsidP="00752133">
            <w:pPr>
              <w:textAlignment w:val="top"/>
              <w:rPr>
                <w:rFonts w:eastAsia="Calibri" w:cs="Times New Roman"/>
                <w:sz w:val="16"/>
                <w:szCs w:val="16"/>
              </w:rPr>
            </w:pPr>
            <w:r w:rsidRPr="00752133">
              <w:rPr>
                <w:rFonts w:eastAsia="Calibri" w:cs="Times New Roman"/>
                <w:sz w:val="16"/>
                <w:szCs w:val="16"/>
              </w:rPr>
              <w:t>4,0</w:t>
            </w:r>
          </w:p>
        </w:tc>
      </w:tr>
    </w:tbl>
    <w:p w14:paraId="6A96EA14" w14:textId="77777777" w:rsidR="002F4570" w:rsidRDefault="002F4570" w:rsidP="000D20BB"/>
    <w:p w14:paraId="4751D25C" w14:textId="084B306E" w:rsidR="008123A7" w:rsidRDefault="008123A7" w:rsidP="008123A7">
      <w:pPr>
        <w:pStyle w:val="Heading3"/>
        <w:numPr>
          <w:ilvl w:val="3"/>
          <w:numId w:val="12"/>
        </w:numPr>
      </w:pPr>
      <w:bookmarkStart w:id="728" w:name="_Toc510706700"/>
      <w:r>
        <w:t>Ongoing Capital Multiyear Projects</w:t>
      </w:r>
      <w:bookmarkEnd w:id="728"/>
    </w:p>
    <w:tbl>
      <w:tblPr>
        <w:tblStyle w:val="GridTable4"/>
        <w:tblW w:w="9680" w:type="dxa"/>
        <w:tblLook w:val="04A0" w:firstRow="1" w:lastRow="0" w:firstColumn="1" w:lastColumn="0" w:noHBand="0" w:noVBand="1"/>
      </w:tblPr>
      <w:tblGrid>
        <w:gridCol w:w="1170"/>
        <w:gridCol w:w="3094"/>
        <w:gridCol w:w="1542"/>
        <w:gridCol w:w="1908"/>
        <w:gridCol w:w="1966"/>
      </w:tblGrid>
      <w:tr w:rsidR="00B72E3F" w:rsidRPr="00B72E3F" w14:paraId="1DBA2610" w14:textId="77777777" w:rsidTr="00752133">
        <w:trPr>
          <w:cnfStyle w:val="100000000000" w:firstRow="1" w:lastRow="0" w:firstColumn="0" w:lastColumn="0" w:oddVBand="0" w:evenVBand="0" w:oddHBand="0" w:evenHBand="0" w:firstRowFirstColumn="0" w:firstRowLastColumn="0" w:lastRowFirstColumn="0" w:lastRowLastColumn="0"/>
          <w:trHeight w:val="281"/>
        </w:trPr>
        <w:tc>
          <w:tcPr>
            <w:cnfStyle w:val="001000000000" w:firstRow="0" w:lastRow="0" w:firstColumn="1" w:lastColumn="0" w:oddVBand="0" w:evenVBand="0" w:oddHBand="0" w:evenHBand="0" w:firstRowFirstColumn="0" w:firstRowLastColumn="0" w:lastRowFirstColumn="0" w:lastRowLastColumn="0"/>
            <w:tcW w:w="1170" w:type="dxa"/>
          </w:tcPr>
          <w:p w14:paraId="3A9F00DF" w14:textId="77777777" w:rsidR="00B72E3F" w:rsidRPr="00B72E3F" w:rsidRDefault="00B72E3F" w:rsidP="000D20BB">
            <w:pPr>
              <w:rPr>
                <w:sz w:val="22"/>
              </w:rPr>
            </w:pPr>
            <w:r w:rsidRPr="00B72E3F">
              <w:rPr>
                <w:sz w:val="22"/>
              </w:rPr>
              <w:t>Road No.</w:t>
            </w:r>
          </w:p>
        </w:tc>
        <w:tc>
          <w:tcPr>
            <w:tcW w:w="3094" w:type="dxa"/>
          </w:tcPr>
          <w:p w14:paraId="00F12B4E" w14:textId="77777777" w:rsidR="00B72E3F" w:rsidRPr="00B72E3F" w:rsidRDefault="00B72E3F" w:rsidP="000D20BB">
            <w:pPr>
              <w:cnfStyle w:val="100000000000" w:firstRow="1" w:lastRow="0" w:firstColumn="0" w:lastColumn="0" w:oddVBand="0" w:evenVBand="0" w:oddHBand="0" w:evenHBand="0" w:firstRowFirstColumn="0" w:firstRowLastColumn="0" w:lastRowFirstColumn="0" w:lastRowLastColumn="0"/>
              <w:rPr>
                <w:sz w:val="22"/>
              </w:rPr>
            </w:pPr>
            <w:r w:rsidRPr="00B72E3F">
              <w:rPr>
                <w:sz w:val="22"/>
              </w:rPr>
              <w:t>Location</w:t>
            </w:r>
          </w:p>
        </w:tc>
        <w:tc>
          <w:tcPr>
            <w:tcW w:w="1542" w:type="dxa"/>
          </w:tcPr>
          <w:p w14:paraId="3F16FCF8" w14:textId="77777777" w:rsidR="00B72E3F" w:rsidRPr="00B72E3F" w:rsidRDefault="00B72E3F" w:rsidP="000D20BB">
            <w:pPr>
              <w:cnfStyle w:val="100000000000" w:firstRow="1" w:lastRow="0" w:firstColumn="0" w:lastColumn="0" w:oddVBand="0" w:evenVBand="0" w:oddHBand="0" w:evenHBand="0" w:firstRowFirstColumn="0" w:firstRowLastColumn="0" w:lastRowFirstColumn="0" w:lastRowLastColumn="0"/>
              <w:rPr>
                <w:sz w:val="22"/>
              </w:rPr>
            </w:pPr>
            <w:r w:rsidRPr="00B72E3F">
              <w:rPr>
                <w:sz w:val="22"/>
              </w:rPr>
              <w:t xml:space="preserve">Activity </w:t>
            </w:r>
          </w:p>
        </w:tc>
        <w:tc>
          <w:tcPr>
            <w:tcW w:w="1908" w:type="dxa"/>
          </w:tcPr>
          <w:p w14:paraId="6FF38152" w14:textId="77777777" w:rsidR="00B72E3F" w:rsidRPr="00B72E3F" w:rsidRDefault="00B72E3F" w:rsidP="000D20BB">
            <w:pPr>
              <w:cnfStyle w:val="100000000000" w:firstRow="1" w:lastRow="0" w:firstColumn="0" w:lastColumn="0" w:oddVBand="0" w:evenVBand="0" w:oddHBand="0" w:evenHBand="0" w:firstRowFirstColumn="0" w:firstRowLastColumn="0" w:lastRowFirstColumn="0" w:lastRowLastColumn="0"/>
              <w:rPr>
                <w:sz w:val="22"/>
              </w:rPr>
            </w:pPr>
            <w:r w:rsidRPr="00B72E3F">
              <w:rPr>
                <w:sz w:val="22"/>
              </w:rPr>
              <w:t>(KM)</w:t>
            </w:r>
          </w:p>
        </w:tc>
        <w:tc>
          <w:tcPr>
            <w:tcW w:w="1966" w:type="dxa"/>
          </w:tcPr>
          <w:p w14:paraId="6BB51A2D" w14:textId="77777777" w:rsidR="00B72E3F" w:rsidRPr="00B72E3F" w:rsidRDefault="00B72E3F" w:rsidP="000D20BB">
            <w:pPr>
              <w:cnfStyle w:val="100000000000" w:firstRow="1" w:lastRow="0" w:firstColumn="0" w:lastColumn="0" w:oddVBand="0" w:evenVBand="0" w:oddHBand="0" w:evenHBand="0" w:firstRowFirstColumn="0" w:firstRowLastColumn="0" w:lastRowFirstColumn="0" w:lastRowLastColumn="0"/>
              <w:rPr>
                <w:sz w:val="22"/>
              </w:rPr>
            </w:pPr>
            <w:r w:rsidRPr="00B72E3F">
              <w:rPr>
                <w:sz w:val="22"/>
              </w:rPr>
              <w:t>Budget</w:t>
            </w:r>
          </w:p>
        </w:tc>
      </w:tr>
      <w:tr w:rsidR="00B72E3F" w14:paraId="68C2834C" w14:textId="77777777" w:rsidTr="00752133">
        <w:trPr>
          <w:cnfStyle w:val="000000100000" w:firstRow="0" w:lastRow="0" w:firstColumn="0" w:lastColumn="0" w:oddVBand="0" w:evenVBand="0" w:oddHBand="1" w:evenHBand="0" w:firstRowFirstColumn="0" w:firstRowLastColumn="0" w:lastRowFirstColumn="0" w:lastRowLastColumn="0"/>
          <w:trHeight w:val="238"/>
        </w:trPr>
        <w:tc>
          <w:tcPr>
            <w:cnfStyle w:val="001000000000" w:firstRow="0" w:lastRow="0" w:firstColumn="1" w:lastColumn="0" w:oddVBand="0" w:evenVBand="0" w:oddHBand="0" w:evenHBand="0" w:firstRowFirstColumn="0" w:firstRowLastColumn="0" w:lastRowFirstColumn="0" w:lastRowLastColumn="0"/>
            <w:tcW w:w="1170" w:type="dxa"/>
          </w:tcPr>
          <w:p w14:paraId="0952F514" w14:textId="77777777" w:rsidR="00B72E3F" w:rsidRDefault="00B72E3F" w:rsidP="000D20BB">
            <w:r>
              <w:t>P230</w:t>
            </w:r>
          </w:p>
        </w:tc>
        <w:tc>
          <w:tcPr>
            <w:tcW w:w="3094" w:type="dxa"/>
          </w:tcPr>
          <w:p w14:paraId="4E90BBC2" w14:textId="77777777" w:rsidR="00B72E3F" w:rsidRDefault="00B72E3F" w:rsidP="000D20BB">
            <w:pPr>
              <w:cnfStyle w:val="000000100000" w:firstRow="0" w:lastRow="0" w:firstColumn="0" w:lastColumn="0" w:oddVBand="0" w:evenVBand="0" w:oddHBand="1" w:evenHBand="0" w:firstRowFirstColumn="0" w:firstRowLastColumn="0" w:lastRowFirstColumn="0" w:lastRowLastColumn="0"/>
            </w:pPr>
            <w:r>
              <w:t>Empangeni to Eshowe</w:t>
            </w:r>
          </w:p>
        </w:tc>
        <w:tc>
          <w:tcPr>
            <w:tcW w:w="1542" w:type="dxa"/>
          </w:tcPr>
          <w:p w14:paraId="217FE3DC" w14:textId="77777777" w:rsidR="00B72E3F" w:rsidRDefault="00B72E3F" w:rsidP="000D20BB">
            <w:pPr>
              <w:cnfStyle w:val="000000100000" w:firstRow="0" w:lastRow="0" w:firstColumn="0" w:lastColumn="0" w:oddVBand="0" w:evenVBand="0" w:oddHBand="1" w:evenHBand="0" w:firstRowFirstColumn="0" w:firstRowLastColumn="0" w:lastRowFirstColumn="0" w:lastRowLastColumn="0"/>
            </w:pPr>
            <w:r>
              <w:t>Upgrade</w:t>
            </w:r>
          </w:p>
        </w:tc>
        <w:tc>
          <w:tcPr>
            <w:tcW w:w="1908" w:type="dxa"/>
          </w:tcPr>
          <w:p w14:paraId="4255355B" w14:textId="77777777" w:rsidR="00B72E3F" w:rsidRDefault="00B72E3F" w:rsidP="000D20BB">
            <w:pPr>
              <w:cnfStyle w:val="000000100000" w:firstRow="0" w:lastRow="0" w:firstColumn="0" w:lastColumn="0" w:oddVBand="0" w:evenVBand="0" w:oddHBand="1" w:evenHBand="0" w:firstRowFirstColumn="0" w:firstRowLastColumn="0" w:lastRowFirstColumn="0" w:lastRowLastColumn="0"/>
            </w:pPr>
            <w:r>
              <w:t xml:space="preserve">31.3 </w:t>
            </w:r>
          </w:p>
        </w:tc>
        <w:tc>
          <w:tcPr>
            <w:tcW w:w="1966" w:type="dxa"/>
          </w:tcPr>
          <w:p w14:paraId="59ECB401" w14:textId="77777777" w:rsidR="00B72E3F" w:rsidRDefault="00B72E3F" w:rsidP="000D20BB">
            <w:pPr>
              <w:cnfStyle w:val="000000100000" w:firstRow="0" w:lastRow="0" w:firstColumn="0" w:lastColumn="0" w:oddVBand="0" w:evenVBand="0" w:oddHBand="1" w:evenHBand="0" w:firstRowFirstColumn="0" w:firstRowLastColumn="0" w:lastRowFirstColumn="0" w:lastRowLastColumn="0"/>
            </w:pPr>
            <w:r>
              <w:t>R 312 070 000.00</w:t>
            </w:r>
          </w:p>
        </w:tc>
      </w:tr>
      <w:tr w:rsidR="00B72E3F" w14:paraId="5DE0916C" w14:textId="77777777" w:rsidTr="00752133">
        <w:trPr>
          <w:trHeight w:val="253"/>
        </w:trPr>
        <w:tc>
          <w:tcPr>
            <w:cnfStyle w:val="001000000000" w:firstRow="0" w:lastRow="0" w:firstColumn="1" w:lastColumn="0" w:oddVBand="0" w:evenVBand="0" w:oddHBand="0" w:evenHBand="0" w:firstRowFirstColumn="0" w:firstRowLastColumn="0" w:lastRowFirstColumn="0" w:lastRowLastColumn="0"/>
            <w:tcW w:w="1170" w:type="dxa"/>
          </w:tcPr>
          <w:p w14:paraId="0933DAE5" w14:textId="77777777" w:rsidR="00B72E3F" w:rsidRDefault="00B72E3F" w:rsidP="000D20BB">
            <w:r>
              <w:t>P218/P710</w:t>
            </w:r>
          </w:p>
        </w:tc>
        <w:tc>
          <w:tcPr>
            <w:tcW w:w="3094" w:type="dxa"/>
          </w:tcPr>
          <w:p w14:paraId="25614654" w14:textId="77777777" w:rsidR="00B72E3F" w:rsidRDefault="00B72E3F" w:rsidP="000D20BB">
            <w:pPr>
              <w:cnfStyle w:val="000000000000" w:firstRow="0" w:lastRow="0" w:firstColumn="0" w:lastColumn="0" w:oddVBand="0" w:evenVBand="0" w:oddHBand="0" w:evenHBand="0" w:firstRowFirstColumn="0" w:firstRowLastColumn="0" w:lastRowFirstColumn="0" w:lastRowLastColumn="0"/>
            </w:pPr>
            <w:r>
              <w:t>Ntumeni to Sundumbili</w:t>
            </w:r>
          </w:p>
        </w:tc>
        <w:tc>
          <w:tcPr>
            <w:tcW w:w="1542" w:type="dxa"/>
          </w:tcPr>
          <w:p w14:paraId="1FD3D4C4" w14:textId="77777777" w:rsidR="00B72E3F" w:rsidRDefault="00B72E3F" w:rsidP="000D20BB">
            <w:pPr>
              <w:cnfStyle w:val="000000000000" w:firstRow="0" w:lastRow="0" w:firstColumn="0" w:lastColumn="0" w:oddVBand="0" w:evenVBand="0" w:oddHBand="0" w:evenHBand="0" w:firstRowFirstColumn="0" w:firstRowLastColumn="0" w:lastRowFirstColumn="0" w:lastRowLastColumn="0"/>
            </w:pPr>
            <w:r>
              <w:t>Upgrade</w:t>
            </w:r>
          </w:p>
        </w:tc>
        <w:tc>
          <w:tcPr>
            <w:tcW w:w="1908" w:type="dxa"/>
          </w:tcPr>
          <w:p w14:paraId="1C962B49" w14:textId="77777777" w:rsidR="00B72E3F" w:rsidRDefault="00B72E3F" w:rsidP="000D20BB">
            <w:pPr>
              <w:cnfStyle w:val="000000000000" w:firstRow="0" w:lastRow="0" w:firstColumn="0" w:lastColumn="0" w:oddVBand="0" w:evenVBand="0" w:oddHBand="0" w:evenHBand="0" w:firstRowFirstColumn="0" w:firstRowLastColumn="0" w:lastRowFirstColumn="0" w:lastRowLastColumn="0"/>
            </w:pPr>
            <w:r>
              <w:t>51</w:t>
            </w:r>
          </w:p>
        </w:tc>
        <w:tc>
          <w:tcPr>
            <w:tcW w:w="1966" w:type="dxa"/>
          </w:tcPr>
          <w:p w14:paraId="48075F51" w14:textId="77777777" w:rsidR="00B72E3F" w:rsidRDefault="00B72E3F" w:rsidP="000D20BB">
            <w:pPr>
              <w:cnfStyle w:val="000000000000" w:firstRow="0" w:lastRow="0" w:firstColumn="0" w:lastColumn="0" w:oddVBand="0" w:evenVBand="0" w:oddHBand="0" w:evenHBand="0" w:firstRowFirstColumn="0" w:firstRowLastColumn="0" w:lastRowFirstColumn="0" w:lastRowLastColumn="0"/>
            </w:pPr>
            <w:r>
              <w:t>R 535 750 000.00</w:t>
            </w:r>
          </w:p>
        </w:tc>
      </w:tr>
      <w:tr w:rsidR="00B72E3F" w14:paraId="1A23FC05" w14:textId="77777777" w:rsidTr="00752133">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1170" w:type="dxa"/>
          </w:tcPr>
          <w:p w14:paraId="0B37C4C3" w14:textId="77777777" w:rsidR="00B72E3F" w:rsidRDefault="00B72E3F" w:rsidP="000D20BB">
            <w:r>
              <w:t>D135</w:t>
            </w:r>
          </w:p>
        </w:tc>
        <w:tc>
          <w:tcPr>
            <w:tcW w:w="3094" w:type="dxa"/>
          </w:tcPr>
          <w:p w14:paraId="75842F39" w14:textId="77777777" w:rsidR="00B72E3F" w:rsidRDefault="00B72E3F" w:rsidP="000D20BB">
            <w:pPr>
              <w:cnfStyle w:val="000000100000" w:firstRow="0" w:lastRow="0" w:firstColumn="0" w:lastColumn="0" w:oddVBand="0" w:evenVBand="0" w:oddHBand="1" w:evenHBand="0" w:firstRowFirstColumn="0" w:firstRowLastColumn="0" w:lastRowFirstColumn="0" w:lastRowLastColumn="0"/>
            </w:pPr>
            <w:r>
              <w:t>Amatikulu to Mpushini River</w:t>
            </w:r>
          </w:p>
        </w:tc>
        <w:tc>
          <w:tcPr>
            <w:tcW w:w="1542" w:type="dxa"/>
          </w:tcPr>
          <w:p w14:paraId="6B149B5C" w14:textId="77777777" w:rsidR="00B72E3F" w:rsidRDefault="00B72E3F" w:rsidP="000D20BB">
            <w:pPr>
              <w:cnfStyle w:val="000000100000" w:firstRow="0" w:lastRow="0" w:firstColumn="0" w:lastColumn="0" w:oddVBand="0" w:evenVBand="0" w:oddHBand="1" w:evenHBand="0" w:firstRowFirstColumn="0" w:firstRowLastColumn="0" w:lastRowFirstColumn="0" w:lastRowLastColumn="0"/>
            </w:pPr>
            <w:r>
              <w:t>Upgrade</w:t>
            </w:r>
          </w:p>
        </w:tc>
        <w:tc>
          <w:tcPr>
            <w:tcW w:w="1908" w:type="dxa"/>
          </w:tcPr>
          <w:p w14:paraId="109909CB" w14:textId="77777777" w:rsidR="00B72E3F" w:rsidRDefault="00B72E3F" w:rsidP="000D20BB">
            <w:pPr>
              <w:cnfStyle w:val="000000100000" w:firstRow="0" w:lastRow="0" w:firstColumn="0" w:lastColumn="0" w:oddVBand="0" w:evenVBand="0" w:oddHBand="1" w:evenHBand="0" w:firstRowFirstColumn="0" w:firstRowLastColumn="0" w:lastRowFirstColumn="0" w:lastRowLastColumn="0"/>
            </w:pPr>
            <w:r>
              <w:t>24.65</w:t>
            </w:r>
          </w:p>
        </w:tc>
        <w:tc>
          <w:tcPr>
            <w:tcW w:w="1966" w:type="dxa"/>
          </w:tcPr>
          <w:p w14:paraId="5A195D7A" w14:textId="77777777" w:rsidR="00B72E3F" w:rsidRDefault="00B72E3F" w:rsidP="000D20BB">
            <w:pPr>
              <w:cnfStyle w:val="000000100000" w:firstRow="0" w:lastRow="0" w:firstColumn="0" w:lastColumn="0" w:oddVBand="0" w:evenVBand="0" w:oddHBand="1" w:evenHBand="0" w:firstRowFirstColumn="0" w:firstRowLastColumn="0" w:lastRowFirstColumn="0" w:lastRowLastColumn="0"/>
            </w:pPr>
            <w:r>
              <w:t>R 250 000 000.00</w:t>
            </w:r>
          </w:p>
        </w:tc>
      </w:tr>
      <w:tr w:rsidR="00B72E3F" w14:paraId="7488D268" w14:textId="77777777" w:rsidTr="00752133">
        <w:trPr>
          <w:trHeight w:val="238"/>
        </w:trPr>
        <w:tc>
          <w:tcPr>
            <w:cnfStyle w:val="001000000000" w:firstRow="0" w:lastRow="0" w:firstColumn="1" w:lastColumn="0" w:oddVBand="0" w:evenVBand="0" w:oddHBand="0" w:evenHBand="0" w:firstRowFirstColumn="0" w:firstRowLastColumn="0" w:lastRowFirstColumn="0" w:lastRowLastColumn="0"/>
            <w:tcW w:w="1170" w:type="dxa"/>
          </w:tcPr>
          <w:p w14:paraId="71881877" w14:textId="77777777" w:rsidR="00B72E3F" w:rsidRDefault="00A1584C" w:rsidP="000D20BB">
            <w:r>
              <w:t>P 50</w:t>
            </w:r>
          </w:p>
        </w:tc>
        <w:tc>
          <w:tcPr>
            <w:tcW w:w="3094" w:type="dxa"/>
          </w:tcPr>
          <w:p w14:paraId="0D1F8678" w14:textId="77777777" w:rsidR="00B72E3F" w:rsidRDefault="00A1584C" w:rsidP="000D20BB">
            <w:pPr>
              <w:cnfStyle w:val="000000000000" w:firstRow="0" w:lastRow="0" w:firstColumn="0" w:lastColumn="0" w:oddVBand="0" w:evenVBand="0" w:oddHBand="0" w:evenHBand="0" w:firstRowFirstColumn="0" w:firstRowLastColumn="0" w:lastRowFirstColumn="0" w:lastRowLastColumn="0"/>
            </w:pPr>
            <w:r>
              <w:t>Eshowe to Nkandla</w:t>
            </w:r>
          </w:p>
        </w:tc>
        <w:tc>
          <w:tcPr>
            <w:tcW w:w="1542" w:type="dxa"/>
          </w:tcPr>
          <w:p w14:paraId="0D76592D" w14:textId="77777777" w:rsidR="00B72E3F" w:rsidRDefault="00A1584C" w:rsidP="000D20BB">
            <w:pPr>
              <w:cnfStyle w:val="000000000000" w:firstRow="0" w:lastRow="0" w:firstColumn="0" w:lastColumn="0" w:oddVBand="0" w:evenVBand="0" w:oddHBand="0" w:evenHBand="0" w:firstRowFirstColumn="0" w:firstRowLastColumn="0" w:lastRowFirstColumn="0" w:lastRowLastColumn="0"/>
            </w:pPr>
            <w:r>
              <w:t>Upgrade</w:t>
            </w:r>
          </w:p>
        </w:tc>
        <w:tc>
          <w:tcPr>
            <w:tcW w:w="1908" w:type="dxa"/>
          </w:tcPr>
          <w:p w14:paraId="1047D3F0" w14:textId="77777777" w:rsidR="00B72E3F" w:rsidRDefault="00A1584C" w:rsidP="000D20BB">
            <w:pPr>
              <w:cnfStyle w:val="000000000000" w:firstRow="0" w:lastRow="0" w:firstColumn="0" w:lastColumn="0" w:oddVBand="0" w:evenVBand="0" w:oddHBand="0" w:evenHBand="0" w:firstRowFirstColumn="0" w:firstRowLastColumn="0" w:lastRowFirstColumn="0" w:lastRowLastColumn="0"/>
            </w:pPr>
            <w:r>
              <w:t>54.4</w:t>
            </w:r>
          </w:p>
        </w:tc>
        <w:tc>
          <w:tcPr>
            <w:tcW w:w="1966" w:type="dxa"/>
          </w:tcPr>
          <w:p w14:paraId="2E9A67B2" w14:textId="77777777" w:rsidR="00B72E3F" w:rsidRDefault="00A1584C" w:rsidP="000D20BB">
            <w:pPr>
              <w:cnfStyle w:val="000000000000" w:firstRow="0" w:lastRow="0" w:firstColumn="0" w:lastColumn="0" w:oddVBand="0" w:evenVBand="0" w:oddHBand="0" w:evenHBand="0" w:firstRowFirstColumn="0" w:firstRowLastColumn="0" w:lastRowFirstColumn="0" w:lastRowLastColumn="0"/>
            </w:pPr>
            <w:r>
              <w:t>R 308 470 000.00</w:t>
            </w:r>
          </w:p>
        </w:tc>
      </w:tr>
    </w:tbl>
    <w:p w14:paraId="5DB21F75" w14:textId="77777777" w:rsidR="00A1584C" w:rsidRDefault="00A1584C" w:rsidP="000D20BB"/>
    <w:p w14:paraId="156DC51E" w14:textId="3182BC96" w:rsidR="00C148DC" w:rsidRDefault="000D20BB" w:rsidP="00C954BD">
      <w:pPr>
        <w:pStyle w:val="Heading3"/>
        <w:numPr>
          <w:ilvl w:val="2"/>
          <w:numId w:val="12"/>
        </w:numPr>
        <w:spacing w:after="240"/>
        <w:rPr>
          <w:highlight w:val="yellow"/>
        </w:rPr>
      </w:pPr>
      <w:bookmarkStart w:id="729" w:name="_Toc510706701"/>
      <w:r w:rsidRPr="00430F9E">
        <w:rPr>
          <w:highlight w:val="yellow"/>
        </w:rPr>
        <w:t>ESKOM</w:t>
      </w:r>
      <w:r w:rsidR="009E5818">
        <w:rPr>
          <w:highlight w:val="yellow"/>
        </w:rPr>
        <w:t xml:space="preserve"> &amp; SCHEDULE 5B ELECTRIFICATION PROJECTS</w:t>
      </w:r>
      <w:bookmarkEnd w:id="729"/>
    </w:p>
    <w:tbl>
      <w:tblPr>
        <w:tblW w:w="4991" w:type="pct"/>
        <w:tblLayout w:type="fixed"/>
        <w:tblLook w:val="04A0" w:firstRow="1" w:lastRow="0" w:firstColumn="1" w:lastColumn="0" w:noHBand="0" w:noVBand="1"/>
      </w:tblPr>
      <w:tblGrid>
        <w:gridCol w:w="665"/>
        <w:gridCol w:w="1730"/>
        <w:gridCol w:w="992"/>
        <w:gridCol w:w="934"/>
        <w:gridCol w:w="1181"/>
        <w:gridCol w:w="1202"/>
        <w:gridCol w:w="2599"/>
      </w:tblGrid>
      <w:tr w:rsidR="00C954BD" w:rsidRPr="00C954BD" w14:paraId="639BD739" w14:textId="77777777" w:rsidTr="00C954BD">
        <w:trPr>
          <w:trHeight w:val="90"/>
        </w:trPr>
        <w:tc>
          <w:tcPr>
            <w:tcW w:w="357" w:type="pct"/>
            <w:tcBorders>
              <w:top w:val="single" w:sz="8" w:space="0" w:color="auto"/>
              <w:left w:val="single" w:sz="8" w:space="0" w:color="auto"/>
              <w:bottom w:val="nil"/>
              <w:right w:val="single" w:sz="8" w:space="0" w:color="auto"/>
            </w:tcBorders>
            <w:shd w:val="clear" w:color="000000" w:fill="D9D9D9"/>
            <w:noWrap/>
            <w:vAlign w:val="bottom"/>
            <w:hideMark/>
          </w:tcPr>
          <w:p w14:paraId="0A8F3158" w14:textId="77777777" w:rsidR="00C954BD" w:rsidRPr="00C954BD" w:rsidRDefault="00C954BD" w:rsidP="00C954BD">
            <w:pPr>
              <w:spacing w:after="0" w:line="240" w:lineRule="auto"/>
              <w:jc w:val="center"/>
              <w:rPr>
                <w:rFonts w:eastAsia="Times New Roman" w:cs="Times New Roman"/>
                <w:b/>
                <w:bCs/>
                <w:color w:val="000000"/>
                <w:sz w:val="14"/>
                <w:lang w:val="en-ZA" w:eastAsia="en-ZA"/>
              </w:rPr>
            </w:pPr>
            <w:r w:rsidRPr="00C954BD">
              <w:rPr>
                <w:rFonts w:eastAsia="Times New Roman" w:cs="Times New Roman"/>
                <w:b/>
                <w:bCs/>
                <w:color w:val="000000"/>
                <w:sz w:val="14"/>
                <w:lang w:val="en-ZA" w:eastAsia="en-ZA"/>
              </w:rPr>
              <w:t xml:space="preserve">WARD </w:t>
            </w:r>
          </w:p>
        </w:tc>
        <w:tc>
          <w:tcPr>
            <w:tcW w:w="930" w:type="pct"/>
            <w:tcBorders>
              <w:top w:val="single" w:sz="8" w:space="0" w:color="auto"/>
              <w:left w:val="nil"/>
              <w:bottom w:val="nil"/>
              <w:right w:val="single" w:sz="8" w:space="0" w:color="auto"/>
            </w:tcBorders>
            <w:shd w:val="clear" w:color="000000" w:fill="D9D9D9"/>
            <w:noWrap/>
            <w:vAlign w:val="bottom"/>
            <w:hideMark/>
          </w:tcPr>
          <w:p w14:paraId="3264C187" w14:textId="77777777" w:rsidR="00C954BD" w:rsidRPr="00C954BD" w:rsidRDefault="00C954BD" w:rsidP="00C954BD">
            <w:pPr>
              <w:spacing w:after="0" w:line="240" w:lineRule="auto"/>
              <w:jc w:val="center"/>
              <w:rPr>
                <w:rFonts w:eastAsia="Times New Roman" w:cs="Times New Roman"/>
                <w:b/>
                <w:bCs/>
                <w:color w:val="000000"/>
                <w:sz w:val="14"/>
                <w:lang w:val="en-ZA" w:eastAsia="en-ZA"/>
              </w:rPr>
            </w:pPr>
            <w:r w:rsidRPr="00C954BD">
              <w:rPr>
                <w:rFonts w:eastAsia="Times New Roman" w:cs="Times New Roman"/>
                <w:b/>
                <w:bCs/>
                <w:color w:val="000000"/>
                <w:sz w:val="14"/>
                <w:lang w:val="en-ZA" w:eastAsia="en-ZA"/>
              </w:rPr>
              <w:t>PROJECT NAME</w:t>
            </w:r>
          </w:p>
        </w:tc>
        <w:tc>
          <w:tcPr>
            <w:tcW w:w="533" w:type="pct"/>
            <w:tcBorders>
              <w:top w:val="single" w:sz="8" w:space="0" w:color="auto"/>
              <w:left w:val="nil"/>
              <w:bottom w:val="nil"/>
              <w:right w:val="single" w:sz="8" w:space="0" w:color="auto"/>
            </w:tcBorders>
            <w:shd w:val="clear" w:color="000000" w:fill="D9D9D9"/>
            <w:noWrap/>
            <w:vAlign w:val="bottom"/>
            <w:hideMark/>
          </w:tcPr>
          <w:p w14:paraId="5E613999" w14:textId="77777777" w:rsidR="00C954BD" w:rsidRPr="00C954BD" w:rsidRDefault="00C954BD" w:rsidP="00C954BD">
            <w:pPr>
              <w:spacing w:after="0" w:line="240" w:lineRule="auto"/>
              <w:jc w:val="center"/>
              <w:rPr>
                <w:rFonts w:eastAsia="Times New Roman" w:cs="Times New Roman"/>
                <w:b/>
                <w:bCs/>
                <w:color w:val="000000"/>
                <w:sz w:val="14"/>
                <w:lang w:val="en-ZA" w:eastAsia="en-ZA"/>
              </w:rPr>
            </w:pPr>
            <w:r w:rsidRPr="00C954BD">
              <w:rPr>
                <w:rFonts w:eastAsia="Times New Roman" w:cs="Times New Roman"/>
                <w:b/>
                <w:bCs/>
                <w:color w:val="000000"/>
                <w:sz w:val="14"/>
                <w:lang w:val="en-ZA" w:eastAsia="en-ZA"/>
              </w:rPr>
              <w:t>COMPANY</w:t>
            </w:r>
          </w:p>
        </w:tc>
        <w:tc>
          <w:tcPr>
            <w:tcW w:w="502" w:type="pct"/>
            <w:tcBorders>
              <w:top w:val="single" w:sz="8" w:space="0" w:color="auto"/>
              <w:left w:val="nil"/>
              <w:bottom w:val="nil"/>
              <w:right w:val="single" w:sz="8" w:space="0" w:color="auto"/>
            </w:tcBorders>
            <w:shd w:val="clear" w:color="000000" w:fill="D9D9D9"/>
            <w:noWrap/>
            <w:vAlign w:val="bottom"/>
            <w:hideMark/>
          </w:tcPr>
          <w:p w14:paraId="52EB8F74" w14:textId="77777777" w:rsidR="00C954BD" w:rsidRPr="00C954BD" w:rsidRDefault="00C954BD" w:rsidP="00C954BD">
            <w:pPr>
              <w:spacing w:after="0" w:line="240" w:lineRule="auto"/>
              <w:jc w:val="center"/>
              <w:rPr>
                <w:rFonts w:eastAsia="Times New Roman" w:cs="Times New Roman"/>
                <w:b/>
                <w:bCs/>
                <w:color w:val="000000"/>
                <w:sz w:val="14"/>
                <w:lang w:val="en-ZA" w:eastAsia="en-ZA"/>
              </w:rPr>
            </w:pPr>
            <w:r w:rsidRPr="00C954BD">
              <w:rPr>
                <w:rFonts w:eastAsia="Times New Roman" w:cs="Times New Roman"/>
                <w:b/>
                <w:bCs/>
                <w:color w:val="000000"/>
                <w:sz w:val="14"/>
                <w:lang w:val="en-ZA" w:eastAsia="en-ZA"/>
              </w:rPr>
              <w:t>Connections</w:t>
            </w:r>
          </w:p>
        </w:tc>
        <w:tc>
          <w:tcPr>
            <w:tcW w:w="635" w:type="pct"/>
            <w:tcBorders>
              <w:top w:val="single" w:sz="8" w:space="0" w:color="auto"/>
              <w:left w:val="nil"/>
              <w:bottom w:val="nil"/>
              <w:right w:val="single" w:sz="8" w:space="0" w:color="auto"/>
            </w:tcBorders>
            <w:shd w:val="clear" w:color="000000" w:fill="D9D9D9"/>
            <w:noWrap/>
            <w:vAlign w:val="bottom"/>
            <w:hideMark/>
          </w:tcPr>
          <w:p w14:paraId="31EB2C0F" w14:textId="77777777" w:rsidR="00C954BD" w:rsidRPr="00C954BD" w:rsidRDefault="00C954BD" w:rsidP="00C954BD">
            <w:pPr>
              <w:spacing w:after="0" w:line="240" w:lineRule="auto"/>
              <w:jc w:val="center"/>
              <w:rPr>
                <w:rFonts w:eastAsia="Times New Roman" w:cs="Times New Roman"/>
                <w:b/>
                <w:bCs/>
                <w:color w:val="000000"/>
                <w:sz w:val="14"/>
                <w:lang w:val="en-ZA" w:eastAsia="en-ZA"/>
              </w:rPr>
            </w:pPr>
            <w:r w:rsidRPr="00C954BD">
              <w:rPr>
                <w:rFonts w:eastAsia="Times New Roman" w:cs="Times New Roman"/>
                <w:b/>
                <w:bCs/>
                <w:color w:val="000000"/>
                <w:sz w:val="14"/>
                <w:lang w:val="en-ZA" w:eastAsia="en-ZA"/>
              </w:rPr>
              <w:t>Est Budget</w:t>
            </w:r>
          </w:p>
        </w:tc>
        <w:tc>
          <w:tcPr>
            <w:tcW w:w="646" w:type="pct"/>
            <w:tcBorders>
              <w:top w:val="single" w:sz="8" w:space="0" w:color="auto"/>
              <w:left w:val="nil"/>
              <w:bottom w:val="nil"/>
              <w:right w:val="single" w:sz="8" w:space="0" w:color="auto"/>
            </w:tcBorders>
            <w:shd w:val="clear" w:color="000000" w:fill="D9D9D9"/>
            <w:noWrap/>
            <w:vAlign w:val="bottom"/>
            <w:hideMark/>
          </w:tcPr>
          <w:p w14:paraId="260609E7" w14:textId="77777777" w:rsidR="00C954BD" w:rsidRPr="00C954BD" w:rsidRDefault="00C954BD" w:rsidP="00C954BD">
            <w:pPr>
              <w:spacing w:after="0" w:line="240" w:lineRule="auto"/>
              <w:jc w:val="center"/>
              <w:rPr>
                <w:rFonts w:eastAsia="Times New Roman" w:cs="Times New Roman"/>
                <w:b/>
                <w:bCs/>
                <w:color w:val="000000"/>
                <w:sz w:val="14"/>
                <w:lang w:val="en-ZA" w:eastAsia="en-ZA"/>
              </w:rPr>
            </w:pPr>
            <w:r w:rsidRPr="00C954BD">
              <w:rPr>
                <w:rFonts w:eastAsia="Times New Roman" w:cs="Times New Roman"/>
                <w:b/>
                <w:bCs/>
                <w:color w:val="000000"/>
                <w:sz w:val="14"/>
                <w:lang w:val="en-ZA" w:eastAsia="en-ZA"/>
              </w:rPr>
              <w:t>Contractor</w:t>
            </w:r>
          </w:p>
        </w:tc>
        <w:tc>
          <w:tcPr>
            <w:tcW w:w="1397" w:type="pct"/>
            <w:tcBorders>
              <w:top w:val="single" w:sz="8" w:space="0" w:color="auto"/>
              <w:left w:val="nil"/>
              <w:bottom w:val="nil"/>
              <w:right w:val="single" w:sz="8" w:space="0" w:color="auto"/>
            </w:tcBorders>
            <w:shd w:val="clear" w:color="000000" w:fill="D9D9D9"/>
            <w:noWrap/>
            <w:vAlign w:val="bottom"/>
            <w:hideMark/>
          </w:tcPr>
          <w:p w14:paraId="08BA0699" w14:textId="77777777" w:rsidR="00C954BD" w:rsidRPr="00C954BD" w:rsidRDefault="00C954BD" w:rsidP="00C954BD">
            <w:pPr>
              <w:spacing w:after="0" w:line="240" w:lineRule="auto"/>
              <w:jc w:val="center"/>
              <w:rPr>
                <w:rFonts w:eastAsia="Times New Roman" w:cs="Times New Roman"/>
                <w:b/>
                <w:bCs/>
                <w:color w:val="000000"/>
                <w:sz w:val="14"/>
                <w:lang w:val="en-ZA" w:eastAsia="en-ZA"/>
              </w:rPr>
            </w:pPr>
            <w:r w:rsidRPr="00C954BD">
              <w:rPr>
                <w:rFonts w:eastAsia="Times New Roman" w:cs="Times New Roman"/>
                <w:b/>
                <w:bCs/>
                <w:color w:val="000000"/>
                <w:sz w:val="14"/>
                <w:lang w:val="en-ZA" w:eastAsia="en-ZA"/>
              </w:rPr>
              <w:t>PROGRESS</w:t>
            </w:r>
          </w:p>
        </w:tc>
      </w:tr>
      <w:tr w:rsidR="00C954BD" w:rsidRPr="00C954BD" w14:paraId="16CAC701" w14:textId="77777777" w:rsidTr="00C954BD">
        <w:trPr>
          <w:trHeight w:val="66"/>
        </w:trPr>
        <w:tc>
          <w:tcPr>
            <w:tcW w:w="357" w:type="pct"/>
            <w:tcBorders>
              <w:top w:val="nil"/>
              <w:left w:val="single" w:sz="8" w:space="0" w:color="auto"/>
              <w:bottom w:val="single" w:sz="8" w:space="0" w:color="auto"/>
              <w:right w:val="single" w:sz="8" w:space="0" w:color="auto"/>
            </w:tcBorders>
            <w:shd w:val="clear" w:color="000000" w:fill="D9D9D9"/>
            <w:noWrap/>
            <w:vAlign w:val="bottom"/>
            <w:hideMark/>
          </w:tcPr>
          <w:p w14:paraId="6C9C9606" w14:textId="77777777" w:rsidR="00C954BD" w:rsidRPr="00C954BD" w:rsidRDefault="00C954BD" w:rsidP="00C954BD">
            <w:pPr>
              <w:spacing w:after="0" w:line="240" w:lineRule="auto"/>
              <w:jc w:val="center"/>
              <w:rPr>
                <w:rFonts w:eastAsia="Times New Roman" w:cs="Times New Roman"/>
                <w:b/>
                <w:bCs/>
                <w:color w:val="000000"/>
                <w:sz w:val="14"/>
                <w:lang w:val="en-ZA" w:eastAsia="en-ZA"/>
              </w:rPr>
            </w:pPr>
            <w:r w:rsidRPr="00C954BD">
              <w:rPr>
                <w:rFonts w:eastAsia="Times New Roman" w:cs="Times New Roman"/>
                <w:b/>
                <w:bCs/>
                <w:color w:val="000000"/>
                <w:sz w:val="14"/>
                <w:lang w:val="en-ZA" w:eastAsia="en-ZA"/>
              </w:rPr>
              <w:t> </w:t>
            </w:r>
          </w:p>
        </w:tc>
        <w:tc>
          <w:tcPr>
            <w:tcW w:w="930" w:type="pct"/>
            <w:tcBorders>
              <w:top w:val="nil"/>
              <w:left w:val="nil"/>
              <w:bottom w:val="single" w:sz="8" w:space="0" w:color="auto"/>
              <w:right w:val="single" w:sz="8" w:space="0" w:color="auto"/>
            </w:tcBorders>
            <w:shd w:val="clear" w:color="000000" w:fill="D9D9D9"/>
            <w:noWrap/>
            <w:vAlign w:val="bottom"/>
            <w:hideMark/>
          </w:tcPr>
          <w:p w14:paraId="4E3448BC" w14:textId="77777777" w:rsidR="00C954BD" w:rsidRPr="00C954BD" w:rsidRDefault="00C954BD" w:rsidP="00C954BD">
            <w:pPr>
              <w:spacing w:after="0" w:line="240" w:lineRule="auto"/>
              <w:jc w:val="center"/>
              <w:rPr>
                <w:rFonts w:eastAsia="Times New Roman" w:cs="Times New Roman"/>
                <w:b/>
                <w:bCs/>
                <w:color w:val="000000"/>
                <w:sz w:val="14"/>
                <w:lang w:val="en-ZA" w:eastAsia="en-ZA"/>
              </w:rPr>
            </w:pPr>
            <w:r w:rsidRPr="00C954BD">
              <w:rPr>
                <w:rFonts w:eastAsia="Times New Roman" w:cs="Times New Roman"/>
                <w:b/>
                <w:bCs/>
                <w:color w:val="000000"/>
                <w:sz w:val="14"/>
                <w:lang w:val="en-ZA" w:eastAsia="en-ZA"/>
              </w:rPr>
              <w:t> </w:t>
            </w:r>
          </w:p>
        </w:tc>
        <w:tc>
          <w:tcPr>
            <w:tcW w:w="533" w:type="pct"/>
            <w:tcBorders>
              <w:top w:val="nil"/>
              <w:left w:val="nil"/>
              <w:bottom w:val="single" w:sz="8" w:space="0" w:color="auto"/>
              <w:right w:val="single" w:sz="8" w:space="0" w:color="auto"/>
            </w:tcBorders>
            <w:shd w:val="clear" w:color="000000" w:fill="D9D9D9"/>
            <w:noWrap/>
            <w:vAlign w:val="bottom"/>
            <w:hideMark/>
          </w:tcPr>
          <w:p w14:paraId="46D72525" w14:textId="77777777" w:rsidR="00C954BD" w:rsidRPr="00C954BD" w:rsidRDefault="00C954BD" w:rsidP="00C954BD">
            <w:pPr>
              <w:spacing w:after="0" w:line="240" w:lineRule="auto"/>
              <w:jc w:val="center"/>
              <w:rPr>
                <w:rFonts w:eastAsia="Times New Roman" w:cs="Times New Roman"/>
                <w:b/>
                <w:bCs/>
                <w:color w:val="000000"/>
                <w:sz w:val="14"/>
                <w:lang w:val="en-ZA" w:eastAsia="en-ZA"/>
              </w:rPr>
            </w:pPr>
            <w:r w:rsidRPr="00C954BD">
              <w:rPr>
                <w:rFonts w:eastAsia="Times New Roman" w:cs="Times New Roman"/>
                <w:b/>
                <w:bCs/>
                <w:color w:val="000000"/>
                <w:sz w:val="14"/>
                <w:lang w:val="en-ZA" w:eastAsia="en-ZA"/>
              </w:rPr>
              <w:t> </w:t>
            </w:r>
          </w:p>
        </w:tc>
        <w:tc>
          <w:tcPr>
            <w:tcW w:w="502" w:type="pct"/>
            <w:tcBorders>
              <w:top w:val="nil"/>
              <w:left w:val="nil"/>
              <w:bottom w:val="single" w:sz="8" w:space="0" w:color="auto"/>
              <w:right w:val="single" w:sz="8" w:space="0" w:color="auto"/>
            </w:tcBorders>
            <w:shd w:val="clear" w:color="000000" w:fill="D9D9D9"/>
            <w:noWrap/>
            <w:vAlign w:val="bottom"/>
            <w:hideMark/>
          </w:tcPr>
          <w:p w14:paraId="46B8D5E8" w14:textId="77777777" w:rsidR="00C954BD" w:rsidRPr="00C954BD" w:rsidRDefault="00C954BD" w:rsidP="00C954BD">
            <w:pPr>
              <w:spacing w:after="0" w:line="240" w:lineRule="auto"/>
              <w:jc w:val="center"/>
              <w:rPr>
                <w:rFonts w:eastAsia="Times New Roman" w:cs="Times New Roman"/>
                <w:b/>
                <w:bCs/>
                <w:color w:val="000000"/>
                <w:sz w:val="14"/>
                <w:lang w:val="en-ZA" w:eastAsia="en-ZA"/>
              </w:rPr>
            </w:pPr>
            <w:r w:rsidRPr="00C954BD">
              <w:rPr>
                <w:rFonts w:eastAsia="Times New Roman" w:cs="Times New Roman"/>
                <w:b/>
                <w:bCs/>
                <w:color w:val="000000"/>
                <w:sz w:val="14"/>
                <w:lang w:val="en-ZA" w:eastAsia="en-ZA"/>
              </w:rPr>
              <w:t> </w:t>
            </w:r>
          </w:p>
        </w:tc>
        <w:tc>
          <w:tcPr>
            <w:tcW w:w="635" w:type="pct"/>
            <w:tcBorders>
              <w:top w:val="nil"/>
              <w:left w:val="nil"/>
              <w:bottom w:val="single" w:sz="8" w:space="0" w:color="auto"/>
              <w:right w:val="single" w:sz="8" w:space="0" w:color="auto"/>
            </w:tcBorders>
            <w:shd w:val="clear" w:color="000000" w:fill="D9D9D9"/>
            <w:noWrap/>
            <w:vAlign w:val="bottom"/>
          </w:tcPr>
          <w:p w14:paraId="3BF2FA7A" w14:textId="77777777" w:rsidR="00C954BD" w:rsidRPr="00C954BD" w:rsidRDefault="00C954BD" w:rsidP="00C954BD">
            <w:pPr>
              <w:spacing w:after="0" w:line="240" w:lineRule="auto"/>
              <w:jc w:val="center"/>
              <w:rPr>
                <w:rFonts w:eastAsia="Times New Roman" w:cs="Times New Roman"/>
                <w:b/>
                <w:bCs/>
                <w:color w:val="000000"/>
                <w:sz w:val="14"/>
                <w:lang w:val="en-ZA" w:eastAsia="en-ZA"/>
              </w:rPr>
            </w:pPr>
          </w:p>
        </w:tc>
        <w:tc>
          <w:tcPr>
            <w:tcW w:w="646" w:type="pct"/>
            <w:tcBorders>
              <w:top w:val="nil"/>
              <w:left w:val="nil"/>
              <w:bottom w:val="single" w:sz="8" w:space="0" w:color="auto"/>
              <w:right w:val="single" w:sz="8" w:space="0" w:color="auto"/>
            </w:tcBorders>
            <w:shd w:val="clear" w:color="000000" w:fill="D9D9D9"/>
            <w:noWrap/>
            <w:vAlign w:val="bottom"/>
            <w:hideMark/>
          </w:tcPr>
          <w:p w14:paraId="737FE1F3" w14:textId="77777777" w:rsidR="00C954BD" w:rsidRPr="00C954BD" w:rsidRDefault="00C954BD" w:rsidP="00C954BD">
            <w:pPr>
              <w:spacing w:after="0" w:line="240" w:lineRule="auto"/>
              <w:jc w:val="center"/>
              <w:rPr>
                <w:rFonts w:eastAsia="Times New Roman" w:cs="Times New Roman"/>
                <w:b/>
                <w:bCs/>
                <w:color w:val="000000"/>
                <w:sz w:val="14"/>
                <w:lang w:val="en-ZA" w:eastAsia="en-ZA"/>
              </w:rPr>
            </w:pPr>
            <w:r w:rsidRPr="00C954BD">
              <w:rPr>
                <w:rFonts w:eastAsia="Times New Roman" w:cs="Times New Roman"/>
                <w:b/>
                <w:bCs/>
                <w:color w:val="000000"/>
                <w:sz w:val="14"/>
                <w:lang w:val="en-ZA" w:eastAsia="en-ZA"/>
              </w:rPr>
              <w:t> </w:t>
            </w:r>
          </w:p>
        </w:tc>
        <w:tc>
          <w:tcPr>
            <w:tcW w:w="1397" w:type="pct"/>
            <w:tcBorders>
              <w:top w:val="nil"/>
              <w:left w:val="nil"/>
              <w:bottom w:val="single" w:sz="8" w:space="0" w:color="auto"/>
              <w:right w:val="single" w:sz="8" w:space="0" w:color="auto"/>
            </w:tcBorders>
            <w:shd w:val="clear" w:color="000000" w:fill="D9D9D9"/>
            <w:noWrap/>
            <w:vAlign w:val="bottom"/>
            <w:hideMark/>
          </w:tcPr>
          <w:p w14:paraId="474E02B5" w14:textId="77777777" w:rsidR="00C954BD" w:rsidRPr="00C954BD" w:rsidRDefault="00C954BD" w:rsidP="00C954BD">
            <w:pPr>
              <w:spacing w:after="0" w:line="240" w:lineRule="auto"/>
              <w:jc w:val="center"/>
              <w:rPr>
                <w:rFonts w:eastAsia="Times New Roman" w:cs="Times New Roman"/>
                <w:b/>
                <w:bCs/>
                <w:color w:val="000000"/>
                <w:sz w:val="14"/>
                <w:lang w:val="en-ZA" w:eastAsia="en-ZA"/>
              </w:rPr>
            </w:pPr>
            <w:r w:rsidRPr="00C954BD">
              <w:rPr>
                <w:rFonts w:eastAsia="Times New Roman" w:cs="Times New Roman"/>
                <w:b/>
                <w:bCs/>
                <w:color w:val="000000"/>
                <w:sz w:val="14"/>
                <w:lang w:val="en-ZA" w:eastAsia="en-ZA"/>
              </w:rPr>
              <w:t> </w:t>
            </w:r>
          </w:p>
        </w:tc>
      </w:tr>
      <w:tr w:rsidR="00C954BD" w:rsidRPr="00C954BD" w14:paraId="35EE753B" w14:textId="77777777" w:rsidTr="00C954BD">
        <w:trPr>
          <w:trHeight w:val="172"/>
        </w:trPr>
        <w:tc>
          <w:tcPr>
            <w:tcW w:w="357" w:type="pct"/>
            <w:tcBorders>
              <w:top w:val="nil"/>
              <w:left w:val="single" w:sz="4" w:space="0" w:color="auto"/>
              <w:bottom w:val="single" w:sz="4" w:space="0" w:color="auto"/>
              <w:right w:val="single" w:sz="4" w:space="0" w:color="auto"/>
            </w:tcBorders>
            <w:shd w:val="clear" w:color="auto" w:fill="auto"/>
            <w:noWrap/>
            <w:vAlign w:val="bottom"/>
            <w:hideMark/>
          </w:tcPr>
          <w:p w14:paraId="7C411E64" w14:textId="77777777" w:rsidR="00C954BD" w:rsidRPr="00C954BD" w:rsidRDefault="00C954BD" w:rsidP="00C954BD">
            <w:pPr>
              <w:spacing w:after="0" w:line="240" w:lineRule="auto"/>
              <w:jc w:val="center"/>
              <w:rPr>
                <w:rFonts w:eastAsia="Times New Roman" w:cs="Times New Roman"/>
                <w:color w:val="000000"/>
                <w:sz w:val="14"/>
                <w:lang w:val="en-ZA" w:eastAsia="en-ZA"/>
              </w:rPr>
            </w:pPr>
            <w:r w:rsidRPr="00C954BD">
              <w:rPr>
                <w:rFonts w:eastAsia="Times New Roman" w:cs="Times New Roman"/>
                <w:color w:val="000000"/>
                <w:sz w:val="14"/>
                <w:lang w:val="en-ZA" w:eastAsia="en-ZA"/>
              </w:rPr>
              <w:t>1</w:t>
            </w:r>
          </w:p>
        </w:tc>
        <w:tc>
          <w:tcPr>
            <w:tcW w:w="930" w:type="pct"/>
            <w:tcBorders>
              <w:top w:val="nil"/>
              <w:left w:val="nil"/>
              <w:bottom w:val="single" w:sz="4" w:space="0" w:color="auto"/>
              <w:right w:val="single" w:sz="4" w:space="0" w:color="auto"/>
            </w:tcBorders>
            <w:shd w:val="clear" w:color="auto" w:fill="auto"/>
            <w:vAlign w:val="center"/>
            <w:hideMark/>
          </w:tcPr>
          <w:p w14:paraId="6937E8E6"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Izinyosi</w:t>
            </w:r>
          </w:p>
        </w:tc>
        <w:tc>
          <w:tcPr>
            <w:tcW w:w="533" w:type="pct"/>
            <w:tcBorders>
              <w:top w:val="nil"/>
              <w:left w:val="nil"/>
              <w:bottom w:val="single" w:sz="4" w:space="0" w:color="auto"/>
              <w:right w:val="single" w:sz="4" w:space="0" w:color="auto"/>
            </w:tcBorders>
            <w:shd w:val="clear" w:color="auto" w:fill="auto"/>
            <w:noWrap/>
            <w:vAlign w:val="bottom"/>
            <w:hideMark/>
          </w:tcPr>
          <w:p w14:paraId="20EEA216"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Eskom</w:t>
            </w:r>
          </w:p>
        </w:tc>
        <w:tc>
          <w:tcPr>
            <w:tcW w:w="502" w:type="pct"/>
            <w:tcBorders>
              <w:top w:val="nil"/>
              <w:left w:val="nil"/>
              <w:bottom w:val="single" w:sz="4" w:space="0" w:color="auto"/>
              <w:right w:val="single" w:sz="4" w:space="0" w:color="auto"/>
            </w:tcBorders>
            <w:shd w:val="clear" w:color="auto" w:fill="auto"/>
            <w:noWrap/>
            <w:vAlign w:val="bottom"/>
            <w:hideMark/>
          </w:tcPr>
          <w:p w14:paraId="7DCCFA5C" w14:textId="77777777" w:rsidR="00C954BD" w:rsidRPr="00C954BD" w:rsidRDefault="00C954BD" w:rsidP="00C954BD">
            <w:pPr>
              <w:spacing w:after="0" w:line="240" w:lineRule="auto"/>
              <w:jc w:val="center"/>
              <w:rPr>
                <w:rFonts w:eastAsia="Times New Roman" w:cs="Times New Roman"/>
                <w:color w:val="000000"/>
                <w:sz w:val="14"/>
                <w:lang w:val="en-ZA" w:eastAsia="en-ZA"/>
              </w:rPr>
            </w:pPr>
            <w:r w:rsidRPr="00C954BD">
              <w:rPr>
                <w:rFonts w:eastAsia="Times New Roman" w:cs="Times New Roman"/>
                <w:color w:val="000000"/>
                <w:sz w:val="14"/>
                <w:lang w:val="en-ZA" w:eastAsia="en-ZA"/>
              </w:rPr>
              <w:t>368</w:t>
            </w:r>
          </w:p>
        </w:tc>
        <w:tc>
          <w:tcPr>
            <w:tcW w:w="635" w:type="pct"/>
            <w:tcBorders>
              <w:top w:val="nil"/>
              <w:left w:val="nil"/>
              <w:bottom w:val="single" w:sz="4" w:space="0" w:color="auto"/>
              <w:right w:val="single" w:sz="4" w:space="0" w:color="auto"/>
            </w:tcBorders>
            <w:shd w:val="clear" w:color="auto" w:fill="auto"/>
            <w:noWrap/>
            <w:vAlign w:val="bottom"/>
          </w:tcPr>
          <w:p w14:paraId="3BAD897E"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R 7.36m</w:t>
            </w:r>
          </w:p>
        </w:tc>
        <w:tc>
          <w:tcPr>
            <w:tcW w:w="646" w:type="pct"/>
            <w:tcBorders>
              <w:top w:val="nil"/>
              <w:left w:val="nil"/>
              <w:bottom w:val="single" w:sz="4" w:space="0" w:color="auto"/>
              <w:right w:val="single" w:sz="4" w:space="0" w:color="auto"/>
            </w:tcBorders>
            <w:shd w:val="clear" w:color="auto" w:fill="auto"/>
            <w:noWrap/>
            <w:vAlign w:val="bottom"/>
            <w:hideMark/>
          </w:tcPr>
          <w:p w14:paraId="0B807A2C"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KEV Accurate</w:t>
            </w:r>
          </w:p>
        </w:tc>
        <w:tc>
          <w:tcPr>
            <w:tcW w:w="1397" w:type="pct"/>
            <w:tcBorders>
              <w:top w:val="nil"/>
              <w:left w:val="nil"/>
              <w:bottom w:val="single" w:sz="4" w:space="0" w:color="auto"/>
              <w:right w:val="single" w:sz="4" w:space="0" w:color="auto"/>
            </w:tcBorders>
            <w:shd w:val="clear" w:color="auto" w:fill="auto"/>
            <w:noWrap/>
            <w:vAlign w:val="bottom"/>
            <w:hideMark/>
          </w:tcPr>
          <w:p w14:paraId="3728DE8C"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Izinyosi is part of Evuma project 17/18 Plan and it was a left out zone of Entumeni - busy</w:t>
            </w:r>
          </w:p>
        </w:tc>
      </w:tr>
      <w:tr w:rsidR="00C954BD" w:rsidRPr="00C954BD" w14:paraId="09B11753" w14:textId="77777777" w:rsidTr="00C954BD">
        <w:trPr>
          <w:trHeight w:val="172"/>
        </w:trPr>
        <w:tc>
          <w:tcPr>
            <w:tcW w:w="357" w:type="pct"/>
            <w:tcBorders>
              <w:top w:val="nil"/>
              <w:left w:val="single" w:sz="4" w:space="0" w:color="auto"/>
              <w:bottom w:val="single" w:sz="4" w:space="0" w:color="auto"/>
              <w:right w:val="single" w:sz="4" w:space="0" w:color="auto"/>
            </w:tcBorders>
            <w:shd w:val="clear" w:color="auto" w:fill="auto"/>
            <w:noWrap/>
            <w:vAlign w:val="bottom"/>
            <w:hideMark/>
          </w:tcPr>
          <w:p w14:paraId="18142025" w14:textId="77777777" w:rsidR="00C954BD" w:rsidRPr="00C954BD" w:rsidRDefault="00C954BD" w:rsidP="00C954BD">
            <w:pPr>
              <w:spacing w:after="0" w:line="240" w:lineRule="auto"/>
              <w:jc w:val="center"/>
              <w:rPr>
                <w:rFonts w:eastAsia="Times New Roman" w:cs="Times New Roman"/>
                <w:color w:val="000000"/>
                <w:sz w:val="14"/>
                <w:lang w:val="en-ZA" w:eastAsia="en-ZA"/>
              </w:rPr>
            </w:pPr>
            <w:r w:rsidRPr="00C954BD">
              <w:rPr>
                <w:rFonts w:eastAsia="Times New Roman" w:cs="Times New Roman"/>
                <w:color w:val="000000"/>
                <w:sz w:val="14"/>
                <w:lang w:val="en-ZA" w:eastAsia="en-ZA"/>
              </w:rPr>
              <w:t>2</w:t>
            </w:r>
          </w:p>
        </w:tc>
        <w:tc>
          <w:tcPr>
            <w:tcW w:w="930" w:type="pct"/>
            <w:tcBorders>
              <w:top w:val="nil"/>
              <w:left w:val="nil"/>
              <w:bottom w:val="single" w:sz="4" w:space="0" w:color="auto"/>
              <w:right w:val="single" w:sz="4" w:space="0" w:color="auto"/>
            </w:tcBorders>
            <w:shd w:val="clear" w:color="auto" w:fill="auto"/>
            <w:noWrap/>
            <w:vAlign w:val="bottom"/>
            <w:hideMark/>
          </w:tcPr>
          <w:p w14:paraId="5721D866"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Mankhumbu # 2</w:t>
            </w:r>
          </w:p>
        </w:tc>
        <w:tc>
          <w:tcPr>
            <w:tcW w:w="533" w:type="pct"/>
            <w:tcBorders>
              <w:top w:val="nil"/>
              <w:left w:val="nil"/>
              <w:bottom w:val="single" w:sz="4" w:space="0" w:color="auto"/>
              <w:right w:val="single" w:sz="4" w:space="0" w:color="auto"/>
            </w:tcBorders>
            <w:shd w:val="clear" w:color="auto" w:fill="auto"/>
            <w:noWrap/>
            <w:vAlign w:val="bottom"/>
            <w:hideMark/>
          </w:tcPr>
          <w:p w14:paraId="48779A4B"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Eskom</w:t>
            </w:r>
          </w:p>
        </w:tc>
        <w:tc>
          <w:tcPr>
            <w:tcW w:w="502" w:type="pct"/>
            <w:tcBorders>
              <w:top w:val="nil"/>
              <w:left w:val="nil"/>
              <w:bottom w:val="single" w:sz="4" w:space="0" w:color="auto"/>
              <w:right w:val="single" w:sz="4" w:space="0" w:color="auto"/>
            </w:tcBorders>
            <w:shd w:val="clear" w:color="auto" w:fill="auto"/>
            <w:noWrap/>
            <w:vAlign w:val="bottom"/>
            <w:hideMark/>
          </w:tcPr>
          <w:p w14:paraId="2F6715E6" w14:textId="77777777" w:rsidR="00C954BD" w:rsidRPr="00C954BD" w:rsidRDefault="00C954BD" w:rsidP="00C954BD">
            <w:pPr>
              <w:spacing w:after="0" w:line="240" w:lineRule="auto"/>
              <w:jc w:val="center"/>
              <w:rPr>
                <w:rFonts w:eastAsia="Times New Roman" w:cs="Times New Roman"/>
                <w:color w:val="000000"/>
                <w:sz w:val="14"/>
                <w:lang w:val="en-ZA" w:eastAsia="en-ZA"/>
              </w:rPr>
            </w:pPr>
            <w:r w:rsidRPr="00C954BD">
              <w:rPr>
                <w:rFonts w:eastAsia="Times New Roman" w:cs="Times New Roman"/>
                <w:color w:val="000000"/>
                <w:sz w:val="14"/>
                <w:lang w:val="en-ZA" w:eastAsia="en-ZA"/>
              </w:rPr>
              <w:t>84</w:t>
            </w:r>
          </w:p>
        </w:tc>
        <w:tc>
          <w:tcPr>
            <w:tcW w:w="635" w:type="pct"/>
            <w:tcBorders>
              <w:top w:val="nil"/>
              <w:left w:val="nil"/>
              <w:bottom w:val="single" w:sz="4" w:space="0" w:color="auto"/>
              <w:right w:val="single" w:sz="4" w:space="0" w:color="auto"/>
            </w:tcBorders>
            <w:shd w:val="clear" w:color="auto" w:fill="auto"/>
            <w:noWrap/>
            <w:vAlign w:val="bottom"/>
          </w:tcPr>
          <w:p w14:paraId="20BFEC8D"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R 1.68m</w:t>
            </w:r>
          </w:p>
        </w:tc>
        <w:tc>
          <w:tcPr>
            <w:tcW w:w="646" w:type="pct"/>
            <w:tcBorders>
              <w:top w:val="nil"/>
              <w:left w:val="nil"/>
              <w:bottom w:val="single" w:sz="4" w:space="0" w:color="auto"/>
              <w:right w:val="single" w:sz="4" w:space="0" w:color="auto"/>
            </w:tcBorders>
            <w:shd w:val="clear" w:color="auto" w:fill="auto"/>
            <w:noWrap/>
            <w:vAlign w:val="bottom"/>
            <w:hideMark/>
          </w:tcPr>
          <w:p w14:paraId="7DE2A872"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Techniteck Seven</w:t>
            </w:r>
          </w:p>
        </w:tc>
        <w:tc>
          <w:tcPr>
            <w:tcW w:w="1397" w:type="pct"/>
            <w:tcBorders>
              <w:top w:val="nil"/>
              <w:left w:val="nil"/>
              <w:bottom w:val="single" w:sz="4" w:space="0" w:color="auto"/>
              <w:right w:val="single" w:sz="4" w:space="0" w:color="auto"/>
            </w:tcBorders>
            <w:shd w:val="clear" w:color="auto" w:fill="auto"/>
            <w:vAlign w:val="center"/>
            <w:hideMark/>
          </w:tcPr>
          <w:p w14:paraId="734A6FD4"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Project is still on construction - wait Eskom progress report</w:t>
            </w:r>
          </w:p>
        </w:tc>
      </w:tr>
      <w:tr w:rsidR="00C954BD" w:rsidRPr="00C954BD" w14:paraId="266FB81D" w14:textId="77777777" w:rsidTr="00C954BD">
        <w:trPr>
          <w:trHeight w:val="172"/>
        </w:trPr>
        <w:tc>
          <w:tcPr>
            <w:tcW w:w="357" w:type="pct"/>
            <w:tcBorders>
              <w:top w:val="nil"/>
              <w:left w:val="single" w:sz="4" w:space="0" w:color="auto"/>
              <w:bottom w:val="single" w:sz="4" w:space="0" w:color="auto"/>
              <w:right w:val="single" w:sz="4" w:space="0" w:color="auto"/>
            </w:tcBorders>
            <w:shd w:val="clear" w:color="auto" w:fill="auto"/>
            <w:noWrap/>
            <w:vAlign w:val="bottom"/>
            <w:hideMark/>
          </w:tcPr>
          <w:p w14:paraId="69D86FA4" w14:textId="77777777" w:rsidR="00C954BD" w:rsidRPr="00C954BD" w:rsidRDefault="00C954BD" w:rsidP="00C954BD">
            <w:pPr>
              <w:spacing w:after="0" w:line="240" w:lineRule="auto"/>
              <w:jc w:val="center"/>
              <w:rPr>
                <w:rFonts w:eastAsia="Times New Roman" w:cs="Times New Roman"/>
                <w:color w:val="000000"/>
                <w:sz w:val="14"/>
                <w:lang w:val="en-ZA" w:eastAsia="en-ZA"/>
              </w:rPr>
            </w:pPr>
            <w:r w:rsidRPr="00C954BD">
              <w:rPr>
                <w:rFonts w:eastAsia="Times New Roman" w:cs="Times New Roman"/>
                <w:color w:val="000000"/>
                <w:sz w:val="14"/>
                <w:lang w:val="en-ZA" w:eastAsia="en-ZA"/>
              </w:rPr>
              <w:t>3</w:t>
            </w:r>
          </w:p>
        </w:tc>
        <w:tc>
          <w:tcPr>
            <w:tcW w:w="930" w:type="pct"/>
            <w:tcBorders>
              <w:top w:val="nil"/>
              <w:left w:val="nil"/>
              <w:bottom w:val="single" w:sz="4" w:space="0" w:color="auto"/>
              <w:right w:val="single" w:sz="4" w:space="0" w:color="auto"/>
            </w:tcBorders>
            <w:shd w:val="clear" w:color="auto" w:fill="auto"/>
            <w:noWrap/>
            <w:vAlign w:val="bottom"/>
            <w:hideMark/>
          </w:tcPr>
          <w:p w14:paraId="2F3FD207"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 xml:space="preserve">Slambo # 2 </w:t>
            </w:r>
          </w:p>
        </w:tc>
        <w:tc>
          <w:tcPr>
            <w:tcW w:w="533" w:type="pct"/>
            <w:tcBorders>
              <w:top w:val="nil"/>
              <w:left w:val="nil"/>
              <w:bottom w:val="single" w:sz="4" w:space="0" w:color="auto"/>
              <w:right w:val="single" w:sz="4" w:space="0" w:color="auto"/>
            </w:tcBorders>
            <w:shd w:val="clear" w:color="auto" w:fill="auto"/>
            <w:noWrap/>
            <w:vAlign w:val="bottom"/>
            <w:hideMark/>
          </w:tcPr>
          <w:p w14:paraId="3E691C27"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Eskom</w:t>
            </w:r>
          </w:p>
        </w:tc>
        <w:tc>
          <w:tcPr>
            <w:tcW w:w="502" w:type="pct"/>
            <w:tcBorders>
              <w:top w:val="nil"/>
              <w:left w:val="nil"/>
              <w:bottom w:val="single" w:sz="4" w:space="0" w:color="auto"/>
              <w:right w:val="single" w:sz="4" w:space="0" w:color="auto"/>
            </w:tcBorders>
            <w:shd w:val="clear" w:color="auto" w:fill="auto"/>
            <w:noWrap/>
            <w:vAlign w:val="bottom"/>
            <w:hideMark/>
          </w:tcPr>
          <w:p w14:paraId="6169D431" w14:textId="77777777" w:rsidR="00C954BD" w:rsidRPr="00C954BD" w:rsidRDefault="00C954BD" w:rsidP="00C954BD">
            <w:pPr>
              <w:spacing w:after="0" w:line="240" w:lineRule="auto"/>
              <w:jc w:val="center"/>
              <w:rPr>
                <w:rFonts w:eastAsia="Times New Roman" w:cs="Times New Roman"/>
                <w:color w:val="000000"/>
                <w:sz w:val="14"/>
                <w:lang w:val="en-ZA" w:eastAsia="en-ZA"/>
              </w:rPr>
            </w:pPr>
            <w:r w:rsidRPr="00C954BD">
              <w:rPr>
                <w:rFonts w:eastAsia="Times New Roman" w:cs="Times New Roman"/>
                <w:color w:val="000000"/>
                <w:sz w:val="14"/>
                <w:lang w:val="en-ZA" w:eastAsia="en-ZA"/>
              </w:rPr>
              <w:t>318</w:t>
            </w:r>
          </w:p>
        </w:tc>
        <w:tc>
          <w:tcPr>
            <w:tcW w:w="635" w:type="pct"/>
            <w:tcBorders>
              <w:top w:val="nil"/>
              <w:left w:val="nil"/>
              <w:bottom w:val="single" w:sz="4" w:space="0" w:color="auto"/>
              <w:right w:val="single" w:sz="4" w:space="0" w:color="auto"/>
            </w:tcBorders>
            <w:shd w:val="clear" w:color="auto" w:fill="auto"/>
            <w:noWrap/>
            <w:vAlign w:val="bottom"/>
          </w:tcPr>
          <w:p w14:paraId="33FE3557"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R 6.36m</w:t>
            </w:r>
          </w:p>
        </w:tc>
        <w:tc>
          <w:tcPr>
            <w:tcW w:w="646" w:type="pct"/>
            <w:tcBorders>
              <w:top w:val="nil"/>
              <w:left w:val="nil"/>
              <w:bottom w:val="single" w:sz="4" w:space="0" w:color="auto"/>
              <w:right w:val="single" w:sz="4" w:space="0" w:color="auto"/>
            </w:tcBorders>
            <w:shd w:val="clear" w:color="auto" w:fill="auto"/>
            <w:noWrap/>
            <w:vAlign w:val="bottom"/>
            <w:hideMark/>
          </w:tcPr>
          <w:p w14:paraId="3A5126C5"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MG contracting</w:t>
            </w:r>
          </w:p>
        </w:tc>
        <w:tc>
          <w:tcPr>
            <w:tcW w:w="1397" w:type="pct"/>
            <w:tcBorders>
              <w:top w:val="nil"/>
              <w:left w:val="nil"/>
              <w:bottom w:val="single" w:sz="4" w:space="0" w:color="auto"/>
              <w:right w:val="single" w:sz="4" w:space="0" w:color="auto"/>
            </w:tcBorders>
            <w:shd w:val="clear" w:color="auto" w:fill="auto"/>
            <w:noWrap/>
            <w:vAlign w:val="bottom"/>
            <w:hideMark/>
          </w:tcPr>
          <w:p w14:paraId="4D0726FE"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Contractor on site - MV line to be build - surveyor on site - 4/12/2017</w:t>
            </w:r>
          </w:p>
        </w:tc>
      </w:tr>
      <w:tr w:rsidR="00C954BD" w:rsidRPr="00C954BD" w14:paraId="1F2BFDDC" w14:textId="77777777" w:rsidTr="00C954BD">
        <w:trPr>
          <w:trHeight w:val="172"/>
        </w:trPr>
        <w:tc>
          <w:tcPr>
            <w:tcW w:w="357" w:type="pct"/>
            <w:tcBorders>
              <w:top w:val="nil"/>
              <w:left w:val="single" w:sz="4" w:space="0" w:color="auto"/>
              <w:bottom w:val="single" w:sz="4" w:space="0" w:color="auto"/>
              <w:right w:val="single" w:sz="4" w:space="0" w:color="auto"/>
            </w:tcBorders>
            <w:shd w:val="clear" w:color="auto" w:fill="auto"/>
            <w:noWrap/>
            <w:vAlign w:val="bottom"/>
            <w:hideMark/>
          </w:tcPr>
          <w:p w14:paraId="26F70235" w14:textId="77777777" w:rsidR="00C954BD" w:rsidRPr="00C954BD" w:rsidRDefault="00C954BD" w:rsidP="00C954BD">
            <w:pPr>
              <w:spacing w:after="0" w:line="240" w:lineRule="auto"/>
              <w:jc w:val="center"/>
              <w:rPr>
                <w:rFonts w:eastAsia="Times New Roman" w:cs="Times New Roman"/>
                <w:color w:val="000000"/>
                <w:sz w:val="14"/>
                <w:lang w:val="en-ZA" w:eastAsia="en-ZA"/>
              </w:rPr>
            </w:pPr>
            <w:r w:rsidRPr="00C954BD">
              <w:rPr>
                <w:rFonts w:eastAsia="Times New Roman" w:cs="Times New Roman"/>
                <w:color w:val="000000"/>
                <w:sz w:val="14"/>
                <w:lang w:val="en-ZA" w:eastAsia="en-ZA"/>
              </w:rPr>
              <w:t>5</w:t>
            </w:r>
          </w:p>
        </w:tc>
        <w:tc>
          <w:tcPr>
            <w:tcW w:w="930" w:type="pct"/>
            <w:tcBorders>
              <w:top w:val="nil"/>
              <w:left w:val="nil"/>
              <w:bottom w:val="single" w:sz="4" w:space="0" w:color="auto"/>
              <w:right w:val="single" w:sz="4" w:space="0" w:color="auto"/>
            </w:tcBorders>
            <w:shd w:val="clear" w:color="auto" w:fill="auto"/>
            <w:noWrap/>
            <w:vAlign w:val="bottom"/>
            <w:hideMark/>
          </w:tcPr>
          <w:p w14:paraId="6D1C84A4"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Hayinyama # 3</w:t>
            </w:r>
          </w:p>
        </w:tc>
        <w:tc>
          <w:tcPr>
            <w:tcW w:w="533" w:type="pct"/>
            <w:tcBorders>
              <w:top w:val="nil"/>
              <w:left w:val="nil"/>
              <w:bottom w:val="single" w:sz="4" w:space="0" w:color="auto"/>
              <w:right w:val="single" w:sz="4" w:space="0" w:color="auto"/>
            </w:tcBorders>
            <w:shd w:val="clear" w:color="auto" w:fill="auto"/>
            <w:noWrap/>
            <w:vAlign w:val="bottom"/>
            <w:hideMark/>
          </w:tcPr>
          <w:p w14:paraId="7A197C2A"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Eskom</w:t>
            </w:r>
          </w:p>
        </w:tc>
        <w:tc>
          <w:tcPr>
            <w:tcW w:w="502" w:type="pct"/>
            <w:tcBorders>
              <w:top w:val="nil"/>
              <w:left w:val="nil"/>
              <w:bottom w:val="single" w:sz="4" w:space="0" w:color="auto"/>
              <w:right w:val="single" w:sz="4" w:space="0" w:color="auto"/>
            </w:tcBorders>
            <w:shd w:val="clear" w:color="auto" w:fill="auto"/>
            <w:noWrap/>
            <w:vAlign w:val="bottom"/>
            <w:hideMark/>
          </w:tcPr>
          <w:p w14:paraId="3EBD4960" w14:textId="77777777" w:rsidR="00C954BD" w:rsidRPr="00C954BD" w:rsidRDefault="00C954BD" w:rsidP="00C954BD">
            <w:pPr>
              <w:spacing w:after="0" w:line="240" w:lineRule="auto"/>
              <w:jc w:val="center"/>
              <w:rPr>
                <w:rFonts w:eastAsia="Times New Roman" w:cs="Times New Roman"/>
                <w:color w:val="000000"/>
                <w:sz w:val="14"/>
                <w:lang w:val="en-ZA" w:eastAsia="en-ZA"/>
              </w:rPr>
            </w:pPr>
            <w:r w:rsidRPr="00C954BD">
              <w:rPr>
                <w:rFonts w:eastAsia="Times New Roman" w:cs="Times New Roman"/>
                <w:color w:val="000000"/>
                <w:sz w:val="14"/>
                <w:lang w:val="en-ZA" w:eastAsia="en-ZA"/>
              </w:rPr>
              <w:t>275</w:t>
            </w:r>
          </w:p>
        </w:tc>
        <w:tc>
          <w:tcPr>
            <w:tcW w:w="635" w:type="pct"/>
            <w:tcBorders>
              <w:top w:val="nil"/>
              <w:left w:val="nil"/>
              <w:bottom w:val="single" w:sz="4" w:space="0" w:color="auto"/>
              <w:right w:val="single" w:sz="4" w:space="0" w:color="auto"/>
            </w:tcBorders>
            <w:shd w:val="clear" w:color="auto" w:fill="auto"/>
            <w:noWrap/>
            <w:vAlign w:val="bottom"/>
          </w:tcPr>
          <w:p w14:paraId="7EB4B3EC"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R 5.5m</w:t>
            </w:r>
          </w:p>
        </w:tc>
        <w:tc>
          <w:tcPr>
            <w:tcW w:w="646" w:type="pct"/>
            <w:tcBorders>
              <w:top w:val="nil"/>
              <w:left w:val="nil"/>
              <w:bottom w:val="single" w:sz="4" w:space="0" w:color="auto"/>
              <w:right w:val="single" w:sz="4" w:space="0" w:color="auto"/>
            </w:tcBorders>
            <w:shd w:val="clear" w:color="auto" w:fill="auto"/>
            <w:noWrap/>
            <w:vAlign w:val="bottom"/>
            <w:hideMark/>
          </w:tcPr>
          <w:p w14:paraId="756772F2"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KZN Power Line</w:t>
            </w:r>
          </w:p>
        </w:tc>
        <w:tc>
          <w:tcPr>
            <w:tcW w:w="1397" w:type="pct"/>
            <w:tcBorders>
              <w:top w:val="nil"/>
              <w:left w:val="nil"/>
              <w:bottom w:val="single" w:sz="4" w:space="0" w:color="auto"/>
              <w:right w:val="single" w:sz="4" w:space="0" w:color="auto"/>
            </w:tcBorders>
            <w:shd w:val="clear" w:color="auto" w:fill="auto"/>
            <w:noWrap/>
            <w:vAlign w:val="bottom"/>
            <w:hideMark/>
          </w:tcPr>
          <w:p w14:paraId="660D16AE"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Project still in construction (97%) complete</w:t>
            </w:r>
          </w:p>
        </w:tc>
      </w:tr>
      <w:tr w:rsidR="00C954BD" w:rsidRPr="00C954BD" w14:paraId="33569042" w14:textId="77777777" w:rsidTr="00C954BD">
        <w:trPr>
          <w:trHeight w:val="172"/>
        </w:trPr>
        <w:tc>
          <w:tcPr>
            <w:tcW w:w="357" w:type="pct"/>
            <w:tcBorders>
              <w:top w:val="nil"/>
              <w:left w:val="single" w:sz="4" w:space="0" w:color="auto"/>
              <w:bottom w:val="single" w:sz="4" w:space="0" w:color="auto"/>
              <w:right w:val="single" w:sz="4" w:space="0" w:color="auto"/>
            </w:tcBorders>
            <w:shd w:val="clear" w:color="auto" w:fill="auto"/>
            <w:noWrap/>
            <w:vAlign w:val="bottom"/>
            <w:hideMark/>
          </w:tcPr>
          <w:p w14:paraId="75B6A2EE" w14:textId="77777777" w:rsidR="00C954BD" w:rsidRPr="00C954BD" w:rsidRDefault="00C954BD" w:rsidP="00C954BD">
            <w:pPr>
              <w:spacing w:after="0" w:line="240" w:lineRule="auto"/>
              <w:jc w:val="center"/>
              <w:rPr>
                <w:rFonts w:eastAsia="Times New Roman" w:cs="Times New Roman"/>
                <w:color w:val="000000"/>
                <w:sz w:val="14"/>
                <w:lang w:val="en-ZA" w:eastAsia="en-ZA"/>
              </w:rPr>
            </w:pPr>
            <w:r w:rsidRPr="00C954BD">
              <w:rPr>
                <w:rFonts w:eastAsia="Times New Roman" w:cs="Times New Roman"/>
                <w:color w:val="000000"/>
                <w:sz w:val="14"/>
                <w:lang w:val="en-ZA" w:eastAsia="en-ZA"/>
              </w:rPr>
              <w:t>5 &amp; 6</w:t>
            </w:r>
          </w:p>
        </w:tc>
        <w:tc>
          <w:tcPr>
            <w:tcW w:w="930" w:type="pct"/>
            <w:tcBorders>
              <w:top w:val="nil"/>
              <w:left w:val="nil"/>
              <w:bottom w:val="single" w:sz="4" w:space="0" w:color="auto"/>
              <w:right w:val="single" w:sz="4" w:space="0" w:color="auto"/>
            </w:tcBorders>
            <w:shd w:val="clear" w:color="auto" w:fill="auto"/>
            <w:noWrap/>
            <w:vAlign w:val="bottom"/>
            <w:hideMark/>
          </w:tcPr>
          <w:p w14:paraId="7A9585A2"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Hayinyama / Zimbidli</w:t>
            </w:r>
          </w:p>
        </w:tc>
        <w:tc>
          <w:tcPr>
            <w:tcW w:w="533" w:type="pct"/>
            <w:tcBorders>
              <w:top w:val="nil"/>
              <w:left w:val="nil"/>
              <w:bottom w:val="single" w:sz="4" w:space="0" w:color="auto"/>
              <w:right w:val="single" w:sz="4" w:space="0" w:color="auto"/>
            </w:tcBorders>
            <w:shd w:val="clear" w:color="auto" w:fill="auto"/>
            <w:noWrap/>
            <w:vAlign w:val="bottom"/>
            <w:hideMark/>
          </w:tcPr>
          <w:p w14:paraId="55349DBF"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Eskom</w:t>
            </w:r>
          </w:p>
        </w:tc>
        <w:tc>
          <w:tcPr>
            <w:tcW w:w="502" w:type="pct"/>
            <w:tcBorders>
              <w:top w:val="nil"/>
              <w:left w:val="nil"/>
              <w:bottom w:val="single" w:sz="4" w:space="0" w:color="auto"/>
              <w:right w:val="single" w:sz="4" w:space="0" w:color="auto"/>
            </w:tcBorders>
            <w:shd w:val="clear" w:color="auto" w:fill="auto"/>
            <w:noWrap/>
            <w:vAlign w:val="bottom"/>
            <w:hideMark/>
          </w:tcPr>
          <w:p w14:paraId="5E949901" w14:textId="77777777" w:rsidR="00C954BD" w:rsidRPr="00C954BD" w:rsidRDefault="00C954BD" w:rsidP="00C954BD">
            <w:pPr>
              <w:spacing w:after="0" w:line="240" w:lineRule="auto"/>
              <w:jc w:val="center"/>
              <w:rPr>
                <w:rFonts w:eastAsia="Times New Roman" w:cs="Times New Roman"/>
                <w:color w:val="000000"/>
                <w:sz w:val="14"/>
                <w:lang w:val="en-ZA" w:eastAsia="en-ZA"/>
              </w:rPr>
            </w:pPr>
            <w:r w:rsidRPr="00C954BD">
              <w:rPr>
                <w:rFonts w:eastAsia="Times New Roman" w:cs="Times New Roman"/>
                <w:color w:val="000000"/>
                <w:sz w:val="14"/>
                <w:lang w:val="en-ZA" w:eastAsia="en-ZA"/>
              </w:rPr>
              <w:t>350</w:t>
            </w:r>
          </w:p>
        </w:tc>
        <w:tc>
          <w:tcPr>
            <w:tcW w:w="635" w:type="pct"/>
            <w:tcBorders>
              <w:top w:val="nil"/>
              <w:left w:val="nil"/>
              <w:bottom w:val="single" w:sz="4" w:space="0" w:color="auto"/>
              <w:right w:val="single" w:sz="4" w:space="0" w:color="auto"/>
            </w:tcBorders>
            <w:shd w:val="clear" w:color="auto" w:fill="auto"/>
            <w:noWrap/>
            <w:vAlign w:val="bottom"/>
          </w:tcPr>
          <w:p w14:paraId="05BE956E"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R 7m</w:t>
            </w:r>
          </w:p>
        </w:tc>
        <w:tc>
          <w:tcPr>
            <w:tcW w:w="646" w:type="pct"/>
            <w:tcBorders>
              <w:top w:val="nil"/>
              <w:left w:val="nil"/>
              <w:bottom w:val="single" w:sz="4" w:space="0" w:color="auto"/>
              <w:right w:val="single" w:sz="4" w:space="0" w:color="auto"/>
            </w:tcBorders>
            <w:shd w:val="clear" w:color="auto" w:fill="auto"/>
            <w:noWrap/>
            <w:vAlign w:val="bottom"/>
            <w:hideMark/>
          </w:tcPr>
          <w:p w14:paraId="7B775D2C"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Super Centre Trading</w:t>
            </w:r>
          </w:p>
        </w:tc>
        <w:tc>
          <w:tcPr>
            <w:tcW w:w="1397" w:type="pct"/>
            <w:tcBorders>
              <w:top w:val="nil"/>
              <w:left w:val="nil"/>
              <w:bottom w:val="nil"/>
              <w:right w:val="single" w:sz="4" w:space="0" w:color="auto"/>
            </w:tcBorders>
            <w:shd w:val="clear" w:color="auto" w:fill="auto"/>
            <w:vAlign w:val="center"/>
            <w:hideMark/>
          </w:tcPr>
          <w:p w14:paraId="4B37B639"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Contractor mentioned he will complete by Dec 2017</w:t>
            </w:r>
          </w:p>
        </w:tc>
      </w:tr>
      <w:tr w:rsidR="00C954BD" w:rsidRPr="00C954BD" w14:paraId="1B964C18" w14:textId="77777777" w:rsidTr="00C954BD">
        <w:trPr>
          <w:trHeight w:val="172"/>
        </w:trPr>
        <w:tc>
          <w:tcPr>
            <w:tcW w:w="357" w:type="pct"/>
            <w:tcBorders>
              <w:top w:val="nil"/>
              <w:left w:val="single" w:sz="4" w:space="0" w:color="auto"/>
              <w:bottom w:val="single" w:sz="4" w:space="0" w:color="auto"/>
              <w:right w:val="single" w:sz="4" w:space="0" w:color="auto"/>
            </w:tcBorders>
            <w:shd w:val="clear" w:color="auto" w:fill="auto"/>
            <w:noWrap/>
            <w:vAlign w:val="bottom"/>
            <w:hideMark/>
          </w:tcPr>
          <w:p w14:paraId="1AE90EDE" w14:textId="77777777" w:rsidR="00C954BD" w:rsidRPr="00C954BD" w:rsidRDefault="00C954BD" w:rsidP="00C954BD">
            <w:pPr>
              <w:spacing w:after="0" w:line="240" w:lineRule="auto"/>
              <w:jc w:val="center"/>
              <w:rPr>
                <w:rFonts w:eastAsia="Times New Roman" w:cs="Times New Roman"/>
                <w:color w:val="000000"/>
                <w:sz w:val="14"/>
                <w:lang w:val="en-ZA" w:eastAsia="en-ZA"/>
              </w:rPr>
            </w:pPr>
            <w:r w:rsidRPr="00C954BD">
              <w:rPr>
                <w:rFonts w:eastAsia="Times New Roman" w:cs="Times New Roman"/>
                <w:color w:val="000000"/>
                <w:sz w:val="14"/>
                <w:lang w:val="en-ZA" w:eastAsia="en-ZA"/>
              </w:rPr>
              <w:t>5</w:t>
            </w:r>
          </w:p>
        </w:tc>
        <w:tc>
          <w:tcPr>
            <w:tcW w:w="930" w:type="pct"/>
            <w:tcBorders>
              <w:top w:val="nil"/>
              <w:left w:val="nil"/>
              <w:bottom w:val="single" w:sz="4" w:space="0" w:color="auto"/>
              <w:right w:val="single" w:sz="4" w:space="0" w:color="auto"/>
            </w:tcBorders>
            <w:shd w:val="clear" w:color="auto" w:fill="auto"/>
            <w:noWrap/>
            <w:vAlign w:val="bottom"/>
            <w:hideMark/>
          </w:tcPr>
          <w:p w14:paraId="79EC1AC9"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Ngudwini / Saron Shahinya</w:t>
            </w:r>
          </w:p>
        </w:tc>
        <w:tc>
          <w:tcPr>
            <w:tcW w:w="533" w:type="pct"/>
            <w:tcBorders>
              <w:top w:val="nil"/>
              <w:left w:val="nil"/>
              <w:bottom w:val="single" w:sz="4" w:space="0" w:color="auto"/>
              <w:right w:val="single" w:sz="4" w:space="0" w:color="auto"/>
            </w:tcBorders>
            <w:shd w:val="clear" w:color="auto" w:fill="auto"/>
            <w:noWrap/>
            <w:vAlign w:val="bottom"/>
            <w:hideMark/>
          </w:tcPr>
          <w:p w14:paraId="71CC7D70"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Eskom</w:t>
            </w:r>
          </w:p>
        </w:tc>
        <w:tc>
          <w:tcPr>
            <w:tcW w:w="502" w:type="pct"/>
            <w:tcBorders>
              <w:top w:val="nil"/>
              <w:left w:val="nil"/>
              <w:bottom w:val="single" w:sz="4" w:space="0" w:color="auto"/>
              <w:right w:val="single" w:sz="4" w:space="0" w:color="auto"/>
            </w:tcBorders>
            <w:shd w:val="clear" w:color="auto" w:fill="auto"/>
            <w:noWrap/>
            <w:vAlign w:val="bottom"/>
            <w:hideMark/>
          </w:tcPr>
          <w:p w14:paraId="4CF52B98" w14:textId="77777777" w:rsidR="00C954BD" w:rsidRPr="00C954BD" w:rsidRDefault="00C954BD" w:rsidP="00C954BD">
            <w:pPr>
              <w:spacing w:after="0" w:line="240" w:lineRule="auto"/>
              <w:jc w:val="center"/>
              <w:rPr>
                <w:rFonts w:eastAsia="Times New Roman" w:cs="Times New Roman"/>
                <w:sz w:val="14"/>
                <w:lang w:val="en-ZA" w:eastAsia="en-ZA"/>
              </w:rPr>
            </w:pPr>
            <w:r w:rsidRPr="00C954BD">
              <w:rPr>
                <w:rFonts w:eastAsia="Times New Roman" w:cs="Times New Roman"/>
                <w:sz w:val="14"/>
                <w:lang w:val="en-ZA" w:eastAsia="en-ZA"/>
              </w:rPr>
              <w:t>786</w:t>
            </w:r>
          </w:p>
        </w:tc>
        <w:tc>
          <w:tcPr>
            <w:tcW w:w="635" w:type="pct"/>
            <w:tcBorders>
              <w:top w:val="nil"/>
              <w:left w:val="nil"/>
              <w:bottom w:val="single" w:sz="4" w:space="0" w:color="auto"/>
              <w:right w:val="single" w:sz="4" w:space="0" w:color="auto"/>
            </w:tcBorders>
            <w:shd w:val="clear" w:color="auto" w:fill="auto"/>
            <w:noWrap/>
            <w:vAlign w:val="bottom"/>
          </w:tcPr>
          <w:p w14:paraId="7496546F" w14:textId="77777777" w:rsidR="00C954BD" w:rsidRPr="00C954BD" w:rsidRDefault="00C954BD" w:rsidP="00C954BD">
            <w:pPr>
              <w:spacing w:after="0" w:line="240" w:lineRule="auto"/>
              <w:rPr>
                <w:rFonts w:eastAsia="Times New Roman" w:cs="Times New Roman"/>
                <w:sz w:val="14"/>
                <w:lang w:val="en-ZA" w:eastAsia="en-ZA"/>
              </w:rPr>
            </w:pPr>
            <w:r w:rsidRPr="00C954BD">
              <w:rPr>
                <w:rFonts w:eastAsia="Times New Roman" w:cs="Times New Roman"/>
                <w:sz w:val="14"/>
                <w:lang w:val="en-ZA" w:eastAsia="en-ZA"/>
              </w:rPr>
              <w:t>R 15.72m</w:t>
            </w:r>
          </w:p>
        </w:tc>
        <w:tc>
          <w:tcPr>
            <w:tcW w:w="646" w:type="pct"/>
            <w:tcBorders>
              <w:top w:val="nil"/>
              <w:left w:val="nil"/>
              <w:bottom w:val="single" w:sz="4" w:space="0" w:color="auto"/>
              <w:right w:val="single" w:sz="4" w:space="0" w:color="auto"/>
            </w:tcBorders>
            <w:shd w:val="clear" w:color="auto" w:fill="auto"/>
            <w:noWrap/>
            <w:vAlign w:val="bottom"/>
            <w:hideMark/>
          </w:tcPr>
          <w:p w14:paraId="46322DF2" w14:textId="77777777" w:rsidR="00C954BD" w:rsidRPr="00C954BD" w:rsidRDefault="00C954BD" w:rsidP="00C954BD">
            <w:pPr>
              <w:spacing w:after="0" w:line="240" w:lineRule="auto"/>
              <w:rPr>
                <w:rFonts w:eastAsia="Times New Roman" w:cs="Times New Roman"/>
                <w:sz w:val="14"/>
                <w:lang w:val="en-ZA" w:eastAsia="en-ZA"/>
              </w:rPr>
            </w:pPr>
            <w:r w:rsidRPr="00C954BD">
              <w:rPr>
                <w:rFonts w:eastAsia="Times New Roman" w:cs="Times New Roman"/>
                <w:sz w:val="14"/>
                <w:lang w:val="en-ZA" w:eastAsia="en-ZA"/>
              </w:rPr>
              <w:t>Prime Electr contract.</w:t>
            </w:r>
          </w:p>
        </w:tc>
        <w:tc>
          <w:tcPr>
            <w:tcW w:w="1397" w:type="pct"/>
            <w:tcBorders>
              <w:top w:val="single" w:sz="4" w:space="0" w:color="auto"/>
              <w:left w:val="nil"/>
              <w:bottom w:val="single" w:sz="4" w:space="0" w:color="auto"/>
              <w:right w:val="single" w:sz="4" w:space="0" w:color="auto"/>
            </w:tcBorders>
            <w:shd w:val="clear" w:color="auto" w:fill="auto"/>
            <w:noWrap/>
            <w:vAlign w:val="bottom"/>
            <w:hideMark/>
          </w:tcPr>
          <w:p w14:paraId="00A02ACB"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Project on construction - connect first 100 customers 22/2/2018</w:t>
            </w:r>
          </w:p>
        </w:tc>
      </w:tr>
      <w:tr w:rsidR="00C954BD" w:rsidRPr="00C954BD" w14:paraId="33DEB75F" w14:textId="77777777" w:rsidTr="00C954BD">
        <w:trPr>
          <w:trHeight w:val="172"/>
        </w:trPr>
        <w:tc>
          <w:tcPr>
            <w:tcW w:w="357" w:type="pct"/>
            <w:tcBorders>
              <w:top w:val="nil"/>
              <w:left w:val="single" w:sz="4" w:space="0" w:color="auto"/>
              <w:bottom w:val="single" w:sz="4" w:space="0" w:color="auto"/>
              <w:right w:val="single" w:sz="4" w:space="0" w:color="auto"/>
            </w:tcBorders>
            <w:shd w:val="clear" w:color="auto" w:fill="auto"/>
            <w:noWrap/>
            <w:vAlign w:val="bottom"/>
            <w:hideMark/>
          </w:tcPr>
          <w:p w14:paraId="6FF1FDD9" w14:textId="77777777" w:rsidR="00C954BD" w:rsidRPr="00C954BD" w:rsidRDefault="00C954BD" w:rsidP="00C954BD">
            <w:pPr>
              <w:spacing w:after="0" w:line="240" w:lineRule="auto"/>
              <w:jc w:val="center"/>
              <w:rPr>
                <w:rFonts w:eastAsia="Times New Roman" w:cs="Times New Roman"/>
                <w:color w:val="000000"/>
                <w:sz w:val="14"/>
                <w:lang w:val="en-ZA" w:eastAsia="en-ZA"/>
              </w:rPr>
            </w:pPr>
            <w:r w:rsidRPr="00C954BD">
              <w:rPr>
                <w:rFonts w:eastAsia="Times New Roman" w:cs="Times New Roman"/>
                <w:color w:val="000000"/>
                <w:sz w:val="14"/>
                <w:lang w:val="en-ZA" w:eastAsia="en-ZA"/>
              </w:rPr>
              <w:t>7</w:t>
            </w:r>
          </w:p>
        </w:tc>
        <w:tc>
          <w:tcPr>
            <w:tcW w:w="930" w:type="pct"/>
            <w:tcBorders>
              <w:top w:val="nil"/>
              <w:left w:val="nil"/>
              <w:bottom w:val="single" w:sz="4" w:space="0" w:color="auto"/>
              <w:right w:val="single" w:sz="4" w:space="0" w:color="auto"/>
            </w:tcBorders>
            <w:shd w:val="clear" w:color="auto" w:fill="auto"/>
            <w:noWrap/>
            <w:vAlign w:val="bottom"/>
            <w:hideMark/>
          </w:tcPr>
          <w:p w14:paraId="31A45DF7"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Emahusheni / Samungu</w:t>
            </w:r>
          </w:p>
        </w:tc>
        <w:tc>
          <w:tcPr>
            <w:tcW w:w="533" w:type="pct"/>
            <w:tcBorders>
              <w:top w:val="nil"/>
              <w:left w:val="nil"/>
              <w:bottom w:val="single" w:sz="4" w:space="0" w:color="auto"/>
              <w:right w:val="single" w:sz="4" w:space="0" w:color="auto"/>
            </w:tcBorders>
            <w:shd w:val="clear" w:color="auto" w:fill="auto"/>
            <w:noWrap/>
            <w:vAlign w:val="bottom"/>
            <w:hideMark/>
          </w:tcPr>
          <w:p w14:paraId="09B58CCC"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Eskom</w:t>
            </w:r>
          </w:p>
        </w:tc>
        <w:tc>
          <w:tcPr>
            <w:tcW w:w="502" w:type="pct"/>
            <w:tcBorders>
              <w:top w:val="nil"/>
              <w:left w:val="nil"/>
              <w:bottom w:val="single" w:sz="4" w:space="0" w:color="auto"/>
              <w:right w:val="single" w:sz="4" w:space="0" w:color="auto"/>
            </w:tcBorders>
            <w:shd w:val="clear" w:color="auto" w:fill="auto"/>
            <w:noWrap/>
            <w:vAlign w:val="bottom"/>
            <w:hideMark/>
          </w:tcPr>
          <w:p w14:paraId="14E72D34" w14:textId="77777777" w:rsidR="00C954BD" w:rsidRPr="00C954BD" w:rsidRDefault="00C954BD" w:rsidP="00C954BD">
            <w:pPr>
              <w:spacing w:after="0" w:line="240" w:lineRule="auto"/>
              <w:jc w:val="center"/>
              <w:rPr>
                <w:rFonts w:eastAsia="Times New Roman" w:cs="Times New Roman"/>
                <w:color w:val="000000"/>
                <w:sz w:val="14"/>
                <w:lang w:val="en-ZA" w:eastAsia="en-ZA"/>
              </w:rPr>
            </w:pPr>
            <w:r w:rsidRPr="00C954BD">
              <w:rPr>
                <w:rFonts w:eastAsia="Times New Roman" w:cs="Times New Roman"/>
                <w:color w:val="000000"/>
                <w:sz w:val="14"/>
                <w:lang w:val="en-ZA" w:eastAsia="en-ZA"/>
              </w:rPr>
              <w:t>118</w:t>
            </w:r>
          </w:p>
        </w:tc>
        <w:tc>
          <w:tcPr>
            <w:tcW w:w="635" w:type="pct"/>
            <w:tcBorders>
              <w:top w:val="nil"/>
              <w:left w:val="nil"/>
              <w:bottom w:val="single" w:sz="4" w:space="0" w:color="auto"/>
              <w:right w:val="single" w:sz="4" w:space="0" w:color="auto"/>
            </w:tcBorders>
            <w:shd w:val="clear" w:color="auto" w:fill="auto"/>
            <w:noWrap/>
            <w:vAlign w:val="bottom"/>
          </w:tcPr>
          <w:p w14:paraId="03BDD51F"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R 2.36m</w:t>
            </w:r>
          </w:p>
        </w:tc>
        <w:tc>
          <w:tcPr>
            <w:tcW w:w="646" w:type="pct"/>
            <w:tcBorders>
              <w:top w:val="nil"/>
              <w:left w:val="nil"/>
              <w:bottom w:val="single" w:sz="4" w:space="0" w:color="auto"/>
              <w:right w:val="single" w:sz="4" w:space="0" w:color="auto"/>
            </w:tcBorders>
            <w:shd w:val="clear" w:color="auto" w:fill="auto"/>
            <w:noWrap/>
            <w:vAlign w:val="bottom"/>
            <w:hideMark/>
          </w:tcPr>
          <w:p w14:paraId="24A5C6B4"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 </w:t>
            </w:r>
          </w:p>
        </w:tc>
        <w:tc>
          <w:tcPr>
            <w:tcW w:w="1397" w:type="pct"/>
            <w:tcBorders>
              <w:top w:val="nil"/>
              <w:left w:val="nil"/>
              <w:bottom w:val="single" w:sz="4" w:space="0" w:color="auto"/>
              <w:right w:val="single" w:sz="4" w:space="0" w:color="auto"/>
            </w:tcBorders>
            <w:shd w:val="clear" w:color="auto" w:fill="auto"/>
            <w:noWrap/>
            <w:vAlign w:val="bottom"/>
            <w:hideMark/>
          </w:tcPr>
          <w:p w14:paraId="40AC7A5A" w14:textId="0112B1A1" w:rsidR="00C954BD" w:rsidRPr="00C954BD" w:rsidRDefault="00C954BD" w:rsidP="00C954BD">
            <w:pPr>
              <w:spacing w:after="0" w:line="240" w:lineRule="auto"/>
              <w:rPr>
                <w:rFonts w:eastAsia="Times New Roman" w:cs="Times New Roman"/>
                <w:color w:val="000000"/>
                <w:sz w:val="14"/>
                <w:lang w:val="en-ZA" w:eastAsia="en-ZA"/>
              </w:rPr>
            </w:pPr>
            <w:r>
              <w:rPr>
                <w:rFonts w:eastAsia="Times New Roman" w:cs="Times New Roman"/>
                <w:color w:val="000000"/>
                <w:sz w:val="14"/>
                <w:lang w:val="en-ZA" w:eastAsia="en-ZA"/>
              </w:rPr>
              <w:t>Kick off meeting was on</w:t>
            </w:r>
            <w:r w:rsidRPr="00C954BD">
              <w:rPr>
                <w:rFonts w:eastAsia="Times New Roman" w:cs="Times New Roman"/>
                <w:color w:val="000000"/>
                <w:sz w:val="14"/>
                <w:lang w:val="en-ZA" w:eastAsia="en-ZA"/>
              </w:rPr>
              <w:t xml:space="preserve"> 19/1/2018</w:t>
            </w:r>
          </w:p>
        </w:tc>
      </w:tr>
      <w:tr w:rsidR="00C954BD" w:rsidRPr="00C954BD" w14:paraId="6A2D59FA" w14:textId="77777777" w:rsidTr="00C954BD">
        <w:trPr>
          <w:trHeight w:val="172"/>
        </w:trPr>
        <w:tc>
          <w:tcPr>
            <w:tcW w:w="357" w:type="pct"/>
            <w:tcBorders>
              <w:top w:val="nil"/>
              <w:left w:val="single" w:sz="4" w:space="0" w:color="auto"/>
              <w:bottom w:val="single" w:sz="4" w:space="0" w:color="auto"/>
              <w:right w:val="single" w:sz="4" w:space="0" w:color="auto"/>
            </w:tcBorders>
            <w:shd w:val="clear" w:color="auto" w:fill="auto"/>
            <w:noWrap/>
            <w:vAlign w:val="bottom"/>
            <w:hideMark/>
          </w:tcPr>
          <w:p w14:paraId="022D87D7" w14:textId="77777777" w:rsidR="00C954BD" w:rsidRPr="00C954BD" w:rsidRDefault="00C954BD" w:rsidP="00C954BD">
            <w:pPr>
              <w:spacing w:after="0" w:line="240" w:lineRule="auto"/>
              <w:jc w:val="center"/>
              <w:rPr>
                <w:rFonts w:eastAsia="Times New Roman" w:cs="Times New Roman"/>
                <w:color w:val="000000"/>
                <w:sz w:val="14"/>
                <w:lang w:val="en-ZA" w:eastAsia="en-ZA"/>
              </w:rPr>
            </w:pPr>
            <w:r w:rsidRPr="00C954BD">
              <w:rPr>
                <w:rFonts w:eastAsia="Times New Roman" w:cs="Times New Roman"/>
                <w:color w:val="000000"/>
                <w:sz w:val="14"/>
                <w:lang w:val="en-ZA" w:eastAsia="en-ZA"/>
              </w:rPr>
              <w:t>8</w:t>
            </w:r>
          </w:p>
        </w:tc>
        <w:tc>
          <w:tcPr>
            <w:tcW w:w="930" w:type="pct"/>
            <w:tcBorders>
              <w:top w:val="nil"/>
              <w:left w:val="nil"/>
              <w:bottom w:val="single" w:sz="4" w:space="0" w:color="auto"/>
              <w:right w:val="single" w:sz="4" w:space="0" w:color="auto"/>
            </w:tcBorders>
            <w:shd w:val="clear" w:color="auto" w:fill="auto"/>
            <w:noWrap/>
            <w:vAlign w:val="bottom"/>
            <w:hideMark/>
          </w:tcPr>
          <w:p w14:paraId="27C0EBCB"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Entumeni #3</w:t>
            </w:r>
          </w:p>
        </w:tc>
        <w:tc>
          <w:tcPr>
            <w:tcW w:w="533" w:type="pct"/>
            <w:tcBorders>
              <w:top w:val="nil"/>
              <w:left w:val="nil"/>
              <w:bottom w:val="single" w:sz="4" w:space="0" w:color="auto"/>
              <w:right w:val="single" w:sz="4" w:space="0" w:color="auto"/>
            </w:tcBorders>
            <w:shd w:val="clear" w:color="auto" w:fill="auto"/>
            <w:noWrap/>
            <w:vAlign w:val="bottom"/>
            <w:hideMark/>
          </w:tcPr>
          <w:p w14:paraId="2F22966D"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Eskom</w:t>
            </w:r>
          </w:p>
        </w:tc>
        <w:tc>
          <w:tcPr>
            <w:tcW w:w="502" w:type="pct"/>
            <w:tcBorders>
              <w:top w:val="nil"/>
              <w:left w:val="nil"/>
              <w:bottom w:val="single" w:sz="4" w:space="0" w:color="auto"/>
              <w:right w:val="single" w:sz="4" w:space="0" w:color="auto"/>
            </w:tcBorders>
            <w:shd w:val="clear" w:color="auto" w:fill="auto"/>
            <w:noWrap/>
            <w:vAlign w:val="bottom"/>
            <w:hideMark/>
          </w:tcPr>
          <w:p w14:paraId="5CF1AF9C" w14:textId="77777777" w:rsidR="00C954BD" w:rsidRPr="00C954BD" w:rsidRDefault="00C954BD" w:rsidP="00C954BD">
            <w:pPr>
              <w:spacing w:after="0" w:line="240" w:lineRule="auto"/>
              <w:jc w:val="center"/>
              <w:rPr>
                <w:rFonts w:eastAsia="Times New Roman" w:cs="Times New Roman"/>
                <w:color w:val="000000"/>
                <w:sz w:val="14"/>
                <w:lang w:val="en-ZA" w:eastAsia="en-ZA"/>
              </w:rPr>
            </w:pPr>
            <w:r w:rsidRPr="00C954BD">
              <w:rPr>
                <w:rFonts w:eastAsia="Times New Roman" w:cs="Times New Roman"/>
                <w:color w:val="000000"/>
                <w:sz w:val="14"/>
                <w:lang w:val="en-ZA" w:eastAsia="en-ZA"/>
              </w:rPr>
              <w:t>368</w:t>
            </w:r>
          </w:p>
        </w:tc>
        <w:tc>
          <w:tcPr>
            <w:tcW w:w="635" w:type="pct"/>
            <w:tcBorders>
              <w:top w:val="nil"/>
              <w:left w:val="nil"/>
              <w:bottom w:val="single" w:sz="4" w:space="0" w:color="auto"/>
              <w:right w:val="single" w:sz="4" w:space="0" w:color="auto"/>
            </w:tcBorders>
            <w:shd w:val="clear" w:color="auto" w:fill="auto"/>
            <w:noWrap/>
            <w:vAlign w:val="bottom"/>
          </w:tcPr>
          <w:p w14:paraId="3EEACF9C" w14:textId="77777777" w:rsidR="00C954BD" w:rsidRPr="00C954BD" w:rsidRDefault="00C954BD" w:rsidP="00C954BD">
            <w:pPr>
              <w:spacing w:after="0" w:line="240" w:lineRule="auto"/>
              <w:rPr>
                <w:rFonts w:eastAsia="Times New Roman" w:cs="Times New Roman"/>
                <w:sz w:val="14"/>
                <w:lang w:val="en-ZA" w:eastAsia="en-ZA"/>
              </w:rPr>
            </w:pPr>
            <w:r w:rsidRPr="00C954BD">
              <w:rPr>
                <w:rFonts w:eastAsia="Times New Roman" w:cs="Times New Roman"/>
                <w:sz w:val="14"/>
                <w:lang w:val="en-ZA" w:eastAsia="en-ZA"/>
              </w:rPr>
              <w:t>R 7.36m</w:t>
            </w:r>
          </w:p>
        </w:tc>
        <w:tc>
          <w:tcPr>
            <w:tcW w:w="646" w:type="pct"/>
            <w:tcBorders>
              <w:top w:val="nil"/>
              <w:left w:val="nil"/>
              <w:bottom w:val="single" w:sz="4" w:space="0" w:color="auto"/>
              <w:right w:val="single" w:sz="4" w:space="0" w:color="auto"/>
            </w:tcBorders>
            <w:shd w:val="clear" w:color="auto" w:fill="auto"/>
            <w:noWrap/>
            <w:vAlign w:val="bottom"/>
            <w:hideMark/>
          </w:tcPr>
          <w:p w14:paraId="512B68A4"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 xml:space="preserve">KEV Accurate </w:t>
            </w:r>
          </w:p>
        </w:tc>
        <w:tc>
          <w:tcPr>
            <w:tcW w:w="1397" w:type="pct"/>
            <w:tcBorders>
              <w:top w:val="nil"/>
              <w:left w:val="nil"/>
              <w:bottom w:val="single" w:sz="4" w:space="0" w:color="auto"/>
              <w:right w:val="single" w:sz="4" w:space="0" w:color="auto"/>
            </w:tcBorders>
            <w:shd w:val="clear" w:color="auto" w:fill="auto"/>
            <w:noWrap/>
            <w:vAlign w:val="bottom"/>
            <w:hideMark/>
          </w:tcPr>
          <w:p w14:paraId="64A35CD6"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Challenges with delivery Eskom material to site - informed Eskom</w:t>
            </w:r>
          </w:p>
        </w:tc>
      </w:tr>
      <w:tr w:rsidR="00C954BD" w:rsidRPr="00C954BD" w14:paraId="14840283" w14:textId="77777777" w:rsidTr="00C954BD">
        <w:trPr>
          <w:trHeight w:val="172"/>
        </w:trPr>
        <w:tc>
          <w:tcPr>
            <w:tcW w:w="357" w:type="pct"/>
            <w:tcBorders>
              <w:top w:val="nil"/>
              <w:left w:val="single" w:sz="4" w:space="0" w:color="auto"/>
              <w:bottom w:val="single" w:sz="4" w:space="0" w:color="auto"/>
              <w:right w:val="single" w:sz="4" w:space="0" w:color="auto"/>
            </w:tcBorders>
            <w:shd w:val="clear" w:color="auto" w:fill="auto"/>
            <w:noWrap/>
            <w:vAlign w:val="bottom"/>
            <w:hideMark/>
          </w:tcPr>
          <w:p w14:paraId="68E1BCA9" w14:textId="77777777" w:rsidR="00C954BD" w:rsidRPr="00C954BD" w:rsidRDefault="00C954BD" w:rsidP="00C954BD">
            <w:pPr>
              <w:spacing w:after="0" w:line="240" w:lineRule="auto"/>
              <w:jc w:val="center"/>
              <w:rPr>
                <w:rFonts w:eastAsia="Times New Roman" w:cs="Times New Roman"/>
                <w:color w:val="000000"/>
                <w:sz w:val="14"/>
                <w:lang w:val="en-ZA" w:eastAsia="en-ZA"/>
              </w:rPr>
            </w:pPr>
            <w:r w:rsidRPr="00C954BD">
              <w:rPr>
                <w:rFonts w:eastAsia="Times New Roman" w:cs="Times New Roman"/>
                <w:color w:val="000000"/>
                <w:sz w:val="14"/>
                <w:lang w:val="en-ZA" w:eastAsia="en-ZA"/>
              </w:rPr>
              <w:t>14</w:t>
            </w:r>
          </w:p>
        </w:tc>
        <w:tc>
          <w:tcPr>
            <w:tcW w:w="930" w:type="pct"/>
            <w:tcBorders>
              <w:top w:val="nil"/>
              <w:left w:val="nil"/>
              <w:bottom w:val="single" w:sz="4" w:space="0" w:color="auto"/>
              <w:right w:val="single" w:sz="4" w:space="0" w:color="auto"/>
            </w:tcBorders>
            <w:shd w:val="clear" w:color="auto" w:fill="auto"/>
            <w:noWrap/>
            <w:vAlign w:val="bottom"/>
            <w:hideMark/>
          </w:tcPr>
          <w:p w14:paraId="370F8E5D"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 xml:space="preserve">Oyemeni #3 </w:t>
            </w:r>
          </w:p>
        </w:tc>
        <w:tc>
          <w:tcPr>
            <w:tcW w:w="533" w:type="pct"/>
            <w:tcBorders>
              <w:top w:val="nil"/>
              <w:left w:val="nil"/>
              <w:bottom w:val="single" w:sz="4" w:space="0" w:color="auto"/>
              <w:right w:val="single" w:sz="4" w:space="0" w:color="auto"/>
            </w:tcBorders>
            <w:shd w:val="clear" w:color="auto" w:fill="auto"/>
            <w:noWrap/>
            <w:vAlign w:val="bottom"/>
            <w:hideMark/>
          </w:tcPr>
          <w:p w14:paraId="6AD55FFF"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Eskom</w:t>
            </w:r>
          </w:p>
        </w:tc>
        <w:tc>
          <w:tcPr>
            <w:tcW w:w="502" w:type="pct"/>
            <w:tcBorders>
              <w:top w:val="nil"/>
              <w:left w:val="nil"/>
              <w:bottom w:val="nil"/>
              <w:right w:val="nil"/>
            </w:tcBorders>
            <w:shd w:val="clear" w:color="auto" w:fill="auto"/>
            <w:noWrap/>
            <w:vAlign w:val="bottom"/>
            <w:hideMark/>
          </w:tcPr>
          <w:p w14:paraId="16D0AE27" w14:textId="77777777" w:rsidR="00C954BD" w:rsidRPr="00C954BD" w:rsidRDefault="00C954BD" w:rsidP="00C954BD">
            <w:pPr>
              <w:spacing w:after="0" w:line="240" w:lineRule="auto"/>
              <w:jc w:val="center"/>
              <w:rPr>
                <w:rFonts w:ascii="Times New Roman" w:eastAsia="Times New Roman" w:hAnsi="Times New Roman" w:cs="Times New Roman"/>
                <w:color w:val="000000"/>
                <w:sz w:val="14"/>
                <w:lang w:val="en-ZA" w:eastAsia="en-ZA"/>
              </w:rPr>
            </w:pPr>
            <w:r w:rsidRPr="00C954BD">
              <w:rPr>
                <w:rFonts w:ascii="Times New Roman" w:eastAsia="Times New Roman" w:hAnsi="Times New Roman" w:cs="Times New Roman"/>
                <w:color w:val="000000"/>
                <w:sz w:val="14"/>
                <w:lang w:val="en-ZA" w:eastAsia="en-ZA"/>
              </w:rPr>
              <w:t>(</w:t>
            </w:r>
            <w:r w:rsidRPr="00C954BD">
              <w:rPr>
                <w:rFonts w:eastAsia="Times New Roman" w:cs="Times New Roman"/>
                <w:color w:val="000000"/>
                <w:sz w:val="14"/>
                <w:lang w:val="en-ZA" w:eastAsia="en-ZA"/>
              </w:rPr>
              <w:t>113) 70 left</w:t>
            </w:r>
          </w:p>
        </w:tc>
        <w:tc>
          <w:tcPr>
            <w:tcW w:w="635" w:type="pct"/>
            <w:tcBorders>
              <w:top w:val="nil"/>
              <w:left w:val="single" w:sz="4" w:space="0" w:color="auto"/>
              <w:bottom w:val="single" w:sz="4" w:space="0" w:color="auto"/>
              <w:right w:val="single" w:sz="4" w:space="0" w:color="auto"/>
            </w:tcBorders>
            <w:shd w:val="clear" w:color="auto" w:fill="auto"/>
            <w:noWrap/>
            <w:vAlign w:val="bottom"/>
          </w:tcPr>
          <w:p w14:paraId="5EB5D307"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R 2.26m</w:t>
            </w:r>
          </w:p>
        </w:tc>
        <w:tc>
          <w:tcPr>
            <w:tcW w:w="646" w:type="pct"/>
            <w:tcBorders>
              <w:top w:val="nil"/>
              <w:left w:val="nil"/>
              <w:bottom w:val="single" w:sz="4" w:space="0" w:color="auto"/>
              <w:right w:val="single" w:sz="4" w:space="0" w:color="auto"/>
            </w:tcBorders>
            <w:shd w:val="clear" w:color="auto" w:fill="auto"/>
            <w:noWrap/>
            <w:vAlign w:val="bottom"/>
            <w:hideMark/>
          </w:tcPr>
          <w:p w14:paraId="006D8A9D"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Zizamele Electr</w:t>
            </w:r>
          </w:p>
        </w:tc>
        <w:tc>
          <w:tcPr>
            <w:tcW w:w="1397" w:type="pct"/>
            <w:tcBorders>
              <w:top w:val="nil"/>
              <w:left w:val="nil"/>
              <w:bottom w:val="single" w:sz="4" w:space="0" w:color="auto"/>
              <w:right w:val="single" w:sz="4" w:space="0" w:color="auto"/>
            </w:tcBorders>
            <w:shd w:val="clear" w:color="auto" w:fill="auto"/>
            <w:noWrap/>
            <w:vAlign w:val="bottom"/>
            <w:hideMark/>
          </w:tcPr>
          <w:p w14:paraId="032A9ADF"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Include w14,20,21 &amp; 24:  - project complete, 30 customers left out &amp; Esk to submit design</w:t>
            </w:r>
          </w:p>
        </w:tc>
      </w:tr>
      <w:tr w:rsidR="00C954BD" w:rsidRPr="00C954BD" w14:paraId="17240547" w14:textId="77777777" w:rsidTr="00C954BD">
        <w:trPr>
          <w:trHeight w:val="172"/>
        </w:trPr>
        <w:tc>
          <w:tcPr>
            <w:tcW w:w="357" w:type="pct"/>
            <w:tcBorders>
              <w:top w:val="nil"/>
              <w:left w:val="single" w:sz="4" w:space="0" w:color="auto"/>
              <w:bottom w:val="single" w:sz="4" w:space="0" w:color="auto"/>
              <w:right w:val="single" w:sz="4" w:space="0" w:color="auto"/>
            </w:tcBorders>
            <w:shd w:val="clear" w:color="auto" w:fill="auto"/>
            <w:noWrap/>
            <w:vAlign w:val="bottom"/>
            <w:hideMark/>
          </w:tcPr>
          <w:p w14:paraId="27611737" w14:textId="77777777" w:rsidR="00C954BD" w:rsidRPr="00C954BD" w:rsidRDefault="00C954BD" w:rsidP="00C954BD">
            <w:pPr>
              <w:spacing w:after="0" w:line="240" w:lineRule="auto"/>
              <w:jc w:val="center"/>
              <w:rPr>
                <w:rFonts w:eastAsia="Times New Roman" w:cs="Times New Roman"/>
                <w:color w:val="000000"/>
                <w:sz w:val="14"/>
                <w:lang w:val="en-ZA" w:eastAsia="en-ZA"/>
              </w:rPr>
            </w:pPr>
            <w:r w:rsidRPr="00C954BD">
              <w:rPr>
                <w:rFonts w:eastAsia="Times New Roman" w:cs="Times New Roman"/>
                <w:color w:val="000000"/>
                <w:sz w:val="14"/>
                <w:lang w:val="en-ZA" w:eastAsia="en-ZA"/>
              </w:rPr>
              <w:t>22</w:t>
            </w:r>
          </w:p>
        </w:tc>
        <w:tc>
          <w:tcPr>
            <w:tcW w:w="930" w:type="pct"/>
            <w:tcBorders>
              <w:top w:val="nil"/>
              <w:left w:val="nil"/>
              <w:bottom w:val="single" w:sz="4" w:space="0" w:color="auto"/>
              <w:right w:val="single" w:sz="4" w:space="0" w:color="auto"/>
            </w:tcBorders>
            <w:shd w:val="clear" w:color="auto" w:fill="auto"/>
            <w:noWrap/>
            <w:vAlign w:val="bottom"/>
            <w:hideMark/>
          </w:tcPr>
          <w:p w14:paraId="52C453C8"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 xml:space="preserve">Oyemeni #2 </w:t>
            </w:r>
          </w:p>
        </w:tc>
        <w:tc>
          <w:tcPr>
            <w:tcW w:w="533" w:type="pct"/>
            <w:tcBorders>
              <w:top w:val="nil"/>
              <w:left w:val="nil"/>
              <w:bottom w:val="single" w:sz="4" w:space="0" w:color="auto"/>
              <w:right w:val="single" w:sz="4" w:space="0" w:color="auto"/>
            </w:tcBorders>
            <w:shd w:val="clear" w:color="auto" w:fill="auto"/>
            <w:noWrap/>
            <w:vAlign w:val="bottom"/>
            <w:hideMark/>
          </w:tcPr>
          <w:p w14:paraId="50CEF18D"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Eskom</w:t>
            </w:r>
          </w:p>
        </w:tc>
        <w:tc>
          <w:tcPr>
            <w:tcW w:w="502" w:type="pct"/>
            <w:tcBorders>
              <w:top w:val="single" w:sz="4" w:space="0" w:color="auto"/>
              <w:left w:val="nil"/>
              <w:bottom w:val="single" w:sz="4" w:space="0" w:color="auto"/>
              <w:right w:val="single" w:sz="4" w:space="0" w:color="auto"/>
            </w:tcBorders>
            <w:shd w:val="clear" w:color="auto" w:fill="auto"/>
            <w:noWrap/>
            <w:vAlign w:val="bottom"/>
            <w:hideMark/>
          </w:tcPr>
          <w:p w14:paraId="2E159C85" w14:textId="77777777" w:rsidR="00C954BD" w:rsidRPr="00C954BD" w:rsidRDefault="00C954BD" w:rsidP="00C954BD">
            <w:pPr>
              <w:spacing w:after="0" w:line="240" w:lineRule="auto"/>
              <w:jc w:val="center"/>
              <w:rPr>
                <w:rFonts w:eastAsia="Times New Roman" w:cs="Times New Roman"/>
                <w:color w:val="000000"/>
                <w:sz w:val="14"/>
                <w:lang w:val="en-ZA" w:eastAsia="en-ZA"/>
              </w:rPr>
            </w:pPr>
            <w:r w:rsidRPr="00C954BD">
              <w:rPr>
                <w:rFonts w:eastAsia="Times New Roman" w:cs="Times New Roman"/>
                <w:color w:val="000000"/>
                <w:sz w:val="14"/>
                <w:lang w:val="en-ZA" w:eastAsia="en-ZA"/>
              </w:rPr>
              <w:t>113</w:t>
            </w:r>
          </w:p>
        </w:tc>
        <w:tc>
          <w:tcPr>
            <w:tcW w:w="635" w:type="pct"/>
            <w:tcBorders>
              <w:top w:val="nil"/>
              <w:left w:val="nil"/>
              <w:bottom w:val="single" w:sz="4" w:space="0" w:color="auto"/>
              <w:right w:val="single" w:sz="4" w:space="0" w:color="auto"/>
            </w:tcBorders>
            <w:shd w:val="clear" w:color="auto" w:fill="auto"/>
            <w:noWrap/>
            <w:vAlign w:val="bottom"/>
          </w:tcPr>
          <w:p w14:paraId="0E225C2F"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R 2.26m</w:t>
            </w:r>
          </w:p>
        </w:tc>
        <w:tc>
          <w:tcPr>
            <w:tcW w:w="646" w:type="pct"/>
            <w:tcBorders>
              <w:top w:val="nil"/>
              <w:left w:val="nil"/>
              <w:bottom w:val="single" w:sz="4" w:space="0" w:color="auto"/>
              <w:right w:val="single" w:sz="4" w:space="0" w:color="auto"/>
            </w:tcBorders>
            <w:shd w:val="clear" w:color="auto" w:fill="auto"/>
            <w:noWrap/>
            <w:vAlign w:val="bottom"/>
            <w:hideMark/>
          </w:tcPr>
          <w:p w14:paraId="57371D96"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 xml:space="preserve">Howard </w:t>
            </w:r>
          </w:p>
        </w:tc>
        <w:tc>
          <w:tcPr>
            <w:tcW w:w="1397" w:type="pct"/>
            <w:tcBorders>
              <w:top w:val="nil"/>
              <w:left w:val="nil"/>
              <w:bottom w:val="single" w:sz="4" w:space="0" w:color="auto"/>
              <w:right w:val="single" w:sz="4" w:space="0" w:color="auto"/>
            </w:tcBorders>
            <w:shd w:val="clear" w:color="auto" w:fill="auto"/>
            <w:noWrap/>
            <w:vAlign w:val="bottom"/>
            <w:hideMark/>
          </w:tcPr>
          <w:p w14:paraId="052C7F80"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 xml:space="preserve">Complete  </w:t>
            </w:r>
          </w:p>
        </w:tc>
      </w:tr>
      <w:tr w:rsidR="00C954BD" w:rsidRPr="00C954BD" w14:paraId="095664A7" w14:textId="77777777" w:rsidTr="00C954BD">
        <w:trPr>
          <w:trHeight w:val="172"/>
        </w:trPr>
        <w:tc>
          <w:tcPr>
            <w:tcW w:w="357" w:type="pct"/>
            <w:tcBorders>
              <w:top w:val="nil"/>
              <w:left w:val="single" w:sz="4" w:space="0" w:color="auto"/>
              <w:bottom w:val="single" w:sz="4" w:space="0" w:color="auto"/>
              <w:right w:val="single" w:sz="4" w:space="0" w:color="auto"/>
            </w:tcBorders>
            <w:shd w:val="clear" w:color="auto" w:fill="auto"/>
            <w:noWrap/>
            <w:vAlign w:val="bottom"/>
            <w:hideMark/>
          </w:tcPr>
          <w:p w14:paraId="5BEB3BF9" w14:textId="77777777" w:rsidR="00C954BD" w:rsidRPr="00C954BD" w:rsidRDefault="00C954BD" w:rsidP="00C954BD">
            <w:pPr>
              <w:spacing w:after="0" w:line="240" w:lineRule="auto"/>
              <w:jc w:val="center"/>
              <w:rPr>
                <w:rFonts w:eastAsia="Times New Roman" w:cs="Times New Roman"/>
                <w:color w:val="000000"/>
                <w:sz w:val="14"/>
                <w:lang w:val="en-ZA" w:eastAsia="en-ZA"/>
              </w:rPr>
            </w:pPr>
            <w:r w:rsidRPr="00C954BD">
              <w:rPr>
                <w:rFonts w:eastAsia="Times New Roman" w:cs="Times New Roman"/>
                <w:color w:val="000000"/>
                <w:sz w:val="14"/>
                <w:lang w:val="en-ZA" w:eastAsia="en-ZA"/>
              </w:rPr>
              <w:t>24</w:t>
            </w:r>
          </w:p>
        </w:tc>
        <w:tc>
          <w:tcPr>
            <w:tcW w:w="930" w:type="pct"/>
            <w:tcBorders>
              <w:top w:val="nil"/>
              <w:left w:val="nil"/>
              <w:bottom w:val="single" w:sz="4" w:space="0" w:color="auto"/>
              <w:right w:val="single" w:sz="4" w:space="0" w:color="auto"/>
            </w:tcBorders>
            <w:shd w:val="clear" w:color="auto" w:fill="auto"/>
            <w:noWrap/>
            <w:vAlign w:val="bottom"/>
            <w:hideMark/>
          </w:tcPr>
          <w:p w14:paraId="6A68AEB9"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Mphehlele</w:t>
            </w:r>
          </w:p>
        </w:tc>
        <w:tc>
          <w:tcPr>
            <w:tcW w:w="533" w:type="pct"/>
            <w:tcBorders>
              <w:top w:val="nil"/>
              <w:left w:val="nil"/>
              <w:bottom w:val="single" w:sz="4" w:space="0" w:color="auto"/>
              <w:right w:val="single" w:sz="4" w:space="0" w:color="auto"/>
            </w:tcBorders>
            <w:shd w:val="clear" w:color="auto" w:fill="auto"/>
            <w:noWrap/>
            <w:vAlign w:val="bottom"/>
            <w:hideMark/>
          </w:tcPr>
          <w:p w14:paraId="4D03E54B"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Eskom</w:t>
            </w:r>
          </w:p>
        </w:tc>
        <w:tc>
          <w:tcPr>
            <w:tcW w:w="502" w:type="pct"/>
            <w:tcBorders>
              <w:top w:val="nil"/>
              <w:left w:val="nil"/>
              <w:bottom w:val="single" w:sz="4" w:space="0" w:color="auto"/>
              <w:right w:val="single" w:sz="4" w:space="0" w:color="auto"/>
            </w:tcBorders>
            <w:shd w:val="clear" w:color="auto" w:fill="auto"/>
            <w:noWrap/>
            <w:vAlign w:val="bottom"/>
            <w:hideMark/>
          </w:tcPr>
          <w:p w14:paraId="29805247" w14:textId="77777777" w:rsidR="00C954BD" w:rsidRPr="00C954BD" w:rsidRDefault="00C954BD" w:rsidP="00C954BD">
            <w:pPr>
              <w:spacing w:after="0" w:line="240" w:lineRule="auto"/>
              <w:jc w:val="center"/>
              <w:rPr>
                <w:rFonts w:eastAsia="Times New Roman" w:cs="Times New Roman"/>
                <w:color w:val="000000"/>
                <w:sz w:val="14"/>
                <w:lang w:val="en-ZA" w:eastAsia="en-ZA"/>
              </w:rPr>
            </w:pPr>
            <w:r w:rsidRPr="00C954BD">
              <w:rPr>
                <w:rFonts w:eastAsia="Times New Roman" w:cs="Times New Roman"/>
                <w:color w:val="000000"/>
                <w:sz w:val="14"/>
                <w:lang w:val="en-ZA" w:eastAsia="en-ZA"/>
              </w:rPr>
              <w:t>150</w:t>
            </w:r>
          </w:p>
        </w:tc>
        <w:tc>
          <w:tcPr>
            <w:tcW w:w="635" w:type="pct"/>
            <w:tcBorders>
              <w:top w:val="nil"/>
              <w:left w:val="nil"/>
              <w:bottom w:val="single" w:sz="4" w:space="0" w:color="auto"/>
              <w:right w:val="single" w:sz="4" w:space="0" w:color="auto"/>
            </w:tcBorders>
            <w:shd w:val="clear" w:color="auto" w:fill="auto"/>
            <w:noWrap/>
            <w:vAlign w:val="bottom"/>
          </w:tcPr>
          <w:p w14:paraId="3AE13414"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R 3m</w:t>
            </w:r>
          </w:p>
        </w:tc>
        <w:tc>
          <w:tcPr>
            <w:tcW w:w="646" w:type="pct"/>
            <w:tcBorders>
              <w:top w:val="nil"/>
              <w:left w:val="nil"/>
              <w:bottom w:val="single" w:sz="4" w:space="0" w:color="auto"/>
              <w:right w:val="single" w:sz="4" w:space="0" w:color="auto"/>
            </w:tcBorders>
            <w:shd w:val="clear" w:color="auto" w:fill="auto"/>
            <w:noWrap/>
            <w:vAlign w:val="bottom"/>
            <w:hideMark/>
          </w:tcPr>
          <w:p w14:paraId="6C97A546"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 </w:t>
            </w:r>
          </w:p>
        </w:tc>
        <w:tc>
          <w:tcPr>
            <w:tcW w:w="1397" w:type="pct"/>
            <w:tcBorders>
              <w:top w:val="nil"/>
              <w:left w:val="nil"/>
              <w:bottom w:val="single" w:sz="4" w:space="0" w:color="auto"/>
              <w:right w:val="single" w:sz="4" w:space="0" w:color="auto"/>
            </w:tcBorders>
            <w:shd w:val="clear" w:color="auto" w:fill="auto"/>
            <w:noWrap/>
            <w:vAlign w:val="bottom"/>
            <w:hideMark/>
          </w:tcPr>
          <w:p w14:paraId="42426CD8" w14:textId="77777777" w:rsidR="00C954BD" w:rsidRPr="00C954BD" w:rsidRDefault="00C954BD" w:rsidP="00C954BD">
            <w:pPr>
              <w:spacing w:after="0" w:line="240" w:lineRule="auto"/>
              <w:rPr>
                <w:rFonts w:eastAsia="Times New Roman" w:cs="Times New Roman"/>
                <w:color w:val="000000"/>
                <w:sz w:val="14"/>
                <w:lang w:val="en-ZA" w:eastAsia="en-ZA"/>
              </w:rPr>
            </w:pPr>
            <w:r w:rsidRPr="00C954BD">
              <w:rPr>
                <w:rFonts w:eastAsia="Times New Roman" w:cs="Times New Roman"/>
                <w:color w:val="000000"/>
                <w:sz w:val="14"/>
                <w:lang w:val="en-ZA" w:eastAsia="en-ZA"/>
              </w:rPr>
              <w:t xml:space="preserve">Contractor on site - Project to be done as Infills, estimated to finish in the end of May </w:t>
            </w:r>
          </w:p>
        </w:tc>
      </w:tr>
    </w:tbl>
    <w:p w14:paraId="5945635A" w14:textId="77777777" w:rsidR="00246CD2" w:rsidRDefault="00246CD2" w:rsidP="00246CD2"/>
    <w:tbl>
      <w:tblPr>
        <w:tblStyle w:val="TableGrid36"/>
        <w:tblW w:w="5000" w:type="pct"/>
        <w:tblLayout w:type="fixed"/>
        <w:tblLook w:val="04A0" w:firstRow="1" w:lastRow="0" w:firstColumn="1" w:lastColumn="0" w:noHBand="0" w:noVBand="1"/>
      </w:tblPr>
      <w:tblGrid>
        <w:gridCol w:w="703"/>
        <w:gridCol w:w="1844"/>
        <w:gridCol w:w="1558"/>
        <w:gridCol w:w="1135"/>
        <w:gridCol w:w="1558"/>
        <w:gridCol w:w="853"/>
        <w:gridCol w:w="1679"/>
      </w:tblGrid>
      <w:tr w:rsidR="008F2D9D" w:rsidRPr="00C954BD" w14:paraId="73011512" w14:textId="01BCC10C" w:rsidTr="008F2D9D">
        <w:trPr>
          <w:trHeight w:val="150"/>
        </w:trPr>
        <w:tc>
          <w:tcPr>
            <w:tcW w:w="5000" w:type="pct"/>
            <w:gridSpan w:val="7"/>
            <w:shd w:val="clear" w:color="auto" w:fill="D9E2F3"/>
            <w:noWrap/>
            <w:hideMark/>
          </w:tcPr>
          <w:p w14:paraId="41469711" w14:textId="36D2CA49" w:rsidR="008F2D9D" w:rsidRPr="00C954BD" w:rsidRDefault="008F2D9D" w:rsidP="00C954BD">
            <w:pPr>
              <w:jc w:val="center"/>
              <w:rPr>
                <w:rFonts w:eastAsia="Times New Roman" w:cs="Times New Roman"/>
                <w:b/>
                <w:bCs/>
                <w:color w:val="000000"/>
                <w:sz w:val="16"/>
                <w:szCs w:val="16"/>
                <w:lang w:eastAsia="en-ZA"/>
              </w:rPr>
            </w:pPr>
            <w:r w:rsidRPr="00C954BD">
              <w:rPr>
                <w:rFonts w:eastAsia="Times New Roman" w:cs="Times New Roman"/>
                <w:b/>
                <w:bCs/>
                <w:color w:val="000000"/>
                <w:sz w:val="16"/>
                <w:szCs w:val="16"/>
                <w:lang w:eastAsia="en-ZA"/>
              </w:rPr>
              <w:t>SCHEDULE 5B - UMLALAZI MUNICIPALITY - PROGRESS 2017/18</w:t>
            </w:r>
          </w:p>
        </w:tc>
      </w:tr>
      <w:tr w:rsidR="008F2D9D" w:rsidRPr="00C954BD" w14:paraId="77C461D4" w14:textId="4C1E3960" w:rsidTr="008F2D9D">
        <w:trPr>
          <w:trHeight w:val="145"/>
        </w:trPr>
        <w:tc>
          <w:tcPr>
            <w:tcW w:w="377" w:type="pct"/>
            <w:shd w:val="clear" w:color="auto" w:fill="D9E2F3"/>
            <w:noWrap/>
            <w:hideMark/>
          </w:tcPr>
          <w:p w14:paraId="0B925B64" w14:textId="77777777" w:rsidR="008F2D9D" w:rsidRPr="00C954BD" w:rsidRDefault="008F2D9D" w:rsidP="00C954BD">
            <w:pPr>
              <w:jc w:val="center"/>
              <w:rPr>
                <w:rFonts w:eastAsia="Times New Roman" w:cs="Times New Roman"/>
                <w:b/>
                <w:sz w:val="16"/>
                <w:szCs w:val="16"/>
                <w:lang w:eastAsia="en-ZA"/>
              </w:rPr>
            </w:pPr>
            <w:r w:rsidRPr="00C954BD">
              <w:rPr>
                <w:rFonts w:eastAsia="Times New Roman" w:cs="Times New Roman"/>
                <w:b/>
                <w:sz w:val="16"/>
                <w:szCs w:val="16"/>
                <w:lang w:eastAsia="en-ZA"/>
              </w:rPr>
              <w:t xml:space="preserve">Ward </w:t>
            </w:r>
          </w:p>
        </w:tc>
        <w:tc>
          <w:tcPr>
            <w:tcW w:w="988" w:type="pct"/>
            <w:shd w:val="clear" w:color="auto" w:fill="D9E2F3"/>
            <w:noWrap/>
            <w:hideMark/>
          </w:tcPr>
          <w:p w14:paraId="08C8BB83" w14:textId="77777777" w:rsidR="008F2D9D" w:rsidRPr="00C954BD" w:rsidRDefault="008F2D9D" w:rsidP="00C954BD">
            <w:pPr>
              <w:rPr>
                <w:rFonts w:eastAsia="Times New Roman" w:cs="Times New Roman"/>
                <w:b/>
                <w:sz w:val="16"/>
                <w:szCs w:val="16"/>
                <w:lang w:eastAsia="en-ZA"/>
              </w:rPr>
            </w:pPr>
            <w:r w:rsidRPr="00C954BD">
              <w:rPr>
                <w:rFonts w:eastAsia="Times New Roman" w:cs="Times New Roman"/>
                <w:b/>
                <w:sz w:val="16"/>
                <w:szCs w:val="16"/>
                <w:lang w:eastAsia="en-ZA"/>
              </w:rPr>
              <w:t>Project Name</w:t>
            </w:r>
          </w:p>
        </w:tc>
        <w:tc>
          <w:tcPr>
            <w:tcW w:w="835" w:type="pct"/>
            <w:shd w:val="clear" w:color="auto" w:fill="D9E2F3"/>
            <w:noWrap/>
            <w:hideMark/>
          </w:tcPr>
          <w:p w14:paraId="17CE3C33" w14:textId="77777777" w:rsidR="008F2D9D" w:rsidRPr="00C954BD" w:rsidRDefault="008F2D9D" w:rsidP="00C954BD">
            <w:pPr>
              <w:rPr>
                <w:rFonts w:eastAsia="Times New Roman" w:cs="Times New Roman"/>
                <w:b/>
                <w:sz w:val="16"/>
                <w:szCs w:val="16"/>
                <w:lang w:eastAsia="en-ZA"/>
              </w:rPr>
            </w:pPr>
            <w:r w:rsidRPr="00C954BD">
              <w:rPr>
                <w:rFonts w:eastAsia="Times New Roman" w:cs="Times New Roman"/>
                <w:b/>
                <w:sz w:val="16"/>
                <w:szCs w:val="16"/>
                <w:lang w:eastAsia="en-ZA"/>
              </w:rPr>
              <w:t>Implementer</w:t>
            </w:r>
          </w:p>
        </w:tc>
        <w:tc>
          <w:tcPr>
            <w:tcW w:w="608" w:type="pct"/>
            <w:shd w:val="clear" w:color="auto" w:fill="D9E2F3"/>
            <w:noWrap/>
            <w:hideMark/>
          </w:tcPr>
          <w:p w14:paraId="5DE83F6D" w14:textId="77777777" w:rsidR="008F2D9D" w:rsidRPr="00C954BD" w:rsidRDefault="008F2D9D" w:rsidP="00C954BD">
            <w:pPr>
              <w:rPr>
                <w:rFonts w:eastAsia="Times New Roman" w:cs="Times New Roman"/>
                <w:b/>
                <w:sz w:val="16"/>
                <w:szCs w:val="16"/>
                <w:lang w:eastAsia="en-ZA"/>
              </w:rPr>
            </w:pPr>
            <w:r w:rsidRPr="00C954BD">
              <w:rPr>
                <w:rFonts w:eastAsia="Times New Roman" w:cs="Times New Roman"/>
                <w:b/>
                <w:sz w:val="16"/>
                <w:szCs w:val="16"/>
                <w:lang w:eastAsia="en-ZA"/>
              </w:rPr>
              <w:t>Connections</w:t>
            </w:r>
          </w:p>
        </w:tc>
        <w:tc>
          <w:tcPr>
            <w:tcW w:w="835" w:type="pct"/>
            <w:shd w:val="clear" w:color="auto" w:fill="D9E2F3"/>
            <w:noWrap/>
            <w:hideMark/>
          </w:tcPr>
          <w:p w14:paraId="31D61CB4" w14:textId="77777777" w:rsidR="008F2D9D" w:rsidRPr="00C954BD" w:rsidRDefault="008F2D9D" w:rsidP="00C954BD">
            <w:pPr>
              <w:rPr>
                <w:rFonts w:eastAsia="Times New Roman" w:cs="Times New Roman"/>
                <w:b/>
                <w:sz w:val="16"/>
                <w:szCs w:val="16"/>
                <w:lang w:eastAsia="en-ZA"/>
              </w:rPr>
            </w:pPr>
            <w:r w:rsidRPr="00C954BD">
              <w:rPr>
                <w:rFonts w:eastAsia="Times New Roman" w:cs="Times New Roman"/>
                <w:b/>
                <w:sz w:val="16"/>
                <w:szCs w:val="16"/>
                <w:lang w:eastAsia="en-ZA"/>
              </w:rPr>
              <w:t>Contractor</w:t>
            </w:r>
          </w:p>
        </w:tc>
        <w:tc>
          <w:tcPr>
            <w:tcW w:w="457" w:type="pct"/>
            <w:shd w:val="clear" w:color="auto" w:fill="D9E2F3"/>
            <w:noWrap/>
            <w:hideMark/>
          </w:tcPr>
          <w:p w14:paraId="7E17F2A3" w14:textId="77777777" w:rsidR="008F2D9D" w:rsidRPr="00C954BD" w:rsidRDefault="008F2D9D" w:rsidP="00C954BD">
            <w:pPr>
              <w:rPr>
                <w:rFonts w:eastAsia="Times New Roman" w:cs="Times New Roman"/>
                <w:b/>
                <w:sz w:val="16"/>
                <w:szCs w:val="16"/>
                <w:lang w:eastAsia="en-ZA"/>
              </w:rPr>
            </w:pPr>
            <w:r w:rsidRPr="00C954BD">
              <w:rPr>
                <w:rFonts w:eastAsia="Times New Roman" w:cs="Times New Roman"/>
                <w:b/>
                <w:sz w:val="16"/>
                <w:szCs w:val="16"/>
                <w:lang w:eastAsia="en-ZA"/>
              </w:rPr>
              <w:t>Progress</w:t>
            </w:r>
          </w:p>
        </w:tc>
        <w:tc>
          <w:tcPr>
            <w:tcW w:w="900" w:type="pct"/>
            <w:shd w:val="clear" w:color="auto" w:fill="D9E2F3"/>
          </w:tcPr>
          <w:p w14:paraId="3E8BEC52" w14:textId="4E328B2A" w:rsidR="008F2D9D" w:rsidRPr="00C954BD" w:rsidRDefault="008F2D9D" w:rsidP="00C954BD">
            <w:pPr>
              <w:rPr>
                <w:rFonts w:eastAsia="Times New Roman" w:cs="Times New Roman"/>
                <w:b/>
                <w:sz w:val="16"/>
                <w:szCs w:val="16"/>
                <w:lang w:eastAsia="en-ZA"/>
              </w:rPr>
            </w:pPr>
            <w:r>
              <w:rPr>
                <w:rFonts w:eastAsia="Times New Roman" w:cs="Times New Roman"/>
                <w:b/>
                <w:sz w:val="16"/>
                <w:szCs w:val="16"/>
                <w:lang w:eastAsia="en-ZA"/>
              </w:rPr>
              <w:t xml:space="preserve">Estimated Budget </w:t>
            </w:r>
          </w:p>
        </w:tc>
      </w:tr>
      <w:tr w:rsidR="008F2D9D" w:rsidRPr="00C954BD" w14:paraId="1C9805B6" w14:textId="18F5D477" w:rsidTr="008F2D9D">
        <w:trPr>
          <w:trHeight w:val="215"/>
        </w:trPr>
        <w:tc>
          <w:tcPr>
            <w:tcW w:w="377" w:type="pct"/>
            <w:noWrap/>
            <w:hideMark/>
          </w:tcPr>
          <w:p w14:paraId="43EA03B7" w14:textId="77777777" w:rsidR="008F2D9D" w:rsidRPr="00C954BD" w:rsidRDefault="008F2D9D" w:rsidP="00C954BD">
            <w:pPr>
              <w:jc w:val="center"/>
              <w:rPr>
                <w:rFonts w:eastAsia="Times New Roman" w:cs="Times New Roman"/>
                <w:color w:val="000000"/>
                <w:sz w:val="16"/>
                <w:szCs w:val="16"/>
                <w:lang w:eastAsia="en-ZA"/>
              </w:rPr>
            </w:pPr>
            <w:r w:rsidRPr="00C954BD">
              <w:rPr>
                <w:rFonts w:eastAsia="Times New Roman" w:cs="Times New Roman"/>
                <w:color w:val="000000"/>
                <w:sz w:val="16"/>
                <w:szCs w:val="16"/>
                <w:lang w:eastAsia="en-ZA"/>
              </w:rPr>
              <w:t>21</w:t>
            </w:r>
          </w:p>
        </w:tc>
        <w:tc>
          <w:tcPr>
            <w:tcW w:w="988" w:type="pct"/>
            <w:noWrap/>
            <w:hideMark/>
          </w:tcPr>
          <w:p w14:paraId="039D6D82" w14:textId="77777777" w:rsidR="008F2D9D" w:rsidRPr="00C954BD" w:rsidRDefault="008F2D9D" w:rsidP="00C954BD">
            <w:pPr>
              <w:rPr>
                <w:rFonts w:eastAsia="Times New Roman" w:cs="Times New Roman"/>
                <w:color w:val="000000"/>
                <w:sz w:val="16"/>
                <w:szCs w:val="16"/>
                <w:lang w:eastAsia="en-ZA"/>
              </w:rPr>
            </w:pPr>
            <w:r w:rsidRPr="00C954BD">
              <w:rPr>
                <w:rFonts w:eastAsia="Times New Roman" w:cs="Times New Roman"/>
                <w:color w:val="000000"/>
                <w:sz w:val="16"/>
                <w:szCs w:val="16"/>
                <w:lang w:eastAsia="en-ZA"/>
              </w:rPr>
              <w:t>Izingwenya #1</w:t>
            </w:r>
          </w:p>
        </w:tc>
        <w:tc>
          <w:tcPr>
            <w:tcW w:w="835" w:type="pct"/>
            <w:noWrap/>
            <w:hideMark/>
          </w:tcPr>
          <w:p w14:paraId="497EC887" w14:textId="77777777" w:rsidR="008F2D9D" w:rsidRPr="00C954BD" w:rsidRDefault="008F2D9D" w:rsidP="00C954BD">
            <w:pPr>
              <w:rPr>
                <w:rFonts w:eastAsia="Times New Roman" w:cs="Times New Roman"/>
                <w:color w:val="000000"/>
                <w:sz w:val="16"/>
                <w:szCs w:val="16"/>
                <w:lang w:eastAsia="en-ZA"/>
              </w:rPr>
            </w:pPr>
            <w:r w:rsidRPr="00C954BD">
              <w:rPr>
                <w:rFonts w:eastAsia="Times New Roman" w:cs="Times New Roman"/>
                <w:color w:val="000000"/>
                <w:sz w:val="16"/>
                <w:szCs w:val="16"/>
                <w:lang w:eastAsia="en-ZA"/>
              </w:rPr>
              <w:t>Umlalazi Munics</w:t>
            </w:r>
          </w:p>
        </w:tc>
        <w:tc>
          <w:tcPr>
            <w:tcW w:w="608" w:type="pct"/>
            <w:noWrap/>
            <w:hideMark/>
          </w:tcPr>
          <w:p w14:paraId="1FDFB4A4" w14:textId="77777777" w:rsidR="008F2D9D" w:rsidRPr="00C954BD" w:rsidRDefault="008F2D9D" w:rsidP="00C954BD">
            <w:pPr>
              <w:jc w:val="center"/>
              <w:rPr>
                <w:rFonts w:eastAsia="Times New Roman" w:cs="Times New Roman"/>
                <w:color w:val="000000"/>
                <w:sz w:val="16"/>
                <w:szCs w:val="16"/>
                <w:lang w:eastAsia="en-ZA"/>
              </w:rPr>
            </w:pPr>
            <w:r w:rsidRPr="00C954BD">
              <w:rPr>
                <w:rFonts w:eastAsia="Times New Roman" w:cs="Times New Roman"/>
                <w:color w:val="000000"/>
                <w:sz w:val="16"/>
                <w:szCs w:val="16"/>
                <w:lang w:eastAsia="en-ZA"/>
              </w:rPr>
              <w:t>188</w:t>
            </w:r>
          </w:p>
        </w:tc>
        <w:tc>
          <w:tcPr>
            <w:tcW w:w="835" w:type="pct"/>
            <w:noWrap/>
            <w:hideMark/>
          </w:tcPr>
          <w:p w14:paraId="6421C9FF" w14:textId="77777777" w:rsidR="008F2D9D" w:rsidRPr="00C954BD" w:rsidRDefault="008F2D9D" w:rsidP="00C954BD">
            <w:pPr>
              <w:rPr>
                <w:rFonts w:eastAsia="Times New Roman" w:cs="Times New Roman"/>
                <w:color w:val="000000"/>
                <w:sz w:val="16"/>
                <w:szCs w:val="16"/>
                <w:lang w:eastAsia="en-ZA"/>
              </w:rPr>
            </w:pPr>
            <w:r w:rsidRPr="00C954BD">
              <w:rPr>
                <w:rFonts w:eastAsia="Times New Roman" w:cs="Times New Roman"/>
                <w:color w:val="000000"/>
                <w:sz w:val="16"/>
                <w:szCs w:val="16"/>
                <w:lang w:eastAsia="en-ZA"/>
              </w:rPr>
              <w:t xml:space="preserve">Omphile Electrical </w:t>
            </w:r>
          </w:p>
        </w:tc>
        <w:tc>
          <w:tcPr>
            <w:tcW w:w="457" w:type="pct"/>
            <w:noWrap/>
            <w:hideMark/>
          </w:tcPr>
          <w:p w14:paraId="7F4F3458" w14:textId="77777777" w:rsidR="008F2D9D" w:rsidRPr="00C954BD" w:rsidRDefault="008F2D9D" w:rsidP="00C954BD">
            <w:pPr>
              <w:jc w:val="center"/>
              <w:rPr>
                <w:rFonts w:eastAsia="Times New Roman" w:cs="Times New Roman"/>
                <w:color w:val="000000"/>
                <w:sz w:val="16"/>
                <w:szCs w:val="16"/>
                <w:lang w:eastAsia="en-ZA"/>
              </w:rPr>
            </w:pPr>
            <w:r w:rsidRPr="00C954BD">
              <w:rPr>
                <w:rFonts w:eastAsia="Times New Roman" w:cs="Times New Roman"/>
                <w:color w:val="000000"/>
                <w:sz w:val="16"/>
                <w:szCs w:val="16"/>
                <w:lang w:eastAsia="en-ZA"/>
              </w:rPr>
              <w:t>100%</w:t>
            </w:r>
          </w:p>
        </w:tc>
        <w:tc>
          <w:tcPr>
            <w:tcW w:w="900" w:type="pct"/>
          </w:tcPr>
          <w:p w14:paraId="29E4A86E" w14:textId="76005FD3" w:rsidR="008F2D9D" w:rsidRPr="00C954BD" w:rsidRDefault="008F2D9D" w:rsidP="00C954BD">
            <w:pPr>
              <w:jc w:val="center"/>
              <w:rPr>
                <w:rFonts w:eastAsia="Times New Roman" w:cs="Times New Roman"/>
                <w:color w:val="000000"/>
                <w:sz w:val="16"/>
                <w:szCs w:val="16"/>
                <w:lang w:eastAsia="en-ZA"/>
              </w:rPr>
            </w:pPr>
            <w:r>
              <w:rPr>
                <w:rFonts w:eastAsia="Times New Roman" w:cs="Times New Roman"/>
                <w:color w:val="000000"/>
                <w:sz w:val="16"/>
                <w:szCs w:val="16"/>
                <w:lang w:eastAsia="en-ZA"/>
              </w:rPr>
              <w:t>R 3 760 000.00</w:t>
            </w:r>
          </w:p>
        </w:tc>
      </w:tr>
      <w:tr w:rsidR="008F2D9D" w:rsidRPr="00C954BD" w14:paraId="21FE6B0A" w14:textId="441E5D93" w:rsidTr="008F2D9D">
        <w:trPr>
          <w:trHeight w:val="215"/>
        </w:trPr>
        <w:tc>
          <w:tcPr>
            <w:tcW w:w="377" w:type="pct"/>
            <w:noWrap/>
            <w:hideMark/>
          </w:tcPr>
          <w:p w14:paraId="0F1FE6C5" w14:textId="77777777" w:rsidR="008F2D9D" w:rsidRPr="00C954BD" w:rsidRDefault="008F2D9D" w:rsidP="00C954BD">
            <w:pPr>
              <w:jc w:val="center"/>
              <w:rPr>
                <w:rFonts w:eastAsia="Times New Roman" w:cs="Times New Roman"/>
                <w:color w:val="000000"/>
                <w:sz w:val="16"/>
                <w:szCs w:val="16"/>
                <w:lang w:eastAsia="en-ZA"/>
              </w:rPr>
            </w:pPr>
            <w:r w:rsidRPr="00C954BD">
              <w:rPr>
                <w:rFonts w:eastAsia="Times New Roman" w:cs="Times New Roman"/>
                <w:color w:val="000000"/>
                <w:sz w:val="16"/>
                <w:szCs w:val="16"/>
                <w:lang w:eastAsia="en-ZA"/>
              </w:rPr>
              <w:t>21</w:t>
            </w:r>
          </w:p>
        </w:tc>
        <w:tc>
          <w:tcPr>
            <w:tcW w:w="988" w:type="pct"/>
            <w:noWrap/>
            <w:hideMark/>
          </w:tcPr>
          <w:p w14:paraId="55E4CA43" w14:textId="77777777" w:rsidR="008F2D9D" w:rsidRPr="00C954BD" w:rsidRDefault="008F2D9D" w:rsidP="00C954BD">
            <w:pPr>
              <w:rPr>
                <w:rFonts w:eastAsia="Times New Roman" w:cs="Times New Roman"/>
                <w:color w:val="000000"/>
                <w:sz w:val="16"/>
                <w:szCs w:val="16"/>
                <w:lang w:eastAsia="en-ZA"/>
              </w:rPr>
            </w:pPr>
            <w:r w:rsidRPr="00C954BD">
              <w:rPr>
                <w:rFonts w:eastAsia="Times New Roman" w:cs="Times New Roman"/>
                <w:color w:val="000000"/>
                <w:sz w:val="16"/>
                <w:szCs w:val="16"/>
                <w:lang w:eastAsia="en-ZA"/>
              </w:rPr>
              <w:t>Izingwenya #2</w:t>
            </w:r>
          </w:p>
        </w:tc>
        <w:tc>
          <w:tcPr>
            <w:tcW w:w="835" w:type="pct"/>
            <w:noWrap/>
            <w:hideMark/>
          </w:tcPr>
          <w:p w14:paraId="45305D1B" w14:textId="77777777" w:rsidR="008F2D9D" w:rsidRPr="00C954BD" w:rsidRDefault="008F2D9D" w:rsidP="00C954BD">
            <w:pPr>
              <w:rPr>
                <w:rFonts w:eastAsia="Times New Roman" w:cs="Times New Roman"/>
                <w:color w:val="000000"/>
                <w:sz w:val="16"/>
                <w:szCs w:val="16"/>
                <w:lang w:eastAsia="en-ZA"/>
              </w:rPr>
            </w:pPr>
            <w:r w:rsidRPr="00C954BD">
              <w:rPr>
                <w:rFonts w:eastAsia="Times New Roman" w:cs="Times New Roman"/>
                <w:color w:val="000000"/>
                <w:sz w:val="16"/>
                <w:szCs w:val="16"/>
                <w:lang w:eastAsia="en-ZA"/>
              </w:rPr>
              <w:t>Umlalazi Munics</w:t>
            </w:r>
          </w:p>
        </w:tc>
        <w:tc>
          <w:tcPr>
            <w:tcW w:w="608" w:type="pct"/>
            <w:noWrap/>
            <w:hideMark/>
          </w:tcPr>
          <w:p w14:paraId="6B70BCCF" w14:textId="77777777" w:rsidR="008F2D9D" w:rsidRPr="00C954BD" w:rsidRDefault="008F2D9D" w:rsidP="00C954BD">
            <w:pPr>
              <w:jc w:val="center"/>
              <w:rPr>
                <w:rFonts w:eastAsia="Times New Roman" w:cs="Times New Roman"/>
                <w:color w:val="000000"/>
                <w:sz w:val="16"/>
                <w:szCs w:val="16"/>
                <w:lang w:eastAsia="en-ZA"/>
              </w:rPr>
            </w:pPr>
            <w:r w:rsidRPr="00C954BD">
              <w:rPr>
                <w:rFonts w:eastAsia="Times New Roman" w:cs="Times New Roman"/>
                <w:color w:val="000000"/>
                <w:sz w:val="16"/>
                <w:szCs w:val="16"/>
                <w:lang w:eastAsia="en-ZA"/>
              </w:rPr>
              <w:t>250</w:t>
            </w:r>
          </w:p>
        </w:tc>
        <w:tc>
          <w:tcPr>
            <w:tcW w:w="835" w:type="pct"/>
            <w:noWrap/>
            <w:hideMark/>
          </w:tcPr>
          <w:p w14:paraId="5F082F88" w14:textId="77777777" w:rsidR="008F2D9D" w:rsidRPr="00C954BD" w:rsidRDefault="008F2D9D" w:rsidP="00C954BD">
            <w:pPr>
              <w:rPr>
                <w:rFonts w:eastAsia="Times New Roman" w:cs="Times New Roman"/>
                <w:color w:val="000000"/>
                <w:sz w:val="16"/>
                <w:szCs w:val="16"/>
                <w:lang w:eastAsia="en-ZA"/>
              </w:rPr>
            </w:pPr>
            <w:r w:rsidRPr="00C954BD">
              <w:rPr>
                <w:rFonts w:eastAsia="Times New Roman" w:cs="Times New Roman"/>
                <w:color w:val="000000"/>
                <w:sz w:val="16"/>
                <w:szCs w:val="16"/>
                <w:lang w:eastAsia="en-ZA"/>
              </w:rPr>
              <w:t xml:space="preserve">Omphile Electrical </w:t>
            </w:r>
          </w:p>
        </w:tc>
        <w:tc>
          <w:tcPr>
            <w:tcW w:w="457" w:type="pct"/>
            <w:noWrap/>
            <w:hideMark/>
          </w:tcPr>
          <w:p w14:paraId="5814689E" w14:textId="77777777" w:rsidR="008F2D9D" w:rsidRPr="00C954BD" w:rsidRDefault="008F2D9D" w:rsidP="00C954BD">
            <w:pPr>
              <w:jc w:val="center"/>
              <w:rPr>
                <w:rFonts w:eastAsia="Times New Roman" w:cs="Times New Roman"/>
                <w:color w:val="000000"/>
                <w:sz w:val="16"/>
                <w:szCs w:val="16"/>
                <w:lang w:eastAsia="en-ZA"/>
              </w:rPr>
            </w:pPr>
            <w:r w:rsidRPr="00C954BD">
              <w:rPr>
                <w:rFonts w:eastAsia="Times New Roman" w:cs="Times New Roman"/>
                <w:color w:val="000000"/>
                <w:sz w:val="16"/>
                <w:szCs w:val="16"/>
                <w:lang w:eastAsia="en-ZA"/>
              </w:rPr>
              <w:t>100%</w:t>
            </w:r>
          </w:p>
        </w:tc>
        <w:tc>
          <w:tcPr>
            <w:tcW w:w="900" w:type="pct"/>
          </w:tcPr>
          <w:p w14:paraId="5BF8B388" w14:textId="126C1A36" w:rsidR="008F2D9D" w:rsidRPr="00C954BD" w:rsidRDefault="008F2D9D" w:rsidP="00C954BD">
            <w:pPr>
              <w:jc w:val="center"/>
              <w:rPr>
                <w:rFonts w:eastAsia="Times New Roman" w:cs="Times New Roman"/>
                <w:color w:val="000000"/>
                <w:sz w:val="16"/>
                <w:szCs w:val="16"/>
                <w:lang w:eastAsia="en-ZA"/>
              </w:rPr>
            </w:pPr>
            <w:r>
              <w:rPr>
                <w:rFonts w:eastAsia="Times New Roman" w:cs="Times New Roman"/>
                <w:color w:val="000000"/>
                <w:sz w:val="16"/>
                <w:szCs w:val="16"/>
                <w:lang w:eastAsia="en-ZA"/>
              </w:rPr>
              <w:t>R 5 000 000.00</w:t>
            </w:r>
          </w:p>
        </w:tc>
      </w:tr>
      <w:tr w:rsidR="008F2D9D" w:rsidRPr="00C954BD" w14:paraId="49781AE1" w14:textId="6F0C4E28" w:rsidTr="008F2D9D">
        <w:trPr>
          <w:trHeight w:val="215"/>
        </w:trPr>
        <w:tc>
          <w:tcPr>
            <w:tcW w:w="377" w:type="pct"/>
            <w:noWrap/>
            <w:hideMark/>
          </w:tcPr>
          <w:p w14:paraId="385D18DA" w14:textId="77777777" w:rsidR="008F2D9D" w:rsidRPr="00C954BD" w:rsidRDefault="008F2D9D" w:rsidP="00C954BD">
            <w:pPr>
              <w:jc w:val="center"/>
              <w:rPr>
                <w:rFonts w:eastAsia="Times New Roman" w:cs="Times New Roman"/>
                <w:color w:val="000000"/>
                <w:sz w:val="16"/>
                <w:szCs w:val="16"/>
                <w:lang w:eastAsia="en-ZA"/>
              </w:rPr>
            </w:pPr>
            <w:r w:rsidRPr="00C954BD">
              <w:rPr>
                <w:rFonts w:eastAsia="Times New Roman" w:cs="Times New Roman"/>
                <w:color w:val="000000"/>
                <w:sz w:val="16"/>
                <w:szCs w:val="16"/>
                <w:lang w:eastAsia="en-ZA"/>
              </w:rPr>
              <w:t>21</w:t>
            </w:r>
          </w:p>
        </w:tc>
        <w:tc>
          <w:tcPr>
            <w:tcW w:w="988" w:type="pct"/>
            <w:noWrap/>
            <w:hideMark/>
          </w:tcPr>
          <w:p w14:paraId="668F4234" w14:textId="77777777" w:rsidR="008F2D9D" w:rsidRPr="00C954BD" w:rsidRDefault="008F2D9D" w:rsidP="00C954BD">
            <w:pPr>
              <w:rPr>
                <w:rFonts w:eastAsia="Times New Roman" w:cs="Times New Roman"/>
                <w:color w:val="000000"/>
                <w:sz w:val="16"/>
                <w:szCs w:val="16"/>
                <w:lang w:eastAsia="en-ZA"/>
              </w:rPr>
            </w:pPr>
            <w:r w:rsidRPr="00C954BD">
              <w:rPr>
                <w:rFonts w:eastAsia="Times New Roman" w:cs="Times New Roman"/>
                <w:color w:val="000000"/>
                <w:sz w:val="16"/>
                <w:szCs w:val="16"/>
                <w:lang w:eastAsia="en-ZA"/>
              </w:rPr>
              <w:t>Izingwenya #3</w:t>
            </w:r>
          </w:p>
        </w:tc>
        <w:tc>
          <w:tcPr>
            <w:tcW w:w="835" w:type="pct"/>
            <w:noWrap/>
            <w:hideMark/>
          </w:tcPr>
          <w:p w14:paraId="20EBAB05" w14:textId="77777777" w:rsidR="008F2D9D" w:rsidRPr="00C954BD" w:rsidRDefault="008F2D9D" w:rsidP="00C954BD">
            <w:pPr>
              <w:rPr>
                <w:rFonts w:eastAsia="Times New Roman" w:cs="Times New Roman"/>
                <w:color w:val="000000"/>
                <w:sz w:val="16"/>
                <w:szCs w:val="16"/>
                <w:lang w:eastAsia="en-ZA"/>
              </w:rPr>
            </w:pPr>
            <w:r w:rsidRPr="00C954BD">
              <w:rPr>
                <w:rFonts w:eastAsia="Times New Roman" w:cs="Times New Roman"/>
                <w:color w:val="000000"/>
                <w:sz w:val="16"/>
                <w:szCs w:val="16"/>
                <w:lang w:eastAsia="en-ZA"/>
              </w:rPr>
              <w:t>Umlalazi Munics</w:t>
            </w:r>
          </w:p>
        </w:tc>
        <w:tc>
          <w:tcPr>
            <w:tcW w:w="608" w:type="pct"/>
            <w:noWrap/>
            <w:hideMark/>
          </w:tcPr>
          <w:p w14:paraId="0C0CA866" w14:textId="77777777" w:rsidR="008F2D9D" w:rsidRPr="00C954BD" w:rsidRDefault="008F2D9D" w:rsidP="00C954BD">
            <w:pPr>
              <w:jc w:val="center"/>
              <w:rPr>
                <w:rFonts w:eastAsia="Times New Roman" w:cs="Times New Roman"/>
                <w:color w:val="000000"/>
                <w:sz w:val="16"/>
                <w:szCs w:val="16"/>
                <w:lang w:eastAsia="en-ZA"/>
              </w:rPr>
            </w:pPr>
            <w:r w:rsidRPr="00C954BD">
              <w:rPr>
                <w:rFonts w:eastAsia="Times New Roman" w:cs="Times New Roman"/>
                <w:color w:val="000000"/>
                <w:sz w:val="16"/>
                <w:szCs w:val="16"/>
                <w:lang w:eastAsia="en-ZA"/>
              </w:rPr>
              <w:t>142</w:t>
            </w:r>
          </w:p>
        </w:tc>
        <w:tc>
          <w:tcPr>
            <w:tcW w:w="835" w:type="pct"/>
            <w:noWrap/>
            <w:hideMark/>
          </w:tcPr>
          <w:p w14:paraId="5CA512C4" w14:textId="77777777" w:rsidR="008F2D9D" w:rsidRPr="00C954BD" w:rsidRDefault="008F2D9D" w:rsidP="00C954BD">
            <w:pPr>
              <w:rPr>
                <w:rFonts w:eastAsia="Times New Roman" w:cs="Times New Roman"/>
                <w:color w:val="000000"/>
                <w:sz w:val="16"/>
                <w:szCs w:val="16"/>
                <w:lang w:eastAsia="en-ZA"/>
              </w:rPr>
            </w:pPr>
            <w:r w:rsidRPr="00C954BD">
              <w:rPr>
                <w:rFonts w:eastAsia="Times New Roman" w:cs="Times New Roman"/>
                <w:color w:val="000000"/>
                <w:sz w:val="16"/>
                <w:szCs w:val="16"/>
                <w:lang w:eastAsia="en-ZA"/>
              </w:rPr>
              <w:t xml:space="preserve">Omphile Electrical </w:t>
            </w:r>
          </w:p>
        </w:tc>
        <w:tc>
          <w:tcPr>
            <w:tcW w:w="457" w:type="pct"/>
            <w:noWrap/>
            <w:hideMark/>
          </w:tcPr>
          <w:p w14:paraId="43CDCE82" w14:textId="77777777" w:rsidR="008F2D9D" w:rsidRPr="00C954BD" w:rsidRDefault="008F2D9D" w:rsidP="00C954BD">
            <w:pPr>
              <w:jc w:val="center"/>
              <w:rPr>
                <w:rFonts w:eastAsia="Times New Roman" w:cs="Times New Roman"/>
                <w:color w:val="000000"/>
                <w:sz w:val="16"/>
                <w:szCs w:val="16"/>
                <w:lang w:eastAsia="en-ZA"/>
              </w:rPr>
            </w:pPr>
            <w:r w:rsidRPr="00C954BD">
              <w:rPr>
                <w:rFonts w:eastAsia="Times New Roman" w:cs="Times New Roman"/>
                <w:color w:val="000000"/>
                <w:sz w:val="16"/>
                <w:szCs w:val="16"/>
                <w:lang w:eastAsia="en-ZA"/>
              </w:rPr>
              <w:t>100%</w:t>
            </w:r>
          </w:p>
        </w:tc>
        <w:tc>
          <w:tcPr>
            <w:tcW w:w="900" w:type="pct"/>
          </w:tcPr>
          <w:p w14:paraId="461F47FF" w14:textId="0451CAD5" w:rsidR="008F2D9D" w:rsidRPr="00C954BD" w:rsidRDefault="008F2D9D" w:rsidP="00C954BD">
            <w:pPr>
              <w:jc w:val="center"/>
              <w:rPr>
                <w:rFonts w:eastAsia="Times New Roman" w:cs="Times New Roman"/>
                <w:color w:val="000000"/>
                <w:sz w:val="16"/>
                <w:szCs w:val="16"/>
                <w:lang w:eastAsia="en-ZA"/>
              </w:rPr>
            </w:pPr>
            <w:r>
              <w:rPr>
                <w:rFonts w:eastAsia="Times New Roman" w:cs="Times New Roman"/>
                <w:color w:val="000000"/>
                <w:sz w:val="16"/>
                <w:szCs w:val="16"/>
                <w:lang w:eastAsia="en-ZA"/>
              </w:rPr>
              <w:t>R 2 840 000.00</w:t>
            </w:r>
          </w:p>
        </w:tc>
      </w:tr>
      <w:tr w:rsidR="008F2D9D" w:rsidRPr="00C954BD" w14:paraId="625C0D69" w14:textId="3919D808" w:rsidTr="008F2D9D">
        <w:trPr>
          <w:trHeight w:val="215"/>
        </w:trPr>
        <w:tc>
          <w:tcPr>
            <w:tcW w:w="377" w:type="pct"/>
            <w:noWrap/>
            <w:hideMark/>
          </w:tcPr>
          <w:p w14:paraId="1FAC18C9" w14:textId="77777777" w:rsidR="008F2D9D" w:rsidRPr="00C954BD" w:rsidRDefault="008F2D9D" w:rsidP="00C954BD">
            <w:pPr>
              <w:jc w:val="center"/>
              <w:rPr>
                <w:rFonts w:eastAsia="Times New Roman" w:cs="Times New Roman"/>
                <w:color w:val="000000"/>
                <w:sz w:val="16"/>
                <w:szCs w:val="16"/>
                <w:lang w:eastAsia="en-ZA"/>
              </w:rPr>
            </w:pPr>
            <w:r w:rsidRPr="00C954BD">
              <w:rPr>
                <w:rFonts w:eastAsia="Times New Roman" w:cs="Times New Roman"/>
                <w:color w:val="000000"/>
                <w:sz w:val="16"/>
                <w:szCs w:val="16"/>
                <w:lang w:eastAsia="en-ZA"/>
              </w:rPr>
              <w:t>24</w:t>
            </w:r>
          </w:p>
        </w:tc>
        <w:tc>
          <w:tcPr>
            <w:tcW w:w="988" w:type="pct"/>
            <w:noWrap/>
            <w:hideMark/>
          </w:tcPr>
          <w:p w14:paraId="283F91D7" w14:textId="77777777" w:rsidR="008F2D9D" w:rsidRPr="00C954BD" w:rsidRDefault="008F2D9D" w:rsidP="00C954BD">
            <w:pPr>
              <w:rPr>
                <w:rFonts w:eastAsia="Times New Roman" w:cs="Times New Roman"/>
                <w:color w:val="000000"/>
                <w:sz w:val="16"/>
                <w:szCs w:val="16"/>
                <w:lang w:eastAsia="en-ZA"/>
              </w:rPr>
            </w:pPr>
            <w:r w:rsidRPr="00C954BD">
              <w:rPr>
                <w:rFonts w:eastAsia="Times New Roman" w:cs="Times New Roman"/>
                <w:color w:val="000000"/>
                <w:sz w:val="16"/>
                <w:szCs w:val="16"/>
                <w:lang w:eastAsia="en-ZA"/>
              </w:rPr>
              <w:t>Bonisani / Makhehle</w:t>
            </w:r>
          </w:p>
        </w:tc>
        <w:tc>
          <w:tcPr>
            <w:tcW w:w="835" w:type="pct"/>
            <w:noWrap/>
            <w:hideMark/>
          </w:tcPr>
          <w:p w14:paraId="29CAAF23" w14:textId="77777777" w:rsidR="008F2D9D" w:rsidRPr="00C954BD" w:rsidRDefault="008F2D9D" w:rsidP="00C954BD">
            <w:pPr>
              <w:rPr>
                <w:rFonts w:eastAsia="Times New Roman" w:cs="Times New Roman"/>
                <w:color w:val="000000"/>
                <w:sz w:val="16"/>
                <w:szCs w:val="16"/>
                <w:lang w:eastAsia="en-ZA"/>
              </w:rPr>
            </w:pPr>
            <w:r w:rsidRPr="00C954BD">
              <w:rPr>
                <w:rFonts w:eastAsia="Times New Roman" w:cs="Times New Roman"/>
                <w:color w:val="000000"/>
                <w:sz w:val="16"/>
                <w:szCs w:val="16"/>
                <w:lang w:eastAsia="en-ZA"/>
              </w:rPr>
              <w:t>Umlalazi Munics</w:t>
            </w:r>
          </w:p>
        </w:tc>
        <w:tc>
          <w:tcPr>
            <w:tcW w:w="608" w:type="pct"/>
            <w:noWrap/>
            <w:hideMark/>
          </w:tcPr>
          <w:p w14:paraId="5FAD96DF" w14:textId="77777777" w:rsidR="008F2D9D" w:rsidRPr="00C954BD" w:rsidRDefault="008F2D9D" w:rsidP="00C954BD">
            <w:pPr>
              <w:jc w:val="center"/>
              <w:rPr>
                <w:rFonts w:eastAsia="Times New Roman" w:cs="Times New Roman"/>
                <w:color w:val="000000"/>
                <w:sz w:val="16"/>
                <w:szCs w:val="16"/>
                <w:lang w:eastAsia="en-ZA"/>
              </w:rPr>
            </w:pPr>
            <w:r w:rsidRPr="00C954BD">
              <w:rPr>
                <w:rFonts w:eastAsia="Times New Roman" w:cs="Times New Roman"/>
                <w:color w:val="000000"/>
                <w:sz w:val="16"/>
                <w:szCs w:val="16"/>
                <w:lang w:eastAsia="en-ZA"/>
              </w:rPr>
              <w:t>99</w:t>
            </w:r>
          </w:p>
        </w:tc>
        <w:tc>
          <w:tcPr>
            <w:tcW w:w="835" w:type="pct"/>
            <w:noWrap/>
            <w:hideMark/>
          </w:tcPr>
          <w:p w14:paraId="2181DBF4" w14:textId="77777777" w:rsidR="008F2D9D" w:rsidRPr="00C954BD" w:rsidRDefault="008F2D9D" w:rsidP="00C954BD">
            <w:pPr>
              <w:rPr>
                <w:rFonts w:eastAsia="Times New Roman" w:cs="Times New Roman"/>
                <w:color w:val="000000"/>
                <w:sz w:val="16"/>
                <w:szCs w:val="16"/>
                <w:lang w:eastAsia="en-ZA"/>
              </w:rPr>
            </w:pPr>
            <w:r w:rsidRPr="00C954BD">
              <w:rPr>
                <w:rFonts w:eastAsia="Times New Roman" w:cs="Times New Roman"/>
                <w:color w:val="000000"/>
                <w:sz w:val="16"/>
                <w:szCs w:val="16"/>
                <w:lang w:eastAsia="en-ZA"/>
              </w:rPr>
              <w:t> </w:t>
            </w:r>
          </w:p>
        </w:tc>
        <w:tc>
          <w:tcPr>
            <w:tcW w:w="457" w:type="pct"/>
            <w:noWrap/>
            <w:hideMark/>
          </w:tcPr>
          <w:p w14:paraId="0DDFEB8C" w14:textId="77777777" w:rsidR="008F2D9D" w:rsidRPr="00C954BD" w:rsidRDefault="008F2D9D" w:rsidP="00C954BD">
            <w:pPr>
              <w:jc w:val="center"/>
              <w:rPr>
                <w:rFonts w:eastAsia="Times New Roman" w:cs="Times New Roman"/>
                <w:color w:val="000000"/>
                <w:sz w:val="16"/>
                <w:szCs w:val="16"/>
                <w:lang w:eastAsia="en-ZA"/>
              </w:rPr>
            </w:pPr>
            <w:r w:rsidRPr="00C954BD">
              <w:rPr>
                <w:rFonts w:eastAsia="Times New Roman" w:cs="Times New Roman"/>
                <w:color w:val="000000"/>
                <w:sz w:val="16"/>
                <w:szCs w:val="16"/>
                <w:lang w:eastAsia="en-ZA"/>
              </w:rPr>
              <w:t>25%</w:t>
            </w:r>
          </w:p>
        </w:tc>
        <w:tc>
          <w:tcPr>
            <w:tcW w:w="900" w:type="pct"/>
          </w:tcPr>
          <w:p w14:paraId="2F816EF1" w14:textId="5657F6BE" w:rsidR="008F2D9D" w:rsidRPr="00C954BD" w:rsidRDefault="008F2D9D" w:rsidP="00C954BD">
            <w:pPr>
              <w:jc w:val="center"/>
              <w:rPr>
                <w:rFonts w:eastAsia="Times New Roman" w:cs="Times New Roman"/>
                <w:color w:val="000000"/>
                <w:sz w:val="16"/>
                <w:szCs w:val="16"/>
                <w:lang w:eastAsia="en-ZA"/>
              </w:rPr>
            </w:pPr>
            <w:r>
              <w:rPr>
                <w:rFonts w:eastAsia="Times New Roman" w:cs="Times New Roman"/>
                <w:color w:val="000000"/>
                <w:sz w:val="16"/>
                <w:szCs w:val="16"/>
                <w:lang w:eastAsia="en-ZA"/>
              </w:rPr>
              <w:t>R 2 000 000.00</w:t>
            </w:r>
          </w:p>
        </w:tc>
      </w:tr>
      <w:tr w:rsidR="008F2D9D" w:rsidRPr="00C954BD" w14:paraId="12C95E91" w14:textId="1389EAB2" w:rsidTr="008F2D9D">
        <w:trPr>
          <w:trHeight w:val="215"/>
        </w:trPr>
        <w:tc>
          <w:tcPr>
            <w:tcW w:w="377" w:type="pct"/>
            <w:noWrap/>
            <w:hideMark/>
          </w:tcPr>
          <w:p w14:paraId="007B4DCA" w14:textId="77777777" w:rsidR="008F2D9D" w:rsidRPr="00C954BD" w:rsidRDefault="008F2D9D" w:rsidP="00C954BD">
            <w:pPr>
              <w:jc w:val="center"/>
              <w:rPr>
                <w:rFonts w:eastAsia="Times New Roman" w:cs="Times New Roman"/>
                <w:color w:val="000000"/>
                <w:sz w:val="16"/>
                <w:szCs w:val="16"/>
                <w:lang w:eastAsia="en-ZA"/>
              </w:rPr>
            </w:pPr>
            <w:r w:rsidRPr="00C954BD">
              <w:rPr>
                <w:rFonts w:eastAsia="Times New Roman" w:cs="Times New Roman"/>
                <w:color w:val="000000"/>
                <w:sz w:val="16"/>
                <w:szCs w:val="16"/>
                <w:lang w:eastAsia="en-ZA"/>
              </w:rPr>
              <w:t>25</w:t>
            </w:r>
          </w:p>
        </w:tc>
        <w:tc>
          <w:tcPr>
            <w:tcW w:w="988" w:type="pct"/>
            <w:noWrap/>
            <w:hideMark/>
          </w:tcPr>
          <w:p w14:paraId="1563ED4A" w14:textId="77777777" w:rsidR="008F2D9D" w:rsidRPr="00C954BD" w:rsidRDefault="008F2D9D" w:rsidP="00C954BD">
            <w:pPr>
              <w:rPr>
                <w:rFonts w:eastAsia="Times New Roman" w:cs="Times New Roman"/>
                <w:color w:val="000000"/>
                <w:sz w:val="16"/>
                <w:szCs w:val="16"/>
                <w:lang w:eastAsia="en-ZA"/>
              </w:rPr>
            </w:pPr>
            <w:r w:rsidRPr="00C954BD">
              <w:rPr>
                <w:rFonts w:eastAsia="Times New Roman" w:cs="Times New Roman"/>
                <w:color w:val="000000"/>
                <w:sz w:val="16"/>
                <w:szCs w:val="16"/>
                <w:lang w:eastAsia="en-ZA"/>
              </w:rPr>
              <w:t>Bonisani / Makhehle</w:t>
            </w:r>
          </w:p>
        </w:tc>
        <w:tc>
          <w:tcPr>
            <w:tcW w:w="835" w:type="pct"/>
            <w:noWrap/>
            <w:hideMark/>
          </w:tcPr>
          <w:p w14:paraId="3592FE7C" w14:textId="77777777" w:rsidR="008F2D9D" w:rsidRPr="00C954BD" w:rsidRDefault="008F2D9D" w:rsidP="00C954BD">
            <w:pPr>
              <w:rPr>
                <w:rFonts w:eastAsia="Times New Roman" w:cs="Times New Roman"/>
                <w:color w:val="000000"/>
                <w:sz w:val="16"/>
                <w:szCs w:val="16"/>
                <w:lang w:eastAsia="en-ZA"/>
              </w:rPr>
            </w:pPr>
            <w:r w:rsidRPr="00C954BD">
              <w:rPr>
                <w:rFonts w:eastAsia="Times New Roman" w:cs="Times New Roman"/>
                <w:color w:val="000000"/>
                <w:sz w:val="16"/>
                <w:szCs w:val="16"/>
                <w:lang w:eastAsia="en-ZA"/>
              </w:rPr>
              <w:t>Umlalazi Munics</w:t>
            </w:r>
          </w:p>
        </w:tc>
        <w:tc>
          <w:tcPr>
            <w:tcW w:w="608" w:type="pct"/>
            <w:noWrap/>
            <w:hideMark/>
          </w:tcPr>
          <w:p w14:paraId="6339AEC7" w14:textId="77777777" w:rsidR="008F2D9D" w:rsidRPr="00C954BD" w:rsidRDefault="008F2D9D" w:rsidP="00C954BD">
            <w:pPr>
              <w:jc w:val="center"/>
              <w:rPr>
                <w:rFonts w:eastAsia="Times New Roman" w:cs="Times New Roman"/>
                <w:color w:val="000000"/>
                <w:sz w:val="16"/>
                <w:szCs w:val="16"/>
                <w:lang w:eastAsia="en-ZA"/>
              </w:rPr>
            </w:pPr>
            <w:r w:rsidRPr="00C954BD">
              <w:rPr>
                <w:rFonts w:eastAsia="Times New Roman" w:cs="Times New Roman"/>
                <w:color w:val="000000"/>
                <w:sz w:val="16"/>
                <w:szCs w:val="16"/>
                <w:lang w:eastAsia="en-ZA"/>
              </w:rPr>
              <w:t>147</w:t>
            </w:r>
          </w:p>
        </w:tc>
        <w:tc>
          <w:tcPr>
            <w:tcW w:w="835" w:type="pct"/>
            <w:noWrap/>
            <w:hideMark/>
          </w:tcPr>
          <w:p w14:paraId="36F2F4A4" w14:textId="77777777" w:rsidR="008F2D9D" w:rsidRPr="00C954BD" w:rsidRDefault="008F2D9D" w:rsidP="00C954BD">
            <w:pPr>
              <w:rPr>
                <w:rFonts w:eastAsia="Times New Roman" w:cs="Times New Roman"/>
                <w:color w:val="000000"/>
                <w:sz w:val="16"/>
                <w:szCs w:val="16"/>
                <w:lang w:eastAsia="en-ZA"/>
              </w:rPr>
            </w:pPr>
            <w:r w:rsidRPr="00C954BD">
              <w:rPr>
                <w:rFonts w:eastAsia="Times New Roman" w:cs="Times New Roman"/>
                <w:color w:val="000000"/>
                <w:sz w:val="16"/>
                <w:szCs w:val="16"/>
                <w:lang w:eastAsia="en-ZA"/>
              </w:rPr>
              <w:t> </w:t>
            </w:r>
          </w:p>
        </w:tc>
        <w:tc>
          <w:tcPr>
            <w:tcW w:w="457" w:type="pct"/>
            <w:noWrap/>
            <w:hideMark/>
          </w:tcPr>
          <w:p w14:paraId="21A00415" w14:textId="77777777" w:rsidR="008F2D9D" w:rsidRPr="00C954BD" w:rsidRDefault="008F2D9D" w:rsidP="00C954BD">
            <w:pPr>
              <w:jc w:val="center"/>
              <w:rPr>
                <w:rFonts w:eastAsia="Times New Roman" w:cs="Times New Roman"/>
                <w:color w:val="000000"/>
                <w:sz w:val="16"/>
                <w:szCs w:val="16"/>
                <w:lang w:eastAsia="en-ZA"/>
              </w:rPr>
            </w:pPr>
            <w:r w:rsidRPr="00C954BD">
              <w:rPr>
                <w:rFonts w:eastAsia="Times New Roman" w:cs="Times New Roman"/>
                <w:color w:val="000000"/>
                <w:sz w:val="16"/>
                <w:szCs w:val="16"/>
                <w:lang w:eastAsia="en-ZA"/>
              </w:rPr>
              <w:t>25%</w:t>
            </w:r>
          </w:p>
        </w:tc>
        <w:tc>
          <w:tcPr>
            <w:tcW w:w="900" w:type="pct"/>
          </w:tcPr>
          <w:p w14:paraId="2CFD6BA8" w14:textId="2981B383" w:rsidR="008F2D9D" w:rsidRPr="00C954BD" w:rsidRDefault="008F2D9D" w:rsidP="00C954BD">
            <w:pPr>
              <w:jc w:val="center"/>
              <w:rPr>
                <w:rFonts w:eastAsia="Times New Roman" w:cs="Times New Roman"/>
                <w:color w:val="000000"/>
                <w:sz w:val="16"/>
                <w:szCs w:val="16"/>
                <w:lang w:eastAsia="en-ZA"/>
              </w:rPr>
            </w:pPr>
            <w:r>
              <w:rPr>
                <w:rFonts w:eastAsia="Times New Roman" w:cs="Times New Roman"/>
                <w:color w:val="000000"/>
                <w:sz w:val="16"/>
                <w:szCs w:val="16"/>
                <w:lang w:eastAsia="en-ZA"/>
              </w:rPr>
              <w:t>R 2 940 000.00</w:t>
            </w:r>
          </w:p>
        </w:tc>
      </w:tr>
      <w:tr w:rsidR="008F2D9D" w:rsidRPr="00C954BD" w14:paraId="350338B4" w14:textId="1117E054" w:rsidTr="008F2D9D">
        <w:trPr>
          <w:trHeight w:val="215"/>
        </w:trPr>
        <w:tc>
          <w:tcPr>
            <w:tcW w:w="377" w:type="pct"/>
            <w:noWrap/>
            <w:hideMark/>
          </w:tcPr>
          <w:p w14:paraId="523D9859" w14:textId="77777777" w:rsidR="008F2D9D" w:rsidRPr="00C954BD" w:rsidRDefault="008F2D9D" w:rsidP="00C954BD">
            <w:pPr>
              <w:jc w:val="center"/>
              <w:rPr>
                <w:rFonts w:eastAsia="Times New Roman" w:cs="Times New Roman"/>
                <w:color w:val="000000"/>
                <w:sz w:val="16"/>
                <w:szCs w:val="16"/>
                <w:lang w:eastAsia="en-ZA"/>
              </w:rPr>
            </w:pPr>
            <w:r w:rsidRPr="00C954BD">
              <w:rPr>
                <w:rFonts w:eastAsia="Times New Roman" w:cs="Times New Roman"/>
                <w:color w:val="000000"/>
                <w:sz w:val="16"/>
                <w:szCs w:val="16"/>
                <w:lang w:eastAsia="en-ZA"/>
              </w:rPr>
              <w:t>27</w:t>
            </w:r>
          </w:p>
        </w:tc>
        <w:tc>
          <w:tcPr>
            <w:tcW w:w="988" w:type="pct"/>
            <w:noWrap/>
            <w:hideMark/>
          </w:tcPr>
          <w:p w14:paraId="200A669A" w14:textId="77777777" w:rsidR="008F2D9D" w:rsidRPr="00C954BD" w:rsidRDefault="008F2D9D" w:rsidP="00C954BD">
            <w:pPr>
              <w:rPr>
                <w:rFonts w:eastAsia="Times New Roman" w:cs="Times New Roman"/>
                <w:color w:val="000000"/>
                <w:sz w:val="16"/>
                <w:szCs w:val="16"/>
                <w:lang w:eastAsia="en-ZA"/>
              </w:rPr>
            </w:pPr>
            <w:r w:rsidRPr="00C954BD">
              <w:rPr>
                <w:rFonts w:eastAsia="Times New Roman" w:cs="Times New Roman"/>
                <w:color w:val="000000"/>
                <w:sz w:val="16"/>
                <w:szCs w:val="16"/>
                <w:lang w:eastAsia="en-ZA"/>
              </w:rPr>
              <w:t>Emvini</w:t>
            </w:r>
          </w:p>
        </w:tc>
        <w:tc>
          <w:tcPr>
            <w:tcW w:w="835" w:type="pct"/>
            <w:noWrap/>
            <w:hideMark/>
          </w:tcPr>
          <w:p w14:paraId="4A0ED45F" w14:textId="77777777" w:rsidR="008F2D9D" w:rsidRPr="00C954BD" w:rsidRDefault="008F2D9D" w:rsidP="00C954BD">
            <w:pPr>
              <w:rPr>
                <w:rFonts w:eastAsia="Times New Roman" w:cs="Times New Roman"/>
                <w:color w:val="000000"/>
                <w:sz w:val="16"/>
                <w:szCs w:val="16"/>
                <w:lang w:eastAsia="en-ZA"/>
              </w:rPr>
            </w:pPr>
            <w:r w:rsidRPr="00C954BD">
              <w:rPr>
                <w:rFonts w:eastAsia="Times New Roman" w:cs="Times New Roman"/>
                <w:color w:val="000000"/>
                <w:sz w:val="16"/>
                <w:szCs w:val="16"/>
                <w:lang w:eastAsia="en-ZA"/>
              </w:rPr>
              <w:t>Umlalazi Munics</w:t>
            </w:r>
          </w:p>
        </w:tc>
        <w:tc>
          <w:tcPr>
            <w:tcW w:w="608" w:type="pct"/>
            <w:noWrap/>
            <w:hideMark/>
          </w:tcPr>
          <w:p w14:paraId="35F623B8" w14:textId="77777777" w:rsidR="008F2D9D" w:rsidRPr="00C954BD" w:rsidRDefault="008F2D9D" w:rsidP="00C954BD">
            <w:pPr>
              <w:jc w:val="center"/>
              <w:rPr>
                <w:rFonts w:eastAsia="Times New Roman" w:cs="Times New Roman"/>
                <w:color w:val="000000"/>
                <w:sz w:val="16"/>
                <w:szCs w:val="16"/>
                <w:lang w:eastAsia="en-ZA"/>
              </w:rPr>
            </w:pPr>
            <w:r w:rsidRPr="00C954BD">
              <w:rPr>
                <w:rFonts w:eastAsia="Times New Roman" w:cs="Times New Roman"/>
                <w:color w:val="000000"/>
                <w:sz w:val="16"/>
                <w:szCs w:val="16"/>
                <w:lang w:eastAsia="en-ZA"/>
              </w:rPr>
              <w:t>55</w:t>
            </w:r>
          </w:p>
        </w:tc>
        <w:tc>
          <w:tcPr>
            <w:tcW w:w="835" w:type="pct"/>
            <w:noWrap/>
            <w:hideMark/>
          </w:tcPr>
          <w:p w14:paraId="3EC51034" w14:textId="77777777" w:rsidR="008F2D9D" w:rsidRPr="00C954BD" w:rsidRDefault="008F2D9D" w:rsidP="00C954BD">
            <w:pPr>
              <w:rPr>
                <w:rFonts w:eastAsia="Times New Roman" w:cs="Times New Roman"/>
                <w:color w:val="000000"/>
                <w:sz w:val="16"/>
                <w:szCs w:val="16"/>
                <w:lang w:eastAsia="en-ZA"/>
              </w:rPr>
            </w:pPr>
            <w:r w:rsidRPr="00C954BD">
              <w:rPr>
                <w:rFonts w:eastAsia="Times New Roman" w:cs="Times New Roman"/>
                <w:color w:val="000000"/>
                <w:sz w:val="16"/>
                <w:szCs w:val="16"/>
                <w:lang w:eastAsia="en-ZA"/>
              </w:rPr>
              <w:t> </w:t>
            </w:r>
          </w:p>
        </w:tc>
        <w:tc>
          <w:tcPr>
            <w:tcW w:w="457" w:type="pct"/>
            <w:noWrap/>
            <w:hideMark/>
          </w:tcPr>
          <w:p w14:paraId="290B63DF" w14:textId="77777777" w:rsidR="008F2D9D" w:rsidRPr="00C954BD" w:rsidRDefault="008F2D9D" w:rsidP="00C954BD">
            <w:pPr>
              <w:jc w:val="center"/>
              <w:rPr>
                <w:rFonts w:eastAsia="Times New Roman" w:cs="Times New Roman"/>
                <w:color w:val="000000"/>
                <w:sz w:val="16"/>
                <w:szCs w:val="16"/>
                <w:lang w:eastAsia="en-ZA"/>
              </w:rPr>
            </w:pPr>
            <w:r w:rsidRPr="00C954BD">
              <w:rPr>
                <w:rFonts w:eastAsia="Times New Roman" w:cs="Times New Roman"/>
                <w:color w:val="000000"/>
                <w:sz w:val="16"/>
                <w:szCs w:val="16"/>
                <w:lang w:eastAsia="en-ZA"/>
              </w:rPr>
              <w:t>15%</w:t>
            </w:r>
          </w:p>
        </w:tc>
        <w:tc>
          <w:tcPr>
            <w:tcW w:w="900" w:type="pct"/>
          </w:tcPr>
          <w:p w14:paraId="5C05B741" w14:textId="16C4A6A0" w:rsidR="008F2D9D" w:rsidRPr="00C954BD" w:rsidRDefault="008F2D9D" w:rsidP="00C954BD">
            <w:pPr>
              <w:jc w:val="center"/>
              <w:rPr>
                <w:rFonts w:eastAsia="Times New Roman" w:cs="Times New Roman"/>
                <w:color w:val="000000"/>
                <w:sz w:val="16"/>
                <w:szCs w:val="16"/>
                <w:lang w:eastAsia="en-ZA"/>
              </w:rPr>
            </w:pPr>
            <w:r>
              <w:rPr>
                <w:rFonts w:eastAsia="Times New Roman" w:cs="Times New Roman"/>
                <w:color w:val="000000"/>
                <w:sz w:val="16"/>
                <w:szCs w:val="16"/>
                <w:lang w:eastAsia="en-ZA"/>
              </w:rPr>
              <w:t>R 1 100 000.00</w:t>
            </w:r>
          </w:p>
        </w:tc>
      </w:tr>
    </w:tbl>
    <w:p w14:paraId="5B459114" w14:textId="77777777" w:rsidR="00C954BD" w:rsidRDefault="00C954BD" w:rsidP="00246CD2"/>
    <w:tbl>
      <w:tblPr>
        <w:tblStyle w:val="TableGrid37"/>
        <w:tblW w:w="5105" w:type="pct"/>
        <w:tblLayout w:type="fixed"/>
        <w:tblLook w:val="04A0" w:firstRow="1" w:lastRow="0" w:firstColumn="1" w:lastColumn="0" w:noHBand="0" w:noVBand="1"/>
      </w:tblPr>
      <w:tblGrid>
        <w:gridCol w:w="744"/>
        <w:gridCol w:w="1199"/>
        <w:gridCol w:w="1349"/>
        <w:gridCol w:w="1198"/>
        <w:gridCol w:w="1497"/>
        <w:gridCol w:w="1499"/>
        <w:gridCol w:w="2040"/>
      </w:tblGrid>
      <w:tr w:rsidR="008F2D9D" w:rsidRPr="008F2D9D" w14:paraId="4E1831A4" w14:textId="77777777" w:rsidTr="008F2D9D">
        <w:trPr>
          <w:trHeight w:val="77"/>
        </w:trPr>
        <w:tc>
          <w:tcPr>
            <w:tcW w:w="5000" w:type="pct"/>
            <w:gridSpan w:val="7"/>
            <w:shd w:val="clear" w:color="auto" w:fill="D9E2F3"/>
            <w:noWrap/>
            <w:hideMark/>
          </w:tcPr>
          <w:p w14:paraId="2096A3D7" w14:textId="77777777" w:rsidR="008F2D9D" w:rsidRPr="008F2D9D" w:rsidRDefault="008F2D9D" w:rsidP="008F2D9D">
            <w:pPr>
              <w:jc w:val="center"/>
              <w:rPr>
                <w:rFonts w:eastAsia="Times New Roman" w:cs="Times New Roman"/>
                <w:b/>
                <w:color w:val="000000"/>
                <w:sz w:val="16"/>
                <w:szCs w:val="16"/>
                <w:lang w:eastAsia="en-ZA"/>
              </w:rPr>
            </w:pPr>
            <w:r w:rsidRPr="008F2D9D">
              <w:rPr>
                <w:rFonts w:eastAsia="Times New Roman" w:cs="Times New Roman"/>
                <w:b/>
                <w:color w:val="000000"/>
                <w:sz w:val="16"/>
                <w:szCs w:val="16"/>
                <w:lang w:eastAsia="en-ZA"/>
              </w:rPr>
              <w:t>SCHEDULE 5B - UMLALAZI MUNICIPALITY - PROGRESS 2018/19</w:t>
            </w:r>
          </w:p>
        </w:tc>
      </w:tr>
      <w:tr w:rsidR="008F2D9D" w:rsidRPr="008F2D9D" w14:paraId="1A23A97F" w14:textId="77777777" w:rsidTr="008F2D9D">
        <w:trPr>
          <w:trHeight w:val="153"/>
        </w:trPr>
        <w:tc>
          <w:tcPr>
            <w:tcW w:w="390" w:type="pct"/>
            <w:shd w:val="clear" w:color="auto" w:fill="D9E2F3"/>
            <w:noWrap/>
            <w:hideMark/>
          </w:tcPr>
          <w:p w14:paraId="113545CF" w14:textId="77777777" w:rsidR="008F2D9D" w:rsidRPr="008F2D9D" w:rsidRDefault="008F2D9D" w:rsidP="008F2D9D">
            <w:pPr>
              <w:rPr>
                <w:rFonts w:eastAsia="Times New Roman" w:cs="Times New Roman"/>
                <w:b/>
                <w:color w:val="000000"/>
                <w:sz w:val="16"/>
                <w:szCs w:val="16"/>
                <w:lang w:eastAsia="en-ZA"/>
              </w:rPr>
            </w:pPr>
            <w:r w:rsidRPr="008F2D9D">
              <w:rPr>
                <w:rFonts w:eastAsia="Times New Roman" w:cs="Times New Roman"/>
                <w:b/>
                <w:color w:val="000000"/>
                <w:sz w:val="16"/>
                <w:szCs w:val="16"/>
                <w:lang w:eastAsia="en-ZA"/>
              </w:rPr>
              <w:t xml:space="preserve">Ward </w:t>
            </w:r>
          </w:p>
        </w:tc>
        <w:tc>
          <w:tcPr>
            <w:tcW w:w="629" w:type="pct"/>
            <w:shd w:val="clear" w:color="auto" w:fill="D9E2F3"/>
            <w:noWrap/>
            <w:hideMark/>
          </w:tcPr>
          <w:p w14:paraId="43C3D8E3" w14:textId="77777777" w:rsidR="008F2D9D" w:rsidRPr="008F2D9D" w:rsidRDefault="008F2D9D" w:rsidP="008F2D9D">
            <w:pPr>
              <w:rPr>
                <w:rFonts w:eastAsia="Times New Roman" w:cs="Times New Roman"/>
                <w:b/>
                <w:color w:val="000000"/>
                <w:sz w:val="16"/>
                <w:szCs w:val="16"/>
                <w:lang w:eastAsia="en-ZA"/>
              </w:rPr>
            </w:pPr>
            <w:r w:rsidRPr="008F2D9D">
              <w:rPr>
                <w:rFonts w:eastAsia="Times New Roman" w:cs="Times New Roman"/>
                <w:b/>
                <w:color w:val="000000"/>
                <w:sz w:val="16"/>
                <w:szCs w:val="16"/>
                <w:lang w:eastAsia="en-ZA"/>
              </w:rPr>
              <w:t>Project Name</w:t>
            </w:r>
          </w:p>
        </w:tc>
        <w:tc>
          <w:tcPr>
            <w:tcW w:w="708" w:type="pct"/>
            <w:shd w:val="clear" w:color="auto" w:fill="D9E2F3"/>
            <w:noWrap/>
            <w:hideMark/>
          </w:tcPr>
          <w:p w14:paraId="4B644944" w14:textId="77777777" w:rsidR="008F2D9D" w:rsidRPr="008F2D9D" w:rsidRDefault="008F2D9D" w:rsidP="008F2D9D">
            <w:pPr>
              <w:rPr>
                <w:rFonts w:eastAsia="Times New Roman" w:cs="Times New Roman"/>
                <w:b/>
                <w:color w:val="000000"/>
                <w:sz w:val="16"/>
                <w:szCs w:val="16"/>
                <w:lang w:eastAsia="en-ZA"/>
              </w:rPr>
            </w:pPr>
            <w:r w:rsidRPr="008F2D9D">
              <w:rPr>
                <w:rFonts w:eastAsia="Times New Roman" w:cs="Times New Roman"/>
                <w:b/>
                <w:color w:val="000000"/>
                <w:sz w:val="16"/>
                <w:szCs w:val="16"/>
                <w:lang w:eastAsia="en-ZA"/>
              </w:rPr>
              <w:t>Implementer</w:t>
            </w:r>
          </w:p>
        </w:tc>
        <w:tc>
          <w:tcPr>
            <w:tcW w:w="629" w:type="pct"/>
            <w:shd w:val="clear" w:color="auto" w:fill="D9E2F3"/>
            <w:noWrap/>
            <w:hideMark/>
          </w:tcPr>
          <w:p w14:paraId="615B9682" w14:textId="77777777" w:rsidR="008F2D9D" w:rsidRPr="008F2D9D" w:rsidRDefault="008F2D9D" w:rsidP="008F2D9D">
            <w:pPr>
              <w:rPr>
                <w:rFonts w:eastAsia="Times New Roman" w:cs="Times New Roman"/>
                <w:b/>
                <w:color w:val="000000"/>
                <w:sz w:val="16"/>
                <w:szCs w:val="16"/>
                <w:lang w:eastAsia="en-ZA"/>
              </w:rPr>
            </w:pPr>
            <w:r w:rsidRPr="008F2D9D">
              <w:rPr>
                <w:rFonts w:eastAsia="Times New Roman" w:cs="Times New Roman"/>
                <w:b/>
                <w:color w:val="000000"/>
                <w:sz w:val="16"/>
                <w:szCs w:val="16"/>
                <w:lang w:eastAsia="en-ZA"/>
              </w:rPr>
              <w:t>Connections</w:t>
            </w:r>
          </w:p>
        </w:tc>
        <w:tc>
          <w:tcPr>
            <w:tcW w:w="786" w:type="pct"/>
            <w:shd w:val="clear" w:color="auto" w:fill="D9E2F3"/>
            <w:noWrap/>
            <w:hideMark/>
          </w:tcPr>
          <w:p w14:paraId="11A9ED25" w14:textId="77777777" w:rsidR="008F2D9D" w:rsidRPr="008F2D9D" w:rsidRDefault="008F2D9D" w:rsidP="008F2D9D">
            <w:pPr>
              <w:rPr>
                <w:rFonts w:eastAsia="Times New Roman" w:cs="Times New Roman"/>
                <w:b/>
                <w:color w:val="000000"/>
                <w:sz w:val="16"/>
                <w:szCs w:val="16"/>
                <w:lang w:eastAsia="en-ZA"/>
              </w:rPr>
            </w:pPr>
            <w:r w:rsidRPr="008F2D9D">
              <w:rPr>
                <w:rFonts w:eastAsia="Times New Roman" w:cs="Times New Roman"/>
                <w:b/>
                <w:color w:val="000000"/>
                <w:sz w:val="16"/>
                <w:szCs w:val="16"/>
                <w:lang w:eastAsia="en-ZA"/>
              </w:rPr>
              <w:t>Contactor</w:t>
            </w:r>
          </w:p>
        </w:tc>
        <w:tc>
          <w:tcPr>
            <w:tcW w:w="787" w:type="pct"/>
            <w:shd w:val="clear" w:color="auto" w:fill="D9E2F3"/>
            <w:noWrap/>
            <w:hideMark/>
          </w:tcPr>
          <w:p w14:paraId="3EFB57D8" w14:textId="77777777" w:rsidR="008F2D9D" w:rsidRPr="008F2D9D" w:rsidRDefault="008F2D9D" w:rsidP="008F2D9D">
            <w:pPr>
              <w:rPr>
                <w:rFonts w:eastAsia="Times New Roman" w:cs="Times New Roman"/>
                <w:b/>
                <w:color w:val="000000"/>
                <w:sz w:val="16"/>
                <w:szCs w:val="16"/>
                <w:lang w:eastAsia="en-ZA"/>
              </w:rPr>
            </w:pPr>
            <w:r w:rsidRPr="008F2D9D">
              <w:rPr>
                <w:rFonts w:eastAsia="Times New Roman" w:cs="Times New Roman"/>
                <w:b/>
                <w:color w:val="000000"/>
                <w:sz w:val="16"/>
                <w:szCs w:val="16"/>
                <w:lang w:eastAsia="en-ZA"/>
              </w:rPr>
              <w:t>Estimated Budget</w:t>
            </w:r>
          </w:p>
        </w:tc>
        <w:tc>
          <w:tcPr>
            <w:tcW w:w="1070" w:type="pct"/>
            <w:shd w:val="clear" w:color="auto" w:fill="D9E2F3"/>
            <w:noWrap/>
            <w:hideMark/>
          </w:tcPr>
          <w:p w14:paraId="4B65C42C" w14:textId="77777777" w:rsidR="008F2D9D" w:rsidRPr="008F2D9D" w:rsidRDefault="008F2D9D" w:rsidP="008F2D9D">
            <w:pPr>
              <w:rPr>
                <w:rFonts w:eastAsia="Times New Roman" w:cs="Times New Roman"/>
                <w:b/>
                <w:color w:val="000000"/>
                <w:sz w:val="16"/>
                <w:szCs w:val="16"/>
                <w:lang w:eastAsia="en-ZA"/>
              </w:rPr>
            </w:pPr>
            <w:r w:rsidRPr="008F2D9D">
              <w:rPr>
                <w:rFonts w:eastAsia="Times New Roman" w:cs="Times New Roman"/>
                <w:b/>
                <w:color w:val="000000"/>
                <w:sz w:val="16"/>
                <w:szCs w:val="16"/>
                <w:lang w:eastAsia="en-ZA"/>
              </w:rPr>
              <w:t>Progress</w:t>
            </w:r>
          </w:p>
        </w:tc>
      </w:tr>
      <w:tr w:rsidR="008F2D9D" w:rsidRPr="008F2D9D" w14:paraId="3DC97C1C" w14:textId="77777777" w:rsidTr="008F2D9D">
        <w:trPr>
          <w:trHeight w:val="342"/>
        </w:trPr>
        <w:tc>
          <w:tcPr>
            <w:tcW w:w="390" w:type="pct"/>
            <w:noWrap/>
            <w:hideMark/>
          </w:tcPr>
          <w:p w14:paraId="652A3AFC" w14:textId="77777777" w:rsidR="008F2D9D" w:rsidRPr="008F2D9D" w:rsidRDefault="008F2D9D" w:rsidP="008F2D9D">
            <w:pPr>
              <w:rPr>
                <w:rFonts w:eastAsia="Times New Roman" w:cs="Times New Roman"/>
                <w:color w:val="000000"/>
                <w:sz w:val="16"/>
                <w:szCs w:val="16"/>
                <w:lang w:eastAsia="en-ZA"/>
              </w:rPr>
            </w:pPr>
            <w:r w:rsidRPr="008F2D9D">
              <w:rPr>
                <w:rFonts w:eastAsia="Times New Roman" w:cs="Times New Roman"/>
                <w:color w:val="000000"/>
                <w:sz w:val="16"/>
                <w:szCs w:val="16"/>
                <w:lang w:eastAsia="en-ZA"/>
              </w:rPr>
              <w:t>4</w:t>
            </w:r>
          </w:p>
        </w:tc>
        <w:tc>
          <w:tcPr>
            <w:tcW w:w="629" w:type="pct"/>
            <w:noWrap/>
            <w:hideMark/>
          </w:tcPr>
          <w:p w14:paraId="2025CB30" w14:textId="77777777" w:rsidR="008F2D9D" w:rsidRPr="008F2D9D" w:rsidRDefault="008F2D9D" w:rsidP="008F2D9D">
            <w:pPr>
              <w:rPr>
                <w:rFonts w:eastAsia="Times New Roman" w:cs="Times New Roman"/>
                <w:color w:val="000000"/>
                <w:sz w:val="16"/>
                <w:szCs w:val="16"/>
                <w:lang w:eastAsia="en-ZA"/>
              </w:rPr>
            </w:pPr>
            <w:r w:rsidRPr="008F2D9D">
              <w:rPr>
                <w:rFonts w:eastAsia="Times New Roman" w:cs="Times New Roman"/>
                <w:color w:val="000000"/>
                <w:sz w:val="16"/>
                <w:szCs w:val="16"/>
                <w:lang w:eastAsia="en-ZA"/>
              </w:rPr>
              <w:t xml:space="preserve">Masundwini </w:t>
            </w:r>
          </w:p>
        </w:tc>
        <w:tc>
          <w:tcPr>
            <w:tcW w:w="708" w:type="pct"/>
            <w:noWrap/>
            <w:hideMark/>
          </w:tcPr>
          <w:p w14:paraId="64F0AAA8" w14:textId="77777777" w:rsidR="008F2D9D" w:rsidRPr="008F2D9D" w:rsidRDefault="008F2D9D" w:rsidP="008F2D9D">
            <w:pPr>
              <w:rPr>
                <w:rFonts w:eastAsia="Times New Roman" w:cs="Times New Roman"/>
                <w:color w:val="000000"/>
                <w:sz w:val="16"/>
                <w:szCs w:val="16"/>
                <w:lang w:eastAsia="en-ZA"/>
              </w:rPr>
            </w:pPr>
            <w:r w:rsidRPr="008F2D9D">
              <w:rPr>
                <w:rFonts w:eastAsia="Times New Roman" w:cs="Times New Roman"/>
                <w:color w:val="000000"/>
                <w:sz w:val="16"/>
                <w:szCs w:val="16"/>
                <w:lang w:eastAsia="en-ZA"/>
              </w:rPr>
              <w:t>Umlalazi Munics</w:t>
            </w:r>
          </w:p>
        </w:tc>
        <w:tc>
          <w:tcPr>
            <w:tcW w:w="629" w:type="pct"/>
            <w:noWrap/>
            <w:hideMark/>
          </w:tcPr>
          <w:p w14:paraId="7FCFCE09" w14:textId="77777777" w:rsidR="008F2D9D" w:rsidRPr="008F2D9D" w:rsidRDefault="008F2D9D" w:rsidP="008F2D9D">
            <w:pPr>
              <w:rPr>
                <w:rFonts w:eastAsia="Times New Roman" w:cs="Times New Roman"/>
                <w:color w:val="000000"/>
                <w:sz w:val="16"/>
                <w:szCs w:val="16"/>
                <w:lang w:eastAsia="en-ZA"/>
              </w:rPr>
            </w:pPr>
            <w:r w:rsidRPr="008F2D9D">
              <w:rPr>
                <w:rFonts w:eastAsia="Times New Roman" w:cs="Times New Roman"/>
                <w:color w:val="000000"/>
                <w:sz w:val="16"/>
                <w:szCs w:val="16"/>
                <w:lang w:eastAsia="en-ZA"/>
              </w:rPr>
              <w:t>191</w:t>
            </w:r>
          </w:p>
        </w:tc>
        <w:tc>
          <w:tcPr>
            <w:tcW w:w="786" w:type="pct"/>
            <w:noWrap/>
            <w:hideMark/>
          </w:tcPr>
          <w:p w14:paraId="62203BC2" w14:textId="77777777" w:rsidR="008F2D9D" w:rsidRPr="008F2D9D" w:rsidRDefault="008F2D9D" w:rsidP="008F2D9D">
            <w:pPr>
              <w:rPr>
                <w:rFonts w:eastAsia="Times New Roman" w:cs="Times New Roman"/>
                <w:color w:val="000000"/>
                <w:sz w:val="16"/>
                <w:szCs w:val="16"/>
                <w:lang w:eastAsia="en-ZA"/>
              </w:rPr>
            </w:pPr>
            <w:r w:rsidRPr="008F2D9D">
              <w:rPr>
                <w:rFonts w:eastAsia="Times New Roman" w:cs="Times New Roman"/>
                <w:color w:val="000000"/>
                <w:sz w:val="16"/>
                <w:szCs w:val="16"/>
                <w:lang w:eastAsia="en-ZA"/>
              </w:rPr>
              <w:t xml:space="preserve">Ulungeni Consulting </w:t>
            </w:r>
          </w:p>
        </w:tc>
        <w:tc>
          <w:tcPr>
            <w:tcW w:w="787" w:type="pct"/>
            <w:noWrap/>
          </w:tcPr>
          <w:p w14:paraId="09A1717F" w14:textId="77777777" w:rsidR="008F2D9D" w:rsidRPr="008F2D9D" w:rsidRDefault="008F2D9D" w:rsidP="008F2D9D">
            <w:pPr>
              <w:rPr>
                <w:rFonts w:eastAsia="Times New Roman" w:cs="Times New Roman"/>
                <w:color w:val="000000"/>
                <w:sz w:val="16"/>
                <w:szCs w:val="16"/>
                <w:lang w:eastAsia="en-ZA"/>
              </w:rPr>
            </w:pPr>
            <w:r w:rsidRPr="008F2D9D">
              <w:rPr>
                <w:rFonts w:eastAsia="Times New Roman" w:cs="Times New Roman"/>
                <w:color w:val="000000"/>
                <w:sz w:val="16"/>
                <w:szCs w:val="16"/>
                <w:lang w:eastAsia="en-ZA"/>
              </w:rPr>
              <w:t>R 3 820 000.00</w:t>
            </w:r>
          </w:p>
        </w:tc>
        <w:tc>
          <w:tcPr>
            <w:tcW w:w="1070" w:type="pct"/>
            <w:noWrap/>
            <w:hideMark/>
          </w:tcPr>
          <w:p w14:paraId="118BDDD2" w14:textId="77777777" w:rsidR="008F2D9D" w:rsidRPr="008F2D9D" w:rsidRDefault="008F2D9D" w:rsidP="008F2D9D">
            <w:pPr>
              <w:rPr>
                <w:rFonts w:eastAsia="Times New Roman" w:cs="Times New Roman"/>
                <w:color w:val="000000"/>
                <w:sz w:val="16"/>
                <w:szCs w:val="16"/>
                <w:lang w:eastAsia="en-ZA"/>
              </w:rPr>
            </w:pPr>
            <w:r w:rsidRPr="008F2D9D">
              <w:rPr>
                <w:rFonts w:eastAsia="Times New Roman" w:cs="Times New Roman"/>
                <w:color w:val="000000"/>
                <w:sz w:val="16"/>
                <w:szCs w:val="16"/>
                <w:lang w:eastAsia="en-ZA"/>
              </w:rPr>
              <w:t xml:space="preserve">Consultant appointed – Expected On Site in May </w:t>
            </w:r>
          </w:p>
        </w:tc>
      </w:tr>
      <w:tr w:rsidR="008F2D9D" w:rsidRPr="008F2D9D" w14:paraId="345CCEC9" w14:textId="77777777" w:rsidTr="008F2D9D">
        <w:trPr>
          <w:trHeight w:val="342"/>
        </w:trPr>
        <w:tc>
          <w:tcPr>
            <w:tcW w:w="390" w:type="pct"/>
            <w:noWrap/>
            <w:hideMark/>
          </w:tcPr>
          <w:p w14:paraId="75AB0833" w14:textId="77777777" w:rsidR="008F2D9D" w:rsidRPr="008F2D9D" w:rsidRDefault="008F2D9D" w:rsidP="008F2D9D">
            <w:pPr>
              <w:rPr>
                <w:rFonts w:eastAsia="Times New Roman" w:cs="Times New Roman"/>
                <w:color w:val="000000"/>
                <w:sz w:val="16"/>
                <w:szCs w:val="16"/>
                <w:lang w:eastAsia="en-ZA"/>
              </w:rPr>
            </w:pPr>
            <w:r w:rsidRPr="008F2D9D">
              <w:rPr>
                <w:rFonts w:eastAsia="Times New Roman" w:cs="Times New Roman"/>
                <w:color w:val="000000"/>
                <w:sz w:val="16"/>
                <w:szCs w:val="16"/>
                <w:lang w:eastAsia="en-ZA"/>
              </w:rPr>
              <w:t>5</w:t>
            </w:r>
          </w:p>
        </w:tc>
        <w:tc>
          <w:tcPr>
            <w:tcW w:w="629" w:type="pct"/>
            <w:noWrap/>
            <w:hideMark/>
          </w:tcPr>
          <w:p w14:paraId="3D66780D" w14:textId="77777777" w:rsidR="008F2D9D" w:rsidRPr="008F2D9D" w:rsidRDefault="008F2D9D" w:rsidP="008F2D9D">
            <w:pPr>
              <w:rPr>
                <w:rFonts w:eastAsia="Times New Roman" w:cs="Times New Roman"/>
                <w:color w:val="000000"/>
                <w:sz w:val="16"/>
                <w:szCs w:val="16"/>
                <w:lang w:eastAsia="en-ZA"/>
              </w:rPr>
            </w:pPr>
            <w:r w:rsidRPr="008F2D9D">
              <w:rPr>
                <w:rFonts w:eastAsia="Times New Roman" w:cs="Times New Roman"/>
                <w:color w:val="000000"/>
                <w:sz w:val="16"/>
                <w:szCs w:val="16"/>
                <w:lang w:eastAsia="en-ZA"/>
              </w:rPr>
              <w:t xml:space="preserve">Masundwini </w:t>
            </w:r>
          </w:p>
        </w:tc>
        <w:tc>
          <w:tcPr>
            <w:tcW w:w="708" w:type="pct"/>
            <w:noWrap/>
            <w:hideMark/>
          </w:tcPr>
          <w:p w14:paraId="1F185760" w14:textId="77777777" w:rsidR="008F2D9D" w:rsidRPr="008F2D9D" w:rsidRDefault="008F2D9D" w:rsidP="008F2D9D">
            <w:pPr>
              <w:rPr>
                <w:rFonts w:eastAsia="Times New Roman" w:cs="Times New Roman"/>
                <w:color w:val="000000"/>
                <w:sz w:val="16"/>
                <w:szCs w:val="16"/>
                <w:lang w:eastAsia="en-ZA"/>
              </w:rPr>
            </w:pPr>
            <w:r w:rsidRPr="008F2D9D">
              <w:rPr>
                <w:rFonts w:eastAsia="Times New Roman" w:cs="Times New Roman"/>
                <w:color w:val="000000"/>
                <w:sz w:val="16"/>
                <w:szCs w:val="16"/>
                <w:lang w:eastAsia="en-ZA"/>
              </w:rPr>
              <w:t>Umlalazi Munics</w:t>
            </w:r>
          </w:p>
        </w:tc>
        <w:tc>
          <w:tcPr>
            <w:tcW w:w="629" w:type="pct"/>
            <w:noWrap/>
            <w:hideMark/>
          </w:tcPr>
          <w:p w14:paraId="03DCD0C0" w14:textId="77777777" w:rsidR="008F2D9D" w:rsidRPr="008F2D9D" w:rsidRDefault="008F2D9D" w:rsidP="008F2D9D">
            <w:pPr>
              <w:rPr>
                <w:rFonts w:eastAsia="Times New Roman" w:cs="Times New Roman"/>
                <w:color w:val="000000"/>
                <w:sz w:val="16"/>
                <w:szCs w:val="16"/>
                <w:lang w:eastAsia="en-ZA"/>
              </w:rPr>
            </w:pPr>
            <w:r w:rsidRPr="008F2D9D">
              <w:rPr>
                <w:rFonts w:eastAsia="Times New Roman" w:cs="Times New Roman"/>
                <w:color w:val="000000"/>
                <w:sz w:val="16"/>
                <w:szCs w:val="16"/>
                <w:lang w:eastAsia="en-ZA"/>
              </w:rPr>
              <w:t>336</w:t>
            </w:r>
          </w:p>
        </w:tc>
        <w:tc>
          <w:tcPr>
            <w:tcW w:w="786" w:type="pct"/>
            <w:noWrap/>
            <w:hideMark/>
          </w:tcPr>
          <w:p w14:paraId="4941052E" w14:textId="77777777" w:rsidR="008F2D9D" w:rsidRPr="008F2D9D" w:rsidRDefault="008F2D9D" w:rsidP="008F2D9D">
            <w:pPr>
              <w:rPr>
                <w:rFonts w:eastAsia="Times New Roman" w:cs="Times New Roman"/>
                <w:color w:val="000000"/>
                <w:sz w:val="16"/>
                <w:szCs w:val="16"/>
                <w:lang w:eastAsia="en-ZA"/>
              </w:rPr>
            </w:pPr>
            <w:r w:rsidRPr="008F2D9D">
              <w:rPr>
                <w:rFonts w:eastAsia="Times New Roman" w:cs="Times New Roman"/>
                <w:color w:val="000000"/>
                <w:sz w:val="16"/>
                <w:szCs w:val="16"/>
                <w:lang w:eastAsia="en-ZA"/>
              </w:rPr>
              <w:t xml:space="preserve">Ulungeni Consulting </w:t>
            </w:r>
          </w:p>
        </w:tc>
        <w:tc>
          <w:tcPr>
            <w:tcW w:w="787" w:type="pct"/>
            <w:noWrap/>
          </w:tcPr>
          <w:p w14:paraId="5E708EB9" w14:textId="77777777" w:rsidR="008F2D9D" w:rsidRPr="008F2D9D" w:rsidRDefault="008F2D9D" w:rsidP="008F2D9D">
            <w:pPr>
              <w:rPr>
                <w:rFonts w:eastAsia="Times New Roman" w:cs="Times New Roman"/>
                <w:color w:val="000000"/>
                <w:sz w:val="16"/>
                <w:szCs w:val="16"/>
                <w:lang w:eastAsia="en-ZA"/>
              </w:rPr>
            </w:pPr>
          </w:p>
        </w:tc>
        <w:tc>
          <w:tcPr>
            <w:tcW w:w="1070" w:type="pct"/>
            <w:noWrap/>
            <w:hideMark/>
          </w:tcPr>
          <w:p w14:paraId="1F204752" w14:textId="77777777" w:rsidR="008F2D9D" w:rsidRPr="008F2D9D" w:rsidRDefault="008F2D9D" w:rsidP="008F2D9D">
            <w:pPr>
              <w:rPr>
                <w:rFonts w:eastAsia="Times New Roman" w:cs="Times New Roman"/>
                <w:color w:val="000000"/>
                <w:sz w:val="16"/>
                <w:szCs w:val="16"/>
                <w:lang w:eastAsia="en-ZA"/>
              </w:rPr>
            </w:pPr>
            <w:r w:rsidRPr="008F2D9D">
              <w:rPr>
                <w:rFonts w:eastAsia="Times New Roman" w:cs="Times New Roman"/>
                <w:color w:val="000000"/>
                <w:sz w:val="16"/>
                <w:szCs w:val="16"/>
                <w:lang w:eastAsia="en-ZA"/>
              </w:rPr>
              <w:t>Consultant appointed – Expected on site in May</w:t>
            </w:r>
          </w:p>
        </w:tc>
      </w:tr>
    </w:tbl>
    <w:p w14:paraId="56015D7E" w14:textId="77777777" w:rsidR="000F4A39" w:rsidRPr="00236ABE" w:rsidRDefault="000F4A39" w:rsidP="00236ABE">
      <w:pPr>
        <w:pStyle w:val="Heading3"/>
        <w:numPr>
          <w:ilvl w:val="2"/>
          <w:numId w:val="12"/>
        </w:numPr>
      </w:pPr>
      <w:bookmarkStart w:id="730" w:name="_Toc510706702"/>
      <w:r w:rsidRPr="00236ABE">
        <w:t>Private Sector Developments</w:t>
      </w:r>
      <w:bookmarkEnd w:id="730"/>
    </w:p>
    <w:tbl>
      <w:tblPr>
        <w:tblStyle w:val="TableGrid1"/>
        <w:tblW w:w="5141" w:type="pct"/>
        <w:tblLook w:val="04A0" w:firstRow="1" w:lastRow="0" w:firstColumn="1" w:lastColumn="0" w:noHBand="0" w:noVBand="1"/>
      </w:tblPr>
      <w:tblGrid>
        <w:gridCol w:w="4532"/>
        <w:gridCol w:w="2607"/>
        <w:gridCol w:w="2454"/>
      </w:tblGrid>
      <w:tr w:rsidR="000F4A39" w:rsidRPr="000F4A39" w14:paraId="2F09EC25" w14:textId="77777777" w:rsidTr="009E5818">
        <w:trPr>
          <w:trHeight w:val="241"/>
          <w:tblHeader/>
        </w:trPr>
        <w:tc>
          <w:tcPr>
            <w:tcW w:w="2362" w:type="pct"/>
            <w:shd w:val="clear" w:color="auto" w:fill="DAEEF3" w:themeFill="accent5" w:themeFillTint="33"/>
          </w:tcPr>
          <w:p w14:paraId="0D6C96E6" w14:textId="77777777" w:rsidR="000F4A39" w:rsidRPr="000F4A39" w:rsidRDefault="000F4A39" w:rsidP="000F4A39">
            <w:pPr>
              <w:jc w:val="center"/>
              <w:rPr>
                <w:rFonts w:asciiTheme="minorHAnsi" w:hAnsiTheme="minorHAnsi"/>
                <w:b/>
                <w:szCs w:val="20"/>
              </w:rPr>
            </w:pPr>
            <w:r w:rsidRPr="000F4A39">
              <w:rPr>
                <w:rFonts w:asciiTheme="minorHAnsi" w:hAnsiTheme="minorHAnsi"/>
                <w:b/>
                <w:szCs w:val="20"/>
              </w:rPr>
              <w:t>Project Name</w:t>
            </w:r>
          </w:p>
        </w:tc>
        <w:tc>
          <w:tcPr>
            <w:tcW w:w="1359" w:type="pct"/>
            <w:shd w:val="clear" w:color="auto" w:fill="DAEEF3" w:themeFill="accent5" w:themeFillTint="33"/>
          </w:tcPr>
          <w:p w14:paraId="19E5AD27" w14:textId="77777777" w:rsidR="000F4A39" w:rsidRPr="000F4A39" w:rsidRDefault="000F4A39" w:rsidP="000F4A39">
            <w:pPr>
              <w:jc w:val="center"/>
              <w:rPr>
                <w:rFonts w:asciiTheme="minorHAnsi" w:hAnsiTheme="minorHAnsi"/>
                <w:b/>
                <w:szCs w:val="20"/>
              </w:rPr>
            </w:pPr>
            <w:r w:rsidRPr="000F4A39">
              <w:rPr>
                <w:rFonts w:asciiTheme="minorHAnsi" w:hAnsiTheme="minorHAnsi"/>
                <w:b/>
                <w:szCs w:val="20"/>
              </w:rPr>
              <w:t>Source of Funding</w:t>
            </w:r>
          </w:p>
        </w:tc>
        <w:tc>
          <w:tcPr>
            <w:tcW w:w="1279" w:type="pct"/>
            <w:shd w:val="clear" w:color="auto" w:fill="DAEEF3" w:themeFill="accent5" w:themeFillTint="33"/>
          </w:tcPr>
          <w:p w14:paraId="1B308278" w14:textId="77777777" w:rsidR="000F4A39" w:rsidRPr="000F4A39" w:rsidRDefault="000F4A39" w:rsidP="000F4A39">
            <w:pPr>
              <w:jc w:val="center"/>
              <w:rPr>
                <w:rFonts w:asciiTheme="minorHAnsi" w:hAnsiTheme="minorHAnsi"/>
                <w:b/>
                <w:szCs w:val="20"/>
              </w:rPr>
            </w:pPr>
            <w:r w:rsidRPr="000F4A39">
              <w:rPr>
                <w:rFonts w:asciiTheme="minorHAnsi" w:hAnsiTheme="minorHAnsi"/>
                <w:b/>
                <w:szCs w:val="20"/>
              </w:rPr>
              <w:t>Status</w:t>
            </w:r>
          </w:p>
        </w:tc>
      </w:tr>
      <w:tr w:rsidR="000F4A39" w:rsidRPr="000F4A39" w14:paraId="455189C7" w14:textId="77777777" w:rsidTr="009E5818">
        <w:trPr>
          <w:trHeight w:val="331"/>
        </w:trPr>
        <w:tc>
          <w:tcPr>
            <w:tcW w:w="2362" w:type="pct"/>
          </w:tcPr>
          <w:p w14:paraId="7D63CB85" w14:textId="2E6A9C85" w:rsidR="000F4A39" w:rsidRPr="009E5818" w:rsidRDefault="000F4A39" w:rsidP="00750180">
            <w:pPr>
              <w:pStyle w:val="ListParagraph"/>
              <w:numPr>
                <w:ilvl w:val="0"/>
                <w:numId w:val="41"/>
              </w:numPr>
              <w:jc w:val="both"/>
              <w:rPr>
                <w:rFonts w:asciiTheme="minorHAnsi" w:hAnsiTheme="minorHAnsi"/>
                <w:szCs w:val="20"/>
              </w:rPr>
            </w:pPr>
            <w:r w:rsidRPr="000F4A39">
              <w:rPr>
                <w:rFonts w:asciiTheme="minorHAnsi" w:hAnsiTheme="minorHAnsi"/>
                <w:szCs w:val="20"/>
              </w:rPr>
              <w:t>Mombeni Community Service Centre</w:t>
            </w:r>
            <w:r w:rsidR="009E5818">
              <w:rPr>
                <w:rFonts w:asciiTheme="minorHAnsi" w:hAnsiTheme="minorHAnsi"/>
                <w:szCs w:val="20"/>
              </w:rPr>
              <w:t xml:space="preserve"> </w:t>
            </w:r>
            <w:r w:rsidRPr="009E5818">
              <w:rPr>
                <w:rFonts w:asciiTheme="minorHAnsi" w:hAnsiTheme="minorHAnsi"/>
                <w:szCs w:val="20"/>
              </w:rPr>
              <w:t>(Ward 5)</w:t>
            </w:r>
          </w:p>
        </w:tc>
        <w:tc>
          <w:tcPr>
            <w:tcW w:w="1359" w:type="pct"/>
          </w:tcPr>
          <w:p w14:paraId="7883B143" w14:textId="77777777" w:rsidR="000F4A39" w:rsidRPr="000F4A39" w:rsidRDefault="000F4A39" w:rsidP="006A1E94">
            <w:pPr>
              <w:jc w:val="both"/>
              <w:rPr>
                <w:rFonts w:asciiTheme="minorHAnsi" w:hAnsiTheme="minorHAnsi"/>
                <w:szCs w:val="20"/>
              </w:rPr>
            </w:pPr>
            <w:r w:rsidRPr="000F4A39">
              <w:rPr>
                <w:rFonts w:asciiTheme="minorHAnsi" w:hAnsiTheme="minorHAnsi"/>
                <w:szCs w:val="20"/>
              </w:rPr>
              <w:t>CoGTA</w:t>
            </w:r>
          </w:p>
        </w:tc>
        <w:tc>
          <w:tcPr>
            <w:tcW w:w="1279" w:type="pct"/>
          </w:tcPr>
          <w:p w14:paraId="6F345298" w14:textId="77777777" w:rsidR="000F4A39" w:rsidRPr="000F4A39" w:rsidRDefault="00C148DC" w:rsidP="000F4A39">
            <w:pPr>
              <w:jc w:val="both"/>
              <w:rPr>
                <w:rFonts w:asciiTheme="minorHAnsi" w:hAnsiTheme="minorHAnsi"/>
                <w:szCs w:val="20"/>
              </w:rPr>
            </w:pPr>
            <w:r>
              <w:rPr>
                <w:rFonts w:asciiTheme="minorHAnsi" w:hAnsiTheme="minorHAnsi"/>
                <w:szCs w:val="20"/>
              </w:rPr>
              <w:t>COMPLETE</w:t>
            </w:r>
          </w:p>
        </w:tc>
      </w:tr>
      <w:tr w:rsidR="000F4A39" w:rsidRPr="000F4A39" w14:paraId="6C24FC6F" w14:textId="77777777" w:rsidTr="009E5818">
        <w:trPr>
          <w:trHeight w:val="381"/>
        </w:trPr>
        <w:tc>
          <w:tcPr>
            <w:tcW w:w="2362" w:type="pct"/>
          </w:tcPr>
          <w:p w14:paraId="641F7B2C" w14:textId="1823F946" w:rsidR="000F4A39" w:rsidRPr="000F4A39" w:rsidRDefault="000F4A39" w:rsidP="00750180">
            <w:pPr>
              <w:pStyle w:val="ListParagraph"/>
              <w:numPr>
                <w:ilvl w:val="0"/>
                <w:numId w:val="41"/>
              </w:numPr>
              <w:jc w:val="both"/>
              <w:rPr>
                <w:rFonts w:asciiTheme="minorHAnsi" w:hAnsiTheme="minorHAnsi"/>
                <w:szCs w:val="20"/>
              </w:rPr>
            </w:pPr>
            <w:r w:rsidRPr="000F4A39">
              <w:rPr>
                <w:rFonts w:asciiTheme="minorHAnsi" w:hAnsiTheme="minorHAnsi"/>
                <w:szCs w:val="20"/>
              </w:rPr>
              <w:t>Mixed use Development</w:t>
            </w:r>
            <w:r w:rsidR="00760F93">
              <w:rPr>
                <w:rFonts w:asciiTheme="minorHAnsi" w:hAnsiTheme="minorHAnsi"/>
                <w:szCs w:val="20"/>
              </w:rPr>
              <w:t xml:space="preserve"> </w:t>
            </w:r>
            <w:r w:rsidRPr="000F4A39">
              <w:rPr>
                <w:rFonts w:asciiTheme="minorHAnsi" w:hAnsiTheme="minorHAnsi"/>
                <w:szCs w:val="20"/>
              </w:rPr>
              <w:t xml:space="preserve">(portion of Bus and Taxi Rank site) </w:t>
            </w:r>
            <w:r w:rsidR="009E5818">
              <w:rPr>
                <w:rFonts w:asciiTheme="minorHAnsi" w:hAnsiTheme="minorHAnsi"/>
                <w:szCs w:val="20"/>
              </w:rPr>
              <w:t xml:space="preserve"> (</w:t>
            </w:r>
            <w:r w:rsidRPr="000F4A39">
              <w:rPr>
                <w:rFonts w:asciiTheme="minorHAnsi" w:hAnsiTheme="minorHAnsi"/>
                <w:szCs w:val="20"/>
              </w:rPr>
              <w:t>Ward 11</w:t>
            </w:r>
            <w:r w:rsidR="009E5818">
              <w:rPr>
                <w:rFonts w:asciiTheme="minorHAnsi" w:hAnsiTheme="minorHAnsi"/>
                <w:szCs w:val="20"/>
              </w:rPr>
              <w:t>)</w:t>
            </w:r>
          </w:p>
        </w:tc>
        <w:tc>
          <w:tcPr>
            <w:tcW w:w="1359" w:type="pct"/>
          </w:tcPr>
          <w:p w14:paraId="26C525B2" w14:textId="77777777" w:rsidR="000F4A39" w:rsidRPr="000F4A39" w:rsidRDefault="000F4A39" w:rsidP="006A1E94">
            <w:pPr>
              <w:jc w:val="both"/>
              <w:rPr>
                <w:rFonts w:asciiTheme="minorHAnsi" w:hAnsiTheme="minorHAnsi"/>
                <w:szCs w:val="20"/>
              </w:rPr>
            </w:pPr>
            <w:r w:rsidRPr="000F4A39">
              <w:rPr>
                <w:rFonts w:asciiTheme="minorHAnsi" w:hAnsiTheme="minorHAnsi"/>
                <w:szCs w:val="20"/>
              </w:rPr>
              <w:t>Private developer</w:t>
            </w:r>
          </w:p>
        </w:tc>
        <w:tc>
          <w:tcPr>
            <w:tcW w:w="1279" w:type="pct"/>
          </w:tcPr>
          <w:p w14:paraId="7443E7EA" w14:textId="77777777" w:rsidR="000F4A39" w:rsidRPr="000F4A39" w:rsidRDefault="00760F93" w:rsidP="006A1E94">
            <w:pPr>
              <w:jc w:val="both"/>
              <w:rPr>
                <w:rFonts w:asciiTheme="minorHAnsi" w:hAnsiTheme="minorHAnsi"/>
                <w:szCs w:val="20"/>
              </w:rPr>
            </w:pPr>
            <w:r>
              <w:rPr>
                <w:rFonts w:asciiTheme="minorHAnsi" w:hAnsiTheme="minorHAnsi"/>
                <w:szCs w:val="20"/>
              </w:rPr>
              <w:t>UNDER CONSTRUCTION</w:t>
            </w:r>
          </w:p>
        </w:tc>
      </w:tr>
      <w:tr w:rsidR="000F4A39" w:rsidRPr="000F4A39" w14:paraId="3145E2A8" w14:textId="77777777" w:rsidTr="009E5818">
        <w:trPr>
          <w:trHeight w:val="200"/>
        </w:trPr>
        <w:tc>
          <w:tcPr>
            <w:tcW w:w="2362" w:type="pct"/>
          </w:tcPr>
          <w:p w14:paraId="12356EC3" w14:textId="5D3E8334" w:rsidR="000F4A39" w:rsidRPr="000F4A39" w:rsidRDefault="000F4A39" w:rsidP="00750180">
            <w:pPr>
              <w:pStyle w:val="ListParagraph"/>
              <w:numPr>
                <w:ilvl w:val="0"/>
                <w:numId w:val="41"/>
              </w:numPr>
              <w:jc w:val="both"/>
              <w:rPr>
                <w:rFonts w:asciiTheme="minorHAnsi" w:hAnsiTheme="minorHAnsi"/>
                <w:szCs w:val="20"/>
              </w:rPr>
            </w:pPr>
            <w:r w:rsidRPr="000F4A39">
              <w:rPr>
                <w:rFonts w:asciiTheme="minorHAnsi" w:hAnsiTheme="minorHAnsi"/>
                <w:szCs w:val="20"/>
              </w:rPr>
              <w:t>KDS shopping centre</w:t>
            </w:r>
            <w:r w:rsidR="009E5818">
              <w:rPr>
                <w:rFonts w:asciiTheme="minorHAnsi" w:hAnsiTheme="minorHAnsi"/>
                <w:szCs w:val="20"/>
              </w:rPr>
              <w:t xml:space="preserve"> </w:t>
            </w:r>
            <w:r w:rsidRPr="000F4A39">
              <w:rPr>
                <w:rFonts w:asciiTheme="minorHAnsi" w:hAnsiTheme="minorHAnsi"/>
                <w:szCs w:val="20"/>
              </w:rPr>
              <w:t>(Ward 12)</w:t>
            </w:r>
          </w:p>
        </w:tc>
        <w:tc>
          <w:tcPr>
            <w:tcW w:w="1359" w:type="pct"/>
          </w:tcPr>
          <w:p w14:paraId="26E6FCEB" w14:textId="77777777" w:rsidR="000F4A39" w:rsidRPr="000F4A39" w:rsidRDefault="000F4A39" w:rsidP="006A1E94">
            <w:pPr>
              <w:jc w:val="both"/>
              <w:rPr>
                <w:rFonts w:asciiTheme="minorHAnsi" w:hAnsiTheme="minorHAnsi"/>
                <w:szCs w:val="20"/>
              </w:rPr>
            </w:pPr>
            <w:r w:rsidRPr="000F4A39">
              <w:rPr>
                <w:rFonts w:asciiTheme="minorHAnsi" w:hAnsiTheme="minorHAnsi"/>
                <w:szCs w:val="20"/>
              </w:rPr>
              <w:t>Private Developer</w:t>
            </w:r>
          </w:p>
        </w:tc>
        <w:tc>
          <w:tcPr>
            <w:tcW w:w="1279" w:type="pct"/>
          </w:tcPr>
          <w:p w14:paraId="06818131" w14:textId="77777777" w:rsidR="000F4A39" w:rsidRPr="000F4A39" w:rsidRDefault="00760F93" w:rsidP="006A1E94">
            <w:pPr>
              <w:jc w:val="both"/>
              <w:rPr>
                <w:rFonts w:asciiTheme="minorHAnsi" w:hAnsiTheme="minorHAnsi"/>
                <w:szCs w:val="20"/>
              </w:rPr>
            </w:pPr>
            <w:r>
              <w:rPr>
                <w:rFonts w:asciiTheme="minorHAnsi" w:hAnsiTheme="minorHAnsi"/>
                <w:szCs w:val="20"/>
              </w:rPr>
              <w:t>DELAYED DUE TO LAND DISPUTES</w:t>
            </w:r>
          </w:p>
        </w:tc>
      </w:tr>
      <w:tr w:rsidR="000F4A39" w:rsidRPr="000F4A39" w14:paraId="02F488C2" w14:textId="77777777" w:rsidTr="009E5818">
        <w:trPr>
          <w:trHeight w:val="254"/>
        </w:trPr>
        <w:tc>
          <w:tcPr>
            <w:tcW w:w="2362" w:type="pct"/>
          </w:tcPr>
          <w:p w14:paraId="038C51D3" w14:textId="1E6168DD" w:rsidR="000F4A39" w:rsidRPr="000F4A39" w:rsidRDefault="003F34D3" w:rsidP="00750180">
            <w:pPr>
              <w:pStyle w:val="ListParagraph"/>
              <w:numPr>
                <w:ilvl w:val="0"/>
                <w:numId w:val="41"/>
              </w:numPr>
              <w:jc w:val="both"/>
              <w:rPr>
                <w:rFonts w:asciiTheme="minorHAnsi" w:hAnsiTheme="minorHAnsi"/>
                <w:szCs w:val="20"/>
              </w:rPr>
            </w:pPr>
            <w:r w:rsidRPr="000F4A39">
              <w:rPr>
                <w:rFonts w:asciiTheme="minorHAnsi" w:hAnsiTheme="minorHAnsi"/>
                <w:szCs w:val="20"/>
              </w:rPr>
              <w:t>Eshowe</w:t>
            </w:r>
            <w:r w:rsidR="000F4A39" w:rsidRPr="000F4A39">
              <w:rPr>
                <w:rFonts w:asciiTheme="minorHAnsi" w:hAnsiTheme="minorHAnsi"/>
                <w:szCs w:val="20"/>
              </w:rPr>
              <w:t xml:space="preserve"> Private clinic</w:t>
            </w:r>
            <w:r w:rsidR="009E5818">
              <w:rPr>
                <w:rFonts w:asciiTheme="minorHAnsi" w:hAnsiTheme="minorHAnsi"/>
                <w:szCs w:val="20"/>
              </w:rPr>
              <w:t xml:space="preserve"> </w:t>
            </w:r>
            <w:r w:rsidR="000F4A39" w:rsidRPr="000F4A39">
              <w:rPr>
                <w:rFonts w:asciiTheme="minorHAnsi" w:hAnsiTheme="minorHAnsi"/>
                <w:szCs w:val="20"/>
              </w:rPr>
              <w:t>(Ward 11)</w:t>
            </w:r>
          </w:p>
        </w:tc>
        <w:tc>
          <w:tcPr>
            <w:tcW w:w="1359" w:type="pct"/>
          </w:tcPr>
          <w:p w14:paraId="392BBDC8" w14:textId="77777777" w:rsidR="000F4A39" w:rsidRPr="000F4A39" w:rsidRDefault="000F4A39" w:rsidP="006A1E94">
            <w:pPr>
              <w:jc w:val="both"/>
              <w:rPr>
                <w:rFonts w:asciiTheme="minorHAnsi" w:hAnsiTheme="minorHAnsi"/>
                <w:szCs w:val="20"/>
              </w:rPr>
            </w:pPr>
            <w:r w:rsidRPr="000F4A39">
              <w:rPr>
                <w:rFonts w:asciiTheme="minorHAnsi" w:hAnsiTheme="minorHAnsi"/>
                <w:szCs w:val="20"/>
              </w:rPr>
              <w:t>Private Developer</w:t>
            </w:r>
          </w:p>
        </w:tc>
        <w:tc>
          <w:tcPr>
            <w:tcW w:w="1279" w:type="pct"/>
          </w:tcPr>
          <w:p w14:paraId="5E1C68FD" w14:textId="77777777" w:rsidR="000F4A39" w:rsidRPr="000F4A39" w:rsidRDefault="00C148DC" w:rsidP="006A1E94">
            <w:pPr>
              <w:jc w:val="both"/>
              <w:rPr>
                <w:rFonts w:asciiTheme="minorHAnsi" w:hAnsiTheme="minorHAnsi"/>
                <w:szCs w:val="20"/>
              </w:rPr>
            </w:pPr>
            <w:r>
              <w:rPr>
                <w:rFonts w:asciiTheme="minorHAnsi" w:hAnsiTheme="minorHAnsi"/>
                <w:szCs w:val="20"/>
              </w:rPr>
              <w:t>DELAYED</w:t>
            </w:r>
          </w:p>
        </w:tc>
      </w:tr>
      <w:tr w:rsidR="000F4A39" w:rsidRPr="000F4A39" w14:paraId="5B5BBDCD" w14:textId="77777777" w:rsidTr="009E5818">
        <w:trPr>
          <w:trHeight w:val="358"/>
        </w:trPr>
        <w:tc>
          <w:tcPr>
            <w:tcW w:w="2362" w:type="pct"/>
          </w:tcPr>
          <w:p w14:paraId="7C427AFF" w14:textId="25B58CE4" w:rsidR="000F4A39" w:rsidRPr="000F4A39" w:rsidRDefault="000F4A39" w:rsidP="00750180">
            <w:pPr>
              <w:pStyle w:val="ListParagraph"/>
              <w:numPr>
                <w:ilvl w:val="0"/>
                <w:numId w:val="41"/>
              </w:numPr>
              <w:jc w:val="both"/>
              <w:rPr>
                <w:rFonts w:asciiTheme="minorHAnsi" w:hAnsiTheme="minorHAnsi"/>
                <w:szCs w:val="20"/>
              </w:rPr>
            </w:pPr>
            <w:r w:rsidRPr="000F4A39">
              <w:rPr>
                <w:rFonts w:asciiTheme="minorHAnsi" w:hAnsiTheme="minorHAnsi"/>
                <w:szCs w:val="20"/>
              </w:rPr>
              <w:t>Mtunzini Mixed use Development</w:t>
            </w:r>
            <w:r w:rsidR="009E5818">
              <w:rPr>
                <w:rFonts w:asciiTheme="minorHAnsi" w:hAnsiTheme="minorHAnsi"/>
                <w:szCs w:val="20"/>
              </w:rPr>
              <w:t xml:space="preserve"> </w:t>
            </w:r>
            <w:r w:rsidRPr="000F4A39">
              <w:rPr>
                <w:rFonts w:asciiTheme="minorHAnsi" w:hAnsiTheme="minorHAnsi"/>
                <w:szCs w:val="20"/>
              </w:rPr>
              <w:t>(Ward 19)</w:t>
            </w:r>
          </w:p>
        </w:tc>
        <w:tc>
          <w:tcPr>
            <w:tcW w:w="1359" w:type="pct"/>
          </w:tcPr>
          <w:p w14:paraId="1D75853F" w14:textId="77777777" w:rsidR="000F4A39" w:rsidRPr="000F4A39" w:rsidRDefault="000F4A39" w:rsidP="006A1E94">
            <w:pPr>
              <w:jc w:val="both"/>
              <w:rPr>
                <w:rFonts w:asciiTheme="minorHAnsi" w:hAnsiTheme="minorHAnsi"/>
                <w:szCs w:val="20"/>
              </w:rPr>
            </w:pPr>
            <w:r w:rsidRPr="000F4A39">
              <w:rPr>
                <w:rFonts w:asciiTheme="minorHAnsi" w:hAnsiTheme="minorHAnsi"/>
                <w:szCs w:val="20"/>
              </w:rPr>
              <w:t>Private Developer</w:t>
            </w:r>
          </w:p>
        </w:tc>
        <w:tc>
          <w:tcPr>
            <w:tcW w:w="1279" w:type="pct"/>
          </w:tcPr>
          <w:p w14:paraId="4085780F" w14:textId="14075376" w:rsidR="000F4A39" w:rsidRPr="000F4A39" w:rsidRDefault="008123A7" w:rsidP="006A1E94">
            <w:pPr>
              <w:jc w:val="both"/>
              <w:rPr>
                <w:rFonts w:asciiTheme="minorHAnsi" w:hAnsiTheme="minorHAnsi"/>
                <w:szCs w:val="20"/>
              </w:rPr>
            </w:pPr>
            <w:r>
              <w:rPr>
                <w:rFonts w:asciiTheme="minorHAnsi" w:hAnsiTheme="minorHAnsi"/>
                <w:szCs w:val="20"/>
              </w:rPr>
              <w:t>TO ADVERTISED FOR PROPOSALS</w:t>
            </w:r>
          </w:p>
        </w:tc>
      </w:tr>
      <w:tr w:rsidR="000F4A39" w:rsidRPr="000F4A39" w14:paraId="4C75F3C2" w14:textId="77777777" w:rsidTr="009E5818">
        <w:trPr>
          <w:trHeight w:val="233"/>
        </w:trPr>
        <w:tc>
          <w:tcPr>
            <w:tcW w:w="2362" w:type="pct"/>
          </w:tcPr>
          <w:p w14:paraId="6ADB75B7" w14:textId="35087109" w:rsidR="000F4A39" w:rsidRPr="000F4A39" w:rsidRDefault="000F4A39" w:rsidP="00750180">
            <w:pPr>
              <w:pStyle w:val="ListParagraph"/>
              <w:numPr>
                <w:ilvl w:val="0"/>
                <w:numId w:val="41"/>
              </w:numPr>
              <w:jc w:val="both"/>
              <w:rPr>
                <w:rFonts w:asciiTheme="minorHAnsi" w:hAnsiTheme="minorHAnsi"/>
                <w:szCs w:val="20"/>
              </w:rPr>
            </w:pPr>
            <w:r w:rsidRPr="000F4A39">
              <w:rPr>
                <w:rFonts w:asciiTheme="minorHAnsi" w:hAnsiTheme="minorHAnsi"/>
                <w:szCs w:val="20"/>
              </w:rPr>
              <w:t>R66 shopping centre</w:t>
            </w:r>
            <w:r w:rsidR="009E5818">
              <w:rPr>
                <w:rFonts w:asciiTheme="minorHAnsi" w:hAnsiTheme="minorHAnsi"/>
                <w:szCs w:val="20"/>
              </w:rPr>
              <w:t xml:space="preserve"> (</w:t>
            </w:r>
            <w:r w:rsidRPr="000F4A39">
              <w:rPr>
                <w:rFonts w:asciiTheme="minorHAnsi" w:hAnsiTheme="minorHAnsi"/>
                <w:szCs w:val="20"/>
              </w:rPr>
              <w:t>Ward 18</w:t>
            </w:r>
            <w:r w:rsidR="009E5818">
              <w:rPr>
                <w:rFonts w:asciiTheme="minorHAnsi" w:hAnsiTheme="minorHAnsi"/>
                <w:szCs w:val="20"/>
              </w:rPr>
              <w:t>)</w:t>
            </w:r>
          </w:p>
        </w:tc>
        <w:tc>
          <w:tcPr>
            <w:tcW w:w="1359" w:type="pct"/>
          </w:tcPr>
          <w:p w14:paraId="003FD3E9" w14:textId="77777777" w:rsidR="000F4A39" w:rsidRPr="000F4A39" w:rsidRDefault="000F4A39" w:rsidP="006A1E94">
            <w:pPr>
              <w:jc w:val="both"/>
              <w:rPr>
                <w:rFonts w:asciiTheme="minorHAnsi" w:hAnsiTheme="minorHAnsi"/>
                <w:szCs w:val="20"/>
              </w:rPr>
            </w:pPr>
            <w:r w:rsidRPr="000F4A39">
              <w:rPr>
                <w:rFonts w:asciiTheme="minorHAnsi" w:hAnsiTheme="minorHAnsi"/>
                <w:szCs w:val="20"/>
              </w:rPr>
              <w:t>Private Developer</w:t>
            </w:r>
          </w:p>
        </w:tc>
        <w:tc>
          <w:tcPr>
            <w:tcW w:w="1279" w:type="pct"/>
          </w:tcPr>
          <w:p w14:paraId="2BB150D0" w14:textId="77777777" w:rsidR="000F4A39" w:rsidRPr="000F4A39" w:rsidRDefault="00C148DC" w:rsidP="006A1E94">
            <w:pPr>
              <w:jc w:val="both"/>
              <w:rPr>
                <w:rFonts w:asciiTheme="minorHAnsi" w:hAnsiTheme="minorHAnsi"/>
                <w:szCs w:val="20"/>
              </w:rPr>
            </w:pPr>
            <w:r>
              <w:rPr>
                <w:rFonts w:asciiTheme="minorHAnsi" w:hAnsiTheme="minorHAnsi"/>
                <w:szCs w:val="20"/>
              </w:rPr>
              <w:t>COMPLETE</w:t>
            </w:r>
          </w:p>
        </w:tc>
      </w:tr>
      <w:tr w:rsidR="000F4A39" w:rsidRPr="000F4A39" w14:paraId="70DAA30A" w14:textId="77777777" w:rsidTr="009E5818">
        <w:trPr>
          <w:trHeight w:val="274"/>
        </w:trPr>
        <w:tc>
          <w:tcPr>
            <w:tcW w:w="2362" w:type="pct"/>
          </w:tcPr>
          <w:p w14:paraId="64154A8B" w14:textId="77777777" w:rsidR="000F4A39" w:rsidRPr="000F4A39" w:rsidRDefault="000F4A39" w:rsidP="00750180">
            <w:pPr>
              <w:pStyle w:val="ListParagraph"/>
              <w:numPr>
                <w:ilvl w:val="0"/>
                <w:numId w:val="41"/>
              </w:numPr>
              <w:jc w:val="both"/>
              <w:rPr>
                <w:rFonts w:asciiTheme="minorHAnsi" w:hAnsiTheme="minorHAnsi"/>
                <w:szCs w:val="20"/>
              </w:rPr>
            </w:pPr>
            <w:r w:rsidRPr="000F4A39">
              <w:rPr>
                <w:rFonts w:asciiTheme="minorHAnsi" w:hAnsiTheme="minorHAnsi"/>
                <w:szCs w:val="20"/>
              </w:rPr>
              <w:t xml:space="preserve">Mtunzini Beach Development &amp; </w:t>
            </w:r>
            <w:r w:rsidR="003F34D3" w:rsidRPr="000F4A39">
              <w:rPr>
                <w:rFonts w:asciiTheme="minorHAnsi" w:hAnsiTheme="minorHAnsi"/>
                <w:szCs w:val="20"/>
              </w:rPr>
              <w:t>Blue flag</w:t>
            </w:r>
          </w:p>
        </w:tc>
        <w:tc>
          <w:tcPr>
            <w:tcW w:w="1359" w:type="pct"/>
          </w:tcPr>
          <w:p w14:paraId="1FD99402" w14:textId="77777777" w:rsidR="000F4A39" w:rsidRPr="000F4A39" w:rsidRDefault="000F4A39" w:rsidP="006A1E94">
            <w:pPr>
              <w:jc w:val="both"/>
              <w:rPr>
                <w:rFonts w:asciiTheme="minorHAnsi" w:hAnsiTheme="minorHAnsi"/>
                <w:szCs w:val="20"/>
              </w:rPr>
            </w:pPr>
            <w:r w:rsidRPr="000F4A39">
              <w:rPr>
                <w:rFonts w:asciiTheme="minorHAnsi" w:hAnsiTheme="minorHAnsi"/>
                <w:szCs w:val="20"/>
              </w:rPr>
              <w:t>Municipality, KZN Wild life</w:t>
            </w:r>
            <w:r>
              <w:rPr>
                <w:rFonts w:asciiTheme="minorHAnsi" w:hAnsiTheme="minorHAnsi"/>
                <w:szCs w:val="20"/>
              </w:rPr>
              <w:t xml:space="preserve"> &amp; WESSA</w:t>
            </w:r>
          </w:p>
        </w:tc>
        <w:tc>
          <w:tcPr>
            <w:tcW w:w="1279" w:type="pct"/>
          </w:tcPr>
          <w:p w14:paraId="790FDE93" w14:textId="77777777" w:rsidR="000F4A39" w:rsidRPr="00621544" w:rsidRDefault="00621544" w:rsidP="006A1E94">
            <w:pPr>
              <w:jc w:val="both"/>
              <w:rPr>
                <w:rFonts w:asciiTheme="minorHAnsi" w:hAnsiTheme="minorHAnsi"/>
                <w:szCs w:val="20"/>
              </w:rPr>
            </w:pPr>
            <w:r w:rsidRPr="00621544">
              <w:rPr>
                <w:rFonts w:asciiTheme="minorHAnsi" w:hAnsiTheme="minorHAnsi"/>
                <w:szCs w:val="20"/>
              </w:rPr>
              <w:t>ONGOING</w:t>
            </w:r>
          </w:p>
        </w:tc>
      </w:tr>
      <w:tr w:rsidR="008123A7" w:rsidRPr="000F4A39" w14:paraId="5E552BA7" w14:textId="77777777" w:rsidTr="009E5818">
        <w:trPr>
          <w:trHeight w:val="274"/>
        </w:trPr>
        <w:tc>
          <w:tcPr>
            <w:tcW w:w="2362" w:type="pct"/>
          </w:tcPr>
          <w:p w14:paraId="54FE6768" w14:textId="04787E63" w:rsidR="008123A7" w:rsidRPr="000F4A39" w:rsidRDefault="008123A7" w:rsidP="00750180">
            <w:pPr>
              <w:pStyle w:val="ListParagraph"/>
              <w:numPr>
                <w:ilvl w:val="0"/>
                <w:numId w:val="41"/>
              </w:numPr>
              <w:jc w:val="both"/>
              <w:rPr>
                <w:rFonts w:asciiTheme="minorHAnsi" w:hAnsiTheme="minorHAnsi"/>
                <w:szCs w:val="20"/>
              </w:rPr>
            </w:pPr>
            <w:r>
              <w:rPr>
                <w:rFonts w:asciiTheme="minorHAnsi" w:hAnsiTheme="minorHAnsi"/>
                <w:szCs w:val="20"/>
              </w:rPr>
              <w:t>Ishongwe Shopping Center</w:t>
            </w:r>
          </w:p>
        </w:tc>
        <w:tc>
          <w:tcPr>
            <w:tcW w:w="1359" w:type="pct"/>
          </w:tcPr>
          <w:p w14:paraId="3ED1DCB8" w14:textId="0ED2961A" w:rsidR="008123A7" w:rsidRPr="000F4A39" w:rsidRDefault="008123A7" w:rsidP="006A1E94">
            <w:pPr>
              <w:jc w:val="both"/>
              <w:rPr>
                <w:rFonts w:asciiTheme="minorHAnsi" w:hAnsiTheme="minorHAnsi"/>
                <w:szCs w:val="20"/>
              </w:rPr>
            </w:pPr>
            <w:r>
              <w:rPr>
                <w:rFonts w:asciiTheme="minorHAnsi" w:hAnsiTheme="minorHAnsi"/>
                <w:szCs w:val="20"/>
              </w:rPr>
              <w:t xml:space="preserve">Private Developer </w:t>
            </w:r>
          </w:p>
        </w:tc>
        <w:tc>
          <w:tcPr>
            <w:tcW w:w="1279" w:type="pct"/>
          </w:tcPr>
          <w:p w14:paraId="140D53D1" w14:textId="3FD5174C" w:rsidR="008123A7" w:rsidRPr="00621544" w:rsidRDefault="008123A7" w:rsidP="006A1E94">
            <w:pPr>
              <w:jc w:val="both"/>
              <w:rPr>
                <w:rFonts w:asciiTheme="minorHAnsi" w:hAnsiTheme="minorHAnsi"/>
                <w:szCs w:val="20"/>
              </w:rPr>
            </w:pPr>
            <w:r>
              <w:rPr>
                <w:rFonts w:asciiTheme="minorHAnsi" w:hAnsiTheme="minorHAnsi"/>
                <w:szCs w:val="20"/>
              </w:rPr>
              <w:t>COMPLETED</w:t>
            </w:r>
          </w:p>
        </w:tc>
      </w:tr>
    </w:tbl>
    <w:p w14:paraId="0EAD975E" w14:textId="77777777" w:rsidR="002E4D67" w:rsidRDefault="002E4D67" w:rsidP="002E4D67">
      <w:pPr>
        <w:pStyle w:val="Heading3"/>
        <w:numPr>
          <w:ilvl w:val="2"/>
          <w:numId w:val="12"/>
        </w:numPr>
        <w:spacing w:after="240"/>
      </w:pPr>
      <w:bookmarkStart w:id="731" w:name="_Toc510706703"/>
      <w:r>
        <w:t>Department of Agriculture Projects</w:t>
      </w:r>
      <w:bookmarkEnd w:id="731"/>
    </w:p>
    <w:tbl>
      <w:tblPr>
        <w:tblStyle w:val="TableGrid"/>
        <w:tblW w:w="9680" w:type="dxa"/>
        <w:tblLook w:val="04A0" w:firstRow="1" w:lastRow="0" w:firstColumn="1" w:lastColumn="0" w:noHBand="0" w:noVBand="1"/>
      </w:tblPr>
      <w:tblGrid>
        <w:gridCol w:w="3533"/>
        <w:gridCol w:w="1143"/>
        <w:gridCol w:w="1722"/>
        <w:gridCol w:w="1329"/>
        <w:gridCol w:w="1953"/>
      </w:tblGrid>
      <w:tr w:rsidR="00752133" w:rsidRPr="00752133" w14:paraId="729AFC5E" w14:textId="77777777" w:rsidTr="00752133">
        <w:trPr>
          <w:trHeight w:val="406"/>
        </w:trPr>
        <w:tc>
          <w:tcPr>
            <w:tcW w:w="3533" w:type="dxa"/>
            <w:shd w:val="clear" w:color="auto" w:fill="BFBFBF" w:themeFill="background1" w:themeFillShade="BF"/>
          </w:tcPr>
          <w:p w14:paraId="157BE24B" w14:textId="77777777" w:rsidR="00752133" w:rsidRPr="00752133" w:rsidRDefault="00752133" w:rsidP="00752133">
            <w:pPr>
              <w:rPr>
                <w:b/>
              </w:rPr>
            </w:pPr>
            <w:r w:rsidRPr="00752133">
              <w:rPr>
                <w:b/>
              </w:rPr>
              <w:t>Name</w:t>
            </w:r>
          </w:p>
        </w:tc>
        <w:tc>
          <w:tcPr>
            <w:tcW w:w="1143" w:type="dxa"/>
            <w:shd w:val="clear" w:color="auto" w:fill="BFBFBF" w:themeFill="background1" w:themeFillShade="BF"/>
          </w:tcPr>
          <w:p w14:paraId="4CA5045A" w14:textId="77777777" w:rsidR="00752133" w:rsidRPr="00752133" w:rsidRDefault="00752133" w:rsidP="00752133">
            <w:pPr>
              <w:rPr>
                <w:b/>
              </w:rPr>
            </w:pPr>
            <w:r w:rsidRPr="00752133">
              <w:rPr>
                <w:b/>
              </w:rPr>
              <w:t>Ward No</w:t>
            </w:r>
          </w:p>
        </w:tc>
        <w:tc>
          <w:tcPr>
            <w:tcW w:w="1722" w:type="dxa"/>
            <w:shd w:val="clear" w:color="auto" w:fill="BFBFBF" w:themeFill="background1" w:themeFillShade="BF"/>
          </w:tcPr>
          <w:p w14:paraId="71A4D7DE" w14:textId="77777777" w:rsidR="00752133" w:rsidRPr="00752133" w:rsidRDefault="00752133" w:rsidP="00752133">
            <w:pPr>
              <w:rPr>
                <w:b/>
              </w:rPr>
            </w:pPr>
            <w:r w:rsidRPr="00752133">
              <w:rPr>
                <w:b/>
              </w:rPr>
              <w:t>Activity</w:t>
            </w:r>
          </w:p>
        </w:tc>
        <w:tc>
          <w:tcPr>
            <w:tcW w:w="1329" w:type="dxa"/>
            <w:shd w:val="clear" w:color="auto" w:fill="BFBFBF" w:themeFill="background1" w:themeFillShade="BF"/>
          </w:tcPr>
          <w:p w14:paraId="5BFA646C" w14:textId="77777777" w:rsidR="00752133" w:rsidRPr="00752133" w:rsidRDefault="00752133" w:rsidP="00752133">
            <w:pPr>
              <w:rPr>
                <w:b/>
              </w:rPr>
            </w:pPr>
            <w:r w:rsidRPr="00752133">
              <w:rPr>
                <w:b/>
              </w:rPr>
              <w:t>Size (ha)</w:t>
            </w:r>
          </w:p>
        </w:tc>
        <w:tc>
          <w:tcPr>
            <w:tcW w:w="1953" w:type="dxa"/>
            <w:shd w:val="clear" w:color="auto" w:fill="BFBFBF" w:themeFill="background1" w:themeFillShade="BF"/>
          </w:tcPr>
          <w:p w14:paraId="2FEB57FB" w14:textId="77777777" w:rsidR="00752133" w:rsidRPr="00752133" w:rsidRDefault="00752133" w:rsidP="00752133">
            <w:pPr>
              <w:rPr>
                <w:b/>
              </w:rPr>
            </w:pPr>
            <w:r w:rsidRPr="00752133">
              <w:rPr>
                <w:b/>
              </w:rPr>
              <w:t xml:space="preserve">Budget </w:t>
            </w:r>
          </w:p>
        </w:tc>
      </w:tr>
      <w:tr w:rsidR="00752133" w:rsidRPr="00752133" w14:paraId="14EE9591" w14:textId="77777777" w:rsidTr="00752133">
        <w:trPr>
          <w:trHeight w:val="126"/>
        </w:trPr>
        <w:tc>
          <w:tcPr>
            <w:tcW w:w="3533" w:type="dxa"/>
          </w:tcPr>
          <w:p w14:paraId="3ED0873A" w14:textId="77777777" w:rsidR="00752133" w:rsidRPr="00752133" w:rsidRDefault="00752133" w:rsidP="00752133">
            <w:r w:rsidRPr="00752133">
              <w:t>Qedindlala Co-Operative</w:t>
            </w:r>
          </w:p>
        </w:tc>
        <w:tc>
          <w:tcPr>
            <w:tcW w:w="1143" w:type="dxa"/>
          </w:tcPr>
          <w:p w14:paraId="60E09742" w14:textId="77777777" w:rsidR="00752133" w:rsidRPr="00752133" w:rsidRDefault="00752133" w:rsidP="00752133">
            <w:r w:rsidRPr="00752133">
              <w:t>15</w:t>
            </w:r>
          </w:p>
        </w:tc>
        <w:tc>
          <w:tcPr>
            <w:tcW w:w="1722" w:type="dxa"/>
          </w:tcPr>
          <w:p w14:paraId="23179AFE" w14:textId="77777777" w:rsidR="00752133" w:rsidRPr="00752133" w:rsidRDefault="00752133" w:rsidP="00752133">
            <w:r w:rsidRPr="00752133">
              <w:t>Irrigation</w:t>
            </w:r>
          </w:p>
        </w:tc>
        <w:tc>
          <w:tcPr>
            <w:tcW w:w="1329" w:type="dxa"/>
          </w:tcPr>
          <w:p w14:paraId="5BA1B7D9" w14:textId="77777777" w:rsidR="00752133" w:rsidRPr="00752133" w:rsidRDefault="00752133" w:rsidP="00752133">
            <w:r w:rsidRPr="00752133">
              <w:t>1 ha</w:t>
            </w:r>
          </w:p>
        </w:tc>
        <w:tc>
          <w:tcPr>
            <w:tcW w:w="1953" w:type="dxa"/>
          </w:tcPr>
          <w:p w14:paraId="6616D4CC" w14:textId="77777777" w:rsidR="00752133" w:rsidRPr="00752133" w:rsidRDefault="00752133" w:rsidP="00752133">
            <w:r w:rsidRPr="00752133">
              <w:t>R80 000</w:t>
            </w:r>
          </w:p>
        </w:tc>
      </w:tr>
      <w:tr w:rsidR="00752133" w:rsidRPr="00752133" w14:paraId="1A013484" w14:textId="77777777" w:rsidTr="00752133">
        <w:trPr>
          <w:trHeight w:val="100"/>
        </w:trPr>
        <w:tc>
          <w:tcPr>
            <w:tcW w:w="3533" w:type="dxa"/>
          </w:tcPr>
          <w:p w14:paraId="1FEC8E08" w14:textId="77777777" w:rsidR="00752133" w:rsidRPr="00752133" w:rsidRDefault="00752133" w:rsidP="00752133">
            <w:r w:rsidRPr="00752133">
              <w:t>Siyathuthuka Co-Operative</w:t>
            </w:r>
          </w:p>
        </w:tc>
        <w:tc>
          <w:tcPr>
            <w:tcW w:w="1143" w:type="dxa"/>
          </w:tcPr>
          <w:p w14:paraId="51117EC7" w14:textId="77777777" w:rsidR="00752133" w:rsidRPr="00752133" w:rsidRDefault="00752133" w:rsidP="00752133">
            <w:r w:rsidRPr="00752133">
              <w:t>15</w:t>
            </w:r>
          </w:p>
        </w:tc>
        <w:tc>
          <w:tcPr>
            <w:tcW w:w="1722" w:type="dxa"/>
          </w:tcPr>
          <w:p w14:paraId="27398923" w14:textId="77777777" w:rsidR="00752133" w:rsidRPr="00752133" w:rsidRDefault="00752133" w:rsidP="00752133">
            <w:r w:rsidRPr="00752133">
              <w:t>Irrigation</w:t>
            </w:r>
          </w:p>
        </w:tc>
        <w:tc>
          <w:tcPr>
            <w:tcW w:w="1329" w:type="dxa"/>
          </w:tcPr>
          <w:p w14:paraId="654ECC52" w14:textId="77777777" w:rsidR="00752133" w:rsidRPr="00752133" w:rsidRDefault="00752133" w:rsidP="00752133">
            <w:r w:rsidRPr="00752133">
              <w:t>1 ha</w:t>
            </w:r>
          </w:p>
        </w:tc>
        <w:tc>
          <w:tcPr>
            <w:tcW w:w="1953" w:type="dxa"/>
          </w:tcPr>
          <w:p w14:paraId="1B014001" w14:textId="77777777" w:rsidR="00752133" w:rsidRPr="00752133" w:rsidRDefault="00752133" w:rsidP="00752133">
            <w:r w:rsidRPr="00752133">
              <w:t>R80 000</w:t>
            </w:r>
          </w:p>
        </w:tc>
      </w:tr>
      <w:tr w:rsidR="00752133" w:rsidRPr="00752133" w14:paraId="047B753B" w14:textId="77777777" w:rsidTr="00752133">
        <w:trPr>
          <w:trHeight w:val="118"/>
        </w:trPr>
        <w:tc>
          <w:tcPr>
            <w:tcW w:w="3533" w:type="dxa"/>
          </w:tcPr>
          <w:p w14:paraId="3B4870BD" w14:textId="77777777" w:rsidR="00752133" w:rsidRPr="00752133" w:rsidRDefault="00752133" w:rsidP="00752133">
            <w:r w:rsidRPr="00752133">
              <w:t>Savukamphendle Co-Operative</w:t>
            </w:r>
          </w:p>
        </w:tc>
        <w:tc>
          <w:tcPr>
            <w:tcW w:w="1143" w:type="dxa"/>
          </w:tcPr>
          <w:p w14:paraId="6519D2C2" w14:textId="77777777" w:rsidR="00752133" w:rsidRPr="00752133" w:rsidRDefault="00752133" w:rsidP="00752133">
            <w:r w:rsidRPr="00752133">
              <w:t>06</w:t>
            </w:r>
          </w:p>
        </w:tc>
        <w:tc>
          <w:tcPr>
            <w:tcW w:w="1722" w:type="dxa"/>
          </w:tcPr>
          <w:p w14:paraId="2AB73CFC" w14:textId="77777777" w:rsidR="00752133" w:rsidRPr="00752133" w:rsidRDefault="00752133" w:rsidP="00752133">
            <w:r w:rsidRPr="00752133">
              <w:t>Irrigation</w:t>
            </w:r>
          </w:p>
        </w:tc>
        <w:tc>
          <w:tcPr>
            <w:tcW w:w="1329" w:type="dxa"/>
          </w:tcPr>
          <w:p w14:paraId="52AB6796" w14:textId="77777777" w:rsidR="00752133" w:rsidRPr="00752133" w:rsidRDefault="00752133" w:rsidP="00752133">
            <w:r w:rsidRPr="00752133">
              <w:t>2 ha</w:t>
            </w:r>
          </w:p>
        </w:tc>
        <w:tc>
          <w:tcPr>
            <w:tcW w:w="1953" w:type="dxa"/>
          </w:tcPr>
          <w:p w14:paraId="14B1CFBE" w14:textId="77777777" w:rsidR="00752133" w:rsidRPr="00752133" w:rsidRDefault="00752133" w:rsidP="00752133">
            <w:r w:rsidRPr="00752133">
              <w:t>R160 000</w:t>
            </w:r>
          </w:p>
        </w:tc>
      </w:tr>
      <w:tr w:rsidR="00752133" w:rsidRPr="00752133" w14:paraId="64790889" w14:textId="77777777" w:rsidTr="00752133">
        <w:trPr>
          <w:trHeight w:val="150"/>
        </w:trPr>
        <w:tc>
          <w:tcPr>
            <w:tcW w:w="3533" w:type="dxa"/>
          </w:tcPr>
          <w:p w14:paraId="0F4D1DAC" w14:textId="77777777" w:rsidR="00752133" w:rsidRPr="00752133" w:rsidRDefault="00752133" w:rsidP="00752133">
            <w:r w:rsidRPr="00752133">
              <w:t>Mvuzane Citrus Co-Operative</w:t>
            </w:r>
          </w:p>
        </w:tc>
        <w:tc>
          <w:tcPr>
            <w:tcW w:w="1143" w:type="dxa"/>
          </w:tcPr>
          <w:p w14:paraId="1C77FCAB" w14:textId="77777777" w:rsidR="00752133" w:rsidRPr="00752133" w:rsidRDefault="00752133" w:rsidP="00752133">
            <w:r w:rsidRPr="00752133">
              <w:t>01</w:t>
            </w:r>
          </w:p>
        </w:tc>
        <w:tc>
          <w:tcPr>
            <w:tcW w:w="1722" w:type="dxa"/>
          </w:tcPr>
          <w:p w14:paraId="4224F3E7" w14:textId="77777777" w:rsidR="00752133" w:rsidRPr="00752133" w:rsidRDefault="00752133" w:rsidP="00752133">
            <w:r w:rsidRPr="00752133">
              <w:t>Citrus</w:t>
            </w:r>
          </w:p>
        </w:tc>
        <w:tc>
          <w:tcPr>
            <w:tcW w:w="1329" w:type="dxa"/>
          </w:tcPr>
          <w:p w14:paraId="1EADBF35" w14:textId="77777777" w:rsidR="00752133" w:rsidRPr="00752133" w:rsidRDefault="00752133" w:rsidP="00752133">
            <w:r w:rsidRPr="00752133">
              <w:t>2 ha</w:t>
            </w:r>
          </w:p>
        </w:tc>
        <w:tc>
          <w:tcPr>
            <w:tcW w:w="1953" w:type="dxa"/>
          </w:tcPr>
          <w:p w14:paraId="0A8D2960" w14:textId="77777777" w:rsidR="00752133" w:rsidRPr="00752133" w:rsidRDefault="00752133" w:rsidP="00752133">
            <w:r w:rsidRPr="00752133">
              <w:t>R160 000</w:t>
            </w:r>
          </w:p>
        </w:tc>
      </w:tr>
      <w:tr w:rsidR="00752133" w:rsidRPr="00752133" w14:paraId="33E5AF2A" w14:textId="77777777" w:rsidTr="00752133">
        <w:trPr>
          <w:trHeight w:val="182"/>
        </w:trPr>
        <w:tc>
          <w:tcPr>
            <w:tcW w:w="3533" w:type="dxa"/>
          </w:tcPr>
          <w:p w14:paraId="1249669C" w14:textId="77777777" w:rsidR="00752133" w:rsidRPr="00752133" w:rsidRDefault="00752133" w:rsidP="00752133">
            <w:r w:rsidRPr="00752133">
              <w:t>Inquboyevangeli Co-Operative</w:t>
            </w:r>
          </w:p>
        </w:tc>
        <w:tc>
          <w:tcPr>
            <w:tcW w:w="1143" w:type="dxa"/>
          </w:tcPr>
          <w:p w14:paraId="24F2254C" w14:textId="77777777" w:rsidR="00752133" w:rsidRPr="00752133" w:rsidRDefault="00752133" w:rsidP="00752133">
            <w:r w:rsidRPr="00752133">
              <w:t>06</w:t>
            </w:r>
          </w:p>
        </w:tc>
        <w:tc>
          <w:tcPr>
            <w:tcW w:w="1722" w:type="dxa"/>
          </w:tcPr>
          <w:p w14:paraId="788D980B" w14:textId="77777777" w:rsidR="00752133" w:rsidRPr="00752133" w:rsidRDefault="00752133" w:rsidP="00752133">
            <w:r w:rsidRPr="00752133">
              <w:t>Fencing</w:t>
            </w:r>
          </w:p>
        </w:tc>
        <w:tc>
          <w:tcPr>
            <w:tcW w:w="1329" w:type="dxa"/>
          </w:tcPr>
          <w:p w14:paraId="6B0ECA1E" w14:textId="77777777" w:rsidR="00752133" w:rsidRPr="00752133" w:rsidRDefault="00752133" w:rsidP="00752133">
            <w:r w:rsidRPr="00752133">
              <w:t>0.6 ha</w:t>
            </w:r>
          </w:p>
        </w:tc>
        <w:tc>
          <w:tcPr>
            <w:tcW w:w="1953" w:type="dxa"/>
          </w:tcPr>
          <w:p w14:paraId="316CBEEF" w14:textId="77777777" w:rsidR="00752133" w:rsidRPr="00752133" w:rsidRDefault="00752133" w:rsidP="00752133">
            <w:r w:rsidRPr="00752133">
              <w:t>R100 000</w:t>
            </w:r>
          </w:p>
        </w:tc>
      </w:tr>
      <w:tr w:rsidR="00752133" w:rsidRPr="00752133" w14:paraId="7F7E65C1" w14:textId="77777777" w:rsidTr="00752133">
        <w:trPr>
          <w:trHeight w:val="213"/>
        </w:trPr>
        <w:tc>
          <w:tcPr>
            <w:tcW w:w="3533" w:type="dxa"/>
          </w:tcPr>
          <w:p w14:paraId="0D7DBE05" w14:textId="77777777" w:rsidR="00752133" w:rsidRPr="00752133" w:rsidRDefault="00752133" w:rsidP="00752133">
            <w:r w:rsidRPr="00752133">
              <w:t>Ekukhumbuzeni Co-Operative</w:t>
            </w:r>
          </w:p>
        </w:tc>
        <w:tc>
          <w:tcPr>
            <w:tcW w:w="1143" w:type="dxa"/>
          </w:tcPr>
          <w:p w14:paraId="2BEF7E8A" w14:textId="77777777" w:rsidR="00752133" w:rsidRPr="00752133" w:rsidRDefault="00752133" w:rsidP="00752133">
            <w:r w:rsidRPr="00752133">
              <w:t>10</w:t>
            </w:r>
          </w:p>
        </w:tc>
        <w:tc>
          <w:tcPr>
            <w:tcW w:w="1722" w:type="dxa"/>
          </w:tcPr>
          <w:p w14:paraId="1DD63ADE" w14:textId="77777777" w:rsidR="00752133" w:rsidRPr="00752133" w:rsidRDefault="00752133" w:rsidP="00752133">
            <w:r w:rsidRPr="00752133">
              <w:t>Fencing</w:t>
            </w:r>
          </w:p>
        </w:tc>
        <w:tc>
          <w:tcPr>
            <w:tcW w:w="1329" w:type="dxa"/>
          </w:tcPr>
          <w:p w14:paraId="3E9D1C1B" w14:textId="77777777" w:rsidR="00752133" w:rsidRPr="00752133" w:rsidRDefault="00752133" w:rsidP="00752133">
            <w:r w:rsidRPr="00752133">
              <w:t>0,45 ha</w:t>
            </w:r>
          </w:p>
        </w:tc>
        <w:tc>
          <w:tcPr>
            <w:tcW w:w="1953" w:type="dxa"/>
          </w:tcPr>
          <w:p w14:paraId="2C4C2043" w14:textId="77777777" w:rsidR="00752133" w:rsidRPr="00752133" w:rsidRDefault="00752133" w:rsidP="00752133">
            <w:r w:rsidRPr="00752133">
              <w:t>R50 000</w:t>
            </w:r>
          </w:p>
        </w:tc>
      </w:tr>
      <w:tr w:rsidR="00752133" w:rsidRPr="00752133" w14:paraId="681D65CF" w14:textId="77777777" w:rsidTr="00752133">
        <w:trPr>
          <w:trHeight w:val="232"/>
        </w:trPr>
        <w:tc>
          <w:tcPr>
            <w:tcW w:w="3533" w:type="dxa"/>
          </w:tcPr>
          <w:p w14:paraId="2F129EE4" w14:textId="77777777" w:rsidR="00752133" w:rsidRPr="00752133" w:rsidRDefault="00752133" w:rsidP="00752133">
            <w:r w:rsidRPr="00752133">
              <w:t>Ekuphileni Co-Operative</w:t>
            </w:r>
          </w:p>
        </w:tc>
        <w:tc>
          <w:tcPr>
            <w:tcW w:w="1143" w:type="dxa"/>
          </w:tcPr>
          <w:p w14:paraId="78665B61" w14:textId="77777777" w:rsidR="00752133" w:rsidRPr="00752133" w:rsidRDefault="00752133" w:rsidP="00752133">
            <w:r w:rsidRPr="00752133">
              <w:t>10</w:t>
            </w:r>
          </w:p>
        </w:tc>
        <w:tc>
          <w:tcPr>
            <w:tcW w:w="1722" w:type="dxa"/>
          </w:tcPr>
          <w:p w14:paraId="09CC8E2E" w14:textId="77777777" w:rsidR="00752133" w:rsidRPr="00752133" w:rsidRDefault="00752133" w:rsidP="00752133">
            <w:r w:rsidRPr="00752133">
              <w:t>Fencing</w:t>
            </w:r>
          </w:p>
        </w:tc>
        <w:tc>
          <w:tcPr>
            <w:tcW w:w="1329" w:type="dxa"/>
          </w:tcPr>
          <w:p w14:paraId="07772A98" w14:textId="77777777" w:rsidR="00752133" w:rsidRPr="00752133" w:rsidRDefault="00752133" w:rsidP="00752133">
            <w:r w:rsidRPr="00752133">
              <w:t>0,4 ha</w:t>
            </w:r>
          </w:p>
        </w:tc>
        <w:tc>
          <w:tcPr>
            <w:tcW w:w="1953" w:type="dxa"/>
          </w:tcPr>
          <w:p w14:paraId="01A9BF52" w14:textId="77777777" w:rsidR="00752133" w:rsidRPr="00752133" w:rsidRDefault="00752133" w:rsidP="00752133">
            <w:r w:rsidRPr="00752133">
              <w:t>R50 000</w:t>
            </w:r>
          </w:p>
        </w:tc>
      </w:tr>
      <w:tr w:rsidR="00752133" w:rsidRPr="00752133" w14:paraId="725CF1C5" w14:textId="77777777" w:rsidTr="00752133">
        <w:trPr>
          <w:trHeight w:val="64"/>
        </w:trPr>
        <w:tc>
          <w:tcPr>
            <w:tcW w:w="3533" w:type="dxa"/>
          </w:tcPr>
          <w:p w14:paraId="4AD798CE" w14:textId="77777777" w:rsidR="00752133" w:rsidRPr="00752133" w:rsidRDefault="00752133" w:rsidP="00752133">
            <w:r w:rsidRPr="00752133">
              <w:t>Ehlathini Co-Operative</w:t>
            </w:r>
          </w:p>
        </w:tc>
        <w:tc>
          <w:tcPr>
            <w:tcW w:w="1143" w:type="dxa"/>
          </w:tcPr>
          <w:p w14:paraId="4C0DFDA3" w14:textId="77777777" w:rsidR="00752133" w:rsidRPr="00752133" w:rsidRDefault="00752133" w:rsidP="00752133">
            <w:r w:rsidRPr="00752133">
              <w:t>26</w:t>
            </w:r>
          </w:p>
        </w:tc>
        <w:tc>
          <w:tcPr>
            <w:tcW w:w="1722" w:type="dxa"/>
          </w:tcPr>
          <w:p w14:paraId="4FC83825" w14:textId="77777777" w:rsidR="00752133" w:rsidRPr="00752133" w:rsidRDefault="00752133" w:rsidP="00752133">
            <w:r w:rsidRPr="00752133">
              <w:t>Fencing</w:t>
            </w:r>
          </w:p>
        </w:tc>
        <w:tc>
          <w:tcPr>
            <w:tcW w:w="1329" w:type="dxa"/>
          </w:tcPr>
          <w:p w14:paraId="4F1ECCCA" w14:textId="77777777" w:rsidR="00752133" w:rsidRPr="00752133" w:rsidRDefault="00752133" w:rsidP="00752133">
            <w:r w:rsidRPr="00752133">
              <w:t>0,6 ha</w:t>
            </w:r>
          </w:p>
        </w:tc>
        <w:tc>
          <w:tcPr>
            <w:tcW w:w="1953" w:type="dxa"/>
          </w:tcPr>
          <w:p w14:paraId="6BA34A0E" w14:textId="77777777" w:rsidR="00752133" w:rsidRPr="00752133" w:rsidRDefault="00752133" w:rsidP="00752133">
            <w:r w:rsidRPr="00752133">
              <w:t>R50 000</w:t>
            </w:r>
          </w:p>
        </w:tc>
      </w:tr>
      <w:tr w:rsidR="00752133" w:rsidRPr="00752133" w14:paraId="516DF051" w14:textId="77777777" w:rsidTr="00752133">
        <w:trPr>
          <w:trHeight w:val="406"/>
        </w:trPr>
        <w:tc>
          <w:tcPr>
            <w:tcW w:w="3533" w:type="dxa"/>
          </w:tcPr>
          <w:p w14:paraId="72B407FA" w14:textId="77777777" w:rsidR="00752133" w:rsidRPr="00752133" w:rsidRDefault="00752133" w:rsidP="00752133">
            <w:r w:rsidRPr="00752133">
              <w:t>Barachac Co-Operative</w:t>
            </w:r>
          </w:p>
        </w:tc>
        <w:tc>
          <w:tcPr>
            <w:tcW w:w="1143" w:type="dxa"/>
          </w:tcPr>
          <w:p w14:paraId="7FA2F3EF" w14:textId="77777777" w:rsidR="00752133" w:rsidRPr="00752133" w:rsidRDefault="00752133" w:rsidP="00752133">
            <w:r w:rsidRPr="00752133">
              <w:t>26</w:t>
            </w:r>
          </w:p>
        </w:tc>
        <w:tc>
          <w:tcPr>
            <w:tcW w:w="1722" w:type="dxa"/>
          </w:tcPr>
          <w:p w14:paraId="29750A3E" w14:textId="77777777" w:rsidR="00752133" w:rsidRPr="00752133" w:rsidRDefault="00752133" w:rsidP="00752133">
            <w:r w:rsidRPr="00752133">
              <w:t>Irrigation</w:t>
            </w:r>
          </w:p>
        </w:tc>
        <w:tc>
          <w:tcPr>
            <w:tcW w:w="1329" w:type="dxa"/>
          </w:tcPr>
          <w:p w14:paraId="0A16AE17" w14:textId="77777777" w:rsidR="00752133" w:rsidRPr="00752133" w:rsidRDefault="00752133" w:rsidP="00752133">
            <w:r w:rsidRPr="00752133">
              <w:t>2 ha</w:t>
            </w:r>
          </w:p>
        </w:tc>
        <w:tc>
          <w:tcPr>
            <w:tcW w:w="1953" w:type="dxa"/>
          </w:tcPr>
          <w:p w14:paraId="2321595C" w14:textId="77777777" w:rsidR="00752133" w:rsidRPr="00752133" w:rsidRDefault="00752133" w:rsidP="00752133">
            <w:r w:rsidRPr="00752133">
              <w:t>R180 000</w:t>
            </w:r>
          </w:p>
        </w:tc>
      </w:tr>
      <w:tr w:rsidR="00752133" w:rsidRPr="00752133" w14:paraId="49936FB0" w14:textId="77777777" w:rsidTr="00752133">
        <w:trPr>
          <w:trHeight w:val="406"/>
        </w:trPr>
        <w:tc>
          <w:tcPr>
            <w:tcW w:w="3533" w:type="dxa"/>
          </w:tcPr>
          <w:p w14:paraId="01A941B9" w14:textId="77777777" w:rsidR="00752133" w:rsidRPr="00752133" w:rsidRDefault="00752133" w:rsidP="00752133">
            <w:r w:rsidRPr="00752133">
              <w:t>butho borehole</w:t>
            </w:r>
          </w:p>
        </w:tc>
        <w:tc>
          <w:tcPr>
            <w:tcW w:w="1143" w:type="dxa"/>
          </w:tcPr>
          <w:p w14:paraId="554B1811" w14:textId="77777777" w:rsidR="00752133" w:rsidRPr="00752133" w:rsidRDefault="00752133" w:rsidP="00752133">
            <w:r w:rsidRPr="00752133">
              <w:t>20</w:t>
            </w:r>
          </w:p>
        </w:tc>
        <w:tc>
          <w:tcPr>
            <w:tcW w:w="1722" w:type="dxa"/>
          </w:tcPr>
          <w:p w14:paraId="3CE7376B" w14:textId="77777777" w:rsidR="00752133" w:rsidRPr="00752133" w:rsidRDefault="00752133" w:rsidP="00752133">
            <w:r w:rsidRPr="00752133">
              <w:t>Borehole</w:t>
            </w:r>
          </w:p>
        </w:tc>
        <w:tc>
          <w:tcPr>
            <w:tcW w:w="1329" w:type="dxa"/>
          </w:tcPr>
          <w:p w14:paraId="0D45D0C0" w14:textId="77777777" w:rsidR="00752133" w:rsidRPr="00752133" w:rsidRDefault="00752133" w:rsidP="00752133">
            <w:r w:rsidRPr="00752133">
              <w:t>6 x tunnels</w:t>
            </w:r>
          </w:p>
        </w:tc>
        <w:tc>
          <w:tcPr>
            <w:tcW w:w="1953" w:type="dxa"/>
          </w:tcPr>
          <w:p w14:paraId="4A661729" w14:textId="77777777" w:rsidR="00752133" w:rsidRPr="00752133" w:rsidRDefault="00752133" w:rsidP="00752133">
            <w:r w:rsidRPr="00752133">
              <w:t>R1 000 000</w:t>
            </w:r>
          </w:p>
        </w:tc>
      </w:tr>
      <w:tr w:rsidR="00752133" w:rsidRPr="00752133" w14:paraId="618B78DC" w14:textId="77777777" w:rsidTr="00752133">
        <w:trPr>
          <w:trHeight w:val="418"/>
        </w:trPr>
        <w:tc>
          <w:tcPr>
            <w:tcW w:w="3533" w:type="dxa"/>
          </w:tcPr>
          <w:p w14:paraId="38308D14" w14:textId="77777777" w:rsidR="00752133" w:rsidRPr="00752133" w:rsidRDefault="00752133" w:rsidP="00752133">
            <w:r w:rsidRPr="00752133">
              <w:t>Ibutho tunnels</w:t>
            </w:r>
          </w:p>
        </w:tc>
        <w:tc>
          <w:tcPr>
            <w:tcW w:w="1143" w:type="dxa"/>
          </w:tcPr>
          <w:p w14:paraId="39A0FF73" w14:textId="77777777" w:rsidR="00752133" w:rsidRPr="00752133" w:rsidRDefault="00752133" w:rsidP="00752133">
            <w:r w:rsidRPr="00752133">
              <w:t>20</w:t>
            </w:r>
          </w:p>
        </w:tc>
        <w:tc>
          <w:tcPr>
            <w:tcW w:w="1722" w:type="dxa"/>
          </w:tcPr>
          <w:p w14:paraId="7074A7AE" w14:textId="77777777" w:rsidR="00752133" w:rsidRPr="00752133" w:rsidRDefault="00752133" w:rsidP="00752133">
            <w:r w:rsidRPr="00752133">
              <w:t>Tunnels</w:t>
            </w:r>
          </w:p>
        </w:tc>
        <w:tc>
          <w:tcPr>
            <w:tcW w:w="1329" w:type="dxa"/>
          </w:tcPr>
          <w:p w14:paraId="4651B44C" w14:textId="77777777" w:rsidR="00752133" w:rsidRPr="00752133" w:rsidRDefault="00752133" w:rsidP="00752133">
            <w:r w:rsidRPr="00752133">
              <w:t>6 x tunnels</w:t>
            </w:r>
          </w:p>
        </w:tc>
        <w:tc>
          <w:tcPr>
            <w:tcW w:w="1953" w:type="dxa"/>
          </w:tcPr>
          <w:p w14:paraId="477EABA3" w14:textId="77777777" w:rsidR="00752133" w:rsidRPr="00752133" w:rsidRDefault="00752133" w:rsidP="00752133">
            <w:r w:rsidRPr="00752133">
              <w:t>R1 000 000</w:t>
            </w:r>
          </w:p>
        </w:tc>
      </w:tr>
      <w:tr w:rsidR="00752133" w:rsidRPr="00752133" w14:paraId="4FF9C675" w14:textId="77777777" w:rsidTr="00752133">
        <w:trPr>
          <w:trHeight w:val="406"/>
        </w:trPr>
        <w:tc>
          <w:tcPr>
            <w:tcW w:w="3533" w:type="dxa"/>
          </w:tcPr>
          <w:p w14:paraId="3EA8784C" w14:textId="77777777" w:rsidR="00752133" w:rsidRPr="00752133" w:rsidRDefault="00752133" w:rsidP="00752133">
            <w:r w:rsidRPr="00752133">
              <w:t>Masisukume Tunnels</w:t>
            </w:r>
          </w:p>
        </w:tc>
        <w:tc>
          <w:tcPr>
            <w:tcW w:w="1143" w:type="dxa"/>
          </w:tcPr>
          <w:p w14:paraId="601BD66C" w14:textId="77777777" w:rsidR="00752133" w:rsidRPr="00752133" w:rsidRDefault="00752133" w:rsidP="00752133">
            <w:r w:rsidRPr="00752133">
              <w:t>03</w:t>
            </w:r>
          </w:p>
        </w:tc>
        <w:tc>
          <w:tcPr>
            <w:tcW w:w="1722" w:type="dxa"/>
          </w:tcPr>
          <w:p w14:paraId="26FDCCC5" w14:textId="77777777" w:rsidR="00752133" w:rsidRPr="00752133" w:rsidRDefault="00752133" w:rsidP="00752133">
            <w:r w:rsidRPr="00752133">
              <w:t>Tunnels</w:t>
            </w:r>
          </w:p>
        </w:tc>
        <w:tc>
          <w:tcPr>
            <w:tcW w:w="1329" w:type="dxa"/>
          </w:tcPr>
          <w:p w14:paraId="71A56BBE" w14:textId="77777777" w:rsidR="00752133" w:rsidRPr="00752133" w:rsidRDefault="00752133" w:rsidP="00752133">
            <w:r w:rsidRPr="00752133">
              <w:t>6 x tunnels</w:t>
            </w:r>
          </w:p>
        </w:tc>
        <w:tc>
          <w:tcPr>
            <w:tcW w:w="1953" w:type="dxa"/>
          </w:tcPr>
          <w:p w14:paraId="7223517B" w14:textId="77777777" w:rsidR="00752133" w:rsidRPr="00752133" w:rsidRDefault="00752133" w:rsidP="00752133">
            <w:r w:rsidRPr="00752133">
              <w:t>R1 000 000</w:t>
            </w:r>
          </w:p>
        </w:tc>
      </w:tr>
      <w:tr w:rsidR="00752133" w:rsidRPr="00752133" w14:paraId="66088825" w14:textId="77777777" w:rsidTr="00752133">
        <w:trPr>
          <w:trHeight w:val="406"/>
        </w:trPr>
        <w:tc>
          <w:tcPr>
            <w:tcW w:w="3533" w:type="dxa"/>
          </w:tcPr>
          <w:p w14:paraId="3C3F4A33" w14:textId="77777777" w:rsidR="00752133" w:rsidRPr="00752133" w:rsidRDefault="00752133" w:rsidP="00752133">
            <w:r w:rsidRPr="00752133">
              <w:t>Ingungumbane Dam</w:t>
            </w:r>
          </w:p>
        </w:tc>
        <w:tc>
          <w:tcPr>
            <w:tcW w:w="1143" w:type="dxa"/>
          </w:tcPr>
          <w:p w14:paraId="630E5C3E" w14:textId="77777777" w:rsidR="00752133" w:rsidRPr="00752133" w:rsidRDefault="00752133" w:rsidP="00752133">
            <w:r w:rsidRPr="00752133">
              <w:t>26</w:t>
            </w:r>
          </w:p>
        </w:tc>
        <w:tc>
          <w:tcPr>
            <w:tcW w:w="1722" w:type="dxa"/>
          </w:tcPr>
          <w:p w14:paraId="38F5AEEF" w14:textId="77777777" w:rsidR="00752133" w:rsidRPr="00752133" w:rsidRDefault="00752133" w:rsidP="00752133">
            <w:r w:rsidRPr="00752133">
              <w:t>Dam</w:t>
            </w:r>
          </w:p>
        </w:tc>
        <w:tc>
          <w:tcPr>
            <w:tcW w:w="1329" w:type="dxa"/>
          </w:tcPr>
          <w:p w14:paraId="4444DCB1" w14:textId="77777777" w:rsidR="00752133" w:rsidRPr="00752133" w:rsidRDefault="00752133" w:rsidP="00752133">
            <w:r w:rsidRPr="00752133">
              <w:t>Dam</w:t>
            </w:r>
          </w:p>
        </w:tc>
        <w:tc>
          <w:tcPr>
            <w:tcW w:w="1953" w:type="dxa"/>
          </w:tcPr>
          <w:p w14:paraId="20D35249" w14:textId="77777777" w:rsidR="00752133" w:rsidRPr="00752133" w:rsidRDefault="00752133" w:rsidP="00752133">
            <w:r w:rsidRPr="00752133">
              <w:t>R150 000</w:t>
            </w:r>
          </w:p>
        </w:tc>
      </w:tr>
      <w:tr w:rsidR="00752133" w:rsidRPr="00752133" w14:paraId="27628C77" w14:textId="77777777" w:rsidTr="00752133">
        <w:trPr>
          <w:trHeight w:val="406"/>
        </w:trPr>
        <w:tc>
          <w:tcPr>
            <w:tcW w:w="3533" w:type="dxa"/>
          </w:tcPr>
          <w:p w14:paraId="705BD42C" w14:textId="77777777" w:rsidR="00752133" w:rsidRPr="00752133" w:rsidRDefault="00752133" w:rsidP="00752133">
            <w:r w:rsidRPr="00752133">
              <w:t>Zithokozise Co-Operative</w:t>
            </w:r>
          </w:p>
        </w:tc>
        <w:tc>
          <w:tcPr>
            <w:tcW w:w="1143" w:type="dxa"/>
          </w:tcPr>
          <w:p w14:paraId="0DE788EF" w14:textId="77777777" w:rsidR="00752133" w:rsidRPr="00752133" w:rsidRDefault="00752133" w:rsidP="00752133">
            <w:r w:rsidRPr="00752133">
              <w:t>10</w:t>
            </w:r>
          </w:p>
        </w:tc>
        <w:tc>
          <w:tcPr>
            <w:tcW w:w="1722" w:type="dxa"/>
          </w:tcPr>
          <w:p w14:paraId="067CF080" w14:textId="77777777" w:rsidR="00752133" w:rsidRPr="00752133" w:rsidRDefault="00752133" w:rsidP="00752133">
            <w:r w:rsidRPr="00752133">
              <w:t>Fencing</w:t>
            </w:r>
          </w:p>
        </w:tc>
        <w:tc>
          <w:tcPr>
            <w:tcW w:w="1329" w:type="dxa"/>
          </w:tcPr>
          <w:p w14:paraId="02231068" w14:textId="77777777" w:rsidR="00752133" w:rsidRPr="00752133" w:rsidRDefault="00752133" w:rsidP="00752133">
            <w:r w:rsidRPr="00752133">
              <w:t>0,4 ha</w:t>
            </w:r>
          </w:p>
        </w:tc>
        <w:tc>
          <w:tcPr>
            <w:tcW w:w="1953" w:type="dxa"/>
          </w:tcPr>
          <w:p w14:paraId="16391836" w14:textId="77777777" w:rsidR="00752133" w:rsidRPr="00752133" w:rsidRDefault="00752133" w:rsidP="00752133">
            <w:r w:rsidRPr="00752133">
              <w:t>R50 000</w:t>
            </w:r>
          </w:p>
        </w:tc>
      </w:tr>
      <w:tr w:rsidR="00752133" w:rsidRPr="00752133" w14:paraId="3631652D" w14:textId="77777777" w:rsidTr="00752133">
        <w:trPr>
          <w:trHeight w:val="406"/>
        </w:trPr>
        <w:tc>
          <w:tcPr>
            <w:tcW w:w="3533" w:type="dxa"/>
          </w:tcPr>
          <w:p w14:paraId="0AB3683B" w14:textId="77777777" w:rsidR="00752133" w:rsidRPr="00752133" w:rsidRDefault="00752133" w:rsidP="00752133">
            <w:r w:rsidRPr="00752133">
              <w:t>Ezinyathi Co-Operative</w:t>
            </w:r>
          </w:p>
        </w:tc>
        <w:tc>
          <w:tcPr>
            <w:tcW w:w="1143" w:type="dxa"/>
          </w:tcPr>
          <w:p w14:paraId="1FB25F5A" w14:textId="77777777" w:rsidR="00752133" w:rsidRPr="00752133" w:rsidRDefault="00752133" w:rsidP="00752133">
            <w:r w:rsidRPr="00752133">
              <w:t xml:space="preserve">03 </w:t>
            </w:r>
          </w:p>
        </w:tc>
        <w:tc>
          <w:tcPr>
            <w:tcW w:w="1722" w:type="dxa"/>
          </w:tcPr>
          <w:p w14:paraId="1900B0DA" w14:textId="77777777" w:rsidR="00752133" w:rsidRPr="00752133" w:rsidRDefault="00752133" w:rsidP="00752133">
            <w:r w:rsidRPr="00752133">
              <w:t>Dam</w:t>
            </w:r>
          </w:p>
        </w:tc>
        <w:tc>
          <w:tcPr>
            <w:tcW w:w="1329" w:type="dxa"/>
          </w:tcPr>
          <w:p w14:paraId="4A8D54AA" w14:textId="77777777" w:rsidR="00752133" w:rsidRPr="00752133" w:rsidRDefault="00752133" w:rsidP="00752133">
            <w:r w:rsidRPr="00752133">
              <w:t>Dam</w:t>
            </w:r>
          </w:p>
        </w:tc>
        <w:tc>
          <w:tcPr>
            <w:tcW w:w="1953" w:type="dxa"/>
          </w:tcPr>
          <w:p w14:paraId="2AF5E3D0" w14:textId="77777777" w:rsidR="00752133" w:rsidRPr="00752133" w:rsidRDefault="00752133" w:rsidP="00752133">
            <w:r w:rsidRPr="00752133">
              <w:t>R150 000</w:t>
            </w:r>
          </w:p>
        </w:tc>
      </w:tr>
      <w:tr w:rsidR="00752133" w:rsidRPr="00752133" w14:paraId="56210E4B" w14:textId="77777777" w:rsidTr="00752133">
        <w:trPr>
          <w:trHeight w:val="406"/>
        </w:trPr>
        <w:tc>
          <w:tcPr>
            <w:tcW w:w="3533" w:type="dxa"/>
          </w:tcPr>
          <w:p w14:paraId="2003352F" w14:textId="77777777" w:rsidR="00752133" w:rsidRPr="00752133" w:rsidRDefault="00752133" w:rsidP="00752133">
            <w:r w:rsidRPr="00752133">
              <w:t>uMlalazi Mushroom</w:t>
            </w:r>
          </w:p>
        </w:tc>
        <w:tc>
          <w:tcPr>
            <w:tcW w:w="1143" w:type="dxa"/>
          </w:tcPr>
          <w:p w14:paraId="361C0AA4" w14:textId="77777777" w:rsidR="00752133" w:rsidRPr="00752133" w:rsidRDefault="00752133" w:rsidP="00752133">
            <w:r w:rsidRPr="00752133">
              <w:t>15</w:t>
            </w:r>
          </w:p>
        </w:tc>
        <w:tc>
          <w:tcPr>
            <w:tcW w:w="1722" w:type="dxa"/>
          </w:tcPr>
          <w:p w14:paraId="6CD102C0" w14:textId="77777777" w:rsidR="00752133" w:rsidRPr="00752133" w:rsidRDefault="00752133" w:rsidP="00752133">
            <w:r w:rsidRPr="00752133">
              <w:t>Mushroom</w:t>
            </w:r>
          </w:p>
        </w:tc>
        <w:tc>
          <w:tcPr>
            <w:tcW w:w="1329" w:type="dxa"/>
          </w:tcPr>
          <w:p w14:paraId="29638367" w14:textId="77777777" w:rsidR="00752133" w:rsidRPr="00752133" w:rsidRDefault="00752133" w:rsidP="00752133">
            <w:r w:rsidRPr="00752133">
              <w:t>Mushroom</w:t>
            </w:r>
          </w:p>
        </w:tc>
        <w:tc>
          <w:tcPr>
            <w:tcW w:w="1953" w:type="dxa"/>
          </w:tcPr>
          <w:p w14:paraId="69B4BF70" w14:textId="77777777" w:rsidR="00752133" w:rsidRPr="00752133" w:rsidRDefault="00752133" w:rsidP="00752133">
            <w:r w:rsidRPr="00752133">
              <w:t>R80 000</w:t>
            </w:r>
          </w:p>
        </w:tc>
      </w:tr>
      <w:tr w:rsidR="00752133" w:rsidRPr="00752133" w14:paraId="0B6F7E65" w14:textId="77777777" w:rsidTr="00752133">
        <w:trPr>
          <w:trHeight w:val="406"/>
        </w:trPr>
        <w:tc>
          <w:tcPr>
            <w:tcW w:w="3533" w:type="dxa"/>
          </w:tcPr>
          <w:p w14:paraId="4D2E2E95" w14:textId="77777777" w:rsidR="00752133" w:rsidRPr="00752133" w:rsidRDefault="00752133" w:rsidP="00752133">
            <w:r w:rsidRPr="00752133">
              <w:t xml:space="preserve">uMlalazi Indigenous goats </w:t>
            </w:r>
          </w:p>
        </w:tc>
        <w:tc>
          <w:tcPr>
            <w:tcW w:w="1143" w:type="dxa"/>
          </w:tcPr>
          <w:p w14:paraId="7FBDF413" w14:textId="77777777" w:rsidR="00752133" w:rsidRPr="00752133" w:rsidRDefault="00752133" w:rsidP="00752133">
            <w:r w:rsidRPr="00752133">
              <w:t>1, 2</w:t>
            </w:r>
          </w:p>
        </w:tc>
        <w:tc>
          <w:tcPr>
            <w:tcW w:w="1722" w:type="dxa"/>
          </w:tcPr>
          <w:p w14:paraId="354976F6" w14:textId="77777777" w:rsidR="00752133" w:rsidRPr="00752133" w:rsidRDefault="00752133" w:rsidP="00752133">
            <w:r w:rsidRPr="00752133">
              <w:t>Indigenous Goats</w:t>
            </w:r>
          </w:p>
        </w:tc>
        <w:tc>
          <w:tcPr>
            <w:tcW w:w="1329" w:type="dxa"/>
          </w:tcPr>
          <w:p w14:paraId="5E659129" w14:textId="77777777" w:rsidR="00752133" w:rsidRPr="00752133" w:rsidRDefault="00752133" w:rsidP="00752133">
            <w:r w:rsidRPr="00752133">
              <w:t>2 x 6 goats</w:t>
            </w:r>
          </w:p>
        </w:tc>
        <w:tc>
          <w:tcPr>
            <w:tcW w:w="1953" w:type="dxa"/>
          </w:tcPr>
          <w:p w14:paraId="797EAAE8" w14:textId="77777777" w:rsidR="00752133" w:rsidRPr="00752133" w:rsidRDefault="00752133" w:rsidP="00752133">
            <w:r w:rsidRPr="00752133">
              <w:t>R52 000</w:t>
            </w:r>
          </w:p>
        </w:tc>
      </w:tr>
      <w:tr w:rsidR="00752133" w:rsidRPr="00752133" w14:paraId="710D1C94" w14:textId="77777777" w:rsidTr="00752133">
        <w:trPr>
          <w:trHeight w:val="406"/>
        </w:trPr>
        <w:tc>
          <w:tcPr>
            <w:tcW w:w="3533" w:type="dxa"/>
          </w:tcPr>
          <w:p w14:paraId="4F50A2C3" w14:textId="77777777" w:rsidR="00752133" w:rsidRPr="00752133" w:rsidRDefault="00752133" w:rsidP="00752133">
            <w:r w:rsidRPr="00752133">
              <w:t>Fruit Trees</w:t>
            </w:r>
          </w:p>
        </w:tc>
        <w:tc>
          <w:tcPr>
            <w:tcW w:w="1143" w:type="dxa"/>
          </w:tcPr>
          <w:p w14:paraId="6380E3E9" w14:textId="77777777" w:rsidR="00752133" w:rsidRPr="00752133" w:rsidRDefault="00752133" w:rsidP="00752133">
            <w:r w:rsidRPr="00752133">
              <w:t>All 27</w:t>
            </w:r>
          </w:p>
        </w:tc>
        <w:tc>
          <w:tcPr>
            <w:tcW w:w="1722" w:type="dxa"/>
          </w:tcPr>
          <w:p w14:paraId="62B45003" w14:textId="77777777" w:rsidR="00752133" w:rsidRPr="00752133" w:rsidRDefault="00752133" w:rsidP="00752133">
            <w:r w:rsidRPr="00752133">
              <w:t>Wards Fruit trees</w:t>
            </w:r>
          </w:p>
        </w:tc>
        <w:tc>
          <w:tcPr>
            <w:tcW w:w="1329" w:type="dxa"/>
          </w:tcPr>
          <w:p w14:paraId="3A6E7249" w14:textId="77777777" w:rsidR="00752133" w:rsidRPr="00752133" w:rsidRDefault="00752133" w:rsidP="00752133">
            <w:r w:rsidRPr="00752133">
              <w:t>190</w:t>
            </w:r>
          </w:p>
        </w:tc>
        <w:tc>
          <w:tcPr>
            <w:tcW w:w="1953" w:type="dxa"/>
          </w:tcPr>
          <w:p w14:paraId="3A232347" w14:textId="77777777" w:rsidR="00752133" w:rsidRPr="00752133" w:rsidRDefault="00752133" w:rsidP="00752133">
            <w:r w:rsidRPr="00752133">
              <w:t>R20 900</w:t>
            </w:r>
          </w:p>
        </w:tc>
      </w:tr>
    </w:tbl>
    <w:p w14:paraId="7203144D" w14:textId="77777777" w:rsidR="00752133" w:rsidRPr="00752133" w:rsidRDefault="00752133" w:rsidP="00752133"/>
    <w:p w14:paraId="568CDF0C" w14:textId="77777777" w:rsidR="006F75A5" w:rsidRDefault="006F75A5" w:rsidP="006F75A5">
      <w:pPr>
        <w:pStyle w:val="Heading3"/>
        <w:numPr>
          <w:ilvl w:val="2"/>
          <w:numId w:val="12"/>
        </w:numPr>
        <w:spacing w:after="240"/>
      </w:pPr>
      <w:bookmarkStart w:id="732" w:name="_Toc510706704"/>
      <w:r>
        <w:t>Department of Education</w:t>
      </w:r>
      <w:bookmarkEnd w:id="732"/>
    </w:p>
    <w:tbl>
      <w:tblPr>
        <w:tblW w:w="52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76"/>
        <w:gridCol w:w="1196"/>
        <w:gridCol w:w="1610"/>
        <w:gridCol w:w="1025"/>
        <w:gridCol w:w="1027"/>
        <w:gridCol w:w="881"/>
        <w:gridCol w:w="1027"/>
        <w:gridCol w:w="910"/>
      </w:tblGrid>
      <w:tr w:rsidR="006F75A5" w:rsidRPr="006F75A5" w14:paraId="03467E83" w14:textId="77777777" w:rsidTr="008123A7">
        <w:trPr>
          <w:trHeight w:val="226"/>
          <w:tblHeader/>
        </w:trPr>
        <w:tc>
          <w:tcPr>
            <w:tcW w:w="1105" w:type="pct"/>
            <w:shd w:val="clear" w:color="auto" w:fill="9CC2E5"/>
            <w:vAlign w:val="center"/>
            <w:hideMark/>
          </w:tcPr>
          <w:p w14:paraId="7555A5D3" w14:textId="77777777" w:rsidR="006F75A5" w:rsidRPr="006F75A5" w:rsidRDefault="006F75A5" w:rsidP="006F75A5">
            <w:pPr>
              <w:spacing w:after="0" w:line="240" w:lineRule="auto"/>
              <w:rPr>
                <w:rFonts w:eastAsia="Calibri" w:cs="Times New Roman"/>
                <w:b/>
                <w:sz w:val="18"/>
                <w:lang w:val="en-ZA"/>
              </w:rPr>
            </w:pPr>
            <w:r w:rsidRPr="006F75A5">
              <w:rPr>
                <w:rFonts w:eastAsia="Calibri" w:cs="Times New Roman"/>
                <w:b/>
                <w:sz w:val="18"/>
                <w:lang w:val="en-ZA"/>
              </w:rPr>
              <w:t xml:space="preserve">PROJECT NAME </w:t>
            </w:r>
          </w:p>
        </w:tc>
        <w:tc>
          <w:tcPr>
            <w:tcW w:w="607" w:type="pct"/>
            <w:shd w:val="clear" w:color="auto" w:fill="9CC2E5"/>
            <w:vAlign w:val="center"/>
            <w:hideMark/>
          </w:tcPr>
          <w:p w14:paraId="71C79805" w14:textId="77777777" w:rsidR="006F75A5" w:rsidRPr="006F75A5" w:rsidRDefault="006F75A5" w:rsidP="006F75A5">
            <w:pPr>
              <w:spacing w:after="0" w:line="240" w:lineRule="auto"/>
              <w:rPr>
                <w:rFonts w:eastAsia="Calibri" w:cs="Times New Roman"/>
                <w:b/>
                <w:sz w:val="18"/>
                <w:lang w:val="en-ZA"/>
              </w:rPr>
            </w:pPr>
            <w:r w:rsidRPr="006F75A5">
              <w:rPr>
                <w:rFonts w:eastAsia="Calibri" w:cs="Times New Roman"/>
                <w:b/>
                <w:sz w:val="18"/>
                <w:lang w:val="en-ZA"/>
              </w:rPr>
              <w:t>Programme Implementer</w:t>
            </w:r>
          </w:p>
        </w:tc>
        <w:tc>
          <w:tcPr>
            <w:tcW w:w="817" w:type="pct"/>
            <w:shd w:val="clear" w:color="auto" w:fill="9CC2E5"/>
            <w:vAlign w:val="center"/>
            <w:hideMark/>
          </w:tcPr>
          <w:p w14:paraId="111FE823" w14:textId="77777777" w:rsidR="006F75A5" w:rsidRPr="006F75A5" w:rsidRDefault="006F75A5" w:rsidP="006F75A5">
            <w:pPr>
              <w:spacing w:after="0" w:line="240" w:lineRule="auto"/>
              <w:rPr>
                <w:rFonts w:eastAsia="Calibri" w:cs="Times New Roman"/>
                <w:b/>
                <w:sz w:val="18"/>
                <w:lang w:val="en-ZA"/>
              </w:rPr>
            </w:pPr>
            <w:r w:rsidRPr="006F75A5">
              <w:rPr>
                <w:rFonts w:eastAsia="Calibri" w:cs="Times New Roman"/>
                <w:b/>
                <w:sz w:val="18"/>
                <w:lang w:val="en-ZA"/>
              </w:rPr>
              <w:t>Nature of Investment</w:t>
            </w:r>
          </w:p>
        </w:tc>
        <w:tc>
          <w:tcPr>
            <w:tcW w:w="520" w:type="pct"/>
            <w:shd w:val="clear" w:color="auto" w:fill="9CC2E5"/>
            <w:vAlign w:val="center"/>
            <w:hideMark/>
          </w:tcPr>
          <w:p w14:paraId="101944FC" w14:textId="77777777" w:rsidR="006F75A5" w:rsidRPr="006F75A5" w:rsidRDefault="006F75A5" w:rsidP="006F75A5">
            <w:pPr>
              <w:spacing w:after="0" w:line="240" w:lineRule="auto"/>
              <w:rPr>
                <w:rFonts w:eastAsia="Calibri" w:cs="Times New Roman"/>
                <w:b/>
                <w:sz w:val="18"/>
                <w:lang w:val="en-ZA"/>
              </w:rPr>
            </w:pPr>
            <w:r w:rsidRPr="006F75A5">
              <w:rPr>
                <w:rFonts w:eastAsia="Calibri" w:cs="Times New Roman"/>
                <w:b/>
                <w:sz w:val="18"/>
                <w:lang w:val="en-ZA"/>
              </w:rPr>
              <w:t>Total Project Cost</w:t>
            </w:r>
          </w:p>
        </w:tc>
        <w:tc>
          <w:tcPr>
            <w:tcW w:w="521" w:type="pct"/>
            <w:shd w:val="clear" w:color="auto" w:fill="9CC2E5"/>
            <w:vAlign w:val="center"/>
            <w:hideMark/>
          </w:tcPr>
          <w:p w14:paraId="347828DA" w14:textId="77777777" w:rsidR="006F75A5" w:rsidRPr="006F75A5" w:rsidRDefault="006F75A5" w:rsidP="006F75A5">
            <w:pPr>
              <w:spacing w:after="0" w:line="240" w:lineRule="auto"/>
              <w:rPr>
                <w:rFonts w:eastAsia="Times New Roman" w:cs="Times New Roman"/>
                <w:b/>
                <w:sz w:val="18"/>
                <w:szCs w:val="24"/>
                <w:lang w:val="en-ZA" w:eastAsia="en-ZA"/>
              </w:rPr>
            </w:pPr>
            <w:r w:rsidRPr="006F75A5">
              <w:rPr>
                <w:rFonts w:eastAsia="Times New Roman" w:cs="Times New Roman"/>
                <w:b/>
                <w:sz w:val="18"/>
                <w:szCs w:val="24"/>
                <w:lang w:val="en-ZA" w:eastAsia="en-ZA"/>
              </w:rPr>
              <w:t xml:space="preserve"> 2016-2017</w:t>
            </w:r>
          </w:p>
        </w:tc>
        <w:tc>
          <w:tcPr>
            <w:tcW w:w="447" w:type="pct"/>
            <w:shd w:val="clear" w:color="auto" w:fill="9CC2E5"/>
            <w:vAlign w:val="center"/>
            <w:hideMark/>
          </w:tcPr>
          <w:p w14:paraId="00C3FA9B" w14:textId="77777777" w:rsidR="006F75A5" w:rsidRPr="006F75A5" w:rsidRDefault="006F75A5" w:rsidP="006F75A5">
            <w:pPr>
              <w:spacing w:after="0" w:line="240" w:lineRule="auto"/>
              <w:rPr>
                <w:rFonts w:eastAsia="Times New Roman" w:cs="Times New Roman"/>
                <w:b/>
                <w:sz w:val="18"/>
                <w:szCs w:val="24"/>
                <w:lang w:val="en-ZA" w:eastAsia="en-ZA"/>
              </w:rPr>
            </w:pPr>
            <w:r w:rsidRPr="006F75A5">
              <w:rPr>
                <w:rFonts w:eastAsia="Times New Roman" w:cs="Times New Roman"/>
                <w:b/>
                <w:sz w:val="18"/>
                <w:szCs w:val="24"/>
                <w:lang w:val="en-ZA" w:eastAsia="en-ZA"/>
              </w:rPr>
              <w:t>2017-2018</w:t>
            </w:r>
          </w:p>
        </w:tc>
        <w:tc>
          <w:tcPr>
            <w:tcW w:w="521" w:type="pct"/>
            <w:shd w:val="clear" w:color="auto" w:fill="9CC2E5"/>
            <w:vAlign w:val="center"/>
            <w:hideMark/>
          </w:tcPr>
          <w:p w14:paraId="7971C3C1" w14:textId="77777777" w:rsidR="006F75A5" w:rsidRPr="006F75A5" w:rsidRDefault="006F75A5" w:rsidP="006F75A5">
            <w:pPr>
              <w:spacing w:after="0" w:line="240" w:lineRule="auto"/>
              <w:rPr>
                <w:rFonts w:eastAsia="Times New Roman" w:cs="Times New Roman"/>
                <w:b/>
                <w:sz w:val="18"/>
                <w:szCs w:val="24"/>
                <w:lang w:val="en-ZA" w:eastAsia="en-ZA"/>
              </w:rPr>
            </w:pPr>
            <w:r w:rsidRPr="006F75A5">
              <w:rPr>
                <w:rFonts w:eastAsia="Times New Roman" w:cs="Times New Roman"/>
                <w:b/>
                <w:sz w:val="18"/>
                <w:szCs w:val="24"/>
                <w:lang w:val="en-ZA" w:eastAsia="en-ZA"/>
              </w:rPr>
              <w:t>2018-2019</w:t>
            </w:r>
          </w:p>
        </w:tc>
        <w:tc>
          <w:tcPr>
            <w:tcW w:w="462" w:type="pct"/>
            <w:shd w:val="clear" w:color="auto" w:fill="9CC2E5"/>
            <w:vAlign w:val="center"/>
            <w:hideMark/>
          </w:tcPr>
          <w:p w14:paraId="1C6FACD7" w14:textId="77777777" w:rsidR="006F75A5" w:rsidRPr="006F75A5" w:rsidRDefault="006F75A5" w:rsidP="006F75A5">
            <w:pPr>
              <w:spacing w:after="0" w:line="240" w:lineRule="auto"/>
              <w:rPr>
                <w:rFonts w:eastAsia="Times New Roman" w:cs="Times New Roman"/>
                <w:b/>
                <w:sz w:val="18"/>
                <w:szCs w:val="24"/>
                <w:lang w:val="en-ZA" w:eastAsia="en-ZA"/>
              </w:rPr>
            </w:pPr>
            <w:r w:rsidRPr="006F75A5">
              <w:rPr>
                <w:rFonts w:eastAsia="Times New Roman" w:cs="Times New Roman"/>
                <w:b/>
                <w:sz w:val="18"/>
                <w:szCs w:val="24"/>
                <w:lang w:val="en-ZA" w:eastAsia="en-ZA"/>
              </w:rPr>
              <w:t>2019-2020</w:t>
            </w:r>
          </w:p>
        </w:tc>
      </w:tr>
      <w:tr w:rsidR="006F75A5" w:rsidRPr="006F75A5" w14:paraId="6B7AF938" w14:textId="77777777" w:rsidTr="008123A7">
        <w:trPr>
          <w:trHeight w:val="226"/>
        </w:trPr>
        <w:tc>
          <w:tcPr>
            <w:tcW w:w="1105" w:type="pct"/>
            <w:vAlign w:val="center"/>
            <w:hideMark/>
          </w:tcPr>
          <w:p w14:paraId="4270293A" w14:textId="77777777" w:rsidR="006F75A5" w:rsidRDefault="006F75A5" w:rsidP="006F75A5">
            <w:pPr>
              <w:spacing w:after="0" w:line="240" w:lineRule="auto"/>
              <w:rPr>
                <w:rFonts w:eastAsia="Calibri" w:cs="Times New Roman"/>
                <w:sz w:val="18"/>
                <w:lang w:val="en-ZA"/>
              </w:rPr>
            </w:pPr>
            <w:r w:rsidRPr="006F75A5">
              <w:rPr>
                <w:rFonts w:eastAsia="Calibri" w:cs="Times New Roman"/>
                <w:sz w:val="18"/>
                <w:lang w:val="en-ZA"/>
              </w:rPr>
              <w:t>MAJIYA SECONDARY SCHOOL</w:t>
            </w:r>
          </w:p>
          <w:p w14:paraId="63EA7468" w14:textId="77777777" w:rsidR="00732A7C" w:rsidRPr="006F75A5" w:rsidRDefault="00732A7C" w:rsidP="006F75A5">
            <w:pPr>
              <w:spacing w:after="0" w:line="240" w:lineRule="auto"/>
              <w:rPr>
                <w:rFonts w:eastAsia="Calibri" w:cs="Times New Roman"/>
                <w:sz w:val="18"/>
                <w:lang w:val="en-ZA"/>
              </w:rPr>
            </w:pPr>
            <w:r>
              <w:rPr>
                <w:rFonts w:eastAsia="Calibri" w:cs="Times New Roman"/>
                <w:sz w:val="18"/>
                <w:lang w:val="en-ZA"/>
              </w:rPr>
              <w:t>(16)</w:t>
            </w:r>
          </w:p>
        </w:tc>
        <w:tc>
          <w:tcPr>
            <w:tcW w:w="607" w:type="pct"/>
            <w:vAlign w:val="center"/>
            <w:hideMark/>
          </w:tcPr>
          <w:p w14:paraId="34809E90"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Independent Development Trust</w:t>
            </w:r>
          </w:p>
        </w:tc>
        <w:tc>
          <w:tcPr>
            <w:tcW w:w="817" w:type="pct"/>
            <w:vAlign w:val="center"/>
            <w:hideMark/>
          </w:tcPr>
          <w:p w14:paraId="454FB98D"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Upgrades and Additions</w:t>
            </w:r>
          </w:p>
        </w:tc>
        <w:tc>
          <w:tcPr>
            <w:tcW w:w="520" w:type="pct"/>
            <w:vAlign w:val="center"/>
            <w:hideMark/>
          </w:tcPr>
          <w:p w14:paraId="1E8E3BC1"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9,809</w:t>
            </w:r>
          </w:p>
        </w:tc>
        <w:tc>
          <w:tcPr>
            <w:tcW w:w="521" w:type="pct"/>
            <w:vAlign w:val="center"/>
            <w:hideMark/>
          </w:tcPr>
          <w:p w14:paraId="5197134F"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3,000</w:t>
            </w:r>
          </w:p>
        </w:tc>
        <w:tc>
          <w:tcPr>
            <w:tcW w:w="447" w:type="pct"/>
            <w:vAlign w:val="center"/>
            <w:hideMark/>
          </w:tcPr>
          <w:p w14:paraId="2BCCA062"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159</w:t>
            </w:r>
          </w:p>
        </w:tc>
        <w:tc>
          <w:tcPr>
            <w:tcW w:w="521" w:type="pct"/>
            <w:vAlign w:val="center"/>
            <w:hideMark/>
          </w:tcPr>
          <w:p w14:paraId="64318B8B"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0</w:t>
            </w:r>
          </w:p>
        </w:tc>
        <w:tc>
          <w:tcPr>
            <w:tcW w:w="462" w:type="pct"/>
            <w:vAlign w:val="center"/>
            <w:hideMark/>
          </w:tcPr>
          <w:p w14:paraId="5BC33953"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0</w:t>
            </w:r>
          </w:p>
        </w:tc>
      </w:tr>
      <w:tr w:rsidR="006F75A5" w:rsidRPr="006F75A5" w14:paraId="7A8F3329" w14:textId="77777777" w:rsidTr="008123A7">
        <w:trPr>
          <w:trHeight w:val="226"/>
        </w:trPr>
        <w:tc>
          <w:tcPr>
            <w:tcW w:w="1105" w:type="pct"/>
            <w:vAlign w:val="center"/>
            <w:hideMark/>
          </w:tcPr>
          <w:p w14:paraId="67B7D1E7"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EBOMVANENI PRIMARY SCHOOL</w:t>
            </w:r>
          </w:p>
        </w:tc>
        <w:tc>
          <w:tcPr>
            <w:tcW w:w="607" w:type="pct"/>
            <w:vAlign w:val="center"/>
            <w:hideMark/>
          </w:tcPr>
          <w:p w14:paraId="11FC6ECD"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Coega Development Corporation</w:t>
            </w:r>
          </w:p>
        </w:tc>
        <w:tc>
          <w:tcPr>
            <w:tcW w:w="817" w:type="pct"/>
            <w:vAlign w:val="center"/>
            <w:hideMark/>
          </w:tcPr>
          <w:p w14:paraId="1C3366D2"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Upgrades and Additions</w:t>
            </w:r>
          </w:p>
        </w:tc>
        <w:tc>
          <w:tcPr>
            <w:tcW w:w="520" w:type="pct"/>
            <w:vAlign w:val="center"/>
            <w:hideMark/>
          </w:tcPr>
          <w:p w14:paraId="7AFC508A"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3,221</w:t>
            </w:r>
          </w:p>
        </w:tc>
        <w:tc>
          <w:tcPr>
            <w:tcW w:w="521" w:type="pct"/>
            <w:vAlign w:val="center"/>
            <w:hideMark/>
          </w:tcPr>
          <w:p w14:paraId="3CAABE8F"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1,925</w:t>
            </w:r>
          </w:p>
        </w:tc>
        <w:tc>
          <w:tcPr>
            <w:tcW w:w="447" w:type="pct"/>
            <w:vAlign w:val="center"/>
            <w:hideMark/>
          </w:tcPr>
          <w:p w14:paraId="7D5D5AAC"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61</w:t>
            </w:r>
          </w:p>
        </w:tc>
        <w:tc>
          <w:tcPr>
            <w:tcW w:w="521" w:type="pct"/>
            <w:vAlign w:val="center"/>
            <w:hideMark/>
          </w:tcPr>
          <w:p w14:paraId="016C79D1"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0</w:t>
            </w:r>
          </w:p>
        </w:tc>
        <w:tc>
          <w:tcPr>
            <w:tcW w:w="462" w:type="pct"/>
            <w:vAlign w:val="center"/>
            <w:hideMark/>
          </w:tcPr>
          <w:p w14:paraId="3989E7D2"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0</w:t>
            </w:r>
          </w:p>
        </w:tc>
      </w:tr>
      <w:tr w:rsidR="006F75A5" w:rsidRPr="006F75A5" w14:paraId="5111649D" w14:textId="77777777" w:rsidTr="008123A7">
        <w:trPr>
          <w:trHeight w:val="226"/>
        </w:trPr>
        <w:tc>
          <w:tcPr>
            <w:tcW w:w="1105" w:type="pct"/>
            <w:vAlign w:val="center"/>
            <w:hideMark/>
          </w:tcPr>
          <w:p w14:paraId="62AAA953"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IMFIHLO PRIMARY SCHOOL</w:t>
            </w:r>
          </w:p>
        </w:tc>
        <w:tc>
          <w:tcPr>
            <w:tcW w:w="607" w:type="pct"/>
            <w:vAlign w:val="center"/>
            <w:hideMark/>
          </w:tcPr>
          <w:p w14:paraId="482EB1B0"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KZNDoE</w:t>
            </w:r>
          </w:p>
        </w:tc>
        <w:tc>
          <w:tcPr>
            <w:tcW w:w="817" w:type="pct"/>
            <w:vAlign w:val="center"/>
            <w:hideMark/>
          </w:tcPr>
          <w:p w14:paraId="4263934A"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Upgrades and Additions</w:t>
            </w:r>
          </w:p>
        </w:tc>
        <w:tc>
          <w:tcPr>
            <w:tcW w:w="520" w:type="pct"/>
            <w:vAlign w:val="center"/>
            <w:hideMark/>
          </w:tcPr>
          <w:p w14:paraId="01165C5F"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904</w:t>
            </w:r>
          </w:p>
        </w:tc>
        <w:tc>
          <w:tcPr>
            <w:tcW w:w="521" w:type="pct"/>
            <w:vAlign w:val="center"/>
            <w:hideMark/>
          </w:tcPr>
          <w:p w14:paraId="51E25DDC"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295</w:t>
            </w:r>
          </w:p>
        </w:tc>
        <w:tc>
          <w:tcPr>
            <w:tcW w:w="447" w:type="pct"/>
            <w:vAlign w:val="center"/>
            <w:hideMark/>
          </w:tcPr>
          <w:p w14:paraId="7437A759"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904</w:t>
            </w:r>
          </w:p>
        </w:tc>
        <w:tc>
          <w:tcPr>
            <w:tcW w:w="521" w:type="pct"/>
            <w:vAlign w:val="center"/>
            <w:hideMark/>
          </w:tcPr>
          <w:p w14:paraId="161BF240"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0</w:t>
            </w:r>
          </w:p>
        </w:tc>
        <w:tc>
          <w:tcPr>
            <w:tcW w:w="462" w:type="pct"/>
            <w:vAlign w:val="center"/>
            <w:hideMark/>
          </w:tcPr>
          <w:p w14:paraId="492950E6"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0</w:t>
            </w:r>
          </w:p>
        </w:tc>
      </w:tr>
      <w:tr w:rsidR="006F75A5" w:rsidRPr="006F75A5" w14:paraId="33E3CFAF" w14:textId="77777777" w:rsidTr="008123A7">
        <w:trPr>
          <w:trHeight w:val="226"/>
        </w:trPr>
        <w:tc>
          <w:tcPr>
            <w:tcW w:w="1105" w:type="pct"/>
            <w:vAlign w:val="center"/>
            <w:hideMark/>
          </w:tcPr>
          <w:p w14:paraId="234DCBCE" w14:textId="77777777" w:rsidR="006F75A5" w:rsidRDefault="006F75A5" w:rsidP="006F75A5">
            <w:pPr>
              <w:spacing w:after="0" w:line="240" w:lineRule="auto"/>
              <w:rPr>
                <w:rFonts w:eastAsia="Calibri" w:cs="Times New Roman"/>
                <w:sz w:val="18"/>
                <w:lang w:val="en-ZA"/>
              </w:rPr>
            </w:pPr>
            <w:r w:rsidRPr="006F75A5">
              <w:rPr>
                <w:rFonts w:eastAsia="Calibri" w:cs="Times New Roman"/>
                <w:sz w:val="18"/>
                <w:lang w:val="en-ZA"/>
              </w:rPr>
              <w:t>ENQOLENI PRIMARY SCHOOL</w:t>
            </w:r>
          </w:p>
          <w:p w14:paraId="7A905F78" w14:textId="77777777" w:rsidR="00732A7C" w:rsidRPr="006F75A5" w:rsidRDefault="00732A7C" w:rsidP="006F75A5">
            <w:pPr>
              <w:spacing w:after="0" w:line="240" w:lineRule="auto"/>
              <w:rPr>
                <w:rFonts w:eastAsia="Calibri" w:cs="Times New Roman"/>
                <w:sz w:val="18"/>
                <w:lang w:val="en-ZA"/>
              </w:rPr>
            </w:pPr>
            <w:r>
              <w:rPr>
                <w:rFonts w:eastAsia="Calibri" w:cs="Times New Roman"/>
                <w:sz w:val="18"/>
                <w:lang w:val="en-ZA"/>
              </w:rPr>
              <w:t>(25)</w:t>
            </w:r>
          </w:p>
        </w:tc>
        <w:tc>
          <w:tcPr>
            <w:tcW w:w="607" w:type="pct"/>
            <w:vAlign w:val="center"/>
            <w:hideMark/>
          </w:tcPr>
          <w:p w14:paraId="0FAB834C"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KZNDoE</w:t>
            </w:r>
          </w:p>
        </w:tc>
        <w:tc>
          <w:tcPr>
            <w:tcW w:w="817" w:type="pct"/>
            <w:vAlign w:val="center"/>
            <w:hideMark/>
          </w:tcPr>
          <w:p w14:paraId="41D8A219"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Upgrades and Additions</w:t>
            </w:r>
          </w:p>
        </w:tc>
        <w:tc>
          <w:tcPr>
            <w:tcW w:w="520" w:type="pct"/>
            <w:vAlign w:val="center"/>
            <w:hideMark/>
          </w:tcPr>
          <w:p w14:paraId="2ECF685C"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48,797</w:t>
            </w:r>
          </w:p>
        </w:tc>
        <w:tc>
          <w:tcPr>
            <w:tcW w:w="521" w:type="pct"/>
            <w:vAlign w:val="center"/>
            <w:hideMark/>
          </w:tcPr>
          <w:p w14:paraId="65E34BA4"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1,000</w:t>
            </w:r>
          </w:p>
        </w:tc>
        <w:tc>
          <w:tcPr>
            <w:tcW w:w="447" w:type="pct"/>
            <w:vAlign w:val="center"/>
            <w:hideMark/>
          </w:tcPr>
          <w:p w14:paraId="5BD9B196"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0</w:t>
            </w:r>
          </w:p>
        </w:tc>
        <w:tc>
          <w:tcPr>
            <w:tcW w:w="521" w:type="pct"/>
            <w:vAlign w:val="center"/>
            <w:hideMark/>
          </w:tcPr>
          <w:p w14:paraId="497EAD9F"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4,880</w:t>
            </w:r>
          </w:p>
        </w:tc>
        <w:tc>
          <w:tcPr>
            <w:tcW w:w="462" w:type="pct"/>
            <w:vAlign w:val="center"/>
            <w:hideMark/>
          </w:tcPr>
          <w:p w14:paraId="1BD77658"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14,430</w:t>
            </w:r>
          </w:p>
        </w:tc>
      </w:tr>
      <w:tr w:rsidR="006F75A5" w:rsidRPr="006F75A5" w14:paraId="23BCFB69" w14:textId="77777777" w:rsidTr="008123A7">
        <w:trPr>
          <w:trHeight w:val="226"/>
        </w:trPr>
        <w:tc>
          <w:tcPr>
            <w:tcW w:w="1105" w:type="pct"/>
            <w:vAlign w:val="center"/>
            <w:hideMark/>
          </w:tcPr>
          <w:p w14:paraId="45A32B84"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ETHAFENI PRIMARY SCHOOL</w:t>
            </w:r>
            <w:r w:rsidR="00732A7C">
              <w:rPr>
                <w:rFonts w:eastAsia="Calibri" w:cs="Times New Roman"/>
                <w:sz w:val="18"/>
                <w:lang w:val="en-ZA"/>
              </w:rPr>
              <w:t xml:space="preserve"> (17)</w:t>
            </w:r>
          </w:p>
        </w:tc>
        <w:tc>
          <w:tcPr>
            <w:tcW w:w="607" w:type="pct"/>
            <w:vAlign w:val="center"/>
            <w:hideMark/>
          </w:tcPr>
          <w:p w14:paraId="1FC9309C"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KZNDoE</w:t>
            </w:r>
          </w:p>
        </w:tc>
        <w:tc>
          <w:tcPr>
            <w:tcW w:w="817" w:type="pct"/>
            <w:vAlign w:val="center"/>
            <w:hideMark/>
          </w:tcPr>
          <w:p w14:paraId="045A995B"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Upgrades and Additions</w:t>
            </w:r>
          </w:p>
        </w:tc>
        <w:tc>
          <w:tcPr>
            <w:tcW w:w="520" w:type="pct"/>
            <w:vAlign w:val="center"/>
            <w:hideMark/>
          </w:tcPr>
          <w:p w14:paraId="22B9F2E1"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26,914</w:t>
            </w:r>
          </w:p>
        </w:tc>
        <w:tc>
          <w:tcPr>
            <w:tcW w:w="521" w:type="pct"/>
            <w:vAlign w:val="center"/>
            <w:hideMark/>
          </w:tcPr>
          <w:p w14:paraId="52A76BC4" w14:textId="77777777" w:rsidR="006F75A5" w:rsidRPr="006F75A5" w:rsidRDefault="006F75A5" w:rsidP="006F75A5">
            <w:pPr>
              <w:spacing w:after="0" w:line="240" w:lineRule="auto"/>
              <w:jc w:val="right"/>
              <w:rPr>
                <w:rFonts w:eastAsia="Times New Roman" w:cs="Times New Roman"/>
                <w:sz w:val="18"/>
                <w:szCs w:val="24"/>
                <w:lang w:val="en-ZA" w:eastAsia="en-ZA"/>
              </w:rPr>
            </w:pPr>
          </w:p>
        </w:tc>
        <w:tc>
          <w:tcPr>
            <w:tcW w:w="447" w:type="pct"/>
            <w:vAlign w:val="center"/>
            <w:hideMark/>
          </w:tcPr>
          <w:p w14:paraId="7BDE29B9"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0</w:t>
            </w:r>
          </w:p>
        </w:tc>
        <w:tc>
          <w:tcPr>
            <w:tcW w:w="521" w:type="pct"/>
            <w:vAlign w:val="center"/>
            <w:hideMark/>
          </w:tcPr>
          <w:p w14:paraId="14F39126"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2,691</w:t>
            </w:r>
          </w:p>
        </w:tc>
        <w:tc>
          <w:tcPr>
            <w:tcW w:w="462" w:type="pct"/>
            <w:vAlign w:val="center"/>
            <w:hideMark/>
          </w:tcPr>
          <w:p w14:paraId="5F142ADB"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14,515</w:t>
            </w:r>
          </w:p>
        </w:tc>
      </w:tr>
      <w:tr w:rsidR="006F75A5" w:rsidRPr="006F75A5" w14:paraId="0304DB20" w14:textId="77777777" w:rsidTr="008123A7">
        <w:trPr>
          <w:trHeight w:val="226"/>
        </w:trPr>
        <w:tc>
          <w:tcPr>
            <w:tcW w:w="1105" w:type="pct"/>
            <w:vAlign w:val="center"/>
            <w:hideMark/>
          </w:tcPr>
          <w:p w14:paraId="2405BB8B"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EFUYENI PRIMARY SCHOOL</w:t>
            </w:r>
          </w:p>
        </w:tc>
        <w:tc>
          <w:tcPr>
            <w:tcW w:w="607" w:type="pct"/>
            <w:vAlign w:val="center"/>
            <w:hideMark/>
          </w:tcPr>
          <w:p w14:paraId="0AF89984"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DoPW</w:t>
            </w:r>
          </w:p>
        </w:tc>
        <w:tc>
          <w:tcPr>
            <w:tcW w:w="817" w:type="pct"/>
            <w:vAlign w:val="center"/>
            <w:hideMark/>
          </w:tcPr>
          <w:p w14:paraId="7E262482"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Upgrades and Additions</w:t>
            </w:r>
          </w:p>
        </w:tc>
        <w:tc>
          <w:tcPr>
            <w:tcW w:w="520" w:type="pct"/>
            <w:vAlign w:val="center"/>
            <w:hideMark/>
          </w:tcPr>
          <w:p w14:paraId="18537AFA"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2,000</w:t>
            </w:r>
          </w:p>
        </w:tc>
        <w:tc>
          <w:tcPr>
            <w:tcW w:w="521" w:type="pct"/>
            <w:vAlign w:val="center"/>
            <w:hideMark/>
          </w:tcPr>
          <w:p w14:paraId="55A18416"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4,990</w:t>
            </w:r>
          </w:p>
        </w:tc>
        <w:tc>
          <w:tcPr>
            <w:tcW w:w="447" w:type="pct"/>
            <w:vAlign w:val="center"/>
            <w:hideMark/>
          </w:tcPr>
          <w:p w14:paraId="305533D5"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600</w:t>
            </w:r>
          </w:p>
        </w:tc>
        <w:tc>
          <w:tcPr>
            <w:tcW w:w="521" w:type="pct"/>
            <w:vAlign w:val="center"/>
            <w:hideMark/>
          </w:tcPr>
          <w:p w14:paraId="4FB2452D"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0</w:t>
            </w:r>
          </w:p>
        </w:tc>
        <w:tc>
          <w:tcPr>
            <w:tcW w:w="462" w:type="pct"/>
            <w:vAlign w:val="center"/>
            <w:hideMark/>
          </w:tcPr>
          <w:p w14:paraId="05149E2D"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50</w:t>
            </w:r>
          </w:p>
        </w:tc>
      </w:tr>
      <w:tr w:rsidR="006F75A5" w:rsidRPr="006F75A5" w14:paraId="6A9B930A" w14:textId="77777777" w:rsidTr="008123A7">
        <w:trPr>
          <w:trHeight w:val="226"/>
        </w:trPr>
        <w:tc>
          <w:tcPr>
            <w:tcW w:w="1105" w:type="pct"/>
            <w:vAlign w:val="center"/>
            <w:hideMark/>
          </w:tcPr>
          <w:p w14:paraId="6C5705A2"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NGQEKWANE SECONDARY SCHOOL</w:t>
            </w:r>
          </w:p>
        </w:tc>
        <w:tc>
          <w:tcPr>
            <w:tcW w:w="607" w:type="pct"/>
            <w:vAlign w:val="center"/>
            <w:hideMark/>
          </w:tcPr>
          <w:p w14:paraId="617FFBBB"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DoPW</w:t>
            </w:r>
          </w:p>
        </w:tc>
        <w:tc>
          <w:tcPr>
            <w:tcW w:w="817" w:type="pct"/>
            <w:vAlign w:val="center"/>
            <w:hideMark/>
          </w:tcPr>
          <w:p w14:paraId="05E92AA6"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Upgrades and Additions</w:t>
            </w:r>
          </w:p>
        </w:tc>
        <w:tc>
          <w:tcPr>
            <w:tcW w:w="520" w:type="pct"/>
            <w:vAlign w:val="center"/>
            <w:hideMark/>
          </w:tcPr>
          <w:p w14:paraId="5D15E37E"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2,000</w:t>
            </w:r>
          </w:p>
        </w:tc>
        <w:tc>
          <w:tcPr>
            <w:tcW w:w="521" w:type="pct"/>
            <w:vAlign w:val="center"/>
            <w:hideMark/>
          </w:tcPr>
          <w:p w14:paraId="2BC533AA"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0</w:t>
            </w:r>
          </w:p>
        </w:tc>
        <w:tc>
          <w:tcPr>
            <w:tcW w:w="447" w:type="pct"/>
            <w:vAlign w:val="center"/>
            <w:hideMark/>
          </w:tcPr>
          <w:p w14:paraId="475BC0E5"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600</w:t>
            </w:r>
          </w:p>
        </w:tc>
        <w:tc>
          <w:tcPr>
            <w:tcW w:w="521" w:type="pct"/>
            <w:vAlign w:val="center"/>
            <w:hideMark/>
          </w:tcPr>
          <w:p w14:paraId="2603FD9D"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0</w:t>
            </w:r>
          </w:p>
        </w:tc>
        <w:tc>
          <w:tcPr>
            <w:tcW w:w="462" w:type="pct"/>
            <w:vAlign w:val="center"/>
            <w:hideMark/>
          </w:tcPr>
          <w:p w14:paraId="02254382"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50</w:t>
            </w:r>
          </w:p>
        </w:tc>
      </w:tr>
      <w:tr w:rsidR="006F75A5" w:rsidRPr="006F75A5" w14:paraId="196A0231" w14:textId="77777777" w:rsidTr="008123A7">
        <w:trPr>
          <w:trHeight w:val="226"/>
        </w:trPr>
        <w:tc>
          <w:tcPr>
            <w:tcW w:w="1105" w:type="pct"/>
            <w:vAlign w:val="center"/>
            <w:hideMark/>
          </w:tcPr>
          <w:p w14:paraId="6D64C50B"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KHANYISELISIZWE SECONDARY SCHOOL</w:t>
            </w:r>
          </w:p>
        </w:tc>
        <w:tc>
          <w:tcPr>
            <w:tcW w:w="607" w:type="pct"/>
            <w:vAlign w:val="center"/>
            <w:hideMark/>
          </w:tcPr>
          <w:p w14:paraId="4DE822BE"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DoPW</w:t>
            </w:r>
          </w:p>
        </w:tc>
        <w:tc>
          <w:tcPr>
            <w:tcW w:w="817" w:type="pct"/>
            <w:vAlign w:val="center"/>
            <w:hideMark/>
          </w:tcPr>
          <w:p w14:paraId="5D89B4A7"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Upgrades and Additions</w:t>
            </w:r>
          </w:p>
        </w:tc>
        <w:tc>
          <w:tcPr>
            <w:tcW w:w="520" w:type="pct"/>
            <w:vAlign w:val="center"/>
            <w:hideMark/>
          </w:tcPr>
          <w:p w14:paraId="06E45E83"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2,000</w:t>
            </w:r>
          </w:p>
        </w:tc>
        <w:tc>
          <w:tcPr>
            <w:tcW w:w="521" w:type="pct"/>
            <w:vAlign w:val="center"/>
            <w:hideMark/>
          </w:tcPr>
          <w:p w14:paraId="020A7407"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0</w:t>
            </w:r>
          </w:p>
        </w:tc>
        <w:tc>
          <w:tcPr>
            <w:tcW w:w="447" w:type="pct"/>
            <w:vAlign w:val="center"/>
            <w:hideMark/>
          </w:tcPr>
          <w:p w14:paraId="6611D901"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600</w:t>
            </w:r>
          </w:p>
        </w:tc>
        <w:tc>
          <w:tcPr>
            <w:tcW w:w="521" w:type="pct"/>
            <w:vAlign w:val="center"/>
            <w:hideMark/>
          </w:tcPr>
          <w:p w14:paraId="55BED880"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0</w:t>
            </w:r>
          </w:p>
        </w:tc>
        <w:tc>
          <w:tcPr>
            <w:tcW w:w="462" w:type="pct"/>
            <w:vAlign w:val="center"/>
            <w:hideMark/>
          </w:tcPr>
          <w:p w14:paraId="15848EE1"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50</w:t>
            </w:r>
          </w:p>
        </w:tc>
      </w:tr>
      <w:tr w:rsidR="006F75A5" w:rsidRPr="006F75A5" w14:paraId="0F62D696" w14:textId="77777777" w:rsidTr="008123A7">
        <w:trPr>
          <w:trHeight w:val="226"/>
        </w:trPr>
        <w:tc>
          <w:tcPr>
            <w:tcW w:w="1105" w:type="pct"/>
            <w:vAlign w:val="center"/>
            <w:hideMark/>
          </w:tcPr>
          <w:p w14:paraId="12E2CAF9"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SIGANANDA PRIMARY SCHOOL</w:t>
            </w:r>
          </w:p>
        </w:tc>
        <w:tc>
          <w:tcPr>
            <w:tcW w:w="607" w:type="pct"/>
            <w:vAlign w:val="center"/>
            <w:hideMark/>
          </w:tcPr>
          <w:p w14:paraId="21917CA3"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DoPW</w:t>
            </w:r>
          </w:p>
        </w:tc>
        <w:tc>
          <w:tcPr>
            <w:tcW w:w="817" w:type="pct"/>
            <w:vAlign w:val="center"/>
            <w:hideMark/>
          </w:tcPr>
          <w:p w14:paraId="65674C4F"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Upgrades and Additions</w:t>
            </w:r>
          </w:p>
        </w:tc>
        <w:tc>
          <w:tcPr>
            <w:tcW w:w="520" w:type="pct"/>
            <w:vAlign w:val="center"/>
            <w:hideMark/>
          </w:tcPr>
          <w:p w14:paraId="46E75D66" w14:textId="77777777" w:rsidR="006F75A5" w:rsidRPr="006F75A5" w:rsidRDefault="006F75A5" w:rsidP="006F75A5">
            <w:pPr>
              <w:spacing w:after="0" w:line="240" w:lineRule="auto"/>
              <w:rPr>
                <w:rFonts w:eastAsia="Calibri" w:cs="Times New Roman"/>
                <w:sz w:val="18"/>
                <w:lang w:val="en-ZA"/>
              </w:rPr>
            </w:pPr>
            <w:r w:rsidRPr="006F75A5">
              <w:rPr>
                <w:rFonts w:eastAsia="Calibri" w:cs="Times New Roman"/>
                <w:sz w:val="18"/>
                <w:lang w:val="en-ZA"/>
              </w:rPr>
              <w:t>2,000</w:t>
            </w:r>
          </w:p>
        </w:tc>
        <w:tc>
          <w:tcPr>
            <w:tcW w:w="521" w:type="pct"/>
            <w:vAlign w:val="center"/>
            <w:hideMark/>
          </w:tcPr>
          <w:p w14:paraId="34F6DEB5"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0</w:t>
            </w:r>
          </w:p>
        </w:tc>
        <w:tc>
          <w:tcPr>
            <w:tcW w:w="447" w:type="pct"/>
            <w:vAlign w:val="center"/>
            <w:hideMark/>
          </w:tcPr>
          <w:p w14:paraId="7DCA989F"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600</w:t>
            </w:r>
          </w:p>
        </w:tc>
        <w:tc>
          <w:tcPr>
            <w:tcW w:w="521" w:type="pct"/>
            <w:vAlign w:val="center"/>
            <w:hideMark/>
          </w:tcPr>
          <w:p w14:paraId="604E07EB" w14:textId="77777777" w:rsidR="006F75A5" w:rsidRPr="006F75A5" w:rsidRDefault="006F75A5" w:rsidP="006F75A5">
            <w:pPr>
              <w:spacing w:after="0" w:line="240" w:lineRule="auto"/>
              <w:jc w:val="right"/>
              <w:rPr>
                <w:rFonts w:eastAsia="Times New Roman" w:cs="Times New Roman"/>
                <w:sz w:val="18"/>
                <w:szCs w:val="24"/>
                <w:lang w:val="en-ZA" w:eastAsia="en-ZA"/>
              </w:rPr>
            </w:pPr>
            <w:r w:rsidRPr="006F75A5">
              <w:rPr>
                <w:rFonts w:eastAsia="Times New Roman" w:cs="Times New Roman"/>
                <w:sz w:val="18"/>
                <w:szCs w:val="24"/>
                <w:lang w:val="en-ZA" w:eastAsia="en-ZA"/>
              </w:rPr>
              <w:t>0</w:t>
            </w:r>
          </w:p>
        </w:tc>
        <w:tc>
          <w:tcPr>
            <w:tcW w:w="462" w:type="pct"/>
            <w:vAlign w:val="center"/>
            <w:hideMark/>
          </w:tcPr>
          <w:p w14:paraId="2C929B76" w14:textId="77777777" w:rsidR="006F75A5" w:rsidRPr="006F75A5" w:rsidRDefault="006F75A5" w:rsidP="006F75A5">
            <w:pPr>
              <w:spacing w:after="0" w:line="240" w:lineRule="auto"/>
              <w:jc w:val="right"/>
              <w:rPr>
                <w:rFonts w:eastAsia="Times New Roman" w:cs="Times New Roman"/>
                <w:sz w:val="18"/>
                <w:szCs w:val="24"/>
                <w:lang w:val="en-ZA" w:eastAsia="en-ZA"/>
              </w:rPr>
            </w:pPr>
          </w:p>
        </w:tc>
      </w:tr>
    </w:tbl>
    <w:p w14:paraId="5DCEEE5D" w14:textId="77777777" w:rsidR="006F75A5" w:rsidRDefault="006F75A5" w:rsidP="006F75A5"/>
    <w:p w14:paraId="1107531D" w14:textId="77777777" w:rsidR="0087088B" w:rsidRDefault="0087088B" w:rsidP="006F75A5"/>
    <w:p w14:paraId="7CA48338" w14:textId="77777777" w:rsidR="0087088B" w:rsidRPr="006F75A5" w:rsidRDefault="0087088B" w:rsidP="006F75A5"/>
    <w:p w14:paraId="669B56A0" w14:textId="33043D19" w:rsidR="005272CD" w:rsidRPr="00236ABE" w:rsidRDefault="001D792E" w:rsidP="00236ABE">
      <w:pPr>
        <w:pStyle w:val="Heading3"/>
        <w:numPr>
          <w:ilvl w:val="2"/>
          <w:numId w:val="12"/>
        </w:numPr>
      </w:pPr>
      <w:bookmarkStart w:id="733" w:name="_Toc510706705"/>
      <w:r w:rsidRPr="00236ABE">
        <w:t>King Cetshwayo</w:t>
      </w:r>
      <w:r w:rsidR="005272CD" w:rsidRPr="00236ABE">
        <w:t xml:space="preserve"> DM: </w:t>
      </w:r>
      <w:r w:rsidR="008123A7">
        <w:t xml:space="preserve">Planned </w:t>
      </w:r>
      <w:r w:rsidR="005272CD" w:rsidRPr="00236ABE">
        <w:t>Water Projects</w:t>
      </w:r>
      <w:bookmarkEnd w:id="733"/>
    </w:p>
    <w:tbl>
      <w:tblPr>
        <w:tblStyle w:val="TableGrid13"/>
        <w:tblW w:w="5311" w:type="pct"/>
        <w:tblLook w:val="0420" w:firstRow="1" w:lastRow="0" w:firstColumn="0" w:lastColumn="0" w:noHBand="0" w:noVBand="1"/>
      </w:tblPr>
      <w:tblGrid>
        <w:gridCol w:w="1064"/>
        <w:gridCol w:w="904"/>
        <w:gridCol w:w="1881"/>
        <w:gridCol w:w="2055"/>
        <w:gridCol w:w="1473"/>
        <w:gridCol w:w="1312"/>
        <w:gridCol w:w="1221"/>
      </w:tblGrid>
      <w:tr w:rsidR="008123A7" w:rsidRPr="008123A7" w14:paraId="4E147450" w14:textId="77777777" w:rsidTr="008123A7">
        <w:trPr>
          <w:trHeight w:val="312"/>
        </w:trPr>
        <w:tc>
          <w:tcPr>
            <w:tcW w:w="537" w:type="pct"/>
            <w:shd w:val="clear" w:color="auto" w:fill="B6DDE8" w:themeFill="accent5" w:themeFillTint="66"/>
            <w:hideMark/>
          </w:tcPr>
          <w:p w14:paraId="445F2A6A" w14:textId="77777777" w:rsidR="008123A7" w:rsidRPr="008123A7" w:rsidRDefault="008123A7" w:rsidP="008123A7">
            <w:pPr>
              <w:rPr>
                <w:rFonts w:eastAsia="Calibri" w:cs="Times New Roman"/>
                <w:b/>
                <w:sz w:val="18"/>
                <w:szCs w:val="22"/>
                <w:lang w:val="en-ZA"/>
              </w:rPr>
            </w:pPr>
            <w:bookmarkStart w:id="734" w:name="_Toc327349414"/>
            <w:bookmarkStart w:id="735" w:name="_Toc291152625"/>
            <w:bookmarkStart w:id="736" w:name="_Toc389740149"/>
            <w:r w:rsidRPr="008123A7">
              <w:rPr>
                <w:rFonts w:eastAsia="Calibri" w:cs="Times New Roman"/>
                <w:b/>
                <w:sz w:val="18"/>
                <w:lang w:val="en-ZA"/>
              </w:rPr>
              <w:t>LM</w:t>
            </w:r>
          </w:p>
        </w:tc>
        <w:tc>
          <w:tcPr>
            <w:tcW w:w="456" w:type="pct"/>
            <w:shd w:val="clear" w:color="auto" w:fill="B6DDE8" w:themeFill="accent5" w:themeFillTint="66"/>
            <w:hideMark/>
          </w:tcPr>
          <w:p w14:paraId="11EAF13D" w14:textId="77777777" w:rsidR="008123A7" w:rsidRPr="008123A7" w:rsidRDefault="008123A7" w:rsidP="008123A7">
            <w:pPr>
              <w:rPr>
                <w:rFonts w:eastAsia="Calibri" w:cs="Times New Roman"/>
                <w:b/>
                <w:sz w:val="18"/>
                <w:szCs w:val="22"/>
                <w:lang w:val="en-ZA"/>
              </w:rPr>
            </w:pPr>
            <w:r w:rsidRPr="008123A7">
              <w:rPr>
                <w:rFonts w:eastAsia="Calibri" w:cs="Times New Roman"/>
                <w:b/>
                <w:sz w:val="18"/>
                <w:lang w:val="en-ZA"/>
              </w:rPr>
              <w:t>WARD</w:t>
            </w:r>
          </w:p>
        </w:tc>
        <w:tc>
          <w:tcPr>
            <w:tcW w:w="949" w:type="pct"/>
            <w:shd w:val="clear" w:color="auto" w:fill="B6DDE8" w:themeFill="accent5" w:themeFillTint="66"/>
            <w:hideMark/>
          </w:tcPr>
          <w:p w14:paraId="7D3564A2" w14:textId="77777777" w:rsidR="008123A7" w:rsidRPr="008123A7" w:rsidRDefault="008123A7" w:rsidP="008123A7">
            <w:pPr>
              <w:rPr>
                <w:rFonts w:eastAsia="Calibri" w:cs="Times New Roman"/>
                <w:b/>
                <w:sz w:val="18"/>
                <w:szCs w:val="22"/>
                <w:lang w:val="en-ZA"/>
              </w:rPr>
            </w:pPr>
            <w:r w:rsidRPr="008123A7">
              <w:rPr>
                <w:rFonts w:eastAsia="Calibri" w:cs="Times New Roman"/>
                <w:b/>
                <w:sz w:val="18"/>
                <w:lang w:val="en-ZA"/>
              </w:rPr>
              <w:t>PROJECT NAME</w:t>
            </w:r>
          </w:p>
        </w:tc>
        <w:tc>
          <w:tcPr>
            <w:tcW w:w="1037" w:type="pct"/>
            <w:shd w:val="clear" w:color="auto" w:fill="B6DDE8" w:themeFill="accent5" w:themeFillTint="66"/>
            <w:hideMark/>
          </w:tcPr>
          <w:p w14:paraId="046292E4" w14:textId="77777777" w:rsidR="008123A7" w:rsidRPr="008123A7" w:rsidRDefault="008123A7" w:rsidP="008123A7">
            <w:pPr>
              <w:rPr>
                <w:rFonts w:eastAsia="Calibri" w:cs="Times New Roman"/>
                <w:b/>
                <w:sz w:val="18"/>
                <w:szCs w:val="22"/>
                <w:lang w:val="en-ZA"/>
              </w:rPr>
            </w:pPr>
            <w:r w:rsidRPr="008123A7">
              <w:rPr>
                <w:rFonts w:eastAsia="Calibri" w:cs="Times New Roman"/>
                <w:b/>
                <w:sz w:val="18"/>
                <w:lang w:val="en-ZA"/>
              </w:rPr>
              <w:t>DESCRIPTION</w:t>
            </w:r>
          </w:p>
        </w:tc>
        <w:tc>
          <w:tcPr>
            <w:tcW w:w="743" w:type="pct"/>
            <w:shd w:val="clear" w:color="auto" w:fill="B6DDE8" w:themeFill="accent5" w:themeFillTint="66"/>
            <w:hideMark/>
          </w:tcPr>
          <w:p w14:paraId="54A9E801" w14:textId="77777777" w:rsidR="008123A7" w:rsidRPr="008123A7" w:rsidRDefault="008123A7" w:rsidP="008123A7">
            <w:pPr>
              <w:rPr>
                <w:rFonts w:eastAsia="Calibri" w:cs="Times New Roman"/>
                <w:b/>
                <w:sz w:val="18"/>
                <w:szCs w:val="22"/>
                <w:lang w:val="en-ZA"/>
              </w:rPr>
            </w:pPr>
            <w:r w:rsidRPr="008123A7">
              <w:rPr>
                <w:rFonts w:eastAsia="Calibri" w:cs="Times New Roman"/>
                <w:b/>
                <w:sz w:val="18"/>
                <w:lang w:val="en-ZA"/>
              </w:rPr>
              <w:t>STATUS</w:t>
            </w:r>
          </w:p>
        </w:tc>
        <w:tc>
          <w:tcPr>
            <w:tcW w:w="662" w:type="pct"/>
            <w:shd w:val="clear" w:color="auto" w:fill="B6DDE8" w:themeFill="accent5" w:themeFillTint="66"/>
            <w:hideMark/>
          </w:tcPr>
          <w:p w14:paraId="15364A87" w14:textId="77777777" w:rsidR="008123A7" w:rsidRPr="008123A7" w:rsidRDefault="008123A7" w:rsidP="008123A7">
            <w:pPr>
              <w:rPr>
                <w:rFonts w:eastAsia="Calibri" w:cs="Times New Roman"/>
                <w:b/>
                <w:sz w:val="18"/>
                <w:szCs w:val="22"/>
                <w:lang w:val="en-ZA"/>
              </w:rPr>
            </w:pPr>
            <w:r w:rsidRPr="008123A7">
              <w:rPr>
                <w:rFonts w:eastAsia="Calibri" w:cs="Times New Roman"/>
                <w:b/>
                <w:sz w:val="18"/>
                <w:lang w:val="en-ZA"/>
              </w:rPr>
              <w:t>Estimated budget</w:t>
            </w:r>
          </w:p>
        </w:tc>
        <w:tc>
          <w:tcPr>
            <w:tcW w:w="616" w:type="pct"/>
            <w:shd w:val="clear" w:color="auto" w:fill="B6DDE8" w:themeFill="accent5" w:themeFillTint="66"/>
            <w:hideMark/>
          </w:tcPr>
          <w:p w14:paraId="5ED5E08D" w14:textId="77777777" w:rsidR="008123A7" w:rsidRPr="008123A7" w:rsidRDefault="008123A7" w:rsidP="008123A7">
            <w:pPr>
              <w:rPr>
                <w:rFonts w:eastAsia="Calibri" w:cs="Times New Roman"/>
                <w:b/>
                <w:sz w:val="18"/>
                <w:szCs w:val="22"/>
                <w:lang w:val="en-ZA"/>
              </w:rPr>
            </w:pPr>
            <w:r w:rsidRPr="008123A7">
              <w:rPr>
                <w:rFonts w:eastAsia="Calibri" w:cs="Times New Roman"/>
                <w:b/>
                <w:sz w:val="18"/>
                <w:lang w:val="en-ZA"/>
              </w:rPr>
              <w:t>Completion Date</w:t>
            </w:r>
          </w:p>
        </w:tc>
      </w:tr>
      <w:tr w:rsidR="008123A7" w:rsidRPr="008123A7" w14:paraId="536A51A3" w14:textId="77777777" w:rsidTr="008123A7">
        <w:trPr>
          <w:trHeight w:val="237"/>
        </w:trPr>
        <w:tc>
          <w:tcPr>
            <w:tcW w:w="537" w:type="pct"/>
            <w:hideMark/>
          </w:tcPr>
          <w:p w14:paraId="01BEFAE8" w14:textId="77777777" w:rsidR="008123A7" w:rsidRPr="008123A7" w:rsidRDefault="008123A7" w:rsidP="008123A7">
            <w:pPr>
              <w:rPr>
                <w:rFonts w:eastAsia="Calibri" w:cs="Times New Roman"/>
                <w:sz w:val="18"/>
                <w:szCs w:val="22"/>
                <w:lang w:val="en-ZA"/>
              </w:rPr>
            </w:pPr>
            <w:r w:rsidRPr="008123A7">
              <w:rPr>
                <w:rFonts w:eastAsia="Calibri" w:cs="Times New Roman"/>
                <w:sz w:val="18"/>
                <w:lang w:val="en-ZA"/>
              </w:rPr>
              <w:t>uMlalazi LM</w:t>
            </w:r>
          </w:p>
        </w:tc>
        <w:tc>
          <w:tcPr>
            <w:tcW w:w="456" w:type="pct"/>
            <w:hideMark/>
          </w:tcPr>
          <w:p w14:paraId="16AC4198" w14:textId="77777777" w:rsidR="008123A7" w:rsidRPr="008123A7" w:rsidRDefault="008123A7" w:rsidP="008123A7">
            <w:pPr>
              <w:rPr>
                <w:rFonts w:eastAsia="Calibri" w:cs="Times New Roman"/>
                <w:sz w:val="18"/>
                <w:szCs w:val="22"/>
                <w:lang w:val="en-ZA"/>
              </w:rPr>
            </w:pPr>
            <w:r w:rsidRPr="008123A7">
              <w:rPr>
                <w:rFonts w:eastAsia="Calibri" w:cs="Times New Roman"/>
                <w:sz w:val="18"/>
                <w:lang w:val="en-ZA"/>
              </w:rPr>
              <w:t>21,22-23,</w:t>
            </w:r>
          </w:p>
        </w:tc>
        <w:tc>
          <w:tcPr>
            <w:tcW w:w="949" w:type="pct"/>
            <w:hideMark/>
          </w:tcPr>
          <w:p w14:paraId="695D173F" w14:textId="77777777" w:rsidR="008123A7" w:rsidRPr="008123A7" w:rsidRDefault="008123A7" w:rsidP="008123A7">
            <w:pPr>
              <w:rPr>
                <w:rFonts w:eastAsia="Calibri" w:cs="Times New Roman"/>
                <w:sz w:val="18"/>
                <w:szCs w:val="22"/>
                <w:lang w:val="en-ZA"/>
              </w:rPr>
            </w:pPr>
            <w:r w:rsidRPr="008123A7">
              <w:rPr>
                <w:rFonts w:eastAsia="Calibri" w:cs="Times New Roman"/>
                <w:sz w:val="18"/>
                <w:lang w:val="en-ZA"/>
              </w:rPr>
              <w:t>Kwa-HLOKOHLOKO SSA5</w:t>
            </w:r>
          </w:p>
        </w:tc>
        <w:tc>
          <w:tcPr>
            <w:tcW w:w="1037" w:type="pct"/>
            <w:hideMark/>
          </w:tcPr>
          <w:p w14:paraId="3351B11E" w14:textId="77777777" w:rsidR="008123A7" w:rsidRPr="008123A7" w:rsidRDefault="008123A7" w:rsidP="008123A7">
            <w:pPr>
              <w:rPr>
                <w:rFonts w:eastAsia="Calibri" w:cs="Times New Roman"/>
                <w:sz w:val="18"/>
                <w:szCs w:val="22"/>
                <w:lang w:val="en-ZA"/>
              </w:rPr>
            </w:pPr>
            <w:r w:rsidRPr="008123A7">
              <w:rPr>
                <w:rFonts w:eastAsia="Calibri" w:cs="Times New Roman"/>
                <w:sz w:val="18"/>
                <w:lang w:val="en-ZA"/>
              </w:rPr>
              <w:t>Kwa-HLOKOHLOKO SSA5, Phase 02 Bulk. Pipelines</w:t>
            </w:r>
          </w:p>
        </w:tc>
        <w:tc>
          <w:tcPr>
            <w:tcW w:w="743" w:type="pct"/>
            <w:hideMark/>
          </w:tcPr>
          <w:p w14:paraId="60048E95" w14:textId="77777777" w:rsidR="008123A7" w:rsidRPr="008123A7" w:rsidRDefault="008123A7" w:rsidP="008123A7">
            <w:pPr>
              <w:rPr>
                <w:rFonts w:eastAsia="Calibri" w:cs="Times New Roman"/>
                <w:sz w:val="18"/>
                <w:szCs w:val="22"/>
                <w:lang w:val="en-ZA"/>
              </w:rPr>
            </w:pPr>
            <w:r w:rsidRPr="008123A7">
              <w:rPr>
                <w:rFonts w:eastAsia="Calibri" w:cs="Times New Roman"/>
                <w:sz w:val="18"/>
                <w:lang w:val="en-ZA"/>
              </w:rPr>
              <w:t>BEC Committee</w:t>
            </w:r>
          </w:p>
        </w:tc>
        <w:tc>
          <w:tcPr>
            <w:tcW w:w="662" w:type="pct"/>
            <w:hideMark/>
          </w:tcPr>
          <w:p w14:paraId="29DEDD4C" w14:textId="77777777" w:rsidR="008123A7" w:rsidRPr="008123A7" w:rsidRDefault="008123A7" w:rsidP="008123A7">
            <w:pPr>
              <w:rPr>
                <w:rFonts w:eastAsia="Calibri" w:cs="Times New Roman"/>
                <w:sz w:val="18"/>
                <w:szCs w:val="22"/>
                <w:lang w:val="en-ZA"/>
              </w:rPr>
            </w:pPr>
            <w:r w:rsidRPr="008123A7">
              <w:rPr>
                <w:rFonts w:eastAsia="Calibri" w:cs="Times New Roman"/>
                <w:sz w:val="18"/>
                <w:lang w:val="en-ZA"/>
              </w:rPr>
              <w:t>R 37 000 000</w:t>
            </w:r>
          </w:p>
        </w:tc>
        <w:tc>
          <w:tcPr>
            <w:tcW w:w="616" w:type="pct"/>
            <w:hideMark/>
          </w:tcPr>
          <w:p w14:paraId="65DC670D" w14:textId="77777777" w:rsidR="008123A7" w:rsidRPr="008123A7" w:rsidRDefault="008123A7" w:rsidP="008123A7">
            <w:pPr>
              <w:rPr>
                <w:rFonts w:eastAsia="Calibri" w:cs="Times New Roman"/>
                <w:sz w:val="18"/>
                <w:szCs w:val="22"/>
                <w:lang w:val="en-ZA"/>
              </w:rPr>
            </w:pPr>
            <w:r w:rsidRPr="008123A7">
              <w:rPr>
                <w:rFonts w:eastAsia="Calibri" w:cs="Times New Roman"/>
                <w:sz w:val="18"/>
                <w:lang w:val="en-ZA"/>
              </w:rPr>
              <w:t>Dec 2018</w:t>
            </w:r>
          </w:p>
        </w:tc>
      </w:tr>
      <w:tr w:rsidR="008123A7" w:rsidRPr="008123A7" w14:paraId="5E93C2CC" w14:textId="77777777" w:rsidTr="008123A7">
        <w:trPr>
          <w:trHeight w:val="258"/>
        </w:trPr>
        <w:tc>
          <w:tcPr>
            <w:tcW w:w="537" w:type="pct"/>
            <w:hideMark/>
          </w:tcPr>
          <w:p w14:paraId="30CAB3FB" w14:textId="77777777" w:rsidR="008123A7" w:rsidRPr="008123A7" w:rsidRDefault="008123A7" w:rsidP="008123A7">
            <w:pPr>
              <w:rPr>
                <w:rFonts w:eastAsia="Calibri" w:cs="Times New Roman"/>
                <w:sz w:val="18"/>
                <w:szCs w:val="22"/>
                <w:lang w:val="en-ZA"/>
              </w:rPr>
            </w:pPr>
            <w:r w:rsidRPr="008123A7">
              <w:rPr>
                <w:rFonts w:eastAsia="Calibri" w:cs="Times New Roman"/>
                <w:sz w:val="18"/>
                <w:lang w:val="en-ZA"/>
              </w:rPr>
              <w:t>uMlalazi</w:t>
            </w:r>
          </w:p>
          <w:p w14:paraId="6B676EE3" w14:textId="77777777" w:rsidR="008123A7" w:rsidRPr="008123A7" w:rsidRDefault="008123A7" w:rsidP="008123A7">
            <w:pPr>
              <w:rPr>
                <w:rFonts w:eastAsia="Calibri" w:cs="Times New Roman"/>
                <w:sz w:val="18"/>
                <w:szCs w:val="22"/>
                <w:lang w:val="en-ZA"/>
              </w:rPr>
            </w:pPr>
            <w:r w:rsidRPr="008123A7">
              <w:rPr>
                <w:rFonts w:eastAsia="Calibri" w:cs="Times New Roman"/>
                <w:sz w:val="18"/>
                <w:lang w:val="en-ZA"/>
              </w:rPr>
              <w:t>LM</w:t>
            </w:r>
          </w:p>
        </w:tc>
        <w:tc>
          <w:tcPr>
            <w:tcW w:w="456" w:type="pct"/>
            <w:hideMark/>
          </w:tcPr>
          <w:p w14:paraId="7A15D7F9" w14:textId="77777777" w:rsidR="008123A7" w:rsidRPr="008123A7" w:rsidRDefault="008123A7" w:rsidP="008123A7">
            <w:pPr>
              <w:rPr>
                <w:rFonts w:eastAsia="Calibri" w:cs="Times New Roman"/>
                <w:sz w:val="18"/>
                <w:szCs w:val="22"/>
                <w:lang w:val="en-ZA"/>
              </w:rPr>
            </w:pPr>
            <w:r w:rsidRPr="008123A7">
              <w:rPr>
                <w:rFonts w:eastAsia="Calibri" w:cs="Times New Roman"/>
                <w:sz w:val="18"/>
                <w:lang w:val="en-ZA"/>
              </w:rPr>
              <w:t>13</w:t>
            </w:r>
          </w:p>
        </w:tc>
        <w:tc>
          <w:tcPr>
            <w:tcW w:w="949" w:type="pct"/>
            <w:hideMark/>
          </w:tcPr>
          <w:p w14:paraId="330B5FAC" w14:textId="77777777" w:rsidR="008123A7" w:rsidRPr="008123A7" w:rsidRDefault="008123A7" w:rsidP="008123A7">
            <w:pPr>
              <w:rPr>
                <w:rFonts w:eastAsia="Calibri" w:cs="Times New Roman"/>
                <w:sz w:val="18"/>
                <w:szCs w:val="22"/>
                <w:lang w:val="en-ZA"/>
              </w:rPr>
            </w:pPr>
            <w:r w:rsidRPr="008123A7">
              <w:rPr>
                <w:rFonts w:eastAsia="Calibri" w:cs="Times New Roman"/>
                <w:sz w:val="18"/>
                <w:lang w:val="en-ZA"/>
              </w:rPr>
              <w:t>Eshowe SS1</w:t>
            </w:r>
          </w:p>
        </w:tc>
        <w:tc>
          <w:tcPr>
            <w:tcW w:w="1037" w:type="pct"/>
            <w:hideMark/>
          </w:tcPr>
          <w:p w14:paraId="566218D5" w14:textId="77777777" w:rsidR="008123A7" w:rsidRPr="008123A7" w:rsidRDefault="008123A7" w:rsidP="008123A7">
            <w:pPr>
              <w:rPr>
                <w:rFonts w:eastAsia="Calibri" w:cs="Times New Roman"/>
                <w:sz w:val="18"/>
                <w:szCs w:val="22"/>
                <w:lang w:val="en-ZA"/>
              </w:rPr>
            </w:pPr>
            <w:r w:rsidRPr="008123A7">
              <w:rPr>
                <w:rFonts w:eastAsia="Calibri" w:cs="Times New Roman"/>
                <w:sz w:val="18"/>
                <w:lang w:val="en-ZA"/>
              </w:rPr>
              <w:t>Construction of 2x8ML reservoirs</w:t>
            </w:r>
          </w:p>
        </w:tc>
        <w:tc>
          <w:tcPr>
            <w:tcW w:w="743" w:type="pct"/>
            <w:hideMark/>
          </w:tcPr>
          <w:p w14:paraId="0C5F8AEF" w14:textId="77777777" w:rsidR="008123A7" w:rsidRPr="008123A7" w:rsidRDefault="008123A7" w:rsidP="008123A7">
            <w:pPr>
              <w:rPr>
                <w:rFonts w:eastAsia="Calibri" w:cs="Times New Roman"/>
                <w:sz w:val="18"/>
                <w:szCs w:val="22"/>
                <w:lang w:val="en-ZA"/>
              </w:rPr>
            </w:pPr>
            <w:r w:rsidRPr="008123A7">
              <w:rPr>
                <w:rFonts w:eastAsia="Calibri" w:cs="Times New Roman"/>
                <w:sz w:val="18"/>
                <w:lang w:val="en-ZA"/>
              </w:rPr>
              <w:t>Design stage</w:t>
            </w:r>
          </w:p>
        </w:tc>
        <w:tc>
          <w:tcPr>
            <w:tcW w:w="662" w:type="pct"/>
            <w:hideMark/>
          </w:tcPr>
          <w:p w14:paraId="4861A759" w14:textId="77777777" w:rsidR="008123A7" w:rsidRPr="008123A7" w:rsidRDefault="008123A7" w:rsidP="008123A7">
            <w:pPr>
              <w:rPr>
                <w:rFonts w:eastAsia="Calibri" w:cs="Times New Roman"/>
                <w:sz w:val="18"/>
                <w:szCs w:val="22"/>
                <w:lang w:val="en-ZA"/>
              </w:rPr>
            </w:pPr>
            <w:r w:rsidRPr="008123A7">
              <w:rPr>
                <w:rFonts w:eastAsia="Calibri" w:cs="Times New Roman"/>
                <w:sz w:val="18"/>
                <w:lang w:val="en-ZA"/>
              </w:rPr>
              <w:t>R 11 500 000</w:t>
            </w:r>
          </w:p>
        </w:tc>
        <w:tc>
          <w:tcPr>
            <w:tcW w:w="616" w:type="pct"/>
            <w:hideMark/>
          </w:tcPr>
          <w:p w14:paraId="655DE7D5" w14:textId="77777777" w:rsidR="008123A7" w:rsidRPr="008123A7" w:rsidRDefault="008123A7" w:rsidP="008123A7">
            <w:pPr>
              <w:rPr>
                <w:rFonts w:eastAsia="Calibri" w:cs="Times New Roman"/>
                <w:sz w:val="18"/>
                <w:szCs w:val="22"/>
                <w:lang w:val="en-ZA"/>
              </w:rPr>
            </w:pPr>
            <w:r w:rsidRPr="008123A7">
              <w:rPr>
                <w:rFonts w:eastAsia="Calibri" w:cs="Times New Roman"/>
                <w:sz w:val="18"/>
                <w:lang w:val="en-ZA"/>
              </w:rPr>
              <w:t>Jan 2019</w:t>
            </w:r>
          </w:p>
        </w:tc>
      </w:tr>
      <w:tr w:rsidR="008123A7" w:rsidRPr="008123A7" w14:paraId="2B128C82" w14:textId="77777777" w:rsidTr="008123A7">
        <w:trPr>
          <w:trHeight w:val="250"/>
        </w:trPr>
        <w:tc>
          <w:tcPr>
            <w:tcW w:w="537" w:type="pct"/>
            <w:hideMark/>
          </w:tcPr>
          <w:p w14:paraId="65A505F1" w14:textId="77777777" w:rsidR="008123A7" w:rsidRPr="008123A7" w:rsidRDefault="008123A7" w:rsidP="008123A7">
            <w:pPr>
              <w:rPr>
                <w:rFonts w:eastAsia="Calibri" w:cs="Times New Roman"/>
                <w:sz w:val="18"/>
                <w:szCs w:val="22"/>
                <w:lang w:val="en-ZA"/>
              </w:rPr>
            </w:pPr>
            <w:r w:rsidRPr="008123A7">
              <w:rPr>
                <w:rFonts w:eastAsia="Calibri" w:cs="Times New Roman"/>
                <w:sz w:val="18"/>
                <w:lang w:val="en-ZA"/>
              </w:rPr>
              <w:t>uMlalazi LM</w:t>
            </w:r>
          </w:p>
        </w:tc>
        <w:tc>
          <w:tcPr>
            <w:tcW w:w="456" w:type="pct"/>
            <w:hideMark/>
          </w:tcPr>
          <w:p w14:paraId="06E1D5BB" w14:textId="77777777" w:rsidR="008123A7" w:rsidRPr="008123A7" w:rsidRDefault="008123A7" w:rsidP="008123A7">
            <w:pPr>
              <w:rPr>
                <w:rFonts w:eastAsia="Calibri" w:cs="Times New Roman"/>
                <w:sz w:val="18"/>
                <w:szCs w:val="22"/>
                <w:lang w:val="en-ZA"/>
              </w:rPr>
            </w:pPr>
            <w:r w:rsidRPr="008123A7">
              <w:rPr>
                <w:rFonts w:eastAsia="Calibri" w:cs="Times New Roman"/>
                <w:sz w:val="18"/>
                <w:lang w:val="en-ZA"/>
              </w:rPr>
              <w:t>9 &amp; 27</w:t>
            </w:r>
          </w:p>
        </w:tc>
        <w:tc>
          <w:tcPr>
            <w:tcW w:w="949" w:type="pct"/>
            <w:hideMark/>
          </w:tcPr>
          <w:p w14:paraId="20D11EFB" w14:textId="77777777" w:rsidR="008123A7" w:rsidRPr="008123A7" w:rsidRDefault="008123A7" w:rsidP="008123A7">
            <w:pPr>
              <w:rPr>
                <w:rFonts w:eastAsia="Calibri" w:cs="Times New Roman"/>
                <w:sz w:val="18"/>
                <w:szCs w:val="22"/>
                <w:lang w:val="en-ZA"/>
              </w:rPr>
            </w:pPr>
            <w:r w:rsidRPr="008123A7">
              <w:rPr>
                <w:rFonts w:eastAsia="Calibri" w:cs="Times New Roman"/>
                <w:sz w:val="18"/>
                <w:lang w:val="en-ZA"/>
              </w:rPr>
              <w:t>Kwahlokohloko SSA 1</w:t>
            </w:r>
          </w:p>
        </w:tc>
        <w:tc>
          <w:tcPr>
            <w:tcW w:w="1037" w:type="pct"/>
            <w:hideMark/>
          </w:tcPr>
          <w:p w14:paraId="119E57EE" w14:textId="77777777" w:rsidR="008123A7" w:rsidRPr="008123A7" w:rsidRDefault="008123A7" w:rsidP="008123A7">
            <w:pPr>
              <w:rPr>
                <w:rFonts w:eastAsia="Calibri" w:cs="Times New Roman"/>
                <w:sz w:val="18"/>
                <w:szCs w:val="22"/>
                <w:lang w:val="en-ZA"/>
              </w:rPr>
            </w:pPr>
            <w:r w:rsidRPr="008123A7">
              <w:rPr>
                <w:rFonts w:eastAsia="Calibri" w:cs="Times New Roman"/>
                <w:sz w:val="18"/>
                <w:lang w:val="en-ZA"/>
              </w:rPr>
              <w:t>Mechanical &amp; Electrical Work</w:t>
            </w:r>
          </w:p>
        </w:tc>
        <w:tc>
          <w:tcPr>
            <w:tcW w:w="743" w:type="pct"/>
            <w:hideMark/>
          </w:tcPr>
          <w:p w14:paraId="02A009A6" w14:textId="77777777" w:rsidR="008123A7" w:rsidRPr="008123A7" w:rsidRDefault="008123A7" w:rsidP="008123A7">
            <w:pPr>
              <w:rPr>
                <w:rFonts w:eastAsia="Calibri" w:cs="Times New Roman"/>
                <w:sz w:val="18"/>
                <w:szCs w:val="22"/>
                <w:lang w:val="en-ZA"/>
              </w:rPr>
            </w:pPr>
            <w:r w:rsidRPr="008123A7">
              <w:rPr>
                <w:rFonts w:eastAsia="Calibri" w:cs="Times New Roman"/>
                <w:sz w:val="18"/>
                <w:lang w:val="en-ZA"/>
              </w:rPr>
              <w:t>Tender</w:t>
            </w:r>
          </w:p>
        </w:tc>
        <w:tc>
          <w:tcPr>
            <w:tcW w:w="662" w:type="pct"/>
            <w:hideMark/>
          </w:tcPr>
          <w:p w14:paraId="509EE405" w14:textId="77777777" w:rsidR="008123A7" w:rsidRPr="008123A7" w:rsidRDefault="008123A7" w:rsidP="008123A7">
            <w:pPr>
              <w:rPr>
                <w:rFonts w:eastAsia="Calibri" w:cs="Times New Roman"/>
                <w:sz w:val="18"/>
                <w:szCs w:val="22"/>
                <w:lang w:val="en-ZA"/>
              </w:rPr>
            </w:pPr>
            <w:r w:rsidRPr="008123A7">
              <w:rPr>
                <w:rFonts w:eastAsia="Calibri" w:cs="Times New Roman"/>
                <w:sz w:val="18"/>
                <w:lang w:val="en-ZA"/>
              </w:rPr>
              <w:t>R 141 456 258</w:t>
            </w:r>
          </w:p>
        </w:tc>
        <w:tc>
          <w:tcPr>
            <w:tcW w:w="616" w:type="pct"/>
            <w:hideMark/>
          </w:tcPr>
          <w:p w14:paraId="7A9E6EEE" w14:textId="77777777" w:rsidR="008123A7" w:rsidRPr="008123A7" w:rsidRDefault="008123A7" w:rsidP="008123A7">
            <w:pPr>
              <w:rPr>
                <w:rFonts w:eastAsia="Calibri" w:cs="Times New Roman"/>
                <w:sz w:val="18"/>
                <w:szCs w:val="22"/>
                <w:lang w:val="en-ZA"/>
              </w:rPr>
            </w:pPr>
            <w:r w:rsidRPr="008123A7">
              <w:rPr>
                <w:rFonts w:eastAsia="Calibri" w:cs="Times New Roman"/>
                <w:sz w:val="18"/>
                <w:lang w:val="en-ZA"/>
              </w:rPr>
              <w:t>Jan 2020</w:t>
            </w:r>
          </w:p>
        </w:tc>
      </w:tr>
    </w:tbl>
    <w:p w14:paraId="3566ADEE" w14:textId="6F6C55C7" w:rsidR="00BB5C77" w:rsidRDefault="008123A7" w:rsidP="008123A7">
      <w:pPr>
        <w:pStyle w:val="Heading3"/>
        <w:numPr>
          <w:ilvl w:val="3"/>
          <w:numId w:val="12"/>
        </w:numPr>
      </w:pPr>
      <w:bookmarkStart w:id="737" w:name="_Toc510706706"/>
      <w:r>
        <w:t>KCDM Projects Due for Completion</w:t>
      </w:r>
      <w:bookmarkEnd w:id="737"/>
    </w:p>
    <w:tbl>
      <w:tblPr>
        <w:tblStyle w:val="TableGrid13"/>
        <w:tblW w:w="5311" w:type="pct"/>
        <w:tblLook w:val="0420" w:firstRow="1" w:lastRow="0" w:firstColumn="0" w:lastColumn="0" w:noHBand="0" w:noVBand="1"/>
      </w:tblPr>
      <w:tblGrid>
        <w:gridCol w:w="1188"/>
        <w:gridCol w:w="1023"/>
        <w:gridCol w:w="1925"/>
        <w:gridCol w:w="1790"/>
        <w:gridCol w:w="1354"/>
        <w:gridCol w:w="1443"/>
        <w:gridCol w:w="1187"/>
      </w:tblGrid>
      <w:tr w:rsidR="008123A7" w:rsidRPr="008123A7" w14:paraId="3230E4FD" w14:textId="77777777" w:rsidTr="008123A7">
        <w:trPr>
          <w:trHeight w:val="297"/>
        </w:trPr>
        <w:tc>
          <w:tcPr>
            <w:tcW w:w="599" w:type="pct"/>
            <w:shd w:val="clear" w:color="auto" w:fill="B6DDE8" w:themeFill="accent5" w:themeFillTint="66"/>
            <w:hideMark/>
          </w:tcPr>
          <w:p w14:paraId="33DFA449" w14:textId="77777777" w:rsidR="008123A7" w:rsidRPr="008123A7" w:rsidRDefault="008123A7" w:rsidP="008123A7">
            <w:pPr>
              <w:rPr>
                <w:rFonts w:eastAsia="Calibri" w:cs="Times New Roman"/>
                <w:b/>
                <w:sz w:val="18"/>
                <w:lang w:val="en-ZA"/>
              </w:rPr>
            </w:pPr>
            <w:r w:rsidRPr="008123A7">
              <w:rPr>
                <w:rFonts w:eastAsia="Calibri" w:cs="Times New Roman"/>
                <w:b/>
                <w:sz w:val="18"/>
                <w:lang w:val="en-ZA"/>
              </w:rPr>
              <w:t>LM</w:t>
            </w:r>
          </w:p>
        </w:tc>
        <w:tc>
          <w:tcPr>
            <w:tcW w:w="516" w:type="pct"/>
            <w:shd w:val="clear" w:color="auto" w:fill="B6DDE8" w:themeFill="accent5" w:themeFillTint="66"/>
            <w:hideMark/>
          </w:tcPr>
          <w:p w14:paraId="25AE4778" w14:textId="77777777" w:rsidR="008123A7" w:rsidRPr="008123A7" w:rsidRDefault="008123A7" w:rsidP="008123A7">
            <w:pPr>
              <w:rPr>
                <w:rFonts w:eastAsia="Calibri" w:cs="Times New Roman"/>
                <w:b/>
                <w:sz w:val="18"/>
                <w:lang w:val="en-ZA"/>
              </w:rPr>
            </w:pPr>
            <w:r w:rsidRPr="008123A7">
              <w:rPr>
                <w:rFonts w:eastAsia="Calibri" w:cs="Times New Roman"/>
                <w:b/>
                <w:sz w:val="18"/>
                <w:lang w:val="en-ZA"/>
              </w:rPr>
              <w:t>WARD</w:t>
            </w:r>
          </w:p>
        </w:tc>
        <w:tc>
          <w:tcPr>
            <w:tcW w:w="971" w:type="pct"/>
            <w:shd w:val="clear" w:color="auto" w:fill="B6DDE8" w:themeFill="accent5" w:themeFillTint="66"/>
            <w:hideMark/>
          </w:tcPr>
          <w:p w14:paraId="29F8989B" w14:textId="77777777" w:rsidR="008123A7" w:rsidRPr="008123A7" w:rsidRDefault="008123A7" w:rsidP="008123A7">
            <w:pPr>
              <w:rPr>
                <w:rFonts w:eastAsia="Calibri" w:cs="Times New Roman"/>
                <w:b/>
                <w:sz w:val="18"/>
                <w:lang w:val="en-ZA"/>
              </w:rPr>
            </w:pPr>
            <w:r w:rsidRPr="008123A7">
              <w:rPr>
                <w:rFonts w:eastAsia="Calibri" w:cs="Times New Roman"/>
                <w:b/>
                <w:sz w:val="18"/>
                <w:lang w:val="en-ZA"/>
              </w:rPr>
              <w:t>PROJECT NAME</w:t>
            </w:r>
          </w:p>
        </w:tc>
        <w:tc>
          <w:tcPr>
            <w:tcW w:w="903" w:type="pct"/>
            <w:shd w:val="clear" w:color="auto" w:fill="B6DDE8" w:themeFill="accent5" w:themeFillTint="66"/>
            <w:hideMark/>
          </w:tcPr>
          <w:p w14:paraId="41033183" w14:textId="77777777" w:rsidR="008123A7" w:rsidRPr="008123A7" w:rsidRDefault="008123A7" w:rsidP="008123A7">
            <w:pPr>
              <w:rPr>
                <w:rFonts w:eastAsia="Calibri" w:cs="Times New Roman"/>
                <w:b/>
                <w:sz w:val="18"/>
                <w:lang w:val="en-ZA"/>
              </w:rPr>
            </w:pPr>
            <w:r w:rsidRPr="008123A7">
              <w:rPr>
                <w:rFonts w:eastAsia="Calibri" w:cs="Times New Roman"/>
                <w:b/>
                <w:sz w:val="18"/>
                <w:lang w:val="en-ZA"/>
              </w:rPr>
              <w:t>DESCRIPTION</w:t>
            </w:r>
          </w:p>
        </w:tc>
        <w:tc>
          <w:tcPr>
            <w:tcW w:w="683" w:type="pct"/>
            <w:shd w:val="clear" w:color="auto" w:fill="B6DDE8" w:themeFill="accent5" w:themeFillTint="66"/>
            <w:hideMark/>
          </w:tcPr>
          <w:p w14:paraId="328F3D74" w14:textId="77777777" w:rsidR="008123A7" w:rsidRPr="008123A7" w:rsidRDefault="008123A7" w:rsidP="008123A7">
            <w:pPr>
              <w:rPr>
                <w:rFonts w:eastAsia="Calibri" w:cs="Times New Roman"/>
                <w:b/>
                <w:sz w:val="18"/>
                <w:lang w:val="en-ZA"/>
              </w:rPr>
            </w:pPr>
            <w:r w:rsidRPr="008123A7">
              <w:rPr>
                <w:rFonts w:eastAsia="Calibri" w:cs="Times New Roman"/>
                <w:b/>
                <w:sz w:val="18"/>
                <w:lang w:val="en-ZA"/>
              </w:rPr>
              <w:t>STATUS</w:t>
            </w:r>
          </w:p>
        </w:tc>
        <w:tc>
          <w:tcPr>
            <w:tcW w:w="728" w:type="pct"/>
            <w:shd w:val="clear" w:color="auto" w:fill="B6DDE8" w:themeFill="accent5" w:themeFillTint="66"/>
            <w:hideMark/>
          </w:tcPr>
          <w:p w14:paraId="3C35589E" w14:textId="77777777" w:rsidR="008123A7" w:rsidRPr="008123A7" w:rsidRDefault="008123A7" w:rsidP="008123A7">
            <w:pPr>
              <w:rPr>
                <w:rFonts w:eastAsia="Calibri" w:cs="Times New Roman"/>
                <w:b/>
                <w:sz w:val="18"/>
                <w:lang w:val="en-ZA"/>
              </w:rPr>
            </w:pPr>
            <w:r w:rsidRPr="008123A7">
              <w:rPr>
                <w:rFonts w:eastAsia="Calibri" w:cs="Times New Roman"/>
                <w:b/>
                <w:sz w:val="18"/>
                <w:lang w:val="en-ZA"/>
              </w:rPr>
              <w:t>Estimated budget</w:t>
            </w:r>
          </w:p>
        </w:tc>
        <w:tc>
          <w:tcPr>
            <w:tcW w:w="599" w:type="pct"/>
            <w:shd w:val="clear" w:color="auto" w:fill="B6DDE8" w:themeFill="accent5" w:themeFillTint="66"/>
            <w:hideMark/>
          </w:tcPr>
          <w:p w14:paraId="65957831" w14:textId="77777777" w:rsidR="008123A7" w:rsidRPr="008123A7" w:rsidRDefault="008123A7" w:rsidP="008123A7">
            <w:pPr>
              <w:rPr>
                <w:rFonts w:eastAsia="Calibri" w:cs="Times New Roman"/>
                <w:b/>
                <w:sz w:val="18"/>
                <w:lang w:val="en-ZA"/>
              </w:rPr>
            </w:pPr>
            <w:r w:rsidRPr="008123A7">
              <w:rPr>
                <w:rFonts w:eastAsia="Calibri" w:cs="Times New Roman"/>
                <w:b/>
                <w:sz w:val="18"/>
                <w:lang w:val="en-ZA"/>
              </w:rPr>
              <w:t>Completion date</w:t>
            </w:r>
          </w:p>
        </w:tc>
      </w:tr>
      <w:tr w:rsidR="008123A7" w:rsidRPr="008123A7" w14:paraId="3118B348" w14:textId="77777777" w:rsidTr="008123A7">
        <w:trPr>
          <w:trHeight w:val="245"/>
        </w:trPr>
        <w:tc>
          <w:tcPr>
            <w:tcW w:w="599" w:type="pct"/>
            <w:hideMark/>
          </w:tcPr>
          <w:p w14:paraId="18CD9B0C" w14:textId="77777777" w:rsidR="008123A7" w:rsidRPr="008123A7" w:rsidRDefault="008123A7" w:rsidP="008123A7">
            <w:pPr>
              <w:rPr>
                <w:rFonts w:eastAsia="Calibri" w:cs="Times New Roman"/>
                <w:sz w:val="18"/>
                <w:lang w:val="en-ZA"/>
              </w:rPr>
            </w:pPr>
            <w:r w:rsidRPr="008123A7">
              <w:rPr>
                <w:rFonts w:eastAsia="Calibri" w:cs="Times New Roman"/>
                <w:sz w:val="18"/>
                <w:lang w:val="en-ZA"/>
              </w:rPr>
              <w:t>Umlalazi LM</w:t>
            </w:r>
          </w:p>
        </w:tc>
        <w:tc>
          <w:tcPr>
            <w:tcW w:w="516" w:type="pct"/>
            <w:hideMark/>
          </w:tcPr>
          <w:p w14:paraId="22C1ECBC" w14:textId="77777777" w:rsidR="008123A7" w:rsidRPr="008123A7" w:rsidRDefault="008123A7" w:rsidP="008123A7">
            <w:pPr>
              <w:jc w:val="center"/>
              <w:rPr>
                <w:rFonts w:eastAsia="Calibri" w:cs="Times New Roman"/>
                <w:sz w:val="18"/>
                <w:lang w:val="en-ZA"/>
              </w:rPr>
            </w:pPr>
            <w:r w:rsidRPr="008123A7">
              <w:rPr>
                <w:rFonts w:eastAsia="Calibri" w:cs="Times New Roman"/>
                <w:sz w:val="18"/>
                <w:lang w:val="en-ZA"/>
              </w:rPr>
              <w:t>22 &amp; 23</w:t>
            </w:r>
          </w:p>
        </w:tc>
        <w:tc>
          <w:tcPr>
            <w:tcW w:w="971" w:type="pct"/>
            <w:hideMark/>
          </w:tcPr>
          <w:p w14:paraId="04A3A5D1" w14:textId="77777777" w:rsidR="008123A7" w:rsidRPr="008123A7" w:rsidRDefault="008123A7" w:rsidP="008123A7">
            <w:pPr>
              <w:rPr>
                <w:rFonts w:eastAsia="Calibri" w:cs="Times New Roman"/>
                <w:sz w:val="18"/>
                <w:lang w:val="en-ZA"/>
              </w:rPr>
            </w:pPr>
            <w:r w:rsidRPr="008123A7">
              <w:rPr>
                <w:rFonts w:eastAsia="Calibri" w:cs="Times New Roman"/>
                <w:sz w:val="18"/>
                <w:lang w:val="en-ZA"/>
              </w:rPr>
              <w:t>Kwahlokohloko SSA 5</w:t>
            </w:r>
          </w:p>
        </w:tc>
        <w:tc>
          <w:tcPr>
            <w:tcW w:w="903" w:type="pct"/>
            <w:hideMark/>
          </w:tcPr>
          <w:p w14:paraId="151CFB46" w14:textId="77777777" w:rsidR="008123A7" w:rsidRPr="008123A7" w:rsidRDefault="008123A7" w:rsidP="008123A7">
            <w:pPr>
              <w:rPr>
                <w:rFonts w:eastAsia="Calibri" w:cs="Times New Roman"/>
                <w:sz w:val="18"/>
                <w:lang w:val="en-ZA"/>
              </w:rPr>
            </w:pPr>
            <w:r w:rsidRPr="008123A7">
              <w:rPr>
                <w:rFonts w:eastAsia="Calibri" w:cs="Times New Roman"/>
                <w:sz w:val="18"/>
                <w:lang w:val="en-ZA"/>
              </w:rPr>
              <w:t xml:space="preserve">Retic to zone </w:t>
            </w:r>
          </w:p>
          <w:p w14:paraId="13E076B0" w14:textId="77777777" w:rsidR="008123A7" w:rsidRPr="008123A7" w:rsidRDefault="008123A7" w:rsidP="008123A7">
            <w:pPr>
              <w:rPr>
                <w:rFonts w:eastAsia="Calibri" w:cs="Times New Roman"/>
                <w:sz w:val="18"/>
                <w:lang w:val="en-ZA"/>
              </w:rPr>
            </w:pPr>
            <w:r w:rsidRPr="008123A7">
              <w:rPr>
                <w:rFonts w:eastAsia="Calibri" w:cs="Times New Roman"/>
                <w:sz w:val="18"/>
                <w:lang w:val="en-ZA"/>
              </w:rPr>
              <w:t>1,2&amp; 3</w:t>
            </w:r>
          </w:p>
        </w:tc>
        <w:tc>
          <w:tcPr>
            <w:tcW w:w="683" w:type="pct"/>
            <w:hideMark/>
          </w:tcPr>
          <w:p w14:paraId="2535F1A4" w14:textId="77777777" w:rsidR="008123A7" w:rsidRPr="008123A7" w:rsidRDefault="008123A7" w:rsidP="008123A7">
            <w:pPr>
              <w:jc w:val="center"/>
              <w:rPr>
                <w:rFonts w:eastAsia="Calibri" w:cs="Times New Roman"/>
                <w:sz w:val="18"/>
                <w:lang w:val="en-ZA"/>
              </w:rPr>
            </w:pPr>
            <w:r w:rsidRPr="008123A7">
              <w:rPr>
                <w:rFonts w:eastAsia="Calibri" w:cs="Times New Roman"/>
                <w:sz w:val="18"/>
                <w:lang w:val="en-ZA"/>
              </w:rPr>
              <w:t>60%</w:t>
            </w:r>
          </w:p>
        </w:tc>
        <w:tc>
          <w:tcPr>
            <w:tcW w:w="728" w:type="pct"/>
            <w:hideMark/>
          </w:tcPr>
          <w:p w14:paraId="2183E0CB" w14:textId="77777777" w:rsidR="008123A7" w:rsidRPr="008123A7" w:rsidRDefault="008123A7" w:rsidP="008123A7">
            <w:pPr>
              <w:rPr>
                <w:rFonts w:eastAsia="Calibri" w:cs="Times New Roman"/>
                <w:sz w:val="18"/>
                <w:lang w:val="en-ZA"/>
              </w:rPr>
            </w:pPr>
            <w:r w:rsidRPr="008123A7">
              <w:rPr>
                <w:rFonts w:eastAsia="Calibri" w:cs="Times New Roman"/>
                <w:sz w:val="18"/>
                <w:lang w:val="en-ZA"/>
              </w:rPr>
              <w:t>R22 142 329</w:t>
            </w:r>
          </w:p>
        </w:tc>
        <w:tc>
          <w:tcPr>
            <w:tcW w:w="599" w:type="pct"/>
            <w:hideMark/>
          </w:tcPr>
          <w:p w14:paraId="5B5398C5" w14:textId="77777777" w:rsidR="008123A7" w:rsidRPr="008123A7" w:rsidRDefault="008123A7" w:rsidP="008123A7">
            <w:pPr>
              <w:rPr>
                <w:rFonts w:eastAsia="Calibri" w:cs="Times New Roman"/>
                <w:sz w:val="18"/>
                <w:lang w:val="en-ZA"/>
              </w:rPr>
            </w:pPr>
            <w:r w:rsidRPr="008123A7">
              <w:rPr>
                <w:rFonts w:eastAsia="Calibri" w:cs="Times New Roman"/>
                <w:sz w:val="18"/>
                <w:lang w:val="en-ZA"/>
              </w:rPr>
              <w:t>Apr 2017</w:t>
            </w:r>
          </w:p>
        </w:tc>
      </w:tr>
      <w:tr w:rsidR="008123A7" w:rsidRPr="008123A7" w14:paraId="33B3F9D4" w14:textId="77777777" w:rsidTr="008123A7">
        <w:trPr>
          <w:trHeight w:val="248"/>
        </w:trPr>
        <w:tc>
          <w:tcPr>
            <w:tcW w:w="599" w:type="pct"/>
            <w:hideMark/>
          </w:tcPr>
          <w:p w14:paraId="1BA29259" w14:textId="77777777" w:rsidR="008123A7" w:rsidRPr="008123A7" w:rsidRDefault="008123A7" w:rsidP="008123A7">
            <w:pPr>
              <w:rPr>
                <w:rFonts w:eastAsia="Calibri" w:cs="Times New Roman"/>
                <w:sz w:val="18"/>
                <w:lang w:val="en-ZA"/>
              </w:rPr>
            </w:pPr>
            <w:r w:rsidRPr="008123A7">
              <w:rPr>
                <w:rFonts w:eastAsia="Calibri" w:cs="Times New Roman"/>
                <w:sz w:val="18"/>
                <w:lang w:val="en-ZA"/>
              </w:rPr>
              <w:t>Umlalazi LM</w:t>
            </w:r>
          </w:p>
        </w:tc>
        <w:tc>
          <w:tcPr>
            <w:tcW w:w="516" w:type="pct"/>
            <w:hideMark/>
          </w:tcPr>
          <w:p w14:paraId="46D514DB" w14:textId="77777777" w:rsidR="008123A7" w:rsidRPr="008123A7" w:rsidRDefault="008123A7" w:rsidP="008123A7">
            <w:pPr>
              <w:jc w:val="center"/>
              <w:rPr>
                <w:rFonts w:eastAsia="Calibri" w:cs="Times New Roman"/>
                <w:sz w:val="18"/>
                <w:lang w:val="en-ZA"/>
              </w:rPr>
            </w:pPr>
            <w:r w:rsidRPr="008123A7">
              <w:rPr>
                <w:rFonts w:eastAsia="Calibri" w:cs="Times New Roman"/>
                <w:sz w:val="18"/>
                <w:lang w:val="en-ZA"/>
              </w:rPr>
              <w:t>9</w:t>
            </w:r>
          </w:p>
        </w:tc>
        <w:tc>
          <w:tcPr>
            <w:tcW w:w="971" w:type="pct"/>
            <w:hideMark/>
          </w:tcPr>
          <w:p w14:paraId="778DFC0F" w14:textId="77777777" w:rsidR="008123A7" w:rsidRPr="008123A7" w:rsidRDefault="008123A7" w:rsidP="008123A7">
            <w:pPr>
              <w:rPr>
                <w:rFonts w:eastAsia="Calibri" w:cs="Times New Roman"/>
                <w:sz w:val="18"/>
                <w:lang w:val="en-ZA"/>
              </w:rPr>
            </w:pPr>
            <w:r w:rsidRPr="008123A7">
              <w:rPr>
                <w:rFonts w:eastAsia="Calibri" w:cs="Times New Roman"/>
                <w:sz w:val="18"/>
                <w:lang w:val="en-ZA"/>
              </w:rPr>
              <w:t>Kwahlokohloko SSA 1</w:t>
            </w:r>
          </w:p>
        </w:tc>
        <w:tc>
          <w:tcPr>
            <w:tcW w:w="903" w:type="pct"/>
            <w:hideMark/>
          </w:tcPr>
          <w:p w14:paraId="1D0BB7DF" w14:textId="77777777" w:rsidR="008123A7" w:rsidRPr="008123A7" w:rsidRDefault="008123A7" w:rsidP="008123A7">
            <w:pPr>
              <w:rPr>
                <w:rFonts w:eastAsia="Calibri" w:cs="Times New Roman"/>
                <w:sz w:val="18"/>
                <w:lang w:val="en-ZA"/>
              </w:rPr>
            </w:pPr>
            <w:r w:rsidRPr="008123A7">
              <w:rPr>
                <w:rFonts w:eastAsia="Calibri" w:cs="Times New Roman"/>
                <w:sz w:val="18"/>
                <w:lang w:val="en-ZA"/>
              </w:rPr>
              <w:t>Construction of Bulk steel pipeline</w:t>
            </w:r>
          </w:p>
        </w:tc>
        <w:tc>
          <w:tcPr>
            <w:tcW w:w="683" w:type="pct"/>
            <w:hideMark/>
          </w:tcPr>
          <w:p w14:paraId="6599B98E" w14:textId="77777777" w:rsidR="008123A7" w:rsidRPr="008123A7" w:rsidRDefault="008123A7" w:rsidP="008123A7">
            <w:pPr>
              <w:jc w:val="center"/>
              <w:rPr>
                <w:rFonts w:eastAsia="Calibri" w:cs="Times New Roman"/>
                <w:sz w:val="18"/>
                <w:lang w:val="en-ZA"/>
              </w:rPr>
            </w:pPr>
            <w:r w:rsidRPr="008123A7">
              <w:rPr>
                <w:rFonts w:eastAsia="Calibri" w:cs="Times New Roman"/>
                <w:sz w:val="18"/>
                <w:lang w:val="en-ZA"/>
              </w:rPr>
              <w:t>95%</w:t>
            </w:r>
          </w:p>
        </w:tc>
        <w:tc>
          <w:tcPr>
            <w:tcW w:w="728" w:type="pct"/>
            <w:hideMark/>
          </w:tcPr>
          <w:p w14:paraId="55706ABB" w14:textId="77777777" w:rsidR="008123A7" w:rsidRPr="008123A7" w:rsidRDefault="008123A7" w:rsidP="008123A7">
            <w:pPr>
              <w:rPr>
                <w:rFonts w:eastAsia="Calibri" w:cs="Times New Roman"/>
                <w:sz w:val="18"/>
                <w:lang w:val="en-ZA"/>
              </w:rPr>
            </w:pPr>
            <w:r w:rsidRPr="008123A7">
              <w:rPr>
                <w:rFonts w:eastAsia="Calibri" w:cs="Times New Roman"/>
                <w:sz w:val="18"/>
                <w:lang w:val="en-ZA"/>
              </w:rPr>
              <w:t>R 56 339 499</w:t>
            </w:r>
          </w:p>
        </w:tc>
        <w:tc>
          <w:tcPr>
            <w:tcW w:w="599" w:type="pct"/>
            <w:hideMark/>
          </w:tcPr>
          <w:p w14:paraId="54BB6239" w14:textId="77777777" w:rsidR="008123A7" w:rsidRPr="008123A7" w:rsidRDefault="008123A7" w:rsidP="008123A7">
            <w:pPr>
              <w:rPr>
                <w:rFonts w:eastAsia="Calibri" w:cs="Times New Roman"/>
                <w:sz w:val="18"/>
                <w:lang w:val="en-ZA"/>
              </w:rPr>
            </w:pPr>
            <w:r w:rsidRPr="008123A7">
              <w:rPr>
                <w:rFonts w:eastAsia="Calibri" w:cs="Times New Roman"/>
                <w:sz w:val="18"/>
                <w:lang w:val="en-ZA"/>
              </w:rPr>
              <w:t>June 2017</w:t>
            </w:r>
          </w:p>
        </w:tc>
      </w:tr>
      <w:tr w:rsidR="008123A7" w:rsidRPr="008123A7" w14:paraId="44D36D48" w14:textId="77777777" w:rsidTr="008123A7">
        <w:trPr>
          <w:trHeight w:val="265"/>
        </w:trPr>
        <w:tc>
          <w:tcPr>
            <w:tcW w:w="599" w:type="pct"/>
            <w:hideMark/>
          </w:tcPr>
          <w:p w14:paraId="1A83FAAE" w14:textId="77777777" w:rsidR="008123A7" w:rsidRPr="008123A7" w:rsidRDefault="008123A7" w:rsidP="008123A7">
            <w:pPr>
              <w:rPr>
                <w:rFonts w:eastAsia="Calibri" w:cs="Times New Roman"/>
                <w:sz w:val="18"/>
                <w:lang w:val="en-ZA"/>
              </w:rPr>
            </w:pPr>
            <w:r w:rsidRPr="008123A7">
              <w:rPr>
                <w:rFonts w:eastAsia="Calibri" w:cs="Times New Roman"/>
                <w:sz w:val="18"/>
                <w:lang w:val="en-ZA"/>
              </w:rPr>
              <w:t>Umlalazi LM</w:t>
            </w:r>
          </w:p>
        </w:tc>
        <w:tc>
          <w:tcPr>
            <w:tcW w:w="516" w:type="pct"/>
            <w:hideMark/>
          </w:tcPr>
          <w:p w14:paraId="5434B5AF" w14:textId="77777777" w:rsidR="008123A7" w:rsidRPr="008123A7" w:rsidRDefault="008123A7" w:rsidP="008123A7">
            <w:pPr>
              <w:jc w:val="center"/>
              <w:rPr>
                <w:rFonts w:eastAsia="Calibri" w:cs="Times New Roman"/>
                <w:sz w:val="18"/>
                <w:lang w:val="en-ZA"/>
              </w:rPr>
            </w:pPr>
            <w:r w:rsidRPr="008123A7">
              <w:rPr>
                <w:rFonts w:eastAsia="Calibri" w:cs="Times New Roman"/>
                <w:sz w:val="18"/>
                <w:lang w:val="en-ZA"/>
              </w:rPr>
              <w:t>9</w:t>
            </w:r>
          </w:p>
        </w:tc>
        <w:tc>
          <w:tcPr>
            <w:tcW w:w="971" w:type="pct"/>
            <w:hideMark/>
          </w:tcPr>
          <w:p w14:paraId="052AD790" w14:textId="77777777" w:rsidR="008123A7" w:rsidRPr="008123A7" w:rsidRDefault="008123A7" w:rsidP="008123A7">
            <w:pPr>
              <w:rPr>
                <w:rFonts w:eastAsia="Calibri" w:cs="Times New Roman"/>
                <w:sz w:val="18"/>
                <w:lang w:val="en-ZA"/>
              </w:rPr>
            </w:pPr>
            <w:r w:rsidRPr="008123A7">
              <w:rPr>
                <w:rFonts w:eastAsia="Calibri" w:cs="Times New Roman"/>
                <w:sz w:val="18"/>
                <w:lang w:val="en-ZA"/>
              </w:rPr>
              <w:t>Kwahlokohloko SSA 1</w:t>
            </w:r>
          </w:p>
        </w:tc>
        <w:tc>
          <w:tcPr>
            <w:tcW w:w="903" w:type="pct"/>
            <w:hideMark/>
          </w:tcPr>
          <w:p w14:paraId="579C72BF" w14:textId="77777777" w:rsidR="008123A7" w:rsidRPr="008123A7" w:rsidRDefault="008123A7" w:rsidP="008123A7">
            <w:pPr>
              <w:rPr>
                <w:rFonts w:eastAsia="Calibri" w:cs="Times New Roman"/>
                <w:sz w:val="18"/>
                <w:lang w:val="en-ZA"/>
              </w:rPr>
            </w:pPr>
            <w:r w:rsidRPr="008123A7">
              <w:rPr>
                <w:rFonts w:eastAsia="Calibri" w:cs="Times New Roman"/>
                <w:sz w:val="18"/>
                <w:lang w:val="en-ZA"/>
              </w:rPr>
              <w:t>Construction of 8.4 ML reservoir &amp; pump-station</w:t>
            </w:r>
          </w:p>
        </w:tc>
        <w:tc>
          <w:tcPr>
            <w:tcW w:w="683" w:type="pct"/>
            <w:hideMark/>
          </w:tcPr>
          <w:p w14:paraId="27EAF583" w14:textId="77777777" w:rsidR="008123A7" w:rsidRPr="008123A7" w:rsidRDefault="008123A7" w:rsidP="008123A7">
            <w:pPr>
              <w:jc w:val="center"/>
              <w:rPr>
                <w:rFonts w:eastAsia="Calibri" w:cs="Times New Roman"/>
                <w:sz w:val="18"/>
                <w:lang w:val="en-ZA"/>
              </w:rPr>
            </w:pPr>
            <w:r w:rsidRPr="008123A7">
              <w:rPr>
                <w:rFonts w:eastAsia="Calibri" w:cs="Times New Roman"/>
                <w:sz w:val="18"/>
                <w:lang w:val="en-ZA"/>
              </w:rPr>
              <w:t>98%</w:t>
            </w:r>
          </w:p>
        </w:tc>
        <w:tc>
          <w:tcPr>
            <w:tcW w:w="728" w:type="pct"/>
            <w:hideMark/>
          </w:tcPr>
          <w:p w14:paraId="7BD95A2F" w14:textId="77777777" w:rsidR="008123A7" w:rsidRPr="008123A7" w:rsidRDefault="008123A7" w:rsidP="008123A7">
            <w:pPr>
              <w:rPr>
                <w:rFonts w:eastAsia="Calibri" w:cs="Times New Roman"/>
                <w:sz w:val="18"/>
                <w:lang w:val="en-ZA"/>
              </w:rPr>
            </w:pPr>
            <w:r w:rsidRPr="008123A7">
              <w:rPr>
                <w:rFonts w:eastAsia="Calibri" w:cs="Times New Roman"/>
                <w:sz w:val="18"/>
                <w:lang w:val="en-ZA"/>
              </w:rPr>
              <w:t>R 40 998 823</w:t>
            </w:r>
          </w:p>
        </w:tc>
        <w:tc>
          <w:tcPr>
            <w:tcW w:w="599" w:type="pct"/>
            <w:hideMark/>
          </w:tcPr>
          <w:p w14:paraId="5C65B4BC" w14:textId="77777777" w:rsidR="008123A7" w:rsidRPr="008123A7" w:rsidRDefault="008123A7" w:rsidP="008123A7">
            <w:pPr>
              <w:rPr>
                <w:rFonts w:eastAsia="Calibri" w:cs="Times New Roman"/>
                <w:sz w:val="18"/>
                <w:lang w:val="en-ZA"/>
              </w:rPr>
            </w:pPr>
            <w:r w:rsidRPr="008123A7">
              <w:rPr>
                <w:rFonts w:eastAsia="Calibri" w:cs="Times New Roman"/>
                <w:sz w:val="18"/>
                <w:lang w:val="en-ZA"/>
              </w:rPr>
              <w:t>June 2017</w:t>
            </w:r>
          </w:p>
        </w:tc>
      </w:tr>
      <w:tr w:rsidR="008123A7" w:rsidRPr="008123A7" w14:paraId="3D51B283" w14:textId="77777777" w:rsidTr="008123A7">
        <w:trPr>
          <w:trHeight w:val="265"/>
        </w:trPr>
        <w:tc>
          <w:tcPr>
            <w:tcW w:w="599" w:type="pct"/>
          </w:tcPr>
          <w:p w14:paraId="466A1C16" w14:textId="59A06410" w:rsidR="008123A7" w:rsidRPr="008123A7" w:rsidRDefault="008123A7" w:rsidP="008123A7">
            <w:pPr>
              <w:rPr>
                <w:rFonts w:eastAsia="Calibri" w:cs="Times New Roman"/>
                <w:sz w:val="18"/>
                <w:lang w:val="en-ZA"/>
              </w:rPr>
            </w:pPr>
            <w:r w:rsidRPr="008123A7">
              <w:rPr>
                <w:rFonts w:eastAsia="Calibri" w:cs="Times New Roman"/>
                <w:sz w:val="18"/>
                <w:lang w:val="en-ZA"/>
              </w:rPr>
              <w:t>uMlalazi LM</w:t>
            </w:r>
          </w:p>
        </w:tc>
        <w:tc>
          <w:tcPr>
            <w:tcW w:w="516" w:type="pct"/>
          </w:tcPr>
          <w:p w14:paraId="6FC463E3" w14:textId="792B8F3A" w:rsidR="008123A7" w:rsidRPr="008123A7" w:rsidRDefault="008123A7" w:rsidP="008123A7">
            <w:pPr>
              <w:jc w:val="center"/>
              <w:rPr>
                <w:rFonts w:eastAsia="Calibri" w:cs="Times New Roman"/>
                <w:sz w:val="18"/>
                <w:lang w:val="en-ZA"/>
              </w:rPr>
            </w:pPr>
            <w:r w:rsidRPr="008123A7">
              <w:rPr>
                <w:rFonts w:eastAsia="Calibri" w:cs="Times New Roman"/>
                <w:sz w:val="18"/>
                <w:lang w:val="en-ZA"/>
              </w:rPr>
              <w:t>3 &amp; 4</w:t>
            </w:r>
          </w:p>
        </w:tc>
        <w:tc>
          <w:tcPr>
            <w:tcW w:w="971" w:type="pct"/>
          </w:tcPr>
          <w:p w14:paraId="5C38EAE2" w14:textId="1722A6F9" w:rsidR="008123A7" w:rsidRPr="008123A7" w:rsidRDefault="008123A7" w:rsidP="008123A7">
            <w:pPr>
              <w:rPr>
                <w:rFonts w:eastAsia="Calibri" w:cs="Times New Roman"/>
                <w:sz w:val="18"/>
                <w:lang w:val="en-ZA"/>
              </w:rPr>
            </w:pPr>
            <w:r w:rsidRPr="008123A7">
              <w:rPr>
                <w:rFonts w:eastAsia="Calibri" w:cs="Times New Roman"/>
                <w:sz w:val="18"/>
                <w:lang w:val="en-ZA"/>
              </w:rPr>
              <w:t>Middledrift SSA 5</w:t>
            </w:r>
          </w:p>
        </w:tc>
        <w:tc>
          <w:tcPr>
            <w:tcW w:w="903" w:type="pct"/>
          </w:tcPr>
          <w:p w14:paraId="0E97BDD7" w14:textId="276C5E86" w:rsidR="008123A7" w:rsidRPr="008123A7" w:rsidRDefault="008123A7" w:rsidP="008123A7">
            <w:pPr>
              <w:rPr>
                <w:rFonts w:eastAsia="Calibri" w:cs="Times New Roman"/>
                <w:sz w:val="18"/>
                <w:lang w:val="en-ZA"/>
              </w:rPr>
            </w:pPr>
            <w:r w:rsidRPr="008123A7">
              <w:rPr>
                <w:rFonts w:eastAsia="Calibri" w:cs="Times New Roman"/>
                <w:sz w:val="18"/>
                <w:lang w:val="en-ZA"/>
              </w:rPr>
              <w:t xml:space="preserve">Bulk water supply </w:t>
            </w:r>
          </w:p>
        </w:tc>
        <w:tc>
          <w:tcPr>
            <w:tcW w:w="683" w:type="pct"/>
          </w:tcPr>
          <w:p w14:paraId="6E5A9D7F" w14:textId="0372F9C6" w:rsidR="008123A7" w:rsidRPr="008123A7" w:rsidRDefault="008123A7" w:rsidP="008123A7">
            <w:pPr>
              <w:jc w:val="center"/>
              <w:rPr>
                <w:rFonts w:eastAsia="Calibri" w:cs="Times New Roman"/>
                <w:sz w:val="18"/>
                <w:lang w:val="en-ZA"/>
              </w:rPr>
            </w:pPr>
            <w:r w:rsidRPr="008123A7">
              <w:rPr>
                <w:rFonts w:eastAsia="Calibri" w:cs="Times New Roman"/>
                <w:sz w:val="18"/>
                <w:lang w:val="en-ZA"/>
              </w:rPr>
              <w:t>85%</w:t>
            </w:r>
          </w:p>
        </w:tc>
        <w:tc>
          <w:tcPr>
            <w:tcW w:w="728" w:type="pct"/>
          </w:tcPr>
          <w:p w14:paraId="2558FA6A" w14:textId="6CE4D228" w:rsidR="008123A7" w:rsidRPr="008123A7" w:rsidRDefault="008123A7" w:rsidP="008123A7">
            <w:pPr>
              <w:rPr>
                <w:rFonts w:eastAsia="Calibri" w:cs="Times New Roman"/>
                <w:sz w:val="18"/>
                <w:lang w:val="en-ZA"/>
              </w:rPr>
            </w:pPr>
            <w:r w:rsidRPr="008123A7">
              <w:rPr>
                <w:rFonts w:eastAsia="Calibri" w:cs="Times New Roman"/>
                <w:sz w:val="18"/>
                <w:lang w:val="en-ZA"/>
              </w:rPr>
              <w:t>R 116 985 616</w:t>
            </w:r>
          </w:p>
        </w:tc>
        <w:tc>
          <w:tcPr>
            <w:tcW w:w="599" w:type="pct"/>
          </w:tcPr>
          <w:p w14:paraId="618B6FED" w14:textId="215F2F56" w:rsidR="008123A7" w:rsidRPr="008123A7" w:rsidRDefault="008123A7" w:rsidP="008123A7">
            <w:pPr>
              <w:rPr>
                <w:rFonts w:eastAsia="Calibri" w:cs="Times New Roman"/>
                <w:sz w:val="18"/>
                <w:lang w:val="en-ZA"/>
              </w:rPr>
            </w:pPr>
            <w:r w:rsidRPr="008123A7">
              <w:rPr>
                <w:rFonts w:eastAsia="Calibri" w:cs="Times New Roman"/>
                <w:sz w:val="18"/>
                <w:lang w:val="en-ZA"/>
              </w:rPr>
              <w:t>June 17</w:t>
            </w:r>
          </w:p>
        </w:tc>
      </w:tr>
      <w:tr w:rsidR="008123A7" w:rsidRPr="008123A7" w14:paraId="7C0163E6" w14:textId="77777777" w:rsidTr="008123A7">
        <w:trPr>
          <w:trHeight w:val="265"/>
        </w:trPr>
        <w:tc>
          <w:tcPr>
            <w:tcW w:w="599" w:type="pct"/>
          </w:tcPr>
          <w:p w14:paraId="10401EB2" w14:textId="5BA7B1CF" w:rsidR="008123A7" w:rsidRPr="008123A7" w:rsidRDefault="008123A7" w:rsidP="008123A7">
            <w:pPr>
              <w:rPr>
                <w:rFonts w:eastAsia="Calibri" w:cs="Times New Roman"/>
                <w:sz w:val="18"/>
                <w:lang w:val="en-ZA"/>
              </w:rPr>
            </w:pPr>
            <w:r w:rsidRPr="008123A7">
              <w:rPr>
                <w:rFonts w:eastAsia="Calibri" w:cs="Times New Roman"/>
                <w:sz w:val="18"/>
                <w:lang w:val="en-ZA"/>
              </w:rPr>
              <w:t>uMlalazi LM</w:t>
            </w:r>
          </w:p>
        </w:tc>
        <w:tc>
          <w:tcPr>
            <w:tcW w:w="516" w:type="pct"/>
          </w:tcPr>
          <w:p w14:paraId="06E651E8" w14:textId="4B5D3B8C" w:rsidR="008123A7" w:rsidRPr="008123A7" w:rsidRDefault="008123A7" w:rsidP="008123A7">
            <w:pPr>
              <w:jc w:val="center"/>
              <w:rPr>
                <w:rFonts w:eastAsia="Calibri" w:cs="Times New Roman"/>
                <w:sz w:val="18"/>
                <w:lang w:val="en-ZA"/>
              </w:rPr>
            </w:pPr>
            <w:r w:rsidRPr="008123A7">
              <w:rPr>
                <w:rFonts w:eastAsia="Calibri" w:cs="Times New Roman"/>
                <w:sz w:val="18"/>
                <w:lang w:val="en-ZA"/>
              </w:rPr>
              <w:t>11 &amp; 12</w:t>
            </w:r>
          </w:p>
        </w:tc>
        <w:tc>
          <w:tcPr>
            <w:tcW w:w="971" w:type="pct"/>
          </w:tcPr>
          <w:p w14:paraId="4CE0F072" w14:textId="52C25289" w:rsidR="008123A7" w:rsidRPr="008123A7" w:rsidRDefault="008123A7" w:rsidP="008123A7">
            <w:pPr>
              <w:rPr>
                <w:rFonts w:eastAsia="Calibri" w:cs="Times New Roman"/>
                <w:sz w:val="18"/>
                <w:lang w:val="en-ZA"/>
              </w:rPr>
            </w:pPr>
            <w:r w:rsidRPr="008123A7">
              <w:rPr>
                <w:rFonts w:eastAsia="Calibri" w:cs="Times New Roman"/>
                <w:sz w:val="18"/>
                <w:lang w:val="en-ZA"/>
              </w:rPr>
              <w:t>Eshowe Water Upgrade phase 2</w:t>
            </w:r>
          </w:p>
        </w:tc>
        <w:tc>
          <w:tcPr>
            <w:tcW w:w="903" w:type="pct"/>
          </w:tcPr>
          <w:p w14:paraId="6C7523F9" w14:textId="03E52219" w:rsidR="008123A7" w:rsidRPr="008123A7" w:rsidRDefault="008123A7" w:rsidP="008123A7">
            <w:pPr>
              <w:rPr>
                <w:rFonts w:eastAsia="Calibri" w:cs="Times New Roman"/>
                <w:sz w:val="18"/>
                <w:lang w:val="en-ZA"/>
              </w:rPr>
            </w:pPr>
            <w:r w:rsidRPr="008123A7">
              <w:rPr>
                <w:rFonts w:eastAsia="Calibri" w:cs="Times New Roman"/>
                <w:sz w:val="18"/>
                <w:lang w:val="en-ZA"/>
              </w:rPr>
              <w:t>AC Repla-cement &amp; remedial works</w:t>
            </w:r>
          </w:p>
        </w:tc>
        <w:tc>
          <w:tcPr>
            <w:tcW w:w="683" w:type="pct"/>
          </w:tcPr>
          <w:p w14:paraId="64F1EA23" w14:textId="0859C1C6" w:rsidR="008123A7" w:rsidRPr="008123A7" w:rsidRDefault="008123A7" w:rsidP="008123A7">
            <w:pPr>
              <w:jc w:val="center"/>
              <w:rPr>
                <w:rFonts w:eastAsia="Calibri" w:cs="Times New Roman"/>
                <w:sz w:val="18"/>
                <w:lang w:val="en-ZA"/>
              </w:rPr>
            </w:pPr>
            <w:r w:rsidRPr="008123A7">
              <w:rPr>
                <w:rFonts w:eastAsia="Calibri" w:cs="Times New Roman"/>
                <w:sz w:val="18"/>
                <w:lang w:val="en-ZA"/>
              </w:rPr>
              <w:t>96%</w:t>
            </w:r>
          </w:p>
        </w:tc>
        <w:tc>
          <w:tcPr>
            <w:tcW w:w="728" w:type="pct"/>
          </w:tcPr>
          <w:p w14:paraId="2FB02319" w14:textId="766B6E3E" w:rsidR="008123A7" w:rsidRPr="008123A7" w:rsidRDefault="008123A7" w:rsidP="008123A7">
            <w:pPr>
              <w:rPr>
                <w:rFonts w:eastAsia="Calibri" w:cs="Times New Roman"/>
                <w:sz w:val="18"/>
                <w:lang w:val="en-ZA"/>
              </w:rPr>
            </w:pPr>
            <w:r w:rsidRPr="008123A7">
              <w:rPr>
                <w:rFonts w:eastAsia="Calibri" w:cs="Times New Roman"/>
                <w:sz w:val="18"/>
                <w:lang w:val="en-ZA"/>
              </w:rPr>
              <w:t>R 80 454 545</w:t>
            </w:r>
          </w:p>
        </w:tc>
        <w:tc>
          <w:tcPr>
            <w:tcW w:w="599" w:type="pct"/>
          </w:tcPr>
          <w:p w14:paraId="133F3C85" w14:textId="12712BE6" w:rsidR="008123A7" w:rsidRPr="008123A7" w:rsidRDefault="008123A7" w:rsidP="008123A7">
            <w:pPr>
              <w:rPr>
                <w:rFonts w:eastAsia="Calibri" w:cs="Times New Roman"/>
                <w:sz w:val="18"/>
                <w:lang w:val="en-ZA"/>
              </w:rPr>
            </w:pPr>
            <w:r w:rsidRPr="008123A7">
              <w:rPr>
                <w:rFonts w:eastAsia="Calibri" w:cs="Times New Roman"/>
                <w:sz w:val="18"/>
                <w:lang w:val="en-ZA"/>
              </w:rPr>
              <w:t>Aug 2017</w:t>
            </w:r>
          </w:p>
        </w:tc>
      </w:tr>
      <w:tr w:rsidR="008123A7" w:rsidRPr="008123A7" w14:paraId="35912DA2" w14:textId="77777777" w:rsidTr="008123A7">
        <w:trPr>
          <w:trHeight w:val="265"/>
        </w:trPr>
        <w:tc>
          <w:tcPr>
            <w:tcW w:w="599" w:type="pct"/>
          </w:tcPr>
          <w:p w14:paraId="4238E5C4" w14:textId="1AADD546" w:rsidR="008123A7" w:rsidRPr="008123A7" w:rsidRDefault="008123A7" w:rsidP="008123A7">
            <w:pPr>
              <w:rPr>
                <w:rFonts w:eastAsia="Calibri" w:cs="Times New Roman"/>
                <w:sz w:val="18"/>
                <w:lang w:val="en-ZA"/>
              </w:rPr>
            </w:pPr>
            <w:r w:rsidRPr="008123A7">
              <w:rPr>
                <w:rFonts w:eastAsia="Calibri" w:cs="Times New Roman"/>
                <w:sz w:val="18"/>
                <w:lang w:val="en-ZA"/>
              </w:rPr>
              <w:t>uMlalazi LM</w:t>
            </w:r>
          </w:p>
        </w:tc>
        <w:tc>
          <w:tcPr>
            <w:tcW w:w="516" w:type="pct"/>
          </w:tcPr>
          <w:p w14:paraId="1BD357C3" w14:textId="19DB932F" w:rsidR="008123A7" w:rsidRPr="008123A7" w:rsidRDefault="008123A7" w:rsidP="008123A7">
            <w:pPr>
              <w:jc w:val="center"/>
              <w:rPr>
                <w:rFonts w:eastAsia="Calibri" w:cs="Times New Roman"/>
                <w:sz w:val="18"/>
                <w:lang w:val="en-ZA"/>
              </w:rPr>
            </w:pPr>
            <w:r w:rsidRPr="008123A7">
              <w:rPr>
                <w:rFonts w:eastAsia="Calibri" w:cs="Times New Roman"/>
                <w:sz w:val="18"/>
                <w:lang w:val="en-ZA"/>
              </w:rPr>
              <w:t>24; 25 &amp;26</w:t>
            </w:r>
          </w:p>
        </w:tc>
        <w:tc>
          <w:tcPr>
            <w:tcW w:w="971" w:type="pct"/>
          </w:tcPr>
          <w:p w14:paraId="15DA993A" w14:textId="17AA20C2" w:rsidR="008123A7" w:rsidRPr="008123A7" w:rsidRDefault="008123A7" w:rsidP="008123A7">
            <w:pPr>
              <w:rPr>
                <w:rFonts w:eastAsia="Calibri" w:cs="Times New Roman"/>
                <w:sz w:val="18"/>
                <w:lang w:val="en-ZA"/>
              </w:rPr>
            </w:pPr>
            <w:r w:rsidRPr="008123A7">
              <w:rPr>
                <w:rFonts w:eastAsia="Calibri" w:cs="Times New Roman"/>
                <w:sz w:val="18"/>
                <w:lang w:val="en-ZA"/>
              </w:rPr>
              <w:t xml:space="preserve">Mpungose 1D retic </w:t>
            </w:r>
          </w:p>
        </w:tc>
        <w:tc>
          <w:tcPr>
            <w:tcW w:w="903" w:type="pct"/>
          </w:tcPr>
          <w:p w14:paraId="7E35012F" w14:textId="74B76C2B" w:rsidR="008123A7" w:rsidRPr="008123A7" w:rsidRDefault="008123A7" w:rsidP="008123A7">
            <w:pPr>
              <w:rPr>
                <w:rFonts w:eastAsia="Calibri" w:cs="Times New Roman"/>
                <w:sz w:val="18"/>
                <w:lang w:val="en-ZA"/>
              </w:rPr>
            </w:pPr>
            <w:r w:rsidRPr="008123A7">
              <w:rPr>
                <w:rFonts w:eastAsia="Calibri" w:cs="Times New Roman"/>
                <w:sz w:val="18"/>
                <w:lang w:val="en-ZA"/>
              </w:rPr>
              <w:t>Construction of retic</w:t>
            </w:r>
          </w:p>
        </w:tc>
        <w:tc>
          <w:tcPr>
            <w:tcW w:w="683" w:type="pct"/>
          </w:tcPr>
          <w:p w14:paraId="527B7457" w14:textId="3BBDA894" w:rsidR="008123A7" w:rsidRPr="008123A7" w:rsidRDefault="008123A7" w:rsidP="008123A7">
            <w:pPr>
              <w:jc w:val="center"/>
              <w:rPr>
                <w:rFonts w:eastAsia="Calibri" w:cs="Times New Roman"/>
                <w:sz w:val="18"/>
                <w:lang w:val="en-ZA"/>
              </w:rPr>
            </w:pPr>
            <w:r w:rsidRPr="008123A7">
              <w:rPr>
                <w:rFonts w:eastAsia="Calibri" w:cs="Times New Roman"/>
                <w:sz w:val="18"/>
                <w:lang w:val="en-ZA"/>
              </w:rPr>
              <w:t>100%</w:t>
            </w:r>
          </w:p>
        </w:tc>
        <w:tc>
          <w:tcPr>
            <w:tcW w:w="728" w:type="pct"/>
          </w:tcPr>
          <w:p w14:paraId="652B08A4" w14:textId="75F91273" w:rsidR="008123A7" w:rsidRPr="008123A7" w:rsidRDefault="008123A7" w:rsidP="008123A7">
            <w:pPr>
              <w:rPr>
                <w:rFonts w:eastAsia="Calibri" w:cs="Times New Roman"/>
                <w:sz w:val="18"/>
                <w:lang w:val="en-ZA"/>
              </w:rPr>
            </w:pPr>
            <w:r w:rsidRPr="008123A7">
              <w:rPr>
                <w:rFonts w:eastAsia="Calibri" w:cs="Times New Roman"/>
                <w:sz w:val="18"/>
                <w:lang w:val="en-ZA"/>
              </w:rPr>
              <w:t>R 32 952 819</w:t>
            </w:r>
          </w:p>
        </w:tc>
        <w:tc>
          <w:tcPr>
            <w:tcW w:w="599" w:type="pct"/>
          </w:tcPr>
          <w:p w14:paraId="3EF77004" w14:textId="6F45BA10" w:rsidR="008123A7" w:rsidRPr="008123A7" w:rsidRDefault="008123A7" w:rsidP="008123A7">
            <w:pPr>
              <w:rPr>
                <w:rFonts w:eastAsia="Calibri" w:cs="Times New Roman"/>
                <w:sz w:val="18"/>
                <w:lang w:val="en-ZA"/>
              </w:rPr>
            </w:pPr>
            <w:r w:rsidRPr="008123A7">
              <w:rPr>
                <w:rFonts w:eastAsia="Calibri" w:cs="Times New Roman"/>
                <w:sz w:val="18"/>
                <w:lang w:val="en-ZA"/>
              </w:rPr>
              <w:t>Dec 2016</w:t>
            </w:r>
          </w:p>
        </w:tc>
      </w:tr>
      <w:tr w:rsidR="007F7ADD" w:rsidRPr="008123A7" w14:paraId="117F40EC" w14:textId="77777777" w:rsidTr="008123A7">
        <w:trPr>
          <w:trHeight w:val="265"/>
        </w:trPr>
        <w:tc>
          <w:tcPr>
            <w:tcW w:w="599" w:type="pct"/>
          </w:tcPr>
          <w:p w14:paraId="052C5C02" w14:textId="64A3544A" w:rsidR="007F7ADD" w:rsidRPr="007F7ADD" w:rsidRDefault="007F7ADD" w:rsidP="007F7ADD">
            <w:pPr>
              <w:rPr>
                <w:rFonts w:eastAsia="Calibri" w:cs="Times New Roman"/>
                <w:sz w:val="18"/>
                <w:lang w:val="en-ZA"/>
              </w:rPr>
            </w:pPr>
            <w:r w:rsidRPr="007F7ADD">
              <w:rPr>
                <w:rFonts w:eastAsia="Calibri" w:cs="Times New Roman"/>
                <w:sz w:val="18"/>
                <w:lang w:val="en-ZA"/>
              </w:rPr>
              <w:t>uMlalazi LM</w:t>
            </w:r>
          </w:p>
        </w:tc>
        <w:tc>
          <w:tcPr>
            <w:tcW w:w="516" w:type="pct"/>
          </w:tcPr>
          <w:p w14:paraId="11D2605E" w14:textId="68E58AD3" w:rsidR="007F7ADD" w:rsidRPr="007F7ADD" w:rsidRDefault="007F7ADD" w:rsidP="007F7ADD">
            <w:pPr>
              <w:jc w:val="center"/>
              <w:rPr>
                <w:rFonts w:eastAsia="Calibri" w:cs="Times New Roman"/>
                <w:sz w:val="18"/>
                <w:lang w:val="en-ZA"/>
              </w:rPr>
            </w:pPr>
            <w:r w:rsidRPr="007F7ADD">
              <w:rPr>
                <w:rFonts w:eastAsia="Calibri" w:cs="Times New Roman"/>
                <w:sz w:val="18"/>
                <w:lang w:val="en-ZA"/>
              </w:rPr>
              <w:t>9; 11 &amp; 13</w:t>
            </w:r>
          </w:p>
        </w:tc>
        <w:tc>
          <w:tcPr>
            <w:tcW w:w="971" w:type="pct"/>
          </w:tcPr>
          <w:p w14:paraId="4EC7ACFF" w14:textId="490BA8BA" w:rsidR="007F7ADD" w:rsidRPr="007F7ADD" w:rsidRDefault="007F7ADD" w:rsidP="007F7ADD">
            <w:pPr>
              <w:rPr>
                <w:rFonts w:eastAsia="Calibri" w:cs="Times New Roman"/>
                <w:sz w:val="18"/>
                <w:lang w:val="en-ZA"/>
              </w:rPr>
            </w:pPr>
            <w:r w:rsidRPr="007F7ADD">
              <w:rPr>
                <w:rFonts w:eastAsia="Calibri" w:cs="Times New Roman"/>
                <w:sz w:val="18"/>
                <w:lang w:val="en-ZA"/>
              </w:rPr>
              <w:t>Eshowe SSA 1</w:t>
            </w:r>
          </w:p>
        </w:tc>
        <w:tc>
          <w:tcPr>
            <w:tcW w:w="903" w:type="pct"/>
          </w:tcPr>
          <w:p w14:paraId="5D448AFA" w14:textId="5F54CCDF" w:rsidR="007F7ADD" w:rsidRPr="007F7ADD" w:rsidRDefault="007F7ADD" w:rsidP="007F7ADD">
            <w:pPr>
              <w:rPr>
                <w:rFonts w:eastAsia="Calibri" w:cs="Times New Roman"/>
                <w:sz w:val="18"/>
                <w:lang w:val="en-ZA"/>
              </w:rPr>
            </w:pPr>
            <w:r w:rsidRPr="007F7ADD">
              <w:rPr>
                <w:rFonts w:eastAsia="Calibri" w:cs="Times New Roman"/>
                <w:sz w:val="18"/>
                <w:lang w:val="en-ZA"/>
              </w:rPr>
              <w:t>Bulk Water Supply, ND 800 Steel pipe</w:t>
            </w:r>
          </w:p>
        </w:tc>
        <w:tc>
          <w:tcPr>
            <w:tcW w:w="683" w:type="pct"/>
          </w:tcPr>
          <w:p w14:paraId="29947895" w14:textId="53447707" w:rsidR="007F7ADD" w:rsidRPr="007F7ADD" w:rsidRDefault="007F7ADD" w:rsidP="007F7ADD">
            <w:pPr>
              <w:jc w:val="center"/>
              <w:rPr>
                <w:rFonts w:eastAsia="Calibri" w:cs="Times New Roman"/>
                <w:sz w:val="18"/>
                <w:lang w:val="en-ZA"/>
              </w:rPr>
            </w:pPr>
            <w:r w:rsidRPr="007F7ADD">
              <w:rPr>
                <w:rFonts w:eastAsia="Calibri" w:cs="Times New Roman"/>
                <w:sz w:val="18"/>
                <w:lang w:val="en-ZA"/>
              </w:rPr>
              <w:t>98%</w:t>
            </w:r>
          </w:p>
        </w:tc>
        <w:tc>
          <w:tcPr>
            <w:tcW w:w="728" w:type="pct"/>
          </w:tcPr>
          <w:p w14:paraId="3FE2A4DA" w14:textId="04973697" w:rsidR="007F7ADD" w:rsidRPr="007F7ADD" w:rsidRDefault="007F7ADD" w:rsidP="007F7ADD">
            <w:pPr>
              <w:rPr>
                <w:rFonts w:eastAsia="Calibri" w:cs="Times New Roman"/>
                <w:sz w:val="18"/>
                <w:lang w:val="en-ZA"/>
              </w:rPr>
            </w:pPr>
            <w:r w:rsidRPr="007F7ADD">
              <w:rPr>
                <w:rFonts w:eastAsia="Calibri" w:cs="Times New Roman"/>
                <w:sz w:val="18"/>
                <w:lang w:val="en-ZA"/>
              </w:rPr>
              <w:t>R 82 342 932</w:t>
            </w:r>
          </w:p>
        </w:tc>
        <w:tc>
          <w:tcPr>
            <w:tcW w:w="599" w:type="pct"/>
          </w:tcPr>
          <w:p w14:paraId="74DB05ED" w14:textId="3815F9AD" w:rsidR="007F7ADD" w:rsidRPr="007F7ADD" w:rsidRDefault="007F7ADD" w:rsidP="007F7ADD">
            <w:pPr>
              <w:rPr>
                <w:rFonts w:eastAsia="Calibri" w:cs="Times New Roman"/>
                <w:sz w:val="18"/>
                <w:lang w:val="en-ZA"/>
              </w:rPr>
            </w:pPr>
            <w:r w:rsidRPr="007F7ADD">
              <w:rPr>
                <w:rFonts w:eastAsia="Calibri" w:cs="Times New Roman"/>
                <w:sz w:val="18"/>
                <w:lang w:val="en-ZA"/>
              </w:rPr>
              <w:t>Jun 2017</w:t>
            </w:r>
          </w:p>
        </w:tc>
      </w:tr>
      <w:tr w:rsidR="007F7ADD" w:rsidRPr="008123A7" w14:paraId="0A83ACD4" w14:textId="77777777" w:rsidTr="008123A7">
        <w:trPr>
          <w:trHeight w:val="265"/>
        </w:trPr>
        <w:tc>
          <w:tcPr>
            <w:tcW w:w="599" w:type="pct"/>
          </w:tcPr>
          <w:p w14:paraId="028CB661" w14:textId="3E182BE1" w:rsidR="007F7ADD" w:rsidRPr="007F7ADD" w:rsidRDefault="007F7ADD" w:rsidP="007F7ADD">
            <w:pPr>
              <w:rPr>
                <w:rFonts w:eastAsia="Calibri" w:cs="Times New Roman"/>
                <w:sz w:val="18"/>
                <w:lang w:val="en-ZA"/>
              </w:rPr>
            </w:pPr>
            <w:r w:rsidRPr="007F7ADD">
              <w:rPr>
                <w:rFonts w:eastAsia="Calibri" w:cs="Times New Roman"/>
                <w:sz w:val="18"/>
                <w:lang w:val="en-ZA"/>
              </w:rPr>
              <w:t>uMlalazi LM</w:t>
            </w:r>
          </w:p>
        </w:tc>
        <w:tc>
          <w:tcPr>
            <w:tcW w:w="516" w:type="pct"/>
          </w:tcPr>
          <w:p w14:paraId="6B3D5850" w14:textId="40581BE6" w:rsidR="007F7ADD" w:rsidRPr="007F7ADD" w:rsidRDefault="007F7ADD" w:rsidP="007F7ADD">
            <w:pPr>
              <w:jc w:val="center"/>
              <w:rPr>
                <w:rFonts w:eastAsia="Calibri" w:cs="Times New Roman"/>
                <w:sz w:val="18"/>
                <w:lang w:val="en-ZA"/>
              </w:rPr>
            </w:pPr>
            <w:r w:rsidRPr="007F7ADD">
              <w:rPr>
                <w:rFonts w:eastAsia="Calibri" w:cs="Times New Roman"/>
                <w:sz w:val="18"/>
                <w:lang w:val="en-ZA"/>
              </w:rPr>
              <w:t>9; 11 &amp; 13</w:t>
            </w:r>
          </w:p>
        </w:tc>
        <w:tc>
          <w:tcPr>
            <w:tcW w:w="971" w:type="pct"/>
          </w:tcPr>
          <w:p w14:paraId="2B71F44B" w14:textId="0F331322" w:rsidR="007F7ADD" w:rsidRPr="007F7ADD" w:rsidRDefault="007F7ADD" w:rsidP="007F7ADD">
            <w:pPr>
              <w:rPr>
                <w:rFonts w:eastAsia="Calibri" w:cs="Times New Roman"/>
                <w:sz w:val="18"/>
                <w:lang w:val="en-ZA"/>
              </w:rPr>
            </w:pPr>
            <w:r w:rsidRPr="007F7ADD">
              <w:rPr>
                <w:rFonts w:eastAsia="Calibri" w:cs="Times New Roman"/>
                <w:sz w:val="18"/>
                <w:lang w:val="en-ZA"/>
              </w:rPr>
              <w:t>Eshowe SSA 1</w:t>
            </w:r>
          </w:p>
        </w:tc>
        <w:tc>
          <w:tcPr>
            <w:tcW w:w="903" w:type="pct"/>
          </w:tcPr>
          <w:p w14:paraId="4DB5BC22" w14:textId="3571CB41" w:rsidR="007F7ADD" w:rsidRPr="007F7ADD" w:rsidRDefault="007F7ADD" w:rsidP="007F7ADD">
            <w:pPr>
              <w:rPr>
                <w:rFonts w:eastAsia="Calibri" w:cs="Times New Roman"/>
                <w:sz w:val="18"/>
                <w:lang w:val="en-ZA"/>
              </w:rPr>
            </w:pPr>
            <w:r w:rsidRPr="007F7ADD">
              <w:rPr>
                <w:rFonts w:eastAsia="Calibri" w:cs="Times New Roman"/>
                <w:sz w:val="18"/>
                <w:lang w:val="en-ZA"/>
              </w:rPr>
              <w:t>Bulk Water Supply, construction of 4 reservoirs &amp; a pumpstation</w:t>
            </w:r>
          </w:p>
        </w:tc>
        <w:tc>
          <w:tcPr>
            <w:tcW w:w="683" w:type="pct"/>
          </w:tcPr>
          <w:p w14:paraId="4FFF4ADA" w14:textId="698F5686" w:rsidR="007F7ADD" w:rsidRPr="007F7ADD" w:rsidRDefault="007F7ADD" w:rsidP="007F7ADD">
            <w:pPr>
              <w:jc w:val="center"/>
              <w:rPr>
                <w:rFonts w:eastAsia="Calibri" w:cs="Times New Roman"/>
                <w:sz w:val="18"/>
                <w:lang w:val="en-ZA"/>
              </w:rPr>
            </w:pPr>
            <w:r w:rsidRPr="007F7ADD">
              <w:rPr>
                <w:rFonts w:eastAsia="Calibri" w:cs="Times New Roman"/>
                <w:sz w:val="18"/>
                <w:lang w:val="en-ZA"/>
              </w:rPr>
              <w:t>91%</w:t>
            </w:r>
          </w:p>
        </w:tc>
        <w:tc>
          <w:tcPr>
            <w:tcW w:w="728" w:type="pct"/>
          </w:tcPr>
          <w:p w14:paraId="0FE7799F" w14:textId="3AF751AF" w:rsidR="007F7ADD" w:rsidRPr="007F7ADD" w:rsidRDefault="007F7ADD" w:rsidP="007F7ADD">
            <w:pPr>
              <w:rPr>
                <w:rFonts w:eastAsia="Calibri" w:cs="Times New Roman"/>
                <w:sz w:val="18"/>
                <w:lang w:val="en-ZA"/>
              </w:rPr>
            </w:pPr>
            <w:r w:rsidRPr="007F7ADD">
              <w:rPr>
                <w:rFonts w:eastAsia="Calibri" w:cs="Times New Roman"/>
                <w:sz w:val="18"/>
                <w:lang w:val="en-ZA"/>
              </w:rPr>
              <w:t>R107 153 531</w:t>
            </w:r>
          </w:p>
        </w:tc>
        <w:tc>
          <w:tcPr>
            <w:tcW w:w="599" w:type="pct"/>
          </w:tcPr>
          <w:p w14:paraId="3E3175DE" w14:textId="3D057BD8" w:rsidR="007F7ADD" w:rsidRPr="007F7ADD" w:rsidRDefault="007F7ADD" w:rsidP="007F7ADD">
            <w:pPr>
              <w:rPr>
                <w:rFonts w:eastAsia="Calibri" w:cs="Times New Roman"/>
                <w:sz w:val="18"/>
                <w:lang w:val="en-ZA"/>
              </w:rPr>
            </w:pPr>
            <w:r w:rsidRPr="007F7ADD">
              <w:rPr>
                <w:rFonts w:eastAsia="Calibri" w:cs="Times New Roman"/>
                <w:sz w:val="18"/>
                <w:lang w:val="en-ZA"/>
              </w:rPr>
              <w:t>Jun 2017</w:t>
            </w:r>
          </w:p>
        </w:tc>
      </w:tr>
    </w:tbl>
    <w:p w14:paraId="19A3C7AA" w14:textId="3B2F77A2" w:rsidR="007F7ADD" w:rsidRDefault="007F7ADD" w:rsidP="007F7ADD">
      <w:pPr>
        <w:pStyle w:val="Heading3"/>
        <w:numPr>
          <w:ilvl w:val="3"/>
          <w:numId w:val="12"/>
        </w:numPr>
      </w:pPr>
      <w:bookmarkStart w:id="738" w:name="_Toc510706707"/>
      <w:r>
        <w:t>KCDM Ongoing 3 Year Sanitation Projects</w:t>
      </w:r>
      <w:bookmarkEnd w:id="738"/>
    </w:p>
    <w:tbl>
      <w:tblPr>
        <w:tblStyle w:val="TableGrid13"/>
        <w:tblW w:w="5429" w:type="pct"/>
        <w:tblInd w:w="-289" w:type="dxa"/>
        <w:tblLook w:val="0600" w:firstRow="0" w:lastRow="0" w:firstColumn="0" w:lastColumn="0" w:noHBand="1" w:noVBand="1"/>
      </w:tblPr>
      <w:tblGrid>
        <w:gridCol w:w="1334"/>
        <w:gridCol w:w="902"/>
        <w:gridCol w:w="632"/>
        <w:gridCol w:w="640"/>
        <w:gridCol w:w="1005"/>
        <w:gridCol w:w="1165"/>
        <w:gridCol w:w="1007"/>
        <w:gridCol w:w="815"/>
        <w:gridCol w:w="879"/>
        <w:gridCol w:w="879"/>
        <w:gridCol w:w="873"/>
      </w:tblGrid>
      <w:tr w:rsidR="007F7ADD" w:rsidRPr="007F7ADD" w14:paraId="2A7BE68C" w14:textId="77777777" w:rsidTr="007F7ADD">
        <w:trPr>
          <w:trHeight w:val="282"/>
        </w:trPr>
        <w:tc>
          <w:tcPr>
            <w:tcW w:w="658" w:type="pct"/>
            <w:shd w:val="clear" w:color="auto" w:fill="C4BC96" w:themeFill="background2" w:themeFillShade="BF"/>
            <w:hideMark/>
          </w:tcPr>
          <w:p w14:paraId="3C8251D0" w14:textId="77777777" w:rsidR="007F7ADD" w:rsidRPr="007F7ADD" w:rsidRDefault="007F7ADD" w:rsidP="007F7ADD">
            <w:pPr>
              <w:jc w:val="center"/>
              <w:rPr>
                <w:rFonts w:eastAsia="Calibri" w:cs="Times New Roman"/>
                <w:b/>
                <w:sz w:val="18"/>
                <w:lang w:val="en-ZA"/>
              </w:rPr>
            </w:pPr>
            <w:r w:rsidRPr="007F7ADD">
              <w:rPr>
                <w:rFonts w:eastAsia="Calibri" w:cs="Times New Roman"/>
                <w:b/>
                <w:sz w:val="18"/>
                <w:lang w:val="en-ZA"/>
              </w:rPr>
              <w:t>Project Name</w:t>
            </w:r>
          </w:p>
        </w:tc>
        <w:tc>
          <w:tcPr>
            <w:tcW w:w="445" w:type="pct"/>
            <w:shd w:val="clear" w:color="auto" w:fill="C4BC96" w:themeFill="background2" w:themeFillShade="BF"/>
            <w:hideMark/>
          </w:tcPr>
          <w:p w14:paraId="6E89758C" w14:textId="77777777" w:rsidR="007F7ADD" w:rsidRPr="007F7ADD" w:rsidRDefault="007F7ADD" w:rsidP="007F7ADD">
            <w:pPr>
              <w:jc w:val="center"/>
              <w:rPr>
                <w:rFonts w:eastAsia="Calibri" w:cs="Times New Roman"/>
                <w:b/>
                <w:sz w:val="18"/>
                <w:lang w:val="en-ZA"/>
              </w:rPr>
            </w:pPr>
            <w:r w:rsidRPr="007F7ADD">
              <w:rPr>
                <w:rFonts w:eastAsia="Calibri" w:cs="Times New Roman"/>
                <w:b/>
                <w:sz w:val="18"/>
                <w:lang w:val="en-ZA"/>
              </w:rPr>
              <w:t>Ward</w:t>
            </w:r>
          </w:p>
        </w:tc>
        <w:tc>
          <w:tcPr>
            <w:tcW w:w="312" w:type="pct"/>
            <w:shd w:val="clear" w:color="auto" w:fill="C4BC96" w:themeFill="background2" w:themeFillShade="BF"/>
            <w:hideMark/>
          </w:tcPr>
          <w:p w14:paraId="2A6F65A9" w14:textId="77777777" w:rsidR="007F7ADD" w:rsidRPr="007F7ADD" w:rsidRDefault="007F7ADD" w:rsidP="007F7ADD">
            <w:pPr>
              <w:jc w:val="center"/>
              <w:rPr>
                <w:rFonts w:eastAsia="Calibri" w:cs="Times New Roman"/>
                <w:b/>
                <w:sz w:val="18"/>
                <w:lang w:val="en-ZA"/>
              </w:rPr>
            </w:pPr>
            <w:r w:rsidRPr="007F7ADD">
              <w:rPr>
                <w:rFonts w:eastAsia="Calibri" w:cs="Times New Roman"/>
                <w:b/>
                <w:sz w:val="18"/>
                <w:lang w:val="en-ZA"/>
              </w:rPr>
              <w:t>Start</w:t>
            </w:r>
          </w:p>
        </w:tc>
        <w:tc>
          <w:tcPr>
            <w:tcW w:w="316" w:type="pct"/>
            <w:shd w:val="clear" w:color="auto" w:fill="C4BC96" w:themeFill="background2" w:themeFillShade="BF"/>
            <w:hideMark/>
          </w:tcPr>
          <w:p w14:paraId="0E9BCA28" w14:textId="77777777" w:rsidR="007F7ADD" w:rsidRPr="007F7ADD" w:rsidRDefault="007F7ADD" w:rsidP="007F7ADD">
            <w:pPr>
              <w:jc w:val="center"/>
              <w:rPr>
                <w:rFonts w:eastAsia="Calibri" w:cs="Times New Roman"/>
                <w:b/>
                <w:sz w:val="18"/>
                <w:lang w:val="en-ZA"/>
              </w:rPr>
            </w:pPr>
            <w:r w:rsidRPr="007F7ADD">
              <w:rPr>
                <w:rFonts w:eastAsia="Calibri" w:cs="Times New Roman"/>
                <w:b/>
                <w:sz w:val="18"/>
                <w:lang w:val="en-ZA"/>
              </w:rPr>
              <w:t>End</w:t>
            </w:r>
          </w:p>
        </w:tc>
        <w:tc>
          <w:tcPr>
            <w:tcW w:w="496" w:type="pct"/>
            <w:shd w:val="clear" w:color="auto" w:fill="C4BC96" w:themeFill="background2" w:themeFillShade="BF"/>
            <w:hideMark/>
          </w:tcPr>
          <w:p w14:paraId="09A71822" w14:textId="77777777" w:rsidR="007F7ADD" w:rsidRPr="007F7ADD" w:rsidRDefault="007F7ADD" w:rsidP="007F7ADD">
            <w:pPr>
              <w:jc w:val="center"/>
              <w:rPr>
                <w:rFonts w:eastAsia="Calibri" w:cs="Times New Roman"/>
                <w:b/>
                <w:sz w:val="18"/>
                <w:lang w:val="en-ZA"/>
              </w:rPr>
            </w:pPr>
            <w:r w:rsidRPr="007F7ADD">
              <w:rPr>
                <w:rFonts w:eastAsia="Calibri" w:cs="Times New Roman"/>
                <w:b/>
                <w:sz w:val="18"/>
                <w:lang w:val="en-ZA"/>
              </w:rPr>
              <w:t>Estimated Cost</w:t>
            </w:r>
          </w:p>
        </w:tc>
        <w:tc>
          <w:tcPr>
            <w:tcW w:w="575" w:type="pct"/>
            <w:shd w:val="clear" w:color="auto" w:fill="C4BC96" w:themeFill="background2" w:themeFillShade="BF"/>
            <w:hideMark/>
          </w:tcPr>
          <w:p w14:paraId="6A557B49" w14:textId="77777777" w:rsidR="007F7ADD" w:rsidRPr="007F7ADD" w:rsidRDefault="007F7ADD" w:rsidP="007F7ADD">
            <w:pPr>
              <w:jc w:val="center"/>
              <w:rPr>
                <w:rFonts w:eastAsia="Calibri" w:cs="Times New Roman"/>
                <w:b/>
                <w:sz w:val="18"/>
                <w:lang w:val="en-ZA"/>
              </w:rPr>
            </w:pPr>
            <w:r w:rsidRPr="007F7ADD">
              <w:rPr>
                <w:rFonts w:eastAsia="Calibri" w:cs="Times New Roman"/>
                <w:b/>
                <w:sz w:val="18"/>
                <w:lang w:val="en-ZA"/>
              </w:rPr>
              <w:t>Expenditure to date</w:t>
            </w:r>
          </w:p>
        </w:tc>
        <w:tc>
          <w:tcPr>
            <w:tcW w:w="497" w:type="pct"/>
            <w:shd w:val="clear" w:color="auto" w:fill="C4BC96" w:themeFill="background2" w:themeFillShade="BF"/>
            <w:hideMark/>
          </w:tcPr>
          <w:p w14:paraId="6C677C6E" w14:textId="77777777" w:rsidR="007F7ADD" w:rsidRPr="007F7ADD" w:rsidRDefault="007F7ADD" w:rsidP="007F7ADD">
            <w:pPr>
              <w:jc w:val="center"/>
              <w:rPr>
                <w:rFonts w:eastAsia="Calibri" w:cs="Times New Roman"/>
                <w:b/>
                <w:sz w:val="18"/>
                <w:lang w:val="en-ZA"/>
              </w:rPr>
            </w:pPr>
            <w:r w:rsidRPr="007F7ADD">
              <w:rPr>
                <w:rFonts w:eastAsia="Calibri" w:cs="Times New Roman"/>
                <w:b/>
                <w:sz w:val="18"/>
                <w:lang w:val="en-ZA"/>
              </w:rPr>
              <w:t>% Progress</w:t>
            </w:r>
          </w:p>
        </w:tc>
        <w:tc>
          <w:tcPr>
            <w:tcW w:w="402" w:type="pct"/>
            <w:shd w:val="clear" w:color="auto" w:fill="C4BC96" w:themeFill="background2" w:themeFillShade="BF"/>
            <w:hideMark/>
          </w:tcPr>
          <w:p w14:paraId="591D6ACA" w14:textId="77777777" w:rsidR="007F7ADD" w:rsidRPr="007F7ADD" w:rsidRDefault="007F7ADD" w:rsidP="007F7ADD">
            <w:pPr>
              <w:jc w:val="center"/>
              <w:rPr>
                <w:rFonts w:eastAsia="Calibri" w:cs="Times New Roman"/>
                <w:b/>
                <w:sz w:val="18"/>
                <w:lang w:val="en-ZA"/>
              </w:rPr>
            </w:pPr>
            <w:r w:rsidRPr="007F7ADD">
              <w:rPr>
                <w:rFonts w:eastAsia="Calibri" w:cs="Times New Roman"/>
                <w:b/>
                <w:sz w:val="18"/>
                <w:lang w:val="en-ZA"/>
              </w:rPr>
              <w:t>Sub-Wards</w:t>
            </w:r>
          </w:p>
        </w:tc>
        <w:tc>
          <w:tcPr>
            <w:tcW w:w="434" w:type="pct"/>
            <w:shd w:val="clear" w:color="auto" w:fill="C4BC96" w:themeFill="background2" w:themeFillShade="BF"/>
            <w:hideMark/>
          </w:tcPr>
          <w:p w14:paraId="5896B7B3" w14:textId="77777777" w:rsidR="007F7ADD" w:rsidRPr="007F7ADD" w:rsidRDefault="007F7ADD" w:rsidP="007F7ADD">
            <w:pPr>
              <w:jc w:val="center"/>
              <w:rPr>
                <w:rFonts w:eastAsia="Calibri" w:cs="Times New Roman"/>
                <w:b/>
                <w:sz w:val="18"/>
                <w:lang w:val="en-ZA"/>
              </w:rPr>
            </w:pPr>
            <w:r w:rsidRPr="007F7ADD">
              <w:rPr>
                <w:rFonts w:eastAsia="Calibri" w:cs="Times New Roman"/>
                <w:b/>
                <w:sz w:val="18"/>
                <w:lang w:val="en-ZA"/>
              </w:rPr>
              <w:t>2017/18</w:t>
            </w:r>
          </w:p>
        </w:tc>
        <w:tc>
          <w:tcPr>
            <w:tcW w:w="434" w:type="pct"/>
            <w:shd w:val="clear" w:color="auto" w:fill="C4BC96" w:themeFill="background2" w:themeFillShade="BF"/>
            <w:hideMark/>
          </w:tcPr>
          <w:p w14:paraId="29123295" w14:textId="77777777" w:rsidR="007F7ADD" w:rsidRPr="007F7ADD" w:rsidRDefault="007F7ADD" w:rsidP="007F7ADD">
            <w:pPr>
              <w:jc w:val="center"/>
              <w:rPr>
                <w:rFonts w:eastAsia="Calibri" w:cs="Times New Roman"/>
                <w:b/>
                <w:sz w:val="18"/>
                <w:lang w:val="en-ZA"/>
              </w:rPr>
            </w:pPr>
            <w:r w:rsidRPr="007F7ADD">
              <w:rPr>
                <w:rFonts w:eastAsia="Calibri" w:cs="Times New Roman"/>
                <w:b/>
                <w:sz w:val="18"/>
                <w:lang w:val="en-ZA"/>
              </w:rPr>
              <w:t>2018/19</w:t>
            </w:r>
          </w:p>
        </w:tc>
        <w:tc>
          <w:tcPr>
            <w:tcW w:w="431" w:type="pct"/>
            <w:shd w:val="clear" w:color="auto" w:fill="C4BC96" w:themeFill="background2" w:themeFillShade="BF"/>
            <w:hideMark/>
          </w:tcPr>
          <w:p w14:paraId="3A2B4ED4" w14:textId="77777777" w:rsidR="007F7ADD" w:rsidRPr="007F7ADD" w:rsidRDefault="007F7ADD" w:rsidP="007F7ADD">
            <w:pPr>
              <w:jc w:val="center"/>
              <w:rPr>
                <w:rFonts w:eastAsia="Calibri" w:cs="Times New Roman"/>
                <w:b/>
                <w:sz w:val="18"/>
                <w:lang w:val="en-ZA"/>
              </w:rPr>
            </w:pPr>
            <w:r w:rsidRPr="007F7ADD">
              <w:rPr>
                <w:rFonts w:eastAsia="Calibri" w:cs="Times New Roman"/>
                <w:b/>
                <w:sz w:val="18"/>
                <w:lang w:val="en-ZA"/>
              </w:rPr>
              <w:t>2019/20</w:t>
            </w:r>
          </w:p>
        </w:tc>
      </w:tr>
      <w:tr w:rsidR="007F7ADD" w:rsidRPr="007F7ADD" w14:paraId="794DA291" w14:textId="77777777" w:rsidTr="007F7ADD">
        <w:trPr>
          <w:trHeight w:val="282"/>
        </w:trPr>
        <w:tc>
          <w:tcPr>
            <w:tcW w:w="658" w:type="pct"/>
            <w:hideMark/>
          </w:tcPr>
          <w:p w14:paraId="6E483FEE" w14:textId="77777777" w:rsidR="007F7ADD" w:rsidRPr="007F7ADD" w:rsidRDefault="007F7ADD" w:rsidP="007F7ADD">
            <w:pPr>
              <w:jc w:val="center"/>
              <w:rPr>
                <w:rFonts w:eastAsia="Calibri" w:cs="Times New Roman"/>
                <w:sz w:val="18"/>
                <w:lang w:val="en-ZA"/>
              </w:rPr>
            </w:pPr>
            <w:r w:rsidRPr="007F7ADD">
              <w:rPr>
                <w:rFonts w:eastAsia="Calibri" w:cs="Times New Roman"/>
                <w:sz w:val="18"/>
                <w:lang w:val="en-ZA"/>
              </w:rPr>
              <w:t>284 -9 &amp; 10- VIP Sanitation Project</w:t>
            </w:r>
          </w:p>
        </w:tc>
        <w:tc>
          <w:tcPr>
            <w:tcW w:w="445" w:type="pct"/>
            <w:hideMark/>
          </w:tcPr>
          <w:p w14:paraId="64C97AB4" w14:textId="77777777" w:rsidR="007F7ADD" w:rsidRPr="007F7ADD" w:rsidRDefault="007F7ADD" w:rsidP="007F7ADD">
            <w:pPr>
              <w:jc w:val="center"/>
              <w:rPr>
                <w:rFonts w:eastAsia="Calibri" w:cs="Times New Roman"/>
                <w:sz w:val="18"/>
                <w:lang w:val="en-ZA"/>
              </w:rPr>
            </w:pPr>
            <w:r w:rsidRPr="007F7ADD">
              <w:rPr>
                <w:rFonts w:eastAsia="Calibri" w:cs="Times New Roman"/>
                <w:sz w:val="18"/>
                <w:lang w:val="en-ZA"/>
              </w:rPr>
              <w:t>6, 15,16,17 &amp; 21</w:t>
            </w:r>
          </w:p>
        </w:tc>
        <w:tc>
          <w:tcPr>
            <w:tcW w:w="312" w:type="pct"/>
            <w:hideMark/>
          </w:tcPr>
          <w:p w14:paraId="2075454D" w14:textId="77777777" w:rsidR="007F7ADD" w:rsidRPr="007F7ADD" w:rsidRDefault="007F7ADD" w:rsidP="007F7ADD">
            <w:pPr>
              <w:jc w:val="center"/>
              <w:rPr>
                <w:rFonts w:eastAsia="Calibri" w:cs="Times New Roman"/>
                <w:sz w:val="18"/>
                <w:lang w:val="en-ZA"/>
              </w:rPr>
            </w:pPr>
            <w:r w:rsidRPr="007F7ADD">
              <w:rPr>
                <w:rFonts w:eastAsia="Calibri" w:cs="Times New Roman"/>
                <w:sz w:val="18"/>
                <w:lang w:val="en-ZA"/>
              </w:rPr>
              <w:t>Nov 2016</w:t>
            </w:r>
          </w:p>
        </w:tc>
        <w:tc>
          <w:tcPr>
            <w:tcW w:w="316" w:type="pct"/>
            <w:hideMark/>
          </w:tcPr>
          <w:p w14:paraId="4DF062C1" w14:textId="77777777" w:rsidR="007F7ADD" w:rsidRPr="007F7ADD" w:rsidRDefault="007F7ADD" w:rsidP="007F7ADD">
            <w:pPr>
              <w:jc w:val="center"/>
              <w:rPr>
                <w:rFonts w:eastAsia="Calibri" w:cs="Times New Roman"/>
                <w:sz w:val="18"/>
                <w:lang w:val="en-ZA"/>
              </w:rPr>
            </w:pPr>
            <w:r w:rsidRPr="007F7ADD">
              <w:rPr>
                <w:rFonts w:eastAsia="Calibri" w:cs="Times New Roman"/>
                <w:sz w:val="18"/>
                <w:lang w:val="en-ZA"/>
              </w:rPr>
              <w:t>June</w:t>
            </w:r>
          </w:p>
          <w:p w14:paraId="1A096068" w14:textId="77777777" w:rsidR="007F7ADD" w:rsidRPr="007F7ADD" w:rsidRDefault="007F7ADD" w:rsidP="007F7ADD">
            <w:pPr>
              <w:jc w:val="center"/>
              <w:rPr>
                <w:rFonts w:eastAsia="Calibri" w:cs="Times New Roman"/>
                <w:sz w:val="18"/>
                <w:lang w:val="en-ZA"/>
              </w:rPr>
            </w:pPr>
            <w:r w:rsidRPr="007F7ADD">
              <w:rPr>
                <w:rFonts w:eastAsia="Calibri" w:cs="Times New Roman"/>
                <w:sz w:val="18"/>
                <w:lang w:val="en-ZA"/>
              </w:rPr>
              <w:t>2020</w:t>
            </w:r>
          </w:p>
        </w:tc>
        <w:tc>
          <w:tcPr>
            <w:tcW w:w="496" w:type="pct"/>
            <w:hideMark/>
          </w:tcPr>
          <w:p w14:paraId="74C42489" w14:textId="77777777" w:rsidR="007F7ADD" w:rsidRPr="007F7ADD" w:rsidRDefault="007F7ADD" w:rsidP="007F7ADD">
            <w:pPr>
              <w:jc w:val="center"/>
              <w:rPr>
                <w:rFonts w:eastAsia="Calibri" w:cs="Times New Roman"/>
                <w:sz w:val="18"/>
                <w:lang w:val="en-ZA"/>
              </w:rPr>
            </w:pPr>
            <w:r w:rsidRPr="007F7ADD">
              <w:rPr>
                <w:rFonts w:eastAsia="Calibri" w:cs="Times New Roman"/>
                <w:sz w:val="18"/>
                <w:lang w:val="en-ZA"/>
              </w:rPr>
              <w:t>R  77 300 000</w:t>
            </w:r>
          </w:p>
        </w:tc>
        <w:tc>
          <w:tcPr>
            <w:tcW w:w="575" w:type="pct"/>
            <w:hideMark/>
          </w:tcPr>
          <w:p w14:paraId="23BA82CC" w14:textId="77777777" w:rsidR="007F7ADD" w:rsidRPr="007F7ADD" w:rsidRDefault="007F7ADD" w:rsidP="007F7ADD">
            <w:pPr>
              <w:jc w:val="center"/>
              <w:rPr>
                <w:rFonts w:eastAsia="Calibri" w:cs="Times New Roman"/>
                <w:sz w:val="18"/>
                <w:lang w:val="en-ZA"/>
              </w:rPr>
            </w:pPr>
            <w:r w:rsidRPr="007F7ADD">
              <w:rPr>
                <w:rFonts w:eastAsia="Calibri" w:cs="Times New Roman"/>
                <w:sz w:val="18"/>
                <w:lang w:val="en-ZA"/>
              </w:rPr>
              <w:t>R 23 190 000</w:t>
            </w:r>
          </w:p>
        </w:tc>
        <w:tc>
          <w:tcPr>
            <w:tcW w:w="497" w:type="pct"/>
            <w:hideMark/>
          </w:tcPr>
          <w:p w14:paraId="45389CA8" w14:textId="77777777" w:rsidR="007F7ADD" w:rsidRPr="007F7ADD" w:rsidRDefault="007F7ADD" w:rsidP="007F7ADD">
            <w:pPr>
              <w:jc w:val="center"/>
              <w:rPr>
                <w:rFonts w:eastAsia="Calibri" w:cs="Times New Roman"/>
                <w:sz w:val="18"/>
                <w:lang w:val="en-ZA"/>
              </w:rPr>
            </w:pPr>
            <w:r w:rsidRPr="007F7ADD">
              <w:rPr>
                <w:rFonts w:eastAsia="Calibri" w:cs="Times New Roman"/>
                <w:sz w:val="18"/>
                <w:lang w:val="en-ZA"/>
              </w:rPr>
              <w:t>30%</w:t>
            </w:r>
          </w:p>
        </w:tc>
        <w:tc>
          <w:tcPr>
            <w:tcW w:w="402" w:type="pct"/>
            <w:hideMark/>
          </w:tcPr>
          <w:p w14:paraId="27DEBCFD" w14:textId="77777777" w:rsidR="007F7ADD" w:rsidRPr="007F7ADD" w:rsidRDefault="007F7ADD" w:rsidP="007F7ADD">
            <w:pPr>
              <w:jc w:val="center"/>
              <w:rPr>
                <w:rFonts w:eastAsia="Calibri" w:cs="Times New Roman"/>
                <w:sz w:val="18"/>
                <w:lang w:val="en-ZA"/>
              </w:rPr>
            </w:pPr>
            <w:r w:rsidRPr="007F7ADD">
              <w:rPr>
                <w:rFonts w:eastAsia="Calibri" w:cs="Times New Roman"/>
                <w:sz w:val="18"/>
                <w:lang w:val="en-ZA"/>
              </w:rPr>
              <w:t>ALL SUB WARDS</w:t>
            </w:r>
          </w:p>
        </w:tc>
        <w:tc>
          <w:tcPr>
            <w:tcW w:w="434" w:type="pct"/>
            <w:hideMark/>
          </w:tcPr>
          <w:p w14:paraId="2704F53A" w14:textId="77777777" w:rsidR="007F7ADD" w:rsidRPr="007F7ADD" w:rsidRDefault="007F7ADD" w:rsidP="007F7ADD">
            <w:pPr>
              <w:jc w:val="center"/>
              <w:rPr>
                <w:rFonts w:eastAsia="Calibri" w:cs="Times New Roman"/>
                <w:sz w:val="18"/>
                <w:lang w:val="en-ZA"/>
              </w:rPr>
            </w:pPr>
            <w:r w:rsidRPr="007F7ADD">
              <w:rPr>
                <w:rFonts w:eastAsia="Calibri" w:cs="Times New Roman"/>
                <w:sz w:val="18"/>
                <w:lang w:val="en-ZA"/>
              </w:rPr>
              <w:t>R  32 300 000</w:t>
            </w:r>
          </w:p>
        </w:tc>
        <w:tc>
          <w:tcPr>
            <w:tcW w:w="434" w:type="pct"/>
            <w:hideMark/>
          </w:tcPr>
          <w:p w14:paraId="04407835" w14:textId="77777777" w:rsidR="007F7ADD" w:rsidRPr="007F7ADD" w:rsidRDefault="007F7ADD" w:rsidP="007F7ADD">
            <w:pPr>
              <w:jc w:val="center"/>
              <w:rPr>
                <w:rFonts w:eastAsia="Calibri" w:cs="Times New Roman"/>
                <w:sz w:val="18"/>
                <w:lang w:val="en-ZA"/>
              </w:rPr>
            </w:pPr>
            <w:r w:rsidRPr="007F7ADD">
              <w:rPr>
                <w:rFonts w:eastAsia="Calibri" w:cs="Times New Roman"/>
                <w:sz w:val="18"/>
                <w:lang w:val="en-ZA"/>
              </w:rPr>
              <w:t>R 25 000 000</w:t>
            </w:r>
          </w:p>
        </w:tc>
        <w:tc>
          <w:tcPr>
            <w:tcW w:w="431" w:type="pct"/>
            <w:hideMark/>
          </w:tcPr>
          <w:p w14:paraId="38503D54" w14:textId="77777777" w:rsidR="007F7ADD" w:rsidRPr="007F7ADD" w:rsidRDefault="007F7ADD" w:rsidP="007F7ADD">
            <w:pPr>
              <w:jc w:val="center"/>
              <w:rPr>
                <w:rFonts w:eastAsia="Calibri" w:cs="Times New Roman"/>
                <w:sz w:val="18"/>
                <w:lang w:val="en-ZA"/>
              </w:rPr>
            </w:pPr>
            <w:r w:rsidRPr="007F7ADD">
              <w:rPr>
                <w:rFonts w:eastAsia="Calibri" w:cs="Times New Roman"/>
                <w:sz w:val="18"/>
                <w:lang w:val="en-ZA"/>
              </w:rPr>
              <w:t>R 20 000 000</w:t>
            </w:r>
          </w:p>
        </w:tc>
      </w:tr>
      <w:tr w:rsidR="007F7ADD" w:rsidRPr="007F7ADD" w14:paraId="323DCAD1" w14:textId="77777777" w:rsidTr="007F7ADD">
        <w:trPr>
          <w:trHeight w:val="282"/>
        </w:trPr>
        <w:tc>
          <w:tcPr>
            <w:tcW w:w="658" w:type="pct"/>
            <w:hideMark/>
          </w:tcPr>
          <w:p w14:paraId="326299D3" w14:textId="77777777" w:rsidR="007F7ADD" w:rsidRPr="007F7ADD" w:rsidRDefault="007F7ADD" w:rsidP="007F7ADD">
            <w:pPr>
              <w:jc w:val="center"/>
              <w:rPr>
                <w:rFonts w:eastAsia="Calibri" w:cs="Times New Roman"/>
                <w:sz w:val="18"/>
                <w:lang w:val="en-ZA"/>
              </w:rPr>
            </w:pPr>
            <w:r w:rsidRPr="007F7ADD">
              <w:rPr>
                <w:rFonts w:eastAsia="Calibri" w:cs="Times New Roman"/>
                <w:sz w:val="18"/>
                <w:lang w:val="en-ZA"/>
              </w:rPr>
              <w:t>Eshowe Sewer</w:t>
            </w:r>
          </w:p>
        </w:tc>
        <w:tc>
          <w:tcPr>
            <w:tcW w:w="445" w:type="pct"/>
            <w:hideMark/>
          </w:tcPr>
          <w:p w14:paraId="0BB404F4" w14:textId="4258F59C" w:rsidR="007F7ADD" w:rsidRPr="007F7ADD" w:rsidRDefault="007F7ADD" w:rsidP="007F7ADD">
            <w:pPr>
              <w:jc w:val="center"/>
              <w:rPr>
                <w:rFonts w:eastAsia="Calibri" w:cs="Times New Roman"/>
                <w:sz w:val="18"/>
                <w:lang w:val="en-ZA"/>
              </w:rPr>
            </w:pPr>
            <w:r>
              <w:rPr>
                <w:rFonts w:eastAsia="Calibri" w:cs="Times New Roman"/>
                <w:sz w:val="18"/>
                <w:lang w:val="en-ZA"/>
              </w:rPr>
              <w:t>12</w:t>
            </w:r>
          </w:p>
        </w:tc>
        <w:tc>
          <w:tcPr>
            <w:tcW w:w="312" w:type="pct"/>
            <w:hideMark/>
          </w:tcPr>
          <w:p w14:paraId="142EBB31" w14:textId="77777777" w:rsidR="007F7ADD" w:rsidRPr="007F7ADD" w:rsidRDefault="007F7ADD" w:rsidP="007F7ADD">
            <w:pPr>
              <w:jc w:val="center"/>
              <w:rPr>
                <w:rFonts w:eastAsia="Calibri" w:cs="Times New Roman"/>
                <w:sz w:val="18"/>
                <w:lang w:val="en-ZA"/>
              </w:rPr>
            </w:pPr>
            <w:r w:rsidRPr="007F7ADD">
              <w:rPr>
                <w:rFonts w:eastAsia="Calibri" w:cs="Times New Roman"/>
                <w:sz w:val="18"/>
                <w:lang w:val="en-ZA"/>
              </w:rPr>
              <w:t>Feb-18</w:t>
            </w:r>
          </w:p>
        </w:tc>
        <w:tc>
          <w:tcPr>
            <w:tcW w:w="316" w:type="pct"/>
            <w:hideMark/>
          </w:tcPr>
          <w:p w14:paraId="5FD00344" w14:textId="77777777" w:rsidR="007F7ADD" w:rsidRPr="007F7ADD" w:rsidRDefault="007F7ADD" w:rsidP="007F7ADD">
            <w:pPr>
              <w:jc w:val="center"/>
              <w:rPr>
                <w:rFonts w:eastAsia="Calibri" w:cs="Times New Roman"/>
                <w:sz w:val="18"/>
                <w:lang w:val="en-ZA"/>
              </w:rPr>
            </w:pPr>
            <w:r w:rsidRPr="007F7ADD">
              <w:rPr>
                <w:rFonts w:eastAsia="Calibri" w:cs="Times New Roman"/>
                <w:sz w:val="18"/>
                <w:lang w:val="en-ZA"/>
              </w:rPr>
              <w:t xml:space="preserve">June 2020 </w:t>
            </w:r>
          </w:p>
        </w:tc>
        <w:tc>
          <w:tcPr>
            <w:tcW w:w="496" w:type="pct"/>
            <w:hideMark/>
          </w:tcPr>
          <w:p w14:paraId="4A1A37F2" w14:textId="77777777" w:rsidR="007F7ADD" w:rsidRPr="007F7ADD" w:rsidRDefault="007F7ADD" w:rsidP="007F7ADD">
            <w:pPr>
              <w:jc w:val="center"/>
              <w:rPr>
                <w:rFonts w:eastAsia="Calibri" w:cs="Times New Roman"/>
                <w:sz w:val="18"/>
                <w:lang w:val="en-ZA"/>
              </w:rPr>
            </w:pPr>
            <w:r w:rsidRPr="007F7ADD">
              <w:rPr>
                <w:rFonts w:eastAsia="Calibri" w:cs="Times New Roman"/>
                <w:sz w:val="18"/>
                <w:lang w:val="en-ZA"/>
              </w:rPr>
              <w:t>R36 00 000</w:t>
            </w:r>
          </w:p>
        </w:tc>
        <w:tc>
          <w:tcPr>
            <w:tcW w:w="575" w:type="pct"/>
            <w:hideMark/>
          </w:tcPr>
          <w:p w14:paraId="6AE11C7F" w14:textId="77777777" w:rsidR="007F7ADD" w:rsidRPr="007F7ADD" w:rsidRDefault="007F7ADD" w:rsidP="007F7ADD">
            <w:pPr>
              <w:jc w:val="center"/>
              <w:rPr>
                <w:rFonts w:eastAsia="Calibri" w:cs="Times New Roman"/>
                <w:sz w:val="18"/>
                <w:lang w:val="en-ZA"/>
              </w:rPr>
            </w:pPr>
            <w:r w:rsidRPr="007F7ADD">
              <w:rPr>
                <w:rFonts w:eastAsia="Calibri" w:cs="Times New Roman"/>
                <w:sz w:val="18"/>
                <w:lang w:val="en-ZA"/>
              </w:rPr>
              <w:t>-</w:t>
            </w:r>
          </w:p>
        </w:tc>
        <w:tc>
          <w:tcPr>
            <w:tcW w:w="497" w:type="pct"/>
            <w:hideMark/>
          </w:tcPr>
          <w:p w14:paraId="590F2F51" w14:textId="77777777" w:rsidR="007F7ADD" w:rsidRPr="007F7ADD" w:rsidRDefault="007F7ADD" w:rsidP="007F7ADD">
            <w:pPr>
              <w:jc w:val="center"/>
              <w:rPr>
                <w:rFonts w:eastAsia="Calibri" w:cs="Times New Roman"/>
                <w:sz w:val="18"/>
                <w:lang w:val="en-ZA"/>
              </w:rPr>
            </w:pPr>
            <w:r w:rsidRPr="007F7ADD">
              <w:rPr>
                <w:rFonts w:eastAsia="Calibri" w:cs="Times New Roman"/>
                <w:sz w:val="18"/>
                <w:lang w:val="en-ZA"/>
              </w:rPr>
              <w:t>0%</w:t>
            </w:r>
          </w:p>
        </w:tc>
        <w:tc>
          <w:tcPr>
            <w:tcW w:w="402" w:type="pct"/>
            <w:hideMark/>
          </w:tcPr>
          <w:p w14:paraId="369727F1" w14:textId="77777777" w:rsidR="007F7ADD" w:rsidRPr="007F7ADD" w:rsidRDefault="007F7ADD" w:rsidP="007F7ADD">
            <w:pPr>
              <w:jc w:val="center"/>
              <w:rPr>
                <w:rFonts w:eastAsia="Calibri" w:cs="Times New Roman"/>
                <w:sz w:val="18"/>
                <w:lang w:val="en-ZA"/>
              </w:rPr>
            </w:pPr>
            <w:r w:rsidRPr="007F7ADD">
              <w:rPr>
                <w:rFonts w:eastAsia="Calibri" w:cs="Times New Roman"/>
                <w:sz w:val="18"/>
                <w:lang w:val="en-ZA"/>
              </w:rPr>
              <w:t>KDS</w:t>
            </w:r>
          </w:p>
        </w:tc>
        <w:tc>
          <w:tcPr>
            <w:tcW w:w="434" w:type="pct"/>
            <w:hideMark/>
          </w:tcPr>
          <w:p w14:paraId="5FE42982" w14:textId="77777777" w:rsidR="007F7ADD" w:rsidRPr="007F7ADD" w:rsidRDefault="007F7ADD" w:rsidP="007F7ADD">
            <w:pPr>
              <w:jc w:val="center"/>
              <w:rPr>
                <w:rFonts w:eastAsia="Calibri" w:cs="Times New Roman"/>
                <w:sz w:val="18"/>
                <w:lang w:val="en-ZA"/>
              </w:rPr>
            </w:pPr>
            <w:r w:rsidRPr="007F7ADD">
              <w:rPr>
                <w:rFonts w:eastAsia="Calibri" w:cs="Times New Roman"/>
                <w:sz w:val="18"/>
                <w:lang w:val="en-ZA"/>
              </w:rPr>
              <w:t>R30 250 000</w:t>
            </w:r>
          </w:p>
        </w:tc>
        <w:tc>
          <w:tcPr>
            <w:tcW w:w="434" w:type="pct"/>
            <w:hideMark/>
          </w:tcPr>
          <w:p w14:paraId="4F193BB7" w14:textId="77777777" w:rsidR="007F7ADD" w:rsidRPr="007F7ADD" w:rsidRDefault="007F7ADD" w:rsidP="007F7ADD">
            <w:pPr>
              <w:jc w:val="center"/>
              <w:rPr>
                <w:rFonts w:eastAsia="Calibri" w:cs="Times New Roman"/>
                <w:sz w:val="18"/>
                <w:lang w:val="en-ZA"/>
              </w:rPr>
            </w:pPr>
            <w:r w:rsidRPr="007F7ADD">
              <w:rPr>
                <w:rFonts w:eastAsia="Calibri" w:cs="Times New Roman"/>
                <w:sz w:val="18"/>
                <w:lang w:val="en-ZA"/>
              </w:rPr>
              <w:t>R575 157</w:t>
            </w:r>
          </w:p>
        </w:tc>
        <w:tc>
          <w:tcPr>
            <w:tcW w:w="431" w:type="pct"/>
            <w:hideMark/>
          </w:tcPr>
          <w:p w14:paraId="1614AD01" w14:textId="77777777" w:rsidR="007F7ADD" w:rsidRPr="007F7ADD" w:rsidRDefault="007F7ADD" w:rsidP="007F7ADD">
            <w:pPr>
              <w:jc w:val="center"/>
              <w:rPr>
                <w:rFonts w:eastAsia="Calibri" w:cs="Times New Roman"/>
                <w:sz w:val="18"/>
                <w:lang w:val="en-ZA"/>
              </w:rPr>
            </w:pPr>
            <w:r w:rsidRPr="007F7ADD">
              <w:rPr>
                <w:rFonts w:eastAsia="Calibri" w:cs="Times New Roman"/>
                <w:sz w:val="18"/>
                <w:lang w:val="en-ZA"/>
              </w:rPr>
              <w:t>R 1 500 000</w:t>
            </w:r>
          </w:p>
        </w:tc>
      </w:tr>
    </w:tbl>
    <w:p w14:paraId="7DDAE250" w14:textId="77777777" w:rsidR="00BB5C77" w:rsidRPr="007F7ADD" w:rsidRDefault="00BB5C77" w:rsidP="007F7ADD">
      <w:pPr>
        <w:spacing w:after="0" w:line="240" w:lineRule="auto"/>
        <w:jc w:val="center"/>
        <w:rPr>
          <w:rFonts w:eastAsia="Calibri" w:cs="Times New Roman"/>
          <w:sz w:val="18"/>
          <w:szCs w:val="24"/>
          <w:lang w:val="en-ZA"/>
        </w:rPr>
      </w:pPr>
    </w:p>
    <w:p w14:paraId="5129195D" w14:textId="5AA2EE03" w:rsidR="00BB5C77" w:rsidRDefault="007F7ADD" w:rsidP="007F7ADD">
      <w:pPr>
        <w:pStyle w:val="Heading3"/>
        <w:numPr>
          <w:ilvl w:val="3"/>
          <w:numId w:val="12"/>
        </w:numPr>
      </w:pPr>
      <w:bookmarkStart w:id="739" w:name="_Toc510706708"/>
      <w:r w:rsidRPr="007F7ADD">
        <w:t xml:space="preserve">KCDM Ongoing 3 Year </w:t>
      </w:r>
      <w:r>
        <w:t xml:space="preserve">Water </w:t>
      </w:r>
      <w:r w:rsidRPr="007F7ADD">
        <w:t>Projects</w:t>
      </w:r>
      <w:bookmarkEnd w:id="739"/>
    </w:p>
    <w:tbl>
      <w:tblPr>
        <w:tblStyle w:val="TableGrid13"/>
        <w:tblW w:w="5625" w:type="pct"/>
        <w:tblInd w:w="-289" w:type="dxa"/>
        <w:tblLayout w:type="fixed"/>
        <w:tblLook w:val="0600" w:firstRow="0" w:lastRow="0" w:firstColumn="0" w:lastColumn="0" w:noHBand="1" w:noVBand="1"/>
      </w:tblPr>
      <w:tblGrid>
        <w:gridCol w:w="1313"/>
        <w:gridCol w:w="812"/>
        <w:gridCol w:w="577"/>
        <w:gridCol w:w="873"/>
        <w:gridCol w:w="909"/>
        <w:gridCol w:w="905"/>
        <w:gridCol w:w="917"/>
        <w:gridCol w:w="1354"/>
        <w:gridCol w:w="852"/>
        <w:gridCol w:w="968"/>
        <w:gridCol w:w="1016"/>
      </w:tblGrid>
      <w:tr w:rsidR="006B6194" w:rsidRPr="007F7ADD" w14:paraId="16F7B36F" w14:textId="77777777" w:rsidTr="00ED3EB2">
        <w:trPr>
          <w:trHeight w:val="160"/>
          <w:tblHeader/>
        </w:trPr>
        <w:tc>
          <w:tcPr>
            <w:tcW w:w="625" w:type="pct"/>
            <w:shd w:val="clear" w:color="auto" w:fill="B6DDE8" w:themeFill="accent5" w:themeFillTint="66"/>
            <w:hideMark/>
          </w:tcPr>
          <w:p w14:paraId="383BB20F" w14:textId="77777777" w:rsidR="007F7ADD" w:rsidRPr="007F7ADD" w:rsidRDefault="007F7ADD" w:rsidP="007F7ADD">
            <w:pPr>
              <w:jc w:val="center"/>
              <w:rPr>
                <w:rFonts w:eastAsia="Calibri" w:cs="Times New Roman"/>
                <w:b/>
                <w:sz w:val="14"/>
                <w:lang w:val="en-ZA"/>
              </w:rPr>
            </w:pPr>
            <w:r w:rsidRPr="007F7ADD">
              <w:rPr>
                <w:rFonts w:eastAsia="Calibri" w:cs="Times New Roman"/>
                <w:b/>
                <w:sz w:val="14"/>
                <w:lang w:val="en-ZA"/>
              </w:rPr>
              <w:t xml:space="preserve">Project Name </w:t>
            </w:r>
          </w:p>
        </w:tc>
        <w:tc>
          <w:tcPr>
            <w:tcW w:w="387" w:type="pct"/>
            <w:shd w:val="clear" w:color="auto" w:fill="B6DDE8" w:themeFill="accent5" w:themeFillTint="66"/>
            <w:hideMark/>
          </w:tcPr>
          <w:p w14:paraId="652AC23D" w14:textId="77777777" w:rsidR="007F7ADD" w:rsidRPr="007F7ADD" w:rsidRDefault="007F7ADD" w:rsidP="007F7ADD">
            <w:pPr>
              <w:jc w:val="center"/>
              <w:rPr>
                <w:rFonts w:eastAsia="Calibri" w:cs="Times New Roman"/>
                <w:b/>
                <w:sz w:val="14"/>
                <w:lang w:val="en-ZA"/>
              </w:rPr>
            </w:pPr>
            <w:r w:rsidRPr="007F7ADD">
              <w:rPr>
                <w:rFonts w:eastAsia="Calibri" w:cs="Times New Roman"/>
                <w:b/>
                <w:sz w:val="14"/>
                <w:lang w:val="en-ZA"/>
              </w:rPr>
              <w:t xml:space="preserve"> Council wards </w:t>
            </w:r>
          </w:p>
        </w:tc>
        <w:tc>
          <w:tcPr>
            <w:tcW w:w="275" w:type="pct"/>
            <w:shd w:val="clear" w:color="auto" w:fill="B6DDE8" w:themeFill="accent5" w:themeFillTint="66"/>
            <w:hideMark/>
          </w:tcPr>
          <w:p w14:paraId="346A815E" w14:textId="77777777" w:rsidR="007F7ADD" w:rsidRPr="007F7ADD" w:rsidRDefault="007F7ADD" w:rsidP="007F7ADD">
            <w:pPr>
              <w:jc w:val="center"/>
              <w:rPr>
                <w:rFonts w:eastAsia="Calibri" w:cs="Times New Roman"/>
                <w:b/>
                <w:sz w:val="14"/>
                <w:lang w:val="en-ZA"/>
              </w:rPr>
            </w:pPr>
            <w:r w:rsidRPr="007F7ADD">
              <w:rPr>
                <w:rFonts w:eastAsia="Calibri" w:cs="Times New Roman"/>
                <w:b/>
                <w:sz w:val="14"/>
                <w:lang w:val="en-ZA"/>
              </w:rPr>
              <w:t xml:space="preserve"> Start </w:t>
            </w:r>
          </w:p>
        </w:tc>
        <w:tc>
          <w:tcPr>
            <w:tcW w:w="416" w:type="pct"/>
            <w:shd w:val="clear" w:color="auto" w:fill="B6DDE8" w:themeFill="accent5" w:themeFillTint="66"/>
            <w:hideMark/>
          </w:tcPr>
          <w:p w14:paraId="74F1B981" w14:textId="77777777" w:rsidR="007F7ADD" w:rsidRPr="007F7ADD" w:rsidRDefault="007F7ADD" w:rsidP="007F7ADD">
            <w:pPr>
              <w:jc w:val="center"/>
              <w:rPr>
                <w:rFonts w:eastAsia="Calibri" w:cs="Times New Roman"/>
                <w:b/>
                <w:sz w:val="14"/>
                <w:lang w:val="en-ZA"/>
              </w:rPr>
            </w:pPr>
            <w:r w:rsidRPr="007F7ADD">
              <w:rPr>
                <w:rFonts w:eastAsia="Calibri" w:cs="Times New Roman"/>
                <w:b/>
                <w:sz w:val="14"/>
                <w:lang w:val="en-ZA"/>
              </w:rPr>
              <w:t xml:space="preserve"> Completion date </w:t>
            </w:r>
          </w:p>
        </w:tc>
        <w:tc>
          <w:tcPr>
            <w:tcW w:w="433" w:type="pct"/>
            <w:shd w:val="clear" w:color="auto" w:fill="B6DDE8" w:themeFill="accent5" w:themeFillTint="66"/>
            <w:hideMark/>
          </w:tcPr>
          <w:p w14:paraId="78667934" w14:textId="77777777" w:rsidR="007F7ADD" w:rsidRPr="007F7ADD" w:rsidRDefault="007F7ADD" w:rsidP="007F7ADD">
            <w:pPr>
              <w:jc w:val="center"/>
              <w:rPr>
                <w:rFonts w:eastAsia="Calibri" w:cs="Times New Roman"/>
                <w:b/>
                <w:sz w:val="14"/>
                <w:lang w:val="en-ZA"/>
              </w:rPr>
            </w:pPr>
            <w:r w:rsidRPr="007F7ADD">
              <w:rPr>
                <w:rFonts w:eastAsia="Calibri" w:cs="Times New Roman"/>
                <w:b/>
                <w:sz w:val="14"/>
                <w:lang w:val="en-ZA"/>
              </w:rPr>
              <w:t xml:space="preserve"> Estimated cost </w:t>
            </w:r>
          </w:p>
        </w:tc>
        <w:tc>
          <w:tcPr>
            <w:tcW w:w="431" w:type="pct"/>
            <w:shd w:val="clear" w:color="auto" w:fill="B6DDE8" w:themeFill="accent5" w:themeFillTint="66"/>
            <w:hideMark/>
          </w:tcPr>
          <w:p w14:paraId="0E44BD19" w14:textId="77777777" w:rsidR="007F7ADD" w:rsidRPr="007F7ADD" w:rsidRDefault="007F7ADD" w:rsidP="007F7ADD">
            <w:pPr>
              <w:jc w:val="center"/>
              <w:rPr>
                <w:rFonts w:eastAsia="Calibri" w:cs="Times New Roman"/>
                <w:b/>
                <w:sz w:val="14"/>
                <w:lang w:val="en-ZA"/>
              </w:rPr>
            </w:pPr>
            <w:r w:rsidRPr="007F7ADD">
              <w:rPr>
                <w:rFonts w:eastAsia="Calibri" w:cs="Times New Roman"/>
                <w:b/>
                <w:sz w:val="14"/>
                <w:lang w:val="en-ZA"/>
              </w:rPr>
              <w:t>Expenditure to date</w:t>
            </w:r>
          </w:p>
        </w:tc>
        <w:tc>
          <w:tcPr>
            <w:tcW w:w="437" w:type="pct"/>
            <w:shd w:val="clear" w:color="auto" w:fill="B6DDE8" w:themeFill="accent5" w:themeFillTint="66"/>
            <w:hideMark/>
          </w:tcPr>
          <w:p w14:paraId="7E172FA3" w14:textId="77777777" w:rsidR="007F7ADD" w:rsidRPr="007F7ADD" w:rsidRDefault="007F7ADD" w:rsidP="007F7ADD">
            <w:pPr>
              <w:jc w:val="center"/>
              <w:rPr>
                <w:rFonts w:eastAsia="Calibri" w:cs="Times New Roman"/>
                <w:b/>
                <w:sz w:val="14"/>
                <w:lang w:val="en-ZA"/>
              </w:rPr>
            </w:pPr>
            <w:r w:rsidRPr="007F7ADD">
              <w:rPr>
                <w:rFonts w:eastAsia="Calibri" w:cs="Times New Roman"/>
                <w:b/>
                <w:sz w:val="14"/>
                <w:lang w:val="en-ZA"/>
              </w:rPr>
              <w:t>% Progress</w:t>
            </w:r>
          </w:p>
        </w:tc>
        <w:tc>
          <w:tcPr>
            <w:tcW w:w="645" w:type="pct"/>
            <w:shd w:val="clear" w:color="auto" w:fill="B6DDE8" w:themeFill="accent5" w:themeFillTint="66"/>
            <w:hideMark/>
          </w:tcPr>
          <w:p w14:paraId="5A8B6BF6" w14:textId="77777777" w:rsidR="007F7ADD" w:rsidRPr="007F7ADD" w:rsidRDefault="007F7ADD" w:rsidP="007F7ADD">
            <w:pPr>
              <w:jc w:val="center"/>
              <w:rPr>
                <w:rFonts w:eastAsia="Calibri" w:cs="Times New Roman"/>
                <w:b/>
                <w:sz w:val="14"/>
                <w:lang w:val="en-ZA"/>
              </w:rPr>
            </w:pPr>
            <w:r w:rsidRPr="007F7ADD">
              <w:rPr>
                <w:rFonts w:eastAsia="Calibri" w:cs="Times New Roman"/>
                <w:b/>
                <w:sz w:val="14"/>
                <w:lang w:val="en-ZA"/>
              </w:rPr>
              <w:t xml:space="preserve"> Sub-wards </w:t>
            </w:r>
          </w:p>
        </w:tc>
        <w:tc>
          <w:tcPr>
            <w:tcW w:w="406" w:type="pct"/>
            <w:shd w:val="clear" w:color="auto" w:fill="B6DDE8" w:themeFill="accent5" w:themeFillTint="66"/>
            <w:hideMark/>
          </w:tcPr>
          <w:p w14:paraId="31B99E00" w14:textId="77777777" w:rsidR="007F7ADD" w:rsidRPr="007F7ADD" w:rsidRDefault="007F7ADD" w:rsidP="007F7ADD">
            <w:pPr>
              <w:jc w:val="center"/>
              <w:rPr>
                <w:rFonts w:eastAsia="Calibri" w:cs="Times New Roman"/>
                <w:b/>
                <w:sz w:val="14"/>
                <w:lang w:val="en-ZA"/>
              </w:rPr>
            </w:pPr>
            <w:r w:rsidRPr="007F7ADD">
              <w:rPr>
                <w:rFonts w:eastAsia="Calibri" w:cs="Times New Roman"/>
                <w:b/>
                <w:sz w:val="14"/>
                <w:lang w:val="en-ZA"/>
              </w:rPr>
              <w:t>2017/</w:t>
            </w:r>
          </w:p>
          <w:p w14:paraId="38EF337A" w14:textId="77777777" w:rsidR="007F7ADD" w:rsidRPr="007F7ADD" w:rsidRDefault="007F7ADD" w:rsidP="007F7ADD">
            <w:pPr>
              <w:jc w:val="center"/>
              <w:rPr>
                <w:rFonts w:eastAsia="Calibri" w:cs="Times New Roman"/>
                <w:b/>
                <w:sz w:val="14"/>
                <w:lang w:val="en-ZA"/>
              </w:rPr>
            </w:pPr>
            <w:r w:rsidRPr="007F7ADD">
              <w:rPr>
                <w:rFonts w:eastAsia="Calibri" w:cs="Times New Roman"/>
                <w:b/>
                <w:sz w:val="14"/>
                <w:lang w:val="en-ZA"/>
              </w:rPr>
              <w:t>18</w:t>
            </w:r>
          </w:p>
        </w:tc>
        <w:tc>
          <w:tcPr>
            <w:tcW w:w="461" w:type="pct"/>
            <w:shd w:val="clear" w:color="auto" w:fill="B6DDE8" w:themeFill="accent5" w:themeFillTint="66"/>
            <w:hideMark/>
          </w:tcPr>
          <w:p w14:paraId="4B96A21E" w14:textId="77777777" w:rsidR="007F7ADD" w:rsidRPr="007F7ADD" w:rsidRDefault="007F7ADD" w:rsidP="007F7ADD">
            <w:pPr>
              <w:jc w:val="center"/>
              <w:rPr>
                <w:rFonts w:eastAsia="Calibri" w:cs="Times New Roman"/>
                <w:b/>
                <w:sz w:val="14"/>
                <w:lang w:val="en-ZA"/>
              </w:rPr>
            </w:pPr>
            <w:r w:rsidRPr="007F7ADD">
              <w:rPr>
                <w:rFonts w:eastAsia="Calibri" w:cs="Times New Roman"/>
                <w:b/>
                <w:sz w:val="14"/>
                <w:lang w:val="en-ZA"/>
              </w:rPr>
              <w:t>2018/</w:t>
            </w:r>
          </w:p>
          <w:p w14:paraId="6CD627B8" w14:textId="77777777" w:rsidR="007F7ADD" w:rsidRPr="007F7ADD" w:rsidRDefault="007F7ADD" w:rsidP="007F7ADD">
            <w:pPr>
              <w:jc w:val="center"/>
              <w:rPr>
                <w:rFonts w:eastAsia="Calibri" w:cs="Times New Roman"/>
                <w:b/>
                <w:sz w:val="14"/>
                <w:lang w:val="en-ZA"/>
              </w:rPr>
            </w:pPr>
            <w:r w:rsidRPr="007F7ADD">
              <w:rPr>
                <w:rFonts w:eastAsia="Calibri" w:cs="Times New Roman"/>
                <w:b/>
                <w:sz w:val="14"/>
                <w:lang w:val="en-ZA"/>
              </w:rPr>
              <w:t>19</w:t>
            </w:r>
          </w:p>
        </w:tc>
        <w:tc>
          <w:tcPr>
            <w:tcW w:w="484" w:type="pct"/>
            <w:shd w:val="clear" w:color="auto" w:fill="B6DDE8" w:themeFill="accent5" w:themeFillTint="66"/>
            <w:hideMark/>
          </w:tcPr>
          <w:p w14:paraId="6EBEC157" w14:textId="77777777" w:rsidR="007F7ADD" w:rsidRPr="007F7ADD" w:rsidRDefault="007F7ADD" w:rsidP="007F7ADD">
            <w:pPr>
              <w:jc w:val="center"/>
              <w:rPr>
                <w:rFonts w:eastAsia="Calibri" w:cs="Times New Roman"/>
                <w:b/>
                <w:sz w:val="14"/>
                <w:lang w:val="en-ZA"/>
              </w:rPr>
            </w:pPr>
            <w:r w:rsidRPr="007F7ADD">
              <w:rPr>
                <w:rFonts w:eastAsia="Calibri" w:cs="Times New Roman"/>
                <w:b/>
                <w:sz w:val="14"/>
                <w:lang w:val="en-ZA"/>
              </w:rPr>
              <w:t>2019/</w:t>
            </w:r>
          </w:p>
          <w:p w14:paraId="270C1E6B" w14:textId="77777777" w:rsidR="007F7ADD" w:rsidRPr="007F7ADD" w:rsidRDefault="007F7ADD" w:rsidP="007F7ADD">
            <w:pPr>
              <w:jc w:val="center"/>
              <w:rPr>
                <w:rFonts w:eastAsia="Calibri" w:cs="Times New Roman"/>
                <w:b/>
                <w:sz w:val="14"/>
                <w:lang w:val="en-ZA"/>
              </w:rPr>
            </w:pPr>
            <w:r w:rsidRPr="007F7ADD">
              <w:rPr>
                <w:rFonts w:eastAsia="Calibri" w:cs="Times New Roman"/>
                <w:b/>
                <w:sz w:val="14"/>
                <w:lang w:val="en-ZA"/>
              </w:rPr>
              <w:t>20</w:t>
            </w:r>
          </w:p>
        </w:tc>
      </w:tr>
      <w:tr w:rsidR="006B6194" w:rsidRPr="007F7ADD" w14:paraId="25229597" w14:textId="77777777" w:rsidTr="00ED3EB2">
        <w:trPr>
          <w:trHeight w:val="493"/>
        </w:trPr>
        <w:tc>
          <w:tcPr>
            <w:tcW w:w="625" w:type="pct"/>
            <w:hideMark/>
          </w:tcPr>
          <w:p w14:paraId="37AB6485" w14:textId="77777777" w:rsidR="007F7ADD" w:rsidRPr="00B73583" w:rsidRDefault="007F7ADD" w:rsidP="007F7ADD">
            <w:pPr>
              <w:jc w:val="center"/>
              <w:rPr>
                <w:rFonts w:eastAsia="Calibri" w:cs="Times New Roman"/>
                <w:sz w:val="16"/>
                <w:lang w:val="en-ZA"/>
              </w:rPr>
            </w:pPr>
            <w:r w:rsidRPr="00B73583">
              <w:rPr>
                <w:rFonts w:eastAsia="Calibri" w:cs="Times New Roman"/>
                <w:sz w:val="16"/>
                <w:lang w:val="en-ZA"/>
              </w:rPr>
              <w:t xml:space="preserve">Eshowe </w:t>
            </w:r>
          </w:p>
          <w:p w14:paraId="453C08D3" w14:textId="77777777" w:rsidR="007F7ADD" w:rsidRPr="00B73583" w:rsidRDefault="007F7ADD" w:rsidP="007F7ADD">
            <w:pPr>
              <w:jc w:val="center"/>
              <w:rPr>
                <w:rFonts w:eastAsia="Calibri" w:cs="Times New Roman"/>
                <w:sz w:val="16"/>
                <w:lang w:val="en-ZA"/>
              </w:rPr>
            </w:pPr>
            <w:r w:rsidRPr="00B73583">
              <w:rPr>
                <w:rFonts w:eastAsia="Calibri" w:cs="Times New Roman"/>
                <w:sz w:val="16"/>
                <w:lang w:val="en-ZA"/>
              </w:rPr>
              <w:t>SSA 1</w:t>
            </w:r>
          </w:p>
        </w:tc>
        <w:tc>
          <w:tcPr>
            <w:tcW w:w="387" w:type="pct"/>
            <w:hideMark/>
          </w:tcPr>
          <w:p w14:paraId="2B2B5D92" w14:textId="77777777" w:rsidR="007F7ADD" w:rsidRPr="00B73583" w:rsidRDefault="007F7ADD" w:rsidP="007F7ADD">
            <w:pPr>
              <w:jc w:val="center"/>
              <w:rPr>
                <w:rFonts w:eastAsia="Calibri" w:cs="Times New Roman"/>
                <w:sz w:val="16"/>
                <w:lang w:val="en-ZA"/>
              </w:rPr>
            </w:pPr>
            <w:r w:rsidRPr="00B73583">
              <w:rPr>
                <w:rFonts w:eastAsia="Calibri" w:cs="Times New Roman"/>
                <w:sz w:val="16"/>
                <w:lang w:val="en-ZA"/>
              </w:rPr>
              <w:t>Portions 9,11, 12 &amp;13</w:t>
            </w:r>
          </w:p>
        </w:tc>
        <w:tc>
          <w:tcPr>
            <w:tcW w:w="275" w:type="pct"/>
            <w:hideMark/>
          </w:tcPr>
          <w:p w14:paraId="39B1787D" w14:textId="77777777" w:rsidR="007F7ADD" w:rsidRPr="00B73583" w:rsidRDefault="007F7ADD" w:rsidP="007F7ADD">
            <w:pPr>
              <w:jc w:val="center"/>
              <w:rPr>
                <w:rFonts w:eastAsia="Calibri" w:cs="Times New Roman"/>
                <w:sz w:val="16"/>
                <w:lang w:val="en-ZA"/>
              </w:rPr>
            </w:pPr>
            <w:r w:rsidRPr="00B73583">
              <w:rPr>
                <w:rFonts w:eastAsia="Calibri" w:cs="Times New Roman"/>
                <w:sz w:val="16"/>
                <w:lang w:val="en-ZA"/>
              </w:rPr>
              <w:t>Jul 2013</w:t>
            </w:r>
          </w:p>
        </w:tc>
        <w:tc>
          <w:tcPr>
            <w:tcW w:w="416" w:type="pct"/>
            <w:hideMark/>
          </w:tcPr>
          <w:p w14:paraId="68683411" w14:textId="77777777" w:rsidR="007F7ADD" w:rsidRPr="00B73583" w:rsidRDefault="007F7ADD" w:rsidP="007F7ADD">
            <w:pPr>
              <w:jc w:val="center"/>
              <w:rPr>
                <w:rFonts w:eastAsia="Calibri" w:cs="Times New Roman"/>
                <w:sz w:val="16"/>
                <w:lang w:val="en-ZA"/>
              </w:rPr>
            </w:pPr>
            <w:r w:rsidRPr="00B73583">
              <w:rPr>
                <w:rFonts w:eastAsia="Calibri" w:cs="Times New Roman"/>
                <w:sz w:val="16"/>
                <w:lang w:val="en-ZA"/>
              </w:rPr>
              <w:t xml:space="preserve">Jun </w:t>
            </w:r>
          </w:p>
          <w:p w14:paraId="00A25628" w14:textId="77777777" w:rsidR="007F7ADD" w:rsidRPr="00B73583" w:rsidRDefault="007F7ADD" w:rsidP="007F7ADD">
            <w:pPr>
              <w:jc w:val="center"/>
              <w:rPr>
                <w:rFonts w:eastAsia="Calibri" w:cs="Times New Roman"/>
                <w:sz w:val="16"/>
                <w:lang w:val="en-ZA"/>
              </w:rPr>
            </w:pPr>
            <w:r w:rsidRPr="00B73583">
              <w:rPr>
                <w:rFonts w:eastAsia="Calibri" w:cs="Times New Roman"/>
                <w:sz w:val="16"/>
                <w:lang w:val="en-ZA"/>
              </w:rPr>
              <w:t>2018</w:t>
            </w:r>
          </w:p>
        </w:tc>
        <w:tc>
          <w:tcPr>
            <w:tcW w:w="433" w:type="pct"/>
            <w:hideMark/>
          </w:tcPr>
          <w:p w14:paraId="6ECFF82C" w14:textId="77777777" w:rsidR="007F7ADD" w:rsidRPr="00B73583" w:rsidRDefault="007F7ADD" w:rsidP="007F7ADD">
            <w:pPr>
              <w:jc w:val="center"/>
              <w:rPr>
                <w:rFonts w:eastAsia="Calibri" w:cs="Times New Roman"/>
                <w:sz w:val="16"/>
                <w:lang w:val="en-ZA"/>
              </w:rPr>
            </w:pPr>
            <w:r w:rsidRPr="00B73583">
              <w:rPr>
                <w:rFonts w:eastAsia="Calibri" w:cs="Times New Roman"/>
                <w:sz w:val="16"/>
                <w:lang w:val="en-ZA"/>
              </w:rPr>
              <w:t>R 474 520 967</w:t>
            </w:r>
          </w:p>
        </w:tc>
        <w:tc>
          <w:tcPr>
            <w:tcW w:w="431" w:type="pct"/>
            <w:hideMark/>
          </w:tcPr>
          <w:p w14:paraId="3B70A04E" w14:textId="77777777" w:rsidR="007F7ADD" w:rsidRPr="00B73583" w:rsidRDefault="007F7ADD" w:rsidP="007F7ADD">
            <w:pPr>
              <w:jc w:val="center"/>
              <w:rPr>
                <w:rFonts w:eastAsia="Calibri" w:cs="Times New Roman"/>
                <w:sz w:val="16"/>
                <w:lang w:val="en-ZA"/>
              </w:rPr>
            </w:pPr>
            <w:r w:rsidRPr="00B73583">
              <w:rPr>
                <w:rFonts w:eastAsia="Calibri" w:cs="Times New Roman"/>
                <w:sz w:val="16"/>
                <w:lang w:val="en-ZA"/>
              </w:rPr>
              <w:t>R 180 927 033</w:t>
            </w:r>
          </w:p>
        </w:tc>
        <w:tc>
          <w:tcPr>
            <w:tcW w:w="437" w:type="pct"/>
            <w:hideMark/>
          </w:tcPr>
          <w:p w14:paraId="6AC29A23" w14:textId="77777777" w:rsidR="007F7ADD" w:rsidRPr="00B73583" w:rsidRDefault="007F7ADD" w:rsidP="007F7ADD">
            <w:pPr>
              <w:jc w:val="center"/>
              <w:rPr>
                <w:rFonts w:eastAsia="Calibri" w:cs="Times New Roman"/>
                <w:sz w:val="16"/>
                <w:lang w:val="en-ZA"/>
              </w:rPr>
            </w:pPr>
            <w:r w:rsidRPr="00B73583">
              <w:rPr>
                <w:rFonts w:eastAsia="Calibri" w:cs="Times New Roman"/>
                <w:sz w:val="16"/>
                <w:lang w:val="en-ZA"/>
              </w:rPr>
              <w:t>38%</w:t>
            </w:r>
          </w:p>
        </w:tc>
        <w:tc>
          <w:tcPr>
            <w:tcW w:w="645" w:type="pct"/>
            <w:hideMark/>
          </w:tcPr>
          <w:p w14:paraId="46A02DB2" w14:textId="77777777" w:rsidR="007F7ADD" w:rsidRPr="00B73583" w:rsidRDefault="007F7ADD" w:rsidP="007F7ADD">
            <w:pPr>
              <w:jc w:val="center"/>
              <w:rPr>
                <w:rFonts w:eastAsia="Calibri" w:cs="Times New Roman"/>
                <w:sz w:val="16"/>
                <w:lang w:val="en-ZA"/>
              </w:rPr>
            </w:pPr>
            <w:r w:rsidRPr="00B73583">
              <w:rPr>
                <w:rFonts w:eastAsia="Calibri" w:cs="Times New Roman"/>
                <w:sz w:val="16"/>
                <w:lang w:val="en-ZA"/>
              </w:rPr>
              <w:t xml:space="preserve">Eshowe Town, King Dinizulu T/S, </w:t>
            </w:r>
          </w:p>
          <w:p w14:paraId="0A05DE9C" w14:textId="77777777" w:rsidR="007F7ADD" w:rsidRPr="00B73583" w:rsidRDefault="007F7ADD" w:rsidP="007F7ADD">
            <w:pPr>
              <w:jc w:val="center"/>
              <w:rPr>
                <w:rFonts w:eastAsia="Calibri" w:cs="Times New Roman"/>
                <w:sz w:val="16"/>
                <w:lang w:val="en-ZA"/>
              </w:rPr>
            </w:pPr>
            <w:r w:rsidRPr="00B73583">
              <w:rPr>
                <w:rFonts w:eastAsia="Calibri" w:cs="Times New Roman"/>
                <w:sz w:val="16"/>
                <w:lang w:val="en-ZA"/>
              </w:rPr>
              <w:t>Kwa-Mfana, Nyanini, Berea, Thawini, Ntenjane, Emncongweni Siqwanjana  Izindophi</w:t>
            </w:r>
          </w:p>
        </w:tc>
        <w:tc>
          <w:tcPr>
            <w:tcW w:w="406" w:type="pct"/>
            <w:hideMark/>
          </w:tcPr>
          <w:p w14:paraId="1E39AB17" w14:textId="77777777" w:rsidR="007F7ADD" w:rsidRPr="00B73583" w:rsidRDefault="007F7ADD" w:rsidP="007F7ADD">
            <w:pPr>
              <w:jc w:val="center"/>
              <w:rPr>
                <w:rFonts w:eastAsia="Calibri" w:cs="Times New Roman"/>
                <w:sz w:val="16"/>
                <w:lang w:val="en-ZA"/>
              </w:rPr>
            </w:pPr>
            <w:r w:rsidRPr="00B73583">
              <w:rPr>
                <w:rFonts w:eastAsia="Calibri" w:cs="Times New Roman"/>
                <w:sz w:val="16"/>
                <w:lang w:val="en-ZA"/>
              </w:rPr>
              <w:t>R 11 793 742</w:t>
            </w:r>
          </w:p>
        </w:tc>
        <w:tc>
          <w:tcPr>
            <w:tcW w:w="461" w:type="pct"/>
            <w:hideMark/>
          </w:tcPr>
          <w:p w14:paraId="25654F79" w14:textId="77777777" w:rsidR="007F7ADD" w:rsidRPr="00B73583" w:rsidRDefault="007F7ADD" w:rsidP="007F7ADD">
            <w:pPr>
              <w:jc w:val="center"/>
              <w:rPr>
                <w:rFonts w:eastAsia="Calibri" w:cs="Times New Roman"/>
                <w:sz w:val="16"/>
                <w:lang w:val="en-ZA"/>
              </w:rPr>
            </w:pPr>
            <w:r w:rsidRPr="00B73583">
              <w:rPr>
                <w:rFonts w:eastAsia="Calibri" w:cs="Times New Roman"/>
                <w:sz w:val="16"/>
                <w:lang w:val="en-ZA"/>
              </w:rPr>
              <w:t>R  48 500 000</w:t>
            </w:r>
          </w:p>
        </w:tc>
        <w:tc>
          <w:tcPr>
            <w:tcW w:w="484" w:type="pct"/>
            <w:hideMark/>
          </w:tcPr>
          <w:p w14:paraId="3AA69EB0" w14:textId="77777777" w:rsidR="007F7ADD" w:rsidRPr="00B73583" w:rsidRDefault="007F7ADD" w:rsidP="007F7ADD">
            <w:pPr>
              <w:jc w:val="center"/>
              <w:rPr>
                <w:rFonts w:eastAsia="Calibri" w:cs="Times New Roman"/>
                <w:sz w:val="16"/>
                <w:lang w:val="en-ZA"/>
              </w:rPr>
            </w:pPr>
            <w:r w:rsidRPr="00B73583">
              <w:rPr>
                <w:rFonts w:eastAsia="Calibri" w:cs="Times New Roman"/>
                <w:sz w:val="16"/>
                <w:lang w:val="en-ZA"/>
              </w:rPr>
              <w:t>R  55 000 000</w:t>
            </w:r>
          </w:p>
        </w:tc>
      </w:tr>
      <w:tr w:rsidR="006B6194" w:rsidRPr="007F7ADD" w14:paraId="7DBD39A0" w14:textId="77777777" w:rsidTr="00ED3EB2">
        <w:trPr>
          <w:trHeight w:val="493"/>
        </w:trPr>
        <w:tc>
          <w:tcPr>
            <w:tcW w:w="625" w:type="pct"/>
            <w:vAlign w:val="center"/>
          </w:tcPr>
          <w:p w14:paraId="20E94B49" w14:textId="5CF3B4E6" w:rsidR="007F7ADD" w:rsidRPr="00B73583" w:rsidRDefault="007F7ADD" w:rsidP="007F7ADD">
            <w:pPr>
              <w:jc w:val="center"/>
              <w:rPr>
                <w:rFonts w:eastAsia="Calibri" w:cs="Times New Roman"/>
                <w:sz w:val="16"/>
                <w:lang w:val="en-ZA"/>
              </w:rPr>
            </w:pPr>
            <w:r w:rsidRPr="00B73583">
              <w:rPr>
                <w:rFonts w:eastAsia="Calibri" w:cs="Times New Roman"/>
                <w:sz w:val="16"/>
                <w:lang w:val="en-ZA"/>
              </w:rPr>
              <w:t>Middledrift SSA 5</w:t>
            </w:r>
          </w:p>
        </w:tc>
        <w:tc>
          <w:tcPr>
            <w:tcW w:w="387" w:type="pct"/>
            <w:vAlign w:val="center"/>
          </w:tcPr>
          <w:p w14:paraId="30F9FBDF" w14:textId="0C6FB2DA" w:rsidR="007F7ADD" w:rsidRPr="00B73583" w:rsidRDefault="007F7ADD" w:rsidP="007F7ADD">
            <w:pPr>
              <w:jc w:val="center"/>
              <w:rPr>
                <w:rFonts w:eastAsia="Calibri" w:cs="Times New Roman"/>
                <w:sz w:val="16"/>
                <w:lang w:val="en-ZA"/>
              </w:rPr>
            </w:pPr>
            <w:r w:rsidRPr="00B73583">
              <w:rPr>
                <w:rFonts w:eastAsia="Calibri" w:cs="Times New Roman"/>
                <w:sz w:val="16"/>
                <w:lang w:val="en-ZA"/>
              </w:rPr>
              <w:t>Partial 1, 2,3 &amp; 4</w:t>
            </w:r>
          </w:p>
        </w:tc>
        <w:tc>
          <w:tcPr>
            <w:tcW w:w="275" w:type="pct"/>
            <w:vAlign w:val="center"/>
          </w:tcPr>
          <w:p w14:paraId="01407760" w14:textId="342CF9C3" w:rsidR="007F7ADD" w:rsidRPr="00B73583" w:rsidRDefault="007F7ADD" w:rsidP="007F7ADD">
            <w:pPr>
              <w:jc w:val="center"/>
              <w:rPr>
                <w:rFonts w:eastAsia="Calibri" w:cs="Times New Roman"/>
                <w:sz w:val="16"/>
                <w:lang w:val="en-ZA"/>
              </w:rPr>
            </w:pPr>
            <w:r w:rsidRPr="00B73583">
              <w:rPr>
                <w:rFonts w:eastAsia="Calibri" w:cs="Times New Roman"/>
                <w:sz w:val="16"/>
                <w:lang w:val="en-ZA"/>
              </w:rPr>
              <w:t>01 May 2013</w:t>
            </w:r>
          </w:p>
        </w:tc>
        <w:tc>
          <w:tcPr>
            <w:tcW w:w="416" w:type="pct"/>
            <w:vAlign w:val="center"/>
          </w:tcPr>
          <w:p w14:paraId="21305DCB" w14:textId="3C7679E5" w:rsidR="007F7ADD" w:rsidRPr="00B73583" w:rsidRDefault="007F7ADD" w:rsidP="007F7ADD">
            <w:pPr>
              <w:jc w:val="center"/>
              <w:rPr>
                <w:rFonts w:eastAsia="Calibri" w:cs="Times New Roman"/>
                <w:sz w:val="16"/>
                <w:lang w:val="en-ZA"/>
              </w:rPr>
            </w:pPr>
            <w:r w:rsidRPr="00B73583">
              <w:rPr>
                <w:rFonts w:eastAsia="Calibri" w:cs="Times New Roman"/>
                <w:sz w:val="16"/>
                <w:lang w:val="en-ZA"/>
              </w:rPr>
              <w:t>30 Jun 2018</w:t>
            </w:r>
          </w:p>
        </w:tc>
        <w:tc>
          <w:tcPr>
            <w:tcW w:w="433" w:type="pct"/>
            <w:vAlign w:val="center"/>
          </w:tcPr>
          <w:p w14:paraId="578AE5E6" w14:textId="282F07AE" w:rsidR="007F7ADD" w:rsidRPr="00B73583" w:rsidRDefault="007F7ADD" w:rsidP="007F7ADD">
            <w:pPr>
              <w:jc w:val="center"/>
              <w:rPr>
                <w:rFonts w:eastAsia="Calibri" w:cs="Times New Roman"/>
                <w:sz w:val="16"/>
                <w:lang w:val="en-ZA"/>
              </w:rPr>
            </w:pPr>
            <w:r w:rsidRPr="00B73583">
              <w:rPr>
                <w:rFonts w:eastAsia="Calibri" w:cs="Times New Roman"/>
                <w:sz w:val="16"/>
                <w:lang w:val="en-ZA"/>
              </w:rPr>
              <w:t>R 208 304 337</w:t>
            </w:r>
          </w:p>
        </w:tc>
        <w:tc>
          <w:tcPr>
            <w:tcW w:w="431" w:type="pct"/>
            <w:vAlign w:val="center"/>
          </w:tcPr>
          <w:p w14:paraId="06A293E5" w14:textId="2F466E9C" w:rsidR="007F7ADD" w:rsidRPr="00B73583" w:rsidRDefault="007F7ADD" w:rsidP="007F7ADD">
            <w:pPr>
              <w:jc w:val="center"/>
              <w:rPr>
                <w:rFonts w:eastAsia="Calibri" w:cs="Times New Roman"/>
                <w:sz w:val="16"/>
                <w:lang w:val="en-ZA"/>
              </w:rPr>
            </w:pPr>
            <w:r w:rsidRPr="00B73583">
              <w:rPr>
                <w:rFonts w:eastAsia="Calibri" w:cs="Times New Roman"/>
                <w:sz w:val="16"/>
                <w:lang w:val="en-ZA"/>
              </w:rPr>
              <w:t>R 102 305 042</w:t>
            </w:r>
          </w:p>
        </w:tc>
        <w:tc>
          <w:tcPr>
            <w:tcW w:w="437" w:type="pct"/>
            <w:vAlign w:val="center"/>
          </w:tcPr>
          <w:p w14:paraId="26106034" w14:textId="3C0E2CB1" w:rsidR="007F7ADD" w:rsidRPr="00B73583" w:rsidRDefault="007F7ADD" w:rsidP="007F7ADD">
            <w:pPr>
              <w:jc w:val="center"/>
              <w:rPr>
                <w:rFonts w:eastAsia="Calibri" w:cs="Times New Roman"/>
                <w:sz w:val="16"/>
                <w:lang w:val="en-ZA"/>
              </w:rPr>
            </w:pPr>
            <w:r w:rsidRPr="00B73583">
              <w:rPr>
                <w:rFonts w:eastAsia="Calibri" w:cs="Times New Roman"/>
                <w:sz w:val="16"/>
                <w:lang w:val="en-ZA"/>
              </w:rPr>
              <w:t>49%</w:t>
            </w:r>
          </w:p>
        </w:tc>
        <w:tc>
          <w:tcPr>
            <w:tcW w:w="645" w:type="pct"/>
            <w:vAlign w:val="center"/>
          </w:tcPr>
          <w:p w14:paraId="5D478494" w14:textId="06D549DC" w:rsidR="007F7ADD" w:rsidRPr="00B73583" w:rsidRDefault="007F7ADD" w:rsidP="007F7ADD">
            <w:pPr>
              <w:jc w:val="center"/>
              <w:rPr>
                <w:rFonts w:eastAsia="Calibri" w:cs="Times New Roman"/>
                <w:sz w:val="16"/>
                <w:lang w:val="en-ZA"/>
              </w:rPr>
            </w:pPr>
            <w:r w:rsidRPr="00B73583">
              <w:rPr>
                <w:rFonts w:eastAsia="Calibri" w:cs="Times New Roman"/>
                <w:sz w:val="16"/>
                <w:lang w:val="en-ZA"/>
              </w:rPr>
              <w:t>Izinsundu, Ntamoyenkunzi. Part Mpaphala, Khangelani, Kwa Gasa, Mbizane, Buthanani, Shushu, Ntamoyenkunzi, Matshamhlophe,Nhlalamnyango</w:t>
            </w:r>
          </w:p>
        </w:tc>
        <w:tc>
          <w:tcPr>
            <w:tcW w:w="406" w:type="pct"/>
            <w:vAlign w:val="center"/>
          </w:tcPr>
          <w:p w14:paraId="1BB60BDE" w14:textId="3F7F424E" w:rsidR="007F7ADD" w:rsidRPr="00B73583" w:rsidRDefault="007F7ADD" w:rsidP="007F7ADD">
            <w:pPr>
              <w:jc w:val="center"/>
              <w:rPr>
                <w:rFonts w:eastAsia="Calibri" w:cs="Times New Roman"/>
                <w:sz w:val="16"/>
                <w:lang w:val="en-ZA"/>
              </w:rPr>
            </w:pPr>
            <w:r w:rsidRPr="00B73583">
              <w:rPr>
                <w:rFonts w:eastAsia="Calibri" w:cs="Times New Roman"/>
                <w:sz w:val="16"/>
                <w:lang w:val="en-ZA"/>
              </w:rPr>
              <w:t>R 20 000 000</w:t>
            </w:r>
          </w:p>
        </w:tc>
        <w:tc>
          <w:tcPr>
            <w:tcW w:w="461" w:type="pct"/>
            <w:vAlign w:val="center"/>
          </w:tcPr>
          <w:p w14:paraId="31F1FEEB" w14:textId="101F8BD2" w:rsidR="007F7ADD" w:rsidRPr="00B73583" w:rsidRDefault="007F7ADD" w:rsidP="007F7ADD">
            <w:pPr>
              <w:jc w:val="center"/>
              <w:rPr>
                <w:rFonts w:eastAsia="Calibri" w:cs="Times New Roman"/>
                <w:sz w:val="16"/>
                <w:lang w:val="en-ZA"/>
              </w:rPr>
            </w:pPr>
            <w:r w:rsidRPr="00B73583">
              <w:rPr>
                <w:rFonts w:eastAsia="Calibri" w:cs="Times New Roman"/>
                <w:sz w:val="16"/>
                <w:lang w:val="en-ZA"/>
              </w:rPr>
              <w:t>-</w:t>
            </w:r>
          </w:p>
        </w:tc>
        <w:tc>
          <w:tcPr>
            <w:tcW w:w="484" w:type="pct"/>
            <w:vAlign w:val="center"/>
          </w:tcPr>
          <w:p w14:paraId="2BCD4AD9" w14:textId="2543B6D5" w:rsidR="007F7ADD" w:rsidRPr="00B73583" w:rsidRDefault="007F7ADD" w:rsidP="007F7ADD">
            <w:pPr>
              <w:jc w:val="center"/>
              <w:rPr>
                <w:rFonts w:eastAsia="Calibri" w:cs="Times New Roman"/>
                <w:sz w:val="16"/>
                <w:lang w:val="en-ZA"/>
              </w:rPr>
            </w:pPr>
            <w:r w:rsidRPr="00B73583">
              <w:rPr>
                <w:rFonts w:eastAsia="Calibri" w:cs="Times New Roman"/>
                <w:sz w:val="16"/>
                <w:lang w:val="en-ZA"/>
              </w:rPr>
              <w:t>-</w:t>
            </w:r>
          </w:p>
        </w:tc>
      </w:tr>
      <w:tr w:rsidR="006B6194" w:rsidRPr="007F7ADD" w14:paraId="26E47ECA" w14:textId="77777777" w:rsidTr="00ED3EB2">
        <w:trPr>
          <w:trHeight w:val="493"/>
        </w:trPr>
        <w:tc>
          <w:tcPr>
            <w:tcW w:w="625" w:type="pct"/>
            <w:vAlign w:val="center"/>
          </w:tcPr>
          <w:p w14:paraId="779DA79B" w14:textId="3A5A6670" w:rsidR="006B6194" w:rsidRPr="00B73583" w:rsidRDefault="006B6194" w:rsidP="006B6194">
            <w:pPr>
              <w:jc w:val="center"/>
              <w:rPr>
                <w:rFonts w:eastAsia="Calibri" w:cs="Times New Roman"/>
                <w:sz w:val="16"/>
                <w:lang w:val="en-ZA"/>
              </w:rPr>
            </w:pPr>
            <w:r w:rsidRPr="00B73583">
              <w:rPr>
                <w:rFonts w:eastAsia="Calibri" w:cs="Times New Roman"/>
                <w:sz w:val="16"/>
                <w:lang w:val="en-ZA"/>
              </w:rPr>
              <w:t>Kwahlokohloko SSA 1</w:t>
            </w:r>
          </w:p>
        </w:tc>
        <w:tc>
          <w:tcPr>
            <w:tcW w:w="387" w:type="pct"/>
            <w:vAlign w:val="center"/>
          </w:tcPr>
          <w:p w14:paraId="3918B433" w14:textId="77777777" w:rsidR="006B6194" w:rsidRPr="00B73583" w:rsidRDefault="006B6194" w:rsidP="006B6194">
            <w:pPr>
              <w:pStyle w:val="NormalWeb"/>
              <w:spacing w:before="0" w:beforeAutospacing="0" w:after="0" w:afterAutospacing="0"/>
              <w:jc w:val="center"/>
              <w:textAlignment w:val="center"/>
              <w:rPr>
                <w:rFonts w:ascii="Calibri" w:eastAsia="Calibri" w:hAnsi="Calibri"/>
                <w:sz w:val="16"/>
                <w:lang w:val="en-ZA"/>
              </w:rPr>
            </w:pPr>
            <w:r w:rsidRPr="00B73583">
              <w:rPr>
                <w:rFonts w:ascii="Calibri" w:eastAsia="Calibri" w:hAnsi="Calibri"/>
                <w:sz w:val="16"/>
                <w:lang w:val="en-ZA"/>
              </w:rPr>
              <w:t xml:space="preserve">Partial </w:t>
            </w:r>
          </w:p>
          <w:p w14:paraId="7633D9D2" w14:textId="03C5D662" w:rsidR="006B6194" w:rsidRPr="00B73583" w:rsidRDefault="006B6194" w:rsidP="006B6194">
            <w:pPr>
              <w:jc w:val="center"/>
              <w:rPr>
                <w:rFonts w:eastAsia="Calibri" w:cs="Times New Roman"/>
                <w:sz w:val="16"/>
                <w:lang w:val="en-ZA"/>
              </w:rPr>
            </w:pPr>
            <w:r w:rsidRPr="00B73583">
              <w:rPr>
                <w:rFonts w:eastAsia="Calibri" w:cs="Times New Roman"/>
                <w:sz w:val="16"/>
                <w:lang w:val="en-ZA"/>
              </w:rPr>
              <w:t>9 &amp; 26</w:t>
            </w:r>
          </w:p>
        </w:tc>
        <w:tc>
          <w:tcPr>
            <w:tcW w:w="275" w:type="pct"/>
            <w:vAlign w:val="center"/>
          </w:tcPr>
          <w:p w14:paraId="3E383883" w14:textId="57BE1683" w:rsidR="006B6194" w:rsidRPr="00B73583" w:rsidRDefault="006B6194" w:rsidP="006B6194">
            <w:pPr>
              <w:jc w:val="center"/>
              <w:rPr>
                <w:rFonts w:eastAsia="Calibri" w:cs="Times New Roman"/>
                <w:sz w:val="16"/>
                <w:lang w:val="en-ZA"/>
              </w:rPr>
            </w:pPr>
            <w:r w:rsidRPr="00B73583">
              <w:rPr>
                <w:rFonts w:eastAsia="Calibri" w:cs="Times New Roman"/>
                <w:sz w:val="16"/>
                <w:lang w:val="en-ZA"/>
              </w:rPr>
              <w:t>May 2012</w:t>
            </w:r>
          </w:p>
        </w:tc>
        <w:tc>
          <w:tcPr>
            <w:tcW w:w="416" w:type="pct"/>
            <w:vAlign w:val="center"/>
          </w:tcPr>
          <w:p w14:paraId="0DDCD0BC" w14:textId="3272802C" w:rsidR="006B6194" w:rsidRPr="00B73583" w:rsidRDefault="006B6194" w:rsidP="006B6194">
            <w:pPr>
              <w:jc w:val="center"/>
              <w:rPr>
                <w:rFonts w:eastAsia="Calibri" w:cs="Times New Roman"/>
                <w:sz w:val="16"/>
                <w:lang w:val="en-ZA"/>
              </w:rPr>
            </w:pPr>
            <w:r w:rsidRPr="00B73583">
              <w:rPr>
                <w:rFonts w:eastAsia="Calibri" w:cs="Times New Roman"/>
                <w:sz w:val="16"/>
                <w:lang w:val="en-ZA"/>
              </w:rPr>
              <w:t>June 2020</w:t>
            </w:r>
          </w:p>
        </w:tc>
        <w:tc>
          <w:tcPr>
            <w:tcW w:w="433" w:type="pct"/>
            <w:vAlign w:val="center"/>
          </w:tcPr>
          <w:p w14:paraId="6B407949" w14:textId="6DABF6FE" w:rsidR="006B6194" w:rsidRPr="00B73583" w:rsidRDefault="006B6194" w:rsidP="006B6194">
            <w:pPr>
              <w:jc w:val="center"/>
              <w:rPr>
                <w:rFonts w:eastAsia="Calibri" w:cs="Times New Roman"/>
                <w:sz w:val="16"/>
                <w:lang w:val="en-ZA"/>
              </w:rPr>
            </w:pPr>
            <w:r w:rsidRPr="00B73583">
              <w:rPr>
                <w:rFonts w:eastAsia="Calibri" w:cs="Times New Roman"/>
                <w:sz w:val="16"/>
                <w:lang w:val="en-ZA"/>
              </w:rPr>
              <w:t>R 263 150 511</w:t>
            </w:r>
          </w:p>
        </w:tc>
        <w:tc>
          <w:tcPr>
            <w:tcW w:w="431" w:type="pct"/>
            <w:vAlign w:val="center"/>
          </w:tcPr>
          <w:p w14:paraId="2379E02E" w14:textId="792F5466" w:rsidR="006B6194" w:rsidRPr="00B73583" w:rsidRDefault="006B6194" w:rsidP="006B6194">
            <w:pPr>
              <w:jc w:val="center"/>
              <w:rPr>
                <w:rFonts w:eastAsia="Calibri" w:cs="Times New Roman"/>
                <w:sz w:val="16"/>
                <w:lang w:val="en-ZA"/>
              </w:rPr>
            </w:pPr>
            <w:r w:rsidRPr="00B73583">
              <w:rPr>
                <w:rFonts w:eastAsia="Calibri" w:cs="Times New Roman"/>
                <w:sz w:val="16"/>
                <w:lang w:val="en-ZA"/>
              </w:rPr>
              <w:t>R 170 485 862</w:t>
            </w:r>
          </w:p>
        </w:tc>
        <w:tc>
          <w:tcPr>
            <w:tcW w:w="437" w:type="pct"/>
            <w:vAlign w:val="center"/>
          </w:tcPr>
          <w:p w14:paraId="159A0587" w14:textId="27C5BD13" w:rsidR="006B6194" w:rsidRPr="00B73583" w:rsidRDefault="006B6194" w:rsidP="006B6194">
            <w:pPr>
              <w:jc w:val="center"/>
              <w:rPr>
                <w:rFonts w:eastAsia="Calibri" w:cs="Times New Roman"/>
                <w:sz w:val="16"/>
                <w:lang w:val="en-ZA"/>
              </w:rPr>
            </w:pPr>
            <w:r w:rsidRPr="00B73583">
              <w:rPr>
                <w:rFonts w:eastAsia="Calibri" w:cs="Times New Roman"/>
                <w:sz w:val="16"/>
                <w:lang w:val="en-ZA"/>
              </w:rPr>
              <w:t>64%</w:t>
            </w:r>
          </w:p>
        </w:tc>
        <w:tc>
          <w:tcPr>
            <w:tcW w:w="645" w:type="pct"/>
            <w:vAlign w:val="center"/>
          </w:tcPr>
          <w:p w14:paraId="67F34AA8" w14:textId="77777777" w:rsidR="006B6194" w:rsidRPr="00B73583" w:rsidRDefault="006B6194" w:rsidP="006B6194">
            <w:pPr>
              <w:pStyle w:val="NormalWeb"/>
              <w:spacing w:before="0" w:beforeAutospacing="0" w:after="0" w:afterAutospacing="0"/>
              <w:jc w:val="center"/>
              <w:textAlignment w:val="center"/>
              <w:rPr>
                <w:rFonts w:ascii="Calibri" w:eastAsia="Calibri" w:hAnsi="Calibri"/>
                <w:sz w:val="16"/>
                <w:lang w:val="en-ZA"/>
              </w:rPr>
            </w:pPr>
            <w:r w:rsidRPr="00B73583">
              <w:rPr>
                <w:rFonts w:ascii="Calibri" w:eastAsia="Calibri" w:hAnsi="Calibri"/>
                <w:sz w:val="16"/>
                <w:lang w:val="en-ZA"/>
              </w:rPr>
              <w:t xml:space="preserve">Mandawe (partial), </w:t>
            </w:r>
          </w:p>
          <w:p w14:paraId="7B83F72E" w14:textId="77777777" w:rsidR="006B6194" w:rsidRPr="00B73583" w:rsidRDefault="006B6194" w:rsidP="006B6194">
            <w:pPr>
              <w:pStyle w:val="NormalWeb"/>
              <w:spacing w:before="0" w:beforeAutospacing="0" w:after="0" w:afterAutospacing="0"/>
              <w:jc w:val="center"/>
              <w:textAlignment w:val="center"/>
              <w:rPr>
                <w:rFonts w:ascii="Calibri" w:eastAsia="Calibri" w:hAnsi="Calibri"/>
                <w:sz w:val="16"/>
                <w:lang w:val="en-ZA"/>
              </w:rPr>
            </w:pPr>
            <w:r w:rsidRPr="00B73583">
              <w:rPr>
                <w:rFonts w:ascii="Calibri" w:eastAsia="Calibri" w:hAnsi="Calibri"/>
                <w:sz w:val="16"/>
                <w:lang w:val="en-ZA"/>
              </w:rPr>
              <w:t xml:space="preserve">Mbizo 2, Ncemaneni, Zigagayi, Emaqeleni, Isiphezi, </w:t>
            </w:r>
          </w:p>
          <w:p w14:paraId="10AE8BFC" w14:textId="77777777" w:rsidR="006B6194" w:rsidRPr="00B73583" w:rsidRDefault="006B6194" w:rsidP="006B6194">
            <w:pPr>
              <w:pStyle w:val="NormalWeb"/>
              <w:spacing w:before="0" w:beforeAutospacing="0" w:after="0" w:afterAutospacing="0"/>
              <w:jc w:val="center"/>
              <w:textAlignment w:val="center"/>
              <w:rPr>
                <w:rFonts w:ascii="Calibri" w:eastAsia="Calibri" w:hAnsi="Calibri"/>
                <w:sz w:val="16"/>
                <w:lang w:val="en-ZA"/>
              </w:rPr>
            </w:pPr>
            <w:r w:rsidRPr="00B73583">
              <w:rPr>
                <w:rFonts w:ascii="Calibri" w:eastAsia="Calibri" w:hAnsi="Calibri"/>
                <w:sz w:val="16"/>
                <w:lang w:val="en-ZA"/>
              </w:rPr>
              <w:t xml:space="preserve">Kwa-Mpofu, Kwa-Hlokohloko / Thintumkaba, Eziqwaqweni (Ward 26), Mhlathuzana Mtilombo </w:t>
            </w:r>
          </w:p>
          <w:p w14:paraId="50D2C417" w14:textId="133D0829" w:rsidR="006B6194" w:rsidRPr="00B73583" w:rsidRDefault="006B6194" w:rsidP="006B6194">
            <w:pPr>
              <w:jc w:val="center"/>
              <w:rPr>
                <w:rFonts w:eastAsia="Calibri" w:cs="Times New Roman"/>
                <w:sz w:val="16"/>
                <w:lang w:val="en-ZA"/>
              </w:rPr>
            </w:pPr>
            <w:r w:rsidRPr="00B73583">
              <w:rPr>
                <w:rFonts w:eastAsia="Calibri" w:cs="Times New Roman"/>
                <w:sz w:val="16"/>
                <w:lang w:val="en-ZA"/>
              </w:rPr>
              <w:t>Mbizo 1</w:t>
            </w:r>
          </w:p>
        </w:tc>
        <w:tc>
          <w:tcPr>
            <w:tcW w:w="406" w:type="pct"/>
            <w:vAlign w:val="center"/>
          </w:tcPr>
          <w:p w14:paraId="40B97B1A" w14:textId="276EB68E" w:rsidR="006B6194" w:rsidRPr="00B73583" w:rsidRDefault="006B6194" w:rsidP="006B6194">
            <w:pPr>
              <w:jc w:val="center"/>
              <w:rPr>
                <w:rFonts w:eastAsia="Calibri" w:cs="Times New Roman"/>
                <w:sz w:val="16"/>
                <w:lang w:val="en-ZA"/>
              </w:rPr>
            </w:pPr>
            <w:r w:rsidRPr="00B73583">
              <w:rPr>
                <w:rFonts w:eastAsia="Calibri" w:cs="Times New Roman"/>
                <w:sz w:val="16"/>
                <w:lang w:val="en-ZA"/>
              </w:rPr>
              <w:t>R 24 866 258</w:t>
            </w:r>
          </w:p>
        </w:tc>
        <w:tc>
          <w:tcPr>
            <w:tcW w:w="461" w:type="pct"/>
            <w:vAlign w:val="center"/>
          </w:tcPr>
          <w:p w14:paraId="26B458A2" w14:textId="5D5E3F20" w:rsidR="006B6194" w:rsidRPr="00B73583" w:rsidRDefault="006B6194" w:rsidP="006B6194">
            <w:pPr>
              <w:jc w:val="center"/>
              <w:rPr>
                <w:rFonts w:eastAsia="Calibri" w:cs="Times New Roman"/>
                <w:sz w:val="16"/>
                <w:lang w:val="en-ZA"/>
              </w:rPr>
            </w:pPr>
            <w:r w:rsidRPr="00B73583">
              <w:rPr>
                <w:rFonts w:eastAsia="Calibri" w:cs="Times New Roman"/>
                <w:sz w:val="16"/>
                <w:lang w:val="en-ZA"/>
              </w:rPr>
              <w:t>R  46 500 00</w:t>
            </w:r>
          </w:p>
        </w:tc>
        <w:tc>
          <w:tcPr>
            <w:tcW w:w="484" w:type="pct"/>
            <w:vAlign w:val="center"/>
          </w:tcPr>
          <w:p w14:paraId="6FB8FD90" w14:textId="03A88ACA" w:rsidR="006B6194" w:rsidRPr="00B73583" w:rsidRDefault="006B6194" w:rsidP="006B6194">
            <w:pPr>
              <w:jc w:val="center"/>
              <w:rPr>
                <w:rFonts w:eastAsia="Calibri" w:cs="Times New Roman"/>
                <w:sz w:val="16"/>
                <w:lang w:val="en-ZA"/>
              </w:rPr>
            </w:pPr>
            <w:r w:rsidRPr="00B73583">
              <w:rPr>
                <w:rFonts w:eastAsia="Calibri" w:cs="Times New Roman"/>
                <w:sz w:val="16"/>
                <w:lang w:val="en-ZA"/>
              </w:rPr>
              <w:t>R  52 090 000</w:t>
            </w:r>
          </w:p>
        </w:tc>
      </w:tr>
      <w:tr w:rsidR="00ED3EB2" w:rsidRPr="007F7ADD" w14:paraId="4F69FE3C" w14:textId="77777777" w:rsidTr="00ED3EB2">
        <w:trPr>
          <w:trHeight w:val="493"/>
        </w:trPr>
        <w:tc>
          <w:tcPr>
            <w:tcW w:w="625" w:type="pct"/>
            <w:vAlign w:val="center"/>
          </w:tcPr>
          <w:p w14:paraId="36A4A3A4" w14:textId="71249431" w:rsidR="00ED3EB2" w:rsidRPr="00B73583" w:rsidRDefault="00ED3EB2" w:rsidP="00ED3EB2">
            <w:pPr>
              <w:jc w:val="center"/>
              <w:rPr>
                <w:rFonts w:eastAsia="Calibri" w:cs="Times New Roman"/>
                <w:sz w:val="16"/>
                <w:lang w:val="en-ZA"/>
              </w:rPr>
            </w:pPr>
            <w:r w:rsidRPr="00B73583">
              <w:rPr>
                <w:rFonts w:eastAsia="Calibri" w:cs="Times New Roman"/>
                <w:sz w:val="16"/>
                <w:lang w:val="en-ZA"/>
              </w:rPr>
              <w:t xml:space="preserve">KwaHlokohloko S/A SSA5 </w:t>
            </w:r>
          </w:p>
        </w:tc>
        <w:tc>
          <w:tcPr>
            <w:tcW w:w="387" w:type="pct"/>
            <w:vAlign w:val="center"/>
          </w:tcPr>
          <w:p w14:paraId="2356096C" w14:textId="77777777" w:rsidR="00ED3EB2" w:rsidRPr="00B73583" w:rsidRDefault="00ED3EB2" w:rsidP="00ED3EB2">
            <w:pPr>
              <w:pStyle w:val="NormalWeb"/>
              <w:spacing w:before="0" w:beforeAutospacing="0" w:after="0" w:afterAutospacing="0"/>
              <w:jc w:val="center"/>
              <w:textAlignment w:val="center"/>
              <w:rPr>
                <w:rFonts w:ascii="Calibri" w:eastAsia="Calibri" w:hAnsi="Calibri"/>
                <w:sz w:val="16"/>
                <w:lang w:val="en-ZA"/>
              </w:rPr>
            </w:pPr>
            <w:r w:rsidRPr="00B73583">
              <w:rPr>
                <w:rFonts w:ascii="Calibri" w:eastAsia="Calibri" w:hAnsi="Calibri"/>
                <w:sz w:val="16"/>
                <w:lang w:val="en-ZA"/>
              </w:rPr>
              <w:t xml:space="preserve">Partial </w:t>
            </w:r>
          </w:p>
          <w:p w14:paraId="6526A829" w14:textId="36B4442F" w:rsidR="00ED3EB2" w:rsidRPr="00B73583" w:rsidRDefault="00ED3EB2" w:rsidP="00ED3EB2">
            <w:pPr>
              <w:jc w:val="center"/>
              <w:rPr>
                <w:rFonts w:eastAsia="Calibri" w:cs="Times New Roman"/>
                <w:sz w:val="16"/>
                <w:lang w:val="en-ZA"/>
              </w:rPr>
            </w:pPr>
            <w:r w:rsidRPr="00B73583">
              <w:rPr>
                <w:rFonts w:eastAsia="Calibri" w:cs="Times New Roman"/>
                <w:sz w:val="16"/>
                <w:lang w:val="en-ZA"/>
              </w:rPr>
              <w:t>22 &amp;23</w:t>
            </w:r>
          </w:p>
        </w:tc>
        <w:tc>
          <w:tcPr>
            <w:tcW w:w="275" w:type="pct"/>
            <w:vAlign w:val="center"/>
          </w:tcPr>
          <w:p w14:paraId="170E2814" w14:textId="3CA891A5" w:rsidR="00ED3EB2" w:rsidRPr="00B73583" w:rsidRDefault="00ED3EB2" w:rsidP="00ED3EB2">
            <w:pPr>
              <w:jc w:val="center"/>
              <w:rPr>
                <w:rFonts w:eastAsia="Calibri" w:cs="Times New Roman"/>
                <w:sz w:val="16"/>
                <w:lang w:val="en-ZA"/>
              </w:rPr>
            </w:pPr>
            <w:r w:rsidRPr="00B73583">
              <w:rPr>
                <w:rFonts w:eastAsia="Calibri" w:cs="Times New Roman"/>
                <w:sz w:val="16"/>
                <w:lang w:val="en-ZA"/>
              </w:rPr>
              <w:t>Jan 2012</w:t>
            </w:r>
          </w:p>
        </w:tc>
        <w:tc>
          <w:tcPr>
            <w:tcW w:w="416" w:type="pct"/>
            <w:vAlign w:val="center"/>
          </w:tcPr>
          <w:p w14:paraId="1524526C" w14:textId="29E8473A" w:rsidR="00ED3EB2" w:rsidRPr="00B73583" w:rsidRDefault="00ED3EB2" w:rsidP="00ED3EB2">
            <w:pPr>
              <w:jc w:val="center"/>
              <w:rPr>
                <w:rFonts w:eastAsia="Calibri" w:cs="Times New Roman"/>
                <w:sz w:val="16"/>
                <w:lang w:val="en-ZA"/>
              </w:rPr>
            </w:pPr>
            <w:r w:rsidRPr="00B73583">
              <w:rPr>
                <w:rFonts w:eastAsia="Calibri" w:cs="Times New Roman"/>
                <w:sz w:val="16"/>
                <w:lang w:val="en-ZA"/>
              </w:rPr>
              <w:t>June 2020</w:t>
            </w:r>
          </w:p>
        </w:tc>
        <w:tc>
          <w:tcPr>
            <w:tcW w:w="433" w:type="pct"/>
            <w:vAlign w:val="center"/>
          </w:tcPr>
          <w:p w14:paraId="2D7AB3D4" w14:textId="4F013F35" w:rsidR="00ED3EB2" w:rsidRPr="00B73583" w:rsidRDefault="00ED3EB2" w:rsidP="00ED3EB2">
            <w:pPr>
              <w:jc w:val="center"/>
              <w:rPr>
                <w:rFonts w:eastAsia="Calibri" w:cs="Times New Roman"/>
                <w:sz w:val="16"/>
                <w:lang w:val="en-ZA"/>
              </w:rPr>
            </w:pPr>
            <w:r w:rsidRPr="00B73583">
              <w:rPr>
                <w:rFonts w:eastAsia="Calibri" w:cs="Times New Roman"/>
                <w:sz w:val="16"/>
                <w:lang w:val="en-ZA"/>
              </w:rPr>
              <w:t>R  157 844 574</w:t>
            </w:r>
          </w:p>
        </w:tc>
        <w:tc>
          <w:tcPr>
            <w:tcW w:w="431" w:type="pct"/>
            <w:vAlign w:val="center"/>
          </w:tcPr>
          <w:p w14:paraId="5751A781" w14:textId="7DE2A480" w:rsidR="00ED3EB2" w:rsidRPr="00B73583" w:rsidRDefault="00ED3EB2" w:rsidP="00ED3EB2">
            <w:pPr>
              <w:jc w:val="center"/>
              <w:rPr>
                <w:rFonts w:eastAsia="Calibri" w:cs="Times New Roman"/>
                <w:sz w:val="16"/>
                <w:lang w:val="en-ZA"/>
              </w:rPr>
            </w:pPr>
            <w:r w:rsidRPr="00B73583">
              <w:rPr>
                <w:rFonts w:eastAsia="Calibri" w:cs="Times New Roman"/>
                <w:sz w:val="16"/>
                <w:lang w:val="en-ZA"/>
              </w:rPr>
              <w:t>R 42 803 986</w:t>
            </w:r>
          </w:p>
        </w:tc>
        <w:tc>
          <w:tcPr>
            <w:tcW w:w="437" w:type="pct"/>
            <w:vAlign w:val="center"/>
          </w:tcPr>
          <w:p w14:paraId="7293D162" w14:textId="7ACDB0F1" w:rsidR="00ED3EB2" w:rsidRPr="00B73583" w:rsidRDefault="00ED3EB2" w:rsidP="00ED3EB2">
            <w:pPr>
              <w:jc w:val="center"/>
              <w:rPr>
                <w:rFonts w:eastAsia="Calibri" w:cs="Times New Roman"/>
                <w:sz w:val="16"/>
                <w:lang w:val="en-ZA"/>
              </w:rPr>
            </w:pPr>
            <w:r w:rsidRPr="00B73583">
              <w:rPr>
                <w:rFonts w:eastAsia="Calibri" w:cs="Times New Roman"/>
                <w:sz w:val="16"/>
                <w:lang w:val="en-ZA"/>
              </w:rPr>
              <w:t>27%</w:t>
            </w:r>
          </w:p>
        </w:tc>
        <w:tc>
          <w:tcPr>
            <w:tcW w:w="645" w:type="pct"/>
            <w:vAlign w:val="center"/>
          </w:tcPr>
          <w:p w14:paraId="400A03DD" w14:textId="77777777" w:rsidR="00ED3EB2" w:rsidRPr="00B73583" w:rsidRDefault="00ED3EB2" w:rsidP="00ED3EB2">
            <w:pPr>
              <w:pStyle w:val="NormalWeb"/>
              <w:spacing w:before="0" w:beforeAutospacing="0" w:after="0" w:afterAutospacing="0"/>
              <w:jc w:val="center"/>
              <w:textAlignment w:val="center"/>
              <w:rPr>
                <w:rFonts w:ascii="Calibri" w:eastAsia="Calibri" w:hAnsi="Calibri"/>
                <w:sz w:val="16"/>
                <w:lang w:val="en-ZA"/>
              </w:rPr>
            </w:pPr>
            <w:r w:rsidRPr="00B73583">
              <w:rPr>
                <w:rFonts w:ascii="Calibri" w:eastAsia="Calibri" w:hAnsi="Calibri"/>
                <w:sz w:val="16"/>
                <w:lang w:val="en-ZA"/>
              </w:rPr>
              <w:t>Oyemeni, Phongola, Lubisane, Gugushe, Ohhaheni, Makhehle</w:t>
            </w:r>
          </w:p>
          <w:p w14:paraId="2BD48E6B" w14:textId="5B4307EE" w:rsidR="00ED3EB2" w:rsidRPr="00B73583" w:rsidRDefault="00ED3EB2" w:rsidP="00ED3EB2">
            <w:pPr>
              <w:jc w:val="center"/>
              <w:rPr>
                <w:rFonts w:eastAsia="Calibri" w:cs="Times New Roman"/>
                <w:sz w:val="16"/>
                <w:lang w:val="en-ZA"/>
              </w:rPr>
            </w:pPr>
            <w:r w:rsidRPr="00B73583">
              <w:rPr>
                <w:rFonts w:eastAsia="Calibri" w:cs="Times New Roman"/>
                <w:sz w:val="16"/>
                <w:lang w:val="en-ZA"/>
              </w:rPr>
              <w:t>(partial), Makholokholo (partial), Nteneshane, Hlobane, Macekane, Sabe 1 &amp; 2</w:t>
            </w:r>
          </w:p>
        </w:tc>
        <w:tc>
          <w:tcPr>
            <w:tcW w:w="406" w:type="pct"/>
            <w:vAlign w:val="center"/>
          </w:tcPr>
          <w:p w14:paraId="1468756B" w14:textId="35941CB7" w:rsidR="00ED3EB2" w:rsidRPr="00B73583" w:rsidRDefault="00ED3EB2" w:rsidP="00ED3EB2">
            <w:pPr>
              <w:jc w:val="center"/>
              <w:rPr>
                <w:rFonts w:eastAsia="Calibri" w:cs="Times New Roman"/>
                <w:sz w:val="16"/>
                <w:lang w:val="en-ZA"/>
              </w:rPr>
            </w:pPr>
            <w:r w:rsidRPr="00B73583">
              <w:rPr>
                <w:rFonts w:eastAsia="Calibri" w:cs="Times New Roman"/>
                <w:sz w:val="16"/>
                <w:lang w:val="en-ZA"/>
              </w:rPr>
              <w:t>R 33 957 148</w:t>
            </w:r>
          </w:p>
        </w:tc>
        <w:tc>
          <w:tcPr>
            <w:tcW w:w="461" w:type="pct"/>
            <w:vAlign w:val="center"/>
          </w:tcPr>
          <w:p w14:paraId="066D357C" w14:textId="0E1E5780" w:rsidR="00ED3EB2" w:rsidRPr="00B73583" w:rsidRDefault="00ED3EB2" w:rsidP="00ED3EB2">
            <w:pPr>
              <w:jc w:val="center"/>
              <w:rPr>
                <w:rFonts w:eastAsia="Calibri" w:cs="Times New Roman"/>
                <w:sz w:val="16"/>
                <w:lang w:val="en-ZA"/>
              </w:rPr>
            </w:pPr>
            <w:r w:rsidRPr="00B73583">
              <w:rPr>
                <w:rFonts w:eastAsia="Calibri" w:cs="Times New Roman"/>
                <w:sz w:val="16"/>
                <w:lang w:val="en-ZA"/>
              </w:rPr>
              <w:t>R 20 012 862</w:t>
            </w:r>
          </w:p>
        </w:tc>
        <w:tc>
          <w:tcPr>
            <w:tcW w:w="484" w:type="pct"/>
            <w:vAlign w:val="center"/>
          </w:tcPr>
          <w:p w14:paraId="26A97E96" w14:textId="3D0F73C3" w:rsidR="00ED3EB2" w:rsidRPr="00B73583" w:rsidRDefault="00ED3EB2" w:rsidP="00ED3EB2">
            <w:pPr>
              <w:jc w:val="center"/>
              <w:rPr>
                <w:rFonts w:eastAsia="Calibri" w:cs="Times New Roman"/>
                <w:sz w:val="16"/>
                <w:lang w:val="en-ZA"/>
              </w:rPr>
            </w:pPr>
            <w:r w:rsidRPr="00B73583">
              <w:rPr>
                <w:rFonts w:eastAsia="Calibri" w:cs="Times New Roman"/>
                <w:sz w:val="16"/>
                <w:lang w:val="en-ZA"/>
              </w:rPr>
              <w:t>R 16 012 862</w:t>
            </w:r>
          </w:p>
        </w:tc>
      </w:tr>
      <w:tr w:rsidR="00ED3EB2" w:rsidRPr="007F7ADD" w14:paraId="650E8EE8" w14:textId="77777777" w:rsidTr="00ED3EB2">
        <w:trPr>
          <w:trHeight w:val="493"/>
        </w:trPr>
        <w:tc>
          <w:tcPr>
            <w:tcW w:w="625" w:type="pct"/>
            <w:vAlign w:val="center"/>
          </w:tcPr>
          <w:p w14:paraId="52C2DD30" w14:textId="14D8C467" w:rsidR="00ED3EB2" w:rsidRPr="00B73583" w:rsidRDefault="00ED3EB2" w:rsidP="00ED3EB2">
            <w:pPr>
              <w:jc w:val="center"/>
              <w:rPr>
                <w:rFonts w:eastAsia="Calibri" w:cs="Times New Roman"/>
                <w:sz w:val="16"/>
                <w:lang w:val="en-ZA"/>
              </w:rPr>
            </w:pPr>
            <w:r w:rsidRPr="00B73583">
              <w:rPr>
                <w:rFonts w:eastAsia="Calibri" w:cs="Times New Roman"/>
                <w:sz w:val="16"/>
                <w:lang w:val="en-ZA"/>
              </w:rPr>
              <w:t>Middledrift Phase 2</w:t>
            </w:r>
          </w:p>
        </w:tc>
        <w:tc>
          <w:tcPr>
            <w:tcW w:w="387" w:type="pct"/>
            <w:vAlign w:val="center"/>
          </w:tcPr>
          <w:p w14:paraId="18AC6C08" w14:textId="5AF35E9C" w:rsidR="00ED3EB2" w:rsidRPr="00B73583" w:rsidRDefault="00ED3EB2" w:rsidP="00ED3EB2">
            <w:pPr>
              <w:jc w:val="center"/>
              <w:rPr>
                <w:rFonts w:eastAsia="Calibri" w:cs="Times New Roman"/>
                <w:sz w:val="16"/>
                <w:lang w:val="en-ZA"/>
              </w:rPr>
            </w:pPr>
            <w:r w:rsidRPr="00B73583">
              <w:rPr>
                <w:rFonts w:eastAsia="Calibri" w:cs="Times New Roman"/>
                <w:sz w:val="16"/>
                <w:lang w:val="en-ZA"/>
              </w:rPr>
              <w:t>Um1 &amp; 2 and Nk7,13 &amp; 14</w:t>
            </w:r>
          </w:p>
        </w:tc>
        <w:tc>
          <w:tcPr>
            <w:tcW w:w="275" w:type="pct"/>
            <w:vAlign w:val="center"/>
          </w:tcPr>
          <w:p w14:paraId="29B93078" w14:textId="4581738B" w:rsidR="00ED3EB2" w:rsidRPr="00B73583" w:rsidRDefault="00ED3EB2" w:rsidP="00ED3EB2">
            <w:pPr>
              <w:jc w:val="center"/>
              <w:rPr>
                <w:rFonts w:eastAsia="Calibri" w:cs="Times New Roman"/>
                <w:sz w:val="16"/>
                <w:lang w:val="en-ZA"/>
              </w:rPr>
            </w:pPr>
            <w:r w:rsidRPr="00B73583">
              <w:rPr>
                <w:rFonts w:eastAsia="Calibri" w:cs="Times New Roman"/>
                <w:sz w:val="16"/>
                <w:lang w:val="en-ZA"/>
              </w:rPr>
              <w:t>May 2006</w:t>
            </w:r>
          </w:p>
        </w:tc>
        <w:tc>
          <w:tcPr>
            <w:tcW w:w="416" w:type="pct"/>
            <w:vAlign w:val="center"/>
          </w:tcPr>
          <w:p w14:paraId="408542F6" w14:textId="123A726B" w:rsidR="00ED3EB2" w:rsidRPr="00B73583" w:rsidRDefault="00ED3EB2" w:rsidP="00ED3EB2">
            <w:pPr>
              <w:jc w:val="center"/>
              <w:rPr>
                <w:rFonts w:eastAsia="Calibri" w:cs="Times New Roman"/>
                <w:sz w:val="16"/>
                <w:lang w:val="en-ZA"/>
              </w:rPr>
            </w:pPr>
            <w:r w:rsidRPr="00B73583">
              <w:rPr>
                <w:rFonts w:eastAsia="Calibri" w:cs="Times New Roman"/>
                <w:sz w:val="16"/>
                <w:lang w:val="en-ZA"/>
              </w:rPr>
              <w:t>Jun 2020</w:t>
            </w:r>
          </w:p>
        </w:tc>
        <w:tc>
          <w:tcPr>
            <w:tcW w:w="433" w:type="pct"/>
            <w:vAlign w:val="center"/>
          </w:tcPr>
          <w:p w14:paraId="5366A943" w14:textId="67441AF5" w:rsidR="00ED3EB2" w:rsidRPr="00B73583" w:rsidRDefault="00ED3EB2" w:rsidP="00ED3EB2">
            <w:pPr>
              <w:jc w:val="center"/>
              <w:rPr>
                <w:rFonts w:eastAsia="Calibri" w:cs="Times New Roman"/>
                <w:sz w:val="16"/>
                <w:lang w:val="en-ZA"/>
              </w:rPr>
            </w:pPr>
            <w:r w:rsidRPr="00B73583">
              <w:rPr>
                <w:rFonts w:eastAsia="Calibri" w:cs="Times New Roman"/>
                <w:sz w:val="16"/>
                <w:lang w:val="en-ZA"/>
              </w:rPr>
              <w:t>R 132 409 907</w:t>
            </w:r>
          </w:p>
        </w:tc>
        <w:tc>
          <w:tcPr>
            <w:tcW w:w="431" w:type="pct"/>
            <w:vAlign w:val="center"/>
          </w:tcPr>
          <w:p w14:paraId="24785DA3" w14:textId="3ACB09A9" w:rsidR="00ED3EB2" w:rsidRPr="00B73583" w:rsidRDefault="00ED3EB2" w:rsidP="00ED3EB2">
            <w:pPr>
              <w:jc w:val="center"/>
              <w:rPr>
                <w:rFonts w:eastAsia="Calibri" w:cs="Times New Roman"/>
                <w:sz w:val="16"/>
                <w:lang w:val="en-ZA"/>
              </w:rPr>
            </w:pPr>
            <w:r w:rsidRPr="00B73583">
              <w:rPr>
                <w:rFonts w:eastAsia="Calibri" w:cs="Times New Roman"/>
                <w:sz w:val="16"/>
                <w:lang w:val="en-ZA"/>
              </w:rPr>
              <w:t>R 102 394 957.6</w:t>
            </w:r>
          </w:p>
        </w:tc>
        <w:tc>
          <w:tcPr>
            <w:tcW w:w="437" w:type="pct"/>
            <w:vAlign w:val="center"/>
          </w:tcPr>
          <w:p w14:paraId="38ACF814" w14:textId="1A3E7E60" w:rsidR="00ED3EB2" w:rsidRPr="00B73583" w:rsidRDefault="00ED3EB2" w:rsidP="00ED3EB2">
            <w:pPr>
              <w:jc w:val="center"/>
              <w:rPr>
                <w:rFonts w:eastAsia="Calibri" w:cs="Times New Roman"/>
                <w:sz w:val="16"/>
                <w:lang w:val="en-ZA"/>
              </w:rPr>
            </w:pPr>
            <w:r w:rsidRPr="00B73583">
              <w:rPr>
                <w:rFonts w:eastAsia="Calibri" w:cs="Times New Roman"/>
                <w:sz w:val="16"/>
                <w:lang w:val="en-ZA"/>
              </w:rPr>
              <w:t>77%</w:t>
            </w:r>
          </w:p>
        </w:tc>
        <w:tc>
          <w:tcPr>
            <w:tcW w:w="645" w:type="pct"/>
            <w:vAlign w:val="center"/>
          </w:tcPr>
          <w:p w14:paraId="5EB5E424" w14:textId="6A82E484" w:rsidR="00ED3EB2" w:rsidRPr="00B73583" w:rsidRDefault="00ED3EB2" w:rsidP="00ED3EB2">
            <w:pPr>
              <w:jc w:val="center"/>
              <w:rPr>
                <w:rFonts w:eastAsia="Calibri" w:cs="Times New Roman"/>
                <w:sz w:val="16"/>
                <w:lang w:val="en-ZA"/>
              </w:rPr>
            </w:pPr>
            <w:r w:rsidRPr="00B73583">
              <w:rPr>
                <w:rFonts w:eastAsia="Calibri" w:cs="Times New Roman"/>
                <w:sz w:val="16"/>
                <w:lang w:val="en-ZA"/>
              </w:rPr>
              <w:t>Izinyosi, Bongela, Nkunzempunga, Mfomfolozi, Mbileni, Nyimbithwa, Mvuzane</w:t>
            </w:r>
          </w:p>
        </w:tc>
        <w:tc>
          <w:tcPr>
            <w:tcW w:w="406" w:type="pct"/>
            <w:vAlign w:val="center"/>
          </w:tcPr>
          <w:p w14:paraId="02FE20DC" w14:textId="3A858C45" w:rsidR="00ED3EB2" w:rsidRPr="00B73583" w:rsidRDefault="00ED3EB2" w:rsidP="00ED3EB2">
            <w:pPr>
              <w:jc w:val="center"/>
              <w:rPr>
                <w:rFonts w:eastAsia="Calibri" w:cs="Times New Roman"/>
                <w:sz w:val="16"/>
                <w:lang w:val="en-ZA"/>
              </w:rPr>
            </w:pPr>
            <w:r w:rsidRPr="00B73583">
              <w:rPr>
                <w:rFonts w:eastAsia="Calibri" w:cs="Times New Roman"/>
                <w:sz w:val="16"/>
                <w:lang w:val="en-ZA"/>
              </w:rPr>
              <w:t>R 2 703 100</w:t>
            </w:r>
          </w:p>
        </w:tc>
        <w:tc>
          <w:tcPr>
            <w:tcW w:w="461" w:type="pct"/>
            <w:vAlign w:val="center"/>
          </w:tcPr>
          <w:p w14:paraId="6A3F3AFC" w14:textId="3063179F" w:rsidR="00ED3EB2" w:rsidRPr="00B73583" w:rsidRDefault="00ED3EB2" w:rsidP="00ED3EB2">
            <w:pPr>
              <w:jc w:val="center"/>
              <w:rPr>
                <w:rFonts w:eastAsia="Calibri" w:cs="Times New Roman"/>
                <w:sz w:val="16"/>
                <w:lang w:val="en-ZA"/>
              </w:rPr>
            </w:pPr>
            <w:r w:rsidRPr="00B73583">
              <w:rPr>
                <w:rFonts w:eastAsia="Calibri" w:cs="Times New Roman"/>
                <w:sz w:val="16"/>
                <w:lang w:val="en-ZA"/>
              </w:rPr>
              <w:t>R 15 000 000</w:t>
            </w:r>
          </w:p>
        </w:tc>
        <w:tc>
          <w:tcPr>
            <w:tcW w:w="484" w:type="pct"/>
            <w:vAlign w:val="center"/>
          </w:tcPr>
          <w:p w14:paraId="16C6D60E" w14:textId="648DFF75" w:rsidR="00ED3EB2" w:rsidRPr="00B73583" w:rsidRDefault="00ED3EB2" w:rsidP="00ED3EB2">
            <w:pPr>
              <w:jc w:val="center"/>
              <w:rPr>
                <w:rFonts w:eastAsia="Calibri" w:cs="Times New Roman"/>
                <w:sz w:val="16"/>
                <w:lang w:val="en-ZA"/>
              </w:rPr>
            </w:pPr>
            <w:r w:rsidRPr="00B73583">
              <w:rPr>
                <w:rFonts w:eastAsia="Calibri" w:cs="Times New Roman"/>
                <w:sz w:val="16"/>
                <w:lang w:val="en-ZA"/>
              </w:rPr>
              <w:t>R 10 000 000</w:t>
            </w:r>
          </w:p>
        </w:tc>
      </w:tr>
    </w:tbl>
    <w:p w14:paraId="32AF5CCF" w14:textId="77777777" w:rsidR="00B73583" w:rsidRDefault="00B73583" w:rsidP="00B73583">
      <w:pPr>
        <w:ind w:left="-284"/>
      </w:pPr>
    </w:p>
    <w:p w14:paraId="06D1981A" w14:textId="59EE9403" w:rsidR="00B73583" w:rsidRDefault="00B73583" w:rsidP="00B73583">
      <w:pPr>
        <w:pStyle w:val="Heading3"/>
        <w:numPr>
          <w:ilvl w:val="3"/>
          <w:numId w:val="12"/>
        </w:numPr>
      </w:pPr>
      <w:bookmarkStart w:id="740" w:name="_Toc510706709"/>
      <w:r>
        <w:t>TRONOX 5 Year Social Investment Plan</w:t>
      </w:r>
      <w:bookmarkEnd w:id="740"/>
    </w:p>
    <w:p w14:paraId="4C29123A" w14:textId="414F5128" w:rsidR="00B73583" w:rsidRDefault="00B73583" w:rsidP="00B73583">
      <w:pPr>
        <w:ind w:left="-284"/>
      </w:pPr>
      <w:r>
        <w:rPr>
          <w:noProof/>
        </w:rPr>
        <w:drawing>
          <wp:inline distT="0" distB="0" distL="0" distR="0" wp14:anchorId="1AE95016" wp14:editId="3E3EB5CF">
            <wp:extent cx="6269127" cy="3638550"/>
            <wp:effectExtent l="0" t="0" r="0" b="0"/>
            <wp:docPr id="2" name="Content Placeholder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a:blip r:embed="rId116"/>
                    <a:stretch>
                      <a:fillRect/>
                    </a:stretch>
                  </pic:blipFill>
                  <pic:spPr>
                    <a:xfrm>
                      <a:off x="0" y="0"/>
                      <a:ext cx="6274094" cy="3641433"/>
                    </a:xfrm>
                    <a:prstGeom prst="rect">
                      <a:avLst/>
                    </a:prstGeom>
                  </pic:spPr>
                </pic:pic>
              </a:graphicData>
            </a:graphic>
          </wp:inline>
        </w:drawing>
      </w:r>
    </w:p>
    <w:p w14:paraId="6332912C" w14:textId="77777777" w:rsidR="001322A6" w:rsidRDefault="001322A6" w:rsidP="00BB5C77"/>
    <w:p w14:paraId="30B1290F" w14:textId="77777777" w:rsidR="00B73583" w:rsidRDefault="00B73583" w:rsidP="00BB5C77"/>
    <w:p w14:paraId="180BBDD1" w14:textId="77777777" w:rsidR="00465091" w:rsidRPr="00F05F6D" w:rsidRDefault="00465091" w:rsidP="00236ABE">
      <w:pPr>
        <w:pStyle w:val="Heading2"/>
        <w:numPr>
          <w:ilvl w:val="1"/>
          <w:numId w:val="12"/>
        </w:numPr>
      </w:pPr>
      <w:bookmarkStart w:id="741" w:name="_Toc510706710"/>
      <w:r w:rsidRPr="00F05F6D">
        <w:t>REPORTS OF THE AUDITOR GENERAL AND RESPONSES</w:t>
      </w:r>
      <w:bookmarkEnd w:id="734"/>
      <w:bookmarkEnd w:id="735"/>
      <w:bookmarkEnd w:id="736"/>
      <w:bookmarkEnd w:id="741"/>
    </w:p>
    <w:p w14:paraId="14CBB23C" w14:textId="5638C6DA" w:rsidR="00D30332" w:rsidRDefault="00465091" w:rsidP="00BB5C77">
      <w:pPr>
        <w:pStyle w:val="Heading3"/>
        <w:numPr>
          <w:ilvl w:val="2"/>
          <w:numId w:val="12"/>
        </w:numPr>
      </w:pPr>
      <w:bookmarkStart w:id="742" w:name="_Toc291152626"/>
      <w:bookmarkStart w:id="743" w:name="_Toc327349415"/>
      <w:bookmarkStart w:id="744" w:name="_Toc389740150"/>
      <w:bookmarkStart w:id="745" w:name="_Toc510706711"/>
      <w:r w:rsidRPr="00236ABE">
        <w:t>AUDITOR-GENERAL REPORT FOR THE FINANCIAL YEAR ENDING 30 JUNE 201</w:t>
      </w:r>
      <w:bookmarkEnd w:id="742"/>
      <w:bookmarkEnd w:id="743"/>
      <w:bookmarkEnd w:id="744"/>
      <w:r w:rsidR="00BB5C77">
        <w:t>7</w:t>
      </w:r>
      <w:bookmarkEnd w:id="745"/>
    </w:p>
    <w:p w14:paraId="5B317D86" w14:textId="77777777" w:rsidR="00BB5C77" w:rsidRDefault="00BB5C77" w:rsidP="00BB5C77"/>
    <w:p w14:paraId="40CE6CA2" w14:textId="77777777" w:rsidR="00BB5C77" w:rsidRPr="00BB5C77" w:rsidRDefault="00BB5C77" w:rsidP="00BB5C77">
      <w:pPr>
        <w:spacing w:before="73" w:after="0" w:line="240" w:lineRule="auto"/>
        <w:ind w:left="251" w:right="-20"/>
        <w:jc w:val="both"/>
        <w:rPr>
          <w:rFonts w:ascii="Arial" w:eastAsia="Arial" w:hAnsi="Arial" w:cs="Arial"/>
          <w:sz w:val="28"/>
          <w:szCs w:val="28"/>
          <w:lang w:val="en-ZA" w:eastAsia="en-ZA"/>
        </w:rPr>
      </w:pPr>
      <w:r w:rsidRPr="00BB5C77">
        <w:rPr>
          <w:rFonts w:ascii="Arial" w:eastAsia="Arial" w:hAnsi="Arial" w:cs="Arial"/>
          <w:color w:val="4B7793"/>
          <w:sz w:val="28"/>
          <w:szCs w:val="28"/>
          <w:lang w:val="en-ZA" w:eastAsia="en-ZA"/>
        </w:rPr>
        <w:t>Report</w:t>
      </w:r>
      <w:r w:rsidRPr="00BB5C77">
        <w:rPr>
          <w:rFonts w:ascii="Arial" w:eastAsia="Arial" w:hAnsi="Arial" w:cs="Arial"/>
          <w:color w:val="4B7793"/>
          <w:spacing w:val="73"/>
          <w:sz w:val="28"/>
          <w:szCs w:val="28"/>
          <w:lang w:val="en-ZA" w:eastAsia="en-ZA"/>
        </w:rPr>
        <w:t xml:space="preserve"> </w:t>
      </w:r>
      <w:r w:rsidRPr="00BB5C77">
        <w:rPr>
          <w:rFonts w:ascii="Arial" w:eastAsia="Arial" w:hAnsi="Arial" w:cs="Arial"/>
          <w:color w:val="4B7793"/>
          <w:sz w:val="28"/>
          <w:szCs w:val="28"/>
          <w:lang w:val="en-ZA" w:eastAsia="en-ZA"/>
        </w:rPr>
        <w:t>of</w:t>
      </w:r>
      <w:r w:rsidRPr="00BB5C77">
        <w:rPr>
          <w:rFonts w:ascii="Arial" w:eastAsia="Arial" w:hAnsi="Arial" w:cs="Arial"/>
          <w:color w:val="4B7793"/>
          <w:spacing w:val="23"/>
          <w:sz w:val="28"/>
          <w:szCs w:val="28"/>
          <w:lang w:val="en-ZA" w:eastAsia="en-ZA"/>
        </w:rPr>
        <w:t xml:space="preserve"> </w:t>
      </w:r>
      <w:r w:rsidRPr="00BB5C77">
        <w:rPr>
          <w:rFonts w:ascii="Arial" w:eastAsia="Arial" w:hAnsi="Arial" w:cs="Arial"/>
          <w:color w:val="4B7793"/>
          <w:sz w:val="28"/>
          <w:szCs w:val="28"/>
          <w:lang w:val="en-ZA" w:eastAsia="en-ZA"/>
        </w:rPr>
        <w:t>the</w:t>
      </w:r>
      <w:r w:rsidRPr="00BB5C77">
        <w:rPr>
          <w:rFonts w:ascii="Arial" w:eastAsia="Arial" w:hAnsi="Arial" w:cs="Arial"/>
          <w:color w:val="4B7793"/>
          <w:spacing w:val="25"/>
          <w:sz w:val="28"/>
          <w:szCs w:val="28"/>
          <w:lang w:val="en-ZA" w:eastAsia="en-ZA"/>
        </w:rPr>
        <w:t xml:space="preserve"> </w:t>
      </w:r>
      <w:r w:rsidRPr="00BB5C77">
        <w:rPr>
          <w:rFonts w:ascii="Arial" w:eastAsia="Arial" w:hAnsi="Arial" w:cs="Arial"/>
          <w:color w:val="4B7793"/>
          <w:w w:val="108"/>
          <w:sz w:val="28"/>
          <w:szCs w:val="28"/>
          <w:lang w:val="en-ZA" w:eastAsia="en-ZA"/>
        </w:rPr>
        <w:t>auditor-genera</w:t>
      </w:r>
      <w:r w:rsidRPr="00BB5C77">
        <w:rPr>
          <w:rFonts w:ascii="Arial" w:eastAsia="Arial" w:hAnsi="Arial" w:cs="Arial"/>
          <w:color w:val="4B7793"/>
          <w:w w:val="109"/>
          <w:sz w:val="28"/>
          <w:szCs w:val="28"/>
          <w:lang w:val="en-ZA" w:eastAsia="en-ZA"/>
        </w:rPr>
        <w:t>l</w:t>
      </w:r>
      <w:r w:rsidRPr="00BB5C77">
        <w:rPr>
          <w:rFonts w:ascii="Arial" w:eastAsia="Arial" w:hAnsi="Arial" w:cs="Arial"/>
          <w:color w:val="4B7793"/>
          <w:spacing w:val="-48"/>
          <w:sz w:val="28"/>
          <w:szCs w:val="28"/>
          <w:lang w:val="en-ZA" w:eastAsia="en-ZA"/>
        </w:rPr>
        <w:t xml:space="preserve">  </w:t>
      </w:r>
      <w:r w:rsidRPr="00BB5C77">
        <w:rPr>
          <w:rFonts w:ascii="Arial" w:eastAsia="Arial" w:hAnsi="Arial" w:cs="Arial"/>
          <w:color w:val="4B7793"/>
          <w:sz w:val="28"/>
          <w:szCs w:val="28"/>
          <w:lang w:val="en-ZA" w:eastAsia="en-ZA"/>
        </w:rPr>
        <w:t>to</w:t>
      </w:r>
      <w:r w:rsidRPr="00BB5C77">
        <w:rPr>
          <w:rFonts w:ascii="Arial" w:eastAsia="Arial" w:hAnsi="Arial" w:cs="Arial"/>
          <w:color w:val="4B7793"/>
          <w:spacing w:val="32"/>
          <w:sz w:val="28"/>
          <w:szCs w:val="28"/>
          <w:lang w:val="en-ZA" w:eastAsia="en-ZA"/>
        </w:rPr>
        <w:t xml:space="preserve"> </w:t>
      </w:r>
      <w:r w:rsidRPr="00BB5C77">
        <w:rPr>
          <w:rFonts w:ascii="Arial" w:eastAsia="Arial" w:hAnsi="Arial" w:cs="Arial"/>
          <w:color w:val="4B7793"/>
          <w:sz w:val="28"/>
          <w:szCs w:val="28"/>
          <w:lang w:val="en-ZA" w:eastAsia="en-ZA"/>
        </w:rPr>
        <w:t>the</w:t>
      </w:r>
      <w:r w:rsidRPr="00BB5C77">
        <w:rPr>
          <w:rFonts w:ascii="Arial" w:eastAsia="Arial" w:hAnsi="Arial" w:cs="Arial"/>
          <w:color w:val="4B7793"/>
          <w:spacing w:val="13"/>
          <w:sz w:val="28"/>
          <w:szCs w:val="28"/>
          <w:lang w:val="en-ZA" w:eastAsia="en-ZA"/>
        </w:rPr>
        <w:t xml:space="preserve"> </w:t>
      </w:r>
      <w:r w:rsidRPr="00BB5C77">
        <w:rPr>
          <w:rFonts w:ascii="Arial" w:eastAsia="Arial" w:hAnsi="Arial" w:cs="Arial"/>
          <w:color w:val="4B7793"/>
          <w:w w:val="106"/>
          <w:sz w:val="28"/>
          <w:szCs w:val="28"/>
          <w:lang w:val="en-ZA" w:eastAsia="en-ZA"/>
        </w:rPr>
        <w:t>KwaZulu-Nata</w:t>
      </w:r>
      <w:r w:rsidRPr="00BB5C77">
        <w:rPr>
          <w:rFonts w:ascii="Arial" w:eastAsia="Arial" w:hAnsi="Arial" w:cs="Arial"/>
          <w:color w:val="4B7793"/>
          <w:w w:val="107"/>
          <w:sz w:val="28"/>
          <w:szCs w:val="28"/>
          <w:lang w:val="en-ZA" w:eastAsia="en-ZA"/>
        </w:rPr>
        <w:t>l</w:t>
      </w:r>
      <w:r w:rsidRPr="00BB5C77">
        <w:rPr>
          <w:rFonts w:ascii="Arial" w:eastAsia="Arial" w:hAnsi="Arial" w:cs="Arial"/>
          <w:color w:val="4B7793"/>
          <w:spacing w:val="-51"/>
          <w:sz w:val="28"/>
          <w:szCs w:val="28"/>
          <w:lang w:val="en-ZA" w:eastAsia="en-ZA"/>
        </w:rPr>
        <w:t xml:space="preserve">  </w:t>
      </w:r>
      <w:r w:rsidRPr="00BB5C77">
        <w:rPr>
          <w:rFonts w:ascii="Arial" w:eastAsia="Arial" w:hAnsi="Arial" w:cs="Arial"/>
          <w:color w:val="4B7793"/>
          <w:w w:val="109"/>
          <w:sz w:val="28"/>
          <w:szCs w:val="28"/>
          <w:lang w:val="en-ZA" w:eastAsia="en-ZA"/>
        </w:rPr>
        <w:t>Provincial</w:t>
      </w:r>
    </w:p>
    <w:p w14:paraId="4A2A5F2A" w14:textId="77777777" w:rsidR="00BB5C77" w:rsidRPr="00BB5C77" w:rsidRDefault="00BB5C77" w:rsidP="00BB5C77">
      <w:pPr>
        <w:spacing w:after="0" w:line="315" w:lineRule="exact"/>
        <w:ind w:left="251" w:right="-20"/>
        <w:jc w:val="both"/>
        <w:rPr>
          <w:rFonts w:ascii="Arial" w:eastAsia="Arial" w:hAnsi="Arial" w:cs="Arial"/>
          <w:sz w:val="28"/>
          <w:szCs w:val="28"/>
          <w:lang w:val="en-ZA" w:eastAsia="en-ZA"/>
        </w:rPr>
      </w:pPr>
      <w:r w:rsidRPr="00BB5C77">
        <w:rPr>
          <w:rFonts w:ascii="Arial" w:eastAsia="Arial" w:hAnsi="Arial" w:cs="Arial"/>
          <w:color w:val="4B7793"/>
          <w:w w:val="109"/>
          <w:sz w:val="28"/>
          <w:szCs w:val="28"/>
          <w:lang w:val="en-ZA" w:eastAsia="en-ZA"/>
        </w:rPr>
        <w:t>Legislature</w:t>
      </w:r>
      <w:r w:rsidRPr="00BB5C77">
        <w:rPr>
          <w:rFonts w:ascii="Arial" w:eastAsia="Arial" w:hAnsi="Arial" w:cs="Arial"/>
          <w:color w:val="4B7793"/>
          <w:spacing w:val="-13"/>
          <w:w w:val="109"/>
          <w:sz w:val="28"/>
          <w:szCs w:val="28"/>
          <w:lang w:val="en-ZA" w:eastAsia="en-ZA"/>
        </w:rPr>
        <w:t xml:space="preserve"> </w:t>
      </w:r>
      <w:r w:rsidRPr="00BB5C77">
        <w:rPr>
          <w:rFonts w:ascii="Arial" w:eastAsia="Arial" w:hAnsi="Arial" w:cs="Arial"/>
          <w:color w:val="4B7793"/>
          <w:sz w:val="28"/>
          <w:szCs w:val="28"/>
          <w:lang w:val="en-ZA" w:eastAsia="en-ZA"/>
        </w:rPr>
        <w:t>and</w:t>
      </w:r>
      <w:r w:rsidRPr="00BB5C77">
        <w:rPr>
          <w:rFonts w:ascii="Arial" w:eastAsia="Arial" w:hAnsi="Arial" w:cs="Arial"/>
          <w:color w:val="4B7793"/>
          <w:spacing w:val="26"/>
          <w:sz w:val="28"/>
          <w:szCs w:val="28"/>
          <w:lang w:val="en-ZA" w:eastAsia="en-ZA"/>
        </w:rPr>
        <w:t xml:space="preserve"> </w:t>
      </w:r>
      <w:r w:rsidRPr="00BB5C77">
        <w:rPr>
          <w:rFonts w:ascii="Arial" w:eastAsia="Arial" w:hAnsi="Arial" w:cs="Arial"/>
          <w:color w:val="4B7793"/>
          <w:sz w:val="28"/>
          <w:szCs w:val="28"/>
          <w:lang w:val="en-ZA" w:eastAsia="en-ZA"/>
        </w:rPr>
        <w:t>the</w:t>
      </w:r>
      <w:r w:rsidRPr="00BB5C77">
        <w:rPr>
          <w:rFonts w:ascii="Arial" w:eastAsia="Arial" w:hAnsi="Arial" w:cs="Arial"/>
          <w:color w:val="4B7793"/>
          <w:spacing w:val="38"/>
          <w:sz w:val="28"/>
          <w:szCs w:val="28"/>
          <w:lang w:val="en-ZA" w:eastAsia="en-ZA"/>
        </w:rPr>
        <w:t xml:space="preserve"> </w:t>
      </w:r>
      <w:r w:rsidRPr="00BB5C77">
        <w:rPr>
          <w:rFonts w:ascii="Arial" w:eastAsia="Arial" w:hAnsi="Arial" w:cs="Arial"/>
          <w:color w:val="4B7793"/>
          <w:w w:val="115"/>
          <w:sz w:val="28"/>
          <w:szCs w:val="28"/>
          <w:lang w:val="en-ZA" w:eastAsia="en-ZA"/>
        </w:rPr>
        <w:t>council</w:t>
      </w:r>
      <w:r w:rsidRPr="00BB5C77">
        <w:rPr>
          <w:rFonts w:ascii="Arial" w:eastAsia="Arial" w:hAnsi="Arial" w:cs="Arial"/>
          <w:color w:val="4B7793"/>
          <w:spacing w:val="-33"/>
          <w:w w:val="115"/>
          <w:sz w:val="28"/>
          <w:szCs w:val="28"/>
          <w:lang w:val="en-ZA" w:eastAsia="en-ZA"/>
        </w:rPr>
        <w:t xml:space="preserve"> </w:t>
      </w:r>
      <w:r w:rsidRPr="00BB5C77">
        <w:rPr>
          <w:rFonts w:ascii="Arial" w:eastAsia="Arial" w:hAnsi="Arial" w:cs="Arial"/>
          <w:color w:val="4B7793"/>
          <w:sz w:val="28"/>
          <w:szCs w:val="28"/>
          <w:lang w:val="en-ZA" w:eastAsia="en-ZA"/>
        </w:rPr>
        <w:t>on</w:t>
      </w:r>
      <w:r w:rsidRPr="00BB5C77">
        <w:rPr>
          <w:rFonts w:ascii="Arial" w:eastAsia="Arial" w:hAnsi="Arial" w:cs="Arial"/>
          <w:color w:val="4B7793"/>
          <w:spacing w:val="14"/>
          <w:sz w:val="28"/>
          <w:szCs w:val="28"/>
          <w:lang w:val="en-ZA" w:eastAsia="en-ZA"/>
        </w:rPr>
        <w:t xml:space="preserve"> </w:t>
      </w:r>
      <w:r w:rsidRPr="00BB5C77">
        <w:rPr>
          <w:rFonts w:ascii="Arial" w:eastAsia="Arial" w:hAnsi="Arial" w:cs="Arial"/>
          <w:color w:val="4B7793"/>
          <w:sz w:val="28"/>
          <w:szCs w:val="28"/>
          <w:lang w:val="en-ZA" w:eastAsia="en-ZA"/>
        </w:rPr>
        <w:t>the</w:t>
      </w:r>
      <w:r w:rsidRPr="00BB5C77">
        <w:rPr>
          <w:rFonts w:ascii="Arial" w:eastAsia="Arial" w:hAnsi="Arial" w:cs="Arial"/>
          <w:color w:val="4B7793"/>
          <w:spacing w:val="32"/>
          <w:sz w:val="28"/>
          <w:szCs w:val="28"/>
          <w:lang w:val="en-ZA" w:eastAsia="en-ZA"/>
        </w:rPr>
        <w:t xml:space="preserve"> </w:t>
      </w:r>
      <w:r w:rsidRPr="00BB5C77">
        <w:rPr>
          <w:rFonts w:ascii="Arial" w:eastAsia="Arial" w:hAnsi="Arial" w:cs="Arial"/>
          <w:color w:val="4B7793"/>
          <w:w w:val="107"/>
          <w:sz w:val="28"/>
          <w:szCs w:val="28"/>
          <w:lang w:val="en-ZA" w:eastAsia="en-ZA"/>
        </w:rPr>
        <w:t>uMlalaz</w:t>
      </w:r>
      <w:r w:rsidRPr="00BB5C77">
        <w:rPr>
          <w:rFonts w:ascii="Arial" w:eastAsia="Arial" w:hAnsi="Arial" w:cs="Arial"/>
          <w:color w:val="4B7793"/>
          <w:spacing w:val="10"/>
          <w:w w:val="107"/>
          <w:sz w:val="28"/>
          <w:szCs w:val="28"/>
          <w:lang w:val="en-ZA" w:eastAsia="en-ZA"/>
        </w:rPr>
        <w:t xml:space="preserve">i </w:t>
      </w:r>
      <w:r w:rsidRPr="00BB5C77">
        <w:rPr>
          <w:rFonts w:ascii="Arial" w:eastAsia="Arial" w:hAnsi="Arial" w:cs="Arial"/>
          <w:color w:val="4B7793"/>
          <w:w w:val="110"/>
          <w:sz w:val="28"/>
          <w:szCs w:val="28"/>
          <w:lang w:val="en-ZA" w:eastAsia="en-ZA"/>
        </w:rPr>
        <w:t>Municipality</w:t>
      </w:r>
    </w:p>
    <w:p w14:paraId="56919FB4" w14:textId="77777777" w:rsidR="00BB5C77" w:rsidRPr="00BB5C77" w:rsidRDefault="00BB5C77" w:rsidP="00BB5C77">
      <w:pPr>
        <w:spacing w:before="12" w:after="0" w:line="280" w:lineRule="exact"/>
        <w:jc w:val="both"/>
        <w:rPr>
          <w:rFonts w:eastAsia="Times New Roman" w:cs="Times New Roman"/>
          <w:sz w:val="28"/>
          <w:szCs w:val="28"/>
          <w:lang w:val="en-ZA" w:eastAsia="en-ZA"/>
        </w:rPr>
      </w:pPr>
    </w:p>
    <w:p w14:paraId="2BA8A73D" w14:textId="77777777" w:rsidR="00BB5C77" w:rsidRPr="00BB5C77" w:rsidRDefault="00BB5C77" w:rsidP="00BB5C77">
      <w:pPr>
        <w:spacing w:after="0" w:line="240" w:lineRule="auto"/>
        <w:ind w:left="116" w:right="-20"/>
        <w:jc w:val="both"/>
        <w:rPr>
          <w:rFonts w:ascii="Arial" w:eastAsia="Arial" w:hAnsi="Arial" w:cs="Arial"/>
          <w:color w:val="646464"/>
          <w:w w:val="57"/>
          <w:sz w:val="39"/>
          <w:szCs w:val="39"/>
          <w:u w:val="single" w:color="676B67"/>
          <w:lang w:val="en-ZA" w:eastAsia="en-ZA"/>
        </w:rPr>
      </w:pPr>
      <w:r w:rsidRPr="00BB5C77">
        <w:rPr>
          <w:rFonts w:eastAsia="Calibri" w:cs="Times New Roman"/>
          <w:noProof/>
          <w:sz w:val="22"/>
        </w:rPr>
        <mc:AlternateContent>
          <mc:Choice Requires="wpg">
            <w:drawing>
              <wp:anchor distT="0" distB="0" distL="114300" distR="114300" simplePos="0" relativeHeight="251767296" behindDoc="1" locked="0" layoutInCell="1" allowOverlap="1" wp14:anchorId="5D84F933" wp14:editId="51590CEB">
                <wp:simplePos x="0" y="0"/>
                <wp:positionH relativeFrom="page">
                  <wp:posOffset>852805</wp:posOffset>
                </wp:positionH>
                <wp:positionV relativeFrom="paragraph">
                  <wp:posOffset>73025</wp:posOffset>
                </wp:positionV>
                <wp:extent cx="5878195" cy="1270"/>
                <wp:effectExtent l="5080" t="6350" r="12700" b="11430"/>
                <wp:wrapNone/>
                <wp:docPr id="43464" name="Group 434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8195" cy="1270"/>
                          <a:chOff x="1343" y="115"/>
                          <a:chExt cx="9257" cy="2"/>
                        </a:xfrm>
                      </wpg:grpSpPr>
                      <wps:wsp>
                        <wps:cNvPr id="43465" name="Freeform 5"/>
                        <wps:cNvSpPr>
                          <a:spLocks/>
                        </wps:cNvSpPr>
                        <wps:spPr bwMode="auto">
                          <a:xfrm>
                            <a:off x="1343" y="115"/>
                            <a:ext cx="9257" cy="2"/>
                          </a:xfrm>
                          <a:custGeom>
                            <a:avLst/>
                            <a:gdLst>
                              <a:gd name="T0" fmla="+- 0 1343 1343"/>
                              <a:gd name="T1" fmla="*/ T0 w 9257"/>
                              <a:gd name="T2" fmla="+- 0 10600 1343"/>
                              <a:gd name="T3" fmla="*/ T2 w 9257"/>
                            </a:gdLst>
                            <a:ahLst/>
                            <a:cxnLst>
                              <a:cxn ang="0">
                                <a:pos x="T1" y="0"/>
                              </a:cxn>
                              <a:cxn ang="0">
                                <a:pos x="T3" y="0"/>
                              </a:cxn>
                            </a:cxnLst>
                            <a:rect l="0" t="0" r="r" b="b"/>
                            <a:pathLst>
                              <a:path w="9257">
                                <a:moveTo>
                                  <a:pt x="0" y="0"/>
                                </a:moveTo>
                                <a:lnTo>
                                  <a:pt x="9257" y="0"/>
                                </a:lnTo>
                              </a:path>
                            </a:pathLst>
                          </a:custGeom>
                          <a:noFill/>
                          <a:ln w="9071">
                            <a:solidFill>
                              <a:srgbClr val="676B6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FE75DC" id="Group 43464" o:spid="_x0000_s1026" style="position:absolute;margin-left:67.15pt;margin-top:5.75pt;width:462.85pt;height:.1pt;z-index:-251549184;mso-position-horizontal-relative:page" coordorigin="1343,115" coordsize="92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">
                <v:shape id="Freeform 5" o:spid="_x0000_s1027" style="position:absolute;left:1343;top:115;width:9257;height:2;visibility:visible;mso-wrap-style:square;v-text-anchor:top" coordsize="92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9fg8UA&#10;AADeAAAADwAAAGRycy9kb3ducmV2LnhtbESPQWvCQBSE70L/w/KE3nRjGyVEVymKUMSLsb0/ss9s&#10;NPs2ZFeN/94VCj0OM/MNs1j1thE36nztWMFknIAgLp2uuVLwc9yOMhA+IGtsHJOCB3lYLd8GC8y1&#10;u/OBbkWoRISwz1GBCaHNpfSlIYt+7Fri6J1cZzFE2VVSd3iPcNvIjySZSYs1xwWDLa0NlZfiahXw&#10;drf+PV93Idvsi/RUZ4fLdGOUeh/2X3MQgfrwH/5rf2sF6Wc6m8LrTrwCc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D1+DxQAAAN4AAAAPAAAAAAAAAAAAAAAAAJgCAABkcnMv&#10;ZG93bnJldi54bWxQSwUGAAAAAAQABAD1AAAAigMAAAAA&#10;" path="m,l9257,e" filled="f" strokecolor="#676b67" strokeweight=".25197mm">
                  <v:path arrowok="t" o:connecttype="custom" o:connectlocs="0,0;9257,0" o:connectangles="0,0"/>
                </v:shape>
                <w10:wrap anchorx="page"/>
              </v:group>
            </w:pict>
          </mc:Fallback>
        </mc:AlternateContent>
      </w:r>
    </w:p>
    <w:p w14:paraId="0024A9C1" w14:textId="77777777" w:rsidR="00BB5C77" w:rsidRPr="00BB5C77" w:rsidRDefault="00BB5C77" w:rsidP="00BB5C77">
      <w:pPr>
        <w:spacing w:after="0" w:line="240" w:lineRule="auto"/>
        <w:ind w:left="116" w:right="-20"/>
        <w:jc w:val="both"/>
        <w:rPr>
          <w:rFonts w:ascii="Arial" w:eastAsia="Arial" w:hAnsi="Arial" w:cs="Arial"/>
          <w:sz w:val="24"/>
          <w:szCs w:val="24"/>
          <w:lang w:val="en-ZA" w:eastAsia="en-ZA"/>
        </w:rPr>
      </w:pPr>
      <w:r w:rsidRPr="00BB5C77">
        <w:rPr>
          <w:rFonts w:ascii="Arial" w:eastAsia="Arial" w:hAnsi="Arial" w:cs="Arial"/>
          <w:color w:val="4697CD"/>
          <w:sz w:val="24"/>
          <w:szCs w:val="24"/>
          <w:lang w:val="en-ZA" w:eastAsia="en-ZA"/>
        </w:rPr>
        <w:t>Report</w:t>
      </w:r>
      <w:r w:rsidRPr="00BB5C77">
        <w:rPr>
          <w:rFonts w:ascii="Arial" w:eastAsia="Arial" w:hAnsi="Arial" w:cs="Arial"/>
          <w:color w:val="4697CD"/>
          <w:spacing w:val="48"/>
          <w:sz w:val="24"/>
          <w:szCs w:val="24"/>
          <w:lang w:val="en-ZA" w:eastAsia="en-ZA"/>
        </w:rPr>
        <w:t xml:space="preserve"> </w:t>
      </w:r>
      <w:r w:rsidRPr="00BB5C77">
        <w:rPr>
          <w:rFonts w:ascii="Arial" w:eastAsia="Arial" w:hAnsi="Arial" w:cs="Arial"/>
          <w:color w:val="4697CD"/>
          <w:sz w:val="24"/>
          <w:szCs w:val="24"/>
          <w:lang w:val="en-ZA" w:eastAsia="en-ZA"/>
        </w:rPr>
        <w:t>on</w:t>
      </w:r>
      <w:r w:rsidRPr="00BB5C77">
        <w:rPr>
          <w:rFonts w:ascii="Arial" w:eastAsia="Arial" w:hAnsi="Arial" w:cs="Arial"/>
          <w:color w:val="4697CD"/>
          <w:spacing w:val="24"/>
          <w:sz w:val="24"/>
          <w:szCs w:val="24"/>
          <w:lang w:val="en-ZA" w:eastAsia="en-ZA"/>
        </w:rPr>
        <w:t xml:space="preserve"> </w:t>
      </w:r>
      <w:r w:rsidRPr="00BB5C77">
        <w:rPr>
          <w:rFonts w:ascii="Arial" w:eastAsia="Arial" w:hAnsi="Arial" w:cs="Arial"/>
          <w:color w:val="4697CD"/>
          <w:sz w:val="24"/>
          <w:szCs w:val="24"/>
          <w:lang w:val="en-ZA" w:eastAsia="en-ZA"/>
        </w:rPr>
        <w:t>the</w:t>
      </w:r>
      <w:r w:rsidRPr="00BB5C77">
        <w:rPr>
          <w:rFonts w:ascii="Arial" w:eastAsia="Arial" w:hAnsi="Arial" w:cs="Arial"/>
          <w:color w:val="4697CD"/>
          <w:spacing w:val="23"/>
          <w:sz w:val="24"/>
          <w:szCs w:val="24"/>
          <w:lang w:val="en-ZA" w:eastAsia="en-ZA"/>
        </w:rPr>
        <w:t xml:space="preserve"> </w:t>
      </w:r>
      <w:r w:rsidRPr="00BB5C77">
        <w:rPr>
          <w:rFonts w:ascii="Arial" w:eastAsia="Arial" w:hAnsi="Arial" w:cs="Arial"/>
          <w:color w:val="4697CD"/>
          <w:sz w:val="24"/>
          <w:szCs w:val="24"/>
          <w:lang w:val="en-ZA" w:eastAsia="en-ZA"/>
        </w:rPr>
        <w:t>audit</w:t>
      </w:r>
      <w:r w:rsidRPr="00BB5C77">
        <w:rPr>
          <w:rFonts w:ascii="Arial" w:eastAsia="Arial" w:hAnsi="Arial" w:cs="Arial"/>
          <w:color w:val="4697CD"/>
          <w:spacing w:val="55"/>
          <w:sz w:val="24"/>
          <w:szCs w:val="24"/>
          <w:lang w:val="en-ZA" w:eastAsia="en-ZA"/>
        </w:rPr>
        <w:t xml:space="preserve"> </w:t>
      </w:r>
      <w:r w:rsidRPr="00BB5C77">
        <w:rPr>
          <w:rFonts w:ascii="Arial" w:eastAsia="Arial" w:hAnsi="Arial" w:cs="Arial"/>
          <w:color w:val="4697CD"/>
          <w:sz w:val="24"/>
          <w:szCs w:val="24"/>
          <w:lang w:val="en-ZA" w:eastAsia="en-ZA"/>
        </w:rPr>
        <w:t>of</w:t>
      </w:r>
      <w:r w:rsidRPr="00BB5C77">
        <w:rPr>
          <w:rFonts w:ascii="Arial" w:eastAsia="Arial" w:hAnsi="Arial" w:cs="Arial"/>
          <w:color w:val="4697CD"/>
          <w:spacing w:val="24"/>
          <w:sz w:val="24"/>
          <w:szCs w:val="24"/>
          <w:lang w:val="en-ZA" w:eastAsia="en-ZA"/>
        </w:rPr>
        <w:t xml:space="preserve"> </w:t>
      </w:r>
      <w:r w:rsidRPr="00BB5C77">
        <w:rPr>
          <w:rFonts w:ascii="Arial" w:eastAsia="Arial" w:hAnsi="Arial" w:cs="Arial"/>
          <w:color w:val="4697CD"/>
          <w:sz w:val="24"/>
          <w:szCs w:val="24"/>
          <w:lang w:val="en-ZA" w:eastAsia="en-ZA"/>
        </w:rPr>
        <w:t>the</w:t>
      </w:r>
      <w:r w:rsidRPr="00BB5C77">
        <w:rPr>
          <w:rFonts w:ascii="Arial" w:eastAsia="Arial" w:hAnsi="Arial" w:cs="Arial"/>
          <w:color w:val="4697CD"/>
          <w:spacing w:val="44"/>
          <w:sz w:val="24"/>
          <w:szCs w:val="24"/>
          <w:lang w:val="en-ZA" w:eastAsia="en-ZA"/>
        </w:rPr>
        <w:t xml:space="preserve"> </w:t>
      </w:r>
      <w:r w:rsidRPr="00BB5C77">
        <w:rPr>
          <w:rFonts w:ascii="Arial" w:eastAsia="Arial" w:hAnsi="Arial" w:cs="Arial"/>
          <w:color w:val="4697CD"/>
          <w:w w:val="111"/>
          <w:sz w:val="24"/>
          <w:szCs w:val="24"/>
          <w:lang w:val="en-ZA" w:eastAsia="en-ZA"/>
        </w:rPr>
        <w:t>financia</w:t>
      </w:r>
      <w:r w:rsidRPr="00BB5C77">
        <w:rPr>
          <w:rFonts w:ascii="Arial" w:eastAsia="Arial" w:hAnsi="Arial" w:cs="Arial"/>
          <w:color w:val="4697CD"/>
          <w:spacing w:val="-4"/>
          <w:w w:val="112"/>
          <w:sz w:val="24"/>
          <w:szCs w:val="24"/>
          <w:lang w:val="en-ZA" w:eastAsia="en-ZA"/>
        </w:rPr>
        <w:t xml:space="preserve">l </w:t>
      </w:r>
      <w:r w:rsidRPr="00BB5C77">
        <w:rPr>
          <w:rFonts w:ascii="Arial" w:eastAsia="Arial" w:hAnsi="Arial" w:cs="Arial"/>
          <w:color w:val="4697CD"/>
          <w:w w:val="108"/>
          <w:sz w:val="24"/>
          <w:szCs w:val="24"/>
          <w:lang w:val="en-ZA" w:eastAsia="en-ZA"/>
        </w:rPr>
        <w:t>statements</w:t>
      </w:r>
    </w:p>
    <w:p w14:paraId="1990F562" w14:textId="77777777" w:rsidR="00BB5C77" w:rsidRPr="00BB5C77" w:rsidRDefault="00BB5C77" w:rsidP="00BB5C77">
      <w:pPr>
        <w:spacing w:before="5" w:after="0" w:line="130" w:lineRule="exact"/>
        <w:jc w:val="both"/>
        <w:rPr>
          <w:rFonts w:eastAsia="Times New Roman" w:cs="Times New Roman"/>
          <w:sz w:val="13"/>
          <w:szCs w:val="13"/>
          <w:lang w:val="en-ZA" w:eastAsia="en-ZA"/>
        </w:rPr>
      </w:pPr>
    </w:p>
    <w:p w14:paraId="692260C8" w14:textId="77777777" w:rsidR="00BB5C77" w:rsidRPr="00BB5C77" w:rsidRDefault="00BB5C77" w:rsidP="00BB5C77">
      <w:pPr>
        <w:spacing w:after="0" w:line="200" w:lineRule="exact"/>
        <w:jc w:val="both"/>
        <w:rPr>
          <w:rFonts w:eastAsia="Times New Roman" w:cs="Times New Roman"/>
          <w:szCs w:val="20"/>
          <w:lang w:val="en-ZA" w:eastAsia="en-ZA"/>
        </w:rPr>
      </w:pPr>
    </w:p>
    <w:p w14:paraId="66E7B8FE" w14:textId="77777777" w:rsidR="00BB5C77" w:rsidRPr="00BB5C77" w:rsidRDefault="00BB5C77" w:rsidP="00BB5C77">
      <w:pPr>
        <w:spacing w:after="0" w:line="240" w:lineRule="auto"/>
        <w:ind w:left="237" w:right="-20"/>
        <w:jc w:val="both"/>
        <w:rPr>
          <w:rFonts w:ascii="Arial" w:eastAsia="Arial" w:hAnsi="Arial" w:cs="Arial"/>
          <w:sz w:val="25"/>
          <w:szCs w:val="25"/>
          <w:lang w:val="en-ZA" w:eastAsia="en-ZA"/>
        </w:rPr>
      </w:pPr>
      <w:r w:rsidRPr="00BB5C77">
        <w:rPr>
          <w:rFonts w:ascii="Arial" w:eastAsia="Arial" w:hAnsi="Arial" w:cs="Arial"/>
          <w:color w:val="242424"/>
          <w:w w:val="107"/>
          <w:sz w:val="25"/>
          <w:szCs w:val="25"/>
          <w:lang w:val="en-ZA" w:eastAsia="en-ZA"/>
        </w:rPr>
        <w:t>Opinion</w:t>
      </w:r>
    </w:p>
    <w:p w14:paraId="62B0E09B" w14:textId="77777777" w:rsidR="00BB5C77" w:rsidRPr="00BB5C77" w:rsidRDefault="00BB5C77" w:rsidP="00BB5C77">
      <w:pPr>
        <w:spacing w:before="5" w:after="0" w:line="240" w:lineRule="exact"/>
        <w:jc w:val="both"/>
        <w:rPr>
          <w:rFonts w:eastAsia="Times New Roman" w:cs="Times New Roman"/>
          <w:sz w:val="24"/>
          <w:szCs w:val="24"/>
          <w:lang w:val="en-ZA" w:eastAsia="en-ZA"/>
        </w:rPr>
      </w:pPr>
    </w:p>
    <w:p w14:paraId="36A58F92" w14:textId="77777777" w:rsidR="00BB5C77" w:rsidRPr="00BB5C77" w:rsidRDefault="00BB5C77" w:rsidP="00BB5C77">
      <w:pPr>
        <w:spacing w:after="0" w:line="240" w:lineRule="auto"/>
        <w:ind w:left="259" w:right="-20"/>
        <w:jc w:val="both"/>
        <w:rPr>
          <w:rFonts w:ascii="Arial" w:eastAsia="Arial" w:hAnsi="Arial" w:cs="Arial"/>
          <w:sz w:val="21"/>
          <w:szCs w:val="21"/>
          <w:lang w:val="en-ZA" w:eastAsia="en-ZA"/>
        </w:rPr>
      </w:pPr>
      <w:r w:rsidRPr="00BB5C77">
        <w:rPr>
          <w:rFonts w:ascii="Arial" w:eastAsia="Arial" w:hAnsi="Arial" w:cs="Arial"/>
          <w:color w:val="0A0A0A"/>
          <w:sz w:val="21"/>
          <w:szCs w:val="21"/>
          <w:lang w:val="en-ZA" w:eastAsia="en-ZA"/>
        </w:rPr>
        <w:t xml:space="preserve">1.  </w:t>
      </w:r>
      <w:r w:rsidRPr="00BB5C77">
        <w:rPr>
          <w:rFonts w:ascii="Arial" w:eastAsia="Arial" w:hAnsi="Arial" w:cs="Arial"/>
          <w:color w:val="0A0A0A"/>
          <w:spacing w:val="5"/>
          <w:sz w:val="21"/>
          <w:szCs w:val="21"/>
          <w:lang w:val="en-ZA" w:eastAsia="en-ZA"/>
        </w:rPr>
        <w:t xml:space="preserve"> </w:t>
      </w:r>
      <w:r w:rsidRPr="00BB5C77">
        <w:rPr>
          <w:rFonts w:ascii="Arial" w:eastAsia="Arial" w:hAnsi="Arial" w:cs="Arial"/>
          <w:color w:val="0A0A0A"/>
          <w:w w:val="178"/>
          <w:sz w:val="21"/>
          <w:szCs w:val="21"/>
          <w:lang w:val="en-ZA" w:eastAsia="en-ZA"/>
        </w:rPr>
        <w:t>I</w:t>
      </w:r>
      <w:r w:rsidRPr="00BB5C77">
        <w:rPr>
          <w:rFonts w:ascii="Arial" w:eastAsia="Arial" w:hAnsi="Arial" w:cs="Arial"/>
          <w:color w:val="0A0A0A"/>
          <w:spacing w:val="-35"/>
          <w:sz w:val="21"/>
          <w:szCs w:val="21"/>
          <w:lang w:val="en-ZA" w:eastAsia="en-ZA"/>
        </w:rPr>
        <w:t xml:space="preserve"> </w:t>
      </w:r>
      <w:r w:rsidRPr="00BB5C77">
        <w:rPr>
          <w:rFonts w:ascii="Arial" w:eastAsia="Arial" w:hAnsi="Arial" w:cs="Arial"/>
          <w:color w:val="0A0A0A"/>
          <w:sz w:val="21"/>
          <w:szCs w:val="21"/>
          <w:lang w:val="en-ZA" w:eastAsia="en-ZA"/>
        </w:rPr>
        <w:t>have</w:t>
      </w:r>
      <w:r w:rsidRPr="00BB5C77">
        <w:rPr>
          <w:rFonts w:ascii="Arial" w:eastAsia="Arial" w:hAnsi="Arial" w:cs="Arial"/>
          <w:color w:val="0A0A0A"/>
          <w:spacing w:val="18"/>
          <w:sz w:val="21"/>
          <w:szCs w:val="21"/>
          <w:lang w:val="en-ZA" w:eastAsia="en-ZA"/>
        </w:rPr>
        <w:t xml:space="preserve"> </w:t>
      </w:r>
      <w:r w:rsidRPr="00BB5C77">
        <w:rPr>
          <w:rFonts w:ascii="Arial" w:eastAsia="Arial" w:hAnsi="Arial" w:cs="Arial"/>
          <w:color w:val="0A0A0A"/>
          <w:sz w:val="21"/>
          <w:szCs w:val="21"/>
          <w:lang w:val="en-ZA" w:eastAsia="en-ZA"/>
        </w:rPr>
        <w:t>audited</w:t>
      </w:r>
      <w:r w:rsidRPr="00BB5C77">
        <w:rPr>
          <w:rFonts w:ascii="Arial" w:eastAsia="Arial" w:hAnsi="Arial" w:cs="Arial"/>
          <w:color w:val="0A0A0A"/>
          <w:spacing w:val="18"/>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2"/>
          <w:sz w:val="21"/>
          <w:szCs w:val="21"/>
          <w:lang w:val="en-ZA" w:eastAsia="en-ZA"/>
        </w:rPr>
        <w:t xml:space="preserve"> </w:t>
      </w:r>
      <w:r w:rsidRPr="00BB5C77">
        <w:rPr>
          <w:rFonts w:ascii="Arial" w:eastAsia="Arial" w:hAnsi="Arial" w:cs="Arial"/>
          <w:color w:val="0A0A0A"/>
          <w:sz w:val="21"/>
          <w:szCs w:val="21"/>
          <w:lang w:val="en-ZA" w:eastAsia="en-ZA"/>
        </w:rPr>
        <w:t>financial</w:t>
      </w:r>
      <w:r w:rsidRPr="00BB5C77">
        <w:rPr>
          <w:rFonts w:ascii="Arial" w:eastAsia="Arial" w:hAnsi="Arial" w:cs="Arial"/>
          <w:color w:val="0A0A0A"/>
          <w:spacing w:val="13"/>
          <w:sz w:val="21"/>
          <w:szCs w:val="21"/>
          <w:lang w:val="en-ZA" w:eastAsia="en-ZA"/>
        </w:rPr>
        <w:t xml:space="preserve"> </w:t>
      </w:r>
      <w:r w:rsidRPr="00BB5C77">
        <w:rPr>
          <w:rFonts w:ascii="Arial" w:eastAsia="Arial" w:hAnsi="Arial" w:cs="Arial"/>
          <w:color w:val="0A0A0A"/>
          <w:sz w:val="21"/>
          <w:szCs w:val="21"/>
          <w:lang w:val="en-ZA" w:eastAsia="en-ZA"/>
        </w:rPr>
        <w:t>statements</w:t>
      </w:r>
      <w:r w:rsidRPr="00BB5C77">
        <w:rPr>
          <w:rFonts w:ascii="Arial" w:eastAsia="Arial" w:hAnsi="Arial" w:cs="Arial"/>
          <w:color w:val="0A0A0A"/>
          <w:spacing w:val="42"/>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6"/>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5"/>
          <w:sz w:val="21"/>
          <w:szCs w:val="21"/>
          <w:lang w:val="en-ZA" w:eastAsia="en-ZA"/>
        </w:rPr>
        <w:t xml:space="preserve"> </w:t>
      </w:r>
      <w:r w:rsidRPr="00BB5C77">
        <w:rPr>
          <w:rFonts w:ascii="Arial" w:eastAsia="Arial" w:hAnsi="Arial" w:cs="Arial"/>
          <w:color w:val="0A0A0A"/>
          <w:sz w:val="21"/>
          <w:szCs w:val="21"/>
          <w:lang w:val="en-ZA" w:eastAsia="en-ZA"/>
        </w:rPr>
        <w:t>uMlalazi</w:t>
      </w:r>
      <w:r w:rsidRPr="00BB5C77">
        <w:rPr>
          <w:rFonts w:ascii="Arial" w:eastAsia="Arial" w:hAnsi="Arial" w:cs="Arial"/>
          <w:color w:val="0A0A0A"/>
          <w:spacing w:val="11"/>
          <w:sz w:val="21"/>
          <w:szCs w:val="21"/>
          <w:lang w:val="en-ZA" w:eastAsia="en-ZA"/>
        </w:rPr>
        <w:t xml:space="preserve"> </w:t>
      </w:r>
      <w:r w:rsidRPr="00BB5C77">
        <w:rPr>
          <w:rFonts w:ascii="Arial" w:eastAsia="Arial" w:hAnsi="Arial" w:cs="Arial"/>
          <w:color w:val="0A0A0A"/>
          <w:sz w:val="21"/>
          <w:szCs w:val="21"/>
          <w:lang w:val="en-ZA" w:eastAsia="en-ZA"/>
        </w:rPr>
        <w:t xml:space="preserve">Municipality </w:t>
      </w:r>
      <w:r w:rsidRPr="00BB5C77">
        <w:rPr>
          <w:rFonts w:ascii="Arial" w:eastAsia="Arial" w:hAnsi="Arial" w:cs="Arial"/>
          <w:color w:val="0A0A0A"/>
          <w:spacing w:val="4"/>
          <w:sz w:val="21"/>
          <w:szCs w:val="21"/>
          <w:lang w:val="en-ZA" w:eastAsia="en-ZA"/>
        </w:rPr>
        <w:t>set</w:t>
      </w:r>
      <w:r w:rsidRPr="00BB5C77">
        <w:rPr>
          <w:rFonts w:ascii="Arial" w:eastAsia="Arial" w:hAnsi="Arial" w:cs="Arial"/>
          <w:color w:val="0A0A0A"/>
          <w:spacing w:val="2"/>
          <w:sz w:val="21"/>
          <w:szCs w:val="21"/>
          <w:lang w:val="en-ZA" w:eastAsia="en-ZA"/>
        </w:rPr>
        <w:t xml:space="preserve"> </w:t>
      </w:r>
      <w:r w:rsidRPr="00BB5C77">
        <w:rPr>
          <w:rFonts w:ascii="Arial" w:eastAsia="Arial" w:hAnsi="Arial" w:cs="Arial"/>
          <w:color w:val="0A0A0A"/>
          <w:sz w:val="21"/>
          <w:szCs w:val="21"/>
          <w:lang w:val="en-ZA" w:eastAsia="en-ZA"/>
        </w:rPr>
        <w:t>out</w:t>
      </w:r>
      <w:r w:rsidRPr="00BB5C77">
        <w:rPr>
          <w:rFonts w:ascii="Arial" w:eastAsia="Arial" w:hAnsi="Arial" w:cs="Arial"/>
          <w:color w:val="0A0A0A"/>
          <w:spacing w:val="15"/>
          <w:sz w:val="21"/>
          <w:szCs w:val="21"/>
          <w:lang w:val="en-ZA" w:eastAsia="en-ZA"/>
        </w:rPr>
        <w:t xml:space="preserve"> </w:t>
      </w:r>
      <w:r w:rsidRPr="00BB5C77">
        <w:rPr>
          <w:rFonts w:ascii="Arial" w:eastAsia="Arial" w:hAnsi="Arial" w:cs="Arial"/>
          <w:color w:val="0A0A0A"/>
          <w:sz w:val="21"/>
          <w:szCs w:val="21"/>
          <w:lang w:val="en-ZA" w:eastAsia="en-ZA"/>
        </w:rPr>
        <w:t>on</w:t>
      </w:r>
      <w:r w:rsidRPr="00BB5C77">
        <w:rPr>
          <w:rFonts w:ascii="Arial" w:eastAsia="Arial" w:hAnsi="Arial" w:cs="Arial"/>
          <w:color w:val="0A0A0A"/>
          <w:spacing w:val="5"/>
          <w:sz w:val="21"/>
          <w:szCs w:val="21"/>
          <w:lang w:val="en-ZA" w:eastAsia="en-ZA"/>
        </w:rPr>
        <w:t xml:space="preserve"> </w:t>
      </w:r>
      <w:r w:rsidRPr="00BB5C77">
        <w:rPr>
          <w:rFonts w:ascii="Arial" w:eastAsia="Arial" w:hAnsi="Arial" w:cs="Arial"/>
          <w:color w:val="0A0A0A"/>
          <w:sz w:val="21"/>
          <w:szCs w:val="21"/>
          <w:lang w:val="en-ZA" w:eastAsia="en-ZA"/>
        </w:rPr>
        <w:t>pages</w:t>
      </w:r>
      <w:r w:rsidRPr="00BB5C77">
        <w:rPr>
          <w:rFonts w:ascii="Arial" w:eastAsia="Arial" w:hAnsi="Arial" w:cs="Arial"/>
          <w:color w:val="0A0A0A"/>
          <w:spacing w:val="37"/>
          <w:sz w:val="21"/>
          <w:szCs w:val="21"/>
          <w:lang w:val="en-ZA" w:eastAsia="en-ZA"/>
        </w:rPr>
        <w:t xml:space="preserve"> </w:t>
      </w:r>
      <w:r w:rsidRPr="00BB5C77">
        <w:rPr>
          <w:rFonts w:ascii="Arial" w:eastAsia="Arial" w:hAnsi="Arial" w:cs="Arial"/>
          <w:color w:val="0A0A0A"/>
          <w:sz w:val="21"/>
          <w:szCs w:val="21"/>
          <w:lang w:val="en-ZA" w:eastAsia="en-ZA"/>
        </w:rPr>
        <w:t>7</w:t>
      </w:r>
      <w:r w:rsidRPr="00BB5C77">
        <w:rPr>
          <w:rFonts w:ascii="Arial" w:eastAsia="Arial" w:hAnsi="Arial" w:cs="Arial"/>
          <w:color w:val="0A0A0A"/>
          <w:spacing w:val="49"/>
          <w:sz w:val="21"/>
          <w:szCs w:val="21"/>
          <w:lang w:val="en-ZA" w:eastAsia="en-ZA"/>
        </w:rPr>
        <w:t xml:space="preserve"> </w:t>
      </w:r>
      <w:r w:rsidRPr="00BB5C77">
        <w:rPr>
          <w:rFonts w:ascii="Arial" w:eastAsia="Arial" w:hAnsi="Arial" w:cs="Arial"/>
          <w:color w:val="0A0A0A"/>
          <w:w w:val="108"/>
          <w:sz w:val="21"/>
          <w:szCs w:val="21"/>
          <w:lang w:val="en-ZA" w:eastAsia="en-ZA"/>
        </w:rPr>
        <w:t>to</w:t>
      </w:r>
    </w:p>
    <w:p w14:paraId="0881B826" w14:textId="77777777" w:rsidR="00BB5C77" w:rsidRPr="00BB5C77" w:rsidRDefault="00BB5C77" w:rsidP="00BB5C77">
      <w:pPr>
        <w:spacing w:before="13" w:after="0" w:line="250" w:lineRule="exact"/>
        <w:ind w:left="594" w:right="257" w:firstLine="29"/>
        <w:jc w:val="both"/>
        <w:rPr>
          <w:rFonts w:ascii="Arial" w:eastAsia="Arial" w:hAnsi="Arial" w:cs="Arial"/>
          <w:sz w:val="21"/>
          <w:szCs w:val="21"/>
          <w:lang w:val="en-ZA" w:eastAsia="en-ZA"/>
        </w:rPr>
      </w:pPr>
      <w:r w:rsidRPr="00BB5C77">
        <w:rPr>
          <w:rFonts w:ascii="Arial" w:eastAsia="Arial" w:hAnsi="Arial" w:cs="Arial"/>
          <w:color w:val="0A0A0A"/>
          <w:w w:val="127"/>
          <w:sz w:val="21"/>
          <w:szCs w:val="21"/>
          <w:lang w:val="en-ZA" w:eastAsia="en-ZA"/>
        </w:rPr>
        <w:t>67,</w:t>
      </w:r>
      <w:r w:rsidRPr="00BB5C77">
        <w:rPr>
          <w:rFonts w:ascii="Arial" w:eastAsia="Arial" w:hAnsi="Arial" w:cs="Arial"/>
          <w:color w:val="0A0A0A"/>
          <w:spacing w:val="-2"/>
          <w:sz w:val="21"/>
          <w:szCs w:val="21"/>
          <w:lang w:val="en-ZA" w:eastAsia="en-ZA"/>
        </w:rPr>
        <w:t xml:space="preserve"> </w:t>
      </w:r>
      <w:r w:rsidRPr="00BB5C77">
        <w:rPr>
          <w:rFonts w:ascii="Arial" w:eastAsia="Arial" w:hAnsi="Arial" w:cs="Arial"/>
          <w:color w:val="0A0A0A"/>
          <w:sz w:val="21"/>
          <w:szCs w:val="21"/>
          <w:lang w:val="en-ZA" w:eastAsia="en-ZA"/>
        </w:rPr>
        <w:t>which</w:t>
      </w:r>
      <w:r w:rsidRPr="00BB5C77">
        <w:rPr>
          <w:rFonts w:ascii="Arial" w:eastAsia="Arial" w:hAnsi="Arial" w:cs="Arial"/>
          <w:color w:val="0A0A0A"/>
          <w:spacing w:val="8"/>
          <w:sz w:val="21"/>
          <w:szCs w:val="21"/>
          <w:lang w:val="en-ZA" w:eastAsia="en-ZA"/>
        </w:rPr>
        <w:t xml:space="preserve"> </w:t>
      </w:r>
      <w:r w:rsidRPr="00BB5C77">
        <w:rPr>
          <w:rFonts w:ascii="Arial" w:eastAsia="Arial" w:hAnsi="Arial" w:cs="Arial"/>
          <w:color w:val="0A0A0A"/>
          <w:sz w:val="21"/>
          <w:szCs w:val="21"/>
          <w:lang w:val="en-ZA" w:eastAsia="en-ZA"/>
        </w:rPr>
        <w:t>comprise</w:t>
      </w:r>
      <w:r w:rsidRPr="00BB5C77">
        <w:rPr>
          <w:rFonts w:ascii="Arial" w:eastAsia="Arial" w:hAnsi="Arial" w:cs="Arial"/>
          <w:color w:val="0A0A0A"/>
          <w:spacing w:val="35"/>
          <w:sz w:val="21"/>
          <w:szCs w:val="21"/>
          <w:lang w:val="en-ZA" w:eastAsia="en-ZA"/>
        </w:rPr>
        <w:t xml:space="preserve"> </w:t>
      </w:r>
      <w:r w:rsidRPr="00BB5C77">
        <w:rPr>
          <w:rFonts w:ascii="Arial" w:eastAsia="Arial" w:hAnsi="Arial" w:cs="Arial"/>
          <w:color w:val="0A0A0A"/>
          <w:sz w:val="24"/>
          <w:szCs w:val="24"/>
          <w:lang w:val="en-ZA" w:eastAsia="en-ZA"/>
        </w:rPr>
        <w:t>the</w:t>
      </w:r>
      <w:r w:rsidRPr="00BB5C77">
        <w:rPr>
          <w:rFonts w:ascii="Arial" w:eastAsia="Arial" w:hAnsi="Arial" w:cs="Arial"/>
          <w:color w:val="0A0A0A"/>
          <w:spacing w:val="-21"/>
          <w:sz w:val="24"/>
          <w:szCs w:val="24"/>
          <w:lang w:val="en-ZA" w:eastAsia="en-ZA"/>
        </w:rPr>
        <w:t xml:space="preserve"> </w:t>
      </w:r>
      <w:r w:rsidRPr="00BB5C77">
        <w:rPr>
          <w:rFonts w:ascii="Arial" w:eastAsia="Arial" w:hAnsi="Arial" w:cs="Arial"/>
          <w:color w:val="0A0A0A"/>
          <w:sz w:val="21"/>
          <w:szCs w:val="21"/>
          <w:lang w:val="en-ZA" w:eastAsia="en-ZA"/>
        </w:rPr>
        <w:t>statement</w:t>
      </w:r>
      <w:r w:rsidRPr="00BB5C77">
        <w:rPr>
          <w:rFonts w:ascii="Arial" w:eastAsia="Arial" w:hAnsi="Arial" w:cs="Arial"/>
          <w:color w:val="0A0A0A"/>
          <w:spacing w:val="42"/>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16"/>
          <w:sz w:val="21"/>
          <w:szCs w:val="21"/>
          <w:lang w:val="en-ZA" w:eastAsia="en-ZA"/>
        </w:rPr>
        <w:t xml:space="preserve"> </w:t>
      </w:r>
      <w:r w:rsidRPr="00BB5C77">
        <w:rPr>
          <w:rFonts w:ascii="Arial" w:eastAsia="Arial" w:hAnsi="Arial" w:cs="Arial"/>
          <w:color w:val="0A0A0A"/>
          <w:sz w:val="21"/>
          <w:szCs w:val="21"/>
          <w:lang w:val="en-ZA" w:eastAsia="en-ZA"/>
        </w:rPr>
        <w:t>financial</w:t>
      </w:r>
      <w:r w:rsidRPr="00BB5C77">
        <w:rPr>
          <w:rFonts w:ascii="Arial" w:eastAsia="Arial" w:hAnsi="Arial" w:cs="Arial"/>
          <w:color w:val="0A0A0A"/>
          <w:spacing w:val="7"/>
          <w:sz w:val="21"/>
          <w:szCs w:val="21"/>
          <w:lang w:val="en-ZA" w:eastAsia="en-ZA"/>
        </w:rPr>
        <w:t xml:space="preserve"> </w:t>
      </w:r>
      <w:r w:rsidRPr="00BB5C77">
        <w:rPr>
          <w:rFonts w:ascii="Arial" w:eastAsia="Arial" w:hAnsi="Arial" w:cs="Arial"/>
          <w:color w:val="0A0A0A"/>
          <w:sz w:val="21"/>
          <w:szCs w:val="21"/>
          <w:lang w:val="en-ZA" w:eastAsia="en-ZA"/>
        </w:rPr>
        <w:t>position</w:t>
      </w:r>
      <w:r w:rsidRPr="00BB5C77">
        <w:rPr>
          <w:rFonts w:ascii="Arial" w:eastAsia="Arial" w:hAnsi="Arial" w:cs="Arial"/>
          <w:color w:val="0A0A0A"/>
          <w:spacing w:val="15"/>
          <w:sz w:val="21"/>
          <w:szCs w:val="21"/>
          <w:lang w:val="en-ZA" w:eastAsia="en-ZA"/>
        </w:rPr>
        <w:t xml:space="preserve"> </w:t>
      </w:r>
      <w:r w:rsidRPr="00BB5C77">
        <w:rPr>
          <w:rFonts w:ascii="Arial" w:eastAsia="Arial" w:hAnsi="Arial" w:cs="Arial"/>
          <w:color w:val="0A0A0A"/>
          <w:sz w:val="21"/>
          <w:szCs w:val="21"/>
          <w:lang w:val="en-ZA" w:eastAsia="en-ZA"/>
        </w:rPr>
        <w:t>as</w:t>
      </w:r>
      <w:r w:rsidRPr="00BB5C77">
        <w:rPr>
          <w:rFonts w:ascii="Arial" w:eastAsia="Arial" w:hAnsi="Arial" w:cs="Arial"/>
          <w:color w:val="0A0A0A"/>
          <w:spacing w:val="19"/>
          <w:sz w:val="21"/>
          <w:szCs w:val="21"/>
          <w:lang w:val="en-ZA" w:eastAsia="en-ZA"/>
        </w:rPr>
        <w:t xml:space="preserve"> </w:t>
      </w:r>
      <w:r w:rsidRPr="00BB5C77">
        <w:rPr>
          <w:rFonts w:ascii="Arial" w:eastAsia="Arial" w:hAnsi="Arial" w:cs="Arial"/>
          <w:color w:val="0A0A0A"/>
          <w:sz w:val="21"/>
          <w:szCs w:val="21"/>
          <w:lang w:val="en-ZA" w:eastAsia="en-ZA"/>
        </w:rPr>
        <w:t>at</w:t>
      </w:r>
      <w:r w:rsidRPr="00BB5C77">
        <w:rPr>
          <w:rFonts w:ascii="Arial" w:eastAsia="Arial" w:hAnsi="Arial" w:cs="Arial"/>
          <w:color w:val="0A0A0A"/>
          <w:spacing w:val="21"/>
          <w:sz w:val="21"/>
          <w:szCs w:val="21"/>
          <w:lang w:val="en-ZA" w:eastAsia="en-ZA"/>
        </w:rPr>
        <w:t xml:space="preserve"> </w:t>
      </w:r>
      <w:r w:rsidRPr="00BB5C77">
        <w:rPr>
          <w:rFonts w:ascii="Arial" w:eastAsia="Arial" w:hAnsi="Arial" w:cs="Arial"/>
          <w:color w:val="0A0A0A"/>
          <w:sz w:val="21"/>
          <w:szCs w:val="21"/>
          <w:lang w:val="en-ZA" w:eastAsia="en-ZA"/>
        </w:rPr>
        <w:t>30</w:t>
      </w:r>
      <w:r w:rsidRPr="00BB5C77">
        <w:rPr>
          <w:rFonts w:ascii="Arial" w:eastAsia="Arial" w:hAnsi="Arial" w:cs="Arial"/>
          <w:color w:val="0A0A0A"/>
          <w:spacing w:val="10"/>
          <w:sz w:val="21"/>
          <w:szCs w:val="21"/>
          <w:lang w:val="en-ZA" w:eastAsia="en-ZA"/>
        </w:rPr>
        <w:t xml:space="preserve"> </w:t>
      </w:r>
      <w:r w:rsidRPr="00BB5C77">
        <w:rPr>
          <w:rFonts w:ascii="Arial" w:eastAsia="Arial" w:hAnsi="Arial" w:cs="Arial"/>
          <w:color w:val="0A0A0A"/>
          <w:sz w:val="21"/>
          <w:szCs w:val="21"/>
          <w:lang w:val="en-ZA" w:eastAsia="en-ZA"/>
        </w:rPr>
        <w:t>June</w:t>
      </w:r>
      <w:r w:rsidRPr="00BB5C77">
        <w:rPr>
          <w:rFonts w:ascii="Arial" w:eastAsia="Arial" w:hAnsi="Arial" w:cs="Arial"/>
          <w:color w:val="0A0A0A"/>
          <w:spacing w:val="13"/>
          <w:sz w:val="21"/>
          <w:szCs w:val="21"/>
          <w:lang w:val="en-ZA" w:eastAsia="en-ZA"/>
        </w:rPr>
        <w:t xml:space="preserve"> </w:t>
      </w:r>
      <w:r w:rsidRPr="00BB5C77">
        <w:rPr>
          <w:rFonts w:ascii="Arial" w:eastAsia="Arial" w:hAnsi="Arial" w:cs="Arial"/>
          <w:color w:val="0A0A0A"/>
          <w:sz w:val="21"/>
          <w:szCs w:val="21"/>
          <w:lang w:val="en-ZA" w:eastAsia="en-ZA"/>
        </w:rPr>
        <w:t>2017,</w:t>
      </w:r>
      <w:r w:rsidRPr="00BB5C77">
        <w:rPr>
          <w:rFonts w:ascii="Arial" w:eastAsia="Arial" w:hAnsi="Arial" w:cs="Arial"/>
          <w:color w:val="0A0A0A"/>
          <w:spacing w:val="9"/>
          <w:sz w:val="21"/>
          <w:szCs w:val="21"/>
          <w:lang w:val="en-ZA" w:eastAsia="en-ZA"/>
        </w:rPr>
        <w:t xml:space="preserve"> </w:t>
      </w:r>
      <w:r w:rsidRPr="00BB5C77">
        <w:rPr>
          <w:rFonts w:ascii="Arial" w:eastAsia="Arial" w:hAnsi="Arial" w:cs="Arial"/>
          <w:color w:val="0A0A0A"/>
          <w:sz w:val="21"/>
          <w:szCs w:val="21"/>
          <w:lang w:val="en-ZA" w:eastAsia="en-ZA"/>
        </w:rPr>
        <w:t>statement</w:t>
      </w:r>
      <w:r w:rsidRPr="00BB5C77">
        <w:rPr>
          <w:rFonts w:ascii="Arial" w:eastAsia="Arial" w:hAnsi="Arial" w:cs="Arial"/>
          <w:color w:val="0A0A0A"/>
          <w:spacing w:val="36"/>
          <w:sz w:val="21"/>
          <w:szCs w:val="21"/>
          <w:lang w:val="en-ZA" w:eastAsia="en-ZA"/>
        </w:rPr>
        <w:t xml:space="preserve"> </w:t>
      </w:r>
      <w:r w:rsidRPr="00BB5C77">
        <w:rPr>
          <w:rFonts w:ascii="Arial" w:eastAsia="Arial" w:hAnsi="Arial" w:cs="Arial"/>
          <w:color w:val="0A0A0A"/>
          <w:w w:val="113"/>
          <w:sz w:val="21"/>
          <w:szCs w:val="21"/>
          <w:lang w:val="en-ZA" w:eastAsia="en-ZA"/>
        </w:rPr>
        <w:t xml:space="preserve">of </w:t>
      </w:r>
      <w:r w:rsidRPr="00BB5C77">
        <w:rPr>
          <w:rFonts w:ascii="Arial" w:eastAsia="Arial" w:hAnsi="Arial" w:cs="Arial"/>
          <w:color w:val="0A0A0A"/>
          <w:spacing w:val="2"/>
          <w:w w:val="122"/>
          <w:sz w:val="21"/>
          <w:szCs w:val="21"/>
          <w:lang w:val="en-ZA" w:eastAsia="en-ZA"/>
        </w:rPr>
        <w:t>f</w:t>
      </w:r>
      <w:r w:rsidRPr="00BB5C77">
        <w:rPr>
          <w:rFonts w:ascii="Arial" w:eastAsia="Arial" w:hAnsi="Arial" w:cs="Arial"/>
          <w:color w:val="3B3B3B"/>
          <w:spacing w:val="-13"/>
          <w:w w:val="155"/>
          <w:sz w:val="21"/>
          <w:szCs w:val="21"/>
          <w:lang w:val="en-ZA" w:eastAsia="en-ZA"/>
        </w:rPr>
        <w:t>i</w:t>
      </w:r>
      <w:r w:rsidRPr="00BB5C77">
        <w:rPr>
          <w:rFonts w:ascii="Arial" w:eastAsia="Arial" w:hAnsi="Arial" w:cs="Arial"/>
          <w:color w:val="0A0A0A"/>
          <w:w w:val="107"/>
          <w:sz w:val="21"/>
          <w:szCs w:val="21"/>
          <w:lang w:val="en-ZA" w:eastAsia="en-ZA"/>
        </w:rPr>
        <w:t>nancial</w:t>
      </w:r>
      <w:r w:rsidRPr="00BB5C77">
        <w:rPr>
          <w:rFonts w:ascii="Arial" w:eastAsia="Arial" w:hAnsi="Arial" w:cs="Arial"/>
          <w:color w:val="0A0A0A"/>
          <w:spacing w:val="-34"/>
          <w:sz w:val="21"/>
          <w:szCs w:val="21"/>
          <w:lang w:val="en-ZA" w:eastAsia="en-ZA"/>
        </w:rPr>
        <w:t xml:space="preserve"> </w:t>
      </w:r>
      <w:r w:rsidRPr="00BB5C77">
        <w:rPr>
          <w:rFonts w:ascii="Arial" w:eastAsia="Arial" w:hAnsi="Arial" w:cs="Arial"/>
          <w:color w:val="0A0A0A"/>
          <w:w w:val="105"/>
          <w:sz w:val="21"/>
          <w:szCs w:val="21"/>
          <w:lang w:val="en-ZA" w:eastAsia="en-ZA"/>
        </w:rPr>
        <w:t>performance</w:t>
      </w:r>
      <w:r w:rsidRPr="00BB5C77">
        <w:rPr>
          <w:rFonts w:ascii="Arial" w:eastAsia="Arial" w:hAnsi="Arial" w:cs="Arial"/>
          <w:color w:val="0A0A0A"/>
          <w:spacing w:val="14"/>
          <w:w w:val="105"/>
          <w:sz w:val="21"/>
          <w:szCs w:val="21"/>
          <w:lang w:val="en-ZA" w:eastAsia="en-ZA"/>
        </w:rPr>
        <w:t xml:space="preserve">, </w:t>
      </w:r>
      <w:r w:rsidRPr="00BB5C77">
        <w:rPr>
          <w:rFonts w:ascii="Arial" w:eastAsia="Arial" w:hAnsi="Arial" w:cs="Arial"/>
          <w:color w:val="0A0A0A"/>
          <w:w w:val="105"/>
          <w:sz w:val="21"/>
          <w:szCs w:val="21"/>
          <w:lang w:val="en-ZA" w:eastAsia="en-ZA"/>
        </w:rPr>
        <w:t>st</w:t>
      </w:r>
      <w:r w:rsidRPr="00BB5C77">
        <w:rPr>
          <w:rFonts w:ascii="Arial" w:eastAsia="Arial" w:hAnsi="Arial" w:cs="Arial"/>
          <w:color w:val="0A0A0A"/>
          <w:spacing w:val="2"/>
          <w:w w:val="105"/>
          <w:sz w:val="21"/>
          <w:szCs w:val="21"/>
          <w:lang w:val="en-ZA" w:eastAsia="en-ZA"/>
        </w:rPr>
        <w:t>a</w:t>
      </w:r>
      <w:r w:rsidRPr="00BB5C77">
        <w:rPr>
          <w:rFonts w:ascii="Arial" w:eastAsia="Arial" w:hAnsi="Arial" w:cs="Arial"/>
          <w:color w:val="242424"/>
          <w:spacing w:val="-10"/>
          <w:w w:val="105"/>
          <w:sz w:val="21"/>
          <w:szCs w:val="21"/>
          <w:lang w:val="en-ZA" w:eastAsia="en-ZA"/>
        </w:rPr>
        <w:t>t</w:t>
      </w:r>
      <w:r w:rsidRPr="00BB5C77">
        <w:rPr>
          <w:rFonts w:ascii="Arial" w:eastAsia="Arial" w:hAnsi="Arial" w:cs="Arial"/>
          <w:color w:val="0A0A0A"/>
          <w:w w:val="105"/>
          <w:sz w:val="21"/>
          <w:szCs w:val="21"/>
          <w:lang w:val="en-ZA" w:eastAsia="en-ZA"/>
        </w:rPr>
        <w:t>ement</w:t>
      </w:r>
      <w:r w:rsidRPr="00BB5C77">
        <w:rPr>
          <w:rFonts w:ascii="Arial" w:eastAsia="Arial" w:hAnsi="Arial" w:cs="Arial"/>
          <w:color w:val="0A0A0A"/>
          <w:spacing w:val="20"/>
          <w:w w:val="105"/>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9"/>
          <w:sz w:val="21"/>
          <w:szCs w:val="21"/>
          <w:lang w:val="en-ZA" w:eastAsia="en-ZA"/>
        </w:rPr>
        <w:t xml:space="preserve"> </w:t>
      </w:r>
      <w:r w:rsidRPr="00BB5C77">
        <w:rPr>
          <w:rFonts w:ascii="Arial" w:eastAsia="Arial" w:hAnsi="Arial" w:cs="Arial"/>
          <w:color w:val="0A0A0A"/>
          <w:sz w:val="21"/>
          <w:szCs w:val="21"/>
          <w:lang w:val="en-ZA" w:eastAsia="en-ZA"/>
        </w:rPr>
        <w:t>changes</w:t>
      </w:r>
      <w:r w:rsidRPr="00BB5C77">
        <w:rPr>
          <w:rFonts w:ascii="Arial" w:eastAsia="Arial" w:hAnsi="Arial" w:cs="Arial"/>
          <w:color w:val="0A0A0A"/>
          <w:spacing w:val="30"/>
          <w:sz w:val="21"/>
          <w:szCs w:val="21"/>
          <w:lang w:val="en-ZA" w:eastAsia="en-ZA"/>
        </w:rPr>
        <w:t xml:space="preserve"> </w:t>
      </w:r>
      <w:r w:rsidRPr="00BB5C77">
        <w:rPr>
          <w:rFonts w:ascii="Arial" w:eastAsia="Arial" w:hAnsi="Arial" w:cs="Arial"/>
          <w:color w:val="0A0A0A"/>
          <w:sz w:val="21"/>
          <w:szCs w:val="21"/>
          <w:lang w:val="en-ZA" w:eastAsia="en-ZA"/>
        </w:rPr>
        <w:t>in</w:t>
      </w:r>
      <w:r w:rsidRPr="00BB5C77">
        <w:rPr>
          <w:rFonts w:ascii="Arial" w:eastAsia="Arial" w:hAnsi="Arial" w:cs="Arial"/>
          <w:color w:val="0A0A0A"/>
          <w:spacing w:val="4"/>
          <w:sz w:val="21"/>
          <w:szCs w:val="21"/>
          <w:lang w:val="en-ZA" w:eastAsia="en-ZA"/>
        </w:rPr>
        <w:t xml:space="preserve"> </w:t>
      </w:r>
      <w:r w:rsidRPr="00BB5C77">
        <w:rPr>
          <w:rFonts w:ascii="Arial" w:eastAsia="Arial" w:hAnsi="Arial" w:cs="Arial"/>
          <w:color w:val="0A0A0A"/>
          <w:sz w:val="21"/>
          <w:szCs w:val="21"/>
          <w:lang w:val="en-ZA" w:eastAsia="en-ZA"/>
        </w:rPr>
        <w:t>ne</w:t>
      </w:r>
      <w:r w:rsidRPr="00BB5C77">
        <w:rPr>
          <w:rFonts w:ascii="Arial" w:eastAsia="Arial" w:hAnsi="Arial" w:cs="Arial"/>
          <w:color w:val="242424"/>
          <w:sz w:val="21"/>
          <w:szCs w:val="21"/>
          <w:lang w:val="en-ZA" w:eastAsia="en-ZA"/>
        </w:rPr>
        <w:t>t</w:t>
      </w:r>
      <w:r w:rsidRPr="00BB5C77">
        <w:rPr>
          <w:rFonts w:ascii="Arial" w:eastAsia="Arial" w:hAnsi="Arial" w:cs="Arial"/>
          <w:color w:val="242424"/>
          <w:spacing w:val="26"/>
          <w:sz w:val="21"/>
          <w:szCs w:val="21"/>
          <w:lang w:val="en-ZA" w:eastAsia="en-ZA"/>
        </w:rPr>
        <w:t xml:space="preserve"> </w:t>
      </w:r>
      <w:r w:rsidRPr="00BB5C77">
        <w:rPr>
          <w:rFonts w:ascii="Arial" w:eastAsia="Arial" w:hAnsi="Arial" w:cs="Arial"/>
          <w:color w:val="0A0A0A"/>
          <w:sz w:val="21"/>
          <w:szCs w:val="21"/>
          <w:lang w:val="en-ZA" w:eastAsia="en-ZA"/>
        </w:rPr>
        <w:t>assets,</w:t>
      </w:r>
      <w:r w:rsidRPr="00BB5C77">
        <w:rPr>
          <w:rFonts w:ascii="Arial" w:eastAsia="Arial" w:hAnsi="Arial" w:cs="Arial"/>
          <w:color w:val="0A0A0A"/>
          <w:spacing w:val="5"/>
          <w:sz w:val="21"/>
          <w:szCs w:val="21"/>
          <w:lang w:val="en-ZA" w:eastAsia="en-ZA"/>
        </w:rPr>
        <w:t xml:space="preserve"> </w:t>
      </w:r>
      <w:r w:rsidRPr="00BB5C77">
        <w:rPr>
          <w:rFonts w:ascii="Arial" w:eastAsia="Arial" w:hAnsi="Arial" w:cs="Arial"/>
          <w:color w:val="0A0A0A"/>
          <w:sz w:val="21"/>
          <w:szCs w:val="21"/>
          <w:lang w:val="en-ZA" w:eastAsia="en-ZA"/>
        </w:rPr>
        <w:t>cash</w:t>
      </w:r>
      <w:r w:rsidRPr="00BB5C77">
        <w:rPr>
          <w:rFonts w:ascii="Arial" w:eastAsia="Arial" w:hAnsi="Arial" w:cs="Arial"/>
          <w:color w:val="0A0A0A"/>
          <w:spacing w:val="15"/>
          <w:sz w:val="21"/>
          <w:szCs w:val="21"/>
          <w:lang w:val="en-ZA" w:eastAsia="en-ZA"/>
        </w:rPr>
        <w:t xml:space="preserve"> </w:t>
      </w:r>
      <w:r w:rsidRPr="00BB5C77">
        <w:rPr>
          <w:rFonts w:ascii="Arial" w:eastAsia="Arial" w:hAnsi="Arial" w:cs="Arial"/>
          <w:color w:val="0A0A0A"/>
          <w:sz w:val="21"/>
          <w:szCs w:val="21"/>
          <w:lang w:val="en-ZA" w:eastAsia="en-ZA"/>
        </w:rPr>
        <w:t>flow</w:t>
      </w:r>
      <w:r w:rsidRPr="00BB5C77">
        <w:rPr>
          <w:rFonts w:ascii="Arial" w:eastAsia="Arial" w:hAnsi="Arial" w:cs="Arial"/>
          <w:color w:val="0A0A0A"/>
          <w:spacing w:val="19"/>
          <w:sz w:val="21"/>
          <w:szCs w:val="21"/>
          <w:lang w:val="en-ZA" w:eastAsia="en-ZA"/>
        </w:rPr>
        <w:t xml:space="preserve"> </w:t>
      </w:r>
      <w:r w:rsidRPr="00BB5C77">
        <w:rPr>
          <w:rFonts w:ascii="Arial" w:eastAsia="Arial" w:hAnsi="Arial" w:cs="Arial"/>
          <w:color w:val="0A0A0A"/>
          <w:sz w:val="21"/>
          <w:szCs w:val="21"/>
          <w:lang w:val="en-ZA" w:eastAsia="en-ZA"/>
        </w:rPr>
        <w:t>statement</w:t>
      </w:r>
      <w:r w:rsidRPr="00BB5C77">
        <w:rPr>
          <w:rFonts w:ascii="Arial" w:eastAsia="Arial" w:hAnsi="Arial" w:cs="Arial"/>
          <w:color w:val="0A0A0A"/>
          <w:spacing w:val="25"/>
          <w:sz w:val="21"/>
          <w:szCs w:val="21"/>
          <w:lang w:val="en-ZA" w:eastAsia="en-ZA"/>
        </w:rPr>
        <w:t xml:space="preserve"> </w:t>
      </w:r>
      <w:r w:rsidRPr="00BB5C77">
        <w:rPr>
          <w:rFonts w:ascii="Arial" w:eastAsia="Arial" w:hAnsi="Arial" w:cs="Arial"/>
          <w:color w:val="0A0A0A"/>
          <w:w w:val="109"/>
          <w:sz w:val="21"/>
          <w:szCs w:val="21"/>
          <w:lang w:val="en-ZA" w:eastAsia="en-ZA"/>
        </w:rPr>
        <w:t xml:space="preserve">and </w:t>
      </w:r>
      <w:r w:rsidRPr="00BB5C77">
        <w:rPr>
          <w:rFonts w:ascii="Arial" w:eastAsia="Arial" w:hAnsi="Arial" w:cs="Arial"/>
          <w:color w:val="0A0A0A"/>
          <w:sz w:val="21"/>
          <w:szCs w:val="21"/>
          <w:lang w:val="en-ZA" w:eastAsia="en-ZA"/>
        </w:rPr>
        <w:t>statement</w:t>
      </w:r>
      <w:r w:rsidRPr="00BB5C77">
        <w:rPr>
          <w:rFonts w:ascii="Arial" w:eastAsia="Arial" w:hAnsi="Arial" w:cs="Arial"/>
          <w:color w:val="0A0A0A"/>
          <w:spacing w:val="27"/>
          <w:sz w:val="21"/>
          <w:szCs w:val="21"/>
          <w:lang w:val="en-ZA" w:eastAsia="en-ZA"/>
        </w:rPr>
        <w:t xml:space="preserve"> </w:t>
      </w:r>
      <w:r w:rsidRPr="00BB5C77">
        <w:rPr>
          <w:rFonts w:ascii="Arial" w:eastAsia="Arial" w:hAnsi="Arial" w:cs="Arial"/>
          <w:color w:val="0A0A0A"/>
          <w:spacing w:val="-13"/>
          <w:w w:val="120"/>
          <w:sz w:val="21"/>
          <w:szCs w:val="21"/>
          <w:lang w:val="en-ZA" w:eastAsia="en-ZA"/>
        </w:rPr>
        <w:t>o</w:t>
      </w:r>
      <w:r w:rsidRPr="00BB5C77">
        <w:rPr>
          <w:rFonts w:ascii="Arial" w:eastAsia="Arial" w:hAnsi="Arial" w:cs="Arial"/>
          <w:color w:val="242424"/>
          <w:w w:val="120"/>
          <w:sz w:val="21"/>
          <w:szCs w:val="21"/>
          <w:lang w:val="en-ZA" w:eastAsia="en-ZA"/>
        </w:rPr>
        <w:t>f</w:t>
      </w:r>
      <w:r w:rsidRPr="00BB5C77">
        <w:rPr>
          <w:rFonts w:ascii="Arial" w:eastAsia="Arial" w:hAnsi="Arial" w:cs="Arial"/>
          <w:color w:val="242424"/>
          <w:spacing w:val="-11"/>
          <w:w w:val="120"/>
          <w:sz w:val="21"/>
          <w:szCs w:val="21"/>
          <w:lang w:val="en-ZA" w:eastAsia="en-ZA"/>
        </w:rPr>
        <w:t xml:space="preserve"> </w:t>
      </w:r>
      <w:r w:rsidRPr="00BB5C77">
        <w:rPr>
          <w:rFonts w:ascii="Arial" w:eastAsia="Arial" w:hAnsi="Arial" w:cs="Arial"/>
          <w:color w:val="0A0A0A"/>
          <w:sz w:val="21"/>
          <w:szCs w:val="21"/>
          <w:lang w:val="en-ZA" w:eastAsia="en-ZA"/>
        </w:rPr>
        <w:t>comparison</w:t>
      </w:r>
      <w:r w:rsidRPr="00BB5C77">
        <w:rPr>
          <w:rFonts w:ascii="Arial" w:eastAsia="Arial" w:hAnsi="Arial" w:cs="Arial"/>
          <w:color w:val="0A0A0A"/>
          <w:spacing w:val="34"/>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18"/>
          <w:sz w:val="21"/>
          <w:szCs w:val="21"/>
          <w:lang w:val="en-ZA" w:eastAsia="en-ZA"/>
        </w:rPr>
        <w:t xml:space="preserve"> </w:t>
      </w:r>
      <w:r w:rsidRPr="00BB5C77">
        <w:rPr>
          <w:rFonts w:ascii="Arial" w:eastAsia="Arial" w:hAnsi="Arial" w:cs="Arial"/>
          <w:color w:val="0A0A0A"/>
          <w:sz w:val="21"/>
          <w:szCs w:val="21"/>
          <w:lang w:val="en-ZA" w:eastAsia="en-ZA"/>
        </w:rPr>
        <w:t>budget</w:t>
      </w:r>
      <w:r w:rsidRPr="00BB5C77">
        <w:rPr>
          <w:rFonts w:ascii="Arial" w:eastAsia="Arial" w:hAnsi="Arial" w:cs="Arial"/>
          <w:color w:val="0A0A0A"/>
          <w:spacing w:val="39"/>
          <w:sz w:val="21"/>
          <w:szCs w:val="21"/>
          <w:lang w:val="en-ZA" w:eastAsia="en-ZA"/>
        </w:rPr>
        <w:t xml:space="preserve"> </w:t>
      </w:r>
      <w:r w:rsidRPr="00BB5C77">
        <w:rPr>
          <w:rFonts w:ascii="Arial" w:eastAsia="Arial" w:hAnsi="Arial" w:cs="Arial"/>
          <w:color w:val="0A0A0A"/>
          <w:sz w:val="21"/>
          <w:szCs w:val="21"/>
          <w:lang w:val="en-ZA" w:eastAsia="en-ZA"/>
        </w:rPr>
        <w:t>with</w:t>
      </w:r>
      <w:r w:rsidRPr="00BB5C77">
        <w:rPr>
          <w:rFonts w:ascii="Arial" w:eastAsia="Arial" w:hAnsi="Arial" w:cs="Arial"/>
          <w:color w:val="0A0A0A"/>
          <w:spacing w:val="2"/>
          <w:sz w:val="21"/>
          <w:szCs w:val="21"/>
          <w:lang w:val="en-ZA" w:eastAsia="en-ZA"/>
        </w:rPr>
        <w:t xml:space="preserve"> </w:t>
      </w:r>
      <w:r w:rsidRPr="00BB5C77">
        <w:rPr>
          <w:rFonts w:ascii="Arial" w:eastAsia="Arial" w:hAnsi="Arial" w:cs="Arial"/>
          <w:color w:val="0A0A0A"/>
          <w:w w:val="113"/>
          <w:sz w:val="21"/>
          <w:szCs w:val="21"/>
          <w:lang w:val="en-ZA" w:eastAsia="en-ZA"/>
        </w:rPr>
        <w:t>a</w:t>
      </w:r>
      <w:r w:rsidRPr="00BB5C77">
        <w:rPr>
          <w:rFonts w:ascii="Arial" w:eastAsia="Arial" w:hAnsi="Arial" w:cs="Arial"/>
          <w:color w:val="0A0A0A"/>
          <w:spacing w:val="-21"/>
          <w:w w:val="113"/>
          <w:sz w:val="21"/>
          <w:szCs w:val="21"/>
          <w:lang w:val="en-ZA" w:eastAsia="en-ZA"/>
        </w:rPr>
        <w:t>c</w:t>
      </w:r>
      <w:r w:rsidRPr="00BB5C77">
        <w:rPr>
          <w:rFonts w:ascii="Arial" w:eastAsia="Arial" w:hAnsi="Arial" w:cs="Arial"/>
          <w:color w:val="242424"/>
          <w:spacing w:val="-19"/>
          <w:w w:val="113"/>
          <w:sz w:val="21"/>
          <w:szCs w:val="21"/>
          <w:lang w:val="en-ZA" w:eastAsia="en-ZA"/>
        </w:rPr>
        <w:t>t</w:t>
      </w:r>
      <w:r w:rsidRPr="00BB5C77">
        <w:rPr>
          <w:rFonts w:ascii="Arial" w:eastAsia="Arial" w:hAnsi="Arial" w:cs="Arial"/>
          <w:color w:val="0A0A0A"/>
          <w:w w:val="113"/>
          <w:sz w:val="21"/>
          <w:szCs w:val="21"/>
          <w:lang w:val="en-ZA" w:eastAsia="en-ZA"/>
        </w:rPr>
        <w:t>ual</w:t>
      </w:r>
      <w:r w:rsidRPr="00BB5C77">
        <w:rPr>
          <w:rFonts w:ascii="Arial" w:eastAsia="Arial" w:hAnsi="Arial" w:cs="Arial"/>
          <w:color w:val="0A0A0A"/>
          <w:spacing w:val="-20"/>
          <w:w w:val="113"/>
          <w:sz w:val="21"/>
          <w:szCs w:val="21"/>
          <w:lang w:val="en-ZA" w:eastAsia="en-ZA"/>
        </w:rPr>
        <w:t xml:space="preserve"> </w:t>
      </w:r>
      <w:r w:rsidRPr="00BB5C77">
        <w:rPr>
          <w:rFonts w:ascii="Arial" w:eastAsia="Arial" w:hAnsi="Arial" w:cs="Arial"/>
          <w:color w:val="0A0A0A"/>
          <w:w w:val="107"/>
          <w:sz w:val="21"/>
          <w:szCs w:val="21"/>
          <w:lang w:val="en-ZA" w:eastAsia="en-ZA"/>
        </w:rPr>
        <w:t>informatio</w:t>
      </w:r>
      <w:r w:rsidRPr="00BB5C77">
        <w:rPr>
          <w:rFonts w:ascii="Arial" w:eastAsia="Arial" w:hAnsi="Arial" w:cs="Arial"/>
          <w:color w:val="0A0A0A"/>
          <w:w w:val="108"/>
          <w:sz w:val="21"/>
          <w:szCs w:val="21"/>
          <w:lang w:val="en-ZA" w:eastAsia="en-ZA"/>
        </w:rPr>
        <w:t>n</w:t>
      </w:r>
      <w:r w:rsidRPr="00BB5C77">
        <w:rPr>
          <w:rFonts w:ascii="Arial" w:eastAsia="Arial" w:hAnsi="Arial" w:cs="Arial"/>
          <w:color w:val="0A0A0A"/>
          <w:spacing w:val="-26"/>
          <w:sz w:val="21"/>
          <w:szCs w:val="21"/>
          <w:lang w:val="en-ZA" w:eastAsia="en-ZA"/>
        </w:rPr>
        <w:t xml:space="preserve"> </w:t>
      </w:r>
      <w:r w:rsidRPr="00BB5C77">
        <w:rPr>
          <w:rFonts w:ascii="Arial" w:eastAsia="Arial" w:hAnsi="Arial" w:cs="Arial"/>
          <w:color w:val="0A0A0A"/>
          <w:sz w:val="21"/>
          <w:szCs w:val="21"/>
          <w:lang w:val="en-ZA" w:eastAsia="en-ZA"/>
        </w:rPr>
        <w:t>for</w:t>
      </w:r>
      <w:r w:rsidRPr="00BB5C77">
        <w:rPr>
          <w:rFonts w:ascii="Arial" w:eastAsia="Arial" w:hAnsi="Arial" w:cs="Arial"/>
          <w:color w:val="0A0A0A"/>
          <w:spacing w:val="19"/>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3"/>
          <w:sz w:val="21"/>
          <w:szCs w:val="21"/>
          <w:lang w:val="en-ZA" w:eastAsia="en-ZA"/>
        </w:rPr>
        <w:t xml:space="preserve"> </w:t>
      </w:r>
      <w:r w:rsidRPr="00BB5C77">
        <w:rPr>
          <w:rFonts w:ascii="Arial" w:eastAsia="Arial" w:hAnsi="Arial" w:cs="Arial"/>
          <w:color w:val="0A0A0A"/>
          <w:sz w:val="21"/>
          <w:szCs w:val="21"/>
          <w:lang w:val="en-ZA" w:eastAsia="en-ZA"/>
        </w:rPr>
        <w:t>year</w:t>
      </w:r>
      <w:r w:rsidRPr="00BB5C77">
        <w:rPr>
          <w:rFonts w:ascii="Arial" w:eastAsia="Arial" w:hAnsi="Arial" w:cs="Arial"/>
          <w:color w:val="0A0A0A"/>
          <w:spacing w:val="16"/>
          <w:sz w:val="21"/>
          <w:szCs w:val="21"/>
          <w:lang w:val="en-ZA" w:eastAsia="en-ZA"/>
        </w:rPr>
        <w:t xml:space="preserve"> </w:t>
      </w:r>
      <w:r w:rsidRPr="00BB5C77">
        <w:rPr>
          <w:rFonts w:ascii="Arial" w:eastAsia="Arial" w:hAnsi="Arial" w:cs="Arial"/>
          <w:color w:val="0A0A0A"/>
          <w:sz w:val="21"/>
          <w:szCs w:val="21"/>
          <w:lang w:val="en-ZA" w:eastAsia="en-ZA"/>
        </w:rPr>
        <w:t>then</w:t>
      </w:r>
      <w:r w:rsidRPr="00BB5C77">
        <w:rPr>
          <w:rFonts w:ascii="Arial" w:eastAsia="Arial" w:hAnsi="Arial" w:cs="Arial"/>
          <w:color w:val="0A0A0A"/>
          <w:spacing w:val="7"/>
          <w:sz w:val="21"/>
          <w:szCs w:val="21"/>
          <w:lang w:val="en-ZA" w:eastAsia="en-ZA"/>
        </w:rPr>
        <w:t xml:space="preserve"> </w:t>
      </w:r>
      <w:r w:rsidRPr="00BB5C77">
        <w:rPr>
          <w:rFonts w:ascii="Arial" w:eastAsia="Arial" w:hAnsi="Arial" w:cs="Arial"/>
          <w:color w:val="0A0A0A"/>
          <w:w w:val="107"/>
          <w:sz w:val="21"/>
          <w:szCs w:val="21"/>
          <w:lang w:val="en-ZA" w:eastAsia="en-ZA"/>
        </w:rPr>
        <w:t>ende</w:t>
      </w:r>
      <w:r w:rsidRPr="00BB5C77">
        <w:rPr>
          <w:rFonts w:ascii="Arial" w:eastAsia="Arial" w:hAnsi="Arial" w:cs="Arial"/>
          <w:color w:val="0A0A0A"/>
          <w:spacing w:val="-14"/>
          <w:w w:val="107"/>
          <w:sz w:val="21"/>
          <w:szCs w:val="21"/>
          <w:lang w:val="en-ZA" w:eastAsia="en-ZA"/>
        </w:rPr>
        <w:t>d</w:t>
      </w:r>
      <w:r w:rsidRPr="00BB5C77">
        <w:rPr>
          <w:rFonts w:ascii="Arial" w:eastAsia="Arial" w:hAnsi="Arial" w:cs="Arial"/>
          <w:color w:val="242424"/>
          <w:w w:val="159"/>
          <w:sz w:val="21"/>
          <w:szCs w:val="21"/>
          <w:lang w:val="en-ZA" w:eastAsia="en-ZA"/>
        </w:rPr>
        <w:t>,</w:t>
      </w:r>
      <w:r w:rsidRPr="00BB5C77">
        <w:rPr>
          <w:rFonts w:ascii="Arial" w:eastAsia="Arial" w:hAnsi="Arial" w:cs="Arial"/>
          <w:color w:val="242424"/>
          <w:spacing w:val="-34"/>
          <w:sz w:val="21"/>
          <w:szCs w:val="21"/>
          <w:lang w:val="en-ZA" w:eastAsia="en-ZA"/>
        </w:rPr>
        <w:t xml:space="preserve"> </w:t>
      </w:r>
      <w:r w:rsidRPr="00BB5C77">
        <w:rPr>
          <w:rFonts w:ascii="Arial" w:eastAsia="Arial" w:hAnsi="Arial" w:cs="Arial"/>
          <w:color w:val="0A0A0A"/>
          <w:w w:val="111"/>
          <w:sz w:val="21"/>
          <w:szCs w:val="21"/>
          <w:lang w:val="en-ZA" w:eastAsia="en-ZA"/>
        </w:rPr>
        <w:t>as</w:t>
      </w:r>
    </w:p>
    <w:p w14:paraId="738230B1" w14:textId="77777777" w:rsidR="00BB5C77" w:rsidRPr="00BB5C77" w:rsidRDefault="00BB5C77" w:rsidP="00BB5C77">
      <w:pPr>
        <w:spacing w:before="11" w:after="0" w:line="242" w:lineRule="auto"/>
        <w:ind w:left="609" w:right="884" w:hanging="14"/>
        <w:jc w:val="both"/>
        <w:rPr>
          <w:rFonts w:ascii="Arial" w:eastAsia="Arial" w:hAnsi="Arial" w:cs="Arial"/>
          <w:sz w:val="21"/>
          <w:szCs w:val="21"/>
          <w:lang w:val="en-ZA" w:eastAsia="en-ZA"/>
        </w:rPr>
      </w:pPr>
      <w:r w:rsidRPr="00BB5C77">
        <w:rPr>
          <w:rFonts w:ascii="Arial" w:eastAsia="Arial" w:hAnsi="Arial" w:cs="Arial"/>
          <w:color w:val="0A0A0A"/>
          <w:sz w:val="21"/>
          <w:szCs w:val="21"/>
          <w:lang w:val="en-ZA" w:eastAsia="en-ZA"/>
        </w:rPr>
        <w:t>well</w:t>
      </w:r>
      <w:r w:rsidRPr="00BB5C77">
        <w:rPr>
          <w:rFonts w:ascii="Arial" w:eastAsia="Arial" w:hAnsi="Arial" w:cs="Arial"/>
          <w:color w:val="0A0A0A"/>
          <w:spacing w:val="11"/>
          <w:sz w:val="21"/>
          <w:szCs w:val="21"/>
          <w:lang w:val="en-ZA" w:eastAsia="en-ZA"/>
        </w:rPr>
        <w:t xml:space="preserve"> </w:t>
      </w:r>
      <w:r w:rsidRPr="00BB5C77">
        <w:rPr>
          <w:rFonts w:ascii="Arial" w:eastAsia="Arial" w:hAnsi="Arial" w:cs="Arial"/>
          <w:color w:val="0A0A0A"/>
          <w:sz w:val="21"/>
          <w:szCs w:val="21"/>
          <w:lang w:val="en-ZA" w:eastAsia="en-ZA"/>
        </w:rPr>
        <w:t>as</w:t>
      </w:r>
      <w:r w:rsidRPr="00BB5C77">
        <w:rPr>
          <w:rFonts w:ascii="Arial" w:eastAsia="Arial" w:hAnsi="Arial" w:cs="Arial"/>
          <w:color w:val="0A0A0A"/>
          <w:spacing w:val="23"/>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7"/>
          <w:sz w:val="21"/>
          <w:szCs w:val="21"/>
          <w:lang w:val="en-ZA" w:eastAsia="en-ZA"/>
        </w:rPr>
        <w:t xml:space="preserve"> </w:t>
      </w:r>
      <w:r w:rsidRPr="00BB5C77">
        <w:rPr>
          <w:rFonts w:ascii="Arial" w:eastAsia="Arial" w:hAnsi="Arial" w:cs="Arial"/>
          <w:color w:val="0A0A0A"/>
          <w:sz w:val="21"/>
          <w:szCs w:val="21"/>
          <w:lang w:val="en-ZA" w:eastAsia="en-ZA"/>
        </w:rPr>
        <w:t>notes</w:t>
      </w:r>
      <w:r w:rsidRPr="00BB5C77">
        <w:rPr>
          <w:rFonts w:ascii="Arial" w:eastAsia="Arial" w:hAnsi="Arial" w:cs="Arial"/>
          <w:color w:val="0A0A0A"/>
          <w:spacing w:val="21"/>
          <w:sz w:val="21"/>
          <w:szCs w:val="21"/>
          <w:lang w:val="en-ZA" w:eastAsia="en-ZA"/>
        </w:rPr>
        <w:t xml:space="preserve"> </w:t>
      </w:r>
      <w:r w:rsidRPr="00BB5C77">
        <w:rPr>
          <w:rFonts w:ascii="Arial" w:eastAsia="Arial" w:hAnsi="Arial" w:cs="Arial"/>
          <w:color w:val="0A0A0A"/>
          <w:sz w:val="21"/>
          <w:szCs w:val="21"/>
          <w:lang w:val="en-ZA" w:eastAsia="en-ZA"/>
        </w:rPr>
        <w:t>to</w:t>
      </w:r>
      <w:r w:rsidRPr="00BB5C77">
        <w:rPr>
          <w:rFonts w:ascii="Arial" w:eastAsia="Arial" w:hAnsi="Arial" w:cs="Arial"/>
          <w:color w:val="0A0A0A"/>
          <w:spacing w:val="14"/>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5"/>
          <w:sz w:val="21"/>
          <w:szCs w:val="21"/>
          <w:lang w:val="en-ZA" w:eastAsia="en-ZA"/>
        </w:rPr>
        <w:t xml:space="preserve"> </w:t>
      </w:r>
      <w:r w:rsidRPr="00BB5C77">
        <w:rPr>
          <w:rFonts w:ascii="Arial" w:eastAsia="Arial" w:hAnsi="Arial" w:cs="Arial"/>
          <w:color w:val="0A0A0A"/>
          <w:sz w:val="21"/>
          <w:szCs w:val="21"/>
          <w:lang w:val="en-ZA" w:eastAsia="en-ZA"/>
        </w:rPr>
        <w:t>financial</w:t>
      </w:r>
      <w:r w:rsidRPr="00BB5C77">
        <w:rPr>
          <w:rFonts w:ascii="Arial" w:eastAsia="Arial" w:hAnsi="Arial" w:cs="Arial"/>
          <w:color w:val="0A0A0A"/>
          <w:spacing w:val="20"/>
          <w:sz w:val="21"/>
          <w:szCs w:val="21"/>
          <w:lang w:val="en-ZA" w:eastAsia="en-ZA"/>
        </w:rPr>
        <w:t xml:space="preserve"> </w:t>
      </w:r>
      <w:r w:rsidRPr="00BB5C77">
        <w:rPr>
          <w:rFonts w:ascii="Arial" w:eastAsia="Arial" w:hAnsi="Arial" w:cs="Arial"/>
          <w:color w:val="0A0A0A"/>
          <w:sz w:val="21"/>
          <w:szCs w:val="21"/>
          <w:lang w:val="en-ZA" w:eastAsia="en-ZA"/>
        </w:rPr>
        <w:t>statements,</w:t>
      </w:r>
      <w:r w:rsidRPr="00BB5C77">
        <w:rPr>
          <w:rFonts w:ascii="Arial" w:eastAsia="Arial" w:hAnsi="Arial" w:cs="Arial"/>
          <w:color w:val="0A0A0A"/>
          <w:spacing w:val="16"/>
          <w:sz w:val="21"/>
          <w:szCs w:val="21"/>
          <w:lang w:val="en-ZA" w:eastAsia="en-ZA"/>
        </w:rPr>
        <w:t xml:space="preserve"> </w:t>
      </w:r>
      <w:r w:rsidRPr="00BB5C77">
        <w:rPr>
          <w:rFonts w:ascii="Arial" w:eastAsia="Arial" w:hAnsi="Arial" w:cs="Arial"/>
          <w:color w:val="0A0A0A"/>
          <w:sz w:val="21"/>
          <w:szCs w:val="21"/>
          <w:lang w:val="en-ZA" w:eastAsia="en-ZA"/>
        </w:rPr>
        <w:t>comprising</w:t>
      </w:r>
      <w:r w:rsidRPr="00BB5C77">
        <w:rPr>
          <w:rFonts w:ascii="Arial" w:eastAsia="Arial" w:hAnsi="Arial" w:cs="Arial"/>
          <w:color w:val="0A0A0A"/>
          <w:spacing w:val="49"/>
          <w:sz w:val="21"/>
          <w:szCs w:val="21"/>
          <w:lang w:val="en-ZA" w:eastAsia="en-ZA"/>
        </w:rPr>
        <w:t xml:space="preserve"> </w:t>
      </w:r>
      <w:r w:rsidRPr="00BB5C77">
        <w:rPr>
          <w:rFonts w:ascii="Arial" w:eastAsia="Arial" w:hAnsi="Arial" w:cs="Arial"/>
          <w:color w:val="0A0A0A"/>
          <w:sz w:val="21"/>
          <w:szCs w:val="21"/>
          <w:lang w:val="en-ZA" w:eastAsia="en-ZA"/>
        </w:rPr>
        <w:t>a</w:t>
      </w:r>
      <w:r w:rsidRPr="00BB5C77">
        <w:rPr>
          <w:rFonts w:ascii="Arial" w:eastAsia="Arial" w:hAnsi="Arial" w:cs="Arial"/>
          <w:color w:val="0A0A0A"/>
          <w:spacing w:val="12"/>
          <w:sz w:val="21"/>
          <w:szCs w:val="21"/>
          <w:lang w:val="en-ZA" w:eastAsia="en-ZA"/>
        </w:rPr>
        <w:t xml:space="preserve"> </w:t>
      </w:r>
      <w:r w:rsidRPr="00BB5C77">
        <w:rPr>
          <w:rFonts w:ascii="Arial" w:eastAsia="Arial" w:hAnsi="Arial" w:cs="Arial"/>
          <w:color w:val="0A0A0A"/>
          <w:sz w:val="21"/>
          <w:szCs w:val="21"/>
          <w:lang w:val="en-ZA" w:eastAsia="en-ZA"/>
        </w:rPr>
        <w:t>summary</w:t>
      </w:r>
      <w:r w:rsidRPr="00BB5C77">
        <w:rPr>
          <w:rFonts w:ascii="Arial" w:eastAsia="Arial" w:hAnsi="Arial" w:cs="Arial"/>
          <w:color w:val="0A0A0A"/>
          <w:spacing w:val="38"/>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4"/>
          <w:sz w:val="21"/>
          <w:szCs w:val="21"/>
          <w:lang w:val="en-ZA" w:eastAsia="en-ZA"/>
        </w:rPr>
        <w:t xml:space="preserve"> </w:t>
      </w:r>
      <w:r w:rsidRPr="00BB5C77">
        <w:rPr>
          <w:rFonts w:ascii="Arial" w:eastAsia="Arial" w:hAnsi="Arial" w:cs="Arial"/>
          <w:color w:val="0A0A0A"/>
          <w:w w:val="104"/>
          <w:sz w:val="21"/>
          <w:szCs w:val="21"/>
          <w:lang w:val="en-ZA" w:eastAsia="en-ZA"/>
        </w:rPr>
        <w:t xml:space="preserve">significant </w:t>
      </w:r>
      <w:r w:rsidRPr="00BB5C77">
        <w:rPr>
          <w:rFonts w:ascii="Arial" w:eastAsia="Arial" w:hAnsi="Arial" w:cs="Arial"/>
          <w:color w:val="0A0A0A"/>
          <w:sz w:val="21"/>
          <w:szCs w:val="21"/>
          <w:lang w:val="en-ZA" w:eastAsia="en-ZA"/>
        </w:rPr>
        <w:t>accounting</w:t>
      </w:r>
      <w:r w:rsidRPr="00BB5C77">
        <w:rPr>
          <w:rFonts w:ascii="Arial" w:eastAsia="Arial" w:hAnsi="Arial" w:cs="Arial"/>
          <w:color w:val="0A0A0A"/>
          <w:spacing w:val="30"/>
          <w:sz w:val="21"/>
          <w:szCs w:val="21"/>
          <w:lang w:val="en-ZA" w:eastAsia="en-ZA"/>
        </w:rPr>
        <w:t xml:space="preserve"> </w:t>
      </w:r>
      <w:r w:rsidRPr="00BB5C77">
        <w:rPr>
          <w:rFonts w:ascii="Arial" w:eastAsia="Arial" w:hAnsi="Arial" w:cs="Arial"/>
          <w:color w:val="0A0A0A"/>
          <w:w w:val="105"/>
          <w:sz w:val="21"/>
          <w:szCs w:val="21"/>
          <w:lang w:val="en-ZA" w:eastAsia="en-ZA"/>
        </w:rPr>
        <w:t>policies.</w:t>
      </w:r>
    </w:p>
    <w:p w14:paraId="6492DA8E" w14:textId="77777777" w:rsidR="00BB5C77" w:rsidRPr="00BB5C77" w:rsidRDefault="00BB5C77" w:rsidP="00BB5C77">
      <w:pPr>
        <w:spacing w:before="11" w:after="0" w:line="240" w:lineRule="exact"/>
        <w:jc w:val="both"/>
        <w:rPr>
          <w:rFonts w:eastAsia="Times New Roman" w:cs="Times New Roman"/>
          <w:sz w:val="24"/>
          <w:szCs w:val="24"/>
          <w:lang w:val="en-ZA" w:eastAsia="en-ZA"/>
        </w:rPr>
      </w:pPr>
    </w:p>
    <w:p w14:paraId="70D754EC" w14:textId="77777777" w:rsidR="00BB5C77" w:rsidRPr="00BB5C77" w:rsidRDefault="00BB5C77" w:rsidP="00BB5C77">
      <w:pPr>
        <w:spacing w:after="0" w:line="249" w:lineRule="auto"/>
        <w:ind w:left="594" w:right="731" w:hanging="357"/>
        <w:jc w:val="both"/>
        <w:rPr>
          <w:rFonts w:ascii="Arial" w:eastAsia="Arial" w:hAnsi="Arial" w:cs="Arial"/>
          <w:sz w:val="21"/>
          <w:szCs w:val="21"/>
          <w:lang w:val="en-ZA" w:eastAsia="en-ZA"/>
        </w:rPr>
      </w:pPr>
      <w:r w:rsidRPr="00BB5C77">
        <w:rPr>
          <w:rFonts w:ascii="Arial" w:eastAsia="Arial" w:hAnsi="Arial" w:cs="Arial"/>
          <w:color w:val="0A0A0A"/>
          <w:sz w:val="21"/>
          <w:szCs w:val="21"/>
          <w:lang w:val="en-ZA" w:eastAsia="en-ZA"/>
        </w:rPr>
        <w:t xml:space="preserve">2.  </w:t>
      </w:r>
      <w:r w:rsidRPr="00BB5C77">
        <w:rPr>
          <w:rFonts w:ascii="Arial" w:eastAsia="Arial" w:hAnsi="Arial" w:cs="Arial"/>
          <w:color w:val="0A0A0A"/>
          <w:spacing w:val="34"/>
          <w:sz w:val="21"/>
          <w:szCs w:val="21"/>
          <w:lang w:val="en-ZA" w:eastAsia="en-ZA"/>
        </w:rPr>
        <w:t xml:space="preserve"> </w:t>
      </w:r>
      <w:r w:rsidRPr="00BB5C77">
        <w:rPr>
          <w:rFonts w:ascii="Arial" w:eastAsia="Arial" w:hAnsi="Arial" w:cs="Arial"/>
          <w:color w:val="0A0A0A"/>
          <w:sz w:val="21"/>
          <w:szCs w:val="21"/>
          <w:lang w:val="en-ZA" w:eastAsia="en-ZA"/>
        </w:rPr>
        <w:t>In</w:t>
      </w:r>
      <w:r w:rsidRPr="00BB5C77">
        <w:rPr>
          <w:rFonts w:ascii="Arial" w:eastAsia="Arial" w:hAnsi="Arial" w:cs="Arial"/>
          <w:color w:val="0A0A0A"/>
          <w:spacing w:val="-3"/>
          <w:sz w:val="21"/>
          <w:szCs w:val="21"/>
          <w:lang w:val="en-ZA" w:eastAsia="en-ZA"/>
        </w:rPr>
        <w:t xml:space="preserve"> </w:t>
      </w:r>
      <w:r w:rsidRPr="00BB5C77">
        <w:rPr>
          <w:rFonts w:ascii="Arial" w:eastAsia="Arial" w:hAnsi="Arial" w:cs="Arial"/>
          <w:color w:val="0A0A0A"/>
          <w:sz w:val="21"/>
          <w:szCs w:val="21"/>
          <w:lang w:val="en-ZA" w:eastAsia="en-ZA"/>
        </w:rPr>
        <w:t>my</w:t>
      </w:r>
      <w:r w:rsidRPr="00BB5C77">
        <w:rPr>
          <w:rFonts w:ascii="Arial" w:eastAsia="Arial" w:hAnsi="Arial" w:cs="Arial"/>
          <w:color w:val="0A0A0A"/>
          <w:spacing w:val="27"/>
          <w:sz w:val="21"/>
          <w:szCs w:val="21"/>
          <w:lang w:val="en-ZA" w:eastAsia="en-ZA"/>
        </w:rPr>
        <w:t xml:space="preserve"> </w:t>
      </w:r>
      <w:r w:rsidRPr="00BB5C77">
        <w:rPr>
          <w:rFonts w:ascii="Arial" w:eastAsia="Arial" w:hAnsi="Arial" w:cs="Arial"/>
          <w:color w:val="0A0A0A"/>
          <w:sz w:val="21"/>
          <w:szCs w:val="21"/>
          <w:lang w:val="en-ZA" w:eastAsia="en-ZA"/>
        </w:rPr>
        <w:t>opinio</w:t>
      </w:r>
      <w:r w:rsidRPr="00BB5C77">
        <w:rPr>
          <w:rFonts w:ascii="Arial" w:eastAsia="Arial" w:hAnsi="Arial" w:cs="Arial"/>
          <w:color w:val="0A0A0A"/>
          <w:spacing w:val="-7"/>
          <w:sz w:val="21"/>
          <w:szCs w:val="21"/>
          <w:lang w:val="en-ZA" w:eastAsia="en-ZA"/>
        </w:rPr>
        <w:t>n</w:t>
      </w:r>
      <w:r w:rsidRPr="00BB5C77">
        <w:rPr>
          <w:rFonts w:ascii="Arial" w:eastAsia="Arial" w:hAnsi="Arial" w:cs="Arial"/>
          <w:color w:val="242424"/>
          <w:sz w:val="21"/>
          <w:szCs w:val="21"/>
          <w:lang w:val="en-ZA" w:eastAsia="en-ZA"/>
        </w:rPr>
        <w:t>,</w:t>
      </w:r>
      <w:r w:rsidRPr="00BB5C77">
        <w:rPr>
          <w:rFonts w:ascii="Arial" w:eastAsia="Arial" w:hAnsi="Arial" w:cs="Arial"/>
          <w:color w:val="242424"/>
          <w:spacing w:val="31"/>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9"/>
          <w:sz w:val="21"/>
          <w:szCs w:val="21"/>
          <w:lang w:val="en-ZA" w:eastAsia="en-ZA"/>
        </w:rPr>
        <w:t xml:space="preserve"> </w:t>
      </w:r>
      <w:r w:rsidRPr="00BB5C77">
        <w:rPr>
          <w:rFonts w:ascii="Arial" w:eastAsia="Arial" w:hAnsi="Arial" w:cs="Arial"/>
          <w:color w:val="0A0A0A"/>
          <w:sz w:val="21"/>
          <w:szCs w:val="21"/>
          <w:lang w:val="en-ZA" w:eastAsia="en-ZA"/>
        </w:rPr>
        <w:t>financial</w:t>
      </w:r>
      <w:r w:rsidRPr="00BB5C77">
        <w:rPr>
          <w:rFonts w:ascii="Arial" w:eastAsia="Arial" w:hAnsi="Arial" w:cs="Arial"/>
          <w:color w:val="0A0A0A"/>
          <w:spacing w:val="15"/>
          <w:sz w:val="21"/>
          <w:szCs w:val="21"/>
          <w:lang w:val="en-ZA" w:eastAsia="en-ZA"/>
        </w:rPr>
        <w:t xml:space="preserve"> </w:t>
      </w:r>
      <w:r w:rsidRPr="00BB5C77">
        <w:rPr>
          <w:rFonts w:ascii="Arial" w:eastAsia="Arial" w:hAnsi="Arial" w:cs="Arial"/>
          <w:color w:val="0A0A0A"/>
          <w:sz w:val="21"/>
          <w:szCs w:val="21"/>
          <w:lang w:val="en-ZA" w:eastAsia="en-ZA"/>
        </w:rPr>
        <w:t>statements</w:t>
      </w:r>
      <w:r w:rsidRPr="00BB5C77">
        <w:rPr>
          <w:rFonts w:ascii="Arial" w:eastAsia="Arial" w:hAnsi="Arial" w:cs="Arial"/>
          <w:color w:val="0A0A0A"/>
          <w:spacing w:val="42"/>
          <w:sz w:val="21"/>
          <w:szCs w:val="21"/>
          <w:lang w:val="en-ZA" w:eastAsia="en-ZA"/>
        </w:rPr>
        <w:t xml:space="preserve"> </w:t>
      </w:r>
      <w:r w:rsidRPr="00BB5C77">
        <w:rPr>
          <w:rFonts w:ascii="Arial" w:eastAsia="Arial" w:hAnsi="Arial" w:cs="Arial"/>
          <w:color w:val="0A0A0A"/>
          <w:sz w:val="21"/>
          <w:szCs w:val="21"/>
          <w:lang w:val="en-ZA" w:eastAsia="en-ZA"/>
        </w:rPr>
        <w:t>present</w:t>
      </w:r>
      <w:r w:rsidRPr="00BB5C77">
        <w:rPr>
          <w:rFonts w:ascii="Arial" w:eastAsia="Arial" w:hAnsi="Arial" w:cs="Arial"/>
          <w:color w:val="0A0A0A"/>
          <w:spacing w:val="21"/>
          <w:sz w:val="21"/>
          <w:szCs w:val="21"/>
          <w:lang w:val="en-ZA" w:eastAsia="en-ZA"/>
        </w:rPr>
        <w:t xml:space="preserve"> </w:t>
      </w:r>
      <w:r w:rsidRPr="00BB5C77">
        <w:rPr>
          <w:rFonts w:ascii="Arial" w:eastAsia="Arial" w:hAnsi="Arial" w:cs="Arial"/>
          <w:color w:val="0A0A0A"/>
          <w:w w:val="110"/>
          <w:sz w:val="21"/>
          <w:szCs w:val="21"/>
          <w:lang w:val="en-ZA" w:eastAsia="en-ZA"/>
        </w:rPr>
        <w:t>fairl</w:t>
      </w:r>
      <w:r w:rsidRPr="00BB5C77">
        <w:rPr>
          <w:rFonts w:ascii="Arial" w:eastAsia="Arial" w:hAnsi="Arial" w:cs="Arial"/>
          <w:color w:val="0A0A0A"/>
          <w:spacing w:val="-15"/>
          <w:w w:val="110"/>
          <w:sz w:val="21"/>
          <w:szCs w:val="21"/>
          <w:lang w:val="en-ZA" w:eastAsia="en-ZA"/>
        </w:rPr>
        <w:t>y</w:t>
      </w:r>
      <w:r w:rsidRPr="00BB5C77">
        <w:rPr>
          <w:rFonts w:ascii="Arial" w:eastAsia="Arial" w:hAnsi="Arial" w:cs="Arial"/>
          <w:color w:val="242424"/>
          <w:w w:val="110"/>
          <w:sz w:val="21"/>
          <w:szCs w:val="21"/>
          <w:lang w:val="en-ZA" w:eastAsia="en-ZA"/>
        </w:rPr>
        <w:t>,</w:t>
      </w:r>
      <w:r w:rsidRPr="00BB5C77">
        <w:rPr>
          <w:rFonts w:ascii="Arial" w:eastAsia="Arial" w:hAnsi="Arial" w:cs="Arial"/>
          <w:color w:val="242424"/>
          <w:spacing w:val="-3"/>
          <w:w w:val="110"/>
          <w:sz w:val="21"/>
          <w:szCs w:val="21"/>
          <w:lang w:val="en-ZA" w:eastAsia="en-ZA"/>
        </w:rPr>
        <w:t xml:space="preserve"> </w:t>
      </w:r>
      <w:r w:rsidRPr="00BB5C77">
        <w:rPr>
          <w:rFonts w:ascii="Arial" w:eastAsia="Arial" w:hAnsi="Arial" w:cs="Arial"/>
          <w:color w:val="0A0A0A"/>
          <w:sz w:val="21"/>
          <w:szCs w:val="21"/>
          <w:lang w:val="en-ZA" w:eastAsia="en-ZA"/>
        </w:rPr>
        <w:t>in</w:t>
      </w:r>
      <w:r w:rsidRPr="00BB5C77">
        <w:rPr>
          <w:rFonts w:ascii="Arial" w:eastAsia="Arial" w:hAnsi="Arial" w:cs="Arial"/>
          <w:color w:val="0A0A0A"/>
          <w:spacing w:val="-3"/>
          <w:sz w:val="21"/>
          <w:szCs w:val="21"/>
          <w:lang w:val="en-ZA" w:eastAsia="en-ZA"/>
        </w:rPr>
        <w:t xml:space="preserve"> </w:t>
      </w:r>
      <w:r w:rsidRPr="00BB5C77">
        <w:rPr>
          <w:rFonts w:ascii="Arial" w:eastAsia="Arial" w:hAnsi="Arial" w:cs="Arial"/>
          <w:color w:val="0A0A0A"/>
          <w:sz w:val="21"/>
          <w:szCs w:val="21"/>
          <w:lang w:val="en-ZA" w:eastAsia="en-ZA"/>
        </w:rPr>
        <w:t>all</w:t>
      </w:r>
      <w:r w:rsidRPr="00BB5C77">
        <w:rPr>
          <w:rFonts w:ascii="Arial" w:eastAsia="Arial" w:hAnsi="Arial" w:cs="Arial"/>
          <w:color w:val="0A0A0A"/>
          <w:spacing w:val="24"/>
          <w:sz w:val="21"/>
          <w:szCs w:val="21"/>
          <w:lang w:val="en-ZA" w:eastAsia="en-ZA"/>
        </w:rPr>
        <w:t xml:space="preserve"> </w:t>
      </w:r>
      <w:r w:rsidRPr="00BB5C77">
        <w:rPr>
          <w:rFonts w:ascii="Arial" w:eastAsia="Arial" w:hAnsi="Arial" w:cs="Arial"/>
          <w:color w:val="0A0A0A"/>
          <w:sz w:val="21"/>
          <w:szCs w:val="21"/>
          <w:lang w:val="en-ZA" w:eastAsia="en-ZA"/>
        </w:rPr>
        <w:t>material</w:t>
      </w:r>
      <w:r w:rsidRPr="00BB5C77">
        <w:rPr>
          <w:rFonts w:ascii="Arial" w:eastAsia="Arial" w:hAnsi="Arial" w:cs="Arial"/>
          <w:color w:val="0A0A0A"/>
          <w:spacing w:val="13"/>
          <w:sz w:val="21"/>
          <w:szCs w:val="21"/>
          <w:lang w:val="en-ZA" w:eastAsia="en-ZA"/>
        </w:rPr>
        <w:t xml:space="preserve"> </w:t>
      </w:r>
      <w:r w:rsidRPr="00BB5C77">
        <w:rPr>
          <w:rFonts w:ascii="Arial" w:eastAsia="Arial" w:hAnsi="Arial" w:cs="Arial"/>
          <w:color w:val="0A0A0A"/>
          <w:w w:val="103"/>
          <w:sz w:val="21"/>
          <w:szCs w:val="21"/>
          <w:lang w:val="en-ZA" w:eastAsia="en-ZA"/>
        </w:rPr>
        <w:t>respect</w:t>
      </w:r>
      <w:r w:rsidRPr="00BB5C77">
        <w:rPr>
          <w:rFonts w:ascii="Arial" w:eastAsia="Arial" w:hAnsi="Arial" w:cs="Arial"/>
          <w:color w:val="0A0A0A"/>
          <w:spacing w:val="-12"/>
          <w:w w:val="104"/>
          <w:sz w:val="21"/>
          <w:szCs w:val="21"/>
          <w:lang w:val="en-ZA" w:eastAsia="en-ZA"/>
        </w:rPr>
        <w:t>s</w:t>
      </w:r>
      <w:r w:rsidRPr="00BB5C77">
        <w:rPr>
          <w:rFonts w:ascii="Arial" w:eastAsia="Arial" w:hAnsi="Arial" w:cs="Arial"/>
          <w:color w:val="242424"/>
          <w:w w:val="192"/>
          <w:sz w:val="21"/>
          <w:szCs w:val="21"/>
          <w:lang w:val="en-ZA" w:eastAsia="en-ZA"/>
        </w:rPr>
        <w:t>,</w:t>
      </w:r>
      <w:r w:rsidRPr="00BB5C77">
        <w:rPr>
          <w:rFonts w:ascii="Arial" w:eastAsia="Arial" w:hAnsi="Arial" w:cs="Arial"/>
          <w:color w:val="242424"/>
          <w:spacing w:val="-42"/>
          <w:sz w:val="21"/>
          <w:szCs w:val="21"/>
          <w:lang w:val="en-ZA" w:eastAsia="en-ZA"/>
        </w:rPr>
        <w:t xml:space="preserve"> </w:t>
      </w:r>
      <w:r w:rsidRPr="00BB5C77">
        <w:rPr>
          <w:rFonts w:ascii="Arial" w:eastAsia="Arial" w:hAnsi="Arial" w:cs="Arial"/>
          <w:color w:val="0A0A0A"/>
          <w:w w:val="106"/>
          <w:sz w:val="21"/>
          <w:szCs w:val="21"/>
          <w:lang w:val="en-ZA" w:eastAsia="en-ZA"/>
        </w:rPr>
        <w:t xml:space="preserve">the </w:t>
      </w:r>
      <w:r w:rsidRPr="00BB5C77">
        <w:rPr>
          <w:rFonts w:ascii="Arial" w:eastAsia="Arial" w:hAnsi="Arial" w:cs="Arial"/>
          <w:color w:val="242424"/>
          <w:spacing w:val="-12"/>
          <w:w w:val="122"/>
          <w:sz w:val="21"/>
          <w:szCs w:val="21"/>
          <w:lang w:val="en-ZA" w:eastAsia="en-ZA"/>
        </w:rPr>
        <w:t>f</w:t>
      </w:r>
      <w:r w:rsidRPr="00BB5C77">
        <w:rPr>
          <w:rFonts w:ascii="Arial" w:eastAsia="Arial" w:hAnsi="Arial" w:cs="Arial"/>
          <w:color w:val="0A0A0A"/>
          <w:w w:val="109"/>
          <w:sz w:val="21"/>
          <w:szCs w:val="21"/>
          <w:lang w:val="en-ZA" w:eastAsia="en-ZA"/>
        </w:rPr>
        <w:t>inan</w:t>
      </w:r>
      <w:r w:rsidRPr="00BB5C77">
        <w:rPr>
          <w:rFonts w:ascii="Arial" w:eastAsia="Arial" w:hAnsi="Arial" w:cs="Arial"/>
          <w:color w:val="0A0A0A"/>
          <w:spacing w:val="-43"/>
          <w:w w:val="109"/>
          <w:sz w:val="21"/>
          <w:szCs w:val="21"/>
          <w:lang w:val="en-ZA" w:eastAsia="en-ZA"/>
        </w:rPr>
        <w:t>c</w:t>
      </w:r>
      <w:r w:rsidRPr="00BB5C77">
        <w:rPr>
          <w:rFonts w:ascii="Arial" w:eastAsia="Arial" w:hAnsi="Arial" w:cs="Arial"/>
          <w:color w:val="242424"/>
          <w:spacing w:val="-10"/>
          <w:w w:val="232"/>
          <w:sz w:val="21"/>
          <w:szCs w:val="21"/>
          <w:lang w:val="en-ZA" w:eastAsia="en-ZA"/>
        </w:rPr>
        <w:t>i</w:t>
      </w:r>
      <w:r w:rsidRPr="00BB5C77">
        <w:rPr>
          <w:rFonts w:ascii="Arial" w:eastAsia="Arial" w:hAnsi="Arial" w:cs="Arial"/>
          <w:color w:val="0A0A0A"/>
          <w:w w:val="121"/>
          <w:sz w:val="21"/>
          <w:szCs w:val="21"/>
          <w:lang w:val="en-ZA" w:eastAsia="en-ZA"/>
        </w:rPr>
        <w:t>a</w:t>
      </w:r>
      <w:r w:rsidRPr="00BB5C77">
        <w:rPr>
          <w:rFonts w:ascii="Arial" w:eastAsia="Arial" w:hAnsi="Arial" w:cs="Arial"/>
          <w:color w:val="0A0A0A"/>
          <w:spacing w:val="6"/>
          <w:w w:val="121"/>
          <w:sz w:val="21"/>
          <w:szCs w:val="21"/>
          <w:lang w:val="en-ZA" w:eastAsia="en-ZA"/>
        </w:rPr>
        <w:t xml:space="preserve">l </w:t>
      </w:r>
      <w:r w:rsidRPr="00BB5C77">
        <w:rPr>
          <w:rFonts w:ascii="Arial" w:eastAsia="Arial" w:hAnsi="Arial" w:cs="Arial"/>
          <w:color w:val="0A0A0A"/>
          <w:w w:val="104"/>
          <w:sz w:val="21"/>
          <w:szCs w:val="21"/>
          <w:lang w:val="en-ZA" w:eastAsia="en-ZA"/>
        </w:rPr>
        <w:t>positio</w:t>
      </w:r>
      <w:r w:rsidRPr="00BB5C77">
        <w:rPr>
          <w:rFonts w:ascii="Arial" w:eastAsia="Arial" w:hAnsi="Arial" w:cs="Arial"/>
          <w:color w:val="0A0A0A"/>
          <w:w w:val="105"/>
          <w:sz w:val="21"/>
          <w:szCs w:val="21"/>
          <w:lang w:val="en-ZA" w:eastAsia="en-ZA"/>
        </w:rPr>
        <w:t>n</w:t>
      </w:r>
      <w:r w:rsidRPr="00BB5C77">
        <w:rPr>
          <w:rFonts w:ascii="Arial" w:eastAsia="Arial" w:hAnsi="Arial" w:cs="Arial"/>
          <w:color w:val="0A0A0A"/>
          <w:spacing w:val="-12"/>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14"/>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21"/>
          <w:sz w:val="21"/>
          <w:szCs w:val="21"/>
          <w:lang w:val="en-ZA" w:eastAsia="en-ZA"/>
        </w:rPr>
        <w:t xml:space="preserve"> </w:t>
      </w:r>
      <w:r w:rsidRPr="00BB5C77">
        <w:rPr>
          <w:rFonts w:ascii="Arial" w:eastAsia="Arial" w:hAnsi="Arial" w:cs="Arial"/>
          <w:color w:val="0A0A0A"/>
          <w:sz w:val="21"/>
          <w:szCs w:val="21"/>
          <w:lang w:val="en-ZA" w:eastAsia="en-ZA"/>
        </w:rPr>
        <w:t>uMlalazi</w:t>
      </w:r>
      <w:r w:rsidRPr="00BB5C77">
        <w:rPr>
          <w:rFonts w:ascii="Arial" w:eastAsia="Arial" w:hAnsi="Arial" w:cs="Arial"/>
          <w:color w:val="0A0A0A"/>
          <w:spacing w:val="28"/>
          <w:sz w:val="21"/>
          <w:szCs w:val="21"/>
          <w:lang w:val="en-ZA" w:eastAsia="en-ZA"/>
        </w:rPr>
        <w:t xml:space="preserve"> </w:t>
      </w:r>
      <w:r w:rsidRPr="00BB5C77">
        <w:rPr>
          <w:rFonts w:ascii="Arial" w:eastAsia="Arial" w:hAnsi="Arial" w:cs="Arial"/>
          <w:color w:val="0A0A0A"/>
          <w:sz w:val="21"/>
          <w:szCs w:val="21"/>
          <w:lang w:val="en-ZA" w:eastAsia="en-ZA"/>
        </w:rPr>
        <w:t>Municipality</w:t>
      </w:r>
      <w:r w:rsidRPr="00BB5C77">
        <w:rPr>
          <w:rFonts w:ascii="Arial" w:eastAsia="Arial" w:hAnsi="Arial" w:cs="Arial"/>
          <w:color w:val="0A0A0A"/>
          <w:spacing w:val="33"/>
          <w:sz w:val="21"/>
          <w:szCs w:val="21"/>
          <w:lang w:val="en-ZA" w:eastAsia="en-ZA"/>
        </w:rPr>
        <w:t xml:space="preserve"> </w:t>
      </w:r>
      <w:r w:rsidRPr="00BB5C77">
        <w:rPr>
          <w:rFonts w:ascii="Arial" w:eastAsia="Arial" w:hAnsi="Arial" w:cs="Arial"/>
          <w:color w:val="0A0A0A"/>
          <w:sz w:val="21"/>
          <w:szCs w:val="21"/>
          <w:lang w:val="en-ZA" w:eastAsia="en-ZA"/>
        </w:rPr>
        <w:t>as</w:t>
      </w:r>
      <w:r w:rsidRPr="00BB5C77">
        <w:rPr>
          <w:rFonts w:ascii="Arial" w:eastAsia="Arial" w:hAnsi="Arial" w:cs="Arial"/>
          <w:color w:val="0A0A0A"/>
          <w:spacing w:val="20"/>
          <w:sz w:val="21"/>
          <w:szCs w:val="21"/>
          <w:lang w:val="en-ZA" w:eastAsia="en-ZA"/>
        </w:rPr>
        <w:t xml:space="preserve"> </w:t>
      </w:r>
      <w:r w:rsidRPr="00BB5C77">
        <w:rPr>
          <w:rFonts w:ascii="Arial" w:eastAsia="Arial" w:hAnsi="Arial" w:cs="Arial"/>
          <w:color w:val="0A0A0A"/>
          <w:sz w:val="21"/>
          <w:szCs w:val="21"/>
          <w:lang w:val="en-ZA" w:eastAsia="en-ZA"/>
        </w:rPr>
        <w:t>at</w:t>
      </w:r>
      <w:r w:rsidRPr="00BB5C77">
        <w:rPr>
          <w:rFonts w:ascii="Arial" w:eastAsia="Arial" w:hAnsi="Arial" w:cs="Arial"/>
          <w:color w:val="0A0A0A"/>
          <w:spacing w:val="7"/>
          <w:sz w:val="21"/>
          <w:szCs w:val="21"/>
          <w:lang w:val="en-ZA" w:eastAsia="en-ZA"/>
        </w:rPr>
        <w:t xml:space="preserve"> </w:t>
      </w:r>
      <w:r w:rsidRPr="00BB5C77">
        <w:rPr>
          <w:rFonts w:ascii="Arial" w:eastAsia="Arial" w:hAnsi="Arial" w:cs="Arial"/>
          <w:color w:val="0A0A0A"/>
          <w:sz w:val="21"/>
          <w:szCs w:val="21"/>
          <w:lang w:val="en-ZA" w:eastAsia="en-ZA"/>
        </w:rPr>
        <w:t>30</w:t>
      </w:r>
      <w:r w:rsidRPr="00BB5C77">
        <w:rPr>
          <w:rFonts w:ascii="Arial" w:eastAsia="Arial" w:hAnsi="Arial" w:cs="Arial"/>
          <w:color w:val="0A0A0A"/>
          <w:spacing w:val="24"/>
          <w:sz w:val="21"/>
          <w:szCs w:val="21"/>
          <w:lang w:val="en-ZA" w:eastAsia="en-ZA"/>
        </w:rPr>
        <w:t xml:space="preserve"> </w:t>
      </w:r>
      <w:r w:rsidRPr="00BB5C77">
        <w:rPr>
          <w:rFonts w:ascii="Arial" w:eastAsia="Arial" w:hAnsi="Arial" w:cs="Arial"/>
          <w:color w:val="0A0A0A"/>
          <w:sz w:val="21"/>
          <w:szCs w:val="21"/>
          <w:lang w:val="en-ZA" w:eastAsia="en-ZA"/>
        </w:rPr>
        <w:t>June</w:t>
      </w:r>
      <w:r w:rsidRPr="00BB5C77">
        <w:rPr>
          <w:rFonts w:ascii="Arial" w:eastAsia="Arial" w:hAnsi="Arial" w:cs="Arial"/>
          <w:color w:val="0A0A0A"/>
          <w:spacing w:val="21"/>
          <w:sz w:val="21"/>
          <w:szCs w:val="21"/>
          <w:lang w:val="en-ZA" w:eastAsia="en-ZA"/>
        </w:rPr>
        <w:t xml:space="preserve"> </w:t>
      </w:r>
      <w:r w:rsidRPr="00BB5C77">
        <w:rPr>
          <w:rFonts w:ascii="Arial" w:eastAsia="Arial" w:hAnsi="Arial" w:cs="Arial"/>
          <w:color w:val="0A0A0A"/>
          <w:w w:val="111"/>
          <w:sz w:val="21"/>
          <w:szCs w:val="21"/>
          <w:lang w:val="en-ZA" w:eastAsia="en-ZA"/>
        </w:rPr>
        <w:t>201</w:t>
      </w:r>
      <w:r w:rsidRPr="00BB5C77">
        <w:rPr>
          <w:rFonts w:ascii="Arial" w:eastAsia="Arial" w:hAnsi="Arial" w:cs="Arial"/>
          <w:color w:val="0A0A0A"/>
          <w:spacing w:val="-19"/>
          <w:w w:val="111"/>
          <w:sz w:val="21"/>
          <w:szCs w:val="21"/>
          <w:lang w:val="en-ZA" w:eastAsia="en-ZA"/>
        </w:rPr>
        <w:t>7</w:t>
      </w:r>
      <w:r w:rsidRPr="00BB5C77">
        <w:rPr>
          <w:rFonts w:ascii="Arial" w:eastAsia="Arial" w:hAnsi="Arial" w:cs="Arial"/>
          <w:color w:val="3B3B3B"/>
          <w:w w:val="111"/>
          <w:sz w:val="21"/>
          <w:szCs w:val="21"/>
          <w:lang w:val="en-ZA" w:eastAsia="en-ZA"/>
        </w:rPr>
        <w:t>,</w:t>
      </w:r>
      <w:r w:rsidRPr="00BB5C77">
        <w:rPr>
          <w:rFonts w:ascii="Arial" w:eastAsia="Arial" w:hAnsi="Arial" w:cs="Arial"/>
          <w:color w:val="3B3B3B"/>
          <w:spacing w:val="-21"/>
          <w:w w:val="111"/>
          <w:sz w:val="21"/>
          <w:szCs w:val="21"/>
          <w:lang w:val="en-ZA" w:eastAsia="en-ZA"/>
        </w:rPr>
        <w:t xml:space="preserve"> </w:t>
      </w:r>
      <w:r w:rsidRPr="00BB5C77">
        <w:rPr>
          <w:rFonts w:ascii="Arial" w:eastAsia="Arial" w:hAnsi="Arial" w:cs="Arial"/>
          <w:color w:val="0A0A0A"/>
          <w:sz w:val="21"/>
          <w:szCs w:val="21"/>
          <w:lang w:val="en-ZA" w:eastAsia="en-ZA"/>
        </w:rPr>
        <w:t>and</w:t>
      </w:r>
      <w:r w:rsidRPr="00BB5C77">
        <w:rPr>
          <w:rFonts w:ascii="Arial" w:eastAsia="Arial" w:hAnsi="Arial" w:cs="Arial"/>
          <w:color w:val="0A0A0A"/>
          <w:spacing w:val="13"/>
          <w:sz w:val="21"/>
          <w:szCs w:val="21"/>
          <w:lang w:val="en-ZA" w:eastAsia="en-ZA"/>
        </w:rPr>
        <w:t xml:space="preserve"> </w:t>
      </w:r>
      <w:r w:rsidRPr="00BB5C77">
        <w:rPr>
          <w:rFonts w:ascii="Arial" w:eastAsia="Arial" w:hAnsi="Arial" w:cs="Arial"/>
          <w:color w:val="0A0A0A"/>
          <w:sz w:val="21"/>
          <w:szCs w:val="21"/>
          <w:lang w:val="en-ZA" w:eastAsia="en-ZA"/>
        </w:rPr>
        <w:t>its</w:t>
      </w:r>
      <w:r w:rsidRPr="00BB5C77">
        <w:rPr>
          <w:rFonts w:ascii="Arial" w:eastAsia="Arial" w:hAnsi="Arial" w:cs="Arial"/>
          <w:color w:val="0A0A0A"/>
          <w:spacing w:val="7"/>
          <w:sz w:val="21"/>
          <w:szCs w:val="21"/>
          <w:lang w:val="en-ZA" w:eastAsia="en-ZA"/>
        </w:rPr>
        <w:t xml:space="preserve"> </w:t>
      </w:r>
      <w:r w:rsidRPr="00BB5C77">
        <w:rPr>
          <w:rFonts w:ascii="Arial" w:eastAsia="Arial" w:hAnsi="Arial" w:cs="Arial"/>
          <w:color w:val="0A0A0A"/>
          <w:w w:val="104"/>
          <w:sz w:val="21"/>
          <w:szCs w:val="21"/>
          <w:lang w:val="en-ZA" w:eastAsia="en-ZA"/>
        </w:rPr>
        <w:t xml:space="preserve">financial </w:t>
      </w:r>
      <w:r w:rsidRPr="00BB5C77">
        <w:rPr>
          <w:rFonts w:ascii="Arial" w:eastAsia="Arial" w:hAnsi="Arial" w:cs="Arial"/>
          <w:color w:val="0A0A0A"/>
          <w:sz w:val="21"/>
          <w:szCs w:val="21"/>
          <w:lang w:val="en-ZA" w:eastAsia="en-ZA"/>
        </w:rPr>
        <w:t>performance</w:t>
      </w:r>
      <w:r w:rsidRPr="00BB5C77">
        <w:rPr>
          <w:rFonts w:ascii="Arial" w:eastAsia="Arial" w:hAnsi="Arial" w:cs="Arial"/>
          <w:color w:val="0A0A0A"/>
          <w:spacing w:val="47"/>
          <w:sz w:val="21"/>
          <w:szCs w:val="21"/>
          <w:lang w:val="en-ZA" w:eastAsia="en-ZA"/>
        </w:rPr>
        <w:t xml:space="preserve"> </w:t>
      </w:r>
      <w:r w:rsidRPr="00BB5C77">
        <w:rPr>
          <w:rFonts w:ascii="Arial" w:eastAsia="Arial" w:hAnsi="Arial" w:cs="Arial"/>
          <w:color w:val="0A0A0A"/>
          <w:sz w:val="21"/>
          <w:szCs w:val="21"/>
          <w:lang w:val="en-ZA" w:eastAsia="en-ZA"/>
        </w:rPr>
        <w:t>and</w:t>
      </w:r>
      <w:r w:rsidRPr="00BB5C77">
        <w:rPr>
          <w:rFonts w:ascii="Arial" w:eastAsia="Arial" w:hAnsi="Arial" w:cs="Arial"/>
          <w:color w:val="0A0A0A"/>
          <w:spacing w:val="17"/>
          <w:sz w:val="21"/>
          <w:szCs w:val="21"/>
          <w:lang w:val="en-ZA" w:eastAsia="en-ZA"/>
        </w:rPr>
        <w:t xml:space="preserve"> </w:t>
      </w:r>
      <w:r w:rsidRPr="00BB5C77">
        <w:rPr>
          <w:rFonts w:ascii="Arial" w:eastAsia="Arial" w:hAnsi="Arial" w:cs="Arial"/>
          <w:color w:val="0A0A0A"/>
          <w:sz w:val="21"/>
          <w:szCs w:val="21"/>
          <w:lang w:val="en-ZA" w:eastAsia="en-ZA"/>
        </w:rPr>
        <w:t>cash</w:t>
      </w:r>
      <w:r w:rsidRPr="00BB5C77">
        <w:rPr>
          <w:rFonts w:ascii="Arial" w:eastAsia="Arial" w:hAnsi="Arial" w:cs="Arial"/>
          <w:color w:val="0A0A0A"/>
          <w:spacing w:val="24"/>
          <w:sz w:val="21"/>
          <w:szCs w:val="21"/>
          <w:lang w:val="en-ZA" w:eastAsia="en-ZA"/>
        </w:rPr>
        <w:t xml:space="preserve"> </w:t>
      </w:r>
      <w:r w:rsidRPr="00BB5C77">
        <w:rPr>
          <w:rFonts w:ascii="Arial" w:eastAsia="Arial" w:hAnsi="Arial" w:cs="Arial"/>
          <w:color w:val="0A0A0A"/>
          <w:sz w:val="21"/>
          <w:szCs w:val="21"/>
          <w:lang w:val="en-ZA" w:eastAsia="en-ZA"/>
        </w:rPr>
        <w:t>flows</w:t>
      </w:r>
      <w:r w:rsidRPr="00BB5C77">
        <w:rPr>
          <w:rFonts w:ascii="Arial" w:eastAsia="Arial" w:hAnsi="Arial" w:cs="Arial"/>
          <w:color w:val="0A0A0A"/>
          <w:spacing w:val="24"/>
          <w:sz w:val="21"/>
          <w:szCs w:val="21"/>
          <w:lang w:val="en-ZA" w:eastAsia="en-ZA"/>
        </w:rPr>
        <w:t xml:space="preserve"> </w:t>
      </w:r>
      <w:r w:rsidRPr="00BB5C77">
        <w:rPr>
          <w:rFonts w:ascii="Arial" w:eastAsia="Arial" w:hAnsi="Arial" w:cs="Arial"/>
          <w:color w:val="0A0A0A"/>
          <w:sz w:val="21"/>
          <w:szCs w:val="21"/>
          <w:lang w:val="en-ZA" w:eastAsia="en-ZA"/>
        </w:rPr>
        <w:t>for</w:t>
      </w:r>
      <w:r w:rsidRPr="00BB5C77">
        <w:rPr>
          <w:rFonts w:ascii="Arial" w:eastAsia="Arial" w:hAnsi="Arial" w:cs="Arial"/>
          <w:color w:val="0A0A0A"/>
          <w:spacing w:val="12"/>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7"/>
          <w:sz w:val="21"/>
          <w:szCs w:val="21"/>
          <w:lang w:val="en-ZA" w:eastAsia="en-ZA"/>
        </w:rPr>
        <w:t xml:space="preserve"> </w:t>
      </w:r>
      <w:r w:rsidRPr="00BB5C77">
        <w:rPr>
          <w:rFonts w:ascii="Arial" w:eastAsia="Arial" w:hAnsi="Arial" w:cs="Arial"/>
          <w:color w:val="0A0A0A"/>
          <w:sz w:val="21"/>
          <w:szCs w:val="21"/>
          <w:lang w:val="en-ZA" w:eastAsia="en-ZA"/>
        </w:rPr>
        <w:t>year</w:t>
      </w:r>
      <w:r w:rsidRPr="00BB5C77">
        <w:rPr>
          <w:rFonts w:ascii="Arial" w:eastAsia="Arial" w:hAnsi="Arial" w:cs="Arial"/>
          <w:color w:val="0A0A0A"/>
          <w:spacing w:val="7"/>
          <w:sz w:val="21"/>
          <w:szCs w:val="21"/>
          <w:lang w:val="en-ZA" w:eastAsia="en-ZA"/>
        </w:rPr>
        <w:t xml:space="preserve"> </w:t>
      </w:r>
      <w:r w:rsidRPr="00BB5C77">
        <w:rPr>
          <w:rFonts w:ascii="Arial" w:eastAsia="Arial" w:hAnsi="Arial" w:cs="Arial"/>
          <w:color w:val="0A0A0A"/>
          <w:sz w:val="21"/>
          <w:szCs w:val="21"/>
          <w:lang w:val="en-ZA" w:eastAsia="en-ZA"/>
        </w:rPr>
        <w:t>then</w:t>
      </w:r>
      <w:r w:rsidRPr="00BB5C77">
        <w:rPr>
          <w:rFonts w:ascii="Arial" w:eastAsia="Arial" w:hAnsi="Arial" w:cs="Arial"/>
          <w:color w:val="0A0A0A"/>
          <w:spacing w:val="16"/>
          <w:sz w:val="21"/>
          <w:szCs w:val="21"/>
          <w:lang w:val="en-ZA" w:eastAsia="en-ZA"/>
        </w:rPr>
        <w:t xml:space="preserve"> </w:t>
      </w:r>
      <w:r w:rsidRPr="00BB5C77">
        <w:rPr>
          <w:rFonts w:ascii="Arial" w:eastAsia="Arial" w:hAnsi="Arial" w:cs="Arial"/>
          <w:color w:val="0A0A0A"/>
          <w:sz w:val="21"/>
          <w:szCs w:val="21"/>
          <w:lang w:val="en-ZA" w:eastAsia="en-ZA"/>
        </w:rPr>
        <w:t>ended</w:t>
      </w:r>
      <w:r w:rsidRPr="00BB5C77">
        <w:rPr>
          <w:rFonts w:ascii="Arial" w:eastAsia="Arial" w:hAnsi="Arial" w:cs="Arial"/>
          <w:color w:val="0A0A0A"/>
          <w:spacing w:val="27"/>
          <w:sz w:val="21"/>
          <w:szCs w:val="21"/>
          <w:lang w:val="en-ZA" w:eastAsia="en-ZA"/>
        </w:rPr>
        <w:t xml:space="preserve"> </w:t>
      </w:r>
      <w:r w:rsidRPr="00BB5C77">
        <w:rPr>
          <w:rFonts w:ascii="Arial" w:eastAsia="Arial" w:hAnsi="Arial" w:cs="Arial"/>
          <w:color w:val="0A0A0A"/>
          <w:sz w:val="21"/>
          <w:szCs w:val="21"/>
          <w:lang w:val="en-ZA" w:eastAsia="en-ZA"/>
        </w:rPr>
        <w:t>in</w:t>
      </w:r>
      <w:r w:rsidRPr="00BB5C77">
        <w:rPr>
          <w:rFonts w:ascii="Arial" w:eastAsia="Arial" w:hAnsi="Arial" w:cs="Arial"/>
          <w:color w:val="0A0A0A"/>
          <w:spacing w:val="11"/>
          <w:sz w:val="21"/>
          <w:szCs w:val="21"/>
          <w:lang w:val="en-ZA" w:eastAsia="en-ZA"/>
        </w:rPr>
        <w:t xml:space="preserve"> </w:t>
      </w:r>
      <w:r w:rsidRPr="00BB5C77">
        <w:rPr>
          <w:rFonts w:ascii="Arial" w:eastAsia="Arial" w:hAnsi="Arial" w:cs="Arial"/>
          <w:color w:val="0A0A0A"/>
          <w:sz w:val="21"/>
          <w:szCs w:val="21"/>
          <w:lang w:val="en-ZA" w:eastAsia="en-ZA"/>
        </w:rPr>
        <w:t>accordance</w:t>
      </w:r>
      <w:r w:rsidRPr="00BB5C77">
        <w:rPr>
          <w:rFonts w:ascii="Arial" w:eastAsia="Arial" w:hAnsi="Arial" w:cs="Arial"/>
          <w:color w:val="0A0A0A"/>
          <w:spacing w:val="52"/>
          <w:sz w:val="21"/>
          <w:szCs w:val="21"/>
          <w:lang w:val="en-ZA" w:eastAsia="en-ZA"/>
        </w:rPr>
        <w:t xml:space="preserve"> </w:t>
      </w:r>
      <w:r w:rsidRPr="00BB5C77">
        <w:rPr>
          <w:rFonts w:ascii="Arial" w:eastAsia="Arial" w:hAnsi="Arial" w:cs="Arial"/>
          <w:color w:val="0A0A0A"/>
          <w:sz w:val="21"/>
          <w:szCs w:val="21"/>
          <w:lang w:val="en-ZA" w:eastAsia="en-ZA"/>
        </w:rPr>
        <w:t>with</w:t>
      </w:r>
      <w:r w:rsidRPr="00BB5C77">
        <w:rPr>
          <w:rFonts w:ascii="Arial" w:eastAsia="Arial" w:hAnsi="Arial" w:cs="Arial"/>
          <w:color w:val="0A0A0A"/>
          <w:spacing w:val="9"/>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3"/>
          <w:sz w:val="21"/>
          <w:szCs w:val="21"/>
          <w:lang w:val="en-ZA" w:eastAsia="en-ZA"/>
        </w:rPr>
        <w:t xml:space="preserve"> </w:t>
      </w:r>
      <w:r w:rsidRPr="00BB5C77">
        <w:rPr>
          <w:rFonts w:ascii="Arial" w:eastAsia="Arial" w:hAnsi="Arial" w:cs="Arial"/>
          <w:color w:val="0A0A0A"/>
          <w:w w:val="107"/>
          <w:sz w:val="21"/>
          <w:szCs w:val="21"/>
          <w:lang w:val="en-ZA" w:eastAsia="en-ZA"/>
        </w:rPr>
        <w:t xml:space="preserve">South </w:t>
      </w:r>
      <w:r w:rsidRPr="00BB5C77">
        <w:rPr>
          <w:rFonts w:ascii="Arial" w:eastAsia="Arial" w:hAnsi="Arial" w:cs="Arial"/>
          <w:color w:val="0A0A0A"/>
          <w:sz w:val="21"/>
          <w:szCs w:val="21"/>
          <w:lang w:val="en-ZA" w:eastAsia="en-ZA"/>
        </w:rPr>
        <w:t>African</w:t>
      </w:r>
      <w:r w:rsidRPr="00BB5C77">
        <w:rPr>
          <w:rFonts w:ascii="Arial" w:eastAsia="Arial" w:hAnsi="Arial" w:cs="Arial"/>
          <w:color w:val="0A0A0A"/>
          <w:spacing w:val="23"/>
          <w:sz w:val="21"/>
          <w:szCs w:val="21"/>
          <w:lang w:val="en-ZA" w:eastAsia="en-ZA"/>
        </w:rPr>
        <w:t xml:space="preserve"> </w:t>
      </w:r>
      <w:r w:rsidRPr="00BB5C77">
        <w:rPr>
          <w:rFonts w:ascii="Arial" w:eastAsia="Arial" w:hAnsi="Arial" w:cs="Arial"/>
          <w:color w:val="0A0A0A"/>
          <w:sz w:val="21"/>
          <w:szCs w:val="21"/>
          <w:lang w:val="en-ZA" w:eastAsia="en-ZA"/>
        </w:rPr>
        <w:t>Standards</w:t>
      </w:r>
      <w:r w:rsidRPr="00BB5C77">
        <w:rPr>
          <w:rFonts w:ascii="Arial" w:eastAsia="Arial" w:hAnsi="Arial" w:cs="Arial"/>
          <w:color w:val="0A0A0A"/>
          <w:spacing w:val="36"/>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6"/>
          <w:sz w:val="21"/>
          <w:szCs w:val="21"/>
          <w:lang w:val="en-ZA" w:eastAsia="en-ZA"/>
        </w:rPr>
        <w:t xml:space="preserve"> </w:t>
      </w:r>
      <w:r w:rsidRPr="00BB5C77">
        <w:rPr>
          <w:rFonts w:ascii="Arial" w:eastAsia="Arial" w:hAnsi="Arial" w:cs="Arial"/>
          <w:color w:val="0A0A0A"/>
          <w:sz w:val="21"/>
          <w:szCs w:val="21"/>
          <w:lang w:val="en-ZA" w:eastAsia="en-ZA"/>
        </w:rPr>
        <w:t>Generally</w:t>
      </w:r>
      <w:r w:rsidRPr="00BB5C77">
        <w:rPr>
          <w:rFonts w:ascii="Arial" w:eastAsia="Arial" w:hAnsi="Arial" w:cs="Arial"/>
          <w:color w:val="0A0A0A"/>
          <w:spacing w:val="41"/>
          <w:sz w:val="21"/>
          <w:szCs w:val="21"/>
          <w:lang w:val="en-ZA" w:eastAsia="en-ZA"/>
        </w:rPr>
        <w:t xml:space="preserve"> </w:t>
      </w:r>
      <w:r w:rsidRPr="00BB5C77">
        <w:rPr>
          <w:rFonts w:ascii="Arial" w:eastAsia="Arial" w:hAnsi="Arial" w:cs="Arial"/>
          <w:color w:val="0A0A0A"/>
          <w:sz w:val="21"/>
          <w:szCs w:val="21"/>
          <w:lang w:val="en-ZA" w:eastAsia="en-ZA"/>
        </w:rPr>
        <w:t>Recognised</w:t>
      </w:r>
      <w:r w:rsidRPr="00BB5C77">
        <w:rPr>
          <w:rFonts w:ascii="Arial" w:eastAsia="Arial" w:hAnsi="Arial" w:cs="Arial"/>
          <w:color w:val="0A0A0A"/>
          <w:spacing w:val="41"/>
          <w:sz w:val="21"/>
          <w:szCs w:val="21"/>
          <w:lang w:val="en-ZA" w:eastAsia="en-ZA"/>
        </w:rPr>
        <w:t xml:space="preserve"> </w:t>
      </w:r>
      <w:r w:rsidRPr="00BB5C77">
        <w:rPr>
          <w:rFonts w:ascii="Arial" w:eastAsia="Arial" w:hAnsi="Arial" w:cs="Arial"/>
          <w:color w:val="0A0A0A"/>
          <w:sz w:val="21"/>
          <w:szCs w:val="21"/>
          <w:lang w:val="en-ZA" w:eastAsia="en-ZA"/>
        </w:rPr>
        <w:t>Accounting</w:t>
      </w:r>
      <w:r w:rsidRPr="00BB5C77">
        <w:rPr>
          <w:rFonts w:ascii="Arial" w:eastAsia="Arial" w:hAnsi="Arial" w:cs="Arial"/>
          <w:color w:val="0A0A0A"/>
          <w:spacing w:val="48"/>
          <w:sz w:val="21"/>
          <w:szCs w:val="21"/>
          <w:lang w:val="en-ZA" w:eastAsia="en-ZA"/>
        </w:rPr>
        <w:t xml:space="preserve"> </w:t>
      </w:r>
      <w:r w:rsidRPr="00BB5C77">
        <w:rPr>
          <w:rFonts w:ascii="Arial" w:eastAsia="Arial" w:hAnsi="Arial" w:cs="Arial"/>
          <w:color w:val="0A0A0A"/>
          <w:sz w:val="21"/>
          <w:szCs w:val="21"/>
          <w:lang w:val="en-ZA" w:eastAsia="en-ZA"/>
        </w:rPr>
        <w:t>Practice</w:t>
      </w:r>
      <w:r w:rsidRPr="00BB5C77">
        <w:rPr>
          <w:rFonts w:ascii="Arial" w:eastAsia="Arial" w:hAnsi="Arial" w:cs="Arial"/>
          <w:color w:val="0A0A0A"/>
          <w:spacing w:val="36"/>
          <w:sz w:val="21"/>
          <w:szCs w:val="21"/>
          <w:lang w:val="en-ZA" w:eastAsia="en-ZA"/>
        </w:rPr>
        <w:t xml:space="preserve"> </w:t>
      </w:r>
      <w:r w:rsidRPr="00BB5C77">
        <w:rPr>
          <w:rFonts w:ascii="Arial" w:eastAsia="Arial" w:hAnsi="Arial" w:cs="Arial"/>
          <w:color w:val="0A0A0A"/>
          <w:sz w:val="21"/>
          <w:szCs w:val="21"/>
          <w:lang w:val="en-ZA" w:eastAsia="en-ZA"/>
        </w:rPr>
        <w:t>(SA</w:t>
      </w:r>
      <w:r w:rsidRPr="00BB5C77">
        <w:rPr>
          <w:rFonts w:ascii="Arial" w:eastAsia="Arial" w:hAnsi="Arial" w:cs="Arial"/>
          <w:color w:val="0A0A0A"/>
          <w:spacing w:val="22"/>
          <w:sz w:val="21"/>
          <w:szCs w:val="21"/>
          <w:lang w:val="en-ZA" w:eastAsia="en-ZA"/>
        </w:rPr>
        <w:t xml:space="preserve"> </w:t>
      </w:r>
      <w:r w:rsidRPr="00BB5C77">
        <w:rPr>
          <w:rFonts w:ascii="Arial" w:eastAsia="Arial" w:hAnsi="Arial" w:cs="Arial"/>
          <w:color w:val="0A0A0A"/>
          <w:sz w:val="21"/>
          <w:szCs w:val="21"/>
          <w:lang w:val="en-ZA" w:eastAsia="en-ZA"/>
        </w:rPr>
        <w:t>Standards</w:t>
      </w:r>
      <w:r w:rsidRPr="00BB5C77">
        <w:rPr>
          <w:rFonts w:ascii="Arial" w:eastAsia="Arial" w:hAnsi="Arial" w:cs="Arial"/>
          <w:color w:val="0A0A0A"/>
          <w:spacing w:val="17"/>
          <w:sz w:val="21"/>
          <w:szCs w:val="21"/>
          <w:lang w:val="en-ZA" w:eastAsia="en-ZA"/>
        </w:rPr>
        <w:t xml:space="preserve"> </w:t>
      </w:r>
      <w:r w:rsidRPr="00BB5C77">
        <w:rPr>
          <w:rFonts w:ascii="Arial" w:eastAsia="Arial" w:hAnsi="Arial" w:cs="Arial"/>
          <w:color w:val="0A0A0A"/>
          <w:w w:val="105"/>
          <w:sz w:val="21"/>
          <w:szCs w:val="21"/>
          <w:lang w:val="en-ZA" w:eastAsia="en-ZA"/>
        </w:rPr>
        <w:t>of</w:t>
      </w:r>
    </w:p>
    <w:p w14:paraId="0FE1CBB0" w14:textId="77777777" w:rsidR="00BB5C77" w:rsidRPr="00BB5C77" w:rsidRDefault="00BB5C77" w:rsidP="00BB5C77">
      <w:pPr>
        <w:spacing w:before="7" w:after="0" w:line="240" w:lineRule="auto"/>
        <w:ind w:left="609" w:right="-20"/>
        <w:jc w:val="both"/>
        <w:rPr>
          <w:rFonts w:ascii="Arial" w:eastAsia="Arial" w:hAnsi="Arial" w:cs="Arial"/>
          <w:sz w:val="21"/>
          <w:szCs w:val="21"/>
          <w:lang w:val="en-ZA" w:eastAsia="en-ZA"/>
        </w:rPr>
      </w:pPr>
      <w:r w:rsidRPr="00BB5C77">
        <w:rPr>
          <w:rFonts w:ascii="Arial" w:eastAsia="Arial" w:hAnsi="Arial" w:cs="Arial"/>
          <w:color w:val="0A0A0A"/>
          <w:sz w:val="21"/>
          <w:szCs w:val="21"/>
          <w:lang w:val="en-ZA" w:eastAsia="en-ZA"/>
        </w:rPr>
        <w:t xml:space="preserve">GRAP} </w:t>
      </w:r>
      <w:r w:rsidRPr="00BB5C77">
        <w:rPr>
          <w:rFonts w:ascii="Arial" w:eastAsia="Arial" w:hAnsi="Arial" w:cs="Arial"/>
          <w:color w:val="0A0A0A"/>
          <w:spacing w:val="31"/>
          <w:sz w:val="21"/>
          <w:szCs w:val="21"/>
          <w:lang w:val="en-ZA" w:eastAsia="en-ZA"/>
        </w:rPr>
        <w:t xml:space="preserve"> </w:t>
      </w:r>
      <w:r w:rsidRPr="00BB5C77">
        <w:rPr>
          <w:rFonts w:ascii="Arial" w:eastAsia="Arial" w:hAnsi="Arial" w:cs="Arial"/>
          <w:color w:val="0A0A0A"/>
          <w:sz w:val="21"/>
          <w:szCs w:val="21"/>
          <w:lang w:val="en-ZA" w:eastAsia="en-ZA"/>
        </w:rPr>
        <w:t>and</w:t>
      </w:r>
      <w:r w:rsidRPr="00BB5C77">
        <w:rPr>
          <w:rFonts w:ascii="Arial" w:eastAsia="Arial" w:hAnsi="Arial" w:cs="Arial"/>
          <w:color w:val="0A0A0A"/>
          <w:spacing w:val="10"/>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21"/>
          <w:sz w:val="21"/>
          <w:szCs w:val="21"/>
          <w:lang w:val="en-ZA" w:eastAsia="en-ZA"/>
        </w:rPr>
        <w:t xml:space="preserve"> </w:t>
      </w:r>
      <w:r w:rsidRPr="00BB5C77">
        <w:rPr>
          <w:rFonts w:ascii="Arial" w:eastAsia="Arial" w:hAnsi="Arial" w:cs="Arial"/>
          <w:color w:val="0A0A0A"/>
          <w:sz w:val="21"/>
          <w:szCs w:val="21"/>
          <w:lang w:val="en-ZA" w:eastAsia="en-ZA"/>
        </w:rPr>
        <w:t xml:space="preserve">requirements </w:t>
      </w:r>
      <w:r w:rsidRPr="00BB5C77">
        <w:rPr>
          <w:rFonts w:ascii="Arial" w:eastAsia="Arial" w:hAnsi="Arial" w:cs="Arial"/>
          <w:color w:val="0A0A0A"/>
          <w:spacing w:val="1"/>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14"/>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5"/>
          <w:sz w:val="21"/>
          <w:szCs w:val="21"/>
          <w:lang w:val="en-ZA" w:eastAsia="en-ZA"/>
        </w:rPr>
        <w:t xml:space="preserve"> </w:t>
      </w:r>
      <w:r w:rsidRPr="00BB5C77">
        <w:rPr>
          <w:rFonts w:ascii="Arial" w:eastAsia="Arial" w:hAnsi="Arial" w:cs="Arial"/>
          <w:color w:val="0A0A0A"/>
          <w:sz w:val="21"/>
          <w:szCs w:val="21"/>
          <w:lang w:val="en-ZA" w:eastAsia="en-ZA"/>
        </w:rPr>
        <w:t>Municipal</w:t>
      </w:r>
      <w:r w:rsidRPr="00BB5C77">
        <w:rPr>
          <w:rFonts w:ascii="Arial" w:eastAsia="Arial" w:hAnsi="Arial" w:cs="Arial"/>
          <w:color w:val="0A0A0A"/>
          <w:spacing w:val="24"/>
          <w:sz w:val="21"/>
          <w:szCs w:val="21"/>
          <w:lang w:val="en-ZA" w:eastAsia="en-ZA"/>
        </w:rPr>
        <w:t xml:space="preserve"> </w:t>
      </w:r>
      <w:r w:rsidRPr="00BB5C77">
        <w:rPr>
          <w:rFonts w:ascii="Arial" w:eastAsia="Arial" w:hAnsi="Arial" w:cs="Arial"/>
          <w:color w:val="0A0A0A"/>
          <w:sz w:val="21"/>
          <w:szCs w:val="21"/>
          <w:lang w:val="en-ZA" w:eastAsia="en-ZA"/>
        </w:rPr>
        <w:t>Finance</w:t>
      </w:r>
      <w:r w:rsidRPr="00BB5C77">
        <w:rPr>
          <w:rFonts w:ascii="Arial" w:eastAsia="Arial" w:hAnsi="Arial" w:cs="Arial"/>
          <w:color w:val="0A0A0A"/>
          <w:spacing w:val="33"/>
          <w:sz w:val="21"/>
          <w:szCs w:val="21"/>
          <w:lang w:val="en-ZA" w:eastAsia="en-ZA"/>
        </w:rPr>
        <w:t xml:space="preserve"> </w:t>
      </w:r>
      <w:r w:rsidRPr="00BB5C77">
        <w:rPr>
          <w:rFonts w:ascii="Arial" w:eastAsia="Arial" w:hAnsi="Arial" w:cs="Arial"/>
          <w:color w:val="0A0A0A"/>
          <w:w w:val="105"/>
          <w:sz w:val="21"/>
          <w:szCs w:val="21"/>
          <w:lang w:val="en-ZA" w:eastAsia="en-ZA"/>
        </w:rPr>
        <w:t>Management</w:t>
      </w:r>
      <w:r w:rsidRPr="00BB5C77">
        <w:rPr>
          <w:rFonts w:ascii="Arial" w:eastAsia="Arial" w:hAnsi="Arial" w:cs="Arial"/>
          <w:color w:val="0A0A0A"/>
          <w:spacing w:val="-2"/>
          <w:w w:val="105"/>
          <w:sz w:val="21"/>
          <w:szCs w:val="21"/>
          <w:lang w:val="en-ZA" w:eastAsia="en-ZA"/>
        </w:rPr>
        <w:t xml:space="preserve"> </w:t>
      </w:r>
      <w:r w:rsidRPr="00BB5C77">
        <w:rPr>
          <w:rFonts w:ascii="Arial" w:eastAsia="Arial" w:hAnsi="Arial" w:cs="Arial"/>
          <w:color w:val="0A0A0A"/>
          <w:sz w:val="21"/>
          <w:szCs w:val="21"/>
          <w:lang w:val="en-ZA" w:eastAsia="en-ZA"/>
        </w:rPr>
        <w:t>Act</w:t>
      </w:r>
      <w:r w:rsidRPr="00BB5C77">
        <w:rPr>
          <w:rFonts w:ascii="Arial" w:eastAsia="Arial" w:hAnsi="Arial" w:cs="Arial"/>
          <w:color w:val="0A0A0A"/>
          <w:spacing w:val="14"/>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7"/>
          <w:sz w:val="21"/>
          <w:szCs w:val="21"/>
          <w:lang w:val="en-ZA" w:eastAsia="en-ZA"/>
        </w:rPr>
        <w:t xml:space="preserve"> </w:t>
      </w:r>
      <w:r w:rsidRPr="00BB5C77">
        <w:rPr>
          <w:rFonts w:ascii="Arial" w:eastAsia="Arial" w:hAnsi="Arial" w:cs="Arial"/>
          <w:color w:val="0A0A0A"/>
          <w:sz w:val="21"/>
          <w:szCs w:val="21"/>
          <w:lang w:val="en-ZA" w:eastAsia="en-ZA"/>
        </w:rPr>
        <w:t>South</w:t>
      </w:r>
      <w:r w:rsidRPr="00BB5C77">
        <w:rPr>
          <w:rFonts w:ascii="Arial" w:eastAsia="Arial" w:hAnsi="Arial" w:cs="Arial"/>
          <w:color w:val="0A0A0A"/>
          <w:spacing w:val="24"/>
          <w:sz w:val="21"/>
          <w:szCs w:val="21"/>
          <w:lang w:val="en-ZA" w:eastAsia="en-ZA"/>
        </w:rPr>
        <w:t xml:space="preserve"> </w:t>
      </w:r>
      <w:r w:rsidRPr="00BB5C77">
        <w:rPr>
          <w:rFonts w:ascii="Arial" w:eastAsia="Arial" w:hAnsi="Arial" w:cs="Arial"/>
          <w:color w:val="0A0A0A"/>
          <w:w w:val="106"/>
          <w:sz w:val="21"/>
          <w:szCs w:val="21"/>
          <w:lang w:val="en-ZA" w:eastAsia="en-ZA"/>
        </w:rPr>
        <w:t>Africa,</w:t>
      </w:r>
    </w:p>
    <w:p w14:paraId="644FCC6B" w14:textId="77777777" w:rsidR="00BB5C77" w:rsidRPr="00BB5C77" w:rsidRDefault="00BB5C77" w:rsidP="00BB5C77">
      <w:pPr>
        <w:spacing w:before="2" w:after="0" w:line="240" w:lineRule="auto"/>
        <w:ind w:left="601" w:right="-20"/>
        <w:jc w:val="both"/>
        <w:rPr>
          <w:rFonts w:ascii="Arial" w:eastAsia="Arial" w:hAnsi="Arial" w:cs="Arial"/>
          <w:sz w:val="21"/>
          <w:szCs w:val="21"/>
          <w:lang w:val="en-ZA" w:eastAsia="en-ZA"/>
        </w:rPr>
      </w:pPr>
      <w:r w:rsidRPr="00BB5C77">
        <w:rPr>
          <w:rFonts w:ascii="Arial" w:eastAsia="Arial" w:hAnsi="Arial" w:cs="Arial"/>
          <w:color w:val="0A0A0A"/>
          <w:sz w:val="21"/>
          <w:szCs w:val="21"/>
          <w:lang w:val="en-ZA" w:eastAsia="en-ZA"/>
        </w:rPr>
        <w:t>2003</w:t>
      </w:r>
      <w:r w:rsidRPr="00BB5C77">
        <w:rPr>
          <w:rFonts w:ascii="Arial" w:eastAsia="Arial" w:hAnsi="Arial" w:cs="Arial"/>
          <w:color w:val="0A0A0A"/>
          <w:spacing w:val="16"/>
          <w:sz w:val="21"/>
          <w:szCs w:val="21"/>
          <w:lang w:val="en-ZA" w:eastAsia="en-ZA"/>
        </w:rPr>
        <w:t xml:space="preserve"> </w:t>
      </w:r>
      <w:r w:rsidRPr="00BB5C77">
        <w:rPr>
          <w:rFonts w:ascii="Arial" w:eastAsia="Arial" w:hAnsi="Arial" w:cs="Arial"/>
          <w:color w:val="0A0A0A"/>
          <w:sz w:val="21"/>
          <w:szCs w:val="21"/>
          <w:lang w:val="en-ZA" w:eastAsia="en-ZA"/>
        </w:rPr>
        <w:t>(Act</w:t>
      </w:r>
      <w:r w:rsidRPr="00BB5C77">
        <w:rPr>
          <w:rFonts w:ascii="Arial" w:eastAsia="Arial" w:hAnsi="Arial" w:cs="Arial"/>
          <w:color w:val="0A0A0A"/>
          <w:spacing w:val="22"/>
          <w:sz w:val="21"/>
          <w:szCs w:val="21"/>
          <w:lang w:val="en-ZA" w:eastAsia="en-ZA"/>
        </w:rPr>
        <w:t xml:space="preserve"> </w:t>
      </w:r>
      <w:r w:rsidRPr="00BB5C77">
        <w:rPr>
          <w:rFonts w:ascii="Arial" w:eastAsia="Arial" w:hAnsi="Arial" w:cs="Arial"/>
          <w:color w:val="0A0A0A"/>
          <w:w w:val="113"/>
          <w:sz w:val="21"/>
          <w:szCs w:val="21"/>
          <w:lang w:val="en-ZA" w:eastAsia="en-ZA"/>
        </w:rPr>
        <w:t>N</w:t>
      </w:r>
      <w:r w:rsidRPr="00BB5C77">
        <w:rPr>
          <w:rFonts w:ascii="Arial" w:eastAsia="Arial" w:hAnsi="Arial" w:cs="Arial"/>
          <w:color w:val="0A0A0A"/>
          <w:spacing w:val="-7"/>
          <w:w w:val="113"/>
          <w:sz w:val="21"/>
          <w:szCs w:val="21"/>
          <w:lang w:val="en-ZA" w:eastAsia="en-ZA"/>
        </w:rPr>
        <w:t>o</w:t>
      </w:r>
      <w:r w:rsidRPr="00BB5C77">
        <w:rPr>
          <w:rFonts w:ascii="Arial" w:eastAsia="Arial" w:hAnsi="Arial" w:cs="Arial"/>
          <w:color w:val="242424"/>
          <w:w w:val="113"/>
          <w:sz w:val="21"/>
          <w:szCs w:val="21"/>
          <w:lang w:val="en-ZA" w:eastAsia="en-ZA"/>
        </w:rPr>
        <w:t>.</w:t>
      </w:r>
      <w:r w:rsidRPr="00BB5C77">
        <w:rPr>
          <w:rFonts w:ascii="Arial" w:eastAsia="Arial" w:hAnsi="Arial" w:cs="Arial"/>
          <w:color w:val="242424"/>
          <w:spacing w:val="-20"/>
          <w:w w:val="113"/>
          <w:sz w:val="21"/>
          <w:szCs w:val="21"/>
          <w:lang w:val="en-ZA" w:eastAsia="en-ZA"/>
        </w:rPr>
        <w:t xml:space="preserve"> </w:t>
      </w:r>
      <w:r w:rsidRPr="00BB5C77">
        <w:rPr>
          <w:rFonts w:ascii="Arial" w:eastAsia="Arial" w:hAnsi="Arial" w:cs="Arial"/>
          <w:color w:val="0A0A0A"/>
          <w:sz w:val="21"/>
          <w:szCs w:val="21"/>
          <w:lang w:val="en-ZA" w:eastAsia="en-ZA"/>
        </w:rPr>
        <w:t>56</w:t>
      </w:r>
      <w:r w:rsidRPr="00BB5C77">
        <w:rPr>
          <w:rFonts w:ascii="Arial" w:eastAsia="Arial" w:hAnsi="Arial" w:cs="Arial"/>
          <w:color w:val="0A0A0A"/>
          <w:spacing w:val="8"/>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12"/>
          <w:sz w:val="21"/>
          <w:szCs w:val="21"/>
          <w:lang w:val="en-ZA" w:eastAsia="en-ZA"/>
        </w:rPr>
        <w:t xml:space="preserve"> </w:t>
      </w:r>
      <w:r w:rsidRPr="00BB5C77">
        <w:rPr>
          <w:rFonts w:ascii="Arial" w:eastAsia="Arial" w:hAnsi="Arial" w:cs="Arial"/>
          <w:color w:val="0A0A0A"/>
          <w:sz w:val="21"/>
          <w:szCs w:val="21"/>
          <w:lang w:val="en-ZA" w:eastAsia="en-ZA"/>
        </w:rPr>
        <w:t>2003)</w:t>
      </w:r>
      <w:r w:rsidRPr="00BB5C77">
        <w:rPr>
          <w:rFonts w:ascii="Arial" w:eastAsia="Arial" w:hAnsi="Arial" w:cs="Arial"/>
          <w:color w:val="0A0A0A"/>
          <w:spacing w:val="22"/>
          <w:sz w:val="21"/>
          <w:szCs w:val="21"/>
          <w:lang w:val="en-ZA" w:eastAsia="en-ZA"/>
        </w:rPr>
        <w:t xml:space="preserve"> </w:t>
      </w:r>
      <w:r w:rsidRPr="00BB5C77">
        <w:rPr>
          <w:rFonts w:ascii="Arial" w:eastAsia="Arial" w:hAnsi="Arial" w:cs="Arial"/>
          <w:color w:val="0A0A0A"/>
          <w:sz w:val="21"/>
          <w:szCs w:val="21"/>
          <w:lang w:val="en-ZA" w:eastAsia="en-ZA"/>
        </w:rPr>
        <w:t>(MFMA}</w:t>
      </w:r>
      <w:r w:rsidRPr="00BB5C77">
        <w:rPr>
          <w:rFonts w:ascii="Arial" w:eastAsia="Arial" w:hAnsi="Arial" w:cs="Arial"/>
          <w:color w:val="0A0A0A"/>
          <w:spacing w:val="39"/>
          <w:sz w:val="21"/>
          <w:szCs w:val="21"/>
          <w:lang w:val="en-ZA" w:eastAsia="en-ZA"/>
        </w:rPr>
        <w:t xml:space="preserve"> </w:t>
      </w:r>
      <w:r w:rsidRPr="00BB5C77">
        <w:rPr>
          <w:rFonts w:ascii="Arial" w:eastAsia="Arial" w:hAnsi="Arial" w:cs="Arial"/>
          <w:color w:val="0A0A0A"/>
          <w:sz w:val="21"/>
          <w:szCs w:val="21"/>
          <w:lang w:val="en-ZA" w:eastAsia="en-ZA"/>
        </w:rPr>
        <w:t>and</w:t>
      </w:r>
      <w:r w:rsidRPr="00BB5C77">
        <w:rPr>
          <w:rFonts w:ascii="Arial" w:eastAsia="Arial" w:hAnsi="Arial" w:cs="Arial"/>
          <w:color w:val="0A0A0A"/>
          <w:spacing w:val="7"/>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9"/>
          <w:sz w:val="21"/>
          <w:szCs w:val="21"/>
          <w:lang w:val="en-ZA" w:eastAsia="en-ZA"/>
        </w:rPr>
        <w:t xml:space="preserve"> </w:t>
      </w:r>
      <w:r w:rsidRPr="00BB5C77">
        <w:rPr>
          <w:rFonts w:ascii="Arial" w:eastAsia="Arial" w:hAnsi="Arial" w:cs="Arial"/>
          <w:color w:val="0A0A0A"/>
          <w:sz w:val="21"/>
          <w:szCs w:val="21"/>
          <w:lang w:val="en-ZA" w:eastAsia="en-ZA"/>
        </w:rPr>
        <w:t>Division</w:t>
      </w:r>
      <w:r w:rsidRPr="00BB5C77">
        <w:rPr>
          <w:rFonts w:ascii="Arial" w:eastAsia="Arial" w:hAnsi="Arial" w:cs="Arial"/>
          <w:color w:val="0A0A0A"/>
          <w:spacing w:val="25"/>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15"/>
          <w:sz w:val="21"/>
          <w:szCs w:val="21"/>
          <w:lang w:val="en-ZA" w:eastAsia="en-ZA"/>
        </w:rPr>
        <w:t xml:space="preserve"> </w:t>
      </w:r>
      <w:r w:rsidRPr="00BB5C77">
        <w:rPr>
          <w:rFonts w:ascii="Arial" w:eastAsia="Arial" w:hAnsi="Arial" w:cs="Arial"/>
          <w:color w:val="0A0A0A"/>
          <w:sz w:val="21"/>
          <w:szCs w:val="21"/>
          <w:lang w:val="en-ZA" w:eastAsia="en-ZA"/>
        </w:rPr>
        <w:t>Revenue</w:t>
      </w:r>
      <w:r w:rsidRPr="00BB5C77">
        <w:rPr>
          <w:rFonts w:ascii="Arial" w:eastAsia="Arial" w:hAnsi="Arial" w:cs="Arial"/>
          <w:color w:val="0A0A0A"/>
          <w:spacing w:val="54"/>
          <w:sz w:val="21"/>
          <w:szCs w:val="21"/>
          <w:lang w:val="en-ZA" w:eastAsia="en-ZA"/>
        </w:rPr>
        <w:t xml:space="preserve"> </w:t>
      </w:r>
      <w:r w:rsidRPr="00BB5C77">
        <w:rPr>
          <w:rFonts w:ascii="Arial" w:eastAsia="Arial" w:hAnsi="Arial" w:cs="Arial"/>
          <w:color w:val="0A0A0A"/>
          <w:sz w:val="21"/>
          <w:szCs w:val="21"/>
          <w:lang w:val="en-ZA" w:eastAsia="en-ZA"/>
        </w:rPr>
        <w:t>Act</w:t>
      </w:r>
      <w:r w:rsidRPr="00BB5C77">
        <w:rPr>
          <w:rFonts w:ascii="Arial" w:eastAsia="Arial" w:hAnsi="Arial" w:cs="Arial"/>
          <w:color w:val="0A0A0A"/>
          <w:spacing w:val="7"/>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8"/>
          <w:sz w:val="21"/>
          <w:szCs w:val="21"/>
          <w:lang w:val="en-ZA" w:eastAsia="en-ZA"/>
        </w:rPr>
        <w:t xml:space="preserve"> </w:t>
      </w:r>
      <w:r w:rsidRPr="00BB5C77">
        <w:rPr>
          <w:rFonts w:ascii="Arial" w:eastAsia="Arial" w:hAnsi="Arial" w:cs="Arial"/>
          <w:color w:val="0A0A0A"/>
          <w:sz w:val="21"/>
          <w:szCs w:val="21"/>
          <w:lang w:val="en-ZA" w:eastAsia="en-ZA"/>
        </w:rPr>
        <w:t>South</w:t>
      </w:r>
      <w:r w:rsidRPr="00BB5C77">
        <w:rPr>
          <w:rFonts w:ascii="Arial" w:eastAsia="Arial" w:hAnsi="Arial" w:cs="Arial"/>
          <w:color w:val="0A0A0A"/>
          <w:spacing w:val="19"/>
          <w:sz w:val="21"/>
          <w:szCs w:val="21"/>
          <w:lang w:val="en-ZA" w:eastAsia="en-ZA"/>
        </w:rPr>
        <w:t xml:space="preserve"> </w:t>
      </w:r>
      <w:r w:rsidRPr="00BB5C77">
        <w:rPr>
          <w:rFonts w:ascii="Arial" w:eastAsia="Arial" w:hAnsi="Arial" w:cs="Arial"/>
          <w:color w:val="0A0A0A"/>
          <w:w w:val="104"/>
          <w:sz w:val="21"/>
          <w:szCs w:val="21"/>
          <w:lang w:val="en-ZA" w:eastAsia="en-ZA"/>
        </w:rPr>
        <w:t>Africa,</w:t>
      </w:r>
    </w:p>
    <w:p w14:paraId="64620886" w14:textId="77777777" w:rsidR="00BB5C77" w:rsidRPr="00BB5C77" w:rsidRDefault="00BB5C77" w:rsidP="00BB5C77">
      <w:pPr>
        <w:spacing w:before="9" w:after="0" w:line="240" w:lineRule="auto"/>
        <w:ind w:left="601" w:right="-20"/>
        <w:jc w:val="both"/>
        <w:rPr>
          <w:rFonts w:ascii="Arial" w:eastAsia="Arial" w:hAnsi="Arial" w:cs="Arial"/>
          <w:sz w:val="21"/>
          <w:szCs w:val="21"/>
          <w:lang w:val="en-ZA" w:eastAsia="en-ZA"/>
        </w:rPr>
      </w:pPr>
      <w:r w:rsidRPr="00BB5C77">
        <w:rPr>
          <w:rFonts w:ascii="Arial" w:eastAsia="Arial" w:hAnsi="Arial" w:cs="Arial"/>
          <w:color w:val="0A0A0A"/>
          <w:sz w:val="21"/>
          <w:szCs w:val="21"/>
          <w:lang w:val="en-ZA" w:eastAsia="en-ZA"/>
        </w:rPr>
        <w:t>2016</w:t>
      </w:r>
      <w:r w:rsidRPr="00BB5C77">
        <w:rPr>
          <w:rFonts w:ascii="Arial" w:eastAsia="Arial" w:hAnsi="Arial" w:cs="Arial"/>
          <w:color w:val="0A0A0A"/>
          <w:spacing w:val="16"/>
          <w:sz w:val="21"/>
          <w:szCs w:val="21"/>
          <w:lang w:val="en-ZA" w:eastAsia="en-ZA"/>
        </w:rPr>
        <w:t xml:space="preserve"> </w:t>
      </w:r>
      <w:r w:rsidRPr="00BB5C77">
        <w:rPr>
          <w:rFonts w:ascii="Arial" w:eastAsia="Arial" w:hAnsi="Arial" w:cs="Arial"/>
          <w:color w:val="0A0A0A"/>
          <w:sz w:val="21"/>
          <w:szCs w:val="21"/>
          <w:lang w:val="en-ZA" w:eastAsia="en-ZA"/>
        </w:rPr>
        <w:t>(Act</w:t>
      </w:r>
      <w:r w:rsidRPr="00BB5C77">
        <w:rPr>
          <w:rFonts w:ascii="Arial" w:eastAsia="Arial" w:hAnsi="Arial" w:cs="Arial"/>
          <w:color w:val="0A0A0A"/>
          <w:spacing w:val="22"/>
          <w:sz w:val="21"/>
          <w:szCs w:val="21"/>
          <w:lang w:val="en-ZA" w:eastAsia="en-ZA"/>
        </w:rPr>
        <w:t xml:space="preserve"> </w:t>
      </w:r>
      <w:r w:rsidRPr="00BB5C77">
        <w:rPr>
          <w:rFonts w:ascii="Arial" w:eastAsia="Arial" w:hAnsi="Arial" w:cs="Arial"/>
          <w:color w:val="0A0A0A"/>
          <w:w w:val="116"/>
          <w:sz w:val="21"/>
          <w:szCs w:val="21"/>
          <w:lang w:val="en-ZA" w:eastAsia="en-ZA"/>
        </w:rPr>
        <w:t>N</w:t>
      </w:r>
      <w:r w:rsidRPr="00BB5C77">
        <w:rPr>
          <w:rFonts w:ascii="Arial" w:eastAsia="Arial" w:hAnsi="Arial" w:cs="Arial"/>
          <w:color w:val="0A0A0A"/>
          <w:spacing w:val="-17"/>
          <w:w w:val="116"/>
          <w:sz w:val="21"/>
          <w:szCs w:val="21"/>
          <w:lang w:val="en-ZA" w:eastAsia="en-ZA"/>
        </w:rPr>
        <w:t>o</w:t>
      </w:r>
      <w:r w:rsidRPr="00BB5C77">
        <w:rPr>
          <w:rFonts w:ascii="Arial" w:eastAsia="Arial" w:hAnsi="Arial" w:cs="Arial"/>
          <w:color w:val="4D4D4D"/>
          <w:w w:val="116"/>
          <w:sz w:val="21"/>
          <w:szCs w:val="21"/>
          <w:lang w:val="en-ZA" w:eastAsia="en-ZA"/>
        </w:rPr>
        <w:t>.</w:t>
      </w:r>
      <w:r w:rsidRPr="00BB5C77">
        <w:rPr>
          <w:rFonts w:ascii="Arial" w:eastAsia="Arial" w:hAnsi="Arial" w:cs="Arial"/>
          <w:color w:val="4D4D4D"/>
          <w:spacing w:val="-22"/>
          <w:w w:val="116"/>
          <w:sz w:val="21"/>
          <w:szCs w:val="21"/>
          <w:lang w:val="en-ZA" w:eastAsia="en-ZA"/>
        </w:rPr>
        <w:t xml:space="preserve"> </w:t>
      </w:r>
      <w:r w:rsidRPr="00BB5C77">
        <w:rPr>
          <w:rFonts w:ascii="Arial" w:eastAsia="Arial" w:hAnsi="Arial" w:cs="Arial"/>
          <w:color w:val="0A0A0A"/>
          <w:sz w:val="21"/>
          <w:szCs w:val="21"/>
          <w:lang w:val="en-ZA" w:eastAsia="en-ZA"/>
        </w:rPr>
        <w:t>3</w:t>
      </w:r>
      <w:r w:rsidRPr="00BB5C77">
        <w:rPr>
          <w:rFonts w:ascii="Arial" w:eastAsia="Arial" w:hAnsi="Arial" w:cs="Arial"/>
          <w:color w:val="0A0A0A"/>
          <w:spacing w:val="-2"/>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19"/>
          <w:sz w:val="21"/>
          <w:szCs w:val="21"/>
          <w:lang w:val="en-ZA" w:eastAsia="en-ZA"/>
        </w:rPr>
        <w:t xml:space="preserve"> </w:t>
      </w:r>
      <w:r w:rsidRPr="00BB5C77">
        <w:rPr>
          <w:rFonts w:ascii="Arial" w:eastAsia="Arial" w:hAnsi="Arial" w:cs="Arial"/>
          <w:color w:val="0A0A0A"/>
          <w:sz w:val="21"/>
          <w:szCs w:val="21"/>
          <w:lang w:val="en-ZA" w:eastAsia="en-ZA"/>
        </w:rPr>
        <w:t>2016}</w:t>
      </w:r>
      <w:r w:rsidRPr="00BB5C77">
        <w:rPr>
          <w:rFonts w:ascii="Arial" w:eastAsia="Arial" w:hAnsi="Arial" w:cs="Arial"/>
          <w:color w:val="0A0A0A"/>
          <w:spacing w:val="15"/>
          <w:sz w:val="21"/>
          <w:szCs w:val="21"/>
          <w:lang w:val="en-ZA" w:eastAsia="en-ZA"/>
        </w:rPr>
        <w:t xml:space="preserve"> </w:t>
      </w:r>
      <w:r w:rsidRPr="00BB5C77">
        <w:rPr>
          <w:rFonts w:ascii="Arial" w:eastAsia="Arial" w:hAnsi="Arial" w:cs="Arial"/>
          <w:color w:val="0A0A0A"/>
          <w:w w:val="109"/>
          <w:sz w:val="21"/>
          <w:szCs w:val="21"/>
          <w:lang w:val="en-ZA" w:eastAsia="en-ZA"/>
        </w:rPr>
        <w:t>(</w:t>
      </w:r>
      <w:r w:rsidRPr="00BB5C77">
        <w:rPr>
          <w:rFonts w:ascii="Arial" w:eastAsia="Arial" w:hAnsi="Arial" w:cs="Arial"/>
          <w:color w:val="0A0A0A"/>
          <w:w w:val="108"/>
          <w:sz w:val="21"/>
          <w:szCs w:val="21"/>
          <w:lang w:val="en-ZA" w:eastAsia="en-ZA"/>
        </w:rPr>
        <w:t>DoRA</w:t>
      </w:r>
      <w:r w:rsidRPr="00BB5C77">
        <w:rPr>
          <w:rFonts w:ascii="Arial" w:eastAsia="Arial" w:hAnsi="Arial" w:cs="Arial"/>
          <w:color w:val="0A0A0A"/>
          <w:spacing w:val="-19"/>
          <w:w w:val="109"/>
          <w:sz w:val="21"/>
          <w:szCs w:val="21"/>
          <w:lang w:val="en-ZA" w:eastAsia="en-ZA"/>
        </w:rPr>
        <w:t>)</w:t>
      </w:r>
      <w:r w:rsidRPr="00BB5C77">
        <w:rPr>
          <w:rFonts w:ascii="Arial" w:eastAsia="Arial" w:hAnsi="Arial" w:cs="Arial"/>
          <w:color w:val="242424"/>
          <w:w w:val="135"/>
          <w:sz w:val="21"/>
          <w:szCs w:val="21"/>
          <w:lang w:val="en-ZA" w:eastAsia="en-ZA"/>
        </w:rPr>
        <w:t>.</w:t>
      </w:r>
    </w:p>
    <w:p w14:paraId="1FEDECDA" w14:textId="77777777" w:rsidR="00BB5C77" w:rsidRPr="00BB5C77" w:rsidRDefault="00BB5C77" w:rsidP="00BB5C77">
      <w:pPr>
        <w:spacing w:before="2" w:after="0" w:line="150" w:lineRule="exact"/>
        <w:jc w:val="both"/>
        <w:rPr>
          <w:rFonts w:eastAsia="Times New Roman" w:cs="Times New Roman"/>
          <w:sz w:val="15"/>
          <w:szCs w:val="15"/>
          <w:lang w:val="en-ZA" w:eastAsia="en-ZA"/>
        </w:rPr>
      </w:pPr>
    </w:p>
    <w:p w14:paraId="05A41774" w14:textId="77777777" w:rsidR="00BB5C77" w:rsidRPr="00BB5C77" w:rsidRDefault="00BB5C77" w:rsidP="00BB5C77">
      <w:pPr>
        <w:spacing w:after="0" w:line="200" w:lineRule="exact"/>
        <w:jc w:val="both"/>
        <w:rPr>
          <w:rFonts w:eastAsia="Times New Roman" w:cs="Times New Roman"/>
          <w:szCs w:val="20"/>
          <w:lang w:val="en-ZA" w:eastAsia="en-ZA"/>
        </w:rPr>
      </w:pPr>
    </w:p>
    <w:p w14:paraId="03246FB9" w14:textId="77777777" w:rsidR="00BB5C77" w:rsidRPr="00BB5C77" w:rsidRDefault="00BB5C77" w:rsidP="00BB5C77">
      <w:pPr>
        <w:spacing w:after="0" w:line="240" w:lineRule="auto"/>
        <w:ind w:left="251" w:right="-20"/>
        <w:jc w:val="both"/>
        <w:rPr>
          <w:rFonts w:ascii="Arial" w:eastAsia="Arial" w:hAnsi="Arial" w:cs="Arial"/>
          <w:sz w:val="25"/>
          <w:szCs w:val="25"/>
          <w:lang w:val="en-ZA" w:eastAsia="en-ZA"/>
        </w:rPr>
      </w:pPr>
      <w:r w:rsidRPr="00BB5C77">
        <w:rPr>
          <w:rFonts w:ascii="Arial" w:eastAsia="Arial" w:hAnsi="Arial" w:cs="Arial"/>
          <w:color w:val="242424"/>
          <w:sz w:val="25"/>
          <w:szCs w:val="25"/>
          <w:lang w:val="en-ZA" w:eastAsia="en-ZA"/>
        </w:rPr>
        <w:t>Basis</w:t>
      </w:r>
      <w:r w:rsidRPr="00BB5C77">
        <w:rPr>
          <w:rFonts w:ascii="Arial" w:eastAsia="Arial" w:hAnsi="Arial" w:cs="Arial"/>
          <w:color w:val="242424"/>
          <w:spacing w:val="33"/>
          <w:sz w:val="25"/>
          <w:szCs w:val="25"/>
          <w:lang w:val="en-ZA" w:eastAsia="en-ZA"/>
        </w:rPr>
        <w:t xml:space="preserve"> </w:t>
      </w:r>
      <w:r w:rsidRPr="00BB5C77">
        <w:rPr>
          <w:rFonts w:ascii="Arial" w:eastAsia="Arial" w:hAnsi="Arial" w:cs="Arial"/>
          <w:color w:val="242424"/>
          <w:sz w:val="25"/>
          <w:szCs w:val="25"/>
          <w:lang w:val="en-ZA" w:eastAsia="en-ZA"/>
        </w:rPr>
        <w:t>for</w:t>
      </w:r>
      <w:r w:rsidRPr="00BB5C77">
        <w:rPr>
          <w:rFonts w:ascii="Arial" w:eastAsia="Arial" w:hAnsi="Arial" w:cs="Arial"/>
          <w:color w:val="242424"/>
          <w:spacing w:val="10"/>
          <w:sz w:val="25"/>
          <w:szCs w:val="25"/>
          <w:lang w:val="en-ZA" w:eastAsia="en-ZA"/>
        </w:rPr>
        <w:t xml:space="preserve"> </w:t>
      </w:r>
      <w:r w:rsidRPr="00BB5C77">
        <w:rPr>
          <w:rFonts w:ascii="Arial" w:eastAsia="Arial" w:hAnsi="Arial" w:cs="Arial"/>
          <w:color w:val="242424"/>
          <w:w w:val="109"/>
          <w:sz w:val="25"/>
          <w:szCs w:val="25"/>
          <w:lang w:val="en-ZA" w:eastAsia="en-ZA"/>
        </w:rPr>
        <w:t>opinion</w:t>
      </w:r>
    </w:p>
    <w:p w14:paraId="27DEB0A0" w14:textId="77777777" w:rsidR="00BB5C77" w:rsidRPr="00BB5C77" w:rsidRDefault="00BB5C77" w:rsidP="00BB5C77">
      <w:pPr>
        <w:spacing w:before="19" w:after="0" w:line="240" w:lineRule="exact"/>
        <w:jc w:val="both"/>
        <w:rPr>
          <w:rFonts w:eastAsia="Times New Roman" w:cs="Times New Roman"/>
          <w:sz w:val="24"/>
          <w:szCs w:val="24"/>
          <w:lang w:val="en-ZA" w:eastAsia="en-ZA"/>
        </w:rPr>
      </w:pPr>
    </w:p>
    <w:p w14:paraId="252AA83F" w14:textId="77777777" w:rsidR="00BB5C77" w:rsidRPr="00BB5C77" w:rsidRDefault="00BB5C77" w:rsidP="00BB5C77">
      <w:pPr>
        <w:spacing w:after="0" w:line="240" w:lineRule="auto"/>
        <w:ind w:left="237" w:right="-20"/>
        <w:jc w:val="both"/>
        <w:rPr>
          <w:rFonts w:ascii="Arial" w:eastAsia="Arial" w:hAnsi="Arial" w:cs="Arial"/>
          <w:sz w:val="21"/>
          <w:szCs w:val="21"/>
          <w:lang w:val="en-ZA" w:eastAsia="en-ZA"/>
        </w:rPr>
      </w:pPr>
      <w:r w:rsidRPr="00BB5C77">
        <w:rPr>
          <w:rFonts w:ascii="Arial" w:eastAsia="Arial" w:hAnsi="Arial" w:cs="Arial"/>
          <w:color w:val="0A0A0A"/>
          <w:spacing w:val="-17"/>
          <w:w w:val="116"/>
          <w:sz w:val="21"/>
          <w:szCs w:val="21"/>
          <w:lang w:val="en-ZA" w:eastAsia="en-ZA"/>
        </w:rPr>
        <w:t>3</w:t>
      </w:r>
      <w:r w:rsidRPr="00BB5C77">
        <w:rPr>
          <w:rFonts w:ascii="Arial" w:eastAsia="Arial" w:hAnsi="Arial" w:cs="Arial"/>
          <w:color w:val="242424"/>
          <w:w w:val="203"/>
          <w:sz w:val="21"/>
          <w:szCs w:val="21"/>
          <w:lang w:val="en-ZA" w:eastAsia="en-ZA"/>
        </w:rPr>
        <w:t>.</w:t>
      </w:r>
      <w:r w:rsidRPr="00BB5C77">
        <w:rPr>
          <w:rFonts w:ascii="Arial" w:eastAsia="Arial" w:hAnsi="Arial" w:cs="Arial"/>
          <w:color w:val="242424"/>
          <w:sz w:val="21"/>
          <w:szCs w:val="21"/>
          <w:lang w:val="en-ZA" w:eastAsia="en-ZA"/>
        </w:rPr>
        <w:t xml:space="preserve"> </w:t>
      </w:r>
      <w:r w:rsidRPr="00BB5C77">
        <w:rPr>
          <w:rFonts w:ascii="Arial" w:eastAsia="Arial" w:hAnsi="Arial" w:cs="Arial"/>
          <w:color w:val="242424"/>
          <w:spacing w:val="18"/>
          <w:sz w:val="21"/>
          <w:szCs w:val="21"/>
          <w:lang w:val="en-ZA" w:eastAsia="en-ZA"/>
        </w:rPr>
        <w:t xml:space="preserve"> </w:t>
      </w:r>
      <w:r w:rsidRPr="00BB5C77">
        <w:rPr>
          <w:rFonts w:ascii="Arial" w:eastAsia="Arial" w:hAnsi="Arial" w:cs="Arial"/>
          <w:color w:val="0A0A0A"/>
          <w:w w:val="214"/>
          <w:sz w:val="21"/>
          <w:szCs w:val="21"/>
          <w:lang w:val="en-ZA" w:eastAsia="en-ZA"/>
        </w:rPr>
        <w:t xml:space="preserve">I </w:t>
      </w:r>
      <w:r w:rsidRPr="00BB5C77">
        <w:rPr>
          <w:rFonts w:ascii="Arial" w:eastAsia="Arial" w:hAnsi="Arial" w:cs="Arial"/>
          <w:color w:val="0A0A0A"/>
          <w:w w:val="105"/>
          <w:sz w:val="21"/>
          <w:szCs w:val="21"/>
          <w:lang w:val="en-ZA" w:eastAsia="en-ZA"/>
        </w:rPr>
        <w:t>conducte</w:t>
      </w:r>
      <w:r w:rsidRPr="00BB5C77">
        <w:rPr>
          <w:rFonts w:ascii="Arial" w:eastAsia="Arial" w:hAnsi="Arial" w:cs="Arial"/>
          <w:color w:val="0A0A0A"/>
          <w:w w:val="106"/>
          <w:sz w:val="21"/>
          <w:szCs w:val="21"/>
          <w:lang w:val="en-ZA" w:eastAsia="en-ZA"/>
        </w:rPr>
        <w:t>d</w:t>
      </w:r>
      <w:r w:rsidRPr="00BB5C77">
        <w:rPr>
          <w:rFonts w:ascii="Arial" w:eastAsia="Arial" w:hAnsi="Arial" w:cs="Arial"/>
          <w:color w:val="0A0A0A"/>
          <w:spacing w:val="-21"/>
          <w:sz w:val="21"/>
          <w:szCs w:val="21"/>
          <w:lang w:val="en-ZA" w:eastAsia="en-ZA"/>
        </w:rPr>
        <w:t xml:space="preserve"> </w:t>
      </w:r>
      <w:r w:rsidRPr="00BB5C77">
        <w:rPr>
          <w:rFonts w:ascii="Arial" w:eastAsia="Arial" w:hAnsi="Arial" w:cs="Arial"/>
          <w:color w:val="0A0A0A"/>
          <w:sz w:val="21"/>
          <w:szCs w:val="21"/>
          <w:lang w:val="en-ZA" w:eastAsia="en-ZA"/>
        </w:rPr>
        <w:t>my</w:t>
      </w:r>
      <w:r w:rsidRPr="00BB5C77">
        <w:rPr>
          <w:rFonts w:ascii="Arial" w:eastAsia="Arial" w:hAnsi="Arial" w:cs="Arial"/>
          <w:color w:val="0A0A0A"/>
          <w:spacing w:val="26"/>
          <w:sz w:val="21"/>
          <w:szCs w:val="21"/>
          <w:lang w:val="en-ZA" w:eastAsia="en-ZA"/>
        </w:rPr>
        <w:t xml:space="preserve"> </w:t>
      </w:r>
      <w:r w:rsidRPr="00BB5C77">
        <w:rPr>
          <w:rFonts w:ascii="Arial" w:eastAsia="Arial" w:hAnsi="Arial" w:cs="Arial"/>
          <w:color w:val="0A0A0A"/>
          <w:sz w:val="21"/>
          <w:szCs w:val="21"/>
          <w:lang w:val="en-ZA" w:eastAsia="en-ZA"/>
        </w:rPr>
        <w:t>audit</w:t>
      </w:r>
      <w:r w:rsidRPr="00BB5C77">
        <w:rPr>
          <w:rFonts w:ascii="Arial" w:eastAsia="Arial" w:hAnsi="Arial" w:cs="Arial"/>
          <w:color w:val="0A0A0A"/>
          <w:spacing w:val="24"/>
          <w:sz w:val="21"/>
          <w:szCs w:val="21"/>
          <w:lang w:val="en-ZA" w:eastAsia="en-ZA"/>
        </w:rPr>
        <w:t xml:space="preserve"> </w:t>
      </w:r>
      <w:r w:rsidRPr="00BB5C77">
        <w:rPr>
          <w:rFonts w:ascii="Arial" w:eastAsia="Arial" w:hAnsi="Arial" w:cs="Arial"/>
          <w:color w:val="0A0A0A"/>
          <w:sz w:val="21"/>
          <w:szCs w:val="21"/>
          <w:lang w:val="en-ZA" w:eastAsia="en-ZA"/>
        </w:rPr>
        <w:t>in</w:t>
      </w:r>
      <w:r w:rsidRPr="00BB5C77">
        <w:rPr>
          <w:rFonts w:ascii="Arial" w:eastAsia="Arial" w:hAnsi="Arial" w:cs="Arial"/>
          <w:color w:val="0A0A0A"/>
          <w:spacing w:val="9"/>
          <w:sz w:val="21"/>
          <w:szCs w:val="21"/>
          <w:lang w:val="en-ZA" w:eastAsia="en-ZA"/>
        </w:rPr>
        <w:t xml:space="preserve"> </w:t>
      </w:r>
      <w:r w:rsidRPr="00BB5C77">
        <w:rPr>
          <w:rFonts w:ascii="Arial" w:eastAsia="Arial" w:hAnsi="Arial" w:cs="Arial"/>
          <w:color w:val="0A0A0A"/>
          <w:w w:val="107"/>
          <w:sz w:val="21"/>
          <w:szCs w:val="21"/>
          <w:lang w:val="en-ZA" w:eastAsia="en-ZA"/>
        </w:rPr>
        <w:t>accordance</w:t>
      </w:r>
      <w:r w:rsidRPr="00BB5C77">
        <w:rPr>
          <w:rFonts w:ascii="Arial" w:eastAsia="Arial" w:hAnsi="Arial" w:cs="Arial"/>
          <w:color w:val="0A0A0A"/>
          <w:spacing w:val="-19"/>
          <w:w w:val="107"/>
          <w:sz w:val="21"/>
          <w:szCs w:val="21"/>
          <w:lang w:val="en-ZA" w:eastAsia="en-ZA"/>
        </w:rPr>
        <w:t xml:space="preserve"> </w:t>
      </w:r>
      <w:r w:rsidRPr="00BB5C77">
        <w:rPr>
          <w:rFonts w:ascii="Arial" w:eastAsia="Arial" w:hAnsi="Arial" w:cs="Arial"/>
          <w:color w:val="0A0A0A"/>
          <w:sz w:val="21"/>
          <w:szCs w:val="21"/>
          <w:lang w:val="en-ZA" w:eastAsia="en-ZA"/>
        </w:rPr>
        <w:t>with</w:t>
      </w:r>
      <w:r w:rsidRPr="00BB5C77">
        <w:rPr>
          <w:rFonts w:ascii="Arial" w:eastAsia="Arial" w:hAnsi="Arial" w:cs="Arial"/>
          <w:color w:val="0A0A0A"/>
          <w:spacing w:val="4"/>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
          <w:sz w:val="21"/>
          <w:szCs w:val="21"/>
          <w:lang w:val="en-ZA" w:eastAsia="en-ZA"/>
        </w:rPr>
        <w:t xml:space="preserve"> </w:t>
      </w:r>
      <w:r w:rsidRPr="00BB5C77">
        <w:rPr>
          <w:rFonts w:ascii="Arial" w:eastAsia="Arial" w:hAnsi="Arial" w:cs="Arial"/>
          <w:color w:val="0A0A0A"/>
          <w:sz w:val="21"/>
          <w:szCs w:val="21"/>
          <w:lang w:val="en-ZA" w:eastAsia="en-ZA"/>
        </w:rPr>
        <w:t>International</w:t>
      </w:r>
      <w:r w:rsidRPr="00BB5C77">
        <w:rPr>
          <w:rFonts w:ascii="Arial" w:eastAsia="Arial" w:hAnsi="Arial" w:cs="Arial"/>
          <w:color w:val="0A0A0A"/>
          <w:spacing w:val="43"/>
          <w:sz w:val="21"/>
          <w:szCs w:val="21"/>
          <w:lang w:val="en-ZA" w:eastAsia="en-ZA"/>
        </w:rPr>
        <w:t xml:space="preserve"> </w:t>
      </w:r>
      <w:r w:rsidRPr="00BB5C77">
        <w:rPr>
          <w:rFonts w:ascii="Arial" w:eastAsia="Arial" w:hAnsi="Arial" w:cs="Arial"/>
          <w:color w:val="0A0A0A"/>
          <w:sz w:val="21"/>
          <w:szCs w:val="21"/>
          <w:lang w:val="en-ZA" w:eastAsia="en-ZA"/>
        </w:rPr>
        <w:t>Standards</w:t>
      </w:r>
      <w:r w:rsidRPr="00BB5C77">
        <w:rPr>
          <w:rFonts w:ascii="Arial" w:eastAsia="Arial" w:hAnsi="Arial" w:cs="Arial"/>
          <w:color w:val="0A0A0A"/>
          <w:spacing w:val="32"/>
          <w:sz w:val="21"/>
          <w:szCs w:val="21"/>
          <w:lang w:val="en-ZA" w:eastAsia="en-ZA"/>
        </w:rPr>
        <w:t xml:space="preserve"> </w:t>
      </w:r>
      <w:r w:rsidRPr="00BB5C77">
        <w:rPr>
          <w:rFonts w:ascii="Arial" w:eastAsia="Arial" w:hAnsi="Arial" w:cs="Arial"/>
          <w:color w:val="0A0A0A"/>
          <w:sz w:val="21"/>
          <w:szCs w:val="21"/>
          <w:lang w:val="en-ZA" w:eastAsia="en-ZA"/>
        </w:rPr>
        <w:t>on</w:t>
      </w:r>
      <w:r w:rsidRPr="00BB5C77">
        <w:rPr>
          <w:rFonts w:ascii="Arial" w:eastAsia="Arial" w:hAnsi="Arial" w:cs="Arial"/>
          <w:color w:val="0A0A0A"/>
          <w:spacing w:val="12"/>
          <w:sz w:val="21"/>
          <w:szCs w:val="21"/>
          <w:lang w:val="en-ZA" w:eastAsia="en-ZA"/>
        </w:rPr>
        <w:t xml:space="preserve"> </w:t>
      </w:r>
      <w:r w:rsidRPr="00BB5C77">
        <w:rPr>
          <w:rFonts w:ascii="Arial" w:eastAsia="Arial" w:hAnsi="Arial" w:cs="Arial"/>
          <w:color w:val="0A0A0A"/>
          <w:sz w:val="21"/>
          <w:szCs w:val="21"/>
          <w:lang w:val="en-ZA" w:eastAsia="en-ZA"/>
        </w:rPr>
        <w:t>Auditing</w:t>
      </w:r>
      <w:r w:rsidRPr="00BB5C77">
        <w:rPr>
          <w:rFonts w:ascii="Arial" w:eastAsia="Arial" w:hAnsi="Arial" w:cs="Arial"/>
          <w:color w:val="0A0A0A"/>
          <w:spacing w:val="21"/>
          <w:sz w:val="21"/>
          <w:szCs w:val="21"/>
          <w:lang w:val="en-ZA" w:eastAsia="en-ZA"/>
        </w:rPr>
        <w:t xml:space="preserve"> </w:t>
      </w:r>
      <w:r w:rsidRPr="00BB5C77">
        <w:rPr>
          <w:rFonts w:ascii="Arial" w:eastAsia="Arial" w:hAnsi="Arial" w:cs="Arial"/>
          <w:color w:val="0A0A0A"/>
          <w:w w:val="111"/>
          <w:sz w:val="21"/>
          <w:szCs w:val="21"/>
          <w:lang w:val="en-ZA" w:eastAsia="en-ZA"/>
        </w:rPr>
        <w:t>(ISAs</w:t>
      </w:r>
      <w:r w:rsidRPr="00BB5C77">
        <w:rPr>
          <w:rFonts w:ascii="Arial" w:eastAsia="Arial" w:hAnsi="Arial" w:cs="Arial"/>
          <w:color w:val="0A0A0A"/>
          <w:spacing w:val="-21"/>
          <w:w w:val="111"/>
          <w:sz w:val="21"/>
          <w:szCs w:val="21"/>
          <w:lang w:val="en-ZA" w:eastAsia="en-ZA"/>
        </w:rPr>
        <w:t>)</w:t>
      </w:r>
      <w:r w:rsidRPr="00BB5C77">
        <w:rPr>
          <w:rFonts w:ascii="Arial" w:eastAsia="Arial" w:hAnsi="Arial" w:cs="Arial"/>
          <w:color w:val="242424"/>
          <w:w w:val="111"/>
          <w:sz w:val="21"/>
          <w:szCs w:val="21"/>
          <w:lang w:val="en-ZA" w:eastAsia="en-ZA"/>
        </w:rPr>
        <w:t>.</w:t>
      </w:r>
    </w:p>
    <w:p w14:paraId="70853341" w14:textId="77777777" w:rsidR="00BB5C77" w:rsidRPr="00BB5C77" w:rsidRDefault="00BB5C77" w:rsidP="00BB5C77">
      <w:pPr>
        <w:spacing w:before="2" w:after="0" w:line="256" w:lineRule="auto"/>
        <w:ind w:left="609" w:right="285"/>
        <w:jc w:val="both"/>
        <w:rPr>
          <w:rFonts w:ascii="Arial" w:eastAsia="Arial" w:hAnsi="Arial" w:cs="Arial"/>
          <w:sz w:val="21"/>
          <w:szCs w:val="21"/>
          <w:lang w:val="en-ZA" w:eastAsia="en-ZA"/>
        </w:rPr>
      </w:pPr>
      <w:r w:rsidRPr="00BB5C77">
        <w:rPr>
          <w:rFonts w:ascii="Arial" w:eastAsia="Arial" w:hAnsi="Arial" w:cs="Arial"/>
          <w:color w:val="0A0A0A"/>
          <w:sz w:val="21"/>
          <w:szCs w:val="21"/>
          <w:lang w:val="en-ZA" w:eastAsia="en-ZA"/>
        </w:rPr>
        <w:t>My</w:t>
      </w:r>
      <w:r w:rsidRPr="00BB5C77">
        <w:rPr>
          <w:rFonts w:ascii="Arial" w:eastAsia="Arial" w:hAnsi="Arial" w:cs="Arial"/>
          <w:color w:val="0A0A0A"/>
          <w:spacing w:val="14"/>
          <w:sz w:val="21"/>
          <w:szCs w:val="21"/>
          <w:lang w:val="en-ZA" w:eastAsia="en-ZA"/>
        </w:rPr>
        <w:t xml:space="preserve"> </w:t>
      </w:r>
      <w:r w:rsidRPr="00BB5C77">
        <w:rPr>
          <w:rFonts w:ascii="Arial" w:eastAsia="Arial" w:hAnsi="Arial" w:cs="Arial"/>
          <w:color w:val="0A0A0A"/>
          <w:sz w:val="21"/>
          <w:szCs w:val="21"/>
          <w:lang w:val="en-ZA" w:eastAsia="en-ZA"/>
        </w:rPr>
        <w:t>responsibilities</w:t>
      </w:r>
      <w:r w:rsidRPr="00BB5C77">
        <w:rPr>
          <w:rFonts w:ascii="Arial" w:eastAsia="Arial" w:hAnsi="Arial" w:cs="Arial"/>
          <w:color w:val="0A0A0A"/>
          <w:spacing w:val="54"/>
          <w:sz w:val="21"/>
          <w:szCs w:val="21"/>
          <w:lang w:val="en-ZA" w:eastAsia="en-ZA"/>
        </w:rPr>
        <w:t xml:space="preserve"> </w:t>
      </w:r>
      <w:r w:rsidRPr="00BB5C77">
        <w:rPr>
          <w:rFonts w:ascii="Arial" w:eastAsia="Arial" w:hAnsi="Arial" w:cs="Arial"/>
          <w:color w:val="0A0A0A"/>
          <w:sz w:val="21"/>
          <w:szCs w:val="21"/>
          <w:lang w:val="en-ZA" w:eastAsia="en-ZA"/>
        </w:rPr>
        <w:t>under</w:t>
      </w:r>
      <w:r w:rsidRPr="00BB5C77">
        <w:rPr>
          <w:rFonts w:ascii="Arial" w:eastAsia="Arial" w:hAnsi="Arial" w:cs="Arial"/>
          <w:color w:val="0A0A0A"/>
          <w:spacing w:val="34"/>
          <w:sz w:val="21"/>
          <w:szCs w:val="21"/>
          <w:lang w:val="en-ZA" w:eastAsia="en-ZA"/>
        </w:rPr>
        <w:t xml:space="preserve"> </w:t>
      </w:r>
      <w:r w:rsidRPr="00BB5C77">
        <w:rPr>
          <w:rFonts w:ascii="Arial" w:eastAsia="Arial" w:hAnsi="Arial" w:cs="Arial"/>
          <w:color w:val="0A0A0A"/>
          <w:sz w:val="21"/>
          <w:szCs w:val="21"/>
          <w:lang w:val="en-ZA" w:eastAsia="en-ZA"/>
        </w:rPr>
        <w:t>those</w:t>
      </w:r>
      <w:r w:rsidRPr="00BB5C77">
        <w:rPr>
          <w:rFonts w:ascii="Arial" w:eastAsia="Arial" w:hAnsi="Arial" w:cs="Arial"/>
          <w:color w:val="0A0A0A"/>
          <w:spacing w:val="24"/>
          <w:sz w:val="21"/>
          <w:szCs w:val="21"/>
          <w:lang w:val="en-ZA" w:eastAsia="en-ZA"/>
        </w:rPr>
        <w:t xml:space="preserve"> </w:t>
      </w:r>
      <w:r w:rsidRPr="00BB5C77">
        <w:rPr>
          <w:rFonts w:ascii="Arial" w:eastAsia="Arial" w:hAnsi="Arial" w:cs="Arial"/>
          <w:color w:val="0A0A0A"/>
          <w:sz w:val="21"/>
          <w:szCs w:val="21"/>
          <w:lang w:val="en-ZA" w:eastAsia="en-ZA"/>
        </w:rPr>
        <w:t>standards</w:t>
      </w:r>
      <w:r w:rsidRPr="00BB5C77">
        <w:rPr>
          <w:rFonts w:ascii="Arial" w:eastAsia="Arial" w:hAnsi="Arial" w:cs="Arial"/>
          <w:color w:val="0A0A0A"/>
          <w:spacing w:val="19"/>
          <w:sz w:val="21"/>
          <w:szCs w:val="21"/>
          <w:lang w:val="en-ZA" w:eastAsia="en-ZA"/>
        </w:rPr>
        <w:t xml:space="preserve"> </w:t>
      </w:r>
      <w:r w:rsidRPr="00BB5C77">
        <w:rPr>
          <w:rFonts w:ascii="Arial" w:eastAsia="Arial" w:hAnsi="Arial" w:cs="Arial"/>
          <w:color w:val="0A0A0A"/>
          <w:sz w:val="21"/>
          <w:szCs w:val="21"/>
          <w:lang w:val="en-ZA" w:eastAsia="en-ZA"/>
        </w:rPr>
        <w:t>are</w:t>
      </w:r>
      <w:r w:rsidRPr="00BB5C77">
        <w:rPr>
          <w:rFonts w:ascii="Arial" w:eastAsia="Arial" w:hAnsi="Arial" w:cs="Arial"/>
          <w:color w:val="0A0A0A"/>
          <w:spacing w:val="13"/>
          <w:sz w:val="21"/>
          <w:szCs w:val="21"/>
          <w:lang w:val="en-ZA" w:eastAsia="en-ZA"/>
        </w:rPr>
        <w:t xml:space="preserve"> </w:t>
      </w:r>
      <w:r w:rsidRPr="00BB5C77">
        <w:rPr>
          <w:rFonts w:ascii="Arial" w:eastAsia="Arial" w:hAnsi="Arial" w:cs="Arial"/>
          <w:color w:val="0A0A0A"/>
          <w:sz w:val="21"/>
          <w:szCs w:val="21"/>
          <w:lang w:val="en-ZA" w:eastAsia="en-ZA"/>
        </w:rPr>
        <w:t>further</w:t>
      </w:r>
      <w:r w:rsidRPr="00BB5C77">
        <w:rPr>
          <w:rFonts w:ascii="Arial" w:eastAsia="Arial" w:hAnsi="Arial" w:cs="Arial"/>
          <w:color w:val="0A0A0A"/>
          <w:spacing w:val="29"/>
          <w:sz w:val="21"/>
          <w:szCs w:val="21"/>
          <w:lang w:val="en-ZA" w:eastAsia="en-ZA"/>
        </w:rPr>
        <w:t xml:space="preserve"> </w:t>
      </w:r>
      <w:r w:rsidRPr="00BB5C77">
        <w:rPr>
          <w:rFonts w:ascii="Arial" w:eastAsia="Arial" w:hAnsi="Arial" w:cs="Arial"/>
          <w:color w:val="0A0A0A"/>
          <w:sz w:val="21"/>
          <w:szCs w:val="21"/>
          <w:lang w:val="en-ZA" w:eastAsia="en-ZA"/>
        </w:rPr>
        <w:t>described</w:t>
      </w:r>
      <w:r w:rsidRPr="00BB5C77">
        <w:rPr>
          <w:rFonts w:ascii="Arial" w:eastAsia="Arial" w:hAnsi="Arial" w:cs="Arial"/>
          <w:color w:val="0A0A0A"/>
          <w:spacing w:val="52"/>
          <w:sz w:val="21"/>
          <w:szCs w:val="21"/>
          <w:lang w:val="en-ZA" w:eastAsia="en-ZA"/>
        </w:rPr>
        <w:t xml:space="preserve"> </w:t>
      </w:r>
      <w:r w:rsidRPr="00BB5C77">
        <w:rPr>
          <w:rFonts w:ascii="Arial" w:eastAsia="Arial" w:hAnsi="Arial" w:cs="Arial"/>
          <w:color w:val="0A0A0A"/>
          <w:sz w:val="21"/>
          <w:szCs w:val="21"/>
          <w:lang w:val="en-ZA" w:eastAsia="en-ZA"/>
        </w:rPr>
        <w:t>in</w:t>
      </w:r>
      <w:r w:rsidRPr="00BB5C77">
        <w:rPr>
          <w:rFonts w:ascii="Arial" w:eastAsia="Arial" w:hAnsi="Arial" w:cs="Arial"/>
          <w:color w:val="0A0A0A"/>
          <w:spacing w:val="8"/>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6"/>
          <w:sz w:val="21"/>
          <w:szCs w:val="21"/>
          <w:lang w:val="en-ZA" w:eastAsia="en-ZA"/>
        </w:rPr>
        <w:t xml:space="preserve"> </w:t>
      </w:r>
      <w:r w:rsidRPr="00BB5C77">
        <w:rPr>
          <w:rFonts w:ascii="Arial" w:eastAsia="Arial" w:hAnsi="Arial" w:cs="Arial"/>
          <w:color w:val="0A0A0A"/>
          <w:w w:val="104"/>
          <w:sz w:val="21"/>
          <w:szCs w:val="21"/>
          <w:lang w:val="en-ZA" w:eastAsia="en-ZA"/>
        </w:rPr>
        <w:t>auditor-genera</w:t>
      </w:r>
      <w:r w:rsidRPr="00BB5C77">
        <w:rPr>
          <w:rFonts w:ascii="Arial" w:eastAsia="Arial" w:hAnsi="Arial" w:cs="Arial"/>
          <w:color w:val="0A0A0A"/>
          <w:spacing w:val="-34"/>
          <w:w w:val="105"/>
          <w:sz w:val="21"/>
          <w:szCs w:val="21"/>
          <w:lang w:val="en-ZA" w:eastAsia="en-ZA"/>
        </w:rPr>
        <w:t>l</w:t>
      </w:r>
      <w:r w:rsidRPr="00BB5C77">
        <w:rPr>
          <w:rFonts w:ascii="Arial" w:eastAsia="Arial" w:hAnsi="Arial" w:cs="Arial"/>
          <w:color w:val="242424"/>
          <w:spacing w:val="-7"/>
          <w:w w:val="169"/>
          <w:sz w:val="21"/>
          <w:szCs w:val="21"/>
          <w:lang w:val="en-ZA" w:eastAsia="en-ZA"/>
        </w:rPr>
        <w:t>'</w:t>
      </w:r>
      <w:r w:rsidRPr="00BB5C77">
        <w:rPr>
          <w:rFonts w:ascii="Arial" w:eastAsia="Arial" w:hAnsi="Arial" w:cs="Arial"/>
          <w:color w:val="0A0A0A"/>
          <w:w w:val="118"/>
          <w:sz w:val="21"/>
          <w:szCs w:val="21"/>
          <w:lang w:val="en-ZA" w:eastAsia="en-ZA"/>
        </w:rPr>
        <w:t xml:space="preserve">s </w:t>
      </w:r>
      <w:r w:rsidRPr="00BB5C77">
        <w:rPr>
          <w:rFonts w:ascii="Arial" w:eastAsia="Arial" w:hAnsi="Arial" w:cs="Arial"/>
          <w:color w:val="0A0A0A"/>
          <w:sz w:val="21"/>
          <w:szCs w:val="21"/>
          <w:lang w:val="en-ZA" w:eastAsia="en-ZA"/>
        </w:rPr>
        <w:t>responsibilities</w:t>
      </w:r>
      <w:r w:rsidRPr="00BB5C77">
        <w:rPr>
          <w:rFonts w:ascii="Arial" w:eastAsia="Arial" w:hAnsi="Arial" w:cs="Arial"/>
          <w:color w:val="0A0A0A"/>
          <w:spacing w:val="44"/>
          <w:sz w:val="21"/>
          <w:szCs w:val="21"/>
          <w:lang w:val="en-ZA" w:eastAsia="en-ZA"/>
        </w:rPr>
        <w:t xml:space="preserve"> </w:t>
      </w:r>
      <w:r w:rsidRPr="00BB5C77">
        <w:rPr>
          <w:rFonts w:ascii="Arial" w:eastAsia="Arial" w:hAnsi="Arial" w:cs="Arial"/>
          <w:color w:val="0A0A0A"/>
          <w:sz w:val="21"/>
          <w:szCs w:val="21"/>
          <w:lang w:val="en-ZA" w:eastAsia="en-ZA"/>
        </w:rPr>
        <w:t>for</w:t>
      </w:r>
      <w:r w:rsidRPr="00BB5C77">
        <w:rPr>
          <w:rFonts w:ascii="Arial" w:eastAsia="Arial" w:hAnsi="Arial" w:cs="Arial"/>
          <w:color w:val="0A0A0A"/>
          <w:spacing w:val="17"/>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20"/>
          <w:sz w:val="21"/>
          <w:szCs w:val="21"/>
          <w:lang w:val="en-ZA" w:eastAsia="en-ZA"/>
        </w:rPr>
        <w:t xml:space="preserve"> </w:t>
      </w:r>
      <w:r w:rsidRPr="00BB5C77">
        <w:rPr>
          <w:rFonts w:ascii="Arial" w:eastAsia="Arial" w:hAnsi="Arial" w:cs="Arial"/>
          <w:color w:val="0A0A0A"/>
          <w:sz w:val="21"/>
          <w:szCs w:val="21"/>
          <w:lang w:val="en-ZA" w:eastAsia="en-ZA"/>
        </w:rPr>
        <w:t>audit</w:t>
      </w:r>
      <w:r w:rsidRPr="00BB5C77">
        <w:rPr>
          <w:rFonts w:ascii="Arial" w:eastAsia="Arial" w:hAnsi="Arial" w:cs="Arial"/>
          <w:color w:val="0A0A0A"/>
          <w:spacing w:val="23"/>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14"/>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2"/>
          <w:sz w:val="21"/>
          <w:szCs w:val="21"/>
          <w:lang w:val="en-ZA" w:eastAsia="en-ZA"/>
        </w:rPr>
        <w:t xml:space="preserve"> </w:t>
      </w:r>
      <w:r w:rsidRPr="00BB5C77">
        <w:rPr>
          <w:rFonts w:ascii="Arial" w:eastAsia="Arial" w:hAnsi="Arial" w:cs="Arial"/>
          <w:color w:val="0A0A0A"/>
          <w:sz w:val="21"/>
          <w:szCs w:val="21"/>
          <w:lang w:val="en-ZA" w:eastAsia="en-ZA"/>
        </w:rPr>
        <w:t>financial</w:t>
      </w:r>
      <w:r w:rsidRPr="00BB5C77">
        <w:rPr>
          <w:rFonts w:ascii="Arial" w:eastAsia="Arial" w:hAnsi="Arial" w:cs="Arial"/>
          <w:color w:val="0A0A0A"/>
          <w:spacing w:val="-3"/>
          <w:sz w:val="21"/>
          <w:szCs w:val="21"/>
          <w:lang w:val="en-ZA" w:eastAsia="en-ZA"/>
        </w:rPr>
        <w:t xml:space="preserve"> </w:t>
      </w:r>
      <w:r w:rsidRPr="00BB5C77">
        <w:rPr>
          <w:rFonts w:ascii="Arial" w:eastAsia="Arial" w:hAnsi="Arial" w:cs="Arial"/>
          <w:color w:val="0A0A0A"/>
          <w:sz w:val="21"/>
          <w:szCs w:val="21"/>
          <w:lang w:val="en-ZA" w:eastAsia="en-ZA"/>
        </w:rPr>
        <w:t>statements</w:t>
      </w:r>
      <w:r w:rsidRPr="00BB5C77">
        <w:rPr>
          <w:rFonts w:ascii="Arial" w:eastAsia="Arial" w:hAnsi="Arial" w:cs="Arial"/>
          <w:color w:val="0A0A0A"/>
          <w:spacing w:val="41"/>
          <w:sz w:val="21"/>
          <w:szCs w:val="21"/>
          <w:lang w:val="en-ZA" w:eastAsia="en-ZA"/>
        </w:rPr>
        <w:t xml:space="preserve"> </w:t>
      </w:r>
      <w:r w:rsidRPr="00BB5C77">
        <w:rPr>
          <w:rFonts w:ascii="Arial" w:eastAsia="Arial" w:hAnsi="Arial" w:cs="Arial"/>
          <w:color w:val="0A0A0A"/>
          <w:sz w:val="21"/>
          <w:szCs w:val="21"/>
          <w:lang w:val="en-ZA" w:eastAsia="en-ZA"/>
        </w:rPr>
        <w:t>section</w:t>
      </w:r>
      <w:r w:rsidRPr="00BB5C77">
        <w:rPr>
          <w:rFonts w:ascii="Arial" w:eastAsia="Arial" w:hAnsi="Arial" w:cs="Arial"/>
          <w:color w:val="0A0A0A"/>
          <w:spacing w:val="34"/>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21"/>
          <w:sz w:val="21"/>
          <w:szCs w:val="21"/>
          <w:lang w:val="en-ZA" w:eastAsia="en-ZA"/>
        </w:rPr>
        <w:t xml:space="preserve"> </w:t>
      </w:r>
      <w:r w:rsidRPr="00BB5C77">
        <w:rPr>
          <w:rFonts w:ascii="Arial" w:eastAsia="Arial" w:hAnsi="Arial" w:cs="Arial"/>
          <w:color w:val="0A0A0A"/>
          <w:sz w:val="21"/>
          <w:szCs w:val="21"/>
          <w:lang w:val="en-ZA" w:eastAsia="en-ZA"/>
        </w:rPr>
        <w:t>this</w:t>
      </w:r>
      <w:r w:rsidRPr="00BB5C77">
        <w:rPr>
          <w:rFonts w:ascii="Arial" w:eastAsia="Arial" w:hAnsi="Arial" w:cs="Arial"/>
          <w:color w:val="0A0A0A"/>
          <w:spacing w:val="1"/>
          <w:sz w:val="21"/>
          <w:szCs w:val="21"/>
          <w:lang w:val="en-ZA" w:eastAsia="en-ZA"/>
        </w:rPr>
        <w:t xml:space="preserve"> </w:t>
      </w:r>
      <w:r w:rsidRPr="00BB5C77">
        <w:rPr>
          <w:rFonts w:ascii="Arial" w:eastAsia="Arial" w:hAnsi="Arial" w:cs="Arial"/>
          <w:color w:val="0A0A0A"/>
          <w:w w:val="105"/>
          <w:sz w:val="21"/>
          <w:szCs w:val="21"/>
          <w:lang w:val="en-ZA" w:eastAsia="en-ZA"/>
        </w:rPr>
        <w:t>report.</w:t>
      </w:r>
    </w:p>
    <w:p w14:paraId="410C318F" w14:textId="77777777" w:rsidR="00BB5C77" w:rsidRPr="00BB5C77" w:rsidRDefault="00BB5C77" w:rsidP="00BB5C77">
      <w:pPr>
        <w:spacing w:before="10" w:after="0" w:line="220" w:lineRule="exact"/>
        <w:jc w:val="both"/>
        <w:rPr>
          <w:rFonts w:eastAsia="Times New Roman" w:cs="Times New Roman"/>
          <w:sz w:val="22"/>
          <w:lang w:val="en-ZA" w:eastAsia="en-ZA"/>
        </w:rPr>
      </w:pPr>
    </w:p>
    <w:p w14:paraId="0BD618FD" w14:textId="77777777" w:rsidR="00BB5C77" w:rsidRPr="00BB5C77" w:rsidRDefault="00BB5C77" w:rsidP="00BB5C77">
      <w:pPr>
        <w:spacing w:after="0" w:line="251" w:lineRule="auto"/>
        <w:ind w:left="594" w:right="301" w:hanging="357"/>
        <w:jc w:val="both"/>
        <w:rPr>
          <w:rFonts w:ascii="Arial" w:eastAsia="Arial" w:hAnsi="Arial" w:cs="Arial"/>
          <w:sz w:val="21"/>
          <w:szCs w:val="21"/>
          <w:lang w:val="en-ZA" w:eastAsia="en-ZA"/>
        </w:rPr>
      </w:pPr>
      <w:r w:rsidRPr="00BB5C77">
        <w:rPr>
          <w:rFonts w:ascii="Arial" w:eastAsia="Arial" w:hAnsi="Arial" w:cs="Arial"/>
          <w:color w:val="0A0A0A"/>
          <w:sz w:val="21"/>
          <w:szCs w:val="21"/>
          <w:lang w:val="en-ZA" w:eastAsia="en-ZA"/>
        </w:rPr>
        <w:t xml:space="preserve">4.  </w:t>
      </w:r>
      <w:r w:rsidRPr="00BB5C77">
        <w:rPr>
          <w:rFonts w:ascii="Arial" w:eastAsia="Arial" w:hAnsi="Arial" w:cs="Arial"/>
          <w:color w:val="0A0A0A"/>
          <w:spacing w:val="20"/>
          <w:sz w:val="21"/>
          <w:szCs w:val="21"/>
          <w:lang w:val="en-ZA" w:eastAsia="en-ZA"/>
        </w:rPr>
        <w:t xml:space="preserve"> </w:t>
      </w:r>
      <w:r w:rsidRPr="00BB5C77">
        <w:rPr>
          <w:rFonts w:ascii="Arial" w:eastAsia="Arial" w:hAnsi="Arial" w:cs="Arial"/>
          <w:color w:val="0A0A0A"/>
          <w:spacing w:val="1"/>
          <w:w w:val="214"/>
          <w:sz w:val="21"/>
          <w:szCs w:val="21"/>
          <w:lang w:val="en-ZA" w:eastAsia="en-ZA"/>
        </w:rPr>
        <w:t xml:space="preserve">I </w:t>
      </w:r>
      <w:r w:rsidRPr="00BB5C77">
        <w:rPr>
          <w:rFonts w:ascii="Arial" w:eastAsia="Arial" w:hAnsi="Arial" w:cs="Arial"/>
          <w:color w:val="0A0A0A"/>
          <w:w w:val="108"/>
          <w:sz w:val="21"/>
          <w:szCs w:val="21"/>
          <w:lang w:val="en-ZA" w:eastAsia="en-ZA"/>
        </w:rPr>
        <w:t>am</w:t>
      </w:r>
      <w:r w:rsidRPr="00BB5C77">
        <w:rPr>
          <w:rFonts w:ascii="Arial" w:eastAsia="Arial" w:hAnsi="Arial" w:cs="Arial"/>
          <w:color w:val="0A0A0A"/>
          <w:spacing w:val="-10"/>
          <w:sz w:val="21"/>
          <w:szCs w:val="21"/>
          <w:lang w:val="en-ZA" w:eastAsia="en-ZA"/>
        </w:rPr>
        <w:t xml:space="preserve"> </w:t>
      </w:r>
      <w:r w:rsidRPr="00BB5C77">
        <w:rPr>
          <w:rFonts w:ascii="Arial" w:eastAsia="Arial" w:hAnsi="Arial" w:cs="Arial"/>
          <w:color w:val="0A0A0A"/>
          <w:sz w:val="21"/>
          <w:szCs w:val="21"/>
          <w:lang w:val="en-ZA" w:eastAsia="en-ZA"/>
        </w:rPr>
        <w:t>independent</w:t>
      </w:r>
      <w:r w:rsidRPr="00BB5C77">
        <w:rPr>
          <w:rFonts w:ascii="Arial" w:eastAsia="Arial" w:hAnsi="Arial" w:cs="Arial"/>
          <w:color w:val="0A0A0A"/>
          <w:spacing w:val="46"/>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14"/>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21"/>
          <w:sz w:val="21"/>
          <w:szCs w:val="21"/>
          <w:lang w:val="en-ZA" w:eastAsia="en-ZA"/>
        </w:rPr>
        <w:t xml:space="preserve"> </w:t>
      </w:r>
      <w:r w:rsidRPr="00BB5C77">
        <w:rPr>
          <w:rFonts w:ascii="Arial" w:eastAsia="Arial" w:hAnsi="Arial" w:cs="Arial"/>
          <w:color w:val="0A0A0A"/>
          <w:w w:val="109"/>
          <w:sz w:val="21"/>
          <w:szCs w:val="21"/>
          <w:lang w:val="en-ZA" w:eastAsia="en-ZA"/>
        </w:rPr>
        <w:t>mu</w:t>
      </w:r>
      <w:r w:rsidRPr="00BB5C77">
        <w:rPr>
          <w:rFonts w:ascii="Arial" w:eastAsia="Arial" w:hAnsi="Arial" w:cs="Arial"/>
          <w:color w:val="0A0A0A"/>
          <w:spacing w:val="-20"/>
          <w:w w:val="109"/>
          <w:sz w:val="21"/>
          <w:szCs w:val="21"/>
          <w:lang w:val="en-ZA" w:eastAsia="en-ZA"/>
        </w:rPr>
        <w:t>n</w:t>
      </w:r>
      <w:r w:rsidRPr="00BB5C77">
        <w:rPr>
          <w:rFonts w:ascii="Arial" w:eastAsia="Arial" w:hAnsi="Arial" w:cs="Arial"/>
          <w:color w:val="242424"/>
          <w:spacing w:val="-11"/>
          <w:w w:val="155"/>
          <w:sz w:val="21"/>
          <w:szCs w:val="21"/>
          <w:lang w:val="en-ZA" w:eastAsia="en-ZA"/>
        </w:rPr>
        <w:t>i</w:t>
      </w:r>
      <w:r w:rsidRPr="00BB5C77">
        <w:rPr>
          <w:rFonts w:ascii="Arial" w:eastAsia="Arial" w:hAnsi="Arial" w:cs="Arial"/>
          <w:color w:val="0A0A0A"/>
          <w:w w:val="105"/>
          <w:sz w:val="21"/>
          <w:szCs w:val="21"/>
          <w:lang w:val="en-ZA" w:eastAsia="en-ZA"/>
        </w:rPr>
        <w:t>cipalit</w:t>
      </w:r>
      <w:r w:rsidRPr="00BB5C77">
        <w:rPr>
          <w:rFonts w:ascii="Arial" w:eastAsia="Arial" w:hAnsi="Arial" w:cs="Arial"/>
          <w:color w:val="0A0A0A"/>
          <w:w w:val="106"/>
          <w:sz w:val="21"/>
          <w:szCs w:val="21"/>
          <w:lang w:val="en-ZA" w:eastAsia="en-ZA"/>
        </w:rPr>
        <w:t>y</w:t>
      </w:r>
      <w:r w:rsidRPr="00BB5C77">
        <w:rPr>
          <w:rFonts w:ascii="Arial" w:eastAsia="Arial" w:hAnsi="Arial" w:cs="Arial"/>
          <w:color w:val="0A0A0A"/>
          <w:spacing w:val="-4"/>
          <w:sz w:val="21"/>
          <w:szCs w:val="21"/>
          <w:lang w:val="en-ZA" w:eastAsia="en-ZA"/>
        </w:rPr>
        <w:t xml:space="preserve"> </w:t>
      </w:r>
      <w:r w:rsidRPr="00BB5C77">
        <w:rPr>
          <w:rFonts w:ascii="Arial" w:eastAsia="Arial" w:hAnsi="Arial" w:cs="Arial"/>
          <w:color w:val="0A0A0A"/>
          <w:sz w:val="21"/>
          <w:szCs w:val="21"/>
          <w:lang w:val="en-ZA" w:eastAsia="en-ZA"/>
        </w:rPr>
        <w:t>in</w:t>
      </w:r>
      <w:r w:rsidRPr="00BB5C77">
        <w:rPr>
          <w:rFonts w:ascii="Arial" w:eastAsia="Arial" w:hAnsi="Arial" w:cs="Arial"/>
          <w:color w:val="0A0A0A"/>
          <w:spacing w:val="-3"/>
          <w:sz w:val="21"/>
          <w:szCs w:val="21"/>
          <w:lang w:val="en-ZA" w:eastAsia="en-ZA"/>
        </w:rPr>
        <w:t xml:space="preserve"> </w:t>
      </w:r>
      <w:r w:rsidRPr="00BB5C77">
        <w:rPr>
          <w:rFonts w:ascii="Arial" w:eastAsia="Arial" w:hAnsi="Arial" w:cs="Arial"/>
          <w:color w:val="0A0A0A"/>
          <w:sz w:val="21"/>
          <w:szCs w:val="21"/>
          <w:lang w:val="en-ZA" w:eastAsia="en-ZA"/>
        </w:rPr>
        <w:t>accordance</w:t>
      </w:r>
      <w:r w:rsidRPr="00BB5C77">
        <w:rPr>
          <w:rFonts w:ascii="Arial" w:eastAsia="Arial" w:hAnsi="Arial" w:cs="Arial"/>
          <w:color w:val="0A0A0A"/>
          <w:spacing w:val="52"/>
          <w:sz w:val="21"/>
          <w:szCs w:val="21"/>
          <w:lang w:val="en-ZA" w:eastAsia="en-ZA"/>
        </w:rPr>
        <w:t xml:space="preserve"> </w:t>
      </w:r>
      <w:r w:rsidRPr="00BB5C77">
        <w:rPr>
          <w:rFonts w:ascii="Arial" w:eastAsia="Arial" w:hAnsi="Arial" w:cs="Arial"/>
          <w:color w:val="0A0A0A"/>
          <w:sz w:val="21"/>
          <w:szCs w:val="21"/>
          <w:lang w:val="en-ZA" w:eastAsia="en-ZA"/>
        </w:rPr>
        <w:t>with</w:t>
      </w:r>
      <w:r w:rsidRPr="00BB5C77">
        <w:rPr>
          <w:rFonts w:ascii="Arial" w:eastAsia="Arial" w:hAnsi="Arial" w:cs="Arial"/>
          <w:color w:val="0A0A0A"/>
          <w:spacing w:val="17"/>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30"/>
          <w:sz w:val="21"/>
          <w:szCs w:val="21"/>
          <w:lang w:val="en-ZA" w:eastAsia="en-ZA"/>
        </w:rPr>
        <w:t xml:space="preserve"> </w:t>
      </w:r>
      <w:r w:rsidRPr="00BB5C77">
        <w:rPr>
          <w:rFonts w:ascii="Arial" w:eastAsia="Arial" w:hAnsi="Arial" w:cs="Arial"/>
          <w:color w:val="0A0A0A"/>
          <w:sz w:val="21"/>
          <w:szCs w:val="21"/>
          <w:lang w:val="en-ZA" w:eastAsia="en-ZA"/>
        </w:rPr>
        <w:t>International</w:t>
      </w:r>
      <w:r w:rsidRPr="00BB5C77">
        <w:rPr>
          <w:rFonts w:ascii="Arial" w:eastAsia="Arial" w:hAnsi="Arial" w:cs="Arial"/>
          <w:color w:val="0A0A0A"/>
          <w:spacing w:val="27"/>
          <w:sz w:val="21"/>
          <w:szCs w:val="21"/>
          <w:lang w:val="en-ZA" w:eastAsia="en-ZA"/>
        </w:rPr>
        <w:t xml:space="preserve"> </w:t>
      </w:r>
      <w:r w:rsidRPr="00BB5C77">
        <w:rPr>
          <w:rFonts w:ascii="Arial" w:eastAsia="Arial" w:hAnsi="Arial" w:cs="Arial"/>
          <w:color w:val="0A0A0A"/>
          <w:w w:val="103"/>
          <w:sz w:val="21"/>
          <w:szCs w:val="21"/>
          <w:lang w:val="en-ZA" w:eastAsia="en-ZA"/>
        </w:rPr>
        <w:t xml:space="preserve">Ethics </w:t>
      </w:r>
      <w:r w:rsidRPr="00BB5C77">
        <w:rPr>
          <w:rFonts w:ascii="Arial" w:eastAsia="Arial" w:hAnsi="Arial" w:cs="Arial"/>
          <w:color w:val="0A0A0A"/>
          <w:sz w:val="21"/>
          <w:szCs w:val="21"/>
          <w:lang w:val="en-ZA" w:eastAsia="en-ZA"/>
        </w:rPr>
        <w:t>Standards</w:t>
      </w:r>
      <w:r w:rsidRPr="00BB5C77">
        <w:rPr>
          <w:rFonts w:ascii="Arial" w:eastAsia="Arial" w:hAnsi="Arial" w:cs="Arial"/>
          <w:color w:val="0A0A0A"/>
          <w:spacing w:val="28"/>
          <w:sz w:val="21"/>
          <w:szCs w:val="21"/>
          <w:lang w:val="en-ZA" w:eastAsia="en-ZA"/>
        </w:rPr>
        <w:t xml:space="preserve"> </w:t>
      </w:r>
      <w:r w:rsidRPr="00BB5C77">
        <w:rPr>
          <w:rFonts w:ascii="Arial" w:eastAsia="Arial" w:hAnsi="Arial" w:cs="Arial"/>
          <w:color w:val="0A0A0A"/>
          <w:sz w:val="21"/>
          <w:szCs w:val="21"/>
          <w:lang w:val="en-ZA" w:eastAsia="en-ZA"/>
        </w:rPr>
        <w:t>Board</w:t>
      </w:r>
      <w:r w:rsidRPr="00BB5C77">
        <w:rPr>
          <w:rFonts w:ascii="Arial" w:eastAsia="Arial" w:hAnsi="Arial" w:cs="Arial"/>
          <w:color w:val="0A0A0A"/>
          <w:spacing w:val="17"/>
          <w:sz w:val="21"/>
          <w:szCs w:val="21"/>
          <w:lang w:val="en-ZA" w:eastAsia="en-ZA"/>
        </w:rPr>
        <w:t xml:space="preserve"> </w:t>
      </w:r>
      <w:r w:rsidRPr="00BB5C77">
        <w:rPr>
          <w:rFonts w:ascii="Arial" w:eastAsia="Arial" w:hAnsi="Arial" w:cs="Arial"/>
          <w:color w:val="0A0A0A"/>
          <w:sz w:val="21"/>
          <w:szCs w:val="21"/>
          <w:lang w:val="en-ZA" w:eastAsia="en-ZA"/>
        </w:rPr>
        <w:t>for</w:t>
      </w:r>
      <w:r w:rsidRPr="00BB5C77">
        <w:rPr>
          <w:rFonts w:ascii="Arial" w:eastAsia="Arial" w:hAnsi="Arial" w:cs="Arial"/>
          <w:color w:val="0A0A0A"/>
          <w:spacing w:val="8"/>
          <w:sz w:val="21"/>
          <w:szCs w:val="21"/>
          <w:lang w:val="en-ZA" w:eastAsia="en-ZA"/>
        </w:rPr>
        <w:t xml:space="preserve"> </w:t>
      </w:r>
      <w:r w:rsidRPr="00BB5C77">
        <w:rPr>
          <w:rFonts w:ascii="Arial" w:eastAsia="Arial" w:hAnsi="Arial" w:cs="Arial"/>
          <w:color w:val="0A0A0A"/>
          <w:w w:val="106"/>
          <w:sz w:val="21"/>
          <w:szCs w:val="21"/>
          <w:lang w:val="en-ZA" w:eastAsia="en-ZA"/>
        </w:rPr>
        <w:t>Accountant</w:t>
      </w:r>
      <w:r w:rsidRPr="00BB5C77">
        <w:rPr>
          <w:rFonts w:ascii="Arial" w:eastAsia="Arial" w:hAnsi="Arial" w:cs="Arial"/>
          <w:color w:val="0A0A0A"/>
          <w:spacing w:val="-4"/>
          <w:w w:val="107"/>
          <w:sz w:val="21"/>
          <w:szCs w:val="21"/>
          <w:lang w:val="en-ZA" w:eastAsia="en-ZA"/>
        </w:rPr>
        <w:t>s</w:t>
      </w:r>
      <w:r w:rsidRPr="00BB5C77">
        <w:rPr>
          <w:rFonts w:ascii="Arial" w:eastAsia="Arial" w:hAnsi="Arial" w:cs="Arial"/>
          <w:color w:val="242424"/>
          <w:w w:val="135"/>
          <w:sz w:val="21"/>
          <w:szCs w:val="21"/>
          <w:lang w:val="en-ZA" w:eastAsia="en-ZA"/>
        </w:rPr>
        <w:t>'</w:t>
      </w:r>
      <w:r w:rsidRPr="00BB5C77">
        <w:rPr>
          <w:rFonts w:ascii="Arial" w:eastAsia="Arial" w:hAnsi="Arial" w:cs="Arial"/>
          <w:color w:val="242424"/>
          <w:spacing w:val="-8"/>
          <w:sz w:val="21"/>
          <w:szCs w:val="21"/>
          <w:lang w:val="en-ZA" w:eastAsia="en-ZA"/>
        </w:rPr>
        <w:t xml:space="preserve"> </w:t>
      </w:r>
      <w:r w:rsidRPr="00BB5C77">
        <w:rPr>
          <w:rFonts w:ascii="Arial" w:eastAsia="Arial" w:hAnsi="Arial" w:cs="Arial"/>
          <w:i/>
          <w:color w:val="0A0A0A"/>
          <w:sz w:val="21"/>
          <w:szCs w:val="21"/>
          <w:lang w:val="en-ZA" w:eastAsia="en-ZA"/>
        </w:rPr>
        <w:t>Code</w:t>
      </w:r>
      <w:r w:rsidRPr="00BB5C77">
        <w:rPr>
          <w:rFonts w:ascii="Arial" w:eastAsia="Arial" w:hAnsi="Arial" w:cs="Arial"/>
          <w:i/>
          <w:color w:val="0A0A0A"/>
          <w:spacing w:val="21"/>
          <w:sz w:val="21"/>
          <w:szCs w:val="21"/>
          <w:lang w:val="en-ZA" w:eastAsia="en-ZA"/>
        </w:rPr>
        <w:t xml:space="preserve"> </w:t>
      </w:r>
      <w:r w:rsidRPr="00BB5C77">
        <w:rPr>
          <w:rFonts w:ascii="Arial" w:eastAsia="Arial" w:hAnsi="Arial" w:cs="Arial"/>
          <w:i/>
          <w:color w:val="0A0A0A"/>
          <w:sz w:val="21"/>
          <w:szCs w:val="21"/>
          <w:lang w:val="en-ZA" w:eastAsia="en-ZA"/>
        </w:rPr>
        <w:t>of</w:t>
      </w:r>
      <w:r w:rsidRPr="00BB5C77">
        <w:rPr>
          <w:rFonts w:ascii="Arial" w:eastAsia="Arial" w:hAnsi="Arial" w:cs="Arial"/>
          <w:i/>
          <w:color w:val="0A0A0A"/>
          <w:spacing w:val="12"/>
          <w:sz w:val="21"/>
          <w:szCs w:val="21"/>
          <w:lang w:val="en-ZA" w:eastAsia="en-ZA"/>
        </w:rPr>
        <w:t xml:space="preserve"> </w:t>
      </w:r>
      <w:r w:rsidRPr="00BB5C77">
        <w:rPr>
          <w:rFonts w:ascii="Arial" w:eastAsia="Arial" w:hAnsi="Arial" w:cs="Arial"/>
          <w:i/>
          <w:color w:val="0A0A0A"/>
          <w:sz w:val="21"/>
          <w:szCs w:val="21"/>
          <w:lang w:val="en-ZA" w:eastAsia="en-ZA"/>
        </w:rPr>
        <w:t>ethics</w:t>
      </w:r>
      <w:r w:rsidRPr="00BB5C77">
        <w:rPr>
          <w:rFonts w:ascii="Arial" w:eastAsia="Arial" w:hAnsi="Arial" w:cs="Arial"/>
          <w:i/>
          <w:color w:val="0A0A0A"/>
          <w:spacing w:val="24"/>
          <w:sz w:val="21"/>
          <w:szCs w:val="21"/>
          <w:lang w:val="en-ZA" w:eastAsia="en-ZA"/>
        </w:rPr>
        <w:t xml:space="preserve"> </w:t>
      </w:r>
      <w:r w:rsidRPr="00BB5C77">
        <w:rPr>
          <w:rFonts w:ascii="Arial" w:eastAsia="Arial" w:hAnsi="Arial" w:cs="Arial"/>
          <w:color w:val="0A0A0A"/>
          <w:sz w:val="21"/>
          <w:szCs w:val="21"/>
          <w:lang w:val="en-ZA" w:eastAsia="en-ZA"/>
        </w:rPr>
        <w:t>for</w:t>
      </w:r>
      <w:r w:rsidRPr="00BB5C77">
        <w:rPr>
          <w:rFonts w:ascii="Arial" w:eastAsia="Arial" w:hAnsi="Arial" w:cs="Arial"/>
          <w:color w:val="0A0A0A"/>
          <w:spacing w:val="7"/>
          <w:sz w:val="21"/>
          <w:szCs w:val="21"/>
          <w:lang w:val="en-ZA" w:eastAsia="en-ZA"/>
        </w:rPr>
        <w:t xml:space="preserve"> </w:t>
      </w:r>
      <w:r w:rsidRPr="00BB5C77">
        <w:rPr>
          <w:rFonts w:ascii="Arial" w:eastAsia="Arial" w:hAnsi="Arial" w:cs="Arial"/>
          <w:i/>
          <w:color w:val="0A0A0A"/>
          <w:sz w:val="21"/>
          <w:szCs w:val="21"/>
          <w:lang w:val="en-ZA" w:eastAsia="en-ZA"/>
        </w:rPr>
        <w:t>professional</w:t>
      </w:r>
      <w:r w:rsidRPr="00BB5C77">
        <w:rPr>
          <w:rFonts w:ascii="Arial" w:eastAsia="Arial" w:hAnsi="Arial" w:cs="Arial"/>
          <w:i/>
          <w:color w:val="0A0A0A"/>
          <w:spacing w:val="42"/>
          <w:sz w:val="21"/>
          <w:szCs w:val="21"/>
          <w:lang w:val="en-ZA" w:eastAsia="en-ZA"/>
        </w:rPr>
        <w:t xml:space="preserve"> </w:t>
      </w:r>
      <w:r w:rsidRPr="00BB5C77">
        <w:rPr>
          <w:rFonts w:ascii="Arial" w:eastAsia="Arial" w:hAnsi="Arial" w:cs="Arial"/>
          <w:i/>
          <w:color w:val="0A0A0A"/>
          <w:sz w:val="21"/>
          <w:szCs w:val="21"/>
          <w:lang w:val="en-ZA" w:eastAsia="en-ZA"/>
        </w:rPr>
        <w:t>accountants</w:t>
      </w:r>
      <w:r w:rsidRPr="00BB5C77">
        <w:rPr>
          <w:rFonts w:ascii="Arial" w:eastAsia="Arial" w:hAnsi="Arial" w:cs="Arial"/>
          <w:i/>
          <w:color w:val="0A0A0A"/>
          <w:spacing w:val="20"/>
          <w:sz w:val="21"/>
          <w:szCs w:val="21"/>
          <w:lang w:val="en-ZA" w:eastAsia="en-ZA"/>
        </w:rPr>
        <w:t xml:space="preserve"> </w:t>
      </w:r>
      <w:r w:rsidRPr="00BB5C77">
        <w:rPr>
          <w:rFonts w:ascii="Arial" w:eastAsia="Arial" w:hAnsi="Arial" w:cs="Arial"/>
          <w:color w:val="0A0A0A"/>
          <w:w w:val="108"/>
          <w:sz w:val="21"/>
          <w:szCs w:val="21"/>
          <w:lang w:val="en-ZA" w:eastAsia="en-ZA"/>
        </w:rPr>
        <w:t>(</w:t>
      </w:r>
      <w:r w:rsidRPr="00BB5C77">
        <w:rPr>
          <w:rFonts w:ascii="Arial" w:eastAsia="Arial" w:hAnsi="Arial" w:cs="Arial"/>
          <w:color w:val="0A0A0A"/>
          <w:w w:val="107"/>
          <w:sz w:val="21"/>
          <w:szCs w:val="21"/>
          <w:lang w:val="en-ZA" w:eastAsia="en-ZA"/>
        </w:rPr>
        <w:t xml:space="preserve">IESBA </w:t>
      </w:r>
      <w:r w:rsidRPr="00BB5C77">
        <w:rPr>
          <w:rFonts w:ascii="Arial" w:eastAsia="Arial" w:hAnsi="Arial" w:cs="Arial"/>
          <w:color w:val="0A0A0A"/>
          <w:sz w:val="21"/>
          <w:szCs w:val="21"/>
          <w:lang w:val="en-ZA" w:eastAsia="en-ZA"/>
        </w:rPr>
        <w:t>code)</w:t>
      </w:r>
      <w:r w:rsidRPr="00BB5C77">
        <w:rPr>
          <w:rFonts w:ascii="Arial" w:eastAsia="Arial" w:hAnsi="Arial" w:cs="Arial"/>
          <w:color w:val="0A0A0A"/>
          <w:spacing w:val="24"/>
          <w:sz w:val="21"/>
          <w:szCs w:val="21"/>
          <w:lang w:val="en-ZA" w:eastAsia="en-ZA"/>
        </w:rPr>
        <w:t xml:space="preserve"> </w:t>
      </w:r>
      <w:r w:rsidRPr="00BB5C77">
        <w:rPr>
          <w:rFonts w:ascii="Arial" w:eastAsia="Arial" w:hAnsi="Arial" w:cs="Arial"/>
          <w:color w:val="0A0A0A"/>
          <w:sz w:val="21"/>
          <w:szCs w:val="21"/>
          <w:lang w:val="en-ZA" w:eastAsia="en-ZA"/>
        </w:rPr>
        <w:t>and</w:t>
      </w:r>
      <w:r w:rsidRPr="00BB5C77">
        <w:rPr>
          <w:rFonts w:ascii="Arial" w:eastAsia="Arial" w:hAnsi="Arial" w:cs="Arial"/>
          <w:color w:val="0A0A0A"/>
          <w:spacing w:val="17"/>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6"/>
          <w:sz w:val="21"/>
          <w:szCs w:val="21"/>
          <w:lang w:val="en-ZA" w:eastAsia="en-ZA"/>
        </w:rPr>
        <w:t xml:space="preserve"> </w:t>
      </w:r>
      <w:r w:rsidRPr="00BB5C77">
        <w:rPr>
          <w:rFonts w:ascii="Arial" w:eastAsia="Arial" w:hAnsi="Arial" w:cs="Arial"/>
          <w:color w:val="0A0A0A"/>
          <w:sz w:val="21"/>
          <w:szCs w:val="21"/>
          <w:lang w:val="en-ZA" w:eastAsia="en-ZA"/>
        </w:rPr>
        <w:t>ethical</w:t>
      </w:r>
      <w:r w:rsidRPr="00BB5C77">
        <w:rPr>
          <w:rFonts w:ascii="Arial" w:eastAsia="Arial" w:hAnsi="Arial" w:cs="Arial"/>
          <w:color w:val="0A0A0A"/>
          <w:spacing w:val="12"/>
          <w:sz w:val="21"/>
          <w:szCs w:val="21"/>
          <w:lang w:val="en-ZA" w:eastAsia="en-ZA"/>
        </w:rPr>
        <w:t xml:space="preserve"> </w:t>
      </w:r>
      <w:r w:rsidRPr="00BB5C77">
        <w:rPr>
          <w:rFonts w:ascii="Arial" w:eastAsia="Arial" w:hAnsi="Arial" w:cs="Arial"/>
          <w:color w:val="0A0A0A"/>
          <w:w w:val="106"/>
          <w:sz w:val="21"/>
          <w:szCs w:val="21"/>
          <w:lang w:val="en-ZA" w:eastAsia="en-ZA"/>
        </w:rPr>
        <w:t>requirements</w:t>
      </w:r>
      <w:r w:rsidRPr="00BB5C77">
        <w:rPr>
          <w:rFonts w:ascii="Arial" w:eastAsia="Arial" w:hAnsi="Arial" w:cs="Arial"/>
          <w:color w:val="0A0A0A"/>
          <w:spacing w:val="-10"/>
          <w:w w:val="106"/>
          <w:sz w:val="21"/>
          <w:szCs w:val="21"/>
          <w:lang w:val="en-ZA" w:eastAsia="en-ZA"/>
        </w:rPr>
        <w:t xml:space="preserve"> </w:t>
      </w:r>
      <w:r w:rsidRPr="00BB5C77">
        <w:rPr>
          <w:rFonts w:ascii="Arial" w:eastAsia="Arial" w:hAnsi="Arial" w:cs="Arial"/>
          <w:color w:val="0A0A0A"/>
          <w:sz w:val="21"/>
          <w:szCs w:val="21"/>
          <w:lang w:val="en-ZA" w:eastAsia="en-ZA"/>
        </w:rPr>
        <w:t>that</w:t>
      </w:r>
      <w:r w:rsidRPr="00BB5C77">
        <w:rPr>
          <w:rFonts w:ascii="Arial" w:eastAsia="Arial" w:hAnsi="Arial" w:cs="Arial"/>
          <w:color w:val="0A0A0A"/>
          <w:spacing w:val="6"/>
          <w:sz w:val="21"/>
          <w:szCs w:val="21"/>
          <w:lang w:val="en-ZA" w:eastAsia="en-ZA"/>
        </w:rPr>
        <w:t xml:space="preserve"> </w:t>
      </w:r>
      <w:r w:rsidRPr="00BB5C77">
        <w:rPr>
          <w:rFonts w:ascii="Arial" w:eastAsia="Arial" w:hAnsi="Arial" w:cs="Arial"/>
          <w:color w:val="0A0A0A"/>
          <w:sz w:val="21"/>
          <w:szCs w:val="21"/>
          <w:lang w:val="en-ZA" w:eastAsia="en-ZA"/>
        </w:rPr>
        <w:t>are</w:t>
      </w:r>
      <w:r w:rsidRPr="00BB5C77">
        <w:rPr>
          <w:rFonts w:ascii="Arial" w:eastAsia="Arial" w:hAnsi="Arial" w:cs="Arial"/>
          <w:color w:val="0A0A0A"/>
          <w:spacing w:val="9"/>
          <w:sz w:val="21"/>
          <w:szCs w:val="21"/>
          <w:lang w:val="en-ZA" w:eastAsia="en-ZA"/>
        </w:rPr>
        <w:t xml:space="preserve"> </w:t>
      </w:r>
      <w:r w:rsidRPr="00BB5C77">
        <w:rPr>
          <w:rFonts w:ascii="Arial" w:eastAsia="Arial" w:hAnsi="Arial" w:cs="Arial"/>
          <w:color w:val="0A0A0A"/>
          <w:sz w:val="21"/>
          <w:szCs w:val="21"/>
          <w:lang w:val="en-ZA" w:eastAsia="en-ZA"/>
        </w:rPr>
        <w:t>relevant</w:t>
      </w:r>
      <w:r w:rsidRPr="00BB5C77">
        <w:rPr>
          <w:rFonts w:ascii="Arial" w:eastAsia="Arial" w:hAnsi="Arial" w:cs="Arial"/>
          <w:color w:val="0A0A0A"/>
          <w:spacing w:val="37"/>
          <w:sz w:val="21"/>
          <w:szCs w:val="21"/>
          <w:lang w:val="en-ZA" w:eastAsia="en-ZA"/>
        </w:rPr>
        <w:t xml:space="preserve"> </w:t>
      </w:r>
      <w:r w:rsidRPr="00BB5C77">
        <w:rPr>
          <w:rFonts w:ascii="Arial" w:eastAsia="Arial" w:hAnsi="Arial" w:cs="Arial"/>
          <w:color w:val="0A0A0A"/>
          <w:sz w:val="21"/>
          <w:szCs w:val="21"/>
          <w:lang w:val="en-ZA" w:eastAsia="en-ZA"/>
        </w:rPr>
        <w:t>to</w:t>
      </w:r>
      <w:r w:rsidRPr="00BB5C77">
        <w:rPr>
          <w:rFonts w:ascii="Arial" w:eastAsia="Arial" w:hAnsi="Arial" w:cs="Arial"/>
          <w:color w:val="0A0A0A"/>
          <w:spacing w:val="11"/>
          <w:sz w:val="21"/>
          <w:szCs w:val="21"/>
          <w:lang w:val="en-ZA" w:eastAsia="en-ZA"/>
        </w:rPr>
        <w:t xml:space="preserve"> </w:t>
      </w:r>
      <w:r w:rsidRPr="00BB5C77">
        <w:rPr>
          <w:rFonts w:ascii="Arial" w:eastAsia="Arial" w:hAnsi="Arial" w:cs="Arial"/>
          <w:color w:val="0A0A0A"/>
          <w:sz w:val="21"/>
          <w:szCs w:val="21"/>
          <w:lang w:val="en-ZA" w:eastAsia="en-ZA"/>
        </w:rPr>
        <w:t>my</w:t>
      </w:r>
      <w:r w:rsidRPr="00BB5C77">
        <w:rPr>
          <w:rFonts w:ascii="Arial" w:eastAsia="Arial" w:hAnsi="Arial" w:cs="Arial"/>
          <w:color w:val="0A0A0A"/>
          <w:spacing w:val="19"/>
          <w:sz w:val="21"/>
          <w:szCs w:val="21"/>
          <w:lang w:val="en-ZA" w:eastAsia="en-ZA"/>
        </w:rPr>
        <w:t xml:space="preserve"> </w:t>
      </w:r>
      <w:r w:rsidRPr="00BB5C77">
        <w:rPr>
          <w:rFonts w:ascii="Arial" w:eastAsia="Arial" w:hAnsi="Arial" w:cs="Arial"/>
          <w:color w:val="0A0A0A"/>
          <w:sz w:val="21"/>
          <w:szCs w:val="21"/>
          <w:lang w:val="en-ZA" w:eastAsia="en-ZA"/>
        </w:rPr>
        <w:t>audit</w:t>
      </w:r>
      <w:r w:rsidRPr="00BB5C77">
        <w:rPr>
          <w:rFonts w:ascii="Arial" w:eastAsia="Arial" w:hAnsi="Arial" w:cs="Arial"/>
          <w:color w:val="0A0A0A"/>
          <w:spacing w:val="29"/>
          <w:sz w:val="21"/>
          <w:szCs w:val="21"/>
          <w:lang w:val="en-ZA" w:eastAsia="en-ZA"/>
        </w:rPr>
        <w:t xml:space="preserve"> </w:t>
      </w:r>
      <w:r w:rsidRPr="00BB5C77">
        <w:rPr>
          <w:rFonts w:ascii="Arial" w:eastAsia="Arial" w:hAnsi="Arial" w:cs="Arial"/>
          <w:color w:val="0A0A0A"/>
          <w:sz w:val="21"/>
          <w:szCs w:val="21"/>
          <w:lang w:val="en-ZA" w:eastAsia="en-ZA"/>
        </w:rPr>
        <w:t>in</w:t>
      </w:r>
      <w:r w:rsidRPr="00BB5C77">
        <w:rPr>
          <w:rFonts w:ascii="Arial" w:eastAsia="Arial" w:hAnsi="Arial" w:cs="Arial"/>
          <w:color w:val="0A0A0A"/>
          <w:spacing w:val="9"/>
          <w:sz w:val="21"/>
          <w:szCs w:val="21"/>
          <w:lang w:val="en-ZA" w:eastAsia="en-ZA"/>
        </w:rPr>
        <w:t xml:space="preserve"> </w:t>
      </w:r>
      <w:r w:rsidRPr="00BB5C77">
        <w:rPr>
          <w:rFonts w:ascii="Arial" w:eastAsia="Arial" w:hAnsi="Arial" w:cs="Arial"/>
          <w:color w:val="0A0A0A"/>
          <w:sz w:val="21"/>
          <w:szCs w:val="21"/>
          <w:lang w:val="en-ZA" w:eastAsia="en-ZA"/>
        </w:rPr>
        <w:t>South</w:t>
      </w:r>
      <w:r w:rsidRPr="00BB5C77">
        <w:rPr>
          <w:rFonts w:ascii="Arial" w:eastAsia="Arial" w:hAnsi="Arial" w:cs="Arial"/>
          <w:color w:val="0A0A0A"/>
          <w:spacing w:val="6"/>
          <w:sz w:val="21"/>
          <w:szCs w:val="21"/>
          <w:lang w:val="en-ZA" w:eastAsia="en-ZA"/>
        </w:rPr>
        <w:t xml:space="preserve"> </w:t>
      </w:r>
      <w:r w:rsidRPr="00BB5C77">
        <w:rPr>
          <w:rFonts w:ascii="Arial" w:eastAsia="Arial" w:hAnsi="Arial" w:cs="Arial"/>
          <w:color w:val="0A0A0A"/>
          <w:sz w:val="21"/>
          <w:szCs w:val="21"/>
          <w:lang w:val="en-ZA" w:eastAsia="en-ZA"/>
        </w:rPr>
        <w:t>Africa.</w:t>
      </w:r>
      <w:r w:rsidRPr="00BB5C77">
        <w:rPr>
          <w:rFonts w:ascii="Arial" w:eastAsia="Arial" w:hAnsi="Arial" w:cs="Arial"/>
          <w:color w:val="0A0A0A"/>
          <w:spacing w:val="8"/>
          <w:sz w:val="21"/>
          <w:szCs w:val="21"/>
          <w:lang w:val="en-ZA" w:eastAsia="en-ZA"/>
        </w:rPr>
        <w:t xml:space="preserve"> </w:t>
      </w:r>
      <w:r w:rsidRPr="00BB5C77">
        <w:rPr>
          <w:rFonts w:ascii="Arial" w:eastAsia="Arial" w:hAnsi="Arial" w:cs="Arial"/>
          <w:color w:val="0A0A0A"/>
          <w:w w:val="178"/>
          <w:sz w:val="21"/>
          <w:szCs w:val="21"/>
          <w:lang w:val="en-ZA" w:eastAsia="en-ZA"/>
        </w:rPr>
        <w:t>I</w:t>
      </w:r>
      <w:r w:rsidRPr="00BB5C77">
        <w:rPr>
          <w:rFonts w:ascii="Arial" w:eastAsia="Arial" w:hAnsi="Arial" w:cs="Arial"/>
          <w:color w:val="0A0A0A"/>
          <w:spacing w:val="-43"/>
          <w:sz w:val="21"/>
          <w:szCs w:val="21"/>
          <w:lang w:val="en-ZA" w:eastAsia="en-ZA"/>
        </w:rPr>
        <w:t xml:space="preserve"> </w:t>
      </w:r>
      <w:r w:rsidRPr="00BB5C77">
        <w:rPr>
          <w:rFonts w:ascii="Arial" w:eastAsia="Arial" w:hAnsi="Arial" w:cs="Arial"/>
          <w:color w:val="0A0A0A"/>
          <w:w w:val="107"/>
          <w:sz w:val="21"/>
          <w:szCs w:val="21"/>
          <w:lang w:val="en-ZA" w:eastAsia="en-ZA"/>
        </w:rPr>
        <w:t xml:space="preserve">have </w:t>
      </w:r>
      <w:r w:rsidRPr="00BB5C77">
        <w:rPr>
          <w:rFonts w:ascii="Arial" w:eastAsia="Arial" w:hAnsi="Arial" w:cs="Arial"/>
          <w:color w:val="0A0A0A"/>
          <w:sz w:val="21"/>
          <w:szCs w:val="21"/>
          <w:lang w:val="en-ZA" w:eastAsia="en-ZA"/>
        </w:rPr>
        <w:t>fulfilled</w:t>
      </w:r>
      <w:r w:rsidRPr="00BB5C77">
        <w:rPr>
          <w:rFonts w:ascii="Arial" w:eastAsia="Arial" w:hAnsi="Arial" w:cs="Arial"/>
          <w:color w:val="0A0A0A"/>
          <w:spacing w:val="28"/>
          <w:sz w:val="21"/>
          <w:szCs w:val="21"/>
          <w:lang w:val="en-ZA" w:eastAsia="en-ZA"/>
        </w:rPr>
        <w:t xml:space="preserve"> </w:t>
      </w:r>
      <w:r w:rsidRPr="00BB5C77">
        <w:rPr>
          <w:rFonts w:ascii="Arial" w:eastAsia="Arial" w:hAnsi="Arial" w:cs="Arial"/>
          <w:color w:val="0A0A0A"/>
          <w:sz w:val="21"/>
          <w:szCs w:val="21"/>
          <w:lang w:val="en-ZA" w:eastAsia="en-ZA"/>
        </w:rPr>
        <w:t>my</w:t>
      </w:r>
      <w:r w:rsidRPr="00BB5C77">
        <w:rPr>
          <w:rFonts w:ascii="Arial" w:eastAsia="Arial" w:hAnsi="Arial" w:cs="Arial"/>
          <w:color w:val="0A0A0A"/>
          <w:spacing w:val="11"/>
          <w:sz w:val="21"/>
          <w:szCs w:val="21"/>
          <w:lang w:val="en-ZA" w:eastAsia="en-ZA"/>
        </w:rPr>
        <w:t xml:space="preserve"> </w:t>
      </w:r>
      <w:r w:rsidRPr="00BB5C77">
        <w:rPr>
          <w:rFonts w:ascii="Arial" w:eastAsia="Arial" w:hAnsi="Arial" w:cs="Arial"/>
          <w:color w:val="0A0A0A"/>
          <w:sz w:val="21"/>
          <w:szCs w:val="21"/>
          <w:lang w:val="en-ZA" w:eastAsia="en-ZA"/>
        </w:rPr>
        <w:t>other</w:t>
      </w:r>
      <w:r w:rsidRPr="00BB5C77">
        <w:rPr>
          <w:rFonts w:ascii="Arial" w:eastAsia="Arial" w:hAnsi="Arial" w:cs="Arial"/>
          <w:color w:val="0A0A0A"/>
          <w:spacing w:val="20"/>
          <w:sz w:val="21"/>
          <w:szCs w:val="21"/>
          <w:lang w:val="en-ZA" w:eastAsia="en-ZA"/>
        </w:rPr>
        <w:t xml:space="preserve"> </w:t>
      </w:r>
      <w:r w:rsidRPr="00BB5C77">
        <w:rPr>
          <w:rFonts w:ascii="Arial" w:eastAsia="Arial" w:hAnsi="Arial" w:cs="Arial"/>
          <w:color w:val="0A0A0A"/>
          <w:sz w:val="21"/>
          <w:szCs w:val="21"/>
          <w:lang w:val="en-ZA" w:eastAsia="en-ZA"/>
        </w:rPr>
        <w:t>ethical</w:t>
      </w:r>
      <w:r w:rsidRPr="00BB5C77">
        <w:rPr>
          <w:rFonts w:ascii="Arial" w:eastAsia="Arial" w:hAnsi="Arial" w:cs="Arial"/>
          <w:color w:val="0A0A0A"/>
          <w:spacing w:val="2"/>
          <w:sz w:val="21"/>
          <w:szCs w:val="21"/>
          <w:lang w:val="en-ZA" w:eastAsia="en-ZA"/>
        </w:rPr>
        <w:t xml:space="preserve"> </w:t>
      </w:r>
      <w:r w:rsidRPr="00BB5C77">
        <w:rPr>
          <w:rFonts w:ascii="Arial" w:eastAsia="Arial" w:hAnsi="Arial" w:cs="Arial"/>
          <w:color w:val="0A0A0A"/>
          <w:sz w:val="21"/>
          <w:szCs w:val="21"/>
          <w:lang w:val="en-ZA" w:eastAsia="en-ZA"/>
        </w:rPr>
        <w:t xml:space="preserve">responsibilities </w:t>
      </w:r>
      <w:r w:rsidRPr="00BB5C77">
        <w:rPr>
          <w:rFonts w:ascii="Arial" w:eastAsia="Arial" w:hAnsi="Arial" w:cs="Arial"/>
          <w:color w:val="0A0A0A"/>
          <w:spacing w:val="1"/>
          <w:sz w:val="21"/>
          <w:szCs w:val="21"/>
          <w:lang w:val="en-ZA" w:eastAsia="en-ZA"/>
        </w:rPr>
        <w:t xml:space="preserve"> </w:t>
      </w:r>
      <w:r w:rsidRPr="00BB5C77">
        <w:rPr>
          <w:rFonts w:ascii="Arial" w:eastAsia="Arial" w:hAnsi="Arial" w:cs="Arial"/>
          <w:color w:val="0A0A0A"/>
          <w:sz w:val="21"/>
          <w:szCs w:val="21"/>
          <w:lang w:val="en-ZA" w:eastAsia="en-ZA"/>
        </w:rPr>
        <w:t>in</w:t>
      </w:r>
      <w:r w:rsidRPr="00BB5C77">
        <w:rPr>
          <w:rFonts w:ascii="Arial" w:eastAsia="Arial" w:hAnsi="Arial" w:cs="Arial"/>
          <w:color w:val="0A0A0A"/>
          <w:spacing w:val="10"/>
          <w:sz w:val="21"/>
          <w:szCs w:val="21"/>
          <w:lang w:val="en-ZA" w:eastAsia="en-ZA"/>
        </w:rPr>
        <w:t xml:space="preserve"> </w:t>
      </w:r>
      <w:r w:rsidRPr="00BB5C77">
        <w:rPr>
          <w:rFonts w:ascii="Arial" w:eastAsia="Arial" w:hAnsi="Arial" w:cs="Arial"/>
          <w:color w:val="0A0A0A"/>
          <w:sz w:val="21"/>
          <w:szCs w:val="21"/>
          <w:lang w:val="en-ZA" w:eastAsia="en-ZA"/>
        </w:rPr>
        <w:t>accordance</w:t>
      </w:r>
      <w:r w:rsidRPr="00BB5C77">
        <w:rPr>
          <w:rFonts w:ascii="Arial" w:eastAsia="Arial" w:hAnsi="Arial" w:cs="Arial"/>
          <w:color w:val="0A0A0A"/>
          <w:spacing w:val="51"/>
          <w:sz w:val="21"/>
          <w:szCs w:val="21"/>
          <w:lang w:val="en-ZA" w:eastAsia="en-ZA"/>
        </w:rPr>
        <w:t xml:space="preserve"> </w:t>
      </w:r>
      <w:r w:rsidRPr="00BB5C77">
        <w:rPr>
          <w:rFonts w:ascii="Arial" w:eastAsia="Arial" w:hAnsi="Arial" w:cs="Arial"/>
          <w:color w:val="0A0A0A"/>
          <w:sz w:val="21"/>
          <w:szCs w:val="21"/>
          <w:lang w:val="en-ZA" w:eastAsia="en-ZA"/>
        </w:rPr>
        <w:t>with</w:t>
      </w:r>
      <w:r w:rsidRPr="00BB5C77">
        <w:rPr>
          <w:rFonts w:ascii="Arial" w:eastAsia="Arial" w:hAnsi="Arial" w:cs="Arial"/>
          <w:color w:val="0A0A0A"/>
          <w:spacing w:val="17"/>
          <w:sz w:val="21"/>
          <w:szCs w:val="21"/>
          <w:lang w:val="en-ZA" w:eastAsia="en-ZA"/>
        </w:rPr>
        <w:t xml:space="preserve"> </w:t>
      </w:r>
      <w:r w:rsidRPr="00BB5C77">
        <w:rPr>
          <w:rFonts w:ascii="Arial" w:eastAsia="Arial" w:hAnsi="Arial" w:cs="Arial"/>
          <w:color w:val="0A0A0A"/>
          <w:sz w:val="21"/>
          <w:szCs w:val="21"/>
          <w:lang w:val="en-ZA" w:eastAsia="en-ZA"/>
        </w:rPr>
        <w:t>these</w:t>
      </w:r>
      <w:r w:rsidRPr="00BB5C77">
        <w:rPr>
          <w:rFonts w:ascii="Arial" w:eastAsia="Arial" w:hAnsi="Arial" w:cs="Arial"/>
          <w:color w:val="0A0A0A"/>
          <w:spacing w:val="25"/>
          <w:sz w:val="21"/>
          <w:szCs w:val="21"/>
          <w:lang w:val="en-ZA" w:eastAsia="en-ZA"/>
        </w:rPr>
        <w:t xml:space="preserve"> </w:t>
      </w:r>
      <w:r w:rsidRPr="00BB5C77">
        <w:rPr>
          <w:rFonts w:ascii="Arial" w:eastAsia="Arial" w:hAnsi="Arial" w:cs="Arial"/>
          <w:color w:val="0A0A0A"/>
          <w:sz w:val="21"/>
          <w:szCs w:val="21"/>
          <w:lang w:val="en-ZA" w:eastAsia="en-ZA"/>
        </w:rPr>
        <w:t>requirements</w:t>
      </w:r>
      <w:r w:rsidRPr="00BB5C77">
        <w:rPr>
          <w:rFonts w:ascii="Arial" w:eastAsia="Arial" w:hAnsi="Arial" w:cs="Arial"/>
          <w:color w:val="0A0A0A"/>
          <w:spacing w:val="34"/>
          <w:sz w:val="21"/>
          <w:szCs w:val="21"/>
          <w:lang w:val="en-ZA" w:eastAsia="en-ZA"/>
        </w:rPr>
        <w:t xml:space="preserve"> </w:t>
      </w:r>
      <w:r w:rsidRPr="00BB5C77">
        <w:rPr>
          <w:rFonts w:ascii="Arial" w:eastAsia="Arial" w:hAnsi="Arial" w:cs="Arial"/>
          <w:color w:val="0A0A0A"/>
          <w:sz w:val="21"/>
          <w:szCs w:val="21"/>
          <w:lang w:val="en-ZA" w:eastAsia="en-ZA"/>
        </w:rPr>
        <w:t>and</w:t>
      </w:r>
      <w:r w:rsidRPr="00BB5C77">
        <w:rPr>
          <w:rFonts w:ascii="Arial" w:eastAsia="Arial" w:hAnsi="Arial" w:cs="Arial"/>
          <w:color w:val="0A0A0A"/>
          <w:spacing w:val="24"/>
          <w:sz w:val="21"/>
          <w:szCs w:val="21"/>
          <w:lang w:val="en-ZA" w:eastAsia="en-ZA"/>
        </w:rPr>
        <w:t xml:space="preserve"> </w:t>
      </w:r>
      <w:r w:rsidRPr="00BB5C77">
        <w:rPr>
          <w:rFonts w:ascii="Arial" w:eastAsia="Arial" w:hAnsi="Arial" w:cs="Arial"/>
          <w:color w:val="0A0A0A"/>
          <w:w w:val="106"/>
          <w:sz w:val="21"/>
          <w:szCs w:val="21"/>
          <w:lang w:val="en-ZA" w:eastAsia="en-ZA"/>
        </w:rPr>
        <w:t xml:space="preserve">the </w:t>
      </w:r>
      <w:r w:rsidRPr="00BB5C77">
        <w:rPr>
          <w:rFonts w:ascii="Arial" w:eastAsia="Arial" w:hAnsi="Arial" w:cs="Arial"/>
          <w:color w:val="0A0A0A"/>
          <w:w w:val="110"/>
          <w:sz w:val="21"/>
          <w:szCs w:val="21"/>
          <w:lang w:val="en-ZA" w:eastAsia="en-ZA"/>
        </w:rPr>
        <w:t>IESBA code.</w:t>
      </w:r>
    </w:p>
    <w:p w14:paraId="2F8953D0" w14:textId="77777777" w:rsidR="00BB5C77" w:rsidRPr="00BB5C77" w:rsidRDefault="00BB5C77" w:rsidP="00BB5C77">
      <w:pPr>
        <w:spacing w:before="2" w:after="0" w:line="240" w:lineRule="exact"/>
        <w:jc w:val="both"/>
        <w:rPr>
          <w:rFonts w:eastAsia="Times New Roman" w:cs="Times New Roman"/>
          <w:sz w:val="24"/>
          <w:szCs w:val="24"/>
          <w:lang w:val="en-ZA" w:eastAsia="en-ZA"/>
        </w:rPr>
      </w:pPr>
    </w:p>
    <w:p w14:paraId="42612B5A" w14:textId="77777777" w:rsidR="00BB5C77" w:rsidRPr="00BB5C77" w:rsidRDefault="00BB5C77" w:rsidP="00BB5C77">
      <w:pPr>
        <w:spacing w:after="0" w:line="242" w:lineRule="auto"/>
        <w:ind w:left="609" w:right="69" w:hanging="371"/>
        <w:jc w:val="both"/>
        <w:rPr>
          <w:rFonts w:ascii="Arial" w:eastAsia="Arial" w:hAnsi="Arial" w:cs="Arial"/>
          <w:sz w:val="21"/>
          <w:szCs w:val="21"/>
          <w:lang w:val="en-ZA" w:eastAsia="en-ZA"/>
        </w:rPr>
      </w:pPr>
      <w:r w:rsidRPr="00BB5C77">
        <w:rPr>
          <w:rFonts w:ascii="Arial" w:eastAsia="Arial" w:hAnsi="Arial" w:cs="Arial"/>
          <w:color w:val="0A0A0A"/>
          <w:spacing w:val="-16"/>
          <w:w w:val="115"/>
          <w:sz w:val="21"/>
          <w:szCs w:val="21"/>
          <w:lang w:val="en-ZA" w:eastAsia="en-ZA"/>
        </w:rPr>
        <w:t>5</w:t>
      </w:r>
      <w:r w:rsidRPr="00BB5C77">
        <w:rPr>
          <w:rFonts w:ascii="Arial" w:eastAsia="Arial" w:hAnsi="Arial" w:cs="Arial"/>
          <w:color w:val="3B3B3B"/>
          <w:w w:val="203"/>
          <w:sz w:val="21"/>
          <w:szCs w:val="21"/>
          <w:lang w:val="en-ZA" w:eastAsia="en-ZA"/>
        </w:rPr>
        <w:t>.</w:t>
      </w:r>
      <w:r w:rsidRPr="00BB5C77">
        <w:rPr>
          <w:rFonts w:ascii="Arial" w:eastAsia="Arial" w:hAnsi="Arial" w:cs="Arial"/>
          <w:color w:val="3B3B3B"/>
          <w:sz w:val="21"/>
          <w:szCs w:val="21"/>
          <w:lang w:val="en-ZA" w:eastAsia="en-ZA"/>
        </w:rPr>
        <w:t xml:space="preserve"> </w:t>
      </w:r>
      <w:r w:rsidRPr="00BB5C77">
        <w:rPr>
          <w:rFonts w:ascii="Arial" w:eastAsia="Arial" w:hAnsi="Arial" w:cs="Arial"/>
          <w:color w:val="3B3B3B"/>
          <w:spacing w:val="18"/>
          <w:sz w:val="21"/>
          <w:szCs w:val="21"/>
          <w:lang w:val="en-ZA" w:eastAsia="en-ZA"/>
        </w:rPr>
        <w:t xml:space="preserve"> </w:t>
      </w:r>
      <w:r w:rsidRPr="00BB5C77">
        <w:rPr>
          <w:rFonts w:ascii="Arial" w:eastAsia="Arial" w:hAnsi="Arial" w:cs="Arial"/>
          <w:color w:val="0A0A0A"/>
          <w:spacing w:val="2"/>
          <w:w w:val="214"/>
          <w:sz w:val="21"/>
          <w:szCs w:val="21"/>
          <w:lang w:val="en-ZA" w:eastAsia="en-ZA"/>
        </w:rPr>
        <w:t xml:space="preserve">I </w:t>
      </w:r>
      <w:r w:rsidRPr="00BB5C77">
        <w:rPr>
          <w:rFonts w:ascii="Arial" w:eastAsia="Arial" w:hAnsi="Arial" w:cs="Arial"/>
          <w:color w:val="0A0A0A"/>
          <w:w w:val="106"/>
          <w:sz w:val="21"/>
          <w:szCs w:val="21"/>
          <w:lang w:val="en-ZA" w:eastAsia="en-ZA"/>
        </w:rPr>
        <w:t>believe</w:t>
      </w:r>
      <w:r w:rsidRPr="00BB5C77">
        <w:rPr>
          <w:rFonts w:ascii="Arial" w:eastAsia="Arial" w:hAnsi="Arial" w:cs="Arial"/>
          <w:color w:val="0A0A0A"/>
          <w:spacing w:val="-1"/>
          <w:sz w:val="21"/>
          <w:szCs w:val="21"/>
          <w:lang w:val="en-ZA" w:eastAsia="en-ZA"/>
        </w:rPr>
        <w:t xml:space="preserve"> </w:t>
      </w:r>
      <w:r w:rsidRPr="00BB5C77">
        <w:rPr>
          <w:rFonts w:ascii="Arial" w:eastAsia="Arial" w:hAnsi="Arial" w:cs="Arial"/>
          <w:color w:val="0A0A0A"/>
          <w:sz w:val="21"/>
          <w:szCs w:val="21"/>
          <w:lang w:val="en-ZA" w:eastAsia="en-ZA"/>
        </w:rPr>
        <w:t>that</w:t>
      </w:r>
      <w:r w:rsidRPr="00BB5C77">
        <w:rPr>
          <w:rFonts w:ascii="Arial" w:eastAsia="Arial" w:hAnsi="Arial" w:cs="Arial"/>
          <w:color w:val="0A0A0A"/>
          <w:spacing w:val="4"/>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4"/>
          <w:sz w:val="21"/>
          <w:szCs w:val="21"/>
          <w:lang w:val="en-ZA" w:eastAsia="en-ZA"/>
        </w:rPr>
        <w:t xml:space="preserve"> </w:t>
      </w:r>
      <w:r w:rsidRPr="00BB5C77">
        <w:rPr>
          <w:rFonts w:ascii="Arial" w:eastAsia="Arial" w:hAnsi="Arial" w:cs="Arial"/>
          <w:color w:val="0A0A0A"/>
          <w:sz w:val="21"/>
          <w:szCs w:val="21"/>
          <w:lang w:val="en-ZA" w:eastAsia="en-ZA"/>
        </w:rPr>
        <w:t>audit</w:t>
      </w:r>
      <w:r w:rsidRPr="00BB5C77">
        <w:rPr>
          <w:rFonts w:ascii="Arial" w:eastAsia="Arial" w:hAnsi="Arial" w:cs="Arial"/>
          <w:color w:val="0A0A0A"/>
          <w:spacing w:val="28"/>
          <w:sz w:val="21"/>
          <w:szCs w:val="21"/>
          <w:lang w:val="en-ZA" w:eastAsia="en-ZA"/>
        </w:rPr>
        <w:t xml:space="preserve"> </w:t>
      </w:r>
      <w:r w:rsidRPr="00BB5C77">
        <w:rPr>
          <w:rFonts w:ascii="Arial" w:eastAsia="Arial" w:hAnsi="Arial" w:cs="Arial"/>
          <w:color w:val="0A0A0A"/>
          <w:sz w:val="21"/>
          <w:szCs w:val="21"/>
          <w:lang w:val="en-ZA" w:eastAsia="en-ZA"/>
        </w:rPr>
        <w:t>evidence</w:t>
      </w:r>
      <w:r w:rsidRPr="00BB5C77">
        <w:rPr>
          <w:rFonts w:ascii="Arial" w:eastAsia="Arial" w:hAnsi="Arial" w:cs="Arial"/>
          <w:color w:val="0A0A0A"/>
          <w:spacing w:val="47"/>
          <w:sz w:val="21"/>
          <w:szCs w:val="21"/>
          <w:lang w:val="en-ZA" w:eastAsia="en-ZA"/>
        </w:rPr>
        <w:t xml:space="preserve"> </w:t>
      </w:r>
      <w:r w:rsidRPr="00BB5C77">
        <w:rPr>
          <w:rFonts w:ascii="Arial" w:eastAsia="Arial" w:hAnsi="Arial" w:cs="Arial"/>
          <w:color w:val="0A0A0A"/>
          <w:w w:val="142"/>
          <w:sz w:val="21"/>
          <w:szCs w:val="21"/>
          <w:lang w:val="en-ZA" w:eastAsia="en-ZA"/>
        </w:rPr>
        <w:t>I</w:t>
      </w:r>
      <w:r w:rsidRPr="00BB5C77">
        <w:rPr>
          <w:rFonts w:ascii="Arial" w:eastAsia="Arial" w:hAnsi="Arial" w:cs="Arial"/>
          <w:color w:val="0A0A0A"/>
          <w:spacing w:val="-47"/>
          <w:w w:val="142"/>
          <w:sz w:val="21"/>
          <w:szCs w:val="21"/>
          <w:lang w:val="en-ZA" w:eastAsia="en-ZA"/>
        </w:rPr>
        <w:t xml:space="preserve"> </w:t>
      </w:r>
      <w:r w:rsidRPr="00BB5C77">
        <w:rPr>
          <w:rFonts w:ascii="Arial" w:eastAsia="Arial" w:hAnsi="Arial" w:cs="Arial"/>
          <w:color w:val="0A0A0A"/>
          <w:sz w:val="21"/>
          <w:szCs w:val="21"/>
          <w:lang w:val="en-ZA" w:eastAsia="en-ZA"/>
        </w:rPr>
        <w:t>have</w:t>
      </w:r>
      <w:r w:rsidRPr="00BB5C77">
        <w:rPr>
          <w:rFonts w:ascii="Arial" w:eastAsia="Arial" w:hAnsi="Arial" w:cs="Arial"/>
          <w:color w:val="0A0A0A"/>
          <w:spacing w:val="22"/>
          <w:sz w:val="21"/>
          <w:szCs w:val="21"/>
          <w:lang w:val="en-ZA" w:eastAsia="en-ZA"/>
        </w:rPr>
        <w:t xml:space="preserve"> </w:t>
      </w:r>
      <w:r w:rsidRPr="00BB5C77">
        <w:rPr>
          <w:rFonts w:ascii="Arial" w:eastAsia="Arial" w:hAnsi="Arial" w:cs="Arial"/>
          <w:color w:val="0A0A0A"/>
          <w:sz w:val="21"/>
          <w:szCs w:val="21"/>
          <w:lang w:val="en-ZA" w:eastAsia="en-ZA"/>
        </w:rPr>
        <w:t>obtained</w:t>
      </w:r>
      <w:r w:rsidRPr="00BB5C77">
        <w:rPr>
          <w:rFonts w:ascii="Arial" w:eastAsia="Arial" w:hAnsi="Arial" w:cs="Arial"/>
          <w:color w:val="0A0A0A"/>
          <w:spacing w:val="22"/>
          <w:sz w:val="21"/>
          <w:szCs w:val="21"/>
          <w:lang w:val="en-ZA" w:eastAsia="en-ZA"/>
        </w:rPr>
        <w:t xml:space="preserve"> </w:t>
      </w:r>
      <w:r w:rsidRPr="00BB5C77">
        <w:rPr>
          <w:rFonts w:ascii="Arial" w:eastAsia="Arial" w:hAnsi="Arial" w:cs="Arial"/>
          <w:color w:val="0A0A0A"/>
          <w:sz w:val="21"/>
          <w:szCs w:val="21"/>
          <w:lang w:val="en-ZA" w:eastAsia="en-ZA"/>
        </w:rPr>
        <w:t>is</w:t>
      </w:r>
      <w:r w:rsidRPr="00BB5C77">
        <w:rPr>
          <w:rFonts w:ascii="Arial" w:eastAsia="Arial" w:hAnsi="Arial" w:cs="Arial"/>
          <w:color w:val="0A0A0A"/>
          <w:spacing w:val="21"/>
          <w:sz w:val="21"/>
          <w:szCs w:val="21"/>
          <w:lang w:val="en-ZA" w:eastAsia="en-ZA"/>
        </w:rPr>
        <w:t xml:space="preserve"> </w:t>
      </w:r>
      <w:r w:rsidRPr="00BB5C77">
        <w:rPr>
          <w:rFonts w:ascii="Arial" w:eastAsia="Arial" w:hAnsi="Arial" w:cs="Arial"/>
          <w:color w:val="0A0A0A"/>
          <w:sz w:val="21"/>
          <w:szCs w:val="21"/>
          <w:lang w:val="en-ZA" w:eastAsia="en-ZA"/>
        </w:rPr>
        <w:t>sufficient</w:t>
      </w:r>
      <w:r w:rsidRPr="00BB5C77">
        <w:rPr>
          <w:rFonts w:ascii="Arial" w:eastAsia="Arial" w:hAnsi="Arial" w:cs="Arial"/>
          <w:color w:val="0A0A0A"/>
          <w:spacing w:val="38"/>
          <w:sz w:val="21"/>
          <w:szCs w:val="21"/>
          <w:lang w:val="en-ZA" w:eastAsia="en-ZA"/>
        </w:rPr>
        <w:t xml:space="preserve"> </w:t>
      </w:r>
      <w:r w:rsidRPr="00BB5C77">
        <w:rPr>
          <w:rFonts w:ascii="Arial" w:eastAsia="Arial" w:hAnsi="Arial" w:cs="Arial"/>
          <w:color w:val="0A0A0A"/>
          <w:sz w:val="21"/>
          <w:szCs w:val="21"/>
          <w:lang w:val="en-ZA" w:eastAsia="en-ZA"/>
        </w:rPr>
        <w:t>and</w:t>
      </w:r>
      <w:r w:rsidRPr="00BB5C77">
        <w:rPr>
          <w:rFonts w:ascii="Arial" w:eastAsia="Arial" w:hAnsi="Arial" w:cs="Arial"/>
          <w:color w:val="0A0A0A"/>
          <w:spacing w:val="20"/>
          <w:sz w:val="21"/>
          <w:szCs w:val="21"/>
          <w:lang w:val="en-ZA" w:eastAsia="en-ZA"/>
        </w:rPr>
        <w:t xml:space="preserve"> </w:t>
      </w:r>
      <w:r w:rsidRPr="00BB5C77">
        <w:rPr>
          <w:rFonts w:ascii="Arial" w:eastAsia="Arial" w:hAnsi="Arial" w:cs="Arial"/>
          <w:color w:val="0A0A0A"/>
          <w:sz w:val="21"/>
          <w:szCs w:val="21"/>
          <w:lang w:val="en-ZA" w:eastAsia="en-ZA"/>
        </w:rPr>
        <w:t>appropriate</w:t>
      </w:r>
      <w:r w:rsidRPr="00BB5C77">
        <w:rPr>
          <w:rFonts w:ascii="Arial" w:eastAsia="Arial" w:hAnsi="Arial" w:cs="Arial"/>
          <w:color w:val="0A0A0A"/>
          <w:spacing w:val="26"/>
          <w:sz w:val="21"/>
          <w:szCs w:val="21"/>
          <w:lang w:val="en-ZA" w:eastAsia="en-ZA"/>
        </w:rPr>
        <w:t xml:space="preserve"> </w:t>
      </w:r>
      <w:r w:rsidRPr="00BB5C77">
        <w:rPr>
          <w:rFonts w:ascii="Arial" w:eastAsia="Arial" w:hAnsi="Arial" w:cs="Arial"/>
          <w:color w:val="0A0A0A"/>
          <w:sz w:val="21"/>
          <w:szCs w:val="21"/>
          <w:lang w:val="en-ZA" w:eastAsia="en-ZA"/>
        </w:rPr>
        <w:t>to</w:t>
      </w:r>
      <w:r w:rsidRPr="00BB5C77">
        <w:rPr>
          <w:rFonts w:ascii="Arial" w:eastAsia="Arial" w:hAnsi="Arial" w:cs="Arial"/>
          <w:color w:val="0A0A0A"/>
          <w:spacing w:val="10"/>
          <w:sz w:val="21"/>
          <w:szCs w:val="21"/>
          <w:lang w:val="en-ZA" w:eastAsia="en-ZA"/>
        </w:rPr>
        <w:t xml:space="preserve"> </w:t>
      </w:r>
      <w:r w:rsidRPr="00BB5C77">
        <w:rPr>
          <w:rFonts w:ascii="Arial" w:eastAsia="Arial" w:hAnsi="Arial" w:cs="Arial"/>
          <w:color w:val="0A0A0A"/>
          <w:sz w:val="21"/>
          <w:szCs w:val="21"/>
          <w:lang w:val="en-ZA" w:eastAsia="en-ZA"/>
        </w:rPr>
        <w:t>provide</w:t>
      </w:r>
      <w:r w:rsidRPr="00BB5C77">
        <w:rPr>
          <w:rFonts w:ascii="Arial" w:eastAsia="Arial" w:hAnsi="Arial" w:cs="Arial"/>
          <w:color w:val="0A0A0A"/>
          <w:spacing w:val="36"/>
          <w:sz w:val="21"/>
          <w:szCs w:val="21"/>
          <w:lang w:val="en-ZA" w:eastAsia="en-ZA"/>
        </w:rPr>
        <w:t xml:space="preserve"> </w:t>
      </w:r>
      <w:r w:rsidRPr="00BB5C77">
        <w:rPr>
          <w:rFonts w:ascii="Arial" w:eastAsia="Arial" w:hAnsi="Arial" w:cs="Arial"/>
          <w:color w:val="242424"/>
          <w:w w:val="107"/>
          <w:sz w:val="21"/>
          <w:szCs w:val="21"/>
          <w:lang w:val="en-ZA" w:eastAsia="en-ZA"/>
        </w:rPr>
        <w:t xml:space="preserve">a </w:t>
      </w:r>
      <w:r w:rsidRPr="00BB5C77">
        <w:rPr>
          <w:rFonts w:ascii="Arial" w:eastAsia="Arial" w:hAnsi="Arial" w:cs="Arial"/>
          <w:color w:val="0A0A0A"/>
          <w:sz w:val="21"/>
          <w:szCs w:val="21"/>
          <w:lang w:val="en-ZA" w:eastAsia="en-ZA"/>
        </w:rPr>
        <w:t>basis</w:t>
      </w:r>
      <w:r w:rsidRPr="00BB5C77">
        <w:rPr>
          <w:rFonts w:ascii="Arial" w:eastAsia="Arial" w:hAnsi="Arial" w:cs="Arial"/>
          <w:color w:val="0A0A0A"/>
          <w:spacing w:val="21"/>
          <w:sz w:val="21"/>
          <w:szCs w:val="21"/>
          <w:lang w:val="en-ZA" w:eastAsia="en-ZA"/>
        </w:rPr>
        <w:t xml:space="preserve"> </w:t>
      </w:r>
      <w:r w:rsidRPr="00BB5C77">
        <w:rPr>
          <w:rFonts w:ascii="Arial" w:eastAsia="Arial" w:hAnsi="Arial" w:cs="Arial"/>
          <w:color w:val="0A0A0A"/>
          <w:sz w:val="21"/>
          <w:szCs w:val="21"/>
          <w:lang w:val="en-ZA" w:eastAsia="en-ZA"/>
        </w:rPr>
        <w:t>for</w:t>
      </w:r>
      <w:r w:rsidRPr="00BB5C77">
        <w:rPr>
          <w:rFonts w:ascii="Arial" w:eastAsia="Arial" w:hAnsi="Arial" w:cs="Arial"/>
          <w:color w:val="0A0A0A"/>
          <w:spacing w:val="8"/>
          <w:sz w:val="21"/>
          <w:szCs w:val="21"/>
          <w:lang w:val="en-ZA" w:eastAsia="en-ZA"/>
        </w:rPr>
        <w:t xml:space="preserve"> </w:t>
      </w:r>
      <w:r w:rsidRPr="00BB5C77">
        <w:rPr>
          <w:rFonts w:ascii="Arial" w:eastAsia="Arial" w:hAnsi="Arial" w:cs="Arial"/>
          <w:color w:val="0A0A0A"/>
          <w:sz w:val="21"/>
          <w:szCs w:val="21"/>
          <w:lang w:val="en-ZA" w:eastAsia="en-ZA"/>
        </w:rPr>
        <w:t>my</w:t>
      </w:r>
      <w:r w:rsidRPr="00BB5C77">
        <w:rPr>
          <w:rFonts w:ascii="Arial" w:eastAsia="Arial" w:hAnsi="Arial" w:cs="Arial"/>
          <w:color w:val="0A0A0A"/>
          <w:spacing w:val="19"/>
          <w:sz w:val="21"/>
          <w:szCs w:val="21"/>
          <w:lang w:val="en-ZA" w:eastAsia="en-ZA"/>
        </w:rPr>
        <w:t xml:space="preserve"> </w:t>
      </w:r>
      <w:r w:rsidRPr="00BB5C77">
        <w:rPr>
          <w:rFonts w:ascii="Arial" w:eastAsia="Arial" w:hAnsi="Arial" w:cs="Arial"/>
          <w:color w:val="0A0A0A"/>
          <w:w w:val="108"/>
          <w:sz w:val="21"/>
          <w:szCs w:val="21"/>
          <w:lang w:val="en-ZA" w:eastAsia="en-ZA"/>
        </w:rPr>
        <w:t>o</w:t>
      </w:r>
      <w:r w:rsidRPr="00BB5C77">
        <w:rPr>
          <w:rFonts w:ascii="Arial" w:eastAsia="Arial" w:hAnsi="Arial" w:cs="Arial"/>
          <w:color w:val="0A0A0A"/>
          <w:spacing w:val="-11"/>
          <w:w w:val="108"/>
          <w:sz w:val="21"/>
          <w:szCs w:val="21"/>
          <w:lang w:val="en-ZA" w:eastAsia="en-ZA"/>
        </w:rPr>
        <w:t>p</w:t>
      </w:r>
      <w:r w:rsidRPr="00BB5C77">
        <w:rPr>
          <w:rFonts w:ascii="Arial" w:eastAsia="Arial" w:hAnsi="Arial" w:cs="Arial"/>
          <w:color w:val="242424"/>
          <w:spacing w:val="-13"/>
          <w:w w:val="155"/>
          <w:sz w:val="21"/>
          <w:szCs w:val="21"/>
          <w:lang w:val="en-ZA" w:eastAsia="en-ZA"/>
        </w:rPr>
        <w:t>i</w:t>
      </w:r>
      <w:r w:rsidRPr="00BB5C77">
        <w:rPr>
          <w:rFonts w:ascii="Arial" w:eastAsia="Arial" w:hAnsi="Arial" w:cs="Arial"/>
          <w:color w:val="0A0A0A"/>
          <w:w w:val="109"/>
          <w:sz w:val="21"/>
          <w:szCs w:val="21"/>
          <w:lang w:val="en-ZA" w:eastAsia="en-ZA"/>
        </w:rPr>
        <w:t>nio</w:t>
      </w:r>
      <w:r w:rsidRPr="00BB5C77">
        <w:rPr>
          <w:rFonts w:ascii="Arial" w:eastAsia="Arial" w:hAnsi="Arial" w:cs="Arial"/>
          <w:color w:val="0A0A0A"/>
          <w:spacing w:val="-18"/>
          <w:w w:val="109"/>
          <w:sz w:val="21"/>
          <w:szCs w:val="21"/>
          <w:lang w:val="en-ZA" w:eastAsia="en-ZA"/>
        </w:rPr>
        <w:t>n</w:t>
      </w:r>
      <w:r w:rsidRPr="00BB5C77">
        <w:rPr>
          <w:rFonts w:ascii="Arial" w:eastAsia="Arial" w:hAnsi="Arial" w:cs="Arial"/>
          <w:color w:val="242424"/>
          <w:w w:val="169"/>
          <w:sz w:val="21"/>
          <w:szCs w:val="21"/>
          <w:lang w:val="en-ZA" w:eastAsia="en-ZA"/>
        </w:rPr>
        <w:t>.</w:t>
      </w:r>
    </w:p>
    <w:p w14:paraId="24C8FEE7" w14:textId="77777777" w:rsidR="00BB5C77" w:rsidRPr="00BB5C77" w:rsidRDefault="00BB5C77" w:rsidP="00BB5C77">
      <w:pPr>
        <w:spacing w:before="10" w:after="0" w:line="140" w:lineRule="exact"/>
        <w:jc w:val="both"/>
        <w:rPr>
          <w:rFonts w:eastAsia="Times New Roman" w:cs="Times New Roman"/>
          <w:sz w:val="14"/>
          <w:szCs w:val="14"/>
          <w:lang w:val="en-ZA" w:eastAsia="en-ZA"/>
        </w:rPr>
      </w:pPr>
    </w:p>
    <w:p w14:paraId="4DE7AA46" w14:textId="77777777" w:rsidR="00BB5C77" w:rsidRPr="00BB5C77" w:rsidRDefault="00BB5C77" w:rsidP="00BB5C77">
      <w:pPr>
        <w:spacing w:after="0" w:line="200" w:lineRule="exact"/>
        <w:jc w:val="both"/>
        <w:rPr>
          <w:rFonts w:eastAsia="Times New Roman" w:cs="Times New Roman"/>
          <w:szCs w:val="20"/>
          <w:lang w:val="en-ZA" w:eastAsia="en-ZA"/>
        </w:rPr>
      </w:pPr>
    </w:p>
    <w:p w14:paraId="4B7C2EC6" w14:textId="77777777" w:rsidR="00BB5C77" w:rsidRPr="00BB5C77" w:rsidRDefault="00BB5C77" w:rsidP="00BB5C77">
      <w:pPr>
        <w:spacing w:after="0" w:line="240" w:lineRule="auto"/>
        <w:ind w:left="251" w:right="-20"/>
        <w:jc w:val="both"/>
        <w:rPr>
          <w:rFonts w:ascii="Arial" w:eastAsia="Arial" w:hAnsi="Arial" w:cs="Arial"/>
          <w:sz w:val="25"/>
          <w:szCs w:val="25"/>
          <w:lang w:val="en-ZA" w:eastAsia="en-ZA"/>
        </w:rPr>
      </w:pPr>
      <w:r w:rsidRPr="00BB5C77">
        <w:rPr>
          <w:rFonts w:ascii="Arial" w:eastAsia="Arial" w:hAnsi="Arial" w:cs="Arial"/>
          <w:color w:val="242424"/>
          <w:sz w:val="25"/>
          <w:szCs w:val="25"/>
          <w:lang w:val="en-ZA" w:eastAsia="en-ZA"/>
        </w:rPr>
        <w:t>Emphasis</w:t>
      </w:r>
      <w:r w:rsidRPr="00BB5C77">
        <w:rPr>
          <w:rFonts w:ascii="Arial" w:eastAsia="Arial" w:hAnsi="Arial" w:cs="Arial"/>
          <w:color w:val="242424"/>
          <w:spacing w:val="15"/>
          <w:sz w:val="25"/>
          <w:szCs w:val="25"/>
          <w:lang w:val="en-ZA" w:eastAsia="en-ZA"/>
        </w:rPr>
        <w:t xml:space="preserve"> </w:t>
      </w:r>
      <w:r w:rsidRPr="00BB5C77">
        <w:rPr>
          <w:rFonts w:ascii="Arial" w:eastAsia="Arial" w:hAnsi="Arial" w:cs="Arial"/>
          <w:color w:val="242424"/>
          <w:sz w:val="25"/>
          <w:szCs w:val="25"/>
          <w:lang w:val="en-ZA" w:eastAsia="en-ZA"/>
        </w:rPr>
        <w:t>of</w:t>
      </w:r>
      <w:r w:rsidRPr="00BB5C77">
        <w:rPr>
          <w:rFonts w:ascii="Arial" w:eastAsia="Arial" w:hAnsi="Arial" w:cs="Arial"/>
          <w:color w:val="242424"/>
          <w:spacing w:val="14"/>
          <w:sz w:val="25"/>
          <w:szCs w:val="25"/>
          <w:lang w:val="en-ZA" w:eastAsia="en-ZA"/>
        </w:rPr>
        <w:t xml:space="preserve"> </w:t>
      </w:r>
      <w:r w:rsidRPr="00BB5C77">
        <w:rPr>
          <w:rFonts w:ascii="Arial" w:eastAsia="Arial" w:hAnsi="Arial" w:cs="Arial"/>
          <w:color w:val="242424"/>
          <w:w w:val="104"/>
          <w:sz w:val="25"/>
          <w:szCs w:val="25"/>
          <w:lang w:val="en-ZA" w:eastAsia="en-ZA"/>
        </w:rPr>
        <w:t>matter</w:t>
      </w:r>
    </w:p>
    <w:p w14:paraId="761B389E" w14:textId="77777777" w:rsidR="00BB5C77" w:rsidRPr="00BB5C77" w:rsidRDefault="00BB5C77" w:rsidP="00BB5C77">
      <w:pPr>
        <w:spacing w:before="14" w:after="0" w:line="220" w:lineRule="exact"/>
        <w:jc w:val="both"/>
        <w:rPr>
          <w:rFonts w:eastAsia="Times New Roman" w:cs="Times New Roman"/>
          <w:sz w:val="22"/>
          <w:lang w:val="en-ZA" w:eastAsia="en-ZA"/>
        </w:rPr>
      </w:pPr>
    </w:p>
    <w:p w14:paraId="0D580BAC" w14:textId="77777777" w:rsidR="00BB5C77" w:rsidRPr="00BB5C77" w:rsidRDefault="00BB5C77" w:rsidP="00BB5C77">
      <w:pPr>
        <w:spacing w:after="0" w:line="240" w:lineRule="auto"/>
        <w:ind w:left="237" w:right="-20"/>
        <w:jc w:val="both"/>
        <w:rPr>
          <w:rFonts w:ascii="Arial" w:eastAsia="Arial" w:hAnsi="Arial" w:cs="Arial"/>
          <w:sz w:val="21"/>
          <w:szCs w:val="21"/>
          <w:lang w:val="en-ZA" w:eastAsia="en-ZA"/>
        </w:rPr>
      </w:pPr>
      <w:r w:rsidRPr="00BB5C77">
        <w:rPr>
          <w:rFonts w:ascii="Arial" w:eastAsia="Arial" w:hAnsi="Arial" w:cs="Arial"/>
          <w:color w:val="0A0A0A"/>
          <w:spacing w:val="-10"/>
          <w:w w:val="115"/>
          <w:sz w:val="21"/>
          <w:szCs w:val="21"/>
          <w:lang w:val="en-ZA" w:eastAsia="en-ZA"/>
        </w:rPr>
        <w:t>6</w:t>
      </w:r>
      <w:r w:rsidRPr="00BB5C77">
        <w:rPr>
          <w:rFonts w:ascii="Arial" w:eastAsia="Arial" w:hAnsi="Arial" w:cs="Arial"/>
          <w:color w:val="242424"/>
          <w:w w:val="169"/>
          <w:sz w:val="21"/>
          <w:szCs w:val="21"/>
          <w:lang w:val="en-ZA" w:eastAsia="en-ZA"/>
        </w:rPr>
        <w:t>.</w:t>
      </w:r>
      <w:r w:rsidRPr="00BB5C77">
        <w:rPr>
          <w:rFonts w:ascii="Arial" w:eastAsia="Arial" w:hAnsi="Arial" w:cs="Arial"/>
          <w:color w:val="242424"/>
          <w:sz w:val="21"/>
          <w:szCs w:val="21"/>
          <w:lang w:val="en-ZA" w:eastAsia="en-ZA"/>
        </w:rPr>
        <w:t xml:space="preserve">  </w:t>
      </w:r>
      <w:r w:rsidRPr="00BB5C77">
        <w:rPr>
          <w:rFonts w:ascii="Arial" w:eastAsia="Arial" w:hAnsi="Arial" w:cs="Arial"/>
          <w:color w:val="242424"/>
          <w:spacing w:val="-20"/>
          <w:sz w:val="21"/>
          <w:szCs w:val="21"/>
          <w:lang w:val="en-ZA" w:eastAsia="en-ZA"/>
        </w:rPr>
        <w:t xml:space="preserve"> </w:t>
      </w:r>
      <w:r w:rsidRPr="00BB5C77">
        <w:rPr>
          <w:rFonts w:ascii="Arial" w:eastAsia="Arial" w:hAnsi="Arial" w:cs="Arial"/>
          <w:color w:val="0A0A0A"/>
          <w:w w:val="178"/>
          <w:sz w:val="21"/>
          <w:szCs w:val="21"/>
          <w:lang w:val="en-ZA" w:eastAsia="en-ZA"/>
        </w:rPr>
        <w:t>I</w:t>
      </w:r>
      <w:r w:rsidRPr="00BB5C77">
        <w:rPr>
          <w:rFonts w:ascii="Arial" w:eastAsia="Arial" w:hAnsi="Arial" w:cs="Arial"/>
          <w:color w:val="0A0A0A"/>
          <w:spacing w:val="-43"/>
          <w:sz w:val="21"/>
          <w:szCs w:val="21"/>
          <w:lang w:val="en-ZA" w:eastAsia="en-ZA"/>
        </w:rPr>
        <w:t xml:space="preserve"> </w:t>
      </w:r>
      <w:r w:rsidRPr="00BB5C77">
        <w:rPr>
          <w:rFonts w:ascii="Arial" w:eastAsia="Arial" w:hAnsi="Arial" w:cs="Arial"/>
          <w:color w:val="0A0A0A"/>
          <w:sz w:val="21"/>
          <w:szCs w:val="21"/>
          <w:lang w:val="en-ZA" w:eastAsia="en-ZA"/>
        </w:rPr>
        <w:t>draw</w:t>
      </w:r>
      <w:r w:rsidRPr="00BB5C77">
        <w:rPr>
          <w:rFonts w:ascii="Arial" w:eastAsia="Arial" w:hAnsi="Arial" w:cs="Arial"/>
          <w:color w:val="0A0A0A"/>
          <w:spacing w:val="23"/>
          <w:sz w:val="21"/>
          <w:szCs w:val="21"/>
          <w:lang w:val="en-ZA" w:eastAsia="en-ZA"/>
        </w:rPr>
        <w:t xml:space="preserve"> </w:t>
      </w:r>
      <w:r w:rsidRPr="00BB5C77">
        <w:rPr>
          <w:rFonts w:ascii="Arial" w:eastAsia="Arial" w:hAnsi="Arial" w:cs="Arial"/>
          <w:color w:val="0A0A0A"/>
          <w:sz w:val="21"/>
          <w:szCs w:val="21"/>
          <w:lang w:val="en-ZA" w:eastAsia="en-ZA"/>
        </w:rPr>
        <w:t>attention</w:t>
      </w:r>
      <w:r w:rsidRPr="00BB5C77">
        <w:rPr>
          <w:rFonts w:ascii="Arial" w:eastAsia="Arial" w:hAnsi="Arial" w:cs="Arial"/>
          <w:color w:val="0A0A0A"/>
          <w:spacing w:val="30"/>
          <w:sz w:val="21"/>
          <w:szCs w:val="21"/>
          <w:lang w:val="en-ZA" w:eastAsia="en-ZA"/>
        </w:rPr>
        <w:t xml:space="preserve"> </w:t>
      </w:r>
      <w:r w:rsidRPr="00BB5C77">
        <w:rPr>
          <w:rFonts w:ascii="Arial" w:eastAsia="Arial" w:hAnsi="Arial" w:cs="Arial"/>
          <w:color w:val="0A0A0A"/>
          <w:sz w:val="21"/>
          <w:szCs w:val="21"/>
          <w:lang w:val="en-ZA" w:eastAsia="en-ZA"/>
        </w:rPr>
        <w:t>to</w:t>
      </w:r>
      <w:r w:rsidRPr="00BB5C77">
        <w:rPr>
          <w:rFonts w:ascii="Arial" w:eastAsia="Arial" w:hAnsi="Arial" w:cs="Arial"/>
          <w:color w:val="0A0A0A"/>
          <w:spacing w:val="1"/>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3"/>
          <w:sz w:val="21"/>
          <w:szCs w:val="21"/>
          <w:lang w:val="en-ZA" w:eastAsia="en-ZA"/>
        </w:rPr>
        <w:t xml:space="preserve"> </w:t>
      </w:r>
      <w:r w:rsidRPr="00BB5C77">
        <w:rPr>
          <w:rFonts w:ascii="Arial" w:eastAsia="Arial" w:hAnsi="Arial" w:cs="Arial"/>
          <w:color w:val="0A0A0A"/>
          <w:sz w:val="21"/>
          <w:szCs w:val="21"/>
          <w:lang w:val="en-ZA" w:eastAsia="en-ZA"/>
        </w:rPr>
        <w:t>matter</w:t>
      </w:r>
      <w:r w:rsidRPr="00BB5C77">
        <w:rPr>
          <w:rFonts w:ascii="Arial" w:eastAsia="Arial" w:hAnsi="Arial" w:cs="Arial"/>
          <w:color w:val="0A0A0A"/>
          <w:spacing w:val="31"/>
          <w:sz w:val="21"/>
          <w:szCs w:val="21"/>
          <w:lang w:val="en-ZA" w:eastAsia="en-ZA"/>
        </w:rPr>
        <w:t xml:space="preserve"> </w:t>
      </w:r>
      <w:r w:rsidRPr="00BB5C77">
        <w:rPr>
          <w:rFonts w:ascii="Arial" w:eastAsia="Arial" w:hAnsi="Arial" w:cs="Arial"/>
          <w:color w:val="0A0A0A"/>
          <w:w w:val="107"/>
          <w:sz w:val="21"/>
          <w:szCs w:val="21"/>
          <w:lang w:val="en-ZA" w:eastAsia="en-ZA"/>
        </w:rPr>
        <w:t>belo</w:t>
      </w:r>
      <w:r w:rsidRPr="00BB5C77">
        <w:rPr>
          <w:rFonts w:ascii="Arial" w:eastAsia="Arial" w:hAnsi="Arial" w:cs="Arial"/>
          <w:color w:val="0A0A0A"/>
          <w:spacing w:val="-14"/>
          <w:w w:val="107"/>
          <w:sz w:val="21"/>
          <w:szCs w:val="21"/>
          <w:lang w:val="en-ZA" w:eastAsia="en-ZA"/>
        </w:rPr>
        <w:t>w</w:t>
      </w:r>
      <w:r w:rsidRPr="00BB5C77">
        <w:rPr>
          <w:rFonts w:ascii="Arial" w:eastAsia="Arial" w:hAnsi="Arial" w:cs="Arial"/>
          <w:color w:val="242424"/>
          <w:w w:val="169"/>
          <w:sz w:val="21"/>
          <w:szCs w:val="21"/>
          <w:lang w:val="en-ZA" w:eastAsia="en-ZA"/>
        </w:rPr>
        <w:t>.</w:t>
      </w:r>
      <w:r w:rsidRPr="00BB5C77">
        <w:rPr>
          <w:rFonts w:ascii="Arial" w:eastAsia="Arial" w:hAnsi="Arial" w:cs="Arial"/>
          <w:color w:val="242424"/>
          <w:spacing w:val="-20"/>
          <w:sz w:val="21"/>
          <w:szCs w:val="21"/>
          <w:lang w:val="en-ZA" w:eastAsia="en-ZA"/>
        </w:rPr>
        <w:t xml:space="preserve"> </w:t>
      </w:r>
      <w:r w:rsidRPr="00BB5C77">
        <w:rPr>
          <w:rFonts w:ascii="Times New Roman" w:eastAsia="Times New Roman" w:hAnsi="Times New Roman" w:cs="Times New Roman"/>
          <w:color w:val="0A0A0A"/>
          <w:w w:val="91"/>
          <w:sz w:val="23"/>
          <w:szCs w:val="23"/>
          <w:lang w:val="en-ZA" w:eastAsia="en-ZA"/>
        </w:rPr>
        <w:t>My</w:t>
      </w:r>
      <w:r w:rsidRPr="00BB5C77">
        <w:rPr>
          <w:rFonts w:ascii="Times New Roman" w:eastAsia="Times New Roman" w:hAnsi="Times New Roman" w:cs="Times New Roman"/>
          <w:color w:val="0A0A0A"/>
          <w:spacing w:val="-11"/>
          <w:w w:val="91"/>
          <w:sz w:val="23"/>
          <w:szCs w:val="23"/>
          <w:lang w:val="en-ZA" w:eastAsia="en-ZA"/>
        </w:rPr>
        <w:t xml:space="preserve"> </w:t>
      </w:r>
      <w:r w:rsidRPr="00BB5C77">
        <w:rPr>
          <w:rFonts w:ascii="Arial" w:eastAsia="Arial" w:hAnsi="Arial" w:cs="Arial"/>
          <w:color w:val="0A0A0A"/>
          <w:sz w:val="21"/>
          <w:szCs w:val="21"/>
          <w:lang w:val="en-ZA" w:eastAsia="en-ZA"/>
        </w:rPr>
        <w:t>opinion</w:t>
      </w:r>
      <w:r w:rsidRPr="00BB5C77">
        <w:rPr>
          <w:rFonts w:ascii="Arial" w:eastAsia="Arial" w:hAnsi="Arial" w:cs="Arial"/>
          <w:color w:val="0A0A0A"/>
          <w:spacing w:val="29"/>
          <w:sz w:val="21"/>
          <w:szCs w:val="21"/>
          <w:lang w:val="en-ZA" w:eastAsia="en-ZA"/>
        </w:rPr>
        <w:t xml:space="preserve"> </w:t>
      </w:r>
      <w:r w:rsidRPr="00BB5C77">
        <w:rPr>
          <w:rFonts w:ascii="Arial" w:eastAsia="Arial" w:hAnsi="Arial" w:cs="Arial"/>
          <w:color w:val="0A0A0A"/>
          <w:sz w:val="21"/>
          <w:szCs w:val="21"/>
          <w:lang w:val="en-ZA" w:eastAsia="en-ZA"/>
        </w:rPr>
        <w:t>is</w:t>
      </w:r>
      <w:r w:rsidRPr="00BB5C77">
        <w:rPr>
          <w:rFonts w:ascii="Arial" w:eastAsia="Arial" w:hAnsi="Arial" w:cs="Arial"/>
          <w:color w:val="0A0A0A"/>
          <w:spacing w:val="21"/>
          <w:sz w:val="21"/>
          <w:szCs w:val="21"/>
          <w:lang w:val="en-ZA" w:eastAsia="en-ZA"/>
        </w:rPr>
        <w:t xml:space="preserve"> </w:t>
      </w:r>
      <w:r w:rsidRPr="00BB5C77">
        <w:rPr>
          <w:rFonts w:ascii="Arial" w:eastAsia="Arial" w:hAnsi="Arial" w:cs="Arial"/>
          <w:color w:val="0A0A0A"/>
          <w:sz w:val="21"/>
          <w:szCs w:val="21"/>
          <w:lang w:val="en-ZA" w:eastAsia="en-ZA"/>
        </w:rPr>
        <w:t>not</w:t>
      </w:r>
      <w:r w:rsidRPr="00BB5C77">
        <w:rPr>
          <w:rFonts w:ascii="Arial" w:eastAsia="Arial" w:hAnsi="Arial" w:cs="Arial"/>
          <w:color w:val="0A0A0A"/>
          <w:spacing w:val="15"/>
          <w:sz w:val="21"/>
          <w:szCs w:val="21"/>
          <w:lang w:val="en-ZA" w:eastAsia="en-ZA"/>
        </w:rPr>
        <w:t xml:space="preserve"> </w:t>
      </w:r>
      <w:r w:rsidRPr="00BB5C77">
        <w:rPr>
          <w:rFonts w:ascii="Arial" w:eastAsia="Arial" w:hAnsi="Arial" w:cs="Arial"/>
          <w:color w:val="0A0A0A"/>
          <w:sz w:val="21"/>
          <w:szCs w:val="21"/>
          <w:lang w:val="en-ZA" w:eastAsia="en-ZA"/>
        </w:rPr>
        <w:t>modified</w:t>
      </w:r>
      <w:r w:rsidRPr="00BB5C77">
        <w:rPr>
          <w:rFonts w:ascii="Arial" w:eastAsia="Arial" w:hAnsi="Arial" w:cs="Arial"/>
          <w:color w:val="0A0A0A"/>
          <w:spacing w:val="43"/>
          <w:sz w:val="21"/>
          <w:szCs w:val="21"/>
          <w:lang w:val="en-ZA" w:eastAsia="en-ZA"/>
        </w:rPr>
        <w:t xml:space="preserve"> </w:t>
      </w:r>
      <w:r w:rsidRPr="00BB5C77">
        <w:rPr>
          <w:rFonts w:ascii="Arial" w:eastAsia="Arial" w:hAnsi="Arial" w:cs="Arial"/>
          <w:color w:val="0A0A0A"/>
          <w:sz w:val="21"/>
          <w:szCs w:val="21"/>
          <w:lang w:val="en-ZA" w:eastAsia="en-ZA"/>
        </w:rPr>
        <w:t>in</w:t>
      </w:r>
      <w:r w:rsidRPr="00BB5C77">
        <w:rPr>
          <w:rFonts w:ascii="Arial" w:eastAsia="Arial" w:hAnsi="Arial" w:cs="Arial"/>
          <w:color w:val="0A0A0A"/>
          <w:spacing w:val="4"/>
          <w:sz w:val="21"/>
          <w:szCs w:val="21"/>
          <w:lang w:val="en-ZA" w:eastAsia="en-ZA"/>
        </w:rPr>
        <w:t xml:space="preserve"> </w:t>
      </w:r>
      <w:r w:rsidRPr="00BB5C77">
        <w:rPr>
          <w:rFonts w:ascii="Arial" w:eastAsia="Arial" w:hAnsi="Arial" w:cs="Arial"/>
          <w:color w:val="0A0A0A"/>
          <w:sz w:val="21"/>
          <w:szCs w:val="21"/>
          <w:lang w:val="en-ZA" w:eastAsia="en-ZA"/>
        </w:rPr>
        <w:t>respect</w:t>
      </w:r>
      <w:r w:rsidRPr="00BB5C77">
        <w:rPr>
          <w:rFonts w:ascii="Arial" w:eastAsia="Arial" w:hAnsi="Arial" w:cs="Arial"/>
          <w:color w:val="0A0A0A"/>
          <w:spacing w:val="23"/>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7"/>
          <w:sz w:val="21"/>
          <w:szCs w:val="21"/>
          <w:lang w:val="en-ZA" w:eastAsia="en-ZA"/>
        </w:rPr>
        <w:t xml:space="preserve"> </w:t>
      </w:r>
      <w:r w:rsidRPr="00BB5C77">
        <w:rPr>
          <w:rFonts w:ascii="Arial" w:eastAsia="Arial" w:hAnsi="Arial" w:cs="Arial"/>
          <w:color w:val="0A0A0A"/>
          <w:sz w:val="21"/>
          <w:szCs w:val="21"/>
          <w:lang w:val="en-ZA" w:eastAsia="en-ZA"/>
        </w:rPr>
        <w:t>this</w:t>
      </w:r>
      <w:r w:rsidRPr="00BB5C77">
        <w:rPr>
          <w:rFonts w:ascii="Arial" w:eastAsia="Arial" w:hAnsi="Arial" w:cs="Arial"/>
          <w:color w:val="0A0A0A"/>
          <w:spacing w:val="18"/>
          <w:sz w:val="21"/>
          <w:szCs w:val="21"/>
          <w:lang w:val="en-ZA" w:eastAsia="en-ZA"/>
        </w:rPr>
        <w:t xml:space="preserve"> </w:t>
      </w:r>
      <w:r w:rsidRPr="00BB5C77">
        <w:rPr>
          <w:rFonts w:ascii="Arial" w:eastAsia="Arial" w:hAnsi="Arial" w:cs="Arial"/>
          <w:color w:val="0A0A0A"/>
          <w:w w:val="105"/>
          <w:sz w:val="21"/>
          <w:szCs w:val="21"/>
          <w:lang w:val="en-ZA" w:eastAsia="en-ZA"/>
        </w:rPr>
        <w:t>matte</w:t>
      </w:r>
      <w:r w:rsidRPr="00BB5C77">
        <w:rPr>
          <w:rFonts w:ascii="Arial" w:eastAsia="Arial" w:hAnsi="Arial" w:cs="Arial"/>
          <w:color w:val="0A0A0A"/>
          <w:spacing w:val="-12"/>
          <w:w w:val="106"/>
          <w:sz w:val="21"/>
          <w:szCs w:val="21"/>
          <w:lang w:val="en-ZA" w:eastAsia="en-ZA"/>
        </w:rPr>
        <w:t>r</w:t>
      </w:r>
      <w:r w:rsidRPr="00BB5C77">
        <w:rPr>
          <w:rFonts w:ascii="Arial" w:eastAsia="Arial" w:hAnsi="Arial" w:cs="Arial"/>
          <w:color w:val="242424"/>
          <w:w w:val="169"/>
          <w:sz w:val="21"/>
          <w:szCs w:val="21"/>
          <w:lang w:val="en-ZA" w:eastAsia="en-ZA"/>
        </w:rPr>
        <w:t>.</w:t>
      </w:r>
    </w:p>
    <w:p w14:paraId="05C48C25" w14:textId="77777777" w:rsidR="00BB5C77" w:rsidRPr="00BB5C77" w:rsidRDefault="00BB5C77" w:rsidP="00BB5C77">
      <w:pPr>
        <w:spacing w:before="11" w:after="0" w:line="220" w:lineRule="exact"/>
        <w:jc w:val="both"/>
        <w:rPr>
          <w:rFonts w:eastAsia="Times New Roman" w:cs="Times New Roman"/>
          <w:sz w:val="22"/>
          <w:lang w:val="en-ZA" w:eastAsia="en-ZA"/>
        </w:rPr>
      </w:pPr>
    </w:p>
    <w:p w14:paraId="604125EE" w14:textId="77777777" w:rsidR="00BB5C77" w:rsidRPr="00BB5C77" w:rsidRDefault="00BB5C77" w:rsidP="00BB5C77">
      <w:pPr>
        <w:spacing w:after="0" w:line="240" w:lineRule="auto"/>
        <w:ind w:left="237" w:right="-20"/>
        <w:jc w:val="both"/>
        <w:rPr>
          <w:rFonts w:ascii="Arial" w:eastAsia="Arial" w:hAnsi="Arial" w:cs="Arial"/>
          <w:sz w:val="22"/>
          <w:lang w:val="en-ZA" w:eastAsia="en-ZA"/>
        </w:rPr>
      </w:pPr>
      <w:r w:rsidRPr="00BB5C77">
        <w:rPr>
          <w:rFonts w:ascii="Arial" w:eastAsia="Arial" w:hAnsi="Arial" w:cs="Arial"/>
          <w:color w:val="242424"/>
          <w:sz w:val="22"/>
          <w:lang w:val="en-ZA" w:eastAsia="en-ZA"/>
        </w:rPr>
        <w:t>Material</w:t>
      </w:r>
      <w:r w:rsidRPr="00BB5C77">
        <w:rPr>
          <w:rFonts w:ascii="Arial" w:eastAsia="Arial" w:hAnsi="Arial" w:cs="Arial"/>
          <w:color w:val="242424"/>
          <w:spacing w:val="26"/>
          <w:sz w:val="22"/>
          <w:lang w:val="en-ZA" w:eastAsia="en-ZA"/>
        </w:rPr>
        <w:t xml:space="preserve"> </w:t>
      </w:r>
      <w:r w:rsidRPr="00BB5C77">
        <w:rPr>
          <w:rFonts w:ascii="Arial" w:eastAsia="Arial" w:hAnsi="Arial" w:cs="Arial"/>
          <w:color w:val="242424"/>
          <w:sz w:val="22"/>
          <w:lang w:val="en-ZA" w:eastAsia="en-ZA"/>
        </w:rPr>
        <w:t>losses</w:t>
      </w:r>
      <w:r w:rsidRPr="00BB5C77">
        <w:rPr>
          <w:rFonts w:ascii="Arial" w:eastAsia="Arial" w:hAnsi="Arial" w:cs="Arial"/>
          <w:color w:val="242424"/>
          <w:spacing w:val="55"/>
          <w:sz w:val="22"/>
          <w:lang w:val="en-ZA" w:eastAsia="en-ZA"/>
        </w:rPr>
        <w:t xml:space="preserve"> </w:t>
      </w:r>
      <w:r w:rsidRPr="00BB5C77">
        <w:rPr>
          <w:rFonts w:ascii="Arial" w:eastAsia="Arial" w:hAnsi="Arial" w:cs="Arial"/>
          <w:color w:val="242424"/>
          <w:w w:val="227"/>
          <w:sz w:val="22"/>
          <w:lang w:val="en-ZA" w:eastAsia="en-ZA"/>
        </w:rPr>
        <w:t>-</w:t>
      </w:r>
      <w:r w:rsidRPr="00BB5C77">
        <w:rPr>
          <w:rFonts w:ascii="Arial" w:eastAsia="Arial" w:hAnsi="Arial" w:cs="Arial"/>
          <w:color w:val="242424"/>
          <w:spacing w:val="-43"/>
          <w:sz w:val="22"/>
          <w:lang w:val="en-ZA" w:eastAsia="en-ZA"/>
        </w:rPr>
        <w:t xml:space="preserve"> </w:t>
      </w:r>
      <w:r w:rsidRPr="00BB5C77">
        <w:rPr>
          <w:rFonts w:ascii="Arial" w:eastAsia="Arial" w:hAnsi="Arial" w:cs="Arial"/>
          <w:color w:val="242424"/>
          <w:w w:val="113"/>
          <w:sz w:val="22"/>
          <w:lang w:val="en-ZA" w:eastAsia="en-ZA"/>
        </w:rPr>
        <w:t>electricity</w:t>
      </w:r>
    </w:p>
    <w:p w14:paraId="3E590808" w14:textId="77777777" w:rsidR="00BB5C77" w:rsidRPr="00BB5C77" w:rsidRDefault="00BB5C77" w:rsidP="00BB5C77">
      <w:pPr>
        <w:spacing w:before="11" w:after="0" w:line="240" w:lineRule="exact"/>
        <w:jc w:val="both"/>
        <w:rPr>
          <w:rFonts w:eastAsia="Times New Roman" w:cs="Times New Roman"/>
          <w:sz w:val="24"/>
          <w:szCs w:val="24"/>
          <w:lang w:val="en-ZA" w:eastAsia="en-ZA"/>
        </w:rPr>
      </w:pPr>
    </w:p>
    <w:p w14:paraId="7895FC4F" w14:textId="77777777" w:rsidR="00BB5C77" w:rsidRPr="00BB5C77" w:rsidRDefault="00BB5C77" w:rsidP="00BB5C77">
      <w:pPr>
        <w:spacing w:after="0" w:line="249" w:lineRule="auto"/>
        <w:ind w:left="609" w:right="310" w:hanging="371"/>
        <w:jc w:val="both"/>
        <w:rPr>
          <w:rFonts w:ascii="Arial" w:eastAsia="Arial" w:hAnsi="Arial" w:cs="Arial"/>
          <w:sz w:val="21"/>
          <w:szCs w:val="21"/>
          <w:lang w:val="en-ZA" w:eastAsia="en-ZA"/>
        </w:rPr>
      </w:pPr>
      <w:r w:rsidRPr="00BB5C77">
        <w:rPr>
          <w:rFonts w:ascii="Arial" w:eastAsia="Arial" w:hAnsi="Arial" w:cs="Arial"/>
          <w:color w:val="242424"/>
          <w:sz w:val="21"/>
          <w:szCs w:val="21"/>
          <w:lang w:val="en-ZA" w:eastAsia="en-ZA"/>
        </w:rPr>
        <w:t xml:space="preserve">7.  </w:t>
      </w:r>
      <w:r w:rsidRPr="00BB5C77">
        <w:rPr>
          <w:rFonts w:ascii="Arial" w:eastAsia="Arial" w:hAnsi="Arial" w:cs="Arial"/>
          <w:color w:val="242424"/>
          <w:spacing w:val="5"/>
          <w:sz w:val="21"/>
          <w:szCs w:val="21"/>
          <w:lang w:val="en-ZA" w:eastAsia="en-ZA"/>
        </w:rPr>
        <w:t xml:space="preserve"> </w:t>
      </w:r>
      <w:r w:rsidRPr="00BB5C77">
        <w:rPr>
          <w:rFonts w:ascii="Arial" w:eastAsia="Arial" w:hAnsi="Arial" w:cs="Arial"/>
          <w:color w:val="0A0A0A"/>
          <w:sz w:val="21"/>
          <w:szCs w:val="21"/>
          <w:lang w:val="en-ZA" w:eastAsia="en-ZA"/>
        </w:rPr>
        <w:t>As</w:t>
      </w:r>
      <w:r w:rsidRPr="00BB5C77">
        <w:rPr>
          <w:rFonts w:ascii="Arial" w:eastAsia="Arial" w:hAnsi="Arial" w:cs="Arial"/>
          <w:color w:val="0A0A0A"/>
          <w:spacing w:val="15"/>
          <w:sz w:val="21"/>
          <w:szCs w:val="21"/>
          <w:lang w:val="en-ZA" w:eastAsia="en-ZA"/>
        </w:rPr>
        <w:t xml:space="preserve"> </w:t>
      </w:r>
      <w:r w:rsidRPr="00BB5C77">
        <w:rPr>
          <w:rFonts w:ascii="Arial" w:eastAsia="Arial" w:hAnsi="Arial" w:cs="Arial"/>
          <w:color w:val="0A0A0A"/>
          <w:sz w:val="21"/>
          <w:szCs w:val="21"/>
          <w:lang w:val="en-ZA" w:eastAsia="en-ZA"/>
        </w:rPr>
        <w:t>disclosed</w:t>
      </w:r>
      <w:r w:rsidRPr="00BB5C77">
        <w:rPr>
          <w:rFonts w:ascii="Arial" w:eastAsia="Arial" w:hAnsi="Arial" w:cs="Arial"/>
          <w:color w:val="0A0A0A"/>
          <w:spacing w:val="32"/>
          <w:sz w:val="21"/>
          <w:szCs w:val="21"/>
          <w:lang w:val="en-ZA" w:eastAsia="en-ZA"/>
        </w:rPr>
        <w:t xml:space="preserve"> </w:t>
      </w:r>
      <w:r w:rsidRPr="00BB5C77">
        <w:rPr>
          <w:rFonts w:ascii="Arial" w:eastAsia="Arial" w:hAnsi="Arial" w:cs="Arial"/>
          <w:color w:val="0A0A0A"/>
          <w:sz w:val="21"/>
          <w:szCs w:val="21"/>
          <w:lang w:val="en-ZA" w:eastAsia="en-ZA"/>
        </w:rPr>
        <w:t>in</w:t>
      </w:r>
      <w:r w:rsidRPr="00BB5C77">
        <w:rPr>
          <w:rFonts w:ascii="Arial" w:eastAsia="Arial" w:hAnsi="Arial" w:cs="Arial"/>
          <w:color w:val="0A0A0A"/>
          <w:spacing w:val="3"/>
          <w:sz w:val="21"/>
          <w:szCs w:val="21"/>
          <w:lang w:val="en-ZA" w:eastAsia="en-ZA"/>
        </w:rPr>
        <w:t xml:space="preserve"> </w:t>
      </w:r>
      <w:r w:rsidRPr="00BB5C77">
        <w:rPr>
          <w:rFonts w:ascii="Arial" w:eastAsia="Arial" w:hAnsi="Arial" w:cs="Arial"/>
          <w:color w:val="0A0A0A"/>
          <w:sz w:val="21"/>
          <w:szCs w:val="21"/>
          <w:lang w:val="en-ZA" w:eastAsia="en-ZA"/>
        </w:rPr>
        <w:t>note</w:t>
      </w:r>
      <w:r w:rsidRPr="00BB5C77">
        <w:rPr>
          <w:rFonts w:ascii="Arial" w:eastAsia="Arial" w:hAnsi="Arial" w:cs="Arial"/>
          <w:color w:val="0A0A0A"/>
          <w:spacing w:val="19"/>
          <w:sz w:val="21"/>
          <w:szCs w:val="21"/>
          <w:lang w:val="en-ZA" w:eastAsia="en-ZA"/>
        </w:rPr>
        <w:t xml:space="preserve"> </w:t>
      </w:r>
      <w:r w:rsidRPr="00BB5C77">
        <w:rPr>
          <w:rFonts w:ascii="Arial" w:eastAsia="Arial" w:hAnsi="Arial" w:cs="Arial"/>
          <w:color w:val="0A0A0A"/>
          <w:sz w:val="21"/>
          <w:szCs w:val="21"/>
          <w:lang w:val="en-ZA" w:eastAsia="en-ZA"/>
        </w:rPr>
        <w:t>54</w:t>
      </w:r>
      <w:r w:rsidRPr="00BB5C77">
        <w:rPr>
          <w:rFonts w:ascii="Arial" w:eastAsia="Arial" w:hAnsi="Arial" w:cs="Arial"/>
          <w:color w:val="0A0A0A"/>
          <w:spacing w:val="13"/>
          <w:sz w:val="21"/>
          <w:szCs w:val="21"/>
          <w:lang w:val="en-ZA" w:eastAsia="en-ZA"/>
        </w:rPr>
        <w:t xml:space="preserve"> </w:t>
      </w:r>
      <w:r w:rsidRPr="00BB5C77">
        <w:rPr>
          <w:rFonts w:ascii="Arial" w:eastAsia="Arial" w:hAnsi="Arial" w:cs="Arial"/>
          <w:color w:val="0A0A0A"/>
          <w:sz w:val="21"/>
          <w:szCs w:val="21"/>
          <w:lang w:val="en-ZA" w:eastAsia="en-ZA"/>
        </w:rPr>
        <w:t>to</w:t>
      </w:r>
      <w:r w:rsidRPr="00BB5C77">
        <w:rPr>
          <w:rFonts w:ascii="Arial" w:eastAsia="Arial" w:hAnsi="Arial" w:cs="Arial"/>
          <w:color w:val="0A0A0A"/>
          <w:spacing w:val="8"/>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9"/>
          <w:sz w:val="21"/>
          <w:szCs w:val="21"/>
          <w:lang w:val="en-ZA" w:eastAsia="en-ZA"/>
        </w:rPr>
        <w:t xml:space="preserve"> </w:t>
      </w:r>
      <w:r w:rsidRPr="00BB5C77">
        <w:rPr>
          <w:rFonts w:ascii="Arial" w:eastAsia="Arial" w:hAnsi="Arial" w:cs="Arial"/>
          <w:color w:val="0A0A0A"/>
          <w:w w:val="106"/>
          <w:sz w:val="21"/>
          <w:szCs w:val="21"/>
          <w:lang w:val="en-ZA" w:eastAsia="en-ZA"/>
        </w:rPr>
        <w:t>financia</w:t>
      </w:r>
      <w:r w:rsidRPr="00BB5C77">
        <w:rPr>
          <w:rFonts w:ascii="Arial" w:eastAsia="Arial" w:hAnsi="Arial" w:cs="Arial"/>
          <w:color w:val="0A0A0A"/>
          <w:spacing w:val="-1"/>
          <w:w w:val="106"/>
          <w:sz w:val="21"/>
          <w:szCs w:val="21"/>
          <w:lang w:val="en-ZA" w:eastAsia="en-ZA"/>
        </w:rPr>
        <w:t xml:space="preserve">l </w:t>
      </w:r>
      <w:r w:rsidRPr="00BB5C77">
        <w:rPr>
          <w:rFonts w:ascii="Arial" w:eastAsia="Arial" w:hAnsi="Arial" w:cs="Arial"/>
          <w:color w:val="0A0A0A"/>
          <w:w w:val="106"/>
          <w:sz w:val="21"/>
          <w:szCs w:val="21"/>
          <w:lang w:val="en-ZA" w:eastAsia="en-ZA"/>
        </w:rPr>
        <w:t>statement</w:t>
      </w:r>
      <w:r w:rsidRPr="00BB5C77">
        <w:rPr>
          <w:rFonts w:ascii="Arial" w:eastAsia="Arial" w:hAnsi="Arial" w:cs="Arial"/>
          <w:color w:val="0A0A0A"/>
          <w:spacing w:val="-16"/>
          <w:w w:val="106"/>
          <w:sz w:val="21"/>
          <w:szCs w:val="21"/>
          <w:lang w:val="en-ZA" w:eastAsia="en-ZA"/>
        </w:rPr>
        <w:t>s</w:t>
      </w:r>
      <w:r w:rsidRPr="00BB5C77">
        <w:rPr>
          <w:rFonts w:ascii="Arial" w:eastAsia="Arial" w:hAnsi="Arial" w:cs="Arial"/>
          <w:color w:val="242424"/>
          <w:w w:val="106"/>
          <w:sz w:val="21"/>
          <w:szCs w:val="21"/>
          <w:lang w:val="en-ZA" w:eastAsia="en-ZA"/>
        </w:rPr>
        <w:t>,</w:t>
      </w:r>
      <w:r w:rsidRPr="00BB5C77">
        <w:rPr>
          <w:rFonts w:ascii="Arial" w:eastAsia="Arial" w:hAnsi="Arial" w:cs="Arial"/>
          <w:color w:val="242424"/>
          <w:spacing w:val="-6"/>
          <w:w w:val="106"/>
          <w:sz w:val="21"/>
          <w:szCs w:val="21"/>
          <w:lang w:val="en-ZA" w:eastAsia="en-ZA"/>
        </w:rPr>
        <w:t xml:space="preserve"> </w:t>
      </w:r>
      <w:r w:rsidRPr="00BB5C77">
        <w:rPr>
          <w:rFonts w:ascii="Arial" w:eastAsia="Arial" w:hAnsi="Arial" w:cs="Arial"/>
          <w:color w:val="0A0A0A"/>
          <w:sz w:val="21"/>
          <w:szCs w:val="21"/>
          <w:lang w:val="en-ZA" w:eastAsia="en-ZA"/>
        </w:rPr>
        <w:t>material</w:t>
      </w:r>
      <w:r w:rsidRPr="00BB5C77">
        <w:rPr>
          <w:rFonts w:ascii="Arial" w:eastAsia="Arial" w:hAnsi="Arial" w:cs="Arial"/>
          <w:color w:val="0A0A0A"/>
          <w:spacing w:val="10"/>
          <w:sz w:val="21"/>
          <w:szCs w:val="21"/>
          <w:lang w:val="en-ZA" w:eastAsia="en-ZA"/>
        </w:rPr>
        <w:t xml:space="preserve"> </w:t>
      </w:r>
      <w:r w:rsidRPr="00BB5C77">
        <w:rPr>
          <w:rFonts w:ascii="Arial" w:eastAsia="Arial" w:hAnsi="Arial" w:cs="Arial"/>
          <w:color w:val="0A0A0A"/>
          <w:w w:val="106"/>
          <w:sz w:val="21"/>
          <w:szCs w:val="21"/>
          <w:lang w:val="en-ZA" w:eastAsia="en-ZA"/>
        </w:rPr>
        <w:t>elect</w:t>
      </w:r>
      <w:r w:rsidRPr="00BB5C77">
        <w:rPr>
          <w:rFonts w:ascii="Arial" w:eastAsia="Arial" w:hAnsi="Arial" w:cs="Arial"/>
          <w:color w:val="0A0A0A"/>
          <w:spacing w:val="-26"/>
          <w:w w:val="107"/>
          <w:sz w:val="21"/>
          <w:szCs w:val="21"/>
          <w:lang w:val="en-ZA" w:eastAsia="en-ZA"/>
        </w:rPr>
        <w:t>r</w:t>
      </w:r>
      <w:r w:rsidRPr="00BB5C77">
        <w:rPr>
          <w:rFonts w:ascii="Arial" w:eastAsia="Arial" w:hAnsi="Arial" w:cs="Arial"/>
          <w:color w:val="242424"/>
          <w:spacing w:val="3"/>
          <w:w w:val="232"/>
          <w:sz w:val="21"/>
          <w:szCs w:val="21"/>
          <w:lang w:val="en-ZA" w:eastAsia="en-ZA"/>
        </w:rPr>
        <w:t>i</w:t>
      </w:r>
      <w:r w:rsidRPr="00BB5C77">
        <w:rPr>
          <w:rFonts w:ascii="Arial" w:eastAsia="Arial" w:hAnsi="Arial" w:cs="Arial"/>
          <w:color w:val="0A0A0A"/>
          <w:w w:val="105"/>
          <w:sz w:val="21"/>
          <w:szCs w:val="21"/>
          <w:lang w:val="en-ZA" w:eastAsia="en-ZA"/>
        </w:rPr>
        <w:t>cit</w:t>
      </w:r>
      <w:r w:rsidRPr="00BB5C77">
        <w:rPr>
          <w:rFonts w:ascii="Arial" w:eastAsia="Arial" w:hAnsi="Arial" w:cs="Arial"/>
          <w:color w:val="0A0A0A"/>
          <w:w w:val="106"/>
          <w:sz w:val="21"/>
          <w:szCs w:val="21"/>
          <w:lang w:val="en-ZA" w:eastAsia="en-ZA"/>
        </w:rPr>
        <w:t>y</w:t>
      </w:r>
      <w:r w:rsidRPr="00BB5C77">
        <w:rPr>
          <w:rFonts w:ascii="Arial" w:eastAsia="Arial" w:hAnsi="Arial" w:cs="Arial"/>
          <w:color w:val="0A0A0A"/>
          <w:spacing w:val="-3"/>
          <w:sz w:val="21"/>
          <w:szCs w:val="21"/>
          <w:lang w:val="en-ZA" w:eastAsia="en-ZA"/>
        </w:rPr>
        <w:t xml:space="preserve"> </w:t>
      </w:r>
      <w:r w:rsidRPr="00BB5C77">
        <w:rPr>
          <w:rFonts w:ascii="Arial" w:eastAsia="Arial" w:hAnsi="Arial" w:cs="Arial"/>
          <w:color w:val="242424"/>
          <w:sz w:val="21"/>
          <w:szCs w:val="21"/>
          <w:lang w:val="en-ZA" w:eastAsia="en-ZA"/>
        </w:rPr>
        <w:t>losses</w:t>
      </w:r>
      <w:r w:rsidRPr="00BB5C77">
        <w:rPr>
          <w:rFonts w:ascii="Arial" w:eastAsia="Arial" w:hAnsi="Arial" w:cs="Arial"/>
          <w:color w:val="242424"/>
          <w:spacing w:val="27"/>
          <w:sz w:val="21"/>
          <w:szCs w:val="21"/>
          <w:lang w:val="en-ZA" w:eastAsia="en-ZA"/>
        </w:rPr>
        <w:t xml:space="preserve"> </w:t>
      </w:r>
      <w:r w:rsidRPr="00BB5C77">
        <w:rPr>
          <w:rFonts w:ascii="Arial" w:eastAsia="Arial" w:hAnsi="Arial" w:cs="Arial"/>
          <w:color w:val="0A0A0A"/>
          <w:sz w:val="21"/>
          <w:szCs w:val="21"/>
          <w:lang w:val="en-ZA" w:eastAsia="en-ZA"/>
        </w:rPr>
        <w:t xml:space="preserve">of </w:t>
      </w:r>
      <w:r w:rsidRPr="00BB5C77">
        <w:rPr>
          <w:rFonts w:ascii="Arial" w:eastAsia="Arial" w:hAnsi="Arial" w:cs="Arial"/>
          <w:color w:val="0A0A0A"/>
          <w:w w:val="109"/>
          <w:sz w:val="21"/>
          <w:szCs w:val="21"/>
          <w:lang w:val="en-ZA" w:eastAsia="en-ZA"/>
        </w:rPr>
        <w:t xml:space="preserve">R8,59 </w:t>
      </w:r>
      <w:r w:rsidRPr="00BB5C77">
        <w:rPr>
          <w:rFonts w:ascii="Arial" w:eastAsia="Arial" w:hAnsi="Arial" w:cs="Arial"/>
          <w:color w:val="0A0A0A"/>
          <w:sz w:val="21"/>
          <w:szCs w:val="21"/>
          <w:lang w:val="en-ZA" w:eastAsia="en-ZA"/>
        </w:rPr>
        <w:t>million</w:t>
      </w:r>
      <w:r w:rsidRPr="00BB5C77">
        <w:rPr>
          <w:rFonts w:ascii="Arial" w:eastAsia="Arial" w:hAnsi="Arial" w:cs="Arial"/>
          <w:color w:val="0A0A0A"/>
          <w:spacing w:val="20"/>
          <w:sz w:val="21"/>
          <w:szCs w:val="21"/>
          <w:lang w:val="en-ZA" w:eastAsia="en-ZA"/>
        </w:rPr>
        <w:t xml:space="preserve"> </w:t>
      </w:r>
      <w:r w:rsidRPr="00BB5C77">
        <w:rPr>
          <w:rFonts w:ascii="Arial" w:eastAsia="Arial" w:hAnsi="Arial" w:cs="Arial"/>
          <w:color w:val="0A0A0A"/>
          <w:sz w:val="21"/>
          <w:szCs w:val="21"/>
          <w:lang w:val="en-ZA" w:eastAsia="en-ZA"/>
        </w:rPr>
        <w:t>(2015-2016:</w:t>
      </w:r>
      <w:r w:rsidRPr="00BB5C77">
        <w:rPr>
          <w:rFonts w:ascii="Arial" w:eastAsia="Arial" w:hAnsi="Arial" w:cs="Arial"/>
          <w:color w:val="0A0A0A"/>
          <w:spacing w:val="33"/>
          <w:sz w:val="21"/>
          <w:szCs w:val="21"/>
          <w:lang w:val="en-ZA" w:eastAsia="en-ZA"/>
        </w:rPr>
        <w:t xml:space="preserve"> </w:t>
      </w:r>
      <w:r w:rsidRPr="00BB5C77">
        <w:rPr>
          <w:rFonts w:ascii="Arial" w:eastAsia="Arial" w:hAnsi="Arial" w:cs="Arial"/>
          <w:color w:val="0A0A0A"/>
          <w:sz w:val="21"/>
          <w:szCs w:val="21"/>
          <w:lang w:val="en-ZA" w:eastAsia="en-ZA"/>
        </w:rPr>
        <w:t>R6,92</w:t>
      </w:r>
      <w:r w:rsidRPr="00BB5C77">
        <w:rPr>
          <w:rFonts w:ascii="Arial" w:eastAsia="Arial" w:hAnsi="Arial" w:cs="Arial"/>
          <w:color w:val="0A0A0A"/>
          <w:spacing w:val="19"/>
          <w:sz w:val="21"/>
          <w:szCs w:val="21"/>
          <w:lang w:val="en-ZA" w:eastAsia="en-ZA"/>
        </w:rPr>
        <w:t xml:space="preserve"> </w:t>
      </w:r>
      <w:r w:rsidRPr="00BB5C77">
        <w:rPr>
          <w:rFonts w:ascii="Arial" w:eastAsia="Arial" w:hAnsi="Arial" w:cs="Arial"/>
          <w:color w:val="0A0A0A"/>
          <w:sz w:val="21"/>
          <w:szCs w:val="21"/>
          <w:lang w:val="en-ZA" w:eastAsia="en-ZA"/>
        </w:rPr>
        <w:t>million)</w:t>
      </w:r>
      <w:r w:rsidRPr="00BB5C77">
        <w:rPr>
          <w:rFonts w:ascii="Arial" w:eastAsia="Arial" w:hAnsi="Arial" w:cs="Arial"/>
          <w:color w:val="0A0A0A"/>
          <w:spacing w:val="37"/>
          <w:sz w:val="21"/>
          <w:szCs w:val="21"/>
          <w:lang w:val="en-ZA" w:eastAsia="en-ZA"/>
        </w:rPr>
        <w:t xml:space="preserve"> </w:t>
      </w:r>
      <w:r w:rsidRPr="00BB5C77">
        <w:rPr>
          <w:rFonts w:ascii="Arial" w:eastAsia="Arial" w:hAnsi="Arial" w:cs="Arial"/>
          <w:color w:val="0A0A0A"/>
          <w:sz w:val="21"/>
          <w:szCs w:val="21"/>
          <w:lang w:val="en-ZA" w:eastAsia="en-ZA"/>
        </w:rPr>
        <w:t>were</w:t>
      </w:r>
      <w:r w:rsidRPr="00BB5C77">
        <w:rPr>
          <w:rFonts w:ascii="Arial" w:eastAsia="Arial" w:hAnsi="Arial" w:cs="Arial"/>
          <w:color w:val="0A0A0A"/>
          <w:spacing w:val="12"/>
          <w:sz w:val="21"/>
          <w:szCs w:val="21"/>
          <w:lang w:val="en-ZA" w:eastAsia="en-ZA"/>
        </w:rPr>
        <w:t xml:space="preserve"> </w:t>
      </w:r>
      <w:r w:rsidRPr="00BB5C77">
        <w:rPr>
          <w:rFonts w:ascii="Arial" w:eastAsia="Arial" w:hAnsi="Arial" w:cs="Arial"/>
          <w:color w:val="0A0A0A"/>
          <w:w w:val="108"/>
          <w:sz w:val="21"/>
          <w:szCs w:val="21"/>
          <w:lang w:val="en-ZA" w:eastAsia="en-ZA"/>
        </w:rPr>
        <w:t>incurre</w:t>
      </w:r>
      <w:r w:rsidRPr="00BB5C77">
        <w:rPr>
          <w:rFonts w:ascii="Arial" w:eastAsia="Arial" w:hAnsi="Arial" w:cs="Arial"/>
          <w:color w:val="0A0A0A"/>
          <w:spacing w:val="-15"/>
          <w:w w:val="108"/>
          <w:sz w:val="21"/>
          <w:szCs w:val="21"/>
          <w:lang w:val="en-ZA" w:eastAsia="en-ZA"/>
        </w:rPr>
        <w:t>d</w:t>
      </w:r>
      <w:r w:rsidRPr="00BB5C77">
        <w:rPr>
          <w:rFonts w:ascii="Arial" w:eastAsia="Arial" w:hAnsi="Arial" w:cs="Arial"/>
          <w:color w:val="242424"/>
          <w:w w:val="108"/>
          <w:sz w:val="21"/>
          <w:szCs w:val="21"/>
          <w:lang w:val="en-ZA" w:eastAsia="en-ZA"/>
        </w:rPr>
        <w:t>,</w:t>
      </w:r>
      <w:r w:rsidRPr="00BB5C77">
        <w:rPr>
          <w:rFonts w:ascii="Arial" w:eastAsia="Arial" w:hAnsi="Arial" w:cs="Arial"/>
          <w:color w:val="242424"/>
          <w:spacing w:val="-16"/>
          <w:w w:val="108"/>
          <w:sz w:val="21"/>
          <w:szCs w:val="21"/>
          <w:lang w:val="en-ZA" w:eastAsia="en-ZA"/>
        </w:rPr>
        <w:t xml:space="preserve"> </w:t>
      </w:r>
      <w:r w:rsidRPr="00BB5C77">
        <w:rPr>
          <w:rFonts w:ascii="Arial" w:eastAsia="Arial" w:hAnsi="Arial" w:cs="Arial"/>
          <w:color w:val="0A0A0A"/>
          <w:sz w:val="21"/>
          <w:szCs w:val="21"/>
          <w:lang w:val="en-ZA" w:eastAsia="en-ZA"/>
        </w:rPr>
        <w:t>which</w:t>
      </w:r>
      <w:r w:rsidRPr="00BB5C77">
        <w:rPr>
          <w:rFonts w:ascii="Arial" w:eastAsia="Arial" w:hAnsi="Arial" w:cs="Arial"/>
          <w:color w:val="0A0A0A"/>
          <w:spacing w:val="29"/>
          <w:sz w:val="21"/>
          <w:szCs w:val="21"/>
          <w:lang w:val="en-ZA" w:eastAsia="en-ZA"/>
        </w:rPr>
        <w:t xml:space="preserve"> </w:t>
      </w:r>
      <w:r w:rsidRPr="00BB5C77">
        <w:rPr>
          <w:rFonts w:ascii="Arial" w:eastAsia="Arial" w:hAnsi="Arial" w:cs="Arial"/>
          <w:color w:val="0A0A0A"/>
          <w:sz w:val="21"/>
          <w:szCs w:val="21"/>
          <w:lang w:val="en-ZA" w:eastAsia="en-ZA"/>
        </w:rPr>
        <w:t>represents</w:t>
      </w:r>
      <w:r w:rsidRPr="00BB5C77">
        <w:rPr>
          <w:rFonts w:ascii="Arial" w:eastAsia="Arial" w:hAnsi="Arial" w:cs="Arial"/>
          <w:color w:val="0A0A0A"/>
          <w:spacing w:val="48"/>
          <w:sz w:val="21"/>
          <w:szCs w:val="21"/>
          <w:lang w:val="en-ZA" w:eastAsia="en-ZA"/>
        </w:rPr>
        <w:t xml:space="preserve"> </w:t>
      </w:r>
      <w:r w:rsidRPr="00BB5C77">
        <w:rPr>
          <w:rFonts w:ascii="Arial" w:eastAsia="Arial" w:hAnsi="Arial" w:cs="Arial"/>
          <w:color w:val="0A0A0A"/>
          <w:sz w:val="21"/>
          <w:szCs w:val="21"/>
          <w:lang w:val="en-ZA" w:eastAsia="en-ZA"/>
        </w:rPr>
        <w:t>11.8%</w:t>
      </w:r>
      <w:r w:rsidRPr="00BB5C77">
        <w:rPr>
          <w:rFonts w:ascii="Arial" w:eastAsia="Arial" w:hAnsi="Arial" w:cs="Arial"/>
          <w:color w:val="0A0A0A"/>
          <w:spacing w:val="15"/>
          <w:sz w:val="21"/>
          <w:szCs w:val="21"/>
          <w:lang w:val="en-ZA" w:eastAsia="en-ZA"/>
        </w:rPr>
        <w:t xml:space="preserve"> </w:t>
      </w:r>
      <w:r w:rsidRPr="00BB5C77">
        <w:rPr>
          <w:rFonts w:ascii="Arial" w:eastAsia="Arial" w:hAnsi="Arial" w:cs="Arial"/>
          <w:color w:val="0A0A0A"/>
          <w:w w:val="105"/>
          <w:sz w:val="21"/>
          <w:szCs w:val="21"/>
          <w:lang w:val="en-ZA" w:eastAsia="en-ZA"/>
        </w:rPr>
        <w:t>{2015-201</w:t>
      </w:r>
      <w:r w:rsidRPr="00BB5C77">
        <w:rPr>
          <w:rFonts w:ascii="Arial" w:eastAsia="Arial" w:hAnsi="Arial" w:cs="Arial"/>
          <w:color w:val="0A0A0A"/>
          <w:spacing w:val="-17"/>
          <w:w w:val="106"/>
          <w:sz w:val="21"/>
          <w:szCs w:val="21"/>
          <w:lang w:val="en-ZA" w:eastAsia="en-ZA"/>
        </w:rPr>
        <w:t>6</w:t>
      </w:r>
      <w:r w:rsidRPr="00BB5C77">
        <w:rPr>
          <w:rFonts w:ascii="Arial" w:eastAsia="Arial" w:hAnsi="Arial" w:cs="Arial"/>
          <w:color w:val="242424"/>
          <w:w w:val="169"/>
          <w:sz w:val="21"/>
          <w:szCs w:val="21"/>
          <w:lang w:val="en-ZA" w:eastAsia="en-ZA"/>
        </w:rPr>
        <w:t>:</w:t>
      </w:r>
    </w:p>
    <w:p w14:paraId="2CFD6800" w14:textId="77777777" w:rsidR="00BB5C77" w:rsidRPr="00BB5C77" w:rsidRDefault="00BB5C77" w:rsidP="00BB5C77">
      <w:pPr>
        <w:spacing w:after="0" w:line="252" w:lineRule="auto"/>
        <w:ind w:left="594" w:right="923" w:firstLine="21"/>
        <w:jc w:val="both"/>
        <w:rPr>
          <w:rFonts w:ascii="Arial" w:eastAsia="Arial" w:hAnsi="Arial" w:cs="Arial"/>
          <w:sz w:val="21"/>
          <w:szCs w:val="21"/>
          <w:lang w:val="en-ZA" w:eastAsia="en-ZA"/>
        </w:rPr>
      </w:pPr>
      <w:r w:rsidRPr="00BB5C77">
        <w:rPr>
          <w:rFonts w:ascii="Arial" w:eastAsia="Arial" w:hAnsi="Arial" w:cs="Arial"/>
          <w:color w:val="0A0A0A"/>
          <w:spacing w:val="-24"/>
          <w:w w:val="113"/>
          <w:sz w:val="21"/>
          <w:szCs w:val="21"/>
          <w:lang w:val="en-ZA" w:eastAsia="en-ZA"/>
        </w:rPr>
        <w:t>1</w:t>
      </w:r>
      <w:r w:rsidRPr="00BB5C77">
        <w:rPr>
          <w:rFonts w:ascii="Arial" w:eastAsia="Arial" w:hAnsi="Arial" w:cs="Arial"/>
          <w:color w:val="0A0A0A"/>
          <w:w w:val="113"/>
          <w:sz w:val="21"/>
          <w:szCs w:val="21"/>
          <w:lang w:val="en-ZA" w:eastAsia="en-ZA"/>
        </w:rPr>
        <w:t>0%)</w:t>
      </w:r>
      <w:r w:rsidRPr="00BB5C77">
        <w:rPr>
          <w:rFonts w:ascii="Arial" w:eastAsia="Arial" w:hAnsi="Arial" w:cs="Arial"/>
          <w:color w:val="0A0A0A"/>
          <w:spacing w:val="-20"/>
          <w:w w:val="113"/>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14"/>
          <w:sz w:val="21"/>
          <w:szCs w:val="21"/>
          <w:lang w:val="en-ZA" w:eastAsia="en-ZA"/>
        </w:rPr>
        <w:t xml:space="preserve"> </w:t>
      </w:r>
      <w:r w:rsidRPr="00BB5C77">
        <w:rPr>
          <w:rFonts w:ascii="Arial" w:eastAsia="Arial" w:hAnsi="Arial" w:cs="Arial"/>
          <w:color w:val="0A0A0A"/>
          <w:sz w:val="21"/>
          <w:szCs w:val="21"/>
          <w:lang w:val="en-ZA" w:eastAsia="en-ZA"/>
        </w:rPr>
        <w:t>total</w:t>
      </w:r>
      <w:r w:rsidRPr="00BB5C77">
        <w:rPr>
          <w:rFonts w:ascii="Arial" w:eastAsia="Arial" w:hAnsi="Arial" w:cs="Arial"/>
          <w:color w:val="0A0A0A"/>
          <w:spacing w:val="-5"/>
          <w:sz w:val="21"/>
          <w:szCs w:val="21"/>
          <w:lang w:val="en-ZA" w:eastAsia="en-ZA"/>
        </w:rPr>
        <w:t xml:space="preserve"> </w:t>
      </w:r>
      <w:r w:rsidRPr="00BB5C77">
        <w:rPr>
          <w:rFonts w:ascii="Arial" w:eastAsia="Arial" w:hAnsi="Arial" w:cs="Arial"/>
          <w:color w:val="0A0A0A"/>
          <w:sz w:val="21"/>
          <w:szCs w:val="21"/>
          <w:lang w:val="en-ZA" w:eastAsia="en-ZA"/>
        </w:rPr>
        <w:t>electricity</w:t>
      </w:r>
      <w:r w:rsidRPr="00BB5C77">
        <w:rPr>
          <w:rFonts w:ascii="Arial" w:eastAsia="Arial" w:hAnsi="Arial" w:cs="Arial"/>
          <w:color w:val="0A0A0A"/>
          <w:spacing w:val="44"/>
          <w:sz w:val="21"/>
          <w:szCs w:val="21"/>
          <w:lang w:val="en-ZA" w:eastAsia="en-ZA"/>
        </w:rPr>
        <w:t xml:space="preserve"> </w:t>
      </w:r>
      <w:r w:rsidRPr="00BB5C77">
        <w:rPr>
          <w:rFonts w:ascii="Arial" w:eastAsia="Arial" w:hAnsi="Arial" w:cs="Arial"/>
          <w:color w:val="0A0A0A"/>
          <w:w w:val="108"/>
          <w:sz w:val="21"/>
          <w:szCs w:val="21"/>
          <w:lang w:val="en-ZA" w:eastAsia="en-ZA"/>
        </w:rPr>
        <w:t>purchase</w:t>
      </w:r>
      <w:r w:rsidRPr="00BB5C77">
        <w:rPr>
          <w:rFonts w:ascii="Arial" w:eastAsia="Arial" w:hAnsi="Arial" w:cs="Arial"/>
          <w:color w:val="0A0A0A"/>
          <w:spacing w:val="-9"/>
          <w:w w:val="108"/>
          <w:sz w:val="21"/>
          <w:szCs w:val="21"/>
          <w:lang w:val="en-ZA" w:eastAsia="en-ZA"/>
        </w:rPr>
        <w:t>d</w:t>
      </w:r>
      <w:r w:rsidRPr="00BB5C77">
        <w:rPr>
          <w:rFonts w:ascii="Arial" w:eastAsia="Arial" w:hAnsi="Arial" w:cs="Arial"/>
          <w:color w:val="242424"/>
          <w:w w:val="108"/>
          <w:sz w:val="21"/>
          <w:szCs w:val="21"/>
          <w:lang w:val="en-ZA" w:eastAsia="en-ZA"/>
        </w:rPr>
        <w:t>.</w:t>
      </w:r>
      <w:r w:rsidRPr="00BB5C77">
        <w:rPr>
          <w:rFonts w:ascii="Arial" w:eastAsia="Arial" w:hAnsi="Arial" w:cs="Arial"/>
          <w:color w:val="242424"/>
          <w:spacing w:val="-14"/>
          <w:w w:val="108"/>
          <w:sz w:val="21"/>
          <w:szCs w:val="21"/>
          <w:lang w:val="en-ZA" w:eastAsia="en-ZA"/>
        </w:rPr>
        <w:t xml:space="preserve"> </w:t>
      </w:r>
      <w:r w:rsidRPr="00BB5C77">
        <w:rPr>
          <w:rFonts w:ascii="Arial" w:eastAsia="Arial" w:hAnsi="Arial" w:cs="Arial"/>
          <w:color w:val="0A0A0A"/>
          <w:sz w:val="21"/>
          <w:szCs w:val="21"/>
          <w:lang w:val="en-ZA" w:eastAsia="en-ZA"/>
        </w:rPr>
        <w:t>Technical</w:t>
      </w:r>
      <w:r w:rsidRPr="00BB5C77">
        <w:rPr>
          <w:rFonts w:ascii="Arial" w:eastAsia="Arial" w:hAnsi="Arial" w:cs="Arial"/>
          <w:color w:val="0A0A0A"/>
          <w:spacing w:val="13"/>
          <w:sz w:val="21"/>
          <w:szCs w:val="21"/>
          <w:lang w:val="en-ZA" w:eastAsia="en-ZA"/>
        </w:rPr>
        <w:t xml:space="preserve"> </w:t>
      </w:r>
      <w:r w:rsidRPr="00BB5C77">
        <w:rPr>
          <w:rFonts w:ascii="Arial" w:eastAsia="Arial" w:hAnsi="Arial" w:cs="Arial"/>
          <w:color w:val="0A0A0A"/>
          <w:sz w:val="21"/>
          <w:szCs w:val="21"/>
          <w:lang w:val="en-ZA" w:eastAsia="en-ZA"/>
        </w:rPr>
        <w:t>losses</w:t>
      </w:r>
      <w:r w:rsidRPr="00BB5C77">
        <w:rPr>
          <w:rFonts w:ascii="Arial" w:eastAsia="Arial" w:hAnsi="Arial" w:cs="Arial"/>
          <w:color w:val="0A0A0A"/>
          <w:spacing w:val="32"/>
          <w:sz w:val="21"/>
          <w:szCs w:val="21"/>
          <w:lang w:val="en-ZA" w:eastAsia="en-ZA"/>
        </w:rPr>
        <w:t xml:space="preserve"> </w:t>
      </w:r>
      <w:r w:rsidRPr="00BB5C77">
        <w:rPr>
          <w:rFonts w:ascii="Arial" w:eastAsia="Arial" w:hAnsi="Arial" w:cs="Arial"/>
          <w:color w:val="0A0A0A"/>
          <w:sz w:val="21"/>
          <w:szCs w:val="21"/>
          <w:lang w:val="en-ZA" w:eastAsia="en-ZA"/>
        </w:rPr>
        <w:t>were</w:t>
      </w:r>
      <w:r w:rsidRPr="00BB5C77">
        <w:rPr>
          <w:rFonts w:ascii="Arial" w:eastAsia="Arial" w:hAnsi="Arial" w:cs="Arial"/>
          <w:color w:val="0A0A0A"/>
          <w:spacing w:val="27"/>
          <w:sz w:val="21"/>
          <w:szCs w:val="21"/>
          <w:lang w:val="en-ZA" w:eastAsia="en-ZA"/>
        </w:rPr>
        <w:t xml:space="preserve"> </w:t>
      </w:r>
      <w:r w:rsidRPr="00BB5C77">
        <w:rPr>
          <w:rFonts w:ascii="Arial" w:eastAsia="Arial" w:hAnsi="Arial" w:cs="Arial"/>
          <w:color w:val="0A0A0A"/>
          <w:sz w:val="21"/>
          <w:szCs w:val="21"/>
          <w:lang w:val="en-ZA" w:eastAsia="en-ZA"/>
        </w:rPr>
        <w:t>due</w:t>
      </w:r>
      <w:r w:rsidRPr="00BB5C77">
        <w:rPr>
          <w:rFonts w:ascii="Arial" w:eastAsia="Arial" w:hAnsi="Arial" w:cs="Arial"/>
          <w:color w:val="0A0A0A"/>
          <w:spacing w:val="22"/>
          <w:sz w:val="21"/>
          <w:szCs w:val="21"/>
          <w:lang w:val="en-ZA" w:eastAsia="en-ZA"/>
        </w:rPr>
        <w:t xml:space="preserve"> </w:t>
      </w:r>
      <w:r w:rsidRPr="00BB5C77">
        <w:rPr>
          <w:rFonts w:ascii="Arial" w:eastAsia="Arial" w:hAnsi="Arial" w:cs="Arial"/>
          <w:color w:val="0A0A0A"/>
          <w:sz w:val="21"/>
          <w:szCs w:val="21"/>
          <w:lang w:val="en-ZA" w:eastAsia="en-ZA"/>
        </w:rPr>
        <w:t>to</w:t>
      </w:r>
      <w:r w:rsidRPr="00BB5C77">
        <w:rPr>
          <w:rFonts w:ascii="Arial" w:eastAsia="Arial" w:hAnsi="Arial" w:cs="Arial"/>
          <w:color w:val="0A0A0A"/>
          <w:spacing w:val="12"/>
          <w:sz w:val="21"/>
          <w:szCs w:val="21"/>
          <w:lang w:val="en-ZA" w:eastAsia="en-ZA"/>
        </w:rPr>
        <w:t xml:space="preserve"> </w:t>
      </w:r>
      <w:r w:rsidRPr="00BB5C77">
        <w:rPr>
          <w:rFonts w:ascii="Arial" w:eastAsia="Arial" w:hAnsi="Arial" w:cs="Arial"/>
          <w:color w:val="0A0A0A"/>
          <w:sz w:val="21"/>
          <w:szCs w:val="21"/>
          <w:lang w:val="en-ZA" w:eastAsia="en-ZA"/>
        </w:rPr>
        <w:t>street</w:t>
      </w:r>
      <w:r w:rsidRPr="00BB5C77">
        <w:rPr>
          <w:rFonts w:ascii="Arial" w:eastAsia="Arial" w:hAnsi="Arial" w:cs="Arial"/>
          <w:color w:val="0A0A0A"/>
          <w:spacing w:val="11"/>
          <w:sz w:val="21"/>
          <w:szCs w:val="21"/>
          <w:lang w:val="en-ZA" w:eastAsia="en-ZA"/>
        </w:rPr>
        <w:t xml:space="preserve"> </w:t>
      </w:r>
      <w:r w:rsidRPr="00BB5C77">
        <w:rPr>
          <w:rFonts w:ascii="Arial" w:eastAsia="Arial" w:hAnsi="Arial" w:cs="Arial"/>
          <w:color w:val="0A0A0A"/>
          <w:w w:val="105"/>
          <w:sz w:val="21"/>
          <w:szCs w:val="21"/>
          <w:lang w:val="en-ZA" w:eastAsia="en-ZA"/>
        </w:rPr>
        <w:t xml:space="preserve">light </w:t>
      </w:r>
      <w:r w:rsidRPr="00BB5C77">
        <w:rPr>
          <w:rFonts w:ascii="Arial" w:eastAsia="Arial" w:hAnsi="Arial" w:cs="Arial"/>
          <w:color w:val="0A0A0A"/>
          <w:sz w:val="21"/>
          <w:szCs w:val="21"/>
          <w:lang w:val="en-ZA" w:eastAsia="en-ZA"/>
        </w:rPr>
        <w:t>consumptions</w:t>
      </w:r>
      <w:r w:rsidRPr="00BB5C77">
        <w:rPr>
          <w:rFonts w:ascii="Arial" w:eastAsia="Arial" w:hAnsi="Arial" w:cs="Arial"/>
          <w:color w:val="0A0A0A"/>
          <w:spacing w:val="36"/>
          <w:sz w:val="21"/>
          <w:szCs w:val="21"/>
          <w:lang w:val="en-ZA" w:eastAsia="en-ZA"/>
        </w:rPr>
        <w:t xml:space="preserve"> </w:t>
      </w:r>
      <w:r w:rsidRPr="00BB5C77">
        <w:rPr>
          <w:rFonts w:ascii="Arial" w:eastAsia="Arial" w:hAnsi="Arial" w:cs="Arial"/>
          <w:color w:val="0A0A0A"/>
          <w:sz w:val="21"/>
          <w:szCs w:val="21"/>
          <w:lang w:val="en-ZA" w:eastAsia="en-ZA"/>
        </w:rPr>
        <w:t>being</w:t>
      </w:r>
      <w:r w:rsidRPr="00BB5C77">
        <w:rPr>
          <w:rFonts w:ascii="Arial" w:eastAsia="Arial" w:hAnsi="Arial" w:cs="Arial"/>
          <w:color w:val="0A0A0A"/>
          <w:spacing w:val="27"/>
          <w:sz w:val="21"/>
          <w:szCs w:val="21"/>
          <w:lang w:val="en-ZA" w:eastAsia="en-ZA"/>
        </w:rPr>
        <w:t xml:space="preserve"> </w:t>
      </w:r>
      <w:r w:rsidRPr="00BB5C77">
        <w:rPr>
          <w:rFonts w:ascii="Arial" w:eastAsia="Arial" w:hAnsi="Arial" w:cs="Arial"/>
          <w:color w:val="0A0A0A"/>
          <w:sz w:val="21"/>
          <w:szCs w:val="21"/>
          <w:lang w:val="en-ZA" w:eastAsia="en-ZA"/>
        </w:rPr>
        <w:t>unmetered,</w:t>
      </w:r>
      <w:r w:rsidRPr="00BB5C77">
        <w:rPr>
          <w:rFonts w:ascii="Arial" w:eastAsia="Arial" w:hAnsi="Arial" w:cs="Arial"/>
          <w:color w:val="0A0A0A"/>
          <w:spacing w:val="23"/>
          <w:sz w:val="21"/>
          <w:szCs w:val="21"/>
          <w:lang w:val="en-ZA" w:eastAsia="en-ZA"/>
        </w:rPr>
        <w:t xml:space="preserve"> </w:t>
      </w:r>
      <w:r w:rsidRPr="00BB5C77">
        <w:rPr>
          <w:rFonts w:ascii="Arial" w:eastAsia="Arial" w:hAnsi="Arial" w:cs="Arial"/>
          <w:color w:val="0A0A0A"/>
          <w:sz w:val="21"/>
          <w:szCs w:val="21"/>
          <w:lang w:val="en-ZA" w:eastAsia="en-ZA"/>
        </w:rPr>
        <w:t>tampering</w:t>
      </w:r>
      <w:r w:rsidRPr="00BB5C77">
        <w:rPr>
          <w:rFonts w:ascii="Arial" w:eastAsia="Arial" w:hAnsi="Arial" w:cs="Arial"/>
          <w:color w:val="0A0A0A"/>
          <w:spacing w:val="28"/>
          <w:sz w:val="21"/>
          <w:szCs w:val="21"/>
          <w:lang w:val="en-ZA" w:eastAsia="en-ZA"/>
        </w:rPr>
        <w:t xml:space="preserve"> </w:t>
      </w:r>
      <w:r w:rsidRPr="00BB5C77">
        <w:rPr>
          <w:rFonts w:ascii="Arial" w:eastAsia="Arial" w:hAnsi="Arial" w:cs="Arial"/>
          <w:color w:val="0A0A0A"/>
          <w:sz w:val="21"/>
          <w:szCs w:val="21"/>
          <w:lang w:val="en-ZA" w:eastAsia="en-ZA"/>
        </w:rPr>
        <w:t>with</w:t>
      </w:r>
      <w:r w:rsidRPr="00BB5C77">
        <w:rPr>
          <w:rFonts w:ascii="Arial" w:eastAsia="Arial" w:hAnsi="Arial" w:cs="Arial"/>
          <w:color w:val="0A0A0A"/>
          <w:spacing w:val="12"/>
          <w:sz w:val="21"/>
          <w:szCs w:val="21"/>
          <w:lang w:val="en-ZA" w:eastAsia="en-ZA"/>
        </w:rPr>
        <w:t xml:space="preserve"> </w:t>
      </w:r>
      <w:r w:rsidRPr="00BB5C77">
        <w:rPr>
          <w:rFonts w:ascii="Arial" w:eastAsia="Arial" w:hAnsi="Arial" w:cs="Arial"/>
          <w:color w:val="0A0A0A"/>
          <w:sz w:val="21"/>
          <w:szCs w:val="21"/>
          <w:lang w:val="en-ZA" w:eastAsia="en-ZA"/>
        </w:rPr>
        <w:t>electricity</w:t>
      </w:r>
      <w:r w:rsidRPr="00BB5C77">
        <w:rPr>
          <w:rFonts w:ascii="Arial" w:eastAsia="Arial" w:hAnsi="Arial" w:cs="Arial"/>
          <w:color w:val="0A0A0A"/>
          <w:spacing w:val="50"/>
          <w:sz w:val="21"/>
          <w:szCs w:val="21"/>
          <w:lang w:val="en-ZA" w:eastAsia="en-ZA"/>
        </w:rPr>
        <w:t xml:space="preserve"> </w:t>
      </w:r>
      <w:r w:rsidRPr="00BB5C77">
        <w:rPr>
          <w:rFonts w:ascii="Arial" w:eastAsia="Arial" w:hAnsi="Arial" w:cs="Arial"/>
          <w:color w:val="0A0A0A"/>
          <w:sz w:val="21"/>
          <w:szCs w:val="21"/>
          <w:lang w:val="en-ZA" w:eastAsia="en-ZA"/>
        </w:rPr>
        <w:t>installations</w:t>
      </w:r>
      <w:r w:rsidRPr="00BB5C77">
        <w:rPr>
          <w:rFonts w:ascii="Arial" w:eastAsia="Arial" w:hAnsi="Arial" w:cs="Arial"/>
          <w:color w:val="0A0A0A"/>
          <w:spacing w:val="41"/>
          <w:sz w:val="21"/>
          <w:szCs w:val="21"/>
          <w:lang w:val="en-ZA" w:eastAsia="en-ZA"/>
        </w:rPr>
        <w:t xml:space="preserve"> </w:t>
      </w:r>
      <w:r w:rsidRPr="00BB5C77">
        <w:rPr>
          <w:rFonts w:ascii="Arial" w:eastAsia="Arial" w:hAnsi="Arial" w:cs="Arial"/>
          <w:color w:val="0A0A0A"/>
          <w:sz w:val="21"/>
          <w:szCs w:val="21"/>
          <w:lang w:val="en-ZA" w:eastAsia="en-ZA"/>
        </w:rPr>
        <w:t>and</w:t>
      </w:r>
      <w:r w:rsidRPr="00BB5C77">
        <w:rPr>
          <w:rFonts w:ascii="Arial" w:eastAsia="Arial" w:hAnsi="Arial" w:cs="Arial"/>
          <w:color w:val="0A0A0A"/>
          <w:spacing w:val="6"/>
          <w:sz w:val="21"/>
          <w:szCs w:val="21"/>
          <w:lang w:val="en-ZA" w:eastAsia="en-ZA"/>
        </w:rPr>
        <w:t xml:space="preserve"> </w:t>
      </w:r>
      <w:r w:rsidRPr="00BB5C77">
        <w:rPr>
          <w:rFonts w:ascii="Arial" w:eastAsia="Arial" w:hAnsi="Arial" w:cs="Arial"/>
          <w:color w:val="0A0A0A"/>
          <w:w w:val="106"/>
          <w:sz w:val="21"/>
          <w:szCs w:val="21"/>
          <w:lang w:val="en-ZA" w:eastAsia="en-ZA"/>
        </w:rPr>
        <w:t xml:space="preserve">other </w:t>
      </w:r>
      <w:r w:rsidRPr="00BB5C77">
        <w:rPr>
          <w:rFonts w:ascii="Arial" w:eastAsia="Arial" w:hAnsi="Arial" w:cs="Arial"/>
          <w:color w:val="0A0A0A"/>
          <w:sz w:val="21"/>
          <w:szCs w:val="21"/>
          <w:lang w:val="en-ZA" w:eastAsia="en-ZA"/>
        </w:rPr>
        <w:t>technical</w:t>
      </w:r>
      <w:r w:rsidRPr="00BB5C77">
        <w:rPr>
          <w:rFonts w:ascii="Arial" w:eastAsia="Arial" w:hAnsi="Arial" w:cs="Arial"/>
          <w:color w:val="0A0A0A"/>
          <w:spacing w:val="16"/>
          <w:sz w:val="21"/>
          <w:szCs w:val="21"/>
          <w:lang w:val="en-ZA" w:eastAsia="en-ZA"/>
        </w:rPr>
        <w:t xml:space="preserve"> </w:t>
      </w:r>
      <w:r w:rsidRPr="00BB5C77">
        <w:rPr>
          <w:rFonts w:ascii="Arial" w:eastAsia="Arial" w:hAnsi="Arial" w:cs="Arial"/>
          <w:color w:val="0A0A0A"/>
          <w:w w:val="104"/>
          <w:sz w:val="21"/>
          <w:szCs w:val="21"/>
          <w:lang w:val="en-ZA" w:eastAsia="en-ZA"/>
        </w:rPr>
        <w:t>losses.</w:t>
      </w:r>
    </w:p>
    <w:p w14:paraId="108B80E0" w14:textId="77777777" w:rsidR="00BB5C77" w:rsidRPr="00BB5C77" w:rsidRDefault="00BB5C77" w:rsidP="00BB5C77">
      <w:pPr>
        <w:spacing w:after="0"/>
        <w:jc w:val="both"/>
        <w:rPr>
          <w:rFonts w:eastAsia="Times New Roman" w:cs="Times New Roman"/>
          <w:sz w:val="22"/>
          <w:lang w:val="en-ZA" w:eastAsia="en-ZA"/>
        </w:rPr>
        <w:sectPr w:rsidR="00BB5C77" w:rsidRPr="00BB5C77">
          <w:pgSz w:w="11900" w:h="16820"/>
          <w:pgMar w:top="940" w:right="1340" w:bottom="280" w:left="1220" w:header="720" w:footer="720" w:gutter="0"/>
          <w:cols w:space="720"/>
        </w:sectPr>
      </w:pPr>
    </w:p>
    <w:p w14:paraId="52DBBFAE" w14:textId="77777777" w:rsidR="00BB5C77" w:rsidRPr="00BB5C77" w:rsidRDefault="00BB5C77" w:rsidP="00BB5C77">
      <w:pPr>
        <w:spacing w:before="68" w:after="0" w:line="240" w:lineRule="auto"/>
        <w:ind w:left="276" w:right="-20"/>
        <w:jc w:val="both"/>
        <w:rPr>
          <w:rFonts w:ascii="Arial" w:eastAsia="Arial" w:hAnsi="Arial" w:cs="Arial"/>
          <w:sz w:val="24"/>
          <w:szCs w:val="24"/>
          <w:lang w:val="en-ZA" w:eastAsia="en-ZA"/>
        </w:rPr>
      </w:pPr>
      <w:r w:rsidRPr="00BB5C77">
        <w:rPr>
          <w:rFonts w:ascii="Arial" w:eastAsia="Arial" w:hAnsi="Arial" w:cs="Arial"/>
          <w:color w:val="1D1D1D"/>
          <w:sz w:val="24"/>
          <w:szCs w:val="24"/>
          <w:lang w:val="en-ZA" w:eastAsia="en-ZA"/>
        </w:rPr>
        <w:t>Other</w:t>
      </w:r>
      <w:r w:rsidRPr="00BB5C77">
        <w:rPr>
          <w:rFonts w:ascii="Arial" w:eastAsia="Arial" w:hAnsi="Arial" w:cs="Arial"/>
          <w:color w:val="1D1D1D"/>
          <w:spacing w:val="18"/>
          <w:sz w:val="24"/>
          <w:szCs w:val="24"/>
          <w:lang w:val="en-ZA" w:eastAsia="en-ZA"/>
        </w:rPr>
        <w:t xml:space="preserve"> </w:t>
      </w:r>
      <w:r w:rsidRPr="00BB5C77">
        <w:rPr>
          <w:rFonts w:ascii="Arial" w:eastAsia="Arial" w:hAnsi="Arial" w:cs="Arial"/>
          <w:color w:val="1D1D1D"/>
          <w:w w:val="109"/>
          <w:sz w:val="24"/>
          <w:szCs w:val="24"/>
          <w:lang w:val="en-ZA" w:eastAsia="en-ZA"/>
        </w:rPr>
        <w:t>matter</w:t>
      </w:r>
    </w:p>
    <w:p w14:paraId="535559CA" w14:textId="77777777" w:rsidR="00BB5C77" w:rsidRPr="00BB5C77" w:rsidRDefault="00BB5C77" w:rsidP="00BB5C77">
      <w:pPr>
        <w:spacing w:before="7" w:after="0" w:line="240" w:lineRule="exact"/>
        <w:jc w:val="both"/>
        <w:rPr>
          <w:rFonts w:eastAsia="Times New Roman" w:cs="Times New Roman"/>
          <w:sz w:val="24"/>
          <w:szCs w:val="24"/>
          <w:lang w:val="en-ZA" w:eastAsia="en-ZA"/>
        </w:rPr>
      </w:pPr>
    </w:p>
    <w:p w14:paraId="0C628396" w14:textId="77777777" w:rsidR="00BB5C77" w:rsidRPr="00BB5C77" w:rsidRDefault="00BB5C77" w:rsidP="00BB5C77">
      <w:pPr>
        <w:spacing w:after="0" w:line="240" w:lineRule="auto"/>
        <w:ind w:left="269" w:right="-20"/>
        <w:jc w:val="both"/>
        <w:rPr>
          <w:rFonts w:ascii="Arial" w:eastAsia="Arial" w:hAnsi="Arial" w:cs="Arial"/>
          <w:sz w:val="21"/>
          <w:szCs w:val="21"/>
          <w:lang w:val="en-ZA" w:eastAsia="en-ZA"/>
        </w:rPr>
      </w:pPr>
      <w:r w:rsidRPr="00BB5C77">
        <w:rPr>
          <w:rFonts w:ascii="Arial" w:eastAsia="Arial" w:hAnsi="Arial" w:cs="Arial"/>
          <w:color w:val="030303"/>
          <w:spacing w:val="-11"/>
          <w:w w:val="122"/>
          <w:sz w:val="21"/>
          <w:szCs w:val="21"/>
          <w:lang w:val="en-ZA" w:eastAsia="en-ZA"/>
        </w:rPr>
        <w:t>8</w:t>
      </w:r>
      <w:r w:rsidRPr="00BB5C77">
        <w:rPr>
          <w:rFonts w:ascii="Arial" w:eastAsia="Arial" w:hAnsi="Arial" w:cs="Arial"/>
          <w:color w:val="333333"/>
          <w:w w:val="122"/>
          <w:sz w:val="21"/>
          <w:szCs w:val="21"/>
          <w:lang w:val="en-ZA" w:eastAsia="en-ZA"/>
        </w:rPr>
        <w:t xml:space="preserve">. </w:t>
      </w:r>
      <w:r w:rsidRPr="00BB5C77">
        <w:rPr>
          <w:rFonts w:ascii="Arial" w:eastAsia="Arial" w:hAnsi="Arial" w:cs="Arial"/>
          <w:color w:val="333333"/>
          <w:spacing w:val="26"/>
          <w:w w:val="122"/>
          <w:sz w:val="21"/>
          <w:szCs w:val="21"/>
          <w:lang w:val="en-ZA" w:eastAsia="en-ZA"/>
        </w:rPr>
        <w:t xml:space="preserve"> </w:t>
      </w:r>
      <w:r w:rsidRPr="00BB5C77">
        <w:rPr>
          <w:rFonts w:ascii="Arial" w:eastAsia="Arial" w:hAnsi="Arial" w:cs="Arial"/>
          <w:color w:val="030303"/>
          <w:w w:val="178"/>
          <w:sz w:val="21"/>
          <w:szCs w:val="21"/>
          <w:lang w:val="en-ZA" w:eastAsia="en-ZA"/>
        </w:rPr>
        <w:t>I</w:t>
      </w:r>
      <w:r w:rsidRPr="00BB5C77">
        <w:rPr>
          <w:rFonts w:ascii="Arial" w:eastAsia="Arial" w:hAnsi="Arial" w:cs="Arial"/>
          <w:color w:val="030303"/>
          <w:spacing w:val="-36"/>
          <w:sz w:val="21"/>
          <w:szCs w:val="21"/>
          <w:lang w:val="en-ZA" w:eastAsia="en-ZA"/>
        </w:rPr>
        <w:t xml:space="preserve"> </w:t>
      </w:r>
      <w:r w:rsidRPr="00BB5C77">
        <w:rPr>
          <w:rFonts w:ascii="Arial" w:eastAsia="Arial" w:hAnsi="Arial" w:cs="Arial"/>
          <w:color w:val="030303"/>
          <w:sz w:val="21"/>
          <w:szCs w:val="21"/>
          <w:lang w:val="en-ZA" w:eastAsia="en-ZA"/>
        </w:rPr>
        <w:t>draw</w:t>
      </w:r>
      <w:r w:rsidRPr="00BB5C77">
        <w:rPr>
          <w:rFonts w:ascii="Arial" w:eastAsia="Arial" w:hAnsi="Arial" w:cs="Arial"/>
          <w:color w:val="030303"/>
          <w:spacing w:val="16"/>
          <w:sz w:val="21"/>
          <w:szCs w:val="21"/>
          <w:lang w:val="en-ZA" w:eastAsia="en-ZA"/>
        </w:rPr>
        <w:t xml:space="preserve"> </w:t>
      </w:r>
      <w:r w:rsidRPr="00BB5C77">
        <w:rPr>
          <w:rFonts w:ascii="Arial" w:eastAsia="Arial" w:hAnsi="Arial" w:cs="Arial"/>
          <w:color w:val="030303"/>
          <w:sz w:val="21"/>
          <w:szCs w:val="21"/>
          <w:lang w:val="en-ZA" w:eastAsia="en-ZA"/>
        </w:rPr>
        <w:t>attention</w:t>
      </w:r>
      <w:r w:rsidRPr="00BB5C77">
        <w:rPr>
          <w:rFonts w:ascii="Arial" w:eastAsia="Arial" w:hAnsi="Arial" w:cs="Arial"/>
          <w:color w:val="030303"/>
          <w:spacing w:val="32"/>
          <w:sz w:val="21"/>
          <w:szCs w:val="21"/>
          <w:lang w:val="en-ZA" w:eastAsia="en-ZA"/>
        </w:rPr>
        <w:t xml:space="preserve"> </w:t>
      </w:r>
      <w:r w:rsidRPr="00BB5C77">
        <w:rPr>
          <w:rFonts w:ascii="Arial" w:eastAsia="Arial" w:hAnsi="Arial" w:cs="Arial"/>
          <w:color w:val="030303"/>
          <w:sz w:val="21"/>
          <w:szCs w:val="21"/>
          <w:lang w:val="en-ZA" w:eastAsia="en-ZA"/>
        </w:rPr>
        <w:t>to</w:t>
      </w:r>
      <w:r w:rsidRPr="00BB5C77">
        <w:rPr>
          <w:rFonts w:ascii="Arial" w:eastAsia="Arial" w:hAnsi="Arial" w:cs="Arial"/>
          <w:color w:val="030303"/>
          <w:spacing w:val="7"/>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7"/>
          <w:sz w:val="21"/>
          <w:szCs w:val="21"/>
          <w:lang w:val="en-ZA" w:eastAsia="en-ZA"/>
        </w:rPr>
        <w:t xml:space="preserve"> </w:t>
      </w:r>
      <w:r w:rsidRPr="00BB5C77">
        <w:rPr>
          <w:rFonts w:ascii="Arial" w:eastAsia="Arial" w:hAnsi="Arial" w:cs="Arial"/>
          <w:color w:val="030303"/>
          <w:sz w:val="21"/>
          <w:szCs w:val="21"/>
          <w:lang w:val="en-ZA" w:eastAsia="en-ZA"/>
        </w:rPr>
        <w:t>matter</w:t>
      </w:r>
      <w:r w:rsidRPr="00BB5C77">
        <w:rPr>
          <w:rFonts w:ascii="Arial" w:eastAsia="Arial" w:hAnsi="Arial" w:cs="Arial"/>
          <w:color w:val="030303"/>
          <w:spacing w:val="23"/>
          <w:sz w:val="21"/>
          <w:szCs w:val="21"/>
          <w:lang w:val="en-ZA" w:eastAsia="en-ZA"/>
        </w:rPr>
        <w:t xml:space="preserve"> </w:t>
      </w:r>
      <w:r w:rsidRPr="00BB5C77">
        <w:rPr>
          <w:rFonts w:ascii="Arial" w:eastAsia="Arial" w:hAnsi="Arial" w:cs="Arial"/>
          <w:color w:val="030303"/>
          <w:w w:val="106"/>
          <w:sz w:val="21"/>
          <w:szCs w:val="21"/>
          <w:lang w:val="en-ZA" w:eastAsia="en-ZA"/>
        </w:rPr>
        <w:t>belo</w:t>
      </w:r>
      <w:r w:rsidRPr="00BB5C77">
        <w:rPr>
          <w:rFonts w:ascii="Arial" w:eastAsia="Arial" w:hAnsi="Arial" w:cs="Arial"/>
          <w:color w:val="030303"/>
          <w:spacing w:val="-14"/>
          <w:w w:val="106"/>
          <w:sz w:val="21"/>
          <w:szCs w:val="21"/>
          <w:lang w:val="en-ZA" w:eastAsia="en-ZA"/>
        </w:rPr>
        <w:t>w</w:t>
      </w:r>
      <w:r w:rsidRPr="00BB5C77">
        <w:rPr>
          <w:rFonts w:ascii="Arial" w:eastAsia="Arial" w:hAnsi="Arial" w:cs="Arial"/>
          <w:color w:val="333333"/>
          <w:w w:val="169"/>
          <w:sz w:val="21"/>
          <w:szCs w:val="21"/>
          <w:lang w:val="en-ZA" w:eastAsia="en-ZA"/>
        </w:rPr>
        <w:t>.</w:t>
      </w:r>
      <w:r w:rsidRPr="00BB5C77">
        <w:rPr>
          <w:rFonts w:ascii="Arial" w:eastAsia="Arial" w:hAnsi="Arial" w:cs="Arial"/>
          <w:color w:val="333333"/>
          <w:spacing w:val="-33"/>
          <w:sz w:val="21"/>
          <w:szCs w:val="21"/>
          <w:lang w:val="en-ZA" w:eastAsia="en-ZA"/>
        </w:rPr>
        <w:t xml:space="preserve"> </w:t>
      </w:r>
      <w:r w:rsidRPr="00BB5C77">
        <w:rPr>
          <w:rFonts w:ascii="Arial" w:eastAsia="Arial" w:hAnsi="Arial" w:cs="Arial"/>
          <w:color w:val="030303"/>
          <w:sz w:val="21"/>
          <w:szCs w:val="21"/>
          <w:lang w:val="en-ZA" w:eastAsia="en-ZA"/>
        </w:rPr>
        <w:t>My</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opinion</w:t>
      </w:r>
      <w:r w:rsidRPr="00BB5C77">
        <w:rPr>
          <w:rFonts w:ascii="Arial" w:eastAsia="Arial" w:hAnsi="Arial" w:cs="Arial"/>
          <w:color w:val="030303"/>
          <w:spacing w:val="33"/>
          <w:sz w:val="21"/>
          <w:szCs w:val="21"/>
          <w:lang w:val="en-ZA" w:eastAsia="en-ZA"/>
        </w:rPr>
        <w:t xml:space="preserve"> </w:t>
      </w:r>
      <w:r w:rsidRPr="00BB5C77">
        <w:rPr>
          <w:rFonts w:ascii="Arial" w:eastAsia="Arial" w:hAnsi="Arial" w:cs="Arial"/>
          <w:color w:val="030303"/>
          <w:sz w:val="21"/>
          <w:szCs w:val="21"/>
          <w:lang w:val="en-ZA" w:eastAsia="en-ZA"/>
        </w:rPr>
        <w:t>is</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not</w:t>
      </w:r>
      <w:r w:rsidRPr="00BB5C77">
        <w:rPr>
          <w:rFonts w:ascii="Arial" w:eastAsia="Arial" w:hAnsi="Arial" w:cs="Arial"/>
          <w:color w:val="030303"/>
          <w:spacing w:val="15"/>
          <w:sz w:val="21"/>
          <w:szCs w:val="21"/>
          <w:lang w:val="en-ZA" w:eastAsia="en-ZA"/>
        </w:rPr>
        <w:t xml:space="preserve"> </w:t>
      </w:r>
      <w:r w:rsidRPr="00BB5C77">
        <w:rPr>
          <w:rFonts w:ascii="Arial" w:eastAsia="Arial" w:hAnsi="Arial" w:cs="Arial"/>
          <w:color w:val="030303"/>
          <w:w w:val="106"/>
          <w:sz w:val="21"/>
          <w:szCs w:val="21"/>
          <w:lang w:val="en-ZA" w:eastAsia="en-ZA"/>
        </w:rPr>
        <w:t>modi</w:t>
      </w:r>
      <w:r w:rsidRPr="00BB5C77">
        <w:rPr>
          <w:rFonts w:ascii="Arial" w:eastAsia="Arial" w:hAnsi="Arial" w:cs="Arial"/>
          <w:color w:val="030303"/>
          <w:spacing w:val="-7"/>
          <w:w w:val="105"/>
          <w:sz w:val="21"/>
          <w:szCs w:val="21"/>
          <w:lang w:val="en-ZA" w:eastAsia="en-ZA"/>
        </w:rPr>
        <w:t>f</w:t>
      </w:r>
      <w:r w:rsidRPr="00BB5C77">
        <w:rPr>
          <w:rFonts w:ascii="Arial" w:eastAsia="Arial" w:hAnsi="Arial" w:cs="Arial"/>
          <w:color w:val="1D1D1D"/>
          <w:spacing w:val="-11"/>
          <w:w w:val="155"/>
          <w:sz w:val="21"/>
          <w:szCs w:val="21"/>
          <w:lang w:val="en-ZA" w:eastAsia="en-ZA"/>
        </w:rPr>
        <w:t>i</w:t>
      </w:r>
      <w:r w:rsidRPr="00BB5C77">
        <w:rPr>
          <w:rFonts w:ascii="Arial" w:eastAsia="Arial" w:hAnsi="Arial" w:cs="Arial"/>
          <w:color w:val="030303"/>
          <w:w w:val="109"/>
          <w:sz w:val="21"/>
          <w:szCs w:val="21"/>
          <w:lang w:val="en-ZA" w:eastAsia="en-ZA"/>
        </w:rPr>
        <w:t>ed</w:t>
      </w:r>
      <w:r w:rsidRPr="00BB5C77">
        <w:rPr>
          <w:rFonts w:ascii="Arial" w:eastAsia="Arial" w:hAnsi="Arial" w:cs="Arial"/>
          <w:color w:val="030303"/>
          <w:spacing w:val="-21"/>
          <w:sz w:val="21"/>
          <w:szCs w:val="21"/>
          <w:lang w:val="en-ZA" w:eastAsia="en-ZA"/>
        </w:rPr>
        <w:t xml:space="preserve"> </w:t>
      </w:r>
      <w:r w:rsidRPr="00BB5C77">
        <w:rPr>
          <w:rFonts w:ascii="Arial" w:eastAsia="Arial" w:hAnsi="Arial" w:cs="Arial"/>
          <w:color w:val="030303"/>
          <w:spacing w:val="-3"/>
          <w:w w:val="193"/>
          <w:sz w:val="21"/>
          <w:szCs w:val="21"/>
          <w:lang w:val="en-ZA" w:eastAsia="en-ZA"/>
        </w:rPr>
        <w:t>i</w:t>
      </w:r>
      <w:r w:rsidRPr="00BB5C77">
        <w:rPr>
          <w:rFonts w:ascii="Arial" w:eastAsia="Arial" w:hAnsi="Arial" w:cs="Arial"/>
          <w:color w:val="1D1D1D"/>
          <w:w w:val="121"/>
          <w:sz w:val="21"/>
          <w:szCs w:val="21"/>
          <w:lang w:val="en-ZA" w:eastAsia="en-ZA"/>
        </w:rPr>
        <w:t>n</w:t>
      </w:r>
      <w:r w:rsidRPr="00BB5C77">
        <w:rPr>
          <w:rFonts w:ascii="Arial" w:eastAsia="Arial" w:hAnsi="Arial" w:cs="Arial"/>
          <w:color w:val="1D1D1D"/>
          <w:spacing w:val="-14"/>
          <w:sz w:val="21"/>
          <w:szCs w:val="21"/>
          <w:lang w:val="en-ZA" w:eastAsia="en-ZA"/>
        </w:rPr>
        <w:t xml:space="preserve"> </w:t>
      </w:r>
      <w:r w:rsidRPr="00BB5C77">
        <w:rPr>
          <w:rFonts w:ascii="Arial" w:eastAsia="Arial" w:hAnsi="Arial" w:cs="Arial"/>
          <w:color w:val="030303"/>
          <w:w w:val="108"/>
          <w:sz w:val="21"/>
          <w:szCs w:val="21"/>
          <w:lang w:val="en-ZA" w:eastAsia="en-ZA"/>
        </w:rPr>
        <w:t>respe</w:t>
      </w:r>
      <w:r w:rsidRPr="00BB5C77">
        <w:rPr>
          <w:rFonts w:ascii="Arial" w:eastAsia="Arial" w:hAnsi="Arial" w:cs="Arial"/>
          <w:color w:val="030303"/>
          <w:spacing w:val="-16"/>
          <w:w w:val="108"/>
          <w:sz w:val="21"/>
          <w:szCs w:val="21"/>
          <w:lang w:val="en-ZA" w:eastAsia="en-ZA"/>
        </w:rPr>
        <w:t>c</w:t>
      </w:r>
      <w:r w:rsidRPr="00BB5C77">
        <w:rPr>
          <w:rFonts w:ascii="Arial" w:eastAsia="Arial" w:hAnsi="Arial" w:cs="Arial"/>
          <w:color w:val="1D1D1D"/>
          <w:w w:val="108"/>
          <w:sz w:val="21"/>
          <w:szCs w:val="21"/>
          <w:lang w:val="en-ZA" w:eastAsia="en-ZA"/>
        </w:rPr>
        <w:t>t</w:t>
      </w:r>
      <w:r w:rsidRPr="00BB5C77">
        <w:rPr>
          <w:rFonts w:ascii="Arial" w:eastAsia="Arial" w:hAnsi="Arial" w:cs="Arial"/>
          <w:color w:val="1D1D1D"/>
          <w:spacing w:val="-20"/>
          <w:w w:val="108"/>
          <w:sz w:val="21"/>
          <w:szCs w:val="21"/>
          <w:lang w:val="en-ZA" w:eastAsia="en-ZA"/>
        </w:rPr>
        <w:t xml:space="preserve"> </w:t>
      </w:r>
      <w:r w:rsidRPr="00BB5C77">
        <w:rPr>
          <w:rFonts w:ascii="Arial" w:eastAsia="Arial" w:hAnsi="Arial" w:cs="Arial"/>
          <w:color w:val="030303"/>
          <w:sz w:val="21"/>
          <w:szCs w:val="21"/>
          <w:lang w:val="en-ZA" w:eastAsia="en-ZA"/>
        </w:rPr>
        <w:t>of</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w w:val="125"/>
          <w:sz w:val="21"/>
          <w:szCs w:val="21"/>
          <w:lang w:val="en-ZA" w:eastAsia="en-ZA"/>
        </w:rPr>
        <w:t>t</w:t>
      </w:r>
      <w:r w:rsidRPr="00BB5C77">
        <w:rPr>
          <w:rFonts w:ascii="Arial" w:eastAsia="Arial" w:hAnsi="Arial" w:cs="Arial"/>
          <w:color w:val="030303"/>
          <w:spacing w:val="-22"/>
          <w:w w:val="125"/>
          <w:sz w:val="21"/>
          <w:szCs w:val="21"/>
          <w:lang w:val="en-ZA" w:eastAsia="en-ZA"/>
        </w:rPr>
        <w:t>h</w:t>
      </w:r>
      <w:r w:rsidRPr="00BB5C77">
        <w:rPr>
          <w:rFonts w:ascii="Arial" w:eastAsia="Arial" w:hAnsi="Arial" w:cs="Arial"/>
          <w:color w:val="1D1D1D"/>
          <w:spacing w:val="-13"/>
          <w:w w:val="125"/>
          <w:sz w:val="21"/>
          <w:szCs w:val="21"/>
          <w:lang w:val="en-ZA" w:eastAsia="en-ZA"/>
        </w:rPr>
        <w:t>i</w:t>
      </w:r>
      <w:r w:rsidRPr="00BB5C77">
        <w:rPr>
          <w:rFonts w:ascii="Arial" w:eastAsia="Arial" w:hAnsi="Arial" w:cs="Arial"/>
          <w:color w:val="030303"/>
          <w:w w:val="125"/>
          <w:sz w:val="21"/>
          <w:szCs w:val="21"/>
          <w:lang w:val="en-ZA" w:eastAsia="en-ZA"/>
        </w:rPr>
        <w:t>s</w:t>
      </w:r>
      <w:r w:rsidRPr="00BB5C77">
        <w:rPr>
          <w:rFonts w:ascii="Arial" w:eastAsia="Arial" w:hAnsi="Arial" w:cs="Arial"/>
          <w:color w:val="030303"/>
          <w:spacing w:val="-25"/>
          <w:w w:val="125"/>
          <w:sz w:val="21"/>
          <w:szCs w:val="21"/>
          <w:lang w:val="en-ZA" w:eastAsia="en-ZA"/>
        </w:rPr>
        <w:t xml:space="preserve"> </w:t>
      </w:r>
      <w:r w:rsidRPr="00BB5C77">
        <w:rPr>
          <w:rFonts w:ascii="Arial" w:eastAsia="Arial" w:hAnsi="Arial" w:cs="Arial"/>
          <w:color w:val="030303"/>
          <w:w w:val="106"/>
          <w:sz w:val="21"/>
          <w:szCs w:val="21"/>
          <w:lang w:val="en-ZA" w:eastAsia="en-ZA"/>
        </w:rPr>
        <w:t>matt</w:t>
      </w:r>
      <w:r w:rsidRPr="00BB5C77">
        <w:rPr>
          <w:rFonts w:ascii="Arial" w:eastAsia="Arial" w:hAnsi="Arial" w:cs="Arial"/>
          <w:color w:val="030303"/>
          <w:spacing w:val="-10"/>
          <w:w w:val="107"/>
          <w:sz w:val="21"/>
          <w:szCs w:val="21"/>
          <w:lang w:val="en-ZA" w:eastAsia="en-ZA"/>
        </w:rPr>
        <w:t>e</w:t>
      </w:r>
      <w:r w:rsidRPr="00BB5C77">
        <w:rPr>
          <w:rFonts w:ascii="Arial" w:eastAsia="Arial" w:hAnsi="Arial" w:cs="Arial"/>
          <w:color w:val="1D1D1D"/>
          <w:w w:val="110"/>
          <w:sz w:val="21"/>
          <w:szCs w:val="21"/>
          <w:lang w:val="en-ZA" w:eastAsia="en-ZA"/>
        </w:rPr>
        <w:t>r.</w:t>
      </w:r>
    </w:p>
    <w:p w14:paraId="3A5EC5DE" w14:textId="77777777" w:rsidR="00BB5C77" w:rsidRPr="00BB5C77" w:rsidRDefault="00BB5C77" w:rsidP="00BB5C77">
      <w:pPr>
        <w:spacing w:before="17" w:after="0" w:line="220" w:lineRule="exact"/>
        <w:jc w:val="both"/>
        <w:rPr>
          <w:rFonts w:eastAsia="Times New Roman" w:cs="Times New Roman"/>
          <w:sz w:val="22"/>
          <w:lang w:val="en-ZA" w:eastAsia="en-ZA"/>
        </w:rPr>
      </w:pPr>
    </w:p>
    <w:p w14:paraId="60D9AE36" w14:textId="77777777" w:rsidR="00BB5C77" w:rsidRPr="00BB5C77" w:rsidRDefault="00BB5C77" w:rsidP="00BB5C77">
      <w:pPr>
        <w:spacing w:after="0" w:line="240" w:lineRule="auto"/>
        <w:ind w:left="276" w:right="-20"/>
        <w:jc w:val="both"/>
        <w:rPr>
          <w:rFonts w:ascii="Arial" w:eastAsia="Arial" w:hAnsi="Arial" w:cs="Arial"/>
          <w:sz w:val="22"/>
          <w:lang w:val="en-ZA" w:eastAsia="en-ZA"/>
        </w:rPr>
      </w:pPr>
      <w:r w:rsidRPr="00BB5C77">
        <w:rPr>
          <w:rFonts w:ascii="Arial" w:eastAsia="Arial" w:hAnsi="Arial" w:cs="Arial"/>
          <w:color w:val="1D1D1D"/>
          <w:w w:val="108"/>
          <w:sz w:val="22"/>
          <w:lang w:val="en-ZA" w:eastAsia="en-ZA"/>
        </w:rPr>
        <w:t>Unaudited</w:t>
      </w:r>
      <w:r w:rsidRPr="00BB5C77">
        <w:rPr>
          <w:rFonts w:ascii="Arial" w:eastAsia="Arial" w:hAnsi="Arial" w:cs="Arial"/>
          <w:color w:val="1D1D1D"/>
          <w:spacing w:val="-24"/>
          <w:w w:val="108"/>
          <w:sz w:val="22"/>
          <w:lang w:val="en-ZA" w:eastAsia="en-ZA"/>
        </w:rPr>
        <w:t xml:space="preserve"> </w:t>
      </w:r>
      <w:r w:rsidRPr="00BB5C77">
        <w:rPr>
          <w:rFonts w:ascii="Arial" w:eastAsia="Arial" w:hAnsi="Arial" w:cs="Arial"/>
          <w:color w:val="1D1D1D"/>
          <w:w w:val="110"/>
          <w:sz w:val="22"/>
          <w:lang w:val="en-ZA" w:eastAsia="en-ZA"/>
        </w:rPr>
        <w:t>disclosure</w:t>
      </w:r>
      <w:r w:rsidRPr="00BB5C77">
        <w:rPr>
          <w:rFonts w:ascii="Arial" w:eastAsia="Arial" w:hAnsi="Arial" w:cs="Arial"/>
          <w:color w:val="1D1D1D"/>
          <w:spacing w:val="-11"/>
          <w:w w:val="110"/>
          <w:sz w:val="22"/>
          <w:lang w:val="en-ZA" w:eastAsia="en-ZA"/>
        </w:rPr>
        <w:t xml:space="preserve"> </w:t>
      </w:r>
      <w:r w:rsidRPr="00BB5C77">
        <w:rPr>
          <w:rFonts w:ascii="Arial" w:eastAsia="Arial" w:hAnsi="Arial" w:cs="Arial"/>
          <w:color w:val="1D1D1D"/>
          <w:w w:val="110"/>
          <w:sz w:val="22"/>
          <w:lang w:val="en-ZA" w:eastAsia="en-ZA"/>
        </w:rPr>
        <w:t>notes</w:t>
      </w:r>
    </w:p>
    <w:p w14:paraId="19FD4248" w14:textId="77777777" w:rsidR="00BB5C77" w:rsidRPr="00BB5C77" w:rsidRDefault="00BB5C77" w:rsidP="00BB5C77">
      <w:pPr>
        <w:spacing w:before="11" w:after="0" w:line="240" w:lineRule="exact"/>
        <w:jc w:val="both"/>
        <w:rPr>
          <w:rFonts w:eastAsia="Times New Roman" w:cs="Times New Roman"/>
          <w:sz w:val="24"/>
          <w:szCs w:val="24"/>
          <w:lang w:val="en-ZA" w:eastAsia="en-ZA"/>
        </w:rPr>
      </w:pPr>
    </w:p>
    <w:p w14:paraId="23E496E1" w14:textId="77777777" w:rsidR="00BB5C77" w:rsidRPr="00BB5C77" w:rsidRDefault="00BB5C77" w:rsidP="00BB5C77">
      <w:pPr>
        <w:spacing w:after="0" w:line="249" w:lineRule="auto"/>
        <w:ind w:left="619" w:right="82" w:hanging="343"/>
        <w:jc w:val="both"/>
        <w:rPr>
          <w:rFonts w:ascii="Arial" w:eastAsia="Arial" w:hAnsi="Arial" w:cs="Arial"/>
          <w:sz w:val="21"/>
          <w:szCs w:val="21"/>
          <w:lang w:val="en-ZA" w:eastAsia="en-ZA"/>
        </w:rPr>
      </w:pPr>
      <w:r w:rsidRPr="00BB5C77">
        <w:rPr>
          <w:rFonts w:ascii="Arial" w:eastAsia="Arial" w:hAnsi="Arial" w:cs="Arial"/>
          <w:color w:val="030303"/>
          <w:sz w:val="21"/>
          <w:szCs w:val="21"/>
          <w:lang w:val="en-ZA" w:eastAsia="en-ZA"/>
        </w:rPr>
        <w:t xml:space="preserve">9.  </w:t>
      </w:r>
      <w:r w:rsidRPr="00BB5C77">
        <w:rPr>
          <w:rFonts w:ascii="Arial" w:eastAsia="Arial" w:hAnsi="Arial" w:cs="Arial"/>
          <w:color w:val="030303"/>
          <w:spacing w:val="20"/>
          <w:sz w:val="21"/>
          <w:szCs w:val="21"/>
          <w:lang w:val="en-ZA" w:eastAsia="en-ZA"/>
        </w:rPr>
        <w:t xml:space="preserve"> </w:t>
      </w:r>
      <w:r w:rsidRPr="00BB5C77">
        <w:rPr>
          <w:rFonts w:ascii="Arial" w:eastAsia="Arial" w:hAnsi="Arial" w:cs="Arial"/>
          <w:color w:val="030303"/>
          <w:sz w:val="21"/>
          <w:szCs w:val="21"/>
          <w:lang w:val="en-ZA" w:eastAsia="en-ZA"/>
        </w:rPr>
        <w:t>In</w:t>
      </w:r>
      <w:r w:rsidRPr="00BB5C77">
        <w:rPr>
          <w:rFonts w:ascii="Arial" w:eastAsia="Arial" w:hAnsi="Arial" w:cs="Arial"/>
          <w:color w:val="030303"/>
          <w:spacing w:val="-8"/>
          <w:sz w:val="21"/>
          <w:szCs w:val="21"/>
          <w:lang w:val="en-ZA" w:eastAsia="en-ZA"/>
        </w:rPr>
        <w:t xml:space="preserve"> </w:t>
      </w:r>
      <w:r w:rsidRPr="00BB5C77">
        <w:rPr>
          <w:rFonts w:ascii="Arial" w:eastAsia="Arial" w:hAnsi="Arial" w:cs="Arial"/>
          <w:color w:val="030303"/>
          <w:sz w:val="21"/>
          <w:szCs w:val="21"/>
          <w:lang w:val="en-ZA" w:eastAsia="en-ZA"/>
        </w:rPr>
        <w:t>terms</w:t>
      </w:r>
      <w:r w:rsidRPr="00BB5C77">
        <w:rPr>
          <w:rFonts w:ascii="Arial" w:eastAsia="Arial" w:hAnsi="Arial" w:cs="Arial"/>
          <w:color w:val="030303"/>
          <w:spacing w:val="37"/>
          <w:sz w:val="21"/>
          <w:szCs w:val="21"/>
          <w:lang w:val="en-ZA" w:eastAsia="en-ZA"/>
        </w:rPr>
        <w:t xml:space="preserve"> </w:t>
      </w:r>
      <w:r w:rsidRPr="00BB5C77">
        <w:rPr>
          <w:rFonts w:ascii="Arial" w:eastAsia="Arial" w:hAnsi="Arial" w:cs="Arial"/>
          <w:color w:val="030303"/>
          <w:sz w:val="21"/>
          <w:szCs w:val="21"/>
          <w:lang w:val="en-ZA" w:eastAsia="en-ZA"/>
        </w:rPr>
        <w:t>of</w:t>
      </w:r>
      <w:r w:rsidRPr="00BB5C77">
        <w:rPr>
          <w:rFonts w:ascii="Arial" w:eastAsia="Arial" w:hAnsi="Arial" w:cs="Arial"/>
          <w:color w:val="030303"/>
          <w:spacing w:val="-4"/>
          <w:sz w:val="21"/>
          <w:szCs w:val="21"/>
          <w:lang w:val="en-ZA" w:eastAsia="en-ZA"/>
        </w:rPr>
        <w:t xml:space="preserve"> </w:t>
      </w:r>
      <w:r w:rsidRPr="00BB5C77">
        <w:rPr>
          <w:rFonts w:ascii="Arial" w:eastAsia="Arial" w:hAnsi="Arial" w:cs="Arial"/>
          <w:color w:val="030303"/>
          <w:sz w:val="21"/>
          <w:szCs w:val="21"/>
          <w:lang w:val="en-ZA" w:eastAsia="en-ZA"/>
        </w:rPr>
        <w:t>section</w:t>
      </w:r>
      <w:r w:rsidRPr="00BB5C77">
        <w:rPr>
          <w:rFonts w:ascii="Arial" w:eastAsia="Arial" w:hAnsi="Arial" w:cs="Arial"/>
          <w:color w:val="030303"/>
          <w:spacing w:val="20"/>
          <w:sz w:val="21"/>
          <w:szCs w:val="21"/>
          <w:lang w:val="en-ZA" w:eastAsia="en-ZA"/>
        </w:rPr>
        <w:t xml:space="preserve"> </w:t>
      </w:r>
      <w:r w:rsidRPr="00BB5C77">
        <w:rPr>
          <w:rFonts w:ascii="Arial" w:eastAsia="Arial" w:hAnsi="Arial" w:cs="Arial"/>
          <w:color w:val="030303"/>
          <w:sz w:val="21"/>
          <w:szCs w:val="21"/>
          <w:lang w:val="en-ZA" w:eastAsia="en-ZA"/>
        </w:rPr>
        <w:t>125(2)(e)</w:t>
      </w:r>
      <w:r w:rsidRPr="00BB5C77">
        <w:rPr>
          <w:rFonts w:ascii="Arial" w:eastAsia="Arial" w:hAnsi="Arial" w:cs="Arial"/>
          <w:color w:val="030303"/>
          <w:spacing w:val="48"/>
          <w:sz w:val="21"/>
          <w:szCs w:val="21"/>
          <w:lang w:val="en-ZA" w:eastAsia="en-ZA"/>
        </w:rPr>
        <w:t xml:space="preserve"> </w:t>
      </w:r>
      <w:r w:rsidRPr="00BB5C77">
        <w:rPr>
          <w:rFonts w:ascii="Arial" w:eastAsia="Arial" w:hAnsi="Arial" w:cs="Arial"/>
          <w:color w:val="030303"/>
          <w:spacing w:val="-3"/>
          <w:sz w:val="21"/>
          <w:szCs w:val="21"/>
          <w:lang w:val="en-ZA" w:eastAsia="en-ZA"/>
        </w:rPr>
        <w:t>o</w:t>
      </w:r>
      <w:r w:rsidRPr="00BB5C77">
        <w:rPr>
          <w:rFonts w:ascii="Arial" w:eastAsia="Arial" w:hAnsi="Arial" w:cs="Arial"/>
          <w:color w:val="1D1D1D"/>
          <w:sz w:val="21"/>
          <w:szCs w:val="21"/>
          <w:lang w:val="en-ZA" w:eastAsia="en-ZA"/>
        </w:rPr>
        <w:t>f</w:t>
      </w:r>
      <w:r w:rsidRPr="00BB5C77">
        <w:rPr>
          <w:rFonts w:ascii="Arial" w:eastAsia="Arial" w:hAnsi="Arial" w:cs="Arial"/>
          <w:color w:val="1D1D1D"/>
          <w:spacing w:val="2"/>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2"/>
          <w:sz w:val="21"/>
          <w:szCs w:val="21"/>
          <w:lang w:val="en-ZA" w:eastAsia="en-ZA"/>
        </w:rPr>
        <w:t xml:space="preserve"> </w:t>
      </w:r>
      <w:r w:rsidRPr="00BB5C77">
        <w:rPr>
          <w:rFonts w:ascii="Arial" w:eastAsia="Arial" w:hAnsi="Arial" w:cs="Arial"/>
          <w:color w:val="030303"/>
          <w:spacing w:val="-16"/>
          <w:w w:val="113"/>
          <w:sz w:val="21"/>
          <w:szCs w:val="21"/>
          <w:lang w:val="en-ZA" w:eastAsia="en-ZA"/>
        </w:rPr>
        <w:t>M</w:t>
      </w:r>
      <w:r w:rsidRPr="00BB5C77">
        <w:rPr>
          <w:rFonts w:ascii="Arial" w:eastAsia="Arial" w:hAnsi="Arial" w:cs="Arial"/>
          <w:color w:val="1D1D1D"/>
          <w:spacing w:val="-24"/>
          <w:w w:val="113"/>
          <w:sz w:val="21"/>
          <w:szCs w:val="21"/>
          <w:lang w:val="en-ZA" w:eastAsia="en-ZA"/>
        </w:rPr>
        <w:t>F</w:t>
      </w:r>
      <w:r w:rsidRPr="00BB5C77">
        <w:rPr>
          <w:rFonts w:ascii="Arial" w:eastAsia="Arial" w:hAnsi="Arial" w:cs="Arial"/>
          <w:color w:val="030303"/>
          <w:w w:val="113"/>
          <w:sz w:val="21"/>
          <w:szCs w:val="21"/>
          <w:lang w:val="en-ZA" w:eastAsia="en-ZA"/>
        </w:rPr>
        <w:t>MA</w:t>
      </w:r>
      <w:r w:rsidRPr="00BB5C77">
        <w:rPr>
          <w:rFonts w:ascii="Arial" w:eastAsia="Arial" w:hAnsi="Arial" w:cs="Arial"/>
          <w:color w:val="030303"/>
          <w:spacing w:val="-7"/>
          <w:w w:val="113"/>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municipality</w:t>
      </w:r>
      <w:r w:rsidRPr="00BB5C77">
        <w:rPr>
          <w:rFonts w:ascii="Arial" w:eastAsia="Arial" w:hAnsi="Arial" w:cs="Arial"/>
          <w:color w:val="030303"/>
          <w:spacing w:val="34"/>
          <w:sz w:val="21"/>
          <w:szCs w:val="21"/>
          <w:lang w:val="en-ZA" w:eastAsia="en-ZA"/>
        </w:rPr>
        <w:t xml:space="preserve"> </w:t>
      </w:r>
      <w:r w:rsidRPr="00BB5C77">
        <w:rPr>
          <w:rFonts w:ascii="Arial" w:eastAsia="Arial" w:hAnsi="Arial" w:cs="Arial"/>
          <w:color w:val="030303"/>
          <w:sz w:val="21"/>
          <w:szCs w:val="21"/>
          <w:lang w:val="en-ZA" w:eastAsia="en-ZA"/>
        </w:rPr>
        <w:t>is</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required</w:t>
      </w:r>
      <w:r w:rsidRPr="00BB5C77">
        <w:rPr>
          <w:rFonts w:ascii="Arial" w:eastAsia="Arial" w:hAnsi="Arial" w:cs="Arial"/>
          <w:color w:val="030303"/>
          <w:spacing w:val="23"/>
          <w:sz w:val="21"/>
          <w:szCs w:val="21"/>
          <w:lang w:val="en-ZA" w:eastAsia="en-ZA"/>
        </w:rPr>
        <w:t xml:space="preserve"> </w:t>
      </w:r>
      <w:r w:rsidRPr="00BB5C77">
        <w:rPr>
          <w:rFonts w:ascii="Arial" w:eastAsia="Arial" w:hAnsi="Arial" w:cs="Arial"/>
          <w:color w:val="030303"/>
          <w:sz w:val="21"/>
          <w:szCs w:val="21"/>
          <w:lang w:val="en-ZA" w:eastAsia="en-ZA"/>
        </w:rPr>
        <w:t>to</w:t>
      </w:r>
      <w:r w:rsidRPr="00BB5C77">
        <w:rPr>
          <w:rFonts w:ascii="Arial" w:eastAsia="Arial" w:hAnsi="Arial" w:cs="Arial"/>
          <w:color w:val="030303"/>
          <w:spacing w:val="18"/>
          <w:sz w:val="21"/>
          <w:szCs w:val="21"/>
          <w:lang w:val="en-ZA" w:eastAsia="en-ZA"/>
        </w:rPr>
        <w:t xml:space="preserve"> </w:t>
      </w:r>
      <w:r w:rsidRPr="00BB5C77">
        <w:rPr>
          <w:rFonts w:ascii="Arial" w:eastAsia="Arial" w:hAnsi="Arial" w:cs="Arial"/>
          <w:color w:val="030303"/>
          <w:w w:val="106"/>
          <w:sz w:val="21"/>
          <w:szCs w:val="21"/>
          <w:lang w:val="en-ZA" w:eastAsia="en-ZA"/>
        </w:rPr>
        <w:t xml:space="preserve">disclose </w:t>
      </w:r>
      <w:r w:rsidRPr="00BB5C77">
        <w:rPr>
          <w:rFonts w:ascii="Arial" w:eastAsia="Arial" w:hAnsi="Arial" w:cs="Arial"/>
          <w:color w:val="030303"/>
          <w:sz w:val="21"/>
          <w:szCs w:val="21"/>
          <w:lang w:val="en-ZA" w:eastAsia="en-ZA"/>
        </w:rPr>
        <w:t>particul</w:t>
      </w:r>
      <w:r w:rsidRPr="00BB5C77">
        <w:rPr>
          <w:rFonts w:ascii="Arial" w:eastAsia="Arial" w:hAnsi="Arial" w:cs="Arial"/>
          <w:color w:val="030303"/>
          <w:spacing w:val="-11"/>
          <w:sz w:val="21"/>
          <w:szCs w:val="21"/>
          <w:lang w:val="en-ZA" w:eastAsia="en-ZA"/>
        </w:rPr>
        <w:t>a</w:t>
      </w:r>
      <w:r w:rsidRPr="00BB5C77">
        <w:rPr>
          <w:rFonts w:ascii="Arial" w:eastAsia="Arial" w:hAnsi="Arial" w:cs="Arial"/>
          <w:color w:val="1D1D1D"/>
          <w:spacing w:val="-6"/>
          <w:sz w:val="21"/>
          <w:szCs w:val="21"/>
          <w:lang w:val="en-ZA" w:eastAsia="en-ZA"/>
        </w:rPr>
        <w:t>r</w:t>
      </w:r>
      <w:r w:rsidRPr="00BB5C77">
        <w:rPr>
          <w:rFonts w:ascii="Arial" w:eastAsia="Arial" w:hAnsi="Arial" w:cs="Arial"/>
          <w:color w:val="030303"/>
          <w:sz w:val="21"/>
          <w:szCs w:val="21"/>
          <w:lang w:val="en-ZA" w:eastAsia="en-ZA"/>
        </w:rPr>
        <w:t>s</w:t>
      </w:r>
      <w:r w:rsidRPr="00BB5C77">
        <w:rPr>
          <w:rFonts w:ascii="Arial" w:eastAsia="Arial" w:hAnsi="Arial" w:cs="Arial"/>
          <w:color w:val="030303"/>
          <w:spacing w:val="56"/>
          <w:sz w:val="21"/>
          <w:szCs w:val="21"/>
          <w:lang w:val="en-ZA" w:eastAsia="en-ZA"/>
        </w:rPr>
        <w:t xml:space="preserve"> </w:t>
      </w:r>
      <w:r w:rsidRPr="00BB5C77">
        <w:rPr>
          <w:rFonts w:ascii="Arial" w:eastAsia="Arial" w:hAnsi="Arial" w:cs="Arial"/>
          <w:color w:val="030303"/>
          <w:sz w:val="21"/>
          <w:szCs w:val="21"/>
          <w:lang w:val="en-ZA" w:eastAsia="en-ZA"/>
        </w:rPr>
        <w:t>of</w:t>
      </w:r>
      <w:r w:rsidRPr="00BB5C77">
        <w:rPr>
          <w:rFonts w:ascii="Arial" w:eastAsia="Arial" w:hAnsi="Arial" w:cs="Arial"/>
          <w:color w:val="030303"/>
          <w:spacing w:val="11"/>
          <w:sz w:val="21"/>
          <w:szCs w:val="21"/>
          <w:lang w:val="en-ZA" w:eastAsia="en-ZA"/>
        </w:rPr>
        <w:t xml:space="preserve"> </w:t>
      </w:r>
      <w:r w:rsidRPr="00BB5C77">
        <w:rPr>
          <w:rFonts w:ascii="Arial" w:eastAsia="Arial" w:hAnsi="Arial" w:cs="Arial"/>
          <w:color w:val="030303"/>
          <w:w w:val="105"/>
          <w:sz w:val="21"/>
          <w:szCs w:val="21"/>
          <w:lang w:val="en-ZA" w:eastAsia="en-ZA"/>
        </w:rPr>
        <w:t>non-compliance</w:t>
      </w:r>
      <w:r w:rsidRPr="00BB5C77">
        <w:rPr>
          <w:rFonts w:ascii="Arial" w:eastAsia="Arial" w:hAnsi="Arial" w:cs="Arial"/>
          <w:color w:val="030303"/>
          <w:spacing w:val="-9"/>
          <w:w w:val="105"/>
          <w:sz w:val="21"/>
          <w:szCs w:val="21"/>
          <w:lang w:val="en-ZA" w:eastAsia="en-ZA"/>
        </w:rPr>
        <w:t xml:space="preserve"> </w:t>
      </w:r>
      <w:r w:rsidRPr="00BB5C77">
        <w:rPr>
          <w:rFonts w:ascii="Arial" w:eastAsia="Arial" w:hAnsi="Arial" w:cs="Arial"/>
          <w:color w:val="030303"/>
          <w:sz w:val="21"/>
          <w:szCs w:val="21"/>
          <w:lang w:val="en-ZA" w:eastAsia="en-ZA"/>
        </w:rPr>
        <w:t>with</w:t>
      </w:r>
      <w:r w:rsidRPr="00BB5C77">
        <w:rPr>
          <w:rFonts w:ascii="Arial" w:eastAsia="Arial" w:hAnsi="Arial" w:cs="Arial"/>
          <w:color w:val="030303"/>
          <w:spacing w:val="2"/>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9"/>
          <w:sz w:val="21"/>
          <w:szCs w:val="21"/>
          <w:lang w:val="en-ZA" w:eastAsia="en-ZA"/>
        </w:rPr>
        <w:t xml:space="preserve"> </w:t>
      </w:r>
      <w:r w:rsidRPr="00BB5C77">
        <w:rPr>
          <w:rFonts w:ascii="Arial" w:eastAsia="Arial" w:hAnsi="Arial" w:cs="Arial"/>
          <w:color w:val="030303"/>
          <w:sz w:val="21"/>
          <w:szCs w:val="21"/>
          <w:lang w:val="en-ZA" w:eastAsia="en-ZA"/>
        </w:rPr>
        <w:t>MFMA</w:t>
      </w:r>
      <w:r w:rsidRPr="00BB5C77">
        <w:rPr>
          <w:rFonts w:ascii="Arial" w:eastAsia="Arial" w:hAnsi="Arial" w:cs="Arial"/>
          <w:color w:val="030303"/>
          <w:spacing w:val="19"/>
          <w:sz w:val="21"/>
          <w:szCs w:val="21"/>
          <w:lang w:val="en-ZA" w:eastAsia="en-ZA"/>
        </w:rPr>
        <w:t xml:space="preserve"> </w:t>
      </w:r>
      <w:r w:rsidRPr="00BB5C77">
        <w:rPr>
          <w:rFonts w:ascii="Arial" w:eastAsia="Arial" w:hAnsi="Arial" w:cs="Arial"/>
          <w:color w:val="030303"/>
          <w:sz w:val="21"/>
          <w:szCs w:val="21"/>
          <w:lang w:val="en-ZA" w:eastAsia="en-ZA"/>
        </w:rPr>
        <w:t>in</w:t>
      </w:r>
      <w:r w:rsidRPr="00BB5C77">
        <w:rPr>
          <w:rFonts w:ascii="Arial" w:eastAsia="Arial" w:hAnsi="Arial" w:cs="Arial"/>
          <w:color w:val="030303"/>
          <w:spacing w:val="8"/>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2"/>
          <w:sz w:val="21"/>
          <w:szCs w:val="21"/>
          <w:lang w:val="en-ZA" w:eastAsia="en-ZA"/>
        </w:rPr>
        <w:t xml:space="preserve"> </w:t>
      </w:r>
      <w:r w:rsidRPr="00BB5C77">
        <w:rPr>
          <w:rFonts w:ascii="Arial" w:eastAsia="Arial" w:hAnsi="Arial" w:cs="Arial"/>
          <w:color w:val="030303"/>
          <w:sz w:val="21"/>
          <w:szCs w:val="21"/>
          <w:lang w:val="en-ZA" w:eastAsia="en-ZA"/>
        </w:rPr>
        <w:t>financial</w:t>
      </w:r>
      <w:r w:rsidRPr="00BB5C77">
        <w:rPr>
          <w:rFonts w:ascii="Arial" w:eastAsia="Arial" w:hAnsi="Arial" w:cs="Arial"/>
          <w:color w:val="030303"/>
          <w:spacing w:val="7"/>
          <w:sz w:val="21"/>
          <w:szCs w:val="21"/>
          <w:lang w:val="en-ZA" w:eastAsia="en-ZA"/>
        </w:rPr>
        <w:t xml:space="preserve"> </w:t>
      </w:r>
      <w:r w:rsidRPr="00BB5C77">
        <w:rPr>
          <w:rFonts w:ascii="Arial" w:eastAsia="Arial" w:hAnsi="Arial" w:cs="Arial"/>
          <w:color w:val="030303"/>
          <w:sz w:val="21"/>
          <w:szCs w:val="21"/>
          <w:lang w:val="en-ZA" w:eastAsia="en-ZA"/>
        </w:rPr>
        <w:t>statements.</w:t>
      </w:r>
      <w:r w:rsidRPr="00BB5C77">
        <w:rPr>
          <w:rFonts w:ascii="Arial" w:eastAsia="Arial" w:hAnsi="Arial" w:cs="Arial"/>
          <w:color w:val="030303"/>
          <w:spacing w:val="7"/>
          <w:sz w:val="21"/>
          <w:szCs w:val="21"/>
          <w:lang w:val="en-ZA" w:eastAsia="en-ZA"/>
        </w:rPr>
        <w:t xml:space="preserve"> </w:t>
      </w:r>
      <w:r w:rsidRPr="00BB5C77">
        <w:rPr>
          <w:rFonts w:ascii="Arial" w:eastAsia="Arial" w:hAnsi="Arial" w:cs="Arial"/>
          <w:color w:val="030303"/>
          <w:sz w:val="21"/>
          <w:szCs w:val="21"/>
          <w:lang w:val="en-ZA" w:eastAsia="en-ZA"/>
        </w:rPr>
        <w:t>This</w:t>
      </w:r>
      <w:r w:rsidRPr="00BB5C77">
        <w:rPr>
          <w:rFonts w:ascii="Arial" w:eastAsia="Arial" w:hAnsi="Arial" w:cs="Arial"/>
          <w:color w:val="030303"/>
          <w:spacing w:val="26"/>
          <w:sz w:val="21"/>
          <w:szCs w:val="21"/>
          <w:lang w:val="en-ZA" w:eastAsia="en-ZA"/>
        </w:rPr>
        <w:t xml:space="preserve"> </w:t>
      </w:r>
      <w:r w:rsidRPr="00BB5C77">
        <w:rPr>
          <w:rFonts w:ascii="Arial" w:eastAsia="Arial" w:hAnsi="Arial" w:cs="Arial"/>
          <w:color w:val="030303"/>
          <w:w w:val="105"/>
          <w:sz w:val="21"/>
          <w:szCs w:val="21"/>
          <w:lang w:val="en-ZA" w:eastAsia="en-ZA"/>
        </w:rPr>
        <w:t xml:space="preserve">disclosure </w:t>
      </w:r>
      <w:r w:rsidRPr="00BB5C77">
        <w:rPr>
          <w:rFonts w:ascii="Arial" w:eastAsia="Arial" w:hAnsi="Arial" w:cs="Arial"/>
          <w:color w:val="030303"/>
          <w:sz w:val="21"/>
          <w:szCs w:val="21"/>
          <w:lang w:val="en-ZA" w:eastAsia="en-ZA"/>
        </w:rPr>
        <w:t xml:space="preserve">requirement </w:t>
      </w:r>
      <w:r w:rsidRPr="00BB5C77">
        <w:rPr>
          <w:rFonts w:ascii="Arial" w:eastAsia="Arial" w:hAnsi="Arial" w:cs="Arial"/>
          <w:color w:val="030303"/>
          <w:spacing w:val="1"/>
          <w:sz w:val="21"/>
          <w:szCs w:val="21"/>
          <w:lang w:val="en-ZA" w:eastAsia="en-ZA"/>
        </w:rPr>
        <w:t>did</w:t>
      </w:r>
      <w:r w:rsidRPr="00BB5C77">
        <w:rPr>
          <w:rFonts w:ascii="Arial" w:eastAsia="Arial" w:hAnsi="Arial" w:cs="Arial"/>
          <w:color w:val="030303"/>
          <w:spacing w:val="8"/>
          <w:sz w:val="21"/>
          <w:szCs w:val="21"/>
          <w:lang w:val="en-ZA" w:eastAsia="en-ZA"/>
        </w:rPr>
        <w:t xml:space="preserve"> </w:t>
      </w:r>
      <w:r w:rsidRPr="00BB5C77">
        <w:rPr>
          <w:rFonts w:ascii="Arial" w:eastAsia="Arial" w:hAnsi="Arial" w:cs="Arial"/>
          <w:color w:val="030303"/>
          <w:sz w:val="21"/>
          <w:szCs w:val="21"/>
          <w:lang w:val="en-ZA" w:eastAsia="en-ZA"/>
        </w:rPr>
        <w:t>not</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form</w:t>
      </w:r>
      <w:r w:rsidRPr="00BB5C77">
        <w:rPr>
          <w:rFonts w:ascii="Arial" w:eastAsia="Arial" w:hAnsi="Arial" w:cs="Arial"/>
          <w:color w:val="030303"/>
          <w:spacing w:val="12"/>
          <w:sz w:val="21"/>
          <w:szCs w:val="21"/>
          <w:lang w:val="en-ZA" w:eastAsia="en-ZA"/>
        </w:rPr>
        <w:t xml:space="preserve"> </w:t>
      </w:r>
      <w:r w:rsidRPr="00BB5C77">
        <w:rPr>
          <w:rFonts w:ascii="Arial" w:eastAsia="Arial" w:hAnsi="Arial" w:cs="Arial"/>
          <w:color w:val="030303"/>
          <w:sz w:val="21"/>
          <w:szCs w:val="21"/>
          <w:lang w:val="en-ZA" w:eastAsia="en-ZA"/>
        </w:rPr>
        <w:t>part</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of</w:t>
      </w:r>
      <w:r w:rsidRPr="00BB5C77">
        <w:rPr>
          <w:rFonts w:ascii="Arial" w:eastAsia="Arial" w:hAnsi="Arial" w:cs="Arial"/>
          <w:color w:val="030303"/>
          <w:spacing w:val="21"/>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8"/>
          <w:sz w:val="21"/>
          <w:szCs w:val="21"/>
          <w:lang w:val="en-ZA" w:eastAsia="en-ZA"/>
        </w:rPr>
        <w:t xml:space="preserve"> </w:t>
      </w:r>
      <w:r w:rsidRPr="00BB5C77">
        <w:rPr>
          <w:rFonts w:ascii="Arial" w:eastAsia="Arial" w:hAnsi="Arial" w:cs="Arial"/>
          <w:color w:val="030303"/>
          <w:sz w:val="21"/>
          <w:szCs w:val="21"/>
          <w:lang w:val="en-ZA" w:eastAsia="en-ZA"/>
        </w:rPr>
        <w:t>audit</w:t>
      </w:r>
      <w:r w:rsidRPr="00BB5C77">
        <w:rPr>
          <w:rFonts w:ascii="Arial" w:eastAsia="Arial" w:hAnsi="Arial" w:cs="Arial"/>
          <w:color w:val="030303"/>
          <w:spacing w:val="24"/>
          <w:sz w:val="21"/>
          <w:szCs w:val="21"/>
          <w:lang w:val="en-ZA" w:eastAsia="en-ZA"/>
        </w:rPr>
        <w:t xml:space="preserve"> </w:t>
      </w:r>
      <w:r w:rsidRPr="00BB5C77">
        <w:rPr>
          <w:rFonts w:ascii="Arial" w:eastAsia="Arial" w:hAnsi="Arial" w:cs="Arial"/>
          <w:color w:val="030303"/>
          <w:sz w:val="21"/>
          <w:szCs w:val="21"/>
          <w:lang w:val="en-ZA" w:eastAsia="en-ZA"/>
        </w:rPr>
        <w:t>of</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2"/>
          <w:sz w:val="21"/>
          <w:szCs w:val="21"/>
          <w:lang w:val="en-ZA" w:eastAsia="en-ZA"/>
        </w:rPr>
        <w:t xml:space="preserve"> </w:t>
      </w:r>
      <w:r w:rsidRPr="00BB5C77">
        <w:rPr>
          <w:rFonts w:ascii="Arial" w:eastAsia="Arial" w:hAnsi="Arial" w:cs="Arial"/>
          <w:color w:val="030303"/>
          <w:sz w:val="21"/>
          <w:szCs w:val="21"/>
          <w:lang w:val="en-ZA" w:eastAsia="en-ZA"/>
        </w:rPr>
        <w:t>financial</w:t>
      </w:r>
      <w:r w:rsidRPr="00BB5C77">
        <w:rPr>
          <w:rFonts w:ascii="Arial" w:eastAsia="Arial" w:hAnsi="Arial" w:cs="Arial"/>
          <w:color w:val="030303"/>
          <w:spacing w:val="15"/>
          <w:sz w:val="21"/>
          <w:szCs w:val="21"/>
          <w:lang w:val="en-ZA" w:eastAsia="en-ZA"/>
        </w:rPr>
        <w:t xml:space="preserve"> </w:t>
      </w:r>
      <w:r w:rsidRPr="00BB5C77">
        <w:rPr>
          <w:rFonts w:ascii="Arial" w:eastAsia="Arial" w:hAnsi="Arial" w:cs="Arial"/>
          <w:color w:val="030303"/>
          <w:sz w:val="21"/>
          <w:szCs w:val="21"/>
          <w:lang w:val="en-ZA" w:eastAsia="en-ZA"/>
        </w:rPr>
        <w:t>statements</w:t>
      </w:r>
      <w:r w:rsidRPr="00BB5C77">
        <w:rPr>
          <w:rFonts w:ascii="Arial" w:eastAsia="Arial" w:hAnsi="Arial" w:cs="Arial"/>
          <w:color w:val="030303"/>
          <w:spacing w:val="20"/>
          <w:sz w:val="21"/>
          <w:szCs w:val="21"/>
          <w:lang w:val="en-ZA" w:eastAsia="en-ZA"/>
        </w:rPr>
        <w:t xml:space="preserve"> </w:t>
      </w:r>
      <w:r w:rsidRPr="00BB5C77">
        <w:rPr>
          <w:rFonts w:ascii="Arial" w:eastAsia="Arial" w:hAnsi="Arial" w:cs="Arial"/>
          <w:color w:val="030303"/>
          <w:w w:val="112"/>
          <w:sz w:val="21"/>
          <w:szCs w:val="21"/>
          <w:lang w:val="en-ZA" w:eastAsia="en-ZA"/>
        </w:rPr>
        <w:t>an</w:t>
      </w:r>
      <w:r w:rsidRPr="00BB5C77">
        <w:rPr>
          <w:rFonts w:ascii="Arial" w:eastAsia="Arial" w:hAnsi="Arial" w:cs="Arial"/>
          <w:color w:val="030303"/>
          <w:spacing w:val="-18"/>
          <w:w w:val="112"/>
          <w:sz w:val="21"/>
          <w:szCs w:val="21"/>
          <w:lang w:val="en-ZA" w:eastAsia="en-ZA"/>
        </w:rPr>
        <w:t>d</w:t>
      </w:r>
      <w:r w:rsidRPr="00BB5C77">
        <w:rPr>
          <w:rFonts w:ascii="Arial" w:eastAsia="Arial" w:hAnsi="Arial" w:cs="Arial"/>
          <w:color w:val="333333"/>
          <w:w w:val="112"/>
          <w:sz w:val="21"/>
          <w:szCs w:val="21"/>
          <w:lang w:val="en-ZA" w:eastAsia="en-ZA"/>
        </w:rPr>
        <w:t>,</w:t>
      </w:r>
      <w:r w:rsidRPr="00BB5C77">
        <w:rPr>
          <w:rFonts w:ascii="Arial" w:eastAsia="Arial" w:hAnsi="Arial" w:cs="Arial"/>
          <w:color w:val="333333"/>
          <w:spacing w:val="-23"/>
          <w:w w:val="112"/>
          <w:sz w:val="21"/>
          <w:szCs w:val="21"/>
          <w:lang w:val="en-ZA" w:eastAsia="en-ZA"/>
        </w:rPr>
        <w:t xml:space="preserve"> </w:t>
      </w:r>
      <w:r w:rsidRPr="00BB5C77">
        <w:rPr>
          <w:rFonts w:ascii="Arial" w:eastAsia="Arial" w:hAnsi="Arial" w:cs="Arial"/>
          <w:color w:val="030303"/>
          <w:w w:val="106"/>
          <w:sz w:val="21"/>
          <w:szCs w:val="21"/>
          <w:lang w:val="en-ZA" w:eastAsia="en-ZA"/>
        </w:rPr>
        <w:t>accordingl</w:t>
      </w:r>
      <w:r w:rsidRPr="00BB5C77">
        <w:rPr>
          <w:rFonts w:ascii="Arial" w:eastAsia="Arial" w:hAnsi="Arial" w:cs="Arial"/>
          <w:color w:val="030303"/>
          <w:spacing w:val="-19"/>
          <w:w w:val="106"/>
          <w:sz w:val="21"/>
          <w:szCs w:val="21"/>
          <w:lang w:val="en-ZA" w:eastAsia="en-ZA"/>
        </w:rPr>
        <w:t>y</w:t>
      </w:r>
      <w:r w:rsidRPr="00BB5C77">
        <w:rPr>
          <w:rFonts w:ascii="Arial" w:eastAsia="Arial" w:hAnsi="Arial" w:cs="Arial"/>
          <w:color w:val="1D1D1D"/>
          <w:w w:val="191"/>
          <w:sz w:val="21"/>
          <w:szCs w:val="21"/>
          <w:lang w:val="en-ZA" w:eastAsia="en-ZA"/>
        </w:rPr>
        <w:t>,</w:t>
      </w:r>
      <w:r w:rsidRPr="00BB5C77">
        <w:rPr>
          <w:rFonts w:ascii="Arial" w:eastAsia="Arial" w:hAnsi="Arial" w:cs="Arial"/>
          <w:color w:val="1D1D1D"/>
          <w:spacing w:val="-37"/>
          <w:sz w:val="21"/>
          <w:szCs w:val="21"/>
          <w:lang w:val="en-ZA" w:eastAsia="en-ZA"/>
        </w:rPr>
        <w:t xml:space="preserve"> </w:t>
      </w:r>
      <w:r w:rsidRPr="00BB5C77">
        <w:rPr>
          <w:rFonts w:ascii="Arial" w:eastAsia="Arial" w:hAnsi="Arial" w:cs="Arial"/>
          <w:color w:val="030303"/>
          <w:w w:val="142"/>
          <w:sz w:val="21"/>
          <w:szCs w:val="21"/>
          <w:lang w:val="en-ZA" w:eastAsia="en-ZA"/>
        </w:rPr>
        <w:t xml:space="preserve">I </w:t>
      </w:r>
      <w:r w:rsidRPr="00BB5C77">
        <w:rPr>
          <w:rFonts w:ascii="Arial" w:eastAsia="Arial" w:hAnsi="Arial" w:cs="Arial"/>
          <w:color w:val="030303"/>
          <w:sz w:val="21"/>
          <w:szCs w:val="21"/>
          <w:lang w:val="en-ZA" w:eastAsia="en-ZA"/>
        </w:rPr>
        <w:t>do</w:t>
      </w:r>
      <w:r w:rsidRPr="00BB5C77">
        <w:rPr>
          <w:rFonts w:ascii="Arial" w:eastAsia="Arial" w:hAnsi="Arial" w:cs="Arial"/>
          <w:color w:val="030303"/>
          <w:spacing w:val="16"/>
          <w:sz w:val="21"/>
          <w:szCs w:val="21"/>
          <w:lang w:val="en-ZA" w:eastAsia="en-ZA"/>
        </w:rPr>
        <w:t xml:space="preserve"> </w:t>
      </w:r>
      <w:r w:rsidRPr="00BB5C77">
        <w:rPr>
          <w:rFonts w:ascii="Arial" w:eastAsia="Arial" w:hAnsi="Arial" w:cs="Arial"/>
          <w:color w:val="030303"/>
          <w:sz w:val="21"/>
          <w:szCs w:val="21"/>
          <w:lang w:val="en-ZA" w:eastAsia="en-ZA"/>
        </w:rPr>
        <w:t>not</w:t>
      </w:r>
      <w:r w:rsidRPr="00BB5C77">
        <w:rPr>
          <w:rFonts w:ascii="Arial" w:eastAsia="Arial" w:hAnsi="Arial" w:cs="Arial"/>
          <w:color w:val="030303"/>
          <w:spacing w:val="15"/>
          <w:sz w:val="21"/>
          <w:szCs w:val="21"/>
          <w:lang w:val="en-ZA" w:eastAsia="en-ZA"/>
        </w:rPr>
        <w:t xml:space="preserve"> </w:t>
      </w:r>
      <w:r w:rsidRPr="00BB5C77">
        <w:rPr>
          <w:rFonts w:ascii="Arial" w:eastAsia="Arial" w:hAnsi="Arial" w:cs="Arial"/>
          <w:color w:val="030303"/>
          <w:sz w:val="21"/>
          <w:szCs w:val="21"/>
          <w:lang w:val="en-ZA" w:eastAsia="en-ZA"/>
        </w:rPr>
        <w:t>express</w:t>
      </w:r>
      <w:r w:rsidRPr="00BB5C77">
        <w:rPr>
          <w:rFonts w:ascii="Arial" w:eastAsia="Arial" w:hAnsi="Arial" w:cs="Arial"/>
          <w:color w:val="030303"/>
          <w:spacing w:val="32"/>
          <w:sz w:val="21"/>
          <w:szCs w:val="21"/>
          <w:lang w:val="en-ZA" w:eastAsia="en-ZA"/>
        </w:rPr>
        <w:t xml:space="preserve"> </w:t>
      </w:r>
      <w:r w:rsidRPr="00BB5C77">
        <w:rPr>
          <w:rFonts w:ascii="Arial" w:eastAsia="Arial" w:hAnsi="Arial" w:cs="Arial"/>
          <w:color w:val="030303"/>
          <w:sz w:val="21"/>
          <w:szCs w:val="21"/>
          <w:lang w:val="en-ZA" w:eastAsia="en-ZA"/>
        </w:rPr>
        <w:t>an</w:t>
      </w:r>
      <w:r w:rsidRPr="00BB5C77">
        <w:rPr>
          <w:rFonts w:ascii="Arial" w:eastAsia="Arial" w:hAnsi="Arial" w:cs="Arial"/>
          <w:color w:val="030303"/>
          <w:spacing w:val="19"/>
          <w:sz w:val="21"/>
          <w:szCs w:val="21"/>
          <w:lang w:val="en-ZA" w:eastAsia="en-ZA"/>
        </w:rPr>
        <w:t xml:space="preserve"> </w:t>
      </w:r>
      <w:r w:rsidRPr="00BB5C77">
        <w:rPr>
          <w:rFonts w:ascii="Arial" w:eastAsia="Arial" w:hAnsi="Arial" w:cs="Arial"/>
          <w:color w:val="030303"/>
          <w:sz w:val="21"/>
          <w:szCs w:val="21"/>
          <w:lang w:val="en-ZA" w:eastAsia="en-ZA"/>
        </w:rPr>
        <w:t>opinion</w:t>
      </w:r>
      <w:r w:rsidRPr="00BB5C77">
        <w:rPr>
          <w:rFonts w:ascii="Arial" w:eastAsia="Arial" w:hAnsi="Arial" w:cs="Arial"/>
          <w:color w:val="030303"/>
          <w:spacing w:val="26"/>
          <w:sz w:val="21"/>
          <w:szCs w:val="21"/>
          <w:lang w:val="en-ZA" w:eastAsia="en-ZA"/>
        </w:rPr>
        <w:t xml:space="preserve"> </w:t>
      </w:r>
      <w:r w:rsidRPr="00BB5C77">
        <w:rPr>
          <w:rFonts w:ascii="Arial" w:eastAsia="Arial" w:hAnsi="Arial" w:cs="Arial"/>
          <w:color w:val="030303"/>
          <w:w w:val="104"/>
          <w:sz w:val="21"/>
          <w:szCs w:val="21"/>
          <w:lang w:val="en-ZA" w:eastAsia="en-ZA"/>
        </w:rPr>
        <w:t>thereon.</w:t>
      </w:r>
    </w:p>
    <w:p w14:paraId="137CFD99" w14:textId="77777777" w:rsidR="00BB5C77" w:rsidRPr="00BB5C77" w:rsidRDefault="00BB5C77" w:rsidP="00BB5C77">
      <w:pPr>
        <w:spacing w:before="10" w:after="0" w:line="220" w:lineRule="exact"/>
        <w:jc w:val="both"/>
        <w:rPr>
          <w:rFonts w:eastAsia="Times New Roman" w:cs="Times New Roman"/>
          <w:sz w:val="22"/>
          <w:lang w:val="en-ZA" w:eastAsia="en-ZA"/>
        </w:rPr>
      </w:pPr>
    </w:p>
    <w:p w14:paraId="3D19917A" w14:textId="77777777" w:rsidR="00BB5C77" w:rsidRPr="00BB5C77" w:rsidRDefault="00BB5C77" w:rsidP="00BB5C77">
      <w:pPr>
        <w:spacing w:after="0" w:line="240" w:lineRule="auto"/>
        <w:ind w:left="276" w:right="-20"/>
        <w:jc w:val="both"/>
        <w:rPr>
          <w:rFonts w:ascii="Arial" w:eastAsia="Arial" w:hAnsi="Arial" w:cs="Arial"/>
          <w:sz w:val="24"/>
          <w:szCs w:val="24"/>
          <w:lang w:val="en-ZA" w:eastAsia="en-ZA"/>
        </w:rPr>
      </w:pPr>
      <w:r w:rsidRPr="00BB5C77">
        <w:rPr>
          <w:rFonts w:ascii="Arial" w:eastAsia="Arial" w:hAnsi="Arial" w:cs="Arial"/>
          <w:color w:val="1D1D1D"/>
          <w:w w:val="107"/>
          <w:sz w:val="24"/>
          <w:szCs w:val="24"/>
          <w:lang w:val="en-ZA" w:eastAsia="en-ZA"/>
        </w:rPr>
        <w:t>Unaudited</w:t>
      </w:r>
      <w:r w:rsidRPr="00BB5C77">
        <w:rPr>
          <w:rFonts w:ascii="Arial" w:eastAsia="Arial" w:hAnsi="Arial" w:cs="Arial"/>
          <w:color w:val="1D1D1D"/>
          <w:spacing w:val="-12"/>
          <w:w w:val="107"/>
          <w:sz w:val="24"/>
          <w:szCs w:val="24"/>
          <w:lang w:val="en-ZA" w:eastAsia="en-ZA"/>
        </w:rPr>
        <w:t xml:space="preserve"> </w:t>
      </w:r>
      <w:r w:rsidRPr="00BB5C77">
        <w:rPr>
          <w:rFonts w:ascii="Arial" w:eastAsia="Arial" w:hAnsi="Arial" w:cs="Arial"/>
          <w:color w:val="1D1D1D"/>
          <w:w w:val="107"/>
          <w:sz w:val="24"/>
          <w:szCs w:val="24"/>
          <w:lang w:val="en-ZA" w:eastAsia="en-ZA"/>
        </w:rPr>
        <w:t>supplementary</w:t>
      </w:r>
      <w:r w:rsidRPr="00BB5C77">
        <w:rPr>
          <w:rFonts w:ascii="Arial" w:eastAsia="Arial" w:hAnsi="Arial" w:cs="Arial"/>
          <w:color w:val="1D1D1D"/>
          <w:spacing w:val="-18"/>
          <w:w w:val="107"/>
          <w:sz w:val="24"/>
          <w:szCs w:val="24"/>
          <w:lang w:val="en-ZA" w:eastAsia="en-ZA"/>
        </w:rPr>
        <w:t xml:space="preserve"> </w:t>
      </w:r>
      <w:r w:rsidRPr="00BB5C77">
        <w:rPr>
          <w:rFonts w:ascii="Arial" w:eastAsia="Arial" w:hAnsi="Arial" w:cs="Arial"/>
          <w:color w:val="1D1D1D"/>
          <w:w w:val="109"/>
          <w:sz w:val="24"/>
          <w:szCs w:val="24"/>
          <w:lang w:val="en-ZA" w:eastAsia="en-ZA"/>
        </w:rPr>
        <w:t>schedules</w:t>
      </w:r>
    </w:p>
    <w:p w14:paraId="18EEC652" w14:textId="77777777" w:rsidR="00BB5C77" w:rsidRPr="00BB5C77" w:rsidRDefault="00BB5C77" w:rsidP="00BB5C77">
      <w:pPr>
        <w:spacing w:before="3" w:after="0" w:line="280" w:lineRule="exact"/>
        <w:jc w:val="both"/>
        <w:rPr>
          <w:rFonts w:eastAsia="Times New Roman" w:cs="Times New Roman"/>
          <w:sz w:val="28"/>
          <w:szCs w:val="28"/>
          <w:lang w:val="en-ZA" w:eastAsia="en-ZA"/>
        </w:rPr>
      </w:pPr>
    </w:p>
    <w:p w14:paraId="1B3AF8D4" w14:textId="77777777" w:rsidR="00BB5C77" w:rsidRPr="00BB5C77" w:rsidRDefault="00BB5C77" w:rsidP="00BB5C77">
      <w:pPr>
        <w:spacing w:after="0" w:line="288" w:lineRule="auto"/>
        <w:ind w:left="619" w:right="142" w:hanging="343"/>
        <w:jc w:val="both"/>
        <w:rPr>
          <w:rFonts w:ascii="Arial" w:eastAsia="Arial" w:hAnsi="Arial" w:cs="Arial"/>
          <w:sz w:val="21"/>
          <w:szCs w:val="21"/>
          <w:lang w:val="en-ZA" w:eastAsia="en-ZA"/>
        </w:rPr>
      </w:pPr>
      <w:r w:rsidRPr="00BB5C77">
        <w:rPr>
          <w:rFonts w:ascii="Arial" w:eastAsia="Arial" w:hAnsi="Arial" w:cs="Arial"/>
          <w:color w:val="030303"/>
          <w:w w:val="112"/>
          <w:sz w:val="21"/>
          <w:szCs w:val="21"/>
          <w:lang w:val="en-ZA" w:eastAsia="en-ZA"/>
        </w:rPr>
        <w:t>1</w:t>
      </w:r>
      <w:r w:rsidRPr="00BB5C77">
        <w:rPr>
          <w:rFonts w:ascii="Arial" w:eastAsia="Arial" w:hAnsi="Arial" w:cs="Arial"/>
          <w:color w:val="030303"/>
          <w:spacing w:val="-1"/>
          <w:w w:val="112"/>
          <w:sz w:val="21"/>
          <w:szCs w:val="21"/>
          <w:lang w:val="en-ZA" w:eastAsia="en-ZA"/>
        </w:rPr>
        <w:t>0</w:t>
      </w:r>
      <w:r w:rsidRPr="00BB5C77">
        <w:rPr>
          <w:rFonts w:ascii="Arial" w:eastAsia="Arial" w:hAnsi="Arial" w:cs="Arial"/>
          <w:color w:val="1D1D1D"/>
          <w:w w:val="112"/>
          <w:sz w:val="21"/>
          <w:szCs w:val="21"/>
          <w:lang w:val="en-ZA" w:eastAsia="en-ZA"/>
        </w:rPr>
        <w:t>.</w:t>
      </w:r>
      <w:r w:rsidRPr="00BB5C77">
        <w:rPr>
          <w:rFonts w:ascii="Arial" w:eastAsia="Arial" w:hAnsi="Arial" w:cs="Arial"/>
          <w:color w:val="1D1D1D"/>
          <w:spacing w:val="-28"/>
          <w:w w:val="112"/>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8"/>
          <w:sz w:val="21"/>
          <w:szCs w:val="21"/>
          <w:lang w:val="en-ZA" w:eastAsia="en-ZA"/>
        </w:rPr>
        <w:t xml:space="preserve"> </w:t>
      </w:r>
      <w:r w:rsidRPr="00BB5C77">
        <w:rPr>
          <w:rFonts w:ascii="Arial" w:eastAsia="Arial" w:hAnsi="Arial" w:cs="Arial"/>
          <w:color w:val="030303"/>
          <w:sz w:val="21"/>
          <w:szCs w:val="21"/>
          <w:lang w:val="en-ZA" w:eastAsia="en-ZA"/>
        </w:rPr>
        <w:t>supplementary</w:t>
      </w:r>
      <w:r w:rsidRPr="00BB5C77">
        <w:rPr>
          <w:rFonts w:ascii="Arial" w:eastAsia="Arial" w:hAnsi="Arial" w:cs="Arial"/>
          <w:color w:val="030303"/>
          <w:spacing w:val="37"/>
          <w:sz w:val="21"/>
          <w:szCs w:val="21"/>
          <w:lang w:val="en-ZA" w:eastAsia="en-ZA"/>
        </w:rPr>
        <w:t xml:space="preserve"> </w:t>
      </w:r>
      <w:r w:rsidRPr="00BB5C77">
        <w:rPr>
          <w:rFonts w:ascii="Arial" w:eastAsia="Arial" w:hAnsi="Arial" w:cs="Arial"/>
          <w:color w:val="030303"/>
          <w:sz w:val="21"/>
          <w:szCs w:val="21"/>
          <w:lang w:val="en-ZA" w:eastAsia="en-ZA"/>
        </w:rPr>
        <w:t>information</w:t>
      </w:r>
      <w:r w:rsidRPr="00BB5C77">
        <w:rPr>
          <w:rFonts w:ascii="Arial" w:eastAsia="Arial" w:hAnsi="Arial" w:cs="Arial"/>
          <w:color w:val="030303"/>
          <w:spacing w:val="42"/>
          <w:sz w:val="21"/>
          <w:szCs w:val="21"/>
          <w:lang w:val="en-ZA" w:eastAsia="en-ZA"/>
        </w:rPr>
        <w:t xml:space="preserve"> </w:t>
      </w:r>
      <w:r w:rsidRPr="00BB5C77">
        <w:rPr>
          <w:rFonts w:ascii="Arial" w:eastAsia="Arial" w:hAnsi="Arial" w:cs="Arial"/>
          <w:color w:val="030303"/>
          <w:sz w:val="21"/>
          <w:szCs w:val="21"/>
          <w:lang w:val="en-ZA" w:eastAsia="en-ZA"/>
        </w:rPr>
        <w:t>set</w:t>
      </w:r>
      <w:r w:rsidRPr="00BB5C77">
        <w:rPr>
          <w:rFonts w:ascii="Arial" w:eastAsia="Arial" w:hAnsi="Arial" w:cs="Arial"/>
          <w:color w:val="030303"/>
          <w:spacing w:val="3"/>
          <w:sz w:val="21"/>
          <w:szCs w:val="21"/>
          <w:lang w:val="en-ZA" w:eastAsia="en-ZA"/>
        </w:rPr>
        <w:t xml:space="preserve"> </w:t>
      </w:r>
      <w:r w:rsidRPr="00BB5C77">
        <w:rPr>
          <w:rFonts w:ascii="Arial" w:eastAsia="Arial" w:hAnsi="Arial" w:cs="Arial"/>
          <w:color w:val="030303"/>
          <w:sz w:val="21"/>
          <w:szCs w:val="21"/>
          <w:lang w:val="en-ZA" w:eastAsia="en-ZA"/>
        </w:rPr>
        <w:t>out</w:t>
      </w:r>
      <w:r w:rsidRPr="00BB5C77">
        <w:rPr>
          <w:rFonts w:ascii="Arial" w:eastAsia="Arial" w:hAnsi="Arial" w:cs="Arial"/>
          <w:color w:val="030303"/>
          <w:spacing w:val="21"/>
          <w:sz w:val="21"/>
          <w:szCs w:val="21"/>
          <w:lang w:val="en-ZA" w:eastAsia="en-ZA"/>
        </w:rPr>
        <w:t xml:space="preserve"> </w:t>
      </w:r>
      <w:r w:rsidRPr="00BB5C77">
        <w:rPr>
          <w:rFonts w:ascii="Arial" w:eastAsia="Arial" w:hAnsi="Arial" w:cs="Arial"/>
          <w:color w:val="030303"/>
          <w:sz w:val="21"/>
          <w:szCs w:val="21"/>
          <w:lang w:val="en-ZA" w:eastAsia="en-ZA"/>
        </w:rPr>
        <w:t>on</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pages</w:t>
      </w:r>
      <w:r w:rsidRPr="00BB5C77">
        <w:rPr>
          <w:rFonts w:ascii="Arial" w:eastAsia="Arial" w:hAnsi="Arial" w:cs="Arial"/>
          <w:color w:val="030303"/>
          <w:spacing w:val="29"/>
          <w:sz w:val="21"/>
          <w:szCs w:val="21"/>
          <w:lang w:val="en-ZA" w:eastAsia="en-ZA"/>
        </w:rPr>
        <w:t xml:space="preserve"> </w:t>
      </w:r>
      <w:r w:rsidRPr="00BB5C77">
        <w:rPr>
          <w:rFonts w:ascii="Arial" w:eastAsia="Arial" w:hAnsi="Arial" w:cs="Arial"/>
          <w:color w:val="030303"/>
          <w:sz w:val="21"/>
          <w:szCs w:val="21"/>
          <w:lang w:val="en-ZA" w:eastAsia="en-ZA"/>
        </w:rPr>
        <w:t>56</w:t>
      </w:r>
      <w:r w:rsidRPr="00BB5C77">
        <w:rPr>
          <w:rFonts w:ascii="Arial" w:eastAsia="Arial" w:hAnsi="Arial" w:cs="Arial"/>
          <w:color w:val="030303"/>
          <w:spacing w:val="12"/>
          <w:sz w:val="21"/>
          <w:szCs w:val="21"/>
          <w:lang w:val="en-ZA" w:eastAsia="en-ZA"/>
        </w:rPr>
        <w:t xml:space="preserve"> </w:t>
      </w:r>
      <w:r w:rsidRPr="00BB5C77">
        <w:rPr>
          <w:rFonts w:ascii="Arial" w:eastAsia="Arial" w:hAnsi="Arial" w:cs="Arial"/>
          <w:color w:val="030303"/>
          <w:sz w:val="21"/>
          <w:szCs w:val="21"/>
          <w:lang w:val="en-ZA" w:eastAsia="en-ZA"/>
        </w:rPr>
        <w:t>to</w:t>
      </w:r>
      <w:r w:rsidRPr="00BB5C77">
        <w:rPr>
          <w:rFonts w:ascii="Arial" w:eastAsia="Arial" w:hAnsi="Arial" w:cs="Arial"/>
          <w:color w:val="030303"/>
          <w:spacing w:val="3"/>
          <w:sz w:val="21"/>
          <w:szCs w:val="21"/>
          <w:lang w:val="en-ZA" w:eastAsia="en-ZA"/>
        </w:rPr>
        <w:t xml:space="preserve"> </w:t>
      </w:r>
      <w:r w:rsidRPr="00BB5C77">
        <w:rPr>
          <w:rFonts w:ascii="Arial" w:eastAsia="Arial" w:hAnsi="Arial" w:cs="Arial"/>
          <w:color w:val="030303"/>
          <w:sz w:val="21"/>
          <w:szCs w:val="21"/>
          <w:lang w:val="en-ZA" w:eastAsia="en-ZA"/>
        </w:rPr>
        <w:t>61</w:t>
      </w:r>
      <w:r w:rsidRPr="00BB5C77">
        <w:rPr>
          <w:rFonts w:ascii="Arial" w:eastAsia="Arial" w:hAnsi="Arial" w:cs="Arial"/>
          <w:color w:val="030303"/>
          <w:spacing w:val="-1"/>
          <w:sz w:val="21"/>
          <w:szCs w:val="21"/>
          <w:lang w:val="en-ZA" w:eastAsia="en-ZA"/>
        </w:rPr>
        <w:t xml:space="preserve"> </w:t>
      </w:r>
      <w:r w:rsidRPr="00BB5C77">
        <w:rPr>
          <w:rFonts w:ascii="Arial" w:eastAsia="Arial" w:hAnsi="Arial" w:cs="Arial"/>
          <w:color w:val="030303"/>
          <w:sz w:val="21"/>
          <w:szCs w:val="21"/>
          <w:lang w:val="en-ZA" w:eastAsia="en-ZA"/>
        </w:rPr>
        <w:t>does</w:t>
      </w:r>
      <w:r w:rsidRPr="00BB5C77">
        <w:rPr>
          <w:rFonts w:ascii="Arial" w:eastAsia="Arial" w:hAnsi="Arial" w:cs="Arial"/>
          <w:color w:val="030303"/>
          <w:spacing w:val="22"/>
          <w:sz w:val="21"/>
          <w:szCs w:val="21"/>
          <w:lang w:val="en-ZA" w:eastAsia="en-ZA"/>
        </w:rPr>
        <w:t xml:space="preserve"> </w:t>
      </w:r>
      <w:r w:rsidRPr="00BB5C77">
        <w:rPr>
          <w:rFonts w:ascii="Arial" w:eastAsia="Arial" w:hAnsi="Arial" w:cs="Arial"/>
          <w:color w:val="030303"/>
          <w:sz w:val="21"/>
          <w:szCs w:val="21"/>
          <w:lang w:val="en-ZA" w:eastAsia="en-ZA"/>
        </w:rPr>
        <w:t>not</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form</w:t>
      </w:r>
      <w:r w:rsidRPr="00BB5C77">
        <w:rPr>
          <w:rFonts w:ascii="Arial" w:eastAsia="Arial" w:hAnsi="Arial" w:cs="Arial"/>
          <w:color w:val="030303"/>
          <w:spacing w:val="15"/>
          <w:sz w:val="21"/>
          <w:szCs w:val="21"/>
          <w:lang w:val="en-ZA" w:eastAsia="en-ZA"/>
        </w:rPr>
        <w:t xml:space="preserve"> </w:t>
      </w:r>
      <w:r w:rsidRPr="00BB5C77">
        <w:rPr>
          <w:rFonts w:ascii="Arial" w:eastAsia="Arial" w:hAnsi="Arial" w:cs="Arial"/>
          <w:color w:val="030303"/>
          <w:sz w:val="21"/>
          <w:szCs w:val="21"/>
          <w:lang w:val="en-ZA" w:eastAsia="en-ZA"/>
        </w:rPr>
        <w:t>part</w:t>
      </w:r>
      <w:r w:rsidRPr="00BB5C77">
        <w:rPr>
          <w:rFonts w:ascii="Arial" w:eastAsia="Arial" w:hAnsi="Arial" w:cs="Arial"/>
          <w:color w:val="030303"/>
          <w:spacing w:val="27"/>
          <w:sz w:val="21"/>
          <w:szCs w:val="21"/>
          <w:lang w:val="en-ZA" w:eastAsia="en-ZA"/>
        </w:rPr>
        <w:t xml:space="preserve"> </w:t>
      </w:r>
      <w:r w:rsidRPr="00BB5C77">
        <w:rPr>
          <w:rFonts w:ascii="Arial" w:eastAsia="Arial" w:hAnsi="Arial" w:cs="Arial"/>
          <w:color w:val="030303"/>
          <w:sz w:val="21"/>
          <w:szCs w:val="21"/>
          <w:lang w:val="en-ZA" w:eastAsia="en-ZA"/>
        </w:rPr>
        <w:t>of</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w w:val="106"/>
          <w:sz w:val="21"/>
          <w:szCs w:val="21"/>
          <w:lang w:val="en-ZA" w:eastAsia="en-ZA"/>
        </w:rPr>
        <w:t xml:space="preserve">the </w:t>
      </w:r>
      <w:r w:rsidRPr="00BB5C77">
        <w:rPr>
          <w:rFonts w:ascii="Arial" w:eastAsia="Arial" w:hAnsi="Arial" w:cs="Arial"/>
          <w:color w:val="030303"/>
          <w:sz w:val="21"/>
          <w:szCs w:val="21"/>
          <w:lang w:val="en-ZA" w:eastAsia="en-ZA"/>
        </w:rPr>
        <w:t>financial</w:t>
      </w:r>
      <w:r w:rsidRPr="00BB5C77">
        <w:rPr>
          <w:rFonts w:ascii="Arial" w:eastAsia="Arial" w:hAnsi="Arial" w:cs="Arial"/>
          <w:color w:val="030303"/>
          <w:spacing w:val="15"/>
          <w:sz w:val="21"/>
          <w:szCs w:val="21"/>
          <w:lang w:val="en-ZA" w:eastAsia="en-ZA"/>
        </w:rPr>
        <w:t xml:space="preserve"> </w:t>
      </w:r>
      <w:r w:rsidRPr="00BB5C77">
        <w:rPr>
          <w:rFonts w:ascii="Arial" w:eastAsia="Arial" w:hAnsi="Arial" w:cs="Arial"/>
          <w:color w:val="030303"/>
          <w:sz w:val="21"/>
          <w:szCs w:val="21"/>
          <w:lang w:val="en-ZA" w:eastAsia="en-ZA"/>
        </w:rPr>
        <w:t>stateme</w:t>
      </w:r>
      <w:r w:rsidRPr="00BB5C77">
        <w:rPr>
          <w:rFonts w:ascii="Arial" w:eastAsia="Arial" w:hAnsi="Arial" w:cs="Arial"/>
          <w:color w:val="030303"/>
          <w:spacing w:val="-7"/>
          <w:sz w:val="21"/>
          <w:szCs w:val="21"/>
          <w:lang w:val="en-ZA" w:eastAsia="en-ZA"/>
        </w:rPr>
        <w:t>n</w:t>
      </w:r>
      <w:r w:rsidRPr="00BB5C77">
        <w:rPr>
          <w:rFonts w:ascii="Arial" w:eastAsia="Arial" w:hAnsi="Arial" w:cs="Arial"/>
          <w:color w:val="1D1D1D"/>
          <w:spacing w:val="-8"/>
          <w:sz w:val="21"/>
          <w:szCs w:val="21"/>
          <w:lang w:val="en-ZA" w:eastAsia="en-ZA"/>
        </w:rPr>
        <w:t>t</w:t>
      </w:r>
      <w:r w:rsidRPr="00BB5C77">
        <w:rPr>
          <w:rFonts w:ascii="Arial" w:eastAsia="Arial" w:hAnsi="Arial" w:cs="Arial"/>
          <w:color w:val="030303"/>
          <w:sz w:val="21"/>
          <w:szCs w:val="21"/>
          <w:lang w:val="en-ZA" w:eastAsia="en-ZA"/>
        </w:rPr>
        <w:t>s</w:t>
      </w:r>
      <w:r w:rsidRPr="00BB5C77">
        <w:rPr>
          <w:rFonts w:ascii="Arial" w:eastAsia="Arial" w:hAnsi="Arial" w:cs="Arial"/>
          <w:color w:val="030303"/>
          <w:spacing w:val="46"/>
          <w:sz w:val="21"/>
          <w:szCs w:val="21"/>
          <w:lang w:val="en-ZA" w:eastAsia="en-ZA"/>
        </w:rPr>
        <w:t xml:space="preserve"> </w:t>
      </w:r>
      <w:r w:rsidRPr="00BB5C77">
        <w:rPr>
          <w:rFonts w:ascii="Arial" w:eastAsia="Arial" w:hAnsi="Arial" w:cs="Arial"/>
          <w:color w:val="030303"/>
          <w:sz w:val="21"/>
          <w:szCs w:val="21"/>
          <w:lang w:val="en-ZA" w:eastAsia="en-ZA"/>
        </w:rPr>
        <w:t>and</w:t>
      </w:r>
      <w:r w:rsidRPr="00BB5C77">
        <w:rPr>
          <w:rFonts w:ascii="Arial" w:eastAsia="Arial" w:hAnsi="Arial" w:cs="Arial"/>
          <w:color w:val="030303"/>
          <w:spacing w:val="11"/>
          <w:sz w:val="21"/>
          <w:szCs w:val="21"/>
          <w:lang w:val="en-ZA" w:eastAsia="en-ZA"/>
        </w:rPr>
        <w:t xml:space="preserve"> </w:t>
      </w:r>
      <w:r w:rsidRPr="00BB5C77">
        <w:rPr>
          <w:rFonts w:ascii="Arial" w:eastAsia="Arial" w:hAnsi="Arial" w:cs="Arial"/>
          <w:color w:val="030303"/>
          <w:sz w:val="21"/>
          <w:szCs w:val="21"/>
          <w:lang w:val="en-ZA" w:eastAsia="en-ZA"/>
        </w:rPr>
        <w:t>is</w:t>
      </w:r>
      <w:r w:rsidRPr="00BB5C77">
        <w:rPr>
          <w:rFonts w:ascii="Arial" w:eastAsia="Arial" w:hAnsi="Arial" w:cs="Arial"/>
          <w:color w:val="030303"/>
          <w:spacing w:val="20"/>
          <w:sz w:val="21"/>
          <w:szCs w:val="21"/>
          <w:lang w:val="en-ZA" w:eastAsia="en-ZA"/>
        </w:rPr>
        <w:t xml:space="preserve"> </w:t>
      </w:r>
      <w:r w:rsidRPr="00BB5C77">
        <w:rPr>
          <w:rFonts w:ascii="Arial" w:eastAsia="Arial" w:hAnsi="Arial" w:cs="Arial"/>
          <w:color w:val="030303"/>
          <w:sz w:val="21"/>
          <w:szCs w:val="21"/>
          <w:lang w:val="en-ZA" w:eastAsia="en-ZA"/>
        </w:rPr>
        <w:t>prese</w:t>
      </w:r>
      <w:r w:rsidRPr="00BB5C77">
        <w:rPr>
          <w:rFonts w:ascii="Arial" w:eastAsia="Arial" w:hAnsi="Arial" w:cs="Arial"/>
          <w:color w:val="030303"/>
          <w:spacing w:val="-7"/>
          <w:sz w:val="21"/>
          <w:szCs w:val="21"/>
          <w:lang w:val="en-ZA" w:eastAsia="en-ZA"/>
        </w:rPr>
        <w:t>n</w:t>
      </w:r>
      <w:r w:rsidRPr="00BB5C77">
        <w:rPr>
          <w:rFonts w:ascii="Arial" w:eastAsia="Arial" w:hAnsi="Arial" w:cs="Arial"/>
          <w:color w:val="1D1D1D"/>
          <w:spacing w:val="-10"/>
          <w:sz w:val="21"/>
          <w:szCs w:val="21"/>
          <w:lang w:val="en-ZA" w:eastAsia="en-ZA"/>
        </w:rPr>
        <w:t>t</w:t>
      </w:r>
      <w:r w:rsidRPr="00BB5C77">
        <w:rPr>
          <w:rFonts w:ascii="Arial" w:eastAsia="Arial" w:hAnsi="Arial" w:cs="Arial"/>
          <w:color w:val="030303"/>
          <w:sz w:val="21"/>
          <w:szCs w:val="21"/>
          <w:lang w:val="en-ZA" w:eastAsia="en-ZA"/>
        </w:rPr>
        <w:t xml:space="preserve">ed </w:t>
      </w:r>
      <w:r w:rsidRPr="00BB5C77">
        <w:rPr>
          <w:rFonts w:ascii="Arial" w:eastAsia="Arial" w:hAnsi="Arial" w:cs="Arial"/>
          <w:color w:val="030303"/>
          <w:spacing w:val="1"/>
          <w:sz w:val="21"/>
          <w:szCs w:val="21"/>
          <w:lang w:val="en-ZA" w:eastAsia="en-ZA"/>
        </w:rPr>
        <w:t>as</w:t>
      </w:r>
      <w:r w:rsidRPr="00BB5C77">
        <w:rPr>
          <w:rFonts w:ascii="Arial" w:eastAsia="Arial" w:hAnsi="Arial" w:cs="Arial"/>
          <w:color w:val="030303"/>
          <w:spacing w:val="5"/>
          <w:sz w:val="21"/>
          <w:szCs w:val="21"/>
          <w:lang w:val="en-ZA" w:eastAsia="en-ZA"/>
        </w:rPr>
        <w:t xml:space="preserve"> </w:t>
      </w:r>
      <w:r w:rsidRPr="00BB5C77">
        <w:rPr>
          <w:rFonts w:ascii="Arial" w:eastAsia="Arial" w:hAnsi="Arial" w:cs="Arial"/>
          <w:color w:val="030303"/>
          <w:sz w:val="21"/>
          <w:szCs w:val="21"/>
          <w:lang w:val="en-ZA" w:eastAsia="en-ZA"/>
        </w:rPr>
        <w:t>additional</w:t>
      </w:r>
      <w:r w:rsidRPr="00BB5C77">
        <w:rPr>
          <w:rFonts w:ascii="Arial" w:eastAsia="Arial" w:hAnsi="Arial" w:cs="Arial"/>
          <w:color w:val="030303"/>
          <w:spacing w:val="28"/>
          <w:sz w:val="21"/>
          <w:szCs w:val="21"/>
          <w:lang w:val="en-ZA" w:eastAsia="en-ZA"/>
        </w:rPr>
        <w:t xml:space="preserve"> </w:t>
      </w:r>
      <w:r w:rsidRPr="00BB5C77">
        <w:rPr>
          <w:rFonts w:ascii="Arial" w:eastAsia="Arial" w:hAnsi="Arial" w:cs="Arial"/>
          <w:color w:val="030303"/>
          <w:sz w:val="21"/>
          <w:szCs w:val="21"/>
          <w:lang w:val="en-ZA" w:eastAsia="en-ZA"/>
        </w:rPr>
        <w:t>information.</w:t>
      </w:r>
      <w:r w:rsidRPr="00BB5C77">
        <w:rPr>
          <w:rFonts w:ascii="Arial" w:eastAsia="Arial" w:hAnsi="Arial" w:cs="Arial"/>
          <w:color w:val="030303"/>
          <w:spacing w:val="4"/>
          <w:sz w:val="21"/>
          <w:szCs w:val="21"/>
          <w:lang w:val="en-ZA" w:eastAsia="en-ZA"/>
        </w:rPr>
        <w:t xml:space="preserve"> </w:t>
      </w:r>
      <w:r w:rsidRPr="00BB5C77">
        <w:rPr>
          <w:rFonts w:ascii="Arial" w:eastAsia="Arial" w:hAnsi="Arial" w:cs="Arial"/>
          <w:color w:val="030303"/>
          <w:w w:val="142"/>
          <w:sz w:val="21"/>
          <w:szCs w:val="21"/>
          <w:lang w:val="en-ZA" w:eastAsia="en-ZA"/>
        </w:rPr>
        <w:t>I</w:t>
      </w:r>
      <w:r w:rsidRPr="00BB5C77">
        <w:rPr>
          <w:rFonts w:ascii="Arial" w:eastAsia="Arial" w:hAnsi="Arial" w:cs="Arial"/>
          <w:color w:val="030303"/>
          <w:spacing w:val="-47"/>
          <w:w w:val="142"/>
          <w:sz w:val="21"/>
          <w:szCs w:val="21"/>
          <w:lang w:val="en-ZA" w:eastAsia="en-ZA"/>
        </w:rPr>
        <w:t xml:space="preserve"> </w:t>
      </w:r>
      <w:r w:rsidRPr="00BB5C77">
        <w:rPr>
          <w:rFonts w:ascii="Arial" w:eastAsia="Arial" w:hAnsi="Arial" w:cs="Arial"/>
          <w:color w:val="030303"/>
          <w:sz w:val="21"/>
          <w:szCs w:val="21"/>
          <w:lang w:val="en-ZA" w:eastAsia="en-ZA"/>
        </w:rPr>
        <w:t>have</w:t>
      </w:r>
      <w:r w:rsidRPr="00BB5C77">
        <w:rPr>
          <w:rFonts w:ascii="Arial" w:eastAsia="Arial" w:hAnsi="Arial" w:cs="Arial"/>
          <w:color w:val="030303"/>
          <w:spacing w:val="15"/>
          <w:sz w:val="21"/>
          <w:szCs w:val="21"/>
          <w:lang w:val="en-ZA" w:eastAsia="en-ZA"/>
        </w:rPr>
        <w:t xml:space="preserve"> </w:t>
      </w:r>
      <w:r w:rsidRPr="00BB5C77">
        <w:rPr>
          <w:rFonts w:ascii="Arial" w:eastAsia="Arial" w:hAnsi="Arial" w:cs="Arial"/>
          <w:color w:val="030303"/>
          <w:sz w:val="21"/>
          <w:szCs w:val="21"/>
          <w:lang w:val="en-ZA" w:eastAsia="en-ZA"/>
        </w:rPr>
        <w:t>not</w:t>
      </w:r>
      <w:r w:rsidRPr="00BB5C77">
        <w:rPr>
          <w:rFonts w:ascii="Arial" w:eastAsia="Arial" w:hAnsi="Arial" w:cs="Arial"/>
          <w:color w:val="030303"/>
          <w:spacing w:val="15"/>
          <w:sz w:val="21"/>
          <w:szCs w:val="21"/>
          <w:lang w:val="en-ZA" w:eastAsia="en-ZA"/>
        </w:rPr>
        <w:t xml:space="preserve"> </w:t>
      </w:r>
      <w:r w:rsidRPr="00BB5C77">
        <w:rPr>
          <w:rFonts w:ascii="Arial" w:eastAsia="Arial" w:hAnsi="Arial" w:cs="Arial"/>
          <w:color w:val="030303"/>
          <w:w w:val="109"/>
          <w:sz w:val="21"/>
          <w:szCs w:val="21"/>
          <w:lang w:val="en-ZA" w:eastAsia="en-ZA"/>
        </w:rPr>
        <w:t>au</w:t>
      </w:r>
      <w:r w:rsidRPr="00BB5C77">
        <w:rPr>
          <w:rFonts w:ascii="Arial" w:eastAsia="Arial" w:hAnsi="Arial" w:cs="Arial"/>
          <w:color w:val="030303"/>
          <w:spacing w:val="-2"/>
          <w:w w:val="109"/>
          <w:sz w:val="21"/>
          <w:szCs w:val="21"/>
          <w:lang w:val="en-ZA" w:eastAsia="en-ZA"/>
        </w:rPr>
        <w:t>d</w:t>
      </w:r>
      <w:r w:rsidRPr="00BB5C77">
        <w:rPr>
          <w:rFonts w:ascii="Arial" w:eastAsia="Arial" w:hAnsi="Arial" w:cs="Arial"/>
          <w:color w:val="1D1D1D"/>
          <w:spacing w:val="-15"/>
          <w:w w:val="155"/>
          <w:sz w:val="21"/>
          <w:szCs w:val="21"/>
          <w:lang w:val="en-ZA" w:eastAsia="en-ZA"/>
        </w:rPr>
        <w:t>i</w:t>
      </w:r>
      <w:r w:rsidRPr="00BB5C77">
        <w:rPr>
          <w:rFonts w:ascii="Arial" w:eastAsia="Arial" w:hAnsi="Arial" w:cs="Arial"/>
          <w:color w:val="030303"/>
          <w:w w:val="109"/>
          <w:sz w:val="21"/>
          <w:szCs w:val="21"/>
          <w:lang w:val="en-ZA" w:eastAsia="en-ZA"/>
        </w:rPr>
        <w:t>te</w:t>
      </w:r>
      <w:r w:rsidRPr="00BB5C77">
        <w:rPr>
          <w:rFonts w:ascii="Arial" w:eastAsia="Arial" w:hAnsi="Arial" w:cs="Arial"/>
          <w:color w:val="030303"/>
          <w:w w:val="110"/>
          <w:sz w:val="21"/>
          <w:szCs w:val="21"/>
          <w:lang w:val="en-ZA" w:eastAsia="en-ZA"/>
        </w:rPr>
        <w:t>d</w:t>
      </w:r>
      <w:r w:rsidRPr="00BB5C77">
        <w:rPr>
          <w:rFonts w:ascii="Arial" w:eastAsia="Arial" w:hAnsi="Arial" w:cs="Arial"/>
          <w:color w:val="030303"/>
          <w:spacing w:val="-7"/>
          <w:sz w:val="21"/>
          <w:szCs w:val="21"/>
          <w:lang w:val="en-ZA" w:eastAsia="en-ZA"/>
        </w:rPr>
        <w:t xml:space="preserve"> </w:t>
      </w:r>
      <w:r w:rsidRPr="00BB5C77">
        <w:rPr>
          <w:rFonts w:ascii="Arial" w:eastAsia="Arial" w:hAnsi="Arial" w:cs="Arial"/>
          <w:color w:val="030303"/>
          <w:w w:val="106"/>
          <w:sz w:val="21"/>
          <w:szCs w:val="21"/>
          <w:lang w:val="en-ZA" w:eastAsia="en-ZA"/>
        </w:rPr>
        <w:t xml:space="preserve">these </w:t>
      </w:r>
      <w:r w:rsidRPr="00BB5C77">
        <w:rPr>
          <w:rFonts w:ascii="Arial" w:eastAsia="Arial" w:hAnsi="Arial" w:cs="Arial"/>
          <w:color w:val="030303"/>
          <w:sz w:val="21"/>
          <w:szCs w:val="21"/>
          <w:lang w:val="en-ZA" w:eastAsia="en-ZA"/>
        </w:rPr>
        <w:t>schedules</w:t>
      </w:r>
      <w:r w:rsidRPr="00BB5C77">
        <w:rPr>
          <w:rFonts w:ascii="Arial" w:eastAsia="Arial" w:hAnsi="Arial" w:cs="Arial"/>
          <w:color w:val="030303"/>
          <w:spacing w:val="53"/>
          <w:sz w:val="21"/>
          <w:szCs w:val="21"/>
          <w:lang w:val="en-ZA" w:eastAsia="en-ZA"/>
        </w:rPr>
        <w:t xml:space="preserve"> </w:t>
      </w:r>
      <w:r w:rsidRPr="00BB5C77">
        <w:rPr>
          <w:rFonts w:ascii="Arial" w:eastAsia="Arial" w:hAnsi="Arial" w:cs="Arial"/>
          <w:color w:val="030303"/>
          <w:w w:val="107"/>
          <w:sz w:val="21"/>
          <w:szCs w:val="21"/>
          <w:lang w:val="en-ZA" w:eastAsia="en-ZA"/>
        </w:rPr>
        <w:t>an</w:t>
      </w:r>
      <w:r w:rsidRPr="00BB5C77">
        <w:rPr>
          <w:rFonts w:ascii="Arial" w:eastAsia="Arial" w:hAnsi="Arial" w:cs="Arial"/>
          <w:color w:val="030303"/>
          <w:spacing w:val="-14"/>
          <w:w w:val="107"/>
          <w:sz w:val="21"/>
          <w:szCs w:val="21"/>
          <w:lang w:val="en-ZA" w:eastAsia="en-ZA"/>
        </w:rPr>
        <w:t>d</w:t>
      </w:r>
      <w:r w:rsidRPr="00BB5C77">
        <w:rPr>
          <w:rFonts w:ascii="Arial" w:eastAsia="Arial" w:hAnsi="Arial" w:cs="Arial"/>
          <w:color w:val="1D1D1D"/>
          <w:w w:val="159"/>
          <w:sz w:val="21"/>
          <w:szCs w:val="21"/>
          <w:lang w:val="en-ZA" w:eastAsia="en-ZA"/>
        </w:rPr>
        <w:t>,</w:t>
      </w:r>
      <w:r w:rsidRPr="00BB5C77">
        <w:rPr>
          <w:rFonts w:ascii="Arial" w:eastAsia="Arial" w:hAnsi="Arial" w:cs="Arial"/>
          <w:color w:val="1D1D1D"/>
          <w:spacing w:val="-27"/>
          <w:sz w:val="21"/>
          <w:szCs w:val="21"/>
          <w:lang w:val="en-ZA" w:eastAsia="en-ZA"/>
        </w:rPr>
        <w:t xml:space="preserve"> </w:t>
      </w:r>
      <w:r w:rsidRPr="00BB5C77">
        <w:rPr>
          <w:rFonts w:ascii="Arial" w:eastAsia="Arial" w:hAnsi="Arial" w:cs="Arial"/>
          <w:color w:val="030303"/>
          <w:w w:val="105"/>
          <w:sz w:val="21"/>
          <w:szCs w:val="21"/>
          <w:lang w:val="en-ZA" w:eastAsia="en-ZA"/>
        </w:rPr>
        <w:t>accordingl</w:t>
      </w:r>
      <w:r w:rsidRPr="00BB5C77">
        <w:rPr>
          <w:rFonts w:ascii="Arial" w:eastAsia="Arial" w:hAnsi="Arial" w:cs="Arial"/>
          <w:color w:val="030303"/>
          <w:spacing w:val="-5"/>
          <w:w w:val="105"/>
          <w:sz w:val="21"/>
          <w:szCs w:val="21"/>
          <w:lang w:val="en-ZA" w:eastAsia="en-ZA"/>
        </w:rPr>
        <w:t>y</w:t>
      </w:r>
      <w:r w:rsidRPr="00BB5C77">
        <w:rPr>
          <w:rFonts w:ascii="Arial" w:eastAsia="Arial" w:hAnsi="Arial" w:cs="Arial"/>
          <w:color w:val="1D1D1D"/>
          <w:w w:val="105"/>
          <w:sz w:val="21"/>
          <w:szCs w:val="21"/>
          <w:lang w:val="en-ZA" w:eastAsia="en-ZA"/>
        </w:rPr>
        <w:t>,</w:t>
      </w:r>
      <w:r w:rsidRPr="00BB5C77">
        <w:rPr>
          <w:rFonts w:ascii="Arial" w:eastAsia="Arial" w:hAnsi="Arial" w:cs="Arial"/>
          <w:color w:val="1D1D1D"/>
          <w:spacing w:val="-14"/>
          <w:w w:val="105"/>
          <w:sz w:val="21"/>
          <w:szCs w:val="21"/>
          <w:lang w:val="en-ZA" w:eastAsia="en-ZA"/>
        </w:rPr>
        <w:t xml:space="preserve"> </w:t>
      </w:r>
      <w:r w:rsidRPr="00BB5C77">
        <w:rPr>
          <w:rFonts w:ascii="Arial" w:eastAsia="Arial" w:hAnsi="Arial" w:cs="Arial"/>
          <w:color w:val="424242"/>
          <w:w w:val="178"/>
          <w:sz w:val="21"/>
          <w:szCs w:val="21"/>
          <w:lang w:val="en-ZA" w:eastAsia="en-ZA"/>
        </w:rPr>
        <w:t>I</w:t>
      </w:r>
      <w:r w:rsidRPr="00BB5C77">
        <w:rPr>
          <w:rFonts w:ascii="Arial" w:eastAsia="Arial" w:hAnsi="Arial" w:cs="Arial"/>
          <w:color w:val="424242"/>
          <w:spacing w:val="-29"/>
          <w:sz w:val="21"/>
          <w:szCs w:val="21"/>
          <w:lang w:val="en-ZA" w:eastAsia="en-ZA"/>
        </w:rPr>
        <w:t xml:space="preserve"> </w:t>
      </w:r>
      <w:r w:rsidRPr="00BB5C77">
        <w:rPr>
          <w:rFonts w:ascii="Arial" w:eastAsia="Arial" w:hAnsi="Arial" w:cs="Arial"/>
          <w:color w:val="030303"/>
          <w:sz w:val="21"/>
          <w:szCs w:val="21"/>
          <w:lang w:val="en-ZA" w:eastAsia="en-ZA"/>
        </w:rPr>
        <w:t>do</w:t>
      </w:r>
      <w:r w:rsidRPr="00BB5C77">
        <w:rPr>
          <w:rFonts w:ascii="Arial" w:eastAsia="Arial" w:hAnsi="Arial" w:cs="Arial"/>
          <w:color w:val="030303"/>
          <w:spacing w:val="-1"/>
          <w:sz w:val="21"/>
          <w:szCs w:val="21"/>
          <w:lang w:val="en-ZA" w:eastAsia="en-ZA"/>
        </w:rPr>
        <w:t xml:space="preserve"> </w:t>
      </w:r>
      <w:r w:rsidRPr="00BB5C77">
        <w:rPr>
          <w:rFonts w:ascii="Arial" w:eastAsia="Arial" w:hAnsi="Arial" w:cs="Arial"/>
          <w:color w:val="030303"/>
          <w:sz w:val="21"/>
          <w:szCs w:val="21"/>
          <w:lang w:val="en-ZA" w:eastAsia="en-ZA"/>
        </w:rPr>
        <w:t>not</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express</w:t>
      </w:r>
      <w:r w:rsidRPr="00BB5C77">
        <w:rPr>
          <w:rFonts w:ascii="Arial" w:eastAsia="Arial" w:hAnsi="Arial" w:cs="Arial"/>
          <w:color w:val="030303"/>
          <w:spacing w:val="32"/>
          <w:sz w:val="21"/>
          <w:szCs w:val="21"/>
          <w:lang w:val="en-ZA" w:eastAsia="en-ZA"/>
        </w:rPr>
        <w:t xml:space="preserve"> </w:t>
      </w:r>
      <w:r w:rsidRPr="00BB5C77">
        <w:rPr>
          <w:rFonts w:ascii="Arial" w:eastAsia="Arial" w:hAnsi="Arial" w:cs="Arial"/>
          <w:color w:val="030303"/>
          <w:sz w:val="21"/>
          <w:szCs w:val="21"/>
          <w:lang w:val="en-ZA" w:eastAsia="en-ZA"/>
        </w:rPr>
        <w:t>an</w:t>
      </w:r>
      <w:r w:rsidRPr="00BB5C77">
        <w:rPr>
          <w:rFonts w:ascii="Arial" w:eastAsia="Arial" w:hAnsi="Arial" w:cs="Arial"/>
          <w:color w:val="030303"/>
          <w:spacing w:val="19"/>
          <w:sz w:val="21"/>
          <w:szCs w:val="21"/>
          <w:lang w:val="en-ZA" w:eastAsia="en-ZA"/>
        </w:rPr>
        <w:t xml:space="preserve"> </w:t>
      </w:r>
      <w:r w:rsidRPr="00BB5C77">
        <w:rPr>
          <w:rFonts w:ascii="Arial" w:eastAsia="Arial" w:hAnsi="Arial" w:cs="Arial"/>
          <w:color w:val="030303"/>
          <w:sz w:val="21"/>
          <w:szCs w:val="21"/>
          <w:lang w:val="en-ZA" w:eastAsia="en-ZA"/>
        </w:rPr>
        <w:t>opinion</w:t>
      </w:r>
      <w:r w:rsidRPr="00BB5C77">
        <w:rPr>
          <w:rFonts w:ascii="Arial" w:eastAsia="Arial" w:hAnsi="Arial" w:cs="Arial"/>
          <w:color w:val="030303"/>
          <w:spacing w:val="26"/>
          <w:sz w:val="21"/>
          <w:szCs w:val="21"/>
          <w:lang w:val="en-ZA" w:eastAsia="en-ZA"/>
        </w:rPr>
        <w:t xml:space="preserve"> </w:t>
      </w:r>
      <w:r w:rsidRPr="00BB5C77">
        <w:rPr>
          <w:rFonts w:ascii="Arial" w:eastAsia="Arial" w:hAnsi="Arial" w:cs="Arial"/>
          <w:color w:val="030303"/>
          <w:w w:val="104"/>
          <w:sz w:val="21"/>
          <w:szCs w:val="21"/>
          <w:lang w:val="en-ZA" w:eastAsia="en-ZA"/>
        </w:rPr>
        <w:t>thereo</w:t>
      </w:r>
      <w:r w:rsidRPr="00BB5C77">
        <w:rPr>
          <w:rFonts w:ascii="Arial" w:eastAsia="Arial" w:hAnsi="Arial" w:cs="Arial"/>
          <w:color w:val="030303"/>
          <w:spacing w:val="-9"/>
          <w:w w:val="105"/>
          <w:sz w:val="21"/>
          <w:szCs w:val="21"/>
          <w:lang w:val="en-ZA" w:eastAsia="en-ZA"/>
        </w:rPr>
        <w:t>n</w:t>
      </w:r>
      <w:r w:rsidRPr="00BB5C77">
        <w:rPr>
          <w:rFonts w:ascii="Arial" w:eastAsia="Arial" w:hAnsi="Arial" w:cs="Arial"/>
          <w:color w:val="1D1D1D"/>
          <w:w w:val="135"/>
          <w:sz w:val="21"/>
          <w:szCs w:val="21"/>
          <w:lang w:val="en-ZA" w:eastAsia="en-ZA"/>
        </w:rPr>
        <w:t>.</w:t>
      </w:r>
    </w:p>
    <w:p w14:paraId="4068A9F8" w14:textId="77777777" w:rsidR="00BB5C77" w:rsidRPr="00BB5C77" w:rsidRDefault="00BB5C77" w:rsidP="00BB5C77">
      <w:pPr>
        <w:spacing w:after="0" w:line="200" w:lineRule="exact"/>
        <w:jc w:val="both"/>
        <w:rPr>
          <w:rFonts w:eastAsia="Times New Roman" w:cs="Times New Roman"/>
          <w:szCs w:val="20"/>
          <w:lang w:val="en-ZA" w:eastAsia="en-ZA"/>
        </w:rPr>
      </w:pPr>
    </w:p>
    <w:p w14:paraId="0A4D577A" w14:textId="77777777" w:rsidR="00BB5C77" w:rsidRPr="00BB5C77" w:rsidRDefault="00BB5C77" w:rsidP="00BB5C77">
      <w:pPr>
        <w:spacing w:after="0" w:line="200" w:lineRule="exact"/>
        <w:jc w:val="both"/>
        <w:rPr>
          <w:rFonts w:eastAsia="Times New Roman" w:cs="Times New Roman"/>
          <w:szCs w:val="20"/>
          <w:lang w:val="en-ZA" w:eastAsia="en-ZA"/>
        </w:rPr>
      </w:pPr>
    </w:p>
    <w:p w14:paraId="5421A8A1" w14:textId="77777777" w:rsidR="00BB5C77" w:rsidRPr="00BB5C77" w:rsidRDefault="00BB5C77" w:rsidP="00BB5C77">
      <w:pPr>
        <w:spacing w:after="0" w:line="200" w:lineRule="exact"/>
        <w:jc w:val="both"/>
        <w:rPr>
          <w:rFonts w:eastAsia="Times New Roman" w:cs="Times New Roman"/>
          <w:szCs w:val="20"/>
          <w:lang w:val="en-ZA" w:eastAsia="en-ZA"/>
        </w:rPr>
      </w:pPr>
    </w:p>
    <w:p w14:paraId="2A4F0301" w14:textId="77777777" w:rsidR="00BB5C77" w:rsidRPr="00BB5C77" w:rsidRDefault="00BB5C77" w:rsidP="00BB5C77">
      <w:pPr>
        <w:spacing w:before="19" w:after="0" w:line="240" w:lineRule="exact"/>
        <w:jc w:val="both"/>
        <w:rPr>
          <w:rFonts w:eastAsia="Times New Roman" w:cs="Times New Roman"/>
          <w:sz w:val="24"/>
          <w:szCs w:val="24"/>
          <w:lang w:val="en-ZA" w:eastAsia="en-ZA"/>
        </w:rPr>
      </w:pPr>
    </w:p>
    <w:p w14:paraId="34330106" w14:textId="77777777" w:rsidR="00BB5C77" w:rsidRPr="00BB5C77" w:rsidRDefault="00BB5C77" w:rsidP="00BB5C77">
      <w:pPr>
        <w:spacing w:after="0" w:line="240" w:lineRule="auto"/>
        <w:ind w:left="276" w:right="-20"/>
        <w:jc w:val="both"/>
        <w:rPr>
          <w:rFonts w:ascii="Arial" w:eastAsia="Arial" w:hAnsi="Arial" w:cs="Arial"/>
          <w:sz w:val="24"/>
          <w:szCs w:val="24"/>
          <w:lang w:val="en-ZA" w:eastAsia="en-ZA"/>
        </w:rPr>
      </w:pPr>
      <w:r w:rsidRPr="00BB5C77">
        <w:rPr>
          <w:rFonts w:ascii="Arial" w:eastAsia="Arial" w:hAnsi="Arial" w:cs="Arial"/>
          <w:color w:val="1D1D1D"/>
          <w:w w:val="109"/>
          <w:sz w:val="24"/>
          <w:szCs w:val="24"/>
          <w:lang w:val="en-ZA" w:eastAsia="en-ZA"/>
        </w:rPr>
        <w:t>Responsibilities</w:t>
      </w:r>
      <w:r w:rsidRPr="00BB5C77">
        <w:rPr>
          <w:rFonts w:ascii="Arial" w:eastAsia="Arial" w:hAnsi="Arial" w:cs="Arial"/>
          <w:color w:val="1D1D1D"/>
          <w:spacing w:val="-13"/>
          <w:w w:val="109"/>
          <w:sz w:val="24"/>
          <w:szCs w:val="24"/>
          <w:lang w:val="en-ZA" w:eastAsia="en-ZA"/>
        </w:rPr>
        <w:t xml:space="preserve"> </w:t>
      </w:r>
      <w:r w:rsidRPr="00BB5C77">
        <w:rPr>
          <w:rFonts w:ascii="Arial" w:eastAsia="Arial" w:hAnsi="Arial" w:cs="Arial"/>
          <w:color w:val="1D1D1D"/>
          <w:sz w:val="24"/>
          <w:szCs w:val="24"/>
          <w:lang w:val="en-ZA" w:eastAsia="en-ZA"/>
        </w:rPr>
        <w:t>of</w:t>
      </w:r>
      <w:r w:rsidRPr="00BB5C77">
        <w:rPr>
          <w:rFonts w:ascii="Arial" w:eastAsia="Arial" w:hAnsi="Arial" w:cs="Arial"/>
          <w:color w:val="1D1D1D"/>
          <w:spacing w:val="24"/>
          <w:sz w:val="24"/>
          <w:szCs w:val="24"/>
          <w:lang w:val="en-ZA" w:eastAsia="en-ZA"/>
        </w:rPr>
        <w:t xml:space="preserve"> </w:t>
      </w:r>
      <w:r w:rsidRPr="00BB5C77">
        <w:rPr>
          <w:rFonts w:ascii="Arial" w:eastAsia="Arial" w:hAnsi="Arial" w:cs="Arial"/>
          <w:color w:val="1D1D1D"/>
          <w:sz w:val="24"/>
          <w:szCs w:val="24"/>
          <w:lang w:val="en-ZA" w:eastAsia="en-ZA"/>
        </w:rPr>
        <w:t>the</w:t>
      </w:r>
      <w:r w:rsidRPr="00BB5C77">
        <w:rPr>
          <w:rFonts w:ascii="Arial" w:eastAsia="Arial" w:hAnsi="Arial" w:cs="Arial"/>
          <w:color w:val="1D1D1D"/>
          <w:spacing w:val="23"/>
          <w:sz w:val="24"/>
          <w:szCs w:val="24"/>
          <w:lang w:val="en-ZA" w:eastAsia="en-ZA"/>
        </w:rPr>
        <w:t xml:space="preserve"> </w:t>
      </w:r>
      <w:r w:rsidRPr="00BB5C77">
        <w:rPr>
          <w:rFonts w:ascii="Arial" w:eastAsia="Arial" w:hAnsi="Arial" w:cs="Arial"/>
          <w:color w:val="1D1D1D"/>
          <w:w w:val="110"/>
          <w:sz w:val="24"/>
          <w:szCs w:val="24"/>
          <w:lang w:val="en-ZA" w:eastAsia="en-ZA"/>
        </w:rPr>
        <w:t>accounting</w:t>
      </w:r>
      <w:r w:rsidRPr="00BB5C77">
        <w:rPr>
          <w:rFonts w:ascii="Arial" w:eastAsia="Arial" w:hAnsi="Arial" w:cs="Arial"/>
          <w:color w:val="1D1D1D"/>
          <w:spacing w:val="-14"/>
          <w:w w:val="110"/>
          <w:sz w:val="24"/>
          <w:szCs w:val="24"/>
          <w:lang w:val="en-ZA" w:eastAsia="en-ZA"/>
        </w:rPr>
        <w:t xml:space="preserve"> </w:t>
      </w:r>
      <w:r w:rsidRPr="00BB5C77">
        <w:rPr>
          <w:rFonts w:ascii="Arial" w:eastAsia="Arial" w:hAnsi="Arial" w:cs="Arial"/>
          <w:color w:val="1D1D1D"/>
          <w:sz w:val="24"/>
          <w:szCs w:val="24"/>
          <w:lang w:val="en-ZA" w:eastAsia="en-ZA"/>
        </w:rPr>
        <w:t xml:space="preserve">officer </w:t>
      </w:r>
      <w:r w:rsidRPr="00BB5C77">
        <w:rPr>
          <w:rFonts w:ascii="Arial" w:eastAsia="Arial" w:hAnsi="Arial" w:cs="Arial"/>
          <w:color w:val="1D1D1D"/>
          <w:spacing w:val="7"/>
          <w:sz w:val="24"/>
          <w:szCs w:val="24"/>
          <w:lang w:val="en-ZA" w:eastAsia="en-ZA"/>
        </w:rPr>
        <w:t>for</w:t>
      </w:r>
      <w:r w:rsidRPr="00BB5C77">
        <w:rPr>
          <w:rFonts w:ascii="Arial" w:eastAsia="Arial" w:hAnsi="Arial" w:cs="Arial"/>
          <w:color w:val="1D1D1D"/>
          <w:spacing w:val="30"/>
          <w:sz w:val="24"/>
          <w:szCs w:val="24"/>
          <w:lang w:val="en-ZA" w:eastAsia="en-ZA"/>
        </w:rPr>
        <w:t xml:space="preserve"> </w:t>
      </w:r>
      <w:r w:rsidRPr="00BB5C77">
        <w:rPr>
          <w:rFonts w:ascii="Arial" w:eastAsia="Arial" w:hAnsi="Arial" w:cs="Arial"/>
          <w:color w:val="1D1D1D"/>
          <w:sz w:val="24"/>
          <w:szCs w:val="24"/>
          <w:lang w:val="en-ZA" w:eastAsia="en-ZA"/>
        </w:rPr>
        <w:t>the</w:t>
      </w:r>
      <w:r w:rsidRPr="00BB5C77">
        <w:rPr>
          <w:rFonts w:ascii="Arial" w:eastAsia="Arial" w:hAnsi="Arial" w:cs="Arial"/>
          <w:color w:val="1D1D1D"/>
          <w:spacing w:val="15"/>
          <w:sz w:val="24"/>
          <w:szCs w:val="24"/>
          <w:lang w:val="en-ZA" w:eastAsia="en-ZA"/>
        </w:rPr>
        <w:t xml:space="preserve"> </w:t>
      </w:r>
      <w:r w:rsidRPr="00BB5C77">
        <w:rPr>
          <w:rFonts w:ascii="Arial" w:eastAsia="Arial" w:hAnsi="Arial" w:cs="Arial"/>
          <w:color w:val="1D1D1D"/>
          <w:w w:val="110"/>
          <w:sz w:val="24"/>
          <w:szCs w:val="24"/>
          <w:lang w:val="en-ZA" w:eastAsia="en-ZA"/>
        </w:rPr>
        <w:t>financia</w:t>
      </w:r>
      <w:r w:rsidRPr="00BB5C77">
        <w:rPr>
          <w:rFonts w:ascii="Arial" w:eastAsia="Arial" w:hAnsi="Arial" w:cs="Arial"/>
          <w:color w:val="1D1D1D"/>
          <w:w w:val="111"/>
          <w:sz w:val="24"/>
          <w:szCs w:val="24"/>
          <w:lang w:val="en-ZA" w:eastAsia="en-ZA"/>
        </w:rPr>
        <w:t>l</w:t>
      </w:r>
      <w:r w:rsidRPr="00BB5C77">
        <w:rPr>
          <w:rFonts w:ascii="Arial" w:eastAsia="Arial" w:hAnsi="Arial" w:cs="Arial"/>
          <w:color w:val="1D1D1D"/>
          <w:spacing w:val="-38"/>
          <w:sz w:val="24"/>
          <w:szCs w:val="24"/>
          <w:lang w:val="en-ZA" w:eastAsia="en-ZA"/>
        </w:rPr>
        <w:t xml:space="preserve"> </w:t>
      </w:r>
      <w:r w:rsidRPr="00BB5C77">
        <w:rPr>
          <w:rFonts w:ascii="Arial" w:eastAsia="Arial" w:hAnsi="Arial" w:cs="Arial"/>
          <w:color w:val="1D1D1D"/>
          <w:w w:val="107"/>
          <w:sz w:val="24"/>
          <w:szCs w:val="24"/>
          <w:lang w:val="en-ZA" w:eastAsia="en-ZA"/>
        </w:rPr>
        <w:t>statements</w:t>
      </w:r>
    </w:p>
    <w:p w14:paraId="23BB1DD8" w14:textId="77777777" w:rsidR="00BB5C77" w:rsidRPr="00BB5C77" w:rsidRDefault="00BB5C77" w:rsidP="00BB5C77">
      <w:pPr>
        <w:spacing w:before="7" w:after="0" w:line="240" w:lineRule="exact"/>
        <w:jc w:val="both"/>
        <w:rPr>
          <w:rFonts w:eastAsia="Times New Roman" w:cs="Times New Roman"/>
          <w:sz w:val="24"/>
          <w:szCs w:val="24"/>
          <w:lang w:val="en-ZA" w:eastAsia="en-ZA"/>
        </w:rPr>
      </w:pPr>
    </w:p>
    <w:p w14:paraId="5C74B910" w14:textId="77777777" w:rsidR="00BB5C77" w:rsidRPr="00BB5C77" w:rsidRDefault="00BB5C77" w:rsidP="00BB5C77">
      <w:pPr>
        <w:spacing w:after="0" w:line="251" w:lineRule="auto"/>
        <w:ind w:left="605" w:right="154" w:hanging="328"/>
        <w:jc w:val="both"/>
        <w:rPr>
          <w:rFonts w:ascii="Arial" w:eastAsia="Arial" w:hAnsi="Arial" w:cs="Arial"/>
          <w:sz w:val="21"/>
          <w:szCs w:val="21"/>
          <w:lang w:val="en-ZA" w:eastAsia="en-ZA"/>
        </w:rPr>
      </w:pPr>
      <w:r w:rsidRPr="00BB5C77">
        <w:rPr>
          <w:rFonts w:ascii="Arial" w:eastAsia="Arial" w:hAnsi="Arial" w:cs="Arial"/>
          <w:color w:val="030303"/>
          <w:w w:val="112"/>
          <w:sz w:val="21"/>
          <w:szCs w:val="21"/>
          <w:lang w:val="en-ZA" w:eastAsia="en-ZA"/>
        </w:rPr>
        <w:t>1</w:t>
      </w:r>
      <w:r w:rsidRPr="00BB5C77">
        <w:rPr>
          <w:rFonts w:ascii="Arial" w:eastAsia="Arial" w:hAnsi="Arial" w:cs="Arial"/>
          <w:color w:val="030303"/>
          <w:spacing w:val="-29"/>
          <w:w w:val="112"/>
          <w:sz w:val="21"/>
          <w:szCs w:val="21"/>
          <w:lang w:val="en-ZA" w:eastAsia="en-ZA"/>
        </w:rPr>
        <w:t>1</w:t>
      </w:r>
      <w:r w:rsidRPr="00BB5C77">
        <w:rPr>
          <w:rFonts w:ascii="Arial" w:eastAsia="Arial" w:hAnsi="Arial" w:cs="Arial"/>
          <w:color w:val="1D1D1D"/>
          <w:w w:val="169"/>
          <w:sz w:val="21"/>
          <w:szCs w:val="21"/>
          <w:lang w:val="en-ZA" w:eastAsia="en-ZA"/>
        </w:rPr>
        <w:t>.</w:t>
      </w:r>
      <w:r w:rsidRPr="00BB5C77">
        <w:rPr>
          <w:rFonts w:ascii="Arial" w:eastAsia="Arial" w:hAnsi="Arial" w:cs="Arial"/>
          <w:color w:val="1D1D1D"/>
          <w:spacing w:val="-36"/>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6"/>
          <w:sz w:val="21"/>
          <w:szCs w:val="21"/>
          <w:lang w:val="en-ZA" w:eastAsia="en-ZA"/>
        </w:rPr>
        <w:t xml:space="preserve"> </w:t>
      </w:r>
      <w:r w:rsidRPr="00BB5C77">
        <w:rPr>
          <w:rFonts w:ascii="Arial" w:eastAsia="Arial" w:hAnsi="Arial" w:cs="Arial"/>
          <w:color w:val="030303"/>
          <w:sz w:val="21"/>
          <w:szCs w:val="21"/>
          <w:lang w:val="en-ZA" w:eastAsia="en-ZA"/>
        </w:rPr>
        <w:t>accounting</w:t>
      </w:r>
      <w:r w:rsidRPr="00BB5C77">
        <w:rPr>
          <w:rFonts w:ascii="Arial" w:eastAsia="Arial" w:hAnsi="Arial" w:cs="Arial"/>
          <w:color w:val="030303"/>
          <w:spacing w:val="38"/>
          <w:sz w:val="21"/>
          <w:szCs w:val="21"/>
          <w:lang w:val="en-ZA" w:eastAsia="en-ZA"/>
        </w:rPr>
        <w:t xml:space="preserve"> </w:t>
      </w:r>
      <w:r w:rsidRPr="00BB5C77">
        <w:rPr>
          <w:rFonts w:ascii="Arial" w:eastAsia="Arial" w:hAnsi="Arial" w:cs="Arial"/>
          <w:color w:val="030303"/>
          <w:sz w:val="21"/>
          <w:szCs w:val="21"/>
          <w:lang w:val="en-ZA" w:eastAsia="en-ZA"/>
        </w:rPr>
        <w:t>officer</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is</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w w:val="105"/>
          <w:sz w:val="21"/>
          <w:szCs w:val="21"/>
          <w:lang w:val="en-ZA" w:eastAsia="en-ZA"/>
        </w:rPr>
        <w:t>respon</w:t>
      </w:r>
      <w:r w:rsidRPr="00BB5C77">
        <w:rPr>
          <w:rFonts w:ascii="Arial" w:eastAsia="Arial" w:hAnsi="Arial" w:cs="Arial"/>
          <w:color w:val="030303"/>
          <w:spacing w:val="-9"/>
          <w:w w:val="105"/>
          <w:sz w:val="21"/>
          <w:szCs w:val="21"/>
          <w:lang w:val="en-ZA" w:eastAsia="en-ZA"/>
        </w:rPr>
        <w:t>s</w:t>
      </w:r>
      <w:r w:rsidRPr="00BB5C77">
        <w:rPr>
          <w:rFonts w:ascii="Arial" w:eastAsia="Arial" w:hAnsi="Arial" w:cs="Arial"/>
          <w:color w:val="1D1D1D"/>
          <w:spacing w:val="-3"/>
          <w:w w:val="193"/>
          <w:sz w:val="21"/>
          <w:szCs w:val="21"/>
          <w:lang w:val="en-ZA" w:eastAsia="en-ZA"/>
        </w:rPr>
        <w:t>i</w:t>
      </w:r>
      <w:r w:rsidRPr="00BB5C77">
        <w:rPr>
          <w:rFonts w:ascii="Arial" w:eastAsia="Arial" w:hAnsi="Arial" w:cs="Arial"/>
          <w:color w:val="030303"/>
          <w:w w:val="108"/>
          <w:sz w:val="21"/>
          <w:szCs w:val="21"/>
          <w:lang w:val="en-ZA" w:eastAsia="en-ZA"/>
        </w:rPr>
        <w:t>ble</w:t>
      </w:r>
      <w:r w:rsidRPr="00BB5C77">
        <w:rPr>
          <w:rFonts w:ascii="Arial" w:eastAsia="Arial" w:hAnsi="Arial" w:cs="Arial"/>
          <w:color w:val="030303"/>
          <w:spacing w:val="-15"/>
          <w:sz w:val="21"/>
          <w:szCs w:val="21"/>
          <w:lang w:val="en-ZA" w:eastAsia="en-ZA"/>
        </w:rPr>
        <w:t xml:space="preserve"> </w:t>
      </w:r>
      <w:r w:rsidRPr="00BB5C77">
        <w:rPr>
          <w:rFonts w:ascii="Arial" w:eastAsia="Arial" w:hAnsi="Arial" w:cs="Arial"/>
          <w:color w:val="030303"/>
          <w:sz w:val="21"/>
          <w:szCs w:val="21"/>
          <w:lang w:val="en-ZA" w:eastAsia="en-ZA"/>
        </w:rPr>
        <w:t>for</w:t>
      </w:r>
      <w:r w:rsidRPr="00BB5C77">
        <w:rPr>
          <w:rFonts w:ascii="Arial" w:eastAsia="Arial" w:hAnsi="Arial" w:cs="Arial"/>
          <w:color w:val="030303"/>
          <w:spacing w:val="12"/>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preparation</w:t>
      </w:r>
      <w:r w:rsidRPr="00BB5C77">
        <w:rPr>
          <w:rFonts w:ascii="Arial" w:eastAsia="Arial" w:hAnsi="Arial" w:cs="Arial"/>
          <w:color w:val="030303"/>
          <w:spacing w:val="41"/>
          <w:sz w:val="21"/>
          <w:szCs w:val="21"/>
          <w:lang w:val="en-ZA" w:eastAsia="en-ZA"/>
        </w:rPr>
        <w:t xml:space="preserve"> </w:t>
      </w:r>
      <w:r w:rsidRPr="00BB5C77">
        <w:rPr>
          <w:rFonts w:ascii="Arial" w:eastAsia="Arial" w:hAnsi="Arial" w:cs="Arial"/>
          <w:color w:val="030303"/>
          <w:sz w:val="21"/>
          <w:szCs w:val="21"/>
          <w:lang w:val="en-ZA" w:eastAsia="en-ZA"/>
        </w:rPr>
        <w:t>and</w:t>
      </w:r>
      <w:r w:rsidRPr="00BB5C77">
        <w:rPr>
          <w:rFonts w:ascii="Arial" w:eastAsia="Arial" w:hAnsi="Arial" w:cs="Arial"/>
          <w:color w:val="030303"/>
          <w:spacing w:val="11"/>
          <w:sz w:val="21"/>
          <w:szCs w:val="21"/>
          <w:lang w:val="en-ZA" w:eastAsia="en-ZA"/>
        </w:rPr>
        <w:t xml:space="preserve"> </w:t>
      </w:r>
      <w:r w:rsidRPr="00BB5C77">
        <w:rPr>
          <w:rFonts w:ascii="Arial" w:eastAsia="Arial" w:hAnsi="Arial" w:cs="Arial"/>
          <w:color w:val="030303"/>
          <w:sz w:val="21"/>
          <w:szCs w:val="21"/>
          <w:lang w:val="en-ZA" w:eastAsia="en-ZA"/>
        </w:rPr>
        <w:t>fair</w:t>
      </w:r>
      <w:r w:rsidRPr="00BB5C77">
        <w:rPr>
          <w:rFonts w:ascii="Arial" w:eastAsia="Arial" w:hAnsi="Arial" w:cs="Arial"/>
          <w:color w:val="030303"/>
          <w:spacing w:val="10"/>
          <w:sz w:val="21"/>
          <w:szCs w:val="21"/>
          <w:lang w:val="en-ZA" w:eastAsia="en-ZA"/>
        </w:rPr>
        <w:t xml:space="preserve"> </w:t>
      </w:r>
      <w:r w:rsidRPr="00BB5C77">
        <w:rPr>
          <w:rFonts w:ascii="Arial" w:eastAsia="Arial" w:hAnsi="Arial" w:cs="Arial"/>
          <w:color w:val="030303"/>
          <w:sz w:val="21"/>
          <w:szCs w:val="21"/>
          <w:lang w:val="en-ZA" w:eastAsia="en-ZA"/>
        </w:rPr>
        <w:t>presentation</w:t>
      </w:r>
      <w:r w:rsidRPr="00BB5C77">
        <w:rPr>
          <w:rFonts w:ascii="Arial" w:eastAsia="Arial" w:hAnsi="Arial" w:cs="Arial"/>
          <w:color w:val="030303"/>
          <w:spacing w:val="35"/>
          <w:sz w:val="21"/>
          <w:szCs w:val="21"/>
          <w:lang w:val="en-ZA" w:eastAsia="en-ZA"/>
        </w:rPr>
        <w:t xml:space="preserve"> </w:t>
      </w:r>
      <w:r w:rsidRPr="00BB5C77">
        <w:rPr>
          <w:rFonts w:ascii="Arial" w:eastAsia="Arial" w:hAnsi="Arial" w:cs="Arial"/>
          <w:color w:val="030303"/>
          <w:sz w:val="21"/>
          <w:szCs w:val="21"/>
          <w:lang w:val="en-ZA" w:eastAsia="en-ZA"/>
        </w:rPr>
        <w:t>of</w:t>
      </w:r>
      <w:r w:rsidRPr="00BB5C77">
        <w:rPr>
          <w:rFonts w:ascii="Arial" w:eastAsia="Arial" w:hAnsi="Arial" w:cs="Arial"/>
          <w:color w:val="030303"/>
          <w:spacing w:val="21"/>
          <w:sz w:val="21"/>
          <w:szCs w:val="21"/>
          <w:lang w:val="en-ZA" w:eastAsia="en-ZA"/>
        </w:rPr>
        <w:t xml:space="preserve"> </w:t>
      </w:r>
      <w:r w:rsidRPr="00BB5C77">
        <w:rPr>
          <w:rFonts w:ascii="Arial" w:eastAsia="Arial" w:hAnsi="Arial" w:cs="Arial"/>
          <w:color w:val="030303"/>
          <w:w w:val="106"/>
          <w:sz w:val="21"/>
          <w:szCs w:val="21"/>
          <w:lang w:val="en-ZA" w:eastAsia="en-ZA"/>
        </w:rPr>
        <w:t xml:space="preserve">the </w:t>
      </w:r>
      <w:r w:rsidRPr="00BB5C77">
        <w:rPr>
          <w:rFonts w:ascii="Arial" w:eastAsia="Arial" w:hAnsi="Arial" w:cs="Arial"/>
          <w:color w:val="030303"/>
          <w:spacing w:val="-5"/>
          <w:w w:val="134"/>
          <w:sz w:val="21"/>
          <w:szCs w:val="21"/>
          <w:lang w:val="en-ZA" w:eastAsia="en-ZA"/>
        </w:rPr>
        <w:t>f</w:t>
      </w:r>
      <w:r w:rsidRPr="00BB5C77">
        <w:rPr>
          <w:rFonts w:ascii="Arial" w:eastAsia="Arial" w:hAnsi="Arial" w:cs="Arial"/>
          <w:color w:val="1D1D1D"/>
          <w:spacing w:val="-13"/>
          <w:w w:val="155"/>
          <w:sz w:val="21"/>
          <w:szCs w:val="21"/>
          <w:lang w:val="en-ZA" w:eastAsia="en-ZA"/>
        </w:rPr>
        <w:t>i</w:t>
      </w:r>
      <w:r w:rsidRPr="00BB5C77">
        <w:rPr>
          <w:rFonts w:ascii="Arial" w:eastAsia="Arial" w:hAnsi="Arial" w:cs="Arial"/>
          <w:color w:val="030303"/>
          <w:w w:val="108"/>
          <w:sz w:val="21"/>
          <w:szCs w:val="21"/>
          <w:lang w:val="en-ZA" w:eastAsia="en-ZA"/>
        </w:rPr>
        <w:t>nancia</w:t>
      </w:r>
      <w:r w:rsidRPr="00BB5C77">
        <w:rPr>
          <w:rFonts w:ascii="Arial" w:eastAsia="Arial" w:hAnsi="Arial" w:cs="Arial"/>
          <w:color w:val="030303"/>
          <w:spacing w:val="13"/>
          <w:w w:val="108"/>
          <w:sz w:val="21"/>
          <w:szCs w:val="21"/>
          <w:lang w:val="en-ZA" w:eastAsia="en-ZA"/>
        </w:rPr>
        <w:t xml:space="preserve">l </w:t>
      </w:r>
      <w:r w:rsidRPr="00BB5C77">
        <w:rPr>
          <w:rFonts w:ascii="Arial" w:eastAsia="Arial" w:hAnsi="Arial" w:cs="Arial"/>
          <w:color w:val="030303"/>
          <w:w w:val="103"/>
          <w:sz w:val="21"/>
          <w:szCs w:val="21"/>
          <w:lang w:val="en-ZA" w:eastAsia="en-ZA"/>
        </w:rPr>
        <w:t>statement</w:t>
      </w:r>
      <w:r w:rsidRPr="00BB5C77">
        <w:rPr>
          <w:rFonts w:ascii="Arial" w:eastAsia="Arial" w:hAnsi="Arial" w:cs="Arial"/>
          <w:color w:val="030303"/>
          <w:w w:val="104"/>
          <w:sz w:val="21"/>
          <w:szCs w:val="21"/>
          <w:lang w:val="en-ZA" w:eastAsia="en-ZA"/>
        </w:rPr>
        <w:t>s</w:t>
      </w:r>
      <w:r w:rsidRPr="00BB5C77">
        <w:rPr>
          <w:rFonts w:ascii="Arial" w:eastAsia="Arial" w:hAnsi="Arial" w:cs="Arial"/>
          <w:color w:val="030303"/>
          <w:spacing w:val="-10"/>
          <w:sz w:val="21"/>
          <w:szCs w:val="21"/>
          <w:lang w:val="en-ZA" w:eastAsia="en-ZA"/>
        </w:rPr>
        <w:t xml:space="preserve"> </w:t>
      </w:r>
      <w:r w:rsidRPr="00BB5C77">
        <w:rPr>
          <w:rFonts w:ascii="Arial" w:eastAsia="Arial" w:hAnsi="Arial" w:cs="Arial"/>
          <w:color w:val="030303"/>
          <w:sz w:val="21"/>
          <w:szCs w:val="21"/>
          <w:lang w:val="en-ZA" w:eastAsia="en-ZA"/>
        </w:rPr>
        <w:t>in</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accordance</w:t>
      </w:r>
      <w:r w:rsidRPr="00BB5C77">
        <w:rPr>
          <w:rFonts w:ascii="Arial" w:eastAsia="Arial" w:hAnsi="Arial" w:cs="Arial"/>
          <w:color w:val="030303"/>
          <w:spacing w:val="41"/>
          <w:sz w:val="21"/>
          <w:szCs w:val="21"/>
          <w:lang w:val="en-ZA" w:eastAsia="en-ZA"/>
        </w:rPr>
        <w:t xml:space="preserve"> </w:t>
      </w:r>
      <w:r w:rsidRPr="00BB5C77">
        <w:rPr>
          <w:rFonts w:ascii="Arial" w:eastAsia="Arial" w:hAnsi="Arial" w:cs="Arial"/>
          <w:color w:val="030303"/>
          <w:spacing w:val="-8"/>
          <w:w w:val="105"/>
          <w:sz w:val="21"/>
          <w:szCs w:val="21"/>
          <w:lang w:val="en-ZA" w:eastAsia="en-ZA"/>
        </w:rPr>
        <w:t>w</w:t>
      </w:r>
      <w:r w:rsidRPr="00BB5C77">
        <w:rPr>
          <w:rFonts w:ascii="Arial" w:eastAsia="Arial" w:hAnsi="Arial" w:cs="Arial"/>
          <w:color w:val="1D1D1D"/>
          <w:spacing w:val="-3"/>
          <w:w w:val="193"/>
          <w:sz w:val="21"/>
          <w:szCs w:val="21"/>
          <w:lang w:val="en-ZA" w:eastAsia="en-ZA"/>
        </w:rPr>
        <w:t>i</w:t>
      </w:r>
      <w:r w:rsidRPr="00BB5C77">
        <w:rPr>
          <w:rFonts w:ascii="Arial" w:eastAsia="Arial" w:hAnsi="Arial" w:cs="Arial"/>
          <w:color w:val="030303"/>
          <w:w w:val="113"/>
          <w:sz w:val="21"/>
          <w:szCs w:val="21"/>
          <w:lang w:val="en-ZA" w:eastAsia="en-ZA"/>
        </w:rPr>
        <w:t>t</w:t>
      </w:r>
      <w:r w:rsidRPr="00BB5C77">
        <w:rPr>
          <w:rFonts w:ascii="Arial" w:eastAsia="Arial" w:hAnsi="Arial" w:cs="Arial"/>
          <w:color w:val="030303"/>
          <w:w w:val="114"/>
          <w:sz w:val="21"/>
          <w:szCs w:val="21"/>
          <w:lang w:val="en-ZA" w:eastAsia="en-ZA"/>
        </w:rPr>
        <w:t>h</w:t>
      </w:r>
      <w:r w:rsidRPr="00BB5C77">
        <w:rPr>
          <w:rFonts w:ascii="Arial" w:eastAsia="Arial" w:hAnsi="Arial" w:cs="Arial"/>
          <w:color w:val="030303"/>
          <w:spacing w:val="-27"/>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25"/>
          <w:sz w:val="21"/>
          <w:szCs w:val="21"/>
          <w:lang w:val="en-ZA" w:eastAsia="en-ZA"/>
        </w:rPr>
        <w:t xml:space="preserve"> </w:t>
      </w:r>
      <w:r w:rsidRPr="00BB5C77">
        <w:rPr>
          <w:rFonts w:ascii="Arial" w:eastAsia="Arial" w:hAnsi="Arial" w:cs="Arial"/>
          <w:color w:val="030303"/>
          <w:sz w:val="21"/>
          <w:szCs w:val="21"/>
          <w:lang w:val="en-ZA" w:eastAsia="en-ZA"/>
        </w:rPr>
        <w:t>SA</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Standards</w:t>
      </w:r>
      <w:r w:rsidRPr="00BB5C77">
        <w:rPr>
          <w:rFonts w:ascii="Arial" w:eastAsia="Arial" w:hAnsi="Arial" w:cs="Arial"/>
          <w:color w:val="030303"/>
          <w:spacing w:val="22"/>
          <w:sz w:val="21"/>
          <w:szCs w:val="21"/>
          <w:lang w:val="en-ZA" w:eastAsia="en-ZA"/>
        </w:rPr>
        <w:t xml:space="preserve"> </w:t>
      </w:r>
      <w:r w:rsidRPr="00BB5C77">
        <w:rPr>
          <w:rFonts w:ascii="Arial" w:eastAsia="Arial" w:hAnsi="Arial" w:cs="Arial"/>
          <w:color w:val="030303"/>
          <w:sz w:val="21"/>
          <w:szCs w:val="21"/>
          <w:lang w:val="en-ZA" w:eastAsia="en-ZA"/>
        </w:rPr>
        <w:t>of</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GRAP</w:t>
      </w:r>
      <w:r w:rsidRPr="00BB5C77">
        <w:rPr>
          <w:rFonts w:ascii="Arial" w:eastAsia="Arial" w:hAnsi="Arial" w:cs="Arial"/>
          <w:color w:val="030303"/>
          <w:spacing w:val="23"/>
          <w:sz w:val="21"/>
          <w:szCs w:val="21"/>
          <w:lang w:val="en-ZA" w:eastAsia="en-ZA"/>
        </w:rPr>
        <w:t xml:space="preserve"> </w:t>
      </w:r>
      <w:r w:rsidRPr="00BB5C77">
        <w:rPr>
          <w:rFonts w:ascii="Arial" w:eastAsia="Arial" w:hAnsi="Arial" w:cs="Arial"/>
          <w:color w:val="030303"/>
          <w:sz w:val="21"/>
          <w:szCs w:val="21"/>
          <w:lang w:val="en-ZA" w:eastAsia="en-ZA"/>
        </w:rPr>
        <w:t>and</w:t>
      </w:r>
      <w:r w:rsidRPr="00BB5C77">
        <w:rPr>
          <w:rFonts w:ascii="Arial" w:eastAsia="Arial" w:hAnsi="Arial" w:cs="Arial"/>
          <w:color w:val="030303"/>
          <w:spacing w:val="18"/>
          <w:sz w:val="21"/>
          <w:szCs w:val="21"/>
          <w:lang w:val="en-ZA" w:eastAsia="en-ZA"/>
        </w:rPr>
        <w:t xml:space="preserve"> </w:t>
      </w:r>
      <w:r w:rsidRPr="00BB5C77">
        <w:rPr>
          <w:rFonts w:ascii="Arial" w:eastAsia="Arial" w:hAnsi="Arial" w:cs="Arial"/>
          <w:color w:val="030303"/>
          <w:w w:val="104"/>
          <w:sz w:val="21"/>
          <w:szCs w:val="21"/>
          <w:lang w:val="en-ZA" w:eastAsia="en-ZA"/>
        </w:rPr>
        <w:t xml:space="preserve">the </w:t>
      </w:r>
      <w:r w:rsidRPr="00BB5C77">
        <w:rPr>
          <w:rFonts w:ascii="Arial" w:eastAsia="Arial" w:hAnsi="Arial" w:cs="Arial"/>
          <w:color w:val="030303"/>
          <w:sz w:val="21"/>
          <w:szCs w:val="21"/>
          <w:lang w:val="en-ZA" w:eastAsia="en-ZA"/>
        </w:rPr>
        <w:t xml:space="preserve">requirements </w:t>
      </w:r>
      <w:r w:rsidRPr="00BB5C77">
        <w:rPr>
          <w:rFonts w:ascii="Arial" w:eastAsia="Arial" w:hAnsi="Arial" w:cs="Arial"/>
          <w:color w:val="030303"/>
          <w:spacing w:val="1"/>
          <w:sz w:val="21"/>
          <w:szCs w:val="21"/>
          <w:lang w:val="en-ZA" w:eastAsia="en-ZA"/>
        </w:rPr>
        <w:t>of</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7"/>
          <w:sz w:val="21"/>
          <w:szCs w:val="21"/>
          <w:lang w:val="en-ZA" w:eastAsia="en-ZA"/>
        </w:rPr>
        <w:t xml:space="preserve"> </w:t>
      </w:r>
      <w:r w:rsidRPr="00BB5C77">
        <w:rPr>
          <w:rFonts w:ascii="Arial" w:eastAsia="Arial" w:hAnsi="Arial" w:cs="Arial"/>
          <w:color w:val="030303"/>
          <w:w w:val="104"/>
          <w:sz w:val="21"/>
          <w:szCs w:val="21"/>
          <w:lang w:val="en-ZA" w:eastAsia="en-ZA"/>
        </w:rPr>
        <w:t>MFM</w:t>
      </w:r>
      <w:r w:rsidRPr="00BB5C77">
        <w:rPr>
          <w:rFonts w:ascii="Arial" w:eastAsia="Arial" w:hAnsi="Arial" w:cs="Arial"/>
          <w:color w:val="030303"/>
          <w:spacing w:val="-9"/>
          <w:w w:val="104"/>
          <w:sz w:val="21"/>
          <w:szCs w:val="21"/>
          <w:lang w:val="en-ZA" w:eastAsia="en-ZA"/>
        </w:rPr>
        <w:t>A</w:t>
      </w:r>
      <w:r w:rsidRPr="00BB5C77">
        <w:rPr>
          <w:rFonts w:ascii="Arial" w:eastAsia="Arial" w:hAnsi="Arial" w:cs="Arial"/>
          <w:color w:val="1D1D1D"/>
          <w:w w:val="159"/>
          <w:sz w:val="21"/>
          <w:szCs w:val="21"/>
          <w:lang w:val="en-ZA" w:eastAsia="en-ZA"/>
        </w:rPr>
        <w:t>,</w:t>
      </w:r>
      <w:r w:rsidRPr="00BB5C77">
        <w:rPr>
          <w:rFonts w:ascii="Arial" w:eastAsia="Arial" w:hAnsi="Arial" w:cs="Arial"/>
          <w:color w:val="1D1D1D"/>
          <w:spacing w:val="-22"/>
          <w:sz w:val="21"/>
          <w:szCs w:val="21"/>
          <w:lang w:val="en-ZA" w:eastAsia="en-ZA"/>
        </w:rPr>
        <w:t xml:space="preserve"> </w:t>
      </w:r>
      <w:r w:rsidRPr="00BB5C77">
        <w:rPr>
          <w:rFonts w:ascii="Arial" w:eastAsia="Arial" w:hAnsi="Arial" w:cs="Arial"/>
          <w:color w:val="030303"/>
          <w:sz w:val="21"/>
          <w:szCs w:val="21"/>
          <w:lang w:val="en-ZA" w:eastAsia="en-ZA"/>
        </w:rPr>
        <w:t>DoRA</w:t>
      </w:r>
      <w:r w:rsidRPr="00BB5C77">
        <w:rPr>
          <w:rFonts w:ascii="Arial" w:eastAsia="Arial" w:hAnsi="Arial" w:cs="Arial"/>
          <w:color w:val="030303"/>
          <w:spacing w:val="17"/>
          <w:sz w:val="21"/>
          <w:szCs w:val="21"/>
          <w:lang w:val="en-ZA" w:eastAsia="en-ZA"/>
        </w:rPr>
        <w:t xml:space="preserve"> </w:t>
      </w:r>
      <w:r w:rsidRPr="00BB5C77">
        <w:rPr>
          <w:rFonts w:ascii="Arial" w:eastAsia="Arial" w:hAnsi="Arial" w:cs="Arial"/>
          <w:color w:val="030303"/>
          <w:sz w:val="21"/>
          <w:szCs w:val="21"/>
          <w:lang w:val="en-ZA" w:eastAsia="en-ZA"/>
        </w:rPr>
        <w:t>and</w:t>
      </w:r>
      <w:r w:rsidRPr="00BB5C77">
        <w:rPr>
          <w:rFonts w:ascii="Arial" w:eastAsia="Arial" w:hAnsi="Arial" w:cs="Arial"/>
          <w:color w:val="030303"/>
          <w:spacing w:val="11"/>
          <w:sz w:val="21"/>
          <w:szCs w:val="21"/>
          <w:lang w:val="en-ZA" w:eastAsia="en-ZA"/>
        </w:rPr>
        <w:t xml:space="preserve"> </w:t>
      </w:r>
      <w:r w:rsidRPr="00BB5C77">
        <w:rPr>
          <w:rFonts w:ascii="Arial" w:eastAsia="Arial" w:hAnsi="Arial" w:cs="Arial"/>
          <w:color w:val="030303"/>
          <w:sz w:val="21"/>
          <w:szCs w:val="21"/>
          <w:lang w:val="en-ZA" w:eastAsia="en-ZA"/>
        </w:rPr>
        <w:t>for</w:t>
      </w:r>
      <w:r w:rsidRPr="00BB5C77">
        <w:rPr>
          <w:rFonts w:ascii="Arial" w:eastAsia="Arial" w:hAnsi="Arial" w:cs="Arial"/>
          <w:color w:val="030303"/>
          <w:spacing w:val="16"/>
          <w:sz w:val="21"/>
          <w:szCs w:val="21"/>
          <w:lang w:val="en-ZA" w:eastAsia="en-ZA"/>
        </w:rPr>
        <w:t xml:space="preserve"> </w:t>
      </w:r>
      <w:r w:rsidRPr="00BB5C77">
        <w:rPr>
          <w:rFonts w:ascii="Arial" w:eastAsia="Arial" w:hAnsi="Arial" w:cs="Arial"/>
          <w:color w:val="030303"/>
          <w:sz w:val="21"/>
          <w:szCs w:val="21"/>
          <w:lang w:val="en-ZA" w:eastAsia="en-ZA"/>
        </w:rPr>
        <w:t>such</w:t>
      </w:r>
      <w:r w:rsidRPr="00BB5C77">
        <w:rPr>
          <w:rFonts w:ascii="Arial" w:eastAsia="Arial" w:hAnsi="Arial" w:cs="Arial"/>
          <w:color w:val="030303"/>
          <w:spacing w:val="30"/>
          <w:sz w:val="21"/>
          <w:szCs w:val="21"/>
          <w:lang w:val="en-ZA" w:eastAsia="en-ZA"/>
        </w:rPr>
        <w:t xml:space="preserve"> </w:t>
      </w:r>
      <w:r w:rsidRPr="00BB5C77">
        <w:rPr>
          <w:rFonts w:ascii="Arial" w:eastAsia="Arial" w:hAnsi="Arial" w:cs="Arial"/>
          <w:color w:val="030303"/>
          <w:sz w:val="21"/>
          <w:szCs w:val="21"/>
          <w:lang w:val="en-ZA" w:eastAsia="en-ZA"/>
        </w:rPr>
        <w:t>internal</w:t>
      </w:r>
      <w:r w:rsidRPr="00BB5C77">
        <w:rPr>
          <w:rFonts w:ascii="Arial" w:eastAsia="Arial" w:hAnsi="Arial" w:cs="Arial"/>
          <w:color w:val="030303"/>
          <w:spacing w:val="9"/>
          <w:sz w:val="21"/>
          <w:szCs w:val="21"/>
          <w:lang w:val="en-ZA" w:eastAsia="en-ZA"/>
        </w:rPr>
        <w:t xml:space="preserve"> </w:t>
      </w:r>
      <w:r w:rsidRPr="00BB5C77">
        <w:rPr>
          <w:rFonts w:ascii="Arial" w:eastAsia="Arial" w:hAnsi="Arial" w:cs="Arial"/>
          <w:color w:val="030303"/>
          <w:sz w:val="21"/>
          <w:szCs w:val="21"/>
          <w:lang w:val="en-ZA" w:eastAsia="en-ZA"/>
        </w:rPr>
        <w:t>contro</w:t>
      </w:r>
      <w:r w:rsidRPr="00BB5C77">
        <w:rPr>
          <w:rFonts w:ascii="Arial" w:eastAsia="Arial" w:hAnsi="Arial" w:cs="Arial"/>
          <w:color w:val="030303"/>
          <w:spacing w:val="-2"/>
          <w:sz w:val="21"/>
          <w:szCs w:val="21"/>
          <w:lang w:val="en-ZA" w:eastAsia="en-ZA"/>
        </w:rPr>
        <w:t xml:space="preserve">l </w:t>
      </w:r>
      <w:r w:rsidRPr="00BB5C77">
        <w:rPr>
          <w:rFonts w:ascii="Arial" w:eastAsia="Arial" w:hAnsi="Arial" w:cs="Arial"/>
          <w:color w:val="030303"/>
          <w:sz w:val="21"/>
          <w:szCs w:val="21"/>
          <w:lang w:val="en-ZA" w:eastAsia="en-ZA"/>
        </w:rPr>
        <w:t>as</w:t>
      </w:r>
      <w:r w:rsidRPr="00BB5C77">
        <w:rPr>
          <w:rFonts w:ascii="Arial" w:eastAsia="Arial" w:hAnsi="Arial" w:cs="Arial"/>
          <w:color w:val="030303"/>
          <w:spacing w:val="42"/>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accounting</w:t>
      </w:r>
      <w:r w:rsidRPr="00BB5C77">
        <w:rPr>
          <w:rFonts w:ascii="Arial" w:eastAsia="Arial" w:hAnsi="Arial" w:cs="Arial"/>
          <w:color w:val="030303"/>
          <w:spacing w:val="40"/>
          <w:sz w:val="21"/>
          <w:szCs w:val="21"/>
          <w:lang w:val="en-ZA" w:eastAsia="en-ZA"/>
        </w:rPr>
        <w:t xml:space="preserve"> </w:t>
      </w:r>
      <w:r w:rsidRPr="00BB5C77">
        <w:rPr>
          <w:rFonts w:ascii="Arial" w:eastAsia="Arial" w:hAnsi="Arial" w:cs="Arial"/>
          <w:color w:val="030303"/>
          <w:w w:val="105"/>
          <w:sz w:val="21"/>
          <w:szCs w:val="21"/>
          <w:lang w:val="en-ZA" w:eastAsia="en-ZA"/>
        </w:rPr>
        <w:t xml:space="preserve">officer </w:t>
      </w:r>
      <w:r w:rsidRPr="00BB5C77">
        <w:rPr>
          <w:rFonts w:ascii="Arial" w:eastAsia="Arial" w:hAnsi="Arial" w:cs="Arial"/>
          <w:color w:val="030303"/>
          <w:sz w:val="21"/>
          <w:szCs w:val="21"/>
          <w:lang w:val="en-ZA" w:eastAsia="en-ZA"/>
        </w:rPr>
        <w:t>determines</w:t>
      </w:r>
      <w:r w:rsidRPr="00BB5C77">
        <w:rPr>
          <w:rFonts w:ascii="Arial" w:eastAsia="Arial" w:hAnsi="Arial" w:cs="Arial"/>
          <w:color w:val="030303"/>
          <w:spacing w:val="39"/>
          <w:sz w:val="21"/>
          <w:szCs w:val="21"/>
          <w:lang w:val="en-ZA" w:eastAsia="en-ZA"/>
        </w:rPr>
        <w:t xml:space="preserve"> </w:t>
      </w:r>
      <w:r w:rsidRPr="00BB5C77">
        <w:rPr>
          <w:rFonts w:ascii="Arial" w:eastAsia="Arial" w:hAnsi="Arial" w:cs="Arial"/>
          <w:color w:val="1D1D1D"/>
          <w:spacing w:val="-10"/>
          <w:w w:val="155"/>
          <w:sz w:val="21"/>
          <w:szCs w:val="21"/>
          <w:lang w:val="en-ZA" w:eastAsia="en-ZA"/>
        </w:rPr>
        <w:t>i</w:t>
      </w:r>
      <w:r w:rsidRPr="00BB5C77">
        <w:rPr>
          <w:rFonts w:ascii="Arial" w:eastAsia="Arial" w:hAnsi="Arial" w:cs="Arial"/>
          <w:color w:val="030303"/>
          <w:w w:val="103"/>
          <w:sz w:val="21"/>
          <w:szCs w:val="21"/>
          <w:lang w:val="en-ZA" w:eastAsia="en-ZA"/>
        </w:rPr>
        <w:t>s</w:t>
      </w:r>
      <w:r w:rsidRPr="00BB5C77">
        <w:rPr>
          <w:rFonts w:ascii="Arial" w:eastAsia="Arial" w:hAnsi="Arial" w:cs="Arial"/>
          <w:color w:val="030303"/>
          <w:spacing w:val="-3"/>
          <w:sz w:val="21"/>
          <w:szCs w:val="21"/>
          <w:lang w:val="en-ZA" w:eastAsia="en-ZA"/>
        </w:rPr>
        <w:t xml:space="preserve"> </w:t>
      </w:r>
      <w:r w:rsidRPr="00BB5C77">
        <w:rPr>
          <w:rFonts w:ascii="Arial" w:eastAsia="Arial" w:hAnsi="Arial" w:cs="Arial"/>
          <w:color w:val="030303"/>
          <w:sz w:val="21"/>
          <w:szCs w:val="21"/>
          <w:lang w:val="en-ZA" w:eastAsia="en-ZA"/>
        </w:rPr>
        <w:t>necessary</w:t>
      </w:r>
      <w:r w:rsidRPr="00BB5C77">
        <w:rPr>
          <w:rFonts w:ascii="Arial" w:eastAsia="Arial" w:hAnsi="Arial" w:cs="Arial"/>
          <w:color w:val="030303"/>
          <w:spacing w:val="32"/>
          <w:sz w:val="21"/>
          <w:szCs w:val="21"/>
          <w:lang w:val="en-ZA" w:eastAsia="en-ZA"/>
        </w:rPr>
        <w:t xml:space="preserve"> </w:t>
      </w:r>
      <w:r w:rsidRPr="00BB5C77">
        <w:rPr>
          <w:rFonts w:ascii="Arial" w:eastAsia="Arial" w:hAnsi="Arial" w:cs="Arial"/>
          <w:color w:val="030303"/>
          <w:sz w:val="21"/>
          <w:szCs w:val="21"/>
          <w:lang w:val="en-ZA" w:eastAsia="en-ZA"/>
        </w:rPr>
        <w:t>to</w:t>
      </w:r>
      <w:r w:rsidRPr="00BB5C77">
        <w:rPr>
          <w:rFonts w:ascii="Arial" w:eastAsia="Arial" w:hAnsi="Arial" w:cs="Arial"/>
          <w:color w:val="030303"/>
          <w:spacing w:val="18"/>
          <w:sz w:val="21"/>
          <w:szCs w:val="21"/>
          <w:lang w:val="en-ZA" w:eastAsia="en-ZA"/>
        </w:rPr>
        <w:t xml:space="preserve"> </w:t>
      </w:r>
      <w:r w:rsidRPr="00BB5C77">
        <w:rPr>
          <w:rFonts w:ascii="Arial" w:eastAsia="Arial" w:hAnsi="Arial" w:cs="Arial"/>
          <w:color w:val="030303"/>
          <w:sz w:val="21"/>
          <w:szCs w:val="21"/>
          <w:lang w:val="en-ZA" w:eastAsia="en-ZA"/>
        </w:rPr>
        <w:t>enable</w:t>
      </w:r>
      <w:r w:rsidRPr="00BB5C77">
        <w:rPr>
          <w:rFonts w:ascii="Arial" w:eastAsia="Arial" w:hAnsi="Arial" w:cs="Arial"/>
          <w:color w:val="030303"/>
          <w:spacing w:val="31"/>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9"/>
          <w:sz w:val="21"/>
          <w:szCs w:val="21"/>
          <w:lang w:val="en-ZA" w:eastAsia="en-ZA"/>
        </w:rPr>
        <w:t xml:space="preserve"> </w:t>
      </w:r>
      <w:r w:rsidRPr="00BB5C77">
        <w:rPr>
          <w:rFonts w:ascii="Arial" w:eastAsia="Arial" w:hAnsi="Arial" w:cs="Arial"/>
          <w:color w:val="030303"/>
          <w:sz w:val="21"/>
          <w:szCs w:val="21"/>
          <w:lang w:val="en-ZA" w:eastAsia="en-ZA"/>
        </w:rPr>
        <w:t>preparation</w:t>
      </w:r>
      <w:r w:rsidRPr="00BB5C77">
        <w:rPr>
          <w:rFonts w:ascii="Arial" w:eastAsia="Arial" w:hAnsi="Arial" w:cs="Arial"/>
          <w:color w:val="030303"/>
          <w:spacing w:val="47"/>
          <w:sz w:val="21"/>
          <w:szCs w:val="21"/>
          <w:lang w:val="en-ZA" w:eastAsia="en-ZA"/>
        </w:rPr>
        <w:t xml:space="preserve"> </w:t>
      </w:r>
      <w:r w:rsidRPr="00BB5C77">
        <w:rPr>
          <w:rFonts w:ascii="Arial" w:eastAsia="Arial" w:hAnsi="Arial" w:cs="Arial"/>
          <w:color w:val="030303"/>
          <w:sz w:val="21"/>
          <w:szCs w:val="21"/>
          <w:lang w:val="en-ZA" w:eastAsia="en-ZA"/>
        </w:rPr>
        <w:t>of</w:t>
      </w:r>
      <w:r w:rsidRPr="00BB5C77">
        <w:rPr>
          <w:rFonts w:ascii="Arial" w:eastAsia="Arial" w:hAnsi="Arial" w:cs="Arial"/>
          <w:color w:val="030303"/>
          <w:spacing w:val="1"/>
          <w:sz w:val="21"/>
          <w:szCs w:val="21"/>
          <w:lang w:val="en-ZA" w:eastAsia="en-ZA"/>
        </w:rPr>
        <w:t xml:space="preserve"> </w:t>
      </w:r>
      <w:r w:rsidRPr="00BB5C77">
        <w:rPr>
          <w:rFonts w:ascii="Arial" w:eastAsia="Arial" w:hAnsi="Arial" w:cs="Arial"/>
          <w:color w:val="030303"/>
          <w:sz w:val="21"/>
          <w:szCs w:val="21"/>
          <w:lang w:val="en-ZA" w:eastAsia="en-ZA"/>
        </w:rPr>
        <w:t>financial</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statements</w:t>
      </w:r>
      <w:r w:rsidRPr="00BB5C77">
        <w:rPr>
          <w:rFonts w:ascii="Arial" w:eastAsia="Arial" w:hAnsi="Arial" w:cs="Arial"/>
          <w:color w:val="030303"/>
          <w:spacing w:val="33"/>
          <w:sz w:val="21"/>
          <w:szCs w:val="21"/>
          <w:lang w:val="en-ZA" w:eastAsia="en-ZA"/>
        </w:rPr>
        <w:t xml:space="preserve"> </w:t>
      </w:r>
      <w:r w:rsidRPr="00BB5C77">
        <w:rPr>
          <w:rFonts w:ascii="Arial" w:eastAsia="Arial" w:hAnsi="Arial" w:cs="Arial"/>
          <w:color w:val="030303"/>
          <w:sz w:val="21"/>
          <w:szCs w:val="21"/>
          <w:lang w:val="en-ZA" w:eastAsia="en-ZA"/>
        </w:rPr>
        <w:t>that</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are</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w w:val="107"/>
          <w:sz w:val="21"/>
          <w:szCs w:val="21"/>
          <w:lang w:val="en-ZA" w:eastAsia="en-ZA"/>
        </w:rPr>
        <w:t xml:space="preserve">free </w:t>
      </w:r>
      <w:r w:rsidRPr="00BB5C77">
        <w:rPr>
          <w:rFonts w:ascii="Arial" w:eastAsia="Arial" w:hAnsi="Arial" w:cs="Arial"/>
          <w:color w:val="030303"/>
          <w:sz w:val="21"/>
          <w:szCs w:val="21"/>
          <w:lang w:val="en-ZA" w:eastAsia="en-ZA"/>
        </w:rPr>
        <w:t>from</w:t>
      </w:r>
      <w:r w:rsidRPr="00BB5C77">
        <w:rPr>
          <w:rFonts w:ascii="Arial" w:eastAsia="Arial" w:hAnsi="Arial" w:cs="Arial"/>
          <w:color w:val="030303"/>
          <w:spacing w:val="12"/>
          <w:sz w:val="21"/>
          <w:szCs w:val="21"/>
          <w:lang w:val="en-ZA" w:eastAsia="en-ZA"/>
        </w:rPr>
        <w:t xml:space="preserve"> </w:t>
      </w:r>
      <w:r w:rsidRPr="00BB5C77">
        <w:rPr>
          <w:rFonts w:ascii="Arial" w:eastAsia="Arial" w:hAnsi="Arial" w:cs="Arial"/>
          <w:color w:val="030303"/>
          <w:w w:val="105"/>
          <w:sz w:val="21"/>
          <w:szCs w:val="21"/>
          <w:lang w:val="en-ZA" w:eastAsia="en-ZA"/>
        </w:rPr>
        <w:t>mate</w:t>
      </w:r>
      <w:r w:rsidRPr="00BB5C77">
        <w:rPr>
          <w:rFonts w:ascii="Arial" w:eastAsia="Arial" w:hAnsi="Arial" w:cs="Arial"/>
          <w:color w:val="030303"/>
          <w:spacing w:val="-13"/>
          <w:w w:val="106"/>
          <w:sz w:val="21"/>
          <w:szCs w:val="21"/>
          <w:lang w:val="en-ZA" w:eastAsia="en-ZA"/>
        </w:rPr>
        <w:t>r</w:t>
      </w:r>
      <w:r w:rsidRPr="00BB5C77">
        <w:rPr>
          <w:rFonts w:ascii="Arial" w:eastAsia="Arial" w:hAnsi="Arial" w:cs="Arial"/>
          <w:color w:val="1D1D1D"/>
          <w:spacing w:val="-3"/>
          <w:w w:val="193"/>
          <w:sz w:val="21"/>
          <w:szCs w:val="21"/>
          <w:lang w:val="en-ZA" w:eastAsia="en-ZA"/>
        </w:rPr>
        <w:t>i</w:t>
      </w:r>
      <w:r w:rsidRPr="00BB5C77">
        <w:rPr>
          <w:rFonts w:ascii="Arial" w:eastAsia="Arial" w:hAnsi="Arial" w:cs="Arial"/>
          <w:color w:val="030303"/>
          <w:w w:val="111"/>
          <w:sz w:val="21"/>
          <w:szCs w:val="21"/>
          <w:lang w:val="en-ZA" w:eastAsia="en-ZA"/>
        </w:rPr>
        <w:t>al</w:t>
      </w:r>
      <w:r w:rsidRPr="00BB5C77">
        <w:rPr>
          <w:rFonts w:ascii="Arial" w:eastAsia="Arial" w:hAnsi="Arial" w:cs="Arial"/>
          <w:color w:val="030303"/>
          <w:spacing w:val="-24"/>
          <w:sz w:val="21"/>
          <w:szCs w:val="21"/>
          <w:lang w:val="en-ZA" w:eastAsia="en-ZA"/>
        </w:rPr>
        <w:t xml:space="preserve"> </w:t>
      </w:r>
      <w:r w:rsidRPr="00BB5C77">
        <w:rPr>
          <w:rFonts w:ascii="Arial" w:eastAsia="Arial" w:hAnsi="Arial" w:cs="Arial"/>
          <w:color w:val="030303"/>
          <w:w w:val="104"/>
          <w:sz w:val="21"/>
          <w:szCs w:val="21"/>
          <w:lang w:val="en-ZA" w:eastAsia="en-ZA"/>
        </w:rPr>
        <w:t>misstatemen</w:t>
      </w:r>
      <w:r w:rsidRPr="00BB5C77">
        <w:rPr>
          <w:rFonts w:ascii="Arial" w:eastAsia="Arial" w:hAnsi="Arial" w:cs="Arial"/>
          <w:color w:val="030303"/>
          <w:spacing w:val="-13"/>
          <w:w w:val="104"/>
          <w:sz w:val="21"/>
          <w:szCs w:val="21"/>
          <w:lang w:val="en-ZA" w:eastAsia="en-ZA"/>
        </w:rPr>
        <w:t>t</w:t>
      </w:r>
      <w:r w:rsidRPr="00BB5C77">
        <w:rPr>
          <w:rFonts w:ascii="Arial" w:eastAsia="Arial" w:hAnsi="Arial" w:cs="Arial"/>
          <w:color w:val="1D1D1D"/>
          <w:w w:val="159"/>
          <w:sz w:val="21"/>
          <w:szCs w:val="21"/>
          <w:lang w:val="en-ZA" w:eastAsia="en-ZA"/>
        </w:rPr>
        <w:t>,</w:t>
      </w:r>
      <w:r w:rsidRPr="00BB5C77">
        <w:rPr>
          <w:rFonts w:ascii="Arial" w:eastAsia="Arial" w:hAnsi="Arial" w:cs="Arial"/>
          <w:color w:val="1D1D1D"/>
          <w:spacing w:val="-27"/>
          <w:sz w:val="21"/>
          <w:szCs w:val="21"/>
          <w:lang w:val="en-ZA" w:eastAsia="en-ZA"/>
        </w:rPr>
        <w:t xml:space="preserve"> </w:t>
      </w:r>
      <w:r w:rsidRPr="00BB5C77">
        <w:rPr>
          <w:rFonts w:ascii="Arial" w:eastAsia="Arial" w:hAnsi="Arial" w:cs="Arial"/>
          <w:color w:val="030303"/>
          <w:sz w:val="21"/>
          <w:szCs w:val="21"/>
          <w:lang w:val="en-ZA" w:eastAsia="en-ZA"/>
        </w:rPr>
        <w:t>whether</w:t>
      </w:r>
      <w:r w:rsidRPr="00BB5C77">
        <w:rPr>
          <w:rFonts w:ascii="Arial" w:eastAsia="Arial" w:hAnsi="Arial" w:cs="Arial"/>
          <w:color w:val="030303"/>
          <w:spacing w:val="23"/>
          <w:sz w:val="21"/>
          <w:szCs w:val="21"/>
          <w:lang w:val="en-ZA" w:eastAsia="en-ZA"/>
        </w:rPr>
        <w:t xml:space="preserve"> </w:t>
      </w:r>
      <w:r w:rsidRPr="00BB5C77">
        <w:rPr>
          <w:rFonts w:ascii="Arial" w:eastAsia="Arial" w:hAnsi="Arial" w:cs="Arial"/>
          <w:color w:val="030303"/>
          <w:sz w:val="21"/>
          <w:szCs w:val="21"/>
          <w:lang w:val="en-ZA" w:eastAsia="en-ZA"/>
        </w:rPr>
        <w:t>due</w:t>
      </w:r>
      <w:r w:rsidRPr="00BB5C77">
        <w:rPr>
          <w:rFonts w:ascii="Arial" w:eastAsia="Arial" w:hAnsi="Arial" w:cs="Arial"/>
          <w:color w:val="030303"/>
          <w:spacing w:val="22"/>
          <w:sz w:val="21"/>
          <w:szCs w:val="21"/>
          <w:lang w:val="en-ZA" w:eastAsia="en-ZA"/>
        </w:rPr>
        <w:t xml:space="preserve"> </w:t>
      </w:r>
      <w:r w:rsidRPr="00BB5C77">
        <w:rPr>
          <w:rFonts w:ascii="Arial" w:eastAsia="Arial" w:hAnsi="Arial" w:cs="Arial"/>
          <w:color w:val="030303"/>
          <w:sz w:val="21"/>
          <w:szCs w:val="21"/>
          <w:lang w:val="en-ZA" w:eastAsia="en-ZA"/>
        </w:rPr>
        <w:t>to</w:t>
      </w:r>
      <w:r w:rsidRPr="00BB5C77">
        <w:rPr>
          <w:rFonts w:ascii="Arial" w:eastAsia="Arial" w:hAnsi="Arial" w:cs="Arial"/>
          <w:color w:val="030303"/>
          <w:spacing w:val="1"/>
          <w:sz w:val="21"/>
          <w:szCs w:val="21"/>
          <w:lang w:val="en-ZA" w:eastAsia="en-ZA"/>
        </w:rPr>
        <w:t xml:space="preserve"> </w:t>
      </w:r>
      <w:r w:rsidRPr="00BB5C77">
        <w:rPr>
          <w:rFonts w:ascii="Arial" w:eastAsia="Arial" w:hAnsi="Arial" w:cs="Arial"/>
          <w:color w:val="030303"/>
          <w:sz w:val="21"/>
          <w:szCs w:val="21"/>
          <w:lang w:val="en-ZA" w:eastAsia="en-ZA"/>
        </w:rPr>
        <w:t>fraud</w:t>
      </w:r>
      <w:r w:rsidRPr="00BB5C77">
        <w:rPr>
          <w:rFonts w:ascii="Arial" w:eastAsia="Arial" w:hAnsi="Arial" w:cs="Arial"/>
          <w:color w:val="030303"/>
          <w:spacing w:val="21"/>
          <w:sz w:val="21"/>
          <w:szCs w:val="21"/>
          <w:lang w:val="en-ZA" w:eastAsia="en-ZA"/>
        </w:rPr>
        <w:t xml:space="preserve"> </w:t>
      </w:r>
      <w:r w:rsidRPr="00BB5C77">
        <w:rPr>
          <w:rFonts w:ascii="Arial" w:eastAsia="Arial" w:hAnsi="Arial" w:cs="Arial"/>
          <w:color w:val="030303"/>
          <w:sz w:val="21"/>
          <w:szCs w:val="21"/>
          <w:lang w:val="en-ZA" w:eastAsia="en-ZA"/>
        </w:rPr>
        <w:t>or</w:t>
      </w:r>
      <w:r w:rsidRPr="00BB5C77">
        <w:rPr>
          <w:rFonts w:ascii="Arial" w:eastAsia="Arial" w:hAnsi="Arial" w:cs="Arial"/>
          <w:color w:val="030303"/>
          <w:spacing w:val="8"/>
          <w:sz w:val="21"/>
          <w:szCs w:val="21"/>
          <w:lang w:val="en-ZA" w:eastAsia="en-ZA"/>
        </w:rPr>
        <w:t xml:space="preserve"> </w:t>
      </w:r>
      <w:r w:rsidRPr="00BB5C77">
        <w:rPr>
          <w:rFonts w:ascii="Arial" w:eastAsia="Arial" w:hAnsi="Arial" w:cs="Arial"/>
          <w:color w:val="030303"/>
          <w:w w:val="106"/>
          <w:sz w:val="21"/>
          <w:szCs w:val="21"/>
          <w:lang w:val="en-ZA" w:eastAsia="en-ZA"/>
        </w:rPr>
        <w:t>erro</w:t>
      </w:r>
      <w:r w:rsidRPr="00BB5C77">
        <w:rPr>
          <w:rFonts w:ascii="Arial" w:eastAsia="Arial" w:hAnsi="Arial" w:cs="Arial"/>
          <w:color w:val="030303"/>
          <w:spacing w:val="-12"/>
          <w:w w:val="106"/>
          <w:sz w:val="21"/>
          <w:szCs w:val="21"/>
          <w:lang w:val="en-ZA" w:eastAsia="en-ZA"/>
        </w:rPr>
        <w:t>r</w:t>
      </w:r>
      <w:r w:rsidRPr="00BB5C77">
        <w:rPr>
          <w:rFonts w:ascii="Arial" w:eastAsia="Arial" w:hAnsi="Arial" w:cs="Arial"/>
          <w:color w:val="1D1D1D"/>
          <w:w w:val="135"/>
          <w:sz w:val="21"/>
          <w:szCs w:val="21"/>
          <w:lang w:val="en-ZA" w:eastAsia="en-ZA"/>
        </w:rPr>
        <w:t>.</w:t>
      </w:r>
    </w:p>
    <w:p w14:paraId="04EC939A" w14:textId="77777777" w:rsidR="00BB5C77" w:rsidRPr="00BB5C77" w:rsidRDefault="00BB5C77" w:rsidP="00BB5C77">
      <w:pPr>
        <w:spacing w:before="2" w:after="0" w:line="240" w:lineRule="exact"/>
        <w:jc w:val="both"/>
        <w:rPr>
          <w:rFonts w:eastAsia="Times New Roman" w:cs="Times New Roman"/>
          <w:sz w:val="24"/>
          <w:szCs w:val="24"/>
          <w:lang w:val="en-ZA" w:eastAsia="en-ZA"/>
        </w:rPr>
      </w:pPr>
    </w:p>
    <w:p w14:paraId="02E726EF" w14:textId="77777777" w:rsidR="00BB5C77" w:rsidRPr="00BB5C77" w:rsidRDefault="00BB5C77" w:rsidP="00BB5C77">
      <w:pPr>
        <w:spacing w:after="0" w:line="249" w:lineRule="auto"/>
        <w:ind w:left="619" w:right="141" w:hanging="343"/>
        <w:jc w:val="both"/>
        <w:rPr>
          <w:rFonts w:ascii="Arial" w:eastAsia="Arial" w:hAnsi="Arial" w:cs="Arial"/>
          <w:sz w:val="21"/>
          <w:szCs w:val="21"/>
          <w:lang w:val="en-ZA" w:eastAsia="en-ZA"/>
        </w:rPr>
      </w:pPr>
      <w:r w:rsidRPr="00BB5C77">
        <w:rPr>
          <w:rFonts w:ascii="Arial" w:eastAsia="Arial" w:hAnsi="Arial" w:cs="Arial"/>
          <w:color w:val="030303"/>
          <w:w w:val="107"/>
          <w:sz w:val="21"/>
          <w:szCs w:val="21"/>
          <w:lang w:val="en-ZA" w:eastAsia="en-ZA"/>
        </w:rPr>
        <w:t>1</w:t>
      </w:r>
      <w:r w:rsidRPr="00BB5C77">
        <w:rPr>
          <w:rFonts w:ascii="Arial" w:eastAsia="Arial" w:hAnsi="Arial" w:cs="Arial"/>
          <w:color w:val="030303"/>
          <w:spacing w:val="-19"/>
          <w:w w:val="107"/>
          <w:sz w:val="21"/>
          <w:szCs w:val="21"/>
          <w:lang w:val="en-ZA" w:eastAsia="en-ZA"/>
        </w:rPr>
        <w:t>2</w:t>
      </w:r>
      <w:r w:rsidRPr="00BB5C77">
        <w:rPr>
          <w:rFonts w:ascii="Arial" w:eastAsia="Arial" w:hAnsi="Arial" w:cs="Arial"/>
          <w:color w:val="1D1D1D"/>
          <w:spacing w:val="9"/>
          <w:w w:val="203"/>
          <w:sz w:val="21"/>
          <w:szCs w:val="21"/>
          <w:lang w:val="en-ZA" w:eastAsia="en-ZA"/>
        </w:rPr>
        <w:t>.</w:t>
      </w:r>
      <w:r w:rsidRPr="00BB5C77">
        <w:rPr>
          <w:rFonts w:ascii="Arial" w:eastAsia="Arial" w:hAnsi="Arial" w:cs="Arial"/>
          <w:color w:val="030303"/>
          <w:w w:val="110"/>
          <w:sz w:val="21"/>
          <w:szCs w:val="21"/>
          <w:lang w:val="en-ZA" w:eastAsia="en-ZA"/>
        </w:rPr>
        <w:t>I</w:t>
      </w:r>
      <w:r w:rsidRPr="00BB5C77">
        <w:rPr>
          <w:rFonts w:ascii="Arial" w:eastAsia="Arial" w:hAnsi="Arial" w:cs="Arial"/>
          <w:color w:val="030303"/>
          <w:w w:val="111"/>
          <w:sz w:val="21"/>
          <w:szCs w:val="21"/>
          <w:lang w:val="en-ZA" w:eastAsia="en-ZA"/>
        </w:rPr>
        <w:t>n</w:t>
      </w:r>
      <w:r w:rsidRPr="00BB5C77">
        <w:rPr>
          <w:rFonts w:ascii="Arial" w:eastAsia="Arial" w:hAnsi="Arial" w:cs="Arial"/>
          <w:color w:val="030303"/>
          <w:spacing w:val="-23"/>
          <w:sz w:val="21"/>
          <w:szCs w:val="21"/>
          <w:lang w:val="en-ZA" w:eastAsia="en-ZA"/>
        </w:rPr>
        <w:t xml:space="preserve"> </w:t>
      </w:r>
      <w:r w:rsidRPr="00BB5C77">
        <w:rPr>
          <w:rFonts w:ascii="Arial" w:eastAsia="Arial" w:hAnsi="Arial" w:cs="Arial"/>
          <w:color w:val="030303"/>
          <w:sz w:val="21"/>
          <w:szCs w:val="21"/>
          <w:lang w:val="en-ZA" w:eastAsia="en-ZA"/>
        </w:rPr>
        <w:t>preparing</w:t>
      </w:r>
      <w:r w:rsidRPr="00BB5C77">
        <w:rPr>
          <w:rFonts w:ascii="Arial" w:eastAsia="Arial" w:hAnsi="Arial" w:cs="Arial"/>
          <w:color w:val="030303"/>
          <w:spacing w:val="45"/>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5"/>
          <w:sz w:val="21"/>
          <w:szCs w:val="21"/>
          <w:lang w:val="en-ZA" w:eastAsia="en-ZA"/>
        </w:rPr>
        <w:t xml:space="preserve"> </w:t>
      </w:r>
      <w:r w:rsidRPr="00BB5C77">
        <w:rPr>
          <w:rFonts w:ascii="Arial" w:eastAsia="Arial" w:hAnsi="Arial" w:cs="Arial"/>
          <w:color w:val="030303"/>
          <w:sz w:val="21"/>
          <w:szCs w:val="21"/>
          <w:lang w:val="en-ZA" w:eastAsia="en-ZA"/>
        </w:rPr>
        <w:t>financial</w:t>
      </w:r>
      <w:r w:rsidRPr="00BB5C77">
        <w:rPr>
          <w:rFonts w:ascii="Arial" w:eastAsia="Arial" w:hAnsi="Arial" w:cs="Arial"/>
          <w:color w:val="030303"/>
          <w:spacing w:val="15"/>
          <w:sz w:val="21"/>
          <w:szCs w:val="21"/>
          <w:lang w:val="en-ZA" w:eastAsia="en-ZA"/>
        </w:rPr>
        <w:t xml:space="preserve"> </w:t>
      </w:r>
      <w:r w:rsidRPr="00BB5C77">
        <w:rPr>
          <w:rFonts w:ascii="Arial" w:eastAsia="Arial" w:hAnsi="Arial" w:cs="Arial"/>
          <w:color w:val="030303"/>
          <w:w w:val="105"/>
          <w:sz w:val="21"/>
          <w:szCs w:val="21"/>
          <w:lang w:val="en-ZA" w:eastAsia="en-ZA"/>
        </w:rPr>
        <w:t>statement</w:t>
      </w:r>
      <w:r w:rsidRPr="00BB5C77">
        <w:rPr>
          <w:rFonts w:ascii="Arial" w:eastAsia="Arial" w:hAnsi="Arial" w:cs="Arial"/>
          <w:color w:val="030303"/>
          <w:spacing w:val="-6"/>
          <w:w w:val="105"/>
          <w:sz w:val="21"/>
          <w:szCs w:val="21"/>
          <w:lang w:val="en-ZA" w:eastAsia="en-ZA"/>
        </w:rPr>
        <w:t>s</w:t>
      </w:r>
      <w:r w:rsidRPr="00BB5C77">
        <w:rPr>
          <w:rFonts w:ascii="Arial" w:eastAsia="Arial" w:hAnsi="Arial" w:cs="Arial"/>
          <w:color w:val="1D1D1D"/>
          <w:w w:val="105"/>
          <w:sz w:val="21"/>
          <w:szCs w:val="21"/>
          <w:lang w:val="en-ZA" w:eastAsia="en-ZA"/>
        </w:rPr>
        <w:t>,</w:t>
      </w:r>
      <w:r w:rsidRPr="00BB5C77">
        <w:rPr>
          <w:rFonts w:ascii="Arial" w:eastAsia="Arial" w:hAnsi="Arial" w:cs="Arial"/>
          <w:color w:val="1D1D1D"/>
          <w:spacing w:val="-18"/>
          <w:w w:val="105"/>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accounting</w:t>
      </w:r>
      <w:r w:rsidRPr="00BB5C77">
        <w:rPr>
          <w:rFonts w:ascii="Arial" w:eastAsia="Arial" w:hAnsi="Arial" w:cs="Arial"/>
          <w:color w:val="030303"/>
          <w:spacing w:val="40"/>
          <w:sz w:val="21"/>
          <w:szCs w:val="21"/>
          <w:lang w:val="en-ZA" w:eastAsia="en-ZA"/>
        </w:rPr>
        <w:t xml:space="preserve"> </w:t>
      </w:r>
      <w:r w:rsidRPr="00BB5C77">
        <w:rPr>
          <w:rFonts w:ascii="Arial" w:eastAsia="Arial" w:hAnsi="Arial" w:cs="Arial"/>
          <w:color w:val="030303"/>
          <w:sz w:val="21"/>
          <w:szCs w:val="21"/>
          <w:lang w:val="en-ZA" w:eastAsia="en-ZA"/>
        </w:rPr>
        <w:t>officer</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is</w:t>
      </w:r>
      <w:r w:rsidRPr="00BB5C77">
        <w:rPr>
          <w:rFonts w:ascii="Arial" w:eastAsia="Arial" w:hAnsi="Arial" w:cs="Arial"/>
          <w:color w:val="030303"/>
          <w:spacing w:val="5"/>
          <w:sz w:val="21"/>
          <w:szCs w:val="21"/>
          <w:lang w:val="en-ZA" w:eastAsia="en-ZA"/>
        </w:rPr>
        <w:t xml:space="preserve"> </w:t>
      </w:r>
      <w:r w:rsidRPr="00BB5C77">
        <w:rPr>
          <w:rFonts w:ascii="Arial" w:eastAsia="Arial" w:hAnsi="Arial" w:cs="Arial"/>
          <w:color w:val="030303"/>
          <w:sz w:val="21"/>
          <w:szCs w:val="21"/>
          <w:lang w:val="en-ZA" w:eastAsia="en-ZA"/>
        </w:rPr>
        <w:t>responsible</w:t>
      </w:r>
      <w:r w:rsidRPr="00BB5C77">
        <w:rPr>
          <w:rFonts w:ascii="Arial" w:eastAsia="Arial" w:hAnsi="Arial" w:cs="Arial"/>
          <w:color w:val="030303"/>
          <w:spacing w:val="54"/>
          <w:sz w:val="21"/>
          <w:szCs w:val="21"/>
          <w:lang w:val="en-ZA" w:eastAsia="en-ZA"/>
        </w:rPr>
        <w:t xml:space="preserve"> </w:t>
      </w:r>
      <w:r w:rsidRPr="00BB5C77">
        <w:rPr>
          <w:rFonts w:ascii="Arial" w:eastAsia="Arial" w:hAnsi="Arial" w:cs="Arial"/>
          <w:color w:val="030303"/>
          <w:sz w:val="21"/>
          <w:szCs w:val="21"/>
          <w:lang w:val="en-ZA" w:eastAsia="en-ZA"/>
        </w:rPr>
        <w:t>for</w:t>
      </w:r>
      <w:r w:rsidRPr="00BB5C77">
        <w:rPr>
          <w:rFonts w:ascii="Arial" w:eastAsia="Arial" w:hAnsi="Arial" w:cs="Arial"/>
          <w:color w:val="030303"/>
          <w:spacing w:val="12"/>
          <w:sz w:val="21"/>
          <w:szCs w:val="21"/>
          <w:lang w:val="en-ZA" w:eastAsia="en-ZA"/>
        </w:rPr>
        <w:t xml:space="preserve"> </w:t>
      </w:r>
      <w:r w:rsidRPr="00BB5C77">
        <w:rPr>
          <w:rFonts w:ascii="Arial" w:eastAsia="Arial" w:hAnsi="Arial" w:cs="Arial"/>
          <w:color w:val="030303"/>
          <w:w w:val="105"/>
          <w:sz w:val="21"/>
          <w:szCs w:val="21"/>
          <w:lang w:val="en-ZA" w:eastAsia="en-ZA"/>
        </w:rPr>
        <w:t xml:space="preserve">assessing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9"/>
          <w:sz w:val="21"/>
          <w:szCs w:val="21"/>
          <w:lang w:val="en-ZA" w:eastAsia="en-ZA"/>
        </w:rPr>
        <w:t xml:space="preserve"> </w:t>
      </w:r>
      <w:r w:rsidRPr="00BB5C77">
        <w:rPr>
          <w:rFonts w:ascii="Arial" w:eastAsia="Arial" w:hAnsi="Arial" w:cs="Arial"/>
          <w:color w:val="030303"/>
          <w:sz w:val="21"/>
          <w:szCs w:val="21"/>
          <w:lang w:val="en-ZA" w:eastAsia="en-ZA"/>
        </w:rPr>
        <w:t>municipality's</w:t>
      </w:r>
      <w:r w:rsidRPr="00BB5C77">
        <w:rPr>
          <w:rFonts w:ascii="Arial" w:eastAsia="Arial" w:hAnsi="Arial" w:cs="Arial"/>
          <w:color w:val="030303"/>
          <w:spacing w:val="55"/>
          <w:sz w:val="21"/>
          <w:szCs w:val="21"/>
          <w:lang w:val="en-ZA" w:eastAsia="en-ZA"/>
        </w:rPr>
        <w:t xml:space="preserve"> </w:t>
      </w:r>
      <w:r w:rsidRPr="00BB5C77">
        <w:rPr>
          <w:rFonts w:ascii="Arial" w:eastAsia="Arial" w:hAnsi="Arial" w:cs="Arial"/>
          <w:color w:val="030303"/>
          <w:sz w:val="21"/>
          <w:szCs w:val="21"/>
          <w:lang w:val="en-ZA" w:eastAsia="en-ZA"/>
        </w:rPr>
        <w:t>ability</w:t>
      </w:r>
      <w:r w:rsidRPr="00BB5C77">
        <w:rPr>
          <w:rFonts w:ascii="Arial" w:eastAsia="Arial" w:hAnsi="Arial" w:cs="Arial"/>
          <w:color w:val="030303"/>
          <w:spacing w:val="20"/>
          <w:sz w:val="21"/>
          <w:szCs w:val="21"/>
          <w:lang w:val="en-ZA" w:eastAsia="en-ZA"/>
        </w:rPr>
        <w:t xml:space="preserve"> </w:t>
      </w:r>
      <w:r w:rsidRPr="00BB5C77">
        <w:rPr>
          <w:rFonts w:ascii="Arial" w:eastAsia="Arial" w:hAnsi="Arial" w:cs="Arial"/>
          <w:color w:val="030303"/>
          <w:sz w:val="21"/>
          <w:szCs w:val="21"/>
          <w:lang w:val="en-ZA" w:eastAsia="en-ZA"/>
        </w:rPr>
        <w:t>to</w:t>
      </w:r>
      <w:r w:rsidRPr="00BB5C77">
        <w:rPr>
          <w:rFonts w:ascii="Arial" w:eastAsia="Arial" w:hAnsi="Arial" w:cs="Arial"/>
          <w:color w:val="030303"/>
          <w:spacing w:val="18"/>
          <w:sz w:val="21"/>
          <w:szCs w:val="21"/>
          <w:lang w:val="en-ZA" w:eastAsia="en-ZA"/>
        </w:rPr>
        <w:t xml:space="preserve"> </w:t>
      </w:r>
      <w:r w:rsidRPr="00BB5C77">
        <w:rPr>
          <w:rFonts w:ascii="Arial" w:eastAsia="Arial" w:hAnsi="Arial" w:cs="Arial"/>
          <w:color w:val="030303"/>
          <w:sz w:val="21"/>
          <w:szCs w:val="21"/>
          <w:lang w:val="en-ZA" w:eastAsia="en-ZA"/>
        </w:rPr>
        <w:t>continue</w:t>
      </w:r>
      <w:r w:rsidRPr="00BB5C77">
        <w:rPr>
          <w:rFonts w:ascii="Arial" w:eastAsia="Arial" w:hAnsi="Arial" w:cs="Arial"/>
          <w:color w:val="030303"/>
          <w:spacing w:val="27"/>
          <w:sz w:val="21"/>
          <w:szCs w:val="21"/>
          <w:lang w:val="en-ZA" w:eastAsia="en-ZA"/>
        </w:rPr>
        <w:t xml:space="preserve"> </w:t>
      </w:r>
      <w:r w:rsidRPr="00BB5C77">
        <w:rPr>
          <w:rFonts w:ascii="Arial" w:eastAsia="Arial" w:hAnsi="Arial" w:cs="Arial"/>
          <w:color w:val="030303"/>
          <w:sz w:val="21"/>
          <w:szCs w:val="21"/>
          <w:lang w:val="en-ZA" w:eastAsia="en-ZA"/>
        </w:rPr>
        <w:t>as</w:t>
      </w:r>
      <w:r w:rsidRPr="00BB5C77">
        <w:rPr>
          <w:rFonts w:ascii="Arial" w:eastAsia="Arial" w:hAnsi="Arial" w:cs="Arial"/>
          <w:color w:val="030303"/>
          <w:spacing w:val="5"/>
          <w:sz w:val="21"/>
          <w:szCs w:val="21"/>
          <w:lang w:val="en-ZA" w:eastAsia="en-ZA"/>
        </w:rPr>
        <w:t xml:space="preserve"> </w:t>
      </w:r>
      <w:r w:rsidRPr="00BB5C77">
        <w:rPr>
          <w:rFonts w:ascii="Arial" w:eastAsia="Arial" w:hAnsi="Arial" w:cs="Arial"/>
          <w:color w:val="030303"/>
          <w:sz w:val="21"/>
          <w:szCs w:val="21"/>
          <w:lang w:val="en-ZA" w:eastAsia="en-ZA"/>
        </w:rPr>
        <w:t>a</w:t>
      </w:r>
      <w:r w:rsidRPr="00BB5C77">
        <w:rPr>
          <w:rFonts w:ascii="Arial" w:eastAsia="Arial" w:hAnsi="Arial" w:cs="Arial"/>
          <w:color w:val="030303"/>
          <w:spacing w:val="11"/>
          <w:sz w:val="21"/>
          <w:szCs w:val="21"/>
          <w:lang w:val="en-ZA" w:eastAsia="en-ZA"/>
        </w:rPr>
        <w:t xml:space="preserve"> </w:t>
      </w:r>
      <w:r w:rsidRPr="00BB5C77">
        <w:rPr>
          <w:rFonts w:ascii="Arial" w:eastAsia="Arial" w:hAnsi="Arial" w:cs="Arial"/>
          <w:color w:val="030303"/>
          <w:sz w:val="21"/>
          <w:szCs w:val="21"/>
          <w:lang w:val="en-ZA" w:eastAsia="en-ZA"/>
        </w:rPr>
        <w:t>going</w:t>
      </w:r>
      <w:r w:rsidRPr="00BB5C77">
        <w:rPr>
          <w:rFonts w:ascii="Arial" w:eastAsia="Arial" w:hAnsi="Arial" w:cs="Arial"/>
          <w:color w:val="030303"/>
          <w:spacing w:val="23"/>
          <w:sz w:val="21"/>
          <w:szCs w:val="21"/>
          <w:lang w:val="en-ZA" w:eastAsia="en-ZA"/>
        </w:rPr>
        <w:t xml:space="preserve"> </w:t>
      </w:r>
      <w:r w:rsidRPr="00BB5C77">
        <w:rPr>
          <w:rFonts w:ascii="Arial" w:eastAsia="Arial" w:hAnsi="Arial" w:cs="Arial"/>
          <w:color w:val="030303"/>
          <w:sz w:val="21"/>
          <w:szCs w:val="21"/>
          <w:lang w:val="en-ZA" w:eastAsia="en-ZA"/>
        </w:rPr>
        <w:t>concern,</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w w:val="105"/>
          <w:sz w:val="21"/>
          <w:szCs w:val="21"/>
          <w:lang w:val="en-ZA" w:eastAsia="en-ZA"/>
        </w:rPr>
        <w:t>disclosin</w:t>
      </w:r>
      <w:r w:rsidRPr="00BB5C77">
        <w:rPr>
          <w:rFonts w:ascii="Arial" w:eastAsia="Arial" w:hAnsi="Arial" w:cs="Arial"/>
          <w:color w:val="030303"/>
          <w:spacing w:val="-20"/>
          <w:w w:val="105"/>
          <w:sz w:val="21"/>
          <w:szCs w:val="21"/>
          <w:lang w:val="en-ZA" w:eastAsia="en-ZA"/>
        </w:rPr>
        <w:t>g</w:t>
      </w:r>
      <w:r w:rsidRPr="00BB5C77">
        <w:rPr>
          <w:rFonts w:ascii="Arial" w:eastAsia="Arial" w:hAnsi="Arial" w:cs="Arial"/>
          <w:color w:val="1D1D1D"/>
          <w:w w:val="159"/>
          <w:sz w:val="21"/>
          <w:szCs w:val="21"/>
          <w:lang w:val="en-ZA" w:eastAsia="en-ZA"/>
        </w:rPr>
        <w:t>,</w:t>
      </w:r>
      <w:r w:rsidRPr="00BB5C77">
        <w:rPr>
          <w:rFonts w:ascii="Arial" w:eastAsia="Arial" w:hAnsi="Arial" w:cs="Arial"/>
          <w:color w:val="1D1D1D"/>
          <w:spacing w:val="-27"/>
          <w:sz w:val="21"/>
          <w:szCs w:val="21"/>
          <w:lang w:val="en-ZA" w:eastAsia="en-ZA"/>
        </w:rPr>
        <w:t xml:space="preserve"> </w:t>
      </w:r>
      <w:r w:rsidRPr="00BB5C77">
        <w:rPr>
          <w:rFonts w:ascii="Arial" w:eastAsia="Arial" w:hAnsi="Arial" w:cs="Arial"/>
          <w:color w:val="030303"/>
          <w:sz w:val="21"/>
          <w:szCs w:val="21"/>
          <w:lang w:val="en-ZA" w:eastAsia="en-ZA"/>
        </w:rPr>
        <w:t>as</w:t>
      </w:r>
      <w:r w:rsidRPr="00BB5C77">
        <w:rPr>
          <w:rFonts w:ascii="Arial" w:eastAsia="Arial" w:hAnsi="Arial" w:cs="Arial"/>
          <w:color w:val="030303"/>
          <w:spacing w:val="20"/>
          <w:sz w:val="21"/>
          <w:szCs w:val="21"/>
          <w:lang w:val="en-ZA" w:eastAsia="en-ZA"/>
        </w:rPr>
        <w:t xml:space="preserve"> </w:t>
      </w:r>
      <w:r w:rsidRPr="00BB5C77">
        <w:rPr>
          <w:rFonts w:ascii="Arial" w:eastAsia="Arial" w:hAnsi="Arial" w:cs="Arial"/>
          <w:color w:val="030303"/>
          <w:w w:val="104"/>
          <w:sz w:val="21"/>
          <w:szCs w:val="21"/>
          <w:lang w:val="en-ZA" w:eastAsia="en-ZA"/>
        </w:rPr>
        <w:t xml:space="preserve">applicable, </w:t>
      </w:r>
      <w:r w:rsidRPr="00BB5C77">
        <w:rPr>
          <w:rFonts w:ascii="Arial" w:eastAsia="Arial" w:hAnsi="Arial" w:cs="Arial"/>
          <w:color w:val="030303"/>
          <w:sz w:val="21"/>
          <w:szCs w:val="21"/>
          <w:lang w:val="en-ZA" w:eastAsia="en-ZA"/>
        </w:rPr>
        <w:t>matters</w:t>
      </w:r>
      <w:r w:rsidRPr="00BB5C77">
        <w:rPr>
          <w:rFonts w:ascii="Arial" w:eastAsia="Arial" w:hAnsi="Arial" w:cs="Arial"/>
          <w:color w:val="030303"/>
          <w:spacing w:val="31"/>
          <w:sz w:val="21"/>
          <w:szCs w:val="21"/>
          <w:lang w:val="en-ZA" w:eastAsia="en-ZA"/>
        </w:rPr>
        <w:t xml:space="preserve"> </w:t>
      </w:r>
      <w:r w:rsidRPr="00BB5C77">
        <w:rPr>
          <w:rFonts w:ascii="Arial" w:eastAsia="Arial" w:hAnsi="Arial" w:cs="Arial"/>
          <w:color w:val="030303"/>
          <w:sz w:val="21"/>
          <w:szCs w:val="21"/>
          <w:lang w:val="en-ZA" w:eastAsia="en-ZA"/>
        </w:rPr>
        <w:t>relating</w:t>
      </w:r>
      <w:r w:rsidRPr="00BB5C77">
        <w:rPr>
          <w:rFonts w:ascii="Arial" w:eastAsia="Arial" w:hAnsi="Arial" w:cs="Arial"/>
          <w:color w:val="030303"/>
          <w:spacing w:val="29"/>
          <w:sz w:val="21"/>
          <w:szCs w:val="21"/>
          <w:lang w:val="en-ZA" w:eastAsia="en-ZA"/>
        </w:rPr>
        <w:t xml:space="preserve"> </w:t>
      </w:r>
      <w:r w:rsidRPr="00BB5C77">
        <w:rPr>
          <w:rFonts w:ascii="Arial" w:eastAsia="Arial" w:hAnsi="Arial" w:cs="Arial"/>
          <w:color w:val="030303"/>
          <w:sz w:val="21"/>
          <w:szCs w:val="21"/>
          <w:lang w:val="en-ZA" w:eastAsia="en-ZA"/>
        </w:rPr>
        <w:t>to</w:t>
      </w:r>
      <w:r w:rsidRPr="00BB5C77">
        <w:rPr>
          <w:rFonts w:ascii="Arial" w:eastAsia="Arial" w:hAnsi="Arial" w:cs="Arial"/>
          <w:color w:val="030303"/>
          <w:spacing w:val="4"/>
          <w:sz w:val="21"/>
          <w:szCs w:val="21"/>
          <w:lang w:val="en-ZA" w:eastAsia="en-ZA"/>
        </w:rPr>
        <w:t xml:space="preserve"> </w:t>
      </w:r>
      <w:r w:rsidRPr="00BB5C77">
        <w:rPr>
          <w:rFonts w:ascii="Arial" w:eastAsia="Arial" w:hAnsi="Arial" w:cs="Arial"/>
          <w:color w:val="030303"/>
          <w:sz w:val="21"/>
          <w:szCs w:val="21"/>
          <w:lang w:val="en-ZA" w:eastAsia="en-ZA"/>
        </w:rPr>
        <w:t>going</w:t>
      </w:r>
      <w:r w:rsidRPr="00BB5C77">
        <w:rPr>
          <w:rFonts w:ascii="Arial" w:eastAsia="Arial" w:hAnsi="Arial" w:cs="Arial"/>
          <w:color w:val="030303"/>
          <w:spacing w:val="26"/>
          <w:sz w:val="21"/>
          <w:szCs w:val="21"/>
          <w:lang w:val="en-ZA" w:eastAsia="en-ZA"/>
        </w:rPr>
        <w:t xml:space="preserve"> </w:t>
      </w:r>
      <w:r w:rsidRPr="00BB5C77">
        <w:rPr>
          <w:rFonts w:ascii="Arial" w:eastAsia="Arial" w:hAnsi="Arial" w:cs="Arial"/>
          <w:color w:val="030303"/>
          <w:sz w:val="21"/>
          <w:szCs w:val="21"/>
          <w:lang w:val="en-ZA" w:eastAsia="en-ZA"/>
        </w:rPr>
        <w:t>concern</w:t>
      </w:r>
      <w:r w:rsidRPr="00BB5C77">
        <w:rPr>
          <w:rFonts w:ascii="Arial" w:eastAsia="Arial" w:hAnsi="Arial" w:cs="Arial"/>
          <w:color w:val="030303"/>
          <w:spacing w:val="31"/>
          <w:sz w:val="21"/>
          <w:szCs w:val="21"/>
          <w:lang w:val="en-ZA" w:eastAsia="en-ZA"/>
        </w:rPr>
        <w:t xml:space="preserve"> </w:t>
      </w:r>
      <w:r w:rsidRPr="00BB5C77">
        <w:rPr>
          <w:rFonts w:ascii="Arial" w:eastAsia="Arial" w:hAnsi="Arial" w:cs="Arial"/>
          <w:color w:val="030303"/>
          <w:sz w:val="21"/>
          <w:szCs w:val="21"/>
          <w:lang w:val="en-ZA" w:eastAsia="en-ZA"/>
        </w:rPr>
        <w:t>and</w:t>
      </w:r>
      <w:r w:rsidRPr="00BB5C77">
        <w:rPr>
          <w:rFonts w:ascii="Arial" w:eastAsia="Arial" w:hAnsi="Arial" w:cs="Arial"/>
          <w:color w:val="030303"/>
          <w:spacing w:val="15"/>
          <w:sz w:val="21"/>
          <w:szCs w:val="21"/>
          <w:lang w:val="en-ZA" w:eastAsia="en-ZA"/>
        </w:rPr>
        <w:t xml:space="preserve"> </w:t>
      </w:r>
      <w:r w:rsidRPr="00BB5C77">
        <w:rPr>
          <w:rFonts w:ascii="Arial" w:eastAsia="Arial" w:hAnsi="Arial" w:cs="Arial"/>
          <w:color w:val="030303"/>
          <w:sz w:val="21"/>
          <w:szCs w:val="21"/>
          <w:lang w:val="en-ZA" w:eastAsia="en-ZA"/>
        </w:rPr>
        <w:t>using</w:t>
      </w:r>
      <w:r w:rsidRPr="00BB5C77">
        <w:rPr>
          <w:rFonts w:ascii="Arial" w:eastAsia="Arial" w:hAnsi="Arial" w:cs="Arial"/>
          <w:color w:val="030303"/>
          <w:spacing w:val="17"/>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going</w:t>
      </w:r>
      <w:r w:rsidRPr="00BB5C77">
        <w:rPr>
          <w:rFonts w:ascii="Arial" w:eastAsia="Arial" w:hAnsi="Arial" w:cs="Arial"/>
          <w:color w:val="030303"/>
          <w:spacing w:val="23"/>
          <w:sz w:val="21"/>
          <w:szCs w:val="21"/>
          <w:lang w:val="en-ZA" w:eastAsia="en-ZA"/>
        </w:rPr>
        <w:t xml:space="preserve"> </w:t>
      </w:r>
      <w:r w:rsidRPr="00BB5C77">
        <w:rPr>
          <w:rFonts w:ascii="Arial" w:eastAsia="Arial" w:hAnsi="Arial" w:cs="Arial"/>
          <w:color w:val="030303"/>
          <w:sz w:val="21"/>
          <w:szCs w:val="21"/>
          <w:lang w:val="en-ZA" w:eastAsia="en-ZA"/>
        </w:rPr>
        <w:t>concern</w:t>
      </w:r>
      <w:r w:rsidRPr="00BB5C77">
        <w:rPr>
          <w:rFonts w:ascii="Arial" w:eastAsia="Arial" w:hAnsi="Arial" w:cs="Arial"/>
          <w:color w:val="030303"/>
          <w:spacing w:val="23"/>
          <w:sz w:val="21"/>
          <w:szCs w:val="21"/>
          <w:lang w:val="en-ZA" w:eastAsia="en-ZA"/>
        </w:rPr>
        <w:t xml:space="preserve"> </w:t>
      </w:r>
      <w:r w:rsidRPr="00BB5C77">
        <w:rPr>
          <w:rFonts w:ascii="Arial" w:eastAsia="Arial" w:hAnsi="Arial" w:cs="Arial"/>
          <w:color w:val="030303"/>
          <w:sz w:val="21"/>
          <w:szCs w:val="21"/>
          <w:lang w:val="en-ZA" w:eastAsia="en-ZA"/>
        </w:rPr>
        <w:t>basis</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of</w:t>
      </w:r>
      <w:r w:rsidRPr="00BB5C77">
        <w:rPr>
          <w:rFonts w:ascii="Arial" w:eastAsia="Arial" w:hAnsi="Arial" w:cs="Arial"/>
          <w:color w:val="030303"/>
          <w:spacing w:val="10"/>
          <w:sz w:val="21"/>
          <w:szCs w:val="21"/>
          <w:lang w:val="en-ZA" w:eastAsia="en-ZA"/>
        </w:rPr>
        <w:t xml:space="preserve"> </w:t>
      </w:r>
      <w:r w:rsidRPr="00BB5C77">
        <w:rPr>
          <w:rFonts w:ascii="Arial" w:eastAsia="Arial" w:hAnsi="Arial" w:cs="Arial"/>
          <w:color w:val="030303"/>
          <w:w w:val="105"/>
          <w:sz w:val="21"/>
          <w:szCs w:val="21"/>
          <w:lang w:val="en-ZA" w:eastAsia="en-ZA"/>
        </w:rPr>
        <w:t xml:space="preserve">accounting </w:t>
      </w:r>
      <w:r w:rsidRPr="00BB5C77">
        <w:rPr>
          <w:rFonts w:ascii="Arial" w:eastAsia="Arial" w:hAnsi="Arial" w:cs="Arial"/>
          <w:color w:val="030303"/>
          <w:sz w:val="21"/>
          <w:szCs w:val="21"/>
          <w:lang w:val="en-ZA" w:eastAsia="en-ZA"/>
        </w:rPr>
        <w:t>unless</w:t>
      </w:r>
      <w:r w:rsidRPr="00BB5C77">
        <w:rPr>
          <w:rFonts w:ascii="Arial" w:eastAsia="Arial" w:hAnsi="Arial" w:cs="Arial"/>
          <w:color w:val="030303"/>
          <w:spacing w:val="34"/>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7"/>
          <w:sz w:val="21"/>
          <w:szCs w:val="21"/>
          <w:lang w:val="en-ZA" w:eastAsia="en-ZA"/>
        </w:rPr>
        <w:t xml:space="preserve"> </w:t>
      </w:r>
      <w:r w:rsidRPr="00BB5C77">
        <w:rPr>
          <w:rFonts w:ascii="Arial" w:eastAsia="Arial" w:hAnsi="Arial" w:cs="Arial"/>
          <w:color w:val="030303"/>
          <w:sz w:val="21"/>
          <w:szCs w:val="21"/>
          <w:lang w:val="en-ZA" w:eastAsia="en-ZA"/>
        </w:rPr>
        <w:t>intention</w:t>
      </w:r>
      <w:r w:rsidRPr="00BB5C77">
        <w:rPr>
          <w:rFonts w:ascii="Arial" w:eastAsia="Arial" w:hAnsi="Arial" w:cs="Arial"/>
          <w:color w:val="030303"/>
          <w:spacing w:val="20"/>
          <w:sz w:val="21"/>
          <w:szCs w:val="21"/>
          <w:lang w:val="en-ZA" w:eastAsia="en-ZA"/>
        </w:rPr>
        <w:t xml:space="preserve"> </w:t>
      </w:r>
      <w:r w:rsidRPr="00BB5C77">
        <w:rPr>
          <w:rFonts w:ascii="Arial" w:eastAsia="Arial" w:hAnsi="Arial" w:cs="Arial"/>
          <w:color w:val="030303"/>
          <w:sz w:val="21"/>
          <w:szCs w:val="21"/>
          <w:lang w:val="en-ZA" w:eastAsia="en-ZA"/>
        </w:rPr>
        <w:t>is</w:t>
      </w:r>
      <w:r w:rsidRPr="00BB5C77">
        <w:rPr>
          <w:rFonts w:ascii="Arial" w:eastAsia="Arial" w:hAnsi="Arial" w:cs="Arial"/>
          <w:color w:val="030303"/>
          <w:spacing w:val="23"/>
          <w:sz w:val="21"/>
          <w:szCs w:val="21"/>
          <w:lang w:val="en-ZA" w:eastAsia="en-ZA"/>
        </w:rPr>
        <w:t xml:space="preserve"> </w:t>
      </w:r>
      <w:r w:rsidRPr="00BB5C77">
        <w:rPr>
          <w:rFonts w:ascii="Arial" w:eastAsia="Arial" w:hAnsi="Arial" w:cs="Arial"/>
          <w:color w:val="030303"/>
          <w:sz w:val="21"/>
          <w:szCs w:val="21"/>
          <w:lang w:val="en-ZA" w:eastAsia="en-ZA"/>
        </w:rPr>
        <w:t>to</w:t>
      </w:r>
      <w:r w:rsidRPr="00BB5C77">
        <w:rPr>
          <w:rFonts w:ascii="Arial" w:eastAsia="Arial" w:hAnsi="Arial" w:cs="Arial"/>
          <w:color w:val="030303"/>
          <w:spacing w:val="-2"/>
          <w:sz w:val="21"/>
          <w:szCs w:val="21"/>
          <w:lang w:val="en-ZA" w:eastAsia="en-ZA"/>
        </w:rPr>
        <w:t xml:space="preserve"> </w:t>
      </w:r>
      <w:r w:rsidRPr="00BB5C77">
        <w:rPr>
          <w:rFonts w:ascii="Arial" w:eastAsia="Arial" w:hAnsi="Arial" w:cs="Arial"/>
          <w:color w:val="030303"/>
          <w:sz w:val="21"/>
          <w:szCs w:val="21"/>
          <w:lang w:val="en-ZA" w:eastAsia="en-ZA"/>
        </w:rPr>
        <w:t>liquidate</w:t>
      </w:r>
      <w:r w:rsidRPr="00BB5C77">
        <w:rPr>
          <w:rFonts w:ascii="Arial" w:eastAsia="Arial" w:hAnsi="Arial" w:cs="Arial"/>
          <w:color w:val="030303"/>
          <w:spacing w:val="30"/>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6"/>
          <w:sz w:val="21"/>
          <w:szCs w:val="21"/>
          <w:lang w:val="en-ZA" w:eastAsia="en-ZA"/>
        </w:rPr>
        <w:t xml:space="preserve"> </w:t>
      </w:r>
      <w:r w:rsidRPr="00BB5C77">
        <w:rPr>
          <w:rFonts w:ascii="Arial" w:eastAsia="Arial" w:hAnsi="Arial" w:cs="Arial"/>
          <w:color w:val="030303"/>
          <w:sz w:val="21"/>
          <w:szCs w:val="21"/>
          <w:lang w:val="en-ZA" w:eastAsia="en-ZA"/>
        </w:rPr>
        <w:t>municipality</w:t>
      </w:r>
      <w:r w:rsidRPr="00BB5C77">
        <w:rPr>
          <w:rFonts w:ascii="Arial" w:eastAsia="Arial" w:hAnsi="Arial" w:cs="Arial"/>
          <w:color w:val="030303"/>
          <w:spacing w:val="52"/>
          <w:sz w:val="21"/>
          <w:szCs w:val="21"/>
          <w:lang w:val="en-ZA" w:eastAsia="en-ZA"/>
        </w:rPr>
        <w:t xml:space="preserve"> </w:t>
      </w:r>
      <w:r w:rsidRPr="00BB5C77">
        <w:rPr>
          <w:rFonts w:ascii="Arial" w:eastAsia="Arial" w:hAnsi="Arial" w:cs="Arial"/>
          <w:color w:val="030303"/>
          <w:sz w:val="21"/>
          <w:szCs w:val="21"/>
          <w:lang w:val="en-ZA" w:eastAsia="en-ZA"/>
        </w:rPr>
        <w:t>or</w:t>
      </w:r>
      <w:r w:rsidRPr="00BB5C77">
        <w:rPr>
          <w:rFonts w:ascii="Arial" w:eastAsia="Arial" w:hAnsi="Arial" w:cs="Arial"/>
          <w:color w:val="030303"/>
          <w:spacing w:val="8"/>
          <w:sz w:val="21"/>
          <w:szCs w:val="21"/>
          <w:lang w:val="en-ZA" w:eastAsia="en-ZA"/>
        </w:rPr>
        <w:t xml:space="preserve"> </w:t>
      </w:r>
      <w:r w:rsidRPr="00BB5C77">
        <w:rPr>
          <w:rFonts w:ascii="Arial" w:eastAsia="Arial" w:hAnsi="Arial" w:cs="Arial"/>
          <w:color w:val="030303"/>
          <w:sz w:val="21"/>
          <w:szCs w:val="21"/>
          <w:lang w:val="en-ZA" w:eastAsia="en-ZA"/>
        </w:rPr>
        <w:t>cease</w:t>
      </w:r>
      <w:r w:rsidRPr="00BB5C77">
        <w:rPr>
          <w:rFonts w:ascii="Arial" w:eastAsia="Arial" w:hAnsi="Arial" w:cs="Arial"/>
          <w:color w:val="030303"/>
          <w:spacing w:val="16"/>
          <w:sz w:val="21"/>
          <w:szCs w:val="21"/>
          <w:lang w:val="en-ZA" w:eastAsia="en-ZA"/>
        </w:rPr>
        <w:t xml:space="preserve"> </w:t>
      </w:r>
      <w:r w:rsidRPr="00BB5C77">
        <w:rPr>
          <w:rFonts w:ascii="Arial" w:eastAsia="Arial" w:hAnsi="Arial" w:cs="Arial"/>
          <w:color w:val="030303"/>
          <w:w w:val="107"/>
          <w:sz w:val="21"/>
          <w:szCs w:val="21"/>
          <w:lang w:val="en-ZA" w:eastAsia="en-ZA"/>
        </w:rPr>
        <w:t>op</w:t>
      </w:r>
      <w:r w:rsidRPr="00BB5C77">
        <w:rPr>
          <w:rFonts w:ascii="Arial" w:eastAsia="Arial" w:hAnsi="Arial" w:cs="Arial"/>
          <w:color w:val="030303"/>
          <w:spacing w:val="-10"/>
          <w:w w:val="107"/>
          <w:sz w:val="21"/>
          <w:szCs w:val="21"/>
          <w:lang w:val="en-ZA" w:eastAsia="en-ZA"/>
        </w:rPr>
        <w:t>e</w:t>
      </w:r>
      <w:r w:rsidRPr="00BB5C77">
        <w:rPr>
          <w:rFonts w:ascii="Arial" w:eastAsia="Arial" w:hAnsi="Arial" w:cs="Arial"/>
          <w:color w:val="1D1D1D"/>
          <w:spacing w:val="-14"/>
          <w:w w:val="121"/>
          <w:sz w:val="21"/>
          <w:szCs w:val="21"/>
          <w:lang w:val="en-ZA" w:eastAsia="en-ZA"/>
        </w:rPr>
        <w:t>r</w:t>
      </w:r>
      <w:r w:rsidRPr="00BB5C77">
        <w:rPr>
          <w:rFonts w:ascii="Arial" w:eastAsia="Arial" w:hAnsi="Arial" w:cs="Arial"/>
          <w:color w:val="030303"/>
          <w:w w:val="104"/>
          <w:sz w:val="21"/>
          <w:szCs w:val="21"/>
          <w:lang w:val="en-ZA" w:eastAsia="en-ZA"/>
        </w:rPr>
        <w:t>ation</w:t>
      </w:r>
      <w:r w:rsidRPr="00BB5C77">
        <w:rPr>
          <w:rFonts w:ascii="Arial" w:eastAsia="Arial" w:hAnsi="Arial" w:cs="Arial"/>
          <w:color w:val="030303"/>
          <w:spacing w:val="-5"/>
          <w:w w:val="105"/>
          <w:sz w:val="21"/>
          <w:szCs w:val="21"/>
          <w:lang w:val="en-ZA" w:eastAsia="en-ZA"/>
        </w:rPr>
        <w:t>s</w:t>
      </w:r>
      <w:r w:rsidRPr="00BB5C77">
        <w:rPr>
          <w:rFonts w:ascii="Arial" w:eastAsia="Arial" w:hAnsi="Arial" w:cs="Arial"/>
          <w:color w:val="1D1D1D"/>
          <w:w w:val="159"/>
          <w:sz w:val="21"/>
          <w:szCs w:val="21"/>
          <w:lang w:val="en-ZA" w:eastAsia="en-ZA"/>
        </w:rPr>
        <w:t>,</w:t>
      </w:r>
      <w:r w:rsidRPr="00BB5C77">
        <w:rPr>
          <w:rFonts w:ascii="Arial" w:eastAsia="Arial" w:hAnsi="Arial" w:cs="Arial"/>
          <w:color w:val="1D1D1D"/>
          <w:spacing w:val="-34"/>
          <w:sz w:val="21"/>
          <w:szCs w:val="21"/>
          <w:lang w:val="en-ZA" w:eastAsia="en-ZA"/>
        </w:rPr>
        <w:t xml:space="preserve"> </w:t>
      </w:r>
      <w:r w:rsidRPr="00BB5C77">
        <w:rPr>
          <w:rFonts w:ascii="Arial" w:eastAsia="Arial" w:hAnsi="Arial" w:cs="Arial"/>
          <w:color w:val="030303"/>
          <w:sz w:val="21"/>
          <w:szCs w:val="21"/>
          <w:lang w:val="en-ZA" w:eastAsia="en-ZA"/>
        </w:rPr>
        <w:t>or</w:t>
      </w:r>
      <w:r w:rsidRPr="00BB5C77">
        <w:rPr>
          <w:rFonts w:ascii="Arial" w:eastAsia="Arial" w:hAnsi="Arial" w:cs="Arial"/>
          <w:color w:val="030303"/>
          <w:spacing w:val="19"/>
          <w:sz w:val="21"/>
          <w:szCs w:val="21"/>
          <w:lang w:val="en-ZA" w:eastAsia="en-ZA"/>
        </w:rPr>
        <w:t xml:space="preserve"> </w:t>
      </w:r>
      <w:r w:rsidRPr="00BB5C77">
        <w:rPr>
          <w:rFonts w:ascii="Arial" w:eastAsia="Arial" w:hAnsi="Arial" w:cs="Arial"/>
          <w:color w:val="030303"/>
          <w:sz w:val="21"/>
          <w:szCs w:val="21"/>
          <w:lang w:val="en-ZA" w:eastAsia="en-ZA"/>
        </w:rPr>
        <w:t>there</w:t>
      </w:r>
      <w:r w:rsidRPr="00BB5C77">
        <w:rPr>
          <w:rFonts w:ascii="Arial" w:eastAsia="Arial" w:hAnsi="Arial" w:cs="Arial"/>
          <w:color w:val="030303"/>
          <w:spacing w:val="20"/>
          <w:sz w:val="21"/>
          <w:szCs w:val="21"/>
          <w:lang w:val="en-ZA" w:eastAsia="en-ZA"/>
        </w:rPr>
        <w:t xml:space="preserve"> </w:t>
      </w:r>
      <w:r w:rsidRPr="00BB5C77">
        <w:rPr>
          <w:rFonts w:ascii="Arial" w:eastAsia="Arial" w:hAnsi="Arial" w:cs="Arial"/>
          <w:color w:val="1D1D1D"/>
          <w:spacing w:val="-10"/>
          <w:w w:val="155"/>
          <w:sz w:val="21"/>
          <w:szCs w:val="21"/>
          <w:lang w:val="en-ZA" w:eastAsia="en-ZA"/>
        </w:rPr>
        <w:t>i</w:t>
      </w:r>
      <w:r w:rsidRPr="00BB5C77">
        <w:rPr>
          <w:rFonts w:ascii="Arial" w:eastAsia="Arial" w:hAnsi="Arial" w:cs="Arial"/>
          <w:color w:val="030303"/>
          <w:w w:val="110"/>
          <w:sz w:val="21"/>
          <w:szCs w:val="21"/>
          <w:lang w:val="en-ZA" w:eastAsia="en-ZA"/>
        </w:rPr>
        <w:t>s</w:t>
      </w:r>
    </w:p>
    <w:p w14:paraId="78CD43D6" w14:textId="77777777" w:rsidR="00BB5C77" w:rsidRPr="00BB5C77" w:rsidRDefault="00BB5C77" w:rsidP="00BB5C77">
      <w:pPr>
        <w:spacing w:after="0" w:line="240" w:lineRule="auto"/>
        <w:ind w:left="619" w:right="-20"/>
        <w:jc w:val="both"/>
        <w:rPr>
          <w:rFonts w:ascii="Arial" w:eastAsia="Arial" w:hAnsi="Arial" w:cs="Arial"/>
          <w:sz w:val="21"/>
          <w:szCs w:val="21"/>
          <w:lang w:val="en-ZA" w:eastAsia="en-ZA"/>
        </w:rPr>
      </w:pPr>
      <w:r w:rsidRPr="00BB5C77">
        <w:rPr>
          <w:rFonts w:ascii="Arial" w:eastAsia="Arial" w:hAnsi="Arial" w:cs="Arial"/>
          <w:color w:val="030303"/>
          <w:sz w:val="21"/>
          <w:szCs w:val="21"/>
          <w:lang w:val="en-ZA" w:eastAsia="en-ZA"/>
        </w:rPr>
        <w:t>no</w:t>
      </w:r>
      <w:r w:rsidRPr="00BB5C77">
        <w:rPr>
          <w:rFonts w:ascii="Arial" w:eastAsia="Arial" w:hAnsi="Arial" w:cs="Arial"/>
          <w:color w:val="030303"/>
          <w:spacing w:val="16"/>
          <w:sz w:val="21"/>
          <w:szCs w:val="21"/>
          <w:lang w:val="en-ZA" w:eastAsia="en-ZA"/>
        </w:rPr>
        <w:t xml:space="preserve"> </w:t>
      </w:r>
      <w:r w:rsidRPr="00BB5C77">
        <w:rPr>
          <w:rFonts w:ascii="Arial" w:eastAsia="Arial" w:hAnsi="Arial" w:cs="Arial"/>
          <w:color w:val="030303"/>
          <w:sz w:val="21"/>
          <w:szCs w:val="21"/>
          <w:lang w:val="en-ZA" w:eastAsia="en-ZA"/>
        </w:rPr>
        <w:t>realistic</w:t>
      </w:r>
      <w:r w:rsidRPr="00BB5C77">
        <w:rPr>
          <w:rFonts w:ascii="Arial" w:eastAsia="Arial" w:hAnsi="Arial" w:cs="Arial"/>
          <w:color w:val="030303"/>
          <w:spacing w:val="32"/>
          <w:sz w:val="21"/>
          <w:szCs w:val="21"/>
          <w:lang w:val="en-ZA" w:eastAsia="en-ZA"/>
        </w:rPr>
        <w:t xml:space="preserve"> </w:t>
      </w:r>
      <w:r w:rsidRPr="00BB5C77">
        <w:rPr>
          <w:rFonts w:ascii="Arial" w:eastAsia="Arial" w:hAnsi="Arial" w:cs="Arial"/>
          <w:color w:val="030303"/>
          <w:sz w:val="21"/>
          <w:szCs w:val="21"/>
          <w:lang w:val="en-ZA" w:eastAsia="en-ZA"/>
        </w:rPr>
        <w:t>alternative</w:t>
      </w:r>
      <w:r w:rsidRPr="00BB5C77">
        <w:rPr>
          <w:rFonts w:ascii="Arial" w:eastAsia="Arial" w:hAnsi="Arial" w:cs="Arial"/>
          <w:color w:val="030303"/>
          <w:spacing w:val="35"/>
          <w:sz w:val="21"/>
          <w:szCs w:val="21"/>
          <w:lang w:val="en-ZA" w:eastAsia="en-ZA"/>
        </w:rPr>
        <w:t xml:space="preserve"> </w:t>
      </w:r>
      <w:r w:rsidRPr="00BB5C77">
        <w:rPr>
          <w:rFonts w:ascii="Arial" w:eastAsia="Arial" w:hAnsi="Arial" w:cs="Arial"/>
          <w:color w:val="030303"/>
          <w:sz w:val="21"/>
          <w:szCs w:val="21"/>
          <w:lang w:val="en-ZA" w:eastAsia="en-ZA"/>
        </w:rPr>
        <w:t>but</w:t>
      </w:r>
      <w:r w:rsidRPr="00BB5C77">
        <w:rPr>
          <w:rFonts w:ascii="Arial" w:eastAsia="Arial" w:hAnsi="Arial" w:cs="Arial"/>
          <w:color w:val="030303"/>
          <w:spacing w:val="15"/>
          <w:sz w:val="21"/>
          <w:szCs w:val="21"/>
          <w:lang w:val="en-ZA" w:eastAsia="en-ZA"/>
        </w:rPr>
        <w:t xml:space="preserve"> </w:t>
      </w:r>
      <w:r w:rsidRPr="00BB5C77">
        <w:rPr>
          <w:rFonts w:ascii="Arial" w:eastAsia="Arial" w:hAnsi="Arial" w:cs="Arial"/>
          <w:color w:val="030303"/>
          <w:sz w:val="21"/>
          <w:szCs w:val="21"/>
          <w:lang w:val="en-ZA" w:eastAsia="en-ZA"/>
        </w:rPr>
        <w:t>to</w:t>
      </w:r>
      <w:r w:rsidRPr="00BB5C77">
        <w:rPr>
          <w:rFonts w:ascii="Arial" w:eastAsia="Arial" w:hAnsi="Arial" w:cs="Arial"/>
          <w:color w:val="030303"/>
          <w:spacing w:val="4"/>
          <w:sz w:val="21"/>
          <w:szCs w:val="21"/>
          <w:lang w:val="en-ZA" w:eastAsia="en-ZA"/>
        </w:rPr>
        <w:t xml:space="preserve"> </w:t>
      </w:r>
      <w:r w:rsidRPr="00BB5C77">
        <w:rPr>
          <w:rFonts w:ascii="Arial" w:eastAsia="Arial" w:hAnsi="Arial" w:cs="Arial"/>
          <w:color w:val="030303"/>
          <w:sz w:val="21"/>
          <w:szCs w:val="21"/>
          <w:lang w:val="en-ZA" w:eastAsia="en-ZA"/>
        </w:rPr>
        <w:t>do</w:t>
      </w:r>
      <w:r w:rsidRPr="00BB5C77">
        <w:rPr>
          <w:rFonts w:ascii="Arial" w:eastAsia="Arial" w:hAnsi="Arial" w:cs="Arial"/>
          <w:color w:val="030303"/>
          <w:spacing w:val="15"/>
          <w:sz w:val="21"/>
          <w:szCs w:val="21"/>
          <w:lang w:val="en-ZA" w:eastAsia="en-ZA"/>
        </w:rPr>
        <w:t xml:space="preserve"> </w:t>
      </w:r>
      <w:r w:rsidRPr="00BB5C77">
        <w:rPr>
          <w:rFonts w:ascii="Arial" w:eastAsia="Arial" w:hAnsi="Arial" w:cs="Arial"/>
          <w:color w:val="030303"/>
          <w:w w:val="107"/>
          <w:sz w:val="21"/>
          <w:szCs w:val="21"/>
          <w:lang w:val="en-ZA" w:eastAsia="en-ZA"/>
        </w:rPr>
        <w:t>s</w:t>
      </w:r>
      <w:r w:rsidRPr="00BB5C77">
        <w:rPr>
          <w:rFonts w:ascii="Arial" w:eastAsia="Arial" w:hAnsi="Arial" w:cs="Arial"/>
          <w:color w:val="030303"/>
          <w:spacing w:val="-7"/>
          <w:w w:val="107"/>
          <w:sz w:val="21"/>
          <w:szCs w:val="21"/>
          <w:lang w:val="en-ZA" w:eastAsia="en-ZA"/>
        </w:rPr>
        <w:t>o</w:t>
      </w:r>
      <w:r w:rsidRPr="00BB5C77">
        <w:rPr>
          <w:rFonts w:ascii="Arial" w:eastAsia="Arial" w:hAnsi="Arial" w:cs="Arial"/>
          <w:color w:val="1D1D1D"/>
          <w:w w:val="169"/>
          <w:sz w:val="21"/>
          <w:szCs w:val="21"/>
          <w:lang w:val="en-ZA" w:eastAsia="en-ZA"/>
        </w:rPr>
        <w:t>.</w:t>
      </w:r>
    </w:p>
    <w:p w14:paraId="75B05E9B" w14:textId="77777777" w:rsidR="00BB5C77" w:rsidRPr="00BB5C77" w:rsidRDefault="00BB5C77" w:rsidP="00BB5C77">
      <w:pPr>
        <w:spacing w:before="4" w:after="0" w:line="150" w:lineRule="exact"/>
        <w:jc w:val="both"/>
        <w:rPr>
          <w:rFonts w:eastAsia="Times New Roman" w:cs="Times New Roman"/>
          <w:sz w:val="15"/>
          <w:szCs w:val="15"/>
          <w:lang w:val="en-ZA" w:eastAsia="en-ZA"/>
        </w:rPr>
      </w:pPr>
    </w:p>
    <w:p w14:paraId="0A2A4671" w14:textId="77777777" w:rsidR="00BB5C77" w:rsidRPr="00BB5C77" w:rsidRDefault="00BB5C77" w:rsidP="00BB5C77">
      <w:pPr>
        <w:spacing w:after="0" w:line="200" w:lineRule="exact"/>
        <w:jc w:val="both"/>
        <w:rPr>
          <w:rFonts w:eastAsia="Times New Roman" w:cs="Times New Roman"/>
          <w:szCs w:val="20"/>
          <w:lang w:val="en-ZA" w:eastAsia="en-ZA"/>
        </w:rPr>
      </w:pPr>
    </w:p>
    <w:p w14:paraId="12DD0058" w14:textId="77777777" w:rsidR="00BB5C77" w:rsidRPr="00BB5C77" w:rsidRDefault="00BB5C77" w:rsidP="00BB5C77">
      <w:pPr>
        <w:spacing w:after="0" w:line="240" w:lineRule="auto"/>
        <w:ind w:left="248" w:right="-20"/>
        <w:jc w:val="both"/>
        <w:rPr>
          <w:rFonts w:ascii="Arial" w:eastAsia="Arial" w:hAnsi="Arial" w:cs="Arial"/>
          <w:sz w:val="24"/>
          <w:szCs w:val="24"/>
          <w:lang w:val="en-ZA" w:eastAsia="en-ZA"/>
        </w:rPr>
      </w:pPr>
      <w:r w:rsidRPr="00BB5C77">
        <w:rPr>
          <w:rFonts w:ascii="Arial" w:eastAsia="Arial" w:hAnsi="Arial" w:cs="Arial"/>
          <w:color w:val="1D1D1D"/>
          <w:sz w:val="24"/>
          <w:szCs w:val="24"/>
          <w:lang w:val="en-ZA" w:eastAsia="en-ZA"/>
        </w:rPr>
        <w:t xml:space="preserve">Auditor </w:t>
      </w:r>
      <w:r w:rsidRPr="00BB5C77">
        <w:rPr>
          <w:rFonts w:ascii="Arial" w:eastAsia="Arial" w:hAnsi="Arial" w:cs="Arial"/>
          <w:color w:val="1D1D1D"/>
          <w:spacing w:val="16"/>
          <w:sz w:val="24"/>
          <w:szCs w:val="24"/>
          <w:lang w:val="en-ZA" w:eastAsia="en-ZA"/>
        </w:rPr>
        <w:t>general’s</w:t>
      </w:r>
      <w:r w:rsidRPr="00BB5C77">
        <w:rPr>
          <w:rFonts w:ascii="Arial" w:eastAsia="Arial" w:hAnsi="Arial" w:cs="Arial"/>
          <w:color w:val="1D1D1D"/>
          <w:spacing w:val="-6"/>
          <w:w w:val="110"/>
          <w:sz w:val="24"/>
          <w:szCs w:val="24"/>
          <w:lang w:val="en-ZA" w:eastAsia="en-ZA"/>
        </w:rPr>
        <w:t xml:space="preserve"> </w:t>
      </w:r>
      <w:r w:rsidRPr="00BB5C77">
        <w:rPr>
          <w:rFonts w:ascii="Arial" w:eastAsia="Arial" w:hAnsi="Arial" w:cs="Arial"/>
          <w:color w:val="1D1D1D"/>
          <w:w w:val="110"/>
          <w:sz w:val="24"/>
          <w:szCs w:val="24"/>
          <w:lang w:val="en-ZA" w:eastAsia="en-ZA"/>
        </w:rPr>
        <w:t>responsibilities</w:t>
      </w:r>
      <w:r w:rsidRPr="00BB5C77">
        <w:rPr>
          <w:rFonts w:ascii="Arial" w:eastAsia="Arial" w:hAnsi="Arial" w:cs="Arial"/>
          <w:color w:val="1D1D1D"/>
          <w:spacing w:val="-7"/>
          <w:w w:val="110"/>
          <w:sz w:val="24"/>
          <w:szCs w:val="24"/>
          <w:lang w:val="en-ZA" w:eastAsia="en-ZA"/>
        </w:rPr>
        <w:t xml:space="preserve"> </w:t>
      </w:r>
      <w:r w:rsidRPr="00BB5C77">
        <w:rPr>
          <w:rFonts w:ascii="Arial" w:eastAsia="Arial" w:hAnsi="Arial" w:cs="Arial"/>
          <w:color w:val="1D1D1D"/>
          <w:sz w:val="24"/>
          <w:szCs w:val="24"/>
          <w:lang w:val="en-ZA" w:eastAsia="en-ZA"/>
        </w:rPr>
        <w:t>for</w:t>
      </w:r>
      <w:r w:rsidRPr="00BB5C77">
        <w:rPr>
          <w:rFonts w:ascii="Arial" w:eastAsia="Arial" w:hAnsi="Arial" w:cs="Arial"/>
          <w:color w:val="1D1D1D"/>
          <w:spacing w:val="30"/>
          <w:sz w:val="24"/>
          <w:szCs w:val="24"/>
          <w:lang w:val="en-ZA" w:eastAsia="en-ZA"/>
        </w:rPr>
        <w:t xml:space="preserve"> </w:t>
      </w:r>
      <w:r w:rsidRPr="00BB5C77">
        <w:rPr>
          <w:rFonts w:ascii="Arial" w:eastAsia="Arial" w:hAnsi="Arial" w:cs="Arial"/>
          <w:color w:val="1D1D1D"/>
          <w:sz w:val="24"/>
          <w:szCs w:val="24"/>
          <w:lang w:val="en-ZA" w:eastAsia="en-ZA"/>
        </w:rPr>
        <w:t>the</w:t>
      </w:r>
      <w:r w:rsidRPr="00BB5C77">
        <w:rPr>
          <w:rFonts w:ascii="Arial" w:eastAsia="Arial" w:hAnsi="Arial" w:cs="Arial"/>
          <w:color w:val="1D1D1D"/>
          <w:spacing w:val="23"/>
          <w:sz w:val="24"/>
          <w:szCs w:val="24"/>
          <w:lang w:val="en-ZA" w:eastAsia="en-ZA"/>
        </w:rPr>
        <w:t xml:space="preserve"> </w:t>
      </w:r>
      <w:r w:rsidRPr="00BB5C77">
        <w:rPr>
          <w:rFonts w:ascii="Arial" w:eastAsia="Arial" w:hAnsi="Arial" w:cs="Arial"/>
          <w:color w:val="1D1D1D"/>
          <w:sz w:val="24"/>
          <w:szCs w:val="24"/>
          <w:lang w:val="en-ZA" w:eastAsia="en-ZA"/>
        </w:rPr>
        <w:t>audit</w:t>
      </w:r>
      <w:r w:rsidRPr="00BB5C77">
        <w:rPr>
          <w:rFonts w:ascii="Arial" w:eastAsia="Arial" w:hAnsi="Arial" w:cs="Arial"/>
          <w:color w:val="1D1D1D"/>
          <w:spacing w:val="52"/>
          <w:sz w:val="24"/>
          <w:szCs w:val="24"/>
          <w:lang w:val="en-ZA" w:eastAsia="en-ZA"/>
        </w:rPr>
        <w:t xml:space="preserve"> </w:t>
      </w:r>
      <w:r w:rsidRPr="00BB5C77">
        <w:rPr>
          <w:rFonts w:ascii="Arial" w:eastAsia="Arial" w:hAnsi="Arial" w:cs="Arial"/>
          <w:color w:val="1D1D1D"/>
          <w:sz w:val="24"/>
          <w:szCs w:val="24"/>
          <w:lang w:val="en-ZA" w:eastAsia="en-ZA"/>
        </w:rPr>
        <w:t>of</w:t>
      </w:r>
      <w:r w:rsidRPr="00BB5C77">
        <w:rPr>
          <w:rFonts w:ascii="Arial" w:eastAsia="Arial" w:hAnsi="Arial" w:cs="Arial"/>
          <w:color w:val="1D1D1D"/>
          <w:spacing w:val="23"/>
          <w:sz w:val="24"/>
          <w:szCs w:val="24"/>
          <w:lang w:val="en-ZA" w:eastAsia="en-ZA"/>
        </w:rPr>
        <w:t xml:space="preserve"> </w:t>
      </w:r>
      <w:r w:rsidRPr="00BB5C77">
        <w:rPr>
          <w:rFonts w:ascii="Arial" w:eastAsia="Arial" w:hAnsi="Arial" w:cs="Arial"/>
          <w:color w:val="1D1D1D"/>
          <w:sz w:val="24"/>
          <w:szCs w:val="24"/>
          <w:lang w:val="en-ZA" w:eastAsia="en-ZA"/>
        </w:rPr>
        <w:t>the</w:t>
      </w:r>
      <w:r w:rsidRPr="00BB5C77">
        <w:rPr>
          <w:rFonts w:ascii="Arial" w:eastAsia="Arial" w:hAnsi="Arial" w:cs="Arial"/>
          <w:color w:val="1D1D1D"/>
          <w:spacing w:val="15"/>
          <w:sz w:val="24"/>
          <w:szCs w:val="24"/>
          <w:lang w:val="en-ZA" w:eastAsia="en-ZA"/>
        </w:rPr>
        <w:t xml:space="preserve"> </w:t>
      </w:r>
      <w:r w:rsidRPr="00BB5C77">
        <w:rPr>
          <w:rFonts w:ascii="Arial" w:eastAsia="Arial" w:hAnsi="Arial" w:cs="Arial"/>
          <w:color w:val="1D1D1D"/>
          <w:w w:val="110"/>
          <w:sz w:val="24"/>
          <w:szCs w:val="24"/>
          <w:lang w:val="en-ZA" w:eastAsia="en-ZA"/>
        </w:rPr>
        <w:t>financia</w:t>
      </w:r>
      <w:r w:rsidRPr="00BB5C77">
        <w:rPr>
          <w:rFonts w:ascii="Arial" w:eastAsia="Arial" w:hAnsi="Arial" w:cs="Arial"/>
          <w:color w:val="1D1D1D"/>
          <w:w w:val="111"/>
          <w:sz w:val="24"/>
          <w:szCs w:val="24"/>
          <w:lang w:val="en-ZA" w:eastAsia="en-ZA"/>
        </w:rPr>
        <w:t>l</w:t>
      </w:r>
      <w:r w:rsidRPr="00BB5C77">
        <w:rPr>
          <w:rFonts w:ascii="Arial" w:eastAsia="Arial" w:hAnsi="Arial" w:cs="Arial"/>
          <w:color w:val="1D1D1D"/>
          <w:spacing w:val="-38"/>
          <w:sz w:val="24"/>
          <w:szCs w:val="24"/>
          <w:lang w:val="en-ZA" w:eastAsia="en-ZA"/>
        </w:rPr>
        <w:t xml:space="preserve"> </w:t>
      </w:r>
      <w:r w:rsidRPr="00BB5C77">
        <w:rPr>
          <w:rFonts w:ascii="Arial" w:eastAsia="Arial" w:hAnsi="Arial" w:cs="Arial"/>
          <w:color w:val="1D1D1D"/>
          <w:w w:val="108"/>
          <w:sz w:val="24"/>
          <w:szCs w:val="24"/>
          <w:lang w:val="en-ZA" w:eastAsia="en-ZA"/>
        </w:rPr>
        <w:t>statements</w:t>
      </w:r>
    </w:p>
    <w:p w14:paraId="4362F8A6" w14:textId="77777777" w:rsidR="00BB5C77" w:rsidRPr="00BB5C77" w:rsidRDefault="00BB5C77" w:rsidP="00BB5C77">
      <w:pPr>
        <w:spacing w:before="7" w:after="0" w:line="240" w:lineRule="exact"/>
        <w:jc w:val="both"/>
        <w:rPr>
          <w:rFonts w:eastAsia="Times New Roman" w:cs="Times New Roman"/>
          <w:sz w:val="24"/>
          <w:szCs w:val="24"/>
          <w:lang w:val="en-ZA" w:eastAsia="en-ZA"/>
        </w:rPr>
      </w:pPr>
    </w:p>
    <w:p w14:paraId="46E9D97D" w14:textId="77777777" w:rsidR="00BB5C77" w:rsidRPr="00BB5C77" w:rsidRDefault="00BB5C77" w:rsidP="00BB5C77">
      <w:pPr>
        <w:spacing w:after="0" w:line="256" w:lineRule="auto"/>
        <w:ind w:left="612" w:right="592" w:hanging="343"/>
        <w:jc w:val="both"/>
        <w:rPr>
          <w:rFonts w:ascii="Arial" w:eastAsia="Arial" w:hAnsi="Arial" w:cs="Arial"/>
          <w:sz w:val="21"/>
          <w:szCs w:val="21"/>
          <w:lang w:val="en-ZA" w:eastAsia="en-ZA"/>
        </w:rPr>
      </w:pPr>
      <w:r w:rsidRPr="00BB5C77">
        <w:rPr>
          <w:rFonts w:ascii="Arial" w:eastAsia="Arial" w:hAnsi="Arial" w:cs="Arial"/>
          <w:color w:val="030303"/>
          <w:w w:val="110"/>
          <w:sz w:val="21"/>
          <w:szCs w:val="21"/>
          <w:lang w:val="en-ZA" w:eastAsia="en-ZA"/>
        </w:rPr>
        <w:t>1</w:t>
      </w:r>
      <w:r w:rsidRPr="00BB5C77">
        <w:rPr>
          <w:rFonts w:ascii="Arial" w:eastAsia="Arial" w:hAnsi="Arial" w:cs="Arial"/>
          <w:color w:val="030303"/>
          <w:spacing w:val="-10"/>
          <w:w w:val="110"/>
          <w:sz w:val="21"/>
          <w:szCs w:val="21"/>
          <w:lang w:val="en-ZA" w:eastAsia="en-ZA"/>
        </w:rPr>
        <w:t>3</w:t>
      </w:r>
      <w:r w:rsidRPr="00BB5C77">
        <w:rPr>
          <w:rFonts w:ascii="Arial" w:eastAsia="Arial" w:hAnsi="Arial" w:cs="Arial"/>
          <w:color w:val="595959"/>
          <w:spacing w:val="12"/>
          <w:w w:val="169"/>
          <w:sz w:val="21"/>
          <w:szCs w:val="21"/>
          <w:lang w:val="en-ZA" w:eastAsia="en-ZA"/>
        </w:rPr>
        <w:t>.</w:t>
      </w:r>
      <w:r w:rsidRPr="00BB5C77">
        <w:rPr>
          <w:rFonts w:ascii="Arial" w:eastAsia="Arial" w:hAnsi="Arial" w:cs="Arial"/>
          <w:color w:val="030303"/>
          <w:w w:val="109"/>
          <w:sz w:val="21"/>
          <w:szCs w:val="21"/>
          <w:lang w:val="en-ZA" w:eastAsia="en-ZA"/>
        </w:rPr>
        <w:t>My</w:t>
      </w:r>
      <w:r w:rsidRPr="00BB5C77">
        <w:rPr>
          <w:rFonts w:ascii="Arial" w:eastAsia="Arial" w:hAnsi="Arial" w:cs="Arial"/>
          <w:color w:val="030303"/>
          <w:spacing w:val="-11"/>
          <w:sz w:val="21"/>
          <w:szCs w:val="21"/>
          <w:lang w:val="en-ZA" w:eastAsia="en-ZA"/>
        </w:rPr>
        <w:t xml:space="preserve"> </w:t>
      </w:r>
      <w:r w:rsidRPr="00BB5C77">
        <w:rPr>
          <w:rFonts w:ascii="Arial" w:eastAsia="Arial" w:hAnsi="Arial" w:cs="Arial"/>
          <w:color w:val="030303"/>
          <w:sz w:val="21"/>
          <w:szCs w:val="21"/>
          <w:lang w:val="en-ZA" w:eastAsia="en-ZA"/>
        </w:rPr>
        <w:t>objectives</w:t>
      </w:r>
      <w:r w:rsidRPr="00BB5C77">
        <w:rPr>
          <w:rFonts w:ascii="Arial" w:eastAsia="Arial" w:hAnsi="Arial" w:cs="Arial"/>
          <w:color w:val="030303"/>
          <w:spacing w:val="44"/>
          <w:sz w:val="21"/>
          <w:szCs w:val="21"/>
          <w:lang w:val="en-ZA" w:eastAsia="en-ZA"/>
        </w:rPr>
        <w:t xml:space="preserve"> </w:t>
      </w:r>
      <w:r w:rsidRPr="00BB5C77">
        <w:rPr>
          <w:rFonts w:ascii="Arial" w:eastAsia="Arial" w:hAnsi="Arial" w:cs="Arial"/>
          <w:color w:val="030303"/>
          <w:sz w:val="21"/>
          <w:szCs w:val="21"/>
          <w:lang w:val="en-ZA" w:eastAsia="en-ZA"/>
        </w:rPr>
        <w:t>are</w:t>
      </w:r>
      <w:r w:rsidRPr="00BB5C77">
        <w:rPr>
          <w:rFonts w:ascii="Arial" w:eastAsia="Arial" w:hAnsi="Arial" w:cs="Arial"/>
          <w:color w:val="030303"/>
          <w:spacing w:val="12"/>
          <w:sz w:val="21"/>
          <w:szCs w:val="21"/>
          <w:lang w:val="en-ZA" w:eastAsia="en-ZA"/>
        </w:rPr>
        <w:t xml:space="preserve"> </w:t>
      </w:r>
      <w:r w:rsidRPr="00BB5C77">
        <w:rPr>
          <w:rFonts w:ascii="Arial" w:eastAsia="Arial" w:hAnsi="Arial" w:cs="Arial"/>
          <w:color w:val="030303"/>
          <w:sz w:val="21"/>
          <w:szCs w:val="21"/>
          <w:lang w:val="en-ZA" w:eastAsia="en-ZA"/>
        </w:rPr>
        <w:t>to</w:t>
      </w:r>
      <w:r w:rsidRPr="00BB5C77">
        <w:rPr>
          <w:rFonts w:ascii="Arial" w:eastAsia="Arial" w:hAnsi="Arial" w:cs="Arial"/>
          <w:color w:val="030303"/>
          <w:spacing w:val="10"/>
          <w:sz w:val="21"/>
          <w:szCs w:val="21"/>
          <w:lang w:val="en-ZA" w:eastAsia="en-ZA"/>
        </w:rPr>
        <w:t xml:space="preserve"> </w:t>
      </w:r>
      <w:r w:rsidRPr="00BB5C77">
        <w:rPr>
          <w:rFonts w:ascii="Arial" w:eastAsia="Arial" w:hAnsi="Arial" w:cs="Arial"/>
          <w:color w:val="030303"/>
          <w:w w:val="104"/>
          <w:sz w:val="21"/>
          <w:szCs w:val="21"/>
          <w:lang w:val="en-ZA" w:eastAsia="en-ZA"/>
        </w:rPr>
        <w:t>obt</w:t>
      </w:r>
      <w:r w:rsidRPr="00BB5C77">
        <w:rPr>
          <w:rFonts w:ascii="Arial" w:eastAsia="Arial" w:hAnsi="Arial" w:cs="Arial"/>
          <w:color w:val="030303"/>
          <w:spacing w:val="-11"/>
          <w:w w:val="105"/>
          <w:sz w:val="21"/>
          <w:szCs w:val="21"/>
          <w:lang w:val="en-ZA" w:eastAsia="en-ZA"/>
        </w:rPr>
        <w:t>a</w:t>
      </w:r>
      <w:r w:rsidRPr="00BB5C77">
        <w:rPr>
          <w:rFonts w:ascii="Arial" w:eastAsia="Arial" w:hAnsi="Arial" w:cs="Arial"/>
          <w:color w:val="1D1D1D"/>
          <w:spacing w:val="-3"/>
          <w:w w:val="193"/>
          <w:sz w:val="21"/>
          <w:szCs w:val="21"/>
          <w:lang w:val="en-ZA" w:eastAsia="en-ZA"/>
        </w:rPr>
        <w:t>i</w:t>
      </w:r>
      <w:r w:rsidRPr="00BB5C77">
        <w:rPr>
          <w:rFonts w:ascii="Arial" w:eastAsia="Arial" w:hAnsi="Arial" w:cs="Arial"/>
          <w:color w:val="030303"/>
          <w:w w:val="121"/>
          <w:sz w:val="21"/>
          <w:szCs w:val="21"/>
          <w:lang w:val="en-ZA" w:eastAsia="en-ZA"/>
        </w:rPr>
        <w:t>n</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reasonable</w:t>
      </w:r>
      <w:r w:rsidRPr="00BB5C77">
        <w:rPr>
          <w:rFonts w:ascii="Arial" w:eastAsia="Arial" w:hAnsi="Arial" w:cs="Arial"/>
          <w:color w:val="030303"/>
          <w:spacing w:val="38"/>
          <w:sz w:val="21"/>
          <w:szCs w:val="21"/>
          <w:lang w:val="en-ZA" w:eastAsia="en-ZA"/>
        </w:rPr>
        <w:t xml:space="preserve"> </w:t>
      </w:r>
      <w:r w:rsidRPr="00BB5C77">
        <w:rPr>
          <w:rFonts w:ascii="Arial" w:eastAsia="Arial" w:hAnsi="Arial" w:cs="Arial"/>
          <w:color w:val="030303"/>
          <w:sz w:val="21"/>
          <w:szCs w:val="21"/>
          <w:lang w:val="en-ZA" w:eastAsia="en-ZA"/>
        </w:rPr>
        <w:t>assurance</w:t>
      </w:r>
      <w:r w:rsidRPr="00BB5C77">
        <w:rPr>
          <w:rFonts w:ascii="Arial" w:eastAsia="Arial" w:hAnsi="Arial" w:cs="Arial"/>
          <w:color w:val="030303"/>
          <w:spacing w:val="45"/>
          <w:sz w:val="21"/>
          <w:szCs w:val="21"/>
          <w:lang w:val="en-ZA" w:eastAsia="en-ZA"/>
        </w:rPr>
        <w:t xml:space="preserve"> </w:t>
      </w:r>
      <w:r w:rsidRPr="00BB5C77">
        <w:rPr>
          <w:rFonts w:ascii="Arial" w:eastAsia="Arial" w:hAnsi="Arial" w:cs="Arial"/>
          <w:color w:val="030303"/>
          <w:sz w:val="21"/>
          <w:szCs w:val="21"/>
          <w:lang w:val="en-ZA" w:eastAsia="en-ZA"/>
        </w:rPr>
        <w:t>about</w:t>
      </w:r>
      <w:r w:rsidRPr="00BB5C77">
        <w:rPr>
          <w:rFonts w:ascii="Arial" w:eastAsia="Arial" w:hAnsi="Arial" w:cs="Arial"/>
          <w:color w:val="030303"/>
          <w:spacing w:val="24"/>
          <w:sz w:val="21"/>
          <w:szCs w:val="21"/>
          <w:lang w:val="en-ZA" w:eastAsia="en-ZA"/>
        </w:rPr>
        <w:t xml:space="preserve"> </w:t>
      </w:r>
      <w:r w:rsidRPr="00BB5C77">
        <w:rPr>
          <w:rFonts w:ascii="Arial" w:eastAsia="Arial" w:hAnsi="Arial" w:cs="Arial"/>
          <w:color w:val="030303"/>
          <w:sz w:val="21"/>
          <w:szCs w:val="21"/>
          <w:lang w:val="en-ZA" w:eastAsia="en-ZA"/>
        </w:rPr>
        <w:t>whether</w:t>
      </w:r>
      <w:r w:rsidRPr="00BB5C77">
        <w:rPr>
          <w:rFonts w:ascii="Arial" w:eastAsia="Arial" w:hAnsi="Arial" w:cs="Arial"/>
          <w:color w:val="030303"/>
          <w:spacing w:val="18"/>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4"/>
          <w:sz w:val="21"/>
          <w:szCs w:val="21"/>
          <w:lang w:val="en-ZA" w:eastAsia="en-ZA"/>
        </w:rPr>
        <w:t xml:space="preserve"> </w:t>
      </w:r>
      <w:r w:rsidRPr="00BB5C77">
        <w:rPr>
          <w:rFonts w:ascii="Arial" w:eastAsia="Arial" w:hAnsi="Arial" w:cs="Arial"/>
          <w:color w:val="030303"/>
          <w:w w:val="106"/>
          <w:sz w:val="21"/>
          <w:szCs w:val="21"/>
          <w:lang w:val="en-ZA" w:eastAsia="en-ZA"/>
        </w:rPr>
        <w:t>finan</w:t>
      </w:r>
      <w:r w:rsidRPr="00BB5C77">
        <w:rPr>
          <w:rFonts w:ascii="Arial" w:eastAsia="Arial" w:hAnsi="Arial" w:cs="Arial"/>
          <w:color w:val="030303"/>
          <w:spacing w:val="-10"/>
          <w:w w:val="107"/>
          <w:sz w:val="21"/>
          <w:szCs w:val="21"/>
          <w:lang w:val="en-ZA" w:eastAsia="en-ZA"/>
        </w:rPr>
        <w:t>c</w:t>
      </w:r>
      <w:r w:rsidRPr="00BB5C77">
        <w:rPr>
          <w:rFonts w:ascii="Arial" w:eastAsia="Arial" w:hAnsi="Arial" w:cs="Arial"/>
          <w:color w:val="1D1D1D"/>
          <w:spacing w:val="-3"/>
          <w:w w:val="193"/>
          <w:sz w:val="21"/>
          <w:szCs w:val="21"/>
          <w:lang w:val="en-ZA" w:eastAsia="en-ZA"/>
        </w:rPr>
        <w:t>i</w:t>
      </w:r>
      <w:r w:rsidRPr="00BB5C77">
        <w:rPr>
          <w:rFonts w:ascii="Arial" w:eastAsia="Arial" w:hAnsi="Arial" w:cs="Arial"/>
          <w:color w:val="030303"/>
          <w:w w:val="116"/>
          <w:sz w:val="21"/>
          <w:szCs w:val="21"/>
          <w:lang w:val="en-ZA" w:eastAsia="en-ZA"/>
        </w:rPr>
        <w:t xml:space="preserve">al </w:t>
      </w:r>
      <w:r w:rsidRPr="00BB5C77">
        <w:rPr>
          <w:rFonts w:ascii="Arial" w:eastAsia="Arial" w:hAnsi="Arial" w:cs="Arial"/>
          <w:color w:val="030303"/>
          <w:sz w:val="21"/>
          <w:szCs w:val="21"/>
          <w:lang w:val="en-ZA" w:eastAsia="en-ZA"/>
        </w:rPr>
        <w:t>statements</w:t>
      </w:r>
      <w:r w:rsidRPr="00BB5C77">
        <w:rPr>
          <w:rFonts w:ascii="Arial" w:eastAsia="Arial" w:hAnsi="Arial" w:cs="Arial"/>
          <w:color w:val="030303"/>
          <w:spacing w:val="38"/>
          <w:sz w:val="21"/>
          <w:szCs w:val="21"/>
          <w:lang w:val="en-ZA" w:eastAsia="en-ZA"/>
        </w:rPr>
        <w:t xml:space="preserve"> </w:t>
      </w:r>
      <w:r w:rsidRPr="00BB5C77">
        <w:rPr>
          <w:rFonts w:ascii="Arial" w:eastAsia="Arial" w:hAnsi="Arial" w:cs="Arial"/>
          <w:color w:val="030303"/>
          <w:sz w:val="21"/>
          <w:szCs w:val="21"/>
          <w:lang w:val="en-ZA" w:eastAsia="en-ZA"/>
        </w:rPr>
        <w:t>as</w:t>
      </w:r>
      <w:r w:rsidRPr="00BB5C77">
        <w:rPr>
          <w:rFonts w:ascii="Arial" w:eastAsia="Arial" w:hAnsi="Arial" w:cs="Arial"/>
          <w:color w:val="030303"/>
          <w:spacing w:val="5"/>
          <w:sz w:val="21"/>
          <w:szCs w:val="21"/>
          <w:lang w:val="en-ZA" w:eastAsia="en-ZA"/>
        </w:rPr>
        <w:t xml:space="preserve"> </w:t>
      </w:r>
      <w:r w:rsidRPr="00BB5C77">
        <w:rPr>
          <w:rFonts w:ascii="Arial" w:eastAsia="Arial" w:hAnsi="Arial" w:cs="Arial"/>
          <w:color w:val="030303"/>
          <w:sz w:val="21"/>
          <w:szCs w:val="21"/>
          <w:lang w:val="en-ZA" w:eastAsia="en-ZA"/>
        </w:rPr>
        <w:t>a</w:t>
      </w:r>
      <w:r w:rsidRPr="00BB5C77">
        <w:rPr>
          <w:rFonts w:ascii="Arial" w:eastAsia="Arial" w:hAnsi="Arial" w:cs="Arial"/>
          <w:color w:val="030303"/>
          <w:spacing w:val="17"/>
          <w:sz w:val="21"/>
          <w:szCs w:val="21"/>
          <w:lang w:val="en-ZA" w:eastAsia="en-ZA"/>
        </w:rPr>
        <w:t xml:space="preserve"> </w:t>
      </w:r>
      <w:r w:rsidRPr="00BB5C77">
        <w:rPr>
          <w:rFonts w:ascii="Arial" w:eastAsia="Arial" w:hAnsi="Arial" w:cs="Arial"/>
          <w:color w:val="030303"/>
          <w:sz w:val="21"/>
          <w:szCs w:val="21"/>
          <w:lang w:val="en-ZA" w:eastAsia="en-ZA"/>
        </w:rPr>
        <w:t>whole</w:t>
      </w:r>
      <w:r w:rsidRPr="00BB5C77">
        <w:rPr>
          <w:rFonts w:ascii="Arial" w:eastAsia="Arial" w:hAnsi="Arial" w:cs="Arial"/>
          <w:color w:val="030303"/>
          <w:spacing w:val="12"/>
          <w:sz w:val="21"/>
          <w:szCs w:val="21"/>
          <w:lang w:val="en-ZA" w:eastAsia="en-ZA"/>
        </w:rPr>
        <w:t xml:space="preserve"> </w:t>
      </w:r>
      <w:r w:rsidRPr="00BB5C77">
        <w:rPr>
          <w:rFonts w:ascii="Arial" w:eastAsia="Arial" w:hAnsi="Arial" w:cs="Arial"/>
          <w:color w:val="030303"/>
          <w:sz w:val="21"/>
          <w:szCs w:val="21"/>
          <w:lang w:val="en-ZA" w:eastAsia="en-ZA"/>
        </w:rPr>
        <w:t>are</w:t>
      </w:r>
      <w:r w:rsidRPr="00BB5C77">
        <w:rPr>
          <w:rFonts w:ascii="Arial" w:eastAsia="Arial" w:hAnsi="Arial" w:cs="Arial"/>
          <w:color w:val="030303"/>
          <w:spacing w:val="20"/>
          <w:sz w:val="21"/>
          <w:szCs w:val="21"/>
          <w:lang w:val="en-ZA" w:eastAsia="en-ZA"/>
        </w:rPr>
        <w:t xml:space="preserve"> </w:t>
      </w:r>
      <w:r w:rsidRPr="00BB5C77">
        <w:rPr>
          <w:rFonts w:ascii="Arial" w:eastAsia="Arial" w:hAnsi="Arial" w:cs="Arial"/>
          <w:color w:val="030303"/>
          <w:sz w:val="21"/>
          <w:szCs w:val="21"/>
          <w:lang w:val="en-ZA" w:eastAsia="en-ZA"/>
        </w:rPr>
        <w:t>free</w:t>
      </w:r>
      <w:r w:rsidRPr="00BB5C77">
        <w:rPr>
          <w:rFonts w:ascii="Arial" w:eastAsia="Arial" w:hAnsi="Arial" w:cs="Arial"/>
          <w:color w:val="030303"/>
          <w:spacing w:val="19"/>
          <w:sz w:val="21"/>
          <w:szCs w:val="21"/>
          <w:lang w:val="en-ZA" w:eastAsia="en-ZA"/>
        </w:rPr>
        <w:t xml:space="preserve"> </w:t>
      </w:r>
      <w:r w:rsidRPr="00BB5C77">
        <w:rPr>
          <w:rFonts w:ascii="Arial" w:eastAsia="Arial" w:hAnsi="Arial" w:cs="Arial"/>
          <w:color w:val="030303"/>
          <w:sz w:val="21"/>
          <w:szCs w:val="21"/>
          <w:lang w:val="en-ZA" w:eastAsia="en-ZA"/>
        </w:rPr>
        <w:t>from</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material</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misstatement,</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whether</w:t>
      </w:r>
      <w:r w:rsidRPr="00BB5C77">
        <w:rPr>
          <w:rFonts w:ascii="Arial" w:eastAsia="Arial" w:hAnsi="Arial" w:cs="Arial"/>
          <w:color w:val="030303"/>
          <w:spacing w:val="7"/>
          <w:sz w:val="21"/>
          <w:szCs w:val="21"/>
          <w:lang w:val="en-ZA" w:eastAsia="en-ZA"/>
        </w:rPr>
        <w:t xml:space="preserve"> </w:t>
      </w:r>
      <w:r w:rsidRPr="00BB5C77">
        <w:rPr>
          <w:rFonts w:ascii="Arial" w:eastAsia="Arial" w:hAnsi="Arial" w:cs="Arial"/>
          <w:color w:val="030303"/>
          <w:sz w:val="21"/>
          <w:szCs w:val="21"/>
          <w:lang w:val="en-ZA" w:eastAsia="en-ZA"/>
        </w:rPr>
        <w:t>due</w:t>
      </w:r>
      <w:r w:rsidRPr="00BB5C77">
        <w:rPr>
          <w:rFonts w:ascii="Arial" w:eastAsia="Arial" w:hAnsi="Arial" w:cs="Arial"/>
          <w:color w:val="030303"/>
          <w:spacing w:val="22"/>
          <w:sz w:val="21"/>
          <w:szCs w:val="21"/>
          <w:lang w:val="en-ZA" w:eastAsia="en-ZA"/>
        </w:rPr>
        <w:t xml:space="preserve"> </w:t>
      </w:r>
      <w:r w:rsidRPr="00BB5C77">
        <w:rPr>
          <w:rFonts w:ascii="Arial" w:eastAsia="Arial" w:hAnsi="Arial" w:cs="Arial"/>
          <w:color w:val="030303"/>
          <w:sz w:val="21"/>
          <w:szCs w:val="21"/>
          <w:lang w:val="en-ZA" w:eastAsia="en-ZA"/>
        </w:rPr>
        <w:t>to</w:t>
      </w:r>
      <w:r w:rsidRPr="00BB5C77">
        <w:rPr>
          <w:rFonts w:ascii="Arial" w:eastAsia="Arial" w:hAnsi="Arial" w:cs="Arial"/>
          <w:color w:val="030303"/>
          <w:spacing w:val="9"/>
          <w:sz w:val="21"/>
          <w:szCs w:val="21"/>
          <w:lang w:val="en-ZA" w:eastAsia="en-ZA"/>
        </w:rPr>
        <w:t xml:space="preserve"> </w:t>
      </w:r>
      <w:r w:rsidRPr="00BB5C77">
        <w:rPr>
          <w:rFonts w:ascii="Arial" w:eastAsia="Arial" w:hAnsi="Arial" w:cs="Arial"/>
          <w:color w:val="030303"/>
          <w:sz w:val="21"/>
          <w:szCs w:val="21"/>
          <w:lang w:val="en-ZA" w:eastAsia="en-ZA"/>
        </w:rPr>
        <w:t>fraud</w:t>
      </w:r>
      <w:r w:rsidRPr="00BB5C77">
        <w:rPr>
          <w:rFonts w:ascii="Arial" w:eastAsia="Arial" w:hAnsi="Arial" w:cs="Arial"/>
          <w:color w:val="030303"/>
          <w:spacing w:val="21"/>
          <w:sz w:val="21"/>
          <w:szCs w:val="21"/>
          <w:lang w:val="en-ZA" w:eastAsia="en-ZA"/>
        </w:rPr>
        <w:t xml:space="preserve"> </w:t>
      </w:r>
      <w:r w:rsidRPr="00BB5C77">
        <w:rPr>
          <w:rFonts w:ascii="Arial" w:eastAsia="Arial" w:hAnsi="Arial" w:cs="Arial"/>
          <w:color w:val="030303"/>
          <w:w w:val="109"/>
          <w:sz w:val="21"/>
          <w:szCs w:val="21"/>
          <w:lang w:val="en-ZA" w:eastAsia="en-ZA"/>
        </w:rPr>
        <w:t>or</w:t>
      </w:r>
    </w:p>
    <w:p w14:paraId="14495A71" w14:textId="77777777" w:rsidR="00BB5C77" w:rsidRPr="00BB5C77" w:rsidRDefault="00BB5C77" w:rsidP="00BB5C77">
      <w:pPr>
        <w:spacing w:after="0" w:line="235" w:lineRule="exact"/>
        <w:ind w:left="605" w:right="-20"/>
        <w:jc w:val="both"/>
        <w:rPr>
          <w:rFonts w:ascii="Arial" w:eastAsia="Arial" w:hAnsi="Arial" w:cs="Arial"/>
          <w:sz w:val="21"/>
          <w:szCs w:val="21"/>
          <w:lang w:val="en-ZA" w:eastAsia="en-ZA"/>
        </w:rPr>
      </w:pPr>
      <w:r w:rsidRPr="00BB5C77">
        <w:rPr>
          <w:rFonts w:ascii="Arial" w:eastAsia="Arial" w:hAnsi="Arial" w:cs="Arial"/>
          <w:color w:val="030303"/>
          <w:sz w:val="21"/>
          <w:szCs w:val="21"/>
          <w:lang w:val="en-ZA" w:eastAsia="en-ZA"/>
        </w:rPr>
        <w:t>error,</w:t>
      </w:r>
      <w:r w:rsidRPr="00BB5C77">
        <w:rPr>
          <w:rFonts w:ascii="Arial" w:eastAsia="Arial" w:hAnsi="Arial" w:cs="Arial"/>
          <w:color w:val="030303"/>
          <w:spacing w:val="31"/>
          <w:sz w:val="21"/>
          <w:szCs w:val="21"/>
          <w:lang w:val="en-ZA" w:eastAsia="en-ZA"/>
        </w:rPr>
        <w:t xml:space="preserve"> </w:t>
      </w:r>
      <w:r w:rsidRPr="00BB5C77">
        <w:rPr>
          <w:rFonts w:ascii="Arial" w:eastAsia="Arial" w:hAnsi="Arial" w:cs="Arial"/>
          <w:color w:val="030303"/>
          <w:sz w:val="21"/>
          <w:szCs w:val="21"/>
          <w:lang w:val="en-ZA" w:eastAsia="en-ZA"/>
        </w:rPr>
        <w:t>and</w:t>
      </w:r>
      <w:r w:rsidRPr="00BB5C77">
        <w:rPr>
          <w:rFonts w:ascii="Arial" w:eastAsia="Arial" w:hAnsi="Arial" w:cs="Arial"/>
          <w:color w:val="030303"/>
          <w:spacing w:val="10"/>
          <w:sz w:val="21"/>
          <w:szCs w:val="21"/>
          <w:lang w:val="en-ZA" w:eastAsia="en-ZA"/>
        </w:rPr>
        <w:t xml:space="preserve"> </w:t>
      </w:r>
      <w:r w:rsidRPr="00BB5C77">
        <w:rPr>
          <w:rFonts w:ascii="Arial" w:eastAsia="Arial" w:hAnsi="Arial" w:cs="Arial"/>
          <w:color w:val="030303"/>
          <w:sz w:val="21"/>
          <w:szCs w:val="21"/>
          <w:lang w:val="en-ZA" w:eastAsia="en-ZA"/>
        </w:rPr>
        <w:t>to</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issue</w:t>
      </w:r>
      <w:r w:rsidRPr="00BB5C77">
        <w:rPr>
          <w:rFonts w:ascii="Arial" w:eastAsia="Arial" w:hAnsi="Arial" w:cs="Arial"/>
          <w:color w:val="030303"/>
          <w:spacing w:val="28"/>
          <w:sz w:val="21"/>
          <w:szCs w:val="21"/>
          <w:lang w:val="en-ZA" w:eastAsia="en-ZA"/>
        </w:rPr>
        <w:t xml:space="preserve"> </w:t>
      </w:r>
      <w:r w:rsidRPr="00BB5C77">
        <w:rPr>
          <w:rFonts w:ascii="Arial" w:eastAsia="Arial" w:hAnsi="Arial" w:cs="Arial"/>
          <w:color w:val="030303"/>
          <w:sz w:val="21"/>
          <w:szCs w:val="21"/>
          <w:lang w:val="en-ZA" w:eastAsia="en-ZA"/>
        </w:rPr>
        <w:t>an</w:t>
      </w:r>
      <w:r w:rsidRPr="00BB5C77">
        <w:rPr>
          <w:rFonts w:ascii="Arial" w:eastAsia="Arial" w:hAnsi="Arial" w:cs="Arial"/>
          <w:color w:val="030303"/>
          <w:spacing w:val="9"/>
          <w:sz w:val="21"/>
          <w:szCs w:val="21"/>
          <w:lang w:val="en-ZA" w:eastAsia="en-ZA"/>
        </w:rPr>
        <w:t xml:space="preserve"> </w:t>
      </w:r>
      <w:r w:rsidRPr="00BB5C77">
        <w:rPr>
          <w:rFonts w:ascii="Arial" w:eastAsia="Arial" w:hAnsi="Arial" w:cs="Arial"/>
          <w:color w:val="030303"/>
          <w:w w:val="104"/>
          <w:sz w:val="21"/>
          <w:szCs w:val="21"/>
          <w:lang w:val="en-ZA" w:eastAsia="en-ZA"/>
        </w:rPr>
        <w:t>audito</w:t>
      </w:r>
      <w:r w:rsidRPr="00BB5C77">
        <w:rPr>
          <w:rFonts w:ascii="Arial" w:eastAsia="Arial" w:hAnsi="Arial" w:cs="Arial"/>
          <w:color w:val="030303"/>
          <w:spacing w:val="-9"/>
          <w:w w:val="105"/>
          <w:sz w:val="21"/>
          <w:szCs w:val="21"/>
          <w:lang w:val="en-ZA" w:eastAsia="en-ZA"/>
        </w:rPr>
        <w:t>r</w:t>
      </w:r>
      <w:r w:rsidRPr="00BB5C77">
        <w:rPr>
          <w:rFonts w:ascii="Arial" w:eastAsia="Arial" w:hAnsi="Arial" w:cs="Arial"/>
          <w:color w:val="1D1D1D"/>
          <w:spacing w:val="-8"/>
          <w:w w:val="135"/>
          <w:sz w:val="21"/>
          <w:szCs w:val="21"/>
          <w:lang w:val="en-ZA" w:eastAsia="en-ZA"/>
        </w:rPr>
        <w:t>'</w:t>
      </w:r>
      <w:r w:rsidRPr="00BB5C77">
        <w:rPr>
          <w:rFonts w:ascii="Arial" w:eastAsia="Arial" w:hAnsi="Arial" w:cs="Arial"/>
          <w:color w:val="030303"/>
          <w:w w:val="110"/>
          <w:sz w:val="21"/>
          <w:szCs w:val="21"/>
          <w:lang w:val="en-ZA" w:eastAsia="en-ZA"/>
        </w:rPr>
        <w:t>s</w:t>
      </w:r>
      <w:r w:rsidRPr="00BB5C77">
        <w:rPr>
          <w:rFonts w:ascii="Arial" w:eastAsia="Arial" w:hAnsi="Arial" w:cs="Arial"/>
          <w:color w:val="030303"/>
          <w:spacing w:val="5"/>
          <w:sz w:val="21"/>
          <w:szCs w:val="21"/>
          <w:lang w:val="en-ZA" w:eastAsia="en-ZA"/>
        </w:rPr>
        <w:t xml:space="preserve"> </w:t>
      </w:r>
      <w:r w:rsidRPr="00BB5C77">
        <w:rPr>
          <w:rFonts w:ascii="Arial" w:eastAsia="Arial" w:hAnsi="Arial" w:cs="Arial"/>
          <w:color w:val="030303"/>
          <w:sz w:val="21"/>
          <w:szCs w:val="21"/>
          <w:lang w:val="en-ZA" w:eastAsia="en-ZA"/>
        </w:rPr>
        <w:t>report</w:t>
      </w:r>
      <w:r w:rsidRPr="00BB5C77">
        <w:rPr>
          <w:rFonts w:ascii="Arial" w:eastAsia="Arial" w:hAnsi="Arial" w:cs="Arial"/>
          <w:color w:val="030303"/>
          <w:spacing w:val="15"/>
          <w:sz w:val="21"/>
          <w:szCs w:val="21"/>
          <w:lang w:val="en-ZA" w:eastAsia="en-ZA"/>
        </w:rPr>
        <w:t xml:space="preserve"> </w:t>
      </w:r>
      <w:r w:rsidRPr="00BB5C77">
        <w:rPr>
          <w:rFonts w:ascii="Arial" w:eastAsia="Arial" w:hAnsi="Arial" w:cs="Arial"/>
          <w:color w:val="030303"/>
          <w:sz w:val="21"/>
          <w:szCs w:val="21"/>
          <w:lang w:val="en-ZA" w:eastAsia="en-ZA"/>
        </w:rPr>
        <w:t>that</w:t>
      </w:r>
      <w:r w:rsidRPr="00BB5C77">
        <w:rPr>
          <w:rFonts w:ascii="Arial" w:eastAsia="Arial" w:hAnsi="Arial" w:cs="Arial"/>
          <w:color w:val="030303"/>
          <w:spacing w:val="21"/>
          <w:sz w:val="21"/>
          <w:szCs w:val="21"/>
          <w:lang w:val="en-ZA" w:eastAsia="en-ZA"/>
        </w:rPr>
        <w:t xml:space="preserve"> </w:t>
      </w:r>
      <w:r w:rsidRPr="00BB5C77">
        <w:rPr>
          <w:rFonts w:ascii="Arial" w:eastAsia="Arial" w:hAnsi="Arial" w:cs="Arial"/>
          <w:color w:val="1D1D1D"/>
          <w:spacing w:val="-13"/>
          <w:w w:val="155"/>
          <w:sz w:val="21"/>
          <w:szCs w:val="21"/>
          <w:lang w:val="en-ZA" w:eastAsia="en-ZA"/>
        </w:rPr>
        <w:t>i</w:t>
      </w:r>
      <w:r w:rsidRPr="00BB5C77">
        <w:rPr>
          <w:rFonts w:ascii="Arial" w:eastAsia="Arial" w:hAnsi="Arial" w:cs="Arial"/>
          <w:color w:val="030303"/>
          <w:w w:val="106"/>
          <w:sz w:val="21"/>
          <w:szCs w:val="21"/>
          <w:lang w:val="en-ZA" w:eastAsia="en-ZA"/>
        </w:rPr>
        <w:t>ncludes</w:t>
      </w:r>
      <w:r w:rsidRPr="00BB5C77">
        <w:rPr>
          <w:rFonts w:ascii="Arial" w:eastAsia="Arial" w:hAnsi="Arial" w:cs="Arial"/>
          <w:color w:val="030303"/>
          <w:spacing w:val="4"/>
          <w:sz w:val="21"/>
          <w:szCs w:val="21"/>
          <w:lang w:val="en-ZA" w:eastAsia="en-ZA"/>
        </w:rPr>
        <w:t xml:space="preserve"> </w:t>
      </w:r>
      <w:r w:rsidRPr="00BB5C77">
        <w:rPr>
          <w:rFonts w:ascii="Arial" w:eastAsia="Arial" w:hAnsi="Arial" w:cs="Arial"/>
          <w:color w:val="030303"/>
          <w:sz w:val="21"/>
          <w:szCs w:val="21"/>
          <w:lang w:val="en-ZA" w:eastAsia="en-ZA"/>
        </w:rPr>
        <w:t>my</w:t>
      </w:r>
      <w:r w:rsidRPr="00BB5C77">
        <w:rPr>
          <w:rFonts w:ascii="Arial" w:eastAsia="Arial" w:hAnsi="Arial" w:cs="Arial"/>
          <w:color w:val="030303"/>
          <w:spacing w:val="11"/>
          <w:sz w:val="21"/>
          <w:szCs w:val="21"/>
          <w:lang w:val="en-ZA" w:eastAsia="en-ZA"/>
        </w:rPr>
        <w:t xml:space="preserve"> </w:t>
      </w:r>
      <w:r w:rsidRPr="00BB5C77">
        <w:rPr>
          <w:rFonts w:ascii="Arial" w:eastAsia="Arial" w:hAnsi="Arial" w:cs="Arial"/>
          <w:color w:val="030303"/>
          <w:sz w:val="21"/>
          <w:szCs w:val="21"/>
          <w:lang w:val="en-ZA" w:eastAsia="en-ZA"/>
        </w:rPr>
        <w:t>opinion.</w:t>
      </w:r>
      <w:r w:rsidRPr="00BB5C77">
        <w:rPr>
          <w:rFonts w:ascii="Arial" w:eastAsia="Arial" w:hAnsi="Arial" w:cs="Arial"/>
          <w:color w:val="030303"/>
          <w:spacing w:val="3"/>
          <w:sz w:val="21"/>
          <w:szCs w:val="21"/>
          <w:lang w:val="en-ZA" w:eastAsia="en-ZA"/>
        </w:rPr>
        <w:t xml:space="preserve"> </w:t>
      </w:r>
      <w:r w:rsidRPr="00BB5C77">
        <w:rPr>
          <w:rFonts w:ascii="Arial" w:eastAsia="Arial" w:hAnsi="Arial" w:cs="Arial"/>
          <w:color w:val="030303"/>
          <w:sz w:val="21"/>
          <w:szCs w:val="21"/>
          <w:lang w:val="en-ZA" w:eastAsia="en-ZA"/>
        </w:rPr>
        <w:t>Reasonable</w:t>
      </w:r>
      <w:r w:rsidRPr="00BB5C77">
        <w:rPr>
          <w:rFonts w:ascii="Arial" w:eastAsia="Arial" w:hAnsi="Arial" w:cs="Arial"/>
          <w:color w:val="030303"/>
          <w:spacing w:val="42"/>
          <w:sz w:val="21"/>
          <w:szCs w:val="21"/>
          <w:lang w:val="en-ZA" w:eastAsia="en-ZA"/>
        </w:rPr>
        <w:t xml:space="preserve"> </w:t>
      </w:r>
      <w:r w:rsidRPr="00BB5C77">
        <w:rPr>
          <w:rFonts w:ascii="Arial" w:eastAsia="Arial" w:hAnsi="Arial" w:cs="Arial"/>
          <w:color w:val="030303"/>
          <w:sz w:val="21"/>
          <w:szCs w:val="21"/>
          <w:lang w:val="en-ZA" w:eastAsia="en-ZA"/>
        </w:rPr>
        <w:t>assurance</w:t>
      </w:r>
      <w:r w:rsidRPr="00BB5C77">
        <w:rPr>
          <w:rFonts w:ascii="Arial" w:eastAsia="Arial" w:hAnsi="Arial" w:cs="Arial"/>
          <w:color w:val="030303"/>
          <w:spacing w:val="46"/>
          <w:sz w:val="21"/>
          <w:szCs w:val="21"/>
          <w:lang w:val="en-ZA" w:eastAsia="en-ZA"/>
        </w:rPr>
        <w:t xml:space="preserve"> </w:t>
      </w:r>
      <w:r w:rsidRPr="00BB5C77">
        <w:rPr>
          <w:rFonts w:ascii="Arial" w:eastAsia="Arial" w:hAnsi="Arial" w:cs="Arial"/>
          <w:color w:val="030303"/>
          <w:w w:val="110"/>
          <w:sz w:val="21"/>
          <w:szCs w:val="21"/>
          <w:lang w:val="en-ZA" w:eastAsia="en-ZA"/>
        </w:rPr>
        <w:t>is</w:t>
      </w:r>
    </w:p>
    <w:p w14:paraId="5D1F6635" w14:textId="77777777" w:rsidR="00BB5C77" w:rsidRPr="00BB5C77" w:rsidRDefault="00BB5C77" w:rsidP="00BB5C77">
      <w:pPr>
        <w:spacing w:before="9" w:after="0" w:line="249" w:lineRule="auto"/>
        <w:ind w:left="605" w:right="175" w:firstLine="14"/>
        <w:jc w:val="both"/>
        <w:rPr>
          <w:rFonts w:ascii="Arial" w:eastAsia="Arial" w:hAnsi="Arial" w:cs="Arial"/>
          <w:sz w:val="21"/>
          <w:szCs w:val="21"/>
          <w:lang w:val="en-ZA" w:eastAsia="en-ZA"/>
        </w:rPr>
      </w:pPr>
      <w:r w:rsidRPr="00BB5C77">
        <w:rPr>
          <w:rFonts w:ascii="Arial" w:eastAsia="Arial" w:hAnsi="Arial" w:cs="Arial"/>
          <w:color w:val="030303"/>
          <w:sz w:val="21"/>
          <w:szCs w:val="21"/>
          <w:lang w:val="en-ZA" w:eastAsia="en-ZA"/>
        </w:rPr>
        <w:t>a</w:t>
      </w:r>
      <w:r w:rsidRPr="00BB5C77">
        <w:rPr>
          <w:rFonts w:ascii="Arial" w:eastAsia="Arial" w:hAnsi="Arial" w:cs="Arial"/>
          <w:color w:val="030303"/>
          <w:spacing w:val="-3"/>
          <w:sz w:val="21"/>
          <w:szCs w:val="21"/>
          <w:lang w:val="en-ZA" w:eastAsia="en-ZA"/>
        </w:rPr>
        <w:t xml:space="preserve"> </w:t>
      </w:r>
      <w:r w:rsidRPr="00BB5C77">
        <w:rPr>
          <w:rFonts w:ascii="Arial" w:eastAsia="Arial" w:hAnsi="Arial" w:cs="Arial"/>
          <w:color w:val="030303"/>
          <w:sz w:val="21"/>
          <w:szCs w:val="21"/>
          <w:lang w:val="en-ZA" w:eastAsia="en-ZA"/>
        </w:rPr>
        <w:t>high</w:t>
      </w:r>
      <w:r w:rsidRPr="00BB5C77">
        <w:rPr>
          <w:rFonts w:ascii="Arial" w:eastAsia="Arial" w:hAnsi="Arial" w:cs="Arial"/>
          <w:color w:val="030303"/>
          <w:spacing w:val="18"/>
          <w:sz w:val="21"/>
          <w:szCs w:val="21"/>
          <w:lang w:val="en-ZA" w:eastAsia="en-ZA"/>
        </w:rPr>
        <w:t xml:space="preserve"> </w:t>
      </w:r>
      <w:r w:rsidRPr="00BB5C77">
        <w:rPr>
          <w:rFonts w:ascii="Arial" w:eastAsia="Arial" w:hAnsi="Arial" w:cs="Arial"/>
          <w:color w:val="030303"/>
          <w:sz w:val="21"/>
          <w:szCs w:val="21"/>
          <w:lang w:val="en-ZA" w:eastAsia="en-ZA"/>
        </w:rPr>
        <w:t>level</w:t>
      </w:r>
      <w:r w:rsidRPr="00BB5C77">
        <w:rPr>
          <w:rFonts w:ascii="Arial" w:eastAsia="Arial" w:hAnsi="Arial" w:cs="Arial"/>
          <w:color w:val="030303"/>
          <w:spacing w:val="-7"/>
          <w:sz w:val="21"/>
          <w:szCs w:val="21"/>
          <w:lang w:val="en-ZA" w:eastAsia="en-ZA"/>
        </w:rPr>
        <w:t xml:space="preserve"> </w:t>
      </w:r>
      <w:r w:rsidRPr="00BB5C77">
        <w:rPr>
          <w:rFonts w:ascii="Arial" w:eastAsia="Arial" w:hAnsi="Arial" w:cs="Arial"/>
          <w:color w:val="030303"/>
          <w:sz w:val="21"/>
          <w:szCs w:val="21"/>
          <w:lang w:val="en-ZA" w:eastAsia="en-ZA"/>
        </w:rPr>
        <w:t>of</w:t>
      </w:r>
      <w:r w:rsidRPr="00BB5C77">
        <w:rPr>
          <w:rFonts w:ascii="Arial" w:eastAsia="Arial" w:hAnsi="Arial" w:cs="Arial"/>
          <w:color w:val="030303"/>
          <w:spacing w:val="24"/>
          <w:sz w:val="21"/>
          <w:szCs w:val="21"/>
          <w:lang w:val="en-ZA" w:eastAsia="en-ZA"/>
        </w:rPr>
        <w:t xml:space="preserve"> </w:t>
      </w:r>
      <w:r w:rsidRPr="00BB5C77">
        <w:rPr>
          <w:rFonts w:ascii="Arial" w:eastAsia="Arial" w:hAnsi="Arial" w:cs="Arial"/>
          <w:color w:val="030303"/>
          <w:w w:val="105"/>
          <w:sz w:val="21"/>
          <w:szCs w:val="21"/>
          <w:lang w:val="en-ZA" w:eastAsia="en-ZA"/>
        </w:rPr>
        <w:t>assuranc</w:t>
      </w:r>
      <w:r w:rsidRPr="00BB5C77">
        <w:rPr>
          <w:rFonts w:ascii="Arial" w:eastAsia="Arial" w:hAnsi="Arial" w:cs="Arial"/>
          <w:color w:val="030303"/>
          <w:spacing w:val="-15"/>
          <w:w w:val="105"/>
          <w:sz w:val="21"/>
          <w:szCs w:val="21"/>
          <w:lang w:val="en-ZA" w:eastAsia="en-ZA"/>
        </w:rPr>
        <w:t>e</w:t>
      </w:r>
      <w:r w:rsidRPr="00BB5C77">
        <w:rPr>
          <w:rFonts w:ascii="Arial" w:eastAsia="Arial" w:hAnsi="Arial" w:cs="Arial"/>
          <w:color w:val="1D1D1D"/>
          <w:w w:val="159"/>
          <w:sz w:val="21"/>
          <w:szCs w:val="21"/>
          <w:lang w:val="en-ZA" w:eastAsia="en-ZA"/>
        </w:rPr>
        <w:t>,</w:t>
      </w:r>
      <w:r w:rsidRPr="00BB5C77">
        <w:rPr>
          <w:rFonts w:ascii="Arial" w:eastAsia="Arial" w:hAnsi="Arial" w:cs="Arial"/>
          <w:color w:val="1D1D1D"/>
          <w:spacing w:val="-33"/>
          <w:sz w:val="21"/>
          <w:szCs w:val="21"/>
          <w:lang w:val="en-ZA" w:eastAsia="en-ZA"/>
        </w:rPr>
        <w:t xml:space="preserve"> </w:t>
      </w:r>
      <w:r w:rsidRPr="00BB5C77">
        <w:rPr>
          <w:rFonts w:ascii="Arial" w:eastAsia="Arial" w:hAnsi="Arial" w:cs="Arial"/>
          <w:color w:val="030303"/>
          <w:sz w:val="21"/>
          <w:szCs w:val="21"/>
          <w:lang w:val="en-ZA" w:eastAsia="en-ZA"/>
        </w:rPr>
        <w:t>but</w:t>
      </w:r>
      <w:r w:rsidRPr="00BB5C77">
        <w:rPr>
          <w:rFonts w:ascii="Arial" w:eastAsia="Arial" w:hAnsi="Arial" w:cs="Arial"/>
          <w:color w:val="030303"/>
          <w:spacing w:val="20"/>
          <w:sz w:val="21"/>
          <w:szCs w:val="21"/>
          <w:lang w:val="en-ZA" w:eastAsia="en-ZA"/>
        </w:rPr>
        <w:t xml:space="preserve"> </w:t>
      </w:r>
      <w:r w:rsidRPr="00BB5C77">
        <w:rPr>
          <w:rFonts w:ascii="Arial" w:eastAsia="Arial" w:hAnsi="Arial" w:cs="Arial"/>
          <w:color w:val="030303"/>
          <w:sz w:val="21"/>
          <w:szCs w:val="21"/>
          <w:lang w:val="en-ZA" w:eastAsia="en-ZA"/>
        </w:rPr>
        <w:t>is</w:t>
      </w:r>
      <w:r w:rsidRPr="00BB5C77">
        <w:rPr>
          <w:rFonts w:ascii="Arial" w:eastAsia="Arial" w:hAnsi="Arial" w:cs="Arial"/>
          <w:color w:val="030303"/>
          <w:spacing w:val="5"/>
          <w:sz w:val="21"/>
          <w:szCs w:val="21"/>
          <w:lang w:val="en-ZA" w:eastAsia="en-ZA"/>
        </w:rPr>
        <w:t xml:space="preserve"> </w:t>
      </w:r>
      <w:r w:rsidRPr="00BB5C77">
        <w:rPr>
          <w:rFonts w:ascii="Arial" w:eastAsia="Arial" w:hAnsi="Arial" w:cs="Arial"/>
          <w:color w:val="030303"/>
          <w:sz w:val="21"/>
          <w:szCs w:val="21"/>
          <w:lang w:val="en-ZA" w:eastAsia="en-ZA"/>
        </w:rPr>
        <w:t>not</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a</w:t>
      </w:r>
      <w:r w:rsidRPr="00BB5C77">
        <w:rPr>
          <w:rFonts w:ascii="Arial" w:eastAsia="Arial" w:hAnsi="Arial" w:cs="Arial"/>
          <w:color w:val="030303"/>
          <w:spacing w:val="11"/>
          <w:sz w:val="21"/>
          <w:szCs w:val="21"/>
          <w:lang w:val="en-ZA" w:eastAsia="en-ZA"/>
        </w:rPr>
        <w:t xml:space="preserve"> </w:t>
      </w:r>
      <w:r w:rsidRPr="00BB5C77">
        <w:rPr>
          <w:rFonts w:ascii="Arial" w:eastAsia="Arial" w:hAnsi="Arial" w:cs="Arial"/>
          <w:color w:val="030303"/>
          <w:sz w:val="21"/>
          <w:szCs w:val="21"/>
          <w:lang w:val="en-ZA" w:eastAsia="en-ZA"/>
        </w:rPr>
        <w:t>guarantee</w:t>
      </w:r>
      <w:r w:rsidRPr="00BB5C77">
        <w:rPr>
          <w:rFonts w:ascii="Arial" w:eastAsia="Arial" w:hAnsi="Arial" w:cs="Arial"/>
          <w:color w:val="030303"/>
          <w:spacing w:val="47"/>
          <w:sz w:val="21"/>
          <w:szCs w:val="21"/>
          <w:lang w:val="en-ZA" w:eastAsia="en-ZA"/>
        </w:rPr>
        <w:t xml:space="preserve"> </w:t>
      </w:r>
      <w:r w:rsidRPr="00BB5C77">
        <w:rPr>
          <w:rFonts w:ascii="Arial" w:eastAsia="Arial" w:hAnsi="Arial" w:cs="Arial"/>
          <w:color w:val="030303"/>
          <w:sz w:val="21"/>
          <w:szCs w:val="21"/>
          <w:lang w:val="en-ZA" w:eastAsia="en-ZA"/>
        </w:rPr>
        <w:t>that</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an</w:t>
      </w:r>
      <w:r w:rsidRPr="00BB5C77">
        <w:rPr>
          <w:rFonts w:ascii="Arial" w:eastAsia="Arial" w:hAnsi="Arial" w:cs="Arial"/>
          <w:color w:val="030303"/>
          <w:spacing w:val="6"/>
          <w:sz w:val="21"/>
          <w:szCs w:val="21"/>
          <w:lang w:val="en-ZA" w:eastAsia="en-ZA"/>
        </w:rPr>
        <w:t xml:space="preserve"> </w:t>
      </w:r>
      <w:r w:rsidRPr="00BB5C77">
        <w:rPr>
          <w:rFonts w:ascii="Arial" w:eastAsia="Arial" w:hAnsi="Arial" w:cs="Arial"/>
          <w:color w:val="030303"/>
          <w:sz w:val="21"/>
          <w:szCs w:val="21"/>
          <w:lang w:val="en-ZA" w:eastAsia="en-ZA"/>
        </w:rPr>
        <w:t>audit</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conducted</w:t>
      </w:r>
      <w:r w:rsidRPr="00BB5C77">
        <w:rPr>
          <w:rFonts w:ascii="Arial" w:eastAsia="Arial" w:hAnsi="Arial" w:cs="Arial"/>
          <w:color w:val="030303"/>
          <w:spacing w:val="28"/>
          <w:sz w:val="21"/>
          <w:szCs w:val="21"/>
          <w:lang w:val="en-ZA" w:eastAsia="en-ZA"/>
        </w:rPr>
        <w:t xml:space="preserve"> </w:t>
      </w:r>
      <w:r w:rsidRPr="00BB5C77">
        <w:rPr>
          <w:rFonts w:ascii="Arial" w:eastAsia="Arial" w:hAnsi="Arial" w:cs="Arial"/>
          <w:color w:val="030303"/>
          <w:sz w:val="21"/>
          <w:szCs w:val="21"/>
          <w:lang w:val="en-ZA" w:eastAsia="en-ZA"/>
        </w:rPr>
        <w:t>in</w:t>
      </w:r>
      <w:r w:rsidRPr="00BB5C77">
        <w:rPr>
          <w:rFonts w:ascii="Arial" w:eastAsia="Arial" w:hAnsi="Arial" w:cs="Arial"/>
          <w:color w:val="030303"/>
          <w:spacing w:val="10"/>
          <w:sz w:val="21"/>
          <w:szCs w:val="21"/>
          <w:lang w:val="en-ZA" w:eastAsia="en-ZA"/>
        </w:rPr>
        <w:t xml:space="preserve"> </w:t>
      </w:r>
      <w:r w:rsidRPr="00BB5C77">
        <w:rPr>
          <w:rFonts w:ascii="Arial" w:eastAsia="Arial" w:hAnsi="Arial" w:cs="Arial"/>
          <w:color w:val="030303"/>
          <w:w w:val="105"/>
          <w:sz w:val="21"/>
          <w:szCs w:val="21"/>
          <w:lang w:val="en-ZA" w:eastAsia="en-ZA"/>
        </w:rPr>
        <w:t xml:space="preserve">accordance </w:t>
      </w:r>
      <w:r w:rsidRPr="00BB5C77">
        <w:rPr>
          <w:rFonts w:ascii="Arial" w:eastAsia="Arial" w:hAnsi="Arial" w:cs="Arial"/>
          <w:color w:val="030303"/>
          <w:sz w:val="21"/>
          <w:szCs w:val="21"/>
          <w:lang w:val="en-ZA" w:eastAsia="en-ZA"/>
        </w:rPr>
        <w:t>with</w:t>
      </w:r>
      <w:r w:rsidRPr="00BB5C77">
        <w:rPr>
          <w:rFonts w:ascii="Arial" w:eastAsia="Arial" w:hAnsi="Arial" w:cs="Arial"/>
          <w:color w:val="030303"/>
          <w:spacing w:val="16"/>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8"/>
          <w:sz w:val="21"/>
          <w:szCs w:val="21"/>
          <w:lang w:val="en-ZA" w:eastAsia="en-ZA"/>
        </w:rPr>
        <w:t xml:space="preserve"> </w:t>
      </w:r>
      <w:r w:rsidRPr="00BB5C77">
        <w:rPr>
          <w:rFonts w:ascii="Arial" w:eastAsia="Arial" w:hAnsi="Arial" w:cs="Arial"/>
          <w:color w:val="030303"/>
          <w:sz w:val="21"/>
          <w:szCs w:val="21"/>
          <w:lang w:val="en-ZA" w:eastAsia="en-ZA"/>
        </w:rPr>
        <w:t>ISAs</w:t>
      </w:r>
      <w:r w:rsidRPr="00BB5C77">
        <w:rPr>
          <w:rFonts w:ascii="Arial" w:eastAsia="Arial" w:hAnsi="Arial" w:cs="Arial"/>
          <w:color w:val="030303"/>
          <w:spacing w:val="24"/>
          <w:sz w:val="21"/>
          <w:szCs w:val="21"/>
          <w:lang w:val="en-ZA" w:eastAsia="en-ZA"/>
        </w:rPr>
        <w:t xml:space="preserve"> </w:t>
      </w:r>
      <w:r w:rsidRPr="00BB5C77">
        <w:rPr>
          <w:rFonts w:ascii="Arial" w:eastAsia="Arial" w:hAnsi="Arial" w:cs="Arial"/>
          <w:color w:val="030303"/>
          <w:sz w:val="21"/>
          <w:szCs w:val="21"/>
          <w:lang w:val="en-ZA" w:eastAsia="en-ZA"/>
        </w:rPr>
        <w:t>will</w:t>
      </w:r>
      <w:r w:rsidRPr="00BB5C77">
        <w:rPr>
          <w:rFonts w:ascii="Arial" w:eastAsia="Arial" w:hAnsi="Arial" w:cs="Arial"/>
          <w:color w:val="030303"/>
          <w:spacing w:val="4"/>
          <w:sz w:val="21"/>
          <w:szCs w:val="21"/>
          <w:lang w:val="en-ZA" w:eastAsia="en-ZA"/>
        </w:rPr>
        <w:t xml:space="preserve"> </w:t>
      </w:r>
      <w:r w:rsidRPr="00BB5C77">
        <w:rPr>
          <w:rFonts w:ascii="Arial" w:eastAsia="Arial" w:hAnsi="Arial" w:cs="Arial"/>
          <w:color w:val="030303"/>
          <w:sz w:val="21"/>
          <w:szCs w:val="21"/>
          <w:lang w:val="en-ZA" w:eastAsia="en-ZA"/>
        </w:rPr>
        <w:t>always</w:t>
      </w:r>
      <w:r w:rsidRPr="00BB5C77">
        <w:rPr>
          <w:rFonts w:ascii="Arial" w:eastAsia="Arial" w:hAnsi="Arial" w:cs="Arial"/>
          <w:color w:val="030303"/>
          <w:spacing w:val="36"/>
          <w:sz w:val="21"/>
          <w:szCs w:val="21"/>
          <w:lang w:val="en-ZA" w:eastAsia="en-ZA"/>
        </w:rPr>
        <w:t xml:space="preserve"> </w:t>
      </w:r>
      <w:r w:rsidRPr="00BB5C77">
        <w:rPr>
          <w:rFonts w:ascii="Arial" w:eastAsia="Arial" w:hAnsi="Arial" w:cs="Arial"/>
          <w:color w:val="030303"/>
          <w:sz w:val="21"/>
          <w:szCs w:val="21"/>
          <w:lang w:val="en-ZA" w:eastAsia="en-ZA"/>
        </w:rPr>
        <w:t>detect</w:t>
      </w:r>
      <w:r w:rsidRPr="00BB5C77">
        <w:rPr>
          <w:rFonts w:ascii="Arial" w:eastAsia="Arial" w:hAnsi="Arial" w:cs="Arial"/>
          <w:color w:val="030303"/>
          <w:spacing w:val="23"/>
          <w:sz w:val="21"/>
          <w:szCs w:val="21"/>
          <w:lang w:val="en-ZA" w:eastAsia="en-ZA"/>
        </w:rPr>
        <w:t xml:space="preserve"> </w:t>
      </w:r>
      <w:r w:rsidRPr="00BB5C77">
        <w:rPr>
          <w:rFonts w:ascii="Arial" w:eastAsia="Arial" w:hAnsi="Arial" w:cs="Arial"/>
          <w:color w:val="030303"/>
          <w:sz w:val="21"/>
          <w:szCs w:val="21"/>
          <w:lang w:val="en-ZA" w:eastAsia="en-ZA"/>
        </w:rPr>
        <w:t>a</w:t>
      </w:r>
      <w:r w:rsidRPr="00BB5C77">
        <w:rPr>
          <w:rFonts w:ascii="Arial" w:eastAsia="Arial" w:hAnsi="Arial" w:cs="Arial"/>
          <w:color w:val="030303"/>
          <w:spacing w:val="4"/>
          <w:sz w:val="21"/>
          <w:szCs w:val="21"/>
          <w:lang w:val="en-ZA" w:eastAsia="en-ZA"/>
        </w:rPr>
        <w:t xml:space="preserve"> </w:t>
      </w:r>
      <w:r w:rsidRPr="00BB5C77">
        <w:rPr>
          <w:rFonts w:ascii="Arial" w:eastAsia="Arial" w:hAnsi="Arial" w:cs="Arial"/>
          <w:color w:val="030303"/>
          <w:sz w:val="21"/>
          <w:szCs w:val="21"/>
          <w:lang w:val="en-ZA" w:eastAsia="en-ZA"/>
        </w:rPr>
        <w:t>material</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misstatement</w:t>
      </w:r>
      <w:r w:rsidRPr="00BB5C77">
        <w:rPr>
          <w:rFonts w:ascii="Arial" w:eastAsia="Arial" w:hAnsi="Arial" w:cs="Arial"/>
          <w:color w:val="030303"/>
          <w:spacing w:val="50"/>
          <w:sz w:val="21"/>
          <w:szCs w:val="21"/>
          <w:lang w:val="en-ZA" w:eastAsia="en-ZA"/>
        </w:rPr>
        <w:t xml:space="preserve"> </w:t>
      </w:r>
      <w:r w:rsidRPr="00BB5C77">
        <w:rPr>
          <w:rFonts w:ascii="Arial" w:eastAsia="Arial" w:hAnsi="Arial" w:cs="Arial"/>
          <w:color w:val="030303"/>
          <w:sz w:val="21"/>
          <w:szCs w:val="21"/>
          <w:lang w:val="en-ZA" w:eastAsia="en-ZA"/>
        </w:rPr>
        <w:t>when</w:t>
      </w:r>
      <w:r w:rsidRPr="00BB5C77">
        <w:rPr>
          <w:rFonts w:ascii="Arial" w:eastAsia="Arial" w:hAnsi="Arial" w:cs="Arial"/>
          <w:color w:val="030303"/>
          <w:spacing w:val="9"/>
          <w:sz w:val="21"/>
          <w:szCs w:val="21"/>
          <w:lang w:val="en-ZA" w:eastAsia="en-ZA"/>
        </w:rPr>
        <w:t xml:space="preserve"> </w:t>
      </w:r>
      <w:r w:rsidRPr="00BB5C77">
        <w:rPr>
          <w:rFonts w:ascii="Arial" w:eastAsia="Arial" w:hAnsi="Arial" w:cs="Arial"/>
          <w:color w:val="1D1D1D"/>
          <w:spacing w:val="-3"/>
          <w:w w:val="193"/>
          <w:sz w:val="21"/>
          <w:szCs w:val="21"/>
          <w:lang w:val="en-ZA" w:eastAsia="en-ZA"/>
        </w:rPr>
        <w:t>i</w:t>
      </w:r>
      <w:r w:rsidRPr="00BB5C77">
        <w:rPr>
          <w:rFonts w:ascii="Arial" w:eastAsia="Arial" w:hAnsi="Arial" w:cs="Arial"/>
          <w:color w:val="030303"/>
          <w:w w:val="120"/>
          <w:sz w:val="21"/>
          <w:szCs w:val="21"/>
          <w:lang w:val="en-ZA" w:eastAsia="en-ZA"/>
        </w:rPr>
        <w:t>t</w:t>
      </w:r>
      <w:r w:rsidRPr="00BB5C77">
        <w:rPr>
          <w:rFonts w:ascii="Arial" w:eastAsia="Arial" w:hAnsi="Arial" w:cs="Arial"/>
          <w:color w:val="030303"/>
          <w:spacing w:val="-12"/>
          <w:sz w:val="21"/>
          <w:szCs w:val="21"/>
          <w:lang w:val="en-ZA" w:eastAsia="en-ZA"/>
        </w:rPr>
        <w:t xml:space="preserve"> </w:t>
      </w:r>
      <w:r w:rsidRPr="00BB5C77">
        <w:rPr>
          <w:rFonts w:ascii="Arial" w:eastAsia="Arial" w:hAnsi="Arial" w:cs="Arial"/>
          <w:color w:val="030303"/>
          <w:sz w:val="21"/>
          <w:szCs w:val="21"/>
          <w:lang w:val="en-ZA" w:eastAsia="en-ZA"/>
        </w:rPr>
        <w:t>exists.</w:t>
      </w:r>
      <w:r w:rsidRPr="00BB5C77">
        <w:rPr>
          <w:rFonts w:ascii="Arial" w:eastAsia="Arial" w:hAnsi="Arial" w:cs="Arial"/>
          <w:color w:val="030303"/>
          <w:spacing w:val="3"/>
          <w:sz w:val="21"/>
          <w:szCs w:val="21"/>
          <w:lang w:val="en-ZA" w:eastAsia="en-ZA"/>
        </w:rPr>
        <w:t xml:space="preserve"> </w:t>
      </w:r>
      <w:r w:rsidRPr="00BB5C77">
        <w:rPr>
          <w:rFonts w:ascii="Arial" w:eastAsia="Arial" w:hAnsi="Arial" w:cs="Arial"/>
          <w:color w:val="030303"/>
          <w:w w:val="104"/>
          <w:sz w:val="21"/>
          <w:szCs w:val="21"/>
          <w:lang w:val="en-ZA" w:eastAsia="en-ZA"/>
        </w:rPr>
        <w:t xml:space="preserve">Misstatements </w:t>
      </w:r>
      <w:r w:rsidRPr="00BB5C77">
        <w:rPr>
          <w:rFonts w:ascii="Arial" w:eastAsia="Arial" w:hAnsi="Arial" w:cs="Arial"/>
          <w:color w:val="030303"/>
          <w:sz w:val="21"/>
          <w:szCs w:val="21"/>
          <w:lang w:val="en-ZA" w:eastAsia="en-ZA"/>
        </w:rPr>
        <w:t>can</w:t>
      </w:r>
      <w:r w:rsidRPr="00BB5C77">
        <w:rPr>
          <w:rFonts w:ascii="Arial" w:eastAsia="Arial" w:hAnsi="Arial" w:cs="Arial"/>
          <w:color w:val="030303"/>
          <w:spacing w:val="15"/>
          <w:sz w:val="21"/>
          <w:szCs w:val="21"/>
          <w:lang w:val="en-ZA" w:eastAsia="en-ZA"/>
        </w:rPr>
        <w:t xml:space="preserve"> </w:t>
      </w:r>
      <w:r w:rsidRPr="00BB5C77">
        <w:rPr>
          <w:rFonts w:ascii="Arial" w:eastAsia="Arial" w:hAnsi="Arial" w:cs="Arial"/>
          <w:color w:val="030303"/>
          <w:sz w:val="21"/>
          <w:szCs w:val="21"/>
          <w:lang w:val="en-ZA" w:eastAsia="en-ZA"/>
        </w:rPr>
        <w:t>arise</w:t>
      </w:r>
      <w:r w:rsidRPr="00BB5C77">
        <w:rPr>
          <w:rFonts w:ascii="Arial" w:eastAsia="Arial" w:hAnsi="Arial" w:cs="Arial"/>
          <w:color w:val="030303"/>
          <w:spacing w:val="18"/>
          <w:sz w:val="21"/>
          <w:szCs w:val="21"/>
          <w:lang w:val="en-ZA" w:eastAsia="en-ZA"/>
        </w:rPr>
        <w:t xml:space="preserve"> </w:t>
      </w:r>
      <w:r w:rsidRPr="00BB5C77">
        <w:rPr>
          <w:rFonts w:ascii="Arial" w:eastAsia="Arial" w:hAnsi="Arial" w:cs="Arial"/>
          <w:color w:val="030303"/>
          <w:sz w:val="21"/>
          <w:szCs w:val="21"/>
          <w:lang w:val="en-ZA" w:eastAsia="en-ZA"/>
        </w:rPr>
        <w:t>from</w:t>
      </w:r>
      <w:r w:rsidRPr="00BB5C77">
        <w:rPr>
          <w:rFonts w:ascii="Arial" w:eastAsia="Arial" w:hAnsi="Arial" w:cs="Arial"/>
          <w:color w:val="030303"/>
          <w:spacing w:val="19"/>
          <w:sz w:val="21"/>
          <w:szCs w:val="21"/>
          <w:lang w:val="en-ZA" w:eastAsia="en-ZA"/>
        </w:rPr>
        <w:t xml:space="preserve"> </w:t>
      </w:r>
      <w:r w:rsidRPr="00BB5C77">
        <w:rPr>
          <w:rFonts w:ascii="Arial" w:eastAsia="Arial" w:hAnsi="Arial" w:cs="Arial"/>
          <w:color w:val="030303"/>
          <w:sz w:val="21"/>
          <w:szCs w:val="21"/>
          <w:lang w:val="en-ZA" w:eastAsia="en-ZA"/>
        </w:rPr>
        <w:t>fraud</w:t>
      </w:r>
      <w:r w:rsidRPr="00BB5C77">
        <w:rPr>
          <w:rFonts w:ascii="Arial" w:eastAsia="Arial" w:hAnsi="Arial" w:cs="Arial"/>
          <w:color w:val="030303"/>
          <w:spacing w:val="25"/>
          <w:sz w:val="21"/>
          <w:szCs w:val="21"/>
          <w:lang w:val="en-ZA" w:eastAsia="en-ZA"/>
        </w:rPr>
        <w:t xml:space="preserve"> </w:t>
      </w:r>
      <w:r w:rsidRPr="00BB5C77">
        <w:rPr>
          <w:rFonts w:ascii="Arial" w:eastAsia="Arial" w:hAnsi="Arial" w:cs="Arial"/>
          <w:color w:val="030303"/>
          <w:sz w:val="21"/>
          <w:szCs w:val="21"/>
          <w:lang w:val="en-ZA" w:eastAsia="en-ZA"/>
        </w:rPr>
        <w:t>or error</w:t>
      </w:r>
      <w:r w:rsidRPr="00BB5C77">
        <w:rPr>
          <w:rFonts w:ascii="Arial" w:eastAsia="Arial" w:hAnsi="Arial" w:cs="Arial"/>
          <w:color w:val="030303"/>
          <w:spacing w:val="23"/>
          <w:sz w:val="21"/>
          <w:szCs w:val="21"/>
          <w:lang w:val="en-ZA" w:eastAsia="en-ZA"/>
        </w:rPr>
        <w:t xml:space="preserve"> </w:t>
      </w:r>
      <w:r w:rsidRPr="00BB5C77">
        <w:rPr>
          <w:rFonts w:ascii="Arial" w:eastAsia="Arial" w:hAnsi="Arial" w:cs="Arial"/>
          <w:color w:val="030303"/>
          <w:sz w:val="21"/>
          <w:szCs w:val="21"/>
          <w:lang w:val="en-ZA" w:eastAsia="en-ZA"/>
        </w:rPr>
        <w:t>and</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are</w:t>
      </w:r>
      <w:r w:rsidRPr="00BB5C77">
        <w:rPr>
          <w:rFonts w:ascii="Arial" w:eastAsia="Arial" w:hAnsi="Arial" w:cs="Arial"/>
          <w:color w:val="030303"/>
          <w:spacing w:val="12"/>
          <w:sz w:val="21"/>
          <w:szCs w:val="21"/>
          <w:lang w:val="en-ZA" w:eastAsia="en-ZA"/>
        </w:rPr>
        <w:t xml:space="preserve"> </w:t>
      </w:r>
      <w:r w:rsidRPr="00BB5C77">
        <w:rPr>
          <w:rFonts w:ascii="Arial" w:eastAsia="Arial" w:hAnsi="Arial" w:cs="Arial"/>
          <w:color w:val="030303"/>
          <w:sz w:val="21"/>
          <w:szCs w:val="21"/>
          <w:lang w:val="en-ZA" w:eastAsia="en-ZA"/>
        </w:rPr>
        <w:t>considered</w:t>
      </w:r>
      <w:r w:rsidRPr="00BB5C77">
        <w:rPr>
          <w:rFonts w:ascii="Arial" w:eastAsia="Arial" w:hAnsi="Arial" w:cs="Arial"/>
          <w:color w:val="030303"/>
          <w:spacing w:val="50"/>
          <w:sz w:val="21"/>
          <w:szCs w:val="21"/>
          <w:lang w:val="en-ZA" w:eastAsia="en-ZA"/>
        </w:rPr>
        <w:t xml:space="preserve"> </w:t>
      </w:r>
      <w:r w:rsidRPr="00BB5C77">
        <w:rPr>
          <w:rFonts w:ascii="Arial" w:eastAsia="Arial" w:hAnsi="Arial" w:cs="Arial"/>
          <w:color w:val="030303"/>
          <w:sz w:val="21"/>
          <w:szCs w:val="21"/>
          <w:lang w:val="en-ZA" w:eastAsia="en-ZA"/>
        </w:rPr>
        <w:t>material</w:t>
      </w:r>
      <w:r w:rsidRPr="00BB5C77">
        <w:rPr>
          <w:rFonts w:ascii="Arial" w:eastAsia="Arial" w:hAnsi="Arial" w:cs="Arial"/>
          <w:color w:val="030303"/>
          <w:spacing w:val="-4"/>
          <w:sz w:val="21"/>
          <w:szCs w:val="21"/>
          <w:lang w:val="en-ZA" w:eastAsia="en-ZA"/>
        </w:rPr>
        <w:t xml:space="preserve"> </w:t>
      </w:r>
      <w:r w:rsidRPr="00BB5C77">
        <w:rPr>
          <w:rFonts w:ascii="Arial" w:eastAsia="Arial" w:hAnsi="Arial" w:cs="Arial"/>
          <w:color w:val="030303"/>
          <w:w w:val="116"/>
          <w:sz w:val="21"/>
          <w:szCs w:val="21"/>
          <w:lang w:val="en-ZA" w:eastAsia="en-ZA"/>
        </w:rPr>
        <w:t>i</w:t>
      </w:r>
      <w:r w:rsidRPr="00BB5C77">
        <w:rPr>
          <w:rFonts w:ascii="Arial" w:eastAsia="Arial" w:hAnsi="Arial" w:cs="Arial"/>
          <w:color w:val="030303"/>
          <w:spacing w:val="-11"/>
          <w:w w:val="115"/>
          <w:sz w:val="21"/>
          <w:szCs w:val="21"/>
          <w:lang w:val="en-ZA" w:eastAsia="en-ZA"/>
        </w:rPr>
        <w:t>f</w:t>
      </w:r>
      <w:r w:rsidRPr="00BB5C77">
        <w:rPr>
          <w:rFonts w:ascii="Arial" w:eastAsia="Arial" w:hAnsi="Arial" w:cs="Arial"/>
          <w:color w:val="1D1D1D"/>
          <w:w w:val="159"/>
          <w:sz w:val="21"/>
          <w:szCs w:val="21"/>
          <w:lang w:val="en-ZA" w:eastAsia="en-ZA"/>
        </w:rPr>
        <w:t>,</w:t>
      </w:r>
      <w:r w:rsidRPr="00BB5C77">
        <w:rPr>
          <w:rFonts w:ascii="Arial" w:eastAsia="Arial" w:hAnsi="Arial" w:cs="Arial"/>
          <w:color w:val="1D1D1D"/>
          <w:spacing w:val="-34"/>
          <w:sz w:val="21"/>
          <w:szCs w:val="21"/>
          <w:lang w:val="en-ZA" w:eastAsia="en-ZA"/>
        </w:rPr>
        <w:t xml:space="preserve"> </w:t>
      </w:r>
      <w:r w:rsidRPr="00BB5C77">
        <w:rPr>
          <w:rFonts w:ascii="Arial" w:eastAsia="Arial" w:hAnsi="Arial" w:cs="Arial"/>
          <w:color w:val="030303"/>
          <w:sz w:val="21"/>
          <w:szCs w:val="21"/>
          <w:lang w:val="en-ZA" w:eastAsia="en-ZA"/>
        </w:rPr>
        <w:t>individually</w:t>
      </w:r>
      <w:r w:rsidRPr="00BB5C77">
        <w:rPr>
          <w:rFonts w:ascii="Arial" w:eastAsia="Arial" w:hAnsi="Arial" w:cs="Arial"/>
          <w:color w:val="030303"/>
          <w:spacing w:val="38"/>
          <w:sz w:val="21"/>
          <w:szCs w:val="21"/>
          <w:lang w:val="en-ZA" w:eastAsia="en-ZA"/>
        </w:rPr>
        <w:t xml:space="preserve"> </w:t>
      </w:r>
      <w:r w:rsidRPr="00BB5C77">
        <w:rPr>
          <w:rFonts w:ascii="Arial" w:eastAsia="Arial" w:hAnsi="Arial" w:cs="Arial"/>
          <w:color w:val="030303"/>
          <w:sz w:val="21"/>
          <w:szCs w:val="21"/>
          <w:lang w:val="en-ZA" w:eastAsia="en-ZA"/>
        </w:rPr>
        <w:t>or</w:t>
      </w:r>
      <w:r w:rsidRPr="00BB5C77">
        <w:rPr>
          <w:rFonts w:ascii="Arial" w:eastAsia="Arial" w:hAnsi="Arial" w:cs="Arial"/>
          <w:color w:val="030303"/>
          <w:spacing w:val="9"/>
          <w:sz w:val="21"/>
          <w:szCs w:val="21"/>
          <w:lang w:val="en-ZA" w:eastAsia="en-ZA"/>
        </w:rPr>
        <w:t xml:space="preserve"> </w:t>
      </w:r>
      <w:r w:rsidRPr="00BB5C77">
        <w:rPr>
          <w:rFonts w:ascii="Arial" w:eastAsia="Arial" w:hAnsi="Arial" w:cs="Arial"/>
          <w:color w:val="030303"/>
          <w:sz w:val="21"/>
          <w:szCs w:val="21"/>
          <w:lang w:val="en-ZA" w:eastAsia="en-ZA"/>
        </w:rPr>
        <w:t>in</w:t>
      </w:r>
      <w:r w:rsidRPr="00BB5C77">
        <w:rPr>
          <w:rFonts w:ascii="Arial" w:eastAsia="Arial" w:hAnsi="Arial" w:cs="Arial"/>
          <w:color w:val="030303"/>
          <w:spacing w:val="11"/>
          <w:sz w:val="21"/>
          <w:szCs w:val="21"/>
          <w:lang w:val="en-ZA" w:eastAsia="en-ZA"/>
        </w:rPr>
        <w:t xml:space="preserve"> </w:t>
      </w:r>
      <w:r w:rsidRPr="00BB5C77">
        <w:rPr>
          <w:rFonts w:ascii="Arial" w:eastAsia="Arial" w:hAnsi="Arial" w:cs="Arial"/>
          <w:color w:val="030303"/>
          <w:w w:val="105"/>
          <w:sz w:val="21"/>
          <w:szCs w:val="21"/>
          <w:lang w:val="en-ZA" w:eastAsia="en-ZA"/>
        </w:rPr>
        <w:t>aggregat</w:t>
      </w:r>
      <w:r w:rsidRPr="00BB5C77">
        <w:rPr>
          <w:rFonts w:ascii="Arial" w:eastAsia="Arial" w:hAnsi="Arial" w:cs="Arial"/>
          <w:color w:val="030303"/>
          <w:spacing w:val="-14"/>
          <w:w w:val="106"/>
          <w:sz w:val="21"/>
          <w:szCs w:val="21"/>
          <w:lang w:val="en-ZA" w:eastAsia="en-ZA"/>
        </w:rPr>
        <w:t>e</w:t>
      </w:r>
      <w:r w:rsidRPr="00BB5C77">
        <w:rPr>
          <w:rFonts w:ascii="Arial" w:eastAsia="Arial" w:hAnsi="Arial" w:cs="Arial"/>
          <w:color w:val="1D1D1D"/>
          <w:w w:val="159"/>
          <w:sz w:val="21"/>
          <w:szCs w:val="21"/>
          <w:lang w:val="en-ZA" w:eastAsia="en-ZA"/>
        </w:rPr>
        <w:t xml:space="preserve">, </w:t>
      </w:r>
      <w:r w:rsidRPr="00BB5C77">
        <w:rPr>
          <w:rFonts w:ascii="Arial" w:eastAsia="Arial" w:hAnsi="Arial" w:cs="Arial"/>
          <w:color w:val="030303"/>
          <w:sz w:val="21"/>
          <w:szCs w:val="21"/>
          <w:lang w:val="en-ZA" w:eastAsia="en-ZA"/>
        </w:rPr>
        <w:t>they</w:t>
      </w:r>
      <w:r w:rsidRPr="00BB5C77">
        <w:rPr>
          <w:rFonts w:ascii="Arial" w:eastAsia="Arial" w:hAnsi="Arial" w:cs="Arial"/>
          <w:color w:val="030303"/>
          <w:spacing w:val="22"/>
          <w:sz w:val="21"/>
          <w:szCs w:val="21"/>
          <w:lang w:val="en-ZA" w:eastAsia="en-ZA"/>
        </w:rPr>
        <w:t xml:space="preserve"> </w:t>
      </w:r>
      <w:r w:rsidRPr="00BB5C77">
        <w:rPr>
          <w:rFonts w:ascii="Arial" w:eastAsia="Arial" w:hAnsi="Arial" w:cs="Arial"/>
          <w:color w:val="030303"/>
          <w:sz w:val="21"/>
          <w:szCs w:val="21"/>
          <w:lang w:val="en-ZA" w:eastAsia="en-ZA"/>
        </w:rPr>
        <w:t>could</w:t>
      </w:r>
      <w:r w:rsidRPr="00BB5C77">
        <w:rPr>
          <w:rFonts w:ascii="Arial" w:eastAsia="Arial" w:hAnsi="Arial" w:cs="Arial"/>
          <w:color w:val="030303"/>
          <w:spacing w:val="22"/>
          <w:sz w:val="21"/>
          <w:szCs w:val="21"/>
          <w:lang w:val="en-ZA" w:eastAsia="en-ZA"/>
        </w:rPr>
        <w:t xml:space="preserve"> </w:t>
      </w:r>
      <w:r w:rsidRPr="00BB5C77">
        <w:rPr>
          <w:rFonts w:ascii="Arial" w:eastAsia="Arial" w:hAnsi="Arial" w:cs="Arial"/>
          <w:color w:val="030303"/>
          <w:sz w:val="21"/>
          <w:szCs w:val="21"/>
          <w:lang w:val="en-ZA" w:eastAsia="en-ZA"/>
        </w:rPr>
        <w:t>reasonably</w:t>
      </w:r>
      <w:r w:rsidRPr="00BB5C77">
        <w:rPr>
          <w:rFonts w:ascii="Arial" w:eastAsia="Arial" w:hAnsi="Arial" w:cs="Arial"/>
          <w:color w:val="030303"/>
          <w:spacing w:val="44"/>
          <w:sz w:val="21"/>
          <w:szCs w:val="21"/>
          <w:lang w:val="en-ZA" w:eastAsia="en-ZA"/>
        </w:rPr>
        <w:t xml:space="preserve"> </w:t>
      </w:r>
      <w:r w:rsidRPr="00BB5C77">
        <w:rPr>
          <w:rFonts w:ascii="Arial" w:eastAsia="Arial" w:hAnsi="Arial" w:cs="Arial"/>
          <w:color w:val="030303"/>
          <w:sz w:val="21"/>
          <w:szCs w:val="21"/>
          <w:lang w:val="en-ZA" w:eastAsia="en-ZA"/>
        </w:rPr>
        <w:t>be</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expected</w:t>
      </w:r>
      <w:r w:rsidRPr="00BB5C77">
        <w:rPr>
          <w:rFonts w:ascii="Arial" w:eastAsia="Arial" w:hAnsi="Arial" w:cs="Arial"/>
          <w:color w:val="030303"/>
          <w:spacing w:val="28"/>
          <w:sz w:val="21"/>
          <w:szCs w:val="21"/>
          <w:lang w:val="en-ZA" w:eastAsia="en-ZA"/>
        </w:rPr>
        <w:t xml:space="preserve"> </w:t>
      </w:r>
      <w:r w:rsidRPr="00BB5C77">
        <w:rPr>
          <w:rFonts w:ascii="Arial" w:eastAsia="Arial" w:hAnsi="Arial" w:cs="Arial"/>
          <w:color w:val="030303"/>
          <w:sz w:val="21"/>
          <w:szCs w:val="21"/>
          <w:lang w:val="en-ZA" w:eastAsia="en-ZA"/>
        </w:rPr>
        <w:t>to</w:t>
      </w:r>
      <w:r w:rsidRPr="00BB5C77">
        <w:rPr>
          <w:rFonts w:ascii="Arial" w:eastAsia="Arial" w:hAnsi="Arial" w:cs="Arial"/>
          <w:color w:val="030303"/>
          <w:spacing w:val="12"/>
          <w:sz w:val="21"/>
          <w:szCs w:val="21"/>
          <w:lang w:val="en-ZA" w:eastAsia="en-ZA"/>
        </w:rPr>
        <w:t xml:space="preserve"> </w:t>
      </w:r>
      <w:r w:rsidRPr="00BB5C77">
        <w:rPr>
          <w:rFonts w:ascii="Arial" w:eastAsia="Arial" w:hAnsi="Arial" w:cs="Arial"/>
          <w:color w:val="030303"/>
          <w:sz w:val="21"/>
          <w:szCs w:val="21"/>
          <w:lang w:val="en-ZA" w:eastAsia="en-ZA"/>
        </w:rPr>
        <w:t>influence</w:t>
      </w:r>
      <w:r w:rsidRPr="00BB5C77">
        <w:rPr>
          <w:rFonts w:ascii="Arial" w:eastAsia="Arial" w:hAnsi="Arial" w:cs="Arial"/>
          <w:color w:val="030303"/>
          <w:spacing w:val="43"/>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6"/>
          <w:sz w:val="21"/>
          <w:szCs w:val="21"/>
          <w:lang w:val="en-ZA" w:eastAsia="en-ZA"/>
        </w:rPr>
        <w:t xml:space="preserve"> </w:t>
      </w:r>
      <w:r w:rsidRPr="00BB5C77">
        <w:rPr>
          <w:rFonts w:ascii="Arial" w:eastAsia="Arial" w:hAnsi="Arial" w:cs="Arial"/>
          <w:color w:val="030303"/>
          <w:sz w:val="21"/>
          <w:szCs w:val="21"/>
          <w:lang w:val="en-ZA" w:eastAsia="en-ZA"/>
        </w:rPr>
        <w:t>economic</w:t>
      </w:r>
      <w:r w:rsidRPr="00BB5C77">
        <w:rPr>
          <w:rFonts w:ascii="Arial" w:eastAsia="Arial" w:hAnsi="Arial" w:cs="Arial"/>
          <w:color w:val="030303"/>
          <w:spacing w:val="41"/>
          <w:sz w:val="21"/>
          <w:szCs w:val="21"/>
          <w:lang w:val="en-ZA" w:eastAsia="en-ZA"/>
        </w:rPr>
        <w:t xml:space="preserve"> </w:t>
      </w:r>
      <w:r w:rsidRPr="00BB5C77">
        <w:rPr>
          <w:rFonts w:ascii="Arial" w:eastAsia="Arial" w:hAnsi="Arial" w:cs="Arial"/>
          <w:color w:val="030303"/>
          <w:sz w:val="21"/>
          <w:szCs w:val="21"/>
          <w:lang w:val="en-ZA" w:eastAsia="en-ZA"/>
        </w:rPr>
        <w:t>decisions</w:t>
      </w:r>
      <w:r w:rsidRPr="00BB5C77">
        <w:rPr>
          <w:rFonts w:ascii="Arial" w:eastAsia="Arial" w:hAnsi="Arial" w:cs="Arial"/>
          <w:color w:val="030303"/>
          <w:spacing w:val="41"/>
          <w:sz w:val="21"/>
          <w:szCs w:val="21"/>
          <w:lang w:val="en-ZA" w:eastAsia="en-ZA"/>
        </w:rPr>
        <w:t xml:space="preserve"> </w:t>
      </w:r>
      <w:r w:rsidRPr="00BB5C77">
        <w:rPr>
          <w:rFonts w:ascii="Arial" w:eastAsia="Arial" w:hAnsi="Arial" w:cs="Arial"/>
          <w:color w:val="030303"/>
          <w:sz w:val="21"/>
          <w:szCs w:val="21"/>
          <w:lang w:val="en-ZA" w:eastAsia="en-ZA"/>
        </w:rPr>
        <w:t>of</w:t>
      </w:r>
      <w:r w:rsidRPr="00BB5C77">
        <w:rPr>
          <w:rFonts w:ascii="Arial" w:eastAsia="Arial" w:hAnsi="Arial" w:cs="Arial"/>
          <w:color w:val="030303"/>
          <w:spacing w:val="3"/>
          <w:sz w:val="21"/>
          <w:szCs w:val="21"/>
          <w:lang w:val="en-ZA" w:eastAsia="en-ZA"/>
        </w:rPr>
        <w:t xml:space="preserve"> </w:t>
      </w:r>
      <w:r w:rsidRPr="00BB5C77">
        <w:rPr>
          <w:rFonts w:ascii="Arial" w:eastAsia="Arial" w:hAnsi="Arial" w:cs="Arial"/>
          <w:color w:val="030303"/>
          <w:sz w:val="21"/>
          <w:szCs w:val="21"/>
          <w:lang w:val="en-ZA" w:eastAsia="en-ZA"/>
        </w:rPr>
        <w:t>users</w:t>
      </w:r>
      <w:r w:rsidRPr="00BB5C77">
        <w:rPr>
          <w:rFonts w:ascii="Arial" w:eastAsia="Arial" w:hAnsi="Arial" w:cs="Arial"/>
          <w:color w:val="030303"/>
          <w:spacing w:val="35"/>
          <w:sz w:val="21"/>
          <w:szCs w:val="21"/>
          <w:lang w:val="en-ZA" w:eastAsia="en-ZA"/>
        </w:rPr>
        <w:t xml:space="preserve"> </w:t>
      </w:r>
      <w:r w:rsidRPr="00BB5C77">
        <w:rPr>
          <w:rFonts w:ascii="Arial" w:eastAsia="Arial" w:hAnsi="Arial" w:cs="Arial"/>
          <w:color w:val="030303"/>
          <w:w w:val="106"/>
          <w:sz w:val="21"/>
          <w:szCs w:val="21"/>
          <w:lang w:val="en-ZA" w:eastAsia="en-ZA"/>
        </w:rPr>
        <w:t xml:space="preserve">taken </w:t>
      </w:r>
      <w:r w:rsidRPr="00BB5C77">
        <w:rPr>
          <w:rFonts w:ascii="Arial" w:eastAsia="Arial" w:hAnsi="Arial" w:cs="Arial"/>
          <w:color w:val="030303"/>
          <w:sz w:val="21"/>
          <w:szCs w:val="21"/>
          <w:lang w:val="en-ZA" w:eastAsia="en-ZA"/>
        </w:rPr>
        <w:t>on</w:t>
      </w:r>
      <w:r w:rsidRPr="00BB5C77">
        <w:rPr>
          <w:rFonts w:ascii="Arial" w:eastAsia="Arial" w:hAnsi="Arial" w:cs="Arial"/>
          <w:color w:val="030303"/>
          <w:spacing w:val="15"/>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5"/>
          <w:sz w:val="21"/>
          <w:szCs w:val="21"/>
          <w:lang w:val="en-ZA" w:eastAsia="en-ZA"/>
        </w:rPr>
        <w:t xml:space="preserve"> </w:t>
      </w:r>
      <w:r w:rsidRPr="00BB5C77">
        <w:rPr>
          <w:rFonts w:ascii="Arial" w:eastAsia="Arial" w:hAnsi="Arial" w:cs="Arial"/>
          <w:color w:val="030303"/>
          <w:w w:val="106"/>
          <w:sz w:val="21"/>
          <w:szCs w:val="21"/>
          <w:lang w:val="en-ZA" w:eastAsia="en-ZA"/>
        </w:rPr>
        <w:t>ba</w:t>
      </w:r>
      <w:r w:rsidRPr="00BB5C77">
        <w:rPr>
          <w:rFonts w:ascii="Arial" w:eastAsia="Arial" w:hAnsi="Arial" w:cs="Arial"/>
          <w:color w:val="030303"/>
          <w:spacing w:val="-1"/>
          <w:w w:val="106"/>
          <w:sz w:val="21"/>
          <w:szCs w:val="21"/>
          <w:lang w:val="en-ZA" w:eastAsia="en-ZA"/>
        </w:rPr>
        <w:t>s</w:t>
      </w:r>
      <w:r w:rsidRPr="00BB5C77">
        <w:rPr>
          <w:rFonts w:ascii="Arial" w:eastAsia="Arial" w:hAnsi="Arial" w:cs="Arial"/>
          <w:color w:val="1D1D1D"/>
          <w:spacing w:val="-10"/>
          <w:w w:val="155"/>
          <w:sz w:val="21"/>
          <w:szCs w:val="21"/>
          <w:lang w:val="en-ZA" w:eastAsia="en-ZA"/>
        </w:rPr>
        <w:t>i</w:t>
      </w:r>
      <w:r w:rsidRPr="00BB5C77">
        <w:rPr>
          <w:rFonts w:ascii="Arial" w:eastAsia="Arial" w:hAnsi="Arial" w:cs="Arial"/>
          <w:color w:val="030303"/>
          <w:w w:val="103"/>
          <w:sz w:val="21"/>
          <w:szCs w:val="21"/>
          <w:lang w:val="en-ZA" w:eastAsia="en-ZA"/>
        </w:rPr>
        <w:t>s</w:t>
      </w:r>
      <w:r w:rsidRPr="00BB5C77">
        <w:rPr>
          <w:rFonts w:ascii="Arial" w:eastAsia="Arial" w:hAnsi="Arial" w:cs="Arial"/>
          <w:color w:val="030303"/>
          <w:spacing w:val="-10"/>
          <w:sz w:val="21"/>
          <w:szCs w:val="21"/>
          <w:lang w:val="en-ZA" w:eastAsia="en-ZA"/>
        </w:rPr>
        <w:t xml:space="preserve"> </w:t>
      </w:r>
      <w:r w:rsidRPr="00BB5C77">
        <w:rPr>
          <w:rFonts w:ascii="Arial" w:eastAsia="Arial" w:hAnsi="Arial" w:cs="Arial"/>
          <w:color w:val="030303"/>
          <w:sz w:val="21"/>
          <w:szCs w:val="21"/>
          <w:lang w:val="en-ZA" w:eastAsia="en-ZA"/>
        </w:rPr>
        <w:t>of</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these</w:t>
      </w:r>
      <w:r w:rsidRPr="00BB5C77">
        <w:rPr>
          <w:rFonts w:ascii="Arial" w:eastAsia="Arial" w:hAnsi="Arial" w:cs="Arial"/>
          <w:color w:val="030303"/>
          <w:spacing w:val="26"/>
          <w:sz w:val="21"/>
          <w:szCs w:val="21"/>
          <w:lang w:val="en-ZA" w:eastAsia="en-ZA"/>
        </w:rPr>
        <w:t xml:space="preserve"> </w:t>
      </w:r>
      <w:r w:rsidRPr="00BB5C77">
        <w:rPr>
          <w:rFonts w:ascii="Arial" w:eastAsia="Arial" w:hAnsi="Arial" w:cs="Arial"/>
          <w:color w:val="030303"/>
          <w:w w:val="104"/>
          <w:sz w:val="21"/>
          <w:szCs w:val="21"/>
          <w:lang w:val="en-ZA" w:eastAsia="en-ZA"/>
        </w:rPr>
        <w:t>finan</w:t>
      </w:r>
      <w:r w:rsidRPr="00BB5C77">
        <w:rPr>
          <w:rFonts w:ascii="Arial" w:eastAsia="Arial" w:hAnsi="Arial" w:cs="Arial"/>
          <w:color w:val="030303"/>
          <w:spacing w:val="-3"/>
          <w:w w:val="105"/>
          <w:sz w:val="21"/>
          <w:szCs w:val="21"/>
          <w:lang w:val="en-ZA" w:eastAsia="en-ZA"/>
        </w:rPr>
        <w:t>c</w:t>
      </w:r>
      <w:r w:rsidRPr="00BB5C77">
        <w:rPr>
          <w:rFonts w:ascii="Arial" w:eastAsia="Arial" w:hAnsi="Arial" w:cs="Arial"/>
          <w:color w:val="1D1D1D"/>
          <w:spacing w:val="-17"/>
          <w:w w:val="155"/>
          <w:sz w:val="21"/>
          <w:szCs w:val="21"/>
          <w:lang w:val="en-ZA" w:eastAsia="en-ZA"/>
        </w:rPr>
        <w:t>i</w:t>
      </w:r>
      <w:r w:rsidRPr="00BB5C77">
        <w:rPr>
          <w:rFonts w:ascii="Arial" w:eastAsia="Arial" w:hAnsi="Arial" w:cs="Arial"/>
          <w:color w:val="030303"/>
          <w:w w:val="121"/>
          <w:sz w:val="21"/>
          <w:szCs w:val="21"/>
          <w:lang w:val="en-ZA" w:eastAsia="en-ZA"/>
        </w:rPr>
        <w:t>a</w:t>
      </w:r>
      <w:r w:rsidRPr="00BB5C77">
        <w:rPr>
          <w:rFonts w:ascii="Arial" w:eastAsia="Arial" w:hAnsi="Arial" w:cs="Arial"/>
          <w:color w:val="030303"/>
          <w:spacing w:val="13"/>
          <w:w w:val="121"/>
          <w:sz w:val="21"/>
          <w:szCs w:val="21"/>
          <w:lang w:val="en-ZA" w:eastAsia="en-ZA"/>
        </w:rPr>
        <w:t xml:space="preserve">l </w:t>
      </w:r>
      <w:r w:rsidRPr="00BB5C77">
        <w:rPr>
          <w:rFonts w:ascii="Arial" w:eastAsia="Arial" w:hAnsi="Arial" w:cs="Arial"/>
          <w:color w:val="030303"/>
          <w:w w:val="103"/>
          <w:sz w:val="21"/>
          <w:szCs w:val="21"/>
          <w:lang w:val="en-ZA" w:eastAsia="en-ZA"/>
        </w:rPr>
        <w:t>statements.</w:t>
      </w:r>
    </w:p>
    <w:p w14:paraId="18A0F232" w14:textId="77777777" w:rsidR="00BB5C77" w:rsidRPr="00BB5C77" w:rsidRDefault="00BB5C77" w:rsidP="00BB5C77">
      <w:pPr>
        <w:spacing w:before="17" w:after="0" w:line="220" w:lineRule="exact"/>
        <w:jc w:val="both"/>
        <w:rPr>
          <w:rFonts w:eastAsia="Times New Roman" w:cs="Times New Roman"/>
          <w:sz w:val="22"/>
          <w:lang w:val="en-ZA" w:eastAsia="en-ZA"/>
        </w:rPr>
      </w:pPr>
    </w:p>
    <w:p w14:paraId="71783410" w14:textId="77777777" w:rsidR="00BB5C77" w:rsidRPr="00BB5C77" w:rsidRDefault="00BB5C77" w:rsidP="00BB5C77">
      <w:pPr>
        <w:spacing w:after="0" w:line="249" w:lineRule="auto"/>
        <w:ind w:left="612" w:right="521" w:hanging="343"/>
        <w:jc w:val="both"/>
        <w:rPr>
          <w:rFonts w:ascii="Arial" w:eastAsia="Arial" w:hAnsi="Arial" w:cs="Arial"/>
          <w:color w:val="1D1D1D"/>
          <w:w w:val="169"/>
          <w:sz w:val="21"/>
          <w:szCs w:val="21"/>
          <w:lang w:val="en-ZA" w:eastAsia="en-ZA"/>
        </w:rPr>
      </w:pPr>
      <w:r w:rsidRPr="00BB5C77">
        <w:rPr>
          <w:rFonts w:ascii="Arial" w:eastAsia="Arial" w:hAnsi="Arial" w:cs="Arial"/>
          <w:color w:val="030303"/>
          <w:w w:val="110"/>
          <w:sz w:val="21"/>
          <w:szCs w:val="21"/>
          <w:lang w:val="en-ZA" w:eastAsia="en-ZA"/>
        </w:rPr>
        <w:t>1</w:t>
      </w:r>
      <w:r w:rsidRPr="00BB5C77">
        <w:rPr>
          <w:rFonts w:ascii="Arial" w:eastAsia="Arial" w:hAnsi="Arial" w:cs="Arial"/>
          <w:color w:val="030303"/>
          <w:spacing w:val="-18"/>
          <w:w w:val="110"/>
          <w:sz w:val="21"/>
          <w:szCs w:val="21"/>
          <w:lang w:val="en-ZA" w:eastAsia="en-ZA"/>
        </w:rPr>
        <w:t>4</w:t>
      </w:r>
      <w:r w:rsidRPr="00BB5C77">
        <w:rPr>
          <w:rFonts w:ascii="Arial" w:eastAsia="Arial" w:hAnsi="Arial" w:cs="Arial"/>
          <w:color w:val="1D1D1D"/>
          <w:w w:val="169"/>
          <w:sz w:val="21"/>
          <w:szCs w:val="21"/>
          <w:lang w:val="en-ZA" w:eastAsia="en-ZA"/>
        </w:rPr>
        <w:t>.</w:t>
      </w:r>
      <w:r w:rsidRPr="00BB5C77">
        <w:rPr>
          <w:rFonts w:ascii="Arial" w:eastAsia="Arial" w:hAnsi="Arial" w:cs="Arial"/>
          <w:color w:val="1D1D1D"/>
          <w:spacing w:val="-38"/>
          <w:sz w:val="21"/>
          <w:szCs w:val="21"/>
          <w:lang w:val="en-ZA" w:eastAsia="en-ZA"/>
        </w:rPr>
        <w:t xml:space="preserve"> </w:t>
      </w:r>
      <w:r w:rsidRPr="00BB5C77">
        <w:rPr>
          <w:rFonts w:ascii="Arial" w:eastAsia="Arial" w:hAnsi="Arial" w:cs="Arial"/>
          <w:color w:val="030303"/>
          <w:sz w:val="21"/>
          <w:szCs w:val="21"/>
          <w:lang w:val="en-ZA" w:eastAsia="en-ZA"/>
        </w:rPr>
        <w:t>A</w:t>
      </w:r>
      <w:r w:rsidRPr="00BB5C77">
        <w:rPr>
          <w:rFonts w:ascii="Arial" w:eastAsia="Arial" w:hAnsi="Arial" w:cs="Arial"/>
          <w:color w:val="030303"/>
          <w:spacing w:val="-2"/>
          <w:sz w:val="21"/>
          <w:szCs w:val="21"/>
          <w:lang w:val="en-ZA" w:eastAsia="en-ZA"/>
        </w:rPr>
        <w:t xml:space="preserve"> </w:t>
      </w:r>
      <w:r w:rsidRPr="00BB5C77">
        <w:rPr>
          <w:rFonts w:ascii="Arial" w:eastAsia="Arial" w:hAnsi="Arial" w:cs="Arial"/>
          <w:color w:val="030303"/>
          <w:sz w:val="21"/>
          <w:szCs w:val="21"/>
          <w:lang w:val="en-ZA" w:eastAsia="en-ZA"/>
        </w:rPr>
        <w:t>further</w:t>
      </w:r>
      <w:r w:rsidRPr="00BB5C77">
        <w:rPr>
          <w:rFonts w:ascii="Arial" w:eastAsia="Arial" w:hAnsi="Arial" w:cs="Arial"/>
          <w:color w:val="030303"/>
          <w:spacing w:val="27"/>
          <w:sz w:val="21"/>
          <w:szCs w:val="21"/>
          <w:lang w:val="en-ZA" w:eastAsia="en-ZA"/>
        </w:rPr>
        <w:t xml:space="preserve"> </w:t>
      </w:r>
      <w:r w:rsidRPr="00BB5C77">
        <w:rPr>
          <w:rFonts w:ascii="Arial" w:eastAsia="Arial" w:hAnsi="Arial" w:cs="Arial"/>
          <w:color w:val="030303"/>
          <w:sz w:val="21"/>
          <w:szCs w:val="21"/>
          <w:lang w:val="en-ZA" w:eastAsia="en-ZA"/>
        </w:rPr>
        <w:t>description</w:t>
      </w:r>
      <w:r w:rsidRPr="00BB5C77">
        <w:rPr>
          <w:rFonts w:ascii="Arial" w:eastAsia="Arial" w:hAnsi="Arial" w:cs="Arial"/>
          <w:color w:val="030303"/>
          <w:spacing w:val="38"/>
          <w:sz w:val="21"/>
          <w:szCs w:val="21"/>
          <w:lang w:val="en-ZA" w:eastAsia="en-ZA"/>
        </w:rPr>
        <w:t xml:space="preserve"> </w:t>
      </w:r>
      <w:r w:rsidRPr="00BB5C77">
        <w:rPr>
          <w:rFonts w:ascii="Arial" w:eastAsia="Arial" w:hAnsi="Arial" w:cs="Arial"/>
          <w:color w:val="030303"/>
          <w:sz w:val="21"/>
          <w:szCs w:val="21"/>
          <w:lang w:val="en-ZA" w:eastAsia="en-ZA"/>
        </w:rPr>
        <w:t>of</w:t>
      </w:r>
      <w:r w:rsidRPr="00BB5C77">
        <w:rPr>
          <w:rFonts w:ascii="Arial" w:eastAsia="Arial" w:hAnsi="Arial" w:cs="Arial"/>
          <w:color w:val="030303"/>
          <w:spacing w:val="11"/>
          <w:sz w:val="21"/>
          <w:szCs w:val="21"/>
          <w:lang w:val="en-ZA" w:eastAsia="en-ZA"/>
        </w:rPr>
        <w:t xml:space="preserve"> </w:t>
      </w:r>
      <w:r w:rsidRPr="00BB5C77">
        <w:rPr>
          <w:rFonts w:ascii="Arial" w:eastAsia="Arial" w:hAnsi="Arial" w:cs="Arial"/>
          <w:color w:val="030303"/>
          <w:sz w:val="21"/>
          <w:szCs w:val="21"/>
          <w:lang w:val="en-ZA" w:eastAsia="en-ZA"/>
        </w:rPr>
        <w:t>my</w:t>
      </w:r>
      <w:r w:rsidRPr="00BB5C77">
        <w:rPr>
          <w:rFonts w:ascii="Arial" w:eastAsia="Arial" w:hAnsi="Arial" w:cs="Arial"/>
          <w:color w:val="030303"/>
          <w:spacing w:val="12"/>
          <w:sz w:val="21"/>
          <w:szCs w:val="21"/>
          <w:lang w:val="en-ZA" w:eastAsia="en-ZA"/>
        </w:rPr>
        <w:t xml:space="preserve"> </w:t>
      </w:r>
      <w:r w:rsidRPr="00BB5C77">
        <w:rPr>
          <w:rFonts w:ascii="Arial" w:eastAsia="Arial" w:hAnsi="Arial" w:cs="Arial"/>
          <w:color w:val="030303"/>
          <w:sz w:val="21"/>
          <w:szCs w:val="21"/>
          <w:lang w:val="en-ZA" w:eastAsia="en-ZA"/>
        </w:rPr>
        <w:t>responsibilities</w:t>
      </w:r>
      <w:r w:rsidRPr="00BB5C77">
        <w:rPr>
          <w:rFonts w:ascii="Arial" w:eastAsia="Arial" w:hAnsi="Arial" w:cs="Arial"/>
          <w:color w:val="030303"/>
          <w:spacing w:val="51"/>
          <w:sz w:val="21"/>
          <w:szCs w:val="21"/>
          <w:lang w:val="en-ZA" w:eastAsia="en-ZA"/>
        </w:rPr>
        <w:t xml:space="preserve"> </w:t>
      </w:r>
      <w:r w:rsidRPr="00BB5C77">
        <w:rPr>
          <w:rFonts w:ascii="Arial" w:eastAsia="Arial" w:hAnsi="Arial" w:cs="Arial"/>
          <w:color w:val="030303"/>
          <w:sz w:val="21"/>
          <w:szCs w:val="21"/>
          <w:lang w:val="en-ZA" w:eastAsia="en-ZA"/>
        </w:rPr>
        <w:t>for</w:t>
      </w:r>
      <w:r w:rsidRPr="00BB5C77">
        <w:rPr>
          <w:rFonts w:ascii="Arial" w:eastAsia="Arial" w:hAnsi="Arial" w:cs="Arial"/>
          <w:color w:val="030303"/>
          <w:spacing w:val="18"/>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5"/>
          <w:sz w:val="21"/>
          <w:szCs w:val="21"/>
          <w:lang w:val="en-ZA" w:eastAsia="en-ZA"/>
        </w:rPr>
        <w:t xml:space="preserve"> </w:t>
      </w:r>
      <w:r w:rsidRPr="00BB5C77">
        <w:rPr>
          <w:rFonts w:ascii="Arial" w:eastAsia="Arial" w:hAnsi="Arial" w:cs="Arial"/>
          <w:color w:val="030303"/>
          <w:sz w:val="21"/>
          <w:szCs w:val="21"/>
          <w:lang w:val="en-ZA" w:eastAsia="en-ZA"/>
        </w:rPr>
        <w:t>audit</w:t>
      </w:r>
      <w:r w:rsidRPr="00BB5C77">
        <w:rPr>
          <w:rFonts w:ascii="Arial" w:eastAsia="Arial" w:hAnsi="Arial" w:cs="Arial"/>
          <w:color w:val="030303"/>
          <w:spacing w:val="20"/>
          <w:sz w:val="21"/>
          <w:szCs w:val="21"/>
          <w:lang w:val="en-ZA" w:eastAsia="en-ZA"/>
        </w:rPr>
        <w:t xml:space="preserve"> </w:t>
      </w:r>
      <w:r w:rsidRPr="00BB5C77">
        <w:rPr>
          <w:rFonts w:ascii="Arial" w:eastAsia="Arial" w:hAnsi="Arial" w:cs="Arial"/>
          <w:color w:val="030303"/>
          <w:sz w:val="21"/>
          <w:szCs w:val="21"/>
          <w:lang w:val="en-ZA" w:eastAsia="en-ZA"/>
        </w:rPr>
        <w:t>of</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6"/>
          <w:sz w:val="21"/>
          <w:szCs w:val="21"/>
          <w:lang w:val="en-ZA" w:eastAsia="en-ZA"/>
        </w:rPr>
        <w:t xml:space="preserve"> </w:t>
      </w:r>
      <w:r w:rsidRPr="00BB5C77">
        <w:rPr>
          <w:rFonts w:ascii="Arial" w:eastAsia="Arial" w:hAnsi="Arial" w:cs="Arial"/>
          <w:color w:val="030303"/>
          <w:spacing w:val="-6"/>
          <w:w w:val="111"/>
          <w:sz w:val="21"/>
          <w:szCs w:val="21"/>
          <w:lang w:val="en-ZA" w:eastAsia="en-ZA"/>
        </w:rPr>
        <w:t>f</w:t>
      </w:r>
      <w:r w:rsidRPr="00BB5C77">
        <w:rPr>
          <w:rFonts w:ascii="Arial" w:eastAsia="Arial" w:hAnsi="Arial" w:cs="Arial"/>
          <w:color w:val="1D1D1D"/>
          <w:spacing w:val="-13"/>
          <w:w w:val="155"/>
          <w:sz w:val="21"/>
          <w:szCs w:val="21"/>
          <w:lang w:val="en-ZA" w:eastAsia="en-ZA"/>
        </w:rPr>
        <w:t>i</w:t>
      </w:r>
      <w:r w:rsidRPr="00BB5C77">
        <w:rPr>
          <w:rFonts w:ascii="Arial" w:eastAsia="Arial" w:hAnsi="Arial" w:cs="Arial"/>
          <w:color w:val="030303"/>
          <w:w w:val="107"/>
          <w:sz w:val="21"/>
          <w:szCs w:val="21"/>
          <w:lang w:val="en-ZA" w:eastAsia="en-ZA"/>
        </w:rPr>
        <w:t>nancial</w:t>
      </w:r>
      <w:r w:rsidRPr="00BB5C77">
        <w:rPr>
          <w:rFonts w:ascii="Arial" w:eastAsia="Arial" w:hAnsi="Arial" w:cs="Arial"/>
          <w:color w:val="030303"/>
          <w:spacing w:val="-34"/>
          <w:sz w:val="21"/>
          <w:szCs w:val="21"/>
          <w:lang w:val="en-ZA" w:eastAsia="en-ZA"/>
        </w:rPr>
        <w:t xml:space="preserve"> </w:t>
      </w:r>
      <w:r w:rsidRPr="00BB5C77">
        <w:rPr>
          <w:rFonts w:ascii="Arial" w:eastAsia="Arial" w:hAnsi="Arial" w:cs="Arial"/>
          <w:color w:val="030303"/>
          <w:sz w:val="21"/>
          <w:szCs w:val="21"/>
          <w:lang w:val="en-ZA" w:eastAsia="en-ZA"/>
        </w:rPr>
        <w:t>statements</w:t>
      </w:r>
      <w:r w:rsidRPr="00BB5C77">
        <w:rPr>
          <w:rFonts w:ascii="Arial" w:eastAsia="Arial" w:hAnsi="Arial" w:cs="Arial"/>
          <w:color w:val="030303"/>
          <w:spacing w:val="49"/>
          <w:sz w:val="21"/>
          <w:szCs w:val="21"/>
          <w:lang w:val="en-ZA" w:eastAsia="en-ZA"/>
        </w:rPr>
        <w:t xml:space="preserve"> </w:t>
      </w:r>
      <w:r w:rsidRPr="00BB5C77">
        <w:rPr>
          <w:rFonts w:ascii="Arial" w:eastAsia="Arial" w:hAnsi="Arial" w:cs="Arial"/>
          <w:color w:val="1D1D1D"/>
          <w:spacing w:val="-10"/>
          <w:w w:val="155"/>
          <w:sz w:val="21"/>
          <w:szCs w:val="21"/>
          <w:lang w:val="en-ZA" w:eastAsia="en-ZA"/>
        </w:rPr>
        <w:t>i</w:t>
      </w:r>
      <w:r w:rsidRPr="00BB5C77">
        <w:rPr>
          <w:rFonts w:ascii="Arial" w:eastAsia="Arial" w:hAnsi="Arial" w:cs="Arial"/>
          <w:color w:val="030303"/>
          <w:w w:val="110"/>
          <w:sz w:val="21"/>
          <w:szCs w:val="21"/>
          <w:lang w:val="en-ZA" w:eastAsia="en-ZA"/>
        </w:rPr>
        <w:t xml:space="preserve">s </w:t>
      </w:r>
      <w:r w:rsidRPr="00BB5C77">
        <w:rPr>
          <w:rFonts w:ascii="Arial" w:eastAsia="Arial" w:hAnsi="Arial" w:cs="Arial"/>
          <w:color w:val="030303"/>
          <w:sz w:val="21"/>
          <w:szCs w:val="21"/>
          <w:lang w:val="en-ZA" w:eastAsia="en-ZA"/>
        </w:rPr>
        <w:t>included</w:t>
      </w:r>
      <w:r w:rsidRPr="00BB5C77">
        <w:rPr>
          <w:rFonts w:ascii="Arial" w:eastAsia="Arial" w:hAnsi="Arial" w:cs="Arial"/>
          <w:color w:val="030303"/>
          <w:spacing w:val="42"/>
          <w:sz w:val="21"/>
          <w:szCs w:val="21"/>
          <w:lang w:val="en-ZA" w:eastAsia="en-ZA"/>
        </w:rPr>
        <w:t xml:space="preserve"> </w:t>
      </w:r>
      <w:r w:rsidRPr="00BB5C77">
        <w:rPr>
          <w:rFonts w:ascii="Arial" w:eastAsia="Arial" w:hAnsi="Arial" w:cs="Arial"/>
          <w:color w:val="030303"/>
          <w:sz w:val="21"/>
          <w:szCs w:val="21"/>
          <w:lang w:val="en-ZA" w:eastAsia="en-ZA"/>
        </w:rPr>
        <w:t>in</w:t>
      </w:r>
      <w:r w:rsidRPr="00BB5C77">
        <w:rPr>
          <w:rFonts w:ascii="Arial" w:eastAsia="Arial" w:hAnsi="Arial" w:cs="Arial"/>
          <w:color w:val="030303"/>
          <w:spacing w:val="7"/>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5"/>
          <w:sz w:val="21"/>
          <w:szCs w:val="21"/>
          <w:lang w:val="en-ZA" w:eastAsia="en-ZA"/>
        </w:rPr>
        <w:t xml:space="preserve"> </w:t>
      </w:r>
      <w:r w:rsidRPr="00BB5C77">
        <w:rPr>
          <w:rFonts w:ascii="Arial" w:eastAsia="Arial" w:hAnsi="Arial" w:cs="Arial"/>
          <w:color w:val="030303"/>
          <w:sz w:val="21"/>
          <w:szCs w:val="21"/>
          <w:lang w:val="en-ZA" w:eastAsia="en-ZA"/>
        </w:rPr>
        <w:t>annexure</w:t>
      </w:r>
      <w:r w:rsidRPr="00BB5C77">
        <w:rPr>
          <w:rFonts w:ascii="Arial" w:eastAsia="Arial" w:hAnsi="Arial" w:cs="Arial"/>
          <w:color w:val="030303"/>
          <w:spacing w:val="36"/>
          <w:sz w:val="21"/>
          <w:szCs w:val="21"/>
          <w:lang w:val="en-ZA" w:eastAsia="en-ZA"/>
        </w:rPr>
        <w:t xml:space="preserve"> </w:t>
      </w:r>
      <w:r w:rsidRPr="00BB5C77">
        <w:rPr>
          <w:rFonts w:ascii="Arial" w:eastAsia="Arial" w:hAnsi="Arial" w:cs="Arial"/>
          <w:color w:val="030303"/>
          <w:sz w:val="21"/>
          <w:szCs w:val="21"/>
          <w:lang w:val="en-ZA" w:eastAsia="en-ZA"/>
        </w:rPr>
        <w:t>to</w:t>
      </w:r>
      <w:r w:rsidRPr="00BB5C77">
        <w:rPr>
          <w:rFonts w:ascii="Arial" w:eastAsia="Arial" w:hAnsi="Arial" w:cs="Arial"/>
          <w:color w:val="030303"/>
          <w:spacing w:val="7"/>
          <w:sz w:val="21"/>
          <w:szCs w:val="21"/>
          <w:lang w:val="en-ZA" w:eastAsia="en-ZA"/>
        </w:rPr>
        <w:t xml:space="preserve"> </w:t>
      </w:r>
      <w:r w:rsidRPr="00BB5C77">
        <w:rPr>
          <w:rFonts w:ascii="Arial" w:eastAsia="Arial" w:hAnsi="Arial" w:cs="Arial"/>
          <w:color w:val="030303"/>
          <w:sz w:val="21"/>
          <w:szCs w:val="21"/>
          <w:lang w:val="en-ZA" w:eastAsia="en-ZA"/>
        </w:rPr>
        <w:t>this</w:t>
      </w:r>
      <w:r w:rsidRPr="00BB5C77">
        <w:rPr>
          <w:rFonts w:ascii="Arial" w:eastAsia="Arial" w:hAnsi="Arial" w:cs="Arial"/>
          <w:color w:val="030303"/>
          <w:spacing w:val="22"/>
          <w:sz w:val="21"/>
          <w:szCs w:val="21"/>
          <w:lang w:val="en-ZA" w:eastAsia="en-ZA"/>
        </w:rPr>
        <w:t xml:space="preserve"> </w:t>
      </w:r>
      <w:r w:rsidRPr="00BB5C77">
        <w:rPr>
          <w:rFonts w:ascii="Arial" w:eastAsia="Arial" w:hAnsi="Arial" w:cs="Arial"/>
          <w:color w:val="030303"/>
          <w:sz w:val="21"/>
          <w:szCs w:val="21"/>
          <w:lang w:val="en-ZA" w:eastAsia="en-ZA"/>
        </w:rPr>
        <w:t>auditor's</w:t>
      </w:r>
      <w:r w:rsidRPr="00BB5C77">
        <w:rPr>
          <w:rFonts w:ascii="Arial" w:eastAsia="Arial" w:hAnsi="Arial" w:cs="Arial"/>
          <w:color w:val="030303"/>
          <w:spacing w:val="29"/>
          <w:sz w:val="21"/>
          <w:szCs w:val="21"/>
          <w:lang w:val="en-ZA" w:eastAsia="en-ZA"/>
        </w:rPr>
        <w:t xml:space="preserve"> </w:t>
      </w:r>
      <w:r w:rsidRPr="00BB5C77">
        <w:rPr>
          <w:rFonts w:ascii="Arial" w:eastAsia="Arial" w:hAnsi="Arial" w:cs="Arial"/>
          <w:color w:val="030303"/>
          <w:w w:val="107"/>
          <w:sz w:val="21"/>
          <w:szCs w:val="21"/>
          <w:lang w:val="en-ZA" w:eastAsia="en-ZA"/>
        </w:rPr>
        <w:t>repor</w:t>
      </w:r>
      <w:r w:rsidRPr="00BB5C77">
        <w:rPr>
          <w:rFonts w:ascii="Arial" w:eastAsia="Arial" w:hAnsi="Arial" w:cs="Arial"/>
          <w:color w:val="030303"/>
          <w:spacing w:val="-16"/>
          <w:w w:val="106"/>
          <w:sz w:val="21"/>
          <w:szCs w:val="21"/>
          <w:lang w:val="en-ZA" w:eastAsia="en-ZA"/>
        </w:rPr>
        <w:t>t</w:t>
      </w:r>
      <w:r w:rsidRPr="00BB5C77">
        <w:rPr>
          <w:rFonts w:ascii="Arial" w:eastAsia="Arial" w:hAnsi="Arial" w:cs="Arial"/>
          <w:color w:val="1D1D1D"/>
          <w:w w:val="169"/>
          <w:sz w:val="21"/>
          <w:szCs w:val="21"/>
          <w:lang w:val="en-ZA" w:eastAsia="en-ZA"/>
        </w:rPr>
        <w:t>.</w:t>
      </w:r>
    </w:p>
    <w:p w14:paraId="2B724A17" w14:textId="77777777" w:rsidR="00BB5C77" w:rsidRPr="00BB5C77" w:rsidRDefault="00BB5C77" w:rsidP="00BB5C77">
      <w:pPr>
        <w:spacing w:after="0" w:line="249" w:lineRule="auto"/>
        <w:ind w:left="612" w:right="521" w:hanging="343"/>
        <w:jc w:val="both"/>
        <w:rPr>
          <w:rFonts w:ascii="Arial" w:eastAsia="Arial" w:hAnsi="Arial" w:cs="Arial"/>
          <w:sz w:val="21"/>
          <w:szCs w:val="21"/>
          <w:lang w:val="en-ZA" w:eastAsia="en-ZA"/>
        </w:rPr>
      </w:pPr>
    </w:p>
    <w:p w14:paraId="5A912CFF" w14:textId="77777777" w:rsidR="00BB5C77" w:rsidRPr="00BB5C77" w:rsidRDefault="00BB5C77" w:rsidP="00BB5C77">
      <w:pPr>
        <w:spacing w:after="0" w:line="249" w:lineRule="auto"/>
        <w:ind w:left="612" w:right="521" w:hanging="343"/>
        <w:jc w:val="both"/>
        <w:rPr>
          <w:rFonts w:ascii="Arial" w:eastAsia="Arial" w:hAnsi="Arial" w:cs="Arial"/>
          <w:sz w:val="21"/>
          <w:szCs w:val="21"/>
          <w:lang w:val="en-ZA" w:eastAsia="en-ZA"/>
        </w:rPr>
      </w:pPr>
    </w:p>
    <w:p w14:paraId="0E7807E9" w14:textId="77777777" w:rsidR="00BB5C77" w:rsidRPr="00BB5C77" w:rsidRDefault="00BB5C77" w:rsidP="00BB5C77">
      <w:pPr>
        <w:spacing w:after="0" w:line="249" w:lineRule="auto"/>
        <w:ind w:left="612" w:right="521" w:hanging="343"/>
        <w:jc w:val="both"/>
        <w:rPr>
          <w:rFonts w:ascii="Arial" w:eastAsia="Arial" w:hAnsi="Arial" w:cs="Arial"/>
          <w:sz w:val="21"/>
          <w:szCs w:val="21"/>
          <w:lang w:val="en-ZA" w:eastAsia="en-ZA"/>
        </w:rPr>
      </w:pPr>
    </w:p>
    <w:p w14:paraId="2DD41DE2" w14:textId="77777777" w:rsidR="00BB5C77" w:rsidRPr="00BB5C77" w:rsidRDefault="00BB5C77" w:rsidP="00BB5C77">
      <w:pPr>
        <w:spacing w:after="0" w:line="249" w:lineRule="auto"/>
        <w:ind w:left="612" w:right="521" w:hanging="343"/>
        <w:jc w:val="both"/>
        <w:rPr>
          <w:rFonts w:ascii="Arial" w:eastAsia="Arial" w:hAnsi="Arial" w:cs="Arial"/>
          <w:sz w:val="21"/>
          <w:szCs w:val="21"/>
          <w:lang w:val="en-ZA" w:eastAsia="en-ZA"/>
        </w:rPr>
      </w:pPr>
    </w:p>
    <w:p w14:paraId="3D8B2F55" w14:textId="77777777" w:rsidR="00BB5C77" w:rsidRPr="00BB5C77" w:rsidRDefault="00BB5C77" w:rsidP="00BB5C77">
      <w:pPr>
        <w:spacing w:after="0" w:line="249" w:lineRule="auto"/>
        <w:ind w:left="612" w:right="521" w:hanging="343"/>
        <w:jc w:val="both"/>
        <w:rPr>
          <w:rFonts w:ascii="Arial" w:eastAsia="Arial" w:hAnsi="Arial" w:cs="Arial"/>
          <w:sz w:val="21"/>
          <w:szCs w:val="21"/>
          <w:lang w:val="en-ZA" w:eastAsia="en-ZA"/>
        </w:rPr>
      </w:pPr>
    </w:p>
    <w:p w14:paraId="1FA3AD9E" w14:textId="77777777" w:rsidR="00BB5C77" w:rsidRPr="00BB5C77" w:rsidRDefault="00BB5C77" w:rsidP="00BB5C77">
      <w:pPr>
        <w:spacing w:after="0" w:line="249" w:lineRule="auto"/>
        <w:ind w:left="612" w:right="521" w:hanging="343"/>
        <w:jc w:val="both"/>
        <w:rPr>
          <w:rFonts w:ascii="Arial" w:eastAsia="Arial" w:hAnsi="Arial" w:cs="Arial"/>
          <w:sz w:val="21"/>
          <w:szCs w:val="21"/>
          <w:lang w:val="en-ZA" w:eastAsia="en-ZA"/>
        </w:rPr>
      </w:pPr>
    </w:p>
    <w:p w14:paraId="654842CA" w14:textId="77777777" w:rsidR="00BB5C77" w:rsidRPr="00BB5C77" w:rsidRDefault="00BB5C77" w:rsidP="00BB5C77">
      <w:pPr>
        <w:spacing w:after="0" w:line="249" w:lineRule="auto"/>
        <w:ind w:left="612" w:right="521" w:hanging="343"/>
        <w:jc w:val="both"/>
        <w:rPr>
          <w:rFonts w:ascii="Arial" w:eastAsia="Arial" w:hAnsi="Arial" w:cs="Arial"/>
          <w:sz w:val="21"/>
          <w:szCs w:val="21"/>
          <w:lang w:val="en-ZA" w:eastAsia="en-ZA"/>
        </w:rPr>
      </w:pPr>
    </w:p>
    <w:p w14:paraId="203728A9" w14:textId="77777777" w:rsidR="00BB5C77" w:rsidRPr="00BB5C77" w:rsidRDefault="00BB5C77" w:rsidP="00BB5C77">
      <w:pPr>
        <w:spacing w:after="0" w:line="249" w:lineRule="auto"/>
        <w:ind w:left="612" w:right="521" w:hanging="343"/>
        <w:jc w:val="both"/>
        <w:rPr>
          <w:rFonts w:ascii="Arial" w:eastAsia="Arial" w:hAnsi="Arial" w:cs="Arial"/>
          <w:sz w:val="21"/>
          <w:szCs w:val="21"/>
          <w:lang w:val="en-ZA" w:eastAsia="en-ZA"/>
        </w:rPr>
      </w:pPr>
    </w:p>
    <w:p w14:paraId="7F1F96BC" w14:textId="77777777" w:rsidR="00BB5C77" w:rsidRPr="00BB5C77" w:rsidRDefault="00BB5C77" w:rsidP="00BB5C77">
      <w:pPr>
        <w:tabs>
          <w:tab w:val="left" w:pos="8099"/>
        </w:tabs>
        <w:spacing w:after="0" w:line="249" w:lineRule="auto"/>
        <w:ind w:left="612" w:right="521" w:hanging="343"/>
        <w:jc w:val="both"/>
        <w:rPr>
          <w:rFonts w:ascii="Arial" w:eastAsia="Arial" w:hAnsi="Arial" w:cs="Arial"/>
          <w:sz w:val="21"/>
          <w:szCs w:val="21"/>
          <w:lang w:val="en-ZA" w:eastAsia="en-ZA"/>
        </w:rPr>
      </w:pPr>
      <w:r w:rsidRPr="00BB5C77">
        <w:rPr>
          <w:rFonts w:ascii="Arial" w:eastAsia="Arial" w:hAnsi="Arial" w:cs="Arial"/>
          <w:sz w:val="21"/>
          <w:szCs w:val="21"/>
          <w:lang w:val="en-ZA" w:eastAsia="en-ZA"/>
        </w:rPr>
        <w:tab/>
      </w:r>
      <w:r w:rsidRPr="00BB5C77">
        <w:rPr>
          <w:rFonts w:ascii="Arial" w:eastAsia="Arial" w:hAnsi="Arial" w:cs="Arial"/>
          <w:sz w:val="21"/>
          <w:szCs w:val="21"/>
          <w:lang w:val="en-ZA" w:eastAsia="en-ZA"/>
        </w:rPr>
        <w:tab/>
      </w:r>
    </w:p>
    <w:p w14:paraId="79E6A51A" w14:textId="77777777" w:rsidR="00BB5C77" w:rsidRPr="00BB5C77" w:rsidRDefault="00BB5C77" w:rsidP="00BB5C77">
      <w:pPr>
        <w:spacing w:after="0" w:line="249" w:lineRule="auto"/>
        <w:ind w:left="612" w:right="521" w:hanging="343"/>
        <w:jc w:val="both"/>
        <w:rPr>
          <w:rFonts w:ascii="Arial" w:eastAsia="Arial" w:hAnsi="Arial" w:cs="Arial"/>
          <w:sz w:val="21"/>
          <w:szCs w:val="21"/>
          <w:lang w:val="en-ZA" w:eastAsia="en-ZA"/>
        </w:rPr>
      </w:pPr>
    </w:p>
    <w:p w14:paraId="2058CB8F" w14:textId="77777777" w:rsidR="00BB5C77" w:rsidRPr="00BB5C77" w:rsidRDefault="00BB5C77" w:rsidP="00BB5C77">
      <w:pPr>
        <w:spacing w:after="0" w:line="249" w:lineRule="auto"/>
        <w:ind w:left="612" w:right="521" w:hanging="343"/>
        <w:jc w:val="both"/>
        <w:rPr>
          <w:rFonts w:ascii="Arial" w:eastAsia="Arial" w:hAnsi="Arial" w:cs="Arial"/>
          <w:sz w:val="21"/>
          <w:szCs w:val="21"/>
          <w:lang w:val="en-ZA" w:eastAsia="en-ZA"/>
        </w:rPr>
      </w:pPr>
    </w:p>
    <w:p w14:paraId="09860332" w14:textId="77777777" w:rsidR="00BB5C77" w:rsidRPr="00BB5C77" w:rsidRDefault="00BB5C77" w:rsidP="00BB5C77">
      <w:pPr>
        <w:spacing w:before="16" w:after="0" w:line="220" w:lineRule="exact"/>
        <w:jc w:val="both"/>
        <w:rPr>
          <w:rFonts w:eastAsia="Times New Roman" w:cs="Times New Roman"/>
          <w:sz w:val="22"/>
          <w:lang w:val="en-ZA" w:eastAsia="en-ZA"/>
        </w:rPr>
      </w:pPr>
    </w:p>
    <w:p w14:paraId="75354B42" w14:textId="77777777" w:rsidR="00BB5C77" w:rsidRPr="00BB5C77" w:rsidRDefault="00BB5C77" w:rsidP="00BB5C77">
      <w:pPr>
        <w:spacing w:after="0" w:line="240" w:lineRule="auto"/>
        <w:ind w:left="119" w:right="-20"/>
        <w:jc w:val="both"/>
        <w:rPr>
          <w:rFonts w:ascii="Arial" w:eastAsia="Arial" w:hAnsi="Arial" w:cs="Arial"/>
          <w:color w:val="595959"/>
          <w:w w:val="67"/>
          <w:sz w:val="44"/>
          <w:szCs w:val="44"/>
          <w:u w:val="single" w:color="676767"/>
          <w:lang w:val="en-ZA" w:eastAsia="en-ZA"/>
        </w:rPr>
      </w:pPr>
      <w:r w:rsidRPr="00BB5C77">
        <w:rPr>
          <w:rFonts w:eastAsia="Calibri" w:cs="Times New Roman"/>
          <w:noProof/>
          <w:sz w:val="22"/>
        </w:rPr>
        <mc:AlternateContent>
          <mc:Choice Requires="wpg">
            <w:drawing>
              <wp:anchor distT="0" distB="0" distL="114300" distR="114300" simplePos="0" relativeHeight="251768320" behindDoc="1" locked="0" layoutInCell="1" allowOverlap="1" wp14:anchorId="605162B8" wp14:editId="2D451465">
                <wp:simplePos x="0" y="0"/>
                <wp:positionH relativeFrom="page">
                  <wp:posOffset>829310</wp:posOffset>
                </wp:positionH>
                <wp:positionV relativeFrom="paragraph">
                  <wp:posOffset>104775</wp:posOffset>
                </wp:positionV>
                <wp:extent cx="5856605" cy="1270"/>
                <wp:effectExtent l="10160" t="9525" r="10160" b="8255"/>
                <wp:wrapNone/>
                <wp:docPr id="43462" name="Group 434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56605" cy="1270"/>
                          <a:chOff x="1306" y="165"/>
                          <a:chExt cx="9223" cy="2"/>
                        </a:xfrm>
                      </wpg:grpSpPr>
                      <wps:wsp>
                        <wps:cNvPr id="43463" name="Freeform 7"/>
                        <wps:cNvSpPr>
                          <a:spLocks/>
                        </wps:cNvSpPr>
                        <wps:spPr bwMode="auto">
                          <a:xfrm>
                            <a:off x="1306" y="165"/>
                            <a:ext cx="9223" cy="2"/>
                          </a:xfrm>
                          <a:custGeom>
                            <a:avLst/>
                            <a:gdLst>
                              <a:gd name="T0" fmla="+- 0 1306 1306"/>
                              <a:gd name="T1" fmla="*/ T0 w 9223"/>
                              <a:gd name="T2" fmla="+- 0 10529 1306"/>
                              <a:gd name="T3" fmla="*/ T2 w 9223"/>
                            </a:gdLst>
                            <a:ahLst/>
                            <a:cxnLst>
                              <a:cxn ang="0">
                                <a:pos x="T1" y="0"/>
                              </a:cxn>
                              <a:cxn ang="0">
                                <a:pos x="T3" y="0"/>
                              </a:cxn>
                            </a:cxnLst>
                            <a:rect l="0" t="0" r="r" b="b"/>
                            <a:pathLst>
                              <a:path w="9223">
                                <a:moveTo>
                                  <a:pt x="0" y="0"/>
                                </a:moveTo>
                                <a:lnTo>
                                  <a:pt x="9223" y="0"/>
                                </a:lnTo>
                              </a:path>
                            </a:pathLst>
                          </a:custGeom>
                          <a:noFill/>
                          <a:ln w="9066">
                            <a:solidFill>
                              <a:srgbClr val="67676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128F85" id="Group 43462" o:spid="_x0000_s1026" style="position:absolute;margin-left:65.3pt;margin-top:8.25pt;width:461.15pt;height:.1pt;z-index:-251548160;mso-position-horizontal-relative:page" coordorigin="1306,165" coordsize="922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">
                <v:shape id="Freeform 7" o:spid="_x0000_s1027" style="position:absolute;left:1306;top:165;width:9223;height:2;visibility:visible;mso-wrap-style:square;v-text-anchor:top" coordsize="92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PwMMcA&#10;AADeAAAADwAAAGRycy9kb3ducmV2LnhtbESPQWvCQBSE74X+h+UVeqsbq4QSXUUMpRV7MfXg8Zl9&#10;JtHs27C7jfHfu4VCj8PMfMPMl4NpRU/ON5YVjEcJCOLS6oYrBfvv95c3ED4ga2wtk4IbeVguHh/m&#10;mGl75R31RahEhLDPUEEdQpdJ6cuaDPqR7Yijd7LOYIjSVVI7vEa4aeVrkqTSYMNxocaO1jWVl+LH&#10;KAjpOde6/yhW29Nx/bXJXZ4ejko9Pw2rGYhAQ/gP/7U/tYLpZJpO4PdOvAJyc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wj8DDHAAAA3gAAAA8AAAAAAAAAAAAAAAAAmAIAAGRy&#10;cy9kb3ducmV2LnhtbFBLBQYAAAAABAAEAPUAAACMAwAAAAA=&#10;" path="m,l9223,e" filled="f" strokecolor="#676767" strokeweight=".25183mm">
                  <v:path arrowok="t" o:connecttype="custom" o:connectlocs="0,0;9223,0" o:connectangles="0,0"/>
                </v:shape>
                <w10:wrap anchorx="page"/>
              </v:group>
            </w:pict>
          </mc:Fallback>
        </mc:AlternateContent>
      </w:r>
    </w:p>
    <w:p w14:paraId="189528BA" w14:textId="77777777" w:rsidR="00BB5C77" w:rsidRPr="00BB5C77" w:rsidRDefault="00BB5C77" w:rsidP="00BB5C77">
      <w:pPr>
        <w:spacing w:after="0" w:line="240" w:lineRule="auto"/>
        <w:ind w:left="119" w:right="-20"/>
        <w:jc w:val="both"/>
        <w:rPr>
          <w:rFonts w:ascii="Arial" w:eastAsia="Arial" w:hAnsi="Arial" w:cs="Arial"/>
          <w:sz w:val="24"/>
          <w:szCs w:val="24"/>
          <w:lang w:val="en-ZA" w:eastAsia="en-ZA"/>
        </w:rPr>
      </w:pPr>
      <w:r w:rsidRPr="00BB5C77">
        <w:rPr>
          <w:rFonts w:ascii="Arial" w:eastAsia="Arial" w:hAnsi="Arial" w:cs="Arial"/>
          <w:color w:val="5787BC"/>
          <w:sz w:val="24"/>
          <w:szCs w:val="24"/>
          <w:lang w:val="en-ZA" w:eastAsia="en-ZA"/>
        </w:rPr>
        <w:t>Report</w:t>
      </w:r>
      <w:r w:rsidRPr="00BB5C77">
        <w:rPr>
          <w:rFonts w:ascii="Arial" w:eastAsia="Arial" w:hAnsi="Arial" w:cs="Arial"/>
          <w:color w:val="5787BC"/>
          <w:spacing w:val="48"/>
          <w:sz w:val="24"/>
          <w:szCs w:val="24"/>
          <w:lang w:val="en-ZA" w:eastAsia="en-ZA"/>
        </w:rPr>
        <w:t xml:space="preserve"> </w:t>
      </w:r>
      <w:r w:rsidRPr="00BB5C77">
        <w:rPr>
          <w:rFonts w:ascii="Arial" w:eastAsia="Arial" w:hAnsi="Arial" w:cs="Arial"/>
          <w:color w:val="5787BC"/>
          <w:sz w:val="24"/>
          <w:szCs w:val="24"/>
          <w:lang w:val="en-ZA" w:eastAsia="en-ZA"/>
        </w:rPr>
        <w:t>on</w:t>
      </w:r>
      <w:r w:rsidRPr="00BB5C77">
        <w:rPr>
          <w:rFonts w:ascii="Arial" w:eastAsia="Arial" w:hAnsi="Arial" w:cs="Arial"/>
          <w:color w:val="5787BC"/>
          <w:spacing w:val="26"/>
          <w:sz w:val="24"/>
          <w:szCs w:val="24"/>
          <w:lang w:val="en-ZA" w:eastAsia="en-ZA"/>
        </w:rPr>
        <w:t xml:space="preserve"> </w:t>
      </w:r>
      <w:r w:rsidRPr="00BB5C77">
        <w:rPr>
          <w:rFonts w:ascii="Arial" w:eastAsia="Arial" w:hAnsi="Arial" w:cs="Arial"/>
          <w:color w:val="5787BC"/>
          <w:sz w:val="24"/>
          <w:szCs w:val="24"/>
          <w:lang w:val="en-ZA" w:eastAsia="en-ZA"/>
        </w:rPr>
        <w:t>the</w:t>
      </w:r>
      <w:r w:rsidRPr="00BB5C77">
        <w:rPr>
          <w:rFonts w:ascii="Arial" w:eastAsia="Arial" w:hAnsi="Arial" w:cs="Arial"/>
          <w:color w:val="5787BC"/>
          <w:spacing w:val="21"/>
          <w:sz w:val="24"/>
          <w:szCs w:val="24"/>
          <w:lang w:val="en-ZA" w:eastAsia="en-ZA"/>
        </w:rPr>
        <w:t xml:space="preserve"> </w:t>
      </w:r>
      <w:r w:rsidRPr="00BB5C77">
        <w:rPr>
          <w:rFonts w:ascii="Arial" w:eastAsia="Arial" w:hAnsi="Arial" w:cs="Arial"/>
          <w:color w:val="5787BC"/>
          <w:sz w:val="24"/>
          <w:szCs w:val="24"/>
          <w:lang w:val="en-ZA" w:eastAsia="en-ZA"/>
        </w:rPr>
        <w:t>audit</w:t>
      </w:r>
      <w:r w:rsidRPr="00BB5C77">
        <w:rPr>
          <w:rFonts w:ascii="Arial" w:eastAsia="Arial" w:hAnsi="Arial" w:cs="Arial"/>
          <w:color w:val="5787BC"/>
          <w:spacing w:val="43"/>
          <w:sz w:val="24"/>
          <w:szCs w:val="24"/>
          <w:lang w:val="en-ZA" w:eastAsia="en-ZA"/>
        </w:rPr>
        <w:t xml:space="preserve"> </w:t>
      </w:r>
      <w:r w:rsidRPr="00BB5C77">
        <w:rPr>
          <w:rFonts w:ascii="Arial" w:eastAsia="Arial" w:hAnsi="Arial" w:cs="Arial"/>
          <w:color w:val="5787BC"/>
          <w:sz w:val="24"/>
          <w:szCs w:val="24"/>
          <w:lang w:val="en-ZA" w:eastAsia="en-ZA"/>
        </w:rPr>
        <w:t>of</w:t>
      </w:r>
      <w:r w:rsidRPr="00BB5C77">
        <w:rPr>
          <w:rFonts w:ascii="Arial" w:eastAsia="Arial" w:hAnsi="Arial" w:cs="Arial"/>
          <w:color w:val="5787BC"/>
          <w:spacing w:val="39"/>
          <w:sz w:val="24"/>
          <w:szCs w:val="24"/>
          <w:lang w:val="en-ZA" w:eastAsia="en-ZA"/>
        </w:rPr>
        <w:t xml:space="preserve"> </w:t>
      </w:r>
      <w:r w:rsidRPr="00BB5C77">
        <w:rPr>
          <w:rFonts w:ascii="Arial" w:eastAsia="Arial" w:hAnsi="Arial" w:cs="Arial"/>
          <w:color w:val="5787BC"/>
          <w:sz w:val="24"/>
          <w:szCs w:val="24"/>
          <w:lang w:val="en-ZA" w:eastAsia="en-ZA"/>
        </w:rPr>
        <w:t>the</w:t>
      </w:r>
      <w:r w:rsidRPr="00BB5C77">
        <w:rPr>
          <w:rFonts w:ascii="Arial" w:eastAsia="Arial" w:hAnsi="Arial" w:cs="Arial"/>
          <w:color w:val="5787BC"/>
          <w:spacing w:val="21"/>
          <w:sz w:val="24"/>
          <w:szCs w:val="24"/>
          <w:lang w:val="en-ZA" w:eastAsia="en-ZA"/>
        </w:rPr>
        <w:t xml:space="preserve"> </w:t>
      </w:r>
      <w:r w:rsidRPr="00BB5C77">
        <w:rPr>
          <w:rFonts w:ascii="Arial" w:eastAsia="Arial" w:hAnsi="Arial" w:cs="Arial"/>
          <w:color w:val="5787BC"/>
          <w:w w:val="107"/>
          <w:sz w:val="24"/>
          <w:szCs w:val="24"/>
          <w:lang w:val="en-ZA" w:eastAsia="en-ZA"/>
        </w:rPr>
        <w:t>annua</w:t>
      </w:r>
      <w:r w:rsidRPr="00BB5C77">
        <w:rPr>
          <w:rFonts w:ascii="Arial" w:eastAsia="Arial" w:hAnsi="Arial" w:cs="Arial"/>
          <w:color w:val="5787BC"/>
          <w:spacing w:val="17"/>
          <w:w w:val="107"/>
          <w:sz w:val="24"/>
          <w:szCs w:val="24"/>
          <w:lang w:val="en-ZA" w:eastAsia="en-ZA"/>
        </w:rPr>
        <w:t xml:space="preserve">l </w:t>
      </w:r>
      <w:r w:rsidRPr="00BB5C77">
        <w:rPr>
          <w:rFonts w:ascii="Arial" w:eastAsia="Arial" w:hAnsi="Arial" w:cs="Arial"/>
          <w:color w:val="5787BC"/>
          <w:w w:val="107"/>
          <w:sz w:val="24"/>
          <w:szCs w:val="24"/>
          <w:lang w:val="en-ZA" w:eastAsia="en-ZA"/>
        </w:rPr>
        <w:t>performance</w:t>
      </w:r>
      <w:r w:rsidRPr="00BB5C77">
        <w:rPr>
          <w:rFonts w:ascii="Arial" w:eastAsia="Arial" w:hAnsi="Arial" w:cs="Arial"/>
          <w:color w:val="5787BC"/>
          <w:spacing w:val="-6"/>
          <w:w w:val="107"/>
          <w:sz w:val="24"/>
          <w:szCs w:val="24"/>
          <w:lang w:val="en-ZA" w:eastAsia="en-ZA"/>
        </w:rPr>
        <w:t xml:space="preserve"> </w:t>
      </w:r>
      <w:r w:rsidRPr="00BB5C77">
        <w:rPr>
          <w:rFonts w:ascii="Arial" w:eastAsia="Arial" w:hAnsi="Arial" w:cs="Arial"/>
          <w:color w:val="5787BC"/>
          <w:w w:val="110"/>
          <w:sz w:val="24"/>
          <w:szCs w:val="24"/>
          <w:lang w:val="en-ZA" w:eastAsia="en-ZA"/>
        </w:rPr>
        <w:t>report</w:t>
      </w:r>
    </w:p>
    <w:p w14:paraId="2D4823E4" w14:textId="77777777" w:rsidR="00BB5C77" w:rsidRPr="00BB5C77" w:rsidRDefault="00BB5C77" w:rsidP="00BB5C77">
      <w:pPr>
        <w:spacing w:before="1" w:after="0" w:line="140" w:lineRule="exact"/>
        <w:jc w:val="both"/>
        <w:rPr>
          <w:rFonts w:eastAsia="Times New Roman" w:cs="Times New Roman"/>
          <w:sz w:val="14"/>
          <w:szCs w:val="14"/>
          <w:lang w:val="en-ZA" w:eastAsia="en-ZA"/>
        </w:rPr>
      </w:pPr>
    </w:p>
    <w:p w14:paraId="43959DC5" w14:textId="77777777" w:rsidR="00BB5C77" w:rsidRPr="00BB5C77" w:rsidRDefault="00BB5C77" w:rsidP="00BB5C77">
      <w:pPr>
        <w:spacing w:after="0" w:line="200" w:lineRule="exact"/>
        <w:jc w:val="both"/>
        <w:rPr>
          <w:rFonts w:eastAsia="Times New Roman" w:cs="Times New Roman"/>
          <w:szCs w:val="20"/>
          <w:lang w:val="en-ZA" w:eastAsia="en-ZA"/>
        </w:rPr>
      </w:pPr>
    </w:p>
    <w:p w14:paraId="5DD27464" w14:textId="77777777" w:rsidR="00BB5C77" w:rsidRPr="00BB5C77" w:rsidRDefault="00BB5C77" w:rsidP="00BB5C77">
      <w:pPr>
        <w:spacing w:after="0" w:line="240" w:lineRule="auto"/>
        <w:ind w:left="248" w:right="-20"/>
        <w:jc w:val="both"/>
        <w:rPr>
          <w:rFonts w:ascii="Arial" w:eastAsia="Arial" w:hAnsi="Arial" w:cs="Arial"/>
          <w:sz w:val="24"/>
          <w:szCs w:val="24"/>
          <w:lang w:val="en-ZA" w:eastAsia="en-ZA"/>
        </w:rPr>
      </w:pPr>
      <w:r w:rsidRPr="00BB5C77">
        <w:rPr>
          <w:rFonts w:ascii="Arial" w:eastAsia="Arial" w:hAnsi="Arial" w:cs="Arial"/>
          <w:color w:val="1D1D1D"/>
          <w:w w:val="113"/>
          <w:sz w:val="24"/>
          <w:szCs w:val="24"/>
          <w:lang w:val="en-ZA" w:eastAsia="en-ZA"/>
        </w:rPr>
        <w:t>Introductio</w:t>
      </w:r>
      <w:r w:rsidRPr="00BB5C77">
        <w:rPr>
          <w:rFonts w:ascii="Arial" w:eastAsia="Arial" w:hAnsi="Arial" w:cs="Arial"/>
          <w:color w:val="1D1D1D"/>
          <w:w w:val="114"/>
          <w:sz w:val="24"/>
          <w:szCs w:val="24"/>
          <w:lang w:val="en-ZA" w:eastAsia="en-ZA"/>
        </w:rPr>
        <w:t>n</w:t>
      </w:r>
      <w:r w:rsidRPr="00BB5C77">
        <w:rPr>
          <w:rFonts w:ascii="Arial" w:eastAsia="Arial" w:hAnsi="Arial" w:cs="Arial"/>
          <w:color w:val="1D1D1D"/>
          <w:spacing w:val="-29"/>
          <w:sz w:val="24"/>
          <w:szCs w:val="24"/>
          <w:lang w:val="en-ZA" w:eastAsia="en-ZA"/>
        </w:rPr>
        <w:t xml:space="preserve"> </w:t>
      </w:r>
      <w:r w:rsidRPr="00BB5C77">
        <w:rPr>
          <w:rFonts w:ascii="Arial" w:eastAsia="Arial" w:hAnsi="Arial" w:cs="Arial"/>
          <w:color w:val="1D1D1D"/>
          <w:sz w:val="24"/>
          <w:szCs w:val="24"/>
          <w:lang w:val="en-ZA" w:eastAsia="en-ZA"/>
        </w:rPr>
        <w:t>and</w:t>
      </w:r>
      <w:r w:rsidRPr="00BB5C77">
        <w:rPr>
          <w:rFonts w:ascii="Arial" w:eastAsia="Arial" w:hAnsi="Arial" w:cs="Arial"/>
          <w:color w:val="1D1D1D"/>
          <w:spacing w:val="25"/>
          <w:sz w:val="24"/>
          <w:szCs w:val="24"/>
          <w:lang w:val="en-ZA" w:eastAsia="en-ZA"/>
        </w:rPr>
        <w:t xml:space="preserve"> </w:t>
      </w:r>
      <w:r w:rsidRPr="00BB5C77">
        <w:rPr>
          <w:rFonts w:ascii="Arial" w:eastAsia="Arial" w:hAnsi="Arial" w:cs="Arial"/>
          <w:color w:val="1D1D1D"/>
          <w:w w:val="109"/>
          <w:sz w:val="24"/>
          <w:szCs w:val="24"/>
          <w:lang w:val="en-ZA" w:eastAsia="en-ZA"/>
        </w:rPr>
        <w:t>scope</w:t>
      </w:r>
    </w:p>
    <w:p w14:paraId="6DC81AC2" w14:textId="77777777" w:rsidR="00BB5C77" w:rsidRPr="00BB5C77" w:rsidRDefault="00BB5C77" w:rsidP="00BB5C77">
      <w:pPr>
        <w:spacing w:before="7" w:after="0" w:line="240" w:lineRule="exact"/>
        <w:jc w:val="both"/>
        <w:rPr>
          <w:rFonts w:eastAsia="Times New Roman" w:cs="Times New Roman"/>
          <w:sz w:val="24"/>
          <w:szCs w:val="24"/>
          <w:lang w:val="en-ZA" w:eastAsia="en-ZA"/>
        </w:rPr>
      </w:pPr>
    </w:p>
    <w:p w14:paraId="30B77D0A" w14:textId="77777777" w:rsidR="00BB5C77" w:rsidRPr="00BB5C77" w:rsidRDefault="00BB5C77" w:rsidP="00BB5C77">
      <w:pPr>
        <w:spacing w:after="0" w:line="249" w:lineRule="auto"/>
        <w:ind w:left="598" w:right="115" w:hanging="336"/>
        <w:jc w:val="both"/>
        <w:rPr>
          <w:rFonts w:ascii="Arial" w:eastAsia="Arial" w:hAnsi="Arial" w:cs="Arial"/>
          <w:sz w:val="21"/>
          <w:szCs w:val="21"/>
          <w:lang w:val="en-ZA" w:eastAsia="en-ZA"/>
        </w:rPr>
      </w:pPr>
      <w:r w:rsidRPr="00BB5C77">
        <w:rPr>
          <w:rFonts w:ascii="Arial" w:eastAsia="Arial" w:hAnsi="Arial" w:cs="Arial"/>
          <w:color w:val="030303"/>
          <w:sz w:val="21"/>
          <w:szCs w:val="21"/>
          <w:lang w:val="en-ZA" w:eastAsia="en-ZA"/>
        </w:rPr>
        <w:t>15.</w:t>
      </w:r>
      <w:r w:rsidRPr="00BB5C77">
        <w:rPr>
          <w:rFonts w:ascii="Arial" w:eastAsia="Arial" w:hAnsi="Arial" w:cs="Arial"/>
          <w:color w:val="030303"/>
          <w:spacing w:val="-1"/>
          <w:sz w:val="21"/>
          <w:szCs w:val="21"/>
          <w:lang w:val="en-ZA" w:eastAsia="en-ZA"/>
        </w:rPr>
        <w:t xml:space="preserve"> </w:t>
      </w:r>
      <w:r w:rsidRPr="00BB5C77">
        <w:rPr>
          <w:rFonts w:ascii="Arial" w:eastAsia="Arial" w:hAnsi="Arial" w:cs="Arial"/>
          <w:color w:val="030303"/>
          <w:sz w:val="21"/>
          <w:szCs w:val="21"/>
          <w:lang w:val="en-ZA" w:eastAsia="en-ZA"/>
        </w:rPr>
        <w:t>In</w:t>
      </w:r>
      <w:r w:rsidRPr="00BB5C77">
        <w:rPr>
          <w:rFonts w:ascii="Arial" w:eastAsia="Arial" w:hAnsi="Arial" w:cs="Arial"/>
          <w:color w:val="030303"/>
          <w:spacing w:val="6"/>
          <w:sz w:val="21"/>
          <w:szCs w:val="21"/>
          <w:lang w:val="en-ZA" w:eastAsia="en-ZA"/>
        </w:rPr>
        <w:t xml:space="preserve"> </w:t>
      </w:r>
      <w:r w:rsidRPr="00BB5C77">
        <w:rPr>
          <w:rFonts w:ascii="Arial" w:eastAsia="Arial" w:hAnsi="Arial" w:cs="Arial"/>
          <w:color w:val="030303"/>
          <w:sz w:val="21"/>
          <w:szCs w:val="21"/>
          <w:lang w:val="en-ZA" w:eastAsia="en-ZA"/>
        </w:rPr>
        <w:t>accordance</w:t>
      </w:r>
      <w:r w:rsidRPr="00BB5C77">
        <w:rPr>
          <w:rFonts w:ascii="Arial" w:eastAsia="Arial" w:hAnsi="Arial" w:cs="Arial"/>
          <w:color w:val="030303"/>
          <w:spacing w:val="41"/>
          <w:sz w:val="21"/>
          <w:szCs w:val="21"/>
          <w:lang w:val="en-ZA" w:eastAsia="en-ZA"/>
        </w:rPr>
        <w:t xml:space="preserve"> </w:t>
      </w:r>
      <w:r w:rsidRPr="00BB5C77">
        <w:rPr>
          <w:rFonts w:ascii="Arial" w:eastAsia="Arial" w:hAnsi="Arial" w:cs="Arial"/>
          <w:color w:val="030303"/>
          <w:sz w:val="21"/>
          <w:szCs w:val="21"/>
          <w:lang w:val="en-ZA" w:eastAsia="en-ZA"/>
        </w:rPr>
        <w:t>with</w:t>
      </w:r>
      <w:r w:rsidRPr="00BB5C77">
        <w:rPr>
          <w:rFonts w:ascii="Arial" w:eastAsia="Arial" w:hAnsi="Arial" w:cs="Arial"/>
          <w:color w:val="030303"/>
          <w:spacing w:val="19"/>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9"/>
          <w:sz w:val="21"/>
          <w:szCs w:val="21"/>
          <w:lang w:val="en-ZA" w:eastAsia="en-ZA"/>
        </w:rPr>
        <w:t xml:space="preserve"> </w:t>
      </w:r>
      <w:r w:rsidRPr="00BB5C77">
        <w:rPr>
          <w:rFonts w:ascii="Arial" w:eastAsia="Arial" w:hAnsi="Arial" w:cs="Arial"/>
          <w:color w:val="030303"/>
          <w:sz w:val="21"/>
          <w:szCs w:val="21"/>
          <w:lang w:val="en-ZA" w:eastAsia="en-ZA"/>
        </w:rPr>
        <w:t>Public</w:t>
      </w:r>
      <w:r w:rsidRPr="00BB5C77">
        <w:rPr>
          <w:rFonts w:ascii="Arial" w:eastAsia="Arial" w:hAnsi="Arial" w:cs="Arial"/>
          <w:color w:val="030303"/>
          <w:spacing w:val="7"/>
          <w:sz w:val="21"/>
          <w:szCs w:val="21"/>
          <w:lang w:val="en-ZA" w:eastAsia="en-ZA"/>
        </w:rPr>
        <w:t xml:space="preserve"> </w:t>
      </w:r>
      <w:r w:rsidRPr="00BB5C77">
        <w:rPr>
          <w:rFonts w:ascii="Arial" w:eastAsia="Arial" w:hAnsi="Arial" w:cs="Arial"/>
          <w:color w:val="030303"/>
          <w:sz w:val="21"/>
          <w:szCs w:val="21"/>
          <w:lang w:val="en-ZA" w:eastAsia="en-ZA"/>
        </w:rPr>
        <w:t>Audit</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Act</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of</w:t>
      </w:r>
      <w:r w:rsidRPr="00BB5C77">
        <w:rPr>
          <w:rFonts w:ascii="Arial" w:eastAsia="Arial" w:hAnsi="Arial" w:cs="Arial"/>
          <w:color w:val="030303"/>
          <w:spacing w:val="22"/>
          <w:sz w:val="21"/>
          <w:szCs w:val="21"/>
          <w:lang w:val="en-ZA" w:eastAsia="en-ZA"/>
        </w:rPr>
        <w:t xml:space="preserve"> </w:t>
      </w:r>
      <w:r w:rsidRPr="00BB5C77">
        <w:rPr>
          <w:rFonts w:ascii="Arial" w:eastAsia="Arial" w:hAnsi="Arial" w:cs="Arial"/>
          <w:color w:val="030303"/>
          <w:sz w:val="21"/>
          <w:szCs w:val="21"/>
          <w:lang w:val="en-ZA" w:eastAsia="en-ZA"/>
        </w:rPr>
        <w:t>South</w:t>
      </w:r>
      <w:r w:rsidRPr="00BB5C77">
        <w:rPr>
          <w:rFonts w:ascii="Arial" w:eastAsia="Arial" w:hAnsi="Arial" w:cs="Arial"/>
          <w:color w:val="030303"/>
          <w:spacing w:val="24"/>
          <w:sz w:val="21"/>
          <w:szCs w:val="21"/>
          <w:lang w:val="en-ZA" w:eastAsia="en-ZA"/>
        </w:rPr>
        <w:t xml:space="preserve"> </w:t>
      </w:r>
      <w:r w:rsidRPr="00BB5C77">
        <w:rPr>
          <w:rFonts w:ascii="Arial" w:eastAsia="Arial" w:hAnsi="Arial" w:cs="Arial"/>
          <w:color w:val="030303"/>
          <w:sz w:val="21"/>
          <w:szCs w:val="21"/>
          <w:lang w:val="en-ZA" w:eastAsia="en-ZA"/>
        </w:rPr>
        <w:t>Africa,</w:t>
      </w:r>
      <w:r w:rsidRPr="00BB5C77">
        <w:rPr>
          <w:rFonts w:ascii="Arial" w:eastAsia="Arial" w:hAnsi="Arial" w:cs="Arial"/>
          <w:color w:val="030303"/>
          <w:spacing w:val="-2"/>
          <w:sz w:val="21"/>
          <w:szCs w:val="21"/>
          <w:lang w:val="en-ZA" w:eastAsia="en-ZA"/>
        </w:rPr>
        <w:t xml:space="preserve"> </w:t>
      </w:r>
      <w:r w:rsidRPr="00BB5C77">
        <w:rPr>
          <w:rFonts w:ascii="Arial" w:eastAsia="Arial" w:hAnsi="Arial" w:cs="Arial"/>
          <w:color w:val="030303"/>
          <w:sz w:val="21"/>
          <w:szCs w:val="21"/>
          <w:lang w:val="en-ZA" w:eastAsia="en-ZA"/>
        </w:rPr>
        <w:t>2004</w:t>
      </w:r>
      <w:r w:rsidRPr="00BB5C77">
        <w:rPr>
          <w:rFonts w:ascii="Arial" w:eastAsia="Arial" w:hAnsi="Arial" w:cs="Arial"/>
          <w:color w:val="030303"/>
          <w:spacing w:val="8"/>
          <w:sz w:val="21"/>
          <w:szCs w:val="21"/>
          <w:lang w:val="en-ZA" w:eastAsia="en-ZA"/>
        </w:rPr>
        <w:t xml:space="preserve"> </w:t>
      </w:r>
      <w:r w:rsidRPr="00BB5C77">
        <w:rPr>
          <w:rFonts w:ascii="Arial" w:eastAsia="Arial" w:hAnsi="Arial" w:cs="Arial"/>
          <w:color w:val="030303"/>
          <w:sz w:val="21"/>
          <w:szCs w:val="21"/>
          <w:lang w:val="en-ZA" w:eastAsia="en-ZA"/>
        </w:rPr>
        <w:t>(Act</w:t>
      </w:r>
      <w:r w:rsidRPr="00BB5C77">
        <w:rPr>
          <w:rFonts w:ascii="Arial" w:eastAsia="Arial" w:hAnsi="Arial" w:cs="Arial"/>
          <w:color w:val="030303"/>
          <w:spacing w:val="21"/>
          <w:sz w:val="21"/>
          <w:szCs w:val="21"/>
          <w:lang w:val="en-ZA" w:eastAsia="en-ZA"/>
        </w:rPr>
        <w:t xml:space="preserve"> </w:t>
      </w:r>
      <w:r w:rsidRPr="00BB5C77">
        <w:rPr>
          <w:rFonts w:ascii="Arial" w:eastAsia="Arial" w:hAnsi="Arial" w:cs="Arial"/>
          <w:color w:val="030303"/>
          <w:sz w:val="21"/>
          <w:szCs w:val="21"/>
          <w:lang w:val="en-ZA" w:eastAsia="en-ZA"/>
        </w:rPr>
        <w:t>No.</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25</w:t>
      </w:r>
      <w:r w:rsidRPr="00BB5C77">
        <w:rPr>
          <w:rFonts w:ascii="Arial" w:eastAsia="Arial" w:hAnsi="Arial" w:cs="Arial"/>
          <w:color w:val="030303"/>
          <w:spacing w:val="5"/>
          <w:sz w:val="21"/>
          <w:szCs w:val="21"/>
          <w:lang w:val="en-ZA" w:eastAsia="en-ZA"/>
        </w:rPr>
        <w:t xml:space="preserve"> </w:t>
      </w:r>
      <w:r w:rsidRPr="00BB5C77">
        <w:rPr>
          <w:rFonts w:ascii="Arial" w:eastAsia="Arial" w:hAnsi="Arial" w:cs="Arial"/>
          <w:color w:val="030303"/>
          <w:sz w:val="21"/>
          <w:szCs w:val="21"/>
          <w:lang w:val="en-ZA" w:eastAsia="en-ZA"/>
        </w:rPr>
        <w:t>of</w:t>
      </w:r>
      <w:r w:rsidRPr="00BB5C77">
        <w:rPr>
          <w:rFonts w:ascii="Arial" w:eastAsia="Arial" w:hAnsi="Arial" w:cs="Arial"/>
          <w:color w:val="030303"/>
          <w:spacing w:val="26"/>
          <w:sz w:val="21"/>
          <w:szCs w:val="21"/>
          <w:lang w:val="en-ZA" w:eastAsia="en-ZA"/>
        </w:rPr>
        <w:t xml:space="preserve"> </w:t>
      </w:r>
      <w:r w:rsidRPr="00BB5C77">
        <w:rPr>
          <w:rFonts w:ascii="Arial" w:eastAsia="Arial" w:hAnsi="Arial" w:cs="Arial"/>
          <w:color w:val="030303"/>
          <w:sz w:val="21"/>
          <w:szCs w:val="21"/>
          <w:lang w:val="en-ZA" w:eastAsia="en-ZA"/>
        </w:rPr>
        <w:t>2004)</w:t>
      </w:r>
      <w:r w:rsidRPr="00BB5C77">
        <w:rPr>
          <w:rFonts w:ascii="Arial" w:eastAsia="Arial" w:hAnsi="Arial" w:cs="Arial"/>
          <w:color w:val="030303"/>
          <w:spacing w:val="22"/>
          <w:sz w:val="21"/>
          <w:szCs w:val="21"/>
          <w:lang w:val="en-ZA" w:eastAsia="en-ZA"/>
        </w:rPr>
        <w:t xml:space="preserve"> </w:t>
      </w:r>
      <w:r w:rsidRPr="00BB5C77">
        <w:rPr>
          <w:rFonts w:ascii="Arial" w:eastAsia="Arial" w:hAnsi="Arial" w:cs="Arial"/>
          <w:color w:val="030303"/>
          <w:w w:val="106"/>
          <w:sz w:val="21"/>
          <w:szCs w:val="21"/>
          <w:lang w:val="en-ZA" w:eastAsia="en-ZA"/>
        </w:rPr>
        <w:t>(</w:t>
      </w:r>
      <w:r w:rsidRPr="00BB5C77">
        <w:rPr>
          <w:rFonts w:ascii="Arial" w:eastAsia="Arial" w:hAnsi="Arial" w:cs="Arial"/>
          <w:color w:val="030303"/>
          <w:w w:val="105"/>
          <w:sz w:val="21"/>
          <w:szCs w:val="21"/>
          <w:lang w:val="en-ZA" w:eastAsia="en-ZA"/>
        </w:rPr>
        <w:t>PAA</w:t>
      </w:r>
      <w:r w:rsidRPr="00BB5C77">
        <w:rPr>
          <w:rFonts w:ascii="Arial" w:eastAsia="Arial" w:hAnsi="Arial" w:cs="Arial"/>
          <w:color w:val="030303"/>
          <w:w w:val="106"/>
          <w:sz w:val="21"/>
          <w:szCs w:val="21"/>
          <w:lang w:val="en-ZA" w:eastAsia="en-ZA"/>
        </w:rPr>
        <w:t xml:space="preserve">) </w:t>
      </w:r>
      <w:r w:rsidRPr="00BB5C77">
        <w:rPr>
          <w:rFonts w:ascii="Arial" w:eastAsia="Arial" w:hAnsi="Arial" w:cs="Arial"/>
          <w:color w:val="030303"/>
          <w:sz w:val="21"/>
          <w:szCs w:val="21"/>
          <w:lang w:val="en-ZA" w:eastAsia="en-ZA"/>
        </w:rPr>
        <w:t>and</w:t>
      </w:r>
      <w:r w:rsidRPr="00BB5C77">
        <w:rPr>
          <w:rFonts w:ascii="Arial" w:eastAsia="Arial" w:hAnsi="Arial" w:cs="Arial"/>
          <w:color w:val="030303"/>
          <w:spacing w:val="24"/>
          <w:sz w:val="21"/>
          <w:szCs w:val="21"/>
          <w:lang w:val="en-ZA" w:eastAsia="en-ZA"/>
        </w:rPr>
        <w:t xml:space="preserve"> </w:t>
      </w:r>
      <w:r w:rsidRPr="00BB5C77">
        <w:rPr>
          <w:rFonts w:ascii="Arial" w:eastAsia="Arial" w:hAnsi="Arial" w:cs="Arial"/>
          <w:color w:val="030303"/>
          <w:sz w:val="21"/>
          <w:szCs w:val="21"/>
          <w:lang w:val="en-ZA" w:eastAsia="en-ZA"/>
        </w:rPr>
        <w:t>the general</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notice</w:t>
      </w:r>
      <w:r w:rsidRPr="00BB5C77">
        <w:rPr>
          <w:rFonts w:ascii="Arial" w:eastAsia="Arial" w:hAnsi="Arial" w:cs="Arial"/>
          <w:color w:val="030303"/>
          <w:spacing w:val="18"/>
          <w:sz w:val="21"/>
          <w:szCs w:val="21"/>
          <w:lang w:val="en-ZA" w:eastAsia="en-ZA"/>
        </w:rPr>
        <w:t xml:space="preserve"> </w:t>
      </w:r>
      <w:r w:rsidRPr="00BB5C77">
        <w:rPr>
          <w:rFonts w:ascii="Arial" w:eastAsia="Arial" w:hAnsi="Arial" w:cs="Arial"/>
          <w:color w:val="1D1D1D"/>
          <w:spacing w:val="-2"/>
          <w:w w:val="193"/>
          <w:sz w:val="21"/>
          <w:szCs w:val="21"/>
          <w:lang w:val="en-ZA" w:eastAsia="en-ZA"/>
        </w:rPr>
        <w:t>i</w:t>
      </w:r>
      <w:r w:rsidRPr="00BB5C77">
        <w:rPr>
          <w:rFonts w:ascii="Arial" w:eastAsia="Arial" w:hAnsi="Arial" w:cs="Arial"/>
          <w:color w:val="030303"/>
          <w:w w:val="105"/>
          <w:sz w:val="21"/>
          <w:szCs w:val="21"/>
          <w:lang w:val="en-ZA" w:eastAsia="en-ZA"/>
        </w:rPr>
        <w:t>ssued</w:t>
      </w:r>
      <w:r w:rsidRPr="00BB5C77">
        <w:rPr>
          <w:rFonts w:ascii="Arial" w:eastAsia="Arial" w:hAnsi="Arial" w:cs="Arial"/>
          <w:color w:val="030303"/>
          <w:spacing w:val="-12"/>
          <w:sz w:val="21"/>
          <w:szCs w:val="21"/>
          <w:lang w:val="en-ZA" w:eastAsia="en-ZA"/>
        </w:rPr>
        <w:t xml:space="preserve"> </w:t>
      </w:r>
      <w:r w:rsidRPr="00BB5C77">
        <w:rPr>
          <w:rFonts w:ascii="Arial" w:eastAsia="Arial" w:hAnsi="Arial" w:cs="Arial"/>
          <w:color w:val="030303"/>
          <w:sz w:val="21"/>
          <w:szCs w:val="21"/>
          <w:lang w:val="en-ZA" w:eastAsia="en-ZA"/>
        </w:rPr>
        <w:t>in</w:t>
      </w:r>
      <w:r w:rsidRPr="00BB5C77">
        <w:rPr>
          <w:rFonts w:ascii="Arial" w:eastAsia="Arial" w:hAnsi="Arial" w:cs="Arial"/>
          <w:color w:val="030303"/>
          <w:spacing w:val="15"/>
          <w:sz w:val="21"/>
          <w:szCs w:val="21"/>
          <w:lang w:val="en-ZA" w:eastAsia="en-ZA"/>
        </w:rPr>
        <w:t xml:space="preserve"> </w:t>
      </w:r>
      <w:r w:rsidRPr="00BB5C77">
        <w:rPr>
          <w:rFonts w:ascii="Arial" w:eastAsia="Arial" w:hAnsi="Arial" w:cs="Arial"/>
          <w:color w:val="030303"/>
          <w:sz w:val="21"/>
          <w:szCs w:val="21"/>
          <w:lang w:val="en-ZA" w:eastAsia="en-ZA"/>
        </w:rPr>
        <w:t>terms</w:t>
      </w:r>
      <w:r w:rsidRPr="00BB5C77">
        <w:rPr>
          <w:rFonts w:ascii="Arial" w:eastAsia="Arial" w:hAnsi="Arial" w:cs="Arial"/>
          <w:color w:val="030303"/>
          <w:spacing w:val="10"/>
          <w:sz w:val="21"/>
          <w:szCs w:val="21"/>
          <w:lang w:val="en-ZA" w:eastAsia="en-ZA"/>
        </w:rPr>
        <w:t xml:space="preserve"> </w:t>
      </w:r>
      <w:r w:rsidRPr="00BB5C77">
        <w:rPr>
          <w:rFonts w:ascii="Arial" w:eastAsia="Arial" w:hAnsi="Arial" w:cs="Arial"/>
          <w:color w:val="030303"/>
          <w:sz w:val="21"/>
          <w:szCs w:val="21"/>
          <w:lang w:val="en-ZA" w:eastAsia="en-ZA"/>
        </w:rPr>
        <w:t>thereof,</w:t>
      </w:r>
      <w:r w:rsidRPr="00BB5C77">
        <w:rPr>
          <w:rFonts w:ascii="Arial" w:eastAsia="Arial" w:hAnsi="Arial" w:cs="Arial"/>
          <w:color w:val="030303"/>
          <w:spacing w:val="18"/>
          <w:sz w:val="21"/>
          <w:szCs w:val="21"/>
          <w:lang w:val="en-ZA" w:eastAsia="en-ZA"/>
        </w:rPr>
        <w:t xml:space="preserve"> </w:t>
      </w:r>
      <w:r w:rsidRPr="00BB5C77">
        <w:rPr>
          <w:rFonts w:ascii="Arial" w:eastAsia="Arial" w:hAnsi="Arial" w:cs="Arial"/>
          <w:color w:val="030303"/>
          <w:w w:val="178"/>
          <w:sz w:val="21"/>
          <w:szCs w:val="21"/>
          <w:lang w:val="en-ZA" w:eastAsia="en-ZA"/>
        </w:rPr>
        <w:t>I</w:t>
      </w:r>
      <w:r w:rsidRPr="00BB5C77">
        <w:rPr>
          <w:rFonts w:ascii="Arial" w:eastAsia="Arial" w:hAnsi="Arial" w:cs="Arial"/>
          <w:color w:val="030303"/>
          <w:spacing w:val="-43"/>
          <w:sz w:val="21"/>
          <w:szCs w:val="21"/>
          <w:lang w:val="en-ZA" w:eastAsia="en-ZA"/>
        </w:rPr>
        <w:t xml:space="preserve"> </w:t>
      </w:r>
      <w:r w:rsidRPr="00BB5C77">
        <w:rPr>
          <w:rFonts w:ascii="Arial" w:eastAsia="Arial" w:hAnsi="Arial" w:cs="Arial"/>
          <w:color w:val="030303"/>
          <w:sz w:val="21"/>
          <w:szCs w:val="21"/>
          <w:lang w:val="en-ZA" w:eastAsia="en-ZA"/>
        </w:rPr>
        <w:t>have</w:t>
      </w:r>
      <w:r w:rsidRPr="00BB5C77">
        <w:rPr>
          <w:rFonts w:ascii="Arial" w:eastAsia="Arial" w:hAnsi="Arial" w:cs="Arial"/>
          <w:color w:val="030303"/>
          <w:spacing w:val="21"/>
          <w:sz w:val="21"/>
          <w:szCs w:val="21"/>
          <w:lang w:val="en-ZA" w:eastAsia="en-ZA"/>
        </w:rPr>
        <w:t xml:space="preserve"> </w:t>
      </w:r>
      <w:r w:rsidRPr="00BB5C77">
        <w:rPr>
          <w:rFonts w:ascii="Arial" w:eastAsia="Arial" w:hAnsi="Arial" w:cs="Arial"/>
          <w:color w:val="030303"/>
          <w:sz w:val="21"/>
          <w:szCs w:val="21"/>
          <w:lang w:val="en-ZA" w:eastAsia="en-ZA"/>
        </w:rPr>
        <w:t>a</w:t>
      </w:r>
      <w:r w:rsidRPr="00BB5C77">
        <w:rPr>
          <w:rFonts w:ascii="Arial" w:eastAsia="Arial" w:hAnsi="Arial" w:cs="Arial"/>
          <w:color w:val="030303"/>
          <w:spacing w:val="4"/>
          <w:sz w:val="21"/>
          <w:szCs w:val="21"/>
          <w:lang w:val="en-ZA" w:eastAsia="en-ZA"/>
        </w:rPr>
        <w:t xml:space="preserve"> </w:t>
      </w:r>
      <w:r w:rsidRPr="00BB5C77">
        <w:rPr>
          <w:rFonts w:ascii="Arial" w:eastAsia="Arial" w:hAnsi="Arial" w:cs="Arial"/>
          <w:color w:val="030303"/>
          <w:sz w:val="21"/>
          <w:szCs w:val="21"/>
          <w:lang w:val="en-ZA" w:eastAsia="en-ZA"/>
        </w:rPr>
        <w:t>responsibility</w:t>
      </w:r>
      <w:r w:rsidRPr="00BB5C77">
        <w:rPr>
          <w:rFonts w:ascii="Arial" w:eastAsia="Arial" w:hAnsi="Arial" w:cs="Arial"/>
          <w:color w:val="030303"/>
          <w:spacing w:val="36"/>
          <w:sz w:val="21"/>
          <w:szCs w:val="21"/>
          <w:lang w:val="en-ZA" w:eastAsia="en-ZA"/>
        </w:rPr>
        <w:t xml:space="preserve"> </w:t>
      </w:r>
      <w:r w:rsidRPr="00BB5C77">
        <w:rPr>
          <w:rFonts w:ascii="Arial" w:eastAsia="Arial" w:hAnsi="Arial" w:cs="Arial"/>
          <w:color w:val="030303"/>
          <w:sz w:val="21"/>
          <w:szCs w:val="21"/>
          <w:lang w:val="en-ZA" w:eastAsia="en-ZA"/>
        </w:rPr>
        <w:t>to</w:t>
      </w:r>
      <w:r w:rsidRPr="00BB5C77">
        <w:rPr>
          <w:rFonts w:ascii="Arial" w:eastAsia="Arial" w:hAnsi="Arial" w:cs="Arial"/>
          <w:color w:val="030303"/>
          <w:spacing w:val="5"/>
          <w:sz w:val="21"/>
          <w:szCs w:val="21"/>
          <w:lang w:val="en-ZA" w:eastAsia="en-ZA"/>
        </w:rPr>
        <w:t xml:space="preserve"> </w:t>
      </w:r>
      <w:r w:rsidRPr="00BB5C77">
        <w:rPr>
          <w:rFonts w:ascii="Arial" w:eastAsia="Arial" w:hAnsi="Arial" w:cs="Arial"/>
          <w:color w:val="030303"/>
          <w:sz w:val="21"/>
          <w:szCs w:val="21"/>
          <w:lang w:val="en-ZA" w:eastAsia="en-ZA"/>
        </w:rPr>
        <w:t>report</w:t>
      </w:r>
      <w:r w:rsidRPr="00BB5C77">
        <w:rPr>
          <w:rFonts w:ascii="Arial" w:eastAsia="Arial" w:hAnsi="Arial" w:cs="Arial"/>
          <w:color w:val="030303"/>
          <w:spacing w:val="26"/>
          <w:sz w:val="21"/>
          <w:szCs w:val="21"/>
          <w:lang w:val="en-ZA" w:eastAsia="en-ZA"/>
        </w:rPr>
        <w:t xml:space="preserve"> </w:t>
      </w:r>
      <w:r w:rsidRPr="00BB5C77">
        <w:rPr>
          <w:rFonts w:ascii="Arial" w:eastAsia="Arial" w:hAnsi="Arial" w:cs="Arial"/>
          <w:color w:val="030303"/>
          <w:w w:val="105"/>
          <w:sz w:val="21"/>
          <w:szCs w:val="21"/>
          <w:lang w:val="en-ZA" w:eastAsia="en-ZA"/>
        </w:rPr>
        <w:t xml:space="preserve">material </w:t>
      </w:r>
      <w:r w:rsidRPr="00BB5C77">
        <w:rPr>
          <w:rFonts w:ascii="Arial" w:eastAsia="Arial" w:hAnsi="Arial" w:cs="Arial"/>
          <w:color w:val="030303"/>
          <w:sz w:val="21"/>
          <w:szCs w:val="21"/>
          <w:lang w:val="en-ZA" w:eastAsia="en-ZA"/>
        </w:rPr>
        <w:t>findings</w:t>
      </w:r>
      <w:r w:rsidRPr="00BB5C77">
        <w:rPr>
          <w:rFonts w:ascii="Arial" w:eastAsia="Arial" w:hAnsi="Arial" w:cs="Arial"/>
          <w:color w:val="030303"/>
          <w:spacing w:val="27"/>
          <w:sz w:val="21"/>
          <w:szCs w:val="21"/>
          <w:lang w:val="en-ZA" w:eastAsia="en-ZA"/>
        </w:rPr>
        <w:t xml:space="preserve"> </w:t>
      </w:r>
      <w:r w:rsidRPr="00BB5C77">
        <w:rPr>
          <w:rFonts w:ascii="Arial" w:eastAsia="Arial" w:hAnsi="Arial" w:cs="Arial"/>
          <w:color w:val="030303"/>
          <w:sz w:val="21"/>
          <w:szCs w:val="21"/>
          <w:lang w:val="en-ZA" w:eastAsia="en-ZA"/>
        </w:rPr>
        <w:t>on</w:t>
      </w:r>
      <w:r w:rsidRPr="00BB5C77">
        <w:rPr>
          <w:rFonts w:ascii="Arial" w:eastAsia="Arial" w:hAnsi="Arial" w:cs="Arial"/>
          <w:color w:val="030303"/>
          <w:spacing w:val="8"/>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reported</w:t>
      </w:r>
      <w:r w:rsidRPr="00BB5C77">
        <w:rPr>
          <w:rFonts w:ascii="Arial" w:eastAsia="Arial" w:hAnsi="Arial" w:cs="Arial"/>
          <w:color w:val="030303"/>
          <w:spacing w:val="28"/>
          <w:sz w:val="21"/>
          <w:szCs w:val="21"/>
          <w:lang w:val="en-ZA" w:eastAsia="en-ZA"/>
        </w:rPr>
        <w:t xml:space="preserve"> </w:t>
      </w:r>
      <w:r w:rsidRPr="00BB5C77">
        <w:rPr>
          <w:rFonts w:ascii="Arial" w:eastAsia="Arial" w:hAnsi="Arial" w:cs="Arial"/>
          <w:color w:val="030303"/>
          <w:sz w:val="21"/>
          <w:szCs w:val="21"/>
          <w:lang w:val="en-ZA" w:eastAsia="en-ZA"/>
        </w:rPr>
        <w:t>performance</w:t>
      </w:r>
      <w:r w:rsidRPr="00BB5C77">
        <w:rPr>
          <w:rFonts w:ascii="Arial" w:eastAsia="Arial" w:hAnsi="Arial" w:cs="Arial"/>
          <w:color w:val="030303"/>
          <w:spacing w:val="37"/>
          <w:sz w:val="21"/>
          <w:szCs w:val="21"/>
          <w:lang w:val="en-ZA" w:eastAsia="en-ZA"/>
        </w:rPr>
        <w:t xml:space="preserve"> </w:t>
      </w:r>
      <w:r w:rsidRPr="00BB5C77">
        <w:rPr>
          <w:rFonts w:ascii="Arial" w:eastAsia="Arial" w:hAnsi="Arial" w:cs="Arial"/>
          <w:color w:val="030303"/>
          <w:sz w:val="21"/>
          <w:szCs w:val="21"/>
          <w:lang w:val="en-ZA" w:eastAsia="en-ZA"/>
        </w:rPr>
        <w:t>information</w:t>
      </w:r>
      <w:r w:rsidRPr="00BB5C77">
        <w:rPr>
          <w:rFonts w:ascii="Arial" w:eastAsia="Arial" w:hAnsi="Arial" w:cs="Arial"/>
          <w:color w:val="030303"/>
          <w:spacing w:val="41"/>
          <w:sz w:val="21"/>
          <w:szCs w:val="21"/>
          <w:lang w:val="en-ZA" w:eastAsia="en-ZA"/>
        </w:rPr>
        <w:t xml:space="preserve"> </w:t>
      </w:r>
      <w:r w:rsidRPr="00BB5C77">
        <w:rPr>
          <w:rFonts w:ascii="Arial" w:eastAsia="Arial" w:hAnsi="Arial" w:cs="Arial"/>
          <w:color w:val="030303"/>
          <w:sz w:val="21"/>
          <w:szCs w:val="21"/>
          <w:lang w:val="en-ZA" w:eastAsia="en-ZA"/>
        </w:rPr>
        <w:t>against</w:t>
      </w:r>
      <w:r w:rsidRPr="00BB5C77">
        <w:rPr>
          <w:rFonts w:ascii="Arial" w:eastAsia="Arial" w:hAnsi="Arial" w:cs="Arial"/>
          <w:color w:val="030303"/>
          <w:spacing w:val="29"/>
          <w:sz w:val="21"/>
          <w:szCs w:val="21"/>
          <w:lang w:val="en-ZA" w:eastAsia="en-ZA"/>
        </w:rPr>
        <w:t xml:space="preserve"> </w:t>
      </w:r>
      <w:r w:rsidRPr="00BB5C77">
        <w:rPr>
          <w:rFonts w:ascii="Arial" w:eastAsia="Arial" w:hAnsi="Arial" w:cs="Arial"/>
          <w:color w:val="030303"/>
          <w:sz w:val="21"/>
          <w:szCs w:val="21"/>
          <w:lang w:val="en-ZA" w:eastAsia="en-ZA"/>
        </w:rPr>
        <w:t>predetermined</w:t>
      </w:r>
      <w:r w:rsidRPr="00BB5C77">
        <w:rPr>
          <w:rFonts w:ascii="Arial" w:eastAsia="Arial" w:hAnsi="Arial" w:cs="Arial"/>
          <w:color w:val="030303"/>
          <w:spacing w:val="50"/>
          <w:sz w:val="21"/>
          <w:szCs w:val="21"/>
          <w:lang w:val="en-ZA" w:eastAsia="en-ZA"/>
        </w:rPr>
        <w:t xml:space="preserve"> </w:t>
      </w:r>
      <w:r w:rsidRPr="00BB5C77">
        <w:rPr>
          <w:rFonts w:ascii="Arial" w:eastAsia="Arial" w:hAnsi="Arial" w:cs="Arial"/>
          <w:color w:val="030303"/>
          <w:sz w:val="21"/>
          <w:szCs w:val="21"/>
          <w:lang w:val="en-ZA" w:eastAsia="en-ZA"/>
        </w:rPr>
        <w:t>objectives</w:t>
      </w:r>
      <w:r w:rsidRPr="00BB5C77">
        <w:rPr>
          <w:rFonts w:ascii="Arial" w:eastAsia="Arial" w:hAnsi="Arial" w:cs="Arial"/>
          <w:color w:val="030303"/>
          <w:spacing w:val="43"/>
          <w:sz w:val="21"/>
          <w:szCs w:val="21"/>
          <w:lang w:val="en-ZA" w:eastAsia="en-ZA"/>
        </w:rPr>
        <w:t xml:space="preserve"> </w:t>
      </w:r>
      <w:r w:rsidRPr="00BB5C77">
        <w:rPr>
          <w:rFonts w:ascii="Arial" w:eastAsia="Arial" w:hAnsi="Arial" w:cs="Arial"/>
          <w:color w:val="030303"/>
          <w:w w:val="106"/>
          <w:sz w:val="21"/>
          <w:szCs w:val="21"/>
          <w:lang w:val="en-ZA" w:eastAsia="en-ZA"/>
        </w:rPr>
        <w:t xml:space="preserve">for </w:t>
      </w:r>
      <w:r w:rsidRPr="00BB5C77">
        <w:rPr>
          <w:rFonts w:ascii="Arial" w:eastAsia="Arial" w:hAnsi="Arial" w:cs="Arial"/>
          <w:color w:val="030303"/>
          <w:sz w:val="21"/>
          <w:szCs w:val="21"/>
          <w:lang w:val="en-ZA" w:eastAsia="en-ZA"/>
        </w:rPr>
        <w:t>selected</w:t>
      </w:r>
      <w:r w:rsidRPr="00BB5C77">
        <w:rPr>
          <w:rFonts w:ascii="Arial" w:eastAsia="Arial" w:hAnsi="Arial" w:cs="Arial"/>
          <w:color w:val="030303"/>
          <w:spacing w:val="21"/>
          <w:sz w:val="21"/>
          <w:szCs w:val="21"/>
          <w:lang w:val="en-ZA" w:eastAsia="en-ZA"/>
        </w:rPr>
        <w:t xml:space="preserve"> </w:t>
      </w:r>
      <w:r w:rsidRPr="00BB5C77">
        <w:rPr>
          <w:rFonts w:ascii="Arial" w:eastAsia="Arial" w:hAnsi="Arial" w:cs="Arial"/>
          <w:color w:val="030303"/>
          <w:sz w:val="21"/>
          <w:szCs w:val="21"/>
          <w:lang w:val="en-ZA" w:eastAsia="en-ZA"/>
        </w:rPr>
        <w:t>development</w:t>
      </w:r>
      <w:r w:rsidRPr="00BB5C77">
        <w:rPr>
          <w:rFonts w:ascii="Arial" w:eastAsia="Arial" w:hAnsi="Arial" w:cs="Arial"/>
          <w:color w:val="030303"/>
          <w:spacing w:val="57"/>
          <w:sz w:val="21"/>
          <w:szCs w:val="21"/>
          <w:lang w:val="en-ZA" w:eastAsia="en-ZA"/>
        </w:rPr>
        <w:t xml:space="preserve"> </w:t>
      </w:r>
      <w:r w:rsidRPr="00BB5C77">
        <w:rPr>
          <w:rFonts w:ascii="Arial" w:eastAsia="Arial" w:hAnsi="Arial" w:cs="Arial"/>
          <w:color w:val="030303"/>
          <w:w w:val="106"/>
          <w:sz w:val="21"/>
          <w:szCs w:val="21"/>
          <w:lang w:val="en-ZA" w:eastAsia="en-ZA"/>
        </w:rPr>
        <w:t>p</w:t>
      </w:r>
      <w:r w:rsidRPr="00BB5C77">
        <w:rPr>
          <w:rFonts w:ascii="Arial" w:eastAsia="Arial" w:hAnsi="Arial" w:cs="Arial"/>
          <w:color w:val="030303"/>
          <w:spacing w:val="-6"/>
          <w:w w:val="106"/>
          <w:sz w:val="21"/>
          <w:szCs w:val="21"/>
          <w:lang w:val="en-ZA" w:eastAsia="en-ZA"/>
        </w:rPr>
        <w:t>r</w:t>
      </w:r>
      <w:r w:rsidRPr="00BB5C77">
        <w:rPr>
          <w:rFonts w:ascii="Arial" w:eastAsia="Arial" w:hAnsi="Arial" w:cs="Arial"/>
          <w:color w:val="1D1D1D"/>
          <w:spacing w:val="-3"/>
          <w:w w:val="193"/>
          <w:sz w:val="21"/>
          <w:szCs w:val="21"/>
          <w:lang w:val="en-ZA" w:eastAsia="en-ZA"/>
        </w:rPr>
        <w:t>i</w:t>
      </w:r>
      <w:r w:rsidRPr="00BB5C77">
        <w:rPr>
          <w:rFonts w:ascii="Arial" w:eastAsia="Arial" w:hAnsi="Arial" w:cs="Arial"/>
          <w:color w:val="030303"/>
          <w:w w:val="104"/>
          <w:sz w:val="21"/>
          <w:szCs w:val="21"/>
          <w:lang w:val="en-ZA" w:eastAsia="en-ZA"/>
        </w:rPr>
        <w:t>orit</w:t>
      </w:r>
      <w:r w:rsidRPr="00BB5C77">
        <w:rPr>
          <w:rFonts w:ascii="Arial" w:eastAsia="Arial" w:hAnsi="Arial" w:cs="Arial"/>
          <w:color w:val="030303"/>
          <w:w w:val="105"/>
          <w:sz w:val="21"/>
          <w:szCs w:val="21"/>
          <w:lang w:val="en-ZA" w:eastAsia="en-ZA"/>
        </w:rPr>
        <w:t>y</w:t>
      </w:r>
      <w:r w:rsidRPr="00BB5C77">
        <w:rPr>
          <w:rFonts w:ascii="Arial" w:eastAsia="Arial" w:hAnsi="Arial" w:cs="Arial"/>
          <w:color w:val="030303"/>
          <w:spacing w:val="-3"/>
          <w:sz w:val="21"/>
          <w:szCs w:val="21"/>
          <w:lang w:val="en-ZA" w:eastAsia="en-ZA"/>
        </w:rPr>
        <w:t xml:space="preserve"> </w:t>
      </w:r>
      <w:r w:rsidRPr="00BB5C77">
        <w:rPr>
          <w:rFonts w:ascii="Arial" w:eastAsia="Arial" w:hAnsi="Arial" w:cs="Arial"/>
          <w:color w:val="030303"/>
          <w:sz w:val="21"/>
          <w:szCs w:val="21"/>
          <w:lang w:val="en-ZA" w:eastAsia="en-ZA"/>
        </w:rPr>
        <w:t>presented</w:t>
      </w:r>
      <w:r w:rsidRPr="00BB5C77">
        <w:rPr>
          <w:rFonts w:ascii="Arial" w:eastAsia="Arial" w:hAnsi="Arial" w:cs="Arial"/>
          <w:color w:val="030303"/>
          <w:spacing w:val="29"/>
          <w:sz w:val="21"/>
          <w:szCs w:val="21"/>
          <w:lang w:val="en-ZA" w:eastAsia="en-ZA"/>
        </w:rPr>
        <w:t xml:space="preserve"> </w:t>
      </w:r>
      <w:r w:rsidRPr="00BB5C77">
        <w:rPr>
          <w:rFonts w:ascii="Arial" w:eastAsia="Arial" w:hAnsi="Arial" w:cs="Arial"/>
          <w:color w:val="030303"/>
          <w:sz w:val="21"/>
          <w:szCs w:val="21"/>
          <w:lang w:val="en-ZA" w:eastAsia="en-ZA"/>
        </w:rPr>
        <w:t>in</w:t>
      </w:r>
      <w:r w:rsidRPr="00BB5C77">
        <w:rPr>
          <w:rFonts w:ascii="Arial" w:eastAsia="Arial" w:hAnsi="Arial" w:cs="Arial"/>
          <w:color w:val="030303"/>
          <w:spacing w:val="18"/>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annual</w:t>
      </w:r>
      <w:r w:rsidRPr="00BB5C77">
        <w:rPr>
          <w:rFonts w:ascii="Arial" w:eastAsia="Arial" w:hAnsi="Arial" w:cs="Arial"/>
          <w:color w:val="030303"/>
          <w:spacing w:val="21"/>
          <w:sz w:val="21"/>
          <w:szCs w:val="21"/>
          <w:lang w:val="en-ZA" w:eastAsia="en-ZA"/>
        </w:rPr>
        <w:t xml:space="preserve"> </w:t>
      </w:r>
      <w:r w:rsidRPr="00BB5C77">
        <w:rPr>
          <w:rFonts w:ascii="Arial" w:eastAsia="Arial" w:hAnsi="Arial" w:cs="Arial"/>
          <w:color w:val="030303"/>
          <w:sz w:val="21"/>
          <w:szCs w:val="21"/>
          <w:lang w:val="en-ZA" w:eastAsia="en-ZA"/>
        </w:rPr>
        <w:t>performance</w:t>
      </w:r>
      <w:r w:rsidRPr="00BB5C77">
        <w:rPr>
          <w:rFonts w:ascii="Arial" w:eastAsia="Arial" w:hAnsi="Arial" w:cs="Arial"/>
          <w:color w:val="030303"/>
          <w:spacing w:val="26"/>
          <w:sz w:val="21"/>
          <w:szCs w:val="21"/>
          <w:lang w:val="en-ZA" w:eastAsia="en-ZA"/>
        </w:rPr>
        <w:t xml:space="preserve"> </w:t>
      </w:r>
      <w:r w:rsidRPr="00BB5C77">
        <w:rPr>
          <w:rFonts w:ascii="Arial" w:eastAsia="Arial" w:hAnsi="Arial" w:cs="Arial"/>
          <w:color w:val="030303"/>
          <w:sz w:val="21"/>
          <w:szCs w:val="21"/>
          <w:lang w:val="en-ZA" w:eastAsia="en-ZA"/>
        </w:rPr>
        <w:t>report.</w:t>
      </w:r>
      <w:r w:rsidRPr="00BB5C77">
        <w:rPr>
          <w:rFonts w:ascii="Arial" w:eastAsia="Arial" w:hAnsi="Arial" w:cs="Arial"/>
          <w:color w:val="030303"/>
          <w:spacing w:val="27"/>
          <w:sz w:val="21"/>
          <w:szCs w:val="21"/>
          <w:lang w:val="en-ZA" w:eastAsia="en-ZA"/>
        </w:rPr>
        <w:t xml:space="preserve"> </w:t>
      </w:r>
      <w:r w:rsidRPr="00BB5C77">
        <w:rPr>
          <w:rFonts w:ascii="Arial" w:eastAsia="Arial" w:hAnsi="Arial" w:cs="Arial"/>
          <w:color w:val="030303"/>
          <w:w w:val="123"/>
          <w:sz w:val="21"/>
          <w:szCs w:val="21"/>
          <w:lang w:val="en-ZA" w:eastAsia="en-ZA"/>
        </w:rPr>
        <w:t>I</w:t>
      </w:r>
      <w:r w:rsidRPr="00BB5C77">
        <w:rPr>
          <w:rFonts w:ascii="Arial" w:eastAsia="Arial" w:hAnsi="Arial" w:cs="Arial"/>
          <w:color w:val="030303"/>
          <w:spacing w:val="-24"/>
          <w:w w:val="123"/>
          <w:sz w:val="21"/>
          <w:szCs w:val="21"/>
          <w:lang w:val="en-ZA" w:eastAsia="en-ZA"/>
        </w:rPr>
        <w:t xml:space="preserve"> </w:t>
      </w:r>
      <w:r w:rsidRPr="00BB5C77">
        <w:rPr>
          <w:rFonts w:ascii="Arial" w:eastAsia="Arial" w:hAnsi="Arial" w:cs="Arial"/>
          <w:color w:val="030303"/>
          <w:w w:val="123"/>
          <w:sz w:val="21"/>
          <w:szCs w:val="21"/>
          <w:lang w:val="en-ZA" w:eastAsia="en-ZA"/>
        </w:rPr>
        <w:t xml:space="preserve">performed </w:t>
      </w:r>
      <w:r w:rsidRPr="00BB5C77">
        <w:rPr>
          <w:rFonts w:ascii="Arial" w:eastAsia="Arial" w:hAnsi="Arial" w:cs="Arial"/>
          <w:color w:val="030303"/>
          <w:sz w:val="21"/>
          <w:szCs w:val="21"/>
          <w:lang w:val="en-ZA" w:eastAsia="en-ZA"/>
        </w:rPr>
        <w:t>procedures</w:t>
      </w:r>
      <w:r w:rsidRPr="00BB5C77">
        <w:rPr>
          <w:rFonts w:ascii="Arial" w:eastAsia="Arial" w:hAnsi="Arial" w:cs="Arial"/>
          <w:color w:val="030303"/>
          <w:spacing w:val="54"/>
          <w:sz w:val="21"/>
          <w:szCs w:val="21"/>
          <w:lang w:val="en-ZA" w:eastAsia="en-ZA"/>
        </w:rPr>
        <w:t xml:space="preserve"> </w:t>
      </w:r>
      <w:r w:rsidRPr="00BB5C77">
        <w:rPr>
          <w:rFonts w:ascii="Arial" w:eastAsia="Arial" w:hAnsi="Arial" w:cs="Arial"/>
          <w:color w:val="030303"/>
          <w:sz w:val="21"/>
          <w:szCs w:val="21"/>
          <w:lang w:val="en-ZA" w:eastAsia="en-ZA"/>
        </w:rPr>
        <w:t>to</w:t>
      </w:r>
      <w:r w:rsidRPr="00BB5C77">
        <w:rPr>
          <w:rFonts w:ascii="Arial" w:eastAsia="Arial" w:hAnsi="Arial" w:cs="Arial"/>
          <w:color w:val="030303"/>
          <w:spacing w:val="-2"/>
          <w:sz w:val="21"/>
          <w:szCs w:val="21"/>
          <w:lang w:val="en-ZA" w:eastAsia="en-ZA"/>
        </w:rPr>
        <w:t xml:space="preserve"> </w:t>
      </w:r>
      <w:r w:rsidRPr="00BB5C77">
        <w:rPr>
          <w:rFonts w:ascii="Arial" w:eastAsia="Arial" w:hAnsi="Arial" w:cs="Arial"/>
          <w:color w:val="030303"/>
          <w:sz w:val="21"/>
          <w:szCs w:val="21"/>
          <w:lang w:val="en-ZA" w:eastAsia="en-ZA"/>
        </w:rPr>
        <w:t>identify</w:t>
      </w:r>
      <w:r w:rsidRPr="00BB5C77">
        <w:rPr>
          <w:rFonts w:ascii="Arial" w:eastAsia="Arial" w:hAnsi="Arial" w:cs="Arial"/>
          <w:color w:val="030303"/>
          <w:spacing w:val="29"/>
          <w:sz w:val="21"/>
          <w:szCs w:val="21"/>
          <w:lang w:val="en-ZA" w:eastAsia="en-ZA"/>
        </w:rPr>
        <w:t xml:space="preserve"> </w:t>
      </w:r>
      <w:r w:rsidRPr="00BB5C77">
        <w:rPr>
          <w:rFonts w:ascii="Arial" w:eastAsia="Arial" w:hAnsi="Arial" w:cs="Arial"/>
          <w:color w:val="030303"/>
          <w:sz w:val="21"/>
          <w:szCs w:val="21"/>
          <w:lang w:val="en-ZA" w:eastAsia="en-ZA"/>
        </w:rPr>
        <w:t>findings</w:t>
      </w:r>
      <w:r w:rsidRPr="00BB5C77">
        <w:rPr>
          <w:rFonts w:ascii="Arial" w:eastAsia="Arial" w:hAnsi="Arial" w:cs="Arial"/>
          <w:color w:val="030303"/>
          <w:spacing w:val="42"/>
          <w:sz w:val="21"/>
          <w:szCs w:val="21"/>
          <w:lang w:val="en-ZA" w:eastAsia="en-ZA"/>
        </w:rPr>
        <w:t xml:space="preserve"> </w:t>
      </w:r>
      <w:r w:rsidRPr="00BB5C77">
        <w:rPr>
          <w:rFonts w:ascii="Arial" w:eastAsia="Arial" w:hAnsi="Arial" w:cs="Arial"/>
          <w:color w:val="030303"/>
          <w:sz w:val="21"/>
          <w:szCs w:val="21"/>
          <w:lang w:val="en-ZA" w:eastAsia="en-ZA"/>
        </w:rPr>
        <w:t>but</w:t>
      </w:r>
      <w:r w:rsidRPr="00BB5C77">
        <w:rPr>
          <w:rFonts w:ascii="Arial" w:eastAsia="Arial" w:hAnsi="Arial" w:cs="Arial"/>
          <w:color w:val="030303"/>
          <w:spacing w:val="5"/>
          <w:sz w:val="21"/>
          <w:szCs w:val="21"/>
          <w:lang w:val="en-ZA" w:eastAsia="en-ZA"/>
        </w:rPr>
        <w:t xml:space="preserve"> </w:t>
      </w:r>
      <w:r w:rsidRPr="00BB5C77">
        <w:rPr>
          <w:rFonts w:ascii="Arial" w:eastAsia="Arial" w:hAnsi="Arial" w:cs="Arial"/>
          <w:color w:val="030303"/>
          <w:sz w:val="21"/>
          <w:szCs w:val="21"/>
          <w:lang w:val="en-ZA" w:eastAsia="en-ZA"/>
        </w:rPr>
        <w:t>not</w:t>
      </w:r>
      <w:r w:rsidRPr="00BB5C77">
        <w:rPr>
          <w:rFonts w:ascii="Arial" w:eastAsia="Arial" w:hAnsi="Arial" w:cs="Arial"/>
          <w:color w:val="030303"/>
          <w:spacing w:val="17"/>
          <w:sz w:val="21"/>
          <w:szCs w:val="21"/>
          <w:lang w:val="en-ZA" w:eastAsia="en-ZA"/>
        </w:rPr>
        <w:t xml:space="preserve"> </w:t>
      </w:r>
      <w:r w:rsidRPr="00BB5C77">
        <w:rPr>
          <w:rFonts w:ascii="Arial" w:eastAsia="Arial" w:hAnsi="Arial" w:cs="Arial"/>
          <w:color w:val="030303"/>
          <w:sz w:val="21"/>
          <w:szCs w:val="21"/>
          <w:lang w:val="en-ZA" w:eastAsia="en-ZA"/>
        </w:rPr>
        <w:t>to</w:t>
      </w:r>
      <w:r w:rsidRPr="00BB5C77">
        <w:rPr>
          <w:rFonts w:ascii="Arial" w:eastAsia="Arial" w:hAnsi="Arial" w:cs="Arial"/>
          <w:color w:val="030303"/>
          <w:spacing w:val="5"/>
          <w:sz w:val="21"/>
          <w:szCs w:val="21"/>
          <w:lang w:val="en-ZA" w:eastAsia="en-ZA"/>
        </w:rPr>
        <w:t xml:space="preserve"> </w:t>
      </w:r>
      <w:r w:rsidRPr="00BB5C77">
        <w:rPr>
          <w:rFonts w:ascii="Arial" w:eastAsia="Arial" w:hAnsi="Arial" w:cs="Arial"/>
          <w:color w:val="030303"/>
          <w:sz w:val="21"/>
          <w:szCs w:val="21"/>
          <w:lang w:val="en-ZA" w:eastAsia="en-ZA"/>
        </w:rPr>
        <w:t>gather</w:t>
      </w:r>
      <w:r w:rsidRPr="00BB5C77">
        <w:rPr>
          <w:rFonts w:ascii="Arial" w:eastAsia="Arial" w:hAnsi="Arial" w:cs="Arial"/>
          <w:color w:val="030303"/>
          <w:spacing w:val="21"/>
          <w:sz w:val="21"/>
          <w:szCs w:val="21"/>
          <w:lang w:val="en-ZA" w:eastAsia="en-ZA"/>
        </w:rPr>
        <w:t xml:space="preserve"> </w:t>
      </w:r>
      <w:r w:rsidRPr="00BB5C77">
        <w:rPr>
          <w:rFonts w:ascii="Arial" w:eastAsia="Arial" w:hAnsi="Arial" w:cs="Arial"/>
          <w:color w:val="030303"/>
          <w:sz w:val="21"/>
          <w:szCs w:val="21"/>
          <w:lang w:val="en-ZA" w:eastAsia="en-ZA"/>
        </w:rPr>
        <w:t>evidence</w:t>
      </w:r>
      <w:r w:rsidRPr="00BB5C77">
        <w:rPr>
          <w:rFonts w:ascii="Arial" w:eastAsia="Arial" w:hAnsi="Arial" w:cs="Arial"/>
          <w:color w:val="030303"/>
          <w:spacing w:val="34"/>
          <w:sz w:val="21"/>
          <w:szCs w:val="21"/>
          <w:lang w:val="en-ZA" w:eastAsia="en-ZA"/>
        </w:rPr>
        <w:t xml:space="preserve"> </w:t>
      </w:r>
      <w:r w:rsidRPr="00BB5C77">
        <w:rPr>
          <w:rFonts w:ascii="Arial" w:eastAsia="Arial" w:hAnsi="Arial" w:cs="Arial"/>
          <w:color w:val="030303"/>
          <w:sz w:val="21"/>
          <w:szCs w:val="21"/>
          <w:lang w:val="en-ZA" w:eastAsia="en-ZA"/>
        </w:rPr>
        <w:t>to</w:t>
      </w:r>
      <w:r w:rsidRPr="00BB5C77">
        <w:rPr>
          <w:rFonts w:ascii="Arial" w:eastAsia="Arial" w:hAnsi="Arial" w:cs="Arial"/>
          <w:color w:val="030303"/>
          <w:spacing w:val="3"/>
          <w:sz w:val="21"/>
          <w:szCs w:val="21"/>
          <w:lang w:val="en-ZA" w:eastAsia="en-ZA"/>
        </w:rPr>
        <w:t xml:space="preserve"> </w:t>
      </w:r>
      <w:r w:rsidRPr="00BB5C77">
        <w:rPr>
          <w:rFonts w:ascii="Arial" w:eastAsia="Arial" w:hAnsi="Arial" w:cs="Arial"/>
          <w:color w:val="030303"/>
          <w:sz w:val="21"/>
          <w:szCs w:val="21"/>
          <w:lang w:val="en-ZA" w:eastAsia="en-ZA"/>
        </w:rPr>
        <w:t>express</w:t>
      </w:r>
      <w:r w:rsidRPr="00BB5C77">
        <w:rPr>
          <w:rFonts w:ascii="Arial" w:eastAsia="Arial" w:hAnsi="Arial" w:cs="Arial"/>
          <w:color w:val="030303"/>
          <w:spacing w:val="33"/>
          <w:sz w:val="21"/>
          <w:szCs w:val="21"/>
          <w:lang w:val="en-ZA" w:eastAsia="en-ZA"/>
        </w:rPr>
        <w:t xml:space="preserve"> </w:t>
      </w:r>
      <w:r w:rsidRPr="00BB5C77">
        <w:rPr>
          <w:rFonts w:ascii="Arial" w:eastAsia="Arial" w:hAnsi="Arial" w:cs="Arial"/>
          <w:color w:val="030303"/>
          <w:w w:val="105"/>
          <w:sz w:val="21"/>
          <w:szCs w:val="21"/>
          <w:lang w:val="en-ZA" w:eastAsia="en-ZA"/>
        </w:rPr>
        <w:t>assurance.</w:t>
      </w:r>
    </w:p>
    <w:p w14:paraId="0A44A627" w14:textId="77777777" w:rsidR="00BB5C77" w:rsidRPr="00BB5C77" w:rsidRDefault="00BB5C77" w:rsidP="00BB5C77">
      <w:pPr>
        <w:spacing w:after="0"/>
        <w:jc w:val="both"/>
        <w:rPr>
          <w:rFonts w:eastAsia="Times New Roman" w:cs="Times New Roman"/>
          <w:sz w:val="22"/>
          <w:lang w:val="en-ZA" w:eastAsia="en-ZA"/>
        </w:rPr>
      </w:pPr>
    </w:p>
    <w:p w14:paraId="06A6DE85" w14:textId="77777777" w:rsidR="00BB5C77" w:rsidRPr="00BB5C77" w:rsidRDefault="00BB5C77" w:rsidP="00BB5C77">
      <w:pPr>
        <w:spacing w:before="68" w:after="0" w:line="252" w:lineRule="exact"/>
        <w:ind w:left="589" w:right="55" w:hanging="345"/>
        <w:jc w:val="both"/>
        <w:rPr>
          <w:rFonts w:ascii="Arial" w:eastAsia="Arial" w:hAnsi="Arial" w:cs="Arial"/>
          <w:sz w:val="21"/>
          <w:szCs w:val="21"/>
          <w:lang w:val="en-ZA" w:eastAsia="en-ZA"/>
        </w:rPr>
      </w:pPr>
      <w:r w:rsidRPr="00BB5C77">
        <w:rPr>
          <w:rFonts w:ascii="Arial" w:eastAsia="Arial" w:hAnsi="Arial" w:cs="Arial"/>
          <w:color w:val="0A0A0A"/>
          <w:w w:val="110"/>
          <w:sz w:val="21"/>
          <w:szCs w:val="21"/>
          <w:lang w:val="en-ZA" w:eastAsia="en-ZA"/>
        </w:rPr>
        <w:t>1</w:t>
      </w:r>
      <w:r w:rsidRPr="00BB5C77">
        <w:rPr>
          <w:rFonts w:ascii="Arial" w:eastAsia="Arial" w:hAnsi="Arial" w:cs="Arial"/>
          <w:color w:val="0A0A0A"/>
          <w:spacing w:val="-10"/>
          <w:w w:val="110"/>
          <w:sz w:val="21"/>
          <w:szCs w:val="21"/>
          <w:lang w:val="en-ZA" w:eastAsia="en-ZA"/>
        </w:rPr>
        <w:t>6</w:t>
      </w:r>
      <w:r w:rsidRPr="00BB5C77">
        <w:rPr>
          <w:rFonts w:ascii="Arial" w:eastAsia="Arial" w:hAnsi="Arial" w:cs="Arial"/>
          <w:color w:val="232323"/>
          <w:w w:val="170"/>
          <w:sz w:val="21"/>
          <w:szCs w:val="21"/>
          <w:lang w:val="en-ZA" w:eastAsia="en-ZA"/>
        </w:rPr>
        <w:t>.</w:t>
      </w:r>
      <w:r w:rsidRPr="00BB5C77">
        <w:rPr>
          <w:rFonts w:ascii="Arial" w:eastAsia="Arial" w:hAnsi="Arial" w:cs="Arial"/>
          <w:color w:val="232323"/>
          <w:spacing w:val="-40"/>
          <w:sz w:val="21"/>
          <w:szCs w:val="21"/>
          <w:lang w:val="en-ZA" w:eastAsia="en-ZA"/>
        </w:rPr>
        <w:t xml:space="preserve"> </w:t>
      </w:r>
      <w:r w:rsidRPr="00BB5C77">
        <w:rPr>
          <w:rFonts w:ascii="Arial" w:eastAsia="Arial" w:hAnsi="Arial" w:cs="Arial"/>
          <w:color w:val="0A0A0A"/>
          <w:sz w:val="21"/>
          <w:szCs w:val="21"/>
          <w:lang w:val="en-ZA" w:eastAsia="en-ZA"/>
        </w:rPr>
        <w:t>My</w:t>
      </w:r>
      <w:r w:rsidRPr="00BB5C77">
        <w:rPr>
          <w:rFonts w:ascii="Arial" w:eastAsia="Arial" w:hAnsi="Arial" w:cs="Arial"/>
          <w:color w:val="0A0A0A"/>
          <w:spacing w:val="15"/>
          <w:sz w:val="21"/>
          <w:szCs w:val="21"/>
          <w:lang w:val="en-ZA" w:eastAsia="en-ZA"/>
        </w:rPr>
        <w:t xml:space="preserve"> </w:t>
      </w:r>
      <w:r w:rsidRPr="00BB5C77">
        <w:rPr>
          <w:rFonts w:ascii="Arial" w:eastAsia="Arial" w:hAnsi="Arial" w:cs="Arial"/>
          <w:color w:val="0A0A0A"/>
          <w:sz w:val="21"/>
          <w:szCs w:val="21"/>
          <w:lang w:val="en-ZA" w:eastAsia="en-ZA"/>
        </w:rPr>
        <w:t xml:space="preserve">procedures </w:t>
      </w:r>
      <w:r w:rsidRPr="00BB5C77">
        <w:rPr>
          <w:rFonts w:ascii="Arial" w:eastAsia="Arial" w:hAnsi="Arial" w:cs="Arial"/>
          <w:color w:val="0A0A0A"/>
          <w:spacing w:val="1"/>
          <w:sz w:val="21"/>
          <w:szCs w:val="21"/>
          <w:lang w:val="en-ZA" w:eastAsia="en-ZA"/>
        </w:rPr>
        <w:t>address</w:t>
      </w:r>
      <w:r w:rsidRPr="00BB5C77">
        <w:rPr>
          <w:rFonts w:ascii="Arial" w:eastAsia="Arial" w:hAnsi="Arial" w:cs="Arial"/>
          <w:color w:val="232323"/>
          <w:spacing w:val="37"/>
          <w:sz w:val="21"/>
          <w:szCs w:val="21"/>
          <w:lang w:val="en-ZA" w:eastAsia="en-ZA"/>
        </w:rPr>
        <w:t xml:space="preserve"> </w:t>
      </w:r>
      <w:r w:rsidRPr="00BB5C77">
        <w:rPr>
          <w:rFonts w:ascii="Arial" w:eastAsia="Arial" w:hAnsi="Arial" w:cs="Arial"/>
          <w:color w:val="232323"/>
          <w:sz w:val="21"/>
          <w:szCs w:val="21"/>
          <w:lang w:val="en-ZA" w:eastAsia="en-ZA"/>
        </w:rPr>
        <w:t>the</w:t>
      </w:r>
      <w:r w:rsidRPr="00BB5C77">
        <w:rPr>
          <w:rFonts w:ascii="Arial" w:eastAsia="Arial" w:hAnsi="Arial" w:cs="Arial"/>
          <w:color w:val="232323"/>
          <w:spacing w:val="22"/>
          <w:sz w:val="21"/>
          <w:szCs w:val="21"/>
          <w:lang w:val="en-ZA" w:eastAsia="en-ZA"/>
        </w:rPr>
        <w:t xml:space="preserve"> </w:t>
      </w:r>
      <w:r w:rsidRPr="00BB5C77">
        <w:rPr>
          <w:rFonts w:ascii="Arial" w:eastAsia="Arial" w:hAnsi="Arial" w:cs="Arial"/>
          <w:color w:val="0A0A0A"/>
          <w:sz w:val="21"/>
          <w:szCs w:val="21"/>
          <w:lang w:val="en-ZA" w:eastAsia="en-ZA"/>
        </w:rPr>
        <w:t>reported</w:t>
      </w:r>
      <w:r w:rsidRPr="00BB5C77">
        <w:rPr>
          <w:rFonts w:ascii="Arial" w:eastAsia="Arial" w:hAnsi="Arial" w:cs="Arial"/>
          <w:color w:val="0A0A0A"/>
          <w:spacing w:val="43"/>
          <w:sz w:val="21"/>
          <w:szCs w:val="21"/>
          <w:lang w:val="en-ZA" w:eastAsia="en-ZA"/>
        </w:rPr>
        <w:t xml:space="preserve"> </w:t>
      </w:r>
      <w:r w:rsidRPr="00BB5C77">
        <w:rPr>
          <w:rFonts w:ascii="Arial" w:eastAsia="Arial" w:hAnsi="Arial" w:cs="Arial"/>
          <w:color w:val="0A0A0A"/>
          <w:sz w:val="21"/>
          <w:szCs w:val="21"/>
          <w:lang w:val="en-ZA" w:eastAsia="en-ZA"/>
        </w:rPr>
        <w:t>performance</w:t>
      </w:r>
      <w:r w:rsidRPr="00BB5C77">
        <w:rPr>
          <w:rFonts w:ascii="Arial" w:eastAsia="Arial" w:hAnsi="Arial" w:cs="Arial"/>
          <w:color w:val="0A0A0A"/>
          <w:spacing w:val="37"/>
          <w:sz w:val="21"/>
          <w:szCs w:val="21"/>
          <w:lang w:val="en-ZA" w:eastAsia="en-ZA"/>
        </w:rPr>
        <w:t xml:space="preserve"> </w:t>
      </w:r>
      <w:r w:rsidRPr="00BB5C77">
        <w:rPr>
          <w:rFonts w:ascii="Arial" w:eastAsia="Arial" w:hAnsi="Arial" w:cs="Arial"/>
          <w:color w:val="0A0A0A"/>
          <w:sz w:val="21"/>
          <w:szCs w:val="21"/>
          <w:lang w:val="en-ZA" w:eastAsia="en-ZA"/>
        </w:rPr>
        <w:t>information,</w:t>
      </w:r>
      <w:r w:rsidRPr="00BB5C77">
        <w:rPr>
          <w:rFonts w:ascii="Arial" w:eastAsia="Arial" w:hAnsi="Arial" w:cs="Arial"/>
          <w:color w:val="0A0A0A"/>
          <w:spacing w:val="39"/>
          <w:sz w:val="21"/>
          <w:szCs w:val="21"/>
          <w:lang w:val="en-ZA" w:eastAsia="en-ZA"/>
        </w:rPr>
        <w:t xml:space="preserve"> </w:t>
      </w:r>
      <w:r w:rsidRPr="00BB5C77">
        <w:rPr>
          <w:rFonts w:ascii="Arial" w:eastAsia="Arial" w:hAnsi="Arial" w:cs="Arial"/>
          <w:color w:val="0A0A0A"/>
          <w:sz w:val="21"/>
          <w:szCs w:val="21"/>
          <w:lang w:val="en-ZA" w:eastAsia="en-ZA"/>
        </w:rPr>
        <w:t>which</w:t>
      </w:r>
      <w:r w:rsidRPr="00BB5C77">
        <w:rPr>
          <w:rFonts w:ascii="Arial" w:eastAsia="Arial" w:hAnsi="Arial" w:cs="Arial"/>
          <w:color w:val="0A0A0A"/>
          <w:spacing w:val="17"/>
          <w:sz w:val="21"/>
          <w:szCs w:val="21"/>
          <w:lang w:val="en-ZA" w:eastAsia="en-ZA"/>
        </w:rPr>
        <w:t xml:space="preserve"> </w:t>
      </w:r>
      <w:r w:rsidRPr="00BB5C77">
        <w:rPr>
          <w:rFonts w:ascii="Arial" w:eastAsia="Arial" w:hAnsi="Arial" w:cs="Arial"/>
          <w:color w:val="0A0A0A"/>
          <w:sz w:val="21"/>
          <w:szCs w:val="21"/>
          <w:lang w:val="en-ZA" w:eastAsia="en-ZA"/>
        </w:rPr>
        <w:t>must</w:t>
      </w:r>
      <w:r w:rsidRPr="00BB5C77">
        <w:rPr>
          <w:rFonts w:ascii="Arial" w:eastAsia="Arial" w:hAnsi="Arial" w:cs="Arial"/>
          <w:color w:val="0A0A0A"/>
          <w:spacing w:val="18"/>
          <w:sz w:val="21"/>
          <w:szCs w:val="21"/>
          <w:lang w:val="en-ZA" w:eastAsia="en-ZA"/>
        </w:rPr>
        <w:t xml:space="preserve"> </w:t>
      </w:r>
      <w:r w:rsidRPr="00BB5C77">
        <w:rPr>
          <w:rFonts w:ascii="Arial" w:eastAsia="Arial" w:hAnsi="Arial" w:cs="Arial"/>
          <w:color w:val="0A0A0A"/>
          <w:sz w:val="21"/>
          <w:szCs w:val="21"/>
          <w:lang w:val="en-ZA" w:eastAsia="en-ZA"/>
        </w:rPr>
        <w:t>be</w:t>
      </w:r>
      <w:r w:rsidRPr="00BB5C77">
        <w:rPr>
          <w:rFonts w:ascii="Arial" w:eastAsia="Arial" w:hAnsi="Arial" w:cs="Arial"/>
          <w:color w:val="0A0A0A"/>
          <w:spacing w:val="16"/>
          <w:sz w:val="21"/>
          <w:szCs w:val="21"/>
          <w:lang w:val="en-ZA" w:eastAsia="en-ZA"/>
        </w:rPr>
        <w:t xml:space="preserve"> </w:t>
      </w:r>
      <w:r w:rsidRPr="00BB5C77">
        <w:rPr>
          <w:rFonts w:ascii="Arial" w:eastAsia="Arial" w:hAnsi="Arial" w:cs="Arial"/>
          <w:color w:val="0A0A0A"/>
          <w:sz w:val="21"/>
          <w:szCs w:val="21"/>
          <w:lang w:val="en-ZA" w:eastAsia="en-ZA"/>
        </w:rPr>
        <w:t>based</w:t>
      </w:r>
      <w:r w:rsidRPr="00BB5C77">
        <w:rPr>
          <w:rFonts w:ascii="Arial" w:eastAsia="Arial" w:hAnsi="Arial" w:cs="Arial"/>
          <w:color w:val="0A0A0A"/>
          <w:spacing w:val="33"/>
          <w:sz w:val="21"/>
          <w:szCs w:val="21"/>
          <w:lang w:val="en-ZA" w:eastAsia="en-ZA"/>
        </w:rPr>
        <w:t xml:space="preserve"> </w:t>
      </w:r>
      <w:r w:rsidRPr="00BB5C77">
        <w:rPr>
          <w:rFonts w:ascii="Arial" w:eastAsia="Arial" w:hAnsi="Arial" w:cs="Arial"/>
          <w:color w:val="0A0A0A"/>
          <w:w w:val="112"/>
          <w:sz w:val="21"/>
          <w:szCs w:val="21"/>
          <w:lang w:val="en-ZA" w:eastAsia="en-ZA"/>
        </w:rPr>
        <w:t xml:space="preserve">on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21"/>
          <w:sz w:val="21"/>
          <w:szCs w:val="21"/>
          <w:lang w:val="en-ZA" w:eastAsia="en-ZA"/>
        </w:rPr>
        <w:t xml:space="preserve"> </w:t>
      </w:r>
      <w:r w:rsidRPr="00BB5C77">
        <w:rPr>
          <w:rFonts w:ascii="Arial" w:eastAsia="Arial" w:hAnsi="Arial" w:cs="Arial"/>
          <w:color w:val="0A0A0A"/>
          <w:sz w:val="21"/>
          <w:szCs w:val="21"/>
          <w:lang w:val="en-ZA" w:eastAsia="en-ZA"/>
        </w:rPr>
        <w:t>approved</w:t>
      </w:r>
      <w:r w:rsidRPr="00BB5C77">
        <w:rPr>
          <w:rFonts w:ascii="Arial" w:eastAsia="Arial" w:hAnsi="Arial" w:cs="Arial"/>
          <w:color w:val="0A0A0A"/>
          <w:spacing w:val="39"/>
          <w:sz w:val="21"/>
          <w:szCs w:val="21"/>
          <w:lang w:val="en-ZA" w:eastAsia="en-ZA"/>
        </w:rPr>
        <w:t xml:space="preserve"> </w:t>
      </w:r>
      <w:r w:rsidRPr="00BB5C77">
        <w:rPr>
          <w:rFonts w:ascii="Arial" w:eastAsia="Arial" w:hAnsi="Arial" w:cs="Arial"/>
          <w:color w:val="0A0A0A"/>
          <w:sz w:val="21"/>
          <w:szCs w:val="21"/>
          <w:lang w:val="en-ZA" w:eastAsia="en-ZA"/>
        </w:rPr>
        <w:t>performance</w:t>
      </w:r>
      <w:r w:rsidRPr="00BB5C77">
        <w:rPr>
          <w:rFonts w:ascii="Arial" w:eastAsia="Arial" w:hAnsi="Arial" w:cs="Arial"/>
          <w:color w:val="0A0A0A"/>
          <w:spacing w:val="49"/>
          <w:sz w:val="21"/>
          <w:szCs w:val="21"/>
          <w:lang w:val="en-ZA" w:eastAsia="en-ZA"/>
        </w:rPr>
        <w:t xml:space="preserve"> </w:t>
      </w:r>
      <w:r w:rsidRPr="00BB5C77">
        <w:rPr>
          <w:rFonts w:ascii="Arial" w:eastAsia="Arial" w:hAnsi="Arial" w:cs="Arial"/>
          <w:color w:val="0A0A0A"/>
          <w:sz w:val="21"/>
          <w:szCs w:val="21"/>
          <w:lang w:val="en-ZA" w:eastAsia="en-ZA"/>
        </w:rPr>
        <w:t>planning</w:t>
      </w:r>
      <w:r w:rsidRPr="00BB5C77">
        <w:rPr>
          <w:rFonts w:ascii="Arial" w:eastAsia="Arial" w:hAnsi="Arial" w:cs="Arial"/>
          <w:color w:val="0A0A0A"/>
          <w:spacing w:val="52"/>
          <w:sz w:val="21"/>
          <w:szCs w:val="21"/>
          <w:lang w:val="en-ZA" w:eastAsia="en-ZA"/>
        </w:rPr>
        <w:t xml:space="preserve"> </w:t>
      </w:r>
      <w:r w:rsidRPr="00BB5C77">
        <w:rPr>
          <w:rFonts w:ascii="Arial" w:eastAsia="Arial" w:hAnsi="Arial" w:cs="Arial"/>
          <w:color w:val="0A0A0A"/>
          <w:sz w:val="21"/>
          <w:szCs w:val="21"/>
          <w:lang w:val="en-ZA" w:eastAsia="en-ZA"/>
        </w:rPr>
        <w:t>documents</w:t>
      </w:r>
      <w:r w:rsidRPr="00BB5C77">
        <w:rPr>
          <w:rFonts w:ascii="Arial" w:eastAsia="Arial" w:hAnsi="Arial" w:cs="Arial"/>
          <w:color w:val="0A0A0A"/>
          <w:spacing w:val="39"/>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9"/>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23"/>
          <w:sz w:val="21"/>
          <w:szCs w:val="21"/>
          <w:lang w:val="en-ZA" w:eastAsia="en-ZA"/>
        </w:rPr>
        <w:t xml:space="preserve"> </w:t>
      </w:r>
      <w:r w:rsidRPr="00BB5C77">
        <w:rPr>
          <w:rFonts w:ascii="Arial" w:eastAsia="Arial" w:hAnsi="Arial" w:cs="Arial"/>
          <w:color w:val="0A0A0A"/>
          <w:sz w:val="21"/>
          <w:szCs w:val="21"/>
          <w:lang w:val="en-ZA" w:eastAsia="en-ZA"/>
        </w:rPr>
        <w:t>municipality.</w:t>
      </w:r>
      <w:r w:rsidRPr="00BB5C77">
        <w:rPr>
          <w:rFonts w:ascii="Arial" w:eastAsia="Arial" w:hAnsi="Arial" w:cs="Arial"/>
          <w:color w:val="0A0A0A"/>
          <w:spacing w:val="27"/>
          <w:sz w:val="21"/>
          <w:szCs w:val="21"/>
          <w:lang w:val="en-ZA" w:eastAsia="en-ZA"/>
        </w:rPr>
        <w:t xml:space="preserve"> </w:t>
      </w:r>
      <w:r w:rsidRPr="00BB5C77">
        <w:rPr>
          <w:rFonts w:ascii="Arial" w:eastAsia="Arial" w:hAnsi="Arial" w:cs="Arial"/>
          <w:color w:val="0A0A0A"/>
          <w:w w:val="130"/>
          <w:sz w:val="23"/>
          <w:szCs w:val="23"/>
          <w:lang w:val="en-ZA" w:eastAsia="en-ZA"/>
        </w:rPr>
        <w:t>I</w:t>
      </w:r>
      <w:r w:rsidRPr="00BB5C77">
        <w:rPr>
          <w:rFonts w:ascii="Arial" w:eastAsia="Arial" w:hAnsi="Arial" w:cs="Arial"/>
          <w:color w:val="0A0A0A"/>
          <w:spacing w:val="-44"/>
          <w:w w:val="130"/>
          <w:sz w:val="23"/>
          <w:szCs w:val="23"/>
          <w:lang w:val="en-ZA" w:eastAsia="en-ZA"/>
        </w:rPr>
        <w:t xml:space="preserve"> </w:t>
      </w:r>
      <w:r w:rsidRPr="00BB5C77">
        <w:rPr>
          <w:rFonts w:ascii="Arial" w:eastAsia="Arial" w:hAnsi="Arial" w:cs="Arial"/>
          <w:color w:val="0A0A0A"/>
          <w:sz w:val="21"/>
          <w:szCs w:val="21"/>
          <w:lang w:val="en-ZA" w:eastAsia="en-ZA"/>
        </w:rPr>
        <w:t>have</w:t>
      </w:r>
      <w:r w:rsidRPr="00BB5C77">
        <w:rPr>
          <w:rFonts w:ascii="Arial" w:eastAsia="Arial" w:hAnsi="Arial" w:cs="Arial"/>
          <w:color w:val="0A0A0A"/>
          <w:spacing w:val="57"/>
          <w:sz w:val="21"/>
          <w:szCs w:val="21"/>
          <w:lang w:val="en-ZA" w:eastAsia="en-ZA"/>
        </w:rPr>
        <w:t xml:space="preserve"> </w:t>
      </w:r>
      <w:r w:rsidRPr="00BB5C77">
        <w:rPr>
          <w:rFonts w:ascii="Times New Roman" w:eastAsia="Times New Roman" w:hAnsi="Times New Roman" w:cs="Times New Roman"/>
          <w:color w:val="0A0A0A"/>
          <w:w w:val="89"/>
          <w:sz w:val="27"/>
          <w:szCs w:val="27"/>
          <w:lang w:val="en-ZA" w:eastAsia="en-ZA"/>
        </w:rPr>
        <w:t>not</w:t>
      </w:r>
      <w:r w:rsidRPr="00BB5C77">
        <w:rPr>
          <w:rFonts w:ascii="Times New Roman" w:eastAsia="Times New Roman" w:hAnsi="Times New Roman" w:cs="Times New Roman"/>
          <w:color w:val="0A0A0A"/>
          <w:spacing w:val="-5"/>
          <w:w w:val="89"/>
          <w:sz w:val="27"/>
          <w:szCs w:val="27"/>
          <w:lang w:val="en-ZA" w:eastAsia="en-ZA"/>
        </w:rPr>
        <w:t xml:space="preserve"> </w:t>
      </w:r>
      <w:r w:rsidRPr="00BB5C77">
        <w:rPr>
          <w:rFonts w:ascii="Arial" w:eastAsia="Arial" w:hAnsi="Arial" w:cs="Arial"/>
          <w:color w:val="0A0A0A"/>
          <w:w w:val="106"/>
          <w:sz w:val="21"/>
          <w:szCs w:val="21"/>
          <w:lang w:val="en-ZA" w:eastAsia="en-ZA"/>
        </w:rPr>
        <w:t xml:space="preserve">evaluated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20"/>
          <w:sz w:val="21"/>
          <w:szCs w:val="21"/>
          <w:lang w:val="en-ZA" w:eastAsia="en-ZA"/>
        </w:rPr>
        <w:t xml:space="preserve"> </w:t>
      </w:r>
      <w:r w:rsidRPr="00BB5C77">
        <w:rPr>
          <w:rFonts w:ascii="Arial" w:eastAsia="Arial" w:hAnsi="Arial" w:cs="Arial"/>
          <w:color w:val="0A0A0A"/>
          <w:sz w:val="21"/>
          <w:szCs w:val="21"/>
          <w:lang w:val="en-ZA" w:eastAsia="en-ZA"/>
        </w:rPr>
        <w:t>completeness</w:t>
      </w:r>
      <w:r w:rsidRPr="00BB5C77">
        <w:rPr>
          <w:rFonts w:ascii="Arial" w:eastAsia="Arial" w:hAnsi="Arial" w:cs="Arial"/>
          <w:color w:val="0A0A0A"/>
          <w:spacing w:val="55"/>
          <w:sz w:val="21"/>
          <w:szCs w:val="21"/>
          <w:lang w:val="en-ZA" w:eastAsia="en-ZA"/>
        </w:rPr>
        <w:t xml:space="preserve"> </w:t>
      </w:r>
      <w:r w:rsidRPr="00BB5C77">
        <w:rPr>
          <w:rFonts w:ascii="Arial" w:eastAsia="Arial" w:hAnsi="Arial" w:cs="Arial"/>
          <w:color w:val="0A0A0A"/>
          <w:sz w:val="21"/>
          <w:szCs w:val="21"/>
          <w:lang w:val="en-ZA" w:eastAsia="en-ZA"/>
        </w:rPr>
        <w:t>and</w:t>
      </w:r>
      <w:r w:rsidRPr="00BB5C77">
        <w:rPr>
          <w:rFonts w:ascii="Arial" w:eastAsia="Arial" w:hAnsi="Arial" w:cs="Arial"/>
          <w:color w:val="0A0A0A"/>
          <w:spacing w:val="19"/>
          <w:sz w:val="21"/>
          <w:szCs w:val="21"/>
          <w:lang w:val="en-ZA" w:eastAsia="en-ZA"/>
        </w:rPr>
        <w:t xml:space="preserve"> </w:t>
      </w:r>
      <w:r w:rsidRPr="00BB5C77">
        <w:rPr>
          <w:rFonts w:ascii="Arial" w:eastAsia="Arial" w:hAnsi="Arial" w:cs="Arial"/>
          <w:color w:val="0A0A0A"/>
          <w:w w:val="105"/>
          <w:sz w:val="21"/>
          <w:szCs w:val="21"/>
          <w:lang w:val="en-ZA" w:eastAsia="en-ZA"/>
        </w:rPr>
        <w:t>appropriateness</w:t>
      </w:r>
      <w:r w:rsidRPr="00BB5C77">
        <w:rPr>
          <w:rFonts w:ascii="Arial" w:eastAsia="Arial" w:hAnsi="Arial" w:cs="Arial"/>
          <w:color w:val="0A0A0A"/>
          <w:spacing w:val="-13"/>
          <w:w w:val="105"/>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9"/>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4"/>
          <w:sz w:val="21"/>
          <w:szCs w:val="21"/>
          <w:lang w:val="en-ZA" w:eastAsia="en-ZA"/>
        </w:rPr>
        <w:t xml:space="preserve"> </w:t>
      </w:r>
      <w:r w:rsidRPr="00BB5C77">
        <w:rPr>
          <w:rFonts w:ascii="Arial" w:eastAsia="Arial" w:hAnsi="Arial" w:cs="Arial"/>
          <w:color w:val="0A0A0A"/>
          <w:w w:val="106"/>
          <w:sz w:val="21"/>
          <w:szCs w:val="21"/>
          <w:lang w:val="en-ZA" w:eastAsia="en-ZA"/>
        </w:rPr>
        <w:t>performance</w:t>
      </w:r>
      <w:r w:rsidRPr="00BB5C77">
        <w:rPr>
          <w:rFonts w:ascii="Arial" w:eastAsia="Arial" w:hAnsi="Arial" w:cs="Arial"/>
          <w:color w:val="0A0A0A"/>
          <w:spacing w:val="-14"/>
          <w:w w:val="106"/>
          <w:sz w:val="21"/>
          <w:szCs w:val="21"/>
          <w:lang w:val="en-ZA" w:eastAsia="en-ZA"/>
        </w:rPr>
        <w:t xml:space="preserve"> </w:t>
      </w:r>
      <w:r w:rsidRPr="00BB5C77">
        <w:rPr>
          <w:rFonts w:ascii="Arial" w:eastAsia="Arial" w:hAnsi="Arial" w:cs="Arial"/>
          <w:color w:val="0A0A0A"/>
          <w:sz w:val="21"/>
          <w:szCs w:val="21"/>
          <w:lang w:val="en-ZA" w:eastAsia="en-ZA"/>
        </w:rPr>
        <w:t>indicators</w:t>
      </w:r>
      <w:r w:rsidRPr="00BB5C77">
        <w:rPr>
          <w:rFonts w:ascii="Arial" w:eastAsia="Arial" w:hAnsi="Arial" w:cs="Arial"/>
          <w:color w:val="0A0A0A"/>
          <w:spacing w:val="36"/>
          <w:sz w:val="21"/>
          <w:szCs w:val="21"/>
          <w:lang w:val="en-ZA" w:eastAsia="en-ZA"/>
        </w:rPr>
        <w:t xml:space="preserve"> </w:t>
      </w:r>
      <w:r w:rsidRPr="00BB5C77">
        <w:rPr>
          <w:rFonts w:ascii="Arial" w:eastAsia="Arial" w:hAnsi="Arial" w:cs="Arial"/>
          <w:color w:val="232323"/>
          <w:spacing w:val="-13"/>
          <w:w w:val="155"/>
          <w:sz w:val="21"/>
          <w:szCs w:val="21"/>
          <w:lang w:val="en-ZA" w:eastAsia="en-ZA"/>
        </w:rPr>
        <w:t>i</w:t>
      </w:r>
      <w:r w:rsidRPr="00BB5C77">
        <w:rPr>
          <w:rFonts w:ascii="Arial" w:eastAsia="Arial" w:hAnsi="Arial" w:cs="Arial"/>
          <w:color w:val="0A0A0A"/>
          <w:w w:val="106"/>
          <w:sz w:val="21"/>
          <w:szCs w:val="21"/>
          <w:lang w:val="en-ZA" w:eastAsia="en-ZA"/>
        </w:rPr>
        <w:t>ncluded</w:t>
      </w:r>
      <w:r w:rsidRPr="00BB5C77">
        <w:rPr>
          <w:rFonts w:ascii="Arial" w:eastAsia="Arial" w:hAnsi="Arial" w:cs="Arial"/>
          <w:color w:val="0A0A0A"/>
          <w:spacing w:val="-13"/>
          <w:sz w:val="21"/>
          <w:szCs w:val="21"/>
          <w:lang w:val="en-ZA" w:eastAsia="en-ZA"/>
        </w:rPr>
        <w:t xml:space="preserve"> </w:t>
      </w:r>
      <w:r w:rsidRPr="00BB5C77">
        <w:rPr>
          <w:rFonts w:ascii="Arial" w:eastAsia="Arial" w:hAnsi="Arial" w:cs="Arial"/>
          <w:color w:val="0A0A0A"/>
          <w:sz w:val="21"/>
          <w:szCs w:val="21"/>
          <w:lang w:val="en-ZA" w:eastAsia="en-ZA"/>
        </w:rPr>
        <w:t>in</w:t>
      </w:r>
      <w:r w:rsidRPr="00BB5C77">
        <w:rPr>
          <w:rFonts w:ascii="Arial" w:eastAsia="Arial" w:hAnsi="Arial" w:cs="Arial"/>
          <w:color w:val="0A0A0A"/>
          <w:spacing w:val="10"/>
          <w:sz w:val="21"/>
          <w:szCs w:val="21"/>
          <w:lang w:val="en-ZA" w:eastAsia="en-ZA"/>
        </w:rPr>
        <w:t xml:space="preserve"> </w:t>
      </w:r>
      <w:r w:rsidRPr="00BB5C77">
        <w:rPr>
          <w:rFonts w:ascii="Arial" w:eastAsia="Arial" w:hAnsi="Arial" w:cs="Arial"/>
          <w:color w:val="0A0A0A"/>
          <w:w w:val="109"/>
          <w:sz w:val="21"/>
          <w:szCs w:val="21"/>
          <w:lang w:val="en-ZA" w:eastAsia="en-ZA"/>
        </w:rPr>
        <w:t xml:space="preserve">the </w:t>
      </w:r>
      <w:r w:rsidRPr="00BB5C77">
        <w:rPr>
          <w:rFonts w:ascii="Arial" w:eastAsia="Arial" w:hAnsi="Arial" w:cs="Arial"/>
          <w:color w:val="0A0A0A"/>
          <w:sz w:val="21"/>
          <w:szCs w:val="21"/>
          <w:lang w:val="en-ZA" w:eastAsia="en-ZA"/>
        </w:rPr>
        <w:t>planning</w:t>
      </w:r>
      <w:r w:rsidRPr="00BB5C77">
        <w:rPr>
          <w:rFonts w:ascii="Arial" w:eastAsia="Arial" w:hAnsi="Arial" w:cs="Arial"/>
          <w:color w:val="0A0A0A"/>
          <w:spacing w:val="44"/>
          <w:sz w:val="21"/>
          <w:szCs w:val="21"/>
          <w:lang w:val="en-ZA" w:eastAsia="en-ZA"/>
        </w:rPr>
        <w:t xml:space="preserve"> </w:t>
      </w:r>
      <w:r w:rsidRPr="00BB5C77">
        <w:rPr>
          <w:rFonts w:ascii="Arial" w:eastAsia="Arial" w:hAnsi="Arial" w:cs="Arial"/>
          <w:color w:val="0A0A0A"/>
          <w:w w:val="105"/>
          <w:sz w:val="21"/>
          <w:szCs w:val="21"/>
          <w:lang w:val="en-ZA" w:eastAsia="en-ZA"/>
        </w:rPr>
        <w:t>document</w:t>
      </w:r>
      <w:r w:rsidRPr="00BB5C77">
        <w:rPr>
          <w:rFonts w:ascii="Arial" w:eastAsia="Arial" w:hAnsi="Arial" w:cs="Arial"/>
          <w:color w:val="0A0A0A"/>
          <w:spacing w:val="-16"/>
          <w:w w:val="106"/>
          <w:sz w:val="21"/>
          <w:szCs w:val="21"/>
          <w:lang w:val="en-ZA" w:eastAsia="en-ZA"/>
        </w:rPr>
        <w:t>s</w:t>
      </w:r>
      <w:r w:rsidRPr="00BB5C77">
        <w:rPr>
          <w:rFonts w:ascii="Arial" w:eastAsia="Arial" w:hAnsi="Arial" w:cs="Arial"/>
          <w:color w:val="232323"/>
          <w:w w:val="136"/>
          <w:sz w:val="21"/>
          <w:szCs w:val="21"/>
          <w:lang w:val="en-ZA" w:eastAsia="en-ZA"/>
        </w:rPr>
        <w:t>.</w:t>
      </w:r>
      <w:r w:rsidRPr="00BB5C77">
        <w:rPr>
          <w:rFonts w:ascii="Arial" w:eastAsia="Arial" w:hAnsi="Arial" w:cs="Arial"/>
          <w:color w:val="232323"/>
          <w:spacing w:val="-8"/>
          <w:sz w:val="21"/>
          <w:szCs w:val="21"/>
          <w:lang w:val="en-ZA" w:eastAsia="en-ZA"/>
        </w:rPr>
        <w:t xml:space="preserve"> </w:t>
      </w:r>
      <w:r w:rsidRPr="00BB5C77">
        <w:rPr>
          <w:rFonts w:ascii="Times New Roman" w:eastAsia="Times New Roman" w:hAnsi="Times New Roman" w:cs="Times New Roman"/>
          <w:color w:val="0A0A0A"/>
          <w:w w:val="94"/>
          <w:sz w:val="23"/>
          <w:szCs w:val="23"/>
          <w:lang w:val="en-ZA" w:eastAsia="en-ZA"/>
        </w:rPr>
        <w:t>My</w:t>
      </w:r>
      <w:r w:rsidRPr="00BB5C77">
        <w:rPr>
          <w:rFonts w:ascii="Times New Roman" w:eastAsia="Times New Roman" w:hAnsi="Times New Roman" w:cs="Times New Roman"/>
          <w:color w:val="0A0A0A"/>
          <w:spacing w:val="-6"/>
          <w:w w:val="94"/>
          <w:sz w:val="23"/>
          <w:szCs w:val="23"/>
          <w:lang w:val="en-ZA" w:eastAsia="en-ZA"/>
        </w:rPr>
        <w:t xml:space="preserve"> </w:t>
      </w:r>
      <w:r w:rsidRPr="00BB5C77">
        <w:rPr>
          <w:rFonts w:ascii="Arial" w:eastAsia="Arial" w:hAnsi="Arial" w:cs="Arial"/>
          <w:color w:val="0A0A0A"/>
          <w:w w:val="107"/>
          <w:sz w:val="21"/>
          <w:szCs w:val="21"/>
          <w:lang w:val="en-ZA" w:eastAsia="en-ZA"/>
        </w:rPr>
        <w:t>procedures</w:t>
      </w:r>
      <w:r w:rsidRPr="00BB5C77">
        <w:rPr>
          <w:rFonts w:ascii="Arial" w:eastAsia="Arial" w:hAnsi="Arial" w:cs="Arial"/>
          <w:color w:val="0A0A0A"/>
          <w:spacing w:val="-16"/>
          <w:w w:val="107"/>
          <w:sz w:val="21"/>
          <w:szCs w:val="21"/>
          <w:lang w:val="en-ZA" w:eastAsia="en-ZA"/>
        </w:rPr>
        <w:t xml:space="preserve"> </w:t>
      </w:r>
      <w:r w:rsidRPr="00BB5C77">
        <w:rPr>
          <w:rFonts w:ascii="Arial" w:eastAsia="Arial" w:hAnsi="Arial" w:cs="Arial"/>
          <w:color w:val="0A0A0A"/>
          <w:sz w:val="21"/>
          <w:szCs w:val="21"/>
          <w:lang w:val="en-ZA" w:eastAsia="en-ZA"/>
        </w:rPr>
        <w:t>also</w:t>
      </w:r>
      <w:r w:rsidRPr="00BB5C77">
        <w:rPr>
          <w:rFonts w:ascii="Arial" w:eastAsia="Arial" w:hAnsi="Arial" w:cs="Arial"/>
          <w:color w:val="0A0A0A"/>
          <w:spacing w:val="15"/>
          <w:sz w:val="21"/>
          <w:szCs w:val="21"/>
          <w:lang w:val="en-ZA" w:eastAsia="en-ZA"/>
        </w:rPr>
        <w:t xml:space="preserve"> </w:t>
      </w:r>
      <w:r w:rsidRPr="00BB5C77">
        <w:rPr>
          <w:rFonts w:ascii="Arial" w:eastAsia="Arial" w:hAnsi="Arial" w:cs="Arial"/>
          <w:color w:val="0A0A0A"/>
          <w:sz w:val="21"/>
          <w:szCs w:val="21"/>
          <w:lang w:val="en-ZA" w:eastAsia="en-ZA"/>
        </w:rPr>
        <w:t>did</w:t>
      </w:r>
      <w:r w:rsidRPr="00BB5C77">
        <w:rPr>
          <w:rFonts w:ascii="Arial" w:eastAsia="Arial" w:hAnsi="Arial" w:cs="Arial"/>
          <w:color w:val="0A0A0A"/>
          <w:spacing w:val="11"/>
          <w:sz w:val="21"/>
          <w:szCs w:val="21"/>
          <w:lang w:val="en-ZA" w:eastAsia="en-ZA"/>
        </w:rPr>
        <w:t xml:space="preserve"> </w:t>
      </w:r>
      <w:r w:rsidRPr="00BB5C77">
        <w:rPr>
          <w:rFonts w:ascii="Arial" w:eastAsia="Arial" w:hAnsi="Arial" w:cs="Arial"/>
          <w:color w:val="0A0A0A"/>
          <w:sz w:val="21"/>
          <w:szCs w:val="21"/>
          <w:lang w:val="en-ZA" w:eastAsia="en-ZA"/>
        </w:rPr>
        <w:t>not</w:t>
      </w:r>
      <w:r w:rsidRPr="00BB5C77">
        <w:rPr>
          <w:rFonts w:ascii="Arial" w:eastAsia="Arial" w:hAnsi="Arial" w:cs="Arial"/>
          <w:color w:val="0A0A0A"/>
          <w:spacing w:val="15"/>
          <w:sz w:val="21"/>
          <w:szCs w:val="21"/>
          <w:lang w:val="en-ZA" w:eastAsia="en-ZA"/>
        </w:rPr>
        <w:t xml:space="preserve"> </w:t>
      </w:r>
      <w:r w:rsidRPr="00BB5C77">
        <w:rPr>
          <w:rFonts w:ascii="Arial" w:eastAsia="Arial" w:hAnsi="Arial" w:cs="Arial"/>
          <w:color w:val="0A0A0A"/>
          <w:sz w:val="21"/>
          <w:szCs w:val="21"/>
          <w:lang w:val="en-ZA" w:eastAsia="en-ZA"/>
        </w:rPr>
        <w:t>extend</w:t>
      </w:r>
      <w:r w:rsidRPr="00BB5C77">
        <w:rPr>
          <w:rFonts w:ascii="Arial" w:eastAsia="Arial" w:hAnsi="Arial" w:cs="Arial"/>
          <w:color w:val="0A0A0A"/>
          <w:spacing w:val="34"/>
          <w:sz w:val="21"/>
          <w:szCs w:val="21"/>
          <w:lang w:val="en-ZA" w:eastAsia="en-ZA"/>
        </w:rPr>
        <w:t xml:space="preserve"> </w:t>
      </w:r>
      <w:r w:rsidRPr="00BB5C77">
        <w:rPr>
          <w:rFonts w:ascii="Arial" w:eastAsia="Arial" w:hAnsi="Arial" w:cs="Arial"/>
          <w:color w:val="0A0A0A"/>
          <w:sz w:val="21"/>
          <w:szCs w:val="21"/>
          <w:lang w:val="en-ZA" w:eastAsia="en-ZA"/>
        </w:rPr>
        <w:t>to</w:t>
      </w:r>
      <w:r w:rsidRPr="00BB5C77">
        <w:rPr>
          <w:rFonts w:ascii="Arial" w:eastAsia="Arial" w:hAnsi="Arial" w:cs="Arial"/>
          <w:color w:val="0A0A0A"/>
          <w:spacing w:val="17"/>
          <w:sz w:val="21"/>
          <w:szCs w:val="21"/>
          <w:lang w:val="en-ZA" w:eastAsia="en-ZA"/>
        </w:rPr>
        <w:t xml:space="preserve"> </w:t>
      </w:r>
      <w:r w:rsidRPr="00BB5C77">
        <w:rPr>
          <w:rFonts w:ascii="Arial" w:eastAsia="Arial" w:hAnsi="Arial" w:cs="Arial"/>
          <w:color w:val="0A0A0A"/>
          <w:sz w:val="21"/>
          <w:szCs w:val="21"/>
          <w:lang w:val="en-ZA" w:eastAsia="en-ZA"/>
        </w:rPr>
        <w:t>any</w:t>
      </w:r>
      <w:r w:rsidRPr="00BB5C77">
        <w:rPr>
          <w:rFonts w:ascii="Arial" w:eastAsia="Arial" w:hAnsi="Arial" w:cs="Arial"/>
          <w:color w:val="0A0A0A"/>
          <w:spacing w:val="19"/>
          <w:sz w:val="21"/>
          <w:szCs w:val="21"/>
          <w:lang w:val="en-ZA" w:eastAsia="en-ZA"/>
        </w:rPr>
        <w:t xml:space="preserve"> </w:t>
      </w:r>
      <w:r w:rsidRPr="00BB5C77">
        <w:rPr>
          <w:rFonts w:ascii="Arial" w:eastAsia="Arial" w:hAnsi="Arial" w:cs="Arial"/>
          <w:color w:val="0A0A0A"/>
          <w:sz w:val="21"/>
          <w:szCs w:val="21"/>
          <w:lang w:val="en-ZA" w:eastAsia="en-ZA"/>
        </w:rPr>
        <w:t>disclosures</w:t>
      </w:r>
      <w:r w:rsidRPr="00BB5C77">
        <w:rPr>
          <w:rFonts w:ascii="Arial" w:eastAsia="Arial" w:hAnsi="Arial" w:cs="Arial"/>
          <w:color w:val="0A0A0A"/>
          <w:spacing w:val="39"/>
          <w:sz w:val="21"/>
          <w:szCs w:val="21"/>
          <w:lang w:val="en-ZA" w:eastAsia="en-ZA"/>
        </w:rPr>
        <w:t xml:space="preserve"> </w:t>
      </w:r>
      <w:r w:rsidRPr="00BB5C77">
        <w:rPr>
          <w:rFonts w:ascii="Arial" w:eastAsia="Arial" w:hAnsi="Arial" w:cs="Arial"/>
          <w:color w:val="0A0A0A"/>
          <w:sz w:val="21"/>
          <w:szCs w:val="21"/>
          <w:lang w:val="en-ZA" w:eastAsia="en-ZA"/>
        </w:rPr>
        <w:t>or</w:t>
      </w:r>
      <w:r w:rsidRPr="00BB5C77">
        <w:rPr>
          <w:rFonts w:ascii="Arial" w:eastAsia="Arial" w:hAnsi="Arial" w:cs="Arial"/>
          <w:color w:val="0A0A0A"/>
          <w:spacing w:val="11"/>
          <w:sz w:val="21"/>
          <w:szCs w:val="21"/>
          <w:lang w:val="en-ZA" w:eastAsia="en-ZA"/>
        </w:rPr>
        <w:t xml:space="preserve"> </w:t>
      </w:r>
      <w:r w:rsidRPr="00BB5C77">
        <w:rPr>
          <w:rFonts w:ascii="Arial" w:eastAsia="Arial" w:hAnsi="Arial" w:cs="Arial"/>
          <w:color w:val="0A0A0A"/>
          <w:w w:val="106"/>
          <w:sz w:val="21"/>
          <w:szCs w:val="21"/>
          <w:lang w:val="en-ZA" w:eastAsia="en-ZA"/>
        </w:rPr>
        <w:t xml:space="preserve">assertions </w:t>
      </w:r>
      <w:r w:rsidRPr="00BB5C77">
        <w:rPr>
          <w:rFonts w:ascii="Arial" w:eastAsia="Arial" w:hAnsi="Arial" w:cs="Arial"/>
          <w:color w:val="0A0A0A"/>
          <w:sz w:val="21"/>
          <w:szCs w:val="21"/>
          <w:lang w:val="en-ZA" w:eastAsia="en-ZA"/>
        </w:rPr>
        <w:t>relating</w:t>
      </w:r>
      <w:r w:rsidRPr="00BB5C77">
        <w:rPr>
          <w:rFonts w:ascii="Arial" w:eastAsia="Arial" w:hAnsi="Arial" w:cs="Arial"/>
          <w:color w:val="0A0A0A"/>
          <w:spacing w:val="28"/>
          <w:sz w:val="21"/>
          <w:szCs w:val="21"/>
          <w:lang w:val="en-ZA" w:eastAsia="en-ZA"/>
        </w:rPr>
        <w:t xml:space="preserve"> </w:t>
      </w:r>
      <w:r w:rsidRPr="00BB5C77">
        <w:rPr>
          <w:rFonts w:ascii="Arial" w:eastAsia="Arial" w:hAnsi="Arial" w:cs="Arial"/>
          <w:color w:val="0A0A0A"/>
          <w:sz w:val="21"/>
          <w:szCs w:val="21"/>
          <w:lang w:val="en-ZA" w:eastAsia="en-ZA"/>
        </w:rPr>
        <w:t>to</w:t>
      </w:r>
      <w:r w:rsidRPr="00BB5C77">
        <w:rPr>
          <w:rFonts w:ascii="Arial" w:eastAsia="Arial" w:hAnsi="Arial" w:cs="Arial"/>
          <w:color w:val="0A0A0A"/>
          <w:spacing w:val="14"/>
          <w:sz w:val="21"/>
          <w:szCs w:val="21"/>
          <w:lang w:val="en-ZA" w:eastAsia="en-ZA"/>
        </w:rPr>
        <w:t xml:space="preserve"> </w:t>
      </w:r>
      <w:r w:rsidRPr="00BB5C77">
        <w:rPr>
          <w:rFonts w:ascii="Arial" w:eastAsia="Arial" w:hAnsi="Arial" w:cs="Arial"/>
          <w:color w:val="0A0A0A"/>
          <w:sz w:val="21"/>
          <w:szCs w:val="21"/>
          <w:lang w:val="en-ZA" w:eastAsia="en-ZA"/>
        </w:rPr>
        <w:t>planned</w:t>
      </w:r>
      <w:r w:rsidRPr="00BB5C77">
        <w:rPr>
          <w:rFonts w:ascii="Arial" w:eastAsia="Arial" w:hAnsi="Arial" w:cs="Arial"/>
          <w:color w:val="0A0A0A"/>
          <w:spacing w:val="38"/>
          <w:sz w:val="21"/>
          <w:szCs w:val="21"/>
          <w:lang w:val="en-ZA" w:eastAsia="en-ZA"/>
        </w:rPr>
        <w:t xml:space="preserve"> </w:t>
      </w:r>
      <w:r w:rsidRPr="00BB5C77">
        <w:rPr>
          <w:rFonts w:ascii="Arial" w:eastAsia="Arial" w:hAnsi="Arial" w:cs="Arial"/>
          <w:color w:val="0A0A0A"/>
          <w:sz w:val="21"/>
          <w:szCs w:val="21"/>
          <w:lang w:val="en-ZA" w:eastAsia="en-ZA"/>
        </w:rPr>
        <w:t>performance</w:t>
      </w:r>
      <w:r w:rsidRPr="00BB5C77">
        <w:rPr>
          <w:rFonts w:ascii="Arial" w:eastAsia="Arial" w:hAnsi="Arial" w:cs="Arial"/>
          <w:color w:val="0A0A0A"/>
          <w:spacing w:val="55"/>
          <w:sz w:val="21"/>
          <w:szCs w:val="21"/>
          <w:lang w:val="en-ZA" w:eastAsia="en-ZA"/>
        </w:rPr>
        <w:t xml:space="preserve"> </w:t>
      </w:r>
      <w:r w:rsidRPr="00BB5C77">
        <w:rPr>
          <w:rFonts w:ascii="Arial" w:eastAsia="Arial" w:hAnsi="Arial" w:cs="Arial"/>
          <w:color w:val="0A0A0A"/>
          <w:sz w:val="21"/>
          <w:szCs w:val="21"/>
          <w:lang w:val="en-ZA" w:eastAsia="en-ZA"/>
        </w:rPr>
        <w:t>strategies</w:t>
      </w:r>
      <w:r w:rsidRPr="00BB5C77">
        <w:rPr>
          <w:rFonts w:ascii="Arial" w:eastAsia="Arial" w:hAnsi="Arial" w:cs="Arial"/>
          <w:color w:val="0A0A0A"/>
          <w:spacing w:val="43"/>
          <w:sz w:val="21"/>
          <w:szCs w:val="21"/>
          <w:lang w:val="en-ZA" w:eastAsia="en-ZA"/>
        </w:rPr>
        <w:t xml:space="preserve"> </w:t>
      </w:r>
      <w:r w:rsidRPr="00BB5C77">
        <w:rPr>
          <w:rFonts w:ascii="Arial" w:eastAsia="Arial" w:hAnsi="Arial" w:cs="Arial"/>
          <w:color w:val="0A0A0A"/>
          <w:sz w:val="21"/>
          <w:szCs w:val="21"/>
          <w:lang w:val="en-ZA" w:eastAsia="en-ZA"/>
        </w:rPr>
        <w:t>and</w:t>
      </w:r>
      <w:r w:rsidRPr="00BB5C77">
        <w:rPr>
          <w:rFonts w:ascii="Arial" w:eastAsia="Arial" w:hAnsi="Arial" w:cs="Arial"/>
          <w:color w:val="0A0A0A"/>
          <w:spacing w:val="16"/>
          <w:sz w:val="21"/>
          <w:szCs w:val="21"/>
          <w:lang w:val="en-ZA" w:eastAsia="en-ZA"/>
        </w:rPr>
        <w:t xml:space="preserve"> </w:t>
      </w:r>
      <w:r w:rsidRPr="00BB5C77">
        <w:rPr>
          <w:rFonts w:ascii="Arial" w:eastAsia="Arial" w:hAnsi="Arial" w:cs="Arial"/>
          <w:color w:val="0A0A0A"/>
          <w:w w:val="107"/>
          <w:sz w:val="21"/>
          <w:szCs w:val="21"/>
          <w:lang w:val="en-ZA" w:eastAsia="en-ZA"/>
        </w:rPr>
        <w:t>information</w:t>
      </w:r>
      <w:r w:rsidRPr="00BB5C77">
        <w:rPr>
          <w:rFonts w:ascii="Arial" w:eastAsia="Arial" w:hAnsi="Arial" w:cs="Arial"/>
          <w:color w:val="0A0A0A"/>
          <w:spacing w:val="-19"/>
          <w:w w:val="107"/>
          <w:sz w:val="21"/>
          <w:szCs w:val="21"/>
          <w:lang w:val="en-ZA" w:eastAsia="en-ZA"/>
        </w:rPr>
        <w:t xml:space="preserve"> </w:t>
      </w:r>
      <w:r w:rsidRPr="00BB5C77">
        <w:rPr>
          <w:rFonts w:ascii="Arial" w:eastAsia="Arial" w:hAnsi="Arial" w:cs="Arial"/>
          <w:color w:val="0A0A0A"/>
          <w:sz w:val="21"/>
          <w:szCs w:val="21"/>
          <w:lang w:val="en-ZA" w:eastAsia="en-ZA"/>
        </w:rPr>
        <w:t>in</w:t>
      </w:r>
      <w:r w:rsidRPr="00BB5C77">
        <w:rPr>
          <w:rFonts w:ascii="Arial" w:eastAsia="Arial" w:hAnsi="Arial" w:cs="Arial"/>
          <w:color w:val="0A0A0A"/>
          <w:spacing w:val="-1"/>
          <w:sz w:val="21"/>
          <w:szCs w:val="21"/>
          <w:lang w:val="en-ZA" w:eastAsia="en-ZA"/>
        </w:rPr>
        <w:t xml:space="preserve"> </w:t>
      </w:r>
      <w:r w:rsidRPr="00BB5C77">
        <w:rPr>
          <w:rFonts w:ascii="Arial" w:eastAsia="Arial" w:hAnsi="Arial" w:cs="Arial"/>
          <w:color w:val="0A0A0A"/>
          <w:sz w:val="21"/>
          <w:szCs w:val="21"/>
          <w:lang w:val="en-ZA" w:eastAsia="en-ZA"/>
        </w:rPr>
        <w:t>respect</w:t>
      </w:r>
      <w:r w:rsidRPr="00BB5C77">
        <w:rPr>
          <w:rFonts w:ascii="Arial" w:eastAsia="Arial" w:hAnsi="Arial" w:cs="Arial"/>
          <w:color w:val="0A0A0A"/>
          <w:spacing w:val="45"/>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4"/>
          <w:sz w:val="21"/>
          <w:szCs w:val="21"/>
          <w:lang w:val="en-ZA" w:eastAsia="en-ZA"/>
        </w:rPr>
        <w:t xml:space="preserve"> </w:t>
      </w:r>
      <w:r w:rsidRPr="00BB5C77">
        <w:rPr>
          <w:rFonts w:ascii="Arial" w:eastAsia="Arial" w:hAnsi="Arial" w:cs="Arial"/>
          <w:color w:val="0A0A0A"/>
          <w:sz w:val="21"/>
          <w:szCs w:val="21"/>
          <w:lang w:val="en-ZA" w:eastAsia="en-ZA"/>
        </w:rPr>
        <w:t>future</w:t>
      </w:r>
      <w:r w:rsidRPr="00BB5C77">
        <w:rPr>
          <w:rFonts w:ascii="Arial" w:eastAsia="Arial" w:hAnsi="Arial" w:cs="Arial"/>
          <w:color w:val="0A0A0A"/>
          <w:spacing w:val="25"/>
          <w:sz w:val="21"/>
          <w:szCs w:val="21"/>
          <w:lang w:val="en-ZA" w:eastAsia="en-ZA"/>
        </w:rPr>
        <w:t xml:space="preserve"> </w:t>
      </w:r>
      <w:r w:rsidRPr="00BB5C77">
        <w:rPr>
          <w:rFonts w:ascii="Arial" w:eastAsia="Arial" w:hAnsi="Arial" w:cs="Arial"/>
          <w:color w:val="0A0A0A"/>
          <w:w w:val="105"/>
          <w:sz w:val="21"/>
          <w:szCs w:val="21"/>
          <w:lang w:val="en-ZA" w:eastAsia="en-ZA"/>
        </w:rPr>
        <w:t xml:space="preserve">periods </w:t>
      </w:r>
      <w:r w:rsidRPr="00BB5C77">
        <w:rPr>
          <w:rFonts w:ascii="Arial" w:eastAsia="Arial" w:hAnsi="Arial" w:cs="Arial"/>
          <w:color w:val="0A0A0A"/>
          <w:sz w:val="21"/>
          <w:szCs w:val="21"/>
          <w:lang w:val="en-ZA" w:eastAsia="en-ZA"/>
        </w:rPr>
        <w:t>that</w:t>
      </w:r>
      <w:r w:rsidRPr="00BB5C77">
        <w:rPr>
          <w:rFonts w:ascii="Arial" w:eastAsia="Arial" w:hAnsi="Arial" w:cs="Arial"/>
          <w:color w:val="0A0A0A"/>
          <w:spacing w:val="22"/>
          <w:sz w:val="21"/>
          <w:szCs w:val="21"/>
          <w:lang w:val="en-ZA" w:eastAsia="en-ZA"/>
        </w:rPr>
        <w:t xml:space="preserve"> </w:t>
      </w:r>
      <w:r w:rsidRPr="00BB5C77">
        <w:rPr>
          <w:rFonts w:ascii="Arial" w:eastAsia="Arial" w:hAnsi="Arial" w:cs="Arial"/>
          <w:color w:val="0A0A0A"/>
          <w:sz w:val="21"/>
          <w:szCs w:val="21"/>
          <w:lang w:val="en-ZA" w:eastAsia="en-ZA"/>
        </w:rPr>
        <w:t>may</w:t>
      </w:r>
      <w:r w:rsidRPr="00BB5C77">
        <w:rPr>
          <w:rFonts w:ascii="Arial" w:eastAsia="Arial" w:hAnsi="Arial" w:cs="Arial"/>
          <w:color w:val="0A0A0A"/>
          <w:spacing w:val="17"/>
          <w:sz w:val="21"/>
          <w:szCs w:val="21"/>
          <w:lang w:val="en-ZA" w:eastAsia="en-ZA"/>
        </w:rPr>
        <w:t xml:space="preserve"> </w:t>
      </w:r>
      <w:r w:rsidRPr="00BB5C77">
        <w:rPr>
          <w:rFonts w:ascii="Arial" w:eastAsia="Arial" w:hAnsi="Arial" w:cs="Arial"/>
          <w:color w:val="0A0A0A"/>
          <w:sz w:val="21"/>
          <w:szCs w:val="21"/>
          <w:lang w:val="en-ZA" w:eastAsia="en-ZA"/>
        </w:rPr>
        <w:t>be</w:t>
      </w:r>
      <w:r w:rsidRPr="00BB5C77">
        <w:rPr>
          <w:rFonts w:ascii="Arial" w:eastAsia="Arial" w:hAnsi="Arial" w:cs="Arial"/>
          <w:color w:val="0A0A0A"/>
          <w:spacing w:val="9"/>
          <w:sz w:val="21"/>
          <w:szCs w:val="21"/>
          <w:lang w:val="en-ZA" w:eastAsia="en-ZA"/>
        </w:rPr>
        <w:t xml:space="preserve"> </w:t>
      </w:r>
      <w:r w:rsidRPr="00BB5C77">
        <w:rPr>
          <w:rFonts w:ascii="Arial" w:eastAsia="Arial" w:hAnsi="Arial" w:cs="Arial"/>
          <w:color w:val="0A0A0A"/>
          <w:sz w:val="21"/>
          <w:szCs w:val="21"/>
          <w:lang w:val="en-ZA" w:eastAsia="en-ZA"/>
        </w:rPr>
        <w:t>included</w:t>
      </w:r>
      <w:r w:rsidRPr="00BB5C77">
        <w:rPr>
          <w:rFonts w:ascii="Arial" w:eastAsia="Arial" w:hAnsi="Arial" w:cs="Arial"/>
          <w:color w:val="0A0A0A"/>
          <w:spacing w:val="44"/>
          <w:sz w:val="21"/>
          <w:szCs w:val="21"/>
          <w:lang w:val="en-ZA" w:eastAsia="en-ZA"/>
        </w:rPr>
        <w:t xml:space="preserve"> </w:t>
      </w:r>
      <w:r w:rsidRPr="00BB5C77">
        <w:rPr>
          <w:rFonts w:ascii="Arial" w:eastAsia="Arial" w:hAnsi="Arial" w:cs="Arial"/>
          <w:color w:val="0A0A0A"/>
          <w:sz w:val="21"/>
          <w:szCs w:val="21"/>
          <w:lang w:val="en-ZA" w:eastAsia="en-ZA"/>
        </w:rPr>
        <w:t>as</w:t>
      </w:r>
      <w:r w:rsidRPr="00BB5C77">
        <w:rPr>
          <w:rFonts w:ascii="Arial" w:eastAsia="Arial" w:hAnsi="Arial" w:cs="Arial"/>
          <w:color w:val="0A0A0A"/>
          <w:spacing w:val="13"/>
          <w:sz w:val="21"/>
          <w:szCs w:val="21"/>
          <w:lang w:val="en-ZA" w:eastAsia="en-ZA"/>
        </w:rPr>
        <w:t xml:space="preserve"> </w:t>
      </w:r>
      <w:r w:rsidRPr="00BB5C77">
        <w:rPr>
          <w:rFonts w:ascii="Arial" w:eastAsia="Arial" w:hAnsi="Arial" w:cs="Arial"/>
          <w:color w:val="0A0A0A"/>
          <w:sz w:val="21"/>
          <w:szCs w:val="21"/>
          <w:lang w:val="en-ZA" w:eastAsia="en-ZA"/>
        </w:rPr>
        <w:t>part</w:t>
      </w:r>
      <w:r w:rsidRPr="00BB5C77">
        <w:rPr>
          <w:rFonts w:ascii="Arial" w:eastAsia="Arial" w:hAnsi="Arial" w:cs="Arial"/>
          <w:color w:val="0A0A0A"/>
          <w:spacing w:val="31"/>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17"/>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23"/>
          <w:sz w:val="21"/>
          <w:szCs w:val="21"/>
          <w:lang w:val="en-ZA" w:eastAsia="en-ZA"/>
        </w:rPr>
        <w:t xml:space="preserve"> </w:t>
      </w:r>
      <w:r w:rsidRPr="00BB5C77">
        <w:rPr>
          <w:rFonts w:ascii="Arial" w:eastAsia="Arial" w:hAnsi="Arial" w:cs="Arial"/>
          <w:color w:val="0A0A0A"/>
          <w:sz w:val="21"/>
          <w:szCs w:val="21"/>
          <w:lang w:val="en-ZA" w:eastAsia="en-ZA"/>
        </w:rPr>
        <w:t>reported</w:t>
      </w:r>
      <w:r w:rsidRPr="00BB5C77">
        <w:rPr>
          <w:rFonts w:ascii="Arial" w:eastAsia="Arial" w:hAnsi="Arial" w:cs="Arial"/>
          <w:color w:val="0A0A0A"/>
          <w:spacing w:val="29"/>
          <w:sz w:val="21"/>
          <w:szCs w:val="21"/>
          <w:lang w:val="en-ZA" w:eastAsia="en-ZA"/>
        </w:rPr>
        <w:t xml:space="preserve"> </w:t>
      </w:r>
      <w:r w:rsidRPr="00BB5C77">
        <w:rPr>
          <w:rFonts w:ascii="Arial" w:eastAsia="Arial" w:hAnsi="Arial" w:cs="Arial"/>
          <w:color w:val="0A0A0A"/>
          <w:w w:val="106"/>
          <w:sz w:val="21"/>
          <w:szCs w:val="21"/>
          <w:lang w:val="en-ZA" w:eastAsia="en-ZA"/>
        </w:rPr>
        <w:t>performance</w:t>
      </w:r>
      <w:r w:rsidRPr="00BB5C77">
        <w:rPr>
          <w:rFonts w:ascii="Arial" w:eastAsia="Arial" w:hAnsi="Arial" w:cs="Arial"/>
          <w:color w:val="0A0A0A"/>
          <w:spacing w:val="-13"/>
          <w:w w:val="106"/>
          <w:sz w:val="21"/>
          <w:szCs w:val="21"/>
          <w:lang w:val="en-ZA" w:eastAsia="en-ZA"/>
        </w:rPr>
        <w:t xml:space="preserve"> </w:t>
      </w:r>
      <w:r w:rsidRPr="00BB5C77">
        <w:rPr>
          <w:rFonts w:ascii="Arial" w:eastAsia="Arial" w:hAnsi="Arial" w:cs="Arial"/>
          <w:color w:val="0A0A0A"/>
          <w:w w:val="105"/>
          <w:sz w:val="21"/>
          <w:szCs w:val="21"/>
          <w:lang w:val="en-ZA" w:eastAsia="en-ZA"/>
        </w:rPr>
        <w:t>informa</w:t>
      </w:r>
      <w:r w:rsidRPr="00BB5C77">
        <w:rPr>
          <w:rFonts w:ascii="Arial" w:eastAsia="Arial" w:hAnsi="Arial" w:cs="Arial"/>
          <w:color w:val="0A0A0A"/>
          <w:spacing w:val="-43"/>
          <w:w w:val="105"/>
          <w:sz w:val="21"/>
          <w:szCs w:val="21"/>
          <w:lang w:val="en-ZA" w:eastAsia="en-ZA"/>
        </w:rPr>
        <w:t>t</w:t>
      </w:r>
      <w:r w:rsidRPr="00BB5C77">
        <w:rPr>
          <w:rFonts w:ascii="Arial" w:eastAsia="Arial" w:hAnsi="Arial" w:cs="Arial"/>
          <w:color w:val="232323"/>
          <w:spacing w:val="-9"/>
          <w:w w:val="233"/>
          <w:sz w:val="21"/>
          <w:szCs w:val="21"/>
          <w:lang w:val="en-ZA" w:eastAsia="en-ZA"/>
        </w:rPr>
        <w:t>i</w:t>
      </w:r>
      <w:r w:rsidRPr="00BB5C77">
        <w:rPr>
          <w:rFonts w:ascii="Arial" w:eastAsia="Arial" w:hAnsi="Arial" w:cs="Arial"/>
          <w:color w:val="0A0A0A"/>
          <w:w w:val="115"/>
          <w:sz w:val="21"/>
          <w:szCs w:val="21"/>
          <w:lang w:val="en-ZA" w:eastAsia="en-ZA"/>
        </w:rPr>
        <w:t>o</w:t>
      </w:r>
      <w:r w:rsidRPr="00BB5C77">
        <w:rPr>
          <w:rFonts w:ascii="Arial" w:eastAsia="Arial" w:hAnsi="Arial" w:cs="Arial"/>
          <w:color w:val="0A0A0A"/>
          <w:spacing w:val="-24"/>
          <w:w w:val="115"/>
          <w:sz w:val="21"/>
          <w:szCs w:val="21"/>
          <w:lang w:val="en-ZA" w:eastAsia="en-ZA"/>
        </w:rPr>
        <w:t>n</w:t>
      </w:r>
      <w:r w:rsidRPr="00BB5C77">
        <w:rPr>
          <w:rFonts w:ascii="Arial" w:eastAsia="Arial" w:hAnsi="Arial" w:cs="Arial"/>
          <w:color w:val="343434"/>
          <w:w w:val="136"/>
          <w:sz w:val="21"/>
          <w:szCs w:val="21"/>
          <w:lang w:val="en-ZA" w:eastAsia="en-ZA"/>
        </w:rPr>
        <w:t>.</w:t>
      </w:r>
      <w:r w:rsidRPr="00BB5C77">
        <w:rPr>
          <w:rFonts w:ascii="Arial" w:eastAsia="Arial" w:hAnsi="Arial" w:cs="Arial"/>
          <w:color w:val="343434"/>
          <w:spacing w:val="-18"/>
          <w:sz w:val="21"/>
          <w:szCs w:val="21"/>
          <w:lang w:val="en-ZA" w:eastAsia="en-ZA"/>
        </w:rPr>
        <w:t xml:space="preserve"> </w:t>
      </w:r>
      <w:r w:rsidRPr="00BB5C77">
        <w:rPr>
          <w:rFonts w:ascii="Arial" w:eastAsia="Arial" w:hAnsi="Arial" w:cs="Arial"/>
          <w:color w:val="0A0A0A"/>
          <w:w w:val="105"/>
          <w:sz w:val="21"/>
          <w:szCs w:val="21"/>
          <w:lang w:val="en-ZA" w:eastAsia="en-ZA"/>
        </w:rPr>
        <w:t>Accordingl</w:t>
      </w:r>
      <w:r w:rsidRPr="00BB5C77">
        <w:rPr>
          <w:rFonts w:ascii="Arial" w:eastAsia="Arial" w:hAnsi="Arial" w:cs="Arial"/>
          <w:color w:val="0A0A0A"/>
          <w:spacing w:val="-5"/>
          <w:w w:val="105"/>
          <w:sz w:val="21"/>
          <w:szCs w:val="21"/>
          <w:lang w:val="en-ZA" w:eastAsia="en-ZA"/>
        </w:rPr>
        <w:t>y</w:t>
      </w:r>
      <w:r w:rsidRPr="00BB5C77">
        <w:rPr>
          <w:rFonts w:ascii="Arial" w:eastAsia="Arial" w:hAnsi="Arial" w:cs="Arial"/>
          <w:color w:val="232323"/>
          <w:w w:val="105"/>
          <w:sz w:val="21"/>
          <w:szCs w:val="21"/>
          <w:lang w:val="en-ZA" w:eastAsia="en-ZA"/>
        </w:rPr>
        <w:t>,</w:t>
      </w:r>
      <w:r w:rsidRPr="00BB5C77">
        <w:rPr>
          <w:rFonts w:ascii="Arial" w:eastAsia="Arial" w:hAnsi="Arial" w:cs="Arial"/>
          <w:color w:val="232323"/>
          <w:spacing w:val="-14"/>
          <w:w w:val="105"/>
          <w:sz w:val="21"/>
          <w:szCs w:val="21"/>
          <w:lang w:val="en-ZA" w:eastAsia="en-ZA"/>
        </w:rPr>
        <w:t xml:space="preserve"> </w:t>
      </w:r>
      <w:r w:rsidRPr="00BB5C77">
        <w:rPr>
          <w:rFonts w:ascii="Arial" w:eastAsia="Arial" w:hAnsi="Arial" w:cs="Arial"/>
          <w:color w:val="0A0A0A"/>
          <w:w w:val="111"/>
          <w:sz w:val="21"/>
          <w:szCs w:val="21"/>
          <w:lang w:val="en-ZA" w:eastAsia="en-ZA"/>
        </w:rPr>
        <w:t xml:space="preserve">my </w:t>
      </w:r>
      <w:r w:rsidRPr="00BB5C77">
        <w:rPr>
          <w:rFonts w:ascii="Arial" w:eastAsia="Arial" w:hAnsi="Arial" w:cs="Arial"/>
          <w:color w:val="0A0A0A"/>
          <w:sz w:val="21"/>
          <w:szCs w:val="21"/>
          <w:lang w:val="en-ZA" w:eastAsia="en-ZA"/>
        </w:rPr>
        <w:t>findings</w:t>
      </w:r>
      <w:r w:rsidRPr="00BB5C77">
        <w:rPr>
          <w:rFonts w:ascii="Arial" w:eastAsia="Arial" w:hAnsi="Arial" w:cs="Arial"/>
          <w:color w:val="0A0A0A"/>
          <w:spacing w:val="41"/>
          <w:sz w:val="21"/>
          <w:szCs w:val="21"/>
          <w:lang w:val="en-ZA" w:eastAsia="en-ZA"/>
        </w:rPr>
        <w:t xml:space="preserve"> </w:t>
      </w:r>
      <w:r w:rsidRPr="00BB5C77">
        <w:rPr>
          <w:rFonts w:ascii="Arial" w:eastAsia="Arial" w:hAnsi="Arial" w:cs="Arial"/>
          <w:color w:val="0A0A0A"/>
          <w:sz w:val="21"/>
          <w:szCs w:val="21"/>
          <w:lang w:val="en-ZA" w:eastAsia="en-ZA"/>
        </w:rPr>
        <w:t>do</w:t>
      </w:r>
      <w:r w:rsidRPr="00BB5C77">
        <w:rPr>
          <w:rFonts w:ascii="Arial" w:eastAsia="Arial" w:hAnsi="Arial" w:cs="Arial"/>
          <w:color w:val="0A0A0A"/>
          <w:spacing w:val="1"/>
          <w:sz w:val="21"/>
          <w:szCs w:val="21"/>
          <w:lang w:val="en-ZA" w:eastAsia="en-ZA"/>
        </w:rPr>
        <w:t xml:space="preserve"> </w:t>
      </w:r>
      <w:r w:rsidRPr="00BB5C77">
        <w:rPr>
          <w:rFonts w:ascii="Arial" w:eastAsia="Arial" w:hAnsi="Arial" w:cs="Arial"/>
          <w:color w:val="0A0A0A"/>
          <w:sz w:val="21"/>
          <w:szCs w:val="21"/>
          <w:lang w:val="en-ZA" w:eastAsia="en-ZA"/>
        </w:rPr>
        <w:t>not</w:t>
      </w:r>
      <w:r w:rsidRPr="00BB5C77">
        <w:rPr>
          <w:rFonts w:ascii="Arial" w:eastAsia="Arial" w:hAnsi="Arial" w:cs="Arial"/>
          <w:color w:val="0A0A0A"/>
          <w:spacing w:val="30"/>
          <w:sz w:val="21"/>
          <w:szCs w:val="21"/>
          <w:lang w:val="en-ZA" w:eastAsia="en-ZA"/>
        </w:rPr>
        <w:t xml:space="preserve"> </w:t>
      </w:r>
      <w:r w:rsidRPr="00BB5C77">
        <w:rPr>
          <w:rFonts w:ascii="Arial" w:eastAsia="Arial" w:hAnsi="Arial" w:cs="Arial"/>
          <w:color w:val="0A0A0A"/>
          <w:sz w:val="21"/>
          <w:szCs w:val="21"/>
          <w:lang w:val="en-ZA" w:eastAsia="en-ZA"/>
        </w:rPr>
        <w:t>extend</w:t>
      </w:r>
      <w:r w:rsidRPr="00BB5C77">
        <w:rPr>
          <w:rFonts w:ascii="Arial" w:eastAsia="Arial" w:hAnsi="Arial" w:cs="Arial"/>
          <w:color w:val="0A0A0A"/>
          <w:spacing w:val="25"/>
          <w:sz w:val="21"/>
          <w:szCs w:val="21"/>
          <w:lang w:val="en-ZA" w:eastAsia="en-ZA"/>
        </w:rPr>
        <w:t xml:space="preserve"> </w:t>
      </w:r>
      <w:r w:rsidRPr="00BB5C77">
        <w:rPr>
          <w:rFonts w:ascii="Arial" w:eastAsia="Arial" w:hAnsi="Arial" w:cs="Arial"/>
          <w:color w:val="0A0A0A"/>
          <w:sz w:val="21"/>
          <w:szCs w:val="21"/>
          <w:lang w:val="en-ZA" w:eastAsia="en-ZA"/>
        </w:rPr>
        <w:t>to</w:t>
      </w:r>
      <w:r w:rsidRPr="00BB5C77">
        <w:rPr>
          <w:rFonts w:ascii="Arial" w:eastAsia="Arial" w:hAnsi="Arial" w:cs="Arial"/>
          <w:color w:val="0A0A0A"/>
          <w:spacing w:val="8"/>
          <w:sz w:val="21"/>
          <w:szCs w:val="21"/>
          <w:lang w:val="en-ZA" w:eastAsia="en-ZA"/>
        </w:rPr>
        <w:t xml:space="preserve"> </w:t>
      </w:r>
      <w:r w:rsidRPr="00BB5C77">
        <w:rPr>
          <w:rFonts w:ascii="Arial" w:eastAsia="Arial" w:hAnsi="Arial" w:cs="Arial"/>
          <w:color w:val="0A0A0A"/>
          <w:sz w:val="21"/>
          <w:szCs w:val="21"/>
          <w:lang w:val="en-ZA" w:eastAsia="en-ZA"/>
        </w:rPr>
        <w:t>these</w:t>
      </w:r>
      <w:r w:rsidRPr="00BB5C77">
        <w:rPr>
          <w:rFonts w:ascii="Arial" w:eastAsia="Arial" w:hAnsi="Arial" w:cs="Arial"/>
          <w:color w:val="0A0A0A"/>
          <w:spacing w:val="30"/>
          <w:sz w:val="21"/>
          <w:szCs w:val="21"/>
          <w:lang w:val="en-ZA" w:eastAsia="en-ZA"/>
        </w:rPr>
        <w:t xml:space="preserve"> </w:t>
      </w:r>
      <w:r w:rsidRPr="00BB5C77">
        <w:rPr>
          <w:rFonts w:ascii="Arial" w:eastAsia="Arial" w:hAnsi="Arial" w:cs="Arial"/>
          <w:color w:val="0A0A0A"/>
          <w:w w:val="105"/>
          <w:sz w:val="21"/>
          <w:szCs w:val="21"/>
          <w:lang w:val="en-ZA" w:eastAsia="en-ZA"/>
        </w:rPr>
        <w:t>matter</w:t>
      </w:r>
      <w:r w:rsidRPr="00BB5C77">
        <w:rPr>
          <w:rFonts w:ascii="Arial" w:eastAsia="Arial" w:hAnsi="Arial" w:cs="Arial"/>
          <w:color w:val="0A0A0A"/>
          <w:spacing w:val="-13"/>
          <w:w w:val="106"/>
          <w:sz w:val="21"/>
          <w:szCs w:val="21"/>
          <w:lang w:val="en-ZA" w:eastAsia="en-ZA"/>
        </w:rPr>
        <w:t>s</w:t>
      </w:r>
      <w:r w:rsidRPr="00BB5C77">
        <w:rPr>
          <w:rFonts w:ascii="Arial" w:eastAsia="Arial" w:hAnsi="Arial" w:cs="Arial"/>
          <w:color w:val="343434"/>
          <w:w w:val="204"/>
          <w:sz w:val="21"/>
          <w:szCs w:val="21"/>
          <w:lang w:val="en-ZA" w:eastAsia="en-ZA"/>
        </w:rPr>
        <w:t>.</w:t>
      </w:r>
    </w:p>
    <w:p w14:paraId="4AB33835" w14:textId="77777777" w:rsidR="00BB5C77" w:rsidRPr="00BB5C77" w:rsidRDefault="00BB5C77" w:rsidP="00BB5C77">
      <w:pPr>
        <w:spacing w:before="9" w:after="0" w:line="240" w:lineRule="exact"/>
        <w:jc w:val="both"/>
        <w:rPr>
          <w:rFonts w:eastAsia="Times New Roman" w:cs="Times New Roman"/>
          <w:sz w:val="24"/>
          <w:szCs w:val="24"/>
          <w:lang w:val="en-ZA" w:eastAsia="en-ZA"/>
        </w:rPr>
      </w:pPr>
    </w:p>
    <w:p w14:paraId="58802351" w14:textId="77777777" w:rsidR="00BB5C77" w:rsidRPr="00BB5C77" w:rsidRDefault="00BB5C77" w:rsidP="00BB5C77">
      <w:pPr>
        <w:spacing w:after="0" w:line="250" w:lineRule="auto"/>
        <w:ind w:left="589" w:right="54" w:hanging="345"/>
        <w:jc w:val="both"/>
        <w:rPr>
          <w:rFonts w:ascii="Arial" w:eastAsia="Arial" w:hAnsi="Arial" w:cs="Arial"/>
          <w:sz w:val="21"/>
          <w:szCs w:val="21"/>
          <w:lang w:val="en-ZA" w:eastAsia="en-ZA"/>
        </w:rPr>
      </w:pPr>
      <w:r w:rsidRPr="00BB5C77">
        <w:rPr>
          <w:rFonts w:ascii="Arial" w:eastAsia="Arial" w:hAnsi="Arial" w:cs="Arial"/>
          <w:color w:val="0A0A0A"/>
          <w:w w:val="116"/>
          <w:sz w:val="21"/>
          <w:szCs w:val="21"/>
          <w:lang w:val="en-ZA" w:eastAsia="en-ZA"/>
        </w:rPr>
        <w:t>1</w:t>
      </w:r>
      <w:r w:rsidRPr="00BB5C77">
        <w:rPr>
          <w:rFonts w:ascii="Arial" w:eastAsia="Arial" w:hAnsi="Arial" w:cs="Arial"/>
          <w:color w:val="0A0A0A"/>
          <w:spacing w:val="-12"/>
          <w:w w:val="116"/>
          <w:sz w:val="21"/>
          <w:szCs w:val="21"/>
          <w:lang w:val="en-ZA" w:eastAsia="en-ZA"/>
        </w:rPr>
        <w:t>7</w:t>
      </w:r>
      <w:r w:rsidRPr="00BB5C77">
        <w:rPr>
          <w:rFonts w:ascii="Arial" w:eastAsia="Arial" w:hAnsi="Arial" w:cs="Arial"/>
          <w:color w:val="858585"/>
          <w:w w:val="116"/>
          <w:sz w:val="21"/>
          <w:szCs w:val="21"/>
          <w:lang w:val="en-ZA" w:eastAsia="en-ZA"/>
        </w:rPr>
        <w:t>.</w:t>
      </w:r>
      <w:r w:rsidRPr="00BB5C77">
        <w:rPr>
          <w:rFonts w:ascii="Arial" w:eastAsia="Arial" w:hAnsi="Arial" w:cs="Arial"/>
          <w:color w:val="858585"/>
          <w:spacing w:val="-32"/>
          <w:w w:val="116"/>
          <w:sz w:val="21"/>
          <w:szCs w:val="21"/>
          <w:lang w:val="en-ZA" w:eastAsia="en-ZA"/>
        </w:rPr>
        <w:t xml:space="preserve"> </w:t>
      </w:r>
      <w:r w:rsidRPr="00BB5C77">
        <w:rPr>
          <w:rFonts w:ascii="Arial" w:eastAsia="Arial" w:hAnsi="Arial" w:cs="Arial"/>
          <w:color w:val="0A0A0A"/>
          <w:w w:val="179"/>
          <w:sz w:val="21"/>
          <w:szCs w:val="21"/>
          <w:lang w:val="en-ZA" w:eastAsia="en-ZA"/>
        </w:rPr>
        <w:t>I</w:t>
      </w:r>
      <w:r w:rsidRPr="00BB5C77">
        <w:rPr>
          <w:rFonts w:ascii="Arial" w:eastAsia="Arial" w:hAnsi="Arial" w:cs="Arial"/>
          <w:color w:val="0A0A0A"/>
          <w:spacing w:val="-36"/>
          <w:sz w:val="21"/>
          <w:szCs w:val="21"/>
          <w:lang w:val="en-ZA" w:eastAsia="en-ZA"/>
        </w:rPr>
        <w:t xml:space="preserve"> </w:t>
      </w:r>
      <w:r w:rsidRPr="00BB5C77">
        <w:rPr>
          <w:rFonts w:ascii="Arial" w:eastAsia="Arial" w:hAnsi="Arial" w:cs="Arial"/>
          <w:color w:val="0A0A0A"/>
          <w:sz w:val="21"/>
          <w:szCs w:val="21"/>
          <w:lang w:val="en-ZA" w:eastAsia="en-ZA"/>
        </w:rPr>
        <w:t>evaluated</w:t>
      </w:r>
      <w:r w:rsidRPr="00BB5C77">
        <w:rPr>
          <w:rFonts w:ascii="Arial" w:eastAsia="Arial" w:hAnsi="Arial" w:cs="Arial"/>
          <w:color w:val="0A0A0A"/>
          <w:spacing w:val="31"/>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25"/>
          <w:sz w:val="21"/>
          <w:szCs w:val="21"/>
          <w:lang w:val="en-ZA" w:eastAsia="en-ZA"/>
        </w:rPr>
        <w:t xml:space="preserve"> </w:t>
      </w:r>
      <w:r w:rsidRPr="00BB5C77">
        <w:rPr>
          <w:rFonts w:ascii="Arial" w:eastAsia="Arial" w:hAnsi="Arial" w:cs="Arial"/>
          <w:color w:val="0A0A0A"/>
          <w:sz w:val="21"/>
          <w:szCs w:val="21"/>
          <w:lang w:val="en-ZA" w:eastAsia="en-ZA"/>
        </w:rPr>
        <w:t>usefulness</w:t>
      </w:r>
      <w:r w:rsidRPr="00BB5C77">
        <w:rPr>
          <w:rFonts w:ascii="Arial" w:eastAsia="Arial" w:hAnsi="Arial" w:cs="Arial"/>
          <w:color w:val="0A0A0A"/>
          <w:spacing w:val="39"/>
          <w:sz w:val="21"/>
          <w:szCs w:val="21"/>
          <w:lang w:val="en-ZA" w:eastAsia="en-ZA"/>
        </w:rPr>
        <w:t xml:space="preserve"> </w:t>
      </w:r>
      <w:r w:rsidRPr="00BB5C77">
        <w:rPr>
          <w:rFonts w:ascii="Arial" w:eastAsia="Arial" w:hAnsi="Arial" w:cs="Arial"/>
          <w:color w:val="0A0A0A"/>
          <w:sz w:val="21"/>
          <w:szCs w:val="21"/>
          <w:lang w:val="en-ZA" w:eastAsia="en-ZA"/>
        </w:rPr>
        <w:t>and</w:t>
      </w:r>
      <w:r w:rsidRPr="00BB5C77">
        <w:rPr>
          <w:rFonts w:ascii="Arial" w:eastAsia="Arial" w:hAnsi="Arial" w:cs="Arial"/>
          <w:color w:val="0A0A0A"/>
          <w:spacing w:val="30"/>
          <w:sz w:val="21"/>
          <w:szCs w:val="21"/>
          <w:lang w:val="en-ZA" w:eastAsia="en-ZA"/>
        </w:rPr>
        <w:t xml:space="preserve"> </w:t>
      </w:r>
      <w:r w:rsidRPr="00BB5C77">
        <w:rPr>
          <w:rFonts w:ascii="Arial" w:eastAsia="Arial" w:hAnsi="Arial" w:cs="Arial"/>
          <w:color w:val="0A0A0A"/>
          <w:sz w:val="21"/>
          <w:szCs w:val="21"/>
          <w:lang w:val="en-ZA" w:eastAsia="en-ZA"/>
        </w:rPr>
        <w:t>reliability</w:t>
      </w:r>
      <w:r w:rsidRPr="00BB5C77">
        <w:rPr>
          <w:rFonts w:ascii="Arial" w:eastAsia="Arial" w:hAnsi="Arial" w:cs="Arial"/>
          <w:color w:val="0A0A0A"/>
          <w:spacing w:val="32"/>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16"/>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0"/>
          <w:sz w:val="21"/>
          <w:szCs w:val="21"/>
          <w:lang w:val="en-ZA" w:eastAsia="en-ZA"/>
        </w:rPr>
        <w:t xml:space="preserve"> </w:t>
      </w:r>
      <w:r w:rsidRPr="00BB5C77">
        <w:rPr>
          <w:rFonts w:ascii="Arial" w:eastAsia="Arial" w:hAnsi="Arial" w:cs="Arial"/>
          <w:color w:val="0A0A0A"/>
          <w:sz w:val="21"/>
          <w:szCs w:val="21"/>
          <w:lang w:val="en-ZA" w:eastAsia="en-ZA"/>
        </w:rPr>
        <w:t>reported</w:t>
      </w:r>
      <w:r w:rsidRPr="00BB5C77">
        <w:rPr>
          <w:rFonts w:ascii="Arial" w:eastAsia="Arial" w:hAnsi="Arial" w:cs="Arial"/>
          <w:color w:val="0A0A0A"/>
          <w:spacing w:val="57"/>
          <w:sz w:val="21"/>
          <w:szCs w:val="21"/>
          <w:lang w:val="en-ZA" w:eastAsia="en-ZA"/>
        </w:rPr>
        <w:t xml:space="preserve"> </w:t>
      </w:r>
      <w:r w:rsidRPr="00BB5C77">
        <w:rPr>
          <w:rFonts w:ascii="Arial" w:eastAsia="Arial" w:hAnsi="Arial" w:cs="Arial"/>
          <w:color w:val="0A0A0A"/>
          <w:sz w:val="21"/>
          <w:szCs w:val="21"/>
          <w:lang w:val="en-ZA" w:eastAsia="en-ZA"/>
        </w:rPr>
        <w:t>performance</w:t>
      </w:r>
      <w:r w:rsidRPr="00BB5C77">
        <w:rPr>
          <w:rFonts w:ascii="Arial" w:eastAsia="Arial" w:hAnsi="Arial" w:cs="Arial"/>
          <w:color w:val="0A0A0A"/>
          <w:spacing w:val="48"/>
          <w:sz w:val="21"/>
          <w:szCs w:val="21"/>
          <w:lang w:val="en-ZA" w:eastAsia="en-ZA"/>
        </w:rPr>
        <w:t xml:space="preserve"> </w:t>
      </w:r>
      <w:r w:rsidRPr="00BB5C77">
        <w:rPr>
          <w:rFonts w:ascii="Arial" w:eastAsia="Arial" w:hAnsi="Arial" w:cs="Arial"/>
          <w:color w:val="0A0A0A"/>
          <w:sz w:val="21"/>
          <w:szCs w:val="21"/>
          <w:lang w:val="en-ZA" w:eastAsia="en-ZA"/>
        </w:rPr>
        <w:t>information</w:t>
      </w:r>
      <w:r w:rsidRPr="00BB5C77">
        <w:rPr>
          <w:rFonts w:ascii="Arial" w:eastAsia="Arial" w:hAnsi="Arial" w:cs="Arial"/>
          <w:color w:val="0A0A0A"/>
          <w:spacing w:val="38"/>
          <w:sz w:val="21"/>
          <w:szCs w:val="21"/>
          <w:lang w:val="en-ZA" w:eastAsia="en-ZA"/>
        </w:rPr>
        <w:t xml:space="preserve"> </w:t>
      </w:r>
      <w:r w:rsidRPr="00BB5C77">
        <w:rPr>
          <w:rFonts w:ascii="Arial" w:eastAsia="Arial" w:hAnsi="Arial" w:cs="Arial"/>
          <w:color w:val="0A0A0A"/>
          <w:w w:val="106"/>
          <w:sz w:val="21"/>
          <w:szCs w:val="21"/>
          <w:lang w:val="en-ZA" w:eastAsia="en-ZA"/>
        </w:rPr>
        <w:t xml:space="preserve">in </w:t>
      </w:r>
      <w:r w:rsidRPr="00BB5C77">
        <w:rPr>
          <w:rFonts w:ascii="Arial" w:eastAsia="Arial" w:hAnsi="Arial" w:cs="Arial"/>
          <w:color w:val="0A0A0A"/>
          <w:sz w:val="21"/>
          <w:szCs w:val="21"/>
          <w:lang w:val="en-ZA" w:eastAsia="en-ZA"/>
        </w:rPr>
        <w:t>accordance</w:t>
      </w:r>
      <w:r w:rsidRPr="00BB5C77">
        <w:rPr>
          <w:rFonts w:ascii="Arial" w:eastAsia="Arial" w:hAnsi="Arial" w:cs="Arial"/>
          <w:color w:val="0A0A0A"/>
          <w:spacing w:val="52"/>
          <w:sz w:val="21"/>
          <w:szCs w:val="21"/>
          <w:lang w:val="en-ZA" w:eastAsia="en-ZA"/>
        </w:rPr>
        <w:t xml:space="preserve"> </w:t>
      </w:r>
      <w:r w:rsidRPr="00BB5C77">
        <w:rPr>
          <w:rFonts w:ascii="Arial" w:eastAsia="Arial" w:hAnsi="Arial" w:cs="Arial"/>
          <w:color w:val="0A0A0A"/>
          <w:sz w:val="21"/>
          <w:szCs w:val="21"/>
          <w:lang w:val="en-ZA" w:eastAsia="en-ZA"/>
        </w:rPr>
        <w:t>with</w:t>
      </w:r>
      <w:r w:rsidRPr="00BB5C77">
        <w:rPr>
          <w:rFonts w:ascii="Arial" w:eastAsia="Arial" w:hAnsi="Arial" w:cs="Arial"/>
          <w:color w:val="0A0A0A"/>
          <w:spacing w:val="17"/>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2"/>
          <w:sz w:val="21"/>
          <w:szCs w:val="21"/>
          <w:lang w:val="en-ZA" w:eastAsia="en-ZA"/>
        </w:rPr>
        <w:t xml:space="preserve"> </w:t>
      </w:r>
      <w:r w:rsidRPr="00BB5C77">
        <w:rPr>
          <w:rFonts w:ascii="Arial" w:eastAsia="Arial" w:hAnsi="Arial" w:cs="Arial"/>
          <w:color w:val="0A0A0A"/>
          <w:sz w:val="21"/>
          <w:szCs w:val="21"/>
          <w:lang w:val="en-ZA" w:eastAsia="en-ZA"/>
        </w:rPr>
        <w:t>criteria</w:t>
      </w:r>
      <w:r w:rsidRPr="00BB5C77">
        <w:rPr>
          <w:rFonts w:ascii="Arial" w:eastAsia="Arial" w:hAnsi="Arial" w:cs="Arial"/>
          <w:color w:val="0A0A0A"/>
          <w:spacing w:val="41"/>
          <w:sz w:val="21"/>
          <w:szCs w:val="21"/>
          <w:lang w:val="en-ZA" w:eastAsia="en-ZA"/>
        </w:rPr>
        <w:t xml:space="preserve"> </w:t>
      </w:r>
      <w:r w:rsidRPr="00BB5C77">
        <w:rPr>
          <w:rFonts w:ascii="Arial" w:eastAsia="Arial" w:hAnsi="Arial" w:cs="Arial"/>
          <w:color w:val="0A0A0A"/>
          <w:sz w:val="21"/>
          <w:szCs w:val="21"/>
          <w:lang w:val="en-ZA" w:eastAsia="en-ZA"/>
        </w:rPr>
        <w:t>developed</w:t>
      </w:r>
      <w:r w:rsidRPr="00BB5C77">
        <w:rPr>
          <w:rFonts w:ascii="Arial" w:eastAsia="Arial" w:hAnsi="Arial" w:cs="Arial"/>
          <w:color w:val="0A0A0A"/>
          <w:spacing w:val="53"/>
          <w:sz w:val="21"/>
          <w:szCs w:val="21"/>
          <w:lang w:val="en-ZA" w:eastAsia="en-ZA"/>
        </w:rPr>
        <w:t xml:space="preserve"> </w:t>
      </w:r>
      <w:r w:rsidRPr="00BB5C77">
        <w:rPr>
          <w:rFonts w:ascii="Arial" w:eastAsia="Arial" w:hAnsi="Arial" w:cs="Arial"/>
          <w:color w:val="0A0A0A"/>
          <w:sz w:val="21"/>
          <w:szCs w:val="21"/>
          <w:lang w:val="en-ZA" w:eastAsia="en-ZA"/>
        </w:rPr>
        <w:t>from</w:t>
      </w:r>
      <w:r w:rsidRPr="00BB5C77">
        <w:rPr>
          <w:rFonts w:ascii="Arial" w:eastAsia="Arial" w:hAnsi="Arial" w:cs="Arial"/>
          <w:color w:val="0A0A0A"/>
          <w:spacing w:val="21"/>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0"/>
          <w:sz w:val="21"/>
          <w:szCs w:val="21"/>
          <w:lang w:val="en-ZA" w:eastAsia="en-ZA"/>
        </w:rPr>
        <w:t xml:space="preserve"> </w:t>
      </w:r>
      <w:r w:rsidRPr="00BB5C77">
        <w:rPr>
          <w:rFonts w:ascii="Arial" w:eastAsia="Arial" w:hAnsi="Arial" w:cs="Arial"/>
          <w:color w:val="0A0A0A"/>
          <w:w w:val="106"/>
          <w:sz w:val="21"/>
          <w:szCs w:val="21"/>
          <w:lang w:val="en-ZA" w:eastAsia="en-ZA"/>
        </w:rPr>
        <w:t>performance</w:t>
      </w:r>
      <w:r w:rsidRPr="00BB5C77">
        <w:rPr>
          <w:rFonts w:ascii="Arial" w:eastAsia="Arial" w:hAnsi="Arial" w:cs="Arial"/>
          <w:color w:val="0A0A0A"/>
          <w:spacing w:val="-6"/>
          <w:w w:val="106"/>
          <w:sz w:val="21"/>
          <w:szCs w:val="21"/>
          <w:lang w:val="en-ZA" w:eastAsia="en-ZA"/>
        </w:rPr>
        <w:t xml:space="preserve"> </w:t>
      </w:r>
      <w:r w:rsidRPr="00BB5C77">
        <w:rPr>
          <w:rFonts w:ascii="Arial" w:eastAsia="Arial" w:hAnsi="Arial" w:cs="Arial"/>
          <w:color w:val="0A0A0A"/>
          <w:sz w:val="21"/>
          <w:szCs w:val="21"/>
          <w:lang w:val="en-ZA" w:eastAsia="en-ZA"/>
        </w:rPr>
        <w:t>management</w:t>
      </w:r>
      <w:r w:rsidRPr="00BB5C77">
        <w:rPr>
          <w:rFonts w:ascii="Arial" w:eastAsia="Arial" w:hAnsi="Arial" w:cs="Arial"/>
          <w:color w:val="0A0A0A"/>
          <w:spacing w:val="36"/>
          <w:sz w:val="21"/>
          <w:szCs w:val="21"/>
          <w:lang w:val="en-ZA" w:eastAsia="en-ZA"/>
        </w:rPr>
        <w:t xml:space="preserve"> </w:t>
      </w:r>
      <w:r w:rsidRPr="00BB5C77">
        <w:rPr>
          <w:rFonts w:ascii="Arial" w:eastAsia="Arial" w:hAnsi="Arial" w:cs="Arial"/>
          <w:color w:val="0A0A0A"/>
          <w:sz w:val="21"/>
          <w:szCs w:val="21"/>
          <w:lang w:val="en-ZA" w:eastAsia="en-ZA"/>
        </w:rPr>
        <w:t>and</w:t>
      </w:r>
      <w:r w:rsidRPr="00BB5C77">
        <w:rPr>
          <w:rFonts w:ascii="Arial" w:eastAsia="Arial" w:hAnsi="Arial" w:cs="Arial"/>
          <w:color w:val="0A0A0A"/>
          <w:spacing w:val="13"/>
          <w:sz w:val="21"/>
          <w:szCs w:val="21"/>
          <w:lang w:val="en-ZA" w:eastAsia="en-ZA"/>
        </w:rPr>
        <w:t xml:space="preserve"> </w:t>
      </w:r>
      <w:r w:rsidRPr="00BB5C77">
        <w:rPr>
          <w:rFonts w:ascii="Arial" w:eastAsia="Arial" w:hAnsi="Arial" w:cs="Arial"/>
          <w:color w:val="0A0A0A"/>
          <w:w w:val="107"/>
          <w:sz w:val="21"/>
          <w:szCs w:val="21"/>
          <w:lang w:val="en-ZA" w:eastAsia="en-ZA"/>
        </w:rPr>
        <w:t xml:space="preserve">reporting </w:t>
      </w:r>
      <w:r w:rsidRPr="00BB5C77">
        <w:rPr>
          <w:rFonts w:ascii="Arial" w:eastAsia="Arial" w:hAnsi="Arial" w:cs="Arial"/>
          <w:color w:val="0A0A0A"/>
          <w:w w:val="105"/>
          <w:sz w:val="21"/>
          <w:szCs w:val="21"/>
          <w:lang w:val="en-ZA" w:eastAsia="en-ZA"/>
        </w:rPr>
        <w:t>framewor</w:t>
      </w:r>
      <w:r w:rsidRPr="00BB5C77">
        <w:rPr>
          <w:rFonts w:ascii="Arial" w:eastAsia="Arial" w:hAnsi="Arial" w:cs="Arial"/>
          <w:color w:val="0A0A0A"/>
          <w:spacing w:val="3"/>
          <w:w w:val="105"/>
          <w:sz w:val="21"/>
          <w:szCs w:val="21"/>
          <w:lang w:val="en-ZA" w:eastAsia="en-ZA"/>
        </w:rPr>
        <w:t>k</w:t>
      </w:r>
      <w:r w:rsidRPr="00BB5C77">
        <w:rPr>
          <w:rFonts w:ascii="Arial" w:eastAsia="Arial" w:hAnsi="Arial" w:cs="Arial"/>
          <w:color w:val="232323"/>
          <w:w w:val="105"/>
          <w:sz w:val="21"/>
          <w:szCs w:val="21"/>
          <w:lang w:val="en-ZA" w:eastAsia="en-ZA"/>
        </w:rPr>
        <w:t>,</w:t>
      </w:r>
      <w:r w:rsidRPr="00BB5C77">
        <w:rPr>
          <w:rFonts w:ascii="Arial" w:eastAsia="Arial" w:hAnsi="Arial" w:cs="Arial"/>
          <w:color w:val="232323"/>
          <w:spacing w:val="-7"/>
          <w:w w:val="105"/>
          <w:sz w:val="21"/>
          <w:szCs w:val="21"/>
          <w:lang w:val="en-ZA" w:eastAsia="en-ZA"/>
        </w:rPr>
        <w:t xml:space="preserve"> </w:t>
      </w:r>
      <w:r w:rsidRPr="00BB5C77">
        <w:rPr>
          <w:rFonts w:ascii="Arial" w:eastAsia="Arial" w:hAnsi="Arial" w:cs="Arial"/>
          <w:color w:val="0A0A0A"/>
          <w:sz w:val="21"/>
          <w:szCs w:val="21"/>
          <w:lang w:val="en-ZA" w:eastAsia="en-ZA"/>
        </w:rPr>
        <w:t>as</w:t>
      </w:r>
      <w:r w:rsidRPr="00BB5C77">
        <w:rPr>
          <w:rFonts w:ascii="Arial" w:eastAsia="Arial" w:hAnsi="Arial" w:cs="Arial"/>
          <w:color w:val="0A0A0A"/>
          <w:spacing w:val="7"/>
          <w:sz w:val="21"/>
          <w:szCs w:val="21"/>
          <w:lang w:val="en-ZA" w:eastAsia="en-ZA"/>
        </w:rPr>
        <w:t xml:space="preserve"> </w:t>
      </w:r>
      <w:r w:rsidRPr="00BB5C77">
        <w:rPr>
          <w:rFonts w:ascii="Arial" w:eastAsia="Arial" w:hAnsi="Arial" w:cs="Arial"/>
          <w:color w:val="0A0A0A"/>
          <w:sz w:val="21"/>
          <w:szCs w:val="21"/>
          <w:lang w:val="en-ZA" w:eastAsia="en-ZA"/>
        </w:rPr>
        <w:t>defined</w:t>
      </w:r>
      <w:r w:rsidRPr="00BB5C77">
        <w:rPr>
          <w:rFonts w:ascii="Arial" w:eastAsia="Arial" w:hAnsi="Arial" w:cs="Arial"/>
          <w:color w:val="0A0A0A"/>
          <w:spacing w:val="28"/>
          <w:sz w:val="21"/>
          <w:szCs w:val="21"/>
          <w:lang w:val="en-ZA" w:eastAsia="en-ZA"/>
        </w:rPr>
        <w:t xml:space="preserve"> </w:t>
      </w:r>
      <w:r w:rsidRPr="00BB5C77">
        <w:rPr>
          <w:rFonts w:ascii="Arial" w:eastAsia="Arial" w:hAnsi="Arial" w:cs="Arial"/>
          <w:color w:val="0A0A0A"/>
          <w:sz w:val="21"/>
          <w:szCs w:val="21"/>
          <w:lang w:val="en-ZA" w:eastAsia="en-ZA"/>
        </w:rPr>
        <w:t>in</w:t>
      </w:r>
      <w:r w:rsidRPr="00BB5C77">
        <w:rPr>
          <w:rFonts w:ascii="Arial" w:eastAsia="Arial" w:hAnsi="Arial" w:cs="Arial"/>
          <w:color w:val="0A0A0A"/>
          <w:spacing w:val="19"/>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4"/>
          <w:sz w:val="21"/>
          <w:szCs w:val="21"/>
          <w:lang w:val="en-ZA" w:eastAsia="en-ZA"/>
        </w:rPr>
        <w:t xml:space="preserve"> </w:t>
      </w:r>
      <w:r w:rsidRPr="00BB5C77">
        <w:rPr>
          <w:rFonts w:ascii="Arial" w:eastAsia="Arial" w:hAnsi="Arial" w:cs="Arial"/>
          <w:color w:val="0A0A0A"/>
          <w:sz w:val="21"/>
          <w:szCs w:val="21"/>
          <w:lang w:val="en-ZA" w:eastAsia="en-ZA"/>
        </w:rPr>
        <w:t>general</w:t>
      </w:r>
      <w:r w:rsidRPr="00BB5C77">
        <w:rPr>
          <w:rFonts w:ascii="Arial" w:eastAsia="Arial" w:hAnsi="Arial" w:cs="Arial"/>
          <w:color w:val="0A0A0A"/>
          <w:spacing w:val="40"/>
          <w:sz w:val="21"/>
          <w:szCs w:val="21"/>
          <w:lang w:val="en-ZA" w:eastAsia="en-ZA"/>
        </w:rPr>
        <w:t xml:space="preserve"> </w:t>
      </w:r>
      <w:r w:rsidRPr="00BB5C77">
        <w:rPr>
          <w:rFonts w:ascii="Arial" w:eastAsia="Arial" w:hAnsi="Arial" w:cs="Arial"/>
          <w:color w:val="232323"/>
          <w:spacing w:val="-22"/>
          <w:sz w:val="21"/>
          <w:szCs w:val="21"/>
          <w:lang w:val="en-ZA" w:eastAsia="en-ZA"/>
        </w:rPr>
        <w:t>n</w:t>
      </w:r>
      <w:r w:rsidRPr="00BB5C77">
        <w:rPr>
          <w:rFonts w:ascii="Arial" w:eastAsia="Arial" w:hAnsi="Arial" w:cs="Arial"/>
          <w:color w:val="0A0A0A"/>
          <w:sz w:val="21"/>
          <w:szCs w:val="21"/>
          <w:lang w:val="en-ZA" w:eastAsia="en-ZA"/>
        </w:rPr>
        <w:t>otice</w:t>
      </w:r>
      <w:r w:rsidRPr="00BB5C77">
        <w:rPr>
          <w:rFonts w:ascii="Arial" w:eastAsia="Arial" w:hAnsi="Arial" w:cs="Arial"/>
          <w:color w:val="0A0A0A"/>
          <w:spacing w:val="29"/>
          <w:sz w:val="21"/>
          <w:szCs w:val="21"/>
          <w:lang w:val="en-ZA" w:eastAsia="en-ZA"/>
        </w:rPr>
        <w:t xml:space="preserve"> </w:t>
      </w:r>
      <w:r w:rsidRPr="00BB5C77">
        <w:rPr>
          <w:rFonts w:ascii="Arial" w:eastAsia="Arial" w:hAnsi="Arial" w:cs="Arial"/>
          <w:color w:val="0A0A0A"/>
          <w:sz w:val="21"/>
          <w:szCs w:val="21"/>
          <w:lang w:val="en-ZA" w:eastAsia="en-ZA"/>
        </w:rPr>
        <w:t>f</w:t>
      </w:r>
      <w:r w:rsidRPr="00BB5C77">
        <w:rPr>
          <w:rFonts w:ascii="Arial" w:eastAsia="Arial" w:hAnsi="Arial" w:cs="Arial"/>
          <w:color w:val="0A0A0A"/>
          <w:spacing w:val="-9"/>
          <w:sz w:val="21"/>
          <w:szCs w:val="21"/>
          <w:lang w:val="en-ZA" w:eastAsia="en-ZA"/>
        </w:rPr>
        <w:t>o</w:t>
      </w:r>
      <w:r w:rsidRPr="00BB5C77">
        <w:rPr>
          <w:rFonts w:ascii="Arial" w:eastAsia="Arial" w:hAnsi="Arial" w:cs="Arial"/>
          <w:color w:val="232323"/>
          <w:sz w:val="21"/>
          <w:szCs w:val="21"/>
          <w:lang w:val="en-ZA" w:eastAsia="en-ZA"/>
        </w:rPr>
        <w:t>r</w:t>
      </w:r>
      <w:r w:rsidRPr="00BB5C77">
        <w:rPr>
          <w:rFonts w:ascii="Arial" w:eastAsia="Arial" w:hAnsi="Arial" w:cs="Arial"/>
          <w:color w:val="232323"/>
          <w:spacing w:val="30"/>
          <w:sz w:val="21"/>
          <w:szCs w:val="21"/>
          <w:lang w:val="en-ZA" w:eastAsia="en-ZA"/>
        </w:rPr>
        <w:t xml:space="preserve"> </w:t>
      </w:r>
      <w:r w:rsidRPr="00BB5C77">
        <w:rPr>
          <w:rFonts w:ascii="Arial" w:eastAsia="Arial" w:hAnsi="Arial" w:cs="Arial"/>
          <w:color w:val="0A0A0A"/>
          <w:w w:val="105"/>
          <w:sz w:val="21"/>
          <w:szCs w:val="21"/>
          <w:lang w:val="en-ZA" w:eastAsia="en-ZA"/>
        </w:rPr>
        <w:t>development</w:t>
      </w:r>
      <w:r w:rsidRPr="00BB5C77">
        <w:rPr>
          <w:rFonts w:ascii="Arial" w:eastAsia="Arial" w:hAnsi="Arial" w:cs="Arial"/>
          <w:color w:val="0A0A0A"/>
          <w:spacing w:val="-2"/>
          <w:w w:val="105"/>
          <w:sz w:val="21"/>
          <w:szCs w:val="21"/>
          <w:lang w:val="en-ZA" w:eastAsia="en-ZA"/>
        </w:rPr>
        <w:t xml:space="preserve"> </w:t>
      </w:r>
      <w:r w:rsidRPr="00BB5C77">
        <w:rPr>
          <w:rFonts w:ascii="Arial" w:eastAsia="Arial" w:hAnsi="Arial" w:cs="Arial"/>
          <w:color w:val="0A0A0A"/>
          <w:w w:val="109"/>
          <w:sz w:val="21"/>
          <w:szCs w:val="21"/>
          <w:lang w:val="en-ZA" w:eastAsia="en-ZA"/>
        </w:rPr>
        <w:t>prio</w:t>
      </w:r>
      <w:r w:rsidRPr="00BB5C77">
        <w:rPr>
          <w:rFonts w:ascii="Arial" w:eastAsia="Arial" w:hAnsi="Arial" w:cs="Arial"/>
          <w:color w:val="0A0A0A"/>
          <w:spacing w:val="-13"/>
          <w:w w:val="109"/>
          <w:sz w:val="21"/>
          <w:szCs w:val="21"/>
          <w:lang w:val="en-ZA" w:eastAsia="en-ZA"/>
        </w:rPr>
        <w:t>r</w:t>
      </w:r>
      <w:r w:rsidRPr="00BB5C77">
        <w:rPr>
          <w:rFonts w:ascii="Arial" w:eastAsia="Arial" w:hAnsi="Arial" w:cs="Arial"/>
          <w:color w:val="232323"/>
          <w:spacing w:val="-2"/>
          <w:w w:val="194"/>
          <w:sz w:val="21"/>
          <w:szCs w:val="21"/>
          <w:lang w:val="en-ZA" w:eastAsia="en-ZA"/>
        </w:rPr>
        <w:t>i</w:t>
      </w:r>
      <w:r w:rsidRPr="00BB5C77">
        <w:rPr>
          <w:rFonts w:ascii="Arial" w:eastAsia="Arial" w:hAnsi="Arial" w:cs="Arial"/>
          <w:color w:val="0A0A0A"/>
          <w:w w:val="108"/>
          <w:sz w:val="21"/>
          <w:szCs w:val="21"/>
          <w:lang w:val="en-ZA" w:eastAsia="en-ZA"/>
        </w:rPr>
        <w:t>t</w:t>
      </w:r>
      <w:r w:rsidRPr="00BB5C77">
        <w:rPr>
          <w:rFonts w:ascii="Arial" w:eastAsia="Arial" w:hAnsi="Arial" w:cs="Arial"/>
          <w:color w:val="0A0A0A"/>
          <w:w w:val="109"/>
          <w:sz w:val="21"/>
          <w:szCs w:val="21"/>
          <w:lang w:val="en-ZA" w:eastAsia="en-ZA"/>
        </w:rPr>
        <w:t>y</w:t>
      </w:r>
      <w:r w:rsidRPr="00BB5C77">
        <w:rPr>
          <w:rFonts w:ascii="Arial" w:eastAsia="Arial" w:hAnsi="Arial" w:cs="Arial"/>
          <w:color w:val="0A0A0A"/>
          <w:spacing w:val="-9"/>
          <w:sz w:val="21"/>
          <w:szCs w:val="21"/>
          <w:lang w:val="en-ZA" w:eastAsia="en-ZA"/>
        </w:rPr>
        <w:t xml:space="preserve"> </w:t>
      </w:r>
      <w:r w:rsidRPr="00BB5C77">
        <w:rPr>
          <w:rFonts w:ascii="Arial" w:eastAsia="Arial" w:hAnsi="Arial" w:cs="Arial"/>
          <w:color w:val="0A0A0A"/>
          <w:sz w:val="21"/>
          <w:szCs w:val="21"/>
          <w:lang w:val="en-ZA" w:eastAsia="en-ZA"/>
        </w:rPr>
        <w:t>2</w:t>
      </w:r>
      <w:r w:rsidRPr="00BB5C77">
        <w:rPr>
          <w:rFonts w:ascii="Arial" w:eastAsia="Arial" w:hAnsi="Arial" w:cs="Arial"/>
          <w:color w:val="0A0A0A"/>
          <w:spacing w:val="-3"/>
          <w:sz w:val="21"/>
          <w:szCs w:val="21"/>
          <w:lang w:val="en-ZA" w:eastAsia="en-ZA"/>
        </w:rPr>
        <w:t xml:space="preserve"> </w:t>
      </w:r>
      <w:r w:rsidRPr="00BB5C77">
        <w:rPr>
          <w:rFonts w:ascii="Arial" w:eastAsia="Arial" w:hAnsi="Arial" w:cs="Arial"/>
          <w:color w:val="0A0A0A"/>
          <w:w w:val="239"/>
          <w:sz w:val="21"/>
          <w:szCs w:val="21"/>
          <w:lang w:val="en-ZA" w:eastAsia="en-ZA"/>
        </w:rPr>
        <w:t>-</w:t>
      </w:r>
      <w:r w:rsidRPr="00BB5C77">
        <w:rPr>
          <w:rFonts w:ascii="Arial" w:eastAsia="Arial" w:hAnsi="Arial" w:cs="Arial"/>
          <w:color w:val="0A0A0A"/>
          <w:spacing w:val="-32"/>
          <w:sz w:val="21"/>
          <w:szCs w:val="21"/>
          <w:lang w:val="en-ZA" w:eastAsia="en-ZA"/>
        </w:rPr>
        <w:t xml:space="preserve"> </w:t>
      </w:r>
      <w:r w:rsidRPr="00BB5C77">
        <w:rPr>
          <w:rFonts w:ascii="Arial" w:eastAsia="Arial" w:hAnsi="Arial" w:cs="Arial"/>
          <w:color w:val="0A0A0A"/>
          <w:sz w:val="21"/>
          <w:szCs w:val="21"/>
          <w:lang w:val="en-ZA" w:eastAsia="en-ZA"/>
        </w:rPr>
        <w:t>basic</w:t>
      </w:r>
      <w:r w:rsidRPr="00BB5C77">
        <w:rPr>
          <w:rFonts w:ascii="Arial" w:eastAsia="Arial" w:hAnsi="Arial" w:cs="Arial"/>
          <w:color w:val="0A0A0A"/>
          <w:spacing w:val="16"/>
          <w:sz w:val="21"/>
          <w:szCs w:val="21"/>
          <w:lang w:val="en-ZA" w:eastAsia="en-ZA"/>
        </w:rPr>
        <w:t xml:space="preserve"> </w:t>
      </w:r>
      <w:r w:rsidRPr="00BB5C77">
        <w:rPr>
          <w:rFonts w:ascii="Arial" w:eastAsia="Arial" w:hAnsi="Arial" w:cs="Arial"/>
          <w:color w:val="0A0A0A"/>
          <w:w w:val="106"/>
          <w:sz w:val="21"/>
          <w:szCs w:val="21"/>
          <w:lang w:val="en-ZA" w:eastAsia="en-ZA"/>
        </w:rPr>
        <w:t xml:space="preserve">service </w:t>
      </w:r>
      <w:r w:rsidRPr="00BB5C77">
        <w:rPr>
          <w:rFonts w:ascii="Arial" w:eastAsia="Arial" w:hAnsi="Arial" w:cs="Arial"/>
          <w:color w:val="0A0A0A"/>
          <w:sz w:val="21"/>
          <w:szCs w:val="21"/>
          <w:lang w:val="en-ZA" w:eastAsia="en-ZA"/>
        </w:rPr>
        <w:t>delivery</w:t>
      </w:r>
      <w:r w:rsidRPr="00BB5C77">
        <w:rPr>
          <w:rFonts w:ascii="Arial" w:eastAsia="Arial" w:hAnsi="Arial" w:cs="Arial"/>
          <w:color w:val="0A0A0A"/>
          <w:spacing w:val="46"/>
          <w:sz w:val="21"/>
          <w:szCs w:val="21"/>
          <w:lang w:val="en-ZA" w:eastAsia="en-ZA"/>
        </w:rPr>
        <w:t xml:space="preserve"> </w:t>
      </w:r>
      <w:r w:rsidRPr="00BB5C77">
        <w:rPr>
          <w:rFonts w:ascii="Arial" w:eastAsia="Arial" w:hAnsi="Arial" w:cs="Arial"/>
          <w:color w:val="0A0A0A"/>
          <w:sz w:val="21"/>
          <w:szCs w:val="21"/>
          <w:lang w:val="en-ZA" w:eastAsia="en-ZA"/>
        </w:rPr>
        <w:t>and</w:t>
      </w:r>
      <w:r w:rsidRPr="00BB5C77">
        <w:rPr>
          <w:rFonts w:ascii="Arial" w:eastAsia="Arial" w:hAnsi="Arial" w:cs="Arial"/>
          <w:color w:val="0A0A0A"/>
          <w:spacing w:val="16"/>
          <w:sz w:val="21"/>
          <w:szCs w:val="21"/>
          <w:lang w:val="en-ZA" w:eastAsia="en-ZA"/>
        </w:rPr>
        <w:t xml:space="preserve"> </w:t>
      </w:r>
      <w:r w:rsidRPr="00BB5C77">
        <w:rPr>
          <w:rFonts w:ascii="Arial" w:eastAsia="Arial" w:hAnsi="Arial" w:cs="Arial"/>
          <w:color w:val="0A0A0A"/>
          <w:sz w:val="21"/>
          <w:szCs w:val="21"/>
          <w:lang w:val="en-ZA" w:eastAsia="en-ZA"/>
        </w:rPr>
        <w:t>infrastructure</w:t>
      </w:r>
      <w:r w:rsidRPr="00BB5C77">
        <w:rPr>
          <w:rFonts w:ascii="Arial" w:eastAsia="Arial" w:hAnsi="Arial" w:cs="Arial"/>
          <w:color w:val="0A0A0A"/>
          <w:spacing w:val="57"/>
          <w:sz w:val="21"/>
          <w:szCs w:val="21"/>
          <w:lang w:val="en-ZA" w:eastAsia="en-ZA"/>
        </w:rPr>
        <w:t xml:space="preserve"> </w:t>
      </w:r>
      <w:r w:rsidRPr="00BB5C77">
        <w:rPr>
          <w:rFonts w:ascii="Arial" w:eastAsia="Arial" w:hAnsi="Arial" w:cs="Arial"/>
          <w:color w:val="0A0A0A"/>
          <w:w w:val="105"/>
          <w:sz w:val="21"/>
          <w:szCs w:val="21"/>
          <w:lang w:val="en-ZA" w:eastAsia="en-ZA"/>
        </w:rPr>
        <w:t>development,</w:t>
      </w:r>
      <w:r w:rsidRPr="00BB5C77">
        <w:rPr>
          <w:rFonts w:ascii="Arial" w:eastAsia="Arial" w:hAnsi="Arial" w:cs="Arial"/>
          <w:color w:val="0A0A0A"/>
          <w:spacing w:val="-2"/>
          <w:w w:val="105"/>
          <w:sz w:val="21"/>
          <w:szCs w:val="21"/>
          <w:lang w:val="en-ZA" w:eastAsia="en-ZA"/>
        </w:rPr>
        <w:t xml:space="preserve"> </w:t>
      </w:r>
      <w:r w:rsidRPr="00BB5C77">
        <w:rPr>
          <w:rFonts w:ascii="Arial" w:eastAsia="Arial" w:hAnsi="Arial" w:cs="Arial"/>
          <w:color w:val="0A0A0A"/>
          <w:sz w:val="21"/>
          <w:szCs w:val="21"/>
          <w:lang w:val="en-ZA" w:eastAsia="en-ZA"/>
        </w:rPr>
        <w:t>presented</w:t>
      </w:r>
      <w:r w:rsidRPr="00BB5C77">
        <w:rPr>
          <w:rFonts w:ascii="Arial" w:eastAsia="Arial" w:hAnsi="Arial" w:cs="Arial"/>
          <w:color w:val="0A0A0A"/>
          <w:spacing w:val="46"/>
          <w:sz w:val="21"/>
          <w:szCs w:val="21"/>
          <w:lang w:val="en-ZA" w:eastAsia="en-ZA"/>
        </w:rPr>
        <w:t xml:space="preserve"> </w:t>
      </w:r>
      <w:r w:rsidRPr="00BB5C77">
        <w:rPr>
          <w:rFonts w:ascii="Arial" w:eastAsia="Arial" w:hAnsi="Arial" w:cs="Arial"/>
          <w:color w:val="0A0A0A"/>
          <w:sz w:val="21"/>
          <w:szCs w:val="21"/>
          <w:lang w:val="en-ZA" w:eastAsia="en-ZA"/>
        </w:rPr>
        <w:t>in</w:t>
      </w:r>
      <w:r w:rsidRPr="00BB5C77">
        <w:rPr>
          <w:rFonts w:ascii="Arial" w:eastAsia="Arial" w:hAnsi="Arial" w:cs="Arial"/>
          <w:color w:val="0A0A0A"/>
          <w:spacing w:val="1"/>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2"/>
          <w:sz w:val="21"/>
          <w:szCs w:val="21"/>
          <w:lang w:val="en-ZA" w:eastAsia="en-ZA"/>
        </w:rPr>
        <w:t xml:space="preserve"> </w:t>
      </w:r>
      <w:r w:rsidRPr="00BB5C77">
        <w:rPr>
          <w:rFonts w:ascii="Arial" w:eastAsia="Arial" w:hAnsi="Arial" w:cs="Arial"/>
          <w:color w:val="0A0A0A"/>
          <w:w w:val="107"/>
          <w:sz w:val="21"/>
          <w:szCs w:val="21"/>
          <w:lang w:val="en-ZA" w:eastAsia="en-ZA"/>
        </w:rPr>
        <w:t xml:space="preserve">annual </w:t>
      </w:r>
      <w:r w:rsidRPr="00BB5C77">
        <w:rPr>
          <w:rFonts w:ascii="Arial" w:eastAsia="Arial" w:hAnsi="Arial" w:cs="Arial"/>
          <w:color w:val="0A0A0A"/>
          <w:sz w:val="21"/>
          <w:szCs w:val="21"/>
          <w:lang w:val="en-ZA" w:eastAsia="en-ZA"/>
        </w:rPr>
        <w:t>performance</w:t>
      </w:r>
      <w:r w:rsidRPr="00BB5C77">
        <w:rPr>
          <w:rFonts w:ascii="Arial" w:eastAsia="Arial" w:hAnsi="Arial" w:cs="Arial"/>
          <w:color w:val="0A0A0A"/>
          <w:spacing w:val="48"/>
          <w:sz w:val="21"/>
          <w:szCs w:val="21"/>
          <w:lang w:val="en-ZA" w:eastAsia="en-ZA"/>
        </w:rPr>
        <w:t xml:space="preserve"> </w:t>
      </w:r>
      <w:r w:rsidRPr="00BB5C77">
        <w:rPr>
          <w:rFonts w:ascii="Arial" w:eastAsia="Arial" w:hAnsi="Arial" w:cs="Arial"/>
          <w:color w:val="0A0A0A"/>
          <w:sz w:val="21"/>
          <w:szCs w:val="21"/>
          <w:lang w:val="en-ZA" w:eastAsia="en-ZA"/>
        </w:rPr>
        <w:t>report</w:t>
      </w:r>
      <w:r w:rsidRPr="00BB5C77">
        <w:rPr>
          <w:rFonts w:ascii="Arial" w:eastAsia="Arial" w:hAnsi="Arial" w:cs="Arial"/>
          <w:color w:val="0A0A0A"/>
          <w:spacing w:val="45"/>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1"/>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21"/>
          <w:sz w:val="21"/>
          <w:szCs w:val="21"/>
          <w:lang w:val="en-ZA" w:eastAsia="en-ZA"/>
        </w:rPr>
        <w:t xml:space="preserve"> </w:t>
      </w:r>
      <w:r w:rsidRPr="00BB5C77">
        <w:rPr>
          <w:rFonts w:ascii="Arial" w:eastAsia="Arial" w:hAnsi="Arial" w:cs="Arial"/>
          <w:color w:val="0A0A0A"/>
          <w:sz w:val="21"/>
          <w:szCs w:val="21"/>
          <w:lang w:val="en-ZA" w:eastAsia="en-ZA"/>
        </w:rPr>
        <w:t>municipality</w:t>
      </w:r>
      <w:r w:rsidRPr="00BB5C77">
        <w:rPr>
          <w:rFonts w:ascii="Arial" w:eastAsia="Arial" w:hAnsi="Arial" w:cs="Arial"/>
          <w:color w:val="0A0A0A"/>
          <w:spacing w:val="37"/>
          <w:sz w:val="21"/>
          <w:szCs w:val="21"/>
          <w:lang w:val="en-ZA" w:eastAsia="en-ZA"/>
        </w:rPr>
        <w:t xml:space="preserve"> </w:t>
      </w:r>
      <w:r w:rsidRPr="00BB5C77">
        <w:rPr>
          <w:rFonts w:ascii="Arial" w:eastAsia="Arial" w:hAnsi="Arial" w:cs="Arial"/>
          <w:color w:val="0A0A0A"/>
          <w:sz w:val="21"/>
          <w:szCs w:val="21"/>
          <w:lang w:val="en-ZA" w:eastAsia="en-ZA"/>
        </w:rPr>
        <w:t>for</w:t>
      </w:r>
      <w:r w:rsidRPr="00BB5C77">
        <w:rPr>
          <w:rFonts w:ascii="Arial" w:eastAsia="Arial" w:hAnsi="Arial" w:cs="Arial"/>
          <w:color w:val="0A0A0A"/>
          <w:spacing w:val="21"/>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6"/>
          <w:sz w:val="21"/>
          <w:szCs w:val="21"/>
          <w:lang w:val="en-ZA" w:eastAsia="en-ZA"/>
        </w:rPr>
        <w:t xml:space="preserve"> </w:t>
      </w:r>
      <w:r w:rsidRPr="00BB5C77">
        <w:rPr>
          <w:rFonts w:ascii="Arial" w:eastAsia="Arial" w:hAnsi="Arial" w:cs="Arial"/>
          <w:color w:val="0A0A0A"/>
          <w:sz w:val="21"/>
          <w:szCs w:val="21"/>
          <w:lang w:val="en-ZA" w:eastAsia="en-ZA"/>
        </w:rPr>
        <w:t>year</w:t>
      </w:r>
      <w:r w:rsidRPr="00BB5C77">
        <w:rPr>
          <w:rFonts w:ascii="Arial" w:eastAsia="Arial" w:hAnsi="Arial" w:cs="Arial"/>
          <w:color w:val="0A0A0A"/>
          <w:spacing w:val="28"/>
          <w:sz w:val="21"/>
          <w:szCs w:val="21"/>
          <w:lang w:val="en-ZA" w:eastAsia="en-ZA"/>
        </w:rPr>
        <w:t xml:space="preserve"> </w:t>
      </w:r>
      <w:r w:rsidRPr="00BB5C77">
        <w:rPr>
          <w:rFonts w:ascii="Arial" w:eastAsia="Arial" w:hAnsi="Arial" w:cs="Arial"/>
          <w:color w:val="0A0A0A"/>
          <w:sz w:val="21"/>
          <w:szCs w:val="21"/>
          <w:lang w:val="en-ZA" w:eastAsia="en-ZA"/>
        </w:rPr>
        <w:t>ended</w:t>
      </w:r>
      <w:r w:rsidRPr="00BB5C77">
        <w:rPr>
          <w:rFonts w:ascii="Arial" w:eastAsia="Arial" w:hAnsi="Arial" w:cs="Arial"/>
          <w:color w:val="0A0A0A"/>
          <w:spacing w:val="46"/>
          <w:sz w:val="21"/>
          <w:szCs w:val="21"/>
          <w:lang w:val="en-ZA" w:eastAsia="en-ZA"/>
        </w:rPr>
        <w:t xml:space="preserve"> </w:t>
      </w:r>
      <w:r w:rsidRPr="00BB5C77">
        <w:rPr>
          <w:rFonts w:ascii="Arial" w:eastAsia="Arial" w:hAnsi="Arial" w:cs="Arial"/>
          <w:color w:val="0A0A0A"/>
          <w:sz w:val="21"/>
          <w:szCs w:val="21"/>
          <w:lang w:val="en-ZA" w:eastAsia="en-ZA"/>
        </w:rPr>
        <w:t>30</w:t>
      </w:r>
      <w:r w:rsidRPr="00BB5C77">
        <w:rPr>
          <w:rFonts w:ascii="Arial" w:eastAsia="Arial" w:hAnsi="Arial" w:cs="Arial"/>
          <w:color w:val="0A0A0A"/>
          <w:spacing w:val="11"/>
          <w:sz w:val="21"/>
          <w:szCs w:val="21"/>
          <w:lang w:val="en-ZA" w:eastAsia="en-ZA"/>
        </w:rPr>
        <w:t xml:space="preserve"> </w:t>
      </w:r>
      <w:r w:rsidRPr="00BB5C77">
        <w:rPr>
          <w:rFonts w:ascii="Arial" w:eastAsia="Arial" w:hAnsi="Arial" w:cs="Arial"/>
          <w:color w:val="0A0A0A"/>
          <w:sz w:val="21"/>
          <w:szCs w:val="21"/>
          <w:lang w:val="en-ZA" w:eastAsia="en-ZA"/>
        </w:rPr>
        <w:t>June</w:t>
      </w:r>
      <w:r w:rsidRPr="00BB5C77">
        <w:rPr>
          <w:rFonts w:ascii="Arial" w:eastAsia="Arial" w:hAnsi="Arial" w:cs="Arial"/>
          <w:color w:val="0A0A0A"/>
          <w:spacing w:val="32"/>
          <w:sz w:val="21"/>
          <w:szCs w:val="21"/>
          <w:lang w:val="en-ZA" w:eastAsia="en-ZA"/>
        </w:rPr>
        <w:t xml:space="preserve"> </w:t>
      </w:r>
      <w:r w:rsidRPr="00BB5C77">
        <w:rPr>
          <w:rFonts w:ascii="Arial" w:eastAsia="Arial" w:hAnsi="Arial" w:cs="Arial"/>
          <w:color w:val="0A0A0A"/>
          <w:w w:val="102"/>
          <w:sz w:val="21"/>
          <w:szCs w:val="21"/>
          <w:lang w:val="en-ZA" w:eastAsia="en-ZA"/>
        </w:rPr>
        <w:t>2017.</w:t>
      </w:r>
    </w:p>
    <w:p w14:paraId="46D7C101" w14:textId="77777777" w:rsidR="00BB5C77" w:rsidRPr="00BB5C77" w:rsidRDefault="00BB5C77" w:rsidP="00BB5C77">
      <w:pPr>
        <w:spacing w:before="18" w:after="0" w:line="200" w:lineRule="exact"/>
        <w:jc w:val="both"/>
        <w:rPr>
          <w:rFonts w:eastAsia="Times New Roman" w:cs="Times New Roman"/>
          <w:szCs w:val="20"/>
          <w:lang w:val="en-ZA" w:eastAsia="en-ZA"/>
        </w:rPr>
      </w:pPr>
    </w:p>
    <w:p w14:paraId="5E141063" w14:textId="77777777" w:rsidR="00BB5C77" w:rsidRPr="00BB5C77" w:rsidRDefault="00BB5C77" w:rsidP="00BB5C77">
      <w:pPr>
        <w:spacing w:after="0" w:line="248" w:lineRule="auto"/>
        <w:ind w:left="589" w:right="100" w:hanging="345"/>
        <w:jc w:val="both"/>
        <w:rPr>
          <w:rFonts w:ascii="Arial" w:eastAsia="Arial" w:hAnsi="Arial" w:cs="Arial"/>
          <w:sz w:val="21"/>
          <w:szCs w:val="21"/>
          <w:lang w:val="en-ZA" w:eastAsia="en-ZA"/>
        </w:rPr>
      </w:pPr>
      <w:r w:rsidRPr="00BB5C77">
        <w:rPr>
          <w:rFonts w:ascii="Times New Roman" w:eastAsia="Times New Roman" w:hAnsi="Times New Roman" w:cs="Times New Roman"/>
          <w:color w:val="0A0A0A"/>
          <w:sz w:val="24"/>
          <w:szCs w:val="24"/>
          <w:lang w:val="en-ZA" w:eastAsia="en-ZA"/>
        </w:rPr>
        <w:t>1</w:t>
      </w:r>
      <w:r w:rsidRPr="00BB5C77">
        <w:rPr>
          <w:rFonts w:ascii="Times New Roman" w:eastAsia="Times New Roman" w:hAnsi="Times New Roman" w:cs="Times New Roman"/>
          <w:color w:val="0A0A0A"/>
          <w:spacing w:val="-16"/>
          <w:sz w:val="24"/>
          <w:szCs w:val="24"/>
          <w:lang w:val="en-ZA" w:eastAsia="en-ZA"/>
        </w:rPr>
        <w:t>8</w:t>
      </w:r>
      <w:r w:rsidRPr="00BB5C77">
        <w:rPr>
          <w:rFonts w:ascii="Times New Roman" w:eastAsia="Times New Roman" w:hAnsi="Times New Roman" w:cs="Times New Roman"/>
          <w:color w:val="343434"/>
          <w:sz w:val="24"/>
          <w:szCs w:val="24"/>
          <w:lang w:val="en-ZA" w:eastAsia="en-ZA"/>
        </w:rPr>
        <w:t>.</w:t>
      </w:r>
      <w:r w:rsidRPr="00BB5C77">
        <w:rPr>
          <w:rFonts w:ascii="Times New Roman" w:eastAsia="Times New Roman" w:hAnsi="Times New Roman" w:cs="Times New Roman"/>
          <w:color w:val="343434"/>
          <w:spacing w:val="21"/>
          <w:sz w:val="24"/>
          <w:szCs w:val="24"/>
          <w:lang w:val="en-ZA" w:eastAsia="en-ZA"/>
        </w:rPr>
        <w:t xml:space="preserve"> </w:t>
      </w:r>
      <w:r w:rsidRPr="00BB5C77">
        <w:rPr>
          <w:rFonts w:ascii="Arial" w:eastAsia="Arial" w:hAnsi="Arial" w:cs="Arial"/>
          <w:color w:val="0A0A0A"/>
          <w:w w:val="179"/>
          <w:sz w:val="21"/>
          <w:szCs w:val="21"/>
          <w:lang w:val="en-ZA" w:eastAsia="en-ZA"/>
        </w:rPr>
        <w:t>I</w:t>
      </w:r>
      <w:r w:rsidRPr="00BB5C77">
        <w:rPr>
          <w:rFonts w:ascii="Arial" w:eastAsia="Arial" w:hAnsi="Arial" w:cs="Arial"/>
          <w:color w:val="0A0A0A"/>
          <w:spacing w:val="-35"/>
          <w:sz w:val="21"/>
          <w:szCs w:val="21"/>
          <w:lang w:val="en-ZA" w:eastAsia="en-ZA"/>
        </w:rPr>
        <w:t xml:space="preserve"> </w:t>
      </w:r>
      <w:r w:rsidRPr="00BB5C77">
        <w:rPr>
          <w:rFonts w:ascii="Arial" w:eastAsia="Arial" w:hAnsi="Arial" w:cs="Arial"/>
          <w:color w:val="0A0A0A"/>
          <w:sz w:val="21"/>
          <w:szCs w:val="21"/>
          <w:lang w:val="en-ZA" w:eastAsia="en-ZA"/>
        </w:rPr>
        <w:t>performed</w:t>
      </w:r>
      <w:r w:rsidRPr="00BB5C77">
        <w:rPr>
          <w:rFonts w:ascii="Arial" w:eastAsia="Arial" w:hAnsi="Arial" w:cs="Arial"/>
          <w:color w:val="0A0A0A"/>
          <w:spacing w:val="37"/>
          <w:sz w:val="21"/>
          <w:szCs w:val="21"/>
          <w:lang w:val="en-ZA" w:eastAsia="en-ZA"/>
        </w:rPr>
        <w:t xml:space="preserve"> </w:t>
      </w:r>
      <w:r w:rsidRPr="00BB5C77">
        <w:rPr>
          <w:rFonts w:ascii="Arial" w:eastAsia="Arial" w:hAnsi="Arial" w:cs="Arial"/>
          <w:color w:val="0A0A0A"/>
          <w:w w:val="107"/>
          <w:sz w:val="21"/>
          <w:szCs w:val="21"/>
          <w:lang w:val="en-ZA" w:eastAsia="en-ZA"/>
        </w:rPr>
        <w:t>procedures</w:t>
      </w:r>
      <w:r w:rsidRPr="00BB5C77">
        <w:rPr>
          <w:rFonts w:ascii="Arial" w:eastAsia="Arial" w:hAnsi="Arial" w:cs="Arial"/>
          <w:color w:val="0A0A0A"/>
          <w:spacing w:val="-19"/>
          <w:w w:val="107"/>
          <w:sz w:val="21"/>
          <w:szCs w:val="21"/>
          <w:lang w:val="en-ZA" w:eastAsia="en-ZA"/>
        </w:rPr>
        <w:t xml:space="preserve"> </w:t>
      </w:r>
      <w:r w:rsidRPr="00BB5C77">
        <w:rPr>
          <w:rFonts w:ascii="Arial" w:eastAsia="Arial" w:hAnsi="Arial" w:cs="Arial"/>
          <w:color w:val="0A0A0A"/>
          <w:sz w:val="21"/>
          <w:szCs w:val="21"/>
          <w:lang w:val="en-ZA" w:eastAsia="en-ZA"/>
        </w:rPr>
        <w:t>to</w:t>
      </w:r>
      <w:r w:rsidRPr="00BB5C77">
        <w:rPr>
          <w:rFonts w:ascii="Arial" w:eastAsia="Arial" w:hAnsi="Arial" w:cs="Arial"/>
          <w:color w:val="0A0A0A"/>
          <w:spacing w:val="12"/>
          <w:sz w:val="21"/>
          <w:szCs w:val="21"/>
          <w:lang w:val="en-ZA" w:eastAsia="en-ZA"/>
        </w:rPr>
        <w:t xml:space="preserve"> </w:t>
      </w:r>
      <w:r w:rsidRPr="00BB5C77">
        <w:rPr>
          <w:rFonts w:ascii="Arial" w:eastAsia="Arial" w:hAnsi="Arial" w:cs="Arial"/>
          <w:color w:val="0A0A0A"/>
          <w:sz w:val="21"/>
          <w:szCs w:val="21"/>
          <w:lang w:val="en-ZA" w:eastAsia="en-ZA"/>
        </w:rPr>
        <w:t>determine</w:t>
      </w:r>
      <w:r w:rsidRPr="00BB5C77">
        <w:rPr>
          <w:rFonts w:ascii="Arial" w:eastAsia="Arial" w:hAnsi="Arial" w:cs="Arial"/>
          <w:color w:val="0A0A0A"/>
          <w:spacing w:val="46"/>
          <w:sz w:val="21"/>
          <w:szCs w:val="21"/>
          <w:lang w:val="en-ZA" w:eastAsia="en-ZA"/>
        </w:rPr>
        <w:t xml:space="preserve"> </w:t>
      </w:r>
      <w:r w:rsidRPr="00BB5C77">
        <w:rPr>
          <w:rFonts w:ascii="Arial" w:eastAsia="Arial" w:hAnsi="Arial" w:cs="Arial"/>
          <w:color w:val="0A0A0A"/>
          <w:sz w:val="21"/>
          <w:szCs w:val="21"/>
          <w:lang w:val="en-ZA" w:eastAsia="en-ZA"/>
        </w:rPr>
        <w:t>whether</w:t>
      </w:r>
      <w:r w:rsidRPr="00BB5C77">
        <w:rPr>
          <w:rFonts w:ascii="Arial" w:eastAsia="Arial" w:hAnsi="Arial" w:cs="Arial"/>
          <w:color w:val="0A0A0A"/>
          <w:spacing w:val="26"/>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7"/>
          <w:sz w:val="21"/>
          <w:szCs w:val="21"/>
          <w:lang w:val="en-ZA" w:eastAsia="en-ZA"/>
        </w:rPr>
        <w:t xml:space="preserve"> </w:t>
      </w:r>
      <w:r w:rsidRPr="00BB5C77">
        <w:rPr>
          <w:rFonts w:ascii="Arial" w:eastAsia="Arial" w:hAnsi="Arial" w:cs="Arial"/>
          <w:color w:val="0A0A0A"/>
          <w:sz w:val="21"/>
          <w:szCs w:val="21"/>
          <w:lang w:val="en-ZA" w:eastAsia="en-ZA"/>
        </w:rPr>
        <w:t>reported</w:t>
      </w:r>
      <w:r w:rsidRPr="00BB5C77">
        <w:rPr>
          <w:rFonts w:ascii="Arial" w:eastAsia="Arial" w:hAnsi="Arial" w:cs="Arial"/>
          <w:color w:val="0A0A0A"/>
          <w:spacing w:val="50"/>
          <w:sz w:val="21"/>
          <w:szCs w:val="21"/>
          <w:lang w:val="en-ZA" w:eastAsia="en-ZA"/>
        </w:rPr>
        <w:t xml:space="preserve"> </w:t>
      </w:r>
      <w:r w:rsidRPr="00BB5C77">
        <w:rPr>
          <w:rFonts w:ascii="Arial" w:eastAsia="Arial" w:hAnsi="Arial" w:cs="Arial"/>
          <w:color w:val="0A0A0A"/>
          <w:sz w:val="21"/>
          <w:szCs w:val="21"/>
          <w:lang w:val="en-ZA" w:eastAsia="en-ZA"/>
        </w:rPr>
        <w:t>performance</w:t>
      </w:r>
      <w:r w:rsidRPr="00BB5C77">
        <w:rPr>
          <w:rFonts w:ascii="Arial" w:eastAsia="Arial" w:hAnsi="Arial" w:cs="Arial"/>
          <w:color w:val="0A0A0A"/>
          <w:spacing w:val="40"/>
          <w:sz w:val="21"/>
          <w:szCs w:val="21"/>
          <w:lang w:val="en-ZA" w:eastAsia="en-ZA"/>
        </w:rPr>
        <w:t xml:space="preserve"> </w:t>
      </w:r>
      <w:r w:rsidRPr="00BB5C77">
        <w:rPr>
          <w:rFonts w:ascii="Arial" w:eastAsia="Arial" w:hAnsi="Arial" w:cs="Arial"/>
          <w:color w:val="0A0A0A"/>
          <w:sz w:val="21"/>
          <w:szCs w:val="21"/>
          <w:lang w:val="en-ZA" w:eastAsia="en-ZA"/>
        </w:rPr>
        <w:t>information</w:t>
      </w:r>
      <w:r w:rsidRPr="00BB5C77">
        <w:rPr>
          <w:rFonts w:ascii="Arial" w:eastAsia="Arial" w:hAnsi="Arial" w:cs="Arial"/>
          <w:color w:val="0A0A0A"/>
          <w:spacing w:val="45"/>
          <w:sz w:val="21"/>
          <w:szCs w:val="21"/>
          <w:lang w:val="en-ZA" w:eastAsia="en-ZA"/>
        </w:rPr>
        <w:t xml:space="preserve"> </w:t>
      </w:r>
      <w:r w:rsidRPr="00BB5C77">
        <w:rPr>
          <w:rFonts w:ascii="Arial" w:eastAsia="Arial" w:hAnsi="Arial" w:cs="Arial"/>
          <w:color w:val="0A0A0A"/>
          <w:w w:val="106"/>
          <w:sz w:val="21"/>
          <w:szCs w:val="21"/>
          <w:lang w:val="en-ZA" w:eastAsia="en-ZA"/>
        </w:rPr>
        <w:t xml:space="preserve">was </w:t>
      </w:r>
      <w:r w:rsidRPr="00BB5C77">
        <w:rPr>
          <w:rFonts w:ascii="Arial" w:eastAsia="Arial" w:hAnsi="Arial" w:cs="Arial"/>
          <w:color w:val="0A0A0A"/>
          <w:sz w:val="21"/>
          <w:szCs w:val="21"/>
          <w:lang w:val="en-ZA" w:eastAsia="en-ZA"/>
        </w:rPr>
        <w:t>consistent</w:t>
      </w:r>
      <w:r w:rsidRPr="00BB5C77">
        <w:rPr>
          <w:rFonts w:ascii="Arial" w:eastAsia="Arial" w:hAnsi="Arial" w:cs="Arial"/>
          <w:color w:val="0A0A0A"/>
          <w:spacing w:val="43"/>
          <w:sz w:val="21"/>
          <w:szCs w:val="21"/>
          <w:lang w:val="en-ZA" w:eastAsia="en-ZA"/>
        </w:rPr>
        <w:t xml:space="preserve"> </w:t>
      </w:r>
      <w:r w:rsidRPr="00BB5C77">
        <w:rPr>
          <w:rFonts w:ascii="Arial" w:eastAsia="Arial" w:hAnsi="Arial" w:cs="Arial"/>
          <w:color w:val="0A0A0A"/>
          <w:sz w:val="21"/>
          <w:szCs w:val="21"/>
          <w:lang w:val="en-ZA" w:eastAsia="en-ZA"/>
        </w:rPr>
        <w:t>with</w:t>
      </w:r>
      <w:r w:rsidRPr="00BB5C77">
        <w:rPr>
          <w:rFonts w:ascii="Arial" w:eastAsia="Arial" w:hAnsi="Arial" w:cs="Arial"/>
          <w:color w:val="0A0A0A"/>
          <w:spacing w:val="11"/>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3"/>
          <w:sz w:val="21"/>
          <w:szCs w:val="21"/>
          <w:lang w:val="en-ZA" w:eastAsia="en-ZA"/>
        </w:rPr>
        <w:t xml:space="preserve"> </w:t>
      </w:r>
      <w:r w:rsidRPr="00BB5C77">
        <w:rPr>
          <w:rFonts w:ascii="Arial" w:eastAsia="Arial" w:hAnsi="Arial" w:cs="Arial"/>
          <w:color w:val="0A0A0A"/>
          <w:sz w:val="21"/>
          <w:szCs w:val="21"/>
          <w:lang w:val="en-ZA" w:eastAsia="en-ZA"/>
        </w:rPr>
        <w:t>approved</w:t>
      </w:r>
      <w:r w:rsidRPr="00BB5C77">
        <w:rPr>
          <w:rFonts w:ascii="Arial" w:eastAsia="Arial" w:hAnsi="Arial" w:cs="Arial"/>
          <w:color w:val="0A0A0A"/>
          <w:spacing w:val="47"/>
          <w:sz w:val="21"/>
          <w:szCs w:val="21"/>
          <w:lang w:val="en-ZA" w:eastAsia="en-ZA"/>
        </w:rPr>
        <w:t xml:space="preserve"> </w:t>
      </w:r>
      <w:r w:rsidRPr="00BB5C77">
        <w:rPr>
          <w:rFonts w:ascii="Arial" w:eastAsia="Arial" w:hAnsi="Arial" w:cs="Arial"/>
          <w:color w:val="0A0A0A"/>
          <w:w w:val="106"/>
          <w:sz w:val="21"/>
          <w:szCs w:val="21"/>
          <w:lang w:val="en-ZA" w:eastAsia="en-ZA"/>
        </w:rPr>
        <w:t>performance</w:t>
      </w:r>
      <w:r w:rsidRPr="00BB5C77">
        <w:rPr>
          <w:rFonts w:ascii="Arial" w:eastAsia="Arial" w:hAnsi="Arial" w:cs="Arial"/>
          <w:color w:val="0A0A0A"/>
          <w:spacing w:val="-20"/>
          <w:w w:val="106"/>
          <w:sz w:val="21"/>
          <w:szCs w:val="21"/>
          <w:lang w:val="en-ZA" w:eastAsia="en-ZA"/>
        </w:rPr>
        <w:t xml:space="preserve"> </w:t>
      </w:r>
      <w:r w:rsidRPr="00BB5C77">
        <w:rPr>
          <w:rFonts w:ascii="Arial" w:eastAsia="Arial" w:hAnsi="Arial" w:cs="Arial"/>
          <w:color w:val="0A0A0A"/>
          <w:sz w:val="21"/>
          <w:szCs w:val="21"/>
          <w:lang w:val="en-ZA" w:eastAsia="en-ZA"/>
        </w:rPr>
        <w:t>planning</w:t>
      </w:r>
      <w:r w:rsidRPr="00BB5C77">
        <w:rPr>
          <w:rFonts w:ascii="Arial" w:eastAsia="Arial" w:hAnsi="Arial" w:cs="Arial"/>
          <w:color w:val="0A0A0A"/>
          <w:spacing w:val="51"/>
          <w:sz w:val="21"/>
          <w:szCs w:val="21"/>
          <w:lang w:val="en-ZA" w:eastAsia="en-ZA"/>
        </w:rPr>
        <w:t xml:space="preserve"> </w:t>
      </w:r>
      <w:r w:rsidRPr="00BB5C77">
        <w:rPr>
          <w:rFonts w:ascii="Arial" w:eastAsia="Arial" w:hAnsi="Arial" w:cs="Arial"/>
          <w:color w:val="0A0A0A"/>
          <w:w w:val="106"/>
          <w:sz w:val="21"/>
          <w:szCs w:val="21"/>
          <w:lang w:val="en-ZA" w:eastAsia="en-ZA"/>
        </w:rPr>
        <w:t>document</w:t>
      </w:r>
      <w:r w:rsidRPr="00BB5C77">
        <w:rPr>
          <w:rFonts w:ascii="Arial" w:eastAsia="Arial" w:hAnsi="Arial" w:cs="Arial"/>
          <w:color w:val="0A0A0A"/>
          <w:spacing w:val="-16"/>
          <w:w w:val="107"/>
          <w:sz w:val="21"/>
          <w:szCs w:val="21"/>
          <w:lang w:val="en-ZA" w:eastAsia="en-ZA"/>
        </w:rPr>
        <w:t>s</w:t>
      </w:r>
      <w:r w:rsidRPr="00BB5C77">
        <w:rPr>
          <w:rFonts w:ascii="Arial" w:eastAsia="Arial" w:hAnsi="Arial" w:cs="Arial"/>
          <w:color w:val="232323"/>
          <w:w w:val="136"/>
          <w:sz w:val="21"/>
          <w:szCs w:val="21"/>
          <w:lang w:val="en-ZA" w:eastAsia="en-ZA"/>
        </w:rPr>
        <w:t>.</w:t>
      </w:r>
      <w:r w:rsidRPr="00BB5C77">
        <w:rPr>
          <w:rFonts w:ascii="Arial" w:eastAsia="Arial" w:hAnsi="Arial" w:cs="Arial"/>
          <w:color w:val="232323"/>
          <w:spacing w:val="-16"/>
          <w:sz w:val="21"/>
          <w:szCs w:val="21"/>
          <w:lang w:val="en-ZA" w:eastAsia="en-ZA"/>
        </w:rPr>
        <w:t xml:space="preserve"> </w:t>
      </w:r>
      <w:r w:rsidRPr="00BB5C77">
        <w:rPr>
          <w:rFonts w:ascii="Arial" w:eastAsia="Arial" w:hAnsi="Arial" w:cs="Arial"/>
          <w:color w:val="0A0A0A"/>
          <w:w w:val="179"/>
          <w:sz w:val="21"/>
          <w:szCs w:val="21"/>
          <w:lang w:val="en-ZA" w:eastAsia="en-ZA"/>
        </w:rPr>
        <w:t>I</w:t>
      </w:r>
      <w:r w:rsidRPr="00BB5C77">
        <w:rPr>
          <w:rFonts w:ascii="Arial" w:eastAsia="Arial" w:hAnsi="Arial" w:cs="Arial"/>
          <w:color w:val="0A0A0A"/>
          <w:spacing w:val="-43"/>
          <w:sz w:val="21"/>
          <w:szCs w:val="21"/>
          <w:lang w:val="en-ZA" w:eastAsia="en-ZA"/>
        </w:rPr>
        <w:t xml:space="preserve"> </w:t>
      </w:r>
      <w:r w:rsidRPr="00BB5C77">
        <w:rPr>
          <w:rFonts w:ascii="Arial" w:eastAsia="Arial" w:hAnsi="Arial" w:cs="Arial"/>
          <w:color w:val="0A0A0A"/>
          <w:sz w:val="21"/>
          <w:szCs w:val="21"/>
          <w:lang w:val="en-ZA" w:eastAsia="en-ZA"/>
        </w:rPr>
        <w:t>performed</w:t>
      </w:r>
      <w:r w:rsidRPr="00BB5C77">
        <w:rPr>
          <w:rFonts w:ascii="Arial" w:eastAsia="Arial" w:hAnsi="Arial" w:cs="Arial"/>
          <w:color w:val="0A0A0A"/>
          <w:spacing w:val="17"/>
          <w:sz w:val="21"/>
          <w:szCs w:val="21"/>
          <w:lang w:val="en-ZA" w:eastAsia="en-ZA"/>
        </w:rPr>
        <w:t xml:space="preserve"> </w:t>
      </w:r>
      <w:r w:rsidRPr="00BB5C77">
        <w:rPr>
          <w:rFonts w:ascii="Arial" w:eastAsia="Arial" w:hAnsi="Arial" w:cs="Arial"/>
          <w:color w:val="0A0A0A"/>
          <w:w w:val="107"/>
          <w:sz w:val="21"/>
          <w:szCs w:val="21"/>
          <w:lang w:val="en-ZA" w:eastAsia="en-ZA"/>
        </w:rPr>
        <w:t>further procedures</w:t>
      </w:r>
      <w:r w:rsidRPr="00BB5C77">
        <w:rPr>
          <w:rFonts w:ascii="Arial" w:eastAsia="Arial" w:hAnsi="Arial" w:cs="Arial"/>
          <w:color w:val="0A0A0A"/>
          <w:spacing w:val="-19"/>
          <w:w w:val="107"/>
          <w:sz w:val="21"/>
          <w:szCs w:val="21"/>
          <w:lang w:val="en-ZA" w:eastAsia="en-ZA"/>
        </w:rPr>
        <w:t xml:space="preserve"> </w:t>
      </w:r>
      <w:r w:rsidRPr="00BB5C77">
        <w:rPr>
          <w:rFonts w:ascii="Arial" w:eastAsia="Arial" w:hAnsi="Arial" w:cs="Arial"/>
          <w:color w:val="0A0A0A"/>
          <w:sz w:val="21"/>
          <w:szCs w:val="21"/>
          <w:lang w:val="en-ZA" w:eastAsia="en-ZA"/>
        </w:rPr>
        <w:t>to</w:t>
      </w:r>
      <w:r w:rsidRPr="00BB5C77">
        <w:rPr>
          <w:rFonts w:ascii="Arial" w:eastAsia="Arial" w:hAnsi="Arial" w:cs="Arial"/>
          <w:color w:val="0A0A0A"/>
          <w:spacing w:val="12"/>
          <w:sz w:val="21"/>
          <w:szCs w:val="21"/>
          <w:lang w:val="en-ZA" w:eastAsia="en-ZA"/>
        </w:rPr>
        <w:t xml:space="preserve"> </w:t>
      </w:r>
      <w:r w:rsidRPr="00BB5C77">
        <w:rPr>
          <w:rFonts w:ascii="Arial" w:eastAsia="Arial" w:hAnsi="Arial" w:cs="Arial"/>
          <w:color w:val="0A0A0A"/>
          <w:sz w:val="21"/>
          <w:szCs w:val="21"/>
          <w:lang w:val="en-ZA" w:eastAsia="en-ZA"/>
        </w:rPr>
        <w:t>determine</w:t>
      </w:r>
      <w:r w:rsidRPr="00BB5C77">
        <w:rPr>
          <w:rFonts w:ascii="Arial" w:eastAsia="Arial" w:hAnsi="Arial" w:cs="Arial"/>
          <w:color w:val="0A0A0A"/>
          <w:spacing w:val="43"/>
          <w:sz w:val="21"/>
          <w:szCs w:val="21"/>
          <w:lang w:val="en-ZA" w:eastAsia="en-ZA"/>
        </w:rPr>
        <w:t xml:space="preserve"> </w:t>
      </w:r>
      <w:r w:rsidRPr="00BB5C77">
        <w:rPr>
          <w:rFonts w:ascii="Arial" w:eastAsia="Arial" w:hAnsi="Arial" w:cs="Arial"/>
          <w:color w:val="0A0A0A"/>
          <w:sz w:val="21"/>
          <w:szCs w:val="21"/>
          <w:lang w:val="en-ZA" w:eastAsia="en-ZA"/>
        </w:rPr>
        <w:t>whether</w:t>
      </w:r>
      <w:r w:rsidRPr="00BB5C77">
        <w:rPr>
          <w:rFonts w:ascii="Arial" w:eastAsia="Arial" w:hAnsi="Arial" w:cs="Arial"/>
          <w:color w:val="0A0A0A"/>
          <w:spacing w:val="34"/>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4"/>
          <w:sz w:val="21"/>
          <w:szCs w:val="21"/>
          <w:lang w:val="en-ZA" w:eastAsia="en-ZA"/>
        </w:rPr>
        <w:t xml:space="preserve"> </w:t>
      </w:r>
      <w:r w:rsidRPr="00BB5C77">
        <w:rPr>
          <w:rFonts w:ascii="Arial" w:eastAsia="Arial" w:hAnsi="Arial" w:cs="Arial"/>
          <w:color w:val="0A0A0A"/>
          <w:sz w:val="21"/>
          <w:szCs w:val="21"/>
          <w:lang w:val="en-ZA" w:eastAsia="en-ZA"/>
        </w:rPr>
        <w:t>indicators</w:t>
      </w:r>
      <w:r w:rsidRPr="00BB5C77">
        <w:rPr>
          <w:rFonts w:ascii="Arial" w:eastAsia="Arial" w:hAnsi="Arial" w:cs="Arial"/>
          <w:color w:val="0A0A0A"/>
          <w:spacing w:val="33"/>
          <w:sz w:val="21"/>
          <w:szCs w:val="21"/>
          <w:lang w:val="en-ZA" w:eastAsia="en-ZA"/>
        </w:rPr>
        <w:t xml:space="preserve"> </w:t>
      </w:r>
      <w:r w:rsidRPr="00BB5C77">
        <w:rPr>
          <w:rFonts w:ascii="Arial" w:eastAsia="Arial" w:hAnsi="Arial" w:cs="Arial"/>
          <w:color w:val="0A0A0A"/>
          <w:sz w:val="21"/>
          <w:szCs w:val="21"/>
          <w:lang w:val="en-ZA" w:eastAsia="en-ZA"/>
        </w:rPr>
        <w:t>and</w:t>
      </w:r>
      <w:r w:rsidRPr="00BB5C77">
        <w:rPr>
          <w:rFonts w:ascii="Arial" w:eastAsia="Arial" w:hAnsi="Arial" w:cs="Arial"/>
          <w:color w:val="0A0A0A"/>
          <w:spacing w:val="21"/>
          <w:sz w:val="21"/>
          <w:szCs w:val="21"/>
          <w:lang w:val="en-ZA" w:eastAsia="en-ZA"/>
        </w:rPr>
        <w:t xml:space="preserve"> </w:t>
      </w:r>
      <w:r w:rsidRPr="00BB5C77">
        <w:rPr>
          <w:rFonts w:ascii="Arial" w:eastAsia="Arial" w:hAnsi="Arial" w:cs="Arial"/>
          <w:color w:val="0A0A0A"/>
          <w:sz w:val="21"/>
          <w:szCs w:val="21"/>
          <w:lang w:val="en-ZA" w:eastAsia="en-ZA"/>
        </w:rPr>
        <w:t>related</w:t>
      </w:r>
      <w:r w:rsidRPr="00BB5C77">
        <w:rPr>
          <w:rFonts w:ascii="Arial" w:eastAsia="Arial" w:hAnsi="Arial" w:cs="Arial"/>
          <w:color w:val="0A0A0A"/>
          <w:spacing w:val="44"/>
          <w:sz w:val="21"/>
          <w:szCs w:val="21"/>
          <w:lang w:val="en-ZA" w:eastAsia="en-ZA"/>
        </w:rPr>
        <w:t xml:space="preserve"> </w:t>
      </w:r>
      <w:r w:rsidRPr="00BB5C77">
        <w:rPr>
          <w:rFonts w:ascii="Arial" w:eastAsia="Arial" w:hAnsi="Arial" w:cs="Arial"/>
          <w:color w:val="0A0A0A"/>
          <w:sz w:val="21"/>
          <w:szCs w:val="21"/>
          <w:lang w:val="en-ZA" w:eastAsia="en-ZA"/>
        </w:rPr>
        <w:t>targets</w:t>
      </w:r>
      <w:r w:rsidRPr="00BB5C77">
        <w:rPr>
          <w:rFonts w:ascii="Arial" w:eastAsia="Arial" w:hAnsi="Arial" w:cs="Arial"/>
          <w:color w:val="0A0A0A"/>
          <w:spacing w:val="21"/>
          <w:sz w:val="21"/>
          <w:szCs w:val="21"/>
          <w:lang w:val="en-ZA" w:eastAsia="en-ZA"/>
        </w:rPr>
        <w:t xml:space="preserve"> </w:t>
      </w:r>
      <w:r w:rsidRPr="00BB5C77">
        <w:rPr>
          <w:rFonts w:ascii="Arial" w:eastAsia="Arial" w:hAnsi="Arial" w:cs="Arial"/>
          <w:color w:val="0A0A0A"/>
          <w:sz w:val="21"/>
          <w:szCs w:val="21"/>
          <w:lang w:val="en-ZA" w:eastAsia="en-ZA"/>
        </w:rPr>
        <w:t>were</w:t>
      </w:r>
      <w:r w:rsidRPr="00BB5C77">
        <w:rPr>
          <w:rFonts w:ascii="Arial" w:eastAsia="Arial" w:hAnsi="Arial" w:cs="Arial"/>
          <w:color w:val="0A0A0A"/>
          <w:spacing w:val="16"/>
          <w:sz w:val="21"/>
          <w:szCs w:val="21"/>
          <w:lang w:val="en-ZA" w:eastAsia="en-ZA"/>
        </w:rPr>
        <w:t xml:space="preserve"> </w:t>
      </w:r>
      <w:r w:rsidRPr="00BB5C77">
        <w:rPr>
          <w:rFonts w:ascii="Arial" w:eastAsia="Arial" w:hAnsi="Arial" w:cs="Arial"/>
          <w:color w:val="0A0A0A"/>
          <w:w w:val="106"/>
          <w:sz w:val="21"/>
          <w:szCs w:val="21"/>
          <w:lang w:val="en-ZA" w:eastAsia="en-ZA"/>
        </w:rPr>
        <w:t xml:space="preserve">measurable </w:t>
      </w:r>
      <w:r w:rsidRPr="00BB5C77">
        <w:rPr>
          <w:rFonts w:ascii="Arial" w:eastAsia="Arial" w:hAnsi="Arial" w:cs="Arial"/>
          <w:color w:val="0A0A0A"/>
          <w:w w:val="110"/>
          <w:sz w:val="21"/>
          <w:szCs w:val="21"/>
          <w:lang w:val="en-ZA" w:eastAsia="en-ZA"/>
        </w:rPr>
        <w:t>and</w:t>
      </w:r>
      <w:r w:rsidRPr="00BB5C77">
        <w:rPr>
          <w:rFonts w:ascii="Arial" w:eastAsia="Arial" w:hAnsi="Arial" w:cs="Arial"/>
          <w:color w:val="0A0A0A"/>
          <w:spacing w:val="-12"/>
          <w:sz w:val="21"/>
          <w:szCs w:val="21"/>
          <w:lang w:val="en-ZA" w:eastAsia="en-ZA"/>
        </w:rPr>
        <w:t xml:space="preserve"> </w:t>
      </w:r>
      <w:r w:rsidRPr="00BB5C77">
        <w:rPr>
          <w:rFonts w:ascii="Arial" w:eastAsia="Arial" w:hAnsi="Arial" w:cs="Arial"/>
          <w:color w:val="0A0A0A"/>
          <w:sz w:val="21"/>
          <w:szCs w:val="21"/>
          <w:lang w:val="en-ZA" w:eastAsia="en-ZA"/>
        </w:rPr>
        <w:t>relevant,</w:t>
      </w:r>
      <w:r w:rsidRPr="00BB5C77">
        <w:rPr>
          <w:rFonts w:ascii="Arial" w:eastAsia="Arial" w:hAnsi="Arial" w:cs="Arial"/>
          <w:color w:val="0A0A0A"/>
          <w:spacing w:val="21"/>
          <w:sz w:val="21"/>
          <w:szCs w:val="21"/>
          <w:lang w:val="en-ZA" w:eastAsia="en-ZA"/>
        </w:rPr>
        <w:t xml:space="preserve"> </w:t>
      </w:r>
      <w:r w:rsidRPr="00BB5C77">
        <w:rPr>
          <w:rFonts w:ascii="Arial" w:eastAsia="Arial" w:hAnsi="Arial" w:cs="Arial"/>
          <w:color w:val="0A0A0A"/>
          <w:sz w:val="21"/>
          <w:szCs w:val="21"/>
          <w:lang w:val="en-ZA" w:eastAsia="en-ZA"/>
        </w:rPr>
        <w:t>and</w:t>
      </w:r>
      <w:r w:rsidRPr="00BB5C77">
        <w:rPr>
          <w:rFonts w:ascii="Arial" w:eastAsia="Arial" w:hAnsi="Arial" w:cs="Arial"/>
          <w:color w:val="0A0A0A"/>
          <w:spacing w:val="19"/>
          <w:sz w:val="21"/>
          <w:szCs w:val="21"/>
          <w:lang w:val="en-ZA" w:eastAsia="en-ZA"/>
        </w:rPr>
        <w:t xml:space="preserve"> </w:t>
      </w:r>
      <w:r w:rsidRPr="00BB5C77">
        <w:rPr>
          <w:rFonts w:ascii="Arial" w:eastAsia="Arial" w:hAnsi="Arial" w:cs="Arial"/>
          <w:color w:val="0A0A0A"/>
          <w:sz w:val="21"/>
          <w:szCs w:val="21"/>
          <w:lang w:val="en-ZA" w:eastAsia="en-ZA"/>
        </w:rPr>
        <w:t>assessed</w:t>
      </w:r>
      <w:r w:rsidRPr="00BB5C77">
        <w:rPr>
          <w:rFonts w:ascii="Arial" w:eastAsia="Arial" w:hAnsi="Arial" w:cs="Arial"/>
          <w:color w:val="0A0A0A"/>
          <w:spacing w:val="45"/>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22"/>
          <w:sz w:val="21"/>
          <w:szCs w:val="21"/>
          <w:lang w:val="en-ZA" w:eastAsia="en-ZA"/>
        </w:rPr>
        <w:t xml:space="preserve"> </w:t>
      </w:r>
      <w:r w:rsidRPr="00BB5C77">
        <w:rPr>
          <w:rFonts w:ascii="Arial" w:eastAsia="Arial" w:hAnsi="Arial" w:cs="Arial"/>
          <w:color w:val="0A0A0A"/>
          <w:sz w:val="21"/>
          <w:szCs w:val="21"/>
          <w:lang w:val="en-ZA" w:eastAsia="en-ZA"/>
        </w:rPr>
        <w:t>reliability</w:t>
      </w:r>
      <w:r w:rsidRPr="00BB5C77">
        <w:rPr>
          <w:rFonts w:ascii="Arial" w:eastAsia="Arial" w:hAnsi="Arial" w:cs="Arial"/>
          <w:color w:val="0A0A0A"/>
          <w:spacing w:val="31"/>
          <w:sz w:val="21"/>
          <w:szCs w:val="21"/>
          <w:lang w:val="en-ZA" w:eastAsia="en-ZA"/>
        </w:rPr>
        <w:t xml:space="preserve"> </w:t>
      </w:r>
      <w:r w:rsidRPr="00BB5C77">
        <w:rPr>
          <w:rFonts w:ascii="Arial" w:eastAsia="Arial" w:hAnsi="Arial" w:cs="Arial"/>
          <w:color w:val="0A0A0A"/>
          <w:spacing w:val="-12"/>
          <w:sz w:val="21"/>
          <w:szCs w:val="21"/>
          <w:lang w:val="en-ZA" w:eastAsia="en-ZA"/>
        </w:rPr>
        <w:t>o</w:t>
      </w:r>
      <w:r w:rsidRPr="00BB5C77">
        <w:rPr>
          <w:rFonts w:ascii="Arial" w:eastAsia="Arial" w:hAnsi="Arial" w:cs="Arial"/>
          <w:color w:val="232323"/>
          <w:sz w:val="21"/>
          <w:szCs w:val="21"/>
          <w:lang w:val="en-ZA" w:eastAsia="en-ZA"/>
        </w:rPr>
        <w:t>f</w:t>
      </w:r>
      <w:r w:rsidRPr="00BB5C77">
        <w:rPr>
          <w:rFonts w:ascii="Arial" w:eastAsia="Arial" w:hAnsi="Arial" w:cs="Arial"/>
          <w:color w:val="232323"/>
          <w:spacing w:val="26"/>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0"/>
          <w:sz w:val="21"/>
          <w:szCs w:val="21"/>
          <w:lang w:val="en-ZA" w:eastAsia="en-ZA"/>
        </w:rPr>
        <w:t xml:space="preserve"> </w:t>
      </w:r>
      <w:r w:rsidRPr="00BB5C77">
        <w:rPr>
          <w:rFonts w:ascii="Arial" w:eastAsia="Arial" w:hAnsi="Arial" w:cs="Arial"/>
          <w:color w:val="0A0A0A"/>
          <w:sz w:val="21"/>
          <w:szCs w:val="21"/>
          <w:lang w:val="en-ZA" w:eastAsia="en-ZA"/>
        </w:rPr>
        <w:t>reported</w:t>
      </w:r>
      <w:r w:rsidRPr="00BB5C77">
        <w:rPr>
          <w:rFonts w:ascii="Arial" w:eastAsia="Arial" w:hAnsi="Arial" w:cs="Arial"/>
          <w:color w:val="0A0A0A"/>
          <w:spacing w:val="43"/>
          <w:sz w:val="21"/>
          <w:szCs w:val="21"/>
          <w:lang w:val="en-ZA" w:eastAsia="en-ZA"/>
        </w:rPr>
        <w:t xml:space="preserve"> </w:t>
      </w:r>
      <w:r w:rsidRPr="00BB5C77">
        <w:rPr>
          <w:rFonts w:ascii="Arial" w:eastAsia="Arial" w:hAnsi="Arial" w:cs="Arial"/>
          <w:color w:val="0A0A0A"/>
          <w:sz w:val="21"/>
          <w:szCs w:val="21"/>
          <w:lang w:val="en-ZA" w:eastAsia="en-ZA"/>
        </w:rPr>
        <w:t>performance</w:t>
      </w:r>
      <w:r w:rsidRPr="00BB5C77">
        <w:rPr>
          <w:rFonts w:ascii="Arial" w:eastAsia="Arial" w:hAnsi="Arial" w:cs="Arial"/>
          <w:color w:val="0A0A0A"/>
          <w:spacing w:val="55"/>
          <w:sz w:val="21"/>
          <w:szCs w:val="21"/>
          <w:lang w:val="en-ZA" w:eastAsia="en-ZA"/>
        </w:rPr>
        <w:t xml:space="preserve"> </w:t>
      </w:r>
      <w:r w:rsidRPr="00BB5C77">
        <w:rPr>
          <w:rFonts w:ascii="Arial" w:eastAsia="Arial" w:hAnsi="Arial" w:cs="Arial"/>
          <w:color w:val="0A0A0A"/>
          <w:sz w:val="21"/>
          <w:szCs w:val="21"/>
          <w:lang w:val="en-ZA" w:eastAsia="en-ZA"/>
        </w:rPr>
        <w:t>information</w:t>
      </w:r>
      <w:r w:rsidRPr="00BB5C77">
        <w:rPr>
          <w:rFonts w:ascii="Arial" w:eastAsia="Arial" w:hAnsi="Arial" w:cs="Arial"/>
          <w:color w:val="0A0A0A"/>
          <w:spacing w:val="25"/>
          <w:sz w:val="21"/>
          <w:szCs w:val="21"/>
          <w:lang w:val="en-ZA" w:eastAsia="en-ZA"/>
        </w:rPr>
        <w:t xml:space="preserve"> </w:t>
      </w:r>
      <w:r w:rsidRPr="00BB5C77">
        <w:rPr>
          <w:rFonts w:ascii="Arial" w:eastAsia="Arial" w:hAnsi="Arial" w:cs="Arial"/>
          <w:color w:val="0A0A0A"/>
          <w:w w:val="113"/>
          <w:sz w:val="21"/>
          <w:szCs w:val="21"/>
          <w:lang w:val="en-ZA" w:eastAsia="en-ZA"/>
        </w:rPr>
        <w:t xml:space="preserve">to </w:t>
      </w:r>
      <w:r w:rsidRPr="00BB5C77">
        <w:rPr>
          <w:rFonts w:ascii="Arial" w:eastAsia="Arial" w:hAnsi="Arial" w:cs="Arial"/>
          <w:color w:val="0A0A0A"/>
          <w:sz w:val="21"/>
          <w:szCs w:val="21"/>
          <w:lang w:val="en-ZA" w:eastAsia="en-ZA"/>
        </w:rPr>
        <w:t>determine</w:t>
      </w:r>
      <w:r w:rsidRPr="00BB5C77">
        <w:rPr>
          <w:rFonts w:ascii="Arial" w:eastAsia="Arial" w:hAnsi="Arial" w:cs="Arial"/>
          <w:color w:val="0A0A0A"/>
          <w:spacing w:val="43"/>
          <w:sz w:val="21"/>
          <w:szCs w:val="21"/>
          <w:lang w:val="en-ZA" w:eastAsia="en-ZA"/>
        </w:rPr>
        <w:t xml:space="preserve"> </w:t>
      </w:r>
      <w:r w:rsidRPr="00BB5C77">
        <w:rPr>
          <w:rFonts w:ascii="Arial" w:eastAsia="Arial" w:hAnsi="Arial" w:cs="Arial"/>
          <w:color w:val="0A0A0A"/>
          <w:sz w:val="21"/>
          <w:szCs w:val="21"/>
          <w:lang w:val="en-ZA" w:eastAsia="en-ZA"/>
        </w:rPr>
        <w:t>whether</w:t>
      </w:r>
      <w:r w:rsidRPr="00BB5C77">
        <w:rPr>
          <w:rFonts w:ascii="Arial" w:eastAsia="Arial" w:hAnsi="Arial" w:cs="Arial"/>
          <w:color w:val="0A0A0A"/>
          <w:spacing w:val="31"/>
          <w:sz w:val="21"/>
          <w:szCs w:val="21"/>
          <w:lang w:val="en-ZA" w:eastAsia="en-ZA"/>
        </w:rPr>
        <w:t xml:space="preserve"> </w:t>
      </w:r>
      <w:r w:rsidRPr="00BB5C77">
        <w:rPr>
          <w:rFonts w:ascii="Arial" w:eastAsia="Arial" w:hAnsi="Arial" w:cs="Arial"/>
          <w:color w:val="0A0A0A"/>
          <w:sz w:val="21"/>
          <w:szCs w:val="21"/>
          <w:lang w:val="en-ZA" w:eastAsia="en-ZA"/>
        </w:rPr>
        <w:t>it</w:t>
      </w:r>
      <w:r w:rsidRPr="00BB5C77">
        <w:rPr>
          <w:rFonts w:ascii="Arial" w:eastAsia="Arial" w:hAnsi="Arial" w:cs="Arial"/>
          <w:color w:val="0A0A0A"/>
          <w:spacing w:val="2"/>
          <w:sz w:val="21"/>
          <w:szCs w:val="21"/>
          <w:lang w:val="en-ZA" w:eastAsia="en-ZA"/>
        </w:rPr>
        <w:t xml:space="preserve"> </w:t>
      </w:r>
      <w:r w:rsidRPr="00BB5C77">
        <w:rPr>
          <w:rFonts w:ascii="Arial" w:eastAsia="Arial" w:hAnsi="Arial" w:cs="Arial"/>
          <w:color w:val="0A0A0A"/>
          <w:sz w:val="21"/>
          <w:szCs w:val="21"/>
          <w:lang w:val="en-ZA" w:eastAsia="en-ZA"/>
        </w:rPr>
        <w:t>was</w:t>
      </w:r>
      <w:r w:rsidRPr="00BB5C77">
        <w:rPr>
          <w:rFonts w:ascii="Arial" w:eastAsia="Arial" w:hAnsi="Arial" w:cs="Arial"/>
          <w:color w:val="0A0A0A"/>
          <w:spacing w:val="23"/>
          <w:sz w:val="21"/>
          <w:szCs w:val="21"/>
          <w:lang w:val="en-ZA" w:eastAsia="en-ZA"/>
        </w:rPr>
        <w:t xml:space="preserve"> </w:t>
      </w:r>
      <w:r w:rsidRPr="00BB5C77">
        <w:rPr>
          <w:rFonts w:ascii="Arial" w:eastAsia="Arial" w:hAnsi="Arial" w:cs="Arial"/>
          <w:color w:val="0A0A0A"/>
          <w:w w:val="111"/>
          <w:sz w:val="21"/>
          <w:szCs w:val="21"/>
          <w:lang w:val="en-ZA" w:eastAsia="en-ZA"/>
        </w:rPr>
        <w:t>vali</w:t>
      </w:r>
      <w:r w:rsidRPr="00BB5C77">
        <w:rPr>
          <w:rFonts w:ascii="Arial" w:eastAsia="Arial" w:hAnsi="Arial" w:cs="Arial"/>
          <w:color w:val="0A0A0A"/>
          <w:spacing w:val="-19"/>
          <w:w w:val="111"/>
          <w:sz w:val="21"/>
          <w:szCs w:val="21"/>
          <w:lang w:val="en-ZA" w:eastAsia="en-ZA"/>
        </w:rPr>
        <w:t>d</w:t>
      </w:r>
      <w:r w:rsidRPr="00BB5C77">
        <w:rPr>
          <w:rFonts w:ascii="Arial" w:eastAsia="Arial" w:hAnsi="Arial" w:cs="Arial"/>
          <w:color w:val="232323"/>
          <w:w w:val="111"/>
          <w:sz w:val="21"/>
          <w:szCs w:val="21"/>
          <w:lang w:val="en-ZA" w:eastAsia="en-ZA"/>
        </w:rPr>
        <w:t>,</w:t>
      </w:r>
      <w:r w:rsidRPr="00BB5C77">
        <w:rPr>
          <w:rFonts w:ascii="Arial" w:eastAsia="Arial" w:hAnsi="Arial" w:cs="Arial"/>
          <w:color w:val="232323"/>
          <w:spacing w:val="-12"/>
          <w:w w:val="111"/>
          <w:sz w:val="21"/>
          <w:szCs w:val="21"/>
          <w:lang w:val="en-ZA" w:eastAsia="en-ZA"/>
        </w:rPr>
        <w:t xml:space="preserve"> </w:t>
      </w:r>
      <w:r w:rsidRPr="00BB5C77">
        <w:rPr>
          <w:rFonts w:ascii="Arial" w:eastAsia="Arial" w:hAnsi="Arial" w:cs="Arial"/>
          <w:color w:val="0A0A0A"/>
          <w:sz w:val="21"/>
          <w:szCs w:val="21"/>
          <w:lang w:val="en-ZA" w:eastAsia="en-ZA"/>
        </w:rPr>
        <w:t>accurate</w:t>
      </w:r>
      <w:r w:rsidRPr="00BB5C77">
        <w:rPr>
          <w:rFonts w:ascii="Arial" w:eastAsia="Arial" w:hAnsi="Arial" w:cs="Arial"/>
          <w:color w:val="0A0A0A"/>
          <w:spacing w:val="28"/>
          <w:sz w:val="21"/>
          <w:szCs w:val="21"/>
          <w:lang w:val="en-ZA" w:eastAsia="en-ZA"/>
        </w:rPr>
        <w:t xml:space="preserve"> </w:t>
      </w:r>
      <w:r w:rsidRPr="00BB5C77">
        <w:rPr>
          <w:rFonts w:ascii="Arial" w:eastAsia="Arial" w:hAnsi="Arial" w:cs="Arial"/>
          <w:color w:val="0A0A0A"/>
          <w:sz w:val="21"/>
          <w:szCs w:val="21"/>
          <w:lang w:val="en-ZA" w:eastAsia="en-ZA"/>
        </w:rPr>
        <w:t>and</w:t>
      </w:r>
      <w:r w:rsidRPr="00BB5C77">
        <w:rPr>
          <w:rFonts w:ascii="Arial" w:eastAsia="Arial" w:hAnsi="Arial" w:cs="Arial"/>
          <w:color w:val="0A0A0A"/>
          <w:spacing w:val="19"/>
          <w:sz w:val="21"/>
          <w:szCs w:val="21"/>
          <w:lang w:val="en-ZA" w:eastAsia="en-ZA"/>
        </w:rPr>
        <w:t xml:space="preserve"> </w:t>
      </w:r>
      <w:r w:rsidRPr="00BB5C77">
        <w:rPr>
          <w:rFonts w:ascii="Arial" w:eastAsia="Arial" w:hAnsi="Arial" w:cs="Arial"/>
          <w:color w:val="0A0A0A"/>
          <w:w w:val="106"/>
          <w:sz w:val="21"/>
          <w:szCs w:val="21"/>
          <w:lang w:val="en-ZA" w:eastAsia="en-ZA"/>
        </w:rPr>
        <w:t>complet</w:t>
      </w:r>
      <w:r w:rsidRPr="00BB5C77">
        <w:rPr>
          <w:rFonts w:ascii="Arial" w:eastAsia="Arial" w:hAnsi="Arial" w:cs="Arial"/>
          <w:color w:val="0A0A0A"/>
          <w:spacing w:val="-9"/>
          <w:w w:val="107"/>
          <w:sz w:val="21"/>
          <w:szCs w:val="21"/>
          <w:lang w:val="en-ZA" w:eastAsia="en-ZA"/>
        </w:rPr>
        <w:t>e</w:t>
      </w:r>
      <w:r w:rsidRPr="00BB5C77">
        <w:rPr>
          <w:rFonts w:ascii="Arial" w:eastAsia="Arial" w:hAnsi="Arial" w:cs="Arial"/>
          <w:color w:val="232323"/>
          <w:w w:val="170"/>
          <w:sz w:val="21"/>
          <w:szCs w:val="21"/>
          <w:lang w:val="en-ZA" w:eastAsia="en-ZA"/>
        </w:rPr>
        <w:t>.</w:t>
      </w:r>
    </w:p>
    <w:p w14:paraId="42C59BAD" w14:textId="77777777" w:rsidR="00BB5C77" w:rsidRPr="00BB5C77" w:rsidRDefault="00BB5C77" w:rsidP="00BB5C77">
      <w:pPr>
        <w:spacing w:before="7" w:after="0" w:line="240" w:lineRule="exact"/>
        <w:jc w:val="both"/>
        <w:rPr>
          <w:rFonts w:eastAsia="Times New Roman" w:cs="Times New Roman"/>
          <w:sz w:val="24"/>
          <w:szCs w:val="24"/>
          <w:lang w:val="en-ZA" w:eastAsia="en-ZA"/>
        </w:rPr>
      </w:pPr>
    </w:p>
    <w:p w14:paraId="31F22366" w14:textId="77777777" w:rsidR="00BB5C77" w:rsidRPr="00BB5C77" w:rsidRDefault="00BB5C77" w:rsidP="00BB5C77">
      <w:pPr>
        <w:spacing w:after="0" w:line="250" w:lineRule="auto"/>
        <w:ind w:left="603" w:right="223" w:hanging="359"/>
        <w:jc w:val="both"/>
        <w:rPr>
          <w:rFonts w:ascii="Arial" w:eastAsia="Arial" w:hAnsi="Arial" w:cs="Arial"/>
          <w:sz w:val="21"/>
          <w:szCs w:val="21"/>
          <w:lang w:val="en-ZA" w:eastAsia="en-ZA"/>
        </w:rPr>
      </w:pPr>
      <w:r w:rsidRPr="00BB5C77">
        <w:rPr>
          <w:rFonts w:ascii="Arial" w:eastAsia="Arial" w:hAnsi="Arial" w:cs="Arial"/>
          <w:color w:val="0A0A0A"/>
          <w:sz w:val="21"/>
          <w:szCs w:val="21"/>
          <w:lang w:val="en-ZA" w:eastAsia="en-ZA"/>
        </w:rPr>
        <w:t>19.</w:t>
      </w:r>
      <w:r w:rsidRPr="00BB5C77">
        <w:rPr>
          <w:rFonts w:ascii="Arial" w:eastAsia="Arial" w:hAnsi="Arial" w:cs="Arial"/>
          <w:color w:val="0A0A0A"/>
          <w:spacing w:val="2"/>
          <w:sz w:val="21"/>
          <w:szCs w:val="21"/>
          <w:lang w:val="en-ZA" w:eastAsia="en-ZA"/>
        </w:rPr>
        <w:t xml:space="preserve"> </w:t>
      </w:r>
      <w:r w:rsidRPr="00BB5C77">
        <w:rPr>
          <w:rFonts w:ascii="Arial" w:eastAsia="Arial" w:hAnsi="Arial" w:cs="Arial"/>
          <w:color w:val="0A0A0A"/>
          <w:w w:val="143"/>
          <w:sz w:val="21"/>
          <w:szCs w:val="21"/>
          <w:lang w:val="en-ZA" w:eastAsia="en-ZA"/>
        </w:rPr>
        <w:t>I</w:t>
      </w:r>
      <w:r w:rsidRPr="00BB5C77">
        <w:rPr>
          <w:rFonts w:ascii="Arial" w:eastAsia="Arial" w:hAnsi="Arial" w:cs="Arial"/>
          <w:color w:val="0A0A0A"/>
          <w:spacing w:val="-40"/>
          <w:w w:val="143"/>
          <w:sz w:val="21"/>
          <w:szCs w:val="21"/>
          <w:lang w:val="en-ZA" w:eastAsia="en-ZA"/>
        </w:rPr>
        <w:t xml:space="preserve"> </w:t>
      </w:r>
      <w:r w:rsidRPr="00BB5C77">
        <w:rPr>
          <w:rFonts w:ascii="Arial" w:eastAsia="Arial" w:hAnsi="Arial" w:cs="Arial"/>
          <w:color w:val="0A0A0A"/>
          <w:sz w:val="21"/>
          <w:szCs w:val="21"/>
          <w:lang w:val="en-ZA" w:eastAsia="en-ZA"/>
        </w:rPr>
        <w:t>did</w:t>
      </w:r>
      <w:r w:rsidRPr="00BB5C77">
        <w:rPr>
          <w:rFonts w:ascii="Arial" w:eastAsia="Arial" w:hAnsi="Arial" w:cs="Arial"/>
          <w:color w:val="0A0A0A"/>
          <w:spacing w:val="10"/>
          <w:sz w:val="21"/>
          <w:szCs w:val="21"/>
          <w:lang w:val="en-ZA" w:eastAsia="en-ZA"/>
        </w:rPr>
        <w:t xml:space="preserve"> </w:t>
      </w:r>
      <w:r w:rsidRPr="00BB5C77">
        <w:rPr>
          <w:rFonts w:ascii="Arial" w:eastAsia="Arial" w:hAnsi="Arial" w:cs="Arial"/>
          <w:color w:val="0A0A0A"/>
          <w:sz w:val="21"/>
          <w:szCs w:val="21"/>
          <w:lang w:val="en-ZA" w:eastAsia="en-ZA"/>
        </w:rPr>
        <w:t>not</w:t>
      </w:r>
      <w:r w:rsidRPr="00BB5C77">
        <w:rPr>
          <w:rFonts w:ascii="Arial" w:eastAsia="Arial" w:hAnsi="Arial" w:cs="Arial"/>
          <w:color w:val="0A0A0A"/>
          <w:spacing w:val="22"/>
          <w:sz w:val="21"/>
          <w:szCs w:val="21"/>
          <w:lang w:val="en-ZA" w:eastAsia="en-ZA"/>
        </w:rPr>
        <w:t xml:space="preserve"> </w:t>
      </w:r>
      <w:r w:rsidRPr="00BB5C77">
        <w:rPr>
          <w:rFonts w:ascii="Arial" w:eastAsia="Arial" w:hAnsi="Arial" w:cs="Arial"/>
          <w:color w:val="0A0A0A"/>
          <w:sz w:val="21"/>
          <w:szCs w:val="21"/>
          <w:lang w:val="en-ZA" w:eastAsia="en-ZA"/>
        </w:rPr>
        <w:t>raise</w:t>
      </w:r>
      <w:r w:rsidRPr="00BB5C77">
        <w:rPr>
          <w:rFonts w:ascii="Arial" w:eastAsia="Arial" w:hAnsi="Arial" w:cs="Arial"/>
          <w:color w:val="0A0A0A"/>
          <w:spacing w:val="21"/>
          <w:sz w:val="21"/>
          <w:szCs w:val="21"/>
          <w:lang w:val="en-ZA" w:eastAsia="en-ZA"/>
        </w:rPr>
        <w:t xml:space="preserve"> </w:t>
      </w:r>
      <w:r w:rsidRPr="00BB5C77">
        <w:rPr>
          <w:rFonts w:ascii="Arial" w:eastAsia="Arial" w:hAnsi="Arial" w:cs="Arial"/>
          <w:color w:val="0A0A0A"/>
          <w:sz w:val="21"/>
          <w:szCs w:val="21"/>
          <w:lang w:val="en-ZA" w:eastAsia="en-ZA"/>
        </w:rPr>
        <w:t>any</w:t>
      </w:r>
      <w:r w:rsidRPr="00BB5C77">
        <w:rPr>
          <w:rFonts w:ascii="Arial" w:eastAsia="Arial" w:hAnsi="Arial" w:cs="Arial"/>
          <w:color w:val="0A0A0A"/>
          <w:spacing w:val="14"/>
          <w:sz w:val="21"/>
          <w:szCs w:val="21"/>
          <w:lang w:val="en-ZA" w:eastAsia="en-ZA"/>
        </w:rPr>
        <w:t xml:space="preserve"> </w:t>
      </w:r>
      <w:r w:rsidRPr="00BB5C77">
        <w:rPr>
          <w:rFonts w:ascii="Arial" w:eastAsia="Arial" w:hAnsi="Arial" w:cs="Arial"/>
          <w:color w:val="0A0A0A"/>
          <w:sz w:val="21"/>
          <w:szCs w:val="21"/>
          <w:lang w:val="en-ZA" w:eastAsia="en-ZA"/>
        </w:rPr>
        <w:t>material</w:t>
      </w:r>
      <w:r w:rsidRPr="00BB5C77">
        <w:rPr>
          <w:rFonts w:ascii="Arial" w:eastAsia="Arial" w:hAnsi="Arial" w:cs="Arial"/>
          <w:color w:val="0A0A0A"/>
          <w:spacing w:val="20"/>
          <w:sz w:val="21"/>
          <w:szCs w:val="21"/>
          <w:lang w:val="en-ZA" w:eastAsia="en-ZA"/>
        </w:rPr>
        <w:t xml:space="preserve"> </w:t>
      </w:r>
      <w:r w:rsidRPr="00BB5C77">
        <w:rPr>
          <w:rFonts w:ascii="Arial" w:eastAsia="Arial" w:hAnsi="Arial" w:cs="Arial"/>
          <w:color w:val="0A0A0A"/>
          <w:w w:val="111"/>
          <w:sz w:val="21"/>
          <w:szCs w:val="21"/>
          <w:lang w:val="en-ZA" w:eastAsia="en-ZA"/>
        </w:rPr>
        <w:t>fin</w:t>
      </w:r>
      <w:r w:rsidRPr="00BB5C77">
        <w:rPr>
          <w:rFonts w:ascii="Arial" w:eastAsia="Arial" w:hAnsi="Arial" w:cs="Arial"/>
          <w:color w:val="0A0A0A"/>
          <w:spacing w:val="-4"/>
          <w:w w:val="112"/>
          <w:sz w:val="21"/>
          <w:szCs w:val="21"/>
          <w:lang w:val="en-ZA" w:eastAsia="en-ZA"/>
        </w:rPr>
        <w:t>d</w:t>
      </w:r>
      <w:r w:rsidRPr="00BB5C77">
        <w:rPr>
          <w:rFonts w:ascii="Arial" w:eastAsia="Arial" w:hAnsi="Arial" w:cs="Arial"/>
          <w:color w:val="232323"/>
          <w:spacing w:val="-13"/>
          <w:w w:val="155"/>
          <w:sz w:val="21"/>
          <w:szCs w:val="21"/>
          <w:lang w:val="en-ZA" w:eastAsia="en-ZA"/>
        </w:rPr>
        <w:t>i</w:t>
      </w:r>
      <w:r w:rsidRPr="00BB5C77">
        <w:rPr>
          <w:rFonts w:ascii="Arial" w:eastAsia="Arial" w:hAnsi="Arial" w:cs="Arial"/>
          <w:color w:val="0A0A0A"/>
          <w:w w:val="109"/>
          <w:sz w:val="21"/>
          <w:szCs w:val="21"/>
          <w:lang w:val="en-ZA" w:eastAsia="en-ZA"/>
        </w:rPr>
        <w:t>ngs</w:t>
      </w:r>
      <w:r w:rsidRPr="00BB5C77">
        <w:rPr>
          <w:rFonts w:ascii="Arial" w:eastAsia="Arial" w:hAnsi="Arial" w:cs="Arial"/>
          <w:color w:val="0A0A0A"/>
          <w:spacing w:val="-3"/>
          <w:sz w:val="21"/>
          <w:szCs w:val="21"/>
          <w:lang w:val="en-ZA" w:eastAsia="en-ZA"/>
        </w:rPr>
        <w:t xml:space="preserve"> </w:t>
      </w:r>
      <w:r w:rsidRPr="00BB5C77">
        <w:rPr>
          <w:rFonts w:ascii="Arial" w:eastAsia="Arial" w:hAnsi="Arial" w:cs="Arial"/>
          <w:color w:val="0A0A0A"/>
          <w:sz w:val="21"/>
          <w:szCs w:val="21"/>
          <w:lang w:val="en-ZA" w:eastAsia="en-ZA"/>
        </w:rPr>
        <w:t>on</w:t>
      </w:r>
      <w:r w:rsidRPr="00BB5C77">
        <w:rPr>
          <w:rFonts w:ascii="Arial" w:eastAsia="Arial" w:hAnsi="Arial" w:cs="Arial"/>
          <w:color w:val="0A0A0A"/>
          <w:spacing w:val="-4"/>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24"/>
          <w:sz w:val="21"/>
          <w:szCs w:val="21"/>
          <w:lang w:val="en-ZA" w:eastAsia="en-ZA"/>
        </w:rPr>
        <w:t xml:space="preserve"> </w:t>
      </w:r>
      <w:r w:rsidRPr="00BB5C77">
        <w:rPr>
          <w:rFonts w:ascii="Arial" w:eastAsia="Arial" w:hAnsi="Arial" w:cs="Arial"/>
          <w:color w:val="0A0A0A"/>
          <w:sz w:val="21"/>
          <w:szCs w:val="21"/>
          <w:lang w:val="en-ZA" w:eastAsia="en-ZA"/>
        </w:rPr>
        <w:t>usefulness</w:t>
      </w:r>
      <w:r w:rsidRPr="00BB5C77">
        <w:rPr>
          <w:rFonts w:ascii="Arial" w:eastAsia="Arial" w:hAnsi="Arial" w:cs="Arial"/>
          <w:color w:val="0A0A0A"/>
          <w:spacing w:val="37"/>
          <w:sz w:val="21"/>
          <w:szCs w:val="21"/>
          <w:lang w:val="en-ZA" w:eastAsia="en-ZA"/>
        </w:rPr>
        <w:t xml:space="preserve"> </w:t>
      </w:r>
      <w:r w:rsidRPr="00BB5C77">
        <w:rPr>
          <w:rFonts w:ascii="Arial" w:eastAsia="Arial" w:hAnsi="Arial" w:cs="Arial"/>
          <w:color w:val="0A0A0A"/>
          <w:sz w:val="21"/>
          <w:szCs w:val="21"/>
          <w:lang w:val="en-ZA" w:eastAsia="en-ZA"/>
        </w:rPr>
        <w:t>and</w:t>
      </w:r>
      <w:r w:rsidRPr="00BB5C77">
        <w:rPr>
          <w:rFonts w:ascii="Arial" w:eastAsia="Arial" w:hAnsi="Arial" w:cs="Arial"/>
          <w:color w:val="0A0A0A"/>
          <w:spacing w:val="28"/>
          <w:sz w:val="21"/>
          <w:szCs w:val="21"/>
          <w:lang w:val="en-ZA" w:eastAsia="en-ZA"/>
        </w:rPr>
        <w:t xml:space="preserve"> </w:t>
      </w:r>
      <w:r w:rsidRPr="00BB5C77">
        <w:rPr>
          <w:rFonts w:ascii="Arial" w:eastAsia="Arial" w:hAnsi="Arial" w:cs="Arial"/>
          <w:color w:val="0A0A0A"/>
          <w:sz w:val="21"/>
          <w:szCs w:val="21"/>
          <w:lang w:val="en-ZA" w:eastAsia="en-ZA"/>
        </w:rPr>
        <w:t>reliability</w:t>
      </w:r>
      <w:r w:rsidRPr="00BB5C77">
        <w:rPr>
          <w:rFonts w:ascii="Arial" w:eastAsia="Arial" w:hAnsi="Arial" w:cs="Arial"/>
          <w:color w:val="0A0A0A"/>
          <w:spacing w:val="32"/>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17"/>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0"/>
          <w:sz w:val="21"/>
          <w:szCs w:val="21"/>
          <w:lang w:val="en-ZA" w:eastAsia="en-ZA"/>
        </w:rPr>
        <w:t xml:space="preserve"> </w:t>
      </w:r>
      <w:r w:rsidRPr="00BB5C77">
        <w:rPr>
          <w:rFonts w:ascii="Arial" w:eastAsia="Arial" w:hAnsi="Arial" w:cs="Arial"/>
          <w:color w:val="0A0A0A"/>
          <w:w w:val="106"/>
          <w:sz w:val="21"/>
          <w:szCs w:val="21"/>
          <w:lang w:val="en-ZA" w:eastAsia="en-ZA"/>
        </w:rPr>
        <w:t xml:space="preserve">performance </w:t>
      </w:r>
      <w:r w:rsidRPr="00BB5C77">
        <w:rPr>
          <w:rFonts w:ascii="Arial" w:eastAsia="Arial" w:hAnsi="Arial" w:cs="Arial"/>
          <w:color w:val="232323"/>
          <w:spacing w:val="-13"/>
          <w:w w:val="155"/>
          <w:sz w:val="21"/>
          <w:szCs w:val="21"/>
          <w:lang w:val="en-ZA" w:eastAsia="en-ZA"/>
        </w:rPr>
        <w:t>i</w:t>
      </w:r>
      <w:r w:rsidRPr="00BB5C77">
        <w:rPr>
          <w:rFonts w:ascii="Arial" w:eastAsia="Arial" w:hAnsi="Arial" w:cs="Arial"/>
          <w:color w:val="0A0A0A"/>
          <w:w w:val="106"/>
          <w:sz w:val="21"/>
          <w:szCs w:val="21"/>
          <w:lang w:val="en-ZA" w:eastAsia="en-ZA"/>
        </w:rPr>
        <w:t>nformatio</w:t>
      </w:r>
      <w:r w:rsidRPr="00BB5C77">
        <w:rPr>
          <w:rFonts w:ascii="Arial" w:eastAsia="Arial" w:hAnsi="Arial" w:cs="Arial"/>
          <w:color w:val="0A0A0A"/>
          <w:w w:val="107"/>
          <w:sz w:val="21"/>
          <w:szCs w:val="21"/>
          <w:lang w:val="en-ZA" w:eastAsia="en-ZA"/>
        </w:rPr>
        <w:t>n</w:t>
      </w:r>
      <w:r w:rsidRPr="00BB5C77">
        <w:rPr>
          <w:rFonts w:ascii="Arial" w:eastAsia="Arial" w:hAnsi="Arial" w:cs="Arial"/>
          <w:color w:val="0A0A0A"/>
          <w:spacing w:val="-26"/>
          <w:sz w:val="21"/>
          <w:szCs w:val="21"/>
          <w:lang w:val="en-ZA" w:eastAsia="en-ZA"/>
        </w:rPr>
        <w:t xml:space="preserve"> </w:t>
      </w:r>
      <w:r w:rsidRPr="00BB5C77">
        <w:rPr>
          <w:rFonts w:ascii="Arial" w:eastAsia="Arial" w:hAnsi="Arial" w:cs="Arial"/>
          <w:color w:val="0A0A0A"/>
          <w:sz w:val="21"/>
          <w:szCs w:val="21"/>
          <w:lang w:val="en-ZA" w:eastAsia="en-ZA"/>
        </w:rPr>
        <w:t>for</w:t>
      </w:r>
      <w:r w:rsidRPr="00BB5C77">
        <w:rPr>
          <w:rFonts w:ascii="Arial" w:eastAsia="Arial" w:hAnsi="Arial" w:cs="Arial"/>
          <w:color w:val="0A0A0A"/>
          <w:spacing w:val="7"/>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5"/>
          <w:sz w:val="21"/>
          <w:szCs w:val="21"/>
          <w:lang w:val="en-ZA" w:eastAsia="en-ZA"/>
        </w:rPr>
        <w:t xml:space="preserve"> </w:t>
      </w:r>
      <w:r w:rsidRPr="00BB5C77">
        <w:rPr>
          <w:rFonts w:ascii="Arial" w:eastAsia="Arial" w:hAnsi="Arial" w:cs="Arial"/>
          <w:color w:val="0A0A0A"/>
          <w:sz w:val="21"/>
          <w:szCs w:val="21"/>
          <w:lang w:val="en-ZA" w:eastAsia="en-ZA"/>
        </w:rPr>
        <w:t>selected</w:t>
      </w:r>
      <w:r w:rsidRPr="00BB5C77">
        <w:rPr>
          <w:rFonts w:ascii="Arial" w:eastAsia="Arial" w:hAnsi="Arial" w:cs="Arial"/>
          <w:color w:val="0A0A0A"/>
          <w:spacing w:val="42"/>
          <w:sz w:val="21"/>
          <w:szCs w:val="21"/>
          <w:lang w:val="en-ZA" w:eastAsia="en-ZA"/>
        </w:rPr>
        <w:t xml:space="preserve"> </w:t>
      </w:r>
      <w:r w:rsidRPr="00BB5C77">
        <w:rPr>
          <w:rFonts w:ascii="Arial" w:eastAsia="Arial" w:hAnsi="Arial" w:cs="Arial"/>
          <w:color w:val="0A0A0A"/>
          <w:w w:val="105"/>
          <w:sz w:val="21"/>
          <w:szCs w:val="21"/>
          <w:lang w:val="en-ZA" w:eastAsia="en-ZA"/>
        </w:rPr>
        <w:t>development</w:t>
      </w:r>
      <w:r w:rsidRPr="00BB5C77">
        <w:rPr>
          <w:rFonts w:ascii="Arial" w:eastAsia="Arial" w:hAnsi="Arial" w:cs="Arial"/>
          <w:color w:val="0A0A0A"/>
          <w:spacing w:val="-2"/>
          <w:w w:val="105"/>
          <w:sz w:val="21"/>
          <w:szCs w:val="21"/>
          <w:lang w:val="en-ZA" w:eastAsia="en-ZA"/>
        </w:rPr>
        <w:t xml:space="preserve"> </w:t>
      </w:r>
      <w:r w:rsidRPr="00BB5C77">
        <w:rPr>
          <w:rFonts w:ascii="Arial" w:eastAsia="Arial" w:hAnsi="Arial" w:cs="Arial"/>
          <w:color w:val="0A0A0A"/>
          <w:w w:val="105"/>
          <w:sz w:val="21"/>
          <w:szCs w:val="21"/>
          <w:lang w:val="en-ZA" w:eastAsia="en-ZA"/>
        </w:rPr>
        <w:t>priorit</w:t>
      </w:r>
      <w:r w:rsidRPr="00BB5C77">
        <w:rPr>
          <w:rFonts w:ascii="Arial" w:eastAsia="Arial" w:hAnsi="Arial" w:cs="Arial"/>
          <w:color w:val="0A0A0A"/>
          <w:spacing w:val="-15"/>
          <w:w w:val="106"/>
          <w:sz w:val="21"/>
          <w:szCs w:val="21"/>
          <w:lang w:val="en-ZA" w:eastAsia="en-ZA"/>
        </w:rPr>
        <w:t>y</w:t>
      </w:r>
      <w:r w:rsidRPr="00BB5C77">
        <w:rPr>
          <w:rFonts w:ascii="Arial" w:eastAsia="Arial" w:hAnsi="Arial" w:cs="Arial"/>
          <w:color w:val="232323"/>
          <w:w w:val="204"/>
          <w:sz w:val="21"/>
          <w:szCs w:val="21"/>
          <w:lang w:val="en-ZA" w:eastAsia="en-ZA"/>
        </w:rPr>
        <w:t>.</w:t>
      </w:r>
    </w:p>
    <w:p w14:paraId="3144DAF2" w14:textId="77777777" w:rsidR="00BB5C77" w:rsidRPr="00BB5C77" w:rsidRDefault="00BB5C77" w:rsidP="00BB5C77">
      <w:pPr>
        <w:spacing w:before="7" w:after="0" w:line="130" w:lineRule="exact"/>
        <w:jc w:val="both"/>
        <w:rPr>
          <w:rFonts w:eastAsia="Times New Roman" w:cs="Times New Roman"/>
          <w:sz w:val="13"/>
          <w:szCs w:val="13"/>
          <w:lang w:val="en-ZA" w:eastAsia="en-ZA"/>
        </w:rPr>
      </w:pPr>
    </w:p>
    <w:p w14:paraId="3990360E" w14:textId="77777777" w:rsidR="00BB5C77" w:rsidRPr="00BB5C77" w:rsidRDefault="00BB5C77" w:rsidP="00BB5C77">
      <w:pPr>
        <w:spacing w:after="0" w:line="200" w:lineRule="exact"/>
        <w:jc w:val="both"/>
        <w:rPr>
          <w:rFonts w:eastAsia="Times New Roman" w:cs="Times New Roman"/>
          <w:szCs w:val="20"/>
          <w:lang w:val="en-ZA" w:eastAsia="en-ZA"/>
        </w:rPr>
      </w:pPr>
    </w:p>
    <w:p w14:paraId="6C767D24" w14:textId="77777777" w:rsidR="00BB5C77" w:rsidRPr="00BB5C77" w:rsidRDefault="00BB5C77" w:rsidP="00BB5C77">
      <w:pPr>
        <w:spacing w:after="0" w:line="240" w:lineRule="auto"/>
        <w:ind w:left="230" w:right="-20"/>
        <w:jc w:val="both"/>
        <w:rPr>
          <w:rFonts w:ascii="Arial" w:eastAsia="Arial" w:hAnsi="Arial" w:cs="Arial"/>
          <w:sz w:val="25"/>
          <w:szCs w:val="25"/>
          <w:lang w:val="en-ZA" w:eastAsia="en-ZA"/>
        </w:rPr>
      </w:pPr>
      <w:r w:rsidRPr="00BB5C77">
        <w:rPr>
          <w:rFonts w:ascii="Arial" w:eastAsia="Arial" w:hAnsi="Arial" w:cs="Arial"/>
          <w:color w:val="232323"/>
          <w:sz w:val="25"/>
          <w:szCs w:val="25"/>
          <w:lang w:val="en-ZA" w:eastAsia="en-ZA"/>
        </w:rPr>
        <w:t>Other</w:t>
      </w:r>
      <w:r w:rsidRPr="00BB5C77">
        <w:rPr>
          <w:rFonts w:ascii="Arial" w:eastAsia="Arial" w:hAnsi="Arial" w:cs="Arial"/>
          <w:color w:val="232323"/>
          <w:spacing w:val="13"/>
          <w:sz w:val="25"/>
          <w:szCs w:val="25"/>
          <w:lang w:val="en-ZA" w:eastAsia="en-ZA"/>
        </w:rPr>
        <w:t xml:space="preserve"> </w:t>
      </w:r>
      <w:r w:rsidRPr="00BB5C77">
        <w:rPr>
          <w:rFonts w:ascii="Arial" w:eastAsia="Arial" w:hAnsi="Arial" w:cs="Arial"/>
          <w:color w:val="232323"/>
          <w:w w:val="104"/>
          <w:sz w:val="25"/>
          <w:szCs w:val="25"/>
          <w:lang w:val="en-ZA" w:eastAsia="en-ZA"/>
        </w:rPr>
        <w:t>matters</w:t>
      </w:r>
    </w:p>
    <w:p w14:paraId="18ABC7EA" w14:textId="77777777" w:rsidR="00BB5C77" w:rsidRPr="00BB5C77" w:rsidRDefault="00BB5C77" w:rsidP="00BB5C77">
      <w:pPr>
        <w:spacing w:before="2" w:after="0" w:line="240" w:lineRule="exact"/>
        <w:jc w:val="both"/>
        <w:rPr>
          <w:rFonts w:eastAsia="Times New Roman" w:cs="Times New Roman"/>
          <w:sz w:val="24"/>
          <w:szCs w:val="24"/>
          <w:lang w:val="en-ZA" w:eastAsia="en-ZA"/>
        </w:rPr>
      </w:pPr>
    </w:p>
    <w:p w14:paraId="11211CF9" w14:textId="77777777" w:rsidR="00BB5C77" w:rsidRPr="00BB5C77" w:rsidRDefault="00BB5C77" w:rsidP="00BB5C77">
      <w:pPr>
        <w:spacing w:after="0" w:line="240" w:lineRule="auto"/>
        <w:ind w:left="230" w:right="-20"/>
        <w:jc w:val="both"/>
        <w:rPr>
          <w:rFonts w:ascii="Arial" w:eastAsia="Arial" w:hAnsi="Arial" w:cs="Arial"/>
          <w:sz w:val="21"/>
          <w:szCs w:val="21"/>
          <w:lang w:val="en-ZA" w:eastAsia="en-ZA"/>
        </w:rPr>
      </w:pPr>
      <w:r w:rsidRPr="00BB5C77">
        <w:rPr>
          <w:rFonts w:ascii="Arial" w:eastAsia="Arial" w:hAnsi="Arial" w:cs="Arial"/>
          <w:color w:val="0A0A0A"/>
          <w:sz w:val="21"/>
          <w:szCs w:val="21"/>
          <w:lang w:val="en-ZA" w:eastAsia="en-ZA"/>
        </w:rPr>
        <w:t>20.</w:t>
      </w:r>
      <w:r w:rsidRPr="00BB5C77">
        <w:rPr>
          <w:rFonts w:ascii="Arial" w:eastAsia="Arial" w:hAnsi="Arial" w:cs="Arial"/>
          <w:color w:val="0A0A0A"/>
          <w:spacing w:val="-6"/>
          <w:sz w:val="21"/>
          <w:szCs w:val="21"/>
          <w:lang w:val="en-ZA" w:eastAsia="en-ZA"/>
        </w:rPr>
        <w:t xml:space="preserve"> </w:t>
      </w:r>
      <w:r w:rsidRPr="00BB5C77">
        <w:rPr>
          <w:rFonts w:ascii="Arial" w:eastAsia="Arial" w:hAnsi="Arial" w:cs="Arial"/>
          <w:color w:val="0A0A0A"/>
          <w:w w:val="163"/>
          <w:sz w:val="23"/>
          <w:szCs w:val="23"/>
          <w:lang w:val="en-ZA" w:eastAsia="en-ZA"/>
        </w:rPr>
        <w:t>I</w:t>
      </w:r>
      <w:r w:rsidRPr="00BB5C77">
        <w:rPr>
          <w:rFonts w:ascii="Arial" w:eastAsia="Arial" w:hAnsi="Arial" w:cs="Arial"/>
          <w:color w:val="0A0A0A"/>
          <w:spacing w:val="-39"/>
          <w:sz w:val="23"/>
          <w:szCs w:val="23"/>
          <w:lang w:val="en-ZA" w:eastAsia="en-ZA"/>
        </w:rPr>
        <w:t xml:space="preserve"> </w:t>
      </w:r>
      <w:r w:rsidRPr="00BB5C77">
        <w:rPr>
          <w:rFonts w:ascii="Arial" w:eastAsia="Arial" w:hAnsi="Arial" w:cs="Arial"/>
          <w:color w:val="0A0A0A"/>
          <w:sz w:val="21"/>
          <w:szCs w:val="21"/>
          <w:lang w:val="en-ZA" w:eastAsia="en-ZA"/>
        </w:rPr>
        <w:t>draw</w:t>
      </w:r>
      <w:r w:rsidRPr="00BB5C77">
        <w:rPr>
          <w:rFonts w:ascii="Arial" w:eastAsia="Arial" w:hAnsi="Arial" w:cs="Arial"/>
          <w:color w:val="0A0A0A"/>
          <w:spacing w:val="17"/>
          <w:sz w:val="21"/>
          <w:szCs w:val="21"/>
          <w:lang w:val="en-ZA" w:eastAsia="en-ZA"/>
        </w:rPr>
        <w:t xml:space="preserve"> </w:t>
      </w:r>
      <w:r w:rsidRPr="00BB5C77">
        <w:rPr>
          <w:rFonts w:ascii="Arial" w:eastAsia="Arial" w:hAnsi="Arial" w:cs="Arial"/>
          <w:color w:val="0A0A0A"/>
          <w:sz w:val="21"/>
          <w:szCs w:val="21"/>
          <w:lang w:val="en-ZA" w:eastAsia="en-ZA"/>
        </w:rPr>
        <w:t>attention</w:t>
      </w:r>
      <w:r w:rsidRPr="00BB5C77">
        <w:rPr>
          <w:rFonts w:ascii="Arial" w:eastAsia="Arial" w:hAnsi="Arial" w:cs="Arial"/>
          <w:color w:val="0A0A0A"/>
          <w:spacing w:val="32"/>
          <w:sz w:val="21"/>
          <w:szCs w:val="21"/>
          <w:lang w:val="en-ZA" w:eastAsia="en-ZA"/>
        </w:rPr>
        <w:t xml:space="preserve"> </w:t>
      </w:r>
      <w:r w:rsidRPr="00BB5C77">
        <w:rPr>
          <w:rFonts w:ascii="Arial" w:eastAsia="Arial" w:hAnsi="Arial" w:cs="Arial"/>
          <w:color w:val="0A0A0A"/>
          <w:sz w:val="21"/>
          <w:szCs w:val="21"/>
          <w:lang w:val="en-ZA" w:eastAsia="en-ZA"/>
        </w:rPr>
        <w:t>to</w:t>
      </w:r>
      <w:r w:rsidRPr="00BB5C77">
        <w:rPr>
          <w:rFonts w:ascii="Arial" w:eastAsia="Arial" w:hAnsi="Arial" w:cs="Arial"/>
          <w:color w:val="0A0A0A"/>
          <w:spacing w:val="24"/>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3"/>
          <w:sz w:val="21"/>
          <w:szCs w:val="21"/>
          <w:lang w:val="en-ZA" w:eastAsia="en-ZA"/>
        </w:rPr>
        <w:t xml:space="preserve"> </w:t>
      </w:r>
      <w:r w:rsidRPr="00BB5C77">
        <w:rPr>
          <w:rFonts w:ascii="Arial" w:eastAsia="Arial" w:hAnsi="Arial" w:cs="Arial"/>
          <w:color w:val="0A0A0A"/>
          <w:sz w:val="21"/>
          <w:szCs w:val="21"/>
          <w:lang w:val="en-ZA" w:eastAsia="en-ZA"/>
        </w:rPr>
        <w:t>matters</w:t>
      </w:r>
      <w:r w:rsidRPr="00BB5C77">
        <w:rPr>
          <w:rFonts w:ascii="Arial" w:eastAsia="Arial" w:hAnsi="Arial" w:cs="Arial"/>
          <w:color w:val="0A0A0A"/>
          <w:spacing w:val="46"/>
          <w:sz w:val="21"/>
          <w:szCs w:val="21"/>
          <w:lang w:val="en-ZA" w:eastAsia="en-ZA"/>
        </w:rPr>
        <w:t xml:space="preserve"> </w:t>
      </w:r>
      <w:r w:rsidRPr="00BB5C77">
        <w:rPr>
          <w:rFonts w:ascii="Arial" w:eastAsia="Arial" w:hAnsi="Arial" w:cs="Arial"/>
          <w:color w:val="0A0A0A"/>
          <w:w w:val="105"/>
          <w:sz w:val="21"/>
          <w:szCs w:val="21"/>
          <w:lang w:val="en-ZA" w:eastAsia="en-ZA"/>
        </w:rPr>
        <w:t>below.</w:t>
      </w:r>
    </w:p>
    <w:p w14:paraId="3E614271" w14:textId="77777777" w:rsidR="00BB5C77" w:rsidRPr="00BB5C77" w:rsidRDefault="00BB5C77" w:rsidP="00BB5C77">
      <w:pPr>
        <w:spacing w:before="4" w:after="0" w:line="220" w:lineRule="exact"/>
        <w:jc w:val="both"/>
        <w:rPr>
          <w:rFonts w:eastAsia="Times New Roman" w:cs="Times New Roman"/>
          <w:sz w:val="22"/>
          <w:lang w:val="en-ZA" w:eastAsia="en-ZA"/>
        </w:rPr>
      </w:pPr>
    </w:p>
    <w:p w14:paraId="343EB58E" w14:textId="77777777" w:rsidR="00BB5C77" w:rsidRPr="00BB5C77" w:rsidRDefault="00BB5C77" w:rsidP="00BB5C77">
      <w:pPr>
        <w:spacing w:after="0" w:line="240" w:lineRule="auto"/>
        <w:ind w:left="215" w:right="-20"/>
        <w:jc w:val="both"/>
        <w:rPr>
          <w:rFonts w:ascii="Arial" w:eastAsia="Arial" w:hAnsi="Arial" w:cs="Arial"/>
          <w:sz w:val="23"/>
          <w:szCs w:val="23"/>
          <w:lang w:val="en-ZA" w:eastAsia="en-ZA"/>
        </w:rPr>
      </w:pPr>
      <w:r w:rsidRPr="00BB5C77">
        <w:rPr>
          <w:rFonts w:ascii="Arial" w:eastAsia="Arial" w:hAnsi="Arial" w:cs="Arial"/>
          <w:color w:val="232323"/>
          <w:sz w:val="23"/>
          <w:szCs w:val="23"/>
          <w:lang w:val="en-ZA" w:eastAsia="en-ZA"/>
        </w:rPr>
        <w:t>Achievement</w:t>
      </w:r>
      <w:r w:rsidRPr="00BB5C77">
        <w:rPr>
          <w:rFonts w:ascii="Arial" w:eastAsia="Arial" w:hAnsi="Arial" w:cs="Arial"/>
          <w:color w:val="232323"/>
          <w:spacing w:val="29"/>
          <w:sz w:val="23"/>
          <w:szCs w:val="23"/>
          <w:lang w:val="en-ZA" w:eastAsia="en-ZA"/>
        </w:rPr>
        <w:t xml:space="preserve"> </w:t>
      </w:r>
      <w:r w:rsidRPr="00BB5C77">
        <w:rPr>
          <w:rFonts w:ascii="Arial" w:eastAsia="Arial" w:hAnsi="Arial" w:cs="Arial"/>
          <w:color w:val="232323"/>
          <w:sz w:val="23"/>
          <w:szCs w:val="23"/>
          <w:lang w:val="en-ZA" w:eastAsia="en-ZA"/>
        </w:rPr>
        <w:t>of</w:t>
      </w:r>
      <w:r w:rsidRPr="00BB5C77">
        <w:rPr>
          <w:rFonts w:ascii="Arial" w:eastAsia="Arial" w:hAnsi="Arial" w:cs="Arial"/>
          <w:color w:val="232323"/>
          <w:spacing w:val="9"/>
          <w:sz w:val="23"/>
          <w:szCs w:val="23"/>
          <w:lang w:val="en-ZA" w:eastAsia="en-ZA"/>
        </w:rPr>
        <w:t xml:space="preserve"> </w:t>
      </w:r>
      <w:r w:rsidRPr="00BB5C77">
        <w:rPr>
          <w:rFonts w:ascii="Arial" w:eastAsia="Arial" w:hAnsi="Arial" w:cs="Arial"/>
          <w:color w:val="232323"/>
          <w:sz w:val="23"/>
          <w:szCs w:val="23"/>
          <w:lang w:val="en-ZA" w:eastAsia="en-ZA"/>
        </w:rPr>
        <w:t>planned</w:t>
      </w:r>
      <w:r w:rsidRPr="00BB5C77">
        <w:rPr>
          <w:rFonts w:ascii="Arial" w:eastAsia="Arial" w:hAnsi="Arial" w:cs="Arial"/>
          <w:color w:val="232323"/>
          <w:spacing w:val="29"/>
          <w:sz w:val="23"/>
          <w:szCs w:val="23"/>
          <w:lang w:val="en-ZA" w:eastAsia="en-ZA"/>
        </w:rPr>
        <w:t xml:space="preserve"> </w:t>
      </w:r>
      <w:r w:rsidRPr="00BB5C77">
        <w:rPr>
          <w:rFonts w:ascii="Arial" w:eastAsia="Arial" w:hAnsi="Arial" w:cs="Arial"/>
          <w:color w:val="232323"/>
          <w:w w:val="106"/>
          <w:sz w:val="23"/>
          <w:szCs w:val="23"/>
          <w:lang w:val="en-ZA" w:eastAsia="en-ZA"/>
        </w:rPr>
        <w:t>targets</w:t>
      </w:r>
    </w:p>
    <w:p w14:paraId="64C7CD85" w14:textId="77777777" w:rsidR="00BB5C77" w:rsidRPr="00BB5C77" w:rsidRDefault="00BB5C77" w:rsidP="00BB5C77">
      <w:pPr>
        <w:spacing w:before="3" w:after="0" w:line="240" w:lineRule="exact"/>
        <w:jc w:val="both"/>
        <w:rPr>
          <w:rFonts w:eastAsia="Times New Roman" w:cs="Times New Roman"/>
          <w:sz w:val="24"/>
          <w:szCs w:val="24"/>
          <w:lang w:val="en-ZA" w:eastAsia="en-ZA"/>
        </w:rPr>
      </w:pPr>
    </w:p>
    <w:p w14:paraId="6024455A" w14:textId="77777777" w:rsidR="00BB5C77" w:rsidRPr="00BB5C77" w:rsidRDefault="00BB5C77" w:rsidP="00BB5C77">
      <w:pPr>
        <w:spacing w:after="0" w:line="253" w:lineRule="auto"/>
        <w:ind w:left="589" w:right="741" w:hanging="359"/>
        <w:jc w:val="both"/>
        <w:rPr>
          <w:rFonts w:ascii="Arial" w:eastAsia="Arial" w:hAnsi="Arial" w:cs="Arial"/>
          <w:sz w:val="21"/>
          <w:szCs w:val="21"/>
          <w:lang w:val="en-ZA" w:eastAsia="en-ZA"/>
        </w:rPr>
      </w:pPr>
      <w:r w:rsidRPr="00BB5C77">
        <w:rPr>
          <w:rFonts w:ascii="Arial" w:eastAsia="Arial" w:hAnsi="Arial" w:cs="Arial"/>
          <w:color w:val="0A0A0A"/>
          <w:w w:val="110"/>
          <w:sz w:val="21"/>
          <w:szCs w:val="21"/>
          <w:lang w:val="en-ZA" w:eastAsia="en-ZA"/>
        </w:rPr>
        <w:t>2</w:t>
      </w:r>
      <w:r w:rsidRPr="00BB5C77">
        <w:rPr>
          <w:rFonts w:ascii="Arial" w:eastAsia="Arial" w:hAnsi="Arial" w:cs="Arial"/>
          <w:color w:val="0A0A0A"/>
          <w:spacing w:val="-29"/>
          <w:w w:val="110"/>
          <w:sz w:val="21"/>
          <w:szCs w:val="21"/>
          <w:lang w:val="en-ZA" w:eastAsia="en-ZA"/>
        </w:rPr>
        <w:t>1</w:t>
      </w:r>
      <w:r w:rsidRPr="00BB5C77">
        <w:rPr>
          <w:rFonts w:ascii="Arial" w:eastAsia="Arial" w:hAnsi="Arial" w:cs="Arial"/>
          <w:color w:val="232323"/>
          <w:w w:val="170"/>
          <w:sz w:val="21"/>
          <w:szCs w:val="21"/>
          <w:lang w:val="en-ZA" w:eastAsia="en-ZA"/>
        </w:rPr>
        <w:t>.</w:t>
      </w:r>
      <w:r w:rsidRPr="00BB5C77">
        <w:rPr>
          <w:rFonts w:ascii="Arial" w:eastAsia="Arial" w:hAnsi="Arial" w:cs="Arial"/>
          <w:color w:val="232323"/>
          <w:spacing w:val="-36"/>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6"/>
          <w:sz w:val="21"/>
          <w:szCs w:val="21"/>
          <w:lang w:val="en-ZA" w:eastAsia="en-ZA"/>
        </w:rPr>
        <w:t xml:space="preserve"> </w:t>
      </w:r>
      <w:r w:rsidRPr="00BB5C77">
        <w:rPr>
          <w:rFonts w:ascii="Arial" w:eastAsia="Arial" w:hAnsi="Arial" w:cs="Arial"/>
          <w:color w:val="0A0A0A"/>
          <w:sz w:val="21"/>
          <w:szCs w:val="21"/>
          <w:lang w:val="en-ZA" w:eastAsia="en-ZA"/>
        </w:rPr>
        <w:t>annual</w:t>
      </w:r>
      <w:r w:rsidRPr="00BB5C77">
        <w:rPr>
          <w:rFonts w:ascii="Arial" w:eastAsia="Arial" w:hAnsi="Arial" w:cs="Arial"/>
          <w:color w:val="0A0A0A"/>
          <w:spacing w:val="2"/>
          <w:sz w:val="21"/>
          <w:szCs w:val="21"/>
          <w:lang w:val="en-ZA" w:eastAsia="en-ZA"/>
        </w:rPr>
        <w:t xml:space="preserve"> </w:t>
      </w:r>
      <w:r w:rsidRPr="00BB5C77">
        <w:rPr>
          <w:rFonts w:ascii="Arial" w:eastAsia="Arial" w:hAnsi="Arial" w:cs="Arial"/>
          <w:color w:val="0A0A0A"/>
          <w:w w:val="106"/>
          <w:sz w:val="21"/>
          <w:szCs w:val="21"/>
          <w:lang w:val="en-ZA" w:eastAsia="en-ZA"/>
        </w:rPr>
        <w:t>performance</w:t>
      </w:r>
      <w:r w:rsidRPr="00BB5C77">
        <w:rPr>
          <w:rFonts w:ascii="Arial" w:eastAsia="Arial" w:hAnsi="Arial" w:cs="Arial"/>
          <w:color w:val="0A0A0A"/>
          <w:spacing w:val="-13"/>
          <w:w w:val="106"/>
          <w:sz w:val="21"/>
          <w:szCs w:val="21"/>
          <w:lang w:val="en-ZA" w:eastAsia="en-ZA"/>
        </w:rPr>
        <w:t xml:space="preserve"> </w:t>
      </w:r>
      <w:r w:rsidRPr="00BB5C77">
        <w:rPr>
          <w:rFonts w:ascii="Arial" w:eastAsia="Arial" w:hAnsi="Arial" w:cs="Arial"/>
          <w:color w:val="0A0A0A"/>
          <w:sz w:val="21"/>
          <w:szCs w:val="21"/>
          <w:lang w:val="en-ZA" w:eastAsia="en-ZA"/>
        </w:rPr>
        <w:t>report</w:t>
      </w:r>
      <w:r w:rsidRPr="00BB5C77">
        <w:rPr>
          <w:rFonts w:ascii="Arial" w:eastAsia="Arial" w:hAnsi="Arial" w:cs="Arial"/>
          <w:color w:val="0A0A0A"/>
          <w:spacing w:val="36"/>
          <w:sz w:val="21"/>
          <w:szCs w:val="21"/>
          <w:lang w:val="en-ZA" w:eastAsia="en-ZA"/>
        </w:rPr>
        <w:t xml:space="preserve"> </w:t>
      </w:r>
      <w:r w:rsidRPr="00BB5C77">
        <w:rPr>
          <w:rFonts w:ascii="Arial" w:eastAsia="Arial" w:hAnsi="Arial" w:cs="Arial"/>
          <w:color w:val="0A0A0A"/>
          <w:sz w:val="21"/>
          <w:szCs w:val="21"/>
          <w:lang w:val="en-ZA" w:eastAsia="en-ZA"/>
        </w:rPr>
        <w:t>includes</w:t>
      </w:r>
      <w:r w:rsidRPr="00BB5C77">
        <w:rPr>
          <w:rFonts w:ascii="Arial" w:eastAsia="Arial" w:hAnsi="Arial" w:cs="Arial"/>
          <w:color w:val="0A0A0A"/>
          <w:spacing w:val="50"/>
          <w:sz w:val="21"/>
          <w:szCs w:val="21"/>
          <w:lang w:val="en-ZA" w:eastAsia="en-ZA"/>
        </w:rPr>
        <w:t xml:space="preserve"> </w:t>
      </w:r>
      <w:r w:rsidRPr="00BB5C77">
        <w:rPr>
          <w:rFonts w:ascii="Arial" w:eastAsia="Arial" w:hAnsi="Arial" w:cs="Arial"/>
          <w:color w:val="0A0A0A"/>
          <w:sz w:val="21"/>
          <w:szCs w:val="21"/>
          <w:lang w:val="en-ZA" w:eastAsia="en-ZA"/>
        </w:rPr>
        <w:t>information</w:t>
      </w:r>
      <w:r w:rsidRPr="00BB5C77">
        <w:rPr>
          <w:rFonts w:ascii="Arial" w:eastAsia="Arial" w:hAnsi="Arial" w:cs="Arial"/>
          <w:color w:val="0A0A0A"/>
          <w:spacing w:val="31"/>
          <w:sz w:val="21"/>
          <w:szCs w:val="21"/>
          <w:lang w:val="en-ZA" w:eastAsia="en-ZA"/>
        </w:rPr>
        <w:t xml:space="preserve"> </w:t>
      </w:r>
      <w:r w:rsidRPr="00BB5C77">
        <w:rPr>
          <w:rFonts w:ascii="Arial" w:eastAsia="Arial" w:hAnsi="Arial" w:cs="Arial"/>
          <w:color w:val="0A0A0A"/>
          <w:sz w:val="21"/>
          <w:szCs w:val="21"/>
          <w:lang w:val="en-ZA" w:eastAsia="en-ZA"/>
        </w:rPr>
        <w:t>on</w:t>
      </w:r>
      <w:r w:rsidRPr="00BB5C77">
        <w:rPr>
          <w:rFonts w:ascii="Arial" w:eastAsia="Arial" w:hAnsi="Arial" w:cs="Arial"/>
          <w:color w:val="0A0A0A"/>
          <w:spacing w:val="17"/>
          <w:sz w:val="21"/>
          <w:szCs w:val="21"/>
          <w:lang w:val="en-ZA" w:eastAsia="en-ZA"/>
        </w:rPr>
        <w:t xml:space="preserve"> </w:t>
      </w:r>
      <w:r w:rsidRPr="00BB5C77">
        <w:rPr>
          <w:rFonts w:ascii="Arial" w:eastAsia="Arial" w:hAnsi="Arial" w:cs="Arial"/>
          <w:color w:val="0A0A0A"/>
          <w:w w:val="104"/>
          <w:sz w:val="21"/>
          <w:szCs w:val="21"/>
          <w:lang w:val="en-ZA" w:eastAsia="en-ZA"/>
        </w:rPr>
        <w:t xml:space="preserve">the </w:t>
      </w:r>
      <w:r w:rsidRPr="00BB5C77">
        <w:rPr>
          <w:rFonts w:ascii="Arial" w:eastAsia="Arial" w:hAnsi="Arial" w:cs="Arial"/>
          <w:color w:val="0A0A0A"/>
          <w:w w:val="105"/>
          <w:sz w:val="21"/>
          <w:szCs w:val="21"/>
          <w:lang w:val="en-ZA" w:eastAsia="en-ZA"/>
        </w:rPr>
        <w:t>achievement</w:t>
      </w:r>
      <w:r w:rsidRPr="00BB5C77">
        <w:rPr>
          <w:rFonts w:ascii="Arial" w:eastAsia="Arial" w:hAnsi="Arial" w:cs="Arial"/>
          <w:color w:val="0A0A0A"/>
          <w:spacing w:val="4"/>
          <w:w w:val="105"/>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13"/>
          <w:sz w:val="21"/>
          <w:szCs w:val="21"/>
          <w:lang w:val="en-ZA" w:eastAsia="en-ZA"/>
        </w:rPr>
        <w:t xml:space="preserve"> </w:t>
      </w:r>
      <w:r w:rsidRPr="00BB5C77">
        <w:rPr>
          <w:rFonts w:ascii="Arial" w:eastAsia="Arial" w:hAnsi="Arial" w:cs="Arial"/>
          <w:color w:val="0A0A0A"/>
          <w:sz w:val="21"/>
          <w:szCs w:val="21"/>
          <w:lang w:val="en-ZA" w:eastAsia="en-ZA"/>
        </w:rPr>
        <w:t>planned</w:t>
      </w:r>
      <w:r w:rsidRPr="00BB5C77">
        <w:rPr>
          <w:rFonts w:ascii="Arial" w:eastAsia="Arial" w:hAnsi="Arial" w:cs="Arial"/>
          <w:color w:val="0A0A0A"/>
          <w:spacing w:val="44"/>
          <w:sz w:val="21"/>
          <w:szCs w:val="21"/>
          <w:lang w:val="en-ZA" w:eastAsia="en-ZA"/>
        </w:rPr>
        <w:t xml:space="preserve"> </w:t>
      </w:r>
      <w:r w:rsidRPr="00BB5C77">
        <w:rPr>
          <w:rFonts w:ascii="Arial" w:eastAsia="Arial" w:hAnsi="Arial" w:cs="Arial"/>
          <w:color w:val="0A0A0A"/>
          <w:sz w:val="21"/>
          <w:szCs w:val="21"/>
          <w:lang w:val="en-ZA" w:eastAsia="en-ZA"/>
        </w:rPr>
        <w:t>targets</w:t>
      </w:r>
      <w:r w:rsidRPr="00BB5C77">
        <w:rPr>
          <w:rFonts w:ascii="Arial" w:eastAsia="Arial" w:hAnsi="Arial" w:cs="Arial"/>
          <w:color w:val="0A0A0A"/>
          <w:spacing w:val="32"/>
          <w:sz w:val="21"/>
          <w:szCs w:val="21"/>
          <w:lang w:val="en-ZA" w:eastAsia="en-ZA"/>
        </w:rPr>
        <w:t xml:space="preserve"> </w:t>
      </w:r>
      <w:r w:rsidRPr="00BB5C77">
        <w:rPr>
          <w:rFonts w:ascii="Arial" w:eastAsia="Arial" w:hAnsi="Arial" w:cs="Arial"/>
          <w:color w:val="0A0A0A"/>
          <w:sz w:val="21"/>
          <w:szCs w:val="21"/>
          <w:lang w:val="en-ZA" w:eastAsia="en-ZA"/>
        </w:rPr>
        <w:t>for</w:t>
      </w:r>
      <w:r w:rsidRPr="00BB5C77">
        <w:rPr>
          <w:rFonts w:ascii="Arial" w:eastAsia="Arial" w:hAnsi="Arial" w:cs="Arial"/>
          <w:color w:val="0A0A0A"/>
          <w:spacing w:val="14"/>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0"/>
          <w:sz w:val="21"/>
          <w:szCs w:val="21"/>
          <w:lang w:val="en-ZA" w:eastAsia="en-ZA"/>
        </w:rPr>
        <w:t xml:space="preserve"> </w:t>
      </w:r>
      <w:r w:rsidRPr="00BB5C77">
        <w:rPr>
          <w:rFonts w:ascii="Arial" w:eastAsia="Arial" w:hAnsi="Arial" w:cs="Arial"/>
          <w:color w:val="0A0A0A"/>
          <w:sz w:val="21"/>
          <w:szCs w:val="21"/>
          <w:lang w:val="en-ZA" w:eastAsia="en-ZA"/>
        </w:rPr>
        <w:t>year</w:t>
      </w:r>
      <w:r w:rsidRPr="00BB5C77">
        <w:rPr>
          <w:rFonts w:ascii="Arial" w:eastAsia="Arial" w:hAnsi="Arial" w:cs="Arial"/>
          <w:color w:val="0A0A0A"/>
          <w:spacing w:val="17"/>
          <w:sz w:val="21"/>
          <w:szCs w:val="21"/>
          <w:lang w:val="en-ZA" w:eastAsia="en-ZA"/>
        </w:rPr>
        <w:t xml:space="preserve"> </w:t>
      </w:r>
      <w:r w:rsidRPr="00BB5C77">
        <w:rPr>
          <w:rFonts w:ascii="Arial" w:eastAsia="Arial" w:hAnsi="Arial" w:cs="Arial"/>
          <w:color w:val="0A0A0A"/>
          <w:sz w:val="21"/>
          <w:szCs w:val="21"/>
          <w:lang w:val="en-ZA" w:eastAsia="en-ZA"/>
        </w:rPr>
        <w:t>and</w:t>
      </w:r>
      <w:r w:rsidRPr="00BB5C77">
        <w:rPr>
          <w:rFonts w:ascii="Arial" w:eastAsia="Arial" w:hAnsi="Arial" w:cs="Arial"/>
          <w:color w:val="0A0A0A"/>
          <w:spacing w:val="20"/>
          <w:sz w:val="21"/>
          <w:szCs w:val="21"/>
          <w:lang w:val="en-ZA" w:eastAsia="en-ZA"/>
        </w:rPr>
        <w:t xml:space="preserve"> </w:t>
      </w:r>
      <w:r w:rsidRPr="00BB5C77">
        <w:rPr>
          <w:rFonts w:ascii="Arial" w:eastAsia="Arial" w:hAnsi="Arial" w:cs="Arial"/>
          <w:color w:val="0A0A0A"/>
          <w:w w:val="106"/>
          <w:sz w:val="21"/>
          <w:szCs w:val="21"/>
          <w:lang w:val="en-ZA" w:eastAsia="en-ZA"/>
        </w:rPr>
        <w:t>explanations</w:t>
      </w:r>
      <w:r w:rsidRPr="00BB5C77">
        <w:rPr>
          <w:rFonts w:ascii="Arial" w:eastAsia="Arial" w:hAnsi="Arial" w:cs="Arial"/>
          <w:color w:val="0A0A0A"/>
          <w:spacing w:val="-7"/>
          <w:w w:val="106"/>
          <w:sz w:val="21"/>
          <w:szCs w:val="21"/>
          <w:lang w:val="en-ZA" w:eastAsia="en-ZA"/>
        </w:rPr>
        <w:t xml:space="preserve"> </w:t>
      </w:r>
      <w:r w:rsidRPr="00BB5C77">
        <w:rPr>
          <w:rFonts w:ascii="Arial" w:eastAsia="Arial" w:hAnsi="Arial" w:cs="Arial"/>
          <w:color w:val="0A0A0A"/>
          <w:sz w:val="21"/>
          <w:szCs w:val="21"/>
          <w:lang w:val="en-ZA" w:eastAsia="en-ZA"/>
        </w:rPr>
        <w:t>are</w:t>
      </w:r>
      <w:r w:rsidRPr="00BB5C77">
        <w:rPr>
          <w:rFonts w:ascii="Arial" w:eastAsia="Arial" w:hAnsi="Arial" w:cs="Arial"/>
          <w:color w:val="0A0A0A"/>
          <w:spacing w:val="19"/>
          <w:sz w:val="21"/>
          <w:szCs w:val="21"/>
          <w:lang w:val="en-ZA" w:eastAsia="en-ZA"/>
        </w:rPr>
        <w:t xml:space="preserve"> </w:t>
      </w:r>
      <w:r w:rsidRPr="00BB5C77">
        <w:rPr>
          <w:rFonts w:ascii="Arial" w:eastAsia="Arial" w:hAnsi="Arial" w:cs="Arial"/>
          <w:color w:val="0A0A0A"/>
          <w:sz w:val="21"/>
          <w:szCs w:val="21"/>
          <w:lang w:val="en-ZA" w:eastAsia="en-ZA"/>
        </w:rPr>
        <w:t>provided</w:t>
      </w:r>
      <w:r w:rsidRPr="00BB5C77">
        <w:rPr>
          <w:rFonts w:ascii="Arial" w:eastAsia="Arial" w:hAnsi="Arial" w:cs="Arial"/>
          <w:color w:val="0A0A0A"/>
          <w:spacing w:val="16"/>
          <w:sz w:val="21"/>
          <w:szCs w:val="21"/>
          <w:lang w:val="en-ZA" w:eastAsia="en-ZA"/>
        </w:rPr>
        <w:t xml:space="preserve"> </w:t>
      </w:r>
      <w:r w:rsidRPr="00BB5C77">
        <w:rPr>
          <w:rFonts w:ascii="Arial" w:eastAsia="Arial" w:hAnsi="Arial" w:cs="Arial"/>
          <w:color w:val="0A0A0A"/>
          <w:sz w:val="21"/>
          <w:szCs w:val="21"/>
          <w:lang w:val="en-ZA" w:eastAsia="en-ZA"/>
        </w:rPr>
        <w:t>for</w:t>
      </w:r>
      <w:r w:rsidRPr="00BB5C77">
        <w:rPr>
          <w:rFonts w:ascii="Arial" w:eastAsia="Arial" w:hAnsi="Arial" w:cs="Arial"/>
          <w:color w:val="0A0A0A"/>
          <w:spacing w:val="14"/>
          <w:sz w:val="21"/>
          <w:szCs w:val="21"/>
          <w:lang w:val="en-ZA" w:eastAsia="en-ZA"/>
        </w:rPr>
        <w:t xml:space="preserve"> </w:t>
      </w:r>
      <w:r w:rsidRPr="00BB5C77">
        <w:rPr>
          <w:rFonts w:ascii="Arial" w:eastAsia="Arial" w:hAnsi="Arial" w:cs="Arial"/>
          <w:color w:val="0A0A0A"/>
          <w:w w:val="107"/>
          <w:sz w:val="21"/>
          <w:szCs w:val="21"/>
          <w:lang w:val="en-ZA" w:eastAsia="en-ZA"/>
        </w:rPr>
        <w:t xml:space="preserve">the </w:t>
      </w:r>
      <w:r w:rsidRPr="00BB5C77">
        <w:rPr>
          <w:rFonts w:ascii="Arial" w:eastAsia="Arial" w:hAnsi="Arial" w:cs="Arial"/>
          <w:color w:val="0A0A0A"/>
          <w:w w:val="105"/>
          <w:sz w:val="21"/>
          <w:szCs w:val="21"/>
          <w:lang w:val="en-ZA" w:eastAsia="en-ZA"/>
        </w:rPr>
        <w:t>under/overachievement</w:t>
      </w:r>
      <w:r w:rsidRPr="00BB5C77">
        <w:rPr>
          <w:rFonts w:ascii="Arial" w:eastAsia="Arial" w:hAnsi="Arial" w:cs="Arial"/>
          <w:color w:val="0A0A0A"/>
          <w:spacing w:val="-21"/>
          <w:w w:val="105"/>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19"/>
          <w:sz w:val="21"/>
          <w:szCs w:val="21"/>
          <w:lang w:val="en-ZA" w:eastAsia="en-ZA"/>
        </w:rPr>
        <w:t xml:space="preserve"> </w:t>
      </w:r>
      <w:r w:rsidRPr="00BB5C77">
        <w:rPr>
          <w:rFonts w:ascii="Arial" w:eastAsia="Arial" w:hAnsi="Arial" w:cs="Arial"/>
          <w:color w:val="0A0A0A"/>
          <w:sz w:val="21"/>
          <w:szCs w:val="21"/>
          <w:lang w:val="en-ZA" w:eastAsia="en-ZA"/>
        </w:rPr>
        <w:t>a</w:t>
      </w:r>
      <w:r w:rsidRPr="00BB5C77">
        <w:rPr>
          <w:rFonts w:ascii="Arial" w:eastAsia="Arial" w:hAnsi="Arial" w:cs="Arial"/>
          <w:color w:val="0A0A0A"/>
          <w:spacing w:val="12"/>
          <w:sz w:val="21"/>
          <w:szCs w:val="21"/>
          <w:lang w:val="en-ZA" w:eastAsia="en-ZA"/>
        </w:rPr>
        <w:t xml:space="preserve"> </w:t>
      </w:r>
      <w:r w:rsidRPr="00BB5C77">
        <w:rPr>
          <w:rFonts w:ascii="Arial" w:eastAsia="Arial" w:hAnsi="Arial" w:cs="Arial"/>
          <w:color w:val="0A0A0A"/>
          <w:sz w:val="21"/>
          <w:szCs w:val="21"/>
          <w:lang w:val="en-ZA" w:eastAsia="en-ZA"/>
        </w:rPr>
        <w:t>number</w:t>
      </w:r>
      <w:r w:rsidRPr="00BB5C77">
        <w:rPr>
          <w:rFonts w:ascii="Arial" w:eastAsia="Arial" w:hAnsi="Arial" w:cs="Arial"/>
          <w:color w:val="0A0A0A"/>
          <w:spacing w:val="49"/>
          <w:sz w:val="21"/>
          <w:szCs w:val="21"/>
          <w:lang w:val="en-ZA" w:eastAsia="en-ZA"/>
        </w:rPr>
        <w:t xml:space="preserve"> </w:t>
      </w:r>
      <w:r w:rsidRPr="00BB5C77">
        <w:rPr>
          <w:rFonts w:ascii="Arial" w:eastAsia="Arial" w:hAnsi="Arial" w:cs="Arial"/>
          <w:color w:val="0A0A0A"/>
          <w:sz w:val="21"/>
          <w:szCs w:val="21"/>
          <w:lang w:val="en-ZA" w:eastAsia="en-ZA"/>
        </w:rPr>
        <w:t xml:space="preserve">of </w:t>
      </w:r>
      <w:r w:rsidRPr="00BB5C77">
        <w:rPr>
          <w:rFonts w:ascii="Arial" w:eastAsia="Arial" w:hAnsi="Arial" w:cs="Arial"/>
          <w:color w:val="0A0A0A"/>
          <w:w w:val="106"/>
          <w:sz w:val="21"/>
          <w:szCs w:val="21"/>
          <w:lang w:val="en-ZA" w:eastAsia="en-ZA"/>
        </w:rPr>
        <w:t>target</w:t>
      </w:r>
      <w:r w:rsidRPr="00BB5C77">
        <w:rPr>
          <w:rFonts w:ascii="Arial" w:eastAsia="Arial" w:hAnsi="Arial" w:cs="Arial"/>
          <w:color w:val="0A0A0A"/>
          <w:spacing w:val="-16"/>
          <w:w w:val="107"/>
          <w:sz w:val="21"/>
          <w:szCs w:val="21"/>
          <w:lang w:val="en-ZA" w:eastAsia="en-ZA"/>
        </w:rPr>
        <w:t>s</w:t>
      </w:r>
      <w:r w:rsidRPr="00BB5C77">
        <w:rPr>
          <w:rFonts w:ascii="Arial" w:eastAsia="Arial" w:hAnsi="Arial" w:cs="Arial"/>
          <w:color w:val="232323"/>
          <w:w w:val="136"/>
          <w:sz w:val="21"/>
          <w:szCs w:val="21"/>
          <w:lang w:val="en-ZA" w:eastAsia="en-ZA"/>
        </w:rPr>
        <w:t>.</w:t>
      </w:r>
    </w:p>
    <w:p w14:paraId="6A8565F5" w14:textId="77777777" w:rsidR="00BB5C77" w:rsidRPr="00BB5C77" w:rsidRDefault="00BB5C77" w:rsidP="00BB5C77">
      <w:pPr>
        <w:spacing w:before="15" w:after="0" w:line="200" w:lineRule="exact"/>
        <w:jc w:val="both"/>
        <w:rPr>
          <w:rFonts w:eastAsia="Times New Roman" w:cs="Times New Roman"/>
          <w:szCs w:val="20"/>
          <w:lang w:val="en-ZA" w:eastAsia="en-ZA"/>
        </w:rPr>
      </w:pPr>
    </w:p>
    <w:p w14:paraId="1AA56729" w14:textId="77777777" w:rsidR="00BB5C77" w:rsidRPr="00BB5C77" w:rsidRDefault="00BB5C77" w:rsidP="00BB5C77">
      <w:pPr>
        <w:spacing w:after="0" w:line="240" w:lineRule="auto"/>
        <w:ind w:left="215" w:right="-20"/>
        <w:jc w:val="both"/>
        <w:rPr>
          <w:rFonts w:ascii="Arial" w:eastAsia="Arial" w:hAnsi="Arial" w:cs="Arial"/>
          <w:sz w:val="23"/>
          <w:szCs w:val="23"/>
          <w:lang w:val="en-ZA" w:eastAsia="en-ZA"/>
        </w:rPr>
      </w:pPr>
      <w:r w:rsidRPr="00BB5C77">
        <w:rPr>
          <w:rFonts w:ascii="Arial" w:eastAsia="Arial" w:hAnsi="Arial" w:cs="Arial"/>
          <w:color w:val="232323"/>
          <w:w w:val="107"/>
          <w:sz w:val="23"/>
          <w:szCs w:val="23"/>
          <w:lang w:val="en-ZA" w:eastAsia="en-ZA"/>
        </w:rPr>
        <w:t>Adjustment</w:t>
      </w:r>
      <w:r w:rsidRPr="00BB5C77">
        <w:rPr>
          <w:rFonts w:ascii="Arial" w:eastAsia="Arial" w:hAnsi="Arial" w:cs="Arial"/>
          <w:color w:val="232323"/>
          <w:spacing w:val="-22"/>
          <w:w w:val="107"/>
          <w:sz w:val="23"/>
          <w:szCs w:val="23"/>
          <w:lang w:val="en-ZA" w:eastAsia="en-ZA"/>
        </w:rPr>
        <w:t xml:space="preserve"> </w:t>
      </w:r>
      <w:r w:rsidRPr="00BB5C77">
        <w:rPr>
          <w:rFonts w:ascii="Arial" w:eastAsia="Arial" w:hAnsi="Arial" w:cs="Arial"/>
          <w:color w:val="232323"/>
          <w:sz w:val="23"/>
          <w:szCs w:val="23"/>
          <w:lang w:val="en-ZA" w:eastAsia="en-ZA"/>
        </w:rPr>
        <w:t>of</w:t>
      </w:r>
      <w:r w:rsidRPr="00BB5C77">
        <w:rPr>
          <w:rFonts w:ascii="Arial" w:eastAsia="Arial" w:hAnsi="Arial" w:cs="Arial"/>
          <w:color w:val="232323"/>
          <w:spacing w:val="9"/>
          <w:sz w:val="23"/>
          <w:szCs w:val="23"/>
          <w:lang w:val="en-ZA" w:eastAsia="en-ZA"/>
        </w:rPr>
        <w:t xml:space="preserve"> </w:t>
      </w:r>
      <w:r w:rsidRPr="00BB5C77">
        <w:rPr>
          <w:rFonts w:ascii="Arial" w:eastAsia="Arial" w:hAnsi="Arial" w:cs="Arial"/>
          <w:color w:val="232323"/>
          <w:w w:val="105"/>
          <w:sz w:val="23"/>
          <w:szCs w:val="23"/>
          <w:lang w:val="en-ZA" w:eastAsia="en-ZA"/>
        </w:rPr>
        <w:t>materia</w:t>
      </w:r>
      <w:r w:rsidRPr="00BB5C77">
        <w:rPr>
          <w:rFonts w:ascii="Arial" w:eastAsia="Arial" w:hAnsi="Arial" w:cs="Arial"/>
          <w:color w:val="232323"/>
          <w:spacing w:val="6"/>
          <w:w w:val="105"/>
          <w:sz w:val="23"/>
          <w:szCs w:val="23"/>
          <w:lang w:val="en-ZA" w:eastAsia="en-ZA"/>
        </w:rPr>
        <w:t xml:space="preserve">l </w:t>
      </w:r>
      <w:r w:rsidRPr="00BB5C77">
        <w:rPr>
          <w:rFonts w:ascii="Arial" w:eastAsia="Arial" w:hAnsi="Arial" w:cs="Arial"/>
          <w:color w:val="232323"/>
          <w:w w:val="105"/>
          <w:sz w:val="23"/>
          <w:szCs w:val="23"/>
          <w:lang w:val="en-ZA" w:eastAsia="en-ZA"/>
        </w:rPr>
        <w:t>misstatements</w:t>
      </w:r>
    </w:p>
    <w:p w14:paraId="56734CBC" w14:textId="77777777" w:rsidR="00BB5C77" w:rsidRPr="00BB5C77" w:rsidRDefault="00BB5C77" w:rsidP="00BB5C77">
      <w:pPr>
        <w:spacing w:before="10" w:after="0" w:line="240" w:lineRule="exact"/>
        <w:jc w:val="both"/>
        <w:rPr>
          <w:rFonts w:eastAsia="Times New Roman" w:cs="Times New Roman"/>
          <w:sz w:val="24"/>
          <w:szCs w:val="24"/>
          <w:lang w:val="en-ZA" w:eastAsia="en-ZA"/>
        </w:rPr>
      </w:pPr>
    </w:p>
    <w:p w14:paraId="2053B505" w14:textId="77777777" w:rsidR="00BB5C77" w:rsidRPr="00BB5C77" w:rsidRDefault="00BB5C77" w:rsidP="00BB5C77">
      <w:pPr>
        <w:spacing w:after="0" w:line="240" w:lineRule="auto"/>
        <w:ind w:left="589" w:right="125" w:hanging="359"/>
        <w:jc w:val="both"/>
        <w:rPr>
          <w:rFonts w:ascii="Arial" w:eastAsia="Arial" w:hAnsi="Arial" w:cs="Arial"/>
          <w:color w:val="0A0A0A"/>
          <w:w w:val="105"/>
          <w:sz w:val="21"/>
          <w:szCs w:val="21"/>
          <w:lang w:val="en-ZA" w:eastAsia="en-ZA"/>
        </w:rPr>
      </w:pPr>
      <w:r w:rsidRPr="00BB5C77">
        <w:rPr>
          <w:rFonts w:ascii="Arial" w:eastAsia="Arial" w:hAnsi="Arial" w:cs="Arial"/>
          <w:color w:val="0A0A0A"/>
          <w:w w:val="106"/>
          <w:sz w:val="21"/>
          <w:szCs w:val="21"/>
          <w:lang w:val="en-ZA" w:eastAsia="en-ZA"/>
        </w:rPr>
        <w:t>2</w:t>
      </w:r>
      <w:r w:rsidRPr="00BB5C77">
        <w:rPr>
          <w:rFonts w:ascii="Arial" w:eastAsia="Arial" w:hAnsi="Arial" w:cs="Arial"/>
          <w:color w:val="0A0A0A"/>
          <w:spacing w:val="-4"/>
          <w:w w:val="106"/>
          <w:sz w:val="21"/>
          <w:szCs w:val="21"/>
          <w:lang w:val="en-ZA" w:eastAsia="en-ZA"/>
        </w:rPr>
        <w:t>2</w:t>
      </w:r>
      <w:r w:rsidRPr="00BB5C77">
        <w:rPr>
          <w:rFonts w:ascii="Arial" w:eastAsia="Arial" w:hAnsi="Arial" w:cs="Arial"/>
          <w:color w:val="343434"/>
          <w:w w:val="136"/>
          <w:sz w:val="21"/>
          <w:szCs w:val="21"/>
          <w:lang w:val="en-ZA" w:eastAsia="en-ZA"/>
        </w:rPr>
        <w:t>.</w:t>
      </w:r>
      <w:r w:rsidRPr="00BB5C77">
        <w:rPr>
          <w:rFonts w:ascii="Arial" w:eastAsia="Arial" w:hAnsi="Arial" w:cs="Arial"/>
          <w:color w:val="343434"/>
          <w:spacing w:val="-24"/>
          <w:sz w:val="21"/>
          <w:szCs w:val="21"/>
          <w:lang w:val="en-ZA" w:eastAsia="en-ZA"/>
        </w:rPr>
        <w:t xml:space="preserve"> </w:t>
      </w:r>
      <w:r w:rsidRPr="00BB5C77">
        <w:rPr>
          <w:rFonts w:ascii="Arial" w:eastAsia="Arial" w:hAnsi="Arial" w:cs="Arial"/>
          <w:color w:val="0A0A0A"/>
          <w:w w:val="143"/>
          <w:sz w:val="21"/>
          <w:szCs w:val="21"/>
          <w:lang w:val="en-ZA" w:eastAsia="en-ZA"/>
        </w:rPr>
        <w:t>I</w:t>
      </w:r>
      <w:r w:rsidRPr="00BB5C77">
        <w:rPr>
          <w:rFonts w:ascii="Arial" w:eastAsia="Arial" w:hAnsi="Arial" w:cs="Arial"/>
          <w:color w:val="0A0A0A"/>
          <w:spacing w:val="-47"/>
          <w:w w:val="143"/>
          <w:sz w:val="21"/>
          <w:szCs w:val="21"/>
          <w:lang w:val="en-ZA" w:eastAsia="en-ZA"/>
        </w:rPr>
        <w:t xml:space="preserve"> </w:t>
      </w:r>
      <w:r w:rsidRPr="00BB5C77">
        <w:rPr>
          <w:rFonts w:ascii="Arial" w:eastAsia="Arial" w:hAnsi="Arial" w:cs="Arial"/>
          <w:color w:val="0A0A0A"/>
          <w:sz w:val="21"/>
          <w:szCs w:val="21"/>
          <w:lang w:val="en-ZA" w:eastAsia="en-ZA"/>
        </w:rPr>
        <w:t>identified</w:t>
      </w:r>
      <w:r w:rsidRPr="00BB5C77">
        <w:rPr>
          <w:rFonts w:ascii="Arial" w:eastAsia="Arial" w:hAnsi="Arial" w:cs="Arial"/>
          <w:color w:val="0A0A0A"/>
          <w:spacing w:val="40"/>
          <w:sz w:val="21"/>
          <w:szCs w:val="21"/>
          <w:lang w:val="en-ZA" w:eastAsia="en-ZA"/>
        </w:rPr>
        <w:t xml:space="preserve"> </w:t>
      </w:r>
      <w:r w:rsidRPr="00BB5C77">
        <w:rPr>
          <w:rFonts w:ascii="Arial" w:eastAsia="Arial" w:hAnsi="Arial" w:cs="Arial"/>
          <w:color w:val="0A0A0A"/>
          <w:sz w:val="21"/>
          <w:szCs w:val="21"/>
          <w:lang w:val="en-ZA" w:eastAsia="en-ZA"/>
        </w:rPr>
        <w:t>material</w:t>
      </w:r>
      <w:r w:rsidRPr="00BB5C77">
        <w:rPr>
          <w:rFonts w:ascii="Arial" w:eastAsia="Arial" w:hAnsi="Arial" w:cs="Arial"/>
          <w:color w:val="0A0A0A"/>
          <w:spacing w:val="22"/>
          <w:sz w:val="21"/>
          <w:szCs w:val="21"/>
          <w:lang w:val="en-ZA" w:eastAsia="en-ZA"/>
        </w:rPr>
        <w:t xml:space="preserve"> </w:t>
      </w:r>
      <w:r w:rsidRPr="00BB5C77">
        <w:rPr>
          <w:rFonts w:ascii="Arial" w:eastAsia="Arial" w:hAnsi="Arial" w:cs="Arial"/>
          <w:color w:val="0A0A0A"/>
          <w:w w:val="106"/>
          <w:sz w:val="21"/>
          <w:szCs w:val="21"/>
          <w:lang w:val="en-ZA" w:eastAsia="en-ZA"/>
        </w:rPr>
        <w:t>misstatements</w:t>
      </w:r>
      <w:r w:rsidRPr="00BB5C77">
        <w:rPr>
          <w:rFonts w:ascii="Arial" w:eastAsia="Arial" w:hAnsi="Arial" w:cs="Arial"/>
          <w:color w:val="0A0A0A"/>
          <w:spacing w:val="-12"/>
          <w:w w:val="106"/>
          <w:sz w:val="21"/>
          <w:szCs w:val="21"/>
          <w:lang w:val="en-ZA" w:eastAsia="en-ZA"/>
        </w:rPr>
        <w:t xml:space="preserve"> </w:t>
      </w:r>
      <w:r w:rsidRPr="00BB5C77">
        <w:rPr>
          <w:rFonts w:ascii="Arial" w:eastAsia="Arial" w:hAnsi="Arial" w:cs="Arial"/>
          <w:color w:val="0A0A0A"/>
          <w:sz w:val="21"/>
          <w:szCs w:val="21"/>
          <w:lang w:val="en-ZA" w:eastAsia="en-ZA"/>
        </w:rPr>
        <w:t>in</w:t>
      </w:r>
      <w:r w:rsidRPr="00BB5C77">
        <w:rPr>
          <w:rFonts w:ascii="Arial" w:eastAsia="Arial" w:hAnsi="Arial" w:cs="Arial"/>
          <w:color w:val="0A0A0A"/>
          <w:spacing w:val="1"/>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4"/>
          <w:sz w:val="21"/>
          <w:szCs w:val="21"/>
          <w:lang w:val="en-ZA" w:eastAsia="en-ZA"/>
        </w:rPr>
        <w:t xml:space="preserve"> </w:t>
      </w:r>
      <w:r w:rsidRPr="00BB5C77">
        <w:rPr>
          <w:rFonts w:ascii="Arial" w:eastAsia="Arial" w:hAnsi="Arial" w:cs="Arial"/>
          <w:color w:val="0A0A0A"/>
          <w:sz w:val="21"/>
          <w:szCs w:val="21"/>
          <w:lang w:val="en-ZA" w:eastAsia="en-ZA"/>
        </w:rPr>
        <w:t>annual</w:t>
      </w:r>
      <w:r w:rsidRPr="00BB5C77">
        <w:rPr>
          <w:rFonts w:ascii="Arial" w:eastAsia="Arial" w:hAnsi="Arial" w:cs="Arial"/>
          <w:color w:val="0A0A0A"/>
          <w:spacing w:val="22"/>
          <w:sz w:val="21"/>
          <w:szCs w:val="21"/>
          <w:lang w:val="en-ZA" w:eastAsia="en-ZA"/>
        </w:rPr>
        <w:t xml:space="preserve"> </w:t>
      </w:r>
      <w:r w:rsidRPr="00BB5C77">
        <w:rPr>
          <w:rFonts w:ascii="Arial" w:eastAsia="Arial" w:hAnsi="Arial" w:cs="Arial"/>
          <w:color w:val="0A0A0A"/>
          <w:w w:val="106"/>
          <w:sz w:val="21"/>
          <w:szCs w:val="21"/>
          <w:lang w:val="en-ZA" w:eastAsia="en-ZA"/>
        </w:rPr>
        <w:t>performance</w:t>
      </w:r>
      <w:r w:rsidRPr="00BB5C77">
        <w:rPr>
          <w:rFonts w:ascii="Arial" w:eastAsia="Arial" w:hAnsi="Arial" w:cs="Arial"/>
          <w:color w:val="0A0A0A"/>
          <w:spacing w:val="-13"/>
          <w:w w:val="106"/>
          <w:sz w:val="21"/>
          <w:szCs w:val="21"/>
          <w:lang w:val="en-ZA" w:eastAsia="en-ZA"/>
        </w:rPr>
        <w:t xml:space="preserve"> </w:t>
      </w:r>
      <w:r w:rsidRPr="00BB5C77">
        <w:rPr>
          <w:rFonts w:ascii="Arial" w:eastAsia="Arial" w:hAnsi="Arial" w:cs="Arial"/>
          <w:color w:val="0A0A0A"/>
          <w:sz w:val="21"/>
          <w:szCs w:val="21"/>
          <w:lang w:val="en-ZA" w:eastAsia="en-ZA"/>
        </w:rPr>
        <w:t>report</w:t>
      </w:r>
      <w:r w:rsidRPr="00BB5C77">
        <w:rPr>
          <w:rFonts w:ascii="Arial" w:eastAsia="Arial" w:hAnsi="Arial" w:cs="Arial"/>
          <w:color w:val="0A0A0A"/>
          <w:spacing w:val="31"/>
          <w:sz w:val="21"/>
          <w:szCs w:val="21"/>
          <w:lang w:val="en-ZA" w:eastAsia="en-ZA"/>
        </w:rPr>
        <w:t xml:space="preserve"> </w:t>
      </w:r>
      <w:r w:rsidRPr="00BB5C77">
        <w:rPr>
          <w:rFonts w:ascii="Arial" w:eastAsia="Arial" w:hAnsi="Arial" w:cs="Arial"/>
          <w:color w:val="0A0A0A"/>
          <w:sz w:val="21"/>
          <w:szCs w:val="21"/>
          <w:lang w:val="en-ZA" w:eastAsia="en-ZA"/>
        </w:rPr>
        <w:t>submitted</w:t>
      </w:r>
      <w:r w:rsidRPr="00BB5C77">
        <w:rPr>
          <w:rFonts w:ascii="Arial" w:eastAsia="Arial" w:hAnsi="Arial" w:cs="Arial"/>
          <w:color w:val="0A0A0A"/>
          <w:spacing w:val="14"/>
          <w:sz w:val="21"/>
          <w:szCs w:val="21"/>
          <w:lang w:val="en-ZA" w:eastAsia="en-ZA"/>
        </w:rPr>
        <w:t xml:space="preserve"> </w:t>
      </w:r>
      <w:r w:rsidRPr="00BB5C77">
        <w:rPr>
          <w:rFonts w:ascii="Arial" w:eastAsia="Arial" w:hAnsi="Arial" w:cs="Arial"/>
          <w:color w:val="0A0A0A"/>
          <w:w w:val="110"/>
          <w:sz w:val="21"/>
          <w:szCs w:val="21"/>
          <w:lang w:val="en-ZA" w:eastAsia="en-ZA"/>
        </w:rPr>
        <w:t xml:space="preserve">for </w:t>
      </w:r>
      <w:r w:rsidRPr="00BB5C77">
        <w:rPr>
          <w:rFonts w:ascii="Arial" w:eastAsia="Arial" w:hAnsi="Arial" w:cs="Arial"/>
          <w:color w:val="0A0A0A"/>
          <w:w w:val="105"/>
          <w:sz w:val="21"/>
          <w:szCs w:val="21"/>
          <w:lang w:val="en-ZA" w:eastAsia="en-ZA"/>
        </w:rPr>
        <w:t>auditing</w:t>
      </w:r>
      <w:r w:rsidRPr="00BB5C77">
        <w:rPr>
          <w:rFonts w:ascii="Arial" w:eastAsia="Arial" w:hAnsi="Arial" w:cs="Arial"/>
          <w:color w:val="0A0A0A"/>
          <w:spacing w:val="-4"/>
          <w:w w:val="105"/>
          <w:sz w:val="21"/>
          <w:szCs w:val="21"/>
          <w:lang w:val="en-ZA" w:eastAsia="en-ZA"/>
        </w:rPr>
        <w:t xml:space="preserve">. </w:t>
      </w:r>
      <w:r w:rsidRPr="00BB5C77">
        <w:rPr>
          <w:rFonts w:ascii="Arial" w:eastAsia="Arial" w:hAnsi="Arial" w:cs="Arial"/>
          <w:color w:val="0A0A0A"/>
          <w:w w:val="105"/>
          <w:sz w:val="21"/>
          <w:szCs w:val="21"/>
          <w:lang w:val="en-ZA" w:eastAsia="en-ZA"/>
        </w:rPr>
        <w:t>These</w:t>
      </w:r>
      <w:r w:rsidRPr="00BB5C77">
        <w:rPr>
          <w:rFonts w:ascii="Arial" w:eastAsia="Arial" w:hAnsi="Arial" w:cs="Arial"/>
          <w:color w:val="0A0A0A"/>
          <w:spacing w:val="17"/>
          <w:w w:val="105"/>
          <w:sz w:val="21"/>
          <w:szCs w:val="21"/>
          <w:lang w:val="en-ZA" w:eastAsia="en-ZA"/>
        </w:rPr>
        <w:t xml:space="preserve"> </w:t>
      </w:r>
      <w:r w:rsidRPr="00BB5C77">
        <w:rPr>
          <w:rFonts w:ascii="Arial" w:eastAsia="Arial" w:hAnsi="Arial" w:cs="Arial"/>
          <w:color w:val="0A0A0A"/>
          <w:w w:val="105"/>
          <w:sz w:val="21"/>
          <w:szCs w:val="21"/>
          <w:lang w:val="en-ZA" w:eastAsia="en-ZA"/>
        </w:rPr>
        <w:t>materia</w:t>
      </w:r>
      <w:r w:rsidRPr="00BB5C77">
        <w:rPr>
          <w:rFonts w:ascii="Arial" w:eastAsia="Arial" w:hAnsi="Arial" w:cs="Arial"/>
          <w:color w:val="0A0A0A"/>
          <w:spacing w:val="6"/>
          <w:w w:val="105"/>
          <w:sz w:val="21"/>
          <w:szCs w:val="21"/>
          <w:lang w:val="en-ZA" w:eastAsia="en-ZA"/>
        </w:rPr>
        <w:t xml:space="preserve">l </w:t>
      </w:r>
      <w:r w:rsidRPr="00BB5C77">
        <w:rPr>
          <w:rFonts w:ascii="Arial" w:eastAsia="Arial" w:hAnsi="Arial" w:cs="Arial"/>
          <w:color w:val="0A0A0A"/>
          <w:w w:val="105"/>
          <w:sz w:val="21"/>
          <w:szCs w:val="21"/>
          <w:lang w:val="en-ZA" w:eastAsia="en-ZA"/>
        </w:rPr>
        <w:t>misstatements</w:t>
      </w:r>
      <w:r w:rsidRPr="00BB5C77">
        <w:rPr>
          <w:rFonts w:ascii="Arial" w:eastAsia="Arial" w:hAnsi="Arial" w:cs="Arial"/>
          <w:color w:val="0A0A0A"/>
          <w:spacing w:val="8"/>
          <w:w w:val="105"/>
          <w:sz w:val="21"/>
          <w:szCs w:val="21"/>
          <w:lang w:val="en-ZA" w:eastAsia="en-ZA"/>
        </w:rPr>
        <w:t xml:space="preserve"> </w:t>
      </w:r>
      <w:r w:rsidRPr="00BB5C77">
        <w:rPr>
          <w:rFonts w:ascii="Arial" w:eastAsia="Arial" w:hAnsi="Arial" w:cs="Arial"/>
          <w:color w:val="0A0A0A"/>
          <w:sz w:val="21"/>
          <w:szCs w:val="21"/>
          <w:lang w:val="en-ZA" w:eastAsia="en-ZA"/>
        </w:rPr>
        <w:t>were</w:t>
      </w:r>
      <w:r w:rsidRPr="00BB5C77">
        <w:rPr>
          <w:rFonts w:ascii="Arial" w:eastAsia="Arial" w:hAnsi="Arial" w:cs="Arial"/>
          <w:color w:val="0A0A0A"/>
          <w:spacing w:val="7"/>
          <w:sz w:val="21"/>
          <w:szCs w:val="21"/>
          <w:lang w:val="en-ZA" w:eastAsia="en-ZA"/>
        </w:rPr>
        <w:t xml:space="preserve"> </w:t>
      </w:r>
      <w:r w:rsidRPr="00BB5C77">
        <w:rPr>
          <w:rFonts w:ascii="Arial" w:eastAsia="Arial" w:hAnsi="Arial" w:cs="Arial"/>
          <w:color w:val="0A0A0A"/>
          <w:sz w:val="21"/>
          <w:szCs w:val="21"/>
          <w:lang w:val="en-ZA" w:eastAsia="en-ZA"/>
        </w:rPr>
        <w:t>on</w:t>
      </w:r>
      <w:r w:rsidRPr="00BB5C77">
        <w:rPr>
          <w:rFonts w:ascii="Arial" w:eastAsia="Arial" w:hAnsi="Arial" w:cs="Arial"/>
          <w:color w:val="0A0A0A"/>
          <w:spacing w:val="22"/>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0"/>
          <w:sz w:val="21"/>
          <w:szCs w:val="21"/>
          <w:lang w:val="en-ZA" w:eastAsia="en-ZA"/>
        </w:rPr>
        <w:t xml:space="preserve"> </w:t>
      </w:r>
      <w:r w:rsidRPr="00BB5C77">
        <w:rPr>
          <w:rFonts w:ascii="Arial" w:eastAsia="Arial" w:hAnsi="Arial" w:cs="Arial"/>
          <w:color w:val="0A0A0A"/>
          <w:sz w:val="21"/>
          <w:szCs w:val="21"/>
          <w:lang w:val="en-ZA" w:eastAsia="en-ZA"/>
        </w:rPr>
        <w:t>reported</w:t>
      </w:r>
      <w:r w:rsidRPr="00BB5C77">
        <w:rPr>
          <w:rFonts w:ascii="Arial" w:eastAsia="Arial" w:hAnsi="Arial" w:cs="Arial"/>
          <w:color w:val="0A0A0A"/>
          <w:spacing w:val="43"/>
          <w:sz w:val="21"/>
          <w:szCs w:val="21"/>
          <w:lang w:val="en-ZA" w:eastAsia="en-ZA"/>
        </w:rPr>
        <w:t xml:space="preserve"> </w:t>
      </w:r>
      <w:r w:rsidRPr="00BB5C77">
        <w:rPr>
          <w:rFonts w:ascii="Arial" w:eastAsia="Arial" w:hAnsi="Arial" w:cs="Arial"/>
          <w:color w:val="0A0A0A"/>
          <w:sz w:val="21"/>
          <w:szCs w:val="21"/>
          <w:lang w:val="en-ZA" w:eastAsia="en-ZA"/>
        </w:rPr>
        <w:t>performance</w:t>
      </w:r>
      <w:r w:rsidRPr="00BB5C77">
        <w:rPr>
          <w:rFonts w:ascii="Arial" w:eastAsia="Arial" w:hAnsi="Arial" w:cs="Arial"/>
          <w:color w:val="0A0A0A"/>
          <w:spacing w:val="50"/>
          <w:sz w:val="21"/>
          <w:szCs w:val="21"/>
          <w:lang w:val="en-ZA" w:eastAsia="en-ZA"/>
        </w:rPr>
        <w:t xml:space="preserve"> </w:t>
      </w:r>
      <w:r w:rsidRPr="00BB5C77">
        <w:rPr>
          <w:rFonts w:ascii="Arial" w:eastAsia="Arial" w:hAnsi="Arial" w:cs="Arial"/>
          <w:color w:val="232323"/>
          <w:spacing w:val="-13"/>
          <w:w w:val="155"/>
          <w:sz w:val="21"/>
          <w:szCs w:val="21"/>
          <w:lang w:val="en-ZA" w:eastAsia="en-ZA"/>
        </w:rPr>
        <w:t>i</w:t>
      </w:r>
      <w:r w:rsidRPr="00BB5C77">
        <w:rPr>
          <w:rFonts w:ascii="Arial" w:eastAsia="Arial" w:hAnsi="Arial" w:cs="Arial"/>
          <w:color w:val="0A0A0A"/>
          <w:w w:val="106"/>
          <w:sz w:val="21"/>
          <w:szCs w:val="21"/>
          <w:lang w:val="en-ZA" w:eastAsia="en-ZA"/>
        </w:rPr>
        <w:t>nformatio</w:t>
      </w:r>
      <w:r w:rsidRPr="00BB5C77">
        <w:rPr>
          <w:rFonts w:ascii="Arial" w:eastAsia="Arial" w:hAnsi="Arial" w:cs="Arial"/>
          <w:color w:val="0A0A0A"/>
          <w:w w:val="107"/>
          <w:sz w:val="21"/>
          <w:szCs w:val="21"/>
          <w:lang w:val="en-ZA" w:eastAsia="en-ZA"/>
        </w:rPr>
        <w:t>n</w:t>
      </w:r>
      <w:r w:rsidRPr="00BB5C77">
        <w:rPr>
          <w:rFonts w:ascii="Arial" w:eastAsia="Arial" w:hAnsi="Arial" w:cs="Arial"/>
          <w:color w:val="0A0A0A"/>
          <w:spacing w:val="-12"/>
          <w:sz w:val="21"/>
          <w:szCs w:val="21"/>
          <w:lang w:val="en-ZA" w:eastAsia="en-ZA"/>
        </w:rPr>
        <w:t xml:space="preserve"> </w:t>
      </w:r>
      <w:r w:rsidRPr="00BB5C77">
        <w:rPr>
          <w:rFonts w:ascii="Arial" w:eastAsia="Arial" w:hAnsi="Arial" w:cs="Arial"/>
          <w:color w:val="0A0A0A"/>
          <w:w w:val="114"/>
          <w:sz w:val="21"/>
          <w:szCs w:val="21"/>
          <w:lang w:val="en-ZA" w:eastAsia="en-ZA"/>
        </w:rPr>
        <w:t xml:space="preserve">of </w:t>
      </w:r>
      <w:r w:rsidRPr="00BB5C77">
        <w:rPr>
          <w:rFonts w:ascii="Arial" w:eastAsia="Arial" w:hAnsi="Arial" w:cs="Arial"/>
          <w:color w:val="0A0A0A"/>
          <w:sz w:val="21"/>
          <w:szCs w:val="21"/>
          <w:lang w:val="en-ZA" w:eastAsia="en-ZA"/>
        </w:rPr>
        <w:t xml:space="preserve">development </w:t>
      </w:r>
      <w:r w:rsidRPr="00BB5C77">
        <w:rPr>
          <w:rFonts w:ascii="Arial" w:eastAsia="Arial" w:hAnsi="Arial" w:cs="Arial"/>
          <w:color w:val="0A0A0A"/>
          <w:spacing w:val="5"/>
          <w:sz w:val="21"/>
          <w:szCs w:val="21"/>
          <w:lang w:val="en-ZA" w:eastAsia="en-ZA"/>
        </w:rPr>
        <w:t>priority</w:t>
      </w:r>
      <w:r w:rsidRPr="00BB5C77">
        <w:rPr>
          <w:rFonts w:ascii="Arial" w:eastAsia="Arial" w:hAnsi="Arial" w:cs="Arial"/>
          <w:color w:val="0A0A0A"/>
          <w:spacing w:val="32"/>
          <w:sz w:val="21"/>
          <w:szCs w:val="21"/>
          <w:lang w:val="en-ZA" w:eastAsia="en-ZA"/>
        </w:rPr>
        <w:t xml:space="preserve"> </w:t>
      </w:r>
      <w:r w:rsidRPr="00BB5C77">
        <w:rPr>
          <w:rFonts w:ascii="Times New Roman" w:eastAsia="Times New Roman" w:hAnsi="Times New Roman" w:cs="Times New Roman"/>
          <w:color w:val="0A0A0A"/>
          <w:sz w:val="23"/>
          <w:szCs w:val="23"/>
          <w:lang w:val="en-ZA" w:eastAsia="en-ZA"/>
        </w:rPr>
        <w:t>2</w:t>
      </w:r>
      <w:r w:rsidRPr="00BB5C77">
        <w:rPr>
          <w:rFonts w:ascii="Times New Roman" w:eastAsia="Times New Roman" w:hAnsi="Times New Roman" w:cs="Times New Roman"/>
          <w:color w:val="0A0A0A"/>
          <w:spacing w:val="-5"/>
          <w:sz w:val="23"/>
          <w:szCs w:val="23"/>
          <w:lang w:val="en-ZA" w:eastAsia="en-ZA"/>
        </w:rPr>
        <w:t xml:space="preserve"> </w:t>
      </w:r>
      <w:r w:rsidRPr="00BB5C77">
        <w:rPr>
          <w:rFonts w:ascii="Times New Roman" w:eastAsia="Times New Roman" w:hAnsi="Times New Roman" w:cs="Times New Roman"/>
          <w:color w:val="0A0A0A"/>
          <w:spacing w:val="8"/>
          <w:w w:val="247"/>
          <w:sz w:val="23"/>
          <w:szCs w:val="23"/>
          <w:lang w:val="en-ZA" w:eastAsia="en-ZA"/>
        </w:rPr>
        <w:t>-</w:t>
      </w:r>
      <w:r w:rsidRPr="00BB5C77">
        <w:rPr>
          <w:rFonts w:ascii="Arial" w:eastAsia="Arial" w:hAnsi="Arial" w:cs="Arial"/>
          <w:color w:val="0A0A0A"/>
          <w:w w:val="107"/>
          <w:sz w:val="21"/>
          <w:szCs w:val="21"/>
          <w:lang w:val="en-ZA" w:eastAsia="en-ZA"/>
        </w:rPr>
        <w:t>basic</w:t>
      </w:r>
      <w:r w:rsidRPr="00BB5C77">
        <w:rPr>
          <w:rFonts w:ascii="Arial" w:eastAsia="Arial" w:hAnsi="Arial" w:cs="Arial"/>
          <w:color w:val="0A0A0A"/>
          <w:spacing w:val="-4"/>
          <w:sz w:val="21"/>
          <w:szCs w:val="21"/>
          <w:lang w:val="en-ZA" w:eastAsia="en-ZA"/>
        </w:rPr>
        <w:t xml:space="preserve"> </w:t>
      </w:r>
      <w:r w:rsidRPr="00BB5C77">
        <w:rPr>
          <w:rFonts w:ascii="Arial" w:eastAsia="Arial" w:hAnsi="Arial" w:cs="Arial"/>
          <w:color w:val="0A0A0A"/>
          <w:sz w:val="21"/>
          <w:szCs w:val="21"/>
          <w:lang w:val="en-ZA" w:eastAsia="en-ZA"/>
        </w:rPr>
        <w:t>service</w:t>
      </w:r>
      <w:r w:rsidRPr="00BB5C77">
        <w:rPr>
          <w:rFonts w:ascii="Arial" w:eastAsia="Arial" w:hAnsi="Arial" w:cs="Arial"/>
          <w:color w:val="0A0A0A"/>
          <w:spacing w:val="34"/>
          <w:sz w:val="21"/>
          <w:szCs w:val="21"/>
          <w:lang w:val="en-ZA" w:eastAsia="en-ZA"/>
        </w:rPr>
        <w:t xml:space="preserve"> </w:t>
      </w:r>
      <w:r w:rsidRPr="00BB5C77">
        <w:rPr>
          <w:rFonts w:ascii="Arial" w:eastAsia="Arial" w:hAnsi="Arial" w:cs="Arial"/>
          <w:color w:val="0A0A0A"/>
          <w:sz w:val="21"/>
          <w:szCs w:val="21"/>
          <w:lang w:val="en-ZA" w:eastAsia="en-ZA"/>
        </w:rPr>
        <w:t>delivery</w:t>
      </w:r>
      <w:r w:rsidRPr="00BB5C77">
        <w:rPr>
          <w:rFonts w:ascii="Arial" w:eastAsia="Arial" w:hAnsi="Arial" w:cs="Arial"/>
          <w:color w:val="0A0A0A"/>
          <w:spacing w:val="32"/>
          <w:sz w:val="21"/>
          <w:szCs w:val="21"/>
          <w:lang w:val="en-ZA" w:eastAsia="en-ZA"/>
        </w:rPr>
        <w:t xml:space="preserve"> </w:t>
      </w:r>
      <w:r w:rsidRPr="00BB5C77">
        <w:rPr>
          <w:rFonts w:ascii="Arial" w:eastAsia="Arial" w:hAnsi="Arial" w:cs="Arial"/>
          <w:color w:val="0A0A0A"/>
          <w:sz w:val="21"/>
          <w:szCs w:val="21"/>
          <w:lang w:val="en-ZA" w:eastAsia="en-ZA"/>
        </w:rPr>
        <w:t>and</w:t>
      </w:r>
      <w:r w:rsidRPr="00BB5C77">
        <w:rPr>
          <w:rFonts w:ascii="Arial" w:eastAsia="Arial" w:hAnsi="Arial" w:cs="Arial"/>
          <w:color w:val="0A0A0A"/>
          <w:spacing w:val="28"/>
          <w:sz w:val="21"/>
          <w:szCs w:val="21"/>
          <w:lang w:val="en-ZA" w:eastAsia="en-ZA"/>
        </w:rPr>
        <w:t xml:space="preserve"> </w:t>
      </w:r>
      <w:r w:rsidRPr="00BB5C77">
        <w:rPr>
          <w:rFonts w:ascii="Arial" w:eastAsia="Arial" w:hAnsi="Arial" w:cs="Arial"/>
          <w:color w:val="0A0A0A"/>
          <w:sz w:val="21"/>
          <w:szCs w:val="21"/>
          <w:lang w:val="en-ZA" w:eastAsia="en-ZA"/>
        </w:rPr>
        <w:t>infrastructure</w:t>
      </w:r>
      <w:r w:rsidRPr="00BB5C77">
        <w:rPr>
          <w:rFonts w:ascii="Arial" w:eastAsia="Arial" w:hAnsi="Arial" w:cs="Arial"/>
          <w:color w:val="0A0A0A"/>
          <w:spacing w:val="57"/>
          <w:sz w:val="21"/>
          <w:szCs w:val="21"/>
          <w:lang w:val="en-ZA" w:eastAsia="en-ZA"/>
        </w:rPr>
        <w:t xml:space="preserve"> </w:t>
      </w:r>
      <w:r w:rsidRPr="00BB5C77">
        <w:rPr>
          <w:rFonts w:ascii="Arial" w:eastAsia="Arial" w:hAnsi="Arial" w:cs="Arial"/>
          <w:color w:val="0A0A0A"/>
          <w:sz w:val="21"/>
          <w:szCs w:val="21"/>
          <w:lang w:val="en-ZA" w:eastAsia="en-ZA"/>
        </w:rPr>
        <w:t>development.</w:t>
      </w:r>
      <w:r w:rsidRPr="00BB5C77">
        <w:rPr>
          <w:rFonts w:ascii="Arial" w:eastAsia="Arial" w:hAnsi="Arial" w:cs="Arial"/>
          <w:color w:val="0A0A0A"/>
          <w:spacing w:val="38"/>
          <w:sz w:val="21"/>
          <w:szCs w:val="21"/>
          <w:lang w:val="en-ZA" w:eastAsia="en-ZA"/>
        </w:rPr>
        <w:t xml:space="preserve"> </w:t>
      </w:r>
      <w:r w:rsidRPr="00BB5C77">
        <w:rPr>
          <w:rFonts w:ascii="Arial" w:eastAsia="Arial" w:hAnsi="Arial" w:cs="Arial"/>
          <w:color w:val="0A0A0A"/>
          <w:w w:val="105"/>
          <w:sz w:val="21"/>
          <w:szCs w:val="21"/>
          <w:lang w:val="en-ZA" w:eastAsia="en-ZA"/>
        </w:rPr>
        <w:t xml:space="preserve">As </w:t>
      </w:r>
      <w:r w:rsidRPr="00BB5C77">
        <w:rPr>
          <w:rFonts w:ascii="Arial" w:eastAsia="Arial" w:hAnsi="Arial" w:cs="Arial"/>
          <w:color w:val="0A0A0A"/>
          <w:sz w:val="21"/>
          <w:szCs w:val="21"/>
          <w:lang w:val="en-ZA" w:eastAsia="en-ZA"/>
        </w:rPr>
        <w:t>management</w:t>
      </w:r>
      <w:r w:rsidRPr="00BB5C77">
        <w:rPr>
          <w:rFonts w:ascii="Arial" w:eastAsia="Arial" w:hAnsi="Arial" w:cs="Arial"/>
          <w:color w:val="0A0A0A"/>
          <w:spacing w:val="58"/>
          <w:sz w:val="21"/>
          <w:szCs w:val="21"/>
          <w:lang w:val="en-ZA" w:eastAsia="en-ZA"/>
        </w:rPr>
        <w:t xml:space="preserve"> </w:t>
      </w:r>
      <w:r w:rsidRPr="00BB5C77">
        <w:rPr>
          <w:rFonts w:ascii="Arial" w:eastAsia="Arial" w:hAnsi="Arial" w:cs="Arial"/>
          <w:color w:val="0A0A0A"/>
          <w:sz w:val="21"/>
          <w:szCs w:val="21"/>
          <w:lang w:val="en-ZA" w:eastAsia="en-ZA"/>
        </w:rPr>
        <w:t>subsequently</w:t>
      </w:r>
      <w:r w:rsidRPr="00BB5C77">
        <w:rPr>
          <w:rFonts w:ascii="Arial" w:eastAsia="Arial" w:hAnsi="Arial" w:cs="Arial"/>
          <w:color w:val="0A0A0A"/>
          <w:spacing w:val="58"/>
          <w:sz w:val="21"/>
          <w:szCs w:val="21"/>
          <w:lang w:val="en-ZA" w:eastAsia="en-ZA"/>
        </w:rPr>
        <w:t xml:space="preserve"> </w:t>
      </w:r>
      <w:r w:rsidRPr="00BB5C77">
        <w:rPr>
          <w:rFonts w:ascii="Arial" w:eastAsia="Arial" w:hAnsi="Arial" w:cs="Arial"/>
          <w:color w:val="0A0A0A"/>
          <w:sz w:val="21"/>
          <w:szCs w:val="21"/>
          <w:lang w:val="en-ZA" w:eastAsia="en-ZA"/>
        </w:rPr>
        <w:t>corrected</w:t>
      </w:r>
      <w:r w:rsidRPr="00BB5C77">
        <w:rPr>
          <w:rFonts w:ascii="Arial" w:eastAsia="Arial" w:hAnsi="Arial" w:cs="Arial"/>
          <w:color w:val="0A0A0A"/>
          <w:spacing w:val="51"/>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7"/>
          <w:sz w:val="21"/>
          <w:szCs w:val="21"/>
          <w:lang w:val="en-ZA" w:eastAsia="en-ZA"/>
        </w:rPr>
        <w:t xml:space="preserve"> </w:t>
      </w:r>
      <w:r w:rsidRPr="00BB5C77">
        <w:rPr>
          <w:rFonts w:ascii="Arial" w:eastAsia="Arial" w:hAnsi="Arial" w:cs="Arial"/>
          <w:color w:val="0A0A0A"/>
          <w:w w:val="105"/>
          <w:sz w:val="21"/>
          <w:szCs w:val="21"/>
          <w:lang w:val="en-ZA" w:eastAsia="en-ZA"/>
        </w:rPr>
        <w:t>misstatements</w:t>
      </w:r>
      <w:r w:rsidRPr="00BB5C77">
        <w:rPr>
          <w:rFonts w:ascii="Arial" w:eastAsia="Arial" w:hAnsi="Arial" w:cs="Arial"/>
          <w:color w:val="0A0A0A"/>
          <w:spacing w:val="13"/>
          <w:w w:val="105"/>
          <w:sz w:val="21"/>
          <w:szCs w:val="21"/>
          <w:lang w:val="en-ZA" w:eastAsia="en-ZA"/>
        </w:rPr>
        <w:t xml:space="preserve">, </w:t>
      </w:r>
      <w:r w:rsidRPr="00BB5C77">
        <w:rPr>
          <w:rFonts w:ascii="Arial" w:eastAsia="Arial" w:hAnsi="Arial" w:cs="Arial"/>
          <w:color w:val="0A0A0A"/>
          <w:spacing w:val="4"/>
          <w:w w:val="196"/>
          <w:sz w:val="23"/>
          <w:szCs w:val="23"/>
          <w:lang w:val="en-ZA" w:eastAsia="en-ZA"/>
        </w:rPr>
        <w:t xml:space="preserve">I </w:t>
      </w:r>
      <w:r w:rsidRPr="00BB5C77">
        <w:rPr>
          <w:rFonts w:ascii="Arial" w:eastAsia="Arial" w:hAnsi="Arial" w:cs="Arial"/>
          <w:color w:val="0A0A0A"/>
          <w:w w:val="109"/>
          <w:sz w:val="21"/>
          <w:szCs w:val="21"/>
          <w:lang w:val="en-ZA" w:eastAsia="en-ZA"/>
        </w:rPr>
        <w:t>did</w:t>
      </w:r>
      <w:r w:rsidRPr="00BB5C77">
        <w:rPr>
          <w:rFonts w:ascii="Arial" w:eastAsia="Arial" w:hAnsi="Arial" w:cs="Arial"/>
          <w:color w:val="0A0A0A"/>
          <w:spacing w:val="-12"/>
          <w:sz w:val="21"/>
          <w:szCs w:val="21"/>
          <w:lang w:val="en-ZA" w:eastAsia="en-ZA"/>
        </w:rPr>
        <w:t xml:space="preserve"> </w:t>
      </w:r>
      <w:r w:rsidRPr="00BB5C77">
        <w:rPr>
          <w:rFonts w:ascii="Arial" w:eastAsia="Arial" w:hAnsi="Arial" w:cs="Arial"/>
          <w:color w:val="0A0A0A"/>
          <w:sz w:val="21"/>
          <w:szCs w:val="21"/>
          <w:lang w:val="en-ZA" w:eastAsia="en-ZA"/>
        </w:rPr>
        <w:t>not</w:t>
      </w:r>
      <w:r w:rsidRPr="00BB5C77">
        <w:rPr>
          <w:rFonts w:ascii="Arial" w:eastAsia="Arial" w:hAnsi="Arial" w:cs="Arial"/>
          <w:color w:val="0A0A0A"/>
          <w:spacing w:val="24"/>
          <w:sz w:val="21"/>
          <w:szCs w:val="21"/>
          <w:lang w:val="en-ZA" w:eastAsia="en-ZA"/>
        </w:rPr>
        <w:t xml:space="preserve"> </w:t>
      </w:r>
      <w:r w:rsidRPr="00BB5C77">
        <w:rPr>
          <w:rFonts w:ascii="Arial" w:eastAsia="Arial" w:hAnsi="Arial" w:cs="Arial"/>
          <w:color w:val="0A0A0A"/>
          <w:sz w:val="21"/>
          <w:szCs w:val="21"/>
          <w:lang w:val="en-ZA" w:eastAsia="en-ZA"/>
        </w:rPr>
        <w:t>raise</w:t>
      </w:r>
      <w:r w:rsidRPr="00BB5C77">
        <w:rPr>
          <w:rFonts w:ascii="Arial" w:eastAsia="Arial" w:hAnsi="Arial" w:cs="Arial"/>
          <w:color w:val="0A0A0A"/>
          <w:spacing w:val="7"/>
          <w:sz w:val="21"/>
          <w:szCs w:val="21"/>
          <w:lang w:val="en-ZA" w:eastAsia="en-ZA"/>
        </w:rPr>
        <w:t xml:space="preserve"> </w:t>
      </w:r>
      <w:r w:rsidRPr="00BB5C77">
        <w:rPr>
          <w:rFonts w:ascii="Arial" w:eastAsia="Arial" w:hAnsi="Arial" w:cs="Arial"/>
          <w:color w:val="0A0A0A"/>
          <w:sz w:val="21"/>
          <w:szCs w:val="21"/>
          <w:lang w:val="en-ZA" w:eastAsia="en-ZA"/>
        </w:rPr>
        <w:t>any</w:t>
      </w:r>
      <w:r w:rsidRPr="00BB5C77">
        <w:rPr>
          <w:rFonts w:ascii="Arial" w:eastAsia="Arial" w:hAnsi="Arial" w:cs="Arial"/>
          <w:color w:val="0A0A0A"/>
          <w:spacing w:val="13"/>
          <w:sz w:val="21"/>
          <w:szCs w:val="21"/>
          <w:lang w:val="en-ZA" w:eastAsia="en-ZA"/>
        </w:rPr>
        <w:t xml:space="preserve"> </w:t>
      </w:r>
      <w:r w:rsidRPr="00BB5C77">
        <w:rPr>
          <w:rFonts w:ascii="Arial" w:eastAsia="Arial" w:hAnsi="Arial" w:cs="Arial"/>
          <w:color w:val="0A0A0A"/>
          <w:w w:val="107"/>
          <w:sz w:val="21"/>
          <w:szCs w:val="21"/>
          <w:lang w:val="en-ZA" w:eastAsia="en-ZA"/>
        </w:rPr>
        <w:t xml:space="preserve">material </w:t>
      </w:r>
      <w:r w:rsidRPr="00BB5C77">
        <w:rPr>
          <w:rFonts w:ascii="Arial" w:eastAsia="Arial" w:hAnsi="Arial" w:cs="Arial"/>
          <w:color w:val="0A0A0A"/>
          <w:sz w:val="21"/>
          <w:szCs w:val="21"/>
          <w:lang w:val="en-ZA" w:eastAsia="en-ZA"/>
        </w:rPr>
        <w:t>findings</w:t>
      </w:r>
      <w:r w:rsidRPr="00BB5C77">
        <w:rPr>
          <w:rFonts w:ascii="Arial" w:eastAsia="Arial" w:hAnsi="Arial" w:cs="Arial"/>
          <w:color w:val="0A0A0A"/>
          <w:spacing w:val="40"/>
          <w:sz w:val="21"/>
          <w:szCs w:val="21"/>
          <w:lang w:val="en-ZA" w:eastAsia="en-ZA"/>
        </w:rPr>
        <w:t xml:space="preserve"> </w:t>
      </w:r>
      <w:r w:rsidRPr="00BB5C77">
        <w:rPr>
          <w:rFonts w:ascii="Arial" w:eastAsia="Arial" w:hAnsi="Arial" w:cs="Arial"/>
          <w:color w:val="0A0A0A"/>
          <w:sz w:val="21"/>
          <w:szCs w:val="21"/>
          <w:lang w:val="en-ZA" w:eastAsia="en-ZA"/>
        </w:rPr>
        <w:t>on</w:t>
      </w:r>
      <w:r w:rsidRPr="00BB5C77">
        <w:rPr>
          <w:rFonts w:ascii="Arial" w:eastAsia="Arial" w:hAnsi="Arial" w:cs="Arial"/>
          <w:color w:val="0A0A0A"/>
          <w:spacing w:val="-6"/>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21"/>
          <w:sz w:val="21"/>
          <w:szCs w:val="21"/>
          <w:lang w:val="en-ZA" w:eastAsia="en-ZA"/>
        </w:rPr>
        <w:t xml:space="preserve"> </w:t>
      </w:r>
      <w:r w:rsidRPr="00BB5C77">
        <w:rPr>
          <w:rFonts w:ascii="Arial" w:eastAsia="Arial" w:hAnsi="Arial" w:cs="Arial"/>
          <w:color w:val="0A0A0A"/>
          <w:sz w:val="21"/>
          <w:szCs w:val="21"/>
          <w:lang w:val="en-ZA" w:eastAsia="en-ZA"/>
        </w:rPr>
        <w:t>usefulness</w:t>
      </w:r>
      <w:r w:rsidRPr="00BB5C77">
        <w:rPr>
          <w:rFonts w:ascii="Arial" w:eastAsia="Arial" w:hAnsi="Arial" w:cs="Arial"/>
          <w:color w:val="0A0A0A"/>
          <w:spacing w:val="39"/>
          <w:sz w:val="21"/>
          <w:szCs w:val="21"/>
          <w:lang w:val="en-ZA" w:eastAsia="en-ZA"/>
        </w:rPr>
        <w:t xml:space="preserve"> </w:t>
      </w:r>
      <w:r w:rsidRPr="00BB5C77">
        <w:rPr>
          <w:rFonts w:ascii="Arial" w:eastAsia="Arial" w:hAnsi="Arial" w:cs="Arial"/>
          <w:color w:val="0A0A0A"/>
          <w:sz w:val="21"/>
          <w:szCs w:val="21"/>
          <w:lang w:val="en-ZA" w:eastAsia="en-ZA"/>
        </w:rPr>
        <w:t>and</w:t>
      </w:r>
      <w:r w:rsidRPr="00BB5C77">
        <w:rPr>
          <w:rFonts w:ascii="Arial" w:eastAsia="Arial" w:hAnsi="Arial" w:cs="Arial"/>
          <w:color w:val="0A0A0A"/>
          <w:spacing w:val="30"/>
          <w:sz w:val="21"/>
          <w:szCs w:val="21"/>
          <w:lang w:val="en-ZA" w:eastAsia="en-ZA"/>
        </w:rPr>
        <w:t xml:space="preserve"> </w:t>
      </w:r>
      <w:r w:rsidRPr="00BB5C77">
        <w:rPr>
          <w:rFonts w:ascii="Arial" w:eastAsia="Arial" w:hAnsi="Arial" w:cs="Arial"/>
          <w:color w:val="0A0A0A"/>
          <w:sz w:val="21"/>
          <w:szCs w:val="21"/>
          <w:lang w:val="en-ZA" w:eastAsia="en-ZA"/>
        </w:rPr>
        <w:t>reliability</w:t>
      </w:r>
      <w:r w:rsidRPr="00BB5C77">
        <w:rPr>
          <w:rFonts w:ascii="Arial" w:eastAsia="Arial" w:hAnsi="Arial" w:cs="Arial"/>
          <w:color w:val="0A0A0A"/>
          <w:spacing w:val="32"/>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16"/>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0"/>
          <w:sz w:val="21"/>
          <w:szCs w:val="21"/>
          <w:lang w:val="en-ZA" w:eastAsia="en-ZA"/>
        </w:rPr>
        <w:t xml:space="preserve"> </w:t>
      </w:r>
      <w:r w:rsidRPr="00BB5C77">
        <w:rPr>
          <w:rFonts w:ascii="Arial" w:eastAsia="Arial" w:hAnsi="Arial" w:cs="Arial"/>
          <w:color w:val="0A0A0A"/>
          <w:sz w:val="21"/>
          <w:szCs w:val="21"/>
          <w:lang w:val="en-ZA" w:eastAsia="en-ZA"/>
        </w:rPr>
        <w:t>reported</w:t>
      </w:r>
      <w:r w:rsidRPr="00BB5C77">
        <w:rPr>
          <w:rFonts w:ascii="Arial" w:eastAsia="Arial" w:hAnsi="Arial" w:cs="Arial"/>
          <w:color w:val="0A0A0A"/>
          <w:spacing w:val="43"/>
          <w:sz w:val="21"/>
          <w:szCs w:val="21"/>
          <w:lang w:val="en-ZA" w:eastAsia="en-ZA"/>
        </w:rPr>
        <w:t xml:space="preserve"> </w:t>
      </w:r>
      <w:r w:rsidRPr="00BB5C77">
        <w:rPr>
          <w:rFonts w:ascii="Arial" w:eastAsia="Arial" w:hAnsi="Arial" w:cs="Arial"/>
          <w:color w:val="0A0A0A"/>
          <w:w w:val="105"/>
          <w:sz w:val="21"/>
          <w:szCs w:val="21"/>
          <w:lang w:val="en-ZA" w:eastAsia="en-ZA"/>
        </w:rPr>
        <w:t>performance</w:t>
      </w:r>
      <w:r w:rsidRPr="00BB5C77">
        <w:rPr>
          <w:rFonts w:ascii="Arial" w:eastAsia="Arial" w:hAnsi="Arial" w:cs="Arial"/>
          <w:color w:val="0A0A0A"/>
          <w:spacing w:val="-2"/>
          <w:w w:val="105"/>
          <w:sz w:val="21"/>
          <w:szCs w:val="21"/>
          <w:lang w:val="en-ZA" w:eastAsia="en-ZA"/>
        </w:rPr>
        <w:t xml:space="preserve"> </w:t>
      </w:r>
      <w:r w:rsidRPr="00BB5C77">
        <w:rPr>
          <w:rFonts w:ascii="Arial" w:eastAsia="Arial" w:hAnsi="Arial" w:cs="Arial"/>
          <w:color w:val="0A0A0A"/>
          <w:w w:val="105"/>
          <w:sz w:val="21"/>
          <w:szCs w:val="21"/>
          <w:lang w:val="en-ZA" w:eastAsia="en-ZA"/>
        </w:rPr>
        <w:t>information.</w:t>
      </w:r>
    </w:p>
    <w:p w14:paraId="465449CC" w14:textId="77777777" w:rsidR="00BB5C77" w:rsidRPr="00BB5C77" w:rsidRDefault="00BB5C77" w:rsidP="00BB5C77">
      <w:pPr>
        <w:spacing w:after="0" w:line="240" w:lineRule="auto"/>
        <w:ind w:left="589" w:right="125" w:hanging="359"/>
        <w:jc w:val="both"/>
        <w:rPr>
          <w:rFonts w:ascii="Arial" w:eastAsia="Arial" w:hAnsi="Arial" w:cs="Arial"/>
          <w:sz w:val="21"/>
          <w:szCs w:val="21"/>
          <w:lang w:val="en-ZA" w:eastAsia="en-ZA"/>
        </w:rPr>
      </w:pPr>
    </w:p>
    <w:p w14:paraId="2A9FEDCE" w14:textId="77777777" w:rsidR="00BB5C77" w:rsidRPr="00BB5C77" w:rsidRDefault="00BB5C77" w:rsidP="00BB5C77">
      <w:pPr>
        <w:spacing w:before="6" w:after="0" w:line="280" w:lineRule="exact"/>
        <w:jc w:val="both"/>
        <w:rPr>
          <w:rFonts w:eastAsia="Times New Roman" w:cs="Times New Roman"/>
          <w:sz w:val="28"/>
          <w:szCs w:val="28"/>
          <w:lang w:val="en-ZA" w:eastAsia="en-ZA"/>
        </w:rPr>
      </w:pPr>
    </w:p>
    <w:p w14:paraId="5472B161" w14:textId="77777777" w:rsidR="00BB5C77" w:rsidRPr="00BB5C77" w:rsidRDefault="00BB5C77" w:rsidP="00BB5C77">
      <w:pPr>
        <w:spacing w:after="0" w:line="240" w:lineRule="auto"/>
        <w:ind w:left="101" w:right="-20"/>
        <w:jc w:val="both"/>
        <w:rPr>
          <w:rFonts w:ascii="Arial" w:eastAsia="Arial" w:hAnsi="Arial" w:cs="Arial"/>
          <w:color w:val="448EC1"/>
          <w:w w:val="113"/>
          <w:sz w:val="23"/>
          <w:szCs w:val="23"/>
          <w:lang w:val="en-ZA" w:eastAsia="en-ZA"/>
        </w:rPr>
      </w:pPr>
      <w:r w:rsidRPr="00BB5C77">
        <w:rPr>
          <w:rFonts w:eastAsia="Calibri" w:cs="Times New Roman"/>
          <w:noProof/>
          <w:sz w:val="22"/>
        </w:rPr>
        <mc:AlternateContent>
          <mc:Choice Requires="wpg">
            <w:drawing>
              <wp:anchor distT="0" distB="0" distL="114300" distR="114300" simplePos="0" relativeHeight="251769344" behindDoc="1" locked="0" layoutInCell="1" allowOverlap="1" wp14:anchorId="4E2C4194" wp14:editId="12DCB145">
                <wp:simplePos x="0" y="0"/>
                <wp:positionH relativeFrom="page">
                  <wp:posOffset>838835</wp:posOffset>
                </wp:positionH>
                <wp:positionV relativeFrom="paragraph">
                  <wp:posOffset>76835</wp:posOffset>
                </wp:positionV>
                <wp:extent cx="5911215" cy="1270"/>
                <wp:effectExtent l="10160" t="10160" r="12700" b="7620"/>
                <wp:wrapNone/>
                <wp:docPr id="43460" name="Group 434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11215" cy="1270"/>
                          <a:chOff x="1321" y="121"/>
                          <a:chExt cx="9309" cy="2"/>
                        </a:xfrm>
                      </wpg:grpSpPr>
                      <wps:wsp>
                        <wps:cNvPr id="43461" name="Freeform 9"/>
                        <wps:cNvSpPr>
                          <a:spLocks/>
                        </wps:cNvSpPr>
                        <wps:spPr bwMode="auto">
                          <a:xfrm>
                            <a:off x="1321" y="121"/>
                            <a:ext cx="9309" cy="2"/>
                          </a:xfrm>
                          <a:custGeom>
                            <a:avLst/>
                            <a:gdLst>
                              <a:gd name="T0" fmla="+- 0 1321 1321"/>
                              <a:gd name="T1" fmla="*/ T0 w 9309"/>
                              <a:gd name="T2" fmla="+- 0 10630 1321"/>
                              <a:gd name="T3" fmla="*/ T2 w 9309"/>
                            </a:gdLst>
                            <a:ahLst/>
                            <a:cxnLst>
                              <a:cxn ang="0">
                                <a:pos x="T1" y="0"/>
                              </a:cxn>
                              <a:cxn ang="0">
                                <a:pos x="T3" y="0"/>
                              </a:cxn>
                            </a:cxnLst>
                            <a:rect l="0" t="0" r="r" b="b"/>
                            <a:pathLst>
                              <a:path w="9309">
                                <a:moveTo>
                                  <a:pt x="0" y="0"/>
                                </a:moveTo>
                                <a:lnTo>
                                  <a:pt x="9309" y="0"/>
                                </a:lnTo>
                              </a:path>
                            </a:pathLst>
                          </a:custGeom>
                          <a:noFill/>
                          <a:ln w="9115">
                            <a:solidFill>
                              <a:srgbClr val="64646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0B046D" id="Group 43460" o:spid="_x0000_s1026" style="position:absolute;margin-left:66.05pt;margin-top:6.05pt;width:465.45pt;height:.1pt;z-index:-251547136;mso-position-horizontal-relative:page" coordorigin="1321,121" coordsize="930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">
                <v:shape id="Freeform 9" o:spid="_x0000_s1027" style="position:absolute;left:1321;top:121;width:9309;height:2;visibility:visible;mso-wrap-style:square;v-text-anchor:top" coordsize="930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u8jscA&#10;AADeAAAADwAAAGRycy9kb3ducmV2LnhtbESP0WoCMRRE34X+Q7gF32rWKiKrUYpVEAqt2n7AdXN3&#10;N3RzsyTRXfv1TaHg4zAzZ5jlureNuJIPxrGC8SgDQVw4bbhS8PW5e5qDCBFZY+OYFNwowHr1MFhi&#10;rl3HR7qeYiUShEOOCuoY21zKUNRkMYxcS5y80nmLMUlfSe2xS3DbyOcsm0mLhtNCjS1taiq+Txer&#10;wJc/3WHbfNxezdukPOv3jd+TUWr42L8sQETq4z38395rBdPJdDaGvzvpCs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bvI7HAAAA3gAAAA8AAAAAAAAAAAAAAAAAmAIAAGRy&#10;cy9kb3ducmV2LnhtbFBLBQYAAAAABAAEAPUAAACMAwAAAAA=&#10;" path="m,l9309,e" filled="f" strokecolor="#646464" strokeweight=".25319mm">
                  <v:path arrowok="t" o:connecttype="custom" o:connectlocs="0,0;9309,0" o:connectangles="0,0"/>
                </v:shape>
                <w10:wrap anchorx="page"/>
              </v:group>
            </w:pict>
          </mc:Fallback>
        </mc:AlternateContent>
      </w:r>
    </w:p>
    <w:p w14:paraId="4F0BC342" w14:textId="77777777" w:rsidR="00BB5C77" w:rsidRPr="00BB5C77" w:rsidRDefault="00BB5C77" w:rsidP="00BB5C77">
      <w:pPr>
        <w:spacing w:after="0" w:line="240" w:lineRule="auto"/>
        <w:ind w:left="101" w:right="-20"/>
        <w:jc w:val="both"/>
        <w:rPr>
          <w:rFonts w:ascii="Arial" w:eastAsia="Arial" w:hAnsi="Arial" w:cs="Arial"/>
          <w:sz w:val="23"/>
          <w:szCs w:val="23"/>
          <w:lang w:val="en-ZA" w:eastAsia="en-ZA"/>
        </w:rPr>
      </w:pPr>
      <w:r w:rsidRPr="00BB5C77">
        <w:rPr>
          <w:rFonts w:ascii="Arial" w:eastAsia="Arial" w:hAnsi="Arial" w:cs="Arial"/>
          <w:color w:val="448EC1"/>
          <w:w w:val="113"/>
          <w:sz w:val="23"/>
          <w:szCs w:val="23"/>
          <w:lang w:val="en-ZA" w:eastAsia="en-ZA"/>
        </w:rPr>
        <w:t>Report</w:t>
      </w:r>
      <w:r w:rsidRPr="00BB5C77">
        <w:rPr>
          <w:rFonts w:ascii="Arial" w:eastAsia="Arial" w:hAnsi="Arial" w:cs="Arial"/>
          <w:color w:val="448EC1"/>
          <w:spacing w:val="-10"/>
          <w:w w:val="113"/>
          <w:sz w:val="23"/>
          <w:szCs w:val="23"/>
          <w:lang w:val="en-ZA" w:eastAsia="en-ZA"/>
        </w:rPr>
        <w:t xml:space="preserve"> </w:t>
      </w:r>
      <w:r w:rsidRPr="00BB5C77">
        <w:rPr>
          <w:rFonts w:ascii="Arial" w:eastAsia="Arial" w:hAnsi="Arial" w:cs="Arial"/>
          <w:color w:val="448EC1"/>
          <w:sz w:val="23"/>
          <w:szCs w:val="23"/>
          <w:lang w:val="en-ZA" w:eastAsia="en-ZA"/>
        </w:rPr>
        <w:t>on</w:t>
      </w:r>
      <w:r w:rsidRPr="00BB5C77">
        <w:rPr>
          <w:rFonts w:ascii="Arial" w:eastAsia="Arial" w:hAnsi="Arial" w:cs="Arial"/>
          <w:color w:val="448EC1"/>
          <w:spacing w:val="34"/>
          <w:sz w:val="23"/>
          <w:szCs w:val="23"/>
          <w:lang w:val="en-ZA" w:eastAsia="en-ZA"/>
        </w:rPr>
        <w:t xml:space="preserve"> </w:t>
      </w:r>
      <w:r w:rsidRPr="00BB5C77">
        <w:rPr>
          <w:rFonts w:ascii="Arial" w:eastAsia="Arial" w:hAnsi="Arial" w:cs="Arial"/>
          <w:color w:val="448EC1"/>
          <w:sz w:val="21"/>
          <w:szCs w:val="21"/>
          <w:lang w:val="en-ZA" w:eastAsia="en-ZA"/>
        </w:rPr>
        <w:t xml:space="preserve">the </w:t>
      </w:r>
      <w:r w:rsidRPr="00BB5C77">
        <w:rPr>
          <w:rFonts w:ascii="Arial" w:eastAsia="Arial" w:hAnsi="Arial" w:cs="Arial"/>
          <w:color w:val="448EC1"/>
          <w:spacing w:val="14"/>
          <w:sz w:val="21"/>
          <w:szCs w:val="21"/>
          <w:lang w:val="en-ZA" w:eastAsia="en-ZA"/>
        </w:rPr>
        <w:t xml:space="preserve"> </w:t>
      </w:r>
      <w:r w:rsidRPr="00BB5C77">
        <w:rPr>
          <w:rFonts w:ascii="Arial" w:eastAsia="Arial" w:hAnsi="Arial" w:cs="Arial"/>
          <w:color w:val="448EC1"/>
          <w:w w:val="115"/>
          <w:sz w:val="23"/>
          <w:szCs w:val="23"/>
          <w:lang w:val="en-ZA" w:eastAsia="en-ZA"/>
        </w:rPr>
        <w:t>audit</w:t>
      </w:r>
      <w:r w:rsidRPr="00BB5C77">
        <w:rPr>
          <w:rFonts w:ascii="Arial" w:eastAsia="Arial" w:hAnsi="Arial" w:cs="Arial"/>
          <w:color w:val="448EC1"/>
          <w:spacing w:val="-2"/>
          <w:w w:val="115"/>
          <w:sz w:val="23"/>
          <w:szCs w:val="23"/>
          <w:lang w:val="en-ZA" w:eastAsia="en-ZA"/>
        </w:rPr>
        <w:t xml:space="preserve"> </w:t>
      </w:r>
      <w:r w:rsidRPr="00BB5C77">
        <w:rPr>
          <w:rFonts w:ascii="Arial" w:eastAsia="Arial" w:hAnsi="Arial" w:cs="Arial"/>
          <w:color w:val="448EC1"/>
          <w:sz w:val="23"/>
          <w:szCs w:val="23"/>
          <w:lang w:val="en-ZA" w:eastAsia="en-ZA"/>
        </w:rPr>
        <w:t>of</w:t>
      </w:r>
      <w:r w:rsidRPr="00BB5C77">
        <w:rPr>
          <w:rFonts w:ascii="Arial" w:eastAsia="Arial" w:hAnsi="Arial" w:cs="Arial"/>
          <w:color w:val="448EC1"/>
          <w:spacing w:val="33"/>
          <w:sz w:val="23"/>
          <w:szCs w:val="23"/>
          <w:lang w:val="en-ZA" w:eastAsia="en-ZA"/>
        </w:rPr>
        <w:t xml:space="preserve"> </w:t>
      </w:r>
      <w:r w:rsidRPr="00BB5C77">
        <w:rPr>
          <w:rFonts w:ascii="Arial" w:eastAsia="Arial" w:hAnsi="Arial" w:cs="Arial"/>
          <w:color w:val="448EC1"/>
          <w:w w:val="115"/>
          <w:sz w:val="23"/>
          <w:szCs w:val="23"/>
          <w:lang w:val="en-ZA" w:eastAsia="en-ZA"/>
        </w:rPr>
        <w:t>compliance</w:t>
      </w:r>
      <w:r w:rsidRPr="00BB5C77">
        <w:rPr>
          <w:rFonts w:ascii="Arial" w:eastAsia="Arial" w:hAnsi="Arial" w:cs="Arial"/>
          <w:color w:val="448EC1"/>
          <w:spacing w:val="-14"/>
          <w:w w:val="115"/>
          <w:sz w:val="23"/>
          <w:szCs w:val="23"/>
          <w:lang w:val="en-ZA" w:eastAsia="en-ZA"/>
        </w:rPr>
        <w:t xml:space="preserve"> </w:t>
      </w:r>
      <w:r w:rsidRPr="00BB5C77">
        <w:rPr>
          <w:rFonts w:ascii="Arial" w:eastAsia="Arial" w:hAnsi="Arial" w:cs="Arial"/>
          <w:color w:val="448EC1"/>
          <w:w w:val="118"/>
          <w:sz w:val="23"/>
          <w:szCs w:val="23"/>
          <w:lang w:val="en-ZA" w:eastAsia="en-ZA"/>
        </w:rPr>
        <w:t>with</w:t>
      </w:r>
      <w:r w:rsidRPr="00BB5C77">
        <w:rPr>
          <w:rFonts w:ascii="Arial" w:eastAsia="Arial" w:hAnsi="Arial" w:cs="Arial"/>
          <w:color w:val="448EC1"/>
          <w:spacing w:val="-20"/>
          <w:w w:val="118"/>
          <w:sz w:val="23"/>
          <w:szCs w:val="23"/>
          <w:lang w:val="en-ZA" w:eastAsia="en-ZA"/>
        </w:rPr>
        <w:t xml:space="preserve"> </w:t>
      </w:r>
      <w:r w:rsidRPr="00BB5C77">
        <w:rPr>
          <w:rFonts w:ascii="Arial" w:eastAsia="Arial" w:hAnsi="Arial" w:cs="Arial"/>
          <w:color w:val="448EC1"/>
          <w:w w:val="118"/>
          <w:sz w:val="23"/>
          <w:szCs w:val="23"/>
          <w:lang w:val="en-ZA" w:eastAsia="en-ZA"/>
        </w:rPr>
        <w:t>legislation</w:t>
      </w:r>
    </w:p>
    <w:p w14:paraId="114E9FD5" w14:textId="77777777" w:rsidR="00BB5C77" w:rsidRPr="00BB5C77" w:rsidRDefault="00BB5C77" w:rsidP="00BB5C77">
      <w:pPr>
        <w:spacing w:after="0" w:line="170" w:lineRule="exact"/>
        <w:jc w:val="both"/>
        <w:rPr>
          <w:rFonts w:eastAsia="Times New Roman" w:cs="Times New Roman"/>
          <w:sz w:val="17"/>
          <w:szCs w:val="17"/>
          <w:lang w:val="en-ZA" w:eastAsia="en-ZA"/>
        </w:rPr>
      </w:pPr>
    </w:p>
    <w:p w14:paraId="10567497" w14:textId="77777777" w:rsidR="00BB5C77" w:rsidRPr="00BB5C77" w:rsidRDefault="00BB5C77" w:rsidP="00BB5C77">
      <w:pPr>
        <w:spacing w:after="0" w:line="200" w:lineRule="exact"/>
        <w:jc w:val="both"/>
        <w:rPr>
          <w:rFonts w:eastAsia="Times New Roman" w:cs="Times New Roman"/>
          <w:szCs w:val="20"/>
          <w:lang w:val="en-ZA" w:eastAsia="en-ZA"/>
        </w:rPr>
      </w:pPr>
    </w:p>
    <w:p w14:paraId="5FC37FE6" w14:textId="77777777" w:rsidR="00BB5C77" w:rsidRPr="00BB5C77" w:rsidRDefault="00BB5C77" w:rsidP="00BB5C77">
      <w:pPr>
        <w:spacing w:after="0" w:line="240" w:lineRule="auto"/>
        <w:ind w:left="237" w:right="-20"/>
        <w:jc w:val="both"/>
        <w:rPr>
          <w:rFonts w:ascii="Arial" w:eastAsia="Arial" w:hAnsi="Arial" w:cs="Arial"/>
          <w:sz w:val="23"/>
          <w:szCs w:val="23"/>
          <w:lang w:val="en-ZA" w:eastAsia="en-ZA"/>
        </w:rPr>
      </w:pPr>
      <w:r w:rsidRPr="00BB5C77">
        <w:rPr>
          <w:rFonts w:ascii="Arial" w:eastAsia="Arial" w:hAnsi="Arial" w:cs="Arial"/>
          <w:color w:val="232323"/>
          <w:w w:val="118"/>
          <w:sz w:val="23"/>
          <w:szCs w:val="23"/>
          <w:lang w:val="en-ZA" w:eastAsia="en-ZA"/>
        </w:rPr>
        <w:t>Introduction</w:t>
      </w:r>
      <w:r w:rsidRPr="00BB5C77">
        <w:rPr>
          <w:rFonts w:ascii="Arial" w:eastAsia="Arial" w:hAnsi="Arial" w:cs="Arial"/>
          <w:color w:val="232323"/>
          <w:spacing w:val="-29"/>
          <w:w w:val="118"/>
          <w:sz w:val="23"/>
          <w:szCs w:val="23"/>
          <w:lang w:val="en-ZA" w:eastAsia="en-ZA"/>
        </w:rPr>
        <w:t xml:space="preserve"> </w:t>
      </w:r>
      <w:r w:rsidRPr="00BB5C77">
        <w:rPr>
          <w:rFonts w:ascii="Arial" w:eastAsia="Arial" w:hAnsi="Arial" w:cs="Arial"/>
          <w:color w:val="232323"/>
          <w:sz w:val="23"/>
          <w:szCs w:val="23"/>
          <w:lang w:val="en-ZA" w:eastAsia="en-ZA"/>
        </w:rPr>
        <w:t>and</w:t>
      </w:r>
      <w:r w:rsidRPr="00BB5C77">
        <w:rPr>
          <w:rFonts w:ascii="Arial" w:eastAsia="Arial" w:hAnsi="Arial" w:cs="Arial"/>
          <w:color w:val="232323"/>
          <w:spacing w:val="37"/>
          <w:sz w:val="23"/>
          <w:szCs w:val="23"/>
          <w:lang w:val="en-ZA" w:eastAsia="en-ZA"/>
        </w:rPr>
        <w:t xml:space="preserve"> </w:t>
      </w:r>
      <w:r w:rsidRPr="00BB5C77">
        <w:rPr>
          <w:rFonts w:ascii="Arial" w:eastAsia="Arial" w:hAnsi="Arial" w:cs="Arial"/>
          <w:color w:val="232323"/>
          <w:w w:val="117"/>
          <w:sz w:val="23"/>
          <w:szCs w:val="23"/>
          <w:lang w:val="en-ZA" w:eastAsia="en-ZA"/>
        </w:rPr>
        <w:t>scope</w:t>
      </w:r>
    </w:p>
    <w:p w14:paraId="6A0E797D" w14:textId="77777777" w:rsidR="00BB5C77" w:rsidRPr="00BB5C77" w:rsidRDefault="00BB5C77" w:rsidP="00BB5C77">
      <w:pPr>
        <w:spacing w:before="10" w:after="0" w:line="240" w:lineRule="exact"/>
        <w:jc w:val="both"/>
        <w:rPr>
          <w:rFonts w:eastAsia="Times New Roman" w:cs="Times New Roman"/>
          <w:sz w:val="24"/>
          <w:szCs w:val="24"/>
          <w:lang w:val="en-ZA" w:eastAsia="en-ZA"/>
        </w:rPr>
      </w:pPr>
    </w:p>
    <w:p w14:paraId="48578F92" w14:textId="77777777" w:rsidR="00BB5C77" w:rsidRPr="00BB5C77" w:rsidRDefault="00BB5C77" w:rsidP="00BB5C77">
      <w:pPr>
        <w:spacing w:after="0" w:line="252" w:lineRule="auto"/>
        <w:ind w:left="589" w:right="251" w:hanging="366"/>
        <w:jc w:val="both"/>
        <w:rPr>
          <w:rFonts w:ascii="Arial" w:eastAsia="Arial" w:hAnsi="Arial" w:cs="Arial"/>
          <w:sz w:val="21"/>
          <w:szCs w:val="21"/>
          <w:lang w:val="en-ZA" w:eastAsia="en-ZA"/>
        </w:rPr>
      </w:pPr>
      <w:r w:rsidRPr="00BB5C77">
        <w:rPr>
          <w:rFonts w:ascii="Arial" w:eastAsia="Arial" w:hAnsi="Arial" w:cs="Arial"/>
          <w:color w:val="0A0A0A"/>
          <w:w w:val="112"/>
          <w:sz w:val="21"/>
          <w:szCs w:val="21"/>
          <w:lang w:val="en-ZA" w:eastAsia="en-ZA"/>
        </w:rPr>
        <w:t>2</w:t>
      </w:r>
      <w:r w:rsidRPr="00BB5C77">
        <w:rPr>
          <w:rFonts w:ascii="Arial" w:eastAsia="Arial" w:hAnsi="Arial" w:cs="Arial"/>
          <w:color w:val="0A0A0A"/>
          <w:spacing w:val="-18"/>
          <w:w w:val="112"/>
          <w:sz w:val="21"/>
          <w:szCs w:val="21"/>
          <w:lang w:val="en-ZA" w:eastAsia="en-ZA"/>
        </w:rPr>
        <w:t>3</w:t>
      </w:r>
      <w:r w:rsidRPr="00BB5C77">
        <w:rPr>
          <w:rFonts w:ascii="Arial" w:eastAsia="Arial" w:hAnsi="Arial" w:cs="Arial"/>
          <w:color w:val="4D4D4D"/>
          <w:w w:val="170"/>
          <w:sz w:val="21"/>
          <w:szCs w:val="21"/>
          <w:lang w:val="en-ZA" w:eastAsia="en-ZA"/>
        </w:rPr>
        <w:t>.</w:t>
      </w:r>
      <w:r w:rsidRPr="00BB5C77">
        <w:rPr>
          <w:rFonts w:ascii="Arial" w:eastAsia="Arial" w:hAnsi="Arial" w:cs="Arial"/>
          <w:color w:val="4D4D4D"/>
          <w:spacing w:val="-36"/>
          <w:sz w:val="21"/>
          <w:szCs w:val="21"/>
          <w:lang w:val="en-ZA" w:eastAsia="en-ZA"/>
        </w:rPr>
        <w:t xml:space="preserve"> </w:t>
      </w:r>
      <w:r w:rsidRPr="00BB5C77">
        <w:rPr>
          <w:rFonts w:ascii="Arial" w:eastAsia="Arial" w:hAnsi="Arial" w:cs="Arial"/>
          <w:color w:val="0A0A0A"/>
          <w:sz w:val="21"/>
          <w:szCs w:val="21"/>
          <w:lang w:val="en-ZA" w:eastAsia="en-ZA"/>
        </w:rPr>
        <w:t>In</w:t>
      </w:r>
      <w:r w:rsidRPr="00BB5C77">
        <w:rPr>
          <w:rFonts w:ascii="Arial" w:eastAsia="Arial" w:hAnsi="Arial" w:cs="Arial"/>
          <w:color w:val="0A0A0A"/>
          <w:spacing w:val="14"/>
          <w:sz w:val="21"/>
          <w:szCs w:val="21"/>
          <w:lang w:val="en-ZA" w:eastAsia="en-ZA"/>
        </w:rPr>
        <w:t xml:space="preserve"> </w:t>
      </w:r>
      <w:r w:rsidRPr="00BB5C77">
        <w:rPr>
          <w:rFonts w:ascii="Arial" w:eastAsia="Arial" w:hAnsi="Arial" w:cs="Arial"/>
          <w:color w:val="0A0A0A"/>
          <w:sz w:val="21"/>
          <w:szCs w:val="21"/>
          <w:lang w:val="en-ZA" w:eastAsia="en-ZA"/>
        </w:rPr>
        <w:t>accordance</w:t>
      </w:r>
      <w:r w:rsidRPr="00BB5C77">
        <w:rPr>
          <w:rFonts w:ascii="Arial" w:eastAsia="Arial" w:hAnsi="Arial" w:cs="Arial"/>
          <w:color w:val="0A0A0A"/>
          <w:spacing w:val="49"/>
          <w:sz w:val="21"/>
          <w:szCs w:val="21"/>
          <w:lang w:val="en-ZA" w:eastAsia="en-ZA"/>
        </w:rPr>
        <w:t xml:space="preserve"> </w:t>
      </w:r>
      <w:r w:rsidRPr="00BB5C77">
        <w:rPr>
          <w:rFonts w:ascii="Arial" w:eastAsia="Arial" w:hAnsi="Arial" w:cs="Arial"/>
          <w:color w:val="0A0A0A"/>
          <w:sz w:val="21"/>
          <w:szCs w:val="21"/>
          <w:lang w:val="en-ZA" w:eastAsia="en-ZA"/>
        </w:rPr>
        <w:t>with</w:t>
      </w:r>
      <w:r w:rsidRPr="00BB5C77">
        <w:rPr>
          <w:rFonts w:ascii="Arial" w:eastAsia="Arial" w:hAnsi="Arial" w:cs="Arial"/>
          <w:color w:val="0A0A0A"/>
          <w:spacing w:val="9"/>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21"/>
          <w:sz w:val="21"/>
          <w:szCs w:val="21"/>
          <w:lang w:val="en-ZA" w:eastAsia="en-ZA"/>
        </w:rPr>
        <w:t xml:space="preserve"> </w:t>
      </w:r>
      <w:r w:rsidRPr="00BB5C77">
        <w:rPr>
          <w:rFonts w:ascii="Arial" w:eastAsia="Arial" w:hAnsi="Arial" w:cs="Arial"/>
          <w:color w:val="0A0A0A"/>
          <w:sz w:val="21"/>
          <w:szCs w:val="21"/>
          <w:lang w:val="en-ZA" w:eastAsia="en-ZA"/>
        </w:rPr>
        <w:t>PAA</w:t>
      </w:r>
      <w:r w:rsidRPr="00BB5C77">
        <w:rPr>
          <w:rFonts w:ascii="Arial" w:eastAsia="Arial" w:hAnsi="Arial" w:cs="Arial"/>
          <w:color w:val="0A0A0A"/>
          <w:spacing w:val="25"/>
          <w:sz w:val="21"/>
          <w:szCs w:val="21"/>
          <w:lang w:val="en-ZA" w:eastAsia="en-ZA"/>
        </w:rPr>
        <w:t xml:space="preserve"> </w:t>
      </w:r>
      <w:r w:rsidRPr="00BB5C77">
        <w:rPr>
          <w:rFonts w:ascii="Arial" w:eastAsia="Arial" w:hAnsi="Arial" w:cs="Arial"/>
          <w:color w:val="0A0A0A"/>
          <w:sz w:val="21"/>
          <w:szCs w:val="21"/>
          <w:lang w:val="en-ZA" w:eastAsia="en-ZA"/>
        </w:rPr>
        <w:t>and</w:t>
      </w:r>
      <w:r w:rsidRPr="00BB5C77">
        <w:rPr>
          <w:rFonts w:ascii="Arial" w:eastAsia="Arial" w:hAnsi="Arial" w:cs="Arial"/>
          <w:color w:val="0A0A0A"/>
          <w:spacing w:val="27"/>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5"/>
          <w:sz w:val="21"/>
          <w:szCs w:val="21"/>
          <w:lang w:val="en-ZA" w:eastAsia="en-ZA"/>
        </w:rPr>
        <w:t xml:space="preserve"> </w:t>
      </w:r>
      <w:r w:rsidRPr="00BB5C77">
        <w:rPr>
          <w:rFonts w:ascii="Arial" w:eastAsia="Arial" w:hAnsi="Arial" w:cs="Arial"/>
          <w:color w:val="0A0A0A"/>
          <w:sz w:val="21"/>
          <w:szCs w:val="21"/>
          <w:lang w:val="en-ZA" w:eastAsia="en-ZA"/>
        </w:rPr>
        <w:t>general</w:t>
      </w:r>
      <w:r w:rsidRPr="00BB5C77">
        <w:rPr>
          <w:rFonts w:ascii="Arial" w:eastAsia="Arial" w:hAnsi="Arial" w:cs="Arial"/>
          <w:color w:val="0A0A0A"/>
          <w:spacing w:val="19"/>
          <w:sz w:val="21"/>
          <w:szCs w:val="21"/>
          <w:lang w:val="en-ZA" w:eastAsia="en-ZA"/>
        </w:rPr>
        <w:t xml:space="preserve"> </w:t>
      </w:r>
      <w:r w:rsidRPr="00BB5C77">
        <w:rPr>
          <w:rFonts w:ascii="Arial" w:eastAsia="Arial" w:hAnsi="Arial" w:cs="Arial"/>
          <w:color w:val="0A0A0A"/>
          <w:sz w:val="21"/>
          <w:szCs w:val="21"/>
          <w:lang w:val="en-ZA" w:eastAsia="en-ZA"/>
        </w:rPr>
        <w:t>notice</w:t>
      </w:r>
      <w:r w:rsidRPr="00BB5C77">
        <w:rPr>
          <w:rFonts w:ascii="Arial" w:eastAsia="Arial" w:hAnsi="Arial" w:cs="Arial"/>
          <w:color w:val="0A0A0A"/>
          <w:spacing w:val="31"/>
          <w:sz w:val="21"/>
          <w:szCs w:val="21"/>
          <w:lang w:val="en-ZA" w:eastAsia="en-ZA"/>
        </w:rPr>
        <w:t xml:space="preserve"> </w:t>
      </w:r>
      <w:r w:rsidRPr="00BB5C77">
        <w:rPr>
          <w:rFonts w:ascii="Arial" w:eastAsia="Arial" w:hAnsi="Arial" w:cs="Arial"/>
          <w:color w:val="0A0A0A"/>
          <w:sz w:val="21"/>
          <w:szCs w:val="21"/>
          <w:lang w:val="en-ZA" w:eastAsia="en-ZA"/>
        </w:rPr>
        <w:t>issued</w:t>
      </w:r>
      <w:r w:rsidRPr="00BB5C77">
        <w:rPr>
          <w:rFonts w:ascii="Arial" w:eastAsia="Arial" w:hAnsi="Arial" w:cs="Arial"/>
          <w:color w:val="0A0A0A"/>
          <w:spacing w:val="43"/>
          <w:sz w:val="21"/>
          <w:szCs w:val="21"/>
          <w:lang w:val="en-ZA" w:eastAsia="en-ZA"/>
        </w:rPr>
        <w:t xml:space="preserve"> </w:t>
      </w:r>
      <w:r w:rsidRPr="00BB5C77">
        <w:rPr>
          <w:rFonts w:ascii="Arial" w:eastAsia="Arial" w:hAnsi="Arial" w:cs="Arial"/>
          <w:color w:val="0A0A0A"/>
          <w:sz w:val="21"/>
          <w:szCs w:val="21"/>
          <w:lang w:val="en-ZA" w:eastAsia="en-ZA"/>
        </w:rPr>
        <w:t>in</w:t>
      </w:r>
      <w:r w:rsidRPr="00BB5C77">
        <w:rPr>
          <w:rFonts w:ascii="Arial" w:eastAsia="Arial" w:hAnsi="Arial" w:cs="Arial"/>
          <w:color w:val="0A0A0A"/>
          <w:spacing w:val="2"/>
          <w:sz w:val="21"/>
          <w:szCs w:val="21"/>
          <w:lang w:val="en-ZA" w:eastAsia="en-ZA"/>
        </w:rPr>
        <w:t xml:space="preserve"> </w:t>
      </w:r>
      <w:r w:rsidRPr="00BB5C77">
        <w:rPr>
          <w:rFonts w:ascii="Arial" w:eastAsia="Arial" w:hAnsi="Arial" w:cs="Arial"/>
          <w:color w:val="0A0A0A"/>
          <w:sz w:val="21"/>
          <w:szCs w:val="21"/>
          <w:lang w:val="en-ZA" w:eastAsia="en-ZA"/>
        </w:rPr>
        <w:t>terms</w:t>
      </w:r>
      <w:r w:rsidRPr="00BB5C77">
        <w:rPr>
          <w:rFonts w:ascii="Arial" w:eastAsia="Arial" w:hAnsi="Arial" w:cs="Arial"/>
          <w:color w:val="0A0A0A"/>
          <w:spacing w:val="31"/>
          <w:sz w:val="21"/>
          <w:szCs w:val="21"/>
          <w:lang w:val="en-ZA" w:eastAsia="en-ZA"/>
        </w:rPr>
        <w:t xml:space="preserve"> </w:t>
      </w:r>
      <w:r w:rsidRPr="00BB5C77">
        <w:rPr>
          <w:rFonts w:ascii="Arial" w:eastAsia="Arial" w:hAnsi="Arial" w:cs="Arial"/>
          <w:color w:val="0A0A0A"/>
          <w:w w:val="104"/>
          <w:sz w:val="21"/>
          <w:szCs w:val="21"/>
          <w:lang w:val="en-ZA" w:eastAsia="en-ZA"/>
        </w:rPr>
        <w:t>thereo</w:t>
      </w:r>
      <w:r w:rsidRPr="00BB5C77">
        <w:rPr>
          <w:rFonts w:ascii="Arial" w:eastAsia="Arial" w:hAnsi="Arial" w:cs="Arial"/>
          <w:color w:val="0A0A0A"/>
          <w:spacing w:val="-9"/>
          <w:w w:val="104"/>
          <w:sz w:val="21"/>
          <w:szCs w:val="21"/>
          <w:lang w:val="en-ZA" w:eastAsia="en-ZA"/>
        </w:rPr>
        <w:t>f</w:t>
      </w:r>
      <w:r w:rsidRPr="00BB5C77">
        <w:rPr>
          <w:rFonts w:ascii="Arial" w:eastAsia="Arial" w:hAnsi="Arial" w:cs="Arial"/>
          <w:color w:val="343434"/>
          <w:w w:val="160"/>
          <w:sz w:val="21"/>
          <w:szCs w:val="21"/>
          <w:lang w:val="en-ZA" w:eastAsia="en-ZA"/>
        </w:rPr>
        <w:t>,</w:t>
      </w:r>
      <w:r w:rsidRPr="00BB5C77">
        <w:rPr>
          <w:rFonts w:ascii="Arial" w:eastAsia="Arial" w:hAnsi="Arial" w:cs="Arial"/>
          <w:color w:val="343434"/>
          <w:spacing w:val="-39"/>
          <w:sz w:val="21"/>
          <w:szCs w:val="21"/>
          <w:lang w:val="en-ZA" w:eastAsia="en-ZA"/>
        </w:rPr>
        <w:t xml:space="preserve"> </w:t>
      </w:r>
      <w:r w:rsidRPr="00BB5C77">
        <w:rPr>
          <w:rFonts w:ascii="Arial" w:eastAsia="Arial" w:hAnsi="Arial" w:cs="Arial"/>
          <w:color w:val="4D4D4D"/>
          <w:spacing w:val="9"/>
          <w:w w:val="215"/>
          <w:sz w:val="21"/>
          <w:szCs w:val="21"/>
          <w:lang w:val="en-ZA" w:eastAsia="en-ZA"/>
        </w:rPr>
        <w:t xml:space="preserve">I </w:t>
      </w:r>
      <w:r w:rsidRPr="00BB5C77">
        <w:rPr>
          <w:rFonts w:ascii="Arial" w:eastAsia="Arial" w:hAnsi="Arial" w:cs="Arial"/>
          <w:color w:val="232323"/>
          <w:w w:val="106"/>
          <w:sz w:val="21"/>
          <w:szCs w:val="21"/>
          <w:lang w:val="en-ZA" w:eastAsia="en-ZA"/>
        </w:rPr>
        <w:t>have</w:t>
      </w:r>
      <w:r w:rsidRPr="00BB5C77">
        <w:rPr>
          <w:rFonts w:ascii="Arial" w:eastAsia="Arial" w:hAnsi="Arial" w:cs="Arial"/>
          <w:color w:val="232323"/>
          <w:spacing w:val="-6"/>
          <w:sz w:val="21"/>
          <w:szCs w:val="21"/>
          <w:lang w:val="en-ZA" w:eastAsia="en-ZA"/>
        </w:rPr>
        <w:t xml:space="preserve"> </w:t>
      </w:r>
      <w:r w:rsidRPr="00BB5C77">
        <w:rPr>
          <w:rFonts w:ascii="Arial" w:eastAsia="Arial" w:hAnsi="Arial" w:cs="Arial"/>
          <w:color w:val="232323"/>
          <w:w w:val="114"/>
          <w:sz w:val="21"/>
          <w:szCs w:val="21"/>
          <w:lang w:val="en-ZA" w:eastAsia="en-ZA"/>
        </w:rPr>
        <w:t xml:space="preserve">a </w:t>
      </w:r>
      <w:r w:rsidRPr="00BB5C77">
        <w:rPr>
          <w:rFonts w:ascii="Arial" w:eastAsia="Arial" w:hAnsi="Arial" w:cs="Arial"/>
          <w:color w:val="0A0A0A"/>
          <w:sz w:val="21"/>
          <w:szCs w:val="21"/>
          <w:lang w:val="en-ZA" w:eastAsia="en-ZA"/>
        </w:rPr>
        <w:t>responsibility</w:t>
      </w:r>
      <w:r w:rsidRPr="00BB5C77">
        <w:rPr>
          <w:rFonts w:ascii="Arial" w:eastAsia="Arial" w:hAnsi="Arial" w:cs="Arial"/>
          <w:color w:val="0A0A0A"/>
          <w:spacing w:val="47"/>
          <w:sz w:val="21"/>
          <w:szCs w:val="21"/>
          <w:lang w:val="en-ZA" w:eastAsia="en-ZA"/>
        </w:rPr>
        <w:t xml:space="preserve"> </w:t>
      </w:r>
      <w:r w:rsidRPr="00BB5C77">
        <w:rPr>
          <w:rFonts w:ascii="Arial" w:eastAsia="Arial" w:hAnsi="Arial" w:cs="Arial"/>
          <w:color w:val="0A0A0A"/>
          <w:sz w:val="21"/>
          <w:szCs w:val="21"/>
          <w:lang w:val="en-ZA" w:eastAsia="en-ZA"/>
        </w:rPr>
        <w:t>to</w:t>
      </w:r>
      <w:r w:rsidRPr="00BB5C77">
        <w:rPr>
          <w:rFonts w:ascii="Arial" w:eastAsia="Arial" w:hAnsi="Arial" w:cs="Arial"/>
          <w:color w:val="0A0A0A"/>
          <w:spacing w:val="7"/>
          <w:sz w:val="21"/>
          <w:szCs w:val="21"/>
          <w:lang w:val="en-ZA" w:eastAsia="en-ZA"/>
        </w:rPr>
        <w:t xml:space="preserve"> </w:t>
      </w:r>
      <w:r w:rsidRPr="00BB5C77">
        <w:rPr>
          <w:rFonts w:ascii="Arial" w:eastAsia="Arial" w:hAnsi="Arial" w:cs="Arial"/>
          <w:color w:val="0A0A0A"/>
          <w:sz w:val="21"/>
          <w:szCs w:val="21"/>
          <w:lang w:val="en-ZA" w:eastAsia="en-ZA"/>
        </w:rPr>
        <w:t>report</w:t>
      </w:r>
      <w:r w:rsidRPr="00BB5C77">
        <w:rPr>
          <w:rFonts w:ascii="Arial" w:eastAsia="Arial" w:hAnsi="Arial" w:cs="Arial"/>
          <w:color w:val="0A0A0A"/>
          <w:spacing w:val="34"/>
          <w:sz w:val="21"/>
          <w:szCs w:val="21"/>
          <w:lang w:val="en-ZA" w:eastAsia="en-ZA"/>
        </w:rPr>
        <w:t xml:space="preserve"> </w:t>
      </w:r>
      <w:r w:rsidRPr="00BB5C77">
        <w:rPr>
          <w:rFonts w:ascii="Arial" w:eastAsia="Arial" w:hAnsi="Arial" w:cs="Arial"/>
          <w:color w:val="0A0A0A"/>
          <w:sz w:val="21"/>
          <w:szCs w:val="21"/>
          <w:lang w:val="en-ZA" w:eastAsia="en-ZA"/>
        </w:rPr>
        <w:t>material</w:t>
      </w:r>
      <w:r w:rsidRPr="00BB5C77">
        <w:rPr>
          <w:rFonts w:ascii="Arial" w:eastAsia="Arial" w:hAnsi="Arial" w:cs="Arial"/>
          <w:color w:val="0A0A0A"/>
          <w:spacing w:val="27"/>
          <w:sz w:val="21"/>
          <w:szCs w:val="21"/>
          <w:lang w:val="en-ZA" w:eastAsia="en-ZA"/>
        </w:rPr>
        <w:t xml:space="preserve"> </w:t>
      </w:r>
      <w:r w:rsidRPr="00BB5C77">
        <w:rPr>
          <w:rFonts w:ascii="Arial" w:eastAsia="Arial" w:hAnsi="Arial" w:cs="Arial"/>
          <w:color w:val="0A0A0A"/>
          <w:sz w:val="21"/>
          <w:szCs w:val="21"/>
          <w:lang w:val="en-ZA" w:eastAsia="en-ZA"/>
        </w:rPr>
        <w:t>findings</w:t>
      </w:r>
      <w:r w:rsidRPr="00BB5C77">
        <w:rPr>
          <w:rFonts w:ascii="Arial" w:eastAsia="Arial" w:hAnsi="Arial" w:cs="Arial"/>
          <w:color w:val="0A0A0A"/>
          <w:spacing w:val="33"/>
          <w:sz w:val="21"/>
          <w:szCs w:val="21"/>
          <w:lang w:val="en-ZA" w:eastAsia="en-ZA"/>
        </w:rPr>
        <w:t xml:space="preserve"> </w:t>
      </w:r>
      <w:r w:rsidRPr="00BB5C77">
        <w:rPr>
          <w:rFonts w:ascii="Arial" w:eastAsia="Arial" w:hAnsi="Arial" w:cs="Arial"/>
          <w:color w:val="0A0A0A"/>
          <w:sz w:val="21"/>
          <w:szCs w:val="21"/>
          <w:lang w:val="en-ZA" w:eastAsia="en-ZA"/>
        </w:rPr>
        <w:t>on</w:t>
      </w:r>
      <w:r w:rsidRPr="00BB5C77">
        <w:rPr>
          <w:rFonts w:ascii="Arial" w:eastAsia="Arial" w:hAnsi="Arial" w:cs="Arial"/>
          <w:color w:val="0A0A0A"/>
          <w:spacing w:val="17"/>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8"/>
          <w:sz w:val="21"/>
          <w:szCs w:val="21"/>
          <w:lang w:val="en-ZA" w:eastAsia="en-ZA"/>
        </w:rPr>
        <w:t xml:space="preserve"> </w:t>
      </w:r>
      <w:r w:rsidRPr="00BB5C77">
        <w:rPr>
          <w:rFonts w:ascii="Arial" w:eastAsia="Arial" w:hAnsi="Arial" w:cs="Arial"/>
          <w:color w:val="0A0A0A"/>
          <w:w w:val="107"/>
          <w:sz w:val="21"/>
          <w:szCs w:val="21"/>
          <w:lang w:val="en-ZA" w:eastAsia="en-ZA"/>
        </w:rPr>
        <w:t>compliance</w:t>
      </w:r>
      <w:r w:rsidRPr="00BB5C77">
        <w:rPr>
          <w:rFonts w:ascii="Arial" w:eastAsia="Arial" w:hAnsi="Arial" w:cs="Arial"/>
          <w:color w:val="0A0A0A"/>
          <w:spacing w:val="-8"/>
          <w:w w:val="107"/>
          <w:sz w:val="21"/>
          <w:szCs w:val="21"/>
          <w:lang w:val="en-ZA" w:eastAsia="en-ZA"/>
        </w:rPr>
        <w:t xml:space="preserve"> </w:t>
      </w:r>
      <w:r w:rsidRPr="00BB5C77">
        <w:rPr>
          <w:rFonts w:ascii="Arial" w:eastAsia="Arial" w:hAnsi="Arial" w:cs="Arial"/>
          <w:color w:val="0A0A0A"/>
          <w:sz w:val="21"/>
          <w:szCs w:val="21"/>
          <w:lang w:val="en-ZA" w:eastAsia="en-ZA"/>
        </w:rPr>
        <w:t>of</w:t>
      </w:r>
      <w:r w:rsidRPr="00BB5C77">
        <w:rPr>
          <w:rFonts w:ascii="Arial" w:eastAsia="Arial" w:hAnsi="Arial" w:cs="Arial"/>
          <w:color w:val="0A0A0A"/>
          <w:spacing w:val="14"/>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7"/>
          <w:sz w:val="21"/>
          <w:szCs w:val="21"/>
          <w:lang w:val="en-ZA" w:eastAsia="en-ZA"/>
        </w:rPr>
        <w:t xml:space="preserve"> </w:t>
      </w:r>
      <w:r w:rsidRPr="00BB5C77">
        <w:rPr>
          <w:rFonts w:ascii="Arial" w:eastAsia="Arial" w:hAnsi="Arial" w:cs="Arial"/>
          <w:color w:val="0A0A0A"/>
          <w:sz w:val="21"/>
          <w:szCs w:val="21"/>
          <w:lang w:val="en-ZA" w:eastAsia="en-ZA"/>
        </w:rPr>
        <w:t>municipality</w:t>
      </w:r>
      <w:r w:rsidRPr="00BB5C77">
        <w:rPr>
          <w:rFonts w:ascii="Arial" w:eastAsia="Arial" w:hAnsi="Arial" w:cs="Arial"/>
          <w:color w:val="0A0A0A"/>
          <w:spacing w:val="30"/>
          <w:sz w:val="21"/>
          <w:szCs w:val="21"/>
          <w:lang w:val="en-ZA" w:eastAsia="en-ZA"/>
        </w:rPr>
        <w:t xml:space="preserve"> </w:t>
      </w:r>
      <w:r w:rsidRPr="00BB5C77">
        <w:rPr>
          <w:rFonts w:ascii="Arial" w:eastAsia="Arial" w:hAnsi="Arial" w:cs="Arial"/>
          <w:color w:val="0A0A0A"/>
          <w:w w:val="107"/>
          <w:sz w:val="21"/>
          <w:szCs w:val="21"/>
          <w:lang w:val="en-ZA" w:eastAsia="en-ZA"/>
        </w:rPr>
        <w:t xml:space="preserve">with </w:t>
      </w:r>
      <w:r w:rsidRPr="00BB5C77">
        <w:rPr>
          <w:rFonts w:ascii="Arial" w:eastAsia="Arial" w:hAnsi="Arial" w:cs="Arial"/>
          <w:color w:val="0A0A0A"/>
          <w:sz w:val="21"/>
          <w:szCs w:val="21"/>
          <w:lang w:val="en-ZA" w:eastAsia="en-ZA"/>
        </w:rPr>
        <w:t>specific</w:t>
      </w:r>
      <w:r w:rsidRPr="00BB5C77">
        <w:rPr>
          <w:rFonts w:ascii="Arial" w:eastAsia="Arial" w:hAnsi="Arial" w:cs="Arial"/>
          <w:color w:val="0A0A0A"/>
          <w:spacing w:val="32"/>
          <w:sz w:val="21"/>
          <w:szCs w:val="21"/>
          <w:lang w:val="en-ZA" w:eastAsia="en-ZA"/>
        </w:rPr>
        <w:t xml:space="preserve"> </w:t>
      </w:r>
      <w:r w:rsidRPr="00BB5C77">
        <w:rPr>
          <w:rFonts w:ascii="Arial" w:eastAsia="Arial" w:hAnsi="Arial" w:cs="Arial"/>
          <w:color w:val="0A0A0A"/>
          <w:sz w:val="21"/>
          <w:szCs w:val="21"/>
          <w:lang w:val="en-ZA" w:eastAsia="en-ZA"/>
        </w:rPr>
        <w:t>matters</w:t>
      </w:r>
      <w:r w:rsidRPr="00BB5C77">
        <w:rPr>
          <w:rFonts w:ascii="Arial" w:eastAsia="Arial" w:hAnsi="Arial" w:cs="Arial"/>
          <w:color w:val="0A0A0A"/>
          <w:spacing w:val="26"/>
          <w:sz w:val="21"/>
          <w:szCs w:val="21"/>
          <w:lang w:val="en-ZA" w:eastAsia="en-ZA"/>
        </w:rPr>
        <w:t xml:space="preserve"> </w:t>
      </w:r>
      <w:r w:rsidRPr="00BB5C77">
        <w:rPr>
          <w:rFonts w:ascii="Arial" w:eastAsia="Arial" w:hAnsi="Arial" w:cs="Arial"/>
          <w:color w:val="0A0A0A"/>
          <w:sz w:val="21"/>
          <w:szCs w:val="21"/>
          <w:lang w:val="en-ZA" w:eastAsia="en-ZA"/>
        </w:rPr>
        <w:t>in</w:t>
      </w:r>
      <w:r w:rsidRPr="00BB5C77">
        <w:rPr>
          <w:rFonts w:ascii="Arial" w:eastAsia="Arial" w:hAnsi="Arial" w:cs="Arial"/>
          <w:color w:val="0A0A0A"/>
          <w:spacing w:val="9"/>
          <w:sz w:val="21"/>
          <w:szCs w:val="21"/>
          <w:lang w:val="en-ZA" w:eastAsia="en-ZA"/>
        </w:rPr>
        <w:t xml:space="preserve"> </w:t>
      </w:r>
      <w:r w:rsidRPr="00BB5C77">
        <w:rPr>
          <w:rFonts w:ascii="Arial" w:eastAsia="Arial" w:hAnsi="Arial" w:cs="Arial"/>
          <w:color w:val="0A0A0A"/>
          <w:sz w:val="21"/>
          <w:szCs w:val="21"/>
          <w:lang w:val="en-ZA" w:eastAsia="en-ZA"/>
        </w:rPr>
        <w:t>key</w:t>
      </w:r>
      <w:r w:rsidRPr="00BB5C77">
        <w:rPr>
          <w:rFonts w:ascii="Arial" w:eastAsia="Arial" w:hAnsi="Arial" w:cs="Arial"/>
          <w:color w:val="0A0A0A"/>
          <w:spacing w:val="31"/>
          <w:sz w:val="21"/>
          <w:szCs w:val="21"/>
          <w:lang w:val="en-ZA" w:eastAsia="en-ZA"/>
        </w:rPr>
        <w:t xml:space="preserve"> </w:t>
      </w:r>
      <w:r w:rsidRPr="00BB5C77">
        <w:rPr>
          <w:rFonts w:ascii="Arial" w:eastAsia="Arial" w:hAnsi="Arial" w:cs="Arial"/>
          <w:color w:val="0A0A0A"/>
          <w:w w:val="107"/>
          <w:sz w:val="21"/>
          <w:szCs w:val="21"/>
          <w:lang w:val="en-ZA" w:eastAsia="en-ZA"/>
        </w:rPr>
        <w:t>legislatio</w:t>
      </w:r>
      <w:r w:rsidRPr="00BB5C77">
        <w:rPr>
          <w:rFonts w:ascii="Arial" w:eastAsia="Arial" w:hAnsi="Arial" w:cs="Arial"/>
          <w:color w:val="0A0A0A"/>
          <w:spacing w:val="-26"/>
          <w:w w:val="108"/>
          <w:sz w:val="21"/>
          <w:szCs w:val="21"/>
          <w:lang w:val="en-ZA" w:eastAsia="en-ZA"/>
        </w:rPr>
        <w:t>n</w:t>
      </w:r>
      <w:r w:rsidRPr="00BB5C77">
        <w:rPr>
          <w:rFonts w:ascii="Arial" w:eastAsia="Arial" w:hAnsi="Arial" w:cs="Arial"/>
          <w:color w:val="343434"/>
          <w:spacing w:val="10"/>
          <w:w w:val="204"/>
          <w:sz w:val="21"/>
          <w:szCs w:val="21"/>
          <w:lang w:val="en-ZA" w:eastAsia="en-ZA"/>
        </w:rPr>
        <w:t xml:space="preserve">. </w:t>
      </w:r>
      <w:r w:rsidRPr="00BB5C77">
        <w:rPr>
          <w:rFonts w:ascii="Arial" w:eastAsia="Arial" w:hAnsi="Arial" w:cs="Arial"/>
          <w:color w:val="0A0A0A"/>
          <w:w w:val="143"/>
          <w:sz w:val="21"/>
          <w:szCs w:val="21"/>
          <w:lang w:val="en-ZA" w:eastAsia="en-ZA"/>
        </w:rPr>
        <w:t>I</w:t>
      </w:r>
      <w:r w:rsidRPr="00BB5C77">
        <w:rPr>
          <w:rFonts w:ascii="Arial" w:eastAsia="Arial" w:hAnsi="Arial" w:cs="Arial"/>
          <w:color w:val="0A0A0A"/>
          <w:spacing w:val="-22"/>
          <w:sz w:val="21"/>
          <w:szCs w:val="21"/>
          <w:lang w:val="en-ZA" w:eastAsia="en-ZA"/>
        </w:rPr>
        <w:t xml:space="preserve"> </w:t>
      </w:r>
      <w:r w:rsidRPr="00BB5C77">
        <w:rPr>
          <w:rFonts w:ascii="Arial" w:eastAsia="Arial" w:hAnsi="Arial" w:cs="Arial"/>
          <w:color w:val="0A0A0A"/>
          <w:sz w:val="21"/>
          <w:szCs w:val="21"/>
          <w:lang w:val="en-ZA" w:eastAsia="en-ZA"/>
        </w:rPr>
        <w:t>performed</w:t>
      </w:r>
      <w:r w:rsidRPr="00BB5C77">
        <w:rPr>
          <w:rFonts w:ascii="Arial" w:eastAsia="Arial" w:hAnsi="Arial" w:cs="Arial"/>
          <w:color w:val="0A0A0A"/>
          <w:spacing w:val="37"/>
          <w:sz w:val="21"/>
          <w:szCs w:val="21"/>
          <w:lang w:val="en-ZA" w:eastAsia="en-ZA"/>
        </w:rPr>
        <w:t xml:space="preserve"> </w:t>
      </w:r>
      <w:r w:rsidRPr="00BB5C77">
        <w:rPr>
          <w:rFonts w:ascii="Arial" w:eastAsia="Arial" w:hAnsi="Arial" w:cs="Arial"/>
          <w:color w:val="0A0A0A"/>
          <w:w w:val="107"/>
          <w:sz w:val="21"/>
          <w:szCs w:val="21"/>
          <w:lang w:val="en-ZA" w:eastAsia="en-ZA"/>
        </w:rPr>
        <w:t>procedures</w:t>
      </w:r>
      <w:r w:rsidRPr="00BB5C77">
        <w:rPr>
          <w:rFonts w:ascii="Arial" w:eastAsia="Arial" w:hAnsi="Arial" w:cs="Arial"/>
          <w:color w:val="0A0A0A"/>
          <w:spacing w:val="-20"/>
          <w:w w:val="107"/>
          <w:sz w:val="21"/>
          <w:szCs w:val="21"/>
          <w:lang w:val="en-ZA" w:eastAsia="en-ZA"/>
        </w:rPr>
        <w:t xml:space="preserve"> </w:t>
      </w:r>
      <w:r w:rsidRPr="00BB5C77">
        <w:rPr>
          <w:rFonts w:ascii="Arial" w:eastAsia="Arial" w:hAnsi="Arial" w:cs="Arial"/>
          <w:color w:val="0A0A0A"/>
          <w:sz w:val="21"/>
          <w:szCs w:val="21"/>
          <w:lang w:val="en-ZA" w:eastAsia="en-ZA"/>
        </w:rPr>
        <w:t>to</w:t>
      </w:r>
      <w:r w:rsidRPr="00BB5C77">
        <w:rPr>
          <w:rFonts w:ascii="Arial" w:eastAsia="Arial" w:hAnsi="Arial" w:cs="Arial"/>
          <w:color w:val="0A0A0A"/>
          <w:spacing w:val="13"/>
          <w:sz w:val="21"/>
          <w:szCs w:val="21"/>
          <w:lang w:val="en-ZA" w:eastAsia="en-ZA"/>
        </w:rPr>
        <w:t xml:space="preserve"> </w:t>
      </w:r>
      <w:r w:rsidRPr="00BB5C77">
        <w:rPr>
          <w:rFonts w:ascii="Arial" w:eastAsia="Arial" w:hAnsi="Arial" w:cs="Arial"/>
          <w:color w:val="0A0A0A"/>
          <w:sz w:val="21"/>
          <w:szCs w:val="21"/>
          <w:lang w:val="en-ZA" w:eastAsia="en-ZA"/>
        </w:rPr>
        <w:t>identify</w:t>
      </w:r>
      <w:r w:rsidRPr="00BB5C77">
        <w:rPr>
          <w:rFonts w:ascii="Arial" w:eastAsia="Arial" w:hAnsi="Arial" w:cs="Arial"/>
          <w:color w:val="0A0A0A"/>
          <w:spacing w:val="29"/>
          <w:sz w:val="21"/>
          <w:szCs w:val="21"/>
          <w:lang w:val="en-ZA" w:eastAsia="en-ZA"/>
        </w:rPr>
        <w:t xml:space="preserve"> </w:t>
      </w:r>
      <w:r w:rsidRPr="00BB5C77">
        <w:rPr>
          <w:rFonts w:ascii="Arial" w:eastAsia="Arial" w:hAnsi="Arial" w:cs="Arial"/>
          <w:color w:val="0A0A0A"/>
          <w:sz w:val="21"/>
          <w:szCs w:val="21"/>
          <w:lang w:val="en-ZA" w:eastAsia="en-ZA"/>
        </w:rPr>
        <w:t>findings</w:t>
      </w:r>
      <w:r w:rsidRPr="00BB5C77">
        <w:rPr>
          <w:rFonts w:ascii="Arial" w:eastAsia="Arial" w:hAnsi="Arial" w:cs="Arial"/>
          <w:color w:val="0A0A0A"/>
          <w:spacing w:val="20"/>
          <w:sz w:val="21"/>
          <w:szCs w:val="21"/>
          <w:lang w:val="en-ZA" w:eastAsia="en-ZA"/>
        </w:rPr>
        <w:t xml:space="preserve"> </w:t>
      </w:r>
      <w:r w:rsidRPr="00BB5C77">
        <w:rPr>
          <w:rFonts w:ascii="Arial" w:eastAsia="Arial" w:hAnsi="Arial" w:cs="Arial"/>
          <w:color w:val="0A0A0A"/>
          <w:sz w:val="21"/>
          <w:szCs w:val="21"/>
          <w:lang w:val="en-ZA" w:eastAsia="en-ZA"/>
        </w:rPr>
        <w:t>but</w:t>
      </w:r>
      <w:r w:rsidRPr="00BB5C77">
        <w:rPr>
          <w:rFonts w:ascii="Arial" w:eastAsia="Arial" w:hAnsi="Arial" w:cs="Arial"/>
          <w:color w:val="0A0A0A"/>
          <w:spacing w:val="23"/>
          <w:sz w:val="21"/>
          <w:szCs w:val="21"/>
          <w:lang w:val="en-ZA" w:eastAsia="en-ZA"/>
        </w:rPr>
        <w:t xml:space="preserve"> </w:t>
      </w:r>
      <w:r w:rsidRPr="00BB5C77">
        <w:rPr>
          <w:rFonts w:ascii="Arial" w:eastAsia="Arial" w:hAnsi="Arial" w:cs="Arial"/>
          <w:color w:val="0A0A0A"/>
          <w:sz w:val="21"/>
          <w:szCs w:val="21"/>
          <w:lang w:val="en-ZA" w:eastAsia="en-ZA"/>
        </w:rPr>
        <w:t>not</w:t>
      </w:r>
      <w:r w:rsidRPr="00BB5C77">
        <w:rPr>
          <w:rFonts w:ascii="Arial" w:eastAsia="Arial" w:hAnsi="Arial" w:cs="Arial"/>
          <w:color w:val="0A0A0A"/>
          <w:spacing w:val="19"/>
          <w:sz w:val="21"/>
          <w:szCs w:val="21"/>
          <w:lang w:val="en-ZA" w:eastAsia="en-ZA"/>
        </w:rPr>
        <w:t xml:space="preserve"> </w:t>
      </w:r>
      <w:r w:rsidRPr="00BB5C77">
        <w:rPr>
          <w:rFonts w:ascii="Arial" w:eastAsia="Arial" w:hAnsi="Arial" w:cs="Arial"/>
          <w:color w:val="0A0A0A"/>
          <w:w w:val="113"/>
          <w:sz w:val="21"/>
          <w:szCs w:val="21"/>
          <w:lang w:val="en-ZA" w:eastAsia="en-ZA"/>
        </w:rPr>
        <w:t xml:space="preserve">to </w:t>
      </w:r>
      <w:r w:rsidRPr="00BB5C77">
        <w:rPr>
          <w:rFonts w:ascii="Arial" w:eastAsia="Arial" w:hAnsi="Arial" w:cs="Arial"/>
          <w:color w:val="0A0A0A"/>
          <w:sz w:val="21"/>
          <w:szCs w:val="21"/>
          <w:lang w:val="en-ZA" w:eastAsia="en-ZA"/>
        </w:rPr>
        <w:t>gather</w:t>
      </w:r>
      <w:r w:rsidRPr="00BB5C77">
        <w:rPr>
          <w:rFonts w:ascii="Arial" w:eastAsia="Arial" w:hAnsi="Arial" w:cs="Arial"/>
          <w:color w:val="0A0A0A"/>
          <w:spacing w:val="28"/>
          <w:sz w:val="21"/>
          <w:szCs w:val="21"/>
          <w:lang w:val="en-ZA" w:eastAsia="en-ZA"/>
        </w:rPr>
        <w:t xml:space="preserve"> </w:t>
      </w:r>
      <w:r w:rsidRPr="00BB5C77">
        <w:rPr>
          <w:rFonts w:ascii="Arial" w:eastAsia="Arial" w:hAnsi="Arial" w:cs="Arial"/>
          <w:color w:val="0A0A0A"/>
          <w:sz w:val="21"/>
          <w:szCs w:val="21"/>
          <w:lang w:val="en-ZA" w:eastAsia="en-ZA"/>
        </w:rPr>
        <w:t>evidence</w:t>
      </w:r>
      <w:r w:rsidRPr="00BB5C77">
        <w:rPr>
          <w:rFonts w:ascii="Arial" w:eastAsia="Arial" w:hAnsi="Arial" w:cs="Arial"/>
          <w:color w:val="0A0A0A"/>
          <w:spacing w:val="35"/>
          <w:sz w:val="21"/>
          <w:szCs w:val="21"/>
          <w:lang w:val="en-ZA" w:eastAsia="en-ZA"/>
        </w:rPr>
        <w:t xml:space="preserve"> </w:t>
      </w:r>
      <w:r w:rsidRPr="00BB5C77">
        <w:rPr>
          <w:rFonts w:ascii="Arial" w:eastAsia="Arial" w:hAnsi="Arial" w:cs="Arial"/>
          <w:color w:val="0A0A0A"/>
          <w:sz w:val="21"/>
          <w:szCs w:val="21"/>
          <w:lang w:val="en-ZA" w:eastAsia="en-ZA"/>
        </w:rPr>
        <w:t>to</w:t>
      </w:r>
      <w:r w:rsidRPr="00BB5C77">
        <w:rPr>
          <w:rFonts w:ascii="Arial" w:eastAsia="Arial" w:hAnsi="Arial" w:cs="Arial"/>
          <w:color w:val="0A0A0A"/>
          <w:spacing w:val="19"/>
          <w:sz w:val="21"/>
          <w:szCs w:val="21"/>
          <w:lang w:val="en-ZA" w:eastAsia="en-ZA"/>
        </w:rPr>
        <w:t xml:space="preserve"> </w:t>
      </w:r>
      <w:r w:rsidRPr="00BB5C77">
        <w:rPr>
          <w:rFonts w:ascii="Arial" w:eastAsia="Arial" w:hAnsi="Arial" w:cs="Arial"/>
          <w:color w:val="0A0A0A"/>
          <w:sz w:val="21"/>
          <w:szCs w:val="21"/>
          <w:lang w:val="en-ZA" w:eastAsia="en-ZA"/>
        </w:rPr>
        <w:t>express</w:t>
      </w:r>
      <w:r w:rsidRPr="00BB5C77">
        <w:rPr>
          <w:rFonts w:ascii="Arial" w:eastAsia="Arial" w:hAnsi="Arial" w:cs="Arial"/>
          <w:color w:val="0A0A0A"/>
          <w:spacing w:val="40"/>
          <w:sz w:val="21"/>
          <w:szCs w:val="21"/>
          <w:lang w:val="en-ZA" w:eastAsia="en-ZA"/>
        </w:rPr>
        <w:t xml:space="preserve"> </w:t>
      </w:r>
      <w:r w:rsidRPr="00BB5C77">
        <w:rPr>
          <w:rFonts w:ascii="Arial" w:eastAsia="Arial" w:hAnsi="Arial" w:cs="Arial"/>
          <w:color w:val="0A0A0A"/>
          <w:w w:val="107"/>
          <w:sz w:val="21"/>
          <w:szCs w:val="21"/>
          <w:lang w:val="en-ZA" w:eastAsia="en-ZA"/>
        </w:rPr>
        <w:t>assuranc</w:t>
      </w:r>
      <w:r w:rsidRPr="00BB5C77">
        <w:rPr>
          <w:rFonts w:ascii="Arial" w:eastAsia="Arial" w:hAnsi="Arial" w:cs="Arial"/>
          <w:color w:val="0A0A0A"/>
          <w:spacing w:val="-15"/>
          <w:w w:val="107"/>
          <w:sz w:val="21"/>
          <w:szCs w:val="21"/>
          <w:lang w:val="en-ZA" w:eastAsia="en-ZA"/>
        </w:rPr>
        <w:t>e</w:t>
      </w:r>
      <w:r w:rsidRPr="00BB5C77">
        <w:rPr>
          <w:rFonts w:ascii="Arial" w:eastAsia="Arial" w:hAnsi="Arial" w:cs="Arial"/>
          <w:color w:val="343434"/>
          <w:w w:val="204"/>
          <w:sz w:val="21"/>
          <w:szCs w:val="21"/>
          <w:lang w:val="en-ZA" w:eastAsia="en-ZA"/>
        </w:rPr>
        <w:t>.</w:t>
      </w:r>
    </w:p>
    <w:p w14:paraId="622BA1BD" w14:textId="77777777" w:rsidR="00BB5C77" w:rsidRPr="00BB5C77" w:rsidRDefault="00BB5C77" w:rsidP="00BB5C77">
      <w:pPr>
        <w:spacing w:before="15" w:after="0" w:line="220" w:lineRule="exact"/>
        <w:jc w:val="both"/>
        <w:rPr>
          <w:rFonts w:eastAsia="Times New Roman" w:cs="Times New Roman"/>
          <w:sz w:val="22"/>
          <w:lang w:val="en-ZA" w:eastAsia="en-ZA"/>
        </w:rPr>
      </w:pPr>
    </w:p>
    <w:p w14:paraId="3EE8B75C" w14:textId="77777777" w:rsidR="00BB5C77" w:rsidRPr="00BB5C77" w:rsidRDefault="00BB5C77" w:rsidP="00BB5C77">
      <w:pPr>
        <w:spacing w:after="0" w:line="257" w:lineRule="auto"/>
        <w:ind w:left="574" w:right="783" w:hanging="352"/>
        <w:jc w:val="both"/>
        <w:rPr>
          <w:rFonts w:ascii="Arial" w:eastAsia="Arial" w:hAnsi="Arial" w:cs="Arial"/>
          <w:sz w:val="21"/>
          <w:szCs w:val="21"/>
          <w:lang w:val="en-ZA" w:eastAsia="en-ZA"/>
        </w:rPr>
      </w:pPr>
      <w:r w:rsidRPr="00BB5C77">
        <w:rPr>
          <w:rFonts w:ascii="Arial" w:eastAsia="Arial" w:hAnsi="Arial" w:cs="Arial"/>
          <w:color w:val="0A0A0A"/>
          <w:sz w:val="21"/>
          <w:szCs w:val="21"/>
          <w:lang w:val="en-ZA" w:eastAsia="en-ZA"/>
        </w:rPr>
        <w:t>2</w:t>
      </w:r>
      <w:r w:rsidRPr="00BB5C77">
        <w:rPr>
          <w:rFonts w:ascii="Arial" w:eastAsia="Arial" w:hAnsi="Arial" w:cs="Arial"/>
          <w:color w:val="0A0A0A"/>
          <w:spacing w:val="-10"/>
          <w:sz w:val="21"/>
          <w:szCs w:val="21"/>
          <w:lang w:val="en-ZA" w:eastAsia="en-ZA"/>
        </w:rPr>
        <w:t>4</w:t>
      </w:r>
      <w:r w:rsidRPr="00BB5C77">
        <w:rPr>
          <w:rFonts w:ascii="Arial" w:eastAsia="Arial" w:hAnsi="Arial" w:cs="Arial"/>
          <w:color w:val="4D4D4D"/>
          <w:sz w:val="21"/>
          <w:szCs w:val="21"/>
          <w:lang w:val="en-ZA" w:eastAsia="en-ZA"/>
        </w:rPr>
        <w:t>.</w:t>
      </w:r>
      <w:r w:rsidRPr="00BB5C77">
        <w:rPr>
          <w:rFonts w:ascii="Arial" w:eastAsia="Arial" w:hAnsi="Arial" w:cs="Arial"/>
          <w:color w:val="4D4D4D"/>
          <w:spacing w:val="25"/>
          <w:sz w:val="21"/>
          <w:szCs w:val="21"/>
          <w:lang w:val="en-ZA" w:eastAsia="en-ZA"/>
        </w:rPr>
        <w:t xml:space="preserve"> </w:t>
      </w:r>
      <w:r w:rsidRPr="00BB5C77">
        <w:rPr>
          <w:rFonts w:ascii="Arial" w:eastAsia="Arial" w:hAnsi="Arial" w:cs="Arial"/>
          <w:color w:val="0A0A0A"/>
          <w:sz w:val="21"/>
          <w:szCs w:val="21"/>
          <w:lang w:val="en-ZA" w:eastAsia="en-ZA"/>
        </w:rPr>
        <w:t>The</w:t>
      </w:r>
      <w:r w:rsidRPr="00BB5C77">
        <w:rPr>
          <w:rFonts w:ascii="Arial" w:eastAsia="Arial" w:hAnsi="Arial" w:cs="Arial"/>
          <w:color w:val="0A0A0A"/>
          <w:spacing w:val="11"/>
          <w:sz w:val="21"/>
          <w:szCs w:val="21"/>
          <w:lang w:val="en-ZA" w:eastAsia="en-ZA"/>
        </w:rPr>
        <w:t xml:space="preserve"> </w:t>
      </w:r>
      <w:r w:rsidRPr="00BB5C77">
        <w:rPr>
          <w:rFonts w:ascii="Arial" w:eastAsia="Arial" w:hAnsi="Arial" w:cs="Arial"/>
          <w:color w:val="0A0A0A"/>
          <w:w w:val="106"/>
          <w:sz w:val="21"/>
          <w:szCs w:val="21"/>
          <w:lang w:val="en-ZA" w:eastAsia="en-ZA"/>
        </w:rPr>
        <w:t>mate</w:t>
      </w:r>
      <w:r w:rsidRPr="00BB5C77">
        <w:rPr>
          <w:rFonts w:ascii="Arial" w:eastAsia="Arial" w:hAnsi="Arial" w:cs="Arial"/>
          <w:color w:val="0A0A0A"/>
          <w:spacing w:val="1"/>
          <w:w w:val="107"/>
          <w:sz w:val="21"/>
          <w:szCs w:val="21"/>
          <w:lang w:val="en-ZA" w:eastAsia="en-ZA"/>
        </w:rPr>
        <w:t>r</w:t>
      </w:r>
      <w:r w:rsidRPr="00BB5C77">
        <w:rPr>
          <w:rFonts w:ascii="Arial" w:eastAsia="Arial" w:hAnsi="Arial" w:cs="Arial"/>
          <w:color w:val="232323"/>
          <w:spacing w:val="-17"/>
          <w:w w:val="155"/>
          <w:sz w:val="21"/>
          <w:szCs w:val="21"/>
          <w:lang w:val="en-ZA" w:eastAsia="en-ZA"/>
        </w:rPr>
        <w:t>i</w:t>
      </w:r>
      <w:r w:rsidRPr="00BB5C77">
        <w:rPr>
          <w:rFonts w:ascii="Arial" w:eastAsia="Arial" w:hAnsi="Arial" w:cs="Arial"/>
          <w:color w:val="0A0A0A"/>
          <w:w w:val="112"/>
          <w:sz w:val="21"/>
          <w:szCs w:val="21"/>
          <w:lang w:val="en-ZA" w:eastAsia="en-ZA"/>
        </w:rPr>
        <w:t>al</w:t>
      </w:r>
      <w:r w:rsidRPr="00BB5C77">
        <w:rPr>
          <w:rFonts w:ascii="Arial" w:eastAsia="Arial" w:hAnsi="Arial" w:cs="Arial"/>
          <w:color w:val="0A0A0A"/>
          <w:spacing w:val="-19"/>
          <w:sz w:val="21"/>
          <w:szCs w:val="21"/>
          <w:lang w:val="en-ZA" w:eastAsia="en-ZA"/>
        </w:rPr>
        <w:t xml:space="preserve"> </w:t>
      </w:r>
      <w:r w:rsidRPr="00BB5C77">
        <w:rPr>
          <w:rFonts w:ascii="Arial" w:eastAsia="Arial" w:hAnsi="Arial" w:cs="Arial"/>
          <w:color w:val="0A0A0A"/>
          <w:sz w:val="21"/>
          <w:szCs w:val="21"/>
          <w:lang w:val="en-ZA" w:eastAsia="en-ZA"/>
        </w:rPr>
        <w:t>findings</w:t>
      </w:r>
      <w:r w:rsidRPr="00BB5C77">
        <w:rPr>
          <w:rFonts w:ascii="Arial" w:eastAsia="Arial" w:hAnsi="Arial" w:cs="Arial"/>
          <w:color w:val="0A0A0A"/>
          <w:spacing w:val="41"/>
          <w:sz w:val="21"/>
          <w:szCs w:val="21"/>
          <w:lang w:val="en-ZA" w:eastAsia="en-ZA"/>
        </w:rPr>
        <w:t xml:space="preserve"> </w:t>
      </w:r>
      <w:r w:rsidRPr="00BB5C77">
        <w:rPr>
          <w:rFonts w:ascii="Arial" w:eastAsia="Arial" w:hAnsi="Arial" w:cs="Arial"/>
          <w:color w:val="0A0A0A"/>
          <w:sz w:val="21"/>
          <w:szCs w:val="21"/>
          <w:lang w:val="en-ZA" w:eastAsia="en-ZA"/>
        </w:rPr>
        <w:t>on</w:t>
      </w:r>
      <w:r w:rsidRPr="00BB5C77">
        <w:rPr>
          <w:rFonts w:ascii="Arial" w:eastAsia="Arial" w:hAnsi="Arial" w:cs="Arial"/>
          <w:color w:val="0A0A0A"/>
          <w:spacing w:val="5"/>
          <w:sz w:val="21"/>
          <w:szCs w:val="21"/>
          <w:lang w:val="en-ZA" w:eastAsia="en-ZA"/>
        </w:rPr>
        <w:t xml:space="preserve"> </w:t>
      </w:r>
      <w:r w:rsidRPr="00BB5C77">
        <w:rPr>
          <w:rFonts w:ascii="Arial" w:eastAsia="Arial" w:hAnsi="Arial" w:cs="Arial"/>
          <w:color w:val="0A0A0A"/>
          <w:w w:val="107"/>
          <w:sz w:val="21"/>
          <w:szCs w:val="21"/>
          <w:lang w:val="en-ZA" w:eastAsia="en-ZA"/>
        </w:rPr>
        <w:t>compliance</w:t>
      </w:r>
      <w:r w:rsidRPr="00BB5C77">
        <w:rPr>
          <w:rFonts w:ascii="Arial" w:eastAsia="Arial" w:hAnsi="Arial" w:cs="Arial"/>
          <w:color w:val="0A0A0A"/>
          <w:spacing w:val="-3"/>
          <w:w w:val="107"/>
          <w:sz w:val="21"/>
          <w:szCs w:val="21"/>
          <w:lang w:val="en-ZA" w:eastAsia="en-ZA"/>
        </w:rPr>
        <w:t xml:space="preserve"> </w:t>
      </w:r>
      <w:r w:rsidRPr="00BB5C77">
        <w:rPr>
          <w:rFonts w:ascii="Arial" w:eastAsia="Arial" w:hAnsi="Arial" w:cs="Arial"/>
          <w:color w:val="0A0A0A"/>
          <w:sz w:val="21"/>
          <w:szCs w:val="21"/>
          <w:lang w:val="en-ZA" w:eastAsia="en-ZA"/>
        </w:rPr>
        <w:t>with specific</w:t>
      </w:r>
      <w:r w:rsidRPr="00BB5C77">
        <w:rPr>
          <w:rFonts w:ascii="Arial" w:eastAsia="Arial" w:hAnsi="Arial" w:cs="Arial"/>
          <w:color w:val="0A0A0A"/>
          <w:spacing w:val="32"/>
          <w:sz w:val="21"/>
          <w:szCs w:val="21"/>
          <w:lang w:val="en-ZA" w:eastAsia="en-ZA"/>
        </w:rPr>
        <w:t xml:space="preserve"> </w:t>
      </w:r>
      <w:r w:rsidRPr="00BB5C77">
        <w:rPr>
          <w:rFonts w:ascii="Arial" w:eastAsia="Arial" w:hAnsi="Arial" w:cs="Arial"/>
          <w:color w:val="0A0A0A"/>
          <w:sz w:val="21"/>
          <w:szCs w:val="21"/>
          <w:lang w:val="en-ZA" w:eastAsia="en-ZA"/>
        </w:rPr>
        <w:t>matters</w:t>
      </w:r>
      <w:r w:rsidRPr="00BB5C77">
        <w:rPr>
          <w:rFonts w:ascii="Arial" w:eastAsia="Arial" w:hAnsi="Arial" w:cs="Arial"/>
          <w:color w:val="0A0A0A"/>
          <w:spacing w:val="40"/>
          <w:sz w:val="21"/>
          <w:szCs w:val="21"/>
          <w:lang w:val="en-ZA" w:eastAsia="en-ZA"/>
        </w:rPr>
        <w:t xml:space="preserve"> </w:t>
      </w:r>
      <w:r w:rsidRPr="00BB5C77">
        <w:rPr>
          <w:rFonts w:ascii="Arial" w:eastAsia="Arial" w:hAnsi="Arial" w:cs="Arial"/>
          <w:color w:val="0A0A0A"/>
          <w:sz w:val="21"/>
          <w:szCs w:val="21"/>
          <w:lang w:val="en-ZA" w:eastAsia="en-ZA"/>
        </w:rPr>
        <w:t>in</w:t>
      </w:r>
      <w:r w:rsidRPr="00BB5C77">
        <w:rPr>
          <w:rFonts w:ascii="Arial" w:eastAsia="Arial" w:hAnsi="Arial" w:cs="Arial"/>
          <w:color w:val="0A0A0A"/>
          <w:spacing w:val="23"/>
          <w:sz w:val="21"/>
          <w:szCs w:val="21"/>
          <w:lang w:val="en-ZA" w:eastAsia="en-ZA"/>
        </w:rPr>
        <w:t xml:space="preserve"> </w:t>
      </w:r>
      <w:r w:rsidRPr="00BB5C77">
        <w:rPr>
          <w:rFonts w:ascii="Arial" w:eastAsia="Arial" w:hAnsi="Arial" w:cs="Arial"/>
          <w:color w:val="0A0A0A"/>
          <w:sz w:val="21"/>
          <w:szCs w:val="21"/>
          <w:lang w:val="en-ZA" w:eastAsia="en-ZA"/>
        </w:rPr>
        <w:t>key</w:t>
      </w:r>
      <w:r w:rsidRPr="00BB5C77">
        <w:rPr>
          <w:rFonts w:ascii="Arial" w:eastAsia="Arial" w:hAnsi="Arial" w:cs="Arial"/>
          <w:color w:val="0A0A0A"/>
          <w:spacing w:val="17"/>
          <w:sz w:val="21"/>
          <w:szCs w:val="21"/>
          <w:lang w:val="en-ZA" w:eastAsia="en-ZA"/>
        </w:rPr>
        <w:t xml:space="preserve"> </w:t>
      </w:r>
      <w:r w:rsidRPr="00BB5C77">
        <w:rPr>
          <w:rFonts w:ascii="Arial" w:eastAsia="Arial" w:hAnsi="Arial" w:cs="Arial"/>
          <w:color w:val="0A0A0A"/>
          <w:sz w:val="21"/>
          <w:szCs w:val="21"/>
          <w:lang w:val="en-ZA" w:eastAsia="en-ZA"/>
        </w:rPr>
        <w:t>legislation</w:t>
      </w:r>
      <w:r w:rsidRPr="00BB5C77">
        <w:rPr>
          <w:rFonts w:ascii="Arial" w:eastAsia="Arial" w:hAnsi="Arial" w:cs="Arial"/>
          <w:color w:val="0A0A0A"/>
          <w:spacing w:val="26"/>
          <w:sz w:val="21"/>
          <w:szCs w:val="21"/>
          <w:lang w:val="en-ZA" w:eastAsia="en-ZA"/>
        </w:rPr>
        <w:t xml:space="preserve"> </w:t>
      </w:r>
      <w:r w:rsidRPr="00BB5C77">
        <w:rPr>
          <w:rFonts w:ascii="Arial" w:eastAsia="Arial" w:hAnsi="Arial" w:cs="Arial"/>
          <w:color w:val="232323"/>
          <w:sz w:val="21"/>
          <w:szCs w:val="21"/>
          <w:lang w:val="en-ZA" w:eastAsia="en-ZA"/>
        </w:rPr>
        <w:t>are</w:t>
      </w:r>
      <w:r w:rsidRPr="00BB5C77">
        <w:rPr>
          <w:rFonts w:ascii="Arial" w:eastAsia="Arial" w:hAnsi="Arial" w:cs="Arial"/>
          <w:color w:val="232323"/>
          <w:spacing w:val="24"/>
          <w:sz w:val="21"/>
          <w:szCs w:val="21"/>
          <w:lang w:val="en-ZA" w:eastAsia="en-ZA"/>
        </w:rPr>
        <w:t xml:space="preserve"> </w:t>
      </w:r>
      <w:r w:rsidRPr="00BB5C77">
        <w:rPr>
          <w:rFonts w:ascii="Arial" w:eastAsia="Arial" w:hAnsi="Arial" w:cs="Arial"/>
          <w:color w:val="232323"/>
          <w:w w:val="104"/>
          <w:sz w:val="21"/>
          <w:szCs w:val="21"/>
          <w:lang w:val="en-ZA" w:eastAsia="en-ZA"/>
        </w:rPr>
        <w:t xml:space="preserve">as </w:t>
      </w:r>
      <w:r w:rsidRPr="00BB5C77">
        <w:rPr>
          <w:rFonts w:ascii="Arial" w:eastAsia="Arial" w:hAnsi="Arial" w:cs="Arial"/>
          <w:color w:val="0A0A0A"/>
          <w:w w:val="107"/>
          <w:sz w:val="21"/>
          <w:szCs w:val="21"/>
          <w:lang w:val="en-ZA" w:eastAsia="en-ZA"/>
        </w:rPr>
        <w:t>follows:</w:t>
      </w:r>
    </w:p>
    <w:p w14:paraId="00CF2D40" w14:textId="77777777" w:rsidR="00BB5C77" w:rsidRPr="00BB5C77" w:rsidRDefault="00BB5C77" w:rsidP="00BB5C77">
      <w:pPr>
        <w:spacing w:after="0"/>
        <w:jc w:val="both"/>
        <w:rPr>
          <w:rFonts w:eastAsia="Times New Roman" w:cs="Times New Roman"/>
          <w:sz w:val="22"/>
          <w:lang w:val="en-ZA" w:eastAsia="en-ZA"/>
        </w:rPr>
      </w:pPr>
    </w:p>
    <w:p w14:paraId="2707A826" w14:textId="77777777" w:rsidR="00BB5C77" w:rsidRPr="00BB5C77" w:rsidRDefault="00BB5C77" w:rsidP="00BB5C77">
      <w:pPr>
        <w:spacing w:before="72" w:after="0" w:line="257" w:lineRule="auto"/>
        <w:ind w:left="615" w:right="69" w:hanging="366"/>
        <w:jc w:val="both"/>
        <w:rPr>
          <w:rFonts w:ascii="Arial" w:eastAsia="Arial" w:hAnsi="Arial" w:cs="Arial"/>
          <w:sz w:val="21"/>
          <w:szCs w:val="21"/>
          <w:lang w:val="en-ZA" w:eastAsia="en-ZA"/>
        </w:rPr>
      </w:pPr>
      <w:r w:rsidRPr="00BB5C77">
        <w:rPr>
          <w:rFonts w:ascii="Arial" w:eastAsia="Arial" w:hAnsi="Arial" w:cs="Arial"/>
          <w:color w:val="030303"/>
          <w:w w:val="108"/>
          <w:sz w:val="21"/>
          <w:szCs w:val="21"/>
          <w:lang w:val="en-ZA" w:eastAsia="en-ZA"/>
        </w:rPr>
        <w:t>2</w:t>
      </w:r>
      <w:r w:rsidRPr="00BB5C77">
        <w:rPr>
          <w:rFonts w:ascii="Arial" w:eastAsia="Arial" w:hAnsi="Arial" w:cs="Arial"/>
          <w:color w:val="030303"/>
          <w:spacing w:val="-15"/>
          <w:w w:val="108"/>
          <w:sz w:val="21"/>
          <w:szCs w:val="21"/>
          <w:lang w:val="en-ZA" w:eastAsia="en-ZA"/>
        </w:rPr>
        <w:t>5</w:t>
      </w:r>
      <w:r w:rsidRPr="00BB5C77">
        <w:rPr>
          <w:rFonts w:ascii="Arial" w:eastAsia="Arial" w:hAnsi="Arial" w:cs="Arial"/>
          <w:color w:val="2D2D2D"/>
          <w:spacing w:val="-4"/>
          <w:w w:val="204"/>
          <w:sz w:val="21"/>
          <w:szCs w:val="21"/>
          <w:lang w:val="en-ZA" w:eastAsia="en-ZA"/>
        </w:rPr>
        <w:t>.</w:t>
      </w:r>
      <w:r w:rsidRPr="00BB5C77">
        <w:rPr>
          <w:rFonts w:ascii="Arial" w:eastAsia="Arial" w:hAnsi="Arial" w:cs="Arial"/>
          <w:color w:val="030303"/>
          <w:w w:val="106"/>
          <w:sz w:val="21"/>
          <w:szCs w:val="21"/>
          <w:lang w:val="en-ZA" w:eastAsia="en-ZA"/>
        </w:rPr>
        <w:t xml:space="preserve"> The</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financial</w:t>
      </w:r>
      <w:r w:rsidRPr="00BB5C77">
        <w:rPr>
          <w:rFonts w:ascii="Arial" w:eastAsia="Arial" w:hAnsi="Arial" w:cs="Arial"/>
          <w:color w:val="030303"/>
          <w:spacing w:val="38"/>
          <w:sz w:val="21"/>
          <w:szCs w:val="21"/>
          <w:lang w:val="en-ZA" w:eastAsia="en-ZA"/>
        </w:rPr>
        <w:t xml:space="preserve"> </w:t>
      </w:r>
      <w:r w:rsidRPr="00BB5C77">
        <w:rPr>
          <w:rFonts w:ascii="Arial" w:eastAsia="Arial" w:hAnsi="Arial" w:cs="Arial"/>
          <w:color w:val="030303"/>
          <w:sz w:val="21"/>
          <w:szCs w:val="21"/>
          <w:lang w:val="en-ZA" w:eastAsia="en-ZA"/>
        </w:rPr>
        <w:t>statements</w:t>
      </w:r>
      <w:r w:rsidRPr="00BB5C77">
        <w:rPr>
          <w:rFonts w:ascii="Arial" w:eastAsia="Arial" w:hAnsi="Arial" w:cs="Arial"/>
          <w:color w:val="030303"/>
          <w:spacing w:val="39"/>
          <w:sz w:val="21"/>
          <w:szCs w:val="21"/>
          <w:lang w:val="en-ZA" w:eastAsia="en-ZA"/>
        </w:rPr>
        <w:t xml:space="preserve"> </w:t>
      </w:r>
      <w:r w:rsidRPr="00BB5C77">
        <w:rPr>
          <w:rFonts w:ascii="Arial" w:eastAsia="Arial" w:hAnsi="Arial" w:cs="Arial"/>
          <w:color w:val="030303"/>
          <w:sz w:val="21"/>
          <w:szCs w:val="21"/>
          <w:lang w:val="en-ZA" w:eastAsia="en-ZA"/>
        </w:rPr>
        <w:t>submitted</w:t>
      </w:r>
      <w:r w:rsidRPr="00BB5C77">
        <w:rPr>
          <w:rFonts w:ascii="Arial" w:eastAsia="Arial" w:hAnsi="Arial" w:cs="Arial"/>
          <w:color w:val="030303"/>
          <w:spacing w:val="33"/>
          <w:sz w:val="21"/>
          <w:szCs w:val="21"/>
          <w:lang w:val="en-ZA" w:eastAsia="en-ZA"/>
        </w:rPr>
        <w:t xml:space="preserve"> </w:t>
      </w:r>
      <w:r w:rsidRPr="00BB5C77">
        <w:rPr>
          <w:rFonts w:ascii="Arial" w:eastAsia="Arial" w:hAnsi="Arial" w:cs="Arial"/>
          <w:color w:val="030303"/>
          <w:sz w:val="21"/>
          <w:szCs w:val="21"/>
          <w:lang w:val="en-ZA" w:eastAsia="en-ZA"/>
        </w:rPr>
        <w:t>for</w:t>
      </w:r>
      <w:r w:rsidRPr="00BB5C77">
        <w:rPr>
          <w:rFonts w:ascii="Arial" w:eastAsia="Arial" w:hAnsi="Arial" w:cs="Arial"/>
          <w:color w:val="030303"/>
          <w:spacing w:val="3"/>
          <w:sz w:val="21"/>
          <w:szCs w:val="21"/>
          <w:lang w:val="en-ZA" w:eastAsia="en-ZA"/>
        </w:rPr>
        <w:t xml:space="preserve"> </w:t>
      </w:r>
      <w:r w:rsidRPr="00BB5C77">
        <w:rPr>
          <w:rFonts w:ascii="Arial" w:eastAsia="Arial" w:hAnsi="Arial" w:cs="Arial"/>
          <w:color w:val="030303"/>
          <w:sz w:val="21"/>
          <w:szCs w:val="21"/>
          <w:lang w:val="en-ZA" w:eastAsia="en-ZA"/>
        </w:rPr>
        <w:t>auditing</w:t>
      </w:r>
      <w:r w:rsidRPr="00BB5C77">
        <w:rPr>
          <w:rFonts w:ascii="Arial" w:eastAsia="Arial" w:hAnsi="Arial" w:cs="Arial"/>
          <w:color w:val="030303"/>
          <w:spacing w:val="40"/>
          <w:sz w:val="21"/>
          <w:szCs w:val="21"/>
          <w:lang w:val="en-ZA" w:eastAsia="en-ZA"/>
        </w:rPr>
        <w:t xml:space="preserve"> </w:t>
      </w:r>
      <w:r w:rsidRPr="00BB5C77">
        <w:rPr>
          <w:rFonts w:ascii="Arial" w:eastAsia="Arial" w:hAnsi="Arial" w:cs="Arial"/>
          <w:color w:val="030303"/>
          <w:sz w:val="21"/>
          <w:szCs w:val="21"/>
          <w:lang w:val="en-ZA" w:eastAsia="en-ZA"/>
        </w:rPr>
        <w:t>were</w:t>
      </w:r>
      <w:r w:rsidRPr="00BB5C77">
        <w:rPr>
          <w:rFonts w:ascii="Arial" w:eastAsia="Arial" w:hAnsi="Arial" w:cs="Arial"/>
          <w:color w:val="030303"/>
          <w:spacing w:val="33"/>
          <w:sz w:val="21"/>
          <w:szCs w:val="21"/>
          <w:lang w:val="en-ZA" w:eastAsia="en-ZA"/>
        </w:rPr>
        <w:t xml:space="preserve"> </w:t>
      </w:r>
      <w:r w:rsidRPr="00BB5C77">
        <w:rPr>
          <w:rFonts w:ascii="Arial" w:eastAsia="Arial" w:hAnsi="Arial" w:cs="Arial"/>
          <w:color w:val="030303"/>
          <w:sz w:val="21"/>
          <w:szCs w:val="21"/>
          <w:lang w:val="en-ZA" w:eastAsia="en-ZA"/>
        </w:rPr>
        <w:t>not</w:t>
      </w:r>
      <w:r w:rsidRPr="00BB5C77">
        <w:rPr>
          <w:rFonts w:ascii="Arial" w:eastAsia="Arial" w:hAnsi="Arial" w:cs="Arial"/>
          <w:color w:val="030303"/>
          <w:spacing w:val="8"/>
          <w:sz w:val="21"/>
          <w:szCs w:val="21"/>
          <w:lang w:val="en-ZA" w:eastAsia="en-ZA"/>
        </w:rPr>
        <w:t xml:space="preserve"> </w:t>
      </w:r>
      <w:r w:rsidRPr="00BB5C77">
        <w:rPr>
          <w:rFonts w:ascii="Arial" w:eastAsia="Arial" w:hAnsi="Arial" w:cs="Arial"/>
          <w:color w:val="030303"/>
          <w:sz w:val="21"/>
          <w:szCs w:val="21"/>
          <w:lang w:val="en-ZA" w:eastAsia="en-ZA"/>
        </w:rPr>
        <w:t>prepared</w:t>
      </w:r>
      <w:r w:rsidRPr="00BB5C77">
        <w:rPr>
          <w:rFonts w:ascii="Arial" w:eastAsia="Arial" w:hAnsi="Arial" w:cs="Arial"/>
          <w:color w:val="030303"/>
          <w:spacing w:val="29"/>
          <w:sz w:val="21"/>
          <w:szCs w:val="21"/>
          <w:lang w:val="en-ZA" w:eastAsia="en-ZA"/>
        </w:rPr>
        <w:t xml:space="preserve"> </w:t>
      </w:r>
      <w:r w:rsidRPr="00BB5C77">
        <w:rPr>
          <w:rFonts w:ascii="Arial" w:eastAsia="Arial" w:hAnsi="Arial" w:cs="Arial"/>
          <w:color w:val="030303"/>
          <w:sz w:val="21"/>
          <w:szCs w:val="21"/>
          <w:lang w:val="en-ZA" w:eastAsia="en-ZA"/>
        </w:rPr>
        <w:t>in</w:t>
      </w:r>
      <w:r w:rsidRPr="00BB5C77">
        <w:rPr>
          <w:rFonts w:ascii="Arial" w:eastAsia="Arial" w:hAnsi="Arial" w:cs="Arial"/>
          <w:color w:val="030303"/>
          <w:spacing w:val="11"/>
          <w:sz w:val="21"/>
          <w:szCs w:val="21"/>
          <w:lang w:val="en-ZA" w:eastAsia="en-ZA"/>
        </w:rPr>
        <w:t xml:space="preserve"> </w:t>
      </w:r>
      <w:r w:rsidRPr="00BB5C77">
        <w:rPr>
          <w:rFonts w:ascii="Arial" w:eastAsia="Arial" w:hAnsi="Arial" w:cs="Arial"/>
          <w:color w:val="030303"/>
          <w:sz w:val="21"/>
          <w:szCs w:val="21"/>
          <w:lang w:val="en-ZA" w:eastAsia="en-ZA"/>
        </w:rPr>
        <w:t>all</w:t>
      </w:r>
      <w:r w:rsidRPr="00BB5C77">
        <w:rPr>
          <w:rFonts w:ascii="Arial" w:eastAsia="Arial" w:hAnsi="Arial" w:cs="Arial"/>
          <w:color w:val="030303"/>
          <w:spacing w:val="9"/>
          <w:sz w:val="21"/>
          <w:szCs w:val="21"/>
          <w:lang w:val="en-ZA" w:eastAsia="en-ZA"/>
        </w:rPr>
        <w:t xml:space="preserve"> </w:t>
      </w:r>
      <w:r w:rsidRPr="00BB5C77">
        <w:rPr>
          <w:rFonts w:ascii="Arial" w:eastAsia="Arial" w:hAnsi="Arial" w:cs="Arial"/>
          <w:color w:val="030303"/>
          <w:sz w:val="21"/>
          <w:szCs w:val="21"/>
          <w:lang w:val="en-ZA" w:eastAsia="en-ZA"/>
        </w:rPr>
        <w:t>material</w:t>
      </w:r>
      <w:r w:rsidRPr="00BB5C77">
        <w:rPr>
          <w:rFonts w:ascii="Arial" w:eastAsia="Arial" w:hAnsi="Arial" w:cs="Arial"/>
          <w:color w:val="030303"/>
          <w:spacing w:val="23"/>
          <w:sz w:val="21"/>
          <w:szCs w:val="21"/>
          <w:lang w:val="en-ZA" w:eastAsia="en-ZA"/>
        </w:rPr>
        <w:t xml:space="preserve"> </w:t>
      </w:r>
      <w:r w:rsidRPr="00BB5C77">
        <w:rPr>
          <w:rFonts w:ascii="Arial" w:eastAsia="Arial" w:hAnsi="Arial" w:cs="Arial"/>
          <w:color w:val="030303"/>
          <w:w w:val="105"/>
          <w:sz w:val="21"/>
          <w:szCs w:val="21"/>
          <w:lang w:val="en-ZA" w:eastAsia="en-ZA"/>
        </w:rPr>
        <w:t xml:space="preserve">respects </w:t>
      </w:r>
      <w:r w:rsidRPr="00BB5C77">
        <w:rPr>
          <w:rFonts w:ascii="Arial" w:eastAsia="Arial" w:hAnsi="Arial" w:cs="Arial"/>
          <w:color w:val="030303"/>
          <w:sz w:val="21"/>
          <w:szCs w:val="21"/>
          <w:lang w:val="en-ZA" w:eastAsia="en-ZA"/>
        </w:rPr>
        <w:t>in</w:t>
      </w:r>
      <w:r w:rsidRPr="00BB5C77">
        <w:rPr>
          <w:rFonts w:ascii="Arial" w:eastAsia="Arial" w:hAnsi="Arial" w:cs="Arial"/>
          <w:color w:val="030303"/>
          <w:spacing w:val="4"/>
          <w:sz w:val="21"/>
          <w:szCs w:val="21"/>
          <w:lang w:val="en-ZA" w:eastAsia="en-ZA"/>
        </w:rPr>
        <w:t xml:space="preserve"> </w:t>
      </w:r>
      <w:r w:rsidRPr="00BB5C77">
        <w:rPr>
          <w:rFonts w:ascii="Arial" w:eastAsia="Arial" w:hAnsi="Arial" w:cs="Arial"/>
          <w:color w:val="030303"/>
          <w:sz w:val="21"/>
          <w:szCs w:val="21"/>
          <w:lang w:val="en-ZA" w:eastAsia="en-ZA"/>
        </w:rPr>
        <w:t>accordance</w:t>
      </w:r>
      <w:r w:rsidRPr="00BB5C77">
        <w:rPr>
          <w:rFonts w:ascii="Arial" w:eastAsia="Arial" w:hAnsi="Arial" w:cs="Arial"/>
          <w:color w:val="030303"/>
          <w:spacing w:val="41"/>
          <w:sz w:val="21"/>
          <w:szCs w:val="21"/>
          <w:lang w:val="en-ZA" w:eastAsia="en-ZA"/>
        </w:rPr>
        <w:t xml:space="preserve"> </w:t>
      </w:r>
      <w:r w:rsidRPr="00BB5C77">
        <w:rPr>
          <w:rFonts w:ascii="Arial" w:eastAsia="Arial" w:hAnsi="Arial" w:cs="Arial"/>
          <w:color w:val="030303"/>
          <w:sz w:val="21"/>
          <w:szCs w:val="21"/>
          <w:lang w:val="en-ZA" w:eastAsia="en-ZA"/>
        </w:rPr>
        <w:t>with</w:t>
      </w:r>
      <w:r w:rsidRPr="00BB5C77">
        <w:rPr>
          <w:rFonts w:ascii="Arial" w:eastAsia="Arial" w:hAnsi="Arial" w:cs="Arial"/>
          <w:color w:val="030303"/>
          <w:spacing w:val="18"/>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23"/>
          <w:sz w:val="21"/>
          <w:szCs w:val="21"/>
          <w:lang w:val="en-ZA" w:eastAsia="en-ZA"/>
        </w:rPr>
        <w:t xml:space="preserve"> </w:t>
      </w:r>
      <w:r w:rsidRPr="00BB5C77">
        <w:rPr>
          <w:rFonts w:ascii="Arial" w:eastAsia="Arial" w:hAnsi="Arial" w:cs="Arial"/>
          <w:color w:val="030303"/>
          <w:sz w:val="21"/>
          <w:szCs w:val="21"/>
          <w:lang w:val="en-ZA" w:eastAsia="en-ZA"/>
        </w:rPr>
        <w:t>requirements</w:t>
      </w:r>
      <w:r w:rsidRPr="00BB5C77">
        <w:rPr>
          <w:rFonts w:ascii="Arial" w:eastAsia="Arial" w:hAnsi="Arial" w:cs="Arial"/>
          <w:color w:val="030303"/>
          <w:spacing w:val="33"/>
          <w:sz w:val="21"/>
          <w:szCs w:val="21"/>
          <w:lang w:val="en-ZA" w:eastAsia="en-ZA"/>
        </w:rPr>
        <w:t xml:space="preserve"> </w:t>
      </w:r>
      <w:r w:rsidRPr="00BB5C77">
        <w:rPr>
          <w:rFonts w:ascii="Arial" w:eastAsia="Arial" w:hAnsi="Arial" w:cs="Arial"/>
          <w:color w:val="030303"/>
          <w:sz w:val="21"/>
          <w:szCs w:val="21"/>
          <w:lang w:val="en-ZA" w:eastAsia="en-ZA"/>
        </w:rPr>
        <w:t>of</w:t>
      </w:r>
      <w:r w:rsidRPr="00BB5C77">
        <w:rPr>
          <w:rFonts w:ascii="Arial" w:eastAsia="Arial" w:hAnsi="Arial" w:cs="Arial"/>
          <w:color w:val="030303"/>
          <w:spacing w:val="28"/>
          <w:sz w:val="21"/>
          <w:szCs w:val="21"/>
          <w:lang w:val="en-ZA" w:eastAsia="en-ZA"/>
        </w:rPr>
        <w:t xml:space="preserve"> </w:t>
      </w:r>
      <w:r w:rsidRPr="00BB5C77">
        <w:rPr>
          <w:rFonts w:ascii="Arial" w:eastAsia="Arial" w:hAnsi="Arial" w:cs="Arial"/>
          <w:color w:val="030303"/>
          <w:sz w:val="21"/>
          <w:szCs w:val="21"/>
          <w:lang w:val="en-ZA" w:eastAsia="en-ZA"/>
        </w:rPr>
        <w:t>section</w:t>
      </w:r>
      <w:r w:rsidRPr="00BB5C77">
        <w:rPr>
          <w:rFonts w:ascii="Arial" w:eastAsia="Arial" w:hAnsi="Arial" w:cs="Arial"/>
          <w:color w:val="030303"/>
          <w:spacing w:val="23"/>
          <w:sz w:val="21"/>
          <w:szCs w:val="21"/>
          <w:lang w:val="en-ZA" w:eastAsia="en-ZA"/>
        </w:rPr>
        <w:t xml:space="preserve"> </w:t>
      </w:r>
      <w:r w:rsidRPr="00BB5C77">
        <w:rPr>
          <w:rFonts w:ascii="Arial" w:eastAsia="Arial" w:hAnsi="Arial" w:cs="Arial"/>
          <w:color w:val="030303"/>
          <w:sz w:val="21"/>
          <w:szCs w:val="21"/>
          <w:lang w:val="en-ZA" w:eastAsia="en-ZA"/>
        </w:rPr>
        <w:t>122</w:t>
      </w:r>
      <w:r w:rsidRPr="00BB5C77">
        <w:rPr>
          <w:rFonts w:ascii="Arial" w:eastAsia="Arial" w:hAnsi="Arial" w:cs="Arial"/>
          <w:color w:val="030303"/>
          <w:spacing w:val="25"/>
          <w:sz w:val="21"/>
          <w:szCs w:val="21"/>
          <w:lang w:val="en-ZA" w:eastAsia="en-ZA"/>
        </w:rPr>
        <w:t xml:space="preserve"> </w:t>
      </w:r>
      <w:r w:rsidRPr="00BB5C77">
        <w:rPr>
          <w:rFonts w:ascii="Arial" w:eastAsia="Arial" w:hAnsi="Arial" w:cs="Arial"/>
          <w:color w:val="030303"/>
          <w:sz w:val="21"/>
          <w:szCs w:val="21"/>
          <w:lang w:val="en-ZA" w:eastAsia="en-ZA"/>
        </w:rPr>
        <w:t>of</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8"/>
          <w:sz w:val="21"/>
          <w:szCs w:val="21"/>
          <w:lang w:val="en-ZA" w:eastAsia="en-ZA"/>
        </w:rPr>
        <w:t xml:space="preserve"> </w:t>
      </w:r>
      <w:r w:rsidRPr="00BB5C77">
        <w:rPr>
          <w:rFonts w:ascii="Arial" w:eastAsia="Arial" w:hAnsi="Arial" w:cs="Arial"/>
          <w:color w:val="030303"/>
          <w:w w:val="104"/>
          <w:sz w:val="21"/>
          <w:szCs w:val="21"/>
          <w:lang w:val="en-ZA" w:eastAsia="en-ZA"/>
        </w:rPr>
        <w:t>MFM</w:t>
      </w:r>
      <w:r w:rsidRPr="00BB5C77">
        <w:rPr>
          <w:rFonts w:ascii="Arial" w:eastAsia="Arial" w:hAnsi="Arial" w:cs="Arial"/>
          <w:color w:val="030303"/>
          <w:spacing w:val="-18"/>
          <w:w w:val="104"/>
          <w:sz w:val="21"/>
          <w:szCs w:val="21"/>
          <w:lang w:val="en-ZA" w:eastAsia="en-ZA"/>
        </w:rPr>
        <w:t>A</w:t>
      </w:r>
      <w:r w:rsidRPr="00BB5C77">
        <w:rPr>
          <w:rFonts w:ascii="Arial" w:eastAsia="Arial" w:hAnsi="Arial" w:cs="Arial"/>
          <w:color w:val="3B3B3B"/>
          <w:spacing w:val="13"/>
          <w:w w:val="204"/>
          <w:sz w:val="21"/>
          <w:szCs w:val="21"/>
          <w:lang w:val="en-ZA" w:eastAsia="en-ZA"/>
        </w:rPr>
        <w:t xml:space="preserve">. </w:t>
      </w:r>
      <w:r w:rsidRPr="00BB5C77">
        <w:rPr>
          <w:rFonts w:ascii="Arial" w:eastAsia="Arial" w:hAnsi="Arial" w:cs="Arial"/>
          <w:color w:val="030303"/>
          <w:w w:val="105"/>
          <w:sz w:val="21"/>
          <w:szCs w:val="21"/>
          <w:lang w:val="en-ZA" w:eastAsia="en-ZA"/>
        </w:rPr>
        <w:t>Material</w:t>
      </w:r>
    </w:p>
    <w:p w14:paraId="6BCA809C" w14:textId="77777777" w:rsidR="00BB5C77" w:rsidRPr="00BB5C77" w:rsidRDefault="00BB5C77" w:rsidP="00BB5C77">
      <w:pPr>
        <w:spacing w:after="0" w:line="228" w:lineRule="exact"/>
        <w:ind w:left="608" w:right="-20"/>
        <w:jc w:val="both"/>
        <w:rPr>
          <w:rFonts w:ascii="Arial" w:eastAsia="Arial" w:hAnsi="Arial" w:cs="Arial"/>
          <w:sz w:val="21"/>
          <w:szCs w:val="21"/>
          <w:lang w:val="en-ZA" w:eastAsia="en-ZA"/>
        </w:rPr>
      </w:pPr>
      <w:r w:rsidRPr="00BB5C77">
        <w:rPr>
          <w:rFonts w:ascii="Arial" w:eastAsia="Arial" w:hAnsi="Arial" w:cs="Arial"/>
          <w:color w:val="030303"/>
          <w:sz w:val="21"/>
          <w:szCs w:val="21"/>
          <w:lang w:val="en-ZA" w:eastAsia="en-ZA"/>
        </w:rPr>
        <w:t>misstatements</w:t>
      </w:r>
      <w:r w:rsidRPr="00BB5C77">
        <w:rPr>
          <w:rFonts w:ascii="Arial" w:eastAsia="Arial" w:hAnsi="Arial" w:cs="Arial"/>
          <w:color w:val="030303"/>
          <w:spacing w:val="56"/>
          <w:sz w:val="21"/>
          <w:szCs w:val="21"/>
          <w:lang w:val="en-ZA" w:eastAsia="en-ZA"/>
        </w:rPr>
        <w:t xml:space="preserve"> </w:t>
      </w:r>
      <w:r w:rsidRPr="00BB5C77">
        <w:rPr>
          <w:rFonts w:ascii="Arial" w:eastAsia="Arial" w:hAnsi="Arial" w:cs="Arial"/>
          <w:color w:val="030303"/>
          <w:sz w:val="21"/>
          <w:szCs w:val="21"/>
          <w:lang w:val="en-ZA" w:eastAsia="en-ZA"/>
        </w:rPr>
        <w:t>of</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section</w:t>
      </w:r>
      <w:r w:rsidRPr="00BB5C77">
        <w:rPr>
          <w:rFonts w:ascii="Arial" w:eastAsia="Arial" w:hAnsi="Arial" w:cs="Arial"/>
          <w:color w:val="030303"/>
          <w:spacing w:val="27"/>
          <w:sz w:val="21"/>
          <w:szCs w:val="21"/>
          <w:lang w:val="en-ZA" w:eastAsia="en-ZA"/>
        </w:rPr>
        <w:t xml:space="preserve"> </w:t>
      </w:r>
      <w:r w:rsidRPr="00BB5C77">
        <w:rPr>
          <w:rFonts w:ascii="Arial" w:eastAsia="Arial" w:hAnsi="Arial" w:cs="Arial"/>
          <w:color w:val="030303"/>
          <w:sz w:val="21"/>
          <w:szCs w:val="21"/>
          <w:lang w:val="en-ZA" w:eastAsia="en-ZA"/>
        </w:rPr>
        <w:t>36</w:t>
      </w:r>
      <w:r w:rsidRPr="00BB5C77">
        <w:rPr>
          <w:rFonts w:ascii="Arial" w:eastAsia="Arial" w:hAnsi="Arial" w:cs="Arial"/>
          <w:color w:val="030303"/>
          <w:spacing w:val="17"/>
          <w:sz w:val="21"/>
          <w:szCs w:val="21"/>
          <w:lang w:val="en-ZA" w:eastAsia="en-ZA"/>
        </w:rPr>
        <w:t xml:space="preserve"> </w:t>
      </w:r>
      <w:r w:rsidRPr="00BB5C77">
        <w:rPr>
          <w:rFonts w:ascii="Arial" w:eastAsia="Arial" w:hAnsi="Arial" w:cs="Arial"/>
          <w:color w:val="030303"/>
          <w:sz w:val="21"/>
          <w:szCs w:val="21"/>
          <w:lang w:val="en-ZA" w:eastAsia="en-ZA"/>
        </w:rPr>
        <w:t>deviations</w:t>
      </w:r>
      <w:r w:rsidRPr="00BB5C77">
        <w:rPr>
          <w:rFonts w:ascii="Arial" w:eastAsia="Arial" w:hAnsi="Arial" w:cs="Arial"/>
          <w:color w:val="030303"/>
          <w:spacing w:val="27"/>
          <w:sz w:val="21"/>
          <w:szCs w:val="21"/>
          <w:lang w:val="en-ZA" w:eastAsia="en-ZA"/>
        </w:rPr>
        <w:t xml:space="preserve"> </w:t>
      </w:r>
      <w:r w:rsidRPr="00BB5C77">
        <w:rPr>
          <w:rFonts w:ascii="Arial" w:eastAsia="Arial" w:hAnsi="Arial" w:cs="Arial"/>
          <w:color w:val="030303"/>
          <w:sz w:val="21"/>
          <w:szCs w:val="21"/>
          <w:lang w:val="en-ZA" w:eastAsia="en-ZA"/>
        </w:rPr>
        <w:t>and</w:t>
      </w:r>
      <w:r w:rsidRPr="00BB5C77">
        <w:rPr>
          <w:rFonts w:ascii="Arial" w:eastAsia="Arial" w:hAnsi="Arial" w:cs="Arial"/>
          <w:color w:val="030303"/>
          <w:spacing w:val="23"/>
          <w:sz w:val="21"/>
          <w:szCs w:val="21"/>
          <w:lang w:val="en-ZA" w:eastAsia="en-ZA"/>
        </w:rPr>
        <w:t xml:space="preserve"> </w:t>
      </w:r>
      <w:r w:rsidRPr="00BB5C77">
        <w:rPr>
          <w:rFonts w:ascii="Arial" w:eastAsia="Arial" w:hAnsi="Arial" w:cs="Arial"/>
          <w:color w:val="030303"/>
          <w:sz w:val="21"/>
          <w:szCs w:val="21"/>
          <w:lang w:val="en-ZA" w:eastAsia="en-ZA"/>
        </w:rPr>
        <w:t>irregular</w:t>
      </w:r>
      <w:r w:rsidRPr="00BB5C77">
        <w:rPr>
          <w:rFonts w:ascii="Arial" w:eastAsia="Arial" w:hAnsi="Arial" w:cs="Arial"/>
          <w:color w:val="030303"/>
          <w:spacing w:val="39"/>
          <w:sz w:val="21"/>
          <w:szCs w:val="21"/>
          <w:lang w:val="en-ZA" w:eastAsia="en-ZA"/>
        </w:rPr>
        <w:t xml:space="preserve"> </w:t>
      </w:r>
      <w:r w:rsidRPr="00BB5C77">
        <w:rPr>
          <w:rFonts w:ascii="Arial" w:eastAsia="Arial" w:hAnsi="Arial" w:cs="Arial"/>
          <w:color w:val="030303"/>
          <w:sz w:val="21"/>
          <w:szCs w:val="21"/>
          <w:lang w:val="en-ZA" w:eastAsia="en-ZA"/>
        </w:rPr>
        <w:t>expenditure</w:t>
      </w:r>
      <w:r w:rsidRPr="00BB5C77">
        <w:rPr>
          <w:rFonts w:ascii="Arial" w:eastAsia="Arial" w:hAnsi="Arial" w:cs="Arial"/>
          <w:color w:val="030303"/>
          <w:spacing w:val="38"/>
          <w:sz w:val="21"/>
          <w:szCs w:val="21"/>
          <w:lang w:val="en-ZA" w:eastAsia="en-ZA"/>
        </w:rPr>
        <w:t xml:space="preserve"> </w:t>
      </w:r>
      <w:r w:rsidRPr="00BB5C77">
        <w:rPr>
          <w:rFonts w:ascii="Arial" w:eastAsia="Arial" w:hAnsi="Arial" w:cs="Arial"/>
          <w:color w:val="030303"/>
          <w:sz w:val="21"/>
          <w:szCs w:val="21"/>
          <w:lang w:val="en-ZA" w:eastAsia="en-ZA"/>
        </w:rPr>
        <w:t>for</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2015/16</w:t>
      </w:r>
      <w:r w:rsidRPr="00BB5C77">
        <w:rPr>
          <w:rFonts w:ascii="Arial" w:eastAsia="Arial" w:hAnsi="Arial" w:cs="Arial"/>
          <w:color w:val="030303"/>
          <w:spacing w:val="26"/>
          <w:sz w:val="21"/>
          <w:szCs w:val="21"/>
          <w:lang w:val="en-ZA" w:eastAsia="en-ZA"/>
        </w:rPr>
        <w:t xml:space="preserve"> </w:t>
      </w:r>
      <w:r w:rsidRPr="00BB5C77">
        <w:rPr>
          <w:rFonts w:ascii="Arial" w:eastAsia="Arial" w:hAnsi="Arial" w:cs="Arial"/>
          <w:color w:val="030303"/>
          <w:w w:val="108"/>
          <w:sz w:val="21"/>
          <w:szCs w:val="21"/>
          <w:lang w:val="en-ZA" w:eastAsia="en-ZA"/>
        </w:rPr>
        <w:t>financial</w:t>
      </w:r>
    </w:p>
    <w:p w14:paraId="52B4DEF6" w14:textId="77777777" w:rsidR="00BB5C77" w:rsidRPr="00BB5C77" w:rsidRDefault="00BB5C77" w:rsidP="00BB5C77">
      <w:pPr>
        <w:spacing w:before="17" w:after="0" w:line="242" w:lineRule="auto"/>
        <w:ind w:left="601" w:right="519"/>
        <w:jc w:val="both"/>
        <w:rPr>
          <w:rFonts w:ascii="Arial" w:eastAsia="Arial" w:hAnsi="Arial" w:cs="Arial"/>
          <w:sz w:val="21"/>
          <w:szCs w:val="21"/>
          <w:lang w:val="en-ZA" w:eastAsia="en-ZA"/>
        </w:rPr>
      </w:pPr>
      <w:r w:rsidRPr="00BB5C77">
        <w:rPr>
          <w:rFonts w:ascii="Arial" w:eastAsia="Arial" w:hAnsi="Arial" w:cs="Arial"/>
          <w:color w:val="030303"/>
          <w:sz w:val="21"/>
          <w:szCs w:val="21"/>
          <w:lang w:val="en-ZA" w:eastAsia="en-ZA"/>
        </w:rPr>
        <w:t>year</w:t>
      </w:r>
      <w:r w:rsidRPr="00BB5C77">
        <w:rPr>
          <w:rFonts w:ascii="Arial" w:eastAsia="Arial" w:hAnsi="Arial" w:cs="Arial"/>
          <w:color w:val="030303"/>
          <w:spacing w:val="25"/>
          <w:sz w:val="21"/>
          <w:szCs w:val="21"/>
          <w:lang w:val="en-ZA" w:eastAsia="en-ZA"/>
        </w:rPr>
        <w:t xml:space="preserve"> </w:t>
      </w:r>
      <w:r w:rsidRPr="00BB5C77">
        <w:rPr>
          <w:rFonts w:ascii="Arial" w:eastAsia="Arial" w:hAnsi="Arial" w:cs="Arial"/>
          <w:color w:val="030303"/>
          <w:sz w:val="21"/>
          <w:szCs w:val="21"/>
          <w:lang w:val="en-ZA" w:eastAsia="en-ZA"/>
        </w:rPr>
        <w:t>was</w:t>
      </w:r>
      <w:r w:rsidRPr="00BB5C77">
        <w:rPr>
          <w:rFonts w:ascii="Arial" w:eastAsia="Arial" w:hAnsi="Arial" w:cs="Arial"/>
          <w:color w:val="030303"/>
          <w:spacing w:val="19"/>
          <w:sz w:val="21"/>
          <w:szCs w:val="21"/>
          <w:lang w:val="en-ZA" w:eastAsia="en-ZA"/>
        </w:rPr>
        <w:t xml:space="preserve"> </w:t>
      </w:r>
      <w:r w:rsidRPr="00BB5C77">
        <w:rPr>
          <w:rFonts w:ascii="Arial" w:eastAsia="Arial" w:hAnsi="Arial" w:cs="Arial"/>
          <w:color w:val="030303"/>
          <w:sz w:val="21"/>
          <w:szCs w:val="21"/>
          <w:lang w:val="en-ZA" w:eastAsia="en-ZA"/>
        </w:rPr>
        <w:t>identified</w:t>
      </w:r>
      <w:r w:rsidRPr="00BB5C77">
        <w:rPr>
          <w:rFonts w:ascii="Arial" w:eastAsia="Arial" w:hAnsi="Arial" w:cs="Arial"/>
          <w:color w:val="030303"/>
          <w:spacing w:val="39"/>
          <w:sz w:val="21"/>
          <w:szCs w:val="21"/>
          <w:lang w:val="en-ZA" w:eastAsia="en-ZA"/>
        </w:rPr>
        <w:t xml:space="preserve"> </w:t>
      </w:r>
      <w:r w:rsidRPr="00BB5C77">
        <w:rPr>
          <w:rFonts w:ascii="Arial" w:eastAsia="Arial" w:hAnsi="Arial" w:cs="Arial"/>
          <w:color w:val="030303"/>
          <w:sz w:val="21"/>
          <w:szCs w:val="21"/>
          <w:lang w:val="en-ZA" w:eastAsia="en-ZA"/>
        </w:rPr>
        <w:t>by</w:t>
      </w:r>
      <w:r w:rsidRPr="00BB5C77">
        <w:rPr>
          <w:rFonts w:ascii="Arial" w:eastAsia="Arial" w:hAnsi="Arial" w:cs="Arial"/>
          <w:color w:val="030303"/>
          <w:spacing w:val="11"/>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9"/>
          <w:sz w:val="21"/>
          <w:szCs w:val="21"/>
          <w:lang w:val="en-ZA" w:eastAsia="en-ZA"/>
        </w:rPr>
        <w:t xml:space="preserve"> </w:t>
      </w:r>
      <w:r w:rsidRPr="00BB5C77">
        <w:rPr>
          <w:rFonts w:ascii="Arial" w:eastAsia="Arial" w:hAnsi="Arial" w:cs="Arial"/>
          <w:color w:val="030303"/>
          <w:sz w:val="21"/>
          <w:szCs w:val="21"/>
          <w:lang w:val="en-ZA" w:eastAsia="en-ZA"/>
        </w:rPr>
        <w:t>auditors</w:t>
      </w:r>
      <w:r w:rsidRPr="00BB5C77">
        <w:rPr>
          <w:rFonts w:ascii="Arial" w:eastAsia="Arial" w:hAnsi="Arial" w:cs="Arial"/>
          <w:color w:val="030303"/>
          <w:spacing w:val="26"/>
          <w:sz w:val="21"/>
          <w:szCs w:val="21"/>
          <w:lang w:val="en-ZA" w:eastAsia="en-ZA"/>
        </w:rPr>
        <w:t xml:space="preserve"> </w:t>
      </w:r>
      <w:r w:rsidRPr="00BB5C77">
        <w:rPr>
          <w:rFonts w:ascii="Arial" w:eastAsia="Arial" w:hAnsi="Arial" w:cs="Arial"/>
          <w:color w:val="030303"/>
          <w:sz w:val="21"/>
          <w:szCs w:val="21"/>
          <w:lang w:val="en-ZA" w:eastAsia="en-ZA"/>
        </w:rPr>
        <w:t>and</w:t>
      </w:r>
      <w:r w:rsidRPr="00BB5C77">
        <w:rPr>
          <w:rFonts w:ascii="Arial" w:eastAsia="Arial" w:hAnsi="Arial" w:cs="Arial"/>
          <w:color w:val="030303"/>
          <w:spacing w:val="20"/>
          <w:sz w:val="21"/>
          <w:szCs w:val="21"/>
          <w:lang w:val="en-ZA" w:eastAsia="en-ZA"/>
        </w:rPr>
        <w:t xml:space="preserve"> </w:t>
      </w:r>
      <w:r w:rsidRPr="00BB5C77">
        <w:rPr>
          <w:rFonts w:ascii="Arial" w:eastAsia="Arial" w:hAnsi="Arial" w:cs="Arial"/>
          <w:color w:val="030303"/>
          <w:sz w:val="21"/>
          <w:szCs w:val="21"/>
          <w:lang w:val="en-ZA" w:eastAsia="en-ZA"/>
        </w:rPr>
        <w:t>were</w:t>
      </w:r>
      <w:r w:rsidRPr="00BB5C77">
        <w:rPr>
          <w:rFonts w:ascii="Arial" w:eastAsia="Arial" w:hAnsi="Arial" w:cs="Arial"/>
          <w:color w:val="030303"/>
          <w:spacing w:val="23"/>
          <w:sz w:val="21"/>
          <w:szCs w:val="21"/>
          <w:lang w:val="en-ZA" w:eastAsia="en-ZA"/>
        </w:rPr>
        <w:t xml:space="preserve"> </w:t>
      </w:r>
      <w:r w:rsidRPr="00BB5C77">
        <w:rPr>
          <w:rFonts w:ascii="Arial" w:eastAsia="Arial" w:hAnsi="Arial" w:cs="Arial"/>
          <w:color w:val="030303"/>
          <w:sz w:val="21"/>
          <w:szCs w:val="21"/>
          <w:lang w:val="en-ZA" w:eastAsia="en-ZA"/>
        </w:rPr>
        <w:t>subsequently</w:t>
      </w:r>
      <w:r w:rsidRPr="00BB5C77">
        <w:rPr>
          <w:rFonts w:ascii="Arial" w:eastAsia="Arial" w:hAnsi="Arial" w:cs="Arial"/>
          <w:color w:val="030303"/>
          <w:spacing w:val="58"/>
          <w:sz w:val="21"/>
          <w:szCs w:val="21"/>
          <w:lang w:val="en-ZA" w:eastAsia="en-ZA"/>
        </w:rPr>
        <w:t xml:space="preserve"> </w:t>
      </w:r>
      <w:r w:rsidRPr="00BB5C77">
        <w:rPr>
          <w:rFonts w:ascii="Arial" w:eastAsia="Arial" w:hAnsi="Arial" w:cs="Arial"/>
          <w:color w:val="030303"/>
          <w:sz w:val="21"/>
          <w:szCs w:val="21"/>
          <w:lang w:val="en-ZA" w:eastAsia="en-ZA"/>
        </w:rPr>
        <w:t>corrected,</w:t>
      </w:r>
      <w:r w:rsidRPr="00BB5C77">
        <w:rPr>
          <w:rFonts w:ascii="Arial" w:eastAsia="Arial" w:hAnsi="Arial" w:cs="Arial"/>
          <w:color w:val="030303"/>
          <w:spacing w:val="4"/>
          <w:sz w:val="21"/>
          <w:szCs w:val="21"/>
          <w:lang w:val="en-ZA" w:eastAsia="en-ZA"/>
        </w:rPr>
        <w:t xml:space="preserve"> </w:t>
      </w:r>
      <w:r w:rsidRPr="00BB5C77">
        <w:rPr>
          <w:rFonts w:ascii="Arial" w:eastAsia="Arial" w:hAnsi="Arial" w:cs="Arial"/>
          <w:color w:val="030303"/>
          <w:sz w:val="21"/>
          <w:szCs w:val="21"/>
          <w:lang w:val="en-ZA" w:eastAsia="en-ZA"/>
        </w:rPr>
        <w:t>resulting</w:t>
      </w:r>
      <w:r w:rsidRPr="00BB5C77">
        <w:rPr>
          <w:rFonts w:ascii="Arial" w:eastAsia="Arial" w:hAnsi="Arial" w:cs="Arial"/>
          <w:color w:val="030303"/>
          <w:spacing w:val="44"/>
          <w:sz w:val="21"/>
          <w:szCs w:val="21"/>
          <w:lang w:val="en-ZA" w:eastAsia="en-ZA"/>
        </w:rPr>
        <w:t xml:space="preserve"> </w:t>
      </w:r>
      <w:r w:rsidRPr="00BB5C77">
        <w:rPr>
          <w:rFonts w:ascii="Arial" w:eastAsia="Arial" w:hAnsi="Arial" w:cs="Arial"/>
          <w:color w:val="030303"/>
          <w:sz w:val="21"/>
          <w:szCs w:val="21"/>
          <w:lang w:val="en-ZA" w:eastAsia="en-ZA"/>
        </w:rPr>
        <w:t>in</w:t>
      </w:r>
      <w:r w:rsidRPr="00BB5C77">
        <w:rPr>
          <w:rFonts w:ascii="Arial" w:eastAsia="Arial" w:hAnsi="Arial" w:cs="Arial"/>
          <w:color w:val="030303"/>
          <w:spacing w:val="11"/>
          <w:sz w:val="21"/>
          <w:szCs w:val="21"/>
          <w:lang w:val="en-ZA" w:eastAsia="en-ZA"/>
        </w:rPr>
        <w:t xml:space="preserve"> </w:t>
      </w:r>
      <w:r w:rsidRPr="00BB5C77">
        <w:rPr>
          <w:rFonts w:ascii="Arial" w:eastAsia="Arial" w:hAnsi="Arial" w:cs="Arial"/>
          <w:color w:val="030303"/>
          <w:w w:val="107"/>
          <w:sz w:val="21"/>
          <w:szCs w:val="21"/>
          <w:lang w:val="en-ZA" w:eastAsia="en-ZA"/>
        </w:rPr>
        <w:t xml:space="preserve">the </w:t>
      </w:r>
      <w:r w:rsidRPr="00BB5C77">
        <w:rPr>
          <w:rFonts w:ascii="Arial" w:eastAsia="Arial" w:hAnsi="Arial" w:cs="Arial"/>
          <w:color w:val="030303"/>
          <w:sz w:val="21"/>
          <w:szCs w:val="21"/>
          <w:lang w:val="en-ZA" w:eastAsia="en-ZA"/>
        </w:rPr>
        <w:t>financial</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statements</w:t>
      </w:r>
      <w:r w:rsidRPr="00BB5C77">
        <w:rPr>
          <w:rFonts w:ascii="Arial" w:eastAsia="Arial" w:hAnsi="Arial" w:cs="Arial"/>
          <w:color w:val="030303"/>
          <w:spacing w:val="41"/>
          <w:sz w:val="21"/>
          <w:szCs w:val="21"/>
          <w:lang w:val="en-ZA" w:eastAsia="en-ZA"/>
        </w:rPr>
        <w:t xml:space="preserve"> </w:t>
      </w:r>
      <w:r w:rsidRPr="00BB5C77">
        <w:rPr>
          <w:rFonts w:ascii="Arial" w:eastAsia="Arial" w:hAnsi="Arial" w:cs="Arial"/>
          <w:color w:val="030303"/>
          <w:sz w:val="21"/>
          <w:szCs w:val="21"/>
          <w:lang w:val="en-ZA" w:eastAsia="en-ZA"/>
        </w:rPr>
        <w:t>receiving</w:t>
      </w:r>
      <w:r w:rsidRPr="00BB5C77">
        <w:rPr>
          <w:rFonts w:ascii="Arial" w:eastAsia="Arial" w:hAnsi="Arial" w:cs="Arial"/>
          <w:color w:val="030303"/>
          <w:spacing w:val="40"/>
          <w:sz w:val="21"/>
          <w:szCs w:val="21"/>
          <w:lang w:val="en-ZA" w:eastAsia="en-ZA"/>
        </w:rPr>
        <w:t xml:space="preserve"> </w:t>
      </w:r>
      <w:r w:rsidRPr="00BB5C77">
        <w:rPr>
          <w:rFonts w:ascii="Arial" w:eastAsia="Arial" w:hAnsi="Arial" w:cs="Arial"/>
          <w:color w:val="030303"/>
          <w:sz w:val="21"/>
          <w:szCs w:val="21"/>
          <w:lang w:val="en-ZA" w:eastAsia="en-ZA"/>
        </w:rPr>
        <w:t>an</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unqualified</w:t>
      </w:r>
      <w:r w:rsidRPr="00BB5C77">
        <w:rPr>
          <w:rFonts w:ascii="Arial" w:eastAsia="Arial" w:hAnsi="Arial" w:cs="Arial"/>
          <w:color w:val="030303"/>
          <w:spacing w:val="38"/>
          <w:sz w:val="21"/>
          <w:szCs w:val="21"/>
          <w:lang w:val="en-ZA" w:eastAsia="en-ZA"/>
        </w:rPr>
        <w:t xml:space="preserve"> </w:t>
      </w:r>
      <w:r w:rsidRPr="00BB5C77">
        <w:rPr>
          <w:rFonts w:ascii="Arial" w:eastAsia="Arial" w:hAnsi="Arial" w:cs="Arial"/>
          <w:color w:val="030303"/>
          <w:w w:val="106"/>
          <w:sz w:val="21"/>
          <w:szCs w:val="21"/>
          <w:lang w:val="en-ZA" w:eastAsia="en-ZA"/>
        </w:rPr>
        <w:t>opinion.</w:t>
      </w:r>
    </w:p>
    <w:p w14:paraId="7FDA7661" w14:textId="77777777" w:rsidR="00BB5C77" w:rsidRPr="00BB5C77" w:rsidRDefault="00BB5C77" w:rsidP="00BB5C77">
      <w:pPr>
        <w:spacing w:before="15" w:after="0" w:line="220" w:lineRule="exact"/>
        <w:jc w:val="both"/>
        <w:rPr>
          <w:rFonts w:eastAsia="Times New Roman" w:cs="Times New Roman"/>
          <w:sz w:val="22"/>
          <w:lang w:val="en-ZA" w:eastAsia="en-ZA"/>
        </w:rPr>
      </w:pPr>
    </w:p>
    <w:p w14:paraId="7AFC6078" w14:textId="77777777" w:rsidR="00BB5C77" w:rsidRPr="00BB5C77" w:rsidRDefault="00BB5C77" w:rsidP="00BB5C77">
      <w:pPr>
        <w:spacing w:after="0" w:line="240" w:lineRule="auto"/>
        <w:ind w:left="256" w:right="-20"/>
        <w:jc w:val="both"/>
        <w:rPr>
          <w:rFonts w:ascii="Arial" w:eastAsia="Arial" w:hAnsi="Arial" w:cs="Arial"/>
          <w:sz w:val="22"/>
          <w:lang w:val="en-ZA" w:eastAsia="en-ZA"/>
        </w:rPr>
      </w:pPr>
      <w:r w:rsidRPr="00BB5C77">
        <w:rPr>
          <w:rFonts w:ascii="Arial" w:eastAsia="Arial" w:hAnsi="Arial" w:cs="Arial"/>
          <w:color w:val="1C1C1C"/>
          <w:w w:val="107"/>
          <w:sz w:val="22"/>
          <w:lang w:val="en-ZA" w:eastAsia="en-ZA"/>
        </w:rPr>
        <w:t>Expenditure</w:t>
      </w:r>
      <w:r w:rsidRPr="00BB5C77">
        <w:rPr>
          <w:rFonts w:ascii="Arial" w:eastAsia="Arial" w:hAnsi="Arial" w:cs="Arial"/>
          <w:color w:val="1C1C1C"/>
          <w:spacing w:val="-3"/>
          <w:w w:val="107"/>
          <w:sz w:val="22"/>
          <w:lang w:val="en-ZA" w:eastAsia="en-ZA"/>
        </w:rPr>
        <w:t xml:space="preserve"> </w:t>
      </w:r>
      <w:r w:rsidRPr="00BB5C77">
        <w:rPr>
          <w:rFonts w:ascii="Arial" w:eastAsia="Arial" w:hAnsi="Arial" w:cs="Arial"/>
          <w:color w:val="1C1C1C"/>
          <w:w w:val="107"/>
          <w:sz w:val="22"/>
          <w:lang w:val="en-ZA" w:eastAsia="en-ZA"/>
        </w:rPr>
        <w:t>management</w:t>
      </w:r>
    </w:p>
    <w:p w14:paraId="3F0DD7E6" w14:textId="77777777" w:rsidR="00BB5C77" w:rsidRPr="00BB5C77" w:rsidRDefault="00BB5C77" w:rsidP="00BB5C77">
      <w:pPr>
        <w:spacing w:before="19" w:after="0" w:line="240" w:lineRule="exact"/>
        <w:jc w:val="both"/>
        <w:rPr>
          <w:rFonts w:eastAsia="Times New Roman" w:cs="Times New Roman"/>
          <w:sz w:val="24"/>
          <w:szCs w:val="24"/>
          <w:lang w:val="en-ZA" w:eastAsia="en-ZA"/>
        </w:rPr>
      </w:pPr>
    </w:p>
    <w:p w14:paraId="11207996" w14:textId="77777777" w:rsidR="00BB5C77" w:rsidRPr="00BB5C77" w:rsidRDefault="00BB5C77" w:rsidP="00BB5C77">
      <w:pPr>
        <w:spacing w:after="0" w:line="242" w:lineRule="auto"/>
        <w:ind w:left="601" w:right="610" w:hanging="359"/>
        <w:jc w:val="both"/>
        <w:rPr>
          <w:rFonts w:ascii="Arial" w:eastAsia="Arial" w:hAnsi="Arial" w:cs="Arial"/>
          <w:sz w:val="21"/>
          <w:szCs w:val="21"/>
          <w:lang w:val="en-ZA" w:eastAsia="en-ZA"/>
        </w:rPr>
      </w:pPr>
      <w:r w:rsidRPr="00BB5C77">
        <w:rPr>
          <w:rFonts w:ascii="Arial" w:eastAsia="Arial" w:hAnsi="Arial" w:cs="Arial"/>
          <w:color w:val="030303"/>
          <w:w w:val="109"/>
          <w:sz w:val="21"/>
          <w:szCs w:val="21"/>
          <w:lang w:val="en-ZA" w:eastAsia="en-ZA"/>
        </w:rPr>
        <w:t>2</w:t>
      </w:r>
      <w:r w:rsidRPr="00BB5C77">
        <w:rPr>
          <w:rFonts w:ascii="Arial" w:eastAsia="Arial" w:hAnsi="Arial" w:cs="Arial"/>
          <w:color w:val="030303"/>
          <w:spacing w:val="-8"/>
          <w:w w:val="109"/>
          <w:sz w:val="21"/>
          <w:szCs w:val="21"/>
          <w:lang w:val="en-ZA" w:eastAsia="en-ZA"/>
        </w:rPr>
        <w:t>6</w:t>
      </w:r>
      <w:r w:rsidRPr="00BB5C77">
        <w:rPr>
          <w:rFonts w:ascii="Arial" w:eastAsia="Arial" w:hAnsi="Arial" w:cs="Arial"/>
          <w:color w:val="2D2D2D"/>
          <w:w w:val="170"/>
          <w:sz w:val="21"/>
          <w:szCs w:val="21"/>
          <w:lang w:val="en-ZA" w:eastAsia="en-ZA"/>
        </w:rPr>
        <w:t>.</w:t>
      </w:r>
      <w:r w:rsidRPr="00BB5C77">
        <w:rPr>
          <w:rFonts w:ascii="Arial" w:eastAsia="Arial" w:hAnsi="Arial" w:cs="Arial"/>
          <w:color w:val="2D2D2D"/>
          <w:spacing w:val="-40"/>
          <w:sz w:val="21"/>
          <w:szCs w:val="21"/>
          <w:lang w:val="en-ZA" w:eastAsia="en-ZA"/>
        </w:rPr>
        <w:t xml:space="preserve"> </w:t>
      </w:r>
      <w:r w:rsidRPr="00BB5C77">
        <w:rPr>
          <w:rFonts w:ascii="Arial" w:eastAsia="Arial" w:hAnsi="Arial" w:cs="Arial"/>
          <w:color w:val="030303"/>
          <w:sz w:val="21"/>
          <w:szCs w:val="21"/>
          <w:lang w:val="en-ZA" w:eastAsia="en-ZA"/>
        </w:rPr>
        <w:t>Reasonable</w:t>
      </w:r>
      <w:r w:rsidRPr="00BB5C77">
        <w:rPr>
          <w:rFonts w:ascii="Arial" w:eastAsia="Arial" w:hAnsi="Arial" w:cs="Arial"/>
          <w:color w:val="030303"/>
          <w:spacing w:val="55"/>
          <w:sz w:val="21"/>
          <w:szCs w:val="21"/>
          <w:lang w:val="en-ZA" w:eastAsia="en-ZA"/>
        </w:rPr>
        <w:t xml:space="preserve"> </w:t>
      </w:r>
      <w:r w:rsidRPr="00BB5C77">
        <w:rPr>
          <w:rFonts w:ascii="Arial" w:eastAsia="Arial" w:hAnsi="Arial" w:cs="Arial"/>
          <w:color w:val="030303"/>
          <w:sz w:val="21"/>
          <w:szCs w:val="21"/>
          <w:lang w:val="en-ZA" w:eastAsia="en-ZA"/>
        </w:rPr>
        <w:t>steps</w:t>
      </w:r>
      <w:r w:rsidRPr="00BB5C77">
        <w:rPr>
          <w:rFonts w:ascii="Arial" w:eastAsia="Arial" w:hAnsi="Arial" w:cs="Arial"/>
          <w:color w:val="030303"/>
          <w:spacing w:val="33"/>
          <w:sz w:val="21"/>
          <w:szCs w:val="21"/>
          <w:lang w:val="en-ZA" w:eastAsia="en-ZA"/>
        </w:rPr>
        <w:t xml:space="preserve"> </w:t>
      </w:r>
      <w:r w:rsidRPr="00BB5C77">
        <w:rPr>
          <w:rFonts w:ascii="Arial" w:eastAsia="Arial" w:hAnsi="Arial" w:cs="Arial"/>
          <w:color w:val="030303"/>
          <w:sz w:val="21"/>
          <w:szCs w:val="21"/>
          <w:lang w:val="en-ZA" w:eastAsia="en-ZA"/>
        </w:rPr>
        <w:t>were</w:t>
      </w:r>
      <w:r w:rsidRPr="00BB5C77">
        <w:rPr>
          <w:rFonts w:ascii="Arial" w:eastAsia="Arial" w:hAnsi="Arial" w:cs="Arial"/>
          <w:color w:val="030303"/>
          <w:spacing w:val="15"/>
          <w:sz w:val="21"/>
          <w:szCs w:val="21"/>
          <w:lang w:val="en-ZA" w:eastAsia="en-ZA"/>
        </w:rPr>
        <w:t xml:space="preserve"> </w:t>
      </w:r>
      <w:r w:rsidRPr="00BB5C77">
        <w:rPr>
          <w:rFonts w:ascii="Arial" w:eastAsia="Arial" w:hAnsi="Arial" w:cs="Arial"/>
          <w:color w:val="030303"/>
          <w:sz w:val="21"/>
          <w:szCs w:val="21"/>
          <w:lang w:val="en-ZA" w:eastAsia="en-ZA"/>
        </w:rPr>
        <w:t>not</w:t>
      </w:r>
      <w:r w:rsidRPr="00BB5C77">
        <w:rPr>
          <w:rFonts w:ascii="Arial" w:eastAsia="Arial" w:hAnsi="Arial" w:cs="Arial"/>
          <w:color w:val="030303"/>
          <w:spacing w:val="20"/>
          <w:sz w:val="21"/>
          <w:szCs w:val="21"/>
          <w:lang w:val="en-ZA" w:eastAsia="en-ZA"/>
        </w:rPr>
        <w:t xml:space="preserve"> </w:t>
      </w:r>
      <w:r w:rsidRPr="00BB5C77">
        <w:rPr>
          <w:rFonts w:ascii="Arial" w:eastAsia="Arial" w:hAnsi="Arial" w:cs="Arial"/>
          <w:color w:val="030303"/>
          <w:sz w:val="21"/>
          <w:szCs w:val="21"/>
          <w:lang w:val="en-ZA" w:eastAsia="en-ZA"/>
        </w:rPr>
        <w:t>taken</w:t>
      </w:r>
      <w:r w:rsidRPr="00BB5C77">
        <w:rPr>
          <w:rFonts w:ascii="Arial" w:eastAsia="Arial" w:hAnsi="Arial" w:cs="Arial"/>
          <w:color w:val="030303"/>
          <w:spacing w:val="23"/>
          <w:sz w:val="21"/>
          <w:szCs w:val="21"/>
          <w:lang w:val="en-ZA" w:eastAsia="en-ZA"/>
        </w:rPr>
        <w:t xml:space="preserve"> </w:t>
      </w:r>
      <w:r w:rsidRPr="00BB5C77">
        <w:rPr>
          <w:rFonts w:ascii="Arial" w:eastAsia="Arial" w:hAnsi="Arial" w:cs="Arial"/>
          <w:color w:val="030303"/>
          <w:sz w:val="21"/>
          <w:szCs w:val="21"/>
          <w:lang w:val="en-ZA" w:eastAsia="en-ZA"/>
        </w:rPr>
        <w:t>to</w:t>
      </w:r>
      <w:r w:rsidRPr="00BB5C77">
        <w:rPr>
          <w:rFonts w:ascii="Arial" w:eastAsia="Arial" w:hAnsi="Arial" w:cs="Arial"/>
          <w:color w:val="030303"/>
          <w:spacing w:val="5"/>
          <w:sz w:val="21"/>
          <w:szCs w:val="21"/>
          <w:lang w:val="en-ZA" w:eastAsia="en-ZA"/>
        </w:rPr>
        <w:t xml:space="preserve"> </w:t>
      </w:r>
      <w:r w:rsidRPr="00BB5C77">
        <w:rPr>
          <w:rFonts w:ascii="Arial" w:eastAsia="Arial" w:hAnsi="Arial" w:cs="Arial"/>
          <w:color w:val="030303"/>
          <w:sz w:val="21"/>
          <w:szCs w:val="21"/>
          <w:lang w:val="en-ZA" w:eastAsia="en-ZA"/>
        </w:rPr>
        <w:t>prevent</w:t>
      </w:r>
      <w:r w:rsidRPr="00BB5C77">
        <w:rPr>
          <w:rFonts w:ascii="Arial" w:eastAsia="Arial" w:hAnsi="Arial" w:cs="Arial"/>
          <w:color w:val="030303"/>
          <w:spacing w:val="37"/>
          <w:sz w:val="21"/>
          <w:szCs w:val="21"/>
          <w:lang w:val="en-ZA" w:eastAsia="en-ZA"/>
        </w:rPr>
        <w:t xml:space="preserve"> </w:t>
      </w:r>
      <w:r w:rsidRPr="00BB5C77">
        <w:rPr>
          <w:rFonts w:ascii="Arial" w:eastAsia="Arial" w:hAnsi="Arial" w:cs="Arial"/>
          <w:color w:val="030303"/>
          <w:sz w:val="21"/>
          <w:szCs w:val="21"/>
          <w:lang w:val="en-ZA" w:eastAsia="en-ZA"/>
        </w:rPr>
        <w:t>irregular</w:t>
      </w:r>
      <w:r w:rsidRPr="00BB5C77">
        <w:rPr>
          <w:rFonts w:ascii="Arial" w:eastAsia="Arial" w:hAnsi="Arial" w:cs="Arial"/>
          <w:color w:val="030303"/>
          <w:spacing w:val="53"/>
          <w:sz w:val="21"/>
          <w:szCs w:val="21"/>
          <w:lang w:val="en-ZA" w:eastAsia="en-ZA"/>
        </w:rPr>
        <w:t xml:space="preserve"> </w:t>
      </w:r>
      <w:r w:rsidRPr="00BB5C77">
        <w:rPr>
          <w:rFonts w:ascii="Arial" w:eastAsia="Arial" w:hAnsi="Arial" w:cs="Arial"/>
          <w:color w:val="030303"/>
          <w:sz w:val="21"/>
          <w:szCs w:val="21"/>
          <w:lang w:val="en-ZA" w:eastAsia="en-ZA"/>
        </w:rPr>
        <w:t>expenditure</w:t>
      </w:r>
      <w:r w:rsidRPr="00BB5C77">
        <w:rPr>
          <w:rFonts w:ascii="Arial" w:eastAsia="Arial" w:hAnsi="Arial" w:cs="Arial"/>
          <w:color w:val="030303"/>
          <w:spacing w:val="20"/>
          <w:sz w:val="21"/>
          <w:szCs w:val="21"/>
          <w:lang w:val="en-ZA" w:eastAsia="en-ZA"/>
        </w:rPr>
        <w:t xml:space="preserve"> </w:t>
      </w:r>
      <w:r w:rsidRPr="00BB5C77">
        <w:rPr>
          <w:rFonts w:ascii="Arial" w:eastAsia="Arial" w:hAnsi="Arial" w:cs="Arial"/>
          <w:color w:val="030303"/>
          <w:sz w:val="21"/>
          <w:szCs w:val="21"/>
          <w:lang w:val="en-ZA" w:eastAsia="en-ZA"/>
        </w:rPr>
        <w:t>and</w:t>
      </w:r>
      <w:r w:rsidRPr="00BB5C77">
        <w:rPr>
          <w:rFonts w:ascii="Arial" w:eastAsia="Arial" w:hAnsi="Arial" w:cs="Arial"/>
          <w:color w:val="030303"/>
          <w:spacing w:val="11"/>
          <w:sz w:val="21"/>
          <w:szCs w:val="21"/>
          <w:lang w:val="en-ZA" w:eastAsia="en-ZA"/>
        </w:rPr>
        <w:t xml:space="preserve"> </w:t>
      </w:r>
      <w:r w:rsidRPr="00BB5C77">
        <w:rPr>
          <w:rFonts w:ascii="Arial" w:eastAsia="Arial" w:hAnsi="Arial" w:cs="Arial"/>
          <w:color w:val="030303"/>
          <w:sz w:val="21"/>
          <w:szCs w:val="21"/>
          <w:lang w:val="en-ZA" w:eastAsia="en-ZA"/>
        </w:rPr>
        <w:t>fruitless</w:t>
      </w:r>
      <w:r w:rsidRPr="00BB5C77">
        <w:rPr>
          <w:rFonts w:ascii="Arial" w:eastAsia="Arial" w:hAnsi="Arial" w:cs="Arial"/>
          <w:color w:val="030303"/>
          <w:spacing w:val="54"/>
          <w:sz w:val="21"/>
          <w:szCs w:val="21"/>
          <w:lang w:val="en-ZA" w:eastAsia="en-ZA"/>
        </w:rPr>
        <w:t xml:space="preserve"> </w:t>
      </w:r>
      <w:r w:rsidRPr="00BB5C77">
        <w:rPr>
          <w:rFonts w:ascii="Arial" w:eastAsia="Arial" w:hAnsi="Arial" w:cs="Arial"/>
          <w:color w:val="030303"/>
          <w:w w:val="107"/>
          <w:sz w:val="21"/>
          <w:szCs w:val="21"/>
          <w:lang w:val="en-ZA" w:eastAsia="en-ZA"/>
        </w:rPr>
        <w:t xml:space="preserve">and </w:t>
      </w:r>
      <w:r w:rsidRPr="00BB5C77">
        <w:rPr>
          <w:rFonts w:ascii="Arial" w:eastAsia="Arial" w:hAnsi="Arial" w:cs="Arial"/>
          <w:color w:val="030303"/>
          <w:sz w:val="21"/>
          <w:szCs w:val="21"/>
          <w:lang w:val="en-ZA" w:eastAsia="en-ZA"/>
        </w:rPr>
        <w:t>wasteful</w:t>
      </w:r>
      <w:r w:rsidRPr="00BB5C77">
        <w:rPr>
          <w:rFonts w:ascii="Arial" w:eastAsia="Arial" w:hAnsi="Arial" w:cs="Arial"/>
          <w:color w:val="030303"/>
          <w:spacing w:val="32"/>
          <w:sz w:val="21"/>
          <w:szCs w:val="21"/>
          <w:lang w:val="en-ZA" w:eastAsia="en-ZA"/>
        </w:rPr>
        <w:t xml:space="preserve"> </w:t>
      </w:r>
      <w:r w:rsidRPr="00BB5C77">
        <w:rPr>
          <w:rFonts w:ascii="Arial" w:eastAsia="Arial" w:hAnsi="Arial" w:cs="Arial"/>
          <w:color w:val="030303"/>
          <w:sz w:val="21"/>
          <w:szCs w:val="21"/>
          <w:lang w:val="en-ZA" w:eastAsia="en-ZA"/>
        </w:rPr>
        <w:t>expenditure,</w:t>
      </w:r>
      <w:r w:rsidRPr="00BB5C77">
        <w:rPr>
          <w:rFonts w:ascii="Arial" w:eastAsia="Arial" w:hAnsi="Arial" w:cs="Arial"/>
          <w:color w:val="030303"/>
          <w:spacing w:val="49"/>
          <w:sz w:val="21"/>
          <w:szCs w:val="21"/>
          <w:lang w:val="en-ZA" w:eastAsia="en-ZA"/>
        </w:rPr>
        <w:t xml:space="preserve"> </w:t>
      </w:r>
      <w:r w:rsidRPr="00BB5C77">
        <w:rPr>
          <w:rFonts w:ascii="Arial" w:eastAsia="Arial" w:hAnsi="Arial" w:cs="Arial"/>
          <w:color w:val="030303"/>
          <w:sz w:val="21"/>
          <w:szCs w:val="21"/>
          <w:lang w:val="en-ZA" w:eastAsia="en-ZA"/>
        </w:rPr>
        <w:t>as required</w:t>
      </w:r>
      <w:r w:rsidRPr="00BB5C77">
        <w:rPr>
          <w:rFonts w:ascii="Arial" w:eastAsia="Arial" w:hAnsi="Arial" w:cs="Arial"/>
          <w:color w:val="030303"/>
          <w:spacing w:val="52"/>
          <w:sz w:val="21"/>
          <w:szCs w:val="21"/>
          <w:lang w:val="en-ZA" w:eastAsia="en-ZA"/>
        </w:rPr>
        <w:t xml:space="preserve"> </w:t>
      </w:r>
      <w:r w:rsidRPr="00BB5C77">
        <w:rPr>
          <w:rFonts w:ascii="Arial" w:eastAsia="Arial" w:hAnsi="Arial" w:cs="Arial"/>
          <w:color w:val="030303"/>
          <w:sz w:val="21"/>
          <w:szCs w:val="21"/>
          <w:lang w:val="en-ZA" w:eastAsia="en-ZA"/>
        </w:rPr>
        <w:t>by</w:t>
      </w:r>
      <w:r w:rsidRPr="00BB5C77">
        <w:rPr>
          <w:rFonts w:ascii="Arial" w:eastAsia="Arial" w:hAnsi="Arial" w:cs="Arial"/>
          <w:color w:val="030303"/>
          <w:spacing w:val="15"/>
          <w:sz w:val="21"/>
          <w:szCs w:val="21"/>
          <w:lang w:val="en-ZA" w:eastAsia="en-ZA"/>
        </w:rPr>
        <w:t xml:space="preserve"> </w:t>
      </w:r>
      <w:r w:rsidRPr="00BB5C77">
        <w:rPr>
          <w:rFonts w:ascii="Arial" w:eastAsia="Arial" w:hAnsi="Arial" w:cs="Arial"/>
          <w:color w:val="030303"/>
          <w:sz w:val="21"/>
          <w:szCs w:val="21"/>
          <w:lang w:val="en-ZA" w:eastAsia="en-ZA"/>
        </w:rPr>
        <w:t>section</w:t>
      </w:r>
      <w:r w:rsidRPr="00BB5C77">
        <w:rPr>
          <w:rFonts w:ascii="Arial" w:eastAsia="Arial" w:hAnsi="Arial" w:cs="Arial"/>
          <w:color w:val="030303"/>
          <w:spacing w:val="26"/>
          <w:sz w:val="21"/>
          <w:szCs w:val="21"/>
          <w:lang w:val="en-ZA" w:eastAsia="en-ZA"/>
        </w:rPr>
        <w:t xml:space="preserve"> </w:t>
      </w:r>
      <w:r w:rsidRPr="00BB5C77">
        <w:rPr>
          <w:rFonts w:ascii="Arial" w:eastAsia="Arial" w:hAnsi="Arial" w:cs="Arial"/>
          <w:color w:val="030303"/>
          <w:sz w:val="21"/>
          <w:szCs w:val="21"/>
          <w:lang w:val="en-ZA" w:eastAsia="en-ZA"/>
        </w:rPr>
        <w:t>62(</w:t>
      </w:r>
      <w:r w:rsidRPr="00BB5C77">
        <w:rPr>
          <w:rFonts w:ascii="Arial" w:eastAsia="Arial" w:hAnsi="Arial" w:cs="Arial"/>
          <w:color w:val="030303"/>
          <w:spacing w:val="-11"/>
          <w:sz w:val="21"/>
          <w:szCs w:val="21"/>
          <w:lang w:val="en-ZA" w:eastAsia="en-ZA"/>
        </w:rPr>
        <w:t>1</w:t>
      </w:r>
      <w:r w:rsidRPr="00BB5C77">
        <w:rPr>
          <w:rFonts w:ascii="Arial" w:eastAsia="Arial" w:hAnsi="Arial" w:cs="Arial"/>
          <w:color w:val="030303"/>
          <w:sz w:val="21"/>
          <w:szCs w:val="21"/>
          <w:lang w:val="en-ZA" w:eastAsia="en-ZA"/>
        </w:rPr>
        <w:t>)(d)</w:t>
      </w:r>
      <w:r w:rsidRPr="00BB5C77">
        <w:rPr>
          <w:rFonts w:ascii="Arial" w:eastAsia="Arial" w:hAnsi="Arial" w:cs="Arial"/>
          <w:color w:val="030303"/>
          <w:spacing w:val="52"/>
          <w:sz w:val="21"/>
          <w:szCs w:val="21"/>
          <w:lang w:val="en-ZA" w:eastAsia="en-ZA"/>
        </w:rPr>
        <w:t xml:space="preserve"> </w:t>
      </w:r>
      <w:r w:rsidRPr="00BB5C77">
        <w:rPr>
          <w:rFonts w:ascii="Arial" w:eastAsia="Arial" w:hAnsi="Arial" w:cs="Arial"/>
          <w:color w:val="030303"/>
          <w:sz w:val="21"/>
          <w:szCs w:val="21"/>
          <w:lang w:val="en-ZA" w:eastAsia="en-ZA"/>
        </w:rPr>
        <w:t>of</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7"/>
          <w:sz w:val="21"/>
          <w:szCs w:val="21"/>
          <w:lang w:val="en-ZA" w:eastAsia="en-ZA"/>
        </w:rPr>
        <w:t xml:space="preserve"> </w:t>
      </w:r>
      <w:r w:rsidRPr="00BB5C77">
        <w:rPr>
          <w:rFonts w:ascii="Arial" w:eastAsia="Arial" w:hAnsi="Arial" w:cs="Arial"/>
          <w:color w:val="030303"/>
          <w:w w:val="103"/>
          <w:sz w:val="21"/>
          <w:szCs w:val="21"/>
          <w:lang w:val="en-ZA" w:eastAsia="en-ZA"/>
        </w:rPr>
        <w:t>MFMA.</w:t>
      </w:r>
    </w:p>
    <w:p w14:paraId="25E5199B" w14:textId="77777777" w:rsidR="00BB5C77" w:rsidRPr="00BB5C77" w:rsidRDefault="00BB5C77" w:rsidP="00BB5C77">
      <w:pPr>
        <w:spacing w:after="0" w:line="200" w:lineRule="exact"/>
        <w:jc w:val="both"/>
        <w:rPr>
          <w:rFonts w:eastAsia="Times New Roman" w:cs="Times New Roman"/>
          <w:szCs w:val="20"/>
          <w:lang w:val="en-ZA" w:eastAsia="en-ZA"/>
        </w:rPr>
      </w:pPr>
    </w:p>
    <w:p w14:paraId="611405EE" w14:textId="77777777" w:rsidR="00BB5C77" w:rsidRPr="00BB5C77" w:rsidRDefault="00BB5C77" w:rsidP="00BB5C77">
      <w:pPr>
        <w:spacing w:before="12" w:after="0" w:line="220" w:lineRule="exact"/>
        <w:jc w:val="both"/>
        <w:rPr>
          <w:rFonts w:eastAsia="Times New Roman" w:cs="Times New Roman"/>
          <w:sz w:val="22"/>
          <w:lang w:val="en-ZA" w:eastAsia="en-ZA"/>
        </w:rPr>
      </w:pPr>
    </w:p>
    <w:p w14:paraId="58346542" w14:textId="77777777" w:rsidR="00BB5C77" w:rsidRPr="00BB5C77" w:rsidRDefault="00BB5C77" w:rsidP="00BB5C77">
      <w:pPr>
        <w:spacing w:after="0" w:line="240" w:lineRule="auto"/>
        <w:ind w:left="314" w:right="-20"/>
        <w:jc w:val="both"/>
        <w:rPr>
          <w:rFonts w:ascii="Arial" w:eastAsia="Arial" w:hAnsi="Arial" w:cs="Arial"/>
          <w:sz w:val="24"/>
          <w:szCs w:val="24"/>
          <w:lang w:val="en-ZA" w:eastAsia="en-ZA"/>
        </w:rPr>
      </w:pPr>
      <w:r w:rsidRPr="00BB5C77">
        <w:rPr>
          <w:rFonts w:eastAsia="Calibri" w:cs="Times New Roman"/>
          <w:noProof/>
          <w:sz w:val="22"/>
        </w:rPr>
        <mc:AlternateContent>
          <mc:Choice Requires="wpg">
            <w:drawing>
              <wp:anchor distT="0" distB="0" distL="114300" distR="114300" simplePos="0" relativeHeight="251770368" behindDoc="1" locked="0" layoutInCell="1" allowOverlap="1" wp14:anchorId="37896A20" wp14:editId="2DB92119">
                <wp:simplePos x="0" y="0"/>
                <wp:positionH relativeFrom="page">
                  <wp:posOffset>825500</wp:posOffset>
                </wp:positionH>
                <wp:positionV relativeFrom="paragraph">
                  <wp:posOffset>-14605</wp:posOffset>
                </wp:positionV>
                <wp:extent cx="5892165" cy="1270"/>
                <wp:effectExtent l="6350" t="13970" r="6985" b="3810"/>
                <wp:wrapNone/>
                <wp:docPr id="43458" name="Group 434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92165" cy="1270"/>
                          <a:chOff x="1300" y="-23"/>
                          <a:chExt cx="9279" cy="2"/>
                        </a:xfrm>
                      </wpg:grpSpPr>
                      <wps:wsp>
                        <wps:cNvPr id="43459" name="Freeform 11"/>
                        <wps:cNvSpPr>
                          <a:spLocks/>
                        </wps:cNvSpPr>
                        <wps:spPr bwMode="auto">
                          <a:xfrm>
                            <a:off x="1300" y="-23"/>
                            <a:ext cx="9279" cy="2"/>
                          </a:xfrm>
                          <a:custGeom>
                            <a:avLst/>
                            <a:gdLst>
                              <a:gd name="T0" fmla="+- 0 1300 1300"/>
                              <a:gd name="T1" fmla="*/ T0 w 9279"/>
                              <a:gd name="T2" fmla="+- 0 10579 1300"/>
                              <a:gd name="T3" fmla="*/ T2 w 9279"/>
                            </a:gdLst>
                            <a:ahLst/>
                            <a:cxnLst>
                              <a:cxn ang="0">
                                <a:pos x="T1" y="0"/>
                              </a:cxn>
                              <a:cxn ang="0">
                                <a:pos x="T3" y="0"/>
                              </a:cxn>
                            </a:cxnLst>
                            <a:rect l="0" t="0" r="r" b="b"/>
                            <a:pathLst>
                              <a:path w="9279">
                                <a:moveTo>
                                  <a:pt x="0" y="0"/>
                                </a:moveTo>
                                <a:lnTo>
                                  <a:pt x="9279" y="0"/>
                                </a:lnTo>
                              </a:path>
                            </a:pathLst>
                          </a:custGeom>
                          <a:noFill/>
                          <a:ln w="9121">
                            <a:solidFill>
                              <a:srgbClr val="6B6B6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40C30B" id="Group 43458" o:spid="_x0000_s1026" style="position:absolute;margin-left:65pt;margin-top:-1.15pt;width:463.95pt;height:.1pt;z-index:-251546112;mso-position-horizontal-relative:page" coordorigin="1300,-23" coordsize="92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">
                <v:shape id="Freeform 11" o:spid="_x0000_s1027" style="position:absolute;left:1300;top:-23;width:9279;height:2;visibility:visible;mso-wrap-style:square;v-text-anchor:top" coordsize="92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REIsYA&#10;AADeAAAADwAAAGRycy9kb3ducmV2LnhtbESPwW7CMBBE70j9B2srcUHgAGlJUwwCqkr0WODS2zbe&#10;OlHjdYgNpH9fIyFxHM3MG8182dlanKn1lWMF41ECgrhwumKj4LB/H2YgfEDWWDsmBX/kYbl46M0x&#10;1+7Cn3TeBSMihH2OCsoQmlxKX5Rk0Y9cQxy9H9daDFG2RuoWLxFuazlJkmdpseK4UGJDm5KK393J&#10;KuDUzL4HR/thsg02GW/N+uvNKNV/7FavIAJ14R6+tbdaQTpNn17geideAbn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9REIsYAAADeAAAADwAAAAAAAAAAAAAAAACYAgAAZHJz&#10;L2Rvd25yZXYueG1sUEsFBgAAAAAEAAQA9QAAAIsDAAAAAA==&#10;" path="m,l9279,e" filled="f" strokecolor="#6b6b6b" strokeweight=".25336mm">
                  <v:path arrowok="t" o:connecttype="custom" o:connectlocs="0,0;9279,0" o:connectangles="0,0"/>
                </v:shape>
                <w10:wrap anchorx="page"/>
              </v:group>
            </w:pict>
          </mc:Fallback>
        </mc:AlternateContent>
      </w:r>
      <w:r w:rsidRPr="00BB5C77">
        <w:rPr>
          <w:rFonts w:eastAsia="Calibri" w:cs="Times New Roman"/>
          <w:noProof/>
          <w:sz w:val="22"/>
        </w:rPr>
        <mc:AlternateContent>
          <mc:Choice Requires="wpg">
            <w:drawing>
              <wp:anchor distT="0" distB="0" distL="114300" distR="114300" simplePos="0" relativeHeight="251771392" behindDoc="1" locked="0" layoutInCell="1" allowOverlap="1" wp14:anchorId="32377CE5" wp14:editId="15BF3B9B">
                <wp:simplePos x="0" y="0"/>
                <wp:positionH relativeFrom="page">
                  <wp:posOffset>825500</wp:posOffset>
                </wp:positionH>
                <wp:positionV relativeFrom="paragraph">
                  <wp:posOffset>193040</wp:posOffset>
                </wp:positionV>
                <wp:extent cx="5892165" cy="1270"/>
                <wp:effectExtent l="6350" t="12065" r="6985" b="5715"/>
                <wp:wrapNone/>
                <wp:docPr id="42"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92165" cy="1270"/>
                          <a:chOff x="1300" y="304"/>
                          <a:chExt cx="9279" cy="2"/>
                        </a:xfrm>
                      </wpg:grpSpPr>
                      <wps:wsp>
                        <wps:cNvPr id="47" name="Freeform 13"/>
                        <wps:cNvSpPr>
                          <a:spLocks/>
                        </wps:cNvSpPr>
                        <wps:spPr bwMode="auto">
                          <a:xfrm>
                            <a:off x="1300" y="304"/>
                            <a:ext cx="9279" cy="2"/>
                          </a:xfrm>
                          <a:custGeom>
                            <a:avLst/>
                            <a:gdLst>
                              <a:gd name="T0" fmla="+- 0 1300 1300"/>
                              <a:gd name="T1" fmla="*/ T0 w 9279"/>
                              <a:gd name="T2" fmla="+- 0 10579 1300"/>
                              <a:gd name="T3" fmla="*/ T2 w 9279"/>
                            </a:gdLst>
                            <a:ahLst/>
                            <a:cxnLst>
                              <a:cxn ang="0">
                                <a:pos x="T1" y="0"/>
                              </a:cxn>
                              <a:cxn ang="0">
                                <a:pos x="T3" y="0"/>
                              </a:cxn>
                            </a:cxnLst>
                            <a:rect l="0" t="0" r="r" b="b"/>
                            <a:pathLst>
                              <a:path w="9279">
                                <a:moveTo>
                                  <a:pt x="0" y="0"/>
                                </a:moveTo>
                                <a:lnTo>
                                  <a:pt x="9279" y="0"/>
                                </a:lnTo>
                              </a:path>
                            </a:pathLst>
                          </a:custGeom>
                          <a:noFill/>
                          <a:ln w="9121">
                            <a:solidFill>
                              <a:srgbClr val="6B6B6B"/>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C08121" id="Group 42" o:spid="_x0000_s1026" style="position:absolute;margin-left:65pt;margin-top:15.2pt;width:463.95pt;height:.1pt;z-index:-251545088;mso-position-horizontal-relative:page" coordorigin="1300,304" coordsize="92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">
                <v:shape id="Freeform 13" o:spid="_x0000_s1027" style="position:absolute;left:1300;top:304;width:9279;height:2;visibility:visible;mso-wrap-style:square;v-text-anchor:top" coordsize="92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5gw8IA&#10;AADbAAAADwAAAGRycy9kb3ducmV2LnhtbESPT4vCMBTE78J+h/AW9iKauoiWahR1EfTon4u3Z/M2&#10;Ldu81Car9dsbQfA4zMxvmOm8tZW4UuNLxwoG/QQEce50yUbB8bDupSB8QNZYOSYFd/Iwn310pphp&#10;d+MdXffBiAhhn6GCIoQ6k9LnBVn0fVcTR+/XNRZDlI2RusFbhNtKfifJSFosOS4UWNOqoPxv/28V&#10;8NCMz92L3Zp0hXXKG7M8/Rilvj7bxQREoDa8w6/2RisYjuH5Jf4AO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jmDDwgAAANsAAAAPAAAAAAAAAAAAAAAAAJgCAABkcnMvZG93&#10;bnJldi54bWxQSwUGAAAAAAQABAD1AAAAhwMAAAAA&#10;" path="m,l9279,e" filled="f" strokecolor="#6b6b6b" strokeweight=".25336mm">
                  <v:path arrowok="t" o:connecttype="custom" o:connectlocs="0,0;9279,0" o:connectangles="0,0"/>
                </v:shape>
                <w10:wrap anchorx="page"/>
              </v:group>
            </w:pict>
          </mc:Fallback>
        </mc:AlternateContent>
      </w:r>
      <w:r w:rsidRPr="00BB5C77">
        <w:rPr>
          <w:rFonts w:ascii="Arial" w:eastAsia="Arial" w:hAnsi="Arial" w:cs="Arial"/>
          <w:color w:val="5287BC"/>
          <w:sz w:val="24"/>
          <w:szCs w:val="24"/>
          <w:lang w:val="en-ZA" w:eastAsia="en-ZA"/>
        </w:rPr>
        <w:t>Other</w:t>
      </w:r>
      <w:r w:rsidRPr="00BB5C77">
        <w:rPr>
          <w:rFonts w:ascii="Arial" w:eastAsia="Arial" w:hAnsi="Arial" w:cs="Arial"/>
          <w:color w:val="5287BC"/>
          <w:spacing w:val="41"/>
          <w:sz w:val="24"/>
          <w:szCs w:val="24"/>
          <w:lang w:val="en-ZA" w:eastAsia="en-ZA"/>
        </w:rPr>
        <w:t xml:space="preserve"> </w:t>
      </w:r>
      <w:r w:rsidRPr="00BB5C77">
        <w:rPr>
          <w:rFonts w:ascii="Arial" w:eastAsia="Arial" w:hAnsi="Arial" w:cs="Arial"/>
          <w:color w:val="5287BC"/>
          <w:w w:val="111"/>
          <w:sz w:val="24"/>
          <w:szCs w:val="24"/>
          <w:lang w:val="en-ZA" w:eastAsia="en-ZA"/>
        </w:rPr>
        <w:t>information</w:t>
      </w:r>
    </w:p>
    <w:p w14:paraId="6D1D8118" w14:textId="77777777" w:rsidR="00BB5C77" w:rsidRPr="00BB5C77" w:rsidRDefault="00BB5C77" w:rsidP="00BB5C77">
      <w:pPr>
        <w:spacing w:before="6" w:after="0" w:line="150" w:lineRule="exact"/>
        <w:jc w:val="both"/>
        <w:rPr>
          <w:rFonts w:eastAsia="Times New Roman" w:cs="Times New Roman"/>
          <w:sz w:val="15"/>
          <w:szCs w:val="15"/>
          <w:lang w:val="en-ZA" w:eastAsia="en-ZA"/>
        </w:rPr>
      </w:pPr>
    </w:p>
    <w:p w14:paraId="1FEE7A0B" w14:textId="77777777" w:rsidR="00BB5C77" w:rsidRPr="00BB5C77" w:rsidRDefault="00BB5C77" w:rsidP="00BB5C77">
      <w:pPr>
        <w:spacing w:after="0" w:line="200" w:lineRule="exact"/>
        <w:jc w:val="both"/>
        <w:rPr>
          <w:rFonts w:eastAsia="Times New Roman" w:cs="Times New Roman"/>
          <w:szCs w:val="20"/>
          <w:lang w:val="en-ZA" w:eastAsia="en-ZA"/>
        </w:rPr>
      </w:pPr>
    </w:p>
    <w:p w14:paraId="1ACCC972" w14:textId="77777777" w:rsidR="00BB5C77" w:rsidRPr="00BB5C77" w:rsidRDefault="00BB5C77" w:rsidP="00BB5C77">
      <w:pPr>
        <w:spacing w:after="0" w:line="249" w:lineRule="auto"/>
        <w:ind w:left="601" w:right="417" w:hanging="359"/>
        <w:jc w:val="both"/>
        <w:rPr>
          <w:rFonts w:ascii="Arial" w:eastAsia="Arial" w:hAnsi="Arial" w:cs="Arial"/>
          <w:sz w:val="21"/>
          <w:szCs w:val="21"/>
          <w:lang w:val="en-ZA" w:eastAsia="en-ZA"/>
        </w:rPr>
      </w:pPr>
      <w:r w:rsidRPr="00BB5C77">
        <w:rPr>
          <w:rFonts w:ascii="Arial" w:eastAsia="Arial" w:hAnsi="Arial" w:cs="Arial"/>
          <w:color w:val="030303"/>
          <w:w w:val="114"/>
          <w:sz w:val="21"/>
          <w:szCs w:val="21"/>
          <w:lang w:val="en-ZA" w:eastAsia="en-ZA"/>
        </w:rPr>
        <w:t>2</w:t>
      </w:r>
      <w:r w:rsidRPr="00BB5C77">
        <w:rPr>
          <w:rFonts w:ascii="Arial" w:eastAsia="Arial" w:hAnsi="Arial" w:cs="Arial"/>
          <w:color w:val="030303"/>
          <w:spacing w:val="-11"/>
          <w:w w:val="114"/>
          <w:sz w:val="21"/>
          <w:szCs w:val="21"/>
          <w:lang w:val="en-ZA" w:eastAsia="en-ZA"/>
        </w:rPr>
        <w:t>7</w:t>
      </w:r>
      <w:r w:rsidRPr="00BB5C77">
        <w:rPr>
          <w:rFonts w:ascii="Arial" w:eastAsia="Arial" w:hAnsi="Arial" w:cs="Arial"/>
          <w:color w:val="2D2D2D"/>
          <w:w w:val="114"/>
          <w:sz w:val="21"/>
          <w:szCs w:val="21"/>
          <w:lang w:val="en-ZA" w:eastAsia="en-ZA"/>
        </w:rPr>
        <w:t>.</w:t>
      </w:r>
      <w:r w:rsidRPr="00BB5C77">
        <w:rPr>
          <w:rFonts w:ascii="Arial" w:eastAsia="Arial" w:hAnsi="Arial" w:cs="Arial"/>
          <w:color w:val="2D2D2D"/>
          <w:spacing w:val="-29"/>
          <w:w w:val="114"/>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7"/>
          <w:sz w:val="21"/>
          <w:szCs w:val="21"/>
          <w:lang w:val="en-ZA" w:eastAsia="en-ZA"/>
        </w:rPr>
        <w:t xml:space="preserve"> </w:t>
      </w:r>
      <w:r w:rsidRPr="00BB5C77">
        <w:rPr>
          <w:rFonts w:ascii="Arial" w:eastAsia="Arial" w:hAnsi="Arial" w:cs="Arial"/>
          <w:color w:val="030303"/>
          <w:sz w:val="21"/>
          <w:szCs w:val="21"/>
          <w:lang w:val="en-ZA" w:eastAsia="en-ZA"/>
        </w:rPr>
        <w:t>accounting</w:t>
      </w:r>
      <w:r w:rsidRPr="00BB5C77">
        <w:rPr>
          <w:rFonts w:ascii="Arial" w:eastAsia="Arial" w:hAnsi="Arial" w:cs="Arial"/>
          <w:color w:val="030303"/>
          <w:spacing w:val="40"/>
          <w:sz w:val="21"/>
          <w:szCs w:val="21"/>
          <w:lang w:val="en-ZA" w:eastAsia="en-ZA"/>
        </w:rPr>
        <w:t xml:space="preserve"> </w:t>
      </w:r>
      <w:r w:rsidRPr="00BB5C77">
        <w:rPr>
          <w:rFonts w:ascii="Arial" w:eastAsia="Arial" w:hAnsi="Arial" w:cs="Arial"/>
          <w:color w:val="030303"/>
          <w:sz w:val="21"/>
          <w:szCs w:val="21"/>
          <w:lang w:val="en-ZA" w:eastAsia="en-ZA"/>
        </w:rPr>
        <w:t>officer</w:t>
      </w:r>
      <w:r w:rsidRPr="00BB5C77">
        <w:rPr>
          <w:rFonts w:ascii="Arial" w:eastAsia="Arial" w:hAnsi="Arial" w:cs="Arial"/>
          <w:color w:val="030303"/>
          <w:spacing w:val="33"/>
          <w:sz w:val="21"/>
          <w:szCs w:val="21"/>
          <w:lang w:val="en-ZA" w:eastAsia="en-ZA"/>
        </w:rPr>
        <w:t xml:space="preserve"> </w:t>
      </w:r>
      <w:r w:rsidRPr="00BB5C77">
        <w:rPr>
          <w:rFonts w:ascii="Arial" w:eastAsia="Arial" w:hAnsi="Arial" w:cs="Arial"/>
          <w:color w:val="030303"/>
          <w:sz w:val="21"/>
          <w:szCs w:val="21"/>
          <w:lang w:val="en-ZA" w:eastAsia="en-ZA"/>
        </w:rPr>
        <w:t>is</w:t>
      </w:r>
      <w:r w:rsidRPr="00BB5C77">
        <w:rPr>
          <w:rFonts w:ascii="Arial" w:eastAsia="Arial" w:hAnsi="Arial" w:cs="Arial"/>
          <w:color w:val="030303"/>
          <w:spacing w:val="7"/>
          <w:sz w:val="21"/>
          <w:szCs w:val="21"/>
          <w:lang w:val="en-ZA" w:eastAsia="en-ZA"/>
        </w:rPr>
        <w:t xml:space="preserve"> </w:t>
      </w:r>
      <w:r w:rsidRPr="00BB5C77">
        <w:rPr>
          <w:rFonts w:ascii="Arial" w:eastAsia="Arial" w:hAnsi="Arial" w:cs="Arial"/>
          <w:color w:val="030303"/>
          <w:sz w:val="21"/>
          <w:szCs w:val="21"/>
          <w:lang w:val="en-ZA" w:eastAsia="en-ZA"/>
        </w:rPr>
        <w:t>responsible</w:t>
      </w:r>
      <w:r w:rsidRPr="00BB5C77">
        <w:rPr>
          <w:rFonts w:ascii="Arial" w:eastAsia="Arial" w:hAnsi="Arial" w:cs="Arial"/>
          <w:color w:val="030303"/>
          <w:spacing w:val="40"/>
          <w:sz w:val="21"/>
          <w:szCs w:val="21"/>
          <w:lang w:val="en-ZA" w:eastAsia="en-ZA"/>
        </w:rPr>
        <w:t xml:space="preserve"> </w:t>
      </w:r>
      <w:r w:rsidRPr="00BB5C77">
        <w:rPr>
          <w:rFonts w:ascii="Arial" w:eastAsia="Arial" w:hAnsi="Arial" w:cs="Arial"/>
          <w:color w:val="030303"/>
          <w:sz w:val="21"/>
          <w:szCs w:val="21"/>
          <w:lang w:val="en-ZA" w:eastAsia="en-ZA"/>
        </w:rPr>
        <w:t>for</w:t>
      </w:r>
      <w:r w:rsidRPr="00BB5C77">
        <w:rPr>
          <w:rFonts w:ascii="Arial" w:eastAsia="Arial" w:hAnsi="Arial" w:cs="Arial"/>
          <w:color w:val="030303"/>
          <w:spacing w:val="22"/>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7"/>
          <w:sz w:val="21"/>
          <w:szCs w:val="21"/>
          <w:lang w:val="en-ZA" w:eastAsia="en-ZA"/>
        </w:rPr>
        <w:t xml:space="preserve"> </w:t>
      </w:r>
      <w:r w:rsidRPr="00BB5C77">
        <w:rPr>
          <w:rFonts w:ascii="Arial" w:eastAsia="Arial" w:hAnsi="Arial" w:cs="Arial"/>
          <w:color w:val="030303"/>
          <w:sz w:val="21"/>
          <w:szCs w:val="21"/>
          <w:lang w:val="en-ZA" w:eastAsia="en-ZA"/>
        </w:rPr>
        <w:t>other</w:t>
      </w:r>
      <w:r w:rsidRPr="00BB5C77">
        <w:rPr>
          <w:rFonts w:ascii="Arial" w:eastAsia="Arial" w:hAnsi="Arial" w:cs="Arial"/>
          <w:color w:val="030303"/>
          <w:spacing w:val="25"/>
          <w:sz w:val="21"/>
          <w:szCs w:val="21"/>
          <w:lang w:val="en-ZA" w:eastAsia="en-ZA"/>
        </w:rPr>
        <w:t xml:space="preserve"> </w:t>
      </w:r>
      <w:r w:rsidRPr="00BB5C77">
        <w:rPr>
          <w:rFonts w:ascii="Arial" w:eastAsia="Arial" w:hAnsi="Arial" w:cs="Arial"/>
          <w:color w:val="030303"/>
          <w:w w:val="104"/>
          <w:sz w:val="21"/>
          <w:szCs w:val="21"/>
          <w:lang w:val="en-ZA" w:eastAsia="en-ZA"/>
        </w:rPr>
        <w:t>informatio</w:t>
      </w:r>
      <w:r w:rsidRPr="00BB5C77">
        <w:rPr>
          <w:rFonts w:ascii="Arial" w:eastAsia="Arial" w:hAnsi="Arial" w:cs="Arial"/>
          <w:color w:val="030303"/>
          <w:spacing w:val="-22"/>
          <w:w w:val="105"/>
          <w:sz w:val="21"/>
          <w:szCs w:val="21"/>
          <w:lang w:val="en-ZA" w:eastAsia="en-ZA"/>
        </w:rPr>
        <w:t>n</w:t>
      </w:r>
      <w:r w:rsidRPr="00BB5C77">
        <w:rPr>
          <w:rFonts w:ascii="Arial" w:eastAsia="Arial" w:hAnsi="Arial" w:cs="Arial"/>
          <w:color w:val="3B3B3B"/>
          <w:spacing w:val="10"/>
          <w:w w:val="204"/>
          <w:sz w:val="21"/>
          <w:szCs w:val="21"/>
          <w:lang w:val="en-ZA" w:eastAsia="en-ZA"/>
        </w:rPr>
        <w:t xml:space="preserve">. </w:t>
      </w:r>
      <w:r w:rsidRPr="00BB5C77">
        <w:rPr>
          <w:rFonts w:ascii="Arial" w:eastAsia="Arial" w:hAnsi="Arial" w:cs="Arial"/>
          <w:color w:val="030303"/>
          <w:w w:val="106"/>
          <w:sz w:val="21"/>
          <w:szCs w:val="21"/>
          <w:lang w:val="en-ZA" w:eastAsia="en-ZA"/>
        </w:rPr>
        <w:t>Th</w:t>
      </w:r>
      <w:r w:rsidRPr="00BB5C77">
        <w:rPr>
          <w:rFonts w:ascii="Arial" w:eastAsia="Arial" w:hAnsi="Arial" w:cs="Arial"/>
          <w:color w:val="030303"/>
          <w:w w:val="107"/>
          <w:sz w:val="21"/>
          <w:szCs w:val="21"/>
          <w:lang w:val="en-ZA" w:eastAsia="en-ZA"/>
        </w:rPr>
        <w:t>e</w:t>
      </w:r>
      <w:r w:rsidRPr="00BB5C77">
        <w:rPr>
          <w:rFonts w:ascii="Arial" w:eastAsia="Arial" w:hAnsi="Arial" w:cs="Arial"/>
          <w:color w:val="030303"/>
          <w:spacing w:val="-5"/>
          <w:sz w:val="21"/>
          <w:szCs w:val="21"/>
          <w:lang w:val="en-ZA" w:eastAsia="en-ZA"/>
        </w:rPr>
        <w:t xml:space="preserve"> </w:t>
      </w:r>
      <w:r w:rsidRPr="00BB5C77">
        <w:rPr>
          <w:rFonts w:ascii="Arial" w:eastAsia="Arial" w:hAnsi="Arial" w:cs="Arial"/>
          <w:color w:val="030303"/>
          <w:sz w:val="21"/>
          <w:szCs w:val="21"/>
          <w:lang w:val="en-ZA" w:eastAsia="en-ZA"/>
        </w:rPr>
        <w:t>other</w:t>
      </w:r>
      <w:r w:rsidRPr="00BB5C77">
        <w:rPr>
          <w:rFonts w:ascii="Arial" w:eastAsia="Arial" w:hAnsi="Arial" w:cs="Arial"/>
          <w:color w:val="030303"/>
          <w:spacing w:val="11"/>
          <w:sz w:val="21"/>
          <w:szCs w:val="21"/>
          <w:lang w:val="en-ZA" w:eastAsia="en-ZA"/>
        </w:rPr>
        <w:t xml:space="preserve"> </w:t>
      </w:r>
      <w:r w:rsidRPr="00BB5C77">
        <w:rPr>
          <w:rFonts w:ascii="Arial" w:eastAsia="Arial" w:hAnsi="Arial" w:cs="Arial"/>
          <w:color w:val="030303"/>
          <w:w w:val="107"/>
          <w:sz w:val="21"/>
          <w:szCs w:val="21"/>
          <w:lang w:val="en-ZA" w:eastAsia="en-ZA"/>
        </w:rPr>
        <w:t xml:space="preserve">information </w:t>
      </w:r>
      <w:r w:rsidRPr="00BB5C77">
        <w:rPr>
          <w:rFonts w:ascii="Arial" w:eastAsia="Arial" w:hAnsi="Arial" w:cs="Arial"/>
          <w:color w:val="030303"/>
          <w:sz w:val="21"/>
          <w:szCs w:val="21"/>
          <w:lang w:val="en-ZA" w:eastAsia="en-ZA"/>
        </w:rPr>
        <w:t>comprises</w:t>
      </w:r>
      <w:r w:rsidRPr="00BB5C77">
        <w:rPr>
          <w:rFonts w:ascii="Arial" w:eastAsia="Arial" w:hAnsi="Arial" w:cs="Arial"/>
          <w:color w:val="030303"/>
          <w:spacing w:val="51"/>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0"/>
          <w:sz w:val="21"/>
          <w:szCs w:val="21"/>
          <w:lang w:val="en-ZA" w:eastAsia="en-ZA"/>
        </w:rPr>
        <w:t xml:space="preserve"> </w:t>
      </w:r>
      <w:r w:rsidRPr="00BB5C77">
        <w:rPr>
          <w:rFonts w:ascii="Arial" w:eastAsia="Arial" w:hAnsi="Arial" w:cs="Arial"/>
          <w:color w:val="030303"/>
          <w:sz w:val="21"/>
          <w:szCs w:val="21"/>
          <w:lang w:val="en-ZA" w:eastAsia="en-ZA"/>
        </w:rPr>
        <w:t>information</w:t>
      </w:r>
      <w:r w:rsidRPr="00BB5C77">
        <w:rPr>
          <w:rFonts w:ascii="Arial" w:eastAsia="Arial" w:hAnsi="Arial" w:cs="Arial"/>
          <w:color w:val="030303"/>
          <w:spacing w:val="42"/>
          <w:sz w:val="21"/>
          <w:szCs w:val="21"/>
          <w:lang w:val="en-ZA" w:eastAsia="en-ZA"/>
        </w:rPr>
        <w:t xml:space="preserve"> </w:t>
      </w:r>
      <w:r w:rsidRPr="00BB5C77">
        <w:rPr>
          <w:rFonts w:ascii="Arial" w:eastAsia="Arial" w:hAnsi="Arial" w:cs="Arial"/>
          <w:color w:val="030303"/>
          <w:sz w:val="21"/>
          <w:szCs w:val="21"/>
          <w:lang w:val="en-ZA" w:eastAsia="en-ZA"/>
        </w:rPr>
        <w:t>included</w:t>
      </w:r>
      <w:r w:rsidRPr="00BB5C77">
        <w:rPr>
          <w:rFonts w:ascii="Arial" w:eastAsia="Arial" w:hAnsi="Arial" w:cs="Arial"/>
          <w:color w:val="030303"/>
          <w:spacing w:val="34"/>
          <w:sz w:val="21"/>
          <w:szCs w:val="21"/>
          <w:lang w:val="en-ZA" w:eastAsia="en-ZA"/>
        </w:rPr>
        <w:t xml:space="preserve"> </w:t>
      </w:r>
      <w:r w:rsidRPr="00BB5C77">
        <w:rPr>
          <w:rFonts w:ascii="Arial" w:eastAsia="Arial" w:hAnsi="Arial" w:cs="Arial"/>
          <w:color w:val="030303"/>
          <w:sz w:val="21"/>
          <w:szCs w:val="21"/>
          <w:lang w:val="en-ZA" w:eastAsia="en-ZA"/>
        </w:rPr>
        <w:t>in</w:t>
      </w:r>
      <w:r w:rsidRPr="00BB5C77">
        <w:rPr>
          <w:rFonts w:ascii="Arial" w:eastAsia="Arial" w:hAnsi="Arial" w:cs="Arial"/>
          <w:color w:val="030303"/>
          <w:spacing w:val="19"/>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6"/>
          <w:sz w:val="21"/>
          <w:szCs w:val="21"/>
          <w:lang w:val="en-ZA" w:eastAsia="en-ZA"/>
        </w:rPr>
        <w:t xml:space="preserve"> </w:t>
      </w:r>
      <w:r w:rsidRPr="00BB5C77">
        <w:rPr>
          <w:rFonts w:ascii="Arial" w:eastAsia="Arial" w:hAnsi="Arial" w:cs="Arial"/>
          <w:color w:val="030303"/>
          <w:w w:val="107"/>
          <w:sz w:val="21"/>
          <w:szCs w:val="21"/>
          <w:lang w:val="en-ZA" w:eastAsia="en-ZA"/>
        </w:rPr>
        <w:t>annua</w:t>
      </w:r>
      <w:r w:rsidRPr="00BB5C77">
        <w:rPr>
          <w:rFonts w:ascii="Arial" w:eastAsia="Arial" w:hAnsi="Arial" w:cs="Arial"/>
          <w:color w:val="030303"/>
          <w:spacing w:val="6"/>
          <w:w w:val="107"/>
          <w:sz w:val="21"/>
          <w:szCs w:val="21"/>
          <w:lang w:val="en-ZA" w:eastAsia="en-ZA"/>
        </w:rPr>
        <w:t xml:space="preserve">l </w:t>
      </w:r>
      <w:r w:rsidRPr="00BB5C77">
        <w:rPr>
          <w:rFonts w:ascii="Arial" w:eastAsia="Arial" w:hAnsi="Arial" w:cs="Arial"/>
          <w:color w:val="030303"/>
          <w:w w:val="107"/>
          <w:sz w:val="21"/>
          <w:szCs w:val="21"/>
          <w:lang w:val="en-ZA" w:eastAsia="en-ZA"/>
        </w:rPr>
        <w:t>report,</w:t>
      </w:r>
      <w:r w:rsidRPr="00BB5C77">
        <w:rPr>
          <w:rFonts w:ascii="Arial" w:eastAsia="Arial" w:hAnsi="Arial" w:cs="Arial"/>
          <w:color w:val="030303"/>
          <w:spacing w:val="-19"/>
          <w:w w:val="107"/>
          <w:sz w:val="21"/>
          <w:szCs w:val="21"/>
          <w:lang w:val="en-ZA" w:eastAsia="en-ZA"/>
        </w:rPr>
        <w:t xml:space="preserve"> </w:t>
      </w:r>
      <w:r w:rsidRPr="00BB5C77">
        <w:rPr>
          <w:rFonts w:ascii="Arial" w:eastAsia="Arial" w:hAnsi="Arial" w:cs="Arial"/>
          <w:color w:val="030303"/>
          <w:sz w:val="21"/>
          <w:szCs w:val="21"/>
          <w:lang w:val="en-ZA" w:eastAsia="en-ZA"/>
        </w:rPr>
        <w:t>which</w:t>
      </w:r>
      <w:r w:rsidRPr="00BB5C77">
        <w:rPr>
          <w:rFonts w:ascii="Arial" w:eastAsia="Arial" w:hAnsi="Arial" w:cs="Arial"/>
          <w:color w:val="030303"/>
          <w:spacing w:val="8"/>
          <w:sz w:val="21"/>
          <w:szCs w:val="21"/>
          <w:lang w:val="en-ZA" w:eastAsia="en-ZA"/>
        </w:rPr>
        <w:t xml:space="preserve"> </w:t>
      </w:r>
      <w:r w:rsidRPr="00BB5C77">
        <w:rPr>
          <w:rFonts w:ascii="Arial" w:eastAsia="Arial" w:hAnsi="Arial" w:cs="Arial"/>
          <w:color w:val="030303"/>
          <w:sz w:val="21"/>
          <w:szCs w:val="21"/>
          <w:lang w:val="en-ZA" w:eastAsia="en-ZA"/>
        </w:rPr>
        <w:t>includes</w:t>
      </w:r>
      <w:r w:rsidRPr="00BB5C77">
        <w:rPr>
          <w:rFonts w:ascii="Arial" w:eastAsia="Arial" w:hAnsi="Arial" w:cs="Arial"/>
          <w:color w:val="030303"/>
          <w:spacing w:val="38"/>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21"/>
          <w:sz w:val="21"/>
          <w:szCs w:val="21"/>
          <w:lang w:val="en-ZA" w:eastAsia="en-ZA"/>
        </w:rPr>
        <w:t xml:space="preserve"> </w:t>
      </w:r>
      <w:r w:rsidRPr="00BB5C77">
        <w:rPr>
          <w:rFonts w:ascii="Arial" w:eastAsia="Arial" w:hAnsi="Arial" w:cs="Arial"/>
          <w:color w:val="030303"/>
          <w:w w:val="107"/>
          <w:sz w:val="21"/>
          <w:szCs w:val="21"/>
          <w:lang w:val="en-ZA" w:eastAsia="en-ZA"/>
        </w:rPr>
        <w:t xml:space="preserve">mayor's </w:t>
      </w:r>
      <w:r w:rsidRPr="00BB5C77">
        <w:rPr>
          <w:rFonts w:ascii="Arial" w:eastAsia="Arial" w:hAnsi="Arial" w:cs="Arial"/>
          <w:color w:val="030303"/>
          <w:sz w:val="21"/>
          <w:szCs w:val="21"/>
          <w:lang w:val="en-ZA" w:eastAsia="en-ZA"/>
        </w:rPr>
        <w:t>foreword,</w:t>
      </w:r>
      <w:r w:rsidRPr="00BB5C77">
        <w:rPr>
          <w:rFonts w:ascii="Arial" w:eastAsia="Arial" w:hAnsi="Arial" w:cs="Arial"/>
          <w:color w:val="030303"/>
          <w:spacing w:val="6"/>
          <w:sz w:val="21"/>
          <w:szCs w:val="21"/>
          <w:lang w:val="en-ZA" w:eastAsia="en-ZA"/>
        </w:rPr>
        <w:t xml:space="preserve"> </w:t>
      </w:r>
      <w:r w:rsidRPr="00BB5C77">
        <w:rPr>
          <w:rFonts w:ascii="Arial" w:eastAsia="Arial" w:hAnsi="Arial" w:cs="Arial"/>
          <w:color w:val="030303"/>
          <w:sz w:val="21"/>
          <w:szCs w:val="21"/>
          <w:lang w:val="en-ZA" w:eastAsia="en-ZA"/>
        </w:rPr>
        <w:t>municipal</w:t>
      </w:r>
      <w:r w:rsidRPr="00BB5C77">
        <w:rPr>
          <w:rFonts w:ascii="Arial" w:eastAsia="Arial" w:hAnsi="Arial" w:cs="Arial"/>
          <w:color w:val="030303"/>
          <w:spacing w:val="28"/>
          <w:sz w:val="21"/>
          <w:szCs w:val="21"/>
          <w:lang w:val="en-ZA" w:eastAsia="en-ZA"/>
        </w:rPr>
        <w:t xml:space="preserve"> </w:t>
      </w:r>
      <w:r w:rsidRPr="00BB5C77">
        <w:rPr>
          <w:rFonts w:ascii="Arial" w:eastAsia="Arial" w:hAnsi="Arial" w:cs="Arial"/>
          <w:color w:val="030303"/>
          <w:w w:val="105"/>
          <w:sz w:val="21"/>
          <w:szCs w:val="21"/>
          <w:lang w:val="en-ZA" w:eastAsia="en-ZA"/>
        </w:rPr>
        <w:t>manage</w:t>
      </w:r>
      <w:r w:rsidRPr="00BB5C77">
        <w:rPr>
          <w:rFonts w:ascii="Arial" w:eastAsia="Arial" w:hAnsi="Arial" w:cs="Arial"/>
          <w:color w:val="030303"/>
          <w:spacing w:val="-9"/>
          <w:w w:val="105"/>
          <w:sz w:val="21"/>
          <w:szCs w:val="21"/>
          <w:lang w:val="en-ZA" w:eastAsia="en-ZA"/>
        </w:rPr>
        <w:t>r</w:t>
      </w:r>
      <w:r w:rsidRPr="00BB5C77">
        <w:rPr>
          <w:rFonts w:ascii="Arial" w:eastAsia="Arial" w:hAnsi="Arial" w:cs="Arial"/>
          <w:color w:val="2D2D2D"/>
          <w:spacing w:val="-9"/>
          <w:w w:val="136"/>
          <w:sz w:val="21"/>
          <w:szCs w:val="21"/>
          <w:lang w:val="en-ZA" w:eastAsia="en-ZA"/>
        </w:rPr>
        <w:t>'</w:t>
      </w:r>
      <w:r w:rsidRPr="00BB5C77">
        <w:rPr>
          <w:rFonts w:ascii="Arial" w:eastAsia="Arial" w:hAnsi="Arial" w:cs="Arial"/>
          <w:color w:val="030303"/>
          <w:w w:val="111"/>
          <w:sz w:val="21"/>
          <w:szCs w:val="21"/>
          <w:lang w:val="en-ZA" w:eastAsia="en-ZA"/>
        </w:rPr>
        <w:t>s</w:t>
      </w:r>
      <w:r w:rsidRPr="00BB5C77">
        <w:rPr>
          <w:rFonts w:ascii="Arial" w:eastAsia="Arial" w:hAnsi="Arial" w:cs="Arial"/>
          <w:color w:val="030303"/>
          <w:spacing w:val="-12"/>
          <w:sz w:val="21"/>
          <w:szCs w:val="21"/>
          <w:lang w:val="en-ZA" w:eastAsia="en-ZA"/>
        </w:rPr>
        <w:t xml:space="preserve"> </w:t>
      </w:r>
      <w:r w:rsidRPr="00BB5C77">
        <w:rPr>
          <w:rFonts w:ascii="Arial" w:eastAsia="Arial" w:hAnsi="Arial" w:cs="Arial"/>
          <w:color w:val="030303"/>
          <w:sz w:val="21"/>
          <w:szCs w:val="21"/>
          <w:lang w:val="en-ZA" w:eastAsia="en-ZA"/>
        </w:rPr>
        <w:t>foreword</w:t>
      </w:r>
      <w:r w:rsidRPr="00BB5C77">
        <w:rPr>
          <w:rFonts w:ascii="Arial" w:eastAsia="Arial" w:hAnsi="Arial" w:cs="Arial"/>
          <w:color w:val="030303"/>
          <w:spacing w:val="43"/>
          <w:sz w:val="21"/>
          <w:szCs w:val="21"/>
          <w:lang w:val="en-ZA" w:eastAsia="en-ZA"/>
        </w:rPr>
        <w:t xml:space="preserve"> </w:t>
      </w:r>
      <w:r w:rsidRPr="00BB5C77">
        <w:rPr>
          <w:rFonts w:ascii="Arial" w:eastAsia="Arial" w:hAnsi="Arial" w:cs="Arial"/>
          <w:color w:val="030303"/>
          <w:sz w:val="21"/>
          <w:szCs w:val="21"/>
          <w:lang w:val="en-ZA" w:eastAsia="en-ZA"/>
        </w:rPr>
        <w:t>and</w:t>
      </w:r>
      <w:r w:rsidRPr="00BB5C77">
        <w:rPr>
          <w:rFonts w:ascii="Arial" w:eastAsia="Arial" w:hAnsi="Arial" w:cs="Arial"/>
          <w:color w:val="030303"/>
          <w:spacing w:val="20"/>
          <w:sz w:val="21"/>
          <w:szCs w:val="21"/>
          <w:lang w:val="en-ZA" w:eastAsia="en-ZA"/>
        </w:rPr>
        <w:t xml:space="preserve"> </w:t>
      </w:r>
      <w:r w:rsidRPr="00BB5C77">
        <w:rPr>
          <w:rFonts w:ascii="Arial" w:eastAsia="Arial" w:hAnsi="Arial" w:cs="Arial"/>
          <w:color w:val="030303"/>
          <w:sz w:val="21"/>
          <w:szCs w:val="21"/>
          <w:lang w:val="en-ZA" w:eastAsia="en-ZA"/>
        </w:rPr>
        <w:t>audit</w:t>
      </w:r>
      <w:r w:rsidRPr="00BB5C77">
        <w:rPr>
          <w:rFonts w:ascii="Arial" w:eastAsia="Arial" w:hAnsi="Arial" w:cs="Arial"/>
          <w:color w:val="030303"/>
          <w:spacing w:val="28"/>
          <w:sz w:val="21"/>
          <w:szCs w:val="21"/>
          <w:lang w:val="en-ZA" w:eastAsia="en-ZA"/>
        </w:rPr>
        <w:t xml:space="preserve"> </w:t>
      </w:r>
      <w:r w:rsidRPr="00BB5C77">
        <w:rPr>
          <w:rFonts w:ascii="Arial" w:eastAsia="Arial" w:hAnsi="Arial" w:cs="Arial"/>
          <w:color w:val="030303"/>
          <w:sz w:val="21"/>
          <w:szCs w:val="21"/>
          <w:lang w:val="en-ZA" w:eastAsia="en-ZA"/>
        </w:rPr>
        <w:t>committee's</w:t>
      </w:r>
      <w:r w:rsidRPr="00BB5C77">
        <w:rPr>
          <w:rFonts w:ascii="Arial" w:eastAsia="Arial" w:hAnsi="Arial" w:cs="Arial"/>
          <w:color w:val="030303"/>
          <w:spacing w:val="30"/>
          <w:sz w:val="21"/>
          <w:szCs w:val="21"/>
          <w:lang w:val="en-ZA" w:eastAsia="en-ZA"/>
        </w:rPr>
        <w:t xml:space="preserve"> </w:t>
      </w:r>
      <w:r w:rsidRPr="00BB5C77">
        <w:rPr>
          <w:rFonts w:ascii="Arial" w:eastAsia="Arial" w:hAnsi="Arial" w:cs="Arial"/>
          <w:color w:val="030303"/>
          <w:w w:val="110"/>
          <w:sz w:val="21"/>
          <w:szCs w:val="21"/>
          <w:lang w:val="en-ZA" w:eastAsia="en-ZA"/>
        </w:rPr>
        <w:t>repor</w:t>
      </w:r>
      <w:r w:rsidRPr="00BB5C77">
        <w:rPr>
          <w:rFonts w:ascii="Arial" w:eastAsia="Arial" w:hAnsi="Arial" w:cs="Arial"/>
          <w:color w:val="030303"/>
          <w:spacing w:val="-10"/>
          <w:w w:val="110"/>
          <w:sz w:val="21"/>
          <w:szCs w:val="21"/>
          <w:lang w:val="en-ZA" w:eastAsia="en-ZA"/>
        </w:rPr>
        <w:t>t</w:t>
      </w:r>
      <w:r w:rsidRPr="00BB5C77">
        <w:rPr>
          <w:rFonts w:ascii="Arial" w:eastAsia="Arial" w:hAnsi="Arial" w:cs="Arial"/>
          <w:color w:val="2D2D2D"/>
          <w:w w:val="110"/>
          <w:sz w:val="21"/>
          <w:szCs w:val="21"/>
          <w:lang w:val="en-ZA" w:eastAsia="en-ZA"/>
        </w:rPr>
        <w:t>.</w:t>
      </w:r>
      <w:r w:rsidRPr="00BB5C77">
        <w:rPr>
          <w:rFonts w:ascii="Arial" w:eastAsia="Arial" w:hAnsi="Arial" w:cs="Arial"/>
          <w:color w:val="2D2D2D"/>
          <w:spacing w:val="-24"/>
          <w:w w:val="110"/>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7"/>
          <w:sz w:val="21"/>
          <w:szCs w:val="21"/>
          <w:lang w:val="en-ZA" w:eastAsia="en-ZA"/>
        </w:rPr>
        <w:t xml:space="preserve"> </w:t>
      </w:r>
      <w:r w:rsidRPr="00BB5C77">
        <w:rPr>
          <w:rFonts w:ascii="Arial" w:eastAsia="Arial" w:hAnsi="Arial" w:cs="Arial"/>
          <w:color w:val="030303"/>
          <w:w w:val="108"/>
          <w:sz w:val="21"/>
          <w:szCs w:val="21"/>
          <w:lang w:val="en-ZA" w:eastAsia="en-ZA"/>
        </w:rPr>
        <w:t xml:space="preserve">other </w:t>
      </w:r>
      <w:r w:rsidRPr="00BB5C77">
        <w:rPr>
          <w:rFonts w:ascii="Arial" w:eastAsia="Arial" w:hAnsi="Arial" w:cs="Arial"/>
          <w:color w:val="030303"/>
          <w:sz w:val="21"/>
          <w:szCs w:val="21"/>
          <w:lang w:val="en-ZA" w:eastAsia="en-ZA"/>
        </w:rPr>
        <w:t>information</w:t>
      </w:r>
      <w:r w:rsidRPr="00BB5C77">
        <w:rPr>
          <w:rFonts w:ascii="Arial" w:eastAsia="Arial" w:hAnsi="Arial" w:cs="Arial"/>
          <w:color w:val="030303"/>
          <w:spacing w:val="48"/>
          <w:sz w:val="21"/>
          <w:szCs w:val="21"/>
          <w:lang w:val="en-ZA" w:eastAsia="en-ZA"/>
        </w:rPr>
        <w:t xml:space="preserve"> </w:t>
      </w:r>
      <w:r w:rsidRPr="00BB5C77">
        <w:rPr>
          <w:rFonts w:ascii="Arial" w:eastAsia="Arial" w:hAnsi="Arial" w:cs="Arial"/>
          <w:color w:val="030303"/>
          <w:sz w:val="21"/>
          <w:szCs w:val="21"/>
          <w:lang w:val="en-ZA" w:eastAsia="en-ZA"/>
        </w:rPr>
        <w:t>does</w:t>
      </w:r>
      <w:r w:rsidRPr="00BB5C77">
        <w:rPr>
          <w:rFonts w:ascii="Arial" w:eastAsia="Arial" w:hAnsi="Arial" w:cs="Arial"/>
          <w:color w:val="030303"/>
          <w:spacing w:val="17"/>
          <w:sz w:val="21"/>
          <w:szCs w:val="21"/>
          <w:lang w:val="en-ZA" w:eastAsia="en-ZA"/>
        </w:rPr>
        <w:t xml:space="preserve"> </w:t>
      </w:r>
      <w:r w:rsidRPr="00BB5C77">
        <w:rPr>
          <w:rFonts w:ascii="Arial" w:eastAsia="Arial" w:hAnsi="Arial" w:cs="Arial"/>
          <w:color w:val="030303"/>
          <w:sz w:val="21"/>
          <w:szCs w:val="21"/>
          <w:lang w:val="en-ZA" w:eastAsia="en-ZA"/>
        </w:rPr>
        <w:t>not</w:t>
      </w:r>
      <w:r w:rsidRPr="00BB5C77">
        <w:rPr>
          <w:rFonts w:ascii="Arial" w:eastAsia="Arial" w:hAnsi="Arial" w:cs="Arial"/>
          <w:color w:val="030303"/>
          <w:spacing w:val="22"/>
          <w:sz w:val="21"/>
          <w:szCs w:val="21"/>
          <w:lang w:val="en-ZA" w:eastAsia="en-ZA"/>
        </w:rPr>
        <w:t xml:space="preserve"> </w:t>
      </w:r>
      <w:r w:rsidRPr="00BB5C77">
        <w:rPr>
          <w:rFonts w:ascii="Arial" w:eastAsia="Arial" w:hAnsi="Arial" w:cs="Arial"/>
          <w:color w:val="030303"/>
          <w:sz w:val="21"/>
          <w:szCs w:val="21"/>
          <w:lang w:val="en-ZA" w:eastAsia="en-ZA"/>
        </w:rPr>
        <w:t>include</w:t>
      </w:r>
      <w:r w:rsidRPr="00BB5C77">
        <w:rPr>
          <w:rFonts w:ascii="Arial" w:eastAsia="Arial" w:hAnsi="Arial" w:cs="Arial"/>
          <w:color w:val="030303"/>
          <w:spacing w:val="33"/>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8"/>
          <w:sz w:val="21"/>
          <w:szCs w:val="21"/>
          <w:lang w:val="en-ZA" w:eastAsia="en-ZA"/>
        </w:rPr>
        <w:t xml:space="preserve"> </w:t>
      </w:r>
      <w:r w:rsidRPr="00BB5C77">
        <w:rPr>
          <w:rFonts w:ascii="Arial" w:eastAsia="Arial" w:hAnsi="Arial" w:cs="Arial"/>
          <w:color w:val="030303"/>
          <w:sz w:val="21"/>
          <w:szCs w:val="21"/>
          <w:lang w:val="en-ZA" w:eastAsia="en-ZA"/>
        </w:rPr>
        <w:t>financial</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statements,</w:t>
      </w:r>
      <w:r w:rsidRPr="00BB5C77">
        <w:rPr>
          <w:rFonts w:ascii="Arial" w:eastAsia="Arial" w:hAnsi="Arial" w:cs="Arial"/>
          <w:color w:val="030303"/>
          <w:spacing w:val="23"/>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2"/>
          <w:sz w:val="21"/>
          <w:szCs w:val="21"/>
          <w:lang w:val="en-ZA" w:eastAsia="en-ZA"/>
        </w:rPr>
        <w:t xml:space="preserve"> </w:t>
      </w:r>
      <w:r w:rsidRPr="00BB5C77">
        <w:rPr>
          <w:rFonts w:ascii="Arial" w:eastAsia="Arial" w:hAnsi="Arial" w:cs="Arial"/>
          <w:color w:val="030303"/>
          <w:sz w:val="21"/>
          <w:szCs w:val="21"/>
          <w:lang w:val="en-ZA" w:eastAsia="en-ZA"/>
        </w:rPr>
        <w:t>auditor's</w:t>
      </w:r>
      <w:r w:rsidRPr="00BB5C77">
        <w:rPr>
          <w:rFonts w:ascii="Arial" w:eastAsia="Arial" w:hAnsi="Arial" w:cs="Arial"/>
          <w:color w:val="030303"/>
          <w:spacing w:val="37"/>
          <w:sz w:val="21"/>
          <w:szCs w:val="21"/>
          <w:lang w:val="en-ZA" w:eastAsia="en-ZA"/>
        </w:rPr>
        <w:t xml:space="preserve"> </w:t>
      </w:r>
      <w:r w:rsidRPr="00BB5C77">
        <w:rPr>
          <w:rFonts w:ascii="Arial" w:eastAsia="Arial" w:hAnsi="Arial" w:cs="Arial"/>
          <w:color w:val="030303"/>
          <w:sz w:val="21"/>
          <w:szCs w:val="21"/>
          <w:lang w:val="en-ZA" w:eastAsia="en-ZA"/>
        </w:rPr>
        <w:t>report</w:t>
      </w:r>
      <w:r w:rsidRPr="00BB5C77">
        <w:rPr>
          <w:rFonts w:ascii="Arial" w:eastAsia="Arial" w:hAnsi="Arial" w:cs="Arial"/>
          <w:color w:val="030303"/>
          <w:spacing w:val="26"/>
          <w:sz w:val="21"/>
          <w:szCs w:val="21"/>
          <w:lang w:val="en-ZA" w:eastAsia="en-ZA"/>
        </w:rPr>
        <w:t xml:space="preserve"> </w:t>
      </w:r>
      <w:r w:rsidRPr="00BB5C77">
        <w:rPr>
          <w:rFonts w:ascii="Arial" w:eastAsia="Arial" w:hAnsi="Arial" w:cs="Arial"/>
          <w:color w:val="030303"/>
          <w:sz w:val="21"/>
          <w:szCs w:val="21"/>
          <w:lang w:val="en-ZA" w:eastAsia="en-ZA"/>
        </w:rPr>
        <w:t>and</w:t>
      </w:r>
      <w:r w:rsidRPr="00BB5C77">
        <w:rPr>
          <w:rFonts w:ascii="Arial" w:eastAsia="Arial" w:hAnsi="Arial" w:cs="Arial"/>
          <w:color w:val="030303"/>
          <w:spacing w:val="24"/>
          <w:sz w:val="21"/>
          <w:szCs w:val="21"/>
          <w:lang w:val="en-ZA" w:eastAsia="en-ZA"/>
        </w:rPr>
        <w:t xml:space="preserve"> </w:t>
      </w:r>
      <w:r w:rsidRPr="00BB5C77">
        <w:rPr>
          <w:rFonts w:ascii="Arial" w:eastAsia="Arial" w:hAnsi="Arial" w:cs="Arial"/>
          <w:color w:val="030303"/>
          <w:w w:val="109"/>
          <w:sz w:val="21"/>
          <w:szCs w:val="21"/>
          <w:lang w:val="en-ZA" w:eastAsia="en-ZA"/>
        </w:rPr>
        <w:t xml:space="preserve">the </w:t>
      </w:r>
      <w:r w:rsidRPr="00BB5C77">
        <w:rPr>
          <w:rFonts w:ascii="Arial" w:eastAsia="Arial" w:hAnsi="Arial" w:cs="Arial"/>
          <w:color w:val="030303"/>
          <w:sz w:val="21"/>
          <w:szCs w:val="21"/>
          <w:lang w:val="en-ZA" w:eastAsia="en-ZA"/>
        </w:rPr>
        <w:t>selected</w:t>
      </w:r>
      <w:r w:rsidRPr="00BB5C77">
        <w:rPr>
          <w:rFonts w:ascii="Arial" w:eastAsia="Arial" w:hAnsi="Arial" w:cs="Arial"/>
          <w:color w:val="030303"/>
          <w:spacing w:val="35"/>
          <w:sz w:val="21"/>
          <w:szCs w:val="21"/>
          <w:lang w:val="en-ZA" w:eastAsia="en-ZA"/>
        </w:rPr>
        <w:t xml:space="preserve"> </w:t>
      </w:r>
      <w:r w:rsidRPr="00BB5C77">
        <w:rPr>
          <w:rFonts w:ascii="Arial" w:eastAsia="Arial" w:hAnsi="Arial" w:cs="Arial"/>
          <w:color w:val="030303"/>
          <w:w w:val="105"/>
          <w:sz w:val="21"/>
          <w:szCs w:val="21"/>
          <w:lang w:val="en-ZA" w:eastAsia="en-ZA"/>
        </w:rPr>
        <w:t>development</w:t>
      </w:r>
      <w:r w:rsidRPr="00BB5C77">
        <w:rPr>
          <w:rFonts w:ascii="Arial" w:eastAsia="Arial" w:hAnsi="Arial" w:cs="Arial"/>
          <w:color w:val="030303"/>
          <w:spacing w:val="-2"/>
          <w:w w:val="105"/>
          <w:sz w:val="21"/>
          <w:szCs w:val="21"/>
          <w:lang w:val="en-ZA" w:eastAsia="en-ZA"/>
        </w:rPr>
        <w:t xml:space="preserve"> </w:t>
      </w:r>
      <w:r w:rsidRPr="00BB5C77">
        <w:rPr>
          <w:rFonts w:ascii="Arial" w:eastAsia="Arial" w:hAnsi="Arial" w:cs="Arial"/>
          <w:color w:val="030303"/>
          <w:sz w:val="21"/>
          <w:szCs w:val="21"/>
          <w:lang w:val="en-ZA" w:eastAsia="en-ZA"/>
        </w:rPr>
        <w:t>priorities</w:t>
      </w:r>
      <w:r w:rsidRPr="00BB5C77">
        <w:rPr>
          <w:rFonts w:ascii="Arial" w:eastAsia="Arial" w:hAnsi="Arial" w:cs="Arial"/>
          <w:color w:val="030303"/>
          <w:spacing w:val="30"/>
          <w:sz w:val="21"/>
          <w:szCs w:val="21"/>
          <w:lang w:val="en-ZA" w:eastAsia="en-ZA"/>
        </w:rPr>
        <w:t xml:space="preserve"> </w:t>
      </w:r>
      <w:r w:rsidRPr="00BB5C77">
        <w:rPr>
          <w:rFonts w:ascii="Arial" w:eastAsia="Arial" w:hAnsi="Arial" w:cs="Arial"/>
          <w:color w:val="030303"/>
          <w:sz w:val="21"/>
          <w:szCs w:val="21"/>
          <w:lang w:val="en-ZA" w:eastAsia="en-ZA"/>
        </w:rPr>
        <w:t>presented</w:t>
      </w:r>
      <w:r w:rsidRPr="00BB5C77">
        <w:rPr>
          <w:rFonts w:ascii="Arial" w:eastAsia="Arial" w:hAnsi="Arial" w:cs="Arial"/>
          <w:color w:val="030303"/>
          <w:spacing w:val="34"/>
          <w:sz w:val="21"/>
          <w:szCs w:val="21"/>
          <w:lang w:val="en-ZA" w:eastAsia="en-ZA"/>
        </w:rPr>
        <w:t xml:space="preserve"> </w:t>
      </w:r>
      <w:r w:rsidRPr="00BB5C77">
        <w:rPr>
          <w:rFonts w:ascii="Arial" w:eastAsia="Arial" w:hAnsi="Arial" w:cs="Arial"/>
          <w:color w:val="030303"/>
          <w:sz w:val="21"/>
          <w:szCs w:val="21"/>
          <w:lang w:val="en-ZA" w:eastAsia="en-ZA"/>
        </w:rPr>
        <w:t>in</w:t>
      </w:r>
      <w:r w:rsidRPr="00BB5C77">
        <w:rPr>
          <w:rFonts w:ascii="Arial" w:eastAsia="Arial" w:hAnsi="Arial" w:cs="Arial"/>
          <w:color w:val="030303"/>
          <w:spacing w:val="9"/>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annual</w:t>
      </w:r>
      <w:r w:rsidRPr="00BB5C77">
        <w:rPr>
          <w:rFonts w:ascii="Arial" w:eastAsia="Arial" w:hAnsi="Arial" w:cs="Arial"/>
          <w:color w:val="030303"/>
          <w:spacing w:val="10"/>
          <w:sz w:val="21"/>
          <w:szCs w:val="21"/>
          <w:lang w:val="en-ZA" w:eastAsia="en-ZA"/>
        </w:rPr>
        <w:t xml:space="preserve"> </w:t>
      </w:r>
      <w:r w:rsidRPr="00BB5C77">
        <w:rPr>
          <w:rFonts w:ascii="Arial" w:eastAsia="Arial" w:hAnsi="Arial" w:cs="Arial"/>
          <w:color w:val="030303"/>
          <w:sz w:val="21"/>
          <w:szCs w:val="21"/>
          <w:lang w:val="en-ZA" w:eastAsia="en-ZA"/>
        </w:rPr>
        <w:t>performance</w:t>
      </w:r>
      <w:r w:rsidRPr="00BB5C77">
        <w:rPr>
          <w:rFonts w:ascii="Arial" w:eastAsia="Arial" w:hAnsi="Arial" w:cs="Arial"/>
          <w:color w:val="030303"/>
          <w:spacing w:val="38"/>
          <w:sz w:val="21"/>
          <w:szCs w:val="21"/>
          <w:lang w:val="en-ZA" w:eastAsia="en-ZA"/>
        </w:rPr>
        <w:t xml:space="preserve"> </w:t>
      </w:r>
      <w:r w:rsidRPr="00BB5C77">
        <w:rPr>
          <w:rFonts w:ascii="Arial" w:eastAsia="Arial" w:hAnsi="Arial" w:cs="Arial"/>
          <w:color w:val="030303"/>
          <w:sz w:val="21"/>
          <w:szCs w:val="21"/>
          <w:lang w:val="en-ZA" w:eastAsia="en-ZA"/>
        </w:rPr>
        <w:t>report</w:t>
      </w:r>
      <w:r w:rsidRPr="00BB5C77">
        <w:rPr>
          <w:rFonts w:ascii="Arial" w:eastAsia="Arial" w:hAnsi="Arial" w:cs="Arial"/>
          <w:color w:val="030303"/>
          <w:spacing w:val="34"/>
          <w:sz w:val="21"/>
          <w:szCs w:val="21"/>
          <w:lang w:val="en-ZA" w:eastAsia="en-ZA"/>
        </w:rPr>
        <w:t xml:space="preserve"> </w:t>
      </w:r>
      <w:r w:rsidRPr="00BB5C77">
        <w:rPr>
          <w:rFonts w:ascii="Arial" w:eastAsia="Arial" w:hAnsi="Arial" w:cs="Arial"/>
          <w:color w:val="030303"/>
          <w:sz w:val="21"/>
          <w:szCs w:val="21"/>
          <w:lang w:val="en-ZA" w:eastAsia="en-ZA"/>
        </w:rPr>
        <w:t>that</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w w:val="108"/>
          <w:sz w:val="21"/>
          <w:szCs w:val="21"/>
          <w:lang w:val="en-ZA" w:eastAsia="en-ZA"/>
        </w:rPr>
        <w:t xml:space="preserve">have </w:t>
      </w:r>
      <w:r w:rsidRPr="00BB5C77">
        <w:rPr>
          <w:rFonts w:ascii="Arial" w:eastAsia="Arial" w:hAnsi="Arial" w:cs="Arial"/>
          <w:color w:val="030303"/>
          <w:sz w:val="21"/>
          <w:szCs w:val="21"/>
          <w:lang w:val="en-ZA" w:eastAsia="en-ZA"/>
        </w:rPr>
        <w:t>been</w:t>
      </w:r>
      <w:r w:rsidRPr="00BB5C77">
        <w:rPr>
          <w:rFonts w:ascii="Arial" w:eastAsia="Arial" w:hAnsi="Arial" w:cs="Arial"/>
          <w:color w:val="030303"/>
          <w:spacing w:val="23"/>
          <w:sz w:val="21"/>
          <w:szCs w:val="21"/>
          <w:lang w:val="en-ZA" w:eastAsia="en-ZA"/>
        </w:rPr>
        <w:t xml:space="preserve"> </w:t>
      </w:r>
      <w:r w:rsidRPr="00BB5C77">
        <w:rPr>
          <w:rFonts w:ascii="Arial" w:eastAsia="Arial" w:hAnsi="Arial" w:cs="Arial"/>
          <w:color w:val="030303"/>
          <w:sz w:val="21"/>
          <w:szCs w:val="21"/>
          <w:lang w:val="en-ZA" w:eastAsia="en-ZA"/>
        </w:rPr>
        <w:t>specifically</w:t>
      </w:r>
      <w:r w:rsidRPr="00BB5C77">
        <w:rPr>
          <w:rFonts w:ascii="Arial" w:eastAsia="Arial" w:hAnsi="Arial" w:cs="Arial"/>
          <w:color w:val="030303"/>
          <w:spacing w:val="42"/>
          <w:sz w:val="21"/>
          <w:szCs w:val="21"/>
          <w:lang w:val="en-ZA" w:eastAsia="en-ZA"/>
        </w:rPr>
        <w:t xml:space="preserve"> </w:t>
      </w:r>
      <w:r w:rsidRPr="00BB5C77">
        <w:rPr>
          <w:rFonts w:ascii="Arial" w:eastAsia="Arial" w:hAnsi="Arial" w:cs="Arial"/>
          <w:color w:val="030303"/>
          <w:sz w:val="21"/>
          <w:szCs w:val="21"/>
          <w:lang w:val="en-ZA" w:eastAsia="en-ZA"/>
        </w:rPr>
        <w:t>reported</w:t>
      </w:r>
      <w:r w:rsidRPr="00BB5C77">
        <w:rPr>
          <w:rFonts w:ascii="Arial" w:eastAsia="Arial" w:hAnsi="Arial" w:cs="Arial"/>
          <w:color w:val="030303"/>
          <w:spacing w:val="36"/>
          <w:sz w:val="21"/>
          <w:szCs w:val="21"/>
          <w:lang w:val="en-ZA" w:eastAsia="en-ZA"/>
        </w:rPr>
        <w:t xml:space="preserve"> </w:t>
      </w:r>
      <w:r w:rsidRPr="00BB5C77">
        <w:rPr>
          <w:rFonts w:ascii="Arial" w:eastAsia="Arial" w:hAnsi="Arial" w:cs="Arial"/>
          <w:color w:val="030303"/>
          <w:sz w:val="21"/>
          <w:szCs w:val="21"/>
          <w:lang w:val="en-ZA" w:eastAsia="en-ZA"/>
        </w:rPr>
        <w:t>in</w:t>
      </w:r>
      <w:r w:rsidRPr="00BB5C77">
        <w:rPr>
          <w:rFonts w:ascii="Arial" w:eastAsia="Arial" w:hAnsi="Arial" w:cs="Arial"/>
          <w:color w:val="030303"/>
          <w:spacing w:val="10"/>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auditor's</w:t>
      </w:r>
      <w:r w:rsidRPr="00BB5C77">
        <w:rPr>
          <w:rFonts w:ascii="Arial" w:eastAsia="Arial" w:hAnsi="Arial" w:cs="Arial"/>
          <w:color w:val="030303"/>
          <w:spacing w:val="37"/>
          <w:sz w:val="21"/>
          <w:szCs w:val="21"/>
          <w:lang w:val="en-ZA" w:eastAsia="en-ZA"/>
        </w:rPr>
        <w:t xml:space="preserve"> </w:t>
      </w:r>
      <w:r w:rsidRPr="00BB5C77">
        <w:rPr>
          <w:rFonts w:ascii="Arial" w:eastAsia="Arial" w:hAnsi="Arial" w:cs="Arial"/>
          <w:color w:val="030303"/>
          <w:w w:val="106"/>
          <w:sz w:val="21"/>
          <w:szCs w:val="21"/>
          <w:lang w:val="en-ZA" w:eastAsia="en-ZA"/>
        </w:rPr>
        <w:t>report.</w:t>
      </w:r>
    </w:p>
    <w:p w14:paraId="3D58DEE6" w14:textId="77777777" w:rsidR="00BB5C77" w:rsidRPr="00BB5C77" w:rsidRDefault="00BB5C77" w:rsidP="00BB5C77">
      <w:pPr>
        <w:spacing w:before="17" w:after="0" w:line="220" w:lineRule="exact"/>
        <w:jc w:val="both"/>
        <w:rPr>
          <w:rFonts w:eastAsia="Times New Roman" w:cs="Times New Roman"/>
          <w:sz w:val="22"/>
          <w:lang w:val="en-ZA" w:eastAsia="en-ZA"/>
        </w:rPr>
      </w:pPr>
    </w:p>
    <w:p w14:paraId="156BF825" w14:textId="77777777" w:rsidR="00BB5C77" w:rsidRPr="00BB5C77" w:rsidRDefault="00BB5C77" w:rsidP="00BB5C77">
      <w:pPr>
        <w:spacing w:after="0" w:line="253" w:lineRule="auto"/>
        <w:ind w:left="601" w:right="296" w:hanging="359"/>
        <w:jc w:val="both"/>
        <w:rPr>
          <w:rFonts w:ascii="Arial" w:eastAsia="Arial" w:hAnsi="Arial" w:cs="Arial"/>
          <w:sz w:val="21"/>
          <w:szCs w:val="21"/>
          <w:lang w:val="en-ZA" w:eastAsia="en-ZA"/>
        </w:rPr>
      </w:pPr>
      <w:r w:rsidRPr="00BB5C77">
        <w:rPr>
          <w:rFonts w:ascii="Arial" w:eastAsia="Arial" w:hAnsi="Arial" w:cs="Arial"/>
          <w:color w:val="030303"/>
          <w:sz w:val="21"/>
          <w:szCs w:val="21"/>
          <w:lang w:val="en-ZA" w:eastAsia="en-ZA"/>
        </w:rPr>
        <w:t>28.</w:t>
      </w:r>
      <w:r w:rsidRPr="00BB5C77">
        <w:rPr>
          <w:rFonts w:ascii="Arial" w:eastAsia="Arial" w:hAnsi="Arial" w:cs="Arial"/>
          <w:color w:val="030303"/>
          <w:spacing w:val="-20"/>
          <w:sz w:val="21"/>
          <w:szCs w:val="21"/>
          <w:lang w:val="en-ZA" w:eastAsia="en-ZA"/>
        </w:rPr>
        <w:t xml:space="preserve"> </w:t>
      </w:r>
      <w:r w:rsidRPr="00BB5C77">
        <w:rPr>
          <w:rFonts w:ascii="Arial" w:eastAsia="Arial" w:hAnsi="Arial" w:cs="Arial"/>
          <w:color w:val="030303"/>
          <w:sz w:val="21"/>
          <w:szCs w:val="21"/>
          <w:lang w:val="en-ZA" w:eastAsia="en-ZA"/>
        </w:rPr>
        <w:t>My</w:t>
      </w:r>
      <w:r w:rsidRPr="00BB5C77">
        <w:rPr>
          <w:rFonts w:ascii="Arial" w:eastAsia="Arial" w:hAnsi="Arial" w:cs="Arial"/>
          <w:color w:val="030303"/>
          <w:spacing w:val="17"/>
          <w:sz w:val="21"/>
          <w:szCs w:val="21"/>
          <w:lang w:val="en-ZA" w:eastAsia="en-ZA"/>
        </w:rPr>
        <w:t xml:space="preserve"> </w:t>
      </w:r>
      <w:r w:rsidRPr="00BB5C77">
        <w:rPr>
          <w:rFonts w:ascii="Arial" w:eastAsia="Arial" w:hAnsi="Arial" w:cs="Arial"/>
          <w:color w:val="030303"/>
          <w:sz w:val="21"/>
          <w:szCs w:val="21"/>
          <w:lang w:val="en-ZA" w:eastAsia="en-ZA"/>
        </w:rPr>
        <w:t>opinion</w:t>
      </w:r>
      <w:r w:rsidRPr="00BB5C77">
        <w:rPr>
          <w:rFonts w:ascii="Arial" w:eastAsia="Arial" w:hAnsi="Arial" w:cs="Arial"/>
          <w:color w:val="030303"/>
          <w:spacing w:val="27"/>
          <w:sz w:val="21"/>
          <w:szCs w:val="21"/>
          <w:lang w:val="en-ZA" w:eastAsia="en-ZA"/>
        </w:rPr>
        <w:t xml:space="preserve"> </w:t>
      </w:r>
      <w:r w:rsidRPr="00BB5C77">
        <w:rPr>
          <w:rFonts w:ascii="Arial" w:eastAsia="Arial" w:hAnsi="Arial" w:cs="Arial"/>
          <w:color w:val="030303"/>
          <w:sz w:val="21"/>
          <w:szCs w:val="21"/>
          <w:lang w:val="en-ZA" w:eastAsia="en-ZA"/>
        </w:rPr>
        <w:t>on</w:t>
      </w:r>
      <w:r w:rsidRPr="00BB5C77">
        <w:rPr>
          <w:rFonts w:ascii="Arial" w:eastAsia="Arial" w:hAnsi="Arial" w:cs="Arial"/>
          <w:color w:val="030303"/>
          <w:spacing w:val="10"/>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2"/>
          <w:sz w:val="21"/>
          <w:szCs w:val="21"/>
          <w:lang w:val="en-ZA" w:eastAsia="en-ZA"/>
        </w:rPr>
        <w:t xml:space="preserve"> </w:t>
      </w:r>
      <w:r w:rsidRPr="00BB5C77">
        <w:rPr>
          <w:rFonts w:ascii="Arial" w:eastAsia="Arial" w:hAnsi="Arial" w:cs="Arial"/>
          <w:color w:val="030303"/>
          <w:sz w:val="21"/>
          <w:szCs w:val="21"/>
          <w:lang w:val="en-ZA" w:eastAsia="en-ZA"/>
        </w:rPr>
        <w:t>financial</w:t>
      </w:r>
      <w:r w:rsidRPr="00BB5C77">
        <w:rPr>
          <w:rFonts w:ascii="Arial" w:eastAsia="Arial" w:hAnsi="Arial" w:cs="Arial"/>
          <w:color w:val="030303"/>
          <w:spacing w:val="31"/>
          <w:sz w:val="21"/>
          <w:szCs w:val="21"/>
          <w:lang w:val="en-ZA" w:eastAsia="en-ZA"/>
        </w:rPr>
        <w:t xml:space="preserve"> </w:t>
      </w:r>
      <w:r w:rsidRPr="00BB5C77">
        <w:rPr>
          <w:rFonts w:ascii="Arial" w:eastAsia="Arial" w:hAnsi="Arial" w:cs="Arial"/>
          <w:color w:val="030303"/>
          <w:sz w:val="21"/>
          <w:szCs w:val="21"/>
          <w:lang w:val="en-ZA" w:eastAsia="en-ZA"/>
        </w:rPr>
        <w:t>statements</w:t>
      </w:r>
      <w:r w:rsidRPr="00BB5C77">
        <w:rPr>
          <w:rFonts w:ascii="Arial" w:eastAsia="Arial" w:hAnsi="Arial" w:cs="Arial"/>
          <w:color w:val="030303"/>
          <w:spacing w:val="30"/>
          <w:sz w:val="21"/>
          <w:szCs w:val="21"/>
          <w:lang w:val="en-ZA" w:eastAsia="en-ZA"/>
        </w:rPr>
        <w:t xml:space="preserve"> </w:t>
      </w:r>
      <w:r w:rsidRPr="00BB5C77">
        <w:rPr>
          <w:rFonts w:ascii="Arial" w:eastAsia="Arial" w:hAnsi="Arial" w:cs="Arial"/>
          <w:color w:val="030303"/>
          <w:sz w:val="21"/>
          <w:szCs w:val="21"/>
          <w:lang w:val="en-ZA" w:eastAsia="en-ZA"/>
        </w:rPr>
        <w:t>and</w:t>
      </w:r>
      <w:r w:rsidRPr="00BB5C77">
        <w:rPr>
          <w:rFonts w:ascii="Arial" w:eastAsia="Arial" w:hAnsi="Arial" w:cs="Arial"/>
          <w:color w:val="030303"/>
          <w:spacing w:val="21"/>
          <w:sz w:val="21"/>
          <w:szCs w:val="21"/>
          <w:lang w:val="en-ZA" w:eastAsia="en-ZA"/>
        </w:rPr>
        <w:t xml:space="preserve"> </w:t>
      </w:r>
      <w:r w:rsidRPr="00BB5C77">
        <w:rPr>
          <w:rFonts w:ascii="Arial" w:eastAsia="Arial" w:hAnsi="Arial" w:cs="Arial"/>
          <w:color w:val="030303"/>
          <w:sz w:val="21"/>
          <w:szCs w:val="21"/>
          <w:lang w:val="en-ZA" w:eastAsia="en-ZA"/>
        </w:rPr>
        <w:t>findings</w:t>
      </w:r>
      <w:r w:rsidRPr="00BB5C77">
        <w:rPr>
          <w:rFonts w:ascii="Arial" w:eastAsia="Arial" w:hAnsi="Arial" w:cs="Arial"/>
          <w:color w:val="030303"/>
          <w:spacing w:val="41"/>
          <w:sz w:val="21"/>
          <w:szCs w:val="21"/>
          <w:lang w:val="en-ZA" w:eastAsia="en-ZA"/>
        </w:rPr>
        <w:t xml:space="preserve"> </w:t>
      </w:r>
      <w:r w:rsidRPr="00BB5C77">
        <w:rPr>
          <w:rFonts w:ascii="Arial" w:eastAsia="Arial" w:hAnsi="Arial" w:cs="Arial"/>
          <w:color w:val="030303"/>
          <w:sz w:val="21"/>
          <w:szCs w:val="21"/>
          <w:lang w:val="en-ZA" w:eastAsia="en-ZA"/>
        </w:rPr>
        <w:t>on</w:t>
      </w:r>
      <w:r w:rsidRPr="00BB5C77">
        <w:rPr>
          <w:rFonts w:ascii="Arial" w:eastAsia="Arial" w:hAnsi="Arial" w:cs="Arial"/>
          <w:color w:val="030303"/>
          <w:spacing w:val="10"/>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7"/>
          <w:sz w:val="21"/>
          <w:szCs w:val="21"/>
          <w:lang w:val="en-ZA" w:eastAsia="en-ZA"/>
        </w:rPr>
        <w:t xml:space="preserve"> </w:t>
      </w:r>
      <w:r w:rsidRPr="00BB5C77">
        <w:rPr>
          <w:rFonts w:ascii="Arial" w:eastAsia="Arial" w:hAnsi="Arial" w:cs="Arial"/>
          <w:color w:val="030303"/>
          <w:sz w:val="21"/>
          <w:szCs w:val="21"/>
          <w:lang w:val="en-ZA" w:eastAsia="en-ZA"/>
        </w:rPr>
        <w:t>reported</w:t>
      </w:r>
      <w:r w:rsidRPr="00BB5C77">
        <w:rPr>
          <w:rFonts w:ascii="Arial" w:eastAsia="Arial" w:hAnsi="Arial" w:cs="Arial"/>
          <w:color w:val="030303"/>
          <w:spacing w:val="28"/>
          <w:sz w:val="21"/>
          <w:szCs w:val="21"/>
          <w:lang w:val="en-ZA" w:eastAsia="en-ZA"/>
        </w:rPr>
        <w:t xml:space="preserve"> </w:t>
      </w:r>
      <w:r w:rsidRPr="00BB5C77">
        <w:rPr>
          <w:rFonts w:ascii="Arial" w:eastAsia="Arial" w:hAnsi="Arial" w:cs="Arial"/>
          <w:color w:val="030303"/>
          <w:w w:val="106"/>
          <w:sz w:val="21"/>
          <w:szCs w:val="21"/>
          <w:lang w:val="en-ZA" w:eastAsia="en-ZA"/>
        </w:rPr>
        <w:t xml:space="preserve">performance </w:t>
      </w:r>
      <w:r w:rsidRPr="00BB5C77">
        <w:rPr>
          <w:rFonts w:ascii="Arial" w:eastAsia="Arial" w:hAnsi="Arial" w:cs="Arial"/>
          <w:color w:val="030303"/>
          <w:sz w:val="21"/>
          <w:szCs w:val="21"/>
          <w:lang w:val="en-ZA" w:eastAsia="en-ZA"/>
        </w:rPr>
        <w:t>information</w:t>
      </w:r>
      <w:r w:rsidRPr="00BB5C77">
        <w:rPr>
          <w:rFonts w:ascii="Arial" w:eastAsia="Arial" w:hAnsi="Arial" w:cs="Arial"/>
          <w:color w:val="030303"/>
          <w:spacing w:val="48"/>
          <w:sz w:val="21"/>
          <w:szCs w:val="21"/>
          <w:lang w:val="en-ZA" w:eastAsia="en-ZA"/>
        </w:rPr>
        <w:t xml:space="preserve"> </w:t>
      </w:r>
      <w:r w:rsidRPr="00BB5C77">
        <w:rPr>
          <w:rFonts w:ascii="Arial" w:eastAsia="Arial" w:hAnsi="Arial" w:cs="Arial"/>
          <w:color w:val="030303"/>
          <w:sz w:val="21"/>
          <w:szCs w:val="21"/>
          <w:lang w:val="en-ZA" w:eastAsia="en-ZA"/>
        </w:rPr>
        <w:t>and</w:t>
      </w:r>
      <w:r w:rsidRPr="00BB5C77">
        <w:rPr>
          <w:rFonts w:ascii="Arial" w:eastAsia="Arial" w:hAnsi="Arial" w:cs="Arial"/>
          <w:color w:val="030303"/>
          <w:spacing w:val="19"/>
          <w:sz w:val="21"/>
          <w:szCs w:val="21"/>
          <w:lang w:val="en-ZA" w:eastAsia="en-ZA"/>
        </w:rPr>
        <w:t xml:space="preserve"> </w:t>
      </w:r>
      <w:r w:rsidRPr="00BB5C77">
        <w:rPr>
          <w:rFonts w:ascii="Arial" w:eastAsia="Arial" w:hAnsi="Arial" w:cs="Arial"/>
          <w:color w:val="030303"/>
          <w:sz w:val="21"/>
          <w:szCs w:val="21"/>
          <w:lang w:val="en-ZA" w:eastAsia="en-ZA"/>
        </w:rPr>
        <w:t>compliance</w:t>
      </w:r>
      <w:r w:rsidRPr="00BB5C77">
        <w:rPr>
          <w:rFonts w:ascii="Arial" w:eastAsia="Arial" w:hAnsi="Arial" w:cs="Arial"/>
          <w:color w:val="030303"/>
          <w:spacing w:val="52"/>
          <w:sz w:val="21"/>
          <w:szCs w:val="21"/>
          <w:lang w:val="en-ZA" w:eastAsia="en-ZA"/>
        </w:rPr>
        <w:t xml:space="preserve"> </w:t>
      </w:r>
      <w:r w:rsidRPr="00BB5C77">
        <w:rPr>
          <w:rFonts w:ascii="Arial" w:eastAsia="Arial" w:hAnsi="Arial" w:cs="Arial"/>
          <w:color w:val="030303"/>
          <w:sz w:val="21"/>
          <w:szCs w:val="21"/>
          <w:lang w:val="en-ZA" w:eastAsia="en-ZA"/>
        </w:rPr>
        <w:t>with</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legislation</w:t>
      </w:r>
      <w:r w:rsidRPr="00BB5C77">
        <w:rPr>
          <w:rFonts w:ascii="Arial" w:eastAsia="Arial" w:hAnsi="Arial" w:cs="Arial"/>
          <w:color w:val="030303"/>
          <w:spacing w:val="41"/>
          <w:sz w:val="21"/>
          <w:szCs w:val="21"/>
          <w:lang w:val="en-ZA" w:eastAsia="en-ZA"/>
        </w:rPr>
        <w:t xml:space="preserve"> </w:t>
      </w:r>
      <w:r w:rsidRPr="00BB5C77">
        <w:rPr>
          <w:rFonts w:ascii="Arial" w:eastAsia="Arial" w:hAnsi="Arial" w:cs="Arial"/>
          <w:color w:val="030303"/>
          <w:sz w:val="21"/>
          <w:szCs w:val="21"/>
          <w:lang w:val="en-ZA" w:eastAsia="en-ZA"/>
        </w:rPr>
        <w:t>do</w:t>
      </w:r>
      <w:r w:rsidRPr="00BB5C77">
        <w:rPr>
          <w:rFonts w:ascii="Arial" w:eastAsia="Arial" w:hAnsi="Arial" w:cs="Arial"/>
          <w:color w:val="030303"/>
          <w:spacing w:val="7"/>
          <w:sz w:val="21"/>
          <w:szCs w:val="21"/>
          <w:lang w:val="en-ZA" w:eastAsia="en-ZA"/>
        </w:rPr>
        <w:t xml:space="preserve"> </w:t>
      </w:r>
      <w:r w:rsidRPr="00BB5C77">
        <w:rPr>
          <w:rFonts w:ascii="Arial" w:eastAsia="Arial" w:hAnsi="Arial" w:cs="Arial"/>
          <w:color w:val="030303"/>
          <w:sz w:val="21"/>
          <w:szCs w:val="21"/>
          <w:lang w:val="en-ZA" w:eastAsia="en-ZA"/>
        </w:rPr>
        <w:t>not</w:t>
      </w:r>
      <w:r w:rsidRPr="00BB5C77">
        <w:rPr>
          <w:rFonts w:ascii="Arial" w:eastAsia="Arial" w:hAnsi="Arial" w:cs="Arial"/>
          <w:color w:val="030303"/>
          <w:spacing w:val="21"/>
          <w:sz w:val="21"/>
          <w:szCs w:val="21"/>
          <w:lang w:val="en-ZA" w:eastAsia="en-ZA"/>
        </w:rPr>
        <w:t xml:space="preserve"> </w:t>
      </w:r>
      <w:r w:rsidRPr="00BB5C77">
        <w:rPr>
          <w:rFonts w:ascii="Arial" w:eastAsia="Arial" w:hAnsi="Arial" w:cs="Arial"/>
          <w:color w:val="030303"/>
          <w:sz w:val="21"/>
          <w:szCs w:val="21"/>
          <w:lang w:val="en-ZA" w:eastAsia="en-ZA"/>
        </w:rPr>
        <w:t>cover</w:t>
      </w:r>
      <w:r w:rsidRPr="00BB5C77">
        <w:rPr>
          <w:rFonts w:ascii="Arial" w:eastAsia="Arial" w:hAnsi="Arial" w:cs="Arial"/>
          <w:color w:val="030303"/>
          <w:spacing w:val="20"/>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7"/>
          <w:sz w:val="21"/>
          <w:szCs w:val="21"/>
          <w:lang w:val="en-ZA" w:eastAsia="en-ZA"/>
        </w:rPr>
        <w:t xml:space="preserve"> </w:t>
      </w:r>
      <w:r w:rsidRPr="00BB5C77">
        <w:rPr>
          <w:rFonts w:ascii="Arial" w:eastAsia="Arial" w:hAnsi="Arial" w:cs="Arial"/>
          <w:color w:val="030303"/>
          <w:sz w:val="21"/>
          <w:szCs w:val="21"/>
          <w:lang w:val="en-ZA" w:eastAsia="en-ZA"/>
        </w:rPr>
        <w:t>other</w:t>
      </w:r>
      <w:r w:rsidRPr="00BB5C77">
        <w:rPr>
          <w:rFonts w:ascii="Arial" w:eastAsia="Arial" w:hAnsi="Arial" w:cs="Arial"/>
          <w:color w:val="030303"/>
          <w:spacing w:val="8"/>
          <w:sz w:val="21"/>
          <w:szCs w:val="21"/>
          <w:lang w:val="en-ZA" w:eastAsia="en-ZA"/>
        </w:rPr>
        <w:t xml:space="preserve"> </w:t>
      </w:r>
      <w:r w:rsidRPr="00BB5C77">
        <w:rPr>
          <w:rFonts w:ascii="Arial" w:eastAsia="Arial" w:hAnsi="Arial" w:cs="Arial"/>
          <w:color w:val="030303"/>
          <w:sz w:val="21"/>
          <w:szCs w:val="21"/>
          <w:lang w:val="en-ZA" w:eastAsia="en-ZA"/>
        </w:rPr>
        <w:t>information</w:t>
      </w:r>
      <w:r w:rsidRPr="00BB5C77">
        <w:rPr>
          <w:rFonts w:ascii="Arial" w:eastAsia="Arial" w:hAnsi="Arial" w:cs="Arial"/>
          <w:color w:val="030303"/>
          <w:spacing w:val="48"/>
          <w:sz w:val="21"/>
          <w:szCs w:val="21"/>
          <w:lang w:val="en-ZA" w:eastAsia="en-ZA"/>
        </w:rPr>
        <w:t xml:space="preserve"> </w:t>
      </w:r>
      <w:r w:rsidRPr="00BB5C77">
        <w:rPr>
          <w:rFonts w:ascii="Arial" w:eastAsia="Arial" w:hAnsi="Arial" w:cs="Arial"/>
          <w:color w:val="030303"/>
          <w:sz w:val="21"/>
          <w:szCs w:val="21"/>
          <w:lang w:val="en-ZA" w:eastAsia="en-ZA"/>
        </w:rPr>
        <w:t>and</w:t>
      </w:r>
      <w:r w:rsidRPr="00BB5C77">
        <w:rPr>
          <w:rFonts w:ascii="Arial" w:eastAsia="Arial" w:hAnsi="Arial" w:cs="Arial"/>
          <w:color w:val="030303"/>
          <w:spacing w:val="23"/>
          <w:sz w:val="21"/>
          <w:szCs w:val="21"/>
          <w:lang w:val="en-ZA" w:eastAsia="en-ZA"/>
        </w:rPr>
        <w:t xml:space="preserve"> </w:t>
      </w:r>
      <w:r w:rsidRPr="00BB5C77">
        <w:rPr>
          <w:rFonts w:ascii="Arial" w:eastAsia="Arial" w:hAnsi="Arial" w:cs="Arial"/>
          <w:color w:val="030303"/>
          <w:w w:val="179"/>
          <w:sz w:val="21"/>
          <w:szCs w:val="21"/>
          <w:lang w:val="en-ZA" w:eastAsia="en-ZA"/>
        </w:rPr>
        <w:t>I</w:t>
      </w:r>
      <w:r w:rsidRPr="00BB5C77">
        <w:rPr>
          <w:rFonts w:ascii="Arial" w:eastAsia="Arial" w:hAnsi="Arial" w:cs="Arial"/>
          <w:color w:val="030303"/>
          <w:spacing w:val="-36"/>
          <w:sz w:val="21"/>
          <w:szCs w:val="21"/>
          <w:lang w:val="en-ZA" w:eastAsia="en-ZA"/>
        </w:rPr>
        <w:t xml:space="preserve"> </w:t>
      </w:r>
      <w:r w:rsidRPr="00BB5C77">
        <w:rPr>
          <w:rFonts w:ascii="Arial" w:eastAsia="Arial" w:hAnsi="Arial" w:cs="Arial"/>
          <w:color w:val="030303"/>
          <w:w w:val="108"/>
          <w:sz w:val="21"/>
          <w:szCs w:val="21"/>
          <w:lang w:val="en-ZA" w:eastAsia="en-ZA"/>
        </w:rPr>
        <w:t xml:space="preserve">do </w:t>
      </w:r>
      <w:r w:rsidRPr="00BB5C77">
        <w:rPr>
          <w:rFonts w:ascii="Arial" w:eastAsia="Arial" w:hAnsi="Arial" w:cs="Arial"/>
          <w:color w:val="030303"/>
          <w:sz w:val="21"/>
          <w:szCs w:val="21"/>
          <w:lang w:val="en-ZA" w:eastAsia="en-ZA"/>
        </w:rPr>
        <w:t>not</w:t>
      </w:r>
      <w:r w:rsidRPr="00BB5C77">
        <w:rPr>
          <w:rFonts w:ascii="Arial" w:eastAsia="Arial" w:hAnsi="Arial" w:cs="Arial"/>
          <w:color w:val="030303"/>
          <w:spacing w:val="30"/>
          <w:sz w:val="21"/>
          <w:szCs w:val="21"/>
          <w:lang w:val="en-ZA" w:eastAsia="en-ZA"/>
        </w:rPr>
        <w:t xml:space="preserve"> </w:t>
      </w:r>
      <w:r w:rsidRPr="00BB5C77">
        <w:rPr>
          <w:rFonts w:ascii="Arial" w:eastAsia="Arial" w:hAnsi="Arial" w:cs="Arial"/>
          <w:color w:val="030303"/>
          <w:sz w:val="21"/>
          <w:szCs w:val="21"/>
          <w:lang w:val="en-ZA" w:eastAsia="en-ZA"/>
        </w:rPr>
        <w:t>express</w:t>
      </w:r>
      <w:r w:rsidRPr="00BB5C77">
        <w:rPr>
          <w:rFonts w:ascii="Arial" w:eastAsia="Arial" w:hAnsi="Arial" w:cs="Arial"/>
          <w:color w:val="030303"/>
          <w:spacing w:val="27"/>
          <w:sz w:val="21"/>
          <w:szCs w:val="21"/>
          <w:lang w:val="en-ZA" w:eastAsia="en-ZA"/>
        </w:rPr>
        <w:t xml:space="preserve"> </w:t>
      </w:r>
      <w:r w:rsidRPr="00BB5C77">
        <w:rPr>
          <w:rFonts w:ascii="Arial" w:eastAsia="Arial" w:hAnsi="Arial" w:cs="Arial"/>
          <w:color w:val="030303"/>
          <w:sz w:val="21"/>
          <w:szCs w:val="21"/>
          <w:lang w:val="en-ZA" w:eastAsia="en-ZA"/>
        </w:rPr>
        <w:t>an</w:t>
      </w:r>
      <w:r w:rsidRPr="00BB5C77">
        <w:rPr>
          <w:rFonts w:ascii="Arial" w:eastAsia="Arial" w:hAnsi="Arial" w:cs="Arial"/>
          <w:color w:val="030303"/>
          <w:spacing w:val="20"/>
          <w:sz w:val="21"/>
          <w:szCs w:val="21"/>
          <w:lang w:val="en-ZA" w:eastAsia="en-ZA"/>
        </w:rPr>
        <w:t xml:space="preserve"> </w:t>
      </w:r>
      <w:r w:rsidRPr="00BB5C77">
        <w:rPr>
          <w:rFonts w:ascii="Arial" w:eastAsia="Arial" w:hAnsi="Arial" w:cs="Arial"/>
          <w:color w:val="030303"/>
          <w:sz w:val="21"/>
          <w:szCs w:val="21"/>
          <w:lang w:val="en-ZA" w:eastAsia="en-ZA"/>
        </w:rPr>
        <w:t>audit</w:t>
      </w:r>
      <w:r w:rsidRPr="00BB5C77">
        <w:rPr>
          <w:rFonts w:ascii="Arial" w:eastAsia="Arial" w:hAnsi="Arial" w:cs="Arial"/>
          <w:color w:val="030303"/>
          <w:spacing w:val="17"/>
          <w:sz w:val="21"/>
          <w:szCs w:val="21"/>
          <w:lang w:val="en-ZA" w:eastAsia="en-ZA"/>
        </w:rPr>
        <w:t xml:space="preserve"> </w:t>
      </w:r>
      <w:r w:rsidRPr="00BB5C77">
        <w:rPr>
          <w:rFonts w:ascii="Arial" w:eastAsia="Arial" w:hAnsi="Arial" w:cs="Arial"/>
          <w:color w:val="030303"/>
          <w:sz w:val="21"/>
          <w:szCs w:val="21"/>
          <w:lang w:val="en-ZA" w:eastAsia="en-ZA"/>
        </w:rPr>
        <w:t>opinion</w:t>
      </w:r>
      <w:r w:rsidRPr="00BB5C77">
        <w:rPr>
          <w:rFonts w:ascii="Arial" w:eastAsia="Arial" w:hAnsi="Arial" w:cs="Arial"/>
          <w:color w:val="030303"/>
          <w:spacing w:val="34"/>
          <w:sz w:val="21"/>
          <w:szCs w:val="21"/>
          <w:lang w:val="en-ZA" w:eastAsia="en-ZA"/>
        </w:rPr>
        <w:t xml:space="preserve"> </w:t>
      </w:r>
      <w:r w:rsidRPr="00BB5C77">
        <w:rPr>
          <w:rFonts w:ascii="Arial" w:eastAsia="Arial" w:hAnsi="Arial" w:cs="Arial"/>
          <w:color w:val="030303"/>
          <w:sz w:val="21"/>
          <w:szCs w:val="21"/>
          <w:lang w:val="en-ZA" w:eastAsia="en-ZA"/>
        </w:rPr>
        <w:t>or</w:t>
      </w:r>
      <w:r w:rsidRPr="00BB5C77">
        <w:rPr>
          <w:rFonts w:ascii="Arial" w:eastAsia="Arial" w:hAnsi="Arial" w:cs="Arial"/>
          <w:color w:val="030303"/>
          <w:spacing w:val="11"/>
          <w:sz w:val="21"/>
          <w:szCs w:val="21"/>
          <w:lang w:val="en-ZA" w:eastAsia="en-ZA"/>
        </w:rPr>
        <w:t xml:space="preserve"> </w:t>
      </w:r>
      <w:r w:rsidRPr="00BB5C77">
        <w:rPr>
          <w:rFonts w:ascii="Arial" w:eastAsia="Arial" w:hAnsi="Arial" w:cs="Arial"/>
          <w:color w:val="030303"/>
          <w:sz w:val="21"/>
          <w:szCs w:val="21"/>
          <w:lang w:val="en-ZA" w:eastAsia="en-ZA"/>
        </w:rPr>
        <w:t>any</w:t>
      </w:r>
      <w:r w:rsidRPr="00BB5C77">
        <w:rPr>
          <w:rFonts w:ascii="Arial" w:eastAsia="Arial" w:hAnsi="Arial" w:cs="Arial"/>
          <w:color w:val="030303"/>
          <w:spacing w:val="12"/>
          <w:sz w:val="21"/>
          <w:szCs w:val="21"/>
          <w:lang w:val="en-ZA" w:eastAsia="en-ZA"/>
        </w:rPr>
        <w:t xml:space="preserve"> </w:t>
      </w:r>
      <w:r w:rsidRPr="00BB5C77">
        <w:rPr>
          <w:rFonts w:ascii="Arial" w:eastAsia="Arial" w:hAnsi="Arial" w:cs="Arial"/>
          <w:color w:val="030303"/>
          <w:sz w:val="21"/>
          <w:szCs w:val="21"/>
          <w:lang w:val="en-ZA" w:eastAsia="en-ZA"/>
        </w:rPr>
        <w:t>form</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of</w:t>
      </w:r>
      <w:r w:rsidRPr="00BB5C77">
        <w:rPr>
          <w:rFonts w:ascii="Arial" w:eastAsia="Arial" w:hAnsi="Arial" w:cs="Arial"/>
          <w:color w:val="030303"/>
          <w:spacing w:val="26"/>
          <w:sz w:val="21"/>
          <w:szCs w:val="21"/>
          <w:lang w:val="en-ZA" w:eastAsia="en-ZA"/>
        </w:rPr>
        <w:t xml:space="preserve"> </w:t>
      </w:r>
      <w:r w:rsidRPr="00BB5C77">
        <w:rPr>
          <w:rFonts w:ascii="Arial" w:eastAsia="Arial" w:hAnsi="Arial" w:cs="Arial"/>
          <w:color w:val="030303"/>
          <w:sz w:val="21"/>
          <w:szCs w:val="21"/>
          <w:lang w:val="en-ZA" w:eastAsia="en-ZA"/>
        </w:rPr>
        <w:t>assurance</w:t>
      </w:r>
      <w:r w:rsidRPr="00BB5C77">
        <w:rPr>
          <w:rFonts w:ascii="Arial" w:eastAsia="Arial" w:hAnsi="Arial" w:cs="Arial"/>
          <w:color w:val="030303"/>
          <w:spacing w:val="43"/>
          <w:sz w:val="21"/>
          <w:szCs w:val="21"/>
          <w:lang w:val="en-ZA" w:eastAsia="en-ZA"/>
        </w:rPr>
        <w:t xml:space="preserve"> </w:t>
      </w:r>
      <w:r w:rsidRPr="00BB5C77">
        <w:rPr>
          <w:rFonts w:ascii="Arial" w:eastAsia="Arial" w:hAnsi="Arial" w:cs="Arial"/>
          <w:color w:val="030303"/>
          <w:sz w:val="21"/>
          <w:szCs w:val="21"/>
          <w:lang w:val="en-ZA" w:eastAsia="en-ZA"/>
        </w:rPr>
        <w:t>conclusion</w:t>
      </w:r>
      <w:r w:rsidRPr="00BB5C77">
        <w:rPr>
          <w:rFonts w:ascii="Arial" w:eastAsia="Arial" w:hAnsi="Arial" w:cs="Arial"/>
          <w:color w:val="030303"/>
          <w:spacing w:val="39"/>
          <w:sz w:val="21"/>
          <w:szCs w:val="21"/>
          <w:lang w:val="en-ZA" w:eastAsia="en-ZA"/>
        </w:rPr>
        <w:t xml:space="preserve"> </w:t>
      </w:r>
      <w:r w:rsidRPr="00BB5C77">
        <w:rPr>
          <w:rFonts w:ascii="Arial" w:eastAsia="Arial" w:hAnsi="Arial" w:cs="Arial"/>
          <w:color w:val="030303"/>
          <w:w w:val="105"/>
          <w:sz w:val="21"/>
          <w:szCs w:val="21"/>
          <w:lang w:val="en-ZA" w:eastAsia="en-ZA"/>
        </w:rPr>
        <w:t>thereon.</w:t>
      </w:r>
    </w:p>
    <w:p w14:paraId="6A1B6E11" w14:textId="77777777" w:rsidR="00BB5C77" w:rsidRPr="00BB5C77" w:rsidRDefault="00BB5C77" w:rsidP="00BB5C77">
      <w:pPr>
        <w:spacing w:before="1" w:after="0" w:line="240" w:lineRule="exact"/>
        <w:jc w:val="both"/>
        <w:rPr>
          <w:rFonts w:eastAsia="Times New Roman" w:cs="Times New Roman"/>
          <w:sz w:val="24"/>
          <w:szCs w:val="24"/>
          <w:lang w:val="en-ZA" w:eastAsia="en-ZA"/>
        </w:rPr>
      </w:pPr>
    </w:p>
    <w:p w14:paraId="395A7F15" w14:textId="77777777" w:rsidR="00BB5C77" w:rsidRPr="00BB5C77" w:rsidRDefault="00BB5C77" w:rsidP="00BB5C77">
      <w:pPr>
        <w:spacing w:after="0" w:line="249" w:lineRule="auto"/>
        <w:ind w:left="587" w:right="253" w:hanging="345"/>
        <w:jc w:val="both"/>
        <w:rPr>
          <w:rFonts w:ascii="Arial" w:eastAsia="Arial" w:hAnsi="Arial" w:cs="Arial"/>
          <w:sz w:val="21"/>
          <w:szCs w:val="21"/>
          <w:lang w:val="en-ZA" w:eastAsia="en-ZA"/>
        </w:rPr>
      </w:pPr>
      <w:r w:rsidRPr="00BB5C77">
        <w:rPr>
          <w:rFonts w:ascii="Arial" w:eastAsia="Arial" w:hAnsi="Arial" w:cs="Arial"/>
          <w:color w:val="030303"/>
          <w:sz w:val="21"/>
          <w:szCs w:val="21"/>
          <w:lang w:val="en-ZA" w:eastAsia="en-ZA"/>
        </w:rPr>
        <w:t>29.</w:t>
      </w:r>
      <w:r w:rsidRPr="00BB5C77">
        <w:rPr>
          <w:rFonts w:ascii="Arial" w:eastAsia="Arial" w:hAnsi="Arial" w:cs="Arial"/>
          <w:color w:val="030303"/>
          <w:spacing w:val="-4"/>
          <w:sz w:val="21"/>
          <w:szCs w:val="21"/>
          <w:lang w:val="en-ZA" w:eastAsia="en-ZA"/>
        </w:rPr>
        <w:t xml:space="preserve"> </w:t>
      </w:r>
      <w:r w:rsidRPr="00BB5C77">
        <w:rPr>
          <w:rFonts w:ascii="Arial" w:eastAsia="Arial" w:hAnsi="Arial" w:cs="Arial"/>
          <w:color w:val="030303"/>
          <w:sz w:val="21"/>
          <w:szCs w:val="21"/>
          <w:lang w:val="en-ZA" w:eastAsia="en-ZA"/>
        </w:rPr>
        <w:t>In</w:t>
      </w:r>
      <w:r w:rsidRPr="00BB5C77">
        <w:rPr>
          <w:rFonts w:ascii="Arial" w:eastAsia="Arial" w:hAnsi="Arial" w:cs="Arial"/>
          <w:color w:val="030303"/>
          <w:spacing w:val="3"/>
          <w:sz w:val="21"/>
          <w:szCs w:val="21"/>
          <w:lang w:val="en-ZA" w:eastAsia="en-ZA"/>
        </w:rPr>
        <w:t xml:space="preserve"> </w:t>
      </w:r>
      <w:r w:rsidRPr="00BB5C77">
        <w:rPr>
          <w:rFonts w:ascii="Arial" w:eastAsia="Arial" w:hAnsi="Arial" w:cs="Arial"/>
          <w:color w:val="030303"/>
          <w:sz w:val="21"/>
          <w:szCs w:val="21"/>
          <w:lang w:val="en-ZA" w:eastAsia="en-ZA"/>
        </w:rPr>
        <w:t>connection</w:t>
      </w:r>
      <w:r w:rsidRPr="00BB5C77">
        <w:rPr>
          <w:rFonts w:ascii="Arial" w:eastAsia="Arial" w:hAnsi="Arial" w:cs="Arial"/>
          <w:color w:val="030303"/>
          <w:spacing w:val="46"/>
          <w:sz w:val="21"/>
          <w:szCs w:val="21"/>
          <w:lang w:val="en-ZA" w:eastAsia="en-ZA"/>
        </w:rPr>
        <w:t xml:space="preserve"> </w:t>
      </w:r>
      <w:r w:rsidRPr="00BB5C77">
        <w:rPr>
          <w:rFonts w:ascii="Arial" w:eastAsia="Arial" w:hAnsi="Arial" w:cs="Arial"/>
          <w:color w:val="030303"/>
          <w:sz w:val="21"/>
          <w:szCs w:val="21"/>
          <w:lang w:val="en-ZA" w:eastAsia="en-ZA"/>
        </w:rPr>
        <w:t>with</w:t>
      </w:r>
      <w:r w:rsidRPr="00BB5C77">
        <w:rPr>
          <w:rFonts w:ascii="Arial" w:eastAsia="Arial" w:hAnsi="Arial" w:cs="Arial"/>
          <w:color w:val="030303"/>
          <w:spacing w:val="6"/>
          <w:sz w:val="21"/>
          <w:szCs w:val="21"/>
          <w:lang w:val="en-ZA" w:eastAsia="en-ZA"/>
        </w:rPr>
        <w:t xml:space="preserve"> </w:t>
      </w:r>
      <w:r w:rsidRPr="00BB5C77">
        <w:rPr>
          <w:rFonts w:ascii="Arial" w:eastAsia="Arial" w:hAnsi="Arial" w:cs="Arial"/>
          <w:color w:val="030303"/>
          <w:sz w:val="21"/>
          <w:szCs w:val="21"/>
          <w:lang w:val="en-ZA" w:eastAsia="en-ZA"/>
        </w:rPr>
        <w:t>my</w:t>
      </w:r>
      <w:r w:rsidRPr="00BB5C77">
        <w:rPr>
          <w:rFonts w:ascii="Arial" w:eastAsia="Arial" w:hAnsi="Arial" w:cs="Arial"/>
          <w:color w:val="030303"/>
          <w:spacing w:val="27"/>
          <w:sz w:val="21"/>
          <w:szCs w:val="21"/>
          <w:lang w:val="en-ZA" w:eastAsia="en-ZA"/>
        </w:rPr>
        <w:t xml:space="preserve"> </w:t>
      </w:r>
      <w:r w:rsidRPr="00BB5C77">
        <w:rPr>
          <w:rFonts w:ascii="Arial" w:eastAsia="Arial" w:hAnsi="Arial" w:cs="Arial"/>
          <w:color w:val="030303"/>
          <w:sz w:val="21"/>
          <w:szCs w:val="21"/>
          <w:lang w:val="en-ZA" w:eastAsia="en-ZA"/>
        </w:rPr>
        <w:t>audit,</w:t>
      </w:r>
      <w:r w:rsidRPr="00BB5C77">
        <w:rPr>
          <w:rFonts w:ascii="Arial" w:eastAsia="Arial" w:hAnsi="Arial" w:cs="Arial"/>
          <w:color w:val="030303"/>
          <w:spacing w:val="2"/>
          <w:sz w:val="21"/>
          <w:szCs w:val="21"/>
          <w:lang w:val="en-ZA" w:eastAsia="en-ZA"/>
        </w:rPr>
        <w:t xml:space="preserve"> </w:t>
      </w:r>
      <w:r w:rsidRPr="00BB5C77">
        <w:rPr>
          <w:rFonts w:ascii="Arial" w:eastAsia="Arial" w:hAnsi="Arial" w:cs="Arial"/>
          <w:color w:val="030303"/>
          <w:sz w:val="21"/>
          <w:szCs w:val="21"/>
          <w:lang w:val="en-ZA" w:eastAsia="en-ZA"/>
        </w:rPr>
        <w:t>my</w:t>
      </w:r>
      <w:r w:rsidRPr="00BB5C77">
        <w:rPr>
          <w:rFonts w:ascii="Arial" w:eastAsia="Arial" w:hAnsi="Arial" w:cs="Arial"/>
          <w:color w:val="030303"/>
          <w:spacing w:val="7"/>
          <w:sz w:val="21"/>
          <w:szCs w:val="21"/>
          <w:lang w:val="en-ZA" w:eastAsia="en-ZA"/>
        </w:rPr>
        <w:t xml:space="preserve"> </w:t>
      </w:r>
      <w:r w:rsidRPr="00BB5C77">
        <w:rPr>
          <w:rFonts w:ascii="Arial" w:eastAsia="Arial" w:hAnsi="Arial" w:cs="Arial"/>
          <w:color w:val="030303"/>
          <w:sz w:val="21"/>
          <w:szCs w:val="21"/>
          <w:lang w:val="en-ZA" w:eastAsia="en-ZA"/>
        </w:rPr>
        <w:t>responsibility</w:t>
      </w:r>
      <w:r w:rsidRPr="00BB5C77">
        <w:rPr>
          <w:rFonts w:ascii="Arial" w:eastAsia="Arial" w:hAnsi="Arial" w:cs="Arial"/>
          <w:color w:val="030303"/>
          <w:spacing w:val="52"/>
          <w:sz w:val="21"/>
          <w:szCs w:val="21"/>
          <w:lang w:val="en-ZA" w:eastAsia="en-ZA"/>
        </w:rPr>
        <w:t xml:space="preserve"> </w:t>
      </w:r>
      <w:r w:rsidRPr="00BB5C77">
        <w:rPr>
          <w:rFonts w:ascii="Arial" w:eastAsia="Arial" w:hAnsi="Arial" w:cs="Arial"/>
          <w:color w:val="030303"/>
          <w:sz w:val="21"/>
          <w:szCs w:val="21"/>
          <w:lang w:val="en-ZA" w:eastAsia="en-ZA"/>
        </w:rPr>
        <w:t>is</w:t>
      </w:r>
      <w:r w:rsidRPr="00BB5C77">
        <w:rPr>
          <w:rFonts w:ascii="Arial" w:eastAsia="Arial" w:hAnsi="Arial" w:cs="Arial"/>
          <w:color w:val="030303"/>
          <w:spacing w:val="16"/>
          <w:sz w:val="21"/>
          <w:szCs w:val="21"/>
          <w:lang w:val="en-ZA" w:eastAsia="en-ZA"/>
        </w:rPr>
        <w:t xml:space="preserve"> </w:t>
      </w:r>
      <w:r w:rsidRPr="00BB5C77">
        <w:rPr>
          <w:rFonts w:ascii="Arial" w:eastAsia="Arial" w:hAnsi="Arial" w:cs="Arial"/>
          <w:color w:val="030303"/>
          <w:sz w:val="21"/>
          <w:szCs w:val="21"/>
          <w:lang w:val="en-ZA" w:eastAsia="en-ZA"/>
        </w:rPr>
        <w:t>to</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read</w:t>
      </w:r>
      <w:r w:rsidRPr="00BB5C77">
        <w:rPr>
          <w:rFonts w:ascii="Arial" w:eastAsia="Arial" w:hAnsi="Arial" w:cs="Arial"/>
          <w:color w:val="030303"/>
          <w:spacing w:val="18"/>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7"/>
          <w:sz w:val="21"/>
          <w:szCs w:val="21"/>
          <w:lang w:val="en-ZA" w:eastAsia="en-ZA"/>
        </w:rPr>
        <w:t xml:space="preserve"> </w:t>
      </w:r>
      <w:r w:rsidRPr="00BB5C77">
        <w:rPr>
          <w:rFonts w:ascii="Arial" w:eastAsia="Arial" w:hAnsi="Arial" w:cs="Arial"/>
          <w:color w:val="030303"/>
          <w:sz w:val="21"/>
          <w:szCs w:val="21"/>
          <w:lang w:val="en-ZA" w:eastAsia="en-ZA"/>
        </w:rPr>
        <w:t>other</w:t>
      </w:r>
      <w:r w:rsidRPr="00BB5C77">
        <w:rPr>
          <w:rFonts w:ascii="Arial" w:eastAsia="Arial" w:hAnsi="Arial" w:cs="Arial"/>
          <w:color w:val="030303"/>
          <w:spacing w:val="9"/>
          <w:sz w:val="21"/>
          <w:szCs w:val="21"/>
          <w:lang w:val="en-ZA" w:eastAsia="en-ZA"/>
        </w:rPr>
        <w:t xml:space="preserve"> </w:t>
      </w:r>
      <w:r w:rsidRPr="00BB5C77">
        <w:rPr>
          <w:rFonts w:ascii="Arial" w:eastAsia="Arial" w:hAnsi="Arial" w:cs="Arial"/>
          <w:color w:val="030303"/>
          <w:sz w:val="21"/>
          <w:szCs w:val="21"/>
          <w:lang w:val="en-ZA" w:eastAsia="en-ZA"/>
        </w:rPr>
        <w:t>information</w:t>
      </w:r>
      <w:r w:rsidRPr="00BB5C77">
        <w:rPr>
          <w:rFonts w:ascii="Arial" w:eastAsia="Arial" w:hAnsi="Arial" w:cs="Arial"/>
          <w:color w:val="030303"/>
          <w:spacing w:val="45"/>
          <w:sz w:val="21"/>
          <w:szCs w:val="21"/>
          <w:lang w:val="en-ZA" w:eastAsia="en-ZA"/>
        </w:rPr>
        <w:t xml:space="preserve"> </w:t>
      </w:r>
      <w:r w:rsidRPr="00BB5C77">
        <w:rPr>
          <w:rFonts w:ascii="Arial" w:eastAsia="Arial" w:hAnsi="Arial" w:cs="Arial"/>
          <w:color w:val="030303"/>
          <w:sz w:val="21"/>
          <w:szCs w:val="21"/>
          <w:lang w:val="en-ZA" w:eastAsia="en-ZA"/>
        </w:rPr>
        <w:t>and,</w:t>
      </w:r>
      <w:r w:rsidRPr="00BB5C77">
        <w:rPr>
          <w:rFonts w:ascii="Arial" w:eastAsia="Arial" w:hAnsi="Arial" w:cs="Arial"/>
          <w:color w:val="030303"/>
          <w:spacing w:val="9"/>
          <w:sz w:val="21"/>
          <w:szCs w:val="21"/>
          <w:lang w:val="en-ZA" w:eastAsia="en-ZA"/>
        </w:rPr>
        <w:t xml:space="preserve"> </w:t>
      </w:r>
      <w:r w:rsidRPr="00BB5C77">
        <w:rPr>
          <w:rFonts w:ascii="Arial" w:eastAsia="Arial" w:hAnsi="Arial" w:cs="Arial"/>
          <w:color w:val="030303"/>
          <w:w w:val="106"/>
          <w:sz w:val="21"/>
          <w:szCs w:val="21"/>
          <w:lang w:val="en-ZA" w:eastAsia="en-ZA"/>
        </w:rPr>
        <w:t xml:space="preserve">in </w:t>
      </w:r>
      <w:r w:rsidRPr="00BB5C77">
        <w:rPr>
          <w:rFonts w:ascii="Arial" w:eastAsia="Arial" w:hAnsi="Arial" w:cs="Arial"/>
          <w:color w:val="030303"/>
          <w:sz w:val="21"/>
          <w:szCs w:val="21"/>
          <w:lang w:val="en-ZA" w:eastAsia="en-ZA"/>
        </w:rPr>
        <w:t>doing</w:t>
      </w:r>
      <w:r w:rsidRPr="00BB5C77">
        <w:rPr>
          <w:rFonts w:ascii="Arial" w:eastAsia="Arial" w:hAnsi="Arial" w:cs="Arial"/>
          <w:color w:val="030303"/>
          <w:spacing w:val="32"/>
          <w:sz w:val="21"/>
          <w:szCs w:val="21"/>
          <w:lang w:val="en-ZA" w:eastAsia="en-ZA"/>
        </w:rPr>
        <w:t xml:space="preserve"> </w:t>
      </w:r>
      <w:r w:rsidRPr="00BB5C77">
        <w:rPr>
          <w:rFonts w:ascii="Arial" w:eastAsia="Arial" w:hAnsi="Arial" w:cs="Arial"/>
          <w:color w:val="030303"/>
          <w:sz w:val="21"/>
          <w:szCs w:val="21"/>
          <w:lang w:val="en-ZA" w:eastAsia="en-ZA"/>
        </w:rPr>
        <w:t>so,</w:t>
      </w:r>
      <w:r w:rsidRPr="00BB5C77">
        <w:rPr>
          <w:rFonts w:ascii="Arial" w:eastAsia="Arial" w:hAnsi="Arial" w:cs="Arial"/>
          <w:color w:val="030303"/>
          <w:spacing w:val="-17"/>
          <w:sz w:val="21"/>
          <w:szCs w:val="21"/>
          <w:lang w:val="en-ZA" w:eastAsia="en-ZA"/>
        </w:rPr>
        <w:t xml:space="preserve"> </w:t>
      </w:r>
      <w:r w:rsidRPr="00BB5C77">
        <w:rPr>
          <w:rFonts w:ascii="Arial" w:eastAsia="Arial" w:hAnsi="Arial" w:cs="Arial"/>
          <w:color w:val="030303"/>
          <w:sz w:val="21"/>
          <w:szCs w:val="21"/>
          <w:lang w:val="en-ZA" w:eastAsia="en-ZA"/>
        </w:rPr>
        <w:t>consider</w:t>
      </w:r>
      <w:r w:rsidRPr="00BB5C77">
        <w:rPr>
          <w:rFonts w:ascii="Arial" w:eastAsia="Arial" w:hAnsi="Arial" w:cs="Arial"/>
          <w:color w:val="030303"/>
          <w:spacing w:val="47"/>
          <w:sz w:val="21"/>
          <w:szCs w:val="21"/>
          <w:lang w:val="en-ZA" w:eastAsia="en-ZA"/>
        </w:rPr>
        <w:t xml:space="preserve"> </w:t>
      </w:r>
      <w:r w:rsidRPr="00BB5C77">
        <w:rPr>
          <w:rFonts w:ascii="Arial" w:eastAsia="Arial" w:hAnsi="Arial" w:cs="Arial"/>
          <w:color w:val="030303"/>
          <w:sz w:val="21"/>
          <w:szCs w:val="21"/>
          <w:lang w:val="en-ZA" w:eastAsia="en-ZA"/>
        </w:rPr>
        <w:t>whether</w:t>
      </w:r>
      <w:r w:rsidRPr="00BB5C77">
        <w:rPr>
          <w:rFonts w:ascii="Arial" w:eastAsia="Arial" w:hAnsi="Arial" w:cs="Arial"/>
          <w:color w:val="030303"/>
          <w:spacing w:val="28"/>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7"/>
          <w:sz w:val="21"/>
          <w:szCs w:val="21"/>
          <w:lang w:val="en-ZA" w:eastAsia="en-ZA"/>
        </w:rPr>
        <w:t xml:space="preserve"> </w:t>
      </w:r>
      <w:r w:rsidRPr="00BB5C77">
        <w:rPr>
          <w:rFonts w:ascii="Arial" w:eastAsia="Arial" w:hAnsi="Arial" w:cs="Arial"/>
          <w:color w:val="030303"/>
          <w:sz w:val="21"/>
          <w:szCs w:val="21"/>
          <w:lang w:val="en-ZA" w:eastAsia="en-ZA"/>
        </w:rPr>
        <w:t>other</w:t>
      </w:r>
      <w:r w:rsidRPr="00BB5C77">
        <w:rPr>
          <w:rFonts w:ascii="Arial" w:eastAsia="Arial" w:hAnsi="Arial" w:cs="Arial"/>
          <w:color w:val="030303"/>
          <w:spacing w:val="9"/>
          <w:sz w:val="21"/>
          <w:szCs w:val="21"/>
          <w:lang w:val="en-ZA" w:eastAsia="en-ZA"/>
        </w:rPr>
        <w:t xml:space="preserve"> </w:t>
      </w:r>
      <w:r w:rsidRPr="00BB5C77">
        <w:rPr>
          <w:rFonts w:ascii="Arial" w:eastAsia="Arial" w:hAnsi="Arial" w:cs="Arial"/>
          <w:color w:val="030303"/>
          <w:sz w:val="21"/>
          <w:szCs w:val="21"/>
          <w:lang w:val="en-ZA" w:eastAsia="en-ZA"/>
        </w:rPr>
        <w:t>information  is</w:t>
      </w:r>
      <w:r w:rsidRPr="00BB5C77">
        <w:rPr>
          <w:rFonts w:ascii="Arial" w:eastAsia="Arial" w:hAnsi="Arial" w:cs="Arial"/>
          <w:color w:val="030303"/>
          <w:spacing w:val="7"/>
          <w:sz w:val="21"/>
          <w:szCs w:val="21"/>
          <w:lang w:val="en-ZA" w:eastAsia="en-ZA"/>
        </w:rPr>
        <w:t xml:space="preserve"> </w:t>
      </w:r>
      <w:r w:rsidRPr="00BB5C77">
        <w:rPr>
          <w:rFonts w:ascii="Arial" w:eastAsia="Arial" w:hAnsi="Arial" w:cs="Arial"/>
          <w:color w:val="030303"/>
          <w:sz w:val="21"/>
          <w:szCs w:val="21"/>
          <w:lang w:val="en-ZA" w:eastAsia="en-ZA"/>
        </w:rPr>
        <w:t>materially</w:t>
      </w:r>
      <w:r w:rsidRPr="00BB5C77">
        <w:rPr>
          <w:rFonts w:ascii="Arial" w:eastAsia="Arial" w:hAnsi="Arial" w:cs="Arial"/>
          <w:color w:val="030303"/>
          <w:spacing w:val="43"/>
          <w:sz w:val="21"/>
          <w:szCs w:val="21"/>
          <w:lang w:val="en-ZA" w:eastAsia="en-ZA"/>
        </w:rPr>
        <w:t xml:space="preserve"> </w:t>
      </w:r>
      <w:r w:rsidRPr="00BB5C77">
        <w:rPr>
          <w:rFonts w:ascii="Arial" w:eastAsia="Arial" w:hAnsi="Arial" w:cs="Arial"/>
          <w:color w:val="030303"/>
          <w:sz w:val="21"/>
          <w:szCs w:val="21"/>
          <w:lang w:val="en-ZA" w:eastAsia="en-ZA"/>
        </w:rPr>
        <w:t>inconsistent</w:t>
      </w:r>
      <w:r w:rsidRPr="00BB5C77">
        <w:rPr>
          <w:rFonts w:ascii="Arial" w:eastAsia="Arial" w:hAnsi="Arial" w:cs="Arial"/>
          <w:color w:val="030303"/>
          <w:spacing w:val="39"/>
          <w:sz w:val="21"/>
          <w:szCs w:val="21"/>
          <w:lang w:val="en-ZA" w:eastAsia="en-ZA"/>
        </w:rPr>
        <w:t xml:space="preserve"> </w:t>
      </w:r>
      <w:r w:rsidRPr="00BB5C77">
        <w:rPr>
          <w:rFonts w:ascii="Arial" w:eastAsia="Arial" w:hAnsi="Arial" w:cs="Arial"/>
          <w:color w:val="030303"/>
          <w:sz w:val="21"/>
          <w:szCs w:val="21"/>
          <w:lang w:val="en-ZA" w:eastAsia="en-ZA"/>
        </w:rPr>
        <w:t>with</w:t>
      </w:r>
      <w:r w:rsidRPr="00BB5C77">
        <w:rPr>
          <w:rFonts w:ascii="Arial" w:eastAsia="Arial" w:hAnsi="Arial" w:cs="Arial"/>
          <w:color w:val="030303"/>
          <w:spacing w:val="18"/>
          <w:sz w:val="21"/>
          <w:szCs w:val="21"/>
          <w:lang w:val="en-ZA" w:eastAsia="en-ZA"/>
        </w:rPr>
        <w:t xml:space="preserve"> </w:t>
      </w:r>
      <w:r w:rsidRPr="00BB5C77">
        <w:rPr>
          <w:rFonts w:ascii="Arial" w:eastAsia="Arial" w:hAnsi="Arial" w:cs="Arial"/>
          <w:color w:val="030303"/>
          <w:w w:val="107"/>
          <w:sz w:val="21"/>
          <w:szCs w:val="21"/>
          <w:lang w:val="en-ZA" w:eastAsia="en-ZA"/>
        </w:rPr>
        <w:t xml:space="preserve">the </w:t>
      </w:r>
      <w:r w:rsidRPr="00BB5C77">
        <w:rPr>
          <w:rFonts w:ascii="Arial" w:eastAsia="Arial" w:hAnsi="Arial" w:cs="Arial"/>
          <w:color w:val="030303"/>
          <w:sz w:val="21"/>
          <w:szCs w:val="21"/>
          <w:lang w:val="en-ZA" w:eastAsia="en-ZA"/>
        </w:rPr>
        <w:t>financial</w:t>
      </w:r>
      <w:r w:rsidRPr="00BB5C77">
        <w:rPr>
          <w:rFonts w:ascii="Arial" w:eastAsia="Arial" w:hAnsi="Arial" w:cs="Arial"/>
          <w:color w:val="030303"/>
          <w:spacing w:val="24"/>
          <w:sz w:val="21"/>
          <w:szCs w:val="21"/>
          <w:lang w:val="en-ZA" w:eastAsia="en-ZA"/>
        </w:rPr>
        <w:t xml:space="preserve"> </w:t>
      </w:r>
      <w:r w:rsidRPr="00BB5C77">
        <w:rPr>
          <w:rFonts w:ascii="Arial" w:eastAsia="Arial" w:hAnsi="Arial" w:cs="Arial"/>
          <w:color w:val="030303"/>
          <w:sz w:val="21"/>
          <w:szCs w:val="21"/>
          <w:lang w:val="en-ZA" w:eastAsia="en-ZA"/>
        </w:rPr>
        <w:t>statements</w:t>
      </w:r>
      <w:r w:rsidRPr="00BB5C77">
        <w:rPr>
          <w:rFonts w:ascii="Arial" w:eastAsia="Arial" w:hAnsi="Arial" w:cs="Arial"/>
          <w:color w:val="030303"/>
          <w:spacing w:val="57"/>
          <w:sz w:val="21"/>
          <w:szCs w:val="21"/>
          <w:lang w:val="en-ZA" w:eastAsia="en-ZA"/>
        </w:rPr>
        <w:t xml:space="preserve"> </w:t>
      </w:r>
      <w:r w:rsidRPr="00BB5C77">
        <w:rPr>
          <w:rFonts w:ascii="Arial" w:eastAsia="Arial" w:hAnsi="Arial" w:cs="Arial"/>
          <w:color w:val="030303"/>
          <w:sz w:val="21"/>
          <w:szCs w:val="21"/>
          <w:lang w:val="en-ZA" w:eastAsia="en-ZA"/>
        </w:rPr>
        <w:t>and</w:t>
      </w:r>
      <w:r w:rsidRPr="00BB5C77">
        <w:rPr>
          <w:rFonts w:ascii="Arial" w:eastAsia="Arial" w:hAnsi="Arial" w:cs="Arial"/>
          <w:color w:val="030303"/>
          <w:spacing w:val="12"/>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7"/>
          <w:sz w:val="21"/>
          <w:szCs w:val="21"/>
          <w:lang w:val="en-ZA" w:eastAsia="en-ZA"/>
        </w:rPr>
        <w:t xml:space="preserve"> </w:t>
      </w:r>
      <w:r w:rsidRPr="00BB5C77">
        <w:rPr>
          <w:rFonts w:ascii="Arial" w:eastAsia="Arial" w:hAnsi="Arial" w:cs="Arial"/>
          <w:color w:val="030303"/>
          <w:sz w:val="21"/>
          <w:szCs w:val="21"/>
          <w:lang w:val="en-ZA" w:eastAsia="en-ZA"/>
        </w:rPr>
        <w:t>selected</w:t>
      </w:r>
      <w:r w:rsidRPr="00BB5C77">
        <w:rPr>
          <w:rFonts w:ascii="Arial" w:eastAsia="Arial" w:hAnsi="Arial" w:cs="Arial"/>
          <w:color w:val="030303"/>
          <w:spacing w:val="27"/>
          <w:sz w:val="21"/>
          <w:szCs w:val="21"/>
          <w:lang w:val="en-ZA" w:eastAsia="en-ZA"/>
        </w:rPr>
        <w:t xml:space="preserve"> </w:t>
      </w:r>
      <w:r w:rsidRPr="00BB5C77">
        <w:rPr>
          <w:rFonts w:ascii="Arial" w:eastAsia="Arial" w:hAnsi="Arial" w:cs="Arial"/>
          <w:color w:val="030303"/>
          <w:w w:val="105"/>
          <w:sz w:val="21"/>
          <w:szCs w:val="21"/>
          <w:lang w:val="en-ZA" w:eastAsia="en-ZA"/>
        </w:rPr>
        <w:t>development</w:t>
      </w:r>
      <w:r w:rsidRPr="00BB5C77">
        <w:rPr>
          <w:rFonts w:ascii="Arial" w:eastAsia="Arial" w:hAnsi="Arial" w:cs="Arial"/>
          <w:color w:val="030303"/>
          <w:spacing w:val="7"/>
          <w:w w:val="105"/>
          <w:sz w:val="21"/>
          <w:szCs w:val="21"/>
          <w:lang w:val="en-ZA" w:eastAsia="en-ZA"/>
        </w:rPr>
        <w:t xml:space="preserve"> </w:t>
      </w:r>
      <w:r w:rsidRPr="00BB5C77">
        <w:rPr>
          <w:rFonts w:ascii="Arial" w:eastAsia="Arial" w:hAnsi="Arial" w:cs="Arial"/>
          <w:color w:val="030303"/>
          <w:sz w:val="21"/>
          <w:szCs w:val="21"/>
          <w:lang w:val="en-ZA" w:eastAsia="en-ZA"/>
        </w:rPr>
        <w:t>priority</w:t>
      </w:r>
      <w:r w:rsidRPr="00BB5C77">
        <w:rPr>
          <w:rFonts w:ascii="Arial" w:eastAsia="Arial" w:hAnsi="Arial" w:cs="Arial"/>
          <w:color w:val="030303"/>
          <w:spacing w:val="23"/>
          <w:sz w:val="21"/>
          <w:szCs w:val="21"/>
          <w:lang w:val="en-ZA" w:eastAsia="en-ZA"/>
        </w:rPr>
        <w:t xml:space="preserve"> </w:t>
      </w:r>
      <w:r w:rsidRPr="00BB5C77">
        <w:rPr>
          <w:rFonts w:ascii="Arial" w:eastAsia="Arial" w:hAnsi="Arial" w:cs="Arial"/>
          <w:color w:val="030303"/>
          <w:sz w:val="21"/>
          <w:szCs w:val="21"/>
          <w:lang w:val="en-ZA" w:eastAsia="en-ZA"/>
        </w:rPr>
        <w:t>presented</w:t>
      </w:r>
      <w:r w:rsidRPr="00BB5C77">
        <w:rPr>
          <w:rFonts w:ascii="Arial" w:eastAsia="Arial" w:hAnsi="Arial" w:cs="Arial"/>
          <w:color w:val="030303"/>
          <w:spacing w:val="37"/>
          <w:sz w:val="21"/>
          <w:szCs w:val="21"/>
          <w:lang w:val="en-ZA" w:eastAsia="en-ZA"/>
        </w:rPr>
        <w:t xml:space="preserve"> </w:t>
      </w:r>
      <w:r w:rsidRPr="00BB5C77">
        <w:rPr>
          <w:rFonts w:ascii="Arial" w:eastAsia="Arial" w:hAnsi="Arial" w:cs="Arial"/>
          <w:color w:val="030303"/>
          <w:sz w:val="21"/>
          <w:szCs w:val="21"/>
          <w:lang w:val="en-ZA" w:eastAsia="en-ZA"/>
        </w:rPr>
        <w:t>in</w:t>
      </w:r>
      <w:r w:rsidRPr="00BB5C77">
        <w:rPr>
          <w:rFonts w:ascii="Arial" w:eastAsia="Arial" w:hAnsi="Arial" w:cs="Arial"/>
          <w:color w:val="030303"/>
          <w:spacing w:val="16"/>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
          <w:sz w:val="21"/>
          <w:szCs w:val="21"/>
          <w:lang w:val="en-ZA" w:eastAsia="en-ZA"/>
        </w:rPr>
        <w:t xml:space="preserve"> </w:t>
      </w:r>
      <w:r w:rsidRPr="00BB5C77">
        <w:rPr>
          <w:rFonts w:ascii="Arial" w:eastAsia="Arial" w:hAnsi="Arial" w:cs="Arial"/>
          <w:color w:val="030303"/>
          <w:w w:val="109"/>
          <w:sz w:val="21"/>
          <w:szCs w:val="21"/>
          <w:lang w:val="en-ZA" w:eastAsia="en-ZA"/>
        </w:rPr>
        <w:t xml:space="preserve">annual </w:t>
      </w:r>
      <w:r w:rsidRPr="00BB5C77">
        <w:rPr>
          <w:rFonts w:ascii="Arial" w:eastAsia="Arial" w:hAnsi="Arial" w:cs="Arial"/>
          <w:color w:val="030303"/>
          <w:sz w:val="21"/>
          <w:szCs w:val="21"/>
          <w:lang w:val="en-ZA" w:eastAsia="en-ZA"/>
        </w:rPr>
        <w:t>performance</w:t>
      </w:r>
      <w:r w:rsidRPr="00BB5C77">
        <w:rPr>
          <w:rFonts w:ascii="Arial" w:eastAsia="Arial" w:hAnsi="Arial" w:cs="Arial"/>
          <w:color w:val="030303"/>
          <w:spacing w:val="48"/>
          <w:sz w:val="21"/>
          <w:szCs w:val="21"/>
          <w:lang w:val="en-ZA" w:eastAsia="en-ZA"/>
        </w:rPr>
        <w:t xml:space="preserve"> </w:t>
      </w:r>
      <w:r w:rsidRPr="00BB5C77">
        <w:rPr>
          <w:rFonts w:ascii="Arial" w:eastAsia="Arial" w:hAnsi="Arial" w:cs="Arial"/>
          <w:color w:val="030303"/>
          <w:sz w:val="21"/>
          <w:szCs w:val="21"/>
          <w:lang w:val="en-ZA" w:eastAsia="en-ZA"/>
        </w:rPr>
        <w:t>report,</w:t>
      </w:r>
      <w:r w:rsidRPr="00BB5C77">
        <w:rPr>
          <w:rFonts w:ascii="Arial" w:eastAsia="Arial" w:hAnsi="Arial" w:cs="Arial"/>
          <w:color w:val="030303"/>
          <w:spacing w:val="34"/>
          <w:sz w:val="21"/>
          <w:szCs w:val="21"/>
          <w:lang w:val="en-ZA" w:eastAsia="en-ZA"/>
        </w:rPr>
        <w:t xml:space="preserve"> </w:t>
      </w:r>
      <w:r w:rsidRPr="00BB5C77">
        <w:rPr>
          <w:rFonts w:ascii="Arial" w:eastAsia="Arial" w:hAnsi="Arial" w:cs="Arial"/>
          <w:color w:val="030303"/>
          <w:sz w:val="21"/>
          <w:szCs w:val="21"/>
          <w:lang w:val="en-ZA" w:eastAsia="en-ZA"/>
        </w:rPr>
        <w:t>or</w:t>
      </w:r>
      <w:r w:rsidRPr="00BB5C77">
        <w:rPr>
          <w:rFonts w:ascii="Arial" w:eastAsia="Arial" w:hAnsi="Arial" w:cs="Arial"/>
          <w:color w:val="030303"/>
          <w:spacing w:val="5"/>
          <w:sz w:val="21"/>
          <w:szCs w:val="21"/>
          <w:lang w:val="en-ZA" w:eastAsia="en-ZA"/>
        </w:rPr>
        <w:t xml:space="preserve"> </w:t>
      </w:r>
      <w:r w:rsidRPr="00BB5C77">
        <w:rPr>
          <w:rFonts w:ascii="Arial" w:eastAsia="Arial" w:hAnsi="Arial" w:cs="Arial"/>
          <w:color w:val="030303"/>
          <w:sz w:val="21"/>
          <w:szCs w:val="21"/>
          <w:lang w:val="en-ZA" w:eastAsia="en-ZA"/>
        </w:rPr>
        <w:t>my</w:t>
      </w:r>
      <w:r w:rsidRPr="00BB5C77">
        <w:rPr>
          <w:rFonts w:ascii="Arial" w:eastAsia="Arial" w:hAnsi="Arial" w:cs="Arial"/>
          <w:color w:val="030303"/>
          <w:spacing w:val="21"/>
          <w:sz w:val="21"/>
          <w:szCs w:val="21"/>
          <w:lang w:val="en-ZA" w:eastAsia="en-ZA"/>
        </w:rPr>
        <w:t xml:space="preserve"> </w:t>
      </w:r>
      <w:r w:rsidRPr="00BB5C77">
        <w:rPr>
          <w:rFonts w:ascii="Arial" w:eastAsia="Arial" w:hAnsi="Arial" w:cs="Arial"/>
          <w:color w:val="030303"/>
          <w:sz w:val="21"/>
          <w:szCs w:val="21"/>
          <w:lang w:val="en-ZA" w:eastAsia="en-ZA"/>
        </w:rPr>
        <w:t>knowledge</w:t>
      </w:r>
      <w:r w:rsidRPr="00BB5C77">
        <w:rPr>
          <w:rFonts w:ascii="Arial" w:eastAsia="Arial" w:hAnsi="Arial" w:cs="Arial"/>
          <w:color w:val="030303"/>
          <w:spacing w:val="37"/>
          <w:sz w:val="21"/>
          <w:szCs w:val="21"/>
          <w:lang w:val="en-ZA" w:eastAsia="en-ZA"/>
        </w:rPr>
        <w:t xml:space="preserve"> </w:t>
      </w:r>
      <w:r w:rsidRPr="00BB5C77">
        <w:rPr>
          <w:rFonts w:ascii="Arial" w:eastAsia="Arial" w:hAnsi="Arial" w:cs="Arial"/>
          <w:color w:val="030303"/>
          <w:sz w:val="21"/>
          <w:szCs w:val="21"/>
          <w:lang w:val="en-ZA" w:eastAsia="en-ZA"/>
        </w:rPr>
        <w:t>obtained</w:t>
      </w:r>
      <w:r w:rsidRPr="00BB5C77">
        <w:rPr>
          <w:rFonts w:ascii="Arial" w:eastAsia="Arial" w:hAnsi="Arial" w:cs="Arial"/>
          <w:color w:val="030303"/>
          <w:spacing w:val="51"/>
          <w:sz w:val="21"/>
          <w:szCs w:val="21"/>
          <w:lang w:val="en-ZA" w:eastAsia="en-ZA"/>
        </w:rPr>
        <w:t xml:space="preserve"> </w:t>
      </w:r>
      <w:r w:rsidRPr="00BB5C77">
        <w:rPr>
          <w:rFonts w:ascii="Arial" w:eastAsia="Arial" w:hAnsi="Arial" w:cs="Arial"/>
          <w:color w:val="030303"/>
          <w:sz w:val="21"/>
          <w:szCs w:val="21"/>
          <w:lang w:val="en-ZA" w:eastAsia="en-ZA"/>
        </w:rPr>
        <w:t>in</w:t>
      </w:r>
      <w:r w:rsidRPr="00BB5C77">
        <w:rPr>
          <w:rFonts w:ascii="Arial" w:eastAsia="Arial" w:hAnsi="Arial" w:cs="Arial"/>
          <w:color w:val="030303"/>
          <w:spacing w:val="1"/>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6"/>
          <w:sz w:val="21"/>
          <w:szCs w:val="21"/>
          <w:lang w:val="en-ZA" w:eastAsia="en-ZA"/>
        </w:rPr>
        <w:t xml:space="preserve"> </w:t>
      </w:r>
      <w:r w:rsidRPr="00BB5C77">
        <w:rPr>
          <w:rFonts w:ascii="Arial" w:eastAsia="Arial" w:hAnsi="Arial" w:cs="Arial"/>
          <w:color w:val="030303"/>
          <w:sz w:val="21"/>
          <w:szCs w:val="21"/>
          <w:lang w:val="en-ZA" w:eastAsia="en-ZA"/>
        </w:rPr>
        <w:t>audit,</w:t>
      </w:r>
      <w:r w:rsidRPr="00BB5C77">
        <w:rPr>
          <w:rFonts w:ascii="Arial" w:eastAsia="Arial" w:hAnsi="Arial" w:cs="Arial"/>
          <w:color w:val="030303"/>
          <w:spacing w:val="4"/>
          <w:sz w:val="21"/>
          <w:szCs w:val="21"/>
          <w:lang w:val="en-ZA" w:eastAsia="en-ZA"/>
        </w:rPr>
        <w:t xml:space="preserve"> </w:t>
      </w:r>
      <w:r w:rsidRPr="00BB5C77">
        <w:rPr>
          <w:rFonts w:ascii="Arial" w:eastAsia="Arial" w:hAnsi="Arial" w:cs="Arial"/>
          <w:color w:val="030303"/>
          <w:sz w:val="21"/>
          <w:szCs w:val="21"/>
          <w:lang w:val="en-ZA" w:eastAsia="en-ZA"/>
        </w:rPr>
        <w:t>or</w:t>
      </w:r>
      <w:r w:rsidRPr="00BB5C77">
        <w:rPr>
          <w:rFonts w:ascii="Arial" w:eastAsia="Arial" w:hAnsi="Arial" w:cs="Arial"/>
          <w:color w:val="030303"/>
          <w:spacing w:val="12"/>
          <w:sz w:val="21"/>
          <w:szCs w:val="21"/>
          <w:lang w:val="en-ZA" w:eastAsia="en-ZA"/>
        </w:rPr>
        <w:t xml:space="preserve"> </w:t>
      </w:r>
      <w:r w:rsidRPr="00BB5C77">
        <w:rPr>
          <w:rFonts w:ascii="Arial" w:eastAsia="Arial" w:hAnsi="Arial" w:cs="Arial"/>
          <w:color w:val="030303"/>
          <w:sz w:val="21"/>
          <w:szCs w:val="21"/>
          <w:lang w:val="en-ZA" w:eastAsia="en-ZA"/>
        </w:rPr>
        <w:t>otherwise</w:t>
      </w:r>
      <w:r w:rsidRPr="00BB5C77">
        <w:rPr>
          <w:rFonts w:ascii="Arial" w:eastAsia="Arial" w:hAnsi="Arial" w:cs="Arial"/>
          <w:color w:val="030303"/>
          <w:spacing w:val="40"/>
          <w:sz w:val="21"/>
          <w:szCs w:val="21"/>
          <w:lang w:val="en-ZA" w:eastAsia="en-ZA"/>
        </w:rPr>
        <w:t xml:space="preserve"> </w:t>
      </w:r>
      <w:r w:rsidRPr="00BB5C77">
        <w:rPr>
          <w:rFonts w:ascii="Arial" w:eastAsia="Arial" w:hAnsi="Arial" w:cs="Arial"/>
          <w:color w:val="030303"/>
          <w:sz w:val="21"/>
          <w:szCs w:val="21"/>
          <w:lang w:val="en-ZA" w:eastAsia="en-ZA"/>
        </w:rPr>
        <w:t>appears</w:t>
      </w:r>
      <w:r w:rsidRPr="00BB5C77">
        <w:rPr>
          <w:rFonts w:ascii="Arial" w:eastAsia="Arial" w:hAnsi="Arial" w:cs="Arial"/>
          <w:color w:val="030303"/>
          <w:spacing w:val="46"/>
          <w:sz w:val="21"/>
          <w:szCs w:val="21"/>
          <w:lang w:val="en-ZA" w:eastAsia="en-ZA"/>
        </w:rPr>
        <w:t xml:space="preserve"> </w:t>
      </w:r>
      <w:r w:rsidRPr="00BB5C77">
        <w:rPr>
          <w:rFonts w:ascii="Arial" w:eastAsia="Arial" w:hAnsi="Arial" w:cs="Arial"/>
          <w:color w:val="030303"/>
          <w:sz w:val="21"/>
          <w:szCs w:val="21"/>
          <w:lang w:val="en-ZA" w:eastAsia="en-ZA"/>
        </w:rPr>
        <w:t>to</w:t>
      </w:r>
      <w:r w:rsidRPr="00BB5C77">
        <w:rPr>
          <w:rFonts w:ascii="Arial" w:eastAsia="Arial" w:hAnsi="Arial" w:cs="Arial"/>
          <w:color w:val="030303"/>
          <w:spacing w:val="-2"/>
          <w:sz w:val="21"/>
          <w:szCs w:val="21"/>
          <w:lang w:val="en-ZA" w:eastAsia="en-ZA"/>
        </w:rPr>
        <w:t xml:space="preserve"> </w:t>
      </w:r>
      <w:r w:rsidRPr="00BB5C77">
        <w:rPr>
          <w:rFonts w:ascii="Arial" w:eastAsia="Arial" w:hAnsi="Arial" w:cs="Arial"/>
          <w:color w:val="030303"/>
          <w:w w:val="116"/>
          <w:sz w:val="21"/>
          <w:szCs w:val="21"/>
          <w:lang w:val="en-ZA" w:eastAsia="en-ZA"/>
        </w:rPr>
        <w:t xml:space="preserve">be </w:t>
      </w:r>
      <w:r w:rsidRPr="00BB5C77">
        <w:rPr>
          <w:rFonts w:ascii="Arial" w:eastAsia="Arial" w:hAnsi="Arial" w:cs="Arial"/>
          <w:color w:val="030303"/>
          <w:sz w:val="21"/>
          <w:szCs w:val="21"/>
          <w:lang w:val="en-ZA" w:eastAsia="en-ZA"/>
        </w:rPr>
        <w:t>materially</w:t>
      </w:r>
      <w:r w:rsidRPr="00BB5C77">
        <w:rPr>
          <w:rFonts w:ascii="Arial" w:eastAsia="Arial" w:hAnsi="Arial" w:cs="Arial"/>
          <w:color w:val="030303"/>
          <w:spacing w:val="43"/>
          <w:sz w:val="21"/>
          <w:szCs w:val="21"/>
          <w:lang w:val="en-ZA" w:eastAsia="en-ZA"/>
        </w:rPr>
        <w:t xml:space="preserve"> </w:t>
      </w:r>
      <w:r w:rsidRPr="00BB5C77">
        <w:rPr>
          <w:rFonts w:ascii="Arial" w:eastAsia="Arial" w:hAnsi="Arial" w:cs="Arial"/>
          <w:color w:val="030303"/>
          <w:sz w:val="21"/>
          <w:szCs w:val="21"/>
          <w:lang w:val="en-ZA" w:eastAsia="en-ZA"/>
        </w:rPr>
        <w:t>misstated.</w:t>
      </w:r>
      <w:r w:rsidRPr="00BB5C77">
        <w:rPr>
          <w:rFonts w:ascii="Arial" w:eastAsia="Arial" w:hAnsi="Arial" w:cs="Arial"/>
          <w:color w:val="030303"/>
          <w:spacing w:val="39"/>
          <w:sz w:val="21"/>
          <w:szCs w:val="21"/>
          <w:lang w:val="en-ZA" w:eastAsia="en-ZA"/>
        </w:rPr>
        <w:t xml:space="preserve"> </w:t>
      </w:r>
      <w:r w:rsidRPr="00BB5C77">
        <w:rPr>
          <w:rFonts w:ascii="Arial" w:eastAsia="Arial" w:hAnsi="Arial" w:cs="Arial"/>
          <w:color w:val="030303"/>
          <w:sz w:val="21"/>
          <w:szCs w:val="21"/>
          <w:lang w:val="en-ZA" w:eastAsia="en-ZA"/>
        </w:rPr>
        <w:t>If,</w:t>
      </w:r>
      <w:r w:rsidRPr="00BB5C77">
        <w:rPr>
          <w:rFonts w:ascii="Arial" w:eastAsia="Arial" w:hAnsi="Arial" w:cs="Arial"/>
          <w:color w:val="030303"/>
          <w:spacing w:val="-8"/>
          <w:sz w:val="21"/>
          <w:szCs w:val="21"/>
          <w:lang w:val="en-ZA" w:eastAsia="en-ZA"/>
        </w:rPr>
        <w:t xml:space="preserve"> </w:t>
      </w:r>
      <w:r w:rsidRPr="00BB5C77">
        <w:rPr>
          <w:rFonts w:ascii="Arial" w:eastAsia="Arial" w:hAnsi="Arial" w:cs="Arial"/>
          <w:color w:val="030303"/>
          <w:sz w:val="21"/>
          <w:szCs w:val="21"/>
          <w:lang w:val="en-ZA" w:eastAsia="en-ZA"/>
        </w:rPr>
        <w:t>based</w:t>
      </w:r>
      <w:r w:rsidRPr="00BB5C77">
        <w:rPr>
          <w:rFonts w:ascii="Arial" w:eastAsia="Arial" w:hAnsi="Arial" w:cs="Arial"/>
          <w:color w:val="030303"/>
          <w:spacing w:val="32"/>
          <w:sz w:val="21"/>
          <w:szCs w:val="21"/>
          <w:lang w:val="en-ZA" w:eastAsia="en-ZA"/>
        </w:rPr>
        <w:t xml:space="preserve"> </w:t>
      </w:r>
      <w:r w:rsidRPr="00BB5C77">
        <w:rPr>
          <w:rFonts w:ascii="Arial" w:eastAsia="Arial" w:hAnsi="Arial" w:cs="Arial"/>
          <w:color w:val="030303"/>
          <w:sz w:val="21"/>
          <w:szCs w:val="21"/>
          <w:lang w:val="en-ZA" w:eastAsia="en-ZA"/>
        </w:rPr>
        <w:t>on</w:t>
      </w:r>
      <w:r w:rsidRPr="00BB5C77">
        <w:rPr>
          <w:rFonts w:ascii="Arial" w:eastAsia="Arial" w:hAnsi="Arial" w:cs="Arial"/>
          <w:color w:val="030303"/>
          <w:spacing w:val="10"/>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9"/>
          <w:sz w:val="21"/>
          <w:szCs w:val="21"/>
          <w:lang w:val="en-ZA" w:eastAsia="en-ZA"/>
        </w:rPr>
        <w:t xml:space="preserve"> </w:t>
      </w:r>
      <w:r w:rsidRPr="00BB5C77">
        <w:rPr>
          <w:rFonts w:ascii="Arial" w:eastAsia="Arial" w:hAnsi="Arial" w:cs="Arial"/>
          <w:color w:val="030303"/>
          <w:sz w:val="21"/>
          <w:szCs w:val="21"/>
          <w:lang w:val="en-ZA" w:eastAsia="en-ZA"/>
        </w:rPr>
        <w:t>work</w:t>
      </w:r>
      <w:r w:rsidRPr="00BB5C77">
        <w:rPr>
          <w:rFonts w:ascii="Arial" w:eastAsia="Arial" w:hAnsi="Arial" w:cs="Arial"/>
          <w:color w:val="030303"/>
          <w:spacing w:val="25"/>
          <w:sz w:val="21"/>
          <w:szCs w:val="21"/>
          <w:lang w:val="en-ZA" w:eastAsia="en-ZA"/>
        </w:rPr>
        <w:t xml:space="preserve"> </w:t>
      </w:r>
      <w:r w:rsidRPr="00BB5C77">
        <w:rPr>
          <w:rFonts w:ascii="Arial" w:eastAsia="Arial" w:hAnsi="Arial" w:cs="Arial"/>
          <w:color w:val="030303"/>
          <w:w w:val="143"/>
          <w:sz w:val="21"/>
          <w:szCs w:val="21"/>
          <w:lang w:val="en-ZA" w:eastAsia="en-ZA"/>
        </w:rPr>
        <w:t>I</w:t>
      </w:r>
      <w:r w:rsidRPr="00BB5C77">
        <w:rPr>
          <w:rFonts w:ascii="Arial" w:eastAsia="Arial" w:hAnsi="Arial" w:cs="Arial"/>
          <w:color w:val="030303"/>
          <w:spacing w:val="-47"/>
          <w:w w:val="143"/>
          <w:sz w:val="21"/>
          <w:szCs w:val="21"/>
          <w:lang w:val="en-ZA" w:eastAsia="en-ZA"/>
        </w:rPr>
        <w:t xml:space="preserve"> </w:t>
      </w:r>
      <w:r w:rsidRPr="00BB5C77">
        <w:rPr>
          <w:rFonts w:ascii="Arial" w:eastAsia="Arial" w:hAnsi="Arial" w:cs="Arial"/>
          <w:color w:val="030303"/>
          <w:sz w:val="21"/>
          <w:szCs w:val="21"/>
          <w:lang w:val="en-ZA" w:eastAsia="en-ZA"/>
        </w:rPr>
        <w:t>have</w:t>
      </w:r>
      <w:r w:rsidRPr="00BB5C77">
        <w:rPr>
          <w:rFonts w:ascii="Arial" w:eastAsia="Arial" w:hAnsi="Arial" w:cs="Arial"/>
          <w:color w:val="030303"/>
          <w:spacing w:val="34"/>
          <w:sz w:val="21"/>
          <w:szCs w:val="21"/>
          <w:lang w:val="en-ZA" w:eastAsia="en-ZA"/>
        </w:rPr>
        <w:t xml:space="preserve"> </w:t>
      </w:r>
      <w:r w:rsidRPr="00BB5C77">
        <w:rPr>
          <w:rFonts w:ascii="Arial" w:eastAsia="Arial" w:hAnsi="Arial" w:cs="Arial"/>
          <w:color w:val="030303"/>
          <w:sz w:val="21"/>
          <w:szCs w:val="21"/>
          <w:lang w:val="en-ZA" w:eastAsia="en-ZA"/>
        </w:rPr>
        <w:t>performed,</w:t>
      </w:r>
      <w:r w:rsidRPr="00BB5C77">
        <w:rPr>
          <w:rFonts w:ascii="Arial" w:eastAsia="Arial" w:hAnsi="Arial" w:cs="Arial"/>
          <w:color w:val="030303"/>
          <w:spacing w:val="20"/>
          <w:sz w:val="21"/>
          <w:szCs w:val="21"/>
          <w:lang w:val="en-ZA" w:eastAsia="en-ZA"/>
        </w:rPr>
        <w:t xml:space="preserve"> </w:t>
      </w:r>
      <w:r w:rsidRPr="00BB5C77">
        <w:rPr>
          <w:rFonts w:ascii="Arial" w:eastAsia="Arial" w:hAnsi="Arial" w:cs="Arial"/>
          <w:color w:val="030303"/>
          <w:w w:val="215"/>
          <w:sz w:val="21"/>
          <w:szCs w:val="21"/>
          <w:lang w:val="en-ZA" w:eastAsia="en-ZA"/>
        </w:rPr>
        <w:t xml:space="preserve">I </w:t>
      </w:r>
      <w:r w:rsidRPr="00BB5C77">
        <w:rPr>
          <w:rFonts w:ascii="Arial" w:eastAsia="Arial" w:hAnsi="Arial" w:cs="Arial"/>
          <w:color w:val="030303"/>
          <w:w w:val="106"/>
          <w:sz w:val="21"/>
          <w:szCs w:val="21"/>
          <w:lang w:val="en-ZA" w:eastAsia="en-ZA"/>
        </w:rPr>
        <w:t>conclude</w:t>
      </w:r>
      <w:r w:rsidRPr="00BB5C77">
        <w:rPr>
          <w:rFonts w:ascii="Arial" w:eastAsia="Arial" w:hAnsi="Arial" w:cs="Arial"/>
          <w:color w:val="030303"/>
          <w:spacing w:val="-18"/>
          <w:sz w:val="21"/>
          <w:szCs w:val="21"/>
          <w:lang w:val="en-ZA" w:eastAsia="en-ZA"/>
        </w:rPr>
        <w:t xml:space="preserve"> </w:t>
      </w:r>
      <w:r w:rsidRPr="00BB5C77">
        <w:rPr>
          <w:rFonts w:ascii="Arial" w:eastAsia="Arial" w:hAnsi="Arial" w:cs="Arial"/>
          <w:color w:val="030303"/>
          <w:sz w:val="21"/>
          <w:szCs w:val="21"/>
          <w:lang w:val="en-ZA" w:eastAsia="en-ZA"/>
        </w:rPr>
        <w:t>that</w:t>
      </w:r>
      <w:r w:rsidRPr="00BB5C77">
        <w:rPr>
          <w:rFonts w:ascii="Arial" w:eastAsia="Arial" w:hAnsi="Arial" w:cs="Arial"/>
          <w:color w:val="030303"/>
          <w:spacing w:val="19"/>
          <w:sz w:val="21"/>
          <w:szCs w:val="21"/>
          <w:lang w:val="en-ZA" w:eastAsia="en-ZA"/>
        </w:rPr>
        <w:t xml:space="preserve"> </w:t>
      </w:r>
      <w:r w:rsidRPr="00BB5C77">
        <w:rPr>
          <w:rFonts w:ascii="Arial" w:eastAsia="Arial" w:hAnsi="Arial" w:cs="Arial"/>
          <w:color w:val="030303"/>
          <w:sz w:val="21"/>
          <w:szCs w:val="21"/>
          <w:lang w:val="en-ZA" w:eastAsia="en-ZA"/>
        </w:rPr>
        <w:t>there</w:t>
      </w:r>
      <w:r w:rsidRPr="00BB5C77">
        <w:rPr>
          <w:rFonts w:ascii="Arial" w:eastAsia="Arial" w:hAnsi="Arial" w:cs="Arial"/>
          <w:color w:val="030303"/>
          <w:spacing w:val="33"/>
          <w:sz w:val="21"/>
          <w:szCs w:val="21"/>
          <w:lang w:val="en-ZA" w:eastAsia="en-ZA"/>
        </w:rPr>
        <w:t xml:space="preserve"> </w:t>
      </w:r>
      <w:r w:rsidRPr="00BB5C77">
        <w:rPr>
          <w:rFonts w:ascii="Arial" w:eastAsia="Arial" w:hAnsi="Arial" w:cs="Arial"/>
          <w:color w:val="1C1C1C"/>
          <w:sz w:val="21"/>
          <w:szCs w:val="21"/>
          <w:lang w:val="en-ZA" w:eastAsia="en-ZA"/>
        </w:rPr>
        <w:t>is</w:t>
      </w:r>
      <w:r w:rsidRPr="00BB5C77">
        <w:rPr>
          <w:rFonts w:ascii="Arial" w:eastAsia="Arial" w:hAnsi="Arial" w:cs="Arial"/>
          <w:color w:val="1C1C1C"/>
          <w:spacing w:val="-1"/>
          <w:sz w:val="21"/>
          <w:szCs w:val="21"/>
          <w:lang w:val="en-ZA" w:eastAsia="en-ZA"/>
        </w:rPr>
        <w:t xml:space="preserve"> </w:t>
      </w:r>
      <w:r w:rsidRPr="00BB5C77">
        <w:rPr>
          <w:rFonts w:ascii="Arial" w:eastAsia="Arial" w:hAnsi="Arial" w:cs="Arial"/>
          <w:color w:val="030303"/>
          <w:w w:val="122"/>
          <w:sz w:val="21"/>
          <w:szCs w:val="21"/>
          <w:lang w:val="en-ZA" w:eastAsia="en-ZA"/>
        </w:rPr>
        <w:t xml:space="preserve">a </w:t>
      </w:r>
      <w:r w:rsidRPr="00BB5C77">
        <w:rPr>
          <w:rFonts w:ascii="Arial" w:eastAsia="Arial" w:hAnsi="Arial" w:cs="Arial"/>
          <w:color w:val="030303"/>
          <w:sz w:val="21"/>
          <w:szCs w:val="21"/>
          <w:lang w:val="en-ZA" w:eastAsia="en-ZA"/>
        </w:rPr>
        <w:t>material</w:t>
      </w:r>
      <w:r w:rsidRPr="00BB5C77">
        <w:rPr>
          <w:rFonts w:ascii="Arial" w:eastAsia="Arial" w:hAnsi="Arial" w:cs="Arial"/>
          <w:color w:val="030303"/>
          <w:spacing w:val="22"/>
          <w:sz w:val="21"/>
          <w:szCs w:val="21"/>
          <w:lang w:val="en-ZA" w:eastAsia="en-ZA"/>
        </w:rPr>
        <w:t xml:space="preserve"> </w:t>
      </w:r>
      <w:r w:rsidRPr="00BB5C77">
        <w:rPr>
          <w:rFonts w:ascii="Arial" w:eastAsia="Arial" w:hAnsi="Arial" w:cs="Arial"/>
          <w:color w:val="030303"/>
          <w:sz w:val="21"/>
          <w:szCs w:val="21"/>
          <w:lang w:val="en-ZA" w:eastAsia="en-ZA"/>
        </w:rPr>
        <w:t>misstatement</w:t>
      </w:r>
      <w:r w:rsidRPr="00BB5C77">
        <w:rPr>
          <w:rFonts w:ascii="Arial" w:eastAsia="Arial" w:hAnsi="Arial" w:cs="Arial"/>
          <w:color w:val="030303"/>
          <w:spacing w:val="51"/>
          <w:sz w:val="21"/>
          <w:szCs w:val="21"/>
          <w:lang w:val="en-ZA" w:eastAsia="en-ZA"/>
        </w:rPr>
        <w:t xml:space="preserve"> </w:t>
      </w:r>
      <w:r w:rsidRPr="00BB5C77">
        <w:rPr>
          <w:rFonts w:ascii="Arial" w:eastAsia="Arial" w:hAnsi="Arial" w:cs="Arial"/>
          <w:color w:val="030303"/>
          <w:sz w:val="21"/>
          <w:szCs w:val="21"/>
          <w:lang w:val="en-ZA" w:eastAsia="en-ZA"/>
        </w:rPr>
        <w:t>of</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this</w:t>
      </w:r>
      <w:r w:rsidRPr="00BB5C77">
        <w:rPr>
          <w:rFonts w:ascii="Arial" w:eastAsia="Arial" w:hAnsi="Arial" w:cs="Arial"/>
          <w:color w:val="030303"/>
          <w:spacing w:val="11"/>
          <w:sz w:val="21"/>
          <w:szCs w:val="21"/>
          <w:lang w:val="en-ZA" w:eastAsia="en-ZA"/>
        </w:rPr>
        <w:t xml:space="preserve"> </w:t>
      </w:r>
      <w:r w:rsidRPr="00BB5C77">
        <w:rPr>
          <w:rFonts w:ascii="Arial" w:eastAsia="Arial" w:hAnsi="Arial" w:cs="Arial"/>
          <w:color w:val="030303"/>
          <w:sz w:val="21"/>
          <w:szCs w:val="21"/>
          <w:lang w:val="en-ZA" w:eastAsia="en-ZA"/>
        </w:rPr>
        <w:t>other</w:t>
      </w:r>
      <w:r w:rsidRPr="00BB5C77">
        <w:rPr>
          <w:rFonts w:ascii="Arial" w:eastAsia="Arial" w:hAnsi="Arial" w:cs="Arial"/>
          <w:color w:val="030303"/>
          <w:spacing w:val="11"/>
          <w:sz w:val="21"/>
          <w:szCs w:val="21"/>
          <w:lang w:val="en-ZA" w:eastAsia="en-ZA"/>
        </w:rPr>
        <w:t xml:space="preserve"> </w:t>
      </w:r>
      <w:r w:rsidRPr="00BB5C77">
        <w:rPr>
          <w:rFonts w:ascii="Arial" w:eastAsia="Arial" w:hAnsi="Arial" w:cs="Arial"/>
          <w:color w:val="030303"/>
          <w:sz w:val="21"/>
          <w:szCs w:val="21"/>
          <w:lang w:val="en-ZA" w:eastAsia="en-ZA"/>
        </w:rPr>
        <w:t xml:space="preserve">information; </w:t>
      </w:r>
      <w:r w:rsidRPr="00BB5C77">
        <w:rPr>
          <w:rFonts w:ascii="Arial" w:eastAsia="Arial" w:hAnsi="Arial" w:cs="Arial"/>
          <w:color w:val="030303"/>
          <w:spacing w:val="1"/>
          <w:sz w:val="21"/>
          <w:szCs w:val="21"/>
          <w:lang w:val="en-ZA" w:eastAsia="en-ZA"/>
        </w:rPr>
        <w:t xml:space="preserve"> </w:t>
      </w:r>
      <w:r w:rsidRPr="00BB5C77">
        <w:rPr>
          <w:rFonts w:ascii="Arial" w:eastAsia="Arial" w:hAnsi="Arial" w:cs="Arial"/>
          <w:color w:val="030303"/>
          <w:w w:val="143"/>
          <w:sz w:val="21"/>
          <w:szCs w:val="21"/>
          <w:lang w:val="en-ZA" w:eastAsia="en-ZA"/>
        </w:rPr>
        <w:t>I</w:t>
      </w:r>
      <w:r w:rsidRPr="00BB5C77">
        <w:rPr>
          <w:rFonts w:ascii="Arial" w:eastAsia="Arial" w:hAnsi="Arial" w:cs="Arial"/>
          <w:color w:val="030303"/>
          <w:spacing w:val="-30"/>
          <w:sz w:val="21"/>
          <w:szCs w:val="21"/>
          <w:lang w:val="en-ZA" w:eastAsia="en-ZA"/>
        </w:rPr>
        <w:t xml:space="preserve"> </w:t>
      </w:r>
      <w:r w:rsidRPr="00BB5C77">
        <w:rPr>
          <w:rFonts w:ascii="Arial" w:eastAsia="Arial" w:hAnsi="Arial" w:cs="Arial"/>
          <w:color w:val="030303"/>
          <w:sz w:val="21"/>
          <w:szCs w:val="21"/>
          <w:lang w:val="en-ZA" w:eastAsia="en-ZA"/>
        </w:rPr>
        <w:t>am</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required</w:t>
      </w:r>
      <w:r w:rsidRPr="00BB5C77">
        <w:rPr>
          <w:rFonts w:ascii="Arial" w:eastAsia="Arial" w:hAnsi="Arial" w:cs="Arial"/>
          <w:color w:val="030303"/>
          <w:spacing w:val="47"/>
          <w:sz w:val="21"/>
          <w:szCs w:val="21"/>
          <w:lang w:val="en-ZA" w:eastAsia="en-ZA"/>
        </w:rPr>
        <w:t xml:space="preserve"> </w:t>
      </w:r>
      <w:r w:rsidRPr="00BB5C77">
        <w:rPr>
          <w:rFonts w:ascii="Arial" w:eastAsia="Arial" w:hAnsi="Arial" w:cs="Arial"/>
          <w:color w:val="030303"/>
          <w:sz w:val="21"/>
          <w:szCs w:val="21"/>
          <w:lang w:val="en-ZA" w:eastAsia="en-ZA"/>
        </w:rPr>
        <w:t>to</w:t>
      </w:r>
      <w:r w:rsidRPr="00BB5C77">
        <w:rPr>
          <w:rFonts w:ascii="Arial" w:eastAsia="Arial" w:hAnsi="Arial" w:cs="Arial"/>
          <w:color w:val="030303"/>
          <w:spacing w:val="-2"/>
          <w:sz w:val="21"/>
          <w:szCs w:val="21"/>
          <w:lang w:val="en-ZA" w:eastAsia="en-ZA"/>
        </w:rPr>
        <w:t xml:space="preserve"> </w:t>
      </w:r>
      <w:r w:rsidRPr="00BB5C77">
        <w:rPr>
          <w:rFonts w:ascii="Arial" w:eastAsia="Arial" w:hAnsi="Arial" w:cs="Arial"/>
          <w:color w:val="030303"/>
          <w:sz w:val="21"/>
          <w:szCs w:val="21"/>
          <w:lang w:val="en-ZA" w:eastAsia="en-ZA"/>
        </w:rPr>
        <w:t>report</w:t>
      </w:r>
      <w:r w:rsidRPr="00BB5C77">
        <w:rPr>
          <w:rFonts w:ascii="Arial" w:eastAsia="Arial" w:hAnsi="Arial" w:cs="Arial"/>
          <w:color w:val="030303"/>
          <w:spacing w:val="34"/>
          <w:sz w:val="21"/>
          <w:szCs w:val="21"/>
          <w:lang w:val="en-ZA" w:eastAsia="en-ZA"/>
        </w:rPr>
        <w:t xml:space="preserve"> </w:t>
      </w:r>
      <w:r w:rsidRPr="00BB5C77">
        <w:rPr>
          <w:rFonts w:ascii="Arial" w:eastAsia="Arial" w:hAnsi="Arial" w:cs="Arial"/>
          <w:color w:val="030303"/>
          <w:sz w:val="21"/>
          <w:szCs w:val="21"/>
          <w:lang w:val="en-ZA" w:eastAsia="en-ZA"/>
        </w:rPr>
        <w:t>that</w:t>
      </w:r>
      <w:r w:rsidRPr="00BB5C77">
        <w:rPr>
          <w:rFonts w:ascii="Arial" w:eastAsia="Arial" w:hAnsi="Arial" w:cs="Arial"/>
          <w:color w:val="030303"/>
          <w:spacing w:val="19"/>
          <w:sz w:val="21"/>
          <w:szCs w:val="21"/>
          <w:lang w:val="en-ZA" w:eastAsia="en-ZA"/>
        </w:rPr>
        <w:t xml:space="preserve"> </w:t>
      </w:r>
      <w:r w:rsidRPr="00BB5C77">
        <w:rPr>
          <w:rFonts w:ascii="Arial" w:eastAsia="Arial" w:hAnsi="Arial" w:cs="Arial"/>
          <w:color w:val="030303"/>
          <w:w w:val="106"/>
          <w:sz w:val="21"/>
          <w:szCs w:val="21"/>
          <w:lang w:val="en-ZA" w:eastAsia="en-ZA"/>
        </w:rPr>
        <w:t>fact.</w:t>
      </w:r>
    </w:p>
    <w:p w14:paraId="5FCA1A99" w14:textId="77777777" w:rsidR="00BB5C77" w:rsidRPr="00BB5C77" w:rsidRDefault="00BB5C77" w:rsidP="00BB5C77">
      <w:pPr>
        <w:spacing w:before="17" w:after="0" w:line="220" w:lineRule="exact"/>
        <w:jc w:val="both"/>
        <w:rPr>
          <w:rFonts w:eastAsia="Times New Roman" w:cs="Times New Roman"/>
          <w:sz w:val="22"/>
          <w:lang w:val="en-ZA" w:eastAsia="en-ZA"/>
        </w:rPr>
      </w:pPr>
    </w:p>
    <w:p w14:paraId="676B54D8" w14:textId="77777777" w:rsidR="00BB5C77" w:rsidRPr="00BB5C77" w:rsidRDefault="00BB5C77" w:rsidP="00BB5C77">
      <w:pPr>
        <w:spacing w:after="0" w:line="240" w:lineRule="auto"/>
        <w:ind w:left="235" w:right="-20"/>
        <w:jc w:val="both"/>
        <w:rPr>
          <w:rFonts w:ascii="Arial" w:eastAsia="Arial" w:hAnsi="Arial" w:cs="Arial"/>
          <w:sz w:val="21"/>
          <w:szCs w:val="21"/>
          <w:lang w:val="en-ZA" w:eastAsia="en-ZA"/>
        </w:rPr>
      </w:pPr>
      <w:r w:rsidRPr="00BB5C77">
        <w:rPr>
          <w:rFonts w:ascii="Arial" w:eastAsia="Arial" w:hAnsi="Arial" w:cs="Arial"/>
          <w:color w:val="030303"/>
          <w:sz w:val="21"/>
          <w:szCs w:val="21"/>
          <w:lang w:val="en-ZA" w:eastAsia="en-ZA"/>
        </w:rPr>
        <w:t>30.</w:t>
      </w:r>
      <w:r w:rsidRPr="00BB5C77">
        <w:rPr>
          <w:rFonts w:ascii="Arial" w:eastAsia="Arial" w:hAnsi="Arial" w:cs="Arial"/>
          <w:color w:val="030303"/>
          <w:spacing w:val="-11"/>
          <w:sz w:val="21"/>
          <w:szCs w:val="21"/>
          <w:lang w:val="en-ZA" w:eastAsia="en-ZA"/>
        </w:rPr>
        <w:t xml:space="preserve"> </w:t>
      </w:r>
      <w:r w:rsidRPr="00BB5C77">
        <w:rPr>
          <w:rFonts w:ascii="Arial" w:eastAsia="Arial" w:hAnsi="Arial" w:cs="Arial"/>
          <w:color w:val="030303"/>
          <w:w w:val="179"/>
          <w:sz w:val="21"/>
          <w:szCs w:val="21"/>
          <w:lang w:val="en-ZA" w:eastAsia="en-ZA"/>
        </w:rPr>
        <w:t>I</w:t>
      </w:r>
      <w:r w:rsidRPr="00BB5C77">
        <w:rPr>
          <w:rFonts w:ascii="Arial" w:eastAsia="Arial" w:hAnsi="Arial" w:cs="Arial"/>
          <w:color w:val="030303"/>
          <w:spacing w:val="-43"/>
          <w:sz w:val="21"/>
          <w:szCs w:val="21"/>
          <w:lang w:val="en-ZA" w:eastAsia="en-ZA"/>
        </w:rPr>
        <w:t xml:space="preserve"> </w:t>
      </w:r>
      <w:r w:rsidRPr="00BB5C77">
        <w:rPr>
          <w:rFonts w:ascii="Arial" w:eastAsia="Arial" w:hAnsi="Arial" w:cs="Arial"/>
          <w:color w:val="030303"/>
          <w:sz w:val="21"/>
          <w:szCs w:val="21"/>
          <w:lang w:val="en-ZA" w:eastAsia="en-ZA"/>
        </w:rPr>
        <w:t>have</w:t>
      </w:r>
      <w:r w:rsidRPr="00BB5C77">
        <w:rPr>
          <w:rFonts w:ascii="Arial" w:eastAsia="Arial" w:hAnsi="Arial" w:cs="Arial"/>
          <w:color w:val="030303"/>
          <w:spacing w:val="24"/>
          <w:sz w:val="21"/>
          <w:szCs w:val="21"/>
          <w:lang w:val="en-ZA" w:eastAsia="en-ZA"/>
        </w:rPr>
        <w:t xml:space="preserve"> </w:t>
      </w:r>
      <w:r w:rsidRPr="00BB5C77">
        <w:rPr>
          <w:rFonts w:ascii="Arial" w:eastAsia="Arial" w:hAnsi="Arial" w:cs="Arial"/>
          <w:color w:val="030303"/>
          <w:sz w:val="21"/>
          <w:szCs w:val="21"/>
          <w:lang w:val="en-ZA" w:eastAsia="en-ZA"/>
        </w:rPr>
        <w:t>nothing</w:t>
      </w:r>
      <w:r w:rsidRPr="00BB5C77">
        <w:rPr>
          <w:rFonts w:ascii="Arial" w:eastAsia="Arial" w:hAnsi="Arial" w:cs="Arial"/>
          <w:color w:val="030303"/>
          <w:spacing w:val="36"/>
          <w:sz w:val="21"/>
          <w:szCs w:val="21"/>
          <w:lang w:val="en-ZA" w:eastAsia="en-ZA"/>
        </w:rPr>
        <w:t xml:space="preserve"> </w:t>
      </w:r>
      <w:r w:rsidRPr="00BB5C77">
        <w:rPr>
          <w:rFonts w:ascii="Arial" w:eastAsia="Arial" w:hAnsi="Arial" w:cs="Arial"/>
          <w:color w:val="030303"/>
          <w:sz w:val="21"/>
          <w:szCs w:val="21"/>
          <w:lang w:val="en-ZA" w:eastAsia="en-ZA"/>
        </w:rPr>
        <w:t>to</w:t>
      </w:r>
      <w:r w:rsidRPr="00BB5C77">
        <w:rPr>
          <w:rFonts w:ascii="Arial" w:eastAsia="Arial" w:hAnsi="Arial" w:cs="Arial"/>
          <w:color w:val="030303"/>
          <w:spacing w:val="-1"/>
          <w:sz w:val="21"/>
          <w:szCs w:val="21"/>
          <w:lang w:val="en-ZA" w:eastAsia="en-ZA"/>
        </w:rPr>
        <w:t xml:space="preserve"> </w:t>
      </w:r>
      <w:r w:rsidRPr="00BB5C77">
        <w:rPr>
          <w:rFonts w:ascii="Arial" w:eastAsia="Arial" w:hAnsi="Arial" w:cs="Arial"/>
          <w:color w:val="030303"/>
          <w:sz w:val="21"/>
          <w:szCs w:val="21"/>
          <w:lang w:val="en-ZA" w:eastAsia="en-ZA"/>
        </w:rPr>
        <w:t>report</w:t>
      </w:r>
      <w:r w:rsidRPr="00BB5C77">
        <w:rPr>
          <w:rFonts w:ascii="Arial" w:eastAsia="Arial" w:hAnsi="Arial" w:cs="Arial"/>
          <w:color w:val="030303"/>
          <w:spacing w:val="40"/>
          <w:sz w:val="21"/>
          <w:szCs w:val="21"/>
          <w:lang w:val="en-ZA" w:eastAsia="en-ZA"/>
        </w:rPr>
        <w:t xml:space="preserve"> </w:t>
      </w:r>
      <w:r w:rsidRPr="00BB5C77">
        <w:rPr>
          <w:rFonts w:ascii="Arial" w:eastAsia="Arial" w:hAnsi="Arial" w:cs="Arial"/>
          <w:color w:val="030303"/>
          <w:sz w:val="21"/>
          <w:szCs w:val="21"/>
          <w:lang w:val="en-ZA" w:eastAsia="en-ZA"/>
        </w:rPr>
        <w:t>in</w:t>
      </w:r>
      <w:r w:rsidRPr="00BB5C77">
        <w:rPr>
          <w:rFonts w:ascii="Arial" w:eastAsia="Arial" w:hAnsi="Arial" w:cs="Arial"/>
          <w:color w:val="030303"/>
          <w:spacing w:val="10"/>
          <w:sz w:val="21"/>
          <w:szCs w:val="21"/>
          <w:lang w:val="en-ZA" w:eastAsia="en-ZA"/>
        </w:rPr>
        <w:t xml:space="preserve"> </w:t>
      </w:r>
      <w:r w:rsidRPr="00BB5C77">
        <w:rPr>
          <w:rFonts w:ascii="Arial" w:eastAsia="Arial" w:hAnsi="Arial" w:cs="Arial"/>
          <w:color w:val="030303"/>
          <w:sz w:val="21"/>
          <w:szCs w:val="21"/>
          <w:lang w:val="en-ZA" w:eastAsia="en-ZA"/>
        </w:rPr>
        <w:t>this</w:t>
      </w:r>
      <w:r w:rsidRPr="00BB5C77">
        <w:rPr>
          <w:rFonts w:ascii="Arial" w:eastAsia="Arial" w:hAnsi="Arial" w:cs="Arial"/>
          <w:color w:val="030303"/>
          <w:spacing w:val="18"/>
          <w:sz w:val="21"/>
          <w:szCs w:val="21"/>
          <w:lang w:val="en-ZA" w:eastAsia="en-ZA"/>
        </w:rPr>
        <w:t xml:space="preserve"> </w:t>
      </w:r>
      <w:r w:rsidRPr="00BB5C77">
        <w:rPr>
          <w:rFonts w:ascii="Arial" w:eastAsia="Arial" w:hAnsi="Arial" w:cs="Arial"/>
          <w:color w:val="030303"/>
          <w:w w:val="106"/>
          <w:sz w:val="21"/>
          <w:szCs w:val="21"/>
          <w:lang w:val="en-ZA" w:eastAsia="en-ZA"/>
        </w:rPr>
        <w:t>regar</w:t>
      </w:r>
      <w:r w:rsidRPr="00BB5C77">
        <w:rPr>
          <w:rFonts w:ascii="Arial" w:eastAsia="Arial" w:hAnsi="Arial" w:cs="Arial"/>
          <w:color w:val="030303"/>
          <w:spacing w:val="-22"/>
          <w:w w:val="106"/>
          <w:sz w:val="21"/>
          <w:szCs w:val="21"/>
          <w:lang w:val="en-ZA" w:eastAsia="en-ZA"/>
        </w:rPr>
        <w:t>d</w:t>
      </w:r>
      <w:r w:rsidRPr="00BB5C77">
        <w:rPr>
          <w:rFonts w:ascii="Arial" w:eastAsia="Arial" w:hAnsi="Arial" w:cs="Arial"/>
          <w:color w:val="2D2D2D"/>
          <w:w w:val="204"/>
          <w:sz w:val="21"/>
          <w:szCs w:val="21"/>
          <w:lang w:val="en-ZA" w:eastAsia="en-ZA"/>
        </w:rPr>
        <w:t>.</w:t>
      </w:r>
    </w:p>
    <w:p w14:paraId="1BA2C693" w14:textId="77777777" w:rsidR="00BB5C77" w:rsidRPr="00BB5C77" w:rsidRDefault="00BB5C77" w:rsidP="00BB5C77">
      <w:pPr>
        <w:spacing w:after="0" w:line="200" w:lineRule="exact"/>
        <w:jc w:val="both"/>
        <w:rPr>
          <w:rFonts w:eastAsia="Times New Roman" w:cs="Times New Roman"/>
          <w:szCs w:val="20"/>
          <w:lang w:val="en-ZA" w:eastAsia="en-ZA"/>
        </w:rPr>
      </w:pPr>
    </w:p>
    <w:p w14:paraId="4EA8C2A7" w14:textId="77777777" w:rsidR="00BB5C77" w:rsidRPr="00BB5C77" w:rsidRDefault="00BB5C77" w:rsidP="00BB5C77">
      <w:pPr>
        <w:spacing w:before="15" w:after="0" w:line="220" w:lineRule="exact"/>
        <w:jc w:val="both"/>
        <w:rPr>
          <w:rFonts w:eastAsia="Times New Roman" w:cs="Times New Roman"/>
          <w:sz w:val="22"/>
          <w:lang w:val="en-ZA" w:eastAsia="en-ZA"/>
        </w:rPr>
      </w:pPr>
    </w:p>
    <w:p w14:paraId="3B4064EC" w14:textId="77777777" w:rsidR="00BB5C77" w:rsidRPr="00BB5C77" w:rsidRDefault="00BB5C77" w:rsidP="00BB5C77">
      <w:pPr>
        <w:spacing w:after="0" w:line="240" w:lineRule="auto"/>
        <w:ind w:left="106" w:right="-20"/>
        <w:jc w:val="both"/>
        <w:rPr>
          <w:rFonts w:ascii="Arial" w:eastAsia="Arial" w:hAnsi="Arial" w:cs="Arial"/>
          <w:sz w:val="24"/>
          <w:szCs w:val="24"/>
          <w:lang w:val="en-ZA" w:eastAsia="en-ZA"/>
        </w:rPr>
      </w:pPr>
      <w:r w:rsidRPr="00BB5C77">
        <w:rPr>
          <w:rFonts w:eastAsia="Calibri" w:cs="Times New Roman"/>
          <w:noProof/>
          <w:sz w:val="22"/>
        </w:rPr>
        <mc:AlternateContent>
          <mc:Choice Requires="wpg">
            <w:drawing>
              <wp:anchor distT="0" distB="0" distL="114300" distR="114300" simplePos="0" relativeHeight="251772416" behindDoc="1" locked="0" layoutInCell="1" allowOverlap="1" wp14:anchorId="645E57B0" wp14:editId="1256E57D">
                <wp:simplePos x="0" y="0"/>
                <wp:positionH relativeFrom="page">
                  <wp:posOffset>821055</wp:posOffset>
                </wp:positionH>
                <wp:positionV relativeFrom="paragraph">
                  <wp:posOffset>-14605</wp:posOffset>
                </wp:positionV>
                <wp:extent cx="5892165" cy="1270"/>
                <wp:effectExtent l="11430" t="13970" r="11430" b="3810"/>
                <wp:wrapNone/>
                <wp:docPr id="3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92165" cy="1270"/>
                          <a:chOff x="1293" y="-23"/>
                          <a:chExt cx="9279" cy="2"/>
                        </a:xfrm>
                      </wpg:grpSpPr>
                      <wps:wsp>
                        <wps:cNvPr id="41" name="Freeform 15"/>
                        <wps:cNvSpPr>
                          <a:spLocks/>
                        </wps:cNvSpPr>
                        <wps:spPr bwMode="auto">
                          <a:xfrm>
                            <a:off x="1293" y="-23"/>
                            <a:ext cx="9279" cy="2"/>
                          </a:xfrm>
                          <a:custGeom>
                            <a:avLst/>
                            <a:gdLst>
                              <a:gd name="T0" fmla="+- 0 1293 1293"/>
                              <a:gd name="T1" fmla="*/ T0 w 9279"/>
                              <a:gd name="T2" fmla="+- 0 10571 1293"/>
                              <a:gd name="T3" fmla="*/ T2 w 9279"/>
                            </a:gdLst>
                            <a:ahLst/>
                            <a:cxnLst>
                              <a:cxn ang="0">
                                <a:pos x="T1" y="0"/>
                              </a:cxn>
                              <a:cxn ang="0">
                                <a:pos x="T3" y="0"/>
                              </a:cxn>
                            </a:cxnLst>
                            <a:rect l="0" t="0" r="r" b="b"/>
                            <a:pathLst>
                              <a:path w="9279">
                                <a:moveTo>
                                  <a:pt x="0" y="0"/>
                                </a:moveTo>
                                <a:lnTo>
                                  <a:pt x="9278" y="0"/>
                                </a:lnTo>
                              </a:path>
                            </a:pathLst>
                          </a:custGeom>
                          <a:noFill/>
                          <a:ln w="9121">
                            <a:solidFill>
                              <a:srgbClr val="676B6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E37BC9" id="Group 38" o:spid="_x0000_s1026" style="position:absolute;margin-left:64.65pt;margin-top:-1.15pt;width:463.95pt;height:.1pt;z-index:-251544064;mso-position-horizontal-relative:page" coordorigin="1293,-23" coordsize="92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">
                <v:shape id="Freeform 15" o:spid="_x0000_s1027" style="position:absolute;left:1293;top:-23;width:9279;height:2;visibility:visible;mso-wrap-style:square;v-text-anchor:top" coordsize="92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qQ38MA&#10;AADbAAAADwAAAGRycy9kb3ducmV2LnhtbESPwWrDMBBE74H+g9hAb7Gc1ITiWgmhtMWQXuIUel2s&#10;tWVirYylxu7fV4FCjsPMvGGK/Wx7caXRd44VrJMUBHHtdMetgq/z++oZhA/IGnvHpOCXPOx3D4sC&#10;c+0mPtG1Cq2IEPY5KjAhDLmUvjZk0SduII5e40aLIcqxlXrEKcJtLzdpupUWO44LBgd6NVRfqh+r&#10;gJtqMz3JbVZ+fHZvsjLp8Xu+KPW4nA8vIALN4R7+b5daQbaG25f4A+Tu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qQ38MAAADbAAAADwAAAAAAAAAAAAAAAACYAgAAZHJzL2Rv&#10;d25yZXYueG1sUEsFBgAAAAAEAAQA9QAAAIgDAAAAAA==&#10;" path="m,l9278,e" filled="f" strokecolor="#676b67" strokeweight=".25336mm">
                  <v:path arrowok="t" o:connecttype="custom" o:connectlocs="0,0;9278,0" o:connectangles="0,0"/>
                </v:shape>
                <w10:wrap anchorx="page"/>
              </v:group>
            </w:pict>
          </mc:Fallback>
        </mc:AlternateContent>
      </w:r>
      <w:r w:rsidRPr="00BB5C77">
        <w:rPr>
          <w:rFonts w:eastAsia="Calibri" w:cs="Times New Roman"/>
          <w:noProof/>
          <w:sz w:val="22"/>
        </w:rPr>
        <mc:AlternateContent>
          <mc:Choice Requires="wpg">
            <w:drawing>
              <wp:anchor distT="0" distB="0" distL="114300" distR="114300" simplePos="0" relativeHeight="251773440" behindDoc="1" locked="0" layoutInCell="1" allowOverlap="1" wp14:anchorId="2AAEAB20" wp14:editId="09E7C5BE">
                <wp:simplePos x="0" y="0"/>
                <wp:positionH relativeFrom="page">
                  <wp:posOffset>821055</wp:posOffset>
                </wp:positionH>
                <wp:positionV relativeFrom="paragraph">
                  <wp:posOffset>191135</wp:posOffset>
                </wp:positionV>
                <wp:extent cx="5892165" cy="1270"/>
                <wp:effectExtent l="11430" t="10160" r="11430" b="7620"/>
                <wp:wrapNone/>
                <wp:docPr id="36"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92165" cy="1270"/>
                          <a:chOff x="1293" y="301"/>
                          <a:chExt cx="9279" cy="2"/>
                        </a:xfrm>
                      </wpg:grpSpPr>
                      <wps:wsp>
                        <wps:cNvPr id="37" name="Freeform 17"/>
                        <wps:cNvSpPr>
                          <a:spLocks/>
                        </wps:cNvSpPr>
                        <wps:spPr bwMode="auto">
                          <a:xfrm>
                            <a:off x="1293" y="301"/>
                            <a:ext cx="9279" cy="2"/>
                          </a:xfrm>
                          <a:custGeom>
                            <a:avLst/>
                            <a:gdLst>
                              <a:gd name="T0" fmla="+- 0 1293 1293"/>
                              <a:gd name="T1" fmla="*/ T0 w 9279"/>
                              <a:gd name="T2" fmla="+- 0 10571 1293"/>
                              <a:gd name="T3" fmla="*/ T2 w 9279"/>
                            </a:gdLst>
                            <a:ahLst/>
                            <a:cxnLst>
                              <a:cxn ang="0">
                                <a:pos x="T1" y="0"/>
                              </a:cxn>
                              <a:cxn ang="0">
                                <a:pos x="T3" y="0"/>
                              </a:cxn>
                            </a:cxnLst>
                            <a:rect l="0" t="0" r="r" b="b"/>
                            <a:pathLst>
                              <a:path w="9279">
                                <a:moveTo>
                                  <a:pt x="0" y="0"/>
                                </a:moveTo>
                                <a:lnTo>
                                  <a:pt x="9278" y="0"/>
                                </a:lnTo>
                              </a:path>
                            </a:pathLst>
                          </a:custGeom>
                          <a:noFill/>
                          <a:ln w="9121">
                            <a:solidFill>
                              <a:srgbClr val="676B6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2BD787" id="Group 36" o:spid="_x0000_s1026" style="position:absolute;margin-left:64.65pt;margin-top:15.05pt;width:463.95pt;height:.1pt;z-index:-251543040;mso-position-horizontal-relative:page" coordorigin="1293,301" coordsize="92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">
                <v:shape id="Freeform 17" o:spid="_x0000_s1027" style="position:absolute;left:1293;top:301;width:9279;height:2;visibility:visible;mso-wrap-style:square;v-text-anchor:top" coordsize="92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neTcIA&#10;AADbAAAADwAAAGRycy9kb3ducmV2LnhtbESPQYvCMBSE78L+h/AW9qbpquhSjbKILoJerAteH82z&#10;KTYvpYm2/nsjCB6HmfmGmS87W4kbNb50rOB7kIAgzp0uuVDwf9z0f0D4gKyxckwK7uRhufjozTHV&#10;ruUD3bJQiAhhn6ICE0KdSulzQxb9wNXE0Tu7xmKIsimkbrCNcFvJYZJMpMWS44LBmlaG8kt2tQr4&#10;nA3bkZyMt3/7ci0zk+xO3UWpr8/udwYiUBfe4Vd7qxWMpvD8En+A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id5NwgAAANsAAAAPAAAAAAAAAAAAAAAAAJgCAABkcnMvZG93&#10;bnJldi54bWxQSwUGAAAAAAQABAD1AAAAhwMAAAAA&#10;" path="m,l9278,e" filled="f" strokecolor="#676b67" strokeweight=".25336mm">
                  <v:path arrowok="t" o:connecttype="custom" o:connectlocs="0,0;9278,0" o:connectangles="0,0"/>
                </v:shape>
                <w10:wrap anchorx="page"/>
              </v:group>
            </w:pict>
          </mc:Fallback>
        </mc:AlternateContent>
      </w:r>
      <w:r w:rsidRPr="00BB5C77">
        <w:rPr>
          <w:rFonts w:ascii="Arial" w:eastAsia="Arial" w:hAnsi="Arial" w:cs="Arial"/>
          <w:color w:val="606060"/>
          <w:spacing w:val="1"/>
          <w:sz w:val="24"/>
          <w:szCs w:val="24"/>
          <w:lang w:val="en-ZA" w:eastAsia="en-ZA"/>
        </w:rPr>
        <w:t xml:space="preserve"> </w:t>
      </w:r>
      <w:r w:rsidRPr="00BB5C77">
        <w:rPr>
          <w:rFonts w:ascii="Arial" w:eastAsia="Arial" w:hAnsi="Arial" w:cs="Arial"/>
          <w:color w:val="5287BC"/>
          <w:w w:val="110"/>
          <w:sz w:val="24"/>
          <w:szCs w:val="24"/>
          <w:lang w:val="en-ZA" w:eastAsia="en-ZA"/>
        </w:rPr>
        <w:t>Interna</w:t>
      </w:r>
      <w:r w:rsidRPr="00BB5C77">
        <w:rPr>
          <w:rFonts w:ascii="Arial" w:eastAsia="Arial" w:hAnsi="Arial" w:cs="Arial"/>
          <w:color w:val="5287BC"/>
          <w:w w:val="111"/>
          <w:sz w:val="24"/>
          <w:szCs w:val="24"/>
          <w:lang w:val="en-ZA" w:eastAsia="en-ZA"/>
        </w:rPr>
        <w:t>l</w:t>
      </w:r>
      <w:r w:rsidRPr="00BB5C77">
        <w:rPr>
          <w:rFonts w:ascii="Arial" w:eastAsia="Arial" w:hAnsi="Arial" w:cs="Arial"/>
          <w:color w:val="5287BC"/>
          <w:spacing w:val="-48"/>
          <w:sz w:val="24"/>
          <w:szCs w:val="24"/>
          <w:lang w:val="en-ZA" w:eastAsia="en-ZA"/>
        </w:rPr>
        <w:t xml:space="preserve"> </w:t>
      </w:r>
      <w:r w:rsidRPr="00BB5C77">
        <w:rPr>
          <w:rFonts w:ascii="Arial" w:eastAsia="Arial" w:hAnsi="Arial" w:cs="Arial"/>
          <w:color w:val="5287BC"/>
          <w:w w:val="114"/>
          <w:sz w:val="24"/>
          <w:szCs w:val="24"/>
          <w:lang w:val="en-ZA" w:eastAsia="en-ZA"/>
        </w:rPr>
        <w:t>contro</w:t>
      </w:r>
      <w:r w:rsidRPr="00BB5C77">
        <w:rPr>
          <w:rFonts w:ascii="Arial" w:eastAsia="Arial" w:hAnsi="Arial" w:cs="Arial"/>
          <w:color w:val="5287BC"/>
          <w:w w:val="115"/>
          <w:sz w:val="24"/>
          <w:szCs w:val="24"/>
          <w:lang w:val="en-ZA" w:eastAsia="en-ZA"/>
        </w:rPr>
        <w:t>l</w:t>
      </w:r>
      <w:r w:rsidRPr="00BB5C77">
        <w:rPr>
          <w:rFonts w:ascii="Arial" w:eastAsia="Arial" w:hAnsi="Arial" w:cs="Arial"/>
          <w:color w:val="5287BC"/>
          <w:spacing w:val="-39"/>
          <w:sz w:val="24"/>
          <w:szCs w:val="24"/>
          <w:lang w:val="en-ZA" w:eastAsia="en-ZA"/>
        </w:rPr>
        <w:t xml:space="preserve"> </w:t>
      </w:r>
      <w:r w:rsidRPr="00BB5C77">
        <w:rPr>
          <w:rFonts w:ascii="Arial" w:eastAsia="Arial" w:hAnsi="Arial" w:cs="Arial"/>
          <w:color w:val="5287BC"/>
          <w:w w:val="109"/>
          <w:sz w:val="24"/>
          <w:szCs w:val="24"/>
          <w:lang w:val="en-ZA" w:eastAsia="en-ZA"/>
        </w:rPr>
        <w:t>deficiencies</w:t>
      </w:r>
    </w:p>
    <w:p w14:paraId="306C8CEC" w14:textId="77777777" w:rsidR="00BB5C77" w:rsidRPr="00BB5C77" w:rsidRDefault="00BB5C77" w:rsidP="00BB5C77">
      <w:pPr>
        <w:spacing w:before="6" w:after="0" w:line="150" w:lineRule="exact"/>
        <w:jc w:val="both"/>
        <w:rPr>
          <w:rFonts w:eastAsia="Times New Roman" w:cs="Times New Roman"/>
          <w:sz w:val="15"/>
          <w:szCs w:val="15"/>
          <w:lang w:val="en-ZA" w:eastAsia="en-ZA"/>
        </w:rPr>
      </w:pPr>
    </w:p>
    <w:p w14:paraId="4F6715BF" w14:textId="77777777" w:rsidR="00BB5C77" w:rsidRPr="00BB5C77" w:rsidRDefault="00BB5C77" w:rsidP="00BB5C77">
      <w:pPr>
        <w:spacing w:after="0" w:line="200" w:lineRule="exact"/>
        <w:jc w:val="both"/>
        <w:rPr>
          <w:rFonts w:eastAsia="Times New Roman" w:cs="Times New Roman"/>
          <w:szCs w:val="20"/>
          <w:lang w:val="en-ZA" w:eastAsia="en-ZA"/>
        </w:rPr>
      </w:pPr>
    </w:p>
    <w:p w14:paraId="40BA1C53" w14:textId="77777777" w:rsidR="00BB5C77" w:rsidRPr="00BB5C77" w:rsidRDefault="00BB5C77" w:rsidP="00BB5C77">
      <w:pPr>
        <w:spacing w:after="0" w:line="249" w:lineRule="auto"/>
        <w:ind w:left="587" w:right="515" w:hanging="345"/>
        <w:jc w:val="both"/>
        <w:rPr>
          <w:rFonts w:ascii="Arial" w:eastAsia="Arial" w:hAnsi="Arial" w:cs="Arial"/>
          <w:sz w:val="21"/>
          <w:szCs w:val="21"/>
          <w:lang w:val="en-ZA" w:eastAsia="en-ZA"/>
        </w:rPr>
      </w:pPr>
      <w:r w:rsidRPr="00BB5C77">
        <w:rPr>
          <w:rFonts w:ascii="Arial" w:eastAsia="Arial" w:hAnsi="Arial" w:cs="Arial"/>
          <w:color w:val="030303"/>
          <w:w w:val="106"/>
          <w:sz w:val="21"/>
          <w:szCs w:val="21"/>
          <w:lang w:val="en-ZA" w:eastAsia="en-ZA"/>
        </w:rPr>
        <w:t>31</w:t>
      </w:r>
      <w:r w:rsidRPr="00BB5C77">
        <w:rPr>
          <w:rFonts w:ascii="Arial" w:eastAsia="Arial" w:hAnsi="Arial" w:cs="Arial"/>
          <w:color w:val="030303"/>
          <w:w w:val="105"/>
          <w:sz w:val="21"/>
          <w:szCs w:val="21"/>
          <w:lang w:val="en-ZA" w:eastAsia="en-ZA"/>
        </w:rPr>
        <w:t>.</w:t>
      </w:r>
      <w:r w:rsidRPr="00BB5C77">
        <w:rPr>
          <w:rFonts w:ascii="Arial" w:eastAsia="Arial" w:hAnsi="Arial" w:cs="Arial"/>
          <w:color w:val="030303"/>
          <w:spacing w:val="-43"/>
          <w:sz w:val="21"/>
          <w:szCs w:val="21"/>
          <w:lang w:val="en-ZA" w:eastAsia="en-ZA"/>
        </w:rPr>
        <w:t xml:space="preserve"> </w:t>
      </w:r>
      <w:r w:rsidRPr="00BB5C77">
        <w:rPr>
          <w:rFonts w:ascii="Arial" w:eastAsia="Arial" w:hAnsi="Arial" w:cs="Arial"/>
          <w:color w:val="030303"/>
          <w:w w:val="179"/>
          <w:sz w:val="21"/>
          <w:szCs w:val="21"/>
          <w:lang w:val="en-ZA" w:eastAsia="en-ZA"/>
        </w:rPr>
        <w:t>I</w:t>
      </w:r>
      <w:r w:rsidRPr="00BB5C77">
        <w:rPr>
          <w:rFonts w:ascii="Arial" w:eastAsia="Arial" w:hAnsi="Arial" w:cs="Arial"/>
          <w:color w:val="030303"/>
          <w:spacing w:val="-37"/>
          <w:sz w:val="21"/>
          <w:szCs w:val="21"/>
          <w:lang w:val="en-ZA" w:eastAsia="en-ZA"/>
        </w:rPr>
        <w:t xml:space="preserve"> </w:t>
      </w:r>
      <w:r w:rsidRPr="00BB5C77">
        <w:rPr>
          <w:rFonts w:ascii="Arial" w:eastAsia="Arial" w:hAnsi="Arial" w:cs="Arial"/>
          <w:color w:val="030303"/>
          <w:sz w:val="21"/>
          <w:szCs w:val="21"/>
          <w:lang w:val="en-ZA" w:eastAsia="en-ZA"/>
        </w:rPr>
        <w:t xml:space="preserve">considered </w:t>
      </w:r>
      <w:r w:rsidRPr="00BB5C77">
        <w:rPr>
          <w:rFonts w:ascii="Arial" w:eastAsia="Arial" w:hAnsi="Arial" w:cs="Arial"/>
          <w:color w:val="030303"/>
          <w:spacing w:val="1"/>
          <w:sz w:val="21"/>
          <w:szCs w:val="21"/>
          <w:lang w:val="en-ZA" w:eastAsia="en-ZA"/>
        </w:rPr>
        <w:t xml:space="preserve"> </w:t>
      </w:r>
      <w:r w:rsidRPr="00BB5C77">
        <w:rPr>
          <w:rFonts w:ascii="Arial" w:eastAsia="Arial" w:hAnsi="Arial" w:cs="Arial"/>
          <w:color w:val="030303"/>
          <w:sz w:val="21"/>
          <w:szCs w:val="21"/>
          <w:lang w:val="en-ZA" w:eastAsia="en-ZA"/>
        </w:rPr>
        <w:t>internal</w:t>
      </w:r>
      <w:r w:rsidRPr="00BB5C77">
        <w:rPr>
          <w:rFonts w:ascii="Arial" w:eastAsia="Arial" w:hAnsi="Arial" w:cs="Arial"/>
          <w:color w:val="030303"/>
          <w:spacing w:val="6"/>
          <w:sz w:val="21"/>
          <w:szCs w:val="21"/>
          <w:lang w:val="en-ZA" w:eastAsia="en-ZA"/>
        </w:rPr>
        <w:t xml:space="preserve"> </w:t>
      </w:r>
      <w:r w:rsidRPr="00BB5C77">
        <w:rPr>
          <w:rFonts w:ascii="Arial" w:eastAsia="Arial" w:hAnsi="Arial" w:cs="Arial"/>
          <w:color w:val="030303"/>
          <w:sz w:val="21"/>
          <w:szCs w:val="21"/>
          <w:lang w:val="en-ZA" w:eastAsia="en-ZA"/>
        </w:rPr>
        <w:t>control</w:t>
      </w:r>
      <w:r w:rsidRPr="00BB5C77">
        <w:rPr>
          <w:rFonts w:ascii="Arial" w:eastAsia="Arial" w:hAnsi="Arial" w:cs="Arial"/>
          <w:color w:val="030303"/>
          <w:spacing w:val="15"/>
          <w:sz w:val="21"/>
          <w:szCs w:val="21"/>
          <w:lang w:val="en-ZA" w:eastAsia="en-ZA"/>
        </w:rPr>
        <w:t xml:space="preserve"> </w:t>
      </w:r>
      <w:r w:rsidRPr="00BB5C77">
        <w:rPr>
          <w:rFonts w:ascii="Arial" w:eastAsia="Arial" w:hAnsi="Arial" w:cs="Arial"/>
          <w:color w:val="030303"/>
          <w:sz w:val="21"/>
          <w:szCs w:val="21"/>
          <w:lang w:val="en-ZA" w:eastAsia="en-ZA"/>
        </w:rPr>
        <w:t>relevant</w:t>
      </w:r>
      <w:r w:rsidRPr="00BB5C77">
        <w:rPr>
          <w:rFonts w:ascii="Arial" w:eastAsia="Arial" w:hAnsi="Arial" w:cs="Arial"/>
          <w:color w:val="030303"/>
          <w:spacing w:val="31"/>
          <w:sz w:val="21"/>
          <w:szCs w:val="21"/>
          <w:lang w:val="en-ZA" w:eastAsia="en-ZA"/>
        </w:rPr>
        <w:t xml:space="preserve"> </w:t>
      </w:r>
      <w:r w:rsidRPr="00BB5C77">
        <w:rPr>
          <w:rFonts w:ascii="Arial" w:eastAsia="Arial" w:hAnsi="Arial" w:cs="Arial"/>
          <w:color w:val="030303"/>
          <w:sz w:val="21"/>
          <w:szCs w:val="21"/>
          <w:lang w:val="en-ZA" w:eastAsia="en-ZA"/>
        </w:rPr>
        <w:t>to</w:t>
      </w:r>
      <w:r w:rsidRPr="00BB5C77">
        <w:rPr>
          <w:rFonts w:ascii="Arial" w:eastAsia="Arial" w:hAnsi="Arial" w:cs="Arial"/>
          <w:color w:val="030303"/>
          <w:spacing w:val="12"/>
          <w:sz w:val="21"/>
          <w:szCs w:val="21"/>
          <w:lang w:val="en-ZA" w:eastAsia="en-ZA"/>
        </w:rPr>
        <w:t xml:space="preserve"> </w:t>
      </w:r>
      <w:r w:rsidRPr="00BB5C77">
        <w:rPr>
          <w:rFonts w:ascii="Arial" w:eastAsia="Arial" w:hAnsi="Arial" w:cs="Arial"/>
          <w:color w:val="030303"/>
          <w:sz w:val="21"/>
          <w:szCs w:val="21"/>
          <w:lang w:val="en-ZA" w:eastAsia="en-ZA"/>
        </w:rPr>
        <w:t>my</w:t>
      </w:r>
      <w:r w:rsidRPr="00BB5C77">
        <w:rPr>
          <w:rFonts w:ascii="Arial" w:eastAsia="Arial" w:hAnsi="Arial" w:cs="Arial"/>
          <w:color w:val="030303"/>
          <w:spacing w:val="28"/>
          <w:sz w:val="21"/>
          <w:szCs w:val="21"/>
          <w:lang w:val="en-ZA" w:eastAsia="en-ZA"/>
        </w:rPr>
        <w:t xml:space="preserve"> </w:t>
      </w:r>
      <w:r w:rsidRPr="00BB5C77">
        <w:rPr>
          <w:rFonts w:ascii="Arial" w:eastAsia="Arial" w:hAnsi="Arial" w:cs="Arial"/>
          <w:color w:val="030303"/>
          <w:sz w:val="21"/>
          <w:szCs w:val="21"/>
          <w:lang w:val="en-ZA" w:eastAsia="en-ZA"/>
        </w:rPr>
        <w:t>audit</w:t>
      </w:r>
      <w:r w:rsidRPr="00BB5C77">
        <w:rPr>
          <w:rFonts w:ascii="Arial" w:eastAsia="Arial" w:hAnsi="Arial" w:cs="Arial"/>
          <w:color w:val="030303"/>
          <w:spacing w:val="18"/>
          <w:sz w:val="21"/>
          <w:szCs w:val="21"/>
          <w:lang w:val="en-ZA" w:eastAsia="en-ZA"/>
        </w:rPr>
        <w:t xml:space="preserve"> </w:t>
      </w:r>
      <w:r w:rsidRPr="00BB5C77">
        <w:rPr>
          <w:rFonts w:ascii="Arial" w:eastAsia="Arial" w:hAnsi="Arial" w:cs="Arial"/>
          <w:color w:val="030303"/>
          <w:sz w:val="21"/>
          <w:szCs w:val="21"/>
          <w:lang w:val="en-ZA" w:eastAsia="en-ZA"/>
        </w:rPr>
        <w:t>of</w:t>
      </w:r>
      <w:r w:rsidRPr="00BB5C77">
        <w:rPr>
          <w:rFonts w:ascii="Arial" w:eastAsia="Arial" w:hAnsi="Arial" w:cs="Arial"/>
          <w:color w:val="030303"/>
          <w:spacing w:val="15"/>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9"/>
          <w:sz w:val="21"/>
          <w:szCs w:val="21"/>
          <w:lang w:val="en-ZA" w:eastAsia="en-ZA"/>
        </w:rPr>
        <w:t xml:space="preserve"> </w:t>
      </w:r>
      <w:r w:rsidRPr="00BB5C77">
        <w:rPr>
          <w:rFonts w:ascii="Arial" w:eastAsia="Arial" w:hAnsi="Arial" w:cs="Arial"/>
          <w:color w:val="030303"/>
          <w:sz w:val="21"/>
          <w:szCs w:val="21"/>
          <w:lang w:val="en-ZA" w:eastAsia="en-ZA"/>
        </w:rPr>
        <w:t>financial</w:t>
      </w:r>
      <w:r w:rsidRPr="00BB5C77">
        <w:rPr>
          <w:rFonts w:ascii="Arial" w:eastAsia="Arial" w:hAnsi="Arial" w:cs="Arial"/>
          <w:color w:val="030303"/>
          <w:spacing w:val="-3"/>
          <w:sz w:val="21"/>
          <w:szCs w:val="21"/>
          <w:lang w:val="en-ZA" w:eastAsia="en-ZA"/>
        </w:rPr>
        <w:t xml:space="preserve"> </w:t>
      </w:r>
      <w:r w:rsidRPr="00BB5C77">
        <w:rPr>
          <w:rFonts w:ascii="Arial" w:eastAsia="Arial" w:hAnsi="Arial" w:cs="Arial"/>
          <w:color w:val="030303"/>
          <w:sz w:val="21"/>
          <w:szCs w:val="21"/>
          <w:lang w:val="en-ZA" w:eastAsia="en-ZA"/>
        </w:rPr>
        <w:t>statements,</w:t>
      </w:r>
      <w:r w:rsidRPr="00BB5C77">
        <w:rPr>
          <w:rFonts w:ascii="Arial" w:eastAsia="Arial" w:hAnsi="Arial" w:cs="Arial"/>
          <w:color w:val="030303"/>
          <w:spacing w:val="39"/>
          <w:sz w:val="21"/>
          <w:szCs w:val="21"/>
          <w:lang w:val="en-ZA" w:eastAsia="en-ZA"/>
        </w:rPr>
        <w:t xml:space="preserve"> </w:t>
      </w:r>
      <w:r w:rsidRPr="00BB5C77">
        <w:rPr>
          <w:rFonts w:ascii="Arial" w:eastAsia="Arial" w:hAnsi="Arial" w:cs="Arial"/>
          <w:color w:val="030303"/>
          <w:w w:val="106"/>
          <w:sz w:val="21"/>
          <w:szCs w:val="21"/>
          <w:lang w:val="en-ZA" w:eastAsia="en-ZA"/>
        </w:rPr>
        <w:t xml:space="preserve">reported </w:t>
      </w:r>
      <w:r w:rsidRPr="00BB5C77">
        <w:rPr>
          <w:rFonts w:ascii="Arial" w:eastAsia="Arial" w:hAnsi="Arial" w:cs="Arial"/>
          <w:color w:val="030303"/>
          <w:sz w:val="21"/>
          <w:szCs w:val="21"/>
          <w:lang w:val="en-ZA" w:eastAsia="en-ZA"/>
        </w:rPr>
        <w:t>performance</w:t>
      </w:r>
      <w:r w:rsidRPr="00BB5C77">
        <w:rPr>
          <w:rFonts w:ascii="Arial" w:eastAsia="Arial" w:hAnsi="Arial" w:cs="Arial"/>
          <w:color w:val="030303"/>
          <w:spacing w:val="48"/>
          <w:sz w:val="21"/>
          <w:szCs w:val="21"/>
          <w:lang w:val="en-ZA" w:eastAsia="en-ZA"/>
        </w:rPr>
        <w:t xml:space="preserve"> </w:t>
      </w:r>
      <w:r w:rsidRPr="00BB5C77">
        <w:rPr>
          <w:rFonts w:ascii="Arial" w:eastAsia="Arial" w:hAnsi="Arial" w:cs="Arial"/>
          <w:color w:val="030303"/>
          <w:sz w:val="21"/>
          <w:szCs w:val="21"/>
          <w:lang w:val="en-ZA" w:eastAsia="en-ZA"/>
        </w:rPr>
        <w:t>information</w:t>
      </w:r>
      <w:r w:rsidRPr="00BB5C77">
        <w:rPr>
          <w:rFonts w:ascii="Arial" w:eastAsia="Arial" w:hAnsi="Arial" w:cs="Arial"/>
          <w:color w:val="030303"/>
          <w:spacing w:val="50"/>
          <w:sz w:val="21"/>
          <w:szCs w:val="21"/>
          <w:lang w:val="en-ZA" w:eastAsia="en-ZA"/>
        </w:rPr>
        <w:t xml:space="preserve"> </w:t>
      </w:r>
      <w:r w:rsidRPr="00BB5C77">
        <w:rPr>
          <w:rFonts w:ascii="Arial" w:eastAsia="Arial" w:hAnsi="Arial" w:cs="Arial"/>
          <w:color w:val="030303"/>
          <w:sz w:val="21"/>
          <w:szCs w:val="21"/>
          <w:lang w:val="en-ZA" w:eastAsia="en-ZA"/>
        </w:rPr>
        <w:t>and</w:t>
      </w:r>
      <w:r w:rsidRPr="00BB5C77">
        <w:rPr>
          <w:rFonts w:ascii="Arial" w:eastAsia="Arial" w:hAnsi="Arial" w:cs="Arial"/>
          <w:color w:val="030303"/>
          <w:spacing w:val="19"/>
          <w:sz w:val="21"/>
          <w:szCs w:val="21"/>
          <w:lang w:val="en-ZA" w:eastAsia="en-ZA"/>
        </w:rPr>
        <w:t xml:space="preserve"> </w:t>
      </w:r>
      <w:r w:rsidRPr="00BB5C77">
        <w:rPr>
          <w:rFonts w:ascii="Arial" w:eastAsia="Arial" w:hAnsi="Arial" w:cs="Arial"/>
          <w:color w:val="030303"/>
          <w:sz w:val="21"/>
          <w:szCs w:val="21"/>
          <w:lang w:val="en-ZA" w:eastAsia="en-ZA"/>
        </w:rPr>
        <w:t>compliance</w:t>
      </w:r>
      <w:r w:rsidRPr="00BB5C77">
        <w:rPr>
          <w:rFonts w:ascii="Arial" w:eastAsia="Arial" w:hAnsi="Arial" w:cs="Arial"/>
          <w:color w:val="030303"/>
          <w:spacing w:val="48"/>
          <w:sz w:val="21"/>
          <w:szCs w:val="21"/>
          <w:lang w:val="en-ZA" w:eastAsia="en-ZA"/>
        </w:rPr>
        <w:t xml:space="preserve"> </w:t>
      </w:r>
      <w:r w:rsidRPr="00BB5C77">
        <w:rPr>
          <w:rFonts w:ascii="Arial" w:eastAsia="Arial" w:hAnsi="Arial" w:cs="Arial"/>
          <w:color w:val="030303"/>
          <w:sz w:val="21"/>
          <w:szCs w:val="21"/>
          <w:lang w:val="en-ZA" w:eastAsia="en-ZA"/>
        </w:rPr>
        <w:t>with</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applicable</w:t>
      </w:r>
      <w:r w:rsidRPr="00BB5C77">
        <w:rPr>
          <w:rFonts w:ascii="Arial" w:eastAsia="Arial" w:hAnsi="Arial" w:cs="Arial"/>
          <w:color w:val="030303"/>
          <w:spacing w:val="46"/>
          <w:sz w:val="21"/>
          <w:szCs w:val="21"/>
          <w:lang w:val="en-ZA" w:eastAsia="en-ZA"/>
        </w:rPr>
        <w:t xml:space="preserve"> </w:t>
      </w:r>
      <w:r w:rsidRPr="00BB5C77">
        <w:rPr>
          <w:rFonts w:ascii="Arial" w:eastAsia="Arial" w:hAnsi="Arial" w:cs="Arial"/>
          <w:color w:val="030303"/>
          <w:sz w:val="21"/>
          <w:szCs w:val="21"/>
          <w:lang w:val="en-ZA" w:eastAsia="en-ZA"/>
        </w:rPr>
        <w:t>legislation;</w:t>
      </w:r>
      <w:r w:rsidRPr="00BB5C77">
        <w:rPr>
          <w:rFonts w:ascii="Arial" w:eastAsia="Arial" w:hAnsi="Arial" w:cs="Arial"/>
          <w:color w:val="030303"/>
          <w:spacing w:val="35"/>
          <w:sz w:val="21"/>
          <w:szCs w:val="21"/>
          <w:lang w:val="en-ZA" w:eastAsia="en-ZA"/>
        </w:rPr>
        <w:t xml:space="preserve"> </w:t>
      </w:r>
      <w:r w:rsidRPr="00BB5C77">
        <w:rPr>
          <w:rFonts w:ascii="Arial" w:eastAsia="Arial" w:hAnsi="Arial" w:cs="Arial"/>
          <w:color w:val="030303"/>
          <w:sz w:val="21"/>
          <w:szCs w:val="21"/>
          <w:lang w:val="en-ZA" w:eastAsia="en-ZA"/>
        </w:rPr>
        <w:t>however,</w:t>
      </w:r>
      <w:r w:rsidRPr="00BB5C77">
        <w:rPr>
          <w:rFonts w:ascii="Arial" w:eastAsia="Arial" w:hAnsi="Arial" w:cs="Arial"/>
          <w:color w:val="030303"/>
          <w:spacing w:val="44"/>
          <w:sz w:val="21"/>
          <w:szCs w:val="21"/>
          <w:lang w:val="en-ZA" w:eastAsia="en-ZA"/>
        </w:rPr>
        <w:t xml:space="preserve"> </w:t>
      </w:r>
      <w:r w:rsidRPr="00BB5C77">
        <w:rPr>
          <w:rFonts w:ascii="Arial" w:eastAsia="Arial" w:hAnsi="Arial" w:cs="Arial"/>
          <w:color w:val="030303"/>
          <w:w w:val="109"/>
          <w:sz w:val="21"/>
          <w:szCs w:val="21"/>
          <w:lang w:val="en-ZA" w:eastAsia="en-ZA"/>
        </w:rPr>
        <w:t xml:space="preserve">my </w:t>
      </w:r>
      <w:r w:rsidRPr="00BB5C77">
        <w:rPr>
          <w:rFonts w:ascii="Arial" w:eastAsia="Arial" w:hAnsi="Arial" w:cs="Arial"/>
          <w:color w:val="030303"/>
          <w:sz w:val="21"/>
          <w:szCs w:val="21"/>
          <w:lang w:val="en-ZA" w:eastAsia="en-ZA"/>
        </w:rPr>
        <w:t>objective</w:t>
      </w:r>
      <w:r w:rsidRPr="00BB5C77">
        <w:rPr>
          <w:rFonts w:ascii="Arial" w:eastAsia="Arial" w:hAnsi="Arial" w:cs="Arial"/>
          <w:color w:val="030303"/>
          <w:spacing w:val="44"/>
          <w:sz w:val="21"/>
          <w:szCs w:val="21"/>
          <w:lang w:val="en-ZA" w:eastAsia="en-ZA"/>
        </w:rPr>
        <w:t xml:space="preserve"> </w:t>
      </w:r>
      <w:r w:rsidRPr="00BB5C77">
        <w:rPr>
          <w:rFonts w:ascii="Arial" w:eastAsia="Arial" w:hAnsi="Arial" w:cs="Arial"/>
          <w:color w:val="030303"/>
          <w:sz w:val="21"/>
          <w:szCs w:val="21"/>
          <w:lang w:val="en-ZA" w:eastAsia="en-ZA"/>
        </w:rPr>
        <w:t>was</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not</w:t>
      </w:r>
      <w:r w:rsidRPr="00BB5C77">
        <w:rPr>
          <w:rFonts w:ascii="Arial" w:eastAsia="Arial" w:hAnsi="Arial" w:cs="Arial"/>
          <w:color w:val="030303"/>
          <w:spacing w:val="18"/>
          <w:sz w:val="21"/>
          <w:szCs w:val="21"/>
          <w:lang w:val="en-ZA" w:eastAsia="en-ZA"/>
        </w:rPr>
        <w:t xml:space="preserve"> </w:t>
      </w:r>
      <w:r w:rsidRPr="00BB5C77">
        <w:rPr>
          <w:rFonts w:ascii="Arial" w:eastAsia="Arial" w:hAnsi="Arial" w:cs="Arial"/>
          <w:color w:val="030303"/>
          <w:sz w:val="21"/>
          <w:szCs w:val="21"/>
          <w:lang w:val="en-ZA" w:eastAsia="en-ZA"/>
        </w:rPr>
        <w:t>to</w:t>
      </w:r>
      <w:r w:rsidRPr="00BB5C77">
        <w:rPr>
          <w:rFonts w:ascii="Arial" w:eastAsia="Arial" w:hAnsi="Arial" w:cs="Arial"/>
          <w:color w:val="030303"/>
          <w:spacing w:val="21"/>
          <w:sz w:val="21"/>
          <w:szCs w:val="21"/>
          <w:lang w:val="en-ZA" w:eastAsia="en-ZA"/>
        </w:rPr>
        <w:t xml:space="preserve"> </w:t>
      </w:r>
      <w:r w:rsidRPr="00BB5C77">
        <w:rPr>
          <w:rFonts w:ascii="Arial" w:eastAsia="Arial" w:hAnsi="Arial" w:cs="Arial"/>
          <w:color w:val="030303"/>
          <w:sz w:val="21"/>
          <w:szCs w:val="21"/>
          <w:lang w:val="en-ZA" w:eastAsia="en-ZA"/>
        </w:rPr>
        <w:t>express</w:t>
      </w:r>
      <w:r w:rsidRPr="00BB5C77">
        <w:rPr>
          <w:rFonts w:ascii="Arial" w:eastAsia="Arial" w:hAnsi="Arial" w:cs="Arial"/>
          <w:color w:val="030303"/>
          <w:spacing w:val="25"/>
          <w:sz w:val="21"/>
          <w:szCs w:val="21"/>
          <w:lang w:val="en-ZA" w:eastAsia="en-ZA"/>
        </w:rPr>
        <w:t xml:space="preserve"> </w:t>
      </w:r>
      <w:r w:rsidRPr="00BB5C77">
        <w:rPr>
          <w:rFonts w:ascii="Arial" w:eastAsia="Arial" w:hAnsi="Arial" w:cs="Arial"/>
          <w:color w:val="030303"/>
          <w:sz w:val="21"/>
          <w:szCs w:val="21"/>
          <w:lang w:val="en-ZA" w:eastAsia="en-ZA"/>
        </w:rPr>
        <w:t>any</w:t>
      </w:r>
      <w:r w:rsidRPr="00BB5C77">
        <w:rPr>
          <w:rFonts w:ascii="Arial" w:eastAsia="Arial" w:hAnsi="Arial" w:cs="Arial"/>
          <w:color w:val="030303"/>
          <w:spacing w:val="25"/>
          <w:sz w:val="21"/>
          <w:szCs w:val="21"/>
          <w:lang w:val="en-ZA" w:eastAsia="en-ZA"/>
        </w:rPr>
        <w:t xml:space="preserve"> </w:t>
      </w:r>
      <w:r w:rsidRPr="00BB5C77">
        <w:rPr>
          <w:rFonts w:ascii="Arial" w:eastAsia="Arial" w:hAnsi="Arial" w:cs="Arial"/>
          <w:color w:val="030303"/>
          <w:sz w:val="21"/>
          <w:szCs w:val="21"/>
          <w:lang w:val="en-ZA" w:eastAsia="en-ZA"/>
        </w:rPr>
        <w:t>form</w:t>
      </w:r>
      <w:r w:rsidRPr="00BB5C77">
        <w:rPr>
          <w:rFonts w:ascii="Arial" w:eastAsia="Arial" w:hAnsi="Arial" w:cs="Arial"/>
          <w:color w:val="030303"/>
          <w:spacing w:val="16"/>
          <w:sz w:val="21"/>
          <w:szCs w:val="21"/>
          <w:lang w:val="en-ZA" w:eastAsia="en-ZA"/>
        </w:rPr>
        <w:t xml:space="preserve"> </w:t>
      </w:r>
      <w:r w:rsidRPr="00BB5C77">
        <w:rPr>
          <w:rFonts w:ascii="Arial" w:eastAsia="Arial" w:hAnsi="Arial" w:cs="Arial"/>
          <w:color w:val="030303"/>
          <w:sz w:val="21"/>
          <w:szCs w:val="21"/>
          <w:lang w:val="en-ZA" w:eastAsia="en-ZA"/>
        </w:rPr>
        <w:t>of</w:t>
      </w:r>
      <w:r w:rsidRPr="00BB5C77">
        <w:rPr>
          <w:rFonts w:ascii="Arial" w:eastAsia="Arial" w:hAnsi="Arial" w:cs="Arial"/>
          <w:color w:val="030303"/>
          <w:spacing w:val="10"/>
          <w:sz w:val="21"/>
          <w:szCs w:val="21"/>
          <w:lang w:val="en-ZA" w:eastAsia="en-ZA"/>
        </w:rPr>
        <w:t xml:space="preserve"> </w:t>
      </w:r>
      <w:r w:rsidRPr="00BB5C77">
        <w:rPr>
          <w:rFonts w:ascii="Arial" w:eastAsia="Arial" w:hAnsi="Arial" w:cs="Arial"/>
          <w:color w:val="030303"/>
          <w:sz w:val="21"/>
          <w:szCs w:val="21"/>
          <w:lang w:val="en-ZA" w:eastAsia="en-ZA"/>
        </w:rPr>
        <w:t>assurance</w:t>
      </w:r>
      <w:r w:rsidRPr="00BB5C77">
        <w:rPr>
          <w:rFonts w:ascii="Arial" w:eastAsia="Arial" w:hAnsi="Arial" w:cs="Arial"/>
          <w:color w:val="030303"/>
          <w:spacing w:val="50"/>
          <w:sz w:val="21"/>
          <w:szCs w:val="21"/>
          <w:lang w:val="en-ZA" w:eastAsia="en-ZA"/>
        </w:rPr>
        <w:t xml:space="preserve"> </w:t>
      </w:r>
      <w:r w:rsidRPr="00BB5C77">
        <w:rPr>
          <w:rFonts w:ascii="Arial" w:eastAsia="Arial" w:hAnsi="Arial" w:cs="Arial"/>
          <w:color w:val="030303"/>
          <w:w w:val="105"/>
          <w:sz w:val="21"/>
          <w:szCs w:val="21"/>
          <w:lang w:val="en-ZA" w:eastAsia="en-ZA"/>
        </w:rPr>
        <w:t>thereon.</w:t>
      </w:r>
    </w:p>
    <w:p w14:paraId="3EDD711F" w14:textId="77777777" w:rsidR="00BB5C77" w:rsidRPr="00BB5C77" w:rsidRDefault="00BB5C77" w:rsidP="00BB5C77">
      <w:pPr>
        <w:spacing w:before="17" w:after="0" w:line="220" w:lineRule="exact"/>
        <w:jc w:val="both"/>
        <w:rPr>
          <w:rFonts w:eastAsia="Times New Roman" w:cs="Times New Roman"/>
          <w:sz w:val="22"/>
          <w:lang w:val="en-ZA" w:eastAsia="en-ZA"/>
        </w:rPr>
      </w:pPr>
    </w:p>
    <w:p w14:paraId="50498B5A" w14:textId="77777777" w:rsidR="00BB5C77" w:rsidRPr="00BB5C77" w:rsidRDefault="00BB5C77" w:rsidP="00BB5C77">
      <w:pPr>
        <w:spacing w:after="0" w:line="257" w:lineRule="auto"/>
        <w:ind w:left="601" w:right="53" w:hanging="373"/>
        <w:jc w:val="both"/>
        <w:rPr>
          <w:rFonts w:ascii="Arial" w:eastAsia="Arial" w:hAnsi="Arial" w:cs="Arial"/>
          <w:sz w:val="21"/>
          <w:szCs w:val="21"/>
          <w:lang w:val="en-ZA" w:eastAsia="en-ZA"/>
        </w:rPr>
      </w:pPr>
      <w:r w:rsidRPr="00BB5C77">
        <w:rPr>
          <w:rFonts w:ascii="Arial" w:eastAsia="Arial" w:hAnsi="Arial" w:cs="Arial"/>
          <w:color w:val="1C1C1C"/>
          <w:sz w:val="21"/>
          <w:szCs w:val="21"/>
          <w:lang w:val="en-ZA" w:eastAsia="en-ZA"/>
        </w:rPr>
        <w:t>32.</w:t>
      </w:r>
      <w:r w:rsidRPr="00BB5C77">
        <w:rPr>
          <w:rFonts w:ascii="Arial" w:eastAsia="Arial" w:hAnsi="Arial" w:cs="Arial"/>
          <w:color w:val="1C1C1C"/>
          <w:spacing w:val="-11"/>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1"/>
          <w:sz w:val="21"/>
          <w:szCs w:val="21"/>
          <w:lang w:val="en-ZA" w:eastAsia="en-ZA"/>
        </w:rPr>
        <w:t xml:space="preserve"> </w:t>
      </w:r>
      <w:r w:rsidRPr="00BB5C77">
        <w:rPr>
          <w:rFonts w:ascii="Arial" w:eastAsia="Arial" w:hAnsi="Arial" w:cs="Arial"/>
          <w:color w:val="030303"/>
          <w:sz w:val="21"/>
          <w:szCs w:val="21"/>
          <w:lang w:val="en-ZA" w:eastAsia="en-ZA"/>
        </w:rPr>
        <w:t>matters</w:t>
      </w:r>
      <w:r w:rsidRPr="00BB5C77">
        <w:rPr>
          <w:rFonts w:ascii="Arial" w:eastAsia="Arial" w:hAnsi="Arial" w:cs="Arial"/>
          <w:color w:val="030303"/>
          <w:spacing w:val="40"/>
          <w:sz w:val="21"/>
          <w:szCs w:val="21"/>
          <w:lang w:val="en-ZA" w:eastAsia="en-ZA"/>
        </w:rPr>
        <w:t xml:space="preserve"> </w:t>
      </w:r>
      <w:r w:rsidRPr="00BB5C77">
        <w:rPr>
          <w:rFonts w:ascii="Arial" w:eastAsia="Arial" w:hAnsi="Arial" w:cs="Arial"/>
          <w:color w:val="030303"/>
          <w:sz w:val="21"/>
          <w:szCs w:val="21"/>
          <w:lang w:val="en-ZA" w:eastAsia="en-ZA"/>
        </w:rPr>
        <w:t>reported</w:t>
      </w:r>
      <w:r w:rsidRPr="00BB5C77">
        <w:rPr>
          <w:rFonts w:ascii="Arial" w:eastAsia="Arial" w:hAnsi="Arial" w:cs="Arial"/>
          <w:color w:val="030303"/>
          <w:spacing w:val="29"/>
          <w:sz w:val="21"/>
          <w:szCs w:val="21"/>
          <w:lang w:val="en-ZA" w:eastAsia="en-ZA"/>
        </w:rPr>
        <w:t xml:space="preserve"> </w:t>
      </w:r>
      <w:r w:rsidRPr="00BB5C77">
        <w:rPr>
          <w:rFonts w:ascii="Arial" w:eastAsia="Arial" w:hAnsi="Arial" w:cs="Arial"/>
          <w:color w:val="030303"/>
          <w:sz w:val="21"/>
          <w:szCs w:val="21"/>
          <w:lang w:val="en-ZA" w:eastAsia="en-ZA"/>
        </w:rPr>
        <w:t>below</w:t>
      </w:r>
      <w:r w:rsidRPr="00BB5C77">
        <w:rPr>
          <w:rFonts w:ascii="Arial" w:eastAsia="Arial" w:hAnsi="Arial" w:cs="Arial"/>
          <w:color w:val="030303"/>
          <w:spacing w:val="31"/>
          <w:sz w:val="21"/>
          <w:szCs w:val="21"/>
          <w:lang w:val="en-ZA" w:eastAsia="en-ZA"/>
        </w:rPr>
        <w:t xml:space="preserve"> </w:t>
      </w:r>
      <w:r w:rsidRPr="00BB5C77">
        <w:rPr>
          <w:rFonts w:ascii="Arial" w:eastAsia="Arial" w:hAnsi="Arial" w:cs="Arial"/>
          <w:color w:val="030303"/>
          <w:sz w:val="21"/>
          <w:szCs w:val="21"/>
          <w:lang w:val="en-ZA" w:eastAsia="en-ZA"/>
        </w:rPr>
        <w:t>are</w:t>
      </w:r>
      <w:r w:rsidRPr="00BB5C77">
        <w:rPr>
          <w:rFonts w:ascii="Arial" w:eastAsia="Arial" w:hAnsi="Arial" w:cs="Arial"/>
          <w:color w:val="030303"/>
          <w:spacing w:val="21"/>
          <w:sz w:val="21"/>
          <w:szCs w:val="21"/>
          <w:lang w:val="en-ZA" w:eastAsia="en-ZA"/>
        </w:rPr>
        <w:t xml:space="preserve"> </w:t>
      </w:r>
      <w:r w:rsidRPr="00BB5C77">
        <w:rPr>
          <w:rFonts w:ascii="Arial" w:eastAsia="Arial" w:hAnsi="Arial" w:cs="Arial"/>
          <w:color w:val="030303"/>
          <w:sz w:val="21"/>
          <w:szCs w:val="21"/>
          <w:lang w:val="en-ZA" w:eastAsia="en-ZA"/>
        </w:rPr>
        <w:t>limited</w:t>
      </w:r>
      <w:r w:rsidRPr="00BB5C77">
        <w:rPr>
          <w:rFonts w:ascii="Arial" w:eastAsia="Arial" w:hAnsi="Arial" w:cs="Arial"/>
          <w:color w:val="030303"/>
          <w:spacing w:val="15"/>
          <w:sz w:val="21"/>
          <w:szCs w:val="21"/>
          <w:lang w:val="en-ZA" w:eastAsia="en-ZA"/>
        </w:rPr>
        <w:t xml:space="preserve"> </w:t>
      </w:r>
      <w:r w:rsidRPr="00BB5C77">
        <w:rPr>
          <w:rFonts w:ascii="Arial" w:eastAsia="Arial" w:hAnsi="Arial" w:cs="Arial"/>
          <w:color w:val="030303"/>
          <w:sz w:val="21"/>
          <w:szCs w:val="21"/>
          <w:lang w:val="en-ZA" w:eastAsia="en-ZA"/>
        </w:rPr>
        <w:t>to</w:t>
      </w:r>
      <w:r w:rsidRPr="00BB5C77">
        <w:rPr>
          <w:rFonts w:ascii="Arial" w:eastAsia="Arial" w:hAnsi="Arial" w:cs="Arial"/>
          <w:color w:val="030303"/>
          <w:spacing w:val="24"/>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7"/>
          <w:sz w:val="21"/>
          <w:szCs w:val="21"/>
          <w:lang w:val="en-ZA" w:eastAsia="en-ZA"/>
        </w:rPr>
        <w:t xml:space="preserve"> </w:t>
      </w:r>
      <w:r w:rsidRPr="00BB5C77">
        <w:rPr>
          <w:rFonts w:ascii="Arial" w:eastAsia="Arial" w:hAnsi="Arial" w:cs="Arial"/>
          <w:color w:val="030303"/>
          <w:sz w:val="21"/>
          <w:szCs w:val="21"/>
          <w:lang w:val="en-ZA" w:eastAsia="en-ZA"/>
        </w:rPr>
        <w:t>significant</w:t>
      </w:r>
      <w:r w:rsidRPr="00BB5C77">
        <w:rPr>
          <w:rFonts w:ascii="Arial" w:eastAsia="Arial" w:hAnsi="Arial" w:cs="Arial"/>
          <w:color w:val="030303"/>
          <w:spacing w:val="45"/>
          <w:sz w:val="21"/>
          <w:szCs w:val="21"/>
          <w:lang w:val="en-ZA" w:eastAsia="en-ZA"/>
        </w:rPr>
        <w:t xml:space="preserve"> </w:t>
      </w:r>
      <w:r w:rsidRPr="00BB5C77">
        <w:rPr>
          <w:rFonts w:ascii="Arial" w:eastAsia="Arial" w:hAnsi="Arial" w:cs="Arial"/>
          <w:color w:val="030303"/>
          <w:sz w:val="21"/>
          <w:szCs w:val="21"/>
          <w:lang w:val="en-ZA" w:eastAsia="en-ZA"/>
        </w:rPr>
        <w:t>internal</w:t>
      </w:r>
      <w:r w:rsidRPr="00BB5C77">
        <w:rPr>
          <w:rFonts w:ascii="Arial" w:eastAsia="Arial" w:hAnsi="Arial" w:cs="Arial"/>
          <w:color w:val="030303"/>
          <w:spacing w:val="-4"/>
          <w:sz w:val="21"/>
          <w:szCs w:val="21"/>
          <w:lang w:val="en-ZA" w:eastAsia="en-ZA"/>
        </w:rPr>
        <w:t xml:space="preserve"> </w:t>
      </w:r>
      <w:r w:rsidRPr="00BB5C77">
        <w:rPr>
          <w:rFonts w:ascii="Arial" w:eastAsia="Arial" w:hAnsi="Arial" w:cs="Arial"/>
          <w:color w:val="030303"/>
          <w:sz w:val="21"/>
          <w:szCs w:val="21"/>
          <w:lang w:val="en-ZA" w:eastAsia="en-ZA"/>
        </w:rPr>
        <w:t>control</w:t>
      </w:r>
      <w:r w:rsidRPr="00BB5C77">
        <w:rPr>
          <w:rFonts w:ascii="Arial" w:eastAsia="Arial" w:hAnsi="Arial" w:cs="Arial"/>
          <w:color w:val="030303"/>
          <w:spacing w:val="18"/>
          <w:sz w:val="21"/>
          <w:szCs w:val="21"/>
          <w:lang w:val="en-ZA" w:eastAsia="en-ZA"/>
        </w:rPr>
        <w:t xml:space="preserve"> </w:t>
      </w:r>
      <w:r w:rsidRPr="00BB5C77">
        <w:rPr>
          <w:rFonts w:ascii="Arial" w:eastAsia="Arial" w:hAnsi="Arial" w:cs="Arial"/>
          <w:color w:val="030303"/>
          <w:sz w:val="21"/>
          <w:szCs w:val="21"/>
          <w:lang w:val="en-ZA" w:eastAsia="en-ZA"/>
        </w:rPr>
        <w:t>deficiencies</w:t>
      </w:r>
      <w:r w:rsidRPr="00BB5C77">
        <w:rPr>
          <w:rFonts w:ascii="Arial" w:eastAsia="Arial" w:hAnsi="Arial" w:cs="Arial"/>
          <w:color w:val="030303"/>
          <w:spacing w:val="48"/>
          <w:sz w:val="21"/>
          <w:szCs w:val="21"/>
          <w:lang w:val="en-ZA" w:eastAsia="en-ZA"/>
        </w:rPr>
        <w:t xml:space="preserve"> </w:t>
      </w:r>
      <w:r w:rsidRPr="00BB5C77">
        <w:rPr>
          <w:rFonts w:ascii="Arial" w:eastAsia="Arial" w:hAnsi="Arial" w:cs="Arial"/>
          <w:color w:val="030303"/>
          <w:w w:val="107"/>
          <w:sz w:val="21"/>
          <w:szCs w:val="21"/>
          <w:lang w:val="en-ZA" w:eastAsia="en-ZA"/>
        </w:rPr>
        <w:t xml:space="preserve">that </w:t>
      </w:r>
      <w:r w:rsidRPr="00BB5C77">
        <w:rPr>
          <w:rFonts w:ascii="Arial" w:eastAsia="Arial" w:hAnsi="Arial" w:cs="Arial"/>
          <w:color w:val="030303"/>
          <w:sz w:val="21"/>
          <w:szCs w:val="21"/>
          <w:lang w:val="en-ZA" w:eastAsia="en-ZA"/>
        </w:rPr>
        <w:t>resulted</w:t>
      </w:r>
      <w:r w:rsidRPr="00BB5C77">
        <w:rPr>
          <w:rFonts w:ascii="Arial" w:eastAsia="Arial" w:hAnsi="Arial" w:cs="Arial"/>
          <w:color w:val="030303"/>
          <w:spacing w:val="32"/>
          <w:sz w:val="21"/>
          <w:szCs w:val="21"/>
          <w:lang w:val="en-ZA" w:eastAsia="en-ZA"/>
        </w:rPr>
        <w:t xml:space="preserve"> </w:t>
      </w:r>
      <w:r w:rsidRPr="00BB5C77">
        <w:rPr>
          <w:rFonts w:ascii="Arial" w:eastAsia="Arial" w:hAnsi="Arial" w:cs="Arial"/>
          <w:color w:val="030303"/>
          <w:sz w:val="21"/>
          <w:szCs w:val="21"/>
          <w:lang w:val="en-ZA" w:eastAsia="en-ZA"/>
        </w:rPr>
        <w:t>in</w:t>
      </w:r>
      <w:r w:rsidRPr="00BB5C77">
        <w:rPr>
          <w:rFonts w:ascii="Arial" w:eastAsia="Arial" w:hAnsi="Arial" w:cs="Arial"/>
          <w:color w:val="030303"/>
          <w:spacing w:val="1"/>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0"/>
          <w:sz w:val="21"/>
          <w:szCs w:val="21"/>
          <w:lang w:val="en-ZA" w:eastAsia="en-ZA"/>
        </w:rPr>
        <w:t xml:space="preserve"> </w:t>
      </w:r>
      <w:r w:rsidRPr="00BB5C77">
        <w:rPr>
          <w:rFonts w:ascii="Arial" w:eastAsia="Arial" w:hAnsi="Arial" w:cs="Arial"/>
          <w:color w:val="030303"/>
          <w:sz w:val="21"/>
          <w:szCs w:val="21"/>
          <w:lang w:val="en-ZA" w:eastAsia="en-ZA"/>
        </w:rPr>
        <w:t>basis</w:t>
      </w:r>
      <w:r w:rsidRPr="00BB5C77">
        <w:rPr>
          <w:rFonts w:ascii="Arial" w:eastAsia="Arial" w:hAnsi="Arial" w:cs="Arial"/>
          <w:color w:val="030303"/>
          <w:spacing w:val="22"/>
          <w:sz w:val="21"/>
          <w:szCs w:val="21"/>
          <w:lang w:val="en-ZA" w:eastAsia="en-ZA"/>
        </w:rPr>
        <w:t xml:space="preserve"> </w:t>
      </w:r>
      <w:r w:rsidRPr="00BB5C77">
        <w:rPr>
          <w:rFonts w:ascii="Arial" w:eastAsia="Arial" w:hAnsi="Arial" w:cs="Arial"/>
          <w:color w:val="030303"/>
          <w:sz w:val="21"/>
          <w:szCs w:val="21"/>
          <w:lang w:val="en-ZA" w:eastAsia="en-ZA"/>
        </w:rPr>
        <w:t>for</w:t>
      </w:r>
      <w:r w:rsidRPr="00BB5C77">
        <w:rPr>
          <w:rFonts w:ascii="Arial" w:eastAsia="Arial" w:hAnsi="Arial" w:cs="Arial"/>
          <w:color w:val="030303"/>
          <w:spacing w:val="22"/>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8"/>
          <w:sz w:val="21"/>
          <w:szCs w:val="21"/>
          <w:lang w:val="en-ZA" w:eastAsia="en-ZA"/>
        </w:rPr>
        <w:t xml:space="preserve"> </w:t>
      </w:r>
      <w:r w:rsidRPr="00BB5C77">
        <w:rPr>
          <w:rFonts w:ascii="Arial" w:eastAsia="Arial" w:hAnsi="Arial" w:cs="Arial"/>
          <w:color w:val="030303"/>
          <w:sz w:val="21"/>
          <w:szCs w:val="21"/>
          <w:lang w:val="en-ZA" w:eastAsia="en-ZA"/>
        </w:rPr>
        <w:t>findings</w:t>
      </w:r>
      <w:r w:rsidRPr="00BB5C77">
        <w:rPr>
          <w:rFonts w:ascii="Arial" w:eastAsia="Arial" w:hAnsi="Arial" w:cs="Arial"/>
          <w:color w:val="030303"/>
          <w:spacing w:val="28"/>
          <w:sz w:val="21"/>
          <w:szCs w:val="21"/>
          <w:lang w:val="en-ZA" w:eastAsia="en-ZA"/>
        </w:rPr>
        <w:t xml:space="preserve"> </w:t>
      </w:r>
      <w:r w:rsidRPr="00BB5C77">
        <w:rPr>
          <w:rFonts w:ascii="Arial" w:eastAsia="Arial" w:hAnsi="Arial" w:cs="Arial"/>
          <w:color w:val="030303"/>
          <w:sz w:val="21"/>
          <w:szCs w:val="21"/>
          <w:lang w:val="en-ZA" w:eastAsia="en-ZA"/>
        </w:rPr>
        <w:t>on</w:t>
      </w:r>
      <w:r w:rsidRPr="00BB5C77">
        <w:rPr>
          <w:rFonts w:ascii="Arial" w:eastAsia="Arial" w:hAnsi="Arial" w:cs="Arial"/>
          <w:color w:val="030303"/>
          <w:spacing w:val="17"/>
          <w:sz w:val="21"/>
          <w:szCs w:val="21"/>
          <w:lang w:val="en-ZA" w:eastAsia="en-ZA"/>
        </w:rPr>
        <w:t xml:space="preserve"> </w:t>
      </w:r>
      <w:r w:rsidRPr="00BB5C77">
        <w:rPr>
          <w:rFonts w:ascii="Arial" w:eastAsia="Arial" w:hAnsi="Arial" w:cs="Arial"/>
          <w:color w:val="030303"/>
          <w:w w:val="107"/>
          <w:sz w:val="21"/>
          <w:szCs w:val="21"/>
          <w:lang w:val="en-ZA" w:eastAsia="en-ZA"/>
        </w:rPr>
        <w:t>compliance</w:t>
      </w:r>
      <w:r w:rsidRPr="00BB5C77">
        <w:rPr>
          <w:rFonts w:ascii="Arial" w:eastAsia="Arial" w:hAnsi="Arial" w:cs="Arial"/>
          <w:color w:val="030303"/>
          <w:spacing w:val="-11"/>
          <w:w w:val="107"/>
          <w:sz w:val="21"/>
          <w:szCs w:val="21"/>
          <w:lang w:val="en-ZA" w:eastAsia="en-ZA"/>
        </w:rPr>
        <w:t xml:space="preserve"> </w:t>
      </w:r>
      <w:r w:rsidRPr="00BB5C77">
        <w:rPr>
          <w:rFonts w:ascii="Arial" w:eastAsia="Arial" w:hAnsi="Arial" w:cs="Arial"/>
          <w:color w:val="030303"/>
          <w:sz w:val="21"/>
          <w:szCs w:val="21"/>
          <w:lang w:val="en-ZA" w:eastAsia="en-ZA"/>
        </w:rPr>
        <w:t>with</w:t>
      </w:r>
      <w:r w:rsidRPr="00BB5C77">
        <w:rPr>
          <w:rFonts w:ascii="Arial" w:eastAsia="Arial" w:hAnsi="Arial" w:cs="Arial"/>
          <w:color w:val="030303"/>
          <w:spacing w:val="4"/>
          <w:sz w:val="21"/>
          <w:szCs w:val="21"/>
          <w:lang w:val="en-ZA" w:eastAsia="en-ZA"/>
        </w:rPr>
        <w:t xml:space="preserve"> </w:t>
      </w:r>
      <w:r w:rsidRPr="00BB5C77">
        <w:rPr>
          <w:rFonts w:ascii="Arial" w:eastAsia="Arial" w:hAnsi="Arial" w:cs="Arial"/>
          <w:color w:val="030303"/>
          <w:sz w:val="21"/>
          <w:szCs w:val="21"/>
          <w:lang w:val="en-ZA" w:eastAsia="en-ZA"/>
        </w:rPr>
        <w:t>legislation</w:t>
      </w:r>
      <w:r w:rsidRPr="00BB5C77">
        <w:rPr>
          <w:rFonts w:ascii="Arial" w:eastAsia="Arial" w:hAnsi="Arial" w:cs="Arial"/>
          <w:color w:val="030303"/>
          <w:spacing w:val="33"/>
          <w:sz w:val="21"/>
          <w:szCs w:val="21"/>
          <w:lang w:val="en-ZA" w:eastAsia="en-ZA"/>
        </w:rPr>
        <w:t xml:space="preserve"> </w:t>
      </w:r>
      <w:r w:rsidRPr="00BB5C77">
        <w:rPr>
          <w:rFonts w:ascii="Arial" w:eastAsia="Arial" w:hAnsi="Arial" w:cs="Arial"/>
          <w:color w:val="030303"/>
          <w:sz w:val="21"/>
          <w:szCs w:val="21"/>
          <w:lang w:val="en-ZA" w:eastAsia="en-ZA"/>
        </w:rPr>
        <w:t>included</w:t>
      </w:r>
      <w:r w:rsidRPr="00BB5C77">
        <w:rPr>
          <w:rFonts w:ascii="Arial" w:eastAsia="Arial" w:hAnsi="Arial" w:cs="Arial"/>
          <w:color w:val="030303"/>
          <w:spacing w:val="50"/>
          <w:sz w:val="21"/>
          <w:szCs w:val="21"/>
          <w:lang w:val="en-ZA" w:eastAsia="en-ZA"/>
        </w:rPr>
        <w:t xml:space="preserve"> </w:t>
      </w:r>
      <w:r w:rsidRPr="00BB5C77">
        <w:rPr>
          <w:rFonts w:ascii="Arial" w:eastAsia="Arial" w:hAnsi="Arial" w:cs="Arial"/>
          <w:color w:val="030303"/>
          <w:sz w:val="21"/>
          <w:szCs w:val="21"/>
          <w:lang w:val="en-ZA" w:eastAsia="en-ZA"/>
        </w:rPr>
        <w:t>in</w:t>
      </w:r>
      <w:r w:rsidRPr="00BB5C77">
        <w:rPr>
          <w:rFonts w:ascii="Arial" w:eastAsia="Arial" w:hAnsi="Arial" w:cs="Arial"/>
          <w:color w:val="030303"/>
          <w:spacing w:val="1"/>
          <w:sz w:val="21"/>
          <w:szCs w:val="21"/>
          <w:lang w:val="en-ZA" w:eastAsia="en-ZA"/>
        </w:rPr>
        <w:t xml:space="preserve"> </w:t>
      </w:r>
      <w:r w:rsidRPr="00BB5C77">
        <w:rPr>
          <w:rFonts w:ascii="Arial" w:eastAsia="Arial" w:hAnsi="Arial" w:cs="Arial"/>
          <w:color w:val="030303"/>
          <w:sz w:val="21"/>
          <w:szCs w:val="21"/>
          <w:lang w:val="en-ZA" w:eastAsia="en-ZA"/>
        </w:rPr>
        <w:t>this</w:t>
      </w:r>
      <w:r w:rsidRPr="00BB5C77">
        <w:rPr>
          <w:rFonts w:ascii="Arial" w:eastAsia="Arial" w:hAnsi="Arial" w:cs="Arial"/>
          <w:color w:val="030303"/>
          <w:spacing w:val="17"/>
          <w:sz w:val="21"/>
          <w:szCs w:val="21"/>
          <w:lang w:val="en-ZA" w:eastAsia="en-ZA"/>
        </w:rPr>
        <w:t xml:space="preserve"> </w:t>
      </w:r>
      <w:r w:rsidRPr="00BB5C77">
        <w:rPr>
          <w:rFonts w:ascii="Arial" w:eastAsia="Arial" w:hAnsi="Arial" w:cs="Arial"/>
          <w:color w:val="030303"/>
          <w:w w:val="105"/>
          <w:sz w:val="21"/>
          <w:szCs w:val="21"/>
          <w:lang w:val="en-ZA" w:eastAsia="en-ZA"/>
        </w:rPr>
        <w:t>report.</w:t>
      </w:r>
    </w:p>
    <w:p w14:paraId="3073D469" w14:textId="77777777" w:rsidR="00BB5C77" w:rsidRPr="00BB5C77" w:rsidRDefault="00BB5C77" w:rsidP="00BB5C77">
      <w:pPr>
        <w:spacing w:before="14" w:after="0" w:line="200" w:lineRule="exact"/>
        <w:jc w:val="both"/>
        <w:rPr>
          <w:rFonts w:eastAsia="Times New Roman" w:cs="Times New Roman"/>
          <w:szCs w:val="20"/>
          <w:lang w:val="en-ZA" w:eastAsia="en-ZA"/>
        </w:rPr>
      </w:pPr>
    </w:p>
    <w:p w14:paraId="66A89C61" w14:textId="77777777" w:rsidR="00BB5C77" w:rsidRPr="00BB5C77" w:rsidRDefault="00BB5C77" w:rsidP="00BB5C77">
      <w:pPr>
        <w:spacing w:after="0" w:line="248" w:lineRule="exact"/>
        <w:ind w:left="242" w:right="-20"/>
        <w:jc w:val="both"/>
        <w:rPr>
          <w:rFonts w:ascii="Arial" w:eastAsia="Arial" w:hAnsi="Arial" w:cs="Arial"/>
          <w:sz w:val="22"/>
          <w:lang w:val="en-ZA" w:eastAsia="en-ZA"/>
        </w:rPr>
      </w:pPr>
      <w:r w:rsidRPr="00BB5C77">
        <w:rPr>
          <w:rFonts w:ascii="Arial" w:eastAsia="Arial" w:hAnsi="Arial" w:cs="Arial"/>
          <w:color w:val="1C1C1C"/>
          <w:w w:val="109"/>
          <w:position w:val="-1"/>
          <w:sz w:val="22"/>
          <w:lang w:val="en-ZA" w:eastAsia="en-ZA"/>
        </w:rPr>
        <w:t>Leadership</w:t>
      </w:r>
    </w:p>
    <w:p w14:paraId="6D842614" w14:textId="77777777" w:rsidR="00BB5C77" w:rsidRPr="00BB5C77" w:rsidRDefault="00BB5C77" w:rsidP="00BB5C77">
      <w:pPr>
        <w:spacing w:before="4" w:after="0" w:line="220" w:lineRule="exact"/>
        <w:jc w:val="both"/>
        <w:rPr>
          <w:rFonts w:eastAsia="Times New Roman" w:cs="Times New Roman"/>
          <w:sz w:val="22"/>
          <w:lang w:val="en-ZA" w:eastAsia="en-ZA"/>
        </w:rPr>
      </w:pPr>
    </w:p>
    <w:p w14:paraId="01B5BC3D" w14:textId="77777777" w:rsidR="00BB5C77" w:rsidRPr="00BB5C77" w:rsidRDefault="00BB5C77" w:rsidP="00BB5C77">
      <w:pPr>
        <w:spacing w:after="0"/>
        <w:jc w:val="both"/>
        <w:rPr>
          <w:rFonts w:eastAsia="Times New Roman" w:cs="Times New Roman"/>
          <w:sz w:val="22"/>
          <w:lang w:val="en-ZA" w:eastAsia="en-ZA"/>
        </w:rPr>
        <w:sectPr w:rsidR="00BB5C77" w:rsidRPr="00BB5C77" w:rsidSect="00EA7BEE">
          <w:footerReference w:type="default" r:id="rId117"/>
          <w:pgSz w:w="11900" w:h="16820"/>
          <w:pgMar w:top="880" w:right="1380" w:bottom="1620" w:left="1180" w:header="0" w:footer="1424" w:gutter="0"/>
          <w:pgNumType w:start="120"/>
          <w:cols w:space="720"/>
        </w:sectPr>
      </w:pPr>
    </w:p>
    <w:p w14:paraId="34032416" w14:textId="77777777" w:rsidR="00BB5C77" w:rsidRPr="00BB5C77" w:rsidRDefault="00BB5C77" w:rsidP="00BB5C77">
      <w:pPr>
        <w:spacing w:before="33" w:after="0" w:line="237" w:lineRule="exact"/>
        <w:ind w:left="235" w:right="-71"/>
        <w:jc w:val="both"/>
        <w:rPr>
          <w:rFonts w:ascii="Arial" w:eastAsia="Arial" w:hAnsi="Arial" w:cs="Arial"/>
          <w:sz w:val="21"/>
          <w:szCs w:val="21"/>
          <w:lang w:val="en-ZA" w:eastAsia="en-ZA"/>
        </w:rPr>
      </w:pPr>
      <w:r w:rsidRPr="00BB5C77">
        <w:rPr>
          <w:rFonts w:ascii="Arial" w:eastAsia="Arial" w:hAnsi="Arial" w:cs="Arial"/>
          <w:color w:val="030303"/>
          <w:position w:val="-1"/>
          <w:sz w:val="21"/>
          <w:szCs w:val="21"/>
          <w:lang w:val="en-ZA" w:eastAsia="en-ZA"/>
        </w:rPr>
        <w:t>33.</w:t>
      </w:r>
      <w:r w:rsidRPr="00BB5C77">
        <w:rPr>
          <w:rFonts w:ascii="Arial" w:eastAsia="Arial" w:hAnsi="Arial" w:cs="Arial"/>
          <w:color w:val="030303"/>
          <w:spacing w:val="-6"/>
          <w:position w:val="-1"/>
          <w:sz w:val="21"/>
          <w:szCs w:val="21"/>
          <w:lang w:val="en-ZA" w:eastAsia="en-ZA"/>
        </w:rPr>
        <w:t xml:space="preserve"> </w:t>
      </w:r>
      <w:r w:rsidRPr="00BB5C77">
        <w:rPr>
          <w:rFonts w:ascii="Arial" w:eastAsia="Arial" w:hAnsi="Arial" w:cs="Arial"/>
          <w:color w:val="030303"/>
          <w:position w:val="-1"/>
          <w:sz w:val="21"/>
          <w:szCs w:val="21"/>
          <w:lang w:val="en-ZA" w:eastAsia="en-ZA"/>
        </w:rPr>
        <w:t>The</w:t>
      </w:r>
      <w:r w:rsidRPr="00BB5C77">
        <w:rPr>
          <w:rFonts w:ascii="Arial" w:eastAsia="Arial" w:hAnsi="Arial" w:cs="Arial"/>
          <w:color w:val="030303"/>
          <w:spacing w:val="17"/>
          <w:position w:val="-1"/>
          <w:sz w:val="21"/>
          <w:szCs w:val="21"/>
          <w:lang w:val="en-ZA" w:eastAsia="en-ZA"/>
        </w:rPr>
        <w:t xml:space="preserve"> </w:t>
      </w:r>
      <w:r w:rsidRPr="00BB5C77">
        <w:rPr>
          <w:rFonts w:ascii="Arial" w:eastAsia="Arial" w:hAnsi="Arial" w:cs="Arial"/>
          <w:color w:val="030303"/>
          <w:position w:val="-1"/>
          <w:sz w:val="21"/>
          <w:szCs w:val="21"/>
          <w:lang w:val="en-ZA" w:eastAsia="en-ZA"/>
        </w:rPr>
        <w:t>accounting</w:t>
      </w:r>
      <w:r w:rsidRPr="00BB5C77">
        <w:rPr>
          <w:rFonts w:ascii="Arial" w:eastAsia="Arial" w:hAnsi="Arial" w:cs="Arial"/>
          <w:color w:val="030303"/>
          <w:spacing w:val="42"/>
          <w:position w:val="-1"/>
          <w:sz w:val="21"/>
          <w:szCs w:val="21"/>
          <w:lang w:val="en-ZA" w:eastAsia="en-ZA"/>
        </w:rPr>
        <w:t xml:space="preserve"> </w:t>
      </w:r>
      <w:r w:rsidRPr="00BB5C77">
        <w:rPr>
          <w:rFonts w:ascii="Arial" w:eastAsia="Arial" w:hAnsi="Arial" w:cs="Arial"/>
          <w:color w:val="030303"/>
          <w:position w:val="-1"/>
          <w:sz w:val="21"/>
          <w:szCs w:val="21"/>
          <w:lang w:val="en-ZA" w:eastAsia="en-ZA"/>
        </w:rPr>
        <w:t>officer</w:t>
      </w:r>
      <w:r w:rsidRPr="00BB5C77">
        <w:rPr>
          <w:rFonts w:ascii="Arial" w:eastAsia="Arial" w:hAnsi="Arial" w:cs="Arial"/>
          <w:color w:val="030303"/>
          <w:spacing w:val="23"/>
          <w:position w:val="-1"/>
          <w:sz w:val="21"/>
          <w:szCs w:val="21"/>
          <w:lang w:val="en-ZA" w:eastAsia="en-ZA"/>
        </w:rPr>
        <w:t xml:space="preserve"> </w:t>
      </w:r>
      <w:r w:rsidRPr="00BB5C77">
        <w:rPr>
          <w:rFonts w:ascii="Arial" w:eastAsia="Arial" w:hAnsi="Arial" w:cs="Arial"/>
          <w:color w:val="030303"/>
          <w:position w:val="-1"/>
          <w:sz w:val="21"/>
          <w:szCs w:val="21"/>
          <w:lang w:val="en-ZA" w:eastAsia="en-ZA"/>
        </w:rPr>
        <w:t>did</w:t>
      </w:r>
      <w:r w:rsidRPr="00BB5C77">
        <w:rPr>
          <w:rFonts w:ascii="Arial" w:eastAsia="Arial" w:hAnsi="Arial" w:cs="Arial"/>
          <w:color w:val="030303"/>
          <w:spacing w:val="17"/>
          <w:position w:val="-1"/>
          <w:sz w:val="21"/>
          <w:szCs w:val="21"/>
          <w:lang w:val="en-ZA" w:eastAsia="en-ZA"/>
        </w:rPr>
        <w:t xml:space="preserve"> </w:t>
      </w:r>
      <w:r w:rsidRPr="00BB5C77">
        <w:rPr>
          <w:rFonts w:ascii="Arial" w:eastAsia="Arial" w:hAnsi="Arial" w:cs="Arial"/>
          <w:color w:val="030303"/>
          <w:position w:val="-1"/>
          <w:sz w:val="21"/>
          <w:szCs w:val="21"/>
          <w:lang w:val="en-ZA" w:eastAsia="en-ZA"/>
        </w:rPr>
        <w:t>not</w:t>
      </w:r>
      <w:r w:rsidRPr="00BB5C77">
        <w:rPr>
          <w:rFonts w:ascii="Arial" w:eastAsia="Arial" w:hAnsi="Arial" w:cs="Arial"/>
          <w:color w:val="030303"/>
          <w:spacing w:val="16"/>
          <w:position w:val="-1"/>
          <w:sz w:val="21"/>
          <w:szCs w:val="21"/>
          <w:lang w:val="en-ZA" w:eastAsia="en-ZA"/>
        </w:rPr>
        <w:t xml:space="preserve"> </w:t>
      </w:r>
      <w:r w:rsidRPr="00BB5C77">
        <w:rPr>
          <w:rFonts w:ascii="Arial" w:eastAsia="Arial" w:hAnsi="Arial" w:cs="Arial"/>
          <w:color w:val="030303"/>
          <w:position w:val="-1"/>
          <w:sz w:val="21"/>
          <w:szCs w:val="21"/>
          <w:lang w:val="en-ZA" w:eastAsia="en-ZA"/>
        </w:rPr>
        <w:t>exercise</w:t>
      </w:r>
      <w:r w:rsidRPr="00BB5C77">
        <w:rPr>
          <w:rFonts w:ascii="Arial" w:eastAsia="Arial" w:hAnsi="Arial" w:cs="Arial"/>
          <w:color w:val="030303"/>
          <w:spacing w:val="32"/>
          <w:position w:val="-1"/>
          <w:sz w:val="21"/>
          <w:szCs w:val="21"/>
          <w:lang w:val="en-ZA" w:eastAsia="en-ZA"/>
        </w:rPr>
        <w:t xml:space="preserve"> </w:t>
      </w:r>
      <w:r w:rsidRPr="00BB5C77">
        <w:rPr>
          <w:rFonts w:ascii="Arial" w:eastAsia="Arial" w:hAnsi="Arial" w:cs="Arial"/>
          <w:color w:val="030303"/>
          <w:w w:val="109"/>
          <w:position w:val="-1"/>
          <w:sz w:val="21"/>
          <w:szCs w:val="21"/>
          <w:lang w:val="en-ZA" w:eastAsia="en-ZA"/>
        </w:rPr>
        <w:t>adeq</w:t>
      </w:r>
      <w:r w:rsidRPr="00BB5C77">
        <w:rPr>
          <w:rFonts w:ascii="Arial" w:eastAsia="Arial" w:hAnsi="Arial" w:cs="Arial"/>
          <w:color w:val="030303"/>
          <w:spacing w:val="-33"/>
          <w:w w:val="109"/>
          <w:position w:val="-1"/>
          <w:sz w:val="21"/>
          <w:szCs w:val="21"/>
          <w:lang w:val="en-ZA" w:eastAsia="en-ZA"/>
        </w:rPr>
        <w:t>u</w:t>
      </w:r>
      <w:r w:rsidRPr="00BB5C77">
        <w:rPr>
          <w:rFonts w:ascii="Arial" w:eastAsia="Arial" w:hAnsi="Arial" w:cs="Arial"/>
          <w:color w:val="030303"/>
          <w:spacing w:val="-124"/>
          <w:w w:val="112"/>
          <w:position w:val="-1"/>
          <w:sz w:val="21"/>
          <w:szCs w:val="21"/>
          <w:lang w:val="en-ZA" w:eastAsia="en-ZA"/>
        </w:rPr>
        <w:t>a</w:t>
      </w:r>
      <w:r w:rsidRPr="00BB5C77">
        <w:rPr>
          <w:rFonts w:ascii="Arial" w:eastAsia="Arial" w:hAnsi="Arial" w:cs="Arial"/>
          <w:color w:val="9A9A9A"/>
          <w:w w:val="12"/>
          <w:position w:val="-1"/>
          <w:sz w:val="21"/>
          <w:szCs w:val="21"/>
          <w:lang w:val="en-ZA" w:eastAsia="en-ZA"/>
        </w:rPr>
        <w:t>_</w:t>
      </w:r>
    </w:p>
    <w:p w14:paraId="778C351C" w14:textId="77777777" w:rsidR="00BB5C77" w:rsidRPr="00BB5C77" w:rsidRDefault="00BB5C77" w:rsidP="00BB5C77">
      <w:pPr>
        <w:spacing w:before="33" w:after="0" w:line="237" w:lineRule="exact"/>
        <w:ind w:right="-20"/>
        <w:jc w:val="both"/>
        <w:rPr>
          <w:rFonts w:ascii="Arial" w:eastAsia="Arial" w:hAnsi="Arial" w:cs="Arial"/>
          <w:sz w:val="21"/>
          <w:szCs w:val="21"/>
          <w:lang w:val="en-ZA" w:eastAsia="en-ZA"/>
        </w:rPr>
      </w:pPr>
      <w:r w:rsidRPr="00BB5C77">
        <w:rPr>
          <w:rFonts w:eastAsia="Times New Roman" w:cs="Times New Roman"/>
          <w:sz w:val="22"/>
          <w:lang w:val="en-ZA" w:eastAsia="en-ZA"/>
        </w:rPr>
        <w:br w:type="column"/>
      </w:r>
      <w:r w:rsidRPr="00BB5C77">
        <w:rPr>
          <w:rFonts w:ascii="Arial" w:eastAsia="Arial" w:hAnsi="Arial" w:cs="Arial"/>
          <w:color w:val="030303"/>
          <w:position w:val="-1"/>
          <w:sz w:val="21"/>
          <w:szCs w:val="21"/>
          <w:lang w:val="en-ZA" w:eastAsia="en-ZA"/>
        </w:rPr>
        <w:t>te oversight</w:t>
      </w:r>
      <w:r w:rsidRPr="00BB5C77">
        <w:rPr>
          <w:rFonts w:ascii="Arial" w:eastAsia="Arial" w:hAnsi="Arial" w:cs="Arial"/>
          <w:color w:val="030303"/>
          <w:spacing w:val="48"/>
          <w:position w:val="-1"/>
          <w:sz w:val="21"/>
          <w:szCs w:val="21"/>
          <w:lang w:val="en-ZA" w:eastAsia="en-ZA"/>
        </w:rPr>
        <w:t xml:space="preserve"> </w:t>
      </w:r>
      <w:r w:rsidRPr="00BB5C77">
        <w:rPr>
          <w:rFonts w:ascii="Arial" w:eastAsia="Arial" w:hAnsi="Arial" w:cs="Arial"/>
          <w:color w:val="030303"/>
          <w:position w:val="-1"/>
          <w:sz w:val="21"/>
          <w:szCs w:val="21"/>
          <w:lang w:val="en-ZA" w:eastAsia="en-ZA"/>
        </w:rPr>
        <w:t>over</w:t>
      </w:r>
      <w:r w:rsidRPr="00BB5C77">
        <w:rPr>
          <w:rFonts w:ascii="Arial" w:eastAsia="Arial" w:hAnsi="Arial" w:cs="Arial"/>
          <w:color w:val="030303"/>
          <w:spacing w:val="18"/>
          <w:position w:val="-1"/>
          <w:sz w:val="21"/>
          <w:szCs w:val="21"/>
          <w:lang w:val="en-ZA" w:eastAsia="en-ZA"/>
        </w:rPr>
        <w:t xml:space="preserve"> </w:t>
      </w:r>
      <w:r w:rsidRPr="00BB5C77">
        <w:rPr>
          <w:rFonts w:ascii="Arial" w:eastAsia="Arial" w:hAnsi="Arial" w:cs="Arial"/>
          <w:color w:val="030303"/>
          <w:position w:val="-1"/>
          <w:sz w:val="21"/>
          <w:szCs w:val="21"/>
          <w:lang w:val="en-ZA" w:eastAsia="en-ZA"/>
        </w:rPr>
        <w:t>financial</w:t>
      </w:r>
      <w:r w:rsidRPr="00BB5C77">
        <w:rPr>
          <w:rFonts w:ascii="Arial" w:eastAsia="Arial" w:hAnsi="Arial" w:cs="Arial"/>
          <w:color w:val="030303"/>
          <w:spacing w:val="13"/>
          <w:position w:val="-1"/>
          <w:sz w:val="21"/>
          <w:szCs w:val="21"/>
          <w:lang w:val="en-ZA" w:eastAsia="en-ZA"/>
        </w:rPr>
        <w:t xml:space="preserve"> </w:t>
      </w:r>
      <w:r w:rsidRPr="00BB5C77">
        <w:rPr>
          <w:rFonts w:ascii="Arial" w:eastAsia="Arial" w:hAnsi="Arial" w:cs="Arial"/>
          <w:color w:val="030303"/>
          <w:position w:val="-1"/>
          <w:sz w:val="21"/>
          <w:szCs w:val="21"/>
          <w:lang w:val="en-ZA" w:eastAsia="en-ZA"/>
        </w:rPr>
        <w:t>reporting</w:t>
      </w:r>
      <w:r w:rsidRPr="00BB5C77">
        <w:rPr>
          <w:rFonts w:ascii="Arial" w:eastAsia="Arial" w:hAnsi="Arial" w:cs="Arial"/>
          <w:color w:val="030303"/>
          <w:spacing w:val="46"/>
          <w:position w:val="-1"/>
          <w:sz w:val="21"/>
          <w:szCs w:val="21"/>
          <w:lang w:val="en-ZA" w:eastAsia="en-ZA"/>
        </w:rPr>
        <w:t xml:space="preserve"> </w:t>
      </w:r>
      <w:r w:rsidRPr="00BB5C77">
        <w:rPr>
          <w:rFonts w:ascii="Arial" w:eastAsia="Arial" w:hAnsi="Arial" w:cs="Arial"/>
          <w:color w:val="030303"/>
          <w:w w:val="107"/>
          <w:position w:val="-1"/>
          <w:sz w:val="21"/>
          <w:szCs w:val="21"/>
          <w:lang w:val="en-ZA" w:eastAsia="en-ZA"/>
        </w:rPr>
        <w:t>and</w:t>
      </w:r>
    </w:p>
    <w:p w14:paraId="58DE7133" w14:textId="77777777" w:rsidR="00BB5C77" w:rsidRPr="00BB5C77" w:rsidRDefault="00BB5C77" w:rsidP="00BB5C77">
      <w:pPr>
        <w:spacing w:after="0"/>
        <w:jc w:val="both"/>
        <w:rPr>
          <w:rFonts w:eastAsia="Times New Roman" w:cs="Times New Roman"/>
          <w:sz w:val="22"/>
          <w:lang w:val="en-ZA" w:eastAsia="en-ZA"/>
        </w:rPr>
        <w:sectPr w:rsidR="00BB5C77" w:rsidRPr="00BB5C77">
          <w:type w:val="continuous"/>
          <w:pgSz w:w="11900" w:h="16820"/>
          <w:pgMar w:top="1580" w:right="1380" w:bottom="280" w:left="1180" w:header="720" w:footer="720" w:gutter="0"/>
          <w:cols w:num="2" w:space="720" w:equalWidth="0">
            <w:col w:w="5027" w:space="113"/>
            <w:col w:w="4200"/>
          </w:cols>
        </w:sectPr>
      </w:pPr>
    </w:p>
    <w:p w14:paraId="68A99F72" w14:textId="77777777" w:rsidR="00BB5C77" w:rsidRPr="00BB5C77" w:rsidRDefault="00BB5C77" w:rsidP="00BB5C77">
      <w:pPr>
        <w:spacing w:before="14" w:after="0" w:line="249" w:lineRule="auto"/>
        <w:ind w:left="587" w:right="213" w:firstLine="7"/>
        <w:jc w:val="both"/>
        <w:rPr>
          <w:rFonts w:ascii="Arial" w:eastAsia="Arial" w:hAnsi="Arial" w:cs="Arial"/>
          <w:sz w:val="21"/>
          <w:szCs w:val="21"/>
          <w:lang w:val="en-ZA" w:eastAsia="en-ZA"/>
        </w:rPr>
      </w:pPr>
      <w:r w:rsidRPr="00BB5C77">
        <w:rPr>
          <w:rFonts w:ascii="Arial" w:eastAsia="Arial" w:hAnsi="Arial" w:cs="Arial"/>
          <w:color w:val="030303"/>
          <w:sz w:val="21"/>
          <w:szCs w:val="21"/>
          <w:lang w:val="en-ZA" w:eastAsia="en-ZA"/>
        </w:rPr>
        <w:t>compliance</w:t>
      </w:r>
      <w:r w:rsidRPr="00BB5C77">
        <w:rPr>
          <w:rFonts w:ascii="Arial" w:eastAsia="Arial" w:hAnsi="Arial" w:cs="Arial"/>
          <w:color w:val="030303"/>
          <w:spacing w:val="50"/>
          <w:sz w:val="21"/>
          <w:szCs w:val="21"/>
          <w:lang w:val="en-ZA" w:eastAsia="en-ZA"/>
        </w:rPr>
        <w:t xml:space="preserve"> </w:t>
      </w:r>
      <w:r w:rsidRPr="00BB5C77">
        <w:rPr>
          <w:rFonts w:ascii="Arial" w:eastAsia="Arial" w:hAnsi="Arial" w:cs="Arial"/>
          <w:color w:val="030303"/>
          <w:sz w:val="21"/>
          <w:szCs w:val="21"/>
          <w:lang w:val="en-ZA" w:eastAsia="en-ZA"/>
        </w:rPr>
        <w:t>as</w:t>
      </w:r>
      <w:r w:rsidRPr="00BB5C77">
        <w:rPr>
          <w:rFonts w:ascii="Arial" w:eastAsia="Arial" w:hAnsi="Arial" w:cs="Arial"/>
          <w:color w:val="030303"/>
          <w:spacing w:val="8"/>
          <w:sz w:val="21"/>
          <w:szCs w:val="21"/>
          <w:lang w:val="en-ZA" w:eastAsia="en-ZA"/>
        </w:rPr>
        <w:t xml:space="preserve"> </w:t>
      </w:r>
      <w:r w:rsidRPr="00BB5C77">
        <w:rPr>
          <w:rFonts w:ascii="Arial" w:eastAsia="Arial" w:hAnsi="Arial" w:cs="Arial"/>
          <w:color w:val="030303"/>
          <w:sz w:val="21"/>
          <w:szCs w:val="21"/>
          <w:lang w:val="en-ZA" w:eastAsia="en-ZA"/>
        </w:rPr>
        <w:t>material</w:t>
      </w:r>
      <w:r w:rsidRPr="00BB5C77">
        <w:rPr>
          <w:rFonts w:ascii="Arial" w:eastAsia="Arial" w:hAnsi="Arial" w:cs="Arial"/>
          <w:color w:val="030303"/>
          <w:spacing w:val="11"/>
          <w:sz w:val="21"/>
          <w:szCs w:val="21"/>
          <w:lang w:val="en-ZA" w:eastAsia="en-ZA"/>
        </w:rPr>
        <w:t xml:space="preserve"> </w:t>
      </w:r>
      <w:r w:rsidRPr="00BB5C77">
        <w:rPr>
          <w:rFonts w:ascii="Arial" w:eastAsia="Arial" w:hAnsi="Arial" w:cs="Arial"/>
          <w:color w:val="030303"/>
          <w:sz w:val="21"/>
          <w:szCs w:val="21"/>
          <w:lang w:val="en-ZA" w:eastAsia="en-ZA"/>
        </w:rPr>
        <w:t>misstatements</w:t>
      </w:r>
      <w:r w:rsidRPr="00BB5C77">
        <w:rPr>
          <w:rFonts w:ascii="Arial" w:eastAsia="Arial" w:hAnsi="Arial" w:cs="Arial"/>
          <w:color w:val="030303"/>
          <w:spacing w:val="58"/>
          <w:sz w:val="21"/>
          <w:szCs w:val="21"/>
          <w:lang w:val="en-ZA" w:eastAsia="en-ZA"/>
        </w:rPr>
        <w:t xml:space="preserve"> </w:t>
      </w:r>
      <w:r w:rsidRPr="00BB5C77">
        <w:rPr>
          <w:rFonts w:ascii="Arial" w:eastAsia="Arial" w:hAnsi="Arial" w:cs="Arial"/>
          <w:color w:val="030303"/>
          <w:sz w:val="21"/>
          <w:szCs w:val="21"/>
          <w:lang w:val="en-ZA" w:eastAsia="en-ZA"/>
        </w:rPr>
        <w:t>in</w:t>
      </w:r>
      <w:r w:rsidRPr="00BB5C77">
        <w:rPr>
          <w:rFonts w:ascii="Arial" w:eastAsia="Arial" w:hAnsi="Arial" w:cs="Arial"/>
          <w:color w:val="030303"/>
          <w:spacing w:val="9"/>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3"/>
          <w:sz w:val="21"/>
          <w:szCs w:val="21"/>
          <w:lang w:val="en-ZA" w:eastAsia="en-ZA"/>
        </w:rPr>
        <w:t xml:space="preserve"> </w:t>
      </w:r>
      <w:r w:rsidRPr="00BB5C77">
        <w:rPr>
          <w:rFonts w:ascii="Arial" w:eastAsia="Arial" w:hAnsi="Arial" w:cs="Arial"/>
          <w:color w:val="030303"/>
          <w:sz w:val="21"/>
          <w:szCs w:val="21"/>
          <w:lang w:val="en-ZA" w:eastAsia="en-ZA"/>
        </w:rPr>
        <w:t>annual</w:t>
      </w:r>
      <w:r w:rsidRPr="00BB5C77">
        <w:rPr>
          <w:rFonts w:ascii="Arial" w:eastAsia="Arial" w:hAnsi="Arial" w:cs="Arial"/>
          <w:color w:val="030303"/>
          <w:spacing w:val="18"/>
          <w:sz w:val="21"/>
          <w:szCs w:val="21"/>
          <w:lang w:val="en-ZA" w:eastAsia="en-ZA"/>
        </w:rPr>
        <w:t xml:space="preserve"> </w:t>
      </w:r>
      <w:r w:rsidRPr="00BB5C77">
        <w:rPr>
          <w:rFonts w:ascii="Arial" w:eastAsia="Arial" w:hAnsi="Arial" w:cs="Arial"/>
          <w:color w:val="030303"/>
          <w:sz w:val="21"/>
          <w:szCs w:val="21"/>
          <w:lang w:val="en-ZA" w:eastAsia="en-ZA"/>
        </w:rPr>
        <w:t>financial</w:t>
      </w:r>
      <w:r w:rsidRPr="00BB5C77">
        <w:rPr>
          <w:rFonts w:ascii="Arial" w:eastAsia="Arial" w:hAnsi="Arial" w:cs="Arial"/>
          <w:color w:val="030303"/>
          <w:spacing w:val="6"/>
          <w:sz w:val="21"/>
          <w:szCs w:val="21"/>
          <w:lang w:val="en-ZA" w:eastAsia="en-ZA"/>
        </w:rPr>
        <w:t xml:space="preserve"> </w:t>
      </w:r>
      <w:r w:rsidRPr="00BB5C77">
        <w:rPr>
          <w:rFonts w:ascii="Arial" w:eastAsia="Arial" w:hAnsi="Arial" w:cs="Arial"/>
          <w:color w:val="030303"/>
          <w:sz w:val="21"/>
          <w:szCs w:val="21"/>
          <w:lang w:val="en-ZA" w:eastAsia="en-ZA"/>
        </w:rPr>
        <w:t>statements</w:t>
      </w:r>
      <w:r w:rsidRPr="00BB5C77">
        <w:rPr>
          <w:rFonts w:ascii="Arial" w:eastAsia="Arial" w:hAnsi="Arial" w:cs="Arial"/>
          <w:color w:val="030303"/>
          <w:spacing w:val="40"/>
          <w:sz w:val="21"/>
          <w:szCs w:val="21"/>
          <w:lang w:val="en-ZA" w:eastAsia="en-ZA"/>
        </w:rPr>
        <w:t xml:space="preserve"> </w:t>
      </w:r>
      <w:r w:rsidRPr="00BB5C77">
        <w:rPr>
          <w:rFonts w:ascii="Arial" w:eastAsia="Arial" w:hAnsi="Arial" w:cs="Arial"/>
          <w:color w:val="030303"/>
          <w:sz w:val="21"/>
          <w:szCs w:val="21"/>
          <w:lang w:val="en-ZA" w:eastAsia="en-ZA"/>
        </w:rPr>
        <w:t>were</w:t>
      </w:r>
      <w:r w:rsidRPr="00BB5C77">
        <w:rPr>
          <w:rFonts w:ascii="Arial" w:eastAsia="Arial" w:hAnsi="Arial" w:cs="Arial"/>
          <w:color w:val="030303"/>
          <w:spacing w:val="31"/>
          <w:sz w:val="21"/>
          <w:szCs w:val="21"/>
          <w:lang w:val="en-ZA" w:eastAsia="en-ZA"/>
        </w:rPr>
        <w:t xml:space="preserve"> </w:t>
      </w:r>
      <w:r w:rsidRPr="00BB5C77">
        <w:rPr>
          <w:rFonts w:ascii="Arial" w:eastAsia="Arial" w:hAnsi="Arial" w:cs="Arial"/>
          <w:color w:val="1C1C1C"/>
          <w:w w:val="105"/>
          <w:sz w:val="21"/>
          <w:szCs w:val="21"/>
          <w:lang w:val="en-ZA" w:eastAsia="en-ZA"/>
        </w:rPr>
        <w:t xml:space="preserve">identified </w:t>
      </w:r>
      <w:r w:rsidRPr="00BB5C77">
        <w:rPr>
          <w:rFonts w:ascii="Arial" w:eastAsia="Arial" w:hAnsi="Arial" w:cs="Arial"/>
          <w:color w:val="030303"/>
          <w:sz w:val="21"/>
          <w:szCs w:val="21"/>
          <w:lang w:val="en-ZA" w:eastAsia="en-ZA"/>
        </w:rPr>
        <w:t>and</w:t>
      </w:r>
      <w:r w:rsidRPr="00BB5C77">
        <w:rPr>
          <w:rFonts w:ascii="Arial" w:eastAsia="Arial" w:hAnsi="Arial" w:cs="Arial"/>
          <w:color w:val="030303"/>
          <w:spacing w:val="21"/>
          <w:sz w:val="21"/>
          <w:szCs w:val="21"/>
          <w:lang w:val="en-ZA" w:eastAsia="en-ZA"/>
        </w:rPr>
        <w:t xml:space="preserve"> </w:t>
      </w:r>
      <w:r w:rsidRPr="00BB5C77">
        <w:rPr>
          <w:rFonts w:ascii="Arial" w:eastAsia="Arial" w:hAnsi="Arial" w:cs="Arial"/>
          <w:color w:val="030303"/>
          <w:sz w:val="21"/>
          <w:szCs w:val="21"/>
          <w:lang w:val="en-ZA" w:eastAsia="en-ZA"/>
        </w:rPr>
        <w:t>subsequently</w:t>
      </w:r>
      <w:r w:rsidRPr="00BB5C77">
        <w:rPr>
          <w:rFonts w:ascii="Arial" w:eastAsia="Arial" w:hAnsi="Arial" w:cs="Arial"/>
          <w:color w:val="030303"/>
          <w:spacing w:val="45"/>
          <w:sz w:val="21"/>
          <w:szCs w:val="21"/>
          <w:lang w:val="en-ZA" w:eastAsia="en-ZA"/>
        </w:rPr>
        <w:t xml:space="preserve"> </w:t>
      </w:r>
      <w:r w:rsidRPr="00BB5C77">
        <w:rPr>
          <w:rFonts w:ascii="Arial" w:eastAsia="Arial" w:hAnsi="Arial" w:cs="Arial"/>
          <w:color w:val="030303"/>
          <w:sz w:val="21"/>
          <w:szCs w:val="21"/>
          <w:lang w:val="en-ZA" w:eastAsia="en-ZA"/>
        </w:rPr>
        <w:t>corrected,</w:t>
      </w:r>
      <w:r w:rsidRPr="00BB5C77">
        <w:rPr>
          <w:rFonts w:ascii="Arial" w:eastAsia="Arial" w:hAnsi="Arial" w:cs="Arial"/>
          <w:color w:val="030303"/>
          <w:spacing w:val="31"/>
          <w:sz w:val="21"/>
          <w:szCs w:val="21"/>
          <w:lang w:val="en-ZA" w:eastAsia="en-ZA"/>
        </w:rPr>
        <w:t xml:space="preserve"> </w:t>
      </w:r>
      <w:r w:rsidRPr="00BB5C77">
        <w:rPr>
          <w:rFonts w:ascii="Arial" w:eastAsia="Arial" w:hAnsi="Arial" w:cs="Arial"/>
          <w:color w:val="030303"/>
          <w:sz w:val="21"/>
          <w:szCs w:val="21"/>
          <w:lang w:val="en-ZA" w:eastAsia="en-ZA"/>
        </w:rPr>
        <w:t>which</w:t>
      </w:r>
      <w:r w:rsidRPr="00BB5C77">
        <w:rPr>
          <w:rFonts w:ascii="Arial" w:eastAsia="Arial" w:hAnsi="Arial" w:cs="Arial"/>
          <w:color w:val="030303"/>
          <w:spacing w:val="22"/>
          <w:sz w:val="21"/>
          <w:szCs w:val="21"/>
          <w:lang w:val="en-ZA" w:eastAsia="en-ZA"/>
        </w:rPr>
        <w:t xml:space="preserve"> </w:t>
      </w:r>
      <w:r w:rsidRPr="00BB5C77">
        <w:rPr>
          <w:rFonts w:ascii="Arial" w:eastAsia="Arial" w:hAnsi="Arial" w:cs="Arial"/>
          <w:color w:val="030303"/>
          <w:sz w:val="21"/>
          <w:szCs w:val="21"/>
          <w:lang w:val="en-ZA" w:eastAsia="en-ZA"/>
        </w:rPr>
        <w:t>resulted</w:t>
      </w:r>
      <w:r w:rsidRPr="00BB5C77">
        <w:rPr>
          <w:rFonts w:ascii="Arial" w:eastAsia="Arial" w:hAnsi="Arial" w:cs="Arial"/>
          <w:color w:val="030303"/>
          <w:spacing w:val="34"/>
          <w:sz w:val="21"/>
          <w:szCs w:val="21"/>
          <w:lang w:val="en-ZA" w:eastAsia="en-ZA"/>
        </w:rPr>
        <w:t xml:space="preserve"> </w:t>
      </w:r>
      <w:r w:rsidRPr="00BB5C77">
        <w:rPr>
          <w:rFonts w:ascii="Arial" w:eastAsia="Arial" w:hAnsi="Arial" w:cs="Arial"/>
          <w:color w:val="030303"/>
          <w:sz w:val="21"/>
          <w:szCs w:val="21"/>
          <w:lang w:val="en-ZA" w:eastAsia="en-ZA"/>
        </w:rPr>
        <w:t>in</w:t>
      </w:r>
      <w:r w:rsidRPr="00BB5C77">
        <w:rPr>
          <w:rFonts w:ascii="Arial" w:eastAsia="Arial" w:hAnsi="Arial" w:cs="Arial"/>
          <w:color w:val="030303"/>
          <w:spacing w:val="17"/>
          <w:sz w:val="21"/>
          <w:szCs w:val="21"/>
          <w:lang w:val="en-ZA" w:eastAsia="en-ZA"/>
        </w:rPr>
        <w:t xml:space="preserve"> </w:t>
      </w:r>
      <w:r w:rsidRPr="00BB5C77">
        <w:rPr>
          <w:rFonts w:ascii="Arial" w:eastAsia="Arial" w:hAnsi="Arial" w:cs="Arial"/>
          <w:color w:val="030303"/>
          <w:sz w:val="21"/>
          <w:szCs w:val="21"/>
          <w:lang w:val="en-ZA" w:eastAsia="en-ZA"/>
        </w:rPr>
        <w:t>the</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sz w:val="21"/>
          <w:szCs w:val="21"/>
          <w:lang w:val="en-ZA" w:eastAsia="en-ZA"/>
        </w:rPr>
        <w:t>municipality</w:t>
      </w:r>
      <w:r w:rsidRPr="00BB5C77">
        <w:rPr>
          <w:rFonts w:ascii="Arial" w:eastAsia="Arial" w:hAnsi="Arial" w:cs="Arial"/>
          <w:color w:val="030303"/>
          <w:spacing w:val="35"/>
          <w:sz w:val="21"/>
          <w:szCs w:val="21"/>
          <w:lang w:val="en-ZA" w:eastAsia="en-ZA"/>
        </w:rPr>
        <w:t xml:space="preserve"> </w:t>
      </w:r>
      <w:r w:rsidRPr="00BB5C77">
        <w:rPr>
          <w:rFonts w:ascii="Arial" w:eastAsia="Arial" w:hAnsi="Arial" w:cs="Arial"/>
          <w:color w:val="030303"/>
          <w:sz w:val="21"/>
          <w:szCs w:val="21"/>
          <w:lang w:val="en-ZA" w:eastAsia="en-ZA"/>
        </w:rPr>
        <w:t>receiving</w:t>
      </w:r>
      <w:r w:rsidRPr="00BB5C77">
        <w:rPr>
          <w:rFonts w:ascii="Arial" w:eastAsia="Arial" w:hAnsi="Arial" w:cs="Arial"/>
          <w:color w:val="030303"/>
          <w:spacing w:val="37"/>
          <w:sz w:val="21"/>
          <w:szCs w:val="21"/>
          <w:lang w:val="en-ZA" w:eastAsia="en-ZA"/>
        </w:rPr>
        <w:t xml:space="preserve"> </w:t>
      </w:r>
      <w:r w:rsidRPr="00BB5C77">
        <w:rPr>
          <w:rFonts w:ascii="Arial" w:eastAsia="Arial" w:hAnsi="Arial" w:cs="Arial"/>
          <w:color w:val="030303"/>
          <w:sz w:val="21"/>
          <w:szCs w:val="21"/>
          <w:lang w:val="en-ZA" w:eastAsia="en-ZA"/>
        </w:rPr>
        <w:t>an</w:t>
      </w:r>
      <w:r w:rsidRPr="00BB5C77">
        <w:rPr>
          <w:rFonts w:ascii="Arial" w:eastAsia="Arial" w:hAnsi="Arial" w:cs="Arial"/>
          <w:color w:val="030303"/>
          <w:spacing w:val="14"/>
          <w:sz w:val="21"/>
          <w:szCs w:val="21"/>
          <w:lang w:val="en-ZA" w:eastAsia="en-ZA"/>
        </w:rPr>
        <w:t xml:space="preserve"> </w:t>
      </w:r>
      <w:r w:rsidRPr="00BB5C77">
        <w:rPr>
          <w:rFonts w:ascii="Arial" w:eastAsia="Arial" w:hAnsi="Arial" w:cs="Arial"/>
          <w:color w:val="030303"/>
          <w:w w:val="106"/>
          <w:sz w:val="21"/>
          <w:szCs w:val="21"/>
          <w:lang w:val="en-ZA" w:eastAsia="en-ZA"/>
        </w:rPr>
        <w:t xml:space="preserve">unqualified </w:t>
      </w:r>
      <w:r w:rsidRPr="00BB5C77">
        <w:rPr>
          <w:rFonts w:ascii="Arial" w:eastAsia="Arial" w:hAnsi="Arial" w:cs="Arial"/>
          <w:color w:val="030303"/>
          <w:sz w:val="21"/>
          <w:szCs w:val="21"/>
          <w:lang w:val="en-ZA" w:eastAsia="en-ZA"/>
        </w:rPr>
        <w:t>audit</w:t>
      </w:r>
      <w:r w:rsidRPr="00BB5C77">
        <w:rPr>
          <w:rFonts w:ascii="Arial" w:eastAsia="Arial" w:hAnsi="Arial" w:cs="Arial"/>
          <w:color w:val="030303"/>
          <w:spacing w:val="23"/>
          <w:sz w:val="21"/>
          <w:szCs w:val="21"/>
          <w:lang w:val="en-ZA" w:eastAsia="en-ZA"/>
        </w:rPr>
        <w:t xml:space="preserve"> </w:t>
      </w:r>
      <w:r w:rsidRPr="00BB5C77">
        <w:rPr>
          <w:rFonts w:ascii="Arial" w:eastAsia="Arial" w:hAnsi="Arial" w:cs="Arial"/>
          <w:color w:val="030303"/>
          <w:w w:val="105"/>
          <w:sz w:val="21"/>
          <w:szCs w:val="21"/>
          <w:lang w:val="en-ZA" w:eastAsia="en-ZA"/>
        </w:rPr>
        <w:t>opinion.</w:t>
      </w:r>
    </w:p>
    <w:p w14:paraId="4E56C429" w14:textId="77777777" w:rsidR="00BB5C77" w:rsidRPr="00BB5C77" w:rsidRDefault="00BB5C77" w:rsidP="00BB5C77">
      <w:pPr>
        <w:spacing w:after="0"/>
        <w:jc w:val="both"/>
        <w:rPr>
          <w:rFonts w:eastAsia="Times New Roman" w:cs="Times New Roman"/>
          <w:sz w:val="22"/>
          <w:lang w:val="en-ZA" w:eastAsia="en-ZA"/>
        </w:rPr>
      </w:pPr>
    </w:p>
    <w:p w14:paraId="71B03A60" w14:textId="77777777" w:rsidR="00BB5C77" w:rsidRPr="00BB5C77" w:rsidRDefault="00BB5C77" w:rsidP="00BB5C77">
      <w:pPr>
        <w:spacing w:before="67" w:after="0" w:line="253" w:lineRule="auto"/>
        <w:ind w:left="480" w:right="58" w:hanging="360"/>
        <w:jc w:val="both"/>
        <w:rPr>
          <w:rFonts w:ascii="Arial" w:eastAsia="Arial" w:hAnsi="Arial" w:cs="Arial"/>
          <w:sz w:val="21"/>
          <w:szCs w:val="21"/>
          <w:lang w:val="en-ZA" w:eastAsia="en-ZA"/>
        </w:rPr>
      </w:pPr>
      <w:r w:rsidRPr="00BB5C77">
        <w:rPr>
          <w:rFonts w:ascii="Arial" w:eastAsia="Arial" w:hAnsi="Arial" w:cs="Arial"/>
          <w:color w:val="161616"/>
          <w:sz w:val="21"/>
          <w:szCs w:val="21"/>
          <w:lang w:val="en-ZA" w:eastAsia="en-ZA"/>
        </w:rPr>
        <w:t>34.</w:t>
      </w:r>
      <w:r w:rsidRPr="00BB5C77">
        <w:rPr>
          <w:rFonts w:ascii="Arial" w:eastAsia="Arial" w:hAnsi="Arial" w:cs="Arial"/>
          <w:color w:val="161616"/>
          <w:spacing w:val="-22"/>
          <w:sz w:val="21"/>
          <w:szCs w:val="21"/>
          <w:lang w:val="en-ZA" w:eastAsia="en-ZA"/>
        </w:rPr>
        <w:t xml:space="preserve"> </w:t>
      </w:r>
      <w:r w:rsidRPr="00BB5C77">
        <w:rPr>
          <w:rFonts w:ascii="Arial" w:eastAsia="Arial" w:hAnsi="Arial" w:cs="Arial"/>
          <w:color w:val="161616"/>
          <w:w w:val="106"/>
          <w:sz w:val="21"/>
          <w:szCs w:val="21"/>
          <w:lang w:val="en-ZA" w:eastAsia="en-ZA"/>
        </w:rPr>
        <w:t>Management</w:t>
      </w:r>
      <w:r w:rsidRPr="00BB5C77">
        <w:rPr>
          <w:rFonts w:ascii="Arial" w:eastAsia="Arial" w:hAnsi="Arial" w:cs="Arial"/>
          <w:color w:val="161616"/>
          <w:spacing w:val="-3"/>
          <w:w w:val="106"/>
          <w:sz w:val="21"/>
          <w:szCs w:val="21"/>
          <w:lang w:val="en-ZA" w:eastAsia="en-ZA"/>
        </w:rPr>
        <w:t xml:space="preserve"> </w:t>
      </w:r>
      <w:r w:rsidRPr="00BB5C77">
        <w:rPr>
          <w:rFonts w:ascii="Arial" w:eastAsia="Arial" w:hAnsi="Arial" w:cs="Arial"/>
          <w:color w:val="161616"/>
          <w:sz w:val="21"/>
          <w:szCs w:val="21"/>
          <w:lang w:val="en-ZA" w:eastAsia="en-ZA"/>
        </w:rPr>
        <w:t>did</w:t>
      </w:r>
      <w:r w:rsidRPr="00BB5C77">
        <w:rPr>
          <w:rFonts w:ascii="Arial" w:eastAsia="Arial" w:hAnsi="Arial" w:cs="Arial"/>
          <w:color w:val="161616"/>
          <w:spacing w:val="28"/>
          <w:sz w:val="21"/>
          <w:szCs w:val="21"/>
          <w:lang w:val="en-ZA" w:eastAsia="en-ZA"/>
        </w:rPr>
        <w:t xml:space="preserve"> </w:t>
      </w:r>
      <w:r w:rsidRPr="00BB5C77">
        <w:rPr>
          <w:rFonts w:ascii="Arial" w:eastAsia="Arial" w:hAnsi="Arial" w:cs="Arial"/>
          <w:color w:val="161616"/>
          <w:sz w:val="21"/>
          <w:szCs w:val="21"/>
          <w:lang w:val="en-ZA" w:eastAsia="en-ZA"/>
        </w:rPr>
        <w:t>not</w:t>
      </w:r>
      <w:r w:rsidRPr="00BB5C77">
        <w:rPr>
          <w:rFonts w:ascii="Arial" w:eastAsia="Arial" w:hAnsi="Arial" w:cs="Arial"/>
          <w:color w:val="161616"/>
          <w:spacing w:val="16"/>
          <w:sz w:val="21"/>
          <w:szCs w:val="21"/>
          <w:lang w:val="en-ZA" w:eastAsia="en-ZA"/>
        </w:rPr>
        <w:t xml:space="preserve"> </w:t>
      </w:r>
      <w:r w:rsidRPr="00BB5C77">
        <w:rPr>
          <w:rFonts w:ascii="Arial" w:eastAsia="Arial" w:hAnsi="Arial" w:cs="Arial"/>
          <w:color w:val="161616"/>
          <w:sz w:val="21"/>
          <w:szCs w:val="21"/>
          <w:lang w:val="en-ZA" w:eastAsia="en-ZA"/>
        </w:rPr>
        <w:t>adequately</w:t>
      </w:r>
      <w:r w:rsidRPr="00BB5C77">
        <w:rPr>
          <w:rFonts w:ascii="Arial" w:eastAsia="Arial" w:hAnsi="Arial" w:cs="Arial"/>
          <w:color w:val="161616"/>
          <w:spacing w:val="54"/>
          <w:sz w:val="21"/>
          <w:szCs w:val="21"/>
          <w:lang w:val="en-ZA" w:eastAsia="en-ZA"/>
        </w:rPr>
        <w:t xml:space="preserve"> </w:t>
      </w:r>
      <w:r w:rsidRPr="00BB5C77">
        <w:rPr>
          <w:rFonts w:ascii="Arial" w:eastAsia="Arial" w:hAnsi="Arial" w:cs="Arial"/>
          <w:color w:val="161616"/>
          <w:sz w:val="21"/>
          <w:szCs w:val="21"/>
          <w:lang w:val="en-ZA" w:eastAsia="en-ZA"/>
        </w:rPr>
        <w:t>review</w:t>
      </w:r>
      <w:r w:rsidRPr="00BB5C77">
        <w:rPr>
          <w:rFonts w:ascii="Arial" w:eastAsia="Arial" w:hAnsi="Arial" w:cs="Arial"/>
          <w:color w:val="161616"/>
          <w:spacing w:val="32"/>
          <w:sz w:val="21"/>
          <w:szCs w:val="21"/>
          <w:lang w:val="en-ZA" w:eastAsia="en-ZA"/>
        </w:rPr>
        <w:t xml:space="preserve"> </w:t>
      </w:r>
      <w:r w:rsidRPr="00BB5C77">
        <w:rPr>
          <w:rFonts w:ascii="Arial" w:eastAsia="Arial" w:hAnsi="Arial" w:cs="Arial"/>
          <w:color w:val="161616"/>
          <w:sz w:val="21"/>
          <w:szCs w:val="21"/>
          <w:lang w:val="en-ZA" w:eastAsia="en-ZA"/>
        </w:rPr>
        <w:t>and</w:t>
      </w:r>
      <w:r w:rsidRPr="00BB5C77">
        <w:rPr>
          <w:rFonts w:ascii="Arial" w:eastAsia="Arial" w:hAnsi="Arial" w:cs="Arial"/>
          <w:color w:val="161616"/>
          <w:spacing w:val="17"/>
          <w:sz w:val="21"/>
          <w:szCs w:val="21"/>
          <w:lang w:val="en-ZA" w:eastAsia="en-ZA"/>
        </w:rPr>
        <w:t xml:space="preserve"> </w:t>
      </w:r>
      <w:r w:rsidRPr="00BB5C77">
        <w:rPr>
          <w:rFonts w:ascii="Arial" w:eastAsia="Arial" w:hAnsi="Arial" w:cs="Arial"/>
          <w:color w:val="161616"/>
          <w:sz w:val="21"/>
          <w:szCs w:val="21"/>
          <w:lang w:val="en-ZA" w:eastAsia="en-ZA"/>
        </w:rPr>
        <w:t>monitor</w:t>
      </w:r>
      <w:r w:rsidRPr="00BB5C77">
        <w:rPr>
          <w:rFonts w:ascii="Arial" w:eastAsia="Arial" w:hAnsi="Arial" w:cs="Arial"/>
          <w:color w:val="161616"/>
          <w:spacing w:val="48"/>
          <w:sz w:val="21"/>
          <w:szCs w:val="21"/>
          <w:lang w:val="en-ZA" w:eastAsia="en-ZA"/>
        </w:rPr>
        <w:t xml:space="preserve"> </w:t>
      </w:r>
      <w:r w:rsidRPr="00BB5C77">
        <w:rPr>
          <w:rFonts w:ascii="Arial" w:eastAsia="Arial" w:hAnsi="Arial" w:cs="Arial"/>
          <w:color w:val="161616"/>
          <w:w w:val="107"/>
          <w:sz w:val="21"/>
          <w:szCs w:val="21"/>
          <w:lang w:val="en-ZA" w:eastAsia="en-ZA"/>
        </w:rPr>
        <w:t>compliance</w:t>
      </w:r>
      <w:r w:rsidRPr="00BB5C77">
        <w:rPr>
          <w:rFonts w:ascii="Arial" w:eastAsia="Arial" w:hAnsi="Arial" w:cs="Arial"/>
          <w:color w:val="161616"/>
          <w:spacing w:val="-8"/>
          <w:w w:val="107"/>
          <w:sz w:val="21"/>
          <w:szCs w:val="21"/>
          <w:lang w:val="en-ZA" w:eastAsia="en-ZA"/>
        </w:rPr>
        <w:t xml:space="preserve"> </w:t>
      </w:r>
      <w:r w:rsidRPr="00BB5C77">
        <w:rPr>
          <w:rFonts w:ascii="Arial" w:eastAsia="Arial" w:hAnsi="Arial" w:cs="Arial"/>
          <w:color w:val="161616"/>
          <w:sz w:val="21"/>
          <w:szCs w:val="21"/>
          <w:lang w:val="en-ZA" w:eastAsia="en-ZA"/>
        </w:rPr>
        <w:t>with</w:t>
      </w:r>
      <w:r w:rsidRPr="00BB5C77">
        <w:rPr>
          <w:rFonts w:ascii="Arial" w:eastAsia="Arial" w:hAnsi="Arial" w:cs="Arial"/>
          <w:color w:val="161616"/>
          <w:spacing w:val="11"/>
          <w:sz w:val="21"/>
          <w:szCs w:val="21"/>
          <w:lang w:val="en-ZA" w:eastAsia="en-ZA"/>
        </w:rPr>
        <w:t xml:space="preserve"> </w:t>
      </w:r>
      <w:r w:rsidRPr="00BB5C77">
        <w:rPr>
          <w:rFonts w:ascii="Arial" w:eastAsia="Arial" w:hAnsi="Arial" w:cs="Arial"/>
          <w:color w:val="161616"/>
          <w:w w:val="105"/>
          <w:sz w:val="21"/>
          <w:szCs w:val="21"/>
          <w:lang w:val="en-ZA" w:eastAsia="en-ZA"/>
        </w:rPr>
        <w:t xml:space="preserve">legislation </w:t>
      </w:r>
      <w:r w:rsidRPr="00BB5C77">
        <w:rPr>
          <w:rFonts w:ascii="Arial" w:eastAsia="Arial" w:hAnsi="Arial" w:cs="Arial"/>
          <w:color w:val="161616"/>
          <w:sz w:val="21"/>
          <w:szCs w:val="21"/>
          <w:lang w:val="en-ZA" w:eastAsia="en-ZA"/>
        </w:rPr>
        <w:t>regarding</w:t>
      </w:r>
      <w:r w:rsidRPr="00BB5C77">
        <w:rPr>
          <w:rFonts w:ascii="Arial" w:eastAsia="Arial" w:hAnsi="Arial" w:cs="Arial"/>
          <w:color w:val="161616"/>
          <w:spacing w:val="54"/>
          <w:sz w:val="21"/>
          <w:szCs w:val="21"/>
          <w:lang w:val="en-ZA" w:eastAsia="en-ZA"/>
        </w:rPr>
        <w:t xml:space="preserve"> </w:t>
      </w:r>
      <w:r w:rsidRPr="00BB5C77">
        <w:rPr>
          <w:rFonts w:ascii="Arial" w:eastAsia="Arial" w:hAnsi="Arial" w:cs="Arial"/>
          <w:color w:val="161616"/>
          <w:sz w:val="21"/>
          <w:szCs w:val="21"/>
          <w:lang w:val="en-ZA" w:eastAsia="en-ZA"/>
        </w:rPr>
        <w:t>the</w:t>
      </w:r>
      <w:r w:rsidRPr="00BB5C77">
        <w:rPr>
          <w:rFonts w:ascii="Arial" w:eastAsia="Arial" w:hAnsi="Arial" w:cs="Arial"/>
          <w:color w:val="161616"/>
          <w:spacing w:val="18"/>
          <w:sz w:val="21"/>
          <w:szCs w:val="21"/>
          <w:lang w:val="en-ZA" w:eastAsia="en-ZA"/>
        </w:rPr>
        <w:t xml:space="preserve"> </w:t>
      </w:r>
      <w:r w:rsidRPr="00BB5C77">
        <w:rPr>
          <w:rFonts w:ascii="Arial" w:eastAsia="Arial" w:hAnsi="Arial" w:cs="Arial"/>
          <w:color w:val="161616"/>
          <w:sz w:val="21"/>
          <w:szCs w:val="21"/>
          <w:lang w:val="en-ZA" w:eastAsia="en-ZA"/>
        </w:rPr>
        <w:t>supply</w:t>
      </w:r>
      <w:r w:rsidRPr="00BB5C77">
        <w:rPr>
          <w:rFonts w:ascii="Arial" w:eastAsia="Arial" w:hAnsi="Arial" w:cs="Arial"/>
          <w:color w:val="161616"/>
          <w:spacing w:val="38"/>
          <w:sz w:val="21"/>
          <w:szCs w:val="21"/>
          <w:lang w:val="en-ZA" w:eastAsia="en-ZA"/>
        </w:rPr>
        <w:t xml:space="preserve"> </w:t>
      </w:r>
      <w:r w:rsidRPr="00BB5C77">
        <w:rPr>
          <w:rFonts w:ascii="Arial" w:eastAsia="Arial" w:hAnsi="Arial" w:cs="Arial"/>
          <w:color w:val="161616"/>
          <w:sz w:val="21"/>
          <w:szCs w:val="21"/>
          <w:lang w:val="en-ZA" w:eastAsia="en-ZA"/>
        </w:rPr>
        <w:t>chain</w:t>
      </w:r>
      <w:r w:rsidRPr="00BB5C77">
        <w:rPr>
          <w:rFonts w:ascii="Arial" w:eastAsia="Arial" w:hAnsi="Arial" w:cs="Arial"/>
          <w:color w:val="161616"/>
          <w:spacing w:val="36"/>
          <w:sz w:val="21"/>
          <w:szCs w:val="21"/>
          <w:lang w:val="en-ZA" w:eastAsia="en-ZA"/>
        </w:rPr>
        <w:t xml:space="preserve"> </w:t>
      </w:r>
      <w:r w:rsidRPr="00BB5C77">
        <w:rPr>
          <w:rFonts w:ascii="Arial" w:eastAsia="Arial" w:hAnsi="Arial" w:cs="Arial"/>
          <w:color w:val="161616"/>
          <w:w w:val="105"/>
          <w:sz w:val="21"/>
          <w:szCs w:val="21"/>
          <w:lang w:val="en-ZA" w:eastAsia="en-ZA"/>
        </w:rPr>
        <w:t>management</w:t>
      </w:r>
      <w:r w:rsidRPr="00BB5C77">
        <w:rPr>
          <w:rFonts w:ascii="Arial" w:eastAsia="Arial" w:hAnsi="Arial" w:cs="Arial"/>
          <w:color w:val="161616"/>
          <w:spacing w:val="7"/>
          <w:w w:val="105"/>
          <w:sz w:val="21"/>
          <w:szCs w:val="21"/>
          <w:lang w:val="en-ZA" w:eastAsia="en-ZA"/>
        </w:rPr>
        <w:t xml:space="preserve"> </w:t>
      </w:r>
      <w:r w:rsidRPr="00BB5C77">
        <w:rPr>
          <w:rFonts w:ascii="Arial" w:eastAsia="Arial" w:hAnsi="Arial" w:cs="Arial"/>
          <w:color w:val="161616"/>
          <w:sz w:val="21"/>
          <w:szCs w:val="21"/>
          <w:lang w:val="en-ZA" w:eastAsia="en-ZA"/>
        </w:rPr>
        <w:t>processes</w:t>
      </w:r>
      <w:r w:rsidRPr="00BB5C77">
        <w:rPr>
          <w:rFonts w:ascii="Arial" w:eastAsia="Arial" w:hAnsi="Arial" w:cs="Arial"/>
          <w:color w:val="161616"/>
          <w:spacing w:val="53"/>
          <w:sz w:val="21"/>
          <w:szCs w:val="21"/>
          <w:lang w:val="en-ZA" w:eastAsia="en-ZA"/>
        </w:rPr>
        <w:t xml:space="preserve"> </w:t>
      </w:r>
      <w:r w:rsidRPr="00BB5C77">
        <w:rPr>
          <w:rFonts w:ascii="Arial" w:eastAsia="Arial" w:hAnsi="Arial" w:cs="Arial"/>
          <w:color w:val="161616"/>
          <w:sz w:val="21"/>
          <w:szCs w:val="21"/>
          <w:lang w:val="en-ZA" w:eastAsia="en-ZA"/>
        </w:rPr>
        <w:t>and</w:t>
      </w:r>
      <w:r w:rsidRPr="00BB5C77">
        <w:rPr>
          <w:rFonts w:ascii="Arial" w:eastAsia="Arial" w:hAnsi="Arial" w:cs="Arial"/>
          <w:color w:val="161616"/>
          <w:spacing w:val="27"/>
          <w:sz w:val="21"/>
          <w:szCs w:val="21"/>
          <w:lang w:val="en-ZA" w:eastAsia="en-ZA"/>
        </w:rPr>
        <w:t xml:space="preserve"> </w:t>
      </w:r>
      <w:r w:rsidRPr="00BB5C77">
        <w:rPr>
          <w:rFonts w:ascii="Arial" w:eastAsia="Arial" w:hAnsi="Arial" w:cs="Arial"/>
          <w:color w:val="161616"/>
          <w:sz w:val="21"/>
          <w:szCs w:val="21"/>
          <w:lang w:val="en-ZA" w:eastAsia="en-ZA"/>
        </w:rPr>
        <w:t>the</w:t>
      </w:r>
      <w:r w:rsidRPr="00BB5C77">
        <w:rPr>
          <w:rFonts w:ascii="Arial" w:eastAsia="Arial" w:hAnsi="Arial" w:cs="Arial"/>
          <w:color w:val="161616"/>
          <w:spacing w:val="10"/>
          <w:sz w:val="21"/>
          <w:szCs w:val="21"/>
          <w:lang w:val="en-ZA" w:eastAsia="en-ZA"/>
        </w:rPr>
        <w:t xml:space="preserve"> </w:t>
      </w:r>
      <w:r w:rsidRPr="00BB5C77">
        <w:rPr>
          <w:rFonts w:ascii="Arial" w:eastAsia="Arial" w:hAnsi="Arial" w:cs="Arial"/>
          <w:color w:val="161616"/>
          <w:sz w:val="21"/>
          <w:szCs w:val="21"/>
          <w:lang w:val="en-ZA" w:eastAsia="en-ZA"/>
        </w:rPr>
        <w:t>preparation</w:t>
      </w:r>
      <w:r w:rsidRPr="00BB5C77">
        <w:rPr>
          <w:rFonts w:ascii="Arial" w:eastAsia="Arial" w:hAnsi="Arial" w:cs="Arial"/>
          <w:color w:val="161616"/>
          <w:spacing w:val="42"/>
          <w:sz w:val="21"/>
          <w:szCs w:val="21"/>
          <w:lang w:val="en-ZA" w:eastAsia="en-ZA"/>
        </w:rPr>
        <w:t xml:space="preserve"> </w:t>
      </w:r>
      <w:r w:rsidRPr="00BB5C77">
        <w:rPr>
          <w:rFonts w:ascii="Arial" w:eastAsia="Arial" w:hAnsi="Arial" w:cs="Arial"/>
          <w:color w:val="161616"/>
          <w:sz w:val="21"/>
          <w:szCs w:val="21"/>
          <w:lang w:val="en-ZA" w:eastAsia="en-ZA"/>
        </w:rPr>
        <w:t>of</w:t>
      </w:r>
      <w:r w:rsidRPr="00BB5C77">
        <w:rPr>
          <w:rFonts w:ascii="Arial" w:eastAsia="Arial" w:hAnsi="Arial" w:cs="Arial"/>
          <w:color w:val="161616"/>
          <w:spacing w:val="17"/>
          <w:sz w:val="21"/>
          <w:szCs w:val="21"/>
          <w:lang w:val="en-ZA" w:eastAsia="en-ZA"/>
        </w:rPr>
        <w:t xml:space="preserve"> </w:t>
      </w:r>
      <w:r w:rsidRPr="00BB5C77">
        <w:rPr>
          <w:rFonts w:ascii="Arial" w:eastAsia="Arial" w:hAnsi="Arial" w:cs="Arial"/>
          <w:color w:val="161616"/>
          <w:sz w:val="21"/>
          <w:szCs w:val="21"/>
          <w:lang w:val="en-ZA" w:eastAsia="en-ZA"/>
        </w:rPr>
        <w:t>the</w:t>
      </w:r>
      <w:r w:rsidRPr="00BB5C77">
        <w:rPr>
          <w:rFonts w:ascii="Arial" w:eastAsia="Arial" w:hAnsi="Arial" w:cs="Arial"/>
          <w:color w:val="161616"/>
          <w:spacing w:val="10"/>
          <w:sz w:val="21"/>
          <w:szCs w:val="21"/>
          <w:lang w:val="en-ZA" w:eastAsia="en-ZA"/>
        </w:rPr>
        <w:t xml:space="preserve"> </w:t>
      </w:r>
      <w:r w:rsidRPr="00BB5C77">
        <w:rPr>
          <w:rFonts w:ascii="Arial" w:eastAsia="Arial" w:hAnsi="Arial" w:cs="Arial"/>
          <w:color w:val="161616"/>
          <w:w w:val="107"/>
          <w:sz w:val="21"/>
          <w:szCs w:val="21"/>
          <w:lang w:val="en-ZA" w:eastAsia="en-ZA"/>
        </w:rPr>
        <w:t xml:space="preserve">financial </w:t>
      </w:r>
      <w:r w:rsidRPr="00BB5C77">
        <w:rPr>
          <w:rFonts w:ascii="Arial" w:eastAsia="Arial" w:hAnsi="Arial" w:cs="Arial"/>
          <w:color w:val="161616"/>
          <w:w w:val="105"/>
          <w:sz w:val="21"/>
          <w:szCs w:val="21"/>
          <w:lang w:val="en-ZA" w:eastAsia="en-ZA"/>
        </w:rPr>
        <w:t>statements.</w:t>
      </w:r>
    </w:p>
    <w:p w14:paraId="10BC5AC8" w14:textId="77777777" w:rsidR="00BB5C77" w:rsidRPr="00BB5C77" w:rsidRDefault="00BB5C77" w:rsidP="00BB5C77">
      <w:pPr>
        <w:spacing w:after="0"/>
        <w:jc w:val="both"/>
        <w:rPr>
          <w:rFonts w:eastAsia="Times New Roman" w:cs="Times New Roman"/>
          <w:sz w:val="22"/>
          <w:lang w:val="en-ZA" w:eastAsia="en-ZA"/>
        </w:rPr>
      </w:pPr>
    </w:p>
    <w:p w14:paraId="24F35F55" w14:textId="77777777" w:rsidR="00BB5C77" w:rsidRPr="00BB5C77" w:rsidRDefault="00BB5C77" w:rsidP="00BB5C77">
      <w:pPr>
        <w:spacing w:after="0"/>
        <w:jc w:val="both"/>
        <w:rPr>
          <w:rFonts w:eastAsia="Times New Roman" w:cs="Times New Roman"/>
          <w:sz w:val="22"/>
          <w:lang w:val="en-ZA" w:eastAsia="en-ZA"/>
        </w:rPr>
      </w:pPr>
    </w:p>
    <w:p w14:paraId="279D0DF5" w14:textId="77777777" w:rsidR="00BB5C77" w:rsidRPr="00BB5C77" w:rsidRDefault="00BB5C77" w:rsidP="00BB5C77">
      <w:pPr>
        <w:spacing w:after="0"/>
        <w:jc w:val="both"/>
        <w:rPr>
          <w:rFonts w:eastAsia="Times New Roman" w:cs="Times New Roman"/>
          <w:sz w:val="22"/>
          <w:lang w:val="en-ZA" w:eastAsia="en-ZA"/>
        </w:rPr>
      </w:pPr>
    </w:p>
    <w:p w14:paraId="4F2D2DD2" w14:textId="77777777" w:rsidR="00BB5C77" w:rsidRPr="00BB5C77" w:rsidRDefault="00BB5C77" w:rsidP="00BB5C77">
      <w:pPr>
        <w:spacing w:after="0"/>
        <w:jc w:val="both"/>
        <w:rPr>
          <w:rFonts w:eastAsia="Times New Roman" w:cs="Times New Roman"/>
          <w:sz w:val="22"/>
          <w:lang w:val="en-ZA" w:eastAsia="en-ZA"/>
        </w:rPr>
      </w:pPr>
    </w:p>
    <w:p w14:paraId="1343A583" w14:textId="77777777" w:rsidR="00BB5C77" w:rsidRPr="00BB5C77" w:rsidRDefault="00BB5C77" w:rsidP="00BB5C77">
      <w:pPr>
        <w:spacing w:after="0" w:line="240" w:lineRule="auto"/>
        <w:ind w:left="178" w:right="-20"/>
        <w:jc w:val="both"/>
        <w:rPr>
          <w:rFonts w:ascii="Times New Roman" w:eastAsia="Times New Roman" w:hAnsi="Times New Roman" w:cs="Times New Roman"/>
          <w:szCs w:val="20"/>
          <w:lang w:val="en-ZA" w:eastAsia="en-ZA"/>
        </w:rPr>
      </w:pPr>
      <w:r w:rsidRPr="00BB5C77">
        <w:rPr>
          <w:rFonts w:eastAsia="Times New Roman" w:cs="Times New Roman"/>
          <w:noProof/>
          <w:sz w:val="22"/>
        </w:rPr>
        <w:drawing>
          <wp:inline distT="0" distB="0" distL="0" distR="0" wp14:anchorId="1B99B8B5" wp14:editId="734FB172">
            <wp:extent cx="1943100" cy="5143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943100" cy="514350"/>
                    </a:xfrm>
                    <a:prstGeom prst="rect">
                      <a:avLst/>
                    </a:prstGeom>
                    <a:noFill/>
                    <a:ln>
                      <a:noFill/>
                    </a:ln>
                  </pic:spPr>
                </pic:pic>
              </a:graphicData>
            </a:graphic>
          </wp:inline>
        </w:drawing>
      </w:r>
    </w:p>
    <w:p w14:paraId="25314C5D" w14:textId="77777777" w:rsidR="00BB5C77" w:rsidRPr="00BB5C77" w:rsidRDefault="00BB5C77" w:rsidP="00BB5C77">
      <w:pPr>
        <w:spacing w:after="0" w:line="200" w:lineRule="exact"/>
        <w:jc w:val="both"/>
        <w:rPr>
          <w:rFonts w:eastAsia="Times New Roman" w:cs="Times New Roman"/>
          <w:szCs w:val="20"/>
          <w:lang w:val="en-ZA" w:eastAsia="en-ZA"/>
        </w:rPr>
      </w:pPr>
    </w:p>
    <w:p w14:paraId="6F4B40FB" w14:textId="77777777" w:rsidR="00BB5C77" w:rsidRPr="00BB5C77" w:rsidRDefault="00BB5C77" w:rsidP="00BB5C77">
      <w:pPr>
        <w:spacing w:before="8" w:after="0" w:line="220" w:lineRule="exact"/>
        <w:jc w:val="both"/>
        <w:rPr>
          <w:rFonts w:eastAsia="Times New Roman" w:cs="Times New Roman"/>
          <w:sz w:val="22"/>
          <w:lang w:val="en-ZA" w:eastAsia="en-ZA"/>
        </w:rPr>
      </w:pPr>
    </w:p>
    <w:p w14:paraId="3508DC0A" w14:textId="77777777" w:rsidR="00BB5C77" w:rsidRPr="00BB5C77" w:rsidRDefault="00BB5C77" w:rsidP="00BB5C77">
      <w:pPr>
        <w:spacing w:after="0" w:line="240" w:lineRule="auto"/>
        <w:ind w:left="120" w:right="-20"/>
        <w:jc w:val="both"/>
        <w:rPr>
          <w:rFonts w:ascii="Arial" w:eastAsia="Arial" w:hAnsi="Arial" w:cs="Arial"/>
          <w:sz w:val="21"/>
          <w:szCs w:val="21"/>
          <w:lang w:val="en-ZA" w:eastAsia="en-ZA"/>
        </w:rPr>
      </w:pPr>
      <w:r w:rsidRPr="00BB5C77">
        <w:rPr>
          <w:rFonts w:ascii="Arial" w:eastAsia="Arial" w:hAnsi="Arial" w:cs="Arial"/>
          <w:color w:val="161616"/>
          <w:w w:val="106"/>
          <w:sz w:val="21"/>
          <w:szCs w:val="21"/>
          <w:lang w:val="en-ZA" w:eastAsia="en-ZA"/>
        </w:rPr>
        <w:t>Pietermaritzb</w:t>
      </w:r>
      <w:r w:rsidRPr="00BB5C77">
        <w:rPr>
          <w:rFonts w:ascii="Arial" w:eastAsia="Arial" w:hAnsi="Arial" w:cs="Arial"/>
          <w:color w:val="161616"/>
          <w:spacing w:val="-4"/>
          <w:w w:val="107"/>
          <w:sz w:val="21"/>
          <w:szCs w:val="21"/>
          <w:lang w:val="en-ZA" w:eastAsia="en-ZA"/>
        </w:rPr>
        <w:t>u</w:t>
      </w:r>
      <w:r w:rsidRPr="00BB5C77">
        <w:rPr>
          <w:rFonts w:ascii="Arial" w:eastAsia="Arial" w:hAnsi="Arial" w:cs="Arial"/>
          <w:color w:val="161616"/>
          <w:w w:val="109"/>
          <w:sz w:val="21"/>
          <w:szCs w:val="21"/>
          <w:lang w:val="en-ZA" w:eastAsia="en-ZA"/>
        </w:rPr>
        <w:t>rg</w:t>
      </w:r>
    </w:p>
    <w:p w14:paraId="2FEE330A" w14:textId="77777777" w:rsidR="00BB5C77" w:rsidRPr="00BB5C77" w:rsidRDefault="00BB5C77" w:rsidP="00BB5C77">
      <w:pPr>
        <w:spacing w:before="8" w:after="0" w:line="240" w:lineRule="exact"/>
        <w:jc w:val="both"/>
        <w:rPr>
          <w:rFonts w:eastAsia="Times New Roman" w:cs="Times New Roman"/>
          <w:sz w:val="24"/>
          <w:szCs w:val="24"/>
          <w:lang w:val="en-ZA" w:eastAsia="en-ZA"/>
        </w:rPr>
      </w:pPr>
    </w:p>
    <w:p w14:paraId="6028E471" w14:textId="77777777" w:rsidR="00BB5C77" w:rsidRPr="00BB5C77" w:rsidRDefault="00BB5C77" w:rsidP="00BB5C77">
      <w:pPr>
        <w:spacing w:after="0" w:line="240" w:lineRule="auto"/>
        <w:ind w:left="120" w:right="-20"/>
        <w:jc w:val="both"/>
        <w:rPr>
          <w:rFonts w:ascii="Arial" w:eastAsia="Arial" w:hAnsi="Arial" w:cs="Arial"/>
          <w:sz w:val="21"/>
          <w:szCs w:val="21"/>
          <w:lang w:val="en-ZA" w:eastAsia="en-ZA"/>
        </w:rPr>
      </w:pPr>
      <w:r w:rsidRPr="00BB5C77">
        <w:rPr>
          <w:rFonts w:ascii="Arial" w:eastAsia="Arial" w:hAnsi="Arial" w:cs="Arial"/>
          <w:color w:val="161616"/>
          <w:sz w:val="21"/>
          <w:szCs w:val="21"/>
          <w:lang w:val="en-ZA" w:eastAsia="en-ZA"/>
        </w:rPr>
        <w:t>30</w:t>
      </w:r>
      <w:r w:rsidRPr="00BB5C77">
        <w:rPr>
          <w:rFonts w:ascii="Arial" w:eastAsia="Arial" w:hAnsi="Arial" w:cs="Arial"/>
          <w:color w:val="161616"/>
          <w:spacing w:val="14"/>
          <w:sz w:val="21"/>
          <w:szCs w:val="21"/>
          <w:lang w:val="en-ZA" w:eastAsia="en-ZA"/>
        </w:rPr>
        <w:t xml:space="preserve"> </w:t>
      </w:r>
      <w:r w:rsidRPr="00BB5C77">
        <w:rPr>
          <w:rFonts w:ascii="Arial" w:eastAsia="Arial" w:hAnsi="Arial" w:cs="Arial"/>
          <w:color w:val="161616"/>
          <w:sz w:val="21"/>
          <w:szCs w:val="21"/>
          <w:lang w:val="en-ZA" w:eastAsia="en-ZA"/>
        </w:rPr>
        <w:t xml:space="preserve">November </w:t>
      </w:r>
      <w:r w:rsidRPr="00BB5C77">
        <w:rPr>
          <w:rFonts w:ascii="Arial" w:eastAsia="Arial" w:hAnsi="Arial" w:cs="Arial"/>
          <w:color w:val="161616"/>
          <w:spacing w:val="3"/>
          <w:sz w:val="21"/>
          <w:szCs w:val="21"/>
          <w:lang w:val="en-ZA" w:eastAsia="en-ZA"/>
        </w:rPr>
        <w:t xml:space="preserve"> </w:t>
      </w:r>
      <w:r w:rsidRPr="00BB5C77">
        <w:rPr>
          <w:rFonts w:ascii="Arial" w:eastAsia="Arial" w:hAnsi="Arial" w:cs="Arial"/>
          <w:color w:val="161616"/>
          <w:w w:val="107"/>
          <w:sz w:val="21"/>
          <w:szCs w:val="21"/>
          <w:lang w:val="en-ZA" w:eastAsia="en-ZA"/>
        </w:rPr>
        <w:t>2017</w:t>
      </w:r>
    </w:p>
    <w:p w14:paraId="1BD0ACC7" w14:textId="77777777" w:rsidR="00BB5C77" w:rsidRPr="00BB5C77" w:rsidRDefault="00BB5C77" w:rsidP="00BB5C77">
      <w:pPr>
        <w:spacing w:before="3" w:after="0" w:line="100" w:lineRule="exact"/>
        <w:jc w:val="both"/>
        <w:rPr>
          <w:rFonts w:eastAsia="Times New Roman" w:cs="Times New Roman"/>
          <w:sz w:val="10"/>
          <w:szCs w:val="10"/>
          <w:lang w:val="en-ZA" w:eastAsia="en-ZA"/>
        </w:rPr>
      </w:pPr>
    </w:p>
    <w:p w14:paraId="2F810D16" w14:textId="77777777" w:rsidR="00BB5C77" w:rsidRPr="00BB5C77" w:rsidRDefault="00BB5C77" w:rsidP="00BB5C77">
      <w:pPr>
        <w:spacing w:after="0" w:line="200" w:lineRule="exact"/>
        <w:jc w:val="both"/>
        <w:rPr>
          <w:rFonts w:eastAsia="Times New Roman" w:cs="Times New Roman"/>
          <w:szCs w:val="20"/>
          <w:lang w:val="en-ZA" w:eastAsia="en-ZA"/>
        </w:rPr>
      </w:pPr>
    </w:p>
    <w:p w14:paraId="04DFC0B7" w14:textId="77777777" w:rsidR="00BB5C77" w:rsidRPr="00BB5C77" w:rsidRDefault="00BB5C77" w:rsidP="00BB5C77">
      <w:pPr>
        <w:spacing w:after="0" w:line="240" w:lineRule="auto"/>
        <w:ind w:left="998" w:right="-20"/>
        <w:jc w:val="both"/>
        <w:rPr>
          <w:rFonts w:ascii="Times New Roman" w:eastAsia="Times New Roman" w:hAnsi="Times New Roman" w:cs="Times New Roman"/>
          <w:szCs w:val="20"/>
          <w:lang w:val="en-ZA" w:eastAsia="en-ZA"/>
        </w:rPr>
      </w:pPr>
      <w:r w:rsidRPr="00BB5C77">
        <w:rPr>
          <w:rFonts w:eastAsia="Times New Roman" w:cs="Times New Roman"/>
          <w:noProof/>
          <w:sz w:val="22"/>
        </w:rPr>
        <w:drawing>
          <wp:inline distT="0" distB="0" distL="0" distR="0" wp14:anchorId="53575D5F" wp14:editId="59A5E232">
            <wp:extent cx="866775" cy="5905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866775" cy="590550"/>
                    </a:xfrm>
                    <a:prstGeom prst="rect">
                      <a:avLst/>
                    </a:prstGeom>
                    <a:noFill/>
                    <a:ln>
                      <a:noFill/>
                    </a:ln>
                  </pic:spPr>
                </pic:pic>
              </a:graphicData>
            </a:graphic>
          </wp:inline>
        </w:drawing>
      </w:r>
    </w:p>
    <w:p w14:paraId="16F0D70B" w14:textId="77777777" w:rsidR="00BB5C77" w:rsidRPr="00BB5C77" w:rsidRDefault="00BB5C77" w:rsidP="00BB5C77">
      <w:pPr>
        <w:spacing w:before="9" w:after="0" w:line="200" w:lineRule="exact"/>
        <w:jc w:val="both"/>
        <w:rPr>
          <w:rFonts w:eastAsia="Times New Roman" w:cs="Times New Roman"/>
          <w:szCs w:val="20"/>
          <w:lang w:val="en-ZA" w:eastAsia="en-ZA"/>
        </w:rPr>
      </w:pPr>
    </w:p>
    <w:p w14:paraId="30767B11" w14:textId="77777777" w:rsidR="00BB5C77" w:rsidRPr="00BB5C77" w:rsidRDefault="00BB5C77" w:rsidP="00BB5C77">
      <w:pPr>
        <w:tabs>
          <w:tab w:val="left" w:pos="1800"/>
        </w:tabs>
        <w:spacing w:after="0" w:line="363" w:lineRule="auto"/>
        <w:ind w:left="681" w:right="5937" w:hanging="418"/>
        <w:jc w:val="both"/>
        <w:rPr>
          <w:rFonts w:ascii="Arial" w:eastAsia="Arial" w:hAnsi="Arial" w:cs="Arial"/>
          <w:sz w:val="12"/>
          <w:szCs w:val="12"/>
          <w:lang w:val="en-ZA" w:eastAsia="en-ZA"/>
        </w:rPr>
      </w:pPr>
      <w:r w:rsidRPr="00BB5C77">
        <w:rPr>
          <w:rFonts w:ascii="Arial" w:eastAsia="Arial" w:hAnsi="Arial" w:cs="Arial"/>
          <w:color w:val="4D799A"/>
          <w:w w:val="247"/>
          <w:sz w:val="12"/>
          <w:szCs w:val="12"/>
          <w:lang w:val="en-ZA" w:eastAsia="en-ZA"/>
        </w:rPr>
        <w:t xml:space="preserve">AUDITOR-GENERAL </w:t>
      </w:r>
      <w:r w:rsidRPr="00BB5C77">
        <w:rPr>
          <w:rFonts w:ascii="Arial" w:eastAsia="Arial" w:hAnsi="Arial" w:cs="Arial"/>
          <w:color w:val="4D799A"/>
          <w:w w:val="223"/>
          <w:sz w:val="12"/>
          <w:szCs w:val="12"/>
          <w:lang w:val="en-ZA" w:eastAsia="en-ZA"/>
        </w:rPr>
        <w:t>SOUTH</w:t>
      </w:r>
      <w:r w:rsidRPr="00BB5C77">
        <w:rPr>
          <w:rFonts w:ascii="Arial" w:eastAsia="Arial" w:hAnsi="Arial" w:cs="Arial"/>
          <w:color w:val="4D799A"/>
          <w:sz w:val="12"/>
          <w:szCs w:val="12"/>
          <w:lang w:val="en-ZA" w:eastAsia="en-ZA"/>
        </w:rPr>
        <w:tab/>
      </w:r>
      <w:r w:rsidRPr="00BB5C77">
        <w:rPr>
          <w:rFonts w:ascii="Arial" w:eastAsia="Arial" w:hAnsi="Arial" w:cs="Arial"/>
          <w:color w:val="4D799A"/>
          <w:w w:val="223"/>
          <w:sz w:val="12"/>
          <w:szCs w:val="12"/>
          <w:lang w:val="en-ZA" w:eastAsia="en-ZA"/>
        </w:rPr>
        <w:t>AFRICA</w:t>
      </w:r>
    </w:p>
    <w:p w14:paraId="4C5C0C3F" w14:textId="77777777" w:rsidR="00BB5C77" w:rsidRPr="00BB5C77" w:rsidRDefault="00BB5C77" w:rsidP="00BB5C77">
      <w:pPr>
        <w:spacing w:before="1" w:after="0" w:line="220" w:lineRule="exact"/>
        <w:jc w:val="both"/>
        <w:rPr>
          <w:rFonts w:eastAsia="Times New Roman" w:cs="Times New Roman"/>
          <w:sz w:val="22"/>
          <w:lang w:val="en-ZA" w:eastAsia="en-ZA"/>
        </w:rPr>
      </w:pPr>
    </w:p>
    <w:p w14:paraId="024EBB43" w14:textId="77777777" w:rsidR="00BB5C77" w:rsidRPr="00BB5C77" w:rsidRDefault="00BB5C77" w:rsidP="00BB5C77">
      <w:pPr>
        <w:spacing w:after="0" w:line="240" w:lineRule="auto"/>
        <w:ind w:left="278" w:right="-20"/>
        <w:jc w:val="both"/>
        <w:rPr>
          <w:rFonts w:ascii="Times New Roman" w:eastAsia="Times New Roman" w:hAnsi="Times New Roman" w:cs="Times New Roman"/>
          <w:szCs w:val="20"/>
          <w:lang w:val="en-ZA" w:eastAsia="en-ZA"/>
        </w:rPr>
      </w:pPr>
      <w:r w:rsidRPr="00BB5C77">
        <w:rPr>
          <w:rFonts w:ascii="Times New Roman" w:eastAsia="Times New Roman" w:hAnsi="Times New Roman" w:cs="Times New Roman"/>
          <w:i/>
          <w:color w:val="4D799A"/>
          <w:w w:val="89"/>
          <w:sz w:val="21"/>
          <w:szCs w:val="21"/>
          <w:lang w:val="en-ZA" w:eastAsia="en-ZA"/>
        </w:rPr>
        <w:t>Auditing</w:t>
      </w:r>
      <w:r w:rsidRPr="00BB5C77">
        <w:rPr>
          <w:rFonts w:ascii="Times New Roman" w:eastAsia="Times New Roman" w:hAnsi="Times New Roman" w:cs="Times New Roman"/>
          <w:i/>
          <w:color w:val="4D799A"/>
          <w:spacing w:val="21"/>
          <w:w w:val="89"/>
          <w:sz w:val="21"/>
          <w:szCs w:val="21"/>
          <w:lang w:val="en-ZA" w:eastAsia="en-ZA"/>
        </w:rPr>
        <w:t xml:space="preserve"> </w:t>
      </w:r>
      <w:r w:rsidRPr="00BB5C77">
        <w:rPr>
          <w:rFonts w:ascii="Times New Roman" w:eastAsia="Times New Roman" w:hAnsi="Times New Roman" w:cs="Times New Roman"/>
          <w:i/>
          <w:color w:val="4D799A"/>
          <w:spacing w:val="7"/>
          <w:w w:val="66"/>
          <w:sz w:val="21"/>
          <w:szCs w:val="21"/>
          <w:lang w:val="en-ZA" w:eastAsia="en-ZA"/>
        </w:rPr>
        <w:t>t</w:t>
      </w:r>
      <w:r w:rsidRPr="00BB5C77">
        <w:rPr>
          <w:rFonts w:ascii="Times New Roman" w:eastAsia="Times New Roman" w:hAnsi="Times New Roman" w:cs="Times New Roman"/>
          <w:i/>
          <w:color w:val="8397B3"/>
          <w:w w:val="111"/>
          <w:sz w:val="21"/>
          <w:szCs w:val="21"/>
          <w:lang w:val="en-ZA" w:eastAsia="en-ZA"/>
        </w:rPr>
        <w:t>o</w:t>
      </w:r>
      <w:r w:rsidRPr="00BB5C77">
        <w:rPr>
          <w:rFonts w:ascii="Times New Roman" w:eastAsia="Times New Roman" w:hAnsi="Times New Roman" w:cs="Times New Roman"/>
          <w:i/>
          <w:color w:val="8397B3"/>
          <w:spacing w:val="-13"/>
          <w:sz w:val="21"/>
          <w:szCs w:val="21"/>
          <w:lang w:val="en-ZA" w:eastAsia="en-ZA"/>
        </w:rPr>
        <w:t xml:space="preserve"> </w:t>
      </w:r>
      <w:r w:rsidRPr="00BB5C77">
        <w:rPr>
          <w:rFonts w:ascii="Times New Roman" w:eastAsia="Times New Roman" w:hAnsi="Times New Roman" w:cs="Times New Roman"/>
          <w:i/>
          <w:color w:val="4D799A"/>
          <w:sz w:val="21"/>
          <w:szCs w:val="21"/>
          <w:lang w:val="en-ZA" w:eastAsia="en-ZA"/>
        </w:rPr>
        <w:t>build</w:t>
      </w:r>
      <w:r w:rsidRPr="00BB5C77">
        <w:rPr>
          <w:rFonts w:ascii="Times New Roman" w:eastAsia="Times New Roman" w:hAnsi="Times New Roman" w:cs="Times New Roman"/>
          <w:i/>
          <w:color w:val="4D799A"/>
          <w:spacing w:val="3"/>
          <w:sz w:val="21"/>
          <w:szCs w:val="21"/>
          <w:lang w:val="en-ZA" w:eastAsia="en-ZA"/>
        </w:rPr>
        <w:t xml:space="preserve"> </w:t>
      </w:r>
      <w:r w:rsidRPr="00BB5C77">
        <w:rPr>
          <w:rFonts w:ascii="Times New Roman" w:eastAsia="Times New Roman" w:hAnsi="Times New Roman" w:cs="Times New Roman"/>
          <w:i/>
          <w:color w:val="4D799A"/>
          <w:w w:val="90"/>
          <w:sz w:val="21"/>
          <w:szCs w:val="21"/>
          <w:lang w:val="en-ZA" w:eastAsia="en-ZA"/>
        </w:rPr>
        <w:t>public</w:t>
      </w:r>
      <w:r w:rsidRPr="00BB5C77">
        <w:rPr>
          <w:rFonts w:ascii="Times New Roman" w:eastAsia="Times New Roman" w:hAnsi="Times New Roman" w:cs="Times New Roman"/>
          <w:i/>
          <w:color w:val="4D799A"/>
          <w:spacing w:val="7"/>
          <w:w w:val="90"/>
          <w:sz w:val="21"/>
          <w:szCs w:val="21"/>
          <w:lang w:val="en-ZA" w:eastAsia="en-ZA"/>
        </w:rPr>
        <w:t xml:space="preserve"> </w:t>
      </w:r>
      <w:r w:rsidRPr="00BB5C77">
        <w:rPr>
          <w:rFonts w:ascii="Times New Roman" w:eastAsia="Times New Roman" w:hAnsi="Times New Roman" w:cs="Times New Roman"/>
          <w:color w:val="4D799A"/>
          <w:w w:val="102"/>
          <w:szCs w:val="20"/>
          <w:lang w:val="en-ZA" w:eastAsia="en-ZA"/>
        </w:rPr>
        <w:t>confidence</w:t>
      </w:r>
    </w:p>
    <w:p w14:paraId="21729BCF" w14:textId="77777777" w:rsidR="00BB5C77" w:rsidRPr="00BB5C77" w:rsidRDefault="00BB5C77" w:rsidP="00BB5C77">
      <w:pPr>
        <w:spacing w:after="0"/>
        <w:jc w:val="both"/>
        <w:rPr>
          <w:rFonts w:eastAsia="Times New Roman" w:cs="Times New Roman"/>
          <w:sz w:val="22"/>
          <w:lang w:val="en-ZA" w:eastAsia="en-ZA"/>
        </w:rPr>
      </w:pPr>
    </w:p>
    <w:p w14:paraId="44D01CF5" w14:textId="77777777" w:rsidR="00BB5C77" w:rsidRPr="00BB5C77" w:rsidRDefault="00BB5C77" w:rsidP="00BB5C77">
      <w:pPr>
        <w:rPr>
          <w:rFonts w:eastAsia="Times New Roman" w:cs="Times New Roman"/>
          <w:sz w:val="22"/>
          <w:lang w:val="en-ZA" w:eastAsia="en-ZA"/>
        </w:rPr>
      </w:pPr>
    </w:p>
    <w:p w14:paraId="7EF3BBCA" w14:textId="77777777" w:rsidR="00BB5C77" w:rsidRPr="00BB5C77" w:rsidRDefault="00BB5C77" w:rsidP="00BB5C77">
      <w:pPr>
        <w:rPr>
          <w:rFonts w:eastAsia="Times New Roman" w:cs="Times New Roman"/>
          <w:sz w:val="22"/>
          <w:lang w:val="en-ZA" w:eastAsia="en-ZA"/>
        </w:rPr>
      </w:pPr>
    </w:p>
    <w:p w14:paraId="67783DF3" w14:textId="77777777" w:rsidR="00BB5C77" w:rsidRPr="00BB5C77" w:rsidRDefault="00BB5C77" w:rsidP="00BB5C77">
      <w:pPr>
        <w:rPr>
          <w:rFonts w:eastAsia="Times New Roman" w:cs="Times New Roman"/>
          <w:sz w:val="22"/>
          <w:lang w:val="en-ZA" w:eastAsia="en-ZA"/>
        </w:rPr>
      </w:pPr>
    </w:p>
    <w:p w14:paraId="0AED8000" w14:textId="77777777" w:rsidR="00BB5C77" w:rsidRPr="00BB5C77" w:rsidRDefault="00BB5C77" w:rsidP="00BB5C77">
      <w:pPr>
        <w:rPr>
          <w:rFonts w:eastAsia="Times New Roman" w:cs="Times New Roman"/>
          <w:sz w:val="22"/>
          <w:lang w:val="en-ZA" w:eastAsia="en-ZA"/>
        </w:rPr>
      </w:pPr>
    </w:p>
    <w:p w14:paraId="545448FB" w14:textId="77777777" w:rsidR="00BB5C77" w:rsidRPr="00BB5C77" w:rsidRDefault="00BB5C77" w:rsidP="00BB5C77">
      <w:pPr>
        <w:rPr>
          <w:rFonts w:eastAsia="Times New Roman" w:cs="Times New Roman"/>
          <w:sz w:val="22"/>
          <w:lang w:val="en-ZA" w:eastAsia="en-ZA"/>
        </w:rPr>
      </w:pPr>
    </w:p>
    <w:p w14:paraId="40809BE0" w14:textId="77777777" w:rsidR="00BB5C77" w:rsidRPr="00BB5C77" w:rsidRDefault="00BB5C77" w:rsidP="00BB5C77">
      <w:pPr>
        <w:rPr>
          <w:rFonts w:eastAsia="Times New Roman" w:cs="Times New Roman"/>
          <w:sz w:val="22"/>
          <w:lang w:val="en-ZA" w:eastAsia="en-ZA"/>
        </w:rPr>
      </w:pPr>
    </w:p>
    <w:p w14:paraId="20E8C049" w14:textId="77777777" w:rsidR="00BB5C77" w:rsidRPr="00BB5C77" w:rsidRDefault="00BB5C77" w:rsidP="00BB5C77">
      <w:pPr>
        <w:rPr>
          <w:rFonts w:eastAsia="Times New Roman" w:cs="Times New Roman"/>
          <w:sz w:val="22"/>
          <w:lang w:val="en-ZA" w:eastAsia="en-ZA"/>
        </w:rPr>
      </w:pPr>
    </w:p>
    <w:p w14:paraId="1C25772E" w14:textId="77777777" w:rsidR="00BB5C77" w:rsidRPr="00BB5C77" w:rsidRDefault="00BB5C77" w:rsidP="00BB5C77">
      <w:pPr>
        <w:rPr>
          <w:rFonts w:eastAsia="Times New Roman" w:cs="Times New Roman"/>
          <w:sz w:val="22"/>
          <w:lang w:val="en-ZA" w:eastAsia="en-ZA"/>
        </w:rPr>
      </w:pPr>
    </w:p>
    <w:p w14:paraId="6459DE33" w14:textId="77777777" w:rsidR="00BB5C77" w:rsidRPr="00BB5C77" w:rsidRDefault="00BB5C77" w:rsidP="00BB5C77">
      <w:pPr>
        <w:rPr>
          <w:rFonts w:eastAsia="Times New Roman" w:cs="Times New Roman"/>
          <w:sz w:val="22"/>
          <w:lang w:val="en-ZA" w:eastAsia="en-ZA"/>
        </w:rPr>
      </w:pPr>
    </w:p>
    <w:p w14:paraId="66AE3719" w14:textId="77777777" w:rsidR="00BB5C77" w:rsidRPr="00BB5C77" w:rsidRDefault="00BB5C77" w:rsidP="00BB5C77">
      <w:pPr>
        <w:rPr>
          <w:rFonts w:eastAsia="Times New Roman" w:cs="Times New Roman"/>
          <w:sz w:val="22"/>
          <w:lang w:val="en-ZA" w:eastAsia="en-ZA"/>
        </w:rPr>
      </w:pPr>
    </w:p>
    <w:p w14:paraId="44849B7D" w14:textId="77777777" w:rsidR="00BB5C77" w:rsidRPr="00BB5C77" w:rsidRDefault="00BB5C77" w:rsidP="00BB5C77">
      <w:pPr>
        <w:rPr>
          <w:rFonts w:eastAsia="Times New Roman" w:cs="Times New Roman"/>
          <w:sz w:val="22"/>
          <w:lang w:val="en-ZA" w:eastAsia="en-ZA"/>
        </w:rPr>
      </w:pPr>
    </w:p>
    <w:p w14:paraId="2E4DE959" w14:textId="77777777" w:rsidR="00BB5C77" w:rsidRPr="00BB5C77" w:rsidRDefault="00BB5C77" w:rsidP="00BB5C77">
      <w:pPr>
        <w:rPr>
          <w:rFonts w:eastAsia="Times New Roman" w:cs="Times New Roman"/>
          <w:sz w:val="22"/>
          <w:lang w:val="en-ZA" w:eastAsia="en-ZA"/>
        </w:rPr>
      </w:pPr>
    </w:p>
    <w:p w14:paraId="7DFDB420" w14:textId="77777777" w:rsidR="00BB5C77" w:rsidRPr="00BB5C77" w:rsidRDefault="00BB5C77" w:rsidP="00BB5C77">
      <w:pPr>
        <w:rPr>
          <w:rFonts w:eastAsia="Times New Roman" w:cs="Times New Roman"/>
          <w:sz w:val="22"/>
          <w:lang w:val="en-ZA" w:eastAsia="en-ZA"/>
        </w:rPr>
      </w:pPr>
    </w:p>
    <w:p w14:paraId="08F423B1" w14:textId="77777777" w:rsidR="00BB5C77" w:rsidRPr="00BB5C77" w:rsidRDefault="00BB5C77" w:rsidP="00BB5C77">
      <w:pPr>
        <w:tabs>
          <w:tab w:val="left" w:pos="8099"/>
        </w:tabs>
        <w:rPr>
          <w:rFonts w:eastAsia="Times New Roman" w:cs="Times New Roman"/>
          <w:sz w:val="22"/>
          <w:lang w:val="en-ZA" w:eastAsia="en-ZA"/>
        </w:rPr>
      </w:pPr>
      <w:r w:rsidRPr="00BB5C77">
        <w:rPr>
          <w:rFonts w:eastAsia="Times New Roman" w:cs="Times New Roman"/>
          <w:sz w:val="22"/>
          <w:lang w:val="en-ZA" w:eastAsia="en-ZA"/>
        </w:rPr>
        <w:tab/>
      </w:r>
    </w:p>
    <w:p w14:paraId="1909FEB7" w14:textId="77777777" w:rsidR="00BB5C77" w:rsidRPr="00BB5C77" w:rsidRDefault="00BB5C77" w:rsidP="00BB5C77">
      <w:pPr>
        <w:rPr>
          <w:rFonts w:eastAsia="Times New Roman" w:cs="Times New Roman"/>
          <w:sz w:val="22"/>
          <w:lang w:val="en-ZA" w:eastAsia="en-ZA"/>
        </w:rPr>
      </w:pPr>
    </w:p>
    <w:p w14:paraId="2F7D7BE9" w14:textId="77777777" w:rsidR="00BB5C77" w:rsidRPr="008B38AB" w:rsidRDefault="00BB5C77" w:rsidP="00BB5C77">
      <w:pPr>
        <w:spacing w:before="61" w:after="0" w:line="240" w:lineRule="auto"/>
        <w:ind w:left="137" w:right="-20"/>
        <w:jc w:val="both"/>
        <w:rPr>
          <w:rFonts w:ascii="Arial" w:eastAsia="Arial" w:hAnsi="Arial" w:cs="Arial"/>
          <w:sz w:val="24"/>
          <w:szCs w:val="27"/>
          <w:lang w:val="en-ZA" w:eastAsia="en-ZA"/>
        </w:rPr>
      </w:pPr>
      <w:r w:rsidRPr="008B38AB">
        <w:rPr>
          <w:rFonts w:ascii="Arial" w:eastAsia="Arial" w:hAnsi="Arial" w:cs="Arial"/>
          <w:b/>
          <w:bCs/>
          <w:color w:val="486B8C"/>
          <w:sz w:val="24"/>
          <w:szCs w:val="27"/>
          <w:lang w:val="en-ZA" w:eastAsia="en-ZA"/>
        </w:rPr>
        <w:t>Annexure</w:t>
      </w:r>
      <w:r w:rsidRPr="008B38AB">
        <w:rPr>
          <w:rFonts w:ascii="Arial" w:eastAsia="Arial" w:hAnsi="Arial" w:cs="Arial"/>
          <w:b/>
          <w:bCs/>
          <w:color w:val="486B8C"/>
          <w:spacing w:val="17"/>
          <w:sz w:val="24"/>
          <w:szCs w:val="27"/>
          <w:lang w:val="en-ZA" w:eastAsia="en-ZA"/>
        </w:rPr>
        <w:t xml:space="preserve"> </w:t>
      </w:r>
      <w:r w:rsidRPr="008B38AB">
        <w:rPr>
          <w:rFonts w:ascii="Arial" w:eastAsia="Arial" w:hAnsi="Arial" w:cs="Arial"/>
          <w:b/>
          <w:bCs/>
          <w:color w:val="7E8CA5"/>
          <w:w w:val="237"/>
          <w:sz w:val="24"/>
          <w:szCs w:val="27"/>
          <w:lang w:val="en-ZA" w:eastAsia="en-ZA"/>
        </w:rPr>
        <w:t>-</w:t>
      </w:r>
      <w:r w:rsidRPr="008B38AB">
        <w:rPr>
          <w:rFonts w:ascii="Arial" w:eastAsia="Arial" w:hAnsi="Arial" w:cs="Arial"/>
          <w:b/>
          <w:bCs/>
          <w:color w:val="7E8CA5"/>
          <w:spacing w:val="-127"/>
          <w:w w:val="237"/>
          <w:sz w:val="24"/>
          <w:szCs w:val="27"/>
          <w:lang w:val="en-ZA" w:eastAsia="en-ZA"/>
        </w:rPr>
        <w:t xml:space="preserve"> </w:t>
      </w:r>
      <w:r w:rsidRPr="008B38AB">
        <w:rPr>
          <w:rFonts w:ascii="Arial" w:eastAsia="Arial" w:hAnsi="Arial" w:cs="Arial"/>
          <w:b/>
          <w:bCs/>
          <w:color w:val="486B8C"/>
          <w:sz w:val="24"/>
          <w:szCs w:val="27"/>
          <w:lang w:val="en-ZA" w:eastAsia="en-ZA"/>
        </w:rPr>
        <w:t>auditor-generals</w:t>
      </w:r>
      <w:r w:rsidRPr="008B38AB">
        <w:rPr>
          <w:rFonts w:ascii="Arial" w:eastAsia="Arial" w:hAnsi="Arial" w:cs="Arial"/>
          <w:b/>
          <w:bCs/>
          <w:color w:val="486B8C"/>
          <w:spacing w:val="67"/>
          <w:sz w:val="24"/>
          <w:szCs w:val="27"/>
          <w:lang w:val="en-ZA" w:eastAsia="en-ZA"/>
        </w:rPr>
        <w:t xml:space="preserve"> </w:t>
      </w:r>
      <w:r w:rsidRPr="008B38AB">
        <w:rPr>
          <w:rFonts w:ascii="Arial" w:eastAsia="Arial" w:hAnsi="Arial" w:cs="Arial"/>
          <w:b/>
          <w:bCs/>
          <w:color w:val="486B8C"/>
          <w:sz w:val="24"/>
          <w:szCs w:val="27"/>
          <w:lang w:val="en-ZA" w:eastAsia="en-ZA"/>
        </w:rPr>
        <w:t xml:space="preserve">responsibility </w:t>
      </w:r>
      <w:r w:rsidRPr="008B38AB">
        <w:rPr>
          <w:rFonts w:ascii="Arial" w:eastAsia="Arial" w:hAnsi="Arial" w:cs="Arial"/>
          <w:b/>
          <w:bCs/>
          <w:color w:val="486B8C"/>
          <w:spacing w:val="1"/>
          <w:sz w:val="24"/>
          <w:szCs w:val="27"/>
          <w:lang w:val="en-ZA" w:eastAsia="en-ZA"/>
        </w:rPr>
        <w:t xml:space="preserve"> </w:t>
      </w:r>
      <w:r w:rsidRPr="008B38AB">
        <w:rPr>
          <w:rFonts w:ascii="Arial" w:eastAsia="Arial" w:hAnsi="Arial" w:cs="Arial"/>
          <w:b/>
          <w:bCs/>
          <w:color w:val="486B8C"/>
          <w:sz w:val="24"/>
          <w:szCs w:val="27"/>
          <w:lang w:val="en-ZA" w:eastAsia="en-ZA"/>
        </w:rPr>
        <w:t>for</w:t>
      </w:r>
      <w:r w:rsidRPr="008B38AB">
        <w:rPr>
          <w:rFonts w:ascii="Arial" w:eastAsia="Arial" w:hAnsi="Arial" w:cs="Arial"/>
          <w:b/>
          <w:bCs/>
          <w:color w:val="486B8C"/>
          <w:spacing w:val="7"/>
          <w:sz w:val="24"/>
          <w:szCs w:val="27"/>
          <w:lang w:val="en-ZA" w:eastAsia="en-ZA"/>
        </w:rPr>
        <w:t xml:space="preserve"> </w:t>
      </w:r>
      <w:r w:rsidRPr="008B38AB">
        <w:rPr>
          <w:rFonts w:ascii="Arial" w:eastAsia="Arial" w:hAnsi="Arial" w:cs="Arial"/>
          <w:b/>
          <w:bCs/>
          <w:color w:val="486B8C"/>
          <w:sz w:val="24"/>
          <w:szCs w:val="27"/>
          <w:lang w:val="en-ZA" w:eastAsia="en-ZA"/>
        </w:rPr>
        <w:t>the</w:t>
      </w:r>
      <w:r w:rsidRPr="008B38AB">
        <w:rPr>
          <w:rFonts w:ascii="Arial" w:eastAsia="Arial" w:hAnsi="Arial" w:cs="Arial"/>
          <w:b/>
          <w:bCs/>
          <w:color w:val="486B8C"/>
          <w:spacing w:val="16"/>
          <w:sz w:val="24"/>
          <w:szCs w:val="27"/>
          <w:lang w:val="en-ZA" w:eastAsia="en-ZA"/>
        </w:rPr>
        <w:t xml:space="preserve"> </w:t>
      </w:r>
      <w:r w:rsidRPr="008B38AB">
        <w:rPr>
          <w:rFonts w:ascii="Arial" w:eastAsia="Arial" w:hAnsi="Arial" w:cs="Arial"/>
          <w:b/>
          <w:bCs/>
          <w:color w:val="486B8C"/>
          <w:w w:val="105"/>
          <w:sz w:val="24"/>
          <w:szCs w:val="27"/>
          <w:lang w:val="en-ZA" w:eastAsia="en-ZA"/>
        </w:rPr>
        <w:t>audit</w:t>
      </w:r>
    </w:p>
    <w:p w14:paraId="7C0773C8" w14:textId="77777777" w:rsidR="00BB5C77" w:rsidRPr="008B38AB" w:rsidRDefault="00BB5C77" w:rsidP="00BB5C77">
      <w:pPr>
        <w:spacing w:before="2" w:after="0" w:line="220" w:lineRule="exact"/>
        <w:jc w:val="both"/>
        <w:rPr>
          <w:rFonts w:eastAsia="Times New Roman" w:cs="Times New Roman"/>
          <w:lang w:val="en-ZA" w:eastAsia="en-ZA"/>
        </w:rPr>
      </w:pPr>
    </w:p>
    <w:p w14:paraId="44F1AD34" w14:textId="77777777" w:rsidR="00BB5C77" w:rsidRPr="008B38AB" w:rsidRDefault="00BB5C77" w:rsidP="00BB5C77">
      <w:pPr>
        <w:spacing w:after="0" w:line="247" w:lineRule="auto"/>
        <w:ind w:left="511" w:right="59" w:hanging="346"/>
        <w:jc w:val="both"/>
        <w:rPr>
          <w:rFonts w:ascii="Arial" w:eastAsia="Arial" w:hAnsi="Arial" w:cs="Arial"/>
          <w:szCs w:val="21"/>
          <w:lang w:val="en-ZA" w:eastAsia="en-ZA"/>
        </w:rPr>
      </w:pPr>
      <w:r w:rsidRPr="008B38AB">
        <w:rPr>
          <w:rFonts w:ascii="Arial" w:eastAsia="Arial" w:hAnsi="Arial" w:cs="Arial"/>
          <w:szCs w:val="21"/>
          <w:lang w:val="en-ZA" w:eastAsia="en-ZA"/>
        </w:rPr>
        <w:t xml:space="preserve">1. </w:t>
      </w:r>
      <w:r w:rsidRPr="008B38AB">
        <w:rPr>
          <w:rFonts w:ascii="Arial" w:eastAsia="Arial" w:hAnsi="Arial" w:cs="Arial"/>
          <w:spacing w:val="38"/>
          <w:szCs w:val="21"/>
          <w:lang w:val="en-ZA" w:eastAsia="en-ZA"/>
        </w:rPr>
        <w:t xml:space="preserve"> </w:t>
      </w:r>
      <w:r w:rsidRPr="008B38AB">
        <w:rPr>
          <w:rFonts w:ascii="Arial" w:eastAsia="Arial" w:hAnsi="Arial" w:cs="Arial"/>
          <w:szCs w:val="21"/>
          <w:lang w:val="en-ZA" w:eastAsia="en-ZA"/>
        </w:rPr>
        <w:t>As</w:t>
      </w:r>
      <w:r w:rsidRPr="008B38AB">
        <w:rPr>
          <w:rFonts w:ascii="Arial" w:eastAsia="Arial" w:hAnsi="Arial" w:cs="Arial"/>
          <w:spacing w:val="12"/>
          <w:szCs w:val="21"/>
          <w:lang w:val="en-ZA" w:eastAsia="en-ZA"/>
        </w:rPr>
        <w:t xml:space="preserve"> </w:t>
      </w:r>
      <w:r w:rsidRPr="008B38AB">
        <w:rPr>
          <w:rFonts w:ascii="Arial" w:eastAsia="Arial" w:hAnsi="Arial" w:cs="Arial"/>
          <w:szCs w:val="21"/>
          <w:lang w:val="en-ZA" w:eastAsia="en-ZA"/>
        </w:rPr>
        <w:t>part</w:t>
      </w:r>
      <w:r w:rsidRPr="008B38AB">
        <w:rPr>
          <w:rFonts w:ascii="Arial" w:eastAsia="Arial" w:hAnsi="Arial" w:cs="Arial"/>
          <w:spacing w:val="16"/>
          <w:szCs w:val="21"/>
          <w:lang w:val="en-ZA" w:eastAsia="en-ZA"/>
        </w:rPr>
        <w:t xml:space="preserve"> </w:t>
      </w:r>
      <w:r w:rsidRPr="008B38AB">
        <w:rPr>
          <w:rFonts w:ascii="Arial" w:eastAsia="Arial" w:hAnsi="Arial" w:cs="Arial"/>
          <w:szCs w:val="21"/>
          <w:lang w:val="en-ZA" w:eastAsia="en-ZA"/>
        </w:rPr>
        <w:t>of</w:t>
      </w:r>
      <w:r w:rsidRPr="008B38AB">
        <w:rPr>
          <w:rFonts w:ascii="Arial" w:eastAsia="Arial" w:hAnsi="Arial" w:cs="Arial"/>
          <w:spacing w:val="12"/>
          <w:szCs w:val="21"/>
          <w:lang w:val="en-ZA" w:eastAsia="en-ZA"/>
        </w:rPr>
        <w:t xml:space="preserve"> </w:t>
      </w:r>
      <w:r w:rsidRPr="008B38AB">
        <w:rPr>
          <w:rFonts w:ascii="Arial" w:eastAsia="Arial" w:hAnsi="Arial" w:cs="Arial"/>
          <w:szCs w:val="21"/>
          <w:lang w:val="en-ZA" w:eastAsia="en-ZA"/>
        </w:rPr>
        <w:t>an</w:t>
      </w:r>
      <w:r w:rsidRPr="008B38AB">
        <w:rPr>
          <w:rFonts w:ascii="Arial" w:eastAsia="Arial" w:hAnsi="Arial" w:cs="Arial"/>
          <w:spacing w:val="21"/>
          <w:szCs w:val="21"/>
          <w:lang w:val="en-ZA" w:eastAsia="en-ZA"/>
        </w:rPr>
        <w:t xml:space="preserve"> </w:t>
      </w:r>
      <w:r w:rsidRPr="008B38AB">
        <w:rPr>
          <w:rFonts w:ascii="Arial" w:eastAsia="Arial" w:hAnsi="Arial" w:cs="Arial"/>
          <w:szCs w:val="21"/>
          <w:lang w:val="en-ZA" w:eastAsia="en-ZA"/>
        </w:rPr>
        <w:t>audit</w:t>
      </w:r>
      <w:r w:rsidRPr="008B38AB">
        <w:rPr>
          <w:rFonts w:ascii="Arial" w:eastAsia="Arial" w:hAnsi="Arial" w:cs="Arial"/>
          <w:spacing w:val="29"/>
          <w:szCs w:val="21"/>
          <w:lang w:val="en-ZA" w:eastAsia="en-ZA"/>
        </w:rPr>
        <w:t xml:space="preserve"> </w:t>
      </w:r>
      <w:r w:rsidRPr="008B38AB">
        <w:rPr>
          <w:rFonts w:ascii="Arial" w:eastAsia="Arial" w:hAnsi="Arial" w:cs="Arial"/>
          <w:szCs w:val="21"/>
          <w:lang w:val="en-ZA" w:eastAsia="en-ZA"/>
        </w:rPr>
        <w:t>in</w:t>
      </w:r>
      <w:r w:rsidRPr="008B38AB">
        <w:rPr>
          <w:rFonts w:ascii="Arial" w:eastAsia="Arial" w:hAnsi="Arial" w:cs="Arial"/>
          <w:spacing w:val="13"/>
          <w:szCs w:val="21"/>
          <w:lang w:val="en-ZA" w:eastAsia="en-ZA"/>
        </w:rPr>
        <w:t xml:space="preserve"> </w:t>
      </w:r>
      <w:r w:rsidRPr="008B38AB">
        <w:rPr>
          <w:rFonts w:ascii="Arial" w:eastAsia="Arial" w:hAnsi="Arial" w:cs="Arial"/>
          <w:szCs w:val="21"/>
          <w:lang w:val="en-ZA" w:eastAsia="en-ZA"/>
        </w:rPr>
        <w:t>accordance</w:t>
      </w:r>
      <w:r w:rsidRPr="008B38AB">
        <w:rPr>
          <w:rFonts w:ascii="Arial" w:eastAsia="Arial" w:hAnsi="Arial" w:cs="Arial"/>
          <w:spacing w:val="56"/>
          <w:szCs w:val="21"/>
          <w:lang w:val="en-ZA" w:eastAsia="en-ZA"/>
        </w:rPr>
        <w:t xml:space="preserve"> </w:t>
      </w:r>
      <w:r w:rsidRPr="008B38AB">
        <w:rPr>
          <w:rFonts w:ascii="Arial" w:eastAsia="Arial" w:hAnsi="Arial" w:cs="Arial"/>
          <w:szCs w:val="21"/>
          <w:lang w:val="en-ZA" w:eastAsia="en-ZA"/>
        </w:rPr>
        <w:t>with</w:t>
      </w:r>
      <w:r w:rsidRPr="008B38AB">
        <w:rPr>
          <w:rFonts w:ascii="Arial" w:eastAsia="Arial" w:hAnsi="Arial" w:cs="Arial"/>
          <w:spacing w:val="8"/>
          <w:szCs w:val="21"/>
          <w:lang w:val="en-ZA" w:eastAsia="en-ZA"/>
        </w:rPr>
        <w:t xml:space="preserve"> </w:t>
      </w:r>
      <w:r w:rsidRPr="008B38AB">
        <w:rPr>
          <w:rFonts w:ascii="Arial" w:eastAsia="Arial" w:hAnsi="Arial" w:cs="Arial"/>
          <w:szCs w:val="21"/>
          <w:lang w:val="en-ZA" w:eastAsia="en-ZA"/>
        </w:rPr>
        <w:t>the</w:t>
      </w:r>
      <w:r w:rsidRPr="008B38AB">
        <w:rPr>
          <w:rFonts w:ascii="Arial" w:eastAsia="Arial" w:hAnsi="Arial" w:cs="Arial"/>
          <w:spacing w:val="19"/>
          <w:szCs w:val="21"/>
          <w:lang w:val="en-ZA" w:eastAsia="en-ZA"/>
        </w:rPr>
        <w:t xml:space="preserve"> </w:t>
      </w:r>
      <w:r w:rsidRPr="008B38AB">
        <w:rPr>
          <w:rFonts w:ascii="Arial" w:eastAsia="Arial" w:hAnsi="Arial" w:cs="Arial"/>
          <w:szCs w:val="21"/>
          <w:lang w:val="en-ZA" w:eastAsia="en-ZA"/>
        </w:rPr>
        <w:t>ISAs,</w:t>
      </w:r>
      <w:r w:rsidRPr="008B38AB">
        <w:rPr>
          <w:rFonts w:ascii="Arial" w:eastAsia="Arial" w:hAnsi="Arial" w:cs="Arial"/>
          <w:spacing w:val="34"/>
          <w:szCs w:val="21"/>
          <w:lang w:val="en-ZA" w:eastAsia="en-ZA"/>
        </w:rPr>
        <w:t xml:space="preserve"> </w:t>
      </w:r>
      <w:r w:rsidRPr="008B38AB">
        <w:rPr>
          <w:rFonts w:ascii="Arial" w:eastAsia="Arial" w:hAnsi="Arial" w:cs="Arial"/>
          <w:w w:val="143"/>
          <w:szCs w:val="21"/>
          <w:lang w:val="en-ZA" w:eastAsia="en-ZA"/>
        </w:rPr>
        <w:t>I</w:t>
      </w:r>
      <w:r w:rsidRPr="008B38AB">
        <w:rPr>
          <w:rFonts w:ascii="Arial" w:eastAsia="Arial" w:hAnsi="Arial" w:cs="Arial"/>
          <w:spacing w:val="-30"/>
          <w:szCs w:val="21"/>
          <w:lang w:val="en-ZA" w:eastAsia="en-ZA"/>
        </w:rPr>
        <w:t xml:space="preserve"> </w:t>
      </w:r>
      <w:r w:rsidRPr="008B38AB">
        <w:rPr>
          <w:rFonts w:ascii="Arial" w:eastAsia="Arial" w:hAnsi="Arial" w:cs="Arial"/>
          <w:szCs w:val="21"/>
          <w:lang w:val="en-ZA" w:eastAsia="en-ZA"/>
        </w:rPr>
        <w:t>exercise</w:t>
      </w:r>
      <w:r w:rsidRPr="008B38AB">
        <w:rPr>
          <w:rFonts w:ascii="Arial" w:eastAsia="Arial" w:hAnsi="Arial" w:cs="Arial"/>
          <w:spacing w:val="44"/>
          <w:szCs w:val="21"/>
          <w:lang w:val="en-ZA" w:eastAsia="en-ZA"/>
        </w:rPr>
        <w:t xml:space="preserve"> </w:t>
      </w:r>
      <w:r w:rsidRPr="008B38AB">
        <w:rPr>
          <w:rFonts w:ascii="Arial" w:eastAsia="Arial" w:hAnsi="Arial" w:cs="Arial"/>
          <w:szCs w:val="21"/>
          <w:lang w:val="en-ZA" w:eastAsia="en-ZA"/>
        </w:rPr>
        <w:t>professional</w:t>
      </w:r>
      <w:r w:rsidRPr="008B38AB">
        <w:rPr>
          <w:rFonts w:ascii="Arial" w:eastAsia="Arial" w:hAnsi="Arial" w:cs="Arial"/>
          <w:spacing w:val="35"/>
          <w:szCs w:val="21"/>
          <w:lang w:val="en-ZA" w:eastAsia="en-ZA"/>
        </w:rPr>
        <w:t xml:space="preserve"> </w:t>
      </w:r>
      <w:r w:rsidRPr="008B38AB">
        <w:rPr>
          <w:rFonts w:ascii="Arial" w:eastAsia="Arial" w:hAnsi="Arial" w:cs="Arial"/>
          <w:szCs w:val="21"/>
          <w:lang w:val="en-ZA" w:eastAsia="en-ZA"/>
        </w:rPr>
        <w:t xml:space="preserve">judgement </w:t>
      </w:r>
      <w:r w:rsidRPr="008B38AB">
        <w:rPr>
          <w:rFonts w:ascii="Arial" w:eastAsia="Arial" w:hAnsi="Arial" w:cs="Arial"/>
          <w:spacing w:val="6"/>
          <w:szCs w:val="21"/>
          <w:lang w:val="en-ZA" w:eastAsia="en-ZA"/>
        </w:rPr>
        <w:t>and</w:t>
      </w:r>
      <w:r w:rsidRPr="008B38AB">
        <w:rPr>
          <w:rFonts w:ascii="Arial" w:eastAsia="Arial" w:hAnsi="Arial" w:cs="Arial"/>
          <w:w w:val="106"/>
          <w:szCs w:val="21"/>
          <w:lang w:val="en-ZA" w:eastAsia="en-ZA"/>
        </w:rPr>
        <w:t xml:space="preserve"> </w:t>
      </w:r>
      <w:r w:rsidRPr="008B38AB">
        <w:rPr>
          <w:rFonts w:ascii="Arial" w:eastAsia="Arial" w:hAnsi="Arial" w:cs="Arial"/>
          <w:szCs w:val="21"/>
          <w:lang w:val="en-ZA" w:eastAsia="en-ZA"/>
        </w:rPr>
        <w:t>maintain</w:t>
      </w:r>
      <w:r w:rsidRPr="008B38AB">
        <w:rPr>
          <w:rFonts w:ascii="Arial" w:eastAsia="Arial" w:hAnsi="Arial" w:cs="Arial"/>
          <w:spacing w:val="27"/>
          <w:szCs w:val="21"/>
          <w:lang w:val="en-ZA" w:eastAsia="en-ZA"/>
        </w:rPr>
        <w:t xml:space="preserve"> </w:t>
      </w:r>
      <w:r w:rsidRPr="008B38AB">
        <w:rPr>
          <w:rFonts w:ascii="Arial" w:eastAsia="Arial" w:hAnsi="Arial" w:cs="Arial"/>
          <w:szCs w:val="21"/>
          <w:lang w:val="en-ZA" w:eastAsia="en-ZA"/>
        </w:rPr>
        <w:t>professional</w:t>
      </w:r>
      <w:r w:rsidRPr="008B38AB">
        <w:rPr>
          <w:rFonts w:ascii="Arial" w:eastAsia="Arial" w:hAnsi="Arial" w:cs="Arial"/>
          <w:spacing w:val="45"/>
          <w:szCs w:val="21"/>
          <w:lang w:val="en-ZA" w:eastAsia="en-ZA"/>
        </w:rPr>
        <w:t xml:space="preserve"> </w:t>
      </w:r>
      <w:r w:rsidRPr="008B38AB">
        <w:rPr>
          <w:rFonts w:ascii="Arial" w:eastAsia="Arial" w:hAnsi="Arial" w:cs="Arial"/>
          <w:szCs w:val="21"/>
          <w:lang w:val="en-ZA" w:eastAsia="en-ZA"/>
        </w:rPr>
        <w:t>scepticism</w:t>
      </w:r>
      <w:r w:rsidRPr="008B38AB">
        <w:rPr>
          <w:rFonts w:ascii="Arial" w:eastAsia="Arial" w:hAnsi="Arial" w:cs="Arial"/>
          <w:spacing w:val="38"/>
          <w:szCs w:val="21"/>
          <w:lang w:val="en-ZA" w:eastAsia="en-ZA"/>
        </w:rPr>
        <w:t xml:space="preserve"> </w:t>
      </w:r>
      <w:r w:rsidRPr="008B38AB">
        <w:rPr>
          <w:rFonts w:ascii="Arial" w:eastAsia="Arial" w:hAnsi="Arial" w:cs="Arial"/>
          <w:szCs w:val="21"/>
          <w:lang w:val="en-ZA" w:eastAsia="en-ZA"/>
        </w:rPr>
        <w:t>throughout</w:t>
      </w:r>
      <w:r w:rsidRPr="008B38AB">
        <w:rPr>
          <w:rFonts w:ascii="Arial" w:eastAsia="Arial" w:hAnsi="Arial" w:cs="Arial"/>
          <w:spacing w:val="57"/>
          <w:szCs w:val="21"/>
          <w:lang w:val="en-ZA" w:eastAsia="en-ZA"/>
        </w:rPr>
        <w:t xml:space="preserve"> </w:t>
      </w:r>
      <w:r w:rsidRPr="008B38AB">
        <w:rPr>
          <w:rFonts w:ascii="Arial" w:eastAsia="Arial" w:hAnsi="Arial" w:cs="Arial"/>
          <w:szCs w:val="21"/>
          <w:lang w:val="en-ZA" w:eastAsia="en-ZA"/>
        </w:rPr>
        <w:t>my</w:t>
      </w:r>
      <w:r w:rsidRPr="008B38AB">
        <w:rPr>
          <w:rFonts w:ascii="Arial" w:eastAsia="Arial" w:hAnsi="Arial" w:cs="Arial"/>
          <w:spacing w:val="13"/>
          <w:szCs w:val="21"/>
          <w:lang w:val="en-ZA" w:eastAsia="en-ZA"/>
        </w:rPr>
        <w:t xml:space="preserve"> </w:t>
      </w:r>
      <w:r w:rsidRPr="008B38AB">
        <w:rPr>
          <w:rFonts w:ascii="Arial" w:eastAsia="Arial" w:hAnsi="Arial" w:cs="Arial"/>
          <w:szCs w:val="21"/>
          <w:lang w:val="en-ZA" w:eastAsia="en-ZA"/>
        </w:rPr>
        <w:t>audit</w:t>
      </w:r>
      <w:r w:rsidRPr="008B38AB">
        <w:rPr>
          <w:rFonts w:ascii="Arial" w:eastAsia="Arial" w:hAnsi="Arial" w:cs="Arial"/>
          <w:spacing w:val="33"/>
          <w:szCs w:val="21"/>
          <w:lang w:val="en-ZA" w:eastAsia="en-ZA"/>
        </w:rPr>
        <w:t xml:space="preserve"> </w:t>
      </w:r>
      <w:r w:rsidRPr="008B38AB">
        <w:rPr>
          <w:rFonts w:ascii="Arial" w:eastAsia="Arial" w:hAnsi="Arial" w:cs="Arial"/>
          <w:szCs w:val="21"/>
          <w:lang w:val="en-ZA" w:eastAsia="en-ZA"/>
        </w:rPr>
        <w:t>of</w:t>
      </w:r>
      <w:r w:rsidRPr="008B38AB">
        <w:rPr>
          <w:rFonts w:ascii="Arial" w:eastAsia="Arial" w:hAnsi="Arial" w:cs="Arial"/>
          <w:spacing w:val="17"/>
          <w:szCs w:val="21"/>
          <w:lang w:val="en-ZA" w:eastAsia="en-ZA"/>
        </w:rPr>
        <w:t xml:space="preserve"> </w:t>
      </w:r>
      <w:r w:rsidRPr="008B38AB">
        <w:rPr>
          <w:rFonts w:ascii="Arial" w:eastAsia="Arial" w:hAnsi="Arial" w:cs="Arial"/>
          <w:szCs w:val="21"/>
          <w:lang w:val="en-ZA" w:eastAsia="en-ZA"/>
        </w:rPr>
        <w:t>the</w:t>
      </w:r>
      <w:r w:rsidRPr="008B38AB">
        <w:rPr>
          <w:rFonts w:ascii="Arial" w:eastAsia="Arial" w:hAnsi="Arial" w:cs="Arial"/>
          <w:spacing w:val="8"/>
          <w:szCs w:val="21"/>
          <w:lang w:val="en-ZA" w:eastAsia="en-ZA"/>
        </w:rPr>
        <w:t xml:space="preserve"> </w:t>
      </w:r>
      <w:r w:rsidRPr="008B38AB">
        <w:rPr>
          <w:rFonts w:ascii="Arial" w:eastAsia="Arial" w:hAnsi="Arial" w:cs="Arial"/>
          <w:szCs w:val="21"/>
          <w:lang w:val="en-ZA" w:eastAsia="en-ZA"/>
        </w:rPr>
        <w:t>financial</w:t>
      </w:r>
      <w:r w:rsidRPr="008B38AB">
        <w:rPr>
          <w:rFonts w:ascii="Arial" w:eastAsia="Arial" w:hAnsi="Arial" w:cs="Arial"/>
          <w:spacing w:val="12"/>
          <w:szCs w:val="21"/>
          <w:lang w:val="en-ZA" w:eastAsia="en-ZA"/>
        </w:rPr>
        <w:t xml:space="preserve"> </w:t>
      </w:r>
      <w:r w:rsidRPr="008B38AB">
        <w:rPr>
          <w:rFonts w:ascii="Arial" w:eastAsia="Arial" w:hAnsi="Arial" w:cs="Arial"/>
          <w:szCs w:val="21"/>
          <w:lang w:val="en-ZA" w:eastAsia="en-ZA"/>
        </w:rPr>
        <w:t>statements,</w:t>
      </w:r>
      <w:r w:rsidRPr="008B38AB">
        <w:rPr>
          <w:rFonts w:ascii="Arial" w:eastAsia="Arial" w:hAnsi="Arial" w:cs="Arial"/>
          <w:spacing w:val="46"/>
          <w:szCs w:val="21"/>
          <w:lang w:val="en-ZA" w:eastAsia="en-ZA"/>
        </w:rPr>
        <w:t xml:space="preserve"> </w:t>
      </w:r>
      <w:r w:rsidRPr="008B38AB">
        <w:rPr>
          <w:rFonts w:ascii="Arial" w:eastAsia="Arial" w:hAnsi="Arial" w:cs="Arial"/>
          <w:szCs w:val="21"/>
          <w:lang w:val="en-ZA" w:eastAsia="en-ZA"/>
        </w:rPr>
        <w:t>and</w:t>
      </w:r>
      <w:r w:rsidRPr="008B38AB">
        <w:rPr>
          <w:rFonts w:ascii="Arial" w:eastAsia="Arial" w:hAnsi="Arial" w:cs="Arial"/>
          <w:spacing w:val="13"/>
          <w:szCs w:val="21"/>
          <w:lang w:val="en-ZA" w:eastAsia="en-ZA"/>
        </w:rPr>
        <w:t xml:space="preserve"> </w:t>
      </w:r>
      <w:r w:rsidRPr="008B38AB">
        <w:rPr>
          <w:rFonts w:ascii="Arial" w:eastAsia="Arial" w:hAnsi="Arial" w:cs="Arial"/>
          <w:w w:val="110"/>
          <w:szCs w:val="21"/>
          <w:lang w:val="en-ZA" w:eastAsia="en-ZA"/>
        </w:rPr>
        <w:t xml:space="preserve">the </w:t>
      </w:r>
      <w:r w:rsidRPr="008B38AB">
        <w:rPr>
          <w:rFonts w:ascii="Arial" w:eastAsia="Arial" w:hAnsi="Arial" w:cs="Arial"/>
          <w:szCs w:val="21"/>
          <w:lang w:val="en-ZA" w:eastAsia="en-ZA"/>
        </w:rPr>
        <w:t xml:space="preserve">procedures </w:t>
      </w:r>
      <w:r w:rsidRPr="008B38AB">
        <w:rPr>
          <w:rFonts w:ascii="Arial" w:eastAsia="Arial" w:hAnsi="Arial" w:cs="Arial"/>
          <w:spacing w:val="1"/>
          <w:szCs w:val="21"/>
          <w:lang w:val="en-ZA" w:eastAsia="en-ZA"/>
        </w:rPr>
        <w:t xml:space="preserve"> </w:t>
      </w:r>
      <w:r w:rsidRPr="008B38AB">
        <w:rPr>
          <w:rFonts w:ascii="Arial" w:eastAsia="Arial" w:hAnsi="Arial" w:cs="Arial"/>
          <w:szCs w:val="21"/>
          <w:lang w:val="en-ZA" w:eastAsia="en-ZA"/>
        </w:rPr>
        <w:t>performed</w:t>
      </w:r>
      <w:r w:rsidRPr="008B38AB">
        <w:rPr>
          <w:rFonts w:ascii="Arial" w:eastAsia="Arial" w:hAnsi="Arial" w:cs="Arial"/>
          <w:spacing w:val="45"/>
          <w:szCs w:val="21"/>
          <w:lang w:val="en-ZA" w:eastAsia="en-ZA"/>
        </w:rPr>
        <w:t xml:space="preserve"> </w:t>
      </w:r>
      <w:r w:rsidRPr="008B38AB">
        <w:rPr>
          <w:rFonts w:ascii="Arial" w:eastAsia="Arial" w:hAnsi="Arial" w:cs="Arial"/>
          <w:szCs w:val="21"/>
          <w:lang w:val="en-ZA" w:eastAsia="en-ZA"/>
        </w:rPr>
        <w:t>on</w:t>
      </w:r>
      <w:r w:rsidRPr="008B38AB">
        <w:rPr>
          <w:rFonts w:ascii="Arial" w:eastAsia="Arial" w:hAnsi="Arial" w:cs="Arial"/>
          <w:spacing w:val="17"/>
          <w:szCs w:val="21"/>
          <w:lang w:val="en-ZA" w:eastAsia="en-ZA"/>
        </w:rPr>
        <w:t xml:space="preserve"> </w:t>
      </w:r>
      <w:r w:rsidRPr="008B38AB">
        <w:rPr>
          <w:rFonts w:ascii="Arial" w:eastAsia="Arial" w:hAnsi="Arial" w:cs="Arial"/>
          <w:szCs w:val="21"/>
          <w:lang w:val="en-ZA" w:eastAsia="en-ZA"/>
        </w:rPr>
        <w:t>reported</w:t>
      </w:r>
      <w:r w:rsidRPr="008B38AB">
        <w:rPr>
          <w:rFonts w:ascii="Arial" w:eastAsia="Arial" w:hAnsi="Arial" w:cs="Arial"/>
          <w:spacing w:val="29"/>
          <w:szCs w:val="21"/>
          <w:lang w:val="en-ZA" w:eastAsia="en-ZA"/>
        </w:rPr>
        <w:t xml:space="preserve"> </w:t>
      </w:r>
      <w:r w:rsidRPr="008B38AB">
        <w:rPr>
          <w:rFonts w:ascii="Arial" w:eastAsia="Arial" w:hAnsi="Arial" w:cs="Arial"/>
          <w:w w:val="106"/>
          <w:szCs w:val="21"/>
          <w:lang w:val="en-ZA" w:eastAsia="en-ZA"/>
        </w:rPr>
        <w:t>performance</w:t>
      </w:r>
      <w:r w:rsidRPr="008B38AB">
        <w:rPr>
          <w:rFonts w:ascii="Arial" w:eastAsia="Arial" w:hAnsi="Arial" w:cs="Arial"/>
          <w:spacing w:val="-7"/>
          <w:w w:val="106"/>
          <w:szCs w:val="21"/>
          <w:lang w:val="en-ZA" w:eastAsia="en-ZA"/>
        </w:rPr>
        <w:t xml:space="preserve"> </w:t>
      </w:r>
      <w:r w:rsidRPr="008B38AB">
        <w:rPr>
          <w:rFonts w:ascii="Arial" w:eastAsia="Arial" w:hAnsi="Arial" w:cs="Arial"/>
          <w:szCs w:val="21"/>
          <w:lang w:val="en-ZA" w:eastAsia="en-ZA"/>
        </w:rPr>
        <w:t>information</w:t>
      </w:r>
      <w:r w:rsidRPr="008B38AB">
        <w:rPr>
          <w:rFonts w:ascii="Arial" w:eastAsia="Arial" w:hAnsi="Arial" w:cs="Arial"/>
          <w:spacing w:val="46"/>
          <w:szCs w:val="21"/>
          <w:lang w:val="en-ZA" w:eastAsia="en-ZA"/>
        </w:rPr>
        <w:t xml:space="preserve"> </w:t>
      </w:r>
      <w:r w:rsidRPr="008B38AB">
        <w:rPr>
          <w:rFonts w:ascii="Arial" w:eastAsia="Arial" w:hAnsi="Arial" w:cs="Arial"/>
          <w:szCs w:val="21"/>
          <w:lang w:val="en-ZA" w:eastAsia="en-ZA"/>
        </w:rPr>
        <w:t>for</w:t>
      </w:r>
      <w:r w:rsidRPr="008B38AB">
        <w:rPr>
          <w:rFonts w:ascii="Arial" w:eastAsia="Arial" w:hAnsi="Arial" w:cs="Arial"/>
          <w:spacing w:val="3"/>
          <w:szCs w:val="21"/>
          <w:lang w:val="en-ZA" w:eastAsia="en-ZA"/>
        </w:rPr>
        <w:t xml:space="preserve"> </w:t>
      </w:r>
      <w:r w:rsidRPr="008B38AB">
        <w:rPr>
          <w:rFonts w:ascii="Arial" w:eastAsia="Arial" w:hAnsi="Arial" w:cs="Arial"/>
          <w:szCs w:val="21"/>
          <w:lang w:val="en-ZA" w:eastAsia="en-ZA"/>
        </w:rPr>
        <w:t>selected</w:t>
      </w:r>
      <w:r w:rsidRPr="008B38AB">
        <w:rPr>
          <w:rFonts w:ascii="Arial" w:eastAsia="Arial" w:hAnsi="Arial" w:cs="Arial"/>
          <w:spacing w:val="44"/>
          <w:szCs w:val="21"/>
          <w:lang w:val="en-ZA" w:eastAsia="en-ZA"/>
        </w:rPr>
        <w:t xml:space="preserve"> </w:t>
      </w:r>
      <w:r w:rsidRPr="008B38AB">
        <w:rPr>
          <w:rFonts w:ascii="Arial" w:eastAsia="Arial" w:hAnsi="Arial" w:cs="Arial"/>
          <w:w w:val="105"/>
          <w:szCs w:val="21"/>
          <w:lang w:val="en-ZA" w:eastAsia="en-ZA"/>
        </w:rPr>
        <w:t xml:space="preserve">development </w:t>
      </w:r>
      <w:r w:rsidRPr="008B38AB">
        <w:rPr>
          <w:rFonts w:ascii="Arial" w:eastAsia="Arial" w:hAnsi="Arial" w:cs="Arial"/>
          <w:szCs w:val="21"/>
          <w:lang w:val="en-ZA" w:eastAsia="en-ZA"/>
        </w:rPr>
        <w:t>priority</w:t>
      </w:r>
      <w:r w:rsidRPr="008B38AB">
        <w:rPr>
          <w:rFonts w:ascii="Arial" w:eastAsia="Arial" w:hAnsi="Arial" w:cs="Arial"/>
          <w:spacing w:val="37"/>
          <w:szCs w:val="21"/>
          <w:lang w:val="en-ZA" w:eastAsia="en-ZA"/>
        </w:rPr>
        <w:t xml:space="preserve"> </w:t>
      </w:r>
      <w:r w:rsidRPr="008B38AB">
        <w:rPr>
          <w:rFonts w:ascii="Arial" w:eastAsia="Arial" w:hAnsi="Arial" w:cs="Arial"/>
          <w:szCs w:val="21"/>
          <w:lang w:val="en-ZA" w:eastAsia="en-ZA"/>
        </w:rPr>
        <w:t>and</w:t>
      </w:r>
      <w:r w:rsidRPr="008B38AB">
        <w:rPr>
          <w:rFonts w:ascii="Arial" w:eastAsia="Arial" w:hAnsi="Arial" w:cs="Arial"/>
          <w:spacing w:val="25"/>
          <w:szCs w:val="21"/>
          <w:lang w:val="en-ZA" w:eastAsia="en-ZA"/>
        </w:rPr>
        <w:t xml:space="preserve"> </w:t>
      </w:r>
      <w:r w:rsidRPr="008B38AB">
        <w:rPr>
          <w:rFonts w:ascii="Arial" w:eastAsia="Arial" w:hAnsi="Arial" w:cs="Arial"/>
          <w:szCs w:val="21"/>
          <w:lang w:val="en-ZA" w:eastAsia="en-ZA"/>
        </w:rPr>
        <w:t>on</w:t>
      </w:r>
      <w:r w:rsidRPr="008B38AB">
        <w:rPr>
          <w:rFonts w:ascii="Arial" w:eastAsia="Arial" w:hAnsi="Arial" w:cs="Arial"/>
          <w:spacing w:val="9"/>
          <w:szCs w:val="21"/>
          <w:lang w:val="en-ZA" w:eastAsia="en-ZA"/>
        </w:rPr>
        <w:t xml:space="preserve"> </w:t>
      </w:r>
      <w:r w:rsidRPr="008B38AB">
        <w:rPr>
          <w:rFonts w:ascii="Arial" w:eastAsia="Arial" w:hAnsi="Arial" w:cs="Arial"/>
          <w:szCs w:val="21"/>
          <w:lang w:val="en-ZA" w:eastAsia="en-ZA"/>
        </w:rPr>
        <w:t>the</w:t>
      </w:r>
      <w:r w:rsidRPr="008B38AB">
        <w:rPr>
          <w:rFonts w:ascii="Arial" w:eastAsia="Arial" w:hAnsi="Arial" w:cs="Arial"/>
          <w:spacing w:val="10"/>
          <w:szCs w:val="21"/>
          <w:lang w:val="en-ZA" w:eastAsia="en-ZA"/>
        </w:rPr>
        <w:t xml:space="preserve"> </w:t>
      </w:r>
      <w:r w:rsidRPr="008B38AB">
        <w:rPr>
          <w:rFonts w:ascii="Arial" w:eastAsia="Arial" w:hAnsi="Arial" w:cs="Arial"/>
          <w:szCs w:val="21"/>
          <w:lang w:val="en-ZA" w:eastAsia="en-ZA"/>
        </w:rPr>
        <w:t xml:space="preserve">municipality's </w:t>
      </w:r>
      <w:r w:rsidRPr="008B38AB">
        <w:rPr>
          <w:rFonts w:ascii="Arial" w:eastAsia="Arial" w:hAnsi="Arial" w:cs="Arial"/>
          <w:spacing w:val="1"/>
          <w:szCs w:val="21"/>
          <w:lang w:val="en-ZA" w:eastAsia="en-ZA"/>
        </w:rPr>
        <w:t xml:space="preserve"> </w:t>
      </w:r>
      <w:r w:rsidRPr="008B38AB">
        <w:rPr>
          <w:rFonts w:ascii="Arial" w:eastAsia="Arial" w:hAnsi="Arial" w:cs="Arial"/>
          <w:szCs w:val="21"/>
          <w:lang w:val="en-ZA" w:eastAsia="en-ZA"/>
        </w:rPr>
        <w:t xml:space="preserve">compliance </w:t>
      </w:r>
      <w:r w:rsidRPr="008B38AB">
        <w:rPr>
          <w:rFonts w:ascii="Arial" w:eastAsia="Arial" w:hAnsi="Arial" w:cs="Arial"/>
          <w:spacing w:val="6"/>
          <w:szCs w:val="21"/>
          <w:lang w:val="en-ZA" w:eastAsia="en-ZA"/>
        </w:rPr>
        <w:t xml:space="preserve"> </w:t>
      </w:r>
      <w:r w:rsidRPr="008B38AB">
        <w:rPr>
          <w:rFonts w:ascii="Arial" w:eastAsia="Arial" w:hAnsi="Arial" w:cs="Arial"/>
          <w:szCs w:val="21"/>
          <w:lang w:val="en-ZA" w:eastAsia="en-ZA"/>
        </w:rPr>
        <w:t>with</w:t>
      </w:r>
      <w:r w:rsidRPr="008B38AB">
        <w:rPr>
          <w:rFonts w:ascii="Arial" w:eastAsia="Arial" w:hAnsi="Arial" w:cs="Arial"/>
          <w:spacing w:val="25"/>
          <w:szCs w:val="21"/>
          <w:lang w:val="en-ZA" w:eastAsia="en-ZA"/>
        </w:rPr>
        <w:t xml:space="preserve"> </w:t>
      </w:r>
      <w:r w:rsidRPr="008B38AB">
        <w:rPr>
          <w:rFonts w:ascii="Arial" w:eastAsia="Arial" w:hAnsi="Arial" w:cs="Arial"/>
          <w:szCs w:val="21"/>
          <w:lang w:val="en-ZA" w:eastAsia="en-ZA"/>
        </w:rPr>
        <w:t>respect</w:t>
      </w:r>
      <w:r w:rsidRPr="008B38AB">
        <w:rPr>
          <w:rFonts w:ascii="Arial" w:eastAsia="Arial" w:hAnsi="Arial" w:cs="Arial"/>
          <w:spacing w:val="27"/>
          <w:szCs w:val="21"/>
          <w:lang w:val="en-ZA" w:eastAsia="en-ZA"/>
        </w:rPr>
        <w:t xml:space="preserve"> </w:t>
      </w:r>
      <w:r w:rsidRPr="008B38AB">
        <w:rPr>
          <w:rFonts w:ascii="Arial" w:eastAsia="Arial" w:hAnsi="Arial" w:cs="Arial"/>
          <w:szCs w:val="21"/>
          <w:lang w:val="en-ZA" w:eastAsia="en-ZA"/>
        </w:rPr>
        <w:t>to</w:t>
      </w:r>
      <w:r w:rsidRPr="008B38AB">
        <w:rPr>
          <w:rFonts w:ascii="Arial" w:eastAsia="Arial" w:hAnsi="Arial" w:cs="Arial"/>
          <w:spacing w:val="10"/>
          <w:szCs w:val="21"/>
          <w:lang w:val="en-ZA" w:eastAsia="en-ZA"/>
        </w:rPr>
        <w:t xml:space="preserve"> </w:t>
      </w:r>
      <w:r w:rsidRPr="008B38AB">
        <w:rPr>
          <w:rFonts w:ascii="Arial" w:eastAsia="Arial" w:hAnsi="Arial" w:cs="Arial"/>
          <w:szCs w:val="21"/>
          <w:lang w:val="en-ZA" w:eastAsia="en-ZA"/>
        </w:rPr>
        <w:t>the</w:t>
      </w:r>
      <w:r w:rsidRPr="008B38AB">
        <w:rPr>
          <w:rFonts w:ascii="Arial" w:eastAsia="Arial" w:hAnsi="Arial" w:cs="Arial"/>
          <w:spacing w:val="18"/>
          <w:szCs w:val="21"/>
          <w:lang w:val="en-ZA" w:eastAsia="en-ZA"/>
        </w:rPr>
        <w:t xml:space="preserve"> </w:t>
      </w:r>
      <w:r w:rsidRPr="008B38AB">
        <w:rPr>
          <w:rFonts w:ascii="Arial" w:eastAsia="Arial" w:hAnsi="Arial" w:cs="Arial"/>
          <w:szCs w:val="21"/>
          <w:lang w:val="en-ZA" w:eastAsia="en-ZA"/>
        </w:rPr>
        <w:t>selected</w:t>
      </w:r>
      <w:r w:rsidRPr="008B38AB">
        <w:rPr>
          <w:rFonts w:ascii="Arial" w:eastAsia="Arial" w:hAnsi="Arial" w:cs="Arial"/>
          <w:spacing w:val="28"/>
          <w:szCs w:val="21"/>
          <w:lang w:val="en-ZA" w:eastAsia="en-ZA"/>
        </w:rPr>
        <w:t xml:space="preserve"> </w:t>
      </w:r>
      <w:r w:rsidRPr="008B38AB">
        <w:rPr>
          <w:rFonts w:ascii="Arial" w:eastAsia="Arial" w:hAnsi="Arial" w:cs="Arial"/>
          <w:szCs w:val="21"/>
          <w:lang w:val="en-ZA" w:eastAsia="en-ZA"/>
        </w:rPr>
        <w:t>subject</w:t>
      </w:r>
      <w:r w:rsidRPr="008B38AB">
        <w:rPr>
          <w:rFonts w:ascii="Arial" w:eastAsia="Arial" w:hAnsi="Arial" w:cs="Arial"/>
          <w:spacing w:val="44"/>
          <w:szCs w:val="21"/>
          <w:lang w:val="en-ZA" w:eastAsia="en-ZA"/>
        </w:rPr>
        <w:t xml:space="preserve"> </w:t>
      </w:r>
      <w:r w:rsidRPr="008B38AB">
        <w:rPr>
          <w:rFonts w:ascii="Arial" w:eastAsia="Arial" w:hAnsi="Arial" w:cs="Arial"/>
          <w:w w:val="105"/>
          <w:szCs w:val="21"/>
          <w:lang w:val="en-ZA" w:eastAsia="en-ZA"/>
        </w:rPr>
        <w:t>matters.</w:t>
      </w:r>
    </w:p>
    <w:p w14:paraId="068E6CF3" w14:textId="77777777" w:rsidR="00BB5C77" w:rsidRPr="008B38AB" w:rsidRDefault="00BB5C77" w:rsidP="00BB5C77">
      <w:pPr>
        <w:spacing w:before="5" w:after="0" w:line="160" w:lineRule="exact"/>
        <w:jc w:val="both"/>
        <w:rPr>
          <w:rFonts w:eastAsia="Times New Roman" w:cs="Times New Roman"/>
          <w:sz w:val="14"/>
          <w:szCs w:val="16"/>
          <w:lang w:val="en-ZA" w:eastAsia="en-ZA"/>
        </w:rPr>
      </w:pPr>
    </w:p>
    <w:p w14:paraId="20F65D94" w14:textId="77777777" w:rsidR="00BB5C77" w:rsidRPr="008B38AB" w:rsidRDefault="00BB5C77" w:rsidP="00BB5C77">
      <w:pPr>
        <w:spacing w:after="0" w:line="200" w:lineRule="exact"/>
        <w:jc w:val="both"/>
        <w:rPr>
          <w:rFonts w:eastAsia="Times New Roman" w:cs="Times New Roman"/>
          <w:sz w:val="18"/>
          <w:szCs w:val="20"/>
          <w:lang w:val="en-ZA" w:eastAsia="en-ZA"/>
        </w:rPr>
      </w:pPr>
    </w:p>
    <w:p w14:paraId="2670AC31" w14:textId="77777777" w:rsidR="00BB5C77" w:rsidRPr="008B38AB" w:rsidRDefault="00BB5C77" w:rsidP="00BB5C77">
      <w:pPr>
        <w:spacing w:after="0" w:line="240" w:lineRule="auto"/>
        <w:ind w:left="151" w:right="-20"/>
        <w:jc w:val="both"/>
        <w:rPr>
          <w:rFonts w:ascii="Arial" w:eastAsia="Arial" w:hAnsi="Arial" w:cs="Arial"/>
          <w:sz w:val="22"/>
          <w:szCs w:val="23"/>
          <w:lang w:val="en-ZA" w:eastAsia="en-ZA"/>
        </w:rPr>
      </w:pPr>
      <w:r w:rsidRPr="008B38AB">
        <w:rPr>
          <w:rFonts w:ascii="Arial" w:eastAsia="Arial" w:hAnsi="Arial" w:cs="Arial"/>
          <w:b/>
          <w:bCs/>
          <w:color w:val="1C1C1C"/>
          <w:sz w:val="22"/>
          <w:szCs w:val="23"/>
          <w:lang w:val="en-ZA" w:eastAsia="en-ZA"/>
        </w:rPr>
        <w:t>Financial</w:t>
      </w:r>
      <w:r w:rsidRPr="008B38AB">
        <w:rPr>
          <w:rFonts w:ascii="Arial" w:eastAsia="Arial" w:hAnsi="Arial" w:cs="Arial"/>
          <w:b/>
          <w:bCs/>
          <w:color w:val="1C1C1C"/>
          <w:spacing w:val="15"/>
          <w:sz w:val="22"/>
          <w:szCs w:val="23"/>
          <w:lang w:val="en-ZA" w:eastAsia="en-ZA"/>
        </w:rPr>
        <w:t xml:space="preserve"> </w:t>
      </w:r>
      <w:r w:rsidRPr="008B38AB">
        <w:rPr>
          <w:rFonts w:ascii="Arial" w:eastAsia="Arial" w:hAnsi="Arial" w:cs="Arial"/>
          <w:b/>
          <w:bCs/>
          <w:color w:val="1C1C1C"/>
          <w:w w:val="105"/>
          <w:sz w:val="22"/>
          <w:szCs w:val="23"/>
          <w:lang w:val="en-ZA" w:eastAsia="en-ZA"/>
        </w:rPr>
        <w:t>statements</w:t>
      </w:r>
    </w:p>
    <w:p w14:paraId="4B8A9AD5" w14:textId="77777777" w:rsidR="00BB5C77" w:rsidRPr="008B38AB" w:rsidRDefault="00BB5C77" w:rsidP="00BB5C77">
      <w:pPr>
        <w:spacing w:before="18" w:after="0" w:line="240" w:lineRule="exact"/>
        <w:jc w:val="both"/>
        <w:rPr>
          <w:rFonts w:eastAsia="Times New Roman" w:cs="Times New Roman"/>
          <w:sz w:val="22"/>
          <w:szCs w:val="24"/>
          <w:lang w:val="en-ZA" w:eastAsia="en-ZA"/>
        </w:rPr>
      </w:pPr>
    </w:p>
    <w:p w14:paraId="1F62BEB7" w14:textId="77777777" w:rsidR="00BB5C77" w:rsidRPr="008B38AB" w:rsidRDefault="00BB5C77" w:rsidP="00BB5C77">
      <w:pPr>
        <w:spacing w:after="0" w:line="243" w:lineRule="auto"/>
        <w:ind w:left="497" w:right="378" w:hanging="360"/>
        <w:jc w:val="both"/>
        <w:rPr>
          <w:rFonts w:ascii="Arial" w:eastAsia="Arial" w:hAnsi="Arial" w:cs="Arial"/>
          <w:szCs w:val="21"/>
          <w:lang w:val="en-ZA" w:eastAsia="en-ZA"/>
        </w:rPr>
      </w:pPr>
      <w:r w:rsidRPr="008B38AB">
        <w:rPr>
          <w:rFonts w:ascii="Arial" w:eastAsia="Arial" w:hAnsi="Arial" w:cs="Arial"/>
          <w:szCs w:val="21"/>
          <w:lang w:val="en-ZA" w:eastAsia="en-ZA"/>
        </w:rPr>
        <w:t xml:space="preserve">2.  </w:t>
      </w:r>
      <w:r w:rsidRPr="008B38AB">
        <w:rPr>
          <w:rFonts w:ascii="Arial" w:eastAsia="Arial" w:hAnsi="Arial" w:cs="Arial"/>
          <w:spacing w:val="23"/>
          <w:szCs w:val="21"/>
          <w:lang w:val="en-ZA" w:eastAsia="en-ZA"/>
        </w:rPr>
        <w:t xml:space="preserve"> </w:t>
      </w:r>
      <w:r w:rsidRPr="008B38AB">
        <w:rPr>
          <w:rFonts w:ascii="Arial" w:eastAsia="Arial" w:hAnsi="Arial" w:cs="Arial"/>
          <w:szCs w:val="21"/>
          <w:lang w:val="en-ZA" w:eastAsia="en-ZA"/>
        </w:rPr>
        <w:t>In</w:t>
      </w:r>
      <w:r w:rsidRPr="008B38AB">
        <w:rPr>
          <w:rFonts w:ascii="Arial" w:eastAsia="Arial" w:hAnsi="Arial" w:cs="Arial"/>
          <w:spacing w:val="8"/>
          <w:szCs w:val="21"/>
          <w:lang w:val="en-ZA" w:eastAsia="en-ZA"/>
        </w:rPr>
        <w:t xml:space="preserve"> </w:t>
      </w:r>
      <w:r w:rsidRPr="008B38AB">
        <w:rPr>
          <w:rFonts w:ascii="Arial" w:eastAsia="Arial" w:hAnsi="Arial" w:cs="Arial"/>
          <w:szCs w:val="21"/>
          <w:lang w:val="en-ZA" w:eastAsia="en-ZA"/>
        </w:rPr>
        <w:t>addition</w:t>
      </w:r>
      <w:r w:rsidRPr="008B38AB">
        <w:rPr>
          <w:rFonts w:ascii="Arial" w:eastAsia="Arial" w:hAnsi="Arial" w:cs="Arial"/>
          <w:spacing w:val="37"/>
          <w:szCs w:val="21"/>
          <w:lang w:val="en-ZA" w:eastAsia="en-ZA"/>
        </w:rPr>
        <w:t xml:space="preserve"> </w:t>
      </w:r>
      <w:r w:rsidRPr="008B38AB">
        <w:rPr>
          <w:rFonts w:ascii="Arial" w:eastAsia="Arial" w:hAnsi="Arial" w:cs="Arial"/>
          <w:szCs w:val="21"/>
          <w:lang w:val="en-ZA" w:eastAsia="en-ZA"/>
        </w:rPr>
        <w:t>to</w:t>
      </w:r>
      <w:r w:rsidRPr="008B38AB">
        <w:rPr>
          <w:rFonts w:ascii="Arial" w:eastAsia="Arial" w:hAnsi="Arial" w:cs="Arial"/>
          <w:spacing w:val="13"/>
          <w:szCs w:val="21"/>
          <w:lang w:val="en-ZA" w:eastAsia="en-ZA"/>
        </w:rPr>
        <w:t xml:space="preserve"> </w:t>
      </w:r>
      <w:r w:rsidRPr="008B38AB">
        <w:rPr>
          <w:rFonts w:ascii="Arial" w:eastAsia="Arial" w:hAnsi="Arial" w:cs="Arial"/>
          <w:szCs w:val="21"/>
          <w:lang w:val="en-ZA" w:eastAsia="en-ZA"/>
        </w:rPr>
        <w:t>my</w:t>
      </w:r>
      <w:r w:rsidRPr="008B38AB">
        <w:rPr>
          <w:rFonts w:ascii="Arial" w:eastAsia="Arial" w:hAnsi="Arial" w:cs="Arial"/>
          <w:spacing w:val="22"/>
          <w:szCs w:val="21"/>
          <w:lang w:val="en-ZA" w:eastAsia="en-ZA"/>
        </w:rPr>
        <w:t xml:space="preserve"> </w:t>
      </w:r>
      <w:r w:rsidRPr="008B38AB">
        <w:rPr>
          <w:rFonts w:ascii="Arial" w:eastAsia="Arial" w:hAnsi="Arial" w:cs="Arial"/>
          <w:szCs w:val="21"/>
          <w:lang w:val="en-ZA" w:eastAsia="en-ZA"/>
        </w:rPr>
        <w:t>responsibility</w:t>
      </w:r>
      <w:r w:rsidRPr="008B38AB">
        <w:rPr>
          <w:rFonts w:ascii="Arial" w:eastAsia="Arial" w:hAnsi="Arial" w:cs="Arial"/>
          <w:spacing w:val="38"/>
          <w:szCs w:val="21"/>
          <w:lang w:val="en-ZA" w:eastAsia="en-ZA"/>
        </w:rPr>
        <w:t xml:space="preserve"> </w:t>
      </w:r>
      <w:r w:rsidRPr="008B38AB">
        <w:rPr>
          <w:rFonts w:ascii="Arial" w:eastAsia="Arial" w:hAnsi="Arial" w:cs="Arial"/>
          <w:szCs w:val="21"/>
          <w:lang w:val="en-ZA" w:eastAsia="en-ZA"/>
        </w:rPr>
        <w:t>for</w:t>
      </w:r>
      <w:r w:rsidRPr="008B38AB">
        <w:rPr>
          <w:rFonts w:ascii="Arial" w:eastAsia="Arial" w:hAnsi="Arial" w:cs="Arial"/>
          <w:spacing w:val="21"/>
          <w:szCs w:val="21"/>
          <w:lang w:val="en-ZA" w:eastAsia="en-ZA"/>
        </w:rPr>
        <w:t xml:space="preserve"> </w:t>
      </w:r>
      <w:r w:rsidRPr="008B38AB">
        <w:rPr>
          <w:rFonts w:ascii="Arial" w:eastAsia="Arial" w:hAnsi="Arial" w:cs="Arial"/>
          <w:szCs w:val="21"/>
          <w:lang w:val="en-ZA" w:eastAsia="en-ZA"/>
        </w:rPr>
        <w:t>the</w:t>
      </w:r>
      <w:r w:rsidRPr="008B38AB">
        <w:rPr>
          <w:rFonts w:ascii="Arial" w:eastAsia="Arial" w:hAnsi="Arial" w:cs="Arial"/>
          <w:spacing w:val="5"/>
          <w:szCs w:val="21"/>
          <w:lang w:val="en-ZA" w:eastAsia="en-ZA"/>
        </w:rPr>
        <w:t xml:space="preserve"> </w:t>
      </w:r>
      <w:r w:rsidRPr="008B38AB">
        <w:rPr>
          <w:rFonts w:ascii="Arial" w:eastAsia="Arial" w:hAnsi="Arial" w:cs="Arial"/>
          <w:szCs w:val="21"/>
          <w:lang w:val="en-ZA" w:eastAsia="en-ZA"/>
        </w:rPr>
        <w:t>audit</w:t>
      </w:r>
      <w:r w:rsidRPr="008B38AB">
        <w:rPr>
          <w:rFonts w:ascii="Arial" w:eastAsia="Arial" w:hAnsi="Arial" w:cs="Arial"/>
          <w:spacing w:val="34"/>
          <w:szCs w:val="21"/>
          <w:lang w:val="en-ZA" w:eastAsia="en-ZA"/>
        </w:rPr>
        <w:t xml:space="preserve"> </w:t>
      </w:r>
      <w:r w:rsidRPr="008B38AB">
        <w:rPr>
          <w:rFonts w:ascii="Arial" w:eastAsia="Arial" w:hAnsi="Arial" w:cs="Arial"/>
          <w:szCs w:val="21"/>
          <w:lang w:val="en-ZA" w:eastAsia="en-ZA"/>
        </w:rPr>
        <w:t>of</w:t>
      </w:r>
      <w:r w:rsidRPr="008B38AB">
        <w:rPr>
          <w:rFonts w:ascii="Arial" w:eastAsia="Arial" w:hAnsi="Arial" w:cs="Arial"/>
          <w:spacing w:val="17"/>
          <w:szCs w:val="21"/>
          <w:lang w:val="en-ZA" w:eastAsia="en-ZA"/>
        </w:rPr>
        <w:t xml:space="preserve"> </w:t>
      </w:r>
      <w:r w:rsidRPr="008B38AB">
        <w:rPr>
          <w:rFonts w:ascii="Arial" w:eastAsia="Arial" w:hAnsi="Arial" w:cs="Arial"/>
          <w:szCs w:val="21"/>
          <w:lang w:val="en-ZA" w:eastAsia="en-ZA"/>
        </w:rPr>
        <w:t>the</w:t>
      </w:r>
      <w:r w:rsidRPr="008B38AB">
        <w:rPr>
          <w:rFonts w:ascii="Arial" w:eastAsia="Arial" w:hAnsi="Arial" w:cs="Arial"/>
          <w:spacing w:val="24"/>
          <w:szCs w:val="21"/>
          <w:lang w:val="en-ZA" w:eastAsia="en-ZA"/>
        </w:rPr>
        <w:t xml:space="preserve"> </w:t>
      </w:r>
      <w:r w:rsidRPr="008B38AB">
        <w:rPr>
          <w:rFonts w:ascii="Arial" w:eastAsia="Arial" w:hAnsi="Arial" w:cs="Arial"/>
          <w:szCs w:val="21"/>
          <w:lang w:val="en-ZA" w:eastAsia="en-ZA"/>
        </w:rPr>
        <w:t>financial</w:t>
      </w:r>
      <w:r w:rsidRPr="008B38AB">
        <w:rPr>
          <w:rFonts w:ascii="Arial" w:eastAsia="Arial" w:hAnsi="Arial" w:cs="Arial"/>
          <w:spacing w:val="24"/>
          <w:szCs w:val="21"/>
          <w:lang w:val="en-ZA" w:eastAsia="en-ZA"/>
        </w:rPr>
        <w:t xml:space="preserve"> </w:t>
      </w:r>
      <w:r w:rsidRPr="008B38AB">
        <w:rPr>
          <w:rFonts w:ascii="Arial" w:eastAsia="Arial" w:hAnsi="Arial" w:cs="Arial"/>
          <w:szCs w:val="21"/>
          <w:lang w:val="en-ZA" w:eastAsia="en-ZA"/>
        </w:rPr>
        <w:t>statements</w:t>
      </w:r>
      <w:r w:rsidRPr="008B38AB">
        <w:rPr>
          <w:rFonts w:ascii="Arial" w:eastAsia="Arial" w:hAnsi="Arial" w:cs="Arial"/>
          <w:spacing w:val="39"/>
          <w:szCs w:val="21"/>
          <w:lang w:val="en-ZA" w:eastAsia="en-ZA"/>
        </w:rPr>
        <w:t xml:space="preserve"> </w:t>
      </w:r>
      <w:r w:rsidRPr="008B38AB">
        <w:rPr>
          <w:rFonts w:ascii="Arial" w:eastAsia="Arial" w:hAnsi="Arial" w:cs="Arial"/>
          <w:szCs w:val="21"/>
          <w:lang w:val="en-ZA" w:eastAsia="en-ZA"/>
        </w:rPr>
        <w:t>as</w:t>
      </w:r>
      <w:r w:rsidRPr="008B38AB">
        <w:rPr>
          <w:rFonts w:ascii="Arial" w:eastAsia="Arial" w:hAnsi="Arial" w:cs="Arial"/>
          <w:spacing w:val="7"/>
          <w:szCs w:val="21"/>
          <w:lang w:val="en-ZA" w:eastAsia="en-ZA"/>
        </w:rPr>
        <w:t xml:space="preserve"> </w:t>
      </w:r>
      <w:r w:rsidRPr="008B38AB">
        <w:rPr>
          <w:rFonts w:ascii="Arial" w:eastAsia="Arial" w:hAnsi="Arial" w:cs="Arial"/>
          <w:szCs w:val="21"/>
          <w:lang w:val="en-ZA" w:eastAsia="en-ZA"/>
        </w:rPr>
        <w:t xml:space="preserve">described </w:t>
      </w:r>
      <w:r w:rsidRPr="008B38AB">
        <w:rPr>
          <w:rFonts w:ascii="Arial" w:eastAsia="Arial" w:hAnsi="Arial" w:cs="Arial"/>
          <w:spacing w:val="2"/>
          <w:szCs w:val="21"/>
          <w:lang w:val="en-ZA" w:eastAsia="en-ZA"/>
        </w:rPr>
        <w:t>in</w:t>
      </w:r>
      <w:r w:rsidRPr="008B38AB">
        <w:rPr>
          <w:rFonts w:ascii="Arial" w:eastAsia="Arial" w:hAnsi="Arial" w:cs="Arial"/>
          <w:w w:val="112"/>
          <w:szCs w:val="21"/>
          <w:lang w:val="en-ZA" w:eastAsia="en-ZA"/>
        </w:rPr>
        <w:t xml:space="preserve"> </w:t>
      </w:r>
      <w:r w:rsidRPr="008B38AB">
        <w:rPr>
          <w:rFonts w:ascii="Arial" w:eastAsia="Arial" w:hAnsi="Arial" w:cs="Arial"/>
          <w:szCs w:val="21"/>
          <w:lang w:val="en-ZA" w:eastAsia="en-ZA"/>
        </w:rPr>
        <w:t>the</w:t>
      </w:r>
      <w:r w:rsidRPr="008B38AB">
        <w:rPr>
          <w:rFonts w:ascii="Arial" w:eastAsia="Arial" w:hAnsi="Arial" w:cs="Arial"/>
          <w:spacing w:val="19"/>
          <w:szCs w:val="21"/>
          <w:lang w:val="en-ZA" w:eastAsia="en-ZA"/>
        </w:rPr>
        <w:t xml:space="preserve"> </w:t>
      </w:r>
      <w:r w:rsidRPr="008B38AB">
        <w:rPr>
          <w:rFonts w:ascii="Arial" w:eastAsia="Arial" w:hAnsi="Arial" w:cs="Arial"/>
          <w:szCs w:val="21"/>
          <w:lang w:val="en-ZA" w:eastAsia="en-ZA"/>
        </w:rPr>
        <w:t>auditor's</w:t>
      </w:r>
      <w:r w:rsidRPr="008B38AB">
        <w:rPr>
          <w:rFonts w:ascii="Arial" w:eastAsia="Arial" w:hAnsi="Arial" w:cs="Arial"/>
          <w:spacing w:val="31"/>
          <w:szCs w:val="21"/>
          <w:lang w:val="en-ZA" w:eastAsia="en-ZA"/>
        </w:rPr>
        <w:t xml:space="preserve"> </w:t>
      </w:r>
      <w:r w:rsidRPr="008B38AB">
        <w:rPr>
          <w:rFonts w:ascii="Arial" w:eastAsia="Arial" w:hAnsi="Arial" w:cs="Arial"/>
          <w:szCs w:val="21"/>
          <w:lang w:val="en-ZA" w:eastAsia="en-ZA"/>
        </w:rPr>
        <w:t>report,</w:t>
      </w:r>
      <w:r w:rsidRPr="008B38AB">
        <w:rPr>
          <w:rFonts w:ascii="Arial" w:eastAsia="Arial" w:hAnsi="Arial" w:cs="Arial"/>
          <w:spacing w:val="36"/>
          <w:szCs w:val="21"/>
          <w:lang w:val="en-ZA" w:eastAsia="en-ZA"/>
        </w:rPr>
        <w:t xml:space="preserve"> </w:t>
      </w:r>
      <w:r w:rsidRPr="008B38AB">
        <w:rPr>
          <w:rFonts w:ascii="Arial" w:eastAsia="Arial" w:hAnsi="Arial" w:cs="Arial"/>
          <w:szCs w:val="21"/>
          <w:lang w:val="en-ZA" w:eastAsia="en-ZA"/>
        </w:rPr>
        <w:t>I</w:t>
      </w:r>
      <w:r w:rsidRPr="008B38AB">
        <w:rPr>
          <w:rFonts w:ascii="Arial" w:eastAsia="Arial" w:hAnsi="Arial" w:cs="Arial"/>
          <w:spacing w:val="10"/>
          <w:szCs w:val="21"/>
          <w:lang w:val="en-ZA" w:eastAsia="en-ZA"/>
        </w:rPr>
        <w:t xml:space="preserve"> </w:t>
      </w:r>
      <w:r w:rsidRPr="008B38AB">
        <w:rPr>
          <w:rFonts w:ascii="Arial" w:eastAsia="Arial" w:hAnsi="Arial" w:cs="Arial"/>
          <w:w w:val="102"/>
          <w:szCs w:val="21"/>
          <w:lang w:val="en-ZA" w:eastAsia="en-ZA"/>
        </w:rPr>
        <w:t>also:</w:t>
      </w:r>
    </w:p>
    <w:p w14:paraId="2A3B2416" w14:textId="77777777" w:rsidR="00BB5C77" w:rsidRPr="008B38AB" w:rsidRDefault="00BB5C77" w:rsidP="00BB5C77">
      <w:pPr>
        <w:spacing w:before="6" w:after="0" w:line="260" w:lineRule="exact"/>
        <w:jc w:val="both"/>
        <w:rPr>
          <w:rFonts w:eastAsia="Times New Roman" w:cs="Times New Roman"/>
          <w:sz w:val="24"/>
          <w:szCs w:val="26"/>
          <w:lang w:val="en-ZA" w:eastAsia="en-ZA"/>
        </w:rPr>
      </w:pPr>
    </w:p>
    <w:p w14:paraId="39E41CE9" w14:textId="77777777" w:rsidR="00BB5C77" w:rsidRPr="008B38AB" w:rsidRDefault="00BB5C77" w:rsidP="00BB5C77">
      <w:pPr>
        <w:tabs>
          <w:tab w:val="left" w:pos="980"/>
        </w:tabs>
        <w:spacing w:after="0" w:line="250" w:lineRule="auto"/>
        <w:ind w:left="972" w:right="172" w:hanging="403"/>
        <w:jc w:val="both"/>
        <w:rPr>
          <w:rFonts w:ascii="Arial" w:eastAsia="Arial" w:hAnsi="Arial" w:cs="Arial"/>
          <w:szCs w:val="21"/>
          <w:lang w:val="en-ZA" w:eastAsia="en-ZA"/>
        </w:rPr>
      </w:pPr>
      <w:r w:rsidRPr="008B38AB">
        <w:rPr>
          <w:rFonts w:ascii="Arial" w:eastAsia="Arial" w:hAnsi="Arial" w:cs="Arial"/>
          <w:color w:val="383838"/>
          <w:w w:val="152"/>
          <w:szCs w:val="21"/>
          <w:lang w:val="en-ZA" w:eastAsia="en-ZA"/>
        </w:rPr>
        <w:t>•</w:t>
      </w:r>
      <w:r w:rsidRPr="008B38AB">
        <w:rPr>
          <w:rFonts w:ascii="Arial" w:eastAsia="Arial" w:hAnsi="Arial" w:cs="Arial"/>
          <w:color w:val="383838"/>
          <w:szCs w:val="21"/>
          <w:lang w:val="en-ZA" w:eastAsia="en-ZA"/>
        </w:rPr>
        <w:tab/>
      </w:r>
      <w:r w:rsidRPr="008B38AB">
        <w:rPr>
          <w:rFonts w:ascii="Arial" w:eastAsia="Arial" w:hAnsi="Arial" w:cs="Arial"/>
          <w:color w:val="383838"/>
          <w:szCs w:val="21"/>
          <w:lang w:val="en-ZA" w:eastAsia="en-ZA"/>
        </w:rPr>
        <w:tab/>
      </w:r>
      <w:r w:rsidRPr="008B38AB">
        <w:rPr>
          <w:rFonts w:ascii="Arial" w:eastAsia="Arial" w:hAnsi="Arial" w:cs="Arial"/>
          <w:color w:val="000000"/>
          <w:szCs w:val="21"/>
          <w:lang w:val="en-ZA" w:eastAsia="en-ZA"/>
        </w:rPr>
        <w:t>identify</w:t>
      </w:r>
      <w:r w:rsidRPr="008B38AB">
        <w:rPr>
          <w:rFonts w:ascii="Arial" w:eastAsia="Arial" w:hAnsi="Arial" w:cs="Arial"/>
          <w:color w:val="000000"/>
          <w:spacing w:val="44"/>
          <w:szCs w:val="21"/>
          <w:lang w:val="en-ZA" w:eastAsia="en-ZA"/>
        </w:rPr>
        <w:t xml:space="preserve"> </w:t>
      </w:r>
      <w:r w:rsidRPr="008B38AB">
        <w:rPr>
          <w:rFonts w:ascii="Arial" w:eastAsia="Arial" w:hAnsi="Arial" w:cs="Arial"/>
          <w:color w:val="000000"/>
          <w:szCs w:val="21"/>
          <w:lang w:val="en-ZA" w:eastAsia="en-ZA"/>
        </w:rPr>
        <w:t>and</w:t>
      </w:r>
      <w:r w:rsidRPr="008B38AB">
        <w:rPr>
          <w:rFonts w:ascii="Arial" w:eastAsia="Arial" w:hAnsi="Arial" w:cs="Arial"/>
          <w:color w:val="000000"/>
          <w:spacing w:val="23"/>
          <w:szCs w:val="21"/>
          <w:lang w:val="en-ZA" w:eastAsia="en-ZA"/>
        </w:rPr>
        <w:t xml:space="preserve"> </w:t>
      </w:r>
      <w:r w:rsidRPr="008B38AB">
        <w:rPr>
          <w:rFonts w:ascii="Arial" w:eastAsia="Arial" w:hAnsi="Arial" w:cs="Arial"/>
          <w:color w:val="000000"/>
          <w:szCs w:val="21"/>
          <w:lang w:val="en-ZA" w:eastAsia="en-ZA"/>
        </w:rPr>
        <w:t>assess</w:t>
      </w:r>
      <w:r w:rsidRPr="008B38AB">
        <w:rPr>
          <w:rFonts w:ascii="Arial" w:eastAsia="Arial" w:hAnsi="Arial" w:cs="Arial"/>
          <w:color w:val="000000"/>
          <w:spacing w:val="39"/>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11"/>
          <w:szCs w:val="21"/>
          <w:lang w:val="en-ZA" w:eastAsia="en-ZA"/>
        </w:rPr>
        <w:t xml:space="preserve"> </w:t>
      </w:r>
      <w:r w:rsidRPr="008B38AB">
        <w:rPr>
          <w:rFonts w:ascii="Arial" w:eastAsia="Arial" w:hAnsi="Arial" w:cs="Arial"/>
          <w:color w:val="000000"/>
          <w:szCs w:val="21"/>
          <w:lang w:val="en-ZA" w:eastAsia="en-ZA"/>
        </w:rPr>
        <w:t>risks</w:t>
      </w:r>
      <w:r w:rsidRPr="008B38AB">
        <w:rPr>
          <w:rFonts w:ascii="Arial" w:eastAsia="Arial" w:hAnsi="Arial" w:cs="Arial"/>
          <w:color w:val="000000"/>
          <w:spacing w:val="21"/>
          <w:szCs w:val="21"/>
          <w:lang w:val="en-ZA" w:eastAsia="en-ZA"/>
        </w:rPr>
        <w:t xml:space="preserve"> </w:t>
      </w:r>
      <w:r w:rsidRPr="008B38AB">
        <w:rPr>
          <w:rFonts w:ascii="Arial" w:eastAsia="Arial" w:hAnsi="Arial" w:cs="Arial"/>
          <w:color w:val="000000"/>
          <w:szCs w:val="21"/>
          <w:lang w:val="en-ZA" w:eastAsia="en-ZA"/>
        </w:rPr>
        <w:t>of</w:t>
      </w:r>
      <w:r w:rsidRPr="008B38AB">
        <w:rPr>
          <w:rFonts w:ascii="Arial" w:eastAsia="Arial" w:hAnsi="Arial" w:cs="Arial"/>
          <w:color w:val="000000"/>
          <w:spacing w:val="20"/>
          <w:szCs w:val="21"/>
          <w:lang w:val="en-ZA" w:eastAsia="en-ZA"/>
        </w:rPr>
        <w:t xml:space="preserve"> </w:t>
      </w:r>
      <w:r w:rsidRPr="008B38AB">
        <w:rPr>
          <w:rFonts w:ascii="Arial" w:eastAsia="Arial" w:hAnsi="Arial" w:cs="Arial"/>
          <w:color w:val="000000"/>
          <w:szCs w:val="21"/>
          <w:lang w:val="en-ZA" w:eastAsia="en-ZA"/>
        </w:rPr>
        <w:t>material</w:t>
      </w:r>
      <w:r w:rsidRPr="008B38AB">
        <w:rPr>
          <w:rFonts w:ascii="Arial" w:eastAsia="Arial" w:hAnsi="Arial" w:cs="Arial"/>
          <w:color w:val="000000"/>
          <w:spacing w:val="22"/>
          <w:szCs w:val="21"/>
          <w:lang w:val="en-ZA" w:eastAsia="en-ZA"/>
        </w:rPr>
        <w:t xml:space="preserve"> </w:t>
      </w:r>
      <w:r w:rsidRPr="008B38AB">
        <w:rPr>
          <w:rFonts w:ascii="Arial" w:eastAsia="Arial" w:hAnsi="Arial" w:cs="Arial"/>
          <w:color w:val="000000"/>
          <w:szCs w:val="21"/>
          <w:lang w:val="en-ZA" w:eastAsia="en-ZA"/>
        </w:rPr>
        <w:t>misstatement</w:t>
      </w:r>
      <w:r w:rsidRPr="008B38AB">
        <w:rPr>
          <w:rFonts w:ascii="Arial" w:eastAsia="Arial" w:hAnsi="Arial" w:cs="Arial"/>
          <w:color w:val="000000"/>
          <w:spacing w:val="52"/>
          <w:szCs w:val="21"/>
          <w:lang w:val="en-ZA" w:eastAsia="en-ZA"/>
        </w:rPr>
        <w:t xml:space="preserve"> </w:t>
      </w:r>
      <w:r w:rsidRPr="008B38AB">
        <w:rPr>
          <w:rFonts w:ascii="Arial" w:eastAsia="Arial" w:hAnsi="Arial" w:cs="Arial"/>
          <w:color w:val="000000"/>
          <w:szCs w:val="21"/>
          <w:lang w:val="en-ZA" w:eastAsia="en-ZA"/>
        </w:rPr>
        <w:t>of</w:t>
      </w:r>
      <w:r w:rsidRPr="008B38AB">
        <w:rPr>
          <w:rFonts w:ascii="Arial" w:eastAsia="Arial" w:hAnsi="Arial" w:cs="Arial"/>
          <w:color w:val="000000"/>
          <w:spacing w:val="17"/>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10"/>
          <w:szCs w:val="21"/>
          <w:lang w:val="en-ZA" w:eastAsia="en-ZA"/>
        </w:rPr>
        <w:t xml:space="preserve"> </w:t>
      </w:r>
      <w:r w:rsidRPr="008B38AB">
        <w:rPr>
          <w:rFonts w:ascii="Arial" w:eastAsia="Arial" w:hAnsi="Arial" w:cs="Arial"/>
          <w:color w:val="000000"/>
          <w:szCs w:val="21"/>
          <w:lang w:val="en-ZA" w:eastAsia="en-ZA"/>
        </w:rPr>
        <w:t>financial</w:t>
      </w:r>
      <w:r w:rsidRPr="008B38AB">
        <w:rPr>
          <w:rFonts w:ascii="Arial" w:eastAsia="Arial" w:hAnsi="Arial" w:cs="Arial"/>
          <w:color w:val="000000"/>
          <w:spacing w:val="24"/>
          <w:szCs w:val="21"/>
          <w:lang w:val="en-ZA" w:eastAsia="en-ZA"/>
        </w:rPr>
        <w:t xml:space="preserve"> </w:t>
      </w:r>
      <w:r w:rsidRPr="008B38AB">
        <w:rPr>
          <w:rFonts w:ascii="Arial" w:eastAsia="Arial" w:hAnsi="Arial" w:cs="Arial"/>
          <w:color w:val="000000"/>
          <w:w w:val="106"/>
          <w:szCs w:val="21"/>
          <w:lang w:val="en-ZA" w:eastAsia="en-ZA"/>
        </w:rPr>
        <w:t xml:space="preserve">statements </w:t>
      </w:r>
      <w:r w:rsidRPr="008B38AB">
        <w:rPr>
          <w:rFonts w:ascii="Arial" w:eastAsia="Arial" w:hAnsi="Arial" w:cs="Arial"/>
          <w:color w:val="000000"/>
          <w:szCs w:val="21"/>
          <w:lang w:val="en-ZA" w:eastAsia="en-ZA"/>
        </w:rPr>
        <w:t>whether</w:t>
      </w:r>
      <w:r w:rsidRPr="008B38AB">
        <w:rPr>
          <w:rFonts w:ascii="Arial" w:eastAsia="Arial" w:hAnsi="Arial" w:cs="Arial"/>
          <w:color w:val="000000"/>
          <w:spacing w:val="48"/>
          <w:szCs w:val="21"/>
          <w:lang w:val="en-ZA" w:eastAsia="en-ZA"/>
        </w:rPr>
        <w:t xml:space="preserve"> </w:t>
      </w:r>
      <w:r w:rsidRPr="008B38AB">
        <w:rPr>
          <w:rFonts w:ascii="Arial" w:eastAsia="Arial" w:hAnsi="Arial" w:cs="Arial"/>
          <w:color w:val="000000"/>
          <w:szCs w:val="21"/>
          <w:lang w:val="en-ZA" w:eastAsia="en-ZA"/>
        </w:rPr>
        <w:t>due</w:t>
      </w:r>
      <w:r w:rsidRPr="008B38AB">
        <w:rPr>
          <w:rFonts w:ascii="Arial" w:eastAsia="Arial" w:hAnsi="Arial" w:cs="Arial"/>
          <w:color w:val="000000"/>
          <w:spacing w:val="27"/>
          <w:szCs w:val="21"/>
          <w:lang w:val="en-ZA" w:eastAsia="en-ZA"/>
        </w:rPr>
        <w:t xml:space="preserve"> </w:t>
      </w:r>
      <w:r w:rsidRPr="008B38AB">
        <w:rPr>
          <w:rFonts w:ascii="Arial" w:eastAsia="Arial" w:hAnsi="Arial" w:cs="Arial"/>
          <w:color w:val="000000"/>
          <w:szCs w:val="21"/>
          <w:lang w:val="en-ZA" w:eastAsia="en-ZA"/>
        </w:rPr>
        <w:t>to</w:t>
      </w:r>
      <w:r w:rsidRPr="008B38AB">
        <w:rPr>
          <w:rFonts w:ascii="Arial" w:eastAsia="Arial" w:hAnsi="Arial" w:cs="Arial"/>
          <w:color w:val="000000"/>
          <w:spacing w:val="10"/>
          <w:szCs w:val="21"/>
          <w:lang w:val="en-ZA" w:eastAsia="en-ZA"/>
        </w:rPr>
        <w:t xml:space="preserve"> </w:t>
      </w:r>
      <w:r w:rsidRPr="008B38AB">
        <w:rPr>
          <w:rFonts w:ascii="Arial" w:eastAsia="Arial" w:hAnsi="Arial" w:cs="Arial"/>
          <w:color w:val="000000"/>
          <w:szCs w:val="21"/>
          <w:lang w:val="en-ZA" w:eastAsia="en-ZA"/>
        </w:rPr>
        <w:t>fraud</w:t>
      </w:r>
      <w:r w:rsidRPr="008B38AB">
        <w:rPr>
          <w:rFonts w:ascii="Arial" w:eastAsia="Arial" w:hAnsi="Arial" w:cs="Arial"/>
          <w:color w:val="000000"/>
          <w:spacing w:val="14"/>
          <w:szCs w:val="21"/>
          <w:lang w:val="en-ZA" w:eastAsia="en-ZA"/>
        </w:rPr>
        <w:t xml:space="preserve"> </w:t>
      </w:r>
      <w:r w:rsidRPr="008B38AB">
        <w:rPr>
          <w:rFonts w:ascii="Arial" w:eastAsia="Arial" w:hAnsi="Arial" w:cs="Arial"/>
          <w:color w:val="000000"/>
          <w:szCs w:val="21"/>
          <w:lang w:val="en-ZA" w:eastAsia="en-ZA"/>
        </w:rPr>
        <w:t>or</w:t>
      </w:r>
      <w:r w:rsidRPr="008B38AB">
        <w:rPr>
          <w:rFonts w:ascii="Arial" w:eastAsia="Arial" w:hAnsi="Arial" w:cs="Arial"/>
          <w:color w:val="000000"/>
          <w:spacing w:val="11"/>
          <w:szCs w:val="21"/>
          <w:lang w:val="en-ZA" w:eastAsia="en-ZA"/>
        </w:rPr>
        <w:t xml:space="preserve"> </w:t>
      </w:r>
      <w:r w:rsidRPr="008B38AB">
        <w:rPr>
          <w:rFonts w:ascii="Arial" w:eastAsia="Arial" w:hAnsi="Arial" w:cs="Arial"/>
          <w:color w:val="000000"/>
          <w:szCs w:val="21"/>
          <w:lang w:val="en-ZA" w:eastAsia="en-ZA"/>
        </w:rPr>
        <w:t>error,</w:t>
      </w:r>
      <w:r w:rsidRPr="008B38AB">
        <w:rPr>
          <w:rFonts w:ascii="Arial" w:eastAsia="Arial" w:hAnsi="Arial" w:cs="Arial"/>
          <w:color w:val="000000"/>
          <w:spacing w:val="22"/>
          <w:szCs w:val="21"/>
          <w:lang w:val="en-ZA" w:eastAsia="en-ZA"/>
        </w:rPr>
        <w:t xml:space="preserve"> </w:t>
      </w:r>
      <w:r w:rsidRPr="008B38AB">
        <w:rPr>
          <w:rFonts w:ascii="Arial" w:eastAsia="Arial" w:hAnsi="Arial" w:cs="Arial"/>
          <w:color w:val="000000"/>
          <w:szCs w:val="21"/>
          <w:lang w:val="en-ZA" w:eastAsia="en-ZA"/>
        </w:rPr>
        <w:t>design</w:t>
      </w:r>
      <w:r w:rsidRPr="008B38AB">
        <w:rPr>
          <w:rFonts w:ascii="Arial" w:eastAsia="Arial" w:hAnsi="Arial" w:cs="Arial"/>
          <w:color w:val="000000"/>
          <w:spacing w:val="25"/>
          <w:szCs w:val="21"/>
          <w:lang w:val="en-ZA" w:eastAsia="en-ZA"/>
        </w:rPr>
        <w:t xml:space="preserve"> </w:t>
      </w:r>
      <w:r w:rsidRPr="008B38AB">
        <w:rPr>
          <w:rFonts w:ascii="Arial" w:eastAsia="Arial" w:hAnsi="Arial" w:cs="Arial"/>
          <w:color w:val="000000"/>
          <w:szCs w:val="21"/>
          <w:lang w:val="en-ZA" w:eastAsia="en-ZA"/>
        </w:rPr>
        <w:t>and</w:t>
      </w:r>
      <w:r w:rsidRPr="008B38AB">
        <w:rPr>
          <w:rFonts w:ascii="Arial" w:eastAsia="Arial" w:hAnsi="Arial" w:cs="Arial"/>
          <w:color w:val="000000"/>
          <w:spacing w:val="31"/>
          <w:szCs w:val="21"/>
          <w:lang w:val="en-ZA" w:eastAsia="en-ZA"/>
        </w:rPr>
        <w:t xml:space="preserve"> </w:t>
      </w:r>
      <w:r w:rsidRPr="008B38AB">
        <w:rPr>
          <w:rFonts w:ascii="Arial" w:eastAsia="Arial" w:hAnsi="Arial" w:cs="Arial"/>
          <w:color w:val="000000"/>
          <w:szCs w:val="21"/>
          <w:lang w:val="en-ZA" w:eastAsia="en-ZA"/>
        </w:rPr>
        <w:t>perform</w:t>
      </w:r>
      <w:r w:rsidRPr="008B38AB">
        <w:rPr>
          <w:rFonts w:ascii="Arial" w:eastAsia="Arial" w:hAnsi="Arial" w:cs="Arial"/>
          <w:color w:val="000000"/>
          <w:spacing w:val="43"/>
          <w:szCs w:val="21"/>
          <w:lang w:val="en-ZA" w:eastAsia="en-ZA"/>
        </w:rPr>
        <w:t xml:space="preserve"> </w:t>
      </w:r>
      <w:r w:rsidRPr="008B38AB">
        <w:rPr>
          <w:rFonts w:ascii="Arial" w:eastAsia="Arial" w:hAnsi="Arial" w:cs="Arial"/>
          <w:color w:val="000000"/>
          <w:szCs w:val="21"/>
          <w:lang w:val="en-ZA" w:eastAsia="en-ZA"/>
        </w:rPr>
        <w:t>audit</w:t>
      </w:r>
      <w:r w:rsidRPr="008B38AB">
        <w:rPr>
          <w:rFonts w:ascii="Arial" w:eastAsia="Arial" w:hAnsi="Arial" w:cs="Arial"/>
          <w:color w:val="000000"/>
          <w:spacing w:val="29"/>
          <w:szCs w:val="21"/>
          <w:lang w:val="en-ZA" w:eastAsia="en-ZA"/>
        </w:rPr>
        <w:t xml:space="preserve"> </w:t>
      </w:r>
      <w:r w:rsidRPr="008B38AB">
        <w:rPr>
          <w:rFonts w:ascii="Arial" w:eastAsia="Arial" w:hAnsi="Arial" w:cs="Arial"/>
          <w:color w:val="000000"/>
          <w:szCs w:val="21"/>
          <w:lang w:val="en-ZA" w:eastAsia="en-ZA"/>
        </w:rPr>
        <w:t>procedures</w:t>
      </w:r>
      <w:r w:rsidRPr="008B38AB">
        <w:rPr>
          <w:rFonts w:ascii="Arial" w:eastAsia="Arial" w:hAnsi="Arial" w:cs="Arial"/>
          <w:color w:val="000000"/>
          <w:spacing w:val="44"/>
          <w:szCs w:val="21"/>
          <w:lang w:val="en-ZA" w:eastAsia="en-ZA"/>
        </w:rPr>
        <w:t xml:space="preserve"> </w:t>
      </w:r>
      <w:r w:rsidRPr="008B38AB">
        <w:rPr>
          <w:rFonts w:ascii="Arial" w:eastAsia="Arial" w:hAnsi="Arial" w:cs="Arial"/>
          <w:color w:val="000000"/>
          <w:w w:val="105"/>
          <w:szCs w:val="21"/>
          <w:lang w:val="en-ZA" w:eastAsia="en-ZA"/>
        </w:rPr>
        <w:t>responsive</w:t>
      </w:r>
      <w:r w:rsidRPr="008B38AB">
        <w:rPr>
          <w:rFonts w:ascii="Arial" w:eastAsia="Arial" w:hAnsi="Arial" w:cs="Arial"/>
          <w:color w:val="000000"/>
          <w:spacing w:val="24"/>
          <w:w w:val="105"/>
          <w:szCs w:val="21"/>
          <w:lang w:val="en-ZA" w:eastAsia="en-ZA"/>
        </w:rPr>
        <w:t xml:space="preserve"> </w:t>
      </w:r>
      <w:r w:rsidRPr="008B38AB">
        <w:rPr>
          <w:rFonts w:ascii="Arial" w:eastAsia="Arial" w:hAnsi="Arial" w:cs="Arial"/>
          <w:color w:val="000000"/>
          <w:w w:val="105"/>
          <w:szCs w:val="21"/>
          <w:lang w:val="en-ZA" w:eastAsia="en-ZA"/>
        </w:rPr>
        <w:t xml:space="preserve">to </w:t>
      </w:r>
      <w:r w:rsidRPr="008B38AB">
        <w:rPr>
          <w:rFonts w:ascii="Arial" w:eastAsia="Arial" w:hAnsi="Arial" w:cs="Arial"/>
          <w:color w:val="000000"/>
          <w:szCs w:val="21"/>
          <w:lang w:val="en-ZA" w:eastAsia="en-ZA"/>
        </w:rPr>
        <w:t>those</w:t>
      </w:r>
      <w:r w:rsidRPr="008B38AB">
        <w:rPr>
          <w:rFonts w:ascii="Arial" w:eastAsia="Arial" w:hAnsi="Arial" w:cs="Arial"/>
          <w:color w:val="000000"/>
          <w:spacing w:val="16"/>
          <w:szCs w:val="21"/>
          <w:lang w:val="en-ZA" w:eastAsia="en-ZA"/>
        </w:rPr>
        <w:t xml:space="preserve"> </w:t>
      </w:r>
      <w:r w:rsidRPr="008B38AB">
        <w:rPr>
          <w:rFonts w:ascii="Arial" w:eastAsia="Arial" w:hAnsi="Arial" w:cs="Arial"/>
          <w:color w:val="000000"/>
          <w:szCs w:val="21"/>
          <w:lang w:val="en-ZA" w:eastAsia="en-ZA"/>
        </w:rPr>
        <w:t>risks,</w:t>
      </w:r>
      <w:r w:rsidRPr="008B38AB">
        <w:rPr>
          <w:rFonts w:ascii="Arial" w:eastAsia="Arial" w:hAnsi="Arial" w:cs="Arial"/>
          <w:color w:val="000000"/>
          <w:spacing w:val="16"/>
          <w:szCs w:val="21"/>
          <w:lang w:val="en-ZA" w:eastAsia="en-ZA"/>
        </w:rPr>
        <w:t xml:space="preserve"> </w:t>
      </w:r>
      <w:r w:rsidRPr="008B38AB">
        <w:rPr>
          <w:rFonts w:ascii="Arial" w:eastAsia="Arial" w:hAnsi="Arial" w:cs="Arial"/>
          <w:color w:val="000000"/>
          <w:szCs w:val="21"/>
          <w:lang w:val="en-ZA" w:eastAsia="en-ZA"/>
        </w:rPr>
        <w:t>and</w:t>
      </w:r>
      <w:r w:rsidRPr="008B38AB">
        <w:rPr>
          <w:rFonts w:ascii="Arial" w:eastAsia="Arial" w:hAnsi="Arial" w:cs="Arial"/>
          <w:color w:val="000000"/>
          <w:spacing w:val="24"/>
          <w:szCs w:val="21"/>
          <w:lang w:val="en-ZA" w:eastAsia="en-ZA"/>
        </w:rPr>
        <w:t xml:space="preserve"> </w:t>
      </w:r>
      <w:r w:rsidRPr="008B38AB">
        <w:rPr>
          <w:rFonts w:ascii="Arial" w:eastAsia="Arial" w:hAnsi="Arial" w:cs="Arial"/>
          <w:color w:val="000000"/>
          <w:szCs w:val="21"/>
          <w:lang w:val="en-ZA" w:eastAsia="en-ZA"/>
        </w:rPr>
        <w:t>obtain</w:t>
      </w:r>
      <w:r w:rsidRPr="008B38AB">
        <w:rPr>
          <w:rFonts w:ascii="Arial" w:eastAsia="Arial" w:hAnsi="Arial" w:cs="Arial"/>
          <w:color w:val="000000"/>
          <w:spacing w:val="23"/>
          <w:szCs w:val="21"/>
          <w:lang w:val="en-ZA" w:eastAsia="en-ZA"/>
        </w:rPr>
        <w:t xml:space="preserve"> </w:t>
      </w:r>
      <w:r w:rsidRPr="008B38AB">
        <w:rPr>
          <w:rFonts w:ascii="Arial" w:eastAsia="Arial" w:hAnsi="Arial" w:cs="Arial"/>
          <w:color w:val="000000"/>
          <w:szCs w:val="21"/>
          <w:lang w:val="en-ZA" w:eastAsia="en-ZA"/>
        </w:rPr>
        <w:t>audit</w:t>
      </w:r>
      <w:r w:rsidRPr="008B38AB">
        <w:rPr>
          <w:rFonts w:ascii="Arial" w:eastAsia="Arial" w:hAnsi="Arial" w:cs="Arial"/>
          <w:color w:val="000000"/>
          <w:spacing w:val="21"/>
          <w:szCs w:val="21"/>
          <w:lang w:val="en-ZA" w:eastAsia="en-ZA"/>
        </w:rPr>
        <w:t xml:space="preserve"> </w:t>
      </w:r>
      <w:r w:rsidRPr="008B38AB">
        <w:rPr>
          <w:rFonts w:ascii="Arial" w:eastAsia="Arial" w:hAnsi="Arial" w:cs="Arial"/>
          <w:color w:val="000000"/>
          <w:szCs w:val="21"/>
          <w:lang w:val="en-ZA" w:eastAsia="en-ZA"/>
        </w:rPr>
        <w:t>evidence</w:t>
      </w:r>
      <w:r w:rsidRPr="008B38AB">
        <w:rPr>
          <w:rFonts w:ascii="Arial" w:eastAsia="Arial" w:hAnsi="Arial" w:cs="Arial"/>
          <w:color w:val="000000"/>
          <w:spacing w:val="58"/>
          <w:szCs w:val="21"/>
          <w:lang w:val="en-ZA" w:eastAsia="en-ZA"/>
        </w:rPr>
        <w:t xml:space="preserve"> </w:t>
      </w:r>
      <w:r w:rsidRPr="008B38AB">
        <w:rPr>
          <w:rFonts w:ascii="Arial" w:eastAsia="Arial" w:hAnsi="Arial" w:cs="Arial"/>
          <w:color w:val="000000"/>
          <w:szCs w:val="21"/>
          <w:lang w:val="en-ZA" w:eastAsia="en-ZA"/>
        </w:rPr>
        <w:t>that</w:t>
      </w:r>
      <w:r w:rsidRPr="008B38AB">
        <w:rPr>
          <w:rFonts w:ascii="Arial" w:eastAsia="Arial" w:hAnsi="Arial" w:cs="Arial"/>
          <w:color w:val="000000"/>
          <w:spacing w:val="26"/>
          <w:szCs w:val="21"/>
          <w:lang w:val="en-ZA" w:eastAsia="en-ZA"/>
        </w:rPr>
        <w:t xml:space="preserve"> </w:t>
      </w:r>
      <w:r w:rsidRPr="008B38AB">
        <w:rPr>
          <w:rFonts w:ascii="Arial" w:eastAsia="Arial" w:hAnsi="Arial" w:cs="Arial"/>
          <w:color w:val="000000"/>
          <w:szCs w:val="21"/>
          <w:lang w:val="en-ZA" w:eastAsia="en-ZA"/>
        </w:rPr>
        <w:t>is</w:t>
      </w:r>
      <w:r w:rsidRPr="008B38AB">
        <w:rPr>
          <w:rFonts w:ascii="Arial" w:eastAsia="Arial" w:hAnsi="Arial" w:cs="Arial"/>
          <w:color w:val="000000"/>
          <w:spacing w:val="15"/>
          <w:szCs w:val="21"/>
          <w:lang w:val="en-ZA" w:eastAsia="en-ZA"/>
        </w:rPr>
        <w:t xml:space="preserve"> </w:t>
      </w:r>
      <w:r w:rsidRPr="008B38AB">
        <w:rPr>
          <w:rFonts w:ascii="Arial" w:eastAsia="Arial" w:hAnsi="Arial" w:cs="Arial"/>
          <w:color w:val="000000"/>
          <w:szCs w:val="21"/>
          <w:lang w:val="en-ZA" w:eastAsia="en-ZA"/>
        </w:rPr>
        <w:t>sufficient</w:t>
      </w:r>
      <w:r w:rsidRPr="008B38AB">
        <w:rPr>
          <w:rFonts w:ascii="Arial" w:eastAsia="Arial" w:hAnsi="Arial" w:cs="Arial"/>
          <w:color w:val="000000"/>
          <w:spacing w:val="37"/>
          <w:szCs w:val="21"/>
          <w:lang w:val="en-ZA" w:eastAsia="en-ZA"/>
        </w:rPr>
        <w:t xml:space="preserve"> </w:t>
      </w:r>
      <w:r w:rsidRPr="008B38AB">
        <w:rPr>
          <w:rFonts w:ascii="Arial" w:eastAsia="Arial" w:hAnsi="Arial" w:cs="Arial"/>
          <w:color w:val="000000"/>
          <w:szCs w:val="21"/>
          <w:lang w:val="en-ZA" w:eastAsia="en-ZA"/>
        </w:rPr>
        <w:t>and</w:t>
      </w:r>
      <w:r w:rsidRPr="008B38AB">
        <w:rPr>
          <w:rFonts w:ascii="Arial" w:eastAsia="Arial" w:hAnsi="Arial" w:cs="Arial"/>
          <w:color w:val="000000"/>
          <w:spacing w:val="7"/>
          <w:szCs w:val="21"/>
          <w:lang w:val="en-ZA" w:eastAsia="en-ZA"/>
        </w:rPr>
        <w:t xml:space="preserve"> </w:t>
      </w:r>
      <w:r w:rsidRPr="008B38AB">
        <w:rPr>
          <w:rFonts w:ascii="Arial" w:eastAsia="Arial" w:hAnsi="Arial" w:cs="Arial"/>
          <w:color w:val="000000"/>
          <w:szCs w:val="21"/>
          <w:lang w:val="en-ZA" w:eastAsia="en-ZA"/>
        </w:rPr>
        <w:t>appropriate</w:t>
      </w:r>
      <w:r w:rsidRPr="008B38AB">
        <w:rPr>
          <w:rFonts w:ascii="Arial" w:eastAsia="Arial" w:hAnsi="Arial" w:cs="Arial"/>
          <w:color w:val="000000"/>
          <w:spacing w:val="53"/>
          <w:szCs w:val="21"/>
          <w:lang w:val="en-ZA" w:eastAsia="en-ZA"/>
        </w:rPr>
        <w:t xml:space="preserve"> </w:t>
      </w:r>
      <w:r w:rsidRPr="008B38AB">
        <w:rPr>
          <w:rFonts w:ascii="Arial" w:eastAsia="Arial" w:hAnsi="Arial" w:cs="Arial"/>
          <w:color w:val="000000"/>
          <w:szCs w:val="21"/>
          <w:lang w:val="en-ZA" w:eastAsia="en-ZA"/>
        </w:rPr>
        <w:t>to</w:t>
      </w:r>
      <w:r w:rsidRPr="008B38AB">
        <w:rPr>
          <w:rFonts w:ascii="Arial" w:eastAsia="Arial" w:hAnsi="Arial" w:cs="Arial"/>
          <w:color w:val="000000"/>
          <w:spacing w:val="13"/>
          <w:szCs w:val="21"/>
          <w:lang w:val="en-ZA" w:eastAsia="en-ZA"/>
        </w:rPr>
        <w:t xml:space="preserve"> </w:t>
      </w:r>
      <w:r w:rsidRPr="008B38AB">
        <w:rPr>
          <w:rFonts w:ascii="Arial" w:eastAsia="Arial" w:hAnsi="Arial" w:cs="Arial"/>
          <w:color w:val="000000"/>
          <w:szCs w:val="21"/>
          <w:lang w:val="en-ZA" w:eastAsia="en-ZA"/>
        </w:rPr>
        <w:t>provide</w:t>
      </w:r>
      <w:r w:rsidRPr="008B38AB">
        <w:rPr>
          <w:rFonts w:ascii="Arial" w:eastAsia="Arial" w:hAnsi="Arial" w:cs="Arial"/>
          <w:color w:val="000000"/>
          <w:spacing w:val="36"/>
          <w:szCs w:val="21"/>
          <w:lang w:val="en-ZA" w:eastAsia="en-ZA"/>
        </w:rPr>
        <w:t xml:space="preserve"> </w:t>
      </w:r>
      <w:r w:rsidRPr="008B38AB">
        <w:rPr>
          <w:rFonts w:ascii="Arial" w:eastAsia="Arial" w:hAnsi="Arial" w:cs="Arial"/>
          <w:color w:val="000000"/>
          <w:w w:val="108"/>
          <w:szCs w:val="21"/>
          <w:lang w:val="en-ZA" w:eastAsia="en-ZA"/>
        </w:rPr>
        <w:t xml:space="preserve">a </w:t>
      </w:r>
      <w:r w:rsidRPr="008B38AB">
        <w:rPr>
          <w:rFonts w:ascii="Arial" w:eastAsia="Arial" w:hAnsi="Arial" w:cs="Arial"/>
          <w:color w:val="000000"/>
          <w:szCs w:val="21"/>
          <w:lang w:val="en-ZA" w:eastAsia="en-ZA"/>
        </w:rPr>
        <w:t>basis</w:t>
      </w:r>
      <w:r w:rsidRPr="008B38AB">
        <w:rPr>
          <w:rFonts w:ascii="Arial" w:eastAsia="Arial" w:hAnsi="Arial" w:cs="Arial"/>
          <w:color w:val="000000"/>
          <w:spacing w:val="27"/>
          <w:szCs w:val="21"/>
          <w:lang w:val="en-ZA" w:eastAsia="en-ZA"/>
        </w:rPr>
        <w:t xml:space="preserve"> </w:t>
      </w:r>
      <w:r w:rsidRPr="008B38AB">
        <w:rPr>
          <w:rFonts w:ascii="Arial" w:eastAsia="Arial" w:hAnsi="Arial" w:cs="Arial"/>
          <w:color w:val="000000"/>
          <w:szCs w:val="21"/>
          <w:lang w:val="en-ZA" w:eastAsia="en-ZA"/>
        </w:rPr>
        <w:t>for</w:t>
      </w:r>
      <w:r w:rsidRPr="008B38AB">
        <w:rPr>
          <w:rFonts w:ascii="Arial" w:eastAsia="Arial" w:hAnsi="Arial" w:cs="Arial"/>
          <w:color w:val="000000"/>
          <w:spacing w:val="25"/>
          <w:szCs w:val="21"/>
          <w:lang w:val="en-ZA" w:eastAsia="en-ZA"/>
        </w:rPr>
        <w:t xml:space="preserve"> </w:t>
      </w:r>
      <w:r w:rsidRPr="008B38AB">
        <w:rPr>
          <w:rFonts w:ascii="Arial" w:eastAsia="Arial" w:hAnsi="Arial" w:cs="Arial"/>
          <w:color w:val="000000"/>
          <w:szCs w:val="21"/>
          <w:lang w:val="en-ZA" w:eastAsia="en-ZA"/>
        </w:rPr>
        <w:t>my</w:t>
      </w:r>
      <w:r w:rsidRPr="008B38AB">
        <w:rPr>
          <w:rFonts w:ascii="Arial" w:eastAsia="Arial" w:hAnsi="Arial" w:cs="Arial"/>
          <w:color w:val="000000"/>
          <w:spacing w:val="14"/>
          <w:szCs w:val="21"/>
          <w:lang w:val="en-ZA" w:eastAsia="en-ZA"/>
        </w:rPr>
        <w:t xml:space="preserve"> </w:t>
      </w:r>
      <w:r w:rsidRPr="008B38AB">
        <w:rPr>
          <w:rFonts w:ascii="Arial" w:eastAsia="Arial" w:hAnsi="Arial" w:cs="Arial"/>
          <w:color w:val="000000"/>
          <w:szCs w:val="21"/>
          <w:lang w:val="en-ZA" w:eastAsia="en-ZA"/>
        </w:rPr>
        <w:t>opinion.</w:t>
      </w:r>
      <w:r w:rsidRPr="008B38AB">
        <w:rPr>
          <w:rFonts w:ascii="Arial" w:eastAsia="Arial" w:hAnsi="Arial" w:cs="Arial"/>
          <w:color w:val="000000"/>
          <w:spacing w:val="16"/>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15"/>
          <w:szCs w:val="21"/>
          <w:lang w:val="en-ZA" w:eastAsia="en-ZA"/>
        </w:rPr>
        <w:t xml:space="preserve"> </w:t>
      </w:r>
      <w:r w:rsidRPr="008B38AB">
        <w:rPr>
          <w:rFonts w:ascii="Arial" w:eastAsia="Arial" w:hAnsi="Arial" w:cs="Arial"/>
          <w:color w:val="000000"/>
          <w:szCs w:val="21"/>
          <w:lang w:val="en-ZA" w:eastAsia="en-ZA"/>
        </w:rPr>
        <w:t>risk</w:t>
      </w:r>
      <w:r w:rsidRPr="008B38AB">
        <w:rPr>
          <w:rFonts w:ascii="Arial" w:eastAsia="Arial" w:hAnsi="Arial" w:cs="Arial"/>
          <w:color w:val="000000"/>
          <w:spacing w:val="24"/>
          <w:szCs w:val="21"/>
          <w:lang w:val="en-ZA" w:eastAsia="en-ZA"/>
        </w:rPr>
        <w:t xml:space="preserve"> </w:t>
      </w:r>
      <w:r w:rsidRPr="008B38AB">
        <w:rPr>
          <w:rFonts w:ascii="Arial" w:eastAsia="Arial" w:hAnsi="Arial" w:cs="Arial"/>
          <w:color w:val="000000"/>
          <w:szCs w:val="21"/>
          <w:lang w:val="en-ZA" w:eastAsia="en-ZA"/>
        </w:rPr>
        <w:t>of</w:t>
      </w:r>
      <w:r w:rsidRPr="008B38AB">
        <w:rPr>
          <w:rFonts w:ascii="Arial" w:eastAsia="Arial" w:hAnsi="Arial" w:cs="Arial"/>
          <w:color w:val="000000"/>
          <w:spacing w:val="5"/>
          <w:szCs w:val="21"/>
          <w:lang w:val="en-ZA" w:eastAsia="en-ZA"/>
        </w:rPr>
        <w:t xml:space="preserve"> </w:t>
      </w:r>
      <w:r w:rsidRPr="008B38AB">
        <w:rPr>
          <w:rFonts w:ascii="Arial" w:eastAsia="Arial" w:hAnsi="Arial" w:cs="Arial"/>
          <w:color w:val="000000"/>
          <w:szCs w:val="21"/>
          <w:lang w:val="en-ZA" w:eastAsia="en-ZA"/>
        </w:rPr>
        <w:t>not</w:t>
      </w:r>
      <w:r w:rsidRPr="008B38AB">
        <w:rPr>
          <w:rFonts w:ascii="Arial" w:eastAsia="Arial" w:hAnsi="Arial" w:cs="Arial"/>
          <w:color w:val="000000"/>
          <w:spacing w:val="15"/>
          <w:szCs w:val="21"/>
          <w:lang w:val="en-ZA" w:eastAsia="en-ZA"/>
        </w:rPr>
        <w:t xml:space="preserve"> </w:t>
      </w:r>
      <w:r w:rsidRPr="008B38AB">
        <w:rPr>
          <w:rFonts w:ascii="Arial" w:eastAsia="Arial" w:hAnsi="Arial" w:cs="Arial"/>
          <w:color w:val="000000"/>
          <w:szCs w:val="21"/>
          <w:lang w:val="en-ZA" w:eastAsia="en-ZA"/>
        </w:rPr>
        <w:t>detecting</w:t>
      </w:r>
      <w:r w:rsidRPr="008B38AB">
        <w:rPr>
          <w:rFonts w:ascii="Arial" w:eastAsia="Arial" w:hAnsi="Arial" w:cs="Arial"/>
          <w:color w:val="000000"/>
          <w:spacing w:val="57"/>
          <w:szCs w:val="21"/>
          <w:lang w:val="en-ZA" w:eastAsia="en-ZA"/>
        </w:rPr>
        <w:t xml:space="preserve"> </w:t>
      </w:r>
      <w:r w:rsidRPr="008B38AB">
        <w:rPr>
          <w:rFonts w:ascii="Arial" w:eastAsia="Arial" w:hAnsi="Arial" w:cs="Arial"/>
          <w:color w:val="000000"/>
          <w:szCs w:val="21"/>
          <w:lang w:val="en-ZA" w:eastAsia="en-ZA"/>
        </w:rPr>
        <w:t>a</w:t>
      </w:r>
      <w:r w:rsidRPr="008B38AB">
        <w:rPr>
          <w:rFonts w:ascii="Arial" w:eastAsia="Arial" w:hAnsi="Arial" w:cs="Arial"/>
          <w:color w:val="000000"/>
          <w:spacing w:val="5"/>
          <w:szCs w:val="21"/>
          <w:lang w:val="en-ZA" w:eastAsia="en-ZA"/>
        </w:rPr>
        <w:t xml:space="preserve"> </w:t>
      </w:r>
      <w:r w:rsidRPr="008B38AB">
        <w:rPr>
          <w:rFonts w:ascii="Arial" w:eastAsia="Arial" w:hAnsi="Arial" w:cs="Arial"/>
          <w:color w:val="000000"/>
          <w:szCs w:val="21"/>
          <w:lang w:val="en-ZA" w:eastAsia="en-ZA"/>
        </w:rPr>
        <w:t>material</w:t>
      </w:r>
      <w:r w:rsidRPr="008B38AB">
        <w:rPr>
          <w:rFonts w:ascii="Arial" w:eastAsia="Arial" w:hAnsi="Arial" w:cs="Arial"/>
          <w:color w:val="000000"/>
          <w:spacing w:val="17"/>
          <w:szCs w:val="21"/>
          <w:lang w:val="en-ZA" w:eastAsia="en-ZA"/>
        </w:rPr>
        <w:t xml:space="preserve"> </w:t>
      </w:r>
      <w:r w:rsidRPr="008B38AB">
        <w:rPr>
          <w:rFonts w:ascii="Arial" w:eastAsia="Arial" w:hAnsi="Arial" w:cs="Arial"/>
          <w:color w:val="000000"/>
          <w:szCs w:val="21"/>
          <w:lang w:val="en-ZA" w:eastAsia="en-ZA"/>
        </w:rPr>
        <w:t xml:space="preserve">misstatement </w:t>
      </w:r>
      <w:r w:rsidRPr="008B38AB">
        <w:rPr>
          <w:rFonts w:ascii="Arial" w:eastAsia="Arial" w:hAnsi="Arial" w:cs="Arial"/>
          <w:color w:val="000000"/>
          <w:spacing w:val="1"/>
          <w:szCs w:val="21"/>
          <w:lang w:val="en-ZA" w:eastAsia="en-ZA"/>
        </w:rPr>
        <w:t>resulting</w:t>
      </w:r>
    </w:p>
    <w:p w14:paraId="7F35E3F8" w14:textId="77777777" w:rsidR="00BB5C77" w:rsidRPr="008B38AB" w:rsidRDefault="00BB5C77" w:rsidP="00BB5C77">
      <w:pPr>
        <w:spacing w:after="0" w:line="250" w:lineRule="auto"/>
        <w:ind w:left="972" w:right="77"/>
        <w:jc w:val="both"/>
        <w:rPr>
          <w:rFonts w:ascii="Arial" w:eastAsia="Arial" w:hAnsi="Arial" w:cs="Arial"/>
          <w:szCs w:val="21"/>
          <w:lang w:val="en-ZA" w:eastAsia="en-ZA"/>
        </w:rPr>
      </w:pPr>
      <w:r w:rsidRPr="008B38AB">
        <w:rPr>
          <w:rFonts w:ascii="Arial" w:eastAsia="Arial" w:hAnsi="Arial" w:cs="Arial"/>
          <w:szCs w:val="21"/>
          <w:lang w:val="en-ZA" w:eastAsia="en-ZA"/>
        </w:rPr>
        <w:t>from</w:t>
      </w:r>
      <w:r w:rsidRPr="008B38AB">
        <w:rPr>
          <w:rFonts w:ascii="Arial" w:eastAsia="Arial" w:hAnsi="Arial" w:cs="Arial"/>
          <w:spacing w:val="23"/>
          <w:szCs w:val="21"/>
          <w:lang w:val="en-ZA" w:eastAsia="en-ZA"/>
        </w:rPr>
        <w:t xml:space="preserve"> </w:t>
      </w:r>
      <w:r w:rsidRPr="008B38AB">
        <w:rPr>
          <w:rFonts w:ascii="Arial" w:eastAsia="Arial" w:hAnsi="Arial" w:cs="Arial"/>
          <w:szCs w:val="21"/>
          <w:lang w:val="en-ZA" w:eastAsia="en-ZA"/>
        </w:rPr>
        <w:t>fraud</w:t>
      </w:r>
      <w:r w:rsidRPr="008B38AB">
        <w:rPr>
          <w:rFonts w:ascii="Arial" w:eastAsia="Arial" w:hAnsi="Arial" w:cs="Arial"/>
          <w:spacing w:val="33"/>
          <w:szCs w:val="21"/>
          <w:lang w:val="en-ZA" w:eastAsia="en-ZA"/>
        </w:rPr>
        <w:t xml:space="preserve"> </w:t>
      </w:r>
      <w:r w:rsidRPr="008B38AB">
        <w:rPr>
          <w:rFonts w:ascii="Arial" w:eastAsia="Arial" w:hAnsi="Arial" w:cs="Arial"/>
          <w:szCs w:val="21"/>
          <w:lang w:val="en-ZA" w:eastAsia="en-ZA"/>
        </w:rPr>
        <w:t>is</w:t>
      </w:r>
      <w:r w:rsidRPr="008B38AB">
        <w:rPr>
          <w:rFonts w:ascii="Arial" w:eastAsia="Arial" w:hAnsi="Arial" w:cs="Arial"/>
          <w:spacing w:val="4"/>
          <w:szCs w:val="21"/>
          <w:lang w:val="en-ZA" w:eastAsia="en-ZA"/>
        </w:rPr>
        <w:t xml:space="preserve"> </w:t>
      </w:r>
      <w:r w:rsidRPr="008B38AB">
        <w:rPr>
          <w:rFonts w:ascii="Arial" w:eastAsia="Arial" w:hAnsi="Arial" w:cs="Arial"/>
          <w:szCs w:val="21"/>
          <w:lang w:val="en-ZA" w:eastAsia="en-ZA"/>
        </w:rPr>
        <w:t>higher</w:t>
      </w:r>
      <w:r w:rsidRPr="008B38AB">
        <w:rPr>
          <w:rFonts w:ascii="Arial" w:eastAsia="Arial" w:hAnsi="Arial" w:cs="Arial"/>
          <w:spacing w:val="32"/>
          <w:szCs w:val="21"/>
          <w:lang w:val="en-ZA" w:eastAsia="en-ZA"/>
        </w:rPr>
        <w:t xml:space="preserve"> </w:t>
      </w:r>
      <w:r w:rsidRPr="008B38AB">
        <w:rPr>
          <w:rFonts w:ascii="Arial" w:eastAsia="Arial" w:hAnsi="Arial" w:cs="Arial"/>
          <w:szCs w:val="21"/>
          <w:lang w:val="en-ZA" w:eastAsia="en-ZA"/>
        </w:rPr>
        <w:t>than</w:t>
      </w:r>
      <w:r w:rsidRPr="008B38AB">
        <w:rPr>
          <w:rFonts w:ascii="Arial" w:eastAsia="Arial" w:hAnsi="Arial" w:cs="Arial"/>
          <w:spacing w:val="18"/>
          <w:szCs w:val="21"/>
          <w:lang w:val="en-ZA" w:eastAsia="en-ZA"/>
        </w:rPr>
        <w:t xml:space="preserve"> </w:t>
      </w:r>
      <w:r w:rsidRPr="008B38AB">
        <w:rPr>
          <w:rFonts w:ascii="Arial" w:eastAsia="Arial" w:hAnsi="Arial" w:cs="Arial"/>
          <w:szCs w:val="21"/>
          <w:lang w:val="en-ZA" w:eastAsia="en-ZA"/>
        </w:rPr>
        <w:t>for</w:t>
      </w:r>
      <w:r w:rsidRPr="008B38AB">
        <w:rPr>
          <w:rFonts w:ascii="Arial" w:eastAsia="Arial" w:hAnsi="Arial" w:cs="Arial"/>
          <w:spacing w:val="20"/>
          <w:szCs w:val="21"/>
          <w:lang w:val="en-ZA" w:eastAsia="en-ZA"/>
        </w:rPr>
        <w:t xml:space="preserve"> </w:t>
      </w:r>
      <w:r w:rsidRPr="008B38AB">
        <w:rPr>
          <w:rFonts w:ascii="Arial" w:eastAsia="Arial" w:hAnsi="Arial" w:cs="Arial"/>
          <w:szCs w:val="21"/>
          <w:lang w:val="en-ZA" w:eastAsia="en-ZA"/>
        </w:rPr>
        <w:t>one</w:t>
      </w:r>
      <w:r w:rsidRPr="008B38AB">
        <w:rPr>
          <w:rFonts w:ascii="Arial" w:eastAsia="Arial" w:hAnsi="Arial" w:cs="Arial"/>
          <w:spacing w:val="15"/>
          <w:szCs w:val="21"/>
          <w:lang w:val="en-ZA" w:eastAsia="en-ZA"/>
        </w:rPr>
        <w:t xml:space="preserve"> </w:t>
      </w:r>
      <w:r w:rsidRPr="008B38AB">
        <w:rPr>
          <w:rFonts w:ascii="Arial" w:eastAsia="Arial" w:hAnsi="Arial" w:cs="Arial"/>
          <w:szCs w:val="21"/>
          <w:lang w:val="en-ZA" w:eastAsia="en-ZA"/>
        </w:rPr>
        <w:t>resulting</w:t>
      </w:r>
      <w:r w:rsidRPr="008B38AB">
        <w:rPr>
          <w:rFonts w:ascii="Arial" w:eastAsia="Arial" w:hAnsi="Arial" w:cs="Arial"/>
          <w:spacing w:val="42"/>
          <w:szCs w:val="21"/>
          <w:lang w:val="en-ZA" w:eastAsia="en-ZA"/>
        </w:rPr>
        <w:t xml:space="preserve"> </w:t>
      </w:r>
      <w:r w:rsidRPr="008B38AB">
        <w:rPr>
          <w:rFonts w:ascii="Arial" w:eastAsia="Arial" w:hAnsi="Arial" w:cs="Arial"/>
          <w:szCs w:val="21"/>
          <w:lang w:val="en-ZA" w:eastAsia="en-ZA"/>
        </w:rPr>
        <w:t>from</w:t>
      </w:r>
      <w:r w:rsidRPr="008B38AB">
        <w:rPr>
          <w:rFonts w:ascii="Arial" w:eastAsia="Arial" w:hAnsi="Arial" w:cs="Arial"/>
          <w:spacing w:val="32"/>
          <w:szCs w:val="21"/>
          <w:lang w:val="en-ZA" w:eastAsia="en-ZA"/>
        </w:rPr>
        <w:t xml:space="preserve"> </w:t>
      </w:r>
      <w:r w:rsidRPr="008B38AB">
        <w:rPr>
          <w:rFonts w:ascii="Arial" w:eastAsia="Arial" w:hAnsi="Arial" w:cs="Arial"/>
          <w:szCs w:val="21"/>
          <w:lang w:val="en-ZA" w:eastAsia="en-ZA"/>
        </w:rPr>
        <w:t>error,</w:t>
      </w:r>
      <w:r w:rsidRPr="008B38AB">
        <w:rPr>
          <w:rFonts w:ascii="Arial" w:eastAsia="Arial" w:hAnsi="Arial" w:cs="Arial"/>
          <w:spacing w:val="7"/>
          <w:szCs w:val="21"/>
          <w:lang w:val="en-ZA" w:eastAsia="en-ZA"/>
        </w:rPr>
        <w:t xml:space="preserve"> </w:t>
      </w:r>
      <w:r w:rsidRPr="008B38AB">
        <w:rPr>
          <w:rFonts w:ascii="Arial" w:eastAsia="Arial" w:hAnsi="Arial" w:cs="Arial"/>
          <w:szCs w:val="21"/>
          <w:lang w:val="en-ZA" w:eastAsia="en-ZA"/>
        </w:rPr>
        <w:t>as</w:t>
      </w:r>
      <w:r w:rsidRPr="008B38AB">
        <w:rPr>
          <w:rFonts w:ascii="Arial" w:eastAsia="Arial" w:hAnsi="Arial" w:cs="Arial"/>
          <w:spacing w:val="14"/>
          <w:szCs w:val="21"/>
          <w:lang w:val="en-ZA" w:eastAsia="en-ZA"/>
        </w:rPr>
        <w:t xml:space="preserve"> </w:t>
      </w:r>
      <w:r w:rsidRPr="008B38AB">
        <w:rPr>
          <w:rFonts w:ascii="Arial" w:eastAsia="Arial" w:hAnsi="Arial" w:cs="Arial"/>
          <w:szCs w:val="21"/>
          <w:lang w:val="en-ZA" w:eastAsia="en-ZA"/>
        </w:rPr>
        <w:t>fraud</w:t>
      </w:r>
      <w:r w:rsidRPr="008B38AB">
        <w:rPr>
          <w:rFonts w:ascii="Arial" w:eastAsia="Arial" w:hAnsi="Arial" w:cs="Arial"/>
          <w:spacing w:val="24"/>
          <w:szCs w:val="21"/>
          <w:lang w:val="en-ZA" w:eastAsia="en-ZA"/>
        </w:rPr>
        <w:t xml:space="preserve"> </w:t>
      </w:r>
      <w:r w:rsidRPr="008B38AB">
        <w:rPr>
          <w:rFonts w:ascii="Arial" w:eastAsia="Arial" w:hAnsi="Arial" w:cs="Arial"/>
          <w:szCs w:val="21"/>
          <w:lang w:val="en-ZA" w:eastAsia="en-ZA"/>
        </w:rPr>
        <w:t>may</w:t>
      </w:r>
      <w:r w:rsidRPr="008B38AB">
        <w:rPr>
          <w:rFonts w:ascii="Arial" w:eastAsia="Arial" w:hAnsi="Arial" w:cs="Arial"/>
          <w:spacing w:val="22"/>
          <w:szCs w:val="21"/>
          <w:lang w:val="en-ZA" w:eastAsia="en-ZA"/>
        </w:rPr>
        <w:t xml:space="preserve"> </w:t>
      </w:r>
      <w:r w:rsidRPr="008B38AB">
        <w:rPr>
          <w:rFonts w:ascii="Arial" w:eastAsia="Arial" w:hAnsi="Arial" w:cs="Arial"/>
          <w:szCs w:val="21"/>
          <w:lang w:val="en-ZA" w:eastAsia="en-ZA"/>
        </w:rPr>
        <w:t>involve</w:t>
      </w:r>
      <w:r w:rsidRPr="008B38AB">
        <w:rPr>
          <w:rFonts w:ascii="Arial" w:eastAsia="Arial" w:hAnsi="Arial" w:cs="Arial"/>
          <w:spacing w:val="40"/>
          <w:szCs w:val="21"/>
          <w:lang w:val="en-ZA" w:eastAsia="en-ZA"/>
        </w:rPr>
        <w:t xml:space="preserve"> </w:t>
      </w:r>
      <w:r w:rsidRPr="008B38AB">
        <w:rPr>
          <w:rFonts w:ascii="Arial" w:eastAsia="Arial" w:hAnsi="Arial" w:cs="Arial"/>
          <w:w w:val="105"/>
          <w:szCs w:val="21"/>
          <w:lang w:val="en-ZA" w:eastAsia="en-ZA"/>
        </w:rPr>
        <w:t xml:space="preserve">collusion, </w:t>
      </w:r>
      <w:r w:rsidRPr="008B38AB">
        <w:rPr>
          <w:rFonts w:ascii="Arial" w:eastAsia="Arial" w:hAnsi="Arial" w:cs="Arial"/>
          <w:szCs w:val="21"/>
          <w:lang w:val="en-ZA" w:eastAsia="en-ZA"/>
        </w:rPr>
        <w:t>forgery,</w:t>
      </w:r>
      <w:r w:rsidRPr="008B38AB">
        <w:rPr>
          <w:rFonts w:ascii="Arial" w:eastAsia="Arial" w:hAnsi="Arial" w:cs="Arial"/>
          <w:spacing w:val="24"/>
          <w:szCs w:val="21"/>
          <w:lang w:val="en-ZA" w:eastAsia="en-ZA"/>
        </w:rPr>
        <w:t xml:space="preserve"> </w:t>
      </w:r>
      <w:r w:rsidRPr="008B38AB">
        <w:rPr>
          <w:rFonts w:ascii="Arial" w:eastAsia="Arial" w:hAnsi="Arial" w:cs="Arial"/>
          <w:szCs w:val="21"/>
          <w:lang w:val="en-ZA" w:eastAsia="en-ZA"/>
        </w:rPr>
        <w:t>intentional</w:t>
      </w:r>
      <w:r w:rsidRPr="008B38AB">
        <w:rPr>
          <w:rFonts w:ascii="Arial" w:eastAsia="Arial" w:hAnsi="Arial" w:cs="Arial"/>
          <w:spacing w:val="20"/>
          <w:szCs w:val="21"/>
          <w:lang w:val="en-ZA" w:eastAsia="en-ZA"/>
        </w:rPr>
        <w:t xml:space="preserve"> </w:t>
      </w:r>
      <w:r w:rsidRPr="008B38AB">
        <w:rPr>
          <w:rFonts w:ascii="Arial" w:eastAsia="Arial" w:hAnsi="Arial" w:cs="Arial"/>
          <w:szCs w:val="21"/>
          <w:lang w:val="en-ZA" w:eastAsia="en-ZA"/>
        </w:rPr>
        <w:t>omissions,</w:t>
      </w:r>
      <w:r w:rsidRPr="008B38AB">
        <w:rPr>
          <w:rFonts w:ascii="Arial" w:eastAsia="Arial" w:hAnsi="Arial" w:cs="Arial"/>
          <w:spacing w:val="15"/>
          <w:szCs w:val="21"/>
          <w:lang w:val="en-ZA" w:eastAsia="en-ZA"/>
        </w:rPr>
        <w:t xml:space="preserve"> </w:t>
      </w:r>
      <w:r w:rsidRPr="008B38AB">
        <w:rPr>
          <w:rFonts w:ascii="Arial" w:eastAsia="Arial" w:hAnsi="Arial" w:cs="Arial"/>
          <w:w w:val="106"/>
          <w:szCs w:val="21"/>
          <w:lang w:val="en-ZA" w:eastAsia="en-ZA"/>
        </w:rPr>
        <w:t>misrepresentations,</w:t>
      </w:r>
      <w:r w:rsidRPr="008B38AB">
        <w:rPr>
          <w:rFonts w:ascii="Arial" w:eastAsia="Arial" w:hAnsi="Arial" w:cs="Arial"/>
          <w:spacing w:val="-27"/>
          <w:szCs w:val="21"/>
          <w:lang w:val="en-ZA" w:eastAsia="en-ZA"/>
        </w:rPr>
        <w:t xml:space="preserve"> </w:t>
      </w:r>
      <w:r w:rsidRPr="008B38AB">
        <w:rPr>
          <w:rFonts w:ascii="Arial" w:eastAsia="Arial" w:hAnsi="Arial" w:cs="Arial"/>
          <w:szCs w:val="21"/>
          <w:lang w:val="en-ZA" w:eastAsia="en-ZA"/>
        </w:rPr>
        <w:t>or</w:t>
      </w:r>
      <w:r w:rsidRPr="008B38AB">
        <w:rPr>
          <w:rFonts w:ascii="Arial" w:eastAsia="Arial" w:hAnsi="Arial" w:cs="Arial"/>
          <w:spacing w:val="15"/>
          <w:szCs w:val="21"/>
          <w:lang w:val="en-ZA" w:eastAsia="en-ZA"/>
        </w:rPr>
        <w:t xml:space="preserve"> </w:t>
      </w:r>
      <w:r w:rsidRPr="008B38AB">
        <w:rPr>
          <w:rFonts w:ascii="Arial" w:eastAsia="Arial" w:hAnsi="Arial" w:cs="Arial"/>
          <w:szCs w:val="21"/>
          <w:lang w:val="en-ZA" w:eastAsia="en-ZA"/>
        </w:rPr>
        <w:t>the</w:t>
      </w:r>
      <w:r w:rsidRPr="008B38AB">
        <w:rPr>
          <w:rFonts w:ascii="Arial" w:eastAsia="Arial" w:hAnsi="Arial" w:cs="Arial"/>
          <w:spacing w:val="3"/>
          <w:szCs w:val="21"/>
          <w:lang w:val="en-ZA" w:eastAsia="en-ZA"/>
        </w:rPr>
        <w:t xml:space="preserve"> </w:t>
      </w:r>
      <w:r w:rsidRPr="008B38AB">
        <w:rPr>
          <w:rFonts w:ascii="Arial" w:eastAsia="Arial" w:hAnsi="Arial" w:cs="Arial"/>
          <w:szCs w:val="21"/>
          <w:lang w:val="en-ZA" w:eastAsia="en-ZA"/>
        </w:rPr>
        <w:t>override</w:t>
      </w:r>
      <w:r w:rsidRPr="008B38AB">
        <w:rPr>
          <w:rFonts w:ascii="Arial" w:eastAsia="Arial" w:hAnsi="Arial" w:cs="Arial"/>
          <w:spacing w:val="35"/>
          <w:szCs w:val="21"/>
          <w:lang w:val="en-ZA" w:eastAsia="en-ZA"/>
        </w:rPr>
        <w:t xml:space="preserve"> </w:t>
      </w:r>
      <w:r w:rsidRPr="008B38AB">
        <w:rPr>
          <w:rFonts w:ascii="Arial" w:eastAsia="Arial" w:hAnsi="Arial" w:cs="Arial"/>
          <w:szCs w:val="21"/>
          <w:lang w:val="en-ZA" w:eastAsia="en-ZA"/>
        </w:rPr>
        <w:t>of</w:t>
      </w:r>
      <w:r w:rsidRPr="008B38AB">
        <w:rPr>
          <w:rFonts w:ascii="Arial" w:eastAsia="Arial" w:hAnsi="Arial" w:cs="Arial"/>
          <w:spacing w:val="19"/>
          <w:szCs w:val="21"/>
          <w:lang w:val="en-ZA" w:eastAsia="en-ZA"/>
        </w:rPr>
        <w:t xml:space="preserve"> </w:t>
      </w:r>
      <w:r w:rsidRPr="008B38AB">
        <w:rPr>
          <w:rFonts w:ascii="Arial" w:eastAsia="Arial" w:hAnsi="Arial" w:cs="Arial"/>
          <w:szCs w:val="21"/>
          <w:lang w:val="en-ZA" w:eastAsia="en-ZA"/>
        </w:rPr>
        <w:t>internal</w:t>
      </w:r>
      <w:r w:rsidRPr="008B38AB">
        <w:rPr>
          <w:rFonts w:ascii="Arial" w:eastAsia="Arial" w:hAnsi="Arial" w:cs="Arial"/>
          <w:spacing w:val="20"/>
          <w:szCs w:val="21"/>
          <w:lang w:val="en-ZA" w:eastAsia="en-ZA"/>
        </w:rPr>
        <w:t xml:space="preserve"> </w:t>
      </w:r>
      <w:r w:rsidRPr="008B38AB">
        <w:rPr>
          <w:rFonts w:ascii="Arial" w:eastAsia="Arial" w:hAnsi="Arial" w:cs="Arial"/>
          <w:w w:val="106"/>
          <w:szCs w:val="21"/>
          <w:lang w:val="en-ZA" w:eastAsia="en-ZA"/>
        </w:rPr>
        <w:t>control</w:t>
      </w:r>
    </w:p>
    <w:p w14:paraId="51778C51" w14:textId="77777777" w:rsidR="00BB5C77" w:rsidRPr="008B38AB" w:rsidRDefault="00BB5C77" w:rsidP="00BB5C77">
      <w:pPr>
        <w:spacing w:before="12" w:after="0" w:line="240" w:lineRule="exact"/>
        <w:jc w:val="both"/>
        <w:rPr>
          <w:rFonts w:eastAsia="Times New Roman" w:cs="Times New Roman"/>
          <w:sz w:val="22"/>
          <w:szCs w:val="24"/>
          <w:lang w:val="en-ZA" w:eastAsia="en-ZA"/>
        </w:rPr>
      </w:pPr>
    </w:p>
    <w:p w14:paraId="724ED691" w14:textId="77777777" w:rsidR="00BB5C77" w:rsidRPr="008B38AB" w:rsidRDefault="00BB5C77" w:rsidP="00BB5C77">
      <w:pPr>
        <w:tabs>
          <w:tab w:val="left" w:pos="980"/>
        </w:tabs>
        <w:spacing w:after="0" w:line="250" w:lineRule="auto"/>
        <w:ind w:left="972" w:right="228" w:hanging="418"/>
        <w:jc w:val="both"/>
        <w:rPr>
          <w:rFonts w:ascii="Arial" w:eastAsia="Arial" w:hAnsi="Arial" w:cs="Arial"/>
          <w:szCs w:val="21"/>
          <w:lang w:val="en-ZA" w:eastAsia="en-ZA"/>
        </w:rPr>
      </w:pPr>
      <w:r w:rsidRPr="008B38AB">
        <w:rPr>
          <w:rFonts w:ascii="Arial" w:eastAsia="Arial" w:hAnsi="Arial" w:cs="Arial"/>
          <w:color w:val="383838"/>
          <w:w w:val="180"/>
          <w:szCs w:val="21"/>
          <w:lang w:val="en-ZA" w:eastAsia="en-ZA"/>
        </w:rPr>
        <w:t>•</w:t>
      </w:r>
      <w:r w:rsidRPr="008B38AB">
        <w:rPr>
          <w:rFonts w:ascii="Arial" w:eastAsia="Arial" w:hAnsi="Arial" w:cs="Arial"/>
          <w:color w:val="383838"/>
          <w:szCs w:val="21"/>
          <w:lang w:val="en-ZA" w:eastAsia="en-ZA"/>
        </w:rPr>
        <w:tab/>
      </w:r>
      <w:r w:rsidRPr="008B38AB">
        <w:rPr>
          <w:rFonts w:ascii="Arial" w:eastAsia="Arial" w:hAnsi="Arial" w:cs="Arial"/>
          <w:color w:val="383838"/>
          <w:szCs w:val="21"/>
          <w:lang w:val="en-ZA" w:eastAsia="en-ZA"/>
        </w:rPr>
        <w:tab/>
      </w:r>
      <w:r w:rsidRPr="008B38AB">
        <w:rPr>
          <w:rFonts w:ascii="Arial" w:eastAsia="Arial" w:hAnsi="Arial" w:cs="Arial"/>
          <w:color w:val="000000"/>
          <w:szCs w:val="21"/>
          <w:lang w:val="en-ZA" w:eastAsia="en-ZA"/>
        </w:rPr>
        <w:t>obtain</w:t>
      </w:r>
      <w:r w:rsidRPr="008B38AB">
        <w:rPr>
          <w:rFonts w:ascii="Arial" w:eastAsia="Arial" w:hAnsi="Arial" w:cs="Arial"/>
          <w:color w:val="000000"/>
          <w:spacing w:val="23"/>
          <w:szCs w:val="21"/>
          <w:lang w:val="en-ZA" w:eastAsia="en-ZA"/>
        </w:rPr>
        <w:t xml:space="preserve"> </w:t>
      </w:r>
      <w:r w:rsidRPr="008B38AB">
        <w:rPr>
          <w:rFonts w:ascii="Arial" w:eastAsia="Arial" w:hAnsi="Arial" w:cs="Arial"/>
          <w:color w:val="000000"/>
          <w:szCs w:val="21"/>
          <w:lang w:val="en-ZA" w:eastAsia="en-ZA"/>
        </w:rPr>
        <w:t>an</w:t>
      </w:r>
      <w:r w:rsidRPr="008B38AB">
        <w:rPr>
          <w:rFonts w:ascii="Arial" w:eastAsia="Arial" w:hAnsi="Arial" w:cs="Arial"/>
          <w:color w:val="000000"/>
          <w:spacing w:val="17"/>
          <w:szCs w:val="21"/>
          <w:lang w:val="en-ZA" w:eastAsia="en-ZA"/>
        </w:rPr>
        <w:t xml:space="preserve"> </w:t>
      </w:r>
      <w:r w:rsidRPr="008B38AB">
        <w:rPr>
          <w:rFonts w:ascii="Arial" w:eastAsia="Arial" w:hAnsi="Arial" w:cs="Arial"/>
          <w:color w:val="000000"/>
          <w:szCs w:val="21"/>
          <w:lang w:val="en-ZA" w:eastAsia="en-ZA"/>
        </w:rPr>
        <w:t xml:space="preserve">understanding </w:t>
      </w:r>
      <w:r w:rsidRPr="008B38AB">
        <w:rPr>
          <w:rFonts w:ascii="Arial" w:eastAsia="Arial" w:hAnsi="Arial" w:cs="Arial"/>
          <w:color w:val="000000"/>
          <w:spacing w:val="6"/>
          <w:szCs w:val="21"/>
          <w:lang w:val="en-ZA" w:eastAsia="en-ZA"/>
        </w:rPr>
        <w:t>of</w:t>
      </w:r>
      <w:r w:rsidRPr="008B38AB">
        <w:rPr>
          <w:rFonts w:ascii="Arial" w:eastAsia="Arial" w:hAnsi="Arial" w:cs="Arial"/>
          <w:color w:val="000000"/>
          <w:spacing w:val="5"/>
          <w:szCs w:val="21"/>
          <w:lang w:val="en-ZA" w:eastAsia="en-ZA"/>
        </w:rPr>
        <w:t xml:space="preserve"> </w:t>
      </w:r>
      <w:r w:rsidRPr="008B38AB">
        <w:rPr>
          <w:rFonts w:ascii="Arial" w:eastAsia="Arial" w:hAnsi="Arial" w:cs="Arial"/>
          <w:color w:val="000000"/>
          <w:szCs w:val="21"/>
          <w:lang w:val="en-ZA" w:eastAsia="en-ZA"/>
        </w:rPr>
        <w:t>internal</w:t>
      </w:r>
      <w:r w:rsidRPr="008B38AB">
        <w:rPr>
          <w:rFonts w:ascii="Arial" w:eastAsia="Arial" w:hAnsi="Arial" w:cs="Arial"/>
          <w:color w:val="000000"/>
          <w:spacing w:val="17"/>
          <w:szCs w:val="21"/>
          <w:lang w:val="en-ZA" w:eastAsia="en-ZA"/>
        </w:rPr>
        <w:t xml:space="preserve"> </w:t>
      </w:r>
      <w:r w:rsidRPr="008B38AB">
        <w:rPr>
          <w:rFonts w:ascii="Arial" w:eastAsia="Arial" w:hAnsi="Arial" w:cs="Arial"/>
          <w:color w:val="000000"/>
          <w:szCs w:val="21"/>
          <w:lang w:val="en-ZA" w:eastAsia="en-ZA"/>
        </w:rPr>
        <w:t>control</w:t>
      </w:r>
      <w:r w:rsidRPr="008B38AB">
        <w:rPr>
          <w:rFonts w:ascii="Arial" w:eastAsia="Arial" w:hAnsi="Arial" w:cs="Arial"/>
          <w:color w:val="000000"/>
          <w:spacing w:val="35"/>
          <w:szCs w:val="21"/>
          <w:lang w:val="en-ZA" w:eastAsia="en-ZA"/>
        </w:rPr>
        <w:t xml:space="preserve"> </w:t>
      </w:r>
      <w:r w:rsidRPr="008B38AB">
        <w:rPr>
          <w:rFonts w:ascii="Arial" w:eastAsia="Arial" w:hAnsi="Arial" w:cs="Arial"/>
          <w:color w:val="000000"/>
          <w:szCs w:val="21"/>
          <w:lang w:val="en-ZA" w:eastAsia="en-ZA"/>
        </w:rPr>
        <w:t>relevant</w:t>
      </w:r>
      <w:r w:rsidRPr="008B38AB">
        <w:rPr>
          <w:rFonts w:ascii="Arial" w:eastAsia="Arial" w:hAnsi="Arial" w:cs="Arial"/>
          <w:color w:val="000000"/>
          <w:spacing w:val="37"/>
          <w:szCs w:val="21"/>
          <w:lang w:val="en-ZA" w:eastAsia="en-ZA"/>
        </w:rPr>
        <w:t xml:space="preserve"> </w:t>
      </w:r>
      <w:r w:rsidRPr="008B38AB">
        <w:rPr>
          <w:rFonts w:ascii="Arial" w:eastAsia="Arial" w:hAnsi="Arial" w:cs="Arial"/>
          <w:color w:val="000000"/>
          <w:szCs w:val="21"/>
          <w:lang w:val="en-ZA" w:eastAsia="en-ZA"/>
        </w:rPr>
        <w:t>to</w:t>
      </w:r>
      <w:r w:rsidRPr="008B38AB">
        <w:rPr>
          <w:rFonts w:ascii="Arial" w:eastAsia="Arial" w:hAnsi="Arial" w:cs="Arial"/>
          <w:color w:val="000000"/>
          <w:spacing w:val="9"/>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5"/>
          <w:szCs w:val="21"/>
          <w:lang w:val="en-ZA" w:eastAsia="en-ZA"/>
        </w:rPr>
        <w:t xml:space="preserve"> </w:t>
      </w:r>
      <w:r w:rsidRPr="008B38AB">
        <w:rPr>
          <w:rFonts w:ascii="Arial" w:eastAsia="Arial" w:hAnsi="Arial" w:cs="Arial"/>
          <w:color w:val="000000"/>
          <w:szCs w:val="21"/>
          <w:lang w:val="en-ZA" w:eastAsia="en-ZA"/>
        </w:rPr>
        <w:t>audit</w:t>
      </w:r>
      <w:r w:rsidRPr="008B38AB">
        <w:rPr>
          <w:rFonts w:ascii="Arial" w:eastAsia="Arial" w:hAnsi="Arial" w:cs="Arial"/>
          <w:color w:val="000000"/>
          <w:spacing w:val="26"/>
          <w:szCs w:val="21"/>
          <w:lang w:val="en-ZA" w:eastAsia="en-ZA"/>
        </w:rPr>
        <w:t xml:space="preserve"> </w:t>
      </w:r>
      <w:r w:rsidRPr="008B38AB">
        <w:rPr>
          <w:rFonts w:ascii="Arial" w:eastAsia="Arial" w:hAnsi="Arial" w:cs="Arial"/>
          <w:color w:val="000000"/>
          <w:szCs w:val="21"/>
          <w:lang w:val="en-ZA" w:eastAsia="en-ZA"/>
        </w:rPr>
        <w:t>in</w:t>
      </w:r>
      <w:r w:rsidRPr="008B38AB">
        <w:rPr>
          <w:rFonts w:ascii="Arial" w:eastAsia="Arial" w:hAnsi="Arial" w:cs="Arial"/>
          <w:color w:val="000000"/>
          <w:spacing w:val="13"/>
          <w:szCs w:val="21"/>
          <w:lang w:val="en-ZA" w:eastAsia="en-ZA"/>
        </w:rPr>
        <w:t xml:space="preserve"> </w:t>
      </w:r>
      <w:r w:rsidRPr="008B38AB">
        <w:rPr>
          <w:rFonts w:ascii="Arial" w:eastAsia="Arial" w:hAnsi="Arial" w:cs="Arial"/>
          <w:color w:val="000000"/>
          <w:szCs w:val="21"/>
          <w:lang w:val="en-ZA" w:eastAsia="en-ZA"/>
        </w:rPr>
        <w:t>order</w:t>
      </w:r>
      <w:r w:rsidRPr="008B38AB">
        <w:rPr>
          <w:rFonts w:ascii="Arial" w:eastAsia="Arial" w:hAnsi="Arial" w:cs="Arial"/>
          <w:color w:val="000000"/>
          <w:spacing w:val="30"/>
          <w:szCs w:val="21"/>
          <w:lang w:val="en-ZA" w:eastAsia="en-ZA"/>
        </w:rPr>
        <w:t xml:space="preserve"> </w:t>
      </w:r>
      <w:r w:rsidRPr="008B38AB">
        <w:rPr>
          <w:rFonts w:ascii="Arial" w:eastAsia="Arial" w:hAnsi="Arial" w:cs="Arial"/>
          <w:color w:val="000000"/>
          <w:szCs w:val="21"/>
          <w:lang w:val="en-ZA" w:eastAsia="en-ZA"/>
        </w:rPr>
        <w:t>to</w:t>
      </w:r>
      <w:r w:rsidRPr="008B38AB">
        <w:rPr>
          <w:rFonts w:ascii="Arial" w:eastAsia="Arial" w:hAnsi="Arial" w:cs="Arial"/>
          <w:color w:val="000000"/>
          <w:spacing w:val="8"/>
          <w:szCs w:val="21"/>
          <w:lang w:val="en-ZA" w:eastAsia="en-ZA"/>
        </w:rPr>
        <w:t xml:space="preserve"> </w:t>
      </w:r>
      <w:r w:rsidRPr="008B38AB">
        <w:rPr>
          <w:rFonts w:ascii="Arial" w:eastAsia="Arial" w:hAnsi="Arial" w:cs="Arial"/>
          <w:color w:val="000000"/>
          <w:w w:val="108"/>
          <w:szCs w:val="21"/>
          <w:lang w:val="en-ZA" w:eastAsia="en-ZA"/>
        </w:rPr>
        <w:t xml:space="preserve">design </w:t>
      </w:r>
      <w:r w:rsidRPr="008B38AB">
        <w:rPr>
          <w:rFonts w:ascii="Arial" w:eastAsia="Arial" w:hAnsi="Arial" w:cs="Arial"/>
          <w:color w:val="000000"/>
          <w:szCs w:val="21"/>
          <w:lang w:val="en-ZA" w:eastAsia="en-ZA"/>
        </w:rPr>
        <w:t>audit</w:t>
      </w:r>
      <w:r w:rsidRPr="008B38AB">
        <w:rPr>
          <w:rFonts w:ascii="Arial" w:eastAsia="Arial" w:hAnsi="Arial" w:cs="Arial"/>
          <w:color w:val="000000"/>
          <w:spacing w:val="26"/>
          <w:szCs w:val="21"/>
          <w:lang w:val="en-ZA" w:eastAsia="en-ZA"/>
        </w:rPr>
        <w:t xml:space="preserve"> </w:t>
      </w:r>
      <w:r w:rsidRPr="008B38AB">
        <w:rPr>
          <w:rFonts w:ascii="Arial" w:eastAsia="Arial" w:hAnsi="Arial" w:cs="Arial"/>
          <w:color w:val="000000"/>
          <w:szCs w:val="21"/>
          <w:lang w:val="en-ZA" w:eastAsia="en-ZA"/>
        </w:rPr>
        <w:t>procedures</w:t>
      </w:r>
      <w:r w:rsidRPr="008B38AB">
        <w:rPr>
          <w:rFonts w:ascii="Arial" w:eastAsia="Arial" w:hAnsi="Arial" w:cs="Arial"/>
          <w:color w:val="000000"/>
          <w:spacing w:val="58"/>
          <w:szCs w:val="21"/>
          <w:lang w:val="en-ZA" w:eastAsia="en-ZA"/>
        </w:rPr>
        <w:t xml:space="preserve"> </w:t>
      </w:r>
      <w:r w:rsidRPr="008B38AB">
        <w:rPr>
          <w:rFonts w:ascii="Arial" w:eastAsia="Arial" w:hAnsi="Arial" w:cs="Arial"/>
          <w:color w:val="000000"/>
          <w:szCs w:val="21"/>
          <w:lang w:val="en-ZA" w:eastAsia="en-ZA"/>
        </w:rPr>
        <w:t>that</w:t>
      </w:r>
      <w:r w:rsidRPr="008B38AB">
        <w:rPr>
          <w:rFonts w:ascii="Arial" w:eastAsia="Arial" w:hAnsi="Arial" w:cs="Arial"/>
          <w:color w:val="000000"/>
          <w:spacing w:val="18"/>
          <w:szCs w:val="21"/>
          <w:lang w:val="en-ZA" w:eastAsia="en-ZA"/>
        </w:rPr>
        <w:t xml:space="preserve"> </w:t>
      </w:r>
      <w:r w:rsidRPr="008B38AB">
        <w:rPr>
          <w:rFonts w:ascii="Arial" w:eastAsia="Arial" w:hAnsi="Arial" w:cs="Arial"/>
          <w:color w:val="000000"/>
          <w:szCs w:val="21"/>
          <w:lang w:val="en-ZA" w:eastAsia="en-ZA"/>
        </w:rPr>
        <w:t>are</w:t>
      </w:r>
      <w:r w:rsidRPr="008B38AB">
        <w:rPr>
          <w:rFonts w:ascii="Arial" w:eastAsia="Arial" w:hAnsi="Arial" w:cs="Arial"/>
          <w:color w:val="000000"/>
          <w:spacing w:val="25"/>
          <w:szCs w:val="21"/>
          <w:lang w:val="en-ZA" w:eastAsia="en-ZA"/>
        </w:rPr>
        <w:t xml:space="preserve"> </w:t>
      </w:r>
      <w:r w:rsidRPr="008B38AB">
        <w:rPr>
          <w:rFonts w:ascii="Arial" w:eastAsia="Arial" w:hAnsi="Arial" w:cs="Arial"/>
          <w:color w:val="000000"/>
          <w:szCs w:val="21"/>
          <w:lang w:val="en-ZA" w:eastAsia="en-ZA"/>
        </w:rPr>
        <w:t>appropriate</w:t>
      </w:r>
      <w:r w:rsidRPr="008B38AB">
        <w:rPr>
          <w:rFonts w:ascii="Arial" w:eastAsia="Arial" w:hAnsi="Arial" w:cs="Arial"/>
          <w:color w:val="000000"/>
          <w:spacing w:val="41"/>
          <w:szCs w:val="21"/>
          <w:lang w:val="en-ZA" w:eastAsia="en-ZA"/>
        </w:rPr>
        <w:t xml:space="preserve"> </w:t>
      </w:r>
      <w:r w:rsidRPr="008B38AB">
        <w:rPr>
          <w:rFonts w:ascii="Arial" w:eastAsia="Arial" w:hAnsi="Arial" w:cs="Arial"/>
          <w:color w:val="000000"/>
          <w:szCs w:val="21"/>
          <w:lang w:val="en-ZA" w:eastAsia="en-ZA"/>
        </w:rPr>
        <w:t>in</w:t>
      </w:r>
      <w:r w:rsidRPr="008B38AB">
        <w:rPr>
          <w:rFonts w:ascii="Arial" w:eastAsia="Arial" w:hAnsi="Arial" w:cs="Arial"/>
          <w:color w:val="000000"/>
          <w:spacing w:val="17"/>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16"/>
          <w:szCs w:val="21"/>
          <w:lang w:val="en-ZA" w:eastAsia="en-ZA"/>
        </w:rPr>
        <w:t xml:space="preserve"> </w:t>
      </w:r>
      <w:r w:rsidRPr="008B38AB">
        <w:rPr>
          <w:rFonts w:ascii="Arial" w:eastAsia="Arial" w:hAnsi="Arial" w:cs="Arial"/>
          <w:color w:val="000000"/>
          <w:szCs w:val="21"/>
          <w:lang w:val="en-ZA" w:eastAsia="en-ZA"/>
        </w:rPr>
        <w:t>circumstances,</w:t>
      </w:r>
      <w:r w:rsidRPr="008B38AB">
        <w:rPr>
          <w:rFonts w:ascii="Arial" w:eastAsia="Arial" w:hAnsi="Arial" w:cs="Arial"/>
          <w:color w:val="000000"/>
          <w:spacing w:val="22"/>
          <w:szCs w:val="21"/>
          <w:lang w:val="en-ZA" w:eastAsia="en-ZA"/>
        </w:rPr>
        <w:t xml:space="preserve"> </w:t>
      </w:r>
      <w:r w:rsidRPr="008B38AB">
        <w:rPr>
          <w:rFonts w:ascii="Arial" w:eastAsia="Arial" w:hAnsi="Arial" w:cs="Arial"/>
          <w:color w:val="000000"/>
          <w:szCs w:val="21"/>
          <w:lang w:val="en-ZA" w:eastAsia="en-ZA"/>
        </w:rPr>
        <w:t>but</w:t>
      </w:r>
      <w:r w:rsidRPr="008B38AB">
        <w:rPr>
          <w:rFonts w:ascii="Arial" w:eastAsia="Arial" w:hAnsi="Arial" w:cs="Arial"/>
          <w:color w:val="000000"/>
          <w:spacing w:val="24"/>
          <w:szCs w:val="21"/>
          <w:lang w:val="en-ZA" w:eastAsia="en-ZA"/>
        </w:rPr>
        <w:t xml:space="preserve"> </w:t>
      </w:r>
      <w:r w:rsidRPr="008B38AB">
        <w:rPr>
          <w:rFonts w:ascii="Arial" w:eastAsia="Arial" w:hAnsi="Arial" w:cs="Arial"/>
          <w:color w:val="000000"/>
          <w:szCs w:val="21"/>
          <w:lang w:val="en-ZA" w:eastAsia="en-ZA"/>
        </w:rPr>
        <w:t>not</w:t>
      </w:r>
      <w:r w:rsidRPr="008B38AB">
        <w:rPr>
          <w:rFonts w:ascii="Arial" w:eastAsia="Arial" w:hAnsi="Arial" w:cs="Arial"/>
          <w:color w:val="000000"/>
          <w:spacing w:val="20"/>
          <w:szCs w:val="21"/>
          <w:lang w:val="en-ZA" w:eastAsia="en-ZA"/>
        </w:rPr>
        <w:t xml:space="preserve"> </w:t>
      </w:r>
      <w:r w:rsidRPr="008B38AB">
        <w:rPr>
          <w:rFonts w:ascii="Arial" w:eastAsia="Arial" w:hAnsi="Arial" w:cs="Arial"/>
          <w:color w:val="000000"/>
          <w:szCs w:val="21"/>
          <w:lang w:val="en-ZA" w:eastAsia="en-ZA"/>
        </w:rPr>
        <w:t>for</w:t>
      </w:r>
      <w:r w:rsidRPr="008B38AB">
        <w:rPr>
          <w:rFonts w:ascii="Arial" w:eastAsia="Arial" w:hAnsi="Arial" w:cs="Arial"/>
          <w:color w:val="000000"/>
          <w:spacing w:val="6"/>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25"/>
          <w:szCs w:val="21"/>
          <w:lang w:val="en-ZA" w:eastAsia="en-ZA"/>
        </w:rPr>
        <w:t xml:space="preserve"> </w:t>
      </w:r>
      <w:r w:rsidRPr="008B38AB">
        <w:rPr>
          <w:rFonts w:ascii="Arial" w:eastAsia="Arial" w:hAnsi="Arial" w:cs="Arial"/>
          <w:color w:val="000000"/>
          <w:w w:val="106"/>
          <w:szCs w:val="21"/>
          <w:lang w:val="en-ZA" w:eastAsia="en-ZA"/>
        </w:rPr>
        <w:t xml:space="preserve">purpose </w:t>
      </w:r>
      <w:r w:rsidRPr="008B38AB">
        <w:rPr>
          <w:rFonts w:ascii="Arial" w:eastAsia="Arial" w:hAnsi="Arial" w:cs="Arial"/>
          <w:color w:val="000000"/>
          <w:szCs w:val="21"/>
          <w:lang w:val="en-ZA" w:eastAsia="en-ZA"/>
        </w:rPr>
        <w:t>of</w:t>
      </w:r>
      <w:r w:rsidRPr="008B38AB">
        <w:rPr>
          <w:rFonts w:ascii="Arial" w:eastAsia="Arial" w:hAnsi="Arial" w:cs="Arial"/>
          <w:color w:val="000000"/>
          <w:spacing w:val="27"/>
          <w:szCs w:val="21"/>
          <w:lang w:val="en-ZA" w:eastAsia="en-ZA"/>
        </w:rPr>
        <w:t xml:space="preserve"> </w:t>
      </w:r>
      <w:r w:rsidRPr="008B38AB">
        <w:rPr>
          <w:rFonts w:ascii="Arial" w:eastAsia="Arial" w:hAnsi="Arial" w:cs="Arial"/>
          <w:color w:val="000000"/>
          <w:szCs w:val="21"/>
          <w:lang w:val="en-ZA" w:eastAsia="en-ZA"/>
        </w:rPr>
        <w:t>expressing</w:t>
      </w:r>
      <w:r w:rsidRPr="008B38AB">
        <w:rPr>
          <w:rFonts w:ascii="Arial" w:eastAsia="Arial" w:hAnsi="Arial" w:cs="Arial"/>
          <w:color w:val="000000"/>
          <w:spacing w:val="49"/>
          <w:szCs w:val="21"/>
          <w:lang w:val="en-ZA" w:eastAsia="en-ZA"/>
        </w:rPr>
        <w:t xml:space="preserve"> </w:t>
      </w:r>
      <w:r w:rsidRPr="008B38AB">
        <w:rPr>
          <w:rFonts w:ascii="Arial" w:eastAsia="Arial" w:hAnsi="Arial" w:cs="Arial"/>
          <w:color w:val="000000"/>
          <w:szCs w:val="21"/>
          <w:lang w:val="en-ZA" w:eastAsia="en-ZA"/>
        </w:rPr>
        <w:t>an</w:t>
      </w:r>
      <w:r w:rsidRPr="008B38AB">
        <w:rPr>
          <w:rFonts w:ascii="Arial" w:eastAsia="Arial" w:hAnsi="Arial" w:cs="Arial"/>
          <w:color w:val="000000"/>
          <w:spacing w:val="21"/>
          <w:szCs w:val="21"/>
          <w:lang w:val="en-ZA" w:eastAsia="en-ZA"/>
        </w:rPr>
        <w:t xml:space="preserve"> </w:t>
      </w:r>
      <w:r w:rsidRPr="008B38AB">
        <w:rPr>
          <w:rFonts w:ascii="Arial" w:eastAsia="Arial" w:hAnsi="Arial" w:cs="Arial"/>
          <w:color w:val="000000"/>
          <w:szCs w:val="21"/>
          <w:lang w:val="en-ZA" w:eastAsia="en-ZA"/>
        </w:rPr>
        <w:t>opinion</w:t>
      </w:r>
      <w:r w:rsidRPr="008B38AB">
        <w:rPr>
          <w:rFonts w:ascii="Arial" w:eastAsia="Arial" w:hAnsi="Arial" w:cs="Arial"/>
          <w:color w:val="000000"/>
          <w:spacing w:val="22"/>
          <w:szCs w:val="21"/>
          <w:lang w:val="en-ZA" w:eastAsia="en-ZA"/>
        </w:rPr>
        <w:t xml:space="preserve"> </w:t>
      </w:r>
      <w:r w:rsidRPr="008B38AB">
        <w:rPr>
          <w:rFonts w:ascii="Arial" w:eastAsia="Arial" w:hAnsi="Arial" w:cs="Arial"/>
          <w:color w:val="000000"/>
          <w:szCs w:val="21"/>
          <w:lang w:val="en-ZA" w:eastAsia="en-ZA"/>
        </w:rPr>
        <w:t>on</w:t>
      </w:r>
      <w:r w:rsidRPr="008B38AB">
        <w:rPr>
          <w:rFonts w:ascii="Arial" w:eastAsia="Arial" w:hAnsi="Arial" w:cs="Arial"/>
          <w:color w:val="000000"/>
          <w:spacing w:val="10"/>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16"/>
          <w:szCs w:val="21"/>
          <w:lang w:val="en-ZA" w:eastAsia="en-ZA"/>
        </w:rPr>
        <w:t xml:space="preserve"> </w:t>
      </w:r>
      <w:r w:rsidRPr="008B38AB">
        <w:rPr>
          <w:rFonts w:ascii="Arial" w:eastAsia="Arial" w:hAnsi="Arial" w:cs="Arial"/>
          <w:color w:val="000000"/>
          <w:w w:val="106"/>
          <w:szCs w:val="21"/>
          <w:lang w:val="en-ZA" w:eastAsia="en-ZA"/>
        </w:rPr>
        <w:t>effectiveness</w:t>
      </w:r>
      <w:r w:rsidRPr="008B38AB">
        <w:rPr>
          <w:rFonts w:ascii="Arial" w:eastAsia="Arial" w:hAnsi="Arial" w:cs="Arial"/>
          <w:color w:val="000000"/>
          <w:spacing w:val="-5"/>
          <w:w w:val="106"/>
          <w:szCs w:val="21"/>
          <w:lang w:val="en-ZA" w:eastAsia="en-ZA"/>
        </w:rPr>
        <w:t xml:space="preserve"> </w:t>
      </w:r>
      <w:r w:rsidRPr="008B38AB">
        <w:rPr>
          <w:rFonts w:ascii="Arial" w:eastAsia="Arial" w:hAnsi="Arial" w:cs="Arial"/>
          <w:color w:val="000000"/>
          <w:szCs w:val="21"/>
          <w:lang w:val="en-ZA" w:eastAsia="en-ZA"/>
        </w:rPr>
        <w:t>of</w:t>
      </w:r>
      <w:r w:rsidRPr="008B38AB">
        <w:rPr>
          <w:rFonts w:ascii="Arial" w:eastAsia="Arial" w:hAnsi="Arial" w:cs="Arial"/>
          <w:color w:val="000000"/>
          <w:spacing w:val="16"/>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11"/>
          <w:szCs w:val="21"/>
          <w:lang w:val="en-ZA" w:eastAsia="en-ZA"/>
        </w:rPr>
        <w:t xml:space="preserve"> </w:t>
      </w:r>
      <w:r w:rsidRPr="008B38AB">
        <w:rPr>
          <w:rFonts w:ascii="Arial" w:eastAsia="Arial" w:hAnsi="Arial" w:cs="Arial"/>
          <w:color w:val="000000"/>
          <w:w w:val="104"/>
          <w:szCs w:val="21"/>
          <w:lang w:val="en-ZA" w:eastAsia="en-ZA"/>
        </w:rPr>
        <w:t>municipalit</w:t>
      </w:r>
      <w:r w:rsidRPr="008B38AB">
        <w:rPr>
          <w:rFonts w:ascii="Arial" w:eastAsia="Arial" w:hAnsi="Arial" w:cs="Arial"/>
          <w:color w:val="000000"/>
          <w:spacing w:val="-5"/>
          <w:w w:val="105"/>
          <w:szCs w:val="21"/>
          <w:lang w:val="en-ZA" w:eastAsia="en-ZA"/>
        </w:rPr>
        <w:t>y</w:t>
      </w:r>
      <w:r w:rsidRPr="008B38AB">
        <w:rPr>
          <w:rFonts w:ascii="Arial" w:eastAsia="Arial" w:hAnsi="Arial" w:cs="Arial"/>
          <w:color w:val="1C1C1C"/>
          <w:spacing w:val="-9"/>
          <w:w w:val="136"/>
          <w:szCs w:val="21"/>
          <w:lang w:val="en-ZA" w:eastAsia="en-ZA"/>
        </w:rPr>
        <w:t>'</w:t>
      </w:r>
      <w:r w:rsidRPr="008B38AB">
        <w:rPr>
          <w:rFonts w:ascii="Arial" w:eastAsia="Arial" w:hAnsi="Arial" w:cs="Arial"/>
          <w:color w:val="000000"/>
          <w:w w:val="111"/>
          <w:szCs w:val="21"/>
          <w:lang w:val="en-ZA" w:eastAsia="en-ZA"/>
        </w:rPr>
        <w:t>s</w:t>
      </w:r>
      <w:r w:rsidRPr="008B38AB">
        <w:rPr>
          <w:rFonts w:ascii="Arial" w:eastAsia="Arial" w:hAnsi="Arial" w:cs="Arial"/>
          <w:color w:val="000000"/>
          <w:spacing w:val="-10"/>
          <w:szCs w:val="21"/>
          <w:lang w:val="en-ZA" w:eastAsia="en-ZA"/>
        </w:rPr>
        <w:t xml:space="preserve"> </w:t>
      </w:r>
      <w:r w:rsidRPr="008B38AB">
        <w:rPr>
          <w:rFonts w:ascii="Arial" w:eastAsia="Arial" w:hAnsi="Arial" w:cs="Arial"/>
          <w:color w:val="000000"/>
          <w:szCs w:val="21"/>
          <w:lang w:val="en-ZA" w:eastAsia="en-ZA"/>
        </w:rPr>
        <w:t>internal</w:t>
      </w:r>
      <w:r w:rsidRPr="008B38AB">
        <w:rPr>
          <w:rFonts w:ascii="Arial" w:eastAsia="Arial" w:hAnsi="Arial" w:cs="Arial"/>
          <w:color w:val="000000"/>
          <w:spacing w:val="31"/>
          <w:szCs w:val="21"/>
          <w:lang w:val="en-ZA" w:eastAsia="en-ZA"/>
        </w:rPr>
        <w:t xml:space="preserve"> </w:t>
      </w:r>
      <w:r w:rsidRPr="008B38AB">
        <w:rPr>
          <w:rFonts w:ascii="Arial" w:eastAsia="Arial" w:hAnsi="Arial" w:cs="Arial"/>
          <w:color w:val="000000"/>
          <w:w w:val="107"/>
          <w:szCs w:val="21"/>
          <w:lang w:val="en-ZA" w:eastAsia="en-ZA"/>
        </w:rPr>
        <w:t>control</w:t>
      </w:r>
    </w:p>
    <w:p w14:paraId="558A5C08" w14:textId="77777777" w:rsidR="00BB5C77" w:rsidRPr="008B38AB" w:rsidRDefault="00BB5C77" w:rsidP="00BB5C77">
      <w:pPr>
        <w:spacing w:before="19" w:after="0" w:line="240" w:lineRule="exact"/>
        <w:jc w:val="both"/>
        <w:rPr>
          <w:rFonts w:eastAsia="Times New Roman" w:cs="Times New Roman"/>
          <w:sz w:val="22"/>
          <w:szCs w:val="24"/>
          <w:lang w:val="en-ZA" w:eastAsia="en-ZA"/>
        </w:rPr>
      </w:pPr>
    </w:p>
    <w:p w14:paraId="37F9735A" w14:textId="77777777" w:rsidR="00BB5C77" w:rsidRPr="008B38AB" w:rsidRDefault="00BB5C77" w:rsidP="00BB5C77">
      <w:pPr>
        <w:tabs>
          <w:tab w:val="left" w:pos="960"/>
        </w:tabs>
        <w:spacing w:after="0" w:line="257" w:lineRule="auto"/>
        <w:ind w:left="972" w:right="281" w:hanging="418"/>
        <w:jc w:val="both"/>
        <w:rPr>
          <w:rFonts w:ascii="Arial" w:eastAsia="Arial" w:hAnsi="Arial" w:cs="Arial"/>
          <w:szCs w:val="21"/>
          <w:lang w:val="en-ZA" w:eastAsia="en-ZA"/>
        </w:rPr>
      </w:pPr>
      <w:r w:rsidRPr="008B38AB">
        <w:rPr>
          <w:rFonts w:ascii="Arial" w:eastAsia="Arial" w:hAnsi="Arial" w:cs="Arial"/>
          <w:color w:val="383838"/>
          <w:w w:val="166"/>
          <w:szCs w:val="21"/>
          <w:lang w:val="en-ZA" w:eastAsia="en-ZA"/>
        </w:rPr>
        <w:t>•</w:t>
      </w:r>
      <w:r w:rsidRPr="008B38AB">
        <w:rPr>
          <w:rFonts w:ascii="Arial" w:eastAsia="Arial" w:hAnsi="Arial" w:cs="Arial"/>
          <w:color w:val="383838"/>
          <w:szCs w:val="21"/>
          <w:lang w:val="en-ZA" w:eastAsia="en-ZA"/>
        </w:rPr>
        <w:tab/>
      </w:r>
      <w:r w:rsidRPr="008B38AB">
        <w:rPr>
          <w:rFonts w:ascii="Arial" w:eastAsia="Arial" w:hAnsi="Arial" w:cs="Arial"/>
          <w:color w:val="000000"/>
          <w:szCs w:val="21"/>
          <w:lang w:val="en-ZA" w:eastAsia="en-ZA"/>
        </w:rPr>
        <w:t>evaluate</w:t>
      </w:r>
      <w:r w:rsidRPr="008B38AB">
        <w:rPr>
          <w:rFonts w:ascii="Arial" w:eastAsia="Arial" w:hAnsi="Arial" w:cs="Arial"/>
          <w:color w:val="000000"/>
          <w:spacing w:val="42"/>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33"/>
          <w:szCs w:val="21"/>
          <w:lang w:val="en-ZA" w:eastAsia="en-ZA"/>
        </w:rPr>
        <w:t xml:space="preserve"> </w:t>
      </w:r>
      <w:r w:rsidRPr="008B38AB">
        <w:rPr>
          <w:rFonts w:ascii="Arial" w:eastAsia="Arial" w:hAnsi="Arial" w:cs="Arial"/>
          <w:color w:val="000000"/>
          <w:szCs w:val="21"/>
          <w:lang w:val="en-ZA" w:eastAsia="en-ZA"/>
        </w:rPr>
        <w:t>appropriateness</w:t>
      </w:r>
      <w:r w:rsidRPr="008B38AB">
        <w:rPr>
          <w:rFonts w:ascii="Arial" w:eastAsia="Arial" w:hAnsi="Arial" w:cs="Arial"/>
          <w:color w:val="000000"/>
          <w:spacing w:val="58"/>
          <w:szCs w:val="21"/>
          <w:lang w:val="en-ZA" w:eastAsia="en-ZA"/>
        </w:rPr>
        <w:t xml:space="preserve"> </w:t>
      </w:r>
      <w:r w:rsidRPr="008B38AB">
        <w:rPr>
          <w:rFonts w:ascii="Arial" w:eastAsia="Arial" w:hAnsi="Arial" w:cs="Arial"/>
          <w:color w:val="000000"/>
          <w:szCs w:val="21"/>
          <w:lang w:val="en-ZA" w:eastAsia="en-ZA"/>
        </w:rPr>
        <w:t>of</w:t>
      </w:r>
      <w:r w:rsidRPr="008B38AB">
        <w:rPr>
          <w:rFonts w:ascii="Arial" w:eastAsia="Arial" w:hAnsi="Arial" w:cs="Arial"/>
          <w:color w:val="000000"/>
          <w:spacing w:val="12"/>
          <w:szCs w:val="21"/>
          <w:lang w:val="en-ZA" w:eastAsia="en-ZA"/>
        </w:rPr>
        <w:t xml:space="preserve"> </w:t>
      </w:r>
      <w:r w:rsidRPr="008B38AB">
        <w:rPr>
          <w:rFonts w:ascii="Arial" w:eastAsia="Arial" w:hAnsi="Arial" w:cs="Arial"/>
          <w:color w:val="000000"/>
          <w:szCs w:val="21"/>
          <w:lang w:val="en-ZA" w:eastAsia="en-ZA"/>
        </w:rPr>
        <w:t>accounting</w:t>
      </w:r>
      <w:r w:rsidRPr="008B38AB">
        <w:rPr>
          <w:rFonts w:ascii="Arial" w:eastAsia="Arial" w:hAnsi="Arial" w:cs="Arial"/>
          <w:color w:val="000000"/>
          <w:spacing w:val="56"/>
          <w:szCs w:val="21"/>
          <w:lang w:val="en-ZA" w:eastAsia="en-ZA"/>
        </w:rPr>
        <w:t xml:space="preserve"> </w:t>
      </w:r>
      <w:r w:rsidRPr="008B38AB">
        <w:rPr>
          <w:rFonts w:ascii="Arial" w:eastAsia="Arial" w:hAnsi="Arial" w:cs="Arial"/>
          <w:color w:val="000000"/>
          <w:szCs w:val="21"/>
          <w:lang w:val="en-ZA" w:eastAsia="en-ZA"/>
        </w:rPr>
        <w:t>policies</w:t>
      </w:r>
      <w:r w:rsidRPr="008B38AB">
        <w:rPr>
          <w:rFonts w:ascii="Arial" w:eastAsia="Arial" w:hAnsi="Arial" w:cs="Arial"/>
          <w:color w:val="000000"/>
          <w:spacing w:val="34"/>
          <w:szCs w:val="21"/>
          <w:lang w:val="en-ZA" w:eastAsia="en-ZA"/>
        </w:rPr>
        <w:t xml:space="preserve"> </w:t>
      </w:r>
      <w:r w:rsidRPr="008B38AB">
        <w:rPr>
          <w:rFonts w:ascii="Arial" w:eastAsia="Arial" w:hAnsi="Arial" w:cs="Arial"/>
          <w:color w:val="000000"/>
          <w:szCs w:val="21"/>
          <w:lang w:val="en-ZA" w:eastAsia="en-ZA"/>
        </w:rPr>
        <w:t>used</w:t>
      </w:r>
      <w:r w:rsidRPr="008B38AB">
        <w:rPr>
          <w:rFonts w:ascii="Arial" w:eastAsia="Arial" w:hAnsi="Arial" w:cs="Arial"/>
          <w:color w:val="000000"/>
          <w:spacing w:val="22"/>
          <w:szCs w:val="21"/>
          <w:lang w:val="en-ZA" w:eastAsia="en-ZA"/>
        </w:rPr>
        <w:t xml:space="preserve"> </w:t>
      </w:r>
      <w:r w:rsidRPr="008B38AB">
        <w:rPr>
          <w:rFonts w:ascii="Arial" w:eastAsia="Arial" w:hAnsi="Arial" w:cs="Arial"/>
          <w:color w:val="000000"/>
          <w:szCs w:val="21"/>
          <w:lang w:val="en-ZA" w:eastAsia="en-ZA"/>
        </w:rPr>
        <w:t>and</w:t>
      </w:r>
      <w:r w:rsidRPr="008B38AB">
        <w:rPr>
          <w:rFonts w:ascii="Arial" w:eastAsia="Arial" w:hAnsi="Arial" w:cs="Arial"/>
          <w:color w:val="000000"/>
          <w:spacing w:val="14"/>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11"/>
          <w:szCs w:val="21"/>
          <w:lang w:val="en-ZA" w:eastAsia="en-ZA"/>
        </w:rPr>
        <w:t xml:space="preserve"> </w:t>
      </w:r>
      <w:r w:rsidRPr="008B38AB">
        <w:rPr>
          <w:rFonts w:ascii="Arial" w:eastAsia="Arial" w:hAnsi="Arial" w:cs="Arial"/>
          <w:color w:val="000000"/>
          <w:w w:val="106"/>
          <w:szCs w:val="21"/>
          <w:lang w:val="en-ZA" w:eastAsia="en-ZA"/>
        </w:rPr>
        <w:t xml:space="preserve">reasonableness </w:t>
      </w:r>
      <w:r w:rsidRPr="008B38AB">
        <w:rPr>
          <w:rFonts w:ascii="Arial" w:eastAsia="Arial" w:hAnsi="Arial" w:cs="Arial"/>
          <w:color w:val="000000"/>
          <w:szCs w:val="21"/>
          <w:lang w:val="en-ZA" w:eastAsia="en-ZA"/>
        </w:rPr>
        <w:t>of</w:t>
      </w:r>
      <w:r w:rsidRPr="008B38AB">
        <w:rPr>
          <w:rFonts w:ascii="Arial" w:eastAsia="Arial" w:hAnsi="Arial" w:cs="Arial"/>
          <w:color w:val="000000"/>
          <w:spacing w:val="12"/>
          <w:szCs w:val="21"/>
          <w:lang w:val="en-ZA" w:eastAsia="en-ZA"/>
        </w:rPr>
        <w:t xml:space="preserve"> </w:t>
      </w:r>
      <w:r w:rsidRPr="008B38AB">
        <w:rPr>
          <w:rFonts w:ascii="Arial" w:eastAsia="Arial" w:hAnsi="Arial" w:cs="Arial"/>
          <w:color w:val="000000"/>
          <w:szCs w:val="21"/>
          <w:lang w:val="en-ZA" w:eastAsia="en-ZA"/>
        </w:rPr>
        <w:t>accounting</w:t>
      </w:r>
      <w:r w:rsidRPr="008B38AB">
        <w:rPr>
          <w:rFonts w:ascii="Arial" w:eastAsia="Arial" w:hAnsi="Arial" w:cs="Arial"/>
          <w:color w:val="000000"/>
          <w:spacing w:val="50"/>
          <w:szCs w:val="21"/>
          <w:lang w:val="en-ZA" w:eastAsia="en-ZA"/>
        </w:rPr>
        <w:t xml:space="preserve"> </w:t>
      </w:r>
      <w:r w:rsidRPr="008B38AB">
        <w:rPr>
          <w:rFonts w:ascii="Arial" w:eastAsia="Arial" w:hAnsi="Arial" w:cs="Arial"/>
          <w:color w:val="000000"/>
          <w:szCs w:val="21"/>
          <w:lang w:val="en-ZA" w:eastAsia="en-ZA"/>
        </w:rPr>
        <w:t>estimates</w:t>
      </w:r>
      <w:r w:rsidRPr="008B38AB">
        <w:rPr>
          <w:rFonts w:ascii="Arial" w:eastAsia="Arial" w:hAnsi="Arial" w:cs="Arial"/>
          <w:color w:val="000000"/>
          <w:spacing w:val="43"/>
          <w:szCs w:val="21"/>
          <w:lang w:val="en-ZA" w:eastAsia="en-ZA"/>
        </w:rPr>
        <w:t xml:space="preserve"> </w:t>
      </w:r>
      <w:r w:rsidRPr="008B38AB">
        <w:rPr>
          <w:rFonts w:ascii="Arial" w:eastAsia="Arial" w:hAnsi="Arial" w:cs="Arial"/>
          <w:color w:val="000000"/>
          <w:szCs w:val="21"/>
          <w:lang w:val="en-ZA" w:eastAsia="en-ZA"/>
        </w:rPr>
        <w:t>and</w:t>
      </w:r>
      <w:r w:rsidRPr="008B38AB">
        <w:rPr>
          <w:rFonts w:ascii="Arial" w:eastAsia="Arial" w:hAnsi="Arial" w:cs="Arial"/>
          <w:color w:val="000000"/>
          <w:spacing w:val="17"/>
          <w:szCs w:val="21"/>
          <w:lang w:val="en-ZA" w:eastAsia="en-ZA"/>
        </w:rPr>
        <w:t xml:space="preserve"> </w:t>
      </w:r>
      <w:r w:rsidRPr="008B38AB">
        <w:rPr>
          <w:rFonts w:ascii="Arial" w:eastAsia="Arial" w:hAnsi="Arial" w:cs="Arial"/>
          <w:color w:val="000000"/>
          <w:szCs w:val="21"/>
          <w:lang w:val="en-ZA" w:eastAsia="en-ZA"/>
        </w:rPr>
        <w:t>related</w:t>
      </w:r>
      <w:r w:rsidRPr="008B38AB">
        <w:rPr>
          <w:rFonts w:ascii="Arial" w:eastAsia="Arial" w:hAnsi="Arial" w:cs="Arial"/>
          <w:color w:val="000000"/>
          <w:spacing w:val="32"/>
          <w:szCs w:val="21"/>
          <w:lang w:val="en-ZA" w:eastAsia="en-ZA"/>
        </w:rPr>
        <w:t xml:space="preserve"> </w:t>
      </w:r>
      <w:r w:rsidRPr="008B38AB">
        <w:rPr>
          <w:rFonts w:ascii="Arial" w:eastAsia="Arial" w:hAnsi="Arial" w:cs="Arial"/>
          <w:color w:val="000000"/>
          <w:w w:val="107"/>
          <w:szCs w:val="21"/>
          <w:lang w:val="en-ZA" w:eastAsia="en-ZA"/>
        </w:rPr>
        <w:t>disclosures</w:t>
      </w:r>
      <w:r w:rsidRPr="008B38AB">
        <w:rPr>
          <w:rFonts w:ascii="Arial" w:eastAsia="Arial" w:hAnsi="Arial" w:cs="Arial"/>
          <w:color w:val="000000"/>
          <w:spacing w:val="-13"/>
          <w:w w:val="107"/>
          <w:szCs w:val="21"/>
          <w:lang w:val="en-ZA" w:eastAsia="en-ZA"/>
        </w:rPr>
        <w:t xml:space="preserve"> </w:t>
      </w:r>
      <w:r w:rsidRPr="008B38AB">
        <w:rPr>
          <w:rFonts w:ascii="Arial" w:eastAsia="Arial" w:hAnsi="Arial" w:cs="Arial"/>
          <w:color w:val="000000"/>
          <w:szCs w:val="21"/>
          <w:lang w:val="en-ZA" w:eastAsia="en-ZA"/>
        </w:rPr>
        <w:t>made</w:t>
      </w:r>
      <w:r w:rsidRPr="008B38AB">
        <w:rPr>
          <w:rFonts w:ascii="Arial" w:eastAsia="Arial" w:hAnsi="Arial" w:cs="Arial"/>
          <w:color w:val="000000"/>
          <w:spacing w:val="34"/>
          <w:szCs w:val="21"/>
          <w:lang w:val="en-ZA" w:eastAsia="en-ZA"/>
        </w:rPr>
        <w:t xml:space="preserve"> </w:t>
      </w:r>
      <w:r w:rsidRPr="008B38AB">
        <w:rPr>
          <w:rFonts w:ascii="Arial" w:eastAsia="Arial" w:hAnsi="Arial" w:cs="Arial"/>
          <w:color w:val="000000"/>
          <w:szCs w:val="21"/>
          <w:lang w:val="en-ZA" w:eastAsia="en-ZA"/>
        </w:rPr>
        <w:t>by</w:t>
      </w:r>
      <w:r w:rsidRPr="008B38AB">
        <w:rPr>
          <w:rFonts w:ascii="Arial" w:eastAsia="Arial" w:hAnsi="Arial" w:cs="Arial"/>
          <w:color w:val="000000"/>
          <w:spacing w:val="5"/>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17"/>
          <w:szCs w:val="21"/>
          <w:lang w:val="en-ZA" w:eastAsia="en-ZA"/>
        </w:rPr>
        <w:t xml:space="preserve"> </w:t>
      </w:r>
      <w:r w:rsidRPr="008B38AB">
        <w:rPr>
          <w:rFonts w:ascii="Arial" w:eastAsia="Arial" w:hAnsi="Arial" w:cs="Arial"/>
          <w:color w:val="000000"/>
          <w:szCs w:val="21"/>
          <w:lang w:val="en-ZA" w:eastAsia="en-ZA"/>
        </w:rPr>
        <w:t>accounting</w:t>
      </w:r>
      <w:r w:rsidRPr="008B38AB">
        <w:rPr>
          <w:rFonts w:ascii="Arial" w:eastAsia="Arial" w:hAnsi="Arial" w:cs="Arial"/>
          <w:color w:val="000000"/>
          <w:spacing w:val="45"/>
          <w:szCs w:val="21"/>
          <w:lang w:val="en-ZA" w:eastAsia="en-ZA"/>
        </w:rPr>
        <w:t xml:space="preserve"> </w:t>
      </w:r>
      <w:r w:rsidRPr="008B38AB">
        <w:rPr>
          <w:rFonts w:ascii="Arial" w:eastAsia="Arial" w:hAnsi="Arial" w:cs="Arial"/>
          <w:color w:val="000000"/>
          <w:w w:val="105"/>
          <w:szCs w:val="21"/>
          <w:lang w:val="en-ZA" w:eastAsia="en-ZA"/>
        </w:rPr>
        <w:t>officer.</w:t>
      </w:r>
    </w:p>
    <w:p w14:paraId="77CB125E" w14:textId="77777777" w:rsidR="00BB5C77" w:rsidRPr="008B38AB" w:rsidRDefault="00BB5C77" w:rsidP="00BB5C77">
      <w:pPr>
        <w:spacing w:before="5" w:after="0" w:line="240" w:lineRule="exact"/>
        <w:jc w:val="both"/>
        <w:rPr>
          <w:rFonts w:eastAsia="Times New Roman" w:cs="Times New Roman"/>
          <w:sz w:val="22"/>
          <w:szCs w:val="24"/>
          <w:lang w:val="en-ZA" w:eastAsia="en-ZA"/>
        </w:rPr>
      </w:pPr>
    </w:p>
    <w:p w14:paraId="448C95B6" w14:textId="77777777" w:rsidR="00BB5C77" w:rsidRPr="008B38AB" w:rsidRDefault="00BB5C77" w:rsidP="00BB5C77">
      <w:pPr>
        <w:tabs>
          <w:tab w:val="left" w:pos="960"/>
        </w:tabs>
        <w:spacing w:after="0" w:line="251" w:lineRule="auto"/>
        <w:ind w:left="972" w:right="115" w:hanging="418"/>
        <w:jc w:val="both"/>
        <w:rPr>
          <w:rFonts w:ascii="Arial" w:eastAsia="Arial" w:hAnsi="Arial" w:cs="Arial"/>
          <w:szCs w:val="21"/>
          <w:lang w:val="en-ZA" w:eastAsia="en-ZA"/>
        </w:rPr>
      </w:pPr>
      <w:r w:rsidRPr="008B38AB">
        <w:rPr>
          <w:rFonts w:ascii="Arial" w:eastAsia="Arial" w:hAnsi="Arial" w:cs="Arial"/>
          <w:color w:val="4F4F4F"/>
          <w:w w:val="166"/>
          <w:szCs w:val="21"/>
          <w:lang w:val="en-ZA" w:eastAsia="en-ZA"/>
        </w:rPr>
        <w:t>•</w:t>
      </w:r>
      <w:r w:rsidRPr="008B38AB">
        <w:rPr>
          <w:rFonts w:ascii="Arial" w:eastAsia="Arial" w:hAnsi="Arial" w:cs="Arial"/>
          <w:color w:val="4F4F4F"/>
          <w:szCs w:val="21"/>
          <w:lang w:val="en-ZA" w:eastAsia="en-ZA"/>
        </w:rPr>
        <w:tab/>
      </w:r>
      <w:r w:rsidRPr="008B38AB">
        <w:rPr>
          <w:rFonts w:ascii="Arial" w:eastAsia="Arial" w:hAnsi="Arial" w:cs="Arial"/>
          <w:color w:val="000000"/>
          <w:szCs w:val="21"/>
          <w:lang w:val="en-ZA" w:eastAsia="en-ZA"/>
        </w:rPr>
        <w:t>conclude</w:t>
      </w:r>
      <w:r w:rsidRPr="008B38AB">
        <w:rPr>
          <w:rFonts w:ascii="Arial" w:eastAsia="Arial" w:hAnsi="Arial" w:cs="Arial"/>
          <w:color w:val="000000"/>
          <w:spacing w:val="54"/>
          <w:szCs w:val="21"/>
          <w:lang w:val="en-ZA" w:eastAsia="en-ZA"/>
        </w:rPr>
        <w:t xml:space="preserve"> </w:t>
      </w:r>
      <w:r w:rsidRPr="008B38AB">
        <w:rPr>
          <w:rFonts w:ascii="Arial" w:eastAsia="Arial" w:hAnsi="Arial" w:cs="Arial"/>
          <w:color w:val="000000"/>
          <w:szCs w:val="21"/>
          <w:lang w:val="en-ZA" w:eastAsia="en-ZA"/>
        </w:rPr>
        <w:t>on</w:t>
      </w:r>
      <w:r w:rsidRPr="008B38AB">
        <w:rPr>
          <w:rFonts w:ascii="Arial" w:eastAsia="Arial" w:hAnsi="Arial" w:cs="Arial"/>
          <w:color w:val="000000"/>
          <w:spacing w:val="13"/>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17"/>
          <w:szCs w:val="21"/>
          <w:lang w:val="en-ZA" w:eastAsia="en-ZA"/>
        </w:rPr>
        <w:t xml:space="preserve"> </w:t>
      </w:r>
      <w:r w:rsidRPr="008B38AB">
        <w:rPr>
          <w:rFonts w:ascii="Arial" w:eastAsia="Arial" w:hAnsi="Arial" w:cs="Arial"/>
          <w:color w:val="000000"/>
          <w:w w:val="105"/>
          <w:szCs w:val="21"/>
          <w:lang w:val="en-ZA" w:eastAsia="en-ZA"/>
        </w:rPr>
        <w:t>appropriateness</w:t>
      </w:r>
      <w:r w:rsidRPr="008B38AB">
        <w:rPr>
          <w:rFonts w:ascii="Arial" w:eastAsia="Arial" w:hAnsi="Arial" w:cs="Arial"/>
          <w:color w:val="000000"/>
          <w:spacing w:val="-13"/>
          <w:w w:val="105"/>
          <w:szCs w:val="21"/>
          <w:lang w:val="en-ZA" w:eastAsia="en-ZA"/>
        </w:rPr>
        <w:t xml:space="preserve"> </w:t>
      </w:r>
      <w:r w:rsidRPr="008B38AB">
        <w:rPr>
          <w:rFonts w:ascii="Arial" w:eastAsia="Arial" w:hAnsi="Arial" w:cs="Arial"/>
          <w:color w:val="000000"/>
          <w:szCs w:val="21"/>
          <w:lang w:val="en-ZA" w:eastAsia="en-ZA"/>
        </w:rPr>
        <w:t>of</w:t>
      </w:r>
      <w:r w:rsidRPr="008B38AB">
        <w:rPr>
          <w:rFonts w:ascii="Arial" w:eastAsia="Arial" w:hAnsi="Arial" w:cs="Arial"/>
          <w:color w:val="000000"/>
          <w:spacing w:val="17"/>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17"/>
          <w:szCs w:val="21"/>
          <w:lang w:val="en-ZA" w:eastAsia="en-ZA"/>
        </w:rPr>
        <w:t xml:space="preserve"> </w:t>
      </w:r>
      <w:r w:rsidRPr="008B38AB">
        <w:rPr>
          <w:rFonts w:ascii="Arial" w:eastAsia="Arial" w:hAnsi="Arial" w:cs="Arial"/>
          <w:color w:val="000000"/>
          <w:szCs w:val="21"/>
          <w:lang w:val="en-ZA" w:eastAsia="en-ZA"/>
        </w:rPr>
        <w:t>accounting</w:t>
      </w:r>
      <w:r w:rsidRPr="008B38AB">
        <w:rPr>
          <w:rFonts w:ascii="Arial" w:eastAsia="Arial" w:hAnsi="Arial" w:cs="Arial"/>
          <w:color w:val="000000"/>
          <w:spacing w:val="50"/>
          <w:szCs w:val="21"/>
          <w:lang w:val="en-ZA" w:eastAsia="en-ZA"/>
        </w:rPr>
        <w:t xml:space="preserve"> </w:t>
      </w:r>
      <w:r w:rsidRPr="008B38AB">
        <w:rPr>
          <w:rFonts w:ascii="Arial" w:eastAsia="Arial" w:hAnsi="Arial" w:cs="Arial"/>
          <w:color w:val="000000"/>
          <w:szCs w:val="21"/>
          <w:lang w:val="en-ZA" w:eastAsia="en-ZA"/>
        </w:rPr>
        <w:t>officer's</w:t>
      </w:r>
      <w:r w:rsidRPr="008B38AB">
        <w:rPr>
          <w:rFonts w:ascii="Arial" w:eastAsia="Arial" w:hAnsi="Arial" w:cs="Arial"/>
          <w:color w:val="000000"/>
          <w:spacing w:val="35"/>
          <w:szCs w:val="21"/>
          <w:lang w:val="en-ZA" w:eastAsia="en-ZA"/>
        </w:rPr>
        <w:t xml:space="preserve"> </w:t>
      </w:r>
      <w:r w:rsidRPr="008B38AB">
        <w:rPr>
          <w:rFonts w:ascii="Arial" w:eastAsia="Arial" w:hAnsi="Arial" w:cs="Arial"/>
          <w:color w:val="000000"/>
          <w:szCs w:val="21"/>
          <w:lang w:val="en-ZA" w:eastAsia="en-ZA"/>
        </w:rPr>
        <w:t>use</w:t>
      </w:r>
      <w:r w:rsidRPr="008B38AB">
        <w:rPr>
          <w:rFonts w:ascii="Arial" w:eastAsia="Arial" w:hAnsi="Arial" w:cs="Arial"/>
          <w:color w:val="000000"/>
          <w:spacing w:val="25"/>
          <w:szCs w:val="21"/>
          <w:lang w:val="en-ZA" w:eastAsia="en-ZA"/>
        </w:rPr>
        <w:t xml:space="preserve"> </w:t>
      </w:r>
      <w:r w:rsidRPr="008B38AB">
        <w:rPr>
          <w:rFonts w:ascii="Arial" w:eastAsia="Arial" w:hAnsi="Arial" w:cs="Arial"/>
          <w:color w:val="000000"/>
          <w:szCs w:val="21"/>
          <w:lang w:val="en-ZA" w:eastAsia="en-ZA"/>
        </w:rPr>
        <w:t>of</w:t>
      </w:r>
      <w:r w:rsidRPr="008B38AB">
        <w:rPr>
          <w:rFonts w:ascii="Arial" w:eastAsia="Arial" w:hAnsi="Arial" w:cs="Arial"/>
          <w:color w:val="000000"/>
          <w:spacing w:val="2"/>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19"/>
          <w:szCs w:val="21"/>
          <w:lang w:val="en-ZA" w:eastAsia="en-ZA"/>
        </w:rPr>
        <w:t xml:space="preserve"> </w:t>
      </w:r>
      <w:r w:rsidRPr="008B38AB">
        <w:rPr>
          <w:rFonts w:ascii="Arial" w:eastAsia="Arial" w:hAnsi="Arial" w:cs="Arial"/>
          <w:color w:val="000000"/>
          <w:w w:val="110"/>
          <w:szCs w:val="21"/>
          <w:lang w:val="en-ZA" w:eastAsia="en-ZA"/>
        </w:rPr>
        <w:t xml:space="preserve">going </w:t>
      </w:r>
      <w:r w:rsidRPr="008B38AB">
        <w:rPr>
          <w:rFonts w:ascii="Arial" w:eastAsia="Arial" w:hAnsi="Arial" w:cs="Arial"/>
          <w:color w:val="000000"/>
          <w:w w:val="107"/>
          <w:szCs w:val="21"/>
          <w:lang w:val="en-ZA" w:eastAsia="en-ZA"/>
        </w:rPr>
        <w:t>concern</w:t>
      </w:r>
      <w:r w:rsidRPr="008B38AB">
        <w:rPr>
          <w:rFonts w:ascii="Arial" w:eastAsia="Arial" w:hAnsi="Arial" w:cs="Arial"/>
          <w:color w:val="000000"/>
          <w:spacing w:val="-3"/>
          <w:szCs w:val="21"/>
          <w:lang w:val="en-ZA" w:eastAsia="en-ZA"/>
        </w:rPr>
        <w:t xml:space="preserve"> </w:t>
      </w:r>
      <w:r w:rsidRPr="008B38AB">
        <w:rPr>
          <w:rFonts w:ascii="Arial" w:eastAsia="Arial" w:hAnsi="Arial" w:cs="Arial"/>
          <w:color w:val="000000"/>
          <w:szCs w:val="21"/>
          <w:lang w:val="en-ZA" w:eastAsia="en-ZA"/>
        </w:rPr>
        <w:t>basis</w:t>
      </w:r>
      <w:r w:rsidRPr="008B38AB">
        <w:rPr>
          <w:rFonts w:ascii="Arial" w:eastAsia="Arial" w:hAnsi="Arial" w:cs="Arial"/>
          <w:color w:val="000000"/>
          <w:spacing w:val="18"/>
          <w:szCs w:val="21"/>
          <w:lang w:val="en-ZA" w:eastAsia="en-ZA"/>
        </w:rPr>
        <w:t xml:space="preserve"> </w:t>
      </w:r>
      <w:r w:rsidRPr="008B38AB">
        <w:rPr>
          <w:rFonts w:ascii="Arial" w:eastAsia="Arial" w:hAnsi="Arial" w:cs="Arial"/>
          <w:color w:val="000000"/>
          <w:szCs w:val="21"/>
          <w:lang w:val="en-ZA" w:eastAsia="en-ZA"/>
        </w:rPr>
        <w:t>of</w:t>
      </w:r>
      <w:r w:rsidRPr="008B38AB">
        <w:rPr>
          <w:rFonts w:ascii="Arial" w:eastAsia="Arial" w:hAnsi="Arial" w:cs="Arial"/>
          <w:color w:val="000000"/>
          <w:spacing w:val="26"/>
          <w:szCs w:val="21"/>
          <w:lang w:val="en-ZA" w:eastAsia="en-ZA"/>
        </w:rPr>
        <w:t xml:space="preserve"> </w:t>
      </w:r>
      <w:r w:rsidRPr="008B38AB">
        <w:rPr>
          <w:rFonts w:ascii="Arial" w:eastAsia="Arial" w:hAnsi="Arial" w:cs="Arial"/>
          <w:color w:val="000000"/>
          <w:szCs w:val="21"/>
          <w:lang w:val="en-ZA" w:eastAsia="en-ZA"/>
        </w:rPr>
        <w:t>accounting</w:t>
      </w:r>
      <w:r w:rsidRPr="008B38AB">
        <w:rPr>
          <w:rFonts w:ascii="Arial" w:eastAsia="Arial" w:hAnsi="Arial" w:cs="Arial"/>
          <w:color w:val="000000"/>
          <w:spacing w:val="32"/>
          <w:szCs w:val="21"/>
          <w:lang w:val="en-ZA" w:eastAsia="en-ZA"/>
        </w:rPr>
        <w:t xml:space="preserve"> </w:t>
      </w:r>
      <w:r w:rsidRPr="008B38AB">
        <w:rPr>
          <w:rFonts w:ascii="Arial" w:eastAsia="Arial" w:hAnsi="Arial" w:cs="Arial"/>
          <w:color w:val="000000"/>
          <w:szCs w:val="21"/>
          <w:lang w:val="en-ZA" w:eastAsia="en-ZA"/>
        </w:rPr>
        <w:t>in</w:t>
      </w:r>
      <w:r w:rsidRPr="008B38AB">
        <w:rPr>
          <w:rFonts w:ascii="Arial" w:eastAsia="Arial" w:hAnsi="Arial" w:cs="Arial"/>
          <w:color w:val="000000"/>
          <w:spacing w:val="20"/>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13"/>
          <w:szCs w:val="21"/>
          <w:lang w:val="en-ZA" w:eastAsia="en-ZA"/>
        </w:rPr>
        <w:t xml:space="preserve"> </w:t>
      </w:r>
      <w:r w:rsidRPr="008B38AB">
        <w:rPr>
          <w:rFonts w:ascii="Arial" w:eastAsia="Arial" w:hAnsi="Arial" w:cs="Arial"/>
          <w:color w:val="000000"/>
          <w:szCs w:val="21"/>
          <w:lang w:val="en-ZA" w:eastAsia="en-ZA"/>
        </w:rPr>
        <w:t xml:space="preserve">preparation </w:t>
      </w:r>
      <w:r w:rsidRPr="008B38AB">
        <w:rPr>
          <w:rFonts w:ascii="Arial" w:eastAsia="Arial" w:hAnsi="Arial" w:cs="Arial"/>
          <w:color w:val="000000"/>
          <w:spacing w:val="9"/>
          <w:szCs w:val="21"/>
          <w:lang w:val="en-ZA" w:eastAsia="en-ZA"/>
        </w:rPr>
        <w:t>of</w:t>
      </w:r>
      <w:r w:rsidRPr="008B38AB">
        <w:rPr>
          <w:rFonts w:ascii="Arial" w:eastAsia="Arial" w:hAnsi="Arial" w:cs="Arial"/>
          <w:color w:val="000000"/>
          <w:spacing w:val="1"/>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8"/>
          <w:szCs w:val="21"/>
          <w:lang w:val="en-ZA" w:eastAsia="en-ZA"/>
        </w:rPr>
        <w:t xml:space="preserve"> </w:t>
      </w:r>
      <w:r w:rsidRPr="008B38AB">
        <w:rPr>
          <w:rFonts w:ascii="Arial" w:eastAsia="Arial" w:hAnsi="Arial" w:cs="Arial"/>
          <w:color w:val="000000"/>
          <w:szCs w:val="21"/>
          <w:lang w:val="en-ZA" w:eastAsia="en-ZA"/>
        </w:rPr>
        <w:t>financial</w:t>
      </w:r>
      <w:r w:rsidRPr="008B38AB">
        <w:rPr>
          <w:rFonts w:ascii="Arial" w:eastAsia="Arial" w:hAnsi="Arial" w:cs="Arial"/>
          <w:color w:val="000000"/>
          <w:spacing w:val="34"/>
          <w:szCs w:val="21"/>
          <w:lang w:val="en-ZA" w:eastAsia="en-ZA"/>
        </w:rPr>
        <w:t xml:space="preserve"> </w:t>
      </w:r>
      <w:r w:rsidRPr="008B38AB">
        <w:rPr>
          <w:rFonts w:ascii="Arial" w:eastAsia="Arial" w:hAnsi="Arial" w:cs="Arial"/>
          <w:color w:val="000000"/>
          <w:szCs w:val="21"/>
          <w:lang w:val="en-ZA" w:eastAsia="en-ZA"/>
        </w:rPr>
        <w:t>statements.</w:t>
      </w:r>
      <w:r w:rsidRPr="008B38AB">
        <w:rPr>
          <w:rFonts w:ascii="Arial" w:eastAsia="Arial" w:hAnsi="Arial" w:cs="Arial"/>
          <w:color w:val="000000"/>
          <w:spacing w:val="45"/>
          <w:szCs w:val="21"/>
          <w:lang w:val="en-ZA" w:eastAsia="en-ZA"/>
        </w:rPr>
        <w:t xml:space="preserve"> </w:t>
      </w:r>
      <w:r w:rsidRPr="008B38AB">
        <w:rPr>
          <w:rFonts w:ascii="Arial" w:eastAsia="Arial" w:hAnsi="Arial" w:cs="Arial"/>
          <w:color w:val="000000"/>
          <w:w w:val="143"/>
          <w:szCs w:val="21"/>
          <w:lang w:val="en-ZA" w:eastAsia="en-ZA"/>
        </w:rPr>
        <w:t>I</w:t>
      </w:r>
      <w:r w:rsidRPr="008B38AB">
        <w:rPr>
          <w:rFonts w:ascii="Arial" w:eastAsia="Arial" w:hAnsi="Arial" w:cs="Arial"/>
          <w:color w:val="000000"/>
          <w:spacing w:val="-29"/>
          <w:szCs w:val="21"/>
          <w:lang w:val="en-ZA" w:eastAsia="en-ZA"/>
        </w:rPr>
        <w:t xml:space="preserve"> </w:t>
      </w:r>
      <w:r w:rsidRPr="008B38AB">
        <w:rPr>
          <w:rFonts w:ascii="Arial" w:eastAsia="Arial" w:hAnsi="Arial" w:cs="Arial"/>
          <w:color w:val="000000"/>
          <w:w w:val="109"/>
          <w:szCs w:val="21"/>
          <w:lang w:val="en-ZA" w:eastAsia="en-ZA"/>
        </w:rPr>
        <w:t xml:space="preserve">also </w:t>
      </w:r>
      <w:r w:rsidRPr="008B38AB">
        <w:rPr>
          <w:rFonts w:ascii="Arial" w:eastAsia="Arial" w:hAnsi="Arial" w:cs="Arial"/>
          <w:color w:val="000000"/>
          <w:w w:val="107"/>
          <w:szCs w:val="21"/>
          <w:lang w:val="en-ZA" w:eastAsia="en-ZA"/>
        </w:rPr>
        <w:t>conclud</w:t>
      </w:r>
      <w:r w:rsidRPr="008B38AB">
        <w:rPr>
          <w:rFonts w:ascii="Arial" w:eastAsia="Arial" w:hAnsi="Arial" w:cs="Arial"/>
          <w:color w:val="000000"/>
          <w:spacing w:val="-14"/>
          <w:w w:val="107"/>
          <w:szCs w:val="21"/>
          <w:lang w:val="en-ZA" w:eastAsia="en-ZA"/>
        </w:rPr>
        <w:t>e</w:t>
      </w:r>
      <w:r w:rsidRPr="008B38AB">
        <w:rPr>
          <w:rFonts w:ascii="Arial" w:eastAsia="Arial" w:hAnsi="Arial" w:cs="Arial"/>
          <w:color w:val="1C1C1C"/>
          <w:w w:val="161"/>
          <w:szCs w:val="21"/>
          <w:lang w:val="en-ZA" w:eastAsia="en-ZA"/>
        </w:rPr>
        <w:t>,</w:t>
      </w:r>
      <w:r w:rsidRPr="008B38AB">
        <w:rPr>
          <w:rFonts w:ascii="Arial" w:eastAsia="Arial" w:hAnsi="Arial" w:cs="Arial"/>
          <w:color w:val="1C1C1C"/>
          <w:spacing w:val="-19"/>
          <w:szCs w:val="21"/>
          <w:lang w:val="en-ZA" w:eastAsia="en-ZA"/>
        </w:rPr>
        <w:t xml:space="preserve"> </w:t>
      </w:r>
      <w:r w:rsidRPr="008B38AB">
        <w:rPr>
          <w:rFonts w:ascii="Arial" w:eastAsia="Arial" w:hAnsi="Arial" w:cs="Arial"/>
          <w:color w:val="000000"/>
          <w:szCs w:val="21"/>
          <w:lang w:val="en-ZA" w:eastAsia="en-ZA"/>
        </w:rPr>
        <w:t>based</w:t>
      </w:r>
      <w:r w:rsidRPr="008B38AB">
        <w:rPr>
          <w:rFonts w:ascii="Arial" w:eastAsia="Arial" w:hAnsi="Arial" w:cs="Arial"/>
          <w:color w:val="000000"/>
          <w:spacing w:val="36"/>
          <w:szCs w:val="21"/>
          <w:lang w:val="en-ZA" w:eastAsia="en-ZA"/>
        </w:rPr>
        <w:t xml:space="preserve"> </w:t>
      </w:r>
      <w:r w:rsidRPr="008B38AB">
        <w:rPr>
          <w:rFonts w:ascii="Arial" w:eastAsia="Arial" w:hAnsi="Arial" w:cs="Arial"/>
          <w:color w:val="000000"/>
          <w:szCs w:val="21"/>
          <w:lang w:val="en-ZA" w:eastAsia="en-ZA"/>
        </w:rPr>
        <w:t>on</w:t>
      </w:r>
      <w:r w:rsidRPr="008B38AB">
        <w:rPr>
          <w:rFonts w:ascii="Arial" w:eastAsia="Arial" w:hAnsi="Arial" w:cs="Arial"/>
          <w:color w:val="000000"/>
          <w:spacing w:val="13"/>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5"/>
          <w:szCs w:val="21"/>
          <w:lang w:val="en-ZA" w:eastAsia="en-ZA"/>
        </w:rPr>
        <w:t xml:space="preserve"> </w:t>
      </w:r>
      <w:r w:rsidRPr="008B38AB">
        <w:rPr>
          <w:rFonts w:ascii="Arial" w:eastAsia="Arial" w:hAnsi="Arial" w:cs="Arial"/>
          <w:color w:val="000000"/>
          <w:szCs w:val="21"/>
          <w:lang w:val="en-ZA" w:eastAsia="en-ZA"/>
        </w:rPr>
        <w:t>audit</w:t>
      </w:r>
      <w:r w:rsidRPr="008B38AB">
        <w:rPr>
          <w:rFonts w:ascii="Arial" w:eastAsia="Arial" w:hAnsi="Arial" w:cs="Arial"/>
          <w:color w:val="000000"/>
          <w:spacing w:val="32"/>
          <w:szCs w:val="21"/>
          <w:lang w:val="en-ZA" w:eastAsia="en-ZA"/>
        </w:rPr>
        <w:t xml:space="preserve"> </w:t>
      </w:r>
      <w:r w:rsidRPr="008B38AB">
        <w:rPr>
          <w:rFonts w:ascii="Arial" w:eastAsia="Arial" w:hAnsi="Arial" w:cs="Arial"/>
          <w:color w:val="000000"/>
          <w:szCs w:val="21"/>
          <w:lang w:val="en-ZA" w:eastAsia="en-ZA"/>
        </w:rPr>
        <w:t>evidence</w:t>
      </w:r>
      <w:r w:rsidRPr="008B38AB">
        <w:rPr>
          <w:rFonts w:ascii="Arial" w:eastAsia="Arial" w:hAnsi="Arial" w:cs="Arial"/>
          <w:color w:val="000000"/>
          <w:spacing w:val="54"/>
          <w:szCs w:val="21"/>
          <w:lang w:val="en-ZA" w:eastAsia="en-ZA"/>
        </w:rPr>
        <w:t xml:space="preserve"> </w:t>
      </w:r>
      <w:r w:rsidRPr="008B38AB">
        <w:rPr>
          <w:rFonts w:ascii="Arial" w:eastAsia="Arial" w:hAnsi="Arial" w:cs="Arial"/>
          <w:color w:val="000000"/>
          <w:szCs w:val="21"/>
          <w:lang w:val="en-ZA" w:eastAsia="en-ZA"/>
        </w:rPr>
        <w:t>obtained,</w:t>
      </w:r>
      <w:r w:rsidRPr="008B38AB">
        <w:rPr>
          <w:rFonts w:ascii="Arial" w:eastAsia="Arial" w:hAnsi="Arial" w:cs="Arial"/>
          <w:color w:val="000000"/>
          <w:spacing w:val="36"/>
          <w:szCs w:val="21"/>
          <w:lang w:val="en-ZA" w:eastAsia="en-ZA"/>
        </w:rPr>
        <w:t xml:space="preserve"> </w:t>
      </w:r>
      <w:r w:rsidRPr="008B38AB">
        <w:rPr>
          <w:rFonts w:ascii="Arial" w:eastAsia="Arial" w:hAnsi="Arial" w:cs="Arial"/>
          <w:color w:val="000000"/>
          <w:szCs w:val="21"/>
          <w:lang w:val="en-ZA" w:eastAsia="en-ZA"/>
        </w:rPr>
        <w:t>whether</w:t>
      </w:r>
      <w:r w:rsidRPr="008B38AB">
        <w:rPr>
          <w:rFonts w:ascii="Arial" w:eastAsia="Arial" w:hAnsi="Arial" w:cs="Arial"/>
          <w:color w:val="000000"/>
          <w:spacing w:val="32"/>
          <w:szCs w:val="21"/>
          <w:lang w:val="en-ZA" w:eastAsia="en-ZA"/>
        </w:rPr>
        <w:t xml:space="preserve"> </w:t>
      </w:r>
      <w:r w:rsidRPr="008B38AB">
        <w:rPr>
          <w:rFonts w:ascii="Arial" w:eastAsia="Arial" w:hAnsi="Arial" w:cs="Arial"/>
          <w:color w:val="000000"/>
          <w:szCs w:val="21"/>
          <w:lang w:val="en-ZA" w:eastAsia="en-ZA"/>
        </w:rPr>
        <w:t>a</w:t>
      </w:r>
      <w:r w:rsidRPr="008B38AB">
        <w:rPr>
          <w:rFonts w:ascii="Arial" w:eastAsia="Arial" w:hAnsi="Arial" w:cs="Arial"/>
          <w:color w:val="000000"/>
          <w:spacing w:val="5"/>
          <w:szCs w:val="21"/>
          <w:lang w:val="en-ZA" w:eastAsia="en-ZA"/>
        </w:rPr>
        <w:t xml:space="preserve"> </w:t>
      </w:r>
      <w:r w:rsidRPr="008B38AB">
        <w:rPr>
          <w:rFonts w:ascii="Arial" w:eastAsia="Arial" w:hAnsi="Arial" w:cs="Arial"/>
          <w:color w:val="000000"/>
          <w:szCs w:val="21"/>
          <w:lang w:val="en-ZA" w:eastAsia="en-ZA"/>
        </w:rPr>
        <w:t>material</w:t>
      </w:r>
      <w:r w:rsidRPr="008B38AB">
        <w:rPr>
          <w:rFonts w:ascii="Arial" w:eastAsia="Arial" w:hAnsi="Arial" w:cs="Arial"/>
          <w:color w:val="000000"/>
          <w:spacing w:val="22"/>
          <w:szCs w:val="21"/>
          <w:lang w:val="en-ZA" w:eastAsia="en-ZA"/>
        </w:rPr>
        <w:t xml:space="preserve"> </w:t>
      </w:r>
      <w:r w:rsidRPr="008B38AB">
        <w:rPr>
          <w:rFonts w:ascii="Arial" w:eastAsia="Arial" w:hAnsi="Arial" w:cs="Arial"/>
          <w:color w:val="000000"/>
          <w:w w:val="106"/>
          <w:szCs w:val="21"/>
          <w:lang w:val="en-ZA" w:eastAsia="en-ZA"/>
        </w:rPr>
        <w:t xml:space="preserve">uncertainty </w:t>
      </w:r>
      <w:r w:rsidRPr="008B38AB">
        <w:rPr>
          <w:rFonts w:ascii="Arial" w:eastAsia="Arial" w:hAnsi="Arial" w:cs="Arial"/>
          <w:color w:val="000000"/>
          <w:szCs w:val="21"/>
          <w:lang w:val="en-ZA" w:eastAsia="en-ZA"/>
        </w:rPr>
        <w:t>exists</w:t>
      </w:r>
      <w:r w:rsidRPr="008B38AB">
        <w:rPr>
          <w:rFonts w:ascii="Arial" w:eastAsia="Arial" w:hAnsi="Arial" w:cs="Arial"/>
          <w:color w:val="000000"/>
          <w:spacing w:val="27"/>
          <w:szCs w:val="21"/>
          <w:lang w:val="en-ZA" w:eastAsia="en-ZA"/>
        </w:rPr>
        <w:t xml:space="preserve"> </w:t>
      </w:r>
      <w:r w:rsidRPr="008B38AB">
        <w:rPr>
          <w:rFonts w:ascii="Arial" w:eastAsia="Arial" w:hAnsi="Arial" w:cs="Arial"/>
          <w:color w:val="000000"/>
          <w:szCs w:val="21"/>
          <w:lang w:val="en-ZA" w:eastAsia="en-ZA"/>
        </w:rPr>
        <w:t>related</w:t>
      </w:r>
      <w:r w:rsidRPr="008B38AB">
        <w:rPr>
          <w:rFonts w:ascii="Arial" w:eastAsia="Arial" w:hAnsi="Arial" w:cs="Arial"/>
          <w:color w:val="000000"/>
          <w:spacing w:val="36"/>
          <w:szCs w:val="21"/>
          <w:lang w:val="en-ZA" w:eastAsia="en-ZA"/>
        </w:rPr>
        <w:t xml:space="preserve"> </w:t>
      </w:r>
      <w:r w:rsidRPr="008B38AB">
        <w:rPr>
          <w:rFonts w:ascii="Arial" w:eastAsia="Arial" w:hAnsi="Arial" w:cs="Arial"/>
          <w:color w:val="000000"/>
          <w:szCs w:val="21"/>
          <w:lang w:val="en-ZA" w:eastAsia="en-ZA"/>
        </w:rPr>
        <w:t>to</w:t>
      </w:r>
      <w:r w:rsidRPr="008B38AB">
        <w:rPr>
          <w:rFonts w:ascii="Arial" w:eastAsia="Arial" w:hAnsi="Arial" w:cs="Arial"/>
          <w:color w:val="000000"/>
          <w:spacing w:val="5"/>
          <w:szCs w:val="21"/>
          <w:lang w:val="en-ZA" w:eastAsia="en-ZA"/>
        </w:rPr>
        <w:t xml:space="preserve"> </w:t>
      </w:r>
      <w:r w:rsidRPr="008B38AB">
        <w:rPr>
          <w:rFonts w:ascii="Arial" w:eastAsia="Arial" w:hAnsi="Arial" w:cs="Arial"/>
          <w:color w:val="000000"/>
          <w:szCs w:val="21"/>
          <w:lang w:val="en-ZA" w:eastAsia="en-ZA"/>
        </w:rPr>
        <w:t>events</w:t>
      </w:r>
      <w:r w:rsidRPr="008B38AB">
        <w:rPr>
          <w:rFonts w:ascii="Arial" w:eastAsia="Arial" w:hAnsi="Arial" w:cs="Arial"/>
          <w:color w:val="000000"/>
          <w:spacing w:val="38"/>
          <w:szCs w:val="21"/>
          <w:lang w:val="en-ZA" w:eastAsia="en-ZA"/>
        </w:rPr>
        <w:t xml:space="preserve"> </w:t>
      </w:r>
      <w:r w:rsidRPr="008B38AB">
        <w:rPr>
          <w:rFonts w:ascii="Arial" w:eastAsia="Arial" w:hAnsi="Arial" w:cs="Arial"/>
          <w:color w:val="000000"/>
          <w:szCs w:val="21"/>
          <w:lang w:val="en-ZA" w:eastAsia="en-ZA"/>
        </w:rPr>
        <w:t>or</w:t>
      </w:r>
      <w:r w:rsidRPr="008B38AB">
        <w:rPr>
          <w:rFonts w:ascii="Arial" w:eastAsia="Arial" w:hAnsi="Arial" w:cs="Arial"/>
          <w:color w:val="000000"/>
          <w:spacing w:val="8"/>
          <w:szCs w:val="21"/>
          <w:lang w:val="en-ZA" w:eastAsia="en-ZA"/>
        </w:rPr>
        <w:t xml:space="preserve"> </w:t>
      </w:r>
      <w:r w:rsidRPr="008B38AB">
        <w:rPr>
          <w:rFonts w:ascii="Arial" w:eastAsia="Arial" w:hAnsi="Arial" w:cs="Arial"/>
          <w:color w:val="000000"/>
          <w:szCs w:val="21"/>
          <w:lang w:val="en-ZA" w:eastAsia="en-ZA"/>
        </w:rPr>
        <w:t>conditions</w:t>
      </w:r>
      <w:r w:rsidRPr="008B38AB">
        <w:rPr>
          <w:rFonts w:ascii="Arial" w:eastAsia="Arial" w:hAnsi="Arial" w:cs="Arial"/>
          <w:color w:val="000000"/>
          <w:spacing w:val="40"/>
          <w:szCs w:val="21"/>
          <w:lang w:val="en-ZA" w:eastAsia="en-ZA"/>
        </w:rPr>
        <w:t xml:space="preserve"> </w:t>
      </w:r>
      <w:r w:rsidRPr="008B38AB">
        <w:rPr>
          <w:rFonts w:ascii="Arial" w:eastAsia="Arial" w:hAnsi="Arial" w:cs="Arial"/>
          <w:color w:val="000000"/>
          <w:szCs w:val="21"/>
          <w:lang w:val="en-ZA" w:eastAsia="en-ZA"/>
        </w:rPr>
        <w:t>that</w:t>
      </w:r>
      <w:r w:rsidRPr="008B38AB">
        <w:rPr>
          <w:rFonts w:ascii="Arial" w:eastAsia="Arial" w:hAnsi="Arial" w:cs="Arial"/>
          <w:color w:val="000000"/>
          <w:spacing w:val="8"/>
          <w:szCs w:val="21"/>
          <w:lang w:val="en-ZA" w:eastAsia="en-ZA"/>
        </w:rPr>
        <w:t xml:space="preserve"> </w:t>
      </w:r>
      <w:r w:rsidRPr="008B38AB">
        <w:rPr>
          <w:rFonts w:ascii="Arial" w:eastAsia="Arial" w:hAnsi="Arial" w:cs="Arial"/>
          <w:color w:val="000000"/>
          <w:szCs w:val="21"/>
          <w:lang w:val="en-ZA" w:eastAsia="en-ZA"/>
        </w:rPr>
        <w:t>may</w:t>
      </w:r>
      <w:r w:rsidRPr="008B38AB">
        <w:rPr>
          <w:rFonts w:ascii="Arial" w:eastAsia="Arial" w:hAnsi="Arial" w:cs="Arial"/>
          <w:color w:val="000000"/>
          <w:spacing w:val="43"/>
          <w:szCs w:val="21"/>
          <w:lang w:val="en-ZA" w:eastAsia="en-ZA"/>
        </w:rPr>
        <w:t xml:space="preserve"> </w:t>
      </w:r>
      <w:r w:rsidRPr="008B38AB">
        <w:rPr>
          <w:rFonts w:ascii="Arial" w:eastAsia="Arial" w:hAnsi="Arial" w:cs="Arial"/>
          <w:color w:val="000000"/>
          <w:szCs w:val="21"/>
          <w:lang w:val="en-ZA" w:eastAsia="en-ZA"/>
        </w:rPr>
        <w:t>cast</w:t>
      </w:r>
      <w:r w:rsidRPr="008B38AB">
        <w:rPr>
          <w:rFonts w:ascii="Arial" w:eastAsia="Arial" w:hAnsi="Arial" w:cs="Arial"/>
          <w:color w:val="000000"/>
          <w:spacing w:val="20"/>
          <w:szCs w:val="21"/>
          <w:lang w:val="en-ZA" w:eastAsia="en-ZA"/>
        </w:rPr>
        <w:t xml:space="preserve"> </w:t>
      </w:r>
      <w:r w:rsidRPr="008B38AB">
        <w:rPr>
          <w:rFonts w:ascii="Arial" w:eastAsia="Arial" w:hAnsi="Arial" w:cs="Arial"/>
          <w:color w:val="000000"/>
          <w:szCs w:val="21"/>
          <w:lang w:val="en-ZA" w:eastAsia="en-ZA"/>
        </w:rPr>
        <w:t>significant</w:t>
      </w:r>
      <w:r w:rsidRPr="008B38AB">
        <w:rPr>
          <w:rFonts w:ascii="Arial" w:eastAsia="Arial" w:hAnsi="Arial" w:cs="Arial"/>
          <w:color w:val="000000"/>
          <w:spacing w:val="34"/>
          <w:szCs w:val="21"/>
          <w:lang w:val="en-ZA" w:eastAsia="en-ZA"/>
        </w:rPr>
        <w:t xml:space="preserve"> </w:t>
      </w:r>
      <w:r w:rsidRPr="008B38AB">
        <w:rPr>
          <w:rFonts w:ascii="Arial" w:eastAsia="Arial" w:hAnsi="Arial" w:cs="Arial"/>
          <w:color w:val="000000"/>
          <w:szCs w:val="21"/>
          <w:lang w:val="en-ZA" w:eastAsia="en-ZA"/>
        </w:rPr>
        <w:t>doubt</w:t>
      </w:r>
      <w:r w:rsidRPr="008B38AB">
        <w:rPr>
          <w:rFonts w:ascii="Arial" w:eastAsia="Arial" w:hAnsi="Arial" w:cs="Arial"/>
          <w:color w:val="000000"/>
          <w:spacing w:val="36"/>
          <w:szCs w:val="21"/>
          <w:lang w:val="en-ZA" w:eastAsia="en-ZA"/>
        </w:rPr>
        <w:t xml:space="preserve"> </w:t>
      </w:r>
      <w:r w:rsidRPr="008B38AB">
        <w:rPr>
          <w:rFonts w:ascii="Arial" w:eastAsia="Arial" w:hAnsi="Arial" w:cs="Arial"/>
          <w:color w:val="000000"/>
          <w:szCs w:val="21"/>
          <w:lang w:val="en-ZA" w:eastAsia="en-ZA"/>
        </w:rPr>
        <w:t>on</w:t>
      </w:r>
      <w:r w:rsidRPr="008B38AB">
        <w:rPr>
          <w:rFonts w:ascii="Arial" w:eastAsia="Arial" w:hAnsi="Arial" w:cs="Arial"/>
          <w:color w:val="000000"/>
          <w:spacing w:val="13"/>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11"/>
          <w:szCs w:val="21"/>
          <w:lang w:val="en-ZA" w:eastAsia="en-ZA"/>
        </w:rPr>
        <w:t xml:space="preserve"> </w:t>
      </w:r>
      <w:r w:rsidRPr="008B38AB">
        <w:rPr>
          <w:rFonts w:ascii="Arial" w:eastAsia="Arial" w:hAnsi="Arial" w:cs="Arial"/>
          <w:color w:val="000000"/>
          <w:w w:val="107"/>
          <w:szCs w:val="21"/>
          <w:lang w:val="en-ZA" w:eastAsia="en-ZA"/>
        </w:rPr>
        <w:t xml:space="preserve">uMlalazi </w:t>
      </w:r>
      <w:r w:rsidRPr="008B38AB">
        <w:rPr>
          <w:rFonts w:ascii="Arial" w:eastAsia="Arial" w:hAnsi="Arial" w:cs="Arial"/>
          <w:color w:val="000000"/>
          <w:szCs w:val="21"/>
          <w:lang w:val="en-ZA" w:eastAsia="en-ZA"/>
        </w:rPr>
        <w:t xml:space="preserve">Municipality's </w:t>
      </w:r>
      <w:r w:rsidRPr="008B38AB">
        <w:rPr>
          <w:rFonts w:ascii="Arial" w:eastAsia="Arial" w:hAnsi="Arial" w:cs="Arial"/>
          <w:color w:val="000000"/>
          <w:spacing w:val="10"/>
          <w:szCs w:val="21"/>
          <w:lang w:val="en-ZA" w:eastAsia="en-ZA"/>
        </w:rPr>
        <w:t xml:space="preserve"> </w:t>
      </w:r>
      <w:r w:rsidRPr="008B38AB">
        <w:rPr>
          <w:rFonts w:ascii="Arial" w:eastAsia="Arial" w:hAnsi="Arial" w:cs="Arial"/>
          <w:color w:val="000000"/>
          <w:szCs w:val="21"/>
          <w:lang w:val="en-ZA" w:eastAsia="en-ZA"/>
        </w:rPr>
        <w:t>ability</w:t>
      </w:r>
      <w:r w:rsidRPr="008B38AB">
        <w:rPr>
          <w:rFonts w:ascii="Arial" w:eastAsia="Arial" w:hAnsi="Arial" w:cs="Arial"/>
          <w:color w:val="000000"/>
          <w:spacing w:val="26"/>
          <w:szCs w:val="21"/>
          <w:lang w:val="en-ZA" w:eastAsia="en-ZA"/>
        </w:rPr>
        <w:t xml:space="preserve"> </w:t>
      </w:r>
      <w:r w:rsidRPr="008B38AB">
        <w:rPr>
          <w:rFonts w:ascii="Arial" w:eastAsia="Arial" w:hAnsi="Arial" w:cs="Arial"/>
          <w:color w:val="000000"/>
          <w:szCs w:val="21"/>
          <w:lang w:val="en-ZA" w:eastAsia="en-ZA"/>
        </w:rPr>
        <w:t>to</w:t>
      </w:r>
      <w:r w:rsidRPr="008B38AB">
        <w:rPr>
          <w:rFonts w:ascii="Arial" w:eastAsia="Arial" w:hAnsi="Arial" w:cs="Arial"/>
          <w:color w:val="000000"/>
          <w:spacing w:val="21"/>
          <w:szCs w:val="21"/>
          <w:lang w:val="en-ZA" w:eastAsia="en-ZA"/>
        </w:rPr>
        <w:t xml:space="preserve"> </w:t>
      </w:r>
      <w:r w:rsidRPr="008B38AB">
        <w:rPr>
          <w:rFonts w:ascii="Arial" w:eastAsia="Arial" w:hAnsi="Arial" w:cs="Arial"/>
          <w:color w:val="000000"/>
          <w:szCs w:val="21"/>
          <w:lang w:val="en-ZA" w:eastAsia="en-ZA"/>
        </w:rPr>
        <w:t>continue</w:t>
      </w:r>
      <w:r w:rsidRPr="008B38AB">
        <w:rPr>
          <w:rFonts w:ascii="Arial" w:eastAsia="Arial" w:hAnsi="Arial" w:cs="Arial"/>
          <w:color w:val="000000"/>
          <w:spacing w:val="22"/>
          <w:szCs w:val="21"/>
          <w:lang w:val="en-ZA" w:eastAsia="en-ZA"/>
        </w:rPr>
        <w:t xml:space="preserve"> </w:t>
      </w:r>
      <w:r w:rsidRPr="008B38AB">
        <w:rPr>
          <w:rFonts w:ascii="Arial" w:eastAsia="Arial" w:hAnsi="Arial" w:cs="Arial"/>
          <w:color w:val="000000"/>
          <w:szCs w:val="21"/>
          <w:lang w:val="en-ZA" w:eastAsia="en-ZA"/>
        </w:rPr>
        <w:t>as</w:t>
      </w:r>
      <w:r w:rsidRPr="008B38AB">
        <w:rPr>
          <w:rFonts w:ascii="Arial" w:eastAsia="Arial" w:hAnsi="Arial" w:cs="Arial"/>
          <w:color w:val="000000"/>
          <w:spacing w:val="24"/>
          <w:szCs w:val="21"/>
          <w:lang w:val="en-ZA" w:eastAsia="en-ZA"/>
        </w:rPr>
        <w:t xml:space="preserve"> </w:t>
      </w:r>
      <w:r w:rsidRPr="008B38AB">
        <w:rPr>
          <w:rFonts w:ascii="Arial" w:eastAsia="Arial" w:hAnsi="Arial" w:cs="Arial"/>
          <w:color w:val="000000"/>
          <w:szCs w:val="21"/>
          <w:lang w:val="en-ZA" w:eastAsia="en-ZA"/>
        </w:rPr>
        <w:t>a</w:t>
      </w:r>
      <w:r w:rsidRPr="008B38AB">
        <w:rPr>
          <w:rFonts w:ascii="Arial" w:eastAsia="Arial" w:hAnsi="Arial" w:cs="Arial"/>
          <w:color w:val="000000"/>
          <w:spacing w:val="13"/>
          <w:szCs w:val="21"/>
          <w:lang w:val="en-ZA" w:eastAsia="en-ZA"/>
        </w:rPr>
        <w:t xml:space="preserve"> </w:t>
      </w:r>
      <w:r w:rsidRPr="008B38AB">
        <w:rPr>
          <w:rFonts w:ascii="Arial" w:eastAsia="Arial" w:hAnsi="Arial" w:cs="Arial"/>
          <w:color w:val="000000"/>
          <w:szCs w:val="21"/>
          <w:lang w:val="en-ZA" w:eastAsia="en-ZA"/>
        </w:rPr>
        <w:t>going</w:t>
      </w:r>
      <w:r w:rsidRPr="008B38AB">
        <w:rPr>
          <w:rFonts w:ascii="Arial" w:eastAsia="Arial" w:hAnsi="Arial" w:cs="Arial"/>
          <w:color w:val="000000"/>
          <w:spacing w:val="42"/>
          <w:szCs w:val="21"/>
          <w:lang w:val="en-ZA" w:eastAsia="en-ZA"/>
        </w:rPr>
        <w:t xml:space="preserve"> </w:t>
      </w:r>
      <w:r w:rsidRPr="008B38AB">
        <w:rPr>
          <w:rFonts w:ascii="Arial" w:eastAsia="Arial" w:hAnsi="Arial" w:cs="Arial"/>
          <w:color w:val="000000"/>
          <w:szCs w:val="21"/>
          <w:lang w:val="en-ZA" w:eastAsia="en-ZA"/>
        </w:rPr>
        <w:t>concern.</w:t>
      </w:r>
      <w:r w:rsidRPr="008B38AB">
        <w:rPr>
          <w:rFonts w:ascii="Arial" w:eastAsia="Arial" w:hAnsi="Arial" w:cs="Arial"/>
          <w:color w:val="000000"/>
          <w:spacing w:val="17"/>
          <w:szCs w:val="21"/>
          <w:lang w:val="en-ZA" w:eastAsia="en-ZA"/>
        </w:rPr>
        <w:t xml:space="preserve"> </w:t>
      </w:r>
      <w:r w:rsidRPr="008B38AB">
        <w:rPr>
          <w:rFonts w:ascii="Arial" w:eastAsia="Arial" w:hAnsi="Arial" w:cs="Arial"/>
          <w:color w:val="000000"/>
          <w:szCs w:val="21"/>
          <w:lang w:val="en-ZA" w:eastAsia="en-ZA"/>
        </w:rPr>
        <w:t>If</w:t>
      </w:r>
      <w:r w:rsidRPr="008B38AB">
        <w:rPr>
          <w:rFonts w:ascii="Arial" w:eastAsia="Arial" w:hAnsi="Arial" w:cs="Arial"/>
          <w:color w:val="000000"/>
          <w:spacing w:val="15"/>
          <w:szCs w:val="21"/>
          <w:lang w:val="en-ZA" w:eastAsia="en-ZA"/>
        </w:rPr>
        <w:t xml:space="preserve"> </w:t>
      </w:r>
      <w:r w:rsidRPr="008B38AB">
        <w:rPr>
          <w:rFonts w:ascii="Arial" w:eastAsia="Arial" w:hAnsi="Arial" w:cs="Arial"/>
          <w:color w:val="000000"/>
          <w:w w:val="143"/>
          <w:szCs w:val="21"/>
          <w:lang w:val="en-ZA" w:eastAsia="en-ZA"/>
        </w:rPr>
        <w:t>I</w:t>
      </w:r>
      <w:r w:rsidRPr="008B38AB">
        <w:rPr>
          <w:rFonts w:ascii="Arial" w:eastAsia="Arial" w:hAnsi="Arial" w:cs="Arial"/>
          <w:color w:val="000000"/>
          <w:spacing w:val="-41"/>
          <w:w w:val="143"/>
          <w:szCs w:val="21"/>
          <w:lang w:val="en-ZA" w:eastAsia="en-ZA"/>
        </w:rPr>
        <w:t xml:space="preserve"> </w:t>
      </w:r>
      <w:r w:rsidRPr="008B38AB">
        <w:rPr>
          <w:rFonts w:ascii="Arial" w:eastAsia="Arial" w:hAnsi="Arial" w:cs="Arial"/>
          <w:color w:val="000000"/>
          <w:szCs w:val="21"/>
          <w:lang w:val="en-ZA" w:eastAsia="en-ZA"/>
        </w:rPr>
        <w:t>conclude</w:t>
      </w:r>
      <w:r w:rsidRPr="008B38AB">
        <w:rPr>
          <w:rFonts w:ascii="Arial" w:eastAsia="Arial" w:hAnsi="Arial" w:cs="Arial"/>
          <w:color w:val="000000"/>
          <w:spacing w:val="41"/>
          <w:szCs w:val="21"/>
          <w:lang w:val="en-ZA" w:eastAsia="en-ZA"/>
        </w:rPr>
        <w:t xml:space="preserve"> </w:t>
      </w:r>
      <w:r w:rsidRPr="008B38AB">
        <w:rPr>
          <w:rFonts w:ascii="Arial" w:eastAsia="Arial" w:hAnsi="Arial" w:cs="Arial"/>
          <w:color w:val="000000"/>
          <w:szCs w:val="21"/>
          <w:lang w:val="en-ZA" w:eastAsia="en-ZA"/>
        </w:rPr>
        <w:t>that</w:t>
      </w:r>
      <w:r w:rsidRPr="008B38AB">
        <w:rPr>
          <w:rFonts w:ascii="Arial" w:eastAsia="Arial" w:hAnsi="Arial" w:cs="Arial"/>
          <w:color w:val="000000"/>
          <w:spacing w:val="14"/>
          <w:szCs w:val="21"/>
          <w:lang w:val="en-ZA" w:eastAsia="en-ZA"/>
        </w:rPr>
        <w:t xml:space="preserve"> </w:t>
      </w:r>
      <w:r w:rsidRPr="008B38AB">
        <w:rPr>
          <w:rFonts w:ascii="Arial" w:eastAsia="Arial" w:hAnsi="Arial" w:cs="Arial"/>
          <w:color w:val="000000"/>
          <w:szCs w:val="21"/>
          <w:lang w:val="en-ZA" w:eastAsia="en-ZA"/>
        </w:rPr>
        <w:t>a</w:t>
      </w:r>
      <w:r w:rsidRPr="008B38AB">
        <w:rPr>
          <w:rFonts w:ascii="Arial" w:eastAsia="Arial" w:hAnsi="Arial" w:cs="Arial"/>
          <w:color w:val="000000"/>
          <w:spacing w:val="5"/>
          <w:szCs w:val="21"/>
          <w:lang w:val="en-ZA" w:eastAsia="en-ZA"/>
        </w:rPr>
        <w:t xml:space="preserve"> </w:t>
      </w:r>
      <w:r w:rsidRPr="008B38AB">
        <w:rPr>
          <w:rFonts w:ascii="Arial" w:eastAsia="Arial" w:hAnsi="Arial" w:cs="Arial"/>
          <w:color w:val="000000"/>
          <w:w w:val="106"/>
          <w:szCs w:val="21"/>
          <w:lang w:val="en-ZA" w:eastAsia="en-ZA"/>
        </w:rPr>
        <w:t xml:space="preserve">material </w:t>
      </w:r>
      <w:r w:rsidRPr="008B38AB">
        <w:rPr>
          <w:rFonts w:ascii="Arial" w:eastAsia="Arial" w:hAnsi="Arial" w:cs="Arial"/>
          <w:color w:val="000000"/>
          <w:szCs w:val="21"/>
          <w:lang w:val="en-ZA" w:eastAsia="en-ZA"/>
        </w:rPr>
        <w:t>uncertainty</w:t>
      </w:r>
      <w:r w:rsidRPr="008B38AB">
        <w:rPr>
          <w:rFonts w:ascii="Arial" w:eastAsia="Arial" w:hAnsi="Arial" w:cs="Arial"/>
          <w:color w:val="000000"/>
          <w:spacing w:val="53"/>
          <w:szCs w:val="21"/>
          <w:lang w:val="en-ZA" w:eastAsia="en-ZA"/>
        </w:rPr>
        <w:t xml:space="preserve"> </w:t>
      </w:r>
      <w:r w:rsidRPr="008B38AB">
        <w:rPr>
          <w:rFonts w:ascii="Arial" w:eastAsia="Arial" w:hAnsi="Arial" w:cs="Arial"/>
          <w:color w:val="000000"/>
          <w:szCs w:val="21"/>
          <w:lang w:val="en-ZA" w:eastAsia="en-ZA"/>
        </w:rPr>
        <w:t>exists,</w:t>
      </w:r>
      <w:r w:rsidRPr="008B38AB">
        <w:rPr>
          <w:rFonts w:ascii="Arial" w:eastAsia="Arial" w:hAnsi="Arial" w:cs="Arial"/>
          <w:color w:val="000000"/>
          <w:spacing w:val="40"/>
          <w:szCs w:val="21"/>
          <w:lang w:val="en-ZA" w:eastAsia="en-ZA"/>
        </w:rPr>
        <w:t xml:space="preserve"> </w:t>
      </w:r>
      <w:r w:rsidRPr="008B38AB">
        <w:rPr>
          <w:rFonts w:ascii="Arial" w:eastAsia="Arial" w:hAnsi="Arial" w:cs="Arial"/>
          <w:color w:val="000000"/>
          <w:w w:val="179"/>
          <w:szCs w:val="21"/>
          <w:lang w:val="en-ZA" w:eastAsia="en-ZA"/>
        </w:rPr>
        <w:t>I</w:t>
      </w:r>
      <w:r w:rsidRPr="008B38AB">
        <w:rPr>
          <w:rFonts w:ascii="Arial" w:eastAsia="Arial" w:hAnsi="Arial" w:cs="Arial"/>
          <w:color w:val="000000"/>
          <w:spacing w:val="-36"/>
          <w:szCs w:val="21"/>
          <w:lang w:val="en-ZA" w:eastAsia="en-ZA"/>
        </w:rPr>
        <w:t xml:space="preserve"> </w:t>
      </w:r>
      <w:r w:rsidRPr="008B38AB">
        <w:rPr>
          <w:rFonts w:ascii="Arial" w:eastAsia="Arial" w:hAnsi="Arial" w:cs="Arial"/>
          <w:color w:val="000000"/>
          <w:szCs w:val="21"/>
          <w:lang w:val="en-ZA" w:eastAsia="en-ZA"/>
        </w:rPr>
        <w:t>am</w:t>
      </w:r>
      <w:r w:rsidRPr="008B38AB">
        <w:rPr>
          <w:rFonts w:ascii="Arial" w:eastAsia="Arial" w:hAnsi="Arial" w:cs="Arial"/>
          <w:color w:val="000000"/>
          <w:spacing w:val="17"/>
          <w:szCs w:val="21"/>
          <w:lang w:val="en-ZA" w:eastAsia="en-ZA"/>
        </w:rPr>
        <w:t xml:space="preserve"> </w:t>
      </w:r>
      <w:r w:rsidRPr="008B38AB">
        <w:rPr>
          <w:rFonts w:ascii="Arial" w:eastAsia="Arial" w:hAnsi="Arial" w:cs="Arial"/>
          <w:color w:val="000000"/>
          <w:szCs w:val="21"/>
          <w:lang w:val="en-ZA" w:eastAsia="en-ZA"/>
        </w:rPr>
        <w:t>required</w:t>
      </w:r>
      <w:r w:rsidRPr="008B38AB">
        <w:rPr>
          <w:rFonts w:ascii="Arial" w:eastAsia="Arial" w:hAnsi="Arial" w:cs="Arial"/>
          <w:color w:val="000000"/>
          <w:spacing w:val="31"/>
          <w:szCs w:val="21"/>
          <w:lang w:val="en-ZA" w:eastAsia="en-ZA"/>
        </w:rPr>
        <w:t xml:space="preserve"> </w:t>
      </w:r>
      <w:r w:rsidRPr="008B38AB">
        <w:rPr>
          <w:rFonts w:ascii="Arial" w:eastAsia="Arial" w:hAnsi="Arial" w:cs="Arial"/>
          <w:color w:val="000000"/>
          <w:szCs w:val="21"/>
          <w:lang w:val="en-ZA" w:eastAsia="en-ZA"/>
        </w:rPr>
        <w:t>to</w:t>
      </w:r>
      <w:r w:rsidRPr="008B38AB">
        <w:rPr>
          <w:rFonts w:ascii="Arial" w:eastAsia="Arial" w:hAnsi="Arial" w:cs="Arial"/>
          <w:color w:val="000000"/>
          <w:spacing w:val="21"/>
          <w:szCs w:val="21"/>
          <w:lang w:val="en-ZA" w:eastAsia="en-ZA"/>
        </w:rPr>
        <w:t xml:space="preserve"> </w:t>
      </w:r>
      <w:r w:rsidRPr="008B38AB">
        <w:rPr>
          <w:rFonts w:ascii="Arial" w:eastAsia="Arial" w:hAnsi="Arial" w:cs="Arial"/>
          <w:color w:val="000000"/>
          <w:szCs w:val="21"/>
          <w:lang w:val="en-ZA" w:eastAsia="en-ZA"/>
        </w:rPr>
        <w:t>draw</w:t>
      </w:r>
      <w:r w:rsidRPr="008B38AB">
        <w:rPr>
          <w:rFonts w:ascii="Arial" w:eastAsia="Arial" w:hAnsi="Arial" w:cs="Arial"/>
          <w:color w:val="000000"/>
          <w:spacing w:val="33"/>
          <w:szCs w:val="21"/>
          <w:lang w:val="en-ZA" w:eastAsia="en-ZA"/>
        </w:rPr>
        <w:t xml:space="preserve"> </w:t>
      </w:r>
      <w:r w:rsidRPr="008B38AB">
        <w:rPr>
          <w:rFonts w:ascii="Arial" w:eastAsia="Arial" w:hAnsi="Arial" w:cs="Arial"/>
          <w:color w:val="000000"/>
          <w:szCs w:val="21"/>
          <w:lang w:val="en-ZA" w:eastAsia="en-ZA"/>
        </w:rPr>
        <w:t>attention</w:t>
      </w:r>
      <w:r w:rsidRPr="008B38AB">
        <w:rPr>
          <w:rFonts w:ascii="Arial" w:eastAsia="Arial" w:hAnsi="Arial" w:cs="Arial"/>
          <w:color w:val="000000"/>
          <w:spacing w:val="44"/>
          <w:szCs w:val="21"/>
          <w:lang w:val="en-ZA" w:eastAsia="en-ZA"/>
        </w:rPr>
        <w:t xml:space="preserve"> </w:t>
      </w:r>
      <w:r w:rsidRPr="008B38AB">
        <w:rPr>
          <w:rFonts w:ascii="Arial" w:eastAsia="Arial" w:hAnsi="Arial" w:cs="Arial"/>
          <w:color w:val="000000"/>
          <w:szCs w:val="21"/>
          <w:lang w:val="en-ZA" w:eastAsia="en-ZA"/>
        </w:rPr>
        <w:t>in</w:t>
      </w:r>
      <w:r w:rsidRPr="008B38AB">
        <w:rPr>
          <w:rFonts w:ascii="Arial" w:eastAsia="Arial" w:hAnsi="Arial" w:cs="Arial"/>
          <w:color w:val="000000"/>
          <w:spacing w:val="6"/>
          <w:szCs w:val="21"/>
          <w:lang w:val="en-ZA" w:eastAsia="en-ZA"/>
        </w:rPr>
        <w:t xml:space="preserve"> </w:t>
      </w:r>
      <w:r w:rsidRPr="008B38AB">
        <w:rPr>
          <w:rFonts w:ascii="Arial" w:eastAsia="Arial" w:hAnsi="Arial" w:cs="Arial"/>
          <w:color w:val="000000"/>
          <w:szCs w:val="21"/>
          <w:lang w:val="en-ZA" w:eastAsia="en-ZA"/>
        </w:rPr>
        <w:t>my</w:t>
      </w:r>
      <w:r w:rsidRPr="008B38AB">
        <w:rPr>
          <w:rFonts w:ascii="Arial" w:eastAsia="Arial" w:hAnsi="Arial" w:cs="Arial"/>
          <w:color w:val="000000"/>
          <w:spacing w:val="14"/>
          <w:szCs w:val="21"/>
          <w:lang w:val="en-ZA" w:eastAsia="en-ZA"/>
        </w:rPr>
        <w:t xml:space="preserve"> </w:t>
      </w:r>
      <w:r w:rsidRPr="008B38AB">
        <w:rPr>
          <w:rFonts w:ascii="Arial" w:eastAsia="Arial" w:hAnsi="Arial" w:cs="Arial"/>
          <w:color w:val="000000"/>
          <w:w w:val="104"/>
          <w:szCs w:val="21"/>
          <w:lang w:val="en-ZA" w:eastAsia="en-ZA"/>
        </w:rPr>
        <w:t>audito</w:t>
      </w:r>
      <w:r w:rsidRPr="008B38AB">
        <w:rPr>
          <w:rFonts w:ascii="Arial" w:eastAsia="Arial" w:hAnsi="Arial" w:cs="Arial"/>
          <w:color w:val="000000"/>
          <w:w w:val="105"/>
          <w:szCs w:val="21"/>
          <w:lang w:val="en-ZA" w:eastAsia="en-ZA"/>
        </w:rPr>
        <w:t>r</w:t>
      </w:r>
      <w:r w:rsidRPr="008B38AB">
        <w:rPr>
          <w:rFonts w:ascii="Arial" w:eastAsia="Arial" w:hAnsi="Arial" w:cs="Arial"/>
          <w:color w:val="1C1C1C"/>
          <w:spacing w:val="-9"/>
          <w:w w:val="136"/>
          <w:szCs w:val="21"/>
          <w:lang w:val="en-ZA" w:eastAsia="en-ZA"/>
        </w:rPr>
        <w:t>'</w:t>
      </w:r>
      <w:r w:rsidRPr="008B38AB">
        <w:rPr>
          <w:rFonts w:ascii="Arial" w:eastAsia="Arial" w:hAnsi="Arial" w:cs="Arial"/>
          <w:color w:val="000000"/>
          <w:w w:val="111"/>
          <w:szCs w:val="21"/>
          <w:lang w:val="en-ZA" w:eastAsia="en-ZA"/>
        </w:rPr>
        <w:t>s</w:t>
      </w:r>
      <w:r w:rsidRPr="008B38AB">
        <w:rPr>
          <w:rFonts w:ascii="Arial" w:eastAsia="Arial" w:hAnsi="Arial" w:cs="Arial"/>
          <w:color w:val="000000"/>
          <w:spacing w:val="-9"/>
          <w:szCs w:val="21"/>
          <w:lang w:val="en-ZA" w:eastAsia="en-ZA"/>
        </w:rPr>
        <w:t xml:space="preserve"> </w:t>
      </w:r>
      <w:r w:rsidRPr="008B38AB">
        <w:rPr>
          <w:rFonts w:ascii="Arial" w:eastAsia="Arial" w:hAnsi="Arial" w:cs="Arial"/>
          <w:color w:val="000000"/>
          <w:szCs w:val="21"/>
          <w:lang w:val="en-ZA" w:eastAsia="en-ZA"/>
        </w:rPr>
        <w:t>report</w:t>
      </w:r>
      <w:r w:rsidRPr="008B38AB">
        <w:rPr>
          <w:rFonts w:ascii="Arial" w:eastAsia="Arial" w:hAnsi="Arial" w:cs="Arial"/>
          <w:color w:val="000000"/>
          <w:spacing w:val="38"/>
          <w:szCs w:val="21"/>
          <w:lang w:val="en-ZA" w:eastAsia="en-ZA"/>
        </w:rPr>
        <w:t xml:space="preserve"> </w:t>
      </w:r>
      <w:r w:rsidRPr="008B38AB">
        <w:rPr>
          <w:rFonts w:ascii="Arial" w:eastAsia="Arial" w:hAnsi="Arial" w:cs="Arial"/>
          <w:color w:val="000000"/>
          <w:szCs w:val="21"/>
          <w:lang w:val="en-ZA" w:eastAsia="en-ZA"/>
        </w:rPr>
        <w:t>to</w:t>
      </w:r>
      <w:r w:rsidRPr="008B38AB">
        <w:rPr>
          <w:rFonts w:ascii="Arial" w:eastAsia="Arial" w:hAnsi="Arial" w:cs="Arial"/>
          <w:color w:val="000000"/>
          <w:spacing w:val="11"/>
          <w:szCs w:val="21"/>
          <w:lang w:val="en-ZA" w:eastAsia="en-ZA"/>
        </w:rPr>
        <w:t xml:space="preserve"> </w:t>
      </w:r>
      <w:r w:rsidRPr="008B38AB">
        <w:rPr>
          <w:rFonts w:ascii="Arial" w:eastAsia="Arial" w:hAnsi="Arial" w:cs="Arial"/>
          <w:color w:val="000000"/>
          <w:w w:val="110"/>
          <w:szCs w:val="21"/>
          <w:lang w:val="en-ZA" w:eastAsia="en-ZA"/>
        </w:rPr>
        <w:t xml:space="preserve">the </w:t>
      </w:r>
      <w:r w:rsidRPr="008B38AB">
        <w:rPr>
          <w:rFonts w:ascii="Arial" w:eastAsia="Arial" w:hAnsi="Arial" w:cs="Arial"/>
          <w:color w:val="000000"/>
          <w:szCs w:val="21"/>
          <w:lang w:val="en-ZA" w:eastAsia="en-ZA"/>
        </w:rPr>
        <w:t>related</w:t>
      </w:r>
      <w:r w:rsidRPr="008B38AB">
        <w:rPr>
          <w:rFonts w:ascii="Arial" w:eastAsia="Arial" w:hAnsi="Arial" w:cs="Arial"/>
          <w:color w:val="000000"/>
          <w:spacing w:val="32"/>
          <w:szCs w:val="21"/>
          <w:lang w:val="en-ZA" w:eastAsia="en-ZA"/>
        </w:rPr>
        <w:t xml:space="preserve"> </w:t>
      </w:r>
      <w:r w:rsidRPr="008B38AB">
        <w:rPr>
          <w:rFonts w:ascii="Arial" w:eastAsia="Arial" w:hAnsi="Arial" w:cs="Arial"/>
          <w:color w:val="000000"/>
          <w:szCs w:val="21"/>
          <w:lang w:val="en-ZA" w:eastAsia="en-ZA"/>
        </w:rPr>
        <w:t xml:space="preserve">disclosures </w:t>
      </w:r>
      <w:r w:rsidRPr="008B38AB">
        <w:rPr>
          <w:rFonts w:ascii="Arial" w:eastAsia="Arial" w:hAnsi="Arial" w:cs="Arial"/>
          <w:color w:val="000000"/>
          <w:spacing w:val="4"/>
          <w:szCs w:val="21"/>
          <w:lang w:val="en-ZA" w:eastAsia="en-ZA"/>
        </w:rPr>
        <w:t>in</w:t>
      </w:r>
      <w:r w:rsidRPr="008B38AB">
        <w:rPr>
          <w:rFonts w:ascii="Arial" w:eastAsia="Arial" w:hAnsi="Arial" w:cs="Arial"/>
          <w:color w:val="000000"/>
          <w:spacing w:val="2"/>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22"/>
          <w:szCs w:val="21"/>
          <w:lang w:val="en-ZA" w:eastAsia="en-ZA"/>
        </w:rPr>
        <w:t xml:space="preserve"> </w:t>
      </w:r>
      <w:r w:rsidRPr="008B38AB">
        <w:rPr>
          <w:rFonts w:ascii="Arial" w:eastAsia="Arial" w:hAnsi="Arial" w:cs="Arial"/>
          <w:color w:val="000000"/>
          <w:szCs w:val="21"/>
          <w:lang w:val="en-ZA" w:eastAsia="en-ZA"/>
        </w:rPr>
        <w:t>financial</w:t>
      </w:r>
      <w:r w:rsidRPr="008B38AB">
        <w:rPr>
          <w:rFonts w:ascii="Arial" w:eastAsia="Arial" w:hAnsi="Arial" w:cs="Arial"/>
          <w:color w:val="000000"/>
          <w:spacing w:val="12"/>
          <w:szCs w:val="21"/>
          <w:lang w:val="en-ZA" w:eastAsia="en-ZA"/>
        </w:rPr>
        <w:t xml:space="preserve"> </w:t>
      </w:r>
      <w:r w:rsidRPr="008B38AB">
        <w:rPr>
          <w:rFonts w:ascii="Arial" w:eastAsia="Arial" w:hAnsi="Arial" w:cs="Arial"/>
          <w:color w:val="000000"/>
          <w:szCs w:val="21"/>
          <w:lang w:val="en-ZA" w:eastAsia="en-ZA"/>
        </w:rPr>
        <w:t xml:space="preserve">statements </w:t>
      </w:r>
      <w:r w:rsidRPr="008B38AB">
        <w:rPr>
          <w:rFonts w:ascii="Arial" w:eastAsia="Arial" w:hAnsi="Arial" w:cs="Arial"/>
          <w:color w:val="000000"/>
          <w:spacing w:val="1"/>
          <w:szCs w:val="21"/>
          <w:lang w:val="en-ZA" w:eastAsia="en-ZA"/>
        </w:rPr>
        <w:t xml:space="preserve"> </w:t>
      </w:r>
      <w:r w:rsidRPr="008B38AB">
        <w:rPr>
          <w:rFonts w:ascii="Arial" w:eastAsia="Arial" w:hAnsi="Arial" w:cs="Arial"/>
          <w:color w:val="000000"/>
          <w:szCs w:val="21"/>
          <w:lang w:val="en-ZA" w:eastAsia="en-ZA"/>
        </w:rPr>
        <w:t>about</w:t>
      </w:r>
      <w:r w:rsidRPr="008B38AB">
        <w:rPr>
          <w:rFonts w:ascii="Arial" w:eastAsia="Arial" w:hAnsi="Arial" w:cs="Arial"/>
          <w:color w:val="000000"/>
          <w:spacing w:val="25"/>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10"/>
          <w:szCs w:val="21"/>
          <w:lang w:val="en-ZA" w:eastAsia="en-ZA"/>
        </w:rPr>
        <w:t xml:space="preserve"> </w:t>
      </w:r>
      <w:r w:rsidRPr="008B38AB">
        <w:rPr>
          <w:rFonts w:ascii="Arial" w:eastAsia="Arial" w:hAnsi="Arial" w:cs="Arial"/>
          <w:color w:val="000000"/>
          <w:szCs w:val="21"/>
          <w:lang w:val="en-ZA" w:eastAsia="en-ZA"/>
        </w:rPr>
        <w:t>material</w:t>
      </w:r>
      <w:r w:rsidRPr="008B38AB">
        <w:rPr>
          <w:rFonts w:ascii="Arial" w:eastAsia="Arial" w:hAnsi="Arial" w:cs="Arial"/>
          <w:color w:val="000000"/>
          <w:spacing w:val="22"/>
          <w:szCs w:val="21"/>
          <w:lang w:val="en-ZA" w:eastAsia="en-ZA"/>
        </w:rPr>
        <w:t xml:space="preserve"> </w:t>
      </w:r>
      <w:r w:rsidRPr="008B38AB">
        <w:rPr>
          <w:rFonts w:ascii="Arial" w:eastAsia="Arial" w:hAnsi="Arial" w:cs="Arial"/>
          <w:color w:val="000000"/>
          <w:szCs w:val="21"/>
          <w:lang w:val="en-ZA" w:eastAsia="en-ZA"/>
        </w:rPr>
        <w:t>uncertainty</w:t>
      </w:r>
      <w:r w:rsidRPr="008B38AB">
        <w:rPr>
          <w:rFonts w:ascii="Arial" w:eastAsia="Arial" w:hAnsi="Arial" w:cs="Arial"/>
          <w:color w:val="000000"/>
          <w:spacing w:val="49"/>
          <w:szCs w:val="21"/>
          <w:lang w:val="en-ZA" w:eastAsia="en-ZA"/>
        </w:rPr>
        <w:t xml:space="preserve"> </w:t>
      </w:r>
      <w:r w:rsidRPr="008B38AB">
        <w:rPr>
          <w:rFonts w:ascii="Arial" w:eastAsia="Arial" w:hAnsi="Arial" w:cs="Arial"/>
          <w:color w:val="000000"/>
          <w:w w:val="106"/>
          <w:szCs w:val="21"/>
          <w:lang w:val="en-ZA" w:eastAsia="en-ZA"/>
        </w:rPr>
        <w:t>o</w:t>
      </w:r>
      <w:r w:rsidRPr="008B38AB">
        <w:rPr>
          <w:rFonts w:ascii="Arial" w:eastAsia="Arial" w:hAnsi="Arial" w:cs="Arial"/>
          <w:color w:val="000000"/>
          <w:spacing w:val="-8"/>
          <w:w w:val="106"/>
          <w:szCs w:val="21"/>
          <w:lang w:val="en-ZA" w:eastAsia="en-ZA"/>
        </w:rPr>
        <w:t>r</w:t>
      </w:r>
      <w:r w:rsidRPr="008B38AB">
        <w:rPr>
          <w:rFonts w:ascii="Arial" w:eastAsia="Arial" w:hAnsi="Arial" w:cs="Arial"/>
          <w:color w:val="1C1C1C"/>
          <w:w w:val="161"/>
          <w:szCs w:val="21"/>
          <w:lang w:val="en-ZA" w:eastAsia="en-ZA"/>
        </w:rPr>
        <w:t>,</w:t>
      </w:r>
      <w:r w:rsidRPr="008B38AB">
        <w:rPr>
          <w:rFonts w:ascii="Arial" w:eastAsia="Arial" w:hAnsi="Arial" w:cs="Arial"/>
          <w:color w:val="1C1C1C"/>
          <w:spacing w:val="-19"/>
          <w:szCs w:val="21"/>
          <w:lang w:val="en-ZA" w:eastAsia="en-ZA"/>
        </w:rPr>
        <w:t xml:space="preserve"> </w:t>
      </w:r>
      <w:r w:rsidRPr="008B38AB">
        <w:rPr>
          <w:rFonts w:ascii="Arial" w:eastAsia="Arial" w:hAnsi="Arial" w:cs="Arial"/>
          <w:color w:val="000000"/>
          <w:w w:val="109"/>
          <w:szCs w:val="21"/>
          <w:lang w:val="en-ZA" w:eastAsia="en-ZA"/>
        </w:rPr>
        <w:t xml:space="preserve">if </w:t>
      </w:r>
      <w:r w:rsidRPr="008B38AB">
        <w:rPr>
          <w:rFonts w:ascii="Arial" w:eastAsia="Arial" w:hAnsi="Arial" w:cs="Arial"/>
          <w:color w:val="000000"/>
          <w:szCs w:val="21"/>
          <w:lang w:val="en-ZA" w:eastAsia="en-ZA"/>
        </w:rPr>
        <w:t>such</w:t>
      </w:r>
      <w:r w:rsidRPr="008B38AB">
        <w:rPr>
          <w:rFonts w:ascii="Arial" w:eastAsia="Arial" w:hAnsi="Arial" w:cs="Arial"/>
          <w:color w:val="000000"/>
          <w:spacing w:val="24"/>
          <w:szCs w:val="21"/>
          <w:lang w:val="en-ZA" w:eastAsia="en-ZA"/>
        </w:rPr>
        <w:t xml:space="preserve"> </w:t>
      </w:r>
      <w:r w:rsidRPr="008B38AB">
        <w:rPr>
          <w:rFonts w:ascii="Arial" w:eastAsia="Arial" w:hAnsi="Arial" w:cs="Arial"/>
          <w:color w:val="000000"/>
          <w:szCs w:val="21"/>
          <w:lang w:val="en-ZA" w:eastAsia="en-ZA"/>
        </w:rPr>
        <w:t xml:space="preserve">disclosures </w:t>
      </w:r>
      <w:r w:rsidRPr="008B38AB">
        <w:rPr>
          <w:rFonts w:ascii="Arial" w:eastAsia="Arial" w:hAnsi="Arial" w:cs="Arial"/>
          <w:color w:val="000000"/>
          <w:spacing w:val="2"/>
          <w:szCs w:val="21"/>
          <w:lang w:val="en-ZA" w:eastAsia="en-ZA"/>
        </w:rPr>
        <w:t xml:space="preserve"> </w:t>
      </w:r>
      <w:r w:rsidRPr="008B38AB">
        <w:rPr>
          <w:rFonts w:ascii="Arial" w:eastAsia="Arial" w:hAnsi="Arial" w:cs="Arial"/>
          <w:color w:val="000000"/>
          <w:szCs w:val="21"/>
          <w:lang w:val="en-ZA" w:eastAsia="en-ZA"/>
        </w:rPr>
        <w:t>are</w:t>
      </w:r>
      <w:r w:rsidRPr="008B38AB">
        <w:rPr>
          <w:rFonts w:ascii="Arial" w:eastAsia="Arial" w:hAnsi="Arial" w:cs="Arial"/>
          <w:color w:val="000000"/>
          <w:spacing w:val="21"/>
          <w:szCs w:val="21"/>
          <w:lang w:val="en-ZA" w:eastAsia="en-ZA"/>
        </w:rPr>
        <w:t xml:space="preserve"> </w:t>
      </w:r>
      <w:r w:rsidRPr="008B38AB">
        <w:rPr>
          <w:rFonts w:ascii="Arial" w:eastAsia="Arial" w:hAnsi="Arial" w:cs="Arial"/>
          <w:color w:val="000000"/>
          <w:szCs w:val="21"/>
          <w:lang w:val="en-ZA" w:eastAsia="en-ZA"/>
        </w:rPr>
        <w:t>inadequate,</w:t>
      </w:r>
      <w:r w:rsidRPr="008B38AB">
        <w:rPr>
          <w:rFonts w:ascii="Arial" w:eastAsia="Arial" w:hAnsi="Arial" w:cs="Arial"/>
          <w:color w:val="000000"/>
          <w:spacing w:val="25"/>
          <w:szCs w:val="21"/>
          <w:lang w:val="en-ZA" w:eastAsia="en-ZA"/>
        </w:rPr>
        <w:t xml:space="preserve"> </w:t>
      </w:r>
      <w:r w:rsidRPr="008B38AB">
        <w:rPr>
          <w:rFonts w:ascii="Arial" w:eastAsia="Arial" w:hAnsi="Arial" w:cs="Arial"/>
          <w:color w:val="000000"/>
          <w:szCs w:val="21"/>
          <w:lang w:val="en-ZA" w:eastAsia="en-ZA"/>
        </w:rPr>
        <w:t>to</w:t>
      </w:r>
      <w:r w:rsidRPr="008B38AB">
        <w:rPr>
          <w:rFonts w:ascii="Arial" w:eastAsia="Arial" w:hAnsi="Arial" w:cs="Arial"/>
          <w:color w:val="000000"/>
          <w:spacing w:val="14"/>
          <w:szCs w:val="21"/>
          <w:lang w:val="en-ZA" w:eastAsia="en-ZA"/>
        </w:rPr>
        <w:t xml:space="preserve"> </w:t>
      </w:r>
      <w:r w:rsidRPr="008B38AB">
        <w:rPr>
          <w:rFonts w:ascii="Arial" w:eastAsia="Arial" w:hAnsi="Arial" w:cs="Arial"/>
          <w:color w:val="000000"/>
          <w:szCs w:val="21"/>
          <w:lang w:val="en-ZA" w:eastAsia="en-ZA"/>
        </w:rPr>
        <w:t>modify</w:t>
      </w:r>
      <w:r w:rsidRPr="008B38AB">
        <w:rPr>
          <w:rFonts w:ascii="Arial" w:eastAsia="Arial" w:hAnsi="Arial" w:cs="Arial"/>
          <w:color w:val="000000"/>
          <w:spacing w:val="38"/>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31"/>
          <w:szCs w:val="21"/>
          <w:lang w:val="en-ZA" w:eastAsia="en-ZA"/>
        </w:rPr>
        <w:t xml:space="preserve"> </w:t>
      </w:r>
      <w:r w:rsidRPr="008B38AB">
        <w:rPr>
          <w:rFonts w:ascii="Arial" w:eastAsia="Arial" w:hAnsi="Arial" w:cs="Arial"/>
          <w:color w:val="000000"/>
          <w:szCs w:val="21"/>
          <w:lang w:val="en-ZA" w:eastAsia="en-ZA"/>
        </w:rPr>
        <w:t>opinion</w:t>
      </w:r>
      <w:r w:rsidRPr="008B38AB">
        <w:rPr>
          <w:rFonts w:ascii="Arial" w:eastAsia="Arial" w:hAnsi="Arial" w:cs="Arial"/>
          <w:color w:val="000000"/>
          <w:spacing w:val="25"/>
          <w:szCs w:val="21"/>
          <w:lang w:val="en-ZA" w:eastAsia="en-ZA"/>
        </w:rPr>
        <w:t xml:space="preserve"> </w:t>
      </w:r>
      <w:r w:rsidRPr="008B38AB">
        <w:rPr>
          <w:rFonts w:ascii="Arial" w:eastAsia="Arial" w:hAnsi="Arial" w:cs="Arial"/>
          <w:color w:val="000000"/>
          <w:szCs w:val="21"/>
          <w:lang w:val="en-ZA" w:eastAsia="en-ZA"/>
        </w:rPr>
        <w:t>on</w:t>
      </w:r>
      <w:r w:rsidRPr="008B38AB">
        <w:rPr>
          <w:rFonts w:ascii="Arial" w:eastAsia="Arial" w:hAnsi="Arial" w:cs="Arial"/>
          <w:color w:val="000000"/>
          <w:spacing w:val="13"/>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8"/>
          <w:szCs w:val="21"/>
          <w:lang w:val="en-ZA" w:eastAsia="en-ZA"/>
        </w:rPr>
        <w:t xml:space="preserve"> </w:t>
      </w:r>
      <w:r w:rsidRPr="008B38AB">
        <w:rPr>
          <w:rFonts w:ascii="Arial" w:eastAsia="Arial" w:hAnsi="Arial" w:cs="Arial"/>
          <w:color w:val="000000"/>
          <w:szCs w:val="21"/>
          <w:lang w:val="en-ZA" w:eastAsia="en-ZA"/>
        </w:rPr>
        <w:t>financial</w:t>
      </w:r>
      <w:r w:rsidRPr="008B38AB">
        <w:rPr>
          <w:rFonts w:ascii="Arial" w:eastAsia="Arial" w:hAnsi="Arial" w:cs="Arial"/>
          <w:color w:val="000000"/>
          <w:spacing w:val="24"/>
          <w:szCs w:val="21"/>
          <w:lang w:val="en-ZA" w:eastAsia="en-ZA"/>
        </w:rPr>
        <w:t xml:space="preserve"> </w:t>
      </w:r>
      <w:r w:rsidRPr="008B38AB">
        <w:rPr>
          <w:rFonts w:ascii="Arial" w:eastAsia="Arial" w:hAnsi="Arial" w:cs="Arial"/>
          <w:color w:val="000000"/>
          <w:w w:val="106"/>
          <w:szCs w:val="21"/>
          <w:lang w:val="en-ZA" w:eastAsia="en-ZA"/>
        </w:rPr>
        <w:t xml:space="preserve">statements. </w:t>
      </w:r>
      <w:r w:rsidRPr="008B38AB">
        <w:rPr>
          <w:rFonts w:ascii="Arial" w:eastAsia="Arial" w:hAnsi="Arial" w:cs="Arial"/>
          <w:color w:val="000000"/>
          <w:szCs w:val="21"/>
          <w:lang w:val="en-ZA" w:eastAsia="en-ZA"/>
        </w:rPr>
        <w:t>My</w:t>
      </w:r>
      <w:r w:rsidRPr="008B38AB">
        <w:rPr>
          <w:rFonts w:ascii="Arial" w:eastAsia="Arial" w:hAnsi="Arial" w:cs="Arial"/>
          <w:color w:val="000000"/>
          <w:spacing w:val="30"/>
          <w:szCs w:val="21"/>
          <w:lang w:val="en-ZA" w:eastAsia="en-ZA"/>
        </w:rPr>
        <w:t xml:space="preserve"> </w:t>
      </w:r>
      <w:r w:rsidRPr="008B38AB">
        <w:rPr>
          <w:rFonts w:ascii="Arial" w:eastAsia="Arial" w:hAnsi="Arial" w:cs="Arial"/>
          <w:color w:val="000000"/>
          <w:szCs w:val="21"/>
          <w:lang w:val="en-ZA" w:eastAsia="en-ZA"/>
        </w:rPr>
        <w:t>conclusions</w:t>
      </w:r>
      <w:r w:rsidRPr="008B38AB">
        <w:rPr>
          <w:rFonts w:ascii="Arial" w:eastAsia="Arial" w:hAnsi="Arial" w:cs="Arial"/>
          <w:color w:val="000000"/>
          <w:spacing w:val="52"/>
          <w:szCs w:val="21"/>
          <w:lang w:val="en-ZA" w:eastAsia="en-ZA"/>
        </w:rPr>
        <w:t xml:space="preserve"> </w:t>
      </w:r>
      <w:r w:rsidRPr="008B38AB">
        <w:rPr>
          <w:rFonts w:ascii="Arial" w:eastAsia="Arial" w:hAnsi="Arial" w:cs="Arial"/>
          <w:color w:val="000000"/>
          <w:szCs w:val="21"/>
          <w:lang w:val="en-ZA" w:eastAsia="en-ZA"/>
        </w:rPr>
        <w:t>are</w:t>
      </w:r>
      <w:r w:rsidRPr="008B38AB">
        <w:rPr>
          <w:rFonts w:ascii="Arial" w:eastAsia="Arial" w:hAnsi="Arial" w:cs="Arial"/>
          <w:color w:val="000000"/>
          <w:spacing w:val="19"/>
          <w:szCs w:val="21"/>
          <w:lang w:val="en-ZA" w:eastAsia="en-ZA"/>
        </w:rPr>
        <w:t xml:space="preserve"> </w:t>
      </w:r>
      <w:r w:rsidRPr="008B38AB">
        <w:rPr>
          <w:rFonts w:ascii="Arial" w:eastAsia="Arial" w:hAnsi="Arial" w:cs="Arial"/>
          <w:color w:val="000000"/>
          <w:szCs w:val="21"/>
          <w:lang w:val="en-ZA" w:eastAsia="en-ZA"/>
        </w:rPr>
        <w:t>based</w:t>
      </w:r>
      <w:r w:rsidRPr="008B38AB">
        <w:rPr>
          <w:rFonts w:ascii="Arial" w:eastAsia="Arial" w:hAnsi="Arial" w:cs="Arial"/>
          <w:color w:val="000000"/>
          <w:spacing w:val="36"/>
          <w:szCs w:val="21"/>
          <w:lang w:val="en-ZA" w:eastAsia="en-ZA"/>
        </w:rPr>
        <w:t xml:space="preserve"> </w:t>
      </w:r>
      <w:r w:rsidRPr="008B38AB">
        <w:rPr>
          <w:rFonts w:ascii="Arial" w:eastAsia="Arial" w:hAnsi="Arial" w:cs="Arial"/>
          <w:color w:val="000000"/>
          <w:szCs w:val="21"/>
          <w:lang w:val="en-ZA" w:eastAsia="en-ZA"/>
        </w:rPr>
        <w:t>on</w:t>
      </w:r>
      <w:r w:rsidRPr="008B38AB">
        <w:rPr>
          <w:rFonts w:ascii="Arial" w:eastAsia="Arial" w:hAnsi="Arial" w:cs="Arial"/>
          <w:color w:val="000000"/>
          <w:spacing w:val="13"/>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13"/>
          <w:szCs w:val="21"/>
          <w:lang w:val="en-ZA" w:eastAsia="en-ZA"/>
        </w:rPr>
        <w:t xml:space="preserve"> </w:t>
      </w:r>
      <w:r w:rsidRPr="008B38AB">
        <w:rPr>
          <w:rFonts w:ascii="Arial" w:eastAsia="Arial" w:hAnsi="Arial" w:cs="Arial"/>
          <w:color w:val="000000"/>
          <w:w w:val="107"/>
          <w:szCs w:val="21"/>
          <w:lang w:val="en-ZA" w:eastAsia="en-ZA"/>
        </w:rPr>
        <w:t>information</w:t>
      </w:r>
      <w:r w:rsidRPr="008B38AB">
        <w:rPr>
          <w:rFonts w:ascii="Arial" w:eastAsia="Arial" w:hAnsi="Arial" w:cs="Arial"/>
          <w:color w:val="000000"/>
          <w:spacing w:val="-10"/>
          <w:w w:val="107"/>
          <w:szCs w:val="21"/>
          <w:lang w:val="en-ZA" w:eastAsia="en-ZA"/>
        </w:rPr>
        <w:t xml:space="preserve"> </w:t>
      </w:r>
      <w:r w:rsidRPr="008B38AB">
        <w:rPr>
          <w:rFonts w:ascii="Arial" w:eastAsia="Arial" w:hAnsi="Arial" w:cs="Arial"/>
          <w:color w:val="000000"/>
          <w:szCs w:val="21"/>
          <w:lang w:val="en-ZA" w:eastAsia="en-ZA"/>
        </w:rPr>
        <w:t>available</w:t>
      </w:r>
      <w:r w:rsidRPr="008B38AB">
        <w:rPr>
          <w:rFonts w:ascii="Arial" w:eastAsia="Arial" w:hAnsi="Arial" w:cs="Arial"/>
          <w:color w:val="000000"/>
          <w:spacing w:val="40"/>
          <w:szCs w:val="21"/>
          <w:lang w:val="en-ZA" w:eastAsia="en-ZA"/>
        </w:rPr>
        <w:t xml:space="preserve"> </w:t>
      </w:r>
      <w:r w:rsidRPr="008B38AB">
        <w:rPr>
          <w:rFonts w:ascii="Arial" w:eastAsia="Arial" w:hAnsi="Arial" w:cs="Arial"/>
          <w:color w:val="000000"/>
          <w:szCs w:val="21"/>
          <w:lang w:val="en-ZA" w:eastAsia="en-ZA"/>
        </w:rPr>
        <w:t>to</w:t>
      </w:r>
      <w:r w:rsidRPr="008B38AB">
        <w:rPr>
          <w:rFonts w:ascii="Arial" w:eastAsia="Arial" w:hAnsi="Arial" w:cs="Arial"/>
          <w:color w:val="000000"/>
          <w:spacing w:val="-2"/>
          <w:szCs w:val="21"/>
          <w:lang w:val="en-ZA" w:eastAsia="en-ZA"/>
        </w:rPr>
        <w:t xml:space="preserve"> </w:t>
      </w:r>
      <w:r w:rsidRPr="008B38AB">
        <w:rPr>
          <w:rFonts w:ascii="Arial" w:eastAsia="Arial" w:hAnsi="Arial" w:cs="Arial"/>
          <w:color w:val="000000"/>
          <w:szCs w:val="21"/>
          <w:lang w:val="en-ZA" w:eastAsia="en-ZA"/>
        </w:rPr>
        <w:t>me</w:t>
      </w:r>
      <w:r w:rsidRPr="008B38AB">
        <w:rPr>
          <w:rFonts w:ascii="Arial" w:eastAsia="Arial" w:hAnsi="Arial" w:cs="Arial"/>
          <w:color w:val="000000"/>
          <w:spacing w:val="18"/>
          <w:szCs w:val="21"/>
          <w:lang w:val="en-ZA" w:eastAsia="en-ZA"/>
        </w:rPr>
        <w:t xml:space="preserve"> </w:t>
      </w:r>
      <w:r w:rsidRPr="008B38AB">
        <w:rPr>
          <w:rFonts w:ascii="Arial" w:eastAsia="Arial" w:hAnsi="Arial" w:cs="Arial"/>
          <w:color w:val="000000"/>
          <w:szCs w:val="21"/>
          <w:lang w:val="en-ZA" w:eastAsia="en-ZA"/>
        </w:rPr>
        <w:t>at</w:t>
      </w:r>
      <w:r w:rsidRPr="008B38AB">
        <w:rPr>
          <w:rFonts w:ascii="Arial" w:eastAsia="Arial" w:hAnsi="Arial" w:cs="Arial"/>
          <w:color w:val="000000"/>
          <w:spacing w:val="16"/>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17"/>
          <w:szCs w:val="21"/>
          <w:lang w:val="en-ZA" w:eastAsia="en-ZA"/>
        </w:rPr>
        <w:t xml:space="preserve"> </w:t>
      </w:r>
      <w:r w:rsidRPr="008B38AB">
        <w:rPr>
          <w:rFonts w:ascii="Arial" w:eastAsia="Arial" w:hAnsi="Arial" w:cs="Arial"/>
          <w:color w:val="000000"/>
          <w:szCs w:val="21"/>
          <w:lang w:val="en-ZA" w:eastAsia="en-ZA"/>
        </w:rPr>
        <w:t>date</w:t>
      </w:r>
      <w:r w:rsidRPr="008B38AB">
        <w:rPr>
          <w:rFonts w:ascii="Arial" w:eastAsia="Arial" w:hAnsi="Arial" w:cs="Arial"/>
          <w:color w:val="000000"/>
          <w:spacing w:val="32"/>
          <w:szCs w:val="21"/>
          <w:lang w:val="en-ZA" w:eastAsia="en-ZA"/>
        </w:rPr>
        <w:t xml:space="preserve"> </w:t>
      </w:r>
      <w:r w:rsidRPr="008B38AB">
        <w:rPr>
          <w:rFonts w:ascii="Arial" w:eastAsia="Arial" w:hAnsi="Arial" w:cs="Arial"/>
          <w:color w:val="000000"/>
          <w:szCs w:val="21"/>
          <w:lang w:val="en-ZA" w:eastAsia="en-ZA"/>
        </w:rPr>
        <w:t>of</w:t>
      </w:r>
      <w:r w:rsidRPr="008B38AB">
        <w:rPr>
          <w:rFonts w:ascii="Arial" w:eastAsia="Arial" w:hAnsi="Arial" w:cs="Arial"/>
          <w:color w:val="000000"/>
          <w:spacing w:val="2"/>
          <w:szCs w:val="21"/>
          <w:lang w:val="en-ZA" w:eastAsia="en-ZA"/>
        </w:rPr>
        <w:t xml:space="preserve"> </w:t>
      </w:r>
      <w:r w:rsidRPr="008B38AB">
        <w:rPr>
          <w:rFonts w:ascii="Arial" w:eastAsia="Arial" w:hAnsi="Arial" w:cs="Arial"/>
          <w:color w:val="000000"/>
          <w:w w:val="110"/>
          <w:szCs w:val="21"/>
          <w:lang w:val="en-ZA" w:eastAsia="en-ZA"/>
        </w:rPr>
        <w:t xml:space="preserve">the </w:t>
      </w:r>
      <w:r w:rsidRPr="008B38AB">
        <w:rPr>
          <w:rFonts w:ascii="Arial" w:eastAsia="Arial" w:hAnsi="Arial" w:cs="Arial"/>
          <w:color w:val="000000"/>
          <w:szCs w:val="21"/>
          <w:lang w:val="en-ZA" w:eastAsia="en-ZA"/>
        </w:rPr>
        <w:t>auditor's</w:t>
      </w:r>
      <w:r w:rsidRPr="008B38AB">
        <w:rPr>
          <w:rFonts w:ascii="Arial" w:eastAsia="Arial" w:hAnsi="Arial" w:cs="Arial"/>
          <w:color w:val="000000"/>
          <w:spacing w:val="45"/>
          <w:szCs w:val="21"/>
          <w:lang w:val="en-ZA" w:eastAsia="en-ZA"/>
        </w:rPr>
        <w:t xml:space="preserve"> </w:t>
      </w:r>
      <w:r w:rsidRPr="008B38AB">
        <w:rPr>
          <w:rFonts w:ascii="Arial" w:eastAsia="Arial" w:hAnsi="Arial" w:cs="Arial"/>
          <w:color w:val="000000"/>
          <w:szCs w:val="21"/>
          <w:lang w:val="en-ZA" w:eastAsia="en-ZA"/>
        </w:rPr>
        <w:t>report.</w:t>
      </w:r>
      <w:r w:rsidRPr="008B38AB">
        <w:rPr>
          <w:rFonts w:ascii="Arial" w:eastAsia="Arial" w:hAnsi="Arial" w:cs="Arial"/>
          <w:color w:val="000000"/>
          <w:spacing w:val="4"/>
          <w:szCs w:val="21"/>
          <w:lang w:val="en-ZA" w:eastAsia="en-ZA"/>
        </w:rPr>
        <w:t xml:space="preserve"> </w:t>
      </w:r>
      <w:r w:rsidRPr="008B38AB">
        <w:rPr>
          <w:rFonts w:ascii="Arial" w:eastAsia="Arial" w:hAnsi="Arial" w:cs="Arial"/>
          <w:color w:val="000000"/>
          <w:szCs w:val="21"/>
          <w:lang w:val="en-ZA" w:eastAsia="en-ZA"/>
        </w:rPr>
        <w:t>However,</w:t>
      </w:r>
      <w:r w:rsidRPr="008B38AB">
        <w:rPr>
          <w:rFonts w:ascii="Arial" w:eastAsia="Arial" w:hAnsi="Arial" w:cs="Arial"/>
          <w:color w:val="000000"/>
          <w:spacing w:val="31"/>
          <w:szCs w:val="21"/>
          <w:lang w:val="en-ZA" w:eastAsia="en-ZA"/>
        </w:rPr>
        <w:t xml:space="preserve"> </w:t>
      </w:r>
      <w:r w:rsidRPr="008B38AB">
        <w:rPr>
          <w:rFonts w:ascii="Arial" w:eastAsia="Arial" w:hAnsi="Arial" w:cs="Arial"/>
          <w:color w:val="000000"/>
          <w:szCs w:val="21"/>
          <w:lang w:val="en-ZA" w:eastAsia="en-ZA"/>
        </w:rPr>
        <w:t>future</w:t>
      </w:r>
      <w:r w:rsidRPr="008B38AB">
        <w:rPr>
          <w:rFonts w:ascii="Arial" w:eastAsia="Arial" w:hAnsi="Arial" w:cs="Arial"/>
          <w:color w:val="000000"/>
          <w:spacing w:val="11"/>
          <w:szCs w:val="21"/>
          <w:lang w:val="en-ZA" w:eastAsia="en-ZA"/>
        </w:rPr>
        <w:t xml:space="preserve"> </w:t>
      </w:r>
      <w:r w:rsidRPr="008B38AB">
        <w:rPr>
          <w:rFonts w:ascii="Arial" w:eastAsia="Arial" w:hAnsi="Arial" w:cs="Arial"/>
          <w:color w:val="000000"/>
          <w:szCs w:val="21"/>
          <w:lang w:val="en-ZA" w:eastAsia="en-ZA"/>
        </w:rPr>
        <w:t>events</w:t>
      </w:r>
      <w:r w:rsidRPr="008B38AB">
        <w:rPr>
          <w:rFonts w:ascii="Arial" w:eastAsia="Arial" w:hAnsi="Arial" w:cs="Arial"/>
          <w:color w:val="000000"/>
          <w:spacing w:val="40"/>
          <w:szCs w:val="21"/>
          <w:lang w:val="en-ZA" w:eastAsia="en-ZA"/>
        </w:rPr>
        <w:t xml:space="preserve"> </w:t>
      </w:r>
      <w:r w:rsidRPr="008B38AB">
        <w:rPr>
          <w:rFonts w:ascii="Arial" w:eastAsia="Arial" w:hAnsi="Arial" w:cs="Arial"/>
          <w:color w:val="000000"/>
          <w:szCs w:val="21"/>
          <w:lang w:val="en-ZA" w:eastAsia="en-ZA"/>
        </w:rPr>
        <w:t>or</w:t>
      </w:r>
      <w:r w:rsidRPr="008B38AB">
        <w:rPr>
          <w:rFonts w:ascii="Arial" w:eastAsia="Arial" w:hAnsi="Arial" w:cs="Arial"/>
          <w:color w:val="000000"/>
          <w:spacing w:val="23"/>
          <w:szCs w:val="21"/>
          <w:lang w:val="en-ZA" w:eastAsia="en-ZA"/>
        </w:rPr>
        <w:t xml:space="preserve"> </w:t>
      </w:r>
      <w:r w:rsidRPr="008B38AB">
        <w:rPr>
          <w:rFonts w:ascii="Arial" w:eastAsia="Arial" w:hAnsi="Arial" w:cs="Arial"/>
          <w:color w:val="000000"/>
          <w:szCs w:val="21"/>
          <w:lang w:val="en-ZA" w:eastAsia="en-ZA"/>
        </w:rPr>
        <w:t>conditions</w:t>
      </w:r>
      <w:r w:rsidRPr="008B38AB">
        <w:rPr>
          <w:rFonts w:ascii="Arial" w:eastAsia="Arial" w:hAnsi="Arial" w:cs="Arial"/>
          <w:color w:val="000000"/>
          <w:spacing w:val="30"/>
          <w:szCs w:val="21"/>
          <w:lang w:val="en-ZA" w:eastAsia="en-ZA"/>
        </w:rPr>
        <w:t xml:space="preserve"> </w:t>
      </w:r>
      <w:r w:rsidRPr="008B38AB">
        <w:rPr>
          <w:rFonts w:ascii="Arial" w:eastAsia="Arial" w:hAnsi="Arial" w:cs="Arial"/>
          <w:color w:val="000000"/>
          <w:szCs w:val="21"/>
          <w:lang w:val="en-ZA" w:eastAsia="en-ZA"/>
        </w:rPr>
        <w:t>may</w:t>
      </w:r>
      <w:r w:rsidRPr="008B38AB">
        <w:rPr>
          <w:rFonts w:ascii="Arial" w:eastAsia="Arial" w:hAnsi="Arial" w:cs="Arial"/>
          <w:color w:val="000000"/>
          <w:spacing w:val="28"/>
          <w:szCs w:val="21"/>
          <w:lang w:val="en-ZA" w:eastAsia="en-ZA"/>
        </w:rPr>
        <w:t xml:space="preserve"> </w:t>
      </w:r>
      <w:r w:rsidRPr="008B38AB">
        <w:rPr>
          <w:rFonts w:ascii="Arial" w:eastAsia="Arial" w:hAnsi="Arial" w:cs="Arial"/>
          <w:color w:val="000000"/>
          <w:szCs w:val="21"/>
          <w:lang w:val="en-ZA" w:eastAsia="en-ZA"/>
        </w:rPr>
        <w:t>cause</w:t>
      </w:r>
      <w:r w:rsidRPr="008B38AB">
        <w:rPr>
          <w:rFonts w:ascii="Arial" w:eastAsia="Arial" w:hAnsi="Arial" w:cs="Arial"/>
          <w:color w:val="000000"/>
          <w:spacing w:val="29"/>
          <w:szCs w:val="21"/>
          <w:lang w:val="en-ZA" w:eastAsia="en-ZA"/>
        </w:rPr>
        <w:t xml:space="preserve"> </w:t>
      </w:r>
      <w:r w:rsidRPr="008B38AB">
        <w:rPr>
          <w:rFonts w:ascii="Arial" w:eastAsia="Arial" w:hAnsi="Arial" w:cs="Arial"/>
          <w:color w:val="000000"/>
          <w:szCs w:val="21"/>
          <w:lang w:val="en-ZA" w:eastAsia="en-ZA"/>
        </w:rPr>
        <w:t>a</w:t>
      </w:r>
      <w:r w:rsidRPr="008B38AB">
        <w:rPr>
          <w:rFonts w:ascii="Arial" w:eastAsia="Arial" w:hAnsi="Arial" w:cs="Arial"/>
          <w:color w:val="000000"/>
          <w:spacing w:val="5"/>
          <w:szCs w:val="21"/>
          <w:lang w:val="en-ZA" w:eastAsia="en-ZA"/>
        </w:rPr>
        <w:t xml:space="preserve"> </w:t>
      </w:r>
      <w:r w:rsidRPr="008B38AB">
        <w:rPr>
          <w:rFonts w:ascii="Arial" w:eastAsia="Arial" w:hAnsi="Arial" w:cs="Arial"/>
          <w:color w:val="000000"/>
          <w:szCs w:val="21"/>
          <w:lang w:val="en-ZA" w:eastAsia="en-ZA"/>
        </w:rPr>
        <w:t xml:space="preserve">municipality </w:t>
      </w:r>
      <w:r w:rsidRPr="008B38AB">
        <w:rPr>
          <w:rFonts w:ascii="Arial" w:eastAsia="Arial" w:hAnsi="Arial" w:cs="Arial"/>
          <w:color w:val="000000"/>
          <w:spacing w:val="1"/>
          <w:szCs w:val="21"/>
          <w:lang w:val="en-ZA" w:eastAsia="en-ZA"/>
        </w:rPr>
        <w:t xml:space="preserve"> </w:t>
      </w:r>
      <w:r w:rsidRPr="008B38AB">
        <w:rPr>
          <w:rFonts w:ascii="Arial" w:eastAsia="Arial" w:hAnsi="Arial" w:cs="Arial"/>
          <w:color w:val="000000"/>
          <w:w w:val="109"/>
          <w:szCs w:val="21"/>
          <w:lang w:val="en-ZA" w:eastAsia="en-ZA"/>
        </w:rPr>
        <w:t xml:space="preserve">to </w:t>
      </w:r>
      <w:r w:rsidRPr="008B38AB">
        <w:rPr>
          <w:rFonts w:ascii="Arial" w:eastAsia="Arial" w:hAnsi="Arial" w:cs="Arial"/>
          <w:color w:val="000000"/>
          <w:szCs w:val="21"/>
          <w:lang w:val="en-ZA" w:eastAsia="en-ZA"/>
        </w:rPr>
        <w:t>cease</w:t>
      </w:r>
      <w:r w:rsidRPr="008B38AB">
        <w:rPr>
          <w:rFonts w:ascii="Arial" w:eastAsia="Arial" w:hAnsi="Arial" w:cs="Arial"/>
          <w:color w:val="000000"/>
          <w:spacing w:val="28"/>
          <w:szCs w:val="21"/>
          <w:lang w:val="en-ZA" w:eastAsia="en-ZA"/>
        </w:rPr>
        <w:t xml:space="preserve"> </w:t>
      </w:r>
      <w:r w:rsidRPr="008B38AB">
        <w:rPr>
          <w:rFonts w:ascii="Arial" w:eastAsia="Arial" w:hAnsi="Arial" w:cs="Arial"/>
          <w:color w:val="000000"/>
          <w:szCs w:val="21"/>
          <w:lang w:val="en-ZA" w:eastAsia="en-ZA"/>
        </w:rPr>
        <w:t>continuing</w:t>
      </w:r>
      <w:r w:rsidRPr="008B38AB">
        <w:rPr>
          <w:rFonts w:ascii="Arial" w:eastAsia="Arial" w:hAnsi="Arial" w:cs="Arial"/>
          <w:color w:val="000000"/>
          <w:spacing w:val="55"/>
          <w:szCs w:val="21"/>
          <w:lang w:val="en-ZA" w:eastAsia="en-ZA"/>
        </w:rPr>
        <w:t xml:space="preserve"> </w:t>
      </w:r>
      <w:r w:rsidRPr="008B38AB">
        <w:rPr>
          <w:rFonts w:ascii="Arial" w:eastAsia="Arial" w:hAnsi="Arial" w:cs="Arial"/>
          <w:color w:val="000000"/>
          <w:szCs w:val="21"/>
          <w:lang w:val="en-ZA" w:eastAsia="en-ZA"/>
        </w:rPr>
        <w:t>as</w:t>
      </w:r>
      <w:r w:rsidRPr="008B38AB">
        <w:rPr>
          <w:rFonts w:ascii="Arial" w:eastAsia="Arial" w:hAnsi="Arial" w:cs="Arial"/>
          <w:color w:val="000000"/>
          <w:spacing w:val="8"/>
          <w:szCs w:val="21"/>
          <w:lang w:val="en-ZA" w:eastAsia="en-ZA"/>
        </w:rPr>
        <w:t xml:space="preserve"> </w:t>
      </w:r>
      <w:r w:rsidRPr="008B38AB">
        <w:rPr>
          <w:rFonts w:ascii="Arial" w:eastAsia="Arial" w:hAnsi="Arial" w:cs="Arial"/>
          <w:color w:val="000000"/>
          <w:szCs w:val="21"/>
          <w:lang w:val="en-ZA" w:eastAsia="en-ZA"/>
        </w:rPr>
        <w:t>a</w:t>
      </w:r>
      <w:r w:rsidRPr="008B38AB">
        <w:rPr>
          <w:rFonts w:ascii="Arial" w:eastAsia="Arial" w:hAnsi="Arial" w:cs="Arial"/>
          <w:color w:val="000000"/>
          <w:spacing w:val="13"/>
          <w:szCs w:val="21"/>
          <w:lang w:val="en-ZA" w:eastAsia="en-ZA"/>
        </w:rPr>
        <w:t xml:space="preserve"> </w:t>
      </w:r>
      <w:r w:rsidRPr="008B38AB">
        <w:rPr>
          <w:rFonts w:ascii="Arial" w:eastAsia="Arial" w:hAnsi="Arial" w:cs="Arial"/>
          <w:color w:val="000000"/>
          <w:szCs w:val="21"/>
          <w:lang w:val="en-ZA" w:eastAsia="en-ZA"/>
        </w:rPr>
        <w:t>going</w:t>
      </w:r>
      <w:r w:rsidRPr="008B38AB">
        <w:rPr>
          <w:rFonts w:ascii="Arial" w:eastAsia="Arial" w:hAnsi="Arial" w:cs="Arial"/>
          <w:color w:val="000000"/>
          <w:spacing w:val="30"/>
          <w:szCs w:val="21"/>
          <w:lang w:val="en-ZA" w:eastAsia="en-ZA"/>
        </w:rPr>
        <w:t xml:space="preserve"> </w:t>
      </w:r>
      <w:r w:rsidRPr="008B38AB">
        <w:rPr>
          <w:rFonts w:ascii="Arial" w:eastAsia="Arial" w:hAnsi="Arial" w:cs="Arial"/>
          <w:color w:val="000000"/>
          <w:w w:val="105"/>
          <w:szCs w:val="21"/>
          <w:lang w:val="en-ZA" w:eastAsia="en-ZA"/>
        </w:rPr>
        <w:t>concern</w:t>
      </w:r>
    </w:p>
    <w:p w14:paraId="605840CE" w14:textId="77777777" w:rsidR="00BB5C77" w:rsidRPr="008B38AB" w:rsidRDefault="00BB5C77" w:rsidP="00BB5C77">
      <w:pPr>
        <w:spacing w:before="12" w:after="0" w:line="240" w:lineRule="exact"/>
        <w:jc w:val="both"/>
        <w:rPr>
          <w:rFonts w:eastAsia="Times New Roman" w:cs="Times New Roman"/>
          <w:sz w:val="22"/>
          <w:szCs w:val="24"/>
          <w:lang w:val="en-ZA" w:eastAsia="en-ZA"/>
        </w:rPr>
      </w:pPr>
    </w:p>
    <w:p w14:paraId="34BB08EF" w14:textId="77777777" w:rsidR="00BB5C77" w:rsidRPr="008B38AB" w:rsidRDefault="00BB5C77" w:rsidP="00BB5C77">
      <w:pPr>
        <w:tabs>
          <w:tab w:val="left" w:pos="960"/>
        </w:tabs>
        <w:spacing w:after="0" w:line="250" w:lineRule="auto"/>
        <w:ind w:left="972" w:right="215" w:hanging="432"/>
        <w:jc w:val="both"/>
        <w:rPr>
          <w:rFonts w:ascii="Arial" w:eastAsia="Arial" w:hAnsi="Arial" w:cs="Arial"/>
          <w:szCs w:val="21"/>
          <w:lang w:val="en-ZA" w:eastAsia="en-ZA"/>
        </w:rPr>
      </w:pPr>
      <w:r w:rsidRPr="008B38AB">
        <w:rPr>
          <w:rFonts w:ascii="Arial" w:eastAsia="Arial" w:hAnsi="Arial" w:cs="Arial"/>
          <w:color w:val="383838"/>
          <w:w w:val="180"/>
          <w:szCs w:val="21"/>
          <w:lang w:val="en-ZA" w:eastAsia="en-ZA"/>
        </w:rPr>
        <w:t>•</w:t>
      </w:r>
      <w:r w:rsidRPr="008B38AB">
        <w:rPr>
          <w:rFonts w:ascii="Arial" w:eastAsia="Arial" w:hAnsi="Arial" w:cs="Arial"/>
          <w:color w:val="383838"/>
          <w:szCs w:val="21"/>
          <w:lang w:val="en-ZA" w:eastAsia="en-ZA"/>
        </w:rPr>
        <w:tab/>
      </w:r>
      <w:r w:rsidRPr="008B38AB">
        <w:rPr>
          <w:rFonts w:ascii="Arial" w:eastAsia="Arial" w:hAnsi="Arial" w:cs="Arial"/>
          <w:color w:val="000000"/>
          <w:szCs w:val="21"/>
          <w:lang w:val="en-ZA" w:eastAsia="en-ZA"/>
        </w:rPr>
        <w:t>evaluate</w:t>
      </w:r>
      <w:r w:rsidRPr="008B38AB">
        <w:rPr>
          <w:rFonts w:ascii="Arial" w:eastAsia="Arial" w:hAnsi="Arial" w:cs="Arial"/>
          <w:color w:val="000000"/>
          <w:spacing w:val="40"/>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17"/>
          <w:szCs w:val="21"/>
          <w:lang w:val="en-ZA" w:eastAsia="en-ZA"/>
        </w:rPr>
        <w:t xml:space="preserve"> </w:t>
      </w:r>
      <w:r w:rsidRPr="008B38AB">
        <w:rPr>
          <w:rFonts w:ascii="Arial" w:eastAsia="Arial" w:hAnsi="Arial" w:cs="Arial"/>
          <w:color w:val="000000"/>
          <w:szCs w:val="21"/>
          <w:lang w:val="en-ZA" w:eastAsia="en-ZA"/>
        </w:rPr>
        <w:t>overall</w:t>
      </w:r>
      <w:r w:rsidRPr="008B38AB">
        <w:rPr>
          <w:rFonts w:ascii="Arial" w:eastAsia="Arial" w:hAnsi="Arial" w:cs="Arial"/>
          <w:color w:val="000000"/>
          <w:spacing w:val="33"/>
          <w:szCs w:val="21"/>
          <w:lang w:val="en-ZA" w:eastAsia="en-ZA"/>
        </w:rPr>
        <w:t xml:space="preserve"> </w:t>
      </w:r>
      <w:r w:rsidRPr="008B38AB">
        <w:rPr>
          <w:rFonts w:ascii="Arial" w:eastAsia="Arial" w:hAnsi="Arial" w:cs="Arial"/>
          <w:color w:val="000000"/>
          <w:szCs w:val="21"/>
          <w:lang w:val="en-ZA" w:eastAsia="en-ZA"/>
        </w:rPr>
        <w:t>presentation,</w:t>
      </w:r>
      <w:r w:rsidRPr="008B38AB">
        <w:rPr>
          <w:rFonts w:ascii="Arial" w:eastAsia="Arial" w:hAnsi="Arial" w:cs="Arial"/>
          <w:color w:val="000000"/>
          <w:spacing w:val="22"/>
          <w:szCs w:val="21"/>
          <w:lang w:val="en-ZA" w:eastAsia="en-ZA"/>
        </w:rPr>
        <w:t xml:space="preserve"> </w:t>
      </w:r>
      <w:r w:rsidRPr="008B38AB">
        <w:rPr>
          <w:rFonts w:ascii="Arial" w:eastAsia="Arial" w:hAnsi="Arial" w:cs="Arial"/>
          <w:color w:val="000000"/>
          <w:szCs w:val="21"/>
          <w:lang w:val="en-ZA" w:eastAsia="en-ZA"/>
        </w:rPr>
        <w:t>structure</w:t>
      </w:r>
      <w:r w:rsidRPr="008B38AB">
        <w:rPr>
          <w:rFonts w:ascii="Arial" w:eastAsia="Arial" w:hAnsi="Arial" w:cs="Arial"/>
          <w:color w:val="000000"/>
          <w:spacing w:val="53"/>
          <w:szCs w:val="21"/>
          <w:lang w:val="en-ZA" w:eastAsia="en-ZA"/>
        </w:rPr>
        <w:t xml:space="preserve"> </w:t>
      </w:r>
      <w:r w:rsidRPr="008B38AB">
        <w:rPr>
          <w:rFonts w:ascii="Arial" w:eastAsia="Arial" w:hAnsi="Arial" w:cs="Arial"/>
          <w:color w:val="000000"/>
          <w:szCs w:val="21"/>
          <w:lang w:val="en-ZA" w:eastAsia="en-ZA"/>
        </w:rPr>
        <w:t>and</w:t>
      </w:r>
      <w:r w:rsidRPr="008B38AB">
        <w:rPr>
          <w:rFonts w:ascii="Arial" w:eastAsia="Arial" w:hAnsi="Arial" w:cs="Arial"/>
          <w:color w:val="000000"/>
          <w:spacing w:val="22"/>
          <w:szCs w:val="21"/>
          <w:lang w:val="en-ZA" w:eastAsia="en-ZA"/>
        </w:rPr>
        <w:t xml:space="preserve"> </w:t>
      </w:r>
      <w:r w:rsidRPr="008B38AB">
        <w:rPr>
          <w:rFonts w:ascii="Arial" w:eastAsia="Arial" w:hAnsi="Arial" w:cs="Arial"/>
          <w:color w:val="000000"/>
          <w:szCs w:val="21"/>
          <w:lang w:val="en-ZA" w:eastAsia="en-ZA"/>
        </w:rPr>
        <w:t>content</w:t>
      </w:r>
      <w:r w:rsidRPr="008B38AB">
        <w:rPr>
          <w:rFonts w:ascii="Arial" w:eastAsia="Arial" w:hAnsi="Arial" w:cs="Arial"/>
          <w:color w:val="000000"/>
          <w:spacing w:val="23"/>
          <w:szCs w:val="21"/>
          <w:lang w:val="en-ZA" w:eastAsia="en-ZA"/>
        </w:rPr>
        <w:t xml:space="preserve"> </w:t>
      </w:r>
      <w:r w:rsidRPr="008B38AB">
        <w:rPr>
          <w:rFonts w:ascii="Arial" w:eastAsia="Arial" w:hAnsi="Arial" w:cs="Arial"/>
          <w:color w:val="000000"/>
          <w:szCs w:val="21"/>
          <w:lang w:val="en-ZA" w:eastAsia="en-ZA"/>
        </w:rPr>
        <w:t>of</w:t>
      </w:r>
      <w:r w:rsidRPr="008B38AB">
        <w:rPr>
          <w:rFonts w:ascii="Arial" w:eastAsia="Arial" w:hAnsi="Arial" w:cs="Arial"/>
          <w:color w:val="000000"/>
          <w:spacing w:val="16"/>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10"/>
          <w:szCs w:val="21"/>
          <w:lang w:val="en-ZA" w:eastAsia="en-ZA"/>
        </w:rPr>
        <w:t xml:space="preserve"> </w:t>
      </w:r>
      <w:r w:rsidRPr="008B38AB">
        <w:rPr>
          <w:rFonts w:ascii="Arial" w:eastAsia="Arial" w:hAnsi="Arial" w:cs="Arial"/>
          <w:color w:val="000000"/>
          <w:szCs w:val="21"/>
          <w:lang w:val="en-ZA" w:eastAsia="en-ZA"/>
        </w:rPr>
        <w:t>financial</w:t>
      </w:r>
      <w:r w:rsidRPr="008B38AB">
        <w:rPr>
          <w:rFonts w:ascii="Arial" w:eastAsia="Arial" w:hAnsi="Arial" w:cs="Arial"/>
          <w:color w:val="000000"/>
          <w:spacing w:val="24"/>
          <w:szCs w:val="21"/>
          <w:lang w:val="en-ZA" w:eastAsia="en-ZA"/>
        </w:rPr>
        <w:t xml:space="preserve"> </w:t>
      </w:r>
      <w:r w:rsidRPr="008B38AB">
        <w:rPr>
          <w:rFonts w:ascii="Arial" w:eastAsia="Arial" w:hAnsi="Arial" w:cs="Arial"/>
          <w:color w:val="000000"/>
          <w:w w:val="106"/>
          <w:szCs w:val="21"/>
          <w:lang w:val="en-ZA" w:eastAsia="en-ZA"/>
        </w:rPr>
        <w:t xml:space="preserve">statements, </w:t>
      </w:r>
      <w:r w:rsidRPr="008B38AB">
        <w:rPr>
          <w:rFonts w:ascii="Arial" w:eastAsia="Arial" w:hAnsi="Arial" w:cs="Arial"/>
          <w:color w:val="000000"/>
          <w:szCs w:val="21"/>
          <w:lang w:val="en-ZA" w:eastAsia="en-ZA"/>
        </w:rPr>
        <w:t>including</w:t>
      </w:r>
      <w:r w:rsidRPr="008B38AB">
        <w:rPr>
          <w:rFonts w:ascii="Arial" w:eastAsia="Arial" w:hAnsi="Arial" w:cs="Arial"/>
          <w:color w:val="000000"/>
          <w:spacing w:val="45"/>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17"/>
          <w:szCs w:val="21"/>
          <w:lang w:val="en-ZA" w:eastAsia="en-ZA"/>
        </w:rPr>
        <w:t xml:space="preserve"> </w:t>
      </w:r>
      <w:r w:rsidRPr="008B38AB">
        <w:rPr>
          <w:rFonts w:ascii="Arial" w:eastAsia="Arial" w:hAnsi="Arial" w:cs="Arial"/>
          <w:color w:val="000000"/>
          <w:szCs w:val="21"/>
          <w:lang w:val="en-ZA" w:eastAsia="en-ZA"/>
        </w:rPr>
        <w:t>disclosures,</w:t>
      </w:r>
      <w:r w:rsidRPr="008B38AB">
        <w:rPr>
          <w:rFonts w:ascii="Arial" w:eastAsia="Arial" w:hAnsi="Arial" w:cs="Arial"/>
          <w:color w:val="000000"/>
          <w:spacing w:val="58"/>
          <w:szCs w:val="21"/>
          <w:lang w:val="en-ZA" w:eastAsia="en-ZA"/>
        </w:rPr>
        <w:t xml:space="preserve"> </w:t>
      </w:r>
      <w:r w:rsidRPr="008B38AB">
        <w:rPr>
          <w:rFonts w:ascii="Arial" w:eastAsia="Arial" w:hAnsi="Arial" w:cs="Arial"/>
          <w:color w:val="000000"/>
          <w:szCs w:val="21"/>
          <w:lang w:val="en-ZA" w:eastAsia="en-ZA"/>
        </w:rPr>
        <w:t>and</w:t>
      </w:r>
      <w:r w:rsidRPr="008B38AB">
        <w:rPr>
          <w:rFonts w:ascii="Arial" w:eastAsia="Arial" w:hAnsi="Arial" w:cs="Arial"/>
          <w:color w:val="000000"/>
          <w:spacing w:val="17"/>
          <w:szCs w:val="21"/>
          <w:lang w:val="en-ZA" w:eastAsia="en-ZA"/>
        </w:rPr>
        <w:t xml:space="preserve"> </w:t>
      </w:r>
      <w:r w:rsidRPr="008B38AB">
        <w:rPr>
          <w:rFonts w:ascii="Arial" w:eastAsia="Arial" w:hAnsi="Arial" w:cs="Arial"/>
          <w:color w:val="000000"/>
          <w:szCs w:val="21"/>
          <w:lang w:val="en-ZA" w:eastAsia="en-ZA"/>
        </w:rPr>
        <w:t>whether</w:t>
      </w:r>
      <w:r w:rsidRPr="008B38AB">
        <w:rPr>
          <w:rFonts w:ascii="Arial" w:eastAsia="Arial" w:hAnsi="Arial" w:cs="Arial"/>
          <w:color w:val="000000"/>
          <w:spacing w:val="34"/>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22"/>
          <w:szCs w:val="21"/>
          <w:lang w:val="en-ZA" w:eastAsia="en-ZA"/>
        </w:rPr>
        <w:t xml:space="preserve"> </w:t>
      </w:r>
      <w:r w:rsidRPr="008B38AB">
        <w:rPr>
          <w:rFonts w:ascii="Arial" w:eastAsia="Arial" w:hAnsi="Arial" w:cs="Arial"/>
          <w:color w:val="000000"/>
          <w:szCs w:val="21"/>
          <w:lang w:val="en-ZA" w:eastAsia="en-ZA"/>
        </w:rPr>
        <w:t>financial</w:t>
      </w:r>
      <w:r w:rsidRPr="008B38AB">
        <w:rPr>
          <w:rFonts w:ascii="Arial" w:eastAsia="Arial" w:hAnsi="Arial" w:cs="Arial"/>
          <w:color w:val="000000"/>
          <w:spacing w:val="24"/>
          <w:szCs w:val="21"/>
          <w:lang w:val="en-ZA" w:eastAsia="en-ZA"/>
        </w:rPr>
        <w:t xml:space="preserve"> </w:t>
      </w:r>
      <w:r w:rsidRPr="008B38AB">
        <w:rPr>
          <w:rFonts w:ascii="Arial" w:eastAsia="Arial" w:hAnsi="Arial" w:cs="Arial"/>
          <w:color w:val="000000"/>
          <w:szCs w:val="21"/>
          <w:lang w:val="en-ZA" w:eastAsia="en-ZA"/>
        </w:rPr>
        <w:t>statements</w:t>
      </w:r>
      <w:r w:rsidRPr="008B38AB">
        <w:rPr>
          <w:rFonts w:ascii="Arial" w:eastAsia="Arial" w:hAnsi="Arial" w:cs="Arial"/>
          <w:color w:val="000000"/>
          <w:spacing w:val="33"/>
          <w:szCs w:val="21"/>
          <w:lang w:val="en-ZA" w:eastAsia="en-ZA"/>
        </w:rPr>
        <w:t xml:space="preserve"> </w:t>
      </w:r>
      <w:r w:rsidRPr="008B38AB">
        <w:rPr>
          <w:rFonts w:ascii="Arial" w:eastAsia="Arial" w:hAnsi="Arial" w:cs="Arial"/>
          <w:color w:val="000000"/>
          <w:szCs w:val="21"/>
          <w:lang w:val="en-ZA" w:eastAsia="en-ZA"/>
        </w:rPr>
        <w:t>represent</w:t>
      </w:r>
      <w:r w:rsidRPr="008B38AB">
        <w:rPr>
          <w:rFonts w:ascii="Arial" w:eastAsia="Arial" w:hAnsi="Arial" w:cs="Arial"/>
          <w:color w:val="000000"/>
          <w:spacing w:val="55"/>
          <w:szCs w:val="21"/>
          <w:lang w:val="en-ZA" w:eastAsia="en-ZA"/>
        </w:rPr>
        <w:t xml:space="preserve"> </w:t>
      </w:r>
      <w:r w:rsidRPr="008B38AB">
        <w:rPr>
          <w:rFonts w:ascii="Arial" w:eastAsia="Arial" w:hAnsi="Arial" w:cs="Arial"/>
          <w:color w:val="000000"/>
          <w:w w:val="107"/>
          <w:szCs w:val="21"/>
          <w:lang w:val="en-ZA" w:eastAsia="en-ZA"/>
        </w:rPr>
        <w:t xml:space="preserve">the </w:t>
      </w:r>
      <w:r w:rsidRPr="008B38AB">
        <w:rPr>
          <w:rFonts w:ascii="Arial" w:eastAsia="Arial" w:hAnsi="Arial" w:cs="Arial"/>
          <w:color w:val="000000"/>
          <w:szCs w:val="21"/>
          <w:lang w:val="en-ZA" w:eastAsia="en-ZA"/>
        </w:rPr>
        <w:t>underlying</w:t>
      </w:r>
      <w:r w:rsidRPr="008B38AB">
        <w:rPr>
          <w:rFonts w:ascii="Arial" w:eastAsia="Arial" w:hAnsi="Arial" w:cs="Arial"/>
          <w:color w:val="000000"/>
          <w:spacing w:val="58"/>
          <w:szCs w:val="21"/>
          <w:lang w:val="en-ZA" w:eastAsia="en-ZA"/>
        </w:rPr>
        <w:t xml:space="preserve"> </w:t>
      </w:r>
      <w:r w:rsidRPr="008B38AB">
        <w:rPr>
          <w:rFonts w:ascii="Arial" w:eastAsia="Arial" w:hAnsi="Arial" w:cs="Arial"/>
          <w:color w:val="000000"/>
          <w:szCs w:val="21"/>
          <w:lang w:val="en-ZA" w:eastAsia="en-ZA"/>
        </w:rPr>
        <w:t>transactions</w:t>
      </w:r>
      <w:r w:rsidRPr="008B38AB">
        <w:rPr>
          <w:rFonts w:ascii="Arial" w:eastAsia="Arial" w:hAnsi="Arial" w:cs="Arial"/>
          <w:color w:val="000000"/>
          <w:spacing w:val="43"/>
          <w:szCs w:val="21"/>
          <w:lang w:val="en-ZA" w:eastAsia="en-ZA"/>
        </w:rPr>
        <w:t xml:space="preserve"> </w:t>
      </w:r>
      <w:r w:rsidRPr="008B38AB">
        <w:rPr>
          <w:rFonts w:ascii="Arial" w:eastAsia="Arial" w:hAnsi="Arial" w:cs="Arial"/>
          <w:color w:val="000000"/>
          <w:szCs w:val="21"/>
          <w:lang w:val="en-ZA" w:eastAsia="en-ZA"/>
        </w:rPr>
        <w:t>and</w:t>
      </w:r>
      <w:r w:rsidRPr="008B38AB">
        <w:rPr>
          <w:rFonts w:ascii="Arial" w:eastAsia="Arial" w:hAnsi="Arial" w:cs="Arial"/>
          <w:color w:val="000000"/>
          <w:spacing w:val="23"/>
          <w:szCs w:val="21"/>
          <w:lang w:val="en-ZA" w:eastAsia="en-ZA"/>
        </w:rPr>
        <w:t xml:space="preserve"> </w:t>
      </w:r>
      <w:r w:rsidRPr="008B38AB">
        <w:rPr>
          <w:rFonts w:ascii="Arial" w:eastAsia="Arial" w:hAnsi="Arial" w:cs="Arial"/>
          <w:color w:val="000000"/>
          <w:szCs w:val="21"/>
          <w:lang w:val="en-ZA" w:eastAsia="en-ZA"/>
        </w:rPr>
        <w:t>events</w:t>
      </w:r>
      <w:r w:rsidRPr="008B38AB">
        <w:rPr>
          <w:rFonts w:ascii="Arial" w:eastAsia="Arial" w:hAnsi="Arial" w:cs="Arial"/>
          <w:color w:val="000000"/>
          <w:spacing w:val="31"/>
          <w:szCs w:val="21"/>
          <w:lang w:val="en-ZA" w:eastAsia="en-ZA"/>
        </w:rPr>
        <w:t xml:space="preserve"> </w:t>
      </w:r>
      <w:r w:rsidRPr="008B38AB">
        <w:rPr>
          <w:rFonts w:ascii="Arial" w:eastAsia="Arial" w:hAnsi="Arial" w:cs="Arial"/>
          <w:color w:val="000000"/>
          <w:szCs w:val="21"/>
          <w:lang w:val="en-ZA" w:eastAsia="en-ZA"/>
        </w:rPr>
        <w:t>in</w:t>
      </w:r>
      <w:r w:rsidRPr="008B38AB">
        <w:rPr>
          <w:rFonts w:ascii="Arial" w:eastAsia="Arial" w:hAnsi="Arial" w:cs="Arial"/>
          <w:color w:val="000000"/>
          <w:spacing w:val="-1"/>
          <w:szCs w:val="21"/>
          <w:lang w:val="en-ZA" w:eastAsia="en-ZA"/>
        </w:rPr>
        <w:t xml:space="preserve"> </w:t>
      </w:r>
      <w:r w:rsidRPr="008B38AB">
        <w:rPr>
          <w:rFonts w:ascii="Arial" w:eastAsia="Arial" w:hAnsi="Arial" w:cs="Arial"/>
          <w:color w:val="000000"/>
          <w:szCs w:val="21"/>
          <w:lang w:val="en-ZA" w:eastAsia="en-ZA"/>
        </w:rPr>
        <w:t>a</w:t>
      </w:r>
      <w:r w:rsidRPr="008B38AB">
        <w:rPr>
          <w:rFonts w:ascii="Arial" w:eastAsia="Arial" w:hAnsi="Arial" w:cs="Arial"/>
          <w:color w:val="000000"/>
          <w:spacing w:val="20"/>
          <w:szCs w:val="21"/>
          <w:lang w:val="en-ZA" w:eastAsia="en-ZA"/>
        </w:rPr>
        <w:t xml:space="preserve"> </w:t>
      </w:r>
      <w:r w:rsidRPr="008B38AB">
        <w:rPr>
          <w:rFonts w:ascii="Arial" w:eastAsia="Arial" w:hAnsi="Arial" w:cs="Arial"/>
          <w:color w:val="000000"/>
          <w:szCs w:val="21"/>
          <w:lang w:val="en-ZA" w:eastAsia="en-ZA"/>
        </w:rPr>
        <w:t>manner</w:t>
      </w:r>
      <w:r w:rsidRPr="008B38AB">
        <w:rPr>
          <w:rFonts w:ascii="Arial" w:eastAsia="Arial" w:hAnsi="Arial" w:cs="Arial"/>
          <w:color w:val="000000"/>
          <w:spacing w:val="46"/>
          <w:szCs w:val="21"/>
          <w:lang w:val="en-ZA" w:eastAsia="en-ZA"/>
        </w:rPr>
        <w:t xml:space="preserve"> </w:t>
      </w:r>
      <w:r w:rsidRPr="008B38AB">
        <w:rPr>
          <w:rFonts w:ascii="Arial" w:eastAsia="Arial" w:hAnsi="Arial" w:cs="Arial"/>
          <w:color w:val="000000"/>
          <w:szCs w:val="21"/>
          <w:lang w:val="en-ZA" w:eastAsia="en-ZA"/>
        </w:rPr>
        <w:t>that</w:t>
      </w:r>
      <w:r w:rsidRPr="008B38AB">
        <w:rPr>
          <w:rFonts w:ascii="Arial" w:eastAsia="Arial" w:hAnsi="Arial" w:cs="Arial"/>
          <w:color w:val="000000"/>
          <w:spacing w:val="14"/>
          <w:szCs w:val="21"/>
          <w:lang w:val="en-ZA" w:eastAsia="en-ZA"/>
        </w:rPr>
        <w:t xml:space="preserve"> </w:t>
      </w:r>
      <w:r w:rsidRPr="008B38AB">
        <w:rPr>
          <w:rFonts w:ascii="Arial" w:eastAsia="Arial" w:hAnsi="Arial" w:cs="Arial"/>
          <w:color w:val="000000"/>
          <w:szCs w:val="21"/>
          <w:lang w:val="en-ZA" w:eastAsia="en-ZA"/>
        </w:rPr>
        <w:t>achieves</w:t>
      </w:r>
      <w:r w:rsidRPr="008B38AB">
        <w:rPr>
          <w:rFonts w:ascii="Arial" w:eastAsia="Arial" w:hAnsi="Arial" w:cs="Arial"/>
          <w:color w:val="000000"/>
          <w:spacing w:val="35"/>
          <w:szCs w:val="21"/>
          <w:lang w:val="en-ZA" w:eastAsia="en-ZA"/>
        </w:rPr>
        <w:t xml:space="preserve"> </w:t>
      </w:r>
      <w:r w:rsidRPr="008B38AB">
        <w:rPr>
          <w:rFonts w:ascii="Arial" w:eastAsia="Arial" w:hAnsi="Arial" w:cs="Arial"/>
          <w:color w:val="000000"/>
          <w:szCs w:val="21"/>
          <w:lang w:val="en-ZA" w:eastAsia="en-ZA"/>
        </w:rPr>
        <w:t>fair</w:t>
      </w:r>
      <w:r w:rsidRPr="008B38AB">
        <w:rPr>
          <w:rFonts w:ascii="Arial" w:eastAsia="Arial" w:hAnsi="Arial" w:cs="Arial"/>
          <w:color w:val="000000"/>
          <w:spacing w:val="7"/>
          <w:szCs w:val="21"/>
          <w:lang w:val="en-ZA" w:eastAsia="en-ZA"/>
        </w:rPr>
        <w:t xml:space="preserve"> </w:t>
      </w:r>
      <w:r w:rsidRPr="008B38AB">
        <w:rPr>
          <w:rFonts w:ascii="Arial" w:eastAsia="Arial" w:hAnsi="Arial" w:cs="Arial"/>
          <w:color w:val="000000"/>
          <w:w w:val="106"/>
          <w:szCs w:val="21"/>
          <w:lang w:val="en-ZA" w:eastAsia="en-ZA"/>
        </w:rPr>
        <w:t>presentation</w:t>
      </w:r>
    </w:p>
    <w:p w14:paraId="06529A76" w14:textId="77777777" w:rsidR="00BB5C77" w:rsidRPr="008B38AB" w:rsidRDefault="00BB5C77" w:rsidP="00BB5C77">
      <w:pPr>
        <w:spacing w:before="19" w:after="0" w:line="240" w:lineRule="exact"/>
        <w:jc w:val="both"/>
        <w:rPr>
          <w:rFonts w:eastAsia="Times New Roman" w:cs="Times New Roman"/>
          <w:sz w:val="22"/>
          <w:szCs w:val="24"/>
          <w:lang w:val="en-ZA" w:eastAsia="en-ZA"/>
        </w:rPr>
      </w:pPr>
    </w:p>
    <w:p w14:paraId="29FC47FB" w14:textId="77777777" w:rsidR="00BB5C77" w:rsidRPr="008B38AB" w:rsidRDefault="00BB5C77" w:rsidP="00BB5C77">
      <w:pPr>
        <w:tabs>
          <w:tab w:val="left" w:pos="940"/>
        </w:tabs>
        <w:spacing w:after="0" w:line="250" w:lineRule="auto"/>
        <w:ind w:left="957" w:right="80" w:hanging="418"/>
        <w:jc w:val="both"/>
        <w:rPr>
          <w:rFonts w:ascii="Arial" w:eastAsia="Arial" w:hAnsi="Arial" w:cs="Arial"/>
          <w:szCs w:val="21"/>
          <w:lang w:val="en-ZA" w:eastAsia="en-ZA"/>
        </w:rPr>
      </w:pPr>
      <w:r w:rsidRPr="008B38AB">
        <w:rPr>
          <w:rFonts w:ascii="Arial" w:eastAsia="Arial" w:hAnsi="Arial" w:cs="Arial"/>
          <w:color w:val="383838"/>
          <w:w w:val="166"/>
          <w:szCs w:val="21"/>
          <w:lang w:val="en-ZA" w:eastAsia="en-ZA"/>
        </w:rPr>
        <w:t>•</w:t>
      </w:r>
      <w:r w:rsidRPr="008B38AB">
        <w:rPr>
          <w:rFonts w:ascii="Arial" w:eastAsia="Arial" w:hAnsi="Arial" w:cs="Arial"/>
          <w:color w:val="383838"/>
          <w:szCs w:val="21"/>
          <w:lang w:val="en-ZA" w:eastAsia="en-ZA"/>
        </w:rPr>
        <w:tab/>
      </w:r>
      <w:r w:rsidRPr="008B38AB">
        <w:rPr>
          <w:rFonts w:ascii="Arial" w:eastAsia="Arial" w:hAnsi="Arial" w:cs="Arial"/>
          <w:color w:val="000000"/>
          <w:szCs w:val="21"/>
          <w:lang w:val="en-ZA" w:eastAsia="en-ZA"/>
        </w:rPr>
        <w:t>obtain</w:t>
      </w:r>
      <w:r w:rsidRPr="008B38AB">
        <w:rPr>
          <w:rFonts w:ascii="Arial" w:eastAsia="Arial" w:hAnsi="Arial" w:cs="Arial"/>
          <w:color w:val="000000"/>
          <w:spacing w:val="41"/>
          <w:szCs w:val="21"/>
          <w:lang w:val="en-ZA" w:eastAsia="en-ZA"/>
        </w:rPr>
        <w:t xml:space="preserve"> </w:t>
      </w:r>
      <w:r w:rsidRPr="008B38AB">
        <w:rPr>
          <w:rFonts w:ascii="Arial" w:eastAsia="Arial" w:hAnsi="Arial" w:cs="Arial"/>
          <w:color w:val="000000"/>
          <w:szCs w:val="21"/>
          <w:lang w:val="en-ZA" w:eastAsia="en-ZA"/>
        </w:rPr>
        <w:t>sufficient</w:t>
      </w:r>
      <w:r w:rsidRPr="008B38AB">
        <w:rPr>
          <w:rFonts w:ascii="Arial" w:eastAsia="Arial" w:hAnsi="Arial" w:cs="Arial"/>
          <w:color w:val="000000"/>
          <w:spacing w:val="37"/>
          <w:szCs w:val="21"/>
          <w:lang w:val="en-ZA" w:eastAsia="en-ZA"/>
        </w:rPr>
        <w:t xml:space="preserve"> </w:t>
      </w:r>
      <w:r w:rsidRPr="008B38AB">
        <w:rPr>
          <w:rFonts w:ascii="Arial" w:eastAsia="Arial" w:hAnsi="Arial" w:cs="Arial"/>
          <w:color w:val="000000"/>
          <w:szCs w:val="21"/>
          <w:lang w:val="en-ZA" w:eastAsia="en-ZA"/>
        </w:rPr>
        <w:t>appropriate</w:t>
      </w:r>
      <w:r w:rsidRPr="008B38AB">
        <w:rPr>
          <w:rFonts w:ascii="Arial" w:eastAsia="Arial" w:hAnsi="Arial" w:cs="Arial"/>
          <w:color w:val="000000"/>
          <w:spacing w:val="47"/>
          <w:szCs w:val="21"/>
          <w:lang w:val="en-ZA" w:eastAsia="en-ZA"/>
        </w:rPr>
        <w:t xml:space="preserve"> </w:t>
      </w:r>
      <w:r w:rsidRPr="008B38AB">
        <w:rPr>
          <w:rFonts w:ascii="Arial" w:eastAsia="Arial" w:hAnsi="Arial" w:cs="Arial"/>
          <w:color w:val="000000"/>
          <w:szCs w:val="21"/>
          <w:lang w:val="en-ZA" w:eastAsia="en-ZA"/>
        </w:rPr>
        <w:t>audit</w:t>
      </w:r>
      <w:r w:rsidRPr="008B38AB">
        <w:rPr>
          <w:rFonts w:ascii="Arial" w:eastAsia="Arial" w:hAnsi="Arial" w:cs="Arial"/>
          <w:color w:val="000000"/>
          <w:spacing w:val="18"/>
          <w:szCs w:val="21"/>
          <w:lang w:val="en-ZA" w:eastAsia="en-ZA"/>
        </w:rPr>
        <w:t xml:space="preserve"> </w:t>
      </w:r>
      <w:r w:rsidRPr="008B38AB">
        <w:rPr>
          <w:rFonts w:ascii="Arial" w:eastAsia="Arial" w:hAnsi="Arial" w:cs="Arial"/>
          <w:color w:val="000000"/>
          <w:szCs w:val="21"/>
          <w:lang w:val="en-ZA" w:eastAsia="en-ZA"/>
        </w:rPr>
        <w:t xml:space="preserve">evidence </w:t>
      </w:r>
      <w:r w:rsidRPr="008B38AB">
        <w:rPr>
          <w:rFonts w:ascii="Arial" w:eastAsia="Arial" w:hAnsi="Arial" w:cs="Arial"/>
          <w:color w:val="000000"/>
          <w:spacing w:val="3"/>
          <w:szCs w:val="21"/>
          <w:lang w:val="en-ZA" w:eastAsia="en-ZA"/>
        </w:rPr>
        <w:t xml:space="preserve"> </w:t>
      </w:r>
      <w:r w:rsidRPr="008B38AB">
        <w:rPr>
          <w:rFonts w:ascii="Arial" w:eastAsia="Arial" w:hAnsi="Arial" w:cs="Arial"/>
          <w:color w:val="000000"/>
          <w:szCs w:val="21"/>
          <w:lang w:val="en-ZA" w:eastAsia="en-ZA"/>
        </w:rPr>
        <w:t>regarding</w:t>
      </w:r>
      <w:r w:rsidRPr="008B38AB">
        <w:rPr>
          <w:rFonts w:ascii="Arial" w:eastAsia="Arial" w:hAnsi="Arial" w:cs="Arial"/>
          <w:color w:val="000000"/>
          <w:spacing w:val="48"/>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8"/>
          <w:szCs w:val="21"/>
          <w:lang w:val="en-ZA" w:eastAsia="en-ZA"/>
        </w:rPr>
        <w:t xml:space="preserve"> </w:t>
      </w:r>
      <w:r w:rsidRPr="008B38AB">
        <w:rPr>
          <w:rFonts w:ascii="Arial" w:eastAsia="Arial" w:hAnsi="Arial" w:cs="Arial"/>
          <w:color w:val="000000"/>
          <w:szCs w:val="21"/>
          <w:lang w:val="en-ZA" w:eastAsia="en-ZA"/>
        </w:rPr>
        <w:t>financial</w:t>
      </w:r>
      <w:r w:rsidRPr="008B38AB">
        <w:rPr>
          <w:rFonts w:ascii="Arial" w:eastAsia="Arial" w:hAnsi="Arial" w:cs="Arial"/>
          <w:color w:val="000000"/>
          <w:spacing w:val="31"/>
          <w:szCs w:val="21"/>
          <w:lang w:val="en-ZA" w:eastAsia="en-ZA"/>
        </w:rPr>
        <w:t xml:space="preserve"> </w:t>
      </w:r>
      <w:r w:rsidRPr="008B38AB">
        <w:rPr>
          <w:rFonts w:ascii="Arial" w:eastAsia="Arial" w:hAnsi="Arial" w:cs="Arial"/>
          <w:color w:val="000000"/>
          <w:szCs w:val="21"/>
          <w:lang w:val="en-ZA" w:eastAsia="en-ZA"/>
        </w:rPr>
        <w:t>information</w:t>
      </w:r>
      <w:r w:rsidRPr="008B38AB">
        <w:rPr>
          <w:rFonts w:ascii="Arial" w:eastAsia="Arial" w:hAnsi="Arial" w:cs="Arial"/>
          <w:color w:val="000000"/>
          <w:spacing w:val="46"/>
          <w:szCs w:val="21"/>
          <w:lang w:val="en-ZA" w:eastAsia="en-ZA"/>
        </w:rPr>
        <w:t xml:space="preserve"> </w:t>
      </w:r>
      <w:r w:rsidRPr="008B38AB">
        <w:rPr>
          <w:rFonts w:ascii="Arial" w:eastAsia="Arial" w:hAnsi="Arial" w:cs="Arial"/>
          <w:color w:val="000000"/>
          <w:szCs w:val="21"/>
          <w:lang w:val="en-ZA" w:eastAsia="en-ZA"/>
        </w:rPr>
        <w:t>of</w:t>
      </w:r>
      <w:r w:rsidRPr="008B38AB">
        <w:rPr>
          <w:rFonts w:ascii="Arial" w:eastAsia="Arial" w:hAnsi="Arial" w:cs="Arial"/>
          <w:color w:val="000000"/>
          <w:spacing w:val="16"/>
          <w:szCs w:val="21"/>
          <w:lang w:val="en-ZA" w:eastAsia="en-ZA"/>
        </w:rPr>
        <w:t xml:space="preserve"> </w:t>
      </w:r>
      <w:r w:rsidRPr="008B38AB">
        <w:rPr>
          <w:rFonts w:ascii="Arial" w:eastAsia="Arial" w:hAnsi="Arial" w:cs="Arial"/>
          <w:color w:val="000000"/>
          <w:w w:val="105"/>
          <w:szCs w:val="21"/>
          <w:lang w:val="en-ZA" w:eastAsia="en-ZA"/>
        </w:rPr>
        <w:t xml:space="preserve">the </w:t>
      </w:r>
      <w:r w:rsidRPr="008B38AB">
        <w:rPr>
          <w:rFonts w:ascii="Arial" w:eastAsia="Arial" w:hAnsi="Arial" w:cs="Arial"/>
          <w:color w:val="000000"/>
          <w:szCs w:val="21"/>
          <w:lang w:val="en-ZA" w:eastAsia="en-ZA"/>
        </w:rPr>
        <w:t>entities</w:t>
      </w:r>
      <w:r w:rsidRPr="008B38AB">
        <w:rPr>
          <w:rFonts w:ascii="Arial" w:eastAsia="Arial" w:hAnsi="Arial" w:cs="Arial"/>
          <w:color w:val="000000"/>
          <w:spacing w:val="37"/>
          <w:szCs w:val="21"/>
          <w:lang w:val="en-ZA" w:eastAsia="en-ZA"/>
        </w:rPr>
        <w:t xml:space="preserve"> </w:t>
      </w:r>
      <w:r w:rsidRPr="008B38AB">
        <w:rPr>
          <w:rFonts w:ascii="Arial" w:eastAsia="Arial" w:hAnsi="Arial" w:cs="Arial"/>
          <w:color w:val="000000"/>
          <w:szCs w:val="21"/>
          <w:lang w:val="en-ZA" w:eastAsia="en-ZA"/>
        </w:rPr>
        <w:t>or</w:t>
      </w:r>
      <w:r w:rsidRPr="008B38AB">
        <w:rPr>
          <w:rFonts w:ascii="Arial" w:eastAsia="Arial" w:hAnsi="Arial" w:cs="Arial"/>
          <w:color w:val="000000"/>
          <w:spacing w:val="19"/>
          <w:szCs w:val="21"/>
          <w:lang w:val="en-ZA" w:eastAsia="en-ZA"/>
        </w:rPr>
        <w:t xml:space="preserve"> </w:t>
      </w:r>
      <w:r w:rsidRPr="008B38AB">
        <w:rPr>
          <w:rFonts w:ascii="Arial" w:eastAsia="Arial" w:hAnsi="Arial" w:cs="Arial"/>
          <w:color w:val="000000"/>
          <w:szCs w:val="21"/>
          <w:lang w:val="en-ZA" w:eastAsia="en-ZA"/>
        </w:rPr>
        <w:t>business</w:t>
      </w:r>
      <w:r w:rsidRPr="008B38AB">
        <w:rPr>
          <w:rFonts w:ascii="Arial" w:eastAsia="Arial" w:hAnsi="Arial" w:cs="Arial"/>
          <w:color w:val="000000"/>
          <w:spacing w:val="41"/>
          <w:szCs w:val="21"/>
          <w:lang w:val="en-ZA" w:eastAsia="en-ZA"/>
        </w:rPr>
        <w:t xml:space="preserve"> </w:t>
      </w:r>
      <w:r w:rsidRPr="008B38AB">
        <w:rPr>
          <w:rFonts w:ascii="Arial" w:eastAsia="Arial" w:hAnsi="Arial" w:cs="Arial"/>
          <w:color w:val="000000"/>
          <w:szCs w:val="21"/>
          <w:lang w:val="en-ZA" w:eastAsia="en-ZA"/>
        </w:rPr>
        <w:t>activities</w:t>
      </w:r>
      <w:r w:rsidRPr="008B38AB">
        <w:rPr>
          <w:rFonts w:ascii="Arial" w:eastAsia="Arial" w:hAnsi="Arial" w:cs="Arial"/>
          <w:color w:val="000000"/>
          <w:spacing w:val="44"/>
          <w:szCs w:val="21"/>
          <w:lang w:val="en-ZA" w:eastAsia="en-ZA"/>
        </w:rPr>
        <w:t xml:space="preserve"> </w:t>
      </w:r>
      <w:r w:rsidRPr="008B38AB">
        <w:rPr>
          <w:rFonts w:ascii="Arial" w:eastAsia="Arial" w:hAnsi="Arial" w:cs="Arial"/>
          <w:color w:val="000000"/>
          <w:szCs w:val="21"/>
          <w:lang w:val="en-ZA" w:eastAsia="en-ZA"/>
        </w:rPr>
        <w:t>within</w:t>
      </w:r>
      <w:r w:rsidRPr="008B38AB">
        <w:rPr>
          <w:rFonts w:ascii="Arial" w:eastAsia="Arial" w:hAnsi="Arial" w:cs="Arial"/>
          <w:color w:val="000000"/>
          <w:spacing w:val="10"/>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19"/>
          <w:szCs w:val="21"/>
          <w:lang w:val="en-ZA" w:eastAsia="en-ZA"/>
        </w:rPr>
        <w:t xml:space="preserve"> </w:t>
      </w:r>
      <w:r w:rsidRPr="008B38AB">
        <w:rPr>
          <w:rFonts w:ascii="Arial" w:eastAsia="Arial" w:hAnsi="Arial" w:cs="Arial"/>
          <w:color w:val="000000"/>
          <w:szCs w:val="21"/>
          <w:lang w:val="en-ZA" w:eastAsia="en-ZA"/>
        </w:rPr>
        <w:t>group</w:t>
      </w:r>
      <w:r w:rsidRPr="008B38AB">
        <w:rPr>
          <w:rFonts w:ascii="Arial" w:eastAsia="Arial" w:hAnsi="Arial" w:cs="Arial"/>
          <w:color w:val="000000"/>
          <w:spacing w:val="36"/>
          <w:szCs w:val="21"/>
          <w:lang w:val="en-ZA" w:eastAsia="en-ZA"/>
        </w:rPr>
        <w:t xml:space="preserve"> </w:t>
      </w:r>
      <w:r w:rsidRPr="008B38AB">
        <w:rPr>
          <w:rFonts w:ascii="Arial" w:eastAsia="Arial" w:hAnsi="Arial" w:cs="Arial"/>
          <w:color w:val="000000"/>
          <w:szCs w:val="21"/>
          <w:lang w:val="en-ZA" w:eastAsia="en-ZA"/>
        </w:rPr>
        <w:t>to</w:t>
      </w:r>
      <w:r w:rsidRPr="008B38AB">
        <w:rPr>
          <w:rFonts w:ascii="Arial" w:eastAsia="Arial" w:hAnsi="Arial" w:cs="Arial"/>
          <w:color w:val="000000"/>
          <w:spacing w:val="20"/>
          <w:szCs w:val="21"/>
          <w:lang w:val="en-ZA" w:eastAsia="en-ZA"/>
        </w:rPr>
        <w:t xml:space="preserve"> </w:t>
      </w:r>
      <w:r w:rsidRPr="008B38AB">
        <w:rPr>
          <w:rFonts w:ascii="Arial" w:eastAsia="Arial" w:hAnsi="Arial" w:cs="Arial"/>
          <w:color w:val="000000"/>
          <w:szCs w:val="21"/>
          <w:lang w:val="en-ZA" w:eastAsia="en-ZA"/>
        </w:rPr>
        <w:t>express</w:t>
      </w:r>
      <w:r w:rsidRPr="008B38AB">
        <w:rPr>
          <w:rFonts w:ascii="Arial" w:eastAsia="Arial" w:hAnsi="Arial" w:cs="Arial"/>
          <w:color w:val="000000"/>
          <w:spacing w:val="25"/>
          <w:szCs w:val="21"/>
          <w:lang w:val="en-ZA" w:eastAsia="en-ZA"/>
        </w:rPr>
        <w:t xml:space="preserve"> </w:t>
      </w:r>
      <w:r w:rsidRPr="008B38AB">
        <w:rPr>
          <w:rFonts w:ascii="Arial" w:eastAsia="Arial" w:hAnsi="Arial" w:cs="Arial"/>
          <w:color w:val="000000"/>
          <w:szCs w:val="21"/>
          <w:lang w:val="en-ZA" w:eastAsia="en-ZA"/>
        </w:rPr>
        <w:t>an</w:t>
      </w:r>
      <w:r w:rsidRPr="008B38AB">
        <w:rPr>
          <w:rFonts w:ascii="Arial" w:eastAsia="Arial" w:hAnsi="Arial" w:cs="Arial"/>
          <w:color w:val="000000"/>
          <w:spacing w:val="7"/>
          <w:szCs w:val="21"/>
          <w:lang w:val="en-ZA" w:eastAsia="en-ZA"/>
        </w:rPr>
        <w:t xml:space="preserve"> </w:t>
      </w:r>
      <w:r w:rsidRPr="008B38AB">
        <w:rPr>
          <w:rFonts w:ascii="Arial" w:eastAsia="Arial" w:hAnsi="Arial" w:cs="Arial"/>
          <w:color w:val="000000"/>
          <w:szCs w:val="21"/>
          <w:lang w:val="en-ZA" w:eastAsia="en-ZA"/>
        </w:rPr>
        <w:t>opinion</w:t>
      </w:r>
      <w:r w:rsidRPr="008B38AB">
        <w:rPr>
          <w:rFonts w:ascii="Arial" w:eastAsia="Arial" w:hAnsi="Arial" w:cs="Arial"/>
          <w:color w:val="000000"/>
          <w:spacing w:val="42"/>
          <w:szCs w:val="21"/>
          <w:lang w:val="en-ZA" w:eastAsia="en-ZA"/>
        </w:rPr>
        <w:t xml:space="preserve"> </w:t>
      </w:r>
      <w:r w:rsidRPr="008B38AB">
        <w:rPr>
          <w:rFonts w:ascii="Arial" w:eastAsia="Arial" w:hAnsi="Arial" w:cs="Arial"/>
          <w:color w:val="000000"/>
          <w:szCs w:val="21"/>
          <w:lang w:val="en-ZA" w:eastAsia="en-ZA"/>
        </w:rPr>
        <w:t>on</w:t>
      </w:r>
      <w:r w:rsidRPr="008B38AB">
        <w:rPr>
          <w:rFonts w:ascii="Arial" w:eastAsia="Arial" w:hAnsi="Arial" w:cs="Arial"/>
          <w:color w:val="000000"/>
          <w:spacing w:val="10"/>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24"/>
          <w:szCs w:val="21"/>
          <w:lang w:val="en-ZA" w:eastAsia="en-ZA"/>
        </w:rPr>
        <w:t xml:space="preserve"> </w:t>
      </w:r>
      <w:r w:rsidRPr="008B38AB">
        <w:rPr>
          <w:rFonts w:ascii="Arial" w:eastAsia="Arial" w:hAnsi="Arial" w:cs="Arial"/>
          <w:color w:val="000000"/>
          <w:w w:val="106"/>
          <w:szCs w:val="21"/>
          <w:lang w:val="en-ZA" w:eastAsia="en-ZA"/>
        </w:rPr>
        <w:t xml:space="preserve">financial </w:t>
      </w:r>
      <w:r w:rsidRPr="008B38AB">
        <w:rPr>
          <w:rFonts w:ascii="Arial" w:eastAsia="Arial" w:hAnsi="Arial" w:cs="Arial"/>
          <w:color w:val="000000"/>
          <w:szCs w:val="21"/>
          <w:lang w:val="en-ZA" w:eastAsia="en-ZA"/>
        </w:rPr>
        <w:t>statements.</w:t>
      </w:r>
      <w:r w:rsidRPr="008B38AB">
        <w:rPr>
          <w:rFonts w:ascii="Arial" w:eastAsia="Arial" w:hAnsi="Arial" w:cs="Arial"/>
          <w:color w:val="000000"/>
          <w:spacing w:val="36"/>
          <w:szCs w:val="21"/>
          <w:lang w:val="en-ZA" w:eastAsia="en-ZA"/>
        </w:rPr>
        <w:t xml:space="preserve"> </w:t>
      </w:r>
      <w:r w:rsidRPr="008B38AB">
        <w:rPr>
          <w:rFonts w:ascii="Arial" w:eastAsia="Arial" w:hAnsi="Arial" w:cs="Arial"/>
          <w:color w:val="000000"/>
          <w:w w:val="179"/>
          <w:szCs w:val="21"/>
          <w:lang w:val="en-ZA" w:eastAsia="en-ZA"/>
        </w:rPr>
        <w:t>I</w:t>
      </w:r>
      <w:r w:rsidRPr="008B38AB">
        <w:rPr>
          <w:rFonts w:ascii="Arial" w:eastAsia="Arial" w:hAnsi="Arial" w:cs="Arial"/>
          <w:color w:val="000000"/>
          <w:spacing w:val="-36"/>
          <w:szCs w:val="21"/>
          <w:lang w:val="en-ZA" w:eastAsia="en-ZA"/>
        </w:rPr>
        <w:t xml:space="preserve"> </w:t>
      </w:r>
      <w:r w:rsidRPr="008B38AB">
        <w:rPr>
          <w:rFonts w:ascii="Arial" w:eastAsia="Arial" w:hAnsi="Arial" w:cs="Arial"/>
          <w:color w:val="000000"/>
          <w:szCs w:val="21"/>
          <w:lang w:val="en-ZA" w:eastAsia="en-ZA"/>
        </w:rPr>
        <w:t>am</w:t>
      </w:r>
      <w:r w:rsidRPr="008B38AB">
        <w:rPr>
          <w:rFonts w:ascii="Arial" w:eastAsia="Arial" w:hAnsi="Arial" w:cs="Arial"/>
          <w:color w:val="000000"/>
          <w:spacing w:val="17"/>
          <w:szCs w:val="21"/>
          <w:lang w:val="en-ZA" w:eastAsia="en-ZA"/>
        </w:rPr>
        <w:t xml:space="preserve"> </w:t>
      </w:r>
      <w:r w:rsidRPr="008B38AB">
        <w:rPr>
          <w:rFonts w:ascii="Arial" w:eastAsia="Arial" w:hAnsi="Arial" w:cs="Arial"/>
          <w:color w:val="000000"/>
          <w:szCs w:val="21"/>
          <w:lang w:val="en-ZA" w:eastAsia="en-ZA"/>
        </w:rPr>
        <w:t>responsible</w:t>
      </w:r>
      <w:r w:rsidRPr="008B38AB">
        <w:rPr>
          <w:rFonts w:ascii="Arial" w:eastAsia="Arial" w:hAnsi="Arial" w:cs="Arial"/>
          <w:color w:val="000000"/>
          <w:spacing w:val="40"/>
          <w:szCs w:val="21"/>
          <w:lang w:val="en-ZA" w:eastAsia="en-ZA"/>
        </w:rPr>
        <w:t xml:space="preserve"> </w:t>
      </w:r>
      <w:r w:rsidRPr="008B38AB">
        <w:rPr>
          <w:rFonts w:ascii="Arial" w:eastAsia="Arial" w:hAnsi="Arial" w:cs="Arial"/>
          <w:color w:val="000000"/>
          <w:szCs w:val="21"/>
          <w:lang w:val="en-ZA" w:eastAsia="en-ZA"/>
        </w:rPr>
        <w:t>for</w:t>
      </w:r>
      <w:r w:rsidRPr="008B38AB">
        <w:rPr>
          <w:rFonts w:ascii="Arial" w:eastAsia="Arial" w:hAnsi="Arial" w:cs="Arial"/>
          <w:color w:val="000000"/>
          <w:spacing w:val="21"/>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17"/>
          <w:szCs w:val="21"/>
          <w:lang w:val="en-ZA" w:eastAsia="en-ZA"/>
        </w:rPr>
        <w:t xml:space="preserve"> </w:t>
      </w:r>
      <w:r w:rsidRPr="008B38AB">
        <w:rPr>
          <w:rFonts w:ascii="Arial" w:eastAsia="Arial" w:hAnsi="Arial" w:cs="Arial"/>
          <w:color w:val="000000"/>
          <w:szCs w:val="21"/>
          <w:lang w:val="en-ZA" w:eastAsia="en-ZA"/>
        </w:rPr>
        <w:t>direction,</w:t>
      </w:r>
      <w:r w:rsidRPr="008B38AB">
        <w:rPr>
          <w:rFonts w:ascii="Arial" w:eastAsia="Arial" w:hAnsi="Arial" w:cs="Arial"/>
          <w:color w:val="000000"/>
          <w:spacing w:val="24"/>
          <w:szCs w:val="21"/>
          <w:lang w:val="en-ZA" w:eastAsia="en-ZA"/>
        </w:rPr>
        <w:t xml:space="preserve"> </w:t>
      </w:r>
      <w:r w:rsidRPr="008B38AB">
        <w:rPr>
          <w:rFonts w:ascii="Arial" w:eastAsia="Arial" w:hAnsi="Arial" w:cs="Arial"/>
          <w:color w:val="000000"/>
          <w:szCs w:val="21"/>
          <w:lang w:val="en-ZA" w:eastAsia="en-ZA"/>
        </w:rPr>
        <w:t>supervision</w:t>
      </w:r>
      <w:r w:rsidRPr="008B38AB">
        <w:rPr>
          <w:rFonts w:ascii="Arial" w:eastAsia="Arial" w:hAnsi="Arial" w:cs="Arial"/>
          <w:color w:val="000000"/>
          <w:spacing w:val="41"/>
          <w:szCs w:val="21"/>
          <w:lang w:val="en-ZA" w:eastAsia="en-ZA"/>
        </w:rPr>
        <w:t xml:space="preserve"> </w:t>
      </w:r>
      <w:r w:rsidRPr="008B38AB">
        <w:rPr>
          <w:rFonts w:ascii="Arial" w:eastAsia="Arial" w:hAnsi="Arial" w:cs="Arial"/>
          <w:color w:val="000000"/>
          <w:szCs w:val="21"/>
          <w:lang w:val="en-ZA" w:eastAsia="en-ZA"/>
        </w:rPr>
        <w:t>and</w:t>
      </w:r>
      <w:r w:rsidRPr="008B38AB">
        <w:rPr>
          <w:rFonts w:ascii="Arial" w:eastAsia="Arial" w:hAnsi="Arial" w:cs="Arial"/>
          <w:color w:val="000000"/>
          <w:spacing w:val="17"/>
          <w:szCs w:val="21"/>
          <w:lang w:val="en-ZA" w:eastAsia="en-ZA"/>
        </w:rPr>
        <w:t xml:space="preserve"> </w:t>
      </w:r>
      <w:r w:rsidRPr="008B38AB">
        <w:rPr>
          <w:rFonts w:ascii="Arial" w:eastAsia="Arial" w:hAnsi="Arial" w:cs="Arial"/>
          <w:color w:val="000000"/>
          <w:w w:val="106"/>
          <w:szCs w:val="21"/>
          <w:lang w:val="en-ZA" w:eastAsia="en-ZA"/>
        </w:rPr>
        <w:t>performance</w:t>
      </w:r>
      <w:r w:rsidRPr="008B38AB">
        <w:rPr>
          <w:rFonts w:ascii="Arial" w:eastAsia="Arial" w:hAnsi="Arial" w:cs="Arial"/>
          <w:color w:val="000000"/>
          <w:spacing w:val="-7"/>
          <w:w w:val="106"/>
          <w:szCs w:val="21"/>
          <w:lang w:val="en-ZA" w:eastAsia="en-ZA"/>
        </w:rPr>
        <w:t xml:space="preserve"> </w:t>
      </w:r>
      <w:r w:rsidRPr="008B38AB">
        <w:rPr>
          <w:rFonts w:ascii="Arial" w:eastAsia="Arial" w:hAnsi="Arial" w:cs="Arial"/>
          <w:color w:val="000000"/>
          <w:szCs w:val="21"/>
          <w:lang w:val="en-ZA" w:eastAsia="en-ZA"/>
        </w:rPr>
        <w:t>of</w:t>
      </w:r>
      <w:r w:rsidRPr="008B38AB">
        <w:rPr>
          <w:rFonts w:ascii="Arial" w:eastAsia="Arial" w:hAnsi="Arial" w:cs="Arial"/>
          <w:color w:val="000000"/>
          <w:spacing w:val="17"/>
          <w:szCs w:val="21"/>
          <w:lang w:val="en-ZA" w:eastAsia="en-ZA"/>
        </w:rPr>
        <w:t xml:space="preserve"> </w:t>
      </w:r>
      <w:r w:rsidRPr="008B38AB">
        <w:rPr>
          <w:rFonts w:ascii="Arial" w:eastAsia="Arial" w:hAnsi="Arial" w:cs="Arial"/>
          <w:color w:val="000000"/>
          <w:w w:val="107"/>
          <w:szCs w:val="21"/>
          <w:lang w:val="en-ZA" w:eastAsia="en-ZA"/>
        </w:rPr>
        <w:t xml:space="preserve">the </w:t>
      </w:r>
      <w:r w:rsidRPr="008B38AB">
        <w:rPr>
          <w:rFonts w:ascii="Arial" w:eastAsia="Arial" w:hAnsi="Arial" w:cs="Arial"/>
          <w:color w:val="000000"/>
          <w:szCs w:val="21"/>
          <w:lang w:val="en-ZA" w:eastAsia="en-ZA"/>
        </w:rPr>
        <w:t>audit.</w:t>
      </w:r>
      <w:r w:rsidRPr="008B38AB">
        <w:rPr>
          <w:rFonts w:ascii="Arial" w:eastAsia="Arial" w:hAnsi="Arial" w:cs="Arial"/>
          <w:color w:val="000000"/>
          <w:spacing w:val="30"/>
          <w:szCs w:val="21"/>
          <w:lang w:val="en-ZA" w:eastAsia="en-ZA"/>
        </w:rPr>
        <w:t xml:space="preserve"> </w:t>
      </w:r>
      <w:r w:rsidRPr="008B38AB">
        <w:rPr>
          <w:rFonts w:ascii="Arial" w:eastAsia="Arial" w:hAnsi="Arial" w:cs="Arial"/>
          <w:color w:val="000000"/>
          <w:w w:val="179"/>
          <w:szCs w:val="21"/>
          <w:lang w:val="en-ZA" w:eastAsia="en-ZA"/>
        </w:rPr>
        <w:t>I</w:t>
      </w:r>
      <w:r w:rsidRPr="008B38AB">
        <w:rPr>
          <w:rFonts w:ascii="Arial" w:eastAsia="Arial" w:hAnsi="Arial" w:cs="Arial"/>
          <w:color w:val="000000"/>
          <w:spacing w:val="-42"/>
          <w:szCs w:val="21"/>
          <w:lang w:val="en-ZA" w:eastAsia="en-ZA"/>
        </w:rPr>
        <w:t xml:space="preserve"> </w:t>
      </w:r>
      <w:r w:rsidRPr="008B38AB">
        <w:rPr>
          <w:rFonts w:ascii="Arial" w:eastAsia="Arial" w:hAnsi="Arial" w:cs="Arial"/>
          <w:color w:val="000000"/>
          <w:szCs w:val="21"/>
          <w:lang w:val="en-ZA" w:eastAsia="en-ZA"/>
        </w:rPr>
        <w:t>remain</w:t>
      </w:r>
      <w:r w:rsidRPr="008B38AB">
        <w:rPr>
          <w:rFonts w:ascii="Arial" w:eastAsia="Arial" w:hAnsi="Arial" w:cs="Arial"/>
          <w:color w:val="000000"/>
          <w:spacing w:val="40"/>
          <w:szCs w:val="21"/>
          <w:lang w:val="en-ZA" w:eastAsia="en-ZA"/>
        </w:rPr>
        <w:t xml:space="preserve"> </w:t>
      </w:r>
      <w:r w:rsidRPr="008B38AB">
        <w:rPr>
          <w:rFonts w:ascii="Arial" w:eastAsia="Arial" w:hAnsi="Arial" w:cs="Arial"/>
          <w:color w:val="000000"/>
          <w:szCs w:val="21"/>
          <w:lang w:val="en-ZA" w:eastAsia="en-ZA"/>
        </w:rPr>
        <w:t>solely</w:t>
      </w:r>
      <w:r w:rsidRPr="008B38AB">
        <w:rPr>
          <w:rFonts w:ascii="Arial" w:eastAsia="Arial" w:hAnsi="Arial" w:cs="Arial"/>
          <w:color w:val="000000"/>
          <w:spacing w:val="29"/>
          <w:szCs w:val="21"/>
          <w:lang w:val="en-ZA" w:eastAsia="en-ZA"/>
        </w:rPr>
        <w:t xml:space="preserve"> </w:t>
      </w:r>
      <w:r w:rsidRPr="008B38AB">
        <w:rPr>
          <w:rFonts w:ascii="Arial" w:eastAsia="Arial" w:hAnsi="Arial" w:cs="Arial"/>
          <w:color w:val="000000"/>
          <w:szCs w:val="21"/>
          <w:lang w:val="en-ZA" w:eastAsia="en-ZA"/>
        </w:rPr>
        <w:t>responsible</w:t>
      </w:r>
      <w:r w:rsidRPr="008B38AB">
        <w:rPr>
          <w:rFonts w:ascii="Arial" w:eastAsia="Arial" w:hAnsi="Arial" w:cs="Arial"/>
          <w:color w:val="000000"/>
          <w:spacing w:val="40"/>
          <w:szCs w:val="21"/>
          <w:lang w:val="en-ZA" w:eastAsia="en-ZA"/>
        </w:rPr>
        <w:t xml:space="preserve"> </w:t>
      </w:r>
      <w:r w:rsidRPr="008B38AB">
        <w:rPr>
          <w:rFonts w:ascii="Arial" w:eastAsia="Arial" w:hAnsi="Arial" w:cs="Arial"/>
          <w:color w:val="000000"/>
          <w:szCs w:val="21"/>
          <w:lang w:val="en-ZA" w:eastAsia="en-ZA"/>
        </w:rPr>
        <w:t>for</w:t>
      </w:r>
      <w:r w:rsidRPr="008B38AB">
        <w:rPr>
          <w:rFonts w:ascii="Arial" w:eastAsia="Arial" w:hAnsi="Arial" w:cs="Arial"/>
          <w:color w:val="000000"/>
          <w:spacing w:val="25"/>
          <w:szCs w:val="21"/>
          <w:lang w:val="en-ZA" w:eastAsia="en-ZA"/>
        </w:rPr>
        <w:t xml:space="preserve"> </w:t>
      </w:r>
      <w:r w:rsidRPr="008B38AB">
        <w:rPr>
          <w:rFonts w:ascii="Arial" w:eastAsia="Arial" w:hAnsi="Arial" w:cs="Arial"/>
          <w:color w:val="000000"/>
          <w:szCs w:val="21"/>
          <w:lang w:val="en-ZA" w:eastAsia="en-ZA"/>
        </w:rPr>
        <w:t>my</w:t>
      </w:r>
      <w:r w:rsidRPr="008B38AB">
        <w:rPr>
          <w:rFonts w:ascii="Arial" w:eastAsia="Arial" w:hAnsi="Arial" w:cs="Arial"/>
          <w:color w:val="000000"/>
          <w:spacing w:val="13"/>
          <w:szCs w:val="21"/>
          <w:lang w:val="en-ZA" w:eastAsia="en-ZA"/>
        </w:rPr>
        <w:t xml:space="preserve"> </w:t>
      </w:r>
      <w:r w:rsidRPr="008B38AB">
        <w:rPr>
          <w:rFonts w:ascii="Arial" w:eastAsia="Arial" w:hAnsi="Arial" w:cs="Arial"/>
          <w:color w:val="000000"/>
          <w:szCs w:val="21"/>
          <w:lang w:val="en-ZA" w:eastAsia="en-ZA"/>
        </w:rPr>
        <w:t>audit</w:t>
      </w:r>
      <w:r w:rsidRPr="008B38AB">
        <w:rPr>
          <w:rFonts w:ascii="Arial" w:eastAsia="Arial" w:hAnsi="Arial" w:cs="Arial"/>
          <w:color w:val="000000"/>
          <w:spacing w:val="50"/>
          <w:szCs w:val="21"/>
          <w:lang w:val="en-ZA" w:eastAsia="en-ZA"/>
        </w:rPr>
        <w:t xml:space="preserve"> </w:t>
      </w:r>
      <w:r w:rsidRPr="008B38AB">
        <w:rPr>
          <w:rFonts w:ascii="Arial" w:eastAsia="Arial" w:hAnsi="Arial" w:cs="Arial"/>
          <w:color w:val="000000"/>
          <w:w w:val="103"/>
          <w:szCs w:val="21"/>
          <w:lang w:val="en-ZA" w:eastAsia="en-ZA"/>
        </w:rPr>
        <w:t>opinion.</w:t>
      </w:r>
    </w:p>
    <w:p w14:paraId="4E623AFB" w14:textId="77777777" w:rsidR="00BB5C77" w:rsidRPr="008B38AB" w:rsidRDefault="00BB5C77" w:rsidP="00BB5C77">
      <w:pPr>
        <w:spacing w:before="6" w:after="0" w:line="150" w:lineRule="exact"/>
        <w:jc w:val="both"/>
        <w:rPr>
          <w:rFonts w:eastAsia="Times New Roman" w:cs="Times New Roman"/>
          <w:sz w:val="13"/>
          <w:szCs w:val="15"/>
          <w:lang w:val="en-ZA" w:eastAsia="en-ZA"/>
        </w:rPr>
      </w:pPr>
    </w:p>
    <w:p w14:paraId="4E57EFDD" w14:textId="77777777" w:rsidR="00BB5C77" w:rsidRPr="008B38AB" w:rsidRDefault="00BB5C77" w:rsidP="00BB5C77">
      <w:pPr>
        <w:spacing w:after="0" w:line="200" w:lineRule="exact"/>
        <w:jc w:val="both"/>
        <w:rPr>
          <w:rFonts w:eastAsia="Times New Roman" w:cs="Times New Roman"/>
          <w:sz w:val="18"/>
          <w:szCs w:val="20"/>
          <w:lang w:val="en-ZA" w:eastAsia="en-ZA"/>
        </w:rPr>
      </w:pPr>
    </w:p>
    <w:p w14:paraId="1E99C2A9" w14:textId="77777777" w:rsidR="00BB5C77" w:rsidRPr="008B38AB" w:rsidRDefault="00BB5C77" w:rsidP="00BB5C77">
      <w:pPr>
        <w:spacing w:after="0" w:line="240" w:lineRule="auto"/>
        <w:ind w:left="108" w:right="-20"/>
        <w:jc w:val="both"/>
        <w:rPr>
          <w:rFonts w:ascii="Arial" w:eastAsia="Arial" w:hAnsi="Arial" w:cs="Arial"/>
          <w:sz w:val="22"/>
          <w:szCs w:val="23"/>
          <w:lang w:val="en-ZA" w:eastAsia="en-ZA"/>
        </w:rPr>
      </w:pPr>
      <w:r w:rsidRPr="008B38AB">
        <w:rPr>
          <w:rFonts w:ascii="Arial" w:eastAsia="Arial" w:hAnsi="Arial" w:cs="Arial"/>
          <w:b/>
          <w:bCs/>
          <w:color w:val="1C1C1C"/>
          <w:w w:val="105"/>
          <w:sz w:val="22"/>
          <w:szCs w:val="23"/>
          <w:lang w:val="en-ZA" w:eastAsia="en-ZA"/>
        </w:rPr>
        <w:t>Communication</w:t>
      </w:r>
      <w:r w:rsidRPr="008B38AB">
        <w:rPr>
          <w:rFonts w:ascii="Arial" w:eastAsia="Arial" w:hAnsi="Arial" w:cs="Arial"/>
          <w:b/>
          <w:bCs/>
          <w:color w:val="1C1C1C"/>
          <w:spacing w:val="-7"/>
          <w:w w:val="105"/>
          <w:sz w:val="22"/>
          <w:szCs w:val="23"/>
          <w:lang w:val="en-ZA" w:eastAsia="en-ZA"/>
        </w:rPr>
        <w:t xml:space="preserve"> </w:t>
      </w:r>
      <w:r w:rsidRPr="008B38AB">
        <w:rPr>
          <w:rFonts w:ascii="Arial" w:eastAsia="Arial" w:hAnsi="Arial" w:cs="Arial"/>
          <w:b/>
          <w:bCs/>
          <w:color w:val="1C1C1C"/>
          <w:sz w:val="22"/>
          <w:szCs w:val="23"/>
          <w:lang w:val="en-ZA" w:eastAsia="en-ZA"/>
        </w:rPr>
        <w:t>with</w:t>
      </w:r>
      <w:r w:rsidRPr="008B38AB">
        <w:rPr>
          <w:rFonts w:ascii="Arial" w:eastAsia="Arial" w:hAnsi="Arial" w:cs="Arial"/>
          <w:b/>
          <w:bCs/>
          <w:color w:val="1C1C1C"/>
          <w:spacing w:val="11"/>
          <w:sz w:val="22"/>
          <w:szCs w:val="23"/>
          <w:lang w:val="en-ZA" w:eastAsia="en-ZA"/>
        </w:rPr>
        <w:t xml:space="preserve"> </w:t>
      </w:r>
      <w:r w:rsidRPr="008B38AB">
        <w:rPr>
          <w:rFonts w:ascii="Arial" w:eastAsia="Arial" w:hAnsi="Arial" w:cs="Arial"/>
          <w:b/>
          <w:bCs/>
          <w:color w:val="1C1C1C"/>
          <w:sz w:val="22"/>
          <w:szCs w:val="23"/>
          <w:lang w:val="en-ZA" w:eastAsia="en-ZA"/>
        </w:rPr>
        <w:t>those</w:t>
      </w:r>
      <w:r w:rsidRPr="008B38AB">
        <w:rPr>
          <w:rFonts w:ascii="Arial" w:eastAsia="Arial" w:hAnsi="Arial" w:cs="Arial"/>
          <w:b/>
          <w:bCs/>
          <w:color w:val="1C1C1C"/>
          <w:spacing w:val="34"/>
          <w:sz w:val="22"/>
          <w:szCs w:val="23"/>
          <w:lang w:val="en-ZA" w:eastAsia="en-ZA"/>
        </w:rPr>
        <w:t xml:space="preserve"> </w:t>
      </w:r>
      <w:r w:rsidRPr="008B38AB">
        <w:rPr>
          <w:rFonts w:ascii="Arial" w:eastAsia="Arial" w:hAnsi="Arial" w:cs="Arial"/>
          <w:b/>
          <w:bCs/>
          <w:color w:val="1C1C1C"/>
          <w:sz w:val="22"/>
          <w:szCs w:val="23"/>
          <w:lang w:val="en-ZA" w:eastAsia="en-ZA"/>
        </w:rPr>
        <w:t>charged</w:t>
      </w:r>
      <w:r w:rsidRPr="008B38AB">
        <w:rPr>
          <w:rFonts w:ascii="Arial" w:eastAsia="Arial" w:hAnsi="Arial" w:cs="Arial"/>
          <w:b/>
          <w:bCs/>
          <w:color w:val="1C1C1C"/>
          <w:spacing w:val="32"/>
          <w:sz w:val="22"/>
          <w:szCs w:val="23"/>
          <w:lang w:val="en-ZA" w:eastAsia="en-ZA"/>
        </w:rPr>
        <w:t xml:space="preserve"> </w:t>
      </w:r>
      <w:r w:rsidRPr="008B38AB">
        <w:rPr>
          <w:rFonts w:ascii="Arial" w:eastAsia="Arial" w:hAnsi="Arial" w:cs="Arial"/>
          <w:b/>
          <w:bCs/>
          <w:color w:val="1C1C1C"/>
          <w:sz w:val="22"/>
          <w:szCs w:val="23"/>
          <w:lang w:val="en-ZA" w:eastAsia="en-ZA"/>
        </w:rPr>
        <w:t>with</w:t>
      </w:r>
      <w:r w:rsidRPr="008B38AB">
        <w:rPr>
          <w:rFonts w:ascii="Arial" w:eastAsia="Arial" w:hAnsi="Arial" w:cs="Arial"/>
          <w:b/>
          <w:bCs/>
          <w:color w:val="1C1C1C"/>
          <w:spacing w:val="20"/>
          <w:sz w:val="22"/>
          <w:szCs w:val="23"/>
          <w:lang w:val="en-ZA" w:eastAsia="en-ZA"/>
        </w:rPr>
        <w:t xml:space="preserve"> </w:t>
      </w:r>
      <w:r w:rsidRPr="008B38AB">
        <w:rPr>
          <w:rFonts w:ascii="Arial" w:eastAsia="Arial" w:hAnsi="Arial" w:cs="Arial"/>
          <w:b/>
          <w:bCs/>
          <w:color w:val="1C1C1C"/>
          <w:w w:val="105"/>
          <w:sz w:val="22"/>
          <w:szCs w:val="23"/>
          <w:lang w:val="en-ZA" w:eastAsia="en-ZA"/>
        </w:rPr>
        <w:t>governance</w:t>
      </w:r>
    </w:p>
    <w:p w14:paraId="0BCD8AEA" w14:textId="77777777" w:rsidR="00BB5C77" w:rsidRPr="008B38AB" w:rsidRDefault="00BB5C77" w:rsidP="00BB5C77">
      <w:pPr>
        <w:spacing w:before="11" w:after="0" w:line="240" w:lineRule="exact"/>
        <w:jc w:val="both"/>
        <w:rPr>
          <w:rFonts w:eastAsia="Times New Roman" w:cs="Times New Roman"/>
          <w:sz w:val="22"/>
          <w:szCs w:val="24"/>
          <w:lang w:val="en-ZA" w:eastAsia="en-ZA"/>
        </w:rPr>
      </w:pPr>
    </w:p>
    <w:p w14:paraId="6756EB5A" w14:textId="77777777" w:rsidR="00BB5C77" w:rsidRPr="008B38AB" w:rsidRDefault="00BB5C77" w:rsidP="00BB5C77">
      <w:pPr>
        <w:spacing w:after="0" w:line="250" w:lineRule="auto"/>
        <w:ind w:left="468" w:right="291" w:hanging="360"/>
        <w:jc w:val="both"/>
        <w:rPr>
          <w:rFonts w:ascii="Arial" w:eastAsia="Arial" w:hAnsi="Arial" w:cs="Arial"/>
          <w:szCs w:val="21"/>
          <w:lang w:val="en-ZA" w:eastAsia="en-ZA"/>
        </w:rPr>
      </w:pPr>
      <w:r w:rsidRPr="008B38AB">
        <w:rPr>
          <w:rFonts w:ascii="Arial" w:eastAsia="Arial" w:hAnsi="Arial" w:cs="Arial"/>
          <w:szCs w:val="21"/>
          <w:lang w:val="en-ZA" w:eastAsia="en-ZA"/>
        </w:rPr>
        <w:t xml:space="preserve">3.  </w:t>
      </w:r>
      <w:r w:rsidRPr="008B38AB">
        <w:rPr>
          <w:rFonts w:ascii="Arial" w:eastAsia="Arial" w:hAnsi="Arial" w:cs="Arial"/>
          <w:spacing w:val="22"/>
          <w:szCs w:val="21"/>
          <w:lang w:val="en-ZA" w:eastAsia="en-ZA"/>
        </w:rPr>
        <w:t xml:space="preserve"> </w:t>
      </w:r>
      <w:r w:rsidRPr="008B38AB">
        <w:rPr>
          <w:rFonts w:ascii="Arial" w:eastAsia="Arial" w:hAnsi="Arial" w:cs="Arial"/>
          <w:w w:val="143"/>
          <w:szCs w:val="21"/>
          <w:lang w:val="en-ZA" w:eastAsia="en-ZA"/>
        </w:rPr>
        <w:t>I</w:t>
      </w:r>
      <w:r w:rsidRPr="008B38AB">
        <w:rPr>
          <w:rFonts w:ascii="Arial" w:eastAsia="Arial" w:hAnsi="Arial" w:cs="Arial"/>
          <w:spacing w:val="-41"/>
          <w:w w:val="143"/>
          <w:szCs w:val="21"/>
          <w:lang w:val="en-ZA" w:eastAsia="en-ZA"/>
        </w:rPr>
        <w:t xml:space="preserve"> </w:t>
      </w:r>
      <w:r w:rsidRPr="008B38AB">
        <w:rPr>
          <w:rFonts w:ascii="Arial" w:eastAsia="Arial" w:hAnsi="Arial" w:cs="Arial"/>
          <w:szCs w:val="21"/>
          <w:lang w:val="en-ZA" w:eastAsia="en-ZA"/>
        </w:rPr>
        <w:t>communicate</w:t>
      </w:r>
      <w:r w:rsidRPr="008B38AB">
        <w:rPr>
          <w:rFonts w:ascii="Arial" w:eastAsia="Arial" w:hAnsi="Arial" w:cs="Arial"/>
          <w:spacing w:val="53"/>
          <w:szCs w:val="21"/>
          <w:lang w:val="en-ZA" w:eastAsia="en-ZA"/>
        </w:rPr>
        <w:t xml:space="preserve"> </w:t>
      </w:r>
      <w:r w:rsidRPr="008B38AB">
        <w:rPr>
          <w:rFonts w:ascii="Arial" w:eastAsia="Arial" w:hAnsi="Arial" w:cs="Arial"/>
          <w:szCs w:val="21"/>
          <w:lang w:val="en-ZA" w:eastAsia="en-ZA"/>
        </w:rPr>
        <w:t>with</w:t>
      </w:r>
      <w:r w:rsidRPr="008B38AB">
        <w:rPr>
          <w:rFonts w:ascii="Arial" w:eastAsia="Arial" w:hAnsi="Arial" w:cs="Arial"/>
          <w:spacing w:val="21"/>
          <w:szCs w:val="21"/>
          <w:lang w:val="en-ZA" w:eastAsia="en-ZA"/>
        </w:rPr>
        <w:t xml:space="preserve"> </w:t>
      </w:r>
      <w:r w:rsidRPr="008B38AB">
        <w:rPr>
          <w:rFonts w:ascii="Arial" w:eastAsia="Arial" w:hAnsi="Arial" w:cs="Arial"/>
          <w:szCs w:val="21"/>
          <w:lang w:val="en-ZA" w:eastAsia="en-ZA"/>
        </w:rPr>
        <w:t>the</w:t>
      </w:r>
      <w:r w:rsidRPr="008B38AB">
        <w:rPr>
          <w:rFonts w:ascii="Arial" w:eastAsia="Arial" w:hAnsi="Arial" w:cs="Arial"/>
          <w:spacing w:val="2"/>
          <w:szCs w:val="21"/>
          <w:lang w:val="en-ZA" w:eastAsia="en-ZA"/>
        </w:rPr>
        <w:t xml:space="preserve"> </w:t>
      </w:r>
      <w:r w:rsidRPr="008B38AB">
        <w:rPr>
          <w:rFonts w:ascii="Arial" w:eastAsia="Arial" w:hAnsi="Arial" w:cs="Arial"/>
          <w:szCs w:val="21"/>
          <w:lang w:val="en-ZA" w:eastAsia="en-ZA"/>
        </w:rPr>
        <w:t>accounting</w:t>
      </w:r>
      <w:r w:rsidRPr="008B38AB">
        <w:rPr>
          <w:rFonts w:ascii="Arial" w:eastAsia="Arial" w:hAnsi="Arial" w:cs="Arial"/>
          <w:spacing w:val="49"/>
          <w:szCs w:val="21"/>
          <w:lang w:val="en-ZA" w:eastAsia="en-ZA"/>
        </w:rPr>
        <w:t xml:space="preserve"> </w:t>
      </w:r>
      <w:r w:rsidRPr="008B38AB">
        <w:rPr>
          <w:rFonts w:ascii="Arial" w:eastAsia="Arial" w:hAnsi="Arial" w:cs="Arial"/>
          <w:szCs w:val="21"/>
          <w:lang w:val="en-ZA" w:eastAsia="en-ZA"/>
        </w:rPr>
        <w:t>officer</w:t>
      </w:r>
      <w:r w:rsidRPr="008B38AB">
        <w:rPr>
          <w:rFonts w:ascii="Arial" w:eastAsia="Arial" w:hAnsi="Arial" w:cs="Arial"/>
          <w:spacing w:val="19"/>
          <w:szCs w:val="21"/>
          <w:lang w:val="en-ZA" w:eastAsia="en-ZA"/>
        </w:rPr>
        <w:t xml:space="preserve"> </w:t>
      </w:r>
      <w:r w:rsidRPr="008B38AB">
        <w:rPr>
          <w:rFonts w:ascii="Arial" w:eastAsia="Arial" w:hAnsi="Arial" w:cs="Arial"/>
          <w:w w:val="109"/>
          <w:szCs w:val="21"/>
          <w:lang w:val="en-ZA" w:eastAsia="en-ZA"/>
        </w:rPr>
        <w:t>regardin</w:t>
      </w:r>
      <w:r w:rsidRPr="008B38AB">
        <w:rPr>
          <w:rFonts w:ascii="Arial" w:eastAsia="Arial" w:hAnsi="Arial" w:cs="Arial"/>
          <w:spacing w:val="-14"/>
          <w:w w:val="109"/>
          <w:szCs w:val="21"/>
          <w:lang w:val="en-ZA" w:eastAsia="en-ZA"/>
        </w:rPr>
        <w:t>g</w:t>
      </w:r>
      <w:r w:rsidRPr="008B38AB">
        <w:rPr>
          <w:rFonts w:ascii="Arial" w:eastAsia="Arial" w:hAnsi="Arial" w:cs="Arial"/>
          <w:color w:val="1C1C1C"/>
          <w:w w:val="109"/>
          <w:szCs w:val="21"/>
          <w:lang w:val="en-ZA" w:eastAsia="en-ZA"/>
        </w:rPr>
        <w:t>,</w:t>
      </w:r>
      <w:r w:rsidRPr="008B38AB">
        <w:rPr>
          <w:rFonts w:ascii="Arial" w:eastAsia="Arial" w:hAnsi="Arial" w:cs="Arial"/>
          <w:color w:val="1C1C1C"/>
          <w:spacing w:val="-10"/>
          <w:w w:val="109"/>
          <w:szCs w:val="21"/>
          <w:lang w:val="en-ZA" w:eastAsia="en-ZA"/>
        </w:rPr>
        <w:t xml:space="preserve"> </w:t>
      </w:r>
      <w:r w:rsidRPr="008B38AB">
        <w:rPr>
          <w:rFonts w:ascii="Arial" w:eastAsia="Arial" w:hAnsi="Arial" w:cs="Arial"/>
          <w:color w:val="000000"/>
          <w:szCs w:val="21"/>
          <w:lang w:val="en-ZA" w:eastAsia="en-ZA"/>
        </w:rPr>
        <w:t>among</w:t>
      </w:r>
      <w:r w:rsidRPr="008B38AB">
        <w:rPr>
          <w:rFonts w:ascii="Arial" w:eastAsia="Arial" w:hAnsi="Arial" w:cs="Arial"/>
          <w:color w:val="000000"/>
          <w:spacing w:val="36"/>
          <w:szCs w:val="21"/>
          <w:lang w:val="en-ZA" w:eastAsia="en-ZA"/>
        </w:rPr>
        <w:t xml:space="preserve"> </w:t>
      </w:r>
      <w:r w:rsidRPr="008B38AB">
        <w:rPr>
          <w:rFonts w:ascii="Arial" w:eastAsia="Arial" w:hAnsi="Arial" w:cs="Arial"/>
          <w:color w:val="000000"/>
          <w:szCs w:val="21"/>
          <w:lang w:val="en-ZA" w:eastAsia="en-ZA"/>
        </w:rPr>
        <w:t>other</w:t>
      </w:r>
      <w:r w:rsidRPr="008B38AB">
        <w:rPr>
          <w:rFonts w:ascii="Arial" w:eastAsia="Arial" w:hAnsi="Arial" w:cs="Arial"/>
          <w:color w:val="000000"/>
          <w:spacing w:val="15"/>
          <w:szCs w:val="21"/>
          <w:lang w:val="en-ZA" w:eastAsia="en-ZA"/>
        </w:rPr>
        <w:t xml:space="preserve"> </w:t>
      </w:r>
      <w:r w:rsidRPr="008B38AB">
        <w:rPr>
          <w:rFonts w:ascii="Arial" w:eastAsia="Arial" w:hAnsi="Arial" w:cs="Arial"/>
          <w:color w:val="000000"/>
          <w:szCs w:val="21"/>
          <w:lang w:val="en-ZA" w:eastAsia="en-ZA"/>
        </w:rPr>
        <w:t>matters,</w:t>
      </w:r>
      <w:r w:rsidRPr="008B38AB">
        <w:rPr>
          <w:rFonts w:ascii="Arial" w:eastAsia="Arial" w:hAnsi="Arial" w:cs="Arial"/>
          <w:color w:val="000000"/>
          <w:spacing w:val="27"/>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25"/>
          <w:szCs w:val="21"/>
          <w:lang w:val="en-ZA" w:eastAsia="en-ZA"/>
        </w:rPr>
        <w:t xml:space="preserve"> </w:t>
      </w:r>
      <w:r w:rsidRPr="008B38AB">
        <w:rPr>
          <w:rFonts w:ascii="Arial" w:eastAsia="Arial" w:hAnsi="Arial" w:cs="Arial"/>
          <w:color w:val="000000"/>
          <w:w w:val="106"/>
          <w:szCs w:val="21"/>
          <w:lang w:val="en-ZA" w:eastAsia="en-ZA"/>
        </w:rPr>
        <w:t xml:space="preserve">planned </w:t>
      </w:r>
      <w:r w:rsidRPr="008B38AB">
        <w:rPr>
          <w:rFonts w:ascii="Arial" w:eastAsia="Arial" w:hAnsi="Arial" w:cs="Arial"/>
          <w:color w:val="000000"/>
          <w:szCs w:val="21"/>
          <w:lang w:val="en-ZA" w:eastAsia="en-ZA"/>
        </w:rPr>
        <w:t>scope</w:t>
      </w:r>
      <w:r w:rsidRPr="008B38AB">
        <w:rPr>
          <w:rFonts w:ascii="Arial" w:eastAsia="Arial" w:hAnsi="Arial" w:cs="Arial"/>
          <w:color w:val="000000"/>
          <w:spacing w:val="29"/>
          <w:szCs w:val="21"/>
          <w:lang w:val="en-ZA" w:eastAsia="en-ZA"/>
        </w:rPr>
        <w:t xml:space="preserve"> </w:t>
      </w:r>
      <w:r w:rsidRPr="008B38AB">
        <w:rPr>
          <w:rFonts w:ascii="Arial" w:eastAsia="Arial" w:hAnsi="Arial" w:cs="Arial"/>
          <w:color w:val="000000"/>
          <w:szCs w:val="21"/>
          <w:lang w:val="en-ZA" w:eastAsia="en-ZA"/>
        </w:rPr>
        <w:t>and</w:t>
      </w:r>
      <w:r w:rsidRPr="008B38AB">
        <w:rPr>
          <w:rFonts w:ascii="Arial" w:eastAsia="Arial" w:hAnsi="Arial" w:cs="Arial"/>
          <w:color w:val="000000"/>
          <w:spacing w:val="27"/>
          <w:szCs w:val="21"/>
          <w:lang w:val="en-ZA" w:eastAsia="en-ZA"/>
        </w:rPr>
        <w:t xml:space="preserve"> </w:t>
      </w:r>
      <w:r w:rsidRPr="008B38AB">
        <w:rPr>
          <w:rFonts w:ascii="Arial" w:eastAsia="Arial" w:hAnsi="Arial" w:cs="Arial"/>
          <w:color w:val="000000"/>
          <w:szCs w:val="21"/>
          <w:lang w:val="en-ZA" w:eastAsia="en-ZA"/>
        </w:rPr>
        <w:t>timing</w:t>
      </w:r>
      <w:r w:rsidRPr="008B38AB">
        <w:rPr>
          <w:rFonts w:ascii="Arial" w:eastAsia="Arial" w:hAnsi="Arial" w:cs="Arial"/>
          <w:color w:val="000000"/>
          <w:spacing w:val="17"/>
          <w:szCs w:val="21"/>
          <w:lang w:val="en-ZA" w:eastAsia="en-ZA"/>
        </w:rPr>
        <w:t xml:space="preserve"> </w:t>
      </w:r>
      <w:r w:rsidRPr="008B38AB">
        <w:rPr>
          <w:rFonts w:ascii="Arial" w:eastAsia="Arial" w:hAnsi="Arial" w:cs="Arial"/>
          <w:color w:val="000000"/>
          <w:szCs w:val="21"/>
          <w:lang w:val="en-ZA" w:eastAsia="en-ZA"/>
        </w:rPr>
        <w:t>of</w:t>
      </w:r>
      <w:r w:rsidRPr="008B38AB">
        <w:rPr>
          <w:rFonts w:ascii="Arial" w:eastAsia="Arial" w:hAnsi="Arial" w:cs="Arial"/>
          <w:color w:val="000000"/>
          <w:spacing w:val="16"/>
          <w:szCs w:val="21"/>
          <w:lang w:val="en-ZA" w:eastAsia="en-ZA"/>
        </w:rPr>
        <w:t xml:space="preserve"> </w:t>
      </w:r>
      <w:r w:rsidRPr="008B38AB">
        <w:rPr>
          <w:rFonts w:ascii="Arial" w:eastAsia="Arial" w:hAnsi="Arial" w:cs="Arial"/>
          <w:color w:val="000000"/>
          <w:szCs w:val="21"/>
          <w:lang w:val="en-ZA" w:eastAsia="en-ZA"/>
        </w:rPr>
        <w:t>the</w:t>
      </w:r>
      <w:r w:rsidRPr="008B38AB">
        <w:rPr>
          <w:rFonts w:ascii="Arial" w:eastAsia="Arial" w:hAnsi="Arial" w:cs="Arial"/>
          <w:color w:val="000000"/>
          <w:spacing w:val="17"/>
          <w:szCs w:val="21"/>
          <w:lang w:val="en-ZA" w:eastAsia="en-ZA"/>
        </w:rPr>
        <w:t xml:space="preserve"> </w:t>
      </w:r>
      <w:r w:rsidRPr="008B38AB">
        <w:rPr>
          <w:rFonts w:ascii="Arial" w:eastAsia="Arial" w:hAnsi="Arial" w:cs="Arial"/>
          <w:color w:val="000000"/>
          <w:szCs w:val="21"/>
          <w:lang w:val="en-ZA" w:eastAsia="en-ZA"/>
        </w:rPr>
        <w:t>audit</w:t>
      </w:r>
      <w:r w:rsidRPr="008B38AB">
        <w:rPr>
          <w:rFonts w:ascii="Arial" w:eastAsia="Arial" w:hAnsi="Arial" w:cs="Arial"/>
          <w:color w:val="000000"/>
          <w:spacing w:val="21"/>
          <w:szCs w:val="21"/>
          <w:lang w:val="en-ZA" w:eastAsia="en-ZA"/>
        </w:rPr>
        <w:t xml:space="preserve"> </w:t>
      </w:r>
      <w:r w:rsidRPr="008B38AB">
        <w:rPr>
          <w:rFonts w:ascii="Arial" w:eastAsia="Arial" w:hAnsi="Arial" w:cs="Arial"/>
          <w:color w:val="000000"/>
          <w:szCs w:val="21"/>
          <w:lang w:val="en-ZA" w:eastAsia="en-ZA"/>
        </w:rPr>
        <w:t>and</w:t>
      </w:r>
      <w:r w:rsidRPr="008B38AB">
        <w:rPr>
          <w:rFonts w:ascii="Arial" w:eastAsia="Arial" w:hAnsi="Arial" w:cs="Arial"/>
          <w:color w:val="000000"/>
          <w:spacing w:val="25"/>
          <w:szCs w:val="21"/>
          <w:lang w:val="en-ZA" w:eastAsia="en-ZA"/>
        </w:rPr>
        <w:t xml:space="preserve"> </w:t>
      </w:r>
      <w:r w:rsidRPr="008B38AB">
        <w:rPr>
          <w:rFonts w:ascii="Arial" w:eastAsia="Arial" w:hAnsi="Arial" w:cs="Arial"/>
          <w:color w:val="000000"/>
          <w:szCs w:val="21"/>
          <w:lang w:val="en-ZA" w:eastAsia="en-ZA"/>
        </w:rPr>
        <w:t>significant</w:t>
      </w:r>
      <w:r w:rsidRPr="008B38AB">
        <w:rPr>
          <w:rFonts w:ascii="Arial" w:eastAsia="Arial" w:hAnsi="Arial" w:cs="Arial"/>
          <w:color w:val="000000"/>
          <w:spacing w:val="52"/>
          <w:szCs w:val="21"/>
          <w:lang w:val="en-ZA" w:eastAsia="en-ZA"/>
        </w:rPr>
        <w:t xml:space="preserve"> </w:t>
      </w:r>
      <w:r w:rsidRPr="008B38AB">
        <w:rPr>
          <w:rFonts w:ascii="Arial" w:eastAsia="Arial" w:hAnsi="Arial" w:cs="Arial"/>
          <w:color w:val="000000"/>
          <w:szCs w:val="21"/>
          <w:lang w:val="en-ZA" w:eastAsia="en-ZA"/>
        </w:rPr>
        <w:t>audit</w:t>
      </w:r>
      <w:r w:rsidRPr="008B38AB">
        <w:rPr>
          <w:rFonts w:ascii="Arial" w:eastAsia="Arial" w:hAnsi="Arial" w:cs="Arial"/>
          <w:color w:val="000000"/>
          <w:spacing w:val="38"/>
          <w:szCs w:val="21"/>
          <w:lang w:val="en-ZA" w:eastAsia="en-ZA"/>
        </w:rPr>
        <w:t xml:space="preserve"> </w:t>
      </w:r>
      <w:r w:rsidRPr="008B38AB">
        <w:rPr>
          <w:rFonts w:ascii="Arial" w:eastAsia="Arial" w:hAnsi="Arial" w:cs="Arial"/>
          <w:color w:val="000000"/>
          <w:szCs w:val="21"/>
          <w:lang w:val="en-ZA" w:eastAsia="en-ZA"/>
        </w:rPr>
        <w:t>findings,</w:t>
      </w:r>
      <w:r w:rsidRPr="008B38AB">
        <w:rPr>
          <w:rFonts w:ascii="Arial" w:eastAsia="Arial" w:hAnsi="Arial" w:cs="Arial"/>
          <w:color w:val="000000"/>
          <w:spacing w:val="12"/>
          <w:szCs w:val="21"/>
          <w:lang w:val="en-ZA" w:eastAsia="en-ZA"/>
        </w:rPr>
        <w:t xml:space="preserve"> </w:t>
      </w:r>
      <w:r w:rsidRPr="008B38AB">
        <w:rPr>
          <w:rFonts w:ascii="Arial" w:eastAsia="Arial" w:hAnsi="Arial" w:cs="Arial"/>
          <w:color w:val="000000"/>
          <w:szCs w:val="21"/>
          <w:lang w:val="en-ZA" w:eastAsia="en-ZA"/>
        </w:rPr>
        <w:t>including</w:t>
      </w:r>
      <w:r w:rsidRPr="008B38AB">
        <w:rPr>
          <w:rFonts w:ascii="Arial" w:eastAsia="Arial" w:hAnsi="Arial" w:cs="Arial"/>
          <w:color w:val="000000"/>
          <w:spacing w:val="37"/>
          <w:szCs w:val="21"/>
          <w:lang w:val="en-ZA" w:eastAsia="en-ZA"/>
        </w:rPr>
        <w:t xml:space="preserve"> </w:t>
      </w:r>
      <w:r w:rsidRPr="008B38AB">
        <w:rPr>
          <w:rFonts w:ascii="Arial" w:eastAsia="Arial" w:hAnsi="Arial" w:cs="Arial"/>
          <w:color w:val="000000"/>
          <w:szCs w:val="21"/>
          <w:lang w:val="en-ZA" w:eastAsia="en-ZA"/>
        </w:rPr>
        <w:t>any</w:t>
      </w:r>
      <w:r w:rsidRPr="008B38AB">
        <w:rPr>
          <w:rFonts w:ascii="Arial" w:eastAsia="Arial" w:hAnsi="Arial" w:cs="Arial"/>
          <w:color w:val="000000"/>
          <w:spacing w:val="6"/>
          <w:szCs w:val="21"/>
          <w:lang w:val="en-ZA" w:eastAsia="en-ZA"/>
        </w:rPr>
        <w:t xml:space="preserve"> </w:t>
      </w:r>
      <w:r w:rsidRPr="008B38AB">
        <w:rPr>
          <w:rFonts w:ascii="Arial" w:eastAsia="Arial" w:hAnsi="Arial" w:cs="Arial"/>
          <w:color w:val="000000"/>
          <w:w w:val="107"/>
          <w:szCs w:val="21"/>
          <w:lang w:val="en-ZA" w:eastAsia="en-ZA"/>
        </w:rPr>
        <w:t xml:space="preserve">significant </w:t>
      </w:r>
      <w:r w:rsidRPr="008B38AB">
        <w:rPr>
          <w:rFonts w:ascii="Arial" w:eastAsia="Arial" w:hAnsi="Arial" w:cs="Arial"/>
          <w:color w:val="000000"/>
          <w:szCs w:val="21"/>
          <w:lang w:val="en-ZA" w:eastAsia="en-ZA"/>
        </w:rPr>
        <w:t>deficiencies</w:t>
      </w:r>
      <w:r w:rsidRPr="008B38AB">
        <w:rPr>
          <w:rFonts w:ascii="Arial" w:eastAsia="Arial" w:hAnsi="Arial" w:cs="Arial"/>
          <w:color w:val="000000"/>
          <w:spacing w:val="52"/>
          <w:szCs w:val="21"/>
          <w:lang w:val="en-ZA" w:eastAsia="en-ZA"/>
        </w:rPr>
        <w:t xml:space="preserve"> </w:t>
      </w:r>
      <w:r w:rsidRPr="008B38AB">
        <w:rPr>
          <w:rFonts w:ascii="Arial" w:eastAsia="Arial" w:hAnsi="Arial" w:cs="Arial"/>
          <w:color w:val="000000"/>
          <w:szCs w:val="21"/>
          <w:lang w:val="en-ZA" w:eastAsia="en-ZA"/>
        </w:rPr>
        <w:t>in</w:t>
      </w:r>
      <w:r w:rsidRPr="008B38AB">
        <w:rPr>
          <w:rFonts w:ascii="Arial" w:eastAsia="Arial" w:hAnsi="Arial" w:cs="Arial"/>
          <w:color w:val="000000"/>
          <w:spacing w:val="7"/>
          <w:szCs w:val="21"/>
          <w:lang w:val="en-ZA" w:eastAsia="en-ZA"/>
        </w:rPr>
        <w:t xml:space="preserve"> </w:t>
      </w:r>
      <w:r w:rsidRPr="008B38AB">
        <w:rPr>
          <w:rFonts w:ascii="Arial" w:eastAsia="Arial" w:hAnsi="Arial" w:cs="Arial"/>
          <w:color w:val="000000"/>
          <w:szCs w:val="21"/>
          <w:lang w:val="en-ZA" w:eastAsia="en-ZA"/>
        </w:rPr>
        <w:t>internal</w:t>
      </w:r>
      <w:r w:rsidRPr="008B38AB">
        <w:rPr>
          <w:rFonts w:ascii="Arial" w:eastAsia="Arial" w:hAnsi="Arial" w:cs="Arial"/>
          <w:color w:val="000000"/>
          <w:spacing w:val="6"/>
          <w:szCs w:val="21"/>
          <w:lang w:val="en-ZA" w:eastAsia="en-ZA"/>
        </w:rPr>
        <w:t xml:space="preserve"> </w:t>
      </w:r>
      <w:r w:rsidRPr="008B38AB">
        <w:rPr>
          <w:rFonts w:ascii="Arial" w:eastAsia="Arial" w:hAnsi="Arial" w:cs="Arial"/>
          <w:color w:val="000000"/>
          <w:szCs w:val="21"/>
          <w:lang w:val="en-ZA" w:eastAsia="en-ZA"/>
        </w:rPr>
        <w:t>control</w:t>
      </w:r>
      <w:r w:rsidRPr="008B38AB">
        <w:rPr>
          <w:rFonts w:ascii="Arial" w:eastAsia="Arial" w:hAnsi="Arial" w:cs="Arial"/>
          <w:color w:val="000000"/>
          <w:spacing w:val="7"/>
          <w:szCs w:val="21"/>
          <w:lang w:val="en-ZA" w:eastAsia="en-ZA"/>
        </w:rPr>
        <w:t xml:space="preserve"> </w:t>
      </w:r>
      <w:r w:rsidRPr="008B38AB">
        <w:rPr>
          <w:rFonts w:ascii="Arial" w:eastAsia="Arial" w:hAnsi="Arial" w:cs="Arial"/>
          <w:color w:val="000000"/>
          <w:szCs w:val="21"/>
          <w:lang w:val="en-ZA" w:eastAsia="en-ZA"/>
        </w:rPr>
        <w:t>that</w:t>
      </w:r>
      <w:r w:rsidRPr="008B38AB">
        <w:rPr>
          <w:rFonts w:ascii="Arial" w:eastAsia="Arial" w:hAnsi="Arial" w:cs="Arial"/>
          <w:color w:val="000000"/>
          <w:spacing w:val="20"/>
          <w:szCs w:val="21"/>
          <w:lang w:val="en-ZA" w:eastAsia="en-ZA"/>
        </w:rPr>
        <w:t xml:space="preserve"> </w:t>
      </w:r>
      <w:r w:rsidRPr="008B38AB">
        <w:rPr>
          <w:rFonts w:ascii="Arial" w:eastAsia="Arial" w:hAnsi="Arial" w:cs="Arial"/>
          <w:color w:val="000000"/>
          <w:w w:val="179"/>
          <w:szCs w:val="21"/>
          <w:lang w:val="en-ZA" w:eastAsia="en-ZA"/>
        </w:rPr>
        <w:t>I</w:t>
      </w:r>
      <w:r w:rsidRPr="008B38AB">
        <w:rPr>
          <w:rFonts w:ascii="Arial" w:eastAsia="Arial" w:hAnsi="Arial" w:cs="Arial"/>
          <w:color w:val="000000"/>
          <w:spacing w:val="-42"/>
          <w:szCs w:val="21"/>
          <w:lang w:val="en-ZA" w:eastAsia="en-ZA"/>
        </w:rPr>
        <w:t xml:space="preserve"> </w:t>
      </w:r>
      <w:r w:rsidRPr="008B38AB">
        <w:rPr>
          <w:rFonts w:ascii="Arial" w:eastAsia="Arial" w:hAnsi="Arial" w:cs="Arial"/>
          <w:color w:val="000000"/>
          <w:szCs w:val="21"/>
          <w:lang w:val="en-ZA" w:eastAsia="en-ZA"/>
        </w:rPr>
        <w:t>identify</w:t>
      </w:r>
      <w:r w:rsidRPr="008B38AB">
        <w:rPr>
          <w:rFonts w:ascii="Arial" w:eastAsia="Arial" w:hAnsi="Arial" w:cs="Arial"/>
          <w:color w:val="000000"/>
          <w:spacing w:val="45"/>
          <w:szCs w:val="21"/>
          <w:lang w:val="en-ZA" w:eastAsia="en-ZA"/>
        </w:rPr>
        <w:t xml:space="preserve"> </w:t>
      </w:r>
      <w:r w:rsidRPr="008B38AB">
        <w:rPr>
          <w:rFonts w:ascii="Arial" w:eastAsia="Arial" w:hAnsi="Arial" w:cs="Arial"/>
          <w:color w:val="000000"/>
          <w:szCs w:val="21"/>
          <w:lang w:val="en-ZA" w:eastAsia="en-ZA"/>
        </w:rPr>
        <w:t>during</w:t>
      </w:r>
      <w:r w:rsidRPr="008B38AB">
        <w:rPr>
          <w:rFonts w:ascii="Arial" w:eastAsia="Arial" w:hAnsi="Arial" w:cs="Arial"/>
          <w:color w:val="000000"/>
          <w:spacing w:val="37"/>
          <w:szCs w:val="21"/>
          <w:lang w:val="en-ZA" w:eastAsia="en-ZA"/>
        </w:rPr>
        <w:t xml:space="preserve"> </w:t>
      </w:r>
      <w:r w:rsidRPr="008B38AB">
        <w:rPr>
          <w:rFonts w:ascii="Arial" w:eastAsia="Arial" w:hAnsi="Arial" w:cs="Arial"/>
          <w:color w:val="000000"/>
          <w:szCs w:val="21"/>
          <w:lang w:val="en-ZA" w:eastAsia="en-ZA"/>
        </w:rPr>
        <w:t>my</w:t>
      </w:r>
      <w:r w:rsidRPr="008B38AB">
        <w:rPr>
          <w:rFonts w:ascii="Arial" w:eastAsia="Arial" w:hAnsi="Arial" w:cs="Arial"/>
          <w:color w:val="000000"/>
          <w:spacing w:val="13"/>
          <w:szCs w:val="21"/>
          <w:lang w:val="en-ZA" w:eastAsia="en-ZA"/>
        </w:rPr>
        <w:t xml:space="preserve"> </w:t>
      </w:r>
      <w:r w:rsidRPr="008B38AB">
        <w:rPr>
          <w:rFonts w:ascii="Arial" w:eastAsia="Arial" w:hAnsi="Arial" w:cs="Arial"/>
          <w:color w:val="000000"/>
          <w:w w:val="105"/>
          <w:szCs w:val="21"/>
          <w:lang w:val="en-ZA" w:eastAsia="en-ZA"/>
        </w:rPr>
        <w:t>audit.</w:t>
      </w:r>
    </w:p>
    <w:p w14:paraId="0C8FCC51" w14:textId="77777777" w:rsidR="00BB5C77" w:rsidRPr="008B38AB" w:rsidRDefault="00BB5C77" w:rsidP="00BB5C77">
      <w:pPr>
        <w:spacing w:before="5" w:after="0" w:line="240" w:lineRule="exact"/>
        <w:jc w:val="both"/>
        <w:rPr>
          <w:rFonts w:eastAsia="Times New Roman" w:cs="Times New Roman"/>
          <w:sz w:val="22"/>
          <w:szCs w:val="24"/>
          <w:lang w:val="en-ZA" w:eastAsia="en-ZA"/>
        </w:rPr>
      </w:pPr>
    </w:p>
    <w:p w14:paraId="100D4F9D" w14:textId="77777777" w:rsidR="008B38AB" w:rsidRDefault="00BB5C77" w:rsidP="00BB5C77">
      <w:pPr>
        <w:spacing w:after="0" w:line="240" w:lineRule="auto"/>
        <w:jc w:val="center"/>
        <w:rPr>
          <w:rFonts w:ascii="Arial" w:eastAsia="Arial" w:hAnsi="Arial" w:cs="Arial"/>
          <w:color w:val="000000"/>
          <w:w w:val="104"/>
          <w:szCs w:val="21"/>
          <w:lang w:val="en-ZA" w:eastAsia="en-ZA"/>
        </w:rPr>
        <w:sectPr w:rsidR="008B38AB" w:rsidSect="00E96C66">
          <w:pgSz w:w="11906" w:h="16838" w:code="9"/>
          <w:pgMar w:top="851" w:right="1134" w:bottom="851" w:left="1134" w:header="720" w:footer="720" w:gutter="0"/>
          <w:cols w:space="720"/>
          <w:docGrid w:linePitch="299"/>
        </w:sectPr>
      </w:pPr>
      <w:r w:rsidRPr="008B38AB">
        <w:rPr>
          <w:rFonts w:ascii="Arial" w:eastAsia="Arial" w:hAnsi="Arial" w:cs="Arial"/>
          <w:szCs w:val="21"/>
          <w:lang w:val="en-ZA" w:eastAsia="en-ZA"/>
        </w:rPr>
        <w:t xml:space="preserve">4.  </w:t>
      </w:r>
      <w:r w:rsidRPr="008B38AB">
        <w:rPr>
          <w:rFonts w:ascii="Arial" w:eastAsia="Arial" w:hAnsi="Arial" w:cs="Arial"/>
          <w:spacing w:val="22"/>
          <w:szCs w:val="21"/>
          <w:lang w:val="en-ZA" w:eastAsia="en-ZA"/>
        </w:rPr>
        <w:t xml:space="preserve"> </w:t>
      </w:r>
      <w:r w:rsidRPr="008B38AB">
        <w:rPr>
          <w:rFonts w:ascii="Arial" w:eastAsia="Arial" w:hAnsi="Arial" w:cs="Arial"/>
          <w:w w:val="143"/>
          <w:szCs w:val="21"/>
          <w:lang w:val="en-ZA" w:eastAsia="en-ZA"/>
        </w:rPr>
        <w:t>I</w:t>
      </w:r>
      <w:r w:rsidRPr="008B38AB">
        <w:rPr>
          <w:rFonts w:ascii="Arial" w:eastAsia="Arial" w:hAnsi="Arial" w:cs="Arial"/>
          <w:spacing w:val="-29"/>
          <w:szCs w:val="21"/>
          <w:lang w:val="en-ZA" w:eastAsia="en-ZA"/>
        </w:rPr>
        <w:t xml:space="preserve"> </w:t>
      </w:r>
      <w:r w:rsidRPr="008B38AB">
        <w:rPr>
          <w:rFonts w:ascii="Arial" w:eastAsia="Arial" w:hAnsi="Arial" w:cs="Arial"/>
          <w:szCs w:val="21"/>
          <w:lang w:val="en-ZA" w:eastAsia="en-ZA"/>
        </w:rPr>
        <w:t>also</w:t>
      </w:r>
      <w:r w:rsidRPr="008B38AB">
        <w:rPr>
          <w:rFonts w:ascii="Arial" w:eastAsia="Arial" w:hAnsi="Arial" w:cs="Arial"/>
          <w:spacing w:val="30"/>
          <w:szCs w:val="21"/>
          <w:lang w:val="en-ZA" w:eastAsia="en-ZA"/>
        </w:rPr>
        <w:t xml:space="preserve"> </w:t>
      </w:r>
      <w:r w:rsidRPr="008B38AB">
        <w:rPr>
          <w:rFonts w:ascii="Arial" w:eastAsia="Arial" w:hAnsi="Arial" w:cs="Arial"/>
          <w:szCs w:val="21"/>
          <w:lang w:val="en-ZA" w:eastAsia="en-ZA"/>
        </w:rPr>
        <w:t>confirm</w:t>
      </w:r>
      <w:r w:rsidRPr="008B38AB">
        <w:rPr>
          <w:rFonts w:ascii="Arial" w:eastAsia="Arial" w:hAnsi="Arial" w:cs="Arial"/>
          <w:spacing w:val="28"/>
          <w:szCs w:val="21"/>
          <w:lang w:val="en-ZA" w:eastAsia="en-ZA"/>
        </w:rPr>
        <w:t xml:space="preserve"> </w:t>
      </w:r>
      <w:r w:rsidRPr="008B38AB">
        <w:rPr>
          <w:rFonts w:ascii="Arial" w:eastAsia="Arial" w:hAnsi="Arial" w:cs="Arial"/>
          <w:szCs w:val="21"/>
          <w:lang w:val="en-ZA" w:eastAsia="en-ZA"/>
        </w:rPr>
        <w:t>to</w:t>
      </w:r>
      <w:r w:rsidRPr="008B38AB">
        <w:rPr>
          <w:rFonts w:ascii="Arial" w:eastAsia="Arial" w:hAnsi="Arial" w:cs="Arial"/>
          <w:spacing w:val="9"/>
          <w:szCs w:val="21"/>
          <w:lang w:val="en-ZA" w:eastAsia="en-ZA"/>
        </w:rPr>
        <w:t xml:space="preserve"> </w:t>
      </w:r>
      <w:r w:rsidRPr="008B38AB">
        <w:rPr>
          <w:rFonts w:ascii="Arial" w:eastAsia="Arial" w:hAnsi="Arial" w:cs="Arial"/>
          <w:szCs w:val="21"/>
          <w:lang w:val="en-ZA" w:eastAsia="en-ZA"/>
        </w:rPr>
        <w:t>the</w:t>
      </w:r>
      <w:r w:rsidRPr="008B38AB">
        <w:rPr>
          <w:rFonts w:ascii="Arial" w:eastAsia="Arial" w:hAnsi="Arial" w:cs="Arial"/>
          <w:spacing w:val="17"/>
          <w:szCs w:val="21"/>
          <w:lang w:val="en-ZA" w:eastAsia="en-ZA"/>
        </w:rPr>
        <w:t xml:space="preserve"> </w:t>
      </w:r>
      <w:r w:rsidRPr="008B38AB">
        <w:rPr>
          <w:rFonts w:ascii="Arial" w:eastAsia="Arial" w:hAnsi="Arial" w:cs="Arial"/>
          <w:spacing w:val="-6"/>
          <w:szCs w:val="21"/>
          <w:lang w:val="en-ZA" w:eastAsia="en-ZA"/>
        </w:rPr>
        <w:t>a</w:t>
      </w:r>
      <w:r w:rsidRPr="008B38AB">
        <w:rPr>
          <w:rFonts w:ascii="Arial" w:eastAsia="Arial" w:hAnsi="Arial" w:cs="Arial"/>
          <w:color w:val="1C1C1C"/>
          <w:spacing w:val="4"/>
          <w:szCs w:val="21"/>
          <w:lang w:val="en-ZA" w:eastAsia="en-ZA"/>
        </w:rPr>
        <w:t>c</w:t>
      </w:r>
      <w:r w:rsidRPr="008B38AB">
        <w:rPr>
          <w:rFonts w:ascii="Arial" w:eastAsia="Arial" w:hAnsi="Arial" w:cs="Arial"/>
          <w:color w:val="000000"/>
          <w:szCs w:val="21"/>
          <w:lang w:val="en-ZA" w:eastAsia="en-ZA"/>
        </w:rPr>
        <w:t>counting</w:t>
      </w:r>
      <w:r w:rsidRPr="008B38AB">
        <w:rPr>
          <w:rFonts w:ascii="Arial" w:eastAsia="Arial" w:hAnsi="Arial" w:cs="Arial"/>
          <w:color w:val="000000"/>
          <w:spacing w:val="49"/>
          <w:szCs w:val="21"/>
          <w:lang w:val="en-ZA" w:eastAsia="en-ZA"/>
        </w:rPr>
        <w:t xml:space="preserve"> </w:t>
      </w:r>
      <w:r w:rsidRPr="008B38AB">
        <w:rPr>
          <w:rFonts w:ascii="Arial" w:eastAsia="Arial" w:hAnsi="Arial" w:cs="Arial"/>
          <w:color w:val="000000"/>
          <w:szCs w:val="21"/>
          <w:lang w:val="en-ZA" w:eastAsia="en-ZA"/>
        </w:rPr>
        <w:t>officer</w:t>
      </w:r>
      <w:r w:rsidRPr="008B38AB">
        <w:rPr>
          <w:rFonts w:ascii="Arial" w:eastAsia="Arial" w:hAnsi="Arial" w:cs="Arial"/>
          <w:color w:val="000000"/>
          <w:spacing w:val="29"/>
          <w:szCs w:val="21"/>
          <w:lang w:val="en-ZA" w:eastAsia="en-ZA"/>
        </w:rPr>
        <w:t xml:space="preserve"> </w:t>
      </w:r>
      <w:r w:rsidRPr="008B38AB">
        <w:rPr>
          <w:rFonts w:ascii="Arial" w:eastAsia="Arial" w:hAnsi="Arial" w:cs="Arial"/>
          <w:color w:val="000000"/>
          <w:szCs w:val="21"/>
          <w:lang w:val="en-ZA" w:eastAsia="en-ZA"/>
        </w:rPr>
        <w:t>that</w:t>
      </w:r>
      <w:r w:rsidRPr="008B38AB">
        <w:rPr>
          <w:rFonts w:ascii="Arial" w:eastAsia="Arial" w:hAnsi="Arial" w:cs="Arial"/>
          <w:color w:val="000000"/>
          <w:spacing w:val="19"/>
          <w:szCs w:val="21"/>
          <w:lang w:val="en-ZA" w:eastAsia="en-ZA"/>
        </w:rPr>
        <w:t xml:space="preserve"> </w:t>
      </w:r>
      <w:r w:rsidRPr="008B38AB">
        <w:rPr>
          <w:rFonts w:ascii="Arial" w:eastAsia="Arial" w:hAnsi="Arial" w:cs="Arial"/>
          <w:color w:val="000000"/>
          <w:w w:val="179"/>
          <w:szCs w:val="21"/>
          <w:lang w:val="en-ZA" w:eastAsia="en-ZA"/>
        </w:rPr>
        <w:t>I</w:t>
      </w:r>
      <w:r w:rsidRPr="008B38AB">
        <w:rPr>
          <w:rFonts w:ascii="Arial" w:eastAsia="Arial" w:hAnsi="Arial" w:cs="Arial"/>
          <w:color w:val="000000"/>
          <w:spacing w:val="-28"/>
          <w:szCs w:val="21"/>
          <w:lang w:val="en-ZA" w:eastAsia="en-ZA"/>
        </w:rPr>
        <w:t xml:space="preserve"> </w:t>
      </w:r>
      <w:r w:rsidRPr="008B38AB">
        <w:rPr>
          <w:rFonts w:ascii="Arial" w:eastAsia="Arial" w:hAnsi="Arial" w:cs="Arial"/>
          <w:color w:val="000000"/>
          <w:szCs w:val="21"/>
          <w:lang w:val="en-ZA" w:eastAsia="en-ZA"/>
        </w:rPr>
        <w:t>have</w:t>
      </w:r>
      <w:r w:rsidRPr="008B38AB">
        <w:rPr>
          <w:rFonts w:ascii="Arial" w:eastAsia="Arial" w:hAnsi="Arial" w:cs="Arial"/>
          <w:color w:val="000000"/>
          <w:spacing w:val="26"/>
          <w:szCs w:val="21"/>
          <w:lang w:val="en-ZA" w:eastAsia="en-ZA"/>
        </w:rPr>
        <w:t xml:space="preserve"> </w:t>
      </w:r>
      <w:r w:rsidRPr="008B38AB">
        <w:rPr>
          <w:rFonts w:ascii="Arial" w:eastAsia="Arial" w:hAnsi="Arial" w:cs="Arial"/>
          <w:color w:val="000000"/>
          <w:szCs w:val="21"/>
          <w:lang w:val="en-ZA" w:eastAsia="en-ZA"/>
        </w:rPr>
        <w:t>complied</w:t>
      </w:r>
      <w:r w:rsidRPr="008B38AB">
        <w:rPr>
          <w:rFonts w:ascii="Arial" w:eastAsia="Arial" w:hAnsi="Arial" w:cs="Arial"/>
          <w:color w:val="000000"/>
          <w:spacing w:val="46"/>
          <w:szCs w:val="21"/>
          <w:lang w:val="en-ZA" w:eastAsia="en-ZA"/>
        </w:rPr>
        <w:t xml:space="preserve"> </w:t>
      </w:r>
      <w:r w:rsidRPr="008B38AB">
        <w:rPr>
          <w:rFonts w:ascii="Arial" w:eastAsia="Arial" w:hAnsi="Arial" w:cs="Arial"/>
          <w:color w:val="000000"/>
          <w:spacing w:val="-9"/>
          <w:w w:val="111"/>
          <w:szCs w:val="21"/>
          <w:lang w:val="en-ZA" w:eastAsia="en-ZA"/>
        </w:rPr>
        <w:t>w</w:t>
      </w:r>
      <w:r w:rsidRPr="008B38AB">
        <w:rPr>
          <w:rFonts w:ascii="Arial" w:eastAsia="Arial" w:hAnsi="Arial" w:cs="Arial"/>
          <w:color w:val="1C1C1C"/>
          <w:spacing w:val="-15"/>
          <w:w w:val="156"/>
          <w:szCs w:val="21"/>
          <w:lang w:val="en-ZA" w:eastAsia="en-ZA"/>
        </w:rPr>
        <w:t>i</w:t>
      </w:r>
      <w:r w:rsidRPr="008B38AB">
        <w:rPr>
          <w:rFonts w:ascii="Arial" w:eastAsia="Arial" w:hAnsi="Arial" w:cs="Arial"/>
          <w:color w:val="000000"/>
          <w:w w:val="114"/>
          <w:szCs w:val="21"/>
          <w:lang w:val="en-ZA" w:eastAsia="en-ZA"/>
        </w:rPr>
        <w:t>t</w:t>
      </w:r>
      <w:r w:rsidRPr="008B38AB">
        <w:rPr>
          <w:rFonts w:ascii="Arial" w:eastAsia="Arial" w:hAnsi="Arial" w:cs="Arial"/>
          <w:color w:val="000000"/>
          <w:w w:val="115"/>
          <w:szCs w:val="21"/>
          <w:lang w:val="en-ZA" w:eastAsia="en-ZA"/>
        </w:rPr>
        <w:t>h</w:t>
      </w:r>
      <w:r w:rsidRPr="008B38AB">
        <w:rPr>
          <w:rFonts w:ascii="Arial" w:eastAsia="Arial" w:hAnsi="Arial" w:cs="Arial"/>
          <w:color w:val="000000"/>
          <w:spacing w:val="-13"/>
          <w:szCs w:val="21"/>
          <w:lang w:val="en-ZA" w:eastAsia="en-ZA"/>
        </w:rPr>
        <w:t xml:space="preserve"> </w:t>
      </w:r>
      <w:r w:rsidRPr="008B38AB">
        <w:rPr>
          <w:rFonts w:ascii="Arial" w:eastAsia="Arial" w:hAnsi="Arial" w:cs="Arial"/>
          <w:color w:val="000000"/>
          <w:szCs w:val="21"/>
          <w:lang w:val="en-ZA" w:eastAsia="en-ZA"/>
        </w:rPr>
        <w:t>relevant</w:t>
      </w:r>
      <w:r w:rsidRPr="008B38AB">
        <w:rPr>
          <w:rFonts w:ascii="Arial" w:eastAsia="Arial" w:hAnsi="Arial" w:cs="Arial"/>
          <w:color w:val="000000"/>
          <w:spacing w:val="34"/>
          <w:szCs w:val="21"/>
          <w:lang w:val="en-ZA" w:eastAsia="en-ZA"/>
        </w:rPr>
        <w:t xml:space="preserve"> </w:t>
      </w:r>
      <w:r w:rsidRPr="008B38AB">
        <w:rPr>
          <w:rFonts w:ascii="Arial" w:eastAsia="Arial" w:hAnsi="Arial" w:cs="Arial"/>
          <w:color w:val="000000"/>
          <w:w w:val="107"/>
          <w:szCs w:val="21"/>
          <w:lang w:val="en-ZA" w:eastAsia="en-ZA"/>
        </w:rPr>
        <w:t xml:space="preserve">ethical </w:t>
      </w:r>
      <w:r w:rsidRPr="008B38AB">
        <w:rPr>
          <w:rFonts w:ascii="Arial" w:eastAsia="Arial" w:hAnsi="Arial" w:cs="Arial"/>
          <w:color w:val="1C1C1C"/>
          <w:spacing w:val="-7"/>
          <w:w w:val="106"/>
          <w:szCs w:val="21"/>
          <w:lang w:val="en-ZA" w:eastAsia="en-ZA"/>
        </w:rPr>
        <w:t>r</w:t>
      </w:r>
      <w:r w:rsidRPr="008B38AB">
        <w:rPr>
          <w:rFonts w:ascii="Arial" w:eastAsia="Arial" w:hAnsi="Arial" w:cs="Arial"/>
          <w:color w:val="000000"/>
          <w:w w:val="106"/>
          <w:szCs w:val="21"/>
          <w:lang w:val="en-ZA" w:eastAsia="en-ZA"/>
        </w:rPr>
        <w:t>equirements</w:t>
      </w:r>
      <w:r w:rsidRPr="008B38AB">
        <w:rPr>
          <w:rFonts w:ascii="Arial" w:eastAsia="Arial" w:hAnsi="Arial" w:cs="Arial"/>
          <w:color w:val="000000"/>
          <w:spacing w:val="-3"/>
          <w:w w:val="106"/>
          <w:szCs w:val="21"/>
          <w:lang w:val="en-ZA" w:eastAsia="en-ZA"/>
        </w:rPr>
        <w:t xml:space="preserve"> </w:t>
      </w:r>
      <w:r w:rsidRPr="008B38AB">
        <w:rPr>
          <w:rFonts w:ascii="Arial" w:eastAsia="Arial" w:hAnsi="Arial" w:cs="Arial"/>
          <w:color w:val="000000"/>
          <w:szCs w:val="21"/>
          <w:lang w:val="en-ZA" w:eastAsia="en-ZA"/>
        </w:rPr>
        <w:t>regarding</w:t>
      </w:r>
      <w:r w:rsidRPr="008B38AB">
        <w:rPr>
          <w:rFonts w:ascii="Arial" w:eastAsia="Arial" w:hAnsi="Arial" w:cs="Arial"/>
          <w:color w:val="000000"/>
          <w:spacing w:val="43"/>
          <w:szCs w:val="21"/>
          <w:lang w:val="en-ZA" w:eastAsia="en-ZA"/>
        </w:rPr>
        <w:t xml:space="preserve"> </w:t>
      </w:r>
      <w:r w:rsidRPr="008B38AB">
        <w:rPr>
          <w:rFonts w:ascii="Arial" w:eastAsia="Arial" w:hAnsi="Arial" w:cs="Arial"/>
          <w:color w:val="000000"/>
          <w:w w:val="105"/>
          <w:szCs w:val="21"/>
          <w:lang w:val="en-ZA" w:eastAsia="en-ZA"/>
        </w:rPr>
        <w:t>independence,</w:t>
      </w:r>
      <w:r w:rsidRPr="008B38AB">
        <w:rPr>
          <w:rFonts w:ascii="Arial" w:eastAsia="Arial" w:hAnsi="Arial" w:cs="Arial"/>
          <w:color w:val="000000"/>
          <w:spacing w:val="-13"/>
          <w:w w:val="105"/>
          <w:szCs w:val="21"/>
          <w:lang w:val="en-ZA" w:eastAsia="en-ZA"/>
        </w:rPr>
        <w:t xml:space="preserve"> </w:t>
      </w:r>
      <w:r w:rsidRPr="008B38AB">
        <w:rPr>
          <w:rFonts w:ascii="Arial" w:eastAsia="Arial" w:hAnsi="Arial" w:cs="Arial"/>
          <w:color w:val="000000"/>
          <w:szCs w:val="21"/>
          <w:lang w:val="en-ZA" w:eastAsia="en-ZA"/>
        </w:rPr>
        <w:t>and</w:t>
      </w:r>
      <w:r w:rsidRPr="008B38AB">
        <w:rPr>
          <w:rFonts w:ascii="Arial" w:eastAsia="Arial" w:hAnsi="Arial" w:cs="Arial"/>
          <w:color w:val="000000"/>
          <w:spacing w:val="37"/>
          <w:szCs w:val="21"/>
          <w:lang w:val="en-ZA" w:eastAsia="en-ZA"/>
        </w:rPr>
        <w:t xml:space="preserve"> </w:t>
      </w:r>
      <w:r w:rsidRPr="008B38AB">
        <w:rPr>
          <w:rFonts w:ascii="Arial" w:eastAsia="Arial" w:hAnsi="Arial" w:cs="Arial"/>
          <w:color w:val="000000"/>
          <w:szCs w:val="21"/>
          <w:lang w:val="en-ZA" w:eastAsia="en-ZA"/>
        </w:rPr>
        <w:t>communicate</w:t>
      </w:r>
      <w:r w:rsidRPr="008B38AB">
        <w:rPr>
          <w:rFonts w:ascii="Arial" w:eastAsia="Arial" w:hAnsi="Arial" w:cs="Arial"/>
          <w:color w:val="000000"/>
          <w:spacing w:val="44"/>
          <w:szCs w:val="21"/>
          <w:lang w:val="en-ZA" w:eastAsia="en-ZA"/>
        </w:rPr>
        <w:t xml:space="preserve"> </w:t>
      </w:r>
      <w:r w:rsidRPr="008B38AB">
        <w:rPr>
          <w:rFonts w:ascii="Arial" w:eastAsia="Arial" w:hAnsi="Arial" w:cs="Arial"/>
          <w:color w:val="000000"/>
          <w:szCs w:val="21"/>
          <w:lang w:val="en-ZA" w:eastAsia="en-ZA"/>
        </w:rPr>
        <w:t>all</w:t>
      </w:r>
      <w:r w:rsidRPr="008B38AB">
        <w:rPr>
          <w:rFonts w:ascii="Arial" w:eastAsia="Arial" w:hAnsi="Arial" w:cs="Arial"/>
          <w:color w:val="000000"/>
          <w:spacing w:val="9"/>
          <w:szCs w:val="21"/>
          <w:lang w:val="en-ZA" w:eastAsia="en-ZA"/>
        </w:rPr>
        <w:t xml:space="preserve"> </w:t>
      </w:r>
      <w:r w:rsidRPr="008B38AB">
        <w:rPr>
          <w:rFonts w:ascii="Arial" w:eastAsia="Arial" w:hAnsi="Arial" w:cs="Arial"/>
          <w:color w:val="000000"/>
          <w:w w:val="107"/>
          <w:szCs w:val="21"/>
          <w:lang w:val="en-ZA" w:eastAsia="en-ZA"/>
        </w:rPr>
        <w:t>relations</w:t>
      </w:r>
      <w:r w:rsidRPr="008B38AB">
        <w:rPr>
          <w:rFonts w:ascii="Arial" w:eastAsia="Arial" w:hAnsi="Arial" w:cs="Arial"/>
          <w:color w:val="000000"/>
          <w:spacing w:val="-14"/>
          <w:w w:val="107"/>
          <w:szCs w:val="21"/>
          <w:lang w:val="en-ZA" w:eastAsia="en-ZA"/>
        </w:rPr>
        <w:t>h</w:t>
      </w:r>
      <w:r w:rsidRPr="008B38AB">
        <w:rPr>
          <w:rFonts w:ascii="Arial" w:eastAsia="Arial" w:hAnsi="Arial" w:cs="Arial"/>
          <w:color w:val="1C1C1C"/>
          <w:spacing w:val="-12"/>
          <w:w w:val="107"/>
          <w:szCs w:val="21"/>
          <w:lang w:val="en-ZA" w:eastAsia="en-ZA"/>
        </w:rPr>
        <w:t>i</w:t>
      </w:r>
      <w:r w:rsidRPr="008B38AB">
        <w:rPr>
          <w:rFonts w:ascii="Arial" w:eastAsia="Arial" w:hAnsi="Arial" w:cs="Arial"/>
          <w:color w:val="000000"/>
          <w:w w:val="107"/>
          <w:szCs w:val="21"/>
          <w:lang w:val="en-ZA" w:eastAsia="en-ZA"/>
        </w:rPr>
        <w:t>ps</w:t>
      </w:r>
      <w:r w:rsidRPr="008B38AB">
        <w:rPr>
          <w:rFonts w:ascii="Arial" w:eastAsia="Arial" w:hAnsi="Arial" w:cs="Arial"/>
          <w:color w:val="000000"/>
          <w:spacing w:val="-6"/>
          <w:w w:val="107"/>
          <w:szCs w:val="21"/>
          <w:lang w:val="en-ZA" w:eastAsia="en-ZA"/>
        </w:rPr>
        <w:t xml:space="preserve"> </w:t>
      </w:r>
      <w:r w:rsidRPr="008B38AB">
        <w:rPr>
          <w:rFonts w:ascii="Arial" w:eastAsia="Arial" w:hAnsi="Arial" w:cs="Arial"/>
          <w:color w:val="000000"/>
          <w:szCs w:val="21"/>
          <w:lang w:val="en-ZA" w:eastAsia="en-ZA"/>
        </w:rPr>
        <w:t>and</w:t>
      </w:r>
      <w:r w:rsidRPr="008B38AB">
        <w:rPr>
          <w:rFonts w:ascii="Arial" w:eastAsia="Arial" w:hAnsi="Arial" w:cs="Arial"/>
          <w:color w:val="000000"/>
          <w:spacing w:val="21"/>
          <w:szCs w:val="21"/>
          <w:lang w:val="en-ZA" w:eastAsia="en-ZA"/>
        </w:rPr>
        <w:t xml:space="preserve"> </w:t>
      </w:r>
      <w:r w:rsidRPr="008B38AB">
        <w:rPr>
          <w:rFonts w:ascii="Arial" w:eastAsia="Arial" w:hAnsi="Arial" w:cs="Arial"/>
          <w:color w:val="000000"/>
          <w:w w:val="107"/>
          <w:szCs w:val="21"/>
          <w:lang w:val="en-ZA" w:eastAsia="en-ZA"/>
        </w:rPr>
        <w:t xml:space="preserve">other </w:t>
      </w:r>
      <w:r w:rsidRPr="008B38AB">
        <w:rPr>
          <w:rFonts w:ascii="Arial" w:eastAsia="Arial" w:hAnsi="Arial" w:cs="Arial"/>
          <w:color w:val="000000"/>
          <w:szCs w:val="21"/>
          <w:lang w:val="en-ZA" w:eastAsia="en-ZA"/>
        </w:rPr>
        <w:t>matters</w:t>
      </w:r>
      <w:r w:rsidRPr="008B38AB">
        <w:rPr>
          <w:rFonts w:ascii="Arial" w:eastAsia="Arial" w:hAnsi="Arial" w:cs="Arial"/>
          <w:color w:val="000000"/>
          <w:spacing w:val="37"/>
          <w:szCs w:val="21"/>
          <w:lang w:val="en-ZA" w:eastAsia="en-ZA"/>
        </w:rPr>
        <w:t xml:space="preserve"> </w:t>
      </w:r>
      <w:r w:rsidRPr="008B38AB">
        <w:rPr>
          <w:rFonts w:ascii="Arial" w:eastAsia="Arial" w:hAnsi="Arial" w:cs="Arial"/>
          <w:color w:val="000000"/>
          <w:szCs w:val="21"/>
          <w:lang w:val="en-ZA" w:eastAsia="en-ZA"/>
        </w:rPr>
        <w:t>that</w:t>
      </w:r>
      <w:r w:rsidRPr="008B38AB">
        <w:rPr>
          <w:rFonts w:ascii="Arial" w:eastAsia="Arial" w:hAnsi="Arial" w:cs="Arial"/>
          <w:color w:val="000000"/>
          <w:spacing w:val="8"/>
          <w:szCs w:val="21"/>
          <w:lang w:val="en-ZA" w:eastAsia="en-ZA"/>
        </w:rPr>
        <w:t xml:space="preserve"> </w:t>
      </w:r>
      <w:r w:rsidRPr="008B38AB">
        <w:rPr>
          <w:rFonts w:ascii="Arial" w:eastAsia="Arial" w:hAnsi="Arial" w:cs="Arial"/>
          <w:color w:val="000000"/>
          <w:szCs w:val="21"/>
          <w:lang w:val="en-ZA" w:eastAsia="en-ZA"/>
        </w:rPr>
        <w:t>may</w:t>
      </w:r>
      <w:r w:rsidRPr="008B38AB">
        <w:rPr>
          <w:rFonts w:ascii="Arial" w:eastAsia="Arial" w:hAnsi="Arial" w:cs="Arial"/>
          <w:color w:val="000000"/>
          <w:spacing w:val="37"/>
          <w:szCs w:val="21"/>
          <w:lang w:val="en-ZA" w:eastAsia="en-ZA"/>
        </w:rPr>
        <w:t xml:space="preserve"> </w:t>
      </w:r>
      <w:r w:rsidRPr="008B38AB">
        <w:rPr>
          <w:rFonts w:ascii="Arial" w:eastAsia="Arial" w:hAnsi="Arial" w:cs="Arial"/>
          <w:color w:val="000000"/>
          <w:szCs w:val="21"/>
          <w:lang w:val="en-ZA" w:eastAsia="en-ZA"/>
        </w:rPr>
        <w:t>reasonably</w:t>
      </w:r>
      <w:r w:rsidRPr="008B38AB">
        <w:rPr>
          <w:rFonts w:ascii="Arial" w:eastAsia="Arial" w:hAnsi="Arial" w:cs="Arial"/>
          <w:color w:val="000000"/>
          <w:spacing w:val="48"/>
          <w:szCs w:val="21"/>
          <w:lang w:val="en-ZA" w:eastAsia="en-ZA"/>
        </w:rPr>
        <w:t xml:space="preserve"> </w:t>
      </w:r>
      <w:r w:rsidRPr="008B38AB">
        <w:rPr>
          <w:rFonts w:ascii="Arial" w:eastAsia="Arial" w:hAnsi="Arial" w:cs="Arial"/>
          <w:color w:val="000000"/>
          <w:szCs w:val="21"/>
          <w:lang w:val="en-ZA" w:eastAsia="en-ZA"/>
        </w:rPr>
        <w:t>be</w:t>
      </w:r>
      <w:r w:rsidRPr="008B38AB">
        <w:rPr>
          <w:rFonts w:ascii="Arial" w:eastAsia="Arial" w:hAnsi="Arial" w:cs="Arial"/>
          <w:color w:val="000000"/>
          <w:spacing w:val="20"/>
          <w:szCs w:val="21"/>
          <w:lang w:val="en-ZA" w:eastAsia="en-ZA"/>
        </w:rPr>
        <w:t xml:space="preserve"> </w:t>
      </w:r>
      <w:r w:rsidRPr="008B38AB">
        <w:rPr>
          <w:rFonts w:ascii="Arial" w:eastAsia="Arial" w:hAnsi="Arial" w:cs="Arial"/>
          <w:color w:val="000000"/>
          <w:szCs w:val="21"/>
          <w:lang w:val="en-ZA" w:eastAsia="en-ZA"/>
        </w:rPr>
        <w:t>thought</w:t>
      </w:r>
      <w:r w:rsidRPr="008B38AB">
        <w:rPr>
          <w:rFonts w:ascii="Arial" w:eastAsia="Arial" w:hAnsi="Arial" w:cs="Arial"/>
          <w:color w:val="000000"/>
          <w:spacing w:val="28"/>
          <w:szCs w:val="21"/>
          <w:lang w:val="en-ZA" w:eastAsia="en-ZA"/>
        </w:rPr>
        <w:t xml:space="preserve"> </w:t>
      </w:r>
      <w:r w:rsidRPr="008B38AB">
        <w:rPr>
          <w:rFonts w:ascii="Arial" w:eastAsia="Arial" w:hAnsi="Arial" w:cs="Arial"/>
          <w:color w:val="000000"/>
          <w:szCs w:val="21"/>
          <w:lang w:val="en-ZA" w:eastAsia="en-ZA"/>
        </w:rPr>
        <w:t>to</w:t>
      </w:r>
      <w:r w:rsidRPr="008B38AB">
        <w:rPr>
          <w:rFonts w:ascii="Arial" w:eastAsia="Arial" w:hAnsi="Arial" w:cs="Arial"/>
          <w:color w:val="000000"/>
          <w:spacing w:val="13"/>
          <w:szCs w:val="21"/>
          <w:lang w:val="en-ZA" w:eastAsia="en-ZA"/>
        </w:rPr>
        <w:t xml:space="preserve"> </w:t>
      </w:r>
      <w:r w:rsidRPr="008B38AB">
        <w:rPr>
          <w:rFonts w:ascii="Arial" w:eastAsia="Arial" w:hAnsi="Arial" w:cs="Arial"/>
          <w:color w:val="000000"/>
          <w:szCs w:val="21"/>
          <w:lang w:val="en-ZA" w:eastAsia="en-ZA"/>
        </w:rPr>
        <w:t>have</w:t>
      </w:r>
      <w:r w:rsidRPr="008B38AB">
        <w:rPr>
          <w:rFonts w:ascii="Arial" w:eastAsia="Arial" w:hAnsi="Arial" w:cs="Arial"/>
          <w:color w:val="000000"/>
          <w:spacing w:val="23"/>
          <w:szCs w:val="21"/>
          <w:lang w:val="en-ZA" w:eastAsia="en-ZA"/>
        </w:rPr>
        <w:t xml:space="preserve"> </w:t>
      </w:r>
      <w:r w:rsidRPr="008B38AB">
        <w:rPr>
          <w:rFonts w:ascii="Arial" w:eastAsia="Arial" w:hAnsi="Arial" w:cs="Arial"/>
          <w:color w:val="000000"/>
          <w:szCs w:val="21"/>
          <w:lang w:val="en-ZA" w:eastAsia="en-ZA"/>
        </w:rPr>
        <w:t>a</w:t>
      </w:r>
      <w:r w:rsidRPr="008B38AB">
        <w:rPr>
          <w:rFonts w:ascii="Arial" w:eastAsia="Arial" w:hAnsi="Arial" w:cs="Arial"/>
          <w:color w:val="000000"/>
          <w:spacing w:val="20"/>
          <w:szCs w:val="21"/>
          <w:lang w:val="en-ZA" w:eastAsia="en-ZA"/>
        </w:rPr>
        <w:t xml:space="preserve"> </w:t>
      </w:r>
      <w:r w:rsidRPr="008B38AB">
        <w:rPr>
          <w:rFonts w:ascii="Arial" w:eastAsia="Arial" w:hAnsi="Arial" w:cs="Arial"/>
          <w:color w:val="000000"/>
          <w:szCs w:val="21"/>
          <w:lang w:val="en-ZA" w:eastAsia="en-ZA"/>
        </w:rPr>
        <w:t>bearing</w:t>
      </w:r>
      <w:r w:rsidRPr="008B38AB">
        <w:rPr>
          <w:rFonts w:ascii="Arial" w:eastAsia="Arial" w:hAnsi="Arial" w:cs="Arial"/>
          <w:color w:val="000000"/>
          <w:spacing w:val="39"/>
          <w:szCs w:val="21"/>
          <w:lang w:val="en-ZA" w:eastAsia="en-ZA"/>
        </w:rPr>
        <w:t xml:space="preserve"> </w:t>
      </w:r>
      <w:r w:rsidRPr="008B38AB">
        <w:rPr>
          <w:rFonts w:ascii="Arial" w:eastAsia="Arial" w:hAnsi="Arial" w:cs="Arial"/>
          <w:color w:val="000000"/>
          <w:szCs w:val="21"/>
          <w:lang w:val="en-ZA" w:eastAsia="en-ZA"/>
        </w:rPr>
        <w:t>on</w:t>
      </w:r>
      <w:r w:rsidRPr="008B38AB">
        <w:rPr>
          <w:rFonts w:ascii="Arial" w:eastAsia="Arial" w:hAnsi="Arial" w:cs="Arial"/>
          <w:color w:val="000000"/>
          <w:spacing w:val="2"/>
          <w:szCs w:val="21"/>
          <w:lang w:val="en-ZA" w:eastAsia="en-ZA"/>
        </w:rPr>
        <w:t xml:space="preserve"> </w:t>
      </w:r>
      <w:r w:rsidRPr="008B38AB">
        <w:rPr>
          <w:rFonts w:ascii="Arial" w:eastAsia="Arial" w:hAnsi="Arial" w:cs="Arial"/>
          <w:color w:val="000000"/>
          <w:szCs w:val="21"/>
          <w:lang w:val="en-ZA" w:eastAsia="en-ZA"/>
        </w:rPr>
        <w:t>my</w:t>
      </w:r>
      <w:r w:rsidRPr="008B38AB">
        <w:rPr>
          <w:rFonts w:ascii="Arial" w:eastAsia="Arial" w:hAnsi="Arial" w:cs="Arial"/>
          <w:color w:val="000000"/>
          <w:spacing w:val="21"/>
          <w:szCs w:val="21"/>
          <w:lang w:val="en-ZA" w:eastAsia="en-ZA"/>
        </w:rPr>
        <w:t xml:space="preserve"> </w:t>
      </w:r>
      <w:r w:rsidRPr="008B38AB">
        <w:rPr>
          <w:rFonts w:ascii="Arial" w:eastAsia="Arial" w:hAnsi="Arial" w:cs="Arial"/>
          <w:color w:val="000000"/>
          <w:w w:val="106"/>
          <w:szCs w:val="21"/>
          <w:lang w:val="en-ZA" w:eastAsia="en-ZA"/>
        </w:rPr>
        <w:t>independence</w:t>
      </w:r>
      <w:r w:rsidRPr="008B38AB">
        <w:rPr>
          <w:rFonts w:ascii="Arial" w:eastAsia="Arial" w:hAnsi="Arial" w:cs="Arial"/>
          <w:color w:val="000000"/>
          <w:spacing w:val="-16"/>
          <w:w w:val="106"/>
          <w:szCs w:val="21"/>
          <w:lang w:val="en-ZA" w:eastAsia="en-ZA"/>
        </w:rPr>
        <w:t xml:space="preserve"> </w:t>
      </w:r>
      <w:r w:rsidRPr="008B38AB">
        <w:rPr>
          <w:rFonts w:ascii="Arial" w:eastAsia="Arial" w:hAnsi="Arial" w:cs="Arial"/>
          <w:color w:val="000000"/>
          <w:w w:val="108"/>
          <w:szCs w:val="21"/>
          <w:lang w:val="en-ZA" w:eastAsia="en-ZA"/>
        </w:rPr>
        <w:t xml:space="preserve">and, </w:t>
      </w:r>
      <w:r w:rsidRPr="008B38AB">
        <w:rPr>
          <w:rFonts w:ascii="Arial" w:eastAsia="Arial" w:hAnsi="Arial" w:cs="Arial"/>
          <w:color w:val="000000"/>
          <w:szCs w:val="21"/>
          <w:lang w:val="en-ZA" w:eastAsia="en-ZA"/>
        </w:rPr>
        <w:t>where</w:t>
      </w:r>
      <w:r w:rsidRPr="008B38AB">
        <w:rPr>
          <w:rFonts w:ascii="Arial" w:eastAsia="Arial" w:hAnsi="Arial" w:cs="Arial"/>
          <w:color w:val="000000"/>
          <w:spacing w:val="23"/>
          <w:szCs w:val="21"/>
          <w:lang w:val="en-ZA" w:eastAsia="en-ZA"/>
        </w:rPr>
        <w:t xml:space="preserve"> </w:t>
      </w:r>
      <w:r w:rsidRPr="008B38AB">
        <w:rPr>
          <w:rFonts w:ascii="Arial" w:eastAsia="Arial" w:hAnsi="Arial" w:cs="Arial"/>
          <w:color w:val="000000"/>
          <w:w w:val="106"/>
          <w:szCs w:val="21"/>
          <w:lang w:val="en-ZA" w:eastAsia="en-ZA"/>
        </w:rPr>
        <w:t>applicabl</w:t>
      </w:r>
      <w:r w:rsidRPr="008B38AB">
        <w:rPr>
          <w:rFonts w:ascii="Arial" w:eastAsia="Arial" w:hAnsi="Arial" w:cs="Arial"/>
          <w:color w:val="000000"/>
          <w:spacing w:val="-6"/>
          <w:w w:val="106"/>
          <w:szCs w:val="21"/>
          <w:lang w:val="en-ZA" w:eastAsia="en-ZA"/>
        </w:rPr>
        <w:t>e</w:t>
      </w:r>
      <w:r w:rsidRPr="008B38AB">
        <w:rPr>
          <w:rFonts w:ascii="Arial" w:eastAsia="Arial" w:hAnsi="Arial" w:cs="Arial"/>
          <w:color w:val="1C1C1C"/>
          <w:w w:val="161"/>
          <w:szCs w:val="21"/>
          <w:lang w:val="en-ZA" w:eastAsia="en-ZA"/>
        </w:rPr>
        <w:t>,</w:t>
      </w:r>
      <w:r w:rsidRPr="008B38AB">
        <w:rPr>
          <w:rFonts w:ascii="Arial" w:eastAsia="Arial" w:hAnsi="Arial" w:cs="Arial"/>
          <w:color w:val="1C1C1C"/>
          <w:spacing w:val="-19"/>
          <w:szCs w:val="21"/>
          <w:lang w:val="en-ZA" w:eastAsia="en-ZA"/>
        </w:rPr>
        <w:t xml:space="preserve"> </w:t>
      </w:r>
      <w:r w:rsidRPr="008B38AB">
        <w:rPr>
          <w:rFonts w:ascii="Arial" w:eastAsia="Arial" w:hAnsi="Arial" w:cs="Arial"/>
          <w:color w:val="000000"/>
          <w:szCs w:val="21"/>
          <w:lang w:val="en-ZA" w:eastAsia="en-ZA"/>
        </w:rPr>
        <w:t>related</w:t>
      </w:r>
      <w:r w:rsidRPr="008B38AB">
        <w:rPr>
          <w:rFonts w:ascii="Arial" w:eastAsia="Arial" w:hAnsi="Arial" w:cs="Arial"/>
          <w:color w:val="000000"/>
          <w:spacing w:val="36"/>
          <w:szCs w:val="21"/>
          <w:lang w:val="en-ZA" w:eastAsia="en-ZA"/>
        </w:rPr>
        <w:t xml:space="preserve"> </w:t>
      </w:r>
      <w:r w:rsidRPr="008B38AB">
        <w:rPr>
          <w:rFonts w:ascii="Arial" w:eastAsia="Arial" w:hAnsi="Arial" w:cs="Arial"/>
          <w:color w:val="000000"/>
          <w:w w:val="104"/>
          <w:szCs w:val="21"/>
          <w:lang w:val="en-ZA" w:eastAsia="en-ZA"/>
        </w:rPr>
        <w:t>safeguards</w:t>
      </w:r>
    </w:p>
    <w:p w14:paraId="62525DB9" w14:textId="77777777" w:rsidR="008B38AB" w:rsidRDefault="008B38AB" w:rsidP="00BB5C77">
      <w:pPr>
        <w:spacing w:after="0" w:line="240" w:lineRule="auto"/>
        <w:jc w:val="center"/>
        <w:rPr>
          <w:rFonts w:ascii="Arial" w:eastAsia="Arial" w:hAnsi="Arial" w:cs="Arial"/>
          <w:color w:val="000000"/>
          <w:w w:val="104"/>
          <w:szCs w:val="21"/>
          <w:lang w:val="en-ZA" w:eastAsia="en-ZA"/>
        </w:rPr>
        <w:sectPr w:rsidR="008B38AB" w:rsidSect="008B38AB">
          <w:type w:val="continuous"/>
          <w:pgSz w:w="11906" w:h="16838" w:code="9"/>
          <w:pgMar w:top="851" w:right="1134" w:bottom="851" w:left="1134" w:header="720" w:footer="720" w:gutter="0"/>
          <w:cols w:space="720"/>
          <w:docGrid w:linePitch="299"/>
        </w:sectPr>
      </w:pPr>
    </w:p>
    <w:p w14:paraId="039DF321" w14:textId="2B1511A3" w:rsidR="00BB5C77" w:rsidRPr="008B38AB" w:rsidRDefault="00BB5C77" w:rsidP="00BB5C77">
      <w:pPr>
        <w:spacing w:after="0" w:line="240" w:lineRule="auto"/>
        <w:jc w:val="center"/>
        <w:rPr>
          <w:rFonts w:ascii="Arial" w:eastAsia="Arial" w:hAnsi="Arial" w:cs="Arial"/>
          <w:color w:val="000000"/>
          <w:w w:val="104"/>
          <w:szCs w:val="21"/>
          <w:lang w:val="en-ZA" w:eastAsia="en-ZA"/>
        </w:rPr>
      </w:pPr>
    </w:p>
    <w:p w14:paraId="2904C7F1" w14:textId="53AC08AF" w:rsidR="00AB262C" w:rsidRPr="00B25015" w:rsidRDefault="00AB262C" w:rsidP="00236ABE">
      <w:pPr>
        <w:pStyle w:val="Heading3"/>
        <w:numPr>
          <w:ilvl w:val="2"/>
          <w:numId w:val="12"/>
        </w:numPr>
      </w:pPr>
      <w:bookmarkStart w:id="746" w:name="_Addressee"/>
      <w:bookmarkStart w:id="747" w:name="_Toc150931895"/>
      <w:bookmarkStart w:id="748" w:name="_Toc160598980"/>
      <w:bookmarkStart w:id="749" w:name="_Toc160599505"/>
      <w:bookmarkStart w:id="750" w:name="_Toc161706685"/>
      <w:bookmarkStart w:id="751" w:name="_Toc257816791"/>
      <w:bookmarkStart w:id="752" w:name="_Toc510706712"/>
      <w:bookmarkEnd w:id="746"/>
      <w:bookmarkEnd w:id="747"/>
      <w:bookmarkEnd w:id="748"/>
      <w:bookmarkEnd w:id="749"/>
      <w:bookmarkEnd w:id="750"/>
      <w:bookmarkEnd w:id="751"/>
      <w:r w:rsidRPr="00236ABE">
        <w:t>RESPONSES</w:t>
      </w:r>
      <w:r w:rsidRPr="00B25015">
        <w:t xml:space="preserve"> TO ISSUES RAISED BY AUDITOR GENERAL IN HIS AUDIT REPORT FOR THE YEAR ENDED 30 JUNE 201</w:t>
      </w:r>
      <w:r w:rsidR="00BB5C77">
        <w:t>7</w:t>
      </w:r>
      <w:bookmarkEnd w:id="752"/>
    </w:p>
    <w:p w14:paraId="02A0416B" w14:textId="77777777" w:rsidR="008B38AB" w:rsidRDefault="008B38AB" w:rsidP="002F62F0">
      <w:pPr>
        <w:pStyle w:val="Caption"/>
      </w:pPr>
    </w:p>
    <w:p w14:paraId="2FC3716C" w14:textId="77E2FDB8" w:rsidR="008B38AB" w:rsidRPr="008B38AB" w:rsidRDefault="008B38AB" w:rsidP="008B38AB">
      <w:r>
        <w:t xml:space="preserve">The following table depicts the Management </w:t>
      </w:r>
      <w:r w:rsidRPr="008B38AB">
        <w:t xml:space="preserve">Plan of Corrective Measures by the respective departments to address findings raised by the AGSA in the Final Draft Management Report for FY 2016 / 2017 that was issued on 30 November 2017  </w:t>
      </w:r>
      <w:r w:rsidRPr="008B38AB">
        <w:tab/>
      </w:r>
      <w:r w:rsidRPr="008B38AB">
        <w:tab/>
      </w:r>
      <w:r w:rsidRPr="008B38AB">
        <w:tab/>
      </w:r>
      <w:r w:rsidRPr="008B38AB">
        <w:tab/>
      </w:r>
      <w:r w:rsidRPr="008B38AB">
        <w:tab/>
      </w:r>
      <w:r w:rsidRPr="008B38AB">
        <w:tab/>
      </w:r>
      <w:r w:rsidRPr="008B38AB">
        <w:tab/>
      </w:r>
      <w:r w:rsidRPr="008B38AB">
        <w:tab/>
      </w:r>
      <w:r w:rsidRPr="008B38AB">
        <w:tab/>
      </w:r>
    </w:p>
    <w:p w14:paraId="37772F95" w14:textId="77777777" w:rsidR="008C43B3" w:rsidRDefault="008C43B3" w:rsidP="002F62F0">
      <w:pPr>
        <w:pStyle w:val="Caption"/>
      </w:pPr>
      <w:bookmarkStart w:id="753" w:name="_Toc510622360"/>
      <w:r>
        <w:t xml:space="preserve">Table </w:t>
      </w:r>
      <w:r w:rsidR="00B918A6">
        <w:fldChar w:fldCharType="begin"/>
      </w:r>
      <w:r w:rsidR="00B918A6">
        <w:instrText xml:space="preserve"> SEQ Table \* ARABIC </w:instrText>
      </w:r>
      <w:r w:rsidR="00B918A6">
        <w:fldChar w:fldCharType="separate"/>
      </w:r>
      <w:r w:rsidR="0067023A">
        <w:rPr>
          <w:noProof/>
        </w:rPr>
        <w:t>109</w:t>
      </w:r>
      <w:r w:rsidR="00B918A6">
        <w:rPr>
          <w:noProof/>
        </w:rPr>
        <w:fldChar w:fldCharType="end"/>
      </w:r>
      <w:r>
        <w:t xml:space="preserve">: </w:t>
      </w:r>
      <w:r w:rsidRPr="008C43B3">
        <w:t>Responses to issues raised by auditor general</w:t>
      </w:r>
      <w:bookmarkEnd w:id="753"/>
    </w:p>
    <w:tbl>
      <w:tblPr>
        <w:tblStyle w:val="TableGrid32"/>
        <w:tblW w:w="4825" w:type="pct"/>
        <w:tblLook w:val="04A0" w:firstRow="1" w:lastRow="0" w:firstColumn="1" w:lastColumn="0" w:noHBand="0" w:noVBand="1"/>
      </w:tblPr>
      <w:tblGrid>
        <w:gridCol w:w="675"/>
        <w:gridCol w:w="3716"/>
        <w:gridCol w:w="2128"/>
        <w:gridCol w:w="4248"/>
        <w:gridCol w:w="1565"/>
        <w:gridCol w:w="2265"/>
      </w:tblGrid>
      <w:tr w:rsidR="008B38AB" w:rsidRPr="008B38AB" w14:paraId="760399A5" w14:textId="77777777" w:rsidTr="008B38AB">
        <w:trPr>
          <w:tblHeader/>
        </w:trPr>
        <w:tc>
          <w:tcPr>
            <w:tcW w:w="231" w:type="pct"/>
            <w:shd w:val="clear" w:color="auto" w:fill="808080"/>
          </w:tcPr>
          <w:p w14:paraId="275828D4" w14:textId="77777777" w:rsidR="008B38AB" w:rsidRPr="008B38AB" w:rsidRDefault="008B38AB" w:rsidP="008B38AB">
            <w:pPr>
              <w:rPr>
                <w:rFonts w:cs="Times New Roman"/>
                <w:b/>
                <w:sz w:val="16"/>
                <w:szCs w:val="16"/>
              </w:rPr>
            </w:pPr>
            <w:r w:rsidRPr="008B38AB">
              <w:rPr>
                <w:rFonts w:cs="Times New Roman"/>
                <w:b/>
                <w:sz w:val="16"/>
                <w:szCs w:val="16"/>
              </w:rPr>
              <w:t>No</w:t>
            </w:r>
          </w:p>
        </w:tc>
        <w:tc>
          <w:tcPr>
            <w:tcW w:w="1273" w:type="pct"/>
            <w:shd w:val="clear" w:color="auto" w:fill="808080"/>
          </w:tcPr>
          <w:p w14:paraId="7C230283" w14:textId="77777777" w:rsidR="008B38AB" w:rsidRPr="008B38AB" w:rsidRDefault="008B38AB" w:rsidP="008B38AB">
            <w:pPr>
              <w:rPr>
                <w:rFonts w:cs="Times New Roman"/>
                <w:b/>
                <w:sz w:val="16"/>
                <w:szCs w:val="16"/>
              </w:rPr>
            </w:pPr>
            <w:r w:rsidRPr="008B38AB">
              <w:rPr>
                <w:rFonts w:cs="Times New Roman"/>
                <w:b/>
                <w:sz w:val="16"/>
                <w:szCs w:val="16"/>
              </w:rPr>
              <w:t>Finding</w:t>
            </w:r>
          </w:p>
        </w:tc>
        <w:tc>
          <w:tcPr>
            <w:tcW w:w="729" w:type="pct"/>
            <w:shd w:val="clear" w:color="auto" w:fill="808080"/>
          </w:tcPr>
          <w:p w14:paraId="66244FF4" w14:textId="77777777" w:rsidR="008B38AB" w:rsidRPr="008B38AB" w:rsidRDefault="008B38AB" w:rsidP="008B38AB">
            <w:pPr>
              <w:rPr>
                <w:rFonts w:cs="Times New Roman"/>
                <w:b/>
                <w:sz w:val="16"/>
                <w:szCs w:val="16"/>
              </w:rPr>
            </w:pPr>
            <w:r w:rsidRPr="008B38AB">
              <w:rPr>
                <w:rFonts w:cs="Times New Roman"/>
                <w:b/>
                <w:sz w:val="16"/>
                <w:szCs w:val="16"/>
              </w:rPr>
              <w:t>Root Cause</w:t>
            </w:r>
          </w:p>
        </w:tc>
        <w:tc>
          <w:tcPr>
            <w:tcW w:w="1455" w:type="pct"/>
            <w:shd w:val="clear" w:color="auto" w:fill="808080"/>
          </w:tcPr>
          <w:p w14:paraId="1A1C20EE" w14:textId="77777777" w:rsidR="008B38AB" w:rsidRPr="008B38AB" w:rsidRDefault="008B38AB" w:rsidP="008B38AB">
            <w:pPr>
              <w:rPr>
                <w:rFonts w:cs="Times New Roman"/>
                <w:b/>
                <w:sz w:val="16"/>
                <w:szCs w:val="16"/>
              </w:rPr>
            </w:pPr>
            <w:r w:rsidRPr="008B38AB">
              <w:rPr>
                <w:rFonts w:cs="Times New Roman"/>
                <w:b/>
                <w:sz w:val="16"/>
                <w:szCs w:val="16"/>
              </w:rPr>
              <w:t>Management Response</w:t>
            </w:r>
          </w:p>
        </w:tc>
        <w:tc>
          <w:tcPr>
            <w:tcW w:w="536" w:type="pct"/>
            <w:shd w:val="clear" w:color="auto" w:fill="808080"/>
          </w:tcPr>
          <w:p w14:paraId="44280368" w14:textId="77777777" w:rsidR="008B38AB" w:rsidRPr="008B38AB" w:rsidRDefault="008B38AB" w:rsidP="008B38AB">
            <w:pPr>
              <w:rPr>
                <w:rFonts w:cs="Times New Roman"/>
                <w:b/>
                <w:sz w:val="16"/>
                <w:szCs w:val="16"/>
              </w:rPr>
            </w:pPr>
            <w:r w:rsidRPr="008B38AB">
              <w:rPr>
                <w:rFonts w:cs="Times New Roman"/>
                <w:b/>
                <w:sz w:val="16"/>
                <w:szCs w:val="16"/>
              </w:rPr>
              <w:t>Action Owner and Due Date</w:t>
            </w:r>
          </w:p>
        </w:tc>
        <w:tc>
          <w:tcPr>
            <w:tcW w:w="776" w:type="pct"/>
            <w:shd w:val="clear" w:color="auto" w:fill="808080"/>
          </w:tcPr>
          <w:p w14:paraId="4E17886B" w14:textId="77777777" w:rsidR="008B38AB" w:rsidRPr="008B38AB" w:rsidRDefault="008B38AB" w:rsidP="008B38AB">
            <w:pPr>
              <w:rPr>
                <w:rFonts w:cs="Times New Roman"/>
                <w:b/>
                <w:sz w:val="16"/>
                <w:szCs w:val="16"/>
              </w:rPr>
            </w:pPr>
            <w:r w:rsidRPr="008B38AB">
              <w:rPr>
                <w:rFonts w:cs="Times New Roman"/>
                <w:b/>
                <w:sz w:val="16"/>
                <w:szCs w:val="16"/>
              </w:rPr>
              <w:t>Management Action Plan to date</w:t>
            </w:r>
          </w:p>
        </w:tc>
      </w:tr>
      <w:tr w:rsidR="008B38AB" w:rsidRPr="008B38AB" w14:paraId="150F7363" w14:textId="77777777" w:rsidTr="008B38AB">
        <w:tc>
          <w:tcPr>
            <w:tcW w:w="231" w:type="pct"/>
          </w:tcPr>
          <w:p w14:paraId="032A403D" w14:textId="77777777" w:rsidR="008B38AB" w:rsidRPr="008B38AB" w:rsidRDefault="008B38AB" w:rsidP="008B38AB">
            <w:pPr>
              <w:rPr>
                <w:rFonts w:cs="Times New Roman"/>
                <w:sz w:val="16"/>
                <w:szCs w:val="16"/>
              </w:rPr>
            </w:pPr>
            <w:r w:rsidRPr="008B38AB">
              <w:rPr>
                <w:rFonts w:cs="Times New Roman"/>
                <w:sz w:val="16"/>
                <w:szCs w:val="16"/>
              </w:rPr>
              <w:t>1.</w:t>
            </w:r>
          </w:p>
        </w:tc>
        <w:tc>
          <w:tcPr>
            <w:tcW w:w="1273" w:type="pct"/>
          </w:tcPr>
          <w:p w14:paraId="06EF09DA" w14:textId="77777777" w:rsidR="008B38AB" w:rsidRPr="008B38AB" w:rsidRDefault="008B38AB" w:rsidP="008B38AB">
            <w:pPr>
              <w:spacing w:after="120"/>
              <w:contextualSpacing/>
              <w:rPr>
                <w:rFonts w:cs="Arial"/>
                <w:b/>
                <w:bCs/>
                <w:sz w:val="16"/>
                <w:szCs w:val="16"/>
              </w:rPr>
            </w:pPr>
            <w:r w:rsidRPr="008B38AB">
              <w:rPr>
                <w:rFonts w:cs="Arial"/>
                <w:b/>
                <w:bCs/>
                <w:sz w:val="16"/>
                <w:szCs w:val="16"/>
              </w:rPr>
              <w:t xml:space="preserve">No Contributions Made To The Pension Fund By Municipal Councillors </w:t>
            </w:r>
          </w:p>
          <w:p w14:paraId="1B59B1B0" w14:textId="77777777" w:rsidR="008B38AB" w:rsidRPr="008B38AB" w:rsidRDefault="008B38AB" w:rsidP="008B38AB">
            <w:pPr>
              <w:spacing w:after="120"/>
              <w:contextualSpacing/>
              <w:rPr>
                <w:rFonts w:cs="Arial"/>
                <w:b/>
                <w:bCs/>
                <w:sz w:val="16"/>
                <w:szCs w:val="16"/>
              </w:rPr>
            </w:pPr>
          </w:p>
          <w:p w14:paraId="5B026DF7" w14:textId="77777777" w:rsidR="008B38AB" w:rsidRPr="008B38AB" w:rsidRDefault="008B38AB" w:rsidP="008B38AB">
            <w:pPr>
              <w:spacing w:after="120"/>
              <w:contextualSpacing/>
              <w:rPr>
                <w:rFonts w:cs="Arial"/>
                <w:sz w:val="16"/>
                <w:szCs w:val="16"/>
                <w:lang w:eastAsia="en-GB"/>
              </w:rPr>
            </w:pPr>
            <w:r w:rsidRPr="008B38AB">
              <w:rPr>
                <w:rFonts w:cs="Arial"/>
                <w:bCs/>
                <w:sz w:val="16"/>
                <w:szCs w:val="16"/>
              </w:rPr>
              <w:t>36 Councillors</w:t>
            </w:r>
            <w:r w:rsidRPr="008B38AB">
              <w:rPr>
                <w:rFonts w:cs="Arial"/>
                <w:b/>
                <w:bCs/>
                <w:sz w:val="16"/>
                <w:szCs w:val="16"/>
              </w:rPr>
              <w:t xml:space="preserve"> </w:t>
            </w:r>
            <w:r w:rsidRPr="008B38AB">
              <w:rPr>
                <w:rFonts w:cs="Arial"/>
                <w:sz w:val="16"/>
                <w:szCs w:val="16"/>
                <w:lang w:eastAsia="en-GB"/>
              </w:rPr>
              <w:t xml:space="preserve">did not make contributions to the pension fund which is in contravention of Pension Fund Act, 1956 (Act No.24 of 1956) in terms of the government gazette Vol. 618, No.40519 (21 December 2016). </w:t>
            </w:r>
          </w:p>
          <w:p w14:paraId="074180CD" w14:textId="77777777" w:rsidR="008B38AB" w:rsidRPr="008B38AB" w:rsidRDefault="008B38AB" w:rsidP="008B38AB">
            <w:pPr>
              <w:spacing w:after="120"/>
              <w:contextualSpacing/>
              <w:rPr>
                <w:rFonts w:cs="Arial"/>
                <w:sz w:val="16"/>
                <w:szCs w:val="16"/>
                <w:lang w:eastAsia="en-GB"/>
              </w:rPr>
            </w:pPr>
          </w:p>
          <w:p w14:paraId="76F6EF04" w14:textId="77777777" w:rsidR="008B38AB" w:rsidRPr="008B38AB" w:rsidRDefault="008B38AB" w:rsidP="008B38AB">
            <w:pPr>
              <w:spacing w:after="120"/>
              <w:contextualSpacing/>
              <w:rPr>
                <w:rFonts w:cs="Arial"/>
                <w:b/>
                <w:bCs/>
                <w:sz w:val="16"/>
                <w:szCs w:val="16"/>
              </w:rPr>
            </w:pPr>
            <w:r w:rsidRPr="008B38AB">
              <w:rPr>
                <w:rFonts w:cs="Arial"/>
                <w:sz w:val="16"/>
                <w:szCs w:val="16"/>
                <w:lang w:eastAsia="en-GB"/>
              </w:rPr>
              <w:t>A municipality shall deduct an amount equal to 15% from a Councillor’s monthly basic salary and pay it over to a pension fund to which a Councillor is a member.</w:t>
            </w:r>
          </w:p>
          <w:p w14:paraId="7A3C75A5" w14:textId="77777777" w:rsidR="008B38AB" w:rsidRPr="008B38AB" w:rsidRDefault="008B38AB" w:rsidP="008B38AB">
            <w:pPr>
              <w:autoSpaceDE w:val="0"/>
              <w:autoSpaceDN w:val="0"/>
              <w:adjustRightInd w:val="0"/>
              <w:rPr>
                <w:rFonts w:cs="Times New Roman"/>
                <w:sz w:val="16"/>
                <w:szCs w:val="16"/>
              </w:rPr>
            </w:pPr>
          </w:p>
        </w:tc>
        <w:tc>
          <w:tcPr>
            <w:tcW w:w="729" w:type="pct"/>
          </w:tcPr>
          <w:p w14:paraId="7C7A2B41" w14:textId="77777777" w:rsidR="008B38AB" w:rsidRPr="008B38AB" w:rsidRDefault="008B38AB" w:rsidP="008B38AB">
            <w:pPr>
              <w:rPr>
                <w:rFonts w:cs="Arial"/>
                <w:sz w:val="16"/>
                <w:szCs w:val="16"/>
                <w:lang w:eastAsia="en-GB"/>
              </w:rPr>
            </w:pPr>
            <w:r w:rsidRPr="008B38AB">
              <w:rPr>
                <w:rFonts w:cs="Arial"/>
                <w:sz w:val="16"/>
                <w:szCs w:val="16"/>
                <w:lang w:eastAsia="en-GB"/>
              </w:rPr>
              <w:t>The accounting officer did not develop and implement adequate internal controls to ensure compliance with the government gazette</w:t>
            </w:r>
          </w:p>
          <w:p w14:paraId="75DA679A" w14:textId="77777777" w:rsidR="008B38AB" w:rsidRPr="008B38AB" w:rsidRDefault="008B38AB" w:rsidP="008B38AB">
            <w:pPr>
              <w:rPr>
                <w:rFonts w:cs="Arial"/>
                <w:sz w:val="16"/>
                <w:szCs w:val="16"/>
                <w:lang w:eastAsia="en-GB"/>
              </w:rPr>
            </w:pPr>
          </w:p>
          <w:p w14:paraId="56C57D0C" w14:textId="77777777" w:rsidR="008B38AB" w:rsidRPr="008B38AB" w:rsidRDefault="008B38AB" w:rsidP="008B38AB">
            <w:pPr>
              <w:rPr>
                <w:rFonts w:cs="Times New Roman"/>
                <w:sz w:val="16"/>
                <w:szCs w:val="16"/>
              </w:rPr>
            </w:pPr>
            <w:r w:rsidRPr="008B38AB">
              <w:rPr>
                <w:rFonts w:cs="Arial"/>
                <w:sz w:val="16"/>
                <w:szCs w:val="16"/>
                <w:lang w:eastAsia="en-GB"/>
              </w:rPr>
              <w:t>The chief financial officer and the internal audit function did not perform proper reviews on the salary advices of all the above councillors to ensure the accuracy of salaries and compliance with the relevant laws and regulations (government gazette)</w:t>
            </w:r>
          </w:p>
        </w:tc>
        <w:tc>
          <w:tcPr>
            <w:tcW w:w="1455" w:type="pct"/>
          </w:tcPr>
          <w:p w14:paraId="715B2A2B" w14:textId="77777777" w:rsidR="008B38AB" w:rsidRPr="008B38AB" w:rsidRDefault="008B38AB" w:rsidP="008B38AB">
            <w:pPr>
              <w:rPr>
                <w:rFonts w:cs="Arial"/>
                <w:color w:val="000000"/>
                <w:sz w:val="16"/>
                <w:szCs w:val="16"/>
              </w:rPr>
            </w:pPr>
            <w:bookmarkStart w:id="754" w:name="TM__1B1E556603D5465288863F5CB4258894"/>
            <w:r w:rsidRPr="008B38AB">
              <w:rPr>
                <w:rFonts w:cs="Arial"/>
                <w:color w:val="000000"/>
                <w:sz w:val="16"/>
                <w:szCs w:val="16"/>
              </w:rPr>
              <w:t xml:space="preserve">It should be noted that the Determination of Upper Limits of Salaries, Allowances and Benefits of different members of Municipal Councils as set out in Government Notice No 1600, published in Government Gazette No 40519 of 21 December 2016 was repealed by the Minister for Co-Operative Governance and Traditional Affairs and replaced with Government Notice No 313, published in Government Gazette No 40763, dated 03 April 2017.  In terms of Section 12 of the newly gazetted Upper Limits provides that a Councillor </w:t>
            </w:r>
            <w:r w:rsidRPr="008B38AB">
              <w:rPr>
                <w:rFonts w:cs="Arial"/>
                <w:b/>
                <w:color w:val="000000"/>
                <w:sz w:val="16"/>
                <w:szCs w:val="16"/>
                <w:u w:val="single"/>
              </w:rPr>
              <w:t>may</w:t>
            </w:r>
            <w:r w:rsidRPr="008B38AB">
              <w:rPr>
                <w:rFonts w:cs="Arial"/>
                <w:color w:val="000000"/>
                <w:sz w:val="16"/>
                <w:szCs w:val="16"/>
              </w:rPr>
              <w:t xml:space="preserve"> participate in a pension fund duly established in terms of the law.  In view of the above Management disagree with the finding. </w:t>
            </w:r>
          </w:p>
          <w:bookmarkEnd w:id="754"/>
          <w:p w14:paraId="516DBAA4" w14:textId="77777777" w:rsidR="008B38AB" w:rsidRPr="008B38AB" w:rsidRDefault="008B38AB" w:rsidP="008B38AB">
            <w:pPr>
              <w:rPr>
                <w:rFonts w:cs="Times New Roman"/>
                <w:b/>
                <w:sz w:val="16"/>
                <w:szCs w:val="16"/>
                <w:u w:val="single"/>
              </w:rPr>
            </w:pPr>
          </w:p>
        </w:tc>
        <w:tc>
          <w:tcPr>
            <w:tcW w:w="536" w:type="pct"/>
          </w:tcPr>
          <w:p w14:paraId="799E0BB4" w14:textId="77777777" w:rsidR="008B38AB" w:rsidRPr="008B38AB" w:rsidRDefault="008B38AB" w:rsidP="008B38AB">
            <w:pPr>
              <w:rPr>
                <w:rFonts w:eastAsia="Arial Unicode MS" w:cs="Arial"/>
                <w:color w:val="000000"/>
                <w:sz w:val="16"/>
                <w:szCs w:val="16"/>
              </w:rPr>
            </w:pPr>
            <w:r w:rsidRPr="008B38AB">
              <w:rPr>
                <w:rFonts w:eastAsia="Arial Unicode MS" w:cs="Arial"/>
                <w:color w:val="000000"/>
                <w:sz w:val="16"/>
                <w:szCs w:val="16"/>
              </w:rPr>
              <w:t>Name:</w:t>
            </w:r>
            <w:r w:rsidRPr="008B38AB">
              <w:rPr>
                <w:rFonts w:eastAsia="Arial Unicode MS" w:cs="Arial"/>
                <w:color w:val="000000"/>
                <w:sz w:val="16"/>
                <w:szCs w:val="16"/>
              </w:rPr>
              <w:tab/>
              <w:t>K C Zulu</w:t>
            </w:r>
          </w:p>
          <w:p w14:paraId="3F33E855" w14:textId="77777777" w:rsidR="008B38AB" w:rsidRPr="008B38AB" w:rsidRDefault="008B38AB" w:rsidP="008B38AB">
            <w:pPr>
              <w:rPr>
                <w:rFonts w:eastAsia="Arial Unicode MS" w:cs="Arial"/>
                <w:color w:val="000000"/>
                <w:sz w:val="16"/>
                <w:szCs w:val="16"/>
              </w:rPr>
            </w:pPr>
            <w:r w:rsidRPr="008B38AB">
              <w:rPr>
                <w:rFonts w:eastAsia="Arial Unicode MS" w:cs="Arial"/>
                <w:color w:val="000000"/>
                <w:sz w:val="16"/>
                <w:szCs w:val="16"/>
              </w:rPr>
              <w:t xml:space="preserve">Position:  Acting Municipal Manager </w:t>
            </w:r>
            <w:r w:rsidRPr="008B38AB">
              <w:rPr>
                <w:rFonts w:eastAsia="Arial Unicode MS" w:cs="Arial"/>
                <w:color w:val="000000"/>
                <w:sz w:val="16"/>
                <w:szCs w:val="16"/>
              </w:rPr>
              <w:tab/>
            </w:r>
            <w:r w:rsidRPr="008B38AB">
              <w:rPr>
                <w:rFonts w:eastAsia="Arial Unicode MS" w:cs="Arial"/>
                <w:color w:val="000000"/>
                <w:sz w:val="16"/>
                <w:szCs w:val="16"/>
              </w:rPr>
              <w:tab/>
            </w:r>
          </w:p>
          <w:p w14:paraId="4564ED1B" w14:textId="77777777" w:rsidR="008B38AB" w:rsidRPr="008B38AB" w:rsidRDefault="008B38AB" w:rsidP="008B38AB">
            <w:pPr>
              <w:rPr>
                <w:rFonts w:cs="Times New Roman"/>
                <w:sz w:val="16"/>
                <w:szCs w:val="16"/>
              </w:rPr>
            </w:pPr>
            <w:r w:rsidRPr="008B38AB">
              <w:rPr>
                <w:rFonts w:eastAsia="Arial Unicode MS" w:cs="Arial"/>
                <w:color w:val="000000"/>
                <w:sz w:val="16"/>
                <w:szCs w:val="16"/>
              </w:rPr>
              <w:t>Date: 10 November 2017</w:t>
            </w:r>
          </w:p>
        </w:tc>
        <w:tc>
          <w:tcPr>
            <w:tcW w:w="776" w:type="pct"/>
            <w:shd w:val="clear" w:color="auto" w:fill="FFFFFF"/>
          </w:tcPr>
          <w:p w14:paraId="4BE8F1AF" w14:textId="77777777" w:rsidR="008B38AB" w:rsidRPr="008B38AB" w:rsidRDefault="008B38AB" w:rsidP="008B38AB">
            <w:pPr>
              <w:jc w:val="both"/>
              <w:rPr>
                <w:rFonts w:cs="Arial"/>
                <w:color w:val="000000"/>
                <w:sz w:val="16"/>
                <w:szCs w:val="16"/>
              </w:rPr>
            </w:pPr>
            <w:r w:rsidRPr="008B38AB">
              <w:rPr>
                <w:rFonts w:cs="Times New Roman"/>
                <w:sz w:val="16"/>
                <w:szCs w:val="16"/>
              </w:rPr>
              <w:t xml:space="preserve">As per advice from SALGA – as the Gazette was repealed and amended </w:t>
            </w:r>
            <w:r w:rsidRPr="008B38AB">
              <w:rPr>
                <w:rFonts w:cs="Arial"/>
                <w:color w:val="000000"/>
                <w:sz w:val="16"/>
                <w:szCs w:val="16"/>
              </w:rPr>
              <w:t>by the Minister for Co-Operative Governance and Traditional Affairs and replaced with Government Notice No 313, published in Government Gazette No 40763, dated 03 April 2017 there is no further action on this query.</w:t>
            </w:r>
          </w:p>
          <w:p w14:paraId="428CAE5A" w14:textId="77777777" w:rsidR="008B38AB" w:rsidRPr="008B38AB" w:rsidRDefault="008B38AB" w:rsidP="008B38AB">
            <w:pPr>
              <w:jc w:val="both"/>
              <w:rPr>
                <w:rFonts w:cs="Times New Roman"/>
                <w:sz w:val="16"/>
                <w:szCs w:val="16"/>
              </w:rPr>
            </w:pPr>
            <w:r w:rsidRPr="008B38AB">
              <w:rPr>
                <w:rFonts w:cs="Arial"/>
                <w:color w:val="000000"/>
                <w:sz w:val="16"/>
                <w:szCs w:val="16"/>
              </w:rPr>
              <w:t xml:space="preserve">Councillors are advised of the Pension Fund Options when they are appointed and should wish to join the pension fund, the process is then undertaken accordingly. </w:t>
            </w:r>
          </w:p>
        </w:tc>
      </w:tr>
      <w:tr w:rsidR="008B38AB" w:rsidRPr="008B38AB" w14:paraId="125574DC" w14:textId="77777777" w:rsidTr="008B38AB">
        <w:tc>
          <w:tcPr>
            <w:tcW w:w="231" w:type="pct"/>
          </w:tcPr>
          <w:p w14:paraId="0CCA65E0" w14:textId="77777777" w:rsidR="008B38AB" w:rsidRPr="008B38AB" w:rsidRDefault="008B38AB" w:rsidP="008B38AB">
            <w:pPr>
              <w:rPr>
                <w:rFonts w:cs="Times New Roman"/>
                <w:sz w:val="16"/>
                <w:szCs w:val="16"/>
              </w:rPr>
            </w:pPr>
            <w:r w:rsidRPr="008B38AB">
              <w:rPr>
                <w:rFonts w:cs="Times New Roman"/>
                <w:sz w:val="16"/>
                <w:szCs w:val="16"/>
              </w:rPr>
              <w:t>2.</w:t>
            </w:r>
          </w:p>
        </w:tc>
        <w:tc>
          <w:tcPr>
            <w:tcW w:w="1273" w:type="pct"/>
          </w:tcPr>
          <w:p w14:paraId="4BB2EBBC" w14:textId="77777777" w:rsidR="008B38AB" w:rsidRPr="008B38AB" w:rsidRDefault="008B38AB" w:rsidP="008B38AB">
            <w:pPr>
              <w:rPr>
                <w:rFonts w:cs="Arial"/>
                <w:b/>
                <w:bCs/>
                <w:sz w:val="16"/>
                <w:szCs w:val="16"/>
              </w:rPr>
            </w:pPr>
            <w:r w:rsidRPr="008B38AB">
              <w:rPr>
                <w:rFonts w:cs="Arial"/>
                <w:b/>
                <w:bCs/>
                <w:sz w:val="16"/>
                <w:szCs w:val="16"/>
              </w:rPr>
              <w:t>Roads Infrastructure- Road Asset Management System</w:t>
            </w:r>
          </w:p>
          <w:p w14:paraId="2A0A6F54" w14:textId="77777777" w:rsidR="008B38AB" w:rsidRPr="008B38AB" w:rsidRDefault="008B38AB" w:rsidP="008B38AB">
            <w:pPr>
              <w:rPr>
                <w:rFonts w:cs="Arial"/>
                <w:b/>
                <w:bCs/>
                <w:sz w:val="16"/>
                <w:szCs w:val="16"/>
              </w:rPr>
            </w:pPr>
          </w:p>
          <w:p w14:paraId="6D5DAFCC" w14:textId="77777777" w:rsidR="008B38AB" w:rsidRPr="008B38AB" w:rsidRDefault="008B38AB" w:rsidP="008B38AB">
            <w:pPr>
              <w:spacing w:after="120"/>
              <w:rPr>
                <w:rFonts w:cs="Arial"/>
                <w:sz w:val="16"/>
                <w:szCs w:val="16"/>
                <w:lang w:eastAsia="en-GB"/>
              </w:rPr>
            </w:pPr>
            <w:r w:rsidRPr="008B38AB">
              <w:rPr>
                <w:rFonts w:cs="Arial"/>
                <w:sz w:val="16"/>
                <w:szCs w:val="16"/>
                <w:lang w:eastAsia="en-GB"/>
              </w:rPr>
              <w:t xml:space="preserve">It was noted that the municipality uses a pavement management system for condition assessments for urban roads, however, no system is in place for road maintenance on rural roads (no plan).  The municipality makes use of a reactive maintenance meaning that the municipality only reacts to critical roads that were observed by the plant supervisor during the grading programme and also respond to ward councillor’s request. </w:t>
            </w:r>
          </w:p>
          <w:p w14:paraId="3E2E0D7C" w14:textId="77777777" w:rsidR="008B38AB" w:rsidRPr="008B38AB" w:rsidRDefault="008B38AB" w:rsidP="008B38AB">
            <w:pPr>
              <w:rPr>
                <w:rFonts w:cs="Arial"/>
                <w:sz w:val="16"/>
                <w:szCs w:val="16"/>
              </w:rPr>
            </w:pPr>
            <w:r w:rsidRPr="008B38AB">
              <w:rPr>
                <w:rFonts w:cs="Arial"/>
                <w:sz w:val="16"/>
                <w:szCs w:val="16"/>
                <w:lang w:eastAsia="en-GB"/>
              </w:rPr>
              <w:t> </w:t>
            </w:r>
          </w:p>
          <w:p w14:paraId="07C828F0" w14:textId="77777777" w:rsidR="008B38AB" w:rsidRPr="008B38AB" w:rsidRDefault="008B38AB" w:rsidP="008B38AB">
            <w:pPr>
              <w:spacing w:after="120"/>
              <w:rPr>
                <w:rFonts w:cs="Arial"/>
                <w:sz w:val="16"/>
                <w:szCs w:val="16"/>
                <w:lang w:eastAsia="en-GB"/>
              </w:rPr>
            </w:pPr>
            <w:r w:rsidRPr="008B38AB">
              <w:rPr>
                <w:rFonts w:cs="Arial"/>
                <w:sz w:val="16"/>
                <w:szCs w:val="16"/>
                <w:lang w:eastAsia="en-GB"/>
              </w:rPr>
              <w:t>Furthermore, as a result of no system in place it was also noted that the municipality does not make use of a pre-planned repair and maintenance process (urban and rural) for budgetary purposes. An estimated amount is used for budgetary purposes with no brake down.</w:t>
            </w:r>
          </w:p>
          <w:p w14:paraId="24D73F54" w14:textId="77777777" w:rsidR="008B38AB" w:rsidRPr="008B38AB" w:rsidRDefault="008B38AB" w:rsidP="008B38AB">
            <w:pPr>
              <w:rPr>
                <w:rFonts w:cs="Times New Roman"/>
                <w:sz w:val="16"/>
                <w:szCs w:val="16"/>
              </w:rPr>
            </w:pPr>
          </w:p>
        </w:tc>
        <w:tc>
          <w:tcPr>
            <w:tcW w:w="729" w:type="pct"/>
          </w:tcPr>
          <w:p w14:paraId="70A53F92" w14:textId="77777777" w:rsidR="008B38AB" w:rsidRPr="008B38AB" w:rsidRDefault="008B38AB" w:rsidP="008B38AB">
            <w:pPr>
              <w:rPr>
                <w:rFonts w:cs="Arial"/>
                <w:sz w:val="16"/>
                <w:szCs w:val="16"/>
                <w:lang w:eastAsia="en-GB"/>
              </w:rPr>
            </w:pPr>
            <w:r w:rsidRPr="008B38AB">
              <w:rPr>
                <w:rFonts w:cs="Arial"/>
                <w:sz w:val="16"/>
                <w:szCs w:val="16"/>
                <w:lang w:eastAsia="en-GB"/>
              </w:rPr>
              <w:t>Management did not exercise adequate oversight responsibility to ensure that a system governing the effective service delivery responsibilities were in place, approved and implemented.</w:t>
            </w:r>
          </w:p>
          <w:p w14:paraId="0E84BDE0" w14:textId="77777777" w:rsidR="008B38AB" w:rsidRPr="008B38AB" w:rsidRDefault="008B38AB" w:rsidP="008B38AB">
            <w:pPr>
              <w:rPr>
                <w:rFonts w:cs="Times New Roman"/>
                <w:sz w:val="16"/>
                <w:szCs w:val="16"/>
              </w:rPr>
            </w:pPr>
          </w:p>
        </w:tc>
        <w:tc>
          <w:tcPr>
            <w:tcW w:w="1455" w:type="pct"/>
          </w:tcPr>
          <w:p w14:paraId="1574FB57" w14:textId="77777777" w:rsidR="008B38AB" w:rsidRPr="008B38AB" w:rsidRDefault="008B38AB" w:rsidP="008B38AB">
            <w:pPr>
              <w:spacing w:after="120"/>
              <w:rPr>
                <w:rFonts w:cs="Arial"/>
                <w:color w:val="000000"/>
                <w:sz w:val="16"/>
                <w:szCs w:val="16"/>
              </w:rPr>
            </w:pPr>
            <w:r w:rsidRPr="008B38AB">
              <w:rPr>
                <w:rFonts w:cs="Arial"/>
                <w:color w:val="000000"/>
                <w:sz w:val="16"/>
                <w:szCs w:val="16"/>
              </w:rPr>
              <w:t xml:space="preserve">Management disagrees with the finding on the basis that the Municipality is using the approved road maintenance plan that is aligned to the approved budget.  The maintenance of roads is identified through the Community Based Planning (CBP) and IDP processes together with the grader maintenance plan and other resources.  Inspections are undertaken by the Grader Supervisor of roads identified that require maintenance.  Assessments are undertaken and budget sourced for maintenance. </w:t>
            </w:r>
          </w:p>
          <w:p w14:paraId="43DAFE97" w14:textId="77777777" w:rsidR="008B38AB" w:rsidRPr="008B38AB" w:rsidRDefault="008B38AB" w:rsidP="008B38AB">
            <w:pPr>
              <w:spacing w:after="120"/>
              <w:rPr>
                <w:rFonts w:cs="Arial"/>
                <w:color w:val="000000"/>
                <w:sz w:val="16"/>
                <w:szCs w:val="16"/>
              </w:rPr>
            </w:pPr>
            <w:r w:rsidRPr="008B38AB">
              <w:rPr>
                <w:rFonts w:cs="Arial"/>
                <w:color w:val="000000"/>
                <w:sz w:val="16"/>
                <w:szCs w:val="16"/>
              </w:rPr>
              <w:t xml:space="preserve">The budget for the road maintenance plan is combined, however the plan contains a detailed cash flow with projections and activities relating to pre-planned and reactive maintenance. </w:t>
            </w:r>
          </w:p>
          <w:p w14:paraId="4365B35B" w14:textId="77777777" w:rsidR="008B38AB" w:rsidRPr="008B38AB" w:rsidRDefault="008B38AB" w:rsidP="008B38AB">
            <w:pPr>
              <w:spacing w:after="120"/>
              <w:rPr>
                <w:rFonts w:cs="Arial"/>
                <w:color w:val="000000"/>
                <w:sz w:val="16"/>
                <w:szCs w:val="16"/>
              </w:rPr>
            </w:pPr>
            <w:r w:rsidRPr="008B38AB">
              <w:rPr>
                <w:rFonts w:cs="Arial"/>
                <w:color w:val="000000"/>
                <w:sz w:val="16"/>
                <w:szCs w:val="16"/>
              </w:rPr>
              <w:t>The Road Asset Management System (RAMS) is not yet finalized by the King Cetshwayo District Municipality, however a progress report was received which does not show detailed information/data collected for uMlalazi Local Municipality in respect of each road. Hence at this stage the RAMS cannot be used to enable management to identify and prioritize road maintenance.</w:t>
            </w:r>
          </w:p>
          <w:p w14:paraId="2F9E955B" w14:textId="77777777" w:rsidR="008B38AB" w:rsidRPr="008B38AB" w:rsidRDefault="008B38AB" w:rsidP="008B38AB">
            <w:pPr>
              <w:rPr>
                <w:rFonts w:cs="Times New Roman"/>
                <w:sz w:val="16"/>
                <w:szCs w:val="16"/>
              </w:rPr>
            </w:pPr>
            <w:r w:rsidRPr="008B38AB">
              <w:rPr>
                <w:rFonts w:cs="Arial"/>
                <w:color w:val="000000"/>
                <w:sz w:val="16"/>
                <w:szCs w:val="16"/>
              </w:rPr>
              <w:t>The documentation in respect of the above has been provided to the audit team</w:t>
            </w:r>
          </w:p>
        </w:tc>
        <w:tc>
          <w:tcPr>
            <w:tcW w:w="536" w:type="pct"/>
          </w:tcPr>
          <w:p w14:paraId="71D4A217" w14:textId="77777777" w:rsidR="008B38AB" w:rsidRPr="008B38AB" w:rsidRDefault="008B38AB" w:rsidP="008B38AB">
            <w:pPr>
              <w:rPr>
                <w:rFonts w:eastAsia="Arial Unicode MS" w:cs="Arial"/>
                <w:color w:val="000000"/>
                <w:sz w:val="16"/>
                <w:szCs w:val="16"/>
              </w:rPr>
            </w:pPr>
            <w:r w:rsidRPr="008B38AB">
              <w:rPr>
                <w:rFonts w:eastAsia="Arial Unicode MS" w:cs="Arial"/>
                <w:color w:val="000000"/>
                <w:sz w:val="16"/>
                <w:szCs w:val="16"/>
              </w:rPr>
              <w:t>Name:</w:t>
            </w:r>
            <w:r w:rsidRPr="008B38AB">
              <w:rPr>
                <w:rFonts w:eastAsia="Arial Unicode MS" w:cs="Arial"/>
                <w:color w:val="000000"/>
                <w:sz w:val="16"/>
                <w:szCs w:val="16"/>
              </w:rPr>
              <w:tab/>
              <w:t>Mbuso Dlamini</w:t>
            </w:r>
          </w:p>
          <w:p w14:paraId="055B4AFD" w14:textId="77777777" w:rsidR="008B38AB" w:rsidRPr="008B38AB" w:rsidRDefault="008B38AB" w:rsidP="008B38AB">
            <w:pPr>
              <w:rPr>
                <w:rFonts w:cs="Times New Roman"/>
                <w:noProof/>
                <w:color w:val="000000"/>
                <w:sz w:val="16"/>
                <w:szCs w:val="16"/>
              </w:rPr>
            </w:pPr>
            <w:r w:rsidRPr="008B38AB">
              <w:rPr>
                <w:rFonts w:eastAsia="Arial Unicode MS" w:cs="Arial"/>
                <w:color w:val="000000"/>
                <w:sz w:val="16"/>
                <w:szCs w:val="16"/>
              </w:rPr>
              <w:t xml:space="preserve">Position:  Senior Manager </w:t>
            </w:r>
            <w:r w:rsidRPr="008B38AB">
              <w:rPr>
                <w:rFonts w:cs="Times New Roman"/>
                <w:noProof/>
                <w:color w:val="000000"/>
                <w:sz w:val="16"/>
                <w:szCs w:val="16"/>
              </w:rPr>
              <w:t>Engineering Services (Civil)</w:t>
            </w:r>
            <w:r w:rsidRPr="008B38AB">
              <w:rPr>
                <w:rFonts w:eastAsia="Arial Unicode MS" w:cs="Arial"/>
                <w:color w:val="000000"/>
                <w:sz w:val="16"/>
                <w:szCs w:val="16"/>
              </w:rPr>
              <w:tab/>
            </w:r>
            <w:r w:rsidRPr="008B38AB">
              <w:rPr>
                <w:rFonts w:eastAsia="Arial Unicode MS" w:cs="Arial"/>
                <w:color w:val="000000"/>
                <w:sz w:val="16"/>
                <w:szCs w:val="16"/>
              </w:rPr>
              <w:tab/>
            </w:r>
          </w:p>
          <w:p w14:paraId="1A587E7D" w14:textId="77777777" w:rsidR="008B38AB" w:rsidRPr="008B38AB" w:rsidRDefault="008B38AB" w:rsidP="008B38AB">
            <w:pPr>
              <w:rPr>
                <w:rFonts w:cs="Arial"/>
                <w:color w:val="000000"/>
                <w:sz w:val="16"/>
                <w:szCs w:val="16"/>
              </w:rPr>
            </w:pPr>
            <w:r w:rsidRPr="008B38AB">
              <w:rPr>
                <w:rFonts w:eastAsia="Arial Unicode MS" w:cs="Arial"/>
                <w:color w:val="000000"/>
                <w:sz w:val="16"/>
                <w:szCs w:val="16"/>
              </w:rPr>
              <w:t>Date: 06 /11/2017</w:t>
            </w:r>
          </w:p>
          <w:p w14:paraId="4FF94C30" w14:textId="77777777" w:rsidR="008B38AB" w:rsidRPr="008B38AB" w:rsidRDefault="008B38AB" w:rsidP="008B38AB">
            <w:pPr>
              <w:rPr>
                <w:rFonts w:cs="Times New Roman"/>
                <w:sz w:val="16"/>
                <w:szCs w:val="16"/>
              </w:rPr>
            </w:pPr>
          </w:p>
        </w:tc>
        <w:tc>
          <w:tcPr>
            <w:tcW w:w="776" w:type="pct"/>
            <w:shd w:val="clear" w:color="auto" w:fill="FFFFFF"/>
          </w:tcPr>
          <w:p w14:paraId="29ECB1EB" w14:textId="77777777" w:rsidR="008B38AB" w:rsidRPr="008B38AB" w:rsidRDefault="008B38AB" w:rsidP="008B38AB">
            <w:pPr>
              <w:rPr>
                <w:rFonts w:cs="Times New Roman"/>
                <w:sz w:val="16"/>
                <w:szCs w:val="16"/>
              </w:rPr>
            </w:pPr>
          </w:p>
        </w:tc>
      </w:tr>
      <w:tr w:rsidR="008B38AB" w:rsidRPr="008B38AB" w14:paraId="1C3381AA" w14:textId="77777777" w:rsidTr="008B38AB">
        <w:tc>
          <w:tcPr>
            <w:tcW w:w="231" w:type="pct"/>
          </w:tcPr>
          <w:p w14:paraId="7370C6EE" w14:textId="77777777" w:rsidR="008B38AB" w:rsidRPr="008B38AB" w:rsidRDefault="008B38AB" w:rsidP="008B38AB">
            <w:pPr>
              <w:rPr>
                <w:rFonts w:cs="Times New Roman"/>
                <w:sz w:val="16"/>
                <w:szCs w:val="16"/>
              </w:rPr>
            </w:pPr>
            <w:r w:rsidRPr="008B38AB">
              <w:rPr>
                <w:rFonts w:cs="Times New Roman"/>
                <w:sz w:val="16"/>
                <w:szCs w:val="16"/>
              </w:rPr>
              <w:t>3.</w:t>
            </w:r>
          </w:p>
        </w:tc>
        <w:tc>
          <w:tcPr>
            <w:tcW w:w="1273" w:type="pct"/>
          </w:tcPr>
          <w:p w14:paraId="488C7C57" w14:textId="77777777" w:rsidR="008B38AB" w:rsidRPr="008B38AB" w:rsidRDefault="008B38AB" w:rsidP="008B38AB">
            <w:pPr>
              <w:rPr>
                <w:rFonts w:cs="Arial"/>
                <w:b/>
                <w:bCs/>
                <w:sz w:val="16"/>
                <w:szCs w:val="16"/>
              </w:rPr>
            </w:pPr>
            <w:r w:rsidRPr="008B38AB">
              <w:rPr>
                <w:rFonts w:cs="Arial"/>
                <w:b/>
                <w:bCs/>
                <w:sz w:val="16"/>
                <w:szCs w:val="16"/>
              </w:rPr>
              <w:t>Unauthorized debit Orders</w:t>
            </w:r>
          </w:p>
          <w:p w14:paraId="508AF464" w14:textId="77777777" w:rsidR="008B38AB" w:rsidRPr="008B38AB" w:rsidRDefault="008B38AB" w:rsidP="008B38AB">
            <w:pPr>
              <w:rPr>
                <w:rFonts w:cs="Arial"/>
                <w:b/>
                <w:bCs/>
                <w:sz w:val="16"/>
                <w:szCs w:val="16"/>
              </w:rPr>
            </w:pPr>
          </w:p>
          <w:p w14:paraId="7DCE718C" w14:textId="77777777" w:rsidR="008B38AB" w:rsidRPr="008B38AB" w:rsidRDefault="008B38AB" w:rsidP="008B38AB">
            <w:pPr>
              <w:rPr>
                <w:rFonts w:cs="Arial"/>
                <w:bCs/>
                <w:sz w:val="16"/>
                <w:szCs w:val="16"/>
              </w:rPr>
            </w:pPr>
            <w:r w:rsidRPr="008B38AB">
              <w:rPr>
                <w:rFonts w:cs="Arial"/>
                <w:sz w:val="16"/>
                <w:szCs w:val="16"/>
              </w:rPr>
              <w:t>During the audit of Cash and cash equivalent, the bank reconciliation was inspected and audited. On this Bank reconciliation it was noted that there were 13 reconciling amounts known as Unauthorized Debit Orders. Payments which are required to become debit orders are meant to be subjected to internal controls prior to being loaded as Debit Orders. The fact that there are unauthorized debit orders could indicate that there are deficiencies in internal controls.</w:t>
            </w:r>
          </w:p>
          <w:p w14:paraId="73E7042A" w14:textId="77777777" w:rsidR="008B38AB" w:rsidRPr="008B38AB" w:rsidRDefault="008B38AB" w:rsidP="008B38AB">
            <w:pPr>
              <w:spacing w:after="120"/>
              <w:rPr>
                <w:rFonts w:cs="Times New Roman"/>
                <w:b/>
                <w:sz w:val="16"/>
                <w:szCs w:val="16"/>
              </w:rPr>
            </w:pPr>
          </w:p>
        </w:tc>
        <w:tc>
          <w:tcPr>
            <w:tcW w:w="729" w:type="pct"/>
          </w:tcPr>
          <w:p w14:paraId="0097A64A" w14:textId="77777777" w:rsidR="008B38AB" w:rsidRPr="008B38AB" w:rsidRDefault="008B38AB" w:rsidP="008B38AB">
            <w:pPr>
              <w:rPr>
                <w:rFonts w:cs="Times New Roman"/>
                <w:sz w:val="16"/>
                <w:szCs w:val="16"/>
              </w:rPr>
            </w:pPr>
            <w:r w:rsidRPr="008B38AB">
              <w:rPr>
                <w:rFonts w:cs="Arial"/>
                <w:sz w:val="16"/>
                <w:szCs w:val="16"/>
              </w:rPr>
              <w:t>Management did not implement controls over daily and monthly processing and reconciling of transactions as they did not authorize the debit orders</w:t>
            </w:r>
          </w:p>
        </w:tc>
        <w:tc>
          <w:tcPr>
            <w:tcW w:w="1455" w:type="pct"/>
          </w:tcPr>
          <w:p w14:paraId="54D30F11" w14:textId="77777777" w:rsidR="008B38AB" w:rsidRPr="008B38AB" w:rsidRDefault="008B38AB" w:rsidP="008B38AB">
            <w:pPr>
              <w:spacing w:after="120"/>
              <w:rPr>
                <w:rFonts w:cs="Arial"/>
                <w:color w:val="000000"/>
                <w:sz w:val="16"/>
                <w:szCs w:val="16"/>
              </w:rPr>
            </w:pPr>
            <w:r w:rsidRPr="008B38AB">
              <w:rPr>
                <w:rFonts w:cs="Arial"/>
                <w:color w:val="000000"/>
                <w:sz w:val="16"/>
                <w:szCs w:val="16"/>
              </w:rPr>
              <w:t xml:space="preserve">The finding is noted and management will continue with its internal controls and ensure the effectiveness thereof.  </w:t>
            </w:r>
          </w:p>
          <w:p w14:paraId="3FF5E322" w14:textId="77777777" w:rsidR="008B38AB" w:rsidRPr="008B38AB" w:rsidRDefault="008B38AB" w:rsidP="008B38AB">
            <w:pPr>
              <w:spacing w:after="120"/>
              <w:rPr>
                <w:rFonts w:cs="Arial"/>
                <w:color w:val="000000"/>
                <w:sz w:val="16"/>
                <w:szCs w:val="16"/>
              </w:rPr>
            </w:pPr>
            <w:r w:rsidRPr="008B38AB">
              <w:rPr>
                <w:rFonts w:cs="Arial"/>
                <w:color w:val="000000"/>
                <w:sz w:val="16"/>
                <w:szCs w:val="16"/>
              </w:rPr>
              <w:t xml:space="preserve">These debit orders that are going off the municipality’s bank account are definitely unauthorized and we as management can confirm that we have not authorized these debit orders </w:t>
            </w:r>
          </w:p>
          <w:p w14:paraId="57175A21" w14:textId="77777777" w:rsidR="008B38AB" w:rsidRPr="008B38AB" w:rsidRDefault="008B38AB" w:rsidP="008B38AB">
            <w:pPr>
              <w:spacing w:after="120"/>
              <w:rPr>
                <w:rFonts w:cs="Arial"/>
                <w:color w:val="000000"/>
                <w:sz w:val="16"/>
                <w:szCs w:val="16"/>
              </w:rPr>
            </w:pPr>
            <w:r w:rsidRPr="008B38AB">
              <w:rPr>
                <w:rFonts w:cs="Arial"/>
                <w:color w:val="000000"/>
                <w:sz w:val="16"/>
                <w:szCs w:val="16"/>
              </w:rPr>
              <w:t>As a municipality our only recourse is to complete the debit order dispute forms and hope that the bank is able to resolve the matter. It is actually out of our hands. On the online banking system, we are only allowed to stop or reverse debit orders below R250-00 and most of the unauthorized debit orders are above that value, therefore we are reliant on the debit order dispute form..</w:t>
            </w:r>
          </w:p>
          <w:p w14:paraId="35E98878" w14:textId="77777777" w:rsidR="008B38AB" w:rsidRPr="008B38AB" w:rsidRDefault="008B38AB" w:rsidP="008B38AB">
            <w:pPr>
              <w:spacing w:after="120"/>
              <w:rPr>
                <w:rFonts w:cs="Arial"/>
                <w:color w:val="000000"/>
                <w:sz w:val="16"/>
                <w:szCs w:val="16"/>
              </w:rPr>
            </w:pPr>
            <w:r w:rsidRPr="008B38AB">
              <w:rPr>
                <w:rFonts w:cs="Arial"/>
                <w:color w:val="000000"/>
                <w:sz w:val="16"/>
                <w:szCs w:val="16"/>
              </w:rPr>
              <w:t>Once dispute forms are filled and submitted to FNB, the bank reverses these debit orders if they took place within 40 days. Most of them are picked up within 40 days and are thus reversed. Those older than 40 days are investigated further by FNB before they are reversed. Unresolved are reflected on the monthly bank reconciliation that is submitted to Finance Portfolio Committee hence, track is not lost until resolved.</w:t>
            </w:r>
          </w:p>
          <w:p w14:paraId="5B252D52" w14:textId="77777777" w:rsidR="008B38AB" w:rsidRPr="008B38AB" w:rsidRDefault="008B38AB" w:rsidP="008B38AB">
            <w:pPr>
              <w:spacing w:after="120"/>
              <w:rPr>
                <w:rFonts w:cs="Arial"/>
                <w:color w:val="000000"/>
                <w:sz w:val="16"/>
                <w:szCs w:val="16"/>
              </w:rPr>
            </w:pPr>
            <w:r w:rsidRPr="008B38AB">
              <w:rPr>
                <w:rFonts w:cs="Arial"/>
                <w:color w:val="000000"/>
                <w:sz w:val="16"/>
                <w:szCs w:val="16"/>
              </w:rPr>
              <w:t>As for the debit orders older than 40days, we are unable to give you a turnaround time for that to be resolved as the business banker advised that this is submitted to a different division at the bank for investigation.</w:t>
            </w:r>
          </w:p>
          <w:p w14:paraId="3C4898CD" w14:textId="77777777" w:rsidR="008B38AB" w:rsidRPr="008B38AB" w:rsidRDefault="008B38AB" w:rsidP="008B38AB">
            <w:pPr>
              <w:rPr>
                <w:rFonts w:eastAsia="Century Gothic" w:cs="Century Gothic"/>
                <w:sz w:val="16"/>
                <w:szCs w:val="16"/>
              </w:rPr>
            </w:pPr>
          </w:p>
        </w:tc>
        <w:tc>
          <w:tcPr>
            <w:tcW w:w="536" w:type="pct"/>
          </w:tcPr>
          <w:p w14:paraId="481ACD89" w14:textId="77777777" w:rsidR="008B38AB" w:rsidRPr="008B38AB" w:rsidRDefault="008B38AB" w:rsidP="008B38AB">
            <w:pPr>
              <w:rPr>
                <w:rFonts w:eastAsia="Arial Unicode MS" w:cs="Arial"/>
                <w:color w:val="000000"/>
                <w:sz w:val="16"/>
                <w:szCs w:val="16"/>
              </w:rPr>
            </w:pPr>
            <w:r w:rsidRPr="008B38AB">
              <w:rPr>
                <w:rFonts w:eastAsia="Arial Unicode MS" w:cs="Arial"/>
                <w:color w:val="000000"/>
                <w:sz w:val="16"/>
                <w:szCs w:val="16"/>
              </w:rPr>
              <w:t>Name:</w:t>
            </w:r>
            <w:r w:rsidRPr="008B38AB">
              <w:rPr>
                <w:rFonts w:eastAsia="Arial Unicode MS" w:cs="Arial"/>
                <w:color w:val="000000"/>
                <w:sz w:val="16"/>
                <w:szCs w:val="16"/>
              </w:rPr>
              <w:tab/>
              <w:t>Z N Mhlongo</w:t>
            </w:r>
          </w:p>
          <w:p w14:paraId="474BCB2C" w14:textId="77777777" w:rsidR="008B38AB" w:rsidRPr="008B38AB" w:rsidRDefault="008B38AB" w:rsidP="008B38AB">
            <w:pPr>
              <w:rPr>
                <w:rFonts w:eastAsia="Arial Unicode MS" w:cs="Arial"/>
                <w:color w:val="000000"/>
                <w:sz w:val="16"/>
                <w:szCs w:val="16"/>
              </w:rPr>
            </w:pPr>
            <w:r w:rsidRPr="008B38AB">
              <w:rPr>
                <w:rFonts w:eastAsia="Arial Unicode MS" w:cs="Arial"/>
                <w:color w:val="000000"/>
                <w:sz w:val="16"/>
                <w:szCs w:val="16"/>
              </w:rPr>
              <w:t>Position:  CFO</w:t>
            </w:r>
          </w:p>
          <w:p w14:paraId="41BE3EFC" w14:textId="77777777" w:rsidR="008B38AB" w:rsidRPr="008B38AB" w:rsidRDefault="008B38AB" w:rsidP="008B38AB">
            <w:pPr>
              <w:spacing w:after="240"/>
              <w:rPr>
                <w:rFonts w:cs="Arial"/>
                <w:color w:val="000000"/>
                <w:sz w:val="16"/>
                <w:szCs w:val="16"/>
              </w:rPr>
            </w:pPr>
            <w:r w:rsidRPr="008B38AB">
              <w:rPr>
                <w:rFonts w:eastAsia="Arial Unicode MS" w:cs="Arial"/>
                <w:color w:val="000000"/>
                <w:sz w:val="16"/>
                <w:szCs w:val="16"/>
              </w:rPr>
              <w:t>Date: 10/11/2017</w:t>
            </w:r>
          </w:p>
          <w:p w14:paraId="3A8327E2" w14:textId="77777777" w:rsidR="008B38AB" w:rsidRPr="008B38AB" w:rsidRDefault="008B38AB" w:rsidP="008B38AB">
            <w:pPr>
              <w:rPr>
                <w:rFonts w:cs="Times New Roman"/>
                <w:sz w:val="16"/>
                <w:szCs w:val="16"/>
              </w:rPr>
            </w:pPr>
          </w:p>
        </w:tc>
        <w:tc>
          <w:tcPr>
            <w:tcW w:w="776" w:type="pct"/>
            <w:shd w:val="clear" w:color="auto" w:fill="FFFFFF"/>
          </w:tcPr>
          <w:p w14:paraId="549DD6E0" w14:textId="77777777" w:rsidR="008B38AB" w:rsidRPr="008B38AB" w:rsidRDefault="008B38AB" w:rsidP="008B38AB">
            <w:pPr>
              <w:rPr>
                <w:rFonts w:cs="Times New Roman"/>
                <w:sz w:val="16"/>
                <w:szCs w:val="16"/>
              </w:rPr>
            </w:pPr>
          </w:p>
        </w:tc>
      </w:tr>
      <w:tr w:rsidR="008B38AB" w:rsidRPr="008B38AB" w14:paraId="27674D61" w14:textId="77777777" w:rsidTr="008B38AB">
        <w:tc>
          <w:tcPr>
            <w:tcW w:w="231" w:type="pct"/>
          </w:tcPr>
          <w:p w14:paraId="7F021A0B" w14:textId="77777777" w:rsidR="008B38AB" w:rsidRPr="008B38AB" w:rsidRDefault="008B38AB" w:rsidP="008B38AB">
            <w:pPr>
              <w:rPr>
                <w:rFonts w:cs="Times New Roman"/>
                <w:sz w:val="16"/>
                <w:szCs w:val="16"/>
              </w:rPr>
            </w:pPr>
            <w:r w:rsidRPr="008B38AB">
              <w:rPr>
                <w:rFonts w:cs="Times New Roman"/>
                <w:sz w:val="16"/>
                <w:szCs w:val="16"/>
              </w:rPr>
              <w:t>4.</w:t>
            </w:r>
          </w:p>
        </w:tc>
        <w:tc>
          <w:tcPr>
            <w:tcW w:w="1273" w:type="pct"/>
          </w:tcPr>
          <w:p w14:paraId="0EAE0D30" w14:textId="77777777" w:rsidR="008B38AB" w:rsidRPr="008B38AB" w:rsidRDefault="008B38AB" w:rsidP="008B38AB">
            <w:pPr>
              <w:spacing w:after="120"/>
              <w:contextualSpacing/>
              <w:rPr>
                <w:rFonts w:cs="Arial"/>
                <w:b/>
                <w:bCs/>
                <w:sz w:val="16"/>
                <w:szCs w:val="16"/>
              </w:rPr>
            </w:pPr>
            <w:r w:rsidRPr="008B38AB">
              <w:rPr>
                <w:rFonts w:cs="Arial"/>
                <w:b/>
                <w:bCs/>
                <w:sz w:val="16"/>
                <w:szCs w:val="16"/>
              </w:rPr>
              <w:t xml:space="preserve">Incorrect PPPFA point calculation used </w:t>
            </w:r>
          </w:p>
          <w:p w14:paraId="463CA136" w14:textId="77777777" w:rsidR="008B38AB" w:rsidRPr="008B38AB" w:rsidRDefault="008B38AB" w:rsidP="008B38AB">
            <w:pPr>
              <w:spacing w:after="120"/>
              <w:contextualSpacing/>
              <w:rPr>
                <w:rFonts w:cs="Arial"/>
                <w:b/>
                <w:bCs/>
                <w:sz w:val="16"/>
                <w:szCs w:val="16"/>
              </w:rPr>
            </w:pPr>
          </w:p>
          <w:p w14:paraId="1F0165FE" w14:textId="77777777" w:rsidR="008B38AB" w:rsidRPr="008B38AB" w:rsidRDefault="008B38AB" w:rsidP="008B38AB">
            <w:pPr>
              <w:spacing w:after="120"/>
              <w:contextualSpacing/>
              <w:rPr>
                <w:rFonts w:cs="Arial"/>
                <w:bCs/>
                <w:sz w:val="16"/>
                <w:szCs w:val="16"/>
              </w:rPr>
            </w:pPr>
            <w:r w:rsidRPr="008B38AB">
              <w:rPr>
                <w:rFonts w:cs="Arial"/>
                <w:sz w:val="16"/>
                <w:szCs w:val="16"/>
                <w:lang w:eastAsia="en-GB"/>
              </w:rPr>
              <w:t>During the audit of procurement and contract management and it was noted that the following tender (Tender: 13/16/17) for R230 000 was incorrectly evaluated using the 90/10 preference point system when it should have been evaluated using the 80/10 preference point system. Management did not comply with the preferential regulations because the tender is below R1 Million and should have been evaluated using the 80/20 preferential point system</w:t>
            </w:r>
          </w:p>
          <w:p w14:paraId="13B27ECB" w14:textId="77777777" w:rsidR="008B38AB" w:rsidRPr="008B38AB" w:rsidRDefault="008B38AB" w:rsidP="008B38AB">
            <w:pPr>
              <w:rPr>
                <w:rFonts w:cs="Times New Roman"/>
                <w:sz w:val="16"/>
                <w:szCs w:val="16"/>
              </w:rPr>
            </w:pPr>
          </w:p>
        </w:tc>
        <w:tc>
          <w:tcPr>
            <w:tcW w:w="729" w:type="pct"/>
          </w:tcPr>
          <w:p w14:paraId="41B6EA18" w14:textId="77777777" w:rsidR="008B38AB" w:rsidRPr="008B38AB" w:rsidRDefault="008B38AB" w:rsidP="008B38AB">
            <w:pPr>
              <w:rPr>
                <w:rFonts w:cs="Times New Roman"/>
                <w:sz w:val="16"/>
                <w:szCs w:val="16"/>
              </w:rPr>
            </w:pPr>
            <w:r w:rsidRPr="008B38AB">
              <w:rPr>
                <w:rFonts w:cs="Arial"/>
                <w:sz w:val="16"/>
                <w:szCs w:val="16"/>
                <w:lang w:eastAsia="en-GB"/>
              </w:rPr>
              <w:t>Management did not review and monitor compliance with applicable legislation because the MFMA regulation was not complied with</w:t>
            </w:r>
          </w:p>
        </w:tc>
        <w:tc>
          <w:tcPr>
            <w:tcW w:w="1455" w:type="pct"/>
          </w:tcPr>
          <w:p w14:paraId="213F64FA" w14:textId="77777777" w:rsidR="008B38AB" w:rsidRPr="008B38AB" w:rsidRDefault="008B38AB" w:rsidP="008B38AB">
            <w:pPr>
              <w:rPr>
                <w:rFonts w:cs="Times New Roman"/>
                <w:sz w:val="16"/>
                <w:szCs w:val="16"/>
              </w:rPr>
            </w:pPr>
            <w:r w:rsidRPr="008B38AB">
              <w:rPr>
                <w:rFonts w:cs="Arial"/>
                <w:color w:val="000000"/>
                <w:sz w:val="16"/>
                <w:szCs w:val="16"/>
              </w:rPr>
              <w:t>The finding is agreed.  It should be noted that the Bid Specification document did correctly indicated 80/20 preference point system as procurement of these consultancy services was expected to amount to less than R1 million. However, upon the actual calculation, the full budget of over R3 million for the project (including construction) was looked at and the 90/10 preference point system was applied. This was a genuine error made during the calculation of PPPFA points. Calculations have been re-performed and it is confirmed that the successful bidder scored the highest PPPFA points based on both the 80/20 or 90/10 points system and the error therefore had no bearing on the final award of the tender. Management will be more vigilant in ensuring correct methods are used in future.</w:t>
            </w:r>
          </w:p>
        </w:tc>
        <w:tc>
          <w:tcPr>
            <w:tcW w:w="536" w:type="pct"/>
          </w:tcPr>
          <w:p w14:paraId="18117E86" w14:textId="77777777" w:rsidR="008B38AB" w:rsidRPr="008B38AB" w:rsidRDefault="008B38AB" w:rsidP="008B38AB">
            <w:pPr>
              <w:rPr>
                <w:rFonts w:eastAsia="Arial Unicode MS" w:cs="Arial"/>
                <w:color w:val="000000"/>
                <w:sz w:val="16"/>
                <w:szCs w:val="16"/>
              </w:rPr>
            </w:pPr>
            <w:r w:rsidRPr="008B38AB">
              <w:rPr>
                <w:rFonts w:eastAsia="Arial Unicode MS" w:cs="Arial"/>
                <w:color w:val="000000"/>
                <w:sz w:val="16"/>
                <w:szCs w:val="16"/>
              </w:rPr>
              <w:t>Name:</w:t>
            </w:r>
          </w:p>
          <w:p w14:paraId="722F9AE4" w14:textId="77777777" w:rsidR="008B38AB" w:rsidRPr="008B38AB" w:rsidRDefault="008B38AB" w:rsidP="008B38AB">
            <w:pPr>
              <w:rPr>
                <w:rFonts w:eastAsia="Arial Unicode MS" w:cs="Arial"/>
                <w:color w:val="000000"/>
                <w:sz w:val="16"/>
                <w:szCs w:val="16"/>
              </w:rPr>
            </w:pPr>
            <w:r w:rsidRPr="008B38AB">
              <w:rPr>
                <w:rFonts w:eastAsia="Arial Unicode MS" w:cs="Arial"/>
                <w:color w:val="000000"/>
                <w:sz w:val="16"/>
                <w:szCs w:val="16"/>
              </w:rPr>
              <w:t>Zakhele Mhlongo</w:t>
            </w:r>
          </w:p>
          <w:p w14:paraId="27561038" w14:textId="77777777" w:rsidR="008B38AB" w:rsidRPr="008B38AB" w:rsidRDefault="008B38AB" w:rsidP="008B38AB">
            <w:pPr>
              <w:rPr>
                <w:rFonts w:eastAsia="Arial Unicode MS" w:cs="Arial"/>
                <w:color w:val="000000"/>
                <w:sz w:val="16"/>
                <w:szCs w:val="16"/>
              </w:rPr>
            </w:pPr>
            <w:r w:rsidRPr="008B38AB">
              <w:rPr>
                <w:rFonts w:eastAsia="Arial Unicode MS" w:cs="Arial"/>
                <w:color w:val="000000"/>
                <w:sz w:val="16"/>
                <w:szCs w:val="16"/>
              </w:rPr>
              <w:t>Position: CFO</w:t>
            </w:r>
          </w:p>
          <w:p w14:paraId="2BB903B2" w14:textId="77777777" w:rsidR="008B38AB" w:rsidRPr="008B38AB" w:rsidRDefault="008B38AB" w:rsidP="008B38AB">
            <w:pPr>
              <w:rPr>
                <w:rFonts w:cs="Arial"/>
                <w:color w:val="000000"/>
                <w:sz w:val="16"/>
                <w:szCs w:val="16"/>
              </w:rPr>
            </w:pPr>
            <w:r w:rsidRPr="008B38AB">
              <w:rPr>
                <w:rFonts w:eastAsia="Arial Unicode MS" w:cs="Arial"/>
                <w:color w:val="000000"/>
                <w:sz w:val="16"/>
                <w:szCs w:val="16"/>
              </w:rPr>
              <w:t>Date: 06/11/2017</w:t>
            </w:r>
          </w:p>
          <w:p w14:paraId="73CF84D9" w14:textId="77777777" w:rsidR="008B38AB" w:rsidRPr="008B38AB" w:rsidRDefault="008B38AB" w:rsidP="008B38AB">
            <w:pPr>
              <w:rPr>
                <w:rFonts w:cs="Times New Roman"/>
                <w:sz w:val="16"/>
                <w:szCs w:val="16"/>
              </w:rPr>
            </w:pPr>
          </w:p>
        </w:tc>
        <w:tc>
          <w:tcPr>
            <w:tcW w:w="776" w:type="pct"/>
            <w:shd w:val="clear" w:color="auto" w:fill="FFFFFF"/>
          </w:tcPr>
          <w:p w14:paraId="7B287A14" w14:textId="77777777" w:rsidR="008B38AB" w:rsidRPr="008B38AB" w:rsidRDefault="008B38AB" w:rsidP="008B38AB">
            <w:pPr>
              <w:rPr>
                <w:rFonts w:cs="Times New Roman"/>
                <w:sz w:val="16"/>
                <w:szCs w:val="16"/>
              </w:rPr>
            </w:pPr>
          </w:p>
        </w:tc>
      </w:tr>
      <w:tr w:rsidR="008B38AB" w:rsidRPr="008B38AB" w14:paraId="13EE056D" w14:textId="77777777" w:rsidTr="008B38AB">
        <w:tc>
          <w:tcPr>
            <w:tcW w:w="231" w:type="pct"/>
          </w:tcPr>
          <w:p w14:paraId="41103F4E" w14:textId="77777777" w:rsidR="008B38AB" w:rsidRPr="008B38AB" w:rsidRDefault="008B38AB" w:rsidP="008B38AB">
            <w:pPr>
              <w:rPr>
                <w:rFonts w:cs="Times New Roman"/>
                <w:sz w:val="16"/>
                <w:szCs w:val="16"/>
              </w:rPr>
            </w:pPr>
            <w:r w:rsidRPr="008B38AB">
              <w:rPr>
                <w:rFonts w:cs="Times New Roman"/>
                <w:sz w:val="16"/>
                <w:szCs w:val="16"/>
              </w:rPr>
              <w:t>5.</w:t>
            </w:r>
          </w:p>
        </w:tc>
        <w:tc>
          <w:tcPr>
            <w:tcW w:w="1273" w:type="pct"/>
          </w:tcPr>
          <w:p w14:paraId="27596E9A" w14:textId="77777777" w:rsidR="008B38AB" w:rsidRPr="008B38AB" w:rsidRDefault="008B38AB" w:rsidP="008B38AB">
            <w:pPr>
              <w:spacing w:after="120"/>
              <w:contextualSpacing/>
              <w:rPr>
                <w:rFonts w:cs="Arial"/>
                <w:b/>
                <w:bCs/>
                <w:sz w:val="16"/>
                <w:szCs w:val="16"/>
              </w:rPr>
            </w:pPr>
            <w:r w:rsidRPr="008B38AB">
              <w:rPr>
                <w:rFonts w:cs="Arial"/>
                <w:b/>
                <w:bCs/>
                <w:sz w:val="16"/>
                <w:szCs w:val="16"/>
              </w:rPr>
              <w:t xml:space="preserve">No penalty clause in consultant contracts </w:t>
            </w:r>
          </w:p>
          <w:p w14:paraId="2CF4C690" w14:textId="77777777" w:rsidR="008B38AB" w:rsidRPr="008B38AB" w:rsidRDefault="008B38AB" w:rsidP="008B38AB">
            <w:pPr>
              <w:spacing w:after="120"/>
              <w:contextualSpacing/>
              <w:rPr>
                <w:rFonts w:cs="Arial"/>
                <w:b/>
                <w:bCs/>
                <w:sz w:val="16"/>
                <w:szCs w:val="16"/>
              </w:rPr>
            </w:pPr>
          </w:p>
          <w:p w14:paraId="45725A21" w14:textId="77777777" w:rsidR="008B38AB" w:rsidRPr="008B38AB" w:rsidRDefault="008B38AB" w:rsidP="008B38AB">
            <w:pPr>
              <w:spacing w:after="180"/>
              <w:rPr>
                <w:rFonts w:cs="Arial"/>
                <w:sz w:val="16"/>
                <w:szCs w:val="16"/>
                <w:lang w:eastAsia="en-GB"/>
              </w:rPr>
            </w:pPr>
            <w:r w:rsidRPr="008B38AB">
              <w:rPr>
                <w:rFonts w:cs="Arial"/>
                <w:sz w:val="16"/>
                <w:szCs w:val="16"/>
                <w:lang w:eastAsia="en-GB"/>
              </w:rPr>
              <w:t>During the examination of the consultant contracts, it was identified that the contracts did not have penalty clauses. Consultants contacts that were scrutinized were as follows:</w:t>
            </w:r>
          </w:p>
          <w:p w14:paraId="4EF87955" w14:textId="77777777" w:rsidR="008B38AB" w:rsidRPr="008B38AB" w:rsidRDefault="008B38AB" w:rsidP="00750180">
            <w:pPr>
              <w:numPr>
                <w:ilvl w:val="0"/>
                <w:numId w:val="139"/>
              </w:numPr>
              <w:spacing w:after="180"/>
              <w:contextualSpacing/>
              <w:rPr>
                <w:rFonts w:cs="Arial"/>
                <w:sz w:val="16"/>
                <w:szCs w:val="16"/>
              </w:rPr>
            </w:pPr>
            <w:r w:rsidRPr="008B38AB">
              <w:rPr>
                <w:rFonts w:cs="Arial"/>
                <w:sz w:val="16"/>
                <w:szCs w:val="16"/>
              </w:rPr>
              <w:t>Vesta Technical Services (Pty) Ltd</w:t>
            </w:r>
          </w:p>
          <w:p w14:paraId="2D538773" w14:textId="77777777" w:rsidR="008B38AB" w:rsidRPr="008B38AB" w:rsidRDefault="008B38AB" w:rsidP="00750180">
            <w:pPr>
              <w:numPr>
                <w:ilvl w:val="0"/>
                <w:numId w:val="139"/>
              </w:numPr>
              <w:spacing w:after="180"/>
              <w:contextualSpacing/>
              <w:rPr>
                <w:rFonts w:cs="Arial"/>
                <w:sz w:val="16"/>
                <w:szCs w:val="16"/>
              </w:rPr>
            </w:pPr>
            <w:r w:rsidRPr="008B38AB">
              <w:rPr>
                <w:rFonts w:cs="Arial"/>
                <w:sz w:val="16"/>
                <w:szCs w:val="16"/>
              </w:rPr>
              <w:t>Ignite Advisory Services (Pty) Ltd</w:t>
            </w:r>
          </w:p>
          <w:p w14:paraId="78800AE2" w14:textId="77777777" w:rsidR="008B38AB" w:rsidRPr="008B38AB" w:rsidRDefault="008B38AB" w:rsidP="00750180">
            <w:pPr>
              <w:numPr>
                <w:ilvl w:val="0"/>
                <w:numId w:val="139"/>
              </w:numPr>
              <w:spacing w:after="180"/>
              <w:contextualSpacing/>
              <w:rPr>
                <w:rFonts w:cs="Arial"/>
                <w:sz w:val="16"/>
                <w:szCs w:val="16"/>
              </w:rPr>
            </w:pPr>
            <w:r w:rsidRPr="008B38AB">
              <w:rPr>
                <w:rFonts w:cs="Arial"/>
                <w:sz w:val="16"/>
                <w:szCs w:val="16"/>
              </w:rPr>
              <w:t xml:space="preserve">Fujitsu Services (Proprietary) Ltd </w:t>
            </w:r>
          </w:p>
          <w:p w14:paraId="632E8493" w14:textId="77777777" w:rsidR="008B38AB" w:rsidRPr="008B38AB" w:rsidRDefault="008B38AB" w:rsidP="008B38AB">
            <w:pPr>
              <w:spacing w:after="120"/>
              <w:contextualSpacing/>
              <w:rPr>
                <w:rFonts w:cs="Arial"/>
                <w:bCs/>
                <w:sz w:val="16"/>
                <w:szCs w:val="16"/>
              </w:rPr>
            </w:pPr>
          </w:p>
          <w:p w14:paraId="0AA0DAA4" w14:textId="77777777" w:rsidR="008B38AB" w:rsidRPr="008B38AB" w:rsidRDefault="008B38AB" w:rsidP="008B38AB">
            <w:pPr>
              <w:autoSpaceDE w:val="0"/>
              <w:autoSpaceDN w:val="0"/>
              <w:adjustRightInd w:val="0"/>
              <w:rPr>
                <w:rFonts w:eastAsia="Calibri" w:cs="Arial"/>
                <w:b/>
                <w:sz w:val="16"/>
                <w:szCs w:val="16"/>
              </w:rPr>
            </w:pPr>
          </w:p>
        </w:tc>
        <w:tc>
          <w:tcPr>
            <w:tcW w:w="729" w:type="pct"/>
          </w:tcPr>
          <w:p w14:paraId="57F073E2" w14:textId="77777777" w:rsidR="008B38AB" w:rsidRPr="008B38AB" w:rsidRDefault="008B38AB" w:rsidP="008B38AB">
            <w:pPr>
              <w:rPr>
                <w:rFonts w:cs="Times New Roman"/>
                <w:sz w:val="16"/>
                <w:szCs w:val="16"/>
              </w:rPr>
            </w:pPr>
            <w:r w:rsidRPr="008B38AB">
              <w:rPr>
                <w:rFonts w:cs="Arial"/>
                <w:sz w:val="16"/>
                <w:szCs w:val="16"/>
                <w:lang w:eastAsia="en-GB"/>
              </w:rPr>
              <w:t>Management did not understand the risk associated with the contract/ SLA not including a penalty clause in cases of non or poor performance.</w:t>
            </w:r>
          </w:p>
        </w:tc>
        <w:tc>
          <w:tcPr>
            <w:tcW w:w="1455" w:type="pct"/>
          </w:tcPr>
          <w:p w14:paraId="3E9A88AF" w14:textId="77777777" w:rsidR="008B38AB" w:rsidRPr="008B38AB" w:rsidRDefault="008B38AB" w:rsidP="008B38AB">
            <w:pPr>
              <w:rPr>
                <w:rFonts w:cs="Arial"/>
                <w:color w:val="000000"/>
                <w:sz w:val="16"/>
                <w:szCs w:val="16"/>
              </w:rPr>
            </w:pPr>
            <w:r w:rsidRPr="008B38AB">
              <w:rPr>
                <w:rFonts w:cs="Arial"/>
                <w:color w:val="000000"/>
                <w:sz w:val="16"/>
                <w:szCs w:val="16"/>
              </w:rPr>
              <w:t xml:space="preserve">Disagree as the abovementioned contracts are not consultants but system vendors providing financial and performance management systems to the municipality. </w:t>
            </w:r>
          </w:p>
          <w:p w14:paraId="497A6469" w14:textId="77777777" w:rsidR="008B38AB" w:rsidRPr="008B38AB" w:rsidRDefault="008B38AB" w:rsidP="008B38AB">
            <w:pPr>
              <w:rPr>
                <w:rFonts w:cs="Arial"/>
                <w:color w:val="000000"/>
                <w:sz w:val="16"/>
                <w:szCs w:val="16"/>
              </w:rPr>
            </w:pPr>
            <w:r w:rsidRPr="008B38AB">
              <w:rPr>
                <w:rFonts w:cs="Arial"/>
                <w:color w:val="000000"/>
                <w:sz w:val="16"/>
                <w:szCs w:val="16"/>
              </w:rPr>
              <w:t>Section 25, Clause 2 (b) of the National Treasury General Conditions of Contract states that where applicable, special conditions of contract are also laid down to cover specific goods, services or works and that where such special conditions of contract are in conflict with these general conditions, the special conditions shall apply.</w:t>
            </w:r>
          </w:p>
          <w:p w14:paraId="776AEAE1" w14:textId="77777777" w:rsidR="008B38AB" w:rsidRPr="008B38AB" w:rsidRDefault="008B38AB" w:rsidP="008B38AB">
            <w:pPr>
              <w:rPr>
                <w:rFonts w:cs="Arial"/>
                <w:color w:val="000000"/>
                <w:sz w:val="16"/>
                <w:szCs w:val="16"/>
              </w:rPr>
            </w:pPr>
          </w:p>
          <w:p w14:paraId="5BC1B8AA" w14:textId="77777777" w:rsidR="008B38AB" w:rsidRPr="008B38AB" w:rsidRDefault="008B38AB" w:rsidP="008B38AB">
            <w:pPr>
              <w:rPr>
                <w:rFonts w:cs="Arial"/>
                <w:color w:val="000000"/>
                <w:sz w:val="16"/>
                <w:szCs w:val="16"/>
              </w:rPr>
            </w:pPr>
          </w:p>
          <w:p w14:paraId="31D64692" w14:textId="77777777" w:rsidR="008B38AB" w:rsidRPr="008B38AB" w:rsidRDefault="008B38AB" w:rsidP="008B38AB">
            <w:pPr>
              <w:rPr>
                <w:rFonts w:cs="Arial"/>
                <w:color w:val="000000"/>
                <w:sz w:val="16"/>
                <w:szCs w:val="16"/>
              </w:rPr>
            </w:pPr>
            <w:r w:rsidRPr="008B38AB">
              <w:rPr>
                <w:rFonts w:cs="Arial"/>
                <w:color w:val="000000"/>
                <w:sz w:val="16"/>
                <w:szCs w:val="16"/>
              </w:rPr>
              <w:t>Furthermore, kindly note the following: -</w:t>
            </w:r>
          </w:p>
          <w:p w14:paraId="045E2FB3" w14:textId="77777777" w:rsidR="008B38AB" w:rsidRPr="008B38AB" w:rsidRDefault="008B38AB" w:rsidP="00750180">
            <w:pPr>
              <w:numPr>
                <w:ilvl w:val="0"/>
                <w:numId w:val="140"/>
              </w:numPr>
              <w:ind w:left="426" w:hanging="426"/>
              <w:contextualSpacing/>
              <w:rPr>
                <w:rFonts w:cs="Arial"/>
                <w:color w:val="000000"/>
                <w:sz w:val="16"/>
                <w:szCs w:val="16"/>
              </w:rPr>
            </w:pPr>
            <w:r w:rsidRPr="008B38AB">
              <w:rPr>
                <w:rFonts w:cs="Arial"/>
                <w:color w:val="000000"/>
                <w:sz w:val="16"/>
                <w:szCs w:val="16"/>
              </w:rPr>
              <w:t>Ignite Advisory Services - refer to Clause 4.2 &amp; 4.3 of the SLA where the penalty is recorded.</w:t>
            </w:r>
          </w:p>
          <w:p w14:paraId="2C58A5A5" w14:textId="77777777" w:rsidR="008B38AB" w:rsidRPr="008B38AB" w:rsidRDefault="008B38AB" w:rsidP="00750180">
            <w:pPr>
              <w:numPr>
                <w:ilvl w:val="0"/>
                <w:numId w:val="140"/>
              </w:numPr>
              <w:ind w:left="426" w:hanging="426"/>
              <w:contextualSpacing/>
              <w:rPr>
                <w:rFonts w:cs="Arial"/>
                <w:color w:val="000000"/>
                <w:sz w:val="16"/>
                <w:szCs w:val="16"/>
              </w:rPr>
            </w:pPr>
            <w:r w:rsidRPr="008B38AB">
              <w:rPr>
                <w:rFonts w:cs="Arial"/>
                <w:color w:val="000000"/>
                <w:sz w:val="16"/>
                <w:szCs w:val="16"/>
              </w:rPr>
              <w:t xml:space="preserve">Vesta Technical Services - is the recently procured contract for provision of mSCOA compliant financial system. Procurement was undertaken in full compliance with the requirements of a transversal tender from National Treasury and this included the contract used. </w:t>
            </w:r>
          </w:p>
          <w:p w14:paraId="5FD76695" w14:textId="77777777" w:rsidR="008B38AB" w:rsidRPr="008B38AB" w:rsidRDefault="008B38AB" w:rsidP="00750180">
            <w:pPr>
              <w:numPr>
                <w:ilvl w:val="0"/>
                <w:numId w:val="140"/>
              </w:numPr>
              <w:ind w:left="426" w:hanging="426"/>
              <w:contextualSpacing/>
              <w:rPr>
                <w:rFonts w:cs="Arial"/>
                <w:color w:val="000000"/>
                <w:sz w:val="16"/>
                <w:szCs w:val="16"/>
              </w:rPr>
            </w:pPr>
            <w:r w:rsidRPr="008B38AB">
              <w:rPr>
                <w:rFonts w:cs="Arial"/>
                <w:color w:val="000000"/>
                <w:sz w:val="16"/>
                <w:szCs w:val="16"/>
              </w:rPr>
              <w:t>Fujitsu – relates to a contract for the financial system which is no longer being used by the municipality hence this will have less negative bearing on the municipality in future.</w:t>
            </w:r>
          </w:p>
          <w:p w14:paraId="65875272" w14:textId="77777777" w:rsidR="008B38AB" w:rsidRPr="008B38AB" w:rsidRDefault="008B38AB" w:rsidP="008B38AB">
            <w:pPr>
              <w:rPr>
                <w:rFonts w:cs="Arial"/>
                <w:iCs/>
                <w:sz w:val="16"/>
                <w:szCs w:val="16"/>
              </w:rPr>
            </w:pPr>
          </w:p>
        </w:tc>
        <w:tc>
          <w:tcPr>
            <w:tcW w:w="536" w:type="pct"/>
          </w:tcPr>
          <w:p w14:paraId="1372C3F9" w14:textId="77777777" w:rsidR="008B38AB" w:rsidRPr="008B38AB" w:rsidRDefault="008B38AB" w:rsidP="008B38AB">
            <w:pPr>
              <w:rPr>
                <w:rFonts w:eastAsia="Arial Unicode MS" w:cs="Arial"/>
                <w:color w:val="000000"/>
                <w:sz w:val="16"/>
                <w:szCs w:val="16"/>
              </w:rPr>
            </w:pPr>
            <w:r w:rsidRPr="008B38AB">
              <w:rPr>
                <w:rFonts w:eastAsia="Arial Unicode MS" w:cs="Arial"/>
                <w:color w:val="000000"/>
                <w:sz w:val="16"/>
                <w:szCs w:val="16"/>
              </w:rPr>
              <w:t>ALL</w:t>
            </w:r>
          </w:p>
          <w:p w14:paraId="34D4D1CB" w14:textId="77777777" w:rsidR="008B38AB" w:rsidRPr="008B38AB" w:rsidRDefault="008B38AB" w:rsidP="008B38AB">
            <w:pPr>
              <w:rPr>
                <w:rFonts w:eastAsia="Arial Unicode MS" w:cs="Arial"/>
                <w:color w:val="000000"/>
                <w:sz w:val="16"/>
                <w:szCs w:val="16"/>
              </w:rPr>
            </w:pPr>
          </w:p>
          <w:p w14:paraId="63812446" w14:textId="77777777" w:rsidR="008B38AB" w:rsidRPr="008B38AB" w:rsidRDefault="008B38AB" w:rsidP="008B38AB">
            <w:pPr>
              <w:rPr>
                <w:rFonts w:cs="Times New Roman"/>
                <w:sz w:val="16"/>
                <w:szCs w:val="16"/>
              </w:rPr>
            </w:pPr>
            <w:r w:rsidRPr="008B38AB">
              <w:rPr>
                <w:rFonts w:eastAsia="Arial Unicode MS" w:cs="Arial"/>
                <w:color w:val="000000"/>
                <w:sz w:val="16"/>
                <w:szCs w:val="16"/>
              </w:rPr>
              <w:t>Date:03/11/2017</w:t>
            </w:r>
          </w:p>
        </w:tc>
        <w:tc>
          <w:tcPr>
            <w:tcW w:w="776" w:type="pct"/>
            <w:shd w:val="clear" w:color="auto" w:fill="FFFFFF"/>
          </w:tcPr>
          <w:p w14:paraId="6C596EDD" w14:textId="77777777" w:rsidR="008B38AB" w:rsidRPr="008B38AB" w:rsidRDefault="008B38AB" w:rsidP="008B38AB">
            <w:pPr>
              <w:rPr>
                <w:rFonts w:cs="Times New Roman"/>
                <w:sz w:val="16"/>
                <w:szCs w:val="16"/>
              </w:rPr>
            </w:pPr>
          </w:p>
        </w:tc>
      </w:tr>
      <w:tr w:rsidR="008B38AB" w:rsidRPr="008B38AB" w14:paraId="0A76E6B9" w14:textId="77777777" w:rsidTr="008B38AB">
        <w:tc>
          <w:tcPr>
            <w:tcW w:w="231" w:type="pct"/>
          </w:tcPr>
          <w:p w14:paraId="2D52DAAD" w14:textId="77777777" w:rsidR="008B38AB" w:rsidRPr="008B38AB" w:rsidRDefault="008B38AB" w:rsidP="008B38AB">
            <w:pPr>
              <w:rPr>
                <w:rFonts w:cs="Times New Roman"/>
                <w:sz w:val="16"/>
                <w:szCs w:val="16"/>
              </w:rPr>
            </w:pPr>
            <w:r w:rsidRPr="008B38AB">
              <w:rPr>
                <w:rFonts w:cs="Times New Roman"/>
                <w:sz w:val="16"/>
                <w:szCs w:val="16"/>
              </w:rPr>
              <w:t>6.</w:t>
            </w:r>
          </w:p>
        </w:tc>
        <w:tc>
          <w:tcPr>
            <w:tcW w:w="1273" w:type="pct"/>
          </w:tcPr>
          <w:p w14:paraId="5E9BDB8A" w14:textId="77777777" w:rsidR="008B38AB" w:rsidRPr="008B38AB" w:rsidRDefault="008B38AB" w:rsidP="008B38AB">
            <w:pPr>
              <w:spacing w:after="120"/>
              <w:contextualSpacing/>
              <w:rPr>
                <w:rFonts w:cs="Arial"/>
                <w:b/>
                <w:bCs/>
                <w:sz w:val="16"/>
                <w:szCs w:val="16"/>
              </w:rPr>
            </w:pPr>
            <w:r w:rsidRPr="008B38AB">
              <w:rPr>
                <w:rFonts w:cs="Arial"/>
                <w:b/>
                <w:bCs/>
                <w:sz w:val="16"/>
                <w:szCs w:val="16"/>
              </w:rPr>
              <w:t xml:space="preserve">No consultants reduction plans </w:t>
            </w:r>
          </w:p>
          <w:p w14:paraId="1C421BEB" w14:textId="77777777" w:rsidR="008B38AB" w:rsidRPr="008B38AB" w:rsidRDefault="008B38AB" w:rsidP="008B38AB">
            <w:pPr>
              <w:spacing w:after="120"/>
              <w:contextualSpacing/>
              <w:rPr>
                <w:rFonts w:cs="Arial"/>
                <w:b/>
                <w:bCs/>
                <w:sz w:val="16"/>
                <w:szCs w:val="16"/>
              </w:rPr>
            </w:pPr>
          </w:p>
          <w:p w14:paraId="2F35D798" w14:textId="77777777" w:rsidR="008B38AB" w:rsidRPr="008B38AB" w:rsidRDefault="008B38AB" w:rsidP="008B38AB">
            <w:pPr>
              <w:rPr>
                <w:rFonts w:cs="Arial"/>
                <w:sz w:val="16"/>
                <w:szCs w:val="16"/>
                <w:lang w:eastAsia="en-GB"/>
              </w:rPr>
            </w:pPr>
            <w:r w:rsidRPr="008B38AB">
              <w:rPr>
                <w:rFonts w:cs="Arial"/>
                <w:sz w:val="16"/>
                <w:szCs w:val="16"/>
                <w:lang w:eastAsia="en-GB"/>
              </w:rPr>
              <w:t>In terms of Annexure A, paragraph 1 "Engagement of consultants" - National Treasury MFMA circular No.82 “Municipalities are urged to develop consultancy reduction plans”</w:t>
            </w:r>
          </w:p>
          <w:p w14:paraId="3F9CB829" w14:textId="77777777" w:rsidR="008B38AB" w:rsidRPr="008B38AB" w:rsidRDefault="008B38AB" w:rsidP="008B38AB">
            <w:pPr>
              <w:spacing w:after="120"/>
              <w:jc w:val="both"/>
              <w:rPr>
                <w:rFonts w:cs="Arial"/>
                <w:sz w:val="16"/>
                <w:szCs w:val="16"/>
                <w:lang w:eastAsia="en-GB"/>
              </w:rPr>
            </w:pPr>
            <w:r w:rsidRPr="008B38AB">
              <w:rPr>
                <w:rFonts w:cs="Arial"/>
                <w:sz w:val="16"/>
                <w:szCs w:val="16"/>
                <w:lang w:eastAsia="en-GB"/>
              </w:rPr>
              <w:t> </w:t>
            </w:r>
          </w:p>
          <w:p w14:paraId="7A51E3D8" w14:textId="77777777" w:rsidR="008B38AB" w:rsidRPr="008B38AB" w:rsidRDefault="008B38AB" w:rsidP="008B38AB">
            <w:pPr>
              <w:spacing w:after="120"/>
              <w:jc w:val="both"/>
              <w:rPr>
                <w:rFonts w:cs="Arial"/>
                <w:sz w:val="16"/>
                <w:szCs w:val="16"/>
                <w:lang w:eastAsia="en-GB"/>
              </w:rPr>
            </w:pPr>
            <w:r w:rsidRPr="008B38AB">
              <w:rPr>
                <w:rFonts w:cs="Arial"/>
                <w:sz w:val="16"/>
                <w:szCs w:val="16"/>
                <w:lang w:eastAsia="en-GB"/>
              </w:rPr>
              <w:t>On request from the municipality, it was established that the municipality do not have a consultant’s reduction plan</w:t>
            </w:r>
          </w:p>
          <w:p w14:paraId="329EC556" w14:textId="77777777" w:rsidR="008B38AB" w:rsidRPr="008B38AB" w:rsidRDefault="008B38AB" w:rsidP="008B38AB">
            <w:pPr>
              <w:spacing w:after="120"/>
              <w:contextualSpacing/>
              <w:rPr>
                <w:rFonts w:cs="Arial"/>
                <w:b/>
                <w:bCs/>
                <w:sz w:val="16"/>
                <w:szCs w:val="16"/>
              </w:rPr>
            </w:pPr>
          </w:p>
          <w:p w14:paraId="1005556D" w14:textId="77777777" w:rsidR="008B38AB" w:rsidRPr="008B38AB" w:rsidRDefault="008B38AB" w:rsidP="008B38AB">
            <w:pPr>
              <w:rPr>
                <w:rFonts w:cs="Arial"/>
                <w:sz w:val="16"/>
                <w:szCs w:val="16"/>
              </w:rPr>
            </w:pPr>
          </w:p>
        </w:tc>
        <w:tc>
          <w:tcPr>
            <w:tcW w:w="729" w:type="pct"/>
          </w:tcPr>
          <w:p w14:paraId="37AB00A1" w14:textId="77777777" w:rsidR="008B38AB" w:rsidRPr="008B38AB" w:rsidRDefault="008B38AB" w:rsidP="008B38AB">
            <w:pPr>
              <w:rPr>
                <w:rFonts w:cs="Times New Roman"/>
                <w:sz w:val="16"/>
                <w:szCs w:val="16"/>
              </w:rPr>
            </w:pPr>
            <w:r w:rsidRPr="008B38AB">
              <w:rPr>
                <w:rFonts w:cs="Arial"/>
                <w:sz w:val="16"/>
                <w:szCs w:val="16"/>
                <w:lang w:eastAsia="en-GB"/>
              </w:rPr>
              <w:t>Management have not ensured that guidance or circulars issued by Treasury are implemented</w:t>
            </w:r>
          </w:p>
        </w:tc>
        <w:tc>
          <w:tcPr>
            <w:tcW w:w="1455" w:type="pct"/>
          </w:tcPr>
          <w:p w14:paraId="3643E5A6" w14:textId="77777777" w:rsidR="008B38AB" w:rsidRPr="008B38AB" w:rsidRDefault="008B38AB" w:rsidP="008B38AB">
            <w:pPr>
              <w:rPr>
                <w:rFonts w:cs="Arial"/>
                <w:iCs/>
                <w:sz w:val="16"/>
                <w:szCs w:val="16"/>
              </w:rPr>
            </w:pPr>
            <w:r w:rsidRPr="008B38AB">
              <w:rPr>
                <w:rFonts w:cs="Arial"/>
                <w:color w:val="000000"/>
                <w:sz w:val="16"/>
                <w:szCs w:val="16"/>
              </w:rPr>
              <w:t>Disagree as the needs assessment plan that was submitted does address consultant’s reduction as recorded in part 12, 13 and 14. Furthermore the emphasis on the monitoring of consultants has been on needs assessments and skills transfer emanating from previous audits findings. Reduction of the usage thereof has been ongoing and this is evident based on the insourcing of various functions previously outsourced and these include; Internal Audit, ICT function, Performance Management and Asset Management which were previously fully outsourced. This is also evident on the Mayor’s report on budget to council for 2016/17 financial year</w:t>
            </w:r>
          </w:p>
        </w:tc>
        <w:tc>
          <w:tcPr>
            <w:tcW w:w="536" w:type="pct"/>
          </w:tcPr>
          <w:p w14:paraId="65CDDDE1" w14:textId="77777777" w:rsidR="008B38AB" w:rsidRPr="008B38AB" w:rsidRDefault="008B38AB" w:rsidP="008B38AB">
            <w:pPr>
              <w:jc w:val="both"/>
              <w:rPr>
                <w:rFonts w:eastAsia="Arial Unicode MS" w:cs="Arial"/>
                <w:color w:val="000000"/>
                <w:sz w:val="16"/>
                <w:szCs w:val="16"/>
              </w:rPr>
            </w:pPr>
            <w:r w:rsidRPr="008B38AB">
              <w:rPr>
                <w:rFonts w:eastAsia="Arial Unicode MS" w:cs="Arial"/>
                <w:color w:val="000000"/>
                <w:sz w:val="16"/>
                <w:szCs w:val="16"/>
              </w:rPr>
              <w:t>ALL</w:t>
            </w:r>
          </w:p>
          <w:p w14:paraId="25C5F301" w14:textId="77777777" w:rsidR="008B38AB" w:rsidRPr="008B38AB" w:rsidRDefault="008B38AB" w:rsidP="008B38AB">
            <w:pPr>
              <w:jc w:val="both"/>
              <w:rPr>
                <w:rFonts w:eastAsia="Arial Unicode MS" w:cs="Arial"/>
                <w:color w:val="000000"/>
                <w:sz w:val="16"/>
                <w:szCs w:val="16"/>
              </w:rPr>
            </w:pPr>
          </w:p>
          <w:p w14:paraId="36084747" w14:textId="77777777" w:rsidR="008B38AB" w:rsidRPr="008B38AB" w:rsidRDefault="008B38AB" w:rsidP="008B38AB">
            <w:pPr>
              <w:jc w:val="both"/>
              <w:rPr>
                <w:rFonts w:eastAsia="Arial Unicode MS" w:cs="Arial"/>
                <w:color w:val="000000"/>
                <w:sz w:val="16"/>
                <w:szCs w:val="16"/>
              </w:rPr>
            </w:pPr>
            <w:r w:rsidRPr="008B38AB">
              <w:rPr>
                <w:rFonts w:eastAsia="Arial Unicode MS" w:cs="Arial"/>
                <w:color w:val="000000"/>
                <w:sz w:val="16"/>
                <w:szCs w:val="16"/>
              </w:rPr>
              <w:tab/>
            </w:r>
            <w:r w:rsidRPr="008B38AB">
              <w:rPr>
                <w:rFonts w:eastAsia="Arial Unicode MS" w:cs="Arial"/>
                <w:color w:val="000000"/>
                <w:sz w:val="16"/>
                <w:szCs w:val="16"/>
              </w:rPr>
              <w:tab/>
            </w:r>
          </w:p>
          <w:p w14:paraId="76A3476E" w14:textId="77777777" w:rsidR="008B38AB" w:rsidRPr="008B38AB" w:rsidRDefault="008B38AB" w:rsidP="008B38AB">
            <w:pPr>
              <w:rPr>
                <w:rFonts w:cs="Arial"/>
                <w:color w:val="000000"/>
                <w:sz w:val="16"/>
                <w:szCs w:val="16"/>
              </w:rPr>
            </w:pPr>
            <w:r w:rsidRPr="008B38AB">
              <w:rPr>
                <w:rFonts w:eastAsia="Arial Unicode MS" w:cs="Arial"/>
                <w:color w:val="000000"/>
                <w:sz w:val="16"/>
                <w:szCs w:val="16"/>
              </w:rPr>
              <w:t>Date: 03/11/2017</w:t>
            </w:r>
          </w:p>
          <w:p w14:paraId="70F84297" w14:textId="77777777" w:rsidR="008B38AB" w:rsidRPr="008B38AB" w:rsidRDefault="008B38AB" w:rsidP="008B38AB">
            <w:pPr>
              <w:rPr>
                <w:rFonts w:cs="Times New Roman"/>
                <w:sz w:val="16"/>
                <w:szCs w:val="16"/>
              </w:rPr>
            </w:pPr>
          </w:p>
        </w:tc>
        <w:tc>
          <w:tcPr>
            <w:tcW w:w="776" w:type="pct"/>
            <w:shd w:val="clear" w:color="auto" w:fill="FFFFFF"/>
          </w:tcPr>
          <w:p w14:paraId="7F1F8FF7" w14:textId="77777777" w:rsidR="008B38AB" w:rsidRPr="008B38AB" w:rsidRDefault="008B38AB" w:rsidP="008B38AB">
            <w:pPr>
              <w:rPr>
                <w:rFonts w:cs="Times New Roman"/>
                <w:sz w:val="16"/>
                <w:szCs w:val="16"/>
              </w:rPr>
            </w:pPr>
          </w:p>
        </w:tc>
      </w:tr>
      <w:tr w:rsidR="008B38AB" w:rsidRPr="008B38AB" w14:paraId="6E7D0625" w14:textId="77777777" w:rsidTr="008B38AB">
        <w:tc>
          <w:tcPr>
            <w:tcW w:w="231" w:type="pct"/>
          </w:tcPr>
          <w:p w14:paraId="0E7E064D" w14:textId="77777777" w:rsidR="008B38AB" w:rsidRPr="008B38AB" w:rsidRDefault="008B38AB" w:rsidP="008B38AB">
            <w:pPr>
              <w:rPr>
                <w:rFonts w:cs="Times New Roman"/>
                <w:sz w:val="16"/>
                <w:szCs w:val="16"/>
              </w:rPr>
            </w:pPr>
            <w:r w:rsidRPr="008B38AB">
              <w:rPr>
                <w:rFonts w:cs="Times New Roman"/>
                <w:sz w:val="16"/>
                <w:szCs w:val="16"/>
              </w:rPr>
              <w:t>7.</w:t>
            </w:r>
          </w:p>
        </w:tc>
        <w:tc>
          <w:tcPr>
            <w:tcW w:w="1273" w:type="pct"/>
          </w:tcPr>
          <w:p w14:paraId="13C46934" w14:textId="77777777" w:rsidR="008B38AB" w:rsidRPr="008B38AB" w:rsidRDefault="008B38AB" w:rsidP="008B38AB">
            <w:pPr>
              <w:spacing w:after="120"/>
              <w:rPr>
                <w:rFonts w:cs="Arial"/>
                <w:b/>
                <w:sz w:val="16"/>
                <w:szCs w:val="16"/>
              </w:rPr>
            </w:pPr>
            <w:r w:rsidRPr="008B38AB">
              <w:rPr>
                <w:rFonts w:cs="Arial"/>
                <w:b/>
                <w:sz w:val="16"/>
                <w:szCs w:val="16"/>
              </w:rPr>
              <w:t>Suppliers in Service of the State</w:t>
            </w:r>
          </w:p>
          <w:p w14:paraId="7104B054" w14:textId="77777777" w:rsidR="008B38AB" w:rsidRPr="008B38AB" w:rsidRDefault="008B38AB" w:rsidP="008B38AB">
            <w:pPr>
              <w:spacing w:before="100" w:beforeAutospacing="1" w:after="100" w:afterAutospacing="1"/>
              <w:rPr>
                <w:rFonts w:cs="Arial"/>
                <w:sz w:val="16"/>
                <w:szCs w:val="16"/>
              </w:rPr>
            </w:pPr>
            <w:r w:rsidRPr="008B38AB">
              <w:rPr>
                <w:rFonts w:cs="Arial"/>
                <w:sz w:val="16"/>
                <w:szCs w:val="16"/>
              </w:rPr>
              <w:t xml:space="preserve">In terms of Regulation 44 of the MFMA SCM Regulations: The supply chain management policy of a municipality or municipal entity must, irrespective of the procurement process followed, state that the municipality or municipal entity may not make any award to a person - </w:t>
            </w:r>
          </w:p>
          <w:p w14:paraId="5BED6872" w14:textId="77777777" w:rsidR="008B38AB" w:rsidRPr="008B38AB" w:rsidRDefault="008B38AB" w:rsidP="008B38AB">
            <w:pPr>
              <w:rPr>
                <w:rFonts w:cs="Arial"/>
                <w:sz w:val="16"/>
                <w:szCs w:val="16"/>
              </w:rPr>
            </w:pPr>
            <w:r w:rsidRPr="008B38AB">
              <w:rPr>
                <w:rFonts w:cs="Arial"/>
                <w:sz w:val="16"/>
                <w:szCs w:val="16"/>
              </w:rPr>
              <w:t xml:space="preserve">(a)   Who is in the service of the state </w:t>
            </w:r>
          </w:p>
          <w:p w14:paraId="3DCCC6D7" w14:textId="77777777" w:rsidR="008B38AB" w:rsidRPr="008B38AB" w:rsidRDefault="008B38AB" w:rsidP="008B38AB">
            <w:pPr>
              <w:rPr>
                <w:rFonts w:cs="Arial"/>
                <w:sz w:val="16"/>
                <w:szCs w:val="16"/>
              </w:rPr>
            </w:pPr>
            <w:r w:rsidRPr="008B38AB">
              <w:rPr>
                <w:rFonts w:cs="Arial"/>
                <w:sz w:val="16"/>
                <w:szCs w:val="16"/>
              </w:rPr>
              <w:t>(b)   If the person is not a natural person, of which any manager, principal shareholder or     stakeholder is a person in the service of the state,</w:t>
            </w:r>
          </w:p>
          <w:p w14:paraId="73F4EF62" w14:textId="77777777" w:rsidR="008B38AB" w:rsidRPr="008B38AB" w:rsidRDefault="008B38AB" w:rsidP="008B38AB">
            <w:pPr>
              <w:rPr>
                <w:rFonts w:cs="Arial"/>
                <w:sz w:val="16"/>
                <w:szCs w:val="16"/>
              </w:rPr>
            </w:pPr>
            <w:r w:rsidRPr="008B38AB">
              <w:rPr>
                <w:rFonts w:cs="Arial"/>
                <w:sz w:val="16"/>
                <w:szCs w:val="16"/>
              </w:rPr>
              <w:t>(c)   Who is an advisor or consultant contracted with the municipality or municipal entity?</w:t>
            </w:r>
          </w:p>
          <w:p w14:paraId="1690752B" w14:textId="77777777" w:rsidR="008B38AB" w:rsidRPr="008B38AB" w:rsidRDefault="008B38AB" w:rsidP="008B38AB">
            <w:pPr>
              <w:rPr>
                <w:rFonts w:cs="Arial"/>
                <w:sz w:val="16"/>
                <w:szCs w:val="16"/>
              </w:rPr>
            </w:pPr>
          </w:p>
          <w:p w14:paraId="3EEBC21F" w14:textId="77777777" w:rsidR="008B38AB" w:rsidRPr="008B38AB" w:rsidRDefault="008B38AB" w:rsidP="008B38AB">
            <w:pPr>
              <w:spacing w:after="120"/>
              <w:rPr>
                <w:rFonts w:cs="Arial"/>
                <w:sz w:val="16"/>
                <w:szCs w:val="16"/>
              </w:rPr>
            </w:pPr>
            <w:r w:rsidRPr="008B38AB">
              <w:rPr>
                <w:rFonts w:cs="Arial"/>
                <w:sz w:val="16"/>
                <w:szCs w:val="16"/>
              </w:rPr>
              <w:t xml:space="preserve">It was noted that 19 suppliers were procured with uMlalazi while they are still in service of the state for an amount of </w:t>
            </w:r>
            <w:r w:rsidRPr="008B38AB">
              <w:rPr>
                <w:rFonts w:cs="Arial"/>
                <w:b/>
                <w:bCs/>
                <w:sz w:val="16"/>
                <w:szCs w:val="16"/>
              </w:rPr>
              <w:t xml:space="preserve">R 4 678 766.07 </w:t>
            </w:r>
            <w:r w:rsidRPr="008B38AB">
              <w:rPr>
                <w:rFonts w:cs="Arial"/>
                <w:bCs/>
                <w:sz w:val="16"/>
                <w:szCs w:val="16"/>
              </w:rPr>
              <w:t>in total.</w:t>
            </w:r>
          </w:p>
          <w:p w14:paraId="7582EE62" w14:textId="77777777" w:rsidR="008B38AB" w:rsidRPr="008B38AB" w:rsidRDefault="008B38AB" w:rsidP="008B38AB">
            <w:pPr>
              <w:rPr>
                <w:rFonts w:cs="Arial"/>
                <w:b/>
                <w:color w:val="000000"/>
                <w:sz w:val="16"/>
                <w:szCs w:val="16"/>
              </w:rPr>
            </w:pPr>
          </w:p>
        </w:tc>
        <w:tc>
          <w:tcPr>
            <w:tcW w:w="729" w:type="pct"/>
          </w:tcPr>
          <w:p w14:paraId="3B001E9D" w14:textId="77777777" w:rsidR="008B38AB" w:rsidRPr="008B38AB" w:rsidRDefault="008B38AB" w:rsidP="008B38AB">
            <w:pPr>
              <w:spacing w:before="100" w:beforeAutospacing="1" w:after="120" w:afterAutospacing="1"/>
              <w:rPr>
                <w:rFonts w:cs="Arial"/>
                <w:bCs/>
                <w:sz w:val="16"/>
                <w:szCs w:val="16"/>
              </w:rPr>
            </w:pPr>
            <w:r w:rsidRPr="008B38AB">
              <w:rPr>
                <w:rFonts w:cs="Arial"/>
                <w:bCs/>
                <w:sz w:val="16"/>
                <w:szCs w:val="16"/>
              </w:rPr>
              <w:t>The municipality does not have controls in place to ensure that suppliers who are in service of the state are identified</w:t>
            </w:r>
          </w:p>
          <w:p w14:paraId="0EA32E00" w14:textId="77777777" w:rsidR="008B38AB" w:rsidRPr="008B38AB" w:rsidRDefault="008B38AB" w:rsidP="008B38AB">
            <w:pPr>
              <w:rPr>
                <w:rFonts w:cs="Times New Roman"/>
                <w:color w:val="000000"/>
                <w:sz w:val="16"/>
                <w:szCs w:val="16"/>
              </w:rPr>
            </w:pPr>
          </w:p>
        </w:tc>
        <w:tc>
          <w:tcPr>
            <w:tcW w:w="1455" w:type="pct"/>
          </w:tcPr>
          <w:p w14:paraId="25287BFC" w14:textId="77777777" w:rsidR="008B38AB" w:rsidRPr="008B38AB" w:rsidRDefault="008B38AB" w:rsidP="008B38AB">
            <w:pPr>
              <w:rPr>
                <w:rFonts w:cs="Arial"/>
                <w:iCs/>
                <w:color w:val="000000"/>
                <w:sz w:val="16"/>
                <w:szCs w:val="16"/>
              </w:rPr>
            </w:pPr>
            <w:r w:rsidRPr="008B38AB">
              <w:rPr>
                <w:rFonts w:cs="Arial"/>
                <w:color w:val="000000"/>
                <w:sz w:val="16"/>
                <w:szCs w:val="16"/>
              </w:rPr>
              <w:t>Agreed, letters will be addressed to all suppliers identified advising them of the finding and requesting evidence to dispute finding, failing which they will be removed from the database and reported to National Treasury.  No payment will be processed or made to these Suppliers until the matter and investigation has been resolved.</w:t>
            </w:r>
          </w:p>
        </w:tc>
        <w:tc>
          <w:tcPr>
            <w:tcW w:w="536" w:type="pct"/>
          </w:tcPr>
          <w:p w14:paraId="1D293F0D" w14:textId="77777777" w:rsidR="008B38AB" w:rsidRPr="008B38AB" w:rsidRDefault="008B38AB" w:rsidP="008B38AB">
            <w:pPr>
              <w:rPr>
                <w:rFonts w:eastAsia="Arial Unicode MS" w:cs="Arial"/>
                <w:color w:val="000000"/>
                <w:sz w:val="16"/>
                <w:szCs w:val="16"/>
              </w:rPr>
            </w:pPr>
            <w:r w:rsidRPr="008B38AB">
              <w:rPr>
                <w:rFonts w:eastAsia="Arial Unicode MS" w:cs="Arial"/>
                <w:color w:val="000000"/>
                <w:sz w:val="16"/>
                <w:szCs w:val="16"/>
              </w:rPr>
              <w:t>Name:</w:t>
            </w:r>
            <w:r w:rsidRPr="008B38AB">
              <w:rPr>
                <w:rFonts w:eastAsia="Arial Unicode MS" w:cs="Arial"/>
                <w:color w:val="000000"/>
                <w:sz w:val="16"/>
                <w:szCs w:val="16"/>
              </w:rPr>
              <w:tab/>
              <w:t>Z N Mhlongo</w:t>
            </w:r>
          </w:p>
          <w:p w14:paraId="52649AA8" w14:textId="77777777" w:rsidR="008B38AB" w:rsidRPr="008B38AB" w:rsidRDefault="008B38AB" w:rsidP="008B38AB">
            <w:pPr>
              <w:rPr>
                <w:rFonts w:eastAsia="Arial Unicode MS" w:cs="Arial"/>
                <w:color w:val="000000"/>
                <w:sz w:val="16"/>
                <w:szCs w:val="16"/>
              </w:rPr>
            </w:pPr>
            <w:r w:rsidRPr="008B38AB">
              <w:rPr>
                <w:rFonts w:eastAsia="Arial Unicode MS" w:cs="Arial"/>
                <w:color w:val="000000"/>
                <w:sz w:val="16"/>
                <w:szCs w:val="16"/>
              </w:rPr>
              <w:t>Position: CFO</w:t>
            </w:r>
          </w:p>
          <w:p w14:paraId="788DFD10" w14:textId="77777777" w:rsidR="008B38AB" w:rsidRPr="008B38AB" w:rsidRDefault="008B38AB" w:rsidP="008B38AB">
            <w:pPr>
              <w:rPr>
                <w:rFonts w:cs="Times New Roman"/>
                <w:b/>
                <w:color w:val="000000"/>
                <w:sz w:val="16"/>
                <w:szCs w:val="16"/>
              </w:rPr>
            </w:pPr>
            <w:r w:rsidRPr="008B38AB">
              <w:rPr>
                <w:rFonts w:eastAsia="Arial Unicode MS" w:cs="Arial"/>
                <w:color w:val="000000"/>
                <w:sz w:val="16"/>
                <w:szCs w:val="16"/>
              </w:rPr>
              <w:t>Date: 10/11/2017</w:t>
            </w:r>
          </w:p>
        </w:tc>
        <w:tc>
          <w:tcPr>
            <w:tcW w:w="776" w:type="pct"/>
            <w:shd w:val="clear" w:color="auto" w:fill="FFFFFF"/>
          </w:tcPr>
          <w:p w14:paraId="7A324D70" w14:textId="77777777" w:rsidR="008B38AB" w:rsidRPr="008B38AB" w:rsidRDefault="008B38AB" w:rsidP="008B38AB">
            <w:pPr>
              <w:rPr>
                <w:rFonts w:cs="Times New Roman"/>
                <w:color w:val="000000"/>
                <w:sz w:val="16"/>
                <w:szCs w:val="16"/>
              </w:rPr>
            </w:pPr>
          </w:p>
        </w:tc>
      </w:tr>
    </w:tbl>
    <w:p w14:paraId="14C8008D" w14:textId="77777777" w:rsidR="008B38AB" w:rsidRDefault="008B38AB" w:rsidP="008B38AB"/>
    <w:p w14:paraId="6116F7A1" w14:textId="77777777" w:rsidR="008B38AB" w:rsidRDefault="008B38AB" w:rsidP="008B38AB"/>
    <w:p w14:paraId="4926B2B4" w14:textId="77777777" w:rsidR="008B38AB" w:rsidRDefault="008B38AB" w:rsidP="008B38AB"/>
    <w:p w14:paraId="6CA28DB6" w14:textId="77777777" w:rsidR="008B38AB" w:rsidRDefault="008B38AB" w:rsidP="008B38AB"/>
    <w:p w14:paraId="332375A8" w14:textId="77777777" w:rsidR="008B38AB" w:rsidRDefault="008B38AB" w:rsidP="008B38AB"/>
    <w:p w14:paraId="72656F4B" w14:textId="77777777" w:rsidR="008B38AB" w:rsidRDefault="008B38AB" w:rsidP="008B38AB"/>
    <w:p w14:paraId="386B721A" w14:textId="77777777" w:rsidR="008B38AB" w:rsidRDefault="008B38AB" w:rsidP="008B38AB"/>
    <w:p w14:paraId="0D0531FB" w14:textId="77777777" w:rsidR="008B38AB" w:rsidRDefault="008B38AB" w:rsidP="008B38AB"/>
    <w:p w14:paraId="1B5B1831" w14:textId="77777777" w:rsidR="008B38AB" w:rsidRDefault="008B38AB" w:rsidP="008B38AB"/>
    <w:p w14:paraId="10BBD783" w14:textId="77777777" w:rsidR="008B38AB" w:rsidRDefault="008B38AB" w:rsidP="008B38AB"/>
    <w:p w14:paraId="1147698D" w14:textId="77777777" w:rsidR="008B38AB" w:rsidRDefault="008B38AB" w:rsidP="008B38AB"/>
    <w:p w14:paraId="4144B978" w14:textId="77777777" w:rsidR="008B38AB" w:rsidRDefault="008B38AB" w:rsidP="008B38AB">
      <w:pPr>
        <w:sectPr w:rsidR="008B38AB" w:rsidSect="008B38AB">
          <w:pgSz w:w="16838" w:h="11906" w:orient="landscape" w:code="9"/>
          <w:pgMar w:top="1134" w:right="851" w:bottom="1134" w:left="851" w:header="720" w:footer="720" w:gutter="0"/>
          <w:cols w:space="720"/>
          <w:docGrid w:linePitch="299"/>
        </w:sectPr>
      </w:pPr>
    </w:p>
    <w:p w14:paraId="669C52C0" w14:textId="728E060B" w:rsidR="000A1FCC" w:rsidRPr="00881795" w:rsidRDefault="000A1FCC" w:rsidP="00236ABE">
      <w:pPr>
        <w:pStyle w:val="Heading1"/>
      </w:pPr>
      <w:bookmarkStart w:id="755" w:name="_Toc350708883"/>
      <w:bookmarkStart w:id="756" w:name="_Toc350694381"/>
      <w:bookmarkStart w:id="757" w:name="_Toc389740152"/>
      <w:bookmarkStart w:id="758" w:name="_Toc510706713"/>
      <w:r w:rsidRPr="00881795">
        <w:t>SECTION G</w:t>
      </w:r>
      <w:r w:rsidR="00435D8B">
        <w:t xml:space="preserve">: </w:t>
      </w:r>
      <w:r w:rsidR="00B25015">
        <w:t xml:space="preserve">7 </w:t>
      </w:r>
      <w:r w:rsidR="00435D8B">
        <w:t>ANNUAL OPERATIONAL PLAN (</w:t>
      </w:r>
      <w:r w:rsidRPr="00881795">
        <w:t>SDBIP)</w:t>
      </w:r>
      <w:bookmarkEnd w:id="755"/>
      <w:bookmarkEnd w:id="756"/>
      <w:bookmarkEnd w:id="757"/>
      <w:bookmarkEnd w:id="758"/>
    </w:p>
    <w:p w14:paraId="161F7475" w14:textId="77777777" w:rsidR="00B25015" w:rsidRDefault="00B25015" w:rsidP="00B25015">
      <w:pPr>
        <w:spacing w:after="0" w:line="240" w:lineRule="auto"/>
        <w:jc w:val="both"/>
        <w:rPr>
          <w:rFonts w:eastAsia="Times New Roman" w:cs="Times New Roman"/>
          <w:b/>
          <w:sz w:val="14"/>
          <w:szCs w:val="14"/>
        </w:rPr>
      </w:pPr>
    </w:p>
    <w:p w14:paraId="4FC364C6" w14:textId="77777777" w:rsidR="00691C3E" w:rsidRDefault="00236ABE" w:rsidP="00236ABE">
      <w:pPr>
        <w:pStyle w:val="Heading2"/>
      </w:pPr>
      <w:bookmarkStart w:id="759" w:name="_Toc510706714"/>
      <w:r>
        <w:t xml:space="preserve">7.1. </w:t>
      </w:r>
      <w:r w:rsidR="00435D8B" w:rsidRPr="00B25015">
        <w:t>ANNUAL OPERATIONAL PLAN</w:t>
      </w:r>
      <w:bookmarkEnd w:id="759"/>
      <w:r w:rsidR="00435D8B" w:rsidRPr="00B25015">
        <w:t xml:space="preserve"> </w:t>
      </w:r>
      <w:r w:rsidR="008C43B3" w:rsidRPr="0026103F">
        <w:t xml:space="preserve"> </w:t>
      </w:r>
    </w:p>
    <w:p w14:paraId="15FDE995" w14:textId="77777777" w:rsidR="000A1FCC" w:rsidRPr="00881795" w:rsidRDefault="000A1FCC" w:rsidP="00236ABE">
      <w:pPr>
        <w:pStyle w:val="Heading1"/>
      </w:pPr>
      <w:bookmarkStart w:id="760" w:name="_Toc350708884"/>
      <w:bookmarkStart w:id="761" w:name="_Toc350694382"/>
      <w:bookmarkStart w:id="762" w:name="_Toc389740154"/>
      <w:bookmarkStart w:id="763" w:name="_Toc510706715"/>
      <w:r w:rsidRPr="00881795">
        <w:t xml:space="preserve">SECTION H: </w:t>
      </w:r>
      <w:r w:rsidR="00B25015">
        <w:t xml:space="preserve">8 </w:t>
      </w:r>
      <w:r w:rsidRPr="00236ABE">
        <w:t>ORGANISATIONAL</w:t>
      </w:r>
      <w:r w:rsidRPr="00881795">
        <w:t xml:space="preserve"> &amp; INDIVIDUAL PERFORMANCE MANAGEMENT SYSTEM</w:t>
      </w:r>
      <w:bookmarkEnd w:id="760"/>
      <w:bookmarkEnd w:id="761"/>
      <w:bookmarkEnd w:id="762"/>
      <w:bookmarkEnd w:id="763"/>
    </w:p>
    <w:p w14:paraId="48F6B0F3" w14:textId="77777777" w:rsidR="000A1FCC" w:rsidRPr="00881795" w:rsidRDefault="000A1FCC" w:rsidP="00395313">
      <w:pPr>
        <w:jc w:val="both"/>
        <w:rPr>
          <w:szCs w:val="20"/>
        </w:rPr>
      </w:pPr>
    </w:p>
    <w:p w14:paraId="3AEF407B" w14:textId="17D59641" w:rsidR="008C43B3" w:rsidRPr="008C43B3" w:rsidRDefault="008C43B3" w:rsidP="00750180">
      <w:pPr>
        <w:pStyle w:val="Heading2"/>
        <w:numPr>
          <w:ilvl w:val="1"/>
          <w:numId w:val="63"/>
        </w:numPr>
        <w:spacing w:after="240"/>
        <w:ind w:left="567" w:hanging="567"/>
      </w:pPr>
      <w:bookmarkStart w:id="764" w:name="_Toc510706716"/>
      <w:r w:rsidRPr="008C43B3">
        <w:t>ORGANISATIONAL &amp; INDIVIDUAL PERFORMANCE MANAGEMENT SYSTEM</w:t>
      </w:r>
      <w:bookmarkEnd w:id="764"/>
    </w:p>
    <w:p w14:paraId="135DC215" w14:textId="77777777" w:rsidR="00F804E6" w:rsidRPr="00F804E6" w:rsidRDefault="00F804E6" w:rsidP="009E6764">
      <w:pPr>
        <w:autoSpaceDE w:val="0"/>
        <w:autoSpaceDN w:val="0"/>
        <w:adjustRightInd w:val="0"/>
        <w:spacing w:after="0" w:line="240" w:lineRule="auto"/>
        <w:jc w:val="both"/>
        <w:rPr>
          <w:bCs/>
          <w:iCs/>
          <w:szCs w:val="20"/>
          <w:lang w:bidi="en-US"/>
        </w:rPr>
      </w:pPr>
      <w:r w:rsidRPr="00F804E6">
        <w:rPr>
          <w:bCs/>
          <w:iCs/>
          <w:szCs w:val="20"/>
          <w:lang w:bidi="en-US"/>
        </w:rPr>
        <w:t>The Municipality has made tremendous strides in improving organisational performance and has improved its capacity in the following aspects;</w:t>
      </w:r>
    </w:p>
    <w:p w14:paraId="0EEB6AC9" w14:textId="77777777" w:rsidR="00F804E6" w:rsidRPr="00F804E6" w:rsidRDefault="00F804E6" w:rsidP="009E6764">
      <w:pPr>
        <w:autoSpaceDE w:val="0"/>
        <w:autoSpaceDN w:val="0"/>
        <w:adjustRightInd w:val="0"/>
        <w:spacing w:after="0" w:line="240" w:lineRule="auto"/>
        <w:jc w:val="both"/>
        <w:rPr>
          <w:bCs/>
          <w:iCs/>
          <w:szCs w:val="20"/>
          <w:lang w:bidi="en-US"/>
        </w:rPr>
      </w:pPr>
    </w:p>
    <w:p w14:paraId="786C5B9C" w14:textId="4F46FA31" w:rsidR="00F804E6" w:rsidRPr="00F804E6" w:rsidRDefault="00F804E6" w:rsidP="00750180">
      <w:pPr>
        <w:pStyle w:val="ListParagraph"/>
        <w:numPr>
          <w:ilvl w:val="0"/>
          <w:numId w:val="44"/>
        </w:numPr>
        <w:autoSpaceDE w:val="0"/>
        <w:autoSpaceDN w:val="0"/>
        <w:adjustRightInd w:val="0"/>
        <w:spacing w:after="0" w:line="240" w:lineRule="auto"/>
        <w:jc w:val="both"/>
        <w:rPr>
          <w:bCs/>
          <w:iCs/>
          <w:szCs w:val="20"/>
          <w:lang w:bidi="en-US"/>
        </w:rPr>
      </w:pPr>
      <w:r w:rsidRPr="00F804E6">
        <w:rPr>
          <w:bCs/>
          <w:iCs/>
          <w:szCs w:val="20"/>
          <w:lang w:bidi="en-US"/>
        </w:rPr>
        <w:t>Developing and Setting of Key Performance Areas that complies with the SMART principle.</w:t>
      </w:r>
    </w:p>
    <w:p w14:paraId="70037185" w14:textId="1BBA2001" w:rsidR="00F804E6" w:rsidRPr="00F804E6" w:rsidRDefault="00F804E6" w:rsidP="00750180">
      <w:pPr>
        <w:pStyle w:val="ListParagraph"/>
        <w:numPr>
          <w:ilvl w:val="0"/>
          <w:numId w:val="44"/>
        </w:numPr>
        <w:autoSpaceDE w:val="0"/>
        <w:autoSpaceDN w:val="0"/>
        <w:adjustRightInd w:val="0"/>
        <w:spacing w:after="0" w:line="240" w:lineRule="auto"/>
        <w:jc w:val="both"/>
        <w:rPr>
          <w:bCs/>
          <w:iCs/>
          <w:szCs w:val="20"/>
          <w:lang w:bidi="en-US"/>
        </w:rPr>
      </w:pPr>
      <w:r w:rsidRPr="00F804E6">
        <w:rPr>
          <w:bCs/>
          <w:iCs/>
          <w:szCs w:val="20"/>
          <w:lang w:bidi="en-US"/>
        </w:rPr>
        <w:t>Stronger / Clear linkage between IDP, Budget, SDBIP and Annual Report.</w:t>
      </w:r>
    </w:p>
    <w:p w14:paraId="4F26F347" w14:textId="242DBF73" w:rsidR="00F804E6" w:rsidRPr="00F804E6" w:rsidRDefault="00F804E6" w:rsidP="00750180">
      <w:pPr>
        <w:pStyle w:val="ListParagraph"/>
        <w:numPr>
          <w:ilvl w:val="0"/>
          <w:numId w:val="44"/>
        </w:numPr>
        <w:tabs>
          <w:tab w:val="left" w:pos="567"/>
        </w:tabs>
        <w:autoSpaceDE w:val="0"/>
        <w:autoSpaceDN w:val="0"/>
        <w:adjustRightInd w:val="0"/>
        <w:spacing w:after="0" w:line="240" w:lineRule="auto"/>
        <w:jc w:val="both"/>
        <w:rPr>
          <w:bCs/>
          <w:iCs/>
          <w:szCs w:val="20"/>
          <w:lang w:bidi="en-US"/>
        </w:rPr>
      </w:pPr>
      <w:r w:rsidRPr="00F804E6">
        <w:rPr>
          <w:bCs/>
          <w:iCs/>
          <w:szCs w:val="20"/>
          <w:lang w:bidi="en-US"/>
        </w:rPr>
        <w:t xml:space="preserve">   Implementation of Performance Management System by creating an organisational culture of performance monitoring and evaluation.</w:t>
      </w:r>
    </w:p>
    <w:p w14:paraId="244FBD4B" w14:textId="3FBF7FC0" w:rsidR="00F804E6" w:rsidRPr="00F804E6" w:rsidRDefault="00F804E6" w:rsidP="00750180">
      <w:pPr>
        <w:pStyle w:val="ListParagraph"/>
        <w:numPr>
          <w:ilvl w:val="0"/>
          <w:numId w:val="44"/>
        </w:numPr>
        <w:autoSpaceDE w:val="0"/>
        <w:autoSpaceDN w:val="0"/>
        <w:adjustRightInd w:val="0"/>
        <w:spacing w:line="240" w:lineRule="auto"/>
        <w:jc w:val="both"/>
        <w:rPr>
          <w:bCs/>
          <w:iCs/>
          <w:szCs w:val="20"/>
          <w:lang w:bidi="en-US"/>
        </w:rPr>
      </w:pPr>
      <w:r w:rsidRPr="00F804E6">
        <w:rPr>
          <w:bCs/>
          <w:iCs/>
          <w:szCs w:val="20"/>
          <w:lang w:bidi="en-US"/>
        </w:rPr>
        <w:t>Review and expanding organisational Macro and Micro structures and the filling of key posts to implement projects and programmes.</w:t>
      </w:r>
    </w:p>
    <w:p w14:paraId="43A9EEE5" w14:textId="1B03AACD" w:rsidR="00F804E6" w:rsidRPr="009E6764" w:rsidRDefault="00F804E6" w:rsidP="009E6764">
      <w:pPr>
        <w:autoSpaceDE w:val="0"/>
        <w:autoSpaceDN w:val="0"/>
        <w:adjustRightInd w:val="0"/>
        <w:spacing w:after="0" w:line="240" w:lineRule="auto"/>
        <w:jc w:val="both"/>
        <w:rPr>
          <w:bCs/>
          <w:iCs/>
          <w:szCs w:val="20"/>
          <w:lang w:bidi="en-US"/>
        </w:rPr>
      </w:pPr>
      <w:r w:rsidRPr="00F804E6">
        <w:rPr>
          <w:bCs/>
          <w:iCs/>
          <w:szCs w:val="20"/>
          <w:lang w:bidi="en-US"/>
        </w:rPr>
        <w:t>The overall performance of the Municipality is managed and evaluated by a Top Layer Service Delivery Budget Implementation Plan</w:t>
      </w:r>
      <w:r w:rsidR="009E6764">
        <w:rPr>
          <w:bCs/>
          <w:iCs/>
          <w:szCs w:val="20"/>
          <w:lang w:bidi="en-US"/>
        </w:rPr>
        <w:t xml:space="preserve"> (SDBIP) at directorate levels.</w:t>
      </w:r>
    </w:p>
    <w:p w14:paraId="20925A27" w14:textId="55AE7950" w:rsidR="00F804E6" w:rsidRPr="00F804E6" w:rsidRDefault="00F804E6" w:rsidP="00750180">
      <w:pPr>
        <w:pStyle w:val="Heading3"/>
        <w:numPr>
          <w:ilvl w:val="2"/>
          <w:numId w:val="63"/>
        </w:numPr>
        <w:ind w:left="709" w:hanging="709"/>
        <w:jc w:val="both"/>
        <w:rPr>
          <w:rFonts w:eastAsia="Times New Roman"/>
          <w:color w:val="000000"/>
          <w:lang w:val="en-ZA" w:eastAsia="en-ZA"/>
        </w:rPr>
      </w:pPr>
      <w:bookmarkStart w:id="765" w:name="_Toc510706717"/>
      <w:r>
        <w:rPr>
          <w:rFonts w:eastAsia="Times New Roman"/>
          <w:lang w:val="en-ZA" w:eastAsia="en-ZA"/>
        </w:rPr>
        <w:t>Approval of SDBIP</w:t>
      </w:r>
      <w:bookmarkEnd w:id="765"/>
    </w:p>
    <w:p w14:paraId="29994CEE" w14:textId="34E339AC" w:rsidR="00F804E6" w:rsidRPr="009E6764" w:rsidRDefault="00F804E6" w:rsidP="00750180">
      <w:pPr>
        <w:pStyle w:val="ListParagraph"/>
        <w:numPr>
          <w:ilvl w:val="0"/>
          <w:numId w:val="142"/>
        </w:numPr>
        <w:autoSpaceDE w:val="0"/>
        <w:autoSpaceDN w:val="0"/>
        <w:adjustRightInd w:val="0"/>
        <w:spacing w:after="0" w:line="240" w:lineRule="auto"/>
        <w:jc w:val="both"/>
        <w:rPr>
          <w:bCs/>
          <w:iCs/>
          <w:szCs w:val="20"/>
          <w:lang w:bidi="en-US"/>
        </w:rPr>
      </w:pPr>
      <w:r w:rsidRPr="009E6764">
        <w:rPr>
          <w:bCs/>
          <w:iCs/>
          <w:szCs w:val="20"/>
          <w:lang w:bidi="en-US"/>
        </w:rPr>
        <w:t>The Mayor approves the SDBIP for each financial year within 28 days the approval of the budget.</w:t>
      </w:r>
    </w:p>
    <w:p w14:paraId="79291A3A" w14:textId="0C2842E5" w:rsidR="00F804E6" w:rsidRPr="009E6764" w:rsidRDefault="00F804E6" w:rsidP="00750180">
      <w:pPr>
        <w:pStyle w:val="ListParagraph"/>
        <w:numPr>
          <w:ilvl w:val="0"/>
          <w:numId w:val="142"/>
        </w:numPr>
        <w:autoSpaceDE w:val="0"/>
        <w:autoSpaceDN w:val="0"/>
        <w:adjustRightInd w:val="0"/>
        <w:spacing w:after="0" w:line="240" w:lineRule="auto"/>
        <w:jc w:val="both"/>
        <w:rPr>
          <w:bCs/>
          <w:iCs/>
          <w:szCs w:val="20"/>
          <w:lang w:bidi="en-US"/>
        </w:rPr>
      </w:pPr>
      <w:r w:rsidRPr="009E6764">
        <w:rPr>
          <w:bCs/>
          <w:iCs/>
          <w:szCs w:val="20"/>
          <w:lang w:bidi="en-US"/>
        </w:rPr>
        <w:t>The SDBIP is the Municipality’s strategic implementation tool and shows the alignment between the Integrated Development Plan, the budget and Annual Performance Agreements of all Section 54/56 managers.</w:t>
      </w:r>
    </w:p>
    <w:p w14:paraId="38E0261F" w14:textId="3803BDA2" w:rsidR="00F804E6" w:rsidRPr="009E6764" w:rsidRDefault="00F804E6" w:rsidP="00750180">
      <w:pPr>
        <w:pStyle w:val="ListParagraph"/>
        <w:numPr>
          <w:ilvl w:val="0"/>
          <w:numId w:val="142"/>
        </w:numPr>
        <w:autoSpaceDE w:val="0"/>
        <w:autoSpaceDN w:val="0"/>
        <w:adjustRightInd w:val="0"/>
        <w:spacing w:after="0" w:line="240" w:lineRule="auto"/>
        <w:jc w:val="both"/>
        <w:rPr>
          <w:bCs/>
          <w:iCs/>
          <w:szCs w:val="20"/>
          <w:lang w:bidi="en-US"/>
        </w:rPr>
      </w:pPr>
      <w:r w:rsidRPr="009E6764">
        <w:rPr>
          <w:bCs/>
          <w:iCs/>
          <w:szCs w:val="20"/>
          <w:lang w:bidi="en-US"/>
        </w:rPr>
        <w:t>As it is a legislative requirement the municipal key performance indicators are revised annually.</w:t>
      </w:r>
    </w:p>
    <w:p w14:paraId="0A234144" w14:textId="028ECC51" w:rsidR="00F804E6" w:rsidRPr="009E6764" w:rsidRDefault="00F804E6" w:rsidP="00750180">
      <w:pPr>
        <w:pStyle w:val="ListParagraph"/>
        <w:numPr>
          <w:ilvl w:val="0"/>
          <w:numId w:val="142"/>
        </w:numPr>
        <w:autoSpaceDE w:val="0"/>
        <w:autoSpaceDN w:val="0"/>
        <w:adjustRightInd w:val="0"/>
        <w:spacing w:after="0" w:line="240" w:lineRule="auto"/>
        <w:jc w:val="both"/>
        <w:rPr>
          <w:bCs/>
          <w:iCs/>
          <w:szCs w:val="20"/>
          <w:lang w:bidi="en-US"/>
        </w:rPr>
      </w:pPr>
      <w:r w:rsidRPr="009E6764">
        <w:rPr>
          <w:bCs/>
          <w:iCs/>
          <w:szCs w:val="20"/>
          <w:lang w:bidi="en-US"/>
        </w:rPr>
        <w:t>The SDBIP was made public and published on the municipal website</w:t>
      </w:r>
    </w:p>
    <w:p w14:paraId="058B848E" w14:textId="77777777" w:rsidR="00F804E6" w:rsidRPr="00F804E6" w:rsidRDefault="00F804E6" w:rsidP="009E6764">
      <w:pPr>
        <w:autoSpaceDE w:val="0"/>
        <w:autoSpaceDN w:val="0"/>
        <w:adjustRightInd w:val="0"/>
        <w:spacing w:after="0" w:line="240" w:lineRule="auto"/>
        <w:jc w:val="both"/>
        <w:rPr>
          <w:rFonts w:eastAsia="Times New Roman" w:cs="Calibri"/>
          <w:color w:val="000000"/>
          <w:sz w:val="24"/>
          <w:szCs w:val="24"/>
          <w:lang w:val="en-ZA" w:eastAsia="en-ZA"/>
        </w:rPr>
      </w:pPr>
    </w:p>
    <w:p w14:paraId="5468ED90" w14:textId="16F268D4" w:rsidR="00F804E6" w:rsidRPr="009E6764" w:rsidRDefault="00F804E6" w:rsidP="00750180">
      <w:pPr>
        <w:pStyle w:val="Heading3"/>
        <w:numPr>
          <w:ilvl w:val="2"/>
          <w:numId w:val="63"/>
        </w:numPr>
        <w:ind w:left="709" w:hanging="709"/>
        <w:jc w:val="both"/>
        <w:rPr>
          <w:rFonts w:eastAsia="Times New Roman"/>
          <w:lang w:val="en-ZA" w:eastAsia="en-ZA"/>
        </w:rPr>
      </w:pPr>
      <w:bookmarkStart w:id="766" w:name="_Toc510706718"/>
      <w:r w:rsidRPr="009E6764">
        <w:rPr>
          <w:rFonts w:eastAsia="Times New Roman"/>
          <w:lang w:val="en-ZA" w:eastAsia="en-ZA"/>
        </w:rPr>
        <w:t>Quarterly Reporting on the SDBIP</w:t>
      </w:r>
      <w:bookmarkEnd w:id="766"/>
      <w:r w:rsidRPr="009E6764">
        <w:rPr>
          <w:rFonts w:eastAsia="Times New Roman"/>
          <w:lang w:val="en-ZA" w:eastAsia="en-ZA"/>
        </w:rPr>
        <w:t xml:space="preserve"> </w:t>
      </w:r>
    </w:p>
    <w:p w14:paraId="586E8D12" w14:textId="77777777" w:rsidR="00F804E6" w:rsidRPr="00F804E6" w:rsidRDefault="00F804E6" w:rsidP="009E6764">
      <w:pPr>
        <w:autoSpaceDE w:val="0"/>
        <w:autoSpaceDN w:val="0"/>
        <w:adjustRightInd w:val="0"/>
        <w:spacing w:after="0" w:line="240" w:lineRule="auto"/>
        <w:jc w:val="both"/>
        <w:rPr>
          <w:rFonts w:ascii="Calibri,Bold" w:eastAsia="Times New Roman" w:hAnsi="Calibri,Bold" w:cs="Calibri,Bold"/>
          <w:b/>
          <w:bCs/>
          <w:color w:val="0000FF"/>
          <w:sz w:val="24"/>
          <w:szCs w:val="24"/>
          <w:lang w:val="en-ZA" w:eastAsia="en-ZA"/>
        </w:rPr>
      </w:pPr>
    </w:p>
    <w:p w14:paraId="7F3822DB" w14:textId="30928E8B" w:rsidR="00F804E6" w:rsidRPr="009E6764" w:rsidRDefault="00F804E6" w:rsidP="009E6764">
      <w:pPr>
        <w:autoSpaceDE w:val="0"/>
        <w:autoSpaceDN w:val="0"/>
        <w:adjustRightInd w:val="0"/>
        <w:spacing w:after="0"/>
        <w:jc w:val="both"/>
        <w:rPr>
          <w:bCs/>
          <w:iCs/>
          <w:szCs w:val="20"/>
          <w:lang w:bidi="en-US"/>
        </w:rPr>
      </w:pPr>
      <w:r w:rsidRPr="009E6764">
        <w:rPr>
          <w:bCs/>
          <w:iCs/>
          <w:szCs w:val="20"/>
          <w:lang w:bidi="en-US"/>
        </w:rPr>
        <w:t>The PMS System serves as primary mechanism to monitor, review and improve the implementation of the municipality’s IDP and eventually the budget. The municipal performance is evaluated and measured by means of the Top-Level Service Delivery Budget Implementation Plan (SDBIP) and also the Departmental Service Delivery Budget Implementation Plan (SDBIP) at directorate and departmental levels.</w:t>
      </w:r>
      <w:r w:rsidR="009E6764">
        <w:rPr>
          <w:bCs/>
          <w:iCs/>
          <w:szCs w:val="20"/>
          <w:lang w:bidi="en-US"/>
        </w:rPr>
        <w:t xml:space="preserve"> </w:t>
      </w:r>
      <w:r w:rsidRPr="009E6764">
        <w:rPr>
          <w:bCs/>
          <w:iCs/>
          <w:szCs w:val="20"/>
          <w:lang w:bidi="en-US"/>
        </w:rPr>
        <w:t>Reporting on the Top-Level SDBIP as well as the mid-year and annual assessment reports are submitted quarterly to the Audit Committee and Council in terms of Section 52 of the Municipal Finance Management Act.</w:t>
      </w:r>
    </w:p>
    <w:p w14:paraId="279E1762" w14:textId="77777777" w:rsidR="00F804E6" w:rsidRPr="00F804E6" w:rsidRDefault="00F804E6" w:rsidP="00F804E6">
      <w:pPr>
        <w:autoSpaceDE w:val="0"/>
        <w:autoSpaceDN w:val="0"/>
        <w:adjustRightInd w:val="0"/>
        <w:spacing w:after="0" w:line="240" w:lineRule="auto"/>
        <w:rPr>
          <w:rFonts w:ascii="Calibri,Bold" w:eastAsia="Times New Roman" w:hAnsi="Calibri,Bold" w:cs="Calibri,Bold"/>
          <w:b/>
          <w:bCs/>
          <w:color w:val="7B7B7B"/>
          <w:sz w:val="24"/>
          <w:szCs w:val="24"/>
          <w:lang w:val="en-ZA" w:eastAsia="en-ZA"/>
        </w:rPr>
      </w:pPr>
    </w:p>
    <w:p w14:paraId="76F3CCC3" w14:textId="2A070A34" w:rsidR="00F804E6" w:rsidRPr="009E6764" w:rsidRDefault="00F804E6" w:rsidP="00750180">
      <w:pPr>
        <w:pStyle w:val="Heading3"/>
        <w:numPr>
          <w:ilvl w:val="2"/>
          <w:numId w:val="63"/>
        </w:numPr>
        <w:ind w:left="709" w:hanging="709"/>
        <w:jc w:val="both"/>
        <w:rPr>
          <w:rFonts w:eastAsia="Times New Roman"/>
          <w:lang w:val="en-ZA" w:eastAsia="en-ZA"/>
        </w:rPr>
      </w:pPr>
      <w:bookmarkStart w:id="767" w:name="_Toc510706719"/>
      <w:r w:rsidRPr="009E6764">
        <w:rPr>
          <w:rFonts w:eastAsia="Times New Roman"/>
          <w:lang w:val="en-ZA" w:eastAsia="en-ZA"/>
        </w:rPr>
        <w:t>Individual Performance Management</w:t>
      </w:r>
      <w:bookmarkEnd w:id="767"/>
    </w:p>
    <w:p w14:paraId="02033D98" w14:textId="77777777" w:rsidR="00F804E6" w:rsidRPr="00F804E6" w:rsidRDefault="00F804E6" w:rsidP="00F804E6">
      <w:pPr>
        <w:autoSpaceDE w:val="0"/>
        <w:autoSpaceDN w:val="0"/>
        <w:adjustRightInd w:val="0"/>
        <w:spacing w:after="0" w:line="240" w:lineRule="auto"/>
        <w:jc w:val="both"/>
        <w:rPr>
          <w:rFonts w:eastAsia="Times New Roman" w:cs="Calibri"/>
          <w:color w:val="000000"/>
          <w:sz w:val="24"/>
          <w:szCs w:val="24"/>
          <w:lang w:val="en-ZA" w:eastAsia="en-ZA"/>
        </w:rPr>
      </w:pPr>
    </w:p>
    <w:p w14:paraId="515EA14C" w14:textId="77777777" w:rsidR="00F804E6" w:rsidRPr="009E6764" w:rsidRDefault="00F804E6" w:rsidP="009E6764">
      <w:pPr>
        <w:autoSpaceDE w:val="0"/>
        <w:autoSpaceDN w:val="0"/>
        <w:adjustRightInd w:val="0"/>
        <w:spacing w:after="0"/>
        <w:jc w:val="both"/>
        <w:rPr>
          <w:bCs/>
          <w:iCs/>
          <w:szCs w:val="20"/>
          <w:lang w:bidi="en-US"/>
        </w:rPr>
      </w:pPr>
      <w:r w:rsidRPr="009E6764">
        <w:rPr>
          <w:bCs/>
          <w:iCs/>
          <w:szCs w:val="20"/>
          <w:lang w:bidi="en-US"/>
        </w:rPr>
        <w:t>The performance of a Municipality is integrally linked to that of staff. It is therefore important to link organisational performance to individual performance and to manage both simultaneously.</w:t>
      </w:r>
    </w:p>
    <w:p w14:paraId="365EB97A" w14:textId="77777777" w:rsidR="00F804E6" w:rsidRPr="009E6764" w:rsidRDefault="00F804E6" w:rsidP="009E6764">
      <w:pPr>
        <w:autoSpaceDE w:val="0"/>
        <w:autoSpaceDN w:val="0"/>
        <w:adjustRightInd w:val="0"/>
        <w:spacing w:after="0"/>
        <w:jc w:val="both"/>
        <w:rPr>
          <w:bCs/>
          <w:iCs/>
          <w:szCs w:val="20"/>
          <w:lang w:bidi="en-US"/>
        </w:rPr>
      </w:pPr>
    </w:p>
    <w:p w14:paraId="297AB40F" w14:textId="77777777" w:rsidR="009E6764" w:rsidRDefault="009E6764" w:rsidP="009E6764">
      <w:pPr>
        <w:autoSpaceDE w:val="0"/>
        <w:autoSpaceDN w:val="0"/>
        <w:adjustRightInd w:val="0"/>
        <w:spacing w:after="0"/>
        <w:jc w:val="both"/>
        <w:rPr>
          <w:bCs/>
          <w:iCs/>
          <w:szCs w:val="20"/>
          <w:lang w:bidi="en-US"/>
        </w:rPr>
      </w:pPr>
    </w:p>
    <w:p w14:paraId="635A6130" w14:textId="77777777" w:rsidR="009E6764" w:rsidRDefault="009E6764" w:rsidP="009E6764">
      <w:pPr>
        <w:autoSpaceDE w:val="0"/>
        <w:autoSpaceDN w:val="0"/>
        <w:adjustRightInd w:val="0"/>
        <w:spacing w:after="0"/>
        <w:jc w:val="both"/>
        <w:rPr>
          <w:bCs/>
          <w:iCs/>
          <w:szCs w:val="20"/>
          <w:lang w:bidi="en-US"/>
        </w:rPr>
      </w:pPr>
    </w:p>
    <w:p w14:paraId="1D4F620E" w14:textId="77777777" w:rsidR="009E6764" w:rsidRDefault="009E6764" w:rsidP="009E6764">
      <w:pPr>
        <w:autoSpaceDE w:val="0"/>
        <w:autoSpaceDN w:val="0"/>
        <w:adjustRightInd w:val="0"/>
        <w:spacing w:after="0"/>
        <w:jc w:val="both"/>
        <w:rPr>
          <w:bCs/>
          <w:iCs/>
          <w:szCs w:val="20"/>
          <w:lang w:bidi="en-US"/>
        </w:rPr>
      </w:pPr>
    </w:p>
    <w:p w14:paraId="097170FB" w14:textId="77777777" w:rsidR="009E6764" w:rsidRDefault="009E6764" w:rsidP="009E6764">
      <w:pPr>
        <w:autoSpaceDE w:val="0"/>
        <w:autoSpaceDN w:val="0"/>
        <w:adjustRightInd w:val="0"/>
        <w:spacing w:after="0"/>
        <w:jc w:val="both"/>
        <w:rPr>
          <w:bCs/>
          <w:iCs/>
          <w:szCs w:val="20"/>
          <w:lang w:bidi="en-US"/>
        </w:rPr>
      </w:pPr>
    </w:p>
    <w:p w14:paraId="3A87EFE3" w14:textId="60080202" w:rsidR="00F804E6" w:rsidRPr="009E6764" w:rsidRDefault="00F804E6" w:rsidP="009E6764">
      <w:pPr>
        <w:autoSpaceDE w:val="0"/>
        <w:autoSpaceDN w:val="0"/>
        <w:adjustRightInd w:val="0"/>
        <w:spacing w:after="0"/>
        <w:jc w:val="both"/>
        <w:rPr>
          <w:bCs/>
          <w:iCs/>
          <w:szCs w:val="20"/>
          <w:lang w:bidi="en-US"/>
        </w:rPr>
      </w:pPr>
      <w:r w:rsidRPr="009E6764">
        <w:rPr>
          <w:bCs/>
          <w:iCs/>
          <w:szCs w:val="20"/>
          <w:lang w:bidi="en-US"/>
        </w:rPr>
        <w:t>The Municipal Manager (Section 54A) and all the Senior Managers (Section 56) signed Performance Agreements.</w:t>
      </w:r>
    </w:p>
    <w:p w14:paraId="0C0AA1B9" w14:textId="77777777" w:rsidR="00F804E6" w:rsidRPr="00F804E6" w:rsidRDefault="00F804E6" w:rsidP="009E6764">
      <w:pPr>
        <w:autoSpaceDE w:val="0"/>
        <w:autoSpaceDN w:val="0"/>
        <w:adjustRightInd w:val="0"/>
        <w:spacing w:after="0"/>
        <w:jc w:val="both"/>
        <w:rPr>
          <w:rFonts w:eastAsia="Times New Roman" w:cs="Calibri"/>
          <w:sz w:val="24"/>
          <w:szCs w:val="24"/>
          <w:lang w:val="en-ZA" w:eastAsia="en-ZA"/>
        </w:rPr>
      </w:pPr>
      <w:r w:rsidRPr="009E6764">
        <w:rPr>
          <w:bCs/>
          <w:iCs/>
          <w:szCs w:val="20"/>
          <w:lang w:bidi="en-US"/>
        </w:rPr>
        <w:t>As per the signed performance agreements and plans for the Section 54A/56 Employees for each financial year, the performance of the Municipal Manager and the managers reporting directly to the Municipal Manager are evaluated in terms of the agreement within the required timeframes as set for the financial year</w:t>
      </w:r>
    </w:p>
    <w:p w14:paraId="0EEAE9E9" w14:textId="77777777" w:rsidR="00F804E6" w:rsidRPr="00F804E6" w:rsidRDefault="00F804E6" w:rsidP="00F804E6">
      <w:pPr>
        <w:spacing w:after="0" w:line="240" w:lineRule="auto"/>
        <w:rPr>
          <w:rFonts w:eastAsia="Times New Roman" w:cs="Times New Roman"/>
          <w:sz w:val="24"/>
          <w:szCs w:val="24"/>
          <w:lang w:val="en-ZA" w:eastAsia="en-ZA"/>
        </w:rPr>
      </w:pPr>
    </w:p>
    <w:p w14:paraId="651C4FDB" w14:textId="77777777" w:rsidR="00F804E6" w:rsidRPr="009E6764" w:rsidRDefault="00F804E6" w:rsidP="00750180">
      <w:pPr>
        <w:pStyle w:val="Heading2"/>
        <w:numPr>
          <w:ilvl w:val="1"/>
          <w:numId w:val="63"/>
        </w:numPr>
        <w:spacing w:after="240"/>
        <w:ind w:left="567" w:hanging="567"/>
      </w:pPr>
      <w:r w:rsidRPr="009E6764">
        <w:t xml:space="preserve"> </w:t>
      </w:r>
      <w:bookmarkStart w:id="768" w:name="_Toc510706720"/>
      <w:r w:rsidRPr="009E6764">
        <w:t>Performance Management Processes</w:t>
      </w:r>
      <w:bookmarkEnd w:id="768"/>
    </w:p>
    <w:p w14:paraId="007674A1" w14:textId="77777777" w:rsidR="00F804E6" w:rsidRPr="009E6764" w:rsidRDefault="00F804E6" w:rsidP="009E6764">
      <w:pPr>
        <w:autoSpaceDE w:val="0"/>
        <w:autoSpaceDN w:val="0"/>
        <w:adjustRightInd w:val="0"/>
        <w:spacing w:after="0"/>
        <w:jc w:val="both"/>
        <w:rPr>
          <w:bCs/>
          <w:iCs/>
          <w:szCs w:val="20"/>
          <w:lang w:bidi="en-US"/>
        </w:rPr>
      </w:pPr>
      <w:r w:rsidRPr="009E6764">
        <w:rPr>
          <w:bCs/>
          <w:iCs/>
          <w:szCs w:val="20"/>
          <w:lang w:bidi="en-US"/>
        </w:rPr>
        <w:t xml:space="preserve">Key performance indicators have been refined in support of the municipality’s development priorities and objectives as set out in the revised IDP framework and will remain for the duration of the IDP period for consistency in measuring and reporting on long term strategies and projects.  Measurable performance targets with regard to each of these development priorities and objectives were established.  A process to ensure regular reporting is in place and is fed back to the Council via the Audit Committee. </w:t>
      </w:r>
    </w:p>
    <w:p w14:paraId="5B6505AD" w14:textId="77777777" w:rsidR="00F804E6" w:rsidRPr="009E6764" w:rsidRDefault="00F804E6" w:rsidP="009E6764">
      <w:pPr>
        <w:autoSpaceDE w:val="0"/>
        <w:autoSpaceDN w:val="0"/>
        <w:adjustRightInd w:val="0"/>
        <w:spacing w:after="0"/>
        <w:jc w:val="both"/>
        <w:rPr>
          <w:bCs/>
          <w:iCs/>
          <w:szCs w:val="20"/>
          <w:lang w:bidi="en-US"/>
        </w:rPr>
      </w:pPr>
    </w:p>
    <w:p w14:paraId="4D9798BD" w14:textId="77777777" w:rsidR="00F804E6" w:rsidRPr="009E6764" w:rsidRDefault="00F804E6" w:rsidP="009E6764">
      <w:pPr>
        <w:autoSpaceDE w:val="0"/>
        <w:autoSpaceDN w:val="0"/>
        <w:adjustRightInd w:val="0"/>
        <w:spacing w:after="0"/>
        <w:jc w:val="both"/>
        <w:rPr>
          <w:bCs/>
          <w:iCs/>
          <w:szCs w:val="20"/>
          <w:lang w:bidi="en-US"/>
        </w:rPr>
      </w:pPr>
      <w:r w:rsidRPr="009E6764">
        <w:rPr>
          <w:bCs/>
          <w:iCs/>
          <w:szCs w:val="20"/>
          <w:lang w:bidi="en-US"/>
        </w:rPr>
        <w:t xml:space="preserve">Individual performance agreements and performance plans are prepared in line with provisions prescribed in the Performance Regulations (Notice 805, published on 1 August 2006 in the official gazette) and signed by the Municipal Manager and Heads of Department.  These agreements are fully implemented and aligned with the Service Delivery and Budget Implementation Plan as required in terms of the Municipal Finance Management Act.  </w:t>
      </w:r>
    </w:p>
    <w:p w14:paraId="4BCB5643" w14:textId="77777777" w:rsidR="00F804E6" w:rsidRPr="009E6764" w:rsidRDefault="00F804E6" w:rsidP="009E6764">
      <w:pPr>
        <w:autoSpaceDE w:val="0"/>
        <w:autoSpaceDN w:val="0"/>
        <w:adjustRightInd w:val="0"/>
        <w:spacing w:after="0"/>
        <w:jc w:val="both"/>
        <w:rPr>
          <w:bCs/>
          <w:iCs/>
          <w:szCs w:val="20"/>
          <w:lang w:bidi="en-US"/>
        </w:rPr>
      </w:pPr>
    </w:p>
    <w:p w14:paraId="52B92CBE" w14:textId="77777777" w:rsidR="00F804E6" w:rsidRPr="009E6764" w:rsidRDefault="00F804E6" w:rsidP="009E6764">
      <w:pPr>
        <w:autoSpaceDE w:val="0"/>
        <w:autoSpaceDN w:val="0"/>
        <w:adjustRightInd w:val="0"/>
        <w:spacing w:after="0"/>
        <w:jc w:val="both"/>
        <w:rPr>
          <w:bCs/>
          <w:iCs/>
          <w:szCs w:val="20"/>
          <w:lang w:bidi="en-US"/>
        </w:rPr>
      </w:pPr>
      <w:r w:rsidRPr="009E6764">
        <w:rPr>
          <w:bCs/>
          <w:iCs/>
          <w:szCs w:val="20"/>
          <w:lang w:bidi="en-US"/>
        </w:rPr>
        <w:t>Performance Evaluation Panels have also been established for the assessment of performance of the Municipal Manager as well as Managers directly accountable to the Municipal Manager.  These panels meet on an annual basis to evaluate individual performance.</w:t>
      </w:r>
    </w:p>
    <w:p w14:paraId="24F65E26" w14:textId="77777777" w:rsidR="00F804E6" w:rsidRPr="009E6764" w:rsidRDefault="00F804E6" w:rsidP="009E6764">
      <w:pPr>
        <w:autoSpaceDE w:val="0"/>
        <w:autoSpaceDN w:val="0"/>
        <w:adjustRightInd w:val="0"/>
        <w:spacing w:after="0"/>
        <w:jc w:val="both"/>
        <w:rPr>
          <w:bCs/>
          <w:iCs/>
          <w:szCs w:val="20"/>
          <w:lang w:bidi="en-US"/>
        </w:rPr>
      </w:pPr>
    </w:p>
    <w:p w14:paraId="76BF0EBC" w14:textId="794E22C0" w:rsidR="00F804E6" w:rsidRPr="009E6764" w:rsidRDefault="00F804E6" w:rsidP="009E6764">
      <w:pPr>
        <w:autoSpaceDE w:val="0"/>
        <w:autoSpaceDN w:val="0"/>
        <w:adjustRightInd w:val="0"/>
        <w:spacing w:after="0"/>
        <w:jc w:val="both"/>
        <w:rPr>
          <w:bCs/>
          <w:iCs/>
          <w:szCs w:val="20"/>
          <w:lang w:bidi="en-US"/>
        </w:rPr>
      </w:pPr>
      <w:r w:rsidRPr="009E6764">
        <w:rPr>
          <w:bCs/>
          <w:iCs/>
          <w:szCs w:val="20"/>
          <w:lang w:bidi="en-US"/>
        </w:rPr>
        <w:t>The following diagram illustrates a summary of the performance management framework for the uMlalazi Municipality for performance measurement and reporting, adhering to the guidelines suggested by KwaZulu-Natal Province, Department for Cooperative Gov</w:t>
      </w:r>
      <w:r w:rsidR="009E6764">
        <w:rPr>
          <w:bCs/>
          <w:iCs/>
          <w:szCs w:val="20"/>
          <w:lang w:bidi="en-US"/>
        </w:rPr>
        <w:t>ernance and Traditional Affairs</w:t>
      </w:r>
    </w:p>
    <w:p w14:paraId="1AA54460" w14:textId="77777777" w:rsidR="00F804E6" w:rsidRPr="00F804E6" w:rsidRDefault="00F804E6" w:rsidP="00F804E6">
      <w:pPr>
        <w:autoSpaceDE w:val="0"/>
        <w:autoSpaceDN w:val="0"/>
        <w:adjustRightInd w:val="0"/>
        <w:spacing w:after="0" w:line="240" w:lineRule="auto"/>
        <w:jc w:val="both"/>
        <w:rPr>
          <w:rFonts w:eastAsia="Times New Roman" w:cs="Times New Roman"/>
          <w:sz w:val="24"/>
          <w:szCs w:val="24"/>
          <w:lang w:eastAsia="en-ZA"/>
        </w:rPr>
      </w:pPr>
    </w:p>
    <w:p w14:paraId="513CD6F0" w14:textId="71F72318" w:rsidR="00F804E6" w:rsidRPr="00F804E6" w:rsidRDefault="00F804E6" w:rsidP="00F804E6">
      <w:pPr>
        <w:spacing w:line="360" w:lineRule="auto"/>
        <w:jc w:val="center"/>
        <w:rPr>
          <w:rFonts w:eastAsia="Times New Roman" w:cs="Times New Roman"/>
          <w:sz w:val="24"/>
          <w:szCs w:val="24"/>
          <w:lang w:eastAsia="en-ZA"/>
        </w:rPr>
      </w:pPr>
      <w:r w:rsidRPr="00F804E6">
        <w:rPr>
          <w:rFonts w:eastAsia="Times New Roman" w:cs="Times New Roman"/>
          <w:b/>
          <w:bCs/>
          <w:noProof/>
          <w:sz w:val="24"/>
          <w:szCs w:val="24"/>
        </w:rPr>
        <w:drawing>
          <wp:inline distT="0" distB="0" distL="0" distR="0" wp14:anchorId="66209B43" wp14:editId="29DF6721">
            <wp:extent cx="6182995" cy="3459193"/>
            <wp:effectExtent l="0" t="0" r="8255" b="8255"/>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cstate="print"/>
                    <a:srcRect/>
                    <a:stretch>
                      <a:fillRect/>
                    </a:stretch>
                  </pic:blipFill>
                  <pic:spPr bwMode="auto">
                    <a:xfrm>
                      <a:off x="0" y="0"/>
                      <a:ext cx="6185256" cy="3460458"/>
                    </a:xfrm>
                    <a:prstGeom prst="rect">
                      <a:avLst/>
                    </a:prstGeom>
                    <a:noFill/>
                    <a:ln w="9525">
                      <a:noFill/>
                      <a:miter lim="800000"/>
                      <a:headEnd/>
                      <a:tailEnd/>
                    </a:ln>
                  </pic:spPr>
                </pic:pic>
              </a:graphicData>
            </a:graphic>
          </wp:inline>
        </w:drawing>
      </w:r>
    </w:p>
    <w:p w14:paraId="7A842EA8" w14:textId="765872B8" w:rsidR="009E6764" w:rsidRDefault="009E6764" w:rsidP="009E6764">
      <w:pPr>
        <w:pStyle w:val="Caption"/>
        <w:rPr>
          <w:rFonts w:eastAsia="Times New Roman" w:cs="Times New Roman"/>
          <w:sz w:val="24"/>
          <w:szCs w:val="24"/>
          <w:lang w:val="en-ZA" w:eastAsia="en-ZA"/>
        </w:rPr>
      </w:pPr>
      <w:bookmarkStart w:id="769" w:name="_Toc510622388"/>
      <w:r>
        <w:t xml:space="preserve">Figure </w:t>
      </w:r>
      <w:r w:rsidR="00B918A6">
        <w:fldChar w:fldCharType="begin"/>
      </w:r>
      <w:r w:rsidR="00B918A6">
        <w:instrText xml:space="preserve"> SEQ Figure \* ARABIC </w:instrText>
      </w:r>
      <w:r w:rsidR="00B918A6">
        <w:fldChar w:fldCharType="separate"/>
      </w:r>
      <w:r w:rsidR="0067023A">
        <w:rPr>
          <w:noProof/>
        </w:rPr>
        <w:t>28</w:t>
      </w:r>
      <w:r w:rsidR="00B918A6">
        <w:rPr>
          <w:noProof/>
        </w:rPr>
        <w:fldChar w:fldCharType="end"/>
      </w:r>
      <w:r>
        <w:t xml:space="preserve">: </w:t>
      </w:r>
      <w:r w:rsidRPr="009E6764">
        <w:t>Summary of Performance Management Framework</w:t>
      </w:r>
      <w:bookmarkEnd w:id="769"/>
    </w:p>
    <w:p w14:paraId="3BFEE2C9" w14:textId="77777777" w:rsidR="009E6764" w:rsidRDefault="009E6764" w:rsidP="00F804E6">
      <w:pPr>
        <w:jc w:val="both"/>
        <w:rPr>
          <w:rFonts w:eastAsia="Times New Roman" w:cs="Times New Roman"/>
          <w:sz w:val="24"/>
          <w:szCs w:val="24"/>
          <w:lang w:val="en-ZA" w:eastAsia="en-ZA"/>
        </w:rPr>
      </w:pPr>
    </w:p>
    <w:p w14:paraId="3C4F0752" w14:textId="77777777" w:rsidR="009E6764" w:rsidRDefault="009E6764" w:rsidP="00F804E6">
      <w:pPr>
        <w:jc w:val="both"/>
        <w:rPr>
          <w:rFonts w:eastAsia="Times New Roman" w:cs="Times New Roman"/>
          <w:sz w:val="24"/>
          <w:szCs w:val="24"/>
          <w:lang w:val="en-ZA" w:eastAsia="en-ZA"/>
        </w:rPr>
      </w:pPr>
    </w:p>
    <w:p w14:paraId="260E9AA4" w14:textId="77777777" w:rsidR="00F804E6" w:rsidRPr="009E6764" w:rsidRDefault="00F804E6" w:rsidP="00F804E6">
      <w:pPr>
        <w:jc w:val="both"/>
        <w:rPr>
          <w:bCs/>
          <w:iCs/>
          <w:szCs w:val="20"/>
          <w:lang w:bidi="en-US"/>
        </w:rPr>
      </w:pPr>
      <w:r w:rsidRPr="009E6764">
        <w:rPr>
          <w:bCs/>
          <w:iCs/>
          <w:szCs w:val="20"/>
          <w:lang w:bidi="en-US"/>
        </w:rPr>
        <w:t xml:space="preserve">Every attempt is made to ensure that the municipality complies with legislation concerning the development, operation and maintenance of a performance management system that is commensurate to the institutional service delivery objectives captured in the IDP. The uMlalazi Municipality has continued to maintain the effective operation of the following mechanisms: </w:t>
      </w:r>
    </w:p>
    <w:p w14:paraId="194F5D2C" w14:textId="77777777" w:rsidR="00F804E6" w:rsidRPr="009E6764" w:rsidRDefault="00F804E6" w:rsidP="00750180">
      <w:pPr>
        <w:numPr>
          <w:ilvl w:val="0"/>
          <w:numId w:val="141"/>
        </w:numPr>
        <w:jc w:val="both"/>
        <w:rPr>
          <w:bCs/>
          <w:iCs/>
          <w:szCs w:val="20"/>
          <w:lang w:bidi="en-US"/>
        </w:rPr>
      </w:pPr>
      <w:r w:rsidRPr="009E6764">
        <w:rPr>
          <w:bCs/>
          <w:iCs/>
          <w:szCs w:val="20"/>
          <w:lang w:bidi="en-US"/>
        </w:rPr>
        <w:t xml:space="preserve">The IDP included strategic objectives, strategies and key performance indicators (KPIs) as required by the Municipal Systems Act, 32 of 2000; </w:t>
      </w:r>
    </w:p>
    <w:p w14:paraId="14B6216D" w14:textId="77777777" w:rsidR="00F804E6" w:rsidRPr="009E6764" w:rsidRDefault="00F804E6" w:rsidP="00750180">
      <w:pPr>
        <w:numPr>
          <w:ilvl w:val="0"/>
          <w:numId w:val="141"/>
        </w:numPr>
        <w:jc w:val="both"/>
        <w:rPr>
          <w:bCs/>
          <w:iCs/>
          <w:szCs w:val="20"/>
          <w:lang w:bidi="en-US"/>
        </w:rPr>
      </w:pPr>
      <w:r w:rsidRPr="009E6764">
        <w:rPr>
          <w:bCs/>
          <w:iCs/>
          <w:szCs w:val="20"/>
          <w:lang w:bidi="en-US"/>
        </w:rPr>
        <w:t xml:space="preserve">The budget for implementation of the IDP was approved within the prescribed timelines prescribed in the Municipal Finance Management Act, 56 of 2003; </w:t>
      </w:r>
    </w:p>
    <w:p w14:paraId="2A2D0E2B" w14:textId="77777777" w:rsidR="00F804E6" w:rsidRPr="009E6764" w:rsidRDefault="00F804E6" w:rsidP="00750180">
      <w:pPr>
        <w:numPr>
          <w:ilvl w:val="0"/>
          <w:numId w:val="141"/>
        </w:numPr>
        <w:jc w:val="both"/>
        <w:rPr>
          <w:bCs/>
          <w:iCs/>
          <w:szCs w:val="20"/>
          <w:lang w:bidi="en-US"/>
        </w:rPr>
      </w:pPr>
      <w:r w:rsidRPr="009E6764">
        <w:rPr>
          <w:bCs/>
          <w:iCs/>
          <w:szCs w:val="20"/>
          <w:lang w:bidi="en-US"/>
        </w:rPr>
        <w:t xml:space="preserve">After approval of the budget, the SDBIP was developed to integrate the IDP and the budget and to ensure effective implementation of the institutional strategies; </w:t>
      </w:r>
    </w:p>
    <w:p w14:paraId="1D854A9C" w14:textId="77777777" w:rsidR="00F804E6" w:rsidRPr="009E6764" w:rsidRDefault="00F804E6" w:rsidP="00750180">
      <w:pPr>
        <w:numPr>
          <w:ilvl w:val="0"/>
          <w:numId w:val="141"/>
        </w:numPr>
        <w:jc w:val="both"/>
        <w:rPr>
          <w:bCs/>
          <w:iCs/>
          <w:szCs w:val="20"/>
          <w:lang w:bidi="en-US"/>
        </w:rPr>
      </w:pPr>
      <w:r w:rsidRPr="009E6764">
        <w:rPr>
          <w:bCs/>
          <w:iCs/>
          <w:szCs w:val="20"/>
          <w:lang w:bidi="en-US"/>
        </w:rPr>
        <w:t xml:space="preserve">Performance agreements with performance plans were developed, signed and approved as required by the Municipal Performance Regulations, 2006; </w:t>
      </w:r>
    </w:p>
    <w:p w14:paraId="1D8C04FC" w14:textId="77777777" w:rsidR="00F804E6" w:rsidRPr="009E6764" w:rsidRDefault="00F804E6" w:rsidP="00F804E6">
      <w:pPr>
        <w:jc w:val="both"/>
        <w:rPr>
          <w:bCs/>
          <w:iCs/>
          <w:szCs w:val="20"/>
          <w:lang w:bidi="en-US"/>
        </w:rPr>
      </w:pPr>
      <w:r w:rsidRPr="009E6764">
        <w:rPr>
          <w:bCs/>
          <w:iCs/>
          <w:szCs w:val="20"/>
          <w:lang w:bidi="en-US"/>
        </w:rPr>
        <w:t xml:space="preserve">The Quarterly assessments of performance of Managers directly reporting to the Municipal Manager as well as the Municipal Manager’s performance were conducted on a one-on-one basis as required by the performance regulations; and </w:t>
      </w:r>
    </w:p>
    <w:p w14:paraId="1FA807DF" w14:textId="77777777" w:rsidR="00F804E6" w:rsidRPr="009E6764" w:rsidRDefault="00F804E6" w:rsidP="00F804E6">
      <w:pPr>
        <w:jc w:val="both"/>
        <w:rPr>
          <w:bCs/>
          <w:iCs/>
          <w:szCs w:val="20"/>
          <w:lang w:bidi="en-US"/>
        </w:rPr>
      </w:pPr>
      <w:r w:rsidRPr="009E6764">
        <w:rPr>
          <w:bCs/>
          <w:iCs/>
          <w:szCs w:val="20"/>
          <w:lang w:bidi="en-US"/>
        </w:rPr>
        <w:t xml:space="preserve">The Performance Audit Committee (PAC) functioned optimally in the year; in line with the committee’s approved terms of reference. </w:t>
      </w:r>
    </w:p>
    <w:p w14:paraId="0C42C511" w14:textId="77777777" w:rsidR="00F804E6" w:rsidRPr="009E6764" w:rsidRDefault="00F804E6" w:rsidP="00F804E6">
      <w:pPr>
        <w:jc w:val="both"/>
        <w:rPr>
          <w:bCs/>
          <w:iCs/>
          <w:szCs w:val="20"/>
          <w:lang w:bidi="en-US"/>
        </w:rPr>
      </w:pPr>
      <w:r w:rsidRPr="009E6764">
        <w:rPr>
          <w:bCs/>
          <w:iCs/>
          <w:szCs w:val="20"/>
          <w:lang w:bidi="en-US"/>
        </w:rPr>
        <w:t xml:space="preserve">The performance assessments were objectively and independently audited by the Internal Audit unit to verify and to confirm performance information as reflected in the reports; the unit also confirmed the credibility of evidence that was submitted quarterly; </w:t>
      </w:r>
    </w:p>
    <w:p w14:paraId="17C820C9" w14:textId="77777777" w:rsidR="00F804E6" w:rsidRPr="009E6764" w:rsidRDefault="00F804E6" w:rsidP="00750180">
      <w:pPr>
        <w:pStyle w:val="Heading2"/>
        <w:numPr>
          <w:ilvl w:val="1"/>
          <w:numId w:val="63"/>
        </w:numPr>
        <w:spacing w:after="240"/>
        <w:ind w:left="567" w:hanging="567"/>
      </w:pPr>
      <w:bookmarkStart w:id="770" w:name="_Toc510706721"/>
      <w:r w:rsidRPr="009E6764">
        <w:t>Performance and Supporting Information</w:t>
      </w:r>
      <w:bookmarkEnd w:id="770"/>
    </w:p>
    <w:p w14:paraId="224A7069" w14:textId="4CFA4152" w:rsidR="00F804E6" w:rsidRPr="00F804E6" w:rsidRDefault="00F804E6" w:rsidP="00750180">
      <w:pPr>
        <w:pStyle w:val="Heading3"/>
        <w:numPr>
          <w:ilvl w:val="2"/>
          <w:numId w:val="63"/>
        </w:numPr>
        <w:rPr>
          <w:rFonts w:eastAsia="Times New Roman"/>
          <w:lang w:eastAsia="en-ZA"/>
        </w:rPr>
      </w:pPr>
      <w:bookmarkStart w:id="771" w:name="_Toc510706722"/>
      <w:r w:rsidRPr="00F804E6">
        <w:rPr>
          <w:rFonts w:eastAsia="Times New Roman"/>
          <w:lang w:eastAsia="en-ZA"/>
        </w:rPr>
        <w:t xml:space="preserve">Background </w:t>
      </w:r>
      <w:r w:rsidR="004B57FA" w:rsidRPr="00F804E6">
        <w:rPr>
          <w:rFonts w:eastAsia="Times New Roman"/>
          <w:lang w:eastAsia="en-ZA"/>
        </w:rPr>
        <w:t>to Municipal Scorecard</w:t>
      </w:r>
      <w:bookmarkEnd w:id="771"/>
    </w:p>
    <w:p w14:paraId="1CC74131" w14:textId="77777777" w:rsidR="00F804E6" w:rsidRPr="00F804E6" w:rsidRDefault="00F804E6" w:rsidP="00F804E6">
      <w:pPr>
        <w:spacing w:after="0" w:line="240" w:lineRule="auto"/>
        <w:rPr>
          <w:rFonts w:eastAsia="Times New Roman" w:cs="Times New Roman"/>
          <w:sz w:val="24"/>
          <w:szCs w:val="24"/>
          <w:lang w:val="en-ZA" w:eastAsia="en-ZA"/>
        </w:rPr>
      </w:pPr>
    </w:p>
    <w:p w14:paraId="231CAE7F" w14:textId="77777777" w:rsidR="00F804E6" w:rsidRPr="004B57FA" w:rsidRDefault="00F804E6" w:rsidP="00750180">
      <w:pPr>
        <w:numPr>
          <w:ilvl w:val="3"/>
          <w:numId w:val="63"/>
        </w:numPr>
        <w:spacing w:after="0"/>
        <w:contextualSpacing/>
        <w:jc w:val="both"/>
        <w:textAlignment w:val="baseline"/>
        <w:rPr>
          <w:bCs/>
          <w:iCs/>
          <w:szCs w:val="20"/>
          <w:lang w:bidi="en-US"/>
        </w:rPr>
      </w:pPr>
      <w:r w:rsidRPr="004B57FA">
        <w:rPr>
          <w:bCs/>
          <w:iCs/>
          <w:szCs w:val="20"/>
          <w:lang w:bidi="en-US"/>
        </w:rPr>
        <w:t>The Municipal Scorecard reflects the 5 national KPA’s and local priorities and enables a wider assessment of how the municipality is performing.</w:t>
      </w:r>
    </w:p>
    <w:p w14:paraId="1E5F12BC" w14:textId="77777777" w:rsidR="00F804E6" w:rsidRPr="004B57FA" w:rsidRDefault="00F804E6" w:rsidP="00750180">
      <w:pPr>
        <w:numPr>
          <w:ilvl w:val="3"/>
          <w:numId w:val="63"/>
        </w:numPr>
        <w:spacing w:after="0"/>
        <w:contextualSpacing/>
        <w:jc w:val="both"/>
        <w:textAlignment w:val="baseline"/>
        <w:rPr>
          <w:bCs/>
          <w:iCs/>
          <w:szCs w:val="20"/>
          <w:lang w:bidi="en-US"/>
        </w:rPr>
      </w:pPr>
      <w:r w:rsidRPr="004B57FA">
        <w:rPr>
          <w:bCs/>
          <w:iCs/>
          <w:szCs w:val="20"/>
          <w:lang w:bidi="en-US"/>
        </w:rPr>
        <w:t>The performance report is based on measures included within the Municipal Scorecard.</w:t>
      </w:r>
    </w:p>
    <w:p w14:paraId="405E6C8C" w14:textId="77777777" w:rsidR="00F804E6" w:rsidRPr="004B57FA" w:rsidRDefault="00F804E6" w:rsidP="00750180">
      <w:pPr>
        <w:numPr>
          <w:ilvl w:val="3"/>
          <w:numId w:val="63"/>
        </w:numPr>
        <w:spacing w:after="0"/>
        <w:contextualSpacing/>
        <w:jc w:val="both"/>
        <w:textAlignment w:val="baseline"/>
        <w:rPr>
          <w:bCs/>
          <w:iCs/>
          <w:szCs w:val="20"/>
          <w:lang w:bidi="en-US"/>
        </w:rPr>
      </w:pPr>
      <w:r w:rsidRPr="004B57FA">
        <w:rPr>
          <w:bCs/>
          <w:iCs/>
          <w:szCs w:val="20"/>
          <w:lang w:bidi="en-US"/>
        </w:rPr>
        <w:t>This incorporates priority measures selected from the IDP. The criteria used reflect factors such as previous performance levels, comparative performance and budget implications. These are agreed by Council annually. These targets are reviewed and updated at Council meeting at adjustments budget in February each year.</w:t>
      </w:r>
    </w:p>
    <w:p w14:paraId="0176FDD2" w14:textId="70B1BDE6" w:rsidR="00F804E6" w:rsidRDefault="00F804E6" w:rsidP="00750180">
      <w:pPr>
        <w:numPr>
          <w:ilvl w:val="3"/>
          <w:numId w:val="63"/>
        </w:numPr>
        <w:spacing w:after="0"/>
        <w:contextualSpacing/>
        <w:jc w:val="both"/>
        <w:textAlignment w:val="baseline"/>
        <w:rPr>
          <w:bCs/>
          <w:iCs/>
          <w:szCs w:val="20"/>
          <w:lang w:bidi="en-US"/>
        </w:rPr>
      </w:pPr>
      <w:r w:rsidRPr="004B57FA">
        <w:rPr>
          <w:bCs/>
          <w:iCs/>
          <w:szCs w:val="20"/>
          <w:lang w:bidi="en-US"/>
        </w:rPr>
        <w:t>Summary performance results for the previous years included in the</w:t>
      </w:r>
      <w:r w:rsidR="004B57FA">
        <w:rPr>
          <w:bCs/>
          <w:iCs/>
          <w:szCs w:val="20"/>
          <w:lang w:bidi="en-US"/>
        </w:rPr>
        <w:t xml:space="preserve"> Top Layer SDBIP are as follows;</w:t>
      </w:r>
    </w:p>
    <w:p w14:paraId="3F8C4943" w14:textId="77777777" w:rsidR="004B57FA" w:rsidRDefault="004B57FA" w:rsidP="004B57FA">
      <w:pPr>
        <w:spacing w:after="0"/>
        <w:contextualSpacing/>
        <w:jc w:val="both"/>
        <w:textAlignment w:val="baseline"/>
        <w:rPr>
          <w:bCs/>
          <w:iCs/>
          <w:szCs w:val="20"/>
          <w:lang w:bidi="en-US"/>
        </w:rPr>
      </w:pPr>
    </w:p>
    <w:p w14:paraId="03E35DCB" w14:textId="77777777" w:rsidR="004B57FA" w:rsidRDefault="004B57FA" w:rsidP="004B57FA">
      <w:pPr>
        <w:spacing w:after="0"/>
        <w:contextualSpacing/>
        <w:jc w:val="both"/>
        <w:textAlignment w:val="baseline"/>
        <w:rPr>
          <w:bCs/>
          <w:iCs/>
          <w:szCs w:val="20"/>
          <w:lang w:bidi="en-US"/>
        </w:rPr>
      </w:pPr>
    </w:p>
    <w:p w14:paraId="4491EF0A" w14:textId="77777777" w:rsidR="004B57FA" w:rsidRDefault="004B57FA" w:rsidP="004B57FA">
      <w:pPr>
        <w:spacing w:after="0"/>
        <w:contextualSpacing/>
        <w:jc w:val="both"/>
        <w:textAlignment w:val="baseline"/>
        <w:rPr>
          <w:bCs/>
          <w:iCs/>
          <w:szCs w:val="20"/>
          <w:lang w:bidi="en-US"/>
        </w:rPr>
      </w:pPr>
    </w:p>
    <w:p w14:paraId="2D8C389D" w14:textId="77777777" w:rsidR="004B57FA" w:rsidRDefault="004B57FA" w:rsidP="004B57FA">
      <w:pPr>
        <w:spacing w:after="0"/>
        <w:contextualSpacing/>
        <w:jc w:val="both"/>
        <w:textAlignment w:val="baseline"/>
        <w:rPr>
          <w:bCs/>
          <w:iCs/>
          <w:szCs w:val="20"/>
          <w:lang w:bidi="en-US"/>
        </w:rPr>
      </w:pPr>
    </w:p>
    <w:p w14:paraId="77649AAD" w14:textId="77777777" w:rsidR="004B57FA" w:rsidRDefault="004B57FA" w:rsidP="004B57FA">
      <w:pPr>
        <w:spacing w:after="0"/>
        <w:contextualSpacing/>
        <w:jc w:val="both"/>
        <w:textAlignment w:val="baseline"/>
        <w:rPr>
          <w:bCs/>
          <w:iCs/>
          <w:szCs w:val="20"/>
          <w:lang w:bidi="en-US"/>
        </w:rPr>
      </w:pPr>
    </w:p>
    <w:p w14:paraId="698ECF2A" w14:textId="77777777" w:rsidR="004B57FA" w:rsidRDefault="004B57FA" w:rsidP="004B57FA">
      <w:pPr>
        <w:spacing w:after="0"/>
        <w:contextualSpacing/>
        <w:jc w:val="both"/>
        <w:textAlignment w:val="baseline"/>
        <w:rPr>
          <w:bCs/>
          <w:iCs/>
          <w:szCs w:val="20"/>
          <w:lang w:bidi="en-US"/>
        </w:rPr>
      </w:pPr>
    </w:p>
    <w:p w14:paraId="26AE62E3" w14:textId="77777777" w:rsidR="004B57FA" w:rsidRDefault="004B57FA" w:rsidP="004B57FA">
      <w:pPr>
        <w:spacing w:after="0"/>
        <w:contextualSpacing/>
        <w:jc w:val="both"/>
        <w:textAlignment w:val="baseline"/>
        <w:rPr>
          <w:bCs/>
          <w:iCs/>
          <w:szCs w:val="20"/>
          <w:lang w:bidi="en-US"/>
        </w:rPr>
      </w:pPr>
    </w:p>
    <w:p w14:paraId="0B147622" w14:textId="77777777" w:rsidR="004B57FA" w:rsidRDefault="004B57FA" w:rsidP="004B57FA">
      <w:pPr>
        <w:spacing w:after="0"/>
        <w:contextualSpacing/>
        <w:jc w:val="both"/>
        <w:textAlignment w:val="baseline"/>
        <w:rPr>
          <w:bCs/>
          <w:iCs/>
          <w:szCs w:val="20"/>
          <w:lang w:bidi="en-US"/>
        </w:rPr>
      </w:pPr>
    </w:p>
    <w:p w14:paraId="2B04BDC3" w14:textId="77777777" w:rsidR="004B57FA" w:rsidRPr="004B57FA" w:rsidRDefault="004B57FA" w:rsidP="004B57FA">
      <w:pPr>
        <w:spacing w:after="0"/>
        <w:contextualSpacing/>
        <w:jc w:val="both"/>
        <w:textAlignment w:val="baseline"/>
        <w:rPr>
          <w:bCs/>
          <w:iCs/>
          <w:szCs w:val="20"/>
          <w:lang w:bidi="en-US"/>
        </w:rPr>
      </w:pPr>
    </w:p>
    <w:p w14:paraId="6D84C10F" w14:textId="77777777" w:rsidR="00F804E6" w:rsidRPr="00F804E6" w:rsidRDefault="00F804E6" w:rsidP="00F804E6">
      <w:pPr>
        <w:spacing w:after="0" w:line="240" w:lineRule="auto"/>
        <w:rPr>
          <w:rFonts w:eastAsia="Times New Roman" w:cs="Times New Roman"/>
          <w:sz w:val="24"/>
          <w:szCs w:val="24"/>
          <w:lang w:val="en-ZA" w:eastAsia="en-ZA"/>
        </w:rPr>
      </w:pPr>
    </w:p>
    <w:p w14:paraId="18EF4B92" w14:textId="7B066637" w:rsidR="00F804E6" w:rsidRPr="00F804E6" w:rsidRDefault="00F804E6" w:rsidP="00F804E6">
      <w:pPr>
        <w:spacing w:after="0" w:line="240" w:lineRule="auto"/>
        <w:rPr>
          <w:rFonts w:eastAsia="Times New Roman" w:cs="Times New Roman"/>
          <w:szCs w:val="20"/>
          <w:lang w:val="en-ZA" w:eastAsia="en-ZA"/>
        </w:rPr>
      </w:pPr>
    </w:p>
    <w:tbl>
      <w:tblPr>
        <w:tblStyle w:val="TableGrid30"/>
        <w:tblW w:w="10065" w:type="dxa"/>
        <w:tblLayout w:type="fixed"/>
        <w:tblLook w:val="04A0" w:firstRow="1" w:lastRow="0" w:firstColumn="1" w:lastColumn="0" w:noHBand="0" w:noVBand="1"/>
      </w:tblPr>
      <w:tblGrid>
        <w:gridCol w:w="4205"/>
        <w:gridCol w:w="1182"/>
        <w:gridCol w:w="1134"/>
        <w:gridCol w:w="1276"/>
        <w:gridCol w:w="1134"/>
        <w:gridCol w:w="1134"/>
      </w:tblGrid>
      <w:tr w:rsidR="00F804E6" w:rsidRPr="00F804E6" w14:paraId="03307E87" w14:textId="77777777" w:rsidTr="004B57FA">
        <w:trPr>
          <w:trHeight w:val="274"/>
        </w:trPr>
        <w:tc>
          <w:tcPr>
            <w:tcW w:w="10065" w:type="dxa"/>
            <w:gridSpan w:val="6"/>
            <w:shd w:val="clear" w:color="auto" w:fill="92D050"/>
          </w:tcPr>
          <w:p w14:paraId="2F32E1E7" w14:textId="13522E3D" w:rsidR="00F804E6" w:rsidRPr="004B57FA" w:rsidRDefault="00F804E6" w:rsidP="004B57FA">
            <w:pPr>
              <w:jc w:val="center"/>
              <w:rPr>
                <w:rFonts w:eastAsiaTheme="minorHAnsi"/>
                <w:b/>
                <w:bCs/>
                <w:iCs/>
                <w:szCs w:val="20"/>
                <w:lang w:val="en-US" w:eastAsia="en-US" w:bidi="en-US"/>
              </w:rPr>
            </w:pPr>
            <w:r w:rsidRPr="004B57FA">
              <w:rPr>
                <w:rFonts w:eastAsiaTheme="minorHAnsi"/>
                <w:b/>
                <w:bCs/>
                <w:iCs/>
                <w:szCs w:val="20"/>
                <w:lang w:val="en-US" w:eastAsia="en-US" w:bidi="en-US"/>
              </w:rPr>
              <w:t>ANNUAL PERFORMANCE COMPARISON OF uMLALAZI MUNICIPALITY OVER 5 YEARS</w:t>
            </w:r>
          </w:p>
          <w:p w14:paraId="4E1127CB" w14:textId="77777777" w:rsidR="00F804E6" w:rsidRPr="004B57FA" w:rsidRDefault="00F804E6" w:rsidP="004B57FA">
            <w:pPr>
              <w:jc w:val="center"/>
              <w:rPr>
                <w:rFonts w:eastAsiaTheme="minorHAnsi"/>
                <w:b/>
                <w:bCs/>
                <w:iCs/>
                <w:szCs w:val="20"/>
                <w:lang w:val="en-US" w:eastAsia="en-US" w:bidi="en-US"/>
              </w:rPr>
            </w:pPr>
          </w:p>
        </w:tc>
      </w:tr>
      <w:tr w:rsidR="00F804E6" w:rsidRPr="00F804E6" w14:paraId="07BAD6B2" w14:textId="77777777" w:rsidTr="004B57FA">
        <w:tc>
          <w:tcPr>
            <w:tcW w:w="4205" w:type="dxa"/>
            <w:shd w:val="clear" w:color="auto" w:fill="FFC000"/>
          </w:tcPr>
          <w:p w14:paraId="7672A41B" w14:textId="77777777" w:rsidR="00F804E6" w:rsidRPr="004B57FA" w:rsidRDefault="00F804E6" w:rsidP="004B57FA">
            <w:pPr>
              <w:jc w:val="center"/>
              <w:rPr>
                <w:rFonts w:eastAsiaTheme="minorHAnsi"/>
                <w:b/>
                <w:bCs/>
                <w:iCs/>
                <w:szCs w:val="20"/>
                <w:lang w:val="en-US" w:eastAsia="en-US" w:bidi="en-US"/>
              </w:rPr>
            </w:pPr>
          </w:p>
        </w:tc>
        <w:tc>
          <w:tcPr>
            <w:tcW w:w="1182" w:type="dxa"/>
            <w:shd w:val="clear" w:color="auto" w:fill="FFC000"/>
          </w:tcPr>
          <w:p w14:paraId="3E8DB1F3" w14:textId="657F9C4B" w:rsidR="00F804E6" w:rsidRPr="004B57FA" w:rsidRDefault="004B57FA" w:rsidP="004B57FA">
            <w:pPr>
              <w:jc w:val="center"/>
              <w:rPr>
                <w:rFonts w:eastAsiaTheme="minorHAnsi"/>
                <w:b/>
                <w:bCs/>
                <w:iCs/>
                <w:szCs w:val="20"/>
                <w:lang w:val="en-US" w:eastAsia="en-US" w:bidi="en-US"/>
              </w:rPr>
            </w:pPr>
            <w:r w:rsidRPr="004B57FA">
              <w:rPr>
                <w:rFonts w:eastAsiaTheme="minorHAnsi"/>
                <w:b/>
                <w:bCs/>
                <w:iCs/>
                <w:szCs w:val="20"/>
                <w:lang w:val="en-US" w:eastAsia="en-US" w:bidi="en-US"/>
              </w:rPr>
              <w:t>2012/13</w:t>
            </w:r>
          </w:p>
        </w:tc>
        <w:tc>
          <w:tcPr>
            <w:tcW w:w="1134" w:type="dxa"/>
            <w:shd w:val="clear" w:color="auto" w:fill="FFC000"/>
          </w:tcPr>
          <w:p w14:paraId="0BE246E3" w14:textId="6B9BD4C4" w:rsidR="00F804E6" w:rsidRPr="004B57FA" w:rsidRDefault="004B57FA" w:rsidP="004B57FA">
            <w:pPr>
              <w:jc w:val="center"/>
              <w:rPr>
                <w:rFonts w:eastAsiaTheme="minorHAnsi"/>
                <w:b/>
                <w:bCs/>
                <w:iCs/>
                <w:szCs w:val="20"/>
                <w:lang w:val="en-US" w:eastAsia="en-US" w:bidi="en-US"/>
              </w:rPr>
            </w:pPr>
            <w:r w:rsidRPr="004B57FA">
              <w:rPr>
                <w:rFonts w:eastAsiaTheme="minorHAnsi"/>
                <w:b/>
                <w:bCs/>
                <w:iCs/>
                <w:szCs w:val="20"/>
                <w:lang w:val="en-US" w:eastAsia="en-US" w:bidi="en-US"/>
              </w:rPr>
              <w:t>2013/14</w:t>
            </w:r>
          </w:p>
        </w:tc>
        <w:tc>
          <w:tcPr>
            <w:tcW w:w="1276" w:type="dxa"/>
            <w:shd w:val="clear" w:color="auto" w:fill="FFC000"/>
          </w:tcPr>
          <w:p w14:paraId="1AE3A48F" w14:textId="543E5624" w:rsidR="00F804E6" w:rsidRPr="004B57FA" w:rsidRDefault="004B57FA" w:rsidP="004B57FA">
            <w:pPr>
              <w:jc w:val="center"/>
              <w:rPr>
                <w:rFonts w:eastAsiaTheme="minorHAnsi"/>
                <w:b/>
                <w:bCs/>
                <w:iCs/>
                <w:szCs w:val="20"/>
                <w:lang w:val="en-US" w:eastAsia="en-US" w:bidi="en-US"/>
              </w:rPr>
            </w:pPr>
            <w:r w:rsidRPr="004B57FA">
              <w:rPr>
                <w:rFonts w:eastAsiaTheme="minorHAnsi"/>
                <w:b/>
                <w:bCs/>
                <w:iCs/>
                <w:szCs w:val="20"/>
                <w:lang w:val="en-US" w:eastAsia="en-US" w:bidi="en-US"/>
              </w:rPr>
              <w:t>2014/15</w:t>
            </w:r>
          </w:p>
        </w:tc>
        <w:tc>
          <w:tcPr>
            <w:tcW w:w="1134" w:type="dxa"/>
            <w:shd w:val="clear" w:color="auto" w:fill="FFC000"/>
          </w:tcPr>
          <w:p w14:paraId="2A2CBABF" w14:textId="77777777" w:rsidR="00F804E6" w:rsidRPr="004B57FA" w:rsidRDefault="00F804E6" w:rsidP="004B57FA">
            <w:pPr>
              <w:jc w:val="center"/>
              <w:rPr>
                <w:rFonts w:eastAsiaTheme="minorHAnsi"/>
                <w:b/>
                <w:bCs/>
                <w:iCs/>
                <w:szCs w:val="20"/>
                <w:lang w:val="en-US" w:eastAsia="en-US" w:bidi="en-US"/>
              </w:rPr>
            </w:pPr>
            <w:r w:rsidRPr="004B57FA">
              <w:rPr>
                <w:rFonts w:eastAsiaTheme="minorHAnsi"/>
                <w:b/>
                <w:bCs/>
                <w:iCs/>
                <w:szCs w:val="20"/>
                <w:lang w:val="en-US" w:eastAsia="en-US" w:bidi="en-US"/>
              </w:rPr>
              <w:t>2015/2016</w:t>
            </w:r>
          </w:p>
        </w:tc>
        <w:tc>
          <w:tcPr>
            <w:tcW w:w="1134" w:type="dxa"/>
            <w:shd w:val="clear" w:color="auto" w:fill="FFC000"/>
          </w:tcPr>
          <w:p w14:paraId="1104FF17" w14:textId="77777777" w:rsidR="00F804E6" w:rsidRPr="004B57FA" w:rsidRDefault="00F804E6" w:rsidP="004B57FA">
            <w:pPr>
              <w:jc w:val="center"/>
              <w:rPr>
                <w:rFonts w:eastAsiaTheme="minorHAnsi"/>
                <w:b/>
                <w:bCs/>
                <w:iCs/>
                <w:szCs w:val="20"/>
                <w:lang w:val="en-US" w:eastAsia="en-US" w:bidi="en-US"/>
              </w:rPr>
            </w:pPr>
            <w:r w:rsidRPr="004B57FA">
              <w:rPr>
                <w:rFonts w:eastAsiaTheme="minorHAnsi"/>
                <w:b/>
                <w:bCs/>
                <w:iCs/>
                <w:szCs w:val="20"/>
                <w:lang w:val="en-US" w:eastAsia="en-US" w:bidi="en-US"/>
              </w:rPr>
              <w:t>2016/2017</w:t>
            </w:r>
          </w:p>
        </w:tc>
      </w:tr>
      <w:tr w:rsidR="00F804E6" w:rsidRPr="00F804E6" w14:paraId="695CA8DA" w14:textId="77777777" w:rsidTr="004B57FA">
        <w:trPr>
          <w:trHeight w:val="139"/>
        </w:trPr>
        <w:tc>
          <w:tcPr>
            <w:tcW w:w="4205" w:type="dxa"/>
            <w:shd w:val="clear" w:color="auto" w:fill="FFC000"/>
          </w:tcPr>
          <w:p w14:paraId="25CB2D21" w14:textId="77777777" w:rsidR="00F804E6" w:rsidRPr="004B57FA" w:rsidRDefault="00F804E6" w:rsidP="00F804E6">
            <w:pPr>
              <w:jc w:val="both"/>
              <w:rPr>
                <w:rFonts w:eastAsiaTheme="minorHAnsi"/>
                <w:bCs/>
                <w:iCs/>
                <w:szCs w:val="20"/>
                <w:lang w:val="en-US" w:eastAsia="en-US" w:bidi="en-US"/>
              </w:rPr>
            </w:pPr>
            <w:r w:rsidRPr="004B57FA">
              <w:rPr>
                <w:rFonts w:eastAsiaTheme="minorHAnsi"/>
                <w:bCs/>
                <w:iCs/>
                <w:szCs w:val="20"/>
                <w:lang w:val="en-US" w:eastAsia="en-US" w:bidi="en-US"/>
              </w:rPr>
              <w:t>Annual Overall Performance</w:t>
            </w:r>
          </w:p>
        </w:tc>
        <w:tc>
          <w:tcPr>
            <w:tcW w:w="1182" w:type="dxa"/>
            <w:shd w:val="clear" w:color="auto" w:fill="FFC000"/>
          </w:tcPr>
          <w:p w14:paraId="7E8F02E2"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63%</w:t>
            </w:r>
          </w:p>
        </w:tc>
        <w:tc>
          <w:tcPr>
            <w:tcW w:w="1134" w:type="dxa"/>
            <w:shd w:val="clear" w:color="auto" w:fill="FFC000"/>
          </w:tcPr>
          <w:p w14:paraId="4F6E8545"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69%</w:t>
            </w:r>
          </w:p>
        </w:tc>
        <w:tc>
          <w:tcPr>
            <w:tcW w:w="1276" w:type="dxa"/>
            <w:shd w:val="clear" w:color="auto" w:fill="FFC000"/>
          </w:tcPr>
          <w:p w14:paraId="5DFB9AEE"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72%</w:t>
            </w:r>
          </w:p>
        </w:tc>
        <w:tc>
          <w:tcPr>
            <w:tcW w:w="1134" w:type="dxa"/>
            <w:shd w:val="clear" w:color="auto" w:fill="FFC000"/>
          </w:tcPr>
          <w:p w14:paraId="187387C3"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70%</w:t>
            </w:r>
          </w:p>
        </w:tc>
        <w:tc>
          <w:tcPr>
            <w:tcW w:w="1134" w:type="dxa"/>
            <w:shd w:val="clear" w:color="auto" w:fill="FFC000"/>
          </w:tcPr>
          <w:p w14:paraId="232BFB83"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67%</w:t>
            </w:r>
          </w:p>
        </w:tc>
      </w:tr>
      <w:tr w:rsidR="00F804E6" w:rsidRPr="00F804E6" w14:paraId="371C09C1" w14:textId="77777777" w:rsidTr="004B57FA">
        <w:tc>
          <w:tcPr>
            <w:tcW w:w="10065" w:type="dxa"/>
            <w:gridSpan w:val="6"/>
            <w:shd w:val="clear" w:color="auto" w:fill="BFBFBF" w:themeFill="background1" w:themeFillShade="BF"/>
          </w:tcPr>
          <w:p w14:paraId="2589EB7E" w14:textId="4A612B0E" w:rsidR="00F804E6" w:rsidRPr="004B57FA" w:rsidRDefault="004B57FA" w:rsidP="004B57FA">
            <w:pPr>
              <w:jc w:val="center"/>
              <w:rPr>
                <w:rFonts w:eastAsiaTheme="minorHAnsi"/>
                <w:b/>
                <w:bCs/>
                <w:iCs/>
                <w:szCs w:val="20"/>
                <w:lang w:val="en-US" w:eastAsia="en-US" w:bidi="en-US"/>
              </w:rPr>
            </w:pPr>
            <w:r>
              <w:rPr>
                <w:rFonts w:eastAsiaTheme="minorHAnsi"/>
                <w:b/>
                <w:bCs/>
                <w:iCs/>
                <w:szCs w:val="20"/>
                <w:lang w:val="en-US" w:eastAsia="en-US" w:bidi="en-US"/>
              </w:rPr>
              <w:t>KEY PERFORMANCE AREA</w:t>
            </w:r>
            <w:r w:rsidRPr="004B57FA">
              <w:rPr>
                <w:rFonts w:eastAsiaTheme="minorHAnsi"/>
                <w:b/>
                <w:bCs/>
                <w:iCs/>
                <w:szCs w:val="20"/>
                <w:lang w:val="en-US" w:eastAsia="en-US" w:bidi="en-US"/>
              </w:rPr>
              <w:t>S</w:t>
            </w:r>
          </w:p>
        </w:tc>
      </w:tr>
      <w:tr w:rsidR="00F804E6" w:rsidRPr="00F804E6" w14:paraId="0630B376" w14:textId="77777777" w:rsidTr="004B57FA">
        <w:tc>
          <w:tcPr>
            <w:tcW w:w="4205" w:type="dxa"/>
          </w:tcPr>
          <w:p w14:paraId="49AF07CE" w14:textId="77777777" w:rsidR="00F804E6" w:rsidRPr="004B57FA" w:rsidRDefault="00F804E6" w:rsidP="00F804E6">
            <w:pPr>
              <w:jc w:val="both"/>
              <w:rPr>
                <w:rFonts w:eastAsiaTheme="minorHAnsi"/>
                <w:bCs/>
                <w:iCs/>
                <w:szCs w:val="20"/>
                <w:lang w:val="en-US" w:eastAsia="en-US" w:bidi="en-US"/>
              </w:rPr>
            </w:pPr>
            <w:r w:rsidRPr="004B57FA">
              <w:rPr>
                <w:rFonts w:eastAsiaTheme="minorHAnsi"/>
                <w:bCs/>
                <w:iCs/>
                <w:szCs w:val="20"/>
                <w:lang w:val="en-US" w:eastAsia="en-US" w:bidi="en-US"/>
              </w:rPr>
              <w:t>Municipal Transformation &amp; Organisational Development</w:t>
            </w:r>
          </w:p>
        </w:tc>
        <w:tc>
          <w:tcPr>
            <w:tcW w:w="1182" w:type="dxa"/>
          </w:tcPr>
          <w:p w14:paraId="5ACB49BE"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94%</w:t>
            </w:r>
          </w:p>
        </w:tc>
        <w:tc>
          <w:tcPr>
            <w:tcW w:w="1134" w:type="dxa"/>
          </w:tcPr>
          <w:p w14:paraId="43D8EB0B"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63%</w:t>
            </w:r>
          </w:p>
        </w:tc>
        <w:tc>
          <w:tcPr>
            <w:tcW w:w="1276" w:type="dxa"/>
          </w:tcPr>
          <w:p w14:paraId="73BDE9D9"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76%</w:t>
            </w:r>
          </w:p>
        </w:tc>
        <w:tc>
          <w:tcPr>
            <w:tcW w:w="1134" w:type="dxa"/>
          </w:tcPr>
          <w:p w14:paraId="57C11667"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63%</w:t>
            </w:r>
          </w:p>
        </w:tc>
        <w:tc>
          <w:tcPr>
            <w:tcW w:w="1134" w:type="dxa"/>
          </w:tcPr>
          <w:p w14:paraId="25854EE7"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59%</w:t>
            </w:r>
          </w:p>
        </w:tc>
      </w:tr>
      <w:tr w:rsidR="00F804E6" w:rsidRPr="00F804E6" w14:paraId="73F1D44F" w14:textId="77777777" w:rsidTr="004B57FA">
        <w:tc>
          <w:tcPr>
            <w:tcW w:w="4205" w:type="dxa"/>
          </w:tcPr>
          <w:p w14:paraId="15616A8B" w14:textId="77777777" w:rsidR="00F804E6" w:rsidRPr="004B57FA" w:rsidRDefault="00F804E6" w:rsidP="00F804E6">
            <w:pPr>
              <w:jc w:val="both"/>
              <w:rPr>
                <w:rFonts w:eastAsiaTheme="minorHAnsi"/>
                <w:bCs/>
                <w:iCs/>
                <w:szCs w:val="20"/>
                <w:lang w:val="en-US" w:eastAsia="en-US" w:bidi="en-US"/>
              </w:rPr>
            </w:pPr>
            <w:r w:rsidRPr="004B57FA">
              <w:rPr>
                <w:rFonts w:eastAsiaTheme="minorHAnsi"/>
                <w:bCs/>
                <w:iCs/>
                <w:szCs w:val="20"/>
                <w:lang w:val="en-US" w:eastAsia="en-US" w:bidi="en-US"/>
              </w:rPr>
              <w:t>Basic Service Delivery &amp; Infrastructure Development</w:t>
            </w:r>
          </w:p>
        </w:tc>
        <w:tc>
          <w:tcPr>
            <w:tcW w:w="1182" w:type="dxa"/>
          </w:tcPr>
          <w:p w14:paraId="55412492"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42%</w:t>
            </w:r>
          </w:p>
        </w:tc>
        <w:tc>
          <w:tcPr>
            <w:tcW w:w="1134" w:type="dxa"/>
          </w:tcPr>
          <w:p w14:paraId="3F24D938"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79%</w:t>
            </w:r>
          </w:p>
        </w:tc>
        <w:tc>
          <w:tcPr>
            <w:tcW w:w="1276" w:type="dxa"/>
          </w:tcPr>
          <w:p w14:paraId="03AE0D91"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80%</w:t>
            </w:r>
          </w:p>
        </w:tc>
        <w:tc>
          <w:tcPr>
            <w:tcW w:w="1134" w:type="dxa"/>
          </w:tcPr>
          <w:p w14:paraId="474B2D72"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73%</w:t>
            </w:r>
          </w:p>
        </w:tc>
        <w:tc>
          <w:tcPr>
            <w:tcW w:w="1134" w:type="dxa"/>
          </w:tcPr>
          <w:p w14:paraId="2A1B49FA"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45%</w:t>
            </w:r>
          </w:p>
        </w:tc>
      </w:tr>
      <w:tr w:rsidR="00F804E6" w:rsidRPr="00F804E6" w14:paraId="1C1BC04B" w14:textId="77777777" w:rsidTr="004B57FA">
        <w:tc>
          <w:tcPr>
            <w:tcW w:w="4205" w:type="dxa"/>
          </w:tcPr>
          <w:p w14:paraId="1F6AC866" w14:textId="77777777" w:rsidR="00F804E6" w:rsidRPr="004B57FA" w:rsidRDefault="00F804E6" w:rsidP="00F804E6">
            <w:pPr>
              <w:jc w:val="both"/>
              <w:rPr>
                <w:rFonts w:eastAsiaTheme="minorHAnsi"/>
                <w:bCs/>
                <w:iCs/>
                <w:szCs w:val="20"/>
                <w:lang w:val="en-US" w:eastAsia="en-US" w:bidi="en-US"/>
              </w:rPr>
            </w:pPr>
            <w:r w:rsidRPr="004B57FA">
              <w:rPr>
                <w:rFonts w:eastAsiaTheme="minorHAnsi"/>
                <w:bCs/>
                <w:iCs/>
                <w:szCs w:val="20"/>
                <w:lang w:val="en-US" w:eastAsia="en-US" w:bidi="en-US"/>
              </w:rPr>
              <w:t>Local Economic Development</w:t>
            </w:r>
          </w:p>
        </w:tc>
        <w:tc>
          <w:tcPr>
            <w:tcW w:w="1182" w:type="dxa"/>
          </w:tcPr>
          <w:p w14:paraId="5E96A188"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72%</w:t>
            </w:r>
          </w:p>
        </w:tc>
        <w:tc>
          <w:tcPr>
            <w:tcW w:w="1134" w:type="dxa"/>
          </w:tcPr>
          <w:p w14:paraId="53BFCC40"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75%</w:t>
            </w:r>
          </w:p>
        </w:tc>
        <w:tc>
          <w:tcPr>
            <w:tcW w:w="1276" w:type="dxa"/>
          </w:tcPr>
          <w:p w14:paraId="000B9808"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75%</w:t>
            </w:r>
          </w:p>
        </w:tc>
        <w:tc>
          <w:tcPr>
            <w:tcW w:w="1134" w:type="dxa"/>
          </w:tcPr>
          <w:p w14:paraId="57D42A25"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75%</w:t>
            </w:r>
          </w:p>
        </w:tc>
        <w:tc>
          <w:tcPr>
            <w:tcW w:w="1134" w:type="dxa"/>
          </w:tcPr>
          <w:p w14:paraId="0161B2FA"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86%</w:t>
            </w:r>
          </w:p>
        </w:tc>
      </w:tr>
      <w:tr w:rsidR="00F804E6" w:rsidRPr="00F804E6" w14:paraId="34043AFF" w14:textId="77777777" w:rsidTr="004B57FA">
        <w:tc>
          <w:tcPr>
            <w:tcW w:w="4205" w:type="dxa"/>
          </w:tcPr>
          <w:p w14:paraId="6FACBBCF" w14:textId="77777777" w:rsidR="00F804E6" w:rsidRPr="004B57FA" w:rsidRDefault="00F804E6" w:rsidP="00F804E6">
            <w:pPr>
              <w:jc w:val="both"/>
              <w:rPr>
                <w:rFonts w:eastAsiaTheme="minorHAnsi"/>
                <w:bCs/>
                <w:iCs/>
                <w:szCs w:val="20"/>
                <w:lang w:val="en-US" w:eastAsia="en-US" w:bidi="en-US"/>
              </w:rPr>
            </w:pPr>
            <w:r w:rsidRPr="004B57FA">
              <w:rPr>
                <w:rFonts w:eastAsiaTheme="minorHAnsi"/>
                <w:bCs/>
                <w:iCs/>
                <w:szCs w:val="20"/>
                <w:lang w:val="en-US" w:eastAsia="en-US" w:bidi="en-US"/>
              </w:rPr>
              <w:t>Financial Viability &amp; Financial Management</w:t>
            </w:r>
          </w:p>
        </w:tc>
        <w:tc>
          <w:tcPr>
            <w:tcW w:w="1182" w:type="dxa"/>
          </w:tcPr>
          <w:p w14:paraId="50ADF33D"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63%</w:t>
            </w:r>
          </w:p>
        </w:tc>
        <w:tc>
          <w:tcPr>
            <w:tcW w:w="1134" w:type="dxa"/>
          </w:tcPr>
          <w:p w14:paraId="3C595722"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65%</w:t>
            </w:r>
          </w:p>
        </w:tc>
        <w:tc>
          <w:tcPr>
            <w:tcW w:w="1276" w:type="dxa"/>
          </w:tcPr>
          <w:p w14:paraId="4A708360"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50%</w:t>
            </w:r>
          </w:p>
        </w:tc>
        <w:tc>
          <w:tcPr>
            <w:tcW w:w="1134" w:type="dxa"/>
          </w:tcPr>
          <w:p w14:paraId="596CD36A"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60%</w:t>
            </w:r>
          </w:p>
        </w:tc>
        <w:tc>
          <w:tcPr>
            <w:tcW w:w="1134" w:type="dxa"/>
          </w:tcPr>
          <w:p w14:paraId="3EF765AC"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67%</w:t>
            </w:r>
          </w:p>
        </w:tc>
      </w:tr>
      <w:tr w:rsidR="00F804E6" w:rsidRPr="00F804E6" w14:paraId="07A42B22" w14:textId="77777777" w:rsidTr="004B57FA">
        <w:tc>
          <w:tcPr>
            <w:tcW w:w="4205" w:type="dxa"/>
          </w:tcPr>
          <w:p w14:paraId="2158155E" w14:textId="77777777" w:rsidR="00F804E6" w:rsidRPr="004B57FA" w:rsidRDefault="00F804E6" w:rsidP="00F804E6">
            <w:pPr>
              <w:jc w:val="both"/>
              <w:rPr>
                <w:rFonts w:eastAsiaTheme="minorHAnsi"/>
                <w:bCs/>
                <w:iCs/>
                <w:szCs w:val="20"/>
                <w:lang w:val="en-US" w:eastAsia="en-US" w:bidi="en-US"/>
              </w:rPr>
            </w:pPr>
            <w:r w:rsidRPr="004B57FA">
              <w:rPr>
                <w:rFonts w:eastAsiaTheme="minorHAnsi"/>
                <w:bCs/>
                <w:iCs/>
                <w:szCs w:val="20"/>
                <w:lang w:val="en-US" w:eastAsia="en-US" w:bidi="en-US"/>
              </w:rPr>
              <w:t>Good Governance &amp; Public Participation</w:t>
            </w:r>
          </w:p>
        </w:tc>
        <w:tc>
          <w:tcPr>
            <w:tcW w:w="1182" w:type="dxa"/>
          </w:tcPr>
          <w:p w14:paraId="4B386AA0"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45%</w:t>
            </w:r>
          </w:p>
        </w:tc>
        <w:tc>
          <w:tcPr>
            <w:tcW w:w="1134" w:type="dxa"/>
          </w:tcPr>
          <w:p w14:paraId="4E5F4DCC"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64%</w:t>
            </w:r>
          </w:p>
        </w:tc>
        <w:tc>
          <w:tcPr>
            <w:tcW w:w="1276" w:type="dxa"/>
          </w:tcPr>
          <w:p w14:paraId="39386480"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56%</w:t>
            </w:r>
          </w:p>
        </w:tc>
        <w:tc>
          <w:tcPr>
            <w:tcW w:w="1134" w:type="dxa"/>
          </w:tcPr>
          <w:p w14:paraId="437450BA"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87%</w:t>
            </w:r>
          </w:p>
        </w:tc>
        <w:tc>
          <w:tcPr>
            <w:tcW w:w="1134" w:type="dxa"/>
          </w:tcPr>
          <w:p w14:paraId="6049BB52"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64%</w:t>
            </w:r>
          </w:p>
        </w:tc>
      </w:tr>
      <w:tr w:rsidR="00F804E6" w:rsidRPr="00F804E6" w14:paraId="16AB4578" w14:textId="77777777" w:rsidTr="004B57FA">
        <w:tc>
          <w:tcPr>
            <w:tcW w:w="4205" w:type="dxa"/>
          </w:tcPr>
          <w:p w14:paraId="401771DF" w14:textId="77777777" w:rsidR="00F804E6" w:rsidRPr="004B57FA" w:rsidRDefault="00F804E6" w:rsidP="00F804E6">
            <w:pPr>
              <w:jc w:val="both"/>
              <w:rPr>
                <w:rFonts w:eastAsiaTheme="minorHAnsi"/>
                <w:bCs/>
                <w:iCs/>
                <w:szCs w:val="20"/>
                <w:lang w:val="en-US" w:eastAsia="en-US" w:bidi="en-US"/>
              </w:rPr>
            </w:pPr>
            <w:r w:rsidRPr="004B57FA">
              <w:rPr>
                <w:rFonts w:eastAsiaTheme="minorHAnsi"/>
                <w:bCs/>
                <w:iCs/>
                <w:szCs w:val="20"/>
                <w:lang w:val="en-US" w:eastAsia="en-US" w:bidi="en-US"/>
              </w:rPr>
              <w:t>Cross Cutting Issues</w:t>
            </w:r>
          </w:p>
        </w:tc>
        <w:tc>
          <w:tcPr>
            <w:tcW w:w="1182" w:type="dxa"/>
          </w:tcPr>
          <w:p w14:paraId="5E784C88" w14:textId="77777777" w:rsidR="00F804E6" w:rsidRPr="004B57FA" w:rsidRDefault="00F804E6" w:rsidP="00F804E6">
            <w:pPr>
              <w:rPr>
                <w:rFonts w:eastAsiaTheme="minorHAnsi"/>
                <w:bCs/>
                <w:iCs/>
                <w:szCs w:val="20"/>
                <w:lang w:val="en-US" w:eastAsia="en-US" w:bidi="en-US"/>
              </w:rPr>
            </w:pPr>
            <w:r w:rsidRPr="004B57FA">
              <w:rPr>
                <w:rFonts w:eastAsiaTheme="minorHAnsi"/>
                <w:bCs/>
                <w:iCs/>
                <w:szCs w:val="20"/>
                <w:lang w:val="en-US" w:eastAsia="en-US" w:bidi="en-US"/>
              </w:rPr>
              <w:t>KPA was excluded in Scorecard</w:t>
            </w:r>
          </w:p>
        </w:tc>
        <w:tc>
          <w:tcPr>
            <w:tcW w:w="1134" w:type="dxa"/>
          </w:tcPr>
          <w:p w14:paraId="481CD30D" w14:textId="77777777" w:rsidR="00F804E6" w:rsidRPr="004B57FA" w:rsidRDefault="00F804E6" w:rsidP="00F804E6">
            <w:pPr>
              <w:rPr>
                <w:rFonts w:eastAsiaTheme="minorHAnsi"/>
                <w:bCs/>
                <w:iCs/>
                <w:szCs w:val="20"/>
                <w:lang w:val="en-US" w:eastAsia="en-US" w:bidi="en-US"/>
              </w:rPr>
            </w:pPr>
            <w:r w:rsidRPr="004B57FA">
              <w:rPr>
                <w:rFonts w:eastAsiaTheme="minorHAnsi"/>
                <w:bCs/>
                <w:iCs/>
                <w:szCs w:val="20"/>
                <w:lang w:val="en-US" w:eastAsia="en-US" w:bidi="en-US"/>
              </w:rPr>
              <w:t>KPA was excluded in Scorecard</w:t>
            </w:r>
          </w:p>
        </w:tc>
        <w:tc>
          <w:tcPr>
            <w:tcW w:w="1276" w:type="dxa"/>
          </w:tcPr>
          <w:p w14:paraId="14D964CE"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75%</w:t>
            </w:r>
          </w:p>
        </w:tc>
        <w:tc>
          <w:tcPr>
            <w:tcW w:w="1134" w:type="dxa"/>
          </w:tcPr>
          <w:p w14:paraId="72FCE675"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25%</w:t>
            </w:r>
          </w:p>
        </w:tc>
        <w:tc>
          <w:tcPr>
            <w:tcW w:w="1134" w:type="dxa"/>
          </w:tcPr>
          <w:p w14:paraId="6B221C79" w14:textId="77777777" w:rsidR="00F804E6" w:rsidRPr="004B57FA" w:rsidRDefault="00F804E6" w:rsidP="00F804E6">
            <w:pPr>
              <w:jc w:val="center"/>
              <w:rPr>
                <w:rFonts w:eastAsiaTheme="minorHAnsi"/>
                <w:bCs/>
                <w:iCs/>
                <w:szCs w:val="20"/>
                <w:lang w:val="en-US" w:eastAsia="en-US" w:bidi="en-US"/>
              </w:rPr>
            </w:pPr>
            <w:r w:rsidRPr="004B57FA">
              <w:rPr>
                <w:rFonts w:eastAsiaTheme="minorHAnsi"/>
                <w:bCs/>
                <w:iCs/>
                <w:szCs w:val="20"/>
                <w:lang w:val="en-US" w:eastAsia="en-US" w:bidi="en-US"/>
              </w:rPr>
              <w:t>100%</w:t>
            </w:r>
          </w:p>
        </w:tc>
      </w:tr>
    </w:tbl>
    <w:p w14:paraId="6FF09949" w14:textId="42E63CA6" w:rsidR="004B57FA" w:rsidRDefault="004B57FA" w:rsidP="004B57FA">
      <w:pPr>
        <w:pStyle w:val="Caption"/>
        <w:rPr>
          <w:rFonts w:eastAsia="Times New Roman" w:cs="Times New Roman"/>
          <w:lang w:val="en-ZA" w:eastAsia="en-ZA"/>
        </w:rPr>
      </w:pPr>
      <w:bookmarkStart w:id="772" w:name="_Toc510622361"/>
      <w:r>
        <w:t xml:space="preserve">Table </w:t>
      </w:r>
      <w:r w:rsidR="00B918A6">
        <w:fldChar w:fldCharType="begin"/>
      </w:r>
      <w:r w:rsidR="00B918A6">
        <w:instrText xml:space="preserve"> SEQ Table \* ARABIC </w:instrText>
      </w:r>
      <w:r w:rsidR="00B918A6">
        <w:fldChar w:fldCharType="separate"/>
      </w:r>
      <w:r w:rsidR="0067023A">
        <w:rPr>
          <w:noProof/>
        </w:rPr>
        <w:t>110</w:t>
      </w:r>
      <w:r w:rsidR="00B918A6">
        <w:rPr>
          <w:noProof/>
        </w:rPr>
        <w:fldChar w:fldCharType="end"/>
      </w:r>
      <w:r>
        <w:t xml:space="preserve">: </w:t>
      </w:r>
      <w:r w:rsidRPr="004B57FA">
        <w:rPr>
          <w:rFonts w:eastAsia="Times New Roman" w:cs="Times New Roman"/>
          <w:lang w:val="en-ZA" w:eastAsia="en-ZA"/>
        </w:rPr>
        <w:t>Comparative Target Achievement Information</w:t>
      </w:r>
      <w:bookmarkEnd w:id="772"/>
    </w:p>
    <w:p w14:paraId="28F982C1" w14:textId="77777777" w:rsidR="004B57FA" w:rsidRDefault="004B57FA" w:rsidP="004B57FA">
      <w:pPr>
        <w:spacing w:after="0" w:line="240" w:lineRule="auto"/>
        <w:rPr>
          <w:rFonts w:eastAsia="Times New Roman" w:cs="Times New Roman"/>
          <w:szCs w:val="20"/>
          <w:lang w:val="en-ZA" w:eastAsia="en-ZA"/>
        </w:rPr>
      </w:pPr>
    </w:p>
    <w:p w14:paraId="0719E8E1" w14:textId="2017D4D1" w:rsidR="004B57FA" w:rsidRDefault="004B57FA" w:rsidP="004B57FA">
      <w:pPr>
        <w:spacing w:after="0" w:line="240" w:lineRule="auto"/>
        <w:rPr>
          <w:rFonts w:eastAsia="Times New Roman" w:cs="Times New Roman"/>
          <w:szCs w:val="20"/>
          <w:lang w:val="en-ZA" w:eastAsia="en-ZA"/>
        </w:rPr>
      </w:pPr>
      <w:r w:rsidRPr="00F804E6">
        <w:rPr>
          <w:rFonts w:eastAsia="Times New Roman" w:cs="Times New Roman"/>
          <w:b/>
          <w:bCs/>
          <w:noProof/>
          <w:sz w:val="22"/>
        </w:rPr>
        <w:drawing>
          <wp:inline distT="0" distB="0" distL="0" distR="0" wp14:anchorId="4D4C2C51" wp14:editId="633F8D74">
            <wp:extent cx="6064370" cy="2660015"/>
            <wp:effectExtent l="0" t="0" r="12700" b="6985"/>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14:paraId="0807AD26" w14:textId="77777777" w:rsidR="004B57FA" w:rsidRDefault="004B57FA" w:rsidP="00F804E6">
      <w:pPr>
        <w:spacing w:after="0" w:line="240" w:lineRule="auto"/>
        <w:ind w:firstLine="720"/>
        <w:rPr>
          <w:rFonts w:eastAsia="Times New Roman" w:cs="Times New Roman"/>
          <w:szCs w:val="20"/>
          <w:lang w:val="en-ZA" w:eastAsia="en-ZA"/>
        </w:rPr>
      </w:pPr>
    </w:p>
    <w:p w14:paraId="5C06BC6A" w14:textId="78DD1D9E" w:rsidR="00F804E6" w:rsidRPr="00F804E6" w:rsidRDefault="004B57FA" w:rsidP="004B57FA">
      <w:pPr>
        <w:pStyle w:val="Caption"/>
        <w:rPr>
          <w:rFonts w:eastAsia="Times New Roman" w:cs="Times New Roman"/>
          <w:sz w:val="24"/>
          <w:szCs w:val="24"/>
          <w:lang w:val="en-ZA" w:eastAsia="en-ZA"/>
        </w:rPr>
      </w:pPr>
      <w:bookmarkStart w:id="773" w:name="_Toc510622389"/>
      <w:r>
        <w:t xml:space="preserve">Figure </w:t>
      </w:r>
      <w:r w:rsidR="00B918A6">
        <w:fldChar w:fldCharType="begin"/>
      </w:r>
      <w:r w:rsidR="00B918A6">
        <w:instrText xml:space="preserve"> SEQ Figure \* ARABIC </w:instrText>
      </w:r>
      <w:r w:rsidR="00B918A6">
        <w:fldChar w:fldCharType="separate"/>
      </w:r>
      <w:r w:rsidR="0067023A">
        <w:rPr>
          <w:noProof/>
        </w:rPr>
        <w:t>29</w:t>
      </w:r>
      <w:r w:rsidR="00B918A6">
        <w:rPr>
          <w:noProof/>
        </w:rPr>
        <w:fldChar w:fldCharType="end"/>
      </w:r>
      <w:r>
        <w:t xml:space="preserve">: </w:t>
      </w:r>
      <w:r w:rsidR="00F804E6" w:rsidRPr="00F804E6">
        <w:rPr>
          <w:rFonts w:eastAsia="Times New Roman" w:cs="Times New Roman"/>
          <w:b w:val="0"/>
          <w:bCs w:val="0"/>
          <w:i/>
          <w:iCs/>
          <w:color w:val="000000"/>
          <w:lang w:val="en-ZA" w:eastAsia="en-ZA"/>
        </w:rPr>
        <w:t>Comparative Target Achievement Information</w:t>
      </w:r>
      <w:bookmarkEnd w:id="773"/>
    </w:p>
    <w:p w14:paraId="09771A7C" w14:textId="77777777" w:rsidR="00F804E6" w:rsidRPr="00F804E6" w:rsidRDefault="00F804E6" w:rsidP="00F804E6">
      <w:pPr>
        <w:spacing w:after="0" w:line="240" w:lineRule="auto"/>
        <w:rPr>
          <w:rFonts w:eastAsia="Times New Roman" w:cs="Times New Roman"/>
          <w:sz w:val="24"/>
          <w:szCs w:val="24"/>
          <w:lang w:val="en-ZA" w:eastAsia="en-ZA"/>
        </w:rPr>
      </w:pPr>
    </w:p>
    <w:p w14:paraId="393FB0B5" w14:textId="77777777" w:rsidR="00F804E6" w:rsidRPr="00F804E6" w:rsidRDefault="00F804E6" w:rsidP="00F804E6">
      <w:pPr>
        <w:spacing w:after="0" w:line="240" w:lineRule="auto"/>
        <w:rPr>
          <w:rFonts w:eastAsia="Times New Roman" w:cs="Times New Roman"/>
          <w:b/>
          <w:sz w:val="24"/>
          <w:szCs w:val="24"/>
          <w:lang w:val="en-ZA" w:eastAsia="en-ZA"/>
        </w:rPr>
      </w:pPr>
    </w:p>
    <w:p w14:paraId="5B6AE94B" w14:textId="77777777" w:rsidR="00F804E6" w:rsidRPr="00F804E6" w:rsidRDefault="00F804E6" w:rsidP="00F804E6">
      <w:pPr>
        <w:spacing w:after="0" w:line="240" w:lineRule="auto"/>
        <w:rPr>
          <w:rFonts w:eastAsia="Times New Roman" w:cs="Times New Roman"/>
          <w:b/>
          <w:sz w:val="24"/>
          <w:szCs w:val="24"/>
          <w:lang w:val="en-ZA" w:eastAsia="en-ZA"/>
        </w:rPr>
      </w:pPr>
    </w:p>
    <w:p w14:paraId="2F84BE69" w14:textId="77777777" w:rsidR="00F804E6" w:rsidRPr="00F804E6" w:rsidRDefault="00F804E6" w:rsidP="00F804E6">
      <w:pPr>
        <w:spacing w:after="0" w:line="240" w:lineRule="auto"/>
        <w:rPr>
          <w:rFonts w:eastAsia="Times New Roman" w:cs="Times New Roman"/>
          <w:b/>
          <w:sz w:val="24"/>
          <w:szCs w:val="24"/>
          <w:lang w:val="en-ZA" w:eastAsia="en-ZA"/>
        </w:rPr>
      </w:pPr>
    </w:p>
    <w:p w14:paraId="128985A8" w14:textId="77777777" w:rsidR="00F804E6" w:rsidRPr="00F804E6" w:rsidRDefault="00F804E6" w:rsidP="00F804E6">
      <w:pPr>
        <w:spacing w:after="0" w:line="240" w:lineRule="auto"/>
        <w:rPr>
          <w:rFonts w:eastAsia="Times New Roman" w:cs="Times New Roman"/>
          <w:b/>
          <w:sz w:val="24"/>
          <w:szCs w:val="24"/>
          <w:lang w:val="en-ZA" w:eastAsia="en-ZA"/>
        </w:rPr>
      </w:pPr>
    </w:p>
    <w:p w14:paraId="40D94AC2" w14:textId="77777777" w:rsidR="00F804E6" w:rsidRPr="00F804E6" w:rsidRDefault="00F804E6" w:rsidP="00F804E6">
      <w:pPr>
        <w:spacing w:after="0" w:line="240" w:lineRule="auto"/>
        <w:rPr>
          <w:rFonts w:eastAsia="Times New Roman" w:cs="Times New Roman"/>
          <w:b/>
          <w:sz w:val="24"/>
          <w:szCs w:val="24"/>
          <w:lang w:val="en-ZA" w:eastAsia="en-ZA"/>
        </w:rPr>
      </w:pPr>
    </w:p>
    <w:p w14:paraId="6B15CE50" w14:textId="77777777" w:rsidR="00F804E6" w:rsidRPr="00F804E6" w:rsidRDefault="00F804E6" w:rsidP="00F804E6">
      <w:pPr>
        <w:spacing w:after="0" w:line="240" w:lineRule="auto"/>
        <w:rPr>
          <w:rFonts w:eastAsia="Times New Roman" w:cs="Times New Roman"/>
          <w:b/>
          <w:sz w:val="24"/>
          <w:szCs w:val="24"/>
          <w:lang w:val="en-ZA" w:eastAsia="en-ZA"/>
        </w:rPr>
      </w:pPr>
    </w:p>
    <w:p w14:paraId="3E98CB19" w14:textId="77777777" w:rsidR="00F804E6" w:rsidRPr="00F804E6" w:rsidRDefault="00F804E6" w:rsidP="00F804E6">
      <w:pPr>
        <w:spacing w:after="0" w:line="240" w:lineRule="auto"/>
        <w:rPr>
          <w:rFonts w:eastAsia="Times New Roman" w:cs="Times New Roman"/>
          <w:b/>
          <w:sz w:val="24"/>
          <w:szCs w:val="24"/>
          <w:lang w:val="en-ZA" w:eastAsia="en-ZA"/>
        </w:rPr>
      </w:pPr>
    </w:p>
    <w:p w14:paraId="06B457A0" w14:textId="77777777" w:rsidR="00F804E6" w:rsidRPr="00F804E6" w:rsidRDefault="00F804E6" w:rsidP="00F804E6">
      <w:pPr>
        <w:spacing w:after="0" w:line="240" w:lineRule="auto"/>
        <w:rPr>
          <w:rFonts w:eastAsia="Times New Roman" w:cs="Times New Roman"/>
          <w:b/>
          <w:sz w:val="24"/>
          <w:szCs w:val="24"/>
          <w:lang w:val="en-ZA" w:eastAsia="en-ZA"/>
        </w:rPr>
      </w:pPr>
    </w:p>
    <w:p w14:paraId="4F924AEC" w14:textId="77777777" w:rsidR="00F804E6" w:rsidRPr="00F804E6" w:rsidRDefault="00F804E6" w:rsidP="00F804E6">
      <w:pPr>
        <w:spacing w:after="0" w:line="240" w:lineRule="auto"/>
        <w:rPr>
          <w:rFonts w:eastAsia="Times New Roman" w:cs="Times New Roman"/>
          <w:b/>
          <w:sz w:val="24"/>
          <w:szCs w:val="24"/>
          <w:lang w:val="en-ZA" w:eastAsia="en-ZA"/>
        </w:rPr>
      </w:pPr>
    </w:p>
    <w:p w14:paraId="3A51299C" w14:textId="77777777" w:rsidR="00F804E6" w:rsidRPr="00F804E6" w:rsidRDefault="00F804E6" w:rsidP="00F804E6">
      <w:pPr>
        <w:spacing w:after="0" w:line="240" w:lineRule="auto"/>
        <w:rPr>
          <w:rFonts w:eastAsia="Times New Roman" w:cs="Times New Roman"/>
          <w:b/>
          <w:sz w:val="24"/>
          <w:szCs w:val="24"/>
          <w:lang w:val="en-ZA" w:eastAsia="en-ZA"/>
        </w:rPr>
        <w:sectPr w:rsidR="00F804E6" w:rsidRPr="00F804E6" w:rsidSect="00F804E6">
          <w:footerReference w:type="default" r:id="rId122"/>
          <w:pgSz w:w="11906" w:h="16838"/>
          <w:pgMar w:top="567" w:right="1440" w:bottom="709" w:left="1440" w:header="708" w:footer="708" w:gutter="0"/>
          <w:pgNumType w:start="0"/>
          <w:cols w:space="708"/>
          <w:docGrid w:linePitch="360"/>
        </w:sectPr>
      </w:pPr>
    </w:p>
    <w:p w14:paraId="56B61266" w14:textId="77777777" w:rsidR="00F804E6" w:rsidRPr="00F804E6" w:rsidRDefault="00F804E6" w:rsidP="00F804E6">
      <w:pPr>
        <w:spacing w:after="0" w:line="240" w:lineRule="auto"/>
        <w:rPr>
          <w:rFonts w:eastAsia="Times New Roman" w:cs="Times New Roman"/>
          <w:b/>
          <w:sz w:val="24"/>
          <w:szCs w:val="24"/>
          <w:lang w:val="en-ZA" w:eastAsia="en-ZA"/>
        </w:rPr>
      </w:pPr>
    </w:p>
    <w:p w14:paraId="21ECACE5" w14:textId="37B6BBD7" w:rsidR="00F804E6" w:rsidRPr="004B57FA" w:rsidRDefault="00F804E6" w:rsidP="00750180">
      <w:pPr>
        <w:numPr>
          <w:ilvl w:val="3"/>
          <w:numId w:val="63"/>
        </w:numPr>
        <w:spacing w:after="0"/>
        <w:contextualSpacing/>
        <w:jc w:val="both"/>
        <w:textAlignment w:val="baseline"/>
        <w:rPr>
          <w:bCs/>
          <w:iCs/>
          <w:szCs w:val="20"/>
          <w:lang w:bidi="en-US"/>
        </w:rPr>
      </w:pPr>
      <w:r w:rsidRPr="004B57FA">
        <w:rPr>
          <w:bCs/>
          <w:iCs/>
          <w:szCs w:val="20"/>
          <w:lang w:bidi="en-US"/>
        </w:rPr>
        <w:t>Summary of Performance in terms of the Top Layer SDBIP for 2016/2017</w:t>
      </w:r>
    </w:p>
    <w:p w14:paraId="0FB19EDE" w14:textId="77777777" w:rsidR="00F804E6" w:rsidRPr="00F804E6" w:rsidRDefault="00F804E6" w:rsidP="00F804E6">
      <w:pPr>
        <w:spacing w:after="0" w:line="240" w:lineRule="auto"/>
        <w:rPr>
          <w:rFonts w:eastAsia="Times New Roman" w:cs="Times New Roman"/>
          <w:b/>
          <w:color w:val="7B7B7B"/>
          <w:sz w:val="24"/>
          <w:szCs w:val="24"/>
          <w:lang w:val="en-ZA" w:eastAsia="en-ZA"/>
        </w:rPr>
      </w:pPr>
    </w:p>
    <w:p w14:paraId="2C285DAD" w14:textId="77777777" w:rsidR="00F804E6" w:rsidRPr="00F804E6" w:rsidRDefault="00F804E6" w:rsidP="00F804E6">
      <w:pPr>
        <w:spacing w:after="0" w:line="240" w:lineRule="auto"/>
        <w:jc w:val="center"/>
        <w:rPr>
          <w:rFonts w:eastAsia="Times New Roman" w:cs="Times New Roman"/>
          <w:sz w:val="24"/>
          <w:szCs w:val="24"/>
          <w:lang w:val="en-ZA" w:eastAsia="en-ZA"/>
        </w:rPr>
      </w:pPr>
    </w:p>
    <w:p w14:paraId="239E8413" w14:textId="77777777" w:rsidR="00F804E6" w:rsidRPr="00F804E6" w:rsidRDefault="00F804E6" w:rsidP="00F804E6">
      <w:pPr>
        <w:spacing w:after="0" w:line="240" w:lineRule="auto"/>
        <w:jc w:val="center"/>
        <w:rPr>
          <w:rFonts w:eastAsia="Times New Roman" w:cs="Times New Roman"/>
          <w:sz w:val="24"/>
          <w:szCs w:val="24"/>
          <w:lang w:val="en-ZA" w:eastAsia="en-ZA"/>
        </w:rPr>
      </w:pPr>
    </w:p>
    <w:p w14:paraId="133D98A8" w14:textId="77777777" w:rsidR="00F804E6" w:rsidRPr="00F804E6" w:rsidRDefault="00F804E6" w:rsidP="00F804E6">
      <w:pPr>
        <w:spacing w:after="0" w:line="240" w:lineRule="auto"/>
        <w:rPr>
          <w:rFonts w:eastAsia="Times New Roman" w:cs="Times New Roman"/>
          <w:sz w:val="24"/>
          <w:szCs w:val="24"/>
          <w:lang w:val="en-ZA" w:eastAsia="en-ZA"/>
        </w:rPr>
      </w:pPr>
    </w:p>
    <w:p w14:paraId="3D163102" w14:textId="77777777" w:rsidR="00F804E6" w:rsidRPr="00F804E6" w:rsidRDefault="00F804E6" w:rsidP="00F804E6">
      <w:pPr>
        <w:spacing w:after="0" w:line="240" w:lineRule="auto"/>
        <w:jc w:val="center"/>
        <w:rPr>
          <w:rFonts w:eastAsia="Times New Roman" w:cs="Times New Roman"/>
          <w:sz w:val="24"/>
          <w:szCs w:val="24"/>
          <w:lang w:val="en-ZA" w:eastAsia="en-ZA"/>
        </w:rPr>
      </w:pPr>
      <w:r w:rsidRPr="00F804E6">
        <w:rPr>
          <w:rFonts w:eastAsia="Times New Roman" w:cs="Times New Roman"/>
          <w:noProof/>
          <w:sz w:val="22"/>
        </w:rPr>
        <w:drawing>
          <wp:inline distT="0" distB="0" distL="0" distR="0" wp14:anchorId="4187C16B" wp14:editId="158BD2A9">
            <wp:extent cx="6271404" cy="3484092"/>
            <wp:effectExtent l="0" t="0" r="0"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6333065" cy="3518348"/>
                    </a:xfrm>
                    <a:prstGeom prst="rect">
                      <a:avLst/>
                    </a:prstGeom>
                  </pic:spPr>
                </pic:pic>
              </a:graphicData>
            </a:graphic>
          </wp:inline>
        </w:drawing>
      </w:r>
    </w:p>
    <w:p w14:paraId="4C61B872" w14:textId="58B593DA" w:rsidR="00F804E6" w:rsidRPr="00F804E6" w:rsidRDefault="004B57FA" w:rsidP="004B57FA">
      <w:pPr>
        <w:pStyle w:val="Caption"/>
        <w:rPr>
          <w:rFonts w:eastAsia="Times New Roman" w:cs="Times New Roman"/>
          <w:sz w:val="24"/>
          <w:szCs w:val="24"/>
          <w:lang w:val="en-ZA" w:eastAsia="en-ZA"/>
        </w:rPr>
      </w:pPr>
      <w:bookmarkStart w:id="774" w:name="_Toc510622390"/>
      <w:r>
        <w:t xml:space="preserve">Figure </w:t>
      </w:r>
      <w:r w:rsidR="00B918A6">
        <w:fldChar w:fldCharType="begin"/>
      </w:r>
      <w:r w:rsidR="00B918A6">
        <w:instrText xml:space="preserve"> SEQ Figure \* ARABIC </w:instrText>
      </w:r>
      <w:r w:rsidR="00B918A6">
        <w:fldChar w:fldCharType="separate"/>
      </w:r>
      <w:r w:rsidR="0067023A">
        <w:rPr>
          <w:noProof/>
        </w:rPr>
        <w:t>30</w:t>
      </w:r>
      <w:r w:rsidR="00B918A6">
        <w:rPr>
          <w:noProof/>
        </w:rPr>
        <w:fldChar w:fldCharType="end"/>
      </w:r>
      <w:r>
        <w:t xml:space="preserve">: </w:t>
      </w:r>
      <w:r w:rsidR="00F804E6" w:rsidRPr="00F804E6">
        <w:rPr>
          <w:rFonts w:eastAsia="Times New Roman" w:cs="Times New Roman"/>
          <w:b w:val="0"/>
          <w:bCs w:val="0"/>
          <w:i/>
          <w:iCs/>
          <w:color w:val="000000"/>
          <w:lang w:val="en-ZA" w:eastAsia="en-ZA"/>
        </w:rPr>
        <w:t>Target Achievement per Directorate</w:t>
      </w:r>
      <w:bookmarkEnd w:id="774"/>
    </w:p>
    <w:p w14:paraId="5BEDB87E" w14:textId="77777777" w:rsidR="00F804E6" w:rsidRPr="00F804E6" w:rsidRDefault="00F804E6" w:rsidP="00F804E6">
      <w:pPr>
        <w:spacing w:after="0" w:line="240" w:lineRule="auto"/>
        <w:rPr>
          <w:rFonts w:eastAsia="Times New Roman" w:cs="Times New Roman"/>
          <w:sz w:val="24"/>
          <w:szCs w:val="24"/>
          <w:lang w:val="en-ZA" w:eastAsia="en-ZA"/>
        </w:rPr>
      </w:pPr>
    </w:p>
    <w:p w14:paraId="49CB93C3" w14:textId="77777777" w:rsidR="00F804E6" w:rsidRPr="00F804E6" w:rsidRDefault="00F804E6" w:rsidP="00F804E6">
      <w:pPr>
        <w:spacing w:after="0" w:line="240" w:lineRule="auto"/>
        <w:jc w:val="center"/>
        <w:rPr>
          <w:rFonts w:eastAsia="Times New Roman" w:cs="Times New Roman"/>
          <w:sz w:val="24"/>
          <w:szCs w:val="24"/>
          <w:lang w:val="en-ZA" w:eastAsia="en-ZA"/>
        </w:rPr>
      </w:pPr>
      <w:r w:rsidRPr="00F804E6">
        <w:rPr>
          <w:rFonts w:eastAsia="Times New Roman" w:cs="Times New Roman"/>
          <w:noProof/>
          <w:sz w:val="22"/>
        </w:rPr>
        <w:drawing>
          <wp:inline distT="0" distB="0" distL="0" distR="0" wp14:anchorId="6737DDF7" wp14:editId="5E6EB8D4">
            <wp:extent cx="5502751" cy="3199622"/>
            <wp:effectExtent l="0" t="0" r="3175" b="12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522608" cy="3211168"/>
                    </a:xfrm>
                    <a:prstGeom prst="rect">
                      <a:avLst/>
                    </a:prstGeom>
                  </pic:spPr>
                </pic:pic>
              </a:graphicData>
            </a:graphic>
          </wp:inline>
        </w:drawing>
      </w:r>
    </w:p>
    <w:p w14:paraId="21F07F73" w14:textId="77777777" w:rsidR="00F804E6" w:rsidRPr="00F804E6" w:rsidRDefault="00F804E6" w:rsidP="00F804E6">
      <w:pPr>
        <w:spacing w:after="0" w:line="240" w:lineRule="auto"/>
        <w:rPr>
          <w:rFonts w:eastAsia="Times New Roman" w:cs="Times New Roman"/>
          <w:sz w:val="24"/>
          <w:szCs w:val="24"/>
          <w:lang w:val="en-ZA" w:eastAsia="en-ZA"/>
        </w:rPr>
      </w:pPr>
    </w:p>
    <w:p w14:paraId="22562FED" w14:textId="608A790A" w:rsidR="00F804E6" w:rsidRPr="00F804E6" w:rsidRDefault="004B57FA" w:rsidP="004B57FA">
      <w:pPr>
        <w:pStyle w:val="Caption"/>
        <w:rPr>
          <w:rFonts w:eastAsia="Times New Roman" w:cs="Times New Roman"/>
          <w:sz w:val="24"/>
          <w:szCs w:val="24"/>
          <w:lang w:val="en-ZA" w:eastAsia="en-ZA"/>
        </w:rPr>
      </w:pPr>
      <w:bookmarkStart w:id="775" w:name="_Toc510622391"/>
      <w:r>
        <w:t xml:space="preserve">Figure </w:t>
      </w:r>
      <w:r w:rsidR="00B918A6">
        <w:fldChar w:fldCharType="begin"/>
      </w:r>
      <w:r w:rsidR="00B918A6">
        <w:instrText xml:space="preserve"> SEQ Figure \* ARABIC </w:instrText>
      </w:r>
      <w:r w:rsidR="00B918A6">
        <w:fldChar w:fldCharType="separate"/>
      </w:r>
      <w:r w:rsidR="0067023A">
        <w:rPr>
          <w:noProof/>
        </w:rPr>
        <w:t>31</w:t>
      </w:r>
      <w:r w:rsidR="00B918A6">
        <w:rPr>
          <w:noProof/>
        </w:rPr>
        <w:fldChar w:fldCharType="end"/>
      </w:r>
      <w:r>
        <w:t xml:space="preserve">: </w:t>
      </w:r>
      <w:r w:rsidR="00F804E6" w:rsidRPr="00F804E6">
        <w:rPr>
          <w:rFonts w:eastAsia="Times New Roman" w:cs="Times New Roman"/>
          <w:b w:val="0"/>
          <w:bCs w:val="0"/>
          <w:i/>
          <w:iCs/>
          <w:color w:val="000000"/>
          <w:lang w:val="en-ZA" w:eastAsia="en-ZA"/>
        </w:rPr>
        <w:t>Target Achievement per KPA</w:t>
      </w:r>
      <w:bookmarkEnd w:id="775"/>
    </w:p>
    <w:p w14:paraId="5F796612" w14:textId="77777777" w:rsidR="00F804E6" w:rsidRPr="00F804E6" w:rsidRDefault="00F804E6" w:rsidP="00F804E6">
      <w:pPr>
        <w:spacing w:after="0" w:line="240" w:lineRule="auto"/>
        <w:rPr>
          <w:rFonts w:eastAsia="Times New Roman" w:cs="Times New Roman"/>
          <w:sz w:val="24"/>
          <w:szCs w:val="24"/>
          <w:lang w:val="en-ZA" w:eastAsia="en-ZA"/>
        </w:rPr>
      </w:pPr>
    </w:p>
    <w:p w14:paraId="4F4DAB9C" w14:textId="77777777" w:rsidR="00F804E6" w:rsidRPr="00F804E6" w:rsidRDefault="00F804E6" w:rsidP="00F804E6">
      <w:pPr>
        <w:spacing w:after="0" w:line="240" w:lineRule="auto"/>
        <w:rPr>
          <w:rFonts w:eastAsia="Times New Roman" w:cs="Times New Roman"/>
          <w:b/>
          <w:sz w:val="32"/>
          <w:szCs w:val="32"/>
          <w:lang w:val="en-ZA" w:eastAsia="en-ZA"/>
        </w:rPr>
      </w:pPr>
    </w:p>
    <w:p w14:paraId="71BD6F2A" w14:textId="77777777" w:rsidR="00F804E6" w:rsidRPr="00F804E6" w:rsidRDefault="00F804E6" w:rsidP="00F804E6">
      <w:pPr>
        <w:spacing w:after="0" w:line="240" w:lineRule="auto"/>
        <w:rPr>
          <w:rFonts w:eastAsia="Times New Roman" w:cs="Times New Roman"/>
          <w:sz w:val="24"/>
          <w:szCs w:val="24"/>
          <w:lang w:val="en-ZA" w:eastAsia="en-ZA"/>
        </w:rPr>
      </w:pPr>
    </w:p>
    <w:p w14:paraId="0B5E82E4" w14:textId="77777777" w:rsidR="00F804E6" w:rsidRPr="00F804E6" w:rsidRDefault="00F804E6" w:rsidP="00F804E6">
      <w:pPr>
        <w:spacing w:after="0" w:line="240" w:lineRule="auto"/>
        <w:rPr>
          <w:rFonts w:eastAsia="Times New Roman" w:cs="Times New Roman"/>
          <w:sz w:val="24"/>
          <w:szCs w:val="24"/>
          <w:lang w:val="en-ZA" w:eastAsia="en-ZA"/>
        </w:rPr>
      </w:pPr>
    </w:p>
    <w:p w14:paraId="43D01635" w14:textId="77777777" w:rsidR="00F804E6" w:rsidRPr="00F804E6" w:rsidRDefault="00F804E6" w:rsidP="00F804E6">
      <w:pPr>
        <w:spacing w:after="0" w:line="240" w:lineRule="auto"/>
        <w:rPr>
          <w:rFonts w:eastAsia="Times New Roman" w:cs="Times New Roman"/>
          <w:sz w:val="24"/>
          <w:szCs w:val="24"/>
          <w:lang w:val="en-ZA" w:eastAsia="en-ZA"/>
        </w:rPr>
      </w:pPr>
    </w:p>
    <w:p w14:paraId="20F0BDA2" w14:textId="77777777" w:rsidR="00F804E6" w:rsidRPr="00F804E6" w:rsidRDefault="00F804E6" w:rsidP="00F804E6">
      <w:pPr>
        <w:spacing w:after="0" w:line="240" w:lineRule="auto"/>
        <w:rPr>
          <w:rFonts w:eastAsia="Times New Roman" w:cs="Times New Roman"/>
          <w:sz w:val="24"/>
          <w:szCs w:val="24"/>
          <w:lang w:val="en-ZA" w:eastAsia="en-ZA"/>
        </w:rPr>
      </w:pPr>
    </w:p>
    <w:p w14:paraId="4EA7A32D" w14:textId="77777777" w:rsidR="00F804E6" w:rsidRPr="00F804E6" w:rsidRDefault="00F804E6" w:rsidP="00F804E6">
      <w:pPr>
        <w:spacing w:after="0" w:line="240" w:lineRule="auto"/>
        <w:rPr>
          <w:rFonts w:eastAsia="Times New Roman" w:cs="Times New Roman"/>
          <w:sz w:val="24"/>
          <w:szCs w:val="24"/>
          <w:lang w:val="en-ZA" w:eastAsia="en-ZA"/>
        </w:rPr>
      </w:pPr>
    </w:p>
    <w:p w14:paraId="102BDF73" w14:textId="77777777" w:rsidR="00F804E6" w:rsidRPr="00F804E6" w:rsidRDefault="00F804E6" w:rsidP="00F804E6">
      <w:pPr>
        <w:spacing w:after="0" w:line="240" w:lineRule="auto"/>
        <w:rPr>
          <w:rFonts w:eastAsia="Times New Roman" w:cs="Times New Roman"/>
          <w:sz w:val="24"/>
          <w:szCs w:val="24"/>
          <w:lang w:val="en-ZA" w:eastAsia="en-ZA"/>
        </w:rPr>
      </w:pPr>
    </w:p>
    <w:p w14:paraId="7E27FA0B" w14:textId="77777777" w:rsidR="00F804E6" w:rsidRPr="004B57FA" w:rsidRDefault="00F804E6" w:rsidP="00750180">
      <w:pPr>
        <w:numPr>
          <w:ilvl w:val="3"/>
          <w:numId w:val="63"/>
        </w:numPr>
        <w:spacing w:after="0"/>
        <w:contextualSpacing/>
        <w:jc w:val="both"/>
        <w:textAlignment w:val="baseline"/>
        <w:rPr>
          <w:bCs/>
          <w:iCs/>
          <w:szCs w:val="20"/>
          <w:lang w:bidi="en-US"/>
        </w:rPr>
      </w:pPr>
      <w:r w:rsidRPr="004B57FA">
        <w:rPr>
          <w:bCs/>
          <w:iCs/>
          <w:szCs w:val="20"/>
          <w:lang w:bidi="en-US"/>
        </w:rPr>
        <w:t>The following are the poor performance areas and planned measures taken for improvement:-</w:t>
      </w:r>
    </w:p>
    <w:p w14:paraId="5EB06BD5" w14:textId="77777777" w:rsidR="00F804E6" w:rsidRPr="00F804E6" w:rsidRDefault="00F804E6" w:rsidP="00F804E6">
      <w:pPr>
        <w:spacing w:after="0" w:line="240" w:lineRule="auto"/>
        <w:ind w:left="851"/>
        <w:contextualSpacing/>
        <w:textAlignment w:val="baseline"/>
        <w:rPr>
          <w:rFonts w:eastAsia="Times New Roman" w:cs="Times New Roman"/>
          <w:b/>
          <w:bCs/>
          <w:color w:val="000000"/>
          <w:sz w:val="24"/>
          <w:szCs w:val="24"/>
          <w:lang w:eastAsia="en-ZA"/>
        </w:rPr>
      </w:pPr>
    </w:p>
    <w:tbl>
      <w:tblPr>
        <w:tblW w:w="4738" w:type="pct"/>
        <w:tblLook w:val="04A0" w:firstRow="1" w:lastRow="0" w:firstColumn="1" w:lastColumn="0" w:noHBand="0" w:noVBand="1"/>
      </w:tblPr>
      <w:tblGrid>
        <w:gridCol w:w="524"/>
        <w:gridCol w:w="1097"/>
        <w:gridCol w:w="2048"/>
        <w:gridCol w:w="647"/>
        <w:gridCol w:w="783"/>
        <w:gridCol w:w="1968"/>
        <w:gridCol w:w="2056"/>
      </w:tblGrid>
      <w:tr w:rsidR="00F804E6" w:rsidRPr="004B57FA" w14:paraId="71274EBA" w14:textId="77777777" w:rsidTr="004B57FA">
        <w:trPr>
          <w:trHeight w:val="600"/>
          <w:tblHeader/>
        </w:trPr>
        <w:tc>
          <w:tcPr>
            <w:tcW w:w="31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25C3B0" w14:textId="77777777" w:rsidR="00F804E6" w:rsidRPr="004B57FA" w:rsidRDefault="00F804E6" w:rsidP="00F804E6">
            <w:pPr>
              <w:spacing w:after="0" w:line="240" w:lineRule="auto"/>
              <w:rPr>
                <w:rFonts w:eastAsia="Times New Roman" w:cs="Times New Roman"/>
                <w:b/>
                <w:bCs/>
                <w:color w:val="000000"/>
                <w:sz w:val="16"/>
                <w:szCs w:val="18"/>
                <w:lang w:val="en-ZA" w:eastAsia="en-ZA"/>
              </w:rPr>
            </w:pPr>
            <w:r w:rsidRPr="004B57FA">
              <w:rPr>
                <w:rFonts w:eastAsia="Times New Roman" w:cs="Times New Roman"/>
                <w:b/>
                <w:bCs/>
                <w:color w:val="000000"/>
                <w:sz w:val="16"/>
                <w:szCs w:val="18"/>
                <w:lang w:val="en-ZA" w:eastAsia="en-ZA"/>
              </w:rPr>
              <w:t>Ref.</w:t>
            </w:r>
          </w:p>
        </w:tc>
        <w:tc>
          <w:tcPr>
            <w:tcW w:w="55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0D113B4" w14:textId="77777777" w:rsidR="00F804E6" w:rsidRPr="004B57FA" w:rsidRDefault="00F804E6" w:rsidP="00F804E6">
            <w:pPr>
              <w:spacing w:after="0" w:line="240" w:lineRule="auto"/>
              <w:rPr>
                <w:rFonts w:eastAsia="Times New Roman" w:cs="Times New Roman"/>
                <w:b/>
                <w:bCs/>
                <w:color w:val="000000"/>
                <w:sz w:val="16"/>
                <w:szCs w:val="18"/>
                <w:lang w:val="en-ZA" w:eastAsia="en-ZA"/>
              </w:rPr>
            </w:pPr>
            <w:r w:rsidRPr="004B57FA">
              <w:rPr>
                <w:rFonts w:eastAsia="Times New Roman" w:cs="Times New Roman"/>
                <w:b/>
                <w:bCs/>
                <w:color w:val="000000"/>
                <w:sz w:val="16"/>
                <w:szCs w:val="18"/>
                <w:lang w:val="en-ZA" w:eastAsia="en-ZA"/>
              </w:rPr>
              <w:t>Department</w:t>
            </w:r>
          </w:p>
        </w:tc>
        <w:tc>
          <w:tcPr>
            <w:tcW w:w="115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FED8EEC" w14:textId="77777777" w:rsidR="00F804E6" w:rsidRPr="004B57FA" w:rsidRDefault="00F804E6" w:rsidP="00F804E6">
            <w:pPr>
              <w:spacing w:after="0" w:line="240" w:lineRule="auto"/>
              <w:rPr>
                <w:rFonts w:eastAsia="Times New Roman" w:cs="Times New Roman"/>
                <w:b/>
                <w:bCs/>
                <w:color w:val="000000"/>
                <w:sz w:val="16"/>
                <w:szCs w:val="18"/>
                <w:lang w:val="en-ZA" w:eastAsia="en-ZA"/>
              </w:rPr>
            </w:pPr>
            <w:r w:rsidRPr="004B57FA">
              <w:rPr>
                <w:rFonts w:eastAsia="Times New Roman" w:cs="Times New Roman"/>
                <w:b/>
                <w:bCs/>
                <w:color w:val="000000"/>
                <w:sz w:val="16"/>
                <w:szCs w:val="18"/>
                <w:lang w:val="en-ZA" w:eastAsia="en-ZA"/>
              </w:rPr>
              <w:t>KPI</w:t>
            </w:r>
          </w:p>
        </w:tc>
        <w:tc>
          <w:tcPr>
            <w:tcW w:w="38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90C5DC" w14:textId="77777777" w:rsidR="00F804E6" w:rsidRPr="004B57FA" w:rsidRDefault="00F804E6" w:rsidP="00F804E6">
            <w:pPr>
              <w:spacing w:after="0" w:line="240" w:lineRule="auto"/>
              <w:jc w:val="center"/>
              <w:rPr>
                <w:rFonts w:eastAsia="Times New Roman" w:cs="Times New Roman"/>
                <w:b/>
                <w:bCs/>
                <w:color w:val="000000"/>
                <w:sz w:val="16"/>
                <w:szCs w:val="18"/>
                <w:lang w:val="en-ZA" w:eastAsia="en-ZA"/>
              </w:rPr>
            </w:pPr>
            <w:r w:rsidRPr="004B57FA">
              <w:rPr>
                <w:rFonts w:eastAsia="Times New Roman" w:cs="Times New Roman"/>
                <w:b/>
                <w:bCs/>
                <w:color w:val="000000"/>
                <w:sz w:val="16"/>
                <w:szCs w:val="18"/>
                <w:lang w:val="en-ZA" w:eastAsia="en-ZA"/>
              </w:rPr>
              <w:t>Target</w:t>
            </w:r>
          </w:p>
        </w:tc>
        <w:tc>
          <w:tcPr>
            <w:tcW w:w="33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033F66" w14:textId="77777777" w:rsidR="00F804E6" w:rsidRPr="004B57FA" w:rsidRDefault="00F804E6" w:rsidP="00F804E6">
            <w:pPr>
              <w:spacing w:after="0" w:line="240" w:lineRule="auto"/>
              <w:jc w:val="center"/>
              <w:rPr>
                <w:rFonts w:eastAsia="Times New Roman" w:cs="Times New Roman"/>
                <w:b/>
                <w:bCs/>
                <w:color w:val="000000"/>
                <w:sz w:val="16"/>
                <w:szCs w:val="18"/>
                <w:lang w:val="en-ZA" w:eastAsia="en-ZA"/>
              </w:rPr>
            </w:pPr>
            <w:r w:rsidRPr="004B57FA">
              <w:rPr>
                <w:rFonts w:eastAsia="Times New Roman" w:cs="Times New Roman"/>
                <w:b/>
                <w:bCs/>
                <w:color w:val="000000"/>
                <w:sz w:val="16"/>
                <w:szCs w:val="18"/>
                <w:lang w:val="en-ZA" w:eastAsia="en-ZA"/>
              </w:rPr>
              <w:t>Actual</w:t>
            </w:r>
          </w:p>
        </w:tc>
        <w:tc>
          <w:tcPr>
            <w:tcW w:w="110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FA3E18E" w14:textId="77777777" w:rsidR="00F804E6" w:rsidRPr="004B57FA" w:rsidRDefault="00F804E6" w:rsidP="00F804E6">
            <w:pPr>
              <w:spacing w:after="0" w:line="240" w:lineRule="auto"/>
              <w:jc w:val="center"/>
              <w:rPr>
                <w:rFonts w:eastAsia="Times New Roman" w:cs="Times New Roman"/>
                <w:b/>
                <w:bCs/>
                <w:color w:val="000000"/>
                <w:sz w:val="16"/>
                <w:szCs w:val="18"/>
                <w:lang w:val="en-ZA" w:eastAsia="en-ZA"/>
              </w:rPr>
            </w:pPr>
            <w:r w:rsidRPr="004B57FA">
              <w:rPr>
                <w:rFonts w:eastAsia="Times New Roman" w:cs="Times New Roman"/>
                <w:b/>
                <w:bCs/>
                <w:color w:val="000000"/>
                <w:sz w:val="16"/>
                <w:szCs w:val="18"/>
                <w:lang w:val="en-ZA" w:eastAsia="en-ZA"/>
              </w:rPr>
              <w:t xml:space="preserve">Reasons for non-achievement </w:t>
            </w:r>
          </w:p>
          <w:p w14:paraId="6D10D295" w14:textId="77777777" w:rsidR="00F804E6" w:rsidRPr="004B57FA" w:rsidRDefault="00F804E6" w:rsidP="00F804E6">
            <w:pPr>
              <w:spacing w:after="0" w:line="240" w:lineRule="auto"/>
              <w:jc w:val="center"/>
              <w:rPr>
                <w:rFonts w:eastAsia="Times New Roman" w:cs="Times New Roman"/>
                <w:b/>
                <w:bCs/>
                <w:color w:val="000000"/>
                <w:sz w:val="16"/>
                <w:szCs w:val="18"/>
                <w:lang w:val="en-ZA" w:eastAsia="en-ZA"/>
              </w:rPr>
            </w:pPr>
            <w:r w:rsidRPr="004B57FA">
              <w:rPr>
                <w:rFonts w:eastAsia="Times New Roman" w:cs="Times New Roman"/>
                <w:b/>
                <w:bCs/>
                <w:color w:val="000000"/>
                <w:sz w:val="16"/>
                <w:szCs w:val="18"/>
                <w:lang w:val="en-ZA" w:eastAsia="en-ZA"/>
              </w:rPr>
              <w:t>of targets</w:t>
            </w:r>
          </w:p>
        </w:tc>
        <w:tc>
          <w:tcPr>
            <w:tcW w:w="115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96BA1B4" w14:textId="77777777" w:rsidR="00F804E6" w:rsidRPr="004B57FA" w:rsidRDefault="00F804E6" w:rsidP="00F804E6">
            <w:pPr>
              <w:spacing w:after="0" w:line="240" w:lineRule="auto"/>
              <w:jc w:val="center"/>
              <w:rPr>
                <w:rFonts w:eastAsia="Times New Roman" w:cs="Times New Roman"/>
                <w:b/>
                <w:bCs/>
                <w:color w:val="000000"/>
                <w:sz w:val="16"/>
                <w:szCs w:val="18"/>
                <w:lang w:val="en-ZA" w:eastAsia="en-ZA"/>
              </w:rPr>
            </w:pPr>
            <w:r w:rsidRPr="004B57FA">
              <w:rPr>
                <w:rFonts w:eastAsia="Times New Roman" w:cs="Times New Roman"/>
                <w:b/>
                <w:bCs/>
                <w:sz w:val="16"/>
                <w:szCs w:val="18"/>
                <w:lang w:val="en-ZA" w:eastAsia="en-ZA"/>
              </w:rPr>
              <w:t>Measures taken for Improvement</w:t>
            </w:r>
          </w:p>
        </w:tc>
      </w:tr>
      <w:tr w:rsidR="00F804E6" w:rsidRPr="004B57FA" w14:paraId="5BE08DE1" w14:textId="77777777" w:rsidTr="004B57FA">
        <w:trPr>
          <w:trHeight w:val="1203"/>
        </w:trPr>
        <w:tc>
          <w:tcPr>
            <w:tcW w:w="311" w:type="pct"/>
            <w:tcBorders>
              <w:top w:val="single" w:sz="4" w:space="0" w:color="auto"/>
              <w:left w:val="single" w:sz="4" w:space="0" w:color="000000"/>
              <w:bottom w:val="single" w:sz="4" w:space="0" w:color="000000"/>
              <w:right w:val="single" w:sz="4" w:space="0" w:color="000000"/>
            </w:tcBorders>
            <w:shd w:val="clear" w:color="auto" w:fill="auto"/>
            <w:hideMark/>
          </w:tcPr>
          <w:p w14:paraId="0C043BB2"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TL1</w:t>
            </w:r>
          </w:p>
        </w:tc>
        <w:tc>
          <w:tcPr>
            <w:tcW w:w="553" w:type="pct"/>
            <w:tcBorders>
              <w:top w:val="single" w:sz="4" w:space="0" w:color="auto"/>
              <w:left w:val="nil"/>
              <w:bottom w:val="single" w:sz="4" w:space="0" w:color="000000"/>
              <w:right w:val="single" w:sz="4" w:space="0" w:color="000000"/>
            </w:tcBorders>
            <w:shd w:val="clear" w:color="auto" w:fill="auto"/>
            <w:hideMark/>
          </w:tcPr>
          <w:p w14:paraId="1972D48A"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Office of the MM</w:t>
            </w:r>
          </w:p>
        </w:tc>
        <w:tc>
          <w:tcPr>
            <w:tcW w:w="1154" w:type="pct"/>
            <w:tcBorders>
              <w:top w:val="single" w:sz="4" w:space="0" w:color="auto"/>
              <w:left w:val="nil"/>
              <w:bottom w:val="single" w:sz="4" w:space="0" w:color="000000"/>
              <w:right w:val="single" w:sz="4" w:space="0" w:color="000000"/>
            </w:tcBorders>
            <w:shd w:val="clear" w:color="auto" w:fill="auto"/>
            <w:hideMark/>
          </w:tcPr>
          <w:p w14:paraId="65506070"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Fill funded prioritized vacant posts of Director Engineering Services and Director Planning &amp; Development in the organogram by 30 June 2017</w:t>
            </w:r>
          </w:p>
        </w:tc>
        <w:tc>
          <w:tcPr>
            <w:tcW w:w="382" w:type="pct"/>
            <w:tcBorders>
              <w:top w:val="single" w:sz="4" w:space="0" w:color="auto"/>
              <w:left w:val="nil"/>
              <w:bottom w:val="single" w:sz="4" w:space="0" w:color="000000"/>
              <w:right w:val="single" w:sz="4" w:space="0" w:color="000000"/>
            </w:tcBorders>
            <w:shd w:val="clear" w:color="000000" w:fill="EEEEEE"/>
            <w:vAlign w:val="center"/>
            <w:hideMark/>
          </w:tcPr>
          <w:p w14:paraId="57908C44"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2</w:t>
            </w:r>
          </w:p>
        </w:tc>
        <w:tc>
          <w:tcPr>
            <w:tcW w:w="338" w:type="pct"/>
            <w:tcBorders>
              <w:top w:val="single" w:sz="4" w:space="0" w:color="auto"/>
              <w:left w:val="nil"/>
              <w:bottom w:val="single" w:sz="4" w:space="0" w:color="000000"/>
              <w:right w:val="single" w:sz="4" w:space="0" w:color="000000"/>
            </w:tcBorders>
            <w:shd w:val="clear" w:color="000000" w:fill="EEEEEE"/>
            <w:vAlign w:val="center"/>
            <w:hideMark/>
          </w:tcPr>
          <w:p w14:paraId="5F61F5E7"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0</w:t>
            </w:r>
          </w:p>
        </w:tc>
        <w:tc>
          <w:tcPr>
            <w:tcW w:w="1106" w:type="pct"/>
            <w:tcBorders>
              <w:top w:val="single" w:sz="4" w:space="0" w:color="auto"/>
              <w:left w:val="nil"/>
              <w:bottom w:val="single" w:sz="4" w:space="0" w:color="000000"/>
              <w:right w:val="single" w:sz="4" w:space="0" w:color="000000"/>
            </w:tcBorders>
            <w:shd w:val="clear" w:color="000000" w:fill="FFFFFF"/>
            <w:hideMark/>
          </w:tcPr>
          <w:p w14:paraId="4C2379A8" w14:textId="77777777" w:rsidR="00F804E6" w:rsidRPr="004B57FA" w:rsidRDefault="00F804E6" w:rsidP="00F804E6">
            <w:pPr>
              <w:spacing w:after="0" w:line="240" w:lineRule="auto"/>
              <w:rPr>
                <w:rFonts w:eastAsia="Times New Roman" w:cs="Times New Roman"/>
                <w:bCs/>
                <w:color w:val="000000"/>
                <w:sz w:val="16"/>
                <w:szCs w:val="18"/>
                <w:lang w:val="en-ZA" w:eastAsia="en-ZA"/>
              </w:rPr>
            </w:pPr>
            <w:r w:rsidRPr="004B57FA">
              <w:rPr>
                <w:rFonts w:eastAsia="Times New Roman" w:cs="Times New Roman"/>
                <w:bCs/>
                <w:color w:val="000000"/>
                <w:sz w:val="16"/>
                <w:szCs w:val="18"/>
                <w:lang w:val="en-ZA" w:eastAsia="en-ZA"/>
              </w:rPr>
              <w:t>Positions of Director Engineering Services &amp; planning and Development were not filled.</w:t>
            </w:r>
          </w:p>
        </w:tc>
        <w:tc>
          <w:tcPr>
            <w:tcW w:w="1154" w:type="pct"/>
            <w:tcBorders>
              <w:top w:val="single" w:sz="4" w:space="0" w:color="auto"/>
              <w:left w:val="nil"/>
              <w:bottom w:val="single" w:sz="4" w:space="0" w:color="000000"/>
              <w:right w:val="single" w:sz="4" w:space="0" w:color="000000"/>
            </w:tcBorders>
            <w:shd w:val="clear" w:color="000000" w:fill="FFFFFF"/>
            <w:hideMark/>
          </w:tcPr>
          <w:p w14:paraId="07FEFA9A" w14:textId="77777777" w:rsidR="00F804E6" w:rsidRPr="004B57FA" w:rsidRDefault="00F804E6" w:rsidP="00F804E6">
            <w:pPr>
              <w:spacing w:after="0" w:line="240" w:lineRule="auto"/>
              <w:rPr>
                <w:rFonts w:eastAsia="Times New Roman" w:cs="Times New Roman"/>
                <w:bCs/>
                <w:color w:val="000000"/>
                <w:sz w:val="16"/>
                <w:szCs w:val="18"/>
                <w:lang w:val="en-ZA" w:eastAsia="en-ZA"/>
              </w:rPr>
            </w:pPr>
            <w:r w:rsidRPr="004B57FA">
              <w:rPr>
                <w:rFonts w:eastAsia="Times New Roman" w:cs="Times New Roman"/>
                <w:bCs/>
                <w:color w:val="000000"/>
                <w:sz w:val="16"/>
                <w:szCs w:val="18"/>
                <w:lang w:val="en-ZA" w:eastAsia="en-ZA"/>
              </w:rPr>
              <w:t>The posts have been advertised and the appointment process is in progress.</w:t>
            </w:r>
          </w:p>
        </w:tc>
      </w:tr>
      <w:tr w:rsidR="00F804E6" w:rsidRPr="004B57FA" w14:paraId="7A683B7B" w14:textId="77777777" w:rsidTr="004B57FA">
        <w:trPr>
          <w:trHeight w:val="1393"/>
        </w:trPr>
        <w:tc>
          <w:tcPr>
            <w:tcW w:w="311" w:type="pct"/>
            <w:tcBorders>
              <w:top w:val="nil"/>
              <w:left w:val="single" w:sz="4" w:space="0" w:color="000000"/>
              <w:bottom w:val="single" w:sz="4" w:space="0" w:color="000000"/>
              <w:right w:val="single" w:sz="4" w:space="0" w:color="000000"/>
            </w:tcBorders>
            <w:shd w:val="clear" w:color="auto" w:fill="auto"/>
            <w:hideMark/>
          </w:tcPr>
          <w:p w14:paraId="50AFE9D2"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TL7</w:t>
            </w:r>
          </w:p>
        </w:tc>
        <w:tc>
          <w:tcPr>
            <w:tcW w:w="553" w:type="pct"/>
            <w:tcBorders>
              <w:top w:val="nil"/>
              <w:left w:val="nil"/>
              <w:bottom w:val="single" w:sz="4" w:space="0" w:color="000000"/>
              <w:right w:val="single" w:sz="4" w:space="0" w:color="000000"/>
            </w:tcBorders>
            <w:shd w:val="clear" w:color="auto" w:fill="auto"/>
            <w:hideMark/>
          </w:tcPr>
          <w:p w14:paraId="07AA0B83"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Office of the MM</w:t>
            </w:r>
          </w:p>
        </w:tc>
        <w:tc>
          <w:tcPr>
            <w:tcW w:w="1154" w:type="pct"/>
            <w:tcBorders>
              <w:top w:val="nil"/>
              <w:left w:val="nil"/>
              <w:bottom w:val="single" w:sz="4" w:space="0" w:color="000000"/>
              <w:right w:val="single" w:sz="4" w:space="0" w:color="000000"/>
            </w:tcBorders>
            <w:shd w:val="clear" w:color="auto" w:fill="auto"/>
            <w:hideMark/>
          </w:tcPr>
          <w:p w14:paraId="21885B7C"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2 people from employment equity target groups to be employed in the three highest levels of management in compliance with approved equity plan by 30 June 2017 (Excluding Section 54/56)</w:t>
            </w:r>
          </w:p>
        </w:tc>
        <w:tc>
          <w:tcPr>
            <w:tcW w:w="382" w:type="pct"/>
            <w:tcBorders>
              <w:top w:val="nil"/>
              <w:left w:val="nil"/>
              <w:bottom w:val="single" w:sz="4" w:space="0" w:color="000000"/>
              <w:right w:val="single" w:sz="4" w:space="0" w:color="000000"/>
            </w:tcBorders>
            <w:shd w:val="clear" w:color="000000" w:fill="EEEEEE"/>
            <w:vAlign w:val="center"/>
            <w:hideMark/>
          </w:tcPr>
          <w:p w14:paraId="072A750C"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2</w:t>
            </w:r>
          </w:p>
        </w:tc>
        <w:tc>
          <w:tcPr>
            <w:tcW w:w="338" w:type="pct"/>
            <w:tcBorders>
              <w:top w:val="nil"/>
              <w:left w:val="nil"/>
              <w:bottom w:val="single" w:sz="4" w:space="0" w:color="000000"/>
              <w:right w:val="single" w:sz="4" w:space="0" w:color="000000"/>
            </w:tcBorders>
            <w:shd w:val="clear" w:color="000000" w:fill="EEEEEE"/>
            <w:vAlign w:val="center"/>
            <w:hideMark/>
          </w:tcPr>
          <w:p w14:paraId="02D90E67"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0</w:t>
            </w:r>
          </w:p>
        </w:tc>
        <w:tc>
          <w:tcPr>
            <w:tcW w:w="1106" w:type="pct"/>
            <w:tcBorders>
              <w:top w:val="nil"/>
              <w:left w:val="nil"/>
              <w:bottom w:val="single" w:sz="4" w:space="0" w:color="000000"/>
              <w:right w:val="single" w:sz="4" w:space="0" w:color="000000"/>
            </w:tcBorders>
            <w:shd w:val="clear" w:color="000000" w:fill="FFFFFF"/>
            <w:hideMark/>
          </w:tcPr>
          <w:p w14:paraId="5C0A2C01" w14:textId="77777777" w:rsidR="00F804E6" w:rsidRPr="004B57FA" w:rsidRDefault="00F804E6" w:rsidP="00F804E6">
            <w:pPr>
              <w:spacing w:after="0" w:line="240" w:lineRule="auto"/>
              <w:rPr>
                <w:rFonts w:eastAsia="Times New Roman" w:cs="Times New Roman"/>
                <w:bCs/>
                <w:color w:val="000000"/>
                <w:sz w:val="16"/>
                <w:szCs w:val="18"/>
                <w:lang w:val="en-ZA" w:eastAsia="en-ZA"/>
              </w:rPr>
            </w:pPr>
            <w:r w:rsidRPr="004B57FA">
              <w:rPr>
                <w:rFonts w:eastAsia="Times New Roman" w:cs="Times New Roman"/>
                <w:bCs/>
                <w:color w:val="000000"/>
                <w:sz w:val="16"/>
                <w:szCs w:val="18"/>
                <w:lang w:val="en-ZA" w:eastAsia="en-ZA"/>
              </w:rPr>
              <w:t>There were no positions filled in the 2016/2017 FY in the category, hence the target was not achieved.</w:t>
            </w:r>
          </w:p>
        </w:tc>
        <w:tc>
          <w:tcPr>
            <w:tcW w:w="1154" w:type="pct"/>
            <w:tcBorders>
              <w:top w:val="nil"/>
              <w:left w:val="nil"/>
              <w:bottom w:val="single" w:sz="4" w:space="0" w:color="000000"/>
              <w:right w:val="single" w:sz="4" w:space="0" w:color="000000"/>
            </w:tcBorders>
            <w:shd w:val="clear" w:color="000000" w:fill="FFFFFF"/>
            <w:hideMark/>
          </w:tcPr>
          <w:p w14:paraId="0D47111D" w14:textId="77777777" w:rsidR="00F804E6" w:rsidRPr="004B57FA" w:rsidRDefault="00F804E6" w:rsidP="00F804E6">
            <w:pPr>
              <w:spacing w:after="0" w:line="240" w:lineRule="auto"/>
              <w:rPr>
                <w:rFonts w:eastAsia="Times New Roman" w:cs="Times New Roman"/>
                <w:bCs/>
                <w:color w:val="000000"/>
                <w:sz w:val="16"/>
                <w:szCs w:val="18"/>
                <w:lang w:val="en-ZA" w:eastAsia="en-ZA"/>
              </w:rPr>
            </w:pPr>
            <w:r w:rsidRPr="004B57FA">
              <w:rPr>
                <w:rFonts w:eastAsia="Times New Roman" w:cs="Times New Roman"/>
                <w:bCs/>
                <w:color w:val="000000"/>
                <w:sz w:val="16"/>
                <w:szCs w:val="18"/>
                <w:lang w:val="en-ZA" w:eastAsia="en-ZA"/>
              </w:rPr>
              <w:t>The positions of MM, DCS, CFO, DES, DPD, DCOM have been advertised. The shortlisting is in progress. The filling of these positions are done in terms of EEP.</w:t>
            </w:r>
          </w:p>
        </w:tc>
      </w:tr>
      <w:tr w:rsidR="00F804E6" w:rsidRPr="004B57FA" w14:paraId="27CA86CC" w14:textId="77777777" w:rsidTr="004B57FA">
        <w:trPr>
          <w:trHeight w:val="1000"/>
        </w:trPr>
        <w:tc>
          <w:tcPr>
            <w:tcW w:w="311" w:type="pct"/>
            <w:tcBorders>
              <w:top w:val="nil"/>
              <w:left w:val="single" w:sz="4" w:space="0" w:color="000000"/>
              <w:bottom w:val="single" w:sz="4" w:space="0" w:color="000000"/>
              <w:right w:val="single" w:sz="4" w:space="0" w:color="000000"/>
            </w:tcBorders>
            <w:shd w:val="clear" w:color="auto" w:fill="auto"/>
            <w:hideMark/>
          </w:tcPr>
          <w:p w14:paraId="0BBED57F"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TL10</w:t>
            </w:r>
          </w:p>
        </w:tc>
        <w:tc>
          <w:tcPr>
            <w:tcW w:w="553" w:type="pct"/>
            <w:tcBorders>
              <w:top w:val="nil"/>
              <w:left w:val="nil"/>
              <w:bottom w:val="single" w:sz="4" w:space="0" w:color="000000"/>
              <w:right w:val="single" w:sz="4" w:space="0" w:color="000000"/>
            </w:tcBorders>
            <w:shd w:val="clear" w:color="auto" w:fill="auto"/>
            <w:hideMark/>
          </w:tcPr>
          <w:p w14:paraId="33112DB2"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Office of the MM</w:t>
            </w:r>
          </w:p>
        </w:tc>
        <w:tc>
          <w:tcPr>
            <w:tcW w:w="1154" w:type="pct"/>
            <w:tcBorders>
              <w:top w:val="nil"/>
              <w:left w:val="nil"/>
              <w:bottom w:val="single" w:sz="4" w:space="0" w:color="000000"/>
              <w:right w:val="single" w:sz="4" w:space="0" w:color="000000"/>
            </w:tcBorders>
            <w:shd w:val="clear" w:color="auto" w:fill="auto"/>
            <w:hideMark/>
          </w:tcPr>
          <w:p w14:paraId="3512E739"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Conduct needs assessments for use of Service Providers and submit to exco by 30 June 2017</w:t>
            </w:r>
          </w:p>
        </w:tc>
        <w:tc>
          <w:tcPr>
            <w:tcW w:w="382" w:type="pct"/>
            <w:tcBorders>
              <w:top w:val="nil"/>
              <w:left w:val="nil"/>
              <w:bottom w:val="single" w:sz="4" w:space="0" w:color="000000"/>
              <w:right w:val="single" w:sz="4" w:space="0" w:color="000000"/>
            </w:tcBorders>
            <w:shd w:val="clear" w:color="000000" w:fill="EEEEEE"/>
            <w:vAlign w:val="center"/>
            <w:hideMark/>
          </w:tcPr>
          <w:p w14:paraId="313D3C37"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1</w:t>
            </w:r>
          </w:p>
        </w:tc>
        <w:tc>
          <w:tcPr>
            <w:tcW w:w="338" w:type="pct"/>
            <w:tcBorders>
              <w:top w:val="nil"/>
              <w:left w:val="nil"/>
              <w:bottom w:val="single" w:sz="4" w:space="0" w:color="000000"/>
              <w:right w:val="single" w:sz="4" w:space="0" w:color="000000"/>
            </w:tcBorders>
            <w:shd w:val="clear" w:color="000000" w:fill="EEEEEE"/>
            <w:vAlign w:val="center"/>
            <w:hideMark/>
          </w:tcPr>
          <w:p w14:paraId="153BE0E6"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0</w:t>
            </w:r>
          </w:p>
        </w:tc>
        <w:tc>
          <w:tcPr>
            <w:tcW w:w="1106" w:type="pct"/>
            <w:tcBorders>
              <w:top w:val="nil"/>
              <w:left w:val="nil"/>
              <w:bottom w:val="single" w:sz="4" w:space="0" w:color="000000"/>
              <w:right w:val="single" w:sz="4" w:space="0" w:color="000000"/>
            </w:tcBorders>
            <w:shd w:val="clear" w:color="000000" w:fill="FFFFFF"/>
            <w:hideMark/>
          </w:tcPr>
          <w:p w14:paraId="352FA601" w14:textId="77777777" w:rsidR="00F804E6" w:rsidRPr="004B57FA" w:rsidRDefault="00F804E6" w:rsidP="00F804E6">
            <w:pPr>
              <w:spacing w:after="0" w:line="240" w:lineRule="auto"/>
              <w:rPr>
                <w:rFonts w:eastAsia="Times New Roman" w:cs="Times New Roman"/>
                <w:bCs/>
                <w:color w:val="000000"/>
                <w:sz w:val="16"/>
                <w:szCs w:val="18"/>
                <w:lang w:val="en-ZA" w:eastAsia="en-ZA"/>
              </w:rPr>
            </w:pPr>
            <w:r w:rsidRPr="004B57FA">
              <w:rPr>
                <w:rFonts w:eastAsia="Times New Roman" w:cs="Times New Roman"/>
                <w:bCs/>
                <w:color w:val="000000"/>
                <w:sz w:val="16"/>
                <w:szCs w:val="18"/>
                <w:lang w:val="en-ZA" w:eastAsia="en-ZA"/>
              </w:rPr>
              <w:t>A needs assessment was never done, hence departments were uncertain on what template to use for the report.</w:t>
            </w:r>
          </w:p>
        </w:tc>
        <w:tc>
          <w:tcPr>
            <w:tcW w:w="1154" w:type="pct"/>
            <w:tcBorders>
              <w:top w:val="nil"/>
              <w:left w:val="nil"/>
              <w:bottom w:val="single" w:sz="4" w:space="0" w:color="000000"/>
              <w:right w:val="single" w:sz="4" w:space="0" w:color="000000"/>
            </w:tcBorders>
            <w:shd w:val="clear" w:color="000000" w:fill="FFFFFF"/>
            <w:hideMark/>
          </w:tcPr>
          <w:p w14:paraId="00005506" w14:textId="77777777" w:rsidR="00F804E6" w:rsidRPr="004B57FA" w:rsidRDefault="00F804E6" w:rsidP="00F804E6">
            <w:pPr>
              <w:spacing w:after="0" w:line="240" w:lineRule="auto"/>
              <w:rPr>
                <w:rFonts w:eastAsia="Times New Roman" w:cs="Times New Roman"/>
                <w:bCs/>
                <w:sz w:val="16"/>
                <w:szCs w:val="18"/>
                <w:lang w:val="en-ZA" w:eastAsia="en-ZA"/>
              </w:rPr>
            </w:pPr>
            <w:r w:rsidRPr="004B57FA">
              <w:rPr>
                <w:rFonts w:eastAsia="Times New Roman" w:cs="Times New Roman"/>
                <w:bCs/>
                <w:sz w:val="16"/>
                <w:szCs w:val="18"/>
                <w:lang w:val="en-ZA" w:eastAsia="en-ZA"/>
              </w:rPr>
              <w:t xml:space="preserve">A template has been designed to standardize the reporting and is expected to be approved in December 2017.  </w:t>
            </w:r>
          </w:p>
        </w:tc>
      </w:tr>
      <w:tr w:rsidR="00F804E6" w:rsidRPr="004B57FA" w14:paraId="29FB2FC0" w14:textId="77777777" w:rsidTr="004B57FA">
        <w:trPr>
          <w:trHeight w:val="983"/>
        </w:trPr>
        <w:tc>
          <w:tcPr>
            <w:tcW w:w="311" w:type="pct"/>
            <w:tcBorders>
              <w:top w:val="nil"/>
              <w:left w:val="single" w:sz="4" w:space="0" w:color="000000"/>
              <w:bottom w:val="single" w:sz="4" w:space="0" w:color="000000"/>
              <w:right w:val="single" w:sz="4" w:space="0" w:color="000000"/>
            </w:tcBorders>
            <w:shd w:val="clear" w:color="auto" w:fill="auto"/>
            <w:hideMark/>
          </w:tcPr>
          <w:p w14:paraId="1FA1FBC2"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TL13</w:t>
            </w:r>
          </w:p>
        </w:tc>
        <w:tc>
          <w:tcPr>
            <w:tcW w:w="553" w:type="pct"/>
            <w:tcBorders>
              <w:top w:val="nil"/>
              <w:left w:val="nil"/>
              <w:bottom w:val="single" w:sz="4" w:space="0" w:color="000000"/>
              <w:right w:val="single" w:sz="4" w:space="0" w:color="000000"/>
            </w:tcBorders>
            <w:shd w:val="clear" w:color="auto" w:fill="auto"/>
            <w:hideMark/>
          </w:tcPr>
          <w:p w14:paraId="2443F2DB"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Community Services</w:t>
            </w:r>
          </w:p>
        </w:tc>
        <w:tc>
          <w:tcPr>
            <w:tcW w:w="1154" w:type="pct"/>
            <w:tcBorders>
              <w:top w:val="nil"/>
              <w:left w:val="nil"/>
              <w:bottom w:val="single" w:sz="4" w:space="0" w:color="000000"/>
              <w:right w:val="single" w:sz="4" w:space="0" w:color="000000"/>
            </w:tcBorders>
            <w:shd w:val="clear" w:color="auto" w:fill="auto"/>
            <w:hideMark/>
          </w:tcPr>
          <w:p w14:paraId="5DC889EF"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Conduct needs assessments for use of Service Providers and submit to MM by 31 March 2017</w:t>
            </w:r>
          </w:p>
        </w:tc>
        <w:tc>
          <w:tcPr>
            <w:tcW w:w="382" w:type="pct"/>
            <w:tcBorders>
              <w:top w:val="nil"/>
              <w:left w:val="nil"/>
              <w:bottom w:val="single" w:sz="4" w:space="0" w:color="000000"/>
              <w:right w:val="single" w:sz="4" w:space="0" w:color="000000"/>
            </w:tcBorders>
            <w:shd w:val="clear" w:color="000000" w:fill="EEEEEE"/>
            <w:vAlign w:val="center"/>
            <w:hideMark/>
          </w:tcPr>
          <w:p w14:paraId="71606F83"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1</w:t>
            </w:r>
          </w:p>
        </w:tc>
        <w:tc>
          <w:tcPr>
            <w:tcW w:w="338" w:type="pct"/>
            <w:tcBorders>
              <w:top w:val="nil"/>
              <w:left w:val="nil"/>
              <w:bottom w:val="single" w:sz="4" w:space="0" w:color="000000"/>
              <w:right w:val="single" w:sz="4" w:space="0" w:color="000000"/>
            </w:tcBorders>
            <w:shd w:val="clear" w:color="000000" w:fill="EEEEEE"/>
            <w:vAlign w:val="center"/>
            <w:hideMark/>
          </w:tcPr>
          <w:p w14:paraId="1BA2DEB1"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0</w:t>
            </w:r>
          </w:p>
        </w:tc>
        <w:tc>
          <w:tcPr>
            <w:tcW w:w="1106" w:type="pct"/>
            <w:tcBorders>
              <w:top w:val="nil"/>
              <w:left w:val="nil"/>
              <w:bottom w:val="single" w:sz="4" w:space="0" w:color="000000"/>
              <w:right w:val="single" w:sz="4" w:space="0" w:color="000000"/>
            </w:tcBorders>
            <w:shd w:val="clear" w:color="000000" w:fill="FFFFFF"/>
            <w:hideMark/>
          </w:tcPr>
          <w:p w14:paraId="5245E791" w14:textId="77777777" w:rsidR="00F804E6" w:rsidRPr="004B57FA" w:rsidRDefault="00F804E6" w:rsidP="00F804E6">
            <w:pPr>
              <w:spacing w:after="0" w:line="240" w:lineRule="auto"/>
              <w:rPr>
                <w:rFonts w:eastAsia="Times New Roman" w:cs="Times New Roman"/>
                <w:bCs/>
                <w:color w:val="000000"/>
                <w:sz w:val="16"/>
                <w:szCs w:val="18"/>
                <w:lang w:val="en-ZA" w:eastAsia="en-ZA"/>
              </w:rPr>
            </w:pPr>
            <w:r w:rsidRPr="004B57FA">
              <w:rPr>
                <w:rFonts w:eastAsia="Times New Roman" w:cs="Times New Roman"/>
                <w:bCs/>
                <w:color w:val="000000"/>
                <w:sz w:val="16"/>
                <w:szCs w:val="18"/>
                <w:lang w:val="en-ZA" w:eastAsia="en-ZA"/>
              </w:rPr>
              <w:t>A needs assessment was never done, hence departments were uncertain on what template to use for the report.</w:t>
            </w:r>
          </w:p>
        </w:tc>
        <w:tc>
          <w:tcPr>
            <w:tcW w:w="1154" w:type="pct"/>
            <w:tcBorders>
              <w:top w:val="nil"/>
              <w:left w:val="nil"/>
              <w:bottom w:val="single" w:sz="4" w:space="0" w:color="000000"/>
              <w:right w:val="single" w:sz="4" w:space="0" w:color="000000"/>
            </w:tcBorders>
            <w:shd w:val="clear" w:color="000000" w:fill="FFFFFF"/>
            <w:hideMark/>
          </w:tcPr>
          <w:p w14:paraId="5ED19983" w14:textId="77777777" w:rsidR="00F804E6" w:rsidRPr="004B57FA" w:rsidRDefault="00F804E6" w:rsidP="00F804E6">
            <w:pPr>
              <w:rPr>
                <w:rFonts w:eastAsia="Times New Roman" w:cs="Times New Roman"/>
                <w:sz w:val="16"/>
                <w:szCs w:val="18"/>
                <w:lang w:val="en-ZA" w:eastAsia="en-ZA"/>
              </w:rPr>
            </w:pPr>
            <w:r w:rsidRPr="004B57FA">
              <w:rPr>
                <w:rFonts w:eastAsia="Times New Roman" w:cs="Times New Roman"/>
                <w:bCs/>
                <w:sz w:val="16"/>
                <w:szCs w:val="18"/>
                <w:lang w:val="en-ZA" w:eastAsia="en-ZA"/>
              </w:rPr>
              <w:t xml:space="preserve">A template has been designed to standardize the reporting and is expected to be approved in December 2017.    </w:t>
            </w:r>
          </w:p>
        </w:tc>
      </w:tr>
      <w:tr w:rsidR="00F804E6" w:rsidRPr="004B57FA" w14:paraId="7ABA213E" w14:textId="77777777" w:rsidTr="004B57FA">
        <w:trPr>
          <w:trHeight w:val="983"/>
        </w:trPr>
        <w:tc>
          <w:tcPr>
            <w:tcW w:w="311" w:type="pct"/>
            <w:tcBorders>
              <w:top w:val="nil"/>
              <w:left w:val="single" w:sz="4" w:space="0" w:color="000000"/>
              <w:bottom w:val="single" w:sz="4" w:space="0" w:color="000000"/>
              <w:right w:val="single" w:sz="4" w:space="0" w:color="000000"/>
            </w:tcBorders>
            <w:shd w:val="clear" w:color="auto" w:fill="auto"/>
            <w:hideMark/>
          </w:tcPr>
          <w:p w14:paraId="2463A794"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TL14</w:t>
            </w:r>
          </w:p>
        </w:tc>
        <w:tc>
          <w:tcPr>
            <w:tcW w:w="553" w:type="pct"/>
            <w:tcBorders>
              <w:top w:val="nil"/>
              <w:left w:val="nil"/>
              <w:bottom w:val="single" w:sz="4" w:space="0" w:color="000000"/>
              <w:right w:val="single" w:sz="4" w:space="0" w:color="000000"/>
            </w:tcBorders>
            <w:shd w:val="clear" w:color="auto" w:fill="auto"/>
            <w:hideMark/>
          </w:tcPr>
          <w:p w14:paraId="1E208F8A"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Engineering Services</w:t>
            </w:r>
          </w:p>
        </w:tc>
        <w:tc>
          <w:tcPr>
            <w:tcW w:w="1154" w:type="pct"/>
            <w:tcBorders>
              <w:top w:val="nil"/>
              <w:left w:val="nil"/>
              <w:bottom w:val="single" w:sz="4" w:space="0" w:color="000000"/>
              <w:right w:val="single" w:sz="4" w:space="0" w:color="000000"/>
            </w:tcBorders>
            <w:shd w:val="clear" w:color="auto" w:fill="auto"/>
            <w:hideMark/>
          </w:tcPr>
          <w:p w14:paraId="622F7281"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Conduct needs assessments for use of Service Providers and submit to MM by 31 March 2017</w:t>
            </w:r>
          </w:p>
        </w:tc>
        <w:tc>
          <w:tcPr>
            <w:tcW w:w="382" w:type="pct"/>
            <w:tcBorders>
              <w:top w:val="nil"/>
              <w:left w:val="nil"/>
              <w:bottom w:val="single" w:sz="4" w:space="0" w:color="000000"/>
              <w:right w:val="single" w:sz="4" w:space="0" w:color="000000"/>
            </w:tcBorders>
            <w:shd w:val="clear" w:color="000000" w:fill="EEEEEE"/>
            <w:vAlign w:val="center"/>
            <w:hideMark/>
          </w:tcPr>
          <w:p w14:paraId="5148A2BE"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1</w:t>
            </w:r>
          </w:p>
        </w:tc>
        <w:tc>
          <w:tcPr>
            <w:tcW w:w="338" w:type="pct"/>
            <w:tcBorders>
              <w:top w:val="nil"/>
              <w:left w:val="nil"/>
              <w:bottom w:val="single" w:sz="4" w:space="0" w:color="000000"/>
              <w:right w:val="single" w:sz="4" w:space="0" w:color="000000"/>
            </w:tcBorders>
            <w:shd w:val="clear" w:color="000000" w:fill="EEEEEE"/>
            <w:vAlign w:val="center"/>
            <w:hideMark/>
          </w:tcPr>
          <w:p w14:paraId="6A9831BB"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0</w:t>
            </w:r>
          </w:p>
        </w:tc>
        <w:tc>
          <w:tcPr>
            <w:tcW w:w="1106" w:type="pct"/>
            <w:tcBorders>
              <w:top w:val="nil"/>
              <w:left w:val="nil"/>
              <w:bottom w:val="single" w:sz="4" w:space="0" w:color="000000"/>
              <w:right w:val="single" w:sz="4" w:space="0" w:color="000000"/>
            </w:tcBorders>
            <w:shd w:val="clear" w:color="000000" w:fill="FFFFFF"/>
            <w:hideMark/>
          </w:tcPr>
          <w:p w14:paraId="6BB8C38C" w14:textId="77777777" w:rsidR="00F804E6" w:rsidRPr="004B57FA" w:rsidRDefault="00F804E6" w:rsidP="00F804E6">
            <w:pPr>
              <w:spacing w:after="0" w:line="240" w:lineRule="auto"/>
              <w:rPr>
                <w:rFonts w:eastAsia="Times New Roman" w:cs="Times New Roman"/>
                <w:bCs/>
                <w:color w:val="000000"/>
                <w:sz w:val="16"/>
                <w:szCs w:val="18"/>
                <w:lang w:val="en-ZA" w:eastAsia="en-ZA"/>
              </w:rPr>
            </w:pPr>
            <w:r w:rsidRPr="004B57FA">
              <w:rPr>
                <w:rFonts w:eastAsia="Times New Roman" w:cs="Times New Roman"/>
                <w:bCs/>
                <w:color w:val="000000"/>
                <w:sz w:val="16"/>
                <w:szCs w:val="18"/>
                <w:lang w:val="en-ZA" w:eastAsia="en-ZA"/>
              </w:rPr>
              <w:t>A needs assessment was never done, hence departments were uncertain on what template to use for the report.</w:t>
            </w:r>
          </w:p>
        </w:tc>
        <w:tc>
          <w:tcPr>
            <w:tcW w:w="1154" w:type="pct"/>
            <w:tcBorders>
              <w:top w:val="nil"/>
              <w:left w:val="nil"/>
              <w:bottom w:val="single" w:sz="4" w:space="0" w:color="000000"/>
              <w:right w:val="single" w:sz="4" w:space="0" w:color="000000"/>
            </w:tcBorders>
            <w:shd w:val="clear" w:color="000000" w:fill="FFFFFF"/>
            <w:hideMark/>
          </w:tcPr>
          <w:p w14:paraId="2A32D24A" w14:textId="77777777" w:rsidR="00F804E6" w:rsidRPr="004B57FA" w:rsidRDefault="00F804E6" w:rsidP="00F804E6">
            <w:pPr>
              <w:rPr>
                <w:rFonts w:eastAsia="Times New Roman" w:cs="Times New Roman"/>
                <w:sz w:val="16"/>
                <w:szCs w:val="18"/>
                <w:lang w:val="en-ZA" w:eastAsia="en-ZA"/>
              </w:rPr>
            </w:pPr>
            <w:r w:rsidRPr="004B57FA">
              <w:rPr>
                <w:rFonts w:eastAsia="Times New Roman" w:cs="Times New Roman"/>
                <w:bCs/>
                <w:sz w:val="16"/>
                <w:szCs w:val="18"/>
                <w:lang w:val="en-ZA" w:eastAsia="en-ZA"/>
              </w:rPr>
              <w:t xml:space="preserve">A template has been designed to standardize the reporting and is expected to be approved in December 2017.  </w:t>
            </w:r>
          </w:p>
        </w:tc>
      </w:tr>
      <w:tr w:rsidR="00F804E6" w:rsidRPr="004B57FA" w14:paraId="2E1B767C" w14:textId="77777777" w:rsidTr="004B57FA">
        <w:trPr>
          <w:trHeight w:val="955"/>
        </w:trPr>
        <w:tc>
          <w:tcPr>
            <w:tcW w:w="311" w:type="pct"/>
            <w:tcBorders>
              <w:top w:val="nil"/>
              <w:left w:val="single" w:sz="4" w:space="0" w:color="000000"/>
              <w:bottom w:val="single" w:sz="4" w:space="0" w:color="000000"/>
              <w:right w:val="single" w:sz="4" w:space="0" w:color="000000"/>
            </w:tcBorders>
            <w:shd w:val="clear" w:color="auto" w:fill="auto"/>
            <w:hideMark/>
          </w:tcPr>
          <w:p w14:paraId="519A48D9"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TL15</w:t>
            </w:r>
          </w:p>
        </w:tc>
        <w:tc>
          <w:tcPr>
            <w:tcW w:w="553" w:type="pct"/>
            <w:tcBorders>
              <w:top w:val="nil"/>
              <w:left w:val="nil"/>
              <w:bottom w:val="single" w:sz="4" w:space="0" w:color="000000"/>
              <w:right w:val="single" w:sz="4" w:space="0" w:color="000000"/>
            </w:tcBorders>
            <w:shd w:val="clear" w:color="auto" w:fill="auto"/>
            <w:hideMark/>
          </w:tcPr>
          <w:p w14:paraId="26E99A74"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Planning &amp; Development</w:t>
            </w:r>
          </w:p>
        </w:tc>
        <w:tc>
          <w:tcPr>
            <w:tcW w:w="1154" w:type="pct"/>
            <w:tcBorders>
              <w:top w:val="nil"/>
              <w:left w:val="nil"/>
              <w:bottom w:val="single" w:sz="4" w:space="0" w:color="000000"/>
              <w:right w:val="single" w:sz="4" w:space="0" w:color="000000"/>
            </w:tcBorders>
            <w:shd w:val="clear" w:color="auto" w:fill="auto"/>
            <w:hideMark/>
          </w:tcPr>
          <w:p w14:paraId="6AD72403"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Conduct needs assessments for use of Service Providers and submit to MM by 31 March 2017</w:t>
            </w:r>
          </w:p>
        </w:tc>
        <w:tc>
          <w:tcPr>
            <w:tcW w:w="382" w:type="pct"/>
            <w:tcBorders>
              <w:top w:val="nil"/>
              <w:left w:val="nil"/>
              <w:bottom w:val="single" w:sz="4" w:space="0" w:color="000000"/>
              <w:right w:val="single" w:sz="4" w:space="0" w:color="000000"/>
            </w:tcBorders>
            <w:shd w:val="clear" w:color="000000" w:fill="EEEEEE"/>
            <w:vAlign w:val="center"/>
            <w:hideMark/>
          </w:tcPr>
          <w:p w14:paraId="5A8D790E"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1</w:t>
            </w:r>
          </w:p>
        </w:tc>
        <w:tc>
          <w:tcPr>
            <w:tcW w:w="338" w:type="pct"/>
            <w:tcBorders>
              <w:top w:val="nil"/>
              <w:left w:val="nil"/>
              <w:bottom w:val="single" w:sz="4" w:space="0" w:color="000000"/>
              <w:right w:val="single" w:sz="4" w:space="0" w:color="000000"/>
            </w:tcBorders>
            <w:shd w:val="clear" w:color="000000" w:fill="EEEEEE"/>
            <w:vAlign w:val="center"/>
            <w:hideMark/>
          </w:tcPr>
          <w:p w14:paraId="0069F292"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0</w:t>
            </w:r>
          </w:p>
        </w:tc>
        <w:tc>
          <w:tcPr>
            <w:tcW w:w="1106" w:type="pct"/>
            <w:tcBorders>
              <w:top w:val="nil"/>
              <w:left w:val="nil"/>
              <w:bottom w:val="single" w:sz="4" w:space="0" w:color="000000"/>
              <w:right w:val="single" w:sz="4" w:space="0" w:color="000000"/>
            </w:tcBorders>
            <w:shd w:val="clear" w:color="000000" w:fill="FFFFFF"/>
            <w:hideMark/>
          </w:tcPr>
          <w:p w14:paraId="7B8B6E67" w14:textId="77777777" w:rsidR="00F804E6" w:rsidRPr="004B57FA" w:rsidRDefault="00F804E6" w:rsidP="00F804E6">
            <w:pPr>
              <w:spacing w:after="0" w:line="240" w:lineRule="auto"/>
              <w:rPr>
                <w:rFonts w:eastAsia="Times New Roman" w:cs="Times New Roman"/>
                <w:bCs/>
                <w:color w:val="000000"/>
                <w:sz w:val="16"/>
                <w:szCs w:val="18"/>
                <w:lang w:val="en-ZA" w:eastAsia="en-ZA"/>
              </w:rPr>
            </w:pPr>
            <w:r w:rsidRPr="004B57FA">
              <w:rPr>
                <w:rFonts w:eastAsia="Times New Roman" w:cs="Times New Roman"/>
                <w:bCs/>
                <w:color w:val="000000"/>
                <w:sz w:val="16"/>
                <w:szCs w:val="18"/>
                <w:lang w:val="en-ZA" w:eastAsia="en-ZA"/>
              </w:rPr>
              <w:t>A needs assessment was never done, hence departments were uncertain on what template to use for the report.</w:t>
            </w:r>
          </w:p>
        </w:tc>
        <w:tc>
          <w:tcPr>
            <w:tcW w:w="1154" w:type="pct"/>
            <w:tcBorders>
              <w:top w:val="nil"/>
              <w:left w:val="nil"/>
              <w:bottom w:val="single" w:sz="4" w:space="0" w:color="000000"/>
              <w:right w:val="single" w:sz="4" w:space="0" w:color="000000"/>
            </w:tcBorders>
            <w:shd w:val="clear" w:color="000000" w:fill="FFFFFF"/>
            <w:hideMark/>
          </w:tcPr>
          <w:p w14:paraId="2F175B6F" w14:textId="77777777" w:rsidR="00F804E6" w:rsidRPr="004B57FA" w:rsidRDefault="00F804E6" w:rsidP="00F804E6">
            <w:pPr>
              <w:rPr>
                <w:rFonts w:eastAsia="Times New Roman" w:cs="Times New Roman"/>
                <w:sz w:val="16"/>
                <w:szCs w:val="18"/>
                <w:lang w:val="en-ZA" w:eastAsia="en-ZA"/>
              </w:rPr>
            </w:pPr>
            <w:r w:rsidRPr="004B57FA">
              <w:rPr>
                <w:rFonts w:eastAsia="Times New Roman" w:cs="Times New Roman"/>
                <w:bCs/>
                <w:sz w:val="16"/>
                <w:szCs w:val="18"/>
                <w:lang w:val="en-ZA" w:eastAsia="en-ZA"/>
              </w:rPr>
              <w:t xml:space="preserve">A template has been designed to standardize the reporting and is expected to be approved in December 2017.  </w:t>
            </w:r>
          </w:p>
        </w:tc>
      </w:tr>
      <w:tr w:rsidR="00F804E6" w:rsidRPr="004B57FA" w14:paraId="26A13C8C" w14:textId="77777777" w:rsidTr="004B57FA">
        <w:trPr>
          <w:trHeight w:val="828"/>
        </w:trPr>
        <w:tc>
          <w:tcPr>
            <w:tcW w:w="311" w:type="pct"/>
            <w:tcBorders>
              <w:top w:val="nil"/>
              <w:left w:val="single" w:sz="4" w:space="0" w:color="000000"/>
              <w:bottom w:val="single" w:sz="4" w:space="0" w:color="000000"/>
              <w:right w:val="single" w:sz="4" w:space="0" w:color="000000"/>
            </w:tcBorders>
            <w:shd w:val="clear" w:color="auto" w:fill="auto"/>
            <w:hideMark/>
          </w:tcPr>
          <w:p w14:paraId="6E9D3F9F"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TL17</w:t>
            </w:r>
          </w:p>
        </w:tc>
        <w:tc>
          <w:tcPr>
            <w:tcW w:w="553" w:type="pct"/>
            <w:tcBorders>
              <w:top w:val="nil"/>
              <w:left w:val="nil"/>
              <w:bottom w:val="single" w:sz="4" w:space="0" w:color="000000"/>
              <w:right w:val="single" w:sz="4" w:space="0" w:color="000000"/>
            </w:tcBorders>
            <w:shd w:val="clear" w:color="auto" w:fill="auto"/>
            <w:hideMark/>
          </w:tcPr>
          <w:p w14:paraId="219EA908"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Office of the MM</w:t>
            </w:r>
          </w:p>
        </w:tc>
        <w:tc>
          <w:tcPr>
            <w:tcW w:w="1154" w:type="pct"/>
            <w:tcBorders>
              <w:top w:val="nil"/>
              <w:left w:val="nil"/>
              <w:bottom w:val="single" w:sz="4" w:space="0" w:color="000000"/>
              <w:right w:val="single" w:sz="4" w:space="0" w:color="000000"/>
            </w:tcBorders>
            <w:shd w:val="clear" w:color="auto" w:fill="auto"/>
            <w:hideMark/>
          </w:tcPr>
          <w:p w14:paraId="5EC74B88"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Conduct customer satisfaction survey for uMlalazi area and submit report to EXCO by 30 June 2017</w:t>
            </w:r>
          </w:p>
        </w:tc>
        <w:tc>
          <w:tcPr>
            <w:tcW w:w="382" w:type="pct"/>
            <w:tcBorders>
              <w:top w:val="nil"/>
              <w:left w:val="nil"/>
              <w:bottom w:val="single" w:sz="4" w:space="0" w:color="000000"/>
              <w:right w:val="single" w:sz="4" w:space="0" w:color="000000"/>
            </w:tcBorders>
            <w:shd w:val="clear" w:color="000000" w:fill="EEEEEE"/>
            <w:vAlign w:val="center"/>
            <w:hideMark/>
          </w:tcPr>
          <w:p w14:paraId="1EA98004"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1</w:t>
            </w:r>
          </w:p>
        </w:tc>
        <w:tc>
          <w:tcPr>
            <w:tcW w:w="338" w:type="pct"/>
            <w:tcBorders>
              <w:top w:val="nil"/>
              <w:left w:val="nil"/>
              <w:bottom w:val="single" w:sz="4" w:space="0" w:color="000000"/>
              <w:right w:val="single" w:sz="4" w:space="0" w:color="000000"/>
            </w:tcBorders>
            <w:shd w:val="clear" w:color="000000" w:fill="EEEEEE"/>
            <w:vAlign w:val="center"/>
            <w:hideMark/>
          </w:tcPr>
          <w:p w14:paraId="67A0EA99"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0</w:t>
            </w:r>
          </w:p>
        </w:tc>
        <w:tc>
          <w:tcPr>
            <w:tcW w:w="1106" w:type="pct"/>
            <w:tcBorders>
              <w:top w:val="nil"/>
              <w:left w:val="nil"/>
              <w:bottom w:val="single" w:sz="4" w:space="0" w:color="000000"/>
              <w:right w:val="single" w:sz="4" w:space="0" w:color="000000"/>
            </w:tcBorders>
            <w:shd w:val="clear" w:color="000000" w:fill="FFFFFF"/>
            <w:hideMark/>
          </w:tcPr>
          <w:p w14:paraId="2354E4EC" w14:textId="77777777" w:rsidR="00F804E6" w:rsidRPr="004B57FA" w:rsidRDefault="00F804E6" w:rsidP="00F804E6">
            <w:pPr>
              <w:spacing w:after="0" w:line="240" w:lineRule="auto"/>
              <w:rPr>
                <w:rFonts w:eastAsia="Times New Roman" w:cs="Times New Roman"/>
                <w:bCs/>
                <w:color w:val="000000"/>
                <w:sz w:val="16"/>
                <w:szCs w:val="18"/>
                <w:lang w:val="en-ZA" w:eastAsia="en-ZA"/>
              </w:rPr>
            </w:pPr>
            <w:r w:rsidRPr="004B57FA">
              <w:rPr>
                <w:rFonts w:eastAsia="Times New Roman" w:cs="Times New Roman"/>
                <w:bCs/>
                <w:color w:val="000000"/>
                <w:sz w:val="16"/>
                <w:szCs w:val="18"/>
                <w:lang w:val="en-ZA" w:eastAsia="en-ZA"/>
              </w:rPr>
              <w:t xml:space="preserve">Customer satisfaction survey was not done due to no budget. </w:t>
            </w:r>
          </w:p>
        </w:tc>
        <w:tc>
          <w:tcPr>
            <w:tcW w:w="1154" w:type="pct"/>
            <w:tcBorders>
              <w:top w:val="nil"/>
              <w:left w:val="nil"/>
              <w:bottom w:val="single" w:sz="4" w:space="0" w:color="000000"/>
              <w:right w:val="single" w:sz="4" w:space="0" w:color="000000"/>
            </w:tcBorders>
            <w:shd w:val="clear" w:color="000000" w:fill="FFFFFF"/>
            <w:hideMark/>
          </w:tcPr>
          <w:p w14:paraId="0ADEF672" w14:textId="77777777" w:rsidR="00F804E6" w:rsidRPr="004B57FA" w:rsidRDefault="00F804E6" w:rsidP="00F804E6">
            <w:pPr>
              <w:spacing w:after="0" w:line="240" w:lineRule="auto"/>
              <w:rPr>
                <w:rFonts w:eastAsia="Times New Roman" w:cs="Times New Roman"/>
                <w:bCs/>
                <w:color w:val="000000"/>
                <w:sz w:val="16"/>
                <w:szCs w:val="18"/>
                <w:lang w:val="en-ZA" w:eastAsia="en-ZA"/>
              </w:rPr>
            </w:pPr>
            <w:r w:rsidRPr="004B57FA">
              <w:rPr>
                <w:rFonts w:eastAsia="Times New Roman" w:cs="Times New Roman"/>
                <w:bCs/>
                <w:color w:val="000000"/>
                <w:sz w:val="16"/>
                <w:szCs w:val="18"/>
                <w:lang w:val="en-ZA" w:eastAsia="en-ZA"/>
              </w:rPr>
              <w:t>The target is not included in 2017/2018 due to no budget allocation. As soon as a budget is allocated the target will then be included.</w:t>
            </w:r>
          </w:p>
        </w:tc>
      </w:tr>
      <w:tr w:rsidR="00F804E6" w:rsidRPr="004B57FA" w14:paraId="54580563" w14:textId="77777777" w:rsidTr="004B57FA">
        <w:trPr>
          <w:trHeight w:val="1576"/>
        </w:trPr>
        <w:tc>
          <w:tcPr>
            <w:tcW w:w="311" w:type="pct"/>
            <w:tcBorders>
              <w:top w:val="nil"/>
              <w:left w:val="single" w:sz="4" w:space="0" w:color="000000"/>
              <w:bottom w:val="single" w:sz="4" w:space="0" w:color="000000"/>
              <w:right w:val="single" w:sz="4" w:space="0" w:color="000000"/>
            </w:tcBorders>
            <w:shd w:val="clear" w:color="auto" w:fill="auto"/>
            <w:hideMark/>
          </w:tcPr>
          <w:p w14:paraId="129C8521"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TL21</w:t>
            </w:r>
          </w:p>
        </w:tc>
        <w:tc>
          <w:tcPr>
            <w:tcW w:w="553" w:type="pct"/>
            <w:tcBorders>
              <w:top w:val="nil"/>
              <w:left w:val="nil"/>
              <w:bottom w:val="single" w:sz="4" w:space="0" w:color="000000"/>
              <w:right w:val="single" w:sz="4" w:space="0" w:color="000000"/>
            </w:tcBorders>
            <w:shd w:val="clear" w:color="auto" w:fill="auto"/>
            <w:hideMark/>
          </w:tcPr>
          <w:p w14:paraId="19ABF44B"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Engineering Services</w:t>
            </w:r>
          </w:p>
        </w:tc>
        <w:tc>
          <w:tcPr>
            <w:tcW w:w="1154" w:type="pct"/>
            <w:tcBorders>
              <w:top w:val="nil"/>
              <w:left w:val="nil"/>
              <w:bottom w:val="single" w:sz="4" w:space="0" w:color="000000"/>
              <w:right w:val="single" w:sz="4" w:space="0" w:color="000000"/>
            </w:tcBorders>
            <w:shd w:val="clear" w:color="auto" w:fill="auto"/>
            <w:hideMark/>
          </w:tcPr>
          <w:p w14:paraId="74C7A8A6"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Attend meetings with uThungulu to ensure alignment of water and sanitation provisioning to all Municipal Capital and other large scale Projects and submit quarterly reports to Portfolio Committee on meetings attended.</w:t>
            </w:r>
          </w:p>
        </w:tc>
        <w:tc>
          <w:tcPr>
            <w:tcW w:w="382" w:type="pct"/>
            <w:tcBorders>
              <w:top w:val="nil"/>
              <w:left w:val="nil"/>
              <w:bottom w:val="single" w:sz="4" w:space="0" w:color="000000"/>
              <w:right w:val="single" w:sz="4" w:space="0" w:color="000000"/>
            </w:tcBorders>
            <w:shd w:val="clear" w:color="000000" w:fill="EEEEEE"/>
            <w:vAlign w:val="center"/>
            <w:hideMark/>
          </w:tcPr>
          <w:p w14:paraId="2A9DEC7B"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2</w:t>
            </w:r>
          </w:p>
        </w:tc>
        <w:tc>
          <w:tcPr>
            <w:tcW w:w="338" w:type="pct"/>
            <w:tcBorders>
              <w:top w:val="nil"/>
              <w:left w:val="nil"/>
              <w:bottom w:val="single" w:sz="4" w:space="0" w:color="000000"/>
              <w:right w:val="single" w:sz="4" w:space="0" w:color="000000"/>
            </w:tcBorders>
            <w:shd w:val="clear" w:color="000000" w:fill="EEEEEE"/>
            <w:vAlign w:val="center"/>
            <w:hideMark/>
          </w:tcPr>
          <w:p w14:paraId="0785EE0C"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0</w:t>
            </w:r>
          </w:p>
        </w:tc>
        <w:tc>
          <w:tcPr>
            <w:tcW w:w="1106" w:type="pct"/>
            <w:tcBorders>
              <w:top w:val="nil"/>
              <w:left w:val="nil"/>
              <w:bottom w:val="single" w:sz="4" w:space="0" w:color="000000"/>
              <w:right w:val="single" w:sz="4" w:space="0" w:color="000000"/>
            </w:tcBorders>
            <w:shd w:val="clear" w:color="000000" w:fill="FFFFFF"/>
            <w:hideMark/>
          </w:tcPr>
          <w:p w14:paraId="380A0126" w14:textId="77777777" w:rsidR="00F804E6" w:rsidRPr="004B57FA" w:rsidRDefault="00F804E6" w:rsidP="00F804E6">
            <w:pPr>
              <w:spacing w:after="0" w:line="240" w:lineRule="auto"/>
              <w:rPr>
                <w:rFonts w:eastAsia="Times New Roman" w:cs="Times New Roman"/>
                <w:bCs/>
                <w:color w:val="000000"/>
                <w:sz w:val="16"/>
                <w:szCs w:val="18"/>
                <w:lang w:val="en-ZA" w:eastAsia="en-ZA"/>
              </w:rPr>
            </w:pPr>
            <w:r w:rsidRPr="004B57FA">
              <w:rPr>
                <w:rFonts w:eastAsia="Times New Roman" w:cs="Times New Roman"/>
                <w:bCs/>
                <w:color w:val="000000"/>
                <w:sz w:val="16"/>
                <w:szCs w:val="18"/>
                <w:lang w:val="en-ZA" w:eastAsia="en-ZA"/>
              </w:rPr>
              <w:t xml:space="preserve">The department did not attend the alignment meetings due to capacity constraints. </w:t>
            </w:r>
          </w:p>
        </w:tc>
        <w:tc>
          <w:tcPr>
            <w:tcW w:w="1154" w:type="pct"/>
            <w:tcBorders>
              <w:top w:val="nil"/>
              <w:left w:val="nil"/>
              <w:bottom w:val="single" w:sz="4" w:space="0" w:color="000000"/>
              <w:right w:val="single" w:sz="4" w:space="0" w:color="000000"/>
            </w:tcBorders>
            <w:shd w:val="clear" w:color="000000" w:fill="FFFFFF"/>
            <w:hideMark/>
          </w:tcPr>
          <w:p w14:paraId="72DAF0E2" w14:textId="77777777" w:rsidR="00F804E6" w:rsidRPr="004B57FA" w:rsidRDefault="00F804E6" w:rsidP="00F804E6">
            <w:pPr>
              <w:spacing w:after="0" w:line="240" w:lineRule="auto"/>
              <w:rPr>
                <w:rFonts w:eastAsia="Times New Roman" w:cs="Times New Roman"/>
                <w:bCs/>
                <w:color w:val="000000"/>
                <w:sz w:val="16"/>
                <w:szCs w:val="18"/>
                <w:lang w:val="en-ZA" w:eastAsia="en-ZA"/>
              </w:rPr>
            </w:pPr>
            <w:r w:rsidRPr="004B57FA">
              <w:rPr>
                <w:rFonts w:eastAsia="Times New Roman" w:cs="Times New Roman"/>
                <w:bCs/>
                <w:color w:val="000000"/>
                <w:sz w:val="16"/>
                <w:szCs w:val="18"/>
                <w:lang w:val="en-ZA" w:eastAsia="en-ZA"/>
              </w:rPr>
              <w:t>Two technicians have been appointed and they are attending the alignment meetings at the District. These reports will be submitted to the Portfolio Committee meetings.</w:t>
            </w:r>
          </w:p>
        </w:tc>
      </w:tr>
      <w:tr w:rsidR="00F804E6" w:rsidRPr="004B57FA" w14:paraId="17B0489A" w14:textId="77777777" w:rsidTr="004B57FA">
        <w:trPr>
          <w:trHeight w:val="1443"/>
        </w:trPr>
        <w:tc>
          <w:tcPr>
            <w:tcW w:w="311" w:type="pct"/>
            <w:tcBorders>
              <w:top w:val="nil"/>
              <w:left w:val="single" w:sz="4" w:space="0" w:color="000000"/>
              <w:bottom w:val="single" w:sz="4" w:space="0" w:color="000000"/>
              <w:right w:val="single" w:sz="4" w:space="0" w:color="000000"/>
            </w:tcBorders>
            <w:shd w:val="clear" w:color="auto" w:fill="auto"/>
            <w:hideMark/>
          </w:tcPr>
          <w:p w14:paraId="4FD38766"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TL25</w:t>
            </w:r>
          </w:p>
        </w:tc>
        <w:tc>
          <w:tcPr>
            <w:tcW w:w="553" w:type="pct"/>
            <w:tcBorders>
              <w:top w:val="nil"/>
              <w:left w:val="nil"/>
              <w:bottom w:val="single" w:sz="4" w:space="0" w:color="000000"/>
              <w:right w:val="single" w:sz="4" w:space="0" w:color="000000"/>
            </w:tcBorders>
            <w:shd w:val="clear" w:color="auto" w:fill="auto"/>
            <w:hideMark/>
          </w:tcPr>
          <w:p w14:paraId="00FE2522"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Community Services</w:t>
            </w:r>
          </w:p>
        </w:tc>
        <w:tc>
          <w:tcPr>
            <w:tcW w:w="1154" w:type="pct"/>
            <w:tcBorders>
              <w:top w:val="nil"/>
              <w:left w:val="nil"/>
              <w:bottom w:val="single" w:sz="4" w:space="0" w:color="000000"/>
              <w:right w:val="single" w:sz="4" w:space="0" w:color="000000"/>
            </w:tcBorders>
            <w:shd w:val="clear" w:color="auto" w:fill="auto"/>
            <w:hideMark/>
          </w:tcPr>
          <w:p w14:paraId="30E32AFF"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Review the Integrated Waste Management Plan (to include recycling and buy-back centres) and submit to Council by 30 June 2017</w:t>
            </w:r>
          </w:p>
        </w:tc>
        <w:tc>
          <w:tcPr>
            <w:tcW w:w="382" w:type="pct"/>
            <w:tcBorders>
              <w:top w:val="nil"/>
              <w:left w:val="nil"/>
              <w:bottom w:val="single" w:sz="4" w:space="0" w:color="000000"/>
              <w:right w:val="single" w:sz="4" w:space="0" w:color="000000"/>
            </w:tcBorders>
            <w:shd w:val="clear" w:color="000000" w:fill="EEEEEE"/>
            <w:vAlign w:val="center"/>
            <w:hideMark/>
          </w:tcPr>
          <w:p w14:paraId="15F54179"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1</w:t>
            </w:r>
          </w:p>
        </w:tc>
        <w:tc>
          <w:tcPr>
            <w:tcW w:w="338" w:type="pct"/>
            <w:tcBorders>
              <w:top w:val="nil"/>
              <w:left w:val="nil"/>
              <w:bottom w:val="single" w:sz="4" w:space="0" w:color="000000"/>
              <w:right w:val="single" w:sz="4" w:space="0" w:color="000000"/>
            </w:tcBorders>
            <w:shd w:val="clear" w:color="000000" w:fill="EEEEEE"/>
            <w:vAlign w:val="center"/>
            <w:hideMark/>
          </w:tcPr>
          <w:p w14:paraId="7CDD6CD9"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0</w:t>
            </w:r>
          </w:p>
        </w:tc>
        <w:tc>
          <w:tcPr>
            <w:tcW w:w="1106" w:type="pct"/>
            <w:tcBorders>
              <w:top w:val="nil"/>
              <w:left w:val="nil"/>
              <w:bottom w:val="single" w:sz="4" w:space="0" w:color="000000"/>
              <w:right w:val="single" w:sz="4" w:space="0" w:color="000000"/>
            </w:tcBorders>
            <w:shd w:val="clear" w:color="auto" w:fill="auto"/>
            <w:hideMark/>
          </w:tcPr>
          <w:p w14:paraId="55A5B7A1" w14:textId="77777777" w:rsidR="00F804E6" w:rsidRPr="004B57FA" w:rsidRDefault="00F804E6" w:rsidP="00F804E6">
            <w:pPr>
              <w:rPr>
                <w:rFonts w:eastAsia="Times New Roman" w:cs="Times New Roman"/>
                <w:bCs/>
                <w:color w:val="000000"/>
                <w:sz w:val="16"/>
                <w:szCs w:val="18"/>
                <w:lang w:val="en-ZA" w:eastAsia="en-ZA"/>
              </w:rPr>
            </w:pPr>
            <w:r w:rsidRPr="004B57FA">
              <w:rPr>
                <w:rFonts w:eastAsia="Times New Roman" w:cs="Times New Roman"/>
                <w:bCs/>
                <w:color w:val="000000"/>
                <w:sz w:val="16"/>
                <w:szCs w:val="18"/>
                <w:lang w:val="en-ZA" w:eastAsia="en-ZA"/>
              </w:rPr>
              <w:t>Dept of Env Affairs introduced a new portal for all municipalities to develop their IWMP, the process could not be finalised by 30 June 2017</w:t>
            </w:r>
          </w:p>
        </w:tc>
        <w:tc>
          <w:tcPr>
            <w:tcW w:w="1154" w:type="pct"/>
            <w:tcBorders>
              <w:top w:val="nil"/>
              <w:left w:val="nil"/>
              <w:bottom w:val="single" w:sz="4" w:space="0" w:color="000000"/>
              <w:right w:val="single" w:sz="4" w:space="0" w:color="000000"/>
            </w:tcBorders>
            <w:shd w:val="clear" w:color="auto" w:fill="auto"/>
            <w:hideMark/>
          </w:tcPr>
          <w:p w14:paraId="51828835" w14:textId="77777777" w:rsidR="00F804E6" w:rsidRPr="004B57FA" w:rsidRDefault="00F804E6" w:rsidP="00F804E6">
            <w:pPr>
              <w:rPr>
                <w:rFonts w:eastAsia="Times New Roman" w:cs="Times New Roman"/>
                <w:bCs/>
                <w:color w:val="000000"/>
                <w:sz w:val="16"/>
                <w:szCs w:val="18"/>
                <w:lang w:val="en-ZA" w:eastAsia="en-ZA"/>
              </w:rPr>
            </w:pPr>
            <w:r w:rsidRPr="004B57FA">
              <w:rPr>
                <w:rFonts w:eastAsia="Times New Roman" w:cs="Times New Roman"/>
                <w:bCs/>
                <w:color w:val="000000"/>
                <w:sz w:val="16"/>
                <w:szCs w:val="18"/>
                <w:lang w:val="en-ZA" w:eastAsia="en-ZA"/>
              </w:rPr>
              <w:t>The plan is in progress of being developed and will be finalised by 31 December 2017.</w:t>
            </w:r>
          </w:p>
        </w:tc>
      </w:tr>
      <w:tr w:rsidR="00F804E6" w:rsidRPr="004B57FA" w14:paraId="68BB3062" w14:textId="77777777" w:rsidTr="004B57FA">
        <w:trPr>
          <w:trHeight w:val="556"/>
        </w:trPr>
        <w:tc>
          <w:tcPr>
            <w:tcW w:w="311" w:type="pct"/>
            <w:tcBorders>
              <w:top w:val="nil"/>
              <w:left w:val="single" w:sz="4" w:space="0" w:color="000000"/>
              <w:bottom w:val="single" w:sz="4" w:space="0" w:color="000000"/>
              <w:right w:val="single" w:sz="4" w:space="0" w:color="000000"/>
            </w:tcBorders>
            <w:shd w:val="clear" w:color="auto" w:fill="auto"/>
            <w:hideMark/>
          </w:tcPr>
          <w:p w14:paraId="60DDEC46"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TL28</w:t>
            </w:r>
          </w:p>
        </w:tc>
        <w:tc>
          <w:tcPr>
            <w:tcW w:w="553" w:type="pct"/>
            <w:tcBorders>
              <w:top w:val="nil"/>
              <w:left w:val="nil"/>
              <w:bottom w:val="single" w:sz="4" w:space="0" w:color="000000"/>
              <w:right w:val="single" w:sz="4" w:space="0" w:color="000000"/>
            </w:tcBorders>
            <w:shd w:val="clear" w:color="auto" w:fill="auto"/>
            <w:hideMark/>
          </w:tcPr>
          <w:p w14:paraId="3CBE1957"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Engineering Services</w:t>
            </w:r>
          </w:p>
        </w:tc>
        <w:tc>
          <w:tcPr>
            <w:tcW w:w="1154" w:type="pct"/>
            <w:tcBorders>
              <w:top w:val="nil"/>
              <w:left w:val="nil"/>
              <w:bottom w:val="single" w:sz="4" w:space="0" w:color="000000"/>
              <w:right w:val="single" w:sz="4" w:space="0" w:color="000000"/>
            </w:tcBorders>
            <w:shd w:val="clear" w:color="auto" w:fill="auto"/>
            <w:hideMark/>
          </w:tcPr>
          <w:p w14:paraId="63DEE543"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Grade 3400km of rural access roads by 30 June 2017</w:t>
            </w:r>
          </w:p>
        </w:tc>
        <w:tc>
          <w:tcPr>
            <w:tcW w:w="382" w:type="pct"/>
            <w:tcBorders>
              <w:top w:val="nil"/>
              <w:left w:val="nil"/>
              <w:bottom w:val="single" w:sz="4" w:space="0" w:color="000000"/>
              <w:right w:val="single" w:sz="4" w:space="0" w:color="000000"/>
            </w:tcBorders>
            <w:shd w:val="clear" w:color="000000" w:fill="EEEEEE"/>
            <w:vAlign w:val="center"/>
            <w:hideMark/>
          </w:tcPr>
          <w:p w14:paraId="790E2031"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3,400</w:t>
            </w:r>
          </w:p>
        </w:tc>
        <w:tc>
          <w:tcPr>
            <w:tcW w:w="338" w:type="pct"/>
            <w:tcBorders>
              <w:top w:val="nil"/>
              <w:left w:val="nil"/>
              <w:bottom w:val="single" w:sz="4" w:space="0" w:color="000000"/>
              <w:right w:val="single" w:sz="4" w:space="0" w:color="000000"/>
            </w:tcBorders>
            <w:shd w:val="clear" w:color="000000" w:fill="EEEEEE"/>
            <w:vAlign w:val="center"/>
            <w:hideMark/>
          </w:tcPr>
          <w:p w14:paraId="2DF5E460"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3,081.10</w:t>
            </w:r>
          </w:p>
        </w:tc>
        <w:tc>
          <w:tcPr>
            <w:tcW w:w="1106" w:type="pct"/>
            <w:tcBorders>
              <w:top w:val="nil"/>
              <w:left w:val="nil"/>
              <w:bottom w:val="single" w:sz="4" w:space="0" w:color="000000"/>
              <w:right w:val="single" w:sz="4" w:space="0" w:color="000000"/>
            </w:tcBorders>
            <w:shd w:val="clear" w:color="000000" w:fill="FFFFFF"/>
            <w:hideMark/>
          </w:tcPr>
          <w:p w14:paraId="4D46F1FE" w14:textId="77777777" w:rsidR="00F804E6" w:rsidRPr="004B57FA" w:rsidRDefault="00F804E6" w:rsidP="00F804E6">
            <w:pPr>
              <w:spacing w:after="0" w:line="240" w:lineRule="auto"/>
              <w:rPr>
                <w:rFonts w:eastAsia="Times New Roman" w:cs="Times New Roman"/>
                <w:bCs/>
                <w:color w:val="000000"/>
                <w:sz w:val="16"/>
                <w:szCs w:val="18"/>
                <w:lang w:val="en-ZA" w:eastAsia="en-ZA"/>
              </w:rPr>
            </w:pPr>
            <w:r w:rsidRPr="004B57FA">
              <w:rPr>
                <w:rFonts w:eastAsia="Times New Roman" w:cs="Times New Roman"/>
                <w:bCs/>
                <w:color w:val="000000"/>
                <w:sz w:val="16"/>
                <w:szCs w:val="18"/>
                <w:lang w:val="en-ZA" w:eastAsia="en-ZA"/>
              </w:rPr>
              <w:t>The target was under achieved due to rain delays</w:t>
            </w:r>
          </w:p>
        </w:tc>
        <w:tc>
          <w:tcPr>
            <w:tcW w:w="1154" w:type="pct"/>
            <w:tcBorders>
              <w:top w:val="nil"/>
              <w:left w:val="nil"/>
              <w:bottom w:val="single" w:sz="4" w:space="0" w:color="000000"/>
              <w:right w:val="single" w:sz="4" w:space="0" w:color="000000"/>
            </w:tcBorders>
            <w:shd w:val="clear" w:color="000000" w:fill="FFFFFF"/>
            <w:hideMark/>
          </w:tcPr>
          <w:p w14:paraId="35BE832D" w14:textId="77777777" w:rsidR="00F804E6" w:rsidRPr="004B57FA" w:rsidRDefault="00F804E6" w:rsidP="00F804E6">
            <w:pPr>
              <w:spacing w:after="0" w:line="240" w:lineRule="auto"/>
              <w:rPr>
                <w:rFonts w:eastAsia="Times New Roman" w:cs="Times New Roman"/>
                <w:bCs/>
                <w:sz w:val="16"/>
                <w:szCs w:val="18"/>
                <w:lang w:val="en-ZA" w:eastAsia="en-ZA"/>
              </w:rPr>
            </w:pPr>
            <w:r w:rsidRPr="004B57FA">
              <w:rPr>
                <w:rFonts w:eastAsia="Times New Roman" w:cs="Times New Roman"/>
                <w:bCs/>
                <w:sz w:val="16"/>
                <w:szCs w:val="18"/>
                <w:lang w:val="en-ZA" w:eastAsia="en-ZA"/>
              </w:rPr>
              <w:t>Future targets are set to accommodate unexpected delays.</w:t>
            </w:r>
          </w:p>
        </w:tc>
      </w:tr>
      <w:tr w:rsidR="00F804E6" w:rsidRPr="004B57FA" w14:paraId="41789CE6" w14:textId="77777777" w:rsidTr="004B57FA">
        <w:trPr>
          <w:trHeight w:val="696"/>
        </w:trPr>
        <w:tc>
          <w:tcPr>
            <w:tcW w:w="311" w:type="pct"/>
            <w:tcBorders>
              <w:top w:val="nil"/>
              <w:left w:val="single" w:sz="4" w:space="0" w:color="000000"/>
              <w:bottom w:val="single" w:sz="4" w:space="0" w:color="000000"/>
              <w:right w:val="single" w:sz="4" w:space="0" w:color="000000"/>
            </w:tcBorders>
            <w:shd w:val="clear" w:color="auto" w:fill="auto"/>
            <w:hideMark/>
          </w:tcPr>
          <w:p w14:paraId="703C140A"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TL29</w:t>
            </w:r>
          </w:p>
        </w:tc>
        <w:tc>
          <w:tcPr>
            <w:tcW w:w="553" w:type="pct"/>
            <w:tcBorders>
              <w:top w:val="nil"/>
              <w:left w:val="nil"/>
              <w:bottom w:val="single" w:sz="4" w:space="0" w:color="000000"/>
              <w:right w:val="single" w:sz="4" w:space="0" w:color="000000"/>
            </w:tcBorders>
            <w:shd w:val="clear" w:color="auto" w:fill="auto"/>
            <w:hideMark/>
          </w:tcPr>
          <w:p w14:paraId="4BD9A7D0"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Planning &amp; Development</w:t>
            </w:r>
          </w:p>
        </w:tc>
        <w:tc>
          <w:tcPr>
            <w:tcW w:w="1154" w:type="pct"/>
            <w:tcBorders>
              <w:top w:val="nil"/>
              <w:left w:val="nil"/>
              <w:bottom w:val="single" w:sz="4" w:space="0" w:color="000000"/>
              <w:right w:val="single" w:sz="4" w:space="0" w:color="000000"/>
            </w:tcBorders>
            <w:shd w:val="clear" w:color="auto" w:fill="auto"/>
            <w:hideMark/>
          </w:tcPr>
          <w:p w14:paraId="7807AADB"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Review Housing Sector Plan and submit to Council by 30 June 2017</w:t>
            </w:r>
          </w:p>
        </w:tc>
        <w:tc>
          <w:tcPr>
            <w:tcW w:w="382" w:type="pct"/>
            <w:tcBorders>
              <w:top w:val="nil"/>
              <w:left w:val="nil"/>
              <w:bottom w:val="single" w:sz="4" w:space="0" w:color="000000"/>
              <w:right w:val="single" w:sz="4" w:space="0" w:color="000000"/>
            </w:tcBorders>
            <w:shd w:val="clear" w:color="000000" w:fill="EEEEEE"/>
            <w:vAlign w:val="center"/>
            <w:hideMark/>
          </w:tcPr>
          <w:p w14:paraId="59327AA9"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1</w:t>
            </w:r>
          </w:p>
        </w:tc>
        <w:tc>
          <w:tcPr>
            <w:tcW w:w="338" w:type="pct"/>
            <w:tcBorders>
              <w:top w:val="nil"/>
              <w:left w:val="nil"/>
              <w:bottom w:val="single" w:sz="4" w:space="0" w:color="000000"/>
              <w:right w:val="single" w:sz="4" w:space="0" w:color="000000"/>
            </w:tcBorders>
            <w:shd w:val="clear" w:color="000000" w:fill="EEEEEE"/>
            <w:vAlign w:val="center"/>
            <w:hideMark/>
          </w:tcPr>
          <w:p w14:paraId="00987CD7"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0</w:t>
            </w:r>
          </w:p>
        </w:tc>
        <w:tc>
          <w:tcPr>
            <w:tcW w:w="1106" w:type="pct"/>
            <w:tcBorders>
              <w:top w:val="nil"/>
              <w:left w:val="nil"/>
              <w:bottom w:val="single" w:sz="4" w:space="0" w:color="000000"/>
              <w:right w:val="single" w:sz="4" w:space="0" w:color="000000"/>
            </w:tcBorders>
            <w:shd w:val="clear" w:color="000000" w:fill="FFFFFF"/>
            <w:hideMark/>
          </w:tcPr>
          <w:p w14:paraId="74F9F69B" w14:textId="77777777" w:rsidR="00F804E6" w:rsidRPr="004B57FA" w:rsidRDefault="00F804E6" w:rsidP="00F804E6">
            <w:pPr>
              <w:spacing w:after="0" w:line="240" w:lineRule="auto"/>
              <w:rPr>
                <w:rFonts w:eastAsia="Times New Roman" w:cs="Times New Roman"/>
                <w:bCs/>
                <w:sz w:val="16"/>
                <w:szCs w:val="18"/>
                <w:lang w:val="en-ZA" w:eastAsia="en-ZA"/>
              </w:rPr>
            </w:pPr>
            <w:r w:rsidRPr="004B57FA">
              <w:rPr>
                <w:rFonts w:eastAsia="Times New Roman" w:cs="Times New Roman"/>
                <w:bCs/>
                <w:sz w:val="16"/>
                <w:szCs w:val="18"/>
                <w:lang w:val="en-ZA" w:eastAsia="en-ZA"/>
              </w:rPr>
              <w:t>Delay in finalization of Housing Sector Plan by the consultant, hence it was not submitted to EXCO for approval by 30 June 2017.</w:t>
            </w:r>
          </w:p>
        </w:tc>
        <w:tc>
          <w:tcPr>
            <w:tcW w:w="1154" w:type="pct"/>
            <w:tcBorders>
              <w:top w:val="nil"/>
              <w:left w:val="nil"/>
              <w:bottom w:val="single" w:sz="4" w:space="0" w:color="000000"/>
              <w:right w:val="single" w:sz="4" w:space="0" w:color="000000"/>
            </w:tcBorders>
            <w:shd w:val="clear" w:color="000000" w:fill="FFFFFF"/>
            <w:hideMark/>
          </w:tcPr>
          <w:p w14:paraId="3476827C" w14:textId="77777777" w:rsidR="00F804E6" w:rsidRPr="004B57FA" w:rsidRDefault="00F804E6" w:rsidP="00F804E6">
            <w:pPr>
              <w:spacing w:after="0" w:line="240" w:lineRule="auto"/>
              <w:rPr>
                <w:rFonts w:eastAsia="Times New Roman" w:cs="Times New Roman"/>
                <w:bCs/>
                <w:sz w:val="16"/>
                <w:szCs w:val="18"/>
                <w:lang w:val="en-ZA" w:eastAsia="en-ZA"/>
              </w:rPr>
            </w:pPr>
            <w:r w:rsidRPr="004B57FA">
              <w:rPr>
                <w:rFonts w:eastAsia="Times New Roman" w:cs="Times New Roman"/>
                <w:bCs/>
                <w:sz w:val="16"/>
                <w:szCs w:val="18"/>
                <w:lang w:val="en-ZA" w:eastAsia="en-ZA"/>
              </w:rPr>
              <w:t>Housing Sector Plan is reviewed and  is due to be submitted to EXCO in September 2017 for approval.</w:t>
            </w:r>
          </w:p>
        </w:tc>
      </w:tr>
      <w:tr w:rsidR="00F804E6" w:rsidRPr="004B57FA" w14:paraId="6347E388" w14:textId="77777777" w:rsidTr="004B57FA">
        <w:trPr>
          <w:trHeight w:val="983"/>
        </w:trPr>
        <w:tc>
          <w:tcPr>
            <w:tcW w:w="311" w:type="pct"/>
            <w:tcBorders>
              <w:top w:val="nil"/>
              <w:left w:val="single" w:sz="4" w:space="0" w:color="000000"/>
              <w:bottom w:val="single" w:sz="4" w:space="0" w:color="000000"/>
              <w:right w:val="single" w:sz="4" w:space="0" w:color="000000"/>
            </w:tcBorders>
            <w:shd w:val="clear" w:color="auto" w:fill="auto"/>
            <w:hideMark/>
          </w:tcPr>
          <w:p w14:paraId="4B27F2D4"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TL34</w:t>
            </w:r>
          </w:p>
        </w:tc>
        <w:tc>
          <w:tcPr>
            <w:tcW w:w="553" w:type="pct"/>
            <w:tcBorders>
              <w:top w:val="nil"/>
              <w:left w:val="nil"/>
              <w:bottom w:val="single" w:sz="4" w:space="0" w:color="000000"/>
              <w:right w:val="single" w:sz="4" w:space="0" w:color="000000"/>
            </w:tcBorders>
            <w:shd w:val="clear" w:color="auto" w:fill="auto"/>
            <w:hideMark/>
          </w:tcPr>
          <w:p w14:paraId="569B8F99"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Engineering Services</w:t>
            </w:r>
          </w:p>
        </w:tc>
        <w:tc>
          <w:tcPr>
            <w:tcW w:w="1154" w:type="pct"/>
            <w:tcBorders>
              <w:top w:val="nil"/>
              <w:left w:val="nil"/>
              <w:bottom w:val="single" w:sz="4" w:space="0" w:color="000000"/>
              <w:right w:val="single" w:sz="4" w:space="0" w:color="000000"/>
            </w:tcBorders>
            <w:shd w:val="clear" w:color="auto" w:fill="auto"/>
            <w:hideMark/>
          </w:tcPr>
          <w:p w14:paraId="28E0BF98"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Undertake at least 100 site visits to Capital projects by 30 June 2017</w:t>
            </w:r>
          </w:p>
        </w:tc>
        <w:tc>
          <w:tcPr>
            <w:tcW w:w="382" w:type="pct"/>
            <w:tcBorders>
              <w:top w:val="nil"/>
              <w:left w:val="nil"/>
              <w:bottom w:val="single" w:sz="4" w:space="0" w:color="000000"/>
              <w:right w:val="single" w:sz="4" w:space="0" w:color="000000"/>
            </w:tcBorders>
            <w:shd w:val="clear" w:color="000000" w:fill="EEEEEE"/>
            <w:vAlign w:val="center"/>
            <w:hideMark/>
          </w:tcPr>
          <w:p w14:paraId="5122E9FB"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100</w:t>
            </w:r>
          </w:p>
        </w:tc>
        <w:tc>
          <w:tcPr>
            <w:tcW w:w="338" w:type="pct"/>
            <w:tcBorders>
              <w:top w:val="nil"/>
              <w:left w:val="nil"/>
              <w:bottom w:val="single" w:sz="4" w:space="0" w:color="000000"/>
              <w:right w:val="single" w:sz="4" w:space="0" w:color="000000"/>
            </w:tcBorders>
            <w:shd w:val="clear" w:color="000000" w:fill="EEEEEE"/>
            <w:vAlign w:val="center"/>
            <w:hideMark/>
          </w:tcPr>
          <w:p w14:paraId="43773220"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86</w:t>
            </w:r>
          </w:p>
        </w:tc>
        <w:tc>
          <w:tcPr>
            <w:tcW w:w="1106" w:type="pct"/>
            <w:tcBorders>
              <w:top w:val="nil"/>
              <w:left w:val="nil"/>
              <w:bottom w:val="single" w:sz="4" w:space="0" w:color="000000"/>
              <w:right w:val="single" w:sz="4" w:space="0" w:color="000000"/>
            </w:tcBorders>
            <w:shd w:val="clear" w:color="000000" w:fill="FFFFFF"/>
            <w:hideMark/>
          </w:tcPr>
          <w:p w14:paraId="4ECADDB3" w14:textId="77777777" w:rsidR="00F804E6" w:rsidRPr="004B57FA" w:rsidRDefault="00F804E6" w:rsidP="00F804E6">
            <w:pPr>
              <w:spacing w:after="0" w:line="240" w:lineRule="auto"/>
              <w:rPr>
                <w:rFonts w:eastAsia="Times New Roman" w:cs="Times New Roman"/>
                <w:bCs/>
                <w:color w:val="000000"/>
                <w:sz w:val="16"/>
                <w:szCs w:val="18"/>
                <w:lang w:val="en-ZA" w:eastAsia="en-ZA"/>
              </w:rPr>
            </w:pPr>
            <w:r w:rsidRPr="004B57FA">
              <w:rPr>
                <w:rFonts w:eastAsia="Times New Roman" w:cs="Times New Roman"/>
                <w:bCs/>
                <w:color w:val="000000"/>
                <w:sz w:val="16"/>
                <w:szCs w:val="18"/>
                <w:lang w:val="en-ZA" w:eastAsia="en-ZA"/>
              </w:rPr>
              <w:t>The support Consultant to the PMU was terminated during the course of the FY. Another was appointed.</w:t>
            </w:r>
          </w:p>
        </w:tc>
        <w:tc>
          <w:tcPr>
            <w:tcW w:w="1154" w:type="pct"/>
            <w:tcBorders>
              <w:top w:val="nil"/>
              <w:left w:val="nil"/>
              <w:bottom w:val="single" w:sz="4" w:space="0" w:color="000000"/>
              <w:right w:val="single" w:sz="4" w:space="0" w:color="000000"/>
            </w:tcBorders>
            <w:shd w:val="clear" w:color="000000" w:fill="FFFFFF"/>
            <w:hideMark/>
          </w:tcPr>
          <w:p w14:paraId="57A80154" w14:textId="77777777" w:rsidR="00F804E6" w:rsidRPr="004B57FA" w:rsidRDefault="00F804E6" w:rsidP="00F804E6">
            <w:pPr>
              <w:spacing w:after="0" w:line="240" w:lineRule="auto"/>
              <w:rPr>
                <w:rFonts w:eastAsia="Times New Roman" w:cs="Times New Roman"/>
                <w:bCs/>
                <w:color w:val="000000"/>
                <w:sz w:val="16"/>
                <w:szCs w:val="18"/>
                <w:lang w:val="en-ZA" w:eastAsia="en-ZA"/>
              </w:rPr>
            </w:pPr>
            <w:r w:rsidRPr="004B57FA">
              <w:rPr>
                <w:rFonts w:eastAsia="Times New Roman" w:cs="Times New Roman"/>
                <w:bCs/>
                <w:color w:val="000000"/>
                <w:sz w:val="16"/>
                <w:szCs w:val="18"/>
                <w:lang w:val="en-ZA" w:eastAsia="en-ZA"/>
              </w:rPr>
              <w:t>With the rate of the current visits being done per month, 100 site visits would easily be reached by the end of the 2017/2018 FY.</w:t>
            </w:r>
          </w:p>
        </w:tc>
      </w:tr>
      <w:tr w:rsidR="00F804E6" w:rsidRPr="004B57FA" w14:paraId="088466D1" w14:textId="77777777" w:rsidTr="004B57FA">
        <w:trPr>
          <w:trHeight w:val="1129"/>
        </w:trPr>
        <w:tc>
          <w:tcPr>
            <w:tcW w:w="311" w:type="pct"/>
            <w:tcBorders>
              <w:top w:val="nil"/>
              <w:left w:val="single" w:sz="4" w:space="0" w:color="000000"/>
              <w:bottom w:val="single" w:sz="4" w:space="0" w:color="000000"/>
              <w:right w:val="single" w:sz="4" w:space="0" w:color="000000"/>
            </w:tcBorders>
            <w:shd w:val="clear" w:color="auto" w:fill="auto"/>
            <w:hideMark/>
          </w:tcPr>
          <w:p w14:paraId="57F0C773"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TL35</w:t>
            </w:r>
          </w:p>
        </w:tc>
        <w:tc>
          <w:tcPr>
            <w:tcW w:w="553" w:type="pct"/>
            <w:tcBorders>
              <w:top w:val="nil"/>
              <w:left w:val="nil"/>
              <w:bottom w:val="single" w:sz="4" w:space="0" w:color="000000"/>
              <w:right w:val="single" w:sz="4" w:space="0" w:color="000000"/>
            </w:tcBorders>
            <w:shd w:val="clear" w:color="auto" w:fill="auto"/>
            <w:hideMark/>
          </w:tcPr>
          <w:p w14:paraId="4B2067F5"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Community Services</w:t>
            </w:r>
          </w:p>
        </w:tc>
        <w:tc>
          <w:tcPr>
            <w:tcW w:w="1154" w:type="pct"/>
            <w:tcBorders>
              <w:top w:val="nil"/>
              <w:left w:val="nil"/>
              <w:bottom w:val="single" w:sz="4" w:space="0" w:color="000000"/>
              <w:right w:val="single" w:sz="4" w:space="0" w:color="000000"/>
            </w:tcBorders>
            <w:shd w:val="clear" w:color="auto" w:fill="auto"/>
            <w:hideMark/>
          </w:tcPr>
          <w:p w14:paraId="35411266"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Hold quarterly meetings with applicable stakeholders to discuss disaster management issues</w:t>
            </w:r>
          </w:p>
        </w:tc>
        <w:tc>
          <w:tcPr>
            <w:tcW w:w="382" w:type="pct"/>
            <w:tcBorders>
              <w:top w:val="nil"/>
              <w:left w:val="nil"/>
              <w:bottom w:val="single" w:sz="4" w:space="0" w:color="000000"/>
              <w:right w:val="single" w:sz="4" w:space="0" w:color="000000"/>
            </w:tcBorders>
            <w:shd w:val="clear" w:color="000000" w:fill="EEEEEE"/>
            <w:vAlign w:val="center"/>
            <w:hideMark/>
          </w:tcPr>
          <w:p w14:paraId="1C6B9837"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4</w:t>
            </w:r>
          </w:p>
        </w:tc>
        <w:tc>
          <w:tcPr>
            <w:tcW w:w="338" w:type="pct"/>
            <w:tcBorders>
              <w:top w:val="nil"/>
              <w:left w:val="nil"/>
              <w:bottom w:val="single" w:sz="4" w:space="0" w:color="000000"/>
              <w:right w:val="single" w:sz="4" w:space="0" w:color="000000"/>
            </w:tcBorders>
            <w:shd w:val="clear" w:color="000000" w:fill="EEEEEE"/>
            <w:vAlign w:val="center"/>
            <w:hideMark/>
          </w:tcPr>
          <w:p w14:paraId="66BB428E"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2</w:t>
            </w:r>
          </w:p>
        </w:tc>
        <w:tc>
          <w:tcPr>
            <w:tcW w:w="1106" w:type="pct"/>
            <w:tcBorders>
              <w:top w:val="nil"/>
              <w:left w:val="nil"/>
              <w:bottom w:val="single" w:sz="4" w:space="0" w:color="000000"/>
              <w:right w:val="single" w:sz="4" w:space="0" w:color="000000"/>
            </w:tcBorders>
            <w:shd w:val="clear" w:color="auto" w:fill="auto"/>
            <w:hideMark/>
          </w:tcPr>
          <w:p w14:paraId="38F533DA" w14:textId="77777777" w:rsidR="00F804E6" w:rsidRPr="004B57FA" w:rsidRDefault="00F804E6" w:rsidP="00F804E6">
            <w:pPr>
              <w:rPr>
                <w:rFonts w:eastAsia="Times New Roman" w:cs="Times New Roman"/>
                <w:sz w:val="16"/>
                <w:szCs w:val="18"/>
                <w:lang w:val="en-ZA" w:eastAsia="en-ZA"/>
              </w:rPr>
            </w:pPr>
            <w:r w:rsidRPr="004B57FA">
              <w:rPr>
                <w:rFonts w:eastAsia="Times New Roman" w:cs="Times New Roman"/>
                <w:sz w:val="16"/>
                <w:szCs w:val="18"/>
                <w:lang w:val="en-ZA" w:eastAsia="en-ZA"/>
              </w:rPr>
              <w:t xml:space="preserve"> Quarter 1 meeting was scheduled, however due to community protest the meeting was postponed</w:t>
            </w:r>
          </w:p>
        </w:tc>
        <w:tc>
          <w:tcPr>
            <w:tcW w:w="1154" w:type="pct"/>
            <w:tcBorders>
              <w:top w:val="nil"/>
              <w:left w:val="nil"/>
              <w:bottom w:val="single" w:sz="4" w:space="0" w:color="000000"/>
              <w:right w:val="single" w:sz="4" w:space="0" w:color="000000"/>
            </w:tcBorders>
            <w:shd w:val="clear" w:color="auto" w:fill="auto"/>
            <w:hideMark/>
          </w:tcPr>
          <w:p w14:paraId="31D30C1C" w14:textId="77777777" w:rsidR="00F804E6" w:rsidRPr="004B57FA" w:rsidRDefault="00F804E6" w:rsidP="00F804E6">
            <w:pPr>
              <w:rPr>
                <w:rFonts w:eastAsia="Times New Roman" w:cs="Times New Roman"/>
                <w:sz w:val="16"/>
                <w:szCs w:val="18"/>
                <w:lang w:val="en-ZA" w:eastAsia="en-ZA"/>
              </w:rPr>
            </w:pPr>
            <w:r w:rsidRPr="004B57FA">
              <w:rPr>
                <w:rFonts w:eastAsia="Times New Roman" w:cs="Times New Roman"/>
                <w:sz w:val="16"/>
                <w:szCs w:val="18"/>
                <w:lang w:val="en-ZA" w:eastAsia="en-ZA"/>
              </w:rPr>
              <w:t xml:space="preserve"> The scheduled meeting for quarter 2, 3 &amp; 4 took place according to schedule.</w:t>
            </w:r>
          </w:p>
        </w:tc>
      </w:tr>
      <w:tr w:rsidR="00F804E6" w:rsidRPr="004B57FA" w14:paraId="0152396C" w14:textId="77777777" w:rsidTr="004B57FA">
        <w:trPr>
          <w:trHeight w:val="865"/>
        </w:trPr>
        <w:tc>
          <w:tcPr>
            <w:tcW w:w="311" w:type="pct"/>
            <w:tcBorders>
              <w:top w:val="nil"/>
              <w:left w:val="single" w:sz="4" w:space="0" w:color="000000"/>
              <w:bottom w:val="single" w:sz="4" w:space="0" w:color="000000"/>
              <w:right w:val="single" w:sz="4" w:space="0" w:color="000000"/>
            </w:tcBorders>
            <w:shd w:val="clear" w:color="auto" w:fill="auto"/>
            <w:hideMark/>
          </w:tcPr>
          <w:p w14:paraId="5A690ED4"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TL37</w:t>
            </w:r>
          </w:p>
        </w:tc>
        <w:tc>
          <w:tcPr>
            <w:tcW w:w="553" w:type="pct"/>
            <w:tcBorders>
              <w:top w:val="nil"/>
              <w:left w:val="nil"/>
              <w:bottom w:val="single" w:sz="4" w:space="0" w:color="000000"/>
              <w:right w:val="single" w:sz="4" w:space="0" w:color="000000"/>
            </w:tcBorders>
            <w:shd w:val="clear" w:color="auto" w:fill="auto"/>
            <w:hideMark/>
          </w:tcPr>
          <w:p w14:paraId="0B6ACFFB"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Planning &amp; Development</w:t>
            </w:r>
          </w:p>
        </w:tc>
        <w:tc>
          <w:tcPr>
            <w:tcW w:w="1154" w:type="pct"/>
            <w:tcBorders>
              <w:top w:val="nil"/>
              <w:left w:val="nil"/>
              <w:bottom w:val="single" w:sz="4" w:space="0" w:color="000000"/>
              <w:right w:val="single" w:sz="4" w:space="0" w:color="000000"/>
            </w:tcBorders>
            <w:shd w:val="clear" w:color="auto" w:fill="auto"/>
            <w:hideMark/>
          </w:tcPr>
          <w:p w14:paraId="1BB9986B"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Develop a cemetery plan for the next five years to accommodate future cemetery needs and submit to EXCO by 30 June 2017</w:t>
            </w:r>
          </w:p>
        </w:tc>
        <w:tc>
          <w:tcPr>
            <w:tcW w:w="382" w:type="pct"/>
            <w:tcBorders>
              <w:top w:val="nil"/>
              <w:left w:val="nil"/>
              <w:bottom w:val="single" w:sz="4" w:space="0" w:color="000000"/>
              <w:right w:val="single" w:sz="4" w:space="0" w:color="000000"/>
            </w:tcBorders>
            <w:shd w:val="clear" w:color="000000" w:fill="EEEEEE"/>
            <w:vAlign w:val="center"/>
            <w:hideMark/>
          </w:tcPr>
          <w:p w14:paraId="3A18F83E"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1</w:t>
            </w:r>
          </w:p>
        </w:tc>
        <w:tc>
          <w:tcPr>
            <w:tcW w:w="338" w:type="pct"/>
            <w:tcBorders>
              <w:top w:val="nil"/>
              <w:left w:val="nil"/>
              <w:bottom w:val="single" w:sz="4" w:space="0" w:color="000000"/>
              <w:right w:val="single" w:sz="4" w:space="0" w:color="000000"/>
            </w:tcBorders>
            <w:shd w:val="clear" w:color="000000" w:fill="EEEEEE"/>
            <w:vAlign w:val="center"/>
            <w:hideMark/>
          </w:tcPr>
          <w:p w14:paraId="6AF84547"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0</w:t>
            </w:r>
          </w:p>
        </w:tc>
        <w:tc>
          <w:tcPr>
            <w:tcW w:w="1106" w:type="pct"/>
            <w:tcBorders>
              <w:top w:val="nil"/>
              <w:left w:val="nil"/>
              <w:bottom w:val="single" w:sz="4" w:space="0" w:color="000000"/>
              <w:right w:val="single" w:sz="4" w:space="0" w:color="000000"/>
            </w:tcBorders>
            <w:shd w:val="clear" w:color="auto" w:fill="auto"/>
            <w:hideMark/>
          </w:tcPr>
          <w:p w14:paraId="51869E11" w14:textId="77777777" w:rsidR="00F804E6" w:rsidRPr="004B57FA" w:rsidRDefault="00F804E6" w:rsidP="00F804E6">
            <w:pPr>
              <w:spacing w:after="0" w:line="240" w:lineRule="auto"/>
              <w:rPr>
                <w:rFonts w:eastAsia="Times New Roman" w:cs="Times New Roman"/>
                <w:bCs/>
                <w:sz w:val="16"/>
                <w:szCs w:val="18"/>
                <w:lang w:val="en-ZA" w:eastAsia="en-ZA"/>
              </w:rPr>
            </w:pPr>
            <w:r w:rsidRPr="004B57FA">
              <w:rPr>
                <w:rFonts w:eastAsia="Times New Roman" w:cs="Times New Roman"/>
                <w:bCs/>
                <w:sz w:val="16"/>
                <w:szCs w:val="18"/>
                <w:lang w:val="en-ZA" w:eastAsia="en-ZA"/>
              </w:rPr>
              <w:t>Ilifa Engineering were appointed in 2016/2017 to compile the cemetery plan. The report is still not finalized.</w:t>
            </w:r>
          </w:p>
        </w:tc>
        <w:tc>
          <w:tcPr>
            <w:tcW w:w="1154" w:type="pct"/>
            <w:tcBorders>
              <w:top w:val="nil"/>
              <w:left w:val="nil"/>
              <w:bottom w:val="single" w:sz="4" w:space="0" w:color="000000"/>
              <w:right w:val="single" w:sz="4" w:space="0" w:color="000000"/>
            </w:tcBorders>
            <w:shd w:val="clear" w:color="auto" w:fill="auto"/>
            <w:hideMark/>
          </w:tcPr>
          <w:p w14:paraId="346AD3F5" w14:textId="77777777" w:rsidR="00F804E6" w:rsidRPr="004B57FA" w:rsidRDefault="00F804E6" w:rsidP="00F804E6">
            <w:pPr>
              <w:spacing w:after="0" w:line="240" w:lineRule="auto"/>
              <w:rPr>
                <w:rFonts w:eastAsia="Times New Roman" w:cs="Times New Roman"/>
                <w:bCs/>
                <w:sz w:val="16"/>
                <w:szCs w:val="18"/>
                <w:lang w:val="en-ZA" w:eastAsia="en-ZA"/>
              </w:rPr>
            </w:pPr>
            <w:r w:rsidRPr="004B57FA">
              <w:rPr>
                <w:rFonts w:eastAsia="Times New Roman" w:cs="Times New Roman"/>
                <w:bCs/>
                <w:sz w:val="16"/>
                <w:szCs w:val="18"/>
                <w:lang w:val="en-ZA" w:eastAsia="en-ZA"/>
              </w:rPr>
              <w:t>The Cemetery Plan will be finalized in 2017/2018. The Service has already been appointed.</w:t>
            </w:r>
          </w:p>
        </w:tc>
      </w:tr>
      <w:tr w:rsidR="00F804E6" w:rsidRPr="004B57FA" w14:paraId="6D364CE9" w14:textId="77777777" w:rsidTr="004B57FA">
        <w:trPr>
          <w:trHeight w:val="1161"/>
        </w:trPr>
        <w:tc>
          <w:tcPr>
            <w:tcW w:w="311" w:type="pct"/>
            <w:tcBorders>
              <w:top w:val="nil"/>
              <w:left w:val="single" w:sz="4" w:space="0" w:color="000000"/>
              <w:bottom w:val="single" w:sz="4" w:space="0" w:color="000000"/>
              <w:right w:val="single" w:sz="4" w:space="0" w:color="000000"/>
            </w:tcBorders>
            <w:shd w:val="clear" w:color="auto" w:fill="auto"/>
            <w:hideMark/>
          </w:tcPr>
          <w:p w14:paraId="4A71886D"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TL45</w:t>
            </w:r>
          </w:p>
        </w:tc>
        <w:tc>
          <w:tcPr>
            <w:tcW w:w="553" w:type="pct"/>
            <w:tcBorders>
              <w:top w:val="nil"/>
              <w:left w:val="nil"/>
              <w:bottom w:val="single" w:sz="4" w:space="0" w:color="000000"/>
              <w:right w:val="single" w:sz="4" w:space="0" w:color="000000"/>
            </w:tcBorders>
            <w:shd w:val="clear" w:color="auto" w:fill="auto"/>
            <w:hideMark/>
          </w:tcPr>
          <w:p w14:paraId="008B8D2D"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Planning &amp; Development</w:t>
            </w:r>
          </w:p>
        </w:tc>
        <w:tc>
          <w:tcPr>
            <w:tcW w:w="1154" w:type="pct"/>
            <w:tcBorders>
              <w:top w:val="nil"/>
              <w:left w:val="nil"/>
              <w:bottom w:val="single" w:sz="4" w:space="0" w:color="000000"/>
              <w:right w:val="single" w:sz="4" w:space="0" w:color="000000"/>
            </w:tcBorders>
            <w:shd w:val="clear" w:color="auto" w:fill="auto"/>
            <w:hideMark/>
          </w:tcPr>
          <w:p w14:paraId="04B3B28C"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Develop a database of businesses licenced in uMlalazi Municipality and submit quarterly reports to Portfolio Committee</w:t>
            </w:r>
          </w:p>
        </w:tc>
        <w:tc>
          <w:tcPr>
            <w:tcW w:w="382" w:type="pct"/>
            <w:tcBorders>
              <w:top w:val="nil"/>
              <w:left w:val="nil"/>
              <w:bottom w:val="single" w:sz="4" w:space="0" w:color="000000"/>
              <w:right w:val="single" w:sz="4" w:space="0" w:color="000000"/>
            </w:tcBorders>
            <w:shd w:val="clear" w:color="000000" w:fill="EEEEEE"/>
            <w:vAlign w:val="center"/>
            <w:hideMark/>
          </w:tcPr>
          <w:p w14:paraId="7CD54500"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3</w:t>
            </w:r>
          </w:p>
        </w:tc>
        <w:tc>
          <w:tcPr>
            <w:tcW w:w="338" w:type="pct"/>
            <w:tcBorders>
              <w:top w:val="nil"/>
              <w:left w:val="nil"/>
              <w:bottom w:val="single" w:sz="4" w:space="0" w:color="000000"/>
              <w:right w:val="single" w:sz="4" w:space="0" w:color="000000"/>
            </w:tcBorders>
            <w:shd w:val="clear" w:color="000000" w:fill="EEEEEE"/>
            <w:vAlign w:val="center"/>
            <w:hideMark/>
          </w:tcPr>
          <w:p w14:paraId="1CC519C8"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2</w:t>
            </w:r>
          </w:p>
        </w:tc>
        <w:tc>
          <w:tcPr>
            <w:tcW w:w="1106" w:type="pct"/>
            <w:tcBorders>
              <w:top w:val="nil"/>
              <w:left w:val="nil"/>
              <w:bottom w:val="single" w:sz="4" w:space="0" w:color="000000"/>
              <w:right w:val="single" w:sz="4" w:space="0" w:color="000000"/>
            </w:tcBorders>
            <w:shd w:val="clear" w:color="auto" w:fill="auto"/>
            <w:hideMark/>
          </w:tcPr>
          <w:p w14:paraId="507ABCC9" w14:textId="77777777" w:rsidR="00F804E6" w:rsidRPr="004B57FA" w:rsidRDefault="00F804E6" w:rsidP="00F804E6">
            <w:pPr>
              <w:spacing w:after="0" w:line="240" w:lineRule="auto"/>
              <w:rPr>
                <w:rFonts w:eastAsia="Times New Roman" w:cs="Times New Roman"/>
                <w:bCs/>
                <w:sz w:val="16"/>
                <w:szCs w:val="18"/>
                <w:lang w:val="en-ZA" w:eastAsia="en-ZA"/>
              </w:rPr>
            </w:pPr>
            <w:r w:rsidRPr="004B57FA">
              <w:rPr>
                <w:rFonts w:eastAsia="Times New Roman" w:cs="Times New Roman"/>
                <w:bCs/>
                <w:sz w:val="16"/>
                <w:szCs w:val="18"/>
                <w:lang w:val="en-ZA" w:eastAsia="en-ZA"/>
              </w:rPr>
              <w:t>The target was not achieved due to capacity constraints within the department.  There is no dedicated staff member to work with Business licences.</w:t>
            </w:r>
          </w:p>
        </w:tc>
        <w:tc>
          <w:tcPr>
            <w:tcW w:w="1154" w:type="pct"/>
            <w:tcBorders>
              <w:top w:val="nil"/>
              <w:left w:val="nil"/>
              <w:bottom w:val="single" w:sz="4" w:space="0" w:color="000000"/>
              <w:right w:val="single" w:sz="4" w:space="0" w:color="000000"/>
            </w:tcBorders>
            <w:shd w:val="clear" w:color="auto" w:fill="auto"/>
            <w:hideMark/>
          </w:tcPr>
          <w:p w14:paraId="0FA94E87" w14:textId="77777777" w:rsidR="00F804E6" w:rsidRPr="004B57FA" w:rsidRDefault="00F804E6" w:rsidP="00F804E6">
            <w:pPr>
              <w:spacing w:after="0" w:line="240" w:lineRule="auto"/>
              <w:rPr>
                <w:rFonts w:eastAsia="Times New Roman" w:cs="Times New Roman"/>
                <w:bCs/>
                <w:sz w:val="16"/>
                <w:szCs w:val="18"/>
                <w:lang w:val="en-ZA" w:eastAsia="en-ZA"/>
              </w:rPr>
            </w:pPr>
            <w:r w:rsidRPr="004B57FA">
              <w:rPr>
                <w:rFonts w:eastAsia="Times New Roman" w:cs="Times New Roman"/>
                <w:bCs/>
                <w:sz w:val="16"/>
                <w:szCs w:val="18"/>
                <w:lang w:val="en-ZA" w:eastAsia="en-ZA"/>
              </w:rPr>
              <w:t>The position of Business licence Officer is on the approved organisational structure. Budget will be requested during the mid-year adjustments budget to fill the position.</w:t>
            </w:r>
          </w:p>
        </w:tc>
      </w:tr>
      <w:tr w:rsidR="00F804E6" w:rsidRPr="004B57FA" w14:paraId="73071DBB" w14:textId="77777777" w:rsidTr="004B57FA">
        <w:trPr>
          <w:trHeight w:val="651"/>
        </w:trPr>
        <w:tc>
          <w:tcPr>
            <w:tcW w:w="311" w:type="pct"/>
            <w:tcBorders>
              <w:top w:val="nil"/>
              <w:left w:val="single" w:sz="4" w:space="0" w:color="000000"/>
              <w:bottom w:val="single" w:sz="4" w:space="0" w:color="000000"/>
              <w:right w:val="single" w:sz="4" w:space="0" w:color="000000"/>
            </w:tcBorders>
            <w:shd w:val="clear" w:color="auto" w:fill="auto"/>
            <w:hideMark/>
          </w:tcPr>
          <w:p w14:paraId="57316581"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TL48</w:t>
            </w:r>
          </w:p>
        </w:tc>
        <w:tc>
          <w:tcPr>
            <w:tcW w:w="553" w:type="pct"/>
            <w:tcBorders>
              <w:top w:val="nil"/>
              <w:left w:val="nil"/>
              <w:bottom w:val="single" w:sz="4" w:space="0" w:color="000000"/>
              <w:right w:val="single" w:sz="4" w:space="0" w:color="000000"/>
            </w:tcBorders>
            <w:shd w:val="clear" w:color="auto" w:fill="auto"/>
            <w:hideMark/>
          </w:tcPr>
          <w:p w14:paraId="1D0FDE35"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Finance</w:t>
            </w:r>
          </w:p>
        </w:tc>
        <w:tc>
          <w:tcPr>
            <w:tcW w:w="1154" w:type="pct"/>
            <w:tcBorders>
              <w:top w:val="nil"/>
              <w:left w:val="nil"/>
              <w:bottom w:val="single" w:sz="4" w:space="0" w:color="000000"/>
              <w:right w:val="single" w:sz="4" w:space="0" w:color="000000"/>
            </w:tcBorders>
            <w:shd w:val="clear" w:color="auto" w:fill="auto"/>
            <w:hideMark/>
          </w:tcPr>
          <w:p w14:paraId="04CC50A7"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Financial viability measured in terms of the available cash to cover fixed operating expenditure as at 30 June 2017 ((Available cash+ investments)/ Monthly fixed operating expenditure)</w:t>
            </w:r>
          </w:p>
        </w:tc>
        <w:tc>
          <w:tcPr>
            <w:tcW w:w="382" w:type="pct"/>
            <w:tcBorders>
              <w:top w:val="nil"/>
              <w:left w:val="nil"/>
              <w:bottom w:val="single" w:sz="4" w:space="0" w:color="000000"/>
              <w:right w:val="single" w:sz="4" w:space="0" w:color="000000"/>
            </w:tcBorders>
            <w:shd w:val="clear" w:color="000000" w:fill="EEEEEE"/>
            <w:vAlign w:val="center"/>
            <w:hideMark/>
          </w:tcPr>
          <w:p w14:paraId="2D3ECF64"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3</w:t>
            </w:r>
          </w:p>
        </w:tc>
        <w:tc>
          <w:tcPr>
            <w:tcW w:w="338" w:type="pct"/>
            <w:tcBorders>
              <w:top w:val="nil"/>
              <w:left w:val="nil"/>
              <w:bottom w:val="single" w:sz="4" w:space="0" w:color="000000"/>
              <w:right w:val="single" w:sz="4" w:space="0" w:color="000000"/>
            </w:tcBorders>
            <w:shd w:val="clear" w:color="000000" w:fill="EEEEEE"/>
            <w:vAlign w:val="center"/>
            <w:hideMark/>
          </w:tcPr>
          <w:p w14:paraId="5DA6F60F"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2.66</w:t>
            </w:r>
          </w:p>
        </w:tc>
        <w:tc>
          <w:tcPr>
            <w:tcW w:w="1106" w:type="pct"/>
            <w:tcBorders>
              <w:top w:val="nil"/>
              <w:left w:val="nil"/>
              <w:bottom w:val="single" w:sz="4" w:space="0" w:color="000000"/>
              <w:right w:val="single" w:sz="4" w:space="0" w:color="000000"/>
            </w:tcBorders>
            <w:shd w:val="clear" w:color="auto" w:fill="auto"/>
            <w:hideMark/>
          </w:tcPr>
          <w:p w14:paraId="693A8945" w14:textId="77777777" w:rsidR="00F804E6" w:rsidRPr="004B57FA" w:rsidRDefault="00F804E6" w:rsidP="00F804E6">
            <w:pPr>
              <w:spacing w:after="0" w:line="240" w:lineRule="auto"/>
              <w:rPr>
                <w:rFonts w:eastAsia="Times New Roman" w:cs="Times New Roman"/>
                <w:bCs/>
                <w:sz w:val="16"/>
                <w:szCs w:val="18"/>
                <w:lang w:val="en-ZA" w:eastAsia="en-ZA"/>
              </w:rPr>
            </w:pPr>
            <w:r w:rsidRPr="004B57FA">
              <w:rPr>
                <w:rFonts w:eastAsia="Times New Roman" w:cs="Times New Roman"/>
                <w:bCs/>
                <w:sz w:val="16"/>
                <w:szCs w:val="18"/>
                <w:lang w:val="en-ZA" w:eastAsia="en-ZA"/>
              </w:rPr>
              <w:t xml:space="preserve"> Due to financial year end, four runs were done in June to accommodate all the expenditure incurred in the 2016-17 financial year including MIG payments, which caused the total expenditure to be high than the other months.</w:t>
            </w:r>
          </w:p>
        </w:tc>
        <w:tc>
          <w:tcPr>
            <w:tcW w:w="1154" w:type="pct"/>
            <w:tcBorders>
              <w:top w:val="nil"/>
              <w:left w:val="nil"/>
              <w:bottom w:val="single" w:sz="4" w:space="0" w:color="000000"/>
              <w:right w:val="single" w:sz="4" w:space="0" w:color="000000"/>
            </w:tcBorders>
            <w:shd w:val="clear" w:color="auto" w:fill="auto"/>
            <w:hideMark/>
          </w:tcPr>
          <w:p w14:paraId="05B10485" w14:textId="77777777" w:rsidR="00F804E6" w:rsidRPr="004B57FA" w:rsidRDefault="00F804E6" w:rsidP="00F804E6">
            <w:pPr>
              <w:spacing w:after="0" w:line="240" w:lineRule="auto"/>
              <w:rPr>
                <w:rFonts w:eastAsia="Times New Roman" w:cs="Times New Roman"/>
                <w:bCs/>
                <w:sz w:val="16"/>
                <w:szCs w:val="18"/>
                <w:lang w:val="en-ZA" w:eastAsia="en-ZA"/>
              </w:rPr>
            </w:pPr>
            <w:r w:rsidRPr="004B57FA">
              <w:rPr>
                <w:rFonts w:eastAsia="Times New Roman" w:cs="Times New Roman"/>
                <w:bCs/>
                <w:sz w:val="16"/>
                <w:szCs w:val="18"/>
                <w:lang w:val="en-ZA" w:eastAsia="en-ZA"/>
              </w:rPr>
              <w:t xml:space="preserve"> This required investments to be withdrawn which reduced the short term deposits.</w:t>
            </w:r>
          </w:p>
        </w:tc>
      </w:tr>
      <w:tr w:rsidR="00F804E6" w:rsidRPr="004B57FA" w14:paraId="4DEBCAF9" w14:textId="77777777" w:rsidTr="004B57FA">
        <w:trPr>
          <w:trHeight w:val="1124"/>
        </w:trPr>
        <w:tc>
          <w:tcPr>
            <w:tcW w:w="311" w:type="pct"/>
            <w:tcBorders>
              <w:top w:val="nil"/>
              <w:left w:val="single" w:sz="4" w:space="0" w:color="000000"/>
              <w:bottom w:val="single" w:sz="4" w:space="0" w:color="000000"/>
              <w:right w:val="single" w:sz="4" w:space="0" w:color="000000"/>
            </w:tcBorders>
            <w:shd w:val="clear" w:color="auto" w:fill="auto"/>
            <w:hideMark/>
          </w:tcPr>
          <w:p w14:paraId="730C90B5"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TL49</w:t>
            </w:r>
          </w:p>
        </w:tc>
        <w:tc>
          <w:tcPr>
            <w:tcW w:w="553" w:type="pct"/>
            <w:tcBorders>
              <w:top w:val="nil"/>
              <w:left w:val="nil"/>
              <w:bottom w:val="single" w:sz="4" w:space="0" w:color="000000"/>
              <w:right w:val="single" w:sz="4" w:space="0" w:color="000000"/>
            </w:tcBorders>
            <w:shd w:val="clear" w:color="auto" w:fill="auto"/>
            <w:hideMark/>
          </w:tcPr>
          <w:p w14:paraId="441860AC"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Finance</w:t>
            </w:r>
          </w:p>
        </w:tc>
        <w:tc>
          <w:tcPr>
            <w:tcW w:w="1154" w:type="pct"/>
            <w:tcBorders>
              <w:top w:val="nil"/>
              <w:left w:val="nil"/>
              <w:bottom w:val="single" w:sz="4" w:space="0" w:color="000000"/>
              <w:right w:val="single" w:sz="4" w:space="0" w:color="000000"/>
            </w:tcBorders>
            <w:shd w:val="clear" w:color="auto" w:fill="auto"/>
            <w:hideMark/>
          </w:tcPr>
          <w:p w14:paraId="76417621"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Limit unaccounted for electricity to less than 8% by 30 June 2017 {(Number of Electricity Units Purchased and/or Generated - Number of Electricity Units Sold) / Number of Electricity Units Purchased and/or Generated) × 100}</w:t>
            </w:r>
          </w:p>
        </w:tc>
        <w:tc>
          <w:tcPr>
            <w:tcW w:w="382" w:type="pct"/>
            <w:tcBorders>
              <w:top w:val="nil"/>
              <w:left w:val="nil"/>
              <w:bottom w:val="single" w:sz="4" w:space="0" w:color="000000"/>
              <w:right w:val="single" w:sz="4" w:space="0" w:color="000000"/>
            </w:tcBorders>
            <w:shd w:val="clear" w:color="000000" w:fill="EEEEEE"/>
            <w:vAlign w:val="center"/>
            <w:hideMark/>
          </w:tcPr>
          <w:p w14:paraId="485DD36A"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8</w:t>
            </w:r>
          </w:p>
        </w:tc>
        <w:tc>
          <w:tcPr>
            <w:tcW w:w="338" w:type="pct"/>
            <w:tcBorders>
              <w:top w:val="nil"/>
              <w:left w:val="nil"/>
              <w:bottom w:val="single" w:sz="4" w:space="0" w:color="000000"/>
              <w:right w:val="single" w:sz="4" w:space="0" w:color="000000"/>
            </w:tcBorders>
            <w:shd w:val="clear" w:color="000000" w:fill="EEEEEE"/>
            <w:vAlign w:val="center"/>
            <w:hideMark/>
          </w:tcPr>
          <w:p w14:paraId="52845410"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11.17</w:t>
            </w:r>
          </w:p>
        </w:tc>
        <w:tc>
          <w:tcPr>
            <w:tcW w:w="1106" w:type="pct"/>
            <w:tcBorders>
              <w:top w:val="nil"/>
              <w:left w:val="nil"/>
              <w:bottom w:val="single" w:sz="4" w:space="0" w:color="000000"/>
              <w:right w:val="single" w:sz="4" w:space="0" w:color="000000"/>
            </w:tcBorders>
            <w:shd w:val="clear" w:color="auto" w:fill="auto"/>
            <w:hideMark/>
          </w:tcPr>
          <w:p w14:paraId="3999B963" w14:textId="77777777" w:rsidR="00F804E6" w:rsidRPr="004B57FA" w:rsidRDefault="00F804E6" w:rsidP="00F804E6">
            <w:pPr>
              <w:spacing w:after="0" w:line="240" w:lineRule="auto"/>
              <w:rPr>
                <w:rFonts w:eastAsia="Times New Roman" w:cs="Times New Roman"/>
                <w:bCs/>
                <w:sz w:val="16"/>
                <w:szCs w:val="18"/>
                <w:lang w:val="en-ZA" w:eastAsia="en-ZA"/>
              </w:rPr>
            </w:pPr>
            <w:r w:rsidRPr="004B57FA">
              <w:rPr>
                <w:rFonts w:eastAsia="Times New Roman" w:cs="Times New Roman"/>
                <w:bCs/>
                <w:sz w:val="16"/>
                <w:szCs w:val="18"/>
                <w:lang w:val="en-ZA" w:eastAsia="en-ZA"/>
              </w:rPr>
              <w:br/>
              <w:t>In line with the guideline from NERSA which states the percentage losses be between 5-12. Full Audit was not done for KDS due to service delivery protest.</w:t>
            </w:r>
          </w:p>
        </w:tc>
        <w:tc>
          <w:tcPr>
            <w:tcW w:w="1154" w:type="pct"/>
            <w:tcBorders>
              <w:top w:val="nil"/>
              <w:left w:val="nil"/>
              <w:bottom w:val="single" w:sz="4" w:space="0" w:color="000000"/>
              <w:right w:val="single" w:sz="4" w:space="0" w:color="000000"/>
            </w:tcBorders>
            <w:shd w:val="clear" w:color="auto" w:fill="auto"/>
            <w:hideMark/>
          </w:tcPr>
          <w:p w14:paraId="5969E10E" w14:textId="77777777" w:rsidR="00F804E6" w:rsidRPr="004B57FA" w:rsidRDefault="00F804E6" w:rsidP="00F804E6">
            <w:pPr>
              <w:spacing w:after="0" w:line="240" w:lineRule="auto"/>
              <w:rPr>
                <w:rFonts w:eastAsia="Times New Roman" w:cs="Times New Roman"/>
                <w:bCs/>
                <w:sz w:val="16"/>
                <w:szCs w:val="18"/>
                <w:lang w:val="en-ZA" w:eastAsia="en-ZA"/>
              </w:rPr>
            </w:pPr>
            <w:r w:rsidRPr="004B57FA">
              <w:rPr>
                <w:rFonts w:eastAsia="Times New Roman" w:cs="Times New Roman"/>
                <w:bCs/>
                <w:sz w:val="16"/>
                <w:szCs w:val="18"/>
                <w:lang w:val="en-ZA" w:eastAsia="en-ZA"/>
              </w:rPr>
              <w:t>Continuous metering Audit as well as new metering methods are being explored to ensure early detection of theft and corrective action</w:t>
            </w:r>
          </w:p>
        </w:tc>
      </w:tr>
      <w:tr w:rsidR="00F804E6" w:rsidRPr="004B57FA" w14:paraId="031F2D3D" w14:textId="77777777" w:rsidTr="004B57FA">
        <w:trPr>
          <w:trHeight w:val="880"/>
        </w:trPr>
        <w:tc>
          <w:tcPr>
            <w:tcW w:w="311" w:type="pct"/>
            <w:tcBorders>
              <w:top w:val="nil"/>
              <w:left w:val="single" w:sz="4" w:space="0" w:color="000000"/>
              <w:bottom w:val="single" w:sz="4" w:space="0" w:color="000000"/>
              <w:right w:val="single" w:sz="4" w:space="0" w:color="000000"/>
            </w:tcBorders>
            <w:shd w:val="clear" w:color="auto" w:fill="auto"/>
            <w:hideMark/>
          </w:tcPr>
          <w:p w14:paraId="69D69A15"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TL54</w:t>
            </w:r>
          </w:p>
        </w:tc>
        <w:tc>
          <w:tcPr>
            <w:tcW w:w="553" w:type="pct"/>
            <w:tcBorders>
              <w:top w:val="nil"/>
              <w:left w:val="nil"/>
              <w:bottom w:val="single" w:sz="4" w:space="0" w:color="000000"/>
              <w:right w:val="single" w:sz="4" w:space="0" w:color="000000"/>
            </w:tcBorders>
            <w:shd w:val="clear" w:color="auto" w:fill="auto"/>
            <w:hideMark/>
          </w:tcPr>
          <w:p w14:paraId="68E1F97C"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Engineering Services</w:t>
            </w:r>
          </w:p>
        </w:tc>
        <w:tc>
          <w:tcPr>
            <w:tcW w:w="1154" w:type="pct"/>
            <w:tcBorders>
              <w:top w:val="nil"/>
              <w:left w:val="nil"/>
              <w:bottom w:val="single" w:sz="4" w:space="0" w:color="000000"/>
              <w:right w:val="single" w:sz="4" w:space="0" w:color="000000"/>
            </w:tcBorders>
            <w:shd w:val="clear" w:color="auto" w:fill="auto"/>
            <w:hideMark/>
          </w:tcPr>
          <w:p w14:paraId="402CEC6E"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Spend at least 90% of the Capital budget amount by 30 June 2017 (Actual expenditure/Approved capital budget)</w:t>
            </w:r>
          </w:p>
        </w:tc>
        <w:tc>
          <w:tcPr>
            <w:tcW w:w="382" w:type="pct"/>
            <w:tcBorders>
              <w:top w:val="nil"/>
              <w:left w:val="nil"/>
              <w:bottom w:val="single" w:sz="4" w:space="0" w:color="000000"/>
              <w:right w:val="single" w:sz="4" w:space="0" w:color="000000"/>
            </w:tcBorders>
            <w:shd w:val="clear" w:color="000000" w:fill="EEEEEE"/>
            <w:vAlign w:val="center"/>
            <w:hideMark/>
          </w:tcPr>
          <w:p w14:paraId="1676FE65"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90%</w:t>
            </w:r>
          </w:p>
        </w:tc>
        <w:tc>
          <w:tcPr>
            <w:tcW w:w="338" w:type="pct"/>
            <w:tcBorders>
              <w:top w:val="nil"/>
              <w:left w:val="nil"/>
              <w:bottom w:val="single" w:sz="4" w:space="0" w:color="000000"/>
              <w:right w:val="single" w:sz="4" w:space="0" w:color="000000"/>
            </w:tcBorders>
            <w:shd w:val="clear" w:color="000000" w:fill="EEEEEE"/>
            <w:vAlign w:val="center"/>
            <w:hideMark/>
          </w:tcPr>
          <w:p w14:paraId="6E0A38A3"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89%</w:t>
            </w:r>
          </w:p>
        </w:tc>
        <w:tc>
          <w:tcPr>
            <w:tcW w:w="1106" w:type="pct"/>
            <w:tcBorders>
              <w:top w:val="nil"/>
              <w:left w:val="nil"/>
              <w:bottom w:val="single" w:sz="4" w:space="0" w:color="000000"/>
              <w:right w:val="single" w:sz="4" w:space="0" w:color="000000"/>
            </w:tcBorders>
            <w:shd w:val="clear" w:color="auto" w:fill="auto"/>
            <w:hideMark/>
          </w:tcPr>
          <w:p w14:paraId="192BBE27" w14:textId="77777777" w:rsidR="00F804E6" w:rsidRPr="004B57FA" w:rsidRDefault="00F804E6" w:rsidP="00F804E6">
            <w:pPr>
              <w:spacing w:after="0" w:line="240" w:lineRule="auto"/>
              <w:rPr>
                <w:rFonts w:eastAsia="Times New Roman" w:cs="Times New Roman"/>
                <w:bCs/>
                <w:sz w:val="16"/>
                <w:szCs w:val="18"/>
                <w:lang w:val="en-ZA" w:eastAsia="en-ZA"/>
              </w:rPr>
            </w:pPr>
            <w:r w:rsidRPr="004B57FA">
              <w:rPr>
                <w:rFonts w:eastAsia="Times New Roman" w:cs="Times New Roman"/>
                <w:bCs/>
                <w:sz w:val="16"/>
                <w:szCs w:val="18"/>
                <w:lang w:val="en-ZA" w:eastAsia="en-ZA"/>
              </w:rPr>
              <w:t>The reason for non achievement was delays caused by the inclement conditions on the projects.</w:t>
            </w:r>
          </w:p>
        </w:tc>
        <w:tc>
          <w:tcPr>
            <w:tcW w:w="1154" w:type="pct"/>
            <w:tcBorders>
              <w:top w:val="nil"/>
              <w:left w:val="nil"/>
              <w:bottom w:val="single" w:sz="4" w:space="0" w:color="000000"/>
              <w:right w:val="single" w:sz="4" w:space="0" w:color="000000"/>
            </w:tcBorders>
            <w:shd w:val="clear" w:color="auto" w:fill="auto"/>
            <w:hideMark/>
          </w:tcPr>
          <w:p w14:paraId="3E2A983D" w14:textId="77777777" w:rsidR="00F804E6" w:rsidRPr="004B57FA" w:rsidRDefault="00F804E6" w:rsidP="00F804E6">
            <w:pPr>
              <w:spacing w:after="0" w:line="240" w:lineRule="auto"/>
              <w:rPr>
                <w:rFonts w:eastAsia="Times New Roman" w:cs="Times New Roman"/>
                <w:bCs/>
                <w:sz w:val="16"/>
                <w:szCs w:val="18"/>
                <w:lang w:val="en-ZA" w:eastAsia="en-ZA"/>
              </w:rPr>
            </w:pPr>
            <w:r w:rsidRPr="004B57FA">
              <w:rPr>
                <w:rFonts w:eastAsia="Times New Roman" w:cs="Times New Roman"/>
                <w:bCs/>
                <w:sz w:val="16"/>
                <w:szCs w:val="18"/>
                <w:lang w:val="en-ZA" w:eastAsia="en-ZA"/>
              </w:rPr>
              <w:t xml:space="preserve"> Improvements are made on the implementation of procurement plan. SCM submits variance report to MANCO to monitor</w:t>
            </w:r>
          </w:p>
        </w:tc>
      </w:tr>
      <w:tr w:rsidR="00F804E6" w:rsidRPr="004B57FA" w14:paraId="3068F05B" w14:textId="77777777" w:rsidTr="004B57FA">
        <w:trPr>
          <w:trHeight w:val="991"/>
        </w:trPr>
        <w:tc>
          <w:tcPr>
            <w:tcW w:w="311" w:type="pct"/>
            <w:tcBorders>
              <w:top w:val="nil"/>
              <w:left w:val="single" w:sz="4" w:space="0" w:color="000000"/>
              <w:bottom w:val="single" w:sz="4" w:space="0" w:color="000000"/>
              <w:right w:val="single" w:sz="4" w:space="0" w:color="000000"/>
            </w:tcBorders>
            <w:shd w:val="clear" w:color="auto" w:fill="auto"/>
            <w:hideMark/>
          </w:tcPr>
          <w:p w14:paraId="5E171ECD"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TL64</w:t>
            </w:r>
          </w:p>
        </w:tc>
        <w:tc>
          <w:tcPr>
            <w:tcW w:w="553" w:type="pct"/>
            <w:tcBorders>
              <w:top w:val="nil"/>
              <w:left w:val="nil"/>
              <w:bottom w:val="single" w:sz="4" w:space="0" w:color="000000"/>
              <w:right w:val="single" w:sz="4" w:space="0" w:color="000000"/>
            </w:tcBorders>
            <w:shd w:val="clear" w:color="auto" w:fill="auto"/>
            <w:hideMark/>
          </w:tcPr>
          <w:p w14:paraId="38058DAB"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Office of the MM</w:t>
            </w:r>
          </w:p>
        </w:tc>
        <w:tc>
          <w:tcPr>
            <w:tcW w:w="1154" w:type="pct"/>
            <w:tcBorders>
              <w:top w:val="nil"/>
              <w:left w:val="nil"/>
              <w:bottom w:val="single" w:sz="4" w:space="0" w:color="000000"/>
              <w:right w:val="single" w:sz="4" w:space="0" w:color="000000"/>
            </w:tcBorders>
            <w:shd w:val="clear" w:color="auto" w:fill="auto"/>
            <w:hideMark/>
          </w:tcPr>
          <w:p w14:paraId="4818B8E1"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Coordinate quarterly meetings of the uMlalazi Aids Council</w:t>
            </w:r>
          </w:p>
        </w:tc>
        <w:tc>
          <w:tcPr>
            <w:tcW w:w="382" w:type="pct"/>
            <w:tcBorders>
              <w:top w:val="nil"/>
              <w:left w:val="nil"/>
              <w:bottom w:val="single" w:sz="4" w:space="0" w:color="000000"/>
              <w:right w:val="single" w:sz="4" w:space="0" w:color="000000"/>
            </w:tcBorders>
            <w:shd w:val="clear" w:color="000000" w:fill="EEEEEE"/>
            <w:vAlign w:val="center"/>
            <w:hideMark/>
          </w:tcPr>
          <w:p w14:paraId="77796ED2"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4</w:t>
            </w:r>
          </w:p>
        </w:tc>
        <w:tc>
          <w:tcPr>
            <w:tcW w:w="338" w:type="pct"/>
            <w:tcBorders>
              <w:top w:val="nil"/>
              <w:left w:val="nil"/>
              <w:bottom w:val="single" w:sz="4" w:space="0" w:color="000000"/>
              <w:right w:val="single" w:sz="4" w:space="0" w:color="000000"/>
            </w:tcBorders>
            <w:shd w:val="clear" w:color="000000" w:fill="EEEEEE"/>
            <w:vAlign w:val="center"/>
            <w:hideMark/>
          </w:tcPr>
          <w:p w14:paraId="089D5B63"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2</w:t>
            </w:r>
          </w:p>
        </w:tc>
        <w:tc>
          <w:tcPr>
            <w:tcW w:w="1106" w:type="pct"/>
            <w:tcBorders>
              <w:top w:val="nil"/>
              <w:left w:val="nil"/>
              <w:bottom w:val="single" w:sz="4" w:space="0" w:color="000000"/>
              <w:right w:val="single" w:sz="4" w:space="0" w:color="000000"/>
            </w:tcBorders>
            <w:shd w:val="clear" w:color="000000" w:fill="FFFFFF"/>
            <w:hideMark/>
          </w:tcPr>
          <w:p w14:paraId="17C7AA6D" w14:textId="77777777" w:rsidR="00F804E6" w:rsidRPr="004B57FA" w:rsidRDefault="00F804E6" w:rsidP="00F804E6">
            <w:pPr>
              <w:spacing w:after="0" w:line="240" w:lineRule="auto"/>
              <w:rPr>
                <w:rFonts w:eastAsia="Times New Roman" w:cs="Times New Roman"/>
                <w:bCs/>
                <w:sz w:val="16"/>
                <w:szCs w:val="18"/>
                <w:lang w:val="en-ZA" w:eastAsia="en-ZA"/>
              </w:rPr>
            </w:pPr>
            <w:r w:rsidRPr="004B57FA">
              <w:rPr>
                <w:rFonts w:eastAsia="Times New Roman" w:cs="Times New Roman"/>
                <w:bCs/>
                <w:sz w:val="16"/>
                <w:szCs w:val="18"/>
                <w:lang w:val="en-ZA" w:eastAsia="en-ZA"/>
              </w:rPr>
              <w:t>Meetings were postponed due to public protests in uMlalazi Municipality areas.</w:t>
            </w:r>
          </w:p>
        </w:tc>
        <w:tc>
          <w:tcPr>
            <w:tcW w:w="1154" w:type="pct"/>
            <w:tcBorders>
              <w:top w:val="nil"/>
              <w:left w:val="nil"/>
              <w:bottom w:val="single" w:sz="4" w:space="0" w:color="000000"/>
              <w:right w:val="single" w:sz="4" w:space="0" w:color="000000"/>
            </w:tcBorders>
            <w:shd w:val="clear" w:color="000000" w:fill="FFFFFF"/>
            <w:hideMark/>
          </w:tcPr>
          <w:p w14:paraId="61E1D9AF" w14:textId="77777777" w:rsidR="00F804E6" w:rsidRPr="004B57FA" w:rsidRDefault="00F804E6" w:rsidP="00F804E6">
            <w:pPr>
              <w:spacing w:after="0" w:line="240" w:lineRule="auto"/>
              <w:rPr>
                <w:rFonts w:eastAsia="Times New Roman" w:cs="Times New Roman"/>
                <w:bCs/>
                <w:sz w:val="16"/>
                <w:szCs w:val="18"/>
                <w:lang w:val="en-ZA" w:eastAsia="en-ZA"/>
              </w:rPr>
            </w:pPr>
            <w:r w:rsidRPr="004B57FA">
              <w:rPr>
                <w:rFonts w:eastAsia="Times New Roman" w:cs="Times New Roman"/>
                <w:bCs/>
                <w:sz w:val="16"/>
                <w:szCs w:val="18"/>
                <w:lang w:val="en-ZA" w:eastAsia="en-ZA"/>
              </w:rPr>
              <w:t>The Office of the Mayor has scheduled meetings for the 2017/2018 FY in advance. Postponement of meetings is beyond the control of the municipality.</w:t>
            </w:r>
          </w:p>
        </w:tc>
      </w:tr>
      <w:tr w:rsidR="00F804E6" w:rsidRPr="004B57FA" w14:paraId="2AB13466" w14:textId="77777777" w:rsidTr="004B57FA">
        <w:trPr>
          <w:trHeight w:val="699"/>
        </w:trPr>
        <w:tc>
          <w:tcPr>
            <w:tcW w:w="311" w:type="pct"/>
            <w:tcBorders>
              <w:top w:val="nil"/>
              <w:left w:val="single" w:sz="4" w:space="0" w:color="000000"/>
              <w:bottom w:val="single" w:sz="4" w:space="0" w:color="000000"/>
              <w:right w:val="single" w:sz="4" w:space="0" w:color="000000"/>
            </w:tcBorders>
            <w:shd w:val="clear" w:color="auto" w:fill="auto"/>
            <w:hideMark/>
          </w:tcPr>
          <w:p w14:paraId="44D9AE79"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TL65</w:t>
            </w:r>
          </w:p>
        </w:tc>
        <w:tc>
          <w:tcPr>
            <w:tcW w:w="553" w:type="pct"/>
            <w:tcBorders>
              <w:top w:val="nil"/>
              <w:left w:val="nil"/>
              <w:bottom w:val="single" w:sz="4" w:space="0" w:color="000000"/>
              <w:right w:val="single" w:sz="4" w:space="0" w:color="000000"/>
            </w:tcBorders>
            <w:shd w:val="clear" w:color="auto" w:fill="auto"/>
            <w:hideMark/>
          </w:tcPr>
          <w:p w14:paraId="6E072282"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Office of the MM</w:t>
            </w:r>
          </w:p>
        </w:tc>
        <w:tc>
          <w:tcPr>
            <w:tcW w:w="1154" w:type="pct"/>
            <w:tcBorders>
              <w:top w:val="nil"/>
              <w:left w:val="nil"/>
              <w:bottom w:val="single" w:sz="4" w:space="0" w:color="000000"/>
              <w:right w:val="single" w:sz="4" w:space="0" w:color="000000"/>
            </w:tcBorders>
            <w:shd w:val="clear" w:color="auto" w:fill="auto"/>
            <w:hideMark/>
          </w:tcPr>
          <w:p w14:paraId="22C3CB2A"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Review HIV/Aids Plan and submit to exco by 30 June 2017</w:t>
            </w:r>
          </w:p>
        </w:tc>
        <w:tc>
          <w:tcPr>
            <w:tcW w:w="382" w:type="pct"/>
            <w:tcBorders>
              <w:top w:val="nil"/>
              <w:left w:val="nil"/>
              <w:bottom w:val="single" w:sz="4" w:space="0" w:color="000000"/>
              <w:right w:val="single" w:sz="4" w:space="0" w:color="000000"/>
            </w:tcBorders>
            <w:shd w:val="clear" w:color="000000" w:fill="EEEEEE"/>
            <w:vAlign w:val="center"/>
            <w:hideMark/>
          </w:tcPr>
          <w:p w14:paraId="4C55E080"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1</w:t>
            </w:r>
          </w:p>
        </w:tc>
        <w:tc>
          <w:tcPr>
            <w:tcW w:w="338" w:type="pct"/>
            <w:tcBorders>
              <w:top w:val="nil"/>
              <w:left w:val="nil"/>
              <w:bottom w:val="single" w:sz="4" w:space="0" w:color="000000"/>
              <w:right w:val="single" w:sz="4" w:space="0" w:color="000000"/>
            </w:tcBorders>
            <w:shd w:val="clear" w:color="000000" w:fill="EEEEEE"/>
            <w:vAlign w:val="center"/>
            <w:hideMark/>
          </w:tcPr>
          <w:p w14:paraId="15926AF7"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0</w:t>
            </w:r>
          </w:p>
        </w:tc>
        <w:tc>
          <w:tcPr>
            <w:tcW w:w="1106" w:type="pct"/>
            <w:tcBorders>
              <w:top w:val="nil"/>
              <w:left w:val="nil"/>
              <w:bottom w:val="single" w:sz="4" w:space="0" w:color="000000"/>
              <w:right w:val="single" w:sz="4" w:space="0" w:color="000000"/>
            </w:tcBorders>
            <w:shd w:val="clear" w:color="000000" w:fill="FFFFFF"/>
            <w:hideMark/>
          </w:tcPr>
          <w:p w14:paraId="2D1E3EC1" w14:textId="77777777" w:rsidR="00F804E6" w:rsidRPr="004B57FA" w:rsidRDefault="00F804E6" w:rsidP="00F804E6">
            <w:pPr>
              <w:spacing w:after="0" w:line="240" w:lineRule="auto"/>
              <w:rPr>
                <w:rFonts w:eastAsia="Times New Roman" w:cs="Times New Roman"/>
                <w:bCs/>
                <w:color w:val="000000"/>
                <w:sz w:val="16"/>
                <w:szCs w:val="18"/>
                <w:lang w:val="en-ZA" w:eastAsia="en-ZA"/>
              </w:rPr>
            </w:pPr>
            <w:r w:rsidRPr="004B57FA">
              <w:rPr>
                <w:rFonts w:eastAsia="Times New Roman" w:cs="Times New Roman"/>
                <w:bCs/>
                <w:color w:val="000000"/>
                <w:sz w:val="16"/>
                <w:szCs w:val="18"/>
                <w:lang w:val="en-ZA" w:eastAsia="en-ZA"/>
              </w:rPr>
              <w:t>The HIV/AIDS Plan was not reviewed because the municipalities had to compile a new 5 year plan in line with the NDP which was only approved in March 2017 and there was insufficient time to accommodate in the budget.</w:t>
            </w:r>
          </w:p>
        </w:tc>
        <w:tc>
          <w:tcPr>
            <w:tcW w:w="1154" w:type="pct"/>
            <w:tcBorders>
              <w:top w:val="nil"/>
              <w:left w:val="nil"/>
              <w:bottom w:val="single" w:sz="4" w:space="0" w:color="000000"/>
              <w:right w:val="single" w:sz="4" w:space="0" w:color="000000"/>
            </w:tcBorders>
            <w:shd w:val="clear" w:color="000000" w:fill="FFFFFF"/>
            <w:hideMark/>
          </w:tcPr>
          <w:p w14:paraId="7C5A2E5A" w14:textId="77777777" w:rsidR="00F804E6" w:rsidRPr="004B57FA" w:rsidRDefault="00F804E6" w:rsidP="00F804E6">
            <w:pPr>
              <w:spacing w:after="0" w:line="240" w:lineRule="auto"/>
              <w:rPr>
                <w:rFonts w:eastAsia="Times New Roman" w:cs="Times New Roman"/>
                <w:bCs/>
                <w:sz w:val="16"/>
                <w:szCs w:val="18"/>
                <w:lang w:val="en-ZA" w:eastAsia="en-ZA"/>
              </w:rPr>
            </w:pPr>
            <w:r w:rsidRPr="004B57FA">
              <w:rPr>
                <w:rFonts w:eastAsia="Times New Roman" w:cs="Times New Roman"/>
                <w:bCs/>
                <w:sz w:val="16"/>
                <w:szCs w:val="18"/>
                <w:lang w:val="en-ZA" w:eastAsia="en-ZA"/>
              </w:rPr>
              <w:t>The 5 five year HIV/AIDS plan is currently being reviewed and will be submitted to the Local Aids Council for approval and thereafter to EXCO.</w:t>
            </w:r>
          </w:p>
        </w:tc>
      </w:tr>
      <w:tr w:rsidR="00F804E6" w:rsidRPr="004B57FA" w14:paraId="1981FDD8" w14:textId="77777777" w:rsidTr="004B57FA">
        <w:trPr>
          <w:trHeight w:val="709"/>
        </w:trPr>
        <w:tc>
          <w:tcPr>
            <w:tcW w:w="311" w:type="pct"/>
            <w:tcBorders>
              <w:top w:val="nil"/>
              <w:left w:val="single" w:sz="4" w:space="0" w:color="000000"/>
              <w:bottom w:val="single" w:sz="4" w:space="0" w:color="000000"/>
              <w:right w:val="single" w:sz="4" w:space="0" w:color="000000"/>
            </w:tcBorders>
            <w:shd w:val="clear" w:color="auto" w:fill="auto"/>
            <w:hideMark/>
          </w:tcPr>
          <w:p w14:paraId="6B33F0B6"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TL66</w:t>
            </w:r>
          </w:p>
        </w:tc>
        <w:tc>
          <w:tcPr>
            <w:tcW w:w="553" w:type="pct"/>
            <w:tcBorders>
              <w:top w:val="nil"/>
              <w:left w:val="nil"/>
              <w:bottom w:val="single" w:sz="4" w:space="0" w:color="000000"/>
              <w:right w:val="single" w:sz="4" w:space="0" w:color="000000"/>
            </w:tcBorders>
            <w:shd w:val="clear" w:color="auto" w:fill="auto"/>
            <w:hideMark/>
          </w:tcPr>
          <w:p w14:paraId="42A67725"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Office of the MM</w:t>
            </w:r>
          </w:p>
        </w:tc>
        <w:tc>
          <w:tcPr>
            <w:tcW w:w="1154" w:type="pct"/>
            <w:tcBorders>
              <w:top w:val="nil"/>
              <w:left w:val="nil"/>
              <w:bottom w:val="single" w:sz="4" w:space="0" w:color="000000"/>
              <w:right w:val="single" w:sz="4" w:space="0" w:color="000000"/>
            </w:tcBorders>
            <w:shd w:val="clear" w:color="auto" w:fill="auto"/>
            <w:hideMark/>
          </w:tcPr>
          <w:p w14:paraId="07359831"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Review Enterprise Risk Plan and submit to Risk Committee by 30 June 2017</w:t>
            </w:r>
          </w:p>
        </w:tc>
        <w:tc>
          <w:tcPr>
            <w:tcW w:w="382" w:type="pct"/>
            <w:tcBorders>
              <w:top w:val="nil"/>
              <w:left w:val="nil"/>
              <w:bottom w:val="single" w:sz="4" w:space="0" w:color="000000"/>
              <w:right w:val="single" w:sz="4" w:space="0" w:color="000000"/>
            </w:tcBorders>
            <w:shd w:val="clear" w:color="000000" w:fill="EEEEEE"/>
            <w:vAlign w:val="center"/>
            <w:hideMark/>
          </w:tcPr>
          <w:p w14:paraId="2E1C49CC"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1</w:t>
            </w:r>
          </w:p>
        </w:tc>
        <w:tc>
          <w:tcPr>
            <w:tcW w:w="338" w:type="pct"/>
            <w:tcBorders>
              <w:top w:val="nil"/>
              <w:left w:val="nil"/>
              <w:bottom w:val="single" w:sz="4" w:space="0" w:color="000000"/>
              <w:right w:val="single" w:sz="4" w:space="0" w:color="000000"/>
            </w:tcBorders>
            <w:shd w:val="clear" w:color="000000" w:fill="EEEEEE"/>
            <w:vAlign w:val="center"/>
            <w:hideMark/>
          </w:tcPr>
          <w:p w14:paraId="0E47E138"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0</w:t>
            </w:r>
          </w:p>
        </w:tc>
        <w:tc>
          <w:tcPr>
            <w:tcW w:w="1106" w:type="pct"/>
            <w:tcBorders>
              <w:top w:val="nil"/>
              <w:left w:val="nil"/>
              <w:bottom w:val="single" w:sz="4" w:space="0" w:color="000000"/>
              <w:right w:val="single" w:sz="4" w:space="0" w:color="000000"/>
            </w:tcBorders>
            <w:shd w:val="clear" w:color="auto" w:fill="auto"/>
            <w:hideMark/>
          </w:tcPr>
          <w:p w14:paraId="7697C71B" w14:textId="77777777" w:rsidR="00F804E6" w:rsidRPr="004B57FA" w:rsidRDefault="00F804E6" w:rsidP="00F804E6">
            <w:pPr>
              <w:spacing w:after="0" w:line="240" w:lineRule="auto"/>
              <w:rPr>
                <w:rFonts w:eastAsia="Times New Roman" w:cs="Times New Roman"/>
                <w:bCs/>
                <w:color w:val="000000"/>
                <w:sz w:val="16"/>
                <w:szCs w:val="18"/>
                <w:lang w:val="en-ZA" w:eastAsia="en-ZA"/>
              </w:rPr>
            </w:pPr>
            <w:r w:rsidRPr="004B57FA">
              <w:rPr>
                <w:rFonts w:eastAsia="Times New Roman" w:cs="Times New Roman"/>
                <w:bCs/>
                <w:color w:val="000000"/>
                <w:sz w:val="16"/>
                <w:szCs w:val="18"/>
                <w:lang w:val="en-ZA" w:eastAsia="en-ZA"/>
              </w:rPr>
              <w:t xml:space="preserve"> Enterprise Risk Plan has been reviewed, however still to be tabled and approved by EXCO, due to the withdrawal of assistance from NT.</w:t>
            </w:r>
            <w:r w:rsidRPr="004B57FA">
              <w:rPr>
                <w:rFonts w:eastAsia="Times New Roman" w:cs="Times New Roman"/>
                <w:bCs/>
                <w:i/>
                <w:iCs/>
                <w:color w:val="000000"/>
                <w:sz w:val="16"/>
                <w:szCs w:val="18"/>
                <w:lang w:val="en-ZA" w:eastAsia="en-ZA"/>
              </w:rPr>
              <w:t xml:space="preserve"> </w:t>
            </w:r>
          </w:p>
        </w:tc>
        <w:tc>
          <w:tcPr>
            <w:tcW w:w="1154" w:type="pct"/>
            <w:tcBorders>
              <w:top w:val="nil"/>
              <w:left w:val="nil"/>
              <w:bottom w:val="single" w:sz="4" w:space="0" w:color="000000"/>
              <w:right w:val="single" w:sz="4" w:space="0" w:color="000000"/>
            </w:tcBorders>
            <w:shd w:val="clear" w:color="auto" w:fill="auto"/>
            <w:hideMark/>
          </w:tcPr>
          <w:p w14:paraId="37BE45A1" w14:textId="77777777" w:rsidR="00F804E6" w:rsidRPr="004B57FA" w:rsidRDefault="00F804E6" w:rsidP="00F804E6">
            <w:pPr>
              <w:spacing w:after="0" w:line="240" w:lineRule="auto"/>
              <w:rPr>
                <w:rFonts w:eastAsia="Times New Roman" w:cs="Times New Roman"/>
                <w:bCs/>
                <w:sz w:val="16"/>
                <w:szCs w:val="18"/>
                <w:lang w:val="en-ZA" w:eastAsia="en-ZA"/>
              </w:rPr>
            </w:pPr>
            <w:r w:rsidRPr="004B57FA">
              <w:rPr>
                <w:rFonts w:eastAsia="Times New Roman" w:cs="Times New Roman"/>
                <w:bCs/>
                <w:sz w:val="16"/>
                <w:szCs w:val="18"/>
                <w:lang w:val="en-ZA" w:eastAsia="en-ZA"/>
              </w:rPr>
              <w:t xml:space="preserve">The ERP has been reviewed and will be submitted to the next AUDCOM. </w:t>
            </w:r>
          </w:p>
        </w:tc>
      </w:tr>
      <w:tr w:rsidR="00F804E6" w:rsidRPr="004B57FA" w14:paraId="2D4530A5" w14:textId="77777777" w:rsidTr="004B57FA">
        <w:trPr>
          <w:trHeight w:val="705"/>
        </w:trPr>
        <w:tc>
          <w:tcPr>
            <w:tcW w:w="311" w:type="pct"/>
            <w:tcBorders>
              <w:top w:val="nil"/>
              <w:left w:val="single" w:sz="4" w:space="0" w:color="000000"/>
              <w:bottom w:val="single" w:sz="4" w:space="0" w:color="000000"/>
              <w:right w:val="single" w:sz="4" w:space="0" w:color="000000"/>
            </w:tcBorders>
            <w:shd w:val="clear" w:color="auto" w:fill="auto"/>
            <w:hideMark/>
          </w:tcPr>
          <w:p w14:paraId="2AF3FE78"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TL67</w:t>
            </w:r>
          </w:p>
        </w:tc>
        <w:tc>
          <w:tcPr>
            <w:tcW w:w="553" w:type="pct"/>
            <w:tcBorders>
              <w:top w:val="nil"/>
              <w:left w:val="nil"/>
              <w:bottom w:val="single" w:sz="4" w:space="0" w:color="000000"/>
              <w:right w:val="single" w:sz="4" w:space="0" w:color="000000"/>
            </w:tcBorders>
            <w:shd w:val="clear" w:color="auto" w:fill="auto"/>
            <w:hideMark/>
          </w:tcPr>
          <w:p w14:paraId="6D760181"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Office of the MM</w:t>
            </w:r>
          </w:p>
        </w:tc>
        <w:tc>
          <w:tcPr>
            <w:tcW w:w="1154" w:type="pct"/>
            <w:tcBorders>
              <w:top w:val="nil"/>
              <w:left w:val="nil"/>
              <w:bottom w:val="single" w:sz="4" w:space="0" w:color="000000"/>
              <w:right w:val="single" w:sz="4" w:space="0" w:color="000000"/>
            </w:tcBorders>
            <w:shd w:val="clear" w:color="auto" w:fill="auto"/>
            <w:hideMark/>
          </w:tcPr>
          <w:p w14:paraId="6324AFBE"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Review Fraud Risk Plan and submit to Risk Committee by 30 June 2017</w:t>
            </w:r>
          </w:p>
        </w:tc>
        <w:tc>
          <w:tcPr>
            <w:tcW w:w="382" w:type="pct"/>
            <w:tcBorders>
              <w:top w:val="nil"/>
              <w:left w:val="nil"/>
              <w:bottom w:val="single" w:sz="4" w:space="0" w:color="000000"/>
              <w:right w:val="single" w:sz="4" w:space="0" w:color="000000"/>
            </w:tcBorders>
            <w:shd w:val="clear" w:color="000000" w:fill="EEEEEE"/>
            <w:vAlign w:val="center"/>
            <w:hideMark/>
          </w:tcPr>
          <w:p w14:paraId="1176EBDC"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1</w:t>
            </w:r>
          </w:p>
        </w:tc>
        <w:tc>
          <w:tcPr>
            <w:tcW w:w="338" w:type="pct"/>
            <w:tcBorders>
              <w:top w:val="nil"/>
              <w:left w:val="nil"/>
              <w:bottom w:val="single" w:sz="4" w:space="0" w:color="000000"/>
              <w:right w:val="single" w:sz="4" w:space="0" w:color="000000"/>
            </w:tcBorders>
            <w:shd w:val="clear" w:color="000000" w:fill="EEEEEE"/>
            <w:vAlign w:val="center"/>
            <w:hideMark/>
          </w:tcPr>
          <w:p w14:paraId="1A43169D"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0</w:t>
            </w:r>
          </w:p>
        </w:tc>
        <w:tc>
          <w:tcPr>
            <w:tcW w:w="1106" w:type="pct"/>
            <w:tcBorders>
              <w:top w:val="nil"/>
              <w:left w:val="nil"/>
              <w:bottom w:val="single" w:sz="4" w:space="0" w:color="000000"/>
              <w:right w:val="single" w:sz="4" w:space="0" w:color="000000"/>
            </w:tcBorders>
            <w:shd w:val="clear" w:color="auto" w:fill="auto"/>
            <w:hideMark/>
          </w:tcPr>
          <w:p w14:paraId="1AC747A6" w14:textId="77777777" w:rsidR="00F804E6" w:rsidRPr="004B57FA" w:rsidRDefault="00F804E6" w:rsidP="00F804E6">
            <w:pPr>
              <w:spacing w:after="0" w:line="240" w:lineRule="auto"/>
              <w:rPr>
                <w:rFonts w:eastAsia="Times New Roman" w:cs="Times New Roman"/>
                <w:bCs/>
                <w:color w:val="000000"/>
                <w:sz w:val="16"/>
                <w:szCs w:val="18"/>
                <w:lang w:val="en-ZA" w:eastAsia="en-ZA"/>
              </w:rPr>
            </w:pPr>
            <w:r w:rsidRPr="004B57FA">
              <w:rPr>
                <w:rFonts w:eastAsia="Times New Roman" w:cs="Times New Roman"/>
                <w:bCs/>
                <w:color w:val="000000"/>
                <w:sz w:val="16"/>
                <w:szCs w:val="18"/>
                <w:lang w:val="en-ZA" w:eastAsia="en-ZA"/>
              </w:rPr>
              <w:t>Fraud Risk plan is in the process of being reviewed and has not been submitted to EXCO</w:t>
            </w:r>
          </w:p>
        </w:tc>
        <w:tc>
          <w:tcPr>
            <w:tcW w:w="1154" w:type="pct"/>
            <w:tcBorders>
              <w:top w:val="nil"/>
              <w:left w:val="nil"/>
              <w:bottom w:val="single" w:sz="4" w:space="0" w:color="000000"/>
              <w:right w:val="single" w:sz="4" w:space="0" w:color="000000"/>
            </w:tcBorders>
            <w:shd w:val="clear" w:color="auto" w:fill="auto"/>
            <w:hideMark/>
          </w:tcPr>
          <w:p w14:paraId="6A147123" w14:textId="77777777" w:rsidR="00F804E6" w:rsidRPr="004B57FA" w:rsidRDefault="00F804E6" w:rsidP="00F804E6">
            <w:pPr>
              <w:spacing w:after="0" w:line="240" w:lineRule="auto"/>
              <w:rPr>
                <w:rFonts w:eastAsia="Times New Roman" w:cs="Times New Roman"/>
                <w:bCs/>
                <w:sz w:val="16"/>
                <w:szCs w:val="18"/>
                <w:lang w:val="en-ZA" w:eastAsia="en-ZA"/>
              </w:rPr>
            </w:pPr>
            <w:r w:rsidRPr="004B57FA">
              <w:rPr>
                <w:rFonts w:eastAsia="Times New Roman" w:cs="Times New Roman"/>
                <w:bCs/>
                <w:sz w:val="16"/>
                <w:szCs w:val="18"/>
                <w:lang w:val="en-ZA" w:eastAsia="en-ZA"/>
              </w:rPr>
              <w:t>The Fraud Risk Plan has been reviewed and will be submitted to the next AUDCOM.</w:t>
            </w:r>
            <w:r w:rsidRPr="004B57FA">
              <w:rPr>
                <w:rFonts w:eastAsia="Times New Roman" w:cs="Times New Roman"/>
                <w:bCs/>
                <w:i/>
                <w:iCs/>
                <w:sz w:val="16"/>
                <w:szCs w:val="18"/>
                <w:lang w:val="en-ZA" w:eastAsia="en-ZA"/>
              </w:rPr>
              <w:t xml:space="preserve"> </w:t>
            </w:r>
          </w:p>
        </w:tc>
      </w:tr>
      <w:tr w:rsidR="00F804E6" w:rsidRPr="004B57FA" w14:paraId="144CECAE" w14:textId="77777777" w:rsidTr="004B57FA">
        <w:trPr>
          <w:trHeight w:val="1195"/>
        </w:trPr>
        <w:tc>
          <w:tcPr>
            <w:tcW w:w="311" w:type="pct"/>
            <w:tcBorders>
              <w:top w:val="nil"/>
              <w:left w:val="single" w:sz="4" w:space="0" w:color="000000"/>
              <w:bottom w:val="single" w:sz="4" w:space="0" w:color="000000"/>
              <w:right w:val="single" w:sz="4" w:space="0" w:color="000000"/>
            </w:tcBorders>
            <w:shd w:val="clear" w:color="auto" w:fill="auto"/>
            <w:hideMark/>
          </w:tcPr>
          <w:p w14:paraId="5267F71E"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TL70</w:t>
            </w:r>
          </w:p>
        </w:tc>
        <w:tc>
          <w:tcPr>
            <w:tcW w:w="553" w:type="pct"/>
            <w:tcBorders>
              <w:top w:val="nil"/>
              <w:left w:val="nil"/>
              <w:bottom w:val="single" w:sz="4" w:space="0" w:color="000000"/>
              <w:right w:val="single" w:sz="4" w:space="0" w:color="000000"/>
            </w:tcBorders>
            <w:shd w:val="clear" w:color="auto" w:fill="auto"/>
            <w:hideMark/>
          </w:tcPr>
          <w:p w14:paraId="7980172E"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Office of the MM</w:t>
            </w:r>
          </w:p>
        </w:tc>
        <w:tc>
          <w:tcPr>
            <w:tcW w:w="1154" w:type="pct"/>
            <w:tcBorders>
              <w:top w:val="nil"/>
              <w:left w:val="nil"/>
              <w:bottom w:val="single" w:sz="4" w:space="0" w:color="000000"/>
              <w:right w:val="single" w:sz="4" w:space="0" w:color="000000"/>
            </w:tcBorders>
            <w:shd w:val="clear" w:color="auto" w:fill="auto"/>
            <w:hideMark/>
          </w:tcPr>
          <w:p w14:paraId="42064562" w14:textId="77777777" w:rsidR="00F804E6" w:rsidRPr="004B57FA" w:rsidRDefault="00F804E6" w:rsidP="00F804E6">
            <w:pPr>
              <w:spacing w:after="0" w:line="240" w:lineRule="auto"/>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Submit a report to MCOR by 30 June 2017 on the progress made with the Twinning partnership with Songdal Municipality (Norway)</w:t>
            </w:r>
          </w:p>
        </w:tc>
        <w:tc>
          <w:tcPr>
            <w:tcW w:w="382" w:type="pct"/>
            <w:tcBorders>
              <w:top w:val="nil"/>
              <w:left w:val="nil"/>
              <w:bottom w:val="single" w:sz="4" w:space="0" w:color="000000"/>
              <w:right w:val="single" w:sz="4" w:space="0" w:color="000000"/>
            </w:tcBorders>
            <w:shd w:val="clear" w:color="000000" w:fill="EEEEEE"/>
            <w:vAlign w:val="center"/>
            <w:hideMark/>
          </w:tcPr>
          <w:p w14:paraId="05A09C3E"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1</w:t>
            </w:r>
          </w:p>
        </w:tc>
        <w:tc>
          <w:tcPr>
            <w:tcW w:w="338" w:type="pct"/>
            <w:tcBorders>
              <w:top w:val="nil"/>
              <w:left w:val="nil"/>
              <w:bottom w:val="single" w:sz="4" w:space="0" w:color="000000"/>
              <w:right w:val="single" w:sz="4" w:space="0" w:color="000000"/>
            </w:tcBorders>
            <w:shd w:val="clear" w:color="000000" w:fill="EEEEEE"/>
            <w:vAlign w:val="center"/>
            <w:hideMark/>
          </w:tcPr>
          <w:p w14:paraId="7D96AF9E" w14:textId="77777777" w:rsidR="00F804E6" w:rsidRPr="004B57FA" w:rsidRDefault="00F804E6" w:rsidP="00F804E6">
            <w:pPr>
              <w:spacing w:after="0" w:line="240" w:lineRule="auto"/>
              <w:jc w:val="center"/>
              <w:rPr>
                <w:rFonts w:eastAsia="Times New Roman" w:cs="Times New Roman"/>
                <w:color w:val="000000"/>
                <w:sz w:val="16"/>
                <w:szCs w:val="18"/>
                <w:lang w:val="en-ZA" w:eastAsia="en-ZA"/>
              </w:rPr>
            </w:pPr>
            <w:r w:rsidRPr="004B57FA">
              <w:rPr>
                <w:rFonts w:eastAsia="Times New Roman" w:cs="Times New Roman"/>
                <w:color w:val="000000"/>
                <w:sz w:val="16"/>
                <w:szCs w:val="18"/>
                <w:lang w:val="en-ZA" w:eastAsia="en-ZA"/>
              </w:rPr>
              <w:t>0</w:t>
            </w:r>
          </w:p>
        </w:tc>
        <w:tc>
          <w:tcPr>
            <w:tcW w:w="1106" w:type="pct"/>
            <w:tcBorders>
              <w:top w:val="nil"/>
              <w:left w:val="nil"/>
              <w:bottom w:val="single" w:sz="4" w:space="0" w:color="000000"/>
              <w:right w:val="single" w:sz="4" w:space="0" w:color="000000"/>
            </w:tcBorders>
            <w:shd w:val="clear" w:color="000000" w:fill="FFFFFF"/>
            <w:hideMark/>
          </w:tcPr>
          <w:p w14:paraId="18DC29FA" w14:textId="77777777" w:rsidR="00F804E6" w:rsidRPr="004B57FA" w:rsidRDefault="00F804E6" w:rsidP="00F804E6">
            <w:pPr>
              <w:spacing w:after="0" w:line="240" w:lineRule="auto"/>
              <w:rPr>
                <w:rFonts w:eastAsia="Times New Roman" w:cs="Times New Roman"/>
                <w:bCs/>
                <w:color w:val="000000"/>
                <w:sz w:val="16"/>
                <w:szCs w:val="18"/>
                <w:lang w:val="en-ZA" w:eastAsia="en-ZA"/>
              </w:rPr>
            </w:pPr>
            <w:r w:rsidRPr="004B57FA">
              <w:rPr>
                <w:rFonts w:eastAsia="Times New Roman" w:cs="Times New Roman"/>
                <w:bCs/>
                <w:color w:val="000000"/>
                <w:sz w:val="16"/>
                <w:szCs w:val="18"/>
                <w:lang w:val="en-ZA" w:eastAsia="en-ZA"/>
              </w:rPr>
              <w:t>No MCOR Committee was formed after the elections.</w:t>
            </w:r>
          </w:p>
        </w:tc>
        <w:tc>
          <w:tcPr>
            <w:tcW w:w="1154" w:type="pct"/>
            <w:tcBorders>
              <w:top w:val="nil"/>
              <w:left w:val="nil"/>
              <w:bottom w:val="single" w:sz="4" w:space="0" w:color="000000"/>
              <w:right w:val="single" w:sz="4" w:space="0" w:color="000000"/>
            </w:tcBorders>
            <w:shd w:val="clear" w:color="000000" w:fill="FFFFFF"/>
            <w:hideMark/>
          </w:tcPr>
          <w:p w14:paraId="51430CBF" w14:textId="77777777" w:rsidR="00F804E6" w:rsidRPr="004B57FA" w:rsidRDefault="00F804E6" w:rsidP="00F804E6">
            <w:pPr>
              <w:spacing w:after="0" w:line="240" w:lineRule="auto"/>
              <w:rPr>
                <w:rFonts w:eastAsia="Times New Roman" w:cs="Times New Roman"/>
                <w:bCs/>
                <w:color w:val="000000"/>
                <w:sz w:val="16"/>
                <w:szCs w:val="18"/>
                <w:lang w:val="en-ZA" w:eastAsia="en-ZA"/>
              </w:rPr>
            </w:pPr>
            <w:r w:rsidRPr="004B57FA">
              <w:rPr>
                <w:rFonts w:eastAsia="Times New Roman" w:cs="Times New Roman"/>
                <w:bCs/>
                <w:color w:val="000000"/>
                <w:sz w:val="16"/>
                <w:szCs w:val="18"/>
                <w:lang w:val="en-ZA" w:eastAsia="en-ZA"/>
              </w:rPr>
              <w:t>The target has been removed from 2017/2018 due to no progress being made on any possible future twinning arrangements</w:t>
            </w:r>
          </w:p>
        </w:tc>
      </w:tr>
    </w:tbl>
    <w:p w14:paraId="0F0BE8D8" w14:textId="77777777" w:rsidR="00D3620A" w:rsidRPr="00D3620A" w:rsidRDefault="00D3620A" w:rsidP="00D3620A">
      <w:pPr>
        <w:sectPr w:rsidR="00D3620A" w:rsidRPr="00D3620A" w:rsidSect="008B38AB">
          <w:pgSz w:w="11906" w:h="16838" w:code="9"/>
          <w:pgMar w:top="851" w:right="1134" w:bottom="851" w:left="1134" w:header="720" w:footer="720" w:gutter="0"/>
          <w:cols w:space="720"/>
          <w:docGrid w:linePitch="299"/>
        </w:sectPr>
      </w:pPr>
    </w:p>
    <w:p w14:paraId="56F05A63" w14:textId="2CD63437" w:rsidR="0039019C" w:rsidRPr="00E02AF2" w:rsidRDefault="000165D9" w:rsidP="00750180">
      <w:pPr>
        <w:pStyle w:val="Heading2"/>
        <w:numPr>
          <w:ilvl w:val="1"/>
          <w:numId w:val="63"/>
        </w:numPr>
      </w:pPr>
      <w:bookmarkStart w:id="776" w:name="_Toc327349424"/>
      <w:bookmarkStart w:id="777" w:name="_Toc389740217"/>
      <w:bookmarkStart w:id="778" w:name="_Toc510706723"/>
      <w:r>
        <w:t>OPMS/TOPLAYER SDBIP</w:t>
      </w:r>
      <w:r w:rsidR="0039019C" w:rsidRPr="00E02AF2">
        <w:t xml:space="preserve"> (201</w:t>
      </w:r>
      <w:r w:rsidR="008A0277">
        <w:t>8</w:t>
      </w:r>
      <w:r w:rsidR="0039019C" w:rsidRPr="00E02AF2">
        <w:t>/201</w:t>
      </w:r>
      <w:r w:rsidR="008A0277">
        <w:t>9</w:t>
      </w:r>
      <w:r w:rsidR="0039019C" w:rsidRPr="00E02AF2">
        <w:t>)</w:t>
      </w:r>
      <w:bookmarkEnd w:id="776"/>
      <w:bookmarkEnd w:id="777"/>
      <w:bookmarkEnd w:id="778"/>
    </w:p>
    <w:p w14:paraId="5DC87BD2" w14:textId="77777777" w:rsidR="00991020" w:rsidRDefault="00991020" w:rsidP="002F62F0">
      <w:pPr>
        <w:pStyle w:val="Caption"/>
      </w:pPr>
      <w:bookmarkStart w:id="779" w:name="_Toc389740218"/>
    </w:p>
    <w:p w14:paraId="6F431894" w14:textId="77777777" w:rsidR="0017184A" w:rsidRDefault="0017184A" w:rsidP="0017184A"/>
    <w:p w14:paraId="7C12D82E" w14:textId="77777777" w:rsidR="0017184A" w:rsidRDefault="0017184A" w:rsidP="0017184A"/>
    <w:p w14:paraId="79FC44A2" w14:textId="77777777" w:rsidR="0017184A" w:rsidRDefault="0017184A" w:rsidP="0017184A"/>
    <w:p w14:paraId="5DE1F8A8" w14:textId="77777777" w:rsidR="0017184A" w:rsidRDefault="0017184A" w:rsidP="0017184A"/>
    <w:p w14:paraId="410D1DF9" w14:textId="77777777" w:rsidR="0017184A" w:rsidRDefault="0017184A" w:rsidP="0017184A"/>
    <w:p w14:paraId="2F43A43D" w14:textId="77777777" w:rsidR="0017184A" w:rsidRDefault="0017184A" w:rsidP="0017184A"/>
    <w:p w14:paraId="51007646" w14:textId="77777777" w:rsidR="0017184A" w:rsidRDefault="0017184A" w:rsidP="0017184A"/>
    <w:p w14:paraId="19C64B86" w14:textId="77777777" w:rsidR="0017184A" w:rsidRDefault="0017184A" w:rsidP="0017184A"/>
    <w:p w14:paraId="674C2354" w14:textId="77777777" w:rsidR="0017184A" w:rsidRDefault="0017184A" w:rsidP="0017184A"/>
    <w:p w14:paraId="6EF42A93" w14:textId="77777777" w:rsidR="0017184A" w:rsidRDefault="0017184A" w:rsidP="0017184A"/>
    <w:p w14:paraId="28123A2C" w14:textId="77777777" w:rsidR="0017184A" w:rsidRDefault="0017184A" w:rsidP="0017184A"/>
    <w:p w14:paraId="5E4E6BB2" w14:textId="77777777" w:rsidR="0017184A" w:rsidRDefault="0017184A" w:rsidP="0017184A"/>
    <w:p w14:paraId="018670F9" w14:textId="77777777" w:rsidR="0017184A" w:rsidRDefault="0017184A" w:rsidP="0017184A"/>
    <w:p w14:paraId="1DA8A3C0" w14:textId="77777777" w:rsidR="0017184A" w:rsidRDefault="0017184A" w:rsidP="0017184A"/>
    <w:p w14:paraId="699EC56E" w14:textId="77777777" w:rsidR="0017184A" w:rsidRDefault="0017184A" w:rsidP="0017184A"/>
    <w:p w14:paraId="0B08F9A6" w14:textId="77777777" w:rsidR="0017184A" w:rsidRDefault="0017184A" w:rsidP="0017184A"/>
    <w:p w14:paraId="725E07A7" w14:textId="77777777" w:rsidR="0017184A" w:rsidRDefault="0017184A" w:rsidP="0017184A">
      <w:pPr>
        <w:sectPr w:rsidR="0017184A" w:rsidSect="008B38AB">
          <w:pgSz w:w="11906" w:h="16838" w:code="9"/>
          <w:pgMar w:top="851" w:right="1134" w:bottom="851" w:left="1134" w:header="720" w:footer="720" w:gutter="0"/>
          <w:cols w:space="720"/>
          <w:docGrid w:linePitch="360"/>
        </w:sectPr>
      </w:pPr>
    </w:p>
    <w:tbl>
      <w:tblPr>
        <w:tblW w:w="5000" w:type="pct"/>
        <w:tblLook w:val="04A0" w:firstRow="1" w:lastRow="0" w:firstColumn="1" w:lastColumn="0" w:noHBand="0" w:noVBand="1"/>
      </w:tblPr>
      <w:tblGrid>
        <w:gridCol w:w="864"/>
        <w:gridCol w:w="407"/>
        <w:gridCol w:w="521"/>
        <w:gridCol w:w="809"/>
        <w:gridCol w:w="842"/>
        <w:gridCol w:w="842"/>
        <w:gridCol w:w="836"/>
        <w:gridCol w:w="1127"/>
        <w:gridCol w:w="1127"/>
        <w:gridCol w:w="1127"/>
        <w:gridCol w:w="918"/>
        <w:gridCol w:w="1127"/>
        <w:gridCol w:w="918"/>
        <w:gridCol w:w="1127"/>
        <w:gridCol w:w="636"/>
        <w:gridCol w:w="553"/>
        <w:gridCol w:w="836"/>
        <w:gridCol w:w="509"/>
      </w:tblGrid>
      <w:tr w:rsidR="008A0277" w:rsidRPr="008A0277" w14:paraId="06A56255" w14:textId="77777777" w:rsidTr="008A0277">
        <w:trPr>
          <w:trHeight w:val="526"/>
          <w:tblHeader/>
        </w:trPr>
        <w:tc>
          <w:tcPr>
            <w:tcW w:w="288" w:type="pct"/>
            <w:tcBorders>
              <w:top w:val="single" w:sz="8" w:space="0" w:color="auto"/>
              <w:left w:val="nil"/>
              <w:bottom w:val="nil"/>
              <w:right w:val="single" w:sz="8" w:space="0" w:color="auto"/>
            </w:tcBorders>
            <w:shd w:val="clear" w:color="000000" w:fill="000000"/>
            <w:vAlign w:val="center"/>
            <w:hideMark/>
          </w:tcPr>
          <w:p w14:paraId="64E6C96B" w14:textId="77777777" w:rsidR="008A0277" w:rsidRPr="008A0277" w:rsidRDefault="008A0277" w:rsidP="008A0277">
            <w:pPr>
              <w:spacing w:after="0" w:line="240" w:lineRule="auto"/>
              <w:rPr>
                <w:rFonts w:eastAsia="Times New Roman" w:cs="Times New Roman"/>
                <w:color w:val="FFFFFF"/>
                <w:sz w:val="12"/>
                <w:szCs w:val="12"/>
                <w:lang w:val="en-ZA" w:eastAsia="en-ZA"/>
              </w:rPr>
            </w:pPr>
            <w:r w:rsidRPr="008A0277">
              <w:rPr>
                <w:rFonts w:eastAsia="Times New Roman" w:cs="Times New Roman"/>
                <w:color w:val="FFFFFF"/>
                <w:sz w:val="12"/>
                <w:szCs w:val="12"/>
                <w:lang w:val="en-ZA" w:eastAsia="en-ZA"/>
              </w:rPr>
              <w:t>KEY CHALLENGE</w:t>
            </w:r>
          </w:p>
        </w:tc>
        <w:tc>
          <w:tcPr>
            <w:tcW w:w="136" w:type="pct"/>
            <w:tcBorders>
              <w:top w:val="single" w:sz="8" w:space="0" w:color="auto"/>
              <w:left w:val="nil"/>
              <w:bottom w:val="nil"/>
              <w:right w:val="single" w:sz="8" w:space="0" w:color="auto"/>
            </w:tcBorders>
            <w:shd w:val="clear" w:color="000000" w:fill="000000"/>
            <w:vAlign w:val="center"/>
            <w:hideMark/>
          </w:tcPr>
          <w:p w14:paraId="04C9F02E" w14:textId="77777777" w:rsidR="008A0277" w:rsidRPr="008A0277" w:rsidRDefault="008A0277" w:rsidP="008A0277">
            <w:pPr>
              <w:spacing w:after="0" w:line="240" w:lineRule="auto"/>
              <w:jc w:val="center"/>
              <w:rPr>
                <w:rFonts w:eastAsia="Times New Roman" w:cs="Times New Roman"/>
                <w:color w:val="FFFFFF"/>
                <w:sz w:val="12"/>
                <w:szCs w:val="12"/>
                <w:lang w:val="en-ZA" w:eastAsia="en-ZA"/>
              </w:rPr>
            </w:pPr>
            <w:r w:rsidRPr="008A0277">
              <w:rPr>
                <w:rFonts w:eastAsia="Times New Roman" w:cs="Times New Roman"/>
                <w:color w:val="FFFFFF"/>
                <w:sz w:val="12"/>
                <w:szCs w:val="12"/>
                <w:lang w:val="en-ZA" w:eastAsia="en-ZA"/>
              </w:rPr>
              <w:t>REF</w:t>
            </w:r>
          </w:p>
        </w:tc>
        <w:tc>
          <w:tcPr>
            <w:tcW w:w="141" w:type="pct"/>
            <w:tcBorders>
              <w:top w:val="single" w:sz="8" w:space="0" w:color="auto"/>
              <w:left w:val="nil"/>
              <w:bottom w:val="nil"/>
              <w:right w:val="single" w:sz="8" w:space="0" w:color="auto"/>
            </w:tcBorders>
            <w:shd w:val="clear" w:color="000000" w:fill="000000"/>
            <w:vAlign w:val="center"/>
            <w:hideMark/>
          </w:tcPr>
          <w:p w14:paraId="520FD42D" w14:textId="77777777" w:rsidR="008A0277" w:rsidRPr="008A0277" w:rsidRDefault="008A0277" w:rsidP="008A0277">
            <w:pPr>
              <w:spacing w:after="0" w:line="240" w:lineRule="auto"/>
              <w:jc w:val="center"/>
              <w:rPr>
                <w:rFonts w:eastAsia="Times New Roman" w:cs="Times New Roman"/>
                <w:color w:val="FFFFFF"/>
                <w:sz w:val="12"/>
                <w:szCs w:val="12"/>
                <w:lang w:val="en-ZA" w:eastAsia="en-ZA"/>
              </w:rPr>
            </w:pPr>
            <w:r w:rsidRPr="008A0277">
              <w:rPr>
                <w:rFonts w:eastAsia="Times New Roman" w:cs="Times New Roman"/>
                <w:color w:val="FFFFFF"/>
                <w:sz w:val="12"/>
                <w:szCs w:val="12"/>
                <w:lang w:val="en-ZA" w:eastAsia="en-ZA"/>
              </w:rPr>
              <w:t>IDP REF</w:t>
            </w:r>
          </w:p>
        </w:tc>
        <w:tc>
          <w:tcPr>
            <w:tcW w:w="269" w:type="pct"/>
            <w:tcBorders>
              <w:top w:val="single" w:sz="8" w:space="0" w:color="auto"/>
              <w:left w:val="nil"/>
              <w:bottom w:val="nil"/>
              <w:right w:val="single" w:sz="8" w:space="0" w:color="auto"/>
            </w:tcBorders>
            <w:shd w:val="clear" w:color="000000" w:fill="000000"/>
            <w:vAlign w:val="center"/>
            <w:hideMark/>
          </w:tcPr>
          <w:p w14:paraId="444B966B" w14:textId="77777777" w:rsidR="008A0277" w:rsidRPr="008A0277" w:rsidRDefault="008A0277" w:rsidP="008A0277">
            <w:pPr>
              <w:spacing w:after="0" w:line="240" w:lineRule="auto"/>
              <w:rPr>
                <w:rFonts w:eastAsia="Times New Roman" w:cs="Times New Roman"/>
                <w:color w:val="FFFFFF"/>
                <w:sz w:val="12"/>
                <w:szCs w:val="12"/>
                <w:lang w:val="en-ZA" w:eastAsia="en-ZA"/>
              </w:rPr>
            </w:pPr>
            <w:r w:rsidRPr="008A0277">
              <w:rPr>
                <w:rFonts w:eastAsia="Times New Roman" w:cs="Times New Roman"/>
                <w:color w:val="FFFFFF"/>
                <w:sz w:val="12"/>
                <w:szCs w:val="12"/>
                <w:lang w:val="en-ZA" w:eastAsia="en-ZA"/>
              </w:rPr>
              <w:t>National Outcome</w:t>
            </w:r>
          </w:p>
        </w:tc>
        <w:tc>
          <w:tcPr>
            <w:tcW w:w="280" w:type="pct"/>
            <w:tcBorders>
              <w:top w:val="single" w:sz="8" w:space="0" w:color="auto"/>
              <w:left w:val="nil"/>
              <w:bottom w:val="nil"/>
              <w:right w:val="single" w:sz="8" w:space="0" w:color="auto"/>
            </w:tcBorders>
            <w:shd w:val="clear" w:color="000000" w:fill="000000"/>
            <w:vAlign w:val="center"/>
            <w:hideMark/>
          </w:tcPr>
          <w:p w14:paraId="22D65912" w14:textId="77777777" w:rsidR="008A0277" w:rsidRPr="008A0277" w:rsidRDefault="008A0277" w:rsidP="008A0277">
            <w:pPr>
              <w:spacing w:after="0" w:line="240" w:lineRule="auto"/>
              <w:rPr>
                <w:rFonts w:eastAsia="Times New Roman" w:cs="Times New Roman"/>
                <w:color w:val="FFFFFF"/>
                <w:sz w:val="12"/>
                <w:szCs w:val="12"/>
                <w:lang w:val="en-ZA" w:eastAsia="en-ZA"/>
              </w:rPr>
            </w:pPr>
            <w:r w:rsidRPr="008A0277">
              <w:rPr>
                <w:rFonts w:eastAsia="Times New Roman" w:cs="Times New Roman"/>
                <w:color w:val="FFFFFF"/>
                <w:sz w:val="12"/>
                <w:szCs w:val="12"/>
                <w:lang w:val="en-ZA" w:eastAsia="en-ZA"/>
              </w:rPr>
              <w:t>National KPA</w:t>
            </w:r>
          </w:p>
        </w:tc>
        <w:tc>
          <w:tcPr>
            <w:tcW w:w="280" w:type="pct"/>
            <w:tcBorders>
              <w:top w:val="single" w:sz="8" w:space="0" w:color="auto"/>
              <w:left w:val="nil"/>
              <w:bottom w:val="nil"/>
              <w:right w:val="single" w:sz="8" w:space="0" w:color="auto"/>
            </w:tcBorders>
            <w:shd w:val="clear" w:color="000000" w:fill="000000"/>
            <w:vAlign w:val="center"/>
            <w:hideMark/>
          </w:tcPr>
          <w:p w14:paraId="1423C4FC" w14:textId="77777777" w:rsidR="008A0277" w:rsidRPr="008A0277" w:rsidRDefault="008A0277" w:rsidP="008A0277">
            <w:pPr>
              <w:spacing w:after="0" w:line="240" w:lineRule="auto"/>
              <w:rPr>
                <w:rFonts w:eastAsia="Times New Roman" w:cs="Times New Roman"/>
                <w:color w:val="FFFFFF"/>
                <w:sz w:val="12"/>
                <w:szCs w:val="12"/>
                <w:lang w:val="en-ZA" w:eastAsia="en-ZA"/>
              </w:rPr>
            </w:pPr>
            <w:r w:rsidRPr="008A0277">
              <w:rPr>
                <w:rFonts w:eastAsia="Times New Roman" w:cs="Times New Roman"/>
                <w:color w:val="FFFFFF"/>
                <w:sz w:val="12"/>
                <w:szCs w:val="12"/>
                <w:lang w:val="en-ZA" w:eastAsia="en-ZA"/>
              </w:rPr>
              <w:t>Key Performance Area (KPA)</w:t>
            </w:r>
          </w:p>
        </w:tc>
        <w:tc>
          <w:tcPr>
            <w:tcW w:w="278" w:type="pct"/>
            <w:tcBorders>
              <w:top w:val="single" w:sz="8" w:space="0" w:color="auto"/>
              <w:left w:val="nil"/>
              <w:bottom w:val="nil"/>
              <w:right w:val="single" w:sz="8" w:space="0" w:color="auto"/>
            </w:tcBorders>
            <w:shd w:val="clear" w:color="000000" w:fill="000000"/>
            <w:vAlign w:val="center"/>
            <w:hideMark/>
          </w:tcPr>
          <w:p w14:paraId="3B48A8ED" w14:textId="77777777" w:rsidR="008A0277" w:rsidRPr="008A0277" w:rsidRDefault="008A0277" w:rsidP="008A0277">
            <w:pPr>
              <w:spacing w:after="0" w:line="240" w:lineRule="auto"/>
              <w:rPr>
                <w:rFonts w:eastAsia="Times New Roman" w:cs="Times New Roman"/>
                <w:color w:val="FFFFFF"/>
                <w:sz w:val="12"/>
                <w:szCs w:val="12"/>
                <w:lang w:val="en-ZA" w:eastAsia="en-ZA"/>
              </w:rPr>
            </w:pPr>
            <w:r w:rsidRPr="008A0277">
              <w:rPr>
                <w:rFonts w:eastAsia="Times New Roman" w:cs="Times New Roman"/>
                <w:color w:val="FFFFFF"/>
                <w:sz w:val="12"/>
                <w:szCs w:val="12"/>
                <w:lang w:val="en-ZA" w:eastAsia="en-ZA"/>
              </w:rPr>
              <w:t>Strategic Objective</w:t>
            </w:r>
          </w:p>
        </w:tc>
        <w:tc>
          <w:tcPr>
            <w:tcW w:w="374" w:type="pct"/>
            <w:tcBorders>
              <w:top w:val="single" w:sz="8" w:space="0" w:color="auto"/>
              <w:left w:val="nil"/>
              <w:bottom w:val="nil"/>
              <w:right w:val="single" w:sz="8" w:space="0" w:color="auto"/>
            </w:tcBorders>
            <w:shd w:val="clear" w:color="000000" w:fill="000000"/>
            <w:vAlign w:val="center"/>
            <w:hideMark/>
          </w:tcPr>
          <w:p w14:paraId="6D855A78" w14:textId="77777777" w:rsidR="008A0277" w:rsidRPr="008A0277" w:rsidRDefault="008A0277" w:rsidP="008A0277">
            <w:pPr>
              <w:spacing w:after="0" w:line="240" w:lineRule="auto"/>
              <w:rPr>
                <w:rFonts w:eastAsia="Times New Roman" w:cs="Times New Roman"/>
                <w:color w:val="FFFFFF"/>
                <w:sz w:val="12"/>
                <w:szCs w:val="12"/>
                <w:lang w:val="en-ZA" w:eastAsia="en-ZA"/>
              </w:rPr>
            </w:pPr>
            <w:r w:rsidRPr="008A0277">
              <w:rPr>
                <w:rFonts w:eastAsia="Times New Roman" w:cs="Times New Roman"/>
                <w:color w:val="FFFFFF"/>
                <w:sz w:val="12"/>
                <w:szCs w:val="12"/>
                <w:lang w:val="en-ZA" w:eastAsia="en-ZA"/>
              </w:rPr>
              <w:t>Key Performance Indicator</w:t>
            </w:r>
          </w:p>
        </w:tc>
        <w:tc>
          <w:tcPr>
            <w:tcW w:w="374" w:type="pct"/>
            <w:tcBorders>
              <w:top w:val="single" w:sz="8" w:space="0" w:color="auto"/>
              <w:left w:val="nil"/>
              <w:bottom w:val="nil"/>
              <w:right w:val="single" w:sz="8" w:space="0" w:color="auto"/>
            </w:tcBorders>
            <w:shd w:val="clear" w:color="000000" w:fill="000000"/>
            <w:vAlign w:val="center"/>
            <w:hideMark/>
          </w:tcPr>
          <w:p w14:paraId="2FECADA6" w14:textId="77777777" w:rsidR="008A0277" w:rsidRPr="008A0277" w:rsidRDefault="008A0277" w:rsidP="008A0277">
            <w:pPr>
              <w:spacing w:after="0" w:line="240" w:lineRule="auto"/>
              <w:rPr>
                <w:rFonts w:eastAsia="Times New Roman" w:cs="Times New Roman"/>
                <w:color w:val="FFFFFF"/>
                <w:sz w:val="12"/>
                <w:szCs w:val="12"/>
                <w:lang w:val="en-ZA" w:eastAsia="en-ZA"/>
              </w:rPr>
            </w:pPr>
            <w:r w:rsidRPr="008A0277">
              <w:rPr>
                <w:rFonts w:eastAsia="Times New Roman" w:cs="Times New Roman"/>
                <w:color w:val="FFFFFF"/>
                <w:sz w:val="12"/>
                <w:szCs w:val="12"/>
                <w:lang w:val="en-ZA" w:eastAsia="en-ZA"/>
              </w:rPr>
              <w:t>Unit of Measurement</w:t>
            </w:r>
          </w:p>
        </w:tc>
        <w:tc>
          <w:tcPr>
            <w:tcW w:w="374" w:type="pct"/>
            <w:tcBorders>
              <w:top w:val="single" w:sz="8" w:space="0" w:color="auto"/>
              <w:left w:val="nil"/>
              <w:bottom w:val="nil"/>
              <w:right w:val="single" w:sz="8" w:space="0" w:color="auto"/>
            </w:tcBorders>
            <w:shd w:val="clear" w:color="000000" w:fill="000000"/>
            <w:vAlign w:val="center"/>
            <w:hideMark/>
          </w:tcPr>
          <w:p w14:paraId="25CE7D1E" w14:textId="77777777" w:rsidR="008A0277" w:rsidRPr="008A0277" w:rsidRDefault="008A0277" w:rsidP="008A0277">
            <w:pPr>
              <w:spacing w:after="0" w:line="240" w:lineRule="auto"/>
              <w:rPr>
                <w:rFonts w:eastAsia="Times New Roman" w:cs="Times New Roman"/>
                <w:color w:val="FFFFFF"/>
                <w:sz w:val="12"/>
                <w:szCs w:val="12"/>
                <w:lang w:val="en-ZA" w:eastAsia="en-ZA"/>
              </w:rPr>
            </w:pPr>
            <w:r w:rsidRPr="008A0277">
              <w:rPr>
                <w:rFonts w:eastAsia="Times New Roman" w:cs="Times New Roman"/>
                <w:color w:val="FFFFFF"/>
                <w:sz w:val="12"/>
                <w:szCs w:val="12"/>
                <w:lang w:val="en-ZA" w:eastAsia="en-ZA"/>
              </w:rPr>
              <w:t>Budget Year18/19</w:t>
            </w:r>
          </w:p>
        </w:tc>
        <w:tc>
          <w:tcPr>
            <w:tcW w:w="305" w:type="pct"/>
            <w:tcBorders>
              <w:top w:val="single" w:sz="8" w:space="0" w:color="auto"/>
              <w:left w:val="nil"/>
              <w:bottom w:val="nil"/>
              <w:right w:val="single" w:sz="8" w:space="0" w:color="auto"/>
            </w:tcBorders>
            <w:shd w:val="clear" w:color="000000" w:fill="000000"/>
            <w:vAlign w:val="center"/>
            <w:hideMark/>
          </w:tcPr>
          <w:p w14:paraId="7DA2AA22" w14:textId="77777777" w:rsidR="008A0277" w:rsidRPr="008A0277" w:rsidRDefault="008A0277" w:rsidP="008A0277">
            <w:pPr>
              <w:spacing w:after="0" w:line="240" w:lineRule="auto"/>
              <w:rPr>
                <w:rFonts w:eastAsia="Times New Roman" w:cs="Times New Roman"/>
                <w:color w:val="FFFFFF"/>
                <w:sz w:val="12"/>
                <w:szCs w:val="12"/>
                <w:lang w:val="en-ZA" w:eastAsia="en-ZA"/>
              </w:rPr>
            </w:pPr>
            <w:r w:rsidRPr="008A0277">
              <w:rPr>
                <w:rFonts w:eastAsia="Times New Roman" w:cs="Times New Roman"/>
                <w:color w:val="FFFFFF"/>
                <w:sz w:val="12"/>
                <w:szCs w:val="12"/>
                <w:lang w:val="en-ZA" w:eastAsia="en-ZA"/>
              </w:rPr>
              <w:t>Quarter 1</w:t>
            </w:r>
          </w:p>
        </w:tc>
        <w:tc>
          <w:tcPr>
            <w:tcW w:w="374" w:type="pct"/>
            <w:tcBorders>
              <w:top w:val="single" w:sz="8" w:space="0" w:color="auto"/>
              <w:left w:val="nil"/>
              <w:bottom w:val="nil"/>
              <w:right w:val="single" w:sz="8" w:space="0" w:color="auto"/>
            </w:tcBorders>
            <w:shd w:val="clear" w:color="000000" w:fill="000000"/>
            <w:vAlign w:val="center"/>
            <w:hideMark/>
          </w:tcPr>
          <w:p w14:paraId="6465CA11" w14:textId="77777777" w:rsidR="008A0277" w:rsidRPr="008A0277" w:rsidRDefault="008A0277" w:rsidP="008A0277">
            <w:pPr>
              <w:spacing w:after="0" w:line="240" w:lineRule="auto"/>
              <w:rPr>
                <w:rFonts w:eastAsia="Times New Roman" w:cs="Times New Roman"/>
                <w:color w:val="FFFFFF"/>
                <w:sz w:val="12"/>
                <w:szCs w:val="12"/>
                <w:lang w:val="en-ZA" w:eastAsia="en-ZA"/>
              </w:rPr>
            </w:pPr>
            <w:r w:rsidRPr="008A0277">
              <w:rPr>
                <w:rFonts w:eastAsia="Times New Roman" w:cs="Times New Roman"/>
                <w:color w:val="FFFFFF"/>
                <w:sz w:val="12"/>
                <w:szCs w:val="12"/>
                <w:lang w:val="en-ZA" w:eastAsia="en-ZA"/>
              </w:rPr>
              <w:t>Quarter 2</w:t>
            </w:r>
          </w:p>
        </w:tc>
        <w:tc>
          <w:tcPr>
            <w:tcW w:w="305" w:type="pct"/>
            <w:tcBorders>
              <w:top w:val="single" w:sz="8" w:space="0" w:color="auto"/>
              <w:left w:val="nil"/>
              <w:bottom w:val="nil"/>
              <w:right w:val="single" w:sz="8" w:space="0" w:color="auto"/>
            </w:tcBorders>
            <w:shd w:val="clear" w:color="000000" w:fill="000000"/>
            <w:vAlign w:val="center"/>
            <w:hideMark/>
          </w:tcPr>
          <w:p w14:paraId="3005E7C9" w14:textId="77777777" w:rsidR="008A0277" w:rsidRPr="008A0277" w:rsidRDefault="008A0277" w:rsidP="008A0277">
            <w:pPr>
              <w:spacing w:after="0" w:line="240" w:lineRule="auto"/>
              <w:rPr>
                <w:rFonts w:eastAsia="Times New Roman" w:cs="Times New Roman"/>
                <w:color w:val="FFFFFF"/>
                <w:sz w:val="12"/>
                <w:szCs w:val="12"/>
                <w:lang w:val="en-ZA" w:eastAsia="en-ZA"/>
              </w:rPr>
            </w:pPr>
            <w:r w:rsidRPr="008A0277">
              <w:rPr>
                <w:rFonts w:eastAsia="Times New Roman" w:cs="Times New Roman"/>
                <w:color w:val="FFFFFF"/>
                <w:sz w:val="12"/>
                <w:szCs w:val="12"/>
                <w:lang w:val="en-ZA" w:eastAsia="en-ZA"/>
              </w:rPr>
              <w:t>Quarter 3</w:t>
            </w:r>
          </w:p>
        </w:tc>
        <w:tc>
          <w:tcPr>
            <w:tcW w:w="374" w:type="pct"/>
            <w:tcBorders>
              <w:top w:val="single" w:sz="8" w:space="0" w:color="auto"/>
              <w:left w:val="nil"/>
              <w:bottom w:val="nil"/>
              <w:right w:val="single" w:sz="8" w:space="0" w:color="auto"/>
            </w:tcBorders>
            <w:shd w:val="clear" w:color="000000" w:fill="000000"/>
            <w:vAlign w:val="center"/>
            <w:hideMark/>
          </w:tcPr>
          <w:p w14:paraId="6D99DC4A" w14:textId="77777777" w:rsidR="008A0277" w:rsidRPr="008A0277" w:rsidRDefault="008A0277" w:rsidP="008A0277">
            <w:pPr>
              <w:spacing w:after="0" w:line="240" w:lineRule="auto"/>
              <w:rPr>
                <w:rFonts w:eastAsia="Times New Roman" w:cs="Times New Roman"/>
                <w:color w:val="FFFFFF"/>
                <w:sz w:val="12"/>
                <w:szCs w:val="12"/>
                <w:lang w:val="en-ZA" w:eastAsia="en-ZA"/>
              </w:rPr>
            </w:pPr>
            <w:r w:rsidRPr="008A0277">
              <w:rPr>
                <w:rFonts w:eastAsia="Times New Roman" w:cs="Times New Roman"/>
                <w:color w:val="FFFFFF"/>
                <w:sz w:val="12"/>
                <w:szCs w:val="12"/>
                <w:lang w:val="en-ZA" w:eastAsia="en-ZA"/>
              </w:rPr>
              <w:t>Quarter 4</w:t>
            </w:r>
          </w:p>
        </w:tc>
        <w:tc>
          <w:tcPr>
            <w:tcW w:w="251" w:type="pct"/>
            <w:tcBorders>
              <w:top w:val="single" w:sz="8" w:space="0" w:color="auto"/>
              <w:left w:val="nil"/>
              <w:bottom w:val="nil"/>
              <w:right w:val="single" w:sz="8" w:space="0" w:color="auto"/>
            </w:tcBorders>
            <w:shd w:val="clear" w:color="000000" w:fill="000000"/>
            <w:vAlign w:val="center"/>
            <w:hideMark/>
          </w:tcPr>
          <w:p w14:paraId="42A4EDA8" w14:textId="77777777" w:rsidR="008A0277" w:rsidRPr="008A0277" w:rsidRDefault="008A0277" w:rsidP="008A0277">
            <w:pPr>
              <w:spacing w:after="0" w:line="240" w:lineRule="auto"/>
              <w:rPr>
                <w:rFonts w:eastAsia="Times New Roman" w:cs="Times New Roman"/>
                <w:color w:val="FFFFFF"/>
                <w:sz w:val="12"/>
                <w:szCs w:val="12"/>
                <w:lang w:val="en-ZA" w:eastAsia="en-ZA"/>
              </w:rPr>
            </w:pPr>
            <w:r w:rsidRPr="008A0277">
              <w:rPr>
                <w:rFonts w:eastAsia="Times New Roman" w:cs="Times New Roman"/>
                <w:color w:val="FFFFFF"/>
                <w:sz w:val="12"/>
                <w:szCs w:val="12"/>
                <w:lang w:val="en-ZA" w:eastAsia="en-ZA"/>
              </w:rPr>
              <w:t>Budget Year18/19</w:t>
            </w:r>
          </w:p>
        </w:tc>
        <w:tc>
          <w:tcPr>
            <w:tcW w:w="146" w:type="pct"/>
            <w:tcBorders>
              <w:top w:val="single" w:sz="8" w:space="0" w:color="auto"/>
              <w:left w:val="nil"/>
              <w:bottom w:val="nil"/>
              <w:right w:val="single" w:sz="8" w:space="0" w:color="auto"/>
            </w:tcBorders>
            <w:shd w:val="clear" w:color="000000" w:fill="000000"/>
            <w:vAlign w:val="center"/>
            <w:hideMark/>
          </w:tcPr>
          <w:p w14:paraId="4C3E19BA" w14:textId="77777777" w:rsidR="008A0277" w:rsidRPr="008A0277" w:rsidRDefault="008A0277" w:rsidP="008A0277">
            <w:pPr>
              <w:spacing w:after="0" w:line="240" w:lineRule="auto"/>
              <w:jc w:val="center"/>
              <w:rPr>
                <w:rFonts w:eastAsia="Times New Roman" w:cs="Times New Roman"/>
                <w:color w:val="FFFFFF"/>
                <w:sz w:val="12"/>
                <w:szCs w:val="12"/>
                <w:lang w:val="en-ZA" w:eastAsia="en-ZA"/>
              </w:rPr>
            </w:pPr>
            <w:r w:rsidRPr="008A0277">
              <w:rPr>
                <w:rFonts w:eastAsia="Times New Roman" w:cs="Times New Roman"/>
                <w:color w:val="FFFFFF"/>
                <w:sz w:val="12"/>
                <w:szCs w:val="12"/>
                <w:lang w:val="en-ZA" w:eastAsia="en-ZA"/>
              </w:rPr>
              <w:t>Baseline</w:t>
            </w:r>
          </w:p>
        </w:tc>
        <w:tc>
          <w:tcPr>
            <w:tcW w:w="278" w:type="pct"/>
            <w:tcBorders>
              <w:top w:val="single" w:sz="8" w:space="0" w:color="auto"/>
              <w:left w:val="nil"/>
              <w:bottom w:val="nil"/>
              <w:right w:val="single" w:sz="8" w:space="0" w:color="auto"/>
            </w:tcBorders>
            <w:shd w:val="clear" w:color="000000" w:fill="000000"/>
            <w:vAlign w:val="center"/>
            <w:hideMark/>
          </w:tcPr>
          <w:p w14:paraId="056DCA4B" w14:textId="77777777" w:rsidR="008A0277" w:rsidRPr="008A0277" w:rsidRDefault="008A0277" w:rsidP="008A0277">
            <w:pPr>
              <w:spacing w:after="0" w:line="240" w:lineRule="auto"/>
              <w:rPr>
                <w:rFonts w:eastAsia="Times New Roman" w:cs="Times New Roman"/>
                <w:color w:val="FFFFFF"/>
                <w:sz w:val="12"/>
                <w:szCs w:val="12"/>
                <w:lang w:val="en-ZA" w:eastAsia="en-ZA"/>
              </w:rPr>
            </w:pPr>
            <w:r w:rsidRPr="008A0277">
              <w:rPr>
                <w:rFonts w:eastAsia="Times New Roman" w:cs="Times New Roman"/>
                <w:color w:val="FFFFFF"/>
                <w:sz w:val="12"/>
                <w:szCs w:val="12"/>
                <w:lang w:val="en-ZA" w:eastAsia="en-ZA"/>
              </w:rPr>
              <w:t>Responsible department</w:t>
            </w:r>
          </w:p>
        </w:tc>
        <w:tc>
          <w:tcPr>
            <w:tcW w:w="170" w:type="pct"/>
            <w:tcBorders>
              <w:top w:val="single" w:sz="8" w:space="0" w:color="auto"/>
              <w:left w:val="nil"/>
              <w:bottom w:val="nil"/>
              <w:right w:val="single" w:sz="8" w:space="0" w:color="auto"/>
            </w:tcBorders>
            <w:shd w:val="clear" w:color="000000" w:fill="000000"/>
            <w:vAlign w:val="center"/>
            <w:hideMark/>
          </w:tcPr>
          <w:p w14:paraId="5FF64AED" w14:textId="77777777" w:rsidR="008A0277" w:rsidRPr="008A0277" w:rsidRDefault="008A0277" w:rsidP="008A0277">
            <w:pPr>
              <w:spacing w:after="0" w:line="240" w:lineRule="auto"/>
              <w:rPr>
                <w:rFonts w:eastAsia="Times New Roman" w:cs="Times New Roman"/>
                <w:color w:val="FFFFFF"/>
                <w:sz w:val="12"/>
                <w:szCs w:val="12"/>
                <w:lang w:val="en-ZA" w:eastAsia="en-ZA"/>
              </w:rPr>
            </w:pPr>
            <w:r w:rsidRPr="008A0277">
              <w:rPr>
                <w:rFonts w:eastAsia="Times New Roman" w:cs="Times New Roman"/>
                <w:color w:val="FFFFFF"/>
                <w:sz w:val="12"/>
                <w:szCs w:val="12"/>
                <w:lang w:val="en-ZA" w:eastAsia="en-ZA"/>
              </w:rPr>
              <w:t>Ward</w:t>
            </w:r>
          </w:p>
        </w:tc>
      </w:tr>
      <w:tr w:rsidR="008A0277" w:rsidRPr="008A0277" w14:paraId="2F2B0BAA" w14:textId="77777777" w:rsidTr="008A0277">
        <w:trPr>
          <w:trHeight w:val="876"/>
        </w:trPr>
        <w:tc>
          <w:tcPr>
            <w:tcW w:w="28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BA108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Poor participation in HIV/Aids programs</w:t>
            </w:r>
          </w:p>
        </w:tc>
        <w:tc>
          <w:tcPr>
            <w:tcW w:w="136" w:type="pct"/>
            <w:tcBorders>
              <w:top w:val="single" w:sz="4" w:space="0" w:color="auto"/>
              <w:left w:val="nil"/>
              <w:bottom w:val="single" w:sz="4" w:space="0" w:color="auto"/>
              <w:right w:val="single" w:sz="4" w:space="0" w:color="auto"/>
            </w:tcBorders>
            <w:shd w:val="clear" w:color="auto" w:fill="auto"/>
            <w:noWrap/>
            <w:vAlign w:val="center"/>
            <w:hideMark/>
          </w:tcPr>
          <w:p w14:paraId="2A17CC21"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TL1</w:t>
            </w:r>
          </w:p>
        </w:tc>
        <w:tc>
          <w:tcPr>
            <w:tcW w:w="141" w:type="pct"/>
            <w:tcBorders>
              <w:top w:val="single" w:sz="4" w:space="0" w:color="auto"/>
              <w:left w:val="nil"/>
              <w:bottom w:val="single" w:sz="4" w:space="0" w:color="auto"/>
              <w:right w:val="single" w:sz="4" w:space="0" w:color="auto"/>
            </w:tcBorders>
            <w:shd w:val="clear" w:color="auto" w:fill="auto"/>
            <w:noWrap/>
            <w:vAlign w:val="center"/>
            <w:hideMark/>
          </w:tcPr>
          <w:p w14:paraId="6DFEC85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E5.2-1</w:t>
            </w:r>
          </w:p>
        </w:tc>
        <w:tc>
          <w:tcPr>
            <w:tcW w:w="269" w:type="pct"/>
            <w:tcBorders>
              <w:top w:val="single" w:sz="4" w:space="0" w:color="auto"/>
              <w:left w:val="nil"/>
              <w:bottom w:val="single" w:sz="4" w:space="0" w:color="auto"/>
              <w:right w:val="single" w:sz="4" w:space="0" w:color="auto"/>
            </w:tcBorders>
            <w:shd w:val="clear" w:color="auto" w:fill="auto"/>
            <w:vAlign w:val="center"/>
            <w:hideMark/>
          </w:tcPr>
          <w:p w14:paraId="6259380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Improve health and life expectancy</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13C65C6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Good Governance and Public Participation</w:t>
            </w:r>
          </w:p>
        </w:tc>
        <w:tc>
          <w:tcPr>
            <w:tcW w:w="280" w:type="pct"/>
            <w:tcBorders>
              <w:top w:val="single" w:sz="4" w:space="0" w:color="auto"/>
              <w:left w:val="nil"/>
              <w:bottom w:val="single" w:sz="4" w:space="0" w:color="auto"/>
              <w:right w:val="single" w:sz="4" w:space="0" w:color="auto"/>
            </w:tcBorders>
            <w:shd w:val="clear" w:color="auto" w:fill="auto"/>
            <w:vAlign w:val="center"/>
            <w:hideMark/>
          </w:tcPr>
          <w:p w14:paraId="3BD38D5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Good Governance and Public Participation</w:t>
            </w:r>
          </w:p>
        </w:tc>
        <w:tc>
          <w:tcPr>
            <w:tcW w:w="278" w:type="pct"/>
            <w:tcBorders>
              <w:top w:val="single" w:sz="4" w:space="0" w:color="auto"/>
              <w:left w:val="nil"/>
              <w:bottom w:val="single" w:sz="4" w:space="0" w:color="auto"/>
              <w:right w:val="single" w:sz="4" w:space="0" w:color="auto"/>
            </w:tcBorders>
            <w:shd w:val="clear" w:color="auto" w:fill="auto"/>
            <w:vAlign w:val="center"/>
            <w:hideMark/>
          </w:tcPr>
          <w:p w14:paraId="3DE15B9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Mitigate the Impact of HIV/Aids in the Municipality area</w:t>
            </w:r>
          </w:p>
        </w:tc>
        <w:tc>
          <w:tcPr>
            <w:tcW w:w="374" w:type="pct"/>
            <w:tcBorders>
              <w:top w:val="single" w:sz="4" w:space="0" w:color="auto"/>
              <w:left w:val="nil"/>
              <w:bottom w:val="single" w:sz="4" w:space="0" w:color="auto"/>
              <w:right w:val="single" w:sz="4" w:space="0" w:color="auto"/>
            </w:tcBorders>
            <w:shd w:val="clear" w:color="auto" w:fill="auto"/>
            <w:vAlign w:val="center"/>
            <w:hideMark/>
          </w:tcPr>
          <w:p w14:paraId="09831FF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Hold quarterly HIV/AIDS Council Meetings</w:t>
            </w:r>
          </w:p>
        </w:tc>
        <w:tc>
          <w:tcPr>
            <w:tcW w:w="374" w:type="pct"/>
            <w:tcBorders>
              <w:top w:val="single" w:sz="4" w:space="0" w:color="auto"/>
              <w:left w:val="nil"/>
              <w:bottom w:val="single" w:sz="4" w:space="0" w:color="auto"/>
              <w:right w:val="single" w:sz="4" w:space="0" w:color="auto"/>
            </w:tcBorders>
            <w:shd w:val="clear" w:color="auto" w:fill="auto"/>
            <w:vAlign w:val="center"/>
            <w:hideMark/>
          </w:tcPr>
          <w:p w14:paraId="066E59D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No of HIV/AIDS Council Meetings</w:t>
            </w:r>
          </w:p>
        </w:tc>
        <w:tc>
          <w:tcPr>
            <w:tcW w:w="374" w:type="pct"/>
            <w:tcBorders>
              <w:top w:val="single" w:sz="4" w:space="0" w:color="auto"/>
              <w:left w:val="nil"/>
              <w:bottom w:val="single" w:sz="4" w:space="0" w:color="auto"/>
              <w:right w:val="single" w:sz="4" w:space="0" w:color="auto"/>
            </w:tcBorders>
            <w:shd w:val="clear" w:color="auto" w:fill="auto"/>
            <w:vAlign w:val="center"/>
            <w:hideMark/>
          </w:tcPr>
          <w:p w14:paraId="52786FE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4 HIV/Aids Council meetings held by 30 June                     </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7169EDF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HIV/AIDS Council meeting held by 30 September</w:t>
            </w:r>
          </w:p>
        </w:tc>
        <w:tc>
          <w:tcPr>
            <w:tcW w:w="374" w:type="pct"/>
            <w:tcBorders>
              <w:top w:val="single" w:sz="4" w:space="0" w:color="auto"/>
              <w:left w:val="nil"/>
              <w:bottom w:val="single" w:sz="4" w:space="0" w:color="auto"/>
              <w:right w:val="single" w:sz="4" w:space="0" w:color="auto"/>
            </w:tcBorders>
            <w:shd w:val="clear" w:color="auto" w:fill="auto"/>
            <w:vAlign w:val="center"/>
            <w:hideMark/>
          </w:tcPr>
          <w:p w14:paraId="07DB495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HIV/AIDS Council meeting held by 31 December</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029A61C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HIV/AIDS Council meeting held by 31 March</w:t>
            </w:r>
          </w:p>
        </w:tc>
        <w:tc>
          <w:tcPr>
            <w:tcW w:w="374" w:type="pct"/>
            <w:tcBorders>
              <w:top w:val="single" w:sz="4" w:space="0" w:color="auto"/>
              <w:left w:val="nil"/>
              <w:bottom w:val="single" w:sz="4" w:space="0" w:color="auto"/>
              <w:right w:val="single" w:sz="4" w:space="0" w:color="auto"/>
            </w:tcBorders>
            <w:shd w:val="clear" w:color="auto" w:fill="auto"/>
            <w:vAlign w:val="center"/>
            <w:hideMark/>
          </w:tcPr>
          <w:p w14:paraId="77A700B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HIV/AIDS Council meeting held by 30 June</w:t>
            </w:r>
          </w:p>
        </w:tc>
        <w:tc>
          <w:tcPr>
            <w:tcW w:w="251" w:type="pct"/>
            <w:tcBorders>
              <w:top w:val="single" w:sz="4" w:space="0" w:color="auto"/>
              <w:left w:val="nil"/>
              <w:bottom w:val="single" w:sz="4" w:space="0" w:color="auto"/>
              <w:right w:val="single" w:sz="4" w:space="0" w:color="auto"/>
            </w:tcBorders>
            <w:shd w:val="clear" w:color="auto" w:fill="auto"/>
            <w:vAlign w:val="center"/>
            <w:hideMark/>
          </w:tcPr>
          <w:p w14:paraId="5CD24C82"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415 000.00</w:t>
            </w:r>
          </w:p>
        </w:tc>
        <w:tc>
          <w:tcPr>
            <w:tcW w:w="146" w:type="pct"/>
            <w:tcBorders>
              <w:top w:val="single" w:sz="4" w:space="0" w:color="auto"/>
              <w:left w:val="nil"/>
              <w:bottom w:val="single" w:sz="4" w:space="0" w:color="auto"/>
              <w:right w:val="single" w:sz="4" w:space="0" w:color="auto"/>
            </w:tcBorders>
            <w:shd w:val="clear" w:color="auto" w:fill="auto"/>
            <w:noWrap/>
            <w:vAlign w:val="center"/>
            <w:hideMark/>
          </w:tcPr>
          <w:p w14:paraId="0ACE0FA4"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w:t>
            </w:r>
          </w:p>
        </w:tc>
        <w:tc>
          <w:tcPr>
            <w:tcW w:w="278" w:type="pct"/>
            <w:tcBorders>
              <w:top w:val="single" w:sz="4" w:space="0" w:color="auto"/>
              <w:left w:val="nil"/>
              <w:bottom w:val="single" w:sz="4" w:space="0" w:color="auto"/>
              <w:right w:val="single" w:sz="4" w:space="0" w:color="auto"/>
            </w:tcBorders>
            <w:shd w:val="clear" w:color="auto" w:fill="auto"/>
            <w:vAlign w:val="center"/>
            <w:hideMark/>
          </w:tcPr>
          <w:p w14:paraId="1E3AB61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MAYORAL OFFICE</w:t>
            </w:r>
          </w:p>
        </w:tc>
        <w:tc>
          <w:tcPr>
            <w:tcW w:w="170" w:type="pct"/>
            <w:tcBorders>
              <w:top w:val="single" w:sz="4" w:space="0" w:color="auto"/>
              <w:left w:val="nil"/>
              <w:bottom w:val="single" w:sz="4" w:space="0" w:color="auto"/>
              <w:right w:val="single" w:sz="4" w:space="0" w:color="auto"/>
            </w:tcBorders>
            <w:shd w:val="clear" w:color="auto" w:fill="auto"/>
            <w:vAlign w:val="center"/>
            <w:hideMark/>
          </w:tcPr>
          <w:p w14:paraId="4D68239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62AA3A3C" w14:textId="77777777" w:rsidTr="008A0277">
        <w:trPr>
          <w:trHeight w:val="2094"/>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16B332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Inadequate financial performance</w:t>
            </w:r>
          </w:p>
        </w:tc>
        <w:tc>
          <w:tcPr>
            <w:tcW w:w="136" w:type="pct"/>
            <w:tcBorders>
              <w:top w:val="nil"/>
              <w:left w:val="nil"/>
              <w:bottom w:val="single" w:sz="4" w:space="0" w:color="auto"/>
              <w:right w:val="single" w:sz="4" w:space="0" w:color="auto"/>
            </w:tcBorders>
            <w:shd w:val="clear" w:color="auto" w:fill="auto"/>
            <w:noWrap/>
            <w:vAlign w:val="center"/>
            <w:hideMark/>
          </w:tcPr>
          <w:p w14:paraId="28953F93"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TL2</w:t>
            </w:r>
          </w:p>
        </w:tc>
        <w:tc>
          <w:tcPr>
            <w:tcW w:w="141" w:type="pct"/>
            <w:tcBorders>
              <w:top w:val="nil"/>
              <w:left w:val="nil"/>
              <w:bottom w:val="single" w:sz="4" w:space="0" w:color="auto"/>
              <w:right w:val="single" w:sz="4" w:space="0" w:color="auto"/>
            </w:tcBorders>
            <w:shd w:val="clear" w:color="auto" w:fill="auto"/>
            <w:noWrap/>
            <w:vAlign w:val="center"/>
            <w:hideMark/>
          </w:tcPr>
          <w:p w14:paraId="00B4A1E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E5.2-2</w:t>
            </w:r>
          </w:p>
        </w:tc>
        <w:tc>
          <w:tcPr>
            <w:tcW w:w="269" w:type="pct"/>
            <w:tcBorders>
              <w:top w:val="nil"/>
              <w:left w:val="nil"/>
              <w:bottom w:val="single" w:sz="4" w:space="0" w:color="auto"/>
              <w:right w:val="single" w:sz="4" w:space="0" w:color="auto"/>
            </w:tcBorders>
            <w:shd w:val="clear" w:color="auto" w:fill="auto"/>
            <w:vAlign w:val="center"/>
            <w:hideMark/>
          </w:tcPr>
          <w:p w14:paraId="2CB4CB6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better South Africa, a better Africa and world</w:t>
            </w:r>
          </w:p>
        </w:tc>
        <w:tc>
          <w:tcPr>
            <w:tcW w:w="280" w:type="pct"/>
            <w:tcBorders>
              <w:top w:val="nil"/>
              <w:left w:val="nil"/>
              <w:bottom w:val="single" w:sz="4" w:space="0" w:color="auto"/>
              <w:right w:val="single" w:sz="4" w:space="0" w:color="auto"/>
            </w:tcBorders>
            <w:shd w:val="clear" w:color="auto" w:fill="auto"/>
            <w:vAlign w:val="center"/>
            <w:hideMark/>
          </w:tcPr>
          <w:p w14:paraId="2EECF5A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80" w:type="pct"/>
            <w:tcBorders>
              <w:top w:val="nil"/>
              <w:left w:val="nil"/>
              <w:bottom w:val="single" w:sz="4" w:space="0" w:color="auto"/>
              <w:right w:val="single" w:sz="4" w:space="0" w:color="auto"/>
            </w:tcBorders>
            <w:shd w:val="clear" w:color="auto" w:fill="auto"/>
            <w:vAlign w:val="center"/>
            <w:hideMark/>
          </w:tcPr>
          <w:p w14:paraId="53980F7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78" w:type="pct"/>
            <w:tcBorders>
              <w:top w:val="nil"/>
              <w:left w:val="nil"/>
              <w:bottom w:val="single" w:sz="4" w:space="0" w:color="auto"/>
              <w:right w:val="single" w:sz="4" w:space="0" w:color="auto"/>
            </w:tcBorders>
            <w:shd w:val="clear" w:color="auto" w:fill="auto"/>
            <w:vAlign w:val="center"/>
            <w:hideMark/>
          </w:tcPr>
          <w:p w14:paraId="0B95647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ensure continued sound financial management</w:t>
            </w:r>
          </w:p>
        </w:tc>
        <w:tc>
          <w:tcPr>
            <w:tcW w:w="374" w:type="pct"/>
            <w:tcBorders>
              <w:top w:val="nil"/>
              <w:left w:val="nil"/>
              <w:bottom w:val="single" w:sz="4" w:space="0" w:color="auto"/>
              <w:right w:val="single" w:sz="4" w:space="0" w:color="auto"/>
            </w:tcBorders>
            <w:shd w:val="clear" w:color="auto" w:fill="auto"/>
            <w:vAlign w:val="center"/>
            <w:hideMark/>
          </w:tcPr>
          <w:p w14:paraId="7D3BF58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Submit quarterly reports to Council on Community support, youth development, Commemorative, ceremonial budget expenditure </w:t>
            </w:r>
          </w:p>
        </w:tc>
        <w:tc>
          <w:tcPr>
            <w:tcW w:w="374" w:type="pct"/>
            <w:tcBorders>
              <w:top w:val="nil"/>
              <w:left w:val="nil"/>
              <w:bottom w:val="single" w:sz="4" w:space="0" w:color="auto"/>
              <w:right w:val="single" w:sz="4" w:space="0" w:color="auto"/>
            </w:tcBorders>
            <w:shd w:val="clear" w:color="auto" w:fill="auto"/>
            <w:vAlign w:val="center"/>
            <w:hideMark/>
          </w:tcPr>
          <w:p w14:paraId="004652A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Number of reports submitted to Council by 30 June</w:t>
            </w:r>
          </w:p>
        </w:tc>
        <w:tc>
          <w:tcPr>
            <w:tcW w:w="374" w:type="pct"/>
            <w:tcBorders>
              <w:top w:val="nil"/>
              <w:left w:val="nil"/>
              <w:bottom w:val="single" w:sz="4" w:space="0" w:color="auto"/>
              <w:right w:val="single" w:sz="4" w:space="0" w:color="auto"/>
            </w:tcBorders>
            <w:shd w:val="clear" w:color="auto" w:fill="auto"/>
            <w:vAlign w:val="center"/>
            <w:hideMark/>
          </w:tcPr>
          <w:p w14:paraId="24DC61E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 reports submitted to Council on Community support, youth development, Commemorative, ceremonial budget expenditure</w:t>
            </w:r>
          </w:p>
        </w:tc>
        <w:tc>
          <w:tcPr>
            <w:tcW w:w="305" w:type="pct"/>
            <w:tcBorders>
              <w:top w:val="nil"/>
              <w:left w:val="nil"/>
              <w:bottom w:val="single" w:sz="4" w:space="0" w:color="auto"/>
              <w:right w:val="single" w:sz="4" w:space="0" w:color="auto"/>
            </w:tcBorders>
            <w:shd w:val="clear" w:color="auto" w:fill="auto"/>
            <w:vAlign w:val="center"/>
            <w:hideMark/>
          </w:tcPr>
          <w:p w14:paraId="35A3862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30 September on community support, youth development, Commemorative, ceremonial budget expenditure</w:t>
            </w:r>
          </w:p>
        </w:tc>
        <w:tc>
          <w:tcPr>
            <w:tcW w:w="374" w:type="pct"/>
            <w:tcBorders>
              <w:top w:val="nil"/>
              <w:left w:val="nil"/>
              <w:bottom w:val="single" w:sz="4" w:space="0" w:color="auto"/>
              <w:right w:val="single" w:sz="4" w:space="0" w:color="auto"/>
            </w:tcBorders>
            <w:shd w:val="clear" w:color="auto" w:fill="auto"/>
            <w:vAlign w:val="center"/>
            <w:hideMark/>
          </w:tcPr>
          <w:p w14:paraId="5D5D40E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31 December on community support, youth development, Commemorative, ceremonial budget expenditure</w:t>
            </w:r>
          </w:p>
        </w:tc>
        <w:tc>
          <w:tcPr>
            <w:tcW w:w="305" w:type="pct"/>
            <w:tcBorders>
              <w:top w:val="nil"/>
              <w:left w:val="nil"/>
              <w:bottom w:val="single" w:sz="4" w:space="0" w:color="auto"/>
              <w:right w:val="single" w:sz="4" w:space="0" w:color="auto"/>
            </w:tcBorders>
            <w:shd w:val="clear" w:color="auto" w:fill="auto"/>
            <w:vAlign w:val="center"/>
            <w:hideMark/>
          </w:tcPr>
          <w:p w14:paraId="5D8EEDF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31 March on community support, youth development, Commemorative, ceremonial budget expenditure</w:t>
            </w:r>
          </w:p>
        </w:tc>
        <w:tc>
          <w:tcPr>
            <w:tcW w:w="374" w:type="pct"/>
            <w:tcBorders>
              <w:top w:val="nil"/>
              <w:left w:val="nil"/>
              <w:bottom w:val="single" w:sz="4" w:space="0" w:color="auto"/>
              <w:right w:val="single" w:sz="4" w:space="0" w:color="auto"/>
            </w:tcBorders>
            <w:shd w:val="clear" w:color="auto" w:fill="auto"/>
            <w:vAlign w:val="center"/>
            <w:hideMark/>
          </w:tcPr>
          <w:p w14:paraId="4F4C5B6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30 June on community support, youth development, Commemorative, ceremonial budget expenditure</w:t>
            </w:r>
          </w:p>
        </w:tc>
        <w:tc>
          <w:tcPr>
            <w:tcW w:w="251" w:type="pct"/>
            <w:tcBorders>
              <w:top w:val="nil"/>
              <w:left w:val="nil"/>
              <w:bottom w:val="single" w:sz="4" w:space="0" w:color="auto"/>
              <w:right w:val="single" w:sz="4" w:space="0" w:color="auto"/>
            </w:tcBorders>
            <w:shd w:val="clear" w:color="auto" w:fill="auto"/>
            <w:vAlign w:val="center"/>
            <w:hideMark/>
          </w:tcPr>
          <w:p w14:paraId="3F5C22A3"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1 712 000.00</w:t>
            </w:r>
          </w:p>
        </w:tc>
        <w:tc>
          <w:tcPr>
            <w:tcW w:w="146" w:type="pct"/>
            <w:tcBorders>
              <w:top w:val="nil"/>
              <w:left w:val="nil"/>
              <w:bottom w:val="single" w:sz="4" w:space="0" w:color="auto"/>
              <w:right w:val="single" w:sz="4" w:space="0" w:color="auto"/>
            </w:tcBorders>
            <w:shd w:val="clear" w:color="auto" w:fill="auto"/>
            <w:noWrap/>
            <w:vAlign w:val="center"/>
            <w:hideMark/>
          </w:tcPr>
          <w:p w14:paraId="4CA9B057"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w:t>
            </w:r>
          </w:p>
        </w:tc>
        <w:tc>
          <w:tcPr>
            <w:tcW w:w="278" w:type="pct"/>
            <w:tcBorders>
              <w:top w:val="nil"/>
              <w:left w:val="nil"/>
              <w:bottom w:val="single" w:sz="4" w:space="0" w:color="auto"/>
              <w:right w:val="single" w:sz="4" w:space="0" w:color="auto"/>
            </w:tcBorders>
            <w:shd w:val="clear" w:color="auto" w:fill="auto"/>
            <w:vAlign w:val="center"/>
            <w:hideMark/>
          </w:tcPr>
          <w:p w14:paraId="24DECD6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MAYORAL OFFICE</w:t>
            </w:r>
          </w:p>
        </w:tc>
        <w:tc>
          <w:tcPr>
            <w:tcW w:w="170" w:type="pct"/>
            <w:tcBorders>
              <w:top w:val="nil"/>
              <w:left w:val="nil"/>
              <w:bottom w:val="single" w:sz="4" w:space="0" w:color="auto"/>
              <w:right w:val="single" w:sz="4" w:space="0" w:color="auto"/>
            </w:tcBorders>
            <w:shd w:val="clear" w:color="auto" w:fill="auto"/>
            <w:vAlign w:val="center"/>
            <w:hideMark/>
          </w:tcPr>
          <w:p w14:paraId="1279B89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23731F98" w14:textId="77777777" w:rsidTr="008A0277">
        <w:trPr>
          <w:trHeight w:val="1557"/>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7890C6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Inadequate financial performance</w:t>
            </w:r>
          </w:p>
        </w:tc>
        <w:tc>
          <w:tcPr>
            <w:tcW w:w="136" w:type="pct"/>
            <w:tcBorders>
              <w:top w:val="nil"/>
              <w:left w:val="nil"/>
              <w:bottom w:val="single" w:sz="4" w:space="0" w:color="auto"/>
              <w:right w:val="single" w:sz="4" w:space="0" w:color="auto"/>
            </w:tcBorders>
            <w:shd w:val="clear" w:color="auto" w:fill="auto"/>
            <w:noWrap/>
            <w:vAlign w:val="center"/>
            <w:hideMark/>
          </w:tcPr>
          <w:p w14:paraId="1FADA7E2"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TL3</w:t>
            </w:r>
          </w:p>
        </w:tc>
        <w:tc>
          <w:tcPr>
            <w:tcW w:w="141" w:type="pct"/>
            <w:tcBorders>
              <w:top w:val="nil"/>
              <w:left w:val="nil"/>
              <w:bottom w:val="single" w:sz="4" w:space="0" w:color="auto"/>
              <w:right w:val="single" w:sz="4" w:space="0" w:color="auto"/>
            </w:tcBorders>
            <w:shd w:val="clear" w:color="auto" w:fill="auto"/>
            <w:noWrap/>
            <w:vAlign w:val="center"/>
            <w:hideMark/>
          </w:tcPr>
          <w:p w14:paraId="640E421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E5.2-3</w:t>
            </w:r>
          </w:p>
        </w:tc>
        <w:tc>
          <w:tcPr>
            <w:tcW w:w="269" w:type="pct"/>
            <w:tcBorders>
              <w:top w:val="nil"/>
              <w:left w:val="nil"/>
              <w:bottom w:val="single" w:sz="4" w:space="0" w:color="auto"/>
              <w:right w:val="single" w:sz="4" w:space="0" w:color="auto"/>
            </w:tcBorders>
            <w:shd w:val="clear" w:color="auto" w:fill="auto"/>
            <w:vAlign w:val="center"/>
            <w:hideMark/>
          </w:tcPr>
          <w:p w14:paraId="120B81D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responsive and accountable, effective and efficient local government system</w:t>
            </w:r>
          </w:p>
        </w:tc>
        <w:tc>
          <w:tcPr>
            <w:tcW w:w="280" w:type="pct"/>
            <w:tcBorders>
              <w:top w:val="nil"/>
              <w:left w:val="nil"/>
              <w:bottom w:val="single" w:sz="4" w:space="0" w:color="auto"/>
              <w:right w:val="single" w:sz="4" w:space="0" w:color="auto"/>
            </w:tcBorders>
            <w:shd w:val="clear" w:color="auto" w:fill="auto"/>
            <w:vAlign w:val="center"/>
            <w:hideMark/>
          </w:tcPr>
          <w:p w14:paraId="5E81FCF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80" w:type="pct"/>
            <w:tcBorders>
              <w:top w:val="nil"/>
              <w:left w:val="nil"/>
              <w:bottom w:val="single" w:sz="4" w:space="0" w:color="auto"/>
              <w:right w:val="single" w:sz="4" w:space="0" w:color="auto"/>
            </w:tcBorders>
            <w:shd w:val="clear" w:color="auto" w:fill="auto"/>
            <w:vAlign w:val="center"/>
            <w:hideMark/>
          </w:tcPr>
          <w:p w14:paraId="3BD3397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78" w:type="pct"/>
            <w:tcBorders>
              <w:top w:val="nil"/>
              <w:left w:val="nil"/>
              <w:bottom w:val="single" w:sz="4" w:space="0" w:color="auto"/>
              <w:right w:val="single" w:sz="4" w:space="0" w:color="auto"/>
            </w:tcBorders>
            <w:shd w:val="clear" w:color="auto" w:fill="auto"/>
            <w:vAlign w:val="center"/>
            <w:hideMark/>
          </w:tcPr>
          <w:p w14:paraId="315190D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ensure continued sound financial management</w:t>
            </w:r>
          </w:p>
        </w:tc>
        <w:tc>
          <w:tcPr>
            <w:tcW w:w="374" w:type="pct"/>
            <w:tcBorders>
              <w:top w:val="nil"/>
              <w:left w:val="nil"/>
              <w:bottom w:val="single" w:sz="4" w:space="0" w:color="auto"/>
              <w:right w:val="single" w:sz="4" w:space="0" w:color="auto"/>
            </w:tcBorders>
            <w:shd w:val="clear" w:color="auto" w:fill="auto"/>
            <w:vAlign w:val="center"/>
            <w:hideMark/>
          </w:tcPr>
          <w:p w14:paraId="212E111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Undertake annual stock count of inventory at stores by 30 June </w:t>
            </w:r>
          </w:p>
        </w:tc>
        <w:tc>
          <w:tcPr>
            <w:tcW w:w="374" w:type="pct"/>
            <w:tcBorders>
              <w:top w:val="nil"/>
              <w:left w:val="nil"/>
              <w:bottom w:val="single" w:sz="4" w:space="0" w:color="auto"/>
              <w:right w:val="single" w:sz="4" w:space="0" w:color="auto"/>
            </w:tcBorders>
            <w:shd w:val="clear" w:color="auto" w:fill="auto"/>
            <w:vAlign w:val="center"/>
            <w:hideMark/>
          </w:tcPr>
          <w:p w14:paraId="7F52BE2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Date of completion of annual stock count of inventory </w:t>
            </w:r>
          </w:p>
        </w:tc>
        <w:tc>
          <w:tcPr>
            <w:tcW w:w="374" w:type="pct"/>
            <w:tcBorders>
              <w:top w:val="nil"/>
              <w:left w:val="nil"/>
              <w:bottom w:val="single" w:sz="4" w:space="0" w:color="auto"/>
              <w:right w:val="single" w:sz="4" w:space="0" w:color="auto"/>
            </w:tcBorders>
            <w:shd w:val="clear" w:color="auto" w:fill="auto"/>
            <w:vAlign w:val="center"/>
            <w:hideMark/>
          </w:tcPr>
          <w:p w14:paraId="2454CDD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Annual stock count of inventory at stores undertaken by 30 June</w:t>
            </w:r>
          </w:p>
        </w:tc>
        <w:tc>
          <w:tcPr>
            <w:tcW w:w="305" w:type="pct"/>
            <w:tcBorders>
              <w:top w:val="nil"/>
              <w:left w:val="nil"/>
              <w:bottom w:val="single" w:sz="4" w:space="0" w:color="auto"/>
              <w:right w:val="single" w:sz="4" w:space="0" w:color="auto"/>
            </w:tcBorders>
            <w:shd w:val="clear" w:color="auto" w:fill="auto"/>
            <w:vAlign w:val="center"/>
            <w:hideMark/>
          </w:tcPr>
          <w:p w14:paraId="646A2AB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57F4A3D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05" w:type="pct"/>
            <w:tcBorders>
              <w:top w:val="nil"/>
              <w:left w:val="nil"/>
              <w:bottom w:val="single" w:sz="4" w:space="0" w:color="auto"/>
              <w:right w:val="single" w:sz="4" w:space="0" w:color="auto"/>
            </w:tcBorders>
            <w:shd w:val="clear" w:color="auto" w:fill="auto"/>
            <w:vAlign w:val="center"/>
            <w:hideMark/>
          </w:tcPr>
          <w:p w14:paraId="5F3F2DC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15CBF2A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Annual Stock count of inventory at stores undertaken by 30 June</w:t>
            </w:r>
          </w:p>
        </w:tc>
        <w:tc>
          <w:tcPr>
            <w:tcW w:w="251" w:type="pct"/>
            <w:tcBorders>
              <w:top w:val="nil"/>
              <w:left w:val="nil"/>
              <w:bottom w:val="single" w:sz="4" w:space="0" w:color="auto"/>
              <w:right w:val="single" w:sz="4" w:space="0" w:color="auto"/>
            </w:tcBorders>
            <w:shd w:val="clear" w:color="auto" w:fill="auto"/>
            <w:vAlign w:val="center"/>
            <w:hideMark/>
          </w:tcPr>
          <w:p w14:paraId="4C27BAF7"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10 379 040.00</w:t>
            </w:r>
          </w:p>
        </w:tc>
        <w:tc>
          <w:tcPr>
            <w:tcW w:w="146" w:type="pct"/>
            <w:tcBorders>
              <w:top w:val="nil"/>
              <w:left w:val="nil"/>
              <w:bottom w:val="single" w:sz="4" w:space="0" w:color="auto"/>
              <w:right w:val="single" w:sz="4" w:space="0" w:color="auto"/>
            </w:tcBorders>
            <w:shd w:val="clear" w:color="auto" w:fill="auto"/>
            <w:noWrap/>
            <w:vAlign w:val="center"/>
            <w:hideMark/>
          </w:tcPr>
          <w:p w14:paraId="2B3C8394"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w:t>
            </w:r>
          </w:p>
        </w:tc>
        <w:tc>
          <w:tcPr>
            <w:tcW w:w="278" w:type="pct"/>
            <w:tcBorders>
              <w:top w:val="nil"/>
              <w:left w:val="nil"/>
              <w:bottom w:val="single" w:sz="4" w:space="0" w:color="auto"/>
              <w:right w:val="single" w:sz="4" w:space="0" w:color="auto"/>
            </w:tcBorders>
            <w:shd w:val="clear" w:color="auto" w:fill="auto"/>
            <w:vAlign w:val="center"/>
            <w:hideMark/>
          </w:tcPr>
          <w:p w14:paraId="4B90832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MAYORAL OFFICE</w:t>
            </w:r>
          </w:p>
        </w:tc>
        <w:tc>
          <w:tcPr>
            <w:tcW w:w="170" w:type="pct"/>
            <w:tcBorders>
              <w:top w:val="nil"/>
              <w:left w:val="nil"/>
              <w:bottom w:val="single" w:sz="4" w:space="0" w:color="auto"/>
              <w:right w:val="single" w:sz="4" w:space="0" w:color="auto"/>
            </w:tcBorders>
            <w:shd w:val="clear" w:color="auto" w:fill="auto"/>
            <w:vAlign w:val="center"/>
            <w:hideMark/>
          </w:tcPr>
          <w:p w14:paraId="0205615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6DBB2CEB" w14:textId="77777777" w:rsidTr="008A0277">
        <w:trPr>
          <w:trHeight w:val="210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28FC26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Inadequate financial performance</w:t>
            </w:r>
          </w:p>
        </w:tc>
        <w:tc>
          <w:tcPr>
            <w:tcW w:w="136" w:type="pct"/>
            <w:tcBorders>
              <w:top w:val="nil"/>
              <w:left w:val="nil"/>
              <w:bottom w:val="single" w:sz="4" w:space="0" w:color="auto"/>
              <w:right w:val="single" w:sz="4" w:space="0" w:color="auto"/>
            </w:tcBorders>
            <w:shd w:val="clear" w:color="auto" w:fill="auto"/>
            <w:noWrap/>
            <w:vAlign w:val="center"/>
            <w:hideMark/>
          </w:tcPr>
          <w:p w14:paraId="30225631"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TL4</w:t>
            </w:r>
          </w:p>
        </w:tc>
        <w:tc>
          <w:tcPr>
            <w:tcW w:w="141" w:type="pct"/>
            <w:tcBorders>
              <w:top w:val="nil"/>
              <w:left w:val="nil"/>
              <w:bottom w:val="single" w:sz="4" w:space="0" w:color="auto"/>
              <w:right w:val="single" w:sz="4" w:space="0" w:color="auto"/>
            </w:tcBorders>
            <w:shd w:val="clear" w:color="auto" w:fill="auto"/>
            <w:noWrap/>
            <w:vAlign w:val="center"/>
            <w:hideMark/>
          </w:tcPr>
          <w:p w14:paraId="30516F0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E5.2-4</w:t>
            </w:r>
          </w:p>
        </w:tc>
        <w:tc>
          <w:tcPr>
            <w:tcW w:w="269" w:type="pct"/>
            <w:tcBorders>
              <w:top w:val="nil"/>
              <w:left w:val="nil"/>
              <w:bottom w:val="single" w:sz="4" w:space="0" w:color="auto"/>
              <w:right w:val="single" w:sz="4" w:space="0" w:color="auto"/>
            </w:tcBorders>
            <w:shd w:val="clear" w:color="auto" w:fill="auto"/>
            <w:vAlign w:val="center"/>
            <w:hideMark/>
          </w:tcPr>
          <w:p w14:paraId="3F1DB94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responsive and accountable, effective and efficient local government system</w:t>
            </w:r>
          </w:p>
        </w:tc>
        <w:tc>
          <w:tcPr>
            <w:tcW w:w="280" w:type="pct"/>
            <w:tcBorders>
              <w:top w:val="nil"/>
              <w:left w:val="nil"/>
              <w:bottom w:val="single" w:sz="4" w:space="0" w:color="auto"/>
              <w:right w:val="single" w:sz="4" w:space="0" w:color="auto"/>
            </w:tcBorders>
            <w:shd w:val="clear" w:color="auto" w:fill="auto"/>
            <w:vAlign w:val="center"/>
            <w:hideMark/>
          </w:tcPr>
          <w:p w14:paraId="7259F98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80" w:type="pct"/>
            <w:tcBorders>
              <w:top w:val="nil"/>
              <w:left w:val="nil"/>
              <w:bottom w:val="single" w:sz="4" w:space="0" w:color="auto"/>
              <w:right w:val="single" w:sz="4" w:space="0" w:color="auto"/>
            </w:tcBorders>
            <w:shd w:val="clear" w:color="auto" w:fill="auto"/>
            <w:vAlign w:val="center"/>
            <w:hideMark/>
          </w:tcPr>
          <w:p w14:paraId="00C6082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78" w:type="pct"/>
            <w:tcBorders>
              <w:top w:val="nil"/>
              <w:left w:val="nil"/>
              <w:bottom w:val="single" w:sz="4" w:space="0" w:color="auto"/>
              <w:right w:val="single" w:sz="4" w:space="0" w:color="auto"/>
            </w:tcBorders>
            <w:shd w:val="clear" w:color="auto" w:fill="auto"/>
            <w:vAlign w:val="center"/>
            <w:hideMark/>
          </w:tcPr>
          <w:p w14:paraId="4834B4A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ensure continued sound financial management</w:t>
            </w:r>
          </w:p>
        </w:tc>
        <w:tc>
          <w:tcPr>
            <w:tcW w:w="374" w:type="pct"/>
            <w:tcBorders>
              <w:top w:val="nil"/>
              <w:left w:val="nil"/>
              <w:bottom w:val="single" w:sz="4" w:space="0" w:color="auto"/>
              <w:right w:val="single" w:sz="4" w:space="0" w:color="auto"/>
            </w:tcBorders>
            <w:shd w:val="clear" w:color="auto" w:fill="auto"/>
            <w:vAlign w:val="center"/>
            <w:hideMark/>
          </w:tcPr>
          <w:p w14:paraId="2902A89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Submit quarterly reports to Council on Employee related costs expenditure </w:t>
            </w:r>
          </w:p>
        </w:tc>
        <w:tc>
          <w:tcPr>
            <w:tcW w:w="374" w:type="pct"/>
            <w:tcBorders>
              <w:top w:val="nil"/>
              <w:left w:val="nil"/>
              <w:bottom w:val="single" w:sz="4" w:space="0" w:color="auto"/>
              <w:right w:val="single" w:sz="4" w:space="0" w:color="auto"/>
            </w:tcBorders>
            <w:shd w:val="clear" w:color="auto" w:fill="auto"/>
            <w:vAlign w:val="center"/>
            <w:hideMark/>
          </w:tcPr>
          <w:p w14:paraId="660A397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Number of reports submitted to Council by 30 June</w:t>
            </w:r>
          </w:p>
        </w:tc>
        <w:tc>
          <w:tcPr>
            <w:tcW w:w="374" w:type="pct"/>
            <w:tcBorders>
              <w:top w:val="nil"/>
              <w:left w:val="nil"/>
              <w:bottom w:val="single" w:sz="4" w:space="0" w:color="auto"/>
              <w:right w:val="single" w:sz="4" w:space="0" w:color="auto"/>
            </w:tcBorders>
            <w:shd w:val="clear" w:color="auto" w:fill="auto"/>
            <w:vAlign w:val="center"/>
            <w:hideMark/>
          </w:tcPr>
          <w:p w14:paraId="314C56B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 reports submitted to Council by 30 June on employee related cost expenditure</w:t>
            </w:r>
          </w:p>
        </w:tc>
        <w:tc>
          <w:tcPr>
            <w:tcW w:w="305" w:type="pct"/>
            <w:tcBorders>
              <w:top w:val="nil"/>
              <w:left w:val="nil"/>
              <w:bottom w:val="single" w:sz="4" w:space="0" w:color="auto"/>
              <w:right w:val="single" w:sz="4" w:space="0" w:color="auto"/>
            </w:tcBorders>
            <w:shd w:val="clear" w:color="auto" w:fill="auto"/>
            <w:vAlign w:val="center"/>
            <w:hideMark/>
          </w:tcPr>
          <w:p w14:paraId="58A6757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30 September  on Employee related costs</w:t>
            </w:r>
          </w:p>
        </w:tc>
        <w:tc>
          <w:tcPr>
            <w:tcW w:w="374" w:type="pct"/>
            <w:tcBorders>
              <w:top w:val="nil"/>
              <w:left w:val="nil"/>
              <w:bottom w:val="single" w:sz="4" w:space="0" w:color="auto"/>
              <w:right w:val="single" w:sz="4" w:space="0" w:color="auto"/>
            </w:tcBorders>
            <w:shd w:val="clear" w:color="auto" w:fill="auto"/>
            <w:vAlign w:val="center"/>
            <w:hideMark/>
          </w:tcPr>
          <w:p w14:paraId="04F4C2F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31 December  on Employee related costs</w:t>
            </w:r>
          </w:p>
        </w:tc>
        <w:tc>
          <w:tcPr>
            <w:tcW w:w="305" w:type="pct"/>
            <w:tcBorders>
              <w:top w:val="nil"/>
              <w:left w:val="nil"/>
              <w:bottom w:val="single" w:sz="4" w:space="0" w:color="auto"/>
              <w:right w:val="single" w:sz="4" w:space="0" w:color="auto"/>
            </w:tcBorders>
            <w:shd w:val="clear" w:color="auto" w:fill="auto"/>
            <w:vAlign w:val="center"/>
            <w:hideMark/>
          </w:tcPr>
          <w:p w14:paraId="3CE8B08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31 March on Employee related costs</w:t>
            </w:r>
          </w:p>
        </w:tc>
        <w:tc>
          <w:tcPr>
            <w:tcW w:w="374" w:type="pct"/>
            <w:tcBorders>
              <w:top w:val="nil"/>
              <w:left w:val="nil"/>
              <w:bottom w:val="single" w:sz="4" w:space="0" w:color="auto"/>
              <w:right w:val="single" w:sz="4" w:space="0" w:color="auto"/>
            </w:tcBorders>
            <w:shd w:val="clear" w:color="auto" w:fill="auto"/>
            <w:vAlign w:val="center"/>
            <w:hideMark/>
          </w:tcPr>
          <w:p w14:paraId="45C8543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30 June on Employee related costs</w:t>
            </w:r>
          </w:p>
        </w:tc>
        <w:tc>
          <w:tcPr>
            <w:tcW w:w="251" w:type="pct"/>
            <w:tcBorders>
              <w:top w:val="nil"/>
              <w:left w:val="nil"/>
              <w:bottom w:val="single" w:sz="4" w:space="0" w:color="auto"/>
              <w:right w:val="single" w:sz="4" w:space="0" w:color="auto"/>
            </w:tcBorders>
            <w:shd w:val="clear" w:color="auto" w:fill="auto"/>
            <w:vAlign w:val="center"/>
            <w:hideMark/>
          </w:tcPr>
          <w:p w14:paraId="315314BA"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115 603 110.00</w:t>
            </w:r>
          </w:p>
        </w:tc>
        <w:tc>
          <w:tcPr>
            <w:tcW w:w="146" w:type="pct"/>
            <w:tcBorders>
              <w:top w:val="nil"/>
              <w:left w:val="nil"/>
              <w:bottom w:val="single" w:sz="4" w:space="0" w:color="auto"/>
              <w:right w:val="single" w:sz="4" w:space="0" w:color="auto"/>
            </w:tcBorders>
            <w:shd w:val="clear" w:color="auto" w:fill="auto"/>
            <w:noWrap/>
            <w:vAlign w:val="center"/>
            <w:hideMark/>
          </w:tcPr>
          <w:p w14:paraId="5B4EE222"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w:t>
            </w:r>
          </w:p>
        </w:tc>
        <w:tc>
          <w:tcPr>
            <w:tcW w:w="278" w:type="pct"/>
            <w:tcBorders>
              <w:top w:val="nil"/>
              <w:left w:val="nil"/>
              <w:bottom w:val="single" w:sz="4" w:space="0" w:color="auto"/>
              <w:right w:val="single" w:sz="4" w:space="0" w:color="auto"/>
            </w:tcBorders>
            <w:shd w:val="clear" w:color="auto" w:fill="auto"/>
            <w:vAlign w:val="center"/>
            <w:hideMark/>
          </w:tcPr>
          <w:p w14:paraId="7C4625E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MAYORAL OFFICE</w:t>
            </w:r>
          </w:p>
        </w:tc>
        <w:tc>
          <w:tcPr>
            <w:tcW w:w="170" w:type="pct"/>
            <w:tcBorders>
              <w:top w:val="nil"/>
              <w:left w:val="nil"/>
              <w:bottom w:val="single" w:sz="4" w:space="0" w:color="auto"/>
              <w:right w:val="single" w:sz="4" w:space="0" w:color="auto"/>
            </w:tcBorders>
            <w:shd w:val="clear" w:color="auto" w:fill="auto"/>
            <w:vAlign w:val="center"/>
            <w:hideMark/>
          </w:tcPr>
          <w:p w14:paraId="2A28791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7C934542" w14:textId="77777777" w:rsidTr="008A0277">
        <w:trPr>
          <w:trHeight w:val="155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0B715F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Poor public participation initiatives</w:t>
            </w:r>
          </w:p>
        </w:tc>
        <w:tc>
          <w:tcPr>
            <w:tcW w:w="136" w:type="pct"/>
            <w:tcBorders>
              <w:top w:val="nil"/>
              <w:left w:val="nil"/>
              <w:bottom w:val="single" w:sz="4" w:space="0" w:color="auto"/>
              <w:right w:val="single" w:sz="4" w:space="0" w:color="auto"/>
            </w:tcBorders>
            <w:shd w:val="clear" w:color="auto" w:fill="auto"/>
            <w:noWrap/>
            <w:vAlign w:val="center"/>
            <w:hideMark/>
          </w:tcPr>
          <w:p w14:paraId="4AD2F328"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TL5</w:t>
            </w:r>
          </w:p>
        </w:tc>
        <w:tc>
          <w:tcPr>
            <w:tcW w:w="141" w:type="pct"/>
            <w:tcBorders>
              <w:top w:val="nil"/>
              <w:left w:val="nil"/>
              <w:bottom w:val="single" w:sz="4" w:space="0" w:color="auto"/>
              <w:right w:val="single" w:sz="4" w:space="0" w:color="auto"/>
            </w:tcBorders>
            <w:shd w:val="clear" w:color="auto" w:fill="auto"/>
            <w:noWrap/>
            <w:vAlign w:val="center"/>
            <w:hideMark/>
          </w:tcPr>
          <w:p w14:paraId="19C72F7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E5.2-5</w:t>
            </w:r>
          </w:p>
        </w:tc>
        <w:tc>
          <w:tcPr>
            <w:tcW w:w="269" w:type="pct"/>
            <w:tcBorders>
              <w:top w:val="nil"/>
              <w:left w:val="nil"/>
              <w:bottom w:val="single" w:sz="4" w:space="0" w:color="auto"/>
              <w:right w:val="single" w:sz="4" w:space="0" w:color="auto"/>
            </w:tcBorders>
            <w:shd w:val="clear" w:color="auto" w:fill="auto"/>
            <w:vAlign w:val="center"/>
            <w:hideMark/>
          </w:tcPr>
          <w:p w14:paraId="0975556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development-orientated public service and inclusive citizenship</w:t>
            </w:r>
          </w:p>
        </w:tc>
        <w:tc>
          <w:tcPr>
            <w:tcW w:w="280" w:type="pct"/>
            <w:tcBorders>
              <w:top w:val="nil"/>
              <w:left w:val="nil"/>
              <w:bottom w:val="single" w:sz="4" w:space="0" w:color="auto"/>
              <w:right w:val="single" w:sz="4" w:space="0" w:color="auto"/>
            </w:tcBorders>
            <w:shd w:val="clear" w:color="auto" w:fill="auto"/>
            <w:vAlign w:val="center"/>
            <w:hideMark/>
          </w:tcPr>
          <w:p w14:paraId="75593FF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Good Governance and Public Participation</w:t>
            </w:r>
          </w:p>
        </w:tc>
        <w:tc>
          <w:tcPr>
            <w:tcW w:w="280" w:type="pct"/>
            <w:tcBorders>
              <w:top w:val="nil"/>
              <w:left w:val="nil"/>
              <w:bottom w:val="single" w:sz="4" w:space="0" w:color="auto"/>
              <w:right w:val="single" w:sz="4" w:space="0" w:color="auto"/>
            </w:tcBorders>
            <w:shd w:val="clear" w:color="auto" w:fill="auto"/>
            <w:vAlign w:val="center"/>
            <w:hideMark/>
          </w:tcPr>
          <w:p w14:paraId="7BF76C0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Good Governance and Public Participation</w:t>
            </w:r>
          </w:p>
        </w:tc>
        <w:tc>
          <w:tcPr>
            <w:tcW w:w="278" w:type="pct"/>
            <w:tcBorders>
              <w:top w:val="nil"/>
              <w:left w:val="nil"/>
              <w:bottom w:val="single" w:sz="4" w:space="0" w:color="auto"/>
              <w:right w:val="single" w:sz="4" w:space="0" w:color="auto"/>
            </w:tcBorders>
            <w:shd w:val="clear" w:color="auto" w:fill="auto"/>
            <w:vAlign w:val="center"/>
            <w:hideMark/>
          </w:tcPr>
          <w:p w14:paraId="5DF904A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promote a culture of participatory democracy and social cohesion</w:t>
            </w:r>
          </w:p>
        </w:tc>
        <w:tc>
          <w:tcPr>
            <w:tcW w:w="374" w:type="pct"/>
            <w:tcBorders>
              <w:top w:val="nil"/>
              <w:left w:val="nil"/>
              <w:bottom w:val="single" w:sz="4" w:space="0" w:color="auto"/>
              <w:right w:val="single" w:sz="4" w:space="0" w:color="auto"/>
            </w:tcBorders>
            <w:shd w:val="clear" w:color="auto" w:fill="auto"/>
            <w:vAlign w:val="center"/>
            <w:hideMark/>
          </w:tcPr>
          <w:p w14:paraId="3534D4C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Submit quarterly reports to Council on the activities undertaken by the communication unit on Municipal Communication</w:t>
            </w:r>
          </w:p>
        </w:tc>
        <w:tc>
          <w:tcPr>
            <w:tcW w:w="374" w:type="pct"/>
            <w:tcBorders>
              <w:top w:val="nil"/>
              <w:left w:val="nil"/>
              <w:bottom w:val="single" w:sz="4" w:space="0" w:color="auto"/>
              <w:right w:val="single" w:sz="4" w:space="0" w:color="auto"/>
            </w:tcBorders>
            <w:shd w:val="clear" w:color="auto" w:fill="auto"/>
            <w:vAlign w:val="center"/>
            <w:hideMark/>
          </w:tcPr>
          <w:p w14:paraId="46D3F37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Number of reports submitted to Council by 30 June</w:t>
            </w:r>
          </w:p>
        </w:tc>
        <w:tc>
          <w:tcPr>
            <w:tcW w:w="374" w:type="pct"/>
            <w:tcBorders>
              <w:top w:val="nil"/>
              <w:left w:val="nil"/>
              <w:bottom w:val="single" w:sz="4" w:space="0" w:color="auto"/>
              <w:right w:val="single" w:sz="4" w:space="0" w:color="auto"/>
            </w:tcBorders>
            <w:shd w:val="clear" w:color="auto" w:fill="auto"/>
            <w:vAlign w:val="center"/>
            <w:hideMark/>
          </w:tcPr>
          <w:p w14:paraId="4C3105C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 reports submitted to Council by 30 June on the activities undertaken by the Communication unit on Municipal Communication</w:t>
            </w:r>
          </w:p>
        </w:tc>
        <w:tc>
          <w:tcPr>
            <w:tcW w:w="305" w:type="pct"/>
            <w:tcBorders>
              <w:top w:val="nil"/>
              <w:left w:val="nil"/>
              <w:bottom w:val="single" w:sz="4" w:space="0" w:color="auto"/>
              <w:right w:val="single" w:sz="4" w:space="0" w:color="auto"/>
            </w:tcBorders>
            <w:shd w:val="clear" w:color="auto" w:fill="auto"/>
            <w:vAlign w:val="center"/>
            <w:hideMark/>
          </w:tcPr>
          <w:p w14:paraId="0FB6CD4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30 September on the activities undertaken by the communication unit on Municipal Communication</w:t>
            </w:r>
          </w:p>
        </w:tc>
        <w:tc>
          <w:tcPr>
            <w:tcW w:w="374" w:type="pct"/>
            <w:tcBorders>
              <w:top w:val="nil"/>
              <w:left w:val="nil"/>
              <w:bottom w:val="single" w:sz="4" w:space="0" w:color="auto"/>
              <w:right w:val="single" w:sz="4" w:space="0" w:color="auto"/>
            </w:tcBorders>
            <w:shd w:val="clear" w:color="auto" w:fill="auto"/>
            <w:vAlign w:val="center"/>
            <w:hideMark/>
          </w:tcPr>
          <w:p w14:paraId="72EDE28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31 December on the activities undertaken by the communication unit on Municipal Communication</w:t>
            </w:r>
          </w:p>
        </w:tc>
        <w:tc>
          <w:tcPr>
            <w:tcW w:w="305" w:type="pct"/>
            <w:tcBorders>
              <w:top w:val="nil"/>
              <w:left w:val="nil"/>
              <w:bottom w:val="single" w:sz="4" w:space="0" w:color="auto"/>
              <w:right w:val="single" w:sz="4" w:space="0" w:color="auto"/>
            </w:tcBorders>
            <w:shd w:val="clear" w:color="auto" w:fill="auto"/>
            <w:vAlign w:val="center"/>
            <w:hideMark/>
          </w:tcPr>
          <w:p w14:paraId="2B19192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31 March on the activities undertaken by the communication unit on Municipal Communication</w:t>
            </w:r>
          </w:p>
        </w:tc>
        <w:tc>
          <w:tcPr>
            <w:tcW w:w="374" w:type="pct"/>
            <w:tcBorders>
              <w:top w:val="nil"/>
              <w:left w:val="nil"/>
              <w:bottom w:val="single" w:sz="4" w:space="0" w:color="auto"/>
              <w:right w:val="single" w:sz="4" w:space="0" w:color="auto"/>
            </w:tcBorders>
            <w:shd w:val="clear" w:color="auto" w:fill="auto"/>
            <w:vAlign w:val="center"/>
            <w:hideMark/>
          </w:tcPr>
          <w:p w14:paraId="7CE7F18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30 June on the activities undertaken by the communication unit on Municipal Communication</w:t>
            </w:r>
          </w:p>
        </w:tc>
        <w:tc>
          <w:tcPr>
            <w:tcW w:w="251" w:type="pct"/>
            <w:tcBorders>
              <w:top w:val="nil"/>
              <w:left w:val="nil"/>
              <w:bottom w:val="single" w:sz="4" w:space="0" w:color="auto"/>
              <w:right w:val="single" w:sz="4" w:space="0" w:color="auto"/>
            </w:tcBorders>
            <w:shd w:val="clear" w:color="auto" w:fill="auto"/>
            <w:vAlign w:val="center"/>
            <w:hideMark/>
          </w:tcPr>
          <w:p w14:paraId="69296629"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6 674 980.00</w:t>
            </w:r>
          </w:p>
        </w:tc>
        <w:tc>
          <w:tcPr>
            <w:tcW w:w="146" w:type="pct"/>
            <w:tcBorders>
              <w:top w:val="nil"/>
              <w:left w:val="nil"/>
              <w:bottom w:val="single" w:sz="4" w:space="0" w:color="auto"/>
              <w:right w:val="single" w:sz="4" w:space="0" w:color="auto"/>
            </w:tcBorders>
            <w:shd w:val="clear" w:color="auto" w:fill="auto"/>
            <w:noWrap/>
            <w:vAlign w:val="center"/>
            <w:hideMark/>
          </w:tcPr>
          <w:p w14:paraId="744133FE"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w:t>
            </w:r>
          </w:p>
        </w:tc>
        <w:tc>
          <w:tcPr>
            <w:tcW w:w="278" w:type="pct"/>
            <w:tcBorders>
              <w:top w:val="nil"/>
              <w:left w:val="nil"/>
              <w:bottom w:val="single" w:sz="4" w:space="0" w:color="auto"/>
              <w:right w:val="single" w:sz="4" w:space="0" w:color="auto"/>
            </w:tcBorders>
            <w:shd w:val="clear" w:color="auto" w:fill="auto"/>
            <w:vAlign w:val="center"/>
            <w:hideMark/>
          </w:tcPr>
          <w:p w14:paraId="0474963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MAYORAL OFFICE</w:t>
            </w:r>
          </w:p>
        </w:tc>
        <w:tc>
          <w:tcPr>
            <w:tcW w:w="170" w:type="pct"/>
            <w:tcBorders>
              <w:top w:val="nil"/>
              <w:left w:val="nil"/>
              <w:bottom w:val="single" w:sz="4" w:space="0" w:color="auto"/>
              <w:right w:val="single" w:sz="4" w:space="0" w:color="auto"/>
            </w:tcBorders>
            <w:shd w:val="clear" w:color="auto" w:fill="auto"/>
            <w:vAlign w:val="center"/>
            <w:hideMark/>
          </w:tcPr>
          <w:p w14:paraId="07B3175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5C02279C" w14:textId="77777777" w:rsidTr="008A0277">
        <w:trPr>
          <w:trHeight w:val="1207"/>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8D5015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Insufficient skills developemnt</w:t>
            </w:r>
          </w:p>
        </w:tc>
        <w:tc>
          <w:tcPr>
            <w:tcW w:w="136" w:type="pct"/>
            <w:tcBorders>
              <w:top w:val="nil"/>
              <w:left w:val="nil"/>
              <w:bottom w:val="single" w:sz="4" w:space="0" w:color="auto"/>
              <w:right w:val="single" w:sz="4" w:space="0" w:color="auto"/>
            </w:tcBorders>
            <w:shd w:val="clear" w:color="auto" w:fill="auto"/>
            <w:noWrap/>
            <w:vAlign w:val="center"/>
            <w:hideMark/>
          </w:tcPr>
          <w:p w14:paraId="5EA06281"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TL6</w:t>
            </w:r>
          </w:p>
        </w:tc>
        <w:tc>
          <w:tcPr>
            <w:tcW w:w="141" w:type="pct"/>
            <w:tcBorders>
              <w:top w:val="nil"/>
              <w:left w:val="nil"/>
              <w:bottom w:val="single" w:sz="4" w:space="0" w:color="auto"/>
              <w:right w:val="single" w:sz="4" w:space="0" w:color="auto"/>
            </w:tcBorders>
            <w:shd w:val="clear" w:color="auto" w:fill="auto"/>
            <w:noWrap/>
            <w:vAlign w:val="center"/>
            <w:hideMark/>
          </w:tcPr>
          <w:p w14:paraId="49EFE62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E5.2-6</w:t>
            </w:r>
          </w:p>
        </w:tc>
        <w:tc>
          <w:tcPr>
            <w:tcW w:w="269" w:type="pct"/>
            <w:tcBorders>
              <w:top w:val="nil"/>
              <w:left w:val="nil"/>
              <w:bottom w:val="single" w:sz="4" w:space="0" w:color="auto"/>
              <w:right w:val="single" w:sz="4" w:space="0" w:color="auto"/>
            </w:tcBorders>
            <w:shd w:val="clear" w:color="auto" w:fill="auto"/>
            <w:vAlign w:val="center"/>
            <w:hideMark/>
          </w:tcPr>
          <w:p w14:paraId="135D203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skilled and capable workforce to support inclusive growth</w:t>
            </w:r>
          </w:p>
        </w:tc>
        <w:tc>
          <w:tcPr>
            <w:tcW w:w="280" w:type="pct"/>
            <w:tcBorders>
              <w:top w:val="nil"/>
              <w:left w:val="nil"/>
              <w:bottom w:val="single" w:sz="4" w:space="0" w:color="auto"/>
              <w:right w:val="single" w:sz="4" w:space="0" w:color="auto"/>
            </w:tcBorders>
            <w:shd w:val="clear" w:color="auto" w:fill="auto"/>
            <w:vAlign w:val="center"/>
            <w:hideMark/>
          </w:tcPr>
          <w:p w14:paraId="76AA953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Transformation and Institutional Development</w:t>
            </w:r>
          </w:p>
        </w:tc>
        <w:tc>
          <w:tcPr>
            <w:tcW w:w="280" w:type="pct"/>
            <w:tcBorders>
              <w:top w:val="nil"/>
              <w:left w:val="nil"/>
              <w:bottom w:val="single" w:sz="4" w:space="0" w:color="auto"/>
              <w:right w:val="single" w:sz="4" w:space="0" w:color="auto"/>
            </w:tcBorders>
            <w:shd w:val="clear" w:color="auto" w:fill="auto"/>
            <w:vAlign w:val="center"/>
            <w:hideMark/>
          </w:tcPr>
          <w:p w14:paraId="092BE6C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Transformation and institutional development</w:t>
            </w:r>
          </w:p>
        </w:tc>
        <w:tc>
          <w:tcPr>
            <w:tcW w:w="278" w:type="pct"/>
            <w:tcBorders>
              <w:top w:val="nil"/>
              <w:left w:val="nil"/>
              <w:bottom w:val="single" w:sz="4" w:space="0" w:color="auto"/>
              <w:right w:val="single" w:sz="4" w:space="0" w:color="auto"/>
            </w:tcBorders>
            <w:shd w:val="clear" w:color="auto" w:fill="auto"/>
            <w:vAlign w:val="center"/>
            <w:hideMark/>
          </w:tcPr>
          <w:p w14:paraId="744235B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develop the institution and to facilitate institutional transformation</w:t>
            </w:r>
          </w:p>
        </w:tc>
        <w:tc>
          <w:tcPr>
            <w:tcW w:w="374" w:type="pct"/>
            <w:tcBorders>
              <w:top w:val="nil"/>
              <w:left w:val="nil"/>
              <w:bottom w:val="single" w:sz="4" w:space="0" w:color="auto"/>
              <w:right w:val="single" w:sz="4" w:space="0" w:color="auto"/>
            </w:tcBorders>
            <w:shd w:val="clear" w:color="auto" w:fill="auto"/>
            <w:vAlign w:val="center"/>
            <w:hideMark/>
          </w:tcPr>
          <w:p w14:paraId="2B1489C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Complete annual worksplace skills plan and submit to LLF by 28 February </w:t>
            </w:r>
          </w:p>
        </w:tc>
        <w:tc>
          <w:tcPr>
            <w:tcW w:w="374" w:type="pct"/>
            <w:tcBorders>
              <w:top w:val="nil"/>
              <w:left w:val="nil"/>
              <w:bottom w:val="single" w:sz="4" w:space="0" w:color="auto"/>
              <w:right w:val="single" w:sz="4" w:space="0" w:color="auto"/>
            </w:tcBorders>
            <w:shd w:val="clear" w:color="auto" w:fill="auto"/>
            <w:vAlign w:val="center"/>
            <w:hideMark/>
          </w:tcPr>
          <w:p w14:paraId="4DF5486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Date of submission of WSP to LLF</w:t>
            </w:r>
          </w:p>
        </w:tc>
        <w:tc>
          <w:tcPr>
            <w:tcW w:w="374" w:type="pct"/>
            <w:tcBorders>
              <w:top w:val="nil"/>
              <w:left w:val="nil"/>
              <w:bottom w:val="single" w:sz="4" w:space="0" w:color="auto"/>
              <w:right w:val="single" w:sz="4" w:space="0" w:color="auto"/>
            </w:tcBorders>
            <w:shd w:val="clear" w:color="auto" w:fill="auto"/>
            <w:vAlign w:val="center"/>
            <w:hideMark/>
          </w:tcPr>
          <w:p w14:paraId="55E7F72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WSP completed and submitted to LLF by 28 February</w:t>
            </w:r>
          </w:p>
        </w:tc>
        <w:tc>
          <w:tcPr>
            <w:tcW w:w="305" w:type="pct"/>
            <w:tcBorders>
              <w:top w:val="nil"/>
              <w:left w:val="nil"/>
              <w:bottom w:val="single" w:sz="4" w:space="0" w:color="auto"/>
              <w:right w:val="single" w:sz="4" w:space="0" w:color="auto"/>
            </w:tcBorders>
            <w:shd w:val="clear" w:color="auto" w:fill="auto"/>
            <w:vAlign w:val="center"/>
            <w:hideMark/>
          </w:tcPr>
          <w:p w14:paraId="3F017B8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36ED5E4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05" w:type="pct"/>
            <w:tcBorders>
              <w:top w:val="nil"/>
              <w:left w:val="nil"/>
              <w:bottom w:val="single" w:sz="4" w:space="0" w:color="auto"/>
              <w:right w:val="single" w:sz="4" w:space="0" w:color="auto"/>
            </w:tcBorders>
            <w:shd w:val="clear" w:color="auto" w:fill="auto"/>
            <w:vAlign w:val="center"/>
            <w:hideMark/>
          </w:tcPr>
          <w:p w14:paraId="4B47DC3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Annual worksplace skills plan completed and submitted to LLF by 28 February </w:t>
            </w:r>
          </w:p>
        </w:tc>
        <w:tc>
          <w:tcPr>
            <w:tcW w:w="374" w:type="pct"/>
            <w:tcBorders>
              <w:top w:val="nil"/>
              <w:left w:val="nil"/>
              <w:bottom w:val="single" w:sz="4" w:space="0" w:color="auto"/>
              <w:right w:val="single" w:sz="4" w:space="0" w:color="auto"/>
            </w:tcBorders>
            <w:shd w:val="clear" w:color="auto" w:fill="auto"/>
            <w:vAlign w:val="center"/>
            <w:hideMark/>
          </w:tcPr>
          <w:p w14:paraId="1ED8B3F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251" w:type="pct"/>
            <w:tcBorders>
              <w:top w:val="nil"/>
              <w:left w:val="nil"/>
              <w:bottom w:val="single" w:sz="4" w:space="0" w:color="auto"/>
              <w:right w:val="single" w:sz="4" w:space="0" w:color="auto"/>
            </w:tcBorders>
            <w:shd w:val="clear" w:color="auto" w:fill="auto"/>
            <w:vAlign w:val="center"/>
            <w:hideMark/>
          </w:tcPr>
          <w:p w14:paraId="7A7D50EA"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1 166 560.00</w:t>
            </w:r>
          </w:p>
        </w:tc>
        <w:tc>
          <w:tcPr>
            <w:tcW w:w="146" w:type="pct"/>
            <w:tcBorders>
              <w:top w:val="nil"/>
              <w:left w:val="nil"/>
              <w:bottom w:val="single" w:sz="4" w:space="0" w:color="auto"/>
              <w:right w:val="single" w:sz="4" w:space="0" w:color="auto"/>
            </w:tcBorders>
            <w:shd w:val="clear" w:color="auto" w:fill="auto"/>
            <w:noWrap/>
            <w:vAlign w:val="center"/>
            <w:hideMark/>
          </w:tcPr>
          <w:p w14:paraId="34960BB5"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w:t>
            </w:r>
          </w:p>
        </w:tc>
        <w:tc>
          <w:tcPr>
            <w:tcW w:w="278" w:type="pct"/>
            <w:tcBorders>
              <w:top w:val="nil"/>
              <w:left w:val="nil"/>
              <w:bottom w:val="single" w:sz="4" w:space="0" w:color="auto"/>
              <w:right w:val="single" w:sz="4" w:space="0" w:color="auto"/>
            </w:tcBorders>
            <w:shd w:val="clear" w:color="auto" w:fill="auto"/>
            <w:vAlign w:val="center"/>
            <w:hideMark/>
          </w:tcPr>
          <w:p w14:paraId="7B4BEB6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CORPORATE SERVICES </w:t>
            </w:r>
          </w:p>
        </w:tc>
        <w:tc>
          <w:tcPr>
            <w:tcW w:w="170" w:type="pct"/>
            <w:tcBorders>
              <w:top w:val="nil"/>
              <w:left w:val="nil"/>
              <w:bottom w:val="single" w:sz="4" w:space="0" w:color="auto"/>
              <w:right w:val="single" w:sz="4" w:space="0" w:color="auto"/>
            </w:tcBorders>
            <w:shd w:val="clear" w:color="auto" w:fill="auto"/>
            <w:vAlign w:val="center"/>
            <w:hideMark/>
          </w:tcPr>
          <w:p w14:paraId="2A92C7A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78D2CB68" w14:textId="77777777" w:rsidTr="008A0277">
        <w:trPr>
          <w:trHeight w:val="1125"/>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59B6729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Poor public participation initiatives</w:t>
            </w:r>
          </w:p>
        </w:tc>
        <w:tc>
          <w:tcPr>
            <w:tcW w:w="136" w:type="pct"/>
            <w:tcBorders>
              <w:top w:val="nil"/>
              <w:left w:val="nil"/>
              <w:bottom w:val="single" w:sz="4" w:space="0" w:color="auto"/>
              <w:right w:val="single" w:sz="4" w:space="0" w:color="auto"/>
            </w:tcBorders>
            <w:shd w:val="clear" w:color="auto" w:fill="auto"/>
            <w:noWrap/>
            <w:vAlign w:val="center"/>
            <w:hideMark/>
          </w:tcPr>
          <w:p w14:paraId="47582DA1"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TL7</w:t>
            </w:r>
          </w:p>
        </w:tc>
        <w:tc>
          <w:tcPr>
            <w:tcW w:w="141" w:type="pct"/>
            <w:tcBorders>
              <w:top w:val="nil"/>
              <w:left w:val="nil"/>
              <w:bottom w:val="single" w:sz="4" w:space="0" w:color="auto"/>
              <w:right w:val="single" w:sz="4" w:space="0" w:color="auto"/>
            </w:tcBorders>
            <w:shd w:val="clear" w:color="auto" w:fill="auto"/>
            <w:noWrap/>
            <w:vAlign w:val="center"/>
            <w:hideMark/>
          </w:tcPr>
          <w:p w14:paraId="1CDB5A9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E5.2-7</w:t>
            </w:r>
          </w:p>
        </w:tc>
        <w:tc>
          <w:tcPr>
            <w:tcW w:w="269" w:type="pct"/>
            <w:tcBorders>
              <w:top w:val="nil"/>
              <w:left w:val="nil"/>
              <w:bottom w:val="single" w:sz="4" w:space="0" w:color="auto"/>
              <w:right w:val="single" w:sz="4" w:space="0" w:color="auto"/>
            </w:tcBorders>
            <w:shd w:val="clear" w:color="auto" w:fill="auto"/>
            <w:vAlign w:val="center"/>
            <w:hideMark/>
          </w:tcPr>
          <w:p w14:paraId="262F62A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development-orientated public service and inclusive citizenship</w:t>
            </w:r>
          </w:p>
        </w:tc>
        <w:tc>
          <w:tcPr>
            <w:tcW w:w="280" w:type="pct"/>
            <w:tcBorders>
              <w:top w:val="nil"/>
              <w:left w:val="nil"/>
              <w:bottom w:val="single" w:sz="4" w:space="0" w:color="auto"/>
              <w:right w:val="single" w:sz="4" w:space="0" w:color="auto"/>
            </w:tcBorders>
            <w:shd w:val="clear" w:color="auto" w:fill="auto"/>
            <w:vAlign w:val="center"/>
            <w:hideMark/>
          </w:tcPr>
          <w:p w14:paraId="02E81D3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Good Governance and Public Participation</w:t>
            </w:r>
          </w:p>
        </w:tc>
        <w:tc>
          <w:tcPr>
            <w:tcW w:w="280" w:type="pct"/>
            <w:tcBorders>
              <w:top w:val="nil"/>
              <w:left w:val="nil"/>
              <w:bottom w:val="single" w:sz="4" w:space="0" w:color="auto"/>
              <w:right w:val="single" w:sz="4" w:space="0" w:color="auto"/>
            </w:tcBorders>
            <w:shd w:val="clear" w:color="auto" w:fill="auto"/>
            <w:vAlign w:val="center"/>
            <w:hideMark/>
          </w:tcPr>
          <w:p w14:paraId="1DB5DFE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Good Governance and Public Participation</w:t>
            </w:r>
          </w:p>
        </w:tc>
        <w:tc>
          <w:tcPr>
            <w:tcW w:w="278" w:type="pct"/>
            <w:tcBorders>
              <w:top w:val="nil"/>
              <w:left w:val="nil"/>
              <w:bottom w:val="single" w:sz="4" w:space="0" w:color="auto"/>
              <w:right w:val="single" w:sz="4" w:space="0" w:color="auto"/>
            </w:tcBorders>
            <w:shd w:val="clear" w:color="auto" w:fill="auto"/>
            <w:vAlign w:val="center"/>
            <w:hideMark/>
          </w:tcPr>
          <w:p w14:paraId="655BBD1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promote a culture of participatory democracy and social cohesion</w:t>
            </w:r>
          </w:p>
        </w:tc>
        <w:tc>
          <w:tcPr>
            <w:tcW w:w="374" w:type="pct"/>
            <w:tcBorders>
              <w:top w:val="nil"/>
              <w:left w:val="nil"/>
              <w:bottom w:val="single" w:sz="4" w:space="0" w:color="auto"/>
              <w:right w:val="single" w:sz="4" w:space="0" w:color="auto"/>
            </w:tcBorders>
            <w:shd w:val="clear" w:color="auto" w:fill="auto"/>
            <w:vAlign w:val="center"/>
            <w:hideMark/>
          </w:tcPr>
          <w:p w14:paraId="0B713AB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Ensure Ward Committees are 100% functional by 30 June </w:t>
            </w:r>
          </w:p>
        </w:tc>
        <w:tc>
          <w:tcPr>
            <w:tcW w:w="374" w:type="pct"/>
            <w:tcBorders>
              <w:top w:val="nil"/>
              <w:left w:val="nil"/>
              <w:bottom w:val="single" w:sz="4" w:space="0" w:color="auto"/>
              <w:right w:val="single" w:sz="4" w:space="0" w:color="auto"/>
            </w:tcBorders>
            <w:shd w:val="clear" w:color="auto" w:fill="auto"/>
            <w:vAlign w:val="center"/>
            <w:hideMark/>
          </w:tcPr>
          <w:p w14:paraId="11E5B2B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Percentage functionality of Ward Committees by 30 June</w:t>
            </w:r>
          </w:p>
        </w:tc>
        <w:tc>
          <w:tcPr>
            <w:tcW w:w="374" w:type="pct"/>
            <w:tcBorders>
              <w:top w:val="nil"/>
              <w:left w:val="nil"/>
              <w:bottom w:val="single" w:sz="4" w:space="0" w:color="auto"/>
              <w:right w:val="single" w:sz="4" w:space="0" w:color="auto"/>
            </w:tcBorders>
            <w:shd w:val="clear" w:color="auto" w:fill="auto"/>
            <w:vAlign w:val="center"/>
            <w:hideMark/>
          </w:tcPr>
          <w:p w14:paraId="3406714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100% functionality of Ward Committees by 30 June</w:t>
            </w:r>
          </w:p>
        </w:tc>
        <w:tc>
          <w:tcPr>
            <w:tcW w:w="305" w:type="pct"/>
            <w:tcBorders>
              <w:top w:val="nil"/>
              <w:left w:val="nil"/>
              <w:bottom w:val="single" w:sz="4" w:space="0" w:color="auto"/>
              <w:right w:val="single" w:sz="4" w:space="0" w:color="auto"/>
            </w:tcBorders>
            <w:shd w:val="clear" w:color="auto" w:fill="auto"/>
            <w:vAlign w:val="center"/>
            <w:hideMark/>
          </w:tcPr>
          <w:p w14:paraId="76344CE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Ward Committees are 100% functional by 30 June </w:t>
            </w:r>
          </w:p>
        </w:tc>
        <w:tc>
          <w:tcPr>
            <w:tcW w:w="374" w:type="pct"/>
            <w:tcBorders>
              <w:top w:val="nil"/>
              <w:left w:val="nil"/>
              <w:bottom w:val="single" w:sz="4" w:space="0" w:color="auto"/>
              <w:right w:val="single" w:sz="4" w:space="0" w:color="auto"/>
            </w:tcBorders>
            <w:shd w:val="clear" w:color="auto" w:fill="auto"/>
            <w:vAlign w:val="center"/>
            <w:hideMark/>
          </w:tcPr>
          <w:p w14:paraId="4F76A51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Ward Committees are 100% functional by 30 June </w:t>
            </w:r>
          </w:p>
        </w:tc>
        <w:tc>
          <w:tcPr>
            <w:tcW w:w="305" w:type="pct"/>
            <w:tcBorders>
              <w:top w:val="nil"/>
              <w:left w:val="nil"/>
              <w:bottom w:val="single" w:sz="4" w:space="0" w:color="auto"/>
              <w:right w:val="single" w:sz="4" w:space="0" w:color="auto"/>
            </w:tcBorders>
            <w:shd w:val="clear" w:color="auto" w:fill="auto"/>
            <w:vAlign w:val="center"/>
            <w:hideMark/>
          </w:tcPr>
          <w:p w14:paraId="15A82A5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Ward Committees are 100% functional by 30 June </w:t>
            </w:r>
          </w:p>
        </w:tc>
        <w:tc>
          <w:tcPr>
            <w:tcW w:w="374" w:type="pct"/>
            <w:tcBorders>
              <w:top w:val="nil"/>
              <w:left w:val="nil"/>
              <w:bottom w:val="single" w:sz="4" w:space="0" w:color="auto"/>
              <w:right w:val="single" w:sz="4" w:space="0" w:color="auto"/>
            </w:tcBorders>
            <w:shd w:val="clear" w:color="auto" w:fill="auto"/>
            <w:vAlign w:val="center"/>
            <w:hideMark/>
          </w:tcPr>
          <w:p w14:paraId="6F6C196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Ward Committees are 100% functional by 30 June </w:t>
            </w:r>
          </w:p>
        </w:tc>
        <w:tc>
          <w:tcPr>
            <w:tcW w:w="251" w:type="pct"/>
            <w:tcBorders>
              <w:top w:val="nil"/>
              <w:left w:val="nil"/>
              <w:bottom w:val="single" w:sz="4" w:space="0" w:color="auto"/>
              <w:right w:val="single" w:sz="4" w:space="0" w:color="auto"/>
            </w:tcBorders>
            <w:shd w:val="clear" w:color="auto" w:fill="auto"/>
            <w:vAlign w:val="center"/>
            <w:hideMark/>
          </w:tcPr>
          <w:p w14:paraId="211846B0"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3 000 000.00</w:t>
            </w:r>
          </w:p>
        </w:tc>
        <w:tc>
          <w:tcPr>
            <w:tcW w:w="146" w:type="pct"/>
            <w:tcBorders>
              <w:top w:val="nil"/>
              <w:left w:val="nil"/>
              <w:bottom w:val="single" w:sz="4" w:space="0" w:color="auto"/>
              <w:right w:val="single" w:sz="4" w:space="0" w:color="auto"/>
            </w:tcBorders>
            <w:shd w:val="clear" w:color="auto" w:fill="auto"/>
            <w:noWrap/>
            <w:vAlign w:val="center"/>
            <w:hideMark/>
          </w:tcPr>
          <w:p w14:paraId="3B5C8A8E"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22%</w:t>
            </w:r>
          </w:p>
        </w:tc>
        <w:tc>
          <w:tcPr>
            <w:tcW w:w="278" w:type="pct"/>
            <w:tcBorders>
              <w:top w:val="nil"/>
              <w:left w:val="nil"/>
              <w:bottom w:val="single" w:sz="4" w:space="0" w:color="auto"/>
              <w:right w:val="single" w:sz="4" w:space="0" w:color="auto"/>
            </w:tcBorders>
            <w:shd w:val="clear" w:color="auto" w:fill="auto"/>
            <w:vAlign w:val="center"/>
            <w:hideMark/>
          </w:tcPr>
          <w:p w14:paraId="683C416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MAYORAL OFFICE</w:t>
            </w:r>
          </w:p>
        </w:tc>
        <w:tc>
          <w:tcPr>
            <w:tcW w:w="170" w:type="pct"/>
            <w:tcBorders>
              <w:top w:val="nil"/>
              <w:left w:val="nil"/>
              <w:bottom w:val="single" w:sz="4" w:space="0" w:color="auto"/>
              <w:right w:val="single" w:sz="4" w:space="0" w:color="auto"/>
            </w:tcBorders>
            <w:shd w:val="clear" w:color="auto" w:fill="auto"/>
            <w:vAlign w:val="center"/>
            <w:hideMark/>
          </w:tcPr>
          <w:p w14:paraId="6AA5E1C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4BE5340D" w14:textId="77777777" w:rsidTr="008A0277">
        <w:trPr>
          <w:trHeight w:val="178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9D23F4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Inadequate financial performance</w:t>
            </w:r>
          </w:p>
        </w:tc>
        <w:tc>
          <w:tcPr>
            <w:tcW w:w="136" w:type="pct"/>
            <w:tcBorders>
              <w:top w:val="nil"/>
              <w:left w:val="nil"/>
              <w:bottom w:val="single" w:sz="4" w:space="0" w:color="auto"/>
              <w:right w:val="single" w:sz="4" w:space="0" w:color="auto"/>
            </w:tcBorders>
            <w:shd w:val="clear" w:color="auto" w:fill="auto"/>
            <w:noWrap/>
            <w:vAlign w:val="center"/>
            <w:hideMark/>
          </w:tcPr>
          <w:p w14:paraId="21D17ECD"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TL8</w:t>
            </w:r>
          </w:p>
        </w:tc>
        <w:tc>
          <w:tcPr>
            <w:tcW w:w="141" w:type="pct"/>
            <w:tcBorders>
              <w:top w:val="nil"/>
              <w:left w:val="nil"/>
              <w:bottom w:val="single" w:sz="4" w:space="0" w:color="auto"/>
              <w:right w:val="single" w:sz="4" w:space="0" w:color="auto"/>
            </w:tcBorders>
            <w:shd w:val="clear" w:color="auto" w:fill="auto"/>
            <w:noWrap/>
            <w:vAlign w:val="center"/>
            <w:hideMark/>
          </w:tcPr>
          <w:p w14:paraId="7CFA3E4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E5.2-8</w:t>
            </w:r>
          </w:p>
        </w:tc>
        <w:tc>
          <w:tcPr>
            <w:tcW w:w="269" w:type="pct"/>
            <w:tcBorders>
              <w:top w:val="nil"/>
              <w:left w:val="nil"/>
              <w:bottom w:val="single" w:sz="4" w:space="0" w:color="auto"/>
              <w:right w:val="single" w:sz="4" w:space="0" w:color="auto"/>
            </w:tcBorders>
            <w:shd w:val="clear" w:color="auto" w:fill="auto"/>
            <w:vAlign w:val="center"/>
            <w:hideMark/>
          </w:tcPr>
          <w:p w14:paraId="2735539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responsive and accountable, effective and efficient local government system</w:t>
            </w:r>
          </w:p>
        </w:tc>
        <w:tc>
          <w:tcPr>
            <w:tcW w:w="280" w:type="pct"/>
            <w:tcBorders>
              <w:top w:val="nil"/>
              <w:left w:val="nil"/>
              <w:bottom w:val="single" w:sz="4" w:space="0" w:color="auto"/>
              <w:right w:val="single" w:sz="4" w:space="0" w:color="auto"/>
            </w:tcBorders>
            <w:shd w:val="clear" w:color="auto" w:fill="auto"/>
            <w:vAlign w:val="center"/>
            <w:hideMark/>
          </w:tcPr>
          <w:p w14:paraId="43D56BB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80" w:type="pct"/>
            <w:tcBorders>
              <w:top w:val="nil"/>
              <w:left w:val="nil"/>
              <w:bottom w:val="single" w:sz="4" w:space="0" w:color="auto"/>
              <w:right w:val="single" w:sz="4" w:space="0" w:color="auto"/>
            </w:tcBorders>
            <w:shd w:val="clear" w:color="auto" w:fill="auto"/>
            <w:vAlign w:val="center"/>
            <w:hideMark/>
          </w:tcPr>
          <w:p w14:paraId="6D919EA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78" w:type="pct"/>
            <w:tcBorders>
              <w:top w:val="nil"/>
              <w:left w:val="nil"/>
              <w:bottom w:val="single" w:sz="4" w:space="0" w:color="auto"/>
              <w:right w:val="single" w:sz="4" w:space="0" w:color="auto"/>
            </w:tcBorders>
            <w:shd w:val="clear" w:color="auto" w:fill="auto"/>
            <w:vAlign w:val="center"/>
            <w:hideMark/>
          </w:tcPr>
          <w:p w14:paraId="068114D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ensure continued sound financial management</w:t>
            </w:r>
          </w:p>
        </w:tc>
        <w:tc>
          <w:tcPr>
            <w:tcW w:w="374" w:type="pct"/>
            <w:tcBorders>
              <w:top w:val="nil"/>
              <w:left w:val="nil"/>
              <w:bottom w:val="single" w:sz="4" w:space="0" w:color="auto"/>
              <w:right w:val="single" w:sz="4" w:space="0" w:color="auto"/>
            </w:tcBorders>
            <w:shd w:val="clear" w:color="auto" w:fill="auto"/>
            <w:vAlign w:val="center"/>
            <w:hideMark/>
          </w:tcPr>
          <w:p w14:paraId="210A16D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Submit quarterly reports to Council on the expenditure of PMU costs through DORA grant (MIG) funding</w:t>
            </w:r>
          </w:p>
        </w:tc>
        <w:tc>
          <w:tcPr>
            <w:tcW w:w="374" w:type="pct"/>
            <w:tcBorders>
              <w:top w:val="nil"/>
              <w:left w:val="nil"/>
              <w:bottom w:val="single" w:sz="4" w:space="0" w:color="auto"/>
              <w:right w:val="single" w:sz="4" w:space="0" w:color="auto"/>
            </w:tcBorders>
            <w:shd w:val="clear" w:color="auto" w:fill="auto"/>
            <w:vAlign w:val="center"/>
            <w:hideMark/>
          </w:tcPr>
          <w:p w14:paraId="1B19E9B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Number of reports submitted to Council by 30 June</w:t>
            </w:r>
          </w:p>
        </w:tc>
        <w:tc>
          <w:tcPr>
            <w:tcW w:w="374" w:type="pct"/>
            <w:tcBorders>
              <w:top w:val="nil"/>
              <w:left w:val="nil"/>
              <w:bottom w:val="single" w:sz="4" w:space="0" w:color="auto"/>
              <w:right w:val="single" w:sz="4" w:space="0" w:color="auto"/>
            </w:tcBorders>
            <w:shd w:val="clear" w:color="auto" w:fill="auto"/>
            <w:vAlign w:val="center"/>
            <w:hideMark/>
          </w:tcPr>
          <w:p w14:paraId="4C27647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 reports submitted to Council by 30 June on the expenditure of PMU costs through DORA grant (MIG) funding and the output thereof</w:t>
            </w:r>
          </w:p>
        </w:tc>
        <w:tc>
          <w:tcPr>
            <w:tcW w:w="305" w:type="pct"/>
            <w:tcBorders>
              <w:top w:val="nil"/>
              <w:left w:val="nil"/>
              <w:bottom w:val="single" w:sz="4" w:space="0" w:color="auto"/>
              <w:right w:val="single" w:sz="4" w:space="0" w:color="auto"/>
            </w:tcBorders>
            <w:shd w:val="clear" w:color="auto" w:fill="auto"/>
            <w:vAlign w:val="center"/>
            <w:hideMark/>
          </w:tcPr>
          <w:p w14:paraId="1E45634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30 June on the expenditure of PMU costs through DORA grant (MIG) funding and the output thereof</w:t>
            </w:r>
          </w:p>
        </w:tc>
        <w:tc>
          <w:tcPr>
            <w:tcW w:w="374" w:type="pct"/>
            <w:tcBorders>
              <w:top w:val="nil"/>
              <w:left w:val="nil"/>
              <w:bottom w:val="single" w:sz="4" w:space="0" w:color="auto"/>
              <w:right w:val="single" w:sz="4" w:space="0" w:color="auto"/>
            </w:tcBorders>
            <w:shd w:val="clear" w:color="auto" w:fill="auto"/>
            <w:vAlign w:val="center"/>
            <w:hideMark/>
          </w:tcPr>
          <w:p w14:paraId="66FD4F1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30 June on the expenditure of PMU costs through DORA grant (MIG) funding and the output thereof</w:t>
            </w:r>
          </w:p>
        </w:tc>
        <w:tc>
          <w:tcPr>
            <w:tcW w:w="305" w:type="pct"/>
            <w:tcBorders>
              <w:top w:val="nil"/>
              <w:left w:val="nil"/>
              <w:bottom w:val="single" w:sz="4" w:space="0" w:color="auto"/>
              <w:right w:val="single" w:sz="4" w:space="0" w:color="auto"/>
            </w:tcBorders>
            <w:shd w:val="clear" w:color="auto" w:fill="auto"/>
            <w:vAlign w:val="center"/>
            <w:hideMark/>
          </w:tcPr>
          <w:p w14:paraId="1ECEF73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30 June on the expenditure of PMU costs through DORA grant (MIG) funding and the output thereof</w:t>
            </w:r>
          </w:p>
        </w:tc>
        <w:tc>
          <w:tcPr>
            <w:tcW w:w="374" w:type="pct"/>
            <w:tcBorders>
              <w:top w:val="nil"/>
              <w:left w:val="nil"/>
              <w:bottom w:val="single" w:sz="4" w:space="0" w:color="auto"/>
              <w:right w:val="single" w:sz="4" w:space="0" w:color="auto"/>
            </w:tcBorders>
            <w:shd w:val="clear" w:color="auto" w:fill="auto"/>
            <w:vAlign w:val="center"/>
            <w:hideMark/>
          </w:tcPr>
          <w:p w14:paraId="04EF1A7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30 June on the expenditure of PMU costs through DORA grant (MIG) funding and the output thereof</w:t>
            </w:r>
          </w:p>
        </w:tc>
        <w:tc>
          <w:tcPr>
            <w:tcW w:w="251" w:type="pct"/>
            <w:tcBorders>
              <w:top w:val="nil"/>
              <w:left w:val="nil"/>
              <w:bottom w:val="single" w:sz="4" w:space="0" w:color="auto"/>
              <w:right w:val="single" w:sz="4" w:space="0" w:color="auto"/>
            </w:tcBorders>
            <w:shd w:val="clear" w:color="auto" w:fill="auto"/>
            <w:vAlign w:val="center"/>
            <w:hideMark/>
          </w:tcPr>
          <w:p w14:paraId="63D69853"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1 000 000.00</w:t>
            </w:r>
          </w:p>
        </w:tc>
        <w:tc>
          <w:tcPr>
            <w:tcW w:w="146" w:type="pct"/>
            <w:tcBorders>
              <w:top w:val="nil"/>
              <w:left w:val="nil"/>
              <w:bottom w:val="single" w:sz="4" w:space="0" w:color="auto"/>
              <w:right w:val="single" w:sz="4" w:space="0" w:color="auto"/>
            </w:tcBorders>
            <w:shd w:val="clear" w:color="auto" w:fill="auto"/>
            <w:noWrap/>
            <w:vAlign w:val="center"/>
            <w:hideMark/>
          </w:tcPr>
          <w:p w14:paraId="3A9E8D3B"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w:t>
            </w:r>
          </w:p>
        </w:tc>
        <w:tc>
          <w:tcPr>
            <w:tcW w:w="278" w:type="pct"/>
            <w:tcBorders>
              <w:top w:val="nil"/>
              <w:left w:val="nil"/>
              <w:bottom w:val="single" w:sz="4" w:space="0" w:color="auto"/>
              <w:right w:val="single" w:sz="4" w:space="0" w:color="auto"/>
            </w:tcBorders>
            <w:shd w:val="clear" w:color="auto" w:fill="auto"/>
            <w:vAlign w:val="center"/>
            <w:hideMark/>
          </w:tcPr>
          <w:p w14:paraId="6F9CEB8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FINANCIAL SERVICES</w:t>
            </w:r>
          </w:p>
        </w:tc>
        <w:tc>
          <w:tcPr>
            <w:tcW w:w="170" w:type="pct"/>
            <w:tcBorders>
              <w:top w:val="nil"/>
              <w:left w:val="nil"/>
              <w:bottom w:val="single" w:sz="4" w:space="0" w:color="auto"/>
              <w:right w:val="single" w:sz="4" w:space="0" w:color="auto"/>
            </w:tcBorders>
            <w:shd w:val="clear" w:color="auto" w:fill="auto"/>
            <w:vAlign w:val="center"/>
            <w:hideMark/>
          </w:tcPr>
          <w:p w14:paraId="72052EE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ADMIN</w:t>
            </w:r>
          </w:p>
        </w:tc>
      </w:tr>
      <w:tr w:rsidR="008A0277" w:rsidRPr="008A0277" w14:paraId="66C63020" w14:textId="77777777" w:rsidTr="008A0277">
        <w:trPr>
          <w:trHeight w:val="1124"/>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30AB25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Insufficient skills development</w:t>
            </w:r>
          </w:p>
        </w:tc>
        <w:tc>
          <w:tcPr>
            <w:tcW w:w="136" w:type="pct"/>
            <w:tcBorders>
              <w:top w:val="nil"/>
              <w:left w:val="nil"/>
              <w:bottom w:val="single" w:sz="4" w:space="0" w:color="auto"/>
              <w:right w:val="single" w:sz="4" w:space="0" w:color="auto"/>
            </w:tcBorders>
            <w:shd w:val="clear" w:color="auto" w:fill="auto"/>
            <w:noWrap/>
            <w:vAlign w:val="center"/>
            <w:hideMark/>
          </w:tcPr>
          <w:p w14:paraId="3C6952E2"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TL9</w:t>
            </w:r>
          </w:p>
        </w:tc>
        <w:tc>
          <w:tcPr>
            <w:tcW w:w="141" w:type="pct"/>
            <w:tcBorders>
              <w:top w:val="nil"/>
              <w:left w:val="nil"/>
              <w:bottom w:val="single" w:sz="4" w:space="0" w:color="auto"/>
              <w:right w:val="single" w:sz="4" w:space="0" w:color="auto"/>
            </w:tcBorders>
            <w:shd w:val="clear" w:color="auto" w:fill="auto"/>
            <w:noWrap/>
            <w:vAlign w:val="center"/>
            <w:hideMark/>
          </w:tcPr>
          <w:p w14:paraId="2F9D6B5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E5.2-9</w:t>
            </w:r>
          </w:p>
        </w:tc>
        <w:tc>
          <w:tcPr>
            <w:tcW w:w="269" w:type="pct"/>
            <w:tcBorders>
              <w:top w:val="nil"/>
              <w:left w:val="nil"/>
              <w:bottom w:val="single" w:sz="4" w:space="0" w:color="auto"/>
              <w:right w:val="single" w:sz="4" w:space="0" w:color="auto"/>
            </w:tcBorders>
            <w:shd w:val="clear" w:color="auto" w:fill="auto"/>
            <w:vAlign w:val="center"/>
            <w:hideMark/>
          </w:tcPr>
          <w:p w14:paraId="452AB34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skilled and capable workforce to support inclusive growth</w:t>
            </w:r>
          </w:p>
        </w:tc>
        <w:tc>
          <w:tcPr>
            <w:tcW w:w="280" w:type="pct"/>
            <w:tcBorders>
              <w:top w:val="nil"/>
              <w:left w:val="nil"/>
              <w:bottom w:val="single" w:sz="4" w:space="0" w:color="auto"/>
              <w:right w:val="single" w:sz="4" w:space="0" w:color="auto"/>
            </w:tcBorders>
            <w:shd w:val="clear" w:color="auto" w:fill="auto"/>
            <w:vAlign w:val="center"/>
            <w:hideMark/>
          </w:tcPr>
          <w:p w14:paraId="122C951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Transformation and Institutional Development</w:t>
            </w:r>
          </w:p>
        </w:tc>
        <w:tc>
          <w:tcPr>
            <w:tcW w:w="280" w:type="pct"/>
            <w:tcBorders>
              <w:top w:val="nil"/>
              <w:left w:val="nil"/>
              <w:bottom w:val="single" w:sz="4" w:space="0" w:color="auto"/>
              <w:right w:val="single" w:sz="4" w:space="0" w:color="auto"/>
            </w:tcBorders>
            <w:shd w:val="clear" w:color="auto" w:fill="auto"/>
            <w:vAlign w:val="center"/>
            <w:hideMark/>
          </w:tcPr>
          <w:p w14:paraId="5361701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Transformation and institutional development</w:t>
            </w:r>
          </w:p>
        </w:tc>
        <w:tc>
          <w:tcPr>
            <w:tcW w:w="278" w:type="pct"/>
            <w:tcBorders>
              <w:top w:val="nil"/>
              <w:left w:val="nil"/>
              <w:bottom w:val="single" w:sz="4" w:space="0" w:color="auto"/>
              <w:right w:val="single" w:sz="4" w:space="0" w:color="auto"/>
            </w:tcBorders>
            <w:shd w:val="clear" w:color="auto" w:fill="auto"/>
            <w:vAlign w:val="center"/>
            <w:hideMark/>
          </w:tcPr>
          <w:p w14:paraId="5C154A0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implement and support internship, learnership and in-service training programmes</w:t>
            </w:r>
          </w:p>
        </w:tc>
        <w:tc>
          <w:tcPr>
            <w:tcW w:w="374" w:type="pct"/>
            <w:tcBorders>
              <w:top w:val="nil"/>
              <w:left w:val="nil"/>
              <w:bottom w:val="single" w:sz="4" w:space="0" w:color="auto"/>
              <w:right w:val="single" w:sz="4" w:space="0" w:color="auto"/>
            </w:tcBorders>
            <w:shd w:val="clear" w:color="auto" w:fill="auto"/>
            <w:vAlign w:val="center"/>
            <w:hideMark/>
          </w:tcPr>
          <w:p w14:paraId="37C54F6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Appoint 7 students on internship, learnership and/or in-service trainings/programmes by 31 December</w:t>
            </w:r>
          </w:p>
        </w:tc>
        <w:tc>
          <w:tcPr>
            <w:tcW w:w="374" w:type="pct"/>
            <w:tcBorders>
              <w:top w:val="nil"/>
              <w:left w:val="nil"/>
              <w:bottom w:val="single" w:sz="4" w:space="0" w:color="auto"/>
              <w:right w:val="single" w:sz="4" w:space="0" w:color="auto"/>
            </w:tcBorders>
            <w:shd w:val="clear" w:color="auto" w:fill="auto"/>
            <w:vAlign w:val="center"/>
            <w:hideMark/>
          </w:tcPr>
          <w:p w14:paraId="2782DA2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Number of students appointed by 31 December</w:t>
            </w:r>
          </w:p>
        </w:tc>
        <w:tc>
          <w:tcPr>
            <w:tcW w:w="374" w:type="pct"/>
            <w:tcBorders>
              <w:top w:val="nil"/>
              <w:left w:val="nil"/>
              <w:bottom w:val="single" w:sz="4" w:space="0" w:color="auto"/>
              <w:right w:val="single" w:sz="4" w:space="0" w:color="auto"/>
            </w:tcBorders>
            <w:shd w:val="clear" w:color="auto" w:fill="auto"/>
            <w:vAlign w:val="center"/>
            <w:hideMark/>
          </w:tcPr>
          <w:p w14:paraId="61F7366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7 students appointed for intership, learnership and/or in-service trainings/programmes by 31 December</w:t>
            </w:r>
          </w:p>
        </w:tc>
        <w:tc>
          <w:tcPr>
            <w:tcW w:w="305" w:type="pct"/>
            <w:tcBorders>
              <w:top w:val="nil"/>
              <w:left w:val="nil"/>
              <w:bottom w:val="single" w:sz="4" w:space="0" w:color="auto"/>
              <w:right w:val="single" w:sz="4" w:space="0" w:color="auto"/>
            </w:tcBorders>
            <w:shd w:val="clear" w:color="auto" w:fill="auto"/>
            <w:vAlign w:val="center"/>
            <w:hideMark/>
          </w:tcPr>
          <w:p w14:paraId="63EEBE0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58FDA7C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7 students appointed for intership, learnership and/or in-service trainings/programmes by 31 December</w:t>
            </w:r>
          </w:p>
        </w:tc>
        <w:tc>
          <w:tcPr>
            <w:tcW w:w="305" w:type="pct"/>
            <w:tcBorders>
              <w:top w:val="nil"/>
              <w:left w:val="nil"/>
              <w:bottom w:val="single" w:sz="4" w:space="0" w:color="auto"/>
              <w:right w:val="single" w:sz="4" w:space="0" w:color="auto"/>
            </w:tcBorders>
            <w:shd w:val="clear" w:color="auto" w:fill="auto"/>
            <w:vAlign w:val="center"/>
            <w:hideMark/>
          </w:tcPr>
          <w:p w14:paraId="161A59D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0BF5005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251" w:type="pct"/>
            <w:tcBorders>
              <w:top w:val="nil"/>
              <w:left w:val="nil"/>
              <w:bottom w:val="single" w:sz="4" w:space="0" w:color="auto"/>
              <w:right w:val="single" w:sz="4" w:space="0" w:color="auto"/>
            </w:tcBorders>
            <w:shd w:val="clear" w:color="auto" w:fill="auto"/>
            <w:vAlign w:val="center"/>
            <w:hideMark/>
          </w:tcPr>
          <w:p w14:paraId="511BF4A2"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229 160.00</w:t>
            </w:r>
          </w:p>
        </w:tc>
        <w:tc>
          <w:tcPr>
            <w:tcW w:w="146" w:type="pct"/>
            <w:tcBorders>
              <w:top w:val="nil"/>
              <w:left w:val="nil"/>
              <w:bottom w:val="single" w:sz="4" w:space="0" w:color="auto"/>
              <w:right w:val="single" w:sz="4" w:space="0" w:color="auto"/>
            </w:tcBorders>
            <w:shd w:val="clear" w:color="auto" w:fill="auto"/>
            <w:noWrap/>
            <w:vAlign w:val="center"/>
            <w:hideMark/>
          </w:tcPr>
          <w:p w14:paraId="3884C691"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w:t>
            </w:r>
          </w:p>
        </w:tc>
        <w:tc>
          <w:tcPr>
            <w:tcW w:w="278" w:type="pct"/>
            <w:tcBorders>
              <w:top w:val="nil"/>
              <w:left w:val="nil"/>
              <w:bottom w:val="single" w:sz="4" w:space="0" w:color="auto"/>
              <w:right w:val="single" w:sz="4" w:space="0" w:color="auto"/>
            </w:tcBorders>
            <w:shd w:val="clear" w:color="auto" w:fill="auto"/>
            <w:vAlign w:val="center"/>
            <w:hideMark/>
          </w:tcPr>
          <w:p w14:paraId="58C268B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CORPORATE SERVICES </w:t>
            </w:r>
          </w:p>
        </w:tc>
        <w:tc>
          <w:tcPr>
            <w:tcW w:w="170" w:type="pct"/>
            <w:tcBorders>
              <w:top w:val="nil"/>
              <w:left w:val="nil"/>
              <w:bottom w:val="single" w:sz="4" w:space="0" w:color="auto"/>
              <w:right w:val="single" w:sz="4" w:space="0" w:color="auto"/>
            </w:tcBorders>
            <w:shd w:val="clear" w:color="auto" w:fill="auto"/>
            <w:vAlign w:val="center"/>
            <w:hideMark/>
          </w:tcPr>
          <w:p w14:paraId="3539001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0E677484" w14:textId="77777777" w:rsidTr="008A0277">
        <w:trPr>
          <w:trHeight w:val="1833"/>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5C31226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Inadequate financial performance</w:t>
            </w:r>
          </w:p>
        </w:tc>
        <w:tc>
          <w:tcPr>
            <w:tcW w:w="136" w:type="pct"/>
            <w:tcBorders>
              <w:top w:val="nil"/>
              <w:left w:val="nil"/>
              <w:bottom w:val="single" w:sz="4" w:space="0" w:color="auto"/>
              <w:right w:val="single" w:sz="4" w:space="0" w:color="auto"/>
            </w:tcBorders>
            <w:shd w:val="clear" w:color="auto" w:fill="auto"/>
            <w:noWrap/>
            <w:vAlign w:val="center"/>
            <w:hideMark/>
          </w:tcPr>
          <w:p w14:paraId="64029187"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TL10</w:t>
            </w:r>
          </w:p>
        </w:tc>
        <w:tc>
          <w:tcPr>
            <w:tcW w:w="141" w:type="pct"/>
            <w:tcBorders>
              <w:top w:val="nil"/>
              <w:left w:val="nil"/>
              <w:bottom w:val="single" w:sz="4" w:space="0" w:color="auto"/>
              <w:right w:val="single" w:sz="4" w:space="0" w:color="auto"/>
            </w:tcBorders>
            <w:shd w:val="clear" w:color="auto" w:fill="auto"/>
            <w:noWrap/>
            <w:vAlign w:val="center"/>
            <w:hideMark/>
          </w:tcPr>
          <w:p w14:paraId="5195D16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E5.2-10</w:t>
            </w:r>
          </w:p>
        </w:tc>
        <w:tc>
          <w:tcPr>
            <w:tcW w:w="269" w:type="pct"/>
            <w:tcBorders>
              <w:top w:val="nil"/>
              <w:left w:val="nil"/>
              <w:bottom w:val="single" w:sz="4" w:space="0" w:color="auto"/>
              <w:right w:val="single" w:sz="4" w:space="0" w:color="auto"/>
            </w:tcBorders>
            <w:shd w:val="clear" w:color="auto" w:fill="auto"/>
            <w:vAlign w:val="center"/>
            <w:hideMark/>
          </w:tcPr>
          <w:p w14:paraId="7B8ED20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responsive and accountable, effective and efficient local government system</w:t>
            </w:r>
          </w:p>
        </w:tc>
        <w:tc>
          <w:tcPr>
            <w:tcW w:w="280" w:type="pct"/>
            <w:tcBorders>
              <w:top w:val="nil"/>
              <w:left w:val="nil"/>
              <w:bottom w:val="single" w:sz="4" w:space="0" w:color="auto"/>
              <w:right w:val="single" w:sz="4" w:space="0" w:color="auto"/>
            </w:tcBorders>
            <w:shd w:val="clear" w:color="auto" w:fill="auto"/>
            <w:vAlign w:val="center"/>
            <w:hideMark/>
          </w:tcPr>
          <w:p w14:paraId="311B40B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80" w:type="pct"/>
            <w:tcBorders>
              <w:top w:val="nil"/>
              <w:left w:val="nil"/>
              <w:bottom w:val="single" w:sz="4" w:space="0" w:color="auto"/>
              <w:right w:val="single" w:sz="4" w:space="0" w:color="auto"/>
            </w:tcBorders>
            <w:shd w:val="clear" w:color="auto" w:fill="auto"/>
            <w:vAlign w:val="center"/>
            <w:hideMark/>
          </w:tcPr>
          <w:p w14:paraId="7D8D6EF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78" w:type="pct"/>
            <w:tcBorders>
              <w:top w:val="nil"/>
              <w:left w:val="nil"/>
              <w:bottom w:val="single" w:sz="4" w:space="0" w:color="auto"/>
              <w:right w:val="single" w:sz="4" w:space="0" w:color="auto"/>
            </w:tcBorders>
            <w:shd w:val="clear" w:color="auto" w:fill="auto"/>
            <w:vAlign w:val="center"/>
            <w:hideMark/>
          </w:tcPr>
          <w:p w14:paraId="35E7AB9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ensure continued sound financial management</w:t>
            </w:r>
          </w:p>
        </w:tc>
        <w:tc>
          <w:tcPr>
            <w:tcW w:w="374" w:type="pct"/>
            <w:tcBorders>
              <w:top w:val="nil"/>
              <w:left w:val="nil"/>
              <w:bottom w:val="single" w:sz="4" w:space="0" w:color="auto"/>
              <w:right w:val="single" w:sz="4" w:space="0" w:color="auto"/>
            </w:tcBorders>
            <w:shd w:val="clear" w:color="auto" w:fill="auto"/>
            <w:vAlign w:val="center"/>
            <w:hideMark/>
          </w:tcPr>
          <w:p w14:paraId="13AE850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Submit monthly reports to PMS on the performance of the Service Providers (Valuation, Easy pay, monthly mailing of accounts, MSCOA implementation, Fleet)</w:t>
            </w:r>
          </w:p>
        </w:tc>
        <w:tc>
          <w:tcPr>
            <w:tcW w:w="374" w:type="pct"/>
            <w:tcBorders>
              <w:top w:val="nil"/>
              <w:left w:val="nil"/>
              <w:bottom w:val="single" w:sz="4" w:space="0" w:color="auto"/>
              <w:right w:val="single" w:sz="4" w:space="0" w:color="auto"/>
            </w:tcBorders>
            <w:shd w:val="clear" w:color="auto" w:fill="auto"/>
            <w:vAlign w:val="center"/>
            <w:hideMark/>
          </w:tcPr>
          <w:p w14:paraId="2931B70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Number of reports submitted by 30 June </w:t>
            </w:r>
          </w:p>
        </w:tc>
        <w:tc>
          <w:tcPr>
            <w:tcW w:w="374" w:type="pct"/>
            <w:tcBorders>
              <w:top w:val="nil"/>
              <w:left w:val="nil"/>
              <w:bottom w:val="single" w:sz="4" w:space="0" w:color="auto"/>
              <w:right w:val="single" w:sz="4" w:space="0" w:color="auto"/>
            </w:tcBorders>
            <w:shd w:val="clear" w:color="auto" w:fill="auto"/>
            <w:vAlign w:val="center"/>
            <w:hideMark/>
          </w:tcPr>
          <w:p w14:paraId="734779C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60 reports submitted by 30 June on the performance of the Service Providers (Valuation, Easy pay, monthly mailing of accounts, MSCOA implementation, Fleet)</w:t>
            </w:r>
          </w:p>
        </w:tc>
        <w:tc>
          <w:tcPr>
            <w:tcW w:w="305" w:type="pct"/>
            <w:tcBorders>
              <w:top w:val="nil"/>
              <w:left w:val="nil"/>
              <w:bottom w:val="single" w:sz="4" w:space="0" w:color="auto"/>
              <w:right w:val="single" w:sz="4" w:space="0" w:color="auto"/>
            </w:tcBorders>
            <w:shd w:val="clear" w:color="auto" w:fill="auto"/>
            <w:vAlign w:val="center"/>
            <w:hideMark/>
          </w:tcPr>
          <w:p w14:paraId="1818D41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15 reports submitted by 30 June on the performance of the Service Providers (Valuation, Easy pay, monthly mailing of accounts, MSCOA implementation, Fleet)</w:t>
            </w:r>
          </w:p>
        </w:tc>
        <w:tc>
          <w:tcPr>
            <w:tcW w:w="374" w:type="pct"/>
            <w:tcBorders>
              <w:top w:val="nil"/>
              <w:left w:val="nil"/>
              <w:bottom w:val="single" w:sz="4" w:space="0" w:color="auto"/>
              <w:right w:val="single" w:sz="4" w:space="0" w:color="auto"/>
            </w:tcBorders>
            <w:shd w:val="clear" w:color="auto" w:fill="auto"/>
            <w:vAlign w:val="center"/>
            <w:hideMark/>
          </w:tcPr>
          <w:p w14:paraId="0B8E352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15 reports submitted by 30 June on the performance of the Service Providers (Valuation, Easy pay, monthly mailing of accounts, MSCOA implementation, Fleet)</w:t>
            </w:r>
          </w:p>
        </w:tc>
        <w:tc>
          <w:tcPr>
            <w:tcW w:w="305" w:type="pct"/>
            <w:tcBorders>
              <w:top w:val="nil"/>
              <w:left w:val="nil"/>
              <w:bottom w:val="single" w:sz="4" w:space="0" w:color="auto"/>
              <w:right w:val="single" w:sz="4" w:space="0" w:color="auto"/>
            </w:tcBorders>
            <w:shd w:val="clear" w:color="auto" w:fill="auto"/>
            <w:vAlign w:val="center"/>
            <w:hideMark/>
          </w:tcPr>
          <w:p w14:paraId="699AD49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15 reports submitted by 30 June on the performance of the Service Providers (Valuation, Easy pay, monthly mailing of accounts, MSCOA implementation, Fleet)</w:t>
            </w:r>
          </w:p>
        </w:tc>
        <w:tc>
          <w:tcPr>
            <w:tcW w:w="374" w:type="pct"/>
            <w:tcBorders>
              <w:top w:val="nil"/>
              <w:left w:val="nil"/>
              <w:bottom w:val="single" w:sz="4" w:space="0" w:color="auto"/>
              <w:right w:val="single" w:sz="4" w:space="0" w:color="auto"/>
            </w:tcBorders>
            <w:shd w:val="clear" w:color="auto" w:fill="auto"/>
            <w:vAlign w:val="center"/>
            <w:hideMark/>
          </w:tcPr>
          <w:p w14:paraId="73DB7FF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15 reports submitted by 30 June on the performance of the Service Providers (Valuation, Easy pay, monthly mailing of accounts, MSCOA implementation, Fleet)</w:t>
            </w:r>
          </w:p>
        </w:tc>
        <w:tc>
          <w:tcPr>
            <w:tcW w:w="251" w:type="pct"/>
            <w:tcBorders>
              <w:top w:val="nil"/>
              <w:left w:val="nil"/>
              <w:bottom w:val="single" w:sz="4" w:space="0" w:color="auto"/>
              <w:right w:val="single" w:sz="4" w:space="0" w:color="auto"/>
            </w:tcBorders>
            <w:shd w:val="clear" w:color="auto" w:fill="auto"/>
            <w:vAlign w:val="center"/>
            <w:hideMark/>
          </w:tcPr>
          <w:p w14:paraId="46CA483B"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2 259 660.00</w:t>
            </w:r>
          </w:p>
        </w:tc>
        <w:tc>
          <w:tcPr>
            <w:tcW w:w="146" w:type="pct"/>
            <w:tcBorders>
              <w:top w:val="nil"/>
              <w:left w:val="nil"/>
              <w:bottom w:val="single" w:sz="4" w:space="0" w:color="auto"/>
              <w:right w:val="single" w:sz="4" w:space="0" w:color="auto"/>
            </w:tcBorders>
            <w:shd w:val="clear" w:color="auto" w:fill="auto"/>
            <w:noWrap/>
            <w:vAlign w:val="center"/>
            <w:hideMark/>
          </w:tcPr>
          <w:p w14:paraId="5941DD2B"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w:t>
            </w:r>
          </w:p>
        </w:tc>
        <w:tc>
          <w:tcPr>
            <w:tcW w:w="278" w:type="pct"/>
            <w:tcBorders>
              <w:top w:val="nil"/>
              <w:left w:val="nil"/>
              <w:bottom w:val="single" w:sz="4" w:space="0" w:color="auto"/>
              <w:right w:val="single" w:sz="4" w:space="0" w:color="auto"/>
            </w:tcBorders>
            <w:shd w:val="clear" w:color="auto" w:fill="auto"/>
            <w:vAlign w:val="center"/>
            <w:hideMark/>
          </w:tcPr>
          <w:p w14:paraId="4ECE9D6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FINANCIAL SERVICES</w:t>
            </w:r>
          </w:p>
        </w:tc>
        <w:tc>
          <w:tcPr>
            <w:tcW w:w="170" w:type="pct"/>
            <w:tcBorders>
              <w:top w:val="nil"/>
              <w:left w:val="nil"/>
              <w:bottom w:val="single" w:sz="4" w:space="0" w:color="auto"/>
              <w:right w:val="single" w:sz="4" w:space="0" w:color="auto"/>
            </w:tcBorders>
            <w:shd w:val="clear" w:color="auto" w:fill="auto"/>
            <w:vAlign w:val="center"/>
            <w:hideMark/>
          </w:tcPr>
          <w:p w14:paraId="6778552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ADMIN</w:t>
            </w:r>
          </w:p>
        </w:tc>
      </w:tr>
      <w:tr w:rsidR="008A0277" w:rsidRPr="008A0277" w14:paraId="22D7C536" w14:textId="77777777" w:rsidTr="008A0277">
        <w:trPr>
          <w:trHeight w:val="1198"/>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1ED9A0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Insufficient skills development</w:t>
            </w:r>
          </w:p>
        </w:tc>
        <w:tc>
          <w:tcPr>
            <w:tcW w:w="136" w:type="pct"/>
            <w:tcBorders>
              <w:top w:val="nil"/>
              <w:left w:val="nil"/>
              <w:bottom w:val="single" w:sz="4" w:space="0" w:color="auto"/>
              <w:right w:val="single" w:sz="4" w:space="0" w:color="auto"/>
            </w:tcBorders>
            <w:shd w:val="clear" w:color="auto" w:fill="auto"/>
            <w:noWrap/>
            <w:vAlign w:val="center"/>
            <w:hideMark/>
          </w:tcPr>
          <w:p w14:paraId="033B19F3"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TL11</w:t>
            </w:r>
          </w:p>
        </w:tc>
        <w:tc>
          <w:tcPr>
            <w:tcW w:w="141" w:type="pct"/>
            <w:tcBorders>
              <w:top w:val="nil"/>
              <w:left w:val="nil"/>
              <w:bottom w:val="single" w:sz="4" w:space="0" w:color="auto"/>
              <w:right w:val="single" w:sz="4" w:space="0" w:color="auto"/>
            </w:tcBorders>
            <w:shd w:val="clear" w:color="auto" w:fill="auto"/>
            <w:noWrap/>
            <w:vAlign w:val="center"/>
            <w:hideMark/>
          </w:tcPr>
          <w:p w14:paraId="0D5F281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E5.2-11</w:t>
            </w:r>
          </w:p>
        </w:tc>
        <w:tc>
          <w:tcPr>
            <w:tcW w:w="269" w:type="pct"/>
            <w:tcBorders>
              <w:top w:val="nil"/>
              <w:left w:val="nil"/>
              <w:bottom w:val="single" w:sz="4" w:space="0" w:color="auto"/>
              <w:right w:val="single" w:sz="4" w:space="0" w:color="auto"/>
            </w:tcBorders>
            <w:shd w:val="clear" w:color="auto" w:fill="auto"/>
            <w:vAlign w:val="center"/>
            <w:hideMark/>
          </w:tcPr>
          <w:p w14:paraId="1692BA2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Improve health and life expectancy</w:t>
            </w:r>
          </w:p>
        </w:tc>
        <w:tc>
          <w:tcPr>
            <w:tcW w:w="280" w:type="pct"/>
            <w:tcBorders>
              <w:top w:val="nil"/>
              <w:left w:val="nil"/>
              <w:bottom w:val="single" w:sz="4" w:space="0" w:color="auto"/>
              <w:right w:val="single" w:sz="4" w:space="0" w:color="auto"/>
            </w:tcBorders>
            <w:shd w:val="clear" w:color="auto" w:fill="auto"/>
            <w:vAlign w:val="center"/>
            <w:hideMark/>
          </w:tcPr>
          <w:p w14:paraId="15FC3DF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Transformation and Institutional Development</w:t>
            </w:r>
          </w:p>
        </w:tc>
        <w:tc>
          <w:tcPr>
            <w:tcW w:w="280" w:type="pct"/>
            <w:tcBorders>
              <w:top w:val="nil"/>
              <w:left w:val="nil"/>
              <w:bottom w:val="single" w:sz="4" w:space="0" w:color="auto"/>
              <w:right w:val="single" w:sz="4" w:space="0" w:color="auto"/>
            </w:tcBorders>
            <w:shd w:val="clear" w:color="auto" w:fill="auto"/>
            <w:vAlign w:val="center"/>
            <w:hideMark/>
          </w:tcPr>
          <w:p w14:paraId="08E0FCE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Transformation and institutional development</w:t>
            </w:r>
          </w:p>
        </w:tc>
        <w:tc>
          <w:tcPr>
            <w:tcW w:w="278" w:type="pct"/>
            <w:tcBorders>
              <w:top w:val="nil"/>
              <w:left w:val="nil"/>
              <w:bottom w:val="single" w:sz="4" w:space="0" w:color="auto"/>
              <w:right w:val="single" w:sz="4" w:space="0" w:color="auto"/>
            </w:tcBorders>
            <w:shd w:val="clear" w:color="auto" w:fill="auto"/>
            <w:vAlign w:val="center"/>
            <w:hideMark/>
          </w:tcPr>
          <w:p w14:paraId="3A51EB4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develop the institution and to facilitate institutional transformation</w:t>
            </w:r>
          </w:p>
        </w:tc>
        <w:tc>
          <w:tcPr>
            <w:tcW w:w="374" w:type="pct"/>
            <w:tcBorders>
              <w:top w:val="nil"/>
              <w:left w:val="nil"/>
              <w:bottom w:val="single" w:sz="4" w:space="0" w:color="auto"/>
              <w:right w:val="single" w:sz="4" w:space="0" w:color="auto"/>
            </w:tcBorders>
            <w:shd w:val="clear" w:color="auto" w:fill="auto"/>
            <w:vAlign w:val="center"/>
            <w:hideMark/>
          </w:tcPr>
          <w:p w14:paraId="73BCBF3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Conduct 2 Employee Wellness programmes by 30 June</w:t>
            </w:r>
          </w:p>
        </w:tc>
        <w:tc>
          <w:tcPr>
            <w:tcW w:w="374" w:type="pct"/>
            <w:tcBorders>
              <w:top w:val="nil"/>
              <w:left w:val="nil"/>
              <w:bottom w:val="single" w:sz="4" w:space="0" w:color="auto"/>
              <w:right w:val="single" w:sz="4" w:space="0" w:color="auto"/>
            </w:tcBorders>
            <w:shd w:val="clear" w:color="auto" w:fill="auto"/>
            <w:vAlign w:val="center"/>
            <w:hideMark/>
          </w:tcPr>
          <w:p w14:paraId="2B007D7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Number of Employee Wellness programmes conducted by 30 June</w:t>
            </w:r>
          </w:p>
        </w:tc>
        <w:tc>
          <w:tcPr>
            <w:tcW w:w="374" w:type="pct"/>
            <w:tcBorders>
              <w:top w:val="nil"/>
              <w:left w:val="nil"/>
              <w:bottom w:val="single" w:sz="4" w:space="0" w:color="auto"/>
              <w:right w:val="single" w:sz="4" w:space="0" w:color="auto"/>
            </w:tcBorders>
            <w:shd w:val="clear" w:color="auto" w:fill="auto"/>
            <w:vAlign w:val="center"/>
            <w:hideMark/>
          </w:tcPr>
          <w:p w14:paraId="4CD9379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2 Employee Wellness programmes conducted by 30 June </w:t>
            </w:r>
          </w:p>
        </w:tc>
        <w:tc>
          <w:tcPr>
            <w:tcW w:w="305" w:type="pct"/>
            <w:tcBorders>
              <w:top w:val="nil"/>
              <w:left w:val="nil"/>
              <w:bottom w:val="single" w:sz="4" w:space="0" w:color="auto"/>
              <w:right w:val="single" w:sz="4" w:space="0" w:color="auto"/>
            </w:tcBorders>
            <w:shd w:val="clear" w:color="auto" w:fill="auto"/>
            <w:vAlign w:val="center"/>
            <w:hideMark/>
          </w:tcPr>
          <w:p w14:paraId="44363FA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70357C9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Employee Wellness programme conducted by 31 December</w:t>
            </w:r>
          </w:p>
        </w:tc>
        <w:tc>
          <w:tcPr>
            <w:tcW w:w="305" w:type="pct"/>
            <w:tcBorders>
              <w:top w:val="nil"/>
              <w:left w:val="nil"/>
              <w:bottom w:val="single" w:sz="4" w:space="0" w:color="auto"/>
              <w:right w:val="single" w:sz="4" w:space="0" w:color="auto"/>
            </w:tcBorders>
            <w:shd w:val="clear" w:color="auto" w:fill="auto"/>
            <w:vAlign w:val="center"/>
            <w:hideMark/>
          </w:tcPr>
          <w:p w14:paraId="4EF9247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46F8B5E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Employee Wellness programme conducted by 30 June</w:t>
            </w:r>
          </w:p>
        </w:tc>
        <w:tc>
          <w:tcPr>
            <w:tcW w:w="251" w:type="pct"/>
            <w:tcBorders>
              <w:top w:val="nil"/>
              <w:left w:val="nil"/>
              <w:bottom w:val="single" w:sz="4" w:space="0" w:color="auto"/>
              <w:right w:val="single" w:sz="4" w:space="0" w:color="auto"/>
            </w:tcBorders>
            <w:shd w:val="clear" w:color="auto" w:fill="auto"/>
            <w:vAlign w:val="center"/>
            <w:hideMark/>
          </w:tcPr>
          <w:p w14:paraId="4E6671F9"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133 890.00</w:t>
            </w:r>
          </w:p>
        </w:tc>
        <w:tc>
          <w:tcPr>
            <w:tcW w:w="146" w:type="pct"/>
            <w:tcBorders>
              <w:top w:val="nil"/>
              <w:left w:val="nil"/>
              <w:bottom w:val="single" w:sz="4" w:space="0" w:color="auto"/>
              <w:right w:val="single" w:sz="4" w:space="0" w:color="auto"/>
            </w:tcBorders>
            <w:shd w:val="clear" w:color="auto" w:fill="auto"/>
            <w:noWrap/>
            <w:vAlign w:val="center"/>
            <w:hideMark/>
          </w:tcPr>
          <w:p w14:paraId="4B2F3340"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2</w:t>
            </w:r>
          </w:p>
        </w:tc>
        <w:tc>
          <w:tcPr>
            <w:tcW w:w="278" w:type="pct"/>
            <w:tcBorders>
              <w:top w:val="nil"/>
              <w:left w:val="nil"/>
              <w:bottom w:val="single" w:sz="4" w:space="0" w:color="auto"/>
              <w:right w:val="single" w:sz="4" w:space="0" w:color="auto"/>
            </w:tcBorders>
            <w:shd w:val="clear" w:color="auto" w:fill="auto"/>
            <w:vAlign w:val="center"/>
            <w:hideMark/>
          </w:tcPr>
          <w:p w14:paraId="6CCDF74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CORPORATE SERVICES </w:t>
            </w:r>
          </w:p>
        </w:tc>
        <w:tc>
          <w:tcPr>
            <w:tcW w:w="170" w:type="pct"/>
            <w:tcBorders>
              <w:top w:val="nil"/>
              <w:left w:val="nil"/>
              <w:bottom w:val="single" w:sz="4" w:space="0" w:color="auto"/>
              <w:right w:val="single" w:sz="4" w:space="0" w:color="auto"/>
            </w:tcBorders>
            <w:shd w:val="clear" w:color="auto" w:fill="auto"/>
            <w:vAlign w:val="center"/>
            <w:hideMark/>
          </w:tcPr>
          <w:p w14:paraId="3493BD7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ADMIN</w:t>
            </w:r>
          </w:p>
        </w:tc>
      </w:tr>
      <w:tr w:rsidR="008A0277" w:rsidRPr="008A0277" w14:paraId="36659E22" w14:textId="77777777" w:rsidTr="008A0277">
        <w:trPr>
          <w:trHeight w:val="974"/>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AB579B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Insufficient skills development</w:t>
            </w:r>
          </w:p>
        </w:tc>
        <w:tc>
          <w:tcPr>
            <w:tcW w:w="136" w:type="pct"/>
            <w:tcBorders>
              <w:top w:val="nil"/>
              <w:left w:val="nil"/>
              <w:bottom w:val="single" w:sz="4" w:space="0" w:color="auto"/>
              <w:right w:val="single" w:sz="4" w:space="0" w:color="auto"/>
            </w:tcBorders>
            <w:shd w:val="clear" w:color="auto" w:fill="auto"/>
            <w:noWrap/>
            <w:vAlign w:val="center"/>
            <w:hideMark/>
          </w:tcPr>
          <w:p w14:paraId="2F0A434F"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TL12</w:t>
            </w:r>
          </w:p>
        </w:tc>
        <w:tc>
          <w:tcPr>
            <w:tcW w:w="141" w:type="pct"/>
            <w:tcBorders>
              <w:top w:val="nil"/>
              <w:left w:val="nil"/>
              <w:bottom w:val="single" w:sz="4" w:space="0" w:color="auto"/>
              <w:right w:val="single" w:sz="4" w:space="0" w:color="auto"/>
            </w:tcBorders>
            <w:shd w:val="clear" w:color="auto" w:fill="auto"/>
            <w:noWrap/>
            <w:vAlign w:val="center"/>
            <w:hideMark/>
          </w:tcPr>
          <w:p w14:paraId="37C4F68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E5.2-12</w:t>
            </w:r>
          </w:p>
        </w:tc>
        <w:tc>
          <w:tcPr>
            <w:tcW w:w="269" w:type="pct"/>
            <w:tcBorders>
              <w:top w:val="nil"/>
              <w:left w:val="nil"/>
              <w:bottom w:val="single" w:sz="4" w:space="0" w:color="auto"/>
              <w:right w:val="single" w:sz="4" w:space="0" w:color="auto"/>
            </w:tcBorders>
            <w:shd w:val="clear" w:color="auto" w:fill="auto"/>
            <w:vAlign w:val="center"/>
            <w:hideMark/>
          </w:tcPr>
          <w:p w14:paraId="1A32882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skilled and capable workforce to support inclusive growth</w:t>
            </w:r>
          </w:p>
        </w:tc>
        <w:tc>
          <w:tcPr>
            <w:tcW w:w="280" w:type="pct"/>
            <w:tcBorders>
              <w:top w:val="nil"/>
              <w:left w:val="nil"/>
              <w:bottom w:val="single" w:sz="4" w:space="0" w:color="auto"/>
              <w:right w:val="single" w:sz="4" w:space="0" w:color="auto"/>
            </w:tcBorders>
            <w:shd w:val="clear" w:color="auto" w:fill="auto"/>
            <w:vAlign w:val="center"/>
            <w:hideMark/>
          </w:tcPr>
          <w:p w14:paraId="1F9E750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Transformation and Institutional Development</w:t>
            </w:r>
          </w:p>
        </w:tc>
        <w:tc>
          <w:tcPr>
            <w:tcW w:w="280" w:type="pct"/>
            <w:tcBorders>
              <w:top w:val="nil"/>
              <w:left w:val="nil"/>
              <w:bottom w:val="single" w:sz="4" w:space="0" w:color="auto"/>
              <w:right w:val="single" w:sz="4" w:space="0" w:color="auto"/>
            </w:tcBorders>
            <w:shd w:val="clear" w:color="auto" w:fill="auto"/>
            <w:vAlign w:val="center"/>
            <w:hideMark/>
          </w:tcPr>
          <w:p w14:paraId="1CFD134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Transformation and institutional development</w:t>
            </w:r>
          </w:p>
        </w:tc>
        <w:tc>
          <w:tcPr>
            <w:tcW w:w="278" w:type="pct"/>
            <w:tcBorders>
              <w:top w:val="nil"/>
              <w:left w:val="nil"/>
              <w:bottom w:val="single" w:sz="4" w:space="0" w:color="auto"/>
              <w:right w:val="single" w:sz="4" w:space="0" w:color="auto"/>
            </w:tcBorders>
            <w:shd w:val="clear" w:color="auto" w:fill="auto"/>
            <w:vAlign w:val="center"/>
            <w:hideMark/>
          </w:tcPr>
          <w:p w14:paraId="33D9039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develop the institution and to facilitate institutional transformation</w:t>
            </w:r>
          </w:p>
        </w:tc>
        <w:tc>
          <w:tcPr>
            <w:tcW w:w="374" w:type="pct"/>
            <w:tcBorders>
              <w:top w:val="nil"/>
              <w:left w:val="nil"/>
              <w:bottom w:val="single" w:sz="4" w:space="0" w:color="auto"/>
              <w:right w:val="single" w:sz="4" w:space="0" w:color="auto"/>
            </w:tcBorders>
            <w:shd w:val="clear" w:color="auto" w:fill="auto"/>
            <w:vAlign w:val="center"/>
            <w:hideMark/>
          </w:tcPr>
          <w:p w14:paraId="276BF40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Provide training to 54 Councillors by 30 June  in terms of skills audit undertaken </w:t>
            </w:r>
          </w:p>
        </w:tc>
        <w:tc>
          <w:tcPr>
            <w:tcW w:w="374" w:type="pct"/>
            <w:tcBorders>
              <w:top w:val="nil"/>
              <w:left w:val="nil"/>
              <w:bottom w:val="single" w:sz="4" w:space="0" w:color="auto"/>
              <w:right w:val="single" w:sz="4" w:space="0" w:color="auto"/>
            </w:tcBorders>
            <w:shd w:val="clear" w:color="auto" w:fill="auto"/>
            <w:vAlign w:val="center"/>
            <w:hideMark/>
          </w:tcPr>
          <w:p w14:paraId="737C81A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Number of Councillors trained by 30 June </w:t>
            </w:r>
          </w:p>
        </w:tc>
        <w:tc>
          <w:tcPr>
            <w:tcW w:w="374" w:type="pct"/>
            <w:tcBorders>
              <w:top w:val="nil"/>
              <w:left w:val="nil"/>
              <w:bottom w:val="single" w:sz="4" w:space="0" w:color="auto"/>
              <w:right w:val="single" w:sz="4" w:space="0" w:color="auto"/>
            </w:tcBorders>
            <w:shd w:val="clear" w:color="auto" w:fill="auto"/>
            <w:vAlign w:val="center"/>
            <w:hideMark/>
          </w:tcPr>
          <w:p w14:paraId="0A870C2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Training provided to 54 Councillors by 30 June  in terms of skills audit undertaken </w:t>
            </w:r>
          </w:p>
        </w:tc>
        <w:tc>
          <w:tcPr>
            <w:tcW w:w="305" w:type="pct"/>
            <w:tcBorders>
              <w:top w:val="nil"/>
              <w:left w:val="nil"/>
              <w:bottom w:val="single" w:sz="4" w:space="0" w:color="auto"/>
              <w:right w:val="single" w:sz="4" w:space="0" w:color="auto"/>
            </w:tcBorders>
            <w:shd w:val="clear" w:color="auto" w:fill="auto"/>
            <w:vAlign w:val="center"/>
            <w:hideMark/>
          </w:tcPr>
          <w:p w14:paraId="79EB2E2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Training provided to 20 Councillors by 31 September  in terms of skills audit undertaken </w:t>
            </w:r>
          </w:p>
        </w:tc>
        <w:tc>
          <w:tcPr>
            <w:tcW w:w="374" w:type="pct"/>
            <w:tcBorders>
              <w:top w:val="nil"/>
              <w:left w:val="nil"/>
              <w:bottom w:val="single" w:sz="4" w:space="0" w:color="auto"/>
              <w:right w:val="single" w:sz="4" w:space="0" w:color="auto"/>
            </w:tcBorders>
            <w:shd w:val="clear" w:color="auto" w:fill="auto"/>
            <w:vAlign w:val="center"/>
            <w:hideMark/>
          </w:tcPr>
          <w:p w14:paraId="4E57830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Training provided to 20 Councillors by 31 December  in terms of skills audit undertaken </w:t>
            </w:r>
          </w:p>
        </w:tc>
        <w:tc>
          <w:tcPr>
            <w:tcW w:w="305" w:type="pct"/>
            <w:tcBorders>
              <w:top w:val="nil"/>
              <w:left w:val="nil"/>
              <w:bottom w:val="single" w:sz="4" w:space="0" w:color="auto"/>
              <w:right w:val="single" w:sz="4" w:space="0" w:color="auto"/>
            </w:tcBorders>
            <w:shd w:val="clear" w:color="auto" w:fill="auto"/>
            <w:vAlign w:val="center"/>
            <w:hideMark/>
          </w:tcPr>
          <w:p w14:paraId="0E49DDF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Training provided to 20 Councillors by 31 March  in terms of skills audit undertaken </w:t>
            </w:r>
          </w:p>
        </w:tc>
        <w:tc>
          <w:tcPr>
            <w:tcW w:w="374" w:type="pct"/>
            <w:tcBorders>
              <w:top w:val="nil"/>
              <w:left w:val="nil"/>
              <w:bottom w:val="single" w:sz="4" w:space="0" w:color="auto"/>
              <w:right w:val="single" w:sz="4" w:space="0" w:color="auto"/>
            </w:tcBorders>
            <w:shd w:val="clear" w:color="auto" w:fill="auto"/>
            <w:vAlign w:val="center"/>
            <w:hideMark/>
          </w:tcPr>
          <w:p w14:paraId="42D3FD7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251" w:type="pct"/>
            <w:tcBorders>
              <w:top w:val="nil"/>
              <w:left w:val="nil"/>
              <w:bottom w:val="single" w:sz="4" w:space="0" w:color="auto"/>
              <w:right w:val="single" w:sz="4" w:space="0" w:color="auto"/>
            </w:tcBorders>
            <w:shd w:val="clear" w:color="auto" w:fill="auto"/>
            <w:vAlign w:val="center"/>
            <w:hideMark/>
          </w:tcPr>
          <w:p w14:paraId="59B0217D"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250 000.00</w:t>
            </w:r>
          </w:p>
        </w:tc>
        <w:tc>
          <w:tcPr>
            <w:tcW w:w="146" w:type="pct"/>
            <w:tcBorders>
              <w:top w:val="nil"/>
              <w:left w:val="nil"/>
              <w:bottom w:val="single" w:sz="4" w:space="0" w:color="auto"/>
              <w:right w:val="single" w:sz="4" w:space="0" w:color="auto"/>
            </w:tcBorders>
            <w:shd w:val="clear" w:color="auto" w:fill="auto"/>
            <w:noWrap/>
            <w:vAlign w:val="center"/>
            <w:hideMark/>
          </w:tcPr>
          <w:p w14:paraId="55018F07"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100%</w:t>
            </w:r>
          </w:p>
        </w:tc>
        <w:tc>
          <w:tcPr>
            <w:tcW w:w="278" w:type="pct"/>
            <w:tcBorders>
              <w:top w:val="nil"/>
              <w:left w:val="nil"/>
              <w:bottom w:val="single" w:sz="4" w:space="0" w:color="auto"/>
              <w:right w:val="single" w:sz="4" w:space="0" w:color="auto"/>
            </w:tcBorders>
            <w:shd w:val="clear" w:color="auto" w:fill="auto"/>
            <w:vAlign w:val="center"/>
            <w:hideMark/>
          </w:tcPr>
          <w:p w14:paraId="37D8D87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CORPORATE SERVICES </w:t>
            </w:r>
          </w:p>
        </w:tc>
        <w:tc>
          <w:tcPr>
            <w:tcW w:w="170" w:type="pct"/>
            <w:tcBorders>
              <w:top w:val="nil"/>
              <w:left w:val="nil"/>
              <w:bottom w:val="single" w:sz="4" w:space="0" w:color="auto"/>
              <w:right w:val="single" w:sz="4" w:space="0" w:color="auto"/>
            </w:tcBorders>
            <w:shd w:val="clear" w:color="auto" w:fill="auto"/>
            <w:vAlign w:val="center"/>
            <w:hideMark/>
          </w:tcPr>
          <w:p w14:paraId="14F5D7D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ADMIN</w:t>
            </w:r>
          </w:p>
        </w:tc>
      </w:tr>
      <w:tr w:rsidR="008A0277" w:rsidRPr="008A0277" w14:paraId="26F7C57C" w14:textId="77777777" w:rsidTr="008A0277">
        <w:trPr>
          <w:trHeight w:val="1217"/>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7370481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Insufficient skills development</w:t>
            </w:r>
          </w:p>
        </w:tc>
        <w:tc>
          <w:tcPr>
            <w:tcW w:w="136" w:type="pct"/>
            <w:tcBorders>
              <w:top w:val="nil"/>
              <w:left w:val="nil"/>
              <w:bottom w:val="single" w:sz="4" w:space="0" w:color="auto"/>
              <w:right w:val="single" w:sz="4" w:space="0" w:color="auto"/>
            </w:tcBorders>
            <w:shd w:val="clear" w:color="auto" w:fill="auto"/>
            <w:noWrap/>
            <w:vAlign w:val="center"/>
            <w:hideMark/>
          </w:tcPr>
          <w:p w14:paraId="358A1D47"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TL13</w:t>
            </w:r>
          </w:p>
        </w:tc>
        <w:tc>
          <w:tcPr>
            <w:tcW w:w="141" w:type="pct"/>
            <w:tcBorders>
              <w:top w:val="nil"/>
              <w:left w:val="nil"/>
              <w:bottom w:val="single" w:sz="4" w:space="0" w:color="auto"/>
              <w:right w:val="single" w:sz="4" w:space="0" w:color="auto"/>
            </w:tcBorders>
            <w:shd w:val="clear" w:color="auto" w:fill="auto"/>
            <w:noWrap/>
            <w:vAlign w:val="center"/>
            <w:hideMark/>
          </w:tcPr>
          <w:p w14:paraId="0E9209E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E5.2-13</w:t>
            </w:r>
          </w:p>
        </w:tc>
        <w:tc>
          <w:tcPr>
            <w:tcW w:w="269" w:type="pct"/>
            <w:tcBorders>
              <w:top w:val="nil"/>
              <w:left w:val="nil"/>
              <w:bottom w:val="single" w:sz="4" w:space="0" w:color="auto"/>
              <w:right w:val="single" w:sz="4" w:space="0" w:color="auto"/>
            </w:tcBorders>
            <w:shd w:val="clear" w:color="auto" w:fill="auto"/>
            <w:vAlign w:val="center"/>
            <w:hideMark/>
          </w:tcPr>
          <w:p w14:paraId="1393C0D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skilled and capable workforce to support inclusive growth</w:t>
            </w:r>
          </w:p>
        </w:tc>
        <w:tc>
          <w:tcPr>
            <w:tcW w:w="280" w:type="pct"/>
            <w:tcBorders>
              <w:top w:val="nil"/>
              <w:left w:val="nil"/>
              <w:bottom w:val="single" w:sz="4" w:space="0" w:color="auto"/>
              <w:right w:val="single" w:sz="4" w:space="0" w:color="auto"/>
            </w:tcBorders>
            <w:shd w:val="clear" w:color="auto" w:fill="auto"/>
            <w:vAlign w:val="center"/>
            <w:hideMark/>
          </w:tcPr>
          <w:p w14:paraId="26598F4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Transformation and Institutional Development</w:t>
            </w:r>
          </w:p>
        </w:tc>
        <w:tc>
          <w:tcPr>
            <w:tcW w:w="280" w:type="pct"/>
            <w:tcBorders>
              <w:top w:val="nil"/>
              <w:left w:val="nil"/>
              <w:bottom w:val="single" w:sz="4" w:space="0" w:color="auto"/>
              <w:right w:val="single" w:sz="4" w:space="0" w:color="auto"/>
            </w:tcBorders>
            <w:shd w:val="clear" w:color="auto" w:fill="auto"/>
            <w:vAlign w:val="center"/>
            <w:hideMark/>
          </w:tcPr>
          <w:p w14:paraId="54D9B5A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Transformation and institutional development</w:t>
            </w:r>
          </w:p>
        </w:tc>
        <w:tc>
          <w:tcPr>
            <w:tcW w:w="278" w:type="pct"/>
            <w:tcBorders>
              <w:top w:val="nil"/>
              <w:left w:val="nil"/>
              <w:bottom w:val="single" w:sz="4" w:space="0" w:color="auto"/>
              <w:right w:val="single" w:sz="4" w:space="0" w:color="auto"/>
            </w:tcBorders>
            <w:shd w:val="clear" w:color="auto" w:fill="auto"/>
            <w:vAlign w:val="center"/>
            <w:hideMark/>
          </w:tcPr>
          <w:p w14:paraId="3F1BEB3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develop the institution and to facilitate institutional transformation</w:t>
            </w:r>
          </w:p>
        </w:tc>
        <w:tc>
          <w:tcPr>
            <w:tcW w:w="374" w:type="pct"/>
            <w:tcBorders>
              <w:top w:val="nil"/>
              <w:left w:val="nil"/>
              <w:bottom w:val="single" w:sz="4" w:space="0" w:color="auto"/>
              <w:right w:val="single" w:sz="4" w:space="0" w:color="auto"/>
            </w:tcBorders>
            <w:shd w:val="clear" w:color="auto" w:fill="auto"/>
            <w:vAlign w:val="center"/>
            <w:hideMark/>
          </w:tcPr>
          <w:p w14:paraId="2D1A90D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Provide training to staff in terms of skills development plan and ensure 90% expenditure on staff training costs</w:t>
            </w:r>
          </w:p>
        </w:tc>
        <w:tc>
          <w:tcPr>
            <w:tcW w:w="374" w:type="pct"/>
            <w:tcBorders>
              <w:top w:val="nil"/>
              <w:left w:val="nil"/>
              <w:bottom w:val="single" w:sz="4" w:space="0" w:color="auto"/>
              <w:right w:val="single" w:sz="4" w:space="0" w:color="auto"/>
            </w:tcBorders>
            <w:shd w:val="clear" w:color="auto" w:fill="auto"/>
            <w:vAlign w:val="center"/>
            <w:hideMark/>
          </w:tcPr>
          <w:p w14:paraId="6F3454D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Percentage expenditure on staff training costs by 30 June</w:t>
            </w:r>
          </w:p>
        </w:tc>
        <w:tc>
          <w:tcPr>
            <w:tcW w:w="374" w:type="pct"/>
            <w:tcBorders>
              <w:top w:val="nil"/>
              <w:left w:val="nil"/>
              <w:bottom w:val="single" w:sz="4" w:space="0" w:color="auto"/>
              <w:right w:val="single" w:sz="4" w:space="0" w:color="auto"/>
            </w:tcBorders>
            <w:shd w:val="clear" w:color="auto" w:fill="auto"/>
            <w:vAlign w:val="center"/>
            <w:hideMark/>
          </w:tcPr>
          <w:p w14:paraId="45A86F5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90% expenditure on staff training costs budget by 30 June</w:t>
            </w:r>
          </w:p>
        </w:tc>
        <w:tc>
          <w:tcPr>
            <w:tcW w:w="305" w:type="pct"/>
            <w:tcBorders>
              <w:top w:val="nil"/>
              <w:left w:val="nil"/>
              <w:bottom w:val="single" w:sz="4" w:space="0" w:color="auto"/>
              <w:right w:val="single" w:sz="4" w:space="0" w:color="auto"/>
            </w:tcBorders>
            <w:shd w:val="clear" w:color="auto" w:fill="auto"/>
            <w:vAlign w:val="center"/>
            <w:hideMark/>
          </w:tcPr>
          <w:p w14:paraId="69C31F6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25% expenditure on staff training costs budget by 30 September</w:t>
            </w:r>
          </w:p>
        </w:tc>
        <w:tc>
          <w:tcPr>
            <w:tcW w:w="374" w:type="pct"/>
            <w:tcBorders>
              <w:top w:val="nil"/>
              <w:left w:val="nil"/>
              <w:bottom w:val="single" w:sz="4" w:space="0" w:color="auto"/>
              <w:right w:val="single" w:sz="4" w:space="0" w:color="auto"/>
            </w:tcBorders>
            <w:shd w:val="clear" w:color="auto" w:fill="auto"/>
            <w:vAlign w:val="center"/>
            <w:hideMark/>
          </w:tcPr>
          <w:p w14:paraId="7D98E6B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50% expenditure on staff training costs budget by 31 December</w:t>
            </w:r>
          </w:p>
        </w:tc>
        <w:tc>
          <w:tcPr>
            <w:tcW w:w="305" w:type="pct"/>
            <w:tcBorders>
              <w:top w:val="nil"/>
              <w:left w:val="nil"/>
              <w:bottom w:val="single" w:sz="4" w:space="0" w:color="auto"/>
              <w:right w:val="single" w:sz="4" w:space="0" w:color="auto"/>
            </w:tcBorders>
            <w:shd w:val="clear" w:color="auto" w:fill="auto"/>
            <w:vAlign w:val="center"/>
            <w:hideMark/>
          </w:tcPr>
          <w:p w14:paraId="6DD7158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75% expenditure on staff training costs budget by 31 March</w:t>
            </w:r>
          </w:p>
        </w:tc>
        <w:tc>
          <w:tcPr>
            <w:tcW w:w="374" w:type="pct"/>
            <w:tcBorders>
              <w:top w:val="nil"/>
              <w:left w:val="nil"/>
              <w:bottom w:val="single" w:sz="4" w:space="0" w:color="auto"/>
              <w:right w:val="single" w:sz="4" w:space="0" w:color="auto"/>
            </w:tcBorders>
            <w:shd w:val="clear" w:color="auto" w:fill="auto"/>
            <w:vAlign w:val="center"/>
            <w:hideMark/>
          </w:tcPr>
          <w:p w14:paraId="6F62A8C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90% expenditure on staff training costs budget by 30 June</w:t>
            </w:r>
          </w:p>
        </w:tc>
        <w:tc>
          <w:tcPr>
            <w:tcW w:w="251" w:type="pct"/>
            <w:tcBorders>
              <w:top w:val="nil"/>
              <w:left w:val="nil"/>
              <w:bottom w:val="single" w:sz="4" w:space="0" w:color="auto"/>
              <w:right w:val="single" w:sz="4" w:space="0" w:color="auto"/>
            </w:tcBorders>
            <w:shd w:val="clear" w:color="auto" w:fill="auto"/>
            <w:vAlign w:val="center"/>
            <w:hideMark/>
          </w:tcPr>
          <w:p w14:paraId="36F28D93"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608 190.00</w:t>
            </w:r>
          </w:p>
        </w:tc>
        <w:tc>
          <w:tcPr>
            <w:tcW w:w="146" w:type="pct"/>
            <w:tcBorders>
              <w:top w:val="nil"/>
              <w:left w:val="nil"/>
              <w:bottom w:val="single" w:sz="4" w:space="0" w:color="auto"/>
              <w:right w:val="single" w:sz="4" w:space="0" w:color="auto"/>
            </w:tcBorders>
            <w:shd w:val="clear" w:color="auto" w:fill="auto"/>
            <w:noWrap/>
            <w:vAlign w:val="center"/>
            <w:hideMark/>
          </w:tcPr>
          <w:p w14:paraId="122E16CC"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100%</w:t>
            </w:r>
          </w:p>
        </w:tc>
        <w:tc>
          <w:tcPr>
            <w:tcW w:w="278" w:type="pct"/>
            <w:tcBorders>
              <w:top w:val="nil"/>
              <w:left w:val="nil"/>
              <w:bottom w:val="single" w:sz="4" w:space="0" w:color="auto"/>
              <w:right w:val="single" w:sz="4" w:space="0" w:color="auto"/>
            </w:tcBorders>
            <w:shd w:val="clear" w:color="auto" w:fill="auto"/>
            <w:vAlign w:val="center"/>
            <w:hideMark/>
          </w:tcPr>
          <w:p w14:paraId="0D2D542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CORPORATE SERVICES </w:t>
            </w:r>
          </w:p>
        </w:tc>
        <w:tc>
          <w:tcPr>
            <w:tcW w:w="170" w:type="pct"/>
            <w:tcBorders>
              <w:top w:val="nil"/>
              <w:left w:val="nil"/>
              <w:bottom w:val="single" w:sz="4" w:space="0" w:color="auto"/>
              <w:right w:val="single" w:sz="4" w:space="0" w:color="auto"/>
            </w:tcBorders>
            <w:shd w:val="clear" w:color="auto" w:fill="auto"/>
            <w:vAlign w:val="center"/>
            <w:hideMark/>
          </w:tcPr>
          <w:p w14:paraId="1F01E69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ADMIN</w:t>
            </w:r>
          </w:p>
        </w:tc>
      </w:tr>
      <w:tr w:rsidR="008A0277" w:rsidRPr="008A0277" w14:paraId="5E11C369" w14:textId="77777777" w:rsidTr="008A0277">
        <w:trPr>
          <w:trHeight w:val="1425"/>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0A5FFA5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IT Audit findings</w:t>
            </w:r>
          </w:p>
        </w:tc>
        <w:tc>
          <w:tcPr>
            <w:tcW w:w="136" w:type="pct"/>
            <w:tcBorders>
              <w:top w:val="nil"/>
              <w:left w:val="nil"/>
              <w:bottom w:val="single" w:sz="4" w:space="0" w:color="auto"/>
              <w:right w:val="single" w:sz="4" w:space="0" w:color="auto"/>
            </w:tcBorders>
            <w:shd w:val="clear" w:color="auto" w:fill="auto"/>
            <w:noWrap/>
            <w:vAlign w:val="center"/>
            <w:hideMark/>
          </w:tcPr>
          <w:p w14:paraId="1F13C2B6"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TL14</w:t>
            </w:r>
          </w:p>
        </w:tc>
        <w:tc>
          <w:tcPr>
            <w:tcW w:w="141" w:type="pct"/>
            <w:tcBorders>
              <w:top w:val="nil"/>
              <w:left w:val="nil"/>
              <w:bottom w:val="single" w:sz="4" w:space="0" w:color="auto"/>
              <w:right w:val="single" w:sz="4" w:space="0" w:color="auto"/>
            </w:tcBorders>
            <w:shd w:val="clear" w:color="auto" w:fill="auto"/>
            <w:noWrap/>
            <w:vAlign w:val="center"/>
            <w:hideMark/>
          </w:tcPr>
          <w:p w14:paraId="5421713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E5.2-14</w:t>
            </w:r>
          </w:p>
        </w:tc>
        <w:tc>
          <w:tcPr>
            <w:tcW w:w="269" w:type="pct"/>
            <w:tcBorders>
              <w:top w:val="nil"/>
              <w:left w:val="nil"/>
              <w:bottom w:val="single" w:sz="4" w:space="0" w:color="auto"/>
              <w:right w:val="single" w:sz="4" w:space="0" w:color="auto"/>
            </w:tcBorders>
            <w:shd w:val="clear" w:color="auto" w:fill="auto"/>
            <w:vAlign w:val="center"/>
            <w:hideMark/>
          </w:tcPr>
          <w:p w14:paraId="2200640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responsive and accountable, effective and efficient local government system</w:t>
            </w:r>
          </w:p>
        </w:tc>
        <w:tc>
          <w:tcPr>
            <w:tcW w:w="280" w:type="pct"/>
            <w:tcBorders>
              <w:top w:val="nil"/>
              <w:left w:val="nil"/>
              <w:bottom w:val="single" w:sz="4" w:space="0" w:color="auto"/>
              <w:right w:val="single" w:sz="4" w:space="0" w:color="auto"/>
            </w:tcBorders>
            <w:shd w:val="clear" w:color="auto" w:fill="auto"/>
            <w:vAlign w:val="center"/>
            <w:hideMark/>
          </w:tcPr>
          <w:p w14:paraId="040A4AB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80" w:type="pct"/>
            <w:tcBorders>
              <w:top w:val="nil"/>
              <w:left w:val="nil"/>
              <w:bottom w:val="single" w:sz="4" w:space="0" w:color="auto"/>
              <w:right w:val="single" w:sz="4" w:space="0" w:color="auto"/>
            </w:tcBorders>
            <w:shd w:val="clear" w:color="auto" w:fill="auto"/>
            <w:vAlign w:val="center"/>
            <w:hideMark/>
          </w:tcPr>
          <w:p w14:paraId="19E1371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78" w:type="pct"/>
            <w:tcBorders>
              <w:top w:val="nil"/>
              <w:left w:val="nil"/>
              <w:bottom w:val="single" w:sz="4" w:space="0" w:color="auto"/>
              <w:right w:val="single" w:sz="4" w:space="0" w:color="auto"/>
            </w:tcBorders>
            <w:shd w:val="clear" w:color="auto" w:fill="auto"/>
            <w:vAlign w:val="center"/>
            <w:hideMark/>
          </w:tcPr>
          <w:p w14:paraId="700AE9F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develop the institution and to facilitate institutional transformation</w:t>
            </w:r>
          </w:p>
        </w:tc>
        <w:tc>
          <w:tcPr>
            <w:tcW w:w="374" w:type="pct"/>
            <w:tcBorders>
              <w:top w:val="nil"/>
              <w:left w:val="nil"/>
              <w:bottom w:val="single" w:sz="4" w:space="0" w:color="auto"/>
              <w:right w:val="single" w:sz="4" w:space="0" w:color="auto"/>
            </w:tcBorders>
            <w:shd w:val="clear" w:color="auto" w:fill="auto"/>
            <w:vAlign w:val="center"/>
            <w:hideMark/>
          </w:tcPr>
          <w:p w14:paraId="6DBF3BB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Spend 90% of the IT budget by 31 March </w:t>
            </w:r>
          </w:p>
        </w:tc>
        <w:tc>
          <w:tcPr>
            <w:tcW w:w="374" w:type="pct"/>
            <w:tcBorders>
              <w:top w:val="nil"/>
              <w:left w:val="nil"/>
              <w:bottom w:val="single" w:sz="4" w:space="0" w:color="auto"/>
              <w:right w:val="single" w:sz="4" w:space="0" w:color="auto"/>
            </w:tcBorders>
            <w:shd w:val="clear" w:color="auto" w:fill="auto"/>
            <w:vAlign w:val="center"/>
            <w:hideMark/>
          </w:tcPr>
          <w:p w14:paraId="5C62CD4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Percentage of IT budget spent by 31 March</w:t>
            </w:r>
          </w:p>
        </w:tc>
        <w:tc>
          <w:tcPr>
            <w:tcW w:w="374" w:type="pct"/>
            <w:tcBorders>
              <w:top w:val="nil"/>
              <w:left w:val="nil"/>
              <w:bottom w:val="single" w:sz="4" w:space="0" w:color="auto"/>
              <w:right w:val="single" w:sz="4" w:space="0" w:color="auto"/>
            </w:tcBorders>
            <w:shd w:val="clear" w:color="auto" w:fill="auto"/>
            <w:vAlign w:val="center"/>
            <w:hideMark/>
          </w:tcPr>
          <w:p w14:paraId="556AB32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90% expenditure on IT budget by 31 March</w:t>
            </w:r>
          </w:p>
        </w:tc>
        <w:tc>
          <w:tcPr>
            <w:tcW w:w="305" w:type="pct"/>
            <w:tcBorders>
              <w:top w:val="nil"/>
              <w:left w:val="nil"/>
              <w:bottom w:val="single" w:sz="4" w:space="0" w:color="auto"/>
              <w:right w:val="single" w:sz="4" w:space="0" w:color="auto"/>
            </w:tcBorders>
            <w:shd w:val="clear" w:color="auto" w:fill="auto"/>
            <w:vAlign w:val="center"/>
            <w:hideMark/>
          </w:tcPr>
          <w:p w14:paraId="7967B12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25% expenditure on IT budget by 30 September</w:t>
            </w:r>
          </w:p>
        </w:tc>
        <w:tc>
          <w:tcPr>
            <w:tcW w:w="374" w:type="pct"/>
            <w:tcBorders>
              <w:top w:val="nil"/>
              <w:left w:val="nil"/>
              <w:bottom w:val="single" w:sz="4" w:space="0" w:color="auto"/>
              <w:right w:val="single" w:sz="4" w:space="0" w:color="auto"/>
            </w:tcBorders>
            <w:shd w:val="clear" w:color="auto" w:fill="auto"/>
            <w:vAlign w:val="center"/>
            <w:hideMark/>
          </w:tcPr>
          <w:p w14:paraId="1A0380F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50% expenditure on IT budget by 31 December</w:t>
            </w:r>
          </w:p>
        </w:tc>
        <w:tc>
          <w:tcPr>
            <w:tcW w:w="305" w:type="pct"/>
            <w:tcBorders>
              <w:top w:val="nil"/>
              <w:left w:val="nil"/>
              <w:bottom w:val="single" w:sz="4" w:space="0" w:color="auto"/>
              <w:right w:val="single" w:sz="4" w:space="0" w:color="auto"/>
            </w:tcBorders>
            <w:shd w:val="clear" w:color="auto" w:fill="auto"/>
            <w:vAlign w:val="center"/>
            <w:hideMark/>
          </w:tcPr>
          <w:p w14:paraId="1377DB0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75% expenditure on IT budget by 31 March</w:t>
            </w:r>
          </w:p>
        </w:tc>
        <w:tc>
          <w:tcPr>
            <w:tcW w:w="374" w:type="pct"/>
            <w:tcBorders>
              <w:top w:val="nil"/>
              <w:left w:val="nil"/>
              <w:bottom w:val="single" w:sz="4" w:space="0" w:color="auto"/>
              <w:right w:val="single" w:sz="4" w:space="0" w:color="auto"/>
            </w:tcBorders>
            <w:shd w:val="clear" w:color="auto" w:fill="auto"/>
            <w:vAlign w:val="center"/>
            <w:hideMark/>
          </w:tcPr>
          <w:p w14:paraId="7819633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90% expenditure on IT budget by 30 June</w:t>
            </w:r>
          </w:p>
        </w:tc>
        <w:tc>
          <w:tcPr>
            <w:tcW w:w="251" w:type="pct"/>
            <w:tcBorders>
              <w:top w:val="nil"/>
              <w:left w:val="nil"/>
              <w:bottom w:val="single" w:sz="4" w:space="0" w:color="auto"/>
              <w:right w:val="single" w:sz="4" w:space="0" w:color="auto"/>
            </w:tcBorders>
            <w:shd w:val="clear" w:color="auto" w:fill="auto"/>
            <w:vAlign w:val="center"/>
            <w:hideMark/>
          </w:tcPr>
          <w:p w14:paraId="01003B7B"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3 278 440.00</w:t>
            </w:r>
          </w:p>
        </w:tc>
        <w:tc>
          <w:tcPr>
            <w:tcW w:w="146" w:type="pct"/>
            <w:tcBorders>
              <w:top w:val="nil"/>
              <w:left w:val="nil"/>
              <w:bottom w:val="single" w:sz="4" w:space="0" w:color="auto"/>
              <w:right w:val="single" w:sz="4" w:space="0" w:color="auto"/>
            </w:tcBorders>
            <w:shd w:val="clear" w:color="auto" w:fill="auto"/>
            <w:noWrap/>
            <w:vAlign w:val="center"/>
            <w:hideMark/>
          </w:tcPr>
          <w:p w14:paraId="00F692F6"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w:t>
            </w:r>
          </w:p>
        </w:tc>
        <w:tc>
          <w:tcPr>
            <w:tcW w:w="278" w:type="pct"/>
            <w:tcBorders>
              <w:top w:val="nil"/>
              <w:left w:val="nil"/>
              <w:bottom w:val="single" w:sz="4" w:space="0" w:color="auto"/>
              <w:right w:val="single" w:sz="4" w:space="0" w:color="auto"/>
            </w:tcBorders>
            <w:shd w:val="clear" w:color="auto" w:fill="auto"/>
            <w:vAlign w:val="center"/>
            <w:hideMark/>
          </w:tcPr>
          <w:p w14:paraId="0E70A07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CORPORATE SERVICES </w:t>
            </w:r>
          </w:p>
        </w:tc>
        <w:tc>
          <w:tcPr>
            <w:tcW w:w="170" w:type="pct"/>
            <w:tcBorders>
              <w:top w:val="nil"/>
              <w:left w:val="nil"/>
              <w:bottom w:val="single" w:sz="4" w:space="0" w:color="auto"/>
              <w:right w:val="single" w:sz="4" w:space="0" w:color="auto"/>
            </w:tcBorders>
            <w:shd w:val="clear" w:color="auto" w:fill="auto"/>
            <w:vAlign w:val="center"/>
            <w:hideMark/>
          </w:tcPr>
          <w:p w14:paraId="11C8C3F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ADMIN</w:t>
            </w:r>
          </w:p>
        </w:tc>
      </w:tr>
      <w:tr w:rsidR="008A0277" w:rsidRPr="008A0277" w14:paraId="64B243E6" w14:textId="77777777" w:rsidTr="008A0277">
        <w:trPr>
          <w:trHeight w:val="1408"/>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A8286F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Inadequate performance monitoring</w:t>
            </w:r>
          </w:p>
        </w:tc>
        <w:tc>
          <w:tcPr>
            <w:tcW w:w="136" w:type="pct"/>
            <w:tcBorders>
              <w:top w:val="nil"/>
              <w:left w:val="nil"/>
              <w:bottom w:val="single" w:sz="4" w:space="0" w:color="auto"/>
              <w:right w:val="single" w:sz="4" w:space="0" w:color="auto"/>
            </w:tcBorders>
            <w:shd w:val="clear" w:color="auto" w:fill="auto"/>
            <w:noWrap/>
            <w:vAlign w:val="center"/>
            <w:hideMark/>
          </w:tcPr>
          <w:p w14:paraId="2C7FD45F"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TL15</w:t>
            </w:r>
          </w:p>
        </w:tc>
        <w:tc>
          <w:tcPr>
            <w:tcW w:w="141" w:type="pct"/>
            <w:tcBorders>
              <w:top w:val="nil"/>
              <w:left w:val="nil"/>
              <w:bottom w:val="single" w:sz="4" w:space="0" w:color="auto"/>
              <w:right w:val="single" w:sz="4" w:space="0" w:color="auto"/>
            </w:tcBorders>
            <w:shd w:val="clear" w:color="auto" w:fill="auto"/>
            <w:noWrap/>
            <w:vAlign w:val="center"/>
            <w:hideMark/>
          </w:tcPr>
          <w:p w14:paraId="3F030DE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E5.2-15</w:t>
            </w:r>
          </w:p>
        </w:tc>
        <w:tc>
          <w:tcPr>
            <w:tcW w:w="269" w:type="pct"/>
            <w:tcBorders>
              <w:top w:val="nil"/>
              <w:left w:val="nil"/>
              <w:bottom w:val="single" w:sz="4" w:space="0" w:color="auto"/>
              <w:right w:val="single" w:sz="4" w:space="0" w:color="auto"/>
            </w:tcBorders>
            <w:shd w:val="clear" w:color="auto" w:fill="auto"/>
            <w:vAlign w:val="center"/>
            <w:hideMark/>
          </w:tcPr>
          <w:p w14:paraId="733995D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responsive and accountable, effective and efficient local government system</w:t>
            </w:r>
          </w:p>
        </w:tc>
        <w:tc>
          <w:tcPr>
            <w:tcW w:w="280" w:type="pct"/>
            <w:tcBorders>
              <w:top w:val="nil"/>
              <w:left w:val="nil"/>
              <w:bottom w:val="single" w:sz="4" w:space="0" w:color="auto"/>
              <w:right w:val="single" w:sz="4" w:space="0" w:color="auto"/>
            </w:tcBorders>
            <w:shd w:val="clear" w:color="auto" w:fill="auto"/>
            <w:vAlign w:val="center"/>
            <w:hideMark/>
          </w:tcPr>
          <w:p w14:paraId="033605B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80" w:type="pct"/>
            <w:tcBorders>
              <w:top w:val="nil"/>
              <w:left w:val="nil"/>
              <w:bottom w:val="single" w:sz="4" w:space="0" w:color="auto"/>
              <w:right w:val="single" w:sz="4" w:space="0" w:color="auto"/>
            </w:tcBorders>
            <w:shd w:val="clear" w:color="auto" w:fill="auto"/>
            <w:vAlign w:val="center"/>
            <w:hideMark/>
          </w:tcPr>
          <w:p w14:paraId="4A850DC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78" w:type="pct"/>
            <w:tcBorders>
              <w:top w:val="nil"/>
              <w:left w:val="nil"/>
              <w:bottom w:val="single" w:sz="4" w:space="0" w:color="auto"/>
              <w:right w:val="single" w:sz="4" w:space="0" w:color="auto"/>
            </w:tcBorders>
            <w:shd w:val="clear" w:color="auto" w:fill="auto"/>
            <w:vAlign w:val="center"/>
            <w:hideMark/>
          </w:tcPr>
          <w:p w14:paraId="6D6E40C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ensure continued sound financial management</w:t>
            </w:r>
          </w:p>
        </w:tc>
        <w:tc>
          <w:tcPr>
            <w:tcW w:w="374" w:type="pct"/>
            <w:tcBorders>
              <w:top w:val="nil"/>
              <w:left w:val="nil"/>
              <w:bottom w:val="single" w:sz="4" w:space="0" w:color="auto"/>
              <w:right w:val="single" w:sz="4" w:space="0" w:color="auto"/>
            </w:tcBorders>
            <w:shd w:val="clear" w:color="auto" w:fill="auto"/>
            <w:vAlign w:val="center"/>
            <w:hideMark/>
          </w:tcPr>
          <w:p w14:paraId="39B890C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Submit monthly reports to PMS on the performance of the Service Provider for asset management</w:t>
            </w:r>
          </w:p>
        </w:tc>
        <w:tc>
          <w:tcPr>
            <w:tcW w:w="374" w:type="pct"/>
            <w:tcBorders>
              <w:top w:val="nil"/>
              <w:left w:val="nil"/>
              <w:bottom w:val="single" w:sz="4" w:space="0" w:color="auto"/>
              <w:right w:val="single" w:sz="4" w:space="0" w:color="auto"/>
            </w:tcBorders>
            <w:shd w:val="clear" w:color="auto" w:fill="auto"/>
            <w:vAlign w:val="center"/>
            <w:hideMark/>
          </w:tcPr>
          <w:p w14:paraId="7895E9E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Number of reports submitted by 30 June </w:t>
            </w:r>
          </w:p>
        </w:tc>
        <w:tc>
          <w:tcPr>
            <w:tcW w:w="374" w:type="pct"/>
            <w:tcBorders>
              <w:top w:val="nil"/>
              <w:left w:val="nil"/>
              <w:bottom w:val="single" w:sz="4" w:space="0" w:color="auto"/>
              <w:right w:val="single" w:sz="4" w:space="0" w:color="auto"/>
            </w:tcBorders>
            <w:shd w:val="clear" w:color="auto" w:fill="auto"/>
            <w:vAlign w:val="center"/>
            <w:hideMark/>
          </w:tcPr>
          <w:p w14:paraId="2A3ACF5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12 reports submitted to PMS by 30 June on the performance of the Service Provider for asset management</w:t>
            </w:r>
          </w:p>
        </w:tc>
        <w:tc>
          <w:tcPr>
            <w:tcW w:w="305" w:type="pct"/>
            <w:tcBorders>
              <w:top w:val="nil"/>
              <w:left w:val="nil"/>
              <w:bottom w:val="single" w:sz="4" w:space="0" w:color="auto"/>
              <w:right w:val="single" w:sz="4" w:space="0" w:color="auto"/>
            </w:tcBorders>
            <w:shd w:val="clear" w:color="auto" w:fill="auto"/>
            <w:vAlign w:val="center"/>
            <w:hideMark/>
          </w:tcPr>
          <w:p w14:paraId="2D31B5E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reports submitted to PMS by 30 September on the performance of the Service Provider for asset management</w:t>
            </w:r>
          </w:p>
        </w:tc>
        <w:tc>
          <w:tcPr>
            <w:tcW w:w="374" w:type="pct"/>
            <w:tcBorders>
              <w:top w:val="nil"/>
              <w:left w:val="nil"/>
              <w:bottom w:val="single" w:sz="4" w:space="0" w:color="auto"/>
              <w:right w:val="single" w:sz="4" w:space="0" w:color="auto"/>
            </w:tcBorders>
            <w:shd w:val="clear" w:color="auto" w:fill="auto"/>
            <w:vAlign w:val="center"/>
            <w:hideMark/>
          </w:tcPr>
          <w:p w14:paraId="671BD1E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reports submitted to PMS by 31 December on the performance of the Service Provider for asset management</w:t>
            </w:r>
          </w:p>
        </w:tc>
        <w:tc>
          <w:tcPr>
            <w:tcW w:w="305" w:type="pct"/>
            <w:tcBorders>
              <w:top w:val="nil"/>
              <w:left w:val="nil"/>
              <w:bottom w:val="single" w:sz="4" w:space="0" w:color="auto"/>
              <w:right w:val="single" w:sz="4" w:space="0" w:color="auto"/>
            </w:tcBorders>
            <w:shd w:val="clear" w:color="auto" w:fill="auto"/>
            <w:vAlign w:val="center"/>
            <w:hideMark/>
          </w:tcPr>
          <w:p w14:paraId="314F8DB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reports submitted to PMS by 31 March  on the performance of the Service Provider for asset management</w:t>
            </w:r>
          </w:p>
        </w:tc>
        <w:tc>
          <w:tcPr>
            <w:tcW w:w="374" w:type="pct"/>
            <w:tcBorders>
              <w:top w:val="nil"/>
              <w:left w:val="nil"/>
              <w:bottom w:val="single" w:sz="4" w:space="0" w:color="auto"/>
              <w:right w:val="single" w:sz="4" w:space="0" w:color="auto"/>
            </w:tcBorders>
            <w:shd w:val="clear" w:color="auto" w:fill="auto"/>
            <w:vAlign w:val="center"/>
            <w:hideMark/>
          </w:tcPr>
          <w:p w14:paraId="53FC6B5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reports submitted to PMS by 30 June on the performance of the Service Provider for asset management</w:t>
            </w:r>
          </w:p>
        </w:tc>
        <w:tc>
          <w:tcPr>
            <w:tcW w:w="251" w:type="pct"/>
            <w:tcBorders>
              <w:top w:val="nil"/>
              <w:left w:val="nil"/>
              <w:bottom w:val="single" w:sz="4" w:space="0" w:color="auto"/>
              <w:right w:val="single" w:sz="4" w:space="0" w:color="auto"/>
            </w:tcBorders>
            <w:shd w:val="clear" w:color="auto" w:fill="auto"/>
            <w:vAlign w:val="center"/>
            <w:hideMark/>
          </w:tcPr>
          <w:p w14:paraId="15ADC0FE" w14:textId="77777777" w:rsidR="008A0277" w:rsidRPr="008A0277" w:rsidRDefault="008A0277" w:rsidP="008A0277">
            <w:pPr>
              <w:spacing w:after="0" w:line="240" w:lineRule="auto"/>
              <w:jc w:val="right"/>
              <w:rPr>
                <w:rFonts w:eastAsia="Times New Roman" w:cs="Times New Roman"/>
                <w:sz w:val="12"/>
                <w:szCs w:val="12"/>
                <w:lang w:val="en-ZA" w:eastAsia="en-ZA"/>
              </w:rPr>
            </w:pPr>
            <w:r w:rsidRPr="008A0277">
              <w:rPr>
                <w:rFonts w:eastAsia="Times New Roman" w:cs="Times New Roman"/>
                <w:sz w:val="12"/>
                <w:szCs w:val="12"/>
                <w:lang w:val="en-ZA" w:eastAsia="en-ZA"/>
              </w:rPr>
              <w:t>500 000.00</w:t>
            </w:r>
          </w:p>
        </w:tc>
        <w:tc>
          <w:tcPr>
            <w:tcW w:w="146" w:type="pct"/>
            <w:tcBorders>
              <w:top w:val="nil"/>
              <w:left w:val="nil"/>
              <w:bottom w:val="single" w:sz="4" w:space="0" w:color="auto"/>
              <w:right w:val="single" w:sz="4" w:space="0" w:color="auto"/>
            </w:tcBorders>
            <w:shd w:val="clear" w:color="auto" w:fill="auto"/>
            <w:noWrap/>
            <w:vAlign w:val="center"/>
            <w:hideMark/>
          </w:tcPr>
          <w:p w14:paraId="45D19D73"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w:t>
            </w:r>
          </w:p>
        </w:tc>
        <w:tc>
          <w:tcPr>
            <w:tcW w:w="278" w:type="pct"/>
            <w:tcBorders>
              <w:top w:val="nil"/>
              <w:left w:val="nil"/>
              <w:bottom w:val="single" w:sz="4" w:space="0" w:color="auto"/>
              <w:right w:val="single" w:sz="4" w:space="0" w:color="auto"/>
            </w:tcBorders>
            <w:shd w:val="clear" w:color="auto" w:fill="auto"/>
            <w:vAlign w:val="center"/>
            <w:hideMark/>
          </w:tcPr>
          <w:p w14:paraId="1592221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FINANCIAL SERVICES</w:t>
            </w:r>
          </w:p>
        </w:tc>
        <w:tc>
          <w:tcPr>
            <w:tcW w:w="170" w:type="pct"/>
            <w:tcBorders>
              <w:top w:val="nil"/>
              <w:left w:val="nil"/>
              <w:bottom w:val="single" w:sz="4" w:space="0" w:color="auto"/>
              <w:right w:val="single" w:sz="4" w:space="0" w:color="auto"/>
            </w:tcBorders>
            <w:shd w:val="clear" w:color="auto" w:fill="auto"/>
            <w:vAlign w:val="center"/>
            <w:hideMark/>
          </w:tcPr>
          <w:p w14:paraId="22319F2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ADMIN</w:t>
            </w:r>
          </w:p>
        </w:tc>
      </w:tr>
      <w:tr w:rsidR="008A0277" w:rsidRPr="008A0277" w14:paraId="40D28890" w14:textId="77777777" w:rsidTr="008A0277">
        <w:trPr>
          <w:trHeight w:val="1408"/>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5E3AE0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Inadequate financial performance</w:t>
            </w:r>
          </w:p>
        </w:tc>
        <w:tc>
          <w:tcPr>
            <w:tcW w:w="136" w:type="pct"/>
            <w:tcBorders>
              <w:top w:val="nil"/>
              <w:left w:val="nil"/>
              <w:bottom w:val="single" w:sz="4" w:space="0" w:color="auto"/>
              <w:right w:val="single" w:sz="4" w:space="0" w:color="auto"/>
            </w:tcBorders>
            <w:shd w:val="clear" w:color="auto" w:fill="auto"/>
            <w:noWrap/>
            <w:vAlign w:val="center"/>
            <w:hideMark/>
          </w:tcPr>
          <w:p w14:paraId="2A9792AA"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TL16</w:t>
            </w:r>
          </w:p>
        </w:tc>
        <w:tc>
          <w:tcPr>
            <w:tcW w:w="141" w:type="pct"/>
            <w:tcBorders>
              <w:top w:val="nil"/>
              <w:left w:val="nil"/>
              <w:bottom w:val="single" w:sz="4" w:space="0" w:color="auto"/>
              <w:right w:val="single" w:sz="4" w:space="0" w:color="auto"/>
            </w:tcBorders>
            <w:shd w:val="clear" w:color="auto" w:fill="auto"/>
            <w:noWrap/>
            <w:vAlign w:val="center"/>
            <w:hideMark/>
          </w:tcPr>
          <w:p w14:paraId="13E25AF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E5.2-16</w:t>
            </w:r>
          </w:p>
        </w:tc>
        <w:tc>
          <w:tcPr>
            <w:tcW w:w="269" w:type="pct"/>
            <w:tcBorders>
              <w:top w:val="nil"/>
              <w:left w:val="nil"/>
              <w:bottom w:val="single" w:sz="4" w:space="0" w:color="auto"/>
              <w:right w:val="single" w:sz="4" w:space="0" w:color="auto"/>
            </w:tcBorders>
            <w:shd w:val="clear" w:color="auto" w:fill="auto"/>
            <w:vAlign w:val="center"/>
            <w:hideMark/>
          </w:tcPr>
          <w:p w14:paraId="6DC8ECC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responsive and accountable, effective and efficient local government system</w:t>
            </w:r>
          </w:p>
        </w:tc>
        <w:tc>
          <w:tcPr>
            <w:tcW w:w="280" w:type="pct"/>
            <w:tcBorders>
              <w:top w:val="nil"/>
              <w:left w:val="nil"/>
              <w:bottom w:val="single" w:sz="4" w:space="0" w:color="auto"/>
              <w:right w:val="single" w:sz="4" w:space="0" w:color="auto"/>
            </w:tcBorders>
            <w:shd w:val="clear" w:color="auto" w:fill="auto"/>
            <w:vAlign w:val="center"/>
            <w:hideMark/>
          </w:tcPr>
          <w:p w14:paraId="503084D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80" w:type="pct"/>
            <w:tcBorders>
              <w:top w:val="nil"/>
              <w:left w:val="nil"/>
              <w:bottom w:val="single" w:sz="4" w:space="0" w:color="auto"/>
              <w:right w:val="single" w:sz="4" w:space="0" w:color="auto"/>
            </w:tcBorders>
            <w:shd w:val="clear" w:color="auto" w:fill="auto"/>
            <w:vAlign w:val="center"/>
            <w:hideMark/>
          </w:tcPr>
          <w:p w14:paraId="7064A0A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78" w:type="pct"/>
            <w:tcBorders>
              <w:top w:val="nil"/>
              <w:left w:val="nil"/>
              <w:bottom w:val="single" w:sz="4" w:space="0" w:color="auto"/>
              <w:right w:val="single" w:sz="4" w:space="0" w:color="auto"/>
            </w:tcBorders>
            <w:shd w:val="clear" w:color="auto" w:fill="auto"/>
            <w:vAlign w:val="center"/>
            <w:hideMark/>
          </w:tcPr>
          <w:p w14:paraId="5F73956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ensure continued sound financial management</w:t>
            </w:r>
          </w:p>
        </w:tc>
        <w:tc>
          <w:tcPr>
            <w:tcW w:w="374" w:type="pct"/>
            <w:tcBorders>
              <w:top w:val="nil"/>
              <w:left w:val="nil"/>
              <w:bottom w:val="single" w:sz="4" w:space="0" w:color="auto"/>
              <w:right w:val="single" w:sz="4" w:space="0" w:color="auto"/>
            </w:tcBorders>
            <w:shd w:val="clear" w:color="auto" w:fill="auto"/>
            <w:vAlign w:val="center"/>
            <w:hideMark/>
          </w:tcPr>
          <w:p w14:paraId="7038A5D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Spend 95% of the Capital budget by 30 June</w:t>
            </w:r>
          </w:p>
        </w:tc>
        <w:tc>
          <w:tcPr>
            <w:tcW w:w="374" w:type="pct"/>
            <w:tcBorders>
              <w:top w:val="nil"/>
              <w:left w:val="nil"/>
              <w:bottom w:val="single" w:sz="4" w:space="0" w:color="auto"/>
              <w:right w:val="single" w:sz="4" w:space="0" w:color="auto"/>
            </w:tcBorders>
            <w:shd w:val="clear" w:color="auto" w:fill="auto"/>
            <w:vAlign w:val="center"/>
            <w:hideMark/>
          </w:tcPr>
          <w:p w14:paraId="483F96E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Percentage spent on capital budget by 30 June</w:t>
            </w:r>
          </w:p>
        </w:tc>
        <w:tc>
          <w:tcPr>
            <w:tcW w:w="374" w:type="pct"/>
            <w:tcBorders>
              <w:top w:val="nil"/>
              <w:left w:val="nil"/>
              <w:bottom w:val="single" w:sz="4" w:space="0" w:color="auto"/>
              <w:right w:val="single" w:sz="4" w:space="0" w:color="auto"/>
            </w:tcBorders>
            <w:shd w:val="clear" w:color="auto" w:fill="auto"/>
            <w:vAlign w:val="center"/>
            <w:hideMark/>
          </w:tcPr>
          <w:p w14:paraId="4A8DF05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95% spent on Capital budget by 30 June</w:t>
            </w:r>
          </w:p>
        </w:tc>
        <w:tc>
          <w:tcPr>
            <w:tcW w:w="305" w:type="pct"/>
            <w:tcBorders>
              <w:top w:val="nil"/>
              <w:left w:val="nil"/>
              <w:bottom w:val="single" w:sz="4" w:space="0" w:color="auto"/>
              <w:right w:val="single" w:sz="4" w:space="0" w:color="auto"/>
            </w:tcBorders>
            <w:shd w:val="clear" w:color="auto" w:fill="auto"/>
            <w:vAlign w:val="center"/>
            <w:hideMark/>
          </w:tcPr>
          <w:p w14:paraId="424934A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25% expenditure on Capital budget by 30 September</w:t>
            </w:r>
          </w:p>
        </w:tc>
        <w:tc>
          <w:tcPr>
            <w:tcW w:w="374" w:type="pct"/>
            <w:tcBorders>
              <w:top w:val="nil"/>
              <w:left w:val="nil"/>
              <w:bottom w:val="single" w:sz="4" w:space="0" w:color="auto"/>
              <w:right w:val="single" w:sz="4" w:space="0" w:color="auto"/>
            </w:tcBorders>
            <w:shd w:val="clear" w:color="auto" w:fill="auto"/>
            <w:vAlign w:val="center"/>
            <w:hideMark/>
          </w:tcPr>
          <w:p w14:paraId="0D76EE9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50% expenditure on Capital  budget by 31 December</w:t>
            </w:r>
          </w:p>
        </w:tc>
        <w:tc>
          <w:tcPr>
            <w:tcW w:w="305" w:type="pct"/>
            <w:tcBorders>
              <w:top w:val="nil"/>
              <w:left w:val="nil"/>
              <w:bottom w:val="single" w:sz="4" w:space="0" w:color="auto"/>
              <w:right w:val="single" w:sz="4" w:space="0" w:color="auto"/>
            </w:tcBorders>
            <w:shd w:val="clear" w:color="auto" w:fill="auto"/>
            <w:vAlign w:val="center"/>
            <w:hideMark/>
          </w:tcPr>
          <w:p w14:paraId="26AB3E7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75% expenditure on Capital budget by 31 March</w:t>
            </w:r>
          </w:p>
        </w:tc>
        <w:tc>
          <w:tcPr>
            <w:tcW w:w="374" w:type="pct"/>
            <w:tcBorders>
              <w:top w:val="nil"/>
              <w:left w:val="nil"/>
              <w:bottom w:val="single" w:sz="4" w:space="0" w:color="auto"/>
              <w:right w:val="single" w:sz="4" w:space="0" w:color="auto"/>
            </w:tcBorders>
            <w:shd w:val="clear" w:color="auto" w:fill="auto"/>
            <w:vAlign w:val="center"/>
            <w:hideMark/>
          </w:tcPr>
          <w:p w14:paraId="1287420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95% expenditure on Capital budget by 30 June</w:t>
            </w:r>
          </w:p>
        </w:tc>
        <w:tc>
          <w:tcPr>
            <w:tcW w:w="251" w:type="pct"/>
            <w:tcBorders>
              <w:top w:val="nil"/>
              <w:left w:val="nil"/>
              <w:bottom w:val="single" w:sz="4" w:space="0" w:color="auto"/>
              <w:right w:val="single" w:sz="4" w:space="0" w:color="auto"/>
            </w:tcBorders>
            <w:shd w:val="clear" w:color="auto" w:fill="auto"/>
            <w:vAlign w:val="center"/>
            <w:hideMark/>
          </w:tcPr>
          <w:p w14:paraId="69FBE8BE"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72 723 000.00</w:t>
            </w:r>
          </w:p>
        </w:tc>
        <w:tc>
          <w:tcPr>
            <w:tcW w:w="146" w:type="pct"/>
            <w:tcBorders>
              <w:top w:val="nil"/>
              <w:left w:val="nil"/>
              <w:bottom w:val="single" w:sz="4" w:space="0" w:color="auto"/>
              <w:right w:val="single" w:sz="4" w:space="0" w:color="auto"/>
            </w:tcBorders>
            <w:shd w:val="clear" w:color="auto" w:fill="auto"/>
            <w:noWrap/>
            <w:vAlign w:val="center"/>
            <w:hideMark/>
          </w:tcPr>
          <w:p w14:paraId="001CACB3"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90%</w:t>
            </w:r>
          </w:p>
        </w:tc>
        <w:tc>
          <w:tcPr>
            <w:tcW w:w="278" w:type="pct"/>
            <w:tcBorders>
              <w:top w:val="nil"/>
              <w:left w:val="nil"/>
              <w:bottom w:val="single" w:sz="4" w:space="0" w:color="auto"/>
              <w:right w:val="single" w:sz="4" w:space="0" w:color="auto"/>
            </w:tcBorders>
            <w:shd w:val="clear" w:color="auto" w:fill="auto"/>
            <w:vAlign w:val="center"/>
            <w:hideMark/>
          </w:tcPr>
          <w:p w14:paraId="671A032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FINANCIAL SERVICES</w:t>
            </w:r>
          </w:p>
        </w:tc>
        <w:tc>
          <w:tcPr>
            <w:tcW w:w="170" w:type="pct"/>
            <w:tcBorders>
              <w:top w:val="nil"/>
              <w:left w:val="nil"/>
              <w:bottom w:val="single" w:sz="4" w:space="0" w:color="auto"/>
              <w:right w:val="single" w:sz="4" w:space="0" w:color="auto"/>
            </w:tcBorders>
            <w:shd w:val="clear" w:color="auto" w:fill="auto"/>
            <w:vAlign w:val="center"/>
            <w:hideMark/>
          </w:tcPr>
          <w:p w14:paraId="6BF8BF5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ADMIN</w:t>
            </w:r>
          </w:p>
        </w:tc>
      </w:tr>
      <w:tr w:rsidR="008A0277" w:rsidRPr="008A0277" w14:paraId="666CFB2A" w14:textId="77777777" w:rsidTr="008A0277">
        <w:trPr>
          <w:trHeight w:val="1074"/>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7CDC94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Inadequate financial performance</w:t>
            </w:r>
          </w:p>
        </w:tc>
        <w:tc>
          <w:tcPr>
            <w:tcW w:w="136" w:type="pct"/>
            <w:tcBorders>
              <w:top w:val="nil"/>
              <w:left w:val="nil"/>
              <w:bottom w:val="single" w:sz="4" w:space="0" w:color="auto"/>
              <w:right w:val="single" w:sz="4" w:space="0" w:color="auto"/>
            </w:tcBorders>
            <w:shd w:val="clear" w:color="auto" w:fill="auto"/>
            <w:noWrap/>
            <w:vAlign w:val="center"/>
            <w:hideMark/>
          </w:tcPr>
          <w:p w14:paraId="5CAEFE15"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TL17</w:t>
            </w:r>
          </w:p>
        </w:tc>
        <w:tc>
          <w:tcPr>
            <w:tcW w:w="141" w:type="pct"/>
            <w:tcBorders>
              <w:top w:val="nil"/>
              <w:left w:val="nil"/>
              <w:bottom w:val="single" w:sz="4" w:space="0" w:color="auto"/>
              <w:right w:val="single" w:sz="4" w:space="0" w:color="auto"/>
            </w:tcBorders>
            <w:shd w:val="clear" w:color="auto" w:fill="auto"/>
            <w:noWrap/>
            <w:vAlign w:val="center"/>
            <w:hideMark/>
          </w:tcPr>
          <w:p w14:paraId="4056574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E5.2-17</w:t>
            </w:r>
          </w:p>
        </w:tc>
        <w:tc>
          <w:tcPr>
            <w:tcW w:w="269" w:type="pct"/>
            <w:tcBorders>
              <w:top w:val="nil"/>
              <w:left w:val="nil"/>
              <w:bottom w:val="single" w:sz="4" w:space="0" w:color="auto"/>
              <w:right w:val="single" w:sz="4" w:space="0" w:color="auto"/>
            </w:tcBorders>
            <w:shd w:val="clear" w:color="auto" w:fill="auto"/>
            <w:vAlign w:val="center"/>
            <w:hideMark/>
          </w:tcPr>
          <w:p w14:paraId="4B5FFF7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responsive and accountable, effective and efficient local government system</w:t>
            </w:r>
          </w:p>
        </w:tc>
        <w:tc>
          <w:tcPr>
            <w:tcW w:w="280" w:type="pct"/>
            <w:tcBorders>
              <w:top w:val="nil"/>
              <w:left w:val="nil"/>
              <w:bottom w:val="single" w:sz="4" w:space="0" w:color="auto"/>
              <w:right w:val="single" w:sz="4" w:space="0" w:color="auto"/>
            </w:tcBorders>
            <w:shd w:val="clear" w:color="auto" w:fill="auto"/>
            <w:vAlign w:val="center"/>
            <w:hideMark/>
          </w:tcPr>
          <w:p w14:paraId="3CD9221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80" w:type="pct"/>
            <w:tcBorders>
              <w:top w:val="nil"/>
              <w:left w:val="nil"/>
              <w:bottom w:val="single" w:sz="4" w:space="0" w:color="auto"/>
              <w:right w:val="single" w:sz="4" w:space="0" w:color="auto"/>
            </w:tcBorders>
            <w:shd w:val="clear" w:color="auto" w:fill="auto"/>
            <w:vAlign w:val="center"/>
            <w:hideMark/>
          </w:tcPr>
          <w:p w14:paraId="70FCE73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78" w:type="pct"/>
            <w:tcBorders>
              <w:top w:val="nil"/>
              <w:left w:val="nil"/>
              <w:bottom w:val="single" w:sz="4" w:space="0" w:color="auto"/>
              <w:right w:val="single" w:sz="4" w:space="0" w:color="auto"/>
            </w:tcBorders>
            <w:shd w:val="clear" w:color="auto" w:fill="auto"/>
            <w:vAlign w:val="center"/>
            <w:hideMark/>
          </w:tcPr>
          <w:p w14:paraId="313E877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ensure continued sound financial management</w:t>
            </w:r>
          </w:p>
        </w:tc>
        <w:tc>
          <w:tcPr>
            <w:tcW w:w="374" w:type="pct"/>
            <w:tcBorders>
              <w:top w:val="nil"/>
              <w:left w:val="nil"/>
              <w:bottom w:val="single" w:sz="4" w:space="0" w:color="auto"/>
              <w:right w:val="single" w:sz="4" w:space="0" w:color="auto"/>
            </w:tcBorders>
            <w:shd w:val="clear" w:color="auto" w:fill="auto"/>
            <w:vAlign w:val="center"/>
            <w:hideMark/>
          </w:tcPr>
          <w:p w14:paraId="46E098E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Submit quarterly reports to Council on the implementation of the budget </w:t>
            </w:r>
          </w:p>
        </w:tc>
        <w:tc>
          <w:tcPr>
            <w:tcW w:w="374" w:type="pct"/>
            <w:tcBorders>
              <w:top w:val="nil"/>
              <w:left w:val="nil"/>
              <w:bottom w:val="single" w:sz="4" w:space="0" w:color="auto"/>
              <w:right w:val="single" w:sz="4" w:space="0" w:color="auto"/>
            </w:tcBorders>
            <w:shd w:val="clear" w:color="auto" w:fill="auto"/>
            <w:vAlign w:val="center"/>
            <w:hideMark/>
          </w:tcPr>
          <w:p w14:paraId="3156D59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Number of reports submitted to Council by 30 June</w:t>
            </w:r>
          </w:p>
        </w:tc>
        <w:tc>
          <w:tcPr>
            <w:tcW w:w="374" w:type="pct"/>
            <w:tcBorders>
              <w:top w:val="nil"/>
              <w:left w:val="nil"/>
              <w:bottom w:val="single" w:sz="4" w:space="0" w:color="auto"/>
              <w:right w:val="single" w:sz="4" w:space="0" w:color="auto"/>
            </w:tcBorders>
            <w:shd w:val="clear" w:color="auto" w:fill="auto"/>
            <w:vAlign w:val="center"/>
            <w:hideMark/>
          </w:tcPr>
          <w:p w14:paraId="6B4D15D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 reports submitted to Council by 30 June on the implementation of the budget</w:t>
            </w:r>
          </w:p>
        </w:tc>
        <w:tc>
          <w:tcPr>
            <w:tcW w:w="305" w:type="pct"/>
            <w:tcBorders>
              <w:top w:val="nil"/>
              <w:left w:val="nil"/>
              <w:bottom w:val="single" w:sz="4" w:space="0" w:color="auto"/>
              <w:right w:val="single" w:sz="4" w:space="0" w:color="auto"/>
            </w:tcBorders>
            <w:shd w:val="clear" w:color="auto" w:fill="auto"/>
            <w:vAlign w:val="center"/>
            <w:hideMark/>
          </w:tcPr>
          <w:p w14:paraId="074BA8F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30 September on the implementation of the budget</w:t>
            </w:r>
          </w:p>
        </w:tc>
        <w:tc>
          <w:tcPr>
            <w:tcW w:w="374" w:type="pct"/>
            <w:tcBorders>
              <w:top w:val="nil"/>
              <w:left w:val="nil"/>
              <w:bottom w:val="single" w:sz="4" w:space="0" w:color="auto"/>
              <w:right w:val="single" w:sz="4" w:space="0" w:color="auto"/>
            </w:tcBorders>
            <w:shd w:val="clear" w:color="auto" w:fill="auto"/>
            <w:vAlign w:val="center"/>
            <w:hideMark/>
          </w:tcPr>
          <w:p w14:paraId="7C9E70E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31 December on the implementation of the budget</w:t>
            </w:r>
          </w:p>
        </w:tc>
        <w:tc>
          <w:tcPr>
            <w:tcW w:w="305" w:type="pct"/>
            <w:tcBorders>
              <w:top w:val="nil"/>
              <w:left w:val="nil"/>
              <w:bottom w:val="single" w:sz="4" w:space="0" w:color="auto"/>
              <w:right w:val="single" w:sz="4" w:space="0" w:color="auto"/>
            </w:tcBorders>
            <w:shd w:val="clear" w:color="auto" w:fill="auto"/>
            <w:vAlign w:val="center"/>
            <w:hideMark/>
          </w:tcPr>
          <w:p w14:paraId="655F732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31 March on the implementation of the budget</w:t>
            </w:r>
          </w:p>
        </w:tc>
        <w:tc>
          <w:tcPr>
            <w:tcW w:w="374" w:type="pct"/>
            <w:tcBorders>
              <w:top w:val="nil"/>
              <w:left w:val="nil"/>
              <w:bottom w:val="single" w:sz="4" w:space="0" w:color="auto"/>
              <w:right w:val="single" w:sz="4" w:space="0" w:color="auto"/>
            </w:tcBorders>
            <w:shd w:val="clear" w:color="auto" w:fill="auto"/>
            <w:vAlign w:val="center"/>
            <w:hideMark/>
          </w:tcPr>
          <w:p w14:paraId="19D1F34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30 June on the implementation of the budget</w:t>
            </w:r>
          </w:p>
        </w:tc>
        <w:tc>
          <w:tcPr>
            <w:tcW w:w="251" w:type="pct"/>
            <w:tcBorders>
              <w:top w:val="nil"/>
              <w:left w:val="nil"/>
              <w:bottom w:val="single" w:sz="4" w:space="0" w:color="auto"/>
              <w:right w:val="single" w:sz="4" w:space="0" w:color="auto"/>
            </w:tcBorders>
            <w:shd w:val="clear" w:color="auto" w:fill="auto"/>
            <w:vAlign w:val="center"/>
            <w:hideMark/>
          </w:tcPr>
          <w:p w14:paraId="266F4057"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404 848 000.00</w:t>
            </w:r>
          </w:p>
        </w:tc>
        <w:tc>
          <w:tcPr>
            <w:tcW w:w="146" w:type="pct"/>
            <w:tcBorders>
              <w:top w:val="nil"/>
              <w:left w:val="nil"/>
              <w:bottom w:val="single" w:sz="4" w:space="0" w:color="auto"/>
              <w:right w:val="single" w:sz="4" w:space="0" w:color="auto"/>
            </w:tcBorders>
            <w:shd w:val="clear" w:color="auto" w:fill="auto"/>
            <w:noWrap/>
            <w:vAlign w:val="center"/>
            <w:hideMark/>
          </w:tcPr>
          <w:p w14:paraId="15041702"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w:t>
            </w:r>
          </w:p>
        </w:tc>
        <w:tc>
          <w:tcPr>
            <w:tcW w:w="278" w:type="pct"/>
            <w:tcBorders>
              <w:top w:val="nil"/>
              <w:left w:val="nil"/>
              <w:bottom w:val="single" w:sz="4" w:space="0" w:color="auto"/>
              <w:right w:val="single" w:sz="4" w:space="0" w:color="auto"/>
            </w:tcBorders>
            <w:shd w:val="clear" w:color="auto" w:fill="auto"/>
            <w:vAlign w:val="center"/>
            <w:hideMark/>
          </w:tcPr>
          <w:p w14:paraId="58F3738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FINANCIAL SERVICES</w:t>
            </w:r>
          </w:p>
        </w:tc>
        <w:tc>
          <w:tcPr>
            <w:tcW w:w="170" w:type="pct"/>
            <w:tcBorders>
              <w:top w:val="nil"/>
              <w:left w:val="nil"/>
              <w:bottom w:val="single" w:sz="4" w:space="0" w:color="auto"/>
              <w:right w:val="single" w:sz="4" w:space="0" w:color="auto"/>
            </w:tcBorders>
            <w:shd w:val="clear" w:color="auto" w:fill="auto"/>
            <w:vAlign w:val="center"/>
            <w:hideMark/>
          </w:tcPr>
          <w:p w14:paraId="0EA4E18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ADMIN</w:t>
            </w:r>
          </w:p>
        </w:tc>
      </w:tr>
      <w:tr w:rsidR="008A0277" w:rsidRPr="008A0277" w14:paraId="4F8ADFBD" w14:textId="77777777" w:rsidTr="008A0277">
        <w:trPr>
          <w:trHeight w:val="1307"/>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7DEC758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Inadequate performance monitoring</w:t>
            </w:r>
          </w:p>
        </w:tc>
        <w:tc>
          <w:tcPr>
            <w:tcW w:w="136" w:type="pct"/>
            <w:tcBorders>
              <w:top w:val="nil"/>
              <w:left w:val="nil"/>
              <w:bottom w:val="single" w:sz="4" w:space="0" w:color="auto"/>
              <w:right w:val="single" w:sz="4" w:space="0" w:color="auto"/>
            </w:tcBorders>
            <w:shd w:val="clear" w:color="auto" w:fill="auto"/>
            <w:noWrap/>
            <w:vAlign w:val="center"/>
            <w:hideMark/>
          </w:tcPr>
          <w:p w14:paraId="73651B12"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TL18</w:t>
            </w:r>
          </w:p>
        </w:tc>
        <w:tc>
          <w:tcPr>
            <w:tcW w:w="141" w:type="pct"/>
            <w:tcBorders>
              <w:top w:val="nil"/>
              <w:left w:val="nil"/>
              <w:bottom w:val="single" w:sz="4" w:space="0" w:color="auto"/>
              <w:right w:val="single" w:sz="4" w:space="0" w:color="auto"/>
            </w:tcBorders>
            <w:shd w:val="clear" w:color="auto" w:fill="auto"/>
            <w:noWrap/>
            <w:vAlign w:val="center"/>
            <w:hideMark/>
          </w:tcPr>
          <w:p w14:paraId="08CC84B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E5.2-18</w:t>
            </w:r>
          </w:p>
        </w:tc>
        <w:tc>
          <w:tcPr>
            <w:tcW w:w="269" w:type="pct"/>
            <w:tcBorders>
              <w:top w:val="nil"/>
              <w:left w:val="nil"/>
              <w:bottom w:val="single" w:sz="4" w:space="0" w:color="auto"/>
              <w:right w:val="single" w:sz="4" w:space="0" w:color="auto"/>
            </w:tcBorders>
            <w:shd w:val="clear" w:color="auto" w:fill="auto"/>
            <w:vAlign w:val="center"/>
            <w:hideMark/>
          </w:tcPr>
          <w:p w14:paraId="290D229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responsive and accountable, effective and efficient local government system</w:t>
            </w:r>
          </w:p>
        </w:tc>
        <w:tc>
          <w:tcPr>
            <w:tcW w:w="280" w:type="pct"/>
            <w:tcBorders>
              <w:top w:val="nil"/>
              <w:left w:val="nil"/>
              <w:bottom w:val="single" w:sz="4" w:space="0" w:color="auto"/>
              <w:right w:val="single" w:sz="4" w:space="0" w:color="auto"/>
            </w:tcBorders>
            <w:shd w:val="clear" w:color="auto" w:fill="auto"/>
            <w:vAlign w:val="center"/>
            <w:hideMark/>
          </w:tcPr>
          <w:p w14:paraId="77F51C8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Transformation and Institutional Development</w:t>
            </w:r>
          </w:p>
        </w:tc>
        <w:tc>
          <w:tcPr>
            <w:tcW w:w="280" w:type="pct"/>
            <w:tcBorders>
              <w:top w:val="nil"/>
              <w:left w:val="nil"/>
              <w:bottom w:val="single" w:sz="4" w:space="0" w:color="auto"/>
              <w:right w:val="single" w:sz="4" w:space="0" w:color="auto"/>
            </w:tcBorders>
            <w:shd w:val="clear" w:color="auto" w:fill="auto"/>
            <w:vAlign w:val="center"/>
            <w:hideMark/>
          </w:tcPr>
          <w:p w14:paraId="1155265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Transformation and institutional development</w:t>
            </w:r>
          </w:p>
        </w:tc>
        <w:tc>
          <w:tcPr>
            <w:tcW w:w="278" w:type="pct"/>
            <w:tcBorders>
              <w:top w:val="nil"/>
              <w:left w:val="nil"/>
              <w:bottom w:val="single" w:sz="4" w:space="0" w:color="auto"/>
              <w:right w:val="single" w:sz="4" w:space="0" w:color="auto"/>
            </w:tcBorders>
            <w:shd w:val="clear" w:color="auto" w:fill="auto"/>
            <w:vAlign w:val="center"/>
            <w:hideMark/>
          </w:tcPr>
          <w:p w14:paraId="0AABA3D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develop the institution and to facilitate institutional transformation</w:t>
            </w:r>
          </w:p>
        </w:tc>
        <w:tc>
          <w:tcPr>
            <w:tcW w:w="374" w:type="pct"/>
            <w:tcBorders>
              <w:top w:val="nil"/>
              <w:left w:val="nil"/>
              <w:bottom w:val="single" w:sz="4" w:space="0" w:color="auto"/>
              <w:right w:val="single" w:sz="4" w:space="0" w:color="auto"/>
            </w:tcBorders>
            <w:shd w:val="clear" w:color="auto" w:fill="auto"/>
            <w:vAlign w:val="center"/>
            <w:hideMark/>
          </w:tcPr>
          <w:p w14:paraId="75B9C56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Monitor the performance of IT Consultants and submit reports monthly to PMS</w:t>
            </w:r>
          </w:p>
        </w:tc>
        <w:tc>
          <w:tcPr>
            <w:tcW w:w="374" w:type="pct"/>
            <w:tcBorders>
              <w:top w:val="nil"/>
              <w:left w:val="nil"/>
              <w:bottom w:val="single" w:sz="4" w:space="0" w:color="auto"/>
              <w:right w:val="single" w:sz="4" w:space="0" w:color="auto"/>
            </w:tcBorders>
            <w:shd w:val="clear" w:color="auto" w:fill="auto"/>
            <w:vAlign w:val="center"/>
            <w:hideMark/>
          </w:tcPr>
          <w:p w14:paraId="72D6C6C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Number of reports submitted to PMS by 30 June </w:t>
            </w:r>
          </w:p>
        </w:tc>
        <w:tc>
          <w:tcPr>
            <w:tcW w:w="374" w:type="pct"/>
            <w:tcBorders>
              <w:top w:val="nil"/>
              <w:left w:val="nil"/>
              <w:bottom w:val="single" w:sz="4" w:space="0" w:color="auto"/>
              <w:right w:val="single" w:sz="4" w:space="0" w:color="auto"/>
            </w:tcBorders>
            <w:shd w:val="clear" w:color="auto" w:fill="auto"/>
            <w:vAlign w:val="center"/>
            <w:hideMark/>
          </w:tcPr>
          <w:p w14:paraId="3494895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12 reports submitted to PMS by 30 June on performance of IT Consultants</w:t>
            </w:r>
          </w:p>
        </w:tc>
        <w:tc>
          <w:tcPr>
            <w:tcW w:w="305" w:type="pct"/>
            <w:tcBorders>
              <w:top w:val="nil"/>
              <w:left w:val="nil"/>
              <w:bottom w:val="single" w:sz="4" w:space="0" w:color="auto"/>
              <w:right w:val="single" w:sz="4" w:space="0" w:color="auto"/>
            </w:tcBorders>
            <w:shd w:val="clear" w:color="auto" w:fill="auto"/>
            <w:vAlign w:val="center"/>
            <w:hideMark/>
          </w:tcPr>
          <w:p w14:paraId="4165F91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reports submitted to PMS by 30 September on IT Consultant</w:t>
            </w:r>
          </w:p>
        </w:tc>
        <w:tc>
          <w:tcPr>
            <w:tcW w:w="374" w:type="pct"/>
            <w:tcBorders>
              <w:top w:val="nil"/>
              <w:left w:val="nil"/>
              <w:bottom w:val="single" w:sz="4" w:space="0" w:color="auto"/>
              <w:right w:val="single" w:sz="4" w:space="0" w:color="auto"/>
            </w:tcBorders>
            <w:shd w:val="clear" w:color="auto" w:fill="auto"/>
            <w:vAlign w:val="center"/>
            <w:hideMark/>
          </w:tcPr>
          <w:p w14:paraId="0010E3E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reports submitted to PMS by 30 September on the performance of IT Consultant</w:t>
            </w:r>
          </w:p>
        </w:tc>
        <w:tc>
          <w:tcPr>
            <w:tcW w:w="305" w:type="pct"/>
            <w:tcBorders>
              <w:top w:val="nil"/>
              <w:left w:val="nil"/>
              <w:bottom w:val="single" w:sz="4" w:space="0" w:color="auto"/>
              <w:right w:val="single" w:sz="4" w:space="0" w:color="auto"/>
            </w:tcBorders>
            <w:shd w:val="clear" w:color="auto" w:fill="auto"/>
            <w:vAlign w:val="center"/>
            <w:hideMark/>
          </w:tcPr>
          <w:p w14:paraId="23050AB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reports submitted to PMS by 30 September on the performance of IT Consultant</w:t>
            </w:r>
          </w:p>
        </w:tc>
        <w:tc>
          <w:tcPr>
            <w:tcW w:w="374" w:type="pct"/>
            <w:tcBorders>
              <w:top w:val="nil"/>
              <w:left w:val="nil"/>
              <w:bottom w:val="single" w:sz="4" w:space="0" w:color="auto"/>
              <w:right w:val="single" w:sz="4" w:space="0" w:color="auto"/>
            </w:tcBorders>
            <w:shd w:val="clear" w:color="auto" w:fill="auto"/>
            <w:vAlign w:val="center"/>
            <w:hideMark/>
          </w:tcPr>
          <w:p w14:paraId="1379B00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reports submitted to PMS by 30 September on the performance of IT Consultant</w:t>
            </w:r>
          </w:p>
        </w:tc>
        <w:tc>
          <w:tcPr>
            <w:tcW w:w="251" w:type="pct"/>
            <w:tcBorders>
              <w:top w:val="nil"/>
              <w:left w:val="nil"/>
              <w:bottom w:val="single" w:sz="4" w:space="0" w:color="auto"/>
              <w:right w:val="single" w:sz="4" w:space="0" w:color="auto"/>
            </w:tcBorders>
            <w:shd w:val="clear" w:color="auto" w:fill="auto"/>
            <w:vAlign w:val="center"/>
            <w:hideMark/>
          </w:tcPr>
          <w:p w14:paraId="3E61F872"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250 000.00</w:t>
            </w:r>
          </w:p>
        </w:tc>
        <w:tc>
          <w:tcPr>
            <w:tcW w:w="146" w:type="pct"/>
            <w:tcBorders>
              <w:top w:val="nil"/>
              <w:left w:val="nil"/>
              <w:bottom w:val="single" w:sz="4" w:space="0" w:color="auto"/>
              <w:right w:val="single" w:sz="4" w:space="0" w:color="auto"/>
            </w:tcBorders>
            <w:shd w:val="clear" w:color="auto" w:fill="auto"/>
            <w:noWrap/>
            <w:vAlign w:val="center"/>
            <w:hideMark/>
          </w:tcPr>
          <w:p w14:paraId="4F84FE56"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w:t>
            </w:r>
          </w:p>
        </w:tc>
        <w:tc>
          <w:tcPr>
            <w:tcW w:w="278" w:type="pct"/>
            <w:tcBorders>
              <w:top w:val="nil"/>
              <w:left w:val="nil"/>
              <w:bottom w:val="single" w:sz="4" w:space="0" w:color="auto"/>
              <w:right w:val="single" w:sz="4" w:space="0" w:color="auto"/>
            </w:tcBorders>
            <w:shd w:val="clear" w:color="auto" w:fill="auto"/>
            <w:vAlign w:val="center"/>
            <w:hideMark/>
          </w:tcPr>
          <w:p w14:paraId="3C1E09A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CORPORATE SERVICES </w:t>
            </w:r>
          </w:p>
        </w:tc>
        <w:tc>
          <w:tcPr>
            <w:tcW w:w="170" w:type="pct"/>
            <w:tcBorders>
              <w:top w:val="nil"/>
              <w:left w:val="nil"/>
              <w:bottom w:val="single" w:sz="4" w:space="0" w:color="auto"/>
              <w:right w:val="single" w:sz="4" w:space="0" w:color="auto"/>
            </w:tcBorders>
            <w:shd w:val="clear" w:color="auto" w:fill="auto"/>
            <w:vAlign w:val="center"/>
            <w:hideMark/>
          </w:tcPr>
          <w:p w14:paraId="676602E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ADMIN</w:t>
            </w:r>
          </w:p>
        </w:tc>
      </w:tr>
      <w:tr w:rsidR="008A0277" w:rsidRPr="008A0277" w14:paraId="63EBDE45" w14:textId="77777777" w:rsidTr="008A0277">
        <w:trPr>
          <w:trHeight w:val="818"/>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DB644D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Service Delivery Backlogs</w:t>
            </w:r>
          </w:p>
        </w:tc>
        <w:tc>
          <w:tcPr>
            <w:tcW w:w="136" w:type="pct"/>
            <w:tcBorders>
              <w:top w:val="nil"/>
              <w:left w:val="nil"/>
              <w:bottom w:val="single" w:sz="4" w:space="0" w:color="auto"/>
              <w:right w:val="single" w:sz="4" w:space="0" w:color="auto"/>
            </w:tcBorders>
            <w:shd w:val="clear" w:color="auto" w:fill="auto"/>
            <w:noWrap/>
            <w:vAlign w:val="center"/>
            <w:hideMark/>
          </w:tcPr>
          <w:p w14:paraId="747C4E50"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TL19</w:t>
            </w:r>
          </w:p>
        </w:tc>
        <w:tc>
          <w:tcPr>
            <w:tcW w:w="141" w:type="pct"/>
            <w:tcBorders>
              <w:top w:val="nil"/>
              <w:left w:val="nil"/>
              <w:bottom w:val="single" w:sz="4" w:space="0" w:color="auto"/>
              <w:right w:val="single" w:sz="4" w:space="0" w:color="auto"/>
            </w:tcBorders>
            <w:shd w:val="clear" w:color="auto" w:fill="auto"/>
            <w:noWrap/>
            <w:vAlign w:val="center"/>
            <w:hideMark/>
          </w:tcPr>
          <w:p w14:paraId="5FD53B3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E5.2-19</w:t>
            </w:r>
          </w:p>
        </w:tc>
        <w:tc>
          <w:tcPr>
            <w:tcW w:w="269" w:type="pct"/>
            <w:tcBorders>
              <w:top w:val="nil"/>
              <w:left w:val="nil"/>
              <w:bottom w:val="single" w:sz="4" w:space="0" w:color="auto"/>
              <w:right w:val="single" w:sz="4" w:space="0" w:color="auto"/>
            </w:tcBorders>
            <w:shd w:val="clear" w:color="auto" w:fill="auto"/>
            <w:vAlign w:val="center"/>
            <w:hideMark/>
          </w:tcPr>
          <w:p w14:paraId="124D730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responsive and accountable, effective and efficient local government system</w:t>
            </w:r>
          </w:p>
        </w:tc>
        <w:tc>
          <w:tcPr>
            <w:tcW w:w="280" w:type="pct"/>
            <w:tcBorders>
              <w:top w:val="nil"/>
              <w:left w:val="nil"/>
              <w:bottom w:val="single" w:sz="4" w:space="0" w:color="auto"/>
              <w:right w:val="single" w:sz="4" w:space="0" w:color="auto"/>
            </w:tcBorders>
            <w:shd w:val="clear" w:color="auto" w:fill="auto"/>
            <w:vAlign w:val="center"/>
            <w:hideMark/>
          </w:tcPr>
          <w:p w14:paraId="40431A1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80" w:type="pct"/>
            <w:tcBorders>
              <w:top w:val="nil"/>
              <w:left w:val="nil"/>
              <w:bottom w:val="single" w:sz="4" w:space="0" w:color="auto"/>
              <w:right w:val="single" w:sz="4" w:space="0" w:color="auto"/>
            </w:tcBorders>
            <w:shd w:val="clear" w:color="auto" w:fill="auto"/>
            <w:vAlign w:val="center"/>
            <w:hideMark/>
          </w:tcPr>
          <w:p w14:paraId="694D3E9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78" w:type="pct"/>
            <w:tcBorders>
              <w:top w:val="nil"/>
              <w:left w:val="nil"/>
              <w:bottom w:val="single" w:sz="4" w:space="0" w:color="auto"/>
              <w:right w:val="single" w:sz="4" w:space="0" w:color="auto"/>
            </w:tcBorders>
            <w:shd w:val="clear" w:color="auto" w:fill="auto"/>
            <w:vAlign w:val="center"/>
            <w:hideMark/>
          </w:tcPr>
          <w:p w14:paraId="5368382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ensure continued sound financial management</w:t>
            </w:r>
          </w:p>
        </w:tc>
        <w:tc>
          <w:tcPr>
            <w:tcW w:w="374" w:type="pct"/>
            <w:tcBorders>
              <w:top w:val="nil"/>
              <w:left w:val="nil"/>
              <w:bottom w:val="single" w:sz="4" w:space="0" w:color="auto"/>
              <w:right w:val="single" w:sz="4" w:space="0" w:color="auto"/>
            </w:tcBorders>
            <w:shd w:val="clear" w:color="auto" w:fill="auto"/>
            <w:vAlign w:val="center"/>
            <w:hideMark/>
          </w:tcPr>
          <w:p w14:paraId="603FC4B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Provide 4000 households with free basic electricity by 30 June </w:t>
            </w:r>
          </w:p>
        </w:tc>
        <w:tc>
          <w:tcPr>
            <w:tcW w:w="374" w:type="pct"/>
            <w:tcBorders>
              <w:top w:val="nil"/>
              <w:left w:val="nil"/>
              <w:bottom w:val="single" w:sz="4" w:space="0" w:color="auto"/>
              <w:right w:val="single" w:sz="4" w:space="0" w:color="auto"/>
            </w:tcBorders>
            <w:shd w:val="clear" w:color="auto" w:fill="auto"/>
            <w:vAlign w:val="center"/>
            <w:hideMark/>
          </w:tcPr>
          <w:p w14:paraId="096AFE1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Number of households provided with Free basic electricity by 30 June  </w:t>
            </w:r>
          </w:p>
        </w:tc>
        <w:tc>
          <w:tcPr>
            <w:tcW w:w="374" w:type="pct"/>
            <w:tcBorders>
              <w:top w:val="nil"/>
              <w:left w:val="nil"/>
              <w:bottom w:val="single" w:sz="4" w:space="0" w:color="auto"/>
              <w:right w:val="single" w:sz="4" w:space="0" w:color="auto"/>
            </w:tcBorders>
            <w:shd w:val="clear" w:color="auto" w:fill="auto"/>
            <w:vAlign w:val="center"/>
            <w:hideMark/>
          </w:tcPr>
          <w:p w14:paraId="68A3A9F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4000 households provided with free basic electricity by 30 June </w:t>
            </w:r>
          </w:p>
        </w:tc>
        <w:tc>
          <w:tcPr>
            <w:tcW w:w="305" w:type="pct"/>
            <w:tcBorders>
              <w:top w:val="nil"/>
              <w:left w:val="nil"/>
              <w:bottom w:val="single" w:sz="4" w:space="0" w:color="auto"/>
              <w:right w:val="single" w:sz="4" w:space="0" w:color="auto"/>
            </w:tcBorders>
            <w:shd w:val="clear" w:color="auto" w:fill="auto"/>
            <w:vAlign w:val="center"/>
            <w:hideMark/>
          </w:tcPr>
          <w:p w14:paraId="69BCB6E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4000 households provided with free basic electricity by 30 September</w:t>
            </w:r>
          </w:p>
        </w:tc>
        <w:tc>
          <w:tcPr>
            <w:tcW w:w="374" w:type="pct"/>
            <w:tcBorders>
              <w:top w:val="nil"/>
              <w:left w:val="nil"/>
              <w:bottom w:val="single" w:sz="4" w:space="0" w:color="auto"/>
              <w:right w:val="single" w:sz="4" w:space="0" w:color="auto"/>
            </w:tcBorders>
            <w:shd w:val="clear" w:color="auto" w:fill="auto"/>
            <w:vAlign w:val="center"/>
            <w:hideMark/>
          </w:tcPr>
          <w:p w14:paraId="07C2C3D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4000 households provided with free basic electricity by 31 December</w:t>
            </w:r>
          </w:p>
        </w:tc>
        <w:tc>
          <w:tcPr>
            <w:tcW w:w="305" w:type="pct"/>
            <w:tcBorders>
              <w:top w:val="nil"/>
              <w:left w:val="nil"/>
              <w:bottom w:val="single" w:sz="4" w:space="0" w:color="auto"/>
              <w:right w:val="single" w:sz="4" w:space="0" w:color="auto"/>
            </w:tcBorders>
            <w:shd w:val="clear" w:color="auto" w:fill="auto"/>
            <w:vAlign w:val="center"/>
            <w:hideMark/>
          </w:tcPr>
          <w:p w14:paraId="55E0FBB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4000 households provided with free basic electricity by 31 March</w:t>
            </w:r>
          </w:p>
        </w:tc>
        <w:tc>
          <w:tcPr>
            <w:tcW w:w="374" w:type="pct"/>
            <w:tcBorders>
              <w:top w:val="nil"/>
              <w:left w:val="nil"/>
              <w:bottom w:val="single" w:sz="4" w:space="0" w:color="auto"/>
              <w:right w:val="single" w:sz="4" w:space="0" w:color="auto"/>
            </w:tcBorders>
            <w:shd w:val="clear" w:color="auto" w:fill="auto"/>
            <w:vAlign w:val="center"/>
            <w:hideMark/>
          </w:tcPr>
          <w:p w14:paraId="3325235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4000 households provided with free basic electricity by 30 June</w:t>
            </w:r>
          </w:p>
        </w:tc>
        <w:tc>
          <w:tcPr>
            <w:tcW w:w="251" w:type="pct"/>
            <w:tcBorders>
              <w:top w:val="nil"/>
              <w:left w:val="nil"/>
              <w:bottom w:val="single" w:sz="4" w:space="0" w:color="auto"/>
              <w:right w:val="single" w:sz="4" w:space="0" w:color="auto"/>
            </w:tcBorders>
            <w:shd w:val="clear" w:color="auto" w:fill="auto"/>
            <w:vAlign w:val="center"/>
            <w:hideMark/>
          </w:tcPr>
          <w:p w14:paraId="32C9E9F2"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2 817 630.00</w:t>
            </w:r>
          </w:p>
        </w:tc>
        <w:tc>
          <w:tcPr>
            <w:tcW w:w="146" w:type="pct"/>
            <w:tcBorders>
              <w:top w:val="nil"/>
              <w:left w:val="nil"/>
              <w:bottom w:val="single" w:sz="4" w:space="0" w:color="auto"/>
              <w:right w:val="single" w:sz="4" w:space="0" w:color="auto"/>
            </w:tcBorders>
            <w:shd w:val="clear" w:color="auto" w:fill="auto"/>
            <w:noWrap/>
            <w:vAlign w:val="center"/>
            <w:hideMark/>
          </w:tcPr>
          <w:p w14:paraId="0720AFE0"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4469</w:t>
            </w:r>
          </w:p>
        </w:tc>
        <w:tc>
          <w:tcPr>
            <w:tcW w:w="278" w:type="pct"/>
            <w:tcBorders>
              <w:top w:val="nil"/>
              <w:left w:val="nil"/>
              <w:bottom w:val="single" w:sz="4" w:space="0" w:color="auto"/>
              <w:right w:val="single" w:sz="4" w:space="0" w:color="auto"/>
            </w:tcBorders>
            <w:shd w:val="clear" w:color="auto" w:fill="auto"/>
            <w:vAlign w:val="center"/>
            <w:hideMark/>
          </w:tcPr>
          <w:p w14:paraId="0C07D86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ENGINEERING SERVICES</w:t>
            </w:r>
          </w:p>
        </w:tc>
        <w:tc>
          <w:tcPr>
            <w:tcW w:w="170" w:type="pct"/>
            <w:tcBorders>
              <w:top w:val="nil"/>
              <w:left w:val="nil"/>
              <w:bottom w:val="single" w:sz="4" w:space="0" w:color="auto"/>
              <w:right w:val="single" w:sz="4" w:space="0" w:color="auto"/>
            </w:tcBorders>
            <w:shd w:val="clear" w:color="auto" w:fill="auto"/>
            <w:vAlign w:val="center"/>
            <w:hideMark/>
          </w:tcPr>
          <w:p w14:paraId="2404B6F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29C31C56" w14:textId="77777777" w:rsidTr="008A0277">
        <w:trPr>
          <w:trHeight w:val="1179"/>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ABAF44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Service Delivery Backlogs</w:t>
            </w:r>
          </w:p>
        </w:tc>
        <w:tc>
          <w:tcPr>
            <w:tcW w:w="136" w:type="pct"/>
            <w:tcBorders>
              <w:top w:val="nil"/>
              <w:left w:val="nil"/>
              <w:bottom w:val="single" w:sz="4" w:space="0" w:color="auto"/>
              <w:right w:val="single" w:sz="4" w:space="0" w:color="auto"/>
            </w:tcBorders>
            <w:shd w:val="clear" w:color="auto" w:fill="auto"/>
            <w:noWrap/>
            <w:vAlign w:val="center"/>
            <w:hideMark/>
          </w:tcPr>
          <w:p w14:paraId="213A2142"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TL20</w:t>
            </w:r>
          </w:p>
        </w:tc>
        <w:tc>
          <w:tcPr>
            <w:tcW w:w="141" w:type="pct"/>
            <w:tcBorders>
              <w:top w:val="nil"/>
              <w:left w:val="nil"/>
              <w:bottom w:val="single" w:sz="4" w:space="0" w:color="auto"/>
              <w:right w:val="single" w:sz="4" w:space="0" w:color="auto"/>
            </w:tcBorders>
            <w:shd w:val="clear" w:color="auto" w:fill="auto"/>
            <w:noWrap/>
            <w:vAlign w:val="center"/>
            <w:hideMark/>
          </w:tcPr>
          <w:p w14:paraId="4E1AB62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E5.2-20</w:t>
            </w:r>
          </w:p>
        </w:tc>
        <w:tc>
          <w:tcPr>
            <w:tcW w:w="269" w:type="pct"/>
            <w:tcBorders>
              <w:top w:val="nil"/>
              <w:left w:val="nil"/>
              <w:bottom w:val="single" w:sz="4" w:space="0" w:color="auto"/>
              <w:right w:val="single" w:sz="4" w:space="0" w:color="auto"/>
            </w:tcBorders>
            <w:shd w:val="clear" w:color="auto" w:fill="auto"/>
            <w:vAlign w:val="center"/>
            <w:hideMark/>
          </w:tcPr>
          <w:p w14:paraId="71CB7D9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responsive and accountable, effective and efficient local government system</w:t>
            </w:r>
          </w:p>
        </w:tc>
        <w:tc>
          <w:tcPr>
            <w:tcW w:w="280" w:type="pct"/>
            <w:tcBorders>
              <w:top w:val="nil"/>
              <w:left w:val="nil"/>
              <w:bottom w:val="single" w:sz="4" w:space="0" w:color="auto"/>
              <w:right w:val="single" w:sz="4" w:space="0" w:color="auto"/>
            </w:tcBorders>
            <w:shd w:val="clear" w:color="auto" w:fill="auto"/>
            <w:vAlign w:val="center"/>
            <w:hideMark/>
          </w:tcPr>
          <w:p w14:paraId="269EE2C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80" w:type="pct"/>
            <w:tcBorders>
              <w:top w:val="nil"/>
              <w:left w:val="nil"/>
              <w:bottom w:val="single" w:sz="4" w:space="0" w:color="auto"/>
              <w:right w:val="single" w:sz="4" w:space="0" w:color="auto"/>
            </w:tcBorders>
            <w:shd w:val="clear" w:color="auto" w:fill="auto"/>
            <w:vAlign w:val="center"/>
            <w:hideMark/>
          </w:tcPr>
          <w:p w14:paraId="386DBD3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78" w:type="pct"/>
            <w:tcBorders>
              <w:top w:val="nil"/>
              <w:left w:val="nil"/>
              <w:bottom w:val="single" w:sz="4" w:space="0" w:color="auto"/>
              <w:right w:val="single" w:sz="4" w:space="0" w:color="auto"/>
            </w:tcBorders>
            <w:shd w:val="clear" w:color="auto" w:fill="auto"/>
            <w:vAlign w:val="center"/>
            <w:hideMark/>
          </w:tcPr>
          <w:p w14:paraId="64FFA15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provide and maintain infrastructure and services to all, with emphasis on rural communities, in a sustainable manner</w:t>
            </w:r>
          </w:p>
        </w:tc>
        <w:tc>
          <w:tcPr>
            <w:tcW w:w="374" w:type="pct"/>
            <w:tcBorders>
              <w:top w:val="nil"/>
              <w:left w:val="nil"/>
              <w:bottom w:val="single" w:sz="4" w:space="0" w:color="auto"/>
              <w:right w:val="single" w:sz="4" w:space="0" w:color="auto"/>
            </w:tcBorders>
            <w:shd w:val="clear" w:color="auto" w:fill="auto"/>
            <w:vAlign w:val="center"/>
            <w:hideMark/>
          </w:tcPr>
          <w:p w14:paraId="3DDC9A2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Provide 85% households with electrification services by 30 June</w:t>
            </w:r>
          </w:p>
        </w:tc>
        <w:tc>
          <w:tcPr>
            <w:tcW w:w="374" w:type="pct"/>
            <w:tcBorders>
              <w:top w:val="nil"/>
              <w:left w:val="nil"/>
              <w:bottom w:val="single" w:sz="4" w:space="0" w:color="auto"/>
              <w:right w:val="single" w:sz="4" w:space="0" w:color="auto"/>
            </w:tcBorders>
            <w:shd w:val="clear" w:color="auto" w:fill="auto"/>
            <w:vAlign w:val="center"/>
            <w:hideMark/>
          </w:tcPr>
          <w:p w14:paraId="5313DD4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Percentage of households provided with electrification services by 30 June</w:t>
            </w:r>
          </w:p>
        </w:tc>
        <w:tc>
          <w:tcPr>
            <w:tcW w:w="374" w:type="pct"/>
            <w:tcBorders>
              <w:top w:val="nil"/>
              <w:left w:val="nil"/>
              <w:bottom w:val="single" w:sz="4" w:space="0" w:color="auto"/>
              <w:right w:val="single" w:sz="4" w:space="0" w:color="auto"/>
            </w:tcBorders>
            <w:shd w:val="clear" w:color="auto" w:fill="auto"/>
            <w:vAlign w:val="center"/>
            <w:hideMark/>
          </w:tcPr>
          <w:p w14:paraId="3C1CF5B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85% households provided with electrification services by 30 June</w:t>
            </w:r>
          </w:p>
        </w:tc>
        <w:tc>
          <w:tcPr>
            <w:tcW w:w="305" w:type="pct"/>
            <w:tcBorders>
              <w:top w:val="nil"/>
              <w:left w:val="nil"/>
              <w:bottom w:val="single" w:sz="4" w:space="0" w:color="auto"/>
              <w:right w:val="single" w:sz="4" w:space="0" w:color="auto"/>
            </w:tcBorders>
            <w:shd w:val="clear" w:color="auto" w:fill="auto"/>
            <w:vAlign w:val="center"/>
            <w:hideMark/>
          </w:tcPr>
          <w:p w14:paraId="3E0A354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85% households provided with electrification services by 30 September</w:t>
            </w:r>
          </w:p>
        </w:tc>
        <w:tc>
          <w:tcPr>
            <w:tcW w:w="374" w:type="pct"/>
            <w:tcBorders>
              <w:top w:val="nil"/>
              <w:left w:val="nil"/>
              <w:bottom w:val="single" w:sz="4" w:space="0" w:color="auto"/>
              <w:right w:val="single" w:sz="4" w:space="0" w:color="auto"/>
            </w:tcBorders>
            <w:shd w:val="clear" w:color="auto" w:fill="auto"/>
            <w:vAlign w:val="center"/>
            <w:hideMark/>
          </w:tcPr>
          <w:p w14:paraId="28ABDF6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85% households provided with electrification services by 31 December</w:t>
            </w:r>
          </w:p>
        </w:tc>
        <w:tc>
          <w:tcPr>
            <w:tcW w:w="305" w:type="pct"/>
            <w:tcBorders>
              <w:top w:val="nil"/>
              <w:left w:val="nil"/>
              <w:bottom w:val="single" w:sz="4" w:space="0" w:color="auto"/>
              <w:right w:val="single" w:sz="4" w:space="0" w:color="auto"/>
            </w:tcBorders>
            <w:shd w:val="clear" w:color="auto" w:fill="auto"/>
            <w:vAlign w:val="center"/>
            <w:hideMark/>
          </w:tcPr>
          <w:p w14:paraId="64A66C1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85% households provided with electrification services by 31 March</w:t>
            </w:r>
          </w:p>
        </w:tc>
        <w:tc>
          <w:tcPr>
            <w:tcW w:w="374" w:type="pct"/>
            <w:tcBorders>
              <w:top w:val="nil"/>
              <w:left w:val="nil"/>
              <w:bottom w:val="single" w:sz="4" w:space="0" w:color="auto"/>
              <w:right w:val="single" w:sz="4" w:space="0" w:color="auto"/>
            </w:tcBorders>
            <w:shd w:val="clear" w:color="auto" w:fill="auto"/>
            <w:vAlign w:val="center"/>
            <w:hideMark/>
          </w:tcPr>
          <w:p w14:paraId="5F8DFAA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85% households provided with electrification services by 30 June</w:t>
            </w:r>
          </w:p>
        </w:tc>
        <w:tc>
          <w:tcPr>
            <w:tcW w:w="251" w:type="pct"/>
            <w:tcBorders>
              <w:top w:val="nil"/>
              <w:left w:val="nil"/>
              <w:bottom w:val="single" w:sz="4" w:space="0" w:color="auto"/>
              <w:right w:val="single" w:sz="4" w:space="0" w:color="auto"/>
            </w:tcBorders>
            <w:shd w:val="clear" w:color="auto" w:fill="auto"/>
            <w:vAlign w:val="center"/>
            <w:hideMark/>
          </w:tcPr>
          <w:p w14:paraId="64D6F239"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7 713 250.00</w:t>
            </w:r>
          </w:p>
        </w:tc>
        <w:tc>
          <w:tcPr>
            <w:tcW w:w="146" w:type="pct"/>
            <w:tcBorders>
              <w:top w:val="nil"/>
              <w:left w:val="nil"/>
              <w:bottom w:val="single" w:sz="4" w:space="0" w:color="auto"/>
              <w:right w:val="single" w:sz="4" w:space="0" w:color="auto"/>
            </w:tcBorders>
            <w:shd w:val="clear" w:color="auto" w:fill="auto"/>
            <w:noWrap/>
            <w:vAlign w:val="center"/>
            <w:hideMark/>
          </w:tcPr>
          <w:p w14:paraId="25176F11"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83%</w:t>
            </w:r>
          </w:p>
        </w:tc>
        <w:tc>
          <w:tcPr>
            <w:tcW w:w="278" w:type="pct"/>
            <w:tcBorders>
              <w:top w:val="nil"/>
              <w:left w:val="nil"/>
              <w:bottom w:val="single" w:sz="4" w:space="0" w:color="auto"/>
              <w:right w:val="single" w:sz="4" w:space="0" w:color="auto"/>
            </w:tcBorders>
            <w:shd w:val="clear" w:color="auto" w:fill="auto"/>
            <w:vAlign w:val="center"/>
            <w:hideMark/>
          </w:tcPr>
          <w:p w14:paraId="0F0CAA6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ENGINEERING SERVICES</w:t>
            </w:r>
          </w:p>
        </w:tc>
        <w:tc>
          <w:tcPr>
            <w:tcW w:w="170" w:type="pct"/>
            <w:tcBorders>
              <w:top w:val="nil"/>
              <w:left w:val="nil"/>
              <w:bottom w:val="single" w:sz="4" w:space="0" w:color="auto"/>
              <w:right w:val="single" w:sz="4" w:space="0" w:color="auto"/>
            </w:tcBorders>
            <w:shd w:val="clear" w:color="auto" w:fill="auto"/>
            <w:vAlign w:val="center"/>
            <w:hideMark/>
          </w:tcPr>
          <w:p w14:paraId="73F2195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659142AE" w14:textId="77777777" w:rsidTr="008A0277">
        <w:trPr>
          <w:trHeight w:val="13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D22E14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Electricity losses</w:t>
            </w:r>
          </w:p>
        </w:tc>
        <w:tc>
          <w:tcPr>
            <w:tcW w:w="136" w:type="pct"/>
            <w:tcBorders>
              <w:top w:val="nil"/>
              <w:left w:val="nil"/>
              <w:bottom w:val="single" w:sz="4" w:space="0" w:color="auto"/>
              <w:right w:val="single" w:sz="4" w:space="0" w:color="auto"/>
            </w:tcBorders>
            <w:shd w:val="clear" w:color="auto" w:fill="auto"/>
            <w:noWrap/>
            <w:vAlign w:val="center"/>
            <w:hideMark/>
          </w:tcPr>
          <w:p w14:paraId="7E29A9BF"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TL21</w:t>
            </w:r>
          </w:p>
        </w:tc>
        <w:tc>
          <w:tcPr>
            <w:tcW w:w="141" w:type="pct"/>
            <w:tcBorders>
              <w:top w:val="nil"/>
              <w:left w:val="nil"/>
              <w:bottom w:val="single" w:sz="4" w:space="0" w:color="auto"/>
              <w:right w:val="single" w:sz="4" w:space="0" w:color="auto"/>
            </w:tcBorders>
            <w:shd w:val="clear" w:color="auto" w:fill="auto"/>
            <w:noWrap/>
            <w:vAlign w:val="center"/>
            <w:hideMark/>
          </w:tcPr>
          <w:p w14:paraId="1F620AB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E5.2-21</w:t>
            </w:r>
          </w:p>
        </w:tc>
        <w:tc>
          <w:tcPr>
            <w:tcW w:w="269" w:type="pct"/>
            <w:tcBorders>
              <w:top w:val="nil"/>
              <w:left w:val="nil"/>
              <w:bottom w:val="single" w:sz="4" w:space="0" w:color="auto"/>
              <w:right w:val="single" w:sz="4" w:space="0" w:color="auto"/>
            </w:tcBorders>
            <w:shd w:val="clear" w:color="auto" w:fill="auto"/>
            <w:vAlign w:val="center"/>
            <w:hideMark/>
          </w:tcPr>
          <w:p w14:paraId="0F429C0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responsive and accountable, effective and efficient local government system</w:t>
            </w:r>
          </w:p>
        </w:tc>
        <w:tc>
          <w:tcPr>
            <w:tcW w:w="280" w:type="pct"/>
            <w:tcBorders>
              <w:top w:val="nil"/>
              <w:left w:val="nil"/>
              <w:bottom w:val="single" w:sz="4" w:space="0" w:color="auto"/>
              <w:right w:val="single" w:sz="4" w:space="0" w:color="auto"/>
            </w:tcBorders>
            <w:shd w:val="clear" w:color="auto" w:fill="auto"/>
            <w:vAlign w:val="center"/>
            <w:hideMark/>
          </w:tcPr>
          <w:p w14:paraId="09676D5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80" w:type="pct"/>
            <w:tcBorders>
              <w:top w:val="nil"/>
              <w:left w:val="nil"/>
              <w:bottom w:val="single" w:sz="4" w:space="0" w:color="auto"/>
              <w:right w:val="single" w:sz="4" w:space="0" w:color="auto"/>
            </w:tcBorders>
            <w:shd w:val="clear" w:color="auto" w:fill="auto"/>
            <w:vAlign w:val="center"/>
            <w:hideMark/>
          </w:tcPr>
          <w:p w14:paraId="5FDA651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78" w:type="pct"/>
            <w:tcBorders>
              <w:top w:val="nil"/>
              <w:left w:val="nil"/>
              <w:bottom w:val="single" w:sz="4" w:space="0" w:color="auto"/>
              <w:right w:val="single" w:sz="4" w:space="0" w:color="auto"/>
            </w:tcBorders>
            <w:shd w:val="clear" w:color="auto" w:fill="auto"/>
            <w:vAlign w:val="center"/>
            <w:hideMark/>
          </w:tcPr>
          <w:p w14:paraId="58641B6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ensure continued sound financial management</w:t>
            </w:r>
          </w:p>
        </w:tc>
        <w:tc>
          <w:tcPr>
            <w:tcW w:w="374" w:type="pct"/>
            <w:tcBorders>
              <w:top w:val="nil"/>
              <w:left w:val="nil"/>
              <w:bottom w:val="single" w:sz="4" w:space="0" w:color="auto"/>
              <w:right w:val="single" w:sz="4" w:space="0" w:color="auto"/>
            </w:tcBorders>
            <w:shd w:val="clear" w:color="auto" w:fill="auto"/>
            <w:vAlign w:val="center"/>
            <w:hideMark/>
          </w:tcPr>
          <w:p w14:paraId="137D5E7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Ensure electricity losses remain within the norm of 5-10% by 30 June </w:t>
            </w:r>
          </w:p>
        </w:tc>
        <w:tc>
          <w:tcPr>
            <w:tcW w:w="374" w:type="pct"/>
            <w:tcBorders>
              <w:top w:val="nil"/>
              <w:left w:val="nil"/>
              <w:bottom w:val="single" w:sz="4" w:space="0" w:color="auto"/>
              <w:right w:val="single" w:sz="4" w:space="0" w:color="auto"/>
            </w:tcBorders>
            <w:shd w:val="clear" w:color="auto" w:fill="auto"/>
            <w:vAlign w:val="center"/>
            <w:hideMark/>
          </w:tcPr>
          <w:p w14:paraId="4B9EFA9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Percentage electricity losses by 30 June</w:t>
            </w:r>
          </w:p>
        </w:tc>
        <w:tc>
          <w:tcPr>
            <w:tcW w:w="374" w:type="pct"/>
            <w:tcBorders>
              <w:top w:val="nil"/>
              <w:left w:val="nil"/>
              <w:bottom w:val="single" w:sz="4" w:space="0" w:color="auto"/>
              <w:right w:val="single" w:sz="4" w:space="0" w:color="auto"/>
            </w:tcBorders>
            <w:shd w:val="clear" w:color="auto" w:fill="auto"/>
            <w:vAlign w:val="center"/>
            <w:hideMark/>
          </w:tcPr>
          <w:p w14:paraId="2CFF4AA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Electricity losses to remain within the norm of 5-10% by 30 June </w:t>
            </w:r>
          </w:p>
        </w:tc>
        <w:tc>
          <w:tcPr>
            <w:tcW w:w="305" w:type="pct"/>
            <w:tcBorders>
              <w:top w:val="nil"/>
              <w:left w:val="nil"/>
              <w:bottom w:val="single" w:sz="4" w:space="0" w:color="auto"/>
              <w:right w:val="single" w:sz="4" w:space="0" w:color="auto"/>
            </w:tcBorders>
            <w:shd w:val="clear" w:color="auto" w:fill="auto"/>
            <w:vAlign w:val="center"/>
            <w:hideMark/>
          </w:tcPr>
          <w:p w14:paraId="58DF57B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Electricity losses to remain within the norm of 5-10% by 30 September</w:t>
            </w:r>
          </w:p>
        </w:tc>
        <w:tc>
          <w:tcPr>
            <w:tcW w:w="374" w:type="pct"/>
            <w:tcBorders>
              <w:top w:val="nil"/>
              <w:left w:val="nil"/>
              <w:bottom w:val="single" w:sz="4" w:space="0" w:color="auto"/>
              <w:right w:val="single" w:sz="4" w:space="0" w:color="auto"/>
            </w:tcBorders>
            <w:shd w:val="clear" w:color="auto" w:fill="auto"/>
            <w:vAlign w:val="center"/>
            <w:hideMark/>
          </w:tcPr>
          <w:p w14:paraId="0B359F3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Electricity losses to remain within the norm of 5-10% by 31 December</w:t>
            </w:r>
          </w:p>
        </w:tc>
        <w:tc>
          <w:tcPr>
            <w:tcW w:w="305" w:type="pct"/>
            <w:tcBorders>
              <w:top w:val="nil"/>
              <w:left w:val="nil"/>
              <w:bottom w:val="single" w:sz="4" w:space="0" w:color="auto"/>
              <w:right w:val="single" w:sz="4" w:space="0" w:color="auto"/>
            </w:tcBorders>
            <w:shd w:val="clear" w:color="auto" w:fill="auto"/>
            <w:vAlign w:val="center"/>
            <w:hideMark/>
          </w:tcPr>
          <w:p w14:paraId="2328D0C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Electricity losses to remain within the norm of 5-10% by 31 March</w:t>
            </w:r>
          </w:p>
        </w:tc>
        <w:tc>
          <w:tcPr>
            <w:tcW w:w="374" w:type="pct"/>
            <w:tcBorders>
              <w:top w:val="nil"/>
              <w:left w:val="nil"/>
              <w:bottom w:val="single" w:sz="4" w:space="0" w:color="auto"/>
              <w:right w:val="single" w:sz="4" w:space="0" w:color="auto"/>
            </w:tcBorders>
            <w:shd w:val="clear" w:color="auto" w:fill="auto"/>
            <w:vAlign w:val="center"/>
            <w:hideMark/>
          </w:tcPr>
          <w:p w14:paraId="6FDD273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Electricity losses to remain within the norm of 5-10% by 30 June</w:t>
            </w:r>
          </w:p>
        </w:tc>
        <w:tc>
          <w:tcPr>
            <w:tcW w:w="251" w:type="pct"/>
            <w:tcBorders>
              <w:top w:val="nil"/>
              <w:left w:val="nil"/>
              <w:bottom w:val="single" w:sz="4" w:space="0" w:color="auto"/>
              <w:right w:val="single" w:sz="4" w:space="0" w:color="auto"/>
            </w:tcBorders>
            <w:shd w:val="clear" w:color="auto" w:fill="auto"/>
            <w:vAlign w:val="center"/>
            <w:hideMark/>
          </w:tcPr>
          <w:p w14:paraId="12359404"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9 955 090.00</w:t>
            </w:r>
          </w:p>
        </w:tc>
        <w:tc>
          <w:tcPr>
            <w:tcW w:w="146" w:type="pct"/>
            <w:tcBorders>
              <w:top w:val="nil"/>
              <w:left w:val="nil"/>
              <w:bottom w:val="single" w:sz="4" w:space="0" w:color="auto"/>
              <w:right w:val="single" w:sz="4" w:space="0" w:color="auto"/>
            </w:tcBorders>
            <w:shd w:val="clear" w:color="auto" w:fill="auto"/>
            <w:noWrap/>
            <w:vAlign w:val="center"/>
            <w:hideMark/>
          </w:tcPr>
          <w:p w14:paraId="2C7C11D4"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11%</w:t>
            </w:r>
          </w:p>
        </w:tc>
        <w:tc>
          <w:tcPr>
            <w:tcW w:w="278" w:type="pct"/>
            <w:tcBorders>
              <w:top w:val="nil"/>
              <w:left w:val="nil"/>
              <w:bottom w:val="single" w:sz="4" w:space="0" w:color="auto"/>
              <w:right w:val="single" w:sz="4" w:space="0" w:color="auto"/>
            </w:tcBorders>
            <w:shd w:val="clear" w:color="auto" w:fill="auto"/>
            <w:vAlign w:val="center"/>
            <w:hideMark/>
          </w:tcPr>
          <w:p w14:paraId="2EC4CA9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ENGINEERING SERVICES</w:t>
            </w:r>
          </w:p>
        </w:tc>
        <w:tc>
          <w:tcPr>
            <w:tcW w:w="170" w:type="pct"/>
            <w:tcBorders>
              <w:top w:val="nil"/>
              <w:left w:val="nil"/>
              <w:bottom w:val="single" w:sz="4" w:space="0" w:color="auto"/>
              <w:right w:val="single" w:sz="4" w:space="0" w:color="auto"/>
            </w:tcBorders>
            <w:shd w:val="clear" w:color="auto" w:fill="auto"/>
            <w:vAlign w:val="center"/>
            <w:hideMark/>
          </w:tcPr>
          <w:p w14:paraId="4E9C846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ADMIN</w:t>
            </w:r>
          </w:p>
        </w:tc>
      </w:tr>
      <w:tr w:rsidR="008A0277" w:rsidRPr="008A0277" w14:paraId="028FA3F6" w14:textId="77777777" w:rsidTr="008A0277">
        <w:trPr>
          <w:trHeight w:val="1398"/>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0B7FB6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Electricity losses</w:t>
            </w:r>
          </w:p>
        </w:tc>
        <w:tc>
          <w:tcPr>
            <w:tcW w:w="136" w:type="pct"/>
            <w:tcBorders>
              <w:top w:val="nil"/>
              <w:left w:val="nil"/>
              <w:bottom w:val="single" w:sz="4" w:space="0" w:color="auto"/>
              <w:right w:val="single" w:sz="4" w:space="0" w:color="auto"/>
            </w:tcBorders>
            <w:shd w:val="clear" w:color="auto" w:fill="auto"/>
            <w:noWrap/>
            <w:vAlign w:val="center"/>
            <w:hideMark/>
          </w:tcPr>
          <w:p w14:paraId="7D358C37"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TL22</w:t>
            </w:r>
          </w:p>
        </w:tc>
        <w:tc>
          <w:tcPr>
            <w:tcW w:w="141" w:type="pct"/>
            <w:tcBorders>
              <w:top w:val="nil"/>
              <w:left w:val="nil"/>
              <w:bottom w:val="single" w:sz="4" w:space="0" w:color="auto"/>
              <w:right w:val="single" w:sz="4" w:space="0" w:color="auto"/>
            </w:tcBorders>
            <w:shd w:val="clear" w:color="auto" w:fill="auto"/>
            <w:noWrap/>
            <w:vAlign w:val="center"/>
            <w:hideMark/>
          </w:tcPr>
          <w:p w14:paraId="0A51115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E5.2-22</w:t>
            </w:r>
          </w:p>
        </w:tc>
        <w:tc>
          <w:tcPr>
            <w:tcW w:w="269" w:type="pct"/>
            <w:tcBorders>
              <w:top w:val="nil"/>
              <w:left w:val="nil"/>
              <w:bottom w:val="single" w:sz="4" w:space="0" w:color="auto"/>
              <w:right w:val="single" w:sz="4" w:space="0" w:color="auto"/>
            </w:tcBorders>
            <w:shd w:val="clear" w:color="auto" w:fill="auto"/>
            <w:vAlign w:val="center"/>
            <w:hideMark/>
          </w:tcPr>
          <w:p w14:paraId="63131E1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responsive and accountable, effective and efficient local government system</w:t>
            </w:r>
          </w:p>
        </w:tc>
        <w:tc>
          <w:tcPr>
            <w:tcW w:w="280" w:type="pct"/>
            <w:tcBorders>
              <w:top w:val="nil"/>
              <w:left w:val="nil"/>
              <w:bottom w:val="single" w:sz="4" w:space="0" w:color="auto"/>
              <w:right w:val="single" w:sz="4" w:space="0" w:color="auto"/>
            </w:tcBorders>
            <w:shd w:val="clear" w:color="auto" w:fill="auto"/>
            <w:vAlign w:val="center"/>
            <w:hideMark/>
          </w:tcPr>
          <w:p w14:paraId="6F75DF8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80" w:type="pct"/>
            <w:tcBorders>
              <w:top w:val="nil"/>
              <w:left w:val="nil"/>
              <w:bottom w:val="single" w:sz="4" w:space="0" w:color="auto"/>
              <w:right w:val="single" w:sz="4" w:space="0" w:color="auto"/>
            </w:tcBorders>
            <w:shd w:val="clear" w:color="auto" w:fill="auto"/>
            <w:vAlign w:val="center"/>
            <w:hideMark/>
          </w:tcPr>
          <w:p w14:paraId="180DE87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78" w:type="pct"/>
            <w:tcBorders>
              <w:top w:val="nil"/>
              <w:left w:val="nil"/>
              <w:bottom w:val="single" w:sz="4" w:space="0" w:color="auto"/>
              <w:right w:val="single" w:sz="4" w:space="0" w:color="auto"/>
            </w:tcBorders>
            <w:shd w:val="clear" w:color="auto" w:fill="auto"/>
            <w:vAlign w:val="center"/>
            <w:hideMark/>
          </w:tcPr>
          <w:p w14:paraId="689CA2C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ensure continued sound financial management</w:t>
            </w:r>
          </w:p>
        </w:tc>
        <w:tc>
          <w:tcPr>
            <w:tcW w:w="374" w:type="pct"/>
            <w:tcBorders>
              <w:top w:val="nil"/>
              <w:left w:val="nil"/>
              <w:bottom w:val="single" w:sz="4" w:space="0" w:color="auto"/>
              <w:right w:val="single" w:sz="4" w:space="0" w:color="auto"/>
            </w:tcBorders>
            <w:shd w:val="clear" w:color="auto" w:fill="auto"/>
            <w:vAlign w:val="center"/>
            <w:hideMark/>
          </w:tcPr>
          <w:p w14:paraId="5C1E96C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Undertake electricity meter audit by 31 March to reduce electricity losses</w:t>
            </w:r>
          </w:p>
        </w:tc>
        <w:tc>
          <w:tcPr>
            <w:tcW w:w="374" w:type="pct"/>
            <w:tcBorders>
              <w:top w:val="nil"/>
              <w:left w:val="nil"/>
              <w:bottom w:val="single" w:sz="4" w:space="0" w:color="auto"/>
              <w:right w:val="single" w:sz="4" w:space="0" w:color="auto"/>
            </w:tcBorders>
            <w:shd w:val="clear" w:color="auto" w:fill="auto"/>
            <w:vAlign w:val="center"/>
            <w:hideMark/>
          </w:tcPr>
          <w:p w14:paraId="1C8BE16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Date of completion of meter audit</w:t>
            </w:r>
          </w:p>
        </w:tc>
        <w:tc>
          <w:tcPr>
            <w:tcW w:w="374" w:type="pct"/>
            <w:tcBorders>
              <w:top w:val="nil"/>
              <w:left w:val="nil"/>
              <w:bottom w:val="single" w:sz="4" w:space="0" w:color="auto"/>
              <w:right w:val="single" w:sz="4" w:space="0" w:color="auto"/>
            </w:tcBorders>
            <w:shd w:val="clear" w:color="auto" w:fill="auto"/>
            <w:vAlign w:val="center"/>
            <w:hideMark/>
          </w:tcPr>
          <w:p w14:paraId="3D532FB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Electricity meter audit undertaken by 31 March to reduce electricity losses</w:t>
            </w:r>
          </w:p>
        </w:tc>
        <w:tc>
          <w:tcPr>
            <w:tcW w:w="305" w:type="pct"/>
            <w:tcBorders>
              <w:top w:val="nil"/>
              <w:left w:val="nil"/>
              <w:bottom w:val="single" w:sz="4" w:space="0" w:color="auto"/>
              <w:right w:val="single" w:sz="4" w:space="0" w:color="auto"/>
            </w:tcBorders>
            <w:shd w:val="clear" w:color="auto" w:fill="auto"/>
            <w:vAlign w:val="center"/>
            <w:hideMark/>
          </w:tcPr>
          <w:p w14:paraId="3B597C2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72FBEE3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05" w:type="pct"/>
            <w:tcBorders>
              <w:top w:val="nil"/>
              <w:left w:val="nil"/>
              <w:bottom w:val="single" w:sz="4" w:space="0" w:color="auto"/>
              <w:right w:val="single" w:sz="4" w:space="0" w:color="auto"/>
            </w:tcBorders>
            <w:shd w:val="clear" w:color="auto" w:fill="auto"/>
            <w:vAlign w:val="center"/>
            <w:hideMark/>
          </w:tcPr>
          <w:p w14:paraId="45EF2B0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Electricity meter audit undertaken by 31 March to reduce electricity losses</w:t>
            </w:r>
          </w:p>
        </w:tc>
        <w:tc>
          <w:tcPr>
            <w:tcW w:w="374" w:type="pct"/>
            <w:tcBorders>
              <w:top w:val="nil"/>
              <w:left w:val="nil"/>
              <w:bottom w:val="single" w:sz="4" w:space="0" w:color="auto"/>
              <w:right w:val="single" w:sz="4" w:space="0" w:color="auto"/>
            </w:tcBorders>
            <w:shd w:val="clear" w:color="auto" w:fill="auto"/>
            <w:vAlign w:val="center"/>
            <w:hideMark/>
          </w:tcPr>
          <w:p w14:paraId="035233B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251" w:type="pct"/>
            <w:tcBorders>
              <w:top w:val="nil"/>
              <w:left w:val="nil"/>
              <w:bottom w:val="single" w:sz="4" w:space="0" w:color="auto"/>
              <w:right w:val="single" w:sz="4" w:space="0" w:color="auto"/>
            </w:tcBorders>
            <w:shd w:val="clear" w:color="auto" w:fill="auto"/>
            <w:vAlign w:val="center"/>
            <w:hideMark/>
          </w:tcPr>
          <w:p w14:paraId="03969F3E"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250 000.00</w:t>
            </w:r>
          </w:p>
        </w:tc>
        <w:tc>
          <w:tcPr>
            <w:tcW w:w="146" w:type="pct"/>
            <w:tcBorders>
              <w:top w:val="nil"/>
              <w:left w:val="nil"/>
              <w:bottom w:val="single" w:sz="4" w:space="0" w:color="auto"/>
              <w:right w:val="single" w:sz="4" w:space="0" w:color="auto"/>
            </w:tcBorders>
            <w:shd w:val="clear" w:color="auto" w:fill="auto"/>
            <w:noWrap/>
            <w:vAlign w:val="center"/>
            <w:hideMark/>
          </w:tcPr>
          <w:p w14:paraId="4467C400"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w:t>
            </w:r>
          </w:p>
        </w:tc>
        <w:tc>
          <w:tcPr>
            <w:tcW w:w="278" w:type="pct"/>
            <w:tcBorders>
              <w:top w:val="nil"/>
              <w:left w:val="nil"/>
              <w:bottom w:val="single" w:sz="4" w:space="0" w:color="auto"/>
              <w:right w:val="single" w:sz="4" w:space="0" w:color="auto"/>
            </w:tcBorders>
            <w:shd w:val="clear" w:color="auto" w:fill="auto"/>
            <w:vAlign w:val="center"/>
            <w:hideMark/>
          </w:tcPr>
          <w:p w14:paraId="5BD7007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ENGINEERING SERVICES</w:t>
            </w:r>
          </w:p>
        </w:tc>
        <w:tc>
          <w:tcPr>
            <w:tcW w:w="170" w:type="pct"/>
            <w:tcBorders>
              <w:top w:val="nil"/>
              <w:left w:val="nil"/>
              <w:bottom w:val="single" w:sz="4" w:space="0" w:color="auto"/>
              <w:right w:val="single" w:sz="4" w:space="0" w:color="auto"/>
            </w:tcBorders>
            <w:shd w:val="clear" w:color="auto" w:fill="auto"/>
            <w:vAlign w:val="center"/>
            <w:hideMark/>
          </w:tcPr>
          <w:p w14:paraId="623ABDC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ADMIN</w:t>
            </w:r>
          </w:p>
        </w:tc>
      </w:tr>
      <w:tr w:rsidR="008A0277" w:rsidRPr="008A0277" w14:paraId="6142EB60" w14:textId="77777777" w:rsidTr="008A0277">
        <w:trPr>
          <w:trHeight w:val="1333"/>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5B91C2F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Inadequate performance monitoring</w:t>
            </w:r>
          </w:p>
        </w:tc>
        <w:tc>
          <w:tcPr>
            <w:tcW w:w="136" w:type="pct"/>
            <w:tcBorders>
              <w:top w:val="nil"/>
              <w:left w:val="nil"/>
              <w:bottom w:val="single" w:sz="4" w:space="0" w:color="auto"/>
              <w:right w:val="single" w:sz="4" w:space="0" w:color="auto"/>
            </w:tcBorders>
            <w:shd w:val="clear" w:color="auto" w:fill="auto"/>
            <w:noWrap/>
            <w:vAlign w:val="center"/>
            <w:hideMark/>
          </w:tcPr>
          <w:p w14:paraId="01F1A38E"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TL23</w:t>
            </w:r>
          </w:p>
        </w:tc>
        <w:tc>
          <w:tcPr>
            <w:tcW w:w="141" w:type="pct"/>
            <w:tcBorders>
              <w:top w:val="nil"/>
              <w:left w:val="nil"/>
              <w:bottom w:val="single" w:sz="4" w:space="0" w:color="auto"/>
              <w:right w:val="single" w:sz="4" w:space="0" w:color="auto"/>
            </w:tcBorders>
            <w:shd w:val="clear" w:color="auto" w:fill="auto"/>
            <w:noWrap/>
            <w:vAlign w:val="center"/>
            <w:hideMark/>
          </w:tcPr>
          <w:p w14:paraId="2E1C219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E5.2-23</w:t>
            </w:r>
          </w:p>
        </w:tc>
        <w:tc>
          <w:tcPr>
            <w:tcW w:w="269" w:type="pct"/>
            <w:tcBorders>
              <w:top w:val="nil"/>
              <w:left w:val="nil"/>
              <w:bottom w:val="single" w:sz="4" w:space="0" w:color="auto"/>
              <w:right w:val="single" w:sz="4" w:space="0" w:color="auto"/>
            </w:tcBorders>
            <w:shd w:val="clear" w:color="auto" w:fill="auto"/>
            <w:vAlign w:val="center"/>
            <w:hideMark/>
          </w:tcPr>
          <w:p w14:paraId="0840FDF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responsive and accountable, effective and efficient local government system</w:t>
            </w:r>
          </w:p>
        </w:tc>
        <w:tc>
          <w:tcPr>
            <w:tcW w:w="280" w:type="pct"/>
            <w:tcBorders>
              <w:top w:val="nil"/>
              <w:left w:val="nil"/>
              <w:bottom w:val="single" w:sz="4" w:space="0" w:color="auto"/>
              <w:right w:val="single" w:sz="4" w:space="0" w:color="auto"/>
            </w:tcBorders>
            <w:shd w:val="clear" w:color="auto" w:fill="auto"/>
            <w:vAlign w:val="center"/>
            <w:hideMark/>
          </w:tcPr>
          <w:p w14:paraId="405AC27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80" w:type="pct"/>
            <w:tcBorders>
              <w:top w:val="nil"/>
              <w:left w:val="nil"/>
              <w:bottom w:val="single" w:sz="4" w:space="0" w:color="auto"/>
              <w:right w:val="single" w:sz="4" w:space="0" w:color="auto"/>
            </w:tcBorders>
            <w:shd w:val="clear" w:color="auto" w:fill="auto"/>
            <w:vAlign w:val="center"/>
            <w:hideMark/>
          </w:tcPr>
          <w:p w14:paraId="74E4419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78" w:type="pct"/>
            <w:tcBorders>
              <w:top w:val="nil"/>
              <w:left w:val="nil"/>
              <w:bottom w:val="single" w:sz="4" w:space="0" w:color="auto"/>
              <w:right w:val="single" w:sz="4" w:space="0" w:color="auto"/>
            </w:tcBorders>
            <w:shd w:val="clear" w:color="auto" w:fill="auto"/>
            <w:vAlign w:val="center"/>
            <w:hideMark/>
          </w:tcPr>
          <w:p w14:paraId="73B5850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ensure continued sound financial management</w:t>
            </w:r>
          </w:p>
        </w:tc>
        <w:tc>
          <w:tcPr>
            <w:tcW w:w="374" w:type="pct"/>
            <w:tcBorders>
              <w:top w:val="nil"/>
              <w:left w:val="nil"/>
              <w:bottom w:val="single" w:sz="4" w:space="0" w:color="auto"/>
              <w:right w:val="single" w:sz="4" w:space="0" w:color="auto"/>
            </w:tcBorders>
            <w:shd w:val="clear" w:color="auto" w:fill="auto"/>
            <w:vAlign w:val="center"/>
            <w:hideMark/>
          </w:tcPr>
          <w:p w14:paraId="15BCBCC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Submit quarterly reports to PMS on performance of Service Providers </w:t>
            </w:r>
          </w:p>
        </w:tc>
        <w:tc>
          <w:tcPr>
            <w:tcW w:w="374" w:type="pct"/>
            <w:tcBorders>
              <w:top w:val="nil"/>
              <w:left w:val="nil"/>
              <w:bottom w:val="single" w:sz="4" w:space="0" w:color="auto"/>
              <w:right w:val="single" w:sz="4" w:space="0" w:color="auto"/>
            </w:tcBorders>
            <w:shd w:val="clear" w:color="auto" w:fill="auto"/>
            <w:vAlign w:val="center"/>
            <w:hideMark/>
          </w:tcPr>
          <w:p w14:paraId="04A3CFE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Number of reports submitted to PMS by 30 June</w:t>
            </w:r>
          </w:p>
        </w:tc>
        <w:tc>
          <w:tcPr>
            <w:tcW w:w="374" w:type="pct"/>
            <w:tcBorders>
              <w:top w:val="nil"/>
              <w:left w:val="nil"/>
              <w:bottom w:val="single" w:sz="4" w:space="0" w:color="auto"/>
              <w:right w:val="single" w:sz="4" w:space="0" w:color="auto"/>
            </w:tcBorders>
            <w:shd w:val="clear" w:color="auto" w:fill="auto"/>
            <w:vAlign w:val="center"/>
            <w:hideMark/>
          </w:tcPr>
          <w:p w14:paraId="1B6C8D9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12 reports submitted to PMS by 30 June of the Performance of Service Providers </w:t>
            </w:r>
          </w:p>
        </w:tc>
        <w:tc>
          <w:tcPr>
            <w:tcW w:w="305" w:type="pct"/>
            <w:tcBorders>
              <w:top w:val="nil"/>
              <w:left w:val="nil"/>
              <w:bottom w:val="single" w:sz="4" w:space="0" w:color="auto"/>
              <w:right w:val="single" w:sz="4" w:space="0" w:color="auto"/>
            </w:tcBorders>
            <w:shd w:val="clear" w:color="auto" w:fill="auto"/>
            <w:vAlign w:val="center"/>
            <w:hideMark/>
          </w:tcPr>
          <w:p w14:paraId="2E7FBEA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3 reports submitted to PMS by 30 September of the Performance of Service Providers </w:t>
            </w:r>
          </w:p>
        </w:tc>
        <w:tc>
          <w:tcPr>
            <w:tcW w:w="374" w:type="pct"/>
            <w:tcBorders>
              <w:top w:val="nil"/>
              <w:left w:val="nil"/>
              <w:bottom w:val="single" w:sz="4" w:space="0" w:color="auto"/>
              <w:right w:val="single" w:sz="4" w:space="0" w:color="auto"/>
            </w:tcBorders>
            <w:shd w:val="clear" w:color="auto" w:fill="auto"/>
            <w:vAlign w:val="center"/>
            <w:hideMark/>
          </w:tcPr>
          <w:p w14:paraId="75C2EC3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3 reports submitted to PMS by 31 December of the Performance of Service Providers </w:t>
            </w:r>
          </w:p>
        </w:tc>
        <w:tc>
          <w:tcPr>
            <w:tcW w:w="305" w:type="pct"/>
            <w:tcBorders>
              <w:top w:val="nil"/>
              <w:left w:val="nil"/>
              <w:bottom w:val="single" w:sz="4" w:space="0" w:color="auto"/>
              <w:right w:val="single" w:sz="4" w:space="0" w:color="auto"/>
            </w:tcBorders>
            <w:shd w:val="clear" w:color="auto" w:fill="auto"/>
            <w:vAlign w:val="center"/>
            <w:hideMark/>
          </w:tcPr>
          <w:p w14:paraId="51ED772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3 reports submitted to PMS by 31 March of the Performance of Service Providers </w:t>
            </w:r>
          </w:p>
        </w:tc>
        <w:tc>
          <w:tcPr>
            <w:tcW w:w="374" w:type="pct"/>
            <w:tcBorders>
              <w:top w:val="nil"/>
              <w:left w:val="nil"/>
              <w:bottom w:val="single" w:sz="4" w:space="0" w:color="auto"/>
              <w:right w:val="single" w:sz="4" w:space="0" w:color="auto"/>
            </w:tcBorders>
            <w:shd w:val="clear" w:color="auto" w:fill="auto"/>
            <w:vAlign w:val="center"/>
            <w:hideMark/>
          </w:tcPr>
          <w:p w14:paraId="1E01571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3 reports submitted to PMS by 30 June of the Performance of Service Providers </w:t>
            </w:r>
          </w:p>
        </w:tc>
        <w:tc>
          <w:tcPr>
            <w:tcW w:w="251" w:type="pct"/>
            <w:tcBorders>
              <w:top w:val="nil"/>
              <w:left w:val="nil"/>
              <w:bottom w:val="single" w:sz="4" w:space="0" w:color="auto"/>
              <w:right w:val="single" w:sz="4" w:space="0" w:color="auto"/>
            </w:tcBorders>
            <w:shd w:val="clear" w:color="auto" w:fill="auto"/>
            <w:vAlign w:val="center"/>
            <w:hideMark/>
          </w:tcPr>
          <w:p w14:paraId="34778046" w14:textId="77777777" w:rsidR="008A0277" w:rsidRPr="008A0277" w:rsidRDefault="008A0277" w:rsidP="008A0277">
            <w:pPr>
              <w:spacing w:after="0" w:line="240" w:lineRule="auto"/>
              <w:rPr>
                <w:rFonts w:eastAsia="Times New Roman" w:cs="Times New Roman"/>
                <w:color w:val="FF0000"/>
                <w:sz w:val="12"/>
                <w:szCs w:val="12"/>
                <w:lang w:val="en-ZA" w:eastAsia="en-ZA"/>
              </w:rPr>
            </w:pPr>
            <w:r w:rsidRPr="008A0277">
              <w:rPr>
                <w:rFonts w:eastAsia="Times New Roman" w:cs="Times New Roman"/>
                <w:color w:val="FF0000"/>
                <w:sz w:val="12"/>
                <w:szCs w:val="12"/>
                <w:lang w:val="en-ZA" w:eastAsia="en-ZA"/>
              </w:rPr>
              <w:t>2 048 220,00</w:t>
            </w:r>
          </w:p>
        </w:tc>
        <w:tc>
          <w:tcPr>
            <w:tcW w:w="146" w:type="pct"/>
            <w:tcBorders>
              <w:top w:val="nil"/>
              <w:left w:val="nil"/>
              <w:bottom w:val="single" w:sz="4" w:space="0" w:color="auto"/>
              <w:right w:val="single" w:sz="4" w:space="0" w:color="auto"/>
            </w:tcBorders>
            <w:shd w:val="clear" w:color="auto" w:fill="auto"/>
            <w:noWrap/>
            <w:vAlign w:val="center"/>
            <w:hideMark/>
          </w:tcPr>
          <w:p w14:paraId="6780D29F"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w:t>
            </w:r>
          </w:p>
        </w:tc>
        <w:tc>
          <w:tcPr>
            <w:tcW w:w="278" w:type="pct"/>
            <w:tcBorders>
              <w:top w:val="nil"/>
              <w:left w:val="nil"/>
              <w:bottom w:val="single" w:sz="4" w:space="0" w:color="auto"/>
              <w:right w:val="single" w:sz="4" w:space="0" w:color="auto"/>
            </w:tcBorders>
            <w:shd w:val="clear" w:color="auto" w:fill="auto"/>
            <w:vAlign w:val="center"/>
            <w:hideMark/>
          </w:tcPr>
          <w:p w14:paraId="541D0BC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ENGINEERING SERVICES</w:t>
            </w:r>
          </w:p>
        </w:tc>
        <w:tc>
          <w:tcPr>
            <w:tcW w:w="170" w:type="pct"/>
            <w:tcBorders>
              <w:top w:val="nil"/>
              <w:left w:val="nil"/>
              <w:bottom w:val="single" w:sz="4" w:space="0" w:color="auto"/>
              <w:right w:val="single" w:sz="4" w:space="0" w:color="auto"/>
            </w:tcBorders>
            <w:shd w:val="clear" w:color="auto" w:fill="auto"/>
            <w:vAlign w:val="center"/>
            <w:hideMark/>
          </w:tcPr>
          <w:p w14:paraId="7958DDD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w:t>
            </w:r>
          </w:p>
        </w:tc>
      </w:tr>
      <w:tr w:rsidR="008A0277" w:rsidRPr="008A0277" w14:paraId="43884AA2" w14:textId="77777777" w:rsidTr="008A0277">
        <w:trPr>
          <w:trHeight w:val="1425"/>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5F4CA84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Service Delivery Backlogs</w:t>
            </w:r>
          </w:p>
        </w:tc>
        <w:tc>
          <w:tcPr>
            <w:tcW w:w="136" w:type="pct"/>
            <w:tcBorders>
              <w:top w:val="nil"/>
              <w:left w:val="nil"/>
              <w:bottom w:val="single" w:sz="4" w:space="0" w:color="auto"/>
              <w:right w:val="single" w:sz="4" w:space="0" w:color="auto"/>
            </w:tcBorders>
            <w:shd w:val="clear" w:color="auto" w:fill="auto"/>
            <w:noWrap/>
            <w:vAlign w:val="center"/>
            <w:hideMark/>
          </w:tcPr>
          <w:p w14:paraId="1AE1776E"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TL24</w:t>
            </w:r>
          </w:p>
        </w:tc>
        <w:tc>
          <w:tcPr>
            <w:tcW w:w="141" w:type="pct"/>
            <w:tcBorders>
              <w:top w:val="nil"/>
              <w:left w:val="nil"/>
              <w:bottom w:val="single" w:sz="4" w:space="0" w:color="auto"/>
              <w:right w:val="single" w:sz="4" w:space="0" w:color="auto"/>
            </w:tcBorders>
            <w:shd w:val="clear" w:color="auto" w:fill="auto"/>
            <w:noWrap/>
            <w:vAlign w:val="center"/>
            <w:hideMark/>
          </w:tcPr>
          <w:p w14:paraId="56AF683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E5.2-25</w:t>
            </w:r>
          </w:p>
        </w:tc>
        <w:tc>
          <w:tcPr>
            <w:tcW w:w="269" w:type="pct"/>
            <w:tcBorders>
              <w:top w:val="nil"/>
              <w:left w:val="nil"/>
              <w:bottom w:val="single" w:sz="4" w:space="0" w:color="auto"/>
              <w:right w:val="single" w:sz="4" w:space="0" w:color="auto"/>
            </w:tcBorders>
            <w:shd w:val="clear" w:color="auto" w:fill="auto"/>
            <w:vAlign w:val="center"/>
            <w:hideMark/>
          </w:tcPr>
          <w:p w14:paraId="223CE03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An effective, competitive and responsive economic infrastructure network</w:t>
            </w:r>
          </w:p>
        </w:tc>
        <w:tc>
          <w:tcPr>
            <w:tcW w:w="280" w:type="pct"/>
            <w:tcBorders>
              <w:top w:val="nil"/>
              <w:left w:val="nil"/>
              <w:bottom w:val="single" w:sz="4" w:space="0" w:color="auto"/>
              <w:right w:val="single" w:sz="4" w:space="0" w:color="auto"/>
            </w:tcBorders>
            <w:shd w:val="clear" w:color="auto" w:fill="auto"/>
            <w:vAlign w:val="center"/>
            <w:hideMark/>
          </w:tcPr>
          <w:p w14:paraId="1473661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80" w:type="pct"/>
            <w:tcBorders>
              <w:top w:val="nil"/>
              <w:left w:val="nil"/>
              <w:bottom w:val="single" w:sz="4" w:space="0" w:color="auto"/>
              <w:right w:val="single" w:sz="4" w:space="0" w:color="auto"/>
            </w:tcBorders>
            <w:shd w:val="clear" w:color="auto" w:fill="auto"/>
            <w:vAlign w:val="center"/>
            <w:hideMark/>
          </w:tcPr>
          <w:p w14:paraId="2A2069B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78" w:type="pct"/>
            <w:tcBorders>
              <w:top w:val="nil"/>
              <w:left w:val="nil"/>
              <w:bottom w:val="single" w:sz="4" w:space="0" w:color="auto"/>
              <w:right w:val="single" w:sz="4" w:space="0" w:color="auto"/>
            </w:tcBorders>
            <w:shd w:val="clear" w:color="auto" w:fill="auto"/>
            <w:vAlign w:val="center"/>
            <w:hideMark/>
          </w:tcPr>
          <w:p w14:paraId="3884071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provide and maintain infrastructure and services to all, with emphasis on rural communities, in a sustainable manner</w:t>
            </w:r>
          </w:p>
        </w:tc>
        <w:tc>
          <w:tcPr>
            <w:tcW w:w="374" w:type="pct"/>
            <w:tcBorders>
              <w:top w:val="nil"/>
              <w:left w:val="nil"/>
              <w:bottom w:val="single" w:sz="4" w:space="0" w:color="auto"/>
              <w:right w:val="single" w:sz="4" w:space="0" w:color="auto"/>
            </w:tcBorders>
            <w:shd w:val="clear" w:color="auto" w:fill="auto"/>
            <w:vAlign w:val="center"/>
            <w:hideMark/>
          </w:tcPr>
          <w:p w14:paraId="3C0FE78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Construct Izingwenya Community Hall by 31 March </w:t>
            </w:r>
          </w:p>
        </w:tc>
        <w:tc>
          <w:tcPr>
            <w:tcW w:w="374" w:type="pct"/>
            <w:tcBorders>
              <w:top w:val="nil"/>
              <w:left w:val="nil"/>
              <w:bottom w:val="single" w:sz="4" w:space="0" w:color="auto"/>
              <w:right w:val="single" w:sz="4" w:space="0" w:color="auto"/>
            </w:tcBorders>
            <w:shd w:val="clear" w:color="auto" w:fill="auto"/>
            <w:vAlign w:val="center"/>
            <w:hideMark/>
          </w:tcPr>
          <w:p w14:paraId="4930E88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Date of construction of Izingwenya Community Hall</w:t>
            </w:r>
          </w:p>
        </w:tc>
        <w:tc>
          <w:tcPr>
            <w:tcW w:w="374" w:type="pct"/>
            <w:tcBorders>
              <w:top w:val="nil"/>
              <w:left w:val="nil"/>
              <w:bottom w:val="single" w:sz="4" w:space="0" w:color="auto"/>
              <w:right w:val="single" w:sz="4" w:space="0" w:color="auto"/>
            </w:tcBorders>
            <w:shd w:val="clear" w:color="auto" w:fill="auto"/>
            <w:vAlign w:val="center"/>
            <w:hideMark/>
          </w:tcPr>
          <w:p w14:paraId="745634E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Izingwenya community hall constructed by 31 March</w:t>
            </w:r>
          </w:p>
        </w:tc>
        <w:tc>
          <w:tcPr>
            <w:tcW w:w="305" w:type="pct"/>
            <w:tcBorders>
              <w:top w:val="nil"/>
              <w:left w:val="nil"/>
              <w:bottom w:val="single" w:sz="4" w:space="0" w:color="auto"/>
              <w:right w:val="single" w:sz="4" w:space="0" w:color="auto"/>
            </w:tcBorders>
            <w:shd w:val="clear" w:color="auto" w:fill="auto"/>
            <w:vAlign w:val="center"/>
            <w:hideMark/>
          </w:tcPr>
          <w:p w14:paraId="2A3846E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4C05D72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05" w:type="pct"/>
            <w:tcBorders>
              <w:top w:val="nil"/>
              <w:left w:val="nil"/>
              <w:bottom w:val="single" w:sz="4" w:space="0" w:color="auto"/>
              <w:right w:val="single" w:sz="4" w:space="0" w:color="auto"/>
            </w:tcBorders>
            <w:shd w:val="clear" w:color="auto" w:fill="auto"/>
            <w:vAlign w:val="center"/>
            <w:hideMark/>
          </w:tcPr>
          <w:p w14:paraId="171CB47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Izingwenya community hall constructed by 31 March</w:t>
            </w:r>
          </w:p>
        </w:tc>
        <w:tc>
          <w:tcPr>
            <w:tcW w:w="374" w:type="pct"/>
            <w:tcBorders>
              <w:top w:val="nil"/>
              <w:left w:val="nil"/>
              <w:bottom w:val="single" w:sz="4" w:space="0" w:color="auto"/>
              <w:right w:val="single" w:sz="4" w:space="0" w:color="auto"/>
            </w:tcBorders>
            <w:shd w:val="clear" w:color="auto" w:fill="auto"/>
            <w:vAlign w:val="center"/>
            <w:hideMark/>
          </w:tcPr>
          <w:p w14:paraId="4343E7E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251" w:type="pct"/>
            <w:tcBorders>
              <w:top w:val="nil"/>
              <w:left w:val="nil"/>
              <w:bottom w:val="single" w:sz="4" w:space="0" w:color="auto"/>
              <w:right w:val="single" w:sz="4" w:space="0" w:color="auto"/>
            </w:tcBorders>
            <w:shd w:val="clear" w:color="auto" w:fill="auto"/>
            <w:vAlign w:val="center"/>
            <w:hideMark/>
          </w:tcPr>
          <w:p w14:paraId="1F24B5B4"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4 450 000.00</w:t>
            </w:r>
          </w:p>
        </w:tc>
        <w:tc>
          <w:tcPr>
            <w:tcW w:w="146" w:type="pct"/>
            <w:tcBorders>
              <w:top w:val="nil"/>
              <w:left w:val="nil"/>
              <w:bottom w:val="single" w:sz="4" w:space="0" w:color="auto"/>
              <w:right w:val="single" w:sz="4" w:space="0" w:color="auto"/>
            </w:tcBorders>
            <w:shd w:val="clear" w:color="auto" w:fill="auto"/>
            <w:noWrap/>
            <w:vAlign w:val="center"/>
            <w:hideMark/>
          </w:tcPr>
          <w:p w14:paraId="5E5B8EFC"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NEW</w:t>
            </w:r>
          </w:p>
        </w:tc>
        <w:tc>
          <w:tcPr>
            <w:tcW w:w="278" w:type="pct"/>
            <w:tcBorders>
              <w:top w:val="nil"/>
              <w:left w:val="nil"/>
              <w:bottom w:val="single" w:sz="4" w:space="0" w:color="auto"/>
              <w:right w:val="single" w:sz="4" w:space="0" w:color="auto"/>
            </w:tcBorders>
            <w:shd w:val="clear" w:color="auto" w:fill="auto"/>
            <w:vAlign w:val="center"/>
            <w:hideMark/>
          </w:tcPr>
          <w:p w14:paraId="7989362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ENGINEERING SERVICES</w:t>
            </w:r>
          </w:p>
        </w:tc>
        <w:tc>
          <w:tcPr>
            <w:tcW w:w="170" w:type="pct"/>
            <w:tcBorders>
              <w:top w:val="nil"/>
              <w:left w:val="nil"/>
              <w:bottom w:val="single" w:sz="4" w:space="0" w:color="auto"/>
              <w:right w:val="single" w:sz="4" w:space="0" w:color="auto"/>
            </w:tcBorders>
            <w:shd w:val="clear" w:color="auto" w:fill="auto"/>
            <w:vAlign w:val="center"/>
            <w:hideMark/>
          </w:tcPr>
          <w:p w14:paraId="1FEF89D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Ward 14</w:t>
            </w:r>
          </w:p>
        </w:tc>
      </w:tr>
      <w:tr w:rsidR="008A0277" w:rsidRPr="008A0277" w14:paraId="6CD3E1BC" w14:textId="77777777" w:rsidTr="008A0277">
        <w:trPr>
          <w:trHeight w:val="1778"/>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5EA40BE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Service Delivery Backlogs</w:t>
            </w:r>
          </w:p>
        </w:tc>
        <w:tc>
          <w:tcPr>
            <w:tcW w:w="136" w:type="pct"/>
            <w:tcBorders>
              <w:top w:val="nil"/>
              <w:left w:val="nil"/>
              <w:bottom w:val="single" w:sz="4" w:space="0" w:color="auto"/>
              <w:right w:val="single" w:sz="4" w:space="0" w:color="auto"/>
            </w:tcBorders>
            <w:shd w:val="clear" w:color="auto" w:fill="auto"/>
            <w:noWrap/>
            <w:vAlign w:val="center"/>
            <w:hideMark/>
          </w:tcPr>
          <w:p w14:paraId="5669A211"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TL25</w:t>
            </w:r>
          </w:p>
        </w:tc>
        <w:tc>
          <w:tcPr>
            <w:tcW w:w="141" w:type="pct"/>
            <w:tcBorders>
              <w:top w:val="nil"/>
              <w:left w:val="nil"/>
              <w:bottom w:val="single" w:sz="4" w:space="0" w:color="auto"/>
              <w:right w:val="single" w:sz="4" w:space="0" w:color="auto"/>
            </w:tcBorders>
            <w:shd w:val="clear" w:color="auto" w:fill="auto"/>
            <w:noWrap/>
            <w:vAlign w:val="center"/>
            <w:hideMark/>
          </w:tcPr>
          <w:p w14:paraId="2D7B376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E5.2-27</w:t>
            </w:r>
          </w:p>
        </w:tc>
        <w:tc>
          <w:tcPr>
            <w:tcW w:w="269" w:type="pct"/>
            <w:tcBorders>
              <w:top w:val="nil"/>
              <w:left w:val="nil"/>
              <w:bottom w:val="single" w:sz="4" w:space="0" w:color="auto"/>
              <w:right w:val="single" w:sz="4" w:space="0" w:color="auto"/>
            </w:tcBorders>
            <w:shd w:val="clear" w:color="auto" w:fill="auto"/>
            <w:vAlign w:val="center"/>
            <w:hideMark/>
          </w:tcPr>
          <w:p w14:paraId="6B0919F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An effective, competitive and responsive economic infrastructure network</w:t>
            </w:r>
          </w:p>
        </w:tc>
        <w:tc>
          <w:tcPr>
            <w:tcW w:w="280" w:type="pct"/>
            <w:tcBorders>
              <w:top w:val="nil"/>
              <w:left w:val="nil"/>
              <w:bottom w:val="single" w:sz="4" w:space="0" w:color="auto"/>
              <w:right w:val="single" w:sz="4" w:space="0" w:color="auto"/>
            </w:tcBorders>
            <w:shd w:val="clear" w:color="auto" w:fill="auto"/>
            <w:vAlign w:val="center"/>
            <w:hideMark/>
          </w:tcPr>
          <w:p w14:paraId="5737329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80" w:type="pct"/>
            <w:tcBorders>
              <w:top w:val="nil"/>
              <w:left w:val="nil"/>
              <w:bottom w:val="single" w:sz="4" w:space="0" w:color="auto"/>
              <w:right w:val="single" w:sz="4" w:space="0" w:color="auto"/>
            </w:tcBorders>
            <w:shd w:val="clear" w:color="auto" w:fill="auto"/>
            <w:vAlign w:val="center"/>
            <w:hideMark/>
          </w:tcPr>
          <w:p w14:paraId="7B9C948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78" w:type="pct"/>
            <w:tcBorders>
              <w:top w:val="nil"/>
              <w:left w:val="nil"/>
              <w:bottom w:val="single" w:sz="4" w:space="0" w:color="auto"/>
              <w:right w:val="single" w:sz="4" w:space="0" w:color="auto"/>
            </w:tcBorders>
            <w:shd w:val="clear" w:color="auto" w:fill="auto"/>
            <w:vAlign w:val="center"/>
            <w:hideMark/>
          </w:tcPr>
          <w:p w14:paraId="40FA2E4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provide and maintain infrastructure and services to all, with emphasis on rural communities, in a sustainable manner</w:t>
            </w:r>
          </w:p>
        </w:tc>
        <w:tc>
          <w:tcPr>
            <w:tcW w:w="374" w:type="pct"/>
            <w:tcBorders>
              <w:top w:val="nil"/>
              <w:left w:val="nil"/>
              <w:bottom w:val="single" w:sz="4" w:space="0" w:color="auto"/>
              <w:right w:val="single" w:sz="4" w:space="0" w:color="auto"/>
            </w:tcBorders>
            <w:shd w:val="clear" w:color="auto" w:fill="auto"/>
            <w:vAlign w:val="center"/>
            <w:hideMark/>
          </w:tcPr>
          <w:p w14:paraId="58CDEE6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Construct Obanjeni Community Hall by 31 March </w:t>
            </w:r>
          </w:p>
        </w:tc>
        <w:tc>
          <w:tcPr>
            <w:tcW w:w="374" w:type="pct"/>
            <w:tcBorders>
              <w:top w:val="nil"/>
              <w:left w:val="nil"/>
              <w:bottom w:val="single" w:sz="4" w:space="0" w:color="auto"/>
              <w:right w:val="single" w:sz="4" w:space="0" w:color="auto"/>
            </w:tcBorders>
            <w:shd w:val="clear" w:color="auto" w:fill="auto"/>
            <w:vAlign w:val="center"/>
            <w:hideMark/>
          </w:tcPr>
          <w:p w14:paraId="6F3F970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Date of construction of Obanjeni Community Hall</w:t>
            </w:r>
          </w:p>
        </w:tc>
        <w:tc>
          <w:tcPr>
            <w:tcW w:w="374" w:type="pct"/>
            <w:tcBorders>
              <w:top w:val="nil"/>
              <w:left w:val="nil"/>
              <w:bottom w:val="single" w:sz="4" w:space="0" w:color="auto"/>
              <w:right w:val="single" w:sz="4" w:space="0" w:color="auto"/>
            </w:tcBorders>
            <w:shd w:val="clear" w:color="auto" w:fill="auto"/>
            <w:vAlign w:val="center"/>
            <w:hideMark/>
          </w:tcPr>
          <w:p w14:paraId="75917E1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Obanjeni community hall constructed by 28 February</w:t>
            </w:r>
          </w:p>
        </w:tc>
        <w:tc>
          <w:tcPr>
            <w:tcW w:w="305" w:type="pct"/>
            <w:tcBorders>
              <w:top w:val="nil"/>
              <w:left w:val="nil"/>
              <w:bottom w:val="single" w:sz="4" w:space="0" w:color="auto"/>
              <w:right w:val="single" w:sz="4" w:space="0" w:color="auto"/>
            </w:tcBorders>
            <w:shd w:val="clear" w:color="auto" w:fill="auto"/>
            <w:vAlign w:val="center"/>
            <w:hideMark/>
          </w:tcPr>
          <w:p w14:paraId="699F527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202C2AF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05" w:type="pct"/>
            <w:tcBorders>
              <w:top w:val="nil"/>
              <w:left w:val="nil"/>
              <w:bottom w:val="single" w:sz="4" w:space="0" w:color="auto"/>
              <w:right w:val="single" w:sz="4" w:space="0" w:color="auto"/>
            </w:tcBorders>
            <w:shd w:val="clear" w:color="auto" w:fill="auto"/>
            <w:vAlign w:val="center"/>
            <w:hideMark/>
          </w:tcPr>
          <w:p w14:paraId="5978863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Obanjeni community hall constructed by 28 February</w:t>
            </w:r>
          </w:p>
        </w:tc>
        <w:tc>
          <w:tcPr>
            <w:tcW w:w="374" w:type="pct"/>
            <w:tcBorders>
              <w:top w:val="nil"/>
              <w:left w:val="nil"/>
              <w:bottom w:val="single" w:sz="4" w:space="0" w:color="auto"/>
              <w:right w:val="single" w:sz="4" w:space="0" w:color="auto"/>
            </w:tcBorders>
            <w:shd w:val="clear" w:color="auto" w:fill="auto"/>
            <w:vAlign w:val="center"/>
            <w:hideMark/>
          </w:tcPr>
          <w:p w14:paraId="7FC0DE7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251" w:type="pct"/>
            <w:tcBorders>
              <w:top w:val="nil"/>
              <w:left w:val="nil"/>
              <w:bottom w:val="single" w:sz="4" w:space="0" w:color="auto"/>
              <w:right w:val="single" w:sz="4" w:space="0" w:color="auto"/>
            </w:tcBorders>
            <w:shd w:val="clear" w:color="auto" w:fill="auto"/>
            <w:vAlign w:val="center"/>
            <w:hideMark/>
          </w:tcPr>
          <w:p w14:paraId="25226A52"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3 400 000.00</w:t>
            </w:r>
          </w:p>
        </w:tc>
        <w:tc>
          <w:tcPr>
            <w:tcW w:w="146" w:type="pct"/>
            <w:tcBorders>
              <w:top w:val="nil"/>
              <w:left w:val="nil"/>
              <w:bottom w:val="single" w:sz="4" w:space="0" w:color="auto"/>
              <w:right w:val="single" w:sz="4" w:space="0" w:color="auto"/>
            </w:tcBorders>
            <w:shd w:val="clear" w:color="auto" w:fill="auto"/>
            <w:noWrap/>
            <w:vAlign w:val="center"/>
            <w:hideMark/>
          </w:tcPr>
          <w:p w14:paraId="34559A8A"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NEW</w:t>
            </w:r>
          </w:p>
        </w:tc>
        <w:tc>
          <w:tcPr>
            <w:tcW w:w="278" w:type="pct"/>
            <w:tcBorders>
              <w:top w:val="nil"/>
              <w:left w:val="nil"/>
              <w:bottom w:val="single" w:sz="4" w:space="0" w:color="auto"/>
              <w:right w:val="single" w:sz="4" w:space="0" w:color="auto"/>
            </w:tcBorders>
            <w:shd w:val="clear" w:color="auto" w:fill="auto"/>
            <w:vAlign w:val="center"/>
            <w:hideMark/>
          </w:tcPr>
          <w:p w14:paraId="5316764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ENGINEERING SERVICES</w:t>
            </w:r>
          </w:p>
        </w:tc>
        <w:tc>
          <w:tcPr>
            <w:tcW w:w="170" w:type="pct"/>
            <w:tcBorders>
              <w:top w:val="nil"/>
              <w:left w:val="nil"/>
              <w:bottom w:val="single" w:sz="4" w:space="0" w:color="auto"/>
              <w:right w:val="single" w:sz="4" w:space="0" w:color="auto"/>
            </w:tcBorders>
            <w:shd w:val="clear" w:color="auto" w:fill="auto"/>
            <w:vAlign w:val="center"/>
            <w:hideMark/>
          </w:tcPr>
          <w:p w14:paraId="1FC53D7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Ward 14</w:t>
            </w:r>
          </w:p>
        </w:tc>
      </w:tr>
      <w:tr w:rsidR="008A0277" w:rsidRPr="008A0277" w14:paraId="5FB56045" w14:textId="77777777" w:rsidTr="008A0277">
        <w:trPr>
          <w:trHeight w:val="1408"/>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787CB8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Service Delivery Backlogs</w:t>
            </w:r>
          </w:p>
        </w:tc>
        <w:tc>
          <w:tcPr>
            <w:tcW w:w="136" w:type="pct"/>
            <w:tcBorders>
              <w:top w:val="nil"/>
              <w:left w:val="nil"/>
              <w:bottom w:val="single" w:sz="4" w:space="0" w:color="auto"/>
              <w:right w:val="single" w:sz="4" w:space="0" w:color="auto"/>
            </w:tcBorders>
            <w:shd w:val="clear" w:color="auto" w:fill="auto"/>
            <w:noWrap/>
            <w:vAlign w:val="center"/>
            <w:hideMark/>
          </w:tcPr>
          <w:p w14:paraId="4F97D8FA"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TL26</w:t>
            </w:r>
          </w:p>
        </w:tc>
        <w:tc>
          <w:tcPr>
            <w:tcW w:w="141" w:type="pct"/>
            <w:tcBorders>
              <w:top w:val="nil"/>
              <w:left w:val="nil"/>
              <w:bottom w:val="single" w:sz="4" w:space="0" w:color="auto"/>
              <w:right w:val="single" w:sz="4" w:space="0" w:color="auto"/>
            </w:tcBorders>
            <w:shd w:val="clear" w:color="auto" w:fill="auto"/>
            <w:noWrap/>
            <w:vAlign w:val="center"/>
            <w:hideMark/>
          </w:tcPr>
          <w:p w14:paraId="0F6BCDF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E5.2-29</w:t>
            </w:r>
          </w:p>
        </w:tc>
        <w:tc>
          <w:tcPr>
            <w:tcW w:w="269" w:type="pct"/>
            <w:tcBorders>
              <w:top w:val="nil"/>
              <w:left w:val="nil"/>
              <w:bottom w:val="single" w:sz="4" w:space="0" w:color="auto"/>
              <w:right w:val="single" w:sz="4" w:space="0" w:color="auto"/>
            </w:tcBorders>
            <w:shd w:val="clear" w:color="auto" w:fill="auto"/>
            <w:vAlign w:val="center"/>
            <w:hideMark/>
          </w:tcPr>
          <w:p w14:paraId="35C9E3E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An effective, competitive and responsive economic infrastructure network</w:t>
            </w:r>
          </w:p>
        </w:tc>
        <w:tc>
          <w:tcPr>
            <w:tcW w:w="280" w:type="pct"/>
            <w:tcBorders>
              <w:top w:val="nil"/>
              <w:left w:val="nil"/>
              <w:bottom w:val="single" w:sz="4" w:space="0" w:color="auto"/>
              <w:right w:val="single" w:sz="4" w:space="0" w:color="auto"/>
            </w:tcBorders>
            <w:shd w:val="clear" w:color="auto" w:fill="auto"/>
            <w:vAlign w:val="center"/>
            <w:hideMark/>
          </w:tcPr>
          <w:p w14:paraId="1D383CC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80" w:type="pct"/>
            <w:tcBorders>
              <w:top w:val="nil"/>
              <w:left w:val="nil"/>
              <w:bottom w:val="single" w:sz="4" w:space="0" w:color="auto"/>
              <w:right w:val="single" w:sz="4" w:space="0" w:color="auto"/>
            </w:tcBorders>
            <w:shd w:val="clear" w:color="auto" w:fill="auto"/>
            <w:vAlign w:val="center"/>
            <w:hideMark/>
          </w:tcPr>
          <w:p w14:paraId="11816D4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78" w:type="pct"/>
            <w:tcBorders>
              <w:top w:val="nil"/>
              <w:left w:val="nil"/>
              <w:bottom w:val="single" w:sz="4" w:space="0" w:color="auto"/>
              <w:right w:val="single" w:sz="4" w:space="0" w:color="auto"/>
            </w:tcBorders>
            <w:shd w:val="clear" w:color="auto" w:fill="auto"/>
            <w:vAlign w:val="center"/>
            <w:hideMark/>
          </w:tcPr>
          <w:p w14:paraId="2D4ADAD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provide and maintain infrastructure and services to all, with emphasis on rural communities, in a sustainable manner</w:t>
            </w:r>
          </w:p>
        </w:tc>
        <w:tc>
          <w:tcPr>
            <w:tcW w:w="374" w:type="pct"/>
            <w:tcBorders>
              <w:top w:val="nil"/>
              <w:left w:val="nil"/>
              <w:bottom w:val="single" w:sz="4" w:space="0" w:color="auto"/>
              <w:right w:val="single" w:sz="4" w:space="0" w:color="auto"/>
            </w:tcBorders>
            <w:shd w:val="clear" w:color="auto" w:fill="auto"/>
            <w:vAlign w:val="center"/>
            <w:hideMark/>
          </w:tcPr>
          <w:p w14:paraId="2BBB63D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Construct Nkume Community Hall by 30 April March </w:t>
            </w:r>
          </w:p>
        </w:tc>
        <w:tc>
          <w:tcPr>
            <w:tcW w:w="374" w:type="pct"/>
            <w:tcBorders>
              <w:top w:val="nil"/>
              <w:left w:val="nil"/>
              <w:bottom w:val="single" w:sz="4" w:space="0" w:color="auto"/>
              <w:right w:val="single" w:sz="4" w:space="0" w:color="auto"/>
            </w:tcBorders>
            <w:shd w:val="clear" w:color="auto" w:fill="auto"/>
            <w:vAlign w:val="center"/>
            <w:hideMark/>
          </w:tcPr>
          <w:p w14:paraId="4EF13BB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Date of construction of Nkume Community Hall</w:t>
            </w:r>
          </w:p>
        </w:tc>
        <w:tc>
          <w:tcPr>
            <w:tcW w:w="374" w:type="pct"/>
            <w:tcBorders>
              <w:top w:val="nil"/>
              <w:left w:val="nil"/>
              <w:bottom w:val="single" w:sz="4" w:space="0" w:color="auto"/>
              <w:right w:val="single" w:sz="4" w:space="0" w:color="auto"/>
            </w:tcBorders>
            <w:shd w:val="clear" w:color="auto" w:fill="auto"/>
            <w:vAlign w:val="center"/>
            <w:hideMark/>
          </w:tcPr>
          <w:p w14:paraId="178CBFD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Nkume community hall constructed by 30 April</w:t>
            </w:r>
          </w:p>
        </w:tc>
        <w:tc>
          <w:tcPr>
            <w:tcW w:w="305" w:type="pct"/>
            <w:tcBorders>
              <w:top w:val="nil"/>
              <w:left w:val="nil"/>
              <w:bottom w:val="single" w:sz="4" w:space="0" w:color="auto"/>
              <w:right w:val="single" w:sz="4" w:space="0" w:color="auto"/>
            </w:tcBorders>
            <w:shd w:val="clear" w:color="auto" w:fill="auto"/>
            <w:vAlign w:val="center"/>
            <w:hideMark/>
          </w:tcPr>
          <w:p w14:paraId="0DA74A5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65DC5CF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05" w:type="pct"/>
            <w:tcBorders>
              <w:top w:val="nil"/>
              <w:left w:val="nil"/>
              <w:bottom w:val="single" w:sz="4" w:space="0" w:color="auto"/>
              <w:right w:val="single" w:sz="4" w:space="0" w:color="auto"/>
            </w:tcBorders>
            <w:shd w:val="clear" w:color="auto" w:fill="auto"/>
            <w:vAlign w:val="center"/>
            <w:hideMark/>
          </w:tcPr>
          <w:p w14:paraId="51E6B29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Nkume community hall constructed by 30 April</w:t>
            </w:r>
          </w:p>
        </w:tc>
        <w:tc>
          <w:tcPr>
            <w:tcW w:w="374" w:type="pct"/>
            <w:tcBorders>
              <w:top w:val="nil"/>
              <w:left w:val="nil"/>
              <w:bottom w:val="single" w:sz="4" w:space="0" w:color="auto"/>
              <w:right w:val="single" w:sz="4" w:space="0" w:color="auto"/>
            </w:tcBorders>
            <w:shd w:val="clear" w:color="auto" w:fill="auto"/>
            <w:vAlign w:val="center"/>
            <w:hideMark/>
          </w:tcPr>
          <w:p w14:paraId="1A5E1C4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251" w:type="pct"/>
            <w:tcBorders>
              <w:top w:val="nil"/>
              <w:left w:val="nil"/>
              <w:bottom w:val="single" w:sz="4" w:space="0" w:color="auto"/>
              <w:right w:val="single" w:sz="4" w:space="0" w:color="auto"/>
            </w:tcBorders>
            <w:shd w:val="clear" w:color="auto" w:fill="auto"/>
            <w:vAlign w:val="center"/>
            <w:hideMark/>
          </w:tcPr>
          <w:p w14:paraId="2770A0D2"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4 500 000.00</w:t>
            </w:r>
          </w:p>
        </w:tc>
        <w:tc>
          <w:tcPr>
            <w:tcW w:w="146" w:type="pct"/>
            <w:tcBorders>
              <w:top w:val="nil"/>
              <w:left w:val="nil"/>
              <w:bottom w:val="single" w:sz="4" w:space="0" w:color="auto"/>
              <w:right w:val="single" w:sz="4" w:space="0" w:color="auto"/>
            </w:tcBorders>
            <w:shd w:val="clear" w:color="auto" w:fill="auto"/>
            <w:noWrap/>
            <w:vAlign w:val="center"/>
            <w:hideMark/>
          </w:tcPr>
          <w:p w14:paraId="26D672E1"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NEW</w:t>
            </w:r>
          </w:p>
        </w:tc>
        <w:tc>
          <w:tcPr>
            <w:tcW w:w="278" w:type="pct"/>
            <w:tcBorders>
              <w:top w:val="nil"/>
              <w:left w:val="nil"/>
              <w:bottom w:val="single" w:sz="4" w:space="0" w:color="auto"/>
              <w:right w:val="single" w:sz="4" w:space="0" w:color="auto"/>
            </w:tcBorders>
            <w:shd w:val="clear" w:color="auto" w:fill="auto"/>
            <w:vAlign w:val="center"/>
            <w:hideMark/>
          </w:tcPr>
          <w:p w14:paraId="0C01EC5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ENGINEERING SERVICES</w:t>
            </w:r>
          </w:p>
        </w:tc>
        <w:tc>
          <w:tcPr>
            <w:tcW w:w="170" w:type="pct"/>
            <w:tcBorders>
              <w:top w:val="nil"/>
              <w:left w:val="nil"/>
              <w:bottom w:val="single" w:sz="4" w:space="0" w:color="auto"/>
              <w:right w:val="single" w:sz="4" w:space="0" w:color="auto"/>
            </w:tcBorders>
            <w:shd w:val="clear" w:color="auto" w:fill="auto"/>
            <w:vAlign w:val="center"/>
            <w:hideMark/>
          </w:tcPr>
          <w:p w14:paraId="40D5A8B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Ward 14</w:t>
            </w:r>
          </w:p>
        </w:tc>
      </w:tr>
      <w:tr w:rsidR="008A0277" w:rsidRPr="008A0277" w14:paraId="28C413E5" w14:textId="77777777" w:rsidTr="008A0277">
        <w:trPr>
          <w:trHeight w:val="155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C3B2C5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Service Delivery Backlogs</w:t>
            </w:r>
          </w:p>
        </w:tc>
        <w:tc>
          <w:tcPr>
            <w:tcW w:w="136" w:type="pct"/>
            <w:tcBorders>
              <w:top w:val="nil"/>
              <w:left w:val="nil"/>
              <w:bottom w:val="single" w:sz="4" w:space="0" w:color="auto"/>
              <w:right w:val="single" w:sz="4" w:space="0" w:color="auto"/>
            </w:tcBorders>
            <w:shd w:val="clear" w:color="auto" w:fill="auto"/>
            <w:noWrap/>
            <w:vAlign w:val="center"/>
            <w:hideMark/>
          </w:tcPr>
          <w:p w14:paraId="1520769F"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TL27</w:t>
            </w:r>
          </w:p>
        </w:tc>
        <w:tc>
          <w:tcPr>
            <w:tcW w:w="141" w:type="pct"/>
            <w:tcBorders>
              <w:top w:val="nil"/>
              <w:left w:val="nil"/>
              <w:bottom w:val="single" w:sz="4" w:space="0" w:color="auto"/>
              <w:right w:val="single" w:sz="4" w:space="0" w:color="auto"/>
            </w:tcBorders>
            <w:shd w:val="clear" w:color="auto" w:fill="auto"/>
            <w:noWrap/>
            <w:vAlign w:val="center"/>
            <w:hideMark/>
          </w:tcPr>
          <w:p w14:paraId="19737F0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E5.2-30</w:t>
            </w:r>
          </w:p>
        </w:tc>
        <w:tc>
          <w:tcPr>
            <w:tcW w:w="269" w:type="pct"/>
            <w:tcBorders>
              <w:top w:val="nil"/>
              <w:left w:val="nil"/>
              <w:bottom w:val="single" w:sz="4" w:space="0" w:color="auto"/>
              <w:right w:val="single" w:sz="4" w:space="0" w:color="auto"/>
            </w:tcBorders>
            <w:shd w:val="clear" w:color="auto" w:fill="auto"/>
            <w:vAlign w:val="center"/>
            <w:hideMark/>
          </w:tcPr>
          <w:p w14:paraId="7EDC7A5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An effective, competitive and responsive economic infrastructure network</w:t>
            </w:r>
          </w:p>
        </w:tc>
        <w:tc>
          <w:tcPr>
            <w:tcW w:w="280" w:type="pct"/>
            <w:tcBorders>
              <w:top w:val="nil"/>
              <w:left w:val="nil"/>
              <w:bottom w:val="single" w:sz="4" w:space="0" w:color="auto"/>
              <w:right w:val="single" w:sz="4" w:space="0" w:color="auto"/>
            </w:tcBorders>
            <w:shd w:val="clear" w:color="auto" w:fill="auto"/>
            <w:vAlign w:val="center"/>
            <w:hideMark/>
          </w:tcPr>
          <w:p w14:paraId="6B4E5D2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80" w:type="pct"/>
            <w:tcBorders>
              <w:top w:val="nil"/>
              <w:left w:val="nil"/>
              <w:bottom w:val="single" w:sz="4" w:space="0" w:color="auto"/>
              <w:right w:val="single" w:sz="4" w:space="0" w:color="auto"/>
            </w:tcBorders>
            <w:shd w:val="clear" w:color="auto" w:fill="auto"/>
            <w:vAlign w:val="center"/>
            <w:hideMark/>
          </w:tcPr>
          <w:p w14:paraId="3858A39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78" w:type="pct"/>
            <w:tcBorders>
              <w:top w:val="nil"/>
              <w:left w:val="nil"/>
              <w:bottom w:val="single" w:sz="4" w:space="0" w:color="auto"/>
              <w:right w:val="single" w:sz="4" w:space="0" w:color="auto"/>
            </w:tcBorders>
            <w:shd w:val="clear" w:color="auto" w:fill="auto"/>
            <w:vAlign w:val="center"/>
            <w:hideMark/>
          </w:tcPr>
          <w:p w14:paraId="3B89C76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Ensure the provision and maintenance of municipal roads, access roads and causeways</w:t>
            </w:r>
          </w:p>
        </w:tc>
        <w:tc>
          <w:tcPr>
            <w:tcW w:w="374" w:type="pct"/>
            <w:tcBorders>
              <w:top w:val="nil"/>
              <w:left w:val="nil"/>
              <w:bottom w:val="single" w:sz="4" w:space="0" w:color="auto"/>
              <w:right w:val="single" w:sz="4" w:space="0" w:color="auto"/>
            </w:tcBorders>
            <w:shd w:val="clear" w:color="auto" w:fill="auto"/>
            <w:vAlign w:val="center"/>
            <w:hideMark/>
          </w:tcPr>
          <w:p w14:paraId="2FB2AC0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Construct 4.406 km's of Mbangayiya road / causeways as per MIG budget by 28 February</w:t>
            </w:r>
          </w:p>
        </w:tc>
        <w:tc>
          <w:tcPr>
            <w:tcW w:w="374" w:type="pct"/>
            <w:tcBorders>
              <w:top w:val="nil"/>
              <w:left w:val="nil"/>
              <w:bottom w:val="single" w:sz="4" w:space="0" w:color="auto"/>
              <w:right w:val="single" w:sz="4" w:space="0" w:color="auto"/>
            </w:tcBorders>
            <w:shd w:val="clear" w:color="auto" w:fill="auto"/>
            <w:vAlign w:val="center"/>
            <w:hideMark/>
          </w:tcPr>
          <w:p w14:paraId="747F6A6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Km of roads / causeways Constructed by 28 February</w:t>
            </w:r>
          </w:p>
        </w:tc>
        <w:tc>
          <w:tcPr>
            <w:tcW w:w="374" w:type="pct"/>
            <w:tcBorders>
              <w:top w:val="nil"/>
              <w:left w:val="nil"/>
              <w:bottom w:val="single" w:sz="4" w:space="0" w:color="auto"/>
              <w:right w:val="single" w:sz="4" w:space="0" w:color="auto"/>
            </w:tcBorders>
            <w:shd w:val="clear" w:color="auto" w:fill="auto"/>
            <w:vAlign w:val="center"/>
            <w:hideMark/>
          </w:tcPr>
          <w:p w14:paraId="5722D38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4.406km of Mbangayiya road / causeway constructed by 28 February</w:t>
            </w:r>
          </w:p>
        </w:tc>
        <w:tc>
          <w:tcPr>
            <w:tcW w:w="305" w:type="pct"/>
            <w:tcBorders>
              <w:top w:val="nil"/>
              <w:left w:val="nil"/>
              <w:bottom w:val="single" w:sz="4" w:space="0" w:color="auto"/>
              <w:right w:val="single" w:sz="4" w:space="0" w:color="auto"/>
            </w:tcBorders>
            <w:shd w:val="clear" w:color="auto" w:fill="auto"/>
            <w:vAlign w:val="center"/>
            <w:hideMark/>
          </w:tcPr>
          <w:p w14:paraId="6E19CCA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6ECD81C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05" w:type="pct"/>
            <w:tcBorders>
              <w:top w:val="nil"/>
              <w:left w:val="nil"/>
              <w:bottom w:val="single" w:sz="4" w:space="0" w:color="auto"/>
              <w:right w:val="single" w:sz="4" w:space="0" w:color="auto"/>
            </w:tcBorders>
            <w:shd w:val="clear" w:color="auto" w:fill="auto"/>
            <w:vAlign w:val="center"/>
            <w:hideMark/>
          </w:tcPr>
          <w:p w14:paraId="5CF992F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4.406km of Mbangayiya road / causeway constructed by 28 February</w:t>
            </w:r>
          </w:p>
        </w:tc>
        <w:tc>
          <w:tcPr>
            <w:tcW w:w="374" w:type="pct"/>
            <w:tcBorders>
              <w:top w:val="nil"/>
              <w:left w:val="nil"/>
              <w:bottom w:val="single" w:sz="4" w:space="0" w:color="auto"/>
              <w:right w:val="single" w:sz="4" w:space="0" w:color="auto"/>
            </w:tcBorders>
            <w:shd w:val="clear" w:color="auto" w:fill="auto"/>
            <w:vAlign w:val="center"/>
            <w:hideMark/>
          </w:tcPr>
          <w:p w14:paraId="6D88643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251" w:type="pct"/>
            <w:tcBorders>
              <w:top w:val="nil"/>
              <w:left w:val="nil"/>
              <w:bottom w:val="single" w:sz="4" w:space="0" w:color="auto"/>
              <w:right w:val="single" w:sz="4" w:space="0" w:color="auto"/>
            </w:tcBorders>
            <w:shd w:val="clear" w:color="auto" w:fill="auto"/>
            <w:vAlign w:val="center"/>
            <w:hideMark/>
          </w:tcPr>
          <w:p w14:paraId="247AC684"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1 500 000.00</w:t>
            </w:r>
          </w:p>
        </w:tc>
        <w:tc>
          <w:tcPr>
            <w:tcW w:w="146" w:type="pct"/>
            <w:tcBorders>
              <w:top w:val="nil"/>
              <w:left w:val="nil"/>
              <w:bottom w:val="single" w:sz="4" w:space="0" w:color="auto"/>
              <w:right w:val="single" w:sz="4" w:space="0" w:color="auto"/>
            </w:tcBorders>
            <w:shd w:val="clear" w:color="auto" w:fill="auto"/>
            <w:noWrap/>
            <w:vAlign w:val="center"/>
            <w:hideMark/>
          </w:tcPr>
          <w:p w14:paraId="151E72B9"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NEW</w:t>
            </w:r>
          </w:p>
        </w:tc>
        <w:tc>
          <w:tcPr>
            <w:tcW w:w="278" w:type="pct"/>
            <w:tcBorders>
              <w:top w:val="nil"/>
              <w:left w:val="nil"/>
              <w:bottom w:val="single" w:sz="4" w:space="0" w:color="auto"/>
              <w:right w:val="single" w:sz="4" w:space="0" w:color="auto"/>
            </w:tcBorders>
            <w:shd w:val="clear" w:color="auto" w:fill="auto"/>
            <w:vAlign w:val="center"/>
            <w:hideMark/>
          </w:tcPr>
          <w:p w14:paraId="4C23E29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ENGINEERING SERVICES</w:t>
            </w:r>
          </w:p>
        </w:tc>
        <w:tc>
          <w:tcPr>
            <w:tcW w:w="170" w:type="pct"/>
            <w:tcBorders>
              <w:top w:val="nil"/>
              <w:left w:val="nil"/>
              <w:bottom w:val="single" w:sz="4" w:space="0" w:color="auto"/>
              <w:right w:val="single" w:sz="4" w:space="0" w:color="auto"/>
            </w:tcBorders>
            <w:shd w:val="clear" w:color="auto" w:fill="auto"/>
            <w:vAlign w:val="center"/>
            <w:hideMark/>
          </w:tcPr>
          <w:p w14:paraId="17B8D4B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Ward 14</w:t>
            </w:r>
          </w:p>
        </w:tc>
      </w:tr>
      <w:tr w:rsidR="008A0277" w:rsidRPr="008A0277" w14:paraId="518669EA" w14:textId="77777777" w:rsidTr="008A0277">
        <w:trPr>
          <w:trHeight w:val="1415"/>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053BF54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Service Delivery Backlogs</w:t>
            </w:r>
          </w:p>
        </w:tc>
        <w:tc>
          <w:tcPr>
            <w:tcW w:w="136" w:type="pct"/>
            <w:tcBorders>
              <w:top w:val="nil"/>
              <w:left w:val="nil"/>
              <w:bottom w:val="single" w:sz="4" w:space="0" w:color="auto"/>
              <w:right w:val="single" w:sz="4" w:space="0" w:color="auto"/>
            </w:tcBorders>
            <w:shd w:val="clear" w:color="auto" w:fill="auto"/>
            <w:noWrap/>
            <w:vAlign w:val="center"/>
            <w:hideMark/>
          </w:tcPr>
          <w:p w14:paraId="683CC03D"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TL28</w:t>
            </w:r>
          </w:p>
        </w:tc>
        <w:tc>
          <w:tcPr>
            <w:tcW w:w="141" w:type="pct"/>
            <w:tcBorders>
              <w:top w:val="nil"/>
              <w:left w:val="nil"/>
              <w:bottom w:val="single" w:sz="4" w:space="0" w:color="auto"/>
              <w:right w:val="single" w:sz="4" w:space="0" w:color="auto"/>
            </w:tcBorders>
            <w:shd w:val="clear" w:color="auto" w:fill="auto"/>
            <w:noWrap/>
            <w:vAlign w:val="center"/>
            <w:hideMark/>
          </w:tcPr>
          <w:p w14:paraId="7DA7C72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E5.2-37</w:t>
            </w:r>
          </w:p>
        </w:tc>
        <w:tc>
          <w:tcPr>
            <w:tcW w:w="269" w:type="pct"/>
            <w:tcBorders>
              <w:top w:val="nil"/>
              <w:left w:val="nil"/>
              <w:bottom w:val="single" w:sz="4" w:space="0" w:color="auto"/>
              <w:right w:val="single" w:sz="4" w:space="0" w:color="auto"/>
            </w:tcBorders>
            <w:shd w:val="clear" w:color="auto" w:fill="auto"/>
            <w:vAlign w:val="center"/>
            <w:hideMark/>
          </w:tcPr>
          <w:p w14:paraId="288F87E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An effective, competitive and responsive economic infrastructure network</w:t>
            </w:r>
          </w:p>
        </w:tc>
        <w:tc>
          <w:tcPr>
            <w:tcW w:w="280" w:type="pct"/>
            <w:tcBorders>
              <w:top w:val="nil"/>
              <w:left w:val="nil"/>
              <w:bottom w:val="single" w:sz="4" w:space="0" w:color="auto"/>
              <w:right w:val="single" w:sz="4" w:space="0" w:color="auto"/>
            </w:tcBorders>
            <w:shd w:val="clear" w:color="auto" w:fill="auto"/>
            <w:vAlign w:val="center"/>
            <w:hideMark/>
          </w:tcPr>
          <w:p w14:paraId="255D318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80" w:type="pct"/>
            <w:tcBorders>
              <w:top w:val="nil"/>
              <w:left w:val="nil"/>
              <w:bottom w:val="single" w:sz="4" w:space="0" w:color="auto"/>
              <w:right w:val="single" w:sz="4" w:space="0" w:color="auto"/>
            </w:tcBorders>
            <w:shd w:val="clear" w:color="auto" w:fill="auto"/>
            <w:vAlign w:val="center"/>
            <w:hideMark/>
          </w:tcPr>
          <w:p w14:paraId="03422A5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78" w:type="pct"/>
            <w:tcBorders>
              <w:top w:val="nil"/>
              <w:left w:val="nil"/>
              <w:bottom w:val="single" w:sz="4" w:space="0" w:color="auto"/>
              <w:right w:val="single" w:sz="4" w:space="0" w:color="auto"/>
            </w:tcBorders>
            <w:shd w:val="clear" w:color="auto" w:fill="auto"/>
            <w:vAlign w:val="center"/>
            <w:hideMark/>
          </w:tcPr>
          <w:p w14:paraId="1C5F0FB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provide and maintain infrastructure and services to all, with emphasis on rural communities, in a sustainable manner</w:t>
            </w:r>
          </w:p>
        </w:tc>
        <w:tc>
          <w:tcPr>
            <w:tcW w:w="374" w:type="pct"/>
            <w:tcBorders>
              <w:top w:val="nil"/>
              <w:left w:val="nil"/>
              <w:bottom w:val="single" w:sz="4" w:space="0" w:color="auto"/>
              <w:right w:val="single" w:sz="4" w:space="0" w:color="auto"/>
            </w:tcBorders>
            <w:shd w:val="clear" w:color="auto" w:fill="auto"/>
            <w:vAlign w:val="center"/>
            <w:hideMark/>
          </w:tcPr>
          <w:p w14:paraId="05EABD9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Implement Pavement Management System (annually) and ensure 90% budget expenditure on Urban roads rehabilitation</w:t>
            </w:r>
          </w:p>
        </w:tc>
        <w:tc>
          <w:tcPr>
            <w:tcW w:w="374" w:type="pct"/>
            <w:tcBorders>
              <w:top w:val="nil"/>
              <w:left w:val="nil"/>
              <w:bottom w:val="single" w:sz="4" w:space="0" w:color="auto"/>
              <w:right w:val="single" w:sz="4" w:space="0" w:color="auto"/>
            </w:tcBorders>
            <w:shd w:val="clear" w:color="auto" w:fill="auto"/>
            <w:vAlign w:val="center"/>
            <w:hideMark/>
          </w:tcPr>
          <w:p w14:paraId="1978401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of budget spent on  urban road rehabilitation in terms of Pavement Management System (PMS) by 30 June</w:t>
            </w:r>
          </w:p>
        </w:tc>
        <w:tc>
          <w:tcPr>
            <w:tcW w:w="374" w:type="pct"/>
            <w:tcBorders>
              <w:top w:val="nil"/>
              <w:left w:val="nil"/>
              <w:bottom w:val="single" w:sz="4" w:space="0" w:color="auto"/>
              <w:right w:val="single" w:sz="4" w:space="0" w:color="auto"/>
            </w:tcBorders>
            <w:shd w:val="clear" w:color="auto" w:fill="auto"/>
            <w:vAlign w:val="center"/>
            <w:hideMark/>
          </w:tcPr>
          <w:p w14:paraId="353FA45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90% expenditure on urban road rehabilitation budget by 30 June</w:t>
            </w:r>
          </w:p>
        </w:tc>
        <w:tc>
          <w:tcPr>
            <w:tcW w:w="305" w:type="pct"/>
            <w:tcBorders>
              <w:top w:val="nil"/>
              <w:left w:val="nil"/>
              <w:bottom w:val="single" w:sz="4" w:space="0" w:color="auto"/>
              <w:right w:val="single" w:sz="4" w:space="0" w:color="auto"/>
            </w:tcBorders>
            <w:shd w:val="clear" w:color="auto" w:fill="auto"/>
            <w:vAlign w:val="center"/>
            <w:hideMark/>
          </w:tcPr>
          <w:p w14:paraId="658FC23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w:t>
            </w:r>
          </w:p>
        </w:tc>
        <w:tc>
          <w:tcPr>
            <w:tcW w:w="374" w:type="pct"/>
            <w:tcBorders>
              <w:top w:val="nil"/>
              <w:left w:val="nil"/>
              <w:bottom w:val="single" w:sz="4" w:space="0" w:color="auto"/>
              <w:right w:val="single" w:sz="4" w:space="0" w:color="auto"/>
            </w:tcBorders>
            <w:shd w:val="clear" w:color="auto" w:fill="auto"/>
            <w:vAlign w:val="center"/>
            <w:hideMark/>
          </w:tcPr>
          <w:p w14:paraId="5719BAE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w:t>
            </w:r>
          </w:p>
        </w:tc>
        <w:tc>
          <w:tcPr>
            <w:tcW w:w="305" w:type="pct"/>
            <w:tcBorders>
              <w:top w:val="nil"/>
              <w:left w:val="nil"/>
              <w:bottom w:val="single" w:sz="4" w:space="0" w:color="auto"/>
              <w:right w:val="single" w:sz="4" w:space="0" w:color="auto"/>
            </w:tcBorders>
            <w:shd w:val="clear" w:color="auto" w:fill="auto"/>
            <w:vAlign w:val="center"/>
            <w:hideMark/>
          </w:tcPr>
          <w:p w14:paraId="1124E9D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w:t>
            </w:r>
          </w:p>
        </w:tc>
        <w:tc>
          <w:tcPr>
            <w:tcW w:w="374" w:type="pct"/>
            <w:tcBorders>
              <w:top w:val="nil"/>
              <w:left w:val="nil"/>
              <w:bottom w:val="single" w:sz="4" w:space="0" w:color="auto"/>
              <w:right w:val="single" w:sz="4" w:space="0" w:color="auto"/>
            </w:tcBorders>
            <w:shd w:val="clear" w:color="auto" w:fill="auto"/>
            <w:vAlign w:val="center"/>
            <w:hideMark/>
          </w:tcPr>
          <w:p w14:paraId="502CC65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w:t>
            </w:r>
          </w:p>
        </w:tc>
        <w:tc>
          <w:tcPr>
            <w:tcW w:w="251" w:type="pct"/>
            <w:tcBorders>
              <w:top w:val="nil"/>
              <w:left w:val="nil"/>
              <w:bottom w:val="single" w:sz="4" w:space="0" w:color="auto"/>
              <w:right w:val="single" w:sz="4" w:space="0" w:color="auto"/>
            </w:tcBorders>
            <w:shd w:val="clear" w:color="auto" w:fill="auto"/>
            <w:vAlign w:val="center"/>
            <w:hideMark/>
          </w:tcPr>
          <w:p w14:paraId="60C19F2A"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7 000 000.00</w:t>
            </w:r>
          </w:p>
        </w:tc>
        <w:tc>
          <w:tcPr>
            <w:tcW w:w="146" w:type="pct"/>
            <w:tcBorders>
              <w:top w:val="nil"/>
              <w:left w:val="nil"/>
              <w:bottom w:val="single" w:sz="4" w:space="0" w:color="auto"/>
              <w:right w:val="single" w:sz="4" w:space="0" w:color="auto"/>
            </w:tcBorders>
            <w:shd w:val="clear" w:color="auto" w:fill="auto"/>
            <w:noWrap/>
            <w:vAlign w:val="center"/>
            <w:hideMark/>
          </w:tcPr>
          <w:p w14:paraId="7F040ADC"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90%</w:t>
            </w:r>
          </w:p>
        </w:tc>
        <w:tc>
          <w:tcPr>
            <w:tcW w:w="278" w:type="pct"/>
            <w:tcBorders>
              <w:top w:val="nil"/>
              <w:left w:val="nil"/>
              <w:bottom w:val="single" w:sz="4" w:space="0" w:color="auto"/>
              <w:right w:val="single" w:sz="4" w:space="0" w:color="auto"/>
            </w:tcBorders>
            <w:shd w:val="clear" w:color="auto" w:fill="auto"/>
            <w:vAlign w:val="center"/>
            <w:hideMark/>
          </w:tcPr>
          <w:p w14:paraId="59219CB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ENGINEERING SERVICES</w:t>
            </w:r>
          </w:p>
        </w:tc>
        <w:tc>
          <w:tcPr>
            <w:tcW w:w="170" w:type="pct"/>
            <w:tcBorders>
              <w:top w:val="nil"/>
              <w:left w:val="nil"/>
              <w:bottom w:val="single" w:sz="4" w:space="0" w:color="auto"/>
              <w:right w:val="single" w:sz="4" w:space="0" w:color="auto"/>
            </w:tcBorders>
            <w:shd w:val="clear" w:color="auto" w:fill="auto"/>
            <w:vAlign w:val="center"/>
            <w:hideMark/>
          </w:tcPr>
          <w:p w14:paraId="79872AE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Wards 11,,12, 18, 19</w:t>
            </w:r>
          </w:p>
        </w:tc>
      </w:tr>
      <w:tr w:rsidR="008A0277" w:rsidRPr="008A0277" w14:paraId="4B023FFE" w14:textId="77777777" w:rsidTr="008A0277">
        <w:trPr>
          <w:trHeight w:val="1627"/>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C9A094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Service Delivery Backlogs</w:t>
            </w:r>
          </w:p>
        </w:tc>
        <w:tc>
          <w:tcPr>
            <w:tcW w:w="136" w:type="pct"/>
            <w:tcBorders>
              <w:top w:val="nil"/>
              <w:left w:val="nil"/>
              <w:bottom w:val="single" w:sz="4" w:space="0" w:color="auto"/>
              <w:right w:val="single" w:sz="4" w:space="0" w:color="auto"/>
            </w:tcBorders>
            <w:shd w:val="clear" w:color="auto" w:fill="auto"/>
            <w:noWrap/>
            <w:vAlign w:val="center"/>
            <w:hideMark/>
          </w:tcPr>
          <w:p w14:paraId="2C61D4E3"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TL29</w:t>
            </w:r>
          </w:p>
        </w:tc>
        <w:tc>
          <w:tcPr>
            <w:tcW w:w="141" w:type="pct"/>
            <w:tcBorders>
              <w:top w:val="nil"/>
              <w:left w:val="nil"/>
              <w:bottom w:val="single" w:sz="4" w:space="0" w:color="auto"/>
              <w:right w:val="single" w:sz="4" w:space="0" w:color="auto"/>
            </w:tcBorders>
            <w:shd w:val="clear" w:color="auto" w:fill="auto"/>
            <w:noWrap/>
            <w:vAlign w:val="center"/>
            <w:hideMark/>
          </w:tcPr>
          <w:p w14:paraId="4030CCE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E5.2-41</w:t>
            </w:r>
          </w:p>
        </w:tc>
        <w:tc>
          <w:tcPr>
            <w:tcW w:w="269" w:type="pct"/>
            <w:tcBorders>
              <w:top w:val="nil"/>
              <w:left w:val="nil"/>
              <w:bottom w:val="single" w:sz="4" w:space="0" w:color="auto"/>
              <w:right w:val="single" w:sz="4" w:space="0" w:color="auto"/>
            </w:tcBorders>
            <w:shd w:val="clear" w:color="auto" w:fill="auto"/>
            <w:vAlign w:val="center"/>
            <w:hideMark/>
          </w:tcPr>
          <w:p w14:paraId="2B3080F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An effective, competitive and responsive economic infrastructure network</w:t>
            </w:r>
          </w:p>
        </w:tc>
        <w:tc>
          <w:tcPr>
            <w:tcW w:w="280" w:type="pct"/>
            <w:tcBorders>
              <w:top w:val="nil"/>
              <w:left w:val="nil"/>
              <w:bottom w:val="single" w:sz="4" w:space="0" w:color="auto"/>
              <w:right w:val="single" w:sz="4" w:space="0" w:color="auto"/>
            </w:tcBorders>
            <w:shd w:val="clear" w:color="auto" w:fill="auto"/>
            <w:vAlign w:val="center"/>
            <w:hideMark/>
          </w:tcPr>
          <w:p w14:paraId="7ED1856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80" w:type="pct"/>
            <w:tcBorders>
              <w:top w:val="nil"/>
              <w:left w:val="nil"/>
              <w:bottom w:val="single" w:sz="4" w:space="0" w:color="auto"/>
              <w:right w:val="single" w:sz="4" w:space="0" w:color="auto"/>
            </w:tcBorders>
            <w:shd w:val="clear" w:color="auto" w:fill="auto"/>
            <w:vAlign w:val="center"/>
            <w:hideMark/>
          </w:tcPr>
          <w:p w14:paraId="46F6FD2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78" w:type="pct"/>
            <w:tcBorders>
              <w:top w:val="nil"/>
              <w:left w:val="nil"/>
              <w:bottom w:val="single" w:sz="4" w:space="0" w:color="auto"/>
              <w:right w:val="single" w:sz="4" w:space="0" w:color="auto"/>
            </w:tcBorders>
            <w:shd w:val="clear" w:color="auto" w:fill="auto"/>
            <w:vAlign w:val="center"/>
            <w:hideMark/>
          </w:tcPr>
          <w:p w14:paraId="0C59D70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Ensure the provision and maintenance of municipal roads, access roads and causeways</w:t>
            </w:r>
          </w:p>
        </w:tc>
        <w:tc>
          <w:tcPr>
            <w:tcW w:w="374" w:type="pct"/>
            <w:tcBorders>
              <w:top w:val="nil"/>
              <w:left w:val="nil"/>
              <w:bottom w:val="single" w:sz="4" w:space="0" w:color="auto"/>
              <w:right w:val="single" w:sz="4" w:space="0" w:color="auto"/>
            </w:tcBorders>
            <w:shd w:val="clear" w:color="auto" w:fill="auto"/>
            <w:vAlign w:val="center"/>
            <w:hideMark/>
          </w:tcPr>
          <w:p w14:paraId="6D99BFB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Construct X km's of Emahhushini road / causeways as per MIG budget by 31 March</w:t>
            </w:r>
          </w:p>
        </w:tc>
        <w:tc>
          <w:tcPr>
            <w:tcW w:w="374" w:type="pct"/>
            <w:tcBorders>
              <w:top w:val="nil"/>
              <w:left w:val="nil"/>
              <w:bottom w:val="single" w:sz="4" w:space="0" w:color="auto"/>
              <w:right w:val="single" w:sz="4" w:space="0" w:color="auto"/>
            </w:tcBorders>
            <w:shd w:val="clear" w:color="auto" w:fill="auto"/>
            <w:vAlign w:val="center"/>
            <w:hideMark/>
          </w:tcPr>
          <w:p w14:paraId="3E5CA97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Km of Emahhushini roads / causeways Constructed by 31 March</w:t>
            </w:r>
          </w:p>
        </w:tc>
        <w:tc>
          <w:tcPr>
            <w:tcW w:w="374" w:type="pct"/>
            <w:tcBorders>
              <w:top w:val="nil"/>
              <w:left w:val="nil"/>
              <w:bottom w:val="single" w:sz="4" w:space="0" w:color="auto"/>
              <w:right w:val="single" w:sz="4" w:space="0" w:color="auto"/>
            </w:tcBorders>
            <w:shd w:val="clear" w:color="auto" w:fill="auto"/>
            <w:vAlign w:val="center"/>
            <w:hideMark/>
          </w:tcPr>
          <w:p w14:paraId="03DE404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Xkm of Emahhushini road/causeway constructed by 31 March</w:t>
            </w:r>
          </w:p>
        </w:tc>
        <w:tc>
          <w:tcPr>
            <w:tcW w:w="305" w:type="pct"/>
            <w:tcBorders>
              <w:top w:val="nil"/>
              <w:left w:val="nil"/>
              <w:bottom w:val="single" w:sz="4" w:space="0" w:color="auto"/>
              <w:right w:val="single" w:sz="4" w:space="0" w:color="auto"/>
            </w:tcBorders>
            <w:shd w:val="clear" w:color="auto" w:fill="auto"/>
            <w:vAlign w:val="center"/>
            <w:hideMark/>
          </w:tcPr>
          <w:p w14:paraId="0054BBE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4DB9A47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05" w:type="pct"/>
            <w:tcBorders>
              <w:top w:val="nil"/>
              <w:left w:val="nil"/>
              <w:bottom w:val="single" w:sz="4" w:space="0" w:color="auto"/>
              <w:right w:val="single" w:sz="4" w:space="0" w:color="auto"/>
            </w:tcBorders>
            <w:shd w:val="clear" w:color="auto" w:fill="auto"/>
            <w:vAlign w:val="center"/>
            <w:hideMark/>
          </w:tcPr>
          <w:p w14:paraId="65E8879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Xkm of Emahhushini road/causeway constructed by 31 March</w:t>
            </w:r>
          </w:p>
        </w:tc>
        <w:tc>
          <w:tcPr>
            <w:tcW w:w="374" w:type="pct"/>
            <w:tcBorders>
              <w:top w:val="nil"/>
              <w:left w:val="nil"/>
              <w:bottom w:val="single" w:sz="4" w:space="0" w:color="auto"/>
              <w:right w:val="single" w:sz="4" w:space="0" w:color="auto"/>
            </w:tcBorders>
            <w:shd w:val="clear" w:color="auto" w:fill="auto"/>
            <w:vAlign w:val="center"/>
            <w:hideMark/>
          </w:tcPr>
          <w:p w14:paraId="24A6597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251" w:type="pct"/>
            <w:tcBorders>
              <w:top w:val="nil"/>
              <w:left w:val="nil"/>
              <w:bottom w:val="single" w:sz="4" w:space="0" w:color="auto"/>
              <w:right w:val="single" w:sz="4" w:space="0" w:color="auto"/>
            </w:tcBorders>
            <w:shd w:val="clear" w:color="auto" w:fill="auto"/>
            <w:vAlign w:val="center"/>
            <w:hideMark/>
          </w:tcPr>
          <w:p w14:paraId="1CC3DBA4"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4 543 910.00</w:t>
            </w:r>
          </w:p>
        </w:tc>
        <w:tc>
          <w:tcPr>
            <w:tcW w:w="146" w:type="pct"/>
            <w:tcBorders>
              <w:top w:val="nil"/>
              <w:left w:val="nil"/>
              <w:bottom w:val="single" w:sz="4" w:space="0" w:color="auto"/>
              <w:right w:val="single" w:sz="4" w:space="0" w:color="auto"/>
            </w:tcBorders>
            <w:shd w:val="clear" w:color="auto" w:fill="auto"/>
            <w:noWrap/>
            <w:vAlign w:val="center"/>
            <w:hideMark/>
          </w:tcPr>
          <w:p w14:paraId="20CDE425"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NEW</w:t>
            </w:r>
          </w:p>
        </w:tc>
        <w:tc>
          <w:tcPr>
            <w:tcW w:w="278" w:type="pct"/>
            <w:tcBorders>
              <w:top w:val="nil"/>
              <w:left w:val="nil"/>
              <w:bottom w:val="single" w:sz="4" w:space="0" w:color="auto"/>
              <w:right w:val="single" w:sz="4" w:space="0" w:color="auto"/>
            </w:tcBorders>
            <w:shd w:val="clear" w:color="auto" w:fill="auto"/>
            <w:vAlign w:val="center"/>
            <w:hideMark/>
          </w:tcPr>
          <w:p w14:paraId="15B6107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ENGINEERING SERVICES</w:t>
            </w:r>
          </w:p>
        </w:tc>
        <w:tc>
          <w:tcPr>
            <w:tcW w:w="170" w:type="pct"/>
            <w:tcBorders>
              <w:top w:val="nil"/>
              <w:left w:val="nil"/>
              <w:bottom w:val="single" w:sz="4" w:space="0" w:color="auto"/>
              <w:right w:val="single" w:sz="4" w:space="0" w:color="auto"/>
            </w:tcBorders>
            <w:shd w:val="clear" w:color="auto" w:fill="auto"/>
            <w:vAlign w:val="center"/>
            <w:hideMark/>
          </w:tcPr>
          <w:p w14:paraId="04A1B75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Ward 7</w:t>
            </w:r>
          </w:p>
        </w:tc>
      </w:tr>
      <w:tr w:rsidR="008A0277" w:rsidRPr="008A0277" w14:paraId="7EF361B6" w14:textId="77777777" w:rsidTr="008A0277">
        <w:trPr>
          <w:trHeight w:val="155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05DDB8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Service Delivery Backlogs</w:t>
            </w:r>
          </w:p>
        </w:tc>
        <w:tc>
          <w:tcPr>
            <w:tcW w:w="136" w:type="pct"/>
            <w:tcBorders>
              <w:top w:val="nil"/>
              <w:left w:val="nil"/>
              <w:bottom w:val="single" w:sz="4" w:space="0" w:color="auto"/>
              <w:right w:val="single" w:sz="4" w:space="0" w:color="auto"/>
            </w:tcBorders>
            <w:shd w:val="clear" w:color="auto" w:fill="auto"/>
            <w:noWrap/>
            <w:vAlign w:val="center"/>
            <w:hideMark/>
          </w:tcPr>
          <w:p w14:paraId="1BBA8A61"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TL30</w:t>
            </w:r>
          </w:p>
        </w:tc>
        <w:tc>
          <w:tcPr>
            <w:tcW w:w="141" w:type="pct"/>
            <w:tcBorders>
              <w:top w:val="nil"/>
              <w:left w:val="nil"/>
              <w:bottom w:val="single" w:sz="4" w:space="0" w:color="auto"/>
              <w:right w:val="single" w:sz="4" w:space="0" w:color="auto"/>
            </w:tcBorders>
            <w:shd w:val="clear" w:color="auto" w:fill="auto"/>
            <w:noWrap/>
            <w:vAlign w:val="center"/>
            <w:hideMark/>
          </w:tcPr>
          <w:p w14:paraId="5E5B6CA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E5.2-42</w:t>
            </w:r>
          </w:p>
        </w:tc>
        <w:tc>
          <w:tcPr>
            <w:tcW w:w="269" w:type="pct"/>
            <w:tcBorders>
              <w:top w:val="nil"/>
              <w:left w:val="nil"/>
              <w:bottom w:val="single" w:sz="4" w:space="0" w:color="auto"/>
              <w:right w:val="single" w:sz="4" w:space="0" w:color="auto"/>
            </w:tcBorders>
            <w:shd w:val="clear" w:color="auto" w:fill="auto"/>
            <w:vAlign w:val="center"/>
            <w:hideMark/>
          </w:tcPr>
          <w:p w14:paraId="74640C1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An effective, competitive and responsive economic infrastructure network</w:t>
            </w:r>
          </w:p>
        </w:tc>
        <w:tc>
          <w:tcPr>
            <w:tcW w:w="280" w:type="pct"/>
            <w:tcBorders>
              <w:top w:val="nil"/>
              <w:left w:val="nil"/>
              <w:bottom w:val="single" w:sz="4" w:space="0" w:color="auto"/>
              <w:right w:val="single" w:sz="4" w:space="0" w:color="auto"/>
            </w:tcBorders>
            <w:shd w:val="clear" w:color="auto" w:fill="auto"/>
            <w:vAlign w:val="center"/>
            <w:hideMark/>
          </w:tcPr>
          <w:p w14:paraId="3D30F53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80" w:type="pct"/>
            <w:tcBorders>
              <w:top w:val="nil"/>
              <w:left w:val="nil"/>
              <w:bottom w:val="single" w:sz="4" w:space="0" w:color="auto"/>
              <w:right w:val="single" w:sz="4" w:space="0" w:color="auto"/>
            </w:tcBorders>
            <w:shd w:val="clear" w:color="auto" w:fill="auto"/>
            <w:vAlign w:val="center"/>
            <w:hideMark/>
          </w:tcPr>
          <w:p w14:paraId="1A3C52F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78" w:type="pct"/>
            <w:tcBorders>
              <w:top w:val="nil"/>
              <w:left w:val="nil"/>
              <w:bottom w:val="single" w:sz="4" w:space="0" w:color="auto"/>
              <w:right w:val="single" w:sz="4" w:space="0" w:color="auto"/>
            </w:tcBorders>
            <w:shd w:val="clear" w:color="auto" w:fill="auto"/>
            <w:vAlign w:val="center"/>
            <w:hideMark/>
          </w:tcPr>
          <w:p w14:paraId="17479D9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Ensure the provision and maintenance of municipal roads, access roads and causeways</w:t>
            </w:r>
          </w:p>
        </w:tc>
        <w:tc>
          <w:tcPr>
            <w:tcW w:w="374" w:type="pct"/>
            <w:tcBorders>
              <w:top w:val="nil"/>
              <w:left w:val="nil"/>
              <w:bottom w:val="single" w:sz="4" w:space="0" w:color="auto"/>
              <w:right w:val="single" w:sz="4" w:space="0" w:color="auto"/>
            </w:tcBorders>
            <w:shd w:val="clear" w:color="auto" w:fill="auto"/>
            <w:vAlign w:val="center"/>
            <w:hideMark/>
          </w:tcPr>
          <w:p w14:paraId="31760EE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Construct X km's of Kwagalagala road / causeways as per MIG budget by 28 February</w:t>
            </w:r>
          </w:p>
        </w:tc>
        <w:tc>
          <w:tcPr>
            <w:tcW w:w="374" w:type="pct"/>
            <w:tcBorders>
              <w:top w:val="nil"/>
              <w:left w:val="nil"/>
              <w:bottom w:val="single" w:sz="4" w:space="0" w:color="auto"/>
              <w:right w:val="single" w:sz="4" w:space="0" w:color="auto"/>
            </w:tcBorders>
            <w:shd w:val="clear" w:color="auto" w:fill="auto"/>
            <w:vAlign w:val="center"/>
            <w:hideMark/>
          </w:tcPr>
          <w:p w14:paraId="1926E50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Km of Kwagalagala roads / causeways Constructed by 28 February</w:t>
            </w:r>
          </w:p>
        </w:tc>
        <w:tc>
          <w:tcPr>
            <w:tcW w:w="374" w:type="pct"/>
            <w:tcBorders>
              <w:top w:val="nil"/>
              <w:left w:val="nil"/>
              <w:bottom w:val="single" w:sz="4" w:space="0" w:color="auto"/>
              <w:right w:val="single" w:sz="4" w:space="0" w:color="auto"/>
            </w:tcBorders>
            <w:shd w:val="clear" w:color="auto" w:fill="auto"/>
            <w:vAlign w:val="center"/>
            <w:hideMark/>
          </w:tcPr>
          <w:p w14:paraId="042DE67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Xkm of Kwagalala roads / causeway completed by 28 February</w:t>
            </w:r>
          </w:p>
        </w:tc>
        <w:tc>
          <w:tcPr>
            <w:tcW w:w="305" w:type="pct"/>
            <w:tcBorders>
              <w:top w:val="nil"/>
              <w:left w:val="nil"/>
              <w:bottom w:val="single" w:sz="4" w:space="0" w:color="auto"/>
              <w:right w:val="single" w:sz="4" w:space="0" w:color="auto"/>
            </w:tcBorders>
            <w:shd w:val="clear" w:color="auto" w:fill="auto"/>
            <w:vAlign w:val="center"/>
            <w:hideMark/>
          </w:tcPr>
          <w:p w14:paraId="6FEFF6D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63DC8C9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05" w:type="pct"/>
            <w:tcBorders>
              <w:top w:val="nil"/>
              <w:left w:val="nil"/>
              <w:bottom w:val="single" w:sz="4" w:space="0" w:color="auto"/>
              <w:right w:val="single" w:sz="4" w:space="0" w:color="auto"/>
            </w:tcBorders>
            <w:shd w:val="clear" w:color="auto" w:fill="auto"/>
            <w:vAlign w:val="center"/>
            <w:hideMark/>
          </w:tcPr>
          <w:p w14:paraId="1F0B310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Xkm of Kwagalala roads / causeway completed by 28 February</w:t>
            </w:r>
          </w:p>
        </w:tc>
        <w:tc>
          <w:tcPr>
            <w:tcW w:w="374" w:type="pct"/>
            <w:tcBorders>
              <w:top w:val="nil"/>
              <w:left w:val="nil"/>
              <w:bottom w:val="single" w:sz="4" w:space="0" w:color="auto"/>
              <w:right w:val="single" w:sz="4" w:space="0" w:color="auto"/>
            </w:tcBorders>
            <w:shd w:val="clear" w:color="auto" w:fill="auto"/>
            <w:vAlign w:val="center"/>
            <w:hideMark/>
          </w:tcPr>
          <w:p w14:paraId="0B65037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251" w:type="pct"/>
            <w:tcBorders>
              <w:top w:val="nil"/>
              <w:left w:val="nil"/>
              <w:bottom w:val="single" w:sz="4" w:space="0" w:color="auto"/>
              <w:right w:val="single" w:sz="4" w:space="0" w:color="auto"/>
            </w:tcBorders>
            <w:shd w:val="clear" w:color="auto" w:fill="auto"/>
            <w:vAlign w:val="center"/>
            <w:hideMark/>
          </w:tcPr>
          <w:p w14:paraId="3D435E06"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2 501 620.00</w:t>
            </w:r>
          </w:p>
        </w:tc>
        <w:tc>
          <w:tcPr>
            <w:tcW w:w="146" w:type="pct"/>
            <w:tcBorders>
              <w:top w:val="nil"/>
              <w:left w:val="nil"/>
              <w:bottom w:val="single" w:sz="4" w:space="0" w:color="auto"/>
              <w:right w:val="single" w:sz="4" w:space="0" w:color="auto"/>
            </w:tcBorders>
            <w:shd w:val="clear" w:color="auto" w:fill="auto"/>
            <w:noWrap/>
            <w:vAlign w:val="center"/>
            <w:hideMark/>
          </w:tcPr>
          <w:p w14:paraId="5C7AEBF0"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NEW</w:t>
            </w:r>
          </w:p>
        </w:tc>
        <w:tc>
          <w:tcPr>
            <w:tcW w:w="278" w:type="pct"/>
            <w:tcBorders>
              <w:top w:val="nil"/>
              <w:left w:val="nil"/>
              <w:bottom w:val="single" w:sz="4" w:space="0" w:color="auto"/>
              <w:right w:val="single" w:sz="4" w:space="0" w:color="auto"/>
            </w:tcBorders>
            <w:shd w:val="clear" w:color="auto" w:fill="auto"/>
            <w:vAlign w:val="center"/>
            <w:hideMark/>
          </w:tcPr>
          <w:p w14:paraId="72BA354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ENGINEERING SERVICES</w:t>
            </w:r>
          </w:p>
        </w:tc>
        <w:tc>
          <w:tcPr>
            <w:tcW w:w="170" w:type="pct"/>
            <w:tcBorders>
              <w:top w:val="nil"/>
              <w:left w:val="nil"/>
              <w:bottom w:val="single" w:sz="4" w:space="0" w:color="auto"/>
              <w:right w:val="single" w:sz="4" w:space="0" w:color="auto"/>
            </w:tcBorders>
            <w:shd w:val="clear" w:color="auto" w:fill="auto"/>
            <w:vAlign w:val="center"/>
            <w:hideMark/>
          </w:tcPr>
          <w:p w14:paraId="6C9A852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Ward 13</w:t>
            </w:r>
          </w:p>
        </w:tc>
      </w:tr>
      <w:tr w:rsidR="008A0277" w:rsidRPr="008A0277" w14:paraId="0C9593AE" w14:textId="77777777" w:rsidTr="008A0277">
        <w:trPr>
          <w:trHeight w:val="1125"/>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59F8920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Service Delivery Backlogs</w:t>
            </w:r>
          </w:p>
        </w:tc>
        <w:tc>
          <w:tcPr>
            <w:tcW w:w="136" w:type="pct"/>
            <w:tcBorders>
              <w:top w:val="nil"/>
              <w:left w:val="nil"/>
              <w:bottom w:val="single" w:sz="4" w:space="0" w:color="auto"/>
              <w:right w:val="single" w:sz="4" w:space="0" w:color="auto"/>
            </w:tcBorders>
            <w:shd w:val="clear" w:color="auto" w:fill="auto"/>
            <w:noWrap/>
            <w:vAlign w:val="center"/>
            <w:hideMark/>
          </w:tcPr>
          <w:p w14:paraId="30061930"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TL31</w:t>
            </w:r>
          </w:p>
        </w:tc>
        <w:tc>
          <w:tcPr>
            <w:tcW w:w="141" w:type="pct"/>
            <w:tcBorders>
              <w:top w:val="nil"/>
              <w:left w:val="nil"/>
              <w:bottom w:val="single" w:sz="4" w:space="0" w:color="auto"/>
              <w:right w:val="single" w:sz="4" w:space="0" w:color="auto"/>
            </w:tcBorders>
            <w:shd w:val="clear" w:color="auto" w:fill="auto"/>
            <w:noWrap/>
            <w:vAlign w:val="center"/>
            <w:hideMark/>
          </w:tcPr>
          <w:p w14:paraId="750124B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E5.2-44</w:t>
            </w:r>
          </w:p>
        </w:tc>
        <w:tc>
          <w:tcPr>
            <w:tcW w:w="269" w:type="pct"/>
            <w:tcBorders>
              <w:top w:val="nil"/>
              <w:left w:val="nil"/>
              <w:bottom w:val="single" w:sz="4" w:space="0" w:color="auto"/>
              <w:right w:val="single" w:sz="4" w:space="0" w:color="auto"/>
            </w:tcBorders>
            <w:shd w:val="clear" w:color="auto" w:fill="auto"/>
            <w:vAlign w:val="center"/>
            <w:hideMark/>
          </w:tcPr>
          <w:p w14:paraId="47E9ADD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An effective, competitive and responsive economic infrastructure network</w:t>
            </w:r>
          </w:p>
        </w:tc>
        <w:tc>
          <w:tcPr>
            <w:tcW w:w="280" w:type="pct"/>
            <w:tcBorders>
              <w:top w:val="nil"/>
              <w:left w:val="nil"/>
              <w:bottom w:val="single" w:sz="4" w:space="0" w:color="auto"/>
              <w:right w:val="single" w:sz="4" w:space="0" w:color="auto"/>
            </w:tcBorders>
            <w:shd w:val="clear" w:color="auto" w:fill="auto"/>
            <w:vAlign w:val="center"/>
            <w:hideMark/>
          </w:tcPr>
          <w:p w14:paraId="6ABEB73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80" w:type="pct"/>
            <w:tcBorders>
              <w:top w:val="nil"/>
              <w:left w:val="nil"/>
              <w:bottom w:val="single" w:sz="4" w:space="0" w:color="auto"/>
              <w:right w:val="single" w:sz="4" w:space="0" w:color="auto"/>
            </w:tcBorders>
            <w:shd w:val="clear" w:color="auto" w:fill="auto"/>
            <w:vAlign w:val="center"/>
            <w:hideMark/>
          </w:tcPr>
          <w:p w14:paraId="3188B0D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78" w:type="pct"/>
            <w:tcBorders>
              <w:top w:val="nil"/>
              <w:left w:val="nil"/>
              <w:bottom w:val="single" w:sz="4" w:space="0" w:color="auto"/>
              <w:right w:val="single" w:sz="4" w:space="0" w:color="auto"/>
            </w:tcBorders>
            <w:shd w:val="clear" w:color="auto" w:fill="auto"/>
            <w:vAlign w:val="center"/>
            <w:hideMark/>
          </w:tcPr>
          <w:p w14:paraId="63F4465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Ensure the provision and maintenance of municipal roads, access roads and causeways</w:t>
            </w:r>
          </w:p>
        </w:tc>
        <w:tc>
          <w:tcPr>
            <w:tcW w:w="374" w:type="pct"/>
            <w:tcBorders>
              <w:top w:val="nil"/>
              <w:left w:val="nil"/>
              <w:bottom w:val="single" w:sz="4" w:space="0" w:color="auto"/>
              <w:right w:val="single" w:sz="4" w:space="0" w:color="auto"/>
            </w:tcBorders>
            <w:shd w:val="clear" w:color="auto" w:fill="auto"/>
            <w:vAlign w:val="center"/>
            <w:hideMark/>
          </w:tcPr>
          <w:p w14:paraId="2D3AB66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Construct X km's of Mthintombi road / causeways as per MIG budget by 31 March</w:t>
            </w:r>
          </w:p>
        </w:tc>
        <w:tc>
          <w:tcPr>
            <w:tcW w:w="374" w:type="pct"/>
            <w:tcBorders>
              <w:top w:val="nil"/>
              <w:left w:val="nil"/>
              <w:bottom w:val="single" w:sz="4" w:space="0" w:color="auto"/>
              <w:right w:val="single" w:sz="4" w:space="0" w:color="auto"/>
            </w:tcBorders>
            <w:shd w:val="clear" w:color="auto" w:fill="auto"/>
            <w:vAlign w:val="center"/>
            <w:hideMark/>
          </w:tcPr>
          <w:p w14:paraId="4074FFA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Km of Mthintombi roads / causeways Constructed by 31 March</w:t>
            </w:r>
          </w:p>
        </w:tc>
        <w:tc>
          <w:tcPr>
            <w:tcW w:w="374" w:type="pct"/>
            <w:tcBorders>
              <w:top w:val="nil"/>
              <w:left w:val="nil"/>
              <w:bottom w:val="single" w:sz="4" w:space="0" w:color="auto"/>
              <w:right w:val="single" w:sz="4" w:space="0" w:color="auto"/>
            </w:tcBorders>
            <w:shd w:val="clear" w:color="auto" w:fill="auto"/>
            <w:vAlign w:val="center"/>
            <w:hideMark/>
          </w:tcPr>
          <w:p w14:paraId="6380D99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Xkm of Mtthintombi roads/causeway roads / causeway completed by 31 March</w:t>
            </w:r>
          </w:p>
        </w:tc>
        <w:tc>
          <w:tcPr>
            <w:tcW w:w="305" w:type="pct"/>
            <w:tcBorders>
              <w:top w:val="nil"/>
              <w:left w:val="nil"/>
              <w:bottom w:val="single" w:sz="4" w:space="0" w:color="auto"/>
              <w:right w:val="single" w:sz="4" w:space="0" w:color="auto"/>
            </w:tcBorders>
            <w:shd w:val="clear" w:color="auto" w:fill="auto"/>
            <w:vAlign w:val="center"/>
            <w:hideMark/>
          </w:tcPr>
          <w:p w14:paraId="6128AF4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70DA0C5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05" w:type="pct"/>
            <w:tcBorders>
              <w:top w:val="nil"/>
              <w:left w:val="nil"/>
              <w:bottom w:val="single" w:sz="4" w:space="0" w:color="auto"/>
              <w:right w:val="single" w:sz="4" w:space="0" w:color="auto"/>
            </w:tcBorders>
            <w:shd w:val="clear" w:color="auto" w:fill="auto"/>
            <w:vAlign w:val="center"/>
            <w:hideMark/>
          </w:tcPr>
          <w:p w14:paraId="7817561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Xkm of Mtthintombi roads/causeway roads / causeway completed by 31 March</w:t>
            </w:r>
          </w:p>
        </w:tc>
        <w:tc>
          <w:tcPr>
            <w:tcW w:w="374" w:type="pct"/>
            <w:tcBorders>
              <w:top w:val="nil"/>
              <w:left w:val="nil"/>
              <w:bottom w:val="single" w:sz="4" w:space="0" w:color="auto"/>
              <w:right w:val="single" w:sz="4" w:space="0" w:color="auto"/>
            </w:tcBorders>
            <w:shd w:val="clear" w:color="auto" w:fill="auto"/>
            <w:vAlign w:val="center"/>
            <w:hideMark/>
          </w:tcPr>
          <w:p w14:paraId="324F9CE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251" w:type="pct"/>
            <w:tcBorders>
              <w:top w:val="nil"/>
              <w:left w:val="nil"/>
              <w:bottom w:val="single" w:sz="4" w:space="0" w:color="auto"/>
              <w:right w:val="single" w:sz="4" w:space="0" w:color="auto"/>
            </w:tcBorders>
            <w:shd w:val="clear" w:color="auto" w:fill="auto"/>
            <w:vAlign w:val="center"/>
            <w:hideMark/>
          </w:tcPr>
          <w:p w14:paraId="334257CE"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4 500 000.00</w:t>
            </w:r>
          </w:p>
        </w:tc>
        <w:tc>
          <w:tcPr>
            <w:tcW w:w="146" w:type="pct"/>
            <w:tcBorders>
              <w:top w:val="nil"/>
              <w:left w:val="nil"/>
              <w:bottom w:val="single" w:sz="4" w:space="0" w:color="auto"/>
              <w:right w:val="single" w:sz="4" w:space="0" w:color="auto"/>
            </w:tcBorders>
            <w:shd w:val="clear" w:color="auto" w:fill="auto"/>
            <w:noWrap/>
            <w:vAlign w:val="center"/>
            <w:hideMark/>
          </w:tcPr>
          <w:p w14:paraId="132F3B2D"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NEW</w:t>
            </w:r>
          </w:p>
        </w:tc>
        <w:tc>
          <w:tcPr>
            <w:tcW w:w="278" w:type="pct"/>
            <w:tcBorders>
              <w:top w:val="nil"/>
              <w:left w:val="nil"/>
              <w:bottom w:val="single" w:sz="4" w:space="0" w:color="auto"/>
              <w:right w:val="single" w:sz="4" w:space="0" w:color="auto"/>
            </w:tcBorders>
            <w:shd w:val="clear" w:color="auto" w:fill="auto"/>
            <w:vAlign w:val="center"/>
            <w:hideMark/>
          </w:tcPr>
          <w:p w14:paraId="15FDEFD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 ENGINEERING SERVICES</w:t>
            </w:r>
          </w:p>
        </w:tc>
        <w:tc>
          <w:tcPr>
            <w:tcW w:w="170" w:type="pct"/>
            <w:tcBorders>
              <w:top w:val="nil"/>
              <w:left w:val="nil"/>
              <w:bottom w:val="single" w:sz="4" w:space="0" w:color="auto"/>
              <w:right w:val="single" w:sz="4" w:space="0" w:color="auto"/>
            </w:tcBorders>
            <w:shd w:val="clear" w:color="auto" w:fill="auto"/>
            <w:vAlign w:val="center"/>
            <w:hideMark/>
          </w:tcPr>
          <w:p w14:paraId="49E5B67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Ward 22</w:t>
            </w:r>
          </w:p>
        </w:tc>
      </w:tr>
      <w:tr w:rsidR="008A0277" w:rsidRPr="008A0277" w14:paraId="3773819A" w14:textId="77777777" w:rsidTr="008A0277">
        <w:trPr>
          <w:trHeight w:val="1408"/>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14F204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Fragmented or adhoc planning</w:t>
            </w:r>
          </w:p>
        </w:tc>
        <w:tc>
          <w:tcPr>
            <w:tcW w:w="136" w:type="pct"/>
            <w:tcBorders>
              <w:top w:val="nil"/>
              <w:left w:val="nil"/>
              <w:bottom w:val="single" w:sz="4" w:space="0" w:color="auto"/>
              <w:right w:val="single" w:sz="4" w:space="0" w:color="auto"/>
            </w:tcBorders>
            <w:shd w:val="clear" w:color="auto" w:fill="auto"/>
            <w:noWrap/>
            <w:vAlign w:val="center"/>
            <w:hideMark/>
          </w:tcPr>
          <w:p w14:paraId="339601C2"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TL32</w:t>
            </w:r>
          </w:p>
        </w:tc>
        <w:tc>
          <w:tcPr>
            <w:tcW w:w="141" w:type="pct"/>
            <w:tcBorders>
              <w:top w:val="nil"/>
              <w:left w:val="nil"/>
              <w:bottom w:val="single" w:sz="4" w:space="0" w:color="auto"/>
              <w:right w:val="single" w:sz="4" w:space="0" w:color="auto"/>
            </w:tcBorders>
            <w:shd w:val="clear" w:color="auto" w:fill="auto"/>
            <w:noWrap/>
            <w:vAlign w:val="center"/>
            <w:hideMark/>
          </w:tcPr>
          <w:p w14:paraId="1CCE51A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E5.2-47</w:t>
            </w:r>
          </w:p>
        </w:tc>
        <w:tc>
          <w:tcPr>
            <w:tcW w:w="269" w:type="pct"/>
            <w:tcBorders>
              <w:top w:val="nil"/>
              <w:left w:val="nil"/>
              <w:bottom w:val="single" w:sz="4" w:space="0" w:color="auto"/>
              <w:right w:val="single" w:sz="4" w:space="0" w:color="auto"/>
            </w:tcBorders>
            <w:shd w:val="clear" w:color="auto" w:fill="auto"/>
            <w:vAlign w:val="center"/>
            <w:hideMark/>
          </w:tcPr>
          <w:p w14:paraId="321E8BB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development-orientated public service and inclusive citizenship</w:t>
            </w:r>
          </w:p>
        </w:tc>
        <w:tc>
          <w:tcPr>
            <w:tcW w:w="280" w:type="pct"/>
            <w:tcBorders>
              <w:top w:val="nil"/>
              <w:left w:val="nil"/>
              <w:bottom w:val="single" w:sz="4" w:space="0" w:color="auto"/>
              <w:right w:val="single" w:sz="4" w:space="0" w:color="auto"/>
            </w:tcBorders>
            <w:shd w:val="clear" w:color="auto" w:fill="auto"/>
            <w:vAlign w:val="center"/>
            <w:hideMark/>
          </w:tcPr>
          <w:p w14:paraId="58E3D45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Good Governance and Public Participation</w:t>
            </w:r>
          </w:p>
        </w:tc>
        <w:tc>
          <w:tcPr>
            <w:tcW w:w="280" w:type="pct"/>
            <w:tcBorders>
              <w:top w:val="nil"/>
              <w:left w:val="nil"/>
              <w:bottom w:val="single" w:sz="4" w:space="0" w:color="auto"/>
              <w:right w:val="single" w:sz="4" w:space="0" w:color="auto"/>
            </w:tcBorders>
            <w:shd w:val="clear" w:color="auto" w:fill="auto"/>
            <w:vAlign w:val="center"/>
            <w:hideMark/>
          </w:tcPr>
          <w:p w14:paraId="3755B8B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Good Governance and Public Participation</w:t>
            </w:r>
          </w:p>
        </w:tc>
        <w:tc>
          <w:tcPr>
            <w:tcW w:w="278" w:type="pct"/>
            <w:tcBorders>
              <w:top w:val="nil"/>
              <w:left w:val="nil"/>
              <w:bottom w:val="single" w:sz="4" w:space="0" w:color="auto"/>
              <w:right w:val="single" w:sz="4" w:space="0" w:color="auto"/>
            </w:tcBorders>
            <w:shd w:val="clear" w:color="auto" w:fill="auto"/>
            <w:vAlign w:val="center"/>
            <w:hideMark/>
          </w:tcPr>
          <w:p w14:paraId="6E9B22C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ensure effective and efficient Land Use Management, taking cognizance of sound environmental practices</w:t>
            </w:r>
          </w:p>
        </w:tc>
        <w:tc>
          <w:tcPr>
            <w:tcW w:w="374" w:type="pct"/>
            <w:tcBorders>
              <w:top w:val="nil"/>
              <w:left w:val="nil"/>
              <w:bottom w:val="single" w:sz="4" w:space="0" w:color="auto"/>
              <w:right w:val="single" w:sz="4" w:space="0" w:color="auto"/>
            </w:tcBorders>
            <w:shd w:val="clear" w:color="auto" w:fill="auto"/>
            <w:vAlign w:val="center"/>
            <w:hideMark/>
          </w:tcPr>
          <w:p w14:paraId="5092539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Hold 8 Clustered IDP Road shows by 31 December</w:t>
            </w:r>
          </w:p>
        </w:tc>
        <w:tc>
          <w:tcPr>
            <w:tcW w:w="374" w:type="pct"/>
            <w:tcBorders>
              <w:top w:val="nil"/>
              <w:left w:val="nil"/>
              <w:bottom w:val="single" w:sz="4" w:space="0" w:color="auto"/>
              <w:right w:val="single" w:sz="4" w:space="0" w:color="auto"/>
            </w:tcBorders>
            <w:shd w:val="clear" w:color="auto" w:fill="auto"/>
            <w:vAlign w:val="center"/>
            <w:hideMark/>
          </w:tcPr>
          <w:p w14:paraId="189E526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Number of clustered IDP roads shows held by 31 December</w:t>
            </w:r>
          </w:p>
        </w:tc>
        <w:tc>
          <w:tcPr>
            <w:tcW w:w="374" w:type="pct"/>
            <w:tcBorders>
              <w:top w:val="nil"/>
              <w:left w:val="nil"/>
              <w:bottom w:val="single" w:sz="4" w:space="0" w:color="auto"/>
              <w:right w:val="single" w:sz="4" w:space="0" w:color="auto"/>
            </w:tcBorders>
            <w:shd w:val="clear" w:color="auto" w:fill="auto"/>
            <w:vAlign w:val="center"/>
            <w:hideMark/>
          </w:tcPr>
          <w:p w14:paraId="0CCB0A6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8 Clustered Roadshows held by 31 December </w:t>
            </w:r>
          </w:p>
        </w:tc>
        <w:tc>
          <w:tcPr>
            <w:tcW w:w="305" w:type="pct"/>
            <w:tcBorders>
              <w:top w:val="nil"/>
              <w:left w:val="nil"/>
              <w:bottom w:val="single" w:sz="4" w:space="0" w:color="auto"/>
              <w:right w:val="single" w:sz="4" w:space="0" w:color="auto"/>
            </w:tcBorders>
            <w:shd w:val="clear" w:color="auto" w:fill="auto"/>
            <w:vAlign w:val="center"/>
            <w:hideMark/>
          </w:tcPr>
          <w:p w14:paraId="645A45D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7635323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8 Clustered Roadshows held by 31 December </w:t>
            </w:r>
          </w:p>
        </w:tc>
        <w:tc>
          <w:tcPr>
            <w:tcW w:w="305" w:type="pct"/>
            <w:tcBorders>
              <w:top w:val="nil"/>
              <w:left w:val="nil"/>
              <w:bottom w:val="single" w:sz="4" w:space="0" w:color="auto"/>
              <w:right w:val="single" w:sz="4" w:space="0" w:color="auto"/>
            </w:tcBorders>
            <w:shd w:val="clear" w:color="auto" w:fill="auto"/>
            <w:vAlign w:val="center"/>
            <w:hideMark/>
          </w:tcPr>
          <w:p w14:paraId="71D3AF1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60F1A44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251" w:type="pct"/>
            <w:tcBorders>
              <w:top w:val="nil"/>
              <w:left w:val="nil"/>
              <w:bottom w:val="single" w:sz="4" w:space="0" w:color="auto"/>
              <w:right w:val="single" w:sz="4" w:space="0" w:color="auto"/>
            </w:tcBorders>
            <w:shd w:val="clear" w:color="auto" w:fill="auto"/>
            <w:vAlign w:val="center"/>
            <w:hideMark/>
          </w:tcPr>
          <w:p w14:paraId="31373EC9"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840 530.00</w:t>
            </w:r>
          </w:p>
        </w:tc>
        <w:tc>
          <w:tcPr>
            <w:tcW w:w="146" w:type="pct"/>
            <w:tcBorders>
              <w:top w:val="nil"/>
              <w:left w:val="nil"/>
              <w:bottom w:val="single" w:sz="4" w:space="0" w:color="auto"/>
              <w:right w:val="single" w:sz="4" w:space="0" w:color="auto"/>
            </w:tcBorders>
            <w:shd w:val="clear" w:color="auto" w:fill="auto"/>
            <w:noWrap/>
            <w:vAlign w:val="center"/>
            <w:hideMark/>
          </w:tcPr>
          <w:p w14:paraId="2F707173"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9</w:t>
            </w:r>
          </w:p>
        </w:tc>
        <w:tc>
          <w:tcPr>
            <w:tcW w:w="278" w:type="pct"/>
            <w:tcBorders>
              <w:top w:val="nil"/>
              <w:left w:val="nil"/>
              <w:bottom w:val="single" w:sz="4" w:space="0" w:color="auto"/>
              <w:right w:val="single" w:sz="4" w:space="0" w:color="auto"/>
            </w:tcBorders>
            <w:shd w:val="clear" w:color="auto" w:fill="auto"/>
            <w:vAlign w:val="center"/>
            <w:hideMark/>
          </w:tcPr>
          <w:p w14:paraId="07BD06B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PLANNING AND DEVELOPMENT</w:t>
            </w:r>
          </w:p>
        </w:tc>
        <w:tc>
          <w:tcPr>
            <w:tcW w:w="170" w:type="pct"/>
            <w:tcBorders>
              <w:top w:val="nil"/>
              <w:left w:val="nil"/>
              <w:bottom w:val="single" w:sz="4" w:space="0" w:color="auto"/>
              <w:right w:val="single" w:sz="4" w:space="0" w:color="auto"/>
            </w:tcBorders>
            <w:shd w:val="clear" w:color="auto" w:fill="auto"/>
            <w:vAlign w:val="center"/>
            <w:hideMark/>
          </w:tcPr>
          <w:p w14:paraId="79B8892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6663E4AA" w14:textId="77777777" w:rsidTr="008A0277">
        <w:trPr>
          <w:trHeight w:val="150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53FCD5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Fragmented or adhoc planning</w:t>
            </w:r>
          </w:p>
        </w:tc>
        <w:tc>
          <w:tcPr>
            <w:tcW w:w="136" w:type="pct"/>
            <w:tcBorders>
              <w:top w:val="nil"/>
              <w:left w:val="nil"/>
              <w:bottom w:val="single" w:sz="4" w:space="0" w:color="auto"/>
              <w:right w:val="single" w:sz="4" w:space="0" w:color="auto"/>
            </w:tcBorders>
            <w:shd w:val="clear" w:color="auto" w:fill="auto"/>
            <w:noWrap/>
            <w:vAlign w:val="center"/>
            <w:hideMark/>
          </w:tcPr>
          <w:p w14:paraId="5BB50E4B"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TL33</w:t>
            </w:r>
          </w:p>
        </w:tc>
        <w:tc>
          <w:tcPr>
            <w:tcW w:w="141" w:type="pct"/>
            <w:tcBorders>
              <w:top w:val="nil"/>
              <w:left w:val="nil"/>
              <w:bottom w:val="single" w:sz="4" w:space="0" w:color="auto"/>
              <w:right w:val="single" w:sz="4" w:space="0" w:color="auto"/>
            </w:tcBorders>
            <w:shd w:val="clear" w:color="auto" w:fill="auto"/>
            <w:noWrap/>
            <w:vAlign w:val="center"/>
            <w:hideMark/>
          </w:tcPr>
          <w:p w14:paraId="4BF239F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E5.2-48</w:t>
            </w:r>
          </w:p>
        </w:tc>
        <w:tc>
          <w:tcPr>
            <w:tcW w:w="269" w:type="pct"/>
            <w:tcBorders>
              <w:top w:val="nil"/>
              <w:left w:val="nil"/>
              <w:bottom w:val="single" w:sz="4" w:space="0" w:color="auto"/>
              <w:right w:val="single" w:sz="4" w:space="0" w:color="auto"/>
            </w:tcBorders>
            <w:shd w:val="clear" w:color="auto" w:fill="auto"/>
            <w:vAlign w:val="center"/>
            <w:hideMark/>
          </w:tcPr>
          <w:p w14:paraId="26A6E06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development-orientated public service and inclusive citizenship</w:t>
            </w:r>
          </w:p>
        </w:tc>
        <w:tc>
          <w:tcPr>
            <w:tcW w:w="280" w:type="pct"/>
            <w:tcBorders>
              <w:top w:val="nil"/>
              <w:left w:val="nil"/>
              <w:bottom w:val="single" w:sz="4" w:space="0" w:color="auto"/>
              <w:right w:val="single" w:sz="4" w:space="0" w:color="auto"/>
            </w:tcBorders>
            <w:shd w:val="clear" w:color="auto" w:fill="auto"/>
            <w:vAlign w:val="center"/>
            <w:hideMark/>
          </w:tcPr>
          <w:p w14:paraId="6AFC565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Good Governance and Public Participation</w:t>
            </w:r>
          </w:p>
        </w:tc>
        <w:tc>
          <w:tcPr>
            <w:tcW w:w="280" w:type="pct"/>
            <w:tcBorders>
              <w:top w:val="nil"/>
              <w:left w:val="nil"/>
              <w:bottom w:val="single" w:sz="4" w:space="0" w:color="auto"/>
              <w:right w:val="single" w:sz="4" w:space="0" w:color="auto"/>
            </w:tcBorders>
            <w:shd w:val="clear" w:color="auto" w:fill="auto"/>
            <w:vAlign w:val="center"/>
            <w:hideMark/>
          </w:tcPr>
          <w:p w14:paraId="6D892FE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Good Governance and Public Participation</w:t>
            </w:r>
          </w:p>
        </w:tc>
        <w:tc>
          <w:tcPr>
            <w:tcW w:w="278" w:type="pct"/>
            <w:tcBorders>
              <w:top w:val="nil"/>
              <w:left w:val="nil"/>
              <w:bottom w:val="single" w:sz="4" w:space="0" w:color="auto"/>
              <w:right w:val="single" w:sz="4" w:space="0" w:color="auto"/>
            </w:tcBorders>
            <w:shd w:val="clear" w:color="auto" w:fill="auto"/>
            <w:vAlign w:val="center"/>
            <w:hideMark/>
          </w:tcPr>
          <w:p w14:paraId="42FFAB2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ensure effective and efficient Land Use Management, taking cognizance of sound environmental practices</w:t>
            </w:r>
          </w:p>
        </w:tc>
        <w:tc>
          <w:tcPr>
            <w:tcW w:w="374" w:type="pct"/>
            <w:tcBorders>
              <w:top w:val="nil"/>
              <w:left w:val="nil"/>
              <w:bottom w:val="single" w:sz="4" w:space="0" w:color="auto"/>
              <w:right w:val="single" w:sz="4" w:space="0" w:color="auto"/>
            </w:tcBorders>
            <w:shd w:val="clear" w:color="auto" w:fill="auto"/>
            <w:vAlign w:val="center"/>
            <w:hideMark/>
          </w:tcPr>
          <w:p w14:paraId="6554CE5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Complete 27 Ward Based plans by 31 March </w:t>
            </w:r>
          </w:p>
        </w:tc>
        <w:tc>
          <w:tcPr>
            <w:tcW w:w="374" w:type="pct"/>
            <w:tcBorders>
              <w:top w:val="nil"/>
              <w:left w:val="nil"/>
              <w:bottom w:val="single" w:sz="4" w:space="0" w:color="auto"/>
              <w:right w:val="single" w:sz="4" w:space="0" w:color="auto"/>
            </w:tcBorders>
            <w:shd w:val="clear" w:color="auto" w:fill="auto"/>
            <w:vAlign w:val="center"/>
            <w:hideMark/>
          </w:tcPr>
          <w:p w14:paraId="017D49D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Number of Ward Based Plans completed by 31 March </w:t>
            </w:r>
          </w:p>
        </w:tc>
        <w:tc>
          <w:tcPr>
            <w:tcW w:w="374" w:type="pct"/>
            <w:tcBorders>
              <w:top w:val="nil"/>
              <w:left w:val="nil"/>
              <w:bottom w:val="single" w:sz="4" w:space="0" w:color="auto"/>
              <w:right w:val="single" w:sz="4" w:space="0" w:color="auto"/>
            </w:tcBorders>
            <w:shd w:val="clear" w:color="auto" w:fill="auto"/>
            <w:vAlign w:val="center"/>
            <w:hideMark/>
          </w:tcPr>
          <w:p w14:paraId="3E8642E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27 Ward Based Plans completed by 31 March</w:t>
            </w:r>
          </w:p>
        </w:tc>
        <w:tc>
          <w:tcPr>
            <w:tcW w:w="305" w:type="pct"/>
            <w:tcBorders>
              <w:top w:val="nil"/>
              <w:left w:val="nil"/>
              <w:bottom w:val="single" w:sz="4" w:space="0" w:color="auto"/>
              <w:right w:val="single" w:sz="4" w:space="0" w:color="auto"/>
            </w:tcBorders>
            <w:shd w:val="clear" w:color="auto" w:fill="auto"/>
            <w:vAlign w:val="center"/>
            <w:hideMark/>
          </w:tcPr>
          <w:p w14:paraId="3FC064B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52E3AD0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05" w:type="pct"/>
            <w:tcBorders>
              <w:top w:val="nil"/>
              <w:left w:val="nil"/>
              <w:bottom w:val="single" w:sz="4" w:space="0" w:color="auto"/>
              <w:right w:val="single" w:sz="4" w:space="0" w:color="auto"/>
            </w:tcBorders>
            <w:shd w:val="clear" w:color="auto" w:fill="auto"/>
            <w:vAlign w:val="center"/>
            <w:hideMark/>
          </w:tcPr>
          <w:p w14:paraId="0371870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27 Ward Based Plans completed by 31 March</w:t>
            </w:r>
          </w:p>
        </w:tc>
        <w:tc>
          <w:tcPr>
            <w:tcW w:w="374" w:type="pct"/>
            <w:tcBorders>
              <w:top w:val="nil"/>
              <w:left w:val="nil"/>
              <w:bottom w:val="single" w:sz="4" w:space="0" w:color="auto"/>
              <w:right w:val="single" w:sz="4" w:space="0" w:color="auto"/>
            </w:tcBorders>
            <w:shd w:val="clear" w:color="auto" w:fill="auto"/>
            <w:vAlign w:val="center"/>
            <w:hideMark/>
          </w:tcPr>
          <w:p w14:paraId="3556458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251" w:type="pct"/>
            <w:tcBorders>
              <w:top w:val="nil"/>
              <w:left w:val="nil"/>
              <w:bottom w:val="single" w:sz="4" w:space="0" w:color="auto"/>
              <w:right w:val="single" w:sz="4" w:space="0" w:color="auto"/>
            </w:tcBorders>
            <w:shd w:val="clear" w:color="auto" w:fill="auto"/>
            <w:vAlign w:val="center"/>
            <w:hideMark/>
          </w:tcPr>
          <w:p w14:paraId="49B61D0A"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150 000.00</w:t>
            </w:r>
          </w:p>
        </w:tc>
        <w:tc>
          <w:tcPr>
            <w:tcW w:w="146" w:type="pct"/>
            <w:tcBorders>
              <w:top w:val="nil"/>
              <w:left w:val="nil"/>
              <w:bottom w:val="single" w:sz="4" w:space="0" w:color="auto"/>
              <w:right w:val="single" w:sz="4" w:space="0" w:color="auto"/>
            </w:tcBorders>
            <w:shd w:val="clear" w:color="auto" w:fill="auto"/>
            <w:noWrap/>
            <w:vAlign w:val="center"/>
            <w:hideMark/>
          </w:tcPr>
          <w:p w14:paraId="6A84F008"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27</w:t>
            </w:r>
          </w:p>
        </w:tc>
        <w:tc>
          <w:tcPr>
            <w:tcW w:w="278" w:type="pct"/>
            <w:tcBorders>
              <w:top w:val="nil"/>
              <w:left w:val="nil"/>
              <w:bottom w:val="single" w:sz="4" w:space="0" w:color="auto"/>
              <w:right w:val="single" w:sz="4" w:space="0" w:color="auto"/>
            </w:tcBorders>
            <w:shd w:val="clear" w:color="auto" w:fill="auto"/>
            <w:vAlign w:val="center"/>
            <w:hideMark/>
          </w:tcPr>
          <w:p w14:paraId="08F9563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PLANNING AND DEVELOPMENT</w:t>
            </w:r>
          </w:p>
        </w:tc>
        <w:tc>
          <w:tcPr>
            <w:tcW w:w="170" w:type="pct"/>
            <w:tcBorders>
              <w:top w:val="nil"/>
              <w:left w:val="nil"/>
              <w:bottom w:val="single" w:sz="4" w:space="0" w:color="auto"/>
              <w:right w:val="single" w:sz="4" w:space="0" w:color="auto"/>
            </w:tcBorders>
            <w:shd w:val="clear" w:color="auto" w:fill="auto"/>
            <w:vAlign w:val="center"/>
            <w:hideMark/>
          </w:tcPr>
          <w:p w14:paraId="606D911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655C176A" w14:textId="77777777" w:rsidTr="008A0277">
        <w:trPr>
          <w:trHeight w:val="2276"/>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148284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Slow progress on LED &amp; Tourism development</w:t>
            </w:r>
          </w:p>
        </w:tc>
        <w:tc>
          <w:tcPr>
            <w:tcW w:w="136" w:type="pct"/>
            <w:tcBorders>
              <w:top w:val="nil"/>
              <w:left w:val="nil"/>
              <w:bottom w:val="single" w:sz="4" w:space="0" w:color="auto"/>
              <w:right w:val="single" w:sz="4" w:space="0" w:color="auto"/>
            </w:tcBorders>
            <w:shd w:val="clear" w:color="auto" w:fill="auto"/>
            <w:noWrap/>
            <w:vAlign w:val="center"/>
            <w:hideMark/>
          </w:tcPr>
          <w:p w14:paraId="683DC916"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TL34</w:t>
            </w:r>
          </w:p>
        </w:tc>
        <w:tc>
          <w:tcPr>
            <w:tcW w:w="141" w:type="pct"/>
            <w:tcBorders>
              <w:top w:val="nil"/>
              <w:left w:val="nil"/>
              <w:bottom w:val="single" w:sz="4" w:space="0" w:color="auto"/>
              <w:right w:val="single" w:sz="4" w:space="0" w:color="auto"/>
            </w:tcBorders>
            <w:shd w:val="clear" w:color="auto" w:fill="auto"/>
            <w:noWrap/>
            <w:vAlign w:val="center"/>
            <w:hideMark/>
          </w:tcPr>
          <w:p w14:paraId="2558520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E5.2-49</w:t>
            </w:r>
          </w:p>
        </w:tc>
        <w:tc>
          <w:tcPr>
            <w:tcW w:w="269" w:type="pct"/>
            <w:tcBorders>
              <w:top w:val="nil"/>
              <w:left w:val="nil"/>
              <w:bottom w:val="single" w:sz="4" w:space="0" w:color="auto"/>
              <w:right w:val="single" w:sz="4" w:space="0" w:color="auto"/>
            </w:tcBorders>
            <w:shd w:val="clear" w:color="auto" w:fill="auto"/>
            <w:vAlign w:val="center"/>
            <w:hideMark/>
          </w:tcPr>
          <w:p w14:paraId="484F5B6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development-orientated public service and inclusive citizenship</w:t>
            </w:r>
          </w:p>
        </w:tc>
        <w:tc>
          <w:tcPr>
            <w:tcW w:w="280" w:type="pct"/>
            <w:tcBorders>
              <w:top w:val="nil"/>
              <w:left w:val="nil"/>
              <w:bottom w:val="single" w:sz="4" w:space="0" w:color="auto"/>
              <w:right w:val="single" w:sz="4" w:space="0" w:color="auto"/>
            </w:tcBorders>
            <w:shd w:val="clear" w:color="auto" w:fill="auto"/>
            <w:vAlign w:val="center"/>
            <w:hideMark/>
          </w:tcPr>
          <w:p w14:paraId="2772C3E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Local Economic Development</w:t>
            </w:r>
          </w:p>
        </w:tc>
        <w:tc>
          <w:tcPr>
            <w:tcW w:w="280" w:type="pct"/>
            <w:tcBorders>
              <w:top w:val="nil"/>
              <w:left w:val="nil"/>
              <w:bottom w:val="single" w:sz="4" w:space="0" w:color="auto"/>
              <w:right w:val="single" w:sz="4" w:space="0" w:color="auto"/>
            </w:tcBorders>
            <w:shd w:val="clear" w:color="auto" w:fill="auto"/>
            <w:vAlign w:val="center"/>
            <w:hideMark/>
          </w:tcPr>
          <w:p w14:paraId="78D353C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Local Economic Development </w:t>
            </w:r>
          </w:p>
        </w:tc>
        <w:tc>
          <w:tcPr>
            <w:tcW w:w="278" w:type="pct"/>
            <w:tcBorders>
              <w:top w:val="nil"/>
              <w:left w:val="nil"/>
              <w:bottom w:val="single" w:sz="4" w:space="0" w:color="auto"/>
              <w:right w:val="single" w:sz="4" w:space="0" w:color="auto"/>
            </w:tcBorders>
            <w:shd w:val="clear" w:color="auto" w:fill="auto"/>
            <w:vAlign w:val="center"/>
            <w:hideMark/>
          </w:tcPr>
          <w:p w14:paraId="5E42F79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develop and support sustainable economic development, through focussing on tourism, agriculture development, industrial development which incorporates the youth</w:t>
            </w:r>
          </w:p>
        </w:tc>
        <w:tc>
          <w:tcPr>
            <w:tcW w:w="374" w:type="pct"/>
            <w:tcBorders>
              <w:top w:val="nil"/>
              <w:left w:val="nil"/>
              <w:bottom w:val="single" w:sz="4" w:space="0" w:color="auto"/>
              <w:right w:val="single" w:sz="4" w:space="0" w:color="auto"/>
            </w:tcBorders>
            <w:shd w:val="clear" w:color="auto" w:fill="auto"/>
            <w:vAlign w:val="center"/>
            <w:hideMark/>
          </w:tcPr>
          <w:p w14:paraId="4A20B86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Submit a report to Council by 31 May on all the projects funded by the Municipality to grow the economy and the benefits derived from the funding</w:t>
            </w:r>
          </w:p>
        </w:tc>
        <w:tc>
          <w:tcPr>
            <w:tcW w:w="374" w:type="pct"/>
            <w:tcBorders>
              <w:top w:val="nil"/>
              <w:left w:val="nil"/>
              <w:bottom w:val="single" w:sz="4" w:space="0" w:color="auto"/>
              <w:right w:val="single" w:sz="4" w:space="0" w:color="auto"/>
            </w:tcBorders>
            <w:shd w:val="clear" w:color="auto" w:fill="auto"/>
            <w:vAlign w:val="center"/>
            <w:hideMark/>
          </w:tcPr>
          <w:p w14:paraId="644F979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Date of submission of report to Council.</w:t>
            </w:r>
          </w:p>
        </w:tc>
        <w:tc>
          <w:tcPr>
            <w:tcW w:w="374" w:type="pct"/>
            <w:tcBorders>
              <w:top w:val="nil"/>
              <w:left w:val="nil"/>
              <w:bottom w:val="single" w:sz="4" w:space="0" w:color="auto"/>
              <w:right w:val="single" w:sz="4" w:space="0" w:color="auto"/>
            </w:tcBorders>
            <w:shd w:val="clear" w:color="auto" w:fill="auto"/>
            <w:vAlign w:val="center"/>
            <w:hideMark/>
          </w:tcPr>
          <w:p w14:paraId="5C76867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31 May on all the projects funded by the Municipality to grow the economy and the benefits derived from the funding</w:t>
            </w:r>
          </w:p>
        </w:tc>
        <w:tc>
          <w:tcPr>
            <w:tcW w:w="305" w:type="pct"/>
            <w:tcBorders>
              <w:top w:val="nil"/>
              <w:left w:val="nil"/>
              <w:bottom w:val="single" w:sz="4" w:space="0" w:color="auto"/>
              <w:right w:val="single" w:sz="4" w:space="0" w:color="auto"/>
            </w:tcBorders>
            <w:shd w:val="clear" w:color="auto" w:fill="auto"/>
            <w:vAlign w:val="center"/>
            <w:hideMark/>
          </w:tcPr>
          <w:p w14:paraId="4A10850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76CD220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05" w:type="pct"/>
            <w:tcBorders>
              <w:top w:val="nil"/>
              <w:left w:val="nil"/>
              <w:bottom w:val="single" w:sz="4" w:space="0" w:color="auto"/>
              <w:right w:val="single" w:sz="4" w:space="0" w:color="auto"/>
            </w:tcBorders>
            <w:shd w:val="clear" w:color="auto" w:fill="auto"/>
            <w:vAlign w:val="center"/>
            <w:hideMark/>
          </w:tcPr>
          <w:p w14:paraId="36A0673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42A4E48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31 May on all the projects funded by the Municipality to grow the economy and the benefits derived from the funding</w:t>
            </w:r>
          </w:p>
        </w:tc>
        <w:tc>
          <w:tcPr>
            <w:tcW w:w="251" w:type="pct"/>
            <w:tcBorders>
              <w:top w:val="nil"/>
              <w:left w:val="nil"/>
              <w:bottom w:val="single" w:sz="4" w:space="0" w:color="auto"/>
              <w:right w:val="single" w:sz="4" w:space="0" w:color="auto"/>
            </w:tcBorders>
            <w:shd w:val="clear" w:color="auto" w:fill="auto"/>
            <w:vAlign w:val="center"/>
            <w:hideMark/>
          </w:tcPr>
          <w:p w14:paraId="4ADFDB52"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2 780 090.00</w:t>
            </w:r>
          </w:p>
        </w:tc>
        <w:tc>
          <w:tcPr>
            <w:tcW w:w="146" w:type="pct"/>
            <w:tcBorders>
              <w:top w:val="nil"/>
              <w:left w:val="nil"/>
              <w:bottom w:val="single" w:sz="4" w:space="0" w:color="auto"/>
              <w:right w:val="single" w:sz="4" w:space="0" w:color="auto"/>
            </w:tcBorders>
            <w:shd w:val="clear" w:color="auto" w:fill="auto"/>
            <w:noWrap/>
            <w:vAlign w:val="center"/>
            <w:hideMark/>
          </w:tcPr>
          <w:p w14:paraId="08EDAF2F"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NEW</w:t>
            </w:r>
          </w:p>
        </w:tc>
        <w:tc>
          <w:tcPr>
            <w:tcW w:w="278" w:type="pct"/>
            <w:tcBorders>
              <w:top w:val="nil"/>
              <w:left w:val="nil"/>
              <w:bottom w:val="single" w:sz="4" w:space="0" w:color="auto"/>
              <w:right w:val="single" w:sz="4" w:space="0" w:color="auto"/>
            </w:tcBorders>
            <w:shd w:val="clear" w:color="auto" w:fill="auto"/>
            <w:vAlign w:val="center"/>
            <w:hideMark/>
          </w:tcPr>
          <w:p w14:paraId="2166621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PLANNING AND DEVELOPMENT</w:t>
            </w:r>
          </w:p>
        </w:tc>
        <w:tc>
          <w:tcPr>
            <w:tcW w:w="170" w:type="pct"/>
            <w:tcBorders>
              <w:top w:val="nil"/>
              <w:left w:val="nil"/>
              <w:bottom w:val="single" w:sz="4" w:space="0" w:color="auto"/>
              <w:right w:val="single" w:sz="4" w:space="0" w:color="auto"/>
            </w:tcBorders>
            <w:shd w:val="clear" w:color="auto" w:fill="auto"/>
            <w:vAlign w:val="center"/>
            <w:hideMark/>
          </w:tcPr>
          <w:p w14:paraId="6FCEA35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78BB13A6" w14:textId="77777777" w:rsidTr="008A0277">
        <w:trPr>
          <w:trHeight w:val="192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8FB385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Fragmented or adhoc planning</w:t>
            </w:r>
          </w:p>
        </w:tc>
        <w:tc>
          <w:tcPr>
            <w:tcW w:w="136" w:type="pct"/>
            <w:tcBorders>
              <w:top w:val="nil"/>
              <w:left w:val="nil"/>
              <w:bottom w:val="single" w:sz="4" w:space="0" w:color="auto"/>
              <w:right w:val="single" w:sz="4" w:space="0" w:color="auto"/>
            </w:tcBorders>
            <w:shd w:val="clear" w:color="auto" w:fill="auto"/>
            <w:noWrap/>
            <w:vAlign w:val="center"/>
            <w:hideMark/>
          </w:tcPr>
          <w:p w14:paraId="78AC4A19"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TL35</w:t>
            </w:r>
          </w:p>
        </w:tc>
        <w:tc>
          <w:tcPr>
            <w:tcW w:w="141" w:type="pct"/>
            <w:tcBorders>
              <w:top w:val="nil"/>
              <w:left w:val="nil"/>
              <w:bottom w:val="single" w:sz="4" w:space="0" w:color="auto"/>
              <w:right w:val="single" w:sz="4" w:space="0" w:color="auto"/>
            </w:tcBorders>
            <w:shd w:val="clear" w:color="auto" w:fill="auto"/>
            <w:noWrap/>
            <w:vAlign w:val="center"/>
            <w:hideMark/>
          </w:tcPr>
          <w:p w14:paraId="04A396A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E5.2-50</w:t>
            </w:r>
          </w:p>
        </w:tc>
        <w:tc>
          <w:tcPr>
            <w:tcW w:w="269" w:type="pct"/>
            <w:tcBorders>
              <w:top w:val="nil"/>
              <w:left w:val="nil"/>
              <w:bottom w:val="single" w:sz="4" w:space="0" w:color="auto"/>
              <w:right w:val="single" w:sz="4" w:space="0" w:color="auto"/>
            </w:tcBorders>
            <w:shd w:val="clear" w:color="auto" w:fill="auto"/>
            <w:vAlign w:val="center"/>
            <w:hideMark/>
          </w:tcPr>
          <w:p w14:paraId="12D711A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development-orientated public service and inclusive citizenship</w:t>
            </w:r>
          </w:p>
        </w:tc>
        <w:tc>
          <w:tcPr>
            <w:tcW w:w="280" w:type="pct"/>
            <w:tcBorders>
              <w:top w:val="nil"/>
              <w:left w:val="nil"/>
              <w:bottom w:val="single" w:sz="4" w:space="0" w:color="auto"/>
              <w:right w:val="single" w:sz="4" w:space="0" w:color="auto"/>
            </w:tcBorders>
            <w:shd w:val="clear" w:color="auto" w:fill="auto"/>
            <w:vAlign w:val="center"/>
            <w:hideMark/>
          </w:tcPr>
          <w:p w14:paraId="5FCC379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80" w:type="pct"/>
            <w:tcBorders>
              <w:top w:val="nil"/>
              <w:left w:val="nil"/>
              <w:bottom w:val="single" w:sz="4" w:space="0" w:color="auto"/>
              <w:right w:val="single" w:sz="4" w:space="0" w:color="auto"/>
            </w:tcBorders>
            <w:shd w:val="clear" w:color="auto" w:fill="auto"/>
            <w:vAlign w:val="center"/>
            <w:hideMark/>
          </w:tcPr>
          <w:p w14:paraId="387D572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Cross cutting issues</w:t>
            </w:r>
          </w:p>
        </w:tc>
        <w:tc>
          <w:tcPr>
            <w:tcW w:w="278" w:type="pct"/>
            <w:tcBorders>
              <w:top w:val="nil"/>
              <w:left w:val="nil"/>
              <w:bottom w:val="single" w:sz="4" w:space="0" w:color="auto"/>
              <w:right w:val="single" w:sz="4" w:space="0" w:color="auto"/>
            </w:tcBorders>
            <w:shd w:val="clear" w:color="auto" w:fill="auto"/>
            <w:vAlign w:val="center"/>
            <w:hideMark/>
          </w:tcPr>
          <w:p w14:paraId="3B84341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ensure effective and efficient Land Use Management, taking cognizance of sound environmental practices</w:t>
            </w:r>
          </w:p>
        </w:tc>
        <w:tc>
          <w:tcPr>
            <w:tcW w:w="374" w:type="pct"/>
            <w:tcBorders>
              <w:top w:val="nil"/>
              <w:left w:val="nil"/>
              <w:bottom w:val="single" w:sz="4" w:space="0" w:color="auto"/>
              <w:right w:val="single" w:sz="4" w:space="0" w:color="auto"/>
            </w:tcBorders>
            <w:shd w:val="clear" w:color="auto" w:fill="auto"/>
            <w:vAlign w:val="center"/>
            <w:hideMark/>
          </w:tcPr>
          <w:p w14:paraId="59CF9C3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Ensure the completion of the Nodal Development Plan by 31 May </w:t>
            </w:r>
          </w:p>
        </w:tc>
        <w:tc>
          <w:tcPr>
            <w:tcW w:w="374" w:type="pct"/>
            <w:tcBorders>
              <w:top w:val="nil"/>
              <w:left w:val="nil"/>
              <w:bottom w:val="single" w:sz="4" w:space="0" w:color="auto"/>
              <w:right w:val="single" w:sz="4" w:space="0" w:color="auto"/>
            </w:tcBorders>
            <w:shd w:val="clear" w:color="auto" w:fill="auto"/>
            <w:vAlign w:val="center"/>
            <w:hideMark/>
          </w:tcPr>
          <w:p w14:paraId="0CA9C55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Date of completion of Nodal Development Plan</w:t>
            </w:r>
          </w:p>
        </w:tc>
        <w:tc>
          <w:tcPr>
            <w:tcW w:w="374" w:type="pct"/>
            <w:tcBorders>
              <w:top w:val="nil"/>
              <w:left w:val="nil"/>
              <w:bottom w:val="single" w:sz="4" w:space="0" w:color="auto"/>
              <w:right w:val="single" w:sz="4" w:space="0" w:color="auto"/>
            </w:tcBorders>
            <w:shd w:val="clear" w:color="auto" w:fill="auto"/>
            <w:vAlign w:val="center"/>
            <w:hideMark/>
          </w:tcPr>
          <w:p w14:paraId="6804C47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Nodal Development Plan completed by 31 May </w:t>
            </w:r>
          </w:p>
        </w:tc>
        <w:tc>
          <w:tcPr>
            <w:tcW w:w="305" w:type="pct"/>
            <w:tcBorders>
              <w:top w:val="nil"/>
              <w:left w:val="nil"/>
              <w:bottom w:val="single" w:sz="4" w:space="0" w:color="auto"/>
              <w:right w:val="single" w:sz="4" w:space="0" w:color="auto"/>
            </w:tcBorders>
            <w:shd w:val="clear" w:color="auto" w:fill="auto"/>
            <w:vAlign w:val="center"/>
            <w:hideMark/>
          </w:tcPr>
          <w:p w14:paraId="19F200F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741BE79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05" w:type="pct"/>
            <w:tcBorders>
              <w:top w:val="nil"/>
              <w:left w:val="nil"/>
              <w:bottom w:val="single" w:sz="4" w:space="0" w:color="auto"/>
              <w:right w:val="single" w:sz="4" w:space="0" w:color="auto"/>
            </w:tcBorders>
            <w:shd w:val="clear" w:color="auto" w:fill="auto"/>
            <w:vAlign w:val="center"/>
            <w:hideMark/>
          </w:tcPr>
          <w:p w14:paraId="6D912A6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7513BBD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Nodal Development Plan completed by 31 May </w:t>
            </w:r>
          </w:p>
        </w:tc>
        <w:tc>
          <w:tcPr>
            <w:tcW w:w="251" w:type="pct"/>
            <w:tcBorders>
              <w:top w:val="nil"/>
              <w:left w:val="nil"/>
              <w:bottom w:val="single" w:sz="4" w:space="0" w:color="auto"/>
              <w:right w:val="single" w:sz="4" w:space="0" w:color="auto"/>
            </w:tcBorders>
            <w:shd w:val="clear" w:color="auto" w:fill="auto"/>
            <w:vAlign w:val="center"/>
            <w:hideMark/>
          </w:tcPr>
          <w:p w14:paraId="111A9AB3"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350 000.00</w:t>
            </w:r>
          </w:p>
        </w:tc>
        <w:tc>
          <w:tcPr>
            <w:tcW w:w="146" w:type="pct"/>
            <w:tcBorders>
              <w:top w:val="nil"/>
              <w:left w:val="nil"/>
              <w:bottom w:val="single" w:sz="4" w:space="0" w:color="auto"/>
              <w:right w:val="single" w:sz="4" w:space="0" w:color="auto"/>
            </w:tcBorders>
            <w:shd w:val="clear" w:color="auto" w:fill="auto"/>
            <w:noWrap/>
            <w:vAlign w:val="center"/>
            <w:hideMark/>
          </w:tcPr>
          <w:p w14:paraId="44AD8C49"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NEW</w:t>
            </w:r>
          </w:p>
        </w:tc>
        <w:tc>
          <w:tcPr>
            <w:tcW w:w="278" w:type="pct"/>
            <w:tcBorders>
              <w:top w:val="nil"/>
              <w:left w:val="nil"/>
              <w:bottom w:val="single" w:sz="4" w:space="0" w:color="auto"/>
              <w:right w:val="single" w:sz="4" w:space="0" w:color="auto"/>
            </w:tcBorders>
            <w:shd w:val="clear" w:color="auto" w:fill="auto"/>
            <w:vAlign w:val="center"/>
            <w:hideMark/>
          </w:tcPr>
          <w:p w14:paraId="50EB9C6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PLANNING AND DEVELOPMENT</w:t>
            </w:r>
          </w:p>
        </w:tc>
        <w:tc>
          <w:tcPr>
            <w:tcW w:w="170" w:type="pct"/>
            <w:tcBorders>
              <w:top w:val="nil"/>
              <w:left w:val="nil"/>
              <w:bottom w:val="single" w:sz="4" w:space="0" w:color="auto"/>
              <w:right w:val="single" w:sz="4" w:space="0" w:color="auto"/>
            </w:tcBorders>
            <w:shd w:val="clear" w:color="auto" w:fill="auto"/>
            <w:vAlign w:val="center"/>
            <w:hideMark/>
          </w:tcPr>
          <w:p w14:paraId="79DB9A4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ADMIN</w:t>
            </w:r>
          </w:p>
        </w:tc>
      </w:tr>
      <w:tr w:rsidR="008A0277" w:rsidRPr="008A0277" w14:paraId="2D6CC9D3" w14:textId="77777777" w:rsidTr="008A0277">
        <w:trPr>
          <w:trHeight w:val="155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BEDB06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Fragmented or adhoc planning</w:t>
            </w:r>
          </w:p>
        </w:tc>
        <w:tc>
          <w:tcPr>
            <w:tcW w:w="136" w:type="pct"/>
            <w:tcBorders>
              <w:top w:val="nil"/>
              <w:left w:val="nil"/>
              <w:bottom w:val="single" w:sz="4" w:space="0" w:color="auto"/>
              <w:right w:val="single" w:sz="4" w:space="0" w:color="auto"/>
            </w:tcBorders>
            <w:shd w:val="clear" w:color="auto" w:fill="auto"/>
            <w:noWrap/>
            <w:vAlign w:val="center"/>
            <w:hideMark/>
          </w:tcPr>
          <w:p w14:paraId="28963FCF"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TL36</w:t>
            </w:r>
          </w:p>
        </w:tc>
        <w:tc>
          <w:tcPr>
            <w:tcW w:w="141" w:type="pct"/>
            <w:tcBorders>
              <w:top w:val="nil"/>
              <w:left w:val="nil"/>
              <w:bottom w:val="single" w:sz="4" w:space="0" w:color="auto"/>
              <w:right w:val="single" w:sz="4" w:space="0" w:color="auto"/>
            </w:tcBorders>
            <w:shd w:val="clear" w:color="auto" w:fill="auto"/>
            <w:noWrap/>
            <w:vAlign w:val="center"/>
            <w:hideMark/>
          </w:tcPr>
          <w:p w14:paraId="271AA57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E5.2-51</w:t>
            </w:r>
          </w:p>
        </w:tc>
        <w:tc>
          <w:tcPr>
            <w:tcW w:w="269" w:type="pct"/>
            <w:tcBorders>
              <w:top w:val="nil"/>
              <w:left w:val="nil"/>
              <w:bottom w:val="single" w:sz="4" w:space="0" w:color="auto"/>
              <w:right w:val="single" w:sz="4" w:space="0" w:color="auto"/>
            </w:tcBorders>
            <w:shd w:val="clear" w:color="auto" w:fill="auto"/>
            <w:vAlign w:val="center"/>
            <w:hideMark/>
          </w:tcPr>
          <w:p w14:paraId="444B9C9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development-orientated public service and inclusive citizenship</w:t>
            </w:r>
          </w:p>
        </w:tc>
        <w:tc>
          <w:tcPr>
            <w:tcW w:w="280" w:type="pct"/>
            <w:tcBorders>
              <w:top w:val="nil"/>
              <w:left w:val="nil"/>
              <w:bottom w:val="single" w:sz="4" w:space="0" w:color="auto"/>
              <w:right w:val="single" w:sz="4" w:space="0" w:color="auto"/>
            </w:tcBorders>
            <w:shd w:val="clear" w:color="auto" w:fill="auto"/>
            <w:vAlign w:val="center"/>
            <w:hideMark/>
          </w:tcPr>
          <w:p w14:paraId="23C2B06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80" w:type="pct"/>
            <w:tcBorders>
              <w:top w:val="nil"/>
              <w:left w:val="nil"/>
              <w:bottom w:val="single" w:sz="4" w:space="0" w:color="auto"/>
              <w:right w:val="single" w:sz="4" w:space="0" w:color="auto"/>
            </w:tcBorders>
            <w:shd w:val="clear" w:color="auto" w:fill="auto"/>
            <w:vAlign w:val="center"/>
            <w:hideMark/>
          </w:tcPr>
          <w:p w14:paraId="7EF5788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78" w:type="pct"/>
            <w:tcBorders>
              <w:top w:val="nil"/>
              <w:left w:val="nil"/>
              <w:bottom w:val="single" w:sz="4" w:space="0" w:color="auto"/>
              <w:right w:val="single" w:sz="4" w:space="0" w:color="auto"/>
            </w:tcBorders>
            <w:shd w:val="clear" w:color="auto" w:fill="auto"/>
            <w:vAlign w:val="center"/>
            <w:hideMark/>
          </w:tcPr>
          <w:p w14:paraId="2A1E374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ensure continued sound financial management</w:t>
            </w:r>
          </w:p>
        </w:tc>
        <w:tc>
          <w:tcPr>
            <w:tcW w:w="374" w:type="pct"/>
            <w:tcBorders>
              <w:top w:val="nil"/>
              <w:left w:val="nil"/>
              <w:bottom w:val="single" w:sz="4" w:space="0" w:color="auto"/>
              <w:right w:val="single" w:sz="4" w:space="0" w:color="auto"/>
            </w:tcBorders>
            <w:shd w:val="clear" w:color="auto" w:fill="auto"/>
            <w:vAlign w:val="center"/>
            <w:hideMark/>
          </w:tcPr>
          <w:p w14:paraId="643B5D0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Submit quarterly reports to the Portfolio Committee on the status of Town Planning &amp; Building applications processed by the department</w:t>
            </w:r>
          </w:p>
        </w:tc>
        <w:tc>
          <w:tcPr>
            <w:tcW w:w="374" w:type="pct"/>
            <w:tcBorders>
              <w:top w:val="nil"/>
              <w:left w:val="nil"/>
              <w:bottom w:val="single" w:sz="4" w:space="0" w:color="auto"/>
              <w:right w:val="single" w:sz="4" w:space="0" w:color="auto"/>
            </w:tcBorders>
            <w:shd w:val="clear" w:color="auto" w:fill="auto"/>
            <w:vAlign w:val="center"/>
            <w:hideMark/>
          </w:tcPr>
          <w:p w14:paraId="546DE01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Number of reports submitted to the Portfolio Committee by 30 June</w:t>
            </w:r>
          </w:p>
        </w:tc>
        <w:tc>
          <w:tcPr>
            <w:tcW w:w="374" w:type="pct"/>
            <w:tcBorders>
              <w:top w:val="nil"/>
              <w:left w:val="nil"/>
              <w:bottom w:val="single" w:sz="4" w:space="0" w:color="auto"/>
              <w:right w:val="single" w:sz="4" w:space="0" w:color="auto"/>
            </w:tcBorders>
            <w:shd w:val="clear" w:color="auto" w:fill="auto"/>
            <w:vAlign w:val="center"/>
            <w:hideMark/>
          </w:tcPr>
          <w:p w14:paraId="163BA64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 reports submitted to the Portfolio Committee by 30 June on the status of Town Planning &amp; Building applications processed by the department</w:t>
            </w:r>
          </w:p>
        </w:tc>
        <w:tc>
          <w:tcPr>
            <w:tcW w:w="305" w:type="pct"/>
            <w:tcBorders>
              <w:top w:val="nil"/>
              <w:left w:val="nil"/>
              <w:bottom w:val="single" w:sz="4" w:space="0" w:color="auto"/>
              <w:right w:val="single" w:sz="4" w:space="0" w:color="auto"/>
            </w:tcBorders>
            <w:shd w:val="clear" w:color="auto" w:fill="auto"/>
            <w:vAlign w:val="center"/>
            <w:hideMark/>
          </w:tcPr>
          <w:p w14:paraId="0967DC2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reports submitted to the Portfolio Committee by 30 September on the status of Town Planning &amp; Building applications processed by the department</w:t>
            </w:r>
          </w:p>
        </w:tc>
        <w:tc>
          <w:tcPr>
            <w:tcW w:w="374" w:type="pct"/>
            <w:tcBorders>
              <w:top w:val="nil"/>
              <w:left w:val="nil"/>
              <w:bottom w:val="single" w:sz="4" w:space="0" w:color="auto"/>
              <w:right w:val="single" w:sz="4" w:space="0" w:color="auto"/>
            </w:tcBorders>
            <w:shd w:val="clear" w:color="auto" w:fill="auto"/>
            <w:vAlign w:val="center"/>
            <w:hideMark/>
          </w:tcPr>
          <w:p w14:paraId="7075612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reports submitted to the Portfolio Committee by 31 December on the status of Town Planning &amp; Building applications processed by the department</w:t>
            </w:r>
          </w:p>
        </w:tc>
        <w:tc>
          <w:tcPr>
            <w:tcW w:w="305" w:type="pct"/>
            <w:tcBorders>
              <w:top w:val="nil"/>
              <w:left w:val="nil"/>
              <w:bottom w:val="single" w:sz="4" w:space="0" w:color="auto"/>
              <w:right w:val="single" w:sz="4" w:space="0" w:color="auto"/>
            </w:tcBorders>
            <w:shd w:val="clear" w:color="auto" w:fill="auto"/>
            <w:vAlign w:val="center"/>
            <w:hideMark/>
          </w:tcPr>
          <w:p w14:paraId="621D6D6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reports submitted to the Portfolio Committee by 31 March on the status of Town Planning &amp; Building applications processed by the department</w:t>
            </w:r>
          </w:p>
        </w:tc>
        <w:tc>
          <w:tcPr>
            <w:tcW w:w="374" w:type="pct"/>
            <w:tcBorders>
              <w:top w:val="nil"/>
              <w:left w:val="nil"/>
              <w:bottom w:val="single" w:sz="4" w:space="0" w:color="auto"/>
              <w:right w:val="single" w:sz="4" w:space="0" w:color="auto"/>
            </w:tcBorders>
            <w:shd w:val="clear" w:color="auto" w:fill="auto"/>
            <w:vAlign w:val="center"/>
            <w:hideMark/>
          </w:tcPr>
          <w:p w14:paraId="1DFB376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reports submitted to the Portfolio Committee by 30 June on the status of Town Planning &amp; Building applications processed by the department</w:t>
            </w:r>
          </w:p>
        </w:tc>
        <w:tc>
          <w:tcPr>
            <w:tcW w:w="251" w:type="pct"/>
            <w:tcBorders>
              <w:top w:val="nil"/>
              <w:left w:val="nil"/>
              <w:bottom w:val="single" w:sz="4" w:space="0" w:color="auto"/>
              <w:right w:val="single" w:sz="4" w:space="0" w:color="auto"/>
            </w:tcBorders>
            <w:shd w:val="clear" w:color="auto" w:fill="auto"/>
            <w:vAlign w:val="center"/>
            <w:hideMark/>
          </w:tcPr>
          <w:p w14:paraId="49883CBC"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508 090.00</w:t>
            </w:r>
          </w:p>
        </w:tc>
        <w:tc>
          <w:tcPr>
            <w:tcW w:w="146" w:type="pct"/>
            <w:tcBorders>
              <w:top w:val="nil"/>
              <w:left w:val="nil"/>
              <w:bottom w:val="single" w:sz="4" w:space="0" w:color="auto"/>
              <w:right w:val="single" w:sz="4" w:space="0" w:color="auto"/>
            </w:tcBorders>
            <w:shd w:val="clear" w:color="auto" w:fill="auto"/>
            <w:noWrap/>
            <w:vAlign w:val="center"/>
            <w:hideMark/>
          </w:tcPr>
          <w:p w14:paraId="0A8ED07E"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w:t>
            </w:r>
          </w:p>
        </w:tc>
        <w:tc>
          <w:tcPr>
            <w:tcW w:w="278" w:type="pct"/>
            <w:tcBorders>
              <w:top w:val="nil"/>
              <w:left w:val="nil"/>
              <w:bottom w:val="single" w:sz="4" w:space="0" w:color="auto"/>
              <w:right w:val="single" w:sz="4" w:space="0" w:color="auto"/>
            </w:tcBorders>
            <w:shd w:val="clear" w:color="auto" w:fill="auto"/>
            <w:vAlign w:val="center"/>
            <w:hideMark/>
          </w:tcPr>
          <w:p w14:paraId="23E11D3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PLANNING AND DEVELOPMENT</w:t>
            </w:r>
          </w:p>
        </w:tc>
        <w:tc>
          <w:tcPr>
            <w:tcW w:w="170" w:type="pct"/>
            <w:tcBorders>
              <w:top w:val="nil"/>
              <w:left w:val="nil"/>
              <w:bottom w:val="single" w:sz="4" w:space="0" w:color="auto"/>
              <w:right w:val="single" w:sz="4" w:space="0" w:color="auto"/>
            </w:tcBorders>
            <w:shd w:val="clear" w:color="auto" w:fill="auto"/>
            <w:vAlign w:val="center"/>
            <w:hideMark/>
          </w:tcPr>
          <w:p w14:paraId="0E2B47C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ADMIN</w:t>
            </w:r>
          </w:p>
        </w:tc>
      </w:tr>
      <w:tr w:rsidR="008A0277" w:rsidRPr="008A0277" w14:paraId="5D7A140A" w14:textId="77777777" w:rsidTr="008A0277">
        <w:trPr>
          <w:trHeight w:val="1479"/>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187702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Inadequate performance monitoring</w:t>
            </w:r>
          </w:p>
        </w:tc>
        <w:tc>
          <w:tcPr>
            <w:tcW w:w="136" w:type="pct"/>
            <w:tcBorders>
              <w:top w:val="nil"/>
              <w:left w:val="nil"/>
              <w:bottom w:val="single" w:sz="4" w:space="0" w:color="auto"/>
              <w:right w:val="single" w:sz="4" w:space="0" w:color="auto"/>
            </w:tcBorders>
            <w:shd w:val="clear" w:color="auto" w:fill="auto"/>
            <w:noWrap/>
            <w:vAlign w:val="center"/>
            <w:hideMark/>
          </w:tcPr>
          <w:p w14:paraId="03E67378"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TL37</w:t>
            </w:r>
          </w:p>
        </w:tc>
        <w:tc>
          <w:tcPr>
            <w:tcW w:w="141" w:type="pct"/>
            <w:tcBorders>
              <w:top w:val="nil"/>
              <w:left w:val="nil"/>
              <w:bottom w:val="single" w:sz="4" w:space="0" w:color="auto"/>
              <w:right w:val="single" w:sz="4" w:space="0" w:color="auto"/>
            </w:tcBorders>
            <w:shd w:val="clear" w:color="auto" w:fill="auto"/>
            <w:noWrap/>
            <w:vAlign w:val="center"/>
            <w:hideMark/>
          </w:tcPr>
          <w:p w14:paraId="3AE87A4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E5.2-52</w:t>
            </w:r>
          </w:p>
        </w:tc>
        <w:tc>
          <w:tcPr>
            <w:tcW w:w="269" w:type="pct"/>
            <w:tcBorders>
              <w:top w:val="nil"/>
              <w:left w:val="nil"/>
              <w:bottom w:val="single" w:sz="4" w:space="0" w:color="auto"/>
              <w:right w:val="single" w:sz="4" w:space="0" w:color="auto"/>
            </w:tcBorders>
            <w:shd w:val="clear" w:color="auto" w:fill="auto"/>
            <w:vAlign w:val="center"/>
            <w:hideMark/>
          </w:tcPr>
          <w:p w14:paraId="03A75AF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Protection and enhancement of environmental assets and natural resources</w:t>
            </w:r>
          </w:p>
        </w:tc>
        <w:tc>
          <w:tcPr>
            <w:tcW w:w="280" w:type="pct"/>
            <w:tcBorders>
              <w:top w:val="nil"/>
              <w:left w:val="nil"/>
              <w:bottom w:val="single" w:sz="4" w:space="0" w:color="auto"/>
              <w:right w:val="single" w:sz="4" w:space="0" w:color="auto"/>
            </w:tcBorders>
            <w:shd w:val="clear" w:color="auto" w:fill="auto"/>
            <w:vAlign w:val="center"/>
            <w:hideMark/>
          </w:tcPr>
          <w:p w14:paraId="4659B4E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80" w:type="pct"/>
            <w:tcBorders>
              <w:top w:val="nil"/>
              <w:left w:val="nil"/>
              <w:bottom w:val="single" w:sz="4" w:space="0" w:color="auto"/>
              <w:right w:val="single" w:sz="4" w:space="0" w:color="auto"/>
            </w:tcBorders>
            <w:shd w:val="clear" w:color="auto" w:fill="auto"/>
            <w:vAlign w:val="center"/>
            <w:hideMark/>
          </w:tcPr>
          <w:p w14:paraId="7A7D254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78" w:type="pct"/>
            <w:tcBorders>
              <w:top w:val="nil"/>
              <w:left w:val="nil"/>
              <w:bottom w:val="single" w:sz="4" w:space="0" w:color="auto"/>
              <w:right w:val="single" w:sz="4" w:space="0" w:color="auto"/>
            </w:tcBorders>
            <w:shd w:val="clear" w:color="auto" w:fill="auto"/>
            <w:vAlign w:val="center"/>
            <w:hideMark/>
          </w:tcPr>
          <w:p w14:paraId="2E0D0E0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provide and maintain infrastructure and services to all, with emphasis on rural communities, in a sustainable manner</w:t>
            </w:r>
          </w:p>
        </w:tc>
        <w:tc>
          <w:tcPr>
            <w:tcW w:w="374" w:type="pct"/>
            <w:tcBorders>
              <w:top w:val="nil"/>
              <w:left w:val="nil"/>
              <w:bottom w:val="single" w:sz="4" w:space="0" w:color="auto"/>
              <w:right w:val="single" w:sz="4" w:space="0" w:color="auto"/>
            </w:tcBorders>
            <w:shd w:val="clear" w:color="auto" w:fill="auto"/>
            <w:vAlign w:val="center"/>
            <w:hideMark/>
          </w:tcPr>
          <w:p w14:paraId="45E11E8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Monitor the performance of all Service Providers and ensure that monthly reports are attached to invoices when submitted for payments</w:t>
            </w:r>
          </w:p>
        </w:tc>
        <w:tc>
          <w:tcPr>
            <w:tcW w:w="374" w:type="pct"/>
            <w:tcBorders>
              <w:top w:val="nil"/>
              <w:left w:val="nil"/>
              <w:bottom w:val="single" w:sz="4" w:space="0" w:color="auto"/>
              <w:right w:val="single" w:sz="4" w:space="0" w:color="auto"/>
            </w:tcBorders>
            <w:shd w:val="clear" w:color="auto" w:fill="auto"/>
            <w:vAlign w:val="center"/>
            <w:hideMark/>
          </w:tcPr>
          <w:p w14:paraId="685C188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Number of performance assessments reports completed by 30 June on the assessment for Weed eradication</w:t>
            </w:r>
          </w:p>
        </w:tc>
        <w:tc>
          <w:tcPr>
            <w:tcW w:w="374" w:type="pct"/>
            <w:tcBorders>
              <w:top w:val="nil"/>
              <w:left w:val="nil"/>
              <w:bottom w:val="single" w:sz="4" w:space="0" w:color="auto"/>
              <w:right w:val="single" w:sz="4" w:space="0" w:color="auto"/>
            </w:tcBorders>
            <w:shd w:val="clear" w:color="auto" w:fill="auto"/>
            <w:vAlign w:val="center"/>
            <w:hideMark/>
          </w:tcPr>
          <w:p w14:paraId="3025A87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12 service provider assessment reports completed by 30 June and attached to invoices for weed eradication services when submitted for payments</w:t>
            </w:r>
          </w:p>
        </w:tc>
        <w:tc>
          <w:tcPr>
            <w:tcW w:w="305" w:type="pct"/>
            <w:tcBorders>
              <w:top w:val="nil"/>
              <w:left w:val="nil"/>
              <w:bottom w:val="single" w:sz="4" w:space="0" w:color="auto"/>
              <w:right w:val="single" w:sz="4" w:space="0" w:color="auto"/>
            </w:tcBorders>
            <w:shd w:val="clear" w:color="auto" w:fill="auto"/>
            <w:vAlign w:val="center"/>
            <w:hideMark/>
          </w:tcPr>
          <w:p w14:paraId="2FBCCAA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service provider assessment reports completed by 30 September and attached to invoices for weed eradication services when submitted for payments</w:t>
            </w:r>
          </w:p>
        </w:tc>
        <w:tc>
          <w:tcPr>
            <w:tcW w:w="374" w:type="pct"/>
            <w:tcBorders>
              <w:top w:val="nil"/>
              <w:left w:val="nil"/>
              <w:bottom w:val="single" w:sz="4" w:space="0" w:color="auto"/>
              <w:right w:val="single" w:sz="4" w:space="0" w:color="auto"/>
            </w:tcBorders>
            <w:shd w:val="clear" w:color="auto" w:fill="auto"/>
            <w:vAlign w:val="center"/>
            <w:hideMark/>
          </w:tcPr>
          <w:p w14:paraId="78B63D7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service provider assessment reports completed by 31 December and attached to invoices for weed eradication services when submitted for payments</w:t>
            </w:r>
          </w:p>
        </w:tc>
        <w:tc>
          <w:tcPr>
            <w:tcW w:w="305" w:type="pct"/>
            <w:tcBorders>
              <w:top w:val="nil"/>
              <w:left w:val="nil"/>
              <w:bottom w:val="single" w:sz="4" w:space="0" w:color="auto"/>
              <w:right w:val="single" w:sz="4" w:space="0" w:color="auto"/>
            </w:tcBorders>
            <w:shd w:val="clear" w:color="auto" w:fill="auto"/>
            <w:vAlign w:val="center"/>
            <w:hideMark/>
          </w:tcPr>
          <w:p w14:paraId="0260897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service provider assessment reports completed by 31 March and attached to invoices for weed eradication services when submitted for payments</w:t>
            </w:r>
          </w:p>
        </w:tc>
        <w:tc>
          <w:tcPr>
            <w:tcW w:w="374" w:type="pct"/>
            <w:tcBorders>
              <w:top w:val="nil"/>
              <w:left w:val="nil"/>
              <w:bottom w:val="single" w:sz="4" w:space="0" w:color="auto"/>
              <w:right w:val="single" w:sz="4" w:space="0" w:color="auto"/>
            </w:tcBorders>
            <w:shd w:val="clear" w:color="auto" w:fill="auto"/>
            <w:vAlign w:val="center"/>
            <w:hideMark/>
          </w:tcPr>
          <w:p w14:paraId="4C86A40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service provider assessment reports completed by 30 June and attached to invoices for weed eradication services when submitted for payments</w:t>
            </w:r>
          </w:p>
        </w:tc>
        <w:tc>
          <w:tcPr>
            <w:tcW w:w="251" w:type="pct"/>
            <w:tcBorders>
              <w:top w:val="nil"/>
              <w:left w:val="nil"/>
              <w:bottom w:val="single" w:sz="4" w:space="0" w:color="auto"/>
              <w:right w:val="single" w:sz="4" w:space="0" w:color="auto"/>
            </w:tcBorders>
            <w:shd w:val="clear" w:color="auto" w:fill="auto"/>
            <w:vAlign w:val="center"/>
            <w:hideMark/>
          </w:tcPr>
          <w:p w14:paraId="644F5571"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594 920.00</w:t>
            </w:r>
          </w:p>
        </w:tc>
        <w:tc>
          <w:tcPr>
            <w:tcW w:w="146" w:type="pct"/>
            <w:tcBorders>
              <w:top w:val="nil"/>
              <w:left w:val="nil"/>
              <w:bottom w:val="single" w:sz="4" w:space="0" w:color="auto"/>
              <w:right w:val="single" w:sz="4" w:space="0" w:color="auto"/>
            </w:tcBorders>
            <w:shd w:val="clear" w:color="auto" w:fill="auto"/>
            <w:noWrap/>
            <w:vAlign w:val="center"/>
            <w:hideMark/>
          </w:tcPr>
          <w:p w14:paraId="528DCA09"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w:t>
            </w:r>
          </w:p>
        </w:tc>
        <w:tc>
          <w:tcPr>
            <w:tcW w:w="278" w:type="pct"/>
            <w:tcBorders>
              <w:top w:val="nil"/>
              <w:left w:val="nil"/>
              <w:bottom w:val="single" w:sz="4" w:space="0" w:color="auto"/>
              <w:right w:val="single" w:sz="4" w:space="0" w:color="auto"/>
            </w:tcBorders>
            <w:shd w:val="clear" w:color="auto" w:fill="auto"/>
            <w:vAlign w:val="center"/>
            <w:hideMark/>
          </w:tcPr>
          <w:p w14:paraId="248C8A0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COMMUNITY SERVICES</w:t>
            </w:r>
          </w:p>
        </w:tc>
        <w:tc>
          <w:tcPr>
            <w:tcW w:w="170" w:type="pct"/>
            <w:tcBorders>
              <w:top w:val="nil"/>
              <w:left w:val="nil"/>
              <w:bottom w:val="single" w:sz="4" w:space="0" w:color="auto"/>
              <w:right w:val="single" w:sz="4" w:space="0" w:color="auto"/>
            </w:tcBorders>
            <w:shd w:val="clear" w:color="auto" w:fill="auto"/>
            <w:vAlign w:val="center"/>
            <w:hideMark/>
          </w:tcPr>
          <w:p w14:paraId="3E97B7F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2CB2692E" w14:textId="77777777" w:rsidTr="008A0277">
        <w:trPr>
          <w:trHeight w:val="1124"/>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F5FA72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Inadequate performance monitoring</w:t>
            </w:r>
          </w:p>
        </w:tc>
        <w:tc>
          <w:tcPr>
            <w:tcW w:w="136" w:type="pct"/>
            <w:tcBorders>
              <w:top w:val="nil"/>
              <w:left w:val="nil"/>
              <w:bottom w:val="single" w:sz="4" w:space="0" w:color="auto"/>
              <w:right w:val="single" w:sz="4" w:space="0" w:color="auto"/>
            </w:tcBorders>
            <w:shd w:val="clear" w:color="auto" w:fill="auto"/>
            <w:noWrap/>
            <w:vAlign w:val="center"/>
            <w:hideMark/>
          </w:tcPr>
          <w:p w14:paraId="039BCBF3"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TL38</w:t>
            </w:r>
          </w:p>
        </w:tc>
        <w:tc>
          <w:tcPr>
            <w:tcW w:w="141" w:type="pct"/>
            <w:tcBorders>
              <w:top w:val="nil"/>
              <w:left w:val="nil"/>
              <w:bottom w:val="single" w:sz="4" w:space="0" w:color="auto"/>
              <w:right w:val="single" w:sz="4" w:space="0" w:color="auto"/>
            </w:tcBorders>
            <w:shd w:val="clear" w:color="auto" w:fill="auto"/>
            <w:noWrap/>
            <w:vAlign w:val="center"/>
            <w:hideMark/>
          </w:tcPr>
          <w:p w14:paraId="0AEBE1C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E5.2-53</w:t>
            </w:r>
          </w:p>
        </w:tc>
        <w:tc>
          <w:tcPr>
            <w:tcW w:w="269" w:type="pct"/>
            <w:tcBorders>
              <w:top w:val="nil"/>
              <w:left w:val="nil"/>
              <w:bottom w:val="single" w:sz="4" w:space="0" w:color="auto"/>
              <w:right w:val="single" w:sz="4" w:space="0" w:color="auto"/>
            </w:tcBorders>
            <w:shd w:val="clear" w:color="auto" w:fill="auto"/>
            <w:vAlign w:val="center"/>
            <w:hideMark/>
          </w:tcPr>
          <w:p w14:paraId="1641412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Protection and enhancement of environmental assets and natural resources</w:t>
            </w:r>
          </w:p>
        </w:tc>
        <w:tc>
          <w:tcPr>
            <w:tcW w:w="280" w:type="pct"/>
            <w:tcBorders>
              <w:top w:val="nil"/>
              <w:left w:val="nil"/>
              <w:bottom w:val="single" w:sz="4" w:space="0" w:color="auto"/>
              <w:right w:val="single" w:sz="4" w:space="0" w:color="auto"/>
            </w:tcBorders>
            <w:shd w:val="clear" w:color="auto" w:fill="auto"/>
            <w:vAlign w:val="center"/>
            <w:hideMark/>
          </w:tcPr>
          <w:p w14:paraId="606C141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80" w:type="pct"/>
            <w:tcBorders>
              <w:top w:val="nil"/>
              <w:left w:val="nil"/>
              <w:bottom w:val="single" w:sz="4" w:space="0" w:color="auto"/>
              <w:right w:val="single" w:sz="4" w:space="0" w:color="auto"/>
            </w:tcBorders>
            <w:shd w:val="clear" w:color="auto" w:fill="auto"/>
            <w:vAlign w:val="center"/>
            <w:hideMark/>
          </w:tcPr>
          <w:p w14:paraId="2D4B50F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78" w:type="pct"/>
            <w:tcBorders>
              <w:top w:val="nil"/>
              <w:left w:val="nil"/>
              <w:bottom w:val="single" w:sz="4" w:space="0" w:color="auto"/>
              <w:right w:val="single" w:sz="4" w:space="0" w:color="auto"/>
            </w:tcBorders>
            <w:shd w:val="clear" w:color="auto" w:fill="auto"/>
            <w:vAlign w:val="center"/>
            <w:hideMark/>
          </w:tcPr>
          <w:p w14:paraId="3D6D8CF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provide and maintain infrastructure and services to all, with emphasis on rural communities, in a sustainable manner</w:t>
            </w:r>
          </w:p>
        </w:tc>
        <w:tc>
          <w:tcPr>
            <w:tcW w:w="374" w:type="pct"/>
            <w:tcBorders>
              <w:top w:val="nil"/>
              <w:left w:val="nil"/>
              <w:bottom w:val="single" w:sz="4" w:space="0" w:color="auto"/>
              <w:right w:val="single" w:sz="4" w:space="0" w:color="auto"/>
            </w:tcBorders>
            <w:shd w:val="clear" w:color="auto" w:fill="auto"/>
            <w:vAlign w:val="center"/>
            <w:hideMark/>
          </w:tcPr>
          <w:p w14:paraId="2EC6926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Monitor the performance of all Service Providers appointed for grass cutting and ensure that monthly reports are attached to invoices when submitting for payments</w:t>
            </w:r>
          </w:p>
        </w:tc>
        <w:tc>
          <w:tcPr>
            <w:tcW w:w="374" w:type="pct"/>
            <w:tcBorders>
              <w:top w:val="nil"/>
              <w:left w:val="nil"/>
              <w:bottom w:val="single" w:sz="4" w:space="0" w:color="auto"/>
              <w:right w:val="single" w:sz="4" w:space="0" w:color="auto"/>
            </w:tcBorders>
            <w:shd w:val="clear" w:color="auto" w:fill="auto"/>
            <w:vAlign w:val="center"/>
            <w:hideMark/>
          </w:tcPr>
          <w:p w14:paraId="12EBB17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Number of performance assessments reports completed on the assessment for grass cutting services</w:t>
            </w:r>
          </w:p>
        </w:tc>
        <w:tc>
          <w:tcPr>
            <w:tcW w:w="374" w:type="pct"/>
            <w:tcBorders>
              <w:top w:val="nil"/>
              <w:left w:val="nil"/>
              <w:bottom w:val="single" w:sz="4" w:space="0" w:color="auto"/>
              <w:right w:val="single" w:sz="4" w:space="0" w:color="auto"/>
            </w:tcBorders>
            <w:shd w:val="clear" w:color="auto" w:fill="auto"/>
            <w:vAlign w:val="center"/>
            <w:hideMark/>
          </w:tcPr>
          <w:p w14:paraId="77031A1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12 service provider assessment reports completed by 30 June and attached to invoices for grass cutting services when submitted for payments</w:t>
            </w:r>
          </w:p>
        </w:tc>
        <w:tc>
          <w:tcPr>
            <w:tcW w:w="305" w:type="pct"/>
            <w:tcBorders>
              <w:top w:val="nil"/>
              <w:left w:val="nil"/>
              <w:bottom w:val="single" w:sz="4" w:space="0" w:color="auto"/>
              <w:right w:val="single" w:sz="4" w:space="0" w:color="auto"/>
            </w:tcBorders>
            <w:shd w:val="clear" w:color="auto" w:fill="auto"/>
            <w:vAlign w:val="center"/>
            <w:hideMark/>
          </w:tcPr>
          <w:p w14:paraId="4D0C964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service provider assessment reports completed by 30 September and attached to invoices for grass cutting services when submitted for payments</w:t>
            </w:r>
          </w:p>
        </w:tc>
        <w:tc>
          <w:tcPr>
            <w:tcW w:w="374" w:type="pct"/>
            <w:tcBorders>
              <w:top w:val="nil"/>
              <w:left w:val="nil"/>
              <w:bottom w:val="single" w:sz="4" w:space="0" w:color="auto"/>
              <w:right w:val="single" w:sz="4" w:space="0" w:color="auto"/>
            </w:tcBorders>
            <w:shd w:val="clear" w:color="auto" w:fill="auto"/>
            <w:vAlign w:val="center"/>
            <w:hideMark/>
          </w:tcPr>
          <w:p w14:paraId="76ED3AE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service provider assessment reports completed by 31 December and attached to invoices for grass cutting services when submitted for payments</w:t>
            </w:r>
          </w:p>
        </w:tc>
        <w:tc>
          <w:tcPr>
            <w:tcW w:w="305" w:type="pct"/>
            <w:tcBorders>
              <w:top w:val="nil"/>
              <w:left w:val="nil"/>
              <w:bottom w:val="single" w:sz="4" w:space="0" w:color="auto"/>
              <w:right w:val="single" w:sz="4" w:space="0" w:color="auto"/>
            </w:tcBorders>
            <w:shd w:val="clear" w:color="auto" w:fill="auto"/>
            <w:vAlign w:val="center"/>
            <w:hideMark/>
          </w:tcPr>
          <w:p w14:paraId="05FA142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service provider assessment reports completed by 31 March and attached to invoices for grass cutting services when submitted for payments</w:t>
            </w:r>
          </w:p>
        </w:tc>
        <w:tc>
          <w:tcPr>
            <w:tcW w:w="374" w:type="pct"/>
            <w:tcBorders>
              <w:top w:val="nil"/>
              <w:left w:val="nil"/>
              <w:bottom w:val="single" w:sz="4" w:space="0" w:color="auto"/>
              <w:right w:val="single" w:sz="4" w:space="0" w:color="auto"/>
            </w:tcBorders>
            <w:shd w:val="clear" w:color="auto" w:fill="auto"/>
            <w:vAlign w:val="center"/>
            <w:hideMark/>
          </w:tcPr>
          <w:p w14:paraId="65E3DA6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service provider assessment reports completed by 30 June and attached to invoices for grass cutting services when submitted for payments</w:t>
            </w:r>
          </w:p>
        </w:tc>
        <w:tc>
          <w:tcPr>
            <w:tcW w:w="251" w:type="pct"/>
            <w:tcBorders>
              <w:top w:val="nil"/>
              <w:left w:val="nil"/>
              <w:bottom w:val="single" w:sz="4" w:space="0" w:color="auto"/>
              <w:right w:val="single" w:sz="4" w:space="0" w:color="auto"/>
            </w:tcBorders>
            <w:shd w:val="clear" w:color="auto" w:fill="auto"/>
            <w:vAlign w:val="center"/>
            <w:hideMark/>
          </w:tcPr>
          <w:p w14:paraId="713FABFD"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1 898 440.00</w:t>
            </w:r>
          </w:p>
        </w:tc>
        <w:tc>
          <w:tcPr>
            <w:tcW w:w="146" w:type="pct"/>
            <w:tcBorders>
              <w:top w:val="nil"/>
              <w:left w:val="nil"/>
              <w:bottom w:val="single" w:sz="4" w:space="0" w:color="auto"/>
              <w:right w:val="single" w:sz="4" w:space="0" w:color="auto"/>
            </w:tcBorders>
            <w:shd w:val="clear" w:color="auto" w:fill="auto"/>
            <w:noWrap/>
            <w:vAlign w:val="center"/>
            <w:hideMark/>
          </w:tcPr>
          <w:p w14:paraId="32B5F6AE"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w:t>
            </w:r>
          </w:p>
        </w:tc>
        <w:tc>
          <w:tcPr>
            <w:tcW w:w="278" w:type="pct"/>
            <w:tcBorders>
              <w:top w:val="nil"/>
              <w:left w:val="nil"/>
              <w:bottom w:val="single" w:sz="4" w:space="0" w:color="auto"/>
              <w:right w:val="single" w:sz="4" w:space="0" w:color="auto"/>
            </w:tcBorders>
            <w:shd w:val="clear" w:color="auto" w:fill="auto"/>
            <w:vAlign w:val="center"/>
            <w:hideMark/>
          </w:tcPr>
          <w:p w14:paraId="09C54F1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COMMUNITY SERVICES</w:t>
            </w:r>
          </w:p>
        </w:tc>
        <w:tc>
          <w:tcPr>
            <w:tcW w:w="170" w:type="pct"/>
            <w:tcBorders>
              <w:top w:val="nil"/>
              <w:left w:val="nil"/>
              <w:bottom w:val="single" w:sz="4" w:space="0" w:color="auto"/>
              <w:right w:val="single" w:sz="4" w:space="0" w:color="auto"/>
            </w:tcBorders>
            <w:shd w:val="clear" w:color="auto" w:fill="auto"/>
            <w:vAlign w:val="center"/>
            <w:hideMark/>
          </w:tcPr>
          <w:p w14:paraId="71783C6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Wards 11, 12, 18, 19</w:t>
            </w:r>
          </w:p>
        </w:tc>
      </w:tr>
      <w:tr w:rsidR="008A0277" w:rsidRPr="008A0277" w14:paraId="5E9C21AD" w14:textId="77777777" w:rsidTr="008A0277">
        <w:trPr>
          <w:trHeight w:val="243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5379C5E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Service Delivery Backlogs</w:t>
            </w:r>
          </w:p>
        </w:tc>
        <w:tc>
          <w:tcPr>
            <w:tcW w:w="136" w:type="pct"/>
            <w:tcBorders>
              <w:top w:val="nil"/>
              <w:left w:val="nil"/>
              <w:bottom w:val="single" w:sz="4" w:space="0" w:color="auto"/>
              <w:right w:val="single" w:sz="4" w:space="0" w:color="auto"/>
            </w:tcBorders>
            <w:shd w:val="clear" w:color="auto" w:fill="auto"/>
            <w:noWrap/>
            <w:vAlign w:val="center"/>
            <w:hideMark/>
          </w:tcPr>
          <w:p w14:paraId="01A91D1D"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TL39</w:t>
            </w:r>
          </w:p>
        </w:tc>
        <w:tc>
          <w:tcPr>
            <w:tcW w:w="141" w:type="pct"/>
            <w:tcBorders>
              <w:top w:val="nil"/>
              <w:left w:val="nil"/>
              <w:bottom w:val="single" w:sz="4" w:space="0" w:color="auto"/>
              <w:right w:val="single" w:sz="4" w:space="0" w:color="auto"/>
            </w:tcBorders>
            <w:shd w:val="clear" w:color="auto" w:fill="auto"/>
            <w:noWrap/>
            <w:vAlign w:val="center"/>
            <w:hideMark/>
          </w:tcPr>
          <w:p w14:paraId="4FCE82E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E5.2-54</w:t>
            </w:r>
          </w:p>
        </w:tc>
        <w:tc>
          <w:tcPr>
            <w:tcW w:w="269" w:type="pct"/>
            <w:tcBorders>
              <w:top w:val="nil"/>
              <w:left w:val="nil"/>
              <w:bottom w:val="single" w:sz="4" w:space="0" w:color="auto"/>
              <w:right w:val="single" w:sz="4" w:space="0" w:color="auto"/>
            </w:tcBorders>
            <w:shd w:val="clear" w:color="auto" w:fill="auto"/>
            <w:vAlign w:val="center"/>
            <w:hideMark/>
          </w:tcPr>
          <w:p w14:paraId="407FC50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Protection and enhancement of environmental assets and natural resources</w:t>
            </w:r>
          </w:p>
        </w:tc>
        <w:tc>
          <w:tcPr>
            <w:tcW w:w="280" w:type="pct"/>
            <w:tcBorders>
              <w:top w:val="nil"/>
              <w:left w:val="nil"/>
              <w:bottom w:val="single" w:sz="4" w:space="0" w:color="auto"/>
              <w:right w:val="single" w:sz="4" w:space="0" w:color="auto"/>
            </w:tcBorders>
            <w:shd w:val="clear" w:color="auto" w:fill="auto"/>
            <w:vAlign w:val="center"/>
            <w:hideMark/>
          </w:tcPr>
          <w:p w14:paraId="00B7B52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80" w:type="pct"/>
            <w:tcBorders>
              <w:top w:val="nil"/>
              <w:left w:val="nil"/>
              <w:bottom w:val="single" w:sz="4" w:space="0" w:color="auto"/>
              <w:right w:val="single" w:sz="4" w:space="0" w:color="auto"/>
            </w:tcBorders>
            <w:shd w:val="clear" w:color="auto" w:fill="auto"/>
            <w:vAlign w:val="center"/>
            <w:hideMark/>
          </w:tcPr>
          <w:p w14:paraId="22AD77C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78" w:type="pct"/>
            <w:tcBorders>
              <w:top w:val="nil"/>
              <w:left w:val="nil"/>
              <w:bottom w:val="single" w:sz="4" w:space="0" w:color="auto"/>
              <w:right w:val="single" w:sz="4" w:space="0" w:color="auto"/>
            </w:tcBorders>
            <w:shd w:val="clear" w:color="auto" w:fill="auto"/>
            <w:vAlign w:val="center"/>
            <w:hideMark/>
          </w:tcPr>
          <w:p w14:paraId="73D9DD1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provide and maintain infrastructure and services to all, with emphasis on rural communities, in a sustainable manner</w:t>
            </w:r>
          </w:p>
        </w:tc>
        <w:tc>
          <w:tcPr>
            <w:tcW w:w="374" w:type="pct"/>
            <w:tcBorders>
              <w:top w:val="nil"/>
              <w:left w:val="nil"/>
              <w:bottom w:val="single" w:sz="4" w:space="0" w:color="auto"/>
              <w:right w:val="single" w:sz="4" w:space="0" w:color="auto"/>
            </w:tcBorders>
            <w:shd w:val="clear" w:color="auto" w:fill="auto"/>
            <w:vAlign w:val="center"/>
            <w:hideMark/>
          </w:tcPr>
          <w:p w14:paraId="0804D7F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Ensure that monthly waste awareness programmes are conducted</w:t>
            </w:r>
          </w:p>
        </w:tc>
        <w:tc>
          <w:tcPr>
            <w:tcW w:w="374" w:type="pct"/>
            <w:tcBorders>
              <w:top w:val="nil"/>
              <w:left w:val="nil"/>
              <w:bottom w:val="single" w:sz="4" w:space="0" w:color="auto"/>
              <w:right w:val="single" w:sz="4" w:space="0" w:color="auto"/>
            </w:tcBorders>
            <w:shd w:val="clear" w:color="auto" w:fill="auto"/>
            <w:vAlign w:val="center"/>
            <w:hideMark/>
          </w:tcPr>
          <w:p w14:paraId="3CDD53E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Number of waste awareness programmes held by 30 June</w:t>
            </w:r>
          </w:p>
        </w:tc>
        <w:tc>
          <w:tcPr>
            <w:tcW w:w="374" w:type="pct"/>
            <w:tcBorders>
              <w:top w:val="nil"/>
              <w:left w:val="nil"/>
              <w:bottom w:val="single" w:sz="4" w:space="0" w:color="auto"/>
              <w:right w:val="single" w:sz="4" w:space="0" w:color="auto"/>
            </w:tcBorders>
            <w:shd w:val="clear" w:color="auto" w:fill="auto"/>
            <w:vAlign w:val="center"/>
            <w:hideMark/>
          </w:tcPr>
          <w:p w14:paraId="11E7A6F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12 waste awareness programmes held by 30 June</w:t>
            </w:r>
          </w:p>
        </w:tc>
        <w:tc>
          <w:tcPr>
            <w:tcW w:w="305" w:type="pct"/>
            <w:tcBorders>
              <w:top w:val="nil"/>
              <w:left w:val="nil"/>
              <w:bottom w:val="single" w:sz="4" w:space="0" w:color="auto"/>
              <w:right w:val="single" w:sz="4" w:space="0" w:color="auto"/>
            </w:tcBorders>
            <w:shd w:val="clear" w:color="auto" w:fill="auto"/>
            <w:vAlign w:val="center"/>
            <w:hideMark/>
          </w:tcPr>
          <w:p w14:paraId="7EFD55D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waste awareness programmes held by 30 September</w:t>
            </w:r>
          </w:p>
        </w:tc>
        <w:tc>
          <w:tcPr>
            <w:tcW w:w="374" w:type="pct"/>
            <w:tcBorders>
              <w:top w:val="nil"/>
              <w:left w:val="nil"/>
              <w:bottom w:val="single" w:sz="4" w:space="0" w:color="auto"/>
              <w:right w:val="single" w:sz="4" w:space="0" w:color="auto"/>
            </w:tcBorders>
            <w:shd w:val="clear" w:color="auto" w:fill="auto"/>
            <w:vAlign w:val="center"/>
            <w:hideMark/>
          </w:tcPr>
          <w:p w14:paraId="57D288C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waste awareness programmes held by 31 December</w:t>
            </w:r>
          </w:p>
        </w:tc>
        <w:tc>
          <w:tcPr>
            <w:tcW w:w="305" w:type="pct"/>
            <w:tcBorders>
              <w:top w:val="nil"/>
              <w:left w:val="nil"/>
              <w:bottom w:val="single" w:sz="4" w:space="0" w:color="auto"/>
              <w:right w:val="single" w:sz="4" w:space="0" w:color="auto"/>
            </w:tcBorders>
            <w:shd w:val="clear" w:color="auto" w:fill="auto"/>
            <w:vAlign w:val="center"/>
            <w:hideMark/>
          </w:tcPr>
          <w:p w14:paraId="42D5D6F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waste awareness programmes held by 31 March</w:t>
            </w:r>
          </w:p>
        </w:tc>
        <w:tc>
          <w:tcPr>
            <w:tcW w:w="374" w:type="pct"/>
            <w:tcBorders>
              <w:top w:val="nil"/>
              <w:left w:val="nil"/>
              <w:bottom w:val="single" w:sz="4" w:space="0" w:color="auto"/>
              <w:right w:val="single" w:sz="4" w:space="0" w:color="auto"/>
            </w:tcBorders>
            <w:shd w:val="clear" w:color="auto" w:fill="auto"/>
            <w:vAlign w:val="center"/>
            <w:hideMark/>
          </w:tcPr>
          <w:p w14:paraId="20A5978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waste awareness programmes held by 30 June</w:t>
            </w:r>
          </w:p>
        </w:tc>
        <w:tc>
          <w:tcPr>
            <w:tcW w:w="251" w:type="pct"/>
            <w:tcBorders>
              <w:top w:val="nil"/>
              <w:left w:val="nil"/>
              <w:bottom w:val="single" w:sz="4" w:space="0" w:color="auto"/>
              <w:right w:val="single" w:sz="4" w:space="0" w:color="auto"/>
            </w:tcBorders>
            <w:shd w:val="clear" w:color="auto" w:fill="auto"/>
            <w:vAlign w:val="center"/>
            <w:hideMark/>
          </w:tcPr>
          <w:p w14:paraId="0BB3EECB"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101 490.00</w:t>
            </w:r>
          </w:p>
        </w:tc>
        <w:tc>
          <w:tcPr>
            <w:tcW w:w="146" w:type="pct"/>
            <w:tcBorders>
              <w:top w:val="nil"/>
              <w:left w:val="nil"/>
              <w:bottom w:val="single" w:sz="4" w:space="0" w:color="auto"/>
              <w:right w:val="single" w:sz="4" w:space="0" w:color="auto"/>
            </w:tcBorders>
            <w:shd w:val="clear" w:color="auto" w:fill="auto"/>
            <w:noWrap/>
            <w:vAlign w:val="center"/>
            <w:hideMark/>
          </w:tcPr>
          <w:p w14:paraId="10DC8ACF"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w:t>
            </w:r>
          </w:p>
        </w:tc>
        <w:tc>
          <w:tcPr>
            <w:tcW w:w="278" w:type="pct"/>
            <w:tcBorders>
              <w:top w:val="nil"/>
              <w:left w:val="nil"/>
              <w:bottom w:val="single" w:sz="4" w:space="0" w:color="auto"/>
              <w:right w:val="single" w:sz="4" w:space="0" w:color="auto"/>
            </w:tcBorders>
            <w:shd w:val="clear" w:color="auto" w:fill="auto"/>
            <w:vAlign w:val="center"/>
            <w:hideMark/>
          </w:tcPr>
          <w:p w14:paraId="77C5EF5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COMMUNITY SERVICES</w:t>
            </w:r>
          </w:p>
        </w:tc>
        <w:tc>
          <w:tcPr>
            <w:tcW w:w="170" w:type="pct"/>
            <w:tcBorders>
              <w:top w:val="nil"/>
              <w:left w:val="nil"/>
              <w:bottom w:val="single" w:sz="4" w:space="0" w:color="auto"/>
              <w:right w:val="single" w:sz="4" w:space="0" w:color="auto"/>
            </w:tcBorders>
            <w:shd w:val="clear" w:color="auto" w:fill="auto"/>
            <w:vAlign w:val="center"/>
            <w:hideMark/>
          </w:tcPr>
          <w:p w14:paraId="7F7C4CD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77C69EBA" w14:textId="77777777" w:rsidTr="008A0277">
        <w:trPr>
          <w:trHeight w:val="1408"/>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6C4E0C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Inadequate financial performance</w:t>
            </w:r>
          </w:p>
        </w:tc>
        <w:tc>
          <w:tcPr>
            <w:tcW w:w="136" w:type="pct"/>
            <w:tcBorders>
              <w:top w:val="nil"/>
              <w:left w:val="nil"/>
              <w:bottom w:val="single" w:sz="4" w:space="0" w:color="auto"/>
              <w:right w:val="single" w:sz="4" w:space="0" w:color="auto"/>
            </w:tcBorders>
            <w:shd w:val="clear" w:color="auto" w:fill="auto"/>
            <w:noWrap/>
            <w:vAlign w:val="center"/>
            <w:hideMark/>
          </w:tcPr>
          <w:p w14:paraId="69EF566E"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TL40</w:t>
            </w:r>
          </w:p>
        </w:tc>
        <w:tc>
          <w:tcPr>
            <w:tcW w:w="141" w:type="pct"/>
            <w:tcBorders>
              <w:top w:val="nil"/>
              <w:left w:val="nil"/>
              <w:bottom w:val="single" w:sz="4" w:space="0" w:color="auto"/>
              <w:right w:val="single" w:sz="4" w:space="0" w:color="auto"/>
            </w:tcBorders>
            <w:shd w:val="clear" w:color="auto" w:fill="auto"/>
            <w:noWrap/>
            <w:vAlign w:val="center"/>
            <w:hideMark/>
          </w:tcPr>
          <w:p w14:paraId="1DD39FA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E5.2-55</w:t>
            </w:r>
          </w:p>
        </w:tc>
        <w:tc>
          <w:tcPr>
            <w:tcW w:w="269" w:type="pct"/>
            <w:tcBorders>
              <w:top w:val="nil"/>
              <w:left w:val="nil"/>
              <w:bottom w:val="single" w:sz="4" w:space="0" w:color="auto"/>
              <w:right w:val="single" w:sz="4" w:space="0" w:color="auto"/>
            </w:tcBorders>
            <w:shd w:val="clear" w:color="auto" w:fill="auto"/>
            <w:vAlign w:val="center"/>
            <w:hideMark/>
          </w:tcPr>
          <w:p w14:paraId="5AA01CB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responsive and accountable, effective and efficient local government system</w:t>
            </w:r>
          </w:p>
        </w:tc>
        <w:tc>
          <w:tcPr>
            <w:tcW w:w="280" w:type="pct"/>
            <w:tcBorders>
              <w:top w:val="nil"/>
              <w:left w:val="nil"/>
              <w:bottom w:val="single" w:sz="4" w:space="0" w:color="auto"/>
              <w:right w:val="single" w:sz="4" w:space="0" w:color="auto"/>
            </w:tcBorders>
            <w:shd w:val="clear" w:color="auto" w:fill="auto"/>
            <w:vAlign w:val="center"/>
            <w:hideMark/>
          </w:tcPr>
          <w:p w14:paraId="4B7A4C8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80" w:type="pct"/>
            <w:tcBorders>
              <w:top w:val="nil"/>
              <w:left w:val="nil"/>
              <w:bottom w:val="single" w:sz="4" w:space="0" w:color="auto"/>
              <w:right w:val="single" w:sz="4" w:space="0" w:color="auto"/>
            </w:tcBorders>
            <w:shd w:val="clear" w:color="auto" w:fill="auto"/>
            <w:vAlign w:val="center"/>
            <w:hideMark/>
          </w:tcPr>
          <w:p w14:paraId="2DD7C6A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78" w:type="pct"/>
            <w:tcBorders>
              <w:top w:val="nil"/>
              <w:left w:val="nil"/>
              <w:bottom w:val="single" w:sz="4" w:space="0" w:color="auto"/>
              <w:right w:val="single" w:sz="4" w:space="0" w:color="auto"/>
            </w:tcBorders>
            <w:shd w:val="clear" w:color="auto" w:fill="auto"/>
            <w:vAlign w:val="center"/>
            <w:hideMark/>
          </w:tcPr>
          <w:p w14:paraId="49EC605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ensure continued sound financial management</w:t>
            </w:r>
          </w:p>
        </w:tc>
        <w:tc>
          <w:tcPr>
            <w:tcW w:w="374" w:type="pct"/>
            <w:tcBorders>
              <w:top w:val="nil"/>
              <w:left w:val="nil"/>
              <w:bottom w:val="single" w:sz="4" w:space="0" w:color="auto"/>
              <w:right w:val="single" w:sz="4" w:space="0" w:color="auto"/>
            </w:tcBorders>
            <w:shd w:val="clear" w:color="auto" w:fill="auto"/>
            <w:vAlign w:val="center"/>
            <w:hideMark/>
          </w:tcPr>
          <w:p w14:paraId="0C39A10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Ensure 100% of Creditors are paid within 30 days of receipt of invoice </w:t>
            </w:r>
          </w:p>
        </w:tc>
        <w:tc>
          <w:tcPr>
            <w:tcW w:w="374" w:type="pct"/>
            <w:tcBorders>
              <w:top w:val="nil"/>
              <w:left w:val="nil"/>
              <w:bottom w:val="single" w:sz="4" w:space="0" w:color="auto"/>
              <w:right w:val="single" w:sz="4" w:space="0" w:color="auto"/>
            </w:tcBorders>
            <w:shd w:val="clear" w:color="auto" w:fill="auto"/>
            <w:vAlign w:val="center"/>
            <w:hideMark/>
          </w:tcPr>
          <w:p w14:paraId="19E29FA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Percentage of creditors paid within 30 days</w:t>
            </w:r>
          </w:p>
        </w:tc>
        <w:tc>
          <w:tcPr>
            <w:tcW w:w="374" w:type="pct"/>
            <w:tcBorders>
              <w:top w:val="nil"/>
              <w:left w:val="nil"/>
              <w:bottom w:val="single" w:sz="4" w:space="0" w:color="auto"/>
              <w:right w:val="single" w:sz="4" w:space="0" w:color="auto"/>
            </w:tcBorders>
            <w:shd w:val="clear" w:color="auto" w:fill="auto"/>
            <w:vAlign w:val="center"/>
            <w:hideMark/>
          </w:tcPr>
          <w:p w14:paraId="26144A1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100% of creditors paid within 30 days of receipt of invoice</w:t>
            </w:r>
          </w:p>
        </w:tc>
        <w:tc>
          <w:tcPr>
            <w:tcW w:w="305" w:type="pct"/>
            <w:tcBorders>
              <w:top w:val="nil"/>
              <w:left w:val="nil"/>
              <w:bottom w:val="single" w:sz="4" w:space="0" w:color="auto"/>
              <w:right w:val="single" w:sz="4" w:space="0" w:color="auto"/>
            </w:tcBorders>
            <w:shd w:val="clear" w:color="auto" w:fill="auto"/>
            <w:vAlign w:val="center"/>
            <w:hideMark/>
          </w:tcPr>
          <w:p w14:paraId="736A846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100% of creditors paid within 30 days of receipt of invoice</w:t>
            </w:r>
          </w:p>
        </w:tc>
        <w:tc>
          <w:tcPr>
            <w:tcW w:w="374" w:type="pct"/>
            <w:tcBorders>
              <w:top w:val="nil"/>
              <w:left w:val="nil"/>
              <w:bottom w:val="single" w:sz="4" w:space="0" w:color="auto"/>
              <w:right w:val="single" w:sz="4" w:space="0" w:color="auto"/>
            </w:tcBorders>
            <w:shd w:val="clear" w:color="auto" w:fill="auto"/>
            <w:vAlign w:val="center"/>
            <w:hideMark/>
          </w:tcPr>
          <w:p w14:paraId="58666AE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100% of creditors paid within 30 days of receipt of invoice</w:t>
            </w:r>
          </w:p>
        </w:tc>
        <w:tc>
          <w:tcPr>
            <w:tcW w:w="305" w:type="pct"/>
            <w:tcBorders>
              <w:top w:val="nil"/>
              <w:left w:val="nil"/>
              <w:bottom w:val="single" w:sz="4" w:space="0" w:color="auto"/>
              <w:right w:val="single" w:sz="4" w:space="0" w:color="auto"/>
            </w:tcBorders>
            <w:shd w:val="clear" w:color="auto" w:fill="auto"/>
            <w:vAlign w:val="center"/>
            <w:hideMark/>
          </w:tcPr>
          <w:p w14:paraId="6C1F6FE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100% of creditors paid within 30 days of receipt of invoice</w:t>
            </w:r>
          </w:p>
        </w:tc>
        <w:tc>
          <w:tcPr>
            <w:tcW w:w="374" w:type="pct"/>
            <w:tcBorders>
              <w:top w:val="nil"/>
              <w:left w:val="nil"/>
              <w:bottom w:val="single" w:sz="4" w:space="0" w:color="auto"/>
              <w:right w:val="single" w:sz="4" w:space="0" w:color="auto"/>
            </w:tcBorders>
            <w:shd w:val="clear" w:color="auto" w:fill="auto"/>
            <w:vAlign w:val="center"/>
            <w:hideMark/>
          </w:tcPr>
          <w:p w14:paraId="0D14471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100% of creditors paid within 30 days of receipt of invoice</w:t>
            </w:r>
          </w:p>
        </w:tc>
        <w:tc>
          <w:tcPr>
            <w:tcW w:w="251" w:type="pct"/>
            <w:tcBorders>
              <w:top w:val="nil"/>
              <w:left w:val="nil"/>
              <w:bottom w:val="single" w:sz="4" w:space="0" w:color="auto"/>
              <w:right w:val="single" w:sz="4" w:space="0" w:color="auto"/>
            </w:tcBorders>
            <w:shd w:val="clear" w:color="auto" w:fill="auto"/>
            <w:vAlign w:val="center"/>
            <w:hideMark/>
          </w:tcPr>
          <w:p w14:paraId="5DF8C986"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1 889 890.00</w:t>
            </w:r>
          </w:p>
        </w:tc>
        <w:tc>
          <w:tcPr>
            <w:tcW w:w="146" w:type="pct"/>
            <w:tcBorders>
              <w:top w:val="nil"/>
              <w:left w:val="nil"/>
              <w:bottom w:val="single" w:sz="4" w:space="0" w:color="auto"/>
              <w:right w:val="single" w:sz="4" w:space="0" w:color="auto"/>
            </w:tcBorders>
            <w:shd w:val="clear" w:color="auto" w:fill="auto"/>
            <w:noWrap/>
            <w:vAlign w:val="center"/>
            <w:hideMark/>
          </w:tcPr>
          <w:p w14:paraId="2C57F70B"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100%</w:t>
            </w:r>
          </w:p>
        </w:tc>
        <w:tc>
          <w:tcPr>
            <w:tcW w:w="278" w:type="pct"/>
            <w:tcBorders>
              <w:top w:val="nil"/>
              <w:left w:val="nil"/>
              <w:bottom w:val="single" w:sz="4" w:space="0" w:color="auto"/>
              <w:right w:val="single" w:sz="4" w:space="0" w:color="auto"/>
            </w:tcBorders>
            <w:shd w:val="clear" w:color="auto" w:fill="auto"/>
            <w:vAlign w:val="center"/>
            <w:hideMark/>
          </w:tcPr>
          <w:p w14:paraId="45AD20E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FINANCIAL SERVICES</w:t>
            </w:r>
          </w:p>
        </w:tc>
        <w:tc>
          <w:tcPr>
            <w:tcW w:w="170" w:type="pct"/>
            <w:tcBorders>
              <w:top w:val="nil"/>
              <w:left w:val="nil"/>
              <w:bottom w:val="single" w:sz="4" w:space="0" w:color="auto"/>
              <w:right w:val="single" w:sz="4" w:space="0" w:color="auto"/>
            </w:tcBorders>
            <w:shd w:val="clear" w:color="auto" w:fill="auto"/>
            <w:vAlign w:val="center"/>
            <w:hideMark/>
          </w:tcPr>
          <w:p w14:paraId="1DD4622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ADMIN</w:t>
            </w:r>
          </w:p>
        </w:tc>
      </w:tr>
      <w:tr w:rsidR="008A0277" w:rsidRPr="008A0277" w14:paraId="5E05A856" w14:textId="77777777" w:rsidTr="008A0277">
        <w:trPr>
          <w:trHeight w:val="1357"/>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9C42BA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Inadequate compliance with Archives Act</w:t>
            </w:r>
          </w:p>
        </w:tc>
        <w:tc>
          <w:tcPr>
            <w:tcW w:w="136" w:type="pct"/>
            <w:tcBorders>
              <w:top w:val="nil"/>
              <w:left w:val="nil"/>
              <w:bottom w:val="single" w:sz="4" w:space="0" w:color="auto"/>
              <w:right w:val="single" w:sz="4" w:space="0" w:color="auto"/>
            </w:tcBorders>
            <w:shd w:val="clear" w:color="auto" w:fill="auto"/>
            <w:noWrap/>
            <w:vAlign w:val="center"/>
            <w:hideMark/>
          </w:tcPr>
          <w:p w14:paraId="15CA5BE4"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TL41</w:t>
            </w:r>
          </w:p>
        </w:tc>
        <w:tc>
          <w:tcPr>
            <w:tcW w:w="141" w:type="pct"/>
            <w:tcBorders>
              <w:top w:val="nil"/>
              <w:left w:val="nil"/>
              <w:bottom w:val="single" w:sz="4" w:space="0" w:color="auto"/>
              <w:right w:val="single" w:sz="4" w:space="0" w:color="auto"/>
            </w:tcBorders>
            <w:shd w:val="clear" w:color="auto" w:fill="auto"/>
            <w:noWrap/>
            <w:vAlign w:val="center"/>
            <w:hideMark/>
          </w:tcPr>
          <w:p w14:paraId="0F33E73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E5.2-56</w:t>
            </w:r>
          </w:p>
        </w:tc>
        <w:tc>
          <w:tcPr>
            <w:tcW w:w="269" w:type="pct"/>
            <w:tcBorders>
              <w:top w:val="nil"/>
              <w:left w:val="nil"/>
              <w:bottom w:val="single" w:sz="4" w:space="0" w:color="auto"/>
              <w:right w:val="single" w:sz="4" w:space="0" w:color="auto"/>
            </w:tcBorders>
            <w:shd w:val="clear" w:color="auto" w:fill="auto"/>
            <w:vAlign w:val="center"/>
            <w:hideMark/>
          </w:tcPr>
          <w:p w14:paraId="553AC57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responsive and accountable, effective and efficient local government system</w:t>
            </w:r>
          </w:p>
        </w:tc>
        <w:tc>
          <w:tcPr>
            <w:tcW w:w="280" w:type="pct"/>
            <w:tcBorders>
              <w:top w:val="nil"/>
              <w:left w:val="nil"/>
              <w:bottom w:val="single" w:sz="4" w:space="0" w:color="auto"/>
              <w:right w:val="single" w:sz="4" w:space="0" w:color="auto"/>
            </w:tcBorders>
            <w:shd w:val="clear" w:color="auto" w:fill="auto"/>
            <w:vAlign w:val="center"/>
            <w:hideMark/>
          </w:tcPr>
          <w:p w14:paraId="4AB6F3F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Transformation and Institutional Development</w:t>
            </w:r>
          </w:p>
        </w:tc>
        <w:tc>
          <w:tcPr>
            <w:tcW w:w="280" w:type="pct"/>
            <w:tcBorders>
              <w:top w:val="nil"/>
              <w:left w:val="nil"/>
              <w:bottom w:val="single" w:sz="4" w:space="0" w:color="auto"/>
              <w:right w:val="single" w:sz="4" w:space="0" w:color="auto"/>
            </w:tcBorders>
            <w:shd w:val="clear" w:color="auto" w:fill="auto"/>
            <w:vAlign w:val="center"/>
            <w:hideMark/>
          </w:tcPr>
          <w:p w14:paraId="67BA6DB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Transformation and Institutional Development</w:t>
            </w:r>
          </w:p>
        </w:tc>
        <w:tc>
          <w:tcPr>
            <w:tcW w:w="278" w:type="pct"/>
            <w:tcBorders>
              <w:top w:val="nil"/>
              <w:left w:val="nil"/>
              <w:bottom w:val="single" w:sz="4" w:space="0" w:color="auto"/>
              <w:right w:val="single" w:sz="4" w:space="0" w:color="auto"/>
            </w:tcBorders>
            <w:shd w:val="clear" w:color="auto" w:fill="auto"/>
            <w:vAlign w:val="center"/>
            <w:hideMark/>
          </w:tcPr>
          <w:p w14:paraId="760F487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provide and maintain infrastructure and services to all, with emphasis on rural communities, in a sustainable manner</w:t>
            </w:r>
          </w:p>
        </w:tc>
        <w:tc>
          <w:tcPr>
            <w:tcW w:w="374" w:type="pct"/>
            <w:tcBorders>
              <w:top w:val="nil"/>
              <w:left w:val="nil"/>
              <w:bottom w:val="single" w:sz="4" w:space="0" w:color="auto"/>
              <w:right w:val="single" w:sz="4" w:space="0" w:color="auto"/>
            </w:tcBorders>
            <w:shd w:val="clear" w:color="auto" w:fill="auto"/>
            <w:vAlign w:val="center"/>
            <w:hideMark/>
          </w:tcPr>
          <w:p w14:paraId="435CC2C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Ensure correspondence received by the records office attended to daily</w:t>
            </w:r>
          </w:p>
        </w:tc>
        <w:tc>
          <w:tcPr>
            <w:tcW w:w="374" w:type="pct"/>
            <w:tcBorders>
              <w:top w:val="nil"/>
              <w:left w:val="nil"/>
              <w:bottom w:val="single" w:sz="4" w:space="0" w:color="auto"/>
              <w:right w:val="single" w:sz="4" w:space="0" w:color="auto"/>
            </w:tcBorders>
            <w:shd w:val="clear" w:color="auto" w:fill="auto"/>
            <w:vAlign w:val="center"/>
            <w:hideMark/>
          </w:tcPr>
          <w:p w14:paraId="58A9C86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Percentage correspondence attended to daily</w:t>
            </w:r>
          </w:p>
        </w:tc>
        <w:tc>
          <w:tcPr>
            <w:tcW w:w="374" w:type="pct"/>
            <w:tcBorders>
              <w:top w:val="nil"/>
              <w:left w:val="nil"/>
              <w:bottom w:val="single" w:sz="4" w:space="0" w:color="auto"/>
              <w:right w:val="single" w:sz="4" w:space="0" w:color="auto"/>
            </w:tcBorders>
            <w:shd w:val="clear" w:color="auto" w:fill="auto"/>
            <w:vAlign w:val="center"/>
            <w:hideMark/>
          </w:tcPr>
          <w:p w14:paraId="047ADFE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100% correspondence received by records office attended to daily </w:t>
            </w:r>
          </w:p>
        </w:tc>
        <w:tc>
          <w:tcPr>
            <w:tcW w:w="305" w:type="pct"/>
            <w:tcBorders>
              <w:top w:val="nil"/>
              <w:left w:val="nil"/>
              <w:bottom w:val="single" w:sz="4" w:space="0" w:color="auto"/>
              <w:right w:val="single" w:sz="4" w:space="0" w:color="auto"/>
            </w:tcBorders>
            <w:shd w:val="clear" w:color="auto" w:fill="auto"/>
            <w:vAlign w:val="center"/>
            <w:hideMark/>
          </w:tcPr>
          <w:p w14:paraId="78EC86B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100% correspondence received by records office attended to daily </w:t>
            </w:r>
          </w:p>
        </w:tc>
        <w:tc>
          <w:tcPr>
            <w:tcW w:w="374" w:type="pct"/>
            <w:tcBorders>
              <w:top w:val="nil"/>
              <w:left w:val="nil"/>
              <w:bottom w:val="single" w:sz="4" w:space="0" w:color="auto"/>
              <w:right w:val="single" w:sz="4" w:space="0" w:color="auto"/>
            </w:tcBorders>
            <w:shd w:val="clear" w:color="auto" w:fill="auto"/>
            <w:vAlign w:val="center"/>
            <w:hideMark/>
          </w:tcPr>
          <w:p w14:paraId="24FA217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100% correspondence received by records office attended to daily </w:t>
            </w:r>
          </w:p>
        </w:tc>
        <w:tc>
          <w:tcPr>
            <w:tcW w:w="305" w:type="pct"/>
            <w:tcBorders>
              <w:top w:val="nil"/>
              <w:left w:val="nil"/>
              <w:bottom w:val="single" w:sz="4" w:space="0" w:color="auto"/>
              <w:right w:val="single" w:sz="4" w:space="0" w:color="auto"/>
            </w:tcBorders>
            <w:shd w:val="clear" w:color="auto" w:fill="auto"/>
            <w:vAlign w:val="center"/>
            <w:hideMark/>
          </w:tcPr>
          <w:p w14:paraId="2AE257D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100% correspondence received by records office attended to daily </w:t>
            </w:r>
          </w:p>
        </w:tc>
        <w:tc>
          <w:tcPr>
            <w:tcW w:w="374" w:type="pct"/>
            <w:tcBorders>
              <w:top w:val="nil"/>
              <w:left w:val="nil"/>
              <w:bottom w:val="single" w:sz="4" w:space="0" w:color="auto"/>
              <w:right w:val="single" w:sz="4" w:space="0" w:color="auto"/>
            </w:tcBorders>
            <w:shd w:val="clear" w:color="auto" w:fill="auto"/>
            <w:vAlign w:val="center"/>
            <w:hideMark/>
          </w:tcPr>
          <w:p w14:paraId="4851119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100% correspondence received by records office attended to daily </w:t>
            </w:r>
          </w:p>
        </w:tc>
        <w:tc>
          <w:tcPr>
            <w:tcW w:w="251" w:type="pct"/>
            <w:tcBorders>
              <w:top w:val="nil"/>
              <w:left w:val="nil"/>
              <w:bottom w:val="single" w:sz="4" w:space="0" w:color="auto"/>
              <w:right w:val="single" w:sz="4" w:space="0" w:color="auto"/>
            </w:tcBorders>
            <w:shd w:val="clear" w:color="auto" w:fill="auto"/>
            <w:vAlign w:val="center"/>
            <w:hideMark/>
          </w:tcPr>
          <w:p w14:paraId="691C03E6"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162 740.00</w:t>
            </w:r>
          </w:p>
        </w:tc>
        <w:tc>
          <w:tcPr>
            <w:tcW w:w="146" w:type="pct"/>
            <w:tcBorders>
              <w:top w:val="nil"/>
              <w:left w:val="nil"/>
              <w:bottom w:val="single" w:sz="4" w:space="0" w:color="auto"/>
              <w:right w:val="single" w:sz="4" w:space="0" w:color="auto"/>
            </w:tcBorders>
            <w:shd w:val="clear" w:color="auto" w:fill="auto"/>
            <w:noWrap/>
            <w:vAlign w:val="center"/>
            <w:hideMark/>
          </w:tcPr>
          <w:p w14:paraId="72CE840A"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100%</w:t>
            </w:r>
          </w:p>
        </w:tc>
        <w:tc>
          <w:tcPr>
            <w:tcW w:w="278" w:type="pct"/>
            <w:tcBorders>
              <w:top w:val="nil"/>
              <w:left w:val="nil"/>
              <w:bottom w:val="single" w:sz="4" w:space="0" w:color="auto"/>
              <w:right w:val="single" w:sz="4" w:space="0" w:color="auto"/>
            </w:tcBorders>
            <w:shd w:val="clear" w:color="auto" w:fill="auto"/>
            <w:vAlign w:val="center"/>
            <w:hideMark/>
          </w:tcPr>
          <w:p w14:paraId="77AC6CA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CORPORATE SERVICES </w:t>
            </w:r>
          </w:p>
        </w:tc>
        <w:tc>
          <w:tcPr>
            <w:tcW w:w="170" w:type="pct"/>
            <w:tcBorders>
              <w:top w:val="nil"/>
              <w:left w:val="nil"/>
              <w:bottom w:val="single" w:sz="4" w:space="0" w:color="auto"/>
              <w:right w:val="single" w:sz="4" w:space="0" w:color="auto"/>
            </w:tcBorders>
            <w:shd w:val="clear" w:color="auto" w:fill="auto"/>
            <w:vAlign w:val="center"/>
            <w:hideMark/>
          </w:tcPr>
          <w:p w14:paraId="2CD0B6E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52A39EC9" w14:textId="77777777" w:rsidTr="008A0277">
        <w:trPr>
          <w:trHeight w:val="2008"/>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A17E51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Slow progress on LED &amp; Tourism development</w:t>
            </w:r>
          </w:p>
        </w:tc>
        <w:tc>
          <w:tcPr>
            <w:tcW w:w="136" w:type="pct"/>
            <w:tcBorders>
              <w:top w:val="nil"/>
              <w:left w:val="nil"/>
              <w:bottom w:val="single" w:sz="4" w:space="0" w:color="auto"/>
              <w:right w:val="single" w:sz="4" w:space="0" w:color="auto"/>
            </w:tcBorders>
            <w:shd w:val="clear" w:color="auto" w:fill="auto"/>
            <w:noWrap/>
            <w:vAlign w:val="center"/>
            <w:hideMark/>
          </w:tcPr>
          <w:p w14:paraId="21BBF115"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TL42</w:t>
            </w:r>
          </w:p>
        </w:tc>
        <w:tc>
          <w:tcPr>
            <w:tcW w:w="141" w:type="pct"/>
            <w:tcBorders>
              <w:top w:val="nil"/>
              <w:left w:val="nil"/>
              <w:bottom w:val="single" w:sz="4" w:space="0" w:color="auto"/>
              <w:right w:val="single" w:sz="4" w:space="0" w:color="auto"/>
            </w:tcBorders>
            <w:shd w:val="clear" w:color="auto" w:fill="auto"/>
            <w:noWrap/>
            <w:vAlign w:val="center"/>
            <w:hideMark/>
          </w:tcPr>
          <w:p w14:paraId="421C6AA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E5.2-57</w:t>
            </w:r>
          </w:p>
        </w:tc>
        <w:tc>
          <w:tcPr>
            <w:tcW w:w="269" w:type="pct"/>
            <w:tcBorders>
              <w:top w:val="nil"/>
              <w:left w:val="nil"/>
              <w:bottom w:val="single" w:sz="4" w:space="0" w:color="auto"/>
              <w:right w:val="single" w:sz="4" w:space="0" w:color="auto"/>
            </w:tcBorders>
            <w:shd w:val="clear" w:color="auto" w:fill="auto"/>
            <w:vAlign w:val="center"/>
            <w:hideMark/>
          </w:tcPr>
          <w:p w14:paraId="5735439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better South Africa, a better Africa and world</w:t>
            </w:r>
          </w:p>
        </w:tc>
        <w:tc>
          <w:tcPr>
            <w:tcW w:w="280" w:type="pct"/>
            <w:tcBorders>
              <w:top w:val="nil"/>
              <w:left w:val="nil"/>
              <w:bottom w:val="single" w:sz="4" w:space="0" w:color="auto"/>
              <w:right w:val="single" w:sz="4" w:space="0" w:color="auto"/>
            </w:tcBorders>
            <w:shd w:val="clear" w:color="auto" w:fill="auto"/>
            <w:vAlign w:val="center"/>
            <w:hideMark/>
          </w:tcPr>
          <w:p w14:paraId="316EE26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Local Economic Development</w:t>
            </w:r>
          </w:p>
        </w:tc>
        <w:tc>
          <w:tcPr>
            <w:tcW w:w="280" w:type="pct"/>
            <w:tcBorders>
              <w:top w:val="nil"/>
              <w:left w:val="nil"/>
              <w:bottom w:val="single" w:sz="4" w:space="0" w:color="auto"/>
              <w:right w:val="single" w:sz="4" w:space="0" w:color="auto"/>
            </w:tcBorders>
            <w:shd w:val="clear" w:color="auto" w:fill="auto"/>
            <w:vAlign w:val="center"/>
            <w:hideMark/>
          </w:tcPr>
          <w:p w14:paraId="05F06E8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Local Economic Development</w:t>
            </w:r>
          </w:p>
        </w:tc>
        <w:tc>
          <w:tcPr>
            <w:tcW w:w="278" w:type="pct"/>
            <w:tcBorders>
              <w:top w:val="nil"/>
              <w:left w:val="nil"/>
              <w:bottom w:val="single" w:sz="4" w:space="0" w:color="auto"/>
              <w:right w:val="single" w:sz="4" w:space="0" w:color="auto"/>
            </w:tcBorders>
            <w:shd w:val="clear" w:color="auto" w:fill="auto"/>
            <w:vAlign w:val="center"/>
            <w:hideMark/>
          </w:tcPr>
          <w:p w14:paraId="73CBD93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develop and support social development initiatives, particularly those focussed on the youth and the vulnerable groups</w:t>
            </w:r>
          </w:p>
        </w:tc>
        <w:tc>
          <w:tcPr>
            <w:tcW w:w="374" w:type="pct"/>
            <w:tcBorders>
              <w:top w:val="nil"/>
              <w:left w:val="nil"/>
              <w:bottom w:val="single" w:sz="4" w:space="0" w:color="auto"/>
              <w:right w:val="single" w:sz="4" w:space="0" w:color="auto"/>
            </w:tcBorders>
            <w:shd w:val="clear" w:color="auto" w:fill="auto"/>
            <w:vAlign w:val="center"/>
            <w:hideMark/>
          </w:tcPr>
          <w:p w14:paraId="6E5A414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Facilitate 2 arts and culture activities/programmes by 30 June</w:t>
            </w:r>
          </w:p>
        </w:tc>
        <w:tc>
          <w:tcPr>
            <w:tcW w:w="374" w:type="pct"/>
            <w:tcBorders>
              <w:top w:val="nil"/>
              <w:left w:val="nil"/>
              <w:bottom w:val="single" w:sz="4" w:space="0" w:color="auto"/>
              <w:right w:val="single" w:sz="4" w:space="0" w:color="auto"/>
            </w:tcBorders>
            <w:shd w:val="clear" w:color="auto" w:fill="auto"/>
            <w:vAlign w:val="center"/>
            <w:hideMark/>
          </w:tcPr>
          <w:p w14:paraId="1787BA6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No of arts and cultural activities/programmes facilitated by 30 June</w:t>
            </w:r>
          </w:p>
        </w:tc>
        <w:tc>
          <w:tcPr>
            <w:tcW w:w="374" w:type="pct"/>
            <w:tcBorders>
              <w:top w:val="nil"/>
              <w:left w:val="nil"/>
              <w:bottom w:val="single" w:sz="4" w:space="0" w:color="auto"/>
              <w:right w:val="single" w:sz="4" w:space="0" w:color="auto"/>
            </w:tcBorders>
            <w:shd w:val="clear" w:color="auto" w:fill="auto"/>
            <w:vAlign w:val="center"/>
            <w:hideMark/>
          </w:tcPr>
          <w:p w14:paraId="4D05F6E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2 arts and culture activities/programmes facilitated by 30 June</w:t>
            </w:r>
          </w:p>
        </w:tc>
        <w:tc>
          <w:tcPr>
            <w:tcW w:w="305" w:type="pct"/>
            <w:tcBorders>
              <w:top w:val="nil"/>
              <w:left w:val="nil"/>
              <w:bottom w:val="single" w:sz="4" w:space="0" w:color="auto"/>
              <w:right w:val="single" w:sz="4" w:space="0" w:color="auto"/>
            </w:tcBorders>
            <w:shd w:val="clear" w:color="auto" w:fill="auto"/>
            <w:vAlign w:val="center"/>
            <w:hideMark/>
          </w:tcPr>
          <w:p w14:paraId="78DCCED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49F7AAF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2 arts and culture activities/programmes facilitated by 31 December</w:t>
            </w:r>
          </w:p>
        </w:tc>
        <w:tc>
          <w:tcPr>
            <w:tcW w:w="305" w:type="pct"/>
            <w:tcBorders>
              <w:top w:val="nil"/>
              <w:left w:val="nil"/>
              <w:bottom w:val="single" w:sz="4" w:space="0" w:color="auto"/>
              <w:right w:val="single" w:sz="4" w:space="0" w:color="auto"/>
            </w:tcBorders>
            <w:shd w:val="clear" w:color="auto" w:fill="auto"/>
            <w:vAlign w:val="center"/>
            <w:hideMark/>
          </w:tcPr>
          <w:p w14:paraId="3D6629E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136380C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2 arts and culture activities/programmes facilitated by 30 June</w:t>
            </w:r>
          </w:p>
        </w:tc>
        <w:tc>
          <w:tcPr>
            <w:tcW w:w="251" w:type="pct"/>
            <w:tcBorders>
              <w:top w:val="nil"/>
              <w:left w:val="nil"/>
              <w:bottom w:val="single" w:sz="4" w:space="0" w:color="auto"/>
              <w:right w:val="single" w:sz="4" w:space="0" w:color="auto"/>
            </w:tcBorders>
            <w:shd w:val="clear" w:color="auto" w:fill="auto"/>
            <w:vAlign w:val="center"/>
            <w:hideMark/>
          </w:tcPr>
          <w:p w14:paraId="6B4F382A"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204 530.00</w:t>
            </w:r>
          </w:p>
        </w:tc>
        <w:tc>
          <w:tcPr>
            <w:tcW w:w="146" w:type="pct"/>
            <w:tcBorders>
              <w:top w:val="nil"/>
              <w:left w:val="nil"/>
              <w:bottom w:val="single" w:sz="4" w:space="0" w:color="auto"/>
              <w:right w:val="single" w:sz="4" w:space="0" w:color="auto"/>
            </w:tcBorders>
            <w:shd w:val="clear" w:color="auto" w:fill="auto"/>
            <w:noWrap/>
            <w:vAlign w:val="center"/>
            <w:hideMark/>
          </w:tcPr>
          <w:p w14:paraId="592A8B1B"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2</w:t>
            </w:r>
          </w:p>
        </w:tc>
        <w:tc>
          <w:tcPr>
            <w:tcW w:w="278" w:type="pct"/>
            <w:tcBorders>
              <w:top w:val="nil"/>
              <w:left w:val="nil"/>
              <w:bottom w:val="single" w:sz="4" w:space="0" w:color="auto"/>
              <w:right w:val="single" w:sz="4" w:space="0" w:color="auto"/>
            </w:tcBorders>
            <w:shd w:val="clear" w:color="auto" w:fill="auto"/>
            <w:vAlign w:val="center"/>
            <w:hideMark/>
          </w:tcPr>
          <w:p w14:paraId="502781B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COMMUNITY SERVICES</w:t>
            </w:r>
          </w:p>
        </w:tc>
        <w:tc>
          <w:tcPr>
            <w:tcW w:w="170" w:type="pct"/>
            <w:tcBorders>
              <w:top w:val="nil"/>
              <w:left w:val="nil"/>
              <w:bottom w:val="single" w:sz="4" w:space="0" w:color="auto"/>
              <w:right w:val="single" w:sz="4" w:space="0" w:color="auto"/>
            </w:tcBorders>
            <w:shd w:val="clear" w:color="auto" w:fill="auto"/>
            <w:vAlign w:val="center"/>
            <w:hideMark/>
          </w:tcPr>
          <w:p w14:paraId="16A853C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1C8B700B" w14:textId="77777777" w:rsidTr="008A0277">
        <w:trPr>
          <w:trHeight w:val="983"/>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A0F718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Service Delivery Backlogs</w:t>
            </w:r>
          </w:p>
        </w:tc>
        <w:tc>
          <w:tcPr>
            <w:tcW w:w="136" w:type="pct"/>
            <w:tcBorders>
              <w:top w:val="nil"/>
              <w:left w:val="nil"/>
              <w:bottom w:val="single" w:sz="4" w:space="0" w:color="auto"/>
              <w:right w:val="single" w:sz="4" w:space="0" w:color="auto"/>
            </w:tcBorders>
            <w:shd w:val="clear" w:color="auto" w:fill="auto"/>
            <w:noWrap/>
            <w:vAlign w:val="center"/>
            <w:hideMark/>
          </w:tcPr>
          <w:p w14:paraId="6D82AF64"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TL43</w:t>
            </w:r>
          </w:p>
        </w:tc>
        <w:tc>
          <w:tcPr>
            <w:tcW w:w="141" w:type="pct"/>
            <w:tcBorders>
              <w:top w:val="nil"/>
              <w:left w:val="nil"/>
              <w:bottom w:val="single" w:sz="4" w:space="0" w:color="auto"/>
              <w:right w:val="single" w:sz="4" w:space="0" w:color="auto"/>
            </w:tcBorders>
            <w:shd w:val="clear" w:color="auto" w:fill="auto"/>
            <w:noWrap/>
            <w:vAlign w:val="center"/>
            <w:hideMark/>
          </w:tcPr>
          <w:p w14:paraId="498F726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E5.2-58</w:t>
            </w:r>
          </w:p>
        </w:tc>
        <w:tc>
          <w:tcPr>
            <w:tcW w:w="269" w:type="pct"/>
            <w:tcBorders>
              <w:top w:val="nil"/>
              <w:left w:val="nil"/>
              <w:bottom w:val="single" w:sz="4" w:space="0" w:color="auto"/>
              <w:right w:val="single" w:sz="4" w:space="0" w:color="auto"/>
            </w:tcBorders>
            <w:shd w:val="clear" w:color="auto" w:fill="auto"/>
            <w:vAlign w:val="center"/>
            <w:hideMark/>
          </w:tcPr>
          <w:p w14:paraId="1F23F88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 people in south Africa protected and feel safe</w:t>
            </w:r>
          </w:p>
        </w:tc>
        <w:tc>
          <w:tcPr>
            <w:tcW w:w="280" w:type="pct"/>
            <w:tcBorders>
              <w:top w:val="nil"/>
              <w:left w:val="nil"/>
              <w:bottom w:val="single" w:sz="4" w:space="0" w:color="auto"/>
              <w:right w:val="single" w:sz="4" w:space="0" w:color="auto"/>
            </w:tcBorders>
            <w:shd w:val="clear" w:color="auto" w:fill="auto"/>
            <w:vAlign w:val="center"/>
            <w:hideMark/>
          </w:tcPr>
          <w:p w14:paraId="42027EE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80" w:type="pct"/>
            <w:tcBorders>
              <w:top w:val="nil"/>
              <w:left w:val="nil"/>
              <w:bottom w:val="single" w:sz="4" w:space="0" w:color="auto"/>
              <w:right w:val="single" w:sz="4" w:space="0" w:color="auto"/>
            </w:tcBorders>
            <w:shd w:val="clear" w:color="auto" w:fill="auto"/>
            <w:vAlign w:val="center"/>
            <w:hideMark/>
          </w:tcPr>
          <w:p w14:paraId="74CC3E2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78" w:type="pct"/>
            <w:tcBorders>
              <w:top w:val="nil"/>
              <w:left w:val="nil"/>
              <w:bottom w:val="single" w:sz="4" w:space="0" w:color="auto"/>
              <w:right w:val="single" w:sz="4" w:space="0" w:color="auto"/>
            </w:tcBorders>
            <w:shd w:val="clear" w:color="auto" w:fill="auto"/>
            <w:vAlign w:val="center"/>
            <w:hideMark/>
          </w:tcPr>
          <w:p w14:paraId="5A79929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provide and maintain infrastructure and services to all, with emphasis on rural communities, in a sustainable manner</w:t>
            </w:r>
          </w:p>
        </w:tc>
        <w:tc>
          <w:tcPr>
            <w:tcW w:w="374" w:type="pct"/>
            <w:tcBorders>
              <w:top w:val="nil"/>
              <w:left w:val="nil"/>
              <w:bottom w:val="single" w:sz="4" w:space="0" w:color="auto"/>
              <w:right w:val="single" w:sz="4" w:space="0" w:color="auto"/>
            </w:tcBorders>
            <w:shd w:val="clear" w:color="auto" w:fill="auto"/>
            <w:vAlign w:val="center"/>
            <w:hideMark/>
          </w:tcPr>
          <w:p w14:paraId="04F9BA0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Monitor the performance of the Service Provider managing the Municipal Pound and ensure that monthly reports are attached to invoices when submitted for payments</w:t>
            </w:r>
          </w:p>
        </w:tc>
        <w:tc>
          <w:tcPr>
            <w:tcW w:w="374" w:type="pct"/>
            <w:tcBorders>
              <w:top w:val="nil"/>
              <w:left w:val="nil"/>
              <w:bottom w:val="single" w:sz="4" w:space="0" w:color="auto"/>
              <w:right w:val="single" w:sz="4" w:space="0" w:color="auto"/>
            </w:tcBorders>
            <w:shd w:val="clear" w:color="auto" w:fill="auto"/>
            <w:vAlign w:val="center"/>
            <w:hideMark/>
          </w:tcPr>
          <w:p w14:paraId="7B63164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Number of performance assessments reports completed by 30 June </w:t>
            </w:r>
          </w:p>
        </w:tc>
        <w:tc>
          <w:tcPr>
            <w:tcW w:w="374" w:type="pct"/>
            <w:tcBorders>
              <w:top w:val="nil"/>
              <w:left w:val="nil"/>
              <w:bottom w:val="single" w:sz="4" w:space="0" w:color="auto"/>
              <w:right w:val="single" w:sz="4" w:space="0" w:color="auto"/>
            </w:tcBorders>
            <w:shd w:val="clear" w:color="auto" w:fill="auto"/>
            <w:vAlign w:val="center"/>
            <w:hideMark/>
          </w:tcPr>
          <w:p w14:paraId="2359A8C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12 service provider assessment reports completed for managing the municipal pound by 30 June and attached to invoices  when submitted for payments</w:t>
            </w:r>
          </w:p>
        </w:tc>
        <w:tc>
          <w:tcPr>
            <w:tcW w:w="305" w:type="pct"/>
            <w:tcBorders>
              <w:top w:val="nil"/>
              <w:left w:val="nil"/>
              <w:bottom w:val="single" w:sz="4" w:space="0" w:color="auto"/>
              <w:right w:val="single" w:sz="4" w:space="0" w:color="auto"/>
            </w:tcBorders>
            <w:shd w:val="clear" w:color="auto" w:fill="auto"/>
            <w:vAlign w:val="center"/>
            <w:hideMark/>
          </w:tcPr>
          <w:p w14:paraId="41ACF38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service provider assessment reports completed for managing the municipal pound by 30 September and attached to invoices when submitted for payments</w:t>
            </w:r>
          </w:p>
        </w:tc>
        <w:tc>
          <w:tcPr>
            <w:tcW w:w="374" w:type="pct"/>
            <w:tcBorders>
              <w:top w:val="nil"/>
              <w:left w:val="nil"/>
              <w:bottom w:val="single" w:sz="4" w:space="0" w:color="auto"/>
              <w:right w:val="single" w:sz="4" w:space="0" w:color="auto"/>
            </w:tcBorders>
            <w:shd w:val="clear" w:color="auto" w:fill="auto"/>
            <w:vAlign w:val="center"/>
            <w:hideMark/>
          </w:tcPr>
          <w:p w14:paraId="2307209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service provider assessment reports completed for managing the municipal pound by 31 December and attached to invoices when submitted for payments</w:t>
            </w:r>
          </w:p>
        </w:tc>
        <w:tc>
          <w:tcPr>
            <w:tcW w:w="305" w:type="pct"/>
            <w:tcBorders>
              <w:top w:val="nil"/>
              <w:left w:val="nil"/>
              <w:bottom w:val="single" w:sz="4" w:space="0" w:color="auto"/>
              <w:right w:val="single" w:sz="4" w:space="0" w:color="auto"/>
            </w:tcBorders>
            <w:shd w:val="clear" w:color="auto" w:fill="auto"/>
            <w:vAlign w:val="center"/>
            <w:hideMark/>
          </w:tcPr>
          <w:p w14:paraId="637B051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service provider assessment reports completed for managing the municipal pound by 31 March and attached to invoices when submitted for payments</w:t>
            </w:r>
          </w:p>
        </w:tc>
        <w:tc>
          <w:tcPr>
            <w:tcW w:w="374" w:type="pct"/>
            <w:tcBorders>
              <w:top w:val="nil"/>
              <w:left w:val="nil"/>
              <w:bottom w:val="single" w:sz="4" w:space="0" w:color="auto"/>
              <w:right w:val="single" w:sz="4" w:space="0" w:color="auto"/>
            </w:tcBorders>
            <w:shd w:val="clear" w:color="auto" w:fill="auto"/>
            <w:vAlign w:val="center"/>
            <w:hideMark/>
          </w:tcPr>
          <w:p w14:paraId="017E5BC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service provider assessment reports completed for managing the municipal pound by 30 June and attached to invoices when submitted for payments</w:t>
            </w:r>
          </w:p>
        </w:tc>
        <w:tc>
          <w:tcPr>
            <w:tcW w:w="251" w:type="pct"/>
            <w:tcBorders>
              <w:top w:val="nil"/>
              <w:left w:val="nil"/>
              <w:bottom w:val="single" w:sz="4" w:space="0" w:color="auto"/>
              <w:right w:val="single" w:sz="4" w:space="0" w:color="auto"/>
            </w:tcBorders>
            <w:shd w:val="clear" w:color="auto" w:fill="auto"/>
            <w:vAlign w:val="center"/>
            <w:hideMark/>
          </w:tcPr>
          <w:p w14:paraId="6794C6A0"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617 580.00</w:t>
            </w:r>
          </w:p>
        </w:tc>
        <w:tc>
          <w:tcPr>
            <w:tcW w:w="146" w:type="pct"/>
            <w:tcBorders>
              <w:top w:val="nil"/>
              <w:left w:val="nil"/>
              <w:bottom w:val="single" w:sz="4" w:space="0" w:color="auto"/>
              <w:right w:val="single" w:sz="4" w:space="0" w:color="auto"/>
            </w:tcBorders>
            <w:shd w:val="clear" w:color="auto" w:fill="auto"/>
            <w:noWrap/>
            <w:vAlign w:val="center"/>
            <w:hideMark/>
          </w:tcPr>
          <w:p w14:paraId="5194CB55"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w:t>
            </w:r>
          </w:p>
        </w:tc>
        <w:tc>
          <w:tcPr>
            <w:tcW w:w="278" w:type="pct"/>
            <w:tcBorders>
              <w:top w:val="nil"/>
              <w:left w:val="nil"/>
              <w:bottom w:val="single" w:sz="4" w:space="0" w:color="auto"/>
              <w:right w:val="single" w:sz="4" w:space="0" w:color="auto"/>
            </w:tcBorders>
            <w:shd w:val="clear" w:color="auto" w:fill="auto"/>
            <w:vAlign w:val="center"/>
            <w:hideMark/>
          </w:tcPr>
          <w:p w14:paraId="54494DB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COMMUNITY SERVICES</w:t>
            </w:r>
          </w:p>
        </w:tc>
        <w:tc>
          <w:tcPr>
            <w:tcW w:w="170" w:type="pct"/>
            <w:tcBorders>
              <w:top w:val="nil"/>
              <w:left w:val="nil"/>
              <w:bottom w:val="single" w:sz="4" w:space="0" w:color="auto"/>
              <w:right w:val="single" w:sz="4" w:space="0" w:color="auto"/>
            </w:tcBorders>
            <w:shd w:val="clear" w:color="auto" w:fill="auto"/>
            <w:vAlign w:val="center"/>
            <w:hideMark/>
          </w:tcPr>
          <w:p w14:paraId="1B36B35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6C5CD49E" w14:textId="77777777" w:rsidTr="008A0277">
        <w:trPr>
          <w:trHeight w:val="169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C56228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Natural disasters</w:t>
            </w:r>
          </w:p>
        </w:tc>
        <w:tc>
          <w:tcPr>
            <w:tcW w:w="136" w:type="pct"/>
            <w:tcBorders>
              <w:top w:val="nil"/>
              <w:left w:val="nil"/>
              <w:bottom w:val="single" w:sz="4" w:space="0" w:color="auto"/>
              <w:right w:val="single" w:sz="4" w:space="0" w:color="auto"/>
            </w:tcBorders>
            <w:shd w:val="clear" w:color="auto" w:fill="auto"/>
            <w:noWrap/>
            <w:vAlign w:val="center"/>
            <w:hideMark/>
          </w:tcPr>
          <w:p w14:paraId="7F764D6E"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TL44</w:t>
            </w:r>
          </w:p>
        </w:tc>
        <w:tc>
          <w:tcPr>
            <w:tcW w:w="141" w:type="pct"/>
            <w:tcBorders>
              <w:top w:val="nil"/>
              <w:left w:val="nil"/>
              <w:bottom w:val="single" w:sz="4" w:space="0" w:color="auto"/>
              <w:right w:val="single" w:sz="4" w:space="0" w:color="auto"/>
            </w:tcBorders>
            <w:shd w:val="clear" w:color="auto" w:fill="auto"/>
            <w:noWrap/>
            <w:vAlign w:val="center"/>
            <w:hideMark/>
          </w:tcPr>
          <w:p w14:paraId="7885795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E5.2-59</w:t>
            </w:r>
          </w:p>
        </w:tc>
        <w:tc>
          <w:tcPr>
            <w:tcW w:w="269" w:type="pct"/>
            <w:tcBorders>
              <w:top w:val="nil"/>
              <w:left w:val="nil"/>
              <w:bottom w:val="single" w:sz="4" w:space="0" w:color="auto"/>
              <w:right w:val="single" w:sz="4" w:space="0" w:color="auto"/>
            </w:tcBorders>
            <w:shd w:val="clear" w:color="auto" w:fill="auto"/>
            <w:vAlign w:val="center"/>
            <w:hideMark/>
          </w:tcPr>
          <w:p w14:paraId="338D96C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 people in south Africa protected and feel safe</w:t>
            </w:r>
          </w:p>
        </w:tc>
        <w:tc>
          <w:tcPr>
            <w:tcW w:w="280" w:type="pct"/>
            <w:tcBorders>
              <w:top w:val="nil"/>
              <w:left w:val="nil"/>
              <w:bottom w:val="single" w:sz="4" w:space="0" w:color="auto"/>
              <w:right w:val="single" w:sz="4" w:space="0" w:color="auto"/>
            </w:tcBorders>
            <w:shd w:val="clear" w:color="auto" w:fill="auto"/>
            <w:vAlign w:val="center"/>
            <w:hideMark/>
          </w:tcPr>
          <w:p w14:paraId="59DD96A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80" w:type="pct"/>
            <w:tcBorders>
              <w:top w:val="nil"/>
              <w:left w:val="nil"/>
              <w:bottom w:val="single" w:sz="4" w:space="0" w:color="auto"/>
              <w:right w:val="single" w:sz="4" w:space="0" w:color="auto"/>
            </w:tcBorders>
            <w:shd w:val="clear" w:color="auto" w:fill="auto"/>
            <w:vAlign w:val="center"/>
            <w:hideMark/>
          </w:tcPr>
          <w:p w14:paraId="24EA2A8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78" w:type="pct"/>
            <w:tcBorders>
              <w:top w:val="nil"/>
              <w:left w:val="nil"/>
              <w:bottom w:val="single" w:sz="4" w:space="0" w:color="auto"/>
              <w:right w:val="single" w:sz="4" w:space="0" w:color="auto"/>
            </w:tcBorders>
            <w:shd w:val="clear" w:color="auto" w:fill="auto"/>
            <w:vAlign w:val="center"/>
            <w:hideMark/>
          </w:tcPr>
          <w:p w14:paraId="466EB2B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provide and maintain infrastructure and services to all, with emphasis on rural communities, in a sustainable manner</w:t>
            </w:r>
          </w:p>
        </w:tc>
        <w:tc>
          <w:tcPr>
            <w:tcW w:w="374" w:type="pct"/>
            <w:tcBorders>
              <w:top w:val="nil"/>
              <w:left w:val="nil"/>
              <w:bottom w:val="single" w:sz="4" w:space="0" w:color="auto"/>
              <w:right w:val="single" w:sz="4" w:space="0" w:color="auto"/>
            </w:tcBorders>
            <w:shd w:val="clear" w:color="auto" w:fill="auto"/>
            <w:vAlign w:val="center"/>
            <w:hideMark/>
          </w:tcPr>
          <w:p w14:paraId="1FCC0F3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Hold quarterly Disaster Forum meetings</w:t>
            </w:r>
          </w:p>
        </w:tc>
        <w:tc>
          <w:tcPr>
            <w:tcW w:w="374" w:type="pct"/>
            <w:tcBorders>
              <w:top w:val="nil"/>
              <w:left w:val="nil"/>
              <w:bottom w:val="single" w:sz="4" w:space="0" w:color="auto"/>
              <w:right w:val="single" w:sz="4" w:space="0" w:color="auto"/>
            </w:tcBorders>
            <w:shd w:val="clear" w:color="auto" w:fill="auto"/>
            <w:vAlign w:val="center"/>
            <w:hideMark/>
          </w:tcPr>
          <w:p w14:paraId="7270BC4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Number of Disaster Forum meetings held by 30 June</w:t>
            </w:r>
          </w:p>
        </w:tc>
        <w:tc>
          <w:tcPr>
            <w:tcW w:w="374" w:type="pct"/>
            <w:tcBorders>
              <w:top w:val="nil"/>
              <w:left w:val="nil"/>
              <w:bottom w:val="single" w:sz="4" w:space="0" w:color="auto"/>
              <w:right w:val="single" w:sz="4" w:space="0" w:color="auto"/>
            </w:tcBorders>
            <w:shd w:val="clear" w:color="auto" w:fill="auto"/>
            <w:vAlign w:val="center"/>
            <w:hideMark/>
          </w:tcPr>
          <w:p w14:paraId="69F3969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4 Disaster Forum meetings held by 30 June </w:t>
            </w:r>
          </w:p>
        </w:tc>
        <w:tc>
          <w:tcPr>
            <w:tcW w:w="305" w:type="pct"/>
            <w:tcBorders>
              <w:top w:val="nil"/>
              <w:left w:val="nil"/>
              <w:bottom w:val="single" w:sz="4" w:space="0" w:color="auto"/>
              <w:right w:val="single" w:sz="4" w:space="0" w:color="auto"/>
            </w:tcBorders>
            <w:shd w:val="clear" w:color="auto" w:fill="auto"/>
            <w:vAlign w:val="center"/>
            <w:hideMark/>
          </w:tcPr>
          <w:p w14:paraId="40E595B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Disaster Forum meeting held by 30 September</w:t>
            </w:r>
          </w:p>
        </w:tc>
        <w:tc>
          <w:tcPr>
            <w:tcW w:w="374" w:type="pct"/>
            <w:tcBorders>
              <w:top w:val="nil"/>
              <w:left w:val="nil"/>
              <w:bottom w:val="single" w:sz="4" w:space="0" w:color="auto"/>
              <w:right w:val="single" w:sz="4" w:space="0" w:color="auto"/>
            </w:tcBorders>
            <w:shd w:val="clear" w:color="auto" w:fill="auto"/>
            <w:vAlign w:val="center"/>
            <w:hideMark/>
          </w:tcPr>
          <w:p w14:paraId="42AE874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Disaster Forum meeting held by 31 December</w:t>
            </w:r>
          </w:p>
        </w:tc>
        <w:tc>
          <w:tcPr>
            <w:tcW w:w="305" w:type="pct"/>
            <w:tcBorders>
              <w:top w:val="nil"/>
              <w:left w:val="nil"/>
              <w:bottom w:val="single" w:sz="4" w:space="0" w:color="auto"/>
              <w:right w:val="single" w:sz="4" w:space="0" w:color="auto"/>
            </w:tcBorders>
            <w:shd w:val="clear" w:color="auto" w:fill="auto"/>
            <w:vAlign w:val="center"/>
            <w:hideMark/>
          </w:tcPr>
          <w:p w14:paraId="3C88357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Disaster Forum meeting held by 31 March</w:t>
            </w:r>
          </w:p>
        </w:tc>
        <w:tc>
          <w:tcPr>
            <w:tcW w:w="374" w:type="pct"/>
            <w:tcBorders>
              <w:top w:val="nil"/>
              <w:left w:val="nil"/>
              <w:bottom w:val="single" w:sz="4" w:space="0" w:color="auto"/>
              <w:right w:val="single" w:sz="4" w:space="0" w:color="auto"/>
            </w:tcBorders>
            <w:shd w:val="clear" w:color="auto" w:fill="auto"/>
            <w:vAlign w:val="center"/>
            <w:hideMark/>
          </w:tcPr>
          <w:p w14:paraId="5077D01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Disaster Forum meeting held by 30 June</w:t>
            </w:r>
          </w:p>
        </w:tc>
        <w:tc>
          <w:tcPr>
            <w:tcW w:w="251" w:type="pct"/>
            <w:tcBorders>
              <w:top w:val="nil"/>
              <w:left w:val="nil"/>
              <w:bottom w:val="single" w:sz="4" w:space="0" w:color="auto"/>
              <w:right w:val="single" w:sz="4" w:space="0" w:color="auto"/>
            </w:tcBorders>
            <w:shd w:val="clear" w:color="auto" w:fill="auto"/>
            <w:vAlign w:val="center"/>
            <w:hideMark/>
          </w:tcPr>
          <w:p w14:paraId="1F764B6F"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880 220.00</w:t>
            </w:r>
          </w:p>
        </w:tc>
        <w:tc>
          <w:tcPr>
            <w:tcW w:w="146" w:type="pct"/>
            <w:tcBorders>
              <w:top w:val="nil"/>
              <w:left w:val="nil"/>
              <w:bottom w:val="single" w:sz="4" w:space="0" w:color="auto"/>
              <w:right w:val="single" w:sz="4" w:space="0" w:color="auto"/>
            </w:tcBorders>
            <w:shd w:val="clear" w:color="auto" w:fill="auto"/>
            <w:noWrap/>
            <w:vAlign w:val="center"/>
            <w:hideMark/>
          </w:tcPr>
          <w:p w14:paraId="1838B5B2"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w:t>
            </w:r>
          </w:p>
        </w:tc>
        <w:tc>
          <w:tcPr>
            <w:tcW w:w="278" w:type="pct"/>
            <w:tcBorders>
              <w:top w:val="nil"/>
              <w:left w:val="nil"/>
              <w:bottom w:val="single" w:sz="4" w:space="0" w:color="auto"/>
              <w:right w:val="single" w:sz="4" w:space="0" w:color="auto"/>
            </w:tcBorders>
            <w:shd w:val="clear" w:color="auto" w:fill="auto"/>
            <w:vAlign w:val="center"/>
            <w:hideMark/>
          </w:tcPr>
          <w:p w14:paraId="529F355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COMMUNITY SERVICES</w:t>
            </w:r>
          </w:p>
        </w:tc>
        <w:tc>
          <w:tcPr>
            <w:tcW w:w="170" w:type="pct"/>
            <w:tcBorders>
              <w:top w:val="nil"/>
              <w:left w:val="nil"/>
              <w:bottom w:val="single" w:sz="4" w:space="0" w:color="auto"/>
              <w:right w:val="single" w:sz="4" w:space="0" w:color="auto"/>
            </w:tcBorders>
            <w:shd w:val="clear" w:color="auto" w:fill="auto"/>
            <w:vAlign w:val="center"/>
            <w:hideMark/>
          </w:tcPr>
          <w:p w14:paraId="40CF50D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6FF6DE51" w14:textId="77777777" w:rsidTr="008A0277">
        <w:trPr>
          <w:trHeight w:val="1349"/>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055980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Inadequate performance monitoring</w:t>
            </w:r>
          </w:p>
        </w:tc>
        <w:tc>
          <w:tcPr>
            <w:tcW w:w="136" w:type="pct"/>
            <w:tcBorders>
              <w:top w:val="nil"/>
              <w:left w:val="nil"/>
              <w:bottom w:val="single" w:sz="4" w:space="0" w:color="auto"/>
              <w:right w:val="single" w:sz="4" w:space="0" w:color="auto"/>
            </w:tcBorders>
            <w:shd w:val="clear" w:color="auto" w:fill="auto"/>
            <w:noWrap/>
            <w:vAlign w:val="center"/>
            <w:hideMark/>
          </w:tcPr>
          <w:p w14:paraId="2EB6FEDE"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TL45</w:t>
            </w:r>
          </w:p>
        </w:tc>
        <w:tc>
          <w:tcPr>
            <w:tcW w:w="141" w:type="pct"/>
            <w:tcBorders>
              <w:top w:val="nil"/>
              <w:left w:val="nil"/>
              <w:bottom w:val="single" w:sz="4" w:space="0" w:color="auto"/>
              <w:right w:val="single" w:sz="4" w:space="0" w:color="auto"/>
            </w:tcBorders>
            <w:shd w:val="clear" w:color="auto" w:fill="auto"/>
            <w:noWrap/>
            <w:vAlign w:val="center"/>
            <w:hideMark/>
          </w:tcPr>
          <w:p w14:paraId="3D5C63D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E5.2-60</w:t>
            </w:r>
          </w:p>
        </w:tc>
        <w:tc>
          <w:tcPr>
            <w:tcW w:w="269" w:type="pct"/>
            <w:tcBorders>
              <w:top w:val="nil"/>
              <w:left w:val="nil"/>
              <w:bottom w:val="single" w:sz="4" w:space="0" w:color="auto"/>
              <w:right w:val="single" w:sz="4" w:space="0" w:color="auto"/>
            </w:tcBorders>
            <w:shd w:val="clear" w:color="auto" w:fill="auto"/>
            <w:vAlign w:val="center"/>
            <w:hideMark/>
          </w:tcPr>
          <w:p w14:paraId="1C6E024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 people in south Africa protected and feel safe</w:t>
            </w:r>
          </w:p>
        </w:tc>
        <w:tc>
          <w:tcPr>
            <w:tcW w:w="280" w:type="pct"/>
            <w:tcBorders>
              <w:top w:val="nil"/>
              <w:left w:val="nil"/>
              <w:bottom w:val="single" w:sz="4" w:space="0" w:color="auto"/>
              <w:right w:val="single" w:sz="4" w:space="0" w:color="auto"/>
            </w:tcBorders>
            <w:shd w:val="clear" w:color="auto" w:fill="auto"/>
            <w:vAlign w:val="center"/>
            <w:hideMark/>
          </w:tcPr>
          <w:p w14:paraId="4359030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80" w:type="pct"/>
            <w:tcBorders>
              <w:top w:val="nil"/>
              <w:left w:val="nil"/>
              <w:bottom w:val="single" w:sz="4" w:space="0" w:color="auto"/>
              <w:right w:val="single" w:sz="4" w:space="0" w:color="auto"/>
            </w:tcBorders>
            <w:shd w:val="clear" w:color="auto" w:fill="auto"/>
            <w:vAlign w:val="center"/>
            <w:hideMark/>
          </w:tcPr>
          <w:p w14:paraId="48D5083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Financial Viability and Management</w:t>
            </w:r>
          </w:p>
        </w:tc>
        <w:tc>
          <w:tcPr>
            <w:tcW w:w="278" w:type="pct"/>
            <w:tcBorders>
              <w:top w:val="nil"/>
              <w:left w:val="nil"/>
              <w:bottom w:val="single" w:sz="4" w:space="0" w:color="auto"/>
              <w:right w:val="single" w:sz="4" w:space="0" w:color="auto"/>
            </w:tcBorders>
            <w:shd w:val="clear" w:color="auto" w:fill="auto"/>
            <w:vAlign w:val="center"/>
            <w:hideMark/>
          </w:tcPr>
          <w:p w14:paraId="2FA9116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ensure continued sound financial management</w:t>
            </w:r>
          </w:p>
        </w:tc>
        <w:tc>
          <w:tcPr>
            <w:tcW w:w="374" w:type="pct"/>
            <w:tcBorders>
              <w:top w:val="nil"/>
              <w:left w:val="nil"/>
              <w:bottom w:val="single" w:sz="4" w:space="0" w:color="auto"/>
              <w:right w:val="single" w:sz="4" w:space="0" w:color="auto"/>
            </w:tcBorders>
            <w:shd w:val="clear" w:color="auto" w:fill="auto"/>
            <w:vAlign w:val="center"/>
            <w:hideMark/>
          </w:tcPr>
          <w:p w14:paraId="040E6E9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Monitor the performance of TMT Service Provider and ensure that monthly reports are attached to invoices when submitted for payments</w:t>
            </w:r>
          </w:p>
        </w:tc>
        <w:tc>
          <w:tcPr>
            <w:tcW w:w="374" w:type="pct"/>
            <w:tcBorders>
              <w:top w:val="nil"/>
              <w:left w:val="nil"/>
              <w:bottom w:val="single" w:sz="4" w:space="0" w:color="auto"/>
              <w:right w:val="single" w:sz="4" w:space="0" w:color="auto"/>
            </w:tcBorders>
            <w:shd w:val="clear" w:color="auto" w:fill="auto"/>
            <w:vAlign w:val="center"/>
            <w:hideMark/>
          </w:tcPr>
          <w:p w14:paraId="38B4A71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Number of performance assessments reports completed by 30 June </w:t>
            </w:r>
          </w:p>
        </w:tc>
        <w:tc>
          <w:tcPr>
            <w:tcW w:w="374" w:type="pct"/>
            <w:tcBorders>
              <w:top w:val="nil"/>
              <w:left w:val="nil"/>
              <w:bottom w:val="single" w:sz="4" w:space="0" w:color="auto"/>
              <w:right w:val="single" w:sz="4" w:space="0" w:color="auto"/>
            </w:tcBorders>
            <w:shd w:val="clear" w:color="auto" w:fill="auto"/>
            <w:vAlign w:val="center"/>
            <w:hideMark/>
          </w:tcPr>
          <w:p w14:paraId="0579EA5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12 service provider assessment reports completed forTMT Services by 30 June and attached to invoices  when submitted for payments</w:t>
            </w:r>
          </w:p>
        </w:tc>
        <w:tc>
          <w:tcPr>
            <w:tcW w:w="305" w:type="pct"/>
            <w:tcBorders>
              <w:top w:val="nil"/>
              <w:left w:val="nil"/>
              <w:bottom w:val="single" w:sz="4" w:space="0" w:color="auto"/>
              <w:right w:val="single" w:sz="4" w:space="0" w:color="auto"/>
            </w:tcBorders>
            <w:shd w:val="clear" w:color="auto" w:fill="auto"/>
            <w:vAlign w:val="center"/>
            <w:hideMark/>
          </w:tcPr>
          <w:p w14:paraId="31205AD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service provider assessment reports completed for TMT Services by 30 September and attached to invoices when submitted for payments</w:t>
            </w:r>
          </w:p>
        </w:tc>
        <w:tc>
          <w:tcPr>
            <w:tcW w:w="374" w:type="pct"/>
            <w:tcBorders>
              <w:top w:val="nil"/>
              <w:left w:val="nil"/>
              <w:bottom w:val="single" w:sz="4" w:space="0" w:color="auto"/>
              <w:right w:val="single" w:sz="4" w:space="0" w:color="auto"/>
            </w:tcBorders>
            <w:shd w:val="clear" w:color="auto" w:fill="auto"/>
            <w:vAlign w:val="center"/>
            <w:hideMark/>
          </w:tcPr>
          <w:p w14:paraId="414A6D6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service provider assessment reports completed for TMT Services by 31 December and attached to invoices when submitted for payments</w:t>
            </w:r>
          </w:p>
        </w:tc>
        <w:tc>
          <w:tcPr>
            <w:tcW w:w="305" w:type="pct"/>
            <w:tcBorders>
              <w:top w:val="nil"/>
              <w:left w:val="nil"/>
              <w:bottom w:val="single" w:sz="4" w:space="0" w:color="auto"/>
              <w:right w:val="single" w:sz="4" w:space="0" w:color="auto"/>
            </w:tcBorders>
            <w:shd w:val="clear" w:color="auto" w:fill="auto"/>
            <w:vAlign w:val="center"/>
            <w:hideMark/>
          </w:tcPr>
          <w:p w14:paraId="5F55080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service provider assessment reports completed for TMT Services by 31 March and attached to invoices when submitted for payments</w:t>
            </w:r>
          </w:p>
        </w:tc>
        <w:tc>
          <w:tcPr>
            <w:tcW w:w="374" w:type="pct"/>
            <w:tcBorders>
              <w:top w:val="nil"/>
              <w:left w:val="nil"/>
              <w:bottom w:val="single" w:sz="4" w:space="0" w:color="auto"/>
              <w:right w:val="single" w:sz="4" w:space="0" w:color="auto"/>
            </w:tcBorders>
            <w:shd w:val="clear" w:color="auto" w:fill="auto"/>
            <w:vAlign w:val="center"/>
            <w:hideMark/>
          </w:tcPr>
          <w:p w14:paraId="5C22B48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service provider assessment reports completed for TMT Services by 30 June and attached to invoices when submitted for payments</w:t>
            </w:r>
          </w:p>
        </w:tc>
        <w:tc>
          <w:tcPr>
            <w:tcW w:w="251" w:type="pct"/>
            <w:tcBorders>
              <w:top w:val="nil"/>
              <w:left w:val="nil"/>
              <w:bottom w:val="single" w:sz="4" w:space="0" w:color="auto"/>
              <w:right w:val="single" w:sz="4" w:space="0" w:color="auto"/>
            </w:tcBorders>
            <w:shd w:val="clear" w:color="auto" w:fill="auto"/>
            <w:vAlign w:val="center"/>
            <w:hideMark/>
          </w:tcPr>
          <w:p w14:paraId="3A75C9FC"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3 088 140.00</w:t>
            </w:r>
          </w:p>
        </w:tc>
        <w:tc>
          <w:tcPr>
            <w:tcW w:w="146" w:type="pct"/>
            <w:tcBorders>
              <w:top w:val="nil"/>
              <w:left w:val="nil"/>
              <w:bottom w:val="single" w:sz="4" w:space="0" w:color="auto"/>
              <w:right w:val="single" w:sz="4" w:space="0" w:color="auto"/>
            </w:tcBorders>
            <w:shd w:val="clear" w:color="auto" w:fill="auto"/>
            <w:noWrap/>
            <w:vAlign w:val="center"/>
            <w:hideMark/>
          </w:tcPr>
          <w:p w14:paraId="53D2A1EF"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w:t>
            </w:r>
          </w:p>
        </w:tc>
        <w:tc>
          <w:tcPr>
            <w:tcW w:w="278" w:type="pct"/>
            <w:tcBorders>
              <w:top w:val="nil"/>
              <w:left w:val="nil"/>
              <w:bottom w:val="single" w:sz="4" w:space="0" w:color="auto"/>
              <w:right w:val="single" w:sz="4" w:space="0" w:color="auto"/>
            </w:tcBorders>
            <w:shd w:val="clear" w:color="auto" w:fill="auto"/>
            <w:vAlign w:val="center"/>
            <w:hideMark/>
          </w:tcPr>
          <w:p w14:paraId="529B426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COMMUNITY SERVICES</w:t>
            </w:r>
          </w:p>
        </w:tc>
        <w:tc>
          <w:tcPr>
            <w:tcW w:w="170" w:type="pct"/>
            <w:tcBorders>
              <w:top w:val="nil"/>
              <w:left w:val="nil"/>
              <w:bottom w:val="single" w:sz="4" w:space="0" w:color="auto"/>
              <w:right w:val="single" w:sz="4" w:space="0" w:color="auto"/>
            </w:tcBorders>
            <w:shd w:val="clear" w:color="auto" w:fill="auto"/>
            <w:vAlign w:val="center"/>
            <w:hideMark/>
          </w:tcPr>
          <w:p w14:paraId="294FA84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ADMIN</w:t>
            </w:r>
          </w:p>
        </w:tc>
      </w:tr>
      <w:tr w:rsidR="008A0277" w:rsidRPr="008A0277" w14:paraId="10A82166" w14:textId="77777777" w:rsidTr="008A0277">
        <w:trPr>
          <w:trHeight w:val="1405"/>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CBBAA4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Service Delivery Backlogs</w:t>
            </w:r>
          </w:p>
        </w:tc>
        <w:tc>
          <w:tcPr>
            <w:tcW w:w="136" w:type="pct"/>
            <w:tcBorders>
              <w:top w:val="nil"/>
              <w:left w:val="nil"/>
              <w:bottom w:val="single" w:sz="4" w:space="0" w:color="auto"/>
              <w:right w:val="single" w:sz="4" w:space="0" w:color="auto"/>
            </w:tcBorders>
            <w:shd w:val="clear" w:color="auto" w:fill="auto"/>
            <w:noWrap/>
            <w:vAlign w:val="center"/>
            <w:hideMark/>
          </w:tcPr>
          <w:p w14:paraId="76816D4A"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TL46</w:t>
            </w:r>
          </w:p>
        </w:tc>
        <w:tc>
          <w:tcPr>
            <w:tcW w:w="141" w:type="pct"/>
            <w:tcBorders>
              <w:top w:val="nil"/>
              <w:left w:val="nil"/>
              <w:bottom w:val="single" w:sz="4" w:space="0" w:color="auto"/>
              <w:right w:val="single" w:sz="4" w:space="0" w:color="auto"/>
            </w:tcBorders>
            <w:shd w:val="clear" w:color="auto" w:fill="auto"/>
            <w:noWrap/>
            <w:vAlign w:val="center"/>
            <w:hideMark/>
          </w:tcPr>
          <w:p w14:paraId="5E4AB2E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E5.2-62</w:t>
            </w:r>
          </w:p>
        </w:tc>
        <w:tc>
          <w:tcPr>
            <w:tcW w:w="269" w:type="pct"/>
            <w:tcBorders>
              <w:top w:val="nil"/>
              <w:left w:val="nil"/>
              <w:bottom w:val="single" w:sz="4" w:space="0" w:color="auto"/>
              <w:right w:val="single" w:sz="4" w:space="0" w:color="auto"/>
            </w:tcBorders>
            <w:shd w:val="clear" w:color="auto" w:fill="auto"/>
            <w:vAlign w:val="center"/>
            <w:hideMark/>
          </w:tcPr>
          <w:p w14:paraId="72BF48D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development-orientated public service and inclusive citizenship</w:t>
            </w:r>
          </w:p>
        </w:tc>
        <w:tc>
          <w:tcPr>
            <w:tcW w:w="280" w:type="pct"/>
            <w:tcBorders>
              <w:top w:val="nil"/>
              <w:left w:val="nil"/>
              <w:bottom w:val="single" w:sz="4" w:space="0" w:color="auto"/>
              <w:right w:val="single" w:sz="4" w:space="0" w:color="auto"/>
            </w:tcBorders>
            <w:shd w:val="clear" w:color="auto" w:fill="auto"/>
            <w:vAlign w:val="center"/>
            <w:hideMark/>
          </w:tcPr>
          <w:p w14:paraId="2F59A3D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80" w:type="pct"/>
            <w:tcBorders>
              <w:top w:val="nil"/>
              <w:left w:val="nil"/>
              <w:bottom w:val="single" w:sz="4" w:space="0" w:color="auto"/>
              <w:right w:val="single" w:sz="4" w:space="0" w:color="auto"/>
            </w:tcBorders>
            <w:shd w:val="clear" w:color="auto" w:fill="auto"/>
            <w:vAlign w:val="center"/>
            <w:hideMark/>
          </w:tcPr>
          <w:p w14:paraId="1CF02DA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78" w:type="pct"/>
            <w:tcBorders>
              <w:top w:val="nil"/>
              <w:left w:val="nil"/>
              <w:bottom w:val="single" w:sz="4" w:space="0" w:color="auto"/>
              <w:right w:val="single" w:sz="4" w:space="0" w:color="auto"/>
            </w:tcBorders>
            <w:shd w:val="clear" w:color="auto" w:fill="auto"/>
            <w:vAlign w:val="center"/>
            <w:hideMark/>
          </w:tcPr>
          <w:p w14:paraId="451332E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provide and maintain infrastructure and services to all, with emphasis on rural communities, in a sustainable manner</w:t>
            </w:r>
          </w:p>
        </w:tc>
        <w:tc>
          <w:tcPr>
            <w:tcW w:w="374" w:type="pct"/>
            <w:tcBorders>
              <w:top w:val="nil"/>
              <w:left w:val="nil"/>
              <w:bottom w:val="single" w:sz="4" w:space="0" w:color="auto"/>
              <w:right w:val="single" w:sz="4" w:space="0" w:color="auto"/>
            </w:tcBorders>
            <w:shd w:val="clear" w:color="auto" w:fill="auto"/>
            <w:vAlign w:val="center"/>
            <w:hideMark/>
          </w:tcPr>
          <w:p w14:paraId="0C93E73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Ensure the Construction of Basamlilo Sports field by 30 June</w:t>
            </w:r>
          </w:p>
        </w:tc>
        <w:tc>
          <w:tcPr>
            <w:tcW w:w="374" w:type="pct"/>
            <w:tcBorders>
              <w:top w:val="nil"/>
              <w:left w:val="nil"/>
              <w:bottom w:val="single" w:sz="4" w:space="0" w:color="auto"/>
              <w:right w:val="single" w:sz="4" w:space="0" w:color="auto"/>
            </w:tcBorders>
            <w:shd w:val="clear" w:color="auto" w:fill="auto"/>
            <w:vAlign w:val="center"/>
            <w:hideMark/>
          </w:tcPr>
          <w:p w14:paraId="2118E32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Date of completion of construction of Sportsfield</w:t>
            </w:r>
          </w:p>
        </w:tc>
        <w:tc>
          <w:tcPr>
            <w:tcW w:w="374" w:type="pct"/>
            <w:tcBorders>
              <w:top w:val="nil"/>
              <w:left w:val="nil"/>
              <w:bottom w:val="single" w:sz="4" w:space="0" w:color="auto"/>
              <w:right w:val="single" w:sz="4" w:space="0" w:color="auto"/>
            </w:tcBorders>
            <w:shd w:val="clear" w:color="auto" w:fill="auto"/>
            <w:vAlign w:val="center"/>
            <w:hideMark/>
          </w:tcPr>
          <w:p w14:paraId="52CFD47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Construction of Basamlilo sportsfield completed by 30 June</w:t>
            </w:r>
          </w:p>
        </w:tc>
        <w:tc>
          <w:tcPr>
            <w:tcW w:w="305" w:type="pct"/>
            <w:tcBorders>
              <w:top w:val="nil"/>
              <w:left w:val="nil"/>
              <w:bottom w:val="single" w:sz="4" w:space="0" w:color="auto"/>
              <w:right w:val="single" w:sz="4" w:space="0" w:color="auto"/>
            </w:tcBorders>
            <w:shd w:val="clear" w:color="auto" w:fill="auto"/>
            <w:vAlign w:val="center"/>
            <w:hideMark/>
          </w:tcPr>
          <w:p w14:paraId="0A15DB8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03929F4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05" w:type="pct"/>
            <w:tcBorders>
              <w:top w:val="nil"/>
              <w:left w:val="nil"/>
              <w:bottom w:val="single" w:sz="4" w:space="0" w:color="auto"/>
              <w:right w:val="single" w:sz="4" w:space="0" w:color="auto"/>
            </w:tcBorders>
            <w:shd w:val="clear" w:color="auto" w:fill="auto"/>
            <w:vAlign w:val="center"/>
            <w:hideMark/>
          </w:tcPr>
          <w:p w14:paraId="2AF5689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23B9739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Construction of Basamlilo sportsfield completed by 30 June</w:t>
            </w:r>
          </w:p>
        </w:tc>
        <w:tc>
          <w:tcPr>
            <w:tcW w:w="251" w:type="pct"/>
            <w:tcBorders>
              <w:top w:val="nil"/>
              <w:left w:val="nil"/>
              <w:bottom w:val="single" w:sz="4" w:space="0" w:color="auto"/>
              <w:right w:val="single" w:sz="4" w:space="0" w:color="auto"/>
            </w:tcBorders>
            <w:shd w:val="clear" w:color="auto" w:fill="auto"/>
            <w:vAlign w:val="center"/>
            <w:hideMark/>
          </w:tcPr>
          <w:p w14:paraId="1C945DCC"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9 500 000.00</w:t>
            </w:r>
          </w:p>
        </w:tc>
        <w:tc>
          <w:tcPr>
            <w:tcW w:w="146" w:type="pct"/>
            <w:tcBorders>
              <w:top w:val="nil"/>
              <w:left w:val="nil"/>
              <w:bottom w:val="single" w:sz="4" w:space="0" w:color="auto"/>
              <w:right w:val="single" w:sz="4" w:space="0" w:color="auto"/>
            </w:tcBorders>
            <w:shd w:val="clear" w:color="auto" w:fill="auto"/>
            <w:noWrap/>
            <w:vAlign w:val="center"/>
            <w:hideMark/>
          </w:tcPr>
          <w:p w14:paraId="02DF0AD8"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NEW</w:t>
            </w:r>
          </w:p>
        </w:tc>
        <w:tc>
          <w:tcPr>
            <w:tcW w:w="278" w:type="pct"/>
            <w:tcBorders>
              <w:top w:val="nil"/>
              <w:left w:val="nil"/>
              <w:bottom w:val="single" w:sz="4" w:space="0" w:color="auto"/>
              <w:right w:val="single" w:sz="4" w:space="0" w:color="auto"/>
            </w:tcBorders>
            <w:shd w:val="clear" w:color="auto" w:fill="auto"/>
            <w:vAlign w:val="center"/>
            <w:hideMark/>
          </w:tcPr>
          <w:p w14:paraId="41AFA8A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COMMUNITY SERVICES</w:t>
            </w:r>
          </w:p>
        </w:tc>
        <w:tc>
          <w:tcPr>
            <w:tcW w:w="170" w:type="pct"/>
            <w:tcBorders>
              <w:top w:val="nil"/>
              <w:left w:val="nil"/>
              <w:bottom w:val="single" w:sz="4" w:space="0" w:color="auto"/>
              <w:right w:val="single" w:sz="4" w:space="0" w:color="auto"/>
            </w:tcBorders>
            <w:shd w:val="clear" w:color="auto" w:fill="auto"/>
            <w:vAlign w:val="center"/>
            <w:hideMark/>
          </w:tcPr>
          <w:p w14:paraId="0AE5101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Ward 16</w:t>
            </w:r>
          </w:p>
        </w:tc>
      </w:tr>
      <w:tr w:rsidR="008A0277" w:rsidRPr="008A0277" w14:paraId="22801DB9" w14:textId="77777777" w:rsidTr="008A0277">
        <w:trPr>
          <w:trHeight w:val="177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D15F90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Service Delivery Backlogs</w:t>
            </w:r>
          </w:p>
        </w:tc>
        <w:tc>
          <w:tcPr>
            <w:tcW w:w="136" w:type="pct"/>
            <w:tcBorders>
              <w:top w:val="nil"/>
              <w:left w:val="nil"/>
              <w:bottom w:val="single" w:sz="4" w:space="0" w:color="auto"/>
              <w:right w:val="single" w:sz="4" w:space="0" w:color="auto"/>
            </w:tcBorders>
            <w:shd w:val="clear" w:color="auto" w:fill="auto"/>
            <w:noWrap/>
            <w:vAlign w:val="center"/>
            <w:hideMark/>
          </w:tcPr>
          <w:p w14:paraId="6EFE88FB"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TL47</w:t>
            </w:r>
          </w:p>
        </w:tc>
        <w:tc>
          <w:tcPr>
            <w:tcW w:w="141" w:type="pct"/>
            <w:tcBorders>
              <w:top w:val="nil"/>
              <w:left w:val="nil"/>
              <w:bottom w:val="single" w:sz="4" w:space="0" w:color="auto"/>
              <w:right w:val="single" w:sz="4" w:space="0" w:color="auto"/>
            </w:tcBorders>
            <w:shd w:val="clear" w:color="auto" w:fill="auto"/>
            <w:noWrap/>
            <w:vAlign w:val="center"/>
            <w:hideMark/>
          </w:tcPr>
          <w:p w14:paraId="35D9FB6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E5.2-61</w:t>
            </w:r>
          </w:p>
        </w:tc>
        <w:tc>
          <w:tcPr>
            <w:tcW w:w="269" w:type="pct"/>
            <w:tcBorders>
              <w:top w:val="nil"/>
              <w:left w:val="nil"/>
              <w:bottom w:val="single" w:sz="4" w:space="0" w:color="auto"/>
              <w:right w:val="single" w:sz="4" w:space="0" w:color="auto"/>
            </w:tcBorders>
            <w:shd w:val="clear" w:color="auto" w:fill="auto"/>
            <w:vAlign w:val="center"/>
            <w:hideMark/>
          </w:tcPr>
          <w:p w14:paraId="068F29F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development-orientated public service and inclusive citizenship</w:t>
            </w:r>
          </w:p>
        </w:tc>
        <w:tc>
          <w:tcPr>
            <w:tcW w:w="280" w:type="pct"/>
            <w:tcBorders>
              <w:top w:val="nil"/>
              <w:left w:val="nil"/>
              <w:bottom w:val="single" w:sz="4" w:space="0" w:color="auto"/>
              <w:right w:val="single" w:sz="4" w:space="0" w:color="auto"/>
            </w:tcBorders>
            <w:shd w:val="clear" w:color="auto" w:fill="auto"/>
            <w:vAlign w:val="center"/>
            <w:hideMark/>
          </w:tcPr>
          <w:p w14:paraId="3D4A9AE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80" w:type="pct"/>
            <w:tcBorders>
              <w:top w:val="nil"/>
              <w:left w:val="nil"/>
              <w:bottom w:val="single" w:sz="4" w:space="0" w:color="auto"/>
              <w:right w:val="single" w:sz="4" w:space="0" w:color="auto"/>
            </w:tcBorders>
            <w:shd w:val="clear" w:color="auto" w:fill="auto"/>
            <w:vAlign w:val="center"/>
            <w:hideMark/>
          </w:tcPr>
          <w:p w14:paraId="7224D75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78" w:type="pct"/>
            <w:tcBorders>
              <w:top w:val="nil"/>
              <w:left w:val="nil"/>
              <w:bottom w:val="single" w:sz="4" w:space="0" w:color="auto"/>
              <w:right w:val="single" w:sz="4" w:space="0" w:color="auto"/>
            </w:tcBorders>
            <w:shd w:val="clear" w:color="auto" w:fill="auto"/>
            <w:vAlign w:val="center"/>
            <w:hideMark/>
          </w:tcPr>
          <w:p w14:paraId="0A6645D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provide and maintain infrastructure and services to all, with emphasis on rural communities, in a sustainable manner</w:t>
            </w:r>
          </w:p>
        </w:tc>
        <w:tc>
          <w:tcPr>
            <w:tcW w:w="374" w:type="pct"/>
            <w:tcBorders>
              <w:top w:val="nil"/>
              <w:left w:val="nil"/>
              <w:bottom w:val="single" w:sz="4" w:space="0" w:color="auto"/>
              <w:right w:val="single" w:sz="4" w:space="0" w:color="auto"/>
            </w:tcBorders>
            <w:shd w:val="clear" w:color="auto" w:fill="auto"/>
            <w:vAlign w:val="center"/>
            <w:hideMark/>
          </w:tcPr>
          <w:p w14:paraId="109291D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Ensure the Construction of Nteneshane Sports field by 30 march</w:t>
            </w:r>
          </w:p>
        </w:tc>
        <w:tc>
          <w:tcPr>
            <w:tcW w:w="374" w:type="pct"/>
            <w:tcBorders>
              <w:top w:val="nil"/>
              <w:left w:val="nil"/>
              <w:bottom w:val="single" w:sz="4" w:space="0" w:color="auto"/>
              <w:right w:val="single" w:sz="4" w:space="0" w:color="auto"/>
            </w:tcBorders>
            <w:shd w:val="clear" w:color="auto" w:fill="auto"/>
            <w:vAlign w:val="center"/>
            <w:hideMark/>
          </w:tcPr>
          <w:p w14:paraId="61F1B02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Date of completion of construction of Sportsfield</w:t>
            </w:r>
          </w:p>
        </w:tc>
        <w:tc>
          <w:tcPr>
            <w:tcW w:w="374" w:type="pct"/>
            <w:tcBorders>
              <w:top w:val="nil"/>
              <w:left w:val="nil"/>
              <w:bottom w:val="single" w:sz="4" w:space="0" w:color="auto"/>
              <w:right w:val="single" w:sz="4" w:space="0" w:color="auto"/>
            </w:tcBorders>
            <w:shd w:val="clear" w:color="auto" w:fill="auto"/>
            <w:vAlign w:val="center"/>
            <w:hideMark/>
          </w:tcPr>
          <w:p w14:paraId="1000D51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Construction of Nteneshane sportsfield completed by 30 March</w:t>
            </w:r>
          </w:p>
        </w:tc>
        <w:tc>
          <w:tcPr>
            <w:tcW w:w="305" w:type="pct"/>
            <w:tcBorders>
              <w:top w:val="nil"/>
              <w:left w:val="nil"/>
              <w:bottom w:val="single" w:sz="4" w:space="0" w:color="auto"/>
              <w:right w:val="single" w:sz="4" w:space="0" w:color="auto"/>
            </w:tcBorders>
            <w:shd w:val="clear" w:color="auto" w:fill="auto"/>
            <w:vAlign w:val="center"/>
            <w:hideMark/>
          </w:tcPr>
          <w:p w14:paraId="0AFAA66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4CCF4E6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05" w:type="pct"/>
            <w:tcBorders>
              <w:top w:val="nil"/>
              <w:left w:val="nil"/>
              <w:bottom w:val="single" w:sz="4" w:space="0" w:color="auto"/>
              <w:right w:val="single" w:sz="4" w:space="0" w:color="auto"/>
            </w:tcBorders>
            <w:shd w:val="clear" w:color="auto" w:fill="auto"/>
            <w:vAlign w:val="center"/>
            <w:hideMark/>
          </w:tcPr>
          <w:p w14:paraId="47FED49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Construction of Nteneshane sportsfield completed by 30 March</w:t>
            </w:r>
          </w:p>
        </w:tc>
        <w:tc>
          <w:tcPr>
            <w:tcW w:w="374" w:type="pct"/>
            <w:tcBorders>
              <w:top w:val="nil"/>
              <w:left w:val="nil"/>
              <w:bottom w:val="single" w:sz="4" w:space="0" w:color="auto"/>
              <w:right w:val="single" w:sz="4" w:space="0" w:color="auto"/>
            </w:tcBorders>
            <w:shd w:val="clear" w:color="auto" w:fill="auto"/>
            <w:vAlign w:val="center"/>
            <w:hideMark/>
          </w:tcPr>
          <w:p w14:paraId="162DF67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251" w:type="pct"/>
            <w:tcBorders>
              <w:top w:val="nil"/>
              <w:left w:val="nil"/>
              <w:bottom w:val="single" w:sz="4" w:space="0" w:color="auto"/>
              <w:right w:val="single" w:sz="4" w:space="0" w:color="auto"/>
            </w:tcBorders>
            <w:shd w:val="clear" w:color="auto" w:fill="auto"/>
            <w:vAlign w:val="center"/>
            <w:hideMark/>
          </w:tcPr>
          <w:p w14:paraId="7C556F72"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4 212 470.00</w:t>
            </w:r>
          </w:p>
        </w:tc>
        <w:tc>
          <w:tcPr>
            <w:tcW w:w="146" w:type="pct"/>
            <w:tcBorders>
              <w:top w:val="nil"/>
              <w:left w:val="nil"/>
              <w:bottom w:val="single" w:sz="4" w:space="0" w:color="auto"/>
              <w:right w:val="single" w:sz="4" w:space="0" w:color="auto"/>
            </w:tcBorders>
            <w:shd w:val="clear" w:color="auto" w:fill="auto"/>
            <w:noWrap/>
            <w:vAlign w:val="center"/>
            <w:hideMark/>
          </w:tcPr>
          <w:p w14:paraId="74A17367"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NEW</w:t>
            </w:r>
          </w:p>
        </w:tc>
        <w:tc>
          <w:tcPr>
            <w:tcW w:w="278" w:type="pct"/>
            <w:tcBorders>
              <w:top w:val="nil"/>
              <w:left w:val="nil"/>
              <w:bottom w:val="single" w:sz="4" w:space="0" w:color="auto"/>
              <w:right w:val="single" w:sz="4" w:space="0" w:color="auto"/>
            </w:tcBorders>
            <w:shd w:val="clear" w:color="auto" w:fill="auto"/>
            <w:vAlign w:val="center"/>
            <w:hideMark/>
          </w:tcPr>
          <w:p w14:paraId="70D5348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COMMUNITY SERVICES</w:t>
            </w:r>
          </w:p>
        </w:tc>
        <w:tc>
          <w:tcPr>
            <w:tcW w:w="170" w:type="pct"/>
            <w:tcBorders>
              <w:top w:val="nil"/>
              <w:left w:val="nil"/>
              <w:bottom w:val="single" w:sz="4" w:space="0" w:color="auto"/>
              <w:right w:val="single" w:sz="4" w:space="0" w:color="auto"/>
            </w:tcBorders>
            <w:shd w:val="clear" w:color="auto" w:fill="auto"/>
            <w:vAlign w:val="center"/>
            <w:hideMark/>
          </w:tcPr>
          <w:p w14:paraId="3E4CC72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Ward 23</w:t>
            </w:r>
          </w:p>
        </w:tc>
      </w:tr>
      <w:tr w:rsidR="008A0277" w:rsidRPr="008A0277" w14:paraId="33174BE6" w14:textId="77777777" w:rsidTr="008A0277">
        <w:trPr>
          <w:trHeight w:val="416"/>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80108C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Service Delivery Backlogs</w:t>
            </w:r>
          </w:p>
        </w:tc>
        <w:tc>
          <w:tcPr>
            <w:tcW w:w="136" w:type="pct"/>
            <w:tcBorders>
              <w:top w:val="nil"/>
              <w:left w:val="nil"/>
              <w:bottom w:val="single" w:sz="4" w:space="0" w:color="auto"/>
              <w:right w:val="single" w:sz="4" w:space="0" w:color="auto"/>
            </w:tcBorders>
            <w:shd w:val="clear" w:color="auto" w:fill="auto"/>
            <w:noWrap/>
            <w:vAlign w:val="center"/>
            <w:hideMark/>
          </w:tcPr>
          <w:p w14:paraId="4ABB0B45"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TL48</w:t>
            </w:r>
          </w:p>
        </w:tc>
        <w:tc>
          <w:tcPr>
            <w:tcW w:w="141" w:type="pct"/>
            <w:tcBorders>
              <w:top w:val="nil"/>
              <w:left w:val="nil"/>
              <w:bottom w:val="single" w:sz="4" w:space="0" w:color="auto"/>
              <w:right w:val="single" w:sz="4" w:space="0" w:color="auto"/>
            </w:tcBorders>
            <w:shd w:val="clear" w:color="auto" w:fill="auto"/>
            <w:noWrap/>
            <w:vAlign w:val="center"/>
            <w:hideMark/>
          </w:tcPr>
          <w:p w14:paraId="04AC206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E5.2-63</w:t>
            </w:r>
          </w:p>
        </w:tc>
        <w:tc>
          <w:tcPr>
            <w:tcW w:w="269" w:type="pct"/>
            <w:tcBorders>
              <w:top w:val="nil"/>
              <w:left w:val="nil"/>
              <w:bottom w:val="single" w:sz="4" w:space="0" w:color="auto"/>
              <w:right w:val="single" w:sz="4" w:space="0" w:color="auto"/>
            </w:tcBorders>
            <w:shd w:val="clear" w:color="auto" w:fill="auto"/>
            <w:vAlign w:val="center"/>
            <w:hideMark/>
          </w:tcPr>
          <w:p w14:paraId="5A63A3B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development-orientated public service and inclusive citizenship</w:t>
            </w:r>
          </w:p>
        </w:tc>
        <w:tc>
          <w:tcPr>
            <w:tcW w:w="280" w:type="pct"/>
            <w:tcBorders>
              <w:top w:val="nil"/>
              <w:left w:val="nil"/>
              <w:bottom w:val="single" w:sz="4" w:space="0" w:color="auto"/>
              <w:right w:val="single" w:sz="4" w:space="0" w:color="auto"/>
            </w:tcBorders>
            <w:shd w:val="clear" w:color="auto" w:fill="auto"/>
            <w:vAlign w:val="center"/>
            <w:hideMark/>
          </w:tcPr>
          <w:p w14:paraId="3B8CD2A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80" w:type="pct"/>
            <w:tcBorders>
              <w:top w:val="nil"/>
              <w:left w:val="nil"/>
              <w:bottom w:val="single" w:sz="4" w:space="0" w:color="auto"/>
              <w:right w:val="single" w:sz="4" w:space="0" w:color="auto"/>
            </w:tcBorders>
            <w:shd w:val="clear" w:color="auto" w:fill="auto"/>
            <w:vAlign w:val="center"/>
            <w:hideMark/>
          </w:tcPr>
          <w:p w14:paraId="247A912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78" w:type="pct"/>
            <w:tcBorders>
              <w:top w:val="nil"/>
              <w:left w:val="nil"/>
              <w:bottom w:val="single" w:sz="4" w:space="0" w:color="auto"/>
              <w:right w:val="single" w:sz="4" w:space="0" w:color="auto"/>
            </w:tcBorders>
            <w:shd w:val="clear" w:color="auto" w:fill="auto"/>
            <w:vAlign w:val="center"/>
            <w:hideMark/>
          </w:tcPr>
          <w:p w14:paraId="0D1F9DB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provide and maintain infrastructure and services to all, with emphasis on rural communities, in a sustainable manner</w:t>
            </w:r>
          </w:p>
        </w:tc>
        <w:tc>
          <w:tcPr>
            <w:tcW w:w="374" w:type="pct"/>
            <w:tcBorders>
              <w:top w:val="nil"/>
              <w:left w:val="nil"/>
              <w:bottom w:val="single" w:sz="4" w:space="0" w:color="auto"/>
              <w:right w:val="single" w:sz="4" w:space="0" w:color="auto"/>
            </w:tcBorders>
            <w:shd w:val="clear" w:color="auto" w:fill="auto"/>
            <w:vAlign w:val="center"/>
            <w:hideMark/>
          </w:tcPr>
          <w:p w14:paraId="10F2952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Ensure the Construction of KDS Sports Park by 31 March</w:t>
            </w:r>
          </w:p>
        </w:tc>
        <w:tc>
          <w:tcPr>
            <w:tcW w:w="374" w:type="pct"/>
            <w:tcBorders>
              <w:top w:val="nil"/>
              <w:left w:val="nil"/>
              <w:bottom w:val="single" w:sz="4" w:space="0" w:color="auto"/>
              <w:right w:val="single" w:sz="4" w:space="0" w:color="auto"/>
            </w:tcBorders>
            <w:shd w:val="clear" w:color="auto" w:fill="auto"/>
            <w:vAlign w:val="center"/>
            <w:hideMark/>
          </w:tcPr>
          <w:p w14:paraId="4550D5E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Date of completion of construction of Sportsfield</w:t>
            </w:r>
          </w:p>
        </w:tc>
        <w:tc>
          <w:tcPr>
            <w:tcW w:w="374" w:type="pct"/>
            <w:tcBorders>
              <w:top w:val="nil"/>
              <w:left w:val="nil"/>
              <w:bottom w:val="single" w:sz="4" w:space="0" w:color="auto"/>
              <w:right w:val="single" w:sz="4" w:space="0" w:color="auto"/>
            </w:tcBorders>
            <w:shd w:val="clear" w:color="auto" w:fill="auto"/>
            <w:vAlign w:val="center"/>
            <w:hideMark/>
          </w:tcPr>
          <w:p w14:paraId="492BE05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Construction of KDS sports park completed by 31 March</w:t>
            </w:r>
          </w:p>
        </w:tc>
        <w:tc>
          <w:tcPr>
            <w:tcW w:w="305" w:type="pct"/>
            <w:tcBorders>
              <w:top w:val="nil"/>
              <w:left w:val="nil"/>
              <w:bottom w:val="single" w:sz="4" w:space="0" w:color="auto"/>
              <w:right w:val="single" w:sz="4" w:space="0" w:color="auto"/>
            </w:tcBorders>
            <w:shd w:val="clear" w:color="auto" w:fill="auto"/>
            <w:vAlign w:val="center"/>
            <w:hideMark/>
          </w:tcPr>
          <w:p w14:paraId="334AD52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58E1228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05" w:type="pct"/>
            <w:tcBorders>
              <w:top w:val="nil"/>
              <w:left w:val="nil"/>
              <w:bottom w:val="single" w:sz="4" w:space="0" w:color="auto"/>
              <w:right w:val="single" w:sz="4" w:space="0" w:color="auto"/>
            </w:tcBorders>
            <w:shd w:val="clear" w:color="auto" w:fill="auto"/>
            <w:vAlign w:val="center"/>
            <w:hideMark/>
          </w:tcPr>
          <w:p w14:paraId="4FF730B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Construction of KDS sports park completed by 31 March</w:t>
            </w:r>
          </w:p>
        </w:tc>
        <w:tc>
          <w:tcPr>
            <w:tcW w:w="374" w:type="pct"/>
            <w:tcBorders>
              <w:top w:val="nil"/>
              <w:left w:val="nil"/>
              <w:bottom w:val="single" w:sz="4" w:space="0" w:color="auto"/>
              <w:right w:val="single" w:sz="4" w:space="0" w:color="auto"/>
            </w:tcBorders>
            <w:shd w:val="clear" w:color="auto" w:fill="auto"/>
            <w:vAlign w:val="center"/>
            <w:hideMark/>
          </w:tcPr>
          <w:p w14:paraId="5914F73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251" w:type="pct"/>
            <w:tcBorders>
              <w:top w:val="nil"/>
              <w:left w:val="nil"/>
              <w:bottom w:val="single" w:sz="4" w:space="0" w:color="auto"/>
              <w:right w:val="single" w:sz="4" w:space="0" w:color="auto"/>
            </w:tcBorders>
            <w:shd w:val="clear" w:color="auto" w:fill="auto"/>
            <w:vAlign w:val="center"/>
            <w:hideMark/>
          </w:tcPr>
          <w:p w14:paraId="145C8978"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5 000 000.00</w:t>
            </w:r>
          </w:p>
        </w:tc>
        <w:tc>
          <w:tcPr>
            <w:tcW w:w="146" w:type="pct"/>
            <w:tcBorders>
              <w:top w:val="nil"/>
              <w:left w:val="nil"/>
              <w:bottom w:val="single" w:sz="4" w:space="0" w:color="auto"/>
              <w:right w:val="single" w:sz="4" w:space="0" w:color="auto"/>
            </w:tcBorders>
            <w:shd w:val="clear" w:color="auto" w:fill="auto"/>
            <w:noWrap/>
            <w:vAlign w:val="center"/>
            <w:hideMark/>
          </w:tcPr>
          <w:p w14:paraId="3D127292"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NEW</w:t>
            </w:r>
          </w:p>
        </w:tc>
        <w:tc>
          <w:tcPr>
            <w:tcW w:w="278" w:type="pct"/>
            <w:tcBorders>
              <w:top w:val="nil"/>
              <w:left w:val="nil"/>
              <w:bottom w:val="single" w:sz="4" w:space="0" w:color="auto"/>
              <w:right w:val="single" w:sz="4" w:space="0" w:color="auto"/>
            </w:tcBorders>
            <w:shd w:val="clear" w:color="auto" w:fill="auto"/>
            <w:vAlign w:val="center"/>
            <w:hideMark/>
          </w:tcPr>
          <w:p w14:paraId="07C22AC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COMMUNITY SERVICES</w:t>
            </w:r>
          </w:p>
        </w:tc>
        <w:tc>
          <w:tcPr>
            <w:tcW w:w="170" w:type="pct"/>
            <w:tcBorders>
              <w:top w:val="nil"/>
              <w:left w:val="nil"/>
              <w:bottom w:val="single" w:sz="4" w:space="0" w:color="auto"/>
              <w:right w:val="single" w:sz="4" w:space="0" w:color="auto"/>
            </w:tcBorders>
            <w:shd w:val="clear" w:color="auto" w:fill="auto"/>
            <w:vAlign w:val="center"/>
            <w:hideMark/>
          </w:tcPr>
          <w:p w14:paraId="3EF0B33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Ward 12</w:t>
            </w:r>
          </w:p>
        </w:tc>
      </w:tr>
      <w:tr w:rsidR="008A0277" w:rsidRPr="008A0277" w14:paraId="1311D2C2" w14:textId="77777777" w:rsidTr="008A0277">
        <w:trPr>
          <w:trHeight w:val="167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FC77C0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Service Delivery Backlogs</w:t>
            </w:r>
          </w:p>
        </w:tc>
        <w:tc>
          <w:tcPr>
            <w:tcW w:w="136" w:type="pct"/>
            <w:tcBorders>
              <w:top w:val="nil"/>
              <w:left w:val="nil"/>
              <w:bottom w:val="single" w:sz="4" w:space="0" w:color="auto"/>
              <w:right w:val="single" w:sz="4" w:space="0" w:color="auto"/>
            </w:tcBorders>
            <w:shd w:val="clear" w:color="auto" w:fill="auto"/>
            <w:noWrap/>
            <w:vAlign w:val="center"/>
            <w:hideMark/>
          </w:tcPr>
          <w:p w14:paraId="42ED678A"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TL49</w:t>
            </w:r>
          </w:p>
        </w:tc>
        <w:tc>
          <w:tcPr>
            <w:tcW w:w="141" w:type="pct"/>
            <w:tcBorders>
              <w:top w:val="nil"/>
              <w:left w:val="nil"/>
              <w:bottom w:val="single" w:sz="4" w:space="0" w:color="auto"/>
              <w:right w:val="single" w:sz="4" w:space="0" w:color="auto"/>
            </w:tcBorders>
            <w:shd w:val="clear" w:color="auto" w:fill="auto"/>
            <w:noWrap/>
            <w:vAlign w:val="center"/>
            <w:hideMark/>
          </w:tcPr>
          <w:p w14:paraId="28A9FAE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E5.2-64</w:t>
            </w:r>
          </w:p>
        </w:tc>
        <w:tc>
          <w:tcPr>
            <w:tcW w:w="269" w:type="pct"/>
            <w:tcBorders>
              <w:top w:val="nil"/>
              <w:left w:val="nil"/>
              <w:bottom w:val="single" w:sz="4" w:space="0" w:color="auto"/>
              <w:right w:val="single" w:sz="4" w:space="0" w:color="auto"/>
            </w:tcBorders>
            <w:shd w:val="clear" w:color="auto" w:fill="auto"/>
            <w:vAlign w:val="center"/>
            <w:hideMark/>
          </w:tcPr>
          <w:p w14:paraId="1C0BBE6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development-orientated public service and inclusive citizenship</w:t>
            </w:r>
          </w:p>
        </w:tc>
        <w:tc>
          <w:tcPr>
            <w:tcW w:w="280" w:type="pct"/>
            <w:tcBorders>
              <w:top w:val="nil"/>
              <w:left w:val="nil"/>
              <w:bottom w:val="single" w:sz="4" w:space="0" w:color="auto"/>
              <w:right w:val="single" w:sz="4" w:space="0" w:color="auto"/>
            </w:tcBorders>
            <w:shd w:val="clear" w:color="auto" w:fill="auto"/>
            <w:vAlign w:val="center"/>
            <w:hideMark/>
          </w:tcPr>
          <w:p w14:paraId="0994FFC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80" w:type="pct"/>
            <w:tcBorders>
              <w:top w:val="nil"/>
              <w:left w:val="nil"/>
              <w:bottom w:val="single" w:sz="4" w:space="0" w:color="auto"/>
              <w:right w:val="single" w:sz="4" w:space="0" w:color="auto"/>
            </w:tcBorders>
            <w:shd w:val="clear" w:color="auto" w:fill="auto"/>
            <w:vAlign w:val="center"/>
            <w:hideMark/>
          </w:tcPr>
          <w:p w14:paraId="3425B7F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78" w:type="pct"/>
            <w:tcBorders>
              <w:top w:val="nil"/>
              <w:left w:val="nil"/>
              <w:bottom w:val="single" w:sz="4" w:space="0" w:color="auto"/>
              <w:right w:val="single" w:sz="4" w:space="0" w:color="auto"/>
            </w:tcBorders>
            <w:shd w:val="clear" w:color="auto" w:fill="auto"/>
            <w:vAlign w:val="center"/>
            <w:hideMark/>
          </w:tcPr>
          <w:p w14:paraId="260F081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provide and maintain infrastructure and services to all, with emphasis on rural communities, in a sustainable manner</w:t>
            </w:r>
          </w:p>
        </w:tc>
        <w:tc>
          <w:tcPr>
            <w:tcW w:w="374" w:type="pct"/>
            <w:tcBorders>
              <w:top w:val="nil"/>
              <w:left w:val="nil"/>
              <w:bottom w:val="single" w:sz="4" w:space="0" w:color="auto"/>
              <w:right w:val="single" w:sz="4" w:space="0" w:color="auto"/>
            </w:tcBorders>
            <w:shd w:val="clear" w:color="auto" w:fill="auto"/>
            <w:vAlign w:val="center"/>
            <w:hideMark/>
          </w:tcPr>
          <w:p w14:paraId="29B6759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Ensure the Construction of Phase 2 Kwabulawayo Sports field by 30 March</w:t>
            </w:r>
          </w:p>
        </w:tc>
        <w:tc>
          <w:tcPr>
            <w:tcW w:w="374" w:type="pct"/>
            <w:tcBorders>
              <w:top w:val="nil"/>
              <w:left w:val="nil"/>
              <w:bottom w:val="single" w:sz="4" w:space="0" w:color="auto"/>
              <w:right w:val="single" w:sz="4" w:space="0" w:color="auto"/>
            </w:tcBorders>
            <w:shd w:val="clear" w:color="auto" w:fill="auto"/>
            <w:vAlign w:val="center"/>
            <w:hideMark/>
          </w:tcPr>
          <w:p w14:paraId="57CAA2E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Date of completion of construction of Sportsfield</w:t>
            </w:r>
          </w:p>
        </w:tc>
        <w:tc>
          <w:tcPr>
            <w:tcW w:w="374" w:type="pct"/>
            <w:tcBorders>
              <w:top w:val="nil"/>
              <w:left w:val="nil"/>
              <w:bottom w:val="single" w:sz="4" w:space="0" w:color="auto"/>
              <w:right w:val="single" w:sz="4" w:space="0" w:color="auto"/>
            </w:tcBorders>
            <w:shd w:val="clear" w:color="auto" w:fill="auto"/>
            <w:vAlign w:val="center"/>
            <w:hideMark/>
          </w:tcPr>
          <w:p w14:paraId="13D98CA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Construction of phase 2 of Kwabulawayo sportsfield completed by 30 March</w:t>
            </w:r>
          </w:p>
        </w:tc>
        <w:tc>
          <w:tcPr>
            <w:tcW w:w="305" w:type="pct"/>
            <w:tcBorders>
              <w:top w:val="nil"/>
              <w:left w:val="nil"/>
              <w:bottom w:val="single" w:sz="4" w:space="0" w:color="auto"/>
              <w:right w:val="single" w:sz="4" w:space="0" w:color="auto"/>
            </w:tcBorders>
            <w:shd w:val="clear" w:color="auto" w:fill="auto"/>
            <w:vAlign w:val="center"/>
            <w:hideMark/>
          </w:tcPr>
          <w:p w14:paraId="1BF6D19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66D37AA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05" w:type="pct"/>
            <w:tcBorders>
              <w:top w:val="nil"/>
              <w:left w:val="nil"/>
              <w:bottom w:val="single" w:sz="4" w:space="0" w:color="auto"/>
              <w:right w:val="single" w:sz="4" w:space="0" w:color="auto"/>
            </w:tcBorders>
            <w:shd w:val="clear" w:color="auto" w:fill="auto"/>
            <w:vAlign w:val="center"/>
            <w:hideMark/>
          </w:tcPr>
          <w:p w14:paraId="5A15289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Construction of phase 2 of Kwabulawayo sportsfield completed by 30 March</w:t>
            </w:r>
          </w:p>
        </w:tc>
        <w:tc>
          <w:tcPr>
            <w:tcW w:w="374" w:type="pct"/>
            <w:tcBorders>
              <w:top w:val="nil"/>
              <w:left w:val="nil"/>
              <w:bottom w:val="single" w:sz="4" w:space="0" w:color="auto"/>
              <w:right w:val="single" w:sz="4" w:space="0" w:color="auto"/>
            </w:tcBorders>
            <w:shd w:val="clear" w:color="auto" w:fill="auto"/>
            <w:vAlign w:val="center"/>
            <w:hideMark/>
          </w:tcPr>
          <w:p w14:paraId="78C407F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251" w:type="pct"/>
            <w:tcBorders>
              <w:top w:val="nil"/>
              <w:left w:val="nil"/>
              <w:bottom w:val="single" w:sz="4" w:space="0" w:color="auto"/>
              <w:right w:val="single" w:sz="4" w:space="0" w:color="auto"/>
            </w:tcBorders>
            <w:shd w:val="clear" w:color="auto" w:fill="auto"/>
            <w:vAlign w:val="center"/>
            <w:hideMark/>
          </w:tcPr>
          <w:p w14:paraId="13729561"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4 000 000.00</w:t>
            </w:r>
          </w:p>
        </w:tc>
        <w:tc>
          <w:tcPr>
            <w:tcW w:w="146" w:type="pct"/>
            <w:tcBorders>
              <w:top w:val="nil"/>
              <w:left w:val="nil"/>
              <w:bottom w:val="single" w:sz="4" w:space="0" w:color="auto"/>
              <w:right w:val="single" w:sz="4" w:space="0" w:color="auto"/>
            </w:tcBorders>
            <w:shd w:val="clear" w:color="auto" w:fill="auto"/>
            <w:noWrap/>
            <w:vAlign w:val="center"/>
            <w:hideMark/>
          </w:tcPr>
          <w:p w14:paraId="2DD96D73"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100%</w:t>
            </w:r>
          </w:p>
        </w:tc>
        <w:tc>
          <w:tcPr>
            <w:tcW w:w="278" w:type="pct"/>
            <w:tcBorders>
              <w:top w:val="nil"/>
              <w:left w:val="nil"/>
              <w:bottom w:val="single" w:sz="4" w:space="0" w:color="auto"/>
              <w:right w:val="single" w:sz="4" w:space="0" w:color="auto"/>
            </w:tcBorders>
            <w:shd w:val="clear" w:color="auto" w:fill="auto"/>
            <w:vAlign w:val="center"/>
            <w:hideMark/>
          </w:tcPr>
          <w:p w14:paraId="0948ABF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COMMUNITY SERVICES</w:t>
            </w:r>
          </w:p>
        </w:tc>
        <w:tc>
          <w:tcPr>
            <w:tcW w:w="170" w:type="pct"/>
            <w:tcBorders>
              <w:top w:val="nil"/>
              <w:left w:val="nil"/>
              <w:bottom w:val="single" w:sz="4" w:space="0" w:color="auto"/>
              <w:right w:val="single" w:sz="4" w:space="0" w:color="auto"/>
            </w:tcBorders>
            <w:shd w:val="clear" w:color="auto" w:fill="auto"/>
            <w:vAlign w:val="center"/>
            <w:hideMark/>
          </w:tcPr>
          <w:p w14:paraId="43FB199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Ward 24</w:t>
            </w:r>
          </w:p>
        </w:tc>
      </w:tr>
      <w:tr w:rsidR="008A0277" w:rsidRPr="008A0277" w14:paraId="0EE424D4" w14:textId="77777777" w:rsidTr="008A0277">
        <w:trPr>
          <w:trHeight w:val="1315"/>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DCF1D9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Unemployment</w:t>
            </w:r>
          </w:p>
        </w:tc>
        <w:tc>
          <w:tcPr>
            <w:tcW w:w="136" w:type="pct"/>
            <w:tcBorders>
              <w:top w:val="nil"/>
              <w:left w:val="nil"/>
              <w:bottom w:val="single" w:sz="4" w:space="0" w:color="auto"/>
              <w:right w:val="single" w:sz="4" w:space="0" w:color="auto"/>
            </w:tcBorders>
            <w:shd w:val="clear" w:color="auto" w:fill="auto"/>
            <w:noWrap/>
            <w:vAlign w:val="center"/>
            <w:hideMark/>
          </w:tcPr>
          <w:p w14:paraId="7DAEFDC6"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TL50</w:t>
            </w:r>
          </w:p>
        </w:tc>
        <w:tc>
          <w:tcPr>
            <w:tcW w:w="141" w:type="pct"/>
            <w:tcBorders>
              <w:top w:val="nil"/>
              <w:left w:val="nil"/>
              <w:bottom w:val="single" w:sz="4" w:space="0" w:color="auto"/>
              <w:right w:val="single" w:sz="4" w:space="0" w:color="auto"/>
            </w:tcBorders>
            <w:shd w:val="clear" w:color="auto" w:fill="auto"/>
            <w:noWrap/>
            <w:vAlign w:val="center"/>
            <w:hideMark/>
          </w:tcPr>
          <w:p w14:paraId="3D4A7F8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E5.2-65</w:t>
            </w:r>
          </w:p>
        </w:tc>
        <w:tc>
          <w:tcPr>
            <w:tcW w:w="269" w:type="pct"/>
            <w:tcBorders>
              <w:top w:val="nil"/>
              <w:left w:val="nil"/>
              <w:bottom w:val="single" w:sz="4" w:space="0" w:color="auto"/>
              <w:right w:val="single" w:sz="4" w:space="0" w:color="auto"/>
            </w:tcBorders>
            <w:shd w:val="clear" w:color="auto" w:fill="auto"/>
            <w:vAlign w:val="center"/>
            <w:hideMark/>
          </w:tcPr>
          <w:p w14:paraId="6E0C305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Decent employment through inclusive economic growth</w:t>
            </w:r>
          </w:p>
        </w:tc>
        <w:tc>
          <w:tcPr>
            <w:tcW w:w="280" w:type="pct"/>
            <w:tcBorders>
              <w:top w:val="nil"/>
              <w:left w:val="nil"/>
              <w:bottom w:val="single" w:sz="4" w:space="0" w:color="auto"/>
              <w:right w:val="single" w:sz="4" w:space="0" w:color="auto"/>
            </w:tcBorders>
            <w:shd w:val="clear" w:color="auto" w:fill="auto"/>
            <w:vAlign w:val="center"/>
            <w:hideMark/>
          </w:tcPr>
          <w:p w14:paraId="64A77DE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Local Economic Development</w:t>
            </w:r>
          </w:p>
        </w:tc>
        <w:tc>
          <w:tcPr>
            <w:tcW w:w="280" w:type="pct"/>
            <w:tcBorders>
              <w:top w:val="nil"/>
              <w:left w:val="nil"/>
              <w:bottom w:val="single" w:sz="4" w:space="0" w:color="auto"/>
              <w:right w:val="single" w:sz="4" w:space="0" w:color="auto"/>
            </w:tcBorders>
            <w:shd w:val="clear" w:color="auto" w:fill="auto"/>
            <w:vAlign w:val="center"/>
            <w:hideMark/>
          </w:tcPr>
          <w:p w14:paraId="0896E4E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Local Economic &amp; Social Development</w:t>
            </w:r>
          </w:p>
        </w:tc>
        <w:tc>
          <w:tcPr>
            <w:tcW w:w="278" w:type="pct"/>
            <w:tcBorders>
              <w:top w:val="nil"/>
              <w:left w:val="nil"/>
              <w:bottom w:val="single" w:sz="4" w:space="0" w:color="auto"/>
              <w:right w:val="single" w:sz="4" w:space="0" w:color="auto"/>
            </w:tcBorders>
            <w:shd w:val="clear" w:color="auto" w:fill="auto"/>
            <w:vAlign w:val="center"/>
            <w:hideMark/>
          </w:tcPr>
          <w:p w14:paraId="1FD8832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contribute towards the reduction of unemployment</w:t>
            </w:r>
          </w:p>
        </w:tc>
        <w:tc>
          <w:tcPr>
            <w:tcW w:w="374" w:type="pct"/>
            <w:tcBorders>
              <w:top w:val="nil"/>
              <w:left w:val="nil"/>
              <w:bottom w:val="single" w:sz="4" w:space="0" w:color="auto"/>
              <w:right w:val="single" w:sz="4" w:space="0" w:color="auto"/>
            </w:tcBorders>
            <w:shd w:val="clear" w:color="auto" w:fill="auto"/>
            <w:vAlign w:val="center"/>
            <w:hideMark/>
          </w:tcPr>
          <w:p w14:paraId="502B639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Create 931 temporary job opportunities through EPWP projects and other operational projects by 30 June </w:t>
            </w:r>
          </w:p>
        </w:tc>
        <w:tc>
          <w:tcPr>
            <w:tcW w:w="374" w:type="pct"/>
            <w:tcBorders>
              <w:top w:val="nil"/>
              <w:left w:val="nil"/>
              <w:bottom w:val="single" w:sz="4" w:space="0" w:color="auto"/>
              <w:right w:val="single" w:sz="4" w:space="0" w:color="auto"/>
            </w:tcBorders>
            <w:shd w:val="clear" w:color="auto" w:fill="auto"/>
            <w:vAlign w:val="center"/>
            <w:hideMark/>
          </w:tcPr>
          <w:p w14:paraId="2B97EF6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Number of temporary job opportunities created through EPWP projects and other operational projects by 30 June </w:t>
            </w:r>
          </w:p>
        </w:tc>
        <w:tc>
          <w:tcPr>
            <w:tcW w:w="374" w:type="pct"/>
            <w:tcBorders>
              <w:top w:val="nil"/>
              <w:left w:val="nil"/>
              <w:bottom w:val="single" w:sz="4" w:space="0" w:color="auto"/>
              <w:right w:val="single" w:sz="4" w:space="0" w:color="auto"/>
            </w:tcBorders>
            <w:shd w:val="clear" w:color="auto" w:fill="auto"/>
            <w:vAlign w:val="center"/>
            <w:hideMark/>
          </w:tcPr>
          <w:p w14:paraId="7EC7CC3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931 jobs opportunities created through EPWP projects and other operational projects by 30 June</w:t>
            </w:r>
          </w:p>
        </w:tc>
        <w:tc>
          <w:tcPr>
            <w:tcW w:w="305" w:type="pct"/>
            <w:tcBorders>
              <w:top w:val="nil"/>
              <w:left w:val="nil"/>
              <w:bottom w:val="single" w:sz="4" w:space="0" w:color="auto"/>
              <w:right w:val="single" w:sz="4" w:space="0" w:color="auto"/>
            </w:tcBorders>
            <w:shd w:val="clear" w:color="auto" w:fill="auto"/>
            <w:vAlign w:val="center"/>
            <w:hideMark/>
          </w:tcPr>
          <w:p w14:paraId="51F2EBC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6F4BB39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05" w:type="pct"/>
            <w:tcBorders>
              <w:top w:val="nil"/>
              <w:left w:val="nil"/>
              <w:bottom w:val="single" w:sz="4" w:space="0" w:color="auto"/>
              <w:right w:val="single" w:sz="4" w:space="0" w:color="auto"/>
            </w:tcBorders>
            <w:shd w:val="clear" w:color="auto" w:fill="auto"/>
            <w:vAlign w:val="center"/>
            <w:hideMark/>
          </w:tcPr>
          <w:p w14:paraId="4636801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33DC446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931 jobs opportunities created through EPWP projects and other operational projects by 30 June</w:t>
            </w:r>
          </w:p>
        </w:tc>
        <w:tc>
          <w:tcPr>
            <w:tcW w:w="251" w:type="pct"/>
            <w:tcBorders>
              <w:top w:val="nil"/>
              <w:left w:val="nil"/>
              <w:bottom w:val="single" w:sz="4" w:space="0" w:color="auto"/>
              <w:right w:val="single" w:sz="4" w:space="0" w:color="auto"/>
            </w:tcBorders>
            <w:shd w:val="clear" w:color="auto" w:fill="auto"/>
            <w:vAlign w:val="center"/>
            <w:hideMark/>
          </w:tcPr>
          <w:p w14:paraId="2439D62D"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6 657 000.00</w:t>
            </w:r>
          </w:p>
        </w:tc>
        <w:tc>
          <w:tcPr>
            <w:tcW w:w="146" w:type="pct"/>
            <w:tcBorders>
              <w:top w:val="nil"/>
              <w:left w:val="nil"/>
              <w:bottom w:val="single" w:sz="4" w:space="0" w:color="auto"/>
              <w:right w:val="single" w:sz="4" w:space="0" w:color="auto"/>
            </w:tcBorders>
            <w:shd w:val="clear" w:color="auto" w:fill="auto"/>
            <w:noWrap/>
            <w:vAlign w:val="center"/>
            <w:hideMark/>
          </w:tcPr>
          <w:p w14:paraId="59DA4840"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745</w:t>
            </w:r>
          </w:p>
        </w:tc>
        <w:tc>
          <w:tcPr>
            <w:tcW w:w="278" w:type="pct"/>
            <w:tcBorders>
              <w:top w:val="nil"/>
              <w:left w:val="nil"/>
              <w:bottom w:val="single" w:sz="4" w:space="0" w:color="auto"/>
              <w:right w:val="single" w:sz="4" w:space="0" w:color="auto"/>
            </w:tcBorders>
            <w:shd w:val="clear" w:color="auto" w:fill="auto"/>
            <w:vAlign w:val="center"/>
            <w:hideMark/>
          </w:tcPr>
          <w:p w14:paraId="2612992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COMMUNITY SERVICES</w:t>
            </w:r>
          </w:p>
        </w:tc>
        <w:tc>
          <w:tcPr>
            <w:tcW w:w="170" w:type="pct"/>
            <w:tcBorders>
              <w:top w:val="nil"/>
              <w:left w:val="nil"/>
              <w:bottom w:val="single" w:sz="4" w:space="0" w:color="auto"/>
              <w:right w:val="single" w:sz="4" w:space="0" w:color="auto"/>
            </w:tcBorders>
            <w:shd w:val="clear" w:color="auto" w:fill="auto"/>
            <w:vAlign w:val="center"/>
            <w:hideMark/>
          </w:tcPr>
          <w:p w14:paraId="328AB8E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2FDDF01C" w14:textId="77777777" w:rsidTr="008A0277">
        <w:trPr>
          <w:trHeight w:val="183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165814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Service Delivery Backlogs</w:t>
            </w:r>
          </w:p>
        </w:tc>
        <w:tc>
          <w:tcPr>
            <w:tcW w:w="136" w:type="pct"/>
            <w:tcBorders>
              <w:top w:val="nil"/>
              <w:left w:val="nil"/>
              <w:bottom w:val="single" w:sz="4" w:space="0" w:color="auto"/>
              <w:right w:val="single" w:sz="4" w:space="0" w:color="auto"/>
            </w:tcBorders>
            <w:shd w:val="clear" w:color="auto" w:fill="auto"/>
            <w:noWrap/>
            <w:vAlign w:val="center"/>
            <w:hideMark/>
          </w:tcPr>
          <w:p w14:paraId="0E1C62D9"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TL51</w:t>
            </w:r>
          </w:p>
        </w:tc>
        <w:tc>
          <w:tcPr>
            <w:tcW w:w="141" w:type="pct"/>
            <w:tcBorders>
              <w:top w:val="nil"/>
              <w:left w:val="nil"/>
              <w:bottom w:val="single" w:sz="4" w:space="0" w:color="auto"/>
              <w:right w:val="single" w:sz="4" w:space="0" w:color="auto"/>
            </w:tcBorders>
            <w:shd w:val="clear" w:color="auto" w:fill="auto"/>
            <w:noWrap/>
            <w:vAlign w:val="center"/>
            <w:hideMark/>
          </w:tcPr>
          <w:p w14:paraId="7208D63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E5.2-66</w:t>
            </w:r>
          </w:p>
        </w:tc>
        <w:tc>
          <w:tcPr>
            <w:tcW w:w="269" w:type="pct"/>
            <w:tcBorders>
              <w:top w:val="nil"/>
              <w:left w:val="nil"/>
              <w:bottom w:val="single" w:sz="4" w:space="0" w:color="auto"/>
              <w:right w:val="single" w:sz="4" w:space="0" w:color="auto"/>
            </w:tcBorders>
            <w:shd w:val="clear" w:color="auto" w:fill="auto"/>
            <w:vAlign w:val="center"/>
            <w:hideMark/>
          </w:tcPr>
          <w:p w14:paraId="580E6BA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Protection and enhancement of environmental assets and natural resources</w:t>
            </w:r>
          </w:p>
        </w:tc>
        <w:tc>
          <w:tcPr>
            <w:tcW w:w="280" w:type="pct"/>
            <w:tcBorders>
              <w:top w:val="nil"/>
              <w:left w:val="nil"/>
              <w:bottom w:val="single" w:sz="4" w:space="0" w:color="auto"/>
              <w:right w:val="single" w:sz="4" w:space="0" w:color="auto"/>
            </w:tcBorders>
            <w:shd w:val="clear" w:color="auto" w:fill="auto"/>
            <w:vAlign w:val="center"/>
            <w:hideMark/>
          </w:tcPr>
          <w:p w14:paraId="3C44825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80" w:type="pct"/>
            <w:tcBorders>
              <w:top w:val="nil"/>
              <w:left w:val="nil"/>
              <w:bottom w:val="single" w:sz="4" w:space="0" w:color="auto"/>
              <w:right w:val="single" w:sz="4" w:space="0" w:color="auto"/>
            </w:tcBorders>
            <w:shd w:val="clear" w:color="auto" w:fill="auto"/>
            <w:vAlign w:val="center"/>
            <w:hideMark/>
          </w:tcPr>
          <w:p w14:paraId="2B4A196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Basic  service delivery</w:t>
            </w:r>
          </w:p>
        </w:tc>
        <w:tc>
          <w:tcPr>
            <w:tcW w:w="278" w:type="pct"/>
            <w:tcBorders>
              <w:top w:val="nil"/>
              <w:left w:val="nil"/>
              <w:bottom w:val="single" w:sz="4" w:space="0" w:color="auto"/>
              <w:right w:val="single" w:sz="4" w:space="0" w:color="auto"/>
            </w:tcBorders>
            <w:shd w:val="clear" w:color="auto" w:fill="auto"/>
            <w:vAlign w:val="center"/>
            <w:hideMark/>
          </w:tcPr>
          <w:p w14:paraId="54BE5D2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provide and maintain infrastructure and services to all, with emphasis on rural communities, in a sustainable manner</w:t>
            </w:r>
          </w:p>
        </w:tc>
        <w:tc>
          <w:tcPr>
            <w:tcW w:w="374" w:type="pct"/>
            <w:tcBorders>
              <w:top w:val="nil"/>
              <w:left w:val="nil"/>
              <w:bottom w:val="single" w:sz="4" w:space="0" w:color="auto"/>
              <w:right w:val="single" w:sz="4" w:space="0" w:color="auto"/>
            </w:tcBorders>
            <w:shd w:val="clear" w:color="auto" w:fill="auto"/>
            <w:vAlign w:val="center"/>
            <w:hideMark/>
          </w:tcPr>
          <w:p w14:paraId="2608E3A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Provide free basic refuse removal services to 15 000 rural households by 30 June </w:t>
            </w:r>
          </w:p>
        </w:tc>
        <w:tc>
          <w:tcPr>
            <w:tcW w:w="374" w:type="pct"/>
            <w:tcBorders>
              <w:top w:val="nil"/>
              <w:left w:val="nil"/>
              <w:bottom w:val="single" w:sz="4" w:space="0" w:color="auto"/>
              <w:right w:val="single" w:sz="4" w:space="0" w:color="auto"/>
            </w:tcBorders>
            <w:shd w:val="clear" w:color="auto" w:fill="auto"/>
            <w:vAlign w:val="center"/>
            <w:hideMark/>
          </w:tcPr>
          <w:p w14:paraId="3E1378B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Number of rural households provided with free basic refuse removal services</w:t>
            </w:r>
          </w:p>
        </w:tc>
        <w:tc>
          <w:tcPr>
            <w:tcW w:w="374" w:type="pct"/>
            <w:tcBorders>
              <w:top w:val="nil"/>
              <w:left w:val="nil"/>
              <w:bottom w:val="single" w:sz="4" w:space="0" w:color="auto"/>
              <w:right w:val="single" w:sz="4" w:space="0" w:color="auto"/>
            </w:tcBorders>
            <w:shd w:val="clear" w:color="auto" w:fill="auto"/>
            <w:vAlign w:val="center"/>
            <w:hideMark/>
          </w:tcPr>
          <w:p w14:paraId="0C0B74B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15 000 households provided with free basic refuse services by 30 June</w:t>
            </w:r>
          </w:p>
        </w:tc>
        <w:tc>
          <w:tcPr>
            <w:tcW w:w="305" w:type="pct"/>
            <w:tcBorders>
              <w:top w:val="nil"/>
              <w:left w:val="nil"/>
              <w:bottom w:val="single" w:sz="4" w:space="0" w:color="auto"/>
              <w:right w:val="single" w:sz="4" w:space="0" w:color="auto"/>
            </w:tcBorders>
            <w:shd w:val="clear" w:color="auto" w:fill="auto"/>
            <w:vAlign w:val="center"/>
            <w:hideMark/>
          </w:tcPr>
          <w:p w14:paraId="2E88DDE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15 000 households provided with free basic refuse services by </w:t>
            </w:r>
          </w:p>
        </w:tc>
        <w:tc>
          <w:tcPr>
            <w:tcW w:w="374" w:type="pct"/>
            <w:tcBorders>
              <w:top w:val="nil"/>
              <w:left w:val="nil"/>
              <w:bottom w:val="single" w:sz="4" w:space="0" w:color="auto"/>
              <w:right w:val="single" w:sz="4" w:space="0" w:color="auto"/>
            </w:tcBorders>
            <w:shd w:val="clear" w:color="auto" w:fill="auto"/>
            <w:vAlign w:val="center"/>
            <w:hideMark/>
          </w:tcPr>
          <w:p w14:paraId="53B5CFD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15 000 households provided with free basic refuse services by </w:t>
            </w:r>
          </w:p>
        </w:tc>
        <w:tc>
          <w:tcPr>
            <w:tcW w:w="305" w:type="pct"/>
            <w:tcBorders>
              <w:top w:val="nil"/>
              <w:left w:val="nil"/>
              <w:bottom w:val="single" w:sz="4" w:space="0" w:color="auto"/>
              <w:right w:val="single" w:sz="4" w:space="0" w:color="auto"/>
            </w:tcBorders>
            <w:shd w:val="clear" w:color="auto" w:fill="auto"/>
            <w:vAlign w:val="center"/>
            <w:hideMark/>
          </w:tcPr>
          <w:p w14:paraId="00F26A2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15 000 households provided with free basic refuse services by </w:t>
            </w:r>
          </w:p>
        </w:tc>
        <w:tc>
          <w:tcPr>
            <w:tcW w:w="374" w:type="pct"/>
            <w:tcBorders>
              <w:top w:val="nil"/>
              <w:left w:val="nil"/>
              <w:bottom w:val="single" w:sz="4" w:space="0" w:color="auto"/>
              <w:right w:val="single" w:sz="4" w:space="0" w:color="auto"/>
            </w:tcBorders>
            <w:shd w:val="clear" w:color="auto" w:fill="auto"/>
            <w:vAlign w:val="center"/>
            <w:hideMark/>
          </w:tcPr>
          <w:p w14:paraId="6EDF433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15 000 households provided with free basic refuse services by </w:t>
            </w:r>
          </w:p>
        </w:tc>
        <w:tc>
          <w:tcPr>
            <w:tcW w:w="251" w:type="pct"/>
            <w:tcBorders>
              <w:top w:val="nil"/>
              <w:left w:val="nil"/>
              <w:bottom w:val="single" w:sz="4" w:space="0" w:color="auto"/>
              <w:right w:val="single" w:sz="4" w:space="0" w:color="auto"/>
            </w:tcBorders>
            <w:shd w:val="clear" w:color="auto" w:fill="auto"/>
            <w:vAlign w:val="center"/>
            <w:hideMark/>
          </w:tcPr>
          <w:p w14:paraId="06228826"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3 508 140.00</w:t>
            </w:r>
          </w:p>
        </w:tc>
        <w:tc>
          <w:tcPr>
            <w:tcW w:w="146" w:type="pct"/>
            <w:tcBorders>
              <w:top w:val="nil"/>
              <w:left w:val="nil"/>
              <w:bottom w:val="single" w:sz="4" w:space="0" w:color="auto"/>
              <w:right w:val="single" w:sz="4" w:space="0" w:color="auto"/>
            </w:tcBorders>
            <w:shd w:val="clear" w:color="auto" w:fill="auto"/>
            <w:noWrap/>
            <w:vAlign w:val="center"/>
            <w:hideMark/>
          </w:tcPr>
          <w:p w14:paraId="75CDDFDC"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13738</w:t>
            </w:r>
          </w:p>
        </w:tc>
        <w:tc>
          <w:tcPr>
            <w:tcW w:w="278" w:type="pct"/>
            <w:tcBorders>
              <w:top w:val="nil"/>
              <w:left w:val="nil"/>
              <w:bottom w:val="single" w:sz="4" w:space="0" w:color="auto"/>
              <w:right w:val="single" w:sz="4" w:space="0" w:color="auto"/>
            </w:tcBorders>
            <w:shd w:val="clear" w:color="auto" w:fill="auto"/>
            <w:vAlign w:val="center"/>
            <w:hideMark/>
          </w:tcPr>
          <w:p w14:paraId="7611F4C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COMMUNITY SERVICES</w:t>
            </w:r>
          </w:p>
        </w:tc>
        <w:tc>
          <w:tcPr>
            <w:tcW w:w="170" w:type="pct"/>
            <w:tcBorders>
              <w:top w:val="nil"/>
              <w:left w:val="nil"/>
              <w:bottom w:val="single" w:sz="4" w:space="0" w:color="auto"/>
              <w:right w:val="single" w:sz="4" w:space="0" w:color="auto"/>
            </w:tcBorders>
            <w:shd w:val="clear" w:color="auto" w:fill="auto"/>
            <w:vAlign w:val="center"/>
            <w:hideMark/>
          </w:tcPr>
          <w:p w14:paraId="29E7777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22CFD6EB" w14:textId="77777777" w:rsidTr="008A0277">
        <w:trPr>
          <w:trHeight w:val="155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705135A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Poor implementation of Batho Pele</w:t>
            </w:r>
          </w:p>
        </w:tc>
        <w:tc>
          <w:tcPr>
            <w:tcW w:w="136" w:type="pct"/>
            <w:tcBorders>
              <w:top w:val="nil"/>
              <w:left w:val="nil"/>
              <w:bottom w:val="single" w:sz="4" w:space="0" w:color="auto"/>
              <w:right w:val="single" w:sz="4" w:space="0" w:color="auto"/>
            </w:tcBorders>
            <w:shd w:val="clear" w:color="auto" w:fill="auto"/>
            <w:noWrap/>
            <w:vAlign w:val="center"/>
            <w:hideMark/>
          </w:tcPr>
          <w:p w14:paraId="7683BBC0"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TL52</w:t>
            </w:r>
          </w:p>
        </w:tc>
        <w:tc>
          <w:tcPr>
            <w:tcW w:w="141" w:type="pct"/>
            <w:tcBorders>
              <w:top w:val="nil"/>
              <w:left w:val="nil"/>
              <w:bottom w:val="single" w:sz="4" w:space="0" w:color="auto"/>
              <w:right w:val="single" w:sz="4" w:space="0" w:color="auto"/>
            </w:tcBorders>
            <w:shd w:val="clear" w:color="auto" w:fill="auto"/>
            <w:noWrap/>
            <w:vAlign w:val="center"/>
            <w:hideMark/>
          </w:tcPr>
          <w:p w14:paraId="36C6B99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E5.2-67</w:t>
            </w:r>
          </w:p>
        </w:tc>
        <w:tc>
          <w:tcPr>
            <w:tcW w:w="269" w:type="pct"/>
            <w:tcBorders>
              <w:top w:val="nil"/>
              <w:left w:val="nil"/>
              <w:bottom w:val="single" w:sz="4" w:space="0" w:color="auto"/>
              <w:right w:val="single" w:sz="4" w:space="0" w:color="auto"/>
            </w:tcBorders>
            <w:shd w:val="clear" w:color="auto" w:fill="auto"/>
            <w:vAlign w:val="center"/>
            <w:hideMark/>
          </w:tcPr>
          <w:p w14:paraId="00CAFE6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better South Africa, a better Africa and world</w:t>
            </w:r>
          </w:p>
        </w:tc>
        <w:tc>
          <w:tcPr>
            <w:tcW w:w="280" w:type="pct"/>
            <w:tcBorders>
              <w:top w:val="nil"/>
              <w:left w:val="nil"/>
              <w:bottom w:val="single" w:sz="4" w:space="0" w:color="auto"/>
              <w:right w:val="single" w:sz="4" w:space="0" w:color="auto"/>
            </w:tcBorders>
            <w:shd w:val="clear" w:color="auto" w:fill="auto"/>
            <w:vAlign w:val="center"/>
            <w:hideMark/>
          </w:tcPr>
          <w:p w14:paraId="068D498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Good Governance and Public Participation</w:t>
            </w:r>
          </w:p>
        </w:tc>
        <w:tc>
          <w:tcPr>
            <w:tcW w:w="280" w:type="pct"/>
            <w:tcBorders>
              <w:top w:val="nil"/>
              <w:left w:val="nil"/>
              <w:bottom w:val="single" w:sz="4" w:space="0" w:color="auto"/>
              <w:right w:val="single" w:sz="4" w:space="0" w:color="auto"/>
            </w:tcBorders>
            <w:shd w:val="clear" w:color="auto" w:fill="auto"/>
            <w:vAlign w:val="center"/>
            <w:hideMark/>
          </w:tcPr>
          <w:p w14:paraId="754B3AD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Good Governance &amp; Public Participation</w:t>
            </w:r>
          </w:p>
        </w:tc>
        <w:tc>
          <w:tcPr>
            <w:tcW w:w="278" w:type="pct"/>
            <w:tcBorders>
              <w:top w:val="nil"/>
              <w:left w:val="nil"/>
              <w:bottom w:val="single" w:sz="4" w:space="0" w:color="auto"/>
              <w:right w:val="single" w:sz="4" w:space="0" w:color="auto"/>
            </w:tcBorders>
            <w:shd w:val="clear" w:color="auto" w:fill="auto"/>
            <w:vAlign w:val="center"/>
            <w:hideMark/>
          </w:tcPr>
          <w:p w14:paraId="621CBA7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promote a culture of participatory democracy and social cohesion</w:t>
            </w:r>
          </w:p>
        </w:tc>
        <w:tc>
          <w:tcPr>
            <w:tcW w:w="374" w:type="pct"/>
            <w:tcBorders>
              <w:top w:val="nil"/>
              <w:left w:val="nil"/>
              <w:bottom w:val="single" w:sz="4" w:space="0" w:color="auto"/>
              <w:right w:val="single" w:sz="4" w:space="0" w:color="auto"/>
            </w:tcBorders>
            <w:shd w:val="clear" w:color="auto" w:fill="auto"/>
            <w:vAlign w:val="center"/>
            <w:hideMark/>
          </w:tcPr>
          <w:p w14:paraId="032AC4A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Submit a report annually to Council by 30 June on the programmes implemented through the grants-in-aid provided to Museum, SPCA, Tourism and Social Welfare</w:t>
            </w:r>
          </w:p>
        </w:tc>
        <w:tc>
          <w:tcPr>
            <w:tcW w:w="374" w:type="pct"/>
            <w:tcBorders>
              <w:top w:val="nil"/>
              <w:left w:val="nil"/>
              <w:bottom w:val="single" w:sz="4" w:space="0" w:color="auto"/>
              <w:right w:val="single" w:sz="4" w:space="0" w:color="auto"/>
            </w:tcBorders>
            <w:shd w:val="clear" w:color="auto" w:fill="auto"/>
            <w:vAlign w:val="center"/>
            <w:hideMark/>
          </w:tcPr>
          <w:p w14:paraId="1AC6BE1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Date of submission of report to Council</w:t>
            </w:r>
          </w:p>
        </w:tc>
        <w:tc>
          <w:tcPr>
            <w:tcW w:w="374" w:type="pct"/>
            <w:tcBorders>
              <w:top w:val="nil"/>
              <w:left w:val="nil"/>
              <w:bottom w:val="single" w:sz="4" w:space="0" w:color="auto"/>
              <w:right w:val="single" w:sz="4" w:space="0" w:color="auto"/>
            </w:tcBorders>
            <w:shd w:val="clear" w:color="auto" w:fill="auto"/>
            <w:vAlign w:val="center"/>
            <w:hideMark/>
          </w:tcPr>
          <w:p w14:paraId="5578460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30 June on the programmes implemented through the grants-in-aid provided to Museum, SPCA, Tourism and Social Welfare</w:t>
            </w:r>
          </w:p>
        </w:tc>
        <w:tc>
          <w:tcPr>
            <w:tcW w:w="305" w:type="pct"/>
            <w:tcBorders>
              <w:top w:val="nil"/>
              <w:left w:val="nil"/>
              <w:bottom w:val="single" w:sz="4" w:space="0" w:color="auto"/>
              <w:right w:val="single" w:sz="4" w:space="0" w:color="auto"/>
            </w:tcBorders>
            <w:shd w:val="clear" w:color="auto" w:fill="auto"/>
            <w:vAlign w:val="center"/>
            <w:hideMark/>
          </w:tcPr>
          <w:p w14:paraId="0222CC0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0BF970A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05" w:type="pct"/>
            <w:tcBorders>
              <w:top w:val="nil"/>
              <w:left w:val="nil"/>
              <w:bottom w:val="single" w:sz="4" w:space="0" w:color="auto"/>
              <w:right w:val="single" w:sz="4" w:space="0" w:color="auto"/>
            </w:tcBorders>
            <w:shd w:val="clear" w:color="auto" w:fill="auto"/>
            <w:vAlign w:val="center"/>
            <w:hideMark/>
          </w:tcPr>
          <w:p w14:paraId="7B6356D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2D06577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30 June on the programmes implemented through the grants-in-aid provided to Museum, SPCA, Tourism and Social Welfare</w:t>
            </w:r>
          </w:p>
        </w:tc>
        <w:tc>
          <w:tcPr>
            <w:tcW w:w="251" w:type="pct"/>
            <w:tcBorders>
              <w:top w:val="nil"/>
              <w:left w:val="nil"/>
              <w:bottom w:val="single" w:sz="4" w:space="0" w:color="auto"/>
              <w:right w:val="single" w:sz="4" w:space="0" w:color="auto"/>
            </w:tcBorders>
            <w:shd w:val="clear" w:color="auto" w:fill="auto"/>
            <w:vAlign w:val="center"/>
            <w:hideMark/>
          </w:tcPr>
          <w:p w14:paraId="6756997E"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764 180.00</w:t>
            </w:r>
          </w:p>
        </w:tc>
        <w:tc>
          <w:tcPr>
            <w:tcW w:w="146" w:type="pct"/>
            <w:tcBorders>
              <w:top w:val="nil"/>
              <w:left w:val="nil"/>
              <w:bottom w:val="single" w:sz="4" w:space="0" w:color="auto"/>
              <w:right w:val="single" w:sz="4" w:space="0" w:color="auto"/>
            </w:tcBorders>
            <w:shd w:val="clear" w:color="auto" w:fill="auto"/>
            <w:noWrap/>
            <w:vAlign w:val="center"/>
            <w:hideMark/>
          </w:tcPr>
          <w:p w14:paraId="004B5D21"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NEW</w:t>
            </w:r>
          </w:p>
        </w:tc>
        <w:tc>
          <w:tcPr>
            <w:tcW w:w="278" w:type="pct"/>
            <w:tcBorders>
              <w:top w:val="nil"/>
              <w:left w:val="nil"/>
              <w:bottom w:val="single" w:sz="4" w:space="0" w:color="auto"/>
              <w:right w:val="single" w:sz="4" w:space="0" w:color="auto"/>
            </w:tcBorders>
            <w:shd w:val="clear" w:color="auto" w:fill="auto"/>
            <w:vAlign w:val="center"/>
            <w:hideMark/>
          </w:tcPr>
          <w:p w14:paraId="6640731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CORPORATE SERVICES </w:t>
            </w:r>
          </w:p>
        </w:tc>
        <w:tc>
          <w:tcPr>
            <w:tcW w:w="170" w:type="pct"/>
            <w:tcBorders>
              <w:top w:val="nil"/>
              <w:left w:val="nil"/>
              <w:bottom w:val="single" w:sz="4" w:space="0" w:color="auto"/>
              <w:right w:val="single" w:sz="4" w:space="0" w:color="auto"/>
            </w:tcBorders>
            <w:shd w:val="clear" w:color="auto" w:fill="auto"/>
            <w:vAlign w:val="center"/>
            <w:hideMark/>
          </w:tcPr>
          <w:p w14:paraId="518CD4E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7E5C1AD9" w14:textId="77777777" w:rsidTr="008A0277">
        <w:trPr>
          <w:trHeight w:val="1266"/>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A74AFA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Poor implementation of Batho Pele</w:t>
            </w:r>
          </w:p>
        </w:tc>
        <w:tc>
          <w:tcPr>
            <w:tcW w:w="136" w:type="pct"/>
            <w:tcBorders>
              <w:top w:val="nil"/>
              <w:left w:val="nil"/>
              <w:bottom w:val="single" w:sz="4" w:space="0" w:color="auto"/>
              <w:right w:val="single" w:sz="4" w:space="0" w:color="auto"/>
            </w:tcBorders>
            <w:shd w:val="clear" w:color="auto" w:fill="auto"/>
            <w:noWrap/>
            <w:vAlign w:val="center"/>
            <w:hideMark/>
          </w:tcPr>
          <w:p w14:paraId="0983F2BD"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TL53</w:t>
            </w:r>
          </w:p>
        </w:tc>
        <w:tc>
          <w:tcPr>
            <w:tcW w:w="141" w:type="pct"/>
            <w:tcBorders>
              <w:top w:val="nil"/>
              <w:left w:val="nil"/>
              <w:bottom w:val="single" w:sz="4" w:space="0" w:color="auto"/>
              <w:right w:val="single" w:sz="4" w:space="0" w:color="auto"/>
            </w:tcBorders>
            <w:shd w:val="clear" w:color="auto" w:fill="auto"/>
            <w:noWrap/>
            <w:vAlign w:val="center"/>
            <w:hideMark/>
          </w:tcPr>
          <w:p w14:paraId="2603F84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E5.2-68</w:t>
            </w:r>
          </w:p>
        </w:tc>
        <w:tc>
          <w:tcPr>
            <w:tcW w:w="269" w:type="pct"/>
            <w:tcBorders>
              <w:top w:val="nil"/>
              <w:left w:val="nil"/>
              <w:bottom w:val="single" w:sz="4" w:space="0" w:color="auto"/>
              <w:right w:val="single" w:sz="4" w:space="0" w:color="auto"/>
            </w:tcBorders>
            <w:shd w:val="clear" w:color="auto" w:fill="auto"/>
            <w:vAlign w:val="center"/>
            <w:hideMark/>
          </w:tcPr>
          <w:p w14:paraId="0159924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development-orientated public service and inclusive citizenship</w:t>
            </w:r>
          </w:p>
        </w:tc>
        <w:tc>
          <w:tcPr>
            <w:tcW w:w="280" w:type="pct"/>
            <w:tcBorders>
              <w:top w:val="nil"/>
              <w:left w:val="nil"/>
              <w:bottom w:val="single" w:sz="4" w:space="0" w:color="auto"/>
              <w:right w:val="single" w:sz="4" w:space="0" w:color="auto"/>
            </w:tcBorders>
            <w:shd w:val="clear" w:color="auto" w:fill="auto"/>
            <w:vAlign w:val="center"/>
            <w:hideMark/>
          </w:tcPr>
          <w:p w14:paraId="644E056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Good Governance and Public Participation</w:t>
            </w:r>
          </w:p>
        </w:tc>
        <w:tc>
          <w:tcPr>
            <w:tcW w:w="280" w:type="pct"/>
            <w:tcBorders>
              <w:top w:val="nil"/>
              <w:left w:val="nil"/>
              <w:bottom w:val="single" w:sz="4" w:space="0" w:color="auto"/>
              <w:right w:val="single" w:sz="4" w:space="0" w:color="auto"/>
            </w:tcBorders>
            <w:shd w:val="clear" w:color="auto" w:fill="auto"/>
            <w:vAlign w:val="center"/>
            <w:hideMark/>
          </w:tcPr>
          <w:p w14:paraId="20336A6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Good Governance &amp; Public Participation</w:t>
            </w:r>
          </w:p>
        </w:tc>
        <w:tc>
          <w:tcPr>
            <w:tcW w:w="278" w:type="pct"/>
            <w:tcBorders>
              <w:top w:val="nil"/>
              <w:left w:val="nil"/>
              <w:bottom w:val="single" w:sz="4" w:space="0" w:color="auto"/>
              <w:right w:val="single" w:sz="4" w:space="0" w:color="auto"/>
            </w:tcBorders>
            <w:shd w:val="clear" w:color="auto" w:fill="auto"/>
            <w:vAlign w:val="center"/>
            <w:hideMark/>
          </w:tcPr>
          <w:p w14:paraId="6F852EF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promote a culture of participatory democracy and social cohesion</w:t>
            </w:r>
          </w:p>
        </w:tc>
        <w:tc>
          <w:tcPr>
            <w:tcW w:w="374" w:type="pct"/>
            <w:tcBorders>
              <w:top w:val="nil"/>
              <w:left w:val="nil"/>
              <w:bottom w:val="single" w:sz="4" w:space="0" w:color="auto"/>
              <w:right w:val="single" w:sz="4" w:space="0" w:color="auto"/>
            </w:tcBorders>
            <w:shd w:val="clear" w:color="auto" w:fill="auto"/>
            <w:vAlign w:val="center"/>
            <w:hideMark/>
          </w:tcPr>
          <w:p w14:paraId="6367426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Conduct 1 Batho Pele workshop to MANCO by 31 December </w:t>
            </w:r>
          </w:p>
        </w:tc>
        <w:tc>
          <w:tcPr>
            <w:tcW w:w="374" w:type="pct"/>
            <w:tcBorders>
              <w:top w:val="nil"/>
              <w:left w:val="nil"/>
              <w:bottom w:val="single" w:sz="4" w:space="0" w:color="auto"/>
              <w:right w:val="single" w:sz="4" w:space="0" w:color="auto"/>
            </w:tcBorders>
            <w:shd w:val="clear" w:color="auto" w:fill="auto"/>
            <w:vAlign w:val="center"/>
            <w:hideMark/>
          </w:tcPr>
          <w:p w14:paraId="0B6C05C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Date of Batho Pele workshop</w:t>
            </w:r>
          </w:p>
        </w:tc>
        <w:tc>
          <w:tcPr>
            <w:tcW w:w="374" w:type="pct"/>
            <w:tcBorders>
              <w:top w:val="nil"/>
              <w:left w:val="nil"/>
              <w:bottom w:val="single" w:sz="4" w:space="0" w:color="auto"/>
              <w:right w:val="single" w:sz="4" w:space="0" w:color="auto"/>
            </w:tcBorders>
            <w:shd w:val="clear" w:color="auto" w:fill="auto"/>
            <w:vAlign w:val="center"/>
            <w:hideMark/>
          </w:tcPr>
          <w:p w14:paraId="4A263CE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1 Batho Pele workshop conducted for MANCO by 31 December </w:t>
            </w:r>
          </w:p>
        </w:tc>
        <w:tc>
          <w:tcPr>
            <w:tcW w:w="305" w:type="pct"/>
            <w:tcBorders>
              <w:top w:val="nil"/>
              <w:left w:val="nil"/>
              <w:bottom w:val="single" w:sz="4" w:space="0" w:color="auto"/>
              <w:right w:val="single" w:sz="4" w:space="0" w:color="auto"/>
            </w:tcBorders>
            <w:shd w:val="clear" w:color="auto" w:fill="auto"/>
            <w:vAlign w:val="center"/>
            <w:hideMark/>
          </w:tcPr>
          <w:p w14:paraId="37FBE1D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55146A4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1 Batho Pele workshop conducted for MANCO by 31 December </w:t>
            </w:r>
          </w:p>
        </w:tc>
        <w:tc>
          <w:tcPr>
            <w:tcW w:w="305" w:type="pct"/>
            <w:tcBorders>
              <w:top w:val="nil"/>
              <w:left w:val="nil"/>
              <w:bottom w:val="single" w:sz="4" w:space="0" w:color="auto"/>
              <w:right w:val="single" w:sz="4" w:space="0" w:color="auto"/>
            </w:tcBorders>
            <w:shd w:val="clear" w:color="auto" w:fill="auto"/>
            <w:vAlign w:val="center"/>
            <w:hideMark/>
          </w:tcPr>
          <w:p w14:paraId="0B3DBF7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5AE82A3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251" w:type="pct"/>
            <w:tcBorders>
              <w:top w:val="nil"/>
              <w:left w:val="nil"/>
              <w:bottom w:val="single" w:sz="4" w:space="0" w:color="auto"/>
              <w:right w:val="single" w:sz="4" w:space="0" w:color="auto"/>
            </w:tcBorders>
            <w:shd w:val="clear" w:color="auto" w:fill="auto"/>
            <w:vAlign w:val="center"/>
            <w:hideMark/>
          </w:tcPr>
          <w:p w14:paraId="17A8CAAA"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146" w:type="pct"/>
            <w:tcBorders>
              <w:top w:val="nil"/>
              <w:left w:val="nil"/>
              <w:bottom w:val="single" w:sz="4" w:space="0" w:color="auto"/>
              <w:right w:val="single" w:sz="4" w:space="0" w:color="auto"/>
            </w:tcBorders>
            <w:shd w:val="clear" w:color="auto" w:fill="auto"/>
            <w:noWrap/>
            <w:vAlign w:val="center"/>
            <w:hideMark/>
          </w:tcPr>
          <w:p w14:paraId="41739C32"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w:t>
            </w:r>
          </w:p>
        </w:tc>
        <w:tc>
          <w:tcPr>
            <w:tcW w:w="278" w:type="pct"/>
            <w:tcBorders>
              <w:top w:val="nil"/>
              <w:left w:val="nil"/>
              <w:bottom w:val="single" w:sz="4" w:space="0" w:color="auto"/>
              <w:right w:val="single" w:sz="4" w:space="0" w:color="auto"/>
            </w:tcBorders>
            <w:shd w:val="clear" w:color="auto" w:fill="auto"/>
            <w:vAlign w:val="center"/>
            <w:hideMark/>
          </w:tcPr>
          <w:p w14:paraId="0B3C0C1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MANAGER</w:t>
            </w:r>
          </w:p>
        </w:tc>
        <w:tc>
          <w:tcPr>
            <w:tcW w:w="170" w:type="pct"/>
            <w:tcBorders>
              <w:top w:val="nil"/>
              <w:left w:val="nil"/>
              <w:bottom w:val="single" w:sz="4" w:space="0" w:color="auto"/>
              <w:right w:val="single" w:sz="4" w:space="0" w:color="auto"/>
            </w:tcBorders>
            <w:shd w:val="clear" w:color="auto" w:fill="auto"/>
            <w:vAlign w:val="center"/>
            <w:hideMark/>
          </w:tcPr>
          <w:p w14:paraId="19A8DE1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35860915" w14:textId="77777777" w:rsidTr="008A0277">
        <w:trPr>
          <w:trHeight w:val="1266"/>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E7EED85"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Poor implementation of Batho Pele</w:t>
            </w:r>
          </w:p>
        </w:tc>
        <w:tc>
          <w:tcPr>
            <w:tcW w:w="136" w:type="pct"/>
            <w:tcBorders>
              <w:top w:val="nil"/>
              <w:left w:val="nil"/>
              <w:bottom w:val="single" w:sz="4" w:space="0" w:color="auto"/>
              <w:right w:val="single" w:sz="4" w:space="0" w:color="auto"/>
            </w:tcBorders>
            <w:shd w:val="clear" w:color="auto" w:fill="auto"/>
            <w:noWrap/>
            <w:vAlign w:val="center"/>
            <w:hideMark/>
          </w:tcPr>
          <w:p w14:paraId="566AD65D"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TL54</w:t>
            </w:r>
          </w:p>
        </w:tc>
        <w:tc>
          <w:tcPr>
            <w:tcW w:w="141" w:type="pct"/>
            <w:tcBorders>
              <w:top w:val="nil"/>
              <w:left w:val="nil"/>
              <w:bottom w:val="single" w:sz="4" w:space="0" w:color="auto"/>
              <w:right w:val="single" w:sz="4" w:space="0" w:color="auto"/>
            </w:tcBorders>
            <w:shd w:val="clear" w:color="auto" w:fill="auto"/>
            <w:noWrap/>
            <w:vAlign w:val="center"/>
            <w:hideMark/>
          </w:tcPr>
          <w:p w14:paraId="5BAE9FD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E5.2-70</w:t>
            </w:r>
          </w:p>
        </w:tc>
        <w:tc>
          <w:tcPr>
            <w:tcW w:w="269" w:type="pct"/>
            <w:tcBorders>
              <w:top w:val="nil"/>
              <w:left w:val="nil"/>
              <w:bottom w:val="single" w:sz="4" w:space="0" w:color="auto"/>
              <w:right w:val="single" w:sz="4" w:space="0" w:color="auto"/>
            </w:tcBorders>
            <w:shd w:val="clear" w:color="auto" w:fill="auto"/>
            <w:vAlign w:val="center"/>
            <w:hideMark/>
          </w:tcPr>
          <w:p w14:paraId="55364D0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development-orientated public service and inclusive citizenship</w:t>
            </w:r>
          </w:p>
        </w:tc>
        <w:tc>
          <w:tcPr>
            <w:tcW w:w="280" w:type="pct"/>
            <w:tcBorders>
              <w:top w:val="nil"/>
              <w:left w:val="nil"/>
              <w:bottom w:val="single" w:sz="4" w:space="0" w:color="auto"/>
              <w:right w:val="single" w:sz="4" w:space="0" w:color="auto"/>
            </w:tcBorders>
            <w:shd w:val="clear" w:color="auto" w:fill="auto"/>
            <w:vAlign w:val="center"/>
            <w:hideMark/>
          </w:tcPr>
          <w:p w14:paraId="1F35C42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Good Governance and Public Participation</w:t>
            </w:r>
          </w:p>
        </w:tc>
        <w:tc>
          <w:tcPr>
            <w:tcW w:w="280" w:type="pct"/>
            <w:tcBorders>
              <w:top w:val="nil"/>
              <w:left w:val="nil"/>
              <w:bottom w:val="single" w:sz="4" w:space="0" w:color="auto"/>
              <w:right w:val="single" w:sz="4" w:space="0" w:color="auto"/>
            </w:tcBorders>
            <w:shd w:val="clear" w:color="auto" w:fill="auto"/>
            <w:vAlign w:val="center"/>
            <w:hideMark/>
          </w:tcPr>
          <w:p w14:paraId="6CB4133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Good Governance &amp; Public Participation</w:t>
            </w:r>
          </w:p>
        </w:tc>
        <w:tc>
          <w:tcPr>
            <w:tcW w:w="278" w:type="pct"/>
            <w:tcBorders>
              <w:top w:val="nil"/>
              <w:left w:val="nil"/>
              <w:bottom w:val="single" w:sz="4" w:space="0" w:color="auto"/>
              <w:right w:val="single" w:sz="4" w:space="0" w:color="auto"/>
            </w:tcBorders>
            <w:shd w:val="clear" w:color="auto" w:fill="auto"/>
            <w:vAlign w:val="center"/>
            <w:hideMark/>
          </w:tcPr>
          <w:p w14:paraId="5352248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promote a culture of participatory democracy and social cohesion</w:t>
            </w:r>
          </w:p>
        </w:tc>
        <w:tc>
          <w:tcPr>
            <w:tcW w:w="374" w:type="pct"/>
            <w:tcBorders>
              <w:top w:val="nil"/>
              <w:left w:val="nil"/>
              <w:bottom w:val="single" w:sz="4" w:space="0" w:color="auto"/>
              <w:right w:val="single" w:sz="4" w:space="0" w:color="auto"/>
            </w:tcBorders>
            <w:shd w:val="clear" w:color="auto" w:fill="auto"/>
            <w:vAlign w:val="center"/>
            <w:hideMark/>
          </w:tcPr>
          <w:p w14:paraId="114F6F1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Compile a Service Delivery Improvement Plan (SDIP) by 31 March </w:t>
            </w:r>
          </w:p>
        </w:tc>
        <w:tc>
          <w:tcPr>
            <w:tcW w:w="374" w:type="pct"/>
            <w:tcBorders>
              <w:top w:val="nil"/>
              <w:left w:val="nil"/>
              <w:bottom w:val="single" w:sz="4" w:space="0" w:color="auto"/>
              <w:right w:val="single" w:sz="4" w:space="0" w:color="auto"/>
            </w:tcBorders>
            <w:shd w:val="clear" w:color="auto" w:fill="auto"/>
            <w:vAlign w:val="center"/>
            <w:hideMark/>
          </w:tcPr>
          <w:p w14:paraId="2F64788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Date SDIP compiled</w:t>
            </w:r>
          </w:p>
        </w:tc>
        <w:tc>
          <w:tcPr>
            <w:tcW w:w="374" w:type="pct"/>
            <w:tcBorders>
              <w:top w:val="nil"/>
              <w:left w:val="nil"/>
              <w:bottom w:val="single" w:sz="4" w:space="0" w:color="auto"/>
              <w:right w:val="single" w:sz="4" w:space="0" w:color="auto"/>
            </w:tcBorders>
            <w:shd w:val="clear" w:color="auto" w:fill="auto"/>
            <w:vAlign w:val="center"/>
            <w:hideMark/>
          </w:tcPr>
          <w:p w14:paraId="3C6FAF7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Service Delivery Improvement Plan compiled by 31 March </w:t>
            </w:r>
          </w:p>
        </w:tc>
        <w:tc>
          <w:tcPr>
            <w:tcW w:w="305" w:type="pct"/>
            <w:tcBorders>
              <w:top w:val="nil"/>
              <w:left w:val="nil"/>
              <w:bottom w:val="single" w:sz="4" w:space="0" w:color="auto"/>
              <w:right w:val="single" w:sz="4" w:space="0" w:color="auto"/>
            </w:tcBorders>
            <w:shd w:val="clear" w:color="auto" w:fill="auto"/>
            <w:vAlign w:val="center"/>
            <w:hideMark/>
          </w:tcPr>
          <w:p w14:paraId="23ABA12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0A523A1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05" w:type="pct"/>
            <w:tcBorders>
              <w:top w:val="nil"/>
              <w:left w:val="nil"/>
              <w:bottom w:val="single" w:sz="4" w:space="0" w:color="auto"/>
              <w:right w:val="single" w:sz="4" w:space="0" w:color="auto"/>
            </w:tcBorders>
            <w:shd w:val="clear" w:color="auto" w:fill="auto"/>
            <w:vAlign w:val="center"/>
            <w:hideMark/>
          </w:tcPr>
          <w:p w14:paraId="0F8B9E4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Service Delivery Improvement Plan compiled by 31 March </w:t>
            </w:r>
          </w:p>
        </w:tc>
        <w:tc>
          <w:tcPr>
            <w:tcW w:w="374" w:type="pct"/>
            <w:tcBorders>
              <w:top w:val="nil"/>
              <w:left w:val="nil"/>
              <w:bottom w:val="single" w:sz="4" w:space="0" w:color="auto"/>
              <w:right w:val="single" w:sz="4" w:space="0" w:color="auto"/>
            </w:tcBorders>
            <w:shd w:val="clear" w:color="auto" w:fill="auto"/>
            <w:vAlign w:val="center"/>
            <w:hideMark/>
          </w:tcPr>
          <w:p w14:paraId="7A43274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251" w:type="pct"/>
            <w:tcBorders>
              <w:top w:val="nil"/>
              <w:left w:val="nil"/>
              <w:bottom w:val="single" w:sz="4" w:space="0" w:color="auto"/>
              <w:right w:val="single" w:sz="4" w:space="0" w:color="auto"/>
            </w:tcBorders>
            <w:shd w:val="clear" w:color="auto" w:fill="auto"/>
            <w:vAlign w:val="center"/>
            <w:hideMark/>
          </w:tcPr>
          <w:p w14:paraId="7D4614A5"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146" w:type="pct"/>
            <w:tcBorders>
              <w:top w:val="nil"/>
              <w:left w:val="nil"/>
              <w:bottom w:val="single" w:sz="4" w:space="0" w:color="auto"/>
              <w:right w:val="single" w:sz="4" w:space="0" w:color="auto"/>
            </w:tcBorders>
            <w:shd w:val="clear" w:color="auto" w:fill="auto"/>
            <w:noWrap/>
            <w:vAlign w:val="center"/>
            <w:hideMark/>
          </w:tcPr>
          <w:p w14:paraId="0492FFF2"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278" w:type="pct"/>
            <w:tcBorders>
              <w:top w:val="nil"/>
              <w:left w:val="nil"/>
              <w:bottom w:val="single" w:sz="4" w:space="0" w:color="auto"/>
              <w:right w:val="single" w:sz="4" w:space="0" w:color="auto"/>
            </w:tcBorders>
            <w:shd w:val="clear" w:color="auto" w:fill="auto"/>
            <w:vAlign w:val="center"/>
            <w:hideMark/>
          </w:tcPr>
          <w:p w14:paraId="1671A01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MANAGER</w:t>
            </w:r>
          </w:p>
        </w:tc>
        <w:tc>
          <w:tcPr>
            <w:tcW w:w="170" w:type="pct"/>
            <w:tcBorders>
              <w:top w:val="nil"/>
              <w:left w:val="nil"/>
              <w:bottom w:val="single" w:sz="4" w:space="0" w:color="auto"/>
              <w:right w:val="single" w:sz="4" w:space="0" w:color="auto"/>
            </w:tcBorders>
            <w:shd w:val="clear" w:color="auto" w:fill="auto"/>
            <w:vAlign w:val="center"/>
            <w:hideMark/>
          </w:tcPr>
          <w:p w14:paraId="2017362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72AB06A5" w14:textId="77777777" w:rsidTr="008A0277">
        <w:trPr>
          <w:trHeight w:val="114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72172EF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Poor implementation of Batho Pele</w:t>
            </w:r>
          </w:p>
        </w:tc>
        <w:tc>
          <w:tcPr>
            <w:tcW w:w="136" w:type="pct"/>
            <w:tcBorders>
              <w:top w:val="nil"/>
              <w:left w:val="nil"/>
              <w:bottom w:val="single" w:sz="4" w:space="0" w:color="auto"/>
              <w:right w:val="single" w:sz="4" w:space="0" w:color="auto"/>
            </w:tcBorders>
            <w:shd w:val="clear" w:color="auto" w:fill="auto"/>
            <w:noWrap/>
            <w:vAlign w:val="center"/>
            <w:hideMark/>
          </w:tcPr>
          <w:p w14:paraId="7E718661"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TL55</w:t>
            </w:r>
          </w:p>
        </w:tc>
        <w:tc>
          <w:tcPr>
            <w:tcW w:w="141" w:type="pct"/>
            <w:tcBorders>
              <w:top w:val="nil"/>
              <w:left w:val="nil"/>
              <w:bottom w:val="single" w:sz="4" w:space="0" w:color="auto"/>
              <w:right w:val="single" w:sz="4" w:space="0" w:color="auto"/>
            </w:tcBorders>
            <w:shd w:val="clear" w:color="auto" w:fill="auto"/>
            <w:noWrap/>
            <w:vAlign w:val="center"/>
            <w:hideMark/>
          </w:tcPr>
          <w:p w14:paraId="643D308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E5.2-71</w:t>
            </w:r>
          </w:p>
        </w:tc>
        <w:tc>
          <w:tcPr>
            <w:tcW w:w="269" w:type="pct"/>
            <w:tcBorders>
              <w:top w:val="nil"/>
              <w:left w:val="nil"/>
              <w:bottom w:val="single" w:sz="4" w:space="0" w:color="auto"/>
              <w:right w:val="single" w:sz="4" w:space="0" w:color="auto"/>
            </w:tcBorders>
            <w:shd w:val="clear" w:color="auto" w:fill="auto"/>
            <w:vAlign w:val="center"/>
            <w:hideMark/>
          </w:tcPr>
          <w:p w14:paraId="1A7C47B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development-orientated public service and inclusive citizenship</w:t>
            </w:r>
          </w:p>
        </w:tc>
        <w:tc>
          <w:tcPr>
            <w:tcW w:w="280" w:type="pct"/>
            <w:tcBorders>
              <w:top w:val="nil"/>
              <w:left w:val="nil"/>
              <w:bottom w:val="single" w:sz="4" w:space="0" w:color="auto"/>
              <w:right w:val="single" w:sz="4" w:space="0" w:color="auto"/>
            </w:tcBorders>
            <w:shd w:val="clear" w:color="auto" w:fill="auto"/>
            <w:vAlign w:val="center"/>
            <w:hideMark/>
          </w:tcPr>
          <w:p w14:paraId="2CD7538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Good Governance and Public Participation</w:t>
            </w:r>
          </w:p>
        </w:tc>
        <w:tc>
          <w:tcPr>
            <w:tcW w:w="280" w:type="pct"/>
            <w:tcBorders>
              <w:top w:val="nil"/>
              <w:left w:val="nil"/>
              <w:bottom w:val="single" w:sz="4" w:space="0" w:color="auto"/>
              <w:right w:val="single" w:sz="4" w:space="0" w:color="auto"/>
            </w:tcBorders>
            <w:shd w:val="clear" w:color="auto" w:fill="auto"/>
            <w:vAlign w:val="center"/>
            <w:hideMark/>
          </w:tcPr>
          <w:p w14:paraId="5BAC300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Good Governance &amp; Public Participation</w:t>
            </w:r>
          </w:p>
        </w:tc>
        <w:tc>
          <w:tcPr>
            <w:tcW w:w="278" w:type="pct"/>
            <w:tcBorders>
              <w:top w:val="nil"/>
              <w:left w:val="nil"/>
              <w:bottom w:val="single" w:sz="4" w:space="0" w:color="auto"/>
              <w:right w:val="single" w:sz="4" w:space="0" w:color="auto"/>
            </w:tcBorders>
            <w:shd w:val="clear" w:color="auto" w:fill="auto"/>
            <w:vAlign w:val="center"/>
            <w:hideMark/>
          </w:tcPr>
          <w:p w14:paraId="77BBF33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promote a culture of participatory democracy and social cohesion</w:t>
            </w:r>
          </w:p>
        </w:tc>
        <w:tc>
          <w:tcPr>
            <w:tcW w:w="374" w:type="pct"/>
            <w:tcBorders>
              <w:top w:val="nil"/>
              <w:left w:val="nil"/>
              <w:bottom w:val="single" w:sz="4" w:space="0" w:color="auto"/>
              <w:right w:val="single" w:sz="4" w:space="0" w:color="auto"/>
            </w:tcBorders>
            <w:shd w:val="clear" w:color="auto" w:fill="auto"/>
            <w:vAlign w:val="center"/>
            <w:hideMark/>
          </w:tcPr>
          <w:p w14:paraId="006E109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Undertake 1 Batho Pele campaign per department (5 departments)  by 31 December </w:t>
            </w:r>
          </w:p>
        </w:tc>
        <w:tc>
          <w:tcPr>
            <w:tcW w:w="374" w:type="pct"/>
            <w:tcBorders>
              <w:top w:val="nil"/>
              <w:left w:val="nil"/>
              <w:bottom w:val="single" w:sz="4" w:space="0" w:color="auto"/>
              <w:right w:val="single" w:sz="4" w:space="0" w:color="auto"/>
            </w:tcBorders>
            <w:shd w:val="clear" w:color="auto" w:fill="auto"/>
            <w:vAlign w:val="center"/>
            <w:hideMark/>
          </w:tcPr>
          <w:p w14:paraId="197F770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Number of campaigns undertaken</w:t>
            </w:r>
          </w:p>
        </w:tc>
        <w:tc>
          <w:tcPr>
            <w:tcW w:w="374" w:type="pct"/>
            <w:tcBorders>
              <w:top w:val="nil"/>
              <w:left w:val="nil"/>
              <w:bottom w:val="single" w:sz="4" w:space="0" w:color="auto"/>
              <w:right w:val="single" w:sz="4" w:space="0" w:color="auto"/>
            </w:tcBorders>
            <w:shd w:val="clear" w:color="auto" w:fill="auto"/>
            <w:vAlign w:val="center"/>
            <w:hideMark/>
          </w:tcPr>
          <w:p w14:paraId="4A0713C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5 Batho Pele Campaigns undertaken by 31 December</w:t>
            </w:r>
          </w:p>
        </w:tc>
        <w:tc>
          <w:tcPr>
            <w:tcW w:w="305" w:type="pct"/>
            <w:tcBorders>
              <w:top w:val="nil"/>
              <w:left w:val="nil"/>
              <w:bottom w:val="single" w:sz="4" w:space="0" w:color="auto"/>
              <w:right w:val="single" w:sz="4" w:space="0" w:color="auto"/>
            </w:tcBorders>
            <w:shd w:val="clear" w:color="auto" w:fill="auto"/>
            <w:vAlign w:val="center"/>
            <w:hideMark/>
          </w:tcPr>
          <w:p w14:paraId="0C8E876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52ED754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5 Batho Pele Campaigns undertaken by 31 December</w:t>
            </w:r>
          </w:p>
        </w:tc>
        <w:tc>
          <w:tcPr>
            <w:tcW w:w="305" w:type="pct"/>
            <w:tcBorders>
              <w:top w:val="nil"/>
              <w:left w:val="nil"/>
              <w:bottom w:val="single" w:sz="4" w:space="0" w:color="auto"/>
              <w:right w:val="single" w:sz="4" w:space="0" w:color="auto"/>
            </w:tcBorders>
            <w:shd w:val="clear" w:color="auto" w:fill="auto"/>
            <w:vAlign w:val="center"/>
            <w:hideMark/>
          </w:tcPr>
          <w:p w14:paraId="7AB9E09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374" w:type="pct"/>
            <w:tcBorders>
              <w:top w:val="nil"/>
              <w:left w:val="nil"/>
              <w:bottom w:val="single" w:sz="4" w:space="0" w:color="auto"/>
              <w:right w:val="single" w:sz="4" w:space="0" w:color="auto"/>
            </w:tcBorders>
            <w:shd w:val="clear" w:color="auto" w:fill="auto"/>
            <w:vAlign w:val="center"/>
            <w:hideMark/>
          </w:tcPr>
          <w:p w14:paraId="47EAD87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251" w:type="pct"/>
            <w:tcBorders>
              <w:top w:val="nil"/>
              <w:left w:val="nil"/>
              <w:bottom w:val="single" w:sz="4" w:space="0" w:color="auto"/>
              <w:right w:val="single" w:sz="4" w:space="0" w:color="auto"/>
            </w:tcBorders>
            <w:shd w:val="clear" w:color="auto" w:fill="auto"/>
            <w:vAlign w:val="center"/>
            <w:hideMark/>
          </w:tcPr>
          <w:p w14:paraId="177F9A76"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50 000.00</w:t>
            </w:r>
          </w:p>
        </w:tc>
        <w:tc>
          <w:tcPr>
            <w:tcW w:w="146" w:type="pct"/>
            <w:tcBorders>
              <w:top w:val="nil"/>
              <w:left w:val="nil"/>
              <w:bottom w:val="single" w:sz="4" w:space="0" w:color="auto"/>
              <w:right w:val="single" w:sz="4" w:space="0" w:color="auto"/>
            </w:tcBorders>
            <w:shd w:val="clear" w:color="auto" w:fill="auto"/>
            <w:noWrap/>
            <w:vAlign w:val="center"/>
            <w:hideMark/>
          </w:tcPr>
          <w:p w14:paraId="1555680D"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0</w:t>
            </w:r>
          </w:p>
        </w:tc>
        <w:tc>
          <w:tcPr>
            <w:tcW w:w="278" w:type="pct"/>
            <w:tcBorders>
              <w:top w:val="nil"/>
              <w:left w:val="nil"/>
              <w:bottom w:val="single" w:sz="4" w:space="0" w:color="auto"/>
              <w:right w:val="single" w:sz="4" w:space="0" w:color="auto"/>
            </w:tcBorders>
            <w:shd w:val="clear" w:color="auto" w:fill="auto"/>
            <w:vAlign w:val="center"/>
            <w:hideMark/>
          </w:tcPr>
          <w:p w14:paraId="088583A2"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MANAGER</w:t>
            </w:r>
          </w:p>
        </w:tc>
        <w:tc>
          <w:tcPr>
            <w:tcW w:w="170" w:type="pct"/>
            <w:tcBorders>
              <w:top w:val="nil"/>
              <w:left w:val="nil"/>
              <w:bottom w:val="single" w:sz="4" w:space="0" w:color="auto"/>
              <w:right w:val="single" w:sz="4" w:space="0" w:color="auto"/>
            </w:tcBorders>
            <w:shd w:val="clear" w:color="auto" w:fill="auto"/>
            <w:vAlign w:val="center"/>
            <w:hideMark/>
          </w:tcPr>
          <w:p w14:paraId="0517873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28155C4A" w14:textId="77777777" w:rsidTr="008A0277">
        <w:trPr>
          <w:trHeight w:val="1229"/>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62AD49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Poor implementation of Batho Pele</w:t>
            </w:r>
          </w:p>
        </w:tc>
        <w:tc>
          <w:tcPr>
            <w:tcW w:w="136" w:type="pct"/>
            <w:tcBorders>
              <w:top w:val="nil"/>
              <w:left w:val="nil"/>
              <w:bottom w:val="single" w:sz="4" w:space="0" w:color="auto"/>
              <w:right w:val="single" w:sz="4" w:space="0" w:color="auto"/>
            </w:tcBorders>
            <w:shd w:val="clear" w:color="auto" w:fill="auto"/>
            <w:noWrap/>
            <w:vAlign w:val="center"/>
            <w:hideMark/>
          </w:tcPr>
          <w:p w14:paraId="542A6704"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TL56</w:t>
            </w:r>
          </w:p>
        </w:tc>
        <w:tc>
          <w:tcPr>
            <w:tcW w:w="141" w:type="pct"/>
            <w:tcBorders>
              <w:top w:val="nil"/>
              <w:left w:val="nil"/>
              <w:bottom w:val="single" w:sz="4" w:space="0" w:color="auto"/>
              <w:right w:val="single" w:sz="4" w:space="0" w:color="auto"/>
            </w:tcBorders>
            <w:shd w:val="clear" w:color="auto" w:fill="auto"/>
            <w:noWrap/>
            <w:vAlign w:val="center"/>
            <w:hideMark/>
          </w:tcPr>
          <w:p w14:paraId="79BEED3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E5.2-72</w:t>
            </w:r>
          </w:p>
        </w:tc>
        <w:tc>
          <w:tcPr>
            <w:tcW w:w="269" w:type="pct"/>
            <w:tcBorders>
              <w:top w:val="nil"/>
              <w:left w:val="nil"/>
              <w:bottom w:val="single" w:sz="4" w:space="0" w:color="auto"/>
              <w:right w:val="single" w:sz="4" w:space="0" w:color="auto"/>
            </w:tcBorders>
            <w:shd w:val="clear" w:color="auto" w:fill="auto"/>
            <w:vAlign w:val="center"/>
            <w:hideMark/>
          </w:tcPr>
          <w:p w14:paraId="2C9EBB2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development-orientated public service and inclusive citizenship</w:t>
            </w:r>
          </w:p>
        </w:tc>
        <w:tc>
          <w:tcPr>
            <w:tcW w:w="280" w:type="pct"/>
            <w:tcBorders>
              <w:top w:val="nil"/>
              <w:left w:val="nil"/>
              <w:bottom w:val="single" w:sz="4" w:space="0" w:color="auto"/>
              <w:right w:val="single" w:sz="4" w:space="0" w:color="auto"/>
            </w:tcBorders>
            <w:shd w:val="clear" w:color="auto" w:fill="auto"/>
            <w:vAlign w:val="center"/>
            <w:hideMark/>
          </w:tcPr>
          <w:p w14:paraId="607FC51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Good Governance and Public Participation</w:t>
            </w:r>
          </w:p>
        </w:tc>
        <w:tc>
          <w:tcPr>
            <w:tcW w:w="280" w:type="pct"/>
            <w:tcBorders>
              <w:top w:val="nil"/>
              <w:left w:val="nil"/>
              <w:bottom w:val="single" w:sz="4" w:space="0" w:color="auto"/>
              <w:right w:val="single" w:sz="4" w:space="0" w:color="auto"/>
            </w:tcBorders>
            <w:shd w:val="clear" w:color="auto" w:fill="auto"/>
            <w:vAlign w:val="center"/>
            <w:hideMark/>
          </w:tcPr>
          <w:p w14:paraId="20B8634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Good Governance &amp; Public Participation</w:t>
            </w:r>
          </w:p>
        </w:tc>
        <w:tc>
          <w:tcPr>
            <w:tcW w:w="278" w:type="pct"/>
            <w:tcBorders>
              <w:top w:val="nil"/>
              <w:left w:val="nil"/>
              <w:bottom w:val="single" w:sz="4" w:space="0" w:color="auto"/>
              <w:right w:val="single" w:sz="4" w:space="0" w:color="auto"/>
            </w:tcBorders>
            <w:shd w:val="clear" w:color="auto" w:fill="auto"/>
            <w:vAlign w:val="center"/>
            <w:hideMark/>
          </w:tcPr>
          <w:p w14:paraId="5CC5CB3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promote a culture of participatory democracy and social cohesion</w:t>
            </w:r>
          </w:p>
        </w:tc>
        <w:tc>
          <w:tcPr>
            <w:tcW w:w="374" w:type="pct"/>
            <w:tcBorders>
              <w:top w:val="nil"/>
              <w:left w:val="nil"/>
              <w:bottom w:val="single" w:sz="4" w:space="0" w:color="auto"/>
              <w:right w:val="single" w:sz="4" w:space="0" w:color="auto"/>
            </w:tcBorders>
            <w:shd w:val="clear" w:color="auto" w:fill="auto"/>
            <w:vAlign w:val="center"/>
            <w:hideMark/>
          </w:tcPr>
          <w:p w14:paraId="2B13270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Attend to 100% of complaints within 3 days of receipt</w:t>
            </w:r>
          </w:p>
        </w:tc>
        <w:tc>
          <w:tcPr>
            <w:tcW w:w="374" w:type="pct"/>
            <w:tcBorders>
              <w:top w:val="nil"/>
              <w:left w:val="nil"/>
              <w:bottom w:val="single" w:sz="4" w:space="0" w:color="auto"/>
              <w:right w:val="single" w:sz="4" w:space="0" w:color="auto"/>
            </w:tcBorders>
            <w:shd w:val="clear" w:color="auto" w:fill="auto"/>
            <w:vAlign w:val="center"/>
            <w:hideMark/>
          </w:tcPr>
          <w:p w14:paraId="18CCE3A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Percentage of complaints attended to within 3 days of receipt</w:t>
            </w:r>
          </w:p>
        </w:tc>
        <w:tc>
          <w:tcPr>
            <w:tcW w:w="374" w:type="pct"/>
            <w:tcBorders>
              <w:top w:val="nil"/>
              <w:left w:val="nil"/>
              <w:bottom w:val="single" w:sz="4" w:space="0" w:color="auto"/>
              <w:right w:val="single" w:sz="4" w:space="0" w:color="auto"/>
            </w:tcBorders>
            <w:shd w:val="clear" w:color="auto" w:fill="auto"/>
            <w:vAlign w:val="center"/>
            <w:hideMark/>
          </w:tcPr>
          <w:p w14:paraId="07473D2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100% of complaints attended to within 3 days of receipt</w:t>
            </w:r>
          </w:p>
        </w:tc>
        <w:tc>
          <w:tcPr>
            <w:tcW w:w="305" w:type="pct"/>
            <w:tcBorders>
              <w:top w:val="nil"/>
              <w:left w:val="nil"/>
              <w:bottom w:val="single" w:sz="4" w:space="0" w:color="auto"/>
              <w:right w:val="single" w:sz="4" w:space="0" w:color="auto"/>
            </w:tcBorders>
            <w:shd w:val="clear" w:color="auto" w:fill="auto"/>
            <w:vAlign w:val="center"/>
            <w:hideMark/>
          </w:tcPr>
          <w:p w14:paraId="53023B8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100% of complaints attended to within 3 days of receipt</w:t>
            </w:r>
          </w:p>
        </w:tc>
        <w:tc>
          <w:tcPr>
            <w:tcW w:w="374" w:type="pct"/>
            <w:tcBorders>
              <w:top w:val="nil"/>
              <w:left w:val="nil"/>
              <w:bottom w:val="single" w:sz="4" w:space="0" w:color="auto"/>
              <w:right w:val="single" w:sz="4" w:space="0" w:color="auto"/>
            </w:tcBorders>
            <w:shd w:val="clear" w:color="auto" w:fill="auto"/>
            <w:vAlign w:val="center"/>
            <w:hideMark/>
          </w:tcPr>
          <w:p w14:paraId="17B206D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100% of complaints attended to within 3 days of receipt</w:t>
            </w:r>
          </w:p>
        </w:tc>
        <w:tc>
          <w:tcPr>
            <w:tcW w:w="305" w:type="pct"/>
            <w:tcBorders>
              <w:top w:val="nil"/>
              <w:left w:val="nil"/>
              <w:bottom w:val="single" w:sz="4" w:space="0" w:color="auto"/>
              <w:right w:val="single" w:sz="4" w:space="0" w:color="auto"/>
            </w:tcBorders>
            <w:shd w:val="clear" w:color="auto" w:fill="auto"/>
            <w:vAlign w:val="center"/>
            <w:hideMark/>
          </w:tcPr>
          <w:p w14:paraId="23BCBE9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100% of complaints attended to within 3 days of receipt</w:t>
            </w:r>
          </w:p>
        </w:tc>
        <w:tc>
          <w:tcPr>
            <w:tcW w:w="374" w:type="pct"/>
            <w:tcBorders>
              <w:top w:val="nil"/>
              <w:left w:val="nil"/>
              <w:bottom w:val="single" w:sz="4" w:space="0" w:color="auto"/>
              <w:right w:val="single" w:sz="4" w:space="0" w:color="auto"/>
            </w:tcBorders>
            <w:shd w:val="clear" w:color="auto" w:fill="auto"/>
            <w:vAlign w:val="center"/>
            <w:hideMark/>
          </w:tcPr>
          <w:p w14:paraId="1AE997C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100% of complaints attended to within 3 days of receipt</w:t>
            </w:r>
          </w:p>
        </w:tc>
        <w:tc>
          <w:tcPr>
            <w:tcW w:w="251" w:type="pct"/>
            <w:tcBorders>
              <w:top w:val="nil"/>
              <w:left w:val="nil"/>
              <w:bottom w:val="single" w:sz="4" w:space="0" w:color="auto"/>
              <w:right w:val="single" w:sz="4" w:space="0" w:color="auto"/>
            </w:tcBorders>
            <w:shd w:val="clear" w:color="auto" w:fill="auto"/>
            <w:vAlign w:val="center"/>
            <w:hideMark/>
          </w:tcPr>
          <w:p w14:paraId="0E717C9A"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70 000.00</w:t>
            </w:r>
          </w:p>
        </w:tc>
        <w:tc>
          <w:tcPr>
            <w:tcW w:w="146" w:type="pct"/>
            <w:tcBorders>
              <w:top w:val="nil"/>
              <w:left w:val="nil"/>
              <w:bottom w:val="single" w:sz="4" w:space="0" w:color="auto"/>
              <w:right w:val="single" w:sz="4" w:space="0" w:color="auto"/>
            </w:tcBorders>
            <w:shd w:val="clear" w:color="auto" w:fill="auto"/>
            <w:noWrap/>
            <w:vAlign w:val="center"/>
            <w:hideMark/>
          </w:tcPr>
          <w:p w14:paraId="32C5CD5A"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25%</w:t>
            </w:r>
          </w:p>
        </w:tc>
        <w:tc>
          <w:tcPr>
            <w:tcW w:w="278" w:type="pct"/>
            <w:tcBorders>
              <w:top w:val="nil"/>
              <w:left w:val="nil"/>
              <w:bottom w:val="single" w:sz="4" w:space="0" w:color="auto"/>
              <w:right w:val="single" w:sz="4" w:space="0" w:color="auto"/>
            </w:tcBorders>
            <w:shd w:val="clear" w:color="auto" w:fill="auto"/>
            <w:vAlign w:val="center"/>
            <w:hideMark/>
          </w:tcPr>
          <w:p w14:paraId="6963D26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MANAGER</w:t>
            </w:r>
          </w:p>
        </w:tc>
        <w:tc>
          <w:tcPr>
            <w:tcW w:w="170" w:type="pct"/>
            <w:tcBorders>
              <w:top w:val="nil"/>
              <w:left w:val="nil"/>
              <w:bottom w:val="single" w:sz="4" w:space="0" w:color="auto"/>
              <w:right w:val="single" w:sz="4" w:space="0" w:color="auto"/>
            </w:tcBorders>
            <w:shd w:val="clear" w:color="auto" w:fill="auto"/>
            <w:vAlign w:val="center"/>
            <w:hideMark/>
          </w:tcPr>
          <w:p w14:paraId="358AC78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5033D561" w14:textId="77777777" w:rsidTr="008A0277">
        <w:trPr>
          <w:trHeight w:val="1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568238FB"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Inadequate public participation</w:t>
            </w:r>
          </w:p>
        </w:tc>
        <w:tc>
          <w:tcPr>
            <w:tcW w:w="136" w:type="pct"/>
            <w:tcBorders>
              <w:top w:val="nil"/>
              <w:left w:val="nil"/>
              <w:bottom w:val="single" w:sz="4" w:space="0" w:color="auto"/>
              <w:right w:val="single" w:sz="4" w:space="0" w:color="auto"/>
            </w:tcBorders>
            <w:shd w:val="clear" w:color="auto" w:fill="auto"/>
            <w:noWrap/>
            <w:vAlign w:val="center"/>
            <w:hideMark/>
          </w:tcPr>
          <w:p w14:paraId="5CD0D491"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TL57</w:t>
            </w:r>
          </w:p>
        </w:tc>
        <w:tc>
          <w:tcPr>
            <w:tcW w:w="141" w:type="pct"/>
            <w:tcBorders>
              <w:top w:val="nil"/>
              <w:left w:val="nil"/>
              <w:bottom w:val="single" w:sz="4" w:space="0" w:color="auto"/>
              <w:right w:val="single" w:sz="4" w:space="0" w:color="auto"/>
            </w:tcBorders>
            <w:shd w:val="clear" w:color="auto" w:fill="auto"/>
            <w:noWrap/>
            <w:vAlign w:val="center"/>
            <w:hideMark/>
          </w:tcPr>
          <w:p w14:paraId="5277A14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E5.2-73</w:t>
            </w:r>
          </w:p>
        </w:tc>
        <w:tc>
          <w:tcPr>
            <w:tcW w:w="269" w:type="pct"/>
            <w:tcBorders>
              <w:top w:val="nil"/>
              <w:left w:val="nil"/>
              <w:bottom w:val="single" w:sz="4" w:space="0" w:color="auto"/>
              <w:right w:val="single" w:sz="4" w:space="0" w:color="auto"/>
            </w:tcBorders>
            <w:shd w:val="clear" w:color="auto" w:fill="auto"/>
            <w:vAlign w:val="center"/>
            <w:hideMark/>
          </w:tcPr>
          <w:p w14:paraId="5273227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development-orientated public service and inclusive citizenship</w:t>
            </w:r>
          </w:p>
        </w:tc>
        <w:tc>
          <w:tcPr>
            <w:tcW w:w="280" w:type="pct"/>
            <w:tcBorders>
              <w:top w:val="nil"/>
              <w:left w:val="nil"/>
              <w:bottom w:val="single" w:sz="4" w:space="0" w:color="auto"/>
              <w:right w:val="single" w:sz="4" w:space="0" w:color="auto"/>
            </w:tcBorders>
            <w:shd w:val="clear" w:color="auto" w:fill="auto"/>
            <w:vAlign w:val="center"/>
            <w:hideMark/>
          </w:tcPr>
          <w:p w14:paraId="25FF25B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Good Governance and Public Participation</w:t>
            </w:r>
          </w:p>
        </w:tc>
        <w:tc>
          <w:tcPr>
            <w:tcW w:w="280" w:type="pct"/>
            <w:tcBorders>
              <w:top w:val="nil"/>
              <w:left w:val="nil"/>
              <w:bottom w:val="single" w:sz="4" w:space="0" w:color="auto"/>
              <w:right w:val="single" w:sz="4" w:space="0" w:color="auto"/>
            </w:tcBorders>
            <w:shd w:val="clear" w:color="auto" w:fill="auto"/>
            <w:vAlign w:val="center"/>
            <w:hideMark/>
          </w:tcPr>
          <w:p w14:paraId="4856FDE7"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Good Governance &amp; Public Participation</w:t>
            </w:r>
          </w:p>
        </w:tc>
        <w:tc>
          <w:tcPr>
            <w:tcW w:w="278" w:type="pct"/>
            <w:tcBorders>
              <w:top w:val="nil"/>
              <w:left w:val="nil"/>
              <w:bottom w:val="single" w:sz="4" w:space="0" w:color="auto"/>
              <w:right w:val="single" w:sz="4" w:space="0" w:color="auto"/>
            </w:tcBorders>
            <w:shd w:val="clear" w:color="auto" w:fill="auto"/>
            <w:vAlign w:val="center"/>
            <w:hideMark/>
          </w:tcPr>
          <w:p w14:paraId="4C575CA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promote a culture of participatory democracy and social cohesion</w:t>
            </w:r>
          </w:p>
        </w:tc>
        <w:tc>
          <w:tcPr>
            <w:tcW w:w="374" w:type="pct"/>
            <w:tcBorders>
              <w:top w:val="nil"/>
              <w:left w:val="nil"/>
              <w:bottom w:val="single" w:sz="4" w:space="0" w:color="auto"/>
              <w:right w:val="single" w:sz="4" w:space="0" w:color="auto"/>
            </w:tcBorders>
            <w:shd w:val="clear" w:color="auto" w:fill="auto"/>
            <w:vAlign w:val="center"/>
            <w:hideMark/>
          </w:tcPr>
          <w:p w14:paraId="4E89AB4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Submit quarterly reports to Council on the functionality of the War Rooms operated through the Operation Sukuma Sakhe (OSS) Programme</w:t>
            </w:r>
          </w:p>
        </w:tc>
        <w:tc>
          <w:tcPr>
            <w:tcW w:w="374" w:type="pct"/>
            <w:tcBorders>
              <w:top w:val="nil"/>
              <w:left w:val="nil"/>
              <w:bottom w:val="single" w:sz="4" w:space="0" w:color="auto"/>
              <w:right w:val="single" w:sz="4" w:space="0" w:color="auto"/>
            </w:tcBorders>
            <w:shd w:val="clear" w:color="auto" w:fill="auto"/>
            <w:vAlign w:val="center"/>
            <w:hideMark/>
          </w:tcPr>
          <w:p w14:paraId="127BFF36"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Number of reports submitted to Council by 30 June </w:t>
            </w:r>
          </w:p>
        </w:tc>
        <w:tc>
          <w:tcPr>
            <w:tcW w:w="374" w:type="pct"/>
            <w:tcBorders>
              <w:top w:val="nil"/>
              <w:left w:val="nil"/>
              <w:bottom w:val="single" w:sz="4" w:space="0" w:color="auto"/>
              <w:right w:val="single" w:sz="4" w:space="0" w:color="auto"/>
            </w:tcBorders>
            <w:shd w:val="clear" w:color="auto" w:fill="auto"/>
            <w:vAlign w:val="center"/>
            <w:hideMark/>
          </w:tcPr>
          <w:p w14:paraId="39FA743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 reports submitted to Council by 30 June  on the functionality of the War Rooms operated through the Operation Sukuma Sakhe (OSS) Programme</w:t>
            </w:r>
          </w:p>
        </w:tc>
        <w:tc>
          <w:tcPr>
            <w:tcW w:w="305" w:type="pct"/>
            <w:tcBorders>
              <w:top w:val="nil"/>
              <w:left w:val="nil"/>
              <w:bottom w:val="single" w:sz="4" w:space="0" w:color="auto"/>
              <w:right w:val="single" w:sz="4" w:space="0" w:color="auto"/>
            </w:tcBorders>
            <w:shd w:val="clear" w:color="auto" w:fill="auto"/>
            <w:vAlign w:val="center"/>
            <w:hideMark/>
          </w:tcPr>
          <w:p w14:paraId="584A15C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30 September on the functionality of the War Rooms operated through the Operation Sukuma Sakhe (OSS) Programme</w:t>
            </w:r>
          </w:p>
        </w:tc>
        <w:tc>
          <w:tcPr>
            <w:tcW w:w="374" w:type="pct"/>
            <w:tcBorders>
              <w:top w:val="nil"/>
              <w:left w:val="nil"/>
              <w:bottom w:val="single" w:sz="4" w:space="0" w:color="auto"/>
              <w:right w:val="single" w:sz="4" w:space="0" w:color="auto"/>
            </w:tcBorders>
            <w:shd w:val="clear" w:color="auto" w:fill="auto"/>
            <w:vAlign w:val="center"/>
            <w:hideMark/>
          </w:tcPr>
          <w:p w14:paraId="2D32A0C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31 December on the functionality of the War Rooms operated through the Operation Sukuma Sakhe (OSS) Programme</w:t>
            </w:r>
          </w:p>
        </w:tc>
        <w:tc>
          <w:tcPr>
            <w:tcW w:w="305" w:type="pct"/>
            <w:tcBorders>
              <w:top w:val="nil"/>
              <w:left w:val="nil"/>
              <w:bottom w:val="single" w:sz="4" w:space="0" w:color="auto"/>
              <w:right w:val="single" w:sz="4" w:space="0" w:color="auto"/>
            </w:tcBorders>
            <w:shd w:val="clear" w:color="auto" w:fill="auto"/>
            <w:vAlign w:val="center"/>
            <w:hideMark/>
          </w:tcPr>
          <w:p w14:paraId="0A4DD2B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31 March on the functionality of the War Rooms operated through the Operation Sukuma Sakhe (OSS) Programme</w:t>
            </w:r>
          </w:p>
        </w:tc>
        <w:tc>
          <w:tcPr>
            <w:tcW w:w="374" w:type="pct"/>
            <w:tcBorders>
              <w:top w:val="nil"/>
              <w:left w:val="nil"/>
              <w:bottom w:val="single" w:sz="4" w:space="0" w:color="auto"/>
              <w:right w:val="single" w:sz="4" w:space="0" w:color="auto"/>
            </w:tcBorders>
            <w:shd w:val="clear" w:color="auto" w:fill="auto"/>
            <w:vAlign w:val="center"/>
            <w:hideMark/>
          </w:tcPr>
          <w:p w14:paraId="6698D48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Council by 30 June on the functionality of the War Rooms operated through the Operation Sukuma Sakhe (OSS) Programme</w:t>
            </w:r>
          </w:p>
        </w:tc>
        <w:tc>
          <w:tcPr>
            <w:tcW w:w="251" w:type="pct"/>
            <w:tcBorders>
              <w:top w:val="nil"/>
              <w:left w:val="nil"/>
              <w:bottom w:val="single" w:sz="4" w:space="0" w:color="auto"/>
              <w:right w:val="single" w:sz="4" w:space="0" w:color="auto"/>
            </w:tcBorders>
            <w:shd w:val="clear" w:color="auto" w:fill="auto"/>
            <w:vAlign w:val="center"/>
            <w:hideMark/>
          </w:tcPr>
          <w:p w14:paraId="101EEF8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150 000.00</w:t>
            </w:r>
          </w:p>
        </w:tc>
        <w:tc>
          <w:tcPr>
            <w:tcW w:w="146" w:type="pct"/>
            <w:tcBorders>
              <w:top w:val="nil"/>
              <w:left w:val="nil"/>
              <w:bottom w:val="single" w:sz="4" w:space="0" w:color="auto"/>
              <w:right w:val="single" w:sz="4" w:space="0" w:color="auto"/>
            </w:tcBorders>
            <w:shd w:val="clear" w:color="auto" w:fill="auto"/>
            <w:noWrap/>
            <w:vAlign w:val="center"/>
            <w:hideMark/>
          </w:tcPr>
          <w:p w14:paraId="0DD8D542"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2</w:t>
            </w:r>
          </w:p>
        </w:tc>
        <w:tc>
          <w:tcPr>
            <w:tcW w:w="278" w:type="pct"/>
            <w:tcBorders>
              <w:top w:val="nil"/>
              <w:left w:val="nil"/>
              <w:bottom w:val="single" w:sz="4" w:space="0" w:color="auto"/>
              <w:right w:val="single" w:sz="4" w:space="0" w:color="auto"/>
            </w:tcBorders>
            <w:shd w:val="clear" w:color="auto" w:fill="auto"/>
            <w:vAlign w:val="center"/>
            <w:hideMark/>
          </w:tcPr>
          <w:p w14:paraId="527A011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MANAGER</w:t>
            </w:r>
          </w:p>
        </w:tc>
        <w:tc>
          <w:tcPr>
            <w:tcW w:w="170" w:type="pct"/>
            <w:tcBorders>
              <w:top w:val="nil"/>
              <w:left w:val="nil"/>
              <w:bottom w:val="single" w:sz="4" w:space="0" w:color="auto"/>
              <w:right w:val="single" w:sz="4" w:space="0" w:color="auto"/>
            </w:tcBorders>
            <w:shd w:val="clear" w:color="auto" w:fill="auto"/>
            <w:vAlign w:val="center"/>
            <w:hideMark/>
          </w:tcPr>
          <w:p w14:paraId="2D87DCF1"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r w:rsidR="008A0277" w:rsidRPr="008A0277" w14:paraId="3A7CEE43" w14:textId="77777777" w:rsidTr="008A0277">
        <w:trPr>
          <w:trHeight w:val="2025"/>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F8DBD2E"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Poor participation of Amakhosi at Council meetings</w:t>
            </w:r>
          </w:p>
        </w:tc>
        <w:tc>
          <w:tcPr>
            <w:tcW w:w="136" w:type="pct"/>
            <w:tcBorders>
              <w:top w:val="nil"/>
              <w:left w:val="nil"/>
              <w:bottom w:val="single" w:sz="4" w:space="0" w:color="auto"/>
              <w:right w:val="single" w:sz="4" w:space="0" w:color="auto"/>
            </w:tcBorders>
            <w:shd w:val="clear" w:color="auto" w:fill="auto"/>
            <w:noWrap/>
            <w:vAlign w:val="center"/>
            <w:hideMark/>
          </w:tcPr>
          <w:p w14:paraId="2B9F90D6"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TL58</w:t>
            </w:r>
          </w:p>
        </w:tc>
        <w:tc>
          <w:tcPr>
            <w:tcW w:w="141" w:type="pct"/>
            <w:tcBorders>
              <w:top w:val="nil"/>
              <w:left w:val="nil"/>
              <w:bottom w:val="single" w:sz="4" w:space="0" w:color="auto"/>
              <w:right w:val="single" w:sz="4" w:space="0" w:color="auto"/>
            </w:tcBorders>
            <w:shd w:val="clear" w:color="auto" w:fill="auto"/>
            <w:noWrap/>
            <w:vAlign w:val="center"/>
            <w:hideMark/>
          </w:tcPr>
          <w:p w14:paraId="238436C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E5.2-74</w:t>
            </w:r>
          </w:p>
        </w:tc>
        <w:tc>
          <w:tcPr>
            <w:tcW w:w="269" w:type="pct"/>
            <w:tcBorders>
              <w:top w:val="nil"/>
              <w:left w:val="nil"/>
              <w:bottom w:val="single" w:sz="4" w:space="0" w:color="auto"/>
              <w:right w:val="single" w:sz="4" w:space="0" w:color="auto"/>
            </w:tcBorders>
            <w:shd w:val="clear" w:color="auto" w:fill="auto"/>
            <w:vAlign w:val="center"/>
            <w:hideMark/>
          </w:tcPr>
          <w:p w14:paraId="22369D14"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 development-orientated public service and inclusive citizenship</w:t>
            </w:r>
          </w:p>
        </w:tc>
        <w:tc>
          <w:tcPr>
            <w:tcW w:w="280" w:type="pct"/>
            <w:tcBorders>
              <w:top w:val="nil"/>
              <w:left w:val="nil"/>
              <w:bottom w:val="single" w:sz="4" w:space="0" w:color="auto"/>
              <w:right w:val="single" w:sz="4" w:space="0" w:color="auto"/>
            </w:tcBorders>
            <w:shd w:val="clear" w:color="auto" w:fill="auto"/>
            <w:vAlign w:val="center"/>
            <w:hideMark/>
          </w:tcPr>
          <w:p w14:paraId="2434DCDD"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Good Governance and Public Participation</w:t>
            </w:r>
          </w:p>
        </w:tc>
        <w:tc>
          <w:tcPr>
            <w:tcW w:w="280" w:type="pct"/>
            <w:tcBorders>
              <w:top w:val="nil"/>
              <w:left w:val="nil"/>
              <w:bottom w:val="single" w:sz="4" w:space="0" w:color="auto"/>
              <w:right w:val="single" w:sz="4" w:space="0" w:color="auto"/>
            </w:tcBorders>
            <w:shd w:val="clear" w:color="auto" w:fill="auto"/>
            <w:vAlign w:val="center"/>
            <w:hideMark/>
          </w:tcPr>
          <w:p w14:paraId="1B09C089"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Good Governance &amp; Public Participation</w:t>
            </w:r>
          </w:p>
        </w:tc>
        <w:tc>
          <w:tcPr>
            <w:tcW w:w="278" w:type="pct"/>
            <w:tcBorders>
              <w:top w:val="nil"/>
              <w:left w:val="nil"/>
              <w:bottom w:val="single" w:sz="4" w:space="0" w:color="auto"/>
              <w:right w:val="single" w:sz="4" w:space="0" w:color="auto"/>
            </w:tcBorders>
            <w:shd w:val="clear" w:color="auto" w:fill="auto"/>
            <w:vAlign w:val="center"/>
            <w:hideMark/>
          </w:tcPr>
          <w:p w14:paraId="602C0EBA"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To promote a culture of participatory democracy and social cohesion</w:t>
            </w:r>
          </w:p>
        </w:tc>
        <w:tc>
          <w:tcPr>
            <w:tcW w:w="374" w:type="pct"/>
            <w:tcBorders>
              <w:top w:val="nil"/>
              <w:left w:val="nil"/>
              <w:bottom w:val="single" w:sz="4" w:space="0" w:color="auto"/>
              <w:right w:val="single" w:sz="4" w:space="0" w:color="auto"/>
            </w:tcBorders>
            <w:shd w:val="clear" w:color="auto" w:fill="auto"/>
            <w:vAlign w:val="center"/>
            <w:hideMark/>
          </w:tcPr>
          <w:p w14:paraId="153DCFF0"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Submit quarterly reports to COGTA on the attendance of Amakhosi at Council meetings</w:t>
            </w:r>
          </w:p>
        </w:tc>
        <w:tc>
          <w:tcPr>
            <w:tcW w:w="374" w:type="pct"/>
            <w:tcBorders>
              <w:top w:val="nil"/>
              <w:left w:val="nil"/>
              <w:bottom w:val="single" w:sz="4" w:space="0" w:color="auto"/>
              <w:right w:val="single" w:sz="4" w:space="0" w:color="auto"/>
            </w:tcBorders>
            <w:shd w:val="clear" w:color="auto" w:fill="auto"/>
            <w:vAlign w:val="center"/>
            <w:hideMark/>
          </w:tcPr>
          <w:p w14:paraId="7F5EDFE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 xml:space="preserve">Number of reports submitted to COGTA by 30 June </w:t>
            </w:r>
          </w:p>
        </w:tc>
        <w:tc>
          <w:tcPr>
            <w:tcW w:w="374" w:type="pct"/>
            <w:tcBorders>
              <w:top w:val="nil"/>
              <w:left w:val="nil"/>
              <w:bottom w:val="single" w:sz="4" w:space="0" w:color="auto"/>
              <w:right w:val="single" w:sz="4" w:space="0" w:color="auto"/>
            </w:tcBorders>
            <w:shd w:val="clear" w:color="auto" w:fill="auto"/>
            <w:vAlign w:val="center"/>
            <w:hideMark/>
          </w:tcPr>
          <w:p w14:paraId="75C0D08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4 reports submitted to COGTA by 30 June on the attendance of Amakhosi at Council meetings</w:t>
            </w:r>
          </w:p>
        </w:tc>
        <w:tc>
          <w:tcPr>
            <w:tcW w:w="305" w:type="pct"/>
            <w:tcBorders>
              <w:top w:val="nil"/>
              <w:left w:val="nil"/>
              <w:bottom w:val="single" w:sz="4" w:space="0" w:color="auto"/>
              <w:right w:val="single" w:sz="4" w:space="0" w:color="auto"/>
            </w:tcBorders>
            <w:shd w:val="clear" w:color="auto" w:fill="auto"/>
            <w:vAlign w:val="center"/>
            <w:hideMark/>
          </w:tcPr>
          <w:p w14:paraId="010D821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COGTA by 30 September on the attendance of Amakhosi at Council meetings</w:t>
            </w:r>
          </w:p>
        </w:tc>
        <w:tc>
          <w:tcPr>
            <w:tcW w:w="374" w:type="pct"/>
            <w:tcBorders>
              <w:top w:val="nil"/>
              <w:left w:val="nil"/>
              <w:bottom w:val="single" w:sz="4" w:space="0" w:color="auto"/>
              <w:right w:val="single" w:sz="4" w:space="0" w:color="auto"/>
            </w:tcBorders>
            <w:shd w:val="clear" w:color="auto" w:fill="auto"/>
            <w:vAlign w:val="center"/>
            <w:hideMark/>
          </w:tcPr>
          <w:p w14:paraId="7E43C61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COGTA by 31 December on the attendance of Amakhosi at Council meetings</w:t>
            </w:r>
          </w:p>
        </w:tc>
        <w:tc>
          <w:tcPr>
            <w:tcW w:w="305" w:type="pct"/>
            <w:tcBorders>
              <w:top w:val="nil"/>
              <w:left w:val="nil"/>
              <w:bottom w:val="single" w:sz="4" w:space="0" w:color="auto"/>
              <w:right w:val="single" w:sz="4" w:space="0" w:color="auto"/>
            </w:tcBorders>
            <w:shd w:val="clear" w:color="auto" w:fill="auto"/>
            <w:vAlign w:val="center"/>
            <w:hideMark/>
          </w:tcPr>
          <w:p w14:paraId="0912C96F"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COGTA by 31 March on the attendance of Amakhosi at Council meetings</w:t>
            </w:r>
          </w:p>
        </w:tc>
        <w:tc>
          <w:tcPr>
            <w:tcW w:w="374" w:type="pct"/>
            <w:tcBorders>
              <w:top w:val="nil"/>
              <w:left w:val="nil"/>
              <w:bottom w:val="single" w:sz="4" w:space="0" w:color="auto"/>
              <w:right w:val="single" w:sz="4" w:space="0" w:color="auto"/>
            </w:tcBorders>
            <w:shd w:val="clear" w:color="auto" w:fill="auto"/>
            <w:vAlign w:val="center"/>
            <w:hideMark/>
          </w:tcPr>
          <w:p w14:paraId="30C65003"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 report submitted to COGTA by 30 June on the attendance of Amakhosi at Council meetings</w:t>
            </w:r>
          </w:p>
        </w:tc>
        <w:tc>
          <w:tcPr>
            <w:tcW w:w="251" w:type="pct"/>
            <w:tcBorders>
              <w:top w:val="nil"/>
              <w:left w:val="nil"/>
              <w:bottom w:val="single" w:sz="4" w:space="0" w:color="auto"/>
              <w:right w:val="single" w:sz="4" w:space="0" w:color="auto"/>
            </w:tcBorders>
            <w:shd w:val="clear" w:color="auto" w:fill="auto"/>
            <w:vAlign w:val="center"/>
            <w:hideMark/>
          </w:tcPr>
          <w:p w14:paraId="42F84EC4" w14:textId="77777777" w:rsidR="008A0277" w:rsidRPr="008A0277" w:rsidRDefault="008A0277" w:rsidP="008A0277">
            <w:pPr>
              <w:spacing w:after="0" w:line="240" w:lineRule="auto"/>
              <w:jc w:val="right"/>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109 800.00</w:t>
            </w:r>
          </w:p>
        </w:tc>
        <w:tc>
          <w:tcPr>
            <w:tcW w:w="146" w:type="pct"/>
            <w:tcBorders>
              <w:top w:val="nil"/>
              <w:left w:val="nil"/>
              <w:bottom w:val="single" w:sz="4" w:space="0" w:color="auto"/>
              <w:right w:val="single" w:sz="4" w:space="0" w:color="auto"/>
            </w:tcBorders>
            <w:shd w:val="clear" w:color="auto" w:fill="auto"/>
            <w:noWrap/>
            <w:vAlign w:val="center"/>
            <w:hideMark/>
          </w:tcPr>
          <w:p w14:paraId="4AF2A093" w14:textId="77777777" w:rsidR="008A0277" w:rsidRPr="008A0277" w:rsidRDefault="008A0277" w:rsidP="008A0277">
            <w:pPr>
              <w:spacing w:after="0" w:line="240" w:lineRule="auto"/>
              <w:jc w:val="center"/>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NEW</w:t>
            </w:r>
          </w:p>
        </w:tc>
        <w:tc>
          <w:tcPr>
            <w:tcW w:w="278" w:type="pct"/>
            <w:tcBorders>
              <w:top w:val="nil"/>
              <w:left w:val="nil"/>
              <w:bottom w:val="single" w:sz="4" w:space="0" w:color="auto"/>
              <w:right w:val="single" w:sz="4" w:space="0" w:color="auto"/>
            </w:tcBorders>
            <w:shd w:val="clear" w:color="auto" w:fill="auto"/>
            <w:vAlign w:val="center"/>
            <w:hideMark/>
          </w:tcPr>
          <w:p w14:paraId="59070C68"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MUNICIPAL MANAGER</w:t>
            </w:r>
          </w:p>
        </w:tc>
        <w:tc>
          <w:tcPr>
            <w:tcW w:w="170" w:type="pct"/>
            <w:tcBorders>
              <w:top w:val="nil"/>
              <w:left w:val="nil"/>
              <w:bottom w:val="single" w:sz="4" w:space="0" w:color="auto"/>
              <w:right w:val="single" w:sz="4" w:space="0" w:color="auto"/>
            </w:tcBorders>
            <w:shd w:val="clear" w:color="auto" w:fill="auto"/>
            <w:vAlign w:val="center"/>
            <w:hideMark/>
          </w:tcPr>
          <w:p w14:paraId="7E73C5EC" w14:textId="77777777" w:rsidR="008A0277" w:rsidRPr="008A0277" w:rsidRDefault="008A0277" w:rsidP="008A0277">
            <w:pPr>
              <w:spacing w:after="0" w:line="240" w:lineRule="auto"/>
              <w:rPr>
                <w:rFonts w:eastAsia="Times New Roman" w:cs="Times New Roman"/>
                <w:color w:val="000000"/>
                <w:sz w:val="12"/>
                <w:szCs w:val="12"/>
                <w:lang w:val="en-ZA" w:eastAsia="en-ZA"/>
              </w:rPr>
            </w:pPr>
            <w:r w:rsidRPr="008A0277">
              <w:rPr>
                <w:rFonts w:eastAsia="Times New Roman" w:cs="Times New Roman"/>
                <w:color w:val="000000"/>
                <w:sz w:val="12"/>
                <w:szCs w:val="12"/>
                <w:lang w:val="en-ZA" w:eastAsia="en-ZA"/>
              </w:rPr>
              <w:t>ALL</w:t>
            </w:r>
          </w:p>
        </w:tc>
      </w:tr>
    </w:tbl>
    <w:p w14:paraId="706A4ED0" w14:textId="77777777" w:rsidR="0026103F" w:rsidRDefault="008F4D28" w:rsidP="00D3620A">
      <w:pPr>
        <w:pStyle w:val="Caption"/>
      </w:pPr>
      <w:bookmarkStart w:id="780" w:name="_Toc510622362"/>
      <w:r>
        <w:t xml:space="preserve">Table </w:t>
      </w:r>
      <w:r w:rsidR="00B918A6">
        <w:fldChar w:fldCharType="begin"/>
      </w:r>
      <w:r w:rsidR="00B918A6">
        <w:instrText xml:space="preserve"> SEQ Table \* ARABIC </w:instrText>
      </w:r>
      <w:r w:rsidR="00B918A6">
        <w:fldChar w:fldCharType="separate"/>
      </w:r>
      <w:r w:rsidR="0067023A">
        <w:rPr>
          <w:noProof/>
        </w:rPr>
        <w:t>111</w:t>
      </w:r>
      <w:r w:rsidR="00B918A6">
        <w:rPr>
          <w:noProof/>
        </w:rPr>
        <w:fldChar w:fldCharType="end"/>
      </w:r>
      <w:r w:rsidR="00BC658E">
        <w:t xml:space="preserve">: </w:t>
      </w:r>
      <w:r w:rsidR="00B22CB7">
        <w:t>Organisational Perfo</w:t>
      </w:r>
      <w:r w:rsidR="00023570">
        <w:t>rmance Management Scorecard</w:t>
      </w:r>
      <w:bookmarkStart w:id="781" w:name="_Toc350708893"/>
      <w:bookmarkStart w:id="782" w:name="_Toc350694391"/>
      <w:bookmarkStart w:id="783" w:name="_Toc327536049"/>
      <w:bookmarkStart w:id="784" w:name="_Toc263937856"/>
      <w:bookmarkStart w:id="785" w:name="_Toc389740219"/>
      <w:bookmarkEnd w:id="779"/>
      <w:bookmarkEnd w:id="780"/>
    </w:p>
    <w:p w14:paraId="395E79AC" w14:textId="77777777" w:rsidR="000A1FCC" w:rsidRPr="00210A9F" w:rsidRDefault="008737F5" w:rsidP="00210A9F">
      <w:pPr>
        <w:pStyle w:val="Heading1"/>
      </w:pPr>
      <w:bookmarkStart w:id="786" w:name="_Toc510706724"/>
      <w:r>
        <w:t xml:space="preserve">SECTION I: </w:t>
      </w:r>
      <w:r w:rsidR="000A1FCC" w:rsidRPr="00881795">
        <w:t>ANNEXURES</w:t>
      </w:r>
      <w:bookmarkEnd w:id="781"/>
      <w:bookmarkEnd w:id="782"/>
      <w:bookmarkEnd w:id="783"/>
      <w:bookmarkEnd w:id="784"/>
      <w:bookmarkEnd w:id="785"/>
      <w:bookmarkEnd w:id="786"/>
    </w:p>
    <w:p w14:paraId="786E9BEA" w14:textId="77777777" w:rsidR="00610137" w:rsidRPr="00881795" w:rsidRDefault="00610137" w:rsidP="00395313">
      <w:pPr>
        <w:jc w:val="both"/>
        <w:rPr>
          <w:rFonts w:cs="Calibri"/>
          <w:i/>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4"/>
        <w:gridCol w:w="7494"/>
      </w:tblGrid>
      <w:tr w:rsidR="000A1FCC" w:rsidRPr="00881795" w14:paraId="79077891" w14:textId="77777777" w:rsidTr="00257218">
        <w:trPr>
          <w:trHeight w:val="432"/>
        </w:trPr>
        <w:tc>
          <w:tcPr>
            <w:tcW w:w="9628"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46605772" w14:textId="77777777" w:rsidR="000A1FCC" w:rsidRPr="00881795" w:rsidRDefault="000A1FCC" w:rsidP="00395313">
            <w:pPr>
              <w:jc w:val="both"/>
              <w:rPr>
                <w:rFonts w:eastAsia="Times New Roman" w:cs="Calibri"/>
                <w:b/>
                <w:color w:val="000000" w:themeColor="text1"/>
                <w:szCs w:val="20"/>
                <w:lang w:val="en-ZA" w:eastAsia="en-ZA"/>
              </w:rPr>
            </w:pPr>
            <w:r w:rsidRPr="00881795">
              <w:rPr>
                <w:rFonts w:cs="Calibri"/>
                <w:b/>
                <w:color w:val="000000" w:themeColor="text1"/>
                <w:szCs w:val="20"/>
              </w:rPr>
              <w:t>ANNEXURES</w:t>
            </w:r>
          </w:p>
        </w:tc>
      </w:tr>
      <w:tr w:rsidR="00D250CF" w:rsidRPr="00881795" w14:paraId="0C9486C3" w14:textId="77777777" w:rsidTr="00257218">
        <w:trPr>
          <w:trHeight w:val="446"/>
        </w:trPr>
        <w:tc>
          <w:tcPr>
            <w:tcW w:w="2134" w:type="dxa"/>
            <w:tcBorders>
              <w:top w:val="single" w:sz="4" w:space="0" w:color="auto"/>
              <w:left w:val="single" w:sz="4" w:space="0" w:color="auto"/>
              <w:bottom w:val="single" w:sz="4" w:space="0" w:color="auto"/>
              <w:right w:val="single" w:sz="4" w:space="0" w:color="auto"/>
            </w:tcBorders>
          </w:tcPr>
          <w:p w14:paraId="2EA94FCF" w14:textId="77777777" w:rsidR="00D250CF" w:rsidRDefault="008737F5" w:rsidP="00395313">
            <w:pPr>
              <w:jc w:val="both"/>
              <w:rPr>
                <w:rFonts w:cs="Calibri"/>
                <w:color w:val="000000" w:themeColor="text1"/>
                <w:szCs w:val="20"/>
              </w:rPr>
            </w:pPr>
            <w:r>
              <w:rPr>
                <w:rFonts w:cs="Calibri"/>
                <w:color w:val="000000" w:themeColor="text1"/>
                <w:szCs w:val="20"/>
              </w:rPr>
              <w:t>I</w:t>
            </w:r>
            <w:r w:rsidR="00D250CF">
              <w:rPr>
                <w:rFonts w:cs="Calibri"/>
                <w:color w:val="000000" w:themeColor="text1"/>
                <w:szCs w:val="20"/>
              </w:rPr>
              <w:t>.1</w:t>
            </w:r>
          </w:p>
        </w:tc>
        <w:tc>
          <w:tcPr>
            <w:tcW w:w="7494" w:type="dxa"/>
            <w:tcBorders>
              <w:top w:val="single" w:sz="4" w:space="0" w:color="auto"/>
              <w:left w:val="single" w:sz="4" w:space="0" w:color="auto"/>
              <w:bottom w:val="single" w:sz="4" w:space="0" w:color="auto"/>
              <w:right w:val="single" w:sz="4" w:space="0" w:color="auto"/>
            </w:tcBorders>
          </w:tcPr>
          <w:p w14:paraId="306778DD" w14:textId="77777777" w:rsidR="00D250CF" w:rsidRPr="00881795" w:rsidRDefault="00D250CF" w:rsidP="00395313">
            <w:pPr>
              <w:jc w:val="both"/>
              <w:rPr>
                <w:rFonts w:eastAsia="Times New Roman" w:cs="Calibri"/>
                <w:color w:val="000000" w:themeColor="text1"/>
                <w:szCs w:val="20"/>
                <w:lang w:val="en-ZA" w:eastAsia="en-ZA"/>
              </w:rPr>
            </w:pPr>
            <w:r>
              <w:rPr>
                <w:rFonts w:eastAsia="Times New Roman" w:cs="Calibri"/>
                <w:color w:val="000000" w:themeColor="text1"/>
                <w:szCs w:val="20"/>
                <w:lang w:val="en-ZA" w:eastAsia="en-ZA"/>
              </w:rPr>
              <w:t>Summary of Projects per Ward</w:t>
            </w:r>
          </w:p>
        </w:tc>
      </w:tr>
    </w:tbl>
    <w:p w14:paraId="39029D77" w14:textId="77777777" w:rsidR="003D50F1" w:rsidRDefault="003D50F1" w:rsidP="003D50F1">
      <w:pPr>
        <w:jc w:val="both"/>
        <w:outlineLvl w:val="0"/>
        <w:rPr>
          <w:rFonts w:eastAsia="Times New Roman" w:cs="Times New Roman"/>
          <w:b/>
          <w:sz w:val="28"/>
          <w:szCs w:val="28"/>
          <w:lang w:val="en-ZA" w:eastAsia="en-ZA"/>
        </w:rPr>
      </w:pPr>
    </w:p>
    <w:sectPr w:rsidR="003D50F1" w:rsidSect="00252C33">
      <w:pgSz w:w="16838" w:h="11906" w:orient="landscape" w:code="9"/>
      <w:pgMar w:top="1134" w:right="851" w:bottom="1134" w:left="85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A54BCA2" w14:textId="77777777" w:rsidR="00B918A6" w:rsidRDefault="00B918A6" w:rsidP="0037082E">
      <w:pPr>
        <w:spacing w:after="0" w:line="240" w:lineRule="auto"/>
      </w:pPr>
      <w:r>
        <w:separator/>
      </w:r>
    </w:p>
  </w:endnote>
  <w:endnote w:type="continuationSeparator" w:id="0">
    <w:p w14:paraId="5BCE3BFE" w14:textId="77777777" w:rsidR="00B918A6" w:rsidRDefault="00B918A6" w:rsidP="0037082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Arial Bold">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DejaVu Sans">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Garamond Antiqua">
    <w:panose1 w:val="00000000000000000000"/>
    <w:charset w:val="00"/>
    <w:family w:val="auto"/>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BITGOU+ArialItalic">
    <w:altName w:val="Times New Roman"/>
    <w:charset w:val="00"/>
    <w:family w:val="auto"/>
    <w:pitch w:val="default"/>
  </w:font>
  <w:font w:name="Century Gothic">
    <w:panose1 w:val="020B0502020202020204"/>
    <w:charset w:val="00"/>
    <w:family w:val="swiss"/>
    <w:pitch w:val="variable"/>
    <w:sig w:usb0="00000287" w:usb1="000000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mn-ea">
    <w:panose1 w:val="00000000000000000000"/>
    <w:charset w:val="00"/>
    <w:family w:val="roman"/>
    <w:notTrueType/>
    <w:pitch w:val="default"/>
  </w:font>
  <w:font w:name="+mn-cs">
    <w:panose1 w:val="00000000000000000000"/>
    <w:charset w:val="00"/>
    <w:family w:val="roman"/>
    <w:notTrueType/>
    <w:pitch w:val="default"/>
  </w:font>
  <w:font w:name="Arial Narrow,Bold">
    <w:panose1 w:val="00000000000000000000"/>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Bold">
    <w:altName w:val="Times New Roman"/>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34133958"/>
      <w:docPartObj>
        <w:docPartGallery w:val="Page Numbers (Bottom of Page)"/>
        <w:docPartUnique/>
      </w:docPartObj>
    </w:sdtPr>
    <w:sdtEndPr>
      <w:rPr>
        <w:color w:val="7F7F7F" w:themeColor="background1" w:themeShade="7F"/>
        <w:spacing w:val="60"/>
      </w:rPr>
    </w:sdtEndPr>
    <w:sdtContent>
      <w:p w14:paraId="2AE9173F" w14:textId="77777777" w:rsidR="0067023A" w:rsidRDefault="0067023A">
        <w:pPr>
          <w:pStyle w:val="Footer"/>
          <w:pBdr>
            <w:top w:val="single" w:sz="4" w:space="1" w:color="D9D9D9" w:themeColor="background1" w:themeShade="D9"/>
          </w:pBdr>
          <w:jc w:val="right"/>
        </w:pPr>
        <w:r>
          <w:fldChar w:fldCharType="begin"/>
        </w:r>
        <w:r>
          <w:instrText xml:space="preserve"> PAGE   \* MERGEFORMAT </w:instrText>
        </w:r>
        <w:r>
          <w:fldChar w:fldCharType="separate"/>
        </w:r>
        <w:r w:rsidR="00CF2DBC">
          <w:rPr>
            <w:noProof/>
          </w:rPr>
          <w:t>3</w:t>
        </w:r>
        <w:r>
          <w:rPr>
            <w:noProof/>
          </w:rPr>
          <w:fldChar w:fldCharType="end"/>
        </w:r>
        <w:r>
          <w:t xml:space="preserve"> | </w:t>
        </w:r>
        <w:r>
          <w:rPr>
            <w:color w:val="7F7F7F" w:themeColor="background1" w:themeShade="7F"/>
            <w:spacing w:val="60"/>
          </w:rPr>
          <w:t>Page</w:t>
        </w:r>
      </w:p>
    </w:sdtContent>
  </w:sdt>
  <w:p w14:paraId="4B2D9385" w14:textId="77777777" w:rsidR="0067023A" w:rsidRPr="00C81AF0" w:rsidRDefault="0067023A">
    <w:pPr>
      <w:pStyle w:val="Footer"/>
      <w:jc w:val="right"/>
      <w:rPr>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22147878"/>
      <w:docPartObj>
        <w:docPartGallery w:val="Page Numbers (Bottom of Page)"/>
        <w:docPartUnique/>
      </w:docPartObj>
    </w:sdtPr>
    <w:sdtEndPr>
      <w:rPr>
        <w:color w:val="7F7F7F" w:themeColor="background1" w:themeShade="7F"/>
        <w:spacing w:val="60"/>
      </w:rPr>
    </w:sdtEndPr>
    <w:sdtContent>
      <w:p w14:paraId="2AF57A7C" w14:textId="77777777" w:rsidR="0067023A" w:rsidRDefault="0067023A">
        <w:pPr>
          <w:pStyle w:val="Footer"/>
          <w:pBdr>
            <w:top w:val="single" w:sz="4" w:space="1" w:color="D9D9D9" w:themeColor="background1" w:themeShade="D9"/>
          </w:pBdr>
          <w:jc w:val="right"/>
        </w:pPr>
        <w:r>
          <w:fldChar w:fldCharType="begin"/>
        </w:r>
        <w:r>
          <w:instrText xml:space="preserve"> PAGE   \* MERGEFORMAT </w:instrText>
        </w:r>
        <w:r>
          <w:fldChar w:fldCharType="separate"/>
        </w:r>
        <w:r w:rsidR="00CF2DBC">
          <w:rPr>
            <w:noProof/>
          </w:rPr>
          <w:t>20</w:t>
        </w:r>
        <w:r>
          <w:rPr>
            <w:noProof/>
          </w:rPr>
          <w:fldChar w:fldCharType="end"/>
        </w:r>
        <w:r>
          <w:t xml:space="preserve"> | </w:t>
        </w:r>
        <w:r>
          <w:rPr>
            <w:color w:val="7F7F7F" w:themeColor="background1" w:themeShade="7F"/>
            <w:spacing w:val="60"/>
          </w:rPr>
          <w:t>Page</w:t>
        </w:r>
      </w:p>
    </w:sdtContent>
  </w:sdt>
  <w:p w14:paraId="2668A6F6" w14:textId="77777777" w:rsidR="0067023A" w:rsidRDefault="0067023A">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32489623"/>
      <w:docPartObj>
        <w:docPartGallery w:val="Page Numbers (Bottom of Page)"/>
        <w:docPartUnique/>
      </w:docPartObj>
    </w:sdtPr>
    <w:sdtEndPr>
      <w:rPr>
        <w:color w:val="7F7F7F"/>
        <w:spacing w:val="60"/>
      </w:rPr>
    </w:sdtEndPr>
    <w:sdtContent>
      <w:p w14:paraId="4BE38C74" w14:textId="77777777" w:rsidR="0067023A" w:rsidRPr="00BB5C77" w:rsidRDefault="0067023A" w:rsidP="00BB5C77">
        <w:pPr>
          <w:pStyle w:val="Footer"/>
          <w:pBdr>
            <w:top w:val="single" w:sz="4" w:space="1" w:color="D9D9D9"/>
          </w:pBdr>
          <w:tabs>
            <w:tab w:val="clear" w:pos="9360"/>
            <w:tab w:val="left" w:pos="7764"/>
            <w:tab w:val="right" w:pos="9340"/>
          </w:tabs>
          <w:rPr>
            <w:color w:val="7F7F7F"/>
            <w:spacing w:val="60"/>
          </w:rPr>
        </w:pPr>
        <w:r>
          <w:tab/>
        </w:r>
        <w:r>
          <w:tab/>
        </w:r>
        <w:r>
          <w:tab/>
        </w:r>
        <w:r>
          <w:fldChar w:fldCharType="begin"/>
        </w:r>
        <w:r>
          <w:instrText xml:space="preserve"> PAGE   \* MERGEFORMAT </w:instrText>
        </w:r>
        <w:r>
          <w:fldChar w:fldCharType="separate"/>
        </w:r>
        <w:r>
          <w:rPr>
            <w:noProof/>
          </w:rPr>
          <w:t>129</w:t>
        </w:r>
        <w:r>
          <w:rPr>
            <w:noProof/>
          </w:rPr>
          <w:fldChar w:fldCharType="end"/>
        </w:r>
        <w:r>
          <w:t xml:space="preserve"> | </w:t>
        </w:r>
        <w:r w:rsidRPr="00BB5C77">
          <w:rPr>
            <w:color w:val="7F7F7F"/>
            <w:spacing w:val="60"/>
          </w:rPr>
          <w:t>Page</w:t>
        </w:r>
      </w:p>
    </w:sdtContent>
  </w:sdt>
  <w:p w14:paraId="73901461" w14:textId="77777777" w:rsidR="0067023A" w:rsidRDefault="0067023A" w:rsidP="00EA7BEE">
    <w:pPr>
      <w:tabs>
        <w:tab w:val="left" w:pos="8352"/>
      </w:tabs>
      <w:spacing w:after="0" w:line="200" w:lineRule="exact"/>
      <w:rPr>
        <w:szCs w:val="20"/>
      </w:rPr>
    </w:pPr>
    <w:r>
      <w:rPr>
        <w:szCs w:val="20"/>
      </w:rP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443301" w14:textId="77777777" w:rsidR="0067023A" w:rsidRDefault="0067023A">
    <w:pPr>
      <w:pStyle w:val="Footer"/>
      <w:jc w:val="right"/>
    </w:pPr>
  </w:p>
  <w:p w14:paraId="236577EB" w14:textId="77777777" w:rsidR="0067023A" w:rsidRDefault="0067023A" w:rsidP="00F804E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3E69114" w14:textId="77777777" w:rsidR="00B918A6" w:rsidRDefault="00B918A6" w:rsidP="0037082E">
      <w:pPr>
        <w:spacing w:after="0" w:line="240" w:lineRule="auto"/>
      </w:pPr>
      <w:r>
        <w:separator/>
      </w:r>
    </w:p>
  </w:footnote>
  <w:footnote w:type="continuationSeparator" w:id="0">
    <w:p w14:paraId="10ECD931" w14:textId="77777777" w:rsidR="00B918A6" w:rsidRDefault="00B918A6" w:rsidP="0037082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46162905"/>
      <w:docPartObj>
        <w:docPartGallery w:val="Watermarks"/>
        <w:docPartUnique/>
      </w:docPartObj>
    </w:sdtPr>
    <w:sdtEndPr/>
    <w:sdtContent>
      <w:p w14:paraId="2AB25A42" w14:textId="77777777" w:rsidR="0067023A" w:rsidRDefault="00B918A6">
        <w:pPr>
          <w:pStyle w:val="Header"/>
        </w:pPr>
        <w:r>
          <w:rPr>
            <w:noProof/>
          </w:rPr>
          <w:pict w14:anchorId="16DEF1E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49"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C38F4"/>
    <w:multiLevelType w:val="hybridMultilevel"/>
    <w:tmpl w:val="4DBC8B7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 w15:restartNumberingAfterBreak="0">
    <w:nsid w:val="00986581"/>
    <w:multiLevelType w:val="hybridMultilevel"/>
    <w:tmpl w:val="AA76EADA"/>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 w15:restartNumberingAfterBreak="0">
    <w:nsid w:val="01467E7E"/>
    <w:multiLevelType w:val="hybridMultilevel"/>
    <w:tmpl w:val="EFAC37A8"/>
    <w:lvl w:ilvl="0" w:tplc="6DFA8404">
      <w:start w:val="1"/>
      <w:numFmt w:val="decimal"/>
      <w:lvlText w:val="%1."/>
      <w:lvlJc w:val="left"/>
      <w:pPr>
        <w:tabs>
          <w:tab w:val="num" w:pos="360"/>
        </w:tabs>
        <w:ind w:left="360" w:hanging="360"/>
      </w:pPr>
      <w:rPr>
        <w:rFonts w:hint="default"/>
        <w:sz w:val="18"/>
        <w:szCs w:val="18"/>
      </w:rPr>
    </w:lvl>
    <w:lvl w:ilvl="1" w:tplc="04090001">
      <w:start w:val="1"/>
      <w:numFmt w:val="bullet"/>
      <w:lvlText w:val=""/>
      <w:lvlJc w:val="left"/>
      <w:pPr>
        <w:tabs>
          <w:tab w:val="num" w:pos="1080"/>
        </w:tabs>
        <w:ind w:left="1080" w:hanging="360"/>
      </w:pPr>
      <w:rPr>
        <w:rFonts w:ascii="Symbol" w:hAnsi="Symbol"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 w15:restartNumberingAfterBreak="0">
    <w:nsid w:val="01513303"/>
    <w:multiLevelType w:val="hybridMultilevel"/>
    <w:tmpl w:val="710092F2"/>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 w15:restartNumberingAfterBreak="0">
    <w:nsid w:val="02AD6666"/>
    <w:multiLevelType w:val="hybridMultilevel"/>
    <w:tmpl w:val="7DB4EE66"/>
    <w:lvl w:ilvl="0" w:tplc="AAB6A67A">
      <w:start w:val="1"/>
      <w:numFmt w:val="bullet"/>
      <w:pStyle w:val="ListBullet"/>
      <w:lvlText w:val=""/>
      <w:lvlJc w:val="left"/>
      <w:pPr>
        <w:tabs>
          <w:tab w:val="num" w:pos="1032"/>
        </w:tabs>
        <w:ind w:left="1032" w:hanging="340"/>
      </w:pPr>
      <w:rPr>
        <w:rFonts w:ascii="Symbol" w:hAnsi="Symbol" w:hint="default"/>
        <w:color w:val="auto"/>
        <w:sz w:val="22"/>
      </w:rPr>
    </w:lvl>
    <w:lvl w:ilvl="1" w:tplc="04DCA648">
      <w:start w:val="1"/>
      <w:numFmt w:val="bullet"/>
      <w:lvlText w:val=""/>
      <w:lvlJc w:val="left"/>
      <w:pPr>
        <w:tabs>
          <w:tab w:val="num" w:pos="1032"/>
        </w:tabs>
        <w:ind w:left="1032" w:hanging="340"/>
      </w:pPr>
      <w:rPr>
        <w:rFonts w:ascii="Symbol" w:hAnsi="Symbol" w:hint="default"/>
        <w:color w:val="auto"/>
        <w:sz w:val="22"/>
      </w:rPr>
    </w:lvl>
    <w:lvl w:ilvl="2" w:tplc="04090005">
      <w:start w:val="1"/>
      <w:numFmt w:val="bullet"/>
      <w:lvlText w:val=""/>
      <w:lvlJc w:val="left"/>
      <w:pPr>
        <w:tabs>
          <w:tab w:val="num" w:pos="2852"/>
        </w:tabs>
        <w:ind w:left="2852" w:hanging="360"/>
      </w:pPr>
      <w:rPr>
        <w:rFonts w:ascii="Wingdings" w:hAnsi="Wingdings" w:hint="default"/>
      </w:rPr>
    </w:lvl>
    <w:lvl w:ilvl="3" w:tplc="04090001">
      <w:start w:val="1"/>
      <w:numFmt w:val="bullet"/>
      <w:lvlText w:val=""/>
      <w:lvlJc w:val="left"/>
      <w:pPr>
        <w:tabs>
          <w:tab w:val="num" w:pos="3572"/>
        </w:tabs>
        <w:ind w:left="3572" w:hanging="360"/>
      </w:pPr>
      <w:rPr>
        <w:rFonts w:ascii="Symbol" w:hAnsi="Symbol" w:hint="default"/>
        <w:color w:val="auto"/>
        <w:sz w:val="22"/>
      </w:rPr>
    </w:lvl>
    <w:lvl w:ilvl="4" w:tplc="04090003">
      <w:start w:val="1"/>
      <w:numFmt w:val="bullet"/>
      <w:lvlText w:val="o"/>
      <w:lvlJc w:val="left"/>
      <w:pPr>
        <w:tabs>
          <w:tab w:val="num" w:pos="4292"/>
        </w:tabs>
        <w:ind w:left="4292" w:hanging="360"/>
      </w:pPr>
      <w:rPr>
        <w:rFonts w:ascii="Courier New" w:hAnsi="Courier New" w:hint="default"/>
      </w:rPr>
    </w:lvl>
    <w:lvl w:ilvl="5" w:tplc="04090005">
      <w:start w:val="1"/>
      <w:numFmt w:val="bullet"/>
      <w:lvlText w:val=""/>
      <w:lvlJc w:val="left"/>
      <w:pPr>
        <w:tabs>
          <w:tab w:val="num" w:pos="5012"/>
        </w:tabs>
        <w:ind w:left="5012" w:hanging="360"/>
      </w:pPr>
      <w:rPr>
        <w:rFonts w:ascii="Wingdings" w:hAnsi="Wingdings" w:hint="default"/>
      </w:rPr>
    </w:lvl>
    <w:lvl w:ilvl="6" w:tplc="04090001">
      <w:start w:val="1"/>
      <w:numFmt w:val="bullet"/>
      <w:lvlText w:val=""/>
      <w:lvlJc w:val="left"/>
      <w:pPr>
        <w:tabs>
          <w:tab w:val="num" w:pos="5732"/>
        </w:tabs>
        <w:ind w:left="5732" w:hanging="360"/>
      </w:pPr>
      <w:rPr>
        <w:rFonts w:ascii="Symbol" w:hAnsi="Symbol" w:hint="default"/>
      </w:rPr>
    </w:lvl>
    <w:lvl w:ilvl="7" w:tplc="04090003">
      <w:start w:val="1"/>
      <w:numFmt w:val="bullet"/>
      <w:lvlText w:val="o"/>
      <w:lvlJc w:val="left"/>
      <w:pPr>
        <w:tabs>
          <w:tab w:val="num" w:pos="6452"/>
        </w:tabs>
        <w:ind w:left="6452" w:hanging="360"/>
      </w:pPr>
      <w:rPr>
        <w:rFonts w:ascii="Courier New" w:hAnsi="Courier New" w:hint="default"/>
      </w:rPr>
    </w:lvl>
    <w:lvl w:ilvl="8" w:tplc="04090005">
      <w:start w:val="1"/>
      <w:numFmt w:val="bullet"/>
      <w:lvlText w:val=""/>
      <w:lvlJc w:val="left"/>
      <w:pPr>
        <w:tabs>
          <w:tab w:val="num" w:pos="7172"/>
        </w:tabs>
        <w:ind w:left="7172" w:hanging="360"/>
      </w:pPr>
      <w:rPr>
        <w:rFonts w:ascii="Wingdings" w:hAnsi="Wingdings" w:hint="default"/>
      </w:rPr>
    </w:lvl>
  </w:abstractNum>
  <w:abstractNum w:abstractNumId="5" w15:restartNumberingAfterBreak="0">
    <w:nsid w:val="03173EF4"/>
    <w:multiLevelType w:val="hybridMultilevel"/>
    <w:tmpl w:val="D584B9A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 w15:restartNumberingAfterBreak="0">
    <w:nsid w:val="042065CC"/>
    <w:multiLevelType w:val="hybridMultilevel"/>
    <w:tmpl w:val="C01EEF2C"/>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7" w15:restartNumberingAfterBreak="0">
    <w:nsid w:val="04304859"/>
    <w:multiLevelType w:val="hybridMultilevel"/>
    <w:tmpl w:val="86CA5F1E"/>
    <w:lvl w:ilvl="0" w:tplc="D6260004">
      <w:start w:val="1"/>
      <w:numFmt w:val="decimal"/>
      <w:lvlText w:val="%1."/>
      <w:lvlJc w:val="left"/>
      <w:pPr>
        <w:tabs>
          <w:tab w:val="num" w:pos="360"/>
        </w:tabs>
        <w:ind w:left="360" w:hanging="360"/>
      </w:pPr>
      <w:rPr>
        <w:rFonts w:hint="default"/>
        <w:sz w:val="18"/>
        <w:szCs w:val="18"/>
      </w:rPr>
    </w:lvl>
    <w:lvl w:ilvl="1" w:tplc="04090001">
      <w:start w:val="1"/>
      <w:numFmt w:val="bullet"/>
      <w:lvlText w:val=""/>
      <w:lvlJc w:val="left"/>
      <w:pPr>
        <w:tabs>
          <w:tab w:val="num" w:pos="1080"/>
        </w:tabs>
        <w:ind w:left="1080" w:hanging="360"/>
      </w:pPr>
      <w:rPr>
        <w:rFonts w:ascii="Symbol" w:hAnsi="Symbol"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15:restartNumberingAfterBreak="0">
    <w:nsid w:val="05291BEA"/>
    <w:multiLevelType w:val="hybridMultilevel"/>
    <w:tmpl w:val="30C4447E"/>
    <w:lvl w:ilvl="0" w:tplc="6AA80D5E">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9" w15:restartNumberingAfterBreak="0">
    <w:nsid w:val="054318F1"/>
    <w:multiLevelType w:val="hybridMultilevel"/>
    <w:tmpl w:val="2D628928"/>
    <w:lvl w:ilvl="0" w:tplc="1C090015">
      <w:start w:val="1"/>
      <w:numFmt w:val="upp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0" w15:restartNumberingAfterBreak="0">
    <w:nsid w:val="06AD58B4"/>
    <w:multiLevelType w:val="hybridMultilevel"/>
    <w:tmpl w:val="2C76F792"/>
    <w:lvl w:ilvl="0" w:tplc="E8EC5910">
      <w:start w:val="1"/>
      <w:numFmt w:val="decimal"/>
      <w:lvlText w:val="%1."/>
      <w:lvlJc w:val="left"/>
      <w:pPr>
        <w:tabs>
          <w:tab w:val="num" w:pos="360"/>
        </w:tabs>
        <w:ind w:left="360" w:hanging="360"/>
      </w:pPr>
      <w:rPr>
        <w:rFonts w:hint="default"/>
        <w:sz w:val="18"/>
        <w:szCs w:val="18"/>
      </w:rPr>
    </w:lvl>
    <w:lvl w:ilvl="1" w:tplc="04090001">
      <w:start w:val="1"/>
      <w:numFmt w:val="bullet"/>
      <w:lvlText w:val=""/>
      <w:lvlJc w:val="left"/>
      <w:pPr>
        <w:tabs>
          <w:tab w:val="num" w:pos="1080"/>
        </w:tabs>
        <w:ind w:left="1080" w:hanging="360"/>
      </w:pPr>
      <w:rPr>
        <w:rFonts w:ascii="Symbol" w:hAnsi="Symbol"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 w15:restartNumberingAfterBreak="0">
    <w:nsid w:val="07130E89"/>
    <w:multiLevelType w:val="multilevel"/>
    <w:tmpl w:val="D8920ED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pStyle w:val="Style1"/>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08FF45F3"/>
    <w:multiLevelType w:val="hybridMultilevel"/>
    <w:tmpl w:val="616E177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 w15:restartNumberingAfterBreak="0">
    <w:nsid w:val="097154CF"/>
    <w:multiLevelType w:val="hybridMultilevel"/>
    <w:tmpl w:val="B96AC21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 w15:restartNumberingAfterBreak="0">
    <w:nsid w:val="0A312978"/>
    <w:multiLevelType w:val="hybridMultilevel"/>
    <w:tmpl w:val="B0DA28A0"/>
    <w:lvl w:ilvl="0" w:tplc="1C090001">
      <w:start w:val="1"/>
      <w:numFmt w:val="bullet"/>
      <w:lvlText w:val=""/>
      <w:lvlJc w:val="left"/>
      <w:pPr>
        <w:ind w:left="2138" w:hanging="360"/>
      </w:pPr>
      <w:rPr>
        <w:rFonts w:ascii="Symbol" w:hAnsi="Symbol" w:hint="default"/>
      </w:rPr>
    </w:lvl>
    <w:lvl w:ilvl="1" w:tplc="A58ECD12">
      <w:numFmt w:val="bullet"/>
      <w:lvlText w:val="•"/>
      <w:lvlJc w:val="left"/>
      <w:pPr>
        <w:ind w:left="2858" w:hanging="360"/>
      </w:pPr>
      <w:rPr>
        <w:rFonts w:ascii="Calibri" w:eastAsiaTheme="minorHAnsi" w:hAnsi="Calibri" w:cs="Calibri" w:hint="default"/>
      </w:rPr>
    </w:lvl>
    <w:lvl w:ilvl="2" w:tplc="1C090005" w:tentative="1">
      <w:start w:val="1"/>
      <w:numFmt w:val="bullet"/>
      <w:lvlText w:val=""/>
      <w:lvlJc w:val="left"/>
      <w:pPr>
        <w:ind w:left="3578" w:hanging="360"/>
      </w:pPr>
      <w:rPr>
        <w:rFonts w:ascii="Wingdings" w:hAnsi="Wingdings" w:hint="default"/>
      </w:rPr>
    </w:lvl>
    <w:lvl w:ilvl="3" w:tplc="1C090001" w:tentative="1">
      <w:start w:val="1"/>
      <w:numFmt w:val="bullet"/>
      <w:lvlText w:val=""/>
      <w:lvlJc w:val="left"/>
      <w:pPr>
        <w:ind w:left="4298" w:hanging="360"/>
      </w:pPr>
      <w:rPr>
        <w:rFonts w:ascii="Symbol" w:hAnsi="Symbol" w:hint="default"/>
      </w:rPr>
    </w:lvl>
    <w:lvl w:ilvl="4" w:tplc="1C090003" w:tentative="1">
      <w:start w:val="1"/>
      <w:numFmt w:val="bullet"/>
      <w:lvlText w:val="o"/>
      <w:lvlJc w:val="left"/>
      <w:pPr>
        <w:ind w:left="5018" w:hanging="360"/>
      </w:pPr>
      <w:rPr>
        <w:rFonts w:ascii="Courier New" w:hAnsi="Courier New" w:cs="Courier New" w:hint="default"/>
      </w:rPr>
    </w:lvl>
    <w:lvl w:ilvl="5" w:tplc="1C090005" w:tentative="1">
      <w:start w:val="1"/>
      <w:numFmt w:val="bullet"/>
      <w:lvlText w:val=""/>
      <w:lvlJc w:val="left"/>
      <w:pPr>
        <w:ind w:left="5738" w:hanging="360"/>
      </w:pPr>
      <w:rPr>
        <w:rFonts w:ascii="Wingdings" w:hAnsi="Wingdings" w:hint="default"/>
      </w:rPr>
    </w:lvl>
    <w:lvl w:ilvl="6" w:tplc="1C090001" w:tentative="1">
      <w:start w:val="1"/>
      <w:numFmt w:val="bullet"/>
      <w:lvlText w:val=""/>
      <w:lvlJc w:val="left"/>
      <w:pPr>
        <w:ind w:left="6458" w:hanging="360"/>
      </w:pPr>
      <w:rPr>
        <w:rFonts w:ascii="Symbol" w:hAnsi="Symbol" w:hint="default"/>
      </w:rPr>
    </w:lvl>
    <w:lvl w:ilvl="7" w:tplc="1C090003" w:tentative="1">
      <w:start w:val="1"/>
      <w:numFmt w:val="bullet"/>
      <w:lvlText w:val="o"/>
      <w:lvlJc w:val="left"/>
      <w:pPr>
        <w:ind w:left="7178" w:hanging="360"/>
      </w:pPr>
      <w:rPr>
        <w:rFonts w:ascii="Courier New" w:hAnsi="Courier New" w:cs="Courier New" w:hint="default"/>
      </w:rPr>
    </w:lvl>
    <w:lvl w:ilvl="8" w:tplc="1C090005" w:tentative="1">
      <w:start w:val="1"/>
      <w:numFmt w:val="bullet"/>
      <w:lvlText w:val=""/>
      <w:lvlJc w:val="left"/>
      <w:pPr>
        <w:ind w:left="7898" w:hanging="360"/>
      </w:pPr>
      <w:rPr>
        <w:rFonts w:ascii="Wingdings" w:hAnsi="Wingdings" w:hint="default"/>
      </w:rPr>
    </w:lvl>
  </w:abstractNum>
  <w:abstractNum w:abstractNumId="15" w15:restartNumberingAfterBreak="0">
    <w:nsid w:val="0B36546E"/>
    <w:multiLevelType w:val="hybridMultilevel"/>
    <w:tmpl w:val="D7D48EFC"/>
    <w:lvl w:ilvl="0" w:tplc="413045C6">
      <w:start w:val="1"/>
      <w:numFmt w:val="bullet"/>
      <w:pStyle w:val="bulletlist"/>
      <w:lvlText w:val="•"/>
      <w:lvlJc w:val="left"/>
      <w:pPr>
        <w:ind w:left="360" w:hanging="360"/>
      </w:pPr>
      <w:rPr>
        <w:rFonts w:ascii="Arial" w:hAnsi="Arial" w:cs="Times New Roman" w:hint="default"/>
        <w:b w:val="0"/>
        <w:bCs w:val="0"/>
        <w:i w:val="0"/>
        <w:iCs w:val="0"/>
        <w:caps w:val="0"/>
        <w:smallCaps w:val="0"/>
        <w:strike w:val="0"/>
        <w:dstrike w:val="0"/>
        <w:noProof w:val="0"/>
        <w:snapToGrid w:val="0"/>
        <w:vanish w:val="0"/>
        <w:color w:val="808080" w:themeColor="background1" w:themeShade="80"/>
        <w:spacing w:val="0"/>
        <w:w w:val="0"/>
        <w:kern w:val="0"/>
        <w:position w:val="0"/>
        <w:szCs w:val="0"/>
        <w:u w:val="none"/>
        <w:vertAlign w:val="baseline"/>
        <w:em w:val="none"/>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0BE21A84"/>
    <w:multiLevelType w:val="hybridMultilevel"/>
    <w:tmpl w:val="D33E9F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0D0E006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8" w15:restartNumberingAfterBreak="0">
    <w:nsid w:val="0DAD6A2F"/>
    <w:multiLevelType w:val="hybridMultilevel"/>
    <w:tmpl w:val="A0CACBE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 w15:restartNumberingAfterBreak="0">
    <w:nsid w:val="0DB0459F"/>
    <w:multiLevelType w:val="multilevel"/>
    <w:tmpl w:val="1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0DF23AAA"/>
    <w:multiLevelType w:val="hybridMultilevel"/>
    <w:tmpl w:val="B8D67804"/>
    <w:lvl w:ilvl="0" w:tplc="1C090003">
      <w:start w:val="1"/>
      <w:numFmt w:val="bullet"/>
      <w:lvlText w:val="o"/>
      <w:lvlJc w:val="left"/>
      <w:pPr>
        <w:ind w:left="720" w:hanging="360"/>
      </w:pPr>
      <w:rPr>
        <w:rFonts w:ascii="Courier New" w:hAnsi="Courier New" w:cs="Courier New"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 w15:restartNumberingAfterBreak="0">
    <w:nsid w:val="0E1E5A28"/>
    <w:multiLevelType w:val="hybridMultilevel"/>
    <w:tmpl w:val="D744EE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0F28326C"/>
    <w:multiLevelType w:val="hybridMultilevel"/>
    <w:tmpl w:val="3C06FE08"/>
    <w:lvl w:ilvl="0" w:tplc="04090001">
      <w:start w:val="1"/>
      <w:numFmt w:val="bullet"/>
      <w:lvlText w:val=""/>
      <w:lvlJc w:val="left"/>
      <w:pPr>
        <w:ind w:left="1440" w:hanging="360"/>
      </w:pPr>
      <w:rPr>
        <w:rFonts w:ascii="Symbol" w:hAnsi="Symbol" w:cs="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cs="Wingdings" w:hint="default"/>
      </w:rPr>
    </w:lvl>
    <w:lvl w:ilvl="3" w:tplc="04090001">
      <w:start w:val="1"/>
      <w:numFmt w:val="bullet"/>
      <w:lvlText w:val=""/>
      <w:lvlJc w:val="left"/>
      <w:pPr>
        <w:ind w:left="3600" w:hanging="360"/>
      </w:pPr>
      <w:rPr>
        <w:rFonts w:ascii="Symbol" w:hAnsi="Symbol" w:cs="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cs="Wingdings" w:hint="default"/>
      </w:rPr>
    </w:lvl>
    <w:lvl w:ilvl="6" w:tplc="04090001">
      <w:start w:val="1"/>
      <w:numFmt w:val="bullet"/>
      <w:lvlText w:val=""/>
      <w:lvlJc w:val="left"/>
      <w:pPr>
        <w:ind w:left="5760" w:hanging="360"/>
      </w:pPr>
      <w:rPr>
        <w:rFonts w:ascii="Symbol" w:hAnsi="Symbol" w:cs="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cs="Wingdings" w:hint="default"/>
      </w:rPr>
    </w:lvl>
  </w:abstractNum>
  <w:abstractNum w:abstractNumId="23" w15:restartNumberingAfterBreak="0">
    <w:nsid w:val="0FD47CB7"/>
    <w:multiLevelType w:val="hybridMultilevel"/>
    <w:tmpl w:val="94923824"/>
    <w:lvl w:ilvl="0" w:tplc="1C09001B">
      <w:start w:val="1"/>
      <w:numFmt w:val="lowerRoman"/>
      <w:lvlText w:val="%1."/>
      <w:lvlJc w:val="right"/>
      <w:pPr>
        <w:ind w:left="1080" w:hanging="360"/>
      </w:p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24" w15:restartNumberingAfterBreak="0">
    <w:nsid w:val="0FEB7003"/>
    <w:multiLevelType w:val="hybridMultilevel"/>
    <w:tmpl w:val="0772F970"/>
    <w:lvl w:ilvl="0" w:tplc="04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 w15:restartNumberingAfterBreak="0">
    <w:nsid w:val="125E59B8"/>
    <w:multiLevelType w:val="hybridMultilevel"/>
    <w:tmpl w:val="7B1C6A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12C41663"/>
    <w:multiLevelType w:val="hybridMultilevel"/>
    <w:tmpl w:val="0284E5D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 w15:restartNumberingAfterBreak="0">
    <w:nsid w:val="14DD25A0"/>
    <w:multiLevelType w:val="hybridMultilevel"/>
    <w:tmpl w:val="651C623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 w15:restartNumberingAfterBreak="0">
    <w:nsid w:val="15FD3FD1"/>
    <w:multiLevelType w:val="hybridMultilevel"/>
    <w:tmpl w:val="EC46D1F2"/>
    <w:lvl w:ilvl="0" w:tplc="1C090003">
      <w:start w:val="1"/>
      <w:numFmt w:val="bullet"/>
      <w:lvlText w:val="o"/>
      <w:lvlJc w:val="left"/>
      <w:pPr>
        <w:tabs>
          <w:tab w:val="num" w:pos="1287"/>
        </w:tabs>
        <w:ind w:left="1287" w:hanging="567"/>
      </w:pPr>
      <w:rPr>
        <w:rFonts w:ascii="Courier New" w:hAnsi="Courier New" w:cs="Courier New" w:hint="default"/>
      </w:rPr>
    </w:lvl>
    <w:lvl w:ilvl="1" w:tplc="2DD47958">
      <w:start w:val="14"/>
      <w:numFmt w:val="bullet"/>
      <w:lvlText w:val="-"/>
      <w:lvlJc w:val="left"/>
      <w:pPr>
        <w:tabs>
          <w:tab w:val="num" w:pos="1593"/>
        </w:tabs>
        <w:ind w:left="1593" w:hanging="360"/>
      </w:pPr>
      <w:rPr>
        <w:rFonts w:ascii="Times New Roman" w:eastAsia="Times New Roman" w:hAnsi="Times New Roman" w:cs="Times New Roman" w:hint="default"/>
      </w:rPr>
    </w:lvl>
    <w:lvl w:ilvl="2" w:tplc="F7CE4270">
      <w:start w:val="1"/>
      <w:numFmt w:val="bullet"/>
      <w:lvlText w:val=""/>
      <w:lvlJc w:val="left"/>
      <w:pPr>
        <w:tabs>
          <w:tab w:val="num" w:pos="2520"/>
        </w:tabs>
        <w:ind w:left="2520" w:hanging="567"/>
      </w:pPr>
      <w:rPr>
        <w:rFonts w:ascii="Symbol" w:hAnsi="Symbol" w:hint="default"/>
      </w:rPr>
    </w:lvl>
    <w:lvl w:ilvl="3" w:tplc="04090001" w:tentative="1">
      <w:start w:val="1"/>
      <w:numFmt w:val="bullet"/>
      <w:lvlText w:val=""/>
      <w:lvlJc w:val="left"/>
      <w:pPr>
        <w:tabs>
          <w:tab w:val="num" w:pos="3033"/>
        </w:tabs>
        <w:ind w:left="3033" w:hanging="360"/>
      </w:pPr>
      <w:rPr>
        <w:rFonts w:ascii="Symbol" w:hAnsi="Symbol" w:hint="default"/>
      </w:rPr>
    </w:lvl>
    <w:lvl w:ilvl="4" w:tplc="04090003" w:tentative="1">
      <w:start w:val="1"/>
      <w:numFmt w:val="bullet"/>
      <w:lvlText w:val="o"/>
      <w:lvlJc w:val="left"/>
      <w:pPr>
        <w:tabs>
          <w:tab w:val="num" w:pos="3753"/>
        </w:tabs>
        <w:ind w:left="3753" w:hanging="360"/>
      </w:pPr>
      <w:rPr>
        <w:rFonts w:ascii="Courier New" w:hAnsi="Courier New" w:cs="Courier New" w:hint="default"/>
      </w:rPr>
    </w:lvl>
    <w:lvl w:ilvl="5" w:tplc="04090005" w:tentative="1">
      <w:start w:val="1"/>
      <w:numFmt w:val="bullet"/>
      <w:lvlText w:val=""/>
      <w:lvlJc w:val="left"/>
      <w:pPr>
        <w:tabs>
          <w:tab w:val="num" w:pos="4473"/>
        </w:tabs>
        <w:ind w:left="4473" w:hanging="360"/>
      </w:pPr>
      <w:rPr>
        <w:rFonts w:ascii="Wingdings" w:hAnsi="Wingdings" w:hint="default"/>
      </w:rPr>
    </w:lvl>
    <w:lvl w:ilvl="6" w:tplc="04090001" w:tentative="1">
      <w:start w:val="1"/>
      <w:numFmt w:val="bullet"/>
      <w:lvlText w:val=""/>
      <w:lvlJc w:val="left"/>
      <w:pPr>
        <w:tabs>
          <w:tab w:val="num" w:pos="5193"/>
        </w:tabs>
        <w:ind w:left="5193" w:hanging="360"/>
      </w:pPr>
      <w:rPr>
        <w:rFonts w:ascii="Symbol" w:hAnsi="Symbol" w:hint="default"/>
      </w:rPr>
    </w:lvl>
    <w:lvl w:ilvl="7" w:tplc="04090003" w:tentative="1">
      <w:start w:val="1"/>
      <w:numFmt w:val="bullet"/>
      <w:lvlText w:val="o"/>
      <w:lvlJc w:val="left"/>
      <w:pPr>
        <w:tabs>
          <w:tab w:val="num" w:pos="5913"/>
        </w:tabs>
        <w:ind w:left="5913" w:hanging="360"/>
      </w:pPr>
      <w:rPr>
        <w:rFonts w:ascii="Courier New" w:hAnsi="Courier New" w:cs="Courier New" w:hint="default"/>
      </w:rPr>
    </w:lvl>
    <w:lvl w:ilvl="8" w:tplc="04090005" w:tentative="1">
      <w:start w:val="1"/>
      <w:numFmt w:val="bullet"/>
      <w:lvlText w:val=""/>
      <w:lvlJc w:val="left"/>
      <w:pPr>
        <w:tabs>
          <w:tab w:val="num" w:pos="6633"/>
        </w:tabs>
        <w:ind w:left="6633" w:hanging="360"/>
      </w:pPr>
      <w:rPr>
        <w:rFonts w:ascii="Wingdings" w:hAnsi="Wingdings" w:hint="default"/>
      </w:rPr>
    </w:lvl>
  </w:abstractNum>
  <w:abstractNum w:abstractNumId="29" w15:restartNumberingAfterBreak="0">
    <w:nsid w:val="1620725F"/>
    <w:multiLevelType w:val="hybridMultilevel"/>
    <w:tmpl w:val="D9481EE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0" w15:restartNumberingAfterBreak="0">
    <w:nsid w:val="16AC7C67"/>
    <w:multiLevelType w:val="hybridMultilevel"/>
    <w:tmpl w:val="9B883E50"/>
    <w:lvl w:ilvl="0" w:tplc="1C09001B">
      <w:start w:val="1"/>
      <w:numFmt w:val="lowerRoman"/>
      <w:lvlText w:val="%1."/>
      <w:lvlJc w:val="right"/>
      <w:pPr>
        <w:ind w:left="1800" w:hanging="360"/>
      </w:pPr>
    </w:lvl>
    <w:lvl w:ilvl="1" w:tplc="1C090019" w:tentative="1">
      <w:start w:val="1"/>
      <w:numFmt w:val="lowerLetter"/>
      <w:lvlText w:val="%2."/>
      <w:lvlJc w:val="left"/>
      <w:pPr>
        <w:ind w:left="2520" w:hanging="360"/>
      </w:pPr>
    </w:lvl>
    <w:lvl w:ilvl="2" w:tplc="1C09001B" w:tentative="1">
      <w:start w:val="1"/>
      <w:numFmt w:val="lowerRoman"/>
      <w:lvlText w:val="%3."/>
      <w:lvlJc w:val="right"/>
      <w:pPr>
        <w:ind w:left="3240" w:hanging="180"/>
      </w:pPr>
    </w:lvl>
    <w:lvl w:ilvl="3" w:tplc="1C09000F" w:tentative="1">
      <w:start w:val="1"/>
      <w:numFmt w:val="decimal"/>
      <w:lvlText w:val="%4."/>
      <w:lvlJc w:val="left"/>
      <w:pPr>
        <w:ind w:left="3960" w:hanging="360"/>
      </w:pPr>
    </w:lvl>
    <w:lvl w:ilvl="4" w:tplc="1C090019" w:tentative="1">
      <w:start w:val="1"/>
      <w:numFmt w:val="lowerLetter"/>
      <w:lvlText w:val="%5."/>
      <w:lvlJc w:val="left"/>
      <w:pPr>
        <w:ind w:left="4680" w:hanging="360"/>
      </w:pPr>
    </w:lvl>
    <w:lvl w:ilvl="5" w:tplc="1C09001B" w:tentative="1">
      <w:start w:val="1"/>
      <w:numFmt w:val="lowerRoman"/>
      <w:lvlText w:val="%6."/>
      <w:lvlJc w:val="right"/>
      <w:pPr>
        <w:ind w:left="5400" w:hanging="180"/>
      </w:pPr>
    </w:lvl>
    <w:lvl w:ilvl="6" w:tplc="1C09000F" w:tentative="1">
      <w:start w:val="1"/>
      <w:numFmt w:val="decimal"/>
      <w:lvlText w:val="%7."/>
      <w:lvlJc w:val="left"/>
      <w:pPr>
        <w:ind w:left="6120" w:hanging="360"/>
      </w:pPr>
    </w:lvl>
    <w:lvl w:ilvl="7" w:tplc="1C090019" w:tentative="1">
      <w:start w:val="1"/>
      <w:numFmt w:val="lowerLetter"/>
      <w:lvlText w:val="%8."/>
      <w:lvlJc w:val="left"/>
      <w:pPr>
        <w:ind w:left="6840" w:hanging="360"/>
      </w:pPr>
    </w:lvl>
    <w:lvl w:ilvl="8" w:tplc="1C09001B" w:tentative="1">
      <w:start w:val="1"/>
      <w:numFmt w:val="lowerRoman"/>
      <w:lvlText w:val="%9."/>
      <w:lvlJc w:val="right"/>
      <w:pPr>
        <w:ind w:left="7560" w:hanging="180"/>
      </w:pPr>
    </w:lvl>
  </w:abstractNum>
  <w:abstractNum w:abstractNumId="31" w15:restartNumberingAfterBreak="0">
    <w:nsid w:val="16DD3FE4"/>
    <w:multiLevelType w:val="hybridMultilevel"/>
    <w:tmpl w:val="BE149A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173B720A"/>
    <w:multiLevelType w:val="hybridMultilevel"/>
    <w:tmpl w:val="5C32643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 w15:restartNumberingAfterBreak="0">
    <w:nsid w:val="17A13993"/>
    <w:multiLevelType w:val="hybridMultilevel"/>
    <w:tmpl w:val="F5E87356"/>
    <w:lvl w:ilvl="0" w:tplc="1C090009">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 w15:restartNumberingAfterBreak="0">
    <w:nsid w:val="19F03AC2"/>
    <w:multiLevelType w:val="hybridMultilevel"/>
    <w:tmpl w:val="83A6EC1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 w15:restartNumberingAfterBreak="0">
    <w:nsid w:val="1ABA16BF"/>
    <w:multiLevelType w:val="hybridMultilevel"/>
    <w:tmpl w:val="EC46F906"/>
    <w:lvl w:ilvl="0" w:tplc="1C090001">
      <w:start w:val="1"/>
      <w:numFmt w:val="bullet"/>
      <w:lvlText w:val=""/>
      <w:lvlJc w:val="left"/>
      <w:pPr>
        <w:ind w:left="765" w:hanging="360"/>
      </w:pPr>
      <w:rPr>
        <w:rFonts w:ascii="Symbol" w:hAnsi="Symbol" w:hint="default"/>
      </w:rPr>
    </w:lvl>
    <w:lvl w:ilvl="1" w:tplc="1C090003" w:tentative="1">
      <w:start w:val="1"/>
      <w:numFmt w:val="bullet"/>
      <w:lvlText w:val="o"/>
      <w:lvlJc w:val="left"/>
      <w:pPr>
        <w:ind w:left="1485" w:hanging="360"/>
      </w:pPr>
      <w:rPr>
        <w:rFonts w:ascii="Courier New" w:hAnsi="Courier New" w:cs="Courier New" w:hint="default"/>
      </w:rPr>
    </w:lvl>
    <w:lvl w:ilvl="2" w:tplc="1C090005" w:tentative="1">
      <w:start w:val="1"/>
      <w:numFmt w:val="bullet"/>
      <w:lvlText w:val=""/>
      <w:lvlJc w:val="left"/>
      <w:pPr>
        <w:ind w:left="2205" w:hanging="360"/>
      </w:pPr>
      <w:rPr>
        <w:rFonts w:ascii="Wingdings" w:hAnsi="Wingdings" w:hint="default"/>
      </w:rPr>
    </w:lvl>
    <w:lvl w:ilvl="3" w:tplc="1C090001" w:tentative="1">
      <w:start w:val="1"/>
      <w:numFmt w:val="bullet"/>
      <w:lvlText w:val=""/>
      <w:lvlJc w:val="left"/>
      <w:pPr>
        <w:ind w:left="2925" w:hanging="360"/>
      </w:pPr>
      <w:rPr>
        <w:rFonts w:ascii="Symbol" w:hAnsi="Symbol" w:hint="default"/>
      </w:rPr>
    </w:lvl>
    <w:lvl w:ilvl="4" w:tplc="1C090003" w:tentative="1">
      <w:start w:val="1"/>
      <w:numFmt w:val="bullet"/>
      <w:lvlText w:val="o"/>
      <w:lvlJc w:val="left"/>
      <w:pPr>
        <w:ind w:left="3645" w:hanging="360"/>
      </w:pPr>
      <w:rPr>
        <w:rFonts w:ascii="Courier New" w:hAnsi="Courier New" w:cs="Courier New" w:hint="default"/>
      </w:rPr>
    </w:lvl>
    <w:lvl w:ilvl="5" w:tplc="1C090005" w:tentative="1">
      <w:start w:val="1"/>
      <w:numFmt w:val="bullet"/>
      <w:lvlText w:val=""/>
      <w:lvlJc w:val="left"/>
      <w:pPr>
        <w:ind w:left="4365" w:hanging="360"/>
      </w:pPr>
      <w:rPr>
        <w:rFonts w:ascii="Wingdings" w:hAnsi="Wingdings" w:hint="default"/>
      </w:rPr>
    </w:lvl>
    <w:lvl w:ilvl="6" w:tplc="1C090001" w:tentative="1">
      <w:start w:val="1"/>
      <w:numFmt w:val="bullet"/>
      <w:lvlText w:val=""/>
      <w:lvlJc w:val="left"/>
      <w:pPr>
        <w:ind w:left="5085" w:hanging="360"/>
      </w:pPr>
      <w:rPr>
        <w:rFonts w:ascii="Symbol" w:hAnsi="Symbol" w:hint="default"/>
      </w:rPr>
    </w:lvl>
    <w:lvl w:ilvl="7" w:tplc="1C090003" w:tentative="1">
      <w:start w:val="1"/>
      <w:numFmt w:val="bullet"/>
      <w:lvlText w:val="o"/>
      <w:lvlJc w:val="left"/>
      <w:pPr>
        <w:ind w:left="5805" w:hanging="360"/>
      </w:pPr>
      <w:rPr>
        <w:rFonts w:ascii="Courier New" w:hAnsi="Courier New" w:cs="Courier New" w:hint="default"/>
      </w:rPr>
    </w:lvl>
    <w:lvl w:ilvl="8" w:tplc="1C090005" w:tentative="1">
      <w:start w:val="1"/>
      <w:numFmt w:val="bullet"/>
      <w:lvlText w:val=""/>
      <w:lvlJc w:val="left"/>
      <w:pPr>
        <w:ind w:left="6525" w:hanging="360"/>
      </w:pPr>
      <w:rPr>
        <w:rFonts w:ascii="Wingdings" w:hAnsi="Wingdings" w:hint="default"/>
      </w:rPr>
    </w:lvl>
  </w:abstractNum>
  <w:abstractNum w:abstractNumId="36" w15:restartNumberingAfterBreak="0">
    <w:nsid w:val="1C8C5BB3"/>
    <w:multiLevelType w:val="hybridMultilevel"/>
    <w:tmpl w:val="591AB04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7" w15:restartNumberingAfterBreak="0">
    <w:nsid w:val="1DCD7CE9"/>
    <w:multiLevelType w:val="multilevel"/>
    <w:tmpl w:val="78D629C2"/>
    <w:lvl w:ilvl="0">
      <w:start w:val="3"/>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1E4F6A59"/>
    <w:multiLevelType w:val="hybridMultilevel"/>
    <w:tmpl w:val="2BE2080E"/>
    <w:lvl w:ilvl="0" w:tplc="1C090001">
      <w:start w:val="1"/>
      <w:numFmt w:val="bullet"/>
      <w:lvlText w:val=""/>
      <w:lvlJc w:val="left"/>
      <w:pPr>
        <w:ind w:left="720" w:hanging="360"/>
      </w:pPr>
      <w:rPr>
        <w:rFonts w:ascii="Symbol" w:hAnsi="Symbol" w:hint="default"/>
      </w:rPr>
    </w:lvl>
    <w:lvl w:ilvl="1" w:tplc="1C09001B">
      <w:start w:val="1"/>
      <w:numFmt w:val="lowerRoman"/>
      <w:lvlText w:val="%2."/>
      <w:lvlJc w:val="right"/>
      <w:pPr>
        <w:ind w:left="1440" w:hanging="360"/>
      </w:pPr>
      <w:rPr>
        <w:rFonts w:hint="default"/>
      </w:rPr>
    </w:lvl>
    <w:lvl w:ilvl="2" w:tplc="1C090005">
      <w:start w:val="1"/>
      <w:numFmt w:val="bullet"/>
      <w:lvlText w:val=""/>
      <w:lvlJc w:val="left"/>
      <w:pPr>
        <w:ind w:left="2160" w:hanging="360"/>
      </w:pPr>
      <w:rPr>
        <w:rFonts w:ascii="Wingdings" w:hAnsi="Wingdings" w:hint="default"/>
      </w:rPr>
    </w:lvl>
    <w:lvl w:ilvl="3" w:tplc="908CC2E4">
      <w:start w:val="700"/>
      <w:numFmt w:val="decimal"/>
      <w:lvlText w:val="%4"/>
      <w:lvlJc w:val="left"/>
      <w:pPr>
        <w:ind w:left="2880" w:hanging="360"/>
      </w:pPr>
      <w:rPr>
        <w:rFonts w:hint="default"/>
      </w:rPr>
    </w:lvl>
    <w:lvl w:ilvl="4" w:tplc="5BD0C740">
      <w:start w:val="8"/>
      <w:numFmt w:val="bullet"/>
      <w:lvlText w:val="-"/>
      <w:lvlJc w:val="left"/>
      <w:pPr>
        <w:ind w:left="3600" w:hanging="360"/>
      </w:pPr>
      <w:rPr>
        <w:rFonts w:ascii="Calibri" w:eastAsiaTheme="minorHAnsi" w:hAnsi="Calibri" w:cstheme="minorBidi"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9" w15:restartNumberingAfterBreak="0">
    <w:nsid w:val="1F484AC6"/>
    <w:multiLevelType w:val="hybridMultilevel"/>
    <w:tmpl w:val="AA3C4F9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0" w15:restartNumberingAfterBreak="0">
    <w:nsid w:val="201C049D"/>
    <w:multiLevelType w:val="hybridMultilevel"/>
    <w:tmpl w:val="4B8824F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1" w15:restartNumberingAfterBreak="0">
    <w:nsid w:val="20367F71"/>
    <w:multiLevelType w:val="hybridMultilevel"/>
    <w:tmpl w:val="AA8EA51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2" w15:restartNumberingAfterBreak="0">
    <w:nsid w:val="206C1984"/>
    <w:multiLevelType w:val="hybridMultilevel"/>
    <w:tmpl w:val="7E10B364"/>
    <w:lvl w:ilvl="0" w:tplc="1C090001">
      <w:start w:val="1"/>
      <w:numFmt w:val="bullet"/>
      <w:lvlText w:val=""/>
      <w:lvlJc w:val="left"/>
      <w:pPr>
        <w:ind w:left="720" w:hanging="360"/>
      </w:pPr>
      <w:rPr>
        <w:rFonts w:ascii="Symbol" w:hAnsi="Symbol" w:hint="default"/>
      </w:rPr>
    </w:lvl>
    <w:lvl w:ilvl="1" w:tplc="AD729580">
      <w:numFmt w:val="bullet"/>
      <w:lvlText w:val="-"/>
      <w:lvlJc w:val="left"/>
      <w:pPr>
        <w:ind w:left="1800" w:hanging="720"/>
      </w:pPr>
      <w:rPr>
        <w:rFonts w:ascii="Calibri" w:eastAsiaTheme="minorHAnsi" w:hAnsi="Calibri" w:cs="Calibri"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3" w15:restartNumberingAfterBreak="0">
    <w:nsid w:val="215B4DF4"/>
    <w:multiLevelType w:val="hybridMultilevel"/>
    <w:tmpl w:val="7B8E8F1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4" w15:restartNumberingAfterBreak="0">
    <w:nsid w:val="218B78F2"/>
    <w:multiLevelType w:val="hybridMultilevel"/>
    <w:tmpl w:val="810415A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5" w15:restartNumberingAfterBreak="0">
    <w:nsid w:val="23912D53"/>
    <w:multiLevelType w:val="hybridMultilevel"/>
    <w:tmpl w:val="F9BA034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6" w15:restartNumberingAfterBreak="0">
    <w:nsid w:val="239C4446"/>
    <w:multiLevelType w:val="hybridMultilevel"/>
    <w:tmpl w:val="7ADE28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6280304"/>
    <w:multiLevelType w:val="hybridMultilevel"/>
    <w:tmpl w:val="ABC2C60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8" w15:restartNumberingAfterBreak="0">
    <w:nsid w:val="27BF12AC"/>
    <w:multiLevelType w:val="hybridMultilevel"/>
    <w:tmpl w:val="0CF45C4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9" w15:restartNumberingAfterBreak="0">
    <w:nsid w:val="282011F4"/>
    <w:multiLevelType w:val="hybridMultilevel"/>
    <w:tmpl w:val="898C49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282A0ECE"/>
    <w:multiLevelType w:val="multilevel"/>
    <w:tmpl w:val="A094BA42"/>
    <w:lvl w:ilvl="0">
      <w:start w:val="1"/>
      <w:numFmt w:val="decimal"/>
      <w:pStyle w:val="FindingHeading1"/>
      <w:lvlText w:val="%1."/>
      <w:lvlJc w:val="left"/>
      <w:pPr>
        <w:tabs>
          <w:tab w:val="num" w:pos="454"/>
        </w:tabs>
        <w:ind w:left="0" w:firstLine="0"/>
      </w:pPr>
      <w:rPr>
        <w:rFonts w:ascii="Arial Bold" w:hAnsi="Arial Bold" w:hint="default"/>
        <w:b/>
        <w:i w:val="0"/>
        <w:caps w:val="0"/>
        <w:strike w:val="0"/>
        <w:dstrike w:val="0"/>
        <w:vanish w:val="0"/>
        <w:color w:val="000000"/>
        <w:sz w:val="22"/>
        <w:vertAlign w:val="baseline"/>
      </w:rPr>
    </w:lvl>
    <w:lvl w:ilvl="1">
      <w:start w:val="1"/>
      <w:numFmt w:val="decimal"/>
      <w:pStyle w:val="FindingHeading2"/>
      <w:lvlText w:val="%1.%2"/>
      <w:lvlJc w:val="left"/>
      <w:pPr>
        <w:tabs>
          <w:tab w:val="num" w:pos="454"/>
        </w:tabs>
        <w:ind w:left="0" w:firstLine="0"/>
      </w:pPr>
      <w:rPr>
        <w:rFonts w:ascii="Arial Bold" w:hAnsi="Arial Bold" w:hint="default"/>
        <w:b/>
        <w:i w:val="0"/>
        <w:caps w:val="0"/>
        <w:strike w:val="0"/>
        <w:dstrike w:val="0"/>
        <w:vanish w:val="0"/>
        <w:sz w:val="22"/>
        <w:vertAlign w:val="baseline"/>
      </w:rPr>
    </w:lvl>
    <w:lvl w:ilvl="2">
      <w:start w:val="1"/>
      <w:numFmt w:val="decimal"/>
      <w:lvlText w:val="%1.%2.%3"/>
      <w:lvlJc w:val="left"/>
      <w:pPr>
        <w:tabs>
          <w:tab w:val="num" w:pos="397"/>
        </w:tabs>
        <w:ind w:left="0" w:firstLine="0"/>
      </w:pPr>
      <w:rPr>
        <w:rFonts w:ascii="Arial Bold" w:hAnsi="Arial Bold" w:hint="default"/>
        <w:b/>
        <w:i w:val="0"/>
        <w:caps w:val="0"/>
        <w:strike w:val="0"/>
        <w:dstrike w:val="0"/>
        <w:vanish w:val="0"/>
        <w:sz w:val="22"/>
        <w:vertAlign w:val="baseline"/>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1" w15:restartNumberingAfterBreak="0">
    <w:nsid w:val="28766B0C"/>
    <w:multiLevelType w:val="hybridMultilevel"/>
    <w:tmpl w:val="FD1CB1D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2" w15:restartNumberingAfterBreak="0">
    <w:nsid w:val="29420CB4"/>
    <w:multiLevelType w:val="hybridMultilevel"/>
    <w:tmpl w:val="4D4274C2"/>
    <w:lvl w:ilvl="0" w:tplc="56FC7BD0">
      <w:start w:val="5"/>
      <w:numFmt w:val="bullet"/>
      <w:pStyle w:val="bullet1"/>
      <w:lvlText w:val="-"/>
      <w:lvlJc w:val="left"/>
      <w:pPr>
        <w:tabs>
          <w:tab w:val="num" w:pos="720"/>
        </w:tabs>
        <w:ind w:left="720" w:hanging="360"/>
      </w:pPr>
      <w:rPr>
        <w:rFonts w:ascii="Calibri" w:eastAsia="Times New Roman" w:hAnsi="Calibri" w:hint="default"/>
        <w:b/>
        <w:bCs/>
      </w:rPr>
    </w:lvl>
    <w:lvl w:ilvl="1" w:tplc="443C1946">
      <w:start w:val="1"/>
      <w:numFmt w:val="bullet"/>
      <w:lvlText w:val="o"/>
      <w:lvlJc w:val="left"/>
      <w:pPr>
        <w:tabs>
          <w:tab w:val="num" w:pos="1440"/>
        </w:tabs>
        <w:ind w:left="1440" w:hanging="360"/>
      </w:pPr>
      <w:rPr>
        <w:rFonts w:ascii="Courier New" w:hAnsi="Courier New" w:cs="Courier New" w:hint="default"/>
      </w:rPr>
    </w:lvl>
    <w:lvl w:ilvl="2" w:tplc="E2009CC6">
      <w:start w:val="1"/>
      <w:numFmt w:val="bullet"/>
      <w:lvlText w:val=""/>
      <w:lvlJc w:val="left"/>
      <w:pPr>
        <w:tabs>
          <w:tab w:val="num" w:pos="2160"/>
        </w:tabs>
        <w:ind w:left="2160" w:hanging="360"/>
      </w:pPr>
      <w:rPr>
        <w:rFonts w:ascii="Wingdings" w:hAnsi="Wingdings" w:cs="Wingdings" w:hint="default"/>
      </w:rPr>
    </w:lvl>
    <w:lvl w:ilvl="3" w:tplc="DC261BDA">
      <w:start w:val="1"/>
      <w:numFmt w:val="bullet"/>
      <w:lvlText w:val=""/>
      <w:lvlJc w:val="left"/>
      <w:pPr>
        <w:tabs>
          <w:tab w:val="num" w:pos="2880"/>
        </w:tabs>
        <w:ind w:left="2880" w:hanging="360"/>
      </w:pPr>
      <w:rPr>
        <w:rFonts w:ascii="Symbol" w:hAnsi="Symbol" w:cs="Symbol" w:hint="default"/>
      </w:rPr>
    </w:lvl>
    <w:lvl w:ilvl="4" w:tplc="C4CA2932">
      <w:start w:val="1"/>
      <w:numFmt w:val="bullet"/>
      <w:lvlText w:val="o"/>
      <w:lvlJc w:val="left"/>
      <w:pPr>
        <w:tabs>
          <w:tab w:val="num" w:pos="3600"/>
        </w:tabs>
        <w:ind w:left="3600" w:hanging="360"/>
      </w:pPr>
      <w:rPr>
        <w:rFonts w:ascii="Courier New" w:hAnsi="Courier New" w:cs="Courier New" w:hint="default"/>
      </w:rPr>
    </w:lvl>
    <w:lvl w:ilvl="5" w:tplc="C6761B16">
      <w:start w:val="1"/>
      <w:numFmt w:val="bullet"/>
      <w:lvlText w:val=""/>
      <w:lvlJc w:val="left"/>
      <w:pPr>
        <w:tabs>
          <w:tab w:val="num" w:pos="4320"/>
        </w:tabs>
        <w:ind w:left="4320" w:hanging="360"/>
      </w:pPr>
      <w:rPr>
        <w:rFonts w:ascii="Wingdings" w:hAnsi="Wingdings" w:cs="Wingdings" w:hint="default"/>
      </w:rPr>
    </w:lvl>
    <w:lvl w:ilvl="6" w:tplc="92E25F08">
      <w:start w:val="1"/>
      <w:numFmt w:val="bullet"/>
      <w:lvlText w:val=""/>
      <w:lvlJc w:val="left"/>
      <w:pPr>
        <w:tabs>
          <w:tab w:val="num" w:pos="5040"/>
        </w:tabs>
        <w:ind w:left="5040" w:hanging="360"/>
      </w:pPr>
      <w:rPr>
        <w:rFonts w:ascii="Symbol" w:hAnsi="Symbol" w:cs="Symbol" w:hint="default"/>
      </w:rPr>
    </w:lvl>
    <w:lvl w:ilvl="7" w:tplc="3C667ABC">
      <w:start w:val="1"/>
      <w:numFmt w:val="bullet"/>
      <w:lvlText w:val="o"/>
      <w:lvlJc w:val="left"/>
      <w:pPr>
        <w:tabs>
          <w:tab w:val="num" w:pos="5760"/>
        </w:tabs>
        <w:ind w:left="5760" w:hanging="360"/>
      </w:pPr>
      <w:rPr>
        <w:rFonts w:ascii="Courier New" w:hAnsi="Courier New" w:cs="Courier New" w:hint="default"/>
      </w:rPr>
    </w:lvl>
    <w:lvl w:ilvl="8" w:tplc="182E1A4A">
      <w:start w:val="1"/>
      <w:numFmt w:val="bullet"/>
      <w:lvlText w:val=""/>
      <w:lvlJc w:val="left"/>
      <w:pPr>
        <w:tabs>
          <w:tab w:val="num" w:pos="6480"/>
        </w:tabs>
        <w:ind w:left="6480" w:hanging="360"/>
      </w:pPr>
      <w:rPr>
        <w:rFonts w:ascii="Wingdings" w:hAnsi="Wingdings" w:cs="Wingdings" w:hint="default"/>
      </w:rPr>
    </w:lvl>
  </w:abstractNum>
  <w:abstractNum w:abstractNumId="53" w15:restartNumberingAfterBreak="0">
    <w:nsid w:val="2A042186"/>
    <w:multiLevelType w:val="hybridMultilevel"/>
    <w:tmpl w:val="937C6F3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4" w15:restartNumberingAfterBreak="0">
    <w:nsid w:val="2AE01B36"/>
    <w:multiLevelType w:val="hybridMultilevel"/>
    <w:tmpl w:val="4D1482F0"/>
    <w:lvl w:ilvl="0" w:tplc="04090001">
      <w:start w:val="1"/>
      <w:numFmt w:val="bullet"/>
      <w:lvlText w:val=""/>
      <w:lvlJc w:val="left"/>
      <w:pPr>
        <w:ind w:left="360" w:hanging="360"/>
      </w:pPr>
      <w:rPr>
        <w:rFonts w:ascii="Symbol" w:hAnsi="Symbol" w:hint="default"/>
        <w:color w:val="auto"/>
      </w:rPr>
    </w:lvl>
    <w:lvl w:ilvl="1" w:tplc="1C090003">
      <w:start w:val="1"/>
      <w:numFmt w:val="bullet"/>
      <w:lvlText w:val="o"/>
      <w:lvlJc w:val="left"/>
      <w:pPr>
        <w:ind w:left="1080" w:hanging="360"/>
      </w:pPr>
      <w:rPr>
        <w:rFonts w:ascii="Courier New" w:hAnsi="Courier New" w:cs="Courier New" w:hint="default"/>
      </w:rPr>
    </w:lvl>
    <w:lvl w:ilvl="2" w:tplc="1C090005">
      <w:start w:val="1"/>
      <w:numFmt w:val="bullet"/>
      <w:lvlText w:val=""/>
      <w:lvlJc w:val="left"/>
      <w:pPr>
        <w:ind w:left="1800" w:hanging="360"/>
      </w:pPr>
      <w:rPr>
        <w:rFonts w:ascii="Wingdings" w:hAnsi="Wingdings" w:hint="default"/>
      </w:rPr>
    </w:lvl>
    <w:lvl w:ilvl="3" w:tplc="1C090001">
      <w:start w:val="1"/>
      <w:numFmt w:val="bullet"/>
      <w:lvlText w:val=""/>
      <w:lvlJc w:val="left"/>
      <w:pPr>
        <w:ind w:left="2520" w:hanging="360"/>
      </w:pPr>
      <w:rPr>
        <w:rFonts w:ascii="Symbol" w:hAnsi="Symbol" w:hint="default"/>
      </w:rPr>
    </w:lvl>
    <w:lvl w:ilvl="4" w:tplc="1C090003">
      <w:start w:val="1"/>
      <w:numFmt w:val="bullet"/>
      <w:lvlText w:val="o"/>
      <w:lvlJc w:val="left"/>
      <w:pPr>
        <w:ind w:left="3240" w:hanging="360"/>
      </w:pPr>
      <w:rPr>
        <w:rFonts w:ascii="Courier New" w:hAnsi="Courier New" w:cs="Courier New" w:hint="default"/>
      </w:rPr>
    </w:lvl>
    <w:lvl w:ilvl="5" w:tplc="1C090005">
      <w:start w:val="1"/>
      <w:numFmt w:val="bullet"/>
      <w:lvlText w:val=""/>
      <w:lvlJc w:val="left"/>
      <w:pPr>
        <w:ind w:left="3960" w:hanging="360"/>
      </w:pPr>
      <w:rPr>
        <w:rFonts w:ascii="Wingdings" w:hAnsi="Wingdings" w:hint="default"/>
      </w:rPr>
    </w:lvl>
    <w:lvl w:ilvl="6" w:tplc="1C090001">
      <w:start w:val="1"/>
      <w:numFmt w:val="bullet"/>
      <w:lvlText w:val=""/>
      <w:lvlJc w:val="left"/>
      <w:pPr>
        <w:ind w:left="4680" w:hanging="360"/>
      </w:pPr>
      <w:rPr>
        <w:rFonts w:ascii="Symbol" w:hAnsi="Symbol" w:hint="default"/>
      </w:rPr>
    </w:lvl>
    <w:lvl w:ilvl="7" w:tplc="1C090003">
      <w:start w:val="1"/>
      <w:numFmt w:val="bullet"/>
      <w:lvlText w:val="o"/>
      <w:lvlJc w:val="left"/>
      <w:pPr>
        <w:ind w:left="5400" w:hanging="360"/>
      </w:pPr>
      <w:rPr>
        <w:rFonts w:ascii="Courier New" w:hAnsi="Courier New" w:cs="Courier New" w:hint="default"/>
      </w:rPr>
    </w:lvl>
    <w:lvl w:ilvl="8" w:tplc="1C090005">
      <w:start w:val="1"/>
      <w:numFmt w:val="bullet"/>
      <w:lvlText w:val=""/>
      <w:lvlJc w:val="left"/>
      <w:pPr>
        <w:ind w:left="6120" w:hanging="360"/>
      </w:pPr>
      <w:rPr>
        <w:rFonts w:ascii="Wingdings" w:hAnsi="Wingdings" w:hint="default"/>
      </w:rPr>
    </w:lvl>
  </w:abstractNum>
  <w:abstractNum w:abstractNumId="55" w15:restartNumberingAfterBreak="0">
    <w:nsid w:val="2DF42B8A"/>
    <w:multiLevelType w:val="hybridMultilevel"/>
    <w:tmpl w:val="2BCA4CF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6" w15:restartNumberingAfterBreak="0">
    <w:nsid w:val="2E221164"/>
    <w:multiLevelType w:val="hybridMultilevel"/>
    <w:tmpl w:val="929022C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7" w15:restartNumberingAfterBreak="0">
    <w:nsid w:val="319E47A4"/>
    <w:multiLevelType w:val="hybridMultilevel"/>
    <w:tmpl w:val="33C45D5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8" w15:restartNumberingAfterBreak="0">
    <w:nsid w:val="32011AE9"/>
    <w:multiLevelType w:val="hybridMultilevel"/>
    <w:tmpl w:val="1EE22D6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9" w15:restartNumberingAfterBreak="0">
    <w:nsid w:val="338D6C9B"/>
    <w:multiLevelType w:val="hybridMultilevel"/>
    <w:tmpl w:val="79ECC3E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0" w15:restartNumberingAfterBreak="0">
    <w:nsid w:val="33910489"/>
    <w:multiLevelType w:val="hybridMultilevel"/>
    <w:tmpl w:val="7428C81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1" w15:restartNumberingAfterBreak="0">
    <w:nsid w:val="35A24845"/>
    <w:multiLevelType w:val="hybridMultilevel"/>
    <w:tmpl w:val="A9849AE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2" w15:restartNumberingAfterBreak="0">
    <w:nsid w:val="363544BD"/>
    <w:multiLevelType w:val="hybridMultilevel"/>
    <w:tmpl w:val="770C783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3" w15:restartNumberingAfterBreak="0">
    <w:nsid w:val="385E1FDE"/>
    <w:multiLevelType w:val="hybridMultilevel"/>
    <w:tmpl w:val="5C28027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4" w15:restartNumberingAfterBreak="0">
    <w:nsid w:val="3A296547"/>
    <w:multiLevelType w:val="hybridMultilevel"/>
    <w:tmpl w:val="4944150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5" w15:restartNumberingAfterBreak="0">
    <w:nsid w:val="3A823AB0"/>
    <w:multiLevelType w:val="hybridMultilevel"/>
    <w:tmpl w:val="44B66C7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6" w15:restartNumberingAfterBreak="0">
    <w:nsid w:val="3B090AFF"/>
    <w:multiLevelType w:val="hybridMultilevel"/>
    <w:tmpl w:val="2DE2B938"/>
    <w:styleLink w:val="11112"/>
    <w:lvl w:ilvl="0" w:tplc="FFFFFFFF">
      <w:start w:val="1"/>
      <w:numFmt w:val="bullet"/>
      <w:pStyle w:val="BulletedListundernumpara"/>
      <w:lvlText w:val="•"/>
      <w:lvlJc w:val="left"/>
      <w:pPr>
        <w:tabs>
          <w:tab w:val="num" w:pos="360"/>
        </w:tabs>
        <w:ind w:left="360" w:hanging="360"/>
      </w:pPr>
      <w:rPr>
        <w:rFonts w:ascii="Times New Roman" w:cs="Times New Roman" w:hint="default"/>
        <w:color w:val="auto"/>
      </w:rPr>
    </w:lvl>
    <w:lvl w:ilvl="1" w:tplc="FFFFFFFF">
      <w:start w:val="1"/>
      <w:numFmt w:val="bullet"/>
      <w:lvlText w:val="-"/>
      <w:lvlJc w:val="left"/>
      <w:pPr>
        <w:tabs>
          <w:tab w:val="num" w:pos="720"/>
        </w:tabs>
        <w:ind w:left="720" w:hanging="360"/>
      </w:pPr>
      <w:rPr>
        <w:rFonts w:ascii="Times New Roman" w:hAnsi="Times New Roman" w:cs="Times New Roman" w:hint="default"/>
      </w:rPr>
    </w:lvl>
    <w:lvl w:ilvl="2" w:tplc="FFFFFFFF">
      <w:start w:val="1"/>
      <w:numFmt w:val="bullet"/>
      <w:lvlText w:val=""/>
      <w:lvlJc w:val="left"/>
      <w:pPr>
        <w:tabs>
          <w:tab w:val="num" w:pos="1440"/>
        </w:tabs>
        <w:ind w:left="1440" w:hanging="360"/>
      </w:pPr>
      <w:rPr>
        <w:rFonts w:ascii="Wingdings" w:hAnsi="Wingdings" w:hint="default"/>
      </w:rPr>
    </w:lvl>
    <w:lvl w:ilvl="3" w:tplc="FFFFFFFF" w:tentative="1">
      <w:start w:val="1"/>
      <w:numFmt w:val="bullet"/>
      <w:lvlText w:val=""/>
      <w:lvlJc w:val="left"/>
      <w:pPr>
        <w:tabs>
          <w:tab w:val="num" w:pos="2160"/>
        </w:tabs>
        <w:ind w:left="2160" w:hanging="360"/>
      </w:pPr>
      <w:rPr>
        <w:rFonts w:ascii="Symbol" w:hAnsi="Symbol" w:hint="default"/>
      </w:rPr>
    </w:lvl>
    <w:lvl w:ilvl="4" w:tplc="FFFFFFFF" w:tentative="1">
      <w:start w:val="1"/>
      <w:numFmt w:val="bullet"/>
      <w:lvlText w:val="o"/>
      <w:lvlJc w:val="left"/>
      <w:pPr>
        <w:tabs>
          <w:tab w:val="num" w:pos="2880"/>
        </w:tabs>
        <w:ind w:left="2880" w:hanging="360"/>
      </w:pPr>
      <w:rPr>
        <w:rFonts w:ascii="Courier New" w:hAnsi="Courier New" w:hint="default"/>
      </w:rPr>
    </w:lvl>
    <w:lvl w:ilvl="5" w:tplc="FFFFFFFF" w:tentative="1">
      <w:start w:val="1"/>
      <w:numFmt w:val="bullet"/>
      <w:lvlText w:val=""/>
      <w:lvlJc w:val="left"/>
      <w:pPr>
        <w:tabs>
          <w:tab w:val="num" w:pos="3600"/>
        </w:tabs>
        <w:ind w:left="3600" w:hanging="360"/>
      </w:pPr>
      <w:rPr>
        <w:rFonts w:ascii="Wingdings" w:hAnsi="Wingdings" w:hint="default"/>
      </w:rPr>
    </w:lvl>
    <w:lvl w:ilvl="6" w:tplc="FFFFFFFF" w:tentative="1">
      <w:start w:val="1"/>
      <w:numFmt w:val="bullet"/>
      <w:lvlText w:val=""/>
      <w:lvlJc w:val="left"/>
      <w:pPr>
        <w:tabs>
          <w:tab w:val="num" w:pos="4320"/>
        </w:tabs>
        <w:ind w:left="4320" w:hanging="360"/>
      </w:pPr>
      <w:rPr>
        <w:rFonts w:ascii="Symbol" w:hAnsi="Symbol" w:hint="default"/>
      </w:rPr>
    </w:lvl>
    <w:lvl w:ilvl="7" w:tplc="FFFFFFFF" w:tentative="1">
      <w:start w:val="1"/>
      <w:numFmt w:val="bullet"/>
      <w:lvlText w:val="o"/>
      <w:lvlJc w:val="left"/>
      <w:pPr>
        <w:tabs>
          <w:tab w:val="num" w:pos="5040"/>
        </w:tabs>
        <w:ind w:left="5040" w:hanging="360"/>
      </w:pPr>
      <w:rPr>
        <w:rFonts w:ascii="Courier New" w:hAnsi="Courier New" w:hint="default"/>
      </w:rPr>
    </w:lvl>
    <w:lvl w:ilvl="8" w:tplc="FFFFFFFF" w:tentative="1">
      <w:start w:val="1"/>
      <w:numFmt w:val="bullet"/>
      <w:lvlText w:val=""/>
      <w:lvlJc w:val="left"/>
      <w:pPr>
        <w:tabs>
          <w:tab w:val="num" w:pos="5760"/>
        </w:tabs>
        <w:ind w:left="5760" w:hanging="360"/>
      </w:pPr>
      <w:rPr>
        <w:rFonts w:ascii="Wingdings" w:hAnsi="Wingdings" w:hint="default"/>
      </w:rPr>
    </w:lvl>
  </w:abstractNum>
  <w:abstractNum w:abstractNumId="67" w15:restartNumberingAfterBreak="0">
    <w:nsid w:val="3B404687"/>
    <w:multiLevelType w:val="hybridMultilevel"/>
    <w:tmpl w:val="D9B4783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8" w15:restartNumberingAfterBreak="0">
    <w:nsid w:val="3B5317B1"/>
    <w:multiLevelType w:val="hybridMultilevel"/>
    <w:tmpl w:val="16E0DA38"/>
    <w:lvl w:ilvl="0" w:tplc="04090003">
      <w:start w:val="1"/>
      <w:numFmt w:val="decimal"/>
      <w:lvlText w:val="%1."/>
      <w:lvlJc w:val="left"/>
      <w:pPr>
        <w:tabs>
          <w:tab w:val="num" w:pos="360"/>
        </w:tabs>
        <w:ind w:left="360" w:hanging="360"/>
      </w:pPr>
      <w:rPr>
        <w:rFonts w:hint="default"/>
      </w:rPr>
    </w:lvl>
    <w:lvl w:ilvl="1" w:tplc="04090003">
      <w:start w:val="1"/>
      <w:numFmt w:val="bullet"/>
      <w:lvlText w:val=""/>
      <w:lvlJc w:val="left"/>
      <w:pPr>
        <w:tabs>
          <w:tab w:val="num" w:pos="1080"/>
        </w:tabs>
        <w:ind w:left="1080" w:hanging="360"/>
      </w:pPr>
      <w:rPr>
        <w:rFonts w:ascii="Symbol" w:hAnsi="Symbol" w:hint="default"/>
      </w:r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69" w15:restartNumberingAfterBreak="0">
    <w:nsid w:val="3C5A054D"/>
    <w:multiLevelType w:val="hybridMultilevel"/>
    <w:tmpl w:val="07F832E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0" w15:restartNumberingAfterBreak="0">
    <w:nsid w:val="3C6A00FA"/>
    <w:multiLevelType w:val="hybridMultilevel"/>
    <w:tmpl w:val="32AEC64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1" w15:restartNumberingAfterBreak="0">
    <w:nsid w:val="3C927C35"/>
    <w:multiLevelType w:val="multilevel"/>
    <w:tmpl w:val="961E9ADE"/>
    <w:lvl w:ilvl="0">
      <w:start w:val="1"/>
      <w:numFmt w:val="decimal"/>
      <w:lvlText w:val="%1."/>
      <w:lvlJc w:val="left"/>
      <w:pPr>
        <w:ind w:left="720" w:hanging="360"/>
      </w:p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2" w15:restartNumberingAfterBreak="0">
    <w:nsid w:val="3DBA376C"/>
    <w:multiLevelType w:val="hybridMultilevel"/>
    <w:tmpl w:val="0DF0F7F0"/>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73" w15:restartNumberingAfterBreak="0">
    <w:nsid w:val="3E2675DB"/>
    <w:multiLevelType w:val="hybridMultilevel"/>
    <w:tmpl w:val="3992E4D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4" w15:restartNumberingAfterBreak="0">
    <w:nsid w:val="3F5A2A35"/>
    <w:multiLevelType w:val="hybridMultilevel"/>
    <w:tmpl w:val="E58CA7B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5" w15:restartNumberingAfterBreak="0">
    <w:nsid w:val="41494B63"/>
    <w:multiLevelType w:val="multilevel"/>
    <w:tmpl w:val="9A3449E8"/>
    <w:lvl w:ilvl="0">
      <w:start w:val="4"/>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6" w15:restartNumberingAfterBreak="0">
    <w:nsid w:val="41B746D8"/>
    <w:multiLevelType w:val="hybridMultilevel"/>
    <w:tmpl w:val="451241B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7" w15:restartNumberingAfterBreak="0">
    <w:nsid w:val="423D6B8C"/>
    <w:multiLevelType w:val="hybridMultilevel"/>
    <w:tmpl w:val="2DA6A224"/>
    <w:lvl w:ilvl="0" w:tplc="1C090001">
      <w:start w:val="1"/>
      <w:numFmt w:val="bullet"/>
      <w:pStyle w:val="AGHeading2"/>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8" w15:restartNumberingAfterBreak="0">
    <w:nsid w:val="426672AB"/>
    <w:multiLevelType w:val="hybridMultilevel"/>
    <w:tmpl w:val="B60C843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9" w15:restartNumberingAfterBreak="0">
    <w:nsid w:val="453F4C09"/>
    <w:multiLevelType w:val="hybridMultilevel"/>
    <w:tmpl w:val="AD1477F0"/>
    <w:lvl w:ilvl="0" w:tplc="95D4660C">
      <w:start w:val="1"/>
      <w:numFmt w:val="lowerLetter"/>
      <w:lvlText w:val="%1."/>
      <w:lvlJc w:val="left"/>
      <w:pPr>
        <w:ind w:left="720" w:hanging="360"/>
      </w:pPr>
      <w:rPr>
        <w:b/>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80" w15:restartNumberingAfterBreak="0">
    <w:nsid w:val="457977C6"/>
    <w:multiLevelType w:val="hybridMultilevel"/>
    <w:tmpl w:val="649AF23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1" w15:restartNumberingAfterBreak="0">
    <w:nsid w:val="46A02DB0"/>
    <w:multiLevelType w:val="hybridMultilevel"/>
    <w:tmpl w:val="0EE4C6C2"/>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82" w15:restartNumberingAfterBreak="0">
    <w:nsid w:val="473E4735"/>
    <w:multiLevelType w:val="hybridMultilevel"/>
    <w:tmpl w:val="335CD39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3" w15:restartNumberingAfterBreak="0">
    <w:nsid w:val="47973456"/>
    <w:multiLevelType w:val="hybridMultilevel"/>
    <w:tmpl w:val="2CC609A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4" w15:restartNumberingAfterBreak="0">
    <w:nsid w:val="47B778F0"/>
    <w:multiLevelType w:val="hybridMultilevel"/>
    <w:tmpl w:val="E938C80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5" w15:restartNumberingAfterBreak="0">
    <w:nsid w:val="487750C6"/>
    <w:multiLevelType w:val="hybridMultilevel"/>
    <w:tmpl w:val="0998523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6" w15:restartNumberingAfterBreak="0">
    <w:nsid w:val="48A526AE"/>
    <w:multiLevelType w:val="hybridMultilevel"/>
    <w:tmpl w:val="1CA65D8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7" w15:restartNumberingAfterBreak="0">
    <w:nsid w:val="4A4F09F0"/>
    <w:multiLevelType w:val="hybridMultilevel"/>
    <w:tmpl w:val="C984891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8" w15:restartNumberingAfterBreak="0">
    <w:nsid w:val="4A752954"/>
    <w:multiLevelType w:val="hybridMultilevel"/>
    <w:tmpl w:val="69541F2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9" w15:restartNumberingAfterBreak="0">
    <w:nsid w:val="4CF35C74"/>
    <w:multiLevelType w:val="hybridMultilevel"/>
    <w:tmpl w:val="6A24824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0" w15:restartNumberingAfterBreak="0">
    <w:nsid w:val="4D1C0326"/>
    <w:multiLevelType w:val="multilevel"/>
    <w:tmpl w:val="02E8CBF2"/>
    <w:lvl w:ilvl="0">
      <w:start w:val="5"/>
      <w:numFmt w:val="decimal"/>
      <w:lvlText w:val="%1."/>
      <w:lvlJc w:val="left"/>
      <w:pPr>
        <w:ind w:left="660" w:hanging="660"/>
      </w:pPr>
      <w:rPr>
        <w:rFonts w:hint="default"/>
      </w:rPr>
    </w:lvl>
    <w:lvl w:ilvl="1">
      <w:start w:val="1"/>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1" w15:restartNumberingAfterBreak="0">
    <w:nsid w:val="4D2002F4"/>
    <w:multiLevelType w:val="hybridMultilevel"/>
    <w:tmpl w:val="59C2C2F4"/>
    <w:lvl w:ilvl="0" w:tplc="7A3A6882">
      <w:start w:val="3"/>
      <w:numFmt w:val="bullet"/>
      <w:lvlText w:val="-"/>
      <w:lvlJc w:val="left"/>
      <w:pPr>
        <w:ind w:left="1080" w:hanging="360"/>
      </w:pPr>
      <w:rPr>
        <w:rFonts w:ascii="Arial" w:eastAsia="Times New Roman" w:hAnsi="Arial" w:cs="Arial" w:hint="default"/>
      </w:rPr>
    </w:lvl>
    <w:lvl w:ilvl="1" w:tplc="1C090003">
      <w:start w:val="1"/>
      <w:numFmt w:val="bullet"/>
      <w:lvlText w:val="o"/>
      <w:lvlJc w:val="left"/>
      <w:pPr>
        <w:ind w:left="1952" w:hanging="360"/>
      </w:pPr>
      <w:rPr>
        <w:rFonts w:ascii="Courier New" w:hAnsi="Courier New" w:cs="Courier New" w:hint="default"/>
      </w:rPr>
    </w:lvl>
    <w:lvl w:ilvl="2" w:tplc="1C090005">
      <w:start w:val="1"/>
      <w:numFmt w:val="bullet"/>
      <w:lvlText w:val=""/>
      <w:lvlJc w:val="left"/>
      <w:pPr>
        <w:ind w:left="2672" w:hanging="360"/>
      </w:pPr>
      <w:rPr>
        <w:rFonts w:ascii="Wingdings" w:hAnsi="Wingdings" w:hint="default"/>
      </w:rPr>
    </w:lvl>
    <w:lvl w:ilvl="3" w:tplc="1C090001">
      <w:start w:val="1"/>
      <w:numFmt w:val="bullet"/>
      <w:lvlText w:val=""/>
      <w:lvlJc w:val="left"/>
      <w:pPr>
        <w:ind w:left="3392" w:hanging="360"/>
      </w:pPr>
      <w:rPr>
        <w:rFonts w:ascii="Symbol" w:hAnsi="Symbol" w:hint="default"/>
      </w:rPr>
    </w:lvl>
    <w:lvl w:ilvl="4" w:tplc="1C090003">
      <w:start w:val="1"/>
      <w:numFmt w:val="bullet"/>
      <w:lvlText w:val="o"/>
      <w:lvlJc w:val="left"/>
      <w:pPr>
        <w:ind w:left="4112" w:hanging="360"/>
      </w:pPr>
      <w:rPr>
        <w:rFonts w:ascii="Courier New" w:hAnsi="Courier New" w:cs="Courier New" w:hint="default"/>
      </w:rPr>
    </w:lvl>
    <w:lvl w:ilvl="5" w:tplc="1C090005">
      <w:start w:val="1"/>
      <w:numFmt w:val="bullet"/>
      <w:lvlText w:val=""/>
      <w:lvlJc w:val="left"/>
      <w:pPr>
        <w:ind w:left="4832" w:hanging="360"/>
      </w:pPr>
      <w:rPr>
        <w:rFonts w:ascii="Wingdings" w:hAnsi="Wingdings" w:hint="default"/>
      </w:rPr>
    </w:lvl>
    <w:lvl w:ilvl="6" w:tplc="1C090001">
      <w:start w:val="1"/>
      <w:numFmt w:val="bullet"/>
      <w:lvlText w:val=""/>
      <w:lvlJc w:val="left"/>
      <w:pPr>
        <w:ind w:left="5552" w:hanging="360"/>
      </w:pPr>
      <w:rPr>
        <w:rFonts w:ascii="Symbol" w:hAnsi="Symbol" w:hint="default"/>
      </w:rPr>
    </w:lvl>
    <w:lvl w:ilvl="7" w:tplc="1C090003">
      <w:start w:val="1"/>
      <w:numFmt w:val="bullet"/>
      <w:lvlText w:val="o"/>
      <w:lvlJc w:val="left"/>
      <w:pPr>
        <w:ind w:left="6272" w:hanging="360"/>
      </w:pPr>
      <w:rPr>
        <w:rFonts w:ascii="Courier New" w:hAnsi="Courier New" w:cs="Courier New" w:hint="default"/>
      </w:rPr>
    </w:lvl>
    <w:lvl w:ilvl="8" w:tplc="1C090005">
      <w:start w:val="1"/>
      <w:numFmt w:val="bullet"/>
      <w:lvlText w:val=""/>
      <w:lvlJc w:val="left"/>
      <w:pPr>
        <w:ind w:left="6992" w:hanging="360"/>
      </w:pPr>
      <w:rPr>
        <w:rFonts w:ascii="Wingdings" w:hAnsi="Wingdings" w:hint="default"/>
      </w:rPr>
    </w:lvl>
  </w:abstractNum>
  <w:abstractNum w:abstractNumId="92" w15:restartNumberingAfterBreak="0">
    <w:nsid w:val="4EA97BBB"/>
    <w:multiLevelType w:val="hybridMultilevel"/>
    <w:tmpl w:val="EDCA2272"/>
    <w:lvl w:ilvl="0" w:tplc="1C090001">
      <w:start w:val="1"/>
      <w:numFmt w:val="bullet"/>
      <w:lvlText w:val=""/>
      <w:lvlJc w:val="left"/>
      <w:pPr>
        <w:ind w:left="2007" w:hanging="360"/>
      </w:pPr>
      <w:rPr>
        <w:rFonts w:ascii="Symbol" w:hAnsi="Symbol" w:hint="default"/>
      </w:rPr>
    </w:lvl>
    <w:lvl w:ilvl="1" w:tplc="1C090003" w:tentative="1">
      <w:start w:val="1"/>
      <w:numFmt w:val="bullet"/>
      <w:lvlText w:val="o"/>
      <w:lvlJc w:val="left"/>
      <w:pPr>
        <w:ind w:left="2727" w:hanging="360"/>
      </w:pPr>
      <w:rPr>
        <w:rFonts w:ascii="Courier New" w:hAnsi="Courier New" w:cs="Courier New" w:hint="default"/>
      </w:rPr>
    </w:lvl>
    <w:lvl w:ilvl="2" w:tplc="1C090005" w:tentative="1">
      <w:start w:val="1"/>
      <w:numFmt w:val="bullet"/>
      <w:lvlText w:val=""/>
      <w:lvlJc w:val="left"/>
      <w:pPr>
        <w:ind w:left="3447" w:hanging="360"/>
      </w:pPr>
      <w:rPr>
        <w:rFonts w:ascii="Wingdings" w:hAnsi="Wingdings" w:hint="default"/>
      </w:rPr>
    </w:lvl>
    <w:lvl w:ilvl="3" w:tplc="1C090001" w:tentative="1">
      <w:start w:val="1"/>
      <w:numFmt w:val="bullet"/>
      <w:lvlText w:val=""/>
      <w:lvlJc w:val="left"/>
      <w:pPr>
        <w:ind w:left="4167" w:hanging="360"/>
      </w:pPr>
      <w:rPr>
        <w:rFonts w:ascii="Symbol" w:hAnsi="Symbol" w:hint="default"/>
      </w:rPr>
    </w:lvl>
    <w:lvl w:ilvl="4" w:tplc="1C090003" w:tentative="1">
      <w:start w:val="1"/>
      <w:numFmt w:val="bullet"/>
      <w:lvlText w:val="o"/>
      <w:lvlJc w:val="left"/>
      <w:pPr>
        <w:ind w:left="4887" w:hanging="360"/>
      </w:pPr>
      <w:rPr>
        <w:rFonts w:ascii="Courier New" w:hAnsi="Courier New" w:cs="Courier New" w:hint="default"/>
      </w:rPr>
    </w:lvl>
    <w:lvl w:ilvl="5" w:tplc="1C090005" w:tentative="1">
      <w:start w:val="1"/>
      <w:numFmt w:val="bullet"/>
      <w:lvlText w:val=""/>
      <w:lvlJc w:val="left"/>
      <w:pPr>
        <w:ind w:left="5607" w:hanging="360"/>
      </w:pPr>
      <w:rPr>
        <w:rFonts w:ascii="Wingdings" w:hAnsi="Wingdings" w:hint="default"/>
      </w:rPr>
    </w:lvl>
    <w:lvl w:ilvl="6" w:tplc="1C090001" w:tentative="1">
      <w:start w:val="1"/>
      <w:numFmt w:val="bullet"/>
      <w:lvlText w:val=""/>
      <w:lvlJc w:val="left"/>
      <w:pPr>
        <w:ind w:left="6327" w:hanging="360"/>
      </w:pPr>
      <w:rPr>
        <w:rFonts w:ascii="Symbol" w:hAnsi="Symbol" w:hint="default"/>
      </w:rPr>
    </w:lvl>
    <w:lvl w:ilvl="7" w:tplc="1C090003" w:tentative="1">
      <w:start w:val="1"/>
      <w:numFmt w:val="bullet"/>
      <w:lvlText w:val="o"/>
      <w:lvlJc w:val="left"/>
      <w:pPr>
        <w:ind w:left="7047" w:hanging="360"/>
      </w:pPr>
      <w:rPr>
        <w:rFonts w:ascii="Courier New" w:hAnsi="Courier New" w:cs="Courier New" w:hint="default"/>
      </w:rPr>
    </w:lvl>
    <w:lvl w:ilvl="8" w:tplc="1C090005" w:tentative="1">
      <w:start w:val="1"/>
      <w:numFmt w:val="bullet"/>
      <w:lvlText w:val=""/>
      <w:lvlJc w:val="left"/>
      <w:pPr>
        <w:ind w:left="7767" w:hanging="360"/>
      </w:pPr>
      <w:rPr>
        <w:rFonts w:ascii="Wingdings" w:hAnsi="Wingdings" w:hint="default"/>
      </w:rPr>
    </w:lvl>
  </w:abstractNum>
  <w:abstractNum w:abstractNumId="93" w15:restartNumberingAfterBreak="0">
    <w:nsid w:val="4EF5502F"/>
    <w:multiLevelType w:val="hybridMultilevel"/>
    <w:tmpl w:val="E716D2B6"/>
    <w:lvl w:ilvl="0" w:tplc="1C090001">
      <w:start w:val="1"/>
      <w:numFmt w:val="bullet"/>
      <w:lvlText w:val=""/>
      <w:lvlJc w:val="left"/>
      <w:pPr>
        <w:ind w:left="1080" w:hanging="360"/>
      </w:pPr>
      <w:rPr>
        <w:rFonts w:ascii="Symbol" w:hAnsi="Symbol"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94" w15:restartNumberingAfterBreak="0">
    <w:nsid w:val="51642215"/>
    <w:multiLevelType w:val="hybridMultilevel"/>
    <w:tmpl w:val="76FC27AC"/>
    <w:lvl w:ilvl="0" w:tplc="96A4BE98">
      <w:start w:val="1"/>
      <w:numFmt w:val="decimal"/>
      <w:lvlText w:val="%1."/>
      <w:lvlJc w:val="left"/>
      <w:pPr>
        <w:tabs>
          <w:tab w:val="num" w:pos="360"/>
        </w:tabs>
        <w:ind w:left="360" w:hanging="360"/>
      </w:pPr>
      <w:rPr>
        <w:rFonts w:hint="default"/>
        <w:sz w:val="18"/>
        <w:szCs w:val="18"/>
      </w:rPr>
    </w:lvl>
    <w:lvl w:ilvl="1" w:tplc="04090001">
      <w:start w:val="1"/>
      <w:numFmt w:val="bullet"/>
      <w:lvlText w:val=""/>
      <w:lvlJc w:val="left"/>
      <w:pPr>
        <w:tabs>
          <w:tab w:val="num" w:pos="1080"/>
        </w:tabs>
        <w:ind w:left="1080" w:hanging="360"/>
      </w:pPr>
      <w:rPr>
        <w:rFonts w:ascii="Symbol" w:hAnsi="Symbol"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95" w15:restartNumberingAfterBreak="0">
    <w:nsid w:val="51F02904"/>
    <w:multiLevelType w:val="hybridMultilevel"/>
    <w:tmpl w:val="8E44396A"/>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96" w15:restartNumberingAfterBreak="0">
    <w:nsid w:val="52530AF1"/>
    <w:multiLevelType w:val="hybridMultilevel"/>
    <w:tmpl w:val="F5C4FD7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7" w15:restartNumberingAfterBreak="0">
    <w:nsid w:val="531D4BD8"/>
    <w:multiLevelType w:val="hybridMultilevel"/>
    <w:tmpl w:val="A3906E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54493491"/>
    <w:multiLevelType w:val="hybridMultilevel"/>
    <w:tmpl w:val="97A4F31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9" w15:restartNumberingAfterBreak="0">
    <w:nsid w:val="558A5D68"/>
    <w:multiLevelType w:val="multilevel"/>
    <w:tmpl w:val="602CD8E2"/>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0" w15:restartNumberingAfterBreak="0">
    <w:nsid w:val="561947EB"/>
    <w:multiLevelType w:val="hybridMultilevel"/>
    <w:tmpl w:val="7DFA460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1" w15:restartNumberingAfterBreak="0">
    <w:nsid w:val="56CC0EFF"/>
    <w:multiLevelType w:val="hybridMultilevel"/>
    <w:tmpl w:val="E0081C06"/>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2" w15:restartNumberingAfterBreak="0">
    <w:nsid w:val="57592D0F"/>
    <w:multiLevelType w:val="multilevel"/>
    <w:tmpl w:val="9EE2BF9E"/>
    <w:lvl w:ilvl="0">
      <w:start w:val="1"/>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3" w15:restartNumberingAfterBreak="0">
    <w:nsid w:val="577F6487"/>
    <w:multiLevelType w:val="hybridMultilevel"/>
    <w:tmpl w:val="D78E0CC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4" w15:restartNumberingAfterBreak="0">
    <w:nsid w:val="57DD12EB"/>
    <w:multiLevelType w:val="hybridMultilevel"/>
    <w:tmpl w:val="DC5AEC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 w15:restartNumberingAfterBreak="0">
    <w:nsid w:val="58AB658F"/>
    <w:multiLevelType w:val="hybridMultilevel"/>
    <w:tmpl w:val="D13A36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5AA94E93"/>
    <w:multiLevelType w:val="hybridMultilevel"/>
    <w:tmpl w:val="5E16083A"/>
    <w:lvl w:ilvl="0" w:tplc="1C090005">
      <w:start w:val="1"/>
      <w:numFmt w:val="decimal"/>
      <w:lvlText w:val="%1."/>
      <w:lvlJc w:val="left"/>
      <w:pPr>
        <w:tabs>
          <w:tab w:val="num" w:pos="360"/>
        </w:tabs>
        <w:ind w:left="360" w:hanging="360"/>
      </w:pPr>
      <w:rPr>
        <w:rFonts w:hint="default"/>
        <w:sz w:val="18"/>
        <w:szCs w:val="18"/>
      </w:rPr>
    </w:lvl>
    <w:lvl w:ilvl="1" w:tplc="2B942790">
      <w:start w:val="1"/>
      <w:numFmt w:val="bullet"/>
      <w:lvlText w:val=""/>
      <w:lvlJc w:val="left"/>
      <w:pPr>
        <w:tabs>
          <w:tab w:val="num" w:pos="1080"/>
        </w:tabs>
        <w:ind w:left="1080" w:hanging="360"/>
      </w:pPr>
      <w:rPr>
        <w:rFonts w:ascii="Symbol" w:hAnsi="Symbol" w:hint="default"/>
      </w:rPr>
    </w:lvl>
    <w:lvl w:ilvl="2" w:tplc="3E98A71C" w:tentative="1">
      <w:start w:val="1"/>
      <w:numFmt w:val="lowerRoman"/>
      <w:lvlText w:val="%3."/>
      <w:lvlJc w:val="right"/>
      <w:pPr>
        <w:tabs>
          <w:tab w:val="num" w:pos="1800"/>
        </w:tabs>
        <w:ind w:left="1800" w:hanging="180"/>
      </w:pPr>
    </w:lvl>
    <w:lvl w:ilvl="3" w:tplc="88FE1C16" w:tentative="1">
      <w:start w:val="1"/>
      <w:numFmt w:val="decimal"/>
      <w:lvlText w:val="%4."/>
      <w:lvlJc w:val="left"/>
      <w:pPr>
        <w:tabs>
          <w:tab w:val="num" w:pos="2520"/>
        </w:tabs>
        <w:ind w:left="2520" w:hanging="360"/>
      </w:pPr>
    </w:lvl>
    <w:lvl w:ilvl="4" w:tplc="E5823F76" w:tentative="1">
      <w:start w:val="1"/>
      <w:numFmt w:val="lowerLetter"/>
      <w:lvlText w:val="%5."/>
      <w:lvlJc w:val="left"/>
      <w:pPr>
        <w:tabs>
          <w:tab w:val="num" w:pos="3240"/>
        </w:tabs>
        <w:ind w:left="3240" w:hanging="360"/>
      </w:pPr>
    </w:lvl>
    <w:lvl w:ilvl="5" w:tplc="FA704E6A" w:tentative="1">
      <w:start w:val="1"/>
      <w:numFmt w:val="lowerRoman"/>
      <w:lvlText w:val="%6."/>
      <w:lvlJc w:val="right"/>
      <w:pPr>
        <w:tabs>
          <w:tab w:val="num" w:pos="3960"/>
        </w:tabs>
        <w:ind w:left="3960" w:hanging="180"/>
      </w:pPr>
    </w:lvl>
    <w:lvl w:ilvl="6" w:tplc="C388E728" w:tentative="1">
      <w:start w:val="1"/>
      <w:numFmt w:val="decimal"/>
      <w:lvlText w:val="%7."/>
      <w:lvlJc w:val="left"/>
      <w:pPr>
        <w:tabs>
          <w:tab w:val="num" w:pos="4680"/>
        </w:tabs>
        <w:ind w:left="4680" w:hanging="360"/>
      </w:pPr>
    </w:lvl>
    <w:lvl w:ilvl="7" w:tplc="85A2392C" w:tentative="1">
      <w:start w:val="1"/>
      <w:numFmt w:val="lowerLetter"/>
      <w:lvlText w:val="%8."/>
      <w:lvlJc w:val="left"/>
      <w:pPr>
        <w:tabs>
          <w:tab w:val="num" w:pos="5400"/>
        </w:tabs>
        <w:ind w:left="5400" w:hanging="360"/>
      </w:pPr>
    </w:lvl>
    <w:lvl w:ilvl="8" w:tplc="9E6C0022" w:tentative="1">
      <w:start w:val="1"/>
      <w:numFmt w:val="lowerRoman"/>
      <w:lvlText w:val="%9."/>
      <w:lvlJc w:val="right"/>
      <w:pPr>
        <w:tabs>
          <w:tab w:val="num" w:pos="6120"/>
        </w:tabs>
        <w:ind w:left="6120" w:hanging="180"/>
      </w:pPr>
    </w:lvl>
  </w:abstractNum>
  <w:abstractNum w:abstractNumId="107" w15:restartNumberingAfterBreak="0">
    <w:nsid w:val="5AB76756"/>
    <w:multiLevelType w:val="hybridMultilevel"/>
    <w:tmpl w:val="2FAAFC3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8" w15:restartNumberingAfterBreak="0">
    <w:nsid w:val="5B213810"/>
    <w:multiLevelType w:val="hybridMultilevel"/>
    <w:tmpl w:val="1C80BA7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9" w15:restartNumberingAfterBreak="0">
    <w:nsid w:val="5DE4456F"/>
    <w:multiLevelType w:val="multilevel"/>
    <w:tmpl w:val="1F2C2788"/>
    <w:lvl w:ilvl="0">
      <w:start w:val="3"/>
      <w:numFmt w:val="decimal"/>
      <w:lvlText w:val="%1."/>
      <w:lvlJc w:val="left"/>
      <w:pPr>
        <w:ind w:left="495" w:hanging="495"/>
      </w:pPr>
      <w:rPr>
        <w:rFonts w:hint="default"/>
      </w:rPr>
    </w:lvl>
    <w:lvl w:ilvl="1">
      <w:start w:val="1"/>
      <w:numFmt w:val="decimal"/>
      <w:lvlText w:val="%1.%2."/>
      <w:lvlJc w:val="left"/>
      <w:pPr>
        <w:ind w:left="778" w:hanging="495"/>
      </w:pPr>
      <w:rPr>
        <w:rFonts w:hint="default"/>
        <w:sz w:val="28"/>
      </w:rPr>
    </w:lvl>
    <w:lvl w:ilvl="2">
      <w:start w:val="1"/>
      <w:numFmt w:val="decimal"/>
      <w:lvlText w:val="%1.%2.%3."/>
      <w:lvlJc w:val="left"/>
      <w:pPr>
        <w:ind w:left="720" w:hanging="720"/>
      </w:pPr>
      <w:rPr>
        <w:rFonts w:hint="default"/>
        <w:b/>
        <w:i w:val="0"/>
      </w:rPr>
    </w:lvl>
    <w:lvl w:ilvl="3">
      <w:start w:val="1"/>
      <w:numFmt w:val="decimal"/>
      <w:lvlText w:val="%1.%2.%3.%4."/>
      <w:lvlJc w:val="left"/>
      <w:pPr>
        <w:ind w:left="720" w:hanging="720"/>
      </w:pPr>
      <w:rPr>
        <w:rFonts w:asciiTheme="minorHAnsi" w:hAnsiTheme="minorHAnsi" w:cstheme="minorHAnsi" w:hint="default"/>
        <w:b/>
        <w:i w:val="0"/>
        <w:color w:val="auto"/>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0" w15:restartNumberingAfterBreak="0">
    <w:nsid w:val="5E052928"/>
    <w:multiLevelType w:val="hybridMultilevel"/>
    <w:tmpl w:val="23BC3C44"/>
    <w:lvl w:ilvl="0" w:tplc="1C09001B">
      <w:start w:val="1"/>
      <w:numFmt w:val="lowerRoman"/>
      <w:lvlText w:val="%1."/>
      <w:lvlJc w:val="right"/>
      <w:pPr>
        <w:ind w:left="1440" w:hanging="360"/>
      </w:p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111" w15:restartNumberingAfterBreak="0">
    <w:nsid w:val="5EED7124"/>
    <w:multiLevelType w:val="hybridMultilevel"/>
    <w:tmpl w:val="64466930"/>
    <w:lvl w:ilvl="0" w:tplc="1C09000F">
      <w:start w:val="1"/>
      <w:numFmt w:val="decimal"/>
      <w:lvlText w:val="%1."/>
      <w:lvlJc w:val="left"/>
      <w:pPr>
        <w:ind w:left="840" w:hanging="360"/>
      </w:pPr>
    </w:lvl>
    <w:lvl w:ilvl="1" w:tplc="1C090019" w:tentative="1">
      <w:start w:val="1"/>
      <w:numFmt w:val="lowerLetter"/>
      <w:lvlText w:val="%2."/>
      <w:lvlJc w:val="left"/>
      <w:pPr>
        <w:ind w:left="1560" w:hanging="360"/>
      </w:pPr>
    </w:lvl>
    <w:lvl w:ilvl="2" w:tplc="1C09001B" w:tentative="1">
      <w:start w:val="1"/>
      <w:numFmt w:val="lowerRoman"/>
      <w:lvlText w:val="%3."/>
      <w:lvlJc w:val="right"/>
      <w:pPr>
        <w:ind w:left="2280" w:hanging="180"/>
      </w:pPr>
    </w:lvl>
    <w:lvl w:ilvl="3" w:tplc="1C09000F" w:tentative="1">
      <w:start w:val="1"/>
      <w:numFmt w:val="decimal"/>
      <w:lvlText w:val="%4."/>
      <w:lvlJc w:val="left"/>
      <w:pPr>
        <w:ind w:left="3000" w:hanging="360"/>
      </w:pPr>
    </w:lvl>
    <w:lvl w:ilvl="4" w:tplc="1C090019" w:tentative="1">
      <w:start w:val="1"/>
      <w:numFmt w:val="lowerLetter"/>
      <w:lvlText w:val="%5."/>
      <w:lvlJc w:val="left"/>
      <w:pPr>
        <w:ind w:left="3720" w:hanging="360"/>
      </w:pPr>
    </w:lvl>
    <w:lvl w:ilvl="5" w:tplc="1C09001B" w:tentative="1">
      <w:start w:val="1"/>
      <w:numFmt w:val="lowerRoman"/>
      <w:lvlText w:val="%6."/>
      <w:lvlJc w:val="right"/>
      <w:pPr>
        <w:ind w:left="4440" w:hanging="180"/>
      </w:pPr>
    </w:lvl>
    <w:lvl w:ilvl="6" w:tplc="1C09000F" w:tentative="1">
      <w:start w:val="1"/>
      <w:numFmt w:val="decimal"/>
      <w:lvlText w:val="%7."/>
      <w:lvlJc w:val="left"/>
      <w:pPr>
        <w:ind w:left="5160" w:hanging="360"/>
      </w:pPr>
    </w:lvl>
    <w:lvl w:ilvl="7" w:tplc="1C090019" w:tentative="1">
      <w:start w:val="1"/>
      <w:numFmt w:val="lowerLetter"/>
      <w:lvlText w:val="%8."/>
      <w:lvlJc w:val="left"/>
      <w:pPr>
        <w:ind w:left="5880" w:hanging="360"/>
      </w:pPr>
    </w:lvl>
    <w:lvl w:ilvl="8" w:tplc="1C09001B" w:tentative="1">
      <w:start w:val="1"/>
      <w:numFmt w:val="lowerRoman"/>
      <w:lvlText w:val="%9."/>
      <w:lvlJc w:val="right"/>
      <w:pPr>
        <w:ind w:left="6600" w:hanging="180"/>
      </w:pPr>
    </w:lvl>
  </w:abstractNum>
  <w:abstractNum w:abstractNumId="112" w15:restartNumberingAfterBreak="0">
    <w:nsid w:val="5F953428"/>
    <w:multiLevelType w:val="hybridMultilevel"/>
    <w:tmpl w:val="AF76D57E"/>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13" w15:restartNumberingAfterBreak="0">
    <w:nsid w:val="609B62EA"/>
    <w:multiLevelType w:val="hybridMultilevel"/>
    <w:tmpl w:val="EB62A1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60BB408F"/>
    <w:multiLevelType w:val="hybridMultilevel"/>
    <w:tmpl w:val="A162A854"/>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5" w15:restartNumberingAfterBreak="0">
    <w:nsid w:val="60E6295F"/>
    <w:multiLevelType w:val="hybridMultilevel"/>
    <w:tmpl w:val="D102CA7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6" w15:restartNumberingAfterBreak="0">
    <w:nsid w:val="62674828"/>
    <w:multiLevelType w:val="hybridMultilevel"/>
    <w:tmpl w:val="D752FCC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7" w15:restartNumberingAfterBreak="0">
    <w:nsid w:val="62DE1A79"/>
    <w:multiLevelType w:val="hybridMultilevel"/>
    <w:tmpl w:val="1370FF7C"/>
    <w:lvl w:ilvl="0" w:tplc="34FAA2C4">
      <w:start w:val="1"/>
      <w:numFmt w:val="bullet"/>
      <w:lvlText w:val=""/>
      <w:lvlJc w:val="left"/>
      <w:pPr>
        <w:tabs>
          <w:tab w:val="num" w:pos="2094"/>
        </w:tabs>
        <w:ind w:left="2094" w:hanging="360"/>
      </w:pPr>
      <w:rPr>
        <w:rFonts w:ascii="Symbol" w:hAnsi="Symbol" w:hint="default"/>
      </w:rPr>
    </w:lvl>
    <w:lvl w:ilvl="1" w:tplc="04090019">
      <w:start w:val="1"/>
      <w:numFmt w:val="bullet"/>
      <w:lvlText w:val="o"/>
      <w:lvlJc w:val="left"/>
      <w:pPr>
        <w:tabs>
          <w:tab w:val="num" w:pos="2814"/>
        </w:tabs>
        <w:ind w:left="2814" w:hanging="360"/>
      </w:pPr>
      <w:rPr>
        <w:rFonts w:ascii="Courier New" w:hAnsi="Courier New" w:cs="Courier New" w:hint="default"/>
      </w:rPr>
    </w:lvl>
    <w:lvl w:ilvl="2" w:tplc="0409001B">
      <w:start w:val="1"/>
      <w:numFmt w:val="bullet"/>
      <w:lvlText w:val=""/>
      <w:lvlJc w:val="left"/>
      <w:pPr>
        <w:tabs>
          <w:tab w:val="num" w:pos="3534"/>
        </w:tabs>
        <w:ind w:left="3534" w:hanging="360"/>
      </w:pPr>
      <w:rPr>
        <w:rFonts w:ascii="Wingdings" w:hAnsi="Wingdings" w:hint="default"/>
      </w:rPr>
    </w:lvl>
    <w:lvl w:ilvl="3" w:tplc="0409000F">
      <w:start w:val="1"/>
      <w:numFmt w:val="bullet"/>
      <w:lvlText w:val=""/>
      <w:lvlJc w:val="left"/>
      <w:pPr>
        <w:tabs>
          <w:tab w:val="num" w:pos="4254"/>
        </w:tabs>
        <w:ind w:left="4254" w:hanging="360"/>
      </w:pPr>
      <w:rPr>
        <w:rFonts w:ascii="Symbol" w:hAnsi="Symbol" w:hint="default"/>
      </w:rPr>
    </w:lvl>
    <w:lvl w:ilvl="4" w:tplc="04090019">
      <w:start w:val="1"/>
      <w:numFmt w:val="bullet"/>
      <w:lvlText w:val="o"/>
      <w:lvlJc w:val="left"/>
      <w:pPr>
        <w:tabs>
          <w:tab w:val="num" w:pos="4974"/>
        </w:tabs>
        <w:ind w:left="4974" w:hanging="360"/>
      </w:pPr>
      <w:rPr>
        <w:rFonts w:ascii="Courier New" w:hAnsi="Courier New" w:cs="Courier New" w:hint="default"/>
      </w:rPr>
    </w:lvl>
    <w:lvl w:ilvl="5" w:tplc="0409001B">
      <w:start w:val="1"/>
      <w:numFmt w:val="bullet"/>
      <w:lvlText w:val=""/>
      <w:lvlJc w:val="left"/>
      <w:pPr>
        <w:tabs>
          <w:tab w:val="num" w:pos="5694"/>
        </w:tabs>
        <w:ind w:left="5694" w:hanging="360"/>
      </w:pPr>
      <w:rPr>
        <w:rFonts w:ascii="Wingdings" w:hAnsi="Wingdings" w:hint="default"/>
      </w:rPr>
    </w:lvl>
    <w:lvl w:ilvl="6" w:tplc="0409000F">
      <w:start w:val="1"/>
      <w:numFmt w:val="bullet"/>
      <w:lvlText w:val=""/>
      <w:lvlJc w:val="left"/>
      <w:pPr>
        <w:tabs>
          <w:tab w:val="num" w:pos="6414"/>
        </w:tabs>
        <w:ind w:left="6414" w:hanging="360"/>
      </w:pPr>
      <w:rPr>
        <w:rFonts w:ascii="Symbol" w:hAnsi="Symbol" w:hint="default"/>
      </w:rPr>
    </w:lvl>
    <w:lvl w:ilvl="7" w:tplc="04090019">
      <w:start w:val="1"/>
      <w:numFmt w:val="bullet"/>
      <w:lvlText w:val="o"/>
      <w:lvlJc w:val="left"/>
      <w:pPr>
        <w:tabs>
          <w:tab w:val="num" w:pos="7134"/>
        </w:tabs>
        <w:ind w:left="7134" w:hanging="360"/>
      </w:pPr>
      <w:rPr>
        <w:rFonts w:ascii="Courier New" w:hAnsi="Courier New" w:cs="Courier New" w:hint="default"/>
      </w:rPr>
    </w:lvl>
    <w:lvl w:ilvl="8" w:tplc="0409001B">
      <w:start w:val="1"/>
      <w:numFmt w:val="bullet"/>
      <w:lvlText w:val=""/>
      <w:lvlJc w:val="left"/>
      <w:pPr>
        <w:tabs>
          <w:tab w:val="num" w:pos="7854"/>
        </w:tabs>
        <w:ind w:left="7854" w:hanging="360"/>
      </w:pPr>
      <w:rPr>
        <w:rFonts w:ascii="Wingdings" w:hAnsi="Wingdings" w:hint="default"/>
      </w:rPr>
    </w:lvl>
  </w:abstractNum>
  <w:abstractNum w:abstractNumId="118" w15:restartNumberingAfterBreak="0">
    <w:nsid w:val="63545D65"/>
    <w:multiLevelType w:val="multilevel"/>
    <w:tmpl w:val="84682C42"/>
    <w:lvl w:ilvl="0">
      <w:start w:val="1"/>
      <w:numFmt w:val="decimal"/>
      <w:lvlText w:val="%1."/>
      <w:lvlJc w:val="left"/>
      <w:pPr>
        <w:ind w:left="840" w:hanging="360"/>
      </w:pPr>
    </w:lvl>
    <w:lvl w:ilvl="1">
      <w:start w:val="1"/>
      <w:numFmt w:val="decimal"/>
      <w:isLgl/>
      <w:lvlText w:val="%1.%2."/>
      <w:lvlJc w:val="left"/>
      <w:pPr>
        <w:ind w:left="1200" w:hanging="720"/>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560" w:hanging="108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920" w:hanging="144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2280" w:hanging="1800"/>
      </w:pPr>
      <w:rPr>
        <w:rFonts w:hint="default"/>
      </w:rPr>
    </w:lvl>
    <w:lvl w:ilvl="8">
      <w:start w:val="1"/>
      <w:numFmt w:val="decimal"/>
      <w:isLgl/>
      <w:lvlText w:val="%1.%2.%3.%4.%5.%6.%7.%8.%9."/>
      <w:lvlJc w:val="left"/>
      <w:pPr>
        <w:ind w:left="2280" w:hanging="1800"/>
      </w:pPr>
      <w:rPr>
        <w:rFonts w:hint="default"/>
      </w:rPr>
    </w:lvl>
  </w:abstractNum>
  <w:abstractNum w:abstractNumId="119" w15:restartNumberingAfterBreak="0">
    <w:nsid w:val="63BB5852"/>
    <w:multiLevelType w:val="hybridMultilevel"/>
    <w:tmpl w:val="378C49C4"/>
    <w:lvl w:ilvl="0" w:tplc="749290A0">
      <w:start w:val="1"/>
      <w:numFmt w:val="decimal"/>
      <w:lvlText w:val="%1."/>
      <w:lvlJc w:val="left"/>
      <w:pPr>
        <w:tabs>
          <w:tab w:val="num" w:pos="360"/>
        </w:tabs>
        <w:ind w:left="360" w:hanging="360"/>
      </w:pPr>
      <w:rPr>
        <w:rFonts w:hint="default"/>
      </w:rPr>
    </w:lvl>
    <w:lvl w:ilvl="1" w:tplc="04090001">
      <w:start w:val="1"/>
      <w:numFmt w:val="bullet"/>
      <w:lvlText w:val=""/>
      <w:lvlJc w:val="left"/>
      <w:pPr>
        <w:tabs>
          <w:tab w:val="num" w:pos="1080"/>
        </w:tabs>
        <w:ind w:left="1080" w:hanging="360"/>
      </w:pPr>
      <w:rPr>
        <w:rFonts w:ascii="Symbol" w:hAnsi="Symbol"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20" w15:restartNumberingAfterBreak="0">
    <w:nsid w:val="676428A7"/>
    <w:multiLevelType w:val="hybridMultilevel"/>
    <w:tmpl w:val="B35A1BD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1" w15:restartNumberingAfterBreak="0">
    <w:nsid w:val="69007532"/>
    <w:multiLevelType w:val="hybridMultilevel"/>
    <w:tmpl w:val="B9DE2BB2"/>
    <w:lvl w:ilvl="0" w:tplc="DC04027C">
      <w:start w:val="3"/>
      <w:numFmt w:val="bullet"/>
      <w:lvlText w:val=""/>
      <w:lvlJc w:val="left"/>
      <w:pPr>
        <w:ind w:left="720" w:hanging="360"/>
      </w:pPr>
      <w:rPr>
        <w:rFonts w:ascii="Wingdings" w:eastAsiaTheme="minorHAnsi" w:hAnsi="Wingdings" w:cs="Times New Roman"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2" w15:restartNumberingAfterBreak="0">
    <w:nsid w:val="696E6ED6"/>
    <w:multiLevelType w:val="hybridMultilevel"/>
    <w:tmpl w:val="364C5D4A"/>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3" w15:restartNumberingAfterBreak="0">
    <w:nsid w:val="6C791E89"/>
    <w:multiLevelType w:val="hybridMultilevel"/>
    <w:tmpl w:val="405EE66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4" w15:restartNumberingAfterBreak="0">
    <w:nsid w:val="6DA365D9"/>
    <w:multiLevelType w:val="multilevel"/>
    <w:tmpl w:val="1DD03588"/>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5" w15:restartNumberingAfterBreak="0">
    <w:nsid w:val="70A66400"/>
    <w:multiLevelType w:val="hybridMultilevel"/>
    <w:tmpl w:val="60FABDA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6" w15:restartNumberingAfterBreak="0">
    <w:nsid w:val="70B51987"/>
    <w:multiLevelType w:val="hybridMultilevel"/>
    <w:tmpl w:val="01A8FA12"/>
    <w:lvl w:ilvl="0" w:tplc="04090001">
      <w:start w:val="1"/>
      <w:numFmt w:val="bullet"/>
      <w:lvlText w:val=""/>
      <w:lvlJc w:val="left"/>
      <w:pPr>
        <w:ind w:left="360" w:hanging="360"/>
      </w:pPr>
      <w:rPr>
        <w:rFonts w:ascii="Symbol" w:hAnsi="Symbol" w:hint="default"/>
        <w:color w:val="auto"/>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7" w15:restartNumberingAfterBreak="0">
    <w:nsid w:val="721E3CC1"/>
    <w:multiLevelType w:val="hybridMultilevel"/>
    <w:tmpl w:val="6128A838"/>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8" w15:restartNumberingAfterBreak="0">
    <w:nsid w:val="74BC28ED"/>
    <w:multiLevelType w:val="multilevel"/>
    <w:tmpl w:val="9B6C1724"/>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9" w15:restartNumberingAfterBreak="0">
    <w:nsid w:val="75896797"/>
    <w:multiLevelType w:val="hybridMultilevel"/>
    <w:tmpl w:val="AB64884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0" w15:restartNumberingAfterBreak="0">
    <w:nsid w:val="759109AF"/>
    <w:multiLevelType w:val="multilevel"/>
    <w:tmpl w:val="E940D250"/>
    <w:lvl w:ilvl="0">
      <w:start w:val="1"/>
      <w:numFmt w:val="decimal"/>
      <w:lvlText w:val="%1."/>
      <w:lvlJc w:val="left"/>
      <w:pPr>
        <w:tabs>
          <w:tab w:val="num" w:pos="360"/>
        </w:tabs>
        <w:ind w:left="360" w:hanging="360"/>
      </w:pPr>
      <w:rPr>
        <w:rFonts w:hint="default"/>
        <w:sz w:val="18"/>
        <w:szCs w:val="18"/>
      </w:rPr>
    </w:lvl>
    <w:lvl w:ilvl="1">
      <w:start w:val="1"/>
      <w:numFmt w:val="decimal"/>
      <w:isLgl/>
      <w:lvlText w:val="%1.%2."/>
      <w:lvlJc w:val="left"/>
      <w:pPr>
        <w:ind w:left="495" w:hanging="495"/>
      </w:pPr>
      <w:rPr>
        <w:rFonts w:hint="default"/>
        <w:b/>
        <w:sz w:val="28"/>
      </w:rPr>
    </w:lvl>
    <w:lvl w:ilvl="2">
      <w:start w:val="1"/>
      <w:numFmt w:val="decimal"/>
      <w:isLgl/>
      <w:lvlText w:val="%1.%2.%3."/>
      <w:lvlJc w:val="left"/>
      <w:pPr>
        <w:ind w:left="720" w:hanging="720"/>
      </w:pPr>
      <w:rPr>
        <w:rFonts w:hint="default"/>
        <w:b/>
        <w:sz w:val="24"/>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31" w15:restartNumberingAfterBreak="0">
    <w:nsid w:val="772C1A7A"/>
    <w:multiLevelType w:val="hybridMultilevel"/>
    <w:tmpl w:val="D0447CB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2" w15:restartNumberingAfterBreak="0">
    <w:nsid w:val="782332EF"/>
    <w:multiLevelType w:val="hybridMultilevel"/>
    <w:tmpl w:val="5842351E"/>
    <w:lvl w:ilvl="0" w:tplc="1C09001B">
      <w:start w:val="1"/>
      <w:numFmt w:val="lowerRoman"/>
      <w:lvlText w:val="%1."/>
      <w:lvlJc w:val="right"/>
      <w:pPr>
        <w:ind w:left="1440" w:hanging="360"/>
      </w:pPr>
      <w:rPr>
        <w:rFonts w:hint="default"/>
      </w:rPr>
    </w:lvl>
    <w:lvl w:ilvl="1" w:tplc="1C090003">
      <w:start w:val="1"/>
      <w:numFmt w:val="bullet"/>
      <w:lvlText w:val="o"/>
      <w:lvlJc w:val="left"/>
      <w:pPr>
        <w:ind w:left="2160" w:hanging="360"/>
      </w:pPr>
      <w:rPr>
        <w:rFonts w:ascii="Courier New" w:hAnsi="Courier New" w:cs="Courier New" w:hint="default"/>
      </w:rPr>
    </w:lvl>
    <w:lvl w:ilvl="2" w:tplc="1C090005">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133" w15:restartNumberingAfterBreak="0">
    <w:nsid w:val="78E00D44"/>
    <w:multiLevelType w:val="hybridMultilevel"/>
    <w:tmpl w:val="48A0B30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4" w15:restartNumberingAfterBreak="0">
    <w:nsid w:val="79237C50"/>
    <w:multiLevelType w:val="hybridMultilevel"/>
    <w:tmpl w:val="9FD0876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5" w15:restartNumberingAfterBreak="0">
    <w:nsid w:val="79BD131D"/>
    <w:multiLevelType w:val="hybridMultilevel"/>
    <w:tmpl w:val="BB88CEE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6" w15:restartNumberingAfterBreak="0">
    <w:nsid w:val="7A043816"/>
    <w:multiLevelType w:val="hybridMultilevel"/>
    <w:tmpl w:val="D0AA7EE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7" w15:restartNumberingAfterBreak="0">
    <w:nsid w:val="7A417383"/>
    <w:multiLevelType w:val="hybridMultilevel"/>
    <w:tmpl w:val="8078024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8" w15:restartNumberingAfterBreak="0">
    <w:nsid w:val="7ACF3887"/>
    <w:multiLevelType w:val="hybridMultilevel"/>
    <w:tmpl w:val="80386AB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9" w15:restartNumberingAfterBreak="0">
    <w:nsid w:val="7B24650D"/>
    <w:multiLevelType w:val="hybridMultilevel"/>
    <w:tmpl w:val="1B4CB81A"/>
    <w:lvl w:ilvl="0" w:tplc="C816731A">
      <w:start w:val="1"/>
      <w:numFmt w:val="decimal"/>
      <w:lvlText w:val="%1."/>
      <w:lvlJc w:val="left"/>
      <w:pPr>
        <w:ind w:left="1080" w:hanging="360"/>
      </w:pPr>
      <w:rPr>
        <w:rFonts w:hint="default"/>
      </w:r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140" w15:restartNumberingAfterBreak="0">
    <w:nsid w:val="7B966D9C"/>
    <w:multiLevelType w:val="hybridMultilevel"/>
    <w:tmpl w:val="9262452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1" w15:restartNumberingAfterBreak="0">
    <w:nsid w:val="7CB170DB"/>
    <w:multiLevelType w:val="hybridMultilevel"/>
    <w:tmpl w:val="92CAFC3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2" w15:restartNumberingAfterBreak="0">
    <w:nsid w:val="7E5E351A"/>
    <w:multiLevelType w:val="hybridMultilevel"/>
    <w:tmpl w:val="0AA25B9C"/>
    <w:lvl w:ilvl="0" w:tplc="1C09000B">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3" w15:restartNumberingAfterBreak="0">
    <w:nsid w:val="7F605687"/>
    <w:multiLevelType w:val="hybridMultilevel"/>
    <w:tmpl w:val="937EE5C8"/>
    <w:lvl w:ilvl="0" w:tplc="7612F8D0">
      <w:start w:val="1"/>
      <w:numFmt w:val="bullet"/>
      <w:pStyle w:val="Style3"/>
      <w:lvlText w:val=""/>
      <w:lvlJc w:val="left"/>
      <w:pPr>
        <w:tabs>
          <w:tab w:val="num" w:pos="720"/>
        </w:tabs>
        <w:ind w:left="720" w:hanging="360"/>
      </w:pPr>
      <w:rPr>
        <w:rFonts w:ascii="Wingdings" w:hAnsi="Wingdings" w:hint="default"/>
      </w:rPr>
    </w:lvl>
    <w:lvl w:ilvl="1" w:tplc="ED8E2982" w:tentative="1">
      <w:start w:val="1"/>
      <w:numFmt w:val="bullet"/>
      <w:pStyle w:val="Style4"/>
      <w:lvlText w:val="o"/>
      <w:lvlJc w:val="left"/>
      <w:pPr>
        <w:tabs>
          <w:tab w:val="num" w:pos="1440"/>
        </w:tabs>
        <w:ind w:left="1440" w:hanging="360"/>
      </w:pPr>
      <w:rPr>
        <w:rFonts w:ascii="Courier New" w:hAnsi="Courier New" w:cs="Courier New" w:hint="default"/>
      </w:rPr>
    </w:lvl>
    <w:lvl w:ilvl="2" w:tplc="D16E1DEA" w:tentative="1">
      <w:start w:val="1"/>
      <w:numFmt w:val="bullet"/>
      <w:lvlText w:val=""/>
      <w:lvlJc w:val="left"/>
      <w:pPr>
        <w:tabs>
          <w:tab w:val="num" w:pos="2160"/>
        </w:tabs>
        <w:ind w:left="2160" w:hanging="360"/>
      </w:pPr>
      <w:rPr>
        <w:rFonts w:ascii="Wingdings" w:hAnsi="Wingdings" w:hint="default"/>
      </w:rPr>
    </w:lvl>
    <w:lvl w:ilvl="3" w:tplc="24DA362A" w:tentative="1">
      <w:start w:val="1"/>
      <w:numFmt w:val="bullet"/>
      <w:lvlText w:val=""/>
      <w:lvlJc w:val="left"/>
      <w:pPr>
        <w:tabs>
          <w:tab w:val="num" w:pos="2880"/>
        </w:tabs>
        <w:ind w:left="2880" w:hanging="360"/>
      </w:pPr>
      <w:rPr>
        <w:rFonts w:ascii="Symbol" w:hAnsi="Symbol" w:hint="default"/>
      </w:rPr>
    </w:lvl>
    <w:lvl w:ilvl="4" w:tplc="48345950" w:tentative="1">
      <w:start w:val="1"/>
      <w:numFmt w:val="bullet"/>
      <w:lvlText w:val="o"/>
      <w:lvlJc w:val="left"/>
      <w:pPr>
        <w:tabs>
          <w:tab w:val="num" w:pos="3600"/>
        </w:tabs>
        <w:ind w:left="3600" w:hanging="360"/>
      </w:pPr>
      <w:rPr>
        <w:rFonts w:ascii="Courier New" w:hAnsi="Courier New" w:cs="Courier New" w:hint="default"/>
      </w:rPr>
    </w:lvl>
    <w:lvl w:ilvl="5" w:tplc="D696CA14" w:tentative="1">
      <w:start w:val="1"/>
      <w:numFmt w:val="bullet"/>
      <w:lvlText w:val=""/>
      <w:lvlJc w:val="left"/>
      <w:pPr>
        <w:tabs>
          <w:tab w:val="num" w:pos="4320"/>
        </w:tabs>
        <w:ind w:left="4320" w:hanging="360"/>
      </w:pPr>
      <w:rPr>
        <w:rFonts w:ascii="Wingdings" w:hAnsi="Wingdings" w:hint="default"/>
      </w:rPr>
    </w:lvl>
    <w:lvl w:ilvl="6" w:tplc="1EAE58A4" w:tentative="1">
      <w:start w:val="1"/>
      <w:numFmt w:val="bullet"/>
      <w:lvlText w:val=""/>
      <w:lvlJc w:val="left"/>
      <w:pPr>
        <w:tabs>
          <w:tab w:val="num" w:pos="5040"/>
        </w:tabs>
        <w:ind w:left="5040" w:hanging="360"/>
      </w:pPr>
      <w:rPr>
        <w:rFonts w:ascii="Symbol" w:hAnsi="Symbol" w:hint="default"/>
      </w:rPr>
    </w:lvl>
    <w:lvl w:ilvl="7" w:tplc="0A1E847E" w:tentative="1">
      <w:start w:val="1"/>
      <w:numFmt w:val="bullet"/>
      <w:lvlText w:val="o"/>
      <w:lvlJc w:val="left"/>
      <w:pPr>
        <w:tabs>
          <w:tab w:val="num" w:pos="5760"/>
        </w:tabs>
        <w:ind w:left="5760" w:hanging="360"/>
      </w:pPr>
      <w:rPr>
        <w:rFonts w:ascii="Courier New" w:hAnsi="Courier New" w:cs="Courier New" w:hint="default"/>
      </w:rPr>
    </w:lvl>
    <w:lvl w:ilvl="8" w:tplc="781C2CF2" w:tentative="1">
      <w:start w:val="1"/>
      <w:numFmt w:val="bullet"/>
      <w:lvlText w:val=""/>
      <w:lvlJc w:val="left"/>
      <w:pPr>
        <w:tabs>
          <w:tab w:val="num" w:pos="6480"/>
        </w:tabs>
        <w:ind w:left="6480" w:hanging="360"/>
      </w:pPr>
      <w:rPr>
        <w:rFonts w:ascii="Wingdings" w:hAnsi="Wingdings" w:hint="default"/>
      </w:rPr>
    </w:lvl>
  </w:abstractNum>
  <w:abstractNum w:abstractNumId="144" w15:restartNumberingAfterBreak="0">
    <w:nsid w:val="7FB51452"/>
    <w:multiLevelType w:val="hybridMultilevel"/>
    <w:tmpl w:val="9DFC5B5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num w:numId="1">
    <w:abstractNumId w:val="54"/>
  </w:num>
  <w:num w:numId="2">
    <w:abstractNumId w:val="11"/>
  </w:num>
  <w:num w:numId="3">
    <w:abstractNumId w:val="28"/>
  </w:num>
  <w:num w:numId="4">
    <w:abstractNumId w:val="10"/>
  </w:num>
  <w:num w:numId="5">
    <w:abstractNumId w:val="119"/>
  </w:num>
  <w:num w:numId="6">
    <w:abstractNumId w:val="68"/>
  </w:num>
  <w:num w:numId="7">
    <w:abstractNumId w:val="7"/>
  </w:num>
  <w:num w:numId="8">
    <w:abstractNumId w:val="94"/>
  </w:num>
  <w:num w:numId="9">
    <w:abstractNumId w:val="106"/>
  </w:num>
  <w:num w:numId="10">
    <w:abstractNumId w:val="2"/>
  </w:num>
  <w:num w:numId="11">
    <w:abstractNumId w:val="52"/>
  </w:num>
  <w:num w:numId="12">
    <w:abstractNumId w:val="130"/>
  </w:num>
  <w:num w:numId="13">
    <w:abstractNumId w:val="143"/>
  </w:num>
  <w:num w:numId="14">
    <w:abstractNumId w:val="77"/>
  </w:num>
  <w:num w:numId="15">
    <w:abstractNumId w:val="104"/>
  </w:num>
  <w:num w:numId="16">
    <w:abstractNumId w:val="73"/>
  </w:num>
  <w:num w:numId="17">
    <w:abstractNumId w:val="131"/>
  </w:num>
  <w:num w:numId="18">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9"/>
  </w:num>
  <w:num w:numId="20">
    <w:abstractNumId w:val="105"/>
  </w:num>
  <w:num w:numId="21">
    <w:abstractNumId w:val="16"/>
  </w:num>
  <w:num w:numId="22">
    <w:abstractNumId w:val="31"/>
  </w:num>
  <w:num w:numId="23">
    <w:abstractNumId w:val="21"/>
  </w:num>
  <w:num w:numId="24">
    <w:abstractNumId w:val="113"/>
  </w:num>
  <w:num w:numId="25">
    <w:abstractNumId w:val="97"/>
  </w:num>
  <w:num w:numId="26">
    <w:abstractNumId w:val="112"/>
  </w:num>
  <w:num w:numId="27">
    <w:abstractNumId w:val="8"/>
  </w:num>
  <w:num w:numId="28">
    <w:abstractNumId w:val="33"/>
  </w:num>
  <w:num w:numId="29">
    <w:abstractNumId w:val="109"/>
  </w:num>
  <w:num w:numId="30">
    <w:abstractNumId w:val="101"/>
  </w:num>
  <w:num w:numId="31">
    <w:abstractNumId w:val="38"/>
  </w:num>
  <w:num w:numId="32">
    <w:abstractNumId w:val="132"/>
  </w:num>
  <w:num w:numId="33">
    <w:abstractNumId w:val="12"/>
  </w:num>
  <w:num w:numId="34">
    <w:abstractNumId w:val="140"/>
  </w:num>
  <w:num w:numId="35">
    <w:abstractNumId w:val="20"/>
  </w:num>
  <w:num w:numId="36">
    <w:abstractNumId w:val="26"/>
  </w:num>
  <w:num w:numId="37">
    <w:abstractNumId w:val="42"/>
  </w:num>
  <w:num w:numId="38">
    <w:abstractNumId w:val="13"/>
  </w:num>
  <w:num w:numId="39">
    <w:abstractNumId w:val="124"/>
  </w:num>
  <w:num w:numId="40">
    <w:abstractNumId w:val="90"/>
  </w:num>
  <w:num w:numId="41">
    <w:abstractNumId w:val="71"/>
  </w:num>
  <w:num w:numId="42">
    <w:abstractNumId w:val="36"/>
  </w:num>
  <w:num w:numId="43">
    <w:abstractNumId w:val="125"/>
  </w:num>
  <w:num w:numId="44">
    <w:abstractNumId w:val="127"/>
  </w:num>
  <w:num w:numId="45">
    <w:abstractNumId w:val="82"/>
  </w:num>
  <w:num w:numId="46">
    <w:abstractNumId w:val="14"/>
  </w:num>
  <w:num w:numId="47">
    <w:abstractNumId w:val="122"/>
  </w:num>
  <w:num w:numId="48">
    <w:abstractNumId w:val="22"/>
  </w:num>
  <w:num w:numId="49">
    <w:abstractNumId w:val="98"/>
  </w:num>
  <w:num w:numId="50">
    <w:abstractNumId w:val="59"/>
  </w:num>
  <w:num w:numId="51">
    <w:abstractNumId w:val="56"/>
  </w:num>
  <w:num w:numId="52">
    <w:abstractNumId w:val="43"/>
  </w:num>
  <w:num w:numId="53">
    <w:abstractNumId w:val="144"/>
  </w:num>
  <w:num w:numId="54">
    <w:abstractNumId w:val="39"/>
  </w:num>
  <w:num w:numId="55">
    <w:abstractNumId w:val="63"/>
  </w:num>
  <w:num w:numId="56">
    <w:abstractNumId w:val="99"/>
  </w:num>
  <w:num w:numId="57">
    <w:abstractNumId w:val="128"/>
  </w:num>
  <w:num w:numId="58">
    <w:abstractNumId w:val="80"/>
  </w:num>
  <w:num w:numId="59">
    <w:abstractNumId w:val="5"/>
  </w:num>
  <w:num w:numId="60">
    <w:abstractNumId w:val="60"/>
  </w:num>
  <w:num w:numId="61">
    <w:abstractNumId w:val="141"/>
  </w:num>
  <w:num w:numId="62">
    <w:abstractNumId w:val="111"/>
  </w:num>
  <w:num w:numId="63">
    <w:abstractNumId w:val="118"/>
  </w:num>
  <w:num w:numId="64">
    <w:abstractNumId w:val="19"/>
  </w:num>
  <w:num w:numId="65">
    <w:abstractNumId w:val="55"/>
  </w:num>
  <w:num w:numId="66">
    <w:abstractNumId w:val="61"/>
  </w:num>
  <w:num w:numId="67">
    <w:abstractNumId w:val="108"/>
  </w:num>
  <w:num w:numId="68">
    <w:abstractNumId w:val="41"/>
  </w:num>
  <w:num w:numId="69">
    <w:abstractNumId w:val="89"/>
  </w:num>
  <w:num w:numId="70">
    <w:abstractNumId w:val="85"/>
  </w:num>
  <w:num w:numId="71">
    <w:abstractNumId w:val="84"/>
  </w:num>
  <w:num w:numId="72">
    <w:abstractNumId w:val="129"/>
  </w:num>
  <w:num w:numId="73">
    <w:abstractNumId w:val="72"/>
  </w:num>
  <w:num w:numId="74">
    <w:abstractNumId w:val="9"/>
  </w:num>
  <w:num w:numId="75">
    <w:abstractNumId w:val="30"/>
  </w:num>
  <w:num w:numId="76">
    <w:abstractNumId w:val="23"/>
  </w:num>
  <w:num w:numId="77">
    <w:abstractNumId w:val="81"/>
  </w:num>
  <w:num w:numId="78">
    <w:abstractNumId w:val="110"/>
  </w:num>
  <w:num w:numId="79">
    <w:abstractNumId w:val="3"/>
  </w:num>
  <w:num w:numId="80">
    <w:abstractNumId w:val="114"/>
  </w:num>
  <w:num w:numId="81">
    <w:abstractNumId w:val="142"/>
  </w:num>
  <w:num w:numId="82">
    <w:abstractNumId w:val="103"/>
  </w:num>
  <w:num w:numId="83">
    <w:abstractNumId w:val="29"/>
  </w:num>
  <w:num w:numId="84">
    <w:abstractNumId w:val="69"/>
  </w:num>
  <w:num w:numId="85">
    <w:abstractNumId w:val="1"/>
  </w:num>
  <w:num w:numId="86">
    <w:abstractNumId w:val="139"/>
  </w:num>
  <w:num w:numId="87">
    <w:abstractNumId w:val="115"/>
  </w:num>
  <w:num w:numId="88">
    <w:abstractNumId w:val="95"/>
  </w:num>
  <w:num w:numId="89">
    <w:abstractNumId w:val="75"/>
  </w:num>
  <w:num w:numId="90">
    <w:abstractNumId w:val="126"/>
  </w:num>
  <w:num w:numId="91">
    <w:abstractNumId w:val="24"/>
  </w:num>
  <w:num w:numId="92">
    <w:abstractNumId w:val="76"/>
  </w:num>
  <w:num w:numId="93">
    <w:abstractNumId w:val="32"/>
  </w:num>
  <w:num w:numId="94">
    <w:abstractNumId w:val="34"/>
  </w:num>
  <w:num w:numId="95">
    <w:abstractNumId w:val="65"/>
  </w:num>
  <w:num w:numId="96">
    <w:abstractNumId w:val="123"/>
  </w:num>
  <w:num w:numId="97">
    <w:abstractNumId w:val="45"/>
  </w:num>
  <w:num w:numId="98">
    <w:abstractNumId w:val="116"/>
  </w:num>
  <w:num w:numId="99">
    <w:abstractNumId w:val="134"/>
  </w:num>
  <w:num w:numId="100">
    <w:abstractNumId w:val="51"/>
  </w:num>
  <w:num w:numId="101">
    <w:abstractNumId w:val="107"/>
  </w:num>
  <w:num w:numId="102">
    <w:abstractNumId w:val="137"/>
  </w:num>
  <w:num w:numId="103">
    <w:abstractNumId w:val="70"/>
  </w:num>
  <w:num w:numId="104">
    <w:abstractNumId w:val="133"/>
  </w:num>
  <w:num w:numId="105">
    <w:abstractNumId w:val="135"/>
  </w:num>
  <w:num w:numId="106">
    <w:abstractNumId w:val="87"/>
  </w:num>
  <w:num w:numId="107">
    <w:abstractNumId w:val="74"/>
  </w:num>
  <w:num w:numId="108">
    <w:abstractNumId w:val="0"/>
  </w:num>
  <w:num w:numId="109">
    <w:abstractNumId w:val="138"/>
  </w:num>
  <w:num w:numId="110">
    <w:abstractNumId w:val="88"/>
  </w:num>
  <w:num w:numId="111">
    <w:abstractNumId w:val="44"/>
  </w:num>
  <w:num w:numId="112">
    <w:abstractNumId w:val="86"/>
  </w:num>
  <w:num w:numId="113">
    <w:abstractNumId w:val="53"/>
  </w:num>
  <w:num w:numId="114">
    <w:abstractNumId w:val="78"/>
  </w:num>
  <w:num w:numId="115">
    <w:abstractNumId w:val="57"/>
  </w:num>
  <w:num w:numId="116">
    <w:abstractNumId w:val="35"/>
  </w:num>
  <w:num w:numId="117">
    <w:abstractNumId w:val="47"/>
  </w:num>
  <w:num w:numId="118">
    <w:abstractNumId w:val="96"/>
  </w:num>
  <w:num w:numId="119">
    <w:abstractNumId w:val="100"/>
  </w:num>
  <w:num w:numId="120">
    <w:abstractNumId w:val="120"/>
  </w:num>
  <w:num w:numId="121">
    <w:abstractNumId w:val="136"/>
  </w:num>
  <w:num w:numId="122">
    <w:abstractNumId w:val="40"/>
  </w:num>
  <w:num w:numId="123">
    <w:abstractNumId w:val="58"/>
  </w:num>
  <w:num w:numId="124">
    <w:abstractNumId w:val="64"/>
  </w:num>
  <w:num w:numId="125">
    <w:abstractNumId w:val="27"/>
  </w:num>
  <w:num w:numId="126">
    <w:abstractNumId w:val="18"/>
  </w:num>
  <w:num w:numId="127">
    <w:abstractNumId w:val="37"/>
  </w:num>
  <w:num w:numId="128">
    <w:abstractNumId w:val="117"/>
  </w:num>
  <w:num w:numId="129">
    <w:abstractNumId w:val="91"/>
  </w:num>
  <w:num w:numId="130">
    <w:abstractNumId w:val="25"/>
  </w:num>
  <w:num w:numId="131">
    <w:abstractNumId w:val="102"/>
  </w:num>
  <w:num w:numId="132">
    <w:abstractNumId w:val="92"/>
  </w:num>
  <w:num w:numId="133">
    <w:abstractNumId w:val="83"/>
  </w:num>
  <w:num w:numId="134">
    <w:abstractNumId w:val="66"/>
  </w:num>
  <w:num w:numId="135">
    <w:abstractNumId w:val="17"/>
  </w:num>
  <w:num w:numId="136">
    <w:abstractNumId w:val="4"/>
  </w:num>
  <w:num w:numId="137">
    <w:abstractNumId w:val="15"/>
  </w:num>
  <w:num w:numId="138">
    <w:abstractNumId w:val="50"/>
  </w:num>
  <w:num w:numId="139">
    <w:abstractNumId w:val="46"/>
  </w:num>
  <w:num w:numId="140">
    <w:abstractNumId w:val="6"/>
  </w:num>
  <w:num w:numId="141">
    <w:abstractNumId w:val="121"/>
  </w:num>
  <w:num w:numId="142">
    <w:abstractNumId w:val="67"/>
  </w:num>
  <w:num w:numId="143">
    <w:abstractNumId w:val="48"/>
  </w:num>
  <w:num w:numId="144">
    <w:abstractNumId w:val="62"/>
  </w:num>
  <w:num w:numId="145">
    <w:abstractNumId w:val="93"/>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253E"/>
    <w:rsid w:val="0000259D"/>
    <w:rsid w:val="0000283E"/>
    <w:rsid w:val="00002ACB"/>
    <w:rsid w:val="000034BC"/>
    <w:rsid w:val="00004148"/>
    <w:rsid w:val="00004730"/>
    <w:rsid w:val="00005495"/>
    <w:rsid w:val="000078AE"/>
    <w:rsid w:val="00007B8F"/>
    <w:rsid w:val="00007EF1"/>
    <w:rsid w:val="000109AF"/>
    <w:rsid w:val="00011114"/>
    <w:rsid w:val="0001319E"/>
    <w:rsid w:val="00013624"/>
    <w:rsid w:val="00013C53"/>
    <w:rsid w:val="000151CD"/>
    <w:rsid w:val="000165D9"/>
    <w:rsid w:val="00017204"/>
    <w:rsid w:val="0001759C"/>
    <w:rsid w:val="00017B95"/>
    <w:rsid w:val="00023570"/>
    <w:rsid w:val="0002577C"/>
    <w:rsid w:val="00025CE4"/>
    <w:rsid w:val="00025D45"/>
    <w:rsid w:val="0002626E"/>
    <w:rsid w:val="0002651E"/>
    <w:rsid w:val="00026667"/>
    <w:rsid w:val="00026AA8"/>
    <w:rsid w:val="00027B12"/>
    <w:rsid w:val="000312F8"/>
    <w:rsid w:val="00031AA5"/>
    <w:rsid w:val="0003217D"/>
    <w:rsid w:val="00032252"/>
    <w:rsid w:val="000328A0"/>
    <w:rsid w:val="00032C88"/>
    <w:rsid w:val="000330B6"/>
    <w:rsid w:val="00033896"/>
    <w:rsid w:val="00033C76"/>
    <w:rsid w:val="00034077"/>
    <w:rsid w:val="00035013"/>
    <w:rsid w:val="00035A5F"/>
    <w:rsid w:val="00035BDA"/>
    <w:rsid w:val="00036209"/>
    <w:rsid w:val="00036D64"/>
    <w:rsid w:val="00036FB1"/>
    <w:rsid w:val="00040536"/>
    <w:rsid w:val="0004337B"/>
    <w:rsid w:val="0004660B"/>
    <w:rsid w:val="000471DC"/>
    <w:rsid w:val="00051066"/>
    <w:rsid w:val="00051141"/>
    <w:rsid w:val="00051275"/>
    <w:rsid w:val="00052577"/>
    <w:rsid w:val="00053132"/>
    <w:rsid w:val="00053514"/>
    <w:rsid w:val="000536FB"/>
    <w:rsid w:val="00053D35"/>
    <w:rsid w:val="000544C5"/>
    <w:rsid w:val="00055258"/>
    <w:rsid w:val="000553B9"/>
    <w:rsid w:val="00055792"/>
    <w:rsid w:val="00055AD4"/>
    <w:rsid w:val="000569A5"/>
    <w:rsid w:val="00061B23"/>
    <w:rsid w:val="00062768"/>
    <w:rsid w:val="000634A9"/>
    <w:rsid w:val="000637F0"/>
    <w:rsid w:val="000666FA"/>
    <w:rsid w:val="00067768"/>
    <w:rsid w:val="00067FA9"/>
    <w:rsid w:val="000709D2"/>
    <w:rsid w:val="00070F62"/>
    <w:rsid w:val="000752A4"/>
    <w:rsid w:val="00076AFC"/>
    <w:rsid w:val="00080953"/>
    <w:rsid w:val="00080BBE"/>
    <w:rsid w:val="00083908"/>
    <w:rsid w:val="000841DB"/>
    <w:rsid w:val="000841E7"/>
    <w:rsid w:val="000878D3"/>
    <w:rsid w:val="00090348"/>
    <w:rsid w:val="000906CE"/>
    <w:rsid w:val="000939F2"/>
    <w:rsid w:val="000957BD"/>
    <w:rsid w:val="00095B80"/>
    <w:rsid w:val="00096174"/>
    <w:rsid w:val="0009765F"/>
    <w:rsid w:val="0009772F"/>
    <w:rsid w:val="00097BC8"/>
    <w:rsid w:val="00097D52"/>
    <w:rsid w:val="000A0231"/>
    <w:rsid w:val="000A1FCC"/>
    <w:rsid w:val="000A2C42"/>
    <w:rsid w:val="000A2E48"/>
    <w:rsid w:val="000A3FFA"/>
    <w:rsid w:val="000A41FE"/>
    <w:rsid w:val="000A60F4"/>
    <w:rsid w:val="000A6F02"/>
    <w:rsid w:val="000A7750"/>
    <w:rsid w:val="000B12CB"/>
    <w:rsid w:val="000B17CC"/>
    <w:rsid w:val="000B1A75"/>
    <w:rsid w:val="000B1EB8"/>
    <w:rsid w:val="000B2A68"/>
    <w:rsid w:val="000B35A8"/>
    <w:rsid w:val="000B3A23"/>
    <w:rsid w:val="000B3E7D"/>
    <w:rsid w:val="000B462A"/>
    <w:rsid w:val="000B6856"/>
    <w:rsid w:val="000B6EDE"/>
    <w:rsid w:val="000B7C10"/>
    <w:rsid w:val="000C0213"/>
    <w:rsid w:val="000C0D8E"/>
    <w:rsid w:val="000C10B0"/>
    <w:rsid w:val="000C1B85"/>
    <w:rsid w:val="000C3049"/>
    <w:rsid w:val="000C32BF"/>
    <w:rsid w:val="000C3CC3"/>
    <w:rsid w:val="000C4150"/>
    <w:rsid w:val="000C4527"/>
    <w:rsid w:val="000C4F2C"/>
    <w:rsid w:val="000C51C0"/>
    <w:rsid w:val="000C534A"/>
    <w:rsid w:val="000C68E5"/>
    <w:rsid w:val="000C6CB4"/>
    <w:rsid w:val="000C7101"/>
    <w:rsid w:val="000D0ED3"/>
    <w:rsid w:val="000D181E"/>
    <w:rsid w:val="000D20BB"/>
    <w:rsid w:val="000D404A"/>
    <w:rsid w:val="000D66A1"/>
    <w:rsid w:val="000D73E2"/>
    <w:rsid w:val="000D7D07"/>
    <w:rsid w:val="000E163A"/>
    <w:rsid w:val="000E19C7"/>
    <w:rsid w:val="000E3324"/>
    <w:rsid w:val="000E33A3"/>
    <w:rsid w:val="000E4877"/>
    <w:rsid w:val="000E49D3"/>
    <w:rsid w:val="000E5DF2"/>
    <w:rsid w:val="000F0BA8"/>
    <w:rsid w:val="000F0FB8"/>
    <w:rsid w:val="000F10F0"/>
    <w:rsid w:val="000F19D0"/>
    <w:rsid w:val="000F1BD8"/>
    <w:rsid w:val="000F2FF8"/>
    <w:rsid w:val="000F3D7E"/>
    <w:rsid w:val="000F47BF"/>
    <w:rsid w:val="000F4A39"/>
    <w:rsid w:val="000F5031"/>
    <w:rsid w:val="000F64B4"/>
    <w:rsid w:val="000F6904"/>
    <w:rsid w:val="000F6D9F"/>
    <w:rsid w:val="000F77E8"/>
    <w:rsid w:val="000F79B5"/>
    <w:rsid w:val="00100208"/>
    <w:rsid w:val="00102172"/>
    <w:rsid w:val="0010230B"/>
    <w:rsid w:val="00102720"/>
    <w:rsid w:val="00103D50"/>
    <w:rsid w:val="00103E0D"/>
    <w:rsid w:val="00104C41"/>
    <w:rsid w:val="00105866"/>
    <w:rsid w:val="00105935"/>
    <w:rsid w:val="00105939"/>
    <w:rsid w:val="001067E3"/>
    <w:rsid w:val="001078EE"/>
    <w:rsid w:val="00107DD8"/>
    <w:rsid w:val="00110449"/>
    <w:rsid w:val="001111A8"/>
    <w:rsid w:val="0011139F"/>
    <w:rsid w:val="00111954"/>
    <w:rsid w:val="00111FAE"/>
    <w:rsid w:val="00112A17"/>
    <w:rsid w:val="00113CB9"/>
    <w:rsid w:val="001142EE"/>
    <w:rsid w:val="00114A9B"/>
    <w:rsid w:val="00114D3F"/>
    <w:rsid w:val="001151ED"/>
    <w:rsid w:val="00115C81"/>
    <w:rsid w:val="001163F4"/>
    <w:rsid w:val="00116F9F"/>
    <w:rsid w:val="0011708C"/>
    <w:rsid w:val="00120574"/>
    <w:rsid w:val="00122A57"/>
    <w:rsid w:val="00122FC3"/>
    <w:rsid w:val="001234BA"/>
    <w:rsid w:val="0012603A"/>
    <w:rsid w:val="00126342"/>
    <w:rsid w:val="001272B0"/>
    <w:rsid w:val="0013085D"/>
    <w:rsid w:val="00130F92"/>
    <w:rsid w:val="00130FC3"/>
    <w:rsid w:val="001322A6"/>
    <w:rsid w:val="001326E3"/>
    <w:rsid w:val="001327C1"/>
    <w:rsid w:val="00132EC2"/>
    <w:rsid w:val="001332E8"/>
    <w:rsid w:val="001344A9"/>
    <w:rsid w:val="0013458A"/>
    <w:rsid w:val="0013463F"/>
    <w:rsid w:val="0013723D"/>
    <w:rsid w:val="00140896"/>
    <w:rsid w:val="00141189"/>
    <w:rsid w:val="00142D2E"/>
    <w:rsid w:val="001432CB"/>
    <w:rsid w:val="00143BDB"/>
    <w:rsid w:val="00144477"/>
    <w:rsid w:val="001508EB"/>
    <w:rsid w:val="00151B97"/>
    <w:rsid w:val="001558E2"/>
    <w:rsid w:val="00157D25"/>
    <w:rsid w:val="001605CD"/>
    <w:rsid w:val="001606FF"/>
    <w:rsid w:val="0016169B"/>
    <w:rsid w:val="001623EC"/>
    <w:rsid w:val="0016297A"/>
    <w:rsid w:val="00164176"/>
    <w:rsid w:val="00164469"/>
    <w:rsid w:val="00164A30"/>
    <w:rsid w:val="00165958"/>
    <w:rsid w:val="0016673F"/>
    <w:rsid w:val="001675E7"/>
    <w:rsid w:val="00167EFA"/>
    <w:rsid w:val="00170DFA"/>
    <w:rsid w:val="0017184A"/>
    <w:rsid w:val="0017362C"/>
    <w:rsid w:val="00173B5E"/>
    <w:rsid w:val="00174410"/>
    <w:rsid w:val="001747C6"/>
    <w:rsid w:val="001753D5"/>
    <w:rsid w:val="00175ECA"/>
    <w:rsid w:val="00176CBD"/>
    <w:rsid w:val="00176CEC"/>
    <w:rsid w:val="00176F80"/>
    <w:rsid w:val="00180199"/>
    <w:rsid w:val="001802F1"/>
    <w:rsid w:val="00181456"/>
    <w:rsid w:val="00181762"/>
    <w:rsid w:val="00184800"/>
    <w:rsid w:val="0018688C"/>
    <w:rsid w:val="001871EF"/>
    <w:rsid w:val="00187DA6"/>
    <w:rsid w:val="00187F86"/>
    <w:rsid w:val="001912D6"/>
    <w:rsid w:val="00191984"/>
    <w:rsid w:val="00192F13"/>
    <w:rsid w:val="0019393B"/>
    <w:rsid w:val="00193A53"/>
    <w:rsid w:val="00194464"/>
    <w:rsid w:val="0019465A"/>
    <w:rsid w:val="0019498E"/>
    <w:rsid w:val="00194AE3"/>
    <w:rsid w:val="00195575"/>
    <w:rsid w:val="00196D21"/>
    <w:rsid w:val="00197506"/>
    <w:rsid w:val="001A0148"/>
    <w:rsid w:val="001A0FA1"/>
    <w:rsid w:val="001A141F"/>
    <w:rsid w:val="001A19F1"/>
    <w:rsid w:val="001A2470"/>
    <w:rsid w:val="001A2DFF"/>
    <w:rsid w:val="001A31C9"/>
    <w:rsid w:val="001A33D2"/>
    <w:rsid w:val="001A3BA0"/>
    <w:rsid w:val="001A53C2"/>
    <w:rsid w:val="001A5AE0"/>
    <w:rsid w:val="001A5CAE"/>
    <w:rsid w:val="001B1254"/>
    <w:rsid w:val="001B1B9D"/>
    <w:rsid w:val="001B27A9"/>
    <w:rsid w:val="001B2EC4"/>
    <w:rsid w:val="001B312C"/>
    <w:rsid w:val="001B365B"/>
    <w:rsid w:val="001B3AA6"/>
    <w:rsid w:val="001B3CC4"/>
    <w:rsid w:val="001B4AC4"/>
    <w:rsid w:val="001B4C1B"/>
    <w:rsid w:val="001B4DC5"/>
    <w:rsid w:val="001B5FA8"/>
    <w:rsid w:val="001B7111"/>
    <w:rsid w:val="001B7B2C"/>
    <w:rsid w:val="001C010C"/>
    <w:rsid w:val="001C0A43"/>
    <w:rsid w:val="001C21D4"/>
    <w:rsid w:val="001C435F"/>
    <w:rsid w:val="001C4A99"/>
    <w:rsid w:val="001C4E87"/>
    <w:rsid w:val="001C5A91"/>
    <w:rsid w:val="001C64FC"/>
    <w:rsid w:val="001C6C1E"/>
    <w:rsid w:val="001D00E0"/>
    <w:rsid w:val="001D0D61"/>
    <w:rsid w:val="001D0DD1"/>
    <w:rsid w:val="001D0ED5"/>
    <w:rsid w:val="001D1E46"/>
    <w:rsid w:val="001D256F"/>
    <w:rsid w:val="001D25AF"/>
    <w:rsid w:val="001D294E"/>
    <w:rsid w:val="001D4CA7"/>
    <w:rsid w:val="001D508E"/>
    <w:rsid w:val="001D56B3"/>
    <w:rsid w:val="001D688B"/>
    <w:rsid w:val="001D792E"/>
    <w:rsid w:val="001E08E4"/>
    <w:rsid w:val="001E1814"/>
    <w:rsid w:val="001E23EA"/>
    <w:rsid w:val="001E2528"/>
    <w:rsid w:val="001E3F3D"/>
    <w:rsid w:val="001E7668"/>
    <w:rsid w:val="001E78B6"/>
    <w:rsid w:val="001E7AD8"/>
    <w:rsid w:val="001F11FC"/>
    <w:rsid w:val="001F1693"/>
    <w:rsid w:val="001F1713"/>
    <w:rsid w:val="001F33F5"/>
    <w:rsid w:val="001F3FDA"/>
    <w:rsid w:val="001F5827"/>
    <w:rsid w:val="001F6529"/>
    <w:rsid w:val="001F76E2"/>
    <w:rsid w:val="001F7FC4"/>
    <w:rsid w:val="00200D05"/>
    <w:rsid w:val="00200D27"/>
    <w:rsid w:val="002022B1"/>
    <w:rsid w:val="00202749"/>
    <w:rsid w:val="00202916"/>
    <w:rsid w:val="00203233"/>
    <w:rsid w:val="0020328D"/>
    <w:rsid w:val="0020358D"/>
    <w:rsid w:val="00205389"/>
    <w:rsid w:val="00205644"/>
    <w:rsid w:val="00205873"/>
    <w:rsid w:val="00210A9F"/>
    <w:rsid w:val="002114DA"/>
    <w:rsid w:val="00211FE8"/>
    <w:rsid w:val="00215083"/>
    <w:rsid w:val="00215CB2"/>
    <w:rsid w:val="00220557"/>
    <w:rsid w:val="0022187D"/>
    <w:rsid w:val="00222333"/>
    <w:rsid w:val="00222BDE"/>
    <w:rsid w:val="00222C2C"/>
    <w:rsid w:val="00223A98"/>
    <w:rsid w:val="002243E5"/>
    <w:rsid w:val="0022562F"/>
    <w:rsid w:val="00226F6D"/>
    <w:rsid w:val="00230844"/>
    <w:rsid w:val="00230F58"/>
    <w:rsid w:val="002328B8"/>
    <w:rsid w:val="00232C85"/>
    <w:rsid w:val="00232D63"/>
    <w:rsid w:val="00233257"/>
    <w:rsid w:val="00233E98"/>
    <w:rsid w:val="00235697"/>
    <w:rsid w:val="00236ABE"/>
    <w:rsid w:val="002403C6"/>
    <w:rsid w:val="0024241E"/>
    <w:rsid w:val="00242BD6"/>
    <w:rsid w:val="00244F08"/>
    <w:rsid w:val="00244F2D"/>
    <w:rsid w:val="002465CF"/>
    <w:rsid w:val="00246CD2"/>
    <w:rsid w:val="0025062E"/>
    <w:rsid w:val="00251B22"/>
    <w:rsid w:val="002523B2"/>
    <w:rsid w:val="0025268F"/>
    <w:rsid w:val="00252C33"/>
    <w:rsid w:val="00252EDE"/>
    <w:rsid w:val="0025416F"/>
    <w:rsid w:val="00254625"/>
    <w:rsid w:val="00254C84"/>
    <w:rsid w:val="002551B8"/>
    <w:rsid w:val="00255288"/>
    <w:rsid w:val="002555F6"/>
    <w:rsid w:val="002568B6"/>
    <w:rsid w:val="00257218"/>
    <w:rsid w:val="0025762B"/>
    <w:rsid w:val="00257D99"/>
    <w:rsid w:val="00260B8E"/>
    <w:rsid w:val="00260E65"/>
    <w:rsid w:val="0026103F"/>
    <w:rsid w:val="00262A43"/>
    <w:rsid w:val="00263336"/>
    <w:rsid w:val="0026453C"/>
    <w:rsid w:val="002645C0"/>
    <w:rsid w:val="00264FBE"/>
    <w:rsid w:val="002663AA"/>
    <w:rsid w:val="00266ADF"/>
    <w:rsid w:val="00266C09"/>
    <w:rsid w:val="00266F96"/>
    <w:rsid w:val="00267165"/>
    <w:rsid w:val="00273033"/>
    <w:rsid w:val="002741BE"/>
    <w:rsid w:val="002746D4"/>
    <w:rsid w:val="00274AAE"/>
    <w:rsid w:val="00274E46"/>
    <w:rsid w:val="00275A62"/>
    <w:rsid w:val="0028006B"/>
    <w:rsid w:val="0028240E"/>
    <w:rsid w:val="00284CFA"/>
    <w:rsid w:val="00284F64"/>
    <w:rsid w:val="00285760"/>
    <w:rsid w:val="002860AC"/>
    <w:rsid w:val="00286729"/>
    <w:rsid w:val="00287E25"/>
    <w:rsid w:val="002902FE"/>
    <w:rsid w:val="00290842"/>
    <w:rsid w:val="00290953"/>
    <w:rsid w:val="00291B49"/>
    <w:rsid w:val="00293E94"/>
    <w:rsid w:val="0029514C"/>
    <w:rsid w:val="00296B80"/>
    <w:rsid w:val="00296BE0"/>
    <w:rsid w:val="00297498"/>
    <w:rsid w:val="00297695"/>
    <w:rsid w:val="002A1451"/>
    <w:rsid w:val="002A1861"/>
    <w:rsid w:val="002A20D0"/>
    <w:rsid w:val="002A23FE"/>
    <w:rsid w:val="002A2610"/>
    <w:rsid w:val="002A3007"/>
    <w:rsid w:val="002A4197"/>
    <w:rsid w:val="002A74B2"/>
    <w:rsid w:val="002A7A4E"/>
    <w:rsid w:val="002B0166"/>
    <w:rsid w:val="002B0748"/>
    <w:rsid w:val="002B0CB4"/>
    <w:rsid w:val="002B1E34"/>
    <w:rsid w:val="002B27F0"/>
    <w:rsid w:val="002B2874"/>
    <w:rsid w:val="002B29B3"/>
    <w:rsid w:val="002B58F8"/>
    <w:rsid w:val="002B6FA8"/>
    <w:rsid w:val="002C0935"/>
    <w:rsid w:val="002C35D0"/>
    <w:rsid w:val="002C3D21"/>
    <w:rsid w:val="002C49E9"/>
    <w:rsid w:val="002C51C4"/>
    <w:rsid w:val="002C5375"/>
    <w:rsid w:val="002C53EC"/>
    <w:rsid w:val="002C66C9"/>
    <w:rsid w:val="002C6D4D"/>
    <w:rsid w:val="002D0160"/>
    <w:rsid w:val="002D2206"/>
    <w:rsid w:val="002D2D74"/>
    <w:rsid w:val="002D40F5"/>
    <w:rsid w:val="002D43D5"/>
    <w:rsid w:val="002D5D8C"/>
    <w:rsid w:val="002D728A"/>
    <w:rsid w:val="002D76F6"/>
    <w:rsid w:val="002E0082"/>
    <w:rsid w:val="002E0921"/>
    <w:rsid w:val="002E13D2"/>
    <w:rsid w:val="002E2896"/>
    <w:rsid w:val="002E4D67"/>
    <w:rsid w:val="002E545D"/>
    <w:rsid w:val="002E56AD"/>
    <w:rsid w:val="002E5C59"/>
    <w:rsid w:val="002E7747"/>
    <w:rsid w:val="002F0D78"/>
    <w:rsid w:val="002F3002"/>
    <w:rsid w:val="002F3DDF"/>
    <w:rsid w:val="002F4038"/>
    <w:rsid w:val="002F450F"/>
    <w:rsid w:val="002F4570"/>
    <w:rsid w:val="002F5D07"/>
    <w:rsid w:val="002F62F0"/>
    <w:rsid w:val="002F6A4A"/>
    <w:rsid w:val="002F7A80"/>
    <w:rsid w:val="00300A22"/>
    <w:rsid w:val="00300B6B"/>
    <w:rsid w:val="00300F0D"/>
    <w:rsid w:val="00301560"/>
    <w:rsid w:val="003022DE"/>
    <w:rsid w:val="00303AAE"/>
    <w:rsid w:val="00304A15"/>
    <w:rsid w:val="003125F2"/>
    <w:rsid w:val="00314756"/>
    <w:rsid w:val="0031494D"/>
    <w:rsid w:val="00314A49"/>
    <w:rsid w:val="00320310"/>
    <w:rsid w:val="00320ABF"/>
    <w:rsid w:val="00320AF0"/>
    <w:rsid w:val="00322DD8"/>
    <w:rsid w:val="003232C6"/>
    <w:rsid w:val="00323417"/>
    <w:rsid w:val="00325D72"/>
    <w:rsid w:val="00326482"/>
    <w:rsid w:val="00330798"/>
    <w:rsid w:val="00331FEB"/>
    <w:rsid w:val="00332A0C"/>
    <w:rsid w:val="00332ECF"/>
    <w:rsid w:val="00334C9B"/>
    <w:rsid w:val="00335C50"/>
    <w:rsid w:val="00335CF7"/>
    <w:rsid w:val="0033678F"/>
    <w:rsid w:val="00347520"/>
    <w:rsid w:val="0035025D"/>
    <w:rsid w:val="00350376"/>
    <w:rsid w:val="00350DF6"/>
    <w:rsid w:val="0035115E"/>
    <w:rsid w:val="00351445"/>
    <w:rsid w:val="00351692"/>
    <w:rsid w:val="003522D8"/>
    <w:rsid w:val="003528F6"/>
    <w:rsid w:val="00352E84"/>
    <w:rsid w:val="00354F01"/>
    <w:rsid w:val="003560AA"/>
    <w:rsid w:val="00357750"/>
    <w:rsid w:val="00357D76"/>
    <w:rsid w:val="003600EB"/>
    <w:rsid w:val="003616AD"/>
    <w:rsid w:val="003628EA"/>
    <w:rsid w:val="00366508"/>
    <w:rsid w:val="00366E30"/>
    <w:rsid w:val="00367720"/>
    <w:rsid w:val="003677A7"/>
    <w:rsid w:val="00367BF4"/>
    <w:rsid w:val="00367DDE"/>
    <w:rsid w:val="003706DB"/>
    <w:rsid w:val="0037082E"/>
    <w:rsid w:val="003719F1"/>
    <w:rsid w:val="00372B3B"/>
    <w:rsid w:val="003737DC"/>
    <w:rsid w:val="00374FF4"/>
    <w:rsid w:val="00375032"/>
    <w:rsid w:val="00375582"/>
    <w:rsid w:val="0037676C"/>
    <w:rsid w:val="00377029"/>
    <w:rsid w:val="003779B9"/>
    <w:rsid w:val="00381FCA"/>
    <w:rsid w:val="00382DD2"/>
    <w:rsid w:val="0038377B"/>
    <w:rsid w:val="0038544D"/>
    <w:rsid w:val="00386B64"/>
    <w:rsid w:val="0038705A"/>
    <w:rsid w:val="0039019C"/>
    <w:rsid w:val="00390328"/>
    <w:rsid w:val="00391BC2"/>
    <w:rsid w:val="00391C13"/>
    <w:rsid w:val="00392574"/>
    <w:rsid w:val="00393442"/>
    <w:rsid w:val="00393C5A"/>
    <w:rsid w:val="00393C74"/>
    <w:rsid w:val="00393DA4"/>
    <w:rsid w:val="003943A7"/>
    <w:rsid w:val="0039485F"/>
    <w:rsid w:val="00395313"/>
    <w:rsid w:val="003967FD"/>
    <w:rsid w:val="00397F10"/>
    <w:rsid w:val="003A22A7"/>
    <w:rsid w:val="003A38C2"/>
    <w:rsid w:val="003A4391"/>
    <w:rsid w:val="003A4BF8"/>
    <w:rsid w:val="003A6720"/>
    <w:rsid w:val="003A6DDC"/>
    <w:rsid w:val="003B206E"/>
    <w:rsid w:val="003B27CD"/>
    <w:rsid w:val="003B3E0B"/>
    <w:rsid w:val="003B4122"/>
    <w:rsid w:val="003B4A5A"/>
    <w:rsid w:val="003B59DE"/>
    <w:rsid w:val="003B5F84"/>
    <w:rsid w:val="003B69C6"/>
    <w:rsid w:val="003B7434"/>
    <w:rsid w:val="003B7BBF"/>
    <w:rsid w:val="003C03FA"/>
    <w:rsid w:val="003C1222"/>
    <w:rsid w:val="003C1703"/>
    <w:rsid w:val="003C2E50"/>
    <w:rsid w:val="003C3ACD"/>
    <w:rsid w:val="003C54C6"/>
    <w:rsid w:val="003C591B"/>
    <w:rsid w:val="003D0B0F"/>
    <w:rsid w:val="003D3843"/>
    <w:rsid w:val="003D419C"/>
    <w:rsid w:val="003D436D"/>
    <w:rsid w:val="003D4E86"/>
    <w:rsid w:val="003D50F1"/>
    <w:rsid w:val="003D6BAA"/>
    <w:rsid w:val="003E0BBE"/>
    <w:rsid w:val="003E0BF0"/>
    <w:rsid w:val="003E2C34"/>
    <w:rsid w:val="003E2E40"/>
    <w:rsid w:val="003E3191"/>
    <w:rsid w:val="003E35C9"/>
    <w:rsid w:val="003E4034"/>
    <w:rsid w:val="003E6A30"/>
    <w:rsid w:val="003F0ADD"/>
    <w:rsid w:val="003F1888"/>
    <w:rsid w:val="003F1BB2"/>
    <w:rsid w:val="003F1E3E"/>
    <w:rsid w:val="003F275B"/>
    <w:rsid w:val="003F2F99"/>
    <w:rsid w:val="003F34A6"/>
    <w:rsid w:val="003F34D3"/>
    <w:rsid w:val="003F38EE"/>
    <w:rsid w:val="003F3D0C"/>
    <w:rsid w:val="004018CA"/>
    <w:rsid w:val="00402CAA"/>
    <w:rsid w:val="00403E60"/>
    <w:rsid w:val="00404BBC"/>
    <w:rsid w:val="004065DC"/>
    <w:rsid w:val="00406783"/>
    <w:rsid w:val="00407352"/>
    <w:rsid w:val="00410C4E"/>
    <w:rsid w:val="00413346"/>
    <w:rsid w:val="0041460B"/>
    <w:rsid w:val="00414B93"/>
    <w:rsid w:val="00414E94"/>
    <w:rsid w:val="004171F6"/>
    <w:rsid w:val="00417E1D"/>
    <w:rsid w:val="00420D3A"/>
    <w:rsid w:val="00420D74"/>
    <w:rsid w:val="00421C93"/>
    <w:rsid w:val="00422523"/>
    <w:rsid w:val="0042294C"/>
    <w:rsid w:val="00423134"/>
    <w:rsid w:val="004252DC"/>
    <w:rsid w:val="0042617F"/>
    <w:rsid w:val="00426658"/>
    <w:rsid w:val="0042674F"/>
    <w:rsid w:val="004267F9"/>
    <w:rsid w:val="0042744B"/>
    <w:rsid w:val="004278EE"/>
    <w:rsid w:val="004301E7"/>
    <w:rsid w:val="00430DF6"/>
    <w:rsid w:val="00430F9E"/>
    <w:rsid w:val="00431256"/>
    <w:rsid w:val="00432733"/>
    <w:rsid w:val="00433230"/>
    <w:rsid w:val="004342A9"/>
    <w:rsid w:val="00434E17"/>
    <w:rsid w:val="00434F65"/>
    <w:rsid w:val="0043515F"/>
    <w:rsid w:val="00435BDB"/>
    <w:rsid w:val="00435D8B"/>
    <w:rsid w:val="00436ABB"/>
    <w:rsid w:val="004371A3"/>
    <w:rsid w:val="00437662"/>
    <w:rsid w:val="0044326E"/>
    <w:rsid w:val="00443BBB"/>
    <w:rsid w:val="004453E6"/>
    <w:rsid w:val="0044555C"/>
    <w:rsid w:val="00445F41"/>
    <w:rsid w:val="004470BC"/>
    <w:rsid w:val="00447171"/>
    <w:rsid w:val="00447E3A"/>
    <w:rsid w:val="00451B84"/>
    <w:rsid w:val="00451BE1"/>
    <w:rsid w:val="00452BC6"/>
    <w:rsid w:val="004530F5"/>
    <w:rsid w:val="00453987"/>
    <w:rsid w:val="00453ABE"/>
    <w:rsid w:val="00454291"/>
    <w:rsid w:val="004569C2"/>
    <w:rsid w:val="00457710"/>
    <w:rsid w:val="0046000A"/>
    <w:rsid w:val="0046042A"/>
    <w:rsid w:val="004619FF"/>
    <w:rsid w:val="00461A8C"/>
    <w:rsid w:val="00462A3A"/>
    <w:rsid w:val="0046482D"/>
    <w:rsid w:val="00465091"/>
    <w:rsid w:val="00466437"/>
    <w:rsid w:val="00467AF2"/>
    <w:rsid w:val="00471C70"/>
    <w:rsid w:val="00473A29"/>
    <w:rsid w:val="0047437D"/>
    <w:rsid w:val="00475E10"/>
    <w:rsid w:val="00476E8D"/>
    <w:rsid w:val="004804B5"/>
    <w:rsid w:val="00480A0E"/>
    <w:rsid w:val="00481D9D"/>
    <w:rsid w:val="00483302"/>
    <w:rsid w:val="004833F4"/>
    <w:rsid w:val="00483C88"/>
    <w:rsid w:val="00483F78"/>
    <w:rsid w:val="00484E5D"/>
    <w:rsid w:val="004859F9"/>
    <w:rsid w:val="004906C0"/>
    <w:rsid w:val="00490703"/>
    <w:rsid w:val="00490B25"/>
    <w:rsid w:val="00490D26"/>
    <w:rsid w:val="0049194D"/>
    <w:rsid w:val="00494D04"/>
    <w:rsid w:val="00495EEE"/>
    <w:rsid w:val="004965C7"/>
    <w:rsid w:val="00496FAC"/>
    <w:rsid w:val="00497884"/>
    <w:rsid w:val="00497EE2"/>
    <w:rsid w:val="004A09DB"/>
    <w:rsid w:val="004A20CD"/>
    <w:rsid w:val="004A2885"/>
    <w:rsid w:val="004A2AA9"/>
    <w:rsid w:val="004A62C9"/>
    <w:rsid w:val="004A6683"/>
    <w:rsid w:val="004B0045"/>
    <w:rsid w:val="004B09A7"/>
    <w:rsid w:val="004B1C0C"/>
    <w:rsid w:val="004B2EEB"/>
    <w:rsid w:val="004B3CB2"/>
    <w:rsid w:val="004B4215"/>
    <w:rsid w:val="004B45DD"/>
    <w:rsid w:val="004B4F45"/>
    <w:rsid w:val="004B57FA"/>
    <w:rsid w:val="004B5C76"/>
    <w:rsid w:val="004B6367"/>
    <w:rsid w:val="004B6693"/>
    <w:rsid w:val="004B6895"/>
    <w:rsid w:val="004B68B4"/>
    <w:rsid w:val="004B7841"/>
    <w:rsid w:val="004B7C7D"/>
    <w:rsid w:val="004C05FB"/>
    <w:rsid w:val="004C08C1"/>
    <w:rsid w:val="004C2A9A"/>
    <w:rsid w:val="004C61EF"/>
    <w:rsid w:val="004C71F9"/>
    <w:rsid w:val="004D1992"/>
    <w:rsid w:val="004D1A5F"/>
    <w:rsid w:val="004D2FA7"/>
    <w:rsid w:val="004D494B"/>
    <w:rsid w:val="004D5BC2"/>
    <w:rsid w:val="004D7441"/>
    <w:rsid w:val="004D79BD"/>
    <w:rsid w:val="004E2FD0"/>
    <w:rsid w:val="004E3740"/>
    <w:rsid w:val="004E3D20"/>
    <w:rsid w:val="004E41F5"/>
    <w:rsid w:val="004E522A"/>
    <w:rsid w:val="004E6261"/>
    <w:rsid w:val="004E6E31"/>
    <w:rsid w:val="004E7092"/>
    <w:rsid w:val="004F1417"/>
    <w:rsid w:val="004F18A7"/>
    <w:rsid w:val="004F1B26"/>
    <w:rsid w:val="004F355D"/>
    <w:rsid w:val="004F4650"/>
    <w:rsid w:val="004F6BCB"/>
    <w:rsid w:val="004F718F"/>
    <w:rsid w:val="005007E8"/>
    <w:rsid w:val="0050420D"/>
    <w:rsid w:val="00506FA5"/>
    <w:rsid w:val="005071D9"/>
    <w:rsid w:val="0050752D"/>
    <w:rsid w:val="00507798"/>
    <w:rsid w:val="00510AAD"/>
    <w:rsid w:val="0051197B"/>
    <w:rsid w:val="00512340"/>
    <w:rsid w:val="00513977"/>
    <w:rsid w:val="00513ECC"/>
    <w:rsid w:val="00514187"/>
    <w:rsid w:val="00514FBA"/>
    <w:rsid w:val="00515DDF"/>
    <w:rsid w:val="005164C2"/>
    <w:rsid w:val="005169B6"/>
    <w:rsid w:val="00520B3A"/>
    <w:rsid w:val="005214A8"/>
    <w:rsid w:val="005238C5"/>
    <w:rsid w:val="00524465"/>
    <w:rsid w:val="005270D7"/>
    <w:rsid w:val="005272CD"/>
    <w:rsid w:val="00527307"/>
    <w:rsid w:val="0053273D"/>
    <w:rsid w:val="00534637"/>
    <w:rsid w:val="00534D42"/>
    <w:rsid w:val="00534F2B"/>
    <w:rsid w:val="0053516C"/>
    <w:rsid w:val="00536347"/>
    <w:rsid w:val="00536C32"/>
    <w:rsid w:val="0053744E"/>
    <w:rsid w:val="0053766D"/>
    <w:rsid w:val="00540ADC"/>
    <w:rsid w:val="0054137D"/>
    <w:rsid w:val="00541E72"/>
    <w:rsid w:val="00544057"/>
    <w:rsid w:val="005440FE"/>
    <w:rsid w:val="00544B05"/>
    <w:rsid w:val="00545206"/>
    <w:rsid w:val="0054623A"/>
    <w:rsid w:val="005470C7"/>
    <w:rsid w:val="00547D6A"/>
    <w:rsid w:val="005517EB"/>
    <w:rsid w:val="00551B1F"/>
    <w:rsid w:val="005539E4"/>
    <w:rsid w:val="00554661"/>
    <w:rsid w:val="005548D2"/>
    <w:rsid w:val="00554C9F"/>
    <w:rsid w:val="005557A5"/>
    <w:rsid w:val="00555EAF"/>
    <w:rsid w:val="0055608B"/>
    <w:rsid w:val="00556A9C"/>
    <w:rsid w:val="00556DD1"/>
    <w:rsid w:val="00556FCC"/>
    <w:rsid w:val="00560174"/>
    <w:rsid w:val="0056215B"/>
    <w:rsid w:val="005637CE"/>
    <w:rsid w:val="0056405C"/>
    <w:rsid w:val="0056489D"/>
    <w:rsid w:val="00565308"/>
    <w:rsid w:val="00565488"/>
    <w:rsid w:val="00567055"/>
    <w:rsid w:val="00567917"/>
    <w:rsid w:val="00567C38"/>
    <w:rsid w:val="00572739"/>
    <w:rsid w:val="00572E95"/>
    <w:rsid w:val="00573B79"/>
    <w:rsid w:val="00574DA0"/>
    <w:rsid w:val="00575C1F"/>
    <w:rsid w:val="00576561"/>
    <w:rsid w:val="00577FE2"/>
    <w:rsid w:val="00580A02"/>
    <w:rsid w:val="00581B2D"/>
    <w:rsid w:val="00581FF3"/>
    <w:rsid w:val="005821A5"/>
    <w:rsid w:val="00583D3B"/>
    <w:rsid w:val="0058662E"/>
    <w:rsid w:val="005868E1"/>
    <w:rsid w:val="00586F5F"/>
    <w:rsid w:val="00590F7B"/>
    <w:rsid w:val="0059334A"/>
    <w:rsid w:val="0059369C"/>
    <w:rsid w:val="005940CC"/>
    <w:rsid w:val="00594AB3"/>
    <w:rsid w:val="00595558"/>
    <w:rsid w:val="00595738"/>
    <w:rsid w:val="00596F16"/>
    <w:rsid w:val="0059766D"/>
    <w:rsid w:val="00597899"/>
    <w:rsid w:val="00597E8B"/>
    <w:rsid w:val="005A09E4"/>
    <w:rsid w:val="005A0FA4"/>
    <w:rsid w:val="005A1DD2"/>
    <w:rsid w:val="005A204C"/>
    <w:rsid w:val="005A27E6"/>
    <w:rsid w:val="005A36DE"/>
    <w:rsid w:val="005A3DE1"/>
    <w:rsid w:val="005A3E3A"/>
    <w:rsid w:val="005A5BA2"/>
    <w:rsid w:val="005A6072"/>
    <w:rsid w:val="005B257E"/>
    <w:rsid w:val="005B3347"/>
    <w:rsid w:val="005B630E"/>
    <w:rsid w:val="005B6487"/>
    <w:rsid w:val="005B6A08"/>
    <w:rsid w:val="005C08D1"/>
    <w:rsid w:val="005C0C71"/>
    <w:rsid w:val="005C26E5"/>
    <w:rsid w:val="005C3086"/>
    <w:rsid w:val="005C3449"/>
    <w:rsid w:val="005C40CB"/>
    <w:rsid w:val="005D024F"/>
    <w:rsid w:val="005D232B"/>
    <w:rsid w:val="005D252E"/>
    <w:rsid w:val="005D36CD"/>
    <w:rsid w:val="005D3F50"/>
    <w:rsid w:val="005D44B7"/>
    <w:rsid w:val="005D481F"/>
    <w:rsid w:val="005D6C1A"/>
    <w:rsid w:val="005D6DBA"/>
    <w:rsid w:val="005D72AD"/>
    <w:rsid w:val="005E0A6C"/>
    <w:rsid w:val="005E0FEA"/>
    <w:rsid w:val="005E1286"/>
    <w:rsid w:val="005E22F4"/>
    <w:rsid w:val="005E2E40"/>
    <w:rsid w:val="005E34F4"/>
    <w:rsid w:val="005E4588"/>
    <w:rsid w:val="005E5DFC"/>
    <w:rsid w:val="005E6DBC"/>
    <w:rsid w:val="005E72F5"/>
    <w:rsid w:val="005F0293"/>
    <w:rsid w:val="005F1966"/>
    <w:rsid w:val="005F1F9C"/>
    <w:rsid w:val="005F29F4"/>
    <w:rsid w:val="005F2D01"/>
    <w:rsid w:val="005F327F"/>
    <w:rsid w:val="005F3E41"/>
    <w:rsid w:val="005F4208"/>
    <w:rsid w:val="005F487A"/>
    <w:rsid w:val="005F5762"/>
    <w:rsid w:val="005F6E47"/>
    <w:rsid w:val="005F6EDE"/>
    <w:rsid w:val="005F7664"/>
    <w:rsid w:val="005F7BB3"/>
    <w:rsid w:val="006025A0"/>
    <w:rsid w:val="00602850"/>
    <w:rsid w:val="006031C1"/>
    <w:rsid w:val="0060482A"/>
    <w:rsid w:val="0060561B"/>
    <w:rsid w:val="006076D5"/>
    <w:rsid w:val="00607B46"/>
    <w:rsid w:val="00610137"/>
    <w:rsid w:val="00610DFF"/>
    <w:rsid w:val="0061209D"/>
    <w:rsid w:val="006121DA"/>
    <w:rsid w:val="00612395"/>
    <w:rsid w:val="00613275"/>
    <w:rsid w:val="00614064"/>
    <w:rsid w:val="00615B2C"/>
    <w:rsid w:val="006164CB"/>
    <w:rsid w:val="00616B7D"/>
    <w:rsid w:val="00617381"/>
    <w:rsid w:val="00617DA3"/>
    <w:rsid w:val="00621544"/>
    <w:rsid w:val="0062171F"/>
    <w:rsid w:val="00621E76"/>
    <w:rsid w:val="0062335C"/>
    <w:rsid w:val="006238E5"/>
    <w:rsid w:val="00623BAF"/>
    <w:rsid w:val="0062492D"/>
    <w:rsid w:val="00625999"/>
    <w:rsid w:val="00626818"/>
    <w:rsid w:val="006269A8"/>
    <w:rsid w:val="006273C1"/>
    <w:rsid w:val="006300DB"/>
    <w:rsid w:val="00634C0E"/>
    <w:rsid w:val="00635448"/>
    <w:rsid w:val="00636097"/>
    <w:rsid w:val="00636A3B"/>
    <w:rsid w:val="006372DF"/>
    <w:rsid w:val="00640160"/>
    <w:rsid w:val="0064152A"/>
    <w:rsid w:val="00641748"/>
    <w:rsid w:val="006424D5"/>
    <w:rsid w:val="00644566"/>
    <w:rsid w:val="006464E7"/>
    <w:rsid w:val="00647A8C"/>
    <w:rsid w:val="00653182"/>
    <w:rsid w:val="0065380E"/>
    <w:rsid w:val="00654624"/>
    <w:rsid w:val="00654EDF"/>
    <w:rsid w:val="006554C7"/>
    <w:rsid w:val="00655B94"/>
    <w:rsid w:val="00656017"/>
    <w:rsid w:val="006568FF"/>
    <w:rsid w:val="006577F7"/>
    <w:rsid w:val="006600F2"/>
    <w:rsid w:val="00661664"/>
    <w:rsid w:val="00662C5A"/>
    <w:rsid w:val="00663200"/>
    <w:rsid w:val="00664922"/>
    <w:rsid w:val="00666543"/>
    <w:rsid w:val="00666691"/>
    <w:rsid w:val="006668E7"/>
    <w:rsid w:val="006669BB"/>
    <w:rsid w:val="00666DE8"/>
    <w:rsid w:val="0066722A"/>
    <w:rsid w:val="00667B96"/>
    <w:rsid w:val="00667CFA"/>
    <w:rsid w:val="0067023A"/>
    <w:rsid w:val="006712E9"/>
    <w:rsid w:val="006720AD"/>
    <w:rsid w:val="0067441A"/>
    <w:rsid w:val="006748B4"/>
    <w:rsid w:val="00675BAC"/>
    <w:rsid w:val="00677207"/>
    <w:rsid w:val="00677BAD"/>
    <w:rsid w:val="00680C07"/>
    <w:rsid w:val="006810C8"/>
    <w:rsid w:val="006816AD"/>
    <w:rsid w:val="00681A24"/>
    <w:rsid w:val="006822A5"/>
    <w:rsid w:val="006836EE"/>
    <w:rsid w:val="00684099"/>
    <w:rsid w:val="00685765"/>
    <w:rsid w:val="00686A2C"/>
    <w:rsid w:val="0068744E"/>
    <w:rsid w:val="00690FBF"/>
    <w:rsid w:val="00691AA5"/>
    <w:rsid w:val="00691C3E"/>
    <w:rsid w:val="006948D6"/>
    <w:rsid w:val="0069553B"/>
    <w:rsid w:val="006960B0"/>
    <w:rsid w:val="006966DA"/>
    <w:rsid w:val="006968A8"/>
    <w:rsid w:val="00697162"/>
    <w:rsid w:val="00697E8B"/>
    <w:rsid w:val="006A0BB7"/>
    <w:rsid w:val="006A1E94"/>
    <w:rsid w:val="006A2289"/>
    <w:rsid w:val="006A2739"/>
    <w:rsid w:val="006A3AB0"/>
    <w:rsid w:val="006A453F"/>
    <w:rsid w:val="006A538F"/>
    <w:rsid w:val="006A5D22"/>
    <w:rsid w:val="006A5D60"/>
    <w:rsid w:val="006B07F0"/>
    <w:rsid w:val="006B12AF"/>
    <w:rsid w:val="006B50DF"/>
    <w:rsid w:val="006B5179"/>
    <w:rsid w:val="006B6194"/>
    <w:rsid w:val="006B6590"/>
    <w:rsid w:val="006B66CC"/>
    <w:rsid w:val="006B6A95"/>
    <w:rsid w:val="006B6BA8"/>
    <w:rsid w:val="006B7CCB"/>
    <w:rsid w:val="006C0F6A"/>
    <w:rsid w:val="006C186A"/>
    <w:rsid w:val="006C20CD"/>
    <w:rsid w:val="006C2C96"/>
    <w:rsid w:val="006C2D8F"/>
    <w:rsid w:val="006C5003"/>
    <w:rsid w:val="006C55C6"/>
    <w:rsid w:val="006C7357"/>
    <w:rsid w:val="006D0C3E"/>
    <w:rsid w:val="006D0C98"/>
    <w:rsid w:val="006D11F9"/>
    <w:rsid w:val="006D1289"/>
    <w:rsid w:val="006D380F"/>
    <w:rsid w:val="006D43DB"/>
    <w:rsid w:val="006D5225"/>
    <w:rsid w:val="006D5EE3"/>
    <w:rsid w:val="006D6329"/>
    <w:rsid w:val="006E10F6"/>
    <w:rsid w:val="006E1C0C"/>
    <w:rsid w:val="006E4B0E"/>
    <w:rsid w:val="006F0105"/>
    <w:rsid w:val="006F0DC3"/>
    <w:rsid w:val="006F22B2"/>
    <w:rsid w:val="006F23B4"/>
    <w:rsid w:val="006F30CF"/>
    <w:rsid w:val="006F3B7D"/>
    <w:rsid w:val="006F3CE9"/>
    <w:rsid w:val="006F418C"/>
    <w:rsid w:val="006F4356"/>
    <w:rsid w:val="006F4610"/>
    <w:rsid w:val="006F5AF6"/>
    <w:rsid w:val="006F60D7"/>
    <w:rsid w:val="006F65F4"/>
    <w:rsid w:val="006F6A96"/>
    <w:rsid w:val="006F75A5"/>
    <w:rsid w:val="006F7B57"/>
    <w:rsid w:val="00700AA1"/>
    <w:rsid w:val="0070120A"/>
    <w:rsid w:val="0070150A"/>
    <w:rsid w:val="00701557"/>
    <w:rsid w:val="00701664"/>
    <w:rsid w:val="0070186F"/>
    <w:rsid w:val="00702424"/>
    <w:rsid w:val="00702F22"/>
    <w:rsid w:val="00702FD2"/>
    <w:rsid w:val="00703CE6"/>
    <w:rsid w:val="007063B9"/>
    <w:rsid w:val="0070643D"/>
    <w:rsid w:val="00710058"/>
    <w:rsid w:val="0071239F"/>
    <w:rsid w:val="007132F7"/>
    <w:rsid w:val="0071441D"/>
    <w:rsid w:val="00714EF8"/>
    <w:rsid w:val="00716400"/>
    <w:rsid w:val="00716D6D"/>
    <w:rsid w:val="007204A6"/>
    <w:rsid w:val="00720E35"/>
    <w:rsid w:val="00721964"/>
    <w:rsid w:val="0072199E"/>
    <w:rsid w:val="007228C1"/>
    <w:rsid w:val="00724D4E"/>
    <w:rsid w:val="00726501"/>
    <w:rsid w:val="007273FF"/>
    <w:rsid w:val="00727B00"/>
    <w:rsid w:val="007309C7"/>
    <w:rsid w:val="00730A89"/>
    <w:rsid w:val="00731432"/>
    <w:rsid w:val="007329A7"/>
    <w:rsid w:val="00732A7C"/>
    <w:rsid w:val="00732C0E"/>
    <w:rsid w:val="00733EE0"/>
    <w:rsid w:val="00733F1D"/>
    <w:rsid w:val="007374A5"/>
    <w:rsid w:val="00740ECC"/>
    <w:rsid w:val="00741857"/>
    <w:rsid w:val="00742E01"/>
    <w:rsid w:val="007431EE"/>
    <w:rsid w:val="00743FE9"/>
    <w:rsid w:val="00745357"/>
    <w:rsid w:val="00745537"/>
    <w:rsid w:val="00746386"/>
    <w:rsid w:val="0074744B"/>
    <w:rsid w:val="007476AC"/>
    <w:rsid w:val="00750180"/>
    <w:rsid w:val="00750917"/>
    <w:rsid w:val="00750C03"/>
    <w:rsid w:val="00751106"/>
    <w:rsid w:val="00752133"/>
    <w:rsid w:val="00752920"/>
    <w:rsid w:val="00754730"/>
    <w:rsid w:val="00754C02"/>
    <w:rsid w:val="0075574D"/>
    <w:rsid w:val="00755976"/>
    <w:rsid w:val="00755B7C"/>
    <w:rsid w:val="0075670E"/>
    <w:rsid w:val="007578ED"/>
    <w:rsid w:val="00760901"/>
    <w:rsid w:val="00760F93"/>
    <w:rsid w:val="00761900"/>
    <w:rsid w:val="00762499"/>
    <w:rsid w:val="007654F3"/>
    <w:rsid w:val="0076574D"/>
    <w:rsid w:val="00765AEC"/>
    <w:rsid w:val="00767033"/>
    <w:rsid w:val="00767DBC"/>
    <w:rsid w:val="007705D8"/>
    <w:rsid w:val="0077090F"/>
    <w:rsid w:val="00770C7F"/>
    <w:rsid w:val="00772E48"/>
    <w:rsid w:val="0077353B"/>
    <w:rsid w:val="00774638"/>
    <w:rsid w:val="00775036"/>
    <w:rsid w:val="0077575F"/>
    <w:rsid w:val="00775A24"/>
    <w:rsid w:val="00776B66"/>
    <w:rsid w:val="0077795C"/>
    <w:rsid w:val="00781508"/>
    <w:rsid w:val="00784F94"/>
    <w:rsid w:val="007864B4"/>
    <w:rsid w:val="00787435"/>
    <w:rsid w:val="00787705"/>
    <w:rsid w:val="0079025E"/>
    <w:rsid w:val="007903DE"/>
    <w:rsid w:val="00792032"/>
    <w:rsid w:val="00792E30"/>
    <w:rsid w:val="00794B7B"/>
    <w:rsid w:val="00794E07"/>
    <w:rsid w:val="00795C28"/>
    <w:rsid w:val="00796F42"/>
    <w:rsid w:val="007976E3"/>
    <w:rsid w:val="007A060A"/>
    <w:rsid w:val="007A090D"/>
    <w:rsid w:val="007A253E"/>
    <w:rsid w:val="007A2728"/>
    <w:rsid w:val="007A3A17"/>
    <w:rsid w:val="007A40B5"/>
    <w:rsid w:val="007A47A9"/>
    <w:rsid w:val="007A4C13"/>
    <w:rsid w:val="007A5075"/>
    <w:rsid w:val="007A5BD3"/>
    <w:rsid w:val="007A6AB3"/>
    <w:rsid w:val="007B065A"/>
    <w:rsid w:val="007B1BA3"/>
    <w:rsid w:val="007B2372"/>
    <w:rsid w:val="007B275D"/>
    <w:rsid w:val="007B3A20"/>
    <w:rsid w:val="007B4AE2"/>
    <w:rsid w:val="007B5315"/>
    <w:rsid w:val="007B74DD"/>
    <w:rsid w:val="007B7722"/>
    <w:rsid w:val="007B7DF2"/>
    <w:rsid w:val="007C1941"/>
    <w:rsid w:val="007C2AA7"/>
    <w:rsid w:val="007C3ACC"/>
    <w:rsid w:val="007C482F"/>
    <w:rsid w:val="007C546B"/>
    <w:rsid w:val="007C728F"/>
    <w:rsid w:val="007C7891"/>
    <w:rsid w:val="007D0F03"/>
    <w:rsid w:val="007D3718"/>
    <w:rsid w:val="007D37C6"/>
    <w:rsid w:val="007D3B51"/>
    <w:rsid w:val="007D419B"/>
    <w:rsid w:val="007D668E"/>
    <w:rsid w:val="007D7A0C"/>
    <w:rsid w:val="007E283D"/>
    <w:rsid w:val="007E3066"/>
    <w:rsid w:val="007E315F"/>
    <w:rsid w:val="007E3BD2"/>
    <w:rsid w:val="007E542E"/>
    <w:rsid w:val="007E5FD5"/>
    <w:rsid w:val="007E628D"/>
    <w:rsid w:val="007E6AE2"/>
    <w:rsid w:val="007F009E"/>
    <w:rsid w:val="007F05EE"/>
    <w:rsid w:val="007F0B76"/>
    <w:rsid w:val="007F224B"/>
    <w:rsid w:val="007F32E8"/>
    <w:rsid w:val="007F3657"/>
    <w:rsid w:val="007F3851"/>
    <w:rsid w:val="007F3E08"/>
    <w:rsid w:val="007F464F"/>
    <w:rsid w:val="007F737F"/>
    <w:rsid w:val="007F7ADD"/>
    <w:rsid w:val="00801D62"/>
    <w:rsid w:val="008048A1"/>
    <w:rsid w:val="008068EF"/>
    <w:rsid w:val="00806B49"/>
    <w:rsid w:val="008116B4"/>
    <w:rsid w:val="00811ABD"/>
    <w:rsid w:val="00811E97"/>
    <w:rsid w:val="008123A7"/>
    <w:rsid w:val="008124D9"/>
    <w:rsid w:val="00813BA0"/>
    <w:rsid w:val="00813D20"/>
    <w:rsid w:val="008155E3"/>
    <w:rsid w:val="0081691A"/>
    <w:rsid w:val="00816BE7"/>
    <w:rsid w:val="008176AA"/>
    <w:rsid w:val="00817F30"/>
    <w:rsid w:val="008203AF"/>
    <w:rsid w:val="00821D95"/>
    <w:rsid w:val="00822E2F"/>
    <w:rsid w:val="00822EF2"/>
    <w:rsid w:val="00825048"/>
    <w:rsid w:val="00825269"/>
    <w:rsid w:val="00826A88"/>
    <w:rsid w:val="0083009A"/>
    <w:rsid w:val="008300F4"/>
    <w:rsid w:val="00830A1C"/>
    <w:rsid w:val="008347C3"/>
    <w:rsid w:val="008354D4"/>
    <w:rsid w:val="0083594F"/>
    <w:rsid w:val="00835E07"/>
    <w:rsid w:val="00836D07"/>
    <w:rsid w:val="00836E2A"/>
    <w:rsid w:val="008375B7"/>
    <w:rsid w:val="008375C5"/>
    <w:rsid w:val="0084363D"/>
    <w:rsid w:val="00843B64"/>
    <w:rsid w:val="00844630"/>
    <w:rsid w:val="0084469E"/>
    <w:rsid w:val="00844FBA"/>
    <w:rsid w:val="0084542C"/>
    <w:rsid w:val="00845866"/>
    <w:rsid w:val="00845A2C"/>
    <w:rsid w:val="00846073"/>
    <w:rsid w:val="00846523"/>
    <w:rsid w:val="00846C4E"/>
    <w:rsid w:val="00850362"/>
    <w:rsid w:val="008506DD"/>
    <w:rsid w:val="0085151D"/>
    <w:rsid w:val="0085352B"/>
    <w:rsid w:val="0086064C"/>
    <w:rsid w:val="00860DED"/>
    <w:rsid w:val="00861523"/>
    <w:rsid w:val="00863F61"/>
    <w:rsid w:val="00864C81"/>
    <w:rsid w:val="00867C08"/>
    <w:rsid w:val="00867C98"/>
    <w:rsid w:val="0087088B"/>
    <w:rsid w:val="00872354"/>
    <w:rsid w:val="008725B9"/>
    <w:rsid w:val="008737F5"/>
    <w:rsid w:val="00876DC0"/>
    <w:rsid w:val="00876FDF"/>
    <w:rsid w:val="00877020"/>
    <w:rsid w:val="00877188"/>
    <w:rsid w:val="00880D3F"/>
    <w:rsid w:val="00881795"/>
    <w:rsid w:val="00881973"/>
    <w:rsid w:val="008820DE"/>
    <w:rsid w:val="00883D54"/>
    <w:rsid w:val="00884374"/>
    <w:rsid w:val="0088437B"/>
    <w:rsid w:val="00884715"/>
    <w:rsid w:val="00885152"/>
    <w:rsid w:val="00885608"/>
    <w:rsid w:val="00891D2A"/>
    <w:rsid w:val="0089355A"/>
    <w:rsid w:val="00894488"/>
    <w:rsid w:val="00895386"/>
    <w:rsid w:val="00895722"/>
    <w:rsid w:val="008959F5"/>
    <w:rsid w:val="00895C73"/>
    <w:rsid w:val="00895CB9"/>
    <w:rsid w:val="00896528"/>
    <w:rsid w:val="0089692C"/>
    <w:rsid w:val="00896C0E"/>
    <w:rsid w:val="00896DF5"/>
    <w:rsid w:val="00897642"/>
    <w:rsid w:val="008A0277"/>
    <w:rsid w:val="008A0329"/>
    <w:rsid w:val="008A192E"/>
    <w:rsid w:val="008A2634"/>
    <w:rsid w:val="008A37A4"/>
    <w:rsid w:val="008A427E"/>
    <w:rsid w:val="008A462C"/>
    <w:rsid w:val="008A4E60"/>
    <w:rsid w:val="008A5B1D"/>
    <w:rsid w:val="008A7632"/>
    <w:rsid w:val="008B082C"/>
    <w:rsid w:val="008B13A8"/>
    <w:rsid w:val="008B1649"/>
    <w:rsid w:val="008B200C"/>
    <w:rsid w:val="008B335E"/>
    <w:rsid w:val="008B38AB"/>
    <w:rsid w:val="008B3CFC"/>
    <w:rsid w:val="008B3DB2"/>
    <w:rsid w:val="008B3F5A"/>
    <w:rsid w:val="008B4613"/>
    <w:rsid w:val="008B4AAE"/>
    <w:rsid w:val="008B4E64"/>
    <w:rsid w:val="008B5DEB"/>
    <w:rsid w:val="008B6403"/>
    <w:rsid w:val="008C005A"/>
    <w:rsid w:val="008C134A"/>
    <w:rsid w:val="008C24A7"/>
    <w:rsid w:val="008C3061"/>
    <w:rsid w:val="008C3F19"/>
    <w:rsid w:val="008C43B3"/>
    <w:rsid w:val="008C6A5B"/>
    <w:rsid w:val="008D130F"/>
    <w:rsid w:val="008D14B5"/>
    <w:rsid w:val="008D30E1"/>
    <w:rsid w:val="008D47E8"/>
    <w:rsid w:val="008D4F23"/>
    <w:rsid w:val="008D5363"/>
    <w:rsid w:val="008D5C75"/>
    <w:rsid w:val="008D601E"/>
    <w:rsid w:val="008D70B7"/>
    <w:rsid w:val="008D7FA6"/>
    <w:rsid w:val="008E11AD"/>
    <w:rsid w:val="008E2E05"/>
    <w:rsid w:val="008E327C"/>
    <w:rsid w:val="008E4721"/>
    <w:rsid w:val="008E5FB6"/>
    <w:rsid w:val="008E6454"/>
    <w:rsid w:val="008E6A6F"/>
    <w:rsid w:val="008F212C"/>
    <w:rsid w:val="008F2D9D"/>
    <w:rsid w:val="008F3D5C"/>
    <w:rsid w:val="008F44ED"/>
    <w:rsid w:val="008F4D28"/>
    <w:rsid w:val="008F53E4"/>
    <w:rsid w:val="008F5AB0"/>
    <w:rsid w:val="008F5CA2"/>
    <w:rsid w:val="008F7571"/>
    <w:rsid w:val="00900D05"/>
    <w:rsid w:val="00900E0D"/>
    <w:rsid w:val="009054CB"/>
    <w:rsid w:val="00907125"/>
    <w:rsid w:val="0091061F"/>
    <w:rsid w:val="009110B4"/>
    <w:rsid w:val="009110BA"/>
    <w:rsid w:val="00911C9D"/>
    <w:rsid w:val="009121D6"/>
    <w:rsid w:val="0091233B"/>
    <w:rsid w:val="009173C3"/>
    <w:rsid w:val="009174FF"/>
    <w:rsid w:val="0092059E"/>
    <w:rsid w:val="00920D0C"/>
    <w:rsid w:val="00923430"/>
    <w:rsid w:val="00924A7A"/>
    <w:rsid w:val="00925159"/>
    <w:rsid w:val="009259F3"/>
    <w:rsid w:val="00925A69"/>
    <w:rsid w:val="00926054"/>
    <w:rsid w:val="00930709"/>
    <w:rsid w:val="00931737"/>
    <w:rsid w:val="00931814"/>
    <w:rsid w:val="00932A6E"/>
    <w:rsid w:val="0093441F"/>
    <w:rsid w:val="009347D4"/>
    <w:rsid w:val="0093526D"/>
    <w:rsid w:val="00935855"/>
    <w:rsid w:val="00937993"/>
    <w:rsid w:val="00937AA9"/>
    <w:rsid w:val="00940132"/>
    <w:rsid w:val="00941DEF"/>
    <w:rsid w:val="00943FC5"/>
    <w:rsid w:val="00944492"/>
    <w:rsid w:val="009455A1"/>
    <w:rsid w:val="0094645E"/>
    <w:rsid w:val="00946769"/>
    <w:rsid w:val="00947585"/>
    <w:rsid w:val="00950B10"/>
    <w:rsid w:val="00951A8E"/>
    <w:rsid w:val="009527DF"/>
    <w:rsid w:val="00952AE6"/>
    <w:rsid w:val="00952EFB"/>
    <w:rsid w:val="00953CCD"/>
    <w:rsid w:val="00954047"/>
    <w:rsid w:val="00954674"/>
    <w:rsid w:val="009549C8"/>
    <w:rsid w:val="00954E08"/>
    <w:rsid w:val="00955402"/>
    <w:rsid w:val="00956395"/>
    <w:rsid w:val="00957FE5"/>
    <w:rsid w:val="00960F88"/>
    <w:rsid w:val="00962E25"/>
    <w:rsid w:val="00963C1D"/>
    <w:rsid w:val="00963CF7"/>
    <w:rsid w:val="00964303"/>
    <w:rsid w:val="00964A5D"/>
    <w:rsid w:val="00966CE3"/>
    <w:rsid w:val="00966DBC"/>
    <w:rsid w:val="00967A52"/>
    <w:rsid w:val="009708EA"/>
    <w:rsid w:val="00971444"/>
    <w:rsid w:val="00972355"/>
    <w:rsid w:val="00972486"/>
    <w:rsid w:val="009726DD"/>
    <w:rsid w:val="009760AA"/>
    <w:rsid w:val="00976444"/>
    <w:rsid w:val="009772BF"/>
    <w:rsid w:val="00981506"/>
    <w:rsid w:val="009842EE"/>
    <w:rsid w:val="0098486F"/>
    <w:rsid w:val="00984E8E"/>
    <w:rsid w:val="009862DD"/>
    <w:rsid w:val="00987257"/>
    <w:rsid w:val="00990705"/>
    <w:rsid w:val="00990FD8"/>
    <w:rsid w:val="00991020"/>
    <w:rsid w:val="009912B0"/>
    <w:rsid w:val="00991551"/>
    <w:rsid w:val="00991FCE"/>
    <w:rsid w:val="009923D6"/>
    <w:rsid w:val="00992B24"/>
    <w:rsid w:val="0099337D"/>
    <w:rsid w:val="0099416D"/>
    <w:rsid w:val="00995441"/>
    <w:rsid w:val="00995D85"/>
    <w:rsid w:val="00997657"/>
    <w:rsid w:val="009A00F0"/>
    <w:rsid w:val="009A1119"/>
    <w:rsid w:val="009A23BD"/>
    <w:rsid w:val="009A3404"/>
    <w:rsid w:val="009A3709"/>
    <w:rsid w:val="009A4D10"/>
    <w:rsid w:val="009A62CD"/>
    <w:rsid w:val="009A6BA7"/>
    <w:rsid w:val="009A6CD0"/>
    <w:rsid w:val="009A7FC5"/>
    <w:rsid w:val="009B286E"/>
    <w:rsid w:val="009B2E63"/>
    <w:rsid w:val="009B482D"/>
    <w:rsid w:val="009B5520"/>
    <w:rsid w:val="009B594B"/>
    <w:rsid w:val="009B745E"/>
    <w:rsid w:val="009B7936"/>
    <w:rsid w:val="009C075D"/>
    <w:rsid w:val="009C0850"/>
    <w:rsid w:val="009C0FC0"/>
    <w:rsid w:val="009C3B45"/>
    <w:rsid w:val="009C6CCF"/>
    <w:rsid w:val="009C6CEA"/>
    <w:rsid w:val="009D05D1"/>
    <w:rsid w:val="009D7CC9"/>
    <w:rsid w:val="009E1F21"/>
    <w:rsid w:val="009E256B"/>
    <w:rsid w:val="009E3837"/>
    <w:rsid w:val="009E47C8"/>
    <w:rsid w:val="009E504F"/>
    <w:rsid w:val="009E5818"/>
    <w:rsid w:val="009E5DC4"/>
    <w:rsid w:val="009E6764"/>
    <w:rsid w:val="009E67D7"/>
    <w:rsid w:val="009E731B"/>
    <w:rsid w:val="009F0529"/>
    <w:rsid w:val="009F2C55"/>
    <w:rsid w:val="009F4613"/>
    <w:rsid w:val="009F53C2"/>
    <w:rsid w:val="009F6FDF"/>
    <w:rsid w:val="00A00D4F"/>
    <w:rsid w:val="00A0221A"/>
    <w:rsid w:val="00A05DB4"/>
    <w:rsid w:val="00A11005"/>
    <w:rsid w:val="00A110B3"/>
    <w:rsid w:val="00A11771"/>
    <w:rsid w:val="00A12D19"/>
    <w:rsid w:val="00A12EB6"/>
    <w:rsid w:val="00A1345D"/>
    <w:rsid w:val="00A13F1E"/>
    <w:rsid w:val="00A140F5"/>
    <w:rsid w:val="00A1421D"/>
    <w:rsid w:val="00A14553"/>
    <w:rsid w:val="00A1584C"/>
    <w:rsid w:val="00A16360"/>
    <w:rsid w:val="00A17436"/>
    <w:rsid w:val="00A1795C"/>
    <w:rsid w:val="00A17AA7"/>
    <w:rsid w:val="00A17DDB"/>
    <w:rsid w:val="00A20511"/>
    <w:rsid w:val="00A2220E"/>
    <w:rsid w:val="00A24C5C"/>
    <w:rsid w:val="00A25189"/>
    <w:rsid w:val="00A2639B"/>
    <w:rsid w:val="00A2657A"/>
    <w:rsid w:val="00A273CB"/>
    <w:rsid w:val="00A27600"/>
    <w:rsid w:val="00A31F26"/>
    <w:rsid w:val="00A32894"/>
    <w:rsid w:val="00A32FA8"/>
    <w:rsid w:val="00A330C7"/>
    <w:rsid w:val="00A3339A"/>
    <w:rsid w:val="00A3398B"/>
    <w:rsid w:val="00A34242"/>
    <w:rsid w:val="00A353E2"/>
    <w:rsid w:val="00A35E5B"/>
    <w:rsid w:val="00A36163"/>
    <w:rsid w:val="00A3641A"/>
    <w:rsid w:val="00A4086E"/>
    <w:rsid w:val="00A40D87"/>
    <w:rsid w:val="00A412B5"/>
    <w:rsid w:val="00A42378"/>
    <w:rsid w:val="00A43ACA"/>
    <w:rsid w:val="00A44A17"/>
    <w:rsid w:val="00A44F17"/>
    <w:rsid w:val="00A4746B"/>
    <w:rsid w:val="00A50BA7"/>
    <w:rsid w:val="00A521CF"/>
    <w:rsid w:val="00A52503"/>
    <w:rsid w:val="00A52639"/>
    <w:rsid w:val="00A52D8E"/>
    <w:rsid w:val="00A539D9"/>
    <w:rsid w:val="00A53C1A"/>
    <w:rsid w:val="00A549AB"/>
    <w:rsid w:val="00A55E9A"/>
    <w:rsid w:val="00A56CA4"/>
    <w:rsid w:val="00A56F4E"/>
    <w:rsid w:val="00A60634"/>
    <w:rsid w:val="00A60E2A"/>
    <w:rsid w:val="00A610C0"/>
    <w:rsid w:val="00A619CA"/>
    <w:rsid w:val="00A62BDC"/>
    <w:rsid w:val="00A6372F"/>
    <w:rsid w:val="00A63B0D"/>
    <w:rsid w:val="00A64082"/>
    <w:rsid w:val="00A65608"/>
    <w:rsid w:val="00A65859"/>
    <w:rsid w:val="00A667B0"/>
    <w:rsid w:val="00A674C4"/>
    <w:rsid w:val="00A67724"/>
    <w:rsid w:val="00A67C5B"/>
    <w:rsid w:val="00A706BB"/>
    <w:rsid w:val="00A7173A"/>
    <w:rsid w:val="00A719BE"/>
    <w:rsid w:val="00A72F51"/>
    <w:rsid w:val="00A73302"/>
    <w:rsid w:val="00A73428"/>
    <w:rsid w:val="00A752E2"/>
    <w:rsid w:val="00A759C4"/>
    <w:rsid w:val="00A75FCE"/>
    <w:rsid w:val="00A7626A"/>
    <w:rsid w:val="00A76DE8"/>
    <w:rsid w:val="00A830E9"/>
    <w:rsid w:val="00A858D7"/>
    <w:rsid w:val="00A8678F"/>
    <w:rsid w:val="00A86EB6"/>
    <w:rsid w:val="00A87D5E"/>
    <w:rsid w:val="00A87FC5"/>
    <w:rsid w:val="00A91428"/>
    <w:rsid w:val="00A91894"/>
    <w:rsid w:val="00A9214C"/>
    <w:rsid w:val="00A945A7"/>
    <w:rsid w:val="00A95138"/>
    <w:rsid w:val="00A951FC"/>
    <w:rsid w:val="00A9572E"/>
    <w:rsid w:val="00A95CB6"/>
    <w:rsid w:val="00A96594"/>
    <w:rsid w:val="00A96738"/>
    <w:rsid w:val="00A97261"/>
    <w:rsid w:val="00A97C8F"/>
    <w:rsid w:val="00A97C9B"/>
    <w:rsid w:val="00AA0490"/>
    <w:rsid w:val="00AA0D90"/>
    <w:rsid w:val="00AA0F86"/>
    <w:rsid w:val="00AA13F8"/>
    <w:rsid w:val="00AA23B7"/>
    <w:rsid w:val="00AA2AE1"/>
    <w:rsid w:val="00AA2B4F"/>
    <w:rsid w:val="00AA32A1"/>
    <w:rsid w:val="00AA4E66"/>
    <w:rsid w:val="00AA7904"/>
    <w:rsid w:val="00AA7BCB"/>
    <w:rsid w:val="00AA7D71"/>
    <w:rsid w:val="00AB1593"/>
    <w:rsid w:val="00AB1FAA"/>
    <w:rsid w:val="00AB21E7"/>
    <w:rsid w:val="00AB262C"/>
    <w:rsid w:val="00AB3846"/>
    <w:rsid w:val="00AB497F"/>
    <w:rsid w:val="00AB54DD"/>
    <w:rsid w:val="00AB612A"/>
    <w:rsid w:val="00AB719A"/>
    <w:rsid w:val="00AB7988"/>
    <w:rsid w:val="00AC0153"/>
    <w:rsid w:val="00AC14AB"/>
    <w:rsid w:val="00AC14EF"/>
    <w:rsid w:val="00AC26D7"/>
    <w:rsid w:val="00AC2B1B"/>
    <w:rsid w:val="00AC31BD"/>
    <w:rsid w:val="00AC3959"/>
    <w:rsid w:val="00AC4E10"/>
    <w:rsid w:val="00AC523B"/>
    <w:rsid w:val="00AC674E"/>
    <w:rsid w:val="00AC758A"/>
    <w:rsid w:val="00AD1B15"/>
    <w:rsid w:val="00AD30B6"/>
    <w:rsid w:val="00AD3262"/>
    <w:rsid w:val="00AD36E5"/>
    <w:rsid w:val="00AD4671"/>
    <w:rsid w:val="00AD46BE"/>
    <w:rsid w:val="00AD630F"/>
    <w:rsid w:val="00AD6CE0"/>
    <w:rsid w:val="00AD7559"/>
    <w:rsid w:val="00AD7DFE"/>
    <w:rsid w:val="00AE0E78"/>
    <w:rsid w:val="00AE1C92"/>
    <w:rsid w:val="00AE22E9"/>
    <w:rsid w:val="00AE2478"/>
    <w:rsid w:val="00AE3C83"/>
    <w:rsid w:val="00AE3E37"/>
    <w:rsid w:val="00AE4B6F"/>
    <w:rsid w:val="00AE4E8D"/>
    <w:rsid w:val="00AE55F2"/>
    <w:rsid w:val="00AE5B9E"/>
    <w:rsid w:val="00AE5F7C"/>
    <w:rsid w:val="00AE7697"/>
    <w:rsid w:val="00AE7AE7"/>
    <w:rsid w:val="00AF1C43"/>
    <w:rsid w:val="00AF1D06"/>
    <w:rsid w:val="00AF4CD3"/>
    <w:rsid w:val="00AF4E88"/>
    <w:rsid w:val="00AF5A6F"/>
    <w:rsid w:val="00AF5D50"/>
    <w:rsid w:val="00AF65B7"/>
    <w:rsid w:val="00AF6BB8"/>
    <w:rsid w:val="00B01475"/>
    <w:rsid w:val="00B0213C"/>
    <w:rsid w:val="00B022C5"/>
    <w:rsid w:val="00B03BDD"/>
    <w:rsid w:val="00B04616"/>
    <w:rsid w:val="00B0483C"/>
    <w:rsid w:val="00B05F70"/>
    <w:rsid w:val="00B065BC"/>
    <w:rsid w:val="00B06636"/>
    <w:rsid w:val="00B06A68"/>
    <w:rsid w:val="00B06FA0"/>
    <w:rsid w:val="00B10503"/>
    <w:rsid w:val="00B116AC"/>
    <w:rsid w:val="00B12913"/>
    <w:rsid w:val="00B16133"/>
    <w:rsid w:val="00B165E7"/>
    <w:rsid w:val="00B16795"/>
    <w:rsid w:val="00B16E05"/>
    <w:rsid w:val="00B17667"/>
    <w:rsid w:val="00B17A4D"/>
    <w:rsid w:val="00B20214"/>
    <w:rsid w:val="00B20A17"/>
    <w:rsid w:val="00B21E16"/>
    <w:rsid w:val="00B22CB7"/>
    <w:rsid w:val="00B22ED7"/>
    <w:rsid w:val="00B23674"/>
    <w:rsid w:val="00B2477F"/>
    <w:rsid w:val="00B25015"/>
    <w:rsid w:val="00B30D8A"/>
    <w:rsid w:val="00B3216C"/>
    <w:rsid w:val="00B3220F"/>
    <w:rsid w:val="00B35D13"/>
    <w:rsid w:val="00B364FA"/>
    <w:rsid w:val="00B36B5C"/>
    <w:rsid w:val="00B3789C"/>
    <w:rsid w:val="00B37AD8"/>
    <w:rsid w:val="00B407CA"/>
    <w:rsid w:val="00B40EFB"/>
    <w:rsid w:val="00B42535"/>
    <w:rsid w:val="00B43B1D"/>
    <w:rsid w:val="00B4497E"/>
    <w:rsid w:val="00B44A42"/>
    <w:rsid w:val="00B44B9A"/>
    <w:rsid w:val="00B450DD"/>
    <w:rsid w:val="00B454F7"/>
    <w:rsid w:val="00B456C2"/>
    <w:rsid w:val="00B47F0F"/>
    <w:rsid w:val="00B51956"/>
    <w:rsid w:val="00B51FBC"/>
    <w:rsid w:val="00B52275"/>
    <w:rsid w:val="00B529CB"/>
    <w:rsid w:val="00B543F8"/>
    <w:rsid w:val="00B558BD"/>
    <w:rsid w:val="00B62160"/>
    <w:rsid w:val="00B624A9"/>
    <w:rsid w:val="00B629DA"/>
    <w:rsid w:val="00B62D77"/>
    <w:rsid w:val="00B66223"/>
    <w:rsid w:val="00B66281"/>
    <w:rsid w:val="00B6667E"/>
    <w:rsid w:val="00B667F7"/>
    <w:rsid w:val="00B67066"/>
    <w:rsid w:val="00B67486"/>
    <w:rsid w:val="00B70F35"/>
    <w:rsid w:val="00B72313"/>
    <w:rsid w:val="00B72B28"/>
    <w:rsid w:val="00B72E3F"/>
    <w:rsid w:val="00B73063"/>
    <w:rsid w:val="00B73583"/>
    <w:rsid w:val="00B736A4"/>
    <w:rsid w:val="00B73B08"/>
    <w:rsid w:val="00B758CD"/>
    <w:rsid w:val="00B760CB"/>
    <w:rsid w:val="00B76D7A"/>
    <w:rsid w:val="00B77608"/>
    <w:rsid w:val="00B7775B"/>
    <w:rsid w:val="00B80E21"/>
    <w:rsid w:val="00B80F75"/>
    <w:rsid w:val="00B81271"/>
    <w:rsid w:val="00B817AF"/>
    <w:rsid w:val="00B83575"/>
    <w:rsid w:val="00B84798"/>
    <w:rsid w:val="00B8526B"/>
    <w:rsid w:val="00B85837"/>
    <w:rsid w:val="00B858FB"/>
    <w:rsid w:val="00B87445"/>
    <w:rsid w:val="00B87684"/>
    <w:rsid w:val="00B90361"/>
    <w:rsid w:val="00B9054D"/>
    <w:rsid w:val="00B909C0"/>
    <w:rsid w:val="00B918A6"/>
    <w:rsid w:val="00B91CF7"/>
    <w:rsid w:val="00B91D8F"/>
    <w:rsid w:val="00B92644"/>
    <w:rsid w:val="00B942A5"/>
    <w:rsid w:val="00B956F3"/>
    <w:rsid w:val="00B9582A"/>
    <w:rsid w:val="00BA0065"/>
    <w:rsid w:val="00BA04DE"/>
    <w:rsid w:val="00BA0B27"/>
    <w:rsid w:val="00BA0ED2"/>
    <w:rsid w:val="00BA1CA4"/>
    <w:rsid w:val="00BA3715"/>
    <w:rsid w:val="00BA3B2F"/>
    <w:rsid w:val="00BA4096"/>
    <w:rsid w:val="00BA4464"/>
    <w:rsid w:val="00BA4784"/>
    <w:rsid w:val="00BA4B87"/>
    <w:rsid w:val="00BA506B"/>
    <w:rsid w:val="00BA5441"/>
    <w:rsid w:val="00BA5B38"/>
    <w:rsid w:val="00BA6153"/>
    <w:rsid w:val="00BA6959"/>
    <w:rsid w:val="00BA6962"/>
    <w:rsid w:val="00BA79B2"/>
    <w:rsid w:val="00BB1A38"/>
    <w:rsid w:val="00BB1DFF"/>
    <w:rsid w:val="00BB370A"/>
    <w:rsid w:val="00BB3754"/>
    <w:rsid w:val="00BB5238"/>
    <w:rsid w:val="00BB5C77"/>
    <w:rsid w:val="00BB6855"/>
    <w:rsid w:val="00BB73FF"/>
    <w:rsid w:val="00BB784B"/>
    <w:rsid w:val="00BB7B4D"/>
    <w:rsid w:val="00BC0B88"/>
    <w:rsid w:val="00BC3850"/>
    <w:rsid w:val="00BC424B"/>
    <w:rsid w:val="00BC4A38"/>
    <w:rsid w:val="00BC6397"/>
    <w:rsid w:val="00BC658E"/>
    <w:rsid w:val="00BC7DC7"/>
    <w:rsid w:val="00BD1894"/>
    <w:rsid w:val="00BD2843"/>
    <w:rsid w:val="00BD2D25"/>
    <w:rsid w:val="00BD6B68"/>
    <w:rsid w:val="00BE05EA"/>
    <w:rsid w:val="00BE0746"/>
    <w:rsid w:val="00BE0A18"/>
    <w:rsid w:val="00BE1DE8"/>
    <w:rsid w:val="00BE2570"/>
    <w:rsid w:val="00BE31FA"/>
    <w:rsid w:val="00BF07C4"/>
    <w:rsid w:val="00BF0B43"/>
    <w:rsid w:val="00BF281A"/>
    <w:rsid w:val="00BF2825"/>
    <w:rsid w:val="00BF374B"/>
    <w:rsid w:val="00BF46CA"/>
    <w:rsid w:val="00BF5064"/>
    <w:rsid w:val="00BF5448"/>
    <w:rsid w:val="00BF7307"/>
    <w:rsid w:val="00C01613"/>
    <w:rsid w:val="00C0389E"/>
    <w:rsid w:val="00C03A2F"/>
    <w:rsid w:val="00C072F6"/>
    <w:rsid w:val="00C10E6B"/>
    <w:rsid w:val="00C12A0A"/>
    <w:rsid w:val="00C12DBD"/>
    <w:rsid w:val="00C148DC"/>
    <w:rsid w:val="00C15F32"/>
    <w:rsid w:val="00C166C5"/>
    <w:rsid w:val="00C16ABB"/>
    <w:rsid w:val="00C170B8"/>
    <w:rsid w:val="00C2094A"/>
    <w:rsid w:val="00C21C0D"/>
    <w:rsid w:val="00C22C00"/>
    <w:rsid w:val="00C262DC"/>
    <w:rsid w:val="00C26343"/>
    <w:rsid w:val="00C265B5"/>
    <w:rsid w:val="00C26839"/>
    <w:rsid w:val="00C26ABB"/>
    <w:rsid w:val="00C27040"/>
    <w:rsid w:val="00C31C45"/>
    <w:rsid w:val="00C328C2"/>
    <w:rsid w:val="00C33BFB"/>
    <w:rsid w:val="00C34887"/>
    <w:rsid w:val="00C34A83"/>
    <w:rsid w:val="00C362CB"/>
    <w:rsid w:val="00C368A0"/>
    <w:rsid w:val="00C36A5F"/>
    <w:rsid w:val="00C37880"/>
    <w:rsid w:val="00C40E56"/>
    <w:rsid w:val="00C4104B"/>
    <w:rsid w:val="00C4287E"/>
    <w:rsid w:val="00C444FA"/>
    <w:rsid w:val="00C44585"/>
    <w:rsid w:val="00C46030"/>
    <w:rsid w:val="00C46620"/>
    <w:rsid w:val="00C4671E"/>
    <w:rsid w:val="00C47E08"/>
    <w:rsid w:val="00C53610"/>
    <w:rsid w:val="00C53894"/>
    <w:rsid w:val="00C53D13"/>
    <w:rsid w:val="00C541C2"/>
    <w:rsid w:val="00C55C6D"/>
    <w:rsid w:val="00C61995"/>
    <w:rsid w:val="00C62EE1"/>
    <w:rsid w:val="00C6342E"/>
    <w:rsid w:val="00C63459"/>
    <w:rsid w:val="00C63F20"/>
    <w:rsid w:val="00C6411B"/>
    <w:rsid w:val="00C65760"/>
    <w:rsid w:val="00C72B3E"/>
    <w:rsid w:val="00C73260"/>
    <w:rsid w:val="00C73C5D"/>
    <w:rsid w:val="00C743E0"/>
    <w:rsid w:val="00C74CFC"/>
    <w:rsid w:val="00C77315"/>
    <w:rsid w:val="00C80809"/>
    <w:rsid w:val="00C8082E"/>
    <w:rsid w:val="00C80DC2"/>
    <w:rsid w:val="00C8104F"/>
    <w:rsid w:val="00C81244"/>
    <w:rsid w:val="00C818F2"/>
    <w:rsid w:val="00C81AF0"/>
    <w:rsid w:val="00C81DD2"/>
    <w:rsid w:val="00C8326A"/>
    <w:rsid w:val="00C83B6B"/>
    <w:rsid w:val="00C83C08"/>
    <w:rsid w:val="00C841AC"/>
    <w:rsid w:val="00C84495"/>
    <w:rsid w:val="00C84C6B"/>
    <w:rsid w:val="00C8572F"/>
    <w:rsid w:val="00C85CC5"/>
    <w:rsid w:val="00C92441"/>
    <w:rsid w:val="00C92596"/>
    <w:rsid w:val="00C93051"/>
    <w:rsid w:val="00C931F1"/>
    <w:rsid w:val="00C94DC9"/>
    <w:rsid w:val="00C954BD"/>
    <w:rsid w:val="00C95DAA"/>
    <w:rsid w:val="00C96481"/>
    <w:rsid w:val="00C96B9D"/>
    <w:rsid w:val="00C96D01"/>
    <w:rsid w:val="00C97418"/>
    <w:rsid w:val="00C97D2D"/>
    <w:rsid w:val="00CA18C2"/>
    <w:rsid w:val="00CA3E27"/>
    <w:rsid w:val="00CA3F24"/>
    <w:rsid w:val="00CA7EEA"/>
    <w:rsid w:val="00CB0F5A"/>
    <w:rsid w:val="00CB19A9"/>
    <w:rsid w:val="00CB1C54"/>
    <w:rsid w:val="00CB1DFF"/>
    <w:rsid w:val="00CB5B4C"/>
    <w:rsid w:val="00CB6AC5"/>
    <w:rsid w:val="00CB71D6"/>
    <w:rsid w:val="00CB7EA4"/>
    <w:rsid w:val="00CC0384"/>
    <w:rsid w:val="00CC06FE"/>
    <w:rsid w:val="00CC0A69"/>
    <w:rsid w:val="00CC0C65"/>
    <w:rsid w:val="00CC4949"/>
    <w:rsid w:val="00CC65A2"/>
    <w:rsid w:val="00CC6F3F"/>
    <w:rsid w:val="00CC7D94"/>
    <w:rsid w:val="00CD192A"/>
    <w:rsid w:val="00CD1C1C"/>
    <w:rsid w:val="00CD214B"/>
    <w:rsid w:val="00CD25A5"/>
    <w:rsid w:val="00CD50A4"/>
    <w:rsid w:val="00CD5622"/>
    <w:rsid w:val="00CD5970"/>
    <w:rsid w:val="00CD76DD"/>
    <w:rsid w:val="00CD76F6"/>
    <w:rsid w:val="00CE1BBD"/>
    <w:rsid w:val="00CE3D82"/>
    <w:rsid w:val="00CE7C5B"/>
    <w:rsid w:val="00CE7DCA"/>
    <w:rsid w:val="00CF0188"/>
    <w:rsid w:val="00CF1455"/>
    <w:rsid w:val="00CF1A60"/>
    <w:rsid w:val="00CF2DBC"/>
    <w:rsid w:val="00CF2E4A"/>
    <w:rsid w:val="00CF439D"/>
    <w:rsid w:val="00CF53E6"/>
    <w:rsid w:val="00CF5644"/>
    <w:rsid w:val="00CF74E4"/>
    <w:rsid w:val="00CF7772"/>
    <w:rsid w:val="00D02096"/>
    <w:rsid w:val="00D068AE"/>
    <w:rsid w:val="00D072F7"/>
    <w:rsid w:val="00D10762"/>
    <w:rsid w:val="00D11C0B"/>
    <w:rsid w:val="00D12A63"/>
    <w:rsid w:val="00D13F03"/>
    <w:rsid w:val="00D14080"/>
    <w:rsid w:val="00D1420B"/>
    <w:rsid w:val="00D161A1"/>
    <w:rsid w:val="00D16274"/>
    <w:rsid w:val="00D1704F"/>
    <w:rsid w:val="00D17215"/>
    <w:rsid w:val="00D200EA"/>
    <w:rsid w:val="00D20B2A"/>
    <w:rsid w:val="00D217D3"/>
    <w:rsid w:val="00D224ED"/>
    <w:rsid w:val="00D24875"/>
    <w:rsid w:val="00D250CF"/>
    <w:rsid w:val="00D254F4"/>
    <w:rsid w:val="00D25555"/>
    <w:rsid w:val="00D25991"/>
    <w:rsid w:val="00D270F7"/>
    <w:rsid w:val="00D273F2"/>
    <w:rsid w:val="00D30332"/>
    <w:rsid w:val="00D3193D"/>
    <w:rsid w:val="00D32383"/>
    <w:rsid w:val="00D32DEC"/>
    <w:rsid w:val="00D33281"/>
    <w:rsid w:val="00D33BDB"/>
    <w:rsid w:val="00D33FA6"/>
    <w:rsid w:val="00D3506B"/>
    <w:rsid w:val="00D35C0F"/>
    <w:rsid w:val="00D3620A"/>
    <w:rsid w:val="00D4104F"/>
    <w:rsid w:val="00D4408D"/>
    <w:rsid w:val="00D44D4B"/>
    <w:rsid w:val="00D470BD"/>
    <w:rsid w:val="00D4718F"/>
    <w:rsid w:val="00D47A51"/>
    <w:rsid w:val="00D47EB3"/>
    <w:rsid w:val="00D51558"/>
    <w:rsid w:val="00D521D4"/>
    <w:rsid w:val="00D52C57"/>
    <w:rsid w:val="00D5494B"/>
    <w:rsid w:val="00D54AD8"/>
    <w:rsid w:val="00D55BDA"/>
    <w:rsid w:val="00D55D0F"/>
    <w:rsid w:val="00D5765C"/>
    <w:rsid w:val="00D60A2C"/>
    <w:rsid w:val="00D63D4C"/>
    <w:rsid w:val="00D6586E"/>
    <w:rsid w:val="00D65921"/>
    <w:rsid w:val="00D66549"/>
    <w:rsid w:val="00D668A3"/>
    <w:rsid w:val="00D67FED"/>
    <w:rsid w:val="00D715DF"/>
    <w:rsid w:val="00D719DB"/>
    <w:rsid w:val="00D7279C"/>
    <w:rsid w:val="00D733BA"/>
    <w:rsid w:val="00D764CA"/>
    <w:rsid w:val="00D7719F"/>
    <w:rsid w:val="00D8002C"/>
    <w:rsid w:val="00D80417"/>
    <w:rsid w:val="00D807FD"/>
    <w:rsid w:val="00D80F9A"/>
    <w:rsid w:val="00D8137E"/>
    <w:rsid w:val="00D815F2"/>
    <w:rsid w:val="00D8209C"/>
    <w:rsid w:val="00D901C5"/>
    <w:rsid w:val="00D902E8"/>
    <w:rsid w:val="00D9059F"/>
    <w:rsid w:val="00D90D29"/>
    <w:rsid w:val="00D90EB9"/>
    <w:rsid w:val="00D9193A"/>
    <w:rsid w:val="00D91A9F"/>
    <w:rsid w:val="00D92433"/>
    <w:rsid w:val="00D954DE"/>
    <w:rsid w:val="00D95C37"/>
    <w:rsid w:val="00D96257"/>
    <w:rsid w:val="00D97679"/>
    <w:rsid w:val="00DA01B0"/>
    <w:rsid w:val="00DA0285"/>
    <w:rsid w:val="00DA084A"/>
    <w:rsid w:val="00DA318C"/>
    <w:rsid w:val="00DA34C4"/>
    <w:rsid w:val="00DA34C9"/>
    <w:rsid w:val="00DA4643"/>
    <w:rsid w:val="00DA4AC9"/>
    <w:rsid w:val="00DA5B36"/>
    <w:rsid w:val="00DA5F37"/>
    <w:rsid w:val="00DA656F"/>
    <w:rsid w:val="00DA7A4B"/>
    <w:rsid w:val="00DB168C"/>
    <w:rsid w:val="00DB33DE"/>
    <w:rsid w:val="00DB5293"/>
    <w:rsid w:val="00DB6679"/>
    <w:rsid w:val="00DB759B"/>
    <w:rsid w:val="00DB7AA5"/>
    <w:rsid w:val="00DC047A"/>
    <w:rsid w:val="00DC0606"/>
    <w:rsid w:val="00DC12E1"/>
    <w:rsid w:val="00DC1961"/>
    <w:rsid w:val="00DC201A"/>
    <w:rsid w:val="00DC32E9"/>
    <w:rsid w:val="00DC3733"/>
    <w:rsid w:val="00DC3F7D"/>
    <w:rsid w:val="00DC498A"/>
    <w:rsid w:val="00DC60EA"/>
    <w:rsid w:val="00DC6351"/>
    <w:rsid w:val="00DC7843"/>
    <w:rsid w:val="00DD0641"/>
    <w:rsid w:val="00DD182A"/>
    <w:rsid w:val="00DD1F0F"/>
    <w:rsid w:val="00DD35D9"/>
    <w:rsid w:val="00DD50CB"/>
    <w:rsid w:val="00DD5540"/>
    <w:rsid w:val="00DD58CB"/>
    <w:rsid w:val="00DD6295"/>
    <w:rsid w:val="00DE028C"/>
    <w:rsid w:val="00DE03B9"/>
    <w:rsid w:val="00DE2B52"/>
    <w:rsid w:val="00DE338C"/>
    <w:rsid w:val="00DE3514"/>
    <w:rsid w:val="00DE5643"/>
    <w:rsid w:val="00DE6752"/>
    <w:rsid w:val="00DE6D82"/>
    <w:rsid w:val="00DE78EC"/>
    <w:rsid w:val="00DE78F1"/>
    <w:rsid w:val="00DE7DAE"/>
    <w:rsid w:val="00DF06B6"/>
    <w:rsid w:val="00DF2042"/>
    <w:rsid w:val="00DF204C"/>
    <w:rsid w:val="00DF3BD3"/>
    <w:rsid w:val="00DF47A2"/>
    <w:rsid w:val="00DF52BA"/>
    <w:rsid w:val="00DF5ACF"/>
    <w:rsid w:val="00E010F8"/>
    <w:rsid w:val="00E01820"/>
    <w:rsid w:val="00E01F36"/>
    <w:rsid w:val="00E020EA"/>
    <w:rsid w:val="00E024A5"/>
    <w:rsid w:val="00E02796"/>
    <w:rsid w:val="00E02AF2"/>
    <w:rsid w:val="00E02FCF"/>
    <w:rsid w:val="00E03AC5"/>
    <w:rsid w:val="00E05254"/>
    <w:rsid w:val="00E060BD"/>
    <w:rsid w:val="00E06BF0"/>
    <w:rsid w:val="00E11A59"/>
    <w:rsid w:val="00E12267"/>
    <w:rsid w:val="00E12794"/>
    <w:rsid w:val="00E13B11"/>
    <w:rsid w:val="00E13BDB"/>
    <w:rsid w:val="00E15C02"/>
    <w:rsid w:val="00E17028"/>
    <w:rsid w:val="00E173ED"/>
    <w:rsid w:val="00E206CC"/>
    <w:rsid w:val="00E207A6"/>
    <w:rsid w:val="00E208EE"/>
    <w:rsid w:val="00E20FA5"/>
    <w:rsid w:val="00E21023"/>
    <w:rsid w:val="00E212D1"/>
    <w:rsid w:val="00E21F9F"/>
    <w:rsid w:val="00E226FB"/>
    <w:rsid w:val="00E23061"/>
    <w:rsid w:val="00E2500B"/>
    <w:rsid w:val="00E2521A"/>
    <w:rsid w:val="00E26301"/>
    <w:rsid w:val="00E27B0F"/>
    <w:rsid w:val="00E31338"/>
    <w:rsid w:val="00E31B5E"/>
    <w:rsid w:val="00E32E9D"/>
    <w:rsid w:val="00E338EE"/>
    <w:rsid w:val="00E338F3"/>
    <w:rsid w:val="00E342C2"/>
    <w:rsid w:val="00E36094"/>
    <w:rsid w:val="00E37DC9"/>
    <w:rsid w:val="00E42232"/>
    <w:rsid w:val="00E42957"/>
    <w:rsid w:val="00E42DC3"/>
    <w:rsid w:val="00E4306F"/>
    <w:rsid w:val="00E4337E"/>
    <w:rsid w:val="00E433B0"/>
    <w:rsid w:val="00E433B1"/>
    <w:rsid w:val="00E438BB"/>
    <w:rsid w:val="00E43DE6"/>
    <w:rsid w:val="00E43F8D"/>
    <w:rsid w:val="00E44653"/>
    <w:rsid w:val="00E449C1"/>
    <w:rsid w:val="00E44F56"/>
    <w:rsid w:val="00E4582F"/>
    <w:rsid w:val="00E46130"/>
    <w:rsid w:val="00E47D18"/>
    <w:rsid w:val="00E47F82"/>
    <w:rsid w:val="00E50173"/>
    <w:rsid w:val="00E52D95"/>
    <w:rsid w:val="00E5396E"/>
    <w:rsid w:val="00E54D36"/>
    <w:rsid w:val="00E55994"/>
    <w:rsid w:val="00E55B94"/>
    <w:rsid w:val="00E56F6F"/>
    <w:rsid w:val="00E57696"/>
    <w:rsid w:val="00E60068"/>
    <w:rsid w:val="00E6009A"/>
    <w:rsid w:val="00E605E9"/>
    <w:rsid w:val="00E61E8A"/>
    <w:rsid w:val="00E63535"/>
    <w:rsid w:val="00E64C76"/>
    <w:rsid w:val="00E66595"/>
    <w:rsid w:val="00E72324"/>
    <w:rsid w:val="00E73067"/>
    <w:rsid w:val="00E75517"/>
    <w:rsid w:val="00E7586C"/>
    <w:rsid w:val="00E7595E"/>
    <w:rsid w:val="00E76747"/>
    <w:rsid w:val="00E8034B"/>
    <w:rsid w:val="00E804B0"/>
    <w:rsid w:val="00E8067F"/>
    <w:rsid w:val="00E80A5C"/>
    <w:rsid w:val="00E813C4"/>
    <w:rsid w:val="00E8145E"/>
    <w:rsid w:val="00E84D1F"/>
    <w:rsid w:val="00E85044"/>
    <w:rsid w:val="00E85A06"/>
    <w:rsid w:val="00E87505"/>
    <w:rsid w:val="00E878B4"/>
    <w:rsid w:val="00E90649"/>
    <w:rsid w:val="00E9316E"/>
    <w:rsid w:val="00E9338C"/>
    <w:rsid w:val="00E95B56"/>
    <w:rsid w:val="00E96C66"/>
    <w:rsid w:val="00E96F5D"/>
    <w:rsid w:val="00E97017"/>
    <w:rsid w:val="00EA04CF"/>
    <w:rsid w:val="00EA1D2E"/>
    <w:rsid w:val="00EA1DEB"/>
    <w:rsid w:val="00EA2C12"/>
    <w:rsid w:val="00EA35F4"/>
    <w:rsid w:val="00EA4E7D"/>
    <w:rsid w:val="00EA514F"/>
    <w:rsid w:val="00EA5403"/>
    <w:rsid w:val="00EA74A0"/>
    <w:rsid w:val="00EA7BEE"/>
    <w:rsid w:val="00EB121D"/>
    <w:rsid w:val="00EB184C"/>
    <w:rsid w:val="00EB366A"/>
    <w:rsid w:val="00EB366C"/>
    <w:rsid w:val="00EB4E75"/>
    <w:rsid w:val="00EB66A6"/>
    <w:rsid w:val="00EB67E3"/>
    <w:rsid w:val="00EB76A0"/>
    <w:rsid w:val="00EB7DFA"/>
    <w:rsid w:val="00EC0416"/>
    <w:rsid w:val="00EC0A3F"/>
    <w:rsid w:val="00EC1AA4"/>
    <w:rsid w:val="00EC262B"/>
    <w:rsid w:val="00EC2AFA"/>
    <w:rsid w:val="00EC4C7F"/>
    <w:rsid w:val="00EC561B"/>
    <w:rsid w:val="00EC58BB"/>
    <w:rsid w:val="00EC6EC5"/>
    <w:rsid w:val="00EC70F2"/>
    <w:rsid w:val="00EC7EE5"/>
    <w:rsid w:val="00ED0298"/>
    <w:rsid w:val="00ED03B5"/>
    <w:rsid w:val="00ED0D41"/>
    <w:rsid w:val="00ED3BFA"/>
    <w:rsid w:val="00ED3EB2"/>
    <w:rsid w:val="00ED4182"/>
    <w:rsid w:val="00ED68A9"/>
    <w:rsid w:val="00ED741D"/>
    <w:rsid w:val="00EE00A8"/>
    <w:rsid w:val="00EE1EB8"/>
    <w:rsid w:val="00EE2902"/>
    <w:rsid w:val="00EE2B61"/>
    <w:rsid w:val="00EE4C70"/>
    <w:rsid w:val="00EE4DB7"/>
    <w:rsid w:val="00EE570E"/>
    <w:rsid w:val="00EE6AD6"/>
    <w:rsid w:val="00EE77CC"/>
    <w:rsid w:val="00EF0D26"/>
    <w:rsid w:val="00EF3F61"/>
    <w:rsid w:val="00EF4534"/>
    <w:rsid w:val="00EF5A2D"/>
    <w:rsid w:val="00EF5DD0"/>
    <w:rsid w:val="00EF5F14"/>
    <w:rsid w:val="00EF5F62"/>
    <w:rsid w:val="00EF62DD"/>
    <w:rsid w:val="00EF65DD"/>
    <w:rsid w:val="00EF66AB"/>
    <w:rsid w:val="00EF69E2"/>
    <w:rsid w:val="00EF6AFB"/>
    <w:rsid w:val="00EF7779"/>
    <w:rsid w:val="00F02A07"/>
    <w:rsid w:val="00F04167"/>
    <w:rsid w:val="00F05F6D"/>
    <w:rsid w:val="00F07888"/>
    <w:rsid w:val="00F07A6A"/>
    <w:rsid w:val="00F1014C"/>
    <w:rsid w:val="00F1108D"/>
    <w:rsid w:val="00F12292"/>
    <w:rsid w:val="00F13222"/>
    <w:rsid w:val="00F1546C"/>
    <w:rsid w:val="00F156CB"/>
    <w:rsid w:val="00F16E06"/>
    <w:rsid w:val="00F206E6"/>
    <w:rsid w:val="00F20FF8"/>
    <w:rsid w:val="00F21D2F"/>
    <w:rsid w:val="00F23F87"/>
    <w:rsid w:val="00F26146"/>
    <w:rsid w:val="00F261EF"/>
    <w:rsid w:val="00F27DEC"/>
    <w:rsid w:val="00F3229F"/>
    <w:rsid w:val="00F337D8"/>
    <w:rsid w:val="00F3484E"/>
    <w:rsid w:val="00F36672"/>
    <w:rsid w:val="00F41BFB"/>
    <w:rsid w:val="00F42DC9"/>
    <w:rsid w:val="00F4326C"/>
    <w:rsid w:val="00F43708"/>
    <w:rsid w:val="00F44ADF"/>
    <w:rsid w:val="00F44B65"/>
    <w:rsid w:val="00F455E0"/>
    <w:rsid w:val="00F45812"/>
    <w:rsid w:val="00F47271"/>
    <w:rsid w:val="00F51BCB"/>
    <w:rsid w:val="00F51DE4"/>
    <w:rsid w:val="00F51EAF"/>
    <w:rsid w:val="00F521E7"/>
    <w:rsid w:val="00F53E6A"/>
    <w:rsid w:val="00F569D2"/>
    <w:rsid w:val="00F57DC0"/>
    <w:rsid w:val="00F60EEC"/>
    <w:rsid w:val="00F60F8C"/>
    <w:rsid w:val="00F63033"/>
    <w:rsid w:val="00F6543C"/>
    <w:rsid w:val="00F65645"/>
    <w:rsid w:val="00F661B9"/>
    <w:rsid w:val="00F66A4A"/>
    <w:rsid w:val="00F66BB9"/>
    <w:rsid w:val="00F67A53"/>
    <w:rsid w:val="00F67AA7"/>
    <w:rsid w:val="00F70E51"/>
    <w:rsid w:val="00F72AB4"/>
    <w:rsid w:val="00F74E62"/>
    <w:rsid w:val="00F74F71"/>
    <w:rsid w:val="00F75108"/>
    <w:rsid w:val="00F7539D"/>
    <w:rsid w:val="00F7557F"/>
    <w:rsid w:val="00F75FE7"/>
    <w:rsid w:val="00F76980"/>
    <w:rsid w:val="00F804E6"/>
    <w:rsid w:val="00F80642"/>
    <w:rsid w:val="00F80785"/>
    <w:rsid w:val="00F80B79"/>
    <w:rsid w:val="00F815DF"/>
    <w:rsid w:val="00F81D74"/>
    <w:rsid w:val="00F83F58"/>
    <w:rsid w:val="00F8472B"/>
    <w:rsid w:val="00F84952"/>
    <w:rsid w:val="00F86C44"/>
    <w:rsid w:val="00F8796F"/>
    <w:rsid w:val="00F907CB"/>
    <w:rsid w:val="00F91930"/>
    <w:rsid w:val="00F91C62"/>
    <w:rsid w:val="00F91D18"/>
    <w:rsid w:val="00F929B6"/>
    <w:rsid w:val="00F92A41"/>
    <w:rsid w:val="00F930FA"/>
    <w:rsid w:val="00F93128"/>
    <w:rsid w:val="00F93915"/>
    <w:rsid w:val="00F94DC0"/>
    <w:rsid w:val="00F95DA0"/>
    <w:rsid w:val="00F96311"/>
    <w:rsid w:val="00F96811"/>
    <w:rsid w:val="00F979A4"/>
    <w:rsid w:val="00FA1A4E"/>
    <w:rsid w:val="00FA1EC3"/>
    <w:rsid w:val="00FA4588"/>
    <w:rsid w:val="00FA49B4"/>
    <w:rsid w:val="00FA6500"/>
    <w:rsid w:val="00FA6590"/>
    <w:rsid w:val="00FA72BE"/>
    <w:rsid w:val="00FA7FB3"/>
    <w:rsid w:val="00FB011B"/>
    <w:rsid w:val="00FB092A"/>
    <w:rsid w:val="00FB111F"/>
    <w:rsid w:val="00FB35FD"/>
    <w:rsid w:val="00FB3F8D"/>
    <w:rsid w:val="00FB4334"/>
    <w:rsid w:val="00FB4426"/>
    <w:rsid w:val="00FB44CE"/>
    <w:rsid w:val="00FB5B19"/>
    <w:rsid w:val="00FB61F8"/>
    <w:rsid w:val="00FB70F5"/>
    <w:rsid w:val="00FB75BA"/>
    <w:rsid w:val="00FC0758"/>
    <w:rsid w:val="00FC07B9"/>
    <w:rsid w:val="00FC1332"/>
    <w:rsid w:val="00FC1718"/>
    <w:rsid w:val="00FC1F12"/>
    <w:rsid w:val="00FC3B2F"/>
    <w:rsid w:val="00FC3F75"/>
    <w:rsid w:val="00FC4162"/>
    <w:rsid w:val="00FC4459"/>
    <w:rsid w:val="00FC5376"/>
    <w:rsid w:val="00FC5E88"/>
    <w:rsid w:val="00FC67E7"/>
    <w:rsid w:val="00FD073F"/>
    <w:rsid w:val="00FD1444"/>
    <w:rsid w:val="00FD4560"/>
    <w:rsid w:val="00FD4CA1"/>
    <w:rsid w:val="00FD6ADE"/>
    <w:rsid w:val="00FE3848"/>
    <w:rsid w:val="00FE386C"/>
    <w:rsid w:val="00FE5275"/>
    <w:rsid w:val="00FE5675"/>
    <w:rsid w:val="00FE6BFB"/>
    <w:rsid w:val="00FE73CC"/>
    <w:rsid w:val="00FF015D"/>
    <w:rsid w:val="00FF0EE3"/>
    <w:rsid w:val="00FF23FC"/>
    <w:rsid w:val="00FF2447"/>
    <w:rsid w:val="00FF2AAE"/>
    <w:rsid w:val="00FF3D20"/>
    <w:rsid w:val="00FF3D3E"/>
    <w:rsid w:val="00FF3E77"/>
    <w:rsid w:val="00FF499C"/>
    <w:rsid w:val="00FF5C1E"/>
    <w:rsid w:val="00FF756A"/>
    <w:rsid w:val="00FF75A7"/>
    <w:rsid w:val="00FF7C2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12FEBFF0"/>
  <w15:docId w15:val="{E59CEA65-E256-4A1D-9B58-ECE467ECA6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B3A20"/>
    <w:rPr>
      <w:rFonts w:ascii="Calibri" w:hAnsi="Calibri"/>
      <w:sz w:val="20"/>
    </w:rPr>
  </w:style>
  <w:style w:type="paragraph" w:styleId="Heading1">
    <w:name w:val="heading 1"/>
    <w:basedOn w:val="Normal"/>
    <w:next w:val="Normal"/>
    <w:link w:val="Heading1Char"/>
    <w:uiPriority w:val="99"/>
    <w:qFormat/>
    <w:rsid w:val="00F76980"/>
    <w:pPr>
      <w:keepNext/>
      <w:keepLines/>
      <w:pBdr>
        <w:top w:val="single" w:sz="12" w:space="1" w:color="auto"/>
        <w:left w:val="single" w:sz="12" w:space="4" w:color="auto"/>
        <w:bottom w:val="single" w:sz="12" w:space="1" w:color="auto"/>
        <w:right w:val="single" w:sz="12" w:space="4" w:color="auto"/>
      </w:pBdr>
      <w:shd w:val="clear" w:color="auto" w:fill="DAEEF3" w:themeFill="accent5" w:themeFillTint="33"/>
      <w:spacing w:before="480" w:after="0"/>
      <w:outlineLvl w:val="0"/>
    </w:pPr>
    <w:rPr>
      <w:rFonts w:asciiTheme="minorHAnsi" w:eastAsiaTheme="majorEastAsia" w:hAnsiTheme="minorHAnsi" w:cstheme="majorBidi"/>
      <w:b/>
      <w:bCs/>
      <w:sz w:val="28"/>
      <w:szCs w:val="28"/>
    </w:rPr>
  </w:style>
  <w:style w:type="paragraph" w:styleId="Heading2">
    <w:name w:val="heading 2"/>
    <w:aliases w:val="Heading 1a"/>
    <w:basedOn w:val="Normal"/>
    <w:next w:val="Normal"/>
    <w:link w:val="Heading2Char"/>
    <w:unhideWhenUsed/>
    <w:qFormat/>
    <w:rsid w:val="00F76980"/>
    <w:pPr>
      <w:keepNext/>
      <w:keepLines/>
      <w:spacing w:before="200" w:after="0"/>
      <w:outlineLvl w:val="1"/>
    </w:pPr>
    <w:rPr>
      <w:rFonts w:asciiTheme="minorHAnsi" w:eastAsiaTheme="majorEastAsia" w:hAnsiTheme="minorHAnsi" w:cstheme="majorBidi"/>
      <w:b/>
      <w:bCs/>
      <w:sz w:val="26"/>
      <w:szCs w:val="26"/>
    </w:rPr>
  </w:style>
  <w:style w:type="paragraph" w:styleId="Heading3">
    <w:name w:val="heading 3"/>
    <w:aliases w:val="Heading 1b"/>
    <w:basedOn w:val="Normal"/>
    <w:next w:val="Normal"/>
    <w:link w:val="Heading3Char"/>
    <w:unhideWhenUsed/>
    <w:qFormat/>
    <w:rsid w:val="00F76980"/>
    <w:pPr>
      <w:keepNext/>
      <w:keepLines/>
      <w:spacing w:before="200" w:after="0"/>
      <w:outlineLvl w:val="2"/>
    </w:pPr>
    <w:rPr>
      <w:rFonts w:asciiTheme="minorHAnsi" w:eastAsiaTheme="majorEastAsia" w:hAnsiTheme="minorHAnsi" w:cstheme="majorBidi"/>
      <w:b/>
      <w:bCs/>
      <w:sz w:val="24"/>
    </w:rPr>
  </w:style>
  <w:style w:type="paragraph" w:styleId="Heading4">
    <w:name w:val="heading 4"/>
    <w:aliases w:val="Heading 1c"/>
    <w:basedOn w:val="Normal"/>
    <w:next w:val="Normal"/>
    <w:link w:val="Heading4Char"/>
    <w:unhideWhenUsed/>
    <w:qFormat/>
    <w:rsid w:val="00F76980"/>
    <w:pPr>
      <w:keepNext/>
      <w:keepLines/>
      <w:spacing w:before="200" w:after="0"/>
      <w:outlineLvl w:val="3"/>
    </w:pPr>
    <w:rPr>
      <w:rFonts w:asciiTheme="minorHAnsi" w:eastAsiaTheme="majorEastAsia" w:hAnsiTheme="minorHAnsi" w:cstheme="majorBidi"/>
      <w:b/>
      <w:bCs/>
      <w:iCs/>
      <w:sz w:val="22"/>
    </w:rPr>
  </w:style>
  <w:style w:type="paragraph" w:styleId="Heading5">
    <w:name w:val="heading 5"/>
    <w:aliases w:val="Heading 1d"/>
    <w:basedOn w:val="Normal"/>
    <w:next w:val="Normal"/>
    <w:link w:val="Heading5Char"/>
    <w:unhideWhenUsed/>
    <w:qFormat/>
    <w:rsid w:val="00F76980"/>
    <w:pPr>
      <w:keepNext/>
      <w:keepLines/>
      <w:spacing w:before="200" w:after="0"/>
      <w:outlineLvl w:val="4"/>
    </w:pPr>
    <w:rPr>
      <w:rFonts w:asciiTheme="minorHAnsi" w:eastAsiaTheme="majorEastAsia" w:hAnsiTheme="minorHAnsi" w:cstheme="majorBidi"/>
      <w:b/>
      <w:i/>
    </w:rPr>
  </w:style>
  <w:style w:type="paragraph" w:styleId="Heading6">
    <w:name w:val="heading 6"/>
    <w:basedOn w:val="Normal"/>
    <w:next w:val="Normal"/>
    <w:link w:val="Heading6Char"/>
    <w:uiPriority w:val="9"/>
    <w:unhideWhenUsed/>
    <w:qFormat/>
    <w:rsid w:val="00F1014C"/>
    <w:pPr>
      <w:keepNext/>
      <w:keepLines/>
      <w:spacing w:before="200" w:after="0"/>
      <w:outlineLvl w:val="5"/>
    </w:pPr>
    <w:rPr>
      <w:rFonts w:asciiTheme="majorHAnsi" w:eastAsiaTheme="majorEastAsia" w:hAnsiTheme="majorHAnsi" w:cstheme="majorBidi"/>
      <w:b/>
      <w:i/>
      <w:iCs/>
      <w:color w:val="243F60" w:themeColor="accent1" w:themeShade="7F"/>
    </w:rPr>
  </w:style>
  <w:style w:type="paragraph" w:styleId="Heading7">
    <w:name w:val="heading 7"/>
    <w:basedOn w:val="Normal"/>
    <w:next w:val="Normal"/>
    <w:link w:val="Heading7Char"/>
    <w:uiPriority w:val="99"/>
    <w:unhideWhenUsed/>
    <w:qFormat/>
    <w:rsid w:val="00992B24"/>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9"/>
    <w:unhideWhenUsed/>
    <w:qFormat/>
    <w:rsid w:val="00992B24"/>
    <w:pPr>
      <w:keepNext/>
      <w:keepLines/>
      <w:spacing w:before="200" w:after="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9"/>
    <w:unhideWhenUsed/>
    <w:qFormat/>
    <w:rsid w:val="00992B24"/>
    <w:pPr>
      <w:keepNext/>
      <w:keepLines/>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F76980"/>
    <w:rPr>
      <w:rFonts w:eastAsiaTheme="majorEastAsia" w:cstheme="majorBidi"/>
      <w:b/>
      <w:bCs/>
      <w:sz w:val="28"/>
      <w:szCs w:val="28"/>
      <w:shd w:val="clear" w:color="auto" w:fill="DAEEF3" w:themeFill="accent5" w:themeFillTint="33"/>
    </w:rPr>
  </w:style>
  <w:style w:type="character" w:customStyle="1" w:styleId="Heading2Char">
    <w:name w:val="Heading 2 Char"/>
    <w:aliases w:val="Heading 1a Char"/>
    <w:basedOn w:val="DefaultParagraphFont"/>
    <w:link w:val="Heading2"/>
    <w:rsid w:val="00F76980"/>
    <w:rPr>
      <w:rFonts w:eastAsiaTheme="majorEastAsia" w:cstheme="majorBidi"/>
      <w:b/>
      <w:bCs/>
      <w:sz w:val="26"/>
      <w:szCs w:val="26"/>
    </w:rPr>
  </w:style>
  <w:style w:type="character" w:customStyle="1" w:styleId="Heading3Char">
    <w:name w:val="Heading 3 Char"/>
    <w:aliases w:val="Heading 1b Char"/>
    <w:basedOn w:val="DefaultParagraphFont"/>
    <w:link w:val="Heading3"/>
    <w:rsid w:val="00F76980"/>
    <w:rPr>
      <w:rFonts w:eastAsiaTheme="majorEastAsia" w:cstheme="majorBidi"/>
      <w:b/>
      <w:bCs/>
      <w:sz w:val="24"/>
    </w:rPr>
  </w:style>
  <w:style w:type="character" w:customStyle="1" w:styleId="Heading4Char">
    <w:name w:val="Heading 4 Char"/>
    <w:aliases w:val="Heading 1c Char"/>
    <w:basedOn w:val="DefaultParagraphFont"/>
    <w:link w:val="Heading4"/>
    <w:rsid w:val="00F76980"/>
    <w:rPr>
      <w:rFonts w:eastAsiaTheme="majorEastAsia" w:cstheme="majorBidi"/>
      <w:b/>
      <w:bCs/>
      <w:iCs/>
    </w:rPr>
  </w:style>
  <w:style w:type="character" w:customStyle="1" w:styleId="Heading5Char">
    <w:name w:val="Heading 5 Char"/>
    <w:aliases w:val="Heading 1d Char"/>
    <w:basedOn w:val="DefaultParagraphFont"/>
    <w:link w:val="Heading5"/>
    <w:rsid w:val="00F76980"/>
    <w:rPr>
      <w:rFonts w:eastAsiaTheme="majorEastAsia" w:cstheme="majorBidi"/>
      <w:b/>
      <w:i/>
      <w:sz w:val="20"/>
    </w:rPr>
  </w:style>
  <w:style w:type="character" w:customStyle="1" w:styleId="Heading6Char">
    <w:name w:val="Heading 6 Char"/>
    <w:basedOn w:val="DefaultParagraphFont"/>
    <w:link w:val="Heading6"/>
    <w:uiPriority w:val="9"/>
    <w:rsid w:val="00F1014C"/>
    <w:rPr>
      <w:rFonts w:asciiTheme="majorHAnsi" w:eastAsiaTheme="majorEastAsia" w:hAnsiTheme="majorHAnsi" w:cstheme="majorBidi"/>
      <w:b/>
      <w:i/>
      <w:iCs/>
      <w:color w:val="243F60" w:themeColor="accent1" w:themeShade="7F"/>
      <w:sz w:val="20"/>
    </w:rPr>
  </w:style>
  <w:style w:type="character" w:customStyle="1" w:styleId="Heading7Char">
    <w:name w:val="Heading 7 Char"/>
    <w:basedOn w:val="DefaultParagraphFont"/>
    <w:link w:val="Heading7"/>
    <w:uiPriority w:val="99"/>
    <w:rsid w:val="00992B24"/>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9"/>
    <w:rsid w:val="00992B24"/>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9"/>
    <w:rsid w:val="00992B24"/>
    <w:rPr>
      <w:rFonts w:asciiTheme="majorHAnsi" w:eastAsiaTheme="majorEastAsia" w:hAnsiTheme="majorHAnsi" w:cstheme="majorBidi"/>
      <w:i/>
      <w:iCs/>
      <w:color w:val="404040" w:themeColor="text1" w:themeTint="BF"/>
      <w:sz w:val="20"/>
      <w:szCs w:val="20"/>
    </w:rPr>
  </w:style>
  <w:style w:type="paragraph" w:styleId="ListParagraph">
    <w:name w:val="List Paragraph"/>
    <w:aliases w:val="List Paragraph 1,Bullets,List Paragraph1,Table of contents numbered,footer text,Standard Paragraph,Bulleted list,Citation List,BBD_List_Paragraph,Bullet List,subsubpara"/>
    <w:basedOn w:val="Normal"/>
    <w:link w:val="ListParagraphChar"/>
    <w:uiPriority w:val="34"/>
    <w:qFormat/>
    <w:rsid w:val="007A253E"/>
    <w:pPr>
      <w:ind w:left="720"/>
      <w:contextualSpacing/>
    </w:pPr>
  </w:style>
  <w:style w:type="character" w:styleId="FootnoteReference">
    <w:name w:val="footnote reference"/>
    <w:uiPriority w:val="99"/>
    <w:rsid w:val="0037082E"/>
    <w:rPr>
      <w:vertAlign w:val="superscript"/>
    </w:rPr>
  </w:style>
  <w:style w:type="paragraph" w:styleId="FootnoteText">
    <w:name w:val="footnote text"/>
    <w:aliases w:val="ARM footnote Text,Footnote Text Char1,Footnote Text Char2,Footnote Text Char11,Footnote Text Char3,Footnote Text Char4,Footnote Text Char5,Footnote Text Char6,Footnote Text Char12,Footnote Text Char21,Footnote New, Cha,C,Cha"/>
    <w:basedOn w:val="Normal"/>
    <w:link w:val="FootnoteTextChar"/>
    <w:uiPriority w:val="99"/>
    <w:unhideWhenUsed/>
    <w:rsid w:val="0037082E"/>
    <w:pPr>
      <w:spacing w:after="0" w:line="240" w:lineRule="auto"/>
    </w:pPr>
    <w:rPr>
      <w:rFonts w:ascii="Times New Roman" w:eastAsia="Times New Roman" w:hAnsi="Times New Roman" w:cs="Times New Roman"/>
      <w:szCs w:val="20"/>
    </w:rPr>
  </w:style>
  <w:style w:type="character" w:customStyle="1" w:styleId="FootnoteTextChar">
    <w:name w:val="Footnote Text Char"/>
    <w:aliases w:val="ARM footnote Text Char2,Footnote Text Char1 Char2,Footnote Text Char2 Char2,Footnote Text Char11 Char2,Footnote Text Char3 Char2,Footnote Text Char4 Char2,Footnote Text Char5 Char2,Footnote Text Char6 Char2,Footnote Text Char12 Char2"/>
    <w:basedOn w:val="DefaultParagraphFont"/>
    <w:link w:val="FootnoteText"/>
    <w:uiPriority w:val="99"/>
    <w:rsid w:val="0037082E"/>
    <w:rPr>
      <w:rFonts w:ascii="Times New Roman" w:eastAsia="Times New Roman" w:hAnsi="Times New Roman" w:cs="Times New Roman"/>
      <w:sz w:val="20"/>
      <w:szCs w:val="20"/>
    </w:rPr>
  </w:style>
  <w:style w:type="paragraph" w:styleId="Header">
    <w:name w:val="header"/>
    <w:basedOn w:val="Normal"/>
    <w:link w:val="HeaderChar"/>
    <w:uiPriority w:val="99"/>
    <w:unhideWhenUsed/>
    <w:rsid w:val="00767DBC"/>
    <w:pPr>
      <w:tabs>
        <w:tab w:val="center" w:pos="4680"/>
        <w:tab w:val="right" w:pos="9360"/>
      </w:tabs>
      <w:spacing w:after="0" w:line="240" w:lineRule="auto"/>
    </w:pPr>
  </w:style>
  <w:style w:type="character" w:customStyle="1" w:styleId="HeaderChar">
    <w:name w:val="Header Char"/>
    <w:basedOn w:val="DefaultParagraphFont"/>
    <w:link w:val="Header"/>
    <w:uiPriority w:val="99"/>
    <w:rsid w:val="00767DBC"/>
  </w:style>
  <w:style w:type="paragraph" w:styleId="Footer">
    <w:name w:val="footer"/>
    <w:basedOn w:val="Normal"/>
    <w:link w:val="FooterChar"/>
    <w:uiPriority w:val="99"/>
    <w:unhideWhenUsed/>
    <w:rsid w:val="00767DBC"/>
    <w:pPr>
      <w:tabs>
        <w:tab w:val="center" w:pos="4680"/>
        <w:tab w:val="right" w:pos="9360"/>
      </w:tabs>
      <w:spacing w:after="0" w:line="240" w:lineRule="auto"/>
    </w:pPr>
  </w:style>
  <w:style w:type="character" w:customStyle="1" w:styleId="FooterChar">
    <w:name w:val="Footer Char"/>
    <w:basedOn w:val="DefaultParagraphFont"/>
    <w:link w:val="Footer"/>
    <w:uiPriority w:val="99"/>
    <w:rsid w:val="00767DBC"/>
  </w:style>
  <w:style w:type="paragraph" w:styleId="TOCHeading">
    <w:name w:val="TOC Heading"/>
    <w:basedOn w:val="Heading1"/>
    <w:next w:val="Normal"/>
    <w:uiPriority w:val="39"/>
    <w:unhideWhenUsed/>
    <w:qFormat/>
    <w:rsid w:val="00A56CA4"/>
    <w:pPr>
      <w:outlineLvl w:val="9"/>
    </w:pPr>
    <w:rPr>
      <w:lang w:eastAsia="ja-JP"/>
    </w:rPr>
  </w:style>
  <w:style w:type="paragraph" w:styleId="TOC1">
    <w:name w:val="toc 1"/>
    <w:basedOn w:val="Normal"/>
    <w:next w:val="Normal"/>
    <w:autoRedefine/>
    <w:uiPriority w:val="39"/>
    <w:unhideWhenUsed/>
    <w:qFormat/>
    <w:rsid w:val="003943A7"/>
    <w:pPr>
      <w:tabs>
        <w:tab w:val="right" w:leader="dot" w:pos="9629"/>
      </w:tabs>
      <w:spacing w:before="120" w:after="120"/>
    </w:pPr>
    <w:rPr>
      <w:bCs/>
      <w:caps/>
      <w:noProof/>
      <w:szCs w:val="20"/>
    </w:rPr>
  </w:style>
  <w:style w:type="paragraph" w:styleId="TOC2">
    <w:name w:val="toc 2"/>
    <w:basedOn w:val="Normal"/>
    <w:next w:val="Normal"/>
    <w:autoRedefine/>
    <w:uiPriority w:val="39"/>
    <w:unhideWhenUsed/>
    <w:qFormat/>
    <w:rsid w:val="00A56CA4"/>
    <w:pPr>
      <w:spacing w:after="0"/>
      <w:ind w:left="200"/>
    </w:pPr>
    <w:rPr>
      <w:rFonts w:asciiTheme="minorHAnsi" w:hAnsiTheme="minorHAnsi"/>
      <w:smallCaps/>
      <w:szCs w:val="20"/>
    </w:rPr>
  </w:style>
  <w:style w:type="paragraph" w:styleId="TOC3">
    <w:name w:val="toc 3"/>
    <w:basedOn w:val="Normal"/>
    <w:next w:val="Normal"/>
    <w:autoRedefine/>
    <w:uiPriority w:val="39"/>
    <w:unhideWhenUsed/>
    <w:qFormat/>
    <w:rsid w:val="001078EE"/>
    <w:pPr>
      <w:tabs>
        <w:tab w:val="left" w:pos="1200"/>
        <w:tab w:val="right" w:leader="dot" w:pos="9629"/>
      </w:tabs>
      <w:spacing w:after="0"/>
      <w:ind w:left="142"/>
    </w:pPr>
    <w:rPr>
      <w:rFonts w:asciiTheme="minorHAnsi" w:hAnsiTheme="minorHAnsi"/>
      <w:i/>
      <w:iCs/>
      <w:szCs w:val="20"/>
    </w:rPr>
  </w:style>
  <w:style w:type="character" w:styleId="Hyperlink">
    <w:name w:val="Hyperlink"/>
    <w:basedOn w:val="DefaultParagraphFont"/>
    <w:uiPriority w:val="99"/>
    <w:unhideWhenUsed/>
    <w:rsid w:val="00A56CA4"/>
    <w:rPr>
      <w:color w:val="0000FF" w:themeColor="hyperlink"/>
      <w:u w:val="single"/>
    </w:rPr>
  </w:style>
  <w:style w:type="paragraph" w:styleId="BalloonText">
    <w:name w:val="Balloon Text"/>
    <w:basedOn w:val="Normal"/>
    <w:link w:val="BalloonTextChar"/>
    <w:uiPriority w:val="99"/>
    <w:unhideWhenUsed/>
    <w:rsid w:val="00A56C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A56CA4"/>
    <w:rPr>
      <w:rFonts w:ascii="Tahoma" w:hAnsi="Tahoma" w:cs="Tahoma"/>
      <w:sz w:val="16"/>
      <w:szCs w:val="16"/>
    </w:rPr>
  </w:style>
  <w:style w:type="paragraph" w:customStyle="1" w:styleId="Default">
    <w:name w:val="Default"/>
    <w:rsid w:val="00FF23FC"/>
    <w:pPr>
      <w:autoSpaceDE w:val="0"/>
      <w:autoSpaceDN w:val="0"/>
      <w:adjustRightInd w:val="0"/>
      <w:spacing w:after="0" w:line="240" w:lineRule="auto"/>
    </w:pPr>
    <w:rPr>
      <w:rFonts w:ascii="Calibri" w:hAnsi="Calibri" w:cs="Calibri"/>
      <w:color w:val="000000"/>
      <w:sz w:val="24"/>
      <w:szCs w:val="24"/>
    </w:rPr>
  </w:style>
  <w:style w:type="table" w:styleId="TableGrid">
    <w:name w:val="Table Grid"/>
    <w:basedOn w:val="TableNormal"/>
    <w:uiPriority w:val="39"/>
    <w:rsid w:val="00FF23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link w:val="NormalWebChar"/>
    <w:uiPriority w:val="99"/>
    <w:qFormat/>
    <w:rsid w:val="00FF23F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WebChar">
    <w:name w:val="Normal (Web) Char"/>
    <w:basedOn w:val="DefaultParagraphFont"/>
    <w:link w:val="NormalWeb"/>
    <w:uiPriority w:val="99"/>
    <w:locked/>
    <w:rsid w:val="00E338EE"/>
    <w:rPr>
      <w:rFonts w:ascii="Times New Roman" w:eastAsia="Times New Roman" w:hAnsi="Times New Roman" w:cs="Times New Roman"/>
      <w:sz w:val="24"/>
      <w:szCs w:val="24"/>
    </w:rPr>
  </w:style>
  <w:style w:type="paragraph" w:styleId="Caption">
    <w:name w:val="caption"/>
    <w:basedOn w:val="Normal"/>
    <w:next w:val="Normal"/>
    <w:autoRedefine/>
    <w:uiPriority w:val="35"/>
    <w:unhideWhenUsed/>
    <w:qFormat/>
    <w:rsid w:val="002F62F0"/>
    <w:pPr>
      <w:tabs>
        <w:tab w:val="left" w:pos="877"/>
      </w:tabs>
      <w:spacing w:line="240" w:lineRule="auto"/>
      <w:outlineLvl w:val="0"/>
    </w:pPr>
    <w:rPr>
      <w:rFonts w:cs="Calibri"/>
      <w:b/>
      <w:bCs/>
      <w:szCs w:val="20"/>
    </w:rPr>
  </w:style>
  <w:style w:type="paragraph" w:styleId="NoSpacing">
    <w:name w:val="No Spacing"/>
    <w:link w:val="NoSpacingChar"/>
    <w:uiPriority w:val="1"/>
    <w:qFormat/>
    <w:rsid w:val="0033678F"/>
    <w:pPr>
      <w:spacing w:after="0" w:line="240" w:lineRule="auto"/>
      <w:jc w:val="both"/>
    </w:pPr>
    <w:rPr>
      <w:rFonts w:ascii="Tahoma" w:eastAsia="Times New Roman" w:hAnsi="Tahoma" w:cs="Times New Roman"/>
      <w:szCs w:val="24"/>
      <w:lang w:val="en-ZA"/>
    </w:rPr>
  </w:style>
  <w:style w:type="character" w:customStyle="1" w:styleId="NoSpacingChar">
    <w:name w:val="No Spacing Char"/>
    <w:basedOn w:val="DefaultParagraphFont"/>
    <w:link w:val="NoSpacing"/>
    <w:uiPriority w:val="1"/>
    <w:rsid w:val="0033678F"/>
    <w:rPr>
      <w:rFonts w:ascii="Tahoma" w:eastAsia="Times New Roman" w:hAnsi="Tahoma" w:cs="Times New Roman"/>
      <w:szCs w:val="24"/>
      <w:lang w:val="en-ZA"/>
    </w:rPr>
  </w:style>
  <w:style w:type="paragraph" w:styleId="BodyText2">
    <w:name w:val="Body Text 2"/>
    <w:basedOn w:val="Normal"/>
    <w:link w:val="BodyText2Char"/>
    <w:uiPriority w:val="99"/>
    <w:unhideWhenUsed/>
    <w:rsid w:val="00AA32A1"/>
    <w:pPr>
      <w:spacing w:before="200" w:after="120" w:line="480" w:lineRule="auto"/>
      <w:jc w:val="both"/>
    </w:pPr>
    <w:rPr>
      <w:rFonts w:eastAsia="Times New Roman" w:cs="Times New Roman"/>
      <w:sz w:val="24"/>
      <w:szCs w:val="20"/>
      <w:lang w:bidi="en-US"/>
    </w:rPr>
  </w:style>
  <w:style w:type="character" w:customStyle="1" w:styleId="BodyText2Char">
    <w:name w:val="Body Text 2 Char"/>
    <w:basedOn w:val="DefaultParagraphFont"/>
    <w:link w:val="BodyText2"/>
    <w:uiPriority w:val="99"/>
    <w:rsid w:val="00AA32A1"/>
    <w:rPr>
      <w:rFonts w:ascii="Calibri" w:eastAsia="Times New Roman" w:hAnsi="Calibri" w:cs="Times New Roman"/>
      <w:sz w:val="24"/>
      <w:szCs w:val="20"/>
      <w:lang w:bidi="en-US"/>
    </w:rPr>
  </w:style>
  <w:style w:type="paragraph" w:customStyle="1" w:styleId="Style1">
    <w:name w:val="Style1"/>
    <w:basedOn w:val="Heading6"/>
    <w:qFormat/>
    <w:rsid w:val="00C262DC"/>
    <w:pPr>
      <w:numPr>
        <w:ilvl w:val="4"/>
        <w:numId w:val="2"/>
      </w:numPr>
      <w:jc w:val="both"/>
    </w:pPr>
    <w:rPr>
      <w:rFonts w:ascii="Calibri" w:hAnsi="Calibri" w:cs="Calibri"/>
      <w:i w:val="0"/>
      <w:color w:val="000000" w:themeColor="text1"/>
    </w:rPr>
  </w:style>
  <w:style w:type="paragraph" w:styleId="PlainText">
    <w:name w:val="Plain Text"/>
    <w:basedOn w:val="Normal"/>
    <w:link w:val="PlainTextChar"/>
    <w:uiPriority w:val="99"/>
    <w:rsid w:val="00754C02"/>
    <w:pPr>
      <w:spacing w:after="0" w:line="312" w:lineRule="auto"/>
      <w:jc w:val="both"/>
    </w:pPr>
    <w:rPr>
      <w:rFonts w:ascii="Courier New" w:eastAsia="Times New Roman" w:hAnsi="Courier New" w:cs="Courier New"/>
      <w:szCs w:val="20"/>
      <w:lang w:val="en-ZA"/>
    </w:rPr>
  </w:style>
  <w:style w:type="character" w:customStyle="1" w:styleId="PlainTextChar">
    <w:name w:val="Plain Text Char"/>
    <w:basedOn w:val="DefaultParagraphFont"/>
    <w:link w:val="PlainText"/>
    <w:uiPriority w:val="99"/>
    <w:rsid w:val="00754C02"/>
    <w:rPr>
      <w:rFonts w:ascii="Courier New" w:eastAsia="Times New Roman" w:hAnsi="Courier New" w:cs="Courier New"/>
      <w:sz w:val="20"/>
      <w:szCs w:val="20"/>
      <w:lang w:val="en-ZA"/>
    </w:rPr>
  </w:style>
  <w:style w:type="paragraph" w:styleId="BodyText">
    <w:name w:val="Body Text"/>
    <w:basedOn w:val="Normal"/>
    <w:link w:val="BodyTextChar"/>
    <w:uiPriority w:val="99"/>
    <w:rsid w:val="00FC3F75"/>
    <w:pPr>
      <w:spacing w:before="200"/>
      <w:jc w:val="both"/>
    </w:pPr>
    <w:rPr>
      <w:rFonts w:eastAsia="Times New Roman" w:cs="Times New Roman"/>
      <w:sz w:val="24"/>
      <w:szCs w:val="20"/>
      <w:lang w:bidi="en-US"/>
    </w:rPr>
  </w:style>
  <w:style w:type="character" w:customStyle="1" w:styleId="BodyTextChar">
    <w:name w:val="Body Text Char"/>
    <w:basedOn w:val="DefaultParagraphFont"/>
    <w:link w:val="BodyText"/>
    <w:uiPriority w:val="99"/>
    <w:rsid w:val="00FC3F75"/>
    <w:rPr>
      <w:rFonts w:ascii="Calibri" w:eastAsia="Times New Roman" w:hAnsi="Calibri" w:cs="Times New Roman"/>
      <w:sz w:val="24"/>
      <w:szCs w:val="20"/>
      <w:lang w:bidi="en-US"/>
    </w:rPr>
  </w:style>
  <w:style w:type="paragraph" w:customStyle="1" w:styleId="Textbody">
    <w:name w:val="Text body"/>
    <w:basedOn w:val="Normal"/>
    <w:uiPriority w:val="99"/>
    <w:rsid w:val="00FC3F75"/>
    <w:pPr>
      <w:widowControl w:val="0"/>
      <w:suppressAutoHyphens/>
      <w:autoSpaceDN w:val="0"/>
      <w:spacing w:after="120" w:line="240" w:lineRule="auto"/>
      <w:textAlignment w:val="baseline"/>
    </w:pPr>
    <w:rPr>
      <w:rFonts w:ascii="DejaVu Sans" w:eastAsia="DejaVu Sans" w:hAnsi="DejaVu Sans" w:cs="DejaVu Sans"/>
      <w:kern w:val="3"/>
      <w:sz w:val="24"/>
      <w:szCs w:val="24"/>
      <w:lang w:val="en-ZA" w:eastAsia="de-DE" w:bidi="de-DE"/>
    </w:rPr>
  </w:style>
  <w:style w:type="paragraph" w:customStyle="1" w:styleId="Textbody0">
    <w:name w:val="Textbody"/>
    <w:basedOn w:val="Normal"/>
    <w:uiPriority w:val="99"/>
    <w:rsid w:val="00FC3F75"/>
    <w:pPr>
      <w:widowControl w:val="0"/>
      <w:suppressAutoHyphens/>
      <w:autoSpaceDE w:val="0"/>
      <w:autoSpaceDN w:val="0"/>
      <w:adjustRightInd w:val="0"/>
      <w:spacing w:after="120" w:line="240" w:lineRule="atLeast"/>
      <w:ind w:firstLine="12"/>
    </w:pPr>
    <w:rPr>
      <w:rFonts w:ascii="DejaVu Sans" w:eastAsiaTheme="minorEastAsia" w:hAnsi="DejaVu Sans" w:cs="DejaVu Sans"/>
      <w:color w:val="000000"/>
      <w:sz w:val="24"/>
      <w:szCs w:val="24"/>
      <w:u w:color="000000"/>
      <w:lang w:val="en-ZA" w:eastAsia="en-ZA"/>
    </w:rPr>
  </w:style>
  <w:style w:type="paragraph" w:customStyle="1" w:styleId="StyleHeading2h2VerdanaNotItalic">
    <w:name w:val="Style Heading 2h2 + Verdana Not Italic"/>
    <w:basedOn w:val="Heading2"/>
    <w:uiPriority w:val="99"/>
    <w:rsid w:val="00FC3F75"/>
    <w:pPr>
      <w:keepLines w:val="0"/>
      <w:tabs>
        <w:tab w:val="num" w:pos="576"/>
      </w:tabs>
      <w:spacing w:before="240" w:after="60" w:line="240" w:lineRule="auto"/>
      <w:ind w:left="576" w:hanging="576"/>
    </w:pPr>
    <w:rPr>
      <w:rFonts w:ascii="Verdana" w:eastAsia="Times New Roman" w:hAnsi="Verdana" w:cs="Arial"/>
      <w:sz w:val="28"/>
      <w:szCs w:val="28"/>
    </w:rPr>
  </w:style>
  <w:style w:type="paragraph" w:styleId="TableofFigures">
    <w:name w:val="table of figures"/>
    <w:basedOn w:val="Normal"/>
    <w:next w:val="Normal"/>
    <w:uiPriority w:val="99"/>
    <w:unhideWhenUsed/>
    <w:rsid w:val="00976444"/>
    <w:pPr>
      <w:spacing w:before="200" w:after="0"/>
      <w:jc w:val="both"/>
    </w:pPr>
    <w:rPr>
      <w:rFonts w:eastAsia="Times New Roman" w:cs="Times New Roman"/>
      <w:szCs w:val="20"/>
      <w:lang w:bidi="en-US"/>
    </w:rPr>
  </w:style>
  <w:style w:type="paragraph" w:customStyle="1" w:styleId="BULLET10">
    <w:name w:val="BULLET 1"/>
    <w:basedOn w:val="Normal"/>
    <w:autoRedefine/>
    <w:uiPriority w:val="99"/>
    <w:rsid w:val="00FC3F75"/>
    <w:pPr>
      <w:spacing w:after="0"/>
      <w:jc w:val="both"/>
    </w:pPr>
    <w:rPr>
      <w:rFonts w:eastAsia="Times New Roman" w:cs="Calibri"/>
      <w:i/>
      <w:color w:val="000000" w:themeColor="text1"/>
      <w:sz w:val="18"/>
      <w:szCs w:val="18"/>
    </w:rPr>
  </w:style>
  <w:style w:type="paragraph" w:styleId="BodyText3">
    <w:name w:val="Body Text 3"/>
    <w:basedOn w:val="Normal"/>
    <w:link w:val="BodyText3Char"/>
    <w:uiPriority w:val="99"/>
    <w:rsid w:val="00FC3F75"/>
    <w:pPr>
      <w:spacing w:after="120" w:line="240" w:lineRule="auto"/>
    </w:pPr>
    <w:rPr>
      <w:rFonts w:ascii="Verdana" w:eastAsia="Times New Roman" w:hAnsi="Verdana" w:cs="Times New Roman"/>
      <w:sz w:val="16"/>
      <w:szCs w:val="16"/>
      <w:lang w:val="en-GB"/>
    </w:rPr>
  </w:style>
  <w:style w:type="character" w:customStyle="1" w:styleId="BodyText3Char">
    <w:name w:val="Body Text 3 Char"/>
    <w:basedOn w:val="DefaultParagraphFont"/>
    <w:link w:val="BodyText3"/>
    <w:uiPriority w:val="99"/>
    <w:rsid w:val="00FC3F75"/>
    <w:rPr>
      <w:rFonts w:ascii="Verdana" w:eastAsia="Times New Roman" w:hAnsi="Verdana" w:cs="Times New Roman"/>
      <w:sz w:val="16"/>
      <w:szCs w:val="16"/>
      <w:lang w:val="en-GB"/>
    </w:rPr>
  </w:style>
  <w:style w:type="character" w:styleId="FollowedHyperlink">
    <w:name w:val="FollowedHyperlink"/>
    <w:basedOn w:val="DefaultParagraphFont"/>
    <w:uiPriority w:val="99"/>
    <w:unhideWhenUsed/>
    <w:rsid w:val="00FC3F75"/>
    <w:rPr>
      <w:color w:val="800080" w:themeColor="followedHyperlink"/>
      <w:u w:val="single"/>
    </w:rPr>
  </w:style>
  <w:style w:type="paragraph" w:customStyle="1" w:styleId="font5">
    <w:name w:val="font5"/>
    <w:basedOn w:val="Normal"/>
    <w:rsid w:val="00FC3F75"/>
    <w:pPr>
      <w:spacing w:before="100" w:beforeAutospacing="1" w:after="100" w:afterAutospacing="1" w:line="240" w:lineRule="auto"/>
    </w:pPr>
    <w:rPr>
      <w:rFonts w:eastAsia="Times New Roman" w:cs="Calibri"/>
      <w:b/>
      <w:bCs/>
      <w:color w:val="C00000"/>
      <w:sz w:val="18"/>
      <w:szCs w:val="18"/>
      <w:lang w:val="en-ZA" w:eastAsia="en-ZA"/>
    </w:rPr>
  </w:style>
  <w:style w:type="paragraph" w:customStyle="1" w:styleId="xl65">
    <w:name w:val="xl65"/>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ascii="Times New Roman" w:eastAsia="Times New Roman" w:hAnsi="Times New Roman" w:cs="Times New Roman"/>
      <w:color w:val="000000"/>
      <w:sz w:val="18"/>
      <w:szCs w:val="18"/>
      <w:lang w:val="en-ZA" w:eastAsia="en-ZA"/>
    </w:rPr>
  </w:style>
  <w:style w:type="paragraph" w:customStyle="1" w:styleId="xl66">
    <w:name w:val="xl66"/>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color w:val="000000"/>
      <w:sz w:val="18"/>
      <w:szCs w:val="18"/>
      <w:lang w:val="en-ZA" w:eastAsia="en-ZA"/>
    </w:rPr>
  </w:style>
  <w:style w:type="paragraph" w:customStyle="1" w:styleId="xl67">
    <w:name w:val="xl67"/>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lang w:val="en-ZA" w:eastAsia="en-ZA"/>
    </w:rPr>
  </w:style>
  <w:style w:type="paragraph" w:customStyle="1" w:styleId="xl68">
    <w:name w:val="xl68"/>
    <w:basedOn w:val="Normal"/>
    <w:rsid w:val="00FC3F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color w:val="000000"/>
      <w:sz w:val="18"/>
      <w:szCs w:val="18"/>
      <w:lang w:val="en-ZA" w:eastAsia="en-ZA"/>
    </w:rPr>
  </w:style>
  <w:style w:type="paragraph" w:customStyle="1" w:styleId="xl69">
    <w:name w:val="xl69"/>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color w:val="000000"/>
      <w:sz w:val="18"/>
      <w:szCs w:val="18"/>
      <w:lang w:val="en-ZA" w:eastAsia="en-ZA"/>
    </w:rPr>
  </w:style>
  <w:style w:type="paragraph" w:customStyle="1" w:styleId="xl70">
    <w:name w:val="xl70"/>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color w:val="000000"/>
      <w:sz w:val="18"/>
      <w:szCs w:val="18"/>
      <w:lang w:val="en-ZA" w:eastAsia="en-ZA"/>
    </w:rPr>
  </w:style>
  <w:style w:type="paragraph" w:customStyle="1" w:styleId="xl71">
    <w:name w:val="xl71"/>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000000"/>
      <w:sz w:val="18"/>
      <w:szCs w:val="18"/>
      <w:lang w:val="en-ZA" w:eastAsia="en-ZA"/>
    </w:rPr>
  </w:style>
  <w:style w:type="paragraph" w:customStyle="1" w:styleId="xl72">
    <w:name w:val="xl72"/>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18"/>
      <w:szCs w:val="18"/>
      <w:lang w:val="en-ZA" w:eastAsia="en-ZA"/>
    </w:rPr>
  </w:style>
  <w:style w:type="paragraph" w:customStyle="1" w:styleId="xl73">
    <w:name w:val="xl73"/>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color w:val="FF0000"/>
      <w:sz w:val="18"/>
      <w:szCs w:val="18"/>
      <w:lang w:val="en-ZA" w:eastAsia="en-ZA"/>
    </w:rPr>
  </w:style>
  <w:style w:type="paragraph" w:customStyle="1" w:styleId="xl74">
    <w:name w:val="xl74"/>
    <w:basedOn w:val="Normal"/>
    <w:rsid w:val="00FC3F75"/>
    <w:pPr>
      <w:pBdr>
        <w:top w:val="single" w:sz="4" w:space="0" w:color="auto"/>
        <w:left w:val="single" w:sz="4" w:space="0" w:color="auto"/>
        <w:bottom w:val="single" w:sz="4" w:space="0" w:color="auto"/>
        <w:right w:val="single" w:sz="4" w:space="0" w:color="auto"/>
      </w:pBdr>
      <w:shd w:val="clear" w:color="000000" w:fill="7F7F7F"/>
      <w:spacing w:before="100" w:beforeAutospacing="1" w:after="100" w:afterAutospacing="1" w:line="240" w:lineRule="auto"/>
      <w:jc w:val="center"/>
      <w:textAlignment w:val="top"/>
    </w:pPr>
    <w:rPr>
      <w:rFonts w:ascii="Times New Roman" w:eastAsia="Times New Roman" w:hAnsi="Times New Roman" w:cs="Times New Roman"/>
      <w:color w:val="000000"/>
      <w:sz w:val="18"/>
      <w:szCs w:val="18"/>
      <w:lang w:val="en-ZA" w:eastAsia="en-ZA"/>
    </w:rPr>
  </w:style>
  <w:style w:type="paragraph" w:customStyle="1" w:styleId="xl75">
    <w:name w:val="xl75"/>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18"/>
      <w:szCs w:val="18"/>
      <w:lang w:val="en-ZA" w:eastAsia="en-ZA"/>
    </w:rPr>
  </w:style>
  <w:style w:type="paragraph" w:customStyle="1" w:styleId="xl76">
    <w:name w:val="xl76"/>
    <w:basedOn w:val="Normal"/>
    <w:rsid w:val="00FC3F75"/>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both"/>
      <w:textAlignment w:val="top"/>
    </w:pPr>
    <w:rPr>
      <w:rFonts w:ascii="Times New Roman" w:eastAsia="Times New Roman" w:hAnsi="Times New Roman" w:cs="Times New Roman"/>
      <w:b/>
      <w:bCs/>
      <w:sz w:val="18"/>
      <w:szCs w:val="18"/>
      <w:lang w:val="en-ZA" w:eastAsia="en-ZA"/>
    </w:rPr>
  </w:style>
  <w:style w:type="paragraph" w:customStyle="1" w:styleId="xl77">
    <w:name w:val="xl77"/>
    <w:basedOn w:val="Normal"/>
    <w:rsid w:val="00FC3F75"/>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top"/>
    </w:pPr>
    <w:rPr>
      <w:rFonts w:ascii="Times New Roman" w:eastAsia="Times New Roman" w:hAnsi="Times New Roman" w:cs="Times New Roman"/>
      <w:b/>
      <w:bCs/>
      <w:sz w:val="18"/>
      <w:szCs w:val="18"/>
      <w:lang w:val="en-ZA" w:eastAsia="en-ZA"/>
    </w:rPr>
  </w:style>
  <w:style w:type="paragraph" w:customStyle="1" w:styleId="xl78">
    <w:name w:val="xl78"/>
    <w:basedOn w:val="Normal"/>
    <w:rsid w:val="00FC3F75"/>
    <w:pPr>
      <w:pBdr>
        <w:top w:val="single" w:sz="4" w:space="0" w:color="auto"/>
        <w:left w:val="single" w:sz="4" w:space="0" w:color="auto"/>
        <w:bottom w:val="single" w:sz="4" w:space="0" w:color="auto"/>
      </w:pBdr>
      <w:shd w:val="clear" w:color="000000" w:fill="D8D8D8"/>
      <w:spacing w:before="100" w:beforeAutospacing="1" w:after="100" w:afterAutospacing="1" w:line="240" w:lineRule="auto"/>
      <w:textAlignment w:val="top"/>
    </w:pPr>
    <w:rPr>
      <w:rFonts w:ascii="Times New Roman" w:eastAsia="Times New Roman" w:hAnsi="Times New Roman" w:cs="Times New Roman"/>
      <w:b/>
      <w:bCs/>
      <w:sz w:val="18"/>
      <w:szCs w:val="18"/>
      <w:lang w:val="en-ZA" w:eastAsia="en-ZA"/>
    </w:rPr>
  </w:style>
  <w:style w:type="paragraph" w:customStyle="1" w:styleId="xl79">
    <w:name w:val="xl79"/>
    <w:basedOn w:val="Normal"/>
    <w:rsid w:val="00FC3F75"/>
    <w:pPr>
      <w:pBdr>
        <w:top w:val="single" w:sz="4" w:space="0" w:color="auto"/>
        <w:bottom w:val="single" w:sz="4" w:space="0" w:color="auto"/>
      </w:pBdr>
      <w:shd w:val="clear" w:color="000000" w:fill="D8D8D8"/>
      <w:spacing w:before="100" w:beforeAutospacing="1" w:after="100" w:afterAutospacing="1" w:line="240" w:lineRule="auto"/>
      <w:textAlignment w:val="top"/>
    </w:pPr>
    <w:rPr>
      <w:rFonts w:ascii="Times New Roman" w:eastAsia="Times New Roman" w:hAnsi="Times New Roman" w:cs="Times New Roman"/>
      <w:b/>
      <w:bCs/>
      <w:sz w:val="18"/>
      <w:szCs w:val="18"/>
      <w:lang w:val="en-ZA" w:eastAsia="en-ZA"/>
    </w:rPr>
  </w:style>
  <w:style w:type="paragraph" w:customStyle="1" w:styleId="xl80">
    <w:name w:val="xl80"/>
    <w:basedOn w:val="Normal"/>
    <w:rsid w:val="00FC3F75"/>
    <w:pPr>
      <w:pBdr>
        <w:top w:val="single" w:sz="4" w:space="0" w:color="auto"/>
        <w:bottom w:val="single" w:sz="4" w:space="0" w:color="auto"/>
        <w:right w:val="single" w:sz="4" w:space="0" w:color="auto"/>
      </w:pBdr>
      <w:shd w:val="clear" w:color="000000" w:fill="D8D8D8"/>
      <w:spacing w:before="100" w:beforeAutospacing="1" w:after="100" w:afterAutospacing="1" w:line="240" w:lineRule="auto"/>
      <w:textAlignment w:val="top"/>
    </w:pPr>
    <w:rPr>
      <w:rFonts w:ascii="Times New Roman" w:eastAsia="Times New Roman" w:hAnsi="Times New Roman" w:cs="Times New Roman"/>
      <w:b/>
      <w:bCs/>
      <w:sz w:val="18"/>
      <w:szCs w:val="18"/>
      <w:lang w:val="en-ZA" w:eastAsia="en-ZA"/>
    </w:rPr>
  </w:style>
  <w:style w:type="paragraph" w:customStyle="1" w:styleId="xl81">
    <w:name w:val="xl81"/>
    <w:basedOn w:val="Normal"/>
    <w:rsid w:val="00FC3F75"/>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color w:val="000000"/>
      <w:sz w:val="18"/>
      <w:szCs w:val="18"/>
      <w:lang w:val="en-ZA" w:eastAsia="en-ZA"/>
    </w:rPr>
  </w:style>
  <w:style w:type="paragraph" w:customStyle="1" w:styleId="xl82">
    <w:name w:val="xl82"/>
    <w:basedOn w:val="Normal"/>
    <w:rsid w:val="00FC3F75"/>
    <w:pPr>
      <w:pBdr>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color w:val="000000"/>
      <w:sz w:val="18"/>
      <w:szCs w:val="18"/>
      <w:lang w:val="en-ZA" w:eastAsia="en-ZA"/>
    </w:rPr>
  </w:style>
  <w:style w:type="paragraph" w:customStyle="1" w:styleId="xl83">
    <w:name w:val="xl83"/>
    <w:basedOn w:val="Normal"/>
    <w:rsid w:val="00FC3F75"/>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color w:val="000000"/>
      <w:sz w:val="18"/>
      <w:szCs w:val="18"/>
      <w:lang w:val="en-ZA" w:eastAsia="en-ZA"/>
    </w:rPr>
  </w:style>
  <w:style w:type="paragraph" w:styleId="TOC4">
    <w:name w:val="toc 4"/>
    <w:basedOn w:val="Normal"/>
    <w:next w:val="Normal"/>
    <w:autoRedefine/>
    <w:uiPriority w:val="39"/>
    <w:unhideWhenUsed/>
    <w:rsid w:val="00FC3F75"/>
    <w:pPr>
      <w:spacing w:after="0"/>
      <w:ind w:left="600"/>
    </w:pPr>
    <w:rPr>
      <w:rFonts w:asciiTheme="minorHAnsi" w:hAnsiTheme="minorHAnsi"/>
      <w:sz w:val="18"/>
      <w:szCs w:val="18"/>
    </w:rPr>
  </w:style>
  <w:style w:type="paragraph" w:styleId="TOC5">
    <w:name w:val="toc 5"/>
    <w:basedOn w:val="Normal"/>
    <w:next w:val="Normal"/>
    <w:autoRedefine/>
    <w:uiPriority w:val="39"/>
    <w:unhideWhenUsed/>
    <w:rsid w:val="00FC3F75"/>
    <w:pPr>
      <w:spacing w:after="0"/>
      <w:ind w:left="800"/>
    </w:pPr>
    <w:rPr>
      <w:rFonts w:asciiTheme="minorHAnsi" w:hAnsiTheme="minorHAnsi"/>
      <w:sz w:val="18"/>
      <w:szCs w:val="18"/>
    </w:rPr>
  </w:style>
  <w:style w:type="paragraph" w:styleId="TOC6">
    <w:name w:val="toc 6"/>
    <w:basedOn w:val="Normal"/>
    <w:next w:val="Normal"/>
    <w:autoRedefine/>
    <w:uiPriority w:val="39"/>
    <w:unhideWhenUsed/>
    <w:rsid w:val="00FC3F75"/>
    <w:pPr>
      <w:spacing w:after="0"/>
      <w:ind w:left="1000"/>
    </w:pPr>
    <w:rPr>
      <w:rFonts w:asciiTheme="minorHAnsi" w:hAnsiTheme="minorHAnsi"/>
      <w:sz w:val="18"/>
      <w:szCs w:val="18"/>
    </w:rPr>
  </w:style>
  <w:style w:type="paragraph" w:styleId="TOC7">
    <w:name w:val="toc 7"/>
    <w:basedOn w:val="Normal"/>
    <w:next w:val="Normal"/>
    <w:autoRedefine/>
    <w:uiPriority w:val="39"/>
    <w:unhideWhenUsed/>
    <w:rsid w:val="00FC3F75"/>
    <w:pPr>
      <w:spacing w:after="0"/>
      <w:ind w:left="1200"/>
    </w:pPr>
    <w:rPr>
      <w:rFonts w:asciiTheme="minorHAnsi" w:hAnsiTheme="minorHAnsi"/>
      <w:sz w:val="18"/>
      <w:szCs w:val="18"/>
    </w:rPr>
  </w:style>
  <w:style w:type="paragraph" w:styleId="TOC8">
    <w:name w:val="toc 8"/>
    <w:basedOn w:val="Normal"/>
    <w:next w:val="Normal"/>
    <w:autoRedefine/>
    <w:uiPriority w:val="39"/>
    <w:unhideWhenUsed/>
    <w:rsid w:val="00FC3F75"/>
    <w:pPr>
      <w:spacing w:after="0"/>
      <w:ind w:left="1400"/>
    </w:pPr>
    <w:rPr>
      <w:rFonts w:asciiTheme="minorHAnsi" w:hAnsiTheme="minorHAnsi"/>
      <w:sz w:val="18"/>
      <w:szCs w:val="18"/>
    </w:rPr>
  </w:style>
  <w:style w:type="paragraph" w:styleId="TOC9">
    <w:name w:val="toc 9"/>
    <w:basedOn w:val="Normal"/>
    <w:next w:val="Normal"/>
    <w:autoRedefine/>
    <w:uiPriority w:val="39"/>
    <w:unhideWhenUsed/>
    <w:rsid w:val="00FC3F75"/>
    <w:pPr>
      <w:spacing w:after="0"/>
      <w:ind w:left="1600"/>
    </w:pPr>
    <w:rPr>
      <w:rFonts w:asciiTheme="minorHAnsi" w:hAnsiTheme="minorHAnsi"/>
      <w:sz w:val="18"/>
      <w:szCs w:val="18"/>
    </w:rPr>
  </w:style>
  <w:style w:type="paragraph" w:customStyle="1" w:styleId="ac-01">
    <w:name w:val="ac-01"/>
    <w:basedOn w:val="Default"/>
    <w:next w:val="Default"/>
    <w:uiPriority w:val="99"/>
    <w:rsid w:val="00FC3F75"/>
    <w:pPr>
      <w:widowControl w:val="0"/>
    </w:pPr>
    <w:rPr>
      <w:rFonts w:ascii="Times New Roman" w:eastAsia="MS Mincho" w:hAnsi="Times New Roman" w:cs="Times New Roman"/>
      <w:color w:val="auto"/>
      <w:lang w:val="en-GB" w:eastAsia="ja-JP"/>
    </w:rPr>
  </w:style>
  <w:style w:type="paragraph" w:customStyle="1" w:styleId="Level1">
    <w:name w:val="Level 1"/>
    <w:basedOn w:val="Normal"/>
    <w:uiPriority w:val="99"/>
    <w:rsid w:val="00FC3F75"/>
    <w:pPr>
      <w:widowControl w:val="0"/>
      <w:spacing w:after="0" w:line="240" w:lineRule="auto"/>
    </w:pPr>
    <w:rPr>
      <w:rFonts w:ascii="Arial" w:eastAsia="MS Mincho" w:hAnsi="Arial" w:cs="Tahoma"/>
      <w:lang w:val="en-GB"/>
    </w:rPr>
  </w:style>
  <w:style w:type="paragraph" w:customStyle="1" w:styleId="Level11">
    <w:name w:val="Level 11"/>
    <w:basedOn w:val="Normal"/>
    <w:uiPriority w:val="99"/>
    <w:rsid w:val="00FC3F75"/>
    <w:pPr>
      <w:widowControl w:val="0"/>
      <w:tabs>
        <w:tab w:val="left" w:pos="2160"/>
        <w:tab w:val="left" w:pos="2880"/>
        <w:tab w:val="left" w:pos="3600"/>
        <w:tab w:val="left" w:pos="4320"/>
        <w:tab w:val="left" w:pos="5040"/>
        <w:tab w:val="left" w:pos="5760"/>
        <w:tab w:val="left" w:pos="6480"/>
        <w:tab w:val="left" w:pos="7200"/>
        <w:tab w:val="left" w:pos="7920"/>
        <w:tab w:val="left" w:pos="8640"/>
        <w:tab w:val="left" w:pos="9360"/>
      </w:tabs>
      <w:spacing w:after="0" w:line="240" w:lineRule="auto"/>
      <w:ind w:left="2160" w:hanging="720"/>
    </w:pPr>
    <w:rPr>
      <w:rFonts w:ascii="Times New Roman" w:eastAsia="Times New Roman" w:hAnsi="Times New Roman" w:cs="Times New Roman"/>
      <w:sz w:val="24"/>
      <w:szCs w:val="20"/>
    </w:rPr>
  </w:style>
  <w:style w:type="character" w:styleId="Strong">
    <w:name w:val="Strong"/>
    <w:uiPriority w:val="22"/>
    <w:qFormat/>
    <w:rsid w:val="00FC3F75"/>
    <w:rPr>
      <w:b/>
      <w:bCs/>
    </w:rPr>
  </w:style>
  <w:style w:type="paragraph" w:customStyle="1" w:styleId="Style3">
    <w:name w:val="Style3"/>
    <w:basedOn w:val="Heading1"/>
    <w:next w:val="Normal"/>
    <w:uiPriority w:val="99"/>
    <w:rsid w:val="00FC3F75"/>
    <w:pPr>
      <w:keepLines w:val="0"/>
      <w:numPr>
        <w:numId w:val="13"/>
      </w:numPr>
      <w:spacing w:before="0" w:line="240" w:lineRule="auto"/>
    </w:pPr>
    <w:rPr>
      <w:rFonts w:ascii="Arial" w:eastAsia="Times New Roman" w:hAnsi="Arial" w:cs="Times New Roman"/>
      <w:caps/>
      <w:lang w:val="en-ZA"/>
    </w:rPr>
  </w:style>
  <w:style w:type="paragraph" w:customStyle="1" w:styleId="Style4">
    <w:name w:val="Style4"/>
    <w:basedOn w:val="Heading2"/>
    <w:uiPriority w:val="99"/>
    <w:rsid w:val="00FC3F75"/>
    <w:pPr>
      <w:keepLines w:val="0"/>
      <w:numPr>
        <w:ilvl w:val="1"/>
        <w:numId w:val="13"/>
      </w:numPr>
      <w:spacing w:before="0" w:line="240" w:lineRule="auto"/>
      <w:jc w:val="both"/>
    </w:pPr>
    <w:rPr>
      <w:rFonts w:ascii="Verdana" w:eastAsia="Times New Roman" w:hAnsi="Verdana" w:cs="Times New Roman"/>
      <w:i/>
      <w:caps/>
      <w:szCs w:val="24"/>
      <w:lang w:val="en-ZA"/>
    </w:rPr>
  </w:style>
  <w:style w:type="character" w:styleId="PageNumber">
    <w:name w:val="page number"/>
    <w:basedOn w:val="DefaultParagraphFont"/>
    <w:rsid w:val="00FC3F75"/>
  </w:style>
  <w:style w:type="paragraph" w:customStyle="1" w:styleId="1AutoList8">
    <w:name w:val="1AutoList8"/>
    <w:uiPriority w:val="99"/>
    <w:rsid w:val="00FC3F75"/>
    <w:pPr>
      <w:tabs>
        <w:tab w:val="left" w:pos="720"/>
      </w:tabs>
      <w:autoSpaceDE w:val="0"/>
      <w:autoSpaceDN w:val="0"/>
      <w:adjustRightInd w:val="0"/>
      <w:spacing w:after="0" w:line="240" w:lineRule="auto"/>
      <w:ind w:left="720" w:hanging="720"/>
    </w:pPr>
    <w:rPr>
      <w:rFonts w:ascii="Times New Roman" w:eastAsia="MS Mincho" w:hAnsi="Times New Roman" w:cs="Times New Roman"/>
      <w:sz w:val="20"/>
      <w:szCs w:val="20"/>
    </w:rPr>
  </w:style>
  <w:style w:type="paragraph" w:customStyle="1" w:styleId="Style6">
    <w:name w:val="Style6"/>
    <w:basedOn w:val="Heading2"/>
    <w:uiPriority w:val="99"/>
    <w:rsid w:val="00FC3F75"/>
    <w:pPr>
      <w:keepLines w:val="0"/>
      <w:tabs>
        <w:tab w:val="num" w:pos="737"/>
      </w:tabs>
      <w:spacing w:before="240" w:after="60" w:line="240" w:lineRule="auto"/>
      <w:ind w:left="737" w:hanging="737"/>
      <w:jc w:val="both"/>
    </w:pPr>
    <w:rPr>
      <w:rFonts w:ascii="Verdana" w:eastAsia="Times New Roman" w:hAnsi="Verdana" w:cs="Arial"/>
      <w:i/>
      <w:iCs/>
      <w:szCs w:val="24"/>
    </w:rPr>
  </w:style>
  <w:style w:type="paragraph" w:customStyle="1" w:styleId="Style7">
    <w:name w:val="Style7"/>
    <w:basedOn w:val="Normal"/>
    <w:uiPriority w:val="99"/>
    <w:rsid w:val="00FC3F75"/>
    <w:pPr>
      <w:spacing w:after="0" w:line="240" w:lineRule="auto"/>
      <w:jc w:val="both"/>
    </w:pPr>
    <w:rPr>
      <w:rFonts w:ascii="Verdana" w:eastAsia="Times New Roman" w:hAnsi="Verdana" w:cs="Times New Roman"/>
      <w:b/>
      <w:sz w:val="24"/>
    </w:rPr>
  </w:style>
  <w:style w:type="paragraph" w:styleId="List">
    <w:name w:val="List"/>
    <w:basedOn w:val="Normal"/>
    <w:uiPriority w:val="99"/>
    <w:rsid w:val="00FC3F7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eadings">
    <w:name w:val="Headings"/>
    <w:basedOn w:val="Normal"/>
    <w:uiPriority w:val="99"/>
    <w:rsid w:val="00FC3F75"/>
    <w:pPr>
      <w:overflowPunct w:val="0"/>
      <w:autoSpaceDE w:val="0"/>
      <w:autoSpaceDN w:val="0"/>
      <w:adjustRightInd w:val="0"/>
      <w:spacing w:after="0" w:line="240" w:lineRule="auto"/>
      <w:jc w:val="both"/>
      <w:textAlignment w:val="baseline"/>
    </w:pPr>
    <w:rPr>
      <w:rFonts w:ascii="Arial" w:eastAsia="Times New Roman" w:hAnsi="Arial" w:cs="Times New Roman"/>
      <w:b/>
      <w:sz w:val="24"/>
      <w:szCs w:val="20"/>
      <w:lang w:val="en-GB"/>
    </w:rPr>
  </w:style>
  <w:style w:type="paragraph" w:styleId="BodyTextIndent">
    <w:name w:val="Body Text Indent"/>
    <w:basedOn w:val="Normal"/>
    <w:link w:val="BodyTextIndentChar"/>
    <w:uiPriority w:val="99"/>
    <w:rsid w:val="00FC3F75"/>
    <w:pPr>
      <w:spacing w:after="120" w:line="240" w:lineRule="auto"/>
      <w:ind w:left="360"/>
    </w:pPr>
    <w:rPr>
      <w:rFonts w:ascii="Verdana" w:eastAsia="Times New Roman" w:hAnsi="Verdana" w:cs="Times New Roman"/>
    </w:rPr>
  </w:style>
  <w:style w:type="character" w:customStyle="1" w:styleId="BodyTextIndentChar">
    <w:name w:val="Body Text Indent Char"/>
    <w:basedOn w:val="DefaultParagraphFont"/>
    <w:link w:val="BodyTextIndent"/>
    <w:uiPriority w:val="99"/>
    <w:rsid w:val="00FC3F75"/>
    <w:rPr>
      <w:rFonts w:ascii="Verdana" w:eastAsia="Times New Roman" w:hAnsi="Verdana" w:cs="Times New Roman"/>
    </w:rPr>
  </w:style>
  <w:style w:type="paragraph" w:styleId="BodyTextIndent2">
    <w:name w:val="Body Text Indent 2"/>
    <w:basedOn w:val="Normal"/>
    <w:link w:val="BodyTextIndent2Char"/>
    <w:uiPriority w:val="99"/>
    <w:rsid w:val="00FC3F75"/>
    <w:pPr>
      <w:spacing w:after="120" w:line="480" w:lineRule="auto"/>
      <w:ind w:left="283"/>
    </w:pPr>
    <w:rPr>
      <w:rFonts w:ascii="Verdana" w:eastAsia="Times New Roman" w:hAnsi="Verdana" w:cs="Times New Roman"/>
    </w:rPr>
  </w:style>
  <w:style w:type="character" w:customStyle="1" w:styleId="BodyTextIndent2Char">
    <w:name w:val="Body Text Indent 2 Char"/>
    <w:basedOn w:val="DefaultParagraphFont"/>
    <w:link w:val="BodyTextIndent2"/>
    <w:uiPriority w:val="99"/>
    <w:rsid w:val="00FC3F75"/>
    <w:rPr>
      <w:rFonts w:ascii="Verdana" w:eastAsia="Times New Roman" w:hAnsi="Verdana" w:cs="Times New Roman"/>
    </w:rPr>
  </w:style>
  <w:style w:type="character" w:customStyle="1" w:styleId="spelle">
    <w:name w:val="spelle"/>
    <w:basedOn w:val="DefaultParagraphFont"/>
    <w:rsid w:val="00FC3F75"/>
  </w:style>
  <w:style w:type="paragraph" w:customStyle="1" w:styleId="DocumentTitle">
    <w:name w:val="Document Title"/>
    <w:uiPriority w:val="99"/>
    <w:rsid w:val="00FC3F75"/>
    <w:pPr>
      <w:spacing w:after="0" w:line="240" w:lineRule="auto"/>
    </w:pPr>
    <w:rPr>
      <w:rFonts w:ascii="Times New Roman" w:eastAsia="Times New Roman" w:hAnsi="Times New Roman" w:cs="Times New Roman"/>
      <w:snapToGrid w:val="0"/>
      <w:sz w:val="24"/>
      <w:szCs w:val="20"/>
    </w:rPr>
  </w:style>
  <w:style w:type="paragraph" w:customStyle="1" w:styleId="bodytext0">
    <w:name w:val="bodytext"/>
    <w:basedOn w:val="Normal"/>
    <w:uiPriority w:val="99"/>
    <w:rsid w:val="00FC3F75"/>
    <w:pPr>
      <w:spacing w:after="0" w:line="240" w:lineRule="auto"/>
      <w:jc w:val="both"/>
    </w:pPr>
    <w:rPr>
      <w:rFonts w:ascii="Arial Narrow" w:eastAsia="Times New Roman" w:hAnsi="Arial Narrow" w:cs="Times New Roman"/>
      <w:szCs w:val="20"/>
    </w:rPr>
  </w:style>
  <w:style w:type="paragraph" w:customStyle="1" w:styleId="bullet1">
    <w:name w:val="bullet 1"/>
    <w:basedOn w:val="Normal"/>
    <w:uiPriority w:val="99"/>
    <w:rsid w:val="00FC3F75"/>
    <w:pPr>
      <w:numPr>
        <w:numId w:val="11"/>
      </w:numPr>
      <w:spacing w:after="0" w:line="288" w:lineRule="auto"/>
      <w:ind w:left="901" w:hanging="544"/>
      <w:jc w:val="both"/>
    </w:pPr>
    <w:rPr>
      <w:rFonts w:ascii="Arial" w:eastAsia="Times New Roman" w:hAnsi="Arial" w:cs="Times New Roman"/>
      <w:szCs w:val="24"/>
      <w:lang w:val="en-GB"/>
    </w:rPr>
  </w:style>
  <w:style w:type="paragraph" w:styleId="BodyTextIndent3">
    <w:name w:val="Body Text Indent 3"/>
    <w:basedOn w:val="Normal"/>
    <w:link w:val="BodyTextIndent3Char"/>
    <w:uiPriority w:val="99"/>
    <w:rsid w:val="00FC3F75"/>
    <w:pPr>
      <w:spacing w:after="120" w:line="240" w:lineRule="auto"/>
      <w:ind w:left="283"/>
    </w:pPr>
    <w:rPr>
      <w:rFonts w:ascii="Verdana" w:eastAsia="Times New Roman" w:hAnsi="Verdana" w:cs="Times New Roman"/>
      <w:sz w:val="16"/>
      <w:szCs w:val="16"/>
    </w:rPr>
  </w:style>
  <w:style w:type="character" w:customStyle="1" w:styleId="BodyTextIndent3Char">
    <w:name w:val="Body Text Indent 3 Char"/>
    <w:basedOn w:val="DefaultParagraphFont"/>
    <w:link w:val="BodyTextIndent3"/>
    <w:uiPriority w:val="99"/>
    <w:rsid w:val="00FC3F75"/>
    <w:rPr>
      <w:rFonts w:ascii="Verdana" w:eastAsia="Times New Roman" w:hAnsi="Verdana" w:cs="Times New Roman"/>
      <w:sz w:val="16"/>
      <w:szCs w:val="16"/>
    </w:rPr>
  </w:style>
  <w:style w:type="paragraph" w:customStyle="1" w:styleId="xl84">
    <w:name w:val="xl84"/>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erdana" w:eastAsia="Times New Roman" w:hAnsi="Verdana" w:cs="Times New Roman"/>
      <w:b/>
      <w:bCs/>
      <w:sz w:val="18"/>
      <w:szCs w:val="18"/>
      <w:lang w:val="en-ZA" w:eastAsia="en-ZA"/>
    </w:rPr>
  </w:style>
  <w:style w:type="paragraph" w:customStyle="1" w:styleId="xl85">
    <w:name w:val="xl85"/>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erdana" w:eastAsia="Times New Roman" w:hAnsi="Verdana" w:cs="Times New Roman"/>
      <w:b/>
      <w:bCs/>
      <w:sz w:val="18"/>
      <w:szCs w:val="18"/>
      <w:lang w:val="en-ZA" w:eastAsia="en-ZA"/>
    </w:rPr>
  </w:style>
  <w:style w:type="paragraph" w:customStyle="1" w:styleId="xl86">
    <w:name w:val="xl86"/>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erdana" w:eastAsia="Times New Roman" w:hAnsi="Verdana" w:cs="Times New Roman"/>
      <w:b/>
      <w:bCs/>
      <w:sz w:val="18"/>
      <w:szCs w:val="18"/>
      <w:lang w:val="en-ZA" w:eastAsia="en-ZA"/>
    </w:rPr>
  </w:style>
  <w:style w:type="paragraph" w:customStyle="1" w:styleId="xl87">
    <w:name w:val="xl87"/>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erdana" w:eastAsia="Times New Roman" w:hAnsi="Verdana" w:cs="Times New Roman"/>
      <w:b/>
      <w:bCs/>
      <w:sz w:val="18"/>
      <w:szCs w:val="18"/>
      <w:lang w:val="en-ZA" w:eastAsia="en-ZA"/>
    </w:rPr>
  </w:style>
  <w:style w:type="paragraph" w:customStyle="1" w:styleId="CharCharCharCharCharCharCharCharCharCharCharCharChar">
    <w:name w:val="Char Char Char Char Char Char Char Char Char Char Char Char Char"/>
    <w:basedOn w:val="Normal"/>
    <w:rsid w:val="00FC3F75"/>
    <w:pPr>
      <w:spacing w:after="160" w:line="240" w:lineRule="exact"/>
    </w:pPr>
    <w:rPr>
      <w:rFonts w:ascii="Arial" w:eastAsia="Times New Roman" w:hAnsi="Arial" w:cs="Times New Roman"/>
      <w:szCs w:val="24"/>
      <w:lang w:val="en-ZA"/>
    </w:rPr>
  </w:style>
  <w:style w:type="paragraph" w:customStyle="1" w:styleId="4Document">
    <w:name w:val="4Document"/>
    <w:uiPriority w:val="99"/>
    <w:rsid w:val="00FC3F75"/>
    <w:pPr>
      <w:widowControl w:val="0"/>
      <w:spacing w:after="0" w:line="240" w:lineRule="auto"/>
    </w:pPr>
    <w:rPr>
      <w:rFonts w:ascii="Garamond Antiqua" w:eastAsia="Times New Roman" w:hAnsi="Garamond Antiqua" w:cs="Times New Roman"/>
      <w:snapToGrid w:val="0"/>
      <w:sz w:val="24"/>
      <w:szCs w:val="20"/>
    </w:rPr>
  </w:style>
  <w:style w:type="paragraph" w:customStyle="1" w:styleId="xl88">
    <w:name w:val="xl88"/>
    <w:basedOn w:val="Normal"/>
    <w:rsid w:val="00FC3F75"/>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000000"/>
      <w:sz w:val="18"/>
      <w:szCs w:val="18"/>
      <w:lang w:val="en-ZA" w:eastAsia="en-ZA"/>
    </w:rPr>
  </w:style>
  <w:style w:type="paragraph" w:customStyle="1" w:styleId="xl89">
    <w:name w:val="xl89"/>
    <w:basedOn w:val="Normal"/>
    <w:rsid w:val="00FC3F75"/>
    <w:pPr>
      <w:spacing w:before="100" w:beforeAutospacing="1" w:after="100" w:afterAutospacing="1" w:line="240" w:lineRule="auto"/>
      <w:textAlignment w:val="top"/>
    </w:pPr>
    <w:rPr>
      <w:rFonts w:ascii="Arial" w:eastAsia="Times New Roman" w:hAnsi="Arial" w:cs="Arial"/>
      <w:color w:val="000000"/>
      <w:sz w:val="18"/>
      <w:szCs w:val="18"/>
      <w:lang w:val="en-ZA" w:eastAsia="en-ZA"/>
    </w:rPr>
  </w:style>
  <w:style w:type="paragraph" w:customStyle="1" w:styleId="xl90">
    <w:name w:val="xl90"/>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18"/>
      <w:szCs w:val="18"/>
      <w:u w:val="single"/>
      <w:lang w:val="en-ZA" w:eastAsia="en-ZA"/>
    </w:rPr>
  </w:style>
  <w:style w:type="paragraph" w:customStyle="1" w:styleId="xl91">
    <w:name w:val="xl91"/>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18"/>
      <w:szCs w:val="18"/>
      <w:u w:val="single"/>
      <w:lang w:val="en-ZA" w:eastAsia="en-ZA"/>
    </w:rPr>
  </w:style>
  <w:style w:type="paragraph" w:customStyle="1" w:styleId="xl92">
    <w:name w:val="xl92"/>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000000"/>
      <w:sz w:val="18"/>
      <w:szCs w:val="18"/>
      <w:lang w:val="en-ZA" w:eastAsia="en-ZA"/>
    </w:rPr>
  </w:style>
  <w:style w:type="paragraph" w:customStyle="1" w:styleId="xl93">
    <w:name w:val="xl93"/>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color w:val="000000"/>
      <w:sz w:val="18"/>
      <w:szCs w:val="18"/>
      <w:lang w:val="en-ZA" w:eastAsia="en-ZA"/>
    </w:rPr>
  </w:style>
  <w:style w:type="paragraph" w:customStyle="1" w:styleId="xl94">
    <w:name w:val="xl94"/>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18"/>
      <w:szCs w:val="18"/>
      <w:lang w:val="en-ZA" w:eastAsia="en-ZA"/>
    </w:rPr>
  </w:style>
  <w:style w:type="paragraph" w:customStyle="1" w:styleId="xl95">
    <w:name w:val="xl95"/>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18"/>
      <w:szCs w:val="18"/>
      <w:lang w:val="en-ZA" w:eastAsia="en-ZA"/>
    </w:rPr>
  </w:style>
  <w:style w:type="paragraph" w:customStyle="1" w:styleId="xl96">
    <w:name w:val="xl96"/>
    <w:basedOn w:val="Normal"/>
    <w:rsid w:val="00FC3F75"/>
    <w:pPr>
      <w:pBdr>
        <w:top w:val="single" w:sz="4" w:space="0" w:color="auto"/>
        <w:left w:val="single" w:sz="4" w:space="0" w:color="auto"/>
      </w:pBdr>
      <w:spacing w:before="100" w:beforeAutospacing="1" w:after="100" w:afterAutospacing="1" w:line="240" w:lineRule="auto"/>
      <w:jc w:val="center"/>
      <w:textAlignment w:val="top"/>
    </w:pPr>
    <w:rPr>
      <w:rFonts w:ascii="Arial" w:eastAsia="Times New Roman" w:hAnsi="Arial" w:cs="Arial"/>
      <w:color w:val="000000"/>
      <w:sz w:val="18"/>
      <w:szCs w:val="18"/>
      <w:lang w:val="en-ZA" w:eastAsia="en-ZA"/>
    </w:rPr>
  </w:style>
  <w:style w:type="paragraph" w:customStyle="1" w:styleId="xl97">
    <w:name w:val="xl97"/>
    <w:basedOn w:val="Normal"/>
    <w:rsid w:val="00FC3F75"/>
    <w:pPr>
      <w:pBdr>
        <w:top w:val="single" w:sz="4" w:space="0" w:color="auto"/>
      </w:pBdr>
      <w:spacing w:before="100" w:beforeAutospacing="1" w:after="100" w:afterAutospacing="1" w:line="240" w:lineRule="auto"/>
      <w:jc w:val="center"/>
      <w:textAlignment w:val="top"/>
    </w:pPr>
    <w:rPr>
      <w:rFonts w:ascii="Arial" w:eastAsia="Times New Roman" w:hAnsi="Arial" w:cs="Arial"/>
      <w:color w:val="000000"/>
      <w:sz w:val="18"/>
      <w:szCs w:val="18"/>
      <w:lang w:val="en-ZA" w:eastAsia="en-ZA"/>
    </w:rPr>
  </w:style>
  <w:style w:type="paragraph" w:customStyle="1" w:styleId="xl98">
    <w:name w:val="xl98"/>
    <w:basedOn w:val="Normal"/>
    <w:rsid w:val="00FC3F75"/>
    <w:pPr>
      <w:pBdr>
        <w:top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color w:val="000000"/>
      <w:sz w:val="18"/>
      <w:szCs w:val="18"/>
      <w:lang w:val="en-ZA" w:eastAsia="en-ZA"/>
    </w:rPr>
  </w:style>
  <w:style w:type="paragraph" w:customStyle="1" w:styleId="xl99">
    <w:name w:val="xl99"/>
    <w:basedOn w:val="Normal"/>
    <w:rsid w:val="00FC3F75"/>
    <w:pPr>
      <w:pBdr>
        <w:left w:val="single" w:sz="4" w:space="0" w:color="auto"/>
        <w:bottom w:val="single" w:sz="4" w:space="0" w:color="auto"/>
      </w:pBdr>
      <w:spacing w:before="100" w:beforeAutospacing="1" w:after="100" w:afterAutospacing="1" w:line="240" w:lineRule="auto"/>
      <w:jc w:val="center"/>
      <w:textAlignment w:val="top"/>
    </w:pPr>
    <w:rPr>
      <w:rFonts w:ascii="Arial" w:eastAsia="Times New Roman" w:hAnsi="Arial" w:cs="Arial"/>
      <w:color w:val="000000"/>
      <w:sz w:val="18"/>
      <w:szCs w:val="18"/>
      <w:lang w:val="en-ZA" w:eastAsia="en-ZA"/>
    </w:rPr>
  </w:style>
  <w:style w:type="paragraph" w:customStyle="1" w:styleId="xl100">
    <w:name w:val="xl100"/>
    <w:basedOn w:val="Normal"/>
    <w:rsid w:val="00FC3F75"/>
    <w:pPr>
      <w:pBdr>
        <w:bottom w:val="single" w:sz="4" w:space="0" w:color="auto"/>
      </w:pBdr>
      <w:spacing w:before="100" w:beforeAutospacing="1" w:after="100" w:afterAutospacing="1" w:line="240" w:lineRule="auto"/>
      <w:jc w:val="center"/>
      <w:textAlignment w:val="top"/>
    </w:pPr>
    <w:rPr>
      <w:rFonts w:ascii="Arial" w:eastAsia="Times New Roman" w:hAnsi="Arial" w:cs="Arial"/>
      <w:color w:val="000000"/>
      <w:sz w:val="18"/>
      <w:szCs w:val="18"/>
      <w:lang w:val="en-ZA" w:eastAsia="en-ZA"/>
    </w:rPr>
  </w:style>
  <w:style w:type="paragraph" w:customStyle="1" w:styleId="xl101">
    <w:name w:val="xl101"/>
    <w:basedOn w:val="Normal"/>
    <w:rsid w:val="00FC3F75"/>
    <w:pPr>
      <w:pBdr>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color w:val="000000"/>
      <w:sz w:val="18"/>
      <w:szCs w:val="18"/>
      <w:lang w:val="en-ZA" w:eastAsia="en-ZA"/>
    </w:rPr>
  </w:style>
  <w:style w:type="paragraph" w:customStyle="1" w:styleId="xl102">
    <w:name w:val="xl102"/>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000000"/>
      <w:sz w:val="18"/>
      <w:szCs w:val="18"/>
      <w:lang w:val="en-ZA" w:eastAsia="en-ZA"/>
    </w:rPr>
  </w:style>
  <w:style w:type="paragraph" w:customStyle="1" w:styleId="xl103">
    <w:name w:val="xl103"/>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color w:val="000000"/>
      <w:sz w:val="18"/>
      <w:szCs w:val="18"/>
      <w:lang w:val="en-ZA" w:eastAsia="en-ZA"/>
    </w:rPr>
  </w:style>
  <w:style w:type="paragraph" w:customStyle="1" w:styleId="xl104">
    <w:name w:val="xl104"/>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color w:val="000000"/>
      <w:sz w:val="18"/>
      <w:szCs w:val="18"/>
      <w:lang w:val="en-ZA" w:eastAsia="en-ZA"/>
    </w:rPr>
  </w:style>
  <w:style w:type="paragraph" w:customStyle="1" w:styleId="xl105">
    <w:name w:val="xl105"/>
    <w:basedOn w:val="Normal"/>
    <w:rsid w:val="00FC3F75"/>
    <w:pPr>
      <w:pBdr>
        <w:top w:val="single" w:sz="4" w:space="0" w:color="auto"/>
        <w:lef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18"/>
      <w:szCs w:val="18"/>
      <w:lang w:val="en-ZA" w:eastAsia="en-ZA"/>
    </w:rPr>
  </w:style>
  <w:style w:type="paragraph" w:customStyle="1" w:styleId="xl106">
    <w:name w:val="xl106"/>
    <w:basedOn w:val="Normal"/>
    <w:rsid w:val="00FC3F75"/>
    <w:pPr>
      <w:pBdr>
        <w:top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18"/>
      <w:szCs w:val="18"/>
      <w:lang w:val="en-ZA" w:eastAsia="en-ZA"/>
    </w:rPr>
  </w:style>
  <w:style w:type="paragraph" w:customStyle="1" w:styleId="xl107">
    <w:name w:val="xl107"/>
    <w:basedOn w:val="Normal"/>
    <w:rsid w:val="00FC3F75"/>
    <w:pPr>
      <w:pBdr>
        <w:top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18"/>
      <w:szCs w:val="18"/>
      <w:lang w:val="en-ZA" w:eastAsia="en-ZA"/>
    </w:rPr>
  </w:style>
  <w:style w:type="paragraph" w:customStyle="1" w:styleId="xl108">
    <w:name w:val="xl108"/>
    <w:basedOn w:val="Normal"/>
    <w:rsid w:val="00FC3F75"/>
    <w:pPr>
      <w:pBdr>
        <w:left w:val="single" w:sz="4" w:space="0" w:color="auto"/>
        <w:bottom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18"/>
      <w:szCs w:val="18"/>
      <w:lang w:val="en-ZA" w:eastAsia="en-ZA"/>
    </w:rPr>
  </w:style>
  <w:style w:type="paragraph" w:customStyle="1" w:styleId="xl109">
    <w:name w:val="xl109"/>
    <w:basedOn w:val="Normal"/>
    <w:rsid w:val="00FC3F75"/>
    <w:pPr>
      <w:pBdr>
        <w:bottom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18"/>
      <w:szCs w:val="18"/>
      <w:lang w:val="en-ZA" w:eastAsia="en-ZA"/>
    </w:rPr>
  </w:style>
  <w:style w:type="paragraph" w:customStyle="1" w:styleId="xl110">
    <w:name w:val="xl110"/>
    <w:basedOn w:val="Normal"/>
    <w:rsid w:val="00FC3F75"/>
    <w:pPr>
      <w:pBdr>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18"/>
      <w:szCs w:val="18"/>
      <w:lang w:val="en-ZA" w:eastAsia="en-ZA"/>
    </w:rPr>
  </w:style>
  <w:style w:type="paragraph" w:customStyle="1" w:styleId="xl111">
    <w:name w:val="xl111"/>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color w:val="000000"/>
      <w:sz w:val="18"/>
      <w:szCs w:val="18"/>
      <w:lang w:val="en-ZA" w:eastAsia="en-ZA"/>
    </w:rPr>
  </w:style>
  <w:style w:type="paragraph" w:customStyle="1" w:styleId="xl112">
    <w:name w:val="xl112"/>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000000"/>
      <w:sz w:val="18"/>
      <w:szCs w:val="18"/>
      <w:lang w:val="en-ZA" w:eastAsia="en-ZA"/>
    </w:rPr>
  </w:style>
  <w:style w:type="paragraph" w:customStyle="1" w:styleId="xl113">
    <w:name w:val="xl113"/>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000000"/>
      <w:sz w:val="18"/>
      <w:szCs w:val="18"/>
      <w:lang w:val="en-ZA" w:eastAsia="en-ZA"/>
    </w:rPr>
  </w:style>
  <w:style w:type="paragraph" w:customStyle="1" w:styleId="xl114">
    <w:name w:val="xl114"/>
    <w:basedOn w:val="Normal"/>
    <w:rsid w:val="00FC3F75"/>
    <w:pPr>
      <w:pBdr>
        <w:left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000000"/>
      <w:sz w:val="18"/>
      <w:szCs w:val="18"/>
      <w:lang w:val="en-ZA" w:eastAsia="en-ZA"/>
    </w:rPr>
  </w:style>
  <w:style w:type="paragraph" w:customStyle="1" w:styleId="xl115">
    <w:name w:val="xl115"/>
    <w:basedOn w:val="Normal"/>
    <w:rsid w:val="00FC3F75"/>
    <w:pPr>
      <w:spacing w:before="100" w:beforeAutospacing="1" w:after="100" w:afterAutospacing="1" w:line="240" w:lineRule="auto"/>
      <w:textAlignment w:val="top"/>
    </w:pPr>
    <w:rPr>
      <w:rFonts w:ascii="Arial" w:eastAsia="Times New Roman" w:hAnsi="Arial" w:cs="Arial"/>
      <w:color w:val="000000"/>
      <w:sz w:val="18"/>
      <w:szCs w:val="18"/>
      <w:lang w:val="en-ZA" w:eastAsia="en-ZA"/>
    </w:rPr>
  </w:style>
  <w:style w:type="paragraph" w:customStyle="1" w:styleId="xl116">
    <w:name w:val="xl116"/>
    <w:basedOn w:val="Normal"/>
    <w:rsid w:val="00FC3F75"/>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000000"/>
      <w:sz w:val="18"/>
      <w:szCs w:val="18"/>
      <w:lang w:val="en-ZA" w:eastAsia="en-ZA"/>
    </w:rPr>
  </w:style>
  <w:style w:type="paragraph" w:customStyle="1" w:styleId="xl117">
    <w:name w:val="xl117"/>
    <w:basedOn w:val="Normal"/>
    <w:rsid w:val="00FC3F75"/>
    <w:pPr>
      <w:pBdr>
        <w:left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color w:val="000000"/>
      <w:sz w:val="18"/>
      <w:szCs w:val="18"/>
      <w:lang w:val="en-ZA" w:eastAsia="en-ZA"/>
    </w:rPr>
  </w:style>
  <w:style w:type="paragraph" w:customStyle="1" w:styleId="xl118">
    <w:name w:val="xl118"/>
    <w:basedOn w:val="Normal"/>
    <w:rsid w:val="00FC3F75"/>
    <w:pPr>
      <w:pBdr>
        <w:left w:val="single" w:sz="4" w:space="0" w:color="auto"/>
      </w:pBdr>
      <w:spacing w:before="100" w:beforeAutospacing="1" w:after="100" w:afterAutospacing="1" w:line="240" w:lineRule="auto"/>
      <w:textAlignment w:val="top"/>
    </w:pPr>
    <w:rPr>
      <w:rFonts w:ascii="Arial" w:eastAsia="Times New Roman" w:hAnsi="Arial" w:cs="Arial"/>
      <w:color w:val="000000"/>
      <w:sz w:val="18"/>
      <w:szCs w:val="18"/>
      <w:lang w:val="en-ZA" w:eastAsia="en-ZA"/>
    </w:rPr>
  </w:style>
  <w:style w:type="paragraph" w:customStyle="1" w:styleId="xl119">
    <w:name w:val="xl119"/>
    <w:basedOn w:val="Normal"/>
    <w:rsid w:val="00FC3F75"/>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000000"/>
      <w:sz w:val="18"/>
      <w:szCs w:val="18"/>
      <w:lang w:val="en-ZA" w:eastAsia="en-ZA"/>
    </w:rPr>
  </w:style>
  <w:style w:type="paragraph" w:customStyle="1" w:styleId="xl120">
    <w:name w:val="xl120"/>
    <w:basedOn w:val="Normal"/>
    <w:rsid w:val="00FC3F75"/>
    <w:pPr>
      <w:pBdr>
        <w:bottom w:val="single" w:sz="4" w:space="0" w:color="auto"/>
      </w:pBdr>
      <w:spacing w:before="100" w:beforeAutospacing="1" w:after="100" w:afterAutospacing="1" w:line="240" w:lineRule="auto"/>
      <w:textAlignment w:val="top"/>
    </w:pPr>
    <w:rPr>
      <w:rFonts w:ascii="Arial" w:eastAsia="Times New Roman" w:hAnsi="Arial" w:cs="Arial"/>
      <w:color w:val="000000"/>
      <w:sz w:val="18"/>
      <w:szCs w:val="18"/>
      <w:lang w:val="en-ZA" w:eastAsia="en-ZA"/>
    </w:rPr>
  </w:style>
  <w:style w:type="paragraph" w:customStyle="1" w:styleId="xl121">
    <w:name w:val="xl121"/>
    <w:basedOn w:val="Normal"/>
    <w:rsid w:val="00FC3F75"/>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color w:val="000000"/>
      <w:sz w:val="18"/>
      <w:szCs w:val="18"/>
      <w:lang w:val="en-ZA" w:eastAsia="en-ZA"/>
    </w:rPr>
  </w:style>
  <w:style w:type="paragraph" w:customStyle="1" w:styleId="xl122">
    <w:name w:val="xl122"/>
    <w:basedOn w:val="Normal"/>
    <w:rsid w:val="00FC3F75"/>
    <w:pPr>
      <w:spacing w:before="100" w:beforeAutospacing="1" w:after="100" w:afterAutospacing="1" w:line="240" w:lineRule="auto"/>
      <w:textAlignment w:val="top"/>
    </w:pPr>
    <w:rPr>
      <w:rFonts w:ascii="Arial" w:eastAsia="Times New Roman" w:hAnsi="Arial" w:cs="Arial"/>
      <w:b/>
      <w:bCs/>
      <w:color w:val="000000"/>
      <w:sz w:val="18"/>
      <w:szCs w:val="18"/>
      <w:lang w:val="en-ZA" w:eastAsia="en-ZA"/>
    </w:rPr>
  </w:style>
  <w:style w:type="paragraph" w:customStyle="1" w:styleId="xl123">
    <w:name w:val="xl123"/>
    <w:basedOn w:val="Normal"/>
    <w:rsid w:val="00FC3F75"/>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color w:val="000000"/>
      <w:sz w:val="18"/>
      <w:szCs w:val="18"/>
      <w:lang w:val="en-ZA" w:eastAsia="en-ZA"/>
    </w:rPr>
  </w:style>
  <w:style w:type="paragraph" w:customStyle="1" w:styleId="xl124">
    <w:name w:val="xl124"/>
    <w:basedOn w:val="Normal"/>
    <w:rsid w:val="00FC3F75"/>
    <w:pPr>
      <w:pBdr>
        <w:top w:val="single" w:sz="4" w:space="0" w:color="auto"/>
        <w:left w:val="single" w:sz="4" w:space="0" w:color="auto"/>
        <w:bottom w:val="double" w:sz="6" w:space="0" w:color="auto"/>
        <w:right w:val="single" w:sz="4" w:space="0" w:color="auto"/>
      </w:pBdr>
      <w:spacing w:before="100" w:beforeAutospacing="1" w:after="100" w:afterAutospacing="1" w:line="240" w:lineRule="auto"/>
      <w:textAlignment w:val="top"/>
    </w:pPr>
    <w:rPr>
      <w:rFonts w:ascii="Arial" w:eastAsia="Times New Roman" w:hAnsi="Arial" w:cs="Arial"/>
      <w:b/>
      <w:bCs/>
      <w:color w:val="000000"/>
      <w:sz w:val="18"/>
      <w:szCs w:val="18"/>
      <w:lang w:val="en-ZA" w:eastAsia="en-ZA"/>
    </w:rPr>
  </w:style>
  <w:style w:type="paragraph" w:customStyle="1" w:styleId="xl125">
    <w:name w:val="xl125"/>
    <w:basedOn w:val="Normal"/>
    <w:rsid w:val="00FC3F75"/>
    <w:pPr>
      <w:pBdr>
        <w:top w:val="single" w:sz="4" w:space="0" w:color="auto"/>
        <w:bottom w:val="double" w:sz="6" w:space="0" w:color="auto"/>
      </w:pBdr>
      <w:spacing w:before="100" w:beforeAutospacing="1" w:after="100" w:afterAutospacing="1" w:line="240" w:lineRule="auto"/>
      <w:textAlignment w:val="top"/>
    </w:pPr>
    <w:rPr>
      <w:rFonts w:ascii="Arial" w:eastAsia="Times New Roman" w:hAnsi="Arial" w:cs="Arial"/>
      <w:b/>
      <w:bCs/>
      <w:color w:val="000000"/>
      <w:sz w:val="18"/>
      <w:szCs w:val="18"/>
      <w:lang w:val="en-ZA" w:eastAsia="en-ZA"/>
    </w:rPr>
  </w:style>
  <w:style w:type="paragraph" w:customStyle="1" w:styleId="xl126">
    <w:name w:val="xl126"/>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18"/>
      <w:szCs w:val="18"/>
      <w:u w:val="single"/>
      <w:lang w:val="en-ZA" w:eastAsia="en-ZA"/>
    </w:rPr>
  </w:style>
  <w:style w:type="paragraph" w:customStyle="1" w:styleId="xl127">
    <w:name w:val="xl127"/>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color w:val="000000"/>
      <w:sz w:val="18"/>
      <w:szCs w:val="18"/>
      <w:lang w:val="en-ZA" w:eastAsia="en-ZA"/>
    </w:rPr>
  </w:style>
  <w:style w:type="paragraph" w:customStyle="1" w:styleId="xl128">
    <w:name w:val="xl128"/>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b/>
      <w:bCs/>
      <w:color w:val="000000"/>
      <w:sz w:val="18"/>
      <w:szCs w:val="18"/>
      <w:lang w:val="en-ZA" w:eastAsia="en-ZA"/>
    </w:rPr>
  </w:style>
  <w:style w:type="paragraph" w:customStyle="1" w:styleId="xl129">
    <w:name w:val="xl129"/>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color w:val="000000"/>
      <w:sz w:val="18"/>
      <w:szCs w:val="18"/>
      <w:lang w:val="en-ZA" w:eastAsia="en-ZA"/>
    </w:rPr>
  </w:style>
  <w:style w:type="paragraph" w:customStyle="1" w:styleId="xl130">
    <w:name w:val="xl130"/>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color w:val="000000"/>
      <w:sz w:val="18"/>
      <w:szCs w:val="18"/>
      <w:lang w:val="en-ZA" w:eastAsia="en-ZA"/>
    </w:rPr>
  </w:style>
  <w:style w:type="paragraph" w:customStyle="1" w:styleId="xl131">
    <w:name w:val="xl131"/>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color w:val="000000"/>
      <w:sz w:val="18"/>
      <w:szCs w:val="18"/>
      <w:lang w:val="en-ZA" w:eastAsia="en-ZA"/>
    </w:rPr>
  </w:style>
  <w:style w:type="paragraph" w:customStyle="1" w:styleId="xl132">
    <w:name w:val="xl132"/>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000000"/>
      <w:sz w:val="18"/>
      <w:szCs w:val="18"/>
      <w:lang w:val="en-ZA" w:eastAsia="en-ZA"/>
    </w:rPr>
  </w:style>
  <w:style w:type="paragraph" w:customStyle="1" w:styleId="bodytext-just">
    <w:name w:val="bodytext - just"/>
    <w:basedOn w:val="Normal"/>
    <w:link w:val="bodytext-justChar"/>
    <w:uiPriority w:val="99"/>
    <w:rsid w:val="00FC3F75"/>
    <w:pPr>
      <w:tabs>
        <w:tab w:val="left" w:pos="567"/>
        <w:tab w:val="left" w:leader="dot" w:pos="6804"/>
      </w:tabs>
      <w:spacing w:before="120" w:after="120" w:line="260" w:lineRule="exact"/>
      <w:ind w:right="-108"/>
      <w:jc w:val="both"/>
    </w:pPr>
    <w:rPr>
      <w:rFonts w:ascii="Arial" w:eastAsia="Times New Roman" w:hAnsi="Arial" w:cs="Times New Roman"/>
      <w:sz w:val="21"/>
      <w:szCs w:val="20"/>
    </w:rPr>
  </w:style>
  <w:style w:type="character" w:customStyle="1" w:styleId="bodytext-justChar">
    <w:name w:val="bodytext - just Char"/>
    <w:basedOn w:val="DefaultParagraphFont"/>
    <w:link w:val="bodytext-just"/>
    <w:uiPriority w:val="99"/>
    <w:locked/>
    <w:rsid w:val="00FC3F75"/>
    <w:rPr>
      <w:rFonts w:ascii="Arial" w:eastAsia="Times New Roman" w:hAnsi="Arial" w:cs="Times New Roman"/>
      <w:sz w:val="21"/>
      <w:szCs w:val="20"/>
    </w:rPr>
  </w:style>
  <w:style w:type="paragraph" w:customStyle="1" w:styleId="AGHeading2">
    <w:name w:val="AG Heading 2"/>
    <w:basedOn w:val="Normal"/>
    <w:next w:val="Normal"/>
    <w:link w:val="AGHeading2Char"/>
    <w:autoRedefine/>
    <w:uiPriority w:val="99"/>
    <w:rsid w:val="00FC3F75"/>
    <w:pPr>
      <w:numPr>
        <w:numId w:val="14"/>
      </w:numPr>
      <w:spacing w:after="120" w:line="240" w:lineRule="auto"/>
    </w:pPr>
    <w:rPr>
      <w:rFonts w:ascii="Arial" w:eastAsia="Times New Roman" w:hAnsi="Arial" w:cs="Arial"/>
      <w:b/>
      <w:szCs w:val="24"/>
      <w:lang w:val="en-ZA" w:eastAsia="en-GB"/>
    </w:rPr>
  </w:style>
  <w:style w:type="character" w:customStyle="1" w:styleId="AGHeading2Char">
    <w:name w:val="AG Heading 2 Char"/>
    <w:basedOn w:val="DefaultParagraphFont"/>
    <w:link w:val="AGHeading2"/>
    <w:uiPriority w:val="99"/>
    <w:rsid w:val="00FC3F75"/>
    <w:rPr>
      <w:rFonts w:ascii="Arial" w:eastAsia="Times New Roman" w:hAnsi="Arial" w:cs="Arial"/>
      <w:b/>
      <w:sz w:val="20"/>
      <w:szCs w:val="24"/>
      <w:lang w:val="en-ZA" w:eastAsia="en-GB"/>
    </w:rPr>
  </w:style>
  <w:style w:type="paragraph" w:customStyle="1" w:styleId="agheading20">
    <w:name w:val="agheading2"/>
    <w:basedOn w:val="Normal"/>
    <w:uiPriority w:val="99"/>
    <w:rsid w:val="00FC3F75"/>
    <w:pPr>
      <w:spacing w:after="120" w:line="240" w:lineRule="auto"/>
      <w:ind w:left="360" w:hanging="360"/>
    </w:pPr>
    <w:rPr>
      <w:rFonts w:ascii="Arial" w:eastAsia="Times New Roman" w:hAnsi="Arial" w:cs="Arial"/>
      <w:b/>
      <w:bCs/>
    </w:rPr>
  </w:style>
  <w:style w:type="paragraph" w:customStyle="1" w:styleId="bodytext-just0">
    <w:name w:val="bodytext-just"/>
    <w:basedOn w:val="Normal"/>
    <w:uiPriority w:val="99"/>
    <w:rsid w:val="00FC3F75"/>
    <w:pPr>
      <w:spacing w:before="120" w:after="120" w:line="260" w:lineRule="atLeast"/>
      <w:ind w:right="-108"/>
      <w:jc w:val="both"/>
    </w:pPr>
    <w:rPr>
      <w:rFonts w:ascii="Arial" w:eastAsia="Times New Roman" w:hAnsi="Arial" w:cs="Arial"/>
      <w:sz w:val="21"/>
      <w:szCs w:val="21"/>
    </w:rPr>
  </w:style>
  <w:style w:type="paragraph" w:customStyle="1" w:styleId="xl64">
    <w:name w:val="xl64"/>
    <w:basedOn w:val="Normal"/>
    <w:rsid w:val="00FC3F75"/>
    <w:pPr>
      <w:spacing w:before="100" w:beforeAutospacing="1" w:after="100" w:afterAutospacing="1" w:line="240" w:lineRule="auto"/>
    </w:pPr>
    <w:rPr>
      <w:rFonts w:ascii="Arial" w:eastAsia="Times New Roman" w:hAnsi="Arial" w:cs="Arial"/>
      <w:color w:val="000000"/>
      <w:szCs w:val="20"/>
      <w:lang w:val="en-ZA" w:eastAsia="en-ZA"/>
    </w:rPr>
  </w:style>
  <w:style w:type="paragraph" w:customStyle="1" w:styleId="xl133">
    <w:name w:val="xl133"/>
    <w:basedOn w:val="Normal"/>
    <w:rsid w:val="00FC3F75"/>
    <w:pPr>
      <w:pBdr>
        <w:top w:val="single" w:sz="4" w:space="0" w:color="auto"/>
        <w:left w:val="single" w:sz="4" w:space="0" w:color="auto"/>
        <w:bottom w:val="single" w:sz="4" w:space="0" w:color="auto"/>
        <w:right w:val="single" w:sz="4" w:space="14" w:color="auto"/>
      </w:pBdr>
      <w:shd w:val="clear" w:color="000000" w:fill="FF0000"/>
      <w:spacing w:before="100" w:beforeAutospacing="1" w:after="100" w:afterAutospacing="1" w:line="240" w:lineRule="auto"/>
      <w:ind w:firstLineChars="200" w:firstLine="200"/>
      <w:jc w:val="right"/>
    </w:pPr>
    <w:rPr>
      <w:rFonts w:ascii="Times New Roman" w:eastAsia="Times New Roman" w:hAnsi="Times New Roman" w:cs="Times New Roman"/>
      <w:color w:val="000000"/>
      <w:szCs w:val="20"/>
      <w:lang w:val="en-ZA" w:eastAsia="en-ZA"/>
    </w:rPr>
  </w:style>
  <w:style w:type="paragraph" w:customStyle="1" w:styleId="xl134">
    <w:name w:val="xl134"/>
    <w:basedOn w:val="Normal"/>
    <w:rsid w:val="00FC3F75"/>
    <w:pPr>
      <w:pBdr>
        <w:top w:val="single" w:sz="4" w:space="0" w:color="auto"/>
        <w:left w:val="single" w:sz="4" w:space="0" w:color="auto"/>
        <w:bottom w:val="single" w:sz="4" w:space="0" w:color="auto"/>
        <w:right w:val="single" w:sz="4" w:space="31" w:color="auto"/>
      </w:pBdr>
      <w:shd w:val="clear" w:color="000000" w:fill="FF0000"/>
      <w:spacing w:before="100" w:beforeAutospacing="1" w:after="100" w:afterAutospacing="1" w:line="240" w:lineRule="auto"/>
      <w:ind w:firstLineChars="500" w:firstLine="500"/>
      <w:jc w:val="right"/>
      <w:textAlignment w:val="top"/>
    </w:pPr>
    <w:rPr>
      <w:rFonts w:ascii="Times New Roman" w:eastAsia="Times New Roman" w:hAnsi="Times New Roman" w:cs="Times New Roman"/>
      <w:color w:val="000000"/>
      <w:szCs w:val="20"/>
      <w:lang w:val="en-ZA" w:eastAsia="en-ZA"/>
    </w:rPr>
  </w:style>
  <w:style w:type="paragraph" w:customStyle="1" w:styleId="xl135">
    <w:name w:val="xl135"/>
    <w:basedOn w:val="Normal"/>
    <w:rsid w:val="00FC3F75"/>
    <w:pPr>
      <w:pBdr>
        <w:top w:val="single" w:sz="4" w:space="0" w:color="auto"/>
        <w:left w:val="single" w:sz="4" w:space="0" w:color="auto"/>
        <w:bottom w:val="single" w:sz="4" w:space="0" w:color="auto"/>
        <w:right w:val="single" w:sz="4" w:space="0" w:color="auto"/>
      </w:pBdr>
      <w:shd w:val="clear" w:color="000000" w:fill="FFCC00"/>
      <w:spacing w:before="100" w:beforeAutospacing="1" w:after="100" w:afterAutospacing="1" w:line="240" w:lineRule="auto"/>
      <w:textAlignment w:val="top"/>
    </w:pPr>
    <w:rPr>
      <w:rFonts w:ascii="Times New Roman" w:eastAsia="Times New Roman" w:hAnsi="Times New Roman" w:cs="Times New Roman"/>
      <w:b/>
      <w:bCs/>
      <w:color w:val="000000"/>
      <w:szCs w:val="20"/>
      <w:lang w:val="en-ZA" w:eastAsia="en-ZA"/>
    </w:rPr>
  </w:style>
  <w:style w:type="paragraph" w:customStyle="1" w:styleId="xl136">
    <w:name w:val="xl136"/>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color w:val="000000"/>
      <w:szCs w:val="20"/>
      <w:lang w:val="en-ZA" w:eastAsia="en-ZA"/>
    </w:rPr>
  </w:style>
  <w:style w:type="paragraph" w:customStyle="1" w:styleId="xl137">
    <w:name w:val="xl137"/>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Cs w:val="20"/>
      <w:lang w:val="en-ZA" w:eastAsia="en-ZA"/>
    </w:rPr>
  </w:style>
  <w:style w:type="paragraph" w:customStyle="1" w:styleId="font6">
    <w:name w:val="font6"/>
    <w:basedOn w:val="Normal"/>
    <w:rsid w:val="00FC3F75"/>
    <w:pPr>
      <w:spacing w:before="100" w:beforeAutospacing="1" w:after="100" w:afterAutospacing="1" w:line="240" w:lineRule="auto"/>
    </w:pPr>
    <w:rPr>
      <w:rFonts w:eastAsia="Times New Roman" w:cs="Calibri"/>
      <w:b/>
      <w:bCs/>
      <w:szCs w:val="20"/>
      <w:lang w:val="en-ZA" w:eastAsia="en-ZA"/>
    </w:rPr>
  </w:style>
  <w:style w:type="paragraph" w:customStyle="1" w:styleId="font7">
    <w:name w:val="font7"/>
    <w:basedOn w:val="Normal"/>
    <w:rsid w:val="00FC3F75"/>
    <w:pPr>
      <w:spacing w:before="100" w:beforeAutospacing="1" w:after="100" w:afterAutospacing="1" w:line="240" w:lineRule="auto"/>
    </w:pPr>
    <w:rPr>
      <w:rFonts w:eastAsia="Times New Roman" w:cs="Calibri"/>
      <w:b/>
      <w:bCs/>
      <w:szCs w:val="20"/>
      <w:u w:val="single"/>
      <w:lang w:val="en-ZA" w:eastAsia="en-ZA"/>
    </w:rPr>
  </w:style>
  <w:style w:type="paragraph" w:customStyle="1" w:styleId="xl138">
    <w:name w:val="xl138"/>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Cs w:val="20"/>
      <w:lang w:val="en-ZA" w:eastAsia="en-ZA"/>
    </w:rPr>
  </w:style>
  <w:style w:type="paragraph" w:customStyle="1" w:styleId="xl139">
    <w:name w:val="xl139"/>
    <w:basedOn w:val="Normal"/>
    <w:rsid w:val="00FC3F75"/>
    <w:pPr>
      <w:pBdr>
        <w:top w:val="single" w:sz="4" w:space="0" w:color="auto"/>
        <w:left w:val="single" w:sz="4" w:space="0" w:color="auto"/>
        <w:bottom w:val="single" w:sz="4" w:space="0" w:color="auto"/>
        <w:right w:val="single" w:sz="4" w:space="31" w:color="auto"/>
      </w:pBdr>
      <w:shd w:val="clear" w:color="000000" w:fill="FF0000"/>
      <w:spacing w:before="100" w:beforeAutospacing="1" w:after="100" w:afterAutospacing="1" w:line="240" w:lineRule="auto"/>
      <w:ind w:firstLineChars="500" w:firstLine="500"/>
      <w:jc w:val="right"/>
      <w:textAlignment w:val="top"/>
    </w:pPr>
    <w:rPr>
      <w:rFonts w:ascii="Times New Roman" w:eastAsia="Times New Roman" w:hAnsi="Times New Roman" w:cs="Times New Roman"/>
      <w:szCs w:val="20"/>
      <w:lang w:val="en-ZA" w:eastAsia="en-ZA"/>
    </w:rPr>
  </w:style>
  <w:style w:type="paragraph" w:customStyle="1" w:styleId="xl140">
    <w:name w:val="xl140"/>
    <w:basedOn w:val="Normal"/>
    <w:rsid w:val="00FC3F75"/>
    <w:pPr>
      <w:pBdr>
        <w:top w:val="single" w:sz="4" w:space="0" w:color="auto"/>
        <w:left w:val="single" w:sz="4" w:space="0" w:color="auto"/>
        <w:bottom w:val="single" w:sz="4" w:space="0" w:color="auto"/>
        <w:right w:val="single" w:sz="4" w:space="14" w:color="auto"/>
      </w:pBdr>
      <w:shd w:val="clear" w:color="000000" w:fill="FFC000"/>
      <w:spacing w:before="100" w:beforeAutospacing="1" w:after="100" w:afterAutospacing="1" w:line="240" w:lineRule="auto"/>
      <w:ind w:firstLineChars="200" w:firstLine="200"/>
      <w:jc w:val="right"/>
    </w:pPr>
    <w:rPr>
      <w:rFonts w:ascii="Times New Roman" w:eastAsia="Times New Roman" w:hAnsi="Times New Roman" w:cs="Times New Roman"/>
      <w:szCs w:val="20"/>
      <w:lang w:val="en-ZA" w:eastAsia="en-ZA"/>
    </w:rPr>
  </w:style>
  <w:style w:type="paragraph" w:customStyle="1" w:styleId="xl141">
    <w:name w:val="xl141"/>
    <w:basedOn w:val="Normal"/>
    <w:rsid w:val="00FC3F75"/>
    <w:pPr>
      <w:pBdr>
        <w:top w:val="single" w:sz="4" w:space="0" w:color="auto"/>
        <w:left w:val="single" w:sz="4" w:space="0" w:color="auto"/>
        <w:bottom w:val="single" w:sz="4" w:space="0" w:color="auto"/>
        <w:right w:val="single" w:sz="4" w:space="14" w:color="auto"/>
      </w:pBdr>
      <w:spacing w:before="100" w:beforeAutospacing="1" w:after="100" w:afterAutospacing="1" w:line="240" w:lineRule="auto"/>
      <w:ind w:firstLineChars="200" w:firstLine="200"/>
      <w:jc w:val="right"/>
    </w:pPr>
    <w:rPr>
      <w:rFonts w:ascii="Times New Roman" w:eastAsia="Times New Roman" w:hAnsi="Times New Roman" w:cs="Times New Roman"/>
      <w:szCs w:val="20"/>
      <w:lang w:val="en-ZA" w:eastAsia="en-ZA"/>
    </w:rPr>
  </w:style>
  <w:style w:type="paragraph" w:customStyle="1" w:styleId="xl142">
    <w:name w:val="xl142"/>
    <w:basedOn w:val="Normal"/>
    <w:rsid w:val="00FC3F75"/>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right"/>
    </w:pPr>
    <w:rPr>
      <w:rFonts w:ascii="Times New Roman" w:eastAsia="Times New Roman" w:hAnsi="Times New Roman" w:cs="Times New Roman"/>
      <w:szCs w:val="20"/>
      <w:lang w:val="en-ZA" w:eastAsia="en-ZA"/>
    </w:rPr>
  </w:style>
  <w:style w:type="paragraph" w:customStyle="1" w:styleId="xl143">
    <w:name w:val="xl143"/>
    <w:basedOn w:val="Normal"/>
    <w:rsid w:val="00FC3F75"/>
    <w:pPr>
      <w:pBdr>
        <w:top w:val="single" w:sz="4" w:space="0" w:color="auto"/>
        <w:left w:val="single" w:sz="4" w:space="0" w:color="auto"/>
        <w:bottom w:val="single" w:sz="4" w:space="0" w:color="auto"/>
        <w:right w:val="single" w:sz="4" w:space="31" w:color="auto"/>
      </w:pBdr>
      <w:shd w:val="clear" w:color="000000" w:fill="FFCC00"/>
      <w:spacing w:before="100" w:beforeAutospacing="1" w:after="100" w:afterAutospacing="1" w:line="240" w:lineRule="auto"/>
      <w:ind w:firstLineChars="500" w:firstLine="500"/>
      <w:jc w:val="right"/>
      <w:textAlignment w:val="top"/>
    </w:pPr>
    <w:rPr>
      <w:rFonts w:ascii="Times New Roman" w:eastAsia="Times New Roman" w:hAnsi="Times New Roman" w:cs="Times New Roman"/>
      <w:b/>
      <w:bCs/>
      <w:szCs w:val="20"/>
      <w:lang w:val="en-ZA" w:eastAsia="en-ZA"/>
    </w:rPr>
  </w:style>
  <w:style w:type="paragraph" w:customStyle="1" w:styleId="xl144">
    <w:name w:val="xl144"/>
    <w:basedOn w:val="Normal"/>
    <w:rsid w:val="00FC3F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Cs w:val="20"/>
      <w:lang w:val="en-ZA" w:eastAsia="en-ZA"/>
    </w:rPr>
  </w:style>
  <w:style w:type="paragraph" w:customStyle="1" w:styleId="xl145">
    <w:name w:val="xl145"/>
    <w:basedOn w:val="Normal"/>
    <w:rsid w:val="00FC3F75"/>
    <w:pPr>
      <w:pBdr>
        <w:left w:val="single" w:sz="4" w:space="0" w:color="auto"/>
      </w:pBdr>
      <w:spacing w:before="100" w:beforeAutospacing="1" w:after="100" w:afterAutospacing="1" w:line="240" w:lineRule="auto"/>
    </w:pPr>
    <w:rPr>
      <w:rFonts w:ascii="Times New Roman" w:eastAsia="Times New Roman" w:hAnsi="Times New Roman" w:cs="Times New Roman"/>
      <w:szCs w:val="20"/>
      <w:u w:val="single"/>
      <w:lang w:val="en-ZA" w:eastAsia="en-ZA"/>
    </w:rPr>
  </w:style>
  <w:style w:type="paragraph" w:customStyle="1" w:styleId="xl146">
    <w:name w:val="xl146"/>
    <w:basedOn w:val="Normal"/>
    <w:rsid w:val="00FC3F75"/>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Cs w:val="20"/>
      <w:lang w:val="en-ZA" w:eastAsia="en-ZA"/>
    </w:rPr>
  </w:style>
  <w:style w:type="paragraph" w:customStyle="1" w:styleId="xl147">
    <w:name w:val="xl147"/>
    <w:basedOn w:val="Normal"/>
    <w:rsid w:val="00FC3F75"/>
    <w:pPr>
      <w:pBdr>
        <w:top w:val="single" w:sz="4" w:space="0" w:color="auto"/>
        <w:left w:val="single" w:sz="4" w:space="0" w:color="auto"/>
        <w:bottom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Cs w:val="20"/>
      <w:lang w:val="en-ZA" w:eastAsia="en-ZA"/>
    </w:rPr>
  </w:style>
  <w:style w:type="paragraph" w:customStyle="1" w:styleId="xl148">
    <w:name w:val="xl148"/>
    <w:basedOn w:val="Normal"/>
    <w:rsid w:val="00FC3F75"/>
    <w:pPr>
      <w:pBdr>
        <w:top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Cs w:val="20"/>
      <w:lang w:val="en-ZA" w:eastAsia="en-ZA"/>
    </w:rPr>
  </w:style>
  <w:style w:type="paragraph" w:customStyle="1" w:styleId="1AutoList9">
    <w:name w:val="1AutoList9"/>
    <w:rsid w:val="00D901C5"/>
    <w:pPr>
      <w:tabs>
        <w:tab w:val="left" w:pos="720"/>
      </w:tabs>
      <w:autoSpaceDE w:val="0"/>
      <w:autoSpaceDN w:val="0"/>
      <w:adjustRightInd w:val="0"/>
      <w:spacing w:after="0" w:line="240" w:lineRule="auto"/>
      <w:ind w:left="720" w:hanging="720"/>
    </w:pPr>
    <w:rPr>
      <w:rFonts w:ascii="Times New Roman" w:eastAsia="Times New Roman" w:hAnsi="Times New Roman" w:cs="Times New Roman"/>
      <w:sz w:val="20"/>
      <w:szCs w:val="24"/>
    </w:rPr>
  </w:style>
  <w:style w:type="paragraph" w:styleId="Title">
    <w:name w:val="Title"/>
    <w:basedOn w:val="Normal"/>
    <w:link w:val="TitleChar"/>
    <w:qFormat/>
    <w:rsid w:val="00D901C5"/>
    <w:pPr>
      <w:spacing w:after="0" w:line="240" w:lineRule="auto"/>
      <w:jc w:val="center"/>
    </w:pPr>
    <w:rPr>
      <w:rFonts w:ascii="Arial Black" w:eastAsia="Times New Roman" w:hAnsi="Arial Black" w:cs="Times New Roman"/>
      <w:sz w:val="28"/>
      <w:szCs w:val="24"/>
      <w:lang w:val="en-ZA"/>
    </w:rPr>
  </w:style>
  <w:style w:type="character" w:customStyle="1" w:styleId="TitleChar">
    <w:name w:val="Title Char"/>
    <w:basedOn w:val="DefaultParagraphFont"/>
    <w:link w:val="Title"/>
    <w:rsid w:val="00D901C5"/>
    <w:rPr>
      <w:rFonts w:ascii="Arial Black" w:eastAsia="Times New Roman" w:hAnsi="Arial Black" w:cs="Times New Roman"/>
      <w:sz w:val="28"/>
      <w:szCs w:val="24"/>
      <w:lang w:val="en-ZA"/>
    </w:rPr>
  </w:style>
  <w:style w:type="paragraph" w:customStyle="1" w:styleId="text">
    <w:name w:val="text"/>
    <w:basedOn w:val="Normal"/>
    <w:rsid w:val="00D901C5"/>
    <w:pPr>
      <w:spacing w:before="100" w:beforeAutospacing="1" w:after="100" w:afterAutospacing="1" w:line="240" w:lineRule="auto"/>
    </w:pPr>
    <w:rPr>
      <w:rFonts w:ascii="Verdana" w:eastAsia="Times New Roman" w:hAnsi="Verdana" w:cs="Times New Roman"/>
      <w:color w:val="255491"/>
      <w:szCs w:val="20"/>
      <w:lang w:val="en-ZA"/>
    </w:rPr>
  </w:style>
  <w:style w:type="paragraph" w:customStyle="1" w:styleId="1AutoList23">
    <w:name w:val="1AutoList23"/>
    <w:rsid w:val="00D901C5"/>
    <w:pPr>
      <w:widowControl w:val="0"/>
      <w:tabs>
        <w:tab w:val="left" w:pos="720"/>
      </w:tabs>
      <w:autoSpaceDE w:val="0"/>
      <w:autoSpaceDN w:val="0"/>
      <w:adjustRightInd w:val="0"/>
      <w:spacing w:after="0" w:line="240" w:lineRule="auto"/>
      <w:ind w:left="720" w:hanging="720"/>
      <w:jc w:val="both"/>
    </w:pPr>
    <w:rPr>
      <w:rFonts w:ascii="Times New Roman" w:eastAsia="Times New Roman" w:hAnsi="Times New Roman" w:cs="Times New Roman"/>
      <w:sz w:val="24"/>
      <w:szCs w:val="24"/>
    </w:rPr>
  </w:style>
  <w:style w:type="character" w:styleId="Emphasis">
    <w:name w:val="Emphasis"/>
    <w:basedOn w:val="DefaultParagraphFont"/>
    <w:uiPriority w:val="20"/>
    <w:qFormat/>
    <w:rsid w:val="00D901C5"/>
    <w:rPr>
      <w:i/>
      <w:iCs/>
    </w:rPr>
  </w:style>
  <w:style w:type="numbering" w:customStyle="1" w:styleId="NoList1">
    <w:name w:val="No List1"/>
    <w:next w:val="NoList"/>
    <w:uiPriority w:val="99"/>
    <w:semiHidden/>
    <w:unhideWhenUsed/>
    <w:rsid w:val="00691C3E"/>
  </w:style>
  <w:style w:type="character" w:customStyle="1" w:styleId="ListParagraphChar">
    <w:name w:val="List Paragraph Char"/>
    <w:aliases w:val="List Paragraph 1 Char,Bullets Char,List Paragraph1 Char,Table of contents numbered Char,footer text Char,Standard Paragraph Char,Bulleted list Char,Citation List Char,BBD_List_Paragraph Char,Bullet List Char,subsubpara Char"/>
    <w:basedOn w:val="DefaultParagraphFont"/>
    <w:link w:val="ListParagraph"/>
    <w:uiPriority w:val="34"/>
    <w:qFormat/>
    <w:locked/>
    <w:rsid w:val="00465091"/>
  </w:style>
  <w:style w:type="paragraph" w:customStyle="1" w:styleId="font8">
    <w:name w:val="font8"/>
    <w:basedOn w:val="Normal"/>
    <w:rsid w:val="006669BB"/>
    <w:pPr>
      <w:spacing w:before="100" w:beforeAutospacing="1" w:after="100" w:afterAutospacing="1" w:line="240" w:lineRule="auto"/>
    </w:pPr>
    <w:rPr>
      <w:rFonts w:ascii="Times New Roman" w:eastAsia="Times New Roman" w:hAnsi="Times New Roman" w:cs="Times New Roman"/>
      <w:color w:val="000000"/>
      <w:sz w:val="18"/>
      <w:szCs w:val="18"/>
    </w:rPr>
  </w:style>
  <w:style w:type="paragraph" w:customStyle="1" w:styleId="font9">
    <w:name w:val="font9"/>
    <w:basedOn w:val="Normal"/>
    <w:rsid w:val="006669BB"/>
    <w:pPr>
      <w:spacing w:before="100" w:beforeAutospacing="1" w:after="100" w:afterAutospacing="1" w:line="240" w:lineRule="auto"/>
    </w:pPr>
    <w:rPr>
      <w:rFonts w:eastAsia="Times New Roman" w:cs="Times New Roman"/>
      <w:color w:val="000000"/>
      <w:sz w:val="18"/>
      <w:szCs w:val="18"/>
      <w:u w:val="single"/>
    </w:rPr>
  </w:style>
  <w:style w:type="paragraph" w:customStyle="1" w:styleId="columnhead">
    <w:name w:val="columnhead"/>
    <w:basedOn w:val="Normal"/>
    <w:next w:val="BodyText3"/>
    <w:rsid w:val="007F3851"/>
    <w:pPr>
      <w:spacing w:before="60" w:after="0" w:line="240" w:lineRule="auto"/>
      <w:jc w:val="center"/>
    </w:pPr>
    <w:rPr>
      <w:rFonts w:ascii="Arial" w:eastAsia="Times New Roman" w:hAnsi="Arial" w:cs="Arial"/>
      <w:b/>
      <w:bCs/>
      <w:sz w:val="21"/>
      <w:lang w:val="en-ZA" w:eastAsia="en-ZA"/>
    </w:rPr>
  </w:style>
  <w:style w:type="paragraph" w:customStyle="1" w:styleId="ColumnBody">
    <w:name w:val="Column Body"/>
    <w:basedOn w:val="Normal"/>
    <w:rsid w:val="007F3851"/>
    <w:pPr>
      <w:tabs>
        <w:tab w:val="num" w:pos="650"/>
      </w:tabs>
      <w:spacing w:before="60" w:after="0" w:line="240" w:lineRule="auto"/>
      <w:jc w:val="center"/>
    </w:pPr>
    <w:rPr>
      <w:rFonts w:ascii="Arial" w:eastAsia="Times New Roman" w:hAnsi="Arial" w:cs="Arial"/>
      <w:bCs/>
      <w:sz w:val="21"/>
      <w:lang w:val="en-ZA" w:eastAsia="en-ZA"/>
    </w:rPr>
  </w:style>
  <w:style w:type="paragraph" w:customStyle="1" w:styleId="xl63">
    <w:name w:val="xl63"/>
    <w:basedOn w:val="Normal"/>
    <w:rsid w:val="00AA0D90"/>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styleId="DocumentMap">
    <w:name w:val="Document Map"/>
    <w:basedOn w:val="Normal"/>
    <w:link w:val="DocumentMapChar"/>
    <w:uiPriority w:val="99"/>
    <w:semiHidden/>
    <w:unhideWhenUsed/>
    <w:rsid w:val="00FF756A"/>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F756A"/>
    <w:rPr>
      <w:rFonts w:ascii="Tahoma" w:hAnsi="Tahoma" w:cs="Tahoma"/>
      <w:sz w:val="16"/>
      <w:szCs w:val="16"/>
    </w:rPr>
  </w:style>
  <w:style w:type="character" w:customStyle="1" w:styleId="st1">
    <w:name w:val="st1"/>
    <w:basedOn w:val="DefaultParagraphFont"/>
    <w:rsid w:val="005A3E3A"/>
  </w:style>
  <w:style w:type="table" w:styleId="LightList-Accent3">
    <w:name w:val="Light List Accent 3"/>
    <w:basedOn w:val="TableNormal"/>
    <w:uiPriority w:val="61"/>
    <w:rsid w:val="00524465"/>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Grid-Accent3">
    <w:name w:val="Light Grid Accent 3"/>
    <w:basedOn w:val="TableNormal"/>
    <w:uiPriority w:val="62"/>
    <w:rsid w:val="00524465"/>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List">
    <w:name w:val="Light List"/>
    <w:basedOn w:val="TableNormal"/>
    <w:uiPriority w:val="61"/>
    <w:rsid w:val="00F4326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p4">
    <w:name w:val="p4"/>
    <w:basedOn w:val="Normal"/>
    <w:uiPriority w:val="99"/>
    <w:rsid w:val="001D0DD1"/>
    <w:pPr>
      <w:spacing w:before="100" w:beforeAutospacing="1" w:after="100" w:afterAutospacing="1" w:line="240" w:lineRule="auto"/>
    </w:pPr>
    <w:rPr>
      <w:rFonts w:ascii="Times New Roman" w:eastAsia="Times New Roman" w:hAnsi="Times New Roman" w:cs="Times New Roman"/>
      <w:sz w:val="24"/>
      <w:szCs w:val="24"/>
      <w:lang w:val="en-ZA" w:eastAsia="en-ZA"/>
    </w:rPr>
  </w:style>
  <w:style w:type="character" w:customStyle="1" w:styleId="s1">
    <w:name w:val="s1"/>
    <w:basedOn w:val="DefaultParagraphFont"/>
    <w:rsid w:val="001D0DD1"/>
  </w:style>
  <w:style w:type="paragraph" w:customStyle="1" w:styleId="p5">
    <w:name w:val="p5"/>
    <w:basedOn w:val="Normal"/>
    <w:rsid w:val="001D0DD1"/>
    <w:pPr>
      <w:spacing w:before="100" w:beforeAutospacing="1" w:after="100" w:afterAutospacing="1" w:line="240" w:lineRule="auto"/>
    </w:pPr>
    <w:rPr>
      <w:rFonts w:ascii="Times New Roman" w:eastAsia="Times New Roman" w:hAnsi="Times New Roman" w:cs="Times New Roman"/>
      <w:sz w:val="24"/>
      <w:szCs w:val="24"/>
      <w:lang w:val="en-ZA" w:eastAsia="en-ZA"/>
    </w:rPr>
  </w:style>
  <w:style w:type="paragraph" w:customStyle="1" w:styleId="p9">
    <w:name w:val="p9"/>
    <w:basedOn w:val="Normal"/>
    <w:rsid w:val="001D0DD1"/>
    <w:pPr>
      <w:spacing w:before="100" w:beforeAutospacing="1" w:after="100" w:afterAutospacing="1" w:line="240" w:lineRule="auto"/>
    </w:pPr>
    <w:rPr>
      <w:rFonts w:ascii="Times New Roman" w:eastAsia="Times New Roman" w:hAnsi="Times New Roman" w:cs="Times New Roman"/>
      <w:sz w:val="24"/>
      <w:szCs w:val="24"/>
      <w:lang w:val="en-ZA" w:eastAsia="en-ZA"/>
    </w:rPr>
  </w:style>
  <w:style w:type="character" w:customStyle="1" w:styleId="s2">
    <w:name w:val="s2"/>
    <w:basedOn w:val="DefaultParagraphFont"/>
    <w:rsid w:val="001D0DD1"/>
  </w:style>
  <w:style w:type="character" w:customStyle="1" w:styleId="s3">
    <w:name w:val="s3"/>
    <w:basedOn w:val="DefaultParagraphFont"/>
    <w:rsid w:val="001D0DD1"/>
  </w:style>
  <w:style w:type="table" w:customStyle="1" w:styleId="TableGrid1">
    <w:name w:val="Table Grid1"/>
    <w:basedOn w:val="TableNormal"/>
    <w:next w:val="TableGrid"/>
    <w:uiPriority w:val="59"/>
    <w:rsid w:val="002C35D0"/>
    <w:pPr>
      <w:spacing w:after="0" w:line="240" w:lineRule="auto"/>
    </w:pPr>
    <w:rPr>
      <w:rFonts w:eastAsia="Times New Roman"/>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9">
    <w:name w:val="xl149"/>
    <w:basedOn w:val="Normal"/>
    <w:rsid w:val="002C0935"/>
    <w:pPr>
      <w:pBdr>
        <w:top w:val="single" w:sz="8" w:space="0" w:color="auto"/>
        <w:left w:val="single" w:sz="8" w:space="0" w:color="auto"/>
        <w:right w:val="single" w:sz="8" w:space="0" w:color="auto"/>
      </w:pBdr>
      <w:spacing w:before="100" w:beforeAutospacing="1" w:after="100" w:afterAutospacing="1" w:line="240" w:lineRule="auto"/>
    </w:pPr>
    <w:rPr>
      <w:rFonts w:ascii="Arial" w:eastAsia="Times New Roman" w:hAnsi="Arial" w:cs="Arial"/>
      <w:b/>
      <w:bCs/>
      <w:sz w:val="28"/>
      <w:szCs w:val="28"/>
      <w:lang w:val="en-ZA" w:eastAsia="en-ZA"/>
    </w:rPr>
  </w:style>
  <w:style w:type="paragraph" w:customStyle="1" w:styleId="xl150">
    <w:name w:val="xl150"/>
    <w:basedOn w:val="Normal"/>
    <w:rsid w:val="002C0935"/>
    <w:pPr>
      <w:spacing w:before="100" w:beforeAutospacing="1" w:after="100" w:afterAutospacing="1" w:line="240" w:lineRule="auto"/>
      <w:jc w:val="right"/>
    </w:pPr>
    <w:rPr>
      <w:rFonts w:ascii="Arial" w:eastAsia="Times New Roman" w:hAnsi="Arial" w:cs="Arial"/>
      <w:sz w:val="28"/>
      <w:szCs w:val="28"/>
      <w:lang w:val="en-ZA" w:eastAsia="en-ZA"/>
    </w:rPr>
  </w:style>
  <w:style w:type="paragraph" w:customStyle="1" w:styleId="xl151">
    <w:name w:val="xl151"/>
    <w:basedOn w:val="Normal"/>
    <w:rsid w:val="002C0935"/>
    <w:pPr>
      <w:spacing w:before="100" w:beforeAutospacing="1" w:after="100" w:afterAutospacing="1" w:line="240" w:lineRule="auto"/>
      <w:jc w:val="center"/>
    </w:pPr>
    <w:rPr>
      <w:rFonts w:ascii="Arial" w:eastAsia="Times New Roman" w:hAnsi="Arial" w:cs="Arial"/>
      <w:sz w:val="28"/>
      <w:szCs w:val="28"/>
      <w:lang w:val="en-ZA" w:eastAsia="en-ZA"/>
    </w:rPr>
  </w:style>
  <w:style w:type="paragraph" w:customStyle="1" w:styleId="xl152">
    <w:name w:val="xl152"/>
    <w:basedOn w:val="Normal"/>
    <w:rsid w:val="002C0935"/>
    <w:pPr>
      <w:pBdr>
        <w:left w:val="single" w:sz="8" w:space="0" w:color="auto"/>
        <w:right w:val="single" w:sz="8" w:space="0" w:color="auto"/>
      </w:pBdr>
      <w:spacing w:before="100" w:beforeAutospacing="1" w:after="100" w:afterAutospacing="1" w:line="240" w:lineRule="auto"/>
      <w:jc w:val="center"/>
    </w:pPr>
    <w:rPr>
      <w:rFonts w:ascii="Arial" w:eastAsia="Times New Roman" w:hAnsi="Arial" w:cs="Arial"/>
      <w:sz w:val="28"/>
      <w:szCs w:val="28"/>
      <w:lang w:val="en-ZA" w:eastAsia="en-ZA"/>
    </w:rPr>
  </w:style>
  <w:style w:type="paragraph" w:customStyle="1" w:styleId="xl153">
    <w:name w:val="xl153"/>
    <w:basedOn w:val="Normal"/>
    <w:rsid w:val="002C0935"/>
    <w:pPr>
      <w:pBdr>
        <w:left w:val="single" w:sz="8" w:space="0" w:color="auto"/>
        <w:right w:val="single" w:sz="8" w:space="0" w:color="auto"/>
      </w:pBdr>
      <w:spacing w:before="100" w:beforeAutospacing="1" w:after="100" w:afterAutospacing="1" w:line="240" w:lineRule="auto"/>
      <w:jc w:val="right"/>
    </w:pPr>
    <w:rPr>
      <w:rFonts w:ascii="Arial" w:eastAsia="Times New Roman" w:hAnsi="Arial" w:cs="Arial"/>
      <w:sz w:val="28"/>
      <w:szCs w:val="28"/>
      <w:lang w:val="en-ZA" w:eastAsia="en-ZA"/>
    </w:rPr>
  </w:style>
  <w:style w:type="paragraph" w:customStyle="1" w:styleId="xl154">
    <w:name w:val="xl154"/>
    <w:basedOn w:val="Normal"/>
    <w:rsid w:val="002C0935"/>
    <w:pPr>
      <w:pBdr>
        <w:top w:val="single" w:sz="8" w:space="0" w:color="auto"/>
        <w:left w:val="single" w:sz="8" w:space="0" w:color="auto"/>
        <w:right w:val="single" w:sz="8" w:space="0" w:color="auto"/>
      </w:pBdr>
      <w:spacing w:before="100" w:beforeAutospacing="1" w:after="100" w:afterAutospacing="1" w:line="240" w:lineRule="auto"/>
      <w:jc w:val="center"/>
    </w:pPr>
    <w:rPr>
      <w:rFonts w:ascii="Arial" w:eastAsia="Times New Roman" w:hAnsi="Arial" w:cs="Arial"/>
      <w:sz w:val="28"/>
      <w:szCs w:val="28"/>
      <w:lang w:val="en-ZA" w:eastAsia="en-ZA"/>
    </w:rPr>
  </w:style>
  <w:style w:type="paragraph" w:customStyle="1" w:styleId="xl155">
    <w:name w:val="xl155"/>
    <w:basedOn w:val="Normal"/>
    <w:rsid w:val="002C0935"/>
    <w:pPr>
      <w:spacing w:before="100" w:beforeAutospacing="1" w:after="100" w:afterAutospacing="1" w:line="240" w:lineRule="auto"/>
      <w:jc w:val="center"/>
    </w:pPr>
    <w:rPr>
      <w:rFonts w:ascii="Arial" w:eastAsia="Times New Roman" w:hAnsi="Arial" w:cs="Arial"/>
      <w:sz w:val="28"/>
      <w:szCs w:val="28"/>
      <w:lang w:val="en-ZA" w:eastAsia="en-ZA"/>
    </w:rPr>
  </w:style>
  <w:style w:type="paragraph" w:customStyle="1" w:styleId="xl156">
    <w:name w:val="xl156"/>
    <w:basedOn w:val="Normal"/>
    <w:rsid w:val="002C0935"/>
    <w:pPr>
      <w:pBdr>
        <w:top w:val="single" w:sz="8" w:space="0" w:color="auto"/>
        <w:left w:val="single" w:sz="8" w:space="0" w:color="auto"/>
        <w:right w:val="single" w:sz="8" w:space="0" w:color="auto"/>
      </w:pBdr>
      <w:spacing w:before="100" w:beforeAutospacing="1" w:after="100" w:afterAutospacing="1" w:line="240" w:lineRule="auto"/>
      <w:jc w:val="center"/>
    </w:pPr>
    <w:rPr>
      <w:rFonts w:ascii="Arial" w:eastAsia="Times New Roman" w:hAnsi="Arial" w:cs="Arial"/>
      <w:sz w:val="28"/>
      <w:szCs w:val="28"/>
      <w:lang w:val="en-ZA" w:eastAsia="en-ZA"/>
    </w:rPr>
  </w:style>
  <w:style w:type="paragraph" w:customStyle="1" w:styleId="xl157">
    <w:name w:val="xl157"/>
    <w:basedOn w:val="Normal"/>
    <w:rsid w:val="002C0935"/>
    <w:pPr>
      <w:spacing w:before="100" w:beforeAutospacing="1" w:after="100" w:afterAutospacing="1" w:line="240" w:lineRule="auto"/>
      <w:jc w:val="center"/>
    </w:pPr>
    <w:rPr>
      <w:rFonts w:ascii="Arial" w:eastAsia="Times New Roman" w:hAnsi="Arial" w:cs="Arial"/>
      <w:color w:val="FF0000"/>
      <w:sz w:val="28"/>
      <w:szCs w:val="28"/>
      <w:lang w:val="en-ZA" w:eastAsia="en-ZA"/>
    </w:rPr>
  </w:style>
  <w:style w:type="paragraph" w:customStyle="1" w:styleId="xl158">
    <w:name w:val="xl158"/>
    <w:basedOn w:val="Normal"/>
    <w:rsid w:val="002C0935"/>
    <w:pPr>
      <w:spacing w:before="100" w:beforeAutospacing="1" w:after="100" w:afterAutospacing="1" w:line="240" w:lineRule="auto"/>
      <w:jc w:val="right"/>
    </w:pPr>
    <w:rPr>
      <w:rFonts w:ascii="Arial" w:eastAsia="Times New Roman" w:hAnsi="Arial" w:cs="Arial"/>
      <w:color w:val="FF0000"/>
      <w:sz w:val="28"/>
      <w:szCs w:val="28"/>
      <w:lang w:val="en-ZA" w:eastAsia="en-ZA"/>
    </w:rPr>
  </w:style>
  <w:style w:type="paragraph" w:customStyle="1" w:styleId="xl159">
    <w:name w:val="xl159"/>
    <w:basedOn w:val="Normal"/>
    <w:rsid w:val="002C0935"/>
    <w:pPr>
      <w:pBdr>
        <w:left w:val="single" w:sz="8" w:space="0" w:color="auto"/>
        <w:right w:val="single" w:sz="8" w:space="0" w:color="auto"/>
      </w:pBdr>
      <w:spacing w:before="100" w:beforeAutospacing="1" w:after="100" w:afterAutospacing="1" w:line="240" w:lineRule="auto"/>
      <w:jc w:val="center"/>
    </w:pPr>
    <w:rPr>
      <w:rFonts w:ascii="Arial" w:eastAsia="Times New Roman" w:hAnsi="Arial" w:cs="Arial"/>
      <w:color w:val="FF0000"/>
      <w:sz w:val="28"/>
      <w:szCs w:val="28"/>
      <w:lang w:val="en-ZA" w:eastAsia="en-ZA"/>
    </w:rPr>
  </w:style>
  <w:style w:type="paragraph" w:customStyle="1" w:styleId="xl160">
    <w:name w:val="xl160"/>
    <w:basedOn w:val="Normal"/>
    <w:rsid w:val="002C0935"/>
    <w:pPr>
      <w:pBdr>
        <w:left w:val="single" w:sz="8" w:space="0" w:color="auto"/>
        <w:right w:val="single" w:sz="8" w:space="0" w:color="auto"/>
      </w:pBdr>
      <w:spacing w:before="100" w:beforeAutospacing="1" w:after="100" w:afterAutospacing="1" w:line="240" w:lineRule="auto"/>
      <w:jc w:val="right"/>
    </w:pPr>
    <w:rPr>
      <w:rFonts w:ascii="Arial" w:eastAsia="Times New Roman" w:hAnsi="Arial" w:cs="Arial"/>
      <w:color w:val="FF0000"/>
      <w:sz w:val="28"/>
      <w:szCs w:val="28"/>
      <w:lang w:val="en-ZA" w:eastAsia="en-ZA"/>
    </w:rPr>
  </w:style>
  <w:style w:type="paragraph" w:customStyle="1" w:styleId="xl161">
    <w:name w:val="xl161"/>
    <w:basedOn w:val="Normal"/>
    <w:rsid w:val="002C0935"/>
    <w:pPr>
      <w:pBdr>
        <w:left w:val="single" w:sz="8" w:space="0" w:color="auto"/>
      </w:pBdr>
      <w:spacing w:before="100" w:beforeAutospacing="1" w:after="100" w:afterAutospacing="1" w:line="240" w:lineRule="auto"/>
      <w:jc w:val="center"/>
    </w:pPr>
    <w:rPr>
      <w:rFonts w:ascii="Arial" w:eastAsia="Times New Roman" w:hAnsi="Arial" w:cs="Arial"/>
      <w:sz w:val="28"/>
      <w:szCs w:val="28"/>
      <w:lang w:val="en-ZA" w:eastAsia="en-ZA"/>
    </w:rPr>
  </w:style>
  <w:style w:type="paragraph" w:customStyle="1" w:styleId="xl162">
    <w:name w:val="xl162"/>
    <w:basedOn w:val="Normal"/>
    <w:rsid w:val="002C0935"/>
    <w:pPr>
      <w:pBdr>
        <w:left w:val="single" w:sz="8" w:space="0" w:color="auto"/>
        <w:right w:val="single" w:sz="8" w:space="0" w:color="auto"/>
      </w:pBdr>
      <w:spacing w:before="100" w:beforeAutospacing="1" w:after="100" w:afterAutospacing="1" w:line="240" w:lineRule="auto"/>
    </w:pPr>
    <w:rPr>
      <w:rFonts w:ascii="Arial" w:eastAsia="Times New Roman" w:hAnsi="Arial" w:cs="Arial"/>
      <w:b/>
      <w:bCs/>
      <w:color w:val="FF0000"/>
      <w:sz w:val="28"/>
      <w:szCs w:val="28"/>
      <w:lang w:val="en-ZA" w:eastAsia="en-ZA"/>
    </w:rPr>
  </w:style>
  <w:style w:type="paragraph" w:customStyle="1" w:styleId="xl163">
    <w:name w:val="xl163"/>
    <w:basedOn w:val="Normal"/>
    <w:rsid w:val="002C0935"/>
    <w:pPr>
      <w:pBdr>
        <w:top w:val="single" w:sz="8" w:space="0" w:color="auto"/>
        <w:bottom w:val="single" w:sz="8" w:space="0" w:color="auto"/>
      </w:pBdr>
      <w:shd w:val="clear" w:color="000000" w:fill="FABF8F"/>
      <w:spacing w:before="100" w:beforeAutospacing="1" w:after="100" w:afterAutospacing="1" w:line="240" w:lineRule="auto"/>
    </w:pPr>
    <w:rPr>
      <w:rFonts w:ascii="Arial" w:eastAsia="Times New Roman" w:hAnsi="Arial" w:cs="Arial"/>
      <w:b/>
      <w:bCs/>
      <w:sz w:val="28"/>
      <w:szCs w:val="28"/>
      <w:lang w:val="en-ZA" w:eastAsia="en-ZA"/>
    </w:rPr>
  </w:style>
  <w:style w:type="paragraph" w:customStyle="1" w:styleId="xl164">
    <w:name w:val="xl164"/>
    <w:basedOn w:val="Normal"/>
    <w:rsid w:val="002C0935"/>
    <w:pPr>
      <w:pBdr>
        <w:top w:val="single" w:sz="8" w:space="0" w:color="auto"/>
        <w:left w:val="single" w:sz="8" w:space="0" w:color="auto"/>
        <w:bottom w:val="single" w:sz="8" w:space="0" w:color="auto"/>
        <w:right w:val="single" w:sz="8" w:space="0" w:color="auto"/>
      </w:pBdr>
      <w:shd w:val="clear" w:color="000000" w:fill="FABF8F"/>
      <w:spacing w:before="100" w:beforeAutospacing="1" w:after="100" w:afterAutospacing="1" w:line="240" w:lineRule="auto"/>
    </w:pPr>
    <w:rPr>
      <w:rFonts w:ascii="Times New Roman" w:eastAsia="Times New Roman" w:hAnsi="Times New Roman" w:cs="Times New Roman"/>
      <w:sz w:val="24"/>
      <w:szCs w:val="24"/>
      <w:lang w:val="en-ZA" w:eastAsia="en-ZA"/>
    </w:rPr>
  </w:style>
  <w:style w:type="paragraph" w:customStyle="1" w:styleId="xl165">
    <w:name w:val="xl165"/>
    <w:basedOn w:val="Normal"/>
    <w:rsid w:val="002C0935"/>
    <w:pPr>
      <w:pBdr>
        <w:left w:val="single" w:sz="8" w:space="0" w:color="auto"/>
      </w:pBdr>
      <w:spacing w:before="100" w:beforeAutospacing="1" w:after="100" w:afterAutospacing="1" w:line="240" w:lineRule="auto"/>
    </w:pPr>
    <w:rPr>
      <w:rFonts w:ascii="Arial" w:eastAsia="Times New Roman" w:hAnsi="Arial" w:cs="Arial"/>
      <w:b/>
      <w:bCs/>
      <w:color w:val="FF0000"/>
      <w:sz w:val="28"/>
      <w:szCs w:val="28"/>
      <w:lang w:val="en-ZA" w:eastAsia="en-ZA"/>
    </w:rPr>
  </w:style>
  <w:style w:type="paragraph" w:customStyle="1" w:styleId="xl166">
    <w:name w:val="xl166"/>
    <w:basedOn w:val="Normal"/>
    <w:rsid w:val="002C0935"/>
    <w:pPr>
      <w:pBdr>
        <w:left w:val="single" w:sz="8" w:space="0" w:color="auto"/>
      </w:pBdr>
      <w:spacing w:before="100" w:beforeAutospacing="1" w:after="100" w:afterAutospacing="1" w:line="240" w:lineRule="auto"/>
    </w:pPr>
    <w:rPr>
      <w:rFonts w:ascii="Arial" w:eastAsia="Times New Roman" w:hAnsi="Arial" w:cs="Arial"/>
      <w:b/>
      <w:bCs/>
      <w:color w:val="FF0000"/>
      <w:sz w:val="28"/>
      <w:szCs w:val="28"/>
      <w:lang w:val="en-ZA" w:eastAsia="en-ZA"/>
    </w:rPr>
  </w:style>
  <w:style w:type="paragraph" w:customStyle="1" w:styleId="xl167">
    <w:name w:val="xl167"/>
    <w:basedOn w:val="Normal"/>
    <w:rsid w:val="002C0935"/>
    <w:pPr>
      <w:pBdr>
        <w:left w:val="single" w:sz="8" w:space="0" w:color="auto"/>
        <w:right w:val="single" w:sz="8" w:space="0" w:color="auto"/>
      </w:pBdr>
      <w:spacing w:before="100" w:beforeAutospacing="1" w:after="100" w:afterAutospacing="1" w:line="240" w:lineRule="auto"/>
      <w:jc w:val="center"/>
    </w:pPr>
    <w:rPr>
      <w:rFonts w:ascii="Arial" w:eastAsia="Times New Roman" w:hAnsi="Arial" w:cs="Arial"/>
      <w:b/>
      <w:bCs/>
      <w:color w:val="FF0000"/>
      <w:sz w:val="28"/>
      <w:szCs w:val="28"/>
      <w:lang w:val="en-ZA" w:eastAsia="en-ZA"/>
    </w:rPr>
  </w:style>
  <w:style w:type="paragraph" w:customStyle="1" w:styleId="xl168">
    <w:name w:val="xl168"/>
    <w:basedOn w:val="Normal"/>
    <w:rsid w:val="002C0935"/>
    <w:pPr>
      <w:pBdr>
        <w:left w:val="single" w:sz="8" w:space="0" w:color="auto"/>
        <w:bottom w:val="single" w:sz="8" w:space="0" w:color="auto"/>
      </w:pBdr>
      <w:spacing w:before="100" w:beforeAutospacing="1" w:after="100" w:afterAutospacing="1" w:line="240" w:lineRule="auto"/>
    </w:pPr>
    <w:rPr>
      <w:rFonts w:ascii="Arial" w:eastAsia="Times New Roman" w:hAnsi="Arial" w:cs="Arial"/>
      <w:sz w:val="28"/>
      <w:szCs w:val="28"/>
      <w:lang w:val="en-ZA" w:eastAsia="en-ZA"/>
    </w:rPr>
  </w:style>
  <w:style w:type="paragraph" w:customStyle="1" w:styleId="xl169">
    <w:name w:val="xl169"/>
    <w:basedOn w:val="Normal"/>
    <w:rsid w:val="002C0935"/>
    <w:pPr>
      <w:pBdr>
        <w:top w:val="single" w:sz="8" w:space="0" w:color="auto"/>
        <w:left w:val="single" w:sz="8" w:space="0" w:color="auto"/>
      </w:pBdr>
      <w:spacing w:before="100" w:beforeAutospacing="1" w:after="100" w:afterAutospacing="1" w:line="240" w:lineRule="auto"/>
      <w:jc w:val="center"/>
    </w:pPr>
    <w:rPr>
      <w:rFonts w:ascii="Arial" w:eastAsia="Times New Roman" w:hAnsi="Arial" w:cs="Arial"/>
      <w:sz w:val="28"/>
      <w:szCs w:val="28"/>
      <w:lang w:val="en-ZA" w:eastAsia="en-ZA"/>
    </w:rPr>
  </w:style>
  <w:style w:type="paragraph" w:customStyle="1" w:styleId="xl170">
    <w:name w:val="xl170"/>
    <w:basedOn w:val="Normal"/>
    <w:rsid w:val="002C0935"/>
    <w:pPr>
      <w:pBdr>
        <w:left w:val="single" w:sz="8" w:space="0" w:color="auto"/>
        <w:bottom w:val="single" w:sz="4" w:space="0" w:color="auto"/>
        <w:right w:val="single" w:sz="8" w:space="0" w:color="auto"/>
      </w:pBdr>
      <w:spacing w:before="100" w:beforeAutospacing="1" w:after="100" w:afterAutospacing="1" w:line="240" w:lineRule="auto"/>
    </w:pPr>
    <w:rPr>
      <w:rFonts w:ascii="Arial" w:eastAsia="Times New Roman" w:hAnsi="Arial" w:cs="Arial"/>
      <w:sz w:val="28"/>
      <w:szCs w:val="28"/>
      <w:lang w:val="en-ZA" w:eastAsia="en-ZA"/>
    </w:rPr>
  </w:style>
  <w:style w:type="paragraph" w:customStyle="1" w:styleId="xl171">
    <w:name w:val="xl171"/>
    <w:basedOn w:val="Normal"/>
    <w:rsid w:val="002C0935"/>
    <w:pPr>
      <w:pBdr>
        <w:top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8"/>
      <w:szCs w:val="28"/>
      <w:u w:val="single"/>
      <w:lang w:val="en-ZA" w:eastAsia="en-ZA"/>
    </w:rPr>
  </w:style>
  <w:style w:type="paragraph" w:customStyle="1" w:styleId="xl172">
    <w:name w:val="xl172"/>
    <w:basedOn w:val="Normal"/>
    <w:rsid w:val="002C0935"/>
    <w:pPr>
      <w:pBdr>
        <w:left w:val="single" w:sz="8" w:space="0" w:color="auto"/>
        <w:right w:val="single" w:sz="8" w:space="0" w:color="auto"/>
      </w:pBdr>
      <w:spacing w:before="100" w:beforeAutospacing="1" w:after="100" w:afterAutospacing="1" w:line="240" w:lineRule="auto"/>
      <w:jc w:val="center"/>
    </w:pPr>
    <w:rPr>
      <w:rFonts w:ascii="Arial" w:eastAsia="Times New Roman" w:hAnsi="Arial" w:cs="Arial"/>
      <w:sz w:val="28"/>
      <w:szCs w:val="28"/>
      <w:lang w:val="en-ZA" w:eastAsia="en-ZA"/>
    </w:rPr>
  </w:style>
  <w:style w:type="paragraph" w:customStyle="1" w:styleId="xl173">
    <w:name w:val="xl173"/>
    <w:basedOn w:val="Normal"/>
    <w:rsid w:val="002C0935"/>
    <w:pPr>
      <w:pBdr>
        <w:top w:val="single" w:sz="8" w:space="0" w:color="auto"/>
        <w:left w:val="single" w:sz="8" w:space="0" w:color="auto"/>
        <w:bottom w:val="single" w:sz="8" w:space="0" w:color="auto"/>
      </w:pBdr>
      <w:shd w:val="clear" w:color="000000" w:fill="99CCFF"/>
      <w:spacing w:before="100" w:beforeAutospacing="1" w:after="100" w:afterAutospacing="1" w:line="240" w:lineRule="auto"/>
      <w:jc w:val="center"/>
    </w:pPr>
    <w:rPr>
      <w:rFonts w:ascii="Arial" w:eastAsia="Times New Roman" w:hAnsi="Arial" w:cs="Arial"/>
      <w:b/>
      <w:bCs/>
      <w:sz w:val="28"/>
      <w:szCs w:val="28"/>
      <w:lang w:val="en-ZA" w:eastAsia="en-ZA"/>
    </w:rPr>
  </w:style>
  <w:style w:type="paragraph" w:customStyle="1" w:styleId="xl174">
    <w:name w:val="xl174"/>
    <w:basedOn w:val="Normal"/>
    <w:rsid w:val="002C0935"/>
    <w:pPr>
      <w:pBdr>
        <w:top w:val="single" w:sz="8" w:space="0" w:color="auto"/>
        <w:bottom w:val="single" w:sz="8" w:space="0" w:color="auto"/>
      </w:pBdr>
      <w:shd w:val="clear" w:color="000000" w:fill="99CC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175">
    <w:name w:val="xl175"/>
    <w:basedOn w:val="Normal"/>
    <w:rsid w:val="002C0935"/>
    <w:pPr>
      <w:pBdr>
        <w:top w:val="single" w:sz="8" w:space="0" w:color="auto"/>
        <w:left w:val="single" w:sz="8" w:space="0" w:color="auto"/>
        <w:bottom w:val="single" w:sz="8" w:space="0" w:color="auto"/>
      </w:pBdr>
      <w:shd w:val="clear" w:color="000000" w:fill="FFFF99"/>
      <w:spacing w:before="100" w:beforeAutospacing="1" w:after="100" w:afterAutospacing="1" w:line="240" w:lineRule="auto"/>
      <w:jc w:val="center"/>
    </w:pPr>
    <w:rPr>
      <w:rFonts w:ascii="Arial" w:eastAsia="Times New Roman" w:hAnsi="Arial" w:cs="Arial"/>
      <w:b/>
      <w:bCs/>
      <w:sz w:val="28"/>
      <w:szCs w:val="28"/>
      <w:lang w:val="en-ZA" w:eastAsia="en-ZA"/>
    </w:rPr>
  </w:style>
  <w:style w:type="paragraph" w:customStyle="1" w:styleId="xl176">
    <w:name w:val="xl176"/>
    <w:basedOn w:val="Normal"/>
    <w:rsid w:val="002C0935"/>
    <w:pPr>
      <w:pBdr>
        <w:top w:val="single" w:sz="8" w:space="0" w:color="auto"/>
        <w:bottom w:val="single" w:sz="8" w:space="0" w:color="auto"/>
      </w:pBdr>
      <w:shd w:val="clear" w:color="000000" w:fill="FFFF99"/>
      <w:spacing w:before="100" w:beforeAutospacing="1" w:after="100" w:afterAutospacing="1" w:line="240" w:lineRule="auto"/>
      <w:jc w:val="center"/>
    </w:pPr>
    <w:rPr>
      <w:rFonts w:ascii="Times New Roman" w:eastAsia="Times New Roman" w:hAnsi="Times New Roman" w:cs="Times New Roman"/>
      <w:sz w:val="24"/>
      <w:szCs w:val="24"/>
      <w:lang w:val="en-ZA" w:eastAsia="en-ZA"/>
    </w:rPr>
  </w:style>
  <w:style w:type="paragraph" w:customStyle="1" w:styleId="xl177">
    <w:name w:val="xl177"/>
    <w:basedOn w:val="Normal"/>
    <w:rsid w:val="002C0935"/>
    <w:pPr>
      <w:pBdr>
        <w:top w:val="single" w:sz="8" w:space="0" w:color="auto"/>
        <w:bottom w:val="single" w:sz="8" w:space="0" w:color="auto"/>
        <w:right w:val="single" w:sz="8" w:space="0" w:color="auto"/>
      </w:pBdr>
      <w:shd w:val="clear" w:color="000000" w:fill="FFFF99"/>
      <w:spacing w:before="100" w:beforeAutospacing="1" w:after="100" w:afterAutospacing="1" w:line="240" w:lineRule="auto"/>
      <w:jc w:val="center"/>
    </w:pPr>
    <w:rPr>
      <w:rFonts w:ascii="Times New Roman" w:eastAsia="Times New Roman" w:hAnsi="Times New Roman" w:cs="Times New Roman"/>
      <w:sz w:val="24"/>
      <w:szCs w:val="24"/>
      <w:lang w:val="en-ZA" w:eastAsia="en-ZA"/>
    </w:rPr>
  </w:style>
  <w:style w:type="paragraph" w:customStyle="1" w:styleId="xl178">
    <w:name w:val="xl178"/>
    <w:basedOn w:val="Normal"/>
    <w:rsid w:val="002C0935"/>
    <w:pPr>
      <w:pBdr>
        <w:top w:val="single" w:sz="8" w:space="0" w:color="auto"/>
        <w:bottom w:val="single" w:sz="8" w:space="0" w:color="auto"/>
        <w:right w:val="single" w:sz="8" w:space="0" w:color="auto"/>
      </w:pBdr>
      <w:shd w:val="clear" w:color="000000" w:fill="99CCFF"/>
      <w:spacing w:before="100" w:beforeAutospacing="1" w:after="100" w:afterAutospacing="1" w:line="240" w:lineRule="auto"/>
    </w:pPr>
    <w:rPr>
      <w:rFonts w:ascii="Arial" w:eastAsia="Times New Roman" w:hAnsi="Arial" w:cs="Arial"/>
      <w:sz w:val="24"/>
      <w:szCs w:val="24"/>
      <w:lang w:val="en-ZA" w:eastAsia="en-ZA"/>
    </w:rPr>
  </w:style>
  <w:style w:type="numbering" w:customStyle="1" w:styleId="NoList2">
    <w:name w:val="No List2"/>
    <w:next w:val="NoList"/>
    <w:uiPriority w:val="99"/>
    <w:semiHidden/>
    <w:unhideWhenUsed/>
    <w:rsid w:val="000F6D9F"/>
  </w:style>
  <w:style w:type="table" w:customStyle="1" w:styleId="TableGrid2">
    <w:name w:val="Table Grid2"/>
    <w:basedOn w:val="TableNormal"/>
    <w:next w:val="TableGrid"/>
    <w:uiPriority w:val="59"/>
    <w:rsid w:val="000F6D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F6D9F"/>
  </w:style>
  <w:style w:type="table" w:customStyle="1" w:styleId="TableGrid11">
    <w:name w:val="Table Grid11"/>
    <w:basedOn w:val="TableNormal"/>
    <w:next w:val="TableGrid"/>
    <w:uiPriority w:val="59"/>
    <w:rsid w:val="000F6D9F"/>
    <w:pPr>
      <w:spacing w:after="0" w:line="240" w:lineRule="auto"/>
    </w:pPr>
    <w:rPr>
      <w:rFonts w:eastAsia="Times New Roman"/>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597E8B"/>
    <w:rPr>
      <w:color w:val="808080"/>
    </w:rPr>
  </w:style>
  <w:style w:type="table" w:customStyle="1" w:styleId="TableGrid12">
    <w:name w:val="Table Grid12"/>
    <w:basedOn w:val="TableNormal"/>
    <w:next w:val="TableGrid"/>
    <w:uiPriority w:val="59"/>
    <w:rsid w:val="00173B5E"/>
    <w:pPr>
      <w:spacing w:after="0" w:line="240" w:lineRule="auto"/>
    </w:pPr>
    <w:rPr>
      <w:rFonts w:eastAsia="Times New Roman"/>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E37DC9"/>
    <w:pPr>
      <w:spacing w:after="0" w:line="240" w:lineRule="auto"/>
    </w:pPr>
    <w:rPr>
      <w:rFonts w:eastAsia="MS Mincho"/>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2B27F0"/>
  </w:style>
  <w:style w:type="character" w:styleId="LineNumber">
    <w:name w:val="line number"/>
    <w:basedOn w:val="DefaultParagraphFont"/>
    <w:uiPriority w:val="99"/>
    <w:semiHidden/>
    <w:unhideWhenUsed/>
    <w:rsid w:val="00447E3A"/>
  </w:style>
  <w:style w:type="paragraph" w:customStyle="1" w:styleId="xl179">
    <w:name w:val="xl179"/>
    <w:basedOn w:val="Normal"/>
    <w:rsid w:val="009923D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44"/>
      <w:szCs w:val="44"/>
      <w:lang w:val="en-ZA" w:eastAsia="en-ZA"/>
    </w:rPr>
  </w:style>
  <w:style w:type="paragraph" w:customStyle="1" w:styleId="xl180">
    <w:name w:val="xl180"/>
    <w:basedOn w:val="Normal"/>
    <w:rsid w:val="009923D6"/>
    <w:pPr>
      <w:pBdr>
        <w:top w:val="single" w:sz="4" w:space="0" w:color="auto"/>
        <w:left w:val="single" w:sz="4" w:space="0" w:color="auto"/>
        <w:bottom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b/>
      <w:bCs/>
      <w:sz w:val="44"/>
      <w:szCs w:val="44"/>
      <w:lang w:val="en-ZA" w:eastAsia="en-ZA"/>
    </w:rPr>
  </w:style>
  <w:style w:type="paragraph" w:customStyle="1" w:styleId="xl181">
    <w:name w:val="xl181"/>
    <w:basedOn w:val="Normal"/>
    <w:rsid w:val="009923D6"/>
    <w:pPr>
      <w:pBdr>
        <w:top w:val="single" w:sz="4" w:space="0" w:color="auto"/>
        <w:bottom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b/>
      <w:bCs/>
      <w:sz w:val="44"/>
      <w:szCs w:val="44"/>
      <w:lang w:val="en-ZA" w:eastAsia="en-ZA"/>
    </w:rPr>
  </w:style>
  <w:style w:type="paragraph" w:customStyle="1" w:styleId="xl182">
    <w:name w:val="xl182"/>
    <w:basedOn w:val="Normal"/>
    <w:rsid w:val="009923D6"/>
    <w:pPr>
      <w:pBdr>
        <w:top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b/>
      <w:bCs/>
      <w:sz w:val="44"/>
      <w:szCs w:val="44"/>
      <w:lang w:val="en-ZA" w:eastAsia="en-ZA"/>
    </w:rPr>
  </w:style>
  <w:style w:type="numbering" w:customStyle="1" w:styleId="NoList4">
    <w:name w:val="No List4"/>
    <w:next w:val="NoList"/>
    <w:uiPriority w:val="99"/>
    <w:semiHidden/>
    <w:unhideWhenUsed/>
    <w:rsid w:val="00B9054D"/>
  </w:style>
  <w:style w:type="numbering" w:customStyle="1" w:styleId="NoList12">
    <w:name w:val="No List12"/>
    <w:next w:val="NoList"/>
    <w:uiPriority w:val="99"/>
    <w:semiHidden/>
    <w:unhideWhenUsed/>
    <w:rsid w:val="00B9054D"/>
  </w:style>
  <w:style w:type="table" w:customStyle="1" w:styleId="TableGrid3">
    <w:name w:val="Table Grid3"/>
    <w:basedOn w:val="TableNormal"/>
    <w:next w:val="TableGrid"/>
    <w:uiPriority w:val="59"/>
    <w:rsid w:val="001F33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C03A2F"/>
  </w:style>
  <w:style w:type="table" w:customStyle="1" w:styleId="TableGrid4">
    <w:name w:val="Table Grid4"/>
    <w:basedOn w:val="TableNormal"/>
    <w:next w:val="TableGrid"/>
    <w:uiPriority w:val="59"/>
    <w:rsid w:val="00C03A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C03A2F"/>
  </w:style>
  <w:style w:type="table" w:customStyle="1" w:styleId="TableGrid131">
    <w:name w:val="Table Grid131"/>
    <w:basedOn w:val="TableNormal"/>
    <w:next w:val="TableGrid"/>
    <w:uiPriority w:val="39"/>
    <w:rsid w:val="00C148DC"/>
    <w:pPr>
      <w:spacing w:after="0" w:line="240" w:lineRule="auto"/>
    </w:pPr>
    <w:rPr>
      <w:rFonts w:eastAsia="MS Mincho"/>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8">
    <w:name w:val="xl58"/>
    <w:basedOn w:val="Normal"/>
    <w:rsid w:val="0002357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color w:val="FFFFFF"/>
      <w:sz w:val="24"/>
      <w:szCs w:val="24"/>
      <w:lang w:val="en-ZA" w:eastAsia="en-ZA"/>
    </w:rPr>
  </w:style>
  <w:style w:type="paragraph" w:customStyle="1" w:styleId="xl59">
    <w:name w:val="xl59"/>
    <w:basedOn w:val="Normal"/>
    <w:rsid w:val="0002357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val="en-ZA" w:eastAsia="en-ZA"/>
    </w:rPr>
  </w:style>
  <w:style w:type="paragraph" w:customStyle="1" w:styleId="xl60">
    <w:name w:val="xl60"/>
    <w:basedOn w:val="Normal"/>
    <w:rsid w:val="00023570"/>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color w:val="FFFFFF"/>
      <w:sz w:val="24"/>
      <w:szCs w:val="24"/>
      <w:lang w:val="en-ZA" w:eastAsia="en-ZA"/>
    </w:rPr>
  </w:style>
  <w:style w:type="paragraph" w:customStyle="1" w:styleId="xl61">
    <w:name w:val="xl61"/>
    <w:basedOn w:val="Normal"/>
    <w:rsid w:val="00023570"/>
    <w:pPr>
      <w:pBdr>
        <w:top w:val="single" w:sz="4" w:space="0" w:color="auto"/>
        <w:left w:val="single" w:sz="4" w:space="0" w:color="auto"/>
        <w:bottom w:val="single" w:sz="4" w:space="0" w:color="auto"/>
        <w:right w:val="single" w:sz="4" w:space="0" w:color="auto"/>
      </w:pBdr>
      <w:shd w:val="clear" w:color="000000" w:fill="4BACC6"/>
      <w:spacing w:before="100" w:beforeAutospacing="1" w:after="100" w:afterAutospacing="1" w:line="240" w:lineRule="auto"/>
      <w:jc w:val="center"/>
      <w:textAlignment w:val="center"/>
    </w:pPr>
    <w:rPr>
      <w:rFonts w:ascii="Times New Roman" w:eastAsia="Times New Roman" w:hAnsi="Times New Roman" w:cs="Times New Roman"/>
      <w:color w:val="FFFFFF"/>
      <w:sz w:val="24"/>
      <w:szCs w:val="24"/>
      <w:lang w:val="en-ZA" w:eastAsia="en-ZA"/>
    </w:rPr>
  </w:style>
  <w:style w:type="paragraph" w:customStyle="1" w:styleId="xl62">
    <w:name w:val="xl62"/>
    <w:basedOn w:val="Normal"/>
    <w:rsid w:val="00023570"/>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line="240" w:lineRule="auto"/>
      <w:jc w:val="center"/>
      <w:textAlignment w:val="center"/>
    </w:pPr>
    <w:rPr>
      <w:rFonts w:ascii="Times New Roman" w:eastAsia="Times New Roman" w:hAnsi="Times New Roman" w:cs="Times New Roman"/>
      <w:color w:val="FFFFFF"/>
      <w:sz w:val="24"/>
      <w:szCs w:val="24"/>
      <w:lang w:val="en-ZA" w:eastAsia="en-ZA"/>
    </w:rPr>
  </w:style>
  <w:style w:type="table" w:customStyle="1" w:styleId="TableGrid5">
    <w:name w:val="Table Grid5"/>
    <w:basedOn w:val="TableNormal"/>
    <w:next w:val="TableGrid"/>
    <w:uiPriority w:val="39"/>
    <w:rsid w:val="002F0D78"/>
    <w:pPr>
      <w:spacing w:after="0" w:line="240" w:lineRule="auto"/>
    </w:pPr>
    <w:rPr>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2F0D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2F0D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0B2A68"/>
  </w:style>
  <w:style w:type="table" w:customStyle="1" w:styleId="TableGrid6">
    <w:name w:val="Table Grid6"/>
    <w:basedOn w:val="TableNormal"/>
    <w:next w:val="TableGrid"/>
    <w:uiPriority w:val="39"/>
    <w:rsid w:val="000B2A68"/>
    <w:pPr>
      <w:spacing w:after="0" w:line="240" w:lineRule="auto"/>
    </w:pPr>
    <w:rPr>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D25991"/>
    <w:pPr>
      <w:spacing w:after="0" w:line="240" w:lineRule="auto"/>
      <w:jc w:val="both"/>
    </w:pPr>
    <w:rPr>
      <w:rFonts w:ascii="Times New Roman" w:hAnsi="Times New Roman"/>
      <w:sz w:val="24"/>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D25991"/>
    <w:pPr>
      <w:spacing w:after="0" w:line="240" w:lineRule="auto"/>
      <w:jc w:val="both"/>
    </w:pPr>
    <w:rPr>
      <w:rFonts w:ascii="Times New Roman" w:hAnsi="Times New Roman"/>
      <w:sz w:val="24"/>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D25991"/>
    <w:pPr>
      <w:spacing w:after="0" w:line="240" w:lineRule="auto"/>
      <w:jc w:val="both"/>
    </w:pPr>
    <w:rPr>
      <w:rFonts w:ascii="Times New Roman" w:hAnsi="Times New Roman"/>
      <w:sz w:val="24"/>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59"/>
    <w:rsid w:val="0077353B"/>
    <w:pPr>
      <w:spacing w:after="0" w:line="240" w:lineRule="auto"/>
      <w:jc w:val="both"/>
    </w:pPr>
    <w:rPr>
      <w:rFonts w:ascii="Times New Roman" w:hAnsi="Times New Roman"/>
      <w:sz w:val="24"/>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83">
    <w:name w:val="xl183"/>
    <w:basedOn w:val="Normal"/>
    <w:rsid w:val="005F7664"/>
    <w:pPr>
      <w:pBdr>
        <w:top w:val="single" w:sz="4" w:space="0" w:color="auto"/>
        <w:bottom w:val="single" w:sz="4" w:space="0" w:color="auto"/>
        <w:right w:val="single" w:sz="4" w:space="0" w:color="auto"/>
      </w:pBdr>
      <w:shd w:val="clear" w:color="000000" w:fill="9BBB59"/>
      <w:spacing w:before="100" w:beforeAutospacing="1" w:after="100" w:afterAutospacing="1" w:line="240" w:lineRule="auto"/>
      <w:jc w:val="center"/>
      <w:textAlignment w:val="center"/>
    </w:pPr>
    <w:rPr>
      <w:rFonts w:ascii="Times New Roman" w:eastAsia="Times New Roman" w:hAnsi="Times New Roman" w:cs="Times New Roman"/>
      <w:color w:val="FFFFFF"/>
      <w:sz w:val="24"/>
      <w:szCs w:val="24"/>
      <w:lang w:val="en-ZA" w:eastAsia="en-ZA"/>
    </w:rPr>
  </w:style>
  <w:style w:type="paragraph" w:customStyle="1" w:styleId="xl184">
    <w:name w:val="xl184"/>
    <w:basedOn w:val="Normal"/>
    <w:rsid w:val="005F7664"/>
    <w:pPr>
      <w:pBdr>
        <w:top w:val="single" w:sz="4" w:space="0" w:color="auto"/>
        <w:left w:val="single" w:sz="4" w:space="0" w:color="auto"/>
        <w:bottom w:val="single" w:sz="4" w:space="0" w:color="auto"/>
        <w:right w:val="single" w:sz="4" w:space="0" w:color="auto"/>
      </w:pBdr>
      <w:shd w:val="clear" w:color="000000" w:fill="8064A2"/>
      <w:spacing w:before="100" w:beforeAutospacing="1" w:after="100" w:afterAutospacing="1" w:line="240" w:lineRule="auto"/>
      <w:jc w:val="center"/>
      <w:textAlignment w:val="center"/>
    </w:pPr>
    <w:rPr>
      <w:rFonts w:ascii="Times New Roman" w:eastAsia="Times New Roman" w:hAnsi="Times New Roman" w:cs="Times New Roman"/>
      <w:color w:val="FFFFFF"/>
      <w:sz w:val="24"/>
      <w:szCs w:val="24"/>
      <w:lang w:val="en-ZA" w:eastAsia="en-ZA"/>
    </w:rPr>
  </w:style>
  <w:style w:type="paragraph" w:customStyle="1" w:styleId="xl185">
    <w:name w:val="xl185"/>
    <w:basedOn w:val="Normal"/>
    <w:rsid w:val="005F7664"/>
    <w:pPr>
      <w:pBdr>
        <w:top w:val="single" w:sz="4" w:space="0" w:color="auto"/>
        <w:bottom w:val="single" w:sz="4" w:space="0" w:color="auto"/>
        <w:right w:val="single" w:sz="4" w:space="0" w:color="auto"/>
      </w:pBdr>
      <w:shd w:val="clear" w:color="000000" w:fill="C0504D"/>
      <w:spacing w:before="100" w:beforeAutospacing="1" w:after="100" w:afterAutospacing="1" w:line="240" w:lineRule="auto"/>
      <w:jc w:val="center"/>
      <w:textAlignment w:val="center"/>
    </w:pPr>
    <w:rPr>
      <w:rFonts w:ascii="Times New Roman" w:eastAsia="Times New Roman" w:hAnsi="Times New Roman" w:cs="Times New Roman"/>
      <w:color w:val="FFFFFF"/>
      <w:sz w:val="24"/>
      <w:szCs w:val="24"/>
      <w:lang w:val="en-ZA" w:eastAsia="en-ZA"/>
    </w:rPr>
  </w:style>
  <w:style w:type="paragraph" w:customStyle="1" w:styleId="xl186">
    <w:name w:val="xl186"/>
    <w:basedOn w:val="Normal"/>
    <w:rsid w:val="005F7664"/>
    <w:pPr>
      <w:pBdr>
        <w:top w:val="single" w:sz="4" w:space="0" w:color="auto"/>
        <w:left w:val="single" w:sz="4" w:space="0" w:color="auto"/>
        <w:bottom w:val="single" w:sz="4" w:space="0" w:color="auto"/>
        <w:right w:val="single" w:sz="4" w:space="0" w:color="auto"/>
      </w:pBdr>
      <w:shd w:val="clear" w:color="000000" w:fill="C0504D"/>
      <w:spacing w:before="100" w:beforeAutospacing="1" w:after="100" w:afterAutospacing="1" w:line="240" w:lineRule="auto"/>
      <w:jc w:val="center"/>
      <w:textAlignment w:val="center"/>
    </w:pPr>
    <w:rPr>
      <w:rFonts w:ascii="Times New Roman" w:eastAsia="Times New Roman" w:hAnsi="Times New Roman" w:cs="Times New Roman"/>
      <w:color w:val="FFFFFF"/>
      <w:sz w:val="24"/>
      <w:szCs w:val="24"/>
      <w:lang w:val="en-ZA" w:eastAsia="en-ZA"/>
    </w:rPr>
  </w:style>
  <w:style w:type="paragraph" w:customStyle="1" w:styleId="xl187">
    <w:name w:val="xl187"/>
    <w:basedOn w:val="Normal"/>
    <w:rsid w:val="005F7664"/>
    <w:pPr>
      <w:pBdr>
        <w:top w:val="single" w:sz="4" w:space="0" w:color="auto"/>
        <w:left w:val="single" w:sz="4" w:space="0" w:color="auto"/>
        <w:bottom w:val="single" w:sz="4" w:space="0" w:color="auto"/>
      </w:pBdr>
      <w:shd w:val="clear" w:color="000000" w:fill="C0504D"/>
      <w:spacing w:before="100" w:beforeAutospacing="1" w:after="100" w:afterAutospacing="1" w:line="240" w:lineRule="auto"/>
      <w:jc w:val="center"/>
      <w:textAlignment w:val="center"/>
    </w:pPr>
    <w:rPr>
      <w:rFonts w:ascii="Times New Roman" w:eastAsia="Times New Roman" w:hAnsi="Times New Roman" w:cs="Times New Roman"/>
      <w:color w:val="FFFFFF"/>
      <w:sz w:val="24"/>
      <w:szCs w:val="24"/>
      <w:lang w:val="en-ZA" w:eastAsia="en-ZA"/>
    </w:rPr>
  </w:style>
  <w:style w:type="paragraph" w:customStyle="1" w:styleId="xl188">
    <w:name w:val="xl188"/>
    <w:basedOn w:val="Normal"/>
    <w:rsid w:val="005F7664"/>
    <w:pPr>
      <w:pBdr>
        <w:left w:val="single" w:sz="4" w:space="0" w:color="auto"/>
        <w:bottom w:val="single" w:sz="4" w:space="0" w:color="auto"/>
      </w:pBdr>
      <w:shd w:val="clear" w:color="000000" w:fill="8064A2"/>
      <w:spacing w:before="100" w:beforeAutospacing="1" w:after="100" w:afterAutospacing="1" w:line="240" w:lineRule="auto"/>
      <w:jc w:val="center"/>
      <w:textAlignment w:val="center"/>
    </w:pPr>
    <w:rPr>
      <w:rFonts w:ascii="Times New Roman" w:eastAsia="Times New Roman" w:hAnsi="Times New Roman" w:cs="Times New Roman"/>
      <w:color w:val="FFFFFF"/>
      <w:sz w:val="24"/>
      <w:szCs w:val="24"/>
      <w:lang w:val="en-ZA" w:eastAsia="en-ZA"/>
    </w:rPr>
  </w:style>
  <w:style w:type="paragraph" w:customStyle="1" w:styleId="xl189">
    <w:name w:val="xl189"/>
    <w:basedOn w:val="Normal"/>
    <w:rsid w:val="005F7664"/>
    <w:pPr>
      <w:pBdr>
        <w:bottom w:val="single" w:sz="4" w:space="0" w:color="auto"/>
      </w:pBdr>
      <w:shd w:val="clear" w:color="000000" w:fill="8064A2"/>
      <w:spacing w:before="100" w:beforeAutospacing="1" w:after="100" w:afterAutospacing="1" w:line="240" w:lineRule="auto"/>
      <w:jc w:val="center"/>
      <w:textAlignment w:val="center"/>
    </w:pPr>
    <w:rPr>
      <w:rFonts w:ascii="Times New Roman" w:eastAsia="Times New Roman" w:hAnsi="Times New Roman" w:cs="Times New Roman"/>
      <w:color w:val="FFFFFF"/>
      <w:sz w:val="24"/>
      <w:szCs w:val="24"/>
      <w:lang w:val="en-ZA" w:eastAsia="en-ZA"/>
    </w:rPr>
  </w:style>
  <w:style w:type="numbering" w:customStyle="1" w:styleId="NoList7">
    <w:name w:val="No List7"/>
    <w:next w:val="NoList"/>
    <w:uiPriority w:val="99"/>
    <w:semiHidden/>
    <w:unhideWhenUsed/>
    <w:rsid w:val="008D130F"/>
  </w:style>
  <w:style w:type="table" w:customStyle="1" w:styleId="TableGrid15">
    <w:name w:val="Table Grid15"/>
    <w:basedOn w:val="TableNormal"/>
    <w:next w:val="TableGrid"/>
    <w:uiPriority w:val="59"/>
    <w:rsid w:val="008D13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8D13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1B1B9D"/>
  </w:style>
  <w:style w:type="numbering" w:customStyle="1" w:styleId="NoList14">
    <w:name w:val="No List14"/>
    <w:next w:val="NoList"/>
    <w:uiPriority w:val="99"/>
    <w:semiHidden/>
    <w:unhideWhenUsed/>
    <w:rsid w:val="001B1B9D"/>
  </w:style>
  <w:style w:type="table" w:customStyle="1" w:styleId="PlainTable11">
    <w:name w:val="Plain Table 11"/>
    <w:basedOn w:val="TableNormal"/>
    <w:next w:val="PlainTable1"/>
    <w:uiPriority w:val="41"/>
    <w:rsid w:val="004B4F45"/>
    <w:pPr>
      <w:spacing w:after="0" w:line="240" w:lineRule="auto"/>
    </w:pPr>
    <w:rPr>
      <w:lang w:val="en-ZA"/>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1">
    <w:name w:val="Plain Table 1"/>
    <w:basedOn w:val="TableNormal"/>
    <w:uiPriority w:val="41"/>
    <w:rsid w:val="004B4F4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7">
    <w:name w:val="Table Grid17"/>
    <w:basedOn w:val="TableNormal"/>
    <w:next w:val="TableGrid"/>
    <w:uiPriority w:val="39"/>
    <w:rsid w:val="00B942A5"/>
    <w:pPr>
      <w:spacing w:after="0" w:line="240" w:lineRule="auto"/>
    </w:pPr>
    <w:rPr>
      <w:rFonts w:ascii="Arial" w:eastAsia="Times New Roman" w:hAnsi="Arial"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A87FC5"/>
    <w:pPr>
      <w:spacing w:after="0" w:line="240" w:lineRule="auto"/>
    </w:pPr>
    <w:rPr>
      <w:rFonts w:ascii="Arial" w:eastAsia="Times New Roman" w:hAnsi="Arial"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
    <w:name w:val="Grid Table 4"/>
    <w:basedOn w:val="TableNormal"/>
    <w:uiPriority w:val="49"/>
    <w:rsid w:val="0037676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9">
    <w:name w:val="Table Grid19"/>
    <w:basedOn w:val="TableNormal"/>
    <w:next w:val="TableGrid"/>
    <w:uiPriority w:val="59"/>
    <w:rsid w:val="002E2896"/>
    <w:pPr>
      <w:spacing w:after="0" w:line="240" w:lineRule="auto"/>
    </w:pPr>
    <w:rPr>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59"/>
    <w:rsid w:val="002E2896"/>
    <w:pPr>
      <w:spacing w:after="0" w:line="240" w:lineRule="auto"/>
    </w:pPr>
    <w:rPr>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2E2896"/>
    <w:pPr>
      <w:spacing w:after="0" w:line="240" w:lineRule="auto"/>
    </w:pPr>
    <w:rPr>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DE78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7184A"/>
  </w:style>
  <w:style w:type="table" w:customStyle="1" w:styleId="TableGrid24">
    <w:name w:val="Table Grid24"/>
    <w:basedOn w:val="TableNormal"/>
    <w:next w:val="TableGrid"/>
    <w:uiPriority w:val="39"/>
    <w:rsid w:val="002E4D67"/>
    <w:pPr>
      <w:spacing w:after="0" w:line="240" w:lineRule="auto"/>
    </w:pPr>
    <w:rPr>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FB44CE"/>
    <w:pPr>
      <w:spacing w:after="0" w:line="240" w:lineRule="auto"/>
    </w:pPr>
    <w:rPr>
      <w:rFonts w:eastAsia="Times New Roman"/>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uiPriority w:val="39"/>
    <w:rsid w:val="00B730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uiPriority w:val="39"/>
    <w:rsid w:val="00366E3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unhideWhenUsed/>
    <w:rsid w:val="001E7AD8"/>
    <w:rPr>
      <w:sz w:val="16"/>
      <w:szCs w:val="16"/>
    </w:rPr>
  </w:style>
  <w:style w:type="paragraph" w:styleId="CommentText">
    <w:name w:val="annotation text"/>
    <w:basedOn w:val="Normal"/>
    <w:link w:val="CommentTextChar"/>
    <w:uiPriority w:val="99"/>
    <w:unhideWhenUsed/>
    <w:rsid w:val="001E7AD8"/>
    <w:pPr>
      <w:spacing w:line="240" w:lineRule="auto"/>
    </w:pPr>
    <w:rPr>
      <w:szCs w:val="20"/>
    </w:rPr>
  </w:style>
  <w:style w:type="character" w:customStyle="1" w:styleId="CommentTextChar">
    <w:name w:val="Comment Text Char"/>
    <w:basedOn w:val="DefaultParagraphFont"/>
    <w:link w:val="CommentText"/>
    <w:uiPriority w:val="99"/>
    <w:rsid w:val="001E7AD8"/>
    <w:rPr>
      <w:rFonts w:ascii="Calibri" w:hAnsi="Calibri"/>
      <w:sz w:val="20"/>
      <w:szCs w:val="20"/>
    </w:rPr>
  </w:style>
  <w:style w:type="paragraph" w:styleId="CommentSubject">
    <w:name w:val="annotation subject"/>
    <w:basedOn w:val="CommentText"/>
    <w:next w:val="CommentText"/>
    <w:link w:val="CommentSubjectChar"/>
    <w:uiPriority w:val="99"/>
    <w:semiHidden/>
    <w:unhideWhenUsed/>
    <w:rsid w:val="001E7AD8"/>
    <w:rPr>
      <w:b/>
      <w:bCs/>
    </w:rPr>
  </w:style>
  <w:style w:type="character" w:customStyle="1" w:styleId="CommentSubjectChar">
    <w:name w:val="Comment Subject Char"/>
    <w:basedOn w:val="CommentTextChar"/>
    <w:link w:val="CommentSubject"/>
    <w:uiPriority w:val="99"/>
    <w:semiHidden/>
    <w:rsid w:val="001E7AD8"/>
    <w:rPr>
      <w:rFonts w:ascii="Calibri" w:hAnsi="Calibri"/>
      <w:b/>
      <w:bCs/>
      <w:sz w:val="20"/>
      <w:szCs w:val="20"/>
    </w:rPr>
  </w:style>
  <w:style w:type="table" w:customStyle="1" w:styleId="TableGrid28">
    <w:name w:val="Table Grid28"/>
    <w:basedOn w:val="TableNormal"/>
    <w:next w:val="TableGrid"/>
    <w:uiPriority w:val="39"/>
    <w:rsid w:val="006822A5"/>
    <w:pPr>
      <w:spacing w:after="0" w:line="240" w:lineRule="auto"/>
    </w:pPr>
    <w:rPr>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uiPriority w:val="39"/>
    <w:rsid w:val="00244F2D"/>
    <w:pPr>
      <w:spacing w:after="0" w:line="240" w:lineRule="auto"/>
    </w:pPr>
    <w:rPr>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B5C77"/>
  </w:style>
  <w:style w:type="table" w:customStyle="1" w:styleId="TableGrid30">
    <w:name w:val="Table Grid30"/>
    <w:basedOn w:val="TableNormal"/>
    <w:next w:val="TableGrid"/>
    <w:uiPriority w:val="39"/>
    <w:rsid w:val="00BB5C77"/>
    <w:pPr>
      <w:spacing w:after="0" w:line="240" w:lineRule="auto"/>
    </w:pPr>
    <w:rPr>
      <w:rFonts w:eastAsia="Times New Roman"/>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tab-span">
    <w:name w:val="apple-tab-span"/>
    <w:basedOn w:val="DefaultParagraphFont"/>
    <w:rsid w:val="00BB5C77"/>
  </w:style>
  <w:style w:type="character" w:customStyle="1" w:styleId="apple-converted-space">
    <w:name w:val="apple-converted-space"/>
    <w:basedOn w:val="DefaultParagraphFont"/>
    <w:rsid w:val="00BB5C77"/>
  </w:style>
  <w:style w:type="character" w:customStyle="1" w:styleId="EmailStyle23">
    <w:name w:val="EmailStyle23"/>
    <w:basedOn w:val="DefaultParagraphFont"/>
    <w:semiHidden/>
    <w:rsid w:val="00BB5C77"/>
    <w:rPr>
      <w:rFonts w:ascii="Arial" w:hAnsi="Arial" w:cs="Arial"/>
      <w:color w:val="auto"/>
      <w:sz w:val="20"/>
      <w:szCs w:val="20"/>
    </w:rPr>
  </w:style>
  <w:style w:type="character" w:customStyle="1" w:styleId="EmailStyle30">
    <w:name w:val="EmailStyle30"/>
    <w:basedOn w:val="DefaultParagraphFont"/>
    <w:semiHidden/>
    <w:rsid w:val="00BB5C77"/>
    <w:rPr>
      <w:rFonts w:ascii="Arial" w:hAnsi="Arial" w:cs="Arial" w:hint="default"/>
      <w:color w:val="000080"/>
      <w:sz w:val="20"/>
      <w:szCs w:val="20"/>
    </w:rPr>
  </w:style>
  <w:style w:type="paragraph" w:customStyle="1" w:styleId="parafullout">
    <w:name w:val="parafullout"/>
    <w:basedOn w:val="Normal"/>
    <w:rsid w:val="00BB5C77"/>
    <w:pPr>
      <w:spacing w:before="180" w:after="0" w:line="240" w:lineRule="auto"/>
      <w:jc w:val="both"/>
    </w:pPr>
    <w:rPr>
      <w:rFonts w:ascii="Verdana" w:eastAsia="Times New Roman" w:hAnsi="Verdana" w:cs="Times New Roman"/>
      <w:color w:val="000000"/>
      <w:sz w:val="18"/>
      <w:szCs w:val="18"/>
      <w:lang w:val="en-GB" w:eastAsia="en-GB"/>
    </w:rPr>
  </w:style>
  <w:style w:type="paragraph" w:customStyle="1" w:styleId="bullet">
    <w:name w:val="bullet"/>
    <w:basedOn w:val="Normal"/>
    <w:rsid w:val="00BB5C77"/>
    <w:pPr>
      <w:spacing w:before="180" w:after="0" w:line="240" w:lineRule="auto"/>
      <w:ind w:left="567" w:hanging="567"/>
      <w:jc w:val="both"/>
    </w:pPr>
    <w:rPr>
      <w:rFonts w:ascii="Verdana" w:eastAsia="Times New Roman" w:hAnsi="Verdana" w:cs="Times New Roman"/>
      <w:color w:val="000000"/>
      <w:sz w:val="18"/>
      <w:szCs w:val="18"/>
      <w:lang w:val="en-GB" w:eastAsia="en-GB"/>
    </w:rPr>
  </w:style>
  <w:style w:type="paragraph" w:customStyle="1" w:styleId="para1quad">
    <w:name w:val="para1quad"/>
    <w:basedOn w:val="Normal"/>
    <w:rsid w:val="00BB5C77"/>
    <w:pPr>
      <w:spacing w:before="120" w:after="0" w:line="240" w:lineRule="auto"/>
      <w:ind w:firstLine="200"/>
      <w:jc w:val="both"/>
    </w:pPr>
    <w:rPr>
      <w:rFonts w:ascii="Verdana" w:eastAsia="Times New Roman" w:hAnsi="Verdana" w:cs="Times New Roman"/>
      <w:color w:val="000000"/>
      <w:sz w:val="18"/>
      <w:szCs w:val="18"/>
      <w:lang w:val="en-GB" w:eastAsia="en-GB"/>
    </w:rPr>
  </w:style>
  <w:style w:type="paragraph" w:customStyle="1" w:styleId="headingtwo">
    <w:name w:val="headingtwo"/>
    <w:basedOn w:val="Normal"/>
    <w:rsid w:val="00BB5C77"/>
    <w:pPr>
      <w:spacing w:before="300" w:after="0" w:line="240" w:lineRule="auto"/>
      <w:ind w:left="851" w:hanging="851"/>
      <w:jc w:val="both"/>
    </w:pPr>
    <w:rPr>
      <w:rFonts w:ascii="Verdana" w:eastAsia="Times New Roman" w:hAnsi="Verdana" w:cs="Times New Roman"/>
      <w:b/>
      <w:bCs/>
      <w:color w:val="000000"/>
      <w:sz w:val="18"/>
      <w:szCs w:val="18"/>
      <w:lang w:val="en-GB" w:eastAsia="en-GB"/>
    </w:rPr>
  </w:style>
  <w:style w:type="paragraph" w:customStyle="1" w:styleId="AGHeading1blue">
    <w:name w:val="AG Heading 1 blue"/>
    <w:basedOn w:val="Normal"/>
    <w:link w:val="AGHeading1blueCharChar"/>
    <w:uiPriority w:val="99"/>
    <w:rsid w:val="00BB5C77"/>
    <w:pPr>
      <w:spacing w:after="400" w:line="240" w:lineRule="auto"/>
    </w:pPr>
    <w:rPr>
      <w:rFonts w:ascii="Arial Black" w:eastAsia="Times New Roman" w:hAnsi="Arial Black" w:cs="Times New Roman"/>
      <w:caps/>
      <w:color w:val="022B69"/>
      <w:sz w:val="30"/>
      <w:szCs w:val="30"/>
      <w:lang w:val="en-ZA" w:eastAsia="en-GB"/>
    </w:rPr>
  </w:style>
  <w:style w:type="character" w:customStyle="1" w:styleId="AGHeading1blueCharChar">
    <w:name w:val="AG Heading 1 blue Char Char"/>
    <w:basedOn w:val="DefaultParagraphFont"/>
    <w:link w:val="AGHeading1blue"/>
    <w:uiPriority w:val="99"/>
    <w:rsid w:val="00BB5C77"/>
    <w:rPr>
      <w:rFonts w:ascii="Arial Black" w:eastAsia="Times New Roman" w:hAnsi="Arial Black" w:cs="Times New Roman"/>
      <w:caps/>
      <w:color w:val="022B69"/>
      <w:sz w:val="30"/>
      <w:szCs w:val="30"/>
      <w:lang w:val="en-ZA" w:eastAsia="en-GB"/>
    </w:rPr>
  </w:style>
  <w:style w:type="paragraph" w:customStyle="1" w:styleId="AGHeading3Blue">
    <w:name w:val="AG Heading 3 Blue"/>
    <w:basedOn w:val="Normal"/>
    <w:uiPriority w:val="99"/>
    <w:rsid w:val="00BB5C77"/>
    <w:pPr>
      <w:snapToGrid w:val="0"/>
      <w:spacing w:before="360" w:after="240" w:line="240" w:lineRule="auto"/>
    </w:pPr>
    <w:rPr>
      <w:rFonts w:ascii="Arial" w:eastAsia="Times New Roman" w:hAnsi="Arial" w:cs="Times New Roman"/>
      <w:b/>
      <w:bCs/>
      <w:i/>
      <w:iCs/>
      <w:color w:val="022B69"/>
      <w:sz w:val="28"/>
      <w:szCs w:val="28"/>
    </w:rPr>
  </w:style>
  <w:style w:type="paragraph" w:customStyle="1" w:styleId="AGHeading2Blue">
    <w:name w:val="AG Heading 2 Blue"/>
    <w:basedOn w:val="Normal"/>
    <w:link w:val="AGHeading2BlueChar"/>
    <w:uiPriority w:val="99"/>
    <w:rsid w:val="00BB5C77"/>
    <w:pPr>
      <w:spacing w:before="600" w:after="400" w:line="240" w:lineRule="auto"/>
    </w:pPr>
    <w:rPr>
      <w:rFonts w:ascii="Arial Black" w:eastAsia="Times New Roman" w:hAnsi="Arial Black" w:cs="Times New Roman"/>
      <w:iCs/>
      <w:color w:val="022B69"/>
      <w:sz w:val="30"/>
      <w:szCs w:val="30"/>
      <w:lang w:val="en-ZA" w:eastAsia="en-GB"/>
    </w:rPr>
  </w:style>
  <w:style w:type="character" w:customStyle="1" w:styleId="AGHeading2BlueChar">
    <w:name w:val="AG Heading 2 Blue Char"/>
    <w:basedOn w:val="DefaultParagraphFont"/>
    <w:link w:val="AGHeading2Blue"/>
    <w:uiPriority w:val="99"/>
    <w:rsid w:val="00BB5C77"/>
    <w:rPr>
      <w:rFonts w:ascii="Arial Black" w:eastAsia="Times New Roman" w:hAnsi="Arial Black" w:cs="Times New Roman"/>
      <w:iCs/>
      <w:color w:val="022B69"/>
      <w:sz w:val="30"/>
      <w:szCs w:val="30"/>
      <w:lang w:val="en-ZA" w:eastAsia="en-GB"/>
    </w:rPr>
  </w:style>
  <w:style w:type="paragraph" w:customStyle="1" w:styleId="CharCharCharCharCharCharChar">
    <w:name w:val="Char Char Char Char Char Char Char"/>
    <w:basedOn w:val="Normal"/>
    <w:autoRedefine/>
    <w:uiPriority w:val="99"/>
    <w:rsid w:val="00BB5C77"/>
    <w:pPr>
      <w:spacing w:before="160" w:after="160" w:line="360" w:lineRule="auto"/>
      <w:jc w:val="both"/>
    </w:pPr>
    <w:rPr>
      <w:rFonts w:ascii="Arial" w:eastAsia="Times New Roman" w:hAnsi="Arial" w:cs="Times New Roman"/>
      <w:iCs/>
      <w:szCs w:val="20"/>
    </w:rPr>
  </w:style>
  <w:style w:type="character" w:customStyle="1" w:styleId="hcp3">
    <w:name w:val="hcp3"/>
    <w:basedOn w:val="DefaultParagraphFont"/>
    <w:rsid w:val="00BB5C77"/>
    <w:rPr>
      <w:b/>
      <w:bCs/>
    </w:rPr>
  </w:style>
  <w:style w:type="paragraph" w:customStyle="1" w:styleId="bulleted">
    <w:name w:val="bulleted"/>
    <w:basedOn w:val="Normal"/>
    <w:rsid w:val="00BB5C7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GHeading1">
    <w:name w:val="AG Heading 1"/>
    <w:basedOn w:val="Normal"/>
    <w:next w:val="Normal"/>
    <w:autoRedefine/>
    <w:uiPriority w:val="99"/>
    <w:rsid w:val="00BB5C77"/>
    <w:pPr>
      <w:spacing w:after="120" w:line="240" w:lineRule="auto"/>
    </w:pPr>
    <w:rPr>
      <w:rFonts w:ascii="Arial" w:eastAsia="Times New Roman" w:hAnsi="Arial" w:cs="Arial"/>
      <w:b/>
      <w:sz w:val="22"/>
      <w:szCs w:val="24"/>
      <w:lang w:val="en-ZA" w:eastAsia="en-GB"/>
    </w:rPr>
  </w:style>
  <w:style w:type="paragraph" w:customStyle="1" w:styleId="NumberedParagraph">
    <w:name w:val="Numbered Paragraph"/>
    <w:basedOn w:val="Normal"/>
    <w:link w:val="NumberedParagraphChar1"/>
    <w:uiPriority w:val="99"/>
    <w:rsid w:val="00BB5C77"/>
    <w:pPr>
      <w:tabs>
        <w:tab w:val="right" w:pos="312"/>
        <w:tab w:val="left" w:pos="480"/>
      </w:tabs>
      <w:spacing w:after="0" w:line="280" w:lineRule="exact"/>
      <w:ind w:left="480" w:hanging="480"/>
      <w:jc w:val="both"/>
    </w:pPr>
    <w:rPr>
      <w:rFonts w:ascii="Times New Roman" w:eastAsia="Times New Roman" w:hAnsi="Times New Roman" w:cs="Times New Roman"/>
      <w:kern w:val="8"/>
      <w:sz w:val="24"/>
      <w:szCs w:val="24"/>
      <w:lang w:bidi="he-IL"/>
    </w:rPr>
  </w:style>
  <w:style w:type="paragraph" w:customStyle="1" w:styleId="BulletedListundernumpara">
    <w:name w:val="Bulleted List under num para"/>
    <w:basedOn w:val="Normal"/>
    <w:uiPriority w:val="99"/>
    <w:rsid w:val="00BB5C77"/>
    <w:pPr>
      <w:numPr>
        <w:numId w:val="134"/>
      </w:numPr>
      <w:spacing w:before="120" w:after="0" w:line="240" w:lineRule="exact"/>
      <w:jc w:val="both"/>
    </w:pPr>
    <w:rPr>
      <w:rFonts w:ascii="Times New Roman" w:eastAsia="Times New Roman" w:hAnsi="Times New Roman" w:cs="Times New Roman"/>
      <w:kern w:val="12"/>
      <w:szCs w:val="20"/>
      <w:lang w:bidi="he-IL"/>
    </w:rPr>
  </w:style>
  <w:style w:type="paragraph" w:customStyle="1" w:styleId="GovNormal">
    <w:name w:val="Gov Normal"/>
    <w:basedOn w:val="Normal"/>
    <w:uiPriority w:val="99"/>
    <w:rsid w:val="00BB5C77"/>
    <w:pPr>
      <w:tabs>
        <w:tab w:val="right" w:pos="312"/>
        <w:tab w:val="left" w:pos="540"/>
      </w:tabs>
      <w:spacing w:after="0" w:line="280" w:lineRule="exact"/>
      <w:ind w:left="540" w:hanging="540"/>
      <w:jc w:val="both"/>
    </w:pPr>
    <w:rPr>
      <w:rFonts w:ascii="Times New Roman" w:eastAsia="Times New Roman" w:hAnsi="Times New Roman" w:cs="Times New Roman"/>
      <w:kern w:val="8"/>
      <w:sz w:val="24"/>
      <w:szCs w:val="24"/>
      <w:lang w:bidi="he-IL"/>
    </w:rPr>
  </w:style>
  <w:style w:type="paragraph" w:customStyle="1" w:styleId="AGbodytextblack">
    <w:name w:val="AG body text black"/>
    <w:basedOn w:val="Normal"/>
    <w:uiPriority w:val="99"/>
    <w:rsid w:val="00BB5C77"/>
    <w:pPr>
      <w:spacing w:after="120" w:line="240" w:lineRule="auto"/>
    </w:pPr>
    <w:rPr>
      <w:rFonts w:ascii="Arial" w:eastAsia="Times New Roman" w:hAnsi="Arial" w:cs="Times New Roman"/>
      <w:sz w:val="22"/>
      <w:lang w:val="en-ZA" w:eastAsia="en-GB"/>
    </w:rPr>
  </w:style>
  <w:style w:type="numbering" w:styleId="111111">
    <w:name w:val="Outline List 2"/>
    <w:basedOn w:val="NoList"/>
    <w:uiPriority w:val="99"/>
    <w:rsid w:val="00BB5C77"/>
    <w:pPr>
      <w:numPr>
        <w:numId w:val="135"/>
      </w:numPr>
    </w:pPr>
  </w:style>
  <w:style w:type="character" w:customStyle="1" w:styleId="FootnoteTextChar8">
    <w:name w:val="Footnote Text Char8"/>
    <w:aliases w:val="ARM footnote Text Char1,Footnote Text Char1 Char1,Footnote Text Char2 Char1,Footnote Text Char11 Char1,Footnote Text Char3 Char1,Footnote Text Char4 Char1,Footnote Text Char5 Char1,Footnote Text Char6 Char1,Footnote Text Char12 Char1"/>
    <w:basedOn w:val="DefaultParagraphFont"/>
    <w:uiPriority w:val="99"/>
    <w:rsid w:val="00BB5C77"/>
    <w:rPr>
      <w:rFonts w:ascii="Times New Roman" w:eastAsia="Times New Roman" w:hAnsi="Times New Roman" w:cs="Times New Roman"/>
      <w:sz w:val="20"/>
      <w:szCs w:val="20"/>
    </w:rPr>
  </w:style>
  <w:style w:type="character" w:customStyle="1" w:styleId="NumberedParagraphChar1">
    <w:name w:val="Numbered Paragraph Char1"/>
    <w:basedOn w:val="DefaultParagraphFont"/>
    <w:link w:val="NumberedParagraph"/>
    <w:uiPriority w:val="99"/>
    <w:rsid w:val="00BB5C77"/>
    <w:rPr>
      <w:rFonts w:ascii="Times New Roman" w:eastAsia="Times New Roman" w:hAnsi="Times New Roman" w:cs="Times New Roman"/>
      <w:kern w:val="8"/>
      <w:sz w:val="24"/>
      <w:szCs w:val="24"/>
      <w:lang w:bidi="he-IL"/>
    </w:rPr>
  </w:style>
  <w:style w:type="character" w:customStyle="1" w:styleId="FootnoteTextChar7">
    <w:name w:val="Footnote Text Char7"/>
    <w:aliases w:val="ARM footnote Text Char,Footnote Text Char1 Char,Footnote Text Char2 Char,Footnote Text Char11 Char,Footnote Text Char3 Char,Footnote Text Char4 Char,Footnote Text Char5 Char,Footnote Text Char6 Char,Footnote Text Char12 Char,Cha Char"/>
    <w:uiPriority w:val="99"/>
    <w:rsid w:val="00BB5C77"/>
    <w:rPr>
      <w:rFonts w:ascii="Times New Roman" w:eastAsia="Times New Roman" w:hAnsi="Times New Roman" w:cs="Times New Roman"/>
      <w:noProof/>
      <w:sz w:val="20"/>
      <w:szCs w:val="20"/>
      <w:lang w:val="en-ZA"/>
    </w:rPr>
  </w:style>
  <w:style w:type="paragraph" w:customStyle="1" w:styleId="Govi">
    <w:name w:val="Gov (i)"/>
    <w:basedOn w:val="Normal"/>
    <w:uiPriority w:val="99"/>
    <w:rsid w:val="00BB5C77"/>
    <w:pPr>
      <w:tabs>
        <w:tab w:val="left" w:pos="1620"/>
      </w:tabs>
      <w:spacing w:after="0" w:line="280" w:lineRule="exact"/>
      <w:ind w:left="1620" w:hanging="540"/>
      <w:jc w:val="both"/>
    </w:pPr>
    <w:rPr>
      <w:rFonts w:ascii="Times New Roman" w:eastAsia="Times New Roman" w:hAnsi="Times New Roman" w:cs="Times New Roman"/>
      <w:kern w:val="8"/>
      <w:sz w:val="24"/>
      <w:szCs w:val="24"/>
      <w:lang w:val="en-ZA" w:bidi="he-IL"/>
    </w:rPr>
  </w:style>
  <w:style w:type="character" w:customStyle="1" w:styleId="EmailStyle82">
    <w:name w:val="EmailStyle82"/>
    <w:basedOn w:val="DefaultParagraphFont"/>
    <w:semiHidden/>
    <w:rsid w:val="00BB5C77"/>
    <w:rPr>
      <w:rFonts w:ascii="Arial" w:hAnsi="Arial" w:cs="Arial"/>
      <w:b w:val="0"/>
      <w:bCs w:val="0"/>
      <w:i w:val="0"/>
      <w:iCs w:val="0"/>
      <w:strike w:val="0"/>
      <w:color w:val="000080"/>
      <w:sz w:val="20"/>
      <w:szCs w:val="20"/>
      <w:u w:val="none"/>
    </w:rPr>
  </w:style>
  <w:style w:type="paragraph" w:customStyle="1" w:styleId="Heading4LatinTahoma">
    <w:name w:val="Heading 4 + (Latin) Tahoma"/>
    <w:aliases w:val="11 pt,Not Bold,Italic,Before:  0 pt,After:  6..."/>
    <w:basedOn w:val="Heading3"/>
    <w:uiPriority w:val="99"/>
    <w:rsid w:val="00BB5C77"/>
    <w:pPr>
      <w:keepLines w:val="0"/>
      <w:widowControl w:val="0"/>
      <w:autoSpaceDE w:val="0"/>
      <w:autoSpaceDN w:val="0"/>
      <w:adjustRightInd w:val="0"/>
      <w:spacing w:before="0" w:after="120" w:line="360" w:lineRule="auto"/>
    </w:pPr>
    <w:rPr>
      <w:rFonts w:ascii="Tahoma" w:eastAsia="MS Mincho" w:hAnsi="Tahoma" w:cs="Tahoma"/>
      <w:b w:val="0"/>
      <w:bCs w:val="0"/>
      <w:i/>
      <w:iCs/>
      <w:sz w:val="22"/>
      <w:lang w:val="en-GB" w:eastAsia="en-GB"/>
    </w:rPr>
  </w:style>
  <w:style w:type="character" w:customStyle="1" w:styleId="EmailStyle88">
    <w:name w:val="EmailStyle88"/>
    <w:basedOn w:val="DefaultParagraphFont"/>
    <w:uiPriority w:val="99"/>
    <w:semiHidden/>
    <w:rsid w:val="00BB5C77"/>
    <w:rPr>
      <w:rFonts w:ascii="Arial" w:hAnsi="Arial" w:cs="Arial"/>
      <w:color w:val="000080"/>
      <w:sz w:val="20"/>
      <w:szCs w:val="20"/>
      <w:u w:val="none"/>
    </w:rPr>
  </w:style>
  <w:style w:type="paragraph" w:customStyle="1" w:styleId="Char">
    <w:name w:val="Char"/>
    <w:basedOn w:val="Normal"/>
    <w:next w:val="Normal"/>
    <w:uiPriority w:val="99"/>
    <w:semiHidden/>
    <w:rsid w:val="00BB5C77"/>
    <w:pPr>
      <w:spacing w:after="160" w:line="240" w:lineRule="exact"/>
      <w:jc w:val="both"/>
    </w:pPr>
    <w:rPr>
      <w:rFonts w:ascii="Verdana" w:eastAsia="Times New Roman" w:hAnsi="Verdana" w:cs="Times New Roman"/>
      <w:szCs w:val="20"/>
    </w:rPr>
  </w:style>
  <w:style w:type="paragraph" w:customStyle="1" w:styleId="Char1">
    <w:name w:val="Char1"/>
    <w:basedOn w:val="Normal"/>
    <w:next w:val="Normal"/>
    <w:uiPriority w:val="99"/>
    <w:semiHidden/>
    <w:rsid w:val="00BB5C77"/>
    <w:pPr>
      <w:spacing w:after="160" w:line="240" w:lineRule="exact"/>
      <w:jc w:val="both"/>
    </w:pPr>
    <w:rPr>
      <w:rFonts w:ascii="Verdana" w:eastAsia="Times New Roman" w:hAnsi="Verdana" w:cs="Times New Roman"/>
      <w:szCs w:val="20"/>
    </w:rPr>
  </w:style>
  <w:style w:type="character" w:customStyle="1" w:styleId="EmailStyle91">
    <w:name w:val="EmailStyle91"/>
    <w:basedOn w:val="DefaultParagraphFont"/>
    <w:uiPriority w:val="99"/>
    <w:semiHidden/>
    <w:rsid w:val="00BB5C77"/>
    <w:rPr>
      <w:rFonts w:ascii="Arial" w:hAnsi="Arial" w:cs="Arial"/>
      <w:b w:val="0"/>
      <w:bCs w:val="0"/>
      <w:i w:val="0"/>
      <w:iCs w:val="0"/>
      <w:strike w:val="0"/>
      <w:color w:val="000080"/>
      <w:sz w:val="20"/>
      <w:szCs w:val="20"/>
      <w:u w:val="none"/>
    </w:rPr>
  </w:style>
  <w:style w:type="character" w:customStyle="1" w:styleId="EmailStyle921">
    <w:name w:val="EmailStyle921"/>
    <w:basedOn w:val="DefaultParagraphFont"/>
    <w:uiPriority w:val="99"/>
    <w:semiHidden/>
    <w:rsid w:val="00BB5C77"/>
    <w:rPr>
      <w:rFonts w:ascii="Arial" w:hAnsi="Arial" w:cs="Arial"/>
      <w:color w:val="000080"/>
      <w:sz w:val="20"/>
      <w:szCs w:val="20"/>
      <w:u w:val="none"/>
    </w:rPr>
  </w:style>
  <w:style w:type="paragraph" w:customStyle="1" w:styleId="CM41">
    <w:name w:val="CM41"/>
    <w:basedOn w:val="Default"/>
    <w:next w:val="Default"/>
    <w:uiPriority w:val="99"/>
    <w:rsid w:val="00BB5C77"/>
    <w:rPr>
      <w:rFonts w:ascii="Arial" w:eastAsia="Times New Roman" w:hAnsi="Arial" w:cs="Arial"/>
      <w:color w:val="auto"/>
    </w:rPr>
  </w:style>
  <w:style w:type="paragraph" w:customStyle="1" w:styleId="CM12">
    <w:name w:val="CM12"/>
    <w:basedOn w:val="Default"/>
    <w:next w:val="Default"/>
    <w:uiPriority w:val="99"/>
    <w:rsid w:val="00BB5C77"/>
    <w:pPr>
      <w:spacing w:line="251" w:lineRule="atLeast"/>
    </w:pPr>
    <w:rPr>
      <w:rFonts w:ascii="Arial" w:eastAsia="Times New Roman" w:hAnsi="Arial" w:cs="Arial"/>
      <w:color w:val="auto"/>
    </w:rPr>
  </w:style>
  <w:style w:type="paragraph" w:customStyle="1" w:styleId="CM36">
    <w:name w:val="CM36"/>
    <w:basedOn w:val="Default"/>
    <w:next w:val="Default"/>
    <w:uiPriority w:val="99"/>
    <w:rsid w:val="00BB5C77"/>
    <w:rPr>
      <w:rFonts w:ascii="Arial" w:eastAsia="Times New Roman" w:hAnsi="Arial" w:cs="Arial"/>
      <w:color w:val="auto"/>
    </w:rPr>
  </w:style>
  <w:style w:type="paragraph" w:customStyle="1" w:styleId="CM34">
    <w:name w:val="CM34"/>
    <w:basedOn w:val="Default"/>
    <w:next w:val="Default"/>
    <w:uiPriority w:val="99"/>
    <w:rsid w:val="00BB5C77"/>
    <w:rPr>
      <w:rFonts w:ascii="Arial" w:eastAsia="Times New Roman" w:hAnsi="Arial" w:cs="Arial"/>
      <w:color w:val="auto"/>
    </w:rPr>
  </w:style>
  <w:style w:type="paragraph" w:customStyle="1" w:styleId="CM37">
    <w:name w:val="CM37"/>
    <w:basedOn w:val="Default"/>
    <w:next w:val="Default"/>
    <w:uiPriority w:val="99"/>
    <w:rsid w:val="00BB5C77"/>
    <w:rPr>
      <w:rFonts w:ascii="Arial" w:eastAsia="Times New Roman" w:hAnsi="Arial" w:cs="Arial"/>
      <w:color w:val="auto"/>
    </w:rPr>
  </w:style>
  <w:style w:type="paragraph" w:customStyle="1" w:styleId="CM21">
    <w:name w:val="CM21"/>
    <w:basedOn w:val="Default"/>
    <w:next w:val="Default"/>
    <w:uiPriority w:val="99"/>
    <w:rsid w:val="00BB5C77"/>
    <w:pPr>
      <w:spacing w:line="206" w:lineRule="atLeast"/>
    </w:pPr>
    <w:rPr>
      <w:rFonts w:ascii="Arial" w:eastAsia="Times New Roman" w:hAnsi="Arial" w:cs="Arial"/>
      <w:color w:val="auto"/>
    </w:rPr>
  </w:style>
  <w:style w:type="paragraph" w:customStyle="1" w:styleId="CM40">
    <w:name w:val="CM40"/>
    <w:basedOn w:val="Default"/>
    <w:next w:val="Default"/>
    <w:uiPriority w:val="99"/>
    <w:rsid w:val="00BB5C77"/>
    <w:rPr>
      <w:rFonts w:ascii="Arial" w:eastAsia="Times New Roman" w:hAnsi="Arial" w:cs="Arial"/>
      <w:color w:val="auto"/>
    </w:rPr>
  </w:style>
  <w:style w:type="paragraph" w:styleId="Revision">
    <w:name w:val="Revision"/>
    <w:hidden/>
    <w:uiPriority w:val="99"/>
    <w:semiHidden/>
    <w:rsid w:val="00BB5C77"/>
    <w:pPr>
      <w:spacing w:after="0" w:line="240" w:lineRule="auto"/>
    </w:pPr>
    <w:rPr>
      <w:rFonts w:ascii="Times New Roman" w:eastAsia="Times New Roman" w:hAnsi="Times New Roman" w:cs="Times New Roman"/>
      <w:sz w:val="20"/>
      <w:szCs w:val="20"/>
      <w:lang w:val="en-ZA"/>
    </w:rPr>
  </w:style>
  <w:style w:type="character" w:customStyle="1" w:styleId="EmailStyle101">
    <w:name w:val="EmailStyle101"/>
    <w:basedOn w:val="DefaultParagraphFont"/>
    <w:semiHidden/>
    <w:rsid w:val="00BB5C77"/>
    <w:rPr>
      <w:rFonts w:ascii="Arial" w:hAnsi="Arial" w:cs="Arial"/>
      <w:color w:val="auto"/>
      <w:sz w:val="20"/>
      <w:szCs w:val="20"/>
    </w:rPr>
  </w:style>
  <w:style w:type="character" w:customStyle="1" w:styleId="EmailStyle1021">
    <w:name w:val="EmailStyle1021"/>
    <w:basedOn w:val="DefaultParagraphFont"/>
    <w:semiHidden/>
    <w:rsid w:val="00BB5C77"/>
    <w:rPr>
      <w:rFonts w:ascii="Arial" w:hAnsi="Arial" w:cs="Arial" w:hint="default"/>
      <w:color w:val="000080"/>
      <w:sz w:val="20"/>
      <w:szCs w:val="20"/>
    </w:rPr>
  </w:style>
  <w:style w:type="character" w:customStyle="1" w:styleId="EmailStyle1031">
    <w:name w:val="EmailStyle1031"/>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041">
    <w:name w:val="EmailStyle1041"/>
    <w:basedOn w:val="DefaultParagraphFont"/>
    <w:semiHidden/>
    <w:rsid w:val="00BB5C77"/>
    <w:rPr>
      <w:rFonts w:ascii="Arial" w:hAnsi="Arial" w:cs="Arial"/>
      <w:color w:val="000080"/>
      <w:sz w:val="20"/>
      <w:szCs w:val="20"/>
      <w:u w:val="none"/>
    </w:rPr>
  </w:style>
  <w:style w:type="character" w:customStyle="1" w:styleId="EmailStyle1051">
    <w:name w:val="EmailStyle1051"/>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061">
    <w:name w:val="EmailStyle1061"/>
    <w:basedOn w:val="DefaultParagraphFont"/>
    <w:semiHidden/>
    <w:rsid w:val="00BB5C77"/>
    <w:rPr>
      <w:rFonts w:ascii="Arial" w:hAnsi="Arial" w:cs="Arial"/>
      <w:color w:val="000080"/>
      <w:sz w:val="20"/>
      <w:szCs w:val="20"/>
      <w:u w:val="none"/>
    </w:rPr>
  </w:style>
  <w:style w:type="character" w:customStyle="1" w:styleId="EmailStyle108">
    <w:name w:val="EmailStyle108"/>
    <w:basedOn w:val="DefaultParagraphFont"/>
    <w:semiHidden/>
    <w:rsid w:val="00BB5C77"/>
    <w:rPr>
      <w:rFonts w:ascii="Arial" w:hAnsi="Arial" w:cs="Arial"/>
      <w:color w:val="auto"/>
      <w:sz w:val="20"/>
      <w:szCs w:val="20"/>
    </w:rPr>
  </w:style>
  <w:style w:type="character" w:customStyle="1" w:styleId="EmailStyle1091">
    <w:name w:val="EmailStyle1091"/>
    <w:basedOn w:val="DefaultParagraphFont"/>
    <w:uiPriority w:val="99"/>
    <w:semiHidden/>
    <w:rsid w:val="00BB5C77"/>
    <w:rPr>
      <w:rFonts w:ascii="Arial" w:hAnsi="Arial" w:cs="Arial" w:hint="default"/>
      <w:color w:val="000080"/>
      <w:sz w:val="20"/>
      <w:szCs w:val="20"/>
    </w:rPr>
  </w:style>
  <w:style w:type="character" w:customStyle="1" w:styleId="EmailStyle1101">
    <w:name w:val="EmailStyle1101"/>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111">
    <w:name w:val="EmailStyle1111"/>
    <w:basedOn w:val="DefaultParagraphFont"/>
    <w:semiHidden/>
    <w:rsid w:val="00BB5C77"/>
    <w:rPr>
      <w:rFonts w:ascii="Arial" w:hAnsi="Arial" w:cs="Arial"/>
      <w:color w:val="000080"/>
      <w:sz w:val="20"/>
      <w:szCs w:val="20"/>
      <w:u w:val="none"/>
    </w:rPr>
  </w:style>
  <w:style w:type="character" w:customStyle="1" w:styleId="EmailStyle1121">
    <w:name w:val="EmailStyle1121"/>
    <w:basedOn w:val="DefaultParagraphFont"/>
    <w:semiHidden/>
    <w:rsid w:val="00BB5C77"/>
    <w:rPr>
      <w:rFonts w:ascii="Arial" w:hAnsi="Arial" w:cs="Arial"/>
      <w:b w:val="0"/>
      <w:bCs w:val="0"/>
      <w:i w:val="0"/>
      <w:iCs w:val="0"/>
      <w:strike w:val="0"/>
      <w:color w:val="000080"/>
      <w:sz w:val="20"/>
      <w:szCs w:val="20"/>
      <w:u w:val="none"/>
    </w:rPr>
  </w:style>
  <w:style w:type="paragraph" w:styleId="EndnoteText">
    <w:name w:val="endnote text"/>
    <w:basedOn w:val="Normal"/>
    <w:link w:val="EndnoteTextChar"/>
    <w:uiPriority w:val="99"/>
    <w:unhideWhenUsed/>
    <w:rsid w:val="00BB5C77"/>
    <w:pPr>
      <w:spacing w:after="0" w:line="240" w:lineRule="auto"/>
    </w:pPr>
    <w:rPr>
      <w:rFonts w:ascii="Times New Roman" w:eastAsia="Times New Roman" w:hAnsi="Times New Roman" w:cs="Times New Roman"/>
      <w:szCs w:val="20"/>
      <w:lang w:val="en-ZA"/>
    </w:rPr>
  </w:style>
  <w:style w:type="character" w:customStyle="1" w:styleId="EndnoteTextChar">
    <w:name w:val="Endnote Text Char"/>
    <w:basedOn w:val="DefaultParagraphFont"/>
    <w:link w:val="EndnoteText"/>
    <w:uiPriority w:val="99"/>
    <w:rsid w:val="00BB5C77"/>
    <w:rPr>
      <w:rFonts w:ascii="Times New Roman" w:eastAsia="Times New Roman" w:hAnsi="Times New Roman" w:cs="Times New Roman"/>
      <w:sz w:val="20"/>
      <w:szCs w:val="20"/>
      <w:lang w:val="en-ZA"/>
    </w:rPr>
  </w:style>
  <w:style w:type="character" w:styleId="EndnoteReference">
    <w:name w:val="endnote reference"/>
    <w:basedOn w:val="DefaultParagraphFont"/>
    <w:uiPriority w:val="99"/>
    <w:unhideWhenUsed/>
    <w:rsid w:val="00BB5C77"/>
    <w:rPr>
      <w:vertAlign w:val="superscript"/>
    </w:rPr>
  </w:style>
  <w:style w:type="character" w:customStyle="1" w:styleId="EmailStyle117">
    <w:name w:val="EmailStyle117"/>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19">
    <w:name w:val="EmailStyle119"/>
    <w:basedOn w:val="DefaultParagraphFont"/>
    <w:semiHidden/>
    <w:rsid w:val="00BB5C77"/>
    <w:rPr>
      <w:rFonts w:ascii="Arial" w:hAnsi="Arial" w:cs="Arial"/>
      <w:color w:val="auto"/>
      <w:sz w:val="20"/>
      <w:szCs w:val="20"/>
    </w:rPr>
  </w:style>
  <w:style w:type="character" w:customStyle="1" w:styleId="EmailStyle120">
    <w:name w:val="EmailStyle120"/>
    <w:basedOn w:val="DefaultParagraphFont"/>
    <w:semiHidden/>
    <w:rsid w:val="00BB5C77"/>
    <w:rPr>
      <w:rFonts w:ascii="Arial" w:hAnsi="Arial" w:cs="Arial" w:hint="default"/>
      <w:color w:val="000080"/>
      <w:sz w:val="20"/>
      <w:szCs w:val="20"/>
    </w:rPr>
  </w:style>
  <w:style w:type="character" w:customStyle="1" w:styleId="EmailStyle121">
    <w:name w:val="EmailStyle121"/>
    <w:basedOn w:val="DefaultParagraphFont"/>
    <w:uiPriority w:val="99"/>
    <w:semiHidden/>
    <w:rsid w:val="00BB5C77"/>
    <w:rPr>
      <w:rFonts w:ascii="Arial" w:hAnsi="Arial" w:cs="Arial"/>
      <w:color w:val="000080"/>
      <w:sz w:val="20"/>
      <w:szCs w:val="20"/>
      <w:u w:val="none"/>
    </w:rPr>
  </w:style>
  <w:style w:type="character" w:customStyle="1" w:styleId="EmailStyle122">
    <w:name w:val="EmailStyle122"/>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23">
    <w:name w:val="EmailStyle123"/>
    <w:basedOn w:val="DefaultParagraphFont"/>
    <w:semiHidden/>
    <w:rsid w:val="00BB5C77"/>
    <w:rPr>
      <w:rFonts w:ascii="Arial" w:hAnsi="Arial" w:cs="Arial"/>
      <w:color w:val="000080"/>
      <w:sz w:val="20"/>
      <w:szCs w:val="20"/>
      <w:u w:val="none"/>
    </w:rPr>
  </w:style>
  <w:style w:type="character" w:customStyle="1" w:styleId="EmailStyle124">
    <w:name w:val="EmailStyle124"/>
    <w:basedOn w:val="DefaultParagraphFont"/>
    <w:uiPriority w:val="99"/>
    <w:semiHidden/>
    <w:rsid w:val="00BB5C77"/>
    <w:rPr>
      <w:rFonts w:ascii="Arial" w:hAnsi="Arial" w:cs="Arial"/>
      <w:color w:val="auto"/>
      <w:sz w:val="20"/>
      <w:szCs w:val="20"/>
    </w:rPr>
  </w:style>
  <w:style w:type="character" w:customStyle="1" w:styleId="EmailStyle125">
    <w:name w:val="EmailStyle125"/>
    <w:basedOn w:val="DefaultParagraphFont"/>
    <w:semiHidden/>
    <w:rsid w:val="00BB5C77"/>
    <w:rPr>
      <w:rFonts w:ascii="Arial" w:hAnsi="Arial" w:cs="Arial" w:hint="default"/>
      <w:color w:val="000080"/>
      <w:sz w:val="20"/>
      <w:szCs w:val="20"/>
    </w:rPr>
  </w:style>
  <w:style w:type="character" w:customStyle="1" w:styleId="EmailStyle126">
    <w:name w:val="EmailStyle126"/>
    <w:basedOn w:val="DefaultParagraphFont"/>
    <w:uiPriority w:val="99"/>
    <w:semiHidden/>
    <w:rsid w:val="00BB5C77"/>
    <w:rPr>
      <w:rFonts w:ascii="Arial" w:hAnsi="Arial" w:cs="Arial"/>
      <w:b w:val="0"/>
      <w:bCs w:val="0"/>
      <w:i w:val="0"/>
      <w:iCs w:val="0"/>
      <w:strike w:val="0"/>
      <w:color w:val="000080"/>
      <w:sz w:val="20"/>
      <w:szCs w:val="20"/>
      <w:u w:val="none"/>
    </w:rPr>
  </w:style>
  <w:style w:type="character" w:customStyle="1" w:styleId="EmailStyle127">
    <w:name w:val="EmailStyle127"/>
    <w:basedOn w:val="DefaultParagraphFont"/>
    <w:semiHidden/>
    <w:rsid w:val="00BB5C77"/>
    <w:rPr>
      <w:rFonts w:ascii="Arial" w:hAnsi="Arial" w:cs="Arial"/>
      <w:color w:val="000080"/>
      <w:sz w:val="20"/>
      <w:szCs w:val="20"/>
      <w:u w:val="none"/>
    </w:rPr>
  </w:style>
  <w:style w:type="character" w:customStyle="1" w:styleId="EmailStyle128">
    <w:name w:val="EmailStyle128"/>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29">
    <w:name w:val="EmailStyle129"/>
    <w:basedOn w:val="DefaultParagraphFont"/>
    <w:semiHidden/>
    <w:rsid w:val="00BB5C77"/>
    <w:rPr>
      <w:rFonts w:ascii="Arial" w:hAnsi="Arial" w:cs="Arial"/>
      <w:color w:val="000080"/>
      <w:sz w:val="20"/>
      <w:szCs w:val="20"/>
      <w:u w:val="none"/>
    </w:rPr>
  </w:style>
  <w:style w:type="character" w:customStyle="1" w:styleId="EmailStyle130">
    <w:name w:val="EmailStyle130"/>
    <w:basedOn w:val="DefaultParagraphFont"/>
    <w:uiPriority w:val="99"/>
    <w:semiHidden/>
    <w:rsid w:val="00BB5C77"/>
    <w:rPr>
      <w:rFonts w:ascii="Arial" w:hAnsi="Arial" w:cs="Arial"/>
      <w:color w:val="auto"/>
      <w:sz w:val="20"/>
      <w:szCs w:val="20"/>
    </w:rPr>
  </w:style>
  <w:style w:type="character" w:customStyle="1" w:styleId="EmailStyle131">
    <w:name w:val="EmailStyle131"/>
    <w:basedOn w:val="DefaultParagraphFont"/>
    <w:uiPriority w:val="99"/>
    <w:semiHidden/>
    <w:rsid w:val="00BB5C77"/>
    <w:rPr>
      <w:rFonts w:ascii="Arial" w:hAnsi="Arial" w:cs="Arial" w:hint="default"/>
      <w:color w:val="000080"/>
      <w:sz w:val="20"/>
      <w:szCs w:val="20"/>
    </w:rPr>
  </w:style>
  <w:style w:type="character" w:customStyle="1" w:styleId="EmailStyle132">
    <w:name w:val="EmailStyle132"/>
    <w:basedOn w:val="DefaultParagraphFont"/>
    <w:uiPriority w:val="99"/>
    <w:semiHidden/>
    <w:rsid w:val="00BB5C77"/>
    <w:rPr>
      <w:rFonts w:ascii="Arial" w:hAnsi="Arial" w:cs="Arial"/>
      <w:b w:val="0"/>
      <w:bCs w:val="0"/>
      <w:i w:val="0"/>
      <w:iCs w:val="0"/>
      <w:strike w:val="0"/>
      <w:color w:val="000080"/>
      <w:sz w:val="20"/>
      <w:szCs w:val="20"/>
      <w:u w:val="none"/>
    </w:rPr>
  </w:style>
  <w:style w:type="character" w:customStyle="1" w:styleId="EmailStyle133">
    <w:name w:val="EmailStyle133"/>
    <w:basedOn w:val="DefaultParagraphFont"/>
    <w:semiHidden/>
    <w:rsid w:val="00BB5C77"/>
    <w:rPr>
      <w:rFonts w:ascii="Arial" w:hAnsi="Arial" w:cs="Arial"/>
      <w:color w:val="000080"/>
      <w:sz w:val="20"/>
      <w:szCs w:val="20"/>
      <w:u w:val="none"/>
    </w:rPr>
  </w:style>
  <w:style w:type="character" w:customStyle="1" w:styleId="EmailStyle134">
    <w:name w:val="EmailStyle134"/>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35">
    <w:name w:val="EmailStyle135"/>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62">
    <w:name w:val="EmailStyle162"/>
    <w:basedOn w:val="DefaultParagraphFont"/>
    <w:semiHidden/>
    <w:rsid w:val="00BB5C77"/>
    <w:rPr>
      <w:rFonts w:ascii="Arial" w:hAnsi="Arial" w:cs="Arial"/>
      <w:color w:val="auto"/>
      <w:sz w:val="20"/>
      <w:szCs w:val="20"/>
    </w:rPr>
  </w:style>
  <w:style w:type="character" w:customStyle="1" w:styleId="EmailStyle163">
    <w:name w:val="EmailStyle163"/>
    <w:basedOn w:val="DefaultParagraphFont"/>
    <w:semiHidden/>
    <w:rsid w:val="00BB5C77"/>
    <w:rPr>
      <w:rFonts w:ascii="Arial" w:hAnsi="Arial" w:cs="Arial" w:hint="default"/>
      <w:color w:val="000080"/>
      <w:sz w:val="20"/>
      <w:szCs w:val="20"/>
    </w:rPr>
  </w:style>
  <w:style w:type="character" w:customStyle="1" w:styleId="EmailStyle164">
    <w:name w:val="EmailStyle164"/>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65">
    <w:name w:val="EmailStyle165"/>
    <w:basedOn w:val="DefaultParagraphFont"/>
    <w:semiHidden/>
    <w:rsid w:val="00BB5C77"/>
    <w:rPr>
      <w:rFonts w:ascii="Arial" w:hAnsi="Arial" w:cs="Arial"/>
      <w:color w:val="000080"/>
      <w:sz w:val="20"/>
      <w:szCs w:val="20"/>
      <w:u w:val="none"/>
    </w:rPr>
  </w:style>
  <w:style w:type="character" w:customStyle="1" w:styleId="EmailStyle166">
    <w:name w:val="EmailStyle166"/>
    <w:basedOn w:val="DefaultParagraphFont"/>
    <w:uiPriority w:val="99"/>
    <w:semiHidden/>
    <w:rsid w:val="00BB5C77"/>
    <w:rPr>
      <w:rFonts w:ascii="Arial" w:hAnsi="Arial" w:cs="Arial"/>
      <w:b w:val="0"/>
      <w:bCs w:val="0"/>
      <w:i w:val="0"/>
      <w:iCs w:val="0"/>
      <w:strike w:val="0"/>
      <w:color w:val="000080"/>
      <w:sz w:val="20"/>
      <w:szCs w:val="20"/>
      <w:u w:val="none"/>
    </w:rPr>
  </w:style>
  <w:style w:type="character" w:customStyle="1" w:styleId="EmailStyle167">
    <w:name w:val="EmailStyle167"/>
    <w:basedOn w:val="DefaultParagraphFont"/>
    <w:uiPriority w:val="99"/>
    <w:semiHidden/>
    <w:rsid w:val="00BB5C77"/>
    <w:rPr>
      <w:rFonts w:ascii="Arial" w:hAnsi="Arial" w:cs="Arial"/>
      <w:color w:val="000080"/>
      <w:sz w:val="20"/>
      <w:szCs w:val="20"/>
      <w:u w:val="none"/>
    </w:rPr>
  </w:style>
  <w:style w:type="character" w:customStyle="1" w:styleId="EmailStyle168">
    <w:name w:val="EmailStyle168"/>
    <w:basedOn w:val="DefaultParagraphFont"/>
    <w:uiPriority w:val="99"/>
    <w:semiHidden/>
    <w:rsid w:val="00BB5C77"/>
    <w:rPr>
      <w:rFonts w:ascii="Arial" w:hAnsi="Arial" w:cs="Arial"/>
      <w:color w:val="auto"/>
      <w:sz w:val="20"/>
      <w:szCs w:val="20"/>
    </w:rPr>
  </w:style>
  <w:style w:type="character" w:customStyle="1" w:styleId="EmailStyle169">
    <w:name w:val="EmailStyle169"/>
    <w:basedOn w:val="DefaultParagraphFont"/>
    <w:semiHidden/>
    <w:rsid w:val="00BB5C77"/>
    <w:rPr>
      <w:rFonts w:ascii="Arial" w:hAnsi="Arial" w:cs="Arial" w:hint="default"/>
      <w:color w:val="000080"/>
      <w:sz w:val="20"/>
      <w:szCs w:val="20"/>
    </w:rPr>
  </w:style>
  <w:style w:type="character" w:customStyle="1" w:styleId="EmailStyle170">
    <w:name w:val="EmailStyle170"/>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71">
    <w:name w:val="EmailStyle171"/>
    <w:basedOn w:val="DefaultParagraphFont"/>
    <w:semiHidden/>
    <w:rsid w:val="00BB5C77"/>
    <w:rPr>
      <w:rFonts w:ascii="Arial" w:hAnsi="Arial" w:cs="Arial"/>
      <w:color w:val="000080"/>
      <w:sz w:val="20"/>
      <w:szCs w:val="20"/>
      <w:u w:val="none"/>
    </w:rPr>
  </w:style>
  <w:style w:type="character" w:customStyle="1" w:styleId="EmailStyle172">
    <w:name w:val="EmailStyle172"/>
    <w:basedOn w:val="DefaultParagraphFont"/>
    <w:uiPriority w:val="99"/>
    <w:semiHidden/>
    <w:rsid w:val="00BB5C77"/>
    <w:rPr>
      <w:rFonts w:ascii="Arial" w:hAnsi="Arial" w:cs="Arial"/>
      <w:b w:val="0"/>
      <w:bCs w:val="0"/>
      <w:i w:val="0"/>
      <w:iCs w:val="0"/>
      <w:strike w:val="0"/>
      <w:color w:val="000080"/>
      <w:sz w:val="20"/>
      <w:szCs w:val="20"/>
      <w:u w:val="none"/>
    </w:rPr>
  </w:style>
  <w:style w:type="character" w:customStyle="1" w:styleId="EmailStyle173">
    <w:name w:val="EmailStyle173"/>
    <w:basedOn w:val="DefaultParagraphFont"/>
    <w:semiHidden/>
    <w:rsid w:val="00BB5C77"/>
    <w:rPr>
      <w:rFonts w:ascii="Arial" w:hAnsi="Arial" w:cs="Arial"/>
      <w:b w:val="0"/>
      <w:bCs w:val="0"/>
      <w:i w:val="0"/>
      <w:iCs w:val="0"/>
      <w:strike w:val="0"/>
      <w:color w:val="000080"/>
      <w:sz w:val="20"/>
      <w:szCs w:val="20"/>
      <w:u w:val="none"/>
    </w:rPr>
  </w:style>
  <w:style w:type="table" w:customStyle="1" w:styleId="LightList-Accent11">
    <w:name w:val="Light List - Accent 11"/>
    <w:basedOn w:val="TableNormal"/>
    <w:uiPriority w:val="61"/>
    <w:rsid w:val="00BB5C77"/>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Normal1">
    <w:name w:val="Normal1"/>
    <w:basedOn w:val="Normal"/>
    <w:rsid w:val="00BB5C77"/>
    <w:pPr>
      <w:spacing w:before="180" w:after="0" w:line="240" w:lineRule="auto"/>
      <w:jc w:val="both"/>
    </w:pPr>
    <w:rPr>
      <w:rFonts w:ascii="Verdana" w:eastAsia="Times New Roman" w:hAnsi="Verdana" w:cs="Times New Roman"/>
      <w:color w:val="000000"/>
      <w:sz w:val="18"/>
      <w:szCs w:val="18"/>
      <w:lang w:val="en-ZA" w:eastAsia="en-ZA"/>
    </w:rPr>
  </w:style>
  <w:style w:type="paragraph" w:customStyle="1" w:styleId="footnote-link">
    <w:name w:val="footnote-link"/>
    <w:basedOn w:val="Normal"/>
    <w:rsid w:val="00BB5C77"/>
    <w:pPr>
      <w:spacing w:before="180" w:after="0" w:line="240" w:lineRule="auto"/>
      <w:jc w:val="both"/>
    </w:pPr>
    <w:rPr>
      <w:rFonts w:ascii="Verdana" w:eastAsia="Times New Roman" w:hAnsi="Verdana" w:cs="Times New Roman"/>
      <w:color w:val="660000"/>
      <w:sz w:val="18"/>
      <w:szCs w:val="18"/>
      <w:u w:val="single"/>
      <w:lang w:val="en-ZA" w:eastAsia="en-ZA"/>
    </w:rPr>
  </w:style>
  <w:style w:type="paragraph" w:customStyle="1" w:styleId="AGheading1CustomColorRGB059121">
    <w:name w:val="AG heading 1 + Custom Color(RGB(059121))"/>
    <w:basedOn w:val="Heading1"/>
    <w:rsid w:val="00BB5C77"/>
    <w:pPr>
      <w:keepLines w:val="0"/>
      <w:pBdr>
        <w:top w:val="none" w:sz="0" w:space="0" w:color="auto"/>
        <w:left w:val="none" w:sz="0" w:space="0" w:color="auto"/>
        <w:bottom w:val="none" w:sz="0" w:space="0" w:color="auto"/>
        <w:right w:val="none" w:sz="0" w:space="0" w:color="auto"/>
      </w:pBdr>
      <w:shd w:val="clear" w:color="auto" w:fill="auto"/>
      <w:spacing w:after="400" w:line="240" w:lineRule="auto"/>
    </w:pPr>
    <w:rPr>
      <w:rFonts w:ascii="Arial" w:eastAsia="Times New Roman" w:hAnsi="Arial" w:cs="Arial"/>
      <w:color w:val="003B79"/>
      <w:kern w:val="32"/>
      <w:sz w:val="36"/>
      <w:szCs w:val="32"/>
      <w:lang w:val="en-ZA"/>
    </w:rPr>
  </w:style>
  <w:style w:type="paragraph" w:styleId="ListBullet">
    <w:name w:val="List Bullet"/>
    <w:basedOn w:val="BodyText"/>
    <w:rsid w:val="00BB5C77"/>
    <w:pPr>
      <w:numPr>
        <w:numId w:val="136"/>
      </w:numPr>
      <w:spacing w:before="130" w:after="130" w:line="240" w:lineRule="auto"/>
    </w:pPr>
    <w:rPr>
      <w:rFonts w:ascii="Times New Roman" w:eastAsia="Calibri" w:hAnsi="Times New Roman"/>
      <w:sz w:val="20"/>
      <w:lang w:val="en-ZA" w:bidi="ar-SA"/>
    </w:rPr>
  </w:style>
  <w:style w:type="numbering" w:customStyle="1" w:styleId="NoList15">
    <w:name w:val="No List15"/>
    <w:next w:val="NoList"/>
    <w:uiPriority w:val="99"/>
    <w:semiHidden/>
    <w:unhideWhenUsed/>
    <w:rsid w:val="00BB5C77"/>
  </w:style>
  <w:style w:type="character" w:customStyle="1" w:styleId="EmailStyle361">
    <w:name w:val="EmailStyle361"/>
    <w:basedOn w:val="DefaultParagraphFont"/>
    <w:semiHidden/>
    <w:rsid w:val="00BB5C77"/>
    <w:rPr>
      <w:rFonts w:ascii="Arial" w:hAnsi="Arial" w:cs="Arial"/>
      <w:color w:val="auto"/>
      <w:sz w:val="20"/>
      <w:szCs w:val="20"/>
    </w:rPr>
  </w:style>
  <w:style w:type="table" w:customStyle="1" w:styleId="TableGrid110">
    <w:name w:val="Table Grid110"/>
    <w:basedOn w:val="TableNormal"/>
    <w:next w:val="TableGrid"/>
    <w:uiPriority w:val="59"/>
    <w:rsid w:val="00BB5C77"/>
    <w:pPr>
      <w:spacing w:after="0" w:line="240" w:lineRule="auto"/>
    </w:pPr>
    <w:rPr>
      <w:rFonts w:ascii="Times New Roman" w:eastAsia="Times New Roman" w:hAnsi="Times New Roman" w:cs="Times New Roman"/>
      <w:sz w:val="20"/>
      <w:szCs w:val="20"/>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Style451">
    <w:name w:val="EmailStyle451"/>
    <w:basedOn w:val="DefaultParagraphFont"/>
    <w:semiHidden/>
    <w:rsid w:val="00BB5C77"/>
    <w:rPr>
      <w:rFonts w:ascii="Arial" w:hAnsi="Arial" w:cs="Arial" w:hint="default"/>
      <w:color w:val="000080"/>
      <w:sz w:val="20"/>
      <w:szCs w:val="20"/>
    </w:rPr>
  </w:style>
  <w:style w:type="numbering" w:customStyle="1" w:styleId="11111">
    <w:name w:val="1 / 1.1.11"/>
    <w:basedOn w:val="NoList"/>
    <w:next w:val="111111"/>
    <w:uiPriority w:val="99"/>
    <w:rsid w:val="00BB5C77"/>
  </w:style>
  <w:style w:type="character" w:customStyle="1" w:styleId="EmailStyle871">
    <w:name w:val="EmailStyle871"/>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911">
    <w:name w:val="EmailStyle911"/>
    <w:basedOn w:val="DefaultParagraphFont"/>
    <w:semiHidden/>
    <w:rsid w:val="00BB5C77"/>
    <w:rPr>
      <w:rFonts w:ascii="Arial" w:hAnsi="Arial" w:cs="Arial"/>
      <w:color w:val="000080"/>
      <w:sz w:val="20"/>
      <w:szCs w:val="20"/>
      <w:u w:val="none"/>
    </w:rPr>
  </w:style>
  <w:style w:type="character" w:customStyle="1" w:styleId="EmailStyle941">
    <w:name w:val="EmailStyle941"/>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951">
    <w:name w:val="EmailStyle951"/>
    <w:basedOn w:val="DefaultParagraphFont"/>
    <w:uiPriority w:val="99"/>
    <w:semiHidden/>
    <w:rsid w:val="00BB5C77"/>
    <w:rPr>
      <w:rFonts w:ascii="Arial" w:hAnsi="Arial" w:cs="Arial"/>
      <w:color w:val="000080"/>
      <w:sz w:val="20"/>
      <w:szCs w:val="20"/>
      <w:u w:val="none"/>
    </w:rPr>
  </w:style>
  <w:style w:type="character" w:customStyle="1" w:styleId="EmailStyle104">
    <w:name w:val="EmailStyle104"/>
    <w:basedOn w:val="DefaultParagraphFont"/>
    <w:uiPriority w:val="99"/>
    <w:semiHidden/>
    <w:rsid w:val="00BB5C77"/>
    <w:rPr>
      <w:rFonts w:ascii="Arial" w:hAnsi="Arial" w:cs="Arial"/>
      <w:color w:val="auto"/>
      <w:sz w:val="20"/>
      <w:szCs w:val="20"/>
    </w:rPr>
  </w:style>
  <w:style w:type="character" w:customStyle="1" w:styleId="EmailStyle105">
    <w:name w:val="EmailStyle105"/>
    <w:basedOn w:val="DefaultParagraphFont"/>
    <w:semiHidden/>
    <w:rsid w:val="00BB5C77"/>
    <w:rPr>
      <w:rFonts w:ascii="Arial" w:hAnsi="Arial" w:cs="Arial" w:hint="default"/>
      <w:color w:val="000080"/>
      <w:sz w:val="20"/>
      <w:szCs w:val="20"/>
    </w:rPr>
  </w:style>
  <w:style w:type="character" w:customStyle="1" w:styleId="EmailStyle106">
    <w:name w:val="EmailStyle106"/>
    <w:basedOn w:val="DefaultParagraphFont"/>
    <w:uiPriority w:val="99"/>
    <w:semiHidden/>
    <w:rsid w:val="00BB5C77"/>
    <w:rPr>
      <w:rFonts w:ascii="Arial" w:hAnsi="Arial" w:cs="Arial"/>
      <w:b w:val="0"/>
      <w:bCs w:val="0"/>
      <w:i w:val="0"/>
      <w:iCs w:val="0"/>
      <w:strike w:val="0"/>
      <w:color w:val="000080"/>
      <w:sz w:val="20"/>
      <w:szCs w:val="20"/>
      <w:u w:val="none"/>
    </w:rPr>
  </w:style>
  <w:style w:type="character" w:customStyle="1" w:styleId="EmailStyle1071">
    <w:name w:val="EmailStyle1071"/>
    <w:basedOn w:val="DefaultParagraphFont"/>
    <w:uiPriority w:val="99"/>
    <w:semiHidden/>
    <w:rsid w:val="00BB5C77"/>
    <w:rPr>
      <w:rFonts w:ascii="Arial" w:hAnsi="Arial" w:cs="Arial"/>
      <w:color w:val="000080"/>
      <w:sz w:val="20"/>
      <w:szCs w:val="20"/>
      <w:u w:val="none"/>
    </w:rPr>
  </w:style>
  <w:style w:type="character" w:customStyle="1" w:styleId="EmailStyle1081">
    <w:name w:val="EmailStyle1081"/>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09">
    <w:name w:val="EmailStyle109"/>
    <w:basedOn w:val="DefaultParagraphFont"/>
    <w:semiHidden/>
    <w:rsid w:val="00BB5C77"/>
    <w:rPr>
      <w:rFonts w:ascii="Arial" w:hAnsi="Arial" w:cs="Arial"/>
      <w:color w:val="000080"/>
      <w:sz w:val="20"/>
      <w:szCs w:val="20"/>
      <w:u w:val="none"/>
    </w:rPr>
  </w:style>
  <w:style w:type="character" w:customStyle="1" w:styleId="EmailStyle111">
    <w:name w:val="EmailStyle111"/>
    <w:basedOn w:val="DefaultParagraphFont"/>
    <w:uiPriority w:val="99"/>
    <w:semiHidden/>
    <w:rsid w:val="00BB5C77"/>
    <w:rPr>
      <w:rFonts w:ascii="Arial" w:hAnsi="Arial" w:cs="Arial"/>
      <w:color w:val="auto"/>
      <w:sz w:val="20"/>
      <w:szCs w:val="20"/>
    </w:rPr>
  </w:style>
  <w:style w:type="character" w:customStyle="1" w:styleId="EmailStyle112">
    <w:name w:val="EmailStyle112"/>
    <w:basedOn w:val="DefaultParagraphFont"/>
    <w:semiHidden/>
    <w:rsid w:val="00BB5C77"/>
    <w:rPr>
      <w:rFonts w:ascii="Arial" w:hAnsi="Arial" w:cs="Arial" w:hint="default"/>
      <w:color w:val="000080"/>
      <w:sz w:val="20"/>
      <w:szCs w:val="20"/>
    </w:rPr>
  </w:style>
  <w:style w:type="character" w:customStyle="1" w:styleId="EmailStyle1131">
    <w:name w:val="EmailStyle1131"/>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141">
    <w:name w:val="EmailStyle1141"/>
    <w:basedOn w:val="DefaultParagraphFont"/>
    <w:uiPriority w:val="99"/>
    <w:semiHidden/>
    <w:rsid w:val="00BB5C77"/>
    <w:rPr>
      <w:rFonts w:ascii="Arial" w:hAnsi="Arial" w:cs="Arial"/>
      <w:color w:val="000080"/>
      <w:sz w:val="20"/>
      <w:szCs w:val="20"/>
      <w:u w:val="none"/>
    </w:rPr>
  </w:style>
  <w:style w:type="character" w:customStyle="1" w:styleId="EmailStyle1151">
    <w:name w:val="EmailStyle1151"/>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201">
    <w:name w:val="EmailStyle1201"/>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221">
    <w:name w:val="EmailStyle1221"/>
    <w:basedOn w:val="DefaultParagraphFont"/>
    <w:semiHidden/>
    <w:rsid w:val="00BB5C77"/>
    <w:rPr>
      <w:rFonts w:ascii="Arial" w:hAnsi="Arial" w:cs="Arial"/>
      <w:color w:val="auto"/>
      <w:sz w:val="20"/>
      <w:szCs w:val="20"/>
    </w:rPr>
  </w:style>
  <w:style w:type="character" w:customStyle="1" w:styleId="EmailStyle1231">
    <w:name w:val="EmailStyle1231"/>
    <w:basedOn w:val="DefaultParagraphFont"/>
    <w:uiPriority w:val="99"/>
    <w:semiHidden/>
    <w:rsid w:val="00BB5C77"/>
    <w:rPr>
      <w:rFonts w:ascii="Arial" w:hAnsi="Arial" w:cs="Arial" w:hint="default"/>
      <w:color w:val="000080"/>
      <w:sz w:val="20"/>
      <w:szCs w:val="20"/>
    </w:rPr>
  </w:style>
  <w:style w:type="character" w:customStyle="1" w:styleId="EmailStyle1241">
    <w:name w:val="EmailStyle1241"/>
    <w:basedOn w:val="DefaultParagraphFont"/>
    <w:semiHidden/>
    <w:rsid w:val="00BB5C77"/>
    <w:rPr>
      <w:rFonts w:ascii="Arial" w:hAnsi="Arial" w:cs="Arial"/>
      <w:color w:val="000080"/>
      <w:sz w:val="20"/>
      <w:szCs w:val="20"/>
      <w:u w:val="none"/>
    </w:rPr>
  </w:style>
  <w:style w:type="character" w:customStyle="1" w:styleId="EmailStyle1251">
    <w:name w:val="EmailStyle1251"/>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261">
    <w:name w:val="EmailStyle1261"/>
    <w:basedOn w:val="DefaultParagraphFont"/>
    <w:semiHidden/>
    <w:rsid w:val="00BB5C77"/>
    <w:rPr>
      <w:rFonts w:ascii="Arial" w:hAnsi="Arial" w:cs="Arial"/>
      <w:color w:val="000080"/>
      <w:sz w:val="20"/>
      <w:szCs w:val="20"/>
      <w:u w:val="none"/>
    </w:rPr>
  </w:style>
  <w:style w:type="character" w:customStyle="1" w:styleId="EmailStyle1271">
    <w:name w:val="EmailStyle1271"/>
    <w:basedOn w:val="DefaultParagraphFont"/>
    <w:uiPriority w:val="99"/>
    <w:semiHidden/>
    <w:rsid w:val="00BB5C77"/>
    <w:rPr>
      <w:rFonts w:ascii="Arial" w:hAnsi="Arial" w:cs="Arial"/>
      <w:color w:val="auto"/>
      <w:sz w:val="20"/>
      <w:szCs w:val="20"/>
    </w:rPr>
  </w:style>
  <w:style w:type="character" w:customStyle="1" w:styleId="EmailStyle1281">
    <w:name w:val="EmailStyle1281"/>
    <w:basedOn w:val="DefaultParagraphFont"/>
    <w:uiPriority w:val="99"/>
    <w:semiHidden/>
    <w:rsid w:val="00BB5C77"/>
    <w:rPr>
      <w:rFonts w:ascii="Arial" w:hAnsi="Arial" w:cs="Arial" w:hint="default"/>
      <w:color w:val="000080"/>
      <w:sz w:val="20"/>
      <w:szCs w:val="20"/>
    </w:rPr>
  </w:style>
  <w:style w:type="character" w:customStyle="1" w:styleId="EmailStyle1291">
    <w:name w:val="EmailStyle1291"/>
    <w:basedOn w:val="DefaultParagraphFont"/>
    <w:uiPriority w:val="99"/>
    <w:semiHidden/>
    <w:rsid w:val="00BB5C77"/>
    <w:rPr>
      <w:rFonts w:ascii="Arial" w:hAnsi="Arial" w:cs="Arial"/>
      <w:b w:val="0"/>
      <w:bCs w:val="0"/>
      <w:i w:val="0"/>
      <w:iCs w:val="0"/>
      <w:strike w:val="0"/>
      <w:color w:val="000080"/>
      <w:sz w:val="20"/>
      <w:szCs w:val="20"/>
      <w:u w:val="none"/>
    </w:rPr>
  </w:style>
  <w:style w:type="character" w:customStyle="1" w:styleId="EmailStyle1301">
    <w:name w:val="EmailStyle1301"/>
    <w:basedOn w:val="DefaultParagraphFont"/>
    <w:semiHidden/>
    <w:rsid w:val="00BB5C77"/>
    <w:rPr>
      <w:rFonts w:ascii="Arial" w:hAnsi="Arial" w:cs="Arial"/>
      <w:color w:val="000080"/>
      <w:sz w:val="20"/>
      <w:szCs w:val="20"/>
      <w:u w:val="none"/>
    </w:rPr>
  </w:style>
  <w:style w:type="character" w:customStyle="1" w:styleId="EmailStyle1311">
    <w:name w:val="EmailStyle1311"/>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321">
    <w:name w:val="EmailStyle1321"/>
    <w:basedOn w:val="DefaultParagraphFont"/>
    <w:semiHidden/>
    <w:rsid w:val="00BB5C77"/>
    <w:rPr>
      <w:rFonts w:ascii="Arial" w:hAnsi="Arial" w:cs="Arial"/>
      <w:color w:val="000080"/>
      <w:sz w:val="20"/>
      <w:szCs w:val="20"/>
      <w:u w:val="none"/>
    </w:rPr>
  </w:style>
  <w:style w:type="character" w:customStyle="1" w:styleId="EmailStyle1331">
    <w:name w:val="EmailStyle1331"/>
    <w:basedOn w:val="DefaultParagraphFont"/>
    <w:uiPriority w:val="99"/>
    <w:semiHidden/>
    <w:rsid w:val="00BB5C77"/>
    <w:rPr>
      <w:rFonts w:ascii="Arial" w:hAnsi="Arial" w:cs="Arial"/>
      <w:color w:val="auto"/>
      <w:sz w:val="20"/>
      <w:szCs w:val="20"/>
    </w:rPr>
  </w:style>
  <w:style w:type="character" w:customStyle="1" w:styleId="EmailStyle1341">
    <w:name w:val="EmailStyle1341"/>
    <w:basedOn w:val="DefaultParagraphFont"/>
    <w:semiHidden/>
    <w:rsid w:val="00BB5C77"/>
    <w:rPr>
      <w:rFonts w:ascii="Arial" w:hAnsi="Arial" w:cs="Arial" w:hint="default"/>
      <w:color w:val="000080"/>
      <w:sz w:val="20"/>
      <w:szCs w:val="20"/>
    </w:rPr>
  </w:style>
  <w:style w:type="character" w:customStyle="1" w:styleId="EmailStyle1351">
    <w:name w:val="EmailStyle1351"/>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361">
    <w:name w:val="EmailStyle1361"/>
    <w:basedOn w:val="DefaultParagraphFont"/>
    <w:uiPriority w:val="99"/>
    <w:semiHidden/>
    <w:rsid w:val="00BB5C77"/>
    <w:rPr>
      <w:rFonts w:ascii="Arial" w:hAnsi="Arial" w:cs="Arial"/>
      <w:color w:val="000080"/>
      <w:sz w:val="20"/>
      <w:szCs w:val="20"/>
      <w:u w:val="none"/>
    </w:rPr>
  </w:style>
  <w:style w:type="character" w:customStyle="1" w:styleId="EmailStyle1371">
    <w:name w:val="EmailStyle1371"/>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381">
    <w:name w:val="EmailStyle1381"/>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631">
    <w:name w:val="EmailStyle1631"/>
    <w:basedOn w:val="DefaultParagraphFont"/>
    <w:semiHidden/>
    <w:rsid w:val="00BB5C77"/>
    <w:rPr>
      <w:rFonts w:ascii="Arial" w:hAnsi="Arial" w:cs="Arial"/>
      <w:color w:val="auto"/>
      <w:sz w:val="20"/>
      <w:szCs w:val="20"/>
    </w:rPr>
  </w:style>
  <w:style w:type="character" w:customStyle="1" w:styleId="EmailStyle1641">
    <w:name w:val="EmailStyle1641"/>
    <w:basedOn w:val="DefaultParagraphFont"/>
    <w:semiHidden/>
    <w:rsid w:val="00BB5C77"/>
    <w:rPr>
      <w:rFonts w:ascii="Arial" w:hAnsi="Arial" w:cs="Arial" w:hint="default"/>
      <w:color w:val="000080"/>
      <w:sz w:val="20"/>
      <w:szCs w:val="20"/>
    </w:rPr>
  </w:style>
  <w:style w:type="character" w:customStyle="1" w:styleId="EmailStyle1651">
    <w:name w:val="EmailStyle1651"/>
    <w:basedOn w:val="DefaultParagraphFont"/>
    <w:uiPriority w:val="99"/>
    <w:semiHidden/>
    <w:rsid w:val="00BB5C77"/>
    <w:rPr>
      <w:rFonts w:ascii="Arial" w:hAnsi="Arial" w:cs="Arial"/>
      <w:b w:val="0"/>
      <w:bCs w:val="0"/>
      <w:i w:val="0"/>
      <w:iCs w:val="0"/>
      <w:strike w:val="0"/>
      <w:color w:val="000080"/>
      <w:sz w:val="20"/>
      <w:szCs w:val="20"/>
      <w:u w:val="none"/>
    </w:rPr>
  </w:style>
  <w:style w:type="character" w:customStyle="1" w:styleId="EmailStyle1661">
    <w:name w:val="EmailStyle1661"/>
    <w:basedOn w:val="DefaultParagraphFont"/>
    <w:uiPriority w:val="99"/>
    <w:semiHidden/>
    <w:rsid w:val="00BB5C77"/>
    <w:rPr>
      <w:rFonts w:ascii="Arial" w:hAnsi="Arial" w:cs="Arial"/>
      <w:color w:val="000080"/>
      <w:sz w:val="20"/>
      <w:szCs w:val="20"/>
      <w:u w:val="none"/>
    </w:rPr>
  </w:style>
  <w:style w:type="character" w:customStyle="1" w:styleId="EmailStyle1671">
    <w:name w:val="EmailStyle1671"/>
    <w:basedOn w:val="DefaultParagraphFont"/>
    <w:uiPriority w:val="99"/>
    <w:semiHidden/>
    <w:rsid w:val="00BB5C77"/>
    <w:rPr>
      <w:rFonts w:ascii="Arial" w:hAnsi="Arial" w:cs="Arial"/>
      <w:b w:val="0"/>
      <w:bCs w:val="0"/>
      <w:i w:val="0"/>
      <w:iCs w:val="0"/>
      <w:strike w:val="0"/>
      <w:color w:val="000080"/>
      <w:sz w:val="20"/>
      <w:szCs w:val="20"/>
      <w:u w:val="none"/>
    </w:rPr>
  </w:style>
  <w:style w:type="character" w:customStyle="1" w:styleId="EmailStyle1681">
    <w:name w:val="EmailStyle1681"/>
    <w:basedOn w:val="DefaultParagraphFont"/>
    <w:semiHidden/>
    <w:rsid w:val="00BB5C77"/>
    <w:rPr>
      <w:rFonts w:ascii="Arial" w:hAnsi="Arial" w:cs="Arial"/>
      <w:color w:val="000080"/>
      <w:sz w:val="20"/>
      <w:szCs w:val="20"/>
      <w:u w:val="none"/>
    </w:rPr>
  </w:style>
  <w:style w:type="character" w:customStyle="1" w:styleId="EmailStyle1691">
    <w:name w:val="EmailStyle1691"/>
    <w:basedOn w:val="DefaultParagraphFont"/>
    <w:semiHidden/>
    <w:rsid w:val="00BB5C77"/>
    <w:rPr>
      <w:rFonts w:ascii="Arial" w:hAnsi="Arial" w:cs="Arial"/>
      <w:color w:val="auto"/>
      <w:sz w:val="20"/>
      <w:szCs w:val="20"/>
    </w:rPr>
  </w:style>
  <w:style w:type="character" w:customStyle="1" w:styleId="EmailStyle1701">
    <w:name w:val="EmailStyle1701"/>
    <w:basedOn w:val="DefaultParagraphFont"/>
    <w:semiHidden/>
    <w:rsid w:val="00BB5C77"/>
    <w:rPr>
      <w:rFonts w:ascii="Arial" w:hAnsi="Arial" w:cs="Arial" w:hint="default"/>
      <w:color w:val="000080"/>
      <w:sz w:val="20"/>
      <w:szCs w:val="20"/>
    </w:rPr>
  </w:style>
  <w:style w:type="character" w:customStyle="1" w:styleId="EmailStyle1711">
    <w:name w:val="EmailStyle1711"/>
    <w:basedOn w:val="DefaultParagraphFont"/>
    <w:uiPriority w:val="99"/>
    <w:semiHidden/>
    <w:rsid w:val="00BB5C77"/>
    <w:rPr>
      <w:rFonts w:ascii="Arial" w:hAnsi="Arial" w:cs="Arial"/>
      <w:b w:val="0"/>
      <w:bCs w:val="0"/>
      <w:i w:val="0"/>
      <w:iCs w:val="0"/>
      <w:strike w:val="0"/>
      <w:color w:val="000080"/>
      <w:sz w:val="20"/>
      <w:szCs w:val="20"/>
      <w:u w:val="none"/>
    </w:rPr>
  </w:style>
  <w:style w:type="character" w:customStyle="1" w:styleId="EmailStyle1721">
    <w:name w:val="EmailStyle1721"/>
    <w:basedOn w:val="DefaultParagraphFont"/>
    <w:semiHidden/>
    <w:rsid w:val="00BB5C77"/>
    <w:rPr>
      <w:rFonts w:ascii="Arial" w:hAnsi="Arial" w:cs="Arial"/>
      <w:color w:val="000080"/>
      <w:sz w:val="20"/>
      <w:szCs w:val="20"/>
      <w:u w:val="none"/>
    </w:rPr>
  </w:style>
  <w:style w:type="character" w:customStyle="1" w:styleId="EmailStyle1731">
    <w:name w:val="EmailStyle1731"/>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741">
    <w:name w:val="EmailStyle1741"/>
    <w:basedOn w:val="DefaultParagraphFont"/>
    <w:semiHidden/>
    <w:rsid w:val="00BB5C77"/>
    <w:rPr>
      <w:rFonts w:ascii="Arial" w:hAnsi="Arial" w:cs="Arial"/>
      <w:b w:val="0"/>
      <w:bCs w:val="0"/>
      <w:i w:val="0"/>
      <w:iCs w:val="0"/>
      <w:strike w:val="0"/>
      <w:color w:val="000080"/>
      <w:sz w:val="20"/>
      <w:szCs w:val="20"/>
      <w:u w:val="none"/>
    </w:rPr>
  </w:style>
  <w:style w:type="table" w:customStyle="1" w:styleId="LightList-Accent111">
    <w:name w:val="Light List - Accent 111"/>
    <w:basedOn w:val="TableNormal"/>
    <w:uiPriority w:val="61"/>
    <w:rsid w:val="00BB5C77"/>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EmailStyle881">
    <w:name w:val="EmailStyle881"/>
    <w:basedOn w:val="DefaultParagraphFont"/>
    <w:uiPriority w:val="99"/>
    <w:semiHidden/>
    <w:rsid w:val="00BB5C77"/>
    <w:rPr>
      <w:rFonts w:ascii="Arial" w:hAnsi="Arial" w:cs="Arial"/>
      <w:color w:val="000080"/>
      <w:sz w:val="20"/>
      <w:szCs w:val="20"/>
      <w:u w:val="none"/>
    </w:rPr>
  </w:style>
  <w:style w:type="numbering" w:customStyle="1" w:styleId="NoList21">
    <w:name w:val="No List21"/>
    <w:next w:val="NoList"/>
    <w:uiPriority w:val="99"/>
    <w:semiHidden/>
    <w:unhideWhenUsed/>
    <w:rsid w:val="00BB5C77"/>
  </w:style>
  <w:style w:type="character" w:customStyle="1" w:styleId="EmailStyle36">
    <w:name w:val="EmailStyle36"/>
    <w:basedOn w:val="DefaultParagraphFont"/>
    <w:semiHidden/>
    <w:rsid w:val="00BB5C77"/>
    <w:rPr>
      <w:rFonts w:ascii="Arial" w:hAnsi="Arial" w:cs="Arial"/>
      <w:color w:val="auto"/>
      <w:sz w:val="20"/>
      <w:szCs w:val="20"/>
    </w:rPr>
  </w:style>
  <w:style w:type="table" w:customStyle="1" w:styleId="TableGrid210">
    <w:name w:val="Table Grid210"/>
    <w:basedOn w:val="TableNormal"/>
    <w:next w:val="TableGrid"/>
    <w:uiPriority w:val="59"/>
    <w:rsid w:val="00BB5C77"/>
    <w:pPr>
      <w:spacing w:after="0" w:line="240" w:lineRule="auto"/>
    </w:pPr>
    <w:rPr>
      <w:rFonts w:ascii="Times New Roman" w:eastAsia="Times New Roman" w:hAnsi="Times New Roman" w:cs="Times New Roman"/>
      <w:sz w:val="20"/>
      <w:szCs w:val="20"/>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Style45">
    <w:name w:val="EmailStyle45"/>
    <w:basedOn w:val="DefaultParagraphFont"/>
    <w:semiHidden/>
    <w:rsid w:val="00BB5C77"/>
    <w:rPr>
      <w:rFonts w:ascii="Arial" w:hAnsi="Arial" w:cs="Arial" w:hint="default"/>
      <w:color w:val="000080"/>
      <w:sz w:val="20"/>
      <w:szCs w:val="20"/>
    </w:rPr>
  </w:style>
  <w:style w:type="numbering" w:customStyle="1" w:styleId="11112">
    <w:name w:val="1 / 1.1.12"/>
    <w:basedOn w:val="NoList"/>
    <w:next w:val="111111"/>
    <w:uiPriority w:val="99"/>
    <w:rsid w:val="00BB5C77"/>
    <w:pPr>
      <w:numPr>
        <w:numId w:val="134"/>
      </w:numPr>
    </w:pPr>
  </w:style>
  <w:style w:type="character" w:customStyle="1" w:styleId="EmailStyle87">
    <w:name w:val="EmailStyle87"/>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94">
    <w:name w:val="EmailStyle94"/>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95">
    <w:name w:val="EmailStyle95"/>
    <w:basedOn w:val="DefaultParagraphFont"/>
    <w:uiPriority w:val="99"/>
    <w:semiHidden/>
    <w:rsid w:val="00BB5C77"/>
    <w:rPr>
      <w:rFonts w:ascii="Arial" w:hAnsi="Arial" w:cs="Arial"/>
      <w:color w:val="000080"/>
      <w:sz w:val="20"/>
      <w:szCs w:val="20"/>
      <w:u w:val="none"/>
    </w:rPr>
  </w:style>
  <w:style w:type="character" w:customStyle="1" w:styleId="EmailStyle107">
    <w:name w:val="EmailStyle107"/>
    <w:basedOn w:val="DefaultParagraphFont"/>
    <w:uiPriority w:val="99"/>
    <w:semiHidden/>
    <w:rsid w:val="00BB5C77"/>
    <w:rPr>
      <w:rFonts w:ascii="Arial" w:hAnsi="Arial" w:cs="Arial"/>
      <w:color w:val="000080"/>
      <w:sz w:val="20"/>
      <w:szCs w:val="20"/>
      <w:u w:val="none"/>
    </w:rPr>
  </w:style>
  <w:style w:type="character" w:customStyle="1" w:styleId="EmailStyle113">
    <w:name w:val="EmailStyle113"/>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14">
    <w:name w:val="EmailStyle114"/>
    <w:basedOn w:val="DefaultParagraphFont"/>
    <w:uiPriority w:val="99"/>
    <w:semiHidden/>
    <w:rsid w:val="00BB5C77"/>
    <w:rPr>
      <w:rFonts w:ascii="Arial" w:hAnsi="Arial" w:cs="Arial"/>
      <w:color w:val="000080"/>
      <w:sz w:val="20"/>
      <w:szCs w:val="20"/>
      <w:u w:val="none"/>
    </w:rPr>
  </w:style>
  <w:style w:type="character" w:customStyle="1" w:styleId="EmailStyle115">
    <w:name w:val="EmailStyle115"/>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36">
    <w:name w:val="EmailStyle136"/>
    <w:basedOn w:val="DefaultParagraphFont"/>
    <w:uiPriority w:val="99"/>
    <w:semiHidden/>
    <w:rsid w:val="00BB5C77"/>
    <w:rPr>
      <w:rFonts w:ascii="Arial" w:hAnsi="Arial" w:cs="Arial"/>
      <w:color w:val="000080"/>
      <w:sz w:val="20"/>
      <w:szCs w:val="20"/>
      <w:u w:val="none"/>
    </w:rPr>
  </w:style>
  <w:style w:type="character" w:customStyle="1" w:styleId="EmailStyle137">
    <w:name w:val="EmailStyle137"/>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38">
    <w:name w:val="EmailStyle138"/>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74">
    <w:name w:val="EmailStyle174"/>
    <w:basedOn w:val="DefaultParagraphFont"/>
    <w:semiHidden/>
    <w:rsid w:val="00BB5C77"/>
    <w:rPr>
      <w:rFonts w:ascii="Arial" w:hAnsi="Arial" w:cs="Arial"/>
      <w:b w:val="0"/>
      <w:bCs w:val="0"/>
      <w:i w:val="0"/>
      <w:iCs w:val="0"/>
      <w:strike w:val="0"/>
      <w:color w:val="000080"/>
      <w:sz w:val="20"/>
      <w:szCs w:val="20"/>
      <w:u w:val="none"/>
    </w:rPr>
  </w:style>
  <w:style w:type="table" w:customStyle="1" w:styleId="LightList-Accent112">
    <w:name w:val="Light List - Accent 112"/>
    <w:basedOn w:val="TableNormal"/>
    <w:uiPriority w:val="61"/>
    <w:rsid w:val="00BB5C77"/>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BodyText1">
    <w:name w:val="Body Text1"/>
    <w:basedOn w:val="NoSpacing"/>
    <w:link w:val="BodytextChar0"/>
    <w:qFormat/>
    <w:rsid w:val="00BB5C77"/>
    <w:pPr>
      <w:spacing w:before="120" w:after="120"/>
      <w:jc w:val="left"/>
    </w:pPr>
    <w:rPr>
      <w:rFonts w:ascii="Arial" w:eastAsia="Calibri" w:hAnsi="Arial"/>
      <w:color w:val="97857B"/>
      <w:sz w:val="20"/>
      <w:szCs w:val="22"/>
      <w:lang w:val="en-US"/>
    </w:rPr>
  </w:style>
  <w:style w:type="character" w:customStyle="1" w:styleId="BodytextChar0">
    <w:name w:val="Body text Char"/>
    <w:basedOn w:val="DefaultParagraphFont"/>
    <w:link w:val="BodyText1"/>
    <w:rsid w:val="00BB5C77"/>
    <w:rPr>
      <w:rFonts w:ascii="Arial" w:eastAsia="Calibri" w:hAnsi="Arial" w:cs="Times New Roman"/>
      <w:color w:val="97857B"/>
      <w:sz w:val="20"/>
    </w:rPr>
  </w:style>
  <w:style w:type="table" w:customStyle="1" w:styleId="TableGrid31">
    <w:name w:val="Table Grid31"/>
    <w:basedOn w:val="TableNormal"/>
    <w:next w:val="TableGrid"/>
    <w:uiPriority w:val="59"/>
    <w:rsid w:val="00BB5C7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BB5C77"/>
  </w:style>
  <w:style w:type="table" w:customStyle="1" w:styleId="TableGrid51">
    <w:name w:val="Table Grid51"/>
    <w:basedOn w:val="TableNormal"/>
    <w:next w:val="TableGrid"/>
    <w:uiPriority w:val="59"/>
    <w:rsid w:val="00BB5C77"/>
    <w:pPr>
      <w:spacing w:after="0" w:line="240" w:lineRule="auto"/>
    </w:pPr>
    <w:rPr>
      <w:rFonts w:ascii="Calibri" w:eastAsia="Calibri" w:hAnsi="Calibri" w:cs="Times New Roman"/>
      <w:sz w:val="20"/>
      <w:szCs w:val="20"/>
      <w:lang w:eastAsia="en-Z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EmailStyle231">
    <w:name w:val="EmailStyle231"/>
    <w:basedOn w:val="DefaultParagraphFont"/>
    <w:semiHidden/>
    <w:rsid w:val="00BB5C77"/>
    <w:rPr>
      <w:rFonts w:ascii="Arial" w:hAnsi="Arial" w:cs="Arial"/>
      <w:color w:val="auto"/>
      <w:sz w:val="20"/>
      <w:szCs w:val="20"/>
    </w:rPr>
  </w:style>
  <w:style w:type="character" w:customStyle="1" w:styleId="EmailStyle301">
    <w:name w:val="EmailStyle301"/>
    <w:basedOn w:val="DefaultParagraphFont"/>
    <w:semiHidden/>
    <w:rsid w:val="00BB5C77"/>
    <w:rPr>
      <w:rFonts w:ascii="Arial" w:hAnsi="Arial" w:cs="Arial" w:hint="default"/>
      <w:color w:val="000080"/>
      <w:sz w:val="20"/>
      <w:szCs w:val="20"/>
    </w:rPr>
  </w:style>
  <w:style w:type="character" w:customStyle="1" w:styleId="EmailStyle821">
    <w:name w:val="EmailStyle821"/>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92">
    <w:name w:val="EmailStyle92"/>
    <w:basedOn w:val="DefaultParagraphFont"/>
    <w:uiPriority w:val="99"/>
    <w:semiHidden/>
    <w:rsid w:val="00BB5C77"/>
    <w:rPr>
      <w:rFonts w:ascii="Arial" w:hAnsi="Arial" w:cs="Arial"/>
      <w:color w:val="000080"/>
      <w:sz w:val="20"/>
      <w:szCs w:val="20"/>
      <w:u w:val="none"/>
    </w:rPr>
  </w:style>
  <w:style w:type="character" w:customStyle="1" w:styleId="EmailStyle1011">
    <w:name w:val="EmailStyle1011"/>
    <w:basedOn w:val="DefaultParagraphFont"/>
    <w:semiHidden/>
    <w:rsid w:val="00BB5C77"/>
    <w:rPr>
      <w:rFonts w:ascii="Arial" w:hAnsi="Arial" w:cs="Arial"/>
      <w:color w:val="auto"/>
      <w:sz w:val="20"/>
      <w:szCs w:val="20"/>
    </w:rPr>
  </w:style>
  <w:style w:type="character" w:customStyle="1" w:styleId="EmailStyle102">
    <w:name w:val="EmailStyle102"/>
    <w:basedOn w:val="DefaultParagraphFont"/>
    <w:semiHidden/>
    <w:rsid w:val="00BB5C77"/>
    <w:rPr>
      <w:rFonts w:ascii="Arial" w:hAnsi="Arial" w:cs="Arial" w:hint="default"/>
      <w:color w:val="000080"/>
      <w:sz w:val="20"/>
      <w:szCs w:val="20"/>
    </w:rPr>
  </w:style>
  <w:style w:type="character" w:customStyle="1" w:styleId="EmailStyle103">
    <w:name w:val="EmailStyle103"/>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10">
    <w:name w:val="EmailStyle110"/>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171">
    <w:name w:val="EmailStyle1171"/>
    <w:basedOn w:val="DefaultParagraphFont"/>
    <w:semiHidden/>
    <w:rsid w:val="00BB5C77"/>
    <w:rPr>
      <w:rFonts w:ascii="Arial" w:hAnsi="Arial" w:cs="Arial"/>
      <w:b w:val="0"/>
      <w:bCs w:val="0"/>
      <w:i w:val="0"/>
      <w:iCs w:val="0"/>
      <w:strike w:val="0"/>
      <w:color w:val="000080"/>
      <w:sz w:val="20"/>
      <w:szCs w:val="20"/>
      <w:u w:val="none"/>
    </w:rPr>
  </w:style>
  <w:style w:type="character" w:customStyle="1" w:styleId="EmailStyle1191">
    <w:name w:val="EmailStyle1191"/>
    <w:basedOn w:val="DefaultParagraphFont"/>
    <w:semiHidden/>
    <w:rsid w:val="00BB5C77"/>
    <w:rPr>
      <w:rFonts w:ascii="Arial" w:hAnsi="Arial" w:cs="Arial"/>
      <w:color w:val="auto"/>
      <w:sz w:val="20"/>
      <w:szCs w:val="20"/>
    </w:rPr>
  </w:style>
  <w:style w:type="character" w:customStyle="1" w:styleId="EmailStyle1211">
    <w:name w:val="EmailStyle1211"/>
    <w:basedOn w:val="DefaultParagraphFont"/>
    <w:uiPriority w:val="99"/>
    <w:semiHidden/>
    <w:rsid w:val="00BB5C77"/>
    <w:rPr>
      <w:rFonts w:ascii="Arial" w:hAnsi="Arial" w:cs="Arial"/>
      <w:color w:val="000080"/>
      <w:sz w:val="20"/>
      <w:szCs w:val="20"/>
      <w:u w:val="none"/>
    </w:rPr>
  </w:style>
  <w:style w:type="character" w:customStyle="1" w:styleId="EmailStyle1621">
    <w:name w:val="EmailStyle1621"/>
    <w:basedOn w:val="DefaultParagraphFont"/>
    <w:semiHidden/>
    <w:rsid w:val="00BB5C77"/>
    <w:rPr>
      <w:rFonts w:ascii="Arial" w:hAnsi="Arial" w:cs="Arial"/>
      <w:color w:val="auto"/>
      <w:sz w:val="20"/>
      <w:szCs w:val="20"/>
    </w:rPr>
  </w:style>
  <w:style w:type="numbering" w:customStyle="1" w:styleId="NoList41">
    <w:name w:val="No List41"/>
    <w:next w:val="NoList"/>
    <w:uiPriority w:val="99"/>
    <w:semiHidden/>
    <w:unhideWhenUsed/>
    <w:rsid w:val="00BB5C77"/>
  </w:style>
  <w:style w:type="table" w:customStyle="1" w:styleId="TableGrid61">
    <w:name w:val="Table Grid61"/>
    <w:basedOn w:val="TableNormal"/>
    <w:next w:val="TableGrid"/>
    <w:uiPriority w:val="59"/>
    <w:rsid w:val="00BB5C77"/>
    <w:pPr>
      <w:spacing w:after="0" w:line="240" w:lineRule="auto"/>
    </w:pPr>
    <w:rPr>
      <w:rFonts w:ascii="Calibri" w:eastAsia="Calibri" w:hAnsi="Calibri" w:cs="Times New Roman"/>
      <w:sz w:val="20"/>
      <w:szCs w:val="20"/>
      <w:lang w:eastAsia="en-Z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lue4">
    <w:name w:val="blue4"/>
    <w:basedOn w:val="DefaultParagraphFont"/>
    <w:rsid w:val="00BB5C77"/>
    <w:rPr>
      <w:b/>
      <w:bCs/>
      <w:color w:val="5999B8"/>
    </w:rPr>
  </w:style>
  <w:style w:type="numbering" w:customStyle="1" w:styleId="NoList51">
    <w:name w:val="No List51"/>
    <w:next w:val="NoList"/>
    <w:uiPriority w:val="99"/>
    <w:semiHidden/>
    <w:unhideWhenUsed/>
    <w:rsid w:val="00BB5C77"/>
  </w:style>
  <w:style w:type="table" w:customStyle="1" w:styleId="TableGrid71">
    <w:name w:val="Table Grid71"/>
    <w:basedOn w:val="TableNormal"/>
    <w:next w:val="TableGrid"/>
    <w:uiPriority w:val="59"/>
    <w:rsid w:val="00BB5C77"/>
    <w:pPr>
      <w:spacing w:after="0" w:line="240" w:lineRule="auto"/>
    </w:pPr>
    <w:rPr>
      <w:rFonts w:ascii="Times New Roman" w:eastAsia="Times New Roman" w:hAnsi="Times New Roman" w:cs="Times New Roman"/>
      <w:sz w:val="20"/>
      <w:szCs w:val="20"/>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BB5C7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80">
    <w:name w:val="Table Grid 8"/>
    <w:basedOn w:val="TableNormal"/>
    <w:rsid w:val="00BB5C77"/>
    <w:pPr>
      <w:spacing w:after="0" w:line="240" w:lineRule="auto"/>
    </w:pPr>
    <w:rPr>
      <w:rFonts w:ascii="Times New Roman" w:eastAsia="Times New Roman" w:hAnsi="Times New Roman" w:cs="Times New Roman"/>
      <w:sz w:val="20"/>
      <w:szCs w:val="20"/>
      <w:lang w:val="en-ZA" w:eastAsia="en-ZA"/>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Grid91">
    <w:name w:val="Table Grid91"/>
    <w:basedOn w:val="TableNormal"/>
    <w:next w:val="TableGrid"/>
    <w:uiPriority w:val="59"/>
    <w:rsid w:val="00BB5C7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BB5C7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BB5C77"/>
    <w:pPr>
      <w:spacing w:after="0" w:line="240" w:lineRule="auto"/>
    </w:pPr>
    <w:rPr>
      <w:rFonts w:ascii="Times New Roman" w:eastAsia="Times New Roman" w:hAnsi="Times New Roman" w:cs="Times New Roman"/>
      <w:sz w:val="20"/>
      <w:szCs w:val="20"/>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3-Accent51">
    <w:name w:val="Medium Grid 3 - Accent 51"/>
    <w:basedOn w:val="TableNormal"/>
    <w:next w:val="MediumGrid3-Accent5"/>
    <w:uiPriority w:val="69"/>
    <w:rsid w:val="00BB5C77"/>
    <w:pPr>
      <w:spacing w:after="0" w:line="240" w:lineRule="auto"/>
    </w:pPr>
    <w:rPr>
      <w:lang w:val="en-Z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LightShading1">
    <w:name w:val="Light Shading1"/>
    <w:basedOn w:val="TableNormal"/>
    <w:uiPriority w:val="60"/>
    <w:rsid w:val="00BB5C77"/>
    <w:pPr>
      <w:spacing w:after="0" w:line="240" w:lineRule="auto"/>
    </w:pPr>
    <w:rPr>
      <w:color w:val="000000"/>
      <w:lang w:val="en-Z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bulletlist">
    <w:name w:val="bullet list"/>
    <w:basedOn w:val="BodyText1"/>
    <w:next w:val="BodyText1"/>
    <w:link w:val="bulletlistChar"/>
    <w:qFormat/>
    <w:rsid w:val="00BB5C77"/>
    <w:pPr>
      <w:numPr>
        <w:numId w:val="137"/>
      </w:numPr>
    </w:pPr>
  </w:style>
  <w:style w:type="character" w:customStyle="1" w:styleId="bulletlistChar">
    <w:name w:val="bullet list Char"/>
    <w:basedOn w:val="BodytextChar0"/>
    <w:link w:val="bulletlist"/>
    <w:rsid w:val="00BB5C77"/>
    <w:rPr>
      <w:rFonts w:ascii="Arial" w:eastAsia="Calibri" w:hAnsi="Arial" w:cs="Times New Roman"/>
      <w:color w:val="97857B"/>
      <w:sz w:val="20"/>
    </w:rPr>
  </w:style>
  <w:style w:type="paragraph" w:customStyle="1" w:styleId="BodyText20">
    <w:name w:val="Body Text2"/>
    <w:basedOn w:val="NoSpacing"/>
    <w:qFormat/>
    <w:rsid w:val="00BB5C77"/>
    <w:pPr>
      <w:spacing w:before="120" w:after="120"/>
      <w:jc w:val="left"/>
    </w:pPr>
    <w:rPr>
      <w:rFonts w:ascii="Arial" w:eastAsia="Calibri" w:hAnsi="Arial"/>
      <w:color w:val="97857B"/>
      <w:sz w:val="20"/>
      <w:szCs w:val="22"/>
      <w:lang w:val="en-US"/>
    </w:rPr>
  </w:style>
  <w:style w:type="paragraph" w:customStyle="1" w:styleId="DecimalAligned">
    <w:name w:val="Decimal Aligned"/>
    <w:basedOn w:val="Normal"/>
    <w:uiPriority w:val="40"/>
    <w:qFormat/>
    <w:rsid w:val="00BB5C77"/>
    <w:pPr>
      <w:tabs>
        <w:tab w:val="decimal" w:pos="360"/>
      </w:tabs>
    </w:pPr>
    <w:rPr>
      <w:sz w:val="22"/>
      <w:lang w:eastAsia="ja-JP"/>
    </w:rPr>
  </w:style>
  <w:style w:type="character" w:customStyle="1" w:styleId="SubtleEmphasis1">
    <w:name w:val="Subtle Emphasis1"/>
    <w:basedOn w:val="DefaultParagraphFont"/>
    <w:uiPriority w:val="19"/>
    <w:qFormat/>
    <w:rsid w:val="00BB5C77"/>
    <w:rPr>
      <w:i/>
      <w:iCs/>
      <w:color w:val="7F7F7F"/>
    </w:rPr>
  </w:style>
  <w:style w:type="table" w:customStyle="1" w:styleId="MediumShading2-Accent51">
    <w:name w:val="Medium Shading 2 - Accent 51"/>
    <w:basedOn w:val="TableNormal"/>
    <w:next w:val="MediumShading2-Accent5"/>
    <w:uiPriority w:val="64"/>
    <w:rsid w:val="00BB5C77"/>
    <w:pPr>
      <w:spacing w:after="0" w:line="240" w:lineRule="auto"/>
    </w:pPr>
    <w:rPr>
      <w:rFonts w:eastAsia="Times New Roman"/>
      <w:lang w:eastAsia="ja-JP"/>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000000"/>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1-Accent11">
    <w:name w:val="Medium Shading 1 - Accent 11"/>
    <w:basedOn w:val="TableNormal"/>
    <w:uiPriority w:val="63"/>
    <w:rsid w:val="00BB5C77"/>
    <w:pPr>
      <w:spacing w:after="0" w:line="240" w:lineRule="auto"/>
    </w:pPr>
    <w:rPr>
      <w:lang w:val="en-ZA"/>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Calendar3">
    <w:name w:val="Calendar 3"/>
    <w:basedOn w:val="TableNormal"/>
    <w:uiPriority w:val="99"/>
    <w:qFormat/>
    <w:rsid w:val="00BB5C77"/>
    <w:pPr>
      <w:spacing w:after="0" w:line="240" w:lineRule="auto"/>
      <w:jc w:val="right"/>
    </w:pPr>
    <w:rPr>
      <w:rFonts w:ascii="Calibri Light" w:eastAsia="Times New Roman" w:hAnsi="Calibri Light"/>
      <w:color w:val="7F7F7F"/>
      <w:lang w:eastAsia="ja-JP"/>
    </w:rPr>
    <w:tblPr/>
    <w:tblStylePr w:type="firstRow">
      <w:pPr>
        <w:wordWrap/>
        <w:jc w:val="right"/>
      </w:pPr>
      <w:rPr>
        <w:color w:val="2E74B5"/>
        <w:sz w:val="44"/>
      </w:rPr>
    </w:tblStylePr>
    <w:tblStylePr w:type="firstCol">
      <w:rPr>
        <w:color w:val="2E74B5"/>
      </w:rPr>
    </w:tblStylePr>
    <w:tblStylePr w:type="lastCol">
      <w:rPr>
        <w:color w:val="2E74B5"/>
      </w:rPr>
    </w:tblStylePr>
  </w:style>
  <w:style w:type="table" w:customStyle="1" w:styleId="LightShading-Accent11">
    <w:name w:val="Light Shading - Accent 11"/>
    <w:basedOn w:val="TableNormal"/>
    <w:uiPriority w:val="60"/>
    <w:rsid w:val="00BB5C77"/>
    <w:pPr>
      <w:spacing w:after="0" w:line="240" w:lineRule="auto"/>
    </w:pPr>
    <w:rPr>
      <w:color w:val="2E74B5"/>
      <w:lang w:val="en-ZA"/>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paragraph" w:customStyle="1" w:styleId="1ahead">
    <w:name w:val="1ahead"/>
    <w:basedOn w:val="Normal"/>
    <w:autoRedefine/>
    <w:qFormat/>
    <w:rsid w:val="00BB5C77"/>
    <w:pPr>
      <w:spacing w:before="360" w:after="120" w:line="240" w:lineRule="auto"/>
    </w:pPr>
    <w:rPr>
      <w:rFonts w:ascii="Arial" w:eastAsia="Times New Roman" w:hAnsi="Arial" w:cs="Times New Roman"/>
      <w:b/>
      <w:sz w:val="22"/>
      <w:szCs w:val="20"/>
      <w:lang w:val="en-ZA" w:eastAsia="en-ZA"/>
    </w:rPr>
  </w:style>
  <w:style w:type="paragraph" w:customStyle="1" w:styleId="FindingHeading1">
    <w:name w:val="Finding Heading 1"/>
    <w:basedOn w:val="Normal"/>
    <w:rsid w:val="00BB5C77"/>
    <w:pPr>
      <w:numPr>
        <w:numId w:val="138"/>
      </w:numPr>
      <w:spacing w:before="120" w:after="120" w:line="240" w:lineRule="auto"/>
      <w:outlineLvl w:val="0"/>
    </w:pPr>
    <w:rPr>
      <w:rFonts w:ascii="Arial" w:eastAsia="Times New Roman" w:hAnsi="Arial" w:cs="Times New Roman"/>
      <w:b/>
      <w:sz w:val="22"/>
      <w:szCs w:val="20"/>
    </w:rPr>
  </w:style>
  <w:style w:type="paragraph" w:customStyle="1" w:styleId="FindingHeading2">
    <w:name w:val="Finding Heading 2"/>
    <w:basedOn w:val="FindingHeading1"/>
    <w:next w:val="Normal"/>
    <w:rsid w:val="00BB5C77"/>
    <w:pPr>
      <w:numPr>
        <w:ilvl w:val="1"/>
      </w:numPr>
      <w:outlineLvl w:val="1"/>
    </w:pPr>
  </w:style>
  <w:style w:type="table" w:customStyle="1" w:styleId="TableGrid0">
    <w:name w:val="TableGrid"/>
    <w:rsid w:val="00BB5C77"/>
    <w:pPr>
      <w:spacing w:after="0" w:line="240" w:lineRule="auto"/>
    </w:pPr>
    <w:rPr>
      <w:rFonts w:eastAsia="Times New Roman"/>
      <w:lang w:val="en-ZA" w:eastAsia="en-ZA"/>
    </w:rPr>
    <w:tblPr>
      <w:tblCellMar>
        <w:top w:w="0" w:type="dxa"/>
        <w:left w:w="0" w:type="dxa"/>
        <w:bottom w:w="0" w:type="dxa"/>
        <w:right w:w="0" w:type="dxa"/>
      </w:tblCellMar>
    </w:tblPr>
  </w:style>
  <w:style w:type="table" w:customStyle="1" w:styleId="GridTable4-Accent31">
    <w:name w:val="Grid Table 4 - Accent 31"/>
    <w:basedOn w:val="TableNormal"/>
    <w:next w:val="GridTable4-Accent3"/>
    <w:uiPriority w:val="49"/>
    <w:rsid w:val="00BB5C77"/>
    <w:pPr>
      <w:spacing w:after="0" w:line="240" w:lineRule="auto"/>
    </w:pPr>
    <w:rPr>
      <w:rFonts w:eastAsia="Times New Roman"/>
      <w:lang w:val="en-ZA" w:eastAsia="en-ZA"/>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ridTable5Dark1">
    <w:name w:val="Grid Table 5 Dark1"/>
    <w:basedOn w:val="TableNormal"/>
    <w:next w:val="GridTable5Dark"/>
    <w:uiPriority w:val="50"/>
    <w:rsid w:val="00BB5C77"/>
    <w:pPr>
      <w:spacing w:after="0" w:line="240" w:lineRule="auto"/>
    </w:pPr>
    <w:rPr>
      <w:rFonts w:eastAsia="Times New Roman"/>
      <w:lang w:val="en-ZA" w:eastAsia="en-Z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ListTable4-Accent31">
    <w:name w:val="List Table 4 - Accent 31"/>
    <w:basedOn w:val="TableNormal"/>
    <w:next w:val="ListTable4-Accent3"/>
    <w:uiPriority w:val="49"/>
    <w:rsid w:val="00BB5C77"/>
    <w:pPr>
      <w:spacing w:after="0" w:line="240" w:lineRule="auto"/>
    </w:pPr>
    <w:rPr>
      <w:rFonts w:eastAsia="Times New Roman"/>
      <w:lang w:val="en-ZA" w:eastAsia="en-ZA"/>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ListTable5Dark-Accent31">
    <w:name w:val="List Table 5 Dark - Accent 31"/>
    <w:basedOn w:val="TableNormal"/>
    <w:next w:val="ListTable5Dark-Accent3"/>
    <w:uiPriority w:val="50"/>
    <w:rsid w:val="00BB5C77"/>
    <w:pPr>
      <w:spacing w:after="0" w:line="240" w:lineRule="auto"/>
    </w:pPr>
    <w:rPr>
      <w:rFonts w:eastAsia="Times New Roman"/>
      <w:color w:val="FFFFFF"/>
      <w:lang w:val="en-ZA" w:eastAsia="en-ZA"/>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GridTable1Light-Accent31">
    <w:name w:val="Grid Table 1 Light - Accent 31"/>
    <w:basedOn w:val="TableNormal"/>
    <w:next w:val="GridTable1Light-Accent3"/>
    <w:uiPriority w:val="46"/>
    <w:rsid w:val="00BB5C77"/>
    <w:pPr>
      <w:spacing w:after="0" w:line="240" w:lineRule="auto"/>
    </w:pPr>
    <w:rPr>
      <w:rFonts w:eastAsia="Times New Roman"/>
      <w:lang w:val="en-ZA" w:eastAsia="en-ZA"/>
    </w:rPr>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ListTable3-Accent31">
    <w:name w:val="List Table 3 - Accent 31"/>
    <w:basedOn w:val="TableNormal"/>
    <w:next w:val="ListTable3-Accent3"/>
    <w:uiPriority w:val="48"/>
    <w:rsid w:val="00BB5C77"/>
    <w:pPr>
      <w:spacing w:after="0" w:line="240" w:lineRule="auto"/>
    </w:pPr>
    <w:rPr>
      <w:rFonts w:eastAsia="Times New Roman"/>
      <w:lang w:val="en-ZA" w:eastAsia="en-ZA"/>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GridTable2-Accent31">
    <w:name w:val="Grid Table 2 - Accent 31"/>
    <w:basedOn w:val="TableNormal"/>
    <w:next w:val="GridTable2-Accent3"/>
    <w:uiPriority w:val="47"/>
    <w:rsid w:val="00BB5C77"/>
    <w:pPr>
      <w:spacing w:after="0" w:line="240" w:lineRule="auto"/>
    </w:pPr>
    <w:rPr>
      <w:rFonts w:eastAsia="Times New Roman"/>
      <w:lang w:val="en-ZA" w:eastAsia="en-ZA"/>
    </w:rPr>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ridTable4-Accent61">
    <w:name w:val="Grid Table 4 - Accent 61"/>
    <w:basedOn w:val="TableNormal"/>
    <w:next w:val="GridTable4-Accent6"/>
    <w:uiPriority w:val="49"/>
    <w:rsid w:val="00BB5C77"/>
    <w:pPr>
      <w:spacing w:after="0" w:line="240" w:lineRule="auto"/>
    </w:pPr>
    <w:rPr>
      <w:lang w:val="en-ZA"/>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1Light1">
    <w:name w:val="Grid Table 1 Light1"/>
    <w:basedOn w:val="TableNormal"/>
    <w:next w:val="GridTable1Light"/>
    <w:uiPriority w:val="46"/>
    <w:rsid w:val="00BB5C77"/>
    <w:pPr>
      <w:spacing w:after="0" w:line="240" w:lineRule="auto"/>
    </w:pPr>
    <w:rPr>
      <w:lang w:val="en-ZA"/>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ListTable6Colorful-Accent31">
    <w:name w:val="List Table 6 Colorful - Accent 31"/>
    <w:basedOn w:val="TableNormal"/>
    <w:next w:val="ListTable6Colorful-Accent3"/>
    <w:uiPriority w:val="51"/>
    <w:rsid w:val="00BB5C77"/>
    <w:pPr>
      <w:spacing w:after="0" w:line="240" w:lineRule="auto"/>
    </w:pPr>
    <w:rPr>
      <w:rFonts w:eastAsia="Times New Roman"/>
      <w:color w:val="7B7B7B"/>
      <w:lang w:val="en-ZA" w:eastAsia="en-ZA"/>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ridTable5Dark-Accent61">
    <w:name w:val="Grid Table 5 Dark - Accent 61"/>
    <w:basedOn w:val="TableNormal"/>
    <w:next w:val="GridTable5Dark-Accent6"/>
    <w:uiPriority w:val="50"/>
    <w:rsid w:val="00BB5C77"/>
    <w:pPr>
      <w:spacing w:after="0" w:line="240" w:lineRule="auto"/>
    </w:pPr>
    <w:rPr>
      <w:lang w:val="en-Z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31">
    <w:name w:val="Grid Table 5 Dark - Accent 31"/>
    <w:basedOn w:val="TableNormal"/>
    <w:next w:val="GridTable5Dark-Accent3"/>
    <w:uiPriority w:val="50"/>
    <w:rsid w:val="00BB5C77"/>
    <w:pPr>
      <w:spacing w:after="0" w:line="240" w:lineRule="auto"/>
    </w:pPr>
    <w:rPr>
      <w:rFonts w:eastAsia="Times New Roman"/>
      <w:lang w:val="en-ZA" w:eastAsia="en-Z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stl121">
    <w:name w:val="stl_121"/>
    <w:basedOn w:val="DefaultParagraphFont"/>
    <w:rsid w:val="00BB5C77"/>
    <w:rPr>
      <w:rFonts w:ascii="BITGOU+ArialItalic" w:hAnsi="BITGOU+ArialItalic" w:hint="default"/>
      <w:color w:val="000000"/>
      <w:sz w:val="16"/>
      <w:szCs w:val="16"/>
    </w:rPr>
  </w:style>
  <w:style w:type="character" w:customStyle="1" w:styleId="stl091">
    <w:name w:val="stl_091"/>
    <w:basedOn w:val="DefaultParagraphFont"/>
    <w:rsid w:val="00BB5C77"/>
    <w:rPr>
      <w:spacing w:val="-2"/>
    </w:rPr>
  </w:style>
  <w:style w:type="paragraph" w:customStyle="1" w:styleId="font0">
    <w:name w:val="font0"/>
    <w:basedOn w:val="Normal"/>
    <w:rsid w:val="00BB5C77"/>
    <w:pPr>
      <w:spacing w:before="100" w:beforeAutospacing="1" w:after="100" w:afterAutospacing="1" w:line="240" w:lineRule="auto"/>
    </w:pPr>
    <w:rPr>
      <w:rFonts w:eastAsia="Times New Roman" w:cs="Times New Roman"/>
      <w:color w:val="000000"/>
      <w:sz w:val="22"/>
      <w:lang w:val="en-ZA" w:eastAsia="en-ZA"/>
    </w:rPr>
  </w:style>
  <w:style w:type="character" w:customStyle="1" w:styleId="stl131">
    <w:name w:val="stl_131"/>
    <w:basedOn w:val="DefaultParagraphFont"/>
    <w:rsid w:val="00BB5C77"/>
    <w:rPr>
      <w:rFonts w:ascii="BITGOU+ArialItalic" w:hAnsi="BITGOU+ArialItalic" w:hint="default"/>
      <w:color w:val="000000"/>
      <w:sz w:val="20"/>
      <w:szCs w:val="20"/>
    </w:rPr>
  </w:style>
  <w:style w:type="paragraph" w:customStyle="1" w:styleId="font10">
    <w:name w:val="font10"/>
    <w:basedOn w:val="Normal"/>
    <w:rsid w:val="00BB5C77"/>
    <w:pPr>
      <w:spacing w:before="100" w:beforeAutospacing="1" w:after="100" w:afterAutospacing="1" w:line="240" w:lineRule="auto"/>
    </w:pPr>
    <w:rPr>
      <w:rFonts w:eastAsia="Times New Roman" w:cs="Times New Roman"/>
      <w:szCs w:val="20"/>
      <w:lang w:val="en-ZA" w:eastAsia="en-ZA"/>
    </w:rPr>
  </w:style>
  <w:style w:type="paragraph" w:customStyle="1" w:styleId="font11">
    <w:name w:val="font11"/>
    <w:basedOn w:val="Normal"/>
    <w:rsid w:val="00BB5C77"/>
    <w:pPr>
      <w:spacing w:before="100" w:beforeAutospacing="1" w:after="100" w:afterAutospacing="1" w:line="240" w:lineRule="auto"/>
    </w:pPr>
    <w:rPr>
      <w:rFonts w:eastAsia="Times New Roman" w:cs="Times New Roman"/>
      <w:color w:val="FF0000"/>
      <w:szCs w:val="20"/>
      <w:lang w:val="en-ZA" w:eastAsia="en-ZA"/>
    </w:rPr>
  </w:style>
  <w:style w:type="table" w:styleId="MediumGrid3-Accent5">
    <w:name w:val="Medium Grid 3 Accent 5"/>
    <w:basedOn w:val="TableNormal"/>
    <w:uiPriority w:val="69"/>
    <w:semiHidden/>
    <w:unhideWhenUsed/>
    <w:rsid w:val="00BB5C77"/>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styleId="SubtleEmphasis">
    <w:name w:val="Subtle Emphasis"/>
    <w:basedOn w:val="DefaultParagraphFont"/>
    <w:uiPriority w:val="19"/>
    <w:qFormat/>
    <w:rsid w:val="00BB5C77"/>
    <w:rPr>
      <w:i/>
      <w:iCs/>
      <w:color w:val="404040" w:themeColor="text1" w:themeTint="BF"/>
    </w:rPr>
  </w:style>
  <w:style w:type="table" w:styleId="MediumShading2-Accent5">
    <w:name w:val="Medium Shading 2 Accent 5"/>
    <w:basedOn w:val="TableNormal"/>
    <w:uiPriority w:val="64"/>
    <w:semiHidden/>
    <w:unhideWhenUsed/>
    <w:rsid w:val="00BB5C77"/>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ridTable4-Accent3">
    <w:name w:val="Grid Table 4 Accent 3"/>
    <w:basedOn w:val="TableNormal"/>
    <w:uiPriority w:val="49"/>
    <w:rsid w:val="00BB5C77"/>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5Dark">
    <w:name w:val="Grid Table 5 Dark"/>
    <w:basedOn w:val="TableNormal"/>
    <w:uiPriority w:val="50"/>
    <w:rsid w:val="00BB5C7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ListTable4-Accent3">
    <w:name w:val="List Table 4 Accent 3"/>
    <w:basedOn w:val="TableNormal"/>
    <w:uiPriority w:val="49"/>
    <w:rsid w:val="00BB5C77"/>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5Dark-Accent3">
    <w:name w:val="List Table 5 Dark Accent 3"/>
    <w:basedOn w:val="TableNormal"/>
    <w:uiPriority w:val="50"/>
    <w:rsid w:val="00BB5C77"/>
    <w:pPr>
      <w:spacing w:after="0"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1Light-Accent3">
    <w:name w:val="Grid Table 1 Light Accent 3"/>
    <w:basedOn w:val="TableNormal"/>
    <w:uiPriority w:val="46"/>
    <w:rsid w:val="00BB5C77"/>
    <w:pPr>
      <w:spacing w:after="0"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ListTable3-Accent3">
    <w:name w:val="List Table 3 Accent 3"/>
    <w:basedOn w:val="TableNormal"/>
    <w:uiPriority w:val="48"/>
    <w:rsid w:val="00BB5C77"/>
    <w:pPr>
      <w:spacing w:after="0"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GridTable2-Accent3">
    <w:name w:val="Grid Table 2 Accent 3"/>
    <w:basedOn w:val="TableNormal"/>
    <w:uiPriority w:val="47"/>
    <w:rsid w:val="00BB5C77"/>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6">
    <w:name w:val="Grid Table 4 Accent 6"/>
    <w:basedOn w:val="TableNormal"/>
    <w:uiPriority w:val="49"/>
    <w:rsid w:val="00BB5C77"/>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1Light">
    <w:name w:val="Grid Table 1 Light"/>
    <w:basedOn w:val="TableNormal"/>
    <w:uiPriority w:val="46"/>
    <w:rsid w:val="00BB5C7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ListTable6Colorful-Accent3">
    <w:name w:val="List Table 6 Colorful Accent 3"/>
    <w:basedOn w:val="TableNormal"/>
    <w:uiPriority w:val="51"/>
    <w:rsid w:val="00BB5C77"/>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5Dark-Accent6">
    <w:name w:val="Grid Table 5 Dark Accent 6"/>
    <w:basedOn w:val="TableNormal"/>
    <w:uiPriority w:val="50"/>
    <w:rsid w:val="00BB5C7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5Dark-Accent3">
    <w:name w:val="Grid Table 5 Dark Accent 3"/>
    <w:basedOn w:val="TableNormal"/>
    <w:uiPriority w:val="50"/>
    <w:rsid w:val="00BB5C7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TableGrid32">
    <w:name w:val="Table Grid32"/>
    <w:basedOn w:val="TableNormal"/>
    <w:next w:val="TableGrid"/>
    <w:uiPriority w:val="39"/>
    <w:rsid w:val="008B38AB"/>
    <w:pPr>
      <w:spacing w:after="0" w:line="240" w:lineRule="auto"/>
    </w:pPr>
    <w:rPr>
      <w:rFonts w:eastAsia="Times New Roman"/>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F804E6"/>
    <w:pPr>
      <w:spacing w:after="0" w:line="240" w:lineRule="auto"/>
    </w:pPr>
    <w:rPr>
      <w:rFonts w:eastAsia="Times New Roman"/>
      <w:lang w:val="en-ZA"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8A0277"/>
  </w:style>
  <w:style w:type="table" w:customStyle="1" w:styleId="TableGrid34">
    <w:name w:val="Table Grid34"/>
    <w:basedOn w:val="TableNormal"/>
    <w:next w:val="TableGrid"/>
    <w:uiPriority w:val="39"/>
    <w:rsid w:val="008A0277"/>
    <w:pPr>
      <w:spacing w:after="0" w:line="240" w:lineRule="auto"/>
    </w:pPr>
    <w:rPr>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8A0277"/>
  </w:style>
  <w:style w:type="table" w:customStyle="1" w:styleId="TableGrid35">
    <w:name w:val="Table Grid35"/>
    <w:basedOn w:val="TableNormal"/>
    <w:next w:val="TableGrid"/>
    <w:uiPriority w:val="39"/>
    <w:rsid w:val="008A0277"/>
    <w:pPr>
      <w:spacing w:after="0" w:line="240" w:lineRule="auto"/>
    </w:pPr>
    <w:rPr>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uiPriority w:val="39"/>
    <w:rsid w:val="00752133"/>
    <w:pPr>
      <w:spacing w:after="0" w:line="240" w:lineRule="auto"/>
    </w:pPr>
    <w:rPr>
      <w:rFonts w:eastAsia="MS Mincho"/>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39"/>
    <w:rsid w:val="00C954BD"/>
    <w:pPr>
      <w:spacing w:after="0" w:line="240" w:lineRule="auto"/>
    </w:pPr>
    <w:rPr>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8F2D9D"/>
    <w:pPr>
      <w:spacing w:after="0" w:line="240" w:lineRule="auto"/>
    </w:pPr>
    <w:rPr>
      <w:lang w:val="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400259">
      <w:bodyDiv w:val="1"/>
      <w:marLeft w:val="0"/>
      <w:marRight w:val="0"/>
      <w:marTop w:val="0"/>
      <w:marBottom w:val="0"/>
      <w:divBdr>
        <w:top w:val="none" w:sz="0" w:space="0" w:color="auto"/>
        <w:left w:val="none" w:sz="0" w:space="0" w:color="auto"/>
        <w:bottom w:val="none" w:sz="0" w:space="0" w:color="auto"/>
        <w:right w:val="none" w:sz="0" w:space="0" w:color="auto"/>
      </w:divBdr>
    </w:div>
    <w:div w:id="46491833">
      <w:bodyDiv w:val="1"/>
      <w:marLeft w:val="0"/>
      <w:marRight w:val="0"/>
      <w:marTop w:val="0"/>
      <w:marBottom w:val="0"/>
      <w:divBdr>
        <w:top w:val="none" w:sz="0" w:space="0" w:color="auto"/>
        <w:left w:val="none" w:sz="0" w:space="0" w:color="auto"/>
        <w:bottom w:val="none" w:sz="0" w:space="0" w:color="auto"/>
        <w:right w:val="none" w:sz="0" w:space="0" w:color="auto"/>
      </w:divBdr>
    </w:div>
    <w:div w:id="58286381">
      <w:bodyDiv w:val="1"/>
      <w:marLeft w:val="0"/>
      <w:marRight w:val="0"/>
      <w:marTop w:val="0"/>
      <w:marBottom w:val="0"/>
      <w:divBdr>
        <w:top w:val="none" w:sz="0" w:space="0" w:color="auto"/>
        <w:left w:val="none" w:sz="0" w:space="0" w:color="auto"/>
        <w:bottom w:val="none" w:sz="0" w:space="0" w:color="auto"/>
        <w:right w:val="none" w:sz="0" w:space="0" w:color="auto"/>
      </w:divBdr>
    </w:div>
    <w:div w:id="63988000">
      <w:bodyDiv w:val="1"/>
      <w:marLeft w:val="0"/>
      <w:marRight w:val="0"/>
      <w:marTop w:val="0"/>
      <w:marBottom w:val="0"/>
      <w:divBdr>
        <w:top w:val="none" w:sz="0" w:space="0" w:color="auto"/>
        <w:left w:val="none" w:sz="0" w:space="0" w:color="auto"/>
        <w:bottom w:val="none" w:sz="0" w:space="0" w:color="auto"/>
        <w:right w:val="none" w:sz="0" w:space="0" w:color="auto"/>
      </w:divBdr>
    </w:div>
    <w:div w:id="65999428">
      <w:bodyDiv w:val="1"/>
      <w:marLeft w:val="0"/>
      <w:marRight w:val="0"/>
      <w:marTop w:val="0"/>
      <w:marBottom w:val="0"/>
      <w:divBdr>
        <w:top w:val="none" w:sz="0" w:space="0" w:color="auto"/>
        <w:left w:val="none" w:sz="0" w:space="0" w:color="auto"/>
        <w:bottom w:val="none" w:sz="0" w:space="0" w:color="auto"/>
        <w:right w:val="none" w:sz="0" w:space="0" w:color="auto"/>
      </w:divBdr>
    </w:div>
    <w:div w:id="68818689">
      <w:bodyDiv w:val="1"/>
      <w:marLeft w:val="0"/>
      <w:marRight w:val="0"/>
      <w:marTop w:val="0"/>
      <w:marBottom w:val="0"/>
      <w:divBdr>
        <w:top w:val="none" w:sz="0" w:space="0" w:color="auto"/>
        <w:left w:val="none" w:sz="0" w:space="0" w:color="auto"/>
        <w:bottom w:val="none" w:sz="0" w:space="0" w:color="auto"/>
        <w:right w:val="none" w:sz="0" w:space="0" w:color="auto"/>
      </w:divBdr>
    </w:div>
    <w:div w:id="69931164">
      <w:bodyDiv w:val="1"/>
      <w:marLeft w:val="0"/>
      <w:marRight w:val="0"/>
      <w:marTop w:val="0"/>
      <w:marBottom w:val="0"/>
      <w:divBdr>
        <w:top w:val="none" w:sz="0" w:space="0" w:color="auto"/>
        <w:left w:val="none" w:sz="0" w:space="0" w:color="auto"/>
        <w:bottom w:val="none" w:sz="0" w:space="0" w:color="auto"/>
        <w:right w:val="none" w:sz="0" w:space="0" w:color="auto"/>
      </w:divBdr>
    </w:div>
    <w:div w:id="77530259">
      <w:bodyDiv w:val="1"/>
      <w:marLeft w:val="0"/>
      <w:marRight w:val="0"/>
      <w:marTop w:val="0"/>
      <w:marBottom w:val="0"/>
      <w:divBdr>
        <w:top w:val="none" w:sz="0" w:space="0" w:color="auto"/>
        <w:left w:val="none" w:sz="0" w:space="0" w:color="auto"/>
        <w:bottom w:val="none" w:sz="0" w:space="0" w:color="auto"/>
        <w:right w:val="none" w:sz="0" w:space="0" w:color="auto"/>
      </w:divBdr>
    </w:div>
    <w:div w:id="95297333">
      <w:bodyDiv w:val="1"/>
      <w:marLeft w:val="0"/>
      <w:marRight w:val="0"/>
      <w:marTop w:val="0"/>
      <w:marBottom w:val="0"/>
      <w:divBdr>
        <w:top w:val="none" w:sz="0" w:space="0" w:color="auto"/>
        <w:left w:val="none" w:sz="0" w:space="0" w:color="auto"/>
        <w:bottom w:val="none" w:sz="0" w:space="0" w:color="auto"/>
        <w:right w:val="none" w:sz="0" w:space="0" w:color="auto"/>
      </w:divBdr>
    </w:div>
    <w:div w:id="98109876">
      <w:bodyDiv w:val="1"/>
      <w:marLeft w:val="0"/>
      <w:marRight w:val="0"/>
      <w:marTop w:val="0"/>
      <w:marBottom w:val="0"/>
      <w:divBdr>
        <w:top w:val="none" w:sz="0" w:space="0" w:color="auto"/>
        <w:left w:val="none" w:sz="0" w:space="0" w:color="auto"/>
        <w:bottom w:val="none" w:sz="0" w:space="0" w:color="auto"/>
        <w:right w:val="none" w:sz="0" w:space="0" w:color="auto"/>
      </w:divBdr>
    </w:div>
    <w:div w:id="99643933">
      <w:bodyDiv w:val="1"/>
      <w:marLeft w:val="0"/>
      <w:marRight w:val="0"/>
      <w:marTop w:val="0"/>
      <w:marBottom w:val="0"/>
      <w:divBdr>
        <w:top w:val="none" w:sz="0" w:space="0" w:color="auto"/>
        <w:left w:val="none" w:sz="0" w:space="0" w:color="auto"/>
        <w:bottom w:val="none" w:sz="0" w:space="0" w:color="auto"/>
        <w:right w:val="none" w:sz="0" w:space="0" w:color="auto"/>
      </w:divBdr>
    </w:div>
    <w:div w:id="103156470">
      <w:bodyDiv w:val="1"/>
      <w:marLeft w:val="0"/>
      <w:marRight w:val="0"/>
      <w:marTop w:val="0"/>
      <w:marBottom w:val="0"/>
      <w:divBdr>
        <w:top w:val="none" w:sz="0" w:space="0" w:color="auto"/>
        <w:left w:val="none" w:sz="0" w:space="0" w:color="auto"/>
        <w:bottom w:val="none" w:sz="0" w:space="0" w:color="auto"/>
        <w:right w:val="none" w:sz="0" w:space="0" w:color="auto"/>
      </w:divBdr>
    </w:div>
    <w:div w:id="112290846">
      <w:bodyDiv w:val="1"/>
      <w:marLeft w:val="0"/>
      <w:marRight w:val="0"/>
      <w:marTop w:val="0"/>
      <w:marBottom w:val="0"/>
      <w:divBdr>
        <w:top w:val="none" w:sz="0" w:space="0" w:color="auto"/>
        <w:left w:val="none" w:sz="0" w:space="0" w:color="auto"/>
        <w:bottom w:val="none" w:sz="0" w:space="0" w:color="auto"/>
        <w:right w:val="none" w:sz="0" w:space="0" w:color="auto"/>
      </w:divBdr>
    </w:div>
    <w:div w:id="115149743">
      <w:bodyDiv w:val="1"/>
      <w:marLeft w:val="0"/>
      <w:marRight w:val="0"/>
      <w:marTop w:val="0"/>
      <w:marBottom w:val="0"/>
      <w:divBdr>
        <w:top w:val="none" w:sz="0" w:space="0" w:color="auto"/>
        <w:left w:val="none" w:sz="0" w:space="0" w:color="auto"/>
        <w:bottom w:val="none" w:sz="0" w:space="0" w:color="auto"/>
        <w:right w:val="none" w:sz="0" w:space="0" w:color="auto"/>
      </w:divBdr>
    </w:div>
    <w:div w:id="120003169">
      <w:bodyDiv w:val="1"/>
      <w:marLeft w:val="0"/>
      <w:marRight w:val="0"/>
      <w:marTop w:val="0"/>
      <w:marBottom w:val="0"/>
      <w:divBdr>
        <w:top w:val="none" w:sz="0" w:space="0" w:color="auto"/>
        <w:left w:val="none" w:sz="0" w:space="0" w:color="auto"/>
        <w:bottom w:val="none" w:sz="0" w:space="0" w:color="auto"/>
        <w:right w:val="none" w:sz="0" w:space="0" w:color="auto"/>
      </w:divBdr>
    </w:div>
    <w:div w:id="132598130">
      <w:bodyDiv w:val="1"/>
      <w:marLeft w:val="0"/>
      <w:marRight w:val="0"/>
      <w:marTop w:val="0"/>
      <w:marBottom w:val="0"/>
      <w:divBdr>
        <w:top w:val="none" w:sz="0" w:space="0" w:color="auto"/>
        <w:left w:val="none" w:sz="0" w:space="0" w:color="auto"/>
        <w:bottom w:val="none" w:sz="0" w:space="0" w:color="auto"/>
        <w:right w:val="none" w:sz="0" w:space="0" w:color="auto"/>
      </w:divBdr>
    </w:div>
    <w:div w:id="136656540">
      <w:bodyDiv w:val="1"/>
      <w:marLeft w:val="0"/>
      <w:marRight w:val="0"/>
      <w:marTop w:val="0"/>
      <w:marBottom w:val="0"/>
      <w:divBdr>
        <w:top w:val="none" w:sz="0" w:space="0" w:color="auto"/>
        <w:left w:val="none" w:sz="0" w:space="0" w:color="auto"/>
        <w:bottom w:val="none" w:sz="0" w:space="0" w:color="auto"/>
        <w:right w:val="none" w:sz="0" w:space="0" w:color="auto"/>
      </w:divBdr>
    </w:div>
    <w:div w:id="137764564">
      <w:bodyDiv w:val="1"/>
      <w:marLeft w:val="0"/>
      <w:marRight w:val="0"/>
      <w:marTop w:val="0"/>
      <w:marBottom w:val="0"/>
      <w:divBdr>
        <w:top w:val="none" w:sz="0" w:space="0" w:color="auto"/>
        <w:left w:val="none" w:sz="0" w:space="0" w:color="auto"/>
        <w:bottom w:val="none" w:sz="0" w:space="0" w:color="auto"/>
        <w:right w:val="none" w:sz="0" w:space="0" w:color="auto"/>
      </w:divBdr>
    </w:div>
    <w:div w:id="143014844">
      <w:bodyDiv w:val="1"/>
      <w:marLeft w:val="0"/>
      <w:marRight w:val="0"/>
      <w:marTop w:val="0"/>
      <w:marBottom w:val="0"/>
      <w:divBdr>
        <w:top w:val="none" w:sz="0" w:space="0" w:color="auto"/>
        <w:left w:val="none" w:sz="0" w:space="0" w:color="auto"/>
        <w:bottom w:val="none" w:sz="0" w:space="0" w:color="auto"/>
        <w:right w:val="none" w:sz="0" w:space="0" w:color="auto"/>
      </w:divBdr>
    </w:div>
    <w:div w:id="151407555">
      <w:bodyDiv w:val="1"/>
      <w:marLeft w:val="0"/>
      <w:marRight w:val="0"/>
      <w:marTop w:val="0"/>
      <w:marBottom w:val="0"/>
      <w:divBdr>
        <w:top w:val="none" w:sz="0" w:space="0" w:color="auto"/>
        <w:left w:val="none" w:sz="0" w:space="0" w:color="auto"/>
        <w:bottom w:val="none" w:sz="0" w:space="0" w:color="auto"/>
        <w:right w:val="none" w:sz="0" w:space="0" w:color="auto"/>
      </w:divBdr>
    </w:div>
    <w:div w:id="161315364">
      <w:bodyDiv w:val="1"/>
      <w:marLeft w:val="0"/>
      <w:marRight w:val="0"/>
      <w:marTop w:val="0"/>
      <w:marBottom w:val="0"/>
      <w:divBdr>
        <w:top w:val="none" w:sz="0" w:space="0" w:color="auto"/>
        <w:left w:val="none" w:sz="0" w:space="0" w:color="auto"/>
        <w:bottom w:val="none" w:sz="0" w:space="0" w:color="auto"/>
        <w:right w:val="none" w:sz="0" w:space="0" w:color="auto"/>
      </w:divBdr>
    </w:div>
    <w:div w:id="166677809">
      <w:bodyDiv w:val="1"/>
      <w:marLeft w:val="0"/>
      <w:marRight w:val="0"/>
      <w:marTop w:val="0"/>
      <w:marBottom w:val="0"/>
      <w:divBdr>
        <w:top w:val="none" w:sz="0" w:space="0" w:color="auto"/>
        <w:left w:val="none" w:sz="0" w:space="0" w:color="auto"/>
        <w:bottom w:val="none" w:sz="0" w:space="0" w:color="auto"/>
        <w:right w:val="none" w:sz="0" w:space="0" w:color="auto"/>
      </w:divBdr>
    </w:div>
    <w:div w:id="171648539">
      <w:bodyDiv w:val="1"/>
      <w:marLeft w:val="0"/>
      <w:marRight w:val="0"/>
      <w:marTop w:val="0"/>
      <w:marBottom w:val="0"/>
      <w:divBdr>
        <w:top w:val="none" w:sz="0" w:space="0" w:color="auto"/>
        <w:left w:val="none" w:sz="0" w:space="0" w:color="auto"/>
        <w:bottom w:val="none" w:sz="0" w:space="0" w:color="auto"/>
        <w:right w:val="none" w:sz="0" w:space="0" w:color="auto"/>
      </w:divBdr>
    </w:div>
    <w:div w:id="172769237">
      <w:bodyDiv w:val="1"/>
      <w:marLeft w:val="0"/>
      <w:marRight w:val="0"/>
      <w:marTop w:val="0"/>
      <w:marBottom w:val="0"/>
      <w:divBdr>
        <w:top w:val="none" w:sz="0" w:space="0" w:color="auto"/>
        <w:left w:val="none" w:sz="0" w:space="0" w:color="auto"/>
        <w:bottom w:val="none" w:sz="0" w:space="0" w:color="auto"/>
        <w:right w:val="none" w:sz="0" w:space="0" w:color="auto"/>
      </w:divBdr>
    </w:div>
    <w:div w:id="173424122">
      <w:bodyDiv w:val="1"/>
      <w:marLeft w:val="0"/>
      <w:marRight w:val="0"/>
      <w:marTop w:val="0"/>
      <w:marBottom w:val="0"/>
      <w:divBdr>
        <w:top w:val="none" w:sz="0" w:space="0" w:color="auto"/>
        <w:left w:val="none" w:sz="0" w:space="0" w:color="auto"/>
        <w:bottom w:val="none" w:sz="0" w:space="0" w:color="auto"/>
        <w:right w:val="none" w:sz="0" w:space="0" w:color="auto"/>
      </w:divBdr>
    </w:div>
    <w:div w:id="173885827">
      <w:bodyDiv w:val="1"/>
      <w:marLeft w:val="0"/>
      <w:marRight w:val="0"/>
      <w:marTop w:val="0"/>
      <w:marBottom w:val="0"/>
      <w:divBdr>
        <w:top w:val="none" w:sz="0" w:space="0" w:color="auto"/>
        <w:left w:val="none" w:sz="0" w:space="0" w:color="auto"/>
        <w:bottom w:val="none" w:sz="0" w:space="0" w:color="auto"/>
        <w:right w:val="none" w:sz="0" w:space="0" w:color="auto"/>
      </w:divBdr>
    </w:div>
    <w:div w:id="176817087">
      <w:bodyDiv w:val="1"/>
      <w:marLeft w:val="0"/>
      <w:marRight w:val="0"/>
      <w:marTop w:val="0"/>
      <w:marBottom w:val="0"/>
      <w:divBdr>
        <w:top w:val="none" w:sz="0" w:space="0" w:color="auto"/>
        <w:left w:val="none" w:sz="0" w:space="0" w:color="auto"/>
        <w:bottom w:val="none" w:sz="0" w:space="0" w:color="auto"/>
        <w:right w:val="none" w:sz="0" w:space="0" w:color="auto"/>
      </w:divBdr>
    </w:div>
    <w:div w:id="176820114">
      <w:bodyDiv w:val="1"/>
      <w:marLeft w:val="0"/>
      <w:marRight w:val="0"/>
      <w:marTop w:val="0"/>
      <w:marBottom w:val="0"/>
      <w:divBdr>
        <w:top w:val="none" w:sz="0" w:space="0" w:color="auto"/>
        <w:left w:val="none" w:sz="0" w:space="0" w:color="auto"/>
        <w:bottom w:val="none" w:sz="0" w:space="0" w:color="auto"/>
        <w:right w:val="none" w:sz="0" w:space="0" w:color="auto"/>
      </w:divBdr>
    </w:div>
    <w:div w:id="184292888">
      <w:bodyDiv w:val="1"/>
      <w:marLeft w:val="0"/>
      <w:marRight w:val="0"/>
      <w:marTop w:val="0"/>
      <w:marBottom w:val="0"/>
      <w:divBdr>
        <w:top w:val="none" w:sz="0" w:space="0" w:color="auto"/>
        <w:left w:val="none" w:sz="0" w:space="0" w:color="auto"/>
        <w:bottom w:val="none" w:sz="0" w:space="0" w:color="auto"/>
        <w:right w:val="none" w:sz="0" w:space="0" w:color="auto"/>
      </w:divBdr>
    </w:div>
    <w:div w:id="187719487">
      <w:bodyDiv w:val="1"/>
      <w:marLeft w:val="0"/>
      <w:marRight w:val="0"/>
      <w:marTop w:val="0"/>
      <w:marBottom w:val="0"/>
      <w:divBdr>
        <w:top w:val="none" w:sz="0" w:space="0" w:color="auto"/>
        <w:left w:val="none" w:sz="0" w:space="0" w:color="auto"/>
        <w:bottom w:val="none" w:sz="0" w:space="0" w:color="auto"/>
        <w:right w:val="none" w:sz="0" w:space="0" w:color="auto"/>
      </w:divBdr>
    </w:div>
    <w:div w:id="190192431">
      <w:bodyDiv w:val="1"/>
      <w:marLeft w:val="0"/>
      <w:marRight w:val="0"/>
      <w:marTop w:val="0"/>
      <w:marBottom w:val="0"/>
      <w:divBdr>
        <w:top w:val="none" w:sz="0" w:space="0" w:color="auto"/>
        <w:left w:val="none" w:sz="0" w:space="0" w:color="auto"/>
        <w:bottom w:val="none" w:sz="0" w:space="0" w:color="auto"/>
        <w:right w:val="none" w:sz="0" w:space="0" w:color="auto"/>
      </w:divBdr>
    </w:div>
    <w:div w:id="200679586">
      <w:bodyDiv w:val="1"/>
      <w:marLeft w:val="0"/>
      <w:marRight w:val="0"/>
      <w:marTop w:val="0"/>
      <w:marBottom w:val="0"/>
      <w:divBdr>
        <w:top w:val="none" w:sz="0" w:space="0" w:color="auto"/>
        <w:left w:val="none" w:sz="0" w:space="0" w:color="auto"/>
        <w:bottom w:val="none" w:sz="0" w:space="0" w:color="auto"/>
        <w:right w:val="none" w:sz="0" w:space="0" w:color="auto"/>
      </w:divBdr>
    </w:div>
    <w:div w:id="205606583">
      <w:bodyDiv w:val="1"/>
      <w:marLeft w:val="0"/>
      <w:marRight w:val="0"/>
      <w:marTop w:val="0"/>
      <w:marBottom w:val="0"/>
      <w:divBdr>
        <w:top w:val="none" w:sz="0" w:space="0" w:color="auto"/>
        <w:left w:val="none" w:sz="0" w:space="0" w:color="auto"/>
        <w:bottom w:val="none" w:sz="0" w:space="0" w:color="auto"/>
        <w:right w:val="none" w:sz="0" w:space="0" w:color="auto"/>
      </w:divBdr>
    </w:div>
    <w:div w:id="213350453">
      <w:bodyDiv w:val="1"/>
      <w:marLeft w:val="0"/>
      <w:marRight w:val="0"/>
      <w:marTop w:val="0"/>
      <w:marBottom w:val="0"/>
      <w:divBdr>
        <w:top w:val="none" w:sz="0" w:space="0" w:color="auto"/>
        <w:left w:val="none" w:sz="0" w:space="0" w:color="auto"/>
        <w:bottom w:val="none" w:sz="0" w:space="0" w:color="auto"/>
        <w:right w:val="none" w:sz="0" w:space="0" w:color="auto"/>
      </w:divBdr>
    </w:div>
    <w:div w:id="217788847">
      <w:bodyDiv w:val="1"/>
      <w:marLeft w:val="0"/>
      <w:marRight w:val="0"/>
      <w:marTop w:val="0"/>
      <w:marBottom w:val="0"/>
      <w:divBdr>
        <w:top w:val="none" w:sz="0" w:space="0" w:color="auto"/>
        <w:left w:val="none" w:sz="0" w:space="0" w:color="auto"/>
        <w:bottom w:val="none" w:sz="0" w:space="0" w:color="auto"/>
        <w:right w:val="none" w:sz="0" w:space="0" w:color="auto"/>
      </w:divBdr>
    </w:div>
    <w:div w:id="222569325">
      <w:bodyDiv w:val="1"/>
      <w:marLeft w:val="0"/>
      <w:marRight w:val="0"/>
      <w:marTop w:val="0"/>
      <w:marBottom w:val="0"/>
      <w:divBdr>
        <w:top w:val="none" w:sz="0" w:space="0" w:color="auto"/>
        <w:left w:val="none" w:sz="0" w:space="0" w:color="auto"/>
        <w:bottom w:val="none" w:sz="0" w:space="0" w:color="auto"/>
        <w:right w:val="none" w:sz="0" w:space="0" w:color="auto"/>
      </w:divBdr>
    </w:div>
    <w:div w:id="223758433">
      <w:bodyDiv w:val="1"/>
      <w:marLeft w:val="0"/>
      <w:marRight w:val="0"/>
      <w:marTop w:val="0"/>
      <w:marBottom w:val="0"/>
      <w:divBdr>
        <w:top w:val="none" w:sz="0" w:space="0" w:color="auto"/>
        <w:left w:val="none" w:sz="0" w:space="0" w:color="auto"/>
        <w:bottom w:val="none" w:sz="0" w:space="0" w:color="auto"/>
        <w:right w:val="none" w:sz="0" w:space="0" w:color="auto"/>
      </w:divBdr>
    </w:div>
    <w:div w:id="227109562">
      <w:bodyDiv w:val="1"/>
      <w:marLeft w:val="0"/>
      <w:marRight w:val="0"/>
      <w:marTop w:val="0"/>
      <w:marBottom w:val="0"/>
      <w:divBdr>
        <w:top w:val="none" w:sz="0" w:space="0" w:color="auto"/>
        <w:left w:val="none" w:sz="0" w:space="0" w:color="auto"/>
        <w:bottom w:val="none" w:sz="0" w:space="0" w:color="auto"/>
        <w:right w:val="none" w:sz="0" w:space="0" w:color="auto"/>
      </w:divBdr>
    </w:div>
    <w:div w:id="231240579">
      <w:bodyDiv w:val="1"/>
      <w:marLeft w:val="0"/>
      <w:marRight w:val="0"/>
      <w:marTop w:val="0"/>
      <w:marBottom w:val="0"/>
      <w:divBdr>
        <w:top w:val="none" w:sz="0" w:space="0" w:color="auto"/>
        <w:left w:val="none" w:sz="0" w:space="0" w:color="auto"/>
        <w:bottom w:val="none" w:sz="0" w:space="0" w:color="auto"/>
        <w:right w:val="none" w:sz="0" w:space="0" w:color="auto"/>
      </w:divBdr>
    </w:div>
    <w:div w:id="231279612">
      <w:bodyDiv w:val="1"/>
      <w:marLeft w:val="0"/>
      <w:marRight w:val="0"/>
      <w:marTop w:val="0"/>
      <w:marBottom w:val="0"/>
      <w:divBdr>
        <w:top w:val="none" w:sz="0" w:space="0" w:color="auto"/>
        <w:left w:val="none" w:sz="0" w:space="0" w:color="auto"/>
        <w:bottom w:val="none" w:sz="0" w:space="0" w:color="auto"/>
        <w:right w:val="none" w:sz="0" w:space="0" w:color="auto"/>
      </w:divBdr>
    </w:div>
    <w:div w:id="232207217">
      <w:bodyDiv w:val="1"/>
      <w:marLeft w:val="0"/>
      <w:marRight w:val="0"/>
      <w:marTop w:val="0"/>
      <w:marBottom w:val="0"/>
      <w:divBdr>
        <w:top w:val="none" w:sz="0" w:space="0" w:color="auto"/>
        <w:left w:val="none" w:sz="0" w:space="0" w:color="auto"/>
        <w:bottom w:val="none" w:sz="0" w:space="0" w:color="auto"/>
        <w:right w:val="none" w:sz="0" w:space="0" w:color="auto"/>
      </w:divBdr>
    </w:div>
    <w:div w:id="236400550">
      <w:bodyDiv w:val="1"/>
      <w:marLeft w:val="0"/>
      <w:marRight w:val="0"/>
      <w:marTop w:val="0"/>
      <w:marBottom w:val="0"/>
      <w:divBdr>
        <w:top w:val="none" w:sz="0" w:space="0" w:color="auto"/>
        <w:left w:val="none" w:sz="0" w:space="0" w:color="auto"/>
        <w:bottom w:val="none" w:sz="0" w:space="0" w:color="auto"/>
        <w:right w:val="none" w:sz="0" w:space="0" w:color="auto"/>
      </w:divBdr>
    </w:div>
    <w:div w:id="239219247">
      <w:bodyDiv w:val="1"/>
      <w:marLeft w:val="0"/>
      <w:marRight w:val="0"/>
      <w:marTop w:val="0"/>
      <w:marBottom w:val="0"/>
      <w:divBdr>
        <w:top w:val="none" w:sz="0" w:space="0" w:color="auto"/>
        <w:left w:val="none" w:sz="0" w:space="0" w:color="auto"/>
        <w:bottom w:val="none" w:sz="0" w:space="0" w:color="auto"/>
        <w:right w:val="none" w:sz="0" w:space="0" w:color="auto"/>
      </w:divBdr>
    </w:div>
    <w:div w:id="245499011">
      <w:bodyDiv w:val="1"/>
      <w:marLeft w:val="0"/>
      <w:marRight w:val="0"/>
      <w:marTop w:val="0"/>
      <w:marBottom w:val="0"/>
      <w:divBdr>
        <w:top w:val="none" w:sz="0" w:space="0" w:color="auto"/>
        <w:left w:val="none" w:sz="0" w:space="0" w:color="auto"/>
        <w:bottom w:val="none" w:sz="0" w:space="0" w:color="auto"/>
        <w:right w:val="none" w:sz="0" w:space="0" w:color="auto"/>
      </w:divBdr>
    </w:div>
    <w:div w:id="251400627">
      <w:bodyDiv w:val="1"/>
      <w:marLeft w:val="0"/>
      <w:marRight w:val="0"/>
      <w:marTop w:val="0"/>
      <w:marBottom w:val="0"/>
      <w:divBdr>
        <w:top w:val="none" w:sz="0" w:space="0" w:color="auto"/>
        <w:left w:val="none" w:sz="0" w:space="0" w:color="auto"/>
        <w:bottom w:val="none" w:sz="0" w:space="0" w:color="auto"/>
        <w:right w:val="none" w:sz="0" w:space="0" w:color="auto"/>
      </w:divBdr>
    </w:div>
    <w:div w:id="260454507">
      <w:bodyDiv w:val="1"/>
      <w:marLeft w:val="0"/>
      <w:marRight w:val="0"/>
      <w:marTop w:val="0"/>
      <w:marBottom w:val="0"/>
      <w:divBdr>
        <w:top w:val="none" w:sz="0" w:space="0" w:color="auto"/>
        <w:left w:val="none" w:sz="0" w:space="0" w:color="auto"/>
        <w:bottom w:val="none" w:sz="0" w:space="0" w:color="auto"/>
        <w:right w:val="none" w:sz="0" w:space="0" w:color="auto"/>
      </w:divBdr>
    </w:div>
    <w:div w:id="270473350">
      <w:bodyDiv w:val="1"/>
      <w:marLeft w:val="0"/>
      <w:marRight w:val="0"/>
      <w:marTop w:val="0"/>
      <w:marBottom w:val="0"/>
      <w:divBdr>
        <w:top w:val="none" w:sz="0" w:space="0" w:color="auto"/>
        <w:left w:val="none" w:sz="0" w:space="0" w:color="auto"/>
        <w:bottom w:val="none" w:sz="0" w:space="0" w:color="auto"/>
        <w:right w:val="none" w:sz="0" w:space="0" w:color="auto"/>
      </w:divBdr>
    </w:div>
    <w:div w:id="280385306">
      <w:bodyDiv w:val="1"/>
      <w:marLeft w:val="0"/>
      <w:marRight w:val="0"/>
      <w:marTop w:val="0"/>
      <w:marBottom w:val="0"/>
      <w:divBdr>
        <w:top w:val="none" w:sz="0" w:space="0" w:color="auto"/>
        <w:left w:val="none" w:sz="0" w:space="0" w:color="auto"/>
        <w:bottom w:val="none" w:sz="0" w:space="0" w:color="auto"/>
        <w:right w:val="none" w:sz="0" w:space="0" w:color="auto"/>
      </w:divBdr>
    </w:div>
    <w:div w:id="290718232">
      <w:bodyDiv w:val="1"/>
      <w:marLeft w:val="0"/>
      <w:marRight w:val="0"/>
      <w:marTop w:val="0"/>
      <w:marBottom w:val="0"/>
      <w:divBdr>
        <w:top w:val="none" w:sz="0" w:space="0" w:color="auto"/>
        <w:left w:val="none" w:sz="0" w:space="0" w:color="auto"/>
        <w:bottom w:val="none" w:sz="0" w:space="0" w:color="auto"/>
        <w:right w:val="none" w:sz="0" w:space="0" w:color="auto"/>
      </w:divBdr>
    </w:div>
    <w:div w:id="291326158">
      <w:bodyDiv w:val="1"/>
      <w:marLeft w:val="0"/>
      <w:marRight w:val="0"/>
      <w:marTop w:val="0"/>
      <w:marBottom w:val="0"/>
      <w:divBdr>
        <w:top w:val="none" w:sz="0" w:space="0" w:color="auto"/>
        <w:left w:val="none" w:sz="0" w:space="0" w:color="auto"/>
        <w:bottom w:val="none" w:sz="0" w:space="0" w:color="auto"/>
        <w:right w:val="none" w:sz="0" w:space="0" w:color="auto"/>
      </w:divBdr>
    </w:div>
    <w:div w:id="296692608">
      <w:bodyDiv w:val="1"/>
      <w:marLeft w:val="0"/>
      <w:marRight w:val="0"/>
      <w:marTop w:val="0"/>
      <w:marBottom w:val="0"/>
      <w:divBdr>
        <w:top w:val="none" w:sz="0" w:space="0" w:color="auto"/>
        <w:left w:val="none" w:sz="0" w:space="0" w:color="auto"/>
        <w:bottom w:val="none" w:sz="0" w:space="0" w:color="auto"/>
        <w:right w:val="none" w:sz="0" w:space="0" w:color="auto"/>
      </w:divBdr>
    </w:div>
    <w:div w:id="302128189">
      <w:bodyDiv w:val="1"/>
      <w:marLeft w:val="0"/>
      <w:marRight w:val="0"/>
      <w:marTop w:val="0"/>
      <w:marBottom w:val="0"/>
      <w:divBdr>
        <w:top w:val="none" w:sz="0" w:space="0" w:color="auto"/>
        <w:left w:val="none" w:sz="0" w:space="0" w:color="auto"/>
        <w:bottom w:val="none" w:sz="0" w:space="0" w:color="auto"/>
        <w:right w:val="none" w:sz="0" w:space="0" w:color="auto"/>
      </w:divBdr>
    </w:div>
    <w:div w:id="304361313">
      <w:bodyDiv w:val="1"/>
      <w:marLeft w:val="0"/>
      <w:marRight w:val="0"/>
      <w:marTop w:val="0"/>
      <w:marBottom w:val="0"/>
      <w:divBdr>
        <w:top w:val="none" w:sz="0" w:space="0" w:color="auto"/>
        <w:left w:val="none" w:sz="0" w:space="0" w:color="auto"/>
        <w:bottom w:val="none" w:sz="0" w:space="0" w:color="auto"/>
        <w:right w:val="none" w:sz="0" w:space="0" w:color="auto"/>
      </w:divBdr>
    </w:div>
    <w:div w:id="304432251">
      <w:bodyDiv w:val="1"/>
      <w:marLeft w:val="0"/>
      <w:marRight w:val="0"/>
      <w:marTop w:val="0"/>
      <w:marBottom w:val="0"/>
      <w:divBdr>
        <w:top w:val="none" w:sz="0" w:space="0" w:color="auto"/>
        <w:left w:val="none" w:sz="0" w:space="0" w:color="auto"/>
        <w:bottom w:val="none" w:sz="0" w:space="0" w:color="auto"/>
        <w:right w:val="none" w:sz="0" w:space="0" w:color="auto"/>
      </w:divBdr>
    </w:div>
    <w:div w:id="304436194">
      <w:bodyDiv w:val="1"/>
      <w:marLeft w:val="0"/>
      <w:marRight w:val="0"/>
      <w:marTop w:val="0"/>
      <w:marBottom w:val="0"/>
      <w:divBdr>
        <w:top w:val="none" w:sz="0" w:space="0" w:color="auto"/>
        <w:left w:val="none" w:sz="0" w:space="0" w:color="auto"/>
        <w:bottom w:val="none" w:sz="0" w:space="0" w:color="auto"/>
        <w:right w:val="none" w:sz="0" w:space="0" w:color="auto"/>
      </w:divBdr>
    </w:div>
    <w:div w:id="304899165">
      <w:bodyDiv w:val="1"/>
      <w:marLeft w:val="0"/>
      <w:marRight w:val="0"/>
      <w:marTop w:val="0"/>
      <w:marBottom w:val="0"/>
      <w:divBdr>
        <w:top w:val="none" w:sz="0" w:space="0" w:color="auto"/>
        <w:left w:val="none" w:sz="0" w:space="0" w:color="auto"/>
        <w:bottom w:val="none" w:sz="0" w:space="0" w:color="auto"/>
        <w:right w:val="none" w:sz="0" w:space="0" w:color="auto"/>
      </w:divBdr>
    </w:div>
    <w:div w:id="307368344">
      <w:bodyDiv w:val="1"/>
      <w:marLeft w:val="0"/>
      <w:marRight w:val="0"/>
      <w:marTop w:val="0"/>
      <w:marBottom w:val="0"/>
      <w:divBdr>
        <w:top w:val="none" w:sz="0" w:space="0" w:color="auto"/>
        <w:left w:val="none" w:sz="0" w:space="0" w:color="auto"/>
        <w:bottom w:val="none" w:sz="0" w:space="0" w:color="auto"/>
        <w:right w:val="none" w:sz="0" w:space="0" w:color="auto"/>
      </w:divBdr>
    </w:div>
    <w:div w:id="309526542">
      <w:bodyDiv w:val="1"/>
      <w:marLeft w:val="0"/>
      <w:marRight w:val="0"/>
      <w:marTop w:val="0"/>
      <w:marBottom w:val="0"/>
      <w:divBdr>
        <w:top w:val="none" w:sz="0" w:space="0" w:color="auto"/>
        <w:left w:val="none" w:sz="0" w:space="0" w:color="auto"/>
        <w:bottom w:val="none" w:sz="0" w:space="0" w:color="auto"/>
        <w:right w:val="none" w:sz="0" w:space="0" w:color="auto"/>
      </w:divBdr>
    </w:div>
    <w:div w:id="314186193">
      <w:bodyDiv w:val="1"/>
      <w:marLeft w:val="0"/>
      <w:marRight w:val="0"/>
      <w:marTop w:val="0"/>
      <w:marBottom w:val="0"/>
      <w:divBdr>
        <w:top w:val="none" w:sz="0" w:space="0" w:color="auto"/>
        <w:left w:val="none" w:sz="0" w:space="0" w:color="auto"/>
        <w:bottom w:val="none" w:sz="0" w:space="0" w:color="auto"/>
        <w:right w:val="none" w:sz="0" w:space="0" w:color="auto"/>
      </w:divBdr>
    </w:div>
    <w:div w:id="318732154">
      <w:bodyDiv w:val="1"/>
      <w:marLeft w:val="0"/>
      <w:marRight w:val="0"/>
      <w:marTop w:val="0"/>
      <w:marBottom w:val="0"/>
      <w:divBdr>
        <w:top w:val="none" w:sz="0" w:space="0" w:color="auto"/>
        <w:left w:val="none" w:sz="0" w:space="0" w:color="auto"/>
        <w:bottom w:val="none" w:sz="0" w:space="0" w:color="auto"/>
        <w:right w:val="none" w:sz="0" w:space="0" w:color="auto"/>
      </w:divBdr>
    </w:div>
    <w:div w:id="321932672">
      <w:bodyDiv w:val="1"/>
      <w:marLeft w:val="0"/>
      <w:marRight w:val="0"/>
      <w:marTop w:val="0"/>
      <w:marBottom w:val="0"/>
      <w:divBdr>
        <w:top w:val="none" w:sz="0" w:space="0" w:color="auto"/>
        <w:left w:val="none" w:sz="0" w:space="0" w:color="auto"/>
        <w:bottom w:val="none" w:sz="0" w:space="0" w:color="auto"/>
        <w:right w:val="none" w:sz="0" w:space="0" w:color="auto"/>
      </w:divBdr>
    </w:div>
    <w:div w:id="323095787">
      <w:bodyDiv w:val="1"/>
      <w:marLeft w:val="0"/>
      <w:marRight w:val="0"/>
      <w:marTop w:val="0"/>
      <w:marBottom w:val="0"/>
      <w:divBdr>
        <w:top w:val="none" w:sz="0" w:space="0" w:color="auto"/>
        <w:left w:val="none" w:sz="0" w:space="0" w:color="auto"/>
        <w:bottom w:val="none" w:sz="0" w:space="0" w:color="auto"/>
        <w:right w:val="none" w:sz="0" w:space="0" w:color="auto"/>
      </w:divBdr>
    </w:div>
    <w:div w:id="323360083">
      <w:bodyDiv w:val="1"/>
      <w:marLeft w:val="0"/>
      <w:marRight w:val="0"/>
      <w:marTop w:val="0"/>
      <w:marBottom w:val="0"/>
      <w:divBdr>
        <w:top w:val="none" w:sz="0" w:space="0" w:color="auto"/>
        <w:left w:val="none" w:sz="0" w:space="0" w:color="auto"/>
        <w:bottom w:val="none" w:sz="0" w:space="0" w:color="auto"/>
        <w:right w:val="none" w:sz="0" w:space="0" w:color="auto"/>
      </w:divBdr>
    </w:div>
    <w:div w:id="340860263">
      <w:bodyDiv w:val="1"/>
      <w:marLeft w:val="0"/>
      <w:marRight w:val="0"/>
      <w:marTop w:val="0"/>
      <w:marBottom w:val="0"/>
      <w:divBdr>
        <w:top w:val="none" w:sz="0" w:space="0" w:color="auto"/>
        <w:left w:val="none" w:sz="0" w:space="0" w:color="auto"/>
        <w:bottom w:val="none" w:sz="0" w:space="0" w:color="auto"/>
        <w:right w:val="none" w:sz="0" w:space="0" w:color="auto"/>
      </w:divBdr>
    </w:div>
    <w:div w:id="344211257">
      <w:bodyDiv w:val="1"/>
      <w:marLeft w:val="0"/>
      <w:marRight w:val="0"/>
      <w:marTop w:val="0"/>
      <w:marBottom w:val="0"/>
      <w:divBdr>
        <w:top w:val="none" w:sz="0" w:space="0" w:color="auto"/>
        <w:left w:val="none" w:sz="0" w:space="0" w:color="auto"/>
        <w:bottom w:val="none" w:sz="0" w:space="0" w:color="auto"/>
        <w:right w:val="none" w:sz="0" w:space="0" w:color="auto"/>
      </w:divBdr>
    </w:div>
    <w:div w:id="344330584">
      <w:bodyDiv w:val="1"/>
      <w:marLeft w:val="0"/>
      <w:marRight w:val="0"/>
      <w:marTop w:val="0"/>
      <w:marBottom w:val="0"/>
      <w:divBdr>
        <w:top w:val="none" w:sz="0" w:space="0" w:color="auto"/>
        <w:left w:val="none" w:sz="0" w:space="0" w:color="auto"/>
        <w:bottom w:val="none" w:sz="0" w:space="0" w:color="auto"/>
        <w:right w:val="none" w:sz="0" w:space="0" w:color="auto"/>
      </w:divBdr>
    </w:div>
    <w:div w:id="348802748">
      <w:bodyDiv w:val="1"/>
      <w:marLeft w:val="0"/>
      <w:marRight w:val="0"/>
      <w:marTop w:val="0"/>
      <w:marBottom w:val="0"/>
      <w:divBdr>
        <w:top w:val="none" w:sz="0" w:space="0" w:color="auto"/>
        <w:left w:val="none" w:sz="0" w:space="0" w:color="auto"/>
        <w:bottom w:val="none" w:sz="0" w:space="0" w:color="auto"/>
        <w:right w:val="none" w:sz="0" w:space="0" w:color="auto"/>
      </w:divBdr>
    </w:div>
    <w:div w:id="350690104">
      <w:bodyDiv w:val="1"/>
      <w:marLeft w:val="0"/>
      <w:marRight w:val="0"/>
      <w:marTop w:val="0"/>
      <w:marBottom w:val="0"/>
      <w:divBdr>
        <w:top w:val="none" w:sz="0" w:space="0" w:color="auto"/>
        <w:left w:val="none" w:sz="0" w:space="0" w:color="auto"/>
        <w:bottom w:val="none" w:sz="0" w:space="0" w:color="auto"/>
        <w:right w:val="none" w:sz="0" w:space="0" w:color="auto"/>
      </w:divBdr>
    </w:div>
    <w:div w:id="354578452">
      <w:bodyDiv w:val="1"/>
      <w:marLeft w:val="0"/>
      <w:marRight w:val="0"/>
      <w:marTop w:val="0"/>
      <w:marBottom w:val="0"/>
      <w:divBdr>
        <w:top w:val="none" w:sz="0" w:space="0" w:color="auto"/>
        <w:left w:val="none" w:sz="0" w:space="0" w:color="auto"/>
        <w:bottom w:val="none" w:sz="0" w:space="0" w:color="auto"/>
        <w:right w:val="none" w:sz="0" w:space="0" w:color="auto"/>
      </w:divBdr>
    </w:div>
    <w:div w:id="354815933">
      <w:bodyDiv w:val="1"/>
      <w:marLeft w:val="0"/>
      <w:marRight w:val="0"/>
      <w:marTop w:val="0"/>
      <w:marBottom w:val="0"/>
      <w:divBdr>
        <w:top w:val="none" w:sz="0" w:space="0" w:color="auto"/>
        <w:left w:val="none" w:sz="0" w:space="0" w:color="auto"/>
        <w:bottom w:val="none" w:sz="0" w:space="0" w:color="auto"/>
        <w:right w:val="none" w:sz="0" w:space="0" w:color="auto"/>
      </w:divBdr>
    </w:div>
    <w:div w:id="359009769">
      <w:bodyDiv w:val="1"/>
      <w:marLeft w:val="0"/>
      <w:marRight w:val="0"/>
      <w:marTop w:val="0"/>
      <w:marBottom w:val="0"/>
      <w:divBdr>
        <w:top w:val="none" w:sz="0" w:space="0" w:color="auto"/>
        <w:left w:val="none" w:sz="0" w:space="0" w:color="auto"/>
        <w:bottom w:val="none" w:sz="0" w:space="0" w:color="auto"/>
        <w:right w:val="none" w:sz="0" w:space="0" w:color="auto"/>
      </w:divBdr>
    </w:div>
    <w:div w:id="362438802">
      <w:bodyDiv w:val="1"/>
      <w:marLeft w:val="0"/>
      <w:marRight w:val="0"/>
      <w:marTop w:val="0"/>
      <w:marBottom w:val="0"/>
      <w:divBdr>
        <w:top w:val="none" w:sz="0" w:space="0" w:color="auto"/>
        <w:left w:val="none" w:sz="0" w:space="0" w:color="auto"/>
        <w:bottom w:val="none" w:sz="0" w:space="0" w:color="auto"/>
        <w:right w:val="none" w:sz="0" w:space="0" w:color="auto"/>
      </w:divBdr>
    </w:div>
    <w:div w:id="363681022">
      <w:bodyDiv w:val="1"/>
      <w:marLeft w:val="0"/>
      <w:marRight w:val="0"/>
      <w:marTop w:val="0"/>
      <w:marBottom w:val="0"/>
      <w:divBdr>
        <w:top w:val="none" w:sz="0" w:space="0" w:color="auto"/>
        <w:left w:val="none" w:sz="0" w:space="0" w:color="auto"/>
        <w:bottom w:val="none" w:sz="0" w:space="0" w:color="auto"/>
        <w:right w:val="none" w:sz="0" w:space="0" w:color="auto"/>
      </w:divBdr>
    </w:div>
    <w:div w:id="372970090">
      <w:bodyDiv w:val="1"/>
      <w:marLeft w:val="0"/>
      <w:marRight w:val="0"/>
      <w:marTop w:val="0"/>
      <w:marBottom w:val="0"/>
      <w:divBdr>
        <w:top w:val="none" w:sz="0" w:space="0" w:color="auto"/>
        <w:left w:val="none" w:sz="0" w:space="0" w:color="auto"/>
        <w:bottom w:val="none" w:sz="0" w:space="0" w:color="auto"/>
        <w:right w:val="none" w:sz="0" w:space="0" w:color="auto"/>
      </w:divBdr>
    </w:div>
    <w:div w:id="380789913">
      <w:bodyDiv w:val="1"/>
      <w:marLeft w:val="0"/>
      <w:marRight w:val="0"/>
      <w:marTop w:val="0"/>
      <w:marBottom w:val="0"/>
      <w:divBdr>
        <w:top w:val="none" w:sz="0" w:space="0" w:color="auto"/>
        <w:left w:val="none" w:sz="0" w:space="0" w:color="auto"/>
        <w:bottom w:val="none" w:sz="0" w:space="0" w:color="auto"/>
        <w:right w:val="none" w:sz="0" w:space="0" w:color="auto"/>
      </w:divBdr>
    </w:div>
    <w:div w:id="401024633">
      <w:bodyDiv w:val="1"/>
      <w:marLeft w:val="0"/>
      <w:marRight w:val="0"/>
      <w:marTop w:val="0"/>
      <w:marBottom w:val="0"/>
      <w:divBdr>
        <w:top w:val="none" w:sz="0" w:space="0" w:color="auto"/>
        <w:left w:val="none" w:sz="0" w:space="0" w:color="auto"/>
        <w:bottom w:val="none" w:sz="0" w:space="0" w:color="auto"/>
        <w:right w:val="none" w:sz="0" w:space="0" w:color="auto"/>
      </w:divBdr>
    </w:div>
    <w:div w:id="406197673">
      <w:bodyDiv w:val="1"/>
      <w:marLeft w:val="0"/>
      <w:marRight w:val="0"/>
      <w:marTop w:val="0"/>
      <w:marBottom w:val="0"/>
      <w:divBdr>
        <w:top w:val="none" w:sz="0" w:space="0" w:color="auto"/>
        <w:left w:val="none" w:sz="0" w:space="0" w:color="auto"/>
        <w:bottom w:val="none" w:sz="0" w:space="0" w:color="auto"/>
        <w:right w:val="none" w:sz="0" w:space="0" w:color="auto"/>
      </w:divBdr>
    </w:div>
    <w:div w:id="406853507">
      <w:bodyDiv w:val="1"/>
      <w:marLeft w:val="0"/>
      <w:marRight w:val="0"/>
      <w:marTop w:val="0"/>
      <w:marBottom w:val="0"/>
      <w:divBdr>
        <w:top w:val="none" w:sz="0" w:space="0" w:color="auto"/>
        <w:left w:val="none" w:sz="0" w:space="0" w:color="auto"/>
        <w:bottom w:val="none" w:sz="0" w:space="0" w:color="auto"/>
        <w:right w:val="none" w:sz="0" w:space="0" w:color="auto"/>
      </w:divBdr>
    </w:div>
    <w:div w:id="411394064">
      <w:bodyDiv w:val="1"/>
      <w:marLeft w:val="0"/>
      <w:marRight w:val="0"/>
      <w:marTop w:val="0"/>
      <w:marBottom w:val="0"/>
      <w:divBdr>
        <w:top w:val="none" w:sz="0" w:space="0" w:color="auto"/>
        <w:left w:val="none" w:sz="0" w:space="0" w:color="auto"/>
        <w:bottom w:val="none" w:sz="0" w:space="0" w:color="auto"/>
        <w:right w:val="none" w:sz="0" w:space="0" w:color="auto"/>
      </w:divBdr>
    </w:div>
    <w:div w:id="417676227">
      <w:bodyDiv w:val="1"/>
      <w:marLeft w:val="0"/>
      <w:marRight w:val="0"/>
      <w:marTop w:val="0"/>
      <w:marBottom w:val="0"/>
      <w:divBdr>
        <w:top w:val="none" w:sz="0" w:space="0" w:color="auto"/>
        <w:left w:val="none" w:sz="0" w:space="0" w:color="auto"/>
        <w:bottom w:val="none" w:sz="0" w:space="0" w:color="auto"/>
        <w:right w:val="none" w:sz="0" w:space="0" w:color="auto"/>
      </w:divBdr>
    </w:div>
    <w:div w:id="421342527">
      <w:bodyDiv w:val="1"/>
      <w:marLeft w:val="0"/>
      <w:marRight w:val="0"/>
      <w:marTop w:val="0"/>
      <w:marBottom w:val="0"/>
      <w:divBdr>
        <w:top w:val="none" w:sz="0" w:space="0" w:color="auto"/>
        <w:left w:val="none" w:sz="0" w:space="0" w:color="auto"/>
        <w:bottom w:val="none" w:sz="0" w:space="0" w:color="auto"/>
        <w:right w:val="none" w:sz="0" w:space="0" w:color="auto"/>
      </w:divBdr>
    </w:div>
    <w:div w:id="433747499">
      <w:bodyDiv w:val="1"/>
      <w:marLeft w:val="0"/>
      <w:marRight w:val="0"/>
      <w:marTop w:val="0"/>
      <w:marBottom w:val="0"/>
      <w:divBdr>
        <w:top w:val="none" w:sz="0" w:space="0" w:color="auto"/>
        <w:left w:val="none" w:sz="0" w:space="0" w:color="auto"/>
        <w:bottom w:val="none" w:sz="0" w:space="0" w:color="auto"/>
        <w:right w:val="none" w:sz="0" w:space="0" w:color="auto"/>
      </w:divBdr>
    </w:div>
    <w:div w:id="435560634">
      <w:bodyDiv w:val="1"/>
      <w:marLeft w:val="0"/>
      <w:marRight w:val="0"/>
      <w:marTop w:val="0"/>
      <w:marBottom w:val="0"/>
      <w:divBdr>
        <w:top w:val="none" w:sz="0" w:space="0" w:color="auto"/>
        <w:left w:val="none" w:sz="0" w:space="0" w:color="auto"/>
        <w:bottom w:val="none" w:sz="0" w:space="0" w:color="auto"/>
        <w:right w:val="none" w:sz="0" w:space="0" w:color="auto"/>
      </w:divBdr>
    </w:div>
    <w:div w:id="435639326">
      <w:bodyDiv w:val="1"/>
      <w:marLeft w:val="0"/>
      <w:marRight w:val="0"/>
      <w:marTop w:val="0"/>
      <w:marBottom w:val="0"/>
      <w:divBdr>
        <w:top w:val="none" w:sz="0" w:space="0" w:color="auto"/>
        <w:left w:val="none" w:sz="0" w:space="0" w:color="auto"/>
        <w:bottom w:val="none" w:sz="0" w:space="0" w:color="auto"/>
        <w:right w:val="none" w:sz="0" w:space="0" w:color="auto"/>
      </w:divBdr>
    </w:div>
    <w:div w:id="435834963">
      <w:bodyDiv w:val="1"/>
      <w:marLeft w:val="0"/>
      <w:marRight w:val="0"/>
      <w:marTop w:val="0"/>
      <w:marBottom w:val="0"/>
      <w:divBdr>
        <w:top w:val="none" w:sz="0" w:space="0" w:color="auto"/>
        <w:left w:val="none" w:sz="0" w:space="0" w:color="auto"/>
        <w:bottom w:val="none" w:sz="0" w:space="0" w:color="auto"/>
        <w:right w:val="none" w:sz="0" w:space="0" w:color="auto"/>
      </w:divBdr>
    </w:div>
    <w:div w:id="437915924">
      <w:bodyDiv w:val="1"/>
      <w:marLeft w:val="0"/>
      <w:marRight w:val="0"/>
      <w:marTop w:val="0"/>
      <w:marBottom w:val="0"/>
      <w:divBdr>
        <w:top w:val="none" w:sz="0" w:space="0" w:color="auto"/>
        <w:left w:val="none" w:sz="0" w:space="0" w:color="auto"/>
        <w:bottom w:val="none" w:sz="0" w:space="0" w:color="auto"/>
        <w:right w:val="none" w:sz="0" w:space="0" w:color="auto"/>
      </w:divBdr>
    </w:div>
    <w:div w:id="439297768">
      <w:bodyDiv w:val="1"/>
      <w:marLeft w:val="0"/>
      <w:marRight w:val="0"/>
      <w:marTop w:val="0"/>
      <w:marBottom w:val="0"/>
      <w:divBdr>
        <w:top w:val="none" w:sz="0" w:space="0" w:color="auto"/>
        <w:left w:val="none" w:sz="0" w:space="0" w:color="auto"/>
        <w:bottom w:val="none" w:sz="0" w:space="0" w:color="auto"/>
        <w:right w:val="none" w:sz="0" w:space="0" w:color="auto"/>
      </w:divBdr>
    </w:div>
    <w:div w:id="445080215">
      <w:bodyDiv w:val="1"/>
      <w:marLeft w:val="0"/>
      <w:marRight w:val="0"/>
      <w:marTop w:val="0"/>
      <w:marBottom w:val="0"/>
      <w:divBdr>
        <w:top w:val="none" w:sz="0" w:space="0" w:color="auto"/>
        <w:left w:val="none" w:sz="0" w:space="0" w:color="auto"/>
        <w:bottom w:val="none" w:sz="0" w:space="0" w:color="auto"/>
        <w:right w:val="none" w:sz="0" w:space="0" w:color="auto"/>
      </w:divBdr>
    </w:div>
    <w:div w:id="455218606">
      <w:bodyDiv w:val="1"/>
      <w:marLeft w:val="0"/>
      <w:marRight w:val="0"/>
      <w:marTop w:val="0"/>
      <w:marBottom w:val="0"/>
      <w:divBdr>
        <w:top w:val="none" w:sz="0" w:space="0" w:color="auto"/>
        <w:left w:val="none" w:sz="0" w:space="0" w:color="auto"/>
        <w:bottom w:val="none" w:sz="0" w:space="0" w:color="auto"/>
        <w:right w:val="none" w:sz="0" w:space="0" w:color="auto"/>
      </w:divBdr>
    </w:div>
    <w:div w:id="455563084">
      <w:bodyDiv w:val="1"/>
      <w:marLeft w:val="0"/>
      <w:marRight w:val="0"/>
      <w:marTop w:val="0"/>
      <w:marBottom w:val="0"/>
      <w:divBdr>
        <w:top w:val="none" w:sz="0" w:space="0" w:color="auto"/>
        <w:left w:val="none" w:sz="0" w:space="0" w:color="auto"/>
        <w:bottom w:val="none" w:sz="0" w:space="0" w:color="auto"/>
        <w:right w:val="none" w:sz="0" w:space="0" w:color="auto"/>
      </w:divBdr>
    </w:div>
    <w:div w:id="456918828">
      <w:bodyDiv w:val="1"/>
      <w:marLeft w:val="0"/>
      <w:marRight w:val="0"/>
      <w:marTop w:val="0"/>
      <w:marBottom w:val="0"/>
      <w:divBdr>
        <w:top w:val="none" w:sz="0" w:space="0" w:color="auto"/>
        <w:left w:val="none" w:sz="0" w:space="0" w:color="auto"/>
        <w:bottom w:val="none" w:sz="0" w:space="0" w:color="auto"/>
        <w:right w:val="none" w:sz="0" w:space="0" w:color="auto"/>
      </w:divBdr>
    </w:div>
    <w:div w:id="470749516">
      <w:bodyDiv w:val="1"/>
      <w:marLeft w:val="0"/>
      <w:marRight w:val="0"/>
      <w:marTop w:val="0"/>
      <w:marBottom w:val="0"/>
      <w:divBdr>
        <w:top w:val="none" w:sz="0" w:space="0" w:color="auto"/>
        <w:left w:val="none" w:sz="0" w:space="0" w:color="auto"/>
        <w:bottom w:val="none" w:sz="0" w:space="0" w:color="auto"/>
        <w:right w:val="none" w:sz="0" w:space="0" w:color="auto"/>
      </w:divBdr>
    </w:div>
    <w:div w:id="471023548">
      <w:bodyDiv w:val="1"/>
      <w:marLeft w:val="0"/>
      <w:marRight w:val="0"/>
      <w:marTop w:val="0"/>
      <w:marBottom w:val="0"/>
      <w:divBdr>
        <w:top w:val="none" w:sz="0" w:space="0" w:color="auto"/>
        <w:left w:val="none" w:sz="0" w:space="0" w:color="auto"/>
        <w:bottom w:val="none" w:sz="0" w:space="0" w:color="auto"/>
        <w:right w:val="none" w:sz="0" w:space="0" w:color="auto"/>
      </w:divBdr>
    </w:div>
    <w:div w:id="477039148">
      <w:bodyDiv w:val="1"/>
      <w:marLeft w:val="0"/>
      <w:marRight w:val="0"/>
      <w:marTop w:val="0"/>
      <w:marBottom w:val="0"/>
      <w:divBdr>
        <w:top w:val="none" w:sz="0" w:space="0" w:color="auto"/>
        <w:left w:val="none" w:sz="0" w:space="0" w:color="auto"/>
        <w:bottom w:val="none" w:sz="0" w:space="0" w:color="auto"/>
        <w:right w:val="none" w:sz="0" w:space="0" w:color="auto"/>
      </w:divBdr>
    </w:div>
    <w:div w:id="482699836">
      <w:bodyDiv w:val="1"/>
      <w:marLeft w:val="0"/>
      <w:marRight w:val="0"/>
      <w:marTop w:val="0"/>
      <w:marBottom w:val="0"/>
      <w:divBdr>
        <w:top w:val="none" w:sz="0" w:space="0" w:color="auto"/>
        <w:left w:val="none" w:sz="0" w:space="0" w:color="auto"/>
        <w:bottom w:val="none" w:sz="0" w:space="0" w:color="auto"/>
        <w:right w:val="none" w:sz="0" w:space="0" w:color="auto"/>
      </w:divBdr>
    </w:div>
    <w:div w:id="485130099">
      <w:bodyDiv w:val="1"/>
      <w:marLeft w:val="0"/>
      <w:marRight w:val="0"/>
      <w:marTop w:val="0"/>
      <w:marBottom w:val="0"/>
      <w:divBdr>
        <w:top w:val="none" w:sz="0" w:space="0" w:color="auto"/>
        <w:left w:val="none" w:sz="0" w:space="0" w:color="auto"/>
        <w:bottom w:val="none" w:sz="0" w:space="0" w:color="auto"/>
        <w:right w:val="none" w:sz="0" w:space="0" w:color="auto"/>
      </w:divBdr>
    </w:div>
    <w:div w:id="485635246">
      <w:bodyDiv w:val="1"/>
      <w:marLeft w:val="0"/>
      <w:marRight w:val="0"/>
      <w:marTop w:val="0"/>
      <w:marBottom w:val="0"/>
      <w:divBdr>
        <w:top w:val="none" w:sz="0" w:space="0" w:color="auto"/>
        <w:left w:val="none" w:sz="0" w:space="0" w:color="auto"/>
        <w:bottom w:val="none" w:sz="0" w:space="0" w:color="auto"/>
        <w:right w:val="none" w:sz="0" w:space="0" w:color="auto"/>
      </w:divBdr>
    </w:div>
    <w:div w:id="486635790">
      <w:bodyDiv w:val="1"/>
      <w:marLeft w:val="0"/>
      <w:marRight w:val="0"/>
      <w:marTop w:val="0"/>
      <w:marBottom w:val="0"/>
      <w:divBdr>
        <w:top w:val="none" w:sz="0" w:space="0" w:color="auto"/>
        <w:left w:val="none" w:sz="0" w:space="0" w:color="auto"/>
        <w:bottom w:val="none" w:sz="0" w:space="0" w:color="auto"/>
        <w:right w:val="none" w:sz="0" w:space="0" w:color="auto"/>
      </w:divBdr>
    </w:div>
    <w:div w:id="492382452">
      <w:bodyDiv w:val="1"/>
      <w:marLeft w:val="0"/>
      <w:marRight w:val="0"/>
      <w:marTop w:val="0"/>
      <w:marBottom w:val="0"/>
      <w:divBdr>
        <w:top w:val="none" w:sz="0" w:space="0" w:color="auto"/>
        <w:left w:val="none" w:sz="0" w:space="0" w:color="auto"/>
        <w:bottom w:val="none" w:sz="0" w:space="0" w:color="auto"/>
        <w:right w:val="none" w:sz="0" w:space="0" w:color="auto"/>
      </w:divBdr>
    </w:div>
    <w:div w:id="492573783">
      <w:bodyDiv w:val="1"/>
      <w:marLeft w:val="0"/>
      <w:marRight w:val="0"/>
      <w:marTop w:val="0"/>
      <w:marBottom w:val="0"/>
      <w:divBdr>
        <w:top w:val="none" w:sz="0" w:space="0" w:color="auto"/>
        <w:left w:val="none" w:sz="0" w:space="0" w:color="auto"/>
        <w:bottom w:val="none" w:sz="0" w:space="0" w:color="auto"/>
        <w:right w:val="none" w:sz="0" w:space="0" w:color="auto"/>
      </w:divBdr>
    </w:div>
    <w:div w:id="493840763">
      <w:bodyDiv w:val="1"/>
      <w:marLeft w:val="0"/>
      <w:marRight w:val="0"/>
      <w:marTop w:val="0"/>
      <w:marBottom w:val="0"/>
      <w:divBdr>
        <w:top w:val="none" w:sz="0" w:space="0" w:color="auto"/>
        <w:left w:val="none" w:sz="0" w:space="0" w:color="auto"/>
        <w:bottom w:val="none" w:sz="0" w:space="0" w:color="auto"/>
        <w:right w:val="none" w:sz="0" w:space="0" w:color="auto"/>
      </w:divBdr>
    </w:div>
    <w:div w:id="496068666">
      <w:bodyDiv w:val="1"/>
      <w:marLeft w:val="0"/>
      <w:marRight w:val="0"/>
      <w:marTop w:val="0"/>
      <w:marBottom w:val="0"/>
      <w:divBdr>
        <w:top w:val="none" w:sz="0" w:space="0" w:color="auto"/>
        <w:left w:val="none" w:sz="0" w:space="0" w:color="auto"/>
        <w:bottom w:val="none" w:sz="0" w:space="0" w:color="auto"/>
        <w:right w:val="none" w:sz="0" w:space="0" w:color="auto"/>
      </w:divBdr>
    </w:div>
    <w:div w:id="515198075">
      <w:bodyDiv w:val="1"/>
      <w:marLeft w:val="0"/>
      <w:marRight w:val="0"/>
      <w:marTop w:val="0"/>
      <w:marBottom w:val="0"/>
      <w:divBdr>
        <w:top w:val="none" w:sz="0" w:space="0" w:color="auto"/>
        <w:left w:val="none" w:sz="0" w:space="0" w:color="auto"/>
        <w:bottom w:val="none" w:sz="0" w:space="0" w:color="auto"/>
        <w:right w:val="none" w:sz="0" w:space="0" w:color="auto"/>
      </w:divBdr>
    </w:div>
    <w:div w:id="520975630">
      <w:bodyDiv w:val="1"/>
      <w:marLeft w:val="0"/>
      <w:marRight w:val="0"/>
      <w:marTop w:val="0"/>
      <w:marBottom w:val="0"/>
      <w:divBdr>
        <w:top w:val="none" w:sz="0" w:space="0" w:color="auto"/>
        <w:left w:val="none" w:sz="0" w:space="0" w:color="auto"/>
        <w:bottom w:val="none" w:sz="0" w:space="0" w:color="auto"/>
        <w:right w:val="none" w:sz="0" w:space="0" w:color="auto"/>
      </w:divBdr>
    </w:div>
    <w:div w:id="522941785">
      <w:bodyDiv w:val="1"/>
      <w:marLeft w:val="0"/>
      <w:marRight w:val="0"/>
      <w:marTop w:val="0"/>
      <w:marBottom w:val="0"/>
      <w:divBdr>
        <w:top w:val="none" w:sz="0" w:space="0" w:color="auto"/>
        <w:left w:val="none" w:sz="0" w:space="0" w:color="auto"/>
        <w:bottom w:val="none" w:sz="0" w:space="0" w:color="auto"/>
        <w:right w:val="none" w:sz="0" w:space="0" w:color="auto"/>
      </w:divBdr>
    </w:div>
    <w:div w:id="523254814">
      <w:bodyDiv w:val="1"/>
      <w:marLeft w:val="0"/>
      <w:marRight w:val="0"/>
      <w:marTop w:val="0"/>
      <w:marBottom w:val="0"/>
      <w:divBdr>
        <w:top w:val="none" w:sz="0" w:space="0" w:color="auto"/>
        <w:left w:val="none" w:sz="0" w:space="0" w:color="auto"/>
        <w:bottom w:val="none" w:sz="0" w:space="0" w:color="auto"/>
        <w:right w:val="none" w:sz="0" w:space="0" w:color="auto"/>
      </w:divBdr>
    </w:div>
    <w:div w:id="526067901">
      <w:bodyDiv w:val="1"/>
      <w:marLeft w:val="0"/>
      <w:marRight w:val="0"/>
      <w:marTop w:val="0"/>
      <w:marBottom w:val="0"/>
      <w:divBdr>
        <w:top w:val="none" w:sz="0" w:space="0" w:color="auto"/>
        <w:left w:val="none" w:sz="0" w:space="0" w:color="auto"/>
        <w:bottom w:val="none" w:sz="0" w:space="0" w:color="auto"/>
        <w:right w:val="none" w:sz="0" w:space="0" w:color="auto"/>
      </w:divBdr>
    </w:div>
    <w:div w:id="530461689">
      <w:bodyDiv w:val="1"/>
      <w:marLeft w:val="0"/>
      <w:marRight w:val="0"/>
      <w:marTop w:val="0"/>
      <w:marBottom w:val="0"/>
      <w:divBdr>
        <w:top w:val="none" w:sz="0" w:space="0" w:color="auto"/>
        <w:left w:val="none" w:sz="0" w:space="0" w:color="auto"/>
        <w:bottom w:val="none" w:sz="0" w:space="0" w:color="auto"/>
        <w:right w:val="none" w:sz="0" w:space="0" w:color="auto"/>
      </w:divBdr>
    </w:div>
    <w:div w:id="532183673">
      <w:bodyDiv w:val="1"/>
      <w:marLeft w:val="0"/>
      <w:marRight w:val="0"/>
      <w:marTop w:val="0"/>
      <w:marBottom w:val="0"/>
      <w:divBdr>
        <w:top w:val="none" w:sz="0" w:space="0" w:color="auto"/>
        <w:left w:val="none" w:sz="0" w:space="0" w:color="auto"/>
        <w:bottom w:val="none" w:sz="0" w:space="0" w:color="auto"/>
        <w:right w:val="none" w:sz="0" w:space="0" w:color="auto"/>
      </w:divBdr>
    </w:div>
    <w:div w:id="535460699">
      <w:bodyDiv w:val="1"/>
      <w:marLeft w:val="0"/>
      <w:marRight w:val="0"/>
      <w:marTop w:val="0"/>
      <w:marBottom w:val="0"/>
      <w:divBdr>
        <w:top w:val="none" w:sz="0" w:space="0" w:color="auto"/>
        <w:left w:val="none" w:sz="0" w:space="0" w:color="auto"/>
        <w:bottom w:val="none" w:sz="0" w:space="0" w:color="auto"/>
        <w:right w:val="none" w:sz="0" w:space="0" w:color="auto"/>
      </w:divBdr>
    </w:div>
    <w:div w:id="536085036">
      <w:bodyDiv w:val="1"/>
      <w:marLeft w:val="0"/>
      <w:marRight w:val="0"/>
      <w:marTop w:val="0"/>
      <w:marBottom w:val="0"/>
      <w:divBdr>
        <w:top w:val="none" w:sz="0" w:space="0" w:color="auto"/>
        <w:left w:val="none" w:sz="0" w:space="0" w:color="auto"/>
        <w:bottom w:val="none" w:sz="0" w:space="0" w:color="auto"/>
        <w:right w:val="none" w:sz="0" w:space="0" w:color="auto"/>
      </w:divBdr>
    </w:div>
    <w:div w:id="541864894">
      <w:bodyDiv w:val="1"/>
      <w:marLeft w:val="0"/>
      <w:marRight w:val="0"/>
      <w:marTop w:val="0"/>
      <w:marBottom w:val="0"/>
      <w:divBdr>
        <w:top w:val="none" w:sz="0" w:space="0" w:color="auto"/>
        <w:left w:val="none" w:sz="0" w:space="0" w:color="auto"/>
        <w:bottom w:val="none" w:sz="0" w:space="0" w:color="auto"/>
        <w:right w:val="none" w:sz="0" w:space="0" w:color="auto"/>
      </w:divBdr>
    </w:div>
    <w:div w:id="547569611">
      <w:bodyDiv w:val="1"/>
      <w:marLeft w:val="0"/>
      <w:marRight w:val="0"/>
      <w:marTop w:val="0"/>
      <w:marBottom w:val="0"/>
      <w:divBdr>
        <w:top w:val="none" w:sz="0" w:space="0" w:color="auto"/>
        <w:left w:val="none" w:sz="0" w:space="0" w:color="auto"/>
        <w:bottom w:val="none" w:sz="0" w:space="0" w:color="auto"/>
        <w:right w:val="none" w:sz="0" w:space="0" w:color="auto"/>
      </w:divBdr>
    </w:div>
    <w:div w:id="549465213">
      <w:bodyDiv w:val="1"/>
      <w:marLeft w:val="0"/>
      <w:marRight w:val="0"/>
      <w:marTop w:val="0"/>
      <w:marBottom w:val="0"/>
      <w:divBdr>
        <w:top w:val="none" w:sz="0" w:space="0" w:color="auto"/>
        <w:left w:val="none" w:sz="0" w:space="0" w:color="auto"/>
        <w:bottom w:val="none" w:sz="0" w:space="0" w:color="auto"/>
        <w:right w:val="none" w:sz="0" w:space="0" w:color="auto"/>
      </w:divBdr>
    </w:div>
    <w:div w:id="552280625">
      <w:bodyDiv w:val="1"/>
      <w:marLeft w:val="0"/>
      <w:marRight w:val="0"/>
      <w:marTop w:val="0"/>
      <w:marBottom w:val="0"/>
      <w:divBdr>
        <w:top w:val="none" w:sz="0" w:space="0" w:color="auto"/>
        <w:left w:val="none" w:sz="0" w:space="0" w:color="auto"/>
        <w:bottom w:val="none" w:sz="0" w:space="0" w:color="auto"/>
        <w:right w:val="none" w:sz="0" w:space="0" w:color="auto"/>
      </w:divBdr>
    </w:div>
    <w:div w:id="562640504">
      <w:bodyDiv w:val="1"/>
      <w:marLeft w:val="0"/>
      <w:marRight w:val="0"/>
      <w:marTop w:val="0"/>
      <w:marBottom w:val="0"/>
      <w:divBdr>
        <w:top w:val="none" w:sz="0" w:space="0" w:color="auto"/>
        <w:left w:val="none" w:sz="0" w:space="0" w:color="auto"/>
        <w:bottom w:val="none" w:sz="0" w:space="0" w:color="auto"/>
        <w:right w:val="none" w:sz="0" w:space="0" w:color="auto"/>
      </w:divBdr>
    </w:div>
    <w:div w:id="566887143">
      <w:bodyDiv w:val="1"/>
      <w:marLeft w:val="0"/>
      <w:marRight w:val="0"/>
      <w:marTop w:val="0"/>
      <w:marBottom w:val="0"/>
      <w:divBdr>
        <w:top w:val="none" w:sz="0" w:space="0" w:color="auto"/>
        <w:left w:val="none" w:sz="0" w:space="0" w:color="auto"/>
        <w:bottom w:val="none" w:sz="0" w:space="0" w:color="auto"/>
        <w:right w:val="none" w:sz="0" w:space="0" w:color="auto"/>
      </w:divBdr>
    </w:div>
    <w:div w:id="572397149">
      <w:bodyDiv w:val="1"/>
      <w:marLeft w:val="0"/>
      <w:marRight w:val="0"/>
      <w:marTop w:val="0"/>
      <w:marBottom w:val="0"/>
      <w:divBdr>
        <w:top w:val="none" w:sz="0" w:space="0" w:color="auto"/>
        <w:left w:val="none" w:sz="0" w:space="0" w:color="auto"/>
        <w:bottom w:val="none" w:sz="0" w:space="0" w:color="auto"/>
        <w:right w:val="none" w:sz="0" w:space="0" w:color="auto"/>
      </w:divBdr>
    </w:div>
    <w:div w:id="573315364">
      <w:bodyDiv w:val="1"/>
      <w:marLeft w:val="0"/>
      <w:marRight w:val="0"/>
      <w:marTop w:val="0"/>
      <w:marBottom w:val="0"/>
      <w:divBdr>
        <w:top w:val="none" w:sz="0" w:space="0" w:color="auto"/>
        <w:left w:val="none" w:sz="0" w:space="0" w:color="auto"/>
        <w:bottom w:val="none" w:sz="0" w:space="0" w:color="auto"/>
        <w:right w:val="none" w:sz="0" w:space="0" w:color="auto"/>
      </w:divBdr>
    </w:div>
    <w:div w:id="574317626">
      <w:bodyDiv w:val="1"/>
      <w:marLeft w:val="0"/>
      <w:marRight w:val="0"/>
      <w:marTop w:val="0"/>
      <w:marBottom w:val="0"/>
      <w:divBdr>
        <w:top w:val="none" w:sz="0" w:space="0" w:color="auto"/>
        <w:left w:val="none" w:sz="0" w:space="0" w:color="auto"/>
        <w:bottom w:val="none" w:sz="0" w:space="0" w:color="auto"/>
        <w:right w:val="none" w:sz="0" w:space="0" w:color="auto"/>
      </w:divBdr>
    </w:div>
    <w:div w:id="583030426">
      <w:bodyDiv w:val="1"/>
      <w:marLeft w:val="0"/>
      <w:marRight w:val="0"/>
      <w:marTop w:val="0"/>
      <w:marBottom w:val="0"/>
      <w:divBdr>
        <w:top w:val="none" w:sz="0" w:space="0" w:color="auto"/>
        <w:left w:val="none" w:sz="0" w:space="0" w:color="auto"/>
        <w:bottom w:val="none" w:sz="0" w:space="0" w:color="auto"/>
        <w:right w:val="none" w:sz="0" w:space="0" w:color="auto"/>
      </w:divBdr>
    </w:div>
    <w:div w:id="586882579">
      <w:bodyDiv w:val="1"/>
      <w:marLeft w:val="0"/>
      <w:marRight w:val="0"/>
      <w:marTop w:val="0"/>
      <w:marBottom w:val="0"/>
      <w:divBdr>
        <w:top w:val="none" w:sz="0" w:space="0" w:color="auto"/>
        <w:left w:val="none" w:sz="0" w:space="0" w:color="auto"/>
        <w:bottom w:val="none" w:sz="0" w:space="0" w:color="auto"/>
        <w:right w:val="none" w:sz="0" w:space="0" w:color="auto"/>
      </w:divBdr>
    </w:div>
    <w:div w:id="589117867">
      <w:bodyDiv w:val="1"/>
      <w:marLeft w:val="0"/>
      <w:marRight w:val="0"/>
      <w:marTop w:val="0"/>
      <w:marBottom w:val="0"/>
      <w:divBdr>
        <w:top w:val="none" w:sz="0" w:space="0" w:color="auto"/>
        <w:left w:val="none" w:sz="0" w:space="0" w:color="auto"/>
        <w:bottom w:val="none" w:sz="0" w:space="0" w:color="auto"/>
        <w:right w:val="none" w:sz="0" w:space="0" w:color="auto"/>
      </w:divBdr>
    </w:div>
    <w:div w:id="594945981">
      <w:bodyDiv w:val="1"/>
      <w:marLeft w:val="0"/>
      <w:marRight w:val="0"/>
      <w:marTop w:val="0"/>
      <w:marBottom w:val="0"/>
      <w:divBdr>
        <w:top w:val="none" w:sz="0" w:space="0" w:color="auto"/>
        <w:left w:val="none" w:sz="0" w:space="0" w:color="auto"/>
        <w:bottom w:val="none" w:sz="0" w:space="0" w:color="auto"/>
        <w:right w:val="none" w:sz="0" w:space="0" w:color="auto"/>
      </w:divBdr>
    </w:div>
    <w:div w:id="602961527">
      <w:bodyDiv w:val="1"/>
      <w:marLeft w:val="0"/>
      <w:marRight w:val="0"/>
      <w:marTop w:val="0"/>
      <w:marBottom w:val="0"/>
      <w:divBdr>
        <w:top w:val="none" w:sz="0" w:space="0" w:color="auto"/>
        <w:left w:val="none" w:sz="0" w:space="0" w:color="auto"/>
        <w:bottom w:val="none" w:sz="0" w:space="0" w:color="auto"/>
        <w:right w:val="none" w:sz="0" w:space="0" w:color="auto"/>
      </w:divBdr>
    </w:div>
    <w:div w:id="605423481">
      <w:bodyDiv w:val="1"/>
      <w:marLeft w:val="0"/>
      <w:marRight w:val="0"/>
      <w:marTop w:val="0"/>
      <w:marBottom w:val="0"/>
      <w:divBdr>
        <w:top w:val="none" w:sz="0" w:space="0" w:color="auto"/>
        <w:left w:val="none" w:sz="0" w:space="0" w:color="auto"/>
        <w:bottom w:val="none" w:sz="0" w:space="0" w:color="auto"/>
        <w:right w:val="none" w:sz="0" w:space="0" w:color="auto"/>
      </w:divBdr>
    </w:div>
    <w:div w:id="605960898">
      <w:bodyDiv w:val="1"/>
      <w:marLeft w:val="0"/>
      <w:marRight w:val="0"/>
      <w:marTop w:val="0"/>
      <w:marBottom w:val="0"/>
      <w:divBdr>
        <w:top w:val="none" w:sz="0" w:space="0" w:color="auto"/>
        <w:left w:val="none" w:sz="0" w:space="0" w:color="auto"/>
        <w:bottom w:val="none" w:sz="0" w:space="0" w:color="auto"/>
        <w:right w:val="none" w:sz="0" w:space="0" w:color="auto"/>
      </w:divBdr>
    </w:div>
    <w:div w:id="611204913">
      <w:bodyDiv w:val="1"/>
      <w:marLeft w:val="0"/>
      <w:marRight w:val="0"/>
      <w:marTop w:val="0"/>
      <w:marBottom w:val="0"/>
      <w:divBdr>
        <w:top w:val="none" w:sz="0" w:space="0" w:color="auto"/>
        <w:left w:val="none" w:sz="0" w:space="0" w:color="auto"/>
        <w:bottom w:val="none" w:sz="0" w:space="0" w:color="auto"/>
        <w:right w:val="none" w:sz="0" w:space="0" w:color="auto"/>
      </w:divBdr>
    </w:div>
    <w:div w:id="611277983">
      <w:bodyDiv w:val="1"/>
      <w:marLeft w:val="0"/>
      <w:marRight w:val="0"/>
      <w:marTop w:val="0"/>
      <w:marBottom w:val="0"/>
      <w:divBdr>
        <w:top w:val="none" w:sz="0" w:space="0" w:color="auto"/>
        <w:left w:val="none" w:sz="0" w:space="0" w:color="auto"/>
        <w:bottom w:val="none" w:sz="0" w:space="0" w:color="auto"/>
        <w:right w:val="none" w:sz="0" w:space="0" w:color="auto"/>
      </w:divBdr>
    </w:div>
    <w:div w:id="611673650">
      <w:bodyDiv w:val="1"/>
      <w:marLeft w:val="0"/>
      <w:marRight w:val="0"/>
      <w:marTop w:val="0"/>
      <w:marBottom w:val="0"/>
      <w:divBdr>
        <w:top w:val="none" w:sz="0" w:space="0" w:color="auto"/>
        <w:left w:val="none" w:sz="0" w:space="0" w:color="auto"/>
        <w:bottom w:val="none" w:sz="0" w:space="0" w:color="auto"/>
        <w:right w:val="none" w:sz="0" w:space="0" w:color="auto"/>
      </w:divBdr>
    </w:div>
    <w:div w:id="621837672">
      <w:bodyDiv w:val="1"/>
      <w:marLeft w:val="0"/>
      <w:marRight w:val="0"/>
      <w:marTop w:val="0"/>
      <w:marBottom w:val="0"/>
      <w:divBdr>
        <w:top w:val="none" w:sz="0" w:space="0" w:color="auto"/>
        <w:left w:val="none" w:sz="0" w:space="0" w:color="auto"/>
        <w:bottom w:val="none" w:sz="0" w:space="0" w:color="auto"/>
        <w:right w:val="none" w:sz="0" w:space="0" w:color="auto"/>
      </w:divBdr>
    </w:div>
    <w:div w:id="624242382">
      <w:bodyDiv w:val="1"/>
      <w:marLeft w:val="0"/>
      <w:marRight w:val="0"/>
      <w:marTop w:val="0"/>
      <w:marBottom w:val="0"/>
      <w:divBdr>
        <w:top w:val="none" w:sz="0" w:space="0" w:color="auto"/>
        <w:left w:val="none" w:sz="0" w:space="0" w:color="auto"/>
        <w:bottom w:val="none" w:sz="0" w:space="0" w:color="auto"/>
        <w:right w:val="none" w:sz="0" w:space="0" w:color="auto"/>
      </w:divBdr>
    </w:div>
    <w:div w:id="627012127">
      <w:bodyDiv w:val="1"/>
      <w:marLeft w:val="0"/>
      <w:marRight w:val="0"/>
      <w:marTop w:val="0"/>
      <w:marBottom w:val="0"/>
      <w:divBdr>
        <w:top w:val="none" w:sz="0" w:space="0" w:color="auto"/>
        <w:left w:val="none" w:sz="0" w:space="0" w:color="auto"/>
        <w:bottom w:val="none" w:sz="0" w:space="0" w:color="auto"/>
        <w:right w:val="none" w:sz="0" w:space="0" w:color="auto"/>
      </w:divBdr>
    </w:div>
    <w:div w:id="628097982">
      <w:bodyDiv w:val="1"/>
      <w:marLeft w:val="0"/>
      <w:marRight w:val="0"/>
      <w:marTop w:val="0"/>
      <w:marBottom w:val="0"/>
      <w:divBdr>
        <w:top w:val="none" w:sz="0" w:space="0" w:color="auto"/>
        <w:left w:val="none" w:sz="0" w:space="0" w:color="auto"/>
        <w:bottom w:val="none" w:sz="0" w:space="0" w:color="auto"/>
        <w:right w:val="none" w:sz="0" w:space="0" w:color="auto"/>
      </w:divBdr>
    </w:div>
    <w:div w:id="628515080">
      <w:bodyDiv w:val="1"/>
      <w:marLeft w:val="0"/>
      <w:marRight w:val="0"/>
      <w:marTop w:val="0"/>
      <w:marBottom w:val="0"/>
      <w:divBdr>
        <w:top w:val="none" w:sz="0" w:space="0" w:color="auto"/>
        <w:left w:val="none" w:sz="0" w:space="0" w:color="auto"/>
        <w:bottom w:val="none" w:sz="0" w:space="0" w:color="auto"/>
        <w:right w:val="none" w:sz="0" w:space="0" w:color="auto"/>
      </w:divBdr>
    </w:div>
    <w:div w:id="631983088">
      <w:bodyDiv w:val="1"/>
      <w:marLeft w:val="0"/>
      <w:marRight w:val="0"/>
      <w:marTop w:val="0"/>
      <w:marBottom w:val="0"/>
      <w:divBdr>
        <w:top w:val="none" w:sz="0" w:space="0" w:color="auto"/>
        <w:left w:val="none" w:sz="0" w:space="0" w:color="auto"/>
        <w:bottom w:val="none" w:sz="0" w:space="0" w:color="auto"/>
        <w:right w:val="none" w:sz="0" w:space="0" w:color="auto"/>
      </w:divBdr>
    </w:div>
    <w:div w:id="645821234">
      <w:bodyDiv w:val="1"/>
      <w:marLeft w:val="0"/>
      <w:marRight w:val="0"/>
      <w:marTop w:val="0"/>
      <w:marBottom w:val="0"/>
      <w:divBdr>
        <w:top w:val="none" w:sz="0" w:space="0" w:color="auto"/>
        <w:left w:val="none" w:sz="0" w:space="0" w:color="auto"/>
        <w:bottom w:val="none" w:sz="0" w:space="0" w:color="auto"/>
        <w:right w:val="none" w:sz="0" w:space="0" w:color="auto"/>
      </w:divBdr>
    </w:div>
    <w:div w:id="645859138">
      <w:bodyDiv w:val="1"/>
      <w:marLeft w:val="0"/>
      <w:marRight w:val="0"/>
      <w:marTop w:val="0"/>
      <w:marBottom w:val="0"/>
      <w:divBdr>
        <w:top w:val="none" w:sz="0" w:space="0" w:color="auto"/>
        <w:left w:val="none" w:sz="0" w:space="0" w:color="auto"/>
        <w:bottom w:val="none" w:sz="0" w:space="0" w:color="auto"/>
        <w:right w:val="none" w:sz="0" w:space="0" w:color="auto"/>
      </w:divBdr>
    </w:div>
    <w:div w:id="647592491">
      <w:bodyDiv w:val="1"/>
      <w:marLeft w:val="0"/>
      <w:marRight w:val="0"/>
      <w:marTop w:val="0"/>
      <w:marBottom w:val="0"/>
      <w:divBdr>
        <w:top w:val="none" w:sz="0" w:space="0" w:color="auto"/>
        <w:left w:val="none" w:sz="0" w:space="0" w:color="auto"/>
        <w:bottom w:val="none" w:sz="0" w:space="0" w:color="auto"/>
        <w:right w:val="none" w:sz="0" w:space="0" w:color="auto"/>
      </w:divBdr>
    </w:div>
    <w:div w:id="647903574">
      <w:bodyDiv w:val="1"/>
      <w:marLeft w:val="0"/>
      <w:marRight w:val="0"/>
      <w:marTop w:val="0"/>
      <w:marBottom w:val="0"/>
      <w:divBdr>
        <w:top w:val="none" w:sz="0" w:space="0" w:color="auto"/>
        <w:left w:val="none" w:sz="0" w:space="0" w:color="auto"/>
        <w:bottom w:val="none" w:sz="0" w:space="0" w:color="auto"/>
        <w:right w:val="none" w:sz="0" w:space="0" w:color="auto"/>
      </w:divBdr>
    </w:div>
    <w:div w:id="652100887">
      <w:bodyDiv w:val="1"/>
      <w:marLeft w:val="0"/>
      <w:marRight w:val="0"/>
      <w:marTop w:val="0"/>
      <w:marBottom w:val="0"/>
      <w:divBdr>
        <w:top w:val="none" w:sz="0" w:space="0" w:color="auto"/>
        <w:left w:val="none" w:sz="0" w:space="0" w:color="auto"/>
        <w:bottom w:val="none" w:sz="0" w:space="0" w:color="auto"/>
        <w:right w:val="none" w:sz="0" w:space="0" w:color="auto"/>
      </w:divBdr>
    </w:div>
    <w:div w:id="654920500">
      <w:bodyDiv w:val="1"/>
      <w:marLeft w:val="0"/>
      <w:marRight w:val="0"/>
      <w:marTop w:val="0"/>
      <w:marBottom w:val="0"/>
      <w:divBdr>
        <w:top w:val="none" w:sz="0" w:space="0" w:color="auto"/>
        <w:left w:val="none" w:sz="0" w:space="0" w:color="auto"/>
        <w:bottom w:val="none" w:sz="0" w:space="0" w:color="auto"/>
        <w:right w:val="none" w:sz="0" w:space="0" w:color="auto"/>
      </w:divBdr>
    </w:div>
    <w:div w:id="658120222">
      <w:bodyDiv w:val="1"/>
      <w:marLeft w:val="0"/>
      <w:marRight w:val="0"/>
      <w:marTop w:val="0"/>
      <w:marBottom w:val="0"/>
      <w:divBdr>
        <w:top w:val="none" w:sz="0" w:space="0" w:color="auto"/>
        <w:left w:val="none" w:sz="0" w:space="0" w:color="auto"/>
        <w:bottom w:val="none" w:sz="0" w:space="0" w:color="auto"/>
        <w:right w:val="none" w:sz="0" w:space="0" w:color="auto"/>
      </w:divBdr>
    </w:div>
    <w:div w:id="658655920">
      <w:bodyDiv w:val="1"/>
      <w:marLeft w:val="0"/>
      <w:marRight w:val="0"/>
      <w:marTop w:val="0"/>
      <w:marBottom w:val="0"/>
      <w:divBdr>
        <w:top w:val="none" w:sz="0" w:space="0" w:color="auto"/>
        <w:left w:val="none" w:sz="0" w:space="0" w:color="auto"/>
        <w:bottom w:val="none" w:sz="0" w:space="0" w:color="auto"/>
        <w:right w:val="none" w:sz="0" w:space="0" w:color="auto"/>
      </w:divBdr>
    </w:div>
    <w:div w:id="658772211">
      <w:bodyDiv w:val="1"/>
      <w:marLeft w:val="0"/>
      <w:marRight w:val="0"/>
      <w:marTop w:val="0"/>
      <w:marBottom w:val="0"/>
      <w:divBdr>
        <w:top w:val="none" w:sz="0" w:space="0" w:color="auto"/>
        <w:left w:val="none" w:sz="0" w:space="0" w:color="auto"/>
        <w:bottom w:val="none" w:sz="0" w:space="0" w:color="auto"/>
        <w:right w:val="none" w:sz="0" w:space="0" w:color="auto"/>
      </w:divBdr>
    </w:div>
    <w:div w:id="665288351">
      <w:bodyDiv w:val="1"/>
      <w:marLeft w:val="0"/>
      <w:marRight w:val="0"/>
      <w:marTop w:val="0"/>
      <w:marBottom w:val="0"/>
      <w:divBdr>
        <w:top w:val="none" w:sz="0" w:space="0" w:color="auto"/>
        <w:left w:val="none" w:sz="0" w:space="0" w:color="auto"/>
        <w:bottom w:val="none" w:sz="0" w:space="0" w:color="auto"/>
        <w:right w:val="none" w:sz="0" w:space="0" w:color="auto"/>
      </w:divBdr>
    </w:div>
    <w:div w:id="665522003">
      <w:bodyDiv w:val="1"/>
      <w:marLeft w:val="0"/>
      <w:marRight w:val="0"/>
      <w:marTop w:val="0"/>
      <w:marBottom w:val="0"/>
      <w:divBdr>
        <w:top w:val="none" w:sz="0" w:space="0" w:color="auto"/>
        <w:left w:val="none" w:sz="0" w:space="0" w:color="auto"/>
        <w:bottom w:val="none" w:sz="0" w:space="0" w:color="auto"/>
        <w:right w:val="none" w:sz="0" w:space="0" w:color="auto"/>
      </w:divBdr>
    </w:div>
    <w:div w:id="673458928">
      <w:bodyDiv w:val="1"/>
      <w:marLeft w:val="0"/>
      <w:marRight w:val="0"/>
      <w:marTop w:val="0"/>
      <w:marBottom w:val="0"/>
      <w:divBdr>
        <w:top w:val="none" w:sz="0" w:space="0" w:color="auto"/>
        <w:left w:val="none" w:sz="0" w:space="0" w:color="auto"/>
        <w:bottom w:val="none" w:sz="0" w:space="0" w:color="auto"/>
        <w:right w:val="none" w:sz="0" w:space="0" w:color="auto"/>
      </w:divBdr>
    </w:div>
    <w:div w:id="681316591">
      <w:bodyDiv w:val="1"/>
      <w:marLeft w:val="0"/>
      <w:marRight w:val="0"/>
      <w:marTop w:val="0"/>
      <w:marBottom w:val="0"/>
      <w:divBdr>
        <w:top w:val="none" w:sz="0" w:space="0" w:color="auto"/>
        <w:left w:val="none" w:sz="0" w:space="0" w:color="auto"/>
        <w:bottom w:val="none" w:sz="0" w:space="0" w:color="auto"/>
        <w:right w:val="none" w:sz="0" w:space="0" w:color="auto"/>
      </w:divBdr>
    </w:div>
    <w:div w:id="685180522">
      <w:bodyDiv w:val="1"/>
      <w:marLeft w:val="0"/>
      <w:marRight w:val="0"/>
      <w:marTop w:val="0"/>
      <w:marBottom w:val="0"/>
      <w:divBdr>
        <w:top w:val="none" w:sz="0" w:space="0" w:color="auto"/>
        <w:left w:val="none" w:sz="0" w:space="0" w:color="auto"/>
        <w:bottom w:val="none" w:sz="0" w:space="0" w:color="auto"/>
        <w:right w:val="none" w:sz="0" w:space="0" w:color="auto"/>
      </w:divBdr>
    </w:div>
    <w:div w:id="695351565">
      <w:bodyDiv w:val="1"/>
      <w:marLeft w:val="0"/>
      <w:marRight w:val="0"/>
      <w:marTop w:val="0"/>
      <w:marBottom w:val="0"/>
      <w:divBdr>
        <w:top w:val="none" w:sz="0" w:space="0" w:color="auto"/>
        <w:left w:val="none" w:sz="0" w:space="0" w:color="auto"/>
        <w:bottom w:val="none" w:sz="0" w:space="0" w:color="auto"/>
        <w:right w:val="none" w:sz="0" w:space="0" w:color="auto"/>
      </w:divBdr>
    </w:div>
    <w:div w:id="695807746">
      <w:bodyDiv w:val="1"/>
      <w:marLeft w:val="0"/>
      <w:marRight w:val="0"/>
      <w:marTop w:val="0"/>
      <w:marBottom w:val="0"/>
      <w:divBdr>
        <w:top w:val="none" w:sz="0" w:space="0" w:color="auto"/>
        <w:left w:val="none" w:sz="0" w:space="0" w:color="auto"/>
        <w:bottom w:val="none" w:sz="0" w:space="0" w:color="auto"/>
        <w:right w:val="none" w:sz="0" w:space="0" w:color="auto"/>
      </w:divBdr>
    </w:div>
    <w:div w:id="702364568">
      <w:bodyDiv w:val="1"/>
      <w:marLeft w:val="0"/>
      <w:marRight w:val="0"/>
      <w:marTop w:val="0"/>
      <w:marBottom w:val="0"/>
      <w:divBdr>
        <w:top w:val="none" w:sz="0" w:space="0" w:color="auto"/>
        <w:left w:val="none" w:sz="0" w:space="0" w:color="auto"/>
        <w:bottom w:val="none" w:sz="0" w:space="0" w:color="auto"/>
        <w:right w:val="none" w:sz="0" w:space="0" w:color="auto"/>
      </w:divBdr>
    </w:div>
    <w:div w:id="703218599">
      <w:bodyDiv w:val="1"/>
      <w:marLeft w:val="0"/>
      <w:marRight w:val="0"/>
      <w:marTop w:val="0"/>
      <w:marBottom w:val="0"/>
      <w:divBdr>
        <w:top w:val="none" w:sz="0" w:space="0" w:color="auto"/>
        <w:left w:val="none" w:sz="0" w:space="0" w:color="auto"/>
        <w:bottom w:val="none" w:sz="0" w:space="0" w:color="auto"/>
        <w:right w:val="none" w:sz="0" w:space="0" w:color="auto"/>
      </w:divBdr>
    </w:div>
    <w:div w:id="715011116">
      <w:bodyDiv w:val="1"/>
      <w:marLeft w:val="0"/>
      <w:marRight w:val="0"/>
      <w:marTop w:val="0"/>
      <w:marBottom w:val="0"/>
      <w:divBdr>
        <w:top w:val="none" w:sz="0" w:space="0" w:color="auto"/>
        <w:left w:val="none" w:sz="0" w:space="0" w:color="auto"/>
        <w:bottom w:val="none" w:sz="0" w:space="0" w:color="auto"/>
        <w:right w:val="none" w:sz="0" w:space="0" w:color="auto"/>
      </w:divBdr>
    </w:div>
    <w:div w:id="726532174">
      <w:bodyDiv w:val="1"/>
      <w:marLeft w:val="0"/>
      <w:marRight w:val="0"/>
      <w:marTop w:val="0"/>
      <w:marBottom w:val="0"/>
      <w:divBdr>
        <w:top w:val="none" w:sz="0" w:space="0" w:color="auto"/>
        <w:left w:val="none" w:sz="0" w:space="0" w:color="auto"/>
        <w:bottom w:val="none" w:sz="0" w:space="0" w:color="auto"/>
        <w:right w:val="none" w:sz="0" w:space="0" w:color="auto"/>
      </w:divBdr>
    </w:div>
    <w:div w:id="729572700">
      <w:bodyDiv w:val="1"/>
      <w:marLeft w:val="0"/>
      <w:marRight w:val="0"/>
      <w:marTop w:val="0"/>
      <w:marBottom w:val="0"/>
      <w:divBdr>
        <w:top w:val="none" w:sz="0" w:space="0" w:color="auto"/>
        <w:left w:val="none" w:sz="0" w:space="0" w:color="auto"/>
        <w:bottom w:val="none" w:sz="0" w:space="0" w:color="auto"/>
        <w:right w:val="none" w:sz="0" w:space="0" w:color="auto"/>
      </w:divBdr>
    </w:div>
    <w:div w:id="732778665">
      <w:bodyDiv w:val="1"/>
      <w:marLeft w:val="0"/>
      <w:marRight w:val="0"/>
      <w:marTop w:val="0"/>
      <w:marBottom w:val="0"/>
      <w:divBdr>
        <w:top w:val="none" w:sz="0" w:space="0" w:color="auto"/>
        <w:left w:val="none" w:sz="0" w:space="0" w:color="auto"/>
        <w:bottom w:val="none" w:sz="0" w:space="0" w:color="auto"/>
        <w:right w:val="none" w:sz="0" w:space="0" w:color="auto"/>
      </w:divBdr>
    </w:div>
    <w:div w:id="734086810">
      <w:bodyDiv w:val="1"/>
      <w:marLeft w:val="0"/>
      <w:marRight w:val="0"/>
      <w:marTop w:val="0"/>
      <w:marBottom w:val="0"/>
      <w:divBdr>
        <w:top w:val="none" w:sz="0" w:space="0" w:color="auto"/>
        <w:left w:val="none" w:sz="0" w:space="0" w:color="auto"/>
        <w:bottom w:val="none" w:sz="0" w:space="0" w:color="auto"/>
        <w:right w:val="none" w:sz="0" w:space="0" w:color="auto"/>
      </w:divBdr>
    </w:div>
    <w:div w:id="743726335">
      <w:bodyDiv w:val="1"/>
      <w:marLeft w:val="0"/>
      <w:marRight w:val="0"/>
      <w:marTop w:val="0"/>
      <w:marBottom w:val="0"/>
      <w:divBdr>
        <w:top w:val="none" w:sz="0" w:space="0" w:color="auto"/>
        <w:left w:val="none" w:sz="0" w:space="0" w:color="auto"/>
        <w:bottom w:val="none" w:sz="0" w:space="0" w:color="auto"/>
        <w:right w:val="none" w:sz="0" w:space="0" w:color="auto"/>
      </w:divBdr>
    </w:div>
    <w:div w:id="746464776">
      <w:bodyDiv w:val="1"/>
      <w:marLeft w:val="0"/>
      <w:marRight w:val="0"/>
      <w:marTop w:val="0"/>
      <w:marBottom w:val="0"/>
      <w:divBdr>
        <w:top w:val="none" w:sz="0" w:space="0" w:color="auto"/>
        <w:left w:val="none" w:sz="0" w:space="0" w:color="auto"/>
        <w:bottom w:val="none" w:sz="0" w:space="0" w:color="auto"/>
        <w:right w:val="none" w:sz="0" w:space="0" w:color="auto"/>
      </w:divBdr>
      <w:divsChild>
        <w:div w:id="818956893">
          <w:marLeft w:val="446"/>
          <w:marRight w:val="0"/>
          <w:marTop w:val="0"/>
          <w:marBottom w:val="0"/>
          <w:divBdr>
            <w:top w:val="none" w:sz="0" w:space="0" w:color="auto"/>
            <w:left w:val="none" w:sz="0" w:space="0" w:color="auto"/>
            <w:bottom w:val="none" w:sz="0" w:space="0" w:color="auto"/>
            <w:right w:val="none" w:sz="0" w:space="0" w:color="auto"/>
          </w:divBdr>
        </w:div>
        <w:div w:id="905535708">
          <w:marLeft w:val="446"/>
          <w:marRight w:val="0"/>
          <w:marTop w:val="0"/>
          <w:marBottom w:val="0"/>
          <w:divBdr>
            <w:top w:val="none" w:sz="0" w:space="0" w:color="auto"/>
            <w:left w:val="none" w:sz="0" w:space="0" w:color="auto"/>
            <w:bottom w:val="none" w:sz="0" w:space="0" w:color="auto"/>
            <w:right w:val="none" w:sz="0" w:space="0" w:color="auto"/>
          </w:divBdr>
        </w:div>
        <w:div w:id="733166227">
          <w:marLeft w:val="446"/>
          <w:marRight w:val="0"/>
          <w:marTop w:val="0"/>
          <w:marBottom w:val="0"/>
          <w:divBdr>
            <w:top w:val="none" w:sz="0" w:space="0" w:color="auto"/>
            <w:left w:val="none" w:sz="0" w:space="0" w:color="auto"/>
            <w:bottom w:val="none" w:sz="0" w:space="0" w:color="auto"/>
            <w:right w:val="none" w:sz="0" w:space="0" w:color="auto"/>
          </w:divBdr>
        </w:div>
      </w:divsChild>
    </w:div>
    <w:div w:id="749815342">
      <w:bodyDiv w:val="1"/>
      <w:marLeft w:val="0"/>
      <w:marRight w:val="0"/>
      <w:marTop w:val="0"/>
      <w:marBottom w:val="0"/>
      <w:divBdr>
        <w:top w:val="none" w:sz="0" w:space="0" w:color="auto"/>
        <w:left w:val="none" w:sz="0" w:space="0" w:color="auto"/>
        <w:bottom w:val="none" w:sz="0" w:space="0" w:color="auto"/>
        <w:right w:val="none" w:sz="0" w:space="0" w:color="auto"/>
      </w:divBdr>
    </w:div>
    <w:div w:id="773329335">
      <w:bodyDiv w:val="1"/>
      <w:marLeft w:val="0"/>
      <w:marRight w:val="0"/>
      <w:marTop w:val="0"/>
      <w:marBottom w:val="0"/>
      <w:divBdr>
        <w:top w:val="none" w:sz="0" w:space="0" w:color="auto"/>
        <w:left w:val="none" w:sz="0" w:space="0" w:color="auto"/>
        <w:bottom w:val="none" w:sz="0" w:space="0" w:color="auto"/>
        <w:right w:val="none" w:sz="0" w:space="0" w:color="auto"/>
      </w:divBdr>
    </w:div>
    <w:div w:id="787049980">
      <w:bodyDiv w:val="1"/>
      <w:marLeft w:val="0"/>
      <w:marRight w:val="0"/>
      <w:marTop w:val="0"/>
      <w:marBottom w:val="0"/>
      <w:divBdr>
        <w:top w:val="none" w:sz="0" w:space="0" w:color="auto"/>
        <w:left w:val="none" w:sz="0" w:space="0" w:color="auto"/>
        <w:bottom w:val="none" w:sz="0" w:space="0" w:color="auto"/>
        <w:right w:val="none" w:sz="0" w:space="0" w:color="auto"/>
      </w:divBdr>
    </w:div>
    <w:div w:id="801113898">
      <w:bodyDiv w:val="1"/>
      <w:marLeft w:val="0"/>
      <w:marRight w:val="0"/>
      <w:marTop w:val="0"/>
      <w:marBottom w:val="0"/>
      <w:divBdr>
        <w:top w:val="none" w:sz="0" w:space="0" w:color="auto"/>
        <w:left w:val="none" w:sz="0" w:space="0" w:color="auto"/>
        <w:bottom w:val="none" w:sz="0" w:space="0" w:color="auto"/>
        <w:right w:val="none" w:sz="0" w:space="0" w:color="auto"/>
      </w:divBdr>
    </w:div>
    <w:div w:id="805439316">
      <w:bodyDiv w:val="1"/>
      <w:marLeft w:val="0"/>
      <w:marRight w:val="0"/>
      <w:marTop w:val="0"/>
      <w:marBottom w:val="0"/>
      <w:divBdr>
        <w:top w:val="none" w:sz="0" w:space="0" w:color="auto"/>
        <w:left w:val="none" w:sz="0" w:space="0" w:color="auto"/>
        <w:bottom w:val="none" w:sz="0" w:space="0" w:color="auto"/>
        <w:right w:val="none" w:sz="0" w:space="0" w:color="auto"/>
      </w:divBdr>
    </w:div>
    <w:div w:id="810758119">
      <w:bodyDiv w:val="1"/>
      <w:marLeft w:val="0"/>
      <w:marRight w:val="0"/>
      <w:marTop w:val="0"/>
      <w:marBottom w:val="0"/>
      <w:divBdr>
        <w:top w:val="none" w:sz="0" w:space="0" w:color="auto"/>
        <w:left w:val="none" w:sz="0" w:space="0" w:color="auto"/>
        <w:bottom w:val="none" w:sz="0" w:space="0" w:color="auto"/>
        <w:right w:val="none" w:sz="0" w:space="0" w:color="auto"/>
      </w:divBdr>
    </w:div>
    <w:div w:id="814759257">
      <w:bodyDiv w:val="1"/>
      <w:marLeft w:val="0"/>
      <w:marRight w:val="0"/>
      <w:marTop w:val="0"/>
      <w:marBottom w:val="0"/>
      <w:divBdr>
        <w:top w:val="none" w:sz="0" w:space="0" w:color="auto"/>
        <w:left w:val="none" w:sz="0" w:space="0" w:color="auto"/>
        <w:bottom w:val="none" w:sz="0" w:space="0" w:color="auto"/>
        <w:right w:val="none" w:sz="0" w:space="0" w:color="auto"/>
      </w:divBdr>
    </w:div>
    <w:div w:id="818501600">
      <w:bodyDiv w:val="1"/>
      <w:marLeft w:val="0"/>
      <w:marRight w:val="0"/>
      <w:marTop w:val="0"/>
      <w:marBottom w:val="0"/>
      <w:divBdr>
        <w:top w:val="none" w:sz="0" w:space="0" w:color="auto"/>
        <w:left w:val="none" w:sz="0" w:space="0" w:color="auto"/>
        <w:bottom w:val="none" w:sz="0" w:space="0" w:color="auto"/>
        <w:right w:val="none" w:sz="0" w:space="0" w:color="auto"/>
      </w:divBdr>
    </w:div>
    <w:div w:id="819735910">
      <w:bodyDiv w:val="1"/>
      <w:marLeft w:val="0"/>
      <w:marRight w:val="0"/>
      <w:marTop w:val="0"/>
      <w:marBottom w:val="0"/>
      <w:divBdr>
        <w:top w:val="none" w:sz="0" w:space="0" w:color="auto"/>
        <w:left w:val="none" w:sz="0" w:space="0" w:color="auto"/>
        <w:bottom w:val="none" w:sz="0" w:space="0" w:color="auto"/>
        <w:right w:val="none" w:sz="0" w:space="0" w:color="auto"/>
      </w:divBdr>
    </w:div>
    <w:div w:id="821853009">
      <w:bodyDiv w:val="1"/>
      <w:marLeft w:val="0"/>
      <w:marRight w:val="0"/>
      <w:marTop w:val="0"/>
      <w:marBottom w:val="0"/>
      <w:divBdr>
        <w:top w:val="none" w:sz="0" w:space="0" w:color="auto"/>
        <w:left w:val="none" w:sz="0" w:space="0" w:color="auto"/>
        <w:bottom w:val="none" w:sz="0" w:space="0" w:color="auto"/>
        <w:right w:val="none" w:sz="0" w:space="0" w:color="auto"/>
      </w:divBdr>
    </w:div>
    <w:div w:id="822549041">
      <w:bodyDiv w:val="1"/>
      <w:marLeft w:val="0"/>
      <w:marRight w:val="0"/>
      <w:marTop w:val="0"/>
      <w:marBottom w:val="0"/>
      <w:divBdr>
        <w:top w:val="none" w:sz="0" w:space="0" w:color="auto"/>
        <w:left w:val="none" w:sz="0" w:space="0" w:color="auto"/>
        <w:bottom w:val="none" w:sz="0" w:space="0" w:color="auto"/>
        <w:right w:val="none" w:sz="0" w:space="0" w:color="auto"/>
      </w:divBdr>
    </w:div>
    <w:div w:id="825053815">
      <w:bodyDiv w:val="1"/>
      <w:marLeft w:val="0"/>
      <w:marRight w:val="0"/>
      <w:marTop w:val="0"/>
      <w:marBottom w:val="0"/>
      <w:divBdr>
        <w:top w:val="none" w:sz="0" w:space="0" w:color="auto"/>
        <w:left w:val="none" w:sz="0" w:space="0" w:color="auto"/>
        <w:bottom w:val="none" w:sz="0" w:space="0" w:color="auto"/>
        <w:right w:val="none" w:sz="0" w:space="0" w:color="auto"/>
      </w:divBdr>
    </w:div>
    <w:div w:id="829172220">
      <w:bodyDiv w:val="1"/>
      <w:marLeft w:val="0"/>
      <w:marRight w:val="0"/>
      <w:marTop w:val="0"/>
      <w:marBottom w:val="0"/>
      <w:divBdr>
        <w:top w:val="none" w:sz="0" w:space="0" w:color="auto"/>
        <w:left w:val="none" w:sz="0" w:space="0" w:color="auto"/>
        <w:bottom w:val="none" w:sz="0" w:space="0" w:color="auto"/>
        <w:right w:val="none" w:sz="0" w:space="0" w:color="auto"/>
      </w:divBdr>
    </w:div>
    <w:div w:id="829908515">
      <w:bodyDiv w:val="1"/>
      <w:marLeft w:val="0"/>
      <w:marRight w:val="0"/>
      <w:marTop w:val="0"/>
      <w:marBottom w:val="0"/>
      <w:divBdr>
        <w:top w:val="none" w:sz="0" w:space="0" w:color="auto"/>
        <w:left w:val="none" w:sz="0" w:space="0" w:color="auto"/>
        <w:bottom w:val="none" w:sz="0" w:space="0" w:color="auto"/>
        <w:right w:val="none" w:sz="0" w:space="0" w:color="auto"/>
      </w:divBdr>
    </w:div>
    <w:div w:id="840856350">
      <w:bodyDiv w:val="1"/>
      <w:marLeft w:val="0"/>
      <w:marRight w:val="0"/>
      <w:marTop w:val="0"/>
      <w:marBottom w:val="0"/>
      <w:divBdr>
        <w:top w:val="none" w:sz="0" w:space="0" w:color="auto"/>
        <w:left w:val="none" w:sz="0" w:space="0" w:color="auto"/>
        <w:bottom w:val="none" w:sz="0" w:space="0" w:color="auto"/>
        <w:right w:val="none" w:sz="0" w:space="0" w:color="auto"/>
      </w:divBdr>
    </w:div>
    <w:div w:id="841314231">
      <w:bodyDiv w:val="1"/>
      <w:marLeft w:val="0"/>
      <w:marRight w:val="0"/>
      <w:marTop w:val="0"/>
      <w:marBottom w:val="0"/>
      <w:divBdr>
        <w:top w:val="none" w:sz="0" w:space="0" w:color="auto"/>
        <w:left w:val="none" w:sz="0" w:space="0" w:color="auto"/>
        <w:bottom w:val="none" w:sz="0" w:space="0" w:color="auto"/>
        <w:right w:val="none" w:sz="0" w:space="0" w:color="auto"/>
      </w:divBdr>
    </w:div>
    <w:div w:id="846334683">
      <w:bodyDiv w:val="1"/>
      <w:marLeft w:val="0"/>
      <w:marRight w:val="0"/>
      <w:marTop w:val="0"/>
      <w:marBottom w:val="0"/>
      <w:divBdr>
        <w:top w:val="none" w:sz="0" w:space="0" w:color="auto"/>
        <w:left w:val="none" w:sz="0" w:space="0" w:color="auto"/>
        <w:bottom w:val="none" w:sz="0" w:space="0" w:color="auto"/>
        <w:right w:val="none" w:sz="0" w:space="0" w:color="auto"/>
      </w:divBdr>
    </w:div>
    <w:div w:id="852065072">
      <w:bodyDiv w:val="1"/>
      <w:marLeft w:val="0"/>
      <w:marRight w:val="0"/>
      <w:marTop w:val="0"/>
      <w:marBottom w:val="0"/>
      <w:divBdr>
        <w:top w:val="none" w:sz="0" w:space="0" w:color="auto"/>
        <w:left w:val="none" w:sz="0" w:space="0" w:color="auto"/>
        <w:bottom w:val="none" w:sz="0" w:space="0" w:color="auto"/>
        <w:right w:val="none" w:sz="0" w:space="0" w:color="auto"/>
      </w:divBdr>
    </w:div>
    <w:div w:id="855845690">
      <w:bodyDiv w:val="1"/>
      <w:marLeft w:val="0"/>
      <w:marRight w:val="0"/>
      <w:marTop w:val="0"/>
      <w:marBottom w:val="0"/>
      <w:divBdr>
        <w:top w:val="none" w:sz="0" w:space="0" w:color="auto"/>
        <w:left w:val="none" w:sz="0" w:space="0" w:color="auto"/>
        <w:bottom w:val="none" w:sz="0" w:space="0" w:color="auto"/>
        <w:right w:val="none" w:sz="0" w:space="0" w:color="auto"/>
      </w:divBdr>
    </w:div>
    <w:div w:id="857236771">
      <w:bodyDiv w:val="1"/>
      <w:marLeft w:val="0"/>
      <w:marRight w:val="0"/>
      <w:marTop w:val="0"/>
      <w:marBottom w:val="0"/>
      <w:divBdr>
        <w:top w:val="none" w:sz="0" w:space="0" w:color="auto"/>
        <w:left w:val="none" w:sz="0" w:space="0" w:color="auto"/>
        <w:bottom w:val="none" w:sz="0" w:space="0" w:color="auto"/>
        <w:right w:val="none" w:sz="0" w:space="0" w:color="auto"/>
      </w:divBdr>
    </w:div>
    <w:div w:id="859858759">
      <w:bodyDiv w:val="1"/>
      <w:marLeft w:val="0"/>
      <w:marRight w:val="0"/>
      <w:marTop w:val="0"/>
      <w:marBottom w:val="0"/>
      <w:divBdr>
        <w:top w:val="none" w:sz="0" w:space="0" w:color="auto"/>
        <w:left w:val="none" w:sz="0" w:space="0" w:color="auto"/>
        <w:bottom w:val="none" w:sz="0" w:space="0" w:color="auto"/>
        <w:right w:val="none" w:sz="0" w:space="0" w:color="auto"/>
      </w:divBdr>
    </w:div>
    <w:div w:id="868566529">
      <w:bodyDiv w:val="1"/>
      <w:marLeft w:val="0"/>
      <w:marRight w:val="0"/>
      <w:marTop w:val="0"/>
      <w:marBottom w:val="0"/>
      <w:divBdr>
        <w:top w:val="none" w:sz="0" w:space="0" w:color="auto"/>
        <w:left w:val="none" w:sz="0" w:space="0" w:color="auto"/>
        <w:bottom w:val="none" w:sz="0" w:space="0" w:color="auto"/>
        <w:right w:val="none" w:sz="0" w:space="0" w:color="auto"/>
      </w:divBdr>
    </w:div>
    <w:div w:id="885263768">
      <w:bodyDiv w:val="1"/>
      <w:marLeft w:val="0"/>
      <w:marRight w:val="0"/>
      <w:marTop w:val="0"/>
      <w:marBottom w:val="0"/>
      <w:divBdr>
        <w:top w:val="none" w:sz="0" w:space="0" w:color="auto"/>
        <w:left w:val="none" w:sz="0" w:space="0" w:color="auto"/>
        <w:bottom w:val="none" w:sz="0" w:space="0" w:color="auto"/>
        <w:right w:val="none" w:sz="0" w:space="0" w:color="auto"/>
      </w:divBdr>
    </w:div>
    <w:div w:id="887187695">
      <w:bodyDiv w:val="1"/>
      <w:marLeft w:val="0"/>
      <w:marRight w:val="0"/>
      <w:marTop w:val="0"/>
      <w:marBottom w:val="0"/>
      <w:divBdr>
        <w:top w:val="none" w:sz="0" w:space="0" w:color="auto"/>
        <w:left w:val="none" w:sz="0" w:space="0" w:color="auto"/>
        <w:bottom w:val="none" w:sz="0" w:space="0" w:color="auto"/>
        <w:right w:val="none" w:sz="0" w:space="0" w:color="auto"/>
      </w:divBdr>
    </w:div>
    <w:div w:id="887909933">
      <w:bodyDiv w:val="1"/>
      <w:marLeft w:val="0"/>
      <w:marRight w:val="0"/>
      <w:marTop w:val="0"/>
      <w:marBottom w:val="0"/>
      <w:divBdr>
        <w:top w:val="none" w:sz="0" w:space="0" w:color="auto"/>
        <w:left w:val="none" w:sz="0" w:space="0" w:color="auto"/>
        <w:bottom w:val="none" w:sz="0" w:space="0" w:color="auto"/>
        <w:right w:val="none" w:sz="0" w:space="0" w:color="auto"/>
      </w:divBdr>
    </w:div>
    <w:div w:id="891768858">
      <w:bodyDiv w:val="1"/>
      <w:marLeft w:val="0"/>
      <w:marRight w:val="0"/>
      <w:marTop w:val="0"/>
      <w:marBottom w:val="0"/>
      <w:divBdr>
        <w:top w:val="none" w:sz="0" w:space="0" w:color="auto"/>
        <w:left w:val="none" w:sz="0" w:space="0" w:color="auto"/>
        <w:bottom w:val="none" w:sz="0" w:space="0" w:color="auto"/>
        <w:right w:val="none" w:sz="0" w:space="0" w:color="auto"/>
      </w:divBdr>
    </w:div>
    <w:div w:id="894197944">
      <w:bodyDiv w:val="1"/>
      <w:marLeft w:val="0"/>
      <w:marRight w:val="0"/>
      <w:marTop w:val="0"/>
      <w:marBottom w:val="0"/>
      <w:divBdr>
        <w:top w:val="none" w:sz="0" w:space="0" w:color="auto"/>
        <w:left w:val="none" w:sz="0" w:space="0" w:color="auto"/>
        <w:bottom w:val="none" w:sz="0" w:space="0" w:color="auto"/>
        <w:right w:val="none" w:sz="0" w:space="0" w:color="auto"/>
      </w:divBdr>
    </w:div>
    <w:div w:id="904727312">
      <w:bodyDiv w:val="1"/>
      <w:marLeft w:val="0"/>
      <w:marRight w:val="0"/>
      <w:marTop w:val="0"/>
      <w:marBottom w:val="0"/>
      <w:divBdr>
        <w:top w:val="none" w:sz="0" w:space="0" w:color="auto"/>
        <w:left w:val="none" w:sz="0" w:space="0" w:color="auto"/>
        <w:bottom w:val="none" w:sz="0" w:space="0" w:color="auto"/>
        <w:right w:val="none" w:sz="0" w:space="0" w:color="auto"/>
      </w:divBdr>
    </w:div>
    <w:div w:id="907879058">
      <w:bodyDiv w:val="1"/>
      <w:marLeft w:val="0"/>
      <w:marRight w:val="0"/>
      <w:marTop w:val="0"/>
      <w:marBottom w:val="0"/>
      <w:divBdr>
        <w:top w:val="none" w:sz="0" w:space="0" w:color="auto"/>
        <w:left w:val="none" w:sz="0" w:space="0" w:color="auto"/>
        <w:bottom w:val="none" w:sz="0" w:space="0" w:color="auto"/>
        <w:right w:val="none" w:sz="0" w:space="0" w:color="auto"/>
      </w:divBdr>
    </w:div>
    <w:div w:id="909847164">
      <w:bodyDiv w:val="1"/>
      <w:marLeft w:val="0"/>
      <w:marRight w:val="0"/>
      <w:marTop w:val="0"/>
      <w:marBottom w:val="0"/>
      <w:divBdr>
        <w:top w:val="none" w:sz="0" w:space="0" w:color="auto"/>
        <w:left w:val="none" w:sz="0" w:space="0" w:color="auto"/>
        <w:bottom w:val="none" w:sz="0" w:space="0" w:color="auto"/>
        <w:right w:val="none" w:sz="0" w:space="0" w:color="auto"/>
      </w:divBdr>
    </w:div>
    <w:div w:id="913389895">
      <w:bodyDiv w:val="1"/>
      <w:marLeft w:val="0"/>
      <w:marRight w:val="0"/>
      <w:marTop w:val="0"/>
      <w:marBottom w:val="0"/>
      <w:divBdr>
        <w:top w:val="none" w:sz="0" w:space="0" w:color="auto"/>
        <w:left w:val="none" w:sz="0" w:space="0" w:color="auto"/>
        <w:bottom w:val="none" w:sz="0" w:space="0" w:color="auto"/>
        <w:right w:val="none" w:sz="0" w:space="0" w:color="auto"/>
      </w:divBdr>
    </w:div>
    <w:div w:id="920607304">
      <w:bodyDiv w:val="1"/>
      <w:marLeft w:val="0"/>
      <w:marRight w:val="0"/>
      <w:marTop w:val="0"/>
      <w:marBottom w:val="0"/>
      <w:divBdr>
        <w:top w:val="none" w:sz="0" w:space="0" w:color="auto"/>
        <w:left w:val="none" w:sz="0" w:space="0" w:color="auto"/>
        <w:bottom w:val="none" w:sz="0" w:space="0" w:color="auto"/>
        <w:right w:val="none" w:sz="0" w:space="0" w:color="auto"/>
      </w:divBdr>
    </w:div>
    <w:div w:id="924455480">
      <w:bodyDiv w:val="1"/>
      <w:marLeft w:val="0"/>
      <w:marRight w:val="0"/>
      <w:marTop w:val="0"/>
      <w:marBottom w:val="0"/>
      <w:divBdr>
        <w:top w:val="none" w:sz="0" w:space="0" w:color="auto"/>
        <w:left w:val="none" w:sz="0" w:space="0" w:color="auto"/>
        <w:bottom w:val="none" w:sz="0" w:space="0" w:color="auto"/>
        <w:right w:val="none" w:sz="0" w:space="0" w:color="auto"/>
      </w:divBdr>
    </w:div>
    <w:div w:id="935331673">
      <w:bodyDiv w:val="1"/>
      <w:marLeft w:val="0"/>
      <w:marRight w:val="0"/>
      <w:marTop w:val="0"/>
      <w:marBottom w:val="0"/>
      <w:divBdr>
        <w:top w:val="none" w:sz="0" w:space="0" w:color="auto"/>
        <w:left w:val="none" w:sz="0" w:space="0" w:color="auto"/>
        <w:bottom w:val="none" w:sz="0" w:space="0" w:color="auto"/>
        <w:right w:val="none" w:sz="0" w:space="0" w:color="auto"/>
      </w:divBdr>
    </w:div>
    <w:div w:id="935476501">
      <w:bodyDiv w:val="1"/>
      <w:marLeft w:val="0"/>
      <w:marRight w:val="0"/>
      <w:marTop w:val="0"/>
      <w:marBottom w:val="0"/>
      <w:divBdr>
        <w:top w:val="none" w:sz="0" w:space="0" w:color="auto"/>
        <w:left w:val="none" w:sz="0" w:space="0" w:color="auto"/>
        <w:bottom w:val="none" w:sz="0" w:space="0" w:color="auto"/>
        <w:right w:val="none" w:sz="0" w:space="0" w:color="auto"/>
      </w:divBdr>
    </w:div>
    <w:div w:id="935675662">
      <w:bodyDiv w:val="1"/>
      <w:marLeft w:val="0"/>
      <w:marRight w:val="0"/>
      <w:marTop w:val="0"/>
      <w:marBottom w:val="0"/>
      <w:divBdr>
        <w:top w:val="none" w:sz="0" w:space="0" w:color="auto"/>
        <w:left w:val="none" w:sz="0" w:space="0" w:color="auto"/>
        <w:bottom w:val="none" w:sz="0" w:space="0" w:color="auto"/>
        <w:right w:val="none" w:sz="0" w:space="0" w:color="auto"/>
      </w:divBdr>
    </w:div>
    <w:div w:id="941956352">
      <w:bodyDiv w:val="1"/>
      <w:marLeft w:val="0"/>
      <w:marRight w:val="0"/>
      <w:marTop w:val="0"/>
      <w:marBottom w:val="0"/>
      <w:divBdr>
        <w:top w:val="none" w:sz="0" w:space="0" w:color="auto"/>
        <w:left w:val="none" w:sz="0" w:space="0" w:color="auto"/>
        <w:bottom w:val="none" w:sz="0" w:space="0" w:color="auto"/>
        <w:right w:val="none" w:sz="0" w:space="0" w:color="auto"/>
      </w:divBdr>
    </w:div>
    <w:div w:id="950431309">
      <w:bodyDiv w:val="1"/>
      <w:marLeft w:val="0"/>
      <w:marRight w:val="0"/>
      <w:marTop w:val="0"/>
      <w:marBottom w:val="0"/>
      <w:divBdr>
        <w:top w:val="none" w:sz="0" w:space="0" w:color="auto"/>
        <w:left w:val="none" w:sz="0" w:space="0" w:color="auto"/>
        <w:bottom w:val="none" w:sz="0" w:space="0" w:color="auto"/>
        <w:right w:val="none" w:sz="0" w:space="0" w:color="auto"/>
      </w:divBdr>
    </w:div>
    <w:div w:id="953024544">
      <w:bodyDiv w:val="1"/>
      <w:marLeft w:val="0"/>
      <w:marRight w:val="0"/>
      <w:marTop w:val="0"/>
      <w:marBottom w:val="0"/>
      <w:divBdr>
        <w:top w:val="none" w:sz="0" w:space="0" w:color="auto"/>
        <w:left w:val="none" w:sz="0" w:space="0" w:color="auto"/>
        <w:bottom w:val="none" w:sz="0" w:space="0" w:color="auto"/>
        <w:right w:val="none" w:sz="0" w:space="0" w:color="auto"/>
      </w:divBdr>
    </w:div>
    <w:div w:id="954866111">
      <w:bodyDiv w:val="1"/>
      <w:marLeft w:val="0"/>
      <w:marRight w:val="0"/>
      <w:marTop w:val="0"/>
      <w:marBottom w:val="0"/>
      <w:divBdr>
        <w:top w:val="none" w:sz="0" w:space="0" w:color="auto"/>
        <w:left w:val="none" w:sz="0" w:space="0" w:color="auto"/>
        <w:bottom w:val="none" w:sz="0" w:space="0" w:color="auto"/>
        <w:right w:val="none" w:sz="0" w:space="0" w:color="auto"/>
      </w:divBdr>
    </w:div>
    <w:div w:id="956177367">
      <w:bodyDiv w:val="1"/>
      <w:marLeft w:val="0"/>
      <w:marRight w:val="0"/>
      <w:marTop w:val="0"/>
      <w:marBottom w:val="0"/>
      <w:divBdr>
        <w:top w:val="none" w:sz="0" w:space="0" w:color="auto"/>
        <w:left w:val="none" w:sz="0" w:space="0" w:color="auto"/>
        <w:bottom w:val="none" w:sz="0" w:space="0" w:color="auto"/>
        <w:right w:val="none" w:sz="0" w:space="0" w:color="auto"/>
      </w:divBdr>
    </w:div>
    <w:div w:id="964896884">
      <w:bodyDiv w:val="1"/>
      <w:marLeft w:val="0"/>
      <w:marRight w:val="0"/>
      <w:marTop w:val="0"/>
      <w:marBottom w:val="0"/>
      <w:divBdr>
        <w:top w:val="none" w:sz="0" w:space="0" w:color="auto"/>
        <w:left w:val="none" w:sz="0" w:space="0" w:color="auto"/>
        <w:bottom w:val="none" w:sz="0" w:space="0" w:color="auto"/>
        <w:right w:val="none" w:sz="0" w:space="0" w:color="auto"/>
      </w:divBdr>
    </w:div>
    <w:div w:id="972826427">
      <w:bodyDiv w:val="1"/>
      <w:marLeft w:val="0"/>
      <w:marRight w:val="0"/>
      <w:marTop w:val="0"/>
      <w:marBottom w:val="0"/>
      <w:divBdr>
        <w:top w:val="none" w:sz="0" w:space="0" w:color="auto"/>
        <w:left w:val="none" w:sz="0" w:space="0" w:color="auto"/>
        <w:bottom w:val="none" w:sz="0" w:space="0" w:color="auto"/>
        <w:right w:val="none" w:sz="0" w:space="0" w:color="auto"/>
      </w:divBdr>
    </w:div>
    <w:div w:id="982850761">
      <w:bodyDiv w:val="1"/>
      <w:marLeft w:val="0"/>
      <w:marRight w:val="0"/>
      <w:marTop w:val="0"/>
      <w:marBottom w:val="0"/>
      <w:divBdr>
        <w:top w:val="none" w:sz="0" w:space="0" w:color="auto"/>
        <w:left w:val="none" w:sz="0" w:space="0" w:color="auto"/>
        <w:bottom w:val="none" w:sz="0" w:space="0" w:color="auto"/>
        <w:right w:val="none" w:sz="0" w:space="0" w:color="auto"/>
      </w:divBdr>
    </w:div>
    <w:div w:id="987827355">
      <w:bodyDiv w:val="1"/>
      <w:marLeft w:val="0"/>
      <w:marRight w:val="0"/>
      <w:marTop w:val="0"/>
      <w:marBottom w:val="0"/>
      <w:divBdr>
        <w:top w:val="none" w:sz="0" w:space="0" w:color="auto"/>
        <w:left w:val="none" w:sz="0" w:space="0" w:color="auto"/>
        <w:bottom w:val="none" w:sz="0" w:space="0" w:color="auto"/>
        <w:right w:val="none" w:sz="0" w:space="0" w:color="auto"/>
      </w:divBdr>
    </w:div>
    <w:div w:id="994533184">
      <w:bodyDiv w:val="1"/>
      <w:marLeft w:val="0"/>
      <w:marRight w:val="0"/>
      <w:marTop w:val="0"/>
      <w:marBottom w:val="0"/>
      <w:divBdr>
        <w:top w:val="none" w:sz="0" w:space="0" w:color="auto"/>
        <w:left w:val="none" w:sz="0" w:space="0" w:color="auto"/>
        <w:bottom w:val="none" w:sz="0" w:space="0" w:color="auto"/>
        <w:right w:val="none" w:sz="0" w:space="0" w:color="auto"/>
      </w:divBdr>
      <w:divsChild>
        <w:div w:id="1752196919">
          <w:marLeft w:val="547"/>
          <w:marRight w:val="0"/>
          <w:marTop w:val="0"/>
          <w:marBottom w:val="0"/>
          <w:divBdr>
            <w:top w:val="none" w:sz="0" w:space="0" w:color="auto"/>
            <w:left w:val="none" w:sz="0" w:space="0" w:color="auto"/>
            <w:bottom w:val="none" w:sz="0" w:space="0" w:color="auto"/>
            <w:right w:val="none" w:sz="0" w:space="0" w:color="auto"/>
          </w:divBdr>
        </w:div>
        <w:div w:id="556862339">
          <w:marLeft w:val="547"/>
          <w:marRight w:val="0"/>
          <w:marTop w:val="0"/>
          <w:marBottom w:val="0"/>
          <w:divBdr>
            <w:top w:val="none" w:sz="0" w:space="0" w:color="auto"/>
            <w:left w:val="none" w:sz="0" w:space="0" w:color="auto"/>
            <w:bottom w:val="none" w:sz="0" w:space="0" w:color="auto"/>
            <w:right w:val="none" w:sz="0" w:space="0" w:color="auto"/>
          </w:divBdr>
        </w:div>
        <w:div w:id="1093207245">
          <w:marLeft w:val="547"/>
          <w:marRight w:val="0"/>
          <w:marTop w:val="0"/>
          <w:marBottom w:val="0"/>
          <w:divBdr>
            <w:top w:val="none" w:sz="0" w:space="0" w:color="auto"/>
            <w:left w:val="none" w:sz="0" w:space="0" w:color="auto"/>
            <w:bottom w:val="none" w:sz="0" w:space="0" w:color="auto"/>
            <w:right w:val="none" w:sz="0" w:space="0" w:color="auto"/>
          </w:divBdr>
        </w:div>
        <w:div w:id="1205361582">
          <w:marLeft w:val="547"/>
          <w:marRight w:val="0"/>
          <w:marTop w:val="0"/>
          <w:marBottom w:val="0"/>
          <w:divBdr>
            <w:top w:val="none" w:sz="0" w:space="0" w:color="auto"/>
            <w:left w:val="none" w:sz="0" w:space="0" w:color="auto"/>
            <w:bottom w:val="none" w:sz="0" w:space="0" w:color="auto"/>
            <w:right w:val="none" w:sz="0" w:space="0" w:color="auto"/>
          </w:divBdr>
        </w:div>
      </w:divsChild>
    </w:div>
    <w:div w:id="999503074">
      <w:bodyDiv w:val="1"/>
      <w:marLeft w:val="0"/>
      <w:marRight w:val="0"/>
      <w:marTop w:val="0"/>
      <w:marBottom w:val="0"/>
      <w:divBdr>
        <w:top w:val="none" w:sz="0" w:space="0" w:color="auto"/>
        <w:left w:val="none" w:sz="0" w:space="0" w:color="auto"/>
        <w:bottom w:val="none" w:sz="0" w:space="0" w:color="auto"/>
        <w:right w:val="none" w:sz="0" w:space="0" w:color="auto"/>
      </w:divBdr>
    </w:div>
    <w:div w:id="1001271532">
      <w:bodyDiv w:val="1"/>
      <w:marLeft w:val="0"/>
      <w:marRight w:val="0"/>
      <w:marTop w:val="0"/>
      <w:marBottom w:val="0"/>
      <w:divBdr>
        <w:top w:val="none" w:sz="0" w:space="0" w:color="auto"/>
        <w:left w:val="none" w:sz="0" w:space="0" w:color="auto"/>
        <w:bottom w:val="none" w:sz="0" w:space="0" w:color="auto"/>
        <w:right w:val="none" w:sz="0" w:space="0" w:color="auto"/>
      </w:divBdr>
    </w:div>
    <w:div w:id="1013605433">
      <w:bodyDiv w:val="1"/>
      <w:marLeft w:val="0"/>
      <w:marRight w:val="0"/>
      <w:marTop w:val="0"/>
      <w:marBottom w:val="0"/>
      <w:divBdr>
        <w:top w:val="none" w:sz="0" w:space="0" w:color="auto"/>
        <w:left w:val="none" w:sz="0" w:space="0" w:color="auto"/>
        <w:bottom w:val="none" w:sz="0" w:space="0" w:color="auto"/>
        <w:right w:val="none" w:sz="0" w:space="0" w:color="auto"/>
      </w:divBdr>
    </w:div>
    <w:div w:id="1013804584">
      <w:bodyDiv w:val="1"/>
      <w:marLeft w:val="0"/>
      <w:marRight w:val="0"/>
      <w:marTop w:val="0"/>
      <w:marBottom w:val="0"/>
      <w:divBdr>
        <w:top w:val="none" w:sz="0" w:space="0" w:color="auto"/>
        <w:left w:val="none" w:sz="0" w:space="0" w:color="auto"/>
        <w:bottom w:val="none" w:sz="0" w:space="0" w:color="auto"/>
        <w:right w:val="none" w:sz="0" w:space="0" w:color="auto"/>
      </w:divBdr>
    </w:div>
    <w:div w:id="1016805419">
      <w:bodyDiv w:val="1"/>
      <w:marLeft w:val="0"/>
      <w:marRight w:val="0"/>
      <w:marTop w:val="0"/>
      <w:marBottom w:val="0"/>
      <w:divBdr>
        <w:top w:val="none" w:sz="0" w:space="0" w:color="auto"/>
        <w:left w:val="none" w:sz="0" w:space="0" w:color="auto"/>
        <w:bottom w:val="none" w:sz="0" w:space="0" w:color="auto"/>
        <w:right w:val="none" w:sz="0" w:space="0" w:color="auto"/>
      </w:divBdr>
    </w:div>
    <w:div w:id="1018046917">
      <w:bodyDiv w:val="1"/>
      <w:marLeft w:val="0"/>
      <w:marRight w:val="0"/>
      <w:marTop w:val="0"/>
      <w:marBottom w:val="0"/>
      <w:divBdr>
        <w:top w:val="none" w:sz="0" w:space="0" w:color="auto"/>
        <w:left w:val="none" w:sz="0" w:space="0" w:color="auto"/>
        <w:bottom w:val="none" w:sz="0" w:space="0" w:color="auto"/>
        <w:right w:val="none" w:sz="0" w:space="0" w:color="auto"/>
      </w:divBdr>
    </w:div>
    <w:div w:id="1036808228">
      <w:bodyDiv w:val="1"/>
      <w:marLeft w:val="0"/>
      <w:marRight w:val="0"/>
      <w:marTop w:val="0"/>
      <w:marBottom w:val="0"/>
      <w:divBdr>
        <w:top w:val="none" w:sz="0" w:space="0" w:color="auto"/>
        <w:left w:val="none" w:sz="0" w:space="0" w:color="auto"/>
        <w:bottom w:val="none" w:sz="0" w:space="0" w:color="auto"/>
        <w:right w:val="none" w:sz="0" w:space="0" w:color="auto"/>
      </w:divBdr>
    </w:div>
    <w:div w:id="1042755978">
      <w:bodyDiv w:val="1"/>
      <w:marLeft w:val="0"/>
      <w:marRight w:val="0"/>
      <w:marTop w:val="0"/>
      <w:marBottom w:val="0"/>
      <w:divBdr>
        <w:top w:val="none" w:sz="0" w:space="0" w:color="auto"/>
        <w:left w:val="none" w:sz="0" w:space="0" w:color="auto"/>
        <w:bottom w:val="none" w:sz="0" w:space="0" w:color="auto"/>
        <w:right w:val="none" w:sz="0" w:space="0" w:color="auto"/>
      </w:divBdr>
    </w:div>
    <w:div w:id="1051271682">
      <w:bodyDiv w:val="1"/>
      <w:marLeft w:val="0"/>
      <w:marRight w:val="0"/>
      <w:marTop w:val="0"/>
      <w:marBottom w:val="0"/>
      <w:divBdr>
        <w:top w:val="none" w:sz="0" w:space="0" w:color="auto"/>
        <w:left w:val="none" w:sz="0" w:space="0" w:color="auto"/>
        <w:bottom w:val="none" w:sz="0" w:space="0" w:color="auto"/>
        <w:right w:val="none" w:sz="0" w:space="0" w:color="auto"/>
      </w:divBdr>
    </w:div>
    <w:div w:id="1053037871">
      <w:bodyDiv w:val="1"/>
      <w:marLeft w:val="0"/>
      <w:marRight w:val="0"/>
      <w:marTop w:val="0"/>
      <w:marBottom w:val="0"/>
      <w:divBdr>
        <w:top w:val="none" w:sz="0" w:space="0" w:color="auto"/>
        <w:left w:val="none" w:sz="0" w:space="0" w:color="auto"/>
        <w:bottom w:val="none" w:sz="0" w:space="0" w:color="auto"/>
        <w:right w:val="none" w:sz="0" w:space="0" w:color="auto"/>
      </w:divBdr>
    </w:div>
    <w:div w:id="1085107789">
      <w:bodyDiv w:val="1"/>
      <w:marLeft w:val="0"/>
      <w:marRight w:val="0"/>
      <w:marTop w:val="0"/>
      <w:marBottom w:val="0"/>
      <w:divBdr>
        <w:top w:val="none" w:sz="0" w:space="0" w:color="auto"/>
        <w:left w:val="none" w:sz="0" w:space="0" w:color="auto"/>
        <w:bottom w:val="none" w:sz="0" w:space="0" w:color="auto"/>
        <w:right w:val="none" w:sz="0" w:space="0" w:color="auto"/>
      </w:divBdr>
    </w:div>
    <w:div w:id="1089232723">
      <w:bodyDiv w:val="1"/>
      <w:marLeft w:val="0"/>
      <w:marRight w:val="0"/>
      <w:marTop w:val="0"/>
      <w:marBottom w:val="0"/>
      <w:divBdr>
        <w:top w:val="none" w:sz="0" w:space="0" w:color="auto"/>
        <w:left w:val="none" w:sz="0" w:space="0" w:color="auto"/>
        <w:bottom w:val="none" w:sz="0" w:space="0" w:color="auto"/>
        <w:right w:val="none" w:sz="0" w:space="0" w:color="auto"/>
      </w:divBdr>
    </w:div>
    <w:div w:id="1091050810">
      <w:bodyDiv w:val="1"/>
      <w:marLeft w:val="0"/>
      <w:marRight w:val="0"/>
      <w:marTop w:val="0"/>
      <w:marBottom w:val="0"/>
      <w:divBdr>
        <w:top w:val="none" w:sz="0" w:space="0" w:color="auto"/>
        <w:left w:val="none" w:sz="0" w:space="0" w:color="auto"/>
        <w:bottom w:val="none" w:sz="0" w:space="0" w:color="auto"/>
        <w:right w:val="none" w:sz="0" w:space="0" w:color="auto"/>
      </w:divBdr>
    </w:div>
    <w:div w:id="1092356480">
      <w:bodyDiv w:val="1"/>
      <w:marLeft w:val="0"/>
      <w:marRight w:val="0"/>
      <w:marTop w:val="0"/>
      <w:marBottom w:val="0"/>
      <w:divBdr>
        <w:top w:val="none" w:sz="0" w:space="0" w:color="auto"/>
        <w:left w:val="none" w:sz="0" w:space="0" w:color="auto"/>
        <w:bottom w:val="none" w:sz="0" w:space="0" w:color="auto"/>
        <w:right w:val="none" w:sz="0" w:space="0" w:color="auto"/>
      </w:divBdr>
    </w:div>
    <w:div w:id="1105079162">
      <w:bodyDiv w:val="1"/>
      <w:marLeft w:val="0"/>
      <w:marRight w:val="0"/>
      <w:marTop w:val="0"/>
      <w:marBottom w:val="0"/>
      <w:divBdr>
        <w:top w:val="none" w:sz="0" w:space="0" w:color="auto"/>
        <w:left w:val="none" w:sz="0" w:space="0" w:color="auto"/>
        <w:bottom w:val="none" w:sz="0" w:space="0" w:color="auto"/>
        <w:right w:val="none" w:sz="0" w:space="0" w:color="auto"/>
      </w:divBdr>
    </w:div>
    <w:div w:id="1105224374">
      <w:bodyDiv w:val="1"/>
      <w:marLeft w:val="0"/>
      <w:marRight w:val="0"/>
      <w:marTop w:val="0"/>
      <w:marBottom w:val="0"/>
      <w:divBdr>
        <w:top w:val="none" w:sz="0" w:space="0" w:color="auto"/>
        <w:left w:val="none" w:sz="0" w:space="0" w:color="auto"/>
        <w:bottom w:val="none" w:sz="0" w:space="0" w:color="auto"/>
        <w:right w:val="none" w:sz="0" w:space="0" w:color="auto"/>
      </w:divBdr>
    </w:div>
    <w:div w:id="1109544781">
      <w:bodyDiv w:val="1"/>
      <w:marLeft w:val="0"/>
      <w:marRight w:val="0"/>
      <w:marTop w:val="0"/>
      <w:marBottom w:val="0"/>
      <w:divBdr>
        <w:top w:val="none" w:sz="0" w:space="0" w:color="auto"/>
        <w:left w:val="none" w:sz="0" w:space="0" w:color="auto"/>
        <w:bottom w:val="none" w:sz="0" w:space="0" w:color="auto"/>
        <w:right w:val="none" w:sz="0" w:space="0" w:color="auto"/>
      </w:divBdr>
    </w:div>
    <w:div w:id="1112047047">
      <w:bodyDiv w:val="1"/>
      <w:marLeft w:val="0"/>
      <w:marRight w:val="0"/>
      <w:marTop w:val="0"/>
      <w:marBottom w:val="0"/>
      <w:divBdr>
        <w:top w:val="none" w:sz="0" w:space="0" w:color="auto"/>
        <w:left w:val="none" w:sz="0" w:space="0" w:color="auto"/>
        <w:bottom w:val="none" w:sz="0" w:space="0" w:color="auto"/>
        <w:right w:val="none" w:sz="0" w:space="0" w:color="auto"/>
      </w:divBdr>
    </w:div>
    <w:div w:id="1117991110">
      <w:bodyDiv w:val="1"/>
      <w:marLeft w:val="0"/>
      <w:marRight w:val="0"/>
      <w:marTop w:val="0"/>
      <w:marBottom w:val="0"/>
      <w:divBdr>
        <w:top w:val="none" w:sz="0" w:space="0" w:color="auto"/>
        <w:left w:val="none" w:sz="0" w:space="0" w:color="auto"/>
        <w:bottom w:val="none" w:sz="0" w:space="0" w:color="auto"/>
        <w:right w:val="none" w:sz="0" w:space="0" w:color="auto"/>
      </w:divBdr>
    </w:div>
    <w:div w:id="1130631435">
      <w:bodyDiv w:val="1"/>
      <w:marLeft w:val="0"/>
      <w:marRight w:val="0"/>
      <w:marTop w:val="0"/>
      <w:marBottom w:val="0"/>
      <w:divBdr>
        <w:top w:val="none" w:sz="0" w:space="0" w:color="auto"/>
        <w:left w:val="none" w:sz="0" w:space="0" w:color="auto"/>
        <w:bottom w:val="none" w:sz="0" w:space="0" w:color="auto"/>
        <w:right w:val="none" w:sz="0" w:space="0" w:color="auto"/>
      </w:divBdr>
    </w:div>
    <w:div w:id="1131171787">
      <w:bodyDiv w:val="1"/>
      <w:marLeft w:val="0"/>
      <w:marRight w:val="0"/>
      <w:marTop w:val="0"/>
      <w:marBottom w:val="0"/>
      <w:divBdr>
        <w:top w:val="none" w:sz="0" w:space="0" w:color="auto"/>
        <w:left w:val="none" w:sz="0" w:space="0" w:color="auto"/>
        <w:bottom w:val="none" w:sz="0" w:space="0" w:color="auto"/>
        <w:right w:val="none" w:sz="0" w:space="0" w:color="auto"/>
      </w:divBdr>
    </w:div>
    <w:div w:id="1136490173">
      <w:bodyDiv w:val="1"/>
      <w:marLeft w:val="0"/>
      <w:marRight w:val="0"/>
      <w:marTop w:val="0"/>
      <w:marBottom w:val="0"/>
      <w:divBdr>
        <w:top w:val="none" w:sz="0" w:space="0" w:color="auto"/>
        <w:left w:val="none" w:sz="0" w:space="0" w:color="auto"/>
        <w:bottom w:val="none" w:sz="0" w:space="0" w:color="auto"/>
        <w:right w:val="none" w:sz="0" w:space="0" w:color="auto"/>
      </w:divBdr>
    </w:div>
    <w:div w:id="1144544704">
      <w:bodyDiv w:val="1"/>
      <w:marLeft w:val="0"/>
      <w:marRight w:val="0"/>
      <w:marTop w:val="0"/>
      <w:marBottom w:val="0"/>
      <w:divBdr>
        <w:top w:val="none" w:sz="0" w:space="0" w:color="auto"/>
        <w:left w:val="none" w:sz="0" w:space="0" w:color="auto"/>
        <w:bottom w:val="none" w:sz="0" w:space="0" w:color="auto"/>
        <w:right w:val="none" w:sz="0" w:space="0" w:color="auto"/>
      </w:divBdr>
    </w:div>
    <w:div w:id="1146118370">
      <w:bodyDiv w:val="1"/>
      <w:marLeft w:val="0"/>
      <w:marRight w:val="0"/>
      <w:marTop w:val="0"/>
      <w:marBottom w:val="0"/>
      <w:divBdr>
        <w:top w:val="none" w:sz="0" w:space="0" w:color="auto"/>
        <w:left w:val="none" w:sz="0" w:space="0" w:color="auto"/>
        <w:bottom w:val="none" w:sz="0" w:space="0" w:color="auto"/>
        <w:right w:val="none" w:sz="0" w:space="0" w:color="auto"/>
      </w:divBdr>
    </w:div>
    <w:div w:id="1146969264">
      <w:bodyDiv w:val="1"/>
      <w:marLeft w:val="0"/>
      <w:marRight w:val="0"/>
      <w:marTop w:val="0"/>
      <w:marBottom w:val="0"/>
      <w:divBdr>
        <w:top w:val="none" w:sz="0" w:space="0" w:color="auto"/>
        <w:left w:val="none" w:sz="0" w:space="0" w:color="auto"/>
        <w:bottom w:val="none" w:sz="0" w:space="0" w:color="auto"/>
        <w:right w:val="none" w:sz="0" w:space="0" w:color="auto"/>
      </w:divBdr>
    </w:div>
    <w:div w:id="1153177260">
      <w:bodyDiv w:val="1"/>
      <w:marLeft w:val="0"/>
      <w:marRight w:val="0"/>
      <w:marTop w:val="0"/>
      <w:marBottom w:val="0"/>
      <w:divBdr>
        <w:top w:val="none" w:sz="0" w:space="0" w:color="auto"/>
        <w:left w:val="none" w:sz="0" w:space="0" w:color="auto"/>
        <w:bottom w:val="none" w:sz="0" w:space="0" w:color="auto"/>
        <w:right w:val="none" w:sz="0" w:space="0" w:color="auto"/>
      </w:divBdr>
    </w:div>
    <w:div w:id="1169784539">
      <w:bodyDiv w:val="1"/>
      <w:marLeft w:val="0"/>
      <w:marRight w:val="0"/>
      <w:marTop w:val="0"/>
      <w:marBottom w:val="0"/>
      <w:divBdr>
        <w:top w:val="none" w:sz="0" w:space="0" w:color="auto"/>
        <w:left w:val="none" w:sz="0" w:space="0" w:color="auto"/>
        <w:bottom w:val="none" w:sz="0" w:space="0" w:color="auto"/>
        <w:right w:val="none" w:sz="0" w:space="0" w:color="auto"/>
      </w:divBdr>
    </w:div>
    <w:div w:id="1174299236">
      <w:bodyDiv w:val="1"/>
      <w:marLeft w:val="0"/>
      <w:marRight w:val="0"/>
      <w:marTop w:val="0"/>
      <w:marBottom w:val="0"/>
      <w:divBdr>
        <w:top w:val="none" w:sz="0" w:space="0" w:color="auto"/>
        <w:left w:val="none" w:sz="0" w:space="0" w:color="auto"/>
        <w:bottom w:val="none" w:sz="0" w:space="0" w:color="auto"/>
        <w:right w:val="none" w:sz="0" w:space="0" w:color="auto"/>
      </w:divBdr>
      <w:divsChild>
        <w:div w:id="840392846">
          <w:marLeft w:val="547"/>
          <w:marRight w:val="0"/>
          <w:marTop w:val="0"/>
          <w:marBottom w:val="0"/>
          <w:divBdr>
            <w:top w:val="none" w:sz="0" w:space="0" w:color="auto"/>
            <w:left w:val="none" w:sz="0" w:space="0" w:color="auto"/>
            <w:bottom w:val="none" w:sz="0" w:space="0" w:color="auto"/>
            <w:right w:val="none" w:sz="0" w:space="0" w:color="auto"/>
          </w:divBdr>
        </w:div>
        <w:div w:id="1589459583">
          <w:marLeft w:val="547"/>
          <w:marRight w:val="0"/>
          <w:marTop w:val="0"/>
          <w:marBottom w:val="0"/>
          <w:divBdr>
            <w:top w:val="none" w:sz="0" w:space="0" w:color="auto"/>
            <w:left w:val="none" w:sz="0" w:space="0" w:color="auto"/>
            <w:bottom w:val="none" w:sz="0" w:space="0" w:color="auto"/>
            <w:right w:val="none" w:sz="0" w:space="0" w:color="auto"/>
          </w:divBdr>
        </w:div>
        <w:div w:id="6639679">
          <w:marLeft w:val="547"/>
          <w:marRight w:val="0"/>
          <w:marTop w:val="0"/>
          <w:marBottom w:val="0"/>
          <w:divBdr>
            <w:top w:val="none" w:sz="0" w:space="0" w:color="auto"/>
            <w:left w:val="none" w:sz="0" w:space="0" w:color="auto"/>
            <w:bottom w:val="none" w:sz="0" w:space="0" w:color="auto"/>
            <w:right w:val="none" w:sz="0" w:space="0" w:color="auto"/>
          </w:divBdr>
        </w:div>
        <w:div w:id="548342263">
          <w:marLeft w:val="547"/>
          <w:marRight w:val="0"/>
          <w:marTop w:val="0"/>
          <w:marBottom w:val="0"/>
          <w:divBdr>
            <w:top w:val="none" w:sz="0" w:space="0" w:color="auto"/>
            <w:left w:val="none" w:sz="0" w:space="0" w:color="auto"/>
            <w:bottom w:val="none" w:sz="0" w:space="0" w:color="auto"/>
            <w:right w:val="none" w:sz="0" w:space="0" w:color="auto"/>
          </w:divBdr>
        </w:div>
      </w:divsChild>
    </w:div>
    <w:div w:id="1185946805">
      <w:bodyDiv w:val="1"/>
      <w:marLeft w:val="0"/>
      <w:marRight w:val="0"/>
      <w:marTop w:val="0"/>
      <w:marBottom w:val="0"/>
      <w:divBdr>
        <w:top w:val="none" w:sz="0" w:space="0" w:color="auto"/>
        <w:left w:val="none" w:sz="0" w:space="0" w:color="auto"/>
        <w:bottom w:val="none" w:sz="0" w:space="0" w:color="auto"/>
        <w:right w:val="none" w:sz="0" w:space="0" w:color="auto"/>
      </w:divBdr>
    </w:div>
    <w:div w:id="1188910076">
      <w:bodyDiv w:val="1"/>
      <w:marLeft w:val="0"/>
      <w:marRight w:val="0"/>
      <w:marTop w:val="0"/>
      <w:marBottom w:val="0"/>
      <w:divBdr>
        <w:top w:val="none" w:sz="0" w:space="0" w:color="auto"/>
        <w:left w:val="none" w:sz="0" w:space="0" w:color="auto"/>
        <w:bottom w:val="none" w:sz="0" w:space="0" w:color="auto"/>
        <w:right w:val="none" w:sz="0" w:space="0" w:color="auto"/>
      </w:divBdr>
    </w:div>
    <w:div w:id="1194078211">
      <w:bodyDiv w:val="1"/>
      <w:marLeft w:val="0"/>
      <w:marRight w:val="0"/>
      <w:marTop w:val="0"/>
      <w:marBottom w:val="0"/>
      <w:divBdr>
        <w:top w:val="none" w:sz="0" w:space="0" w:color="auto"/>
        <w:left w:val="none" w:sz="0" w:space="0" w:color="auto"/>
        <w:bottom w:val="none" w:sz="0" w:space="0" w:color="auto"/>
        <w:right w:val="none" w:sz="0" w:space="0" w:color="auto"/>
      </w:divBdr>
    </w:div>
    <w:div w:id="1195734825">
      <w:bodyDiv w:val="1"/>
      <w:marLeft w:val="0"/>
      <w:marRight w:val="0"/>
      <w:marTop w:val="0"/>
      <w:marBottom w:val="0"/>
      <w:divBdr>
        <w:top w:val="none" w:sz="0" w:space="0" w:color="auto"/>
        <w:left w:val="none" w:sz="0" w:space="0" w:color="auto"/>
        <w:bottom w:val="none" w:sz="0" w:space="0" w:color="auto"/>
        <w:right w:val="none" w:sz="0" w:space="0" w:color="auto"/>
      </w:divBdr>
    </w:div>
    <w:div w:id="1196117412">
      <w:bodyDiv w:val="1"/>
      <w:marLeft w:val="0"/>
      <w:marRight w:val="0"/>
      <w:marTop w:val="0"/>
      <w:marBottom w:val="0"/>
      <w:divBdr>
        <w:top w:val="none" w:sz="0" w:space="0" w:color="auto"/>
        <w:left w:val="none" w:sz="0" w:space="0" w:color="auto"/>
        <w:bottom w:val="none" w:sz="0" w:space="0" w:color="auto"/>
        <w:right w:val="none" w:sz="0" w:space="0" w:color="auto"/>
      </w:divBdr>
    </w:div>
    <w:div w:id="1196892053">
      <w:bodyDiv w:val="1"/>
      <w:marLeft w:val="0"/>
      <w:marRight w:val="0"/>
      <w:marTop w:val="0"/>
      <w:marBottom w:val="0"/>
      <w:divBdr>
        <w:top w:val="none" w:sz="0" w:space="0" w:color="auto"/>
        <w:left w:val="none" w:sz="0" w:space="0" w:color="auto"/>
        <w:bottom w:val="none" w:sz="0" w:space="0" w:color="auto"/>
        <w:right w:val="none" w:sz="0" w:space="0" w:color="auto"/>
      </w:divBdr>
    </w:div>
    <w:div w:id="1197500201">
      <w:bodyDiv w:val="1"/>
      <w:marLeft w:val="0"/>
      <w:marRight w:val="0"/>
      <w:marTop w:val="0"/>
      <w:marBottom w:val="0"/>
      <w:divBdr>
        <w:top w:val="none" w:sz="0" w:space="0" w:color="auto"/>
        <w:left w:val="none" w:sz="0" w:space="0" w:color="auto"/>
        <w:bottom w:val="none" w:sz="0" w:space="0" w:color="auto"/>
        <w:right w:val="none" w:sz="0" w:space="0" w:color="auto"/>
      </w:divBdr>
    </w:div>
    <w:div w:id="1199469390">
      <w:bodyDiv w:val="1"/>
      <w:marLeft w:val="0"/>
      <w:marRight w:val="0"/>
      <w:marTop w:val="0"/>
      <w:marBottom w:val="0"/>
      <w:divBdr>
        <w:top w:val="none" w:sz="0" w:space="0" w:color="auto"/>
        <w:left w:val="none" w:sz="0" w:space="0" w:color="auto"/>
        <w:bottom w:val="none" w:sz="0" w:space="0" w:color="auto"/>
        <w:right w:val="none" w:sz="0" w:space="0" w:color="auto"/>
      </w:divBdr>
    </w:div>
    <w:div w:id="1202089561">
      <w:bodyDiv w:val="1"/>
      <w:marLeft w:val="0"/>
      <w:marRight w:val="0"/>
      <w:marTop w:val="0"/>
      <w:marBottom w:val="0"/>
      <w:divBdr>
        <w:top w:val="none" w:sz="0" w:space="0" w:color="auto"/>
        <w:left w:val="none" w:sz="0" w:space="0" w:color="auto"/>
        <w:bottom w:val="none" w:sz="0" w:space="0" w:color="auto"/>
        <w:right w:val="none" w:sz="0" w:space="0" w:color="auto"/>
      </w:divBdr>
    </w:div>
    <w:div w:id="1206138351">
      <w:bodyDiv w:val="1"/>
      <w:marLeft w:val="0"/>
      <w:marRight w:val="0"/>
      <w:marTop w:val="0"/>
      <w:marBottom w:val="0"/>
      <w:divBdr>
        <w:top w:val="none" w:sz="0" w:space="0" w:color="auto"/>
        <w:left w:val="none" w:sz="0" w:space="0" w:color="auto"/>
        <w:bottom w:val="none" w:sz="0" w:space="0" w:color="auto"/>
        <w:right w:val="none" w:sz="0" w:space="0" w:color="auto"/>
      </w:divBdr>
    </w:div>
    <w:div w:id="1207569223">
      <w:bodyDiv w:val="1"/>
      <w:marLeft w:val="0"/>
      <w:marRight w:val="0"/>
      <w:marTop w:val="0"/>
      <w:marBottom w:val="0"/>
      <w:divBdr>
        <w:top w:val="none" w:sz="0" w:space="0" w:color="auto"/>
        <w:left w:val="none" w:sz="0" w:space="0" w:color="auto"/>
        <w:bottom w:val="none" w:sz="0" w:space="0" w:color="auto"/>
        <w:right w:val="none" w:sz="0" w:space="0" w:color="auto"/>
      </w:divBdr>
    </w:div>
    <w:div w:id="1211842748">
      <w:bodyDiv w:val="1"/>
      <w:marLeft w:val="0"/>
      <w:marRight w:val="0"/>
      <w:marTop w:val="0"/>
      <w:marBottom w:val="0"/>
      <w:divBdr>
        <w:top w:val="none" w:sz="0" w:space="0" w:color="auto"/>
        <w:left w:val="none" w:sz="0" w:space="0" w:color="auto"/>
        <w:bottom w:val="none" w:sz="0" w:space="0" w:color="auto"/>
        <w:right w:val="none" w:sz="0" w:space="0" w:color="auto"/>
      </w:divBdr>
    </w:div>
    <w:div w:id="1212621359">
      <w:bodyDiv w:val="1"/>
      <w:marLeft w:val="0"/>
      <w:marRight w:val="0"/>
      <w:marTop w:val="0"/>
      <w:marBottom w:val="0"/>
      <w:divBdr>
        <w:top w:val="none" w:sz="0" w:space="0" w:color="auto"/>
        <w:left w:val="none" w:sz="0" w:space="0" w:color="auto"/>
        <w:bottom w:val="none" w:sz="0" w:space="0" w:color="auto"/>
        <w:right w:val="none" w:sz="0" w:space="0" w:color="auto"/>
      </w:divBdr>
    </w:div>
    <w:div w:id="1213082965">
      <w:bodyDiv w:val="1"/>
      <w:marLeft w:val="0"/>
      <w:marRight w:val="0"/>
      <w:marTop w:val="0"/>
      <w:marBottom w:val="0"/>
      <w:divBdr>
        <w:top w:val="none" w:sz="0" w:space="0" w:color="auto"/>
        <w:left w:val="none" w:sz="0" w:space="0" w:color="auto"/>
        <w:bottom w:val="none" w:sz="0" w:space="0" w:color="auto"/>
        <w:right w:val="none" w:sz="0" w:space="0" w:color="auto"/>
      </w:divBdr>
    </w:div>
    <w:div w:id="1214343682">
      <w:bodyDiv w:val="1"/>
      <w:marLeft w:val="0"/>
      <w:marRight w:val="0"/>
      <w:marTop w:val="0"/>
      <w:marBottom w:val="0"/>
      <w:divBdr>
        <w:top w:val="none" w:sz="0" w:space="0" w:color="auto"/>
        <w:left w:val="none" w:sz="0" w:space="0" w:color="auto"/>
        <w:bottom w:val="none" w:sz="0" w:space="0" w:color="auto"/>
        <w:right w:val="none" w:sz="0" w:space="0" w:color="auto"/>
      </w:divBdr>
    </w:div>
    <w:div w:id="1215431904">
      <w:bodyDiv w:val="1"/>
      <w:marLeft w:val="0"/>
      <w:marRight w:val="0"/>
      <w:marTop w:val="0"/>
      <w:marBottom w:val="0"/>
      <w:divBdr>
        <w:top w:val="none" w:sz="0" w:space="0" w:color="auto"/>
        <w:left w:val="none" w:sz="0" w:space="0" w:color="auto"/>
        <w:bottom w:val="none" w:sz="0" w:space="0" w:color="auto"/>
        <w:right w:val="none" w:sz="0" w:space="0" w:color="auto"/>
      </w:divBdr>
    </w:div>
    <w:div w:id="1219168769">
      <w:bodyDiv w:val="1"/>
      <w:marLeft w:val="0"/>
      <w:marRight w:val="0"/>
      <w:marTop w:val="0"/>
      <w:marBottom w:val="0"/>
      <w:divBdr>
        <w:top w:val="none" w:sz="0" w:space="0" w:color="auto"/>
        <w:left w:val="none" w:sz="0" w:space="0" w:color="auto"/>
        <w:bottom w:val="none" w:sz="0" w:space="0" w:color="auto"/>
        <w:right w:val="none" w:sz="0" w:space="0" w:color="auto"/>
      </w:divBdr>
    </w:div>
    <w:div w:id="1220746844">
      <w:bodyDiv w:val="1"/>
      <w:marLeft w:val="0"/>
      <w:marRight w:val="0"/>
      <w:marTop w:val="0"/>
      <w:marBottom w:val="0"/>
      <w:divBdr>
        <w:top w:val="none" w:sz="0" w:space="0" w:color="auto"/>
        <w:left w:val="none" w:sz="0" w:space="0" w:color="auto"/>
        <w:bottom w:val="none" w:sz="0" w:space="0" w:color="auto"/>
        <w:right w:val="none" w:sz="0" w:space="0" w:color="auto"/>
      </w:divBdr>
    </w:div>
    <w:div w:id="1235774798">
      <w:bodyDiv w:val="1"/>
      <w:marLeft w:val="0"/>
      <w:marRight w:val="0"/>
      <w:marTop w:val="0"/>
      <w:marBottom w:val="0"/>
      <w:divBdr>
        <w:top w:val="none" w:sz="0" w:space="0" w:color="auto"/>
        <w:left w:val="none" w:sz="0" w:space="0" w:color="auto"/>
        <w:bottom w:val="none" w:sz="0" w:space="0" w:color="auto"/>
        <w:right w:val="none" w:sz="0" w:space="0" w:color="auto"/>
      </w:divBdr>
    </w:div>
    <w:div w:id="1237134138">
      <w:bodyDiv w:val="1"/>
      <w:marLeft w:val="0"/>
      <w:marRight w:val="0"/>
      <w:marTop w:val="0"/>
      <w:marBottom w:val="0"/>
      <w:divBdr>
        <w:top w:val="none" w:sz="0" w:space="0" w:color="auto"/>
        <w:left w:val="none" w:sz="0" w:space="0" w:color="auto"/>
        <w:bottom w:val="none" w:sz="0" w:space="0" w:color="auto"/>
        <w:right w:val="none" w:sz="0" w:space="0" w:color="auto"/>
      </w:divBdr>
    </w:div>
    <w:div w:id="1240674232">
      <w:bodyDiv w:val="1"/>
      <w:marLeft w:val="0"/>
      <w:marRight w:val="0"/>
      <w:marTop w:val="0"/>
      <w:marBottom w:val="0"/>
      <w:divBdr>
        <w:top w:val="none" w:sz="0" w:space="0" w:color="auto"/>
        <w:left w:val="none" w:sz="0" w:space="0" w:color="auto"/>
        <w:bottom w:val="none" w:sz="0" w:space="0" w:color="auto"/>
        <w:right w:val="none" w:sz="0" w:space="0" w:color="auto"/>
      </w:divBdr>
    </w:div>
    <w:div w:id="1244799128">
      <w:bodyDiv w:val="1"/>
      <w:marLeft w:val="0"/>
      <w:marRight w:val="0"/>
      <w:marTop w:val="0"/>
      <w:marBottom w:val="0"/>
      <w:divBdr>
        <w:top w:val="none" w:sz="0" w:space="0" w:color="auto"/>
        <w:left w:val="none" w:sz="0" w:space="0" w:color="auto"/>
        <w:bottom w:val="none" w:sz="0" w:space="0" w:color="auto"/>
        <w:right w:val="none" w:sz="0" w:space="0" w:color="auto"/>
      </w:divBdr>
    </w:div>
    <w:div w:id="1245840838">
      <w:bodyDiv w:val="1"/>
      <w:marLeft w:val="0"/>
      <w:marRight w:val="0"/>
      <w:marTop w:val="0"/>
      <w:marBottom w:val="0"/>
      <w:divBdr>
        <w:top w:val="none" w:sz="0" w:space="0" w:color="auto"/>
        <w:left w:val="none" w:sz="0" w:space="0" w:color="auto"/>
        <w:bottom w:val="none" w:sz="0" w:space="0" w:color="auto"/>
        <w:right w:val="none" w:sz="0" w:space="0" w:color="auto"/>
      </w:divBdr>
    </w:div>
    <w:div w:id="1248879984">
      <w:bodyDiv w:val="1"/>
      <w:marLeft w:val="0"/>
      <w:marRight w:val="0"/>
      <w:marTop w:val="0"/>
      <w:marBottom w:val="0"/>
      <w:divBdr>
        <w:top w:val="none" w:sz="0" w:space="0" w:color="auto"/>
        <w:left w:val="none" w:sz="0" w:space="0" w:color="auto"/>
        <w:bottom w:val="none" w:sz="0" w:space="0" w:color="auto"/>
        <w:right w:val="none" w:sz="0" w:space="0" w:color="auto"/>
      </w:divBdr>
    </w:div>
    <w:div w:id="1257516736">
      <w:bodyDiv w:val="1"/>
      <w:marLeft w:val="0"/>
      <w:marRight w:val="0"/>
      <w:marTop w:val="0"/>
      <w:marBottom w:val="0"/>
      <w:divBdr>
        <w:top w:val="none" w:sz="0" w:space="0" w:color="auto"/>
        <w:left w:val="none" w:sz="0" w:space="0" w:color="auto"/>
        <w:bottom w:val="none" w:sz="0" w:space="0" w:color="auto"/>
        <w:right w:val="none" w:sz="0" w:space="0" w:color="auto"/>
      </w:divBdr>
    </w:div>
    <w:div w:id="1264534356">
      <w:bodyDiv w:val="1"/>
      <w:marLeft w:val="0"/>
      <w:marRight w:val="0"/>
      <w:marTop w:val="0"/>
      <w:marBottom w:val="0"/>
      <w:divBdr>
        <w:top w:val="none" w:sz="0" w:space="0" w:color="auto"/>
        <w:left w:val="none" w:sz="0" w:space="0" w:color="auto"/>
        <w:bottom w:val="none" w:sz="0" w:space="0" w:color="auto"/>
        <w:right w:val="none" w:sz="0" w:space="0" w:color="auto"/>
      </w:divBdr>
    </w:div>
    <w:div w:id="1271821086">
      <w:bodyDiv w:val="1"/>
      <w:marLeft w:val="0"/>
      <w:marRight w:val="0"/>
      <w:marTop w:val="0"/>
      <w:marBottom w:val="0"/>
      <w:divBdr>
        <w:top w:val="none" w:sz="0" w:space="0" w:color="auto"/>
        <w:left w:val="none" w:sz="0" w:space="0" w:color="auto"/>
        <w:bottom w:val="none" w:sz="0" w:space="0" w:color="auto"/>
        <w:right w:val="none" w:sz="0" w:space="0" w:color="auto"/>
      </w:divBdr>
    </w:div>
    <w:div w:id="1273125379">
      <w:bodyDiv w:val="1"/>
      <w:marLeft w:val="0"/>
      <w:marRight w:val="0"/>
      <w:marTop w:val="0"/>
      <w:marBottom w:val="0"/>
      <w:divBdr>
        <w:top w:val="none" w:sz="0" w:space="0" w:color="auto"/>
        <w:left w:val="none" w:sz="0" w:space="0" w:color="auto"/>
        <w:bottom w:val="none" w:sz="0" w:space="0" w:color="auto"/>
        <w:right w:val="none" w:sz="0" w:space="0" w:color="auto"/>
      </w:divBdr>
    </w:div>
    <w:div w:id="1273126231">
      <w:bodyDiv w:val="1"/>
      <w:marLeft w:val="0"/>
      <w:marRight w:val="0"/>
      <w:marTop w:val="0"/>
      <w:marBottom w:val="0"/>
      <w:divBdr>
        <w:top w:val="none" w:sz="0" w:space="0" w:color="auto"/>
        <w:left w:val="none" w:sz="0" w:space="0" w:color="auto"/>
        <w:bottom w:val="none" w:sz="0" w:space="0" w:color="auto"/>
        <w:right w:val="none" w:sz="0" w:space="0" w:color="auto"/>
      </w:divBdr>
    </w:div>
    <w:div w:id="1277640354">
      <w:bodyDiv w:val="1"/>
      <w:marLeft w:val="0"/>
      <w:marRight w:val="0"/>
      <w:marTop w:val="0"/>
      <w:marBottom w:val="0"/>
      <w:divBdr>
        <w:top w:val="none" w:sz="0" w:space="0" w:color="auto"/>
        <w:left w:val="none" w:sz="0" w:space="0" w:color="auto"/>
        <w:bottom w:val="none" w:sz="0" w:space="0" w:color="auto"/>
        <w:right w:val="none" w:sz="0" w:space="0" w:color="auto"/>
      </w:divBdr>
    </w:div>
    <w:div w:id="1281648148">
      <w:bodyDiv w:val="1"/>
      <w:marLeft w:val="0"/>
      <w:marRight w:val="0"/>
      <w:marTop w:val="0"/>
      <w:marBottom w:val="0"/>
      <w:divBdr>
        <w:top w:val="none" w:sz="0" w:space="0" w:color="auto"/>
        <w:left w:val="none" w:sz="0" w:space="0" w:color="auto"/>
        <w:bottom w:val="none" w:sz="0" w:space="0" w:color="auto"/>
        <w:right w:val="none" w:sz="0" w:space="0" w:color="auto"/>
      </w:divBdr>
    </w:div>
    <w:div w:id="1302032047">
      <w:bodyDiv w:val="1"/>
      <w:marLeft w:val="0"/>
      <w:marRight w:val="0"/>
      <w:marTop w:val="0"/>
      <w:marBottom w:val="0"/>
      <w:divBdr>
        <w:top w:val="none" w:sz="0" w:space="0" w:color="auto"/>
        <w:left w:val="none" w:sz="0" w:space="0" w:color="auto"/>
        <w:bottom w:val="none" w:sz="0" w:space="0" w:color="auto"/>
        <w:right w:val="none" w:sz="0" w:space="0" w:color="auto"/>
      </w:divBdr>
    </w:div>
    <w:div w:id="1303923106">
      <w:bodyDiv w:val="1"/>
      <w:marLeft w:val="0"/>
      <w:marRight w:val="0"/>
      <w:marTop w:val="0"/>
      <w:marBottom w:val="0"/>
      <w:divBdr>
        <w:top w:val="none" w:sz="0" w:space="0" w:color="auto"/>
        <w:left w:val="none" w:sz="0" w:space="0" w:color="auto"/>
        <w:bottom w:val="none" w:sz="0" w:space="0" w:color="auto"/>
        <w:right w:val="none" w:sz="0" w:space="0" w:color="auto"/>
      </w:divBdr>
    </w:div>
    <w:div w:id="1304312935">
      <w:bodyDiv w:val="1"/>
      <w:marLeft w:val="0"/>
      <w:marRight w:val="0"/>
      <w:marTop w:val="0"/>
      <w:marBottom w:val="0"/>
      <w:divBdr>
        <w:top w:val="none" w:sz="0" w:space="0" w:color="auto"/>
        <w:left w:val="none" w:sz="0" w:space="0" w:color="auto"/>
        <w:bottom w:val="none" w:sz="0" w:space="0" w:color="auto"/>
        <w:right w:val="none" w:sz="0" w:space="0" w:color="auto"/>
      </w:divBdr>
    </w:div>
    <w:div w:id="1304315345">
      <w:bodyDiv w:val="1"/>
      <w:marLeft w:val="0"/>
      <w:marRight w:val="0"/>
      <w:marTop w:val="0"/>
      <w:marBottom w:val="0"/>
      <w:divBdr>
        <w:top w:val="none" w:sz="0" w:space="0" w:color="auto"/>
        <w:left w:val="none" w:sz="0" w:space="0" w:color="auto"/>
        <w:bottom w:val="none" w:sz="0" w:space="0" w:color="auto"/>
        <w:right w:val="none" w:sz="0" w:space="0" w:color="auto"/>
      </w:divBdr>
    </w:div>
    <w:div w:id="1309674976">
      <w:bodyDiv w:val="1"/>
      <w:marLeft w:val="0"/>
      <w:marRight w:val="0"/>
      <w:marTop w:val="0"/>
      <w:marBottom w:val="0"/>
      <w:divBdr>
        <w:top w:val="none" w:sz="0" w:space="0" w:color="auto"/>
        <w:left w:val="none" w:sz="0" w:space="0" w:color="auto"/>
        <w:bottom w:val="none" w:sz="0" w:space="0" w:color="auto"/>
        <w:right w:val="none" w:sz="0" w:space="0" w:color="auto"/>
      </w:divBdr>
    </w:div>
    <w:div w:id="1325278669">
      <w:bodyDiv w:val="1"/>
      <w:marLeft w:val="0"/>
      <w:marRight w:val="0"/>
      <w:marTop w:val="0"/>
      <w:marBottom w:val="0"/>
      <w:divBdr>
        <w:top w:val="none" w:sz="0" w:space="0" w:color="auto"/>
        <w:left w:val="none" w:sz="0" w:space="0" w:color="auto"/>
        <w:bottom w:val="none" w:sz="0" w:space="0" w:color="auto"/>
        <w:right w:val="none" w:sz="0" w:space="0" w:color="auto"/>
      </w:divBdr>
    </w:div>
    <w:div w:id="1329023459">
      <w:bodyDiv w:val="1"/>
      <w:marLeft w:val="0"/>
      <w:marRight w:val="0"/>
      <w:marTop w:val="0"/>
      <w:marBottom w:val="0"/>
      <w:divBdr>
        <w:top w:val="none" w:sz="0" w:space="0" w:color="auto"/>
        <w:left w:val="none" w:sz="0" w:space="0" w:color="auto"/>
        <w:bottom w:val="none" w:sz="0" w:space="0" w:color="auto"/>
        <w:right w:val="none" w:sz="0" w:space="0" w:color="auto"/>
      </w:divBdr>
    </w:div>
    <w:div w:id="1337809615">
      <w:bodyDiv w:val="1"/>
      <w:marLeft w:val="0"/>
      <w:marRight w:val="0"/>
      <w:marTop w:val="0"/>
      <w:marBottom w:val="0"/>
      <w:divBdr>
        <w:top w:val="none" w:sz="0" w:space="0" w:color="auto"/>
        <w:left w:val="none" w:sz="0" w:space="0" w:color="auto"/>
        <w:bottom w:val="none" w:sz="0" w:space="0" w:color="auto"/>
        <w:right w:val="none" w:sz="0" w:space="0" w:color="auto"/>
      </w:divBdr>
    </w:div>
    <w:div w:id="1338727683">
      <w:bodyDiv w:val="1"/>
      <w:marLeft w:val="0"/>
      <w:marRight w:val="0"/>
      <w:marTop w:val="0"/>
      <w:marBottom w:val="0"/>
      <w:divBdr>
        <w:top w:val="none" w:sz="0" w:space="0" w:color="auto"/>
        <w:left w:val="none" w:sz="0" w:space="0" w:color="auto"/>
        <w:bottom w:val="none" w:sz="0" w:space="0" w:color="auto"/>
        <w:right w:val="none" w:sz="0" w:space="0" w:color="auto"/>
      </w:divBdr>
    </w:div>
    <w:div w:id="1345280284">
      <w:bodyDiv w:val="1"/>
      <w:marLeft w:val="0"/>
      <w:marRight w:val="0"/>
      <w:marTop w:val="0"/>
      <w:marBottom w:val="0"/>
      <w:divBdr>
        <w:top w:val="none" w:sz="0" w:space="0" w:color="auto"/>
        <w:left w:val="none" w:sz="0" w:space="0" w:color="auto"/>
        <w:bottom w:val="none" w:sz="0" w:space="0" w:color="auto"/>
        <w:right w:val="none" w:sz="0" w:space="0" w:color="auto"/>
      </w:divBdr>
    </w:div>
    <w:div w:id="1351487947">
      <w:bodyDiv w:val="1"/>
      <w:marLeft w:val="0"/>
      <w:marRight w:val="0"/>
      <w:marTop w:val="0"/>
      <w:marBottom w:val="0"/>
      <w:divBdr>
        <w:top w:val="none" w:sz="0" w:space="0" w:color="auto"/>
        <w:left w:val="none" w:sz="0" w:space="0" w:color="auto"/>
        <w:bottom w:val="none" w:sz="0" w:space="0" w:color="auto"/>
        <w:right w:val="none" w:sz="0" w:space="0" w:color="auto"/>
      </w:divBdr>
    </w:div>
    <w:div w:id="1352030017">
      <w:bodyDiv w:val="1"/>
      <w:marLeft w:val="0"/>
      <w:marRight w:val="0"/>
      <w:marTop w:val="0"/>
      <w:marBottom w:val="0"/>
      <w:divBdr>
        <w:top w:val="none" w:sz="0" w:space="0" w:color="auto"/>
        <w:left w:val="none" w:sz="0" w:space="0" w:color="auto"/>
        <w:bottom w:val="none" w:sz="0" w:space="0" w:color="auto"/>
        <w:right w:val="none" w:sz="0" w:space="0" w:color="auto"/>
      </w:divBdr>
    </w:div>
    <w:div w:id="1353796882">
      <w:bodyDiv w:val="1"/>
      <w:marLeft w:val="0"/>
      <w:marRight w:val="0"/>
      <w:marTop w:val="0"/>
      <w:marBottom w:val="0"/>
      <w:divBdr>
        <w:top w:val="none" w:sz="0" w:space="0" w:color="auto"/>
        <w:left w:val="none" w:sz="0" w:space="0" w:color="auto"/>
        <w:bottom w:val="none" w:sz="0" w:space="0" w:color="auto"/>
        <w:right w:val="none" w:sz="0" w:space="0" w:color="auto"/>
      </w:divBdr>
    </w:div>
    <w:div w:id="1359819331">
      <w:bodyDiv w:val="1"/>
      <w:marLeft w:val="0"/>
      <w:marRight w:val="0"/>
      <w:marTop w:val="0"/>
      <w:marBottom w:val="0"/>
      <w:divBdr>
        <w:top w:val="none" w:sz="0" w:space="0" w:color="auto"/>
        <w:left w:val="none" w:sz="0" w:space="0" w:color="auto"/>
        <w:bottom w:val="none" w:sz="0" w:space="0" w:color="auto"/>
        <w:right w:val="none" w:sz="0" w:space="0" w:color="auto"/>
      </w:divBdr>
    </w:div>
    <w:div w:id="1361930849">
      <w:bodyDiv w:val="1"/>
      <w:marLeft w:val="0"/>
      <w:marRight w:val="0"/>
      <w:marTop w:val="0"/>
      <w:marBottom w:val="0"/>
      <w:divBdr>
        <w:top w:val="none" w:sz="0" w:space="0" w:color="auto"/>
        <w:left w:val="none" w:sz="0" w:space="0" w:color="auto"/>
        <w:bottom w:val="none" w:sz="0" w:space="0" w:color="auto"/>
        <w:right w:val="none" w:sz="0" w:space="0" w:color="auto"/>
      </w:divBdr>
    </w:div>
    <w:div w:id="1373656295">
      <w:bodyDiv w:val="1"/>
      <w:marLeft w:val="0"/>
      <w:marRight w:val="0"/>
      <w:marTop w:val="0"/>
      <w:marBottom w:val="0"/>
      <w:divBdr>
        <w:top w:val="none" w:sz="0" w:space="0" w:color="auto"/>
        <w:left w:val="none" w:sz="0" w:space="0" w:color="auto"/>
        <w:bottom w:val="none" w:sz="0" w:space="0" w:color="auto"/>
        <w:right w:val="none" w:sz="0" w:space="0" w:color="auto"/>
      </w:divBdr>
    </w:div>
    <w:div w:id="1373724685">
      <w:bodyDiv w:val="1"/>
      <w:marLeft w:val="0"/>
      <w:marRight w:val="0"/>
      <w:marTop w:val="0"/>
      <w:marBottom w:val="0"/>
      <w:divBdr>
        <w:top w:val="none" w:sz="0" w:space="0" w:color="auto"/>
        <w:left w:val="none" w:sz="0" w:space="0" w:color="auto"/>
        <w:bottom w:val="none" w:sz="0" w:space="0" w:color="auto"/>
        <w:right w:val="none" w:sz="0" w:space="0" w:color="auto"/>
      </w:divBdr>
    </w:div>
    <w:div w:id="1379622178">
      <w:bodyDiv w:val="1"/>
      <w:marLeft w:val="0"/>
      <w:marRight w:val="0"/>
      <w:marTop w:val="0"/>
      <w:marBottom w:val="0"/>
      <w:divBdr>
        <w:top w:val="none" w:sz="0" w:space="0" w:color="auto"/>
        <w:left w:val="none" w:sz="0" w:space="0" w:color="auto"/>
        <w:bottom w:val="none" w:sz="0" w:space="0" w:color="auto"/>
        <w:right w:val="none" w:sz="0" w:space="0" w:color="auto"/>
      </w:divBdr>
    </w:div>
    <w:div w:id="1380787360">
      <w:bodyDiv w:val="1"/>
      <w:marLeft w:val="0"/>
      <w:marRight w:val="0"/>
      <w:marTop w:val="0"/>
      <w:marBottom w:val="0"/>
      <w:divBdr>
        <w:top w:val="none" w:sz="0" w:space="0" w:color="auto"/>
        <w:left w:val="none" w:sz="0" w:space="0" w:color="auto"/>
        <w:bottom w:val="none" w:sz="0" w:space="0" w:color="auto"/>
        <w:right w:val="none" w:sz="0" w:space="0" w:color="auto"/>
      </w:divBdr>
    </w:div>
    <w:div w:id="1383863202">
      <w:bodyDiv w:val="1"/>
      <w:marLeft w:val="0"/>
      <w:marRight w:val="0"/>
      <w:marTop w:val="0"/>
      <w:marBottom w:val="0"/>
      <w:divBdr>
        <w:top w:val="none" w:sz="0" w:space="0" w:color="auto"/>
        <w:left w:val="none" w:sz="0" w:space="0" w:color="auto"/>
        <w:bottom w:val="none" w:sz="0" w:space="0" w:color="auto"/>
        <w:right w:val="none" w:sz="0" w:space="0" w:color="auto"/>
      </w:divBdr>
    </w:div>
    <w:div w:id="1385369369">
      <w:bodyDiv w:val="1"/>
      <w:marLeft w:val="0"/>
      <w:marRight w:val="0"/>
      <w:marTop w:val="0"/>
      <w:marBottom w:val="0"/>
      <w:divBdr>
        <w:top w:val="none" w:sz="0" w:space="0" w:color="auto"/>
        <w:left w:val="none" w:sz="0" w:space="0" w:color="auto"/>
        <w:bottom w:val="none" w:sz="0" w:space="0" w:color="auto"/>
        <w:right w:val="none" w:sz="0" w:space="0" w:color="auto"/>
      </w:divBdr>
    </w:div>
    <w:div w:id="1393583575">
      <w:bodyDiv w:val="1"/>
      <w:marLeft w:val="0"/>
      <w:marRight w:val="0"/>
      <w:marTop w:val="0"/>
      <w:marBottom w:val="0"/>
      <w:divBdr>
        <w:top w:val="none" w:sz="0" w:space="0" w:color="auto"/>
        <w:left w:val="none" w:sz="0" w:space="0" w:color="auto"/>
        <w:bottom w:val="none" w:sz="0" w:space="0" w:color="auto"/>
        <w:right w:val="none" w:sz="0" w:space="0" w:color="auto"/>
      </w:divBdr>
    </w:div>
    <w:div w:id="1395280249">
      <w:bodyDiv w:val="1"/>
      <w:marLeft w:val="0"/>
      <w:marRight w:val="0"/>
      <w:marTop w:val="0"/>
      <w:marBottom w:val="0"/>
      <w:divBdr>
        <w:top w:val="none" w:sz="0" w:space="0" w:color="auto"/>
        <w:left w:val="none" w:sz="0" w:space="0" w:color="auto"/>
        <w:bottom w:val="none" w:sz="0" w:space="0" w:color="auto"/>
        <w:right w:val="none" w:sz="0" w:space="0" w:color="auto"/>
      </w:divBdr>
    </w:div>
    <w:div w:id="1400401646">
      <w:bodyDiv w:val="1"/>
      <w:marLeft w:val="0"/>
      <w:marRight w:val="0"/>
      <w:marTop w:val="0"/>
      <w:marBottom w:val="0"/>
      <w:divBdr>
        <w:top w:val="none" w:sz="0" w:space="0" w:color="auto"/>
        <w:left w:val="none" w:sz="0" w:space="0" w:color="auto"/>
        <w:bottom w:val="none" w:sz="0" w:space="0" w:color="auto"/>
        <w:right w:val="none" w:sz="0" w:space="0" w:color="auto"/>
      </w:divBdr>
    </w:div>
    <w:div w:id="1401249502">
      <w:bodyDiv w:val="1"/>
      <w:marLeft w:val="0"/>
      <w:marRight w:val="0"/>
      <w:marTop w:val="0"/>
      <w:marBottom w:val="0"/>
      <w:divBdr>
        <w:top w:val="none" w:sz="0" w:space="0" w:color="auto"/>
        <w:left w:val="none" w:sz="0" w:space="0" w:color="auto"/>
        <w:bottom w:val="none" w:sz="0" w:space="0" w:color="auto"/>
        <w:right w:val="none" w:sz="0" w:space="0" w:color="auto"/>
      </w:divBdr>
    </w:div>
    <w:div w:id="1419643003">
      <w:bodyDiv w:val="1"/>
      <w:marLeft w:val="0"/>
      <w:marRight w:val="0"/>
      <w:marTop w:val="0"/>
      <w:marBottom w:val="0"/>
      <w:divBdr>
        <w:top w:val="none" w:sz="0" w:space="0" w:color="auto"/>
        <w:left w:val="none" w:sz="0" w:space="0" w:color="auto"/>
        <w:bottom w:val="none" w:sz="0" w:space="0" w:color="auto"/>
        <w:right w:val="none" w:sz="0" w:space="0" w:color="auto"/>
      </w:divBdr>
    </w:div>
    <w:div w:id="1421830705">
      <w:bodyDiv w:val="1"/>
      <w:marLeft w:val="0"/>
      <w:marRight w:val="0"/>
      <w:marTop w:val="0"/>
      <w:marBottom w:val="0"/>
      <w:divBdr>
        <w:top w:val="none" w:sz="0" w:space="0" w:color="auto"/>
        <w:left w:val="none" w:sz="0" w:space="0" w:color="auto"/>
        <w:bottom w:val="none" w:sz="0" w:space="0" w:color="auto"/>
        <w:right w:val="none" w:sz="0" w:space="0" w:color="auto"/>
      </w:divBdr>
    </w:div>
    <w:div w:id="1422876547">
      <w:bodyDiv w:val="1"/>
      <w:marLeft w:val="0"/>
      <w:marRight w:val="0"/>
      <w:marTop w:val="0"/>
      <w:marBottom w:val="0"/>
      <w:divBdr>
        <w:top w:val="none" w:sz="0" w:space="0" w:color="auto"/>
        <w:left w:val="none" w:sz="0" w:space="0" w:color="auto"/>
        <w:bottom w:val="none" w:sz="0" w:space="0" w:color="auto"/>
        <w:right w:val="none" w:sz="0" w:space="0" w:color="auto"/>
      </w:divBdr>
    </w:div>
    <w:div w:id="1427768206">
      <w:bodyDiv w:val="1"/>
      <w:marLeft w:val="0"/>
      <w:marRight w:val="0"/>
      <w:marTop w:val="0"/>
      <w:marBottom w:val="0"/>
      <w:divBdr>
        <w:top w:val="none" w:sz="0" w:space="0" w:color="auto"/>
        <w:left w:val="none" w:sz="0" w:space="0" w:color="auto"/>
        <w:bottom w:val="none" w:sz="0" w:space="0" w:color="auto"/>
        <w:right w:val="none" w:sz="0" w:space="0" w:color="auto"/>
      </w:divBdr>
    </w:div>
    <w:div w:id="1429304247">
      <w:bodyDiv w:val="1"/>
      <w:marLeft w:val="0"/>
      <w:marRight w:val="0"/>
      <w:marTop w:val="0"/>
      <w:marBottom w:val="0"/>
      <w:divBdr>
        <w:top w:val="none" w:sz="0" w:space="0" w:color="auto"/>
        <w:left w:val="none" w:sz="0" w:space="0" w:color="auto"/>
        <w:bottom w:val="none" w:sz="0" w:space="0" w:color="auto"/>
        <w:right w:val="none" w:sz="0" w:space="0" w:color="auto"/>
      </w:divBdr>
    </w:div>
    <w:div w:id="1430351010">
      <w:bodyDiv w:val="1"/>
      <w:marLeft w:val="0"/>
      <w:marRight w:val="0"/>
      <w:marTop w:val="0"/>
      <w:marBottom w:val="0"/>
      <w:divBdr>
        <w:top w:val="none" w:sz="0" w:space="0" w:color="auto"/>
        <w:left w:val="none" w:sz="0" w:space="0" w:color="auto"/>
        <w:bottom w:val="none" w:sz="0" w:space="0" w:color="auto"/>
        <w:right w:val="none" w:sz="0" w:space="0" w:color="auto"/>
      </w:divBdr>
    </w:div>
    <w:div w:id="1430658371">
      <w:bodyDiv w:val="1"/>
      <w:marLeft w:val="0"/>
      <w:marRight w:val="0"/>
      <w:marTop w:val="0"/>
      <w:marBottom w:val="0"/>
      <w:divBdr>
        <w:top w:val="none" w:sz="0" w:space="0" w:color="auto"/>
        <w:left w:val="none" w:sz="0" w:space="0" w:color="auto"/>
        <w:bottom w:val="none" w:sz="0" w:space="0" w:color="auto"/>
        <w:right w:val="none" w:sz="0" w:space="0" w:color="auto"/>
      </w:divBdr>
    </w:div>
    <w:div w:id="1430933821">
      <w:bodyDiv w:val="1"/>
      <w:marLeft w:val="0"/>
      <w:marRight w:val="0"/>
      <w:marTop w:val="0"/>
      <w:marBottom w:val="0"/>
      <w:divBdr>
        <w:top w:val="none" w:sz="0" w:space="0" w:color="auto"/>
        <w:left w:val="none" w:sz="0" w:space="0" w:color="auto"/>
        <w:bottom w:val="none" w:sz="0" w:space="0" w:color="auto"/>
        <w:right w:val="none" w:sz="0" w:space="0" w:color="auto"/>
      </w:divBdr>
    </w:div>
    <w:div w:id="1441878940">
      <w:bodyDiv w:val="1"/>
      <w:marLeft w:val="0"/>
      <w:marRight w:val="0"/>
      <w:marTop w:val="0"/>
      <w:marBottom w:val="0"/>
      <w:divBdr>
        <w:top w:val="none" w:sz="0" w:space="0" w:color="auto"/>
        <w:left w:val="none" w:sz="0" w:space="0" w:color="auto"/>
        <w:bottom w:val="none" w:sz="0" w:space="0" w:color="auto"/>
        <w:right w:val="none" w:sz="0" w:space="0" w:color="auto"/>
      </w:divBdr>
    </w:div>
    <w:div w:id="1442997708">
      <w:bodyDiv w:val="1"/>
      <w:marLeft w:val="0"/>
      <w:marRight w:val="0"/>
      <w:marTop w:val="0"/>
      <w:marBottom w:val="0"/>
      <w:divBdr>
        <w:top w:val="none" w:sz="0" w:space="0" w:color="auto"/>
        <w:left w:val="none" w:sz="0" w:space="0" w:color="auto"/>
        <w:bottom w:val="none" w:sz="0" w:space="0" w:color="auto"/>
        <w:right w:val="none" w:sz="0" w:space="0" w:color="auto"/>
      </w:divBdr>
    </w:div>
    <w:div w:id="1453750663">
      <w:bodyDiv w:val="1"/>
      <w:marLeft w:val="0"/>
      <w:marRight w:val="0"/>
      <w:marTop w:val="0"/>
      <w:marBottom w:val="0"/>
      <w:divBdr>
        <w:top w:val="none" w:sz="0" w:space="0" w:color="auto"/>
        <w:left w:val="none" w:sz="0" w:space="0" w:color="auto"/>
        <w:bottom w:val="none" w:sz="0" w:space="0" w:color="auto"/>
        <w:right w:val="none" w:sz="0" w:space="0" w:color="auto"/>
      </w:divBdr>
    </w:div>
    <w:div w:id="1470510840">
      <w:bodyDiv w:val="1"/>
      <w:marLeft w:val="0"/>
      <w:marRight w:val="0"/>
      <w:marTop w:val="0"/>
      <w:marBottom w:val="0"/>
      <w:divBdr>
        <w:top w:val="none" w:sz="0" w:space="0" w:color="auto"/>
        <w:left w:val="none" w:sz="0" w:space="0" w:color="auto"/>
        <w:bottom w:val="none" w:sz="0" w:space="0" w:color="auto"/>
        <w:right w:val="none" w:sz="0" w:space="0" w:color="auto"/>
      </w:divBdr>
    </w:div>
    <w:div w:id="1475291414">
      <w:bodyDiv w:val="1"/>
      <w:marLeft w:val="0"/>
      <w:marRight w:val="0"/>
      <w:marTop w:val="0"/>
      <w:marBottom w:val="0"/>
      <w:divBdr>
        <w:top w:val="none" w:sz="0" w:space="0" w:color="auto"/>
        <w:left w:val="none" w:sz="0" w:space="0" w:color="auto"/>
        <w:bottom w:val="none" w:sz="0" w:space="0" w:color="auto"/>
        <w:right w:val="none" w:sz="0" w:space="0" w:color="auto"/>
      </w:divBdr>
    </w:div>
    <w:div w:id="1480611298">
      <w:bodyDiv w:val="1"/>
      <w:marLeft w:val="0"/>
      <w:marRight w:val="0"/>
      <w:marTop w:val="0"/>
      <w:marBottom w:val="0"/>
      <w:divBdr>
        <w:top w:val="none" w:sz="0" w:space="0" w:color="auto"/>
        <w:left w:val="none" w:sz="0" w:space="0" w:color="auto"/>
        <w:bottom w:val="none" w:sz="0" w:space="0" w:color="auto"/>
        <w:right w:val="none" w:sz="0" w:space="0" w:color="auto"/>
      </w:divBdr>
    </w:div>
    <w:div w:id="1481455938">
      <w:bodyDiv w:val="1"/>
      <w:marLeft w:val="0"/>
      <w:marRight w:val="0"/>
      <w:marTop w:val="0"/>
      <w:marBottom w:val="0"/>
      <w:divBdr>
        <w:top w:val="none" w:sz="0" w:space="0" w:color="auto"/>
        <w:left w:val="none" w:sz="0" w:space="0" w:color="auto"/>
        <w:bottom w:val="none" w:sz="0" w:space="0" w:color="auto"/>
        <w:right w:val="none" w:sz="0" w:space="0" w:color="auto"/>
      </w:divBdr>
    </w:div>
    <w:div w:id="1485507804">
      <w:bodyDiv w:val="1"/>
      <w:marLeft w:val="0"/>
      <w:marRight w:val="0"/>
      <w:marTop w:val="0"/>
      <w:marBottom w:val="0"/>
      <w:divBdr>
        <w:top w:val="none" w:sz="0" w:space="0" w:color="auto"/>
        <w:left w:val="none" w:sz="0" w:space="0" w:color="auto"/>
        <w:bottom w:val="none" w:sz="0" w:space="0" w:color="auto"/>
        <w:right w:val="none" w:sz="0" w:space="0" w:color="auto"/>
      </w:divBdr>
    </w:div>
    <w:div w:id="1490051754">
      <w:bodyDiv w:val="1"/>
      <w:marLeft w:val="0"/>
      <w:marRight w:val="0"/>
      <w:marTop w:val="0"/>
      <w:marBottom w:val="0"/>
      <w:divBdr>
        <w:top w:val="none" w:sz="0" w:space="0" w:color="auto"/>
        <w:left w:val="none" w:sz="0" w:space="0" w:color="auto"/>
        <w:bottom w:val="none" w:sz="0" w:space="0" w:color="auto"/>
        <w:right w:val="none" w:sz="0" w:space="0" w:color="auto"/>
      </w:divBdr>
    </w:div>
    <w:div w:id="1493643686">
      <w:bodyDiv w:val="1"/>
      <w:marLeft w:val="0"/>
      <w:marRight w:val="0"/>
      <w:marTop w:val="0"/>
      <w:marBottom w:val="0"/>
      <w:divBdr>
        <w:top w:val="none" w:sz="0" w:space="0" w:color="auto"/>
        <w:left w:val="none" w:sz="0" w:space="0" w:color="auto"/>
        <w:bottom w:val="none" w:sz="0" w:space="0" w:color="auto"/>
        <w:right w:val="none" w:sz="0" w:space="0" w:color="auto"/>
      </w:divBdr>
    </w:div>
    <w:div w:id="1495102850">
      <w:bodyDiv w:val="1"/>
      <w:marLeft w:val="0"/>
      <w:marRight w:val="0"/>
      <w:marTop w:val="0"/>
      <w:marBottom w:val="0"/>
      <w:divBdr>
        <w:top w:val="none" w:sz="0" w:space="0" w:color="auto"/>
        <w:left w:val="none" w:sz="0" w:space="0" w:color="auto"/>
        <w:bottom w:val="none" w:sz="0" w:space="0" w:color="auto"/>
        <w:right w:val="none" w:sz="0" w:space="0" w:color="auto"/>
      </w:divBdr>
    </w:div>
    <w:div w:id="1502043166">
      <w:bodyDiv w:val="1"/>
      <w:marLeft w:val="0"/>
      <w:marRight w:val="0"/>
      <w:marTop w:val="0"/>
      <w:marBottom w:val="0"/>
      <w:divBdr>
        <w:top w:val="none" w:sz="0" w:space="0" w:color="auto"/>
        <w:left w:val="none" w:sz="0" w:space="0" w:color="auto"/>
        <w:bottom w:val="none" w:sz="0" w:space="0" w:color="auto"/>
        <w:right w:val="none" w:sz="0" w:space="0" w:color="auto"/>
      </w:divBdr>
    </w:div>
    <w:div w:id="1511917476">
      <w:bodyDiv w:val="1"/>
      <w:marLeft w:val="0"/>
      <w:marRight w:val="0"/>
      <w:marTop w:val="0"/>
      <w:marBottom w:val="0"/>
      <w:divBdr>
        <w:top w:val="none" w:sz="0" w:space="0" w:color="auto"/>
        <w:left w:val="none" w:sz="0" w:space="0" w:color="auto"/>
        <w:bottom w:val="none" w:sz="0" w:space="0" w:color="auto"/>
        <w:right w:val="none" w:sz="0" w:space="0" w:color="auto"/>
      </w:divBdr>
    </w:div>
    <w:div w:id="1512836284">
      <w:bodyDiv w:val="1"/>
      <w:marLeft w:val="0"/>
      <w:marRight w:val="0"/>
      <w:marTop w:val="0"/>
      <w:marBottom w:val="0"/>
      <w:divBdr>
        <w:top w:val="none" w:sz="0" w:space="0" w:color="auto"/>
        <w:left w:val="none" w:sz="0" w:space="0" w:color="auto"/>
        <w:bottom w:val="none" w:sz="0" w:space="0" w:color="auto"/>
        <w:right w:val="none" w:sz="0" w:space="0" w:color="auto"/>
      </w:divBdr>
    </w:div>
    <w:div w:id="1523741510">
      <w:bodyDiv w:val="1"/>
      <w:marLeft w:val="0"/>
      <w:marRight w:val="0"/>
      <w:marTop w:val="0"/>
      <w:marBottom w:val="0"/>
      <w:divBdr>
        <w:top w:val="none" w:sz="0" w:space="0" w:color="auto"/>
        <w:left w:val="none" w:sz="0" w:space="0" w:color="auto"/>
        <w:bottom w:val="none" w:sz="0" w:space="0" w:color="auto"/>
        <w:right w:val="none" w:sz="0" w:space="0" w:color="auto"/>
      </w:divBdr>
    </w:div>
    <w:div w:id="1526865150">
      <w:bodyDiv w:val="1"/>
      <w:marLeft w:val="0"/>
      <w:marRight w:val="0"/>
      <w:marTop w:val="0"/>
      <w:marBottom w:val="0"/>
      <w:divBdr>
        <w:top w:val="none" w:sz="0" w:space="0" w:color="auto"/>
        <w:left w:val="none" w:sz="0" w:space="0" w:color="auto"/>
        <w:bottom w:val="none" w:sz="0" w:space="0" w:color="auto"/>
        <w:right w:val="none" w:sz="0" w:space="0" w:color="auto"/>
      </w:divBdr>
    </w:div>
    <w:div w:id="1532452181">
      <w:bodyDiv w:val="1"/>
      <w:marLeft w:val="0"/>
      <w:marRight w:val="0"/>
      <w:marTop w:val="0"/>
      <w:marBottom w:val="0"/>
      <w:divBdr>
        <w:top w:val="none" w:sz="0" w:space="0" w:color="auto"/>
        <w:left w:val="none" w:sz="0" w:space="0" w:color="auto"/>
        <w:bottom w:val="none" w:sz="0" w:space="0" w:color="auto"/>
        <w:right w:val="none" w:sz="0" w:space="0" w:color="auto"/>
      </w:divBdr>
    </w:div>
    <w:div w:id="1536314091">
      <w:bodyDiv w:val="1"/>
      <w:marLeft w:val="0"/>
      <w:marRight w:val="0"/>
      <w:marTop w:val="0"/>
      <w:marBottom w:val="0"/>
      <w:divBdr>
        <w:top w:val="none" w:sz="0" w:space="0" w:color="auto"/>
        <w:left w:val="none" w:sz="0" w:space="0" w:color="auto"/>
        <w:bottom w:val="none" w:sz="0" w:space="0" w:color="auto"/>
        <w:right w:val="none" w:sz="0" w:space="0" w:color="auto"/>
      </w:divBdr>
    </w:div>
    <w:div w:id="1536501745">
      <w:bodyDiv w:val="1"/>
      <w:marLeft w:val="0"/>
      <w:marRight w:val="0"/>
      <w:marTop w:val="0"/>
      <w:marBottom w:val="0"/>
      <w:divBdr>
        <w:top w:val="none" w:sz="0" w:space="0" w:color="auto"/>
        <w:left w:val="none" w:sz="0" w:space="0" w:color="auto"/>
        <w:bottom w:val="none" w:sz="0" w:space="0" w:color="auto"/>
        <w:right w:val="none" w:sz="0" w:space="0" w:color="auto"/>
      </w:divBdr>
    </w:div>
    <w:div w:id="1537280754">
      <w:bodyDiv w:val="1"/>
      <w:marLeft w:val="0"/>
      <w:marRight w:val="0"/>
      <w:marTop w:val="0"/>
      <w:marBottom w:val="0"/>
      <w:divBdr>
        <w:top w:val="none" w:sz="0" w:space="0" w:color="auto"/>
        <w:left w:val="none" w:sz="0" w:space="0" w:color="auto"/>
        <w:bottom w:val="none" w:sz="0" w:space="0" w:color="auto"/>
        <w:right w:val="none" w:sz="0" w:space="0" w:color="auto"/>
      </w:divBdr>
    </w:div>
    <w:div w:id="1556507126">
      <w:bodyDiv w:val="1"/>
      <w:marLeft w:val="0"/>
      <w:marRight w:val="0"/>
      <w:marTop w:val="0"/>
      <w:marBottom w:val="0"/>
      <w:divBdr>
        <w:top w:val="none" w:sz="0" w:space="0" w:color="auto"/>
        <w:left w:val="none" w:sz="0" w:space="0" w:color="auto"/>
        <w:bottom w:val="none" w:sz="0" w:space="0" w:color="auto"/>
        <w:right w:val="none" w:sz="0" w:space="0" w:color="auto"/>
      </w:divBdr>
    </w:div>
    <w:div w:id="1561359420">
      <w:bodyDiv w:val="1"/>
      <w:marLeft w:val="0"/>
      <w:marRight w:val="0"/>
      <w:marTop w:val="0"/>
      <w:marBottom w:val="0"/>
      <w:divBdr>
        <w:top w:val="none" w:sz="0" w:space="0" w:color="auto"/>
        <w:left w:val="none" w:sz="0" w:space="0" w:color="auto"/>
        <w:bottom w:val="none" w:sz="0" w:space="0" w:color="auto"/>
        <w:right w:val="none" w:sz="0" w:space="0" w:color="auto"/>
      </w:divBdr>
    </w:div>
    <w:div w:id="1569077314">
      <w:bodyDiv w:val="1"/>
      <w:marLeft w:val="0"/>
      <w:marRight w:val="0"/>
      <w:marTop w:val="0"/>
      <w:marBottom w:val="0"/>
      <w:divBdr>
        <w:top w:val="none" w:sz="0" w:space="0" w:color="auto"/>
        <w:left w:val="none" w:sz="0" w:space="0" w:color="auto"/>
        <w:bottom w:val="none" w:sz="0" w:space="0" w:color="auto"/>
        <w:right w:val="none" w:sz="0" w:space="0" w:color="auto"/>
      </w:divBdr>
    </w:div>
    <w:div w:id="1577127328">
      <w:bodyDiv w:val="1"/>
      <w:marLeft w:val="0"/>
      <w:marRight w:val="0"/>
      <w:marTop w:val="0"/>
      <w:marBottom w:val="0"/>
      <w:divBdr>
        <w:top w:val="none" w:sz="0" w:space="0" w:color="auto"/>
        <w:left w:val="none" w:sz="0" w:space="0" w:color="auto"/>
        <w:bottom w:val="none" w:sz="0" w:space="0" w:color="auto"/>
        <w:right w:val="none" w:sz="0" w:space="0" w:color="auto"/>
      </w:divBdr>
    </w:div>
    <w:div w:id="1581022539">
      <w:bodyDiv w:val="1"/>
      <w:marLeft w:val="0"/>
      <w:marRight w:val="0"/>
      <w:marTop w:val="0"/>
      <w:marBottom w:val="0"/>
      <w:divBdr>
        <w:top w:val="none" w:sz="0" w:space="0" w:color="auto"/>
        <w:left w:val="none" w:sz="0" w:space="0" w:color="auto"/>
        <w:bottom w:val="none" w:sz="0" w:space="0" w:color="auto"/>
        <w:right w:val="none" w:sz="0" w:space="0" w:color="auto"/>
      </w:divBdr>
    </w:div>
    <w:div w:id="1588802392">
      <w:bodyDiv w:val="1"/>
      <w:marLeft w:val="0"/>
      <w:marRight w:val="0"/>
      <w:marTop w:val="0"/>
      <w:marBottom w:val="0"/>
      <w:divBdr>
        <w:top w:val="none" w:sz="0" w:space="0" w:color="auto"/>
        <w:left w:val="none" w:sz="0" w:space="0" w:color="auto"/>
        <w:bottom w:val="none" w:sz="0" w:space="0" w:color="auto"/>
        <w:right w:val="none" w:sz="0" w:space="0" w:color="auto"/>
      </w:divBdr>
    </w:div>
    <w:div w:id="1588805827">
      <w:bodyDiv w:val="1"/>
      <w:marLeft w:val="0"/>
      <w:marRight w:val="0"/>
      <w:marTop w:val="0"/>
      <w:marBottom w:val="0"/>
      <w:divBdr>
        <w:top w:val="none" w:sz="0" w:space="0" w:color="auto"/>
        <w:left w:val="none" w:sz="0" w:space="0" w:color="auto"/>
        <w:bottom w:val="none" w:sz="0" w:space="0" w:color="auto"/>
        <w:right w:val="none" w:sz="0" w:space="0" w:color="auto"/>
      </w:divBdr>
    </w:div>
    <w:div w:id="1593473109">
      <w:bodyDiv w:val="1"/>
      <w:marLeft w:val="0"/>
      <w:marRight w:val="0"/>
      <w:marTop w:val="0"/>
      <w:marBottom w:val="0"/>
      <w:divBdr>
        <w:top w:val="none" w:sz="0" w:space="0" w:color="auto"/>
        <w:left w:val="none" w:sz="0" w:space="0" w:color="auto"/>
        <w:bottom w:val="none" w:sz="0" w:space="0" w:color="auto"/>
        <w:right w:val="none" w:sz="0" w:space="0" w:color="auto"/>
      </w:divBdr>
    </w:div>
    <w:div w:id="1598513759">
      <w:bodyDiv w:val="1"/>
      <w:marLeft w:val="0"/>
      <w:marRight w:val="0"/>
      <w:marTop w:val="0"/>
      <w:marBottom w:val="0"/>
      <w:divBdr>
        <w:top w:val="none" w:sz="0" w:space="0" w:color="auto"/>
        <w:left w:val="none" w:sz="0" w:space="0" w:color="auto"/>
        <w:bottom w:val="none" w:sz="0" w:space="0" w:color="auto"/>
        <w:right w:val="none" w:sz="0" w:space="0" w:color="auto"/>
      </w:divBdr>
    </w:div>
    <w:div w:id="1606838488">
      <w:bodyDiv w:val="1"/>
      <w:marLeft w:val="0"/>
      <w:marRight w:val="0"/>
      <w:marTop w:val="0"/>
      <w:marBottom w:val="0"/>
      <w:divBdr>
        <w:top w:val="none" w:sz="0" w:space="0" w:color="auto"/>
        <w:left w:val="none" w:sz="0" w:space="0" w:color="auto"/>
        <w:bottom w:val="none" w:sz="0" w:space="0" w:color="auto"/>
        <w:right w:val="none" w:sz="0" w:space="0" w:color="auto"/>
      </w:divBdr>
    </w:div>
    <w:div w:id="1608656752">
      <w:bodyDiv w:val="1"/>
      <w:marLeft w:val="0"/>
      <w:marRight w:val="0"/>
      <w:marTop w:val="0"/>
      <w:marBottom w:val="0"/>
      <w:divBdr>
        <w:top w:val="none" w:sz="0" w:space="0" w:color="auto"/>
        <w:left w:val="none" w:sz="0" w:space="0" w:color="auto"/>
        <w:bottom w:val="none" w:sz="0" w:space="0" w:color="auto"/>
        <w:right w:val="none" w:sz="0" w:space="0" w:color="auto"/>
      </w:divBdr>
    </w:div>
    <w:div w:id="1613584118">
      <w:bodyDiv w:val="1"/>
      <w:marLeft w:val="0"/>
      <w:marRight w:val="0"/>
      <w:marTop w:val="0"/>
      <w:marBottom w:val="0"/>
      <w:divBdr>
        <w:top w:val="none" w:sz="0" w:space="0" w:color="auto"/>
        <w:left w:val="none" w:sz="0" w:space="0" w:color="auto"/>
        <w:bottom w:val="none" w:sz="0" w:space="0" w:color="auto"/>
        <w:right w:val="none" w:sz="0" w:space="0" w:color="auto"/>
      </w:divBdr>
    </w:div>
    <w:div w:id="1614164616">
      <w:bodyDiv w:val="1"/>
      <w:marLeft w:val="0"/>
      <w:marRight w:val="0"/>
      <w:marTop w:val="0"/>
      <w:marBottom w:val="0"/>
      <w:divBdr>
        <w:top w:val="none" w:sz="0" w:space="0" w:color="auto"/>
        <w:left w:val="none" w:sz="0" w:space="0" w:color="auto"/>
        <w:bottom w:val="none" w:sz="0" w:space="0" w:color="auto"/>
        <w:right w:val="none" w:sz="0" w:space="0" w:color="auto"/>
      </w:divBdr>
    </w:div>
    <w:div w:id="1614285695">
      <w:bodyDiv w:val="1"/>
      <w:marLeft w:val="0"/>
      <w:marRight w:val="0"/>
      <w:marTop w:val="0"/>
      <w:marBottom w:val="0"/>
      <w:divBdr>
        <w:top w:val="none" w:sz="0" w:space="0" w:color="auto"/>
        <w:left w:val="none" w:sz="0" w:space="0" w:color="auto"/>
        <w:bottom w:val="none" w:sz="0" w:space="0" w:color="auto"/>
        <w:right w:val="none" w:sz="0" w:space="0" w:color="auto"/>
      </w:divBdr>
    </w:div>
    <w:div w:id="1618875597">
      <w:bodyDiv w:val="1"/>
      <w:marLeft w:val="0"/>
      <w:marRight w:val="0"/>
      <w:marTop w:val="0"/>
      <w:marBottom w:val="0"/>
      <w:divBdr>
        <w:top w:val="none" w:sz="0" w:space="0" w:color="auto"/>
        <w:left w:val="none" w:sz="0" w:space="0" w:color="auto"/>
        <w:bottom w:val="none" w:sz="0" w:space="0" w:color="auto"/>
        <w:right w:val="none" w:sz="0" w:space="0" w:color="auto"/>
      </w:divBdr>
    </w:div>
    <w:div w:id="1622879690">
      <w:bodyDiv w:val="1"/>
      <w:marLeft w:val="0"/>
      <w:marRight w:val="0"/>
      <w:marTop w:val="0"/>
      <w:marBottom w:val="0"/>
      <w:divBdr>
        <w:top w:val="none" w:sz="0" w:space="0" w:color="auto"/>
        <w:left w:val="none" w:sz="0" w:space="0" w:color="auto"/>
        <w:bottom w:val="none" w:sz="0" w:space="0" w:color="auto"/>
        <w:right w:val="none" w:sz="0" w:space="0" w:color="auto"/>
      </w:divBdr>
    </w:div>
    <w:div w:id="1628511589">
      <w:bodyDiv w:val="1"/>
      <w:marLeft w:val="0"/>
      <w:marRight w:val="0"/>
      <w:marTop w:val="0"/>
      <w:marBottom w:val="0"/>
      <w:divBdr>
        <w:top w:val="none" w:sz="0" w:space="0" w:color="auto"/>
        <w:left w:val="none" w:sz="0" w:space="0" w:color="auto"/>
        <w:bottom w:val="none" w:sz="0" w:space="0" w:color="auto"/>
        <w:right w:val="none" w:sz="0" w:space="0" w:color="auto"/>
      </w:divBdr>
    </w:div>
    <w:div w:id="1631546618">
      <w:bodyDiv w:val="1"/>
      <w:marLeft w:val="0"/>
      <w:marRight w:val="0"/>
      <w:marTop w:val="0"/>
      <w:marBottom w:val="0"/>
      <w:divBdr>
        <w:top w:val="none" w:sz="0" w:space="0" w:color="auto"/>
        <w:left w:val="none" w:sz="0" w:space="0" w:color="auto"/>
        <w:bottom w:val="none" w:sz="0" w:space="0" w:color="auto"/>
        <w:right w:val="none" w:sz="0" w:space="0" w:color="auto"/>
      </w:divBdr>
    </w:div>
    <w:div w:id="1639534504">
      <w:bodyDiv w:val="1"/>
      <w:marLeft w:val="0"/>
      <w:marRight w:val="0"/>
      <w:marTop w:val="0"/>
      <w:marBottom w:val="0"/>
      <w:divBdr>
        <w:top w:val="none" w:sz="0" w:space="0" w:color="auto"/>
        <w:left w:val="none" w:sz="0" w:space="0" w:color="auto"/>
        <w:bottom w:val="none" w:sz="0" w:space="0" w:color="auto"/>
        <w:right w:val="none" w:sz="0" w:space="0" w:color="auto"/>
      </w:divBdr>
    </w:div>
    <w:div w:id="1640454854">
      <w:bodyDiv w:val="1"/>
      <w:marLeft w:val="0"/>
      <w:marRight w:val="0"/>
      <w:marTop w:val="0"/>
      <w:marBottom w:val="0"/>
      <w:divBdr>
        <w:top w:val="none" w:sz="0" w:space="0" w:color="auto"/>
        <w:left w:val="none" w:sz="0" w:space="0" w:color="auto"/>
        <w:bottom w:val="none" w:sz="0" w:space="0" w:color="auto"/>
        <w:right w:val="none" w:sz="0" w:space="0" w:color="auto"/>
      </w:divBdr>
    </w:div>
    <w:div w:id="1649240600">
      <w:bodyDiv w:val="1"/>
      <w:marLeft w:val="0"/>
      <w:marRight w:val="0"/>
      <w:marTop w:val="0"/>
      <w:marBottom w:val="0"/>
      <w:divBdr>
        <w:top w:val="none" w:sz="0" w:space="0" w:color="auto"/>
        <w:left w:val="none" w:sz="0" w:space="0" w:color="auto"/>
        <w:bottom w:val="none" w:sz="0" w:space="0" w:color="auto"/>
        <w:right w:val="none" w:sz="0" w:space="0" w:color="auto"/>
      </w:divBdr>
    </w:div>
    <w:div w:id="1649556744">
      <w:bodyDiv w:val="1"/>
      <w:marLeft w:val="0"/>
      <w:marRight w:val="0"/>
      <w:marTop w:val="0"/>
      <w:marBottom w:val="0"/>
      <w:divBdr>
        <w:top w:val="none" w:sz="0" w:space="0" w:color="auto"/>
        <w:left w:val="none" w:sz="0" w:space="0" w:color="auto"/>
        <w:bottom w:val="none" w:sz="0" w:space="0" w:color="auto"/>
        <w:right w:val="none" w:sz="0" w:space="0" w:color="auto"/>
      </w:divBdr>
    </w:div>
    <w:div w:id="1650212227">
      <w:bodyDiv w:val="1"/>
      <w:marLeft w:val="0"/>
      <w:marRight w:val="0"/>
      <w:marTop w:val="0"/>
      <w:marBottom w:val="0"/>
      <w:divBdr>
        <w:top w:val="none" w:sz="0" w:space="0" w:color="auto"/>
        <w:left w:val="none" w:sz="0" w:space="0" w:color="auto"/>
        <w:bottom w:val="none" w:sz="0" w:space="0" w:color="auto"/>
        <w:right w:val="none" w:sz="0" w:space="0" w:color="auto"/>
      </w:divBdr>
    </w:div>
    <w:div w:id="1658918253">
      <w:bodyDiv w:val="1"/>
      <w:marLeft w:val="0"/>
      <w:marRight w:val="0"/>
      <w:marTop w:val="0"/>
      <w:marBottom w:val="0"/>
      <w:divBdr>
        <w:top w:val="none" w:sz="0" w:space="0" w:color="auto"/>
        <w:left w:val="none" w:sz="0" w:space="0" w:color="auto"/>
        <w:bottom w:val="none" w:sz="0" w:space="0" w:color="auto"/>
        <w:right w:val="none" w:sz="0" w:space="0" w:color="auto"/>
      </w:divBdr>
    </w:div>
    <w:div w:id="1665086763">
      <w:bodyDiv w:val="1"/>
      <w:marLeft w:val="0"/>
      <w:marRight w:val="0"/>
      <w:marTop w:val="0"/>
      <w:marBottom w:val="0"/>
      <w:divBdr>
        <w:top w:val="none" w:sz="0" w:space="0" w:color="auto"/>
        <w:left w:val="none" w:sz="0" w:space="0" w:color="auto"/>
        <w:bottom w:val="none" w:sz="0" w:space="0" w:color="auto"/>
        <w:right w:val="none" w:sz="0" w:space="0" w:color="auto"/>
      </w:divBdr>
    </w:div>
    <w:div w:id="1668481150">
      <w:bodyDiv w:val="1"/>
      <w:marLeft w:val="0"/>
      <w:marRight w:val="0"/>
      <w:marTop w:val="0"/>
      <w:marBottom w:val="0"/>
      <w:divBdr>
        <w:top w:val="none" w:sz="0" w:space="0" w:color="auto"/>
        <w:left w:val="none" w:sz="0" w:space="0" w:color="auto"/>
        <w:bottom w:val="none" w:sz="0" w:space="0" w:color="auto"/>
        <w:right w:val="none" w:sz="0" w:space="0" w:color="auto"/>
      </w:divBdr>
    </w:div>
    <w:div w:id="1670597818">
      <w:bodyDiv w:val="1"/>
      <w:marLeft w:val="0"/>
      <w:marRight w:val="0"/>
      <w:marTop w:val="0"/>
      <w:marBottom w:val="0"/>
      <w:divBdr>
        <w:top w:val="none" w:sz="0" w:space="0" w:color="auto"/>
        <w:left w:val="none" w:sz="0" w:space="0" w:color="auto"/>
        <w:bottom w:val="none" w:sz="0" w:space="0" w:color="auto"/>
        <w:right w:val="none" w:sz="0" w:space="0" w:color="auto"/>
      </w:divBdr>
    </w:div>
    <w:div w:id="1673727599">
      <w:bodyDiv w:val="1"/>
      <w:marLeft w:val="0"/>
      <w:marRight w:val="0"/>
      <w:marTop w:val="0"/>
      <w:marBottom w:val="0"/>
      <w:divBdr>
        <w:top w:val="none" w:sz="0" w:space="0" w:color="auto"/>
        <w:left w:val="none" w:sz="0" w:space="0" w:color="auto"/>
        <w:bottom w:val="none" w:sz="0" w:space="0" w:color="auto"/>
        <w:right w:val="none" w:sz="0" w:space="0" w:color="auto"/>
      </w:divBdr>
    </w:div>
    <w:div w:id="1675691374">
      <w:bodyDiv w:val="1"/>
      <w:marLeft w:val="0"/>
      <w:marRight w:val="0"/>
      <w:marTop w:val="0"/>
      <w:marBottom w:val="0"/>
      <w:divBdr>
        <w:top w:val="none" w:sz="0" w:space="0" w:color="auto"/>
        <w:left w:val="none" w:sz="0" w:space="0" w:color="auto"/>
        <w:bottom w:val="none" w:sz="0" w:space="0" w:color="auto"/>
        <w:right w:val="none" w:sz="0" w:space="0" w:color="auto"/>
      </w:divBdr>
    </w:div>
    <w:div w:id="1676154996">
      <w:bodyDiv w:val="1"/>
      <w:marLeft w:val="0"/>
      <w:marRight w:val="0"/>
      <w:marTop w:val="0"/>
      <w:marBottom w:val="0"/>
      <w:divBdr>
        <w:top w:val="none" w:sz="0" w:space="0" w:color="auto"/>
        <w:left w:val="none" w:sz="0" w:space="0" w:color="auto"/>
        <w:bottom w:val="none" w:sz="0" w:space="0" w:color="auto"/>
        <w:right w:val="none" w:sz="0" w:space="0" w:color="auto"/>
      </w:divBdr>
    </w:div>
    <w:div w:id="1679775234">
      <w:bodyDiv w:val="1"/>
      <w:marLeft w:val="0"/>
      <w:marRight w:val="0"/>
      <w:marTop w:val="0"/>
      <w:marBottom w:val="0"/>
      <w:divBdr>
        <w:top w:val="none" w:sz="0" w:space="0" w:color="auto"/>
        <w:left w:val="none" w:sz="0" w:space="0" w:color="auto"/>
        <w:bottom w:val="none" w:sz="0" w:space="0" w:color="auto"/>
        <w:right w:val="none" w:sz="0" w:space="0" w:color="auto"/>
      </w:divBdr>
    </w:div>
    <w:div w:id="1693535600">
      <w:bodyDiv w:val="1"/>
      <w:marLeft w:val="0"/>
      <w:marRight w:val="0"/>
      <w:marTop w:val="0"/>
      <w:marBottom w:val="0"/>
      <w:divBdr>
        <w:top w:val="none" w:sz="0" w:space="0" w:color="auto"/>
        <w:left w:val="none" w:sz="0" w:space="0" w:color="auto"/>
        <w:bottom w:val="none" w:sz="0" w:space="0" w:color="auto"/>
        <w:right w:val="none" w:sz="0" w:space="0" w:color="auto"/>
      </w:divBdr>
    </w:div>
    <w:div w:id="1693722948">
      <w:bodyDiv w:val="1"/>
      <w:marLeft w:val="0"/>
      <w:marRight w:val="0"/>
      <w:marTop w:val="0"/>
      <w:marBottom w:val="0"/>
      <w:divBdr>
        <w:top w:val="none" w:sz="0" w:space="0" w:color="auto"/>
        <w:left w:val="none" w:sz="0" w:space="0" w:color="auto"/>
        <w:bottom w:val="none" w:sz="0" w:space="0" w:color="auto"/>
        <w:right w:val="none" w:sz="0" w:space="0" w:color="auto"/>
      </w:divBdr>
    </w:div>
    <w:div w:id="1703749709">
      <w:bodyDiv w:val="1"/>
      <w:marLeft w:val="0"/>
      <w:marRight w:val="0"/>
      <w:marTop w:val="0"/>
      <w:marBottom w:val="0"/>
      <w:divBdr>
        <w:top w:val="none" w:sz="0" w:space="0" w:color="auto"/>
        <w:left w:val="none" w:sz="0" w:space="0" w:color="auto"/>
        <w:bottom w:val="none" w:sz="0" w:space="0" w:color="auto"/>
        <w:right w:val="none" w:sz="0" w:space="0" w:color="auto"/>
      </w:divBdr>
    </w:div>
    <w:div w:id="1703897674">
      <w:bodyDiv w:val="1"/>
      <w:marLeft w:val="0"/>
      <w:marRight w:val="0"/>
      <w:marTop w:val="0"/>
      <w:marBottom w:val="0"/>
      <w:divBdr>
        <w:top w:val="none" w:sz="0" w:space="0" w:color="auto"/>
        <w:left w:val="none" w:sz="0" w:space="0" w:color="auto"/>
        <w:bottom w:val="none" w:sz="0" w:space="0" w:color="auto"/>
        <w:right w:val="none" w:sz="0" w:space="0" w:color="auto"/>
      </w:divBdr>
    </w:div>
    <w:div w:id="1705255228">
      <w:bodyDiv w:val="1"/>
      <w:marLeft w:val="0"/>
      <w:marRight w:val="0"/>
      <w:marTop w:val="0"/>
      <w:marBottom w:val="0"/>
      <w:divBdr>
        <w:top w:val="none" w:sz="0" w:space="0" w:color="auto"/>
        <w:left w:val="none" w:sz="0" w:space="0" w:color="auto"/>
        <w:bottom w:val="none" w:sz="0" w:space="0" w:color="auto"/>
        <w:right w:val="none" w:sz="0" w:space="0" w:color="auto"/>
      </w:divBdr>
    </w:div>
    <w:div w:id="1712728292">
      <w:bodyDiv w:val="1"/>
      <w:marLeft w:val="0"/>
      <w:marRight w:val="0"/>
      <w:marTop w:val="0"/>
      <w:marBottom w:val="0"/>
      <w:divBdr>
        <w:top w:val="none" w:sz="0" w:space="0" w:color="auto"/>
        <w:left w:val="none" w:sz="0" w:space="0" w:color="auto"/>
        <w:bottom w:val="none" w:sz="0" w:space="0" w:color="auto"/>
        <w:right w:val="none" w:sz="0" w:space="0" w:color="auto"/>
      </w:divBdr>
    </w:div>
    <w:div w:id="1717050849">
      <w:bodyDiv w:val="1"/>
      <w:marLeft w:val="0"/>
      <w:marRight w:val="0"/>
      <w:marTop w:val="0"/>
      <w:marBottom w:val="0"/>
      <w:divBdr>
        <w:top w:val="none" w:sz="0" w:space="0" w:color="auto"/>
        <w:left w:val="none" w:sz="0" w:space="0" w:color="auto"/>
        <w:bottom w:val="none" w:sz="0" w:space="0" w:color="auto"/>
        <w:right w:val="none" w:sz="0" w:space="0" w:color="auto"/>
      </w:divBdr>
    </w:div>
    <w:div w:id="1740205820">
      <w:bodyDiv w:val="1"/>
      <w:marLeft w:val="0"/>
      <w:marRight w:val="0"/>
      <w:marTop w:val="0"/>
      <w:marBottom w:val="0"/>
      <w:divBdr>
        <w:top w:val="none" w:sz="0" w:space="0" w:color="auto"/>
        <w:left w:val="none" w:sz="0" w:space="0" w:color="auto"/>
        <w:bottom w:val="none" w:sz="0" w:space="0" w:color="auto"/>
        <w:right w:val="none" w:sz="0" w:space="0" w:color="auto"/>
      </w:divBdr>
    </w:div>
    <w:div w:id="1745375096">
      <w:bodyDiv w:val="1"/>
      <w:marLeft w:val="0"/>
      <w:marRight w:val="0"/>
      <w:marTop w:val="0"/>
      <w:marBottom w:val="0"/>
      <w:divBdr>
        <w:top w:val="none" w:sz="0" w:space="0" w:color="auto"/>
        <w:left w:val="none" w:sz="0" w:space="0" w:color="auto"/>
        <w:bottom w:val="none" w:sz="0" w:space="0" w:color="auto"/>
        <w:right w:val="none" w:sz="0" w:space="0" w:color="auto"/>
      </w:divBdr>
    </w:div>
    <w:div w:id="1747456336">
      <w:bodyDiv w:val="1"/>
      <w:marLeft w:val="0"/>
      <w:marRight w:val="0"/>
      <w:marTop w:val="0"/>
      <w:marBottom w:val="0"/>
      <w:divBdr>
        <w:top w:val="none" w:sz="0" w:space="0" w:color="auto"/>
        <w:left w:val="none" w:sz="0" w:space="0" w:color="auto"/>
        <w:bottom w:val="none" w:sz="0" w:space="0" w:color="auto"/>
        <w:right w:val="none" w:sz="0" w:space="0" w:color="auto"/>
      </w:divBdr>
    </w:div>
    <w:div w:id="1761833414">
      <w:bodyDiv w:val="1"/>
      <w:marLeft w:val="0"/>
      <w:marRight w:val="0"/>
      <w:marTop w:val="0"/>
      <w:marBottom w:val="0"/>
      <w:divBdr>
        <w:top w:val="none" w:sz="0" w:space="0" w:color="auto"/>
        <w:left w:val="none" w:sz="0" w:space="0" w:color="auto"/>
        <w:bottom w:val="none" w:sz="0" w:space="0" w:color="auto"/>
        <w:right w:val="none" w:sz="0" w:space="0" w:color="auto"/>
      </w:divBdr>
    </w:div>
    <w:div w:id="1762408876">
      <w:bodyDiv w:val="1"/>
      <w:marLeft w:val="0"/>
      <w:marRight w:val="0"/>
      <w:marTop w:val="0"/>
      <w:marBottom w:val="0"/>
      <w:divBdr>
        <w:top w:val="none" w:sz="0" w:space="0" w:color="auto"/>
        <w:left w:val="none" w:sz="0" w:space="0" w:color="auto"/>
        <w:bottom w:val="none" w:sz="0" w:space="0" w:color="auto"/>
        <w:right w:val="none" w:sz="0" w:space="0" w:color="auto"/>
      </w:divBdr>
    </w:div>
    <w:div w:id="1764110136">
      <w:bodyDiv w:val="1"/>
      <w:marLeft w:val="0"/>
      <w:marRight w:val="0"/>
      <w:marTop w:val="0"/>
      <w:marBottom w:val="0"/>
      <w:divBdr>
        <w:top w:val="none" w:sz="0" w:space="0" w:color="auto"/>
        <w:left w:val="none" w:sz="0" w:space="0" w:color="auto"/>
        <w:bottom w:val="none" w:sz="0" w:space="0" w:color="auto"/>
        <w:right w:val="none" w:sz="0" w:space="0" w:color="auto"/>
      </w:divBdr>
    </w:div>
    <w:div w:id="1765296716">
      <w:bodyDiv w:val="1"/>
      <w:marLeft w:val="0"/>
      <w:marRight w:val="0"/>
      <w:marTop w:val="0"/>
      <w:marBottom w:val="0"/>
      <w:divBdr>
        <w:top w:val="none" w:sz="0" w:space="0" w:color="auto"/>
        <w:left w:val="none" w:sz="0" w:space="0" w:color="auto"/>
        <w:bottom w:val="none" w:sz="0" w:space="0" w:color="auto"/>
        <w:right w:val="none" w:sz="0" w:space="0" w:color="auto"/>
      </w:divBdr>
    </w:div>
    <w:div w:id="1771506055">
      <w:bodyDiv w:val="1"/>
      <w:marLeft w:val="0"/>
      <w:marRight w:val="0"/>
      <w:marTop w:val="0"/>
      <w:marBottom w:val="0"/>
      <w:divBdr>
        <w:top w:val="none" w:sz="0" w:space="0" w:color="auto"/>
        <w:left w:val="none" w:sz="0" w:space="0" w:color="auto"/>
        <w:bottom w:val="none" w:sz="0" w:space="0" w:color="auto"/>
        <w:right w:val="none" w:sz="0" w:space="0" w:color="auto"/>
      </w:divBdr>
    </w:div>
    <w:div w:id="1775125638">
      <w:bodyDiv w:val="1"/>
      <w:marLeft w:val="0"/>
      <w:marRight w:val="0"/>
      <w:marTop w:val="0"/>
      <w:marBottom w:val="0"/>
      <w:divBdr>
        <w:top w:val="none" w:sz="0" w:space="0" w:color="auto"/>
        <w:left w:val="none" w:sz="0" w:space="0" w:color="auto"/>
        <w:bottom w:val="none" w:sz="0" w:space="0" w:color="auto"/>
        <w:right w:val="none" w:sz="0" w:space="0" w:color="auto"/>
      </w:divBdr>
    </w:div>
    <w:div w:id="1776293027">
      <w:bodyDiv w:val="1"/>
      <w:marLeft w:val="0"/>
      <w:marRight w:val="0"/>
      <w:marTop w:val="0"/>
      <w:marBottom w:val="0"/>
      <w:divBdr>
        <w:top w:val="none" w:sz="0" w:space="0" w:color="auto"/>
        <w:left w:val="none" w:sz="0" w:space="0" w:color="auto"/>
        <w:bottom w:val="none" w:sz="0" w:space="0" w:color="auto"/>
        <w:right w:val="none" w:sz="0" w:space="0" w:color="auto"/>
      </w:divBdr>
    </w:div>
    <w:div w:id="1776631291">
      <w:bodyDiv w:val="1"/>
      <w:marLeft w:val="0"/>
      <w:marRight w:val="0"/>
      <w:marTop w:val="0"/>
      <w:marBottom w:val="0"/>
      <w:divBdr>
        <w:top w:val="none" w:sz="0" w:space="0" w:color="auto"/>
        <w:left w:val="none" w:sz="0" w:space="0" w:color="auto"/>
        <w:bottom w:val="none" w:sz="0" w:space="0" w:color="auto"/>
        <w:right w:val="none" w:sz="0" w:space="0" w:color="auto"/>
      </w:divBdr>
    </w:div>
    <w:div w:id="1777095228">
      <w:bodyDiv w:val="1"/>
      <w:marLeft w:val="0"/>
      <w:marRight w:val="0"/>
      <w:marTop w:val="0"/>
      <w:marBottom w:val="0"/>
      <w:divBdr>
        <w:top w:val="none" w:sz="0" w:space="0" w:color="auto"/>
        <w:left w:val="none" w:sz="0" w:space="0" w:color="auto"/>
        <w:bottom w:val="none" w:sz="0" w:space="0" w:color="auto"/>
        <w:right w:val="none" w:sz="0" w:space="0" w:color="auto"/>
      </w:divBdr>
    </w:div>
    <w:div w:id="1778676672">
      <w:bodyDiv w:val="1"/>
      <w:marLeft w:val="0"/>
      <w:marRight w:val="0"/>
      <w:marTop w:val="0"/>
      <w:marBottom w:val="0"/>
      <w:divBdr>
        <w:top w:val="none" w:sz="0" w:space="0" w:color="auto"/>
        <w:left w:val="none" w:sz="0" w:space="0" w:color="auto"/>
        <w:bottom w:val="none" w:sz="0" w:space="0" w:color="auto"/>
        <w:right w:val="none" w:sz="0" w:space="0" w:color="auto"/>
      </w:divBdr>
    </w:div>
    <w:div w:id="1782719639">
      <w:bodyDiv w:val="1"/>
      <w:marLeft w:val="0"/>
      <w:marRight w:val="0"/>
      <w:marTop w:val="0"/>
      <w:marBottom w:val="0"/>
      <w:divBdr>
        <w:top w:val="none" w:sz="0" w:space="0" w:color="auto"/>
        <w:left w:val="none" w:sz="0" w:space="0" w:color="auto"/>
        <w:bottom w:val="none" w:sz="0" w:space="0" w:color="auto"/>
        <w:right w:val="none" w:sz="0" w:space="0" w:color="auto"/>
      </w:divBdr>
    </w:div>
    <w:div w:id="1783258019">
      <w:bodyDiv w:val="1"/>
      <w:marLeft w:val="0"/>
      <w:marRight w:val="0"/>
      <w:marTop w:val="0"/>
      <w:marBottom w:val="0"/>
      <w:divBdr>
        <w:top w:val="none" w:sz="0" w:space="0" w:color="auto"/>
        <w:left w:val="none" w:sz="0" w:space="0" w:color="auto"/>
        <w:bottom w:val="none" w:sz="0" w:space="0" w:color="auto"/>
        <w:right w:val="none" w:sz="0" w:space="0" w:color="auto"/>
      </w:divBdr>
    </w:div>
    <w:div w:id="1789544294">
      <w:bodyDiv w:val="1"/>
      <w:marLeft w:val="0"/>
      <w:marRight w:val="0"/>
      <w:marTop w:val="0"/>
      <w:marBottom w:val="0"/>
      <w:divBdr>
        <w:top w:val="none" w:sz="0" w:space="0" w:color="auto"/>
        <w:left w:val="none" w:sz="0" w:space="0" w:color="auto"/>
        <w:bottom w:val="none" w:sz="0" w:space="0" w:color="auto"/>
        <w:right w:val="none" w:sz="0" w:space="0" w:color="auto"/>
      </w:divBdr>
    </w:div>
    <w:div w:id="1794052244">
      <w:bodyDiv w:val="1"/>
      <w:marLeft w:val="0"/>
      <w:marRight w:val="0"/>
      <w:marTop w:val="0"/>
      <w:marBottom w:val="0"/>
      <w:divBdr>
        <w:top w:val="none" w:sz="0" w:space="0" w:color="auto"/>
        <w:left w:val="none" w:sz="0" w:space="0" w:color="auto"/>
        <w:bottom w:val="none" w:sz="0" w:space="0" w:color="auto"/>
        <w:right w:val="none" w:sz="0" w:space="0" w:color="auto"/>
      </w:divBdr>
    </w:div>
    <w:div w:id="1812866046">
      <w:bodyDiv w:val="1"/>
      <w:marLeft w:val="0"/>
      <w:marRight w:val="0"/>
      <w:marTop w:val="0"/>
      <w:marBottom w:val="0"/>
      <w:divBdr>
        <w:top w:val="none" w:sz="0" w:space="0" w:color="auto"/>
        <w:left w:val="none" w:sz="0" w:space="0" w:color="auto"/>
        <w:bottom w:val="none" w:sz="0" w:space="0" w:color="auto"/>
        <w:right w:val="none" w:sz="0" w:space="0" w:color="auto"/>
      </w:divBdr>
    </w:div>
    <w:div w:id="1814709259">
      <w:bodyDiv w:val="1"/>
      <w:marLeft w:val="0"/>
      <w:marRight w:val="0"/>
      <w:marTop w:val="0"/>
      <w:marBottom w:val="0"/>
      <w:divBdr>
        <w:top w:val="none" w:sz="0" w:space="0" w:color="auto"/>
        <w:left w:val="none" w:sz="0" w:space="0" w:color="auto"/>
        <w:bottom w:val="none" w:sz="0" w:space="0" w:color="auto"/>
        <w:right w:val="none" w:sz="0" w:space="0" w:color="auto"/>
      </w:divBdr>
    </w:div>
    <w:div w:id="1817916551">
      <w:bodyDiv w:val="1"/>
      <w:marLeft w:val="0"/>
      <w:marRight w:val="0"/>
      <w:marTop w:val="0"/>
      <w:marBottom w:val="0"/>
      <w:divBdr>
        <w:top w:val="none" w:sz="0" w:space="0" w:color="auto"/>
        <w:left w:val="none" w:sz="0" w:space="0" w:color="auto"/>
        <w:bottom w:val="none" w:sz="0" w:space="0" w:color="auto"/>
        <w:right w:val="none" w:sz="0" w:space="0" w:color="auto"/>
      </w:divBdr>
    </w:div>
    <w:div w:id="1831481148">
      <w:bodyDiv w:val="1"/>
      <w:marLeft w:val="0"/>
      <w:marRight w:val="0"/>
      <w:marTop w:val="0"/>
      <w:marBottom w:val="0"/>
      <w:divBdr>
        <w:top w:val="none" w:sz="0" w:space="0" w:color="auto"/>
        <w:left w:val="none" w:sz="0" w:space="0" w:color="auto"/>
        <w:bottom w:val="none" w:sz="0" w:space="0" w:color="auto"/>
        <w:right w:val="none" w:sz="0" w:space="0" w:color="auto"/>
      </w:divBdr>
    </w:div>
    <w:div w:id="1835996028">
      <w:bodyDiv w:val="1"/>
      <w:marLeft w:val="0"/>
      <w:marRight w:val="0"/>
      <w:marTop w:val="0"/>
      <w:marBottom w:val="0"/>
      <w:divBdr>
        <w:top w:val="none" w:sz="0" w:space="0" w:color="auto"/>
        <w:left w:val="none" w:sz="0" w:space="0" w:color="auto"/>
        <w:bottom w:val="none" w:sz="0" w:space="0" w:color="auto"/>
        <w:right w:val="none" w:sz="0" w:space="0" w:color="auto"/>
      </w:divBdr>
    </w:div>
    <w:div w:id="1841234405">
      <w:bodyDiv w:val="1"/>
      <w:marLeft w:val="0"/>
      <w:marRight w:val="0"/>
      <w:marTop w:val="0"/>
      <w:marBottom w:val="0"/>
      <w:divBdr>
        <w:top w:val="none" w:sz="0" w:space="0" w:color="auto"/>
        <w:left w:val="none" w:sz="0" w:space="0" w:color="auto"/>
        <w:bottom w:val="none" w:sz="0" w:space="0" w:color="auto"/>
        <w:right w:val="none" w:sz="0" w:space="0" w:color="auto"/>
      </w:divBdr>
    </w:div>
    <w:div w:id="1845365109">
      <w:bodyDiv w:val="1"/>
      <w:marLeft w:val="0"/>
      <w:marRight w:val="0"/>
      <w:marTop w:val="0"/>
      <w:marBottom w:val="0"/>
      <w:divBdr>
        <w:top w:val="none" w:sz="0" w:space="0" w:color="auto"/>
        <w:left w:val="none" w:sz="0" w:space="0" w:color="auto"/>
        <w:bottom w:val="none" w:sz="0" w:space="0" w:color="auto"/>
        <w:right w:val="none" w:sz="0" w:space="0" w:color="auto"/>
      </w:divBdr>
    </w:div>
    <w:div w:id="1856842021">
      <w:bodyDiv w:val="1"/>
      <w:marLeft w:val="0"/>
      <w:marRight w:val="0"/>
      <w:marTop w:val="0"/>
      <w:marBottom w:val="0"/>
      <w:divBdr>
        <w:top w:val="none" w:sz="0" w:space="0" w:color="auto"/>
        <w:left w:val="none" w:sz="0" w:space="0" w:color="auto"/>
        <w:bottom w:val="none" w:sz="0" w:space="0" w:color="auto"/>
        <w:right w:val="none" w:sz="0" w:space="0" w:color="auto"/>
      </w:divBdr>
    </w:div>
    <w:div w:id="1866597425">
      <w:bodyDiv w:val="1"/>
      <w:marLeft w:val="0"/>
      <w:marRight w:val="0"/>
      <w:marTop w:val="0"/>
      <w:marBottom w:val="0"/>
      <w:divBdr>
        <w:top w:val="none" w:sz="0" w:space="0" w:color="auto"/>
        <w:left w:val="none" w:sz="0" w:space="0" w:color="auto"/>
        <w:bottom w:val="none" w:sz="0" w:space="0" w:color="auto"/>
        <w:right w:val="none" w:sz="0" w:space="0" w:color="auto"/>
      </w:divBdr>
    </w:div>
    <w:div w:id="1869175491">
      <w:bodyDiv w:val="1"/>
      <w:marLeft w:val="0"/>
      <w:marRight w:val="0"/>
      <w:marTop w:val="0"/>
      <w:marBottom w:val="0"/>
      <w:divBdr>
        <w:top w:val="none" w:sz="0" w:space="0" w:color="auto"/>
        <w:left w:val="none" w:sz="0" w:space="0" w:color="auto"/>
        <w:bottom w:val="none" w:sz="0" w:space="0" w:color="auto"/>
        <w:right w:val="none" w:sz="0" w:space="0" w:color="auto"/>
      </w:divBdr>
    </w:div>
    <w:div w:id="1872841798">
      <w:bodyDiv w:val="1"/>
      <w:marLeft w:val="0"/>
      <w:marRight w:val="0"/>
      <w:marTop w:val="0"/>
      <w:marBottom w:val="0"/>
      <w:divBdr>
        <w:top w:val="none" w:sz="0" w:space="0" w:color="auto"/>
        <w:left w:val="none" w:sz="0" w:space="0" w:color="auto"/>
        <w:bottom w:val="none" w:sz="0" w:space="0" w:color="auto"/>
        <w:right w:val="none" w:sz="0" w:space="0" w:color="auto"/>
      </w:divBdr>
    </w:div>
    <w:div w:id="1874028576">
      <w:bodyDiv w:val="1"/>
      <w:marLeft w:val="0"/>
      <w:marRight w:val="0"/>
      <w:marTop w:val="0"/>
      <w:marBottom w:val="0"/>
      <w:divBdr>
        <w:top w:val="none" w:sz="0" w:space="0" w:color="auto"/>
        <w:left w:val="none" w:sz="0" w:space="0" w:color="auto"/>
        <w:bottom w:val="none" w:sz="0" w:space="0" w:color="auto"/>
        <w:right w:val="none" w:sz="0" w:space="0" w:color="auto"/>
      </w:divBdr>
    </w:div>
    <w:div w:id="1874532982">
      <w:bodyDiv w:val="1"/>
      <w:marLeft w:val="0"/>
      <w:marRight w:val="0"/>
      <w:marTop w:val="0"/>
      <w:marBottom w:val="0"/>
      <w:divBdr>
        <w:top w:val="none" w:sz="0" w:space="0" w:color="auto"/>
        <w:left w:val="none" w:sz="0" w:space="0" w:color="auto"/>
        <w:bottom w:val="none" w:sz="0" w:space="0" w:color="auto"/>
        <w:right w:val="none" w:sz="0" w:space="0" w:color="auto"/>
      </w:divBdr>
    </w:div>
    <w:div w:id="1874538952">
      <w:bodyDiv w:val="1"/>
      <w:marLeft w:val="0"/>
      <w:marRight w:val="0"/>
      <w:marTop w:val="0"/>
      <w:marBottom w:val="0"/>
      <w:divBdr>
        <w:top w:val="none" w:sz="0" w:space="0" w:color="auto"/>
        <w:left w:val="none" w:sz="0" w:space="0" w:color="auto"/>
        <w:bottom w:val="none" w:sz="0" w:space="0" w:color="auto"/>
        <w:right w:val="none" w:sz="0" w:space="0" w:color="auto"/>
      </w:divBdr>
    </w:div>
    <w:div w:id="1882858931">
      <w:bodyDiv w:val="1"/>
      <w:marLeft w:val="0"/>
      <w:marRight w:val="0"/>
      <w:marTop w:val="0"/>
      <w:marBottom w:val="0"/>
      <w:divBdr>
        <w:top w:val="none" w:sz="0" w:space="0" w:color="auto"/>
        <w:left w:val="none" w:sz="0" w:space="0" w:color="auto"/>
        <w:bottom w:val="none" w:sz="0" w:space="0" w:color="auto"/>
        <w:right w:val="none" w:sz="0" w:space="0" w:color="auto"/>
      </w:divBdr>
    </w:div>
    <w:div w:id="1886257260">
      <w:bodyDiv w:val="1"/>
      <w:marLeft w:val="0"/>
      <w:marRight w:val="0"/>
      <w:marTop w:val="0"/>
      <w:marBottom w:val="0"/>
      <w:divBdr>
        <w:top w:val="none" w:sz="0" w:space="0" w:color="auto"/>
        <w:left w:val="none" w:sz="0" w:space="0" w:color="auto"/>
        <w:bottom w:val="none" w:sz="0" w:space="0" w:color="auto"/>
        <w:right w:val="none" w:sz="0" w:space="0" w:color="auto"/>
      </w:divBdr>
    </w:div>
    <w:div w:id="1887183616">
      <w:bodyDiv w:val="1"/>
      <w:marLeft w:val="0"/>
      <w:marRight w:val="0"/>
      <w:marTop w:val="0"/>
      <w:marBottom w:val="0"/>
      <w:divBdr>
        <w:top w:val="none" w:sz="0" w:space="0" w:color="auto"/>
        <w:left w:val="none" w:sz="0" w:space="0" w:color="auto"/>
        <w:bottom w:val="none" w:sz="0" w:space="0" w:color="auto"/>
        <w:right w:val="none" w:sz="0" w:space="0" w:color="auto"/>
      </w:divBdr>
    </w:div>
    <w:div w:id="1896970578">
      <w:bodyDiv w:val="1"/>
      <w:marLeft w:val="0"/>
      <w:marRight w:val="0"/>
      <w:marTop w:val="0"/>
      <w:marBottom w:val="0"/>
      <w:divBdr>
        <w:top w:val="none" w:sz="0" w:space="0" w:color="auto"/>
        <w:left w:val="none" w:sz="0" w:space="0" w:color="auto"/>
        <w:bottom w:val="none" w:sz="0" w:space="0" w:color="auto"/>
        <w:right w:val="none" w:sz="0" w:space="0" w:color="auto"/>
      </w:divBdr>
    </w:div>
    <w:div w:id="1901666493">
      <w:bodyDiv w:val="1"/>
      <w:marLeft w:val="0"/>
      <w:marRight w:val="0"/>
      <w:marTop w:val="0"/>
      <w:marBottom w:val="0"/>
      <w:divBdr>
        <w:top w:val="none" w:sz="0" w:space="0" w:color="auto"/>
        <w:left w:val="none" w:sz="0" w:space="0" w:color="auto"/>
        <w:bottom w:val="none" w:sz="0" w:space="0" w:color="auto"/>
        <w:right w:val="none" w:sz="0" w:space="0" w:color="auto"/>
      </w:divBdr>
    </w:div>
    <w:div w:id="1906835559">
      <w:bodyDiv w:val="1"/>
      <w:marLeft w:val="0"/>
      <w:marRight w:val="0"/>
      <w:marTop w:val="0"/>
      <w:marBottom w:val="0"/>
      <w:divBdr>
        <w:top w:val="none" w:sz="0" w:space="0" w:color="auto"/>
        <w:left w:val="none" w:sz="0" w:space="0" w:color="auto"/>
        <w:bottom w:val="none" w:sz="0" w:space="0" w:color="auto"/>
        <w:right w:val="none" w:sz="0" w:space="0" w:color="auto"/>
      </w:divBdr>
    </w:div>
    <w:div w:id="1921475662">
      <w:bodyDiv w:val="1"/>
      <w:marLeft w:val="0"/>
      <w:marRight w:val="0"/>
      <w:marTop w:val="0"/>
      <w:marBottom w:val="0"/>
      <w:divBdr>
        <w:top w:val="none" w:sz="0" w:space="0" w:color="auto"/>
        <w:left w:val="none" w:sz="0" w:space="0" w:color="auto"/>
        <w:bottom w:val="none" w:sz="0" w:space="0" w:color="auto"/>
        <w:right w:val="none" w:sz="0" w:space="0" w:color="auto"/>
      </w:divBdr>
    </w:div>
    <w:div w:id="1925256650">
      <w:bodyDiv w:val="1"/>
      <w:marLeft w:val="0"/>
      <w:marRight w:val="0"/>
      <w:marTop w:val="0"/>
      <w:marBottom w:val="0"/>
      <w:divBdr>
        <w:top w:val="none" w:sz="0" w:space="0" w:color="auto"/>
        <w:left w:val="none" w:sz="0" w:space="0" w:color="auto"/>
        <w:bottom w:val="none" w:sz="0" w:space="0" w:color="auto"/>
        <w:right w:val="none" w:sz="0" w:space="0" w:color="auto"/>
      </w:divBdr>
    </w:div>
    <w:div w:id="1926069560">
      <w:bodyDiv w:val="1"/>
      <w:marLeft w:val="0"/>
      <w:marRight w:val="0"/>
      <w:marTop w:val="0"/>
      <w:marBottom w:val="0"/>
      <w:divBdr>
        <w:top w:val="none" w:sz="0" w:space="0" w:color="auto"/>
        <w:left w:val="none" w:sz="0" w:space="0" w:color="auto"/>
        <w:bottom w:val="none" w:sz="0" w:space="0" w:color="auto"/>
        <w:right w:val="none" w:sz="0" w:space="0" w:color="auto"/>
      </w:divBdr>
    </w:div>
    <w:div w:id="1928884017">
      <w:bodyDiv w:val="1"/>
      <w:marLeft w:val="0"/>
      <w:marRight w:val="0"/>
      <w:marTop w:val="0"/>
      <w:marBottom w:val="0"/>
      <w:divBdr>
        <w:top w:val="none" w:sz="0" w:space="0" w:color="auto"/>
        <w:left w:val="none" w:sz="0" w:space="0" w:color="auto"/>
        <w:bottom w:val="none" w:sz="0" w:space="0" w:color="auto"/>
        <w:right w:val="none" w:sz="0" w:space="0" w:color="auto"/>
      </w:divBdr>
    </w:div>
    <w:div w:id="1931741695">
      <w:bodyDiv w:val="1"/>
      <w:marLeft w:val="0"/>
      <w:marRight w:val="0"/>
      <w:marTop w:val="0"/>
      <w:marBottom w:val="0"/>
      <w:divBdr>
        <w:top w:val="none" w:sz="0" w:space="0" w:color="auto"/>
        <w:left w:val="none" w:sz="0" w:space="0" w:color="auto"/>
        <w:bottom w:val="none" w:sz="0" w:space="0" w:color="auto"/>
        <w:right w:val="none" w:sz="0" w:space="0" w:color="auto"/>
      </w:divBdr>
    </w:div>
    <w:div w:id="1932811434">
      <w:bodyDiv w:val="1"/>
      <w:marLeft w:val="0"/>
      <w:marRight w:val="0"/>
      <w:marTop w:val="0"/>
      <w:marBottom w:val="0"/>
      <w:divBdr>
        <w:top w:val="none" w:sz="0" w:space="0" w:color="auto"/>
        <w:left w:val="none" w:sz="0" w:space="0" w:color="auto"/>
        <w:bottom w:val="none" w:sz="0" w:space="0" w:color="auto"/>
        <w:right w:val="none" w:sz="0" w:space="0" w:color="auto"/>
      </w:divBdr>
    </w:div>
    <w:div w:id="1944993631">
      <w:bodyDiv w:val="1"/>
      <w:marLeft w:val="0"/>
      <w:marRight w:val="0"/>
      <w:marTop w:val="0"/>
      <w:marBottom w:val="0"/>
      <w:divBdr>
        <w:top w:val="none" w:sz="0" w:space="0" w:color="auto"/>
        <w:left w:val="none" w:sz="0" w:space="0" w:color="auto"/>
        <w:bottom w:val="none" w:sz="0" w:space="0" w:color="auto"/>
        <w:right w:val="none" w:sz="0" w:space="0" w:color="auto"/>
      </w:divBdr>
    </w:div>
    <w:div w:id="1945962533">
      <w:bodyDiv w:val="1"/>
      <w:marLeft w:val="0"/>
      <w:marRight w:val="0"/>
      <w:marTop w:val="0"/>
      <w:marBottom w:val="0"/>
      <w:divBdr>
        <w:top w:val="none" w:sz="0" w:space="0" w:color="auto"/>
        <w:left w:val="none" w:sz="0" w:space="0" w:color="auto"/>
        <w:bottom w:val="none" w:sz="0" w:space="0" w:color="auto"/>
        <w:right w:val="none" w:sz="0" w:space="0" w:color="auto"/>
      </w:divBdr>
    </w:div>
    <w:div w:id="1949578112">
      <w:bodyDiv w:val="1"/>
      <w:marLeft w:val="0"/>
      <w:marRight w:val="0"/>
      <w:marTop w:val="0"/>
      <w:marBottom w:val="0"/>
      <w:divBdr>
        <w:top w:val="none" w:sz="0" w:space="0" w:color="auto"/>
        <w:left w:val="none" w:sz="0" w:space="0" w:color="auto"/>
        <w:bottom w:val="none" w:sz="0" w:space="0" w:color="auto"/>
        <w:right w:val="none" w:sz="0" w:space="0" w:color="auto"/>
      </w:divBdr>
      <w:divsChild>
        <w:div w:id="859201165">
          <w:marLeft w:val="0"/>
          <w:marRight w:val="0"/>
          <w:marTop w:val="0"/>
          <w:marBottom w:val="0"/>
          <w:divBdr>
            <w:top w:val="none" w:sz="0" w:space="0" w:color="auto"/>
            <w:left w:val="none" w:sz="0" w:space="0" w:color="auto"/>
            <w:bottom w:val="none" w:sz="0" w:space="0" w:color="auto"/>
            <w:right w:val="none" w:sz="0" w:space="0" w:color="auto"/>
          </w:divBdr>
          <w:divsChild>
            <w:div w:id="1417020888">
              <w:marLeft w:val="0"/>
              <w:marRight w:val="0"/>
              <w:marTop w:val="0"/>
              <w:marBottom w:val="0"/>
              <w:divBdr>
                <w:top w:val="none" w:sz="0" w:space="0" w:color="auto"/>
                <w:left w:val="none" w:sz="0" w:space="0" w:color="auto"/>
                <w:bottom w:val="none" w:sz="0" w:space="0" w:color="auto"/>
                <w:right w:val="none" w:sz="0" w:space="0" w:color="auto"/>
              </w:divBdr>
              <w:divsChild>
                <w:div w:id="2131781688">
                  <w:marLeft w:val="0"/>
                  <w:marRight w:val="0"/>
                  <w:marTop w:val="0"/>
                  <w:marBottom w:val="0"/>
                  <w:divBdr>
                    <w:top w:val="none" w:sz="0" w:space="0" w:color="auto"/>
                    <w:left w:val="none" w:sz="0" w:space="0" w:color="auto"/>
                    <w:bottom w:val="none" w:sz="0" w:space="0" w:color="auto"/>
                    <w:right w:val="none" w:sz="0" w:space="0" w:color="auto"/>
                  </w:divBdr>
                  <w:divsChild>
                    <w:div w:id="1689141903">
                      <w:marLeft w:val="0"/>
                      <w:marRight w:val="0"/>
                      <w:marTop w:val="0"/>
                      <w:marBottom w:val="0"/>
                      <w:divBdr>
                        <w:top w:val="none" w:sz="0" w:space="0" w:color="auto"/>
                        <w:left w:val="none" w:sz="0" w:space="0" w:color="auto"/>
                        <w:bottom w:val="none" w:sz="0" w:space="0" w:color="auto"/>
                        <w:right w:val="none" w:sz="0" w:space="0" w:color="auto"/>
                      </w:divBdr>
                      <w:divsChild>
                        <w:div w:id="811097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0040964">
      <w:bodyDiv w:val="1"/>
      <w:marLeft w:val="0"/>
      <w:marRight w:val="0"/>
      <w:marTop w:val="0"/>
      <w:marBottom w:val="0"/>
      <w:divBdr>
        <w:top w:val="none" w:sz="0" w:space="0" w:color="auto"/>
        <w:left w:val="none" w:sz="0" w:space="0" w:color="auto"/>
        <w:bottom w:val="none" w:sz="0" w:space="0" w:color="auto"/>
        <w:right w:val="none" w:sz="0" w:space="0" w:color="auto"/>
      </w:divBdr>
    </w:div>
    <w:div w:id="1951232204">
      <w:bodyDiv w:val="1"/>
      <w:marLeft w:val="0"/>
      <w:marRight w:val="0"/>
      <w:marTop w:val="0"/>
      <w:marBottom w:val="0"/>
      <w:divBdr>
        <w:top w:val="none" w:sz="0" w:space="0" w:color="auto"/>
        <w:left w:val="none" w:sz="0" w:space="0" w:color="auto"/>
        <w:bottom w:val="none" w:sz="0" w:space="0" w:color="auto"/>
        <w:right w:val="none" w:sz="0" w:space="0" w:color="auto"/>
      </w:divBdr>
    </w:div>
    <w:div w:id="1980070351">
      <w:bodyDiv w:val="1"/>
      <w:marLeft w:val="0"/>
      <w:marRight w:val="0"/>
      <w:marTop w:val="0"/>
      <w:marBottom w:val="0"/>
      <w:divBdr>
        <w:top w:val="none" w:sz="0" w:space="0" w:color="auto"/>
        <w:left w:val="none" w:sz="0" w:space="0" w:color="auto"/>
        <w:bottom w:val="none" w:sz="0" w:space="0" w:color="auto"/>
        <w:right w:val="none" w:sz="0" w:space="0" w:color="auto"/>
      </w:divBdr>
    </w:div>
    <w:div w:id="1982080389">
      <w:bodyDiv w:val="1"/>
      <w:marLeft w:val="0"/>
      <w:marRight w:val="0"/>
      <w:marTop w:val="0"/>
      <w:marBottom w:val="0"/>
      <w:divBdr>
        <w:top w:val="none" w:sz="0" w:space="0" w:color="auto"/>
        <w:left w:val="none" w:sz="0" w:space="0" w:color="auto"/>
        <w:bottom w:val="none" w:sz="0" w:space="0" w:color="auto"/>
        <w:right w:val="none" w:sz="0" w:space="0" w:color="auto"/>
      </w:divBdr>
    </w:div>
    <w:div w:id="1984430888">
      <w:bodyDiv w:val="1"/>
      <w:marLeft w:val="0"/>
      <w:marRight w:val="0"/>
      <w:marTop w:val="0"/>
      <w:marBottom w:val="0"/>
      <w:divBdr>
        <w:top w:val="none" w:sz="0" w:space="0" w:color="auto"/>
        <w:left w:val="none" w:sz="0" w:space="0" w:color="auto"/>
        <w:bottom w:val="none" w:sz="0" w:space="0" w:color="auto"/>
        <w:right w:val="none" w:sz="0" w:space="0" w:color="auto"/>
      </w:divBdr>
    </w:div>
    <w:div w:id="1986930242">
      <w:bodyDiv w:val="1"/>
      <w:marLeft w:val="0"/>
      <w:marRight w:val="0"/>
      <w:marTop w:val="0"/>
      <w:marBottom w:val="0"/>
      <w:divBdr>
        <w:top w:val="none" w:sz="0" w:space="0" w:color="auto"/>
        <w:left w:val="none" w:sz="0" w:space="0" w:color="auto"/>
        <w:bottom w:val="none" w:sz="0" w:space="0" w:color="auto"/>
        <w:right w:val="none" w:sz="0" w:space="0" w:color="auto"/>
      </w:divBdr>
    </w:div>
    <w:div w:id="1987851653">
      <w:bodyDiv w:val="1"/>
      <w:marLeft w:val="0"/>
      <w:marRight w:val="0"/>
      <w:marTop w:val="0"/>
      <w:marBottom w:val="0"/>
      <w:divBdr>
        <w:top w:val="none" w:sz="0" w:space="0" w:color="auto"/>
        <w:left w:val="none" w:sz="0" w:space="0" w:color="auto"/>
        <w:bottom w:val="none" w:sz="0" w:space="0" w:color="auto"/>
        <w:right w:val="none" w:sz="0" w:space="0" w:color="auto"/>
      </w:divBdr>
    </w:div>
    <w:div w:id="1997607709">
      <w:bodyDiv w:val="1"/>
      <w:marLeft w:val="0"/>
      <w:marRight w:val="0"/>
      <w:marTop w:val="0"/>
      <w:marBottom w:val="0"/>
      <w:divBdr>
        <w:top w:val="none" w:sz="0" w:space="0" w:color="auto"/>
        <w:left w:val="none" w:sz="0" w:space="0" w:color="auto"/>
        <w:bottom w:val="none" w:sz="0" w:space="0" w:color="auto"/>
        <w:right w:val="none" w:sz="0" w:space="0" w:color="auto"/>
      </w:divBdr>
    </w:div>
    <w:div w:id="2005165965">
      <w:bodyDiv w:val="1"/>
      <w:marLeft w:val="0"/>
      <w:marRight w:val="0"/>
      <w:marTop w:val="0"/>
      <w:marBottom w:val="0"/>
      <w:divBdr>
        <w:top w:val="none" w:sz="0" w:space="0" w:color="auto"/>
        <w:left w:val="none" w:sz="0" w:space="0" w:color="auto"/>
        <w:bottom w:val="none" w:sz="0" w:space="0" w:color="auto"/>
        <w:right w:val="none" w:sz="0" w:space="0" w:color="auto"/>
      </w:divBdr>
    </w:div>
    <w:div w:id="2007243871">
      <w:bodyDiv w:val="1"/>
      <w:marLeft w:val="0"/>
      <w:marRight w:val="0"/>
      <w:marTop w:val="0"/>
      <w:marBottom w:val="0"/>
      <w:divBdr>
        <w:top w:val="none" w:sz="0" w:space="0" w:color="auto"/>
        <w:left w:val="none" w:sz="0" w:space="0" w:color="auto"/>
        <w:bottom w:val="none" w:sz="0" w:space="0" w:color="auto"/>
        <w:right w:val="none" w:sz="0" w:space="0" w:color="auto"/>
      </w:divBdr>
    </w:div>
    <w:div w:id="2008168444">
      <w:bodyDiv w:val="1"/>
      <w:marLeft w:val="0"/>
      <w:marRight w:val="0"/>
      <w:marTop w:val="0"/>
      <w:marBottom w:val="0"/>
      <w:divBdr>
        <w:top w:val="none" w:sz="0" w:space="0" w:color="auto"/>
        <w:left w:val="none" w:sz="0" w:space="0" w:color="auto"/>
        <w:bottom w:val="none" w:sz="0" w:space="0" w:color="auto"/>
        <w:right w:val="none" w:sz="0" w:space="0" w:color="auto"/>
      </w:divBdr>
    </w:div>
    <w:div w:id="2019498954">
      <w:bodyDiv w:val="1"/>
      <w:marLeft w:val="0"/>
      <w:marRight w:val="0"/>
      <w:marTop w:val="0"/>
      <w:marBottom w:val="0"/>
      <w:divBdr>
        <w:top w:val="none" w:sz="0" w:space="0" w:color="auto"/>
        <w:left w:val="none" w:sz="0" w:space="0" w:color="auto"/>
        <w:bottom w:val="none" w:sz="0" w:space="0" w:color="auto"/>
        <w:right w:val="none" w:sz="0" w:space="0" w:color="auto"/>
      </w:divBdr>
    </w:div>
    <w:div w:id="2029866516">
      <w:bodyDiv w:val="1"/>
      <w:marLeft w:val="0"/>
      <w:marRight w:val="0"/>
      <w:marTop w:val="0"/>
      <w:marBottom w:val="0"/>
      <w:divBdr>
        <w:top w:val="none" w:sz="0" w:space="0" w:color="auto"/>
        <w:left w:val="none" w:sz="0" w:space="0" w:color="auto"/>
        <w:bottom w:val="none" w:sz="0" w:space="0" w:color="auto"/>
        <w:right w:val="none" w:sz="0" w:space="0" w:color="auto"/>
      </w:divBdr>
    </w:div>
    <w:div w:id="2041468127">
      <w:bodyDiv w:val="1"/>
      <w:marLeft w:val="0"/>
      <w:marRight w:val="0"/>
      <w:marTop w:val="0"/>
      <w:marBottom w:val="0"/>
      <w:divBdr>
        <w:top w:val="none" w:sz="0" w:space="0" w:color="auto"/>
        <w:left w:val="none" w:sz="0" w:space="0" w:color="auto"/>
        <w:bottom w:val="none" w:sz="0" w:space="0" w:color="auto"/>
        <w:right w:val="none" w:sz="0" w:space="0" w:color="auto"/>
      </w:divBdr>
    </w:div>
    <w:div w:id="2042124175">
      <w:bodyDiv w:val="1"/>
      <w:marLeft w:val="0"/>
      <w:marRight w:val="0"/>
      <w:marTop w:val="0"/>
      <w:marBottom w:val="0"/>
      <w:divBdr>
        <w:top w:val="none" w:sz="0" w:space="0" w:color="auto"/>
        <w:left w:val="none" w:sz="0" w:space="0" w:color="auto"/>
        <w:bottom w:val="none" w:sz="0" w:space="0" w:color="auto"/>
        <w:right w:val="none" w:sz="0" w:space="0" w:color="auto"/>
      </w:divBdr>
    </w:div>
    <w:div w:id="2047556402">
      <w:bodyDiv w:val="1"/>
      <w:marLeft w:val="0"/>
      <w:marRight w:val="0"/>
      <w:marTop w:val="0"/>
      <w:marBottom w:val="0"/>
      <w:divBdr>
        <w:top w:val="none" w:sz="0" w:space="0" w:color="auto"/>
        <w:left w:val="none" w:sz="0" w:space="0" w:color="auto"/>
        <w:bottom w:val="none" w:sz="0" w:space="0" w:color="auto"/>
        <w:right w:val="none" w:sz="0" w:space="0" w:color="auto"/>
      </w:divBdr>
    </w:div>
    <w:div w:id="2052416443">
      <w:bodyDiv w:val="1"/>
      <w:marLeft w:val="0"/>
      <w:marRight w:val="0"/>
      <w:marTop w:val="0"/>
      <w:marBottom w:val="0"/>
      <w:divBdr>
        <w:top w:val="none" w:sz="0" w:space="0" w:color="auto"/>
        <w:left w:val="none" w:sz="0" w:space="0" w:color="auto"/>
        <w:bottom w:val="none" w:sz="0" w:space="0" w:color="auto"/>
        <w:right w:val="none" w:sz="0" w:space="0" w:color="auto"/>
      </w:divBdr>
    </w:div>
    <w:div w:id="2053845311">
      <w:bodyDiv w:val="1"/>
      <w:marLeft w:val="0"/>
      <w:marRight w:val="0"/>
      <w:marTop w:val="0"/>
      <w:marBottom w:val="0"/>
      <w:divBdr>
        <w:top w:val="none" w:sz="0" w:space="0" w:color="auto"/>
        <w:left w:val="none" w:sz="0" w:space="0" w:color="auto"/>
        <w:bottom w:val="none" w:sz="0" w:space="0" w:color="auto"/>
        <w:right w:val="none" w:sz="0" w:space="0" w:color="auto"/>
      </w:divBdr>
    </w:div>
    <w:div w:id="2055081369">
      <w:bodyDiv w:val="1"/>
      <w:marLeft w:val="0"/>
      <w:marRight w:val="0"/>
      <w:marTop w:val="0"/>
      <w:marBottom w:val="0"/>
      <w:divBdr>
        <w:top w:val="none" w:sz="0" w:space="0" w:color="auto"/>
        <w:left w:val="none" w:sz="0" w:space="0" w:color="auto"/>
        <w:bottom w:val="none" w:sz="0" w:space="0" w:color="auto"/>
        <w:right w:val="none" w:sz="0" w:space="0" w:color="auto"/>
      </w:divBdr>
    </w:div>
    <w:div w:id="2057850788">
      <w:bodyDiv w:val="1"/>
      <w:marLeft w:val="0"/>
      <w:marRight w:val="0"/>
      <w:marTop w:val="0"/>
      <w:marBottom w:val="0"/>
      <w:divBdr>
        <w:top w:val="none" w:sz="0" w:space="0" w:color="auto"/>
        <w:left w:val="none" w:sz="0" w:space="0" w:color="auto"/>
        <w:bottom w:val="none" w:sz="0" w:space="0" w:color="auto"/>
        <w:right w:val="none" w:sz="0" w:space="0" w:color="auto"/>
      </w:divBdr>
    </w:div>
    <w:div w:id="2059548955">
      <w:bodyDiv w:val="1"/>
      <w:marLeft w:val="0"/>
      <w:marRight w:val="0"/>
      <w:marTop w:val="0"/>
      <w:marBottom w:val="0"/>
      <w:divBdr>
        <w:top w:val="none" w:sz="0" w:space="0" w:color="auto"/>
        <w:left w:val="none" w:sz="0" w:space="0" w:color="auto"/>
        <w:bottom w:val="none" w:sz="0" w:space="0" w:color="auto"/>
        <w:right w:val="none" w:sz="0" w:space="0" w:color="auto"/>
      </w:divBdr>
    </w:div>
    <w:div w:id="2070305212">
      <w:bodyDiv w:val="1"/>
      <w:marLeft w:val="0"/>
      <w:marRight w:val="0"/>
      <w:marTop w:val="0"/>
      <w:marBottom w:val="0"/>
      <w:divBdr>
        <w:top w:val="none" w:sz="0" w:space="0" w:color="auto"/>
        <w:left w:val="none" w:sz="0" w:space="0" w:color="auto"/>
        <w:bottom w:val="none" w:sz="0" w:space="0" w:color="auto"/>
        <w:right w:val="none" w:sz="0" w:space="0" w:color="auto"/>
      </w:divBdr>
    </w:div>
    <w:div w:id="2070810546">
      <w:bodyDiv w:val="1"/>
      <w:marLeft w:val="0"/>
      <w:marRight w:val="0"/>
      <w:marTop w:val="0"/>
      <w:marBottom w:val="0"/>
      <w:divBdr>
        <w:top w:val="none" w:sz="0" w:space="0" w:color="auto"/>
        <w:left w:val="none" w:sz="0" w:space="0" w:color="auto"/>
        <w:bottom w:val="none" w:sz="0" w:space="0" w:color="auto"/>
        <w:right w:val="none" w:sz="0" w:space="0" w:color="auto"/>
      </w:divBdr>
    </w:div>
    <w:div w:id="2080054761">
      <w:bodyDiv w:val="1"/>
      <w:marLeft w:val="0"/>
      <w:marRight w:val="0"/>
      <w:marTop w:val="0"/>
      <w:marBottom w:val="0"/>
      <w:divBdr>
        <w:top w:val="none" w:sz="0" w:space="0" w:color="auto"/>
        <w:left w:val="none" w:sz="0" w:space="0" w:color="auto"/>
        <w:bottom w:val="none" w:sz="0" w:space="0" w:color="auto"/>
        <w:right w:val="none" w:sz="0" w:space="0" w:color="auto"/>
      </w:divBdr>
    </w:div>
    <w:div w:id="2087681768">
      <w:bodyDiv w:val="1"/>
      <w:marLeft w:val="0"/>
      <w:marRight w:val="0"/>
      <w:marTop w:val="0"/>
      <w:marBottom w:val="0"/>
      <w:divBdr>
        <w:top w:val="none" w:sz="0" w:space="0" w:color="auto"/>
        <w:left w:val="none" w:sz="0" w:space="0" w:color="auto"/>
        <w:bottom w:val="none" w:sz="0" w:space="0" w:color="auto"/>
        <w:right w:val="none" w:sz="0" w:space="0" w:color="auto"/>
      </w:divBdr>
    </w:div>
    <w:div w:id="2091123140">
      <w:bodyDiv w:val="1"/>
      <w:marLeft w:val="0"/>
      <w:marRight w:val="0"/>
      <w:marTop w:val="0"/>
      <w:marBottom w:val="0"/>
      <w:divBdr>
        <w:top w:val="none" w:sz="0" w:space="0" w:color="auto"/>
        <w:left w:val="none" w:sz="0" w:space="0" w:color="auto"/>
        <w:bottom w:val="none" w:sz="0" w:space="0" w:color="auto"/>
        <w:right w:val="none" w:sz="0" w:space="0" w:color="auto"/>
      </w:divBdr>
    </w:div>
    <w:div w:id="2094357184">
      <w:bodyDiv w:val="1"/>
      <w:marLeft w:val="0"/>
      <w:marRight w:val="0"/>
      <w:marTop w:val="0"/>
      <w:marBottom w:val="0"/>
      <w:divBdr>
        <w:top w:val="none" w:sz="0" w:space="0" w:color="auto"/>
        <w:left w:val="none" w:sz="0" w:space="0" w:color="auto"/>
        <w:bottom w:val="none" w:sz="0" w:space="0" w:color="auto"/>
        <w:right w:val="none" w:sz="0" w:space="0" w:color="auto"/>
      </w:divBdr>
    </w:div>
    <w:div w:id="2097435372">
      <w:bodyDiv w:val="1"/>
      <w:marLeft w:val="0"/>
      <w:marRight w:val="0"/>
      <w:marTop w:val="0"/>
      <w:marBottom w:val="0"/>
      <w:divBdr>
        <w:top w:val="none" w:sz="0" w:space="0" w:color="auto"/>
        <w:left w:val="none" w:sz="0" w:space="0" w:color="auto"/>
        <w:bottom w:val="none" w:sz="0" w:space="0" w:color="auto"/>
        <w:right w:val="none" w:sz="0" w:space="0" w:color="auto"/>
      </w:divBdr>
    </w:div>
    <w:div w:id="2109570320">
      <w:bodyDiv w:val="1"/>
      <w:marLeft w:val="0"/>
      <w:marRight w:val="0"/>
      <w:marTop w:val="0"/>
      <w:marBottom w:val="0"/>
      <w:divBdr>
        <w:top w:val="none" w:sz="0" w:space="0" w:color="auto"/>
        <w:left w:val="none" w:sz="0" w:space="0" w:color="auto"/>
        <w:bottom w:val="none" w:sz="0" w:space="0" w:color="auto"/>
        <w:right w:val="none" w:sz="0" w:space="0" w:color="auto"/>
      </w:divBdr>
    </w:div>
    <w:div w:id="2110275248">
      <w:bodyDiv w:val="1"/>
      <w:marLeft w:val="0"/>
      <w:marRight w:val="0"/>
      <w:marTop w:val="0"/>
      <w:marBottom w:val="0"/>
      <w:divBdr>
        <w:top w:val="none" w:sz="0" w:space="0" w:color="auto"/>
        <w:left w:val="none" w:sz="0" w:space="0" w:color="auto"/>
        <w:bottom w:val="none" w:sz="0" w:space="0" w:color="auto"/>
        <w:right w:val="none" w:sz="0" w:space="0" w:color="auto"/>
      </w:divBdr>
    </w:div>
    <w:div w:id="2112553941">
      <w:bodyDiv w:val="1"/>
      <w:marLeft w:val="0"/>
      <w:marRight w:val="0"/>
      <w:marTop w:val="0"/>
      <w:marBottom w:val="0"/>
      <w:divBdr>
        <w:top w:val="none" w:sz="0" w:space="0" w:color="auto"/>
        <w:left w:val="none" w:sz="0" w:space="0" w:color="auto"/>
        <w:bottom w:val="none" w:sz="0" w:space="0" w:color="auto"/>
        <w:right w:val="none" w:sz="0" w:space="0" w:color="auto"/>
      </w:divBdr>
    </w:div>
    <w:div w:id="2113014609">
      <w:bodyDiv w:val="1"/>
      <w:marLeft w:val="0"/>
      <w:marRight w:val="0"/>
      <w:marTop w:val="0"/>
      <w:marBottom w:val="0"/>
      <w:divBdr>
        <w:top w:val="none" w:sz="0" w:space="0" w:color="auto"/>
        <w:left w:val="none" w:sz="0" w:space="0" w:color="auto"/>
        <w:bottom w:val="none" w:sz="0" w:space="0" w:color="auto"/>
        <w:right w:val="none" w:sz="0" w:space="0" w:color="auto"/>
      </w:divBdr>
    </w:div>
    <w:div w:id="2113354176">
      <w:bodyDiv w:val="1"/>
      <w:marLeft w:val="0"/>
      <w:marRight w:val="0"/>
      <w:marTop w:val="0"/>
      <w:marBottom w:val="0"/>
      <w:divBdr>
        <w:top w:val="none" w:sz="0" w:space="0" w:color="auto"/>
        <w:left w:val="none" w:sz="0" w:space="0" w:color="auto"/>
        <w:bottom w:val="none" w:sz="0" w:space="0" w:color="auto"/>
        <w:right w:val="none" w:sz="0" w:space="0" w:color="auto"/>
      </w:divBdr>
    </w:div>
    <w:div w:id="2114157885">
      <w:bodyDiv w:val="1"/>
      <w:marLeft w:val="0"/>
      <w:marRight w:val="0"/>
      <w:marTop w:val="0"/>
      <w:marBottom w:val="0"/>
      <w:divBdr>
        <w:top w:val="none" w:sz="0" w:space="0" w:color="auto"/>
        <w:left w:val="none" w:sz="0" w:space="0" w:color="auto"/>
        <w:bottom w:val="none" w:sz="0" w:space="0" w:color="auto"/>
        <w:right w:val="none" w:sz="0" w:space="0" w:color="auto"/>
      </w:divBdr>
    </w:div>
    <w:div w:id="2123183997">
      <w:bodyDiv w:val="1"/>
      <w:marLeft w:val="0"/>
      <w:marRight w:val="0"/>
      <w:marTop w:val="0"/>
      <w:marBottom w:val="0"/>
      <w:divBdr>
        <w:top w:val="none" w:sz="0" w:space="0" w:color="auto"/>
        <w:left w:val="none" w:sz="0" w:space="0" w:color="auto"/>
        <w:bottom w:val="none" w:sz="0" w:space="0" w:color="auto"/>
        <w:right w:val="none" w:sz="0" w:space="0" w:color="auto"/>
      </w:divBdr>
    </w:div>
    <w:div w:id="2124106180">
      <w:bodyDiv w:val="1"/>
      <w:marLeft w:val="0"/>
      <w:marRight w:val="0"/>
      <w:marTop w:val="0"/>
      <w:marBottom w:val="0"/>
      <w:divBdr>
        <w:top w:val="none" w:sz="0" w:space="0" w:color="auto"/>
        <w:left w:val="none" w:sz="0" w:space="0" w:color="auto"/>
        <w:bottom w:val="none" w:sz="0" w:space="0" w:color="auto"/>
        <w:right w:val="none" w:sz="0" w:space="0" w:color="auto"/>
      </w:divBdr>
    </w:div>
    <w:div w:id="2124185427">
      <w:bodyDiv w:val="1"/>
      <w:marLeft w:val="0"/>
      <w:marRight w:val="0"/>
      <w:marTop w:val="0"/>
      <w:marBottom w:val="0"/>
      <w:divBdr>
        <w:top w:val="none" w:sz="0" w:space="0" w:color="auto"/>
        <w:left w:val="none" w:sz="0" w:space="0" w:color="auto"/>
        <w:bottom w:val="none" w:sz="0" w:space="0" w:color="auto"/>
        <w:right w:val="none" w:sz="0" w:space="0" w:color="auto"/>
      </w:divBdr>
    </w:div>
    <w:div w:id="2126845836">
      <w:bodyDiv w:val="1"/>
      <w:marLeft w:val="0"/>
      <w:marRight w:val="0"/>
      <w:marTop w:val="0"/>
      <w:marBottom w:val="0"/>
      <w:divBdr>
        <w:top w:val="none" w:sz="0" w:space="0" w:color="auto"/>
        <w:left w:val="none" w:sz="0" w:space="0" w:color="auto"/>
        <w:bottom w:val="none" w:sz="0" w:space="0" w:color="auto"/>
        <w:right w:val="none" w:sz="0" w:space="0" w:color="auto"/>
      </w:divBdr>
    </w:div>
    <w:div w:id="2130122990">
      <w:bodyDiv w:val="1"/>
      <w:marLeft w:val="0"/>
      <w:marRight w:val="0"/>
      <w:marTop w:val="0"/>
      <w:marBottom w:val="0"/>
      <w:divBdr>
        <w:top w:val="none" w:sz="0" w:space="0" w:color="auto"/>
        <w:left w:val="none" w:sz="0" w:space="0" w:color="auto"/>
        <w:bottom w:val="none" w:sz="0" w:space="0" w:color="auto"/>
        <w:right w:val="none" w:sz="0" w:space="0" w:color="auto"/>
      </w:divBdr>
    </w:div>
    <w:div w:id="2130856967">
      <w:bodyDiv w:val="1"/>
      <w:marLeft w:val="0"/>
      <w:marRight w:val="0"/>
      <w:marTop w:val="0"/>
      <w:marBottom w:val="0"/>
      <w:divBdr>
        <w:top w:val="none" w:sz="0" w:space="0" w:color="auto"/>
        <w:left w:val="none" w:sz="0" w:space="0" w:color="auto"/>
        <w:bottom w:val="none" w:sz="0" w:space="0" w:color="auto"/>
        <w:right w:val="none" w:sz="0" w:space="0" w:color="auto"/>
      </w:divBdr>
    </w:div>
    <w:div w:id="2132092096">
      <w:bodyDiv w:val="1"/>
      <w:marLeft w:val="0"/>
      <w:marRight w:val="0"/>
      <w:marTop w:val="0"/>
      <w:marBottom w:val="0"/>
      <w:divBdr>
        <w:top w:val="none" w:sz="0" w:space="0" w:color="auto"/>
        <w:left w:val="none" w:sz="0" w:space="0" w:color="auto"/>
        <w:bottom w:val="none" w:sz="0" w:space="0" w:color="auto"/>
        <w:right w:val="none" w:sz="0" w:space="0" w:color="auto"/>
      </w:divBdr>
    </w:div>
    <w:div w:id="2138986000">
      <w:bodyDiv w:val="1"/>
      <w:marLeft w:val="0"/>
      <w:marRight w:val="0"/>
      <w:marTop w:val="0"/>
      <w:marBottom w:val="0"/>
      <w:divBdr>
        <w:top w:val="none" w:sz="0" w:space="0" w:color="auto"/>
        <w:left w:val="none" w:sz="0" w:space="0" w:color="auto"/>
        <w:bottom w:val="none" w:sz="0" w:space="0" w:color="auto"/>
        <w:right w:val="none" w:sz="0" w:space="0" w:color="auto"/>
      </w:divBdr>
    </w:div>
    <w:div w:id="21430364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footer" Target="footer3.xml"/><Relationship Id="rId21" Type="http://schemas.openxmlformats.org/officeDocument/2006/relationships/image" Target="media/image4.png"/><Relationship Id="rId42" Type="http://schemas.openxmlformats.org/officeDocument/2006/relationships/image" Target="media/image23.png"/><Relationship Id="rId47" Type="http://schemas.openxmlformats.org/officeDocument/2006/relationships/image" Target="media/image27.png"/><Relationship Id="rId63" Type="http://schemas.openxmlformats.org/officeDocument/2006/relationships/image" Target="media/image41.emf"/><Relationship Id="rId68" Type="http://schemas.openxmlformats.org/officeDocument/2006/relationships/oleObject" Target="embeddings/oleObject8.bin"/><Relationship Id="rId84" Type="http://schemas.openxmlformats.org/officeDocument/2006/relationships/image" Target="media/image49.png"/><Relationship Id="rId89" Type="http://schemas.openxmlformats.org/officeDocument/2006/relationships/image" Target="media/image54.png"/><Relationship Id="rId112" Type="http://schemas.openxmlformats.org/officeDocument/2006/relationships/image" Target="media/image72.jpeg"/><Relationship Id="rId16" Type="http://schemas.openxmlformats.org/officeDocument/2006/relationships/diagramData" Target="diagrams/data1.xml"/><Relationship Id="rId107" Type="http://schemas.openxmlformats.org/officeDocument/2006/relationships/image" Target="media/image67.emf"/><Relationship Id="rId11" Type="http://schemas.openxmlformats.org/officeDocument/2006/relationships/header" Target="header1.xml"/><Relationship Id="rId32" Type="http://schemas.openxmlformats.org/officeDocument/2006/relationships/image" Target="media/image13.png"/><Relationship Id="rId37" Type="http://schemas.openxmlformats.org/officeDocument/2006/relationships/image" Target="media/image18.png"/><Relationship Id="rId53" Type="http://schemas.openxmlformats.org/officeDocument/2006/relationships/image" Target="media/image33.png"/><Relationship Id="rId58" Type="http://schemas.openxmlformats.org/officeDocument/2006/relationships/image" Target="media/image37.jpeg"/><Relationship Id="rId74" Type="http://schemas.openxmlformats.org/officeDocument/2006/relationships/image" Target="media/image45.png"/><Relationship Id="rId79" Type="http://schemas.openxmlformats.org/officeDocument/2006/relationships/diagramLayout" Target="diagrams/layout2.xml"/><Relationship Id="rId102" Type="http://schemas.openxmlformats.org/officeDocument/2006/relationships/diagramLayout" Target="diagrams/layout3.xml"/><Relationship Id="rId123" Type="http://schemas.openxmlformats.org/officeDocument/2006/relationships/image" Target="media/image80.png"/><Relationship Id="rId5" Type="http://schemas.openxmlformats.org/officeDocument/2006/relationships/webSettings" Target="webSettings.xml"/><Relationship Id="rId61" Type="http://schemas.openxmlformats.org/officeDocument/2006/relationships/image" Target="media/image40.emf"/><Relationship Id="rId82" Type="http://schemas.microsoft.com/office/2007/relationships/diagramDrawing" Target="diagrams/drawing2.xml"/><Relationship Id="rId90" Type="http://schemas.openxmlformats.org/officeDocument/2006/relationships/image" Target="media/image55.png"/><Relationship Id="rId95" Type="http://schemas.openxmlformats.org/officeDocument/2006/relationships/image" Target="media/image60.png"/><Relationship Id="rId19" Type="http://schemas.openxmlformats.org/officeDocument/2006/relationships/diagramColors" Target="diagrams/colors1.xml"/><Relationship Id="rId14" Type="http://schemas.openxmlformats.org/officeDocument/2006/relationships/image" Target="media/image3.emf"/><Relationship Id="rId22" Type="http://schemas.openxmlformats.org/officeDocument/2006/relationships/image" Target="media/image5.png"/><Relationship Id="rId27" Type="http://schemas.openxmlformats.org/officeDocument/2006/relationships/image" Target="media/image9.emf"/><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oleObject" Target="embeddings/oleObject6.bin"/><Relationship Id="rId69" Type="http://schemas.openxmlformats.org/officeDocument/2006/relationships/chart" Target="charts/chart3.xml"/><Relationship Id="rId77" Type="http://schemas.openxmlformats.org/officeDocument/2006/relationships/image" Target="media/image47.png"/><Relationship Id="rId100" Type="http://schemas.openxmlformats.org/officeDocument/2006/relationships/image" Target="media/image65.png"/><Relationship Id="rId105" Type="http://schemas.microsoft.com/office/2007/relationships/diagramDrawing" Target="diagrams/drawing3.xml"/><Relationship Id="rId113" Type="http://schemas.openxmlformats.org/officeDocument/2006/relationships/image" Target="media/image73.jpeg"/><Relationship Id="rId118" Type="http://schemas.openxmlformats.org/officeDocument/2006/relationships/image" Target="media/image77.png"/><Relationship Id="rId12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1.png"/><Relationship Id="rId72" Type="http://schemas.openxmlformats.org/officeDocument/2006/relationships/chart" Target="charts/chart5.xml"/><Relationship Id="rId80" Type="http://schemas.openxmlformats.org/officeDocument/2006/relationships/diagramQuickStyle" Target="diagrams/quickStyle2.xml"/><Relationship Id="rId85" Type="http://schemas.openxmlformats.org/officeDocument/2006/relationships/image" Target="media/image50.png"/><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chart" Target="charts/chart8.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diagramLayout" Target="diagrams/layout1.xml"/><Relationship Id="rId25" Type="http://schemas.openxmlformats.org/officeDocument/2006/relationships/image" Target="media/image8.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6.png"/><Relationship Id="rId59" Type="http://schemas.openxmlformats.org/officeDocument/2006/relationships/image" Target="media/image38.png"/><Relationship Id="rId67" Type="http://schemas.openxmlformats.org/officeDocument/2006/relationships/image" Target="media/image43.emf"/><Relationship Id="rId103" Type="http://schemas.openxmlformats.org/officeDocument/2006/relationships/diagramQuickStyle" Target="diagrams/quickStyle3.xml"/><Relationship Id="rId108" Type="http://schemas.openxmlformats.org/officeDocument/2006/relationships/image" Target="media/image68.jpeg"/><Relationship Id="rId116" Type="http://schemas.openxmlformats.org/officeDocument/2006/relationships/image" Target="media/image76.emf"/><Relationship Id="rId124" Type="http://schemas.openxmlformats.org/officeDocument/2006/relationships/image" Target="media/image81.png"/><Relationship Id="rId20" Type="http://schemas.microsoft.com/office/2007/relationships/diagramDrawing" Target="diagrams/drawing1.xml"/><Relationship Id="rId41" Type="http://schemas.openxmlformats.org/officeDocument/2006/relationships/image" Target="media/image22.png"/><Relationship Id="rId54" Type="http://schemas.openxmlformats.org/officeDocument/2006/relationships/image" Target="media/image34.jpeg"/><Relationship Id="rId62" Type="http://schemas.openxmlformats.org/officeDocument/2006/relationships/oleObject" Target="embeddings/oleObject5.bin"/><Relationship Id="rId70" Type="http://schemas.openxmlformats.org/officeDocument/2006/relationships/image" Target="media/image44.png"/><Relationship Id="rId75" Type="http://schemas.openxmlformats.org/officeDocument/2006/relationships/chart" Target="charts/chart7.xml"/><Relationship Id="rId83" Type="http://schemas.openxmlformats.org/officeDocument/2006/relationships/image" Target="media/image48.png"/><Relationship Id="rId88" Type="http://schemas.openxmlformats.org/officeDocument/2006/relationships/image" Target="media/image53.png"/><Relationship Id="rId91" Type="http://schemas.openxmlformats.org/officeDocument/2006/relationships/image" Target="media/image56.png"/><Relationship Id="rId96" Type="http://schemas.openxmlformats.org/officeDocument/2006/relationships/image" Target="media/image61.png"/><Relationship Id="rId111" Type="http://schemas.openxmlformats.org/officeDocument/2006/relationships/image" Target="media/image71.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6.png"/><Relationship Id="rId28" Type="http://schemas.openxmlformats.org/officeDocument/2006/relationships/oleObject" Target="embeddings/oleObject4.bin"/><Relationship Id="rId36" Type="http://schemas.openxmlformats.org/officeDocument/2006/relationships/image" Target="media/image17.png"/><Relationship Id="rId49" Type="http://schemas.openxmlformats.org/officeDocument/2006/relationships/image" Target="media/image29.png"/><Relationship Id="rId57" Type="http://schemas.openxmlformats.org/officeDocument/2006/relationships/chart" Target="charts/chart2.xml"/><Relationship Id="rId106" Type="http://schemas.openxmlformats.org/officeDocument/2006/relationships/image" Target="media/image66.png"/><Relationship Id="rId114" Type="http://schemas.openxmlformats.org/officeDocument/2006/relationships/image" Target="media/image74.jpeg"/><Relationship Id="rId119" Type="http://schemas.openxmlformats.org/officeDocument/2006/relationships/image" Target="media/image78.png"/><Relationship Id="rId10" Type="http://schemas.openxmlformats.org/officeDocument/2006/relationships/oleObject" Target="embeddings/oleObject1.bin"/><Relationship Id="rId31" Type="http://schemas.openxmlformats.org/officeDocument/2006/relationships/image" Target="media/image12.jpeg"/><Relationship Id="rId44" Type="http://schemas.openxmlformats.org/officeDocument/2006/relationships/chart" Target="charts/chart1.xml"/><Relationship Id="rId52" Type="http://schemas.openxmlformats.org/officeDocument/2006/relationships/image" Target="media/image32.png"/><Relationship Id="rId60" Type="http://schemas.openxmlformats.org/officeDocument/2006/relationships/image" Target="media/image39.emf"/><Relationship Id="rId65" Type="http://schemas.openxmlformats.org/officeDocument/2006/relationships/image" Target="media/image42.emf"/><Relationship Id="rId73" Type="http://schemas.openxmlformats.org/officeDocument/2006/relationships/chart" Target="charts/chart6.xml"/><Relationship Id="rId78" Type="http://schemas.openxmlformats.org/officeDocument/2006/relationships/diagramData" Target="diagrams/data2.xml"/><Relationship Id="rId81" Type="http://schemas.openxmlformats.org/officeDocument/2006/relationships/diagramColors" Target="diagrams/colors2.xml"/><Relationship Id="rId86" Type="http://schemas.openxmlformats.org/officeDocument/2006/relationships/image" Target="media/image51.pn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diagramData" Target="diagrams/data3.xml"/><Relationship Id="rId122"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footer" Target="footer2.xml"/><Relationship Id="rId18" Type="http://schemas.openxmlformats.org/officeDocument/2006/relationships/diagramQuickStyle" Target="diagrams/quickStyle1.xml"/><Relationship Id="rId39" Type="http://schemas.openxmlformats.org/officeDocument/2006/relationships/image" Target="media/image20.png"/><Relationship Id="rId109" Type="http://schemas.openxmlformats.org/officeDocument/2006/relationships/image" Target="media/image69.png"/><Relationship Id="rId34" Type="http://schemas.openxmlformats.org/officeDocument/2006/relationships/image" Target="media/image15.png"/><Relationship Id="rId50" Type="http://schemas.openxmlformats.org/officeDocument/2006/relationships/image" Target="media/image30.png"/><Relationship Id="rId55" Type="http://schemas.openxmlformats.org/officeDocument/2006/relationships/image" Target="media/image35.jpeg"/><Relationship Id="rId76" Type="http://schemas.openxmlformats.org/officeDocument/2006/relationships/image" Target="media/image46.png"/><Relationship Id="rId97" Type="http://schemas.openxmlformats.org/officeDocument/2006/relationships/image" Target="media/image62.png"/><Relationship Id="rId104" Type="http://schemas.openxmlformats.org/officeDocument/2006/relationships/diagramColors" Target="diagrams/colors3.xml"/><Relationship Id="rId120" Type="http://schemas.openxmlformats.org/officeDocument/2006/relationships/image" Target="media/image79.emf"/><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chart" Target="charts/chart4.xml"/><Relationship Id="rId92" Type="http://schemas.openxmlformats.org/officeDocument/2006/relationships/image" Target="media/image57.png"/><Relationship Id="rId2" Type="http://schemas.openxmlformats.org/officeDocument/2006/relationships/numbering" Target="numbering.xml"/><Relationship Id="rId29" Type="http://schemas.openxmlformats.org/officeDocument/2006/relationships/image" Target="media/image10.png"/><Relationship Id="rId24" Type="http://schemas.openxmlformats.org/officeDocument/2006/relationships/image" Target="media/image7.png"/><Relationship Id="rId40" Type="http://schemas.openxmlformats.org/officeDocument/2006/relationships/image" Target="media/image21.png"/><Relationship Id="rId45" Type="http://schemas.openxmlformats.org/officeDocument/2006/relationships/image" Target="media/image25.png"/><Relationship Id="rId66" Type="http://schemas.openxmlformats.org/officeDocument/2006/relationships/oleObject" Target="embeddings/oleObject7.bin"/><Relationship Id="rId87" Type="http://schemas.openxmlformats.org/officeDocument/2006/relationships/image" Target="media/image52.png"/><Relationship Id="rId110" Type="http://schemas.openxmlformats.org/officeDocument/2006/relationships/image" Target="media/image70.png"/><Relationship Id="rId115" Type="http://schemas.openxmlformats.org/officeDocument/2006/relationships/image" Target="media/image75.jpe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1.xml"/><Relationship Id="rId1" Type="http://schemas.microsoft.com/office/2011/relationships/chartStyle" Target="style1.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3" Type="http://schemas.openxmlformats.org/officeDocument/2006/relationships/oleObject" Target="file:///E:\NAUDICA\SuperCross%20uThungulu%20_%20uMlalazi\Info%20vir%20nuwe%20riglyne%20-%20IDP\uMlalazi%20Annual%20household%20income%202011.xls" TargetMode="External"/><Relationship Id="rId2" Type="http://schemas.microsoft.com/office/2011/relationships/chartColorStyle" Target="colors5.xml"/><Relationship Id="rId1" Type="http://schemas.microsoft.com/office/2011/relationships/chartStyle" Target="style5.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7188374376748756E-2"/>
          <c:y val="7.8026425740982527E-3"/>
          <c:w val="0.84954734172313229"/>
          <c:h val="0.88265157573147979"/>
        </c:manualLayout>
      </c:layout>
      <c:barChart>
        <c:barDir val="bar"/>
        <c:grouping val="clustered"/>
        <c:varyColors val="0"/>
        <c:ser>
          <c:idx val="0"/>
          <c:order val="0"/>
          <c:tx>
            <c:strRef>
              <c:f>'DrDZuma Munic'!$J$15</c:f>
              <c:strCache>
                <c:ptCount val="1"/>
                <c:pt idx="0">
                  <c:v>Male</c:v>
                </c:pt>
              </c:strCache>
            </c:strRef>
          </c:tx>
          <c:invertIfNegative val="0"/>
          <c:cat>
            <c:strRef>
              <c:f>'DrDZuma Munic'!$I$16:$I$33</c:f>
              <c:strCache>
                <c:ptCount val="18"/>
                <c:pt idx="0">
                  <c:v>00-04</c:v>
                </c:pt>
                <c:pt idx="1">
                  <c:v>05-09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c:v>
                </c:pt>
              </c:strCache>
            </c:strRef>
          </c:cat>
          <c:val>
            <c:numRef>
              <c:f>'DrDZuma Munic'!$J$16:$J$33</c:f>
              <c:numCache>
                <c:formatCode>0.0</c:formatCode>
                <c:ptCount val="18"/>
                <c:pt idx="0">
                  <c:v>-16</c:v>
                </c:pt>
                <c:pt idx="1">
                  <c:v>-15</c:v>
                </c:pt>
                <c:pt idx="2">
                  <c:v>-15</c:v>
                </c:pt>
                <c:pt idx="3">
                  <c:v>-10</c:v>
                </c:pt>
                <c:pt idx="4">
                  <c:v>-9</c:v>
                </c:pt>
                <c:pt idx="5">
                  <c:v>-8</c:v>
                </c:pt>
                <c:pt idx="6">
                  <c:v>-5</c:v>
                </c:pt>
                <c:pt idx="7">
                  <c:v>-4</c:v>
                </c:pt>
                <c:pt idx="8">
                  <c:v>-4</c:v>
                </c:pt>
                <c:pt idx="9">
                  <c:v>-3</c:v>
                </c:pt>
                <c:pt idx="10">
                  <c:v>-2</c:v>
                </c:pt>
                <c:pt idx="11">
                  <c:v>-2</c:v>
                </c:pt>
                <c:pt idx="12">
                  <c:v>-2</c:v>
                </c:pt>
                <c:pt idx="13">
                  <c:v>-2</c:v>
                </c:pt>
                <c:pt idx="14">
                  <c:v>-1</c:v>
                </c:pt>
                <c:pt idx="15">
                  <c:v>0</c:v>
                </c:pt>
                <c:pt idx="16">
                  <c:v>0</c:v>
                </c:pt>
                <c:pt idx="17">
                  <c:v>0</c:v>
                </c:pt>
              </c:numCache>
            </c:numRef>
          </c:val>
          <c:extLst xmlns:c16r2="http://schemas.microsoft.com/office/drawing/2015/06/chart">
            <c:ext xmlns:c16="http://schemas.microsoft.com/office/drawing/2014/chart" uri="{C3380CC4-5D6E-409C-BE32-E72D297353CC}">
              <c16:uniqueId val="{00000000-8D50-744F-8618-07DDF56B0D2F}"/>
            </c:ext>
          </c:extLst>
        </c:ser>
        <c:ser>
          <c:idx val="1"/>
          <c:order val="1"/>
          <c:tx>
            <c:strRef>
              <c:f>'DrDZuma Munic'!$K$15</c:f>
              <c:strCache>
                <c:ptCount val="1"/>
                <c:pt idx="0">
                  <c:v>Female</c:v>
                </c:pt>
              </c:strCache>
            </c:strRef>
          </c:tx>
          <c:invertIfNegative val="0"/>
          <c:cat>
            <c:strRef>
              <c:f>'DrDZuma Munic'!$I$16:$I$33</c:f>
              <c:strCache>
                <c:ptCount val="18"/>
                <c:pt idx="0">
                  <c:v>00-04</c:v>
                </c:pt>
                <c:pt idx="1">
                  <c:v>05-09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c:v>
                </c:pt>
              </c:strCache>
            </c:strRef>
          </c:cat>
          <c:val>
            <c:numRef>
              <c:f>'DrDZuma Munic'!$K$16:$K$33</c:f>
              <c:numCache>
                <c:formatCode>0.0</c:formatCode>
                <c:ptCount val="18"/>
                <c:pt idx="0">
                  <c:v>15</c:v>
                </c:pt>
                <c:pt idx="1">
                  <c:v>13</c:v>
                </c:pt>
                <c:pt idx="2">
                  <c:v>12</c:v>
                </c:pt>
                <c:pt idx="3">
                  <c:v>9</c:v>
                </c:pt>
                <c:pt idx="4">
                  <c:v>8</c:v>
                </c:pt>
                <c:pt idx="5">
                  <c:v>8</c:v>
                </c:pt>
                <c:pt idx="6">
                  <c:v>6</c:v>
                </c:pt>
                <c:pt idx="7">
                  <c:v>5</c:v>
                </c:pt>
                <c:pt idx="8">
                  <c:v>4</c:v>
                </c:pt>
                <c:pt idx="9">
                  <c:v>4</c:v>
                </c:pt>
                <c:pt idx="10">
                  <c:v>4</c:v>
                </c:pt>
                <c:pt idx="11">
                  <c:v>3</c:v>
                </c:pt>
                <c:pt idx="12">
                  <c:v>3</c:v>
                </c:pt>
                <c:pt idx="13">
                  <c:v>3</c:v>
                </c:pt>
                <c:pt idx="14">
                  <c:v>1</c:v>
                </c:pt>
                <c:pt idx="15">
                  <c:v>1</c:v>
                </c:pt>
                <c:pt idx="16">
                  <c:v>1</c:v>
                </c:pt>
                <c:pt idx="17">
                  <c:v>1</c:v>
                </c:pt>
              </c:numCache>
            </c:numRef>
          </c:val>
          <c:extLst xmlns:c16r2="http://schemas.microsoft.com/office/drawing/2015/06/chart">
            <c:ext xmlns:c16="http://schemas.microsoft.com/office/drawing/2014/chart" uri="{C3380CC4-5D6E-409C-BE32-E72D297353CC}">
              <c16:uniqueId val="{00000001-8D50-744F-8618-07DDF56B0D2F}"/>
            </c:ext>
          </c:extLst>
        </c:ser>
        <c:dLbls>
          <c:showLegendKey val="0"/>
          <c:showVal val="0"/>
          <c:showCatName val="0"/>
          <c:showSerName val="0"/>
          <c:showPercent val="0"/>
          <c:showBubbleSize val="0"/>
        </c:dLbls>
        <c:gapWidth val="0"/>
        <c:overlap val="100"/>
        <c:axId val="513566288"/>
        <c:axId val="513571776"/>
      </c:barChart>
      <c:catAx>
        <c:axId val="513566288"/>
        <c:scaling>
          <c:orientation val="minMax"/>
        </c:scaling>
        <c:delete val="0"/>
        <c:axPos val="l"/>
        <c:numFmt formatCode="General" sourceLinked="0"/>
        <c:majorTickMark val="out"/>
        <c:minorTickMark val="none"/>
        <c:tickLblPos val="low"/>
        <c:crossAx val="513571776"/>
        <c:crosses val="autoZero"/>
        <c:auto val="1"/>
        <c:lblAlgn val="ctr"/>
        <c:lblOffset val="100"/>
        <c:noMultiLvlLbl val="0"/>
      </c:catAx>
      <c:valAx>
        <c:axId val="513571776"/>
        <c:scaling>
          <c:orientation val="minMax"/>
          <c:max val="20"/>
          <c:min val="-20"/>
        </c:scaling>
        <c:delete val="0"/>
        <c:axPos val="b"/>
        <c:numFmt formatCode="0.0" sourceLinked="1"/>
        <c:majorTickMark val="out"/>
        <c:minorTickMark val="none"/>
        <c:tickLblPos val="nextTo"/>
        <c:crossAx val="513566288"/>
        <c:crosses val="autoZero"/>
        <c:crossBetween val="between"/>
        <c:majorUnit val="10"/>
      </c:valAx>
    </c:plotArea>
    <c:legend>
      <c:legendPos val="r"/>
      <c:layout>
        <c:manualLayout>
          <c:xMode val="edge"/>
          <c:yMode val="edge"/>
          <c:x val="0.66370258973059415"/>
          <c:y val="0.16446428205285932"/>
          <c:w val="0.12124787107077611"/>
          <c:h val="0.11772005905148551"/>
        </c:manualLayout>
      </c:layout>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sz="1050"/>
            </a:pPr>
            <a:r>
              <a:rPr lang="en-ZA" sz="1050" dirty="0"/>
              <a:t>Electricity </a:t>
            </a:r>
            <a:r>
              <a:rPr lang="en-ZA" sz="1050" dirty="0" smtClean="0"/>
              <a:t>connection: Umlalazi Local Municipality</a:t>
            </a:r>
            <a:endParaRPr lang="en-ZA" sz="1050" dirty="0"/>
          </a:p>
        </c:rich>
      </c:tx>
      <c:overlay val="0"/>
    </c:title>
    <c:autoTitleDeleted val="0"/>
    <c:plotArea>
      <c:layout>
        <c:manualLayout>
          <c:layoutTarget val="inner"/>
          <c:xMode val="edge"/>
          <c:yMode val="edge"/>
          <c:x val="0.22187938860583603"/>
          <c:y val="0.15153846153846154"/>
          <c:w val="0.59420120426123213"/>
          <c:h val="0.77703234403391896"/>
        </c:manualLayout>
      </c:layout>
      <c:pieChart>
        <c:varyColors val="1"/>
        <c:ser>
          <c:idx val="0"/>
          <c:order val="0"/>
          <c:dPt>
            <c:idx val="0"/>
            <c:bubble3D val="0"/>
          </c:dPt>
          <c:dPt>
            <c:idx val="1"/>
            <c:bubble3D val="0"/>
          </c:dPt>
          <c:dLbls>
            <c:dLbl>
              <c:idx val="0"/>
              <c:tx>
                <c:rich>
                  <a:bodyPr/>
                  <a:lstStyle/>
                  <a:p>
                    <a:r>
                      <a:rPr lang="en-US" sz="1198" dirty="0" smtClean="0"/>
                      <a:t>98.7</a:t>
                    </a:r>
                    <a:r>
                      <a:rPr lang="en-US" sz="1198" baseline="0" dirty="0" smtClean="0"/>
                      <a:t> </a:t>
                    </a:r>
                    <a:r>
                      <a:rPr lang="en-US" sz="1198" dirty="0" smtClean="0"/>
                      <a:t>%</a:t>
                    </a:r>
                    <a:endParaRPr lang="en-US" sz="1198" dirty="0"/>
                  </a:p>
                </c:rich>
              </c:tx>
              <c:dLblPos val="bestFit"/>
              <c:showLegendKey val="0"/>
              <c:showVal val="0"/>
              <c:showCatName val="0"/>
              <c:showSerName val="0"/>
              <c:showPercent val="0"/>
              <c:showBubbleSize val="0"/>
              <c:extLst>
                <c:ext xmlns:c15="http://schemas.microsoft.com/office/drawing/2012/chart" uri="{CE6537A1-D6FC-4f65-9D91-7224C49458BB}"/>
              </c:extLst>
            </c:dLbl>
            <c:dLbl>
              <c:idx val="1"/>
              <c:layout>
                <c:manualLayout>
                  <c:x val="0.20558553999275611"/>
                  <c:y val="0.21037380853709076"/>
                </c:manualLayout>
              </c:layout>
              <c:tx>
                <c:rich>
                  <a:bodyPr/>
                  <a:lstStyle/>
                  <a:p>
                    <a:r>
                      <a:rPr lang="en-US" sz="1098" dirty="0" smtClean="0"/>
                      <a:t>1.3</a:t>
                    </a:r>
                    <a:r>
                      <a:rPr lang="en-US" sz="1098" baseline="0" dirty="0" smtClean="0"/>
                      <a:t> </a:t>
                    </a:r>
                    <a:r>
                      <a:rPr lang="en-US" sz="1098" dirty="0" smtClean="0"/>
                      <a:t>%</a:t>
                    </a:r>
                    <a:endParaRPr lang="en-US" sz="1098" dirty="0"/>
                  </a:p>
                </c:rich>
              </c:tx>
              <c:dLblPos val="bestFit"/>
              <c:showLegendKey val="0"/>
              <c:showVal val="0"/>
              <c:showCatName val="0"/>
              <c:showSerName val="0"/>
              <c:showPercent val="0"/>
              <c:showBubbleSize val="0"/>
              <c:extLst>
                <c:ext xmlns:c15="http://schemas.microsoft.com/office/drawing/2012/chart" uri="{CE6537A1-D6FC-4f65-9D91-7224C49458BB}"/>
              </c:extLst>
            </c:dLbl>
            <c:spPr>
              <a:noFill/>
              <a:ln>
                <a:noFill/>
              </a:ln>
              <a:effectLst/>
            </c:spPr>
            <c:txPr>
              <a:bodyPr rot="0" vert="horz"/>
              <a:lstStyle/>
              <a:p>
                <a:pPr>
                  <a:defRPr/>
                </a:pPr>
                <a:endParaRPr lang="en-US"/>
              </a:p>
            </c:txPr>
            <c:dLblPos val="bestFit"/>
            <c:showLegendKey val="0"/>
            <c:showVal val="1"/>
            <c:showCatName val="0"/>
            <c:showSerName val="0"/>
            <c:showPercent val="0"/>
            <c:showBubbleSize val="0"/>
            <c:showLeaderLines val="1"/>
            <c:extLst>
              <c:ext xmlns:c15="http://schemas.microsoft.com/office/drawing/2012/chart" uri="{CE6537A1-D6FC-4f65-9D91-7224C49458BB}"/>
            </c:extLst>
          </c:dLbls>
          <c:cat>
            <c:strRef>
              <c:f>Sheet1!$AD$15:$AE$15</c:f>
              <c:strCache>
                <c:ptCount val="2"/>
                <c:pt idx="0">
                  <c:v>Connected to electricity</c:v>
                </c:pt>
                <c:pt idx="1">
                  <c:v>Other sources</c:v>
                </c:pt>
              </c:strCache>
            </c:strRef>
          </c:cat>
          <c:val>
            <c:numRef>
              <c:f>Sheet1!$AD$16:$AE$16</c:f>
              <c:numCache>
                <c:formatCode>0.0</c:formatCode>
                <c:ptCount val="2"/>
                <c:pt idx="0">
                  <c:v>98.713290194126429</c:v>
                </c:pt>
                <c:pt idx="1">
                  <c:v>1.2867098058735689</c:v>
                </c:pt>
              </c:numCache>
            </c:numRef>
          </c:val>
        </c:ser>
        <c:dLbls>
          <c:showLegendKey val="0"/>
          <c:showVal val="0"/>
          <c:showCatName val="0"/>
          <c:showSerName val="0"/>
          <c:showPercent val="0"/>
          <c:showBubbleSize val="0"/>
          <c:showLeaderLines val="1"/>
        </c:dLbls>
        <c:firstSliceAng val="0"/>
      </c:pieChart>
    </c:plotArea>
    <c:legend>
      <c:legendPos val="l"/>
      <c:layout>
        <c:manualLayout>
          <c:xMode val="edge"/>
          <c:yMode val="edge"/>
          <c:x val="1.6666620376156686E-2"/>
          <c:y val="0.75483133029423954"/>
          <c:w val="0.29686557611300479"/>
          <c:h val="0.21239176681862135"/>
        </c:manualLayout>
      </c:layout>
      <c:overlay val="0"/>
      <c:txPr>
        <a:bodyPr rot="0" vert="horz"/>
        <a:lstStyle/>
        <a:p>
          <a:pPr>
            <a:defRPr sz="800"/>
          </a:pPr>
          <a:endParaRPr lang="en-US"/>
        </a:p>
      </c:txPr>
    </c:legend>
    <c:plotVisOnly val="1"/>
    <c:dispBlanksAs val="gap"/>
    <c:showDLblsOverMax val="0"/>
  </c:chart>
  <c:txPr>
    <a:bodyPr/>
    <a:lstStyle/>
    <a:p>
      <a:pPr>
        <a:defRPr sz="1800"/>
      </a:pPr>
      <a:endParaRPr lang="en-US"/>
    </a:p>
  </c:tx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cap="all" spc="150" baseline="0">
                <a:solidFill>
                  <a:schemeClr val="tx1">
                    <a:lumMod val="50000"/>
                    <a:lumOff val="50000"/>
                  </a:schemeClr>
                </a:solidFill>
                <a:latin typeface="+mn-lt"/>
                <a:ea typeface="+mn-ea"/>
                <a:cs typeface="+mn-cs"/>
              </a:defRPr>
            </a:pPr>
            <a:r>
              <a:rPr lang="en-ZA" sz="1100"/>
              <a:t>Type of main dwelling: Umlalazi Local Municipality</a:t>
            </a:r>
          </a:p>
        </c:rich>
      </c:tx>
      <c:overlay val="0"/>
      <c:spPr>
        <a:noFill/>
        <a:ln>
          <a:noFill/>
        </a:ln>
        <a:effectLst/>
      </c:spPr>
      <c:txPr>
        <a:bodyPr rot="0" spcFirstLastPara="1" vertOverflow="ellipsis" vert="horz" wrap="square" anchor="ctr" anchorCtr="1"/>
        <a:lstStyle/>
        <a:p>
          <a:pPr>
            <a:defRPr sz="1100" b="1" i="0" u="none" strike="noStrike" kern="1200" cap="all" spc="150" baseline="0">
              <a:solidFill>
                <a:schemeClr val="tx1">
                  <a:lumMod val="50000"/>
                  <a:lumOff val="50000"/>
                </a:schemeClr>
              </a:solidFill>
              <a:latin typeface="+mn-lt"/>
              <a:ea typeface="+mn-ea"/>
              <a:cs typeface="+mn-cs"/>
            </a:defRPr>
          </a:pPr>
          <a:endParaRPr lang="en-US"/>
        </a:p>
      </c:txPr>
    </c:title>
    <c:autoTitleDeleted val="0"/>
    <c:plotArea>
      <c:layout>
        <c:manualLayout>
          <c:layoutTarget val="inner"/>
          <c:xMode val="edge"/>
          <c:yMode val="edge"/>
          <c:x val="0.29862018881626723"/>
          <c:y val="6.9102362204724405E-2"/>
          <c:w val="0.55252777777777773"/>
          <c:h val="0.79286509702107144"/>
        </c:manualLayout>
      </c:layout>
      <c:barChart>
        <c:barDir val="bar"/>
        <c:grouping val="clustered"/>
        <c:varyColors val="0"/>
        <c:ser>
          <c:idx val="0"/>
          <c:order val="0"/>
          <c:spPr>
            <a:pattFill prst="narVert">
              <a:fgClr>
                <a:schemeClr val="accent1"/>
              </a:fgClr>
              <a:bgClr>
                <a:schemeClr val="accent1">
                  <a:lumMod val="20000"/>
                  <a:lumOff val="80000"/>
                </a:schemeClr>
              </a:bgClr>
            </a:pattFill>
            <a:ln>
              <a:noFill/>
            </a:ln>
            <a:effectLst>
              <a:innerShdw blurRad="114300">
                <a:schemeClr val="accent1"/>
              </a:innerShdw>
            </a:effectLst>
          </c:spPr>
          <c:invertIfNegative val="0"/>
          <c:dLbls>
            <c:dLbl>
              <c:idx val="0"/>
              <c:tx>
                <c:rich>
                  <a:bodyPr/>
                  <a:lstStyle/>
                  <a:p>
                    <a:r>
                      <a:rPr lang="en-US" dirty="0" smtClean="0"/>
                      <a:t>62</a:t>
                    </a:r>
                    <a:r>
                      <a:rPr lang="en-US" baseline="0" dirty="0" smtClean="0"/>
                      <a:t> </a:t>
                    </a:r>
                    <a:r>
                      <a:rPr lang="en-US" dirty="0" smtClean="0"/>
                      <a:t>%</a:t>
                    </a:r>
                    <a:endParaRPr lang="en-US" dirty="0"/>
                  </a:p>
                </c:rich>
              </c:tx>
              <c:dLblPos val="inEnd"/>
              <c:showLegendKey val="0"/>
              <c:showVal val="1"/>
              <c:showCatName val="1"/>
              <c:showSerName val="0"/>
              <c:showPercent val="0"/>
              <c:showBubbleSize val="0"/>
              <c:extLst>
                <c:ext xmlns:c15="http://schemas.microsoft.com/office/drawing/2012/chart" uri="{CE6537A1-D6FC-4f65-9D91-7224C49458BB}"/>
              </c:extLst>
            </c:dLbl>
            <c:dLbl>
              <c:idx val="1"/>
              <c:tx>
                <c:rich>
                  <a:bodyPr/>
                  <a:lstStyle/>
                  <a:p>
                    <a:r>
                      <a:rPr lang="en-US" dirty="0" smtClean="0"/>
                      <a:t>35.9%</a:t>
                    </a:r>
                    <a:endParaRPr lang="en-US" dirty="0"/>
                  </a:p>
                </c:rich>
              </c:tx>
              <c:dLblPos val="inEnd"/>
              <c:showLegendKey val="0"/>
              <c:showVal val="1"/>
              <c:showCatName val="1"/>
              <c:showSerName val="0"/>
              <c:showPercent val="0"/>
              <c:showBubbleSize val="0"/>
              <c:extLst>
                <c:ext xmlns:c15="http://schemas.microsoft.com/office/drawing/2012/chart" uri="{CE6537A1-D6FC-4f65-9D91-7224C49458BB}"/>
              </c:extLst>
            </c:dLbl>
            <c:dLbl>
              <c:idx val="2"/>
              <c:tx>
                <c:rich>
                  <a:bodyPr/>
                  <a:lstStyle/>
                  <a:p>
                    <a:r>
                      <a:rPr lang="en-US" dirty="0" smtClean="0"/>
                      <a:t>1</a:t>
                    </a:r>
                    <a:r>
                      <a:rPr lang="en-US" baseline="0" dirty="0" smtClean="0"/>
                      <a:t> </a:t>
                    </a:r>
                    <a:r>
                      <a:rPr lang="en-US" dirty="0" smtClean="0"/>
                      <a:t>%</a:t>
                    </a:r>
                    <a:endParaRPr lang="en-US" dirty="0"/>
                  </a:p>
                </c:rich>
              </c:tx>
              <c:dLblPos val="inEnd"/>
              <c:showLegendKey val="0"/>
              <c:showVal val="1"/>
              <c:showCatName val="1"/>
              <c:showSerName val="0"/>
              <c:showPercent val="0"/>
              <c:showBubbleSize val="0"/>
              <c:extLst>
                <c:ext xmlns:c15="http://schemas.microsoft.com/office/drawing/2012/chart" uri="{CE6537A1-D6FC-4f65-9D91-7224C49458BB}"/>
              </c:extLst>
            </c:dLbl>
            <c:dLbl>
              <c:idx val="3"/>
              <c:tx>
                <c:rich>
                  <a:bodyPr/>
                  <a:lstStyle/>
                  <a:p>
                    <a:r>
                      <a:rPr lang="en-US" dirty="0" smtClean="0"/>
                      <a:t>1</a:t>
                    </a:r>
                    <a:r>
                      <a:rPr lang="en-US" baseline="0" dirty="0" smtClean="0"/>
                      <a:t> </a:t>
                    </a:r>
                    <a:r>
                      <a:rPr lang="en-US" dirty="0" smtClean="0"/>
                      <a:t>%</a:t>
                    </a:r>
                    <a:endParaRPr lang="en-US" dirty="0"/>
                  </a:p>
                </c:rich>
              </c:tx>
              <c:dLblPos val="inEnd"/>
              <c:showLegendKey val="0"/>
              <c:showVal val="1"/>
              <c:showCatName val="1"/>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1"/>
            <c:showCatName val="1"/>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Sheet1!$Q$8:$T$8</c:f>
              <c:strCache>
                <c:ptCount val="4"/>
                <c:pt idx="0">
                  <c:v>Formal</c:v>
                </c:pt>
                <c:pt idx="1">
                  <c:v>Traditional</c:v>
                </c:pt>
                <c:pt idx="2">
                  <c:v>Informal</c:v>
                </c:pt>
                <c:pt idx="3">
                  <c:v>Other</c:v>
                </c:pt>
              </c:strCache>
            </c:strRef>
          </c:cat>
          <c:val>
            <c:numRef>
              <c:f>Sheet1!$Q$9:$T$9</c:f>
              <c:numCache>
                <c:formatCode>0.0</c:formatCode>
                <c:ptCount val="4"/>
                <c:pt idx="0">
                  <c:v>62.021337945381092</c:v>
                </c:pt>
                <c:pt idx="1">
                  <c:v>35.948444264466403</c:v>
                </c:pt>
                <c:pt idx="2">
                  <c:v>1.0377481848467385</c:v>
                </c:pt>
                <c:pt idx="3">
                  <c:v>0.99246960530575556</c:v>
                </c:pt>
              </c:numCache>
            </c:numRef>
          </c:val>
        </c:ser>
        <c:dLbls>
          <c:showLegendKey val="0"/>
          <c:showVal val="0"/>
          <c:showCatName val="0"/>
          <c:showSerName val="0"/>
          <c:showPercent val="0"/>
          <c:showBubbleSize val="0"/>
        </c:dLbls>
        <c:gapWidth val="227"/>
        <c:overlap val="-48"/>
        <c:axId val="513561584"/>
        <c:axId val="513568248"/>
      </c:barChart>
      <c:valAx>
        <c:axId val="51356824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r>
                  <a:rPr lang="en-ZA"/>
                  <a:t>Percentage</a:t>
                </a:r>
                <a:r>
                  <a:rPr lang="en-ZA" baseline="0"/>
                  <a:t> </a:t>
                </a:r>
                <a:endParaRPr lang="en-ZA"/>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13561584"/>
        <c:crosses val="autoZero"/>
        <c:crossBetween val="between"/>
      </c:valAx>
      <c:catAx>
        <c:axId val="5135615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r>
                  <a:rPr lang="en-ZA"/>
                  <a:t>Type of</a:t>
                </a:r>
                <a:r>
                  <a:rPr lang="en-ZA" baseline="0"/>
                  <a:t> Dwelling</a:t>
                </a:r>
                <a:endParaRPr lang="en-ZA"/>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13568248"/>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200" b="1" i="0" u="none" strike="noStrike" kern="1200" cap="all" spc="150" baseline="0">
              <a:solidFill>
                <a:schemeClr val="tx1">
                  <a:lumMod val="50000"/>
                  <a:lumOff val="50000"/>
                </a:schemeClr>
              </a:solidFill>
              <a:latin typeface="+mn-lt"/>
              <a:ea typeface="+mn-ea"/>
              <a:cs typeface="+mn-cs"/>
            </a:defRPr>
          </a:pPr>
          <a:endParaRPr lang="en-US"/>
        </a:p>
      </c:txPr>
    </c:title>
    <c:autoTitleDeleted val="0"/>
    <c:plotArea>
      <c:layout>
        <c:manualLayout>
          <c:layoutTarget val="inner"/>
          <c:xMode val="edge"/>
          <c:yMode val="edge"/>
          <c:x val="8.0339422307727892E-2"/>
          <c:y val="0.15187919337018463"/>
          <c:w val="0.9190529308836396"/>
          <c:h val="0.50673915760529931"/>
        </c:manualLayout>
      </c:layout>
      <c:barChart>
        <c:barDir val="col"/>
        <c:grouping val="clustered"/>
        <c:varyColors val="0"/>
        <c:ser>
          <c:idx val="0"/>
          <c:order val="0"/>
          <c:tx>
            <c:strRef>
              <c:f>Sheet1!$B$1</c:f>
              <c:strCache>
                <c:ptCount val="1"/>
                <c:pt idx="0">
                  <c:v>KCDM Unemployment Rate</c:v>
                </c:pt>
              </c:strCache>
            </c:strRef>
          </c:tx>
          <c:spPr>
            <a:pattFill prst="narHorz">
              <a:fgClr>
                <a:schemeClr val="accent4"/>
              </a:fgClr>
              <a:bgClr>
                <a:schemeClr val="accent4">
                  <a:lumMod val="20000"/>
                  <a:lumOff val="80000"/>
                </a:schemeClr>
              </a:bgClr>
            </a:pattFill>
            <a:ln>
              <a:noFill/>
            </a:ln>
            <a:effectLst>
              <a:innerShdw blurRad="114300">
                <a:schemeClr val="accent4"/>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Sheet1!$A$2:$A$9</c:f>
              <c:strCache>
                <c:ptCount val="7"/>
                <c:pt idx="0">
                  <c:v>KZN</c:v>
                </c:pt>
                <c:pt idx="1">
                  <c:v>KCDM</c:v>
                </c:pt>
                <c:pt idx="2">
                  <c:v>UMFOLOZI</c:v>
                </c:pt>
                <c:pt idx="3">
                  <c:v>UMHLATHUZE</c:v>
                </c:pt>
                <c:pt idx="4">
                  <c:v>UMLALAZI</c:v>
                </c:pt>
                <c:pt idx="5">
                  <c:v>MTHONJANENI</c:v>
                </c:pt>
                <c:pt idx="6">
                  <c:v>NKANDLA</c:v>
                </c:pt>
              </c:strCache>
            </c:strRef>
          </c:cat>
          <c:val>
            <c:numRef>
              <c:f>Sheet1!$B$2:$B$9</c:f>
              <c:numCache>
                <c:formatCode>General</c:formatCode>
                <c:ptCount val="8"/>
                <c:pt idx="0">
                  <c:v>21.8</c:v>
                </c:pt>
                <c:pt idx="1">
                  <c:v>26.3</c:v>
                </c:pt>
                <c:pt idx="2">
                  <c:v>31.8</c:v>
                </c:pt>
                <c:pt idx="3">
                  <c:v>23.4</c:v>
                </c:pt>
                <c:pt idx="4">
                  <c:v>26.2</c:v>
                </c:pt>
                <c:pt idx="5">
                  <c:v>21.9</c:v>
                </c:pt>
                <c:pt idx="6">
                  <c:v>34.200000000000003</c:v>
                </c:pt>
              </c:numCache>
            </c:numRef>
          </c:val>
        </c:ser>
        <c:dLbls>
          <c:dLblPos val="inEnd"/>
          <c:showLegendKey val="0"/>
          <c:showVal val="1"/>
          <c:showCatName val="0"/>
          <c:showSerName val="0"/>
          <c:showPercent val="0"/>
          <c:showBubbleSize val="0"/>
        </c:dLbls>
        <c:gapWidth val="164"/>
        <c:overlap val="-22"/>
        <c:axId val="513562368"/>
        <c:axId val="513563936"/>
      </c:barChart>
      <c:catAx>
        <c:axId val="51356236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r>
                  <a:rPr lang="en-ZA"/>
                  <a:t>King</a:t>
                </a:r>
                <a:r>
                  <a:rPr lang="en-ZA" baseline="0"/>
                  <a:t> Cetshwayo District Municipality</a:t>
                </a:r>
                <a:endParaRPr lang="en-ZA"/>
              </a:p>
            </c:rich>
          </c:tx>
          <c:layout>
            <c:manualLayout>
              <c:xMode val="edge"/>
              <c:yMode val="edge"/>
              <c:x val="0.34050605922370542"/>
              <c:y val="0.92632817449542948"/>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13563936"/>
        <c:crosses val="autoZero"/>
        <c:auto val="1"/>
        <c:lblAlgn val="ctr"/>
        <c:lblOffset val="100"/>
        <c:noMultiLvlLbl val="0"/>
      </c:catAx>
      <c:valAx>
        <c:axId val="51356393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r>
                  <a:rPr lang="en-ZA"/>
                  <a:t>Percentage</a:t>
                </a:r>
              </a:p>
            </c:rich>
          </c:tx>
          <c:layout>
            <c:manualLayout>
              <c:xMode val="edge"/>
              <c:yMode val="edge"/>
              <c:x val="8.3963056255247689E-3"/>
              <c:y val="0.3750648717297435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13562368"/>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r>
              <a:rPr lang="en-US"/>
              <a:t>KCDM Economic Performance</a:t>
            </a:r>
          </a:p>
        </c:rich>
      </c:tx>
      <c:overlay val="0"/>
      <c:spPr>
        <a:noFill/>
        <a:ln>
          <a:noFill/>
        </a:ln>
        <a:effectLst/>
      </c:spPr>
      <c:txPr>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endParaRPr lang="en-US"/>
        </a:p>
      </c:txPr>
    </c:title>
    <c:autoTitleDeleted val="0"/>
    <c:plotArea>
      <c:layout>
        <c:manualLayout>
          <c:layoutTarget val="inner"/>
          <c:xMode val="edge"/>
          <c:yMode val="edge"/>
          <c:x val="8.0339422307727892E-2"/>
          <c:y val="0.15187919337018463"/>
          <c:w val="0.9190529308836396"/>
          <c:h val="0.50673915760529931"/>
        </c:manualLayout>
      </c:layout>
      <c:barChart>
        <c:barDir val="col"/>
        <c:grouping val="clustered"/>
        <c:varyColors val="0"/>
        <c:ser>
          <c:idx val="0"/>
          <c:order val="0"/>
          <c:tx>
            <c:strRef>
              <c:f>Sheet1!$B$1</c:f>
              <c:strCache>
                <c:ptCount val="1"/>
                <c:pt idx="0">
                  <c:v>KCDM Unemployment Rate</c:v>
                </c:pt>
              </c:strCache>
            </c:strRef>
          </c:tx>
          <c:spPr>
            <a:gradFill>
              <a:gsLst>
                <a:gs pos="0">
                  <a:schemeClr val="accent4"/>
                </a:gs>
                <a:gs pos="100000">
                  <a:schemeClr val="accent4">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Sheet1!$A$2:$A$8</c:f>
              <c:strCache>
                <c:ptCount val="6"/>
                <c:pt idx="0">
                  <c:v>KCDM</c:v>
                </c:pt>
                <c:pt idx="1">
                  <c:v>UMFOLOZI</c:v>
                </c:pt>
                <c:pt idx="2">
                  <c:v>UMHLATHUZE</c:v>
                </c:pt>
                <c:pt idx="3">
                  <c:v>UMLALAZI</c:v>
                </c:pt>
                <c:pt idx="4">
                  <c:v>MTHONJANENI</c:v>
                </c:pt>
                <c:pt idx="5">
                  <c:v>NKANDLA</c:v>
                </c:pt>
              </c:strCache>
            </c:strRef>
          </c:cat>
          <c:val>
            <c:numRef>
              <c:f>Sheet1!$B$2:$B$8</c:f>
              <c:numCache>
                <c:formatCode>#,##0</c:formatCode>
                <c:ptCount val="7"/>
                <c:pt idx="0">
                  <c:v>38252863</c:v>
                </c:pt>
                <c:pt idx="1">
                  <c:v>8429056</c:v>
                </c:pt>
                <c:pt idx="2">
                  <c:v>17403297</c:v>
                </c:pt>
                <c:pt idx="3">
                  <c:v>7861854</c:v>
                </c:pt>
                <c:pt idx="4">
                  <c:v>641562</c:v>
                </c:pt>
                <c:pt idx="5">
                  <c:v>919766</c:v>
                </c:pt>
              </c:numCache>
            </c:numRef>
          </c:val>
        </c:ser>
        <c:dLbls>
          <c:dLblPos val="inEnd"/>
          <c:showLegendKey val="0"/>
          <c:showVal val="1"/>
          <c:showCatName val="0"/>
          <c:showSerName val="0"/>
          <c:showPercent val="0"/>
          <c:showBubbleSize val="0"/>
        </c:dLbls>
        <c:gapWidth val="41"/>
        <c:axId val="513568640"/>
        <c:axId val="513573344"/>
      </c:barChart>
      <c:catAx>
        <c:axId val="51356864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dk1">
                        <a:lumMod val="65000"/>
                        <a:lumOff val="35000"/>
                      </a:schemeClr>
                    </a:solidFill>
                    <a:latin typeface="+mn-lt"/>
                    <a:ea typeface="+mn-ea"/>
                    <a:cs typeface="+mn-cs"/>
                  </a:defRPr>
                </a:pPr>
                <a:r>
                  <a:rPr lang="en-ZA"/>
                  <a:t>King Cetshwayo District Family of Municipalities</a:t>
                </a:r>
              </a:p>
            </c:rich>
          </c:tx>
          <c:layout>
            <c:manualLayout>
              <c:xMode val="edge"/>
              <c:yMode val="edge"/>
              <c:x val="0.34050605922370542"/>
              <c:y val="0.92632817449542948"/>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dk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en-US"/>
          </a:p>
        </c:txPr>
        <c:crossAx val="513573344"/>
        <c:crosses val="autoZero"/>
        <c:auto val="1"/>
        <c:lblAlgn val="ctr"/>
        <c:lblOffset val="100"/>
        <c:noMultiLvlLbl val="0"/>
      </c:catAx>
      <c:valAx>
        <c:axId val="513573344"/>
        <c:scaling>
          <c:orientation val="minMax"/>
        </c:scaling>
        <c:delete val="1"/>
        <c:axPos val="l"/>
        <c:title>
          <c:tx>
            <c:rich>
              <a:bodyPr rot="-5400000" spcFirstLastPara="1" vertOverflow="ellipsis" vert="horz" wrap="square" anchor="ctr" anchorCtr="1"/>
              <a:lstStyle/>
              <a:p>
                <a:pPr>
                  <a:defRPr sz="900" b="1" i="0" u="none" strike="noStrike" kern="1200" baseline="0">
                    <a:solidFill>
                      <a:schemeClr val="dk1">
                        <a:lumMod val="65000"/>
                        <a:lumOff val="35000"/>
                      </a:schemeClr>
                    </a:solidFill>
                    <a:latin typeface="+mn-lt"/>
                    <a:ea typeface="+mn-ea"/>
                    <a:cs typeface="+mn-cs"/>
                  </a:defRPr>
                </a:pPr>
                <a:r>
                  <a:rPr lang="en-ZA"/>
                  <a:t>RAND VALUE (Bn)</a:t>
                </a:r>
              </a:p>
            </c:rich>
          </c:tx>
          <c:layout>
            <c:manualLayout>
              <c:xMode val="edge"/>
              <c:yMode val="edge"/>
              <c:x val="8.3963056255247689E-3"/>
              <c:y val="0.3750648717297435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dk1">
                      <a:lumMod val="65000"/>
                      <a:lumOff val="35000"/>
                    </a:schemeClr>
                  </a:solidFill>
                  <a:latin typeface="+mn-lt"/>
                  <a:ea typeface="+mn-ea"/>
                  <a:cs typeface="+mn-cs"/>
                </a:defRPr>
              </a:pPr>
              <a:endParaRPr lang="en-US"/>
            </a:p>
          </c:txPr>
        </c:title>
        <c:numFmt formatCode="#,##0" sourceLinked="1"/>
        <c:majorTickMark val="none"/>
        <c:minorTickMark val="none"/>
        <c:tickLblPos val="nextTo"/>
        <c:crossAx val="513568640"/>
        <c:crosses val="autoZero"/>
        <c:crossBetween val="between"/>
      </c:valAx>
      <c:spPr>
        <a:noFill/>
        <a:ln>
          <a:noFill/>
        </a:ln>
        <a:effectLst/>
      </c:spPr>
    </c:plotArea>
    <c:plotVisOnly val="1"/>
    <c:dispBlanksAs val="gap"/>
    <c:showDLblsOverMax val="0"/>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cap="all" baseline="0">
                <a:solidFill>
                  <a:schemeClr val="tx1">
                    <a:lumMod val="65000"/>
                    <a:lumOff val="35000"/>
                  </a:schemeClr>
                </a:solidFill>
                <a:latin typeface="+mn-lt"/>
                <a:ea typeface="+mn-ea"/>
                <a:cs typeface="+mn-cs"/>
              </a:defRPr>
            </a:pPr>
            <a:r>
              <a:rPr lang="en-US"/>
              <a:t>% share gdp of kcdm </a:t>
            </a:r>
          </a:p>
        </c:rich>
      </c:tx>
      <c:overlay val="0"/>
      <c:spPr>
        <a:noFill/>
        <a:ln>
          <a:noFill/>
        </a:ln>
        <a:effectLst/>
      </c:spPr>
      <c:txPr>
        <a:bodyPr rot="0" spcFirstLastPara="1" vertOverflow="ellipsis" vert="horz" wrap="square" anchor="ctr" anchorCtr="1"/>
        <a:lstStyle/>
        <a:p>
          <a:pPr>
            <a:defRPr sz="1600" b="1" i="0" u="none" strike="noStrike" kern="1200" cap="all" baseline="0">
              <a:solidFill>
                <a:schemeClr val="tx1">
                  <a:lumMod val="65000"/>
                  <a:lumOff val="35000"/>
                </a:schemeClr>
              </a:solidFill>
              <a:latin typeface="+mn-lt"/>
              <a:ea typeface="+mn-ea"/>
              <a:cs typeface="+mn-cs"/>
            </a:defRPr>
          </a:pPr>
          <a:endParaRPr lang="en-US"/>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Sheet1!$E$64</c:f>
              <c:strCache>
                <c:ptCount val="1"/>
                <c:pt idx="0">
                  <c:v>KCDM Unemployment Rate</c:v>
                </c:pt>
              </c:strCache>
            </c:strRef>
          </c:tx>
          <c:dPt>
            <c:idx val="0"/>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1"/>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2"/>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3"/>
            <c:bubble3D val="0"/>
            <c:spPr>
              <a:solidFill>
                <a:schemeClr val="accent2">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4"/>
            <c:bubble3D val="0"/>
            <c:spPr>
              <a:solidFill>
                <a:schemeClr val="accent4">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en-US"/>
                </a:p>
              </c:txPr>
              <c:dLblPos val="outEnd"/>
              <c:showLegendKey val="0"/>
              <c:showVal val="0"/>
              <c:showCatName val="1"/>
              <c:showSerName val="0"/>
              <c:showPercent val="1"/>
              <c:showBubbleSize val="0"/>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en-US"/>
                </a:p>
              </c:txPr>
              <c:dLblPos val="outEnd"/>
              <c:showLegendKey val="0"/>
              <c:showVal val="0"/>
              <c:showCatName val="1"/>
              <c:showSerName val="0"/>
              <c:showPercent val="1"/>
              <c:showBubbleSize val="0"/>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6"/>
                      </a:solidFill>
                      <a:latin typeface="+mn-lt"/>
                      <a:ea typeface="+mn-ea"/>
                      <a:cs typeface="+mn-cs"/>
                    </a:defRPr>
                  </a:pPr>
                  <a:endParaRPr lang="en-US"/>
                </a:p>
              </c:txPr>
              <c:dLblPos val="outEnd"/>
              <c:showLegendKey val="0"/>
              <c:showVal val="0"/>
              <c:showCatName val="1"/>
              <c:showSerName val="0"/>
              <c:showPercent val="1"/>
              <c:showBubbleSize val="0"/>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lumMod val="60000"/>
                        </a:schemeClr>
                      </a:solidFill>
                      <a:latin typeface="+mn-lt"/>
                      <a:ea typeface="+mn-ea"/>
                      <a:cs typeface="+mn-cs"/>
                    </a:defRPr>
                  </a:pPr>
                  <a:endParaRPr lang="en-US"/>
                </a:p>
              </c:txPr>
              <c:dLblPos val="outEnd"/>
              <c:showLegendKey val="0"/>
              <c:showVal val="0"/>
              <c:showCatName val="1"/>
              <c:showSerName val="0"/>
              <c:showPercent val="1"/>
              <c:showBubbleSize val="0"/>
            </c:dLbl>
            <c:dLbl>
              <c:idx val="4"/>
              <c:layout>
                <c:manualLayout>
                  <c:x val="4.9999999999999947E-2"/>
                  <c:y val="0"/>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lumMod val="60000"/>
                        </a:schemeClr>
                      </a:solidFill>
                      <a:latin typeface="+mn-lt"/>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Lst>
            </c:dLbl>
            <c:spPr>
              <a:noFill/>
              <a:ln>
                <a:noFill/>
              </a:ln>
              <a:effectLst/>
            </c:sp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Sheet1!$D$65:$D$69</c:f>
              <c:strCache>
                <c:ptCount val="5"/>
                <c:pt idx="0">
                  <c:v>UMFOLOZI</c:v>
                </c:pt>
                <c:pt idx="1">
                  <c:v>UMHLATHUZE</c:v>
                </c:pt>
                <c:pt idx="2">
                  <c:v>UMLALAZI</c:v>
                </c:pt>
                <c:pt idx="3">
                  <c:v>MTHONJANENI</c:v>
                </c:pt>
                <c:pt idx="4">
                  <c:v>NKANDLA</c:v>
                </c:pt>
              </c:strCache>
            </c:strRef>
          </c:cat>
          <c:val>
            <c:numRef>
              <c:f>Sheet1!$E$65:$E$69</c:f>
              <c:numCache>
                <c:formatCode>#,##0</c:formatCode>
                <c:ptCount val="5"/>
                <c:pt idx="0">
                  <c:v>8429056</c:v>
                </c:pt>
                <c:pt idx="1">
                  <c:v>17403297</c:v>
                </c:pt>
                <c:pt idx="2">
                  <c:v>7861854</c:v>
                </c:pt>
                <c:pt idx="3">
                  <c:v>641562</c:v>
                </c:pt>
                <c:pt idx="4">
                  <c:v>919766</c:v>
                </c:pt>
              </c:numCache>
            </c:numRef>
          </c:val>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r>
              <a:rPr lang="en-US"/>
              <a:t>Annual Household Income</a:t>
            </a:r>
          </a:p>
        </c:rich>
      </c:tx>
      <c:overlay val="0"/>
      <c:spPr>
        <a:noFill/>
        <a:ln>
          <a:noFill/>
        </a:ln>
        <a:effectLst/>
      </c:spPr>
      <c:txPr>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endParaRPr lang="en-US"/>
        </a:p>
      </c:txPr>
    </c:title>
    <c:autoTitleDeleted val="0"/>
    <c:plotArea>
      <c:layout/>
      <c:barChart>
        <c:barDir val="col"/>
        <c:grouping val="clustered"/>
        <c:varyColors val="0"/>
        <c:ser>
          <c:idx val="0"/>
          <c:order val="0"/>
          <c:tx>
            <c:strRef>
              <c:f>'Space-Time Research'!$B$7</c:f>
              <c:strCache>
                <c:ptCount val="1"/>
                <c:pt idx="0">
                  <c:v>Population</c:v>
                </c:pt>
              </c:strCache>
            </c:strRef>
          </c:tx>
          <c:spPr>
            <a:gradFill>
              <a:gsLst>
                <a:gs pos="0">
                  <a:schemeClr val="dk1">
                    <a:tint val="88500"/>
                  </a:schemeClr>
                </a:gs>
                <a:gs pos="100000">
                  <a:schemeClr val="dk1">
                    <a:tint val="88500"/>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'Space-Time Research'!$A$8:$A$19</c:f>
              <c:strCache>
                <c:ptCount val="12"/>
                <c:pt idx="0">
                  <c:v>R0 - R4800</c:v>
                </c:pt>
                <c:pt idx="1">
                  <c:v>R 4801 - R 9600</c:v>
                </c:pt>
                <c:pt idx="2">
                  <c:v>R 9601 - R 19 600</c:v>
                </c:pt>
                <c:pt idx="3">
                  <c:v>R 19 601 - R 38 200</c:v>
                </c:pt>
                <c:pt idx="4">
                  <c:v>R 38 201 - R 76 400</c:v>
                </c:pt>
                <c:pt idx="5">
                  <c:v>R 76 401 - R 153 800</c:v>
                </c:pt>
                <c:pt idx="6">
                  <c:v>R 153 801 - R 307 600</c:v>
                </c:pt>
                <c:pt idx="7">
                  <c:v>R 307 601 - R 614 400</c:v>
                </c:pt>
                <c:pt idx="8">
                  <c:v>R 614 001 - R 1 228 800</c:v>
                </c:pt>
                <c:pt idx="9">
                  <c:v>R 1 228 801 - R 2 457 600</c:v>
                </c:pt>
                <c:pt idx="10">
                  <c:v>R 2 457 601 or more</c:v>
                </c:pt>
                <c:pt idx="11">
                  <c:v>Unspecified</c:v>
                </c:pt>
              </c:strCache>
            </c:strRef>
          </c:cat>
          <c:val>
            <c:numRef>
              <c:f>'Space-Time Research'!$B$8:$B$19</c:f>
              <c:numCache>
                <c:formatCode>#,##0</c:formatCode>
                <c:ptCount val="12"/>
                <c:pt idx="0">
                  <c:v>2282</c:v>
                </c:pt>
                <c:pt idx="1">
                  <c:v>3948</c:v>
                </c:pt>
                <c:pt idx="2">
                  <c:v>12050</c:v>
                </c:pt>
                <c:pt idx="3">
                  <c:v>10725</c:v>
                </c:pt>
                <c:pt idx="4">
                  <c:v>4728</c:v>
                </c:pt>
                <c:pt idx="5">
                  <c:v>2515</c:v>
                </c:pt>
                <c:pt idx="6">
                  <c:v>1683</c:v>
                </c:pt>
                <c:pt idx="7">
                  <c:v>1020</c:v>
                </c:pt>
                <c:pt idx="8">
                  <c:v>274</c:v>
                </c:pt>
                <c:pt idx="9">
                  <c:v>95</c:v>
                </c:pt>
                <c:pt idx="10">
                  <c:v>64</c:v>
                </c:pt>
                <c:pt idx="11">
                  <c:v>0</c:v>
                </c:pt>
              </c:numCache>
            </c:numRef>
          </c:val>
        </c:ser>
        <c:dLbls>
          <c:dLblPos val="inEnd"/>
          <c:showLegendKey val="0"/>
          <c:showVal val="1"/>
          <c:showCatName val="0"/>
          <c:showSerName val="0"/>
          <c:showPercent val="0"/>
          <c:showBubbleSize val="0"/>
        </c:dLbls>
        <c:gapWidth val="41"/>
        <c:axId val="513575696"/>
        <c:axId val="513572560"/>
      </c:barChart>
      <c:catAx>
        <c:axId val="513575696"/>
        <c:scaling>
          <c:orientation val="minMax"/>
        </c:scaling>
        <c:delete val="0"/>
        <c:axPos val="b"/>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en-US"/>
          </a:p>
        </c:txPr>
        <c:crossAx val="513572560"/>
        <c:crosses val="autoZero"/>
        <c:auto val="1"/>
        <c:lblAlgn val="ctr"/>
        <c:lblOffset val="100"/>
        <c:noMultiLvlLbl val="0"/>
      </c:catAx>
      <c:valAx>
        <c:axId val="513572560"/>
        <c:scaling>
          <c:orientation val="minMax"/>
        </c:scaling>
        <c:delete val="1"/>
        <c:axPos val="l"/>
        <c:numFmt formatCode="#,##0" sourceLinked="1"/>
        <c:majorTickMark val="none"/>
        <c:minorTickMark val="none"/>
        <c:tickLblPos val="nextTo"/>
        <c:crossAx val="513575696"/>
        <c:crosses val="autoZero"/>
        <c:crossBetween val="between"/>
      </c:valAx>
      <c:spPr>
        <a:noFill/>
        <a:ln>
          <a:noFill/>
        </a:ln>
        <a:effectLst/>
      </c:spPr>
    </c:plotArea>
    <c:plotVisOnly val="1"/>
    <c:dispBlanksAs val="gap"/>
    <c:showDLblsOverMax val="0"/>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Sheet1!$C$1</c:f>
              <c:strCache>
                <c:ptCount val="1"/>
                <c:pt idx="0">
                  <c:v>2012/2013</c:v>
                </c:pt>
              </c:strCache>
            </c:strRef>
          </c:tx>
          <c:invertIfNegative val="0"/>
          <c:cat>
            <c:strRef>
              <c:f>Sheet1!$B$2:$B$7</c:f>
              <c:strCache>
                <c:ptCount val="6"/>
                <c:pt idx="0">
                  <c:v>KPA 1</c:v>
                </c:pt>
                <c:pt idx="1">
                  <c:v>KPA 2</c:v>
                </c:pt>
                <c:pt idx="2">
                  <c:v>KPA 3</c:v>
                </c:pt>
                <c:pt idx="3">
                  <c:v>KPA 4</c:v>
                </c:pt>
                <c:pt idx="4">
                  <c:v>KPA 5</c:v>
                </c:pt>
                <c:pt idx="5">
                  <c:v>KPA 6</c:v>
                </c:pt>
              </c:strCache>
            </c:strRef>
          </c:cat>
          <c:val>
            <c:numRef>
              <c:f>Sheet1!$C$2:$C$7</c:f>
              <c:numCache>
                <c:formatCode>0%</c:formatCode>
                <c:ptCount val="6"/>
                <c:pt idx="0">
                  <c:v>0.94</c:v>
                </c:pt>
                <c:pt idx="1">
                  <c:v>0.42</c:v>
                </c:pt>
                <c:pt idx="2">
                  <c:v>0.72</c:v>
                </c:pt>
                <c:pt idx="3">
                  <c:v>0.63</c:v>
                </c:pt>
                <c:pt idx="4">
                  <c:v>0.45</c:v>
                </c:pt>
              </c:numCache>
            </c:numRef>
          </c:val>
        </c:ser>
        <c:ser>
          <c:idx val="1"/>
          <c:order val="1"/>
          <c:tx>
            <c:strRef>
              <c:f>Sheet1!$D$1</c:f>
              <c:strCache>
                <c:ptCount val="1"/>
                <c:pt idx="0">
                  <c:v>2013/2014</c:v>
                </c:pt>
              </c:strCache>
            </c:strRef>
          </c:tx>
          <c:invertIfNegative val="0"/>
          <c:cat>
            <c:strRef>
              <c:f>Sheet1!$B$2:$B$7</c:f>
              <c:strCache>
                <c:ptCount val="6"/>
                <c:pt idx="0">
                  <c:v>KPA 1</c:v>
                </c:pt>
                <c:pt idx="1">
                  <c:v>KPA 2</c:v>
                </c:pt>
                <c:pt idx="2">
                  <c:v>KPA 3</c:v>
                </c:pt>
                <c:pt idx="3">
                  <c:v>KPA 4</c:v>
                </c:pt>
                <c:pt idx="4">
                  <c:v>KPA 5</c:v>
                </c:pt>
                <c:pt idx="5">
                  <c:v>KPA 6</c:v>
                </c:pt>
              </c:strCache>
            </c:strRef>
          </c:cat>
          <c:val>
            <c:numRef>
              <c:f>Sheet1!$D$2:$D$7</c:f>
              <c:numCache>
                <c:formatCode>0%</c:formatCode>
                <c:ptCount val="6"/>
                <c:pt idx="0">
                  <c:v>0.63</c:v>
                </c:pt>
                <c:pt idx="1">
                  <c:v>0.79</c:v>
                </c:pt>
                <c:pt idx="2">
                  <c:v>0.75</c:v>
                </c:pt>
                <c:pt idx="3">
                  <c:v>0.65</c:v>
                </c:pt>
                <c:pt idx="4">
                  <c:v>0.64</c:v>
                </c:pt>
              </c:numCache>
            </c:numRef>
          </c:val>
        </c:ser>
        <c:ser>
          <c:idx val="2"/>
          <c:order val="2"/>
          <c:tx>
            <c:strRef>
              <c:f>Sheet1!$E$1</c:f>
              <c:strCache>
                <c:ptCount val="1"/>
                <c:pt idx="0">
                  <c:v>2014/2015</c:v>
                </c:pt>
              </c:strCache>
            </c:strRef>
          </c:tx>
          <c:invertIfNegative val="0"/>
          <c:cat>
            <c:strRef>
              <c:f>Sheet1!$B$2:$B$7</c:f>
              <c:strCache>
                <c:ptCount val="6"/>
                <c:pt idx="0">
                  <c:v>KPA 1</c:v>
                </c:pt>
                <c:pt idx="1">
                  <c:v>KPA 2</c:v>
                </c:pt>
                <c:pt idx="2">
                  <c:v>KPA 3</c:v>
                </c:pt>
                <c:pt idx="3">
                  <c:v>KPA 4</c:v>
                </c:pt>
                <c:pt idx="4">
                  <c:v>KPA 5</c:v>
                </c:pt>
                <c:pt idx="5">
                  <c:v>KPA 6</c:v>
                </c:pt>
              </c:strCache>
            </c:strRef>
          </c:cat>
          <c:val>
            <c:numRef>
              <c:f>Sheet1!$E$2:$E$7</c:f>
              <c:numCache>
                <c:formatCode>0%</c:formatCode>
                <c:ptCount val="6"/>
                <c:pt idx="0">
                  <c:v>0.76</c:v>
                </c:pt>
                <c:pt idx="1">
                  <c:v>0.8</c:v>
                </c:pt>
                <c:pt idx="2">
                  <c:v>0.75</c:v>
                </c:pt>
                <c:pt idx="3">
                  <c:v>0.5</c:v>
                </c:pt>
                <c:pt idx="4">
                  <c:v>0.56000000000000005</c:v>
                </c:pt>
                <c:pt idx="5">
                  <c:v>0.75</c:v>
                </c:pt>
              </c:numCache>
            </c:numRef>
          </c:val>
        </c:ser>
        <c:ser>
          <c:idx val="3"/>
          <c:order val="3"/>
          <c:tx>
            <c:strRef>
              <c:f>Sheet1!$F$1</c:f>
              <c:strCache>
                <c:ptCount val="1"/>
                <c:pt idx="0">
                  <c:v>2015/2016</c:v>
                </c:pt>
              </c:strCache>
            </c:strRef>
          </c:tx>
          <c:invertIfNegative val="0"/>
          <c:cat>
            <c:strRef>
              <c:f>Sheet1!$B$2:$B$7</c:f>
              <c:strCache>
                <c:ptCount val="6"/>
                <c:pt idx="0">
                  <c:v>KPA 1</c:v>
                </c:pt>
                <c:pt idx="1">
                  <c:v>KPA 2</c:v>
                </c:pt>
                <c:pt idx="2">
                  <c:v>KPA 3</c:v>
                </c:pt>
                <c:pt idx="3">
                  <c:v>KPA 4</c:v>
                </c:pt>
                <c:pt idx="4">
                  <c:v>KPA 5</c:v>
                </c:pt>
                <c:pt idx="5">
                  <c:v>KPA 6</c:v>
                </c:pt>
              </c:strCache>
            </c:strRef>
          </c:cat>
          <c:val>
            <c:numRef>
              <c:f>Sheet1!$F$2:$F$7</c:f>
              <c:numCache>
                <c:formatCode>0%</c:formatCode>
                <c:ptCount val="6"/>
                <c:pt idx="0">
                  <c:v>0.63</c:v>
                </c:pt>
                <c:pt idx="1">
                  <c:v>0.73</c:v>
                </c:pt>
                <c:pt idx="2">
                  <c:v>0.75</c:v>
                </c:pt>
                <c:pt idx="3">
                  <c:v>0.6</c:v>
                </c:pt>
                <c:pt idx="4">
                  <c:v>0.87</c:v>
                </c:pt>
                <c:pt idx="5">
                  <c:v>0.25</c:v>
                </c:pt>
              </c:numCache>
            </c:numRef>
          </c:val>
        </c:ser>
        <c:ser>
          <c:idx val="4"/>
          <c:order val="4"/>
          <c:tx>
            <c:strRef>
              <c:f>Sheet1!$G$1</c:f>
              <c:strCache>
                <c:ptCount val="1"/>
                <c:pt idx="0">
                  <c:v>2016/2017</c:v>
                </c:pt>
              </c:strCache>
            </c:strRef>
          </c:tx>
          <c:invertIfNegative val="0"/>
          <c:cat>
            <c:strRef>
              <c:f>Sheet1!$B$2:$B$7</c:f>
              <c:strCache>
                <c:ptCount val="6"/>
                <c:pt idx="0">
                  <c:v>KPA 1</c:v>
                </c:pt>
                <c:pt idx="1">
                  <c:v>KPA 2</c:v>
                </c:pt>
                <c:pt idx="2">
                  <c:v>KPA 3</c:v>
                </c:pt>
                <c:pt idx="3">
                  <c:v>KPA 4</c:v>
                </c:pt>
                <c:pt idx="4">
                  <c:v>KPA 5</c:v>
                </c:pt>
                <c:pt idx="5">
                  <c:v>KPA 6</c:v>
                </c:pt>
              </c:strCache>
            </c:strRef>
          </c:cat>
          <c:val>
            <c:numRef>
              <c:f>Sheet1!$G$2:$G$7</c:f>
              <c:numCache>
                <c:formatCode>0%</c:formatCode>
                <c:ptCount val="6"/>
                <c:pt idx="0">
                  <c:v>0.59</c:v>
                </c:pt>
                <c:pt idx="1">
                  <c:v>0.45</c:v>
                </c:pt>
                <c:pt idx="2">
                  <c:v>0.86</c:v>
                </c:pt>
                <c:pt idx="3">
                  <c:v>0.67</c:v>
                </c:pt>
                <c:pt idx="4">
                  <c:v>0.64</c:v>
                </c:pt>
                <c:pt idx="5">
                  <c:v>1</c:v>
                </c:pt>
              </c:numCache>
            </c:numRef>
          </c:val>
        </c:ser>
        <c:dLbls>
          <c:showLegendKey val="0"/>
          <c:showVal val="0"/>
          <c:showCatName val="0"/>
          <c:showSerName val="0"/>
          <c:showPercent val="0"/>
          <c:showBubbleSize val="0"/>
        </c:dLbls>
        <c:gapWidth val="150"/>
        <c:axId val="512092032"/>
        <c:axId val="512093208"/>
      </c:barChart>
      <c:catAx>
        <c:axId val="512092032"/>
        <c:scaling>
          <c:orientation val="minMax"/>
        </c:scaling>
        <c:delete val="0"/>
        <c:axPos val="b"/>
        <c:numFmt formatCode="General" sourceLinked="0"/>
        <c:majorTickMark val="out"/>
        <c:minorTickMark val="none"/>
        <c:tickLblPos val="nextTo"/>
        <c:crossAx val="512093208"/>
        <c:crosses val="autoZero"/>
        <c:auto val="1"/>
        <c:lblAlgn val="ctr"/>
        <c:lblOffset val="100"/>
        <c:noMultiLvlLbl val="0"/>
      </c:catAx>
      <c:valAx>
        <c:axId val="512093208"/>
        <c:scaling>
          <c:orientation val="minMax"/>
        </c:scaling>
        <c:delete val="0"/>
        <c:axPos val="l"/>
        <c:majorGridlines/>
        <c:numFmt formatCode="0%" sourceLinked="1"/>
        <c:majorTickMark val="out"/>
        <c:minorTickMark val="none"/>
        <c:tickLblPos val="nextTo"/>
        <c:crossAx val="512092032"/>
        <c:crosses val="autoZero"/>
        <c:crossBetween val="between"/>
      </c:valAx>
    </c:plotArea>
    <c:legend>
      <c:legendPos val="r"/>
      <c:layout>
        <c:manualLayout>
          <c:xMode val="edge"/>
          <c:yMode val="edge"/>
          <c:x val="0.84397109215515886"/>
          <c:y val="0.42824240719910373"/>
          <c:w val="0.12306741795565965"/>
          <c:h val="0.39039104891681287"/>
        </c:manualLayout>
      </c:layout>
      <c:overlay val="0"/>
    </c:legend>
    <c:plotVisOnly val="1"/>
    <c:dispBlanksAs val="gap"/>
    <c:showDLblsOverMax val="0"/>
  </c:chart>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7">
  <a:schemeClr val="accent4"/>
</cs:colorStyle>
</file>

<file path=word/charts/colors3.xml><?xml version="1.0" encoding="utf-8"?>
<cs:colorStyle xmlns:cs="http://schemas.microsoft.com/office/drawing/2012/chartStyle" xmlns:a="http://schemas.openxmlformats.org/drawingml/2006/main" meth="withinLinear" id="17">
  <a:schemeClr val="accent4"/>
</cs:colorStyle>
</file>

<file path=word/charts/colors4.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style1.xml><?xml version="1.0" encoding="utf-8"?>
<cs:chartStyle xmlns:cs="http://schemas.microsoft.com/office/drawing/2012/chartStyle" xmlns:a="http://schemas.openxmlformats.org/drawingml/2006/main" id="217">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04">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a:effectLst/>
    </cs:defRPr>
  </cs:categoryAxis>
  <cs:chartArea>
    <cs:lnRef idx="0"/>
    <cs:fillRef idx="0"/>
    <cs:effectRef idx="0"/>
    <cs:fontRef idx="minor">
      <a:schemeClr val="dk1"/>
    </cs:fontRef>
    <cs: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cs:spPr>
    <cs:defRPr sz="1000" kern="1200"/>
  </cs:chartArea>
  <cs:dataLabel>
    <cs:lnRef idx="0"/>
    <cs:fillRef idx="0"/>
    <cs:effectRef idx="0"/>
    <cs:fontRef idx="minor">
      <a:schemeClr val="lt1"/>
    </cs:fontRef>
    <cs:spPr/>
    <cs:defRPr sz="10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10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
  <cs:dataPoint3D>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3D>
  <cs:dataPointLine>
    <cs:lnRef idx="0">
      <cs:styleClr val="auto"/>
    </cs:lnRef>
    <cs:fillRef idx="0"/>
    <cs:effectRef idx="0"/>
    <cs:fontRef idx="minor">
      <a:schemeClr val="dk1"/>
    </cs:fontRef>
    <cs:spPr>
      <a:ln w="28575" cap="rnd">
        <a:gradFill>
          <a:gsLst>
            <a:gs pos="0">
              <a:schemeClr val="phClr"/>
            </a:gs>
            <a:gs pos="100000">
              <a:schemeClr val="phClr">
                <a:lumMod val="84000"/>
              </a:schemeClr>
            </a:gs>
          </a:gsLst>
          <a:lin ang="5400000" scaled="1"/>
        </a:gradFill>
        <a:round/>
      </a:ln>
    </cs:spPr>
  </cs:dataPointLine>
  <cs:dataPointMarker>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35000"/>
          <a:lumOff val="6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50000"/>
            <a:lumOff val="50000"/>
          </a:schemeClr>
        </a:solidFill>
        <a:round/>
      </a:ln>
    </cs:spPr>
  </cs:dropLine>
  <cs:errorBar>
    <cs:lnRef idx="0"/>
    <cs:fillRef idx="0"/>
    <cs:effectRef idx="0"/>
    <cs:fontRef idx="minor">
      <a:schemeClr val="dk1"/>
    </cs:fontRef>
    <cs:spPr>
      <a:ln w="9525">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50000"/>
            <a:lumOff val="50000"/>
          </a:schemeClr>
        </a:solidFill>
        <a:round/>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65000"/>
        <a:lumOff val="35000"/>
      </a:schemeClr>
    </cs:fontRef>
    <cs:defRPr kern="1200">
      <a:effectLst/>
    </cs:defRPr>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lumMod val="95000"/>
        </a:schemeClr>
      </a:solidFill>
      <a:ln w="9525">
        <a:solidFill>
          <a:schemeClr val="dk1">
            <a:lumMod val="15000"/>
            <a:lumOff val="85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4">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a:effectLst/>
    </cs:defRPr>
  </cs:categoryAxis>
  <cs:chartArea>
    <cs:lnRef idx="0"/>
    <cs:fillRef idx="0"/>
    <cs:effectRef idx="0"/>
    <cs:fontRef idx="minor">
      <a:schemeClr val="dk1"/>
    </cs:fontRef>
    <cs: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cs:spPr>
    <cs:defRPr sz="1000" kern="1200"/>
  </cs:chartArea>
  <cs:dataLabel>
    <cs:lnRef idx="0"/>
    <cs:fillRef idx="0"/>
    <cs:effectRef idx="0"/>
    <cs:fontRef idx="minor">
      <a:schemeClr val="lt1"/>
    </cs:fontRef>
    <cs:spPr/>
    <cs:defRPr sz="10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10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
  <cs:dataPoint3D>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3D>
  <cs:dataPointLine>
    <cs:lnRef idx="0">
      <cs:styleClr val="auto"/>
    </cs:lnRef>
    <cs:fillRef idx="0"/>
    <cs:effectRef idx="0"/>
    <cs:fontRef idx="minor">
      <a:schemeClr val="dk1"/>
    </cs:fontRef>
    <cs:spPr>
      <a:ln w="28575" cap="rnd">
        <a:gradFill>
          <a:gsLst>
            <a:gs pos="0">
              <a:schemeClr val="phClr"/>
            </a:gs>
            <a:gs pos="100000">
              <a:schemeClr val="phClr">
                <a:lumMod val="84000"/>
              </a:schemeClr>
            </a:gs>
          </a:gsLst>
          <a:lin ang="5400000" scaled="1"/>
        </a:gradFill>
        <a:round/>
      </a:ln>
    </cs:spPr>
  </cs:dataPointLine>
  <cs:dataPointMarker>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35000"/>
          <a:lumOff val="6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50000"/>
            <a:lumOff val="50000"/>
          </a:schemeClr>
        </a:solidFill>
        <a:round/>
      </a:ln>
    </cs:spPr>
  </cs:dropLine>
  <cs:errorBar>
    <cs:lnRef idx="0"/>
    <cs:fillRef idx="0"/>
    <cs:effectRef idx="0"/>
    <cs:fontRef idx="minor">
      <a:schemeClr val="dk1"/>
    </cs:fontRef>
    <cs:spPr>
      <a:ln w="9525">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50000"/>
            <a:lumOff val="50000"/>
          </a:schemeClr>
        </a:solidFill>
        <a:round/>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65000"/>
        <a:lumOff val="35000"/>
      </a:schemeClr>
    </cs:fontRef>
    <cs:defRPr kern="1200">
      <a:effectLst/>
    </cs:defRPr>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lumMod val="95000"/>
        </a:schemeClr>
      </a:solidFill>
      <a:ln w="9525">
        <a:solidFill>
          <a:schemeClr val="dk1">
            <a:lumMod val="15000"/>
            <a:lumOff val="85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19883CA-4D14-49D3-937D-D506743D902D}" type="doc">
      <dgm:prSet loTypeId="urn:microsoft.com/office/officeart/2009/3/layout/StepUpProcess" loCatId="process" qsTypeId="urn:microsoft.com/office/officeart/2005/8/quickstyle/simple1" qsCatId="simple" csTypeId="urn:microsoft.com/office/officeart/2005/8/colors/colorful5" csCatId="colorful" phldr="1"/>
      <dgm:spPr/>
      <dgm:t>
        <a:bodyPr/>
        <a:lstStyle/>
        <a:p>
          <a:endParaRPr lang="en-ZA"/>
        </a:p>
      </dgm:t>
    </dgm:pt>
    <dgm:pt modelId="{5F038511-29E7-437D-891F-19C3D2D01A55}">
      <dgm:prSet phldrT="[Text]" custT="1"/>
      <dgm:spPr/>
      <dgm:t>
        <a:bodyPr/>
        <a:lstStyle/>
        <a:p>
          <a:pPr algn="l"/>
          <a:r>
            <a:rPr lang="en-ZA" sz="1200" b="1"/>
            <a:t>IDP</a:t>
          </a:r>
        </a:p>
        <a:p>
          <a:pPr algn="l"/>
          <a:r>
            <a:rPr lang="en-ZA" sz="900" b="1"/>
            <a:t>(5 YEAR STRATEGY) </a:t>
          </a:r>
        </a:p>
      </dgm:t>
    </dgm:pt>
    <dgm:pt modelId="{DAC36A0E-2569-4DA5-8B3C-18F940FDD65F}" type="parTrans" cxnId="{F93A9690-95FB-4054-8407-50857E74415B}">
      <dgm:prSet/>
      <dgm:spPr/>
      <dgm:t>
        <a:bodyPr/>
        <a:lstStyle/>
        <a:p>
          <a:endParaRPr lang="en-ZA"/>
        </a:p>
      </dgm:t>
    </dgm:pt>
    <dgm:pt modelId="{F4F1526E-C04F-4ADF-A6B3-29CDF5712766}" type="sibTrans" cxnId="{F93A9690-95FB-4054-8407-50857E74415B}">
      <dgm:prSet/>
      <dgm:spPr/>
      <dgm:t>
        <a:bodyPr/>
        <a:lstStyle/>
        <a:p>
          <a:endParaRPr lang="en-ZA"/>
        </a:p>
      </dgm:t>
    </dgm:pt>
    <dgm:pt modelId="{850FB260-EAF1-4363-A1A5-D357A117C4C5}">
      <dgm:prSet phldrT="[Text]" custT="1"/>
      <dgm:spPr/>
      <dgm:t>
        <a:bodyPr/>
        <a:lstStyle/>
        <a:p>
          <a:r>
            <a:rPr lang="en-ZA" sz="1200" b="1"/>
            <a:t>BUDGET</a:t>
          </a:r>
        </a:p>
        <a:p>
          <a:r>
            <a:rPr lang="en-ZA" sz="900" b="1"/>
            <a:t>(3 YEAR BUDGET)</a:t>
          </a:r>
        </a:p>
      </dgm:t>
    </dgm:pt>
    <dgm:pt modelId="{E277CB80-2440-4DC8-9CE4-49CEE22AA903}" type="parTrans" cxnId="{A0C27D1D-C0BE-4F28-ADF1-4D9E027FFB80}">
      <dgm:prSet/>
      <dgm:spPr/>
      <dgm:t>
        <a:bodyPr/>
        <a:lstStyle/>
        <a:p>
          <a:endParaRPr lang="en-ZA"/>
        </a:p>
      </dgm:t>
    </dgm:pt>
    <dgm:pt modelId="{907B9B0A-AE01-4A97-AC38-466A7FE6AFA1}" type="sibTrans" cxnId="{A0C27D1D-C0BE-4F28-ADF1-4D9E027FFB80}">
      <dgm:prSet/>
      <dgm:spPr/>
      <dgm:t>
        <a:bodyPr/>
        <a:lstStyle/>
        <a:p>
          <a:endParaRPr lang="en-ZA"/>
        </a:p>
      </dgm:t>
    </dgm:pt>
    <dgm:pt modelId="{293EAAA1-C783-437E-9EAD-86C57CB8C2C4}">
      <dgm:prSet phldrT="[Text]" custT="1"/>
      <dgm:spPr/>
      <dgm:t>
        <a:bodyPr/>
        <a:lstStyle/>
        <a:p>
          <a:r>
            <a:rPr lang="en-ZA" sz="1200" b="1"/>
            <a:t>SDBIP</a:t>
          </a:r>
        </a:p>
        <a:p>
          <a:r>
            <a:rPr lang="en-ZA" sz="900" b="1"/>
            <a:t>(ANNUAL PLAN TO IMPLEMENT)</a:t>
          </a:r>
        </a:p>
      </dgm:t>
    </dgm:pt>
    <dgm:pt modelId="{443C2979-C11F-4A25-B063-810F9FB35B06}" type="parTrans" cxnId="{FB75CCF6-2527-43D7-B5B1-21207B7214EC}">
      <dgm:prSet/>
      <dgm:spPr/>
      <dgm:t>
        <a:bodyPr/>
        <a:lstStyle/>
        <a:p>
          <a:endParaRPr lang="en-ZA"/>
        </a:p>
      </dgm:t>
    </dgm:pt>
    <dgm:pt modelId="{4F7D9154-3AD8-4FCD-901A-4BD55F7BB2F4}" type="sibTrans" cxnId="{FB75CCF6-2527-43D7-B5B1-21207B7214EC}">
      <dgm:prSet/>
      <dgm:spPr/>
      <dgm:t>
        <a:bodyPr/>
        <a:lstStyle/>
        <a:p>
          <a:endParaRPr lang="en-ZA"/>
        </a:p>
      </dgm:t>
    </dgm:pt>
    <dgm:pt modelId="{4FC7B977-86E9-45BB-A023-83994617AB74}">
      <dgm:prSet phldrT="[Text]" custT="1"/>
      <dgm:spPr/>
      <dgm:t>
        <a:bodyPr/>
        <a:lstStyle/>
        <a:p>
          <a:r>
            <a:rPr lang="en-ZA" sz="1200" b="1"/>
            <a:t>IN-YEAR REPORTING</a:t>
          </a:r>
        </a:p>
        <a:p>
          <a:r>
            <a:rPr lang="en-ZA" sz="900" b="1"/>
            <a:t>(MONITORING)</a:t>
          </a:r>
        </a:p>
      </dgm:t>
    </dgm:pt>
    <dgm:pt modelId="{879BC128-958A-4657-A5AE-DC6568325A47}" type="parTrans" cxnId="{E701D005-3669-418D-A1AB-A35C5BD80885}">
      <dgm:prSet/>
      <dgm:spPr/>
      <dgm:t>
        <a:bodyPr/>
        <a:lstStyle/>
        <a:p>
          <a:endParaRPr lang="en-ZA"/>
        </a:p>
      </dgm:t>
    </dgm:pt>
    <dgm:pt modelId="{B4FB7F83-DBA6-434F-B366-689965EDB567}" type="sibTrans" cxnId="{E701D005-3669-418D-A1AB-A35C5BD80885}">
      <dgm:prSet/>
      <dgm:spPr/>
      <dgm:t>
        <a:bodyPr/>
        <a:lstStyle/>
        <a:p>
          <a:endParaRPr lang="en-ZA"/>
        </a:p>
      </dgm:t>
    </dgm:pt>
    <dgm:pt modelId="{C2B28B9A-6C25-4A51-A70C-20940BF638AA}">
      <dgm:prSet phldrT="[Text]" custT="1"/>
      <dgm:spPr/>
      <dgm:t>
        <a:bodyPr/>
        <a:lstStyle/>
        <a:p>
          <a:r>
            <a:rPr lang="en-ZA" sz="1200" b="1"/>
            <a:t>ANNUAL REPORTS</a:t>
          </a:r>
        </a:p>
      </dgm:t>
    </dgm:pt>
    <dgm:pt modelId="{D7BB3936-0007-42ED-B878-5958BB5E0DFB}" type="parTrans" cxnId="{52228F21-B21B-460E-A429-A319DE273D58}">
      <dgm:prSet/>
      <dgm:spPr/>
      <dgm:t>
        <a:bodyPr/>
        <a:lstStyle/>
        <a:p>
          <a:endParaRPr lang="en-ZA"/>
        </a:p>
      </dgm:t>
    </dgm:pt>
    <dgm:pt modelId="{E1DE51DD-ADE2-46FD-B946-18A08F3A41BC}" type="sibTrans" cxnId="{52228F21-B21B-460E-A429-A319DE273D58}">
      <dgm:prSet/>
      <dgm:spPr/>
      <dgm:t>
        <a:bodyPr/>
        <a:lstStyle/>
        <a:p>
          <a:endParaRPr lang="en-ZA"/>
        </a:p>
      </dgm:t>
    </dgm:pt>
    <dgm:pt modelId="{477E8684-9AF6-4F56-88B4-1CC2ED78BDDC}">
      <dgm:prSet phldrT="[Text]" custT="1"/>
      <dgm:spPr/>
      <dgm:t>
        <a:bodyPr/>
        <a:lstStyle/>
        <a:p>
          <a:r>
            <a:rPr lang="en-ZA" sz="1200" b="1"/>
            <a:t>ANNUAL FINANCIAL STATEMENTS</a:t>
          </a:r>
        </a:p>
        <a:p>
          <a:r>
            <a:rPr lang="en-ZA" sz="900" b="1"/>
            <a:t>(OVERSIGHT REPORTS)</a:t>
          </a:r>
        </a:p>
      </dgm:t>
    </dgm:pt>
    <dgm:pt modelId="{074D14C2-6135-456F-AA72-ABFD0FDB6DDB}" type="parTrans" cxnId="{B931F2BA-6D75-498E-8AD3-CAF6BDF1F2DD}">
      <dgm:prSet/>
      <dgm:spPr/>
      <dgm:t>
        <a:bodyPr/>
        <a:lstStyle/>
        <a:p>
          <a:endParaRPr lang="en-ZA"/>
        </a:p>
      </dgm:t>
    </dgm:pt>
    <dgm:pt modelId="{868B489C-FA17-4909-9F34-DAEE4FE532F7}" type="sibTrans" cxnId="{B931F2BA-6D75-498E-8AD3-CAF6BDF1F2DD}">
      <dgm:prSet/>
      <dgm:spPr/>
      <dgm:t>
        <a:bodyPr/>
        <a:lstStyle/>
        <a:p>
          <a:endParaRPr lang="en-ZA"/>
        </a:p>
      </dgm:t>
    </dgm:pt>
    <dgm:pt modelId="{173297C4-F409-4463-A6FA-DA8E377629E8}" type="pres">
      <dgm:prSet presAssocID="{719883CA-4D14-49D3-937D-D506743D902D}" presName="rootnode" presStyleCnt="0">
        <dgm:presLayoutVars>
          <dgm:chMax/>
          <dgm:chPref/>
          <dgm:dir/>
          <dgm:animLvl val="lvl"/>
        </dgm:presLayoutVars>
      </dgm:prSet>
      <dgm:spPr/>
      <dgm:t>
        <a:bodyPr/>
        <a:lstStyle/>
        <a:p>
          <a:endParaRPr lang="en-ZA"/>
        </a:p>
      </dgm:t>
    </dgm:pt>
    <dgm:pt modelId="{CB8FFF90-4630-4E8C-8E2F-9E307AD5EBE6}" type="pres">
      <dgm:prSet presAssocID="{5F038511-29E7-437D-891F-19C3D2D01A55}" presName="composite" presStyleCnt="0"/>
      <dgm:spPr/>
    </dgm:pt>
    <dgm:pt modelId="{56AB00F2-CED2-4DBB-B89C-42479483869F}" type="pres">
      <dgm:prSet presAssocID="{5F038511-29E7-437D-891F-19C3D2D01A55}" presName="LShape" presStyleLbl="alignNode1" presStyleIdx="0" presStyleCnt="11"/>
      <dgm:spPr/>
    </dgm:pt>
    <dgm:pt modelId="{43A62342-BA63-4EA9-9542-96BCE3D9236A}" type="pres">
      <dgm:prSet presAssocID="{5F038511-29E7-437D-891F-19C3D2D01A55}" presName="ParentText" presStyleLbl="revTx" presStyleIdx="0" presStyleCnt="6">
        <dgm:presLayoutVars>
          <dgm:chMax val="0"/>
          <dgm:chPref val="0"/>
          <dgm:bulletEnabled val="1"/>
        </dgm:presLayoutVars>
      </dgm:prSet>
      <dgm:spPr/>
      <dgm:t>
        <a:bodyPr/>
        <a:lstStyle/>
        <a:p>
          <a:endParaRPr lang="en-ZA"/>
        </a:p>
      </dgm:t>
    </dgm:pt>
    <dgm:pt modelId="{8BDCE32C-2E9E-487D-9951-14D4F33080CF}" type="pres">
      <dgm:prSet presAssocID="{5F038511-29E7-437D-891F-19C3D2D01A55}" presName="Triangle" presStyleLbl="alignNode1" presStyleIdx="1" presStyleCnt="11"/>
      <dgm:spPr/>
    </dgm:pt>
    <dgm:pt modelId="{D839E5D9-CA6F-438B-B93F-F16ADA1382D5}" type="pres">
      <dgm:prSet presAssocID="{F4F1526E-C04F-4ADF-A6B3-29CDF5712766}" presName="sibTrans" presStyleCnt="0"/>
      <dgm:spPr/>
    </dgm:pt>
    <dgm:pt modelId="{B8DC82D3-7392-47F7-BFDD-A3DC222BC966}" type="pres">
      <dgm:prSet presAssocID="{F4F1526E-C04F-4ADF-A6B3-29CDF5712766}" presName="space" presStyleCnt="0"/>
      <dgm:spPr/>
    </dgm:pt>
    <dgm:pt modelId="{B88C198A-D014-4DF6-A33E-563D77464A93}" type="pres">
      <dgm:prSet presAssocID="{850FB260-EAF1-4363-A1A5-D357A117C4C5}" presName="composite" presStyleCnt="0"/>
      <dgm:spPr/>
    </dgm:pt>
    <dgm:pt modelId="{4556307E-B2B6-4BB2-9F56-2F755685EDB0}" type="pres">
      <dgm:prSet presAssocID="{850FB260-EAF1-4363-A1A5-D357A117C4C5}" presName="LShape" presStyleLbl="alignNode1" presStyleIdx="2" presStyleCnt="11" custLinFactNeighborX="-3075" custLinFactNeighborY="-6823"/>
      <dgm:spPr/>
    </dgm:pt>
    <dgm:pt modelId="{4B7A39E4-4E1A-412C-99FE-6AD203D4E5F7}" type="pres">
      <dgm:prSet presAssocID="{850FB260-EAF1-4363-A1A5-D357A117C4C5}" presName="ParentText" presStyleLbl="revTx" presStyleIdx="1" presStyleCnt="6" custScaleX="112156">
        <dgm:presLayoutVars>
          <dgm:chMax val="0"/>
          <dgm:chPref val="0"/>
          <dgm:bulletEnabled val="1"/>
        </dgm:presLayoutVars>
      </dgm:prSet>
      <dgm:spPr/>
      <dgm:t>
        <a:bodyPr/>
        <a:lstStyle/>
        <a:p>
          <a:endParaRPr lang="en-ZA"/>
        </a:p>
      </dgm:t>
    </dgm:pt>
    <dgm:pt modelId="{4F7B48B5-F6C1-419B-AA86-3A57166955C2}" type="pres">
      <dgm:prSet presAssocID="{850FB260-EAF1-4363-A1A5-D357A117C4C5}" presName="Triangle" presStyleLbl="alignNode1" presStyleIdx="3" presStyleCnt="11"/>
      <dgm:spPr/>
    </dgm:pt>
    <dgm:pt modelId="{EF14A716-47A6-4847-893C-199B976BB6A0}" type="pres">
      <dgm:prSet presAssocID="{907B9B0A-AE01-4A97-AC38-466A7FE6AFA1}" presName="sibTrans" presStyleCnt="0"/>
      <dgm:spPr/>
    </dgm:pt>
    <dgm:pt modelId="{A3CD941C-2D34-47F9-A677-477EB775D43C}" type="pres">
      <dgm:prSet presAssocID="{907B9B0A-AE01-4A97-AC38-466A7FE6AFA1}" presName="space" presStyleCnt="0"/>
      <dgm:spPr/>
    </dgm:pt>
    <dgm:pt modelId="{45D85EB3-1E1F-4F34-A009-038022C22E0A}" type="pres">
      <dgm:prSet presAssocID="{293EAAA1-C783-437E-9EAD-86C57CB8C2C4}" presName="composite" presStyleCnt="0"/>
      <dgm:spPr/>
    </dgm:pt>
    <dgm:pt modelId="{AFDAE584-6D59-4202-B4E5-5C934C4A4811}" type="pres">
      <dgm:prSet presAssocID="{293EAAA1-C783-437E-9EAD-86C57CB8C2C4}" presName="LShape" presStyleLbl="alignNode1" presStyleIdx="4" presStyleCnt="11" custLinFactNeighborX="-2050" custLinFactNeighborY="-3457"/>
      <dgm:spPr/>
    </dgm:pt>
    <dgm:pt modelId="{5730BDCA-5A03-41ED-8738-36B5A09824E5}" type="pres">
      <dgm:prSet presAssocID="{293EAAA1-C783-437E-9EAD-86C57CB8C2C4}" presName="ParentText" presStyleLbl="revTx" presStyleIdx="2" presStyleCnt="6" custScaleX="114191" custLinFactNeighborX="9119" custLinFactNeighborY="-1261">
        <dgm:presLayoutVars>
          <dgm:chMax val="0"/>
          <dgm:chPref val="0"/>
          <dgm:bulletEnabled val="1"/>
        </dgm:presLayoutVars>
      </dgm:prSet>
      <dgm:spPr/>
      <dgm:t>
        <a:bodyPr/>
        <a:lstStyle/>
        <a:p>
          <a:endParaRPr lang="en-ZA"/>
        </a:p>
      </dgm:t>
    </dgm:pt>
    <dgm:pt modelId="{F483809A-5CFA-4207-A5B0-8458F0AF05FA}" type="pres">
      <dgm:prSet presAssocID="{293EAAA1-C783-437E-9EAD-86C57CB8C2C4}" presName="Triangle" presStyleLbl="alignNode1" presStyleIdx="5" presStyleCnt="11"/>
      <dgm:spPr/>
    </dgm:pt>
    <dgm:pt modelId="{D0C6BE49-4EE3-413E-8295-5EB14FBA4059}" type="pres">
      <dgm:prSet presAssocID="{4F7D9154-3AD8-4FCD-901A-4BD55F7BB2F4}" presName="sibTrans" presStyleCnt="0"/>
      <dgm:spPr/>
    </dgm:pt>
    <dgm:pt modelId="{EF02D57A-59C3-4D17-BC55-CC1F1066EDEF}" type="pres">
      <dgm:prSet presAssocID="{4F7D9154-3AD8-4FCD-901A-4BD55F7BB2F4}" presName="space" presStyleCnt="0"/>
      <dgm:spPr/>
    </dgm:pt>
    <dgm:pt modelId="{EEFABD16-C8D1-4C5B-B2E7-6E23AD3E55DA}" type="pres">
      <dgm:prSet presAssocID="{4FC7B977-86E9-45BB-A023-83994617AB74}" presName="composite" presStyleCnt="0"/>
      <dgm:spPr/>
    </dgm:pt>
    <dgm:pt modelId="{4FB8BD71-9278-412C-969E-06E306A7C5A2}" type="pres">
      <dgm:prSet presAssocID="{4FC7B977-86E9-45BB-A023-83994617AB74}" presName="LShape" presStyleLbl="alignNode1" presStyleIdx="6" presStyleCnt="11"/>
      <dgm:spPr/>
    </dgm:pt>
    <dgm:pt modelId="{DC0ECF76-3EBF-4725-B5E4-78DC81A2B7B3}" type="pres">
      <dgm:prSet presAssocID="{4FC7B977-86E9-45BB-A023-83994617AB74}" presName="ParentText" presStyleLbl="revTx" presStyleIdx="3" presStyleCnt="6" custScaleX="117970" custLinFactNeighborX="9306" custLinFactNeighborY="6067">
        <dgm:presLayoutVars>
          <dgm:chMax val="0"/>
          <dgm:chPref val="0"/>
          <dgm:bulletEnabled val="1"/>
        </dgm:presLayoutVars>
      </dgm:prSet>
      <dgm:spPr/>
      <dgm:t>
        <a:bodyPr/>
        <a:lstStyle/>
        <a:p>
          <a:endParaRPr lang="en-ZA"/>
        </a:p>
      </dgm:t>
    </dgm:pt>
    <dgm:pt modelId="{0DAB3830-8B96-41BE-B55D-B3B15042FF65}" type="pres">
      <dgm:prSet presAssocID="{4FC7B977-86E9-45BB-A023-83994617AB74}" presName="Triangle" presStyleLbl="alignNode1" presStyleIdx="7" presStyleCnt="11"/>
      <dgm:spPr/>
    </dgm:pt>
    <dgm:pt modelId="{D5E07B31-24C4-4814-B7CE-27EB2B4D0A17}" type="pres">
      <dgm:prSet presAssocID="{B4FB7F83-DBA6-434F-B366-689965EDB567}" presName="sibTrans" presStyleCnt="0"/>
      <dgm:spPr/>
    </dgm:pt>
    <dgm:pt modelId="{451E999A-294F-409B-A40F-28C0B3C15AB0}" type="pres">
      <dgm:prSet presAssocID="{B4FB7F83-DBA6-434F-B366-689965EDB567}" presName="space" presStyleCnt="0"/>
      <dgm:spPr/>
    </dgm:pt>
    <dgm:pt modelId="{470957AC-C079-426E-96B3-AA6AEAFA4FE0}" type="pres">
      <dgm:prSet presAssocID="{477E8684-9AF6-4F56-88B4-1CC2ED78BDDC}" presName="composite" presStyleCnt="0"/>
      <dgm:spPr/>
    </dgm:pt>
    <dgm:pt modelId="{62BDA842-F1D8-4EC7-B612-98D6435951F1}" type="pres">
      <dgm:prSet presAssocID="{477E8684-9AF6-4F56-88B4-1CC2ED78BDDC}" presName="LShape" presStyleLbl="alignNode1" presStyleIdx="8" presStyleCnt="11" custLinFactNeighborX="-4100" custLinFactNeighborY="10234"/>
      <dgm:spPr/>
    </dgm:pt>
    <dgm:pt modelId="{35980F07-4A56-4DB0-B83D-C6C64A4C7D1F}" type="pres">
      <dgm:prSet presAssocID="{477E8684-9AF6-4F56-88B4-1CC2ED78BDDC}" presName="ParentText" presStyleLbl="revTx" presStyleIdx="4" presStyleCnt="6" custScaleX="117932">
        <dgm:presLayoutVars>
          <dgm:chMax val="0"/>
          <dgm:chPref val="0"/>
          <dgm:bulletEnabled val="1"/>
        </dgm:presLayoutVars>
      </dgm:prSet>
      <dgm:spPr/>
      <dgm:t>
        <a:bodyPr/>
        <a:lstStyle/>
        <a:p>
          <a:endParaRPr lang="en-ZA"/>
        </a:p>
      </dgm:t>
    </dgm:pt>
    <dgm:pt modelId="{191E283F-EE3B-480A-9BA7-80E355BE8CB5}" type="pres">
      <dgm:prSet presAssocID="{477E8684-9AF6-4F56-88B4-1CC2ED78BDDC}" presName="Triangle" presStyleLbl="alignNode1" presStyleIdx="9" presStyleCnt="11"/>
      <dgm:spPr/>
    </dgm:pt>
    <dgm:pt modelId="{4F0BDBE0-AC77-4EA2-A737-8C4FF54A1859}" type="pres">
      <dgm:prSet presAssocID="{868B489C-FA17-4909-9F34-DAEE4FE532F7}" presName="sibTrans" presStyleCnt="0"/>
      <dgm:spPr/>
    </dgm:pt>
    <dgm:pt modelId="{0A72C7E5-26C7-46A4-9C67-0E1E280047AE}" type="pres">
      <dgm:prSet presAssocID="{868B489C-FA17-4909-9F34-DAEE4FE532F7}" presName="space" presStyleCnt="0"/>
      <dgm:spPr/>
    </dgm:pt>
    <dgm:pt modelId="{6C586F55-6508-40D0-BFF1-CCCF21BD3452}" type="pres">
      <dgm:prSet presAssocID="{C2B28B9A-6C25-4A51-A70C-20940BF638AA}" presName="composite" presStyleCnt="0"/>
      <dgm:spPr/>
    </dgm:pt>
    <dgm:pt modelId="{4073F964-B36B-472D-908B-5AC70AB0ED13}" type="pres">
      <dgm:prSet presAssocID="{C2B28B9A-6C25-4A51-A70C-20940BF638AA}" presName="LShape" presStyleLbl="alignNode1" presStyleIdx="10" presStyleCnt="11"/>
      <dgm:spPr/>
    </dgm:pt>
    <dgm:pt modelId="{BF03B6EE-AD8A-4B1F-9E7F-2B37DECF12E2}" type="pres">
      <dgm:prSet presAssocID="{C2B28B9A-6C25-4A51-A70C-20940BF638AA}" presName="ParentText" presStyleLbl="revTx" presStyleIdx="5" presStyleCnt="6">
        <dgm:presLayoutVars>
          <dgm:chMax val="0"/>
          <dgm:chPref val="0"/>
          <dgm:bulletEnabled val="1"/>
        </dgm:presLayoutVars>
      </dgm:prSet>
      <dgm:spPr/>
      <dgm:t>
        <a:bodyPr/>
        <a:lstStyle/>
        <a:p>
          <a:endParaRPr lang="en-ZA"/>
        </a:p>
      </dgm:t>
    </dgm:pt>
  </dgm:ptLst>
  <dgm:cxnLst>
    <dgm:cxn modelId="{B3981E54-ADD3-48A4-ADF6-AB8FBE817494}" type="presOf" srcId="{C2B28B9A-6C25-4A51-A70C-20940BF638AA}" destId="{BF03B6EE-AD8A-4B1F-9E7F-2B37DECF12E2}" srcOrd="0" destOrd="0" presId="urn:microsoft.com/office/officeart/2009/3/layout/StepUpProcess"/>
    <dgm:cxn modelId="{FB75CCF6-2527-43D7-B5B1-21207B7214EC}" srcId="{719883CA-4D14-49D3-937D-D506743D902D}" destId="{293EAAA1-C783-437E-9EAD-86C57CB8C2C4}" srcOrd="2" destOrd="0" parTransId="{443C2979-C11F-4A25-B063-810F9FB35B06}" sibTransId="{4F7D9154-3AD8-4FCD-901A-4BD55F7BB2F4}"/>
    <dgm:cxn modelId="{A0C27D1D-C0BE-4F28-ADF1-4D9E027FFB80}" srcId="{719883CA-4D14-49D3-937D-D506743D902D}" destId="{850FB260-EAF1-4363-A1A5-D357A117C4C5}" srcOrd="1" destOrd="0" parTransId="{E277CB80-2440-4DC8-9CE4-49CEE22AA903}" sibTransId="{907B9B0A-AE01-4A97-AC38-466A7FE6AFA1}"/>
    <dgm:cxn modelId="{E51EDC29-931A-4AFC-B620-DFA1D92E0882}" type="presOf" srcId="{4FC7B977-86E9-45BB-A023-83994617AB74}" destId="{DC0ECF76-3EBF-4725-B5E4-78DC81A2B7B3}" srcOrd="0" destOrd="0" presId="urn:microsoft.com/office/officeart/2009/3/layout/StepUpProcess"/>
    <dgm:cxn modelId="{B931F2BA-6D75-498E-8AD3-CAF6BDF1F2DD}" srcId="{719883CA-4D14-49D3-937D-D506743D902D}" destId="{477E8684-9AF6-4F56-88B4-1CC2ED78BDDC}" srcOrd="4" destOrd="0" parTransId="{074D14C2-6135-456F-AA72-ABFD0FDB6DDB}" sibTransId="{868B489C-FA17-4909-9F34-DAEE4FE532F7}"/>
    <dgm:cxn modelId="{0838B395-2C5A-4394-9B9B-B97782E45770}" type="presOf" srcId="{477E8684-9AF6-4F56-88B4-1CC2ED78BDDC}" destId="{35980F07-4A56-4DB0-B83D-C6C64A4C7D1F}" srcOrd="0" destOrd="0" presId="urn:microsoft.com/office/officeart/2009/3/layout/StepUpProcess"/>
    <dgm:cxn modelId="{52228F21-B21B-460E-A429-A319DE273D58}" srcId="{719883CA-4D14-49D3-937D-D506743D902D}" destId="{C2B28B9A-6C25-4A51-A70C-20940BF638AA}" srcOrd="5" destOrd="0" parTransId="{D7BB3936-0007-42ED-B878-5958BB5E0DFB}" sibTransId="{E1DE51DD-ADE2-46FD-B946-18A08F3A41BC}"/>
    <dgm:cxn modelId="{2FEAB031-E269-46CC-BDFE-9E30CBB3D1F4}" type="presOf" srcId="{850FB260-EAF1-4363-A1A5-D357A117C4C5}" destId="{4B7A39E4-4E1A-412C-99FE-6AD203D4E5F7}" srcOrd="0" destOrd="0" presId="urn:microsoft.com/office/officeart/2009/3/layout/StepUpProcess"/>
    <dgm:cxn modelId="{74862FC8-6B92-45CC-9AB6-EC81EF78CBB7}" type="presOf" srcId="{293EAAA1-C783-437E-9EAD-86C57CB8C2C4}" destId="{5730BDCA-5A03-41ED-8738-36B5A09824E5}" srcOrd="0" destOrd="0" presId="urn:microsoft.com/office/officeart/2009/3/layout/StepUpProcess"/>
    <dgm:cxn modelId="{F93A9690-95FB-4054-8407-50857E74415B}" srcId="{719883CA-4D14-49D3-937D-D506743D902D}" destId="{5F038511-29E7-437D-891F-19C3D2D01A55}" srcOrd="0" destOrd="0" parTransId="{DAC36A0E-2569-4DA5-8B3C-18F940FDD65F}" sibTransId="{F4F1526E-C04F-4ADF-A6B3-29CDF5712766}"/>
    <dgm:cxn modelId="{E701D005-3669-418D-A1AB-A35C5BD80885}" srcId="{719883CA-4D14-49D3-937D-D506743D902D}" destId="{4FC7B977-86E9-45BB-A023-83994617AB74}" srcOrd="3" destOrd="0" parTransId="{879BC128-958A-4657-A5AE-DC6568325A47}" sibTransId="{B4FB7F83-DBA6-434F-B366-689965EDB567}"/>
    <dgm:cxn modelId="{4EBA3D1B-47FC-476F-8B9C-299FFDB89CC0}" type="presOf" srcId="{719883CA-4D14-49D3-937D-D506743D902D}" destId="{173297C4-F409-4463-A6FA-DA8E377629E8}" srcOrd="0" destOrd="0" presId="urn:microsoft.com/office/officeart/2009/3/layout/StepUpProcess"/>
    <dgm:cxn modelId="{59346118-5759-49AF-A280-E00ED00CED1C}" type="presOf" srcId="{5F038511-29E7-437D-891F-19C3D2D01A55}" destId="{43A62342-BA63-4EA9-9542-96BCE3D9236A}" srcOrd="0" destOrd="0" presId="urn:microsoft.com/office/officeart/2009/3/layout/StepUpProcess"/>
    <dgm:cxn modelId="{AD5E69DC-6592-4FAB-B269-E1804820F36C}" type="presParOf" srcId="{173297C4-F409-4463-A6FA-DA8E377629E8}" destId="{CB8FFF90-4630-4E8C-8E2F-9E307AD5EBE6}" srcOrd="0" destOrd="0" presId="urn:microsoft.com/office/officeart/2009/3/layout/StepUpProcess"/>
    <dgm:cxn modelId="{7741B5EC-748E-4ED7-8412-A87FF7D10162}" type="presParOf" srcId="{CB8FFF90-4630-4E8C-8E2F-9E307AD5EBE6}" destId="{56AB00F2-CED2-4DBB-B89C-42479483869F}" srcOrd="0" destOrd="0" presId="urn:microsoft.com/office/officeart/2009/3/layout/StepUpProcess"/>
    <dgm:cxn modelId="{47B1F960-484F-453B-BFF2-15A4A2111BC2}" type="presParOf" srcId="{CB8FFF90-4630-4E8C-8E2F-9E307AD5EBE6}" destId="{43A62342-BA63-4EA9-9542-96BCE3D9236A}" srcOrd="1" destOrd="0" presId="urn:microsoft.com/office/officeart/2009/3/layout/StepUpProcess"/>
    <dgm:cxn modelId="{74438936-2EBB-4B55-A5E2-9819202C427C}" type="presParOf" srcId="{CB8FFF90-4630-4E8C-8E2F-9E307AD5EBE6}" destId="{8BDCE32C-2E9E-487D-9951-14D4F33080CF}" srcOrd="2" destOrd="0" presId="urn:microsoft.com/office/officeart/2009/3/layout/StepUpProcess"/>
    <dgm:cxn modelId="{8FC1AD37-8E08-4A06-8437-273B9EE41394}" type="presParOf" srcId="{173297C4-F409-4463-A6FA-DA8E377629E8}" destId="{D839E5D9-CA6F-438B-B93F-F16ADA1382D5}" srcOrd="1" destOrd="0" presId="urn:microsoft.com/office/officeart/2009/3/layout/StepUpProcess"/>
    <dgm:cxn modelId="{F947284F-368E-448D-B100-5CE0E63EC189}" type="presParOf" srcId="{D839E5D9-CA6F-438B-B93F-F16ADA1382D5}" destId="{B8DC82D3-7392-47F7-BFDD-A3DC222BC966}" srcOrd="0" destOrd="0" presId="urn:microsoft.com/office/officeart/2009/3/layout/StepUpProcess"/>
    <dgm:cxn modelId="{5224D133-66D7-44C7-AF6B-64D7C43D5E5C}" type="presParOf" srcId="{173297C4-F409-4463-A6FA-DA8E377629E8}" destId="{B88C198A-D014-4DF6-A33E-563D77464A93}" srcOrd="2" destOrd="0" presId="urn:microsoft.com/office/officeart/2009/3/layout/StepUpProcess"/>
    <dgm:cxn modelId="{24248F4B-4A4C-40FE-866C-2830F9DAB9FC}" type="presParOf" srcId="{B88C198A-D014-4DF6-A33E-563D77464A93}" destId="{4556307E-B2B6-4BB2-9F56-2F755685EDB0}" srcOrd="0" destOrd="0" presId="urn:microsoft.com/office/officeart/2009/3/layout/StepUpProcess"/>
    <dgm:cxn modelId="{DED5DF6E-6D63-4589-B2B5-DB2367FF8E53}" type="presParOf" srcId="{B88C198A-D014-4DF6-A33E-563D77464A93}" destId="{4B7A39E4-4E1A-412C-99FE-6AD203D4E5F7}" srcOrd="1" destOrd="0" presId="urn:microsoft.com/office/officeart/2009/3/layout/StepUpProcess"/>
    <dgm:cxn modelId="{B107C69E-010A-4BC1-82C1-D16A1ED72C65}" type="presParOf" srcId="{B88C198A-D014-4DF6-A33E-563D77464A93}" destId="{4F7B48B5-F6C1-419B-AA86-3A57166955C2}" srcOrd="2" destOrd="0" presId="urn:microsoft.com/office/officeart/2009/3/layout/StepUpProcess"/>
    <dgm:cxn modelId="{8FB1BF68-1613-4B1B-AF84-41AA528E8800}" type="presParOf" srcId="{173297C4-F409-4463-A6FA-DA8E377629E8}" destId="{EF14A716-47A6-4847-893C-199B976BB6A0}" srcOrd="3" destOrd="0" presId="urn:microsoft.com/office/officeart/2009/3/layout/StepUpProcess"/>
    <dgm:cxn modelId="{7527E25A-7E31-4DB4-ACF5-CFBA0E263236}" type="presParOf" srcId="{EF14A716-47A6-4847-893C-199B976BB6A0}" destId="{A3CD941C-2D34-47F9-A677-477EB775D43C}" srcOrd="0" destOrd="0" presId="urn:microsoft.com/office/officeart/2009/3/layout/StepUpProcess"/>
    <dgm:cxn modelId="{36659452-0EAB-4578-92F0-F55059D289EB}" type="presParOf" srcId="{173297C4-F409-4463-A6FA-DA8E377629E8}" destId="{45D85EB3-1E1F-4F34-A009-038022C22E0A}" srcOrd="4" destOrd="0" presId="urn:microsoft.com/office/officeart/2009/3/layout/StepUpProcess"/>
    <dgm:cxn modelId="{15AAAA14-F7A4-4195-83D3-6B26B3FDDBAB}" type="presParOf" srcId="{45D85EB3-1E1F-4F34-A009-038022C22E0A}" destId="{AFDAE584-6D59-4202-B4E5-5C934C4A4811}" srcOrd="0" destOrd="0" presId="urn:microsoft.com/office/officeart/2009/3/layout/StepUpProcess"/>
    <dgm:cxn modelId="{E27F7803-798E-4B7F-A3C1-C6E549E9D37A}" type="presParOf" srcId="{45D85EB3-1E1F-4F34-A009-038022C22E0A}" destId="{5730BDCA-5A03-41ED-8738-36B5A09824E5}" srcOrd="1" destOrd="0" presId="urn:microsoft.com/office/officeart/2009/3/layout/StepUpProcess"/>
    <dgm:cxn modelId="{E2AC62C8-2342-4E83-8AA0-934901629E64}" type="presParOf" srcId="{45D85EB3-1E1F-4F34-A009-038022C22E0A}" destId="{F483809A-5CFA-4207-A5B0-8458F0AF05FA}" srcOrd="2" destOrd="0" presId="urn:microsoft.com/office/officeart/2009/3/layout/StepUpProcess"/>
    <dgm:cxn modelId="{4BE67F29-B50E-40DA-8AD9-1536C483CFB8}" type="presParOf" srcId="{173297C4-F409-4463-A6FA-DA8E377629E8}" destId="{D0C6BE49-4EE3-413E-8295-5EB14FBA4059}" srcOrd="5" destOrd="0" presId="urn:microsoft.com/office/officeart/2009/3/layout/StepUpProcess"/>
    <dgm:cxn modelId="{BA5A0A29-CE5A-4C01-A0C7-F99FCCDC647B}" type="presParOf" srcId="{D0C6BE49-4EE3-413E-8295-5EB14FBA4059}" destId="{EF02D57A-59C3-4D17-BC55-CC1F1066EDEF}" srcOrd="0" destOrd="0" presId="urn:microsoft.com/office/officeart/2009/3/layout/StepUpProcess"/>
    <dgm:cxn modelId="{2D63488C-5C23-4F26-A14B-04898C8D7C44}" type="presParOf" srcId="{173297C4-F409-4463-A6FA-DA8E377629E8}" destId="{EEFABD16-C8D1-4C5B-B2E7-6E23AD3E55DA}" srcOrd="6" destOrd="0" presId="urn:microsoft.com/office/officeart/2009/3/layout/StepUpProcess"/>
    <dgm:cxn modelId="{14B3D092-10A1-4333-827C-0B6D69D67B1A}" type="presParOf" srcId="{EEFABD16-C8D1-4C5B-B2E7-6E23AD3E55DA}" destId="{4FB8BD71-9278-412C-969E-06E306A7C5A2}" srcOrd="0" destOrd="0" presId="urn:microsoft.com/office/officeart/2009/3/layout/StepUpProcess"/>
    <dgm:cxn modelId="{7F16D6E2-8290-4C6C-9383-782595F7D1E9}" type="presParOf" srcId="{EEFABD16-C8D1-4C5B-B2E7-6E23AD3E55DA}" destId="{DC0ECF76-3EBF-4725-B5E4-78DC81A2B7B3}" srcOrd="1" destOrd="0" presId="urn:microsoft.com/office/officeart/2009/3/layout/StepUpProcess"/>
    <dgm:cxn modelId="{2B08B748-6C5F-47B9-A35D-04BC07AFB17C}" type="presParOf" srcId="{EEFABD16-C8D1-4C5B-B2E7-6E23AD3E55DA}" destId="{0DAB3830-8B96-41BE-B55D-B3B15042FF65}" srcOrd="2" destOrd="0" presId="urn:microsoft.com/office/officeart/2009/3/layout/StepUpProcess"/>
    <dgm:cxn modelId="{F4EF31FD-CF8E-412F-AEAF-F1BE1BF3644A}" type="presParOf" srcId="{173297C4-F409-4463-A6FA-DA8E377629E8}" destId="{D5E07B31-24C4-4814-B7CE-27EB2B4D0A17}" srcOrd="7" destOrd="0" presId="urn:microsoft.com/office/officeart/2009/3/layout/StepUpProcess"/>
    <dgm:cxn modelId="{282B5CF1-94A8-4B8F-BDEC-9CE326289CC0}" type="presParOf" srcId="{D5E07B31-24C4-4814-B7CE-27EB2B4D0A17}" destId="{451E999A-294F-409B-A40F-28C0B3C15AB0}" srcOrd="0" destOrd="0" presId="urn:microsoft.com/office/officeart/2009/3/layout/StepUpProcess"/>
    <dgm:cxn modelId="{67FAEBFE-A8CB-4A2B-9F68-C3F9DD0431A9}" type="presParOf" srcId="{173297C4-F409-4463-A6FA-DA8E377629E8}" destId="{470957AC-C079-426E-96B3-AA6AEAFA4FE0}" srcOrd="8" destOrd="0" presId="urn:microsoft.com/office/officeart/2009/3/layout/StepUpProcess"/>
    <dgm:cxn modelId="{84EE890D-1A42-4FB1-99E8-756BCBDEA895}" type="presParOf" srcId="{470957AC-C079-426E-96B3-AA6AEAFA4FE0}" destId="{62BDA842-F1D8-4EC7-B612-98D6435951F1}" srcOrd="0" destOrd="0" presId="urn:microsoft.com/office/officeart/2009/3/layout/StepUpProcess"/>
    <dgm:cxn modelId="{21D69D33-4209-4F4E-99D9-6C33F4F06681}" type="presParOf" srcId="{470957AC-C079-426E-96B3-AA6AEAFA4FE0}" destId="{35980F07-4A56-4DB0-B83D-C6C64A4C7D1F}" srcOrd="1" destOrd="0" presId="urn:microsoft.com/office/officeart/2009/3/layout/StepUpProcess"/>
    <dgm:cxn modelId="{73E3CB46-208D-4471-A0D8-11A3A2B5A542}" type="presParOf" srcId="{470957AC-C079-426E-96B3-AA6AEAFA4FE0}" destId="{191E283F-EE3B-480A-9BA7-80E355BE8CB5}" srcOrd="2" destOrd="0" presId="urn:microsoft.com/office/officeart/2009/3/layout/StepUpProcess"/>
    <dgm:cxn modelId="{2296127E-239F-483D-A995-F9B488DB6A03}" type="presParOf" srcId="{173297C4-F409-4463-A6FA-DA8E377629E8}" destId="{4F0BDBE0-AC77-4EA2-A737-8C4FF54A1859}" srcOrd="9" destOrd="0" presId="urn:microsoft.com/office/officeart/2009/3/layout/StepUpProcess"/>
    <dgm:cxn modelId="{A737EA6C-7828-4584-8FCB-364B437CB094}" type="presParOf" srcId="{4F0BDBE0-AC77-4EA2-A737-8C4FF54A1859}" destId="{0A72C7E5-26C7-46A4-9C67-0E1E280047AE}" srcOrd="0" destOrd="0" presId="urn:microsoft.com/office/officeart/2009/3/layout/StepUpProcess"/>
    <dgm:cxn modelId="{056EE230-3FC9-4CF6-8AAF-916D175428CE}" type="presParOf" srcId="{173297C4-F409-4463-A6FA-DA8E377629E8}" destId="{6C586F55-6508-40D0-BFF1-CCCF21BD3452}" srcOrd="10" destOrd="0" presId="urn:microsoft.com/office/officeart/2009/3/layout/StepUpProcess"/>
    <dgm:cxn modelId="{B89F0932-BF27-4283-AC7C-25A0D05FD44C}" type="presParOf" srcId="{6C586F55-6508-40D0-BFF1-CCCF21BD3452}" destId="{4073F964-B36B-472D-908B-5AC70AB0ED13}" srcOrd="0" destOrd="0" presId="urn:microsoft.com/office/officeart/2009/3/layout/StepUpProcess"/>
    <dgm:cxn modelId="{7C2141A4-2E67-4E8E-9198-D279A30339EC}" type="presParOf" srcId="{6C586F55-6508-40D0-BFF1-CCCF21BD3452}" destId="{BF03B6EE-AD8A-4B1F-9E7F-2B37DECF12E2}" srcOrd="1" destOrd="0" presId="urn:microsoft.com/office/officeart/2009/3/layout/StepUpProcess"/>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055A9C3-7F64-4125-8AB2-BDD78D09CD08}" type="doc">
      <dgm:prSet loTypeId="urn:microsoft.com/office/officeart/2005/8/layout/cycle1" loCatId="cycle" qsTypeId="urn:microsoft.com/office/officeart/2005/8/quickstyle/simple1" qsCatId="simple" csTypeId="urn:microsoft.com/office/officeart/2005/8/colors/accent1_2" csCatId="accent1" phldr="1"/>
      <dgm:spPr/>
      <dgm:t>
        <a:bodyPr/>
        <a:lstStyle/>
        <a:p>
          <a:endParaRPr lang="en-ZA"/>
        </a:p>
      </dgm:t>
    </dgm:pt>
    <dgm:pt modelId="{40C8A165-A0F2-4F56-BDCE-21D728516365}">
      <dgm:prSet phldrT="[Text]" custT="1"/>
      <dgm:spPr>
        <a:xfrm>
          <a:off x="3021589" y="17259"/>
          <a:ext cx="581992" cy="581992"/>
        </a:xfrm>
        <a:noFill/>
        <a:ln>
          <a:noFill/>
        </a:ln>
        <a:effectLst/>
      </dgm:spPr>
      <dgm:t>
        <a:bodyPr/>
        <a:lstStyle/>
        <a:p>
          <a:r>
            <a:rPr lang="en-ZA" sz="800" b="0">
              <a:solidFill>
                <a:sysClr val="windowText" lastClr="000000">
                  <a:hueOff val="0"/>
                  <a:satOff val="0"/>
                  <a:lumOff val="0"/>
                  <a:alphaOff val="0"/>
                </a:sysClr>
              </a:solidFill>
              <a:latin typeface="Calibri"/>
              <a:ea typeface="+mn-ea"/>
              <a:cs typeface="+mn-cs"/>
            </a:rPr>
            <a:t>Situational Analysis: Data Collection</a:t>
          </a:r>
        </a:p>
      </dgm:t>
    </dgm:pt>
    <dgm:pt modelId="{7928D190-E26A-4BA2-90F9-644FBC0ECC3A}" type="parTrans" cxnId="{81D24EED-EBFD-45CB-BFC1-D142BD9B31A9}">
      <dgm:prSet/>
      <dgm:spPr/>
      <dgm:t>
        <a:bodyPr/>
        <a:lstStyle/>
        <a:p>
          <a:endParaRPr lang="en-ZA" sz="2000"/>
        </a:p>
      </dgm:t>
    </dgm:pt>
    <dgm:pt modelId="{494FCE99-4E0D-4C42-80E2-2A209E4CB47D}" type="sibTrans" cxnId="{81D24EED-EBFD-45CB-BFC1-D142BD9B31A9}">
      <dgm:prSet/>
      <dgm:spPr>
        <a:xfrm>
          <a:off x="1651556" y="305"/>
          <a:ext cx="2183286" cy="2183286"/>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en-ZA" sz="2000"/>
        </a:p>
      </dgm:t>
    </dgm:pt>
    <dgm:pt modelId="{F9361439-E033-41AD-A44C-1563FC43E91D}">
      <dgm:prSet phldrT="[Text]" custT="1"/>
      <dgm:spPr>
        <a:xfrm>
          <a:off x="3373489" y="1100296"/>
          <a:ext cx="581992" cy="581992"/>
        </a:xfrm>
        <a:noFill/>
        <a:ln>
          <a:noFill/>
        </a:ln>
        <a:effectLst/>
      </dgm:spPr>
      <dgm:t>
        <a:bodyPr/>
        <a:lstStyle/>
        <a:p>
          <a:r>
            <a:rPr lang="en-ZA" sz="800">
              <a:solidFill>
                <a:sysClr val="windowText" lastClr="000000">
                  <a:hueOff val="0"/>
                  <a:satOff val="0"/>
                  <a:lumOff val="0"/>
                  <a:alphaOff val="0"/>
                </a:sysClr>
              </a:solidFill>
              <a:latin typeface="Calibri"/>
              <a:ea typeface="+mn-ea"/>
              <a:cs typeface="+mn-cs"/>
            </a:rPr>
            <a:t>Needs Analysis: Socio-economic &amp; Infrustructure</a:t>
          </a:r>
        </a:p>
        <a:p>
          <a:r>
            <a:rPr lang="en-ZA" sz="800">
              <a:solidFill>
                <a:sysClr val="windowText" lastClr="000000">
                  <a:hueOff val="0"/>
                  <a:satOff val="0"/>
                  <a:lumOff val="0"/>
                  <a:alphaOff val="0"/>
                </a:sysClr>
              </a:solidFill>
              <a:latin typeface="Calibri"/>
              <a:ea typeface="+mn-ea"/>
              <a:cs typeface="+mn-cs"/>
            </a:rPr>
            <a:t>SWOT </a:t>
          </a:r>
        </a:p>
      </dgm:t>
    </dgm:pt>
    <dgm:pt modelId="{3FC8A40E-3BBE-4C41-9B8D-928232149C58}" type="parTrans" cxnId="{FE5C7551-4CF8-411D-8226-1EB88FA87321}">
      <dgm:prSet/>
      <dgm:spPr/>
      <dgm:t>
        <a:bodyPr/>
        <a:lstStyle/>
        <a:p>
          <a:endParaRPr lang="en-ZA" sz="2000"/>
        </a:p>
      </dgm:t>
    </dgm:pt>
    <dgm:pt modelId="{19577064-B6A6-4E14-886F-809818C340D6}" type="sibTrans" cxnId="{FE5C7551-4CF8-411D-8226-1EB88FA87321}">
      <dgm:prSet/>
      <dgm:spPr>
        <a:xfrm>
          <a:off x="1651556" y="305"/>
          <a:ext cx="2183286" cy="2183286"/>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en-ZA" sz="2000"/>
        </a:p>
      </dgm:t>
    </dgm:pt>
    <dgm:pt modelId="{616C5F85-F056-45CC-A90C-40B91DCC8956}">
      <dgm:prSet phldrT="[Text]" custT="1"/>
      <dgm:spPr>
        <a:xfrm>
          <a:off x="2452203" y="1769649"/>
          <a:ext cx="581992" cy="581992"/>
        </a:xfrm>
        <a:noFill/>
        <a:ln>
          <a:noFill/>
        </a:ln>
        <a:effectLst/>
      </dgm:spPr>
      <dgm:t>
        <a:bodyPr/>
        <a:lstStyle/>
        <a:p>
          <a:r>
            <a:rPr lang="en-ZA" sz="800">
              <a:solidFill>
                <a:sysClr val="windowText" lastClr="000000">
                  <a:hueOff val="0"/>
                  <a:satOff val="0"/>
                  <a:lumOff val="0"/>
                  <a:alphaOff val="0"/>
                </a:sysClr>
              </a:solidFill>
              <a:latin typeface="Calibri"/>
              <a:ea typeface="+mn-ea"/>
              <a:cs typeface="+mn-cs"/>
            </a:rPr>
            <a:t>Vision, Mission and Strategy Development</a:t>
          </a:r>
        </a:p>
      </dgm:t>
    </dgm:pt>
    <dgm:pt modelId="{451AB7D8-F66F-4430-A0E5-D33E5065CBE9}" type="parTrans" cxnId="{108E3D18-589D-4FB2-96AC-232CE36247A7}">
      <dgm:prSet/>
      <dgm:spPr/>
      <dgm:t>
        <a:bodyPr/>
        <a:lstStyle/>
        <a:p>
          <a:endParaRPr lang="en-ZA" sz="2000"/>
        </a:p>
      </dgm:t>
    </dgm:pt>
    <dgm:pt modelId="{B802F0F6-93E0-4EBE-B0F9-59AA8BE6C2E8}" type="sibTrans" cxnId="{108E3D18-589D-4FB2-96AC-232CE36247A7}">
      <dgm:prSet/>
      <dgm:spPr>
        <a:xfrm>
          <a:off x="1651556" y="305"/>
          <a:ext cx="2183286" cy="2183286"/>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en-ZA" sz="2000"/>
        </a:p>
      </dgm:t>
    </dgm:pt>
    <dgm:pt modelId="{AF6FF0FA-B7CA-48F6-88DD-E570C1E5AD8F}">
      <dgm:prSet phldrT="[Text]" custT="1"/>
      <dgm:spPr>
        <a:xfrm>
          <a:off x="1530917" y="1100296"/>
          <a:ext cx="581992" cy="581992"/>
        </a:xfrm>
        <a:noFill/>
        <a:ln>
          <a:noFill/>
        </a:ln>
        <a:effectLst/>
      </dgm:spPr>
      <dgm:t>
        <a:bodyPr/>
        <a:lstStyle/>
        <a:p>
          <a:r>
            <a:rPr lang="en-ZA" sz="800">
              <a:solidFill>
                <a:sysClr val="windowText" lastClr="000000">
                  <a:hueOff val="0"/>
                  <a:satOff val="0"/>
                  <a:lumOff val="0"/>
                  <a:alphaOff val="0"/>
                </a:sysClr>
              </a:solidFill>
              <a:latin typeface="Calibri"/>
              <a:ea typeface="+mn-ea"/>
              <a:cs typeface="+mn-cs"/>
            </a:rPr>
            <a:t>Ward Plan: Conceptualize Projects and Programs</a:t>
          </a:r>
        </a:p>
      </dgm:t>
    </dgm:pt>
    <dgm:pt modelId="{117FE9DA-A51F-4E47-8F3C-45AC1D5DF934}" type="parTrans" cxnId="{7FE0AB21-A31F-4193-A2AC-93AA6948E539}">
      <dgm:prSet/>
      <dgm:spPr/>
      <dgm:t>
        <a:bodyPr/>
        <a:lstStyle/>
        <a:p>
          <a:endParaRPr lang="en-ZA" sz="2000"/>
        </a:p>
      </dgm:t>
    </dgm:pt>
    <dgm:pt modelId="{53100633-A773-4769-A6A1-A446F2EFF40A}" type="sibTrans" cxnId="{7FE0AB21-A31F-4193-A2AC-93AA6948E539}">
      <dgm:prSet/>
      <dgm:spPr>
        <a:xfrm>
          <a:off x="1651556" y="305"/>
          <a:ext cx="2183286" cy="2183286"/>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en-ZA" sz="2000"/>
        </a:p>
      </dgm:t>
    </dgm:pt>
    <dgm:pt modelId="{C0A20561-D828-41B0-8E69-ABD273C375D7}">
      <dgm:prSet phldrT="[Text]" custT="1"/>
      <dgm:spPr>
        <a:xfrm>
          <a:off x="1882817" y="17259"/>
          <a:ext cx="581992" cy="581992"/>
        </a:xfrm>
        <a:noFill/>
        <a:ln>
          <a:noFill/>
        </a:ln>
        <a:effectLst/>
      </dgm:spPr>
      <dgm:t>
        <a:bodyPr/>
        <a:lstStyle/>
        <a:p>
          <a:r>
            <a:rPr lang="en-ZA" sz="800">
              <a:solidFill>
                <a:sysClr val="windowText" lastClr="000000">
                  <a:hueOff val="0"/>
                  <a:satOff val="0"/>
                  <a:lumOff val="0"/>
                  <a:alphaOff val="0"/>
                </a:sysClr>
              </a:solidFill>
              <a:latin typeface="Calibri"/>
              <a:ea typeface="+mn-ea"/>
              <a:cs typeface="+mn-cs"/>
            </a:rPr>
            <a:t>Monitoring and Evaluation</a:t>
          </a:r>
        </a:p>
      </dgm:t>
    </dgm:pt>
    <dgm:pt modelId="{180B05AE-91F3-40B1-AAC7-D946F766F28B}" type="parTrans" cxnId="{6D9457EC-C4C7-4C78-AC82-702830ADA573}">
      <dgm:prSet/>
      <dgm:spPr/>
      <dgm:t>
        <a:bodyPr/>
        <a:lstStyle/>
        <a:p>
          <a:endParaRPr lang="en-ZA" sz="2000"/>
        </a:p>
      </dgm:t>
    </dgm:pt>
    <dgm:pt modelId="{5A4888F8-446E-4786-A1B2-BE431363D99D}" type="sibTrans" cxnId="{6D9457EC-C4C7-4C78-AC82-702830ADA573}">
      <dgm:prSet/>
      <dgm:spPr>
        <a:xfrm>
          <a:off x="1651556" y="305"/>
          <a:ext cx="2183286" cy="2183286"/>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en-ZA" sz="2000"/>
        </a:p>
      </dgm:t>
    </dgm:pt>
    <dgm:pt modelId="{CEAD0D10-1A15-4D91-B486-C46CBD462676}" type="pres">
      <dgm:prSet presAssocID="{7055A9C3-7F64-4125-8AB2-BDD78D09CD08}" presName="cycle" presStyleCnt="0">
        <dgm:presLayoutVars>
          <dgm:dir/>
          <dgm:resizeHandles val="exact"/>
        </dgm:presLayoutVars>
      </dgm:prSet>
      <dgm:spPr/>
      <dgm:t>
        <a:bodyPr/>
        <a:lstStyle/>
        <a:p>
          <a:endParaRPr lang="en-ZA"/>
        </a:p>
      </dgm:t>
    </dgm:pt>
    <dgm:pt modelId="{B18A1E8B-D6A6-4ED5-9D9C-44AC3BA1EBA7}" type="pres">
      <dgm:prSet presAssocID="{40C8A165-A0F2-4F56-BDCE-21D728516365}" presName="dummy" presStyleCnt="0"/>
      <dgm:spPr/>
    </dgm:pt>
    <dgm:pt modelId="{CEA55601-EFE2-406A-A594-DAAA11C0F485}" type="pres">
      <dgm:prSet presAssocID="{40C8A165-A0F2-4F56-BDCE-21D728516365}" presName="node" presStyleLbl="revTx" presStyleIdx="0" presStyleCnt="5">
        <dgm:presLayoutVars>
          <dgm:bulletEnabled val="1"/>
        </dgm:presLayoutVars>
      </dgm:prSet>
      <dgm:spPr>
        <a:prstGeom prst="rect">
          <a:avLst/>
        </a:prstGeom>
      </dgm:spPr>
      <dgm:t>
        <a:bodyPr/>
        <a:lstStyle/>
        <a:p>
          <a:endParaRPr lang="en-ZA"/>
        </a:p>
      </dgm:t>
    </dgm:pt>
    <dgm:pt modelId="{58D89131-7A73-4E38-9B7D-57CDA56C2506}" type="pres">
      <dgm:prSet presAssocID="{494FCE99-4E0D-4C42-80E2-2A209E4CB47D}" presName="sibTrans" presStyleLbl="node1" presStyleIdx="0" presStyleCnt="5"/>
      <dgm:spPr>
        <a:prstGeom prst="circularArrow">
          <a:avLst>
            <a:gd name="adj1" fmla="val 5198"/>
            <a:gd name="adj2" fmla="val 335760"/>
            <a:gd name="adj3" fmla="val 21293865"/>
            <a:gd name="adj4" fmla="val 19765693"/>
            <a:gd name="adj5" fmla="val 6064"/>
          </a:avLst>
        </a:prstGeom>
      </dgm:spPr>
      <dgm:t>
        <a:bodyPr/>
        <a:lstStyle/>
        <a:p>
          <a:endParaRPr lang="en-ZA"/>
        </a:p>
      </dgm:t>
    </dgm:pt>
    <dgm:pt modelId="{681C78B9-0847-42CB-927A-922F38C6B93E}" type="pres">
      <dgm:prSet presAssocID="{F9361439-E033-41AD-A44C-1563FC43E91D}" presName="dummy" presStyleCnt="0"/>
      <dgm:spPr/>
    </dgm:pt>
    <dgm:pt modelId="{C407B448-61EC-4847-8C8A-E78A4A98AB5D}" type="pres">
      <dgm:prSet presAssocID="{F9361439-E033-41AD-A44C-1563FC43E91D}" presName="node" presStyleLbl="revTx" presStyleIdx="1" presStyleCnt="5" custScaleX="165758">
        <dgm:presLayoutVars>
          <dgm:bulletEnabled val="1"/>
        </dgm:presLayoutVars>
      </dgm:prSet>
      <dgm:spPr>
        <a:prstGeom prst="rect">
          <a:avLst/>
        </a:prstGeom>
      </dgm:spPr>
      <dgm:t>
        <a:bodyPr/>
        <a:lstStyle/>
        <a:p>
          <a:endParaRPr lang="en-ZA"/>
        </a:p>
      </dgm:t>
    </dgm:pt>
    <dgm:pt modelId="{F4DBC04C-673D-4CAF-9B4B-C85C557A1D2A}" type="pres">
      <dgm:prSet presAssocID="{19577064-B6A6-4E14-886F-809818C340D6}" presName="sibTrans" presStyleLbl="node1" presStyleIdx="1" presStyleCnt="5"/>
      <dgm:spPr>
        <a:prstGeom prst="circularArrow">
          <a:avLst>
            <a:gd name="adj1" fmla="val 5198"/>
            <a:gd name="adj2" fmla="val 335760"/>
            <a:gd name="adj3" fmla="val 4015344"/>
            <a:gd name="adj4" fmla="val 2252840"/>
            <a:gd name="adj5" fmla="val 6064"/>
          </a:avLst>
        </a:prstGeom>
      </dgm:spPr>
      <dgm:t>
        <a:bodyPr/>
        <a:lstStyle/>
        <a:p>
          <a:endParaRPr lang="en-ZA"/>
        </a:p>
      </dgm:t>
    </dgm:pt>
    <dgm:pt modelId="{F527B348-22D7-4096-B65F-6FFE6D3A65E1}" type="pres">
      <dgm:prSet presAssocID="{616C5F85-F056-45CC-A90C-40B91DCC8956}" presName="dummy" presStyleCnt="0"/>
      <dgm:spPr/>
    </dgm:pt>
    <dgm:pt modelId="{125BF7C6-C702-41EB-9470-23713D809F3D}" type="pres">
      <dgm:prSet presAssocID="{616C5F85-F056-45CC-A90C-40B91DCC8956}" presName="node" presStyleLbl="revTx" presStyleIdx="2" presStyleCnt="5">
        <dgm:presLayoutVars>
          <dgm:bulletEnabled val="1"/>
        </dgm:presLayoutVars>
      </dgm:prSet>
      <dgm:spPr>
        <a:prstGeom prst="rect">
          <a:avLst/>
        </a:prstGeom>
      </dgm:spPr>
      <dgm:t>
        <a:bodyPr/>
        <a:lstStyle/>
        <a:p>
          <a:endParaRPr lang="en-ZA"/>
        </a:p>
      </dgm:t>
    </dgm:pt>
    <dgm:pt modelId="{03E0F036-DC46-4F8E-A762-06737930FF76}" type="pres">
      <dgm:prSet presAssocID="{B802F0F6-93E0-4EBE-B0F9-59AA8BE6C2E8}" presName="sibTrans" presStyleLbl="node1" presStyleIdx="2" presStyleCnt="5"/>
      <dgm:spPr>
        <a:prstGeom prst="circularArrow">
          <a:avLst>
            <a:gd name="adj1" fmla="val 5198"/>
            <a:gd name="adj2" fmla="val 335760"/>
            <a:gd name="adj3" fmla="val 8211400"/>
            <a:gd name="adj4" fmla="val 6448896"/>
            <a:gd name="adj5" fmla="val 6064"/>
          </a:avLst>
        </a:prstGeom>
      </dgm:spPr>
      <dgm:t>
        <a:bodyPr/>
        <a:lstStyle/>
        <a:p>
          <a:endParaRPr lang="en-ZA"/>
        </a:p>
      </dgm:t>
    </dgm:pt>
    <dgm:pt modelId="{B5D568C8-1D6E-44CF-A51D-E2893F174156}" type="pres">
      <dgm:prSet presAssocID="{AF6FF0FA-B7CA-48F6-88DD-E570C1E5AD8F}" presName="dummy" presStyleCnt="0"/>
      <dgm:spPr/>
    </dgm:pt>
    <dgm:pt modelId="{FA163E63-003C-4180-8E21-9E6D196219DF}" type="pres">
      <dgm:prSet presAssocID="{AF6FF0FA-B7CA-48F6-88DD-E570C1E5AD8F}" presName="node" presStyleLbl="revTx" presStyleIdx="3" presStyleCnt="5">
        <dgm:presLayoutVars>
          <dgm:bulletEnabled val="1"/>
        </dgm:presLayoutVars>
      </dgm:prSet>
      <dgm:spPr>
        <a:prstGeom prst="rect">
          <a:avLst/>
        </a:prstGeom>
      </dgm:spPr>
      <dgm:t>
        <a:bodyPr/>
        <a:lstStyle/>
        <a:p>
          <a:endParaRPr lang="en-ZA"/>
        </a:p>
      </dgm:t>
    </dgm:pt>
    <dgm:pt modelId="{560CFA16-6D2C-4D34-A342-9E3B71B245B5}" type="pres">
      <dgm:prSet presAssocID="{53100633-A773-4769-A6A1-A446F2EFF40A}" presName="sibTrans" presStyleLbl="node1" presStyleIdx="3" presStyleCnt="5"/>
      <dgm:spPr>
        <a:prstGeom prst="circularArrow">
          <a:avLst>
            <a:gd name="adj1" fmla="val 5198"/>
            <a:gd name="adj2" fmla="val 335760"/>
            <a:gd name="adj3" fmla="val 12298547"/>
            <a:gd name="adj4" fmla="val 10770375"/>
            <a:gd name="adj5" fmla="val 6064"/>
          </a:avLst>
        </a:prstGeom>
      </dgm:spPr>
      <dgm:t>
        <a:bodyPr/>
        <a:lstStyle/>
        <a:p>
          <a:endParaRPr lang="en-ZA"/>
        </a:p>
      </dgm:t>
    </dgm:pt>
    <dgm:pt modelId="{AD9959B5-E971-4997-B110-F0040B9AA5E9}" type="pres">
      <dgm:prSet presAssocID="{C0A20561-D828-41B0-8E69-ABD273C375D7}" presName="dummy" presStyleCnt="0"/>
      <dgm:spPr/>
    </dgm:pt>
    <dgm:pt modelId="{EF5C16A4-6461-4951-84EA-240516C66EAA}" type="pres">
      <dgm:prSet presAssocID="{C0A20561-D828-41B0-8E69-ABD273C375D7}" presName="node" presStyleLbl="revTx" presStyleIdx="4" presStyleCnt="5">
        <dgm:presLayoutVars>
          <dgm:bulletEnabled val="1"/>
        </dgm:presLayoutVars>
      </dgm:prSet>
      <dgm:spPr>
        <a:prstGeom prst="rect">
          <a:avLst/>
        </a:prstGeom>
      </dgm:spPr>
      <dgm:t>
        <a:bodyPr/>
        <a:lstStyle/>
        <a:p>
          <a:endParaRPr lang="en-ZA"/>
        </a:p>
      </dgm:t>
    </dgm:pt>
    <dgm:pt modelId="{7524569B-7D88-4557-B67A-0B10AACD3808}" type="pres">
      <dgm:prSet presAssocID="{5A4888F8-446E-4786-A1B2-BE431363D99D}" presName="sibTrans" presStyleLbl="node1" presStyleIdx="4" presStyleCnt="5"/>
      <dgm:spPr>
        <a:prstGeom prst="circularArrow">
          <a:avLst>
            <a:gd name="adj1" fmla="val 5198"/>
            <a:gd name="adj2" fmla="val 335760"/>
            <a:gd name="adj3" fmla="val 16866330"/>
            <a:gd name="adj4" fmla="val 15197910"/>
            <a:gd name="adj5" fmla="val 6064"/>
          </a:avLst>
        </a:prstGeom>
      </dgm:spPr>
      <dgm:t>
        <a:bodyPr/>
        <a:lstStyle/>
        <a:p>
          <a:endParaRPr lang="en-ZA"/>
        </a:p>
      </dgm:t>
    </dgm:pt>
  </dgm:ptLst>
  <dgm:cxnLst>
    <dgm:cxn modelId="{6ECFC087-B239-4EB6-91A0-C9D7426473C2}" type="presOf" srcId="{AF6FF0FA-B7CA-48F6-88DD-E570C1E5AD8F}" destId="{FA163E63-003C-4180-8E21-9E6D196219DF}" srcOrd="0" destOrd="0" presId="urn:microsoft.com/office/officeart/2005/8/layout/cycle1"/>
    <dgm:cxn modelId="{7FE0AB21-A31F-4193-A2AC-93AA6948E539}" srcId="{7055A9C3-7F64-4125-8AB2-BDD78D09CD08}" destId="{AF6FF0FA-B7CA-48F6-88DD-E570C1E5AD8F}" srcOrd="3" destOrd="0" parTransId="{117FE9DA-A51F-4E47-8F3C-45AC1D5DF934}" sibTransId="{53100633-A773-4769-A6A1-A446F2EFF40A}"/>
    <dgm:cxn modelId="{1945D940-71D0-4FDC-9C2C-1B2CD3781E8D}" type="presOf" srcId="{40C8A165-A0F2-4F56-BDCE-21D728516365}" destId="{CEA55601-EFE2-406A-A594-DAAA11C0F485}" srcOrd="0" destOrd="0" presId="urn:microsoft.com/office/officeart/2005/8/layout/cycle1"/>
    <dgm:cxn modelId="{3EB6213A-7A30-4993-B38C-EB3CD51E357B}" type="presOf" srcId="{7055A9C3-7F64-4125-8AB2-BDD78D09CD08}" destId="{CEAD0D10-1A15-4D91-B486-C46CBD462676}" srcOrd="0" destOrd="0" presId="urn:microsoft.com/office/officeart/2005/8/layout/cycle1"/>
    <dgm:cxn modelId="{0BC7BA6C-443E-4B7C-9B92-6BB2E53218B4}" type="presOf" srcId="{B802F0F6-93E0-4EBE-B0F9-59AA8BE6C2E8}" destId="{03E0F036-DC46-4F8E-A762-06737930FF76}" srcOrd="0" destOrd="0" presId="urn:microsoft.com/office/officeart/2005/8/layout/cycle1"/>
    <dgm:cxn modelId="{8754F482-9C21-470F-896C-E889FC767D50}" type="presOf" srcId="{616C5F85-F056-45CC-A90C-40B91DCC8956}" destId="{125BF7C6-C702-41EB-9470-23713D809F3D}" srcOrd="0" destOrd="0" presId="urn:microsoft.com/office/officeart/2005/8/layout/cycle1"/>
    <dgm:cxn modelId="{689442AD-1244-46CE-8F21-45FF0964A724}" type="presOf" srcId="{C0A20561-D828-41B0-8E69-ABD273C375D7}" destId="{EF5C16A4-6461-4951-84EA-240516C66EAA}" srcOrd="0" destOrd="0" presId="urn:microsoft.com/office/officeart/2005/8/layout/cycle1"/>
    <dgm:cxn modelId="{81D24EED-EBFD-45CB-BFC1-D142BD9B31A9}" srcId="{7055A9C3-7F64-4125-8AB2-BDD78D09CD08}" destId="{40C8A165-A0F2-4F56-BDCE-21D728516365}" srcOrd="0" destOrd="0" parTransId="{7928D190-E26A-4BA2-90F9-644FBC0ECC3A}" sibTransId="{494FCE99-4E0D-4C42-80E2-2A209E4CB47D}"/>
    <dgm:cxn modelId="{53609427-A309-412D-8F12-6A5AC7BC2CD9}" type="presOf" srcId="{F9361439-E033-41AD-A44C-1563FC43E91D}" destId="{C407B448-61EC-4847-8C8A-E78A4A98AB5D}" srcOrd="0" destOrd="0" presId="urn:microsoft.com/office/officeart/2005/8/layout/cycle1"/>
    <dgm:cxn modelId="{382FE48B-7798-401A-B2FB-F108132820CE}" type="presOf" srcId="{19577064-B6A6-4E14-886F-809818C340D6}" destId="{F4DBC04C-673D-4CAF-9B4B-C85C557A1D2A}" srcOrd="0" destOrd="0" presId="urn:microsoft.com/office/officeart/2005/8/layout/cycle1"/>
    <dgm:cxn modelId="{FE5C7551-4CF8-411D-8226-1EB88FA87321}" srcId="{7055A9C3-7F64-4125-8AB2-BDD78D09CD08}" destId="{F9361439-E033-41AD-A44C-1563FC43E91D}" srcOrd="1" destOrd="0" parTransId="{3FC8A40E-3BBE-4C41-9B8D-928232149C58}" sibTransId="{19577064-B6A6-4E14-886F-809818C340D6}"/>
    <dgm:cxn modelId="{EEB5B1C6-87FD-479E-BB8B-918469451C33}" type="presOf" srcId="{494FCE99-4E0D-4C42-80E2-2A209E4CB47D}" destId="{58D89131-7A73-4E38-9B7D-57CDA56C2506}" srcOrd="0" destOrd="0" presId="urn:microsoft.com/office/officeart/2005/8/layout/cycle1"/>
    <dgm:cxn modelId="{7243B2B4-CD56-4C55-9688-43C2A9E85992}" type="presOf" srcId="{53100633-A773-4769-A6A1-A446F2EFF40A}" destId="{560CFA16-6D2C-4D34-A342-9E3B71B245B5}" srcOrd="0" destOrd="0" presId="urn:microsoft.com/office/officeart/2005/8/layout/cycle1"/>
    <dgm:cxn modelId="{6D9457EC-C4C7-4C78-AC82-702830ADA573}" srcId="{7055A9C3-7F64-4125-8AB2-BDD78D09CD08}" destId="{C0A20561-D828-41B0-8E69-ABD273C375D7}" srcOrd="4" destOrd="0" parTransId="{180B05AE-91F3-40B1-AAC7-D946F766F28B}" sibTransId="{5A4888F8-446E-4786-A1B2-BE431363D99D}"/>
    <dgm:cxn modelId="{108E3D18-589D-4FB2-96AC-232CE36247A7}" srcId="{7055A9C3-7F64-4125-8AB2-BDD78D09CD08}" destId="{616C5F85-F056-45CC-A90C-40B91DCC8956}" srcOrd="2" destOrd="0" parTransId="{451AB7D8-F66F-4430-A0E5-D33E5065CBE9}" sibTransId="{B802F0F6-93E0-4EBE-B0F9-59AA8BE6C2E8}"/>
    <dgm:cxn modelId="{63E2B0C4-4AD8-4E1F-AF91-A8594E6C1663}" type="presOf" srcId="{5A4888F8-446E-4786-A1B2-BE431363D99D}" destId="{7524569B-7D88-4557-B67A-0B10AACD3808}" srcOrd="0" destOrd="0" presId="urn:microsoft.com/office/officeart/2005/8/layout/cycle1"/>
    <dgm:cxn modelId="{B6E510C5-96D8-4648-BF79-BC8045FEAB6D}" type="presParOf" srcId="{CEAD0D10-1A15-4D91-B486-C46CBD462676}" destId="{B18A1E8B-D6A6-4ED5-9D9C-44AC3BA1EBA7}" srcOrd="0" destOrd="0" presId="urn:microsoft.com/office/officeart/2005/8/layout/cycle1"/>
    <dgm:cxn modelId="{AC5F7421-FF78-4E4E-8C47-BC3447EC3D89}" type="presParOf" srcId="{CEAD0D10-1A15-4D91-B486-C46CBD462676}" destId="{CEA55601-EFE2-406A-A594-DAAA11C0F485}" srcOrd="1" destOrd="0" presId="urn:microsoft.com/office/officeart/2005/8/layout/cycle1"/>
    <dgm:cxn modelId="{5E337C16-1557-489C-B363-7C4430CFA32C}" type="presParOf" srcId="{CEAD0D10-1A15-4D91-B486-C46CBD462676}" destId="{58D89131-7A73-4E38-9B7D-57CDA56C2506}" srcOrd="2" destOrd="0" presId="urn:microsoft.com/office/officeart/2005/8/layout/cycle1"/>
    <dgm:cxn modelId="{AFBE63C0-814A-4AF0-8D73-D169D46C61CD}" type="presParOf" srcId="{CEAD0D10-1A15-4D91-B486-C46CBD462676}" destId="{681C78B9-0847-42CB-927A-922F38C6B93E}" srcOrd="3" destOrd="0" presId="urn:microsoft.com/office/officeart/2005/8/layout/cycle1"/>
    <dgm:cxn modelId="{293E5C35-667C-435B-BE4F-4AF17656D479}" type="presParOf" srcId="{CEAD0D10-1A15-4D91-B486-C46CBD462676}" destId="{C407B448-61EC-4847-8C8A-E78A4A98AB5D}" srcOrd="4" destOrd="0" presId="urn:microsoft.com/office/officeart/2005/8/layout/cycle1"/>
    <dgm:cxn modelId="{37F4A2B4-6D21-402F-9365-3296DC2982C4}" type="presParOf" srcId="{CEAD0D10-1A15-4D91-B486-C46CBD462676}" destId="{F4DBC04C-673D-4CAF-9B4B-C85C557A1D2A}" srcOrd="5" destOrd="0" presId="urn:microsoft.com/office/officeart/2005/8/layout/cycle1"/>
    <dgm:cxn modelId="{1F3D427B-E0DA-4C89-ABC1-62CB069ABF51}" type="presParOf" srcId="{CEAD0D10-1A15-4D91-B486-C46CBD462676}" destId="{F527B348-22D7-4096-B65F-6FFE6D3A65E1}" srcOrd="6" destOrd="0" presId="urn:microsoft.com/office/officeart/2005/8/layout/cycle1"/>
    <dgm:cxn modelId="{8CCB3E1D-E47D-4F9F-9AB7-1F4506EE96C3}" type="presParOf" srcId="{CEAD0D10-1A15-4D91-B486-C46CBD462676}" destId="{125BF7C6-C702-41EB-9470-23713D809F3D}" srcOrd="7" destOrd="0" presId="urn:microsoft.com/office/officeart/2005/8/layout/cycle1"/>
    <dgm:cxn modelId="{2C28EF66-B75F-448B-A09D-D3E7B8F73705}" type="presParOf" srcId="{CEAD0D10-1A15-4D91-B486-C46CBD462676}" destId="{03E0F036-DC46-4F8E-A762-06737930FF76}" srcOrd="8" destOrd="0" presId="urn:microsoft.com/office/officeart/2005/8/layout/cycle1"/>
    <dgm:cxn modelId="{F819855C-3F3A-4FE3-940C-10C6AD2E8D3F}" type="presParOf" srcId="{CEAD0D10-1A15-4D91-B486-C46CBD462676}" destId="{B5D568C8-1D6E-44CF-A51D-E2893F174156}" srcOrd="9" destOrd="0" presId="urn:microsoft.com/office/officeart/2005/8/layout/cycle1"/>
    <dgm:cxn modelId="{F049BBC5-7FC2-4BA8-A619-B115CA9CF543}" type="presParOf" srcId="{CEAD0D10-1A15-4D91-B486-C46CBD462676}" destId="{FA163E63-003C-4180-8E21-9E6D196219DF}" srcOrd="10" destOrd="0" presId="urn:microsoft.com/office/officeart/2005/8/layout/cycle1"/>
    <dgm:cxn modelId="{7A46B064-6FD8-4906-A9BA-4A749800548E}" type="presParOf" srcId="{CEAD0D10-1A15-4D91-B486-C46CBD462676}" destId="{560CFA16-6D2C-4D34-A342-9E3B71B245B5}" srcOrd="11" destOrd="0" presId="urn:microsoft.com/office/officeart/2005/8/layout/cycle1"/>
    <dgm:cxn modelId="{4165906F-3DB5-411E-BC4C-C620D269017C}" type="presParOf" srcId="{CEAD0D10-1A15-4D91-B486-C46CBD462676}" destId="{AD9959B5-E971-4997-B110-F0040B9AA5E9}" srcOrd="12" destOrd="0" presId="urn:microsoft.com/office/officeart/2005/8/layout/cycle1"/>
    <dgm:cxn modelId="{F45BADF9-7812-46C5-AF07-92EDB6EE265C}" type="presParOf" srcId="{CEAD0D10-1A15-4D91-B486-C46CBD462676}" destId="{EF5C16A4-6461-4951-84EA-240516C66EAA}" srcOrd="13" destOrd="0" presId="urn:microsoft.com/office/officeart/2005/8/layout/cycle1"/>
    <dgm:cxn modelId="{20F23FB6-5CE3-446E-B782-45794B8001DC}" type="presParOf" srcId="{CEAD0D10-1A15-4D91-B486-C46CBD462676}" destId="{7524569B-7D88-4557-B67A-0B10AACD3808}" srcOrd="14" destOrd="0" presId="urn:microsoft.com/office/officeart/2005/8/layout/cycle1"/>
  </dgm:cxnLst>
  <dgm:bg/>
  <dgm:whole/>
  <dgm:extLst>
    <a:ext uri="http://schemas.microsoft.com/office/drawing/2008/diagram">
      <dsp:dataModelExt xmlns:dsp="http://schemas.microsoft.com/office/drawing/2008/diagram" relId="rId82"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B04EAA8A-3EF9-462C-8D72-18C0CCA29132}" type="doc">
      <dgm:prSet loTypeId="urn:microsoft.com/office/officeart/2005/8/layout/target1" loCatId="relationship" qsTypeId="urn:microsoft.com/office/officeart/2005/8/quickstyle/simple1" qsCatId="simple" csTypeId="urn:microsoft.com/office/officeart/2005/8/colors/accent1_2" csCatId="accent1"/>
      <dgm:spPr/>
    </dgm:pt>
    <dgm:pt modelId="{C3FD7532-7EC1-43C0-84A4-8CF41F30180B}">
      <dgm:prSet/>
      <dgm:spPr/>
      <dgm:t>
        <a:bodyPr/>
        <a:lstStyle/>
        <a:p>
          <a:pPr marR="0" algn="ctr" rtl="0"/>
          <a:r>
            <a:rPr lang="en-ZA" baseline="0" smtClean="0">
              <a:latin typeface="Calibri"/>
            </a:rPr>
            <a:t>Project risks</a:t>
          </a:r>
          <a:endParaRPr lang="en-ZA" smtClean="0"/>
        </a:p>
      </dgm:t>
    </dgm:pt>
    <dgm:pt modelId="{30574B63-B8CD-4CB4-823E-CD18411B5DB4}" type="parTrans" cxnId="{A7702E1F-A131-4F3D-857D-FB3EA251717F}">
      <dgm:prSet/>
      <dgm:spPr/>
      <dgm:t>
        <a:bodyPr/>
        <a:lstStyle/>
        <a:p>
          <a:endParaRPr lang="en-ZA"/>
        </a:p>
      </dgm:t>
    </dgm:pt>
    <dgm:pt modelId="{173038D8-6F01-4000-B911-D72981A1F0C3}" type="sibTrans" cxnId="{A7702E1F-A131-4F3D-857D-FB3EA251717F}">
      <dgm:prSet/>
      <dgm:spPr/>
      <dgm:t>
        <a:bodyPr/>
        <a:lstStyle/>
        <a:p>
          <a:endParaRPr lang="en-ZA"/>
        </a:p>
      </dgm:t>
    </dgm:pt>
    <dgm:pt modelId="{161930A7-3EE1-4238-8C02-03AEC8960662}">
      <dgm:prSet/>
      <dgm:spPr/>
      <dgm:t>
        <a:bodyPr/>
        <a:lstStyle/>
        <a:p>
          <a:pPr marR="0" algn="ctr" rtl="0"/>
          <a:r>
            <a:rPr lang="en-ZA" baseline="0" smtClean="0">
              <a:latin typeface="Calibri"/>
            </a:rPr>
            <a:t>Operational risks</a:t>
          </a:r>
          <a:endParaRPr lang="en-ZA" smtClean="0"/>
        </a:p>
      </dgm:t>
    </dgm:pt>
    <dgm:pt modelId="{EBC172C0-C725-4F09-A767-06E4E5425E8F}" type="parTrans" cxnId="{16C145D5-D5D1-452A-A891-EA025446EE47}">
      <dgm:prSet/>
      <dgm:spPr/>
      <dgm:t>
        <a:bodyPr/>
        <a:lstStyle/>
        <a:p>
          <a:endParaRPr lang="en-ZA"/>
        </a:p>
      </dgm:t>
    </dgm:pt>
    <dgm:pt modelId="{CD0810F6-88C3-4D61-BAE4-93EC413D23B4}" type="sibTrans" cxnId="{16C145D5-D5D1-452A-A891-EA025446EE47}">
      <dgm:prSet/>
      <dgm:spPr/>
      <dgm:t>
        <a:bodyPr/>
        <a:lstStyle/>
        <a:p>
          <a:endParaRPr lang="en-ZA"/>
        </a:p>
      </dgm:t>
    </dgm:pt>
    <dgm:pt modelId="{9B284F26-0E4A-4D8A-A7ED-2D2644C97D09}">
      <dgm:prSet/>
      <dgm:spPr/>
      <dgm:t>
        <a:bodyPr/>
        <a:lstStyle/>
        <a:p>
          <a:pPr marR="0" algn="ctr" rtl="0"/>
          <a:r>
            <a:rPr lang="en-ZA" baseline="0" smtClean="0">
              <a:latin typeface="Calibri"/>
            </a:rPr>
            <a:t>Financial risk</a:t>
          </a:r>
          <a:endParaRPr lang="en-ZA" smtClean="0"/>
        </a:p>
      </dgm:t>
    </dgm:pt>
    <dgm:pt modelId="{A562243D-465B-401E-8C5E-78372504CAFE}" type="parTrans" cxnId="{66E83167-CD01-480F-B84F-AB5FFE578485}">
      <dgm:prSet/>
      <dgm:spPr/>
      <dgm:t>
        <a:bodyPr/>
        <a:lstStyle/>
        <a:p>
          <a:endParaRPr lang="en-ZA"/>
        </a:p>
      </dgm:t>
    </dgm:pt>
    <dgm:pt modelId="{512412A9-E949-4C02-934B-FD1F6C43FBBA}" type="sibTrans" cxnId="{66E83167-CD01-480F-B84F-AB5FFE578485}">
      <dgm:prSet/>
      <dgm:spPr/>
      <dgm:t>
        <a:bodyPr/>
        <a:lstStyle/>
        <a:p>
          <a:endParaRPr lang="en-ZA"/>
        </a:p>
      </dgm:t>
    </dgm:pt>
    <dgm:pt modelId="{00DEA329-68E3-4B07-9497-39238BDB7483}">
      <dgm:prSet/>
      <dgm:spPr/>
      <dgm:t>
        <a:bodyPr/>
        <a:lstStyle/>
        <a:p>
          <a:pPr marR="0" algn="ctr" rtl="0"/>
          <a:r>
            <a:rPr lang="en-ZA" baseline="0" smtClean="0">
              <a:latin typeface="Calibri"/>
            </a:rPr>
            <a:t>Strategic risk</a:t>
          </a:r>
          <a:endParaRPr lang="en-ZA" smtClean="0"/>
        </a:p>
      </dgm:t>
    </dgm:pt>
    <dgm:pt modelId="{3037D49B-B08C-46AE-B9CC-FC91E7E3C36F}" type="parTrans" cxnId="{906FB7D8-F03F-4827-832D-5400B19E114C}">
      <dgm:prSet/>
      <dgm:spPr/>
      <dgm:t>
        <a:bodyPr/>
        <a:lstStyle/>
        <a:p>
          <a:endParaRPr lang="en-ZA"/>
        </a:p>
      </dgm:t>
    </dgm:pt>
    <dgm:pt modelId="{47BC06FC-7C44-41AB-AB35-E999570F15FE}" type="sibTrans" cxnId="{906FB7D8-F03F-4827-832D-5400B19E114C}">
      <dgm:prSet/>
      <dgm:spPr/>
      <dgm:t>
        <a:bodyPr/>
        <a:lstStyle/>
        <a:p>
          <a:endParaRPr lang="en-ZA"/>
        </a:p>
      </dgm:t>
    </dgm:pt>
    <dgm:pt modelId="{AA6EDFA5-821E-4EBD-AD4A-7855193D79C4}" type="pres">
      <dgm:prSet presAssocID="{B04EAA8A-3EF9-462C-8D72-18C0CCA29132}" presName="composite" presStyleCnt="0">
        <dgm:presLayoutVars>
          <dgm:chMax val="5"/>
          <dgm:dir/>
          <dgm:resizeHandles val="exact"/>
        </dgm:presLayoutVars>
      </dgm:prSet>
      <dgm:spPr/>
    </dgm:pt>
    <dgm:pt modelId="{08408742-74CC-47AB-9DEA-5C8E52E437F2}" type="pres">
      <dgm:prSet presAssocID="{C3FD7532-7EC1-43C0-84A4-8CF41F30180B}" presName="circle1" presStyleLbl="lnNode1" presStyleIdx="0" presStyleCnt="4"/>
      <dgm:spPr/>
    </dgm:pt>
    <dgm:pt modelId="{B952C4CE-3E53-4896-BB01-155FEED0235C}" type="pres">
      <dgm:prSet presAssocID="{C3FD7532-7EC1-43C0-84A4-8CF41F30180B}" presName="text1" presStyleLbl="revTx" presStyleIdx="0" presStyleCnt="4">
        <dgm:presLayoutVars>
          <dgm:bulletEnabled val="1"/>
        </dgm:presLayoutVars>
      </dgm:prSet>
      <dgm:spPr/>
      <dgm:t>
        <a:bodyPr/>
        <a:lstStyle/>
        <a:p>
          <a:endParaRPr lang="en-ZA"/>
        </a:p>
      </dgm:t>
    </dgm:pt>
    <dgm:pt modelId="{9676BCFA-B3D7-4F8A-B6FE-E336800AE514}" type="pres">
      <dgm:prSet presAssocID="{C3FD7532-7EC1-43C0-84A4-8CF41F30180B}" presName="line1" presStyleLbl="callout" presStyleIdx="0" presStyleCnt="8"/>
      <dgm:spPr/>
    </dgm:pt>
    <dgm:pt modelId="{1BCF9129-1743-4E0F-8BE7-B3D501BF89FF}" type="pres">
      <dgm:prSet presAssocID="{C3FD7532-7EC1-43C0-84A4-8CF41F30180B}" presName="d1" presStyleLbl="callout" presStyleIdx="1" presStyleCnt="8"/>
      <dgm:spPr/>
    </dgm:pt>
    <dgm:pt modelId="{784518F0-FD34-42B8-920D-92C110608549}" type="pres">
      <dgm:prSet presAssocID="{161930A7-3EE1-4238-8C02-03AEC8960662}" presName="circle2" presStyleLbl="lnNode1" presStyleIdx="1" presStyleCnt="4"/>
      <dgm:spPr/>
    </dgm:pt>
    <dgm:pt modelId="{63D9E08D-F839-4BFD-87BE-ADF7206AA568}" type="pres">
      <dgm:prSet presAssocID="{161930A7-3EE1-4238-8C02-03AEC8960662}" presName="text2" presStyleLbl="revTx" presStyleIdx="1" presStyleCnt="4">
        <dgm:presLayoutVars>
          <dgm:bulletEnabled val="1"/>
        </dgm:presLayoutVars>
      </dgm:prSet>
      <dgm:spPr/>
      <dgm:t>
        <a:bodyPr/>
        <a:lstStyle/>
        <a:p>
          <a:endParaRPr lang="en-ZA"/>
        </a:p>
      </dgm:t>
    </dgm:pt>
    <dgm:pt modelId="{4338E698-2041-4ABD-A1EA-9A392B2E6885}" type="pres">
      <dgm:prSet presAssocID="{161930A7-3EE1-4238-8C02-03AEC8960662}" presName="line2" presStyleLbl="callout" presStyleIdx="2" presStyleCnt="8"/>
      <dgm:spPr/>
    </dgm:pt>
    <dgm:pt modelId="{C9D0A7B9-F43C-4D05-AFA6-9DB6EA4F20F3}" type="pres">
      <dgm:prSet presAssocID="{161930A7-3EE1-4238-8C02-03AEC8960662}" presName="d2" presStyleLbl="callout" presStyleIdx="3" presStyleCnt="8"/>
      <dgm:spPr/>
    </dgm:pt>
    <dgm:pt modelId="{33768CCB-487C-4030-A96A-DB651A7AF42B}" type="pres">
      <dgm:prSet presAssocID="{9B284F26-0E4A-4D8A-A7ED-2D2644C97D09}" presName="circle3" presStyleLbl="lnNode1" presStyleIdx="2" presStyleCnt="4"/>
      <dgm:spPr/>
    </dgm:pt>
    <dgm:pt modelId="{FB481668-AA82-4FDA-937C-31E3598B7846}" type="pres">
      <dgm:prSet presAssocID="{9B284F26-0E4A-4D8A-A7ED-2D2644C97D09}" presName="text3" presStyleLbl="revTx" presStyleIdx="2" presStyleCnt="4">
        <dgm:presLayoutVars>
          <dgm:bulletEnabled val="1"/>
        </dgm:presLayoutVars>
      </dgm:prSet>
      <dgm:spPr/>
      <dgm:t>
        <a:bodyPr/>
        <a:lstStyle/>
        <a:p>
          <a:endParaRPr lang="en-ZA"/>
        </a:p>
      </dgm:t>
    </dgm:pt>
    <dgm:pt modelId="{7A480A59-B9D5-4037-8C46-B3A8DD5C818B}" type="pres">
      <dgm:prSet presAssocID="{9B284F26-0E4A-4D8A-A7ED-2D2644C97D09}" presName="line3" presStyleLbl="callout" presStyleIdx="4" presStyleCnt="8"/>
      <dgm:spPr/>
    </dgm:pt>
    <dgm:pt modelId="{D0ED1F69-EDD6-4CA2-B361-4869FB2190F5}" type="pres">
      <dgm:prSet presAssocID="{9B284F26-0E4A-4D8A-A7ED-2D2644C97D09}" presName="d3" presStyleLbl="callout" presStyleIdx="5" presStyleCnt="8"/>
      <dgm:spPr/>
    </dgm:pt>
    <dgm:pt modelId="{D94E1597-402F-45EF-8D92-1AD3C0411FC3}" type="pres">
      <dgm:prSet presAssocID="{00DEA329-68E3-4B07-9497-39238BDB7483}" presName="circle4" presStyleLbl="lnNode1" presStyleIdx="3" presStyleCnt="4" custLinFactNeighborY="5896"/>
      <dgm:spPr/>
    </dgm:pt>
    <dgm:pt modelId="{B1D8098C-288E-4A3E-A47B-3B44A3CB024E}" type="pres">
      <dgm:prSet presAssocID="{00DEA329-68E3-4B07-9497-39238BDB7483}" presName="text4" presStyleLbl="revTx" presStyleIdx="3" presStyleCnt="4">
        <dgm:presLayoutVars>
          <dgm:bulletEnabled val="1"/>
        </dgm:presLayoutVars>
      </dgm:prSet>
      <dgm:spPr/>
      <dgm:t>
        <a:bodyPr/>
        <a:lstStyle/>
        <a:p>
          <a:endParaRPr lang="en-ZA"/>
        </a:p>
      </dgm:t>
    </dgm:pt>
    <dgm:pt modelId="{D8EF4678-C10F-4B3F-8797-ABE68284A196}" type="pres">
      <dgm:prSet presAssocID="{00DEA329-68E3-4B07-9497-39238BDB7483}" presName="line4" presStyleLbl="callout" presStyleIdx="6" presStyleCnt="8"/>
      <dgm:spPr/>
    </dgm:pt>
    <dgm:pt modelId="{7D201101-A288-43D2-86E0-DED3614D765D}" type="pres">
      <dgm:prSet presAssocID="{00DEA329-68E3-4B07-9497-39238BDB7483}" presName="d4" presStyleLbl="callout" presStyleIdx="7" presStyleCnt="8"/>
      <dgm:spPr/>
    </dgm:pt>
  </dgm:ptLst>
  <dgm:cxnLst>
    <dgm:cxn modelId="{906FB7D8-F03F-4827-832D-5400B19E114C}" srcId="{B04EAA8A-3EF9-462C-8D72-18C0CCA29132}" destId="{00DEA329-68E3-4B07-9497-39238BDB7483}" srcOrd="3" destOrd="0" parTransId="{3037D49B-B08C-46AE-B9CC-FC91E7E3C36F}" sibTransId="{47BC06FC-7C44-41AB-AB35-E999570F15FE}"/>
    <dgm:cxn modelId="{B477CD2B-9731-455D-96A6-8501FA4DA99B}" type="presOf" srcId="{00DEA329-68E3-4B07-9497-39238BDB7483}" destId="{B1D8098C-288E-4A3E-A47B-3B44A3CB024E}" srcOrd="0" destOrd="0" presId="urn:microsoft.com/office/officeart/2005/8/layout/target1"/>
    <dgm:cxn modelId="{55107321-6B2F-49CE-A65E-D174155E085D}" type="presOf" srcId="{161930A7-3EE1-4238-8C02-03AEC8960662}" destId="{63D9E08D-F839-4BFD-87BE-ADF7206AA568}" srcOrd="0" destOrd="0" presId="urn:microsoft.com/office/officeart/2005/8/layout/target1"/>
    <dgm:cxn modelId="{303D04C7-FF20-4F37-93DF-94C18875D117}" type="presOf" srcId="{B04EAA8A-3EF9-462C-8D72-18C0CCA29132}" destId="{AA6EDFA5-821E-4EBD-AD4A-7855193D79C4}" srcOrd="0" destOrd="0" presId="urn:microsoft.com/office/officeart/2005/8/layout/target1"/>
    <dgm:cxn modelId="{111002DD-5A23-4BFB-BFE2-4EDD96CF0304}" type="presOf" srcId="{C3FD7532-7EC1-43C0-84A4-8CF41F30180B}" destId="{B952C4CE-3E53-4896-BB01-155FEED0235C}" srcOrd="0" destOrd="0" presId="urn:microsoft.com/office/officeart/2005/8/layout/target1"/>
    <dgm:cxn modelId="{287E4BF2-5A29-43C1-9A92-F27AC8E5C652}" type="presOf" srcId="{9B284F26-0E4A-4D8A-A7ED-2D2644C97D09}" destId="{FB481668-AA82-4FDA-937C-31E3598B7846}" srcOrd="0" destOrd="0" presId="urn:microsoft.com/office/officeart/2005/8/layout/target1"/>
    <dgm:cxn modelId="{16C145D5-D5D1-452A-A891-EA025446EE47}" srcId="{B04EAA8A-3EF9-462C-8D72-18C0CCA29132}" destId="{161930A7-3EE1-4238-8C02-03AEC8960662}" srcOrd="1" destOrd="0" parTransId="{EBC172C0-C725-4F09-A767-06E4E5425E8F}" sibTransId="{CD0810F6-88C3-4D61-BAE4-93EC413D23B4}"/>
    <dgm:cxn modelId="{66E83167-CD01-480F-B84F-AB5FFE578485}" srcId="{B04EAA8A-3EF9-462C-8D72-18C0CCA29132}" destId="{9B284F26-0E4A-4D8A-A7ED-2D2644C97D09}" srcOrd="2" destOrd="0" parTransId="{A562243D-465B-401E-8C5E-78372504CAFE}" sibTransId="{512412A9-E949-4C02-934B-FD1F6C43FBBA}"/>
    <dgm:cxn modelId="{A7702E1F-A131-4F3D-857D-FB3EA251717F}" srcId="{B04EAA8A-3EF9-462C-8D72-18C0CCA29132}" destId="{C3FD7532-7EC1-43C0-84A4-8CF41F30180B}" srcOrd="0" destOrd="0" parTransId="{30574B63-B8CD-4CB4-823E-CD18411B5DB4}" sibTransId="{173038D8-6F01-4000-B911-D72981A1F0C3}"/>
    <dgm:cxn modelId="{56B63C4C-524D-4A31-AA1F-009BA4E4301C}" type="presParOf" srcId="{AA6EDFA5-821E-4EBD-AD4A-7855193D79C4}" destId="{08408742-74CC-47AB-9DEA-5C8E52E437F2}" srcOrd="0" destOrd="0" presId="urn:microsoft.com/office/officeart/2005/8/layout/target1"/>
    <dgm:cxn modelId="{C3906931-C36C-4975-8887-D6E439648835}" type="presParOf" srcId="{AA6EDFA5-821E-4EBD-AD4A-7855193D79C4}" destId="{B952C4CE-3E53-4896-BB01-155FEED0235C}" srcOrd="1" destOrd="0" presId="urn:microsoft.com/office/officeart/2005/8/layout/target1"/>
    <dgm:cxn modelId="{BB34F61D-11EA-45CF-85EB-38B75BCDD4A1}" type="presParOf" srcId="{AA6EDFA5-821E-4EBD-AD4A-7855193D79C4}" destId="{9676BCFA-B3D7-4F8A-B6FE-E336800AE514}" srcOrd="2" destOrd="0" presId="urn:microsoft.com/office/officeart/2005/8/layout/target1"/>
    <dgm:cxn modelId="{AFA3CECB-FB28-4E92-B714-E3055029E67B}" type="presParOf" srcId="{AA6EDFA5-821E-4EBD-AD4A-7855193D79C4}" destId="{1BCF9129-1743-4E0F-8BE7-B3D501BF89FF}" srcOrd="3" destOrd="0" presId="urn:microsoft.com/office/officeart/2005/8/layout/target1"/>
    <dgm:cxn modelId="{3636AC60-A9FE-4A22-B9E1-27A443A79E44}" type="presParOf" srcId="{AA6EDFA5-821E-4EBD-AD4A-7855193D79C4}" destId="{784518F0-FD34-42B8-920D-92C110608549}" srcOrd="4" destOrd="0" presId="urn:microsoft.com/office/officeart/2005/8/layout/target1"/>
    <dgm:cxn modelId="{0F597EB3-EBFE-4072-9B3E-A25ED526D255}" type="presParOf" srcId="{AA6EDFA5-821E-4EBD-AD4A-7855193D79C4}" destId="{63D9E08D-F839-4BFD-87BE-ADF7206AA568}" srcOrd="5" destOrd="0" presId="urn:microsoft.com/office/officeart/2005/8/layout/target1"/>
    <dgm:cxn modelId="{20FDDBF4-C7A8-4939-88D3-B4E4AA49433A}" type="presParOf" srcId="{AA6EDFA5-821E-4EBD-AD4A-7855193D79C4}" destId="{4338E698-2041-4ABD-A1EA-9A392B2E6885}" srcOrd="6" destOrd="0" presId="urn:microsoft.com/office/officeart/2005/8/layout/target1"/>
    <dgm:cxn modelId="{8EB9616B-E9CF-4580-9313-3697E5DD766D}" type="presParOf" srcId="{AA6EDFA5-821E-4EBD-AD4A-7855193D79C4}" destId="{C9D0A7B9-F43C-4D05-AFA6-9DB6EA4F20F3}" srcOrd="7" destOrd="0" presId="urn:microsoft.com/office/officeart/2005/8/layout/target1"/>
    <dgm:cxn modelId="{5DA49104-96B6-44DE-88B5-0F5D0898E339}" type="presParOf" srcId="{AA6EDFA5-821E-4EBD-AD4A-7855193D79C4}" destId="{33768CCB-487C-4030-A96A-DB651A7AF42B}" srcOrd="8" destOrd="0" presId="urn:microsoft.com/office/officeart/2005/8/layout/target1"/>
    <dgm:cxn modelId="{6EE69FEF-ACB1-44D7-AB6F-B5FF71A8B4A9}" type="presParOf" srcId="{AA6EDFA5-821E-4EBD-AD4A-7855193D79C4}" destId="{FB481668-AA82-4FDA-937C-31E3598B7846}" srcOrd="9" destOrd="0" presId="urn:microsoft.com/office/officeart/2005/8/layout/target1"/>
    <dgm:cxn modelId="{8773DA28-1C49-457D-AEEB-E8D23E22E64B}" type="presParOf" srcId="{AA6EDFA5-821E-4EBD-AD4A-7855193D79C4}" destId="{7A480A59-B9D5-4037-8C46-B3A8DD5C818B}" srcOrd="10" destOrd="0" presId="urn:microsoft.com/office/officeart/2005/8/layout/target1"/>
    <dgm:cxn modelId="{ACCF799D-64D0-464A-874C-638C515B36AA}" type="presParOf" srcId="{AA6EDFA5-821E-4EBD-AD4A-7855193D79C4}" destId="{D0ED1F69-EDD6-4CA2-B361-4869FB2190F5}" srcOrd="11" destOrd="0" presId="urn:microsoft.com/office/officeart/2005/8/layout/target1"/>
    <dgm:cxn modelId="{DE0A1332-7E07-4472-BDD0-EB93C9B73058}" type="presParOf" srcId="{AA6EDFA5-821E-4EBD-AD4A-7855193D79C4}" destId="{D94E1597-402F-45EF-8D92-1AD3C0411FC3}" srcOrd="12" destOrd="0" presId="urn:microsoft.com/office/officeart/2005/8/layout/target1"/>
    <dgm:cxn modelId="{035D84D2-BB72-4F43-A8AD-EFE2715E95A3}" type="presParOf" srcId="{AA6EDFA5-821E-4EBD-AD4A-7855193D79C4}" destId="{B1D8098C-288E-4A3E-A47B-3B44A3CB024E}" srcOrd="13" destOrd="0" presId="urn:microsoft.com/office/officeart/2005/8/layout/target1"/>
    <dgm:cxn modelId="{1EB47062-9144-41AD-BDAD-F6DD231AA2B3}" type="presParOf" srcId="{AA6EDFA5-821E-4EBD-AD4A-7855193D79C4}" destId="{D8EF4678-C10F-4B3F-8797-ABE68284A196}" srcOrd="14" destOrd="0" presId="urn:microsoft.com/office/officeart/2005/8/layout/target1"/>
    <dgm:cxn modelId="{BF4A9115-758A-4B7F-B216-D54ADC0D2E3C}" type="presParOf" srcId="{AA6EDFA5-821E-4EBD-AD4A-7855193D79C4}" destId="{7D201101-A288-43D2-86E0-DED3614D765D}" srcOrd="15" destOrd="0" presId="urn:microsoft.com/office/officeart/2005/8/layout/target1"/>
  </dgm:cxnLst>
  <dgm:bg/>
  <dgm:whole/>
  <dgm:extLst>
    <a:ext uri="http://schemas.microsoft.com/office/drawing/2008/diagram">
      <dsp:dataModelExt xmlns:dsp="http://schemas.microsoft.com/office/drawing/2008/diagram" relId="rId10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6AB00F2-CED2-4DBB-B89C-42479483869F}">
      <dsp:nvSpPr>
        <dsp:cNvPr id="0" name=""/>
        <dsp:cNvSpPr/>
      </dsp:nvSpPr>
      <dsp:spPr>
        <a:xfrm rot="5400000">
          <a:off x="190931" y="1203969"/>
          <a:ext cx="574297" cy="955618"/>
        </a:xfrm>
        <a:prstGeom prst="corner">
          <a:avLst>
            <a:gd name="adj1" fmla="val 16120"/>
            <a:gd name="adj2" fmla="val 16110"/>
          </a:avLst>
        </a:prstGeom>
        <a:solidFill>
          <a:schemeClr val="accent5">
            <a:hueOff val="0"/>
            <a:satOff val="0"/>
            <a:lumOff val="0"/>
            <a:alphaOff val="0"/>
          </a:schemeClr>
        </a:solidFill>
        <a:ln w="25400" cap="flat" cmpd="sng" algn="ctr">
          <a:solidFill>
            <a:schemeClr val="accent5">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3A62342-BA63-4EA9-9542-96BCE3D9236A}">
      <dsp:nvSpPr>
        <dsp:cNvPr id="0" name=""/>
        <dsp:cNvSpPr/>
      </dsp:nvSpPr>
      <dsp:spPr>
        <a:xfrm>
          <a:off x="95067" y="1489493"/>
          <a:ext cx="862737" cy="75624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t" anchorCtr="0">
          <a:noAutofit/>
        </a:bodyPr>
        <a:lstStyle/>
        <a:p>
          <a:pPr lvl="0" algn="l" defTabSz="533400">
            <a:lnSpc>
              <a:spcPct val="90000"/>
            </a:lnSpc>
            <a:spcBef>
              <a:spcPct val="0"/>
            </a:spcBef>
            <a:spcAft>
              <a:spcPct val="35000"/>
            </a:spcAft>
          </a:pPr>
          <a:r>
            <a:rPr lang="en-ZA" sz="1200" b="1" kern="1200"/>
            <a:t>IDP</a:t>
          </a:r>
        </a:p>
        <a:p>
          <a:pPr lvl="0" algn="l" defTabSz="533400">
            <a:lnSpc>
              <a:spcPct val="90000"/>
            </a:lnSpc>
            <a:spcBef>
              <a:spcPct val="0"/>
            </a:spcBef>
            <a:spcAft>
              <a:spcPct val="35000"/>
            </a:spcAft>
          </a:pPr>
          <a:r>
            <a:rPr lang="en-ZA" sz="900" b="1" kern="1200"/>
            <a:t>(5 YEAR STRATEGY) </a:t>
          </a:r>
        </a:p>
      </dsp:txBody>
      <dsp:txXfrm>
        <a:off x="95067" y="1489493"/>
        <a:ext cx="862737" cy="756240"/>
      </dsp:txXfrm>
    </dsp:sp>
    <dsp:sp modelId="{8BDCE32C-2E9E-487D-9951-14D4F33080CF}">
      <dsp:nvSpPr>
        <dsp:cNvPr id="0" name=""/>
        <dsp:cNvSpPr/>
      </dsp:nvSpPr>
      <dsp:spPr>
        <a:xfrm>
          <a:off x="795024" y="1133615"/>
          <a:ext cx="162780" cy="162780"/>
        </a:xfrm>
        <a:prstGeom prst="triangle">
          <a:avLst>
            <a:gd name="adj" fmla="val 100000"/>
          </a:avLst>
        </a:prstGeom>
        <a:solidFill>
          <a:schemeClr val="accent5">
            <a:hueOff val="-993388"/>
            <a:satOff val="3981"/>
            <a:lumOff val="863"/>
            <a:alphaOff val="0"/>
          </a:schemeClr>
        </a:solidFill>
        <a:ln w="25400" cap="flat" cmpd="sng" algn="ctr">
          <a:solidFill>
            <a:schemeClr val="accent5">
              <a:hueOff val="-993388"/>
              <a:satOff val="3981"/>
              <a:lumOff val="863"/>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556307E-B2B6-4BB2-9F56-2F755685EDB0}">
      <dsp:nvSpPr>
        <dsp:cNvPr id="0" name=""/>
        <dsp:cNvSpPr/>
      </dsp:nvSpPr>
      <dsp:spPr>
        <a:xfrm rot="5400000">
          <a:off x="1217706" y="903437"/>
          <a:ext cx="574297" cy="955618"/>
        </a:xfrm>
        <a:prstGeom prst="corner">
          <a:avLst>
            <a:gd name="adj1" fmla="val 16120"/>
            <a:gd name="adj2" fmla="val 16110"/>
          </a:avLst>
        </a:prstGeom>
        <a:solidFill>
          <a:schemeClr val="accent5">
            <a:hueOff val="-1986775"/>
            <a:satOff val="7962"/>
            <a:lumOff val="1726"/>
            <a:alphaOff val="0"/>
          </a:schemeClr>
        </a:solidFill>
        <a:ln w="25400" cap="flat" cmpd="sng" algn="ctr">
          <a:solidFill>
            <a:schemeClr val="accent5">
              <a:hueOff val="-1986775"/>
              <a:satOff val="7962"/>
              <a:lumOff val="1726"/>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B7A39E4-4E1A-412C-99FE-6AD203D4E5F7}">
      <dsp:nvSpPr>
        <dsp:cNvPr id="0" name=""/>
        <dsp:cNvSpPr/>
      </dsp:nvSpPr>
      <dsp:spPr>
        <a:xfrm>
          <a:off x="1098789" y="1228145"/>
          <a:ext cx="967612" cy="75624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t" anchorCtr="0">
          <a:noAutofit/>
        </a:bodyPr>
        <a:lstStyle/>
        <a:p>
          <a:pPr lvl="0" algn="l" defTabSz="533400">
            <a:lnSpc>
              <a:spcPct val="90000"/>
            </a:lnSpc>
            <a:spcBef>
              <a:spcPct val="0"/>
            </a:spcBef>
            <a:spcAft>
              <a:spcPct val="35000"/>
            </a:spcAft>
          </a:pPr>
          <a:r>
            <a:rPr lang="en-ZA" sz="1200" b="1" kern="1200"/>
            <a:t>BUDGET</a:t>
          </a:r>
        </a:p>
        <a:p>
          <a:pPr lvl="0" algn="l" defTabSz="533400">
            <a:lnSpc>
              <a:spcPct val="90000"/>
            </a:lnSpc>
            <a:spcBef>
              <a:spcPct val="0"/>
            </a:spcBef>
            <a:spcAft>
              <a:spcPct val="35000"/>
            </a:spcAft>
          </a:pPr>
          <a:r>
            <a:rPr lang="en-ZA" sz="900" b="1" kern="1200"/>
            <a:t>(3 YEAR BUDGET)</a:t>
          </a:r>
        </a:p>
      </dsp:txBody>
      <dsp:txXfrm>
        <a:off x="1098789" y="1228145"/>
        <a:ext cx="967612" cy="756240"/>
      </dsp:txXfrm>
    </dsp:sp>
    <dsp:sp modelId="{4F7B48B5-F6C1-419B-AA86-3A57166955C2}">
      <dsp:nvSpPr>
        <dsp:cNvPr id="0" name=""/>
        <dsp:cNvSpPr/>
      </dsp:nvSpPr>
      <dsp:spPr>
        <a:xfrm>
          <a:off x="1851184" y="872268"/>
          <a:ext cx="162780" cy="162780"/>
        </a:xfrm>
        <a:prstGeom prst="triangle">
          <a:avLst>
            <a:gd name="adj" fmla="val 100000"/>
          </a:avLst>
        </a:prstGeom>
        <a:solidFill>
          <a:schemeClr val="accent5">
            <a:hueOff val="-2980163"/>
            <a:satOff val="11943"/>
            <a:lumOff val="2588"/>
            <a:alphaOff val="0"/>
          </a:schemeClr>
        </a:solidFill>
        <a:ln w="25400" cap="flat" cmpd="sng" algn="ctr">
          <a:solidFill>
            <a:schemeClr val="accent5">
              <a:hueOff val="-2980163"/>
              <a:satOff val="11943"/>
              <a:lumOff val="2588"/>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AFDAE584-6D59-4202-B4E5-5C934C4A4811}">
      <dsp:nvSpPr>
        <dsp:cNvPr id="0" name=""/>
        <dsp:cNvSpPr/>
      </dsp:nvSpPr>
      <dsp:spPr>
        <a:xfrm rot="5400000">
          <a:off x="2283661" y="661420"/>
          <a:ext cx="574297" cy="955618"/>
        </a:xfrm>
        <a:prstGeom prst="corner">
          <a:avLst>
            <a:gd name="adj1" fmla="val 16120"/>
            <a:gd name="adj2" fmla="val 16110"/>
          </a:avLst>
        </a:prstGeom>
        <a:solidFill>
          <a:schemeClr val="accent5">
            <a:hueOff val="-3973551"/>
            <a:satOff val="15924"/>
            <a:lumOff val="3451"/>
            <a:alphaOff val="0"/>
          </a:schemeClr>
        </a:solidFill>
        <a:ln w="25400" cap="flat" cmpd="sng" algn="ctr">
          <a:solidFill>
            <a:schemeClr val="accent5">
              <a:hueOff val="-3973551"/>
              <a:satOff val="15924"/>
              <a:lumOff val="3451"/>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5730BDCA-5A03-41ED-8738-36B5A09824E5}">
      <dsp:nvSpPr>
        <dsp:cNvPr id="0" name=""/>
        <dsp:cNvSpPr/>
      </dsp:nvSpPr>
      <dsp:spPr>
        <a:xfrm>
          <a:off x="2224844" y="957261"/>
          <a:ext cx="985169" cy="75624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t" anchorCtr="0">
          <a:noAutofit/>
        </a:bodyPr>
        <a:lstStyle/>
        <a:p>
          <a:pPr lvl="0" algn="l" defTabSz="533400">
            <a:lnSpc>
              <a:spcPct val="90000"/>
            </a:lnSpc>
            <a:spcBef>
              <a:spcPct val="0"/>
            </a:spcBef>
            <a:spcAft>
              <a:spcPct val="35000"/>
            </a:spcAft>
          </a:pPr>
          <a:r>
            <a:rPr lang="en-ZA" sz="1200" b="1" kern="1200"/>
            <a:t>SDBIP</a:t>
          </a:r>
        </a:p>
        <a:p>
          <a:pPr lvl="0" algn="l" defTabSz="533400">
            <a:lnSpc>
              <a:spcPct val="90000"/>
            </a:lnSpc>
            <a:spcBef>
              <a:spcPct val="0"/>
            </a:spcBef>
            <a:spcAft>
              <a:spcPct val="35000"/>
            </a:spcAft>
          </a:pPr>
          <a:r>
            <a:rPr lang="en-ZA" sz="900" b="1" kern="1200"/>
            <a:t>(ANNUAL PLAN TO IMPLEMENT)</a:t>
          </a:r>
        </a:p>
      </dsp:txBody>
      <dsp:txXfrm>
        <a:off x="2224844" y="957261"/>
        <a:ext cx="985169" cy="756240"/>
      </dsp:txXfrm>
    </dsp:sp>
    <dsp:sp modelId="{F483809A-5CFA-4207-A5B0-8458F0AF05FA}">
      <dsp:nvSpPr>
        <dsp:cNvPr id="0" name=""/>
        <dsp:cNvSpPr/>
      </dsp:nvSpPr>
      <dsp:spPr>
        <a:xfrm>
          <a:off x="2907343" y="610920"/>
          <a:ext cx="162780" cy="162780"/>
        </a:xfrm>
        <a:prstGeom prst="triangle">
          <a:avLst>
            <a:gd name="adj" fmla="val 100000"/>
          </a:avLst>
        </a:prstGeom>
        <a:solidFill>
          <a:schemeClr val="accent5">
            <a:hueOff val="-4966938"/>
            <a:satOff val="19906"/>
            <a:lumOff val="4314"/>
            <a:alphaOff val="0"/>
          </a:schemeClr>
        </a:solidFill>
        <a:ln w="25400" cap="flat" cmpd="sng" algn="ctr">
          <a:solidFill>
            <a:schemeClr val="accent5">
              <a:hueOff val="-4966938"/>
              <a:satOff val="19906"/>
              <a:lumOff val="4314"/>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FB8BD71-9278-412C-969E-06E306A7C5A2}">
      <dsp:nvSpPr>
        <dsp:cNvPr id="0" name=""/>
        <dsp:cNvSpPr/>
      </dsp:nvSpPr>
      <dsp:spPr>
        <a:xfrm rot="5400000">
          <a:off x="3359410" y="419926"/>
          <a:ext cx="574297" cy="955618"/>
        </a:xfrm>
        <a:prstGeom prst="corner">
          <a:avLst>
            <a:gd name="adj1" fmla="val 16120"/>
            <a:gd name="adj2" fmla="val 16110"/>
          </a:avLst>
        </a:prstGeom>
        <a:solidFill>
          <a:schemeClr val="accent5">
            <a:hueOff val="-5960326"/>
            <a:satOff val="23887"/>
            <a:lumOff val="5177"/>
            <a:alphaOff val="0"/>
          </a:schemeClr>
        </a:solidFill>
        <a:ln w="25400" cap="flat" cmpd="sng" algn="ctr">
          <a:solidFill>
            <a:schemeClr val="accent5">
              <a:hueOff val="-5960326"/>
              <a:satOff val="23887"/>
              <a:lumOff val="5177"/>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DC0ECF76-3EBF-4725-B5E4-78DC81A2B7B3}">
      <dsp:nvSpPr>
        <dsp:cNvPr id="0" name=""/>
        <dsp:cNvSpPr/>
      </dsp:nvSpPr>
      <dsp:spPr>
        <a:xfrm>
          <a:off x="3266315" y="751331"/>
          <a:ext cx="1017771" cy="75624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t" anchorCtr="0">
          <a:noAutofit/>
        </a:bodyPr>
        <a:lstStyle/>
        <a:p>
          <a:pPr lvl="0" algn="l" defTabSz="533400">
            <a:lnSpc>
              <a:spcPct val="90000"/>
            </a:lnSpc>
            <a:spcBef>
              <a:spcPct val="0"/>
            </a:spcBef>
            <a:spcAft>
              <a:spcPct val="35000"/>
            </a:spcAft>
          </a:pPr>
          <a:r>
            <a:rPr lang="en-ZA" sz="1200" b="1" kern="1200"/>
            <a:t>IN-YEAR REPORTING</a:t>
          </a:r>
        </a:p>
        <a:p>
          <a:pPr lvl="0" algn="l" defTabSz="533400">
            <a:lnSpc>
              <a:spcPct val="90000"/>
            </a:lnSpc>
            <a:spcBef>
              <a:spcPct val="0"/>
            </a:spcBef>
            <a:spcAft>
              <a:spcPct val="35000"/>
            </a:spcAft>
          </a:pPr>
          <a:r>
            <a:rPr lang="en-ZA" sz="900" b="1" kern="1200"/>
            <a:t>(MONITORING)</a:t>
          </a:r>
        </a:p>
      </dsp:txBody>
      <dsp:txXfrm>
        <a:off x="3266315" y="751331"/>
        <a:ext cx="1017771" cy="756240"/>
      </dsp:txXfrm>
    </dsp:sp>
    <dsp:sp modelId="{0DAB3830-8B96-41BE-B55D-B3B15042FF65}">
      <dsp:nvSpPr>
        <dsp:cNvPr id="0" name=""/>
        <dsp:cNvSpPr/>
      </dsp:nvSpPr>
      <dsp:spPr>
        <a:xfrm>
          <a:off x="3963503" y="349572"/>
          <a:ext cx="162780" cy="162780"/>
        </a:xfrm>
        <a:prstGeom prst="triangle">
          <a:avLst>
            <a:gd name="adj" fmla="val 100000"/>
          </a:avLst>
        </a:prstGeom>
        <a:solidFill>
          <a:schemeClr val="accent5">
            <a:hueOff val="-6953714"/>
            <a:satOff val="27868"/>
            <a:lumOff val="6040"/>
            <a:alphaOff val="0"/>
          </a:schemeClr>
        </a:solidFill>
        <a:ln w="25400" cap="flat" cmpd="sng" algn="ctr">
          <a:solidFill>
            <a:schemeClr val="accent5">
              <a:hueOff val="-6953714"/>
              <a:satOff val="27868"/>
              <a:lumOff val="604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2BDA842-F1D8-4EC7-B612-98D6435951F1}">
      <dsp:nvSpPr>
        <dsp:cNvPr id="0" name=""/>
        <dsp:cNvSpPr/>
      </dsp:nvSpPr>
      <dsp:spPr>
        <a:xfrm rot="5400000">
          <a:off x="4376390" y="217352"/>
          <a:ext cx="574297" cy="955618"/>
        </a:xfrm>
        <a:prstGeom prst="corner">
          <a:avLst>
            <a:gd name="adj1" fmla="val 16120"/>
            <a:gd name="adj2" fmla="val 16110"/>
          </a:avLst>
        </a:prstGeom>
        <a:solidFill>
          <a:schemeClr val="accent5">
            <a:hueOff val="-7947101"/>
            <a:satOff val="31849"/>
            <a:lumOff val="6902"/>
            <a:alphaOff val="0"/>
          </a:schemeClr>
        </a:solidFill>
        <a:ln w="25400" cap="flat" cmpd="sng" algn="ctr">
          <a:solidFill>
            <a:schemeClr val="accent5">
              <a:hueOff val="-7947101"/>
              <a:satOff val="31849"/>
              <a:lumOff val="6902"/>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35980F07-4A56-4DB0-B83D-C6C64A4C7D1F}">
      <dsp:nvSpPr>
        <dsp:cNvPr id="0" name=""/>
        <dsp:cNvSpPr/>
      </dsp:nvSpPr>
      <dsp:spPr>
        <a:xfrm>
          <a:off x="4242352" y="444102"/>
          <a:ext cx="1017444" cy="75624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t" anchorCtr="0">
          <a:noAutofit/>
        </a:bodyPr>
        <a:lstStyle/>
        <a:p>
          <a:pPr lvl="0" algn="l" defTabSz="533400">
            <a:lnSpc>
              <a:spcPct val="90000"/>
            </a:lnSpc>
            <a:spcBef>
              <a:spcPct val="0"/>
            </a:spcBef>
            <a:spcAft>
              <a:spcPct val="35000"/>
            </a:spcAft>
          </a:pPr>
          <a:r>
            <a:rPr lang="en-ZA" sz="1200" b="1" kern="1200"/>
            <a:t>ANNUAL FINANCIAL STATEMENTS</a:t>
          </a:r>
        </a:p>
        <a:p>
          <a:pPr lvl="0" algn="l" defTabSz="533400">
            <a:lnSpc>
              <a:spcPct val="90000"/>
            </a:lnSpc>
            <a:spcBef>
              <a:spcPct val="0"/>
            </a:spcBef>
            <a:spcAft>
              <a:spcPct val="35000"/>
            </a:spcAft>
          </a:pPr>
          <a:r>
            <a:rPr lang="en-ZA" sz="900" b="1" kern="1200"/>
            <a:t>(OVERSIGHT REPORTS)</a:t>
          </a:r>
        </a:p>
      </dsp:txBody>
      <dsp:txXfrm>
        <a:off x="4242352" y="444102"/>
        <a:ext cx="1017444" cy="756240"/>
      </dsp:txXfrm>
    </dsp:sp>
    <dsp:sp modelId="{191E283F-EE3B-480A-9BA7-80E355BE8CB5}">
      <dsp:nvSpPr>
        <dsp:cNvPr id="0" name=""/>
        <dsp:cNvSpPr/>
      </dsp:nvSpPr>
      <dsp:spPr>
        <a:xfrm>
          <a:off x="5019663" y="88224"/>
          <a:ext cx="162780" cy="162780"/>
        </a:xfrm>
        <a:prstGeom prst="triangle">
          <a:avLst>
            <a:gd name="adj" fmla="val 100000"/>
          </a:avLst>
        </a:prstGeom>
        <a:solidFill>
          <a:schemeClr val="accent5">
            <a:hueOff val="-8940489"/>
            <a:satOff val="35830"/>
            <a:lumOff val="7765"/>
            <a:alphaOff val="0"/>
          </a:schemeClr>
        </a:solidFill>
        <a:ln w="25400" cap="flat" cmpd="sng" algn="ctr">
          <a:solidFill>
            <a:schemeClr val="accent5">
              <a:hueOff val="-8940489"/>
              <a:satOff val="35830"/>
              <a:lumOff val="7765"/>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073F964-B36B-472D-908B-5AC70AB0ED13}">
      <dsp:nvSpPr>
        <dsp:cNvPr id="0" name=""/>
        <dsp:cNvSpPr/>
      </dsp:nvSpPr>
      <dsp:spPr>
        <a:xfrm rot="5400000">
          <a:off x="5471730" y="-102769"/>
          <a:ext cx="574297" cy="955618"/>
        </a:xfrm>
        <a:prstGeom prst="corner">
          <a:avLst>
            <a:gd name="adj1" fmla="val 16120"/>
            <a:gd name="adj2" fmla="val 16110"/>
          </a:avLst>
        </a:prstGeom>
        <a:solidFill>
          <a:schemeClr val="accent5">
            <a:hueOff val="-9933876"/>
            <a:satOff val="39811"/>
            <a:lumOff val="8628"/>
            <a:alphaOff val="0"/>
          </a:schemeClr>
        </a:solidFill>
        <a:ln w="25400" cap="flat" cmpd="sng" algn="ctr">
          <a:solidFill>
            <a:schemeClr val="accent5">
              <a:hueOff val="-9933876"/>
              <a:satOff val="39811"/>
              <a:lumOff val="8628"/>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F03B6EE-AD8A-4B1F-9E7F-2B37DECF12E2}">
      <dsp:nvSpPr>
        <dsp:cNvPr id="0" name=""/>
        <dsp:cNvSpPr/>
      </dsp:nvSpPr>
      <dsp:spPr>
        <a:xfrm>
          <a:off x="5375865" y="182754"/>
          <a:ext cx="862737" cy="75624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t" anchorCtr="0">
          <a:noAutofit/>
        </a:bodyPr>
        <a:lstStyle/>
        <a:p>
          <a:pPr lvl="0" algn="l" defTabSz="533400">
            <a:lnSpc>
              <a:spcPct val="90000"/>
            </a:lnSpc>
            <a:spcBef>
              <a:spcPct val="0"/>
            </a:spcBef>
            <a:spcAft>
              <a:spcPct val="35000"/>
            </a:spcAft>
          </a:pPr>
          <a:r>
            <a:rPr lang="en-ZA" sz="1200" b="1" kern="1200"/>
            <a:t>ANNUAL REPORTS</a:t>
          </a:r>
        </a:p>
      </dsp:txBody>
      <dsp:txXfrm>
        <a:off x="5375865" y="182754"/>
        <a:ext cx="862737" cy="75624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EA55601-EFE2-406A-A594-DAAA11C0F485}">
      <dsp:nvSpPr>
        <dsp:cNvPr id="0" name=""/>
        <dsp:cNvSpPr/>
      </dsp:nvSpPr>
      <dsp:spPr>
        <a:xfrm>
          <a:off x="2925913" y="17259"/>
          <a:ext cx="581992" cy="58199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n-ZA" sz="800" b="0" kern="1200">
              <a:solidFill>
                <a:sysClr val="windowText" lastClr="000000">
                  <a:hueOff val="0"/>
                  <a:satOff val="0"/>
                  <a:lumOff val="0"/>
                  <a:alphaOff val="0"/>
                </a:sysClr>
              </a:solidFill>
              <a:latin typeface="Calibri"/>
              <a:ea typeface="+mn-ea"/>
              <a:cs typeface="+mn-cs"/>
            </a:rPr>
            <a:t>Situational Analysis: Data Collection</a:t>
          </a:r>
        </a:p>
      </dsp:txBody>
      <dsp:txXfrm>
        <a:off x="2925913" y="17259"/>
        <a:ext cx="581992" cy="581992"/>
      </dsp:txXfrm>
    </dsp:sp>
    <dsp:sp modelId="{58D89131-7A73-4E38-9B7D-57CDA56C2506}">
      <dsp:nvSpPr>
        <dsp:cNvPr id="0" name=""/>
        <dsp:cNvSpPr/>
      </dsp:nvSpPr>
      <dsp:spPr>
        <a:xfrm>
          <a:off x="1555880" y="305"/>
          <a:ext cx="2183286" cy="2183286"/>
        </a:xfrm>
        <a:prstGeom prst="circularArrow">
          <a:avLst>
            <a:gd name="adj1" fmla="val 5198"/>
            <a:gd name="adj2" fmla="val 335760"/>
            <a:gd name="adj3" fmla="val 21293865"/>
            <a:gd name="adj4" fmla="val 19765693"/>
            <a:gd name="adj5" fmla="val 6064"/>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407B448-61EC-4847-8C8A-E78A4A98AB5D}">
      <dsp:nvSpPr>
        <dsp:cNvPr id="0" name=""/>
        <dsp:cNvSpPr/>
      </dsp:nvSpPr>
      <dsp:spPr>
        <a:xfrm>
          <a:off x="3086459" y="1100296"/>
          <a:ext cx="964698" cy="58199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n-ZA" sz="800" kern="1200">
              <a:solidFill>
                <a:sysClr val="windowText" lastClr="000000">
                  <a:hueOff val="0"/>
                  <a:satOff val="0"/>
                  <a:lumOff val="0"/>
                  <a:alphaOff val="0"/>
                </a:sysClr>
              </a:solidFill>
              <a:latin typeface="Calibri"/>
              <a:ea typeface="+mn-ea"/>
              <a:cs typeface="+mn-cs"/>
            </a:rPr>
            <a:t>Needs Analysis: Socio-economic &amp; Infrustructure</a:t>
          </a:r>
        </a:p>
        <a:p>
          <a:pPr lvl="0" algn="ctr" defTabSz="355600">
            <a:lnSpc>
              <a:spcPct val="90000"/>
            </a:lnSpc>
            <a:spcBef>
              <a:spcPct val="0"/>
            </a:spcBef>
            <a:spcAft>
              <a:spcPct val="35000"/>
            </a:spcAft>
          </a:pPr>
          <a:r>
            <a:rPr lang="en-ZA" sz="800" kern="1200">
              <a:solidFill>
                <a:sysClr val="windowText" lastClr="000000">
                  <a:hueOff val="0"/>
                  <a:satOff val="0"/>
                  <a:lumOff val="0"/>
                  <a:alphaOff val="0"/>
                </a:sysClr>
              </a:solidFill>
              <a:latin typeface="Calibri"/>
              <a:ea typeface="+mn-ea"/>
              <a:cs typeface="+mn-cs"/>
            </a:rPr>
            <a:t>SWOT </a:t>
          </a:r>
        </a:p>
      </dsp:txBody>
      <dsp:txXfrm>
        <a:off x="3086459" y="1100296"/>
        <a:ext cx="964698" cy="581992"/>
      </dsp:txXfrm>
    </dsp:sp>
    <dsp:sp modelId="{F4DBC04C-673D-4CAF-9B4B-C85C557A1D2A}">
      <dsp:nvSpPr>
        <dsp:cNvPr id="0" name=""/>
        <dsp:cNvSpPr/>
      </dsp:nvSpPr>
      <dsp:spPr>
        <a:xfrm>
          <a:off x="1555880" y="305"/>
          <a:ext cx="2183286" cy="2183286"/>
        </a:xfrm>
        <a:prstGeom prst="circularArrow">
          <a:avLst>
            <a:gd name="adj1" fmla="val 5198"/>
            <a:gd name="adj2" fmla="val 335760"/>
            <a:gd name="adj3" fmla="val 4015344"/>
            <a:gd name="adj4" fmla="val 2252840"/>
            <a:gd name="adj5" fmla="val 6064"/>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25BF7C6-C702-41EB-9470-23713D809F3D}">
      <dsp:nvSpPr>
        <dsp:cNvPr id="0" name=""/>
        <dsp:cNvSpPr/>
      </dsp:nvSpPr>
      <dsp:spPr>
        <a:xfrm>
          <a:off x="2356527" y="1769649"/>
          <a:ext cx="581992" cy="58199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n-ZA" sz="800" kern="1200">
              <a:solidFill>
                <a:sysClr val="windowText" lastClr="000000">
                  <a:hueOff val="0"/>
                  <a:satOff val="0"/>
                  <a:lumOff val="0"/>
                  <a:alphaOff val="0"/>
                </a:sysClr>
              </a:solidFill>
              <a:latin typeface="Calibri"/>
              <a:ea typeface="+mn-ea"/>
              <a:cs typeface="+mn-cs"/>
            </a:rPr>
            <a:t>Vision, Mission and Strategy Development</a:t>
          </a:r>
        </a:p>
      </dsp:txBody>
      <dsp:txXfrm>
        <a:off x="2356527" y="1769649"/>
        <a:ext cx="581992" cy="581992"/>
      </dsp:txXfrm>
    </dsp:sp>
    <dsp:sp modelId="{03E0F036-DC46-4F8E-A762-06737930FF76}">
      <dsp:nvSpPr>
        <dsp:cNvPr id="0" name=""/>
        <dsp:cNvSpPr/>
      </dsp:nvSpPr>
      <dsp:spPr>
        <a:xfrm>
          <a:off x="1555880" y="305"/>
          <a:ext cx="2183286" cy="2183286"/>
        </a:xfrm>
        <a:prstGeom prst="circularArrow">
          <a:avLst>
            <a:gd name="adj1" fmla="val 5198"/>
            <a:gd name="adj2" fmla="val 335760"/>
            <a:gd name="adj3" fmla="val 8211400"/>
            <a:gd name="adj4" fmla="val 6448896"/>
            <a:gd name="adj5" fmla="val 6064"/>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A163E63-003C-4180-8E21-9E6D196219DF}">
      <dsp:nvSpPr>
        <dsp:cNvPr id="0" name=""/>
        <dsp:cNvSpPr/>
      </dsp:nvSpPr>
      <dsp:spPr>
        <a:xfrm>
          <a:off x="1435241" y="1100296"/>
          <a:ext cx="581992" cy="58199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n-ZA" sz="800" kern="1200">
              <a:solidFill>
                <a:sysClr val="windowText" lastClr="000000">
                  <a:hueOff val="0"/>
                  <a:satOff val="0"/>
                  <a:lumOff val="0"/>
                  <a:alphaOff val="0"/>
                </a:sysClr>
              </a:solidFill>
              <a:latin typeface="Calibri"/>
              <a:ea typeface="+mn-ea"/>
              <a:cs typeface="+mn-cs"/>
            </a:rPr>
            <a:t>Ward Plan: Conceptualize Projects and Programs</a:t>
          </a:r>
        </a:p>
      </dsp:txBody>
      <dsp:txXfrm>
        <a:off x="1435241" y="1100296"/>
        <a:ext cx="581992" cy="581992"/>
      </dsp:txXfrm>
    </dsp:sp>
    <dsp:sp modelId="{560CFA16-6D2C-4D34-A342-9E3B71B245B5}">
      <dsp:nvSpPr>
        <dsp:cNvPr id="0" name=""/>
        <dsp:cNvSpPr/>
      </dsp:nvSpPr>
      <dsp:spPr>
        <a:xfrm>
          <a:off x="1555880" y="305"/>
          <a:ext cx="2183286" cy="2183286"/>
        </a:xfrm>
        <a:prstGeom prst="circularArrow">
          <a:avLst>
            <a:gd name="adj1" fmla="val 5198"/>
            <a:gd name="adj2" fmla="val 335760"/>
            <a:gd name="adj3" fmla="val 12298547"/>
            <a:gd name="adj4" fmla="val 10770375"/>
            <a:gd name="adj5" fmla="val 6064"/>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F5C16A4-6461-4951-84EA-240516C66EAA}">
      <dsp:nvSpPr>
        <dsp:cNvPr id="0" name=""/>
        <dsp:cNvSpPr/>
      </dsp:nvSpPr>
      <dsp:spPr>
        <a:xfrm>
          <a:off x="1787141" y="17259"/>
          <a:ext cx="581992" cy="58199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n-ZA" sz="800" kern="1200">
              <a:solidFill>
                <a:sysClr val="windowText" lastClr="000000">
                  <a:hueOff val="0"/>
                  <a:satOff val="0"/>
                  <a:lumOff val="0"/>
                  <a:alphaOff val="0"/>
                </a:sysClr>
              </a:solidFill>
              <a:latin typeface="Calibri"/>
              <a:ea typeface="+mn-ea"/>
              <a:cs typeface="+mn-cs"/>
            </a:rPr>
            <a:t>Monitoring and Evaluation</a:t>
          </a:r>
        </a:p>
      </dsp:txBody>
      <dsp:txXfrm>
        <a:off x="1787141" y="17259"/>
        <a:ext cx="581992" cy="581992"/>
      </dsp:txXfrm>
    </dsp:sp>
    <dsp:sp modelId="{7524569B-7D88-4557-B67A-0B10AACD3808}">
      <dsp:nvSpPr>
        <dsp:cNvPr id="0" name=""/>
        <dsp:cNvSpPr/>
      </dsp:nvSpPr>
      <dsp:spPr>
        <a:xfrm>
          <a:off x="1555880" y="305"/>
          <a:ext cx="2183286" cy="2183286"/>
        </a:xfrm>
        <a:prstGeom prst="circularArrow">
          <a:avLst>
            <a:gd name="adj1" fmla="val 5198"/>
            <a:gd name="adj2" fmla="val 335760"/>
            <a:gd name="adj3" fmla="val 16866330"/>
            <a:gd name="adj4" fmla="val 15197910"/>
            <a:gd name="adj5" fmla="val 6064"/>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94E1597-402F-45EF-8D92-1AD3C0411FC3}">
      <dsp:nvSpPr>
        <dsp:cNvPr id="0" name=""/>
        <dsp:cNvSpPr/>
      </dsp:nvSpPr>
      <dsp:spPr>
        <a:xfrm>
          <a:off x="384101" y="390746"/>
          <a:ext cx="1172239" cy="117223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33768CCB-487C-4030-A96A-DB651A7AF42B}">
      <dsp:nvSpPr>
        <dsp:cNvPr id="0" name=""/>
        <dsp:cNvSpPr/>
      </dsp:nvSpPr>
      <dsp:spPr>
        <a:xfrm>
          <a:off x="551633" y="558279"/>
          <a:ext cx="837174" cy="83717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84518F0-FD34-42B8-920D-92C110608549}">
      <dsp:nvSpPr>
        <dsp:cNvPr id="0" name=""/>
        <dsp:cNvSpPr/>
      </dsp:nvSpPr>
      <dsp:spPr>
        <a:xfrm>
          <a:off x="719068" y="725713"/>
          <a:ext cx="502304" cy="50230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8408742-74CC-47AB-9DEA-5C8E52E437F2}">
      <dsp:nvSpPr>
        <dsp:cNvPr id="0" name=""/>
        <dsp:cNvSpPr/>
      </dsp:nvSpPr>
      <dsp:spPr>
        <a:xfrm>
          <a:off x="886503" y="893148"/>
          <a:ext cx="167434" cy="16743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952C4CE-3E53-4896-BB01-155FEED0235C}">
      <dsp:nvSpPr>
        <dsp:cNvPr id="0" name=""/>
        <dsp:cNvSpPr/>
      </dsp:nvSpPr>
      <dsp:spPr>
        <a:xfrm>
          <a:off x="1751714" y="0"/>
          <a:ext cx="586119" cy="28036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10160" rIns="10160" bIns="10160" numCol="1" spcCol="1270" anchor="ctr" anchorCtr="0">
          <a:noAutofit/>
        </a:bodyPr>
        <a:lstStyle/>
        <a:p>
          <a:pPr marR="0" lvl="0" algn="ctr" defTabSz="355600" rtl="0">
            <a:lnSpc>
              <a:spcPct val="90000"/>
            </a:lnSpc>
            <a:spcBef>
              <a:spcPct val="0"/>
            </a:spcBef>
            <a:spcAft>
              <a:spcPct val="35000"/>
            </a:spcAft>
          </a:pPr>
          <a:r>
            <a:rPr lang="en-ZA" sz="800" kern="1200" baseline="0" smtClean="0">
              <a:latin typeface="Calibri"/>
            </a:rPr>
            <a:t>Project risks</a:t>
          </a:r>
          <a:endParaRPr lang="en-ZA" sz="800" kern="1200" smtClean="0"/>
        </a:p>
      </dsp:txBody>
      <dsp:txXfrm>
        <a:off x="1751714" y="0"/>
        <a:ext cx="586119" cy="280360"/>
      </dsp:txXfrm>
    </dsp:sp>
    <dsp:sp modelId="{9676BCFA-B3D7-4F8A-B6FE-E336800AE514}">
      <dsp:nvSpPr>
        <dsp:cNvPr id="0" name=""/>
        <dsp:cNvSpPr/>
      </dsp:nvSpPr>
      <dsp:spPr>
        <a:xfrm>
          <a:off x="1605184" y="140180"/>
          <a:ext cx="146529" cy="0"/>
        </a:xfrm>
        <a:prstGeom prst="line">
          <a:avLst/>
        </a:prstGeom>
        <a:solidFill>
          <a:schemeClr val="accent1">
            <a:hueOff val="0"/>
            <a:satOff val="0"/>
            <a:lumOff val="0"/>
            <a:alphaOff val="0"/>
          </a:schemeClr>
        </a:solidFill>
        <a:ln w="25400" cap="flat" cmpd="sng" algn="ctr">
          <a:solidFill>
            <a:schemeClr val="accent1">
              <a:tint val="5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1BCF9129-1743-4E0F-8BE7-B3D501BF89FF}">
      <dsp:nvSpPr>
        <dsp:cNvPr id="0" name=""/>
        <dsp:cNvSpPr/>
      </dsp:nvSpPr>
      <dsp:spPr>
        <a:xfrm rot="5400000">
          <a:off x="868626" y="232494"/>
          <a:ext cx="828382" cy="644731"/>
        </a:xfrm>
        <a:prstGeom prst="line">
          <a:avLst/>
        </a:prstGeom>
        <a:solidFill>
          <a:schemeClr val="accent1">
            <a:hueOff val="0"/>
            <a:satOff val="0"/>
            <a:lumOff val="0"/>
            <a:alphaOff val="0"/>
          </a:schemeClr>
        </a:solidFill>
        <a:ln w="25400" cap="flat" cmpd="sng" algn="ctr">
          <a:solidFill>
            <a:schemeClr val="accent1">
              <a:tint val="5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63D9E08D-F839-4BFD-87BE-ADF7206AA568}">
      <dsp:nvSpPr>
        <dsp:cNvPr id="0" name=""/>
        <dsp:cNvSpPr/>
      </dsp:nvSpPr>
      <dsp:spPr>
        <a:xfrm>
          <a:off x="1751714" y="280360"/>
          <a:ext cx="586119" cy="28036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10160" rIns="10160" bIns="10160" numCol="1" spcCol="1270" anchor="ctr" anchorCtr="0">
          <a:noAutofit/>
        </a:bodyPr>
        <a:lstStyle/>
        <a:p>
          <a:pPr marR="0" lvl="0" algn="ctr" defTabSz="355600" rtl="0">
            <a:lnSpc>
              <a:spcPct val="90000"/>
            </a:lnSpc>
            <a:spcBef>
              <a:spcPct val="0"/>
            </a:spcBef>
            <a:spcAft>
              <a:spcPct val="35000"/>
            </a:spcAft>
          </a:pPr>
          <a:r>
            <a:rPr lang="en-ZA" sz="800" kern="1200" baseline="0" smtClean="0">
              <a:latin typeface="Calibri"/>
            </a:rPr>
            <a:t>Operational risks</a:t>
          </a:r>
          <a:endParaRPr lang="en-ZA" sz="800" kern="1200" smtClean="0"/>
        </a:p>
      </dsp:txBody>
      <dsp:txXfrm>
        <a:off x="1751714" y="280360"/>
        <a:ext cx="586119" cy="280360"/>
      </dsp:txXfrm>
    </dsp:sp>
    <dsp:sp modelId="{4338E698-2041-4ABD-A1EA-9A392B2E6885}">
      <dsp:nvSpPr>
        <dsp:cNvPr id="0" name=""/>
        <dsp:cNvSpPr/>
      </dsp:nvSpPr>
      <dsp:spPr>
        <a:xfrm>
          <a:off x="1605184" y="420540"/>
          <a:ext cx="146529" cy="0"/>
        </a:xfrm>
        <a:prstGeom prst="line">
          <a:avLst/>
        </a:prstGeom>
        <a:solidFill>
          <a:schemeClr val="accent1">
            <a:hueOff val="0"/>
            <a:satOff val="0"/>
            <a:lumOff val="0"/>
            <a:alphaOff val="0"/>
          </a:schemeClr>
        </a:solidFill>
        <a:ln w="25400" cap="flat" cmpd="sng" algn="ctr">
          <a:solidFill>
            <a:schemeClr val="accent1">
              <a:tint val="5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C9D0A7B9-F43C-4D05-AFA6-9DB6EA4F20F3}">
      <dsp:nvSpPr>
        <dsp:cNvPr id="0" name=""/>
        <dsp:cNvSpPr/>
      </dsp:nvSpPr>
      <dsp:spPr>
        <a:xfrm rot="5400000">
          <a:off x="1012030" y="508263"/>
          <a:ext cx="680289" cy="505039"/>
        </a:xfrm>
        <a:prstGeom prst="line">
          <a:avLst/>
        </a:prstGeom>
        <a:solidFill>
          <a:schemeClr val="accent1">
            <a:hueOff val="0"/>
            <a:satOff val="0"/>
            <a:lumOff val="0"/>
            <a:alphaOff val="0"/>
          </a:schemeClr>
        </a:solidFill>
        <a:ln w="25400" cap="flat" cmpd="sng" algn="ctr">
          <a:solidFill>
            <a:schemeClr val="accent1">
              <a:tint val="5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FB481668-AA82-4FDA-937C-31E3598B7846}">
      <dsp:nvSpPr>
        <dsp:cNvPr id="0" name=""/>
        <dsp:cNvSpPr/>
      </dsp:nvSpPr>
      <dsp:spPr>
        <a:xfrm>
          <a:off x="1751714" y="560721"/>
          <a:ext cx="586119" cy="28036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10160" rIns="10160" bIns="10160" numCol="1" spcCol="1270" anchor="ctr" anchorCtr="0">
          <a:noAutofit/>
        </a:bodyPr>
        <a:lstStyle/>
        <a:p>
          <a:pPr marR="0" lvl="0" algn="ctr" defTabSz="355600" rtl="0">
            <a:lnSpc>
              <a:spcPct val="90000"/>
            </a:lnSpc>
            <a:spcBef>
              <a:spcPct val="0"/>
            </a:spcBef>
            <a:spcAft>
              <a:spcPct val="35000"/>
            </a:spcAft>
          </a:pPr>
          <a:r>
            <a:rPr lang="en-ZA" sz="800" kern="1200" baseline="0" smtClean="0">
              <a:latin typeface="Calibri"/>
            </a:rPr>
            <a:t>Financial risk</a:t>
          </a:r>
          <a:endParaRPr lang="en-ZA" sz="800" kern="1200" smtClean="0"/>
        </a:p>
      </dsp:txBody>
      <dsp:txXfrm>
        <a:off x="1751714" y="560721"/>
        <a:ext cx="586119" cy="280360"/>
      </dsp:txXfrm>
    </dsp:sp>
    <dsp:sp modelId="{7A480A59-B9D5-4037-8C46-B3A8DD5C818B}">
      <dsp:nvSpPr>
        <dsp:cNvPr id="0" name=""/>
        <dsp:cNvSpPr/>
      </dsp:nvSpPr>
      <dsp:spPr>
        <a:xfrm>
          <a:off x="1605184" y="700901"/>
          <a:ext cx="146529" cy="0"/>
        </a:xfrm>
        <a:prstGeom prst="line">
          <a:avLst/>
        </a:prstGeom>
        <a:solidFill>
          <a:schemeClr val="accent1">
            <a:hueOff val="0"/>
            <a:satOff val="0"/>
            <a:lumOff val="0"/>
            <a:alphaOff val="0"/>
          </a:schemeClr>
        </a:solidFill>
        <a:ln w="25400" cap="flat" cmpd="sng" algn="ctr">
          <a:solidFill>
            <a:schemeClr val="accent1">
              <a:tint val="5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D0ED1F69-EDD6-4CA2-B361-4869FB2190F5}">
      <dsp:nvSpPr>
        <dsp:cNvPr id="0" name=""/>
        <dsp:cNvSpPr/>
      </dsp:nvSpPr>
      <dsp:spPr>
        <a:xfrm rot="5400000">
          <a:off x="1150843" y="765277"/>
          <a:ext cx="518911" cy="389769"/>
        </a:xfrm>
        <a:prstGeom prst="line">
          <a:avLst/>
        </a:prstGeom>
        <a:solidFill>
          <a:schemeClr val="accent1">
            <a:hueOff val="0"/>
            <a:satOff val="0"/>
            <a:lumOff val="0"/>
            <a:alphaOff val="0"/>
          </a:schemeClr>
        </a:solidFill>
        <a:ln w="25400" cap="flat" cmpd="sng" algn="ctr">
          <a:solidFill>
            <a:schemeClr val="accent1">
              <a:tint val="5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B1D8098C-288E-4A3E-A47B-3B44A3CB024E}">
      <dsp:nvSpPr>
        <dsp:cNvPr id="0" name=""/>
        <dsp:cNvSpPr/>
      </dsp:nvSpPr>
      <dsp:spPr>
        <a:xfrm>
          <a:off x="1751714" y="841081"/>
          <a:ext cx="586119" cy="28036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6896" tIns="10160" rIns="10160" bIns="10160" numCol="1" spcCol="1270" anchor="ctr" anchorCtr="0">
          <a:noAutofit/>
        </a:bodyPr>
        <a:lstStyle/>
        <a:p>
          <a:pPr marR="0" lvl="0" algn="ctr" defTabSz="355600" rtl="0">
            <a:lnSpc>
              <a:spcPct val="90000"/>
            </a:lnSpc>
            <a:spcBef>
              <a:spcPct val="0"/>
            </a:spcBef>
            <a:spcAft>
              <a:spcPct val="35000"/>
            </a:spcAft>
          </a:pPr>
          <a:r>
            <a:rPr lang="en-ZA" sz="800" kern="1200" baseline="0" smtClean="0">
              <a:latin typeface="Calibri"/>
            </a:rPr>
            <a:t>Strategic risk</a:t>
          </a:r>
          <a:endParaRPr lang="en-ZA" sz="800" kern="1200" smtClean="0"/>
        </a:p>
      </dsp:txBody>
      <dsp:txXfrm>
        <a:off x="1751714" y="841081"/>
        <a:ext cx="586119" cy="280360"/>
      </dsp:txXfrm>
    </dsp:sp>
    <dsp:sp modelId="{D8EF4678-C10F-4B3F-8797-ABE68284A196}">
      <dsp:nvSpPr>
        <dsp:cNvPr id="0" name=""/>
        <dsp:cNvSpPr/>
      </dsp:nvSpPr>
      <dsp:spPr>
        <a:xfrm>
          <a:off x="1605184" y="981262"/>
          <a:ext cx="146529" cy="0"/>
        </a:xfrm>
        <a:prstGeom prst="line">
          <a:avLst/>
        </a:prstGeom>
        <a:solidFill>
          <a:schemeClr val="accent1">
            <a:hueOff val="0"/>
            <a:satOff val="0"/>
            <a:lumOff val="0"/>
            <a:alphaOff val="0"/>
          </a:schemeClr>
        </a:solidFill>
        <a:ln w="25400" cap="flat" cmpd="sng" algn="ctr">
          <a:solidFill>
            <a:schemeClr val="accent1">
              <a:tint val="5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7D201101-A288-43D2-86E0-DED3614D765D}">
      <dsp:nvSpPr>
        <dsp:cNvPr id="0" name=""/>
        <dsp:cNvSpPr/>
      </dsp:nvSpPr>
      <dsp:spPr>
        <a:xfrm rot="5400000">
          <a:off x="1289988" y="1023306"/>
          <a:ext cx="356673" cy="272350"/>
        </a:xfrm>
        <a:prstGeom prst="line">
          <a:avLst/>
        </a:prstGeom>
        <a:solidFill>
          <a:schemeClr val="accent1">
            <a:hueOff val="0"/>
            <a:satOff val="0"/>
            <a:lumOff val="0"/>
            <a:alphaOff val="0"/>
          </a:schemeClr>
        </a:solidFill>
        <a:ln w="25400" cap="flat" cmpd="sng" algn="ctr">
          <a:solidFill>
            <a:schemeClr val="accent1">
              <a:tint val="5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9/3/layout/StepUpProcess">
  <dgm:title val=""/>
  <dgm:desc val=""/>
  <dgm:catLst>
    <dgm:cat type="process" pri="13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bL"/>
          <dgm:param type="flowDir" val="row"/>
          <dgm:param type="off" val="off"/>
          <dgm:param type="bkpt" val="fixed"/>
          <dgm:param type="bkPtFixedVal" val="1"/>
        </dgm:alg>
      </dgm:if>
      <dgm:else name="Name2">
        <dgm:alg type="snake">
          <dgm:param type="grDir" val="bR"/>
          <dgm:param type="flowDir" val="row"/>
          <dgm:param type="off" val="off"/>
          <dgm:param type="bkpt" val="fixed"/>
          <dgm:param type="bkPtFixedVal" val="1"/>
        </dgm:alg>
      </dgm:else>
    </dgm:choose>
    <dgm:shape xmlns:r="http://schemas.openxmlformats.org/officeDocument/2006/relationships" r:blip="">
      <dgm:adjLst/>
    </dgm:shape>
    <dgm:constrLst>
      <dgm:constr type="alignOff" forName="rootnode" val="1"/>
      <dgm:constr type="primFontSz" for="des" ptType="node" op="equ" val="65"/>
      <dgm:constr type="w" for="ch" forName="composite" refType="w"/>
      <dgm:constr type="h" for="ch" forName="composite" refType="h"/>
      <dgm:constr type="sp" refType="h" refFor="ch" refForName="composite" op="equ" fact="-0.765"/>
      <dgm:constr type="w" for="ch" forName="sibTrans" refType="w" fact="0.103"/>
      <dgm:constr type="h" for="ch" forName="sibTrans" refType="h" fact="0.103"/>
    </dgm:constrLst>
    <dgm:forEach name="nodesForEach" axis="ch" ptType="node">
      <dgm:layoutNode name="composite">
        <dgm:alg type="composite">
          <dgm:param type="ar" val="0.861"/>
        </dgm:alg>
        <dgm:shape xmlns:r="http://schemas.openxmlformats.org/officeDocument/2006/relationships" r:blip="">
          <dgm:adjLst/>
        </dgm:shape>
        <dgm:choose name="Name3">
          <dgm:if name="Name4" func="var" arg="dir" op="equ" val="norm">
            <dgm:constrLst>
              <dgm:constr type="l" for="ch" forName="LShape" refType="w" fact="0"/>
              <dgm:constr type="t" for="ch" forName="LShape" refType="h" fact="0.2347"/>
              <dgm:constr type="w" for="ch" forName="LShape" refType="w" fact="0.998"/>
              <dgm:constr type="h" for="ch" forName="LShape" refType="h" fact="0.5164"/>
              <dgm:constr type="r" for="ch" forName="ParentText" refType="w"/>
              <dgm:constr type="t" for="ch" forName="ParentText" refType="h" fact="0.32"/>
              <dgm:constr type="w" for="ch" forName="ParentText" refType="w" fact="0.901"/>
              <dgm:constr type="h" for="ch" forName="ParentText" refType="h" fact="0.68"/>
              <dgm:constr type="l" for="ch" forName="Triangle" refType="w" fact="0.83"/>
              <dgm:constr type="t" for="ch" forName="Triangle" refType="h" fact="0"/>
              <dgm:constr type="w" for="ch" forName="Triangle" refType="w" fact="0.17"/>
              <dgm:constr type="h" for="ch" forName="Triangle" refType="w" refFor="ch" refForName="Triangle"/>
            </dgm:constrLst>
          </dgm:if>
          <dgm:else name="Name5">
            <dgm:constrLst>
              <dgm:constr type="l" for="ch" forName="LShape" refType="w" fact="0.002"/>
              <dgm:constr type="t" for="ch" forName="LShape" refType="h" fact="0.2347"/>
              <dgm:constr type="w" for="ch" forName="LShape" refType="w"/>
              <dgm:constr type="h" for="ch" forName="LShape" refType="h" fact="0.5164"/>
              <dgm:constr type="l" for="ch" forName="ParentText" refType="w" fact="0"/>
              <dgm:constr type="t" for="ch" forName="ParentText" refType="h" fact="0.32"/>
              <dgm:constr type="w" for="ch" forName="ParentText" refType="w" fact="0.902"/>
              <dgm:constr type="h" for="ch" forName="ParentText" refType="h" fact="0.68"/>
              <dgm:constr type="l" for="ch" forName="Triangle" refType="w" fact="0"/>
              <dgm:constr type="t" for="ch" forName="Triangle" refType="h" fact="0"/>
              <dgm:constr type="w" for="ch" forName="Triangle" refType="w" fact="0.17"/>
              <dgm:constr type="h" for="ch" forName="Triangle" refType="w" refFor="ch" refForName="Triangle"/>
            </dgm:constrLst>
          </dgm:else>
        </dgm:choose>
        <dgm:layoutNode name="LShape" styleLbl="alignNode1">
          <dgm:alg type="sp"/>
          <dgm:choose name="Name6">
            <dgm:if name="Name7" func="var" arg="dir" op="equ" val="norm">
              <dgm:shape xmlns:r="http://schemas.openxmlformats.org/officeDocument/2006/relationships" rot="90" type="corner" r:blip="">
                <dgm:adjLst>
                  <dgm:adj idx="1" val="0.1612"/>
                  <dgm:adj idx="2" val="0.1611"/>
                </dgm:adjLst>
              </dgm:shape>
            </dgm:if>
            <dgm:else name="Name8">
              <dgm:shape xmlns:r="http://schemas.openxmlformats.org/officeDocument/2006/relationships" rot="180" type="corner" r:blip="">
                <dgm:adjLst>
                  <dgm:adj idx="1" val="0.1612"/>
                  <dgm:adj idx="2" val="0.1611"/>
                </dgm:adjLst>
              </dgm:shape>
            </dgm:else>
          </dgm:choose>
          <dgm:presOf/>
        </dgm:layoutNode>
        <dgm:layoutNode name="ParentText" styleLbl="revTx">
          <dgm:varLst>
            <dgm:chMax val="0"/>
            <dgm:chPref val="0"/>
            <dgm:bulletEnabled val="1"/>
          </dgm:varLst>
          <dgm:alg type="tx">
            <dgm:param type="parTxLTRAlign" val="l"/>
            <dgm:param type="txAnchorVert" val="t"/>
          </dgm:alg>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9">
          <dgm:if name="Name10" axis="followSib" ptType="node" func="cnt" op="gte" val="1">
            <dgm:layoutNode name="Triangle" styleLbl="alignNode1">
              <dgm:alg type="sp"/>
              <dgm:choose name="Name11">
                <dgm:if name="Name12" func="var" arg="dir" op="equ" val="norm">
                  <dgm:shape xmlns:r="http://schemas.openxmlformats.org/officeDocument/2006/relationships" type="triangle" r:blip="">
                    <dgm:adjLst>
                      <dgm:adj idx="1" val="1"/>
                    </dgm:adjLst>
                  </dgm:shape>
                </dgm:if>
                <dgm:else name="Name13">
                  <dgm:shape xmlns:r="http://schemas.openxmlformats.org/officeDocument/2006/relationships" rot="90" type="triangle" r:blip="">
                    <dgm:adjLst>
                      <dgm:adj idx="1" val="1"/>
                    </dgm:adjLst>
                  </dgm:shape>
                </dgm:else>
              </dgm:choose>
              <dgm:presOf/>
            </dgm:layoutNode>
          </dgm:if>
          <dgm:else name="Name14"/>
        </dgm:choose>
      </dgm:layoutNode>
      <dgm:forEach name="sibTransForEach" axis="followSib" ptType="sibTrans" cnt="1">
        <dgm:layoutNode name="sibTrans">
          <dgm:alg type="composite">
            <dgm:param type="ar" val="0.861"/>
          </dgm:alg>
          <dgm:constrLst>
            <dgm:constr type="w" for="ch" forName="space" refType="w"/>
            <dgm:constr type="h" for="ch" forName="space" refType="w"/>
          </dgm:constrLst>
          <dgm:layoutNode name="space" styleLbl="alignNode1">
            <dgm:alg type="sp"/>
            <dgm:shape xmlns:r="http://schemas.openxmlformats.org/officeDocument/2006/relationships" r:blip="">
              <dgm:adjLst/>
            </dgm:shape>
            <dgm:presOf/>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ycle1">
  <dgm:title val=""/>
  <dgm:desc val=""/>
  <dgm:catLst>
    <dgm:cat type="cycle" pri="2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alg type="cycle">
          <dgm:param type="stAng" val="0"/>
          <dgm:param type="spanAng" val="360"/>
        </dgm:alg>
      </dgm:if>
      <dgm:else name="Name2">
        <dgm:alg type="cycle">
          <dgm:param type="stAng" val="0"/>
          <dgm:param type="spanAng" val="-360"/>
        </dgm:alg>
      </dgm:else>
    </dgm:choose>
    <dgm:shape xmlns:r="http://schemas.openxmlformats.org/officeDocument/2006/relationships" r:blip="">
      <dgm:adjLst/>
    </dgm:shape>
    <dgm:presOf/>
    <dgm:choose name="Name3">
      <dgm:if name="Name4" func="var" arg="dir" op="equ" val="norm">
        <dgm:constrLst>
          <dgm:constr type="diam" val="1"/>
          <dgm:constr type="w" for="ch" forName="node" refType="w"/>
          <dgm:constr type="w" for="ch" ptType="sibTrans" refType="w" refFor="ch" refForName="node" fact="0.5"/>
          <dgm:constr type="h" for="ch" ptType="sibTrans" op="equ"/>
          <dgm:constr type="diam" for="ch" ptType="sibTrans" refType="diam" op="equ"/>
          <dgm:constr type="sibSp" refType="w" refFor="ch" refForName="node" fact="0.15"/>
          <dgm:constr type="w" for="ch" forName="dummy" refType="sibSp" fact="2.8"/>
          <dgm:constr type="primFontSz" for="ch" forName="node" op="equ" val="65"/>
        </dgm:constrLst>
      </dgm:if>
      <dgm:else name="Name5">
        <dgm:constrLst>
          <dgm:constr type="diam" val="1"/>
          <dgm:constr type="w" for="ch" forName="node" refType="w"/>
          <dgm:constr type="w" for="ch" ptType="sibTrans" refType="w" refFor="ch" refForName="node" fact="0.5"/>
          <dgm:constr type="h" for="ch" ptType="sibTrans" op="equ"/>
          <dgm:constr type="diam" for="ch" ptType="sibTrans" refType="diam" op="equ" fact="-1"/>
          <dgm:constr type="sibSp" refType="w" refFor="ch" refForName="node" fact="0.15"/>
          <dgm:constr type="w" for="ch" forName="dummy" refType="sibSp" fact="2.8"/>
          <dgm:constr type="primFontSz" for="ch" forName="node" op="equ" val="65"/>
        </dgm:constrLst>
      </dgm:else>
    </dgm:choose>
    <dgm:ruleLst>
      <dgm:rule type="diam" val="INF" fact="NaN" max="NaN"/>
    </dgm:ruleLst>
    <dgm:forEach name="nodesForEach" axis="ch" ptType="node">
      <dgm:choose name="Name6">
        <dgm:if name="Name7" axis="par ch" ptType="doc node" func="cnt" op="gt" val="1">
          <dgm:layoutNode name="dummy">
            <dgm:alg type="sp"/>
            <dgm:shape xmlns:r="http://schemas.openxmlformats.org/officeDocument/2006/relationships" r:blip="">
              <dgm:adjLst/>
            </dgm:shape>
            <dgm:presOf/>
            <dgm:constrLst>
              <dgm:constr type="h" refType="w"/>
            </dgm:constrLst>
            <dgm:ruleLst/>
          </dgm:layoutNode>
        </dgm:if>
        <dgm:else name="Name8"/>
      </dgm:choose>
      <dgm:layoutNode name="node" styleLbl="revTx">
        <dgm:varLst>
          <dgm:bulletEnabled val="1"/>
        </dgm:varLst>
        <dgm:alg type="tx">
          <dgm:param type="txAnchorVertCh" val="mid"/>
        </dgm:alg>
        <dgm:shape xmlns:r="http://schemas.openxmlformats.org/officeDocument/2006/relationships" type="rect"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Name11" axis="followSib" ptType="sibTrans" hideLastTrans="0" cnt="1">
            <dgm:layoutNode name="sibTrans" styleLbl="node1">
              <dgm:alg type="conn">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begPad"/>
                <dgm:constr type="endPad"/>
              </dgm:constrLst>
              <dgm:ruleLst/>
            </dgm:layoutNode>
          </dgm:forEach>
        </dgm:if>
        <dgm:else name="Name12"/>
      </dgm:choose>
    </dgm:forEach>
  </dgm:layoutNode>
</dgm:layoutDef>
</file>

<file path=word/diagrams/layout3.xml><?xml version="1.0" encoding="utf-8"?>
<dgm:layoutDef xmlns:dgm="http://schemas.openxmlformats.org/drawingml/2006/diagram" xmlns:a="http://schemas.openxmlformats.org/drawingml/2006/main" uniqueId="urn:microsoft.com/office/officeart/2005/8/layout/target1">
  <dgm:title val=""/>
  <dgm:desc val=""/>
  <dgm:catLst>
    <dgm:cat type="relationship" pri="25000"/>
    <dgm:cat type="convert" pri="2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ite">
    <dgm:varLst>
      <dgm:chMax val="5"/>
      <dgm:dir/>
      <dgm:resizeHandles val="exact"/>
    </dgm:varLst>
    <dgm:alg type="composite">
      <dgm:param type="ar" val="1.25"/>
    </dgm:alg>
    <dgm:shape xmlns:r="http://schemas.openxmlformats.org/officeDocument/2006/relationships" r:blip="">
      <dgm:adjLst/>
    </dgm:shape>
    <dgm:presOf/>
    <dgm:choose name="Name0">
      <dgm:if name="Name1" func="var" arg="dir" op="equ" val="norm">
        <dgm:choose name="Name2">
          <dgm:if name="Name3" axis="ch" ptType="node" func="cnt" op="equ" val="0">
            <dgm:constrLst/>
          </dgm:if>
          <dgm:if name="Name4" axis="ch" ptType="node" func="cnt" op="equ" val="1">
            <dgm:constrLst>
              <dgm:constr type="primFontSz" for="des" ptType="node" op="equ" val="65"/>
              <dgm:constr type="w" for="ch" forName="circle1" refType="w" fact="0.6"/>
              <dgm:constr type="h" for="ch" forName="circle1" refType="w" refFor="ch" refForName="circle1"/>
              <dgm:constr type="ctrX" for="ch" forName="circle1" refType="w" fact="0.3"/>
              <dgm:constr type="ctrY" for="ch" forName="circle1" refType="h" fact="0.625"/>
              <dgm:constr type="w" for="ch" forName="text1" refType="w" fact="0.3"/>
              <dgm:constr type="h" for="ch" forName="text1" refType="h" fact="0.3125"/>
              <dgm:constr type="r" for="ch" forName="text1" refType="w"/>
              <dgm:constr type="t" for="ch" forName="text1"/>
              <dgm:constr type="l" for="ch" forName="line1" refType="w" fact="0.625"/>
              <dgm:constr type="ctrY" for="ch" forName="line1" refType="ctrY" refFor="ch" refForName="text1"/>
              <dgm:constr type="r" for="ch" forName="line1" refType="l" refFor="ch" refForName="text1"/>
              <dgm:constr type="h" for="ch" forName="line1"/>
              <dgm:constr type="l" for="ch" forName="d1" refType="w" fact="0.3"/>
              <dgm:constr type="b" for="ch" forName="d1" refType="h" fact="0.625"/>
              <dgm:constr type="w" for="ch" forName="d1" refType="w" fact="0.32475"/>
              <dgm:constr type="h" for="ch" forName="d1" refType="h" fact="0.469"/>
            </dgm:constrLst>
          </dgm:if>
          <dgm:if name="Name5" axis="ch" ptType="node" func="cnt" op="equ" val="2">
            <dgm:constrLst>
              <dgm:constr type="primFontSz" for="des" ptType="node" op="equ" val="65"/>
              <dgm:constr type="w" for="ch" forName="circle1" refType="w" fact="0.2"/>
              <dgm:constr type="h" for="ch" forName="circle1" refType="w" refFor="ch" refForName="circle1"/>
              <dgm:constr type="ctrX" for="ch" forName="circle1" refType="w" fact="0.3"/>
              <dgm:constr type="ctrY" for="ch" forName="circle1" refType="h" fact="0.625"/>
              <dgm:constr type="w" for="ch" forName="text1" refType="w" fact="0.3"/>
              <dgm:constr type="h" for="ch" forName="text1" refType="h" fact="0.3125"/>
              <dgm:constr type="r" for="ch" forName="text1" refType="w"/>
              <dgm:constr type="t" for="ch" forName="text1"/>
              <dgm:constr type="l" for="ch" forName="line1" refType="w" fact="0.625"/>
              <dgm:constr type="ctrY" for="ch" forName="line1" refType="ctrY" refFor="ch" refForName="text1"/>
              <dgm:constr type="w" for="ch" forName="line1" refType="w" fact="0.075"/>
              <dgm:constr type="h" for="ch" forName="line1"/>
              <dgm:constr type="l" for="ch" forName="d1" refType="w" fact="0.3"/>
              <dgm:constr type="b" for="ch" forName="d1" refType="h" fact="0.625"/>
              <dgm:constr type="w" for="ch" forName="d1" refType="w" fact="0.32475"/>
              <dgm:constr type="h" for="ch" forName="d1" refType="h" fact="0.469"/>
              <dgm:constr type="w" for="ch" forName="circle2" refType="w" fact="0.6"/>
              <dgm:constr type="h" for="ch" forName="circle2" refType="w" refFor="ch" refForName="circle2"/>
              <dgm:constr type="ctrX" for="ch" forName="circle2" refType="w" fact="0.3"/>
              <dgm:constr type="ctrY" for="ch" forName="circle2" refType="h" fact="0.625"/>
              <dgm:constr type="w" for="ch" forName="text2" refType="w" fact="0.3"/>
              <dgm:constr type="h" for="ch" forName="text2" refType="h" fact="0.3125"/>
              <dgm:constr type="r" for="ch" forName="text2" refType="w"/>
              <dgm:constr type="t" for="ch" forName="text2" refType="b" refFor="ch" refForName="text1"/>
              <dgm:constr type="l" for="ch" forName="line2" refType="w" fact="0.625"/>
              <dgm:constr type="ctrY" for="ch" forName="line2" refType="ctrY" refFor="ch" refForName="text2"/>
              <dgm:constr type="w" for="ch" forName="line2" refType="w" fact="0.075"/>
              <dgm:constr type="h" for="ch" forName="line2"/>
              <dgm:constr type="l" for="ch" forName="d2" refType="w" fact="0.44325"/>
              <dgm:constr type="b" for="ch" forName="d2" refType="h" fact="0.7975"/>
              <dgm:constr type="w" for="ch" forName="d2" refType="w" fact="0.1815"/>
              <dgm:constr type="h" for="ch" forName="d2" refType="h" fact="0.3283"/>
            </dgm:constrLst>
          </dgm:if>
          <dgm:if name="Name6" axis="ch" ptType="node" func="cnt" op="equ" val="3">
            <dgm:constrLst>
              <dgm:constr type="primFontSz" for="des" ptType="node" op="equ" val="65"/>
              <dgm:constr type="w" for="ch" forName="circle1" refType="w" fact="0.12"/>
              <dgm:constr type="h" for="ch" forName="circle1" refType="w" refFor="ch" refForName="circle1"/>
              <dgm:constr type="ctrX" for="ch" forName="circle1" refType="w" fact="0.3"/>
              <dgm:constr type="ctrY" for="ch" forName="circle1" refType="h" fact="0.625"/>
              <dgm:constr type="w" for="ch" forName="text1" refType="w" fact="0.3"/>
              <dgm:constr type="h" for="ch" forName="text1" refType="h" fact="0.21875"/>
              <dgm:constr type="r" for="ch" forName="text1" refType="w"/>
              <dgm:constr type="t" for="ch" forName="text1"/>
              <dgm:constr type="l" for="ch" forName="line1" refType="w" fact="0.625"/>
              <dgm:constr type="ctrY" for="ch" forName="line1" refType="ctrY" refFor="ch" refForName="text1"/>
              <dgm:constr type="w" for="ch" forName="line1" refType="w" fact="0.075"/>
              <dgm:constr type="h" for="ch" forName="line1"/>
              <dgm:constr type="l" for="ch" forName="d1" refType="w" fact="0.3"/>
              <dgm:constr type="b" for="ch" forName="d1" refType="h" fact="0.625"/>
              <dgm:constr type="w" for="ch" forName="d1" refType="w" fact="0.3247"/>
              <dgm:constr type="h" for="ch" forName="d1" refType="h" fact="0.5155"/>
              <dgm:constr type="w" for="ch" forName="circle2" refType="w" fact="0.36"/>
              <dgm:constr type="h" for="ch" forName="circle2" refType="w" refFor="ch" refForName="circle2"/>
              <dgm:constr type="ctrX" for="ch" forName="circle2" refType="w" fact="0.3"/>
              <dgm:constr type="ctrY" for="ch" forName="circle2" refType="h" fact="0.625"/>
              <dgm:constr type="w" for="ch" forName="text2" refType="w" fact="0.3"/>
              <dgm:constr type="h" for="ch" forName="text2" refType="h" fact="0.21875"/>
              <dgm:constr type="r" for="ch" forName="text2" refType="w"/>
              <dgm:constr type="t" for="ch" forName="text2" refType="b" refFor="ch" refForName="text1"/>
              <dgm:constr type="l" for="ch" forName="line2" refType="w" fact="0.625"/>
              <dgm:constr type="ctrY" for="ch" forName="line2" refType="ctrY" refFor="ch" refForName="text2"/>
              <dgm:constr type="w" for="ch" forName="line2" refType="w" fact="0.075"/>
              <dgm:constr type="h" for="ch" forName="line2"/>
              <dgm:constr type="l" for="ch" forName="d2" refType="w" fact="0.386"/>
              <dgm:constr type="b" for="ch" forName="d2" refType="h" fact="0.72969"/>
              <dgm:constr type="w" for="ch" forName="d2" refType="w" fact="0.2387"/>
              <dgm:constr type="h" for="ch" forName="d2" refType="h" fact="0.4017"/>
              <dgm:constr type="w" for="ch" forName="circle3" refType="w" fact="0.6"/>
              <dgm:constr type="h" for="ch" forName="circle3" refType="w" refFor="ch" refForName="circle3"/>
              <dgm:constr type="ctrX" for="ch" forName="circle3" refType="ctrX" refFor="ch" refForName="circle1"/>
              <dgm:constr type="ctrY" for="ch" forName="circle3" refType="ctrY" refFor="ch" refForName="circle1"/>
              <dgm:constr type="w" for="ch" forName="text3" refType="w" fact="0.3"/>
              <dgm:constr type="h" for="ch" forName="text3" refType="h" fact="0.21875"/>
              <dgm:constr type="r" for="ch" forName="text3" refType="w"/>
              <dgm:constr type="t" for="ch" forName="text3" refType="b" refFor="ch" refForName="text2"/>
              <dgm:constr type="l" for="ch" forName="line3" refType="w" fact="0.625"/>
              <dgm:constr type="ctrY" for="ch" forName="line3" refType="ctrY" refFor="ch" refForName="text3"/>
              <dgm:constr type="w" for="ch" forName="line3" refType="w" fact="0.075"/>
              <dgm:constr type="h" for="ch" forName="line3"/>
              <dgm:constr type="l" for="ch" forName="d3" refType="w" fact="0.47175"/>
              <dgm:constr type="b" for="ch" forName="d3" refType="h" fact="0.83375"/>
              <dgm:constr type="w" for="ch" forName="d3" refType="w" fact="0.1527"/>
              <dgm:constr type="h" for="ch" forName="d3" refType="h" fact="0.287"/>
            </dgm:constrLst>
          </dgm:if>
          <dgm:if name="Name7" axis="ch" ptType="node" func="cnt" op="equ" val="4">
            <dgm:constrLst>
              <dgm:constr type="primFontSz" for="des" ptType="node" op="equ" val="65"/>
              <dgm:constr type="w" for="ch" forName="circle1" refType="w" fact="0.0857"/>
              <dgm:constr type="h" for="ch" forName="circle1" refType="w" refFor="ch" refForName="circle1"/>
              <dgm:constr type="ctrX" for="ch" forName="circle1" refType="w" fact="0.3"/>
              <dgm:constr type="ctrY" for="ch" forName="circle1" refType="h" fact="0.625"/>
              <dgm:constr type="w" for="ch" forName="text1" refType="w" fact="0.3"/>
              <dgm:constr type="h" for="ch" forName="text1" refType="h" fact="0.17938"/>
              <dgm:constr type="r" for="ch" forName="text1" refType="w"/>
              <dgm:constr type="t" for="ch" forName="text1"/>
              <dgm:constr type="l" for="ch" forName="line1" refType="w" fact="0.625"/>
              <dgm:constr type="ctrY" for="ch" forName="line1" refType="ctrY" refFor="ch" refForName="text1"/>
              <dgm:constr type="w" for="ch" forName="line1" refType="w" fact="0.075"/>
              <dgm:constr type="h" for="ch" forName="line1"/>
              <dgm:constr type="l" for="ch" forName="d1" refType="w" fact="0.295"/>
              <dgm:constr type="b" for="ch" forName="d1" refType="h" fact="0.62"/>
              <dgm:constr type="w" for="ch" forName="d1" refType="w" fact="0.33"/>
              <dgm:constr type="h" for="ch" forName="d1" refType="h" fact="0.53"/>
              <dgm:constr type="w" for="ch" forName="circle2" refType="w" fact="0.2571"/>
              <dgm:constr type="h" for="ch" forName="circle2" refType="w" refFor="ch" refForName="circle2"/>
              <dgm:constr type="ctrX" for="ch" forName="circle2" refType="w" fact="0.3"/>
              <dgm:constr type="ctrY" for="ch" forName="circle2" refType="h" fact="0.625"/>
              <dgm:constr type="w" for="ch" forName="text2" refType="w" fact="0.3"/>
              <dgm:constr type="h" for="ch" forName="text2" refType="h" fact="0.17938"/>
              <dgm:constr type="r" for="ch" forName="text2" refType="w"/>
              <dgm:constr type="t" for="ch" forName="text2" refType="b" refFor="ch" refForName="text1"/>
              <dgm:constr type="l" for="ch" forName="line2" refType="w" fact="0.625"/>
              <dgm:constr type="ctrY" for="ch" forName="line2" refType="ctrY" refFor="ch" refForName="text2"/>
              <dgm:constr type="w" for="ch" forName="line2" refType="w" fact="0.075"/>
              <dgm:constr type="h" for="ch" forName="line2"/>
              <dgm:constr type="l" for="ch" forName="d2" refType="w" fact="0.36625"/>
              <dgm:constr type="b" for="ch" forName="d2" refType="h" fact="0.70438"/>
              <dgm:constr type="w" for="ch" forName="d2" refType="w" fact="0.2585"/>
              <dgm:constr type="h" for="ch" forName="d2" refType="h" fact="0.43525"/>
              <dgm:constr type="w" for="ch" forName="circle3" refType="w" fact="0.4285"/>
              <dgm:constr type="h" for="ch" forName="circle3" refType="w" refFor="ch" refForName="circle3"/>
              <dgm:constr type="ctrX" for="ch" forName="circle3" refType="ctrX" refFor="ch" refForName="circle1"/>
              <dgm:constr type="ctrY" for="ch" forName="circle3" refType="ctrY" refFor="ch" refForName="circle1"/>
              <dgm:constr type="w" for="ch" forName="text3" refType="w" fact="0.3"/>
              <dgm:constr type="h" for="ch" forName="text3" refType="h" fact="0.17938"/>
              <dgm:constr type="r" for="ch" forName="text3" refType="w"/>
              <dgm:constr type="t" for="ch" forName="text3" refType="b" refFor="ch" refForName="text2"/>
              <dgm:constr type="l" for="ch" forName="line3" refType="w" fact="0.625"/>
              <dgm:constr type="ctrY" for="ch" forName="line3" refType="ctrY" refFor="ch" refForName="text3"/>
              <dgm:constr type="w" for="ch" forName="line3" refType="w" fact="0.075"/>
              <dgm:constr type="h" for="ch" forName="line3"/>
              <dgm:constr type="l" for="ch" forName="d3" refType="w" fact="0.4255"/>
              <dgm:constr type="b" for="ch" forName="d3" refType="h" fact="0.78031"/>
              <dgm:constr type="w" for="ch" forName="d3" refType="w" fact="0.1995"/>
              <dgm:constr type="h" for="ch" forName="d3" refType="h" fact="0.332"/>
              <dgm:constr type="w" for="ch" forName="circle4" refType="w" fact="0.6"/>
              <dgm:constr type="h" for="ch" forName="circle4" refType="w" refFor="ch" refForName="circle4"/>
              <dgm:constr type="ctrX" for="ch" forName="circle4" refType="ctrX" refFor="ch" refForName="circle1"/>
              <dgm:constr type="ctrY" for="ch" forName="circle4" refType="ctrY" refFor="ch" refForName="circle1"/>
              <dgm:constr type="w" for="ch" forName="text4" refType="w" fact="0.3"/>
              <dgm:constr type="h" for="ch" forName="text4" refType="h" fact="0.17938"/>
              <dgm:constr type="r" for="ch" forName="text4" refType="w"/>
              <dgm:constr type="t" for="ch" forName="text4" refType="b" refFor="ch" refForName="text3"/>
              <dgm:constr type="l" for="ch" forName="line4" refType="w" fact="0.625"/>
              <dgm:constr type="ctrY" for="ch" forName="line4" refType="ctrY" refFor="ch" refForName="text4"/>
              <dgm:constr type="w" for="ch" forName="line4" refType="w" fact="0.075"/>
              <dgm:constr type="h" for="ch" forName="line4"/>
              <dgm:constr type="l" for="ch" forName="d4" refType="w" fact="0.48525"/>
              <dgm:constr type="b" for="ch" forName="d4" refType="h" fact="0.85594"/>
              <dgm:constr type="w" for="ch" forName="d4" refType="w" fact="0.1394"/>
              <dgm:constr type="h" for="ch" forName="d4" refType="h" fact="0.2282"/>
            </dgm:constrLst>
          </dgm:if>
          <dgm:if name="Name8" axis="ch" ptType="node" func="cnt" op="gte" val="5">
            <dgm:constrLst>
              <dgm:constr type="primFontSz" for="des" ptType="node" op="equ" val="65"/>
              <dgm:constr type="w" for="ch" forName="circle1" refType="w" fact="0.0667"/>
              <dgm:constr type="h" for="ch" forName="circle1" refType="w" refFor="ch" refForName="circle1"/>
              <dgm:constr type="ctrX" for="ch" forName="circle1" refType="w" fact="0.3"/>
              <dgm:constr type="ctrY" for="ch" forName="circle1" refType="h" fact="0.625"/>
              <dgm:constr type="w" for="ch" forName="text1" refType="w" fact="0.3"/>
              <dgm:constr type="h" for="ch" forName="text1" refType="h" fact="0.1324"/>
              <dgm:constr type="r" for="ch" forName="text1" refType="w"/>
              <dgm:constr type="ctrY" for="ch" forName="text1" refType="h" fact="0.13"/>
              <dgm:constr type="l" for="ch" forName="line1" refType="w" fact="0.625"/>
              <dgm:constr type="ctrY" for="ch" forName="line1" refType="ctrY" refFor="ch" refForName="text1"/>
              <dgm:constr type="w" for="ch" forName="line1" refType="w" fact="0.075"/>
              <dgm:constr type="h" for="ch" forName="line1"/>
              <dgm:constr type="l" for="ch" forName="d1" refType="w" fact="0.3"/>
              <dgm:constr type="b" for="ch" forName="d1" refType="h" fact="0.625"/>
              <dgm:constr type="w" for="ch" forName="d1" refType="w" fact="0.3245"/>
              <dgm:constr type="h" for="ch" forName="d1" refType="h" fact="0.495"/>
              <dgm:constr type="w" for="ch" forName="circle2" refType="w" fact="0.2"/>
              <dgm:constr type="h" for="ch" forName="circle2" refType="w" refFor="ch" refForName="circle2"/>
              <dgm:constr type="ctrX" for="ch" forName="circle2" refType="w" fact="0.3"/>
              <dgm:constr type="ctrY" for="ch" forName="circle2" refType="h" fact="0.625"/>
              <dgm:constr type="w" for="ch" forName="text2" refType="w" fact="0.3"/>
              <dgm:constr type="h" for="ch" forName="text2" refType="h" fact="0.1324"/>
              <dgm:constr type="r" for="ch" forName="text2" refType="w"/>
              <dgm:constr type="ctrY" for="ch" forName="text2" refType="h" fact="0.27"/>
              <dgm:constr type="l" for="ch" forName="line2" refType="w" fact="0.625"/>
              <dgm:constr type="ctrY" for="ch" forName="line2" refType="ctrY" refFor="ch" refForName="text2"/>
              <dgm:constr type="w" for="ch" forName="line2" refType="w" fact="0.075"/>
              <dgm:constr type="h" for="ch" forName="line2"/>
              <dgm:constr type="l" for="ch" forName="d2" refType="w" fact="0.3498"/>
              <dgm:constr type="b" for="ch" forName="d2" refType="h" fact="0.682"/>
              <dgm:constr type="w" for="ch" forName="d2" refType="w" fact="0.275"/>
              <dgm:constr type="h" for="ch" forName="d2" refType="h" fact="0.41215"/>
              <dgm:constr type="w" for="ch" forName="circle3" refType="w" fact="0.3334"/>
              <dgm:constr type="h" for="ch" forName="circle3" refType="w" refFor="ch" refForName="circle3"/>
              <dgm:constr type="ctrX" for="ch" forName="circle3" refType="ctrX" refFor="ch" refForName="circle1"/>
              <dgm:constr type="ctrY" for="ch" forName="circle3" refType="ctrY" refFor="ch" refForName="circle1"/>
              <dgm:constr type="w" for="ch" forName="text3" refType="w" fact="0.3"/>
              <dgm:constr type="h" for="ch" forName="text3" refType="h" fact="0.1324"/>
              <dgm:constr type="r" for="ch" forName="text3" refType="w"/>
              <dgm:constr type="ctrY" for="ch" forName="text3" refType="h" fact="0.41"/>
              <dgm:constr type="l" for="ch" forName="line3" refType="w" fact="0.625"/>
              <dgm:constr type="ctrY" for="ch" forName="line3" refType="ctrY" refFor="ch" refForName="text3"/>
              <dgm:constr type="w" for="ch" forName="line3" refType="w" fact="0.075"/>
              <dgm:constr type="h" for="ch" forName="line3"/>
              <dgm:constr type="l" for="ch" forName="d3" refType="w" fact="0.394"/>
              <dgm:constr type="b" for="ch" forName="d3" refType="h" fact="0.735"/>
              <dgm:constr type="w" for="ch" forName="d3" refType="w" fact="0.231"/>
              <dgm:constr type="h" for="ch" forName="d3" refType="h" fact="0.325"/>
              <dgm:constr type="w" for="ch" forName="circle4" refType="w" fact="0.4667"/>
              <dgm:constr type="h" for="ch" forName="circle4" refType="w" refFor="ch" refForName="circle4"/>
              <dgm:constr type="ctrX" for="ch" forName="circle4" refType="ctrX" refFor="ch" refForName="circle1"/>
              <dgm:constr type="ctrY" for="ch" forName="circle4" refType="ctrY" refFor="ch" refForName="circle1"/>
              <dgm:constr type="w" for="ch" forName="text4" refType="w" fact="0.3"/>
              <dgm:constr type="h" for="ch" forName="text4" refType="h" fact="0.1324"/>
              <dgm:constr type="r" for="ch" forName="text4" refType="w"/>
              <dgm:constr type="ctrY" for="ch" forName="text4" refType="h" fact="0.547"/>
              <dgm:constr type="l" for="ch" forName="line4" refType="w" fact="0.625"/>
              <dgm:constr type="ctrY" for="ch" forName="line4" refType="ctrY" refFor="ch" refForName="text4"/>
              <dgm:constr type="w" for="ch" forName="line4" refType="w" fact="0.075"/>
              <dgm:constr type="h" for="ch" forName="line4"/>
              <dgm:constr type="l" for="ch" forName="d4" refType="w" fact="0.446"/>
              <dgm:constr type="b" for="ch" forName="d4" refType="h" fact="0.795"/>
              <dgm:constr type="w" for="ch" forName="d4" refType="w" fact="0.179"/>
              <dgm:constr type="h" for="ch" forName="d4" refType="h" fact="0.248"/>
              <dgm:constr type="w" for="ch" forName="circle5" refType="w" fact="0.6"/>
              <dgm:constr type="h" for="ch" forName="circle5" refType="w" refFor="ch" refForName="circle5"/>
              <dgm:constr type="ctrX" for="ch" forName="circle5" refType="ctrX" refFor="ch" refForName="circle1"/>
              <dgm:constr type="ctrY" for="ch" forName="circle5" refType="ctrY" refFor="ch" refForName="circle1"/>
              <dgm:constr type="w" for="ch" forName="text5" refType="w" fact="0.3"/>
              <dgm:constr type="h" for="ch" forName="text5" refType="h" fact="0.1324"/>
              <dgm:constr type="r" for="ch" forName="text5" refType="w"/>
              <dgm:constr type="ctrY" for="ch" forName="text5" refType="h" fact="0.68"/>
              <dgm:constr type="l" for="ch" forName="line5" refType="w" fact="0.625"/>
              <dgm:constr type="ctrY" for="ch" forName="line5" refType="ctrY" refFor="ch" refForName="text5"/>
              <dgm:constr type="w" for="ch" forName="line5" refType="w" fact="0.075"/>
              <dgm:constr type="h" for="ch" forName="line5"/>
              <dgm:constr type="l" for="ch" forName="d5" refType="w" fact="0.495"/>
              <dgm:constr type="b" for="ch" forName="d5" refType="h" fact="0.855"/>
              <dgm:constr type="w" for="ch" forName="d5" refType="w" fact="0.13"/>
              <dgm:constr type="h" for="ch" forName="d5" refType="h" fact="0.175"/>
            </dgm:constrLst>
          </dgm:if>
          <dgm:else name="Name9"/>
        </dgm:choose>
      </dgm:if>
      <dgm:else name="Name10">
        <dgm:choose name="Name11">
          <dgm:if name="Name12" axis="ch" ptType="node" func="cnt" op="equ" val="0">
            <dgm:constrLst/>
          </dgm:if>
          <dgm:if name="Name13" axis="ch" ptType="node" func="cnt" op="equ" val="1">
            <dgm:constrLst>
              <dgm:constr type="primFontSz" for="des" ptType="node" op="equ" val="65"/>
              <dgm:constr type="w" for="ch" forName="circle1" refType="w" fact="0.6"/>
              <dgm:constr type="h" for="ch" forName="circle1" refType="w" refFor="ch" refForName="circle1"/>
              <dgm:constr type="ctrX" for="ch" forName="circle1" refType="w" fact="0.7"/>
              <dgm:constr type="ctrY" for="ch" forName="circle1" refType="h" fact="0.625"/>
              <dgm:constr type="w" for="ch" forName="text1" refType="w" fact="0.3"/>
              <dgm:constr type="h" for="ch" forName="text1" refType="h" fact="0.3125"/>
              <dgm:constr type="l" for="ch" forName="text1"/>
              <dgm:constr type="t" for="ch" forName="text1"/>
              <dgm:constr type="l" for="ch" forName="line1" refType="r" refFor="ch" refForName="text1"/>
              <dgm:constr type="ctrY" for="ch" forName="line1" refType="ctrY" refFor="ch" refForName="text1"/>
              <dgm:constr type="r" for="ch" forName="line1" refType="w" fact="0.375"/>
              <dgm:constr type="h" for="ch" forName="line1"/>
              <dgm:constr type="r" for="ch" forName="d1" refType="w" fact="0.7"/>
              <dgm:constr type="b" for="ch" forName="d1" refType="h" fact="0.625"/>
              <dgm:constr type="w" for="ch" forName="d1" refType="w" fact="0.32475"/>
              <dgm:constr type="h" for="ch" forName="d1" refType="h" fact="0.469"/>
            </dgm:constrLst>
          </dgm:if>
          <dgm:if name="Name14" axis="ch" ptType="node" func="cnt" op="equ" val="2">
            <dgm:constrLst>
              <dgm:constr type="primFontSz" for="des" ptType="node" op="equ" val="65"/>
              <dgm:constr type="w" for="ch" forName="circle1" refType="w" fact="0.2"/>
              <dgm:constr type="h" for="ch" forName="circle1" refType="w" refFor="ch" refForName="circle1"/>
              <dgm:constr type="ctrX" for="ch" forName="circle1" refType="w" fact="0.7"/>
              <dgm:constr type="ctrY" for="ch" forName="circle1" refType="h" fact="0.625"/>
              <dgm:constr type="w" for="ch" forName="text1" refType="w" fact="0.3"/>
              <dgm:constr type="h" for="ch" forName="text1" refType="h" fact="0.3125"/>
              <dgm:constr type="l" for="ch" forName="text1"/>
              <dgm:constr type="t" for="ch" forName="text1"/>
              <dgm:constr type="l" for="ch" forName="line1" refType="r" refFor="ch" refForName="text1"/>
              <dgm:constr type="ctrY" for="ch" forName="line1" refType="ctrY" refFor="ch" refForName="text1"/>
              <dgm:constr type="r" for="ch" forName="line1" refType="w" fact="0.375"/>
              <dgm:constr type="h" for="ch" forName="line1"/>
              <dgm:constr type="r" for="ch" forName="d1" refType="w" fact="0.7"/>
              <dgm:constr type="b" for="ch" forName="d1" refType="h" fact="0.625"/>
              <dgm:constr type="w" for="ch" forName="d1" refType="w" fact="0.32475"/>
              <dgm:constr type="h" for="ch" forName="d1" refType="h" fact="0.469"/>
              <dgm:constr type="w" for="ch" forName="circle2" refType="w" fact="0.6"/>
              <dgm:constr type="h" for="ch" forName="circle2" refType="w" refFor="ch" refForName="circle2"/>
              <dgm:constr type="ctrX" for="ch" forName="circle2" refType="w" fact="0.7"/>
              <dgm:constr type="ctrY" for="ch" forName="circle2" refType="h" fact="0.625"/>
              <dgm:constr type="w" for="ch" forName="text2" refType="w" fact="0.3"/>
              <dgm:constr type="h" for="ch" forName="text2" refType="h" fact="0.3125"/>
              <dgm:constr type="l" for="ch" forName="text2"/>
              <dgm:constr type="t" for="ch" forName="text2" refType="b" refFor="ch" refForName="text1"/>
              <dgm:constr type="l" for="ch" forName="line2" refType="r" refFor="ch" refForName="text2"/>
              <dgm:constr type="ctrY" for="ch" forName="line2" refType="ctrY" refFor="ch" refForName="text2"/>
              <dgm:constr type="r" for="ch" forName="line2" refType="w" fact="0.375"/>
              <dgm:constr type="h" for="ch" forName="line2"/>
              <dgm:constr type="r" for="ch" forName="d2" refType="w" fact="0.55675"/>
              <dgm:constr type="b" for="ch" forName="d2" refType="h" fact="0.7975"/>
              <dgm:constr type="w" for="ch" forName="d2" refType="w" fact="0.1815"/>
              <dgm:constr type="h" for="ch" forName="d2" refType="h" fact="0.3283"/>
            </dgm:constrLst>
          </dgm:if>
          <dgm:if name="Name15" axis="ch" ptType="node" func="cnt" op="equ" val="3">
            <dgm:constrLst>
              <dgm:constr type="primFontSz" for="des" ptType="node" op="equ" val="65"/>
              <dgm:constr type="w" for="ch" forName="circle1" refType="w" fact="0.12"/>
              <dgm:constr type="h" for="ch" forName="circle1" refType="w" refFor="ch" refForName="circle1"/>
              <dgm:constr type="ctrX" for="ch" forName="circle1" refType="w" fact="0.7"/>
              <dgm:constr type="ctrY" for="ch" forName="circle1" refType="h" fact="0.625"/>
              <dgm:constr type="w" for="ch" forName="text1" refType="w" fact="0.3"/>
              <dgm:constr type="h" for="ch" forName="text1" refType="h" fact="0.21875"/>
              <dgm:constr type="l" for="ch" forName="text1"/>
              <dgm:constr type="t" for="ch" forName="text1"/>
              <dgm:constr type="l" for="ch" forName="line1" refType="r" refFor="ch" refForName="text1"/>
              <dgm:constr type="ctrY" for="ch" forName="line1" refType="ctrY" refFor="ch" refForName="text1"/>
              <dgm:constr type="r" for="ch" forName="line1" refType="w" fact="0.375"/>
              <dgm:constr type="h" for="ch" forName="line1"/>
              <dgm:constr type="r" for="ch" forName="d1" refType="w" fact="0.7"/>
              <dgm:constr type="b" for="ch" forName="d1" refType="h" fact="0.625"/>
              <dgm:constr type="w" for="ch" forName="d1" refType="w" fact="0.3247"/>
              <dgm:constr type="h" for="ch" forName="d1" refType="h" fact="0.5155"/>
              <dgm:constr type="w" for="ch" forName="circle2" refType="w" fact="0.36"/>
              <dgm:constr type="h" for="ch" forName="circle2" refType="w" refFor="ch" refForName="circle2"/>
              <dgm:constr type="ctrX" for="ch" forName="circle2" refType="w" fact="0.7"/>
              <dgm:constr type="ctrY" for="ch" forName="circle2" refType="h" fact="0.625"/>
              <dgm:constr type="w" for="ch" forName="text2" refType="w" fact="0.3"/>
              <dgm:constr type="h" for="ch" forName="text2" refType="h" fact="0.21875"/>
              <dgm:constr type="l" for="ch" forName="text2"/>
              <dgm:constr type="t" for="ch" forName="text2" refType="b" refFor="ch" refForName="text1"/>
              <dgm:constr type="l" for="ch" forName="line2" refType="r" refFor="ch" refForName="text2"/>
              <dgm:constr type="ctrY" for="ch" forName="line2" refType="ctrY" refFor="ch" refForName="text2"/>
              <dgm:constr type="r" for="ch" forName="line2" refType="w" fact="0.375"/>
              <dgm:constr type="h" for="ch" forName="line2"/>
              <dgm:constr type="r" for="ch" forName="d2" refType="w" fact="0.614"/>
              <dgm:constr type="b" for="ch" forName="d2" refType="h" fact="0.72969"/>
              <dgm:constr type="w" for="ch" forName="d2" refType="w" fact="0.2387"/>
              <dgm:constr type="h" for="ch" forName="d2" refType="h" fact="0.4017"/>
              <dgm:constr type="w" for="ch" forName="circle3" refType="w" fact="0.6"/>
              <dgm:constr type="h" for="ch" forName="circle3" refType="w" refFor="ch" refForName="circle3"/>
              <dgm:constr type="ctrX" for="ch" forName="circle3" refType="ctrX" refFor="ch" refForName="circle1"/>
              <dgm:constr type="ctrY" for="ch" forName="circle3" refType="ctrY" refFor="ch" refForName="circle1"/>
              <dgm:constr type="w" for="ch" forName="text3" refType="w" fact="0.3"/>
              <dgm:constr type="h" for="ch" forName="text3" refType="h" fact="0.21875"/>
              <dgm:constr type="l" for="ch" forName="text3"/>
              <dgm:constr type="t" for="ch" forName="text3" refType="b" refFor="ch" refForName="text2"/>
              <dgm:constr type="l" for="ch" forName="line3" refType="r" refFor="ch" refForName="text3"/>
              <dgm:constr type="ctrY" for="ch" forName="line3" refType="ctrY" refFor="ch" refForName="text3"/>
              <dgm:constr type="r" for="ch" forName="line3" refType="w" fact="0.375"/>
              <dgm:constr type="h" for="ch" forName="line3"/>
              <dgm:constr type="r" for="ch" forName="d3" refType="w" fact="0.52825"/>
              <dgm:constr type="b" for="ch" forName="d3" refType="h" fact="0.83375"/>
              <dgm:constr type="w" for="ch" forName="d3" refType="w" fact="0.1527"/>
              <dgm:constr type="h" for="ch" forName="d3" refType="h" fact="0.287"/>
            </dgm:constrLst>
          </dgm:if>
          <dgm:if name="Name16" axis="ch" ptType="node" func="cnt" op="equ" val="4">
            <dgm:constrLst>
              <dgm:constr type="primFontSz" for="des" ptType="node" op="equ" val="65"/>
              <dgm:constr type="w" for="ch" forName="circle1" refType="w" fact="0.0857"/>
              <dgm:constr type="h" for="ch" forName="circle1" refType="w" refFor="ch" refForName="circle1"/>
              <dgm:constr type="ctrX" for="ch" forName="circle1" refType="w" fact="0.7"/>
              <dgm:constr type="ctrY" for="ch" forName="circle1" refType="h" fact="0.625"/>
              <dgm:constr type="w" for="ch" forName="text1" refType="w" fact="0.3"/>
              <dgm:constr type="h" for="ch" forName="text1" refType="h" fact="0.17938"/>
              <dgm:constr type="l" for="ch" forName="text1"/>
              <dgm:constr type="t" for="ch" forName="text1"/>
              <dgm:constr type="l" for="ch" forName="line1" refType="r" refFor="ch" refForName="text1"/>
              <dgm:constr type="ctrY" for="ch" forName="line1" refType="ctrY" refFor="ch" refForName="text1"/>
              <dgm:constr type="r" for="ch" forName="line1" refType="w" fact="0.375"/>
              <dgm:constr type="h" for="ch" forName="line1"/>
              <dgm:constr type="r" for="ch" forName="d1" refType="w" fact="0.705"/>
              <dgm:constr type="b" for="ch" forName="d1" refType="h" fact="0.62"/>
              <dgm:constr type="w" for="ch" forName="d1" refType="w" fact="0.33"/>
              <dgm:constr type="h" for="ch" forName="d1" refType="h" fact="0.53"/>
              <dgm:constr type="w" for="ch" forName="circle2" refType="w" fact="0.2571"/>
              <dgm:constr type="h" for="ch" forName="circle2" refType="w" refFor="ch" refForName="circle2"/>
              <dgm:constr type="ctrX" for="ch" forName="circle2" refType="w" fact="0.7"/>
              <dgm:constr type="ctrY" for="ch" forName="circle2" refType="h" fact="0.625"/>
              <dgm:constr type="w" for="ch" forName="text2" refType="w" fact="0.3"/>
              <dgm:constr type="h" for="ch" forName="text2" refType="h" fact="0.17938"/>
              <dgm:constr type="l" for="ch" forName="text2"/>
              <dgm:constr type="t" for="ch" forName="text2" refType="b" refFor="ch" refForName="text1"/>
              <dgm:constr type="l" for="ch" forName="line2" refType="r" refFor="ch" refForName="text2"/>
              <dgm:constr type="ctrY" for="ch" forName="line2" refType="ctrY" refFor="ch" refForName="text2"/>
              <dgm:constr type="r" for="ch" forName="line2" refType="w" fact="0.375"/>
              <dgm:constr type="h" for="ch" forName="line2"/>
              <dgm:constr type="r" for="ch" forName="d2" refType="w" fact="0.63375"/>
              <dgm:constr type="b" for="ch" forName="d2" refType="h" fact="0.70438"/>
              <dgm:constr type="w" for="ch" forName="d2" refType="w" fact="0.2585"/>
              <dgm:constr type="h" for="ch" forName="d2" refType="h" fact="0.43525"/>
              <dgm:constr type="w" for="ch" forName="circle3" refType="w" fact="0.4285"/>
              <dgm:constr type="h" for="ch" forName="circle3" refType="w" refFor="ch" refForName="circle3"/>
              <dgm:constr type="ctrX" for="ch" forName="circle3" refType="ctrX" refFor="ch" refForName="circle1"/>
              <dgm:constr type="ctrY" for="ch" forName="circle3" refType="ctrY" refFor="ch" refForName="circle1"/>
              <dgm:constr type="w" for="ch" forName="text3" refType="w" fact="0.3"/>
              <dgm:constr type="h" for="ch" forName="text3" refType="h" fact="0.17938"/>
              <dgm:constr type="l" for="ch" forName="text3"/>
              <dgm:constr type="t" for="ch" forName="text3" refType="b" refFor="ch" refForName="text2"/>
              <dgm:constr type="l" for="ch" forName="line3" refType="r" refFor="ch" refForName="text3"/>
              <dgm:constr type="ctrY" for="ch" forName="line3" refType="ctrY" refFor="ch" refForName="text3"/>
              <dgm:constr type="r" for="ch" forName="line3" refType="w" fact="0.375"/>
              <dgm:constr type="h" for="ch" forName="line3"/>
              <dgm:constr type="r" for="ch" forName="d3" refType="w" fact="0.5745"/>
              <dgm:constr type="b" for="ch" forName="d3" refType="h" fact="0.78031"/>
              <dgm:constr type="w" for="ch" forName="d3" refType="w" fact="0.1995"/>
              <dgm:constr type="h" for="ch" forName="d3" refType="h" fact="0.332"/>
              <dgm:constr type="w" for="ch" forName="circle4" refType="w" fact="0.6"/>
              <dgm:constr type="h" for="ch" forName="circle4" refType="w" refFor="ch" refForName="circle4"/>
              <dgm:constr type="ctrX" for="ch" forName="circle4" refType="ctrX" refFor="ch" refForName="circle1"/>
              <dgm:constr type="ctrY" for="ch" forName="circle4" refType="ctrY" refFor="ch" refForName="circle1"/>
              <dgm:constr type="w" for="ch" forName="text4" refType="w" fact="0.3"/>
              <dgm:constr type="h" for="ch" forName="text4" refType="h" fact="0.17938"/>
              <dgm:constr type="l" for="ch" forName="text4"/>
              <dgm:constr type="t" for="ch" forName="text4" refType="b" refFor="ch" refForName="text3"/>
              <dgm:constr type="l" for="ch" forName="line4" refType="r" refFor="ch" refForName="text4"/>
              <dgm:constr type="ctrY" for="ch" forName="line4" refType="ctrY" refFor="ch" refForName="text4"/>
              <dgm:constr type="r" for="ch" forName="line4" refType="w" fact="0.375"/>
              <dgm:constr type="h" for="ch" forName="line4"/>
              <dgm:constr type="r" for="ch" forName="d4" refType="w" fact="0.51475"/>
              <dgm:constr type="b" for="ch" forName="d4" refType="h" fact="0.85594"/>
              <dgm:constr type="w" for="ch" forName="d4" refType="w" fact="0.1394"/>
              <dgm:constr type="h" for="ch" forName="d4" refType="h" fact="0.2282"/>
            </dgm:constrLst>
          </dgm:if>
          <dgm:if name="Name17" axis="ch" ptType="node" func="cnt" op="gte" val="5">
            <dgm:constrLst>
              <dgm:constr type="primFontSz" for="des" ptType="node" op="equ" val="65"/>
              <dgm:constr type="w" for="ch" forName="circle1" refType="w" fact="0.0667"/>
              <dgm:constr type="h" for="ch" forName="circle1" refType="w" refFor="ch" refForName="circle1"/>
              <dgm:constr type="ctrX" for="ch" forName="circle1" refType="w" fact="0.7"/>
              <dgm:constr type="ctrY" for="ch" forName="circle1" refType="h" fact="0.625"/>
              <dgm:constr type="w" for="ch" forName="text1" refType="w" fact="0.3"/>
              <dgm:constr type="h" for="ch" forName="text1" refType="h" fact="0.1324"/>
              <dgm:constr type="l" for="ch" forName="text1"/>
              <dgm:constr type="ctrY" for="ch" forName="text1" refType="h" fact="0.13"/>
              <dgm:constr type="l" for="ch" forName="line1" refType="r" refFor="ch" refForName="text1"/>
              <dgm:constr type="ctrY" for="ch" forName="line1" refType="ctrY" refFor="ch" refForName="text1"/>
              <dgm:constr type="r" for="ch" forName="line1" refType="w" fact="0.375"/>
              <dgm:constr type="h" for="ch" forName="line1"/>
              <dgm:constr type="r" for="ch" forName="d1" refType="w" fact="0.7"/>
              <dgm:constr type="b" for="ch" forName="d1" refType="h" fact="0.625"/>
              <dgm:constr type="w" for="ch" forName="d1" refType="w" fact="0.3245"/>
              <dgm:constr type="h" for="ch" forName="d1" refType="h" fact="0.495"/>
              <dgm:constr type="w" for="ch" forName="circle2" refType="w" fact="0.2"/>
              <dgm:constr type="h" for="ch" forName="circle2" refType="w" refFor="ch" refForName="circle2"/>
              <dgm:constr type="ctrX" for="ch" forName="circle2" refType="w" fact="0.7"/>
              <dgm:constr type="ctrY" for="ch" forName="circle2" refType="h" fact="0.625"/>
              <dgm:constr type="w" for="ch" forName="text2" refType="w" fact="0.3"/>
              <dgm:constr type="h" for="ch" forName="text2" refType="h" fact="0.1324"/>
              <dgm:constr type="l" for="ch" forName="text2"/>
              <dgm:constr type="ctrY" for="ch" forName="text2" refType="h" fact="0.27"/>
              <dgm:constr type="l" for="ch" forName="line2" refType="r" refFor="ch" refForName="text2"/>
              <dgm:constr type="ctrY" for="ch" forName="line2" refType="ctrY" refFor="ch" refForName="text2"/>
              <dgm:constr type="r" for="ch" forName="line2" refType="w" fact="0.375"/>
              <dgm:constr type="h" for="ch" forName="line2"/>
              <dgm:constr type="r" for="ch" forName="d2" refType="w" fact="0.6502"/>
              <dgm:constr type="b" for="ch" forName="d2" refType="h" fact="0.682"/>
              <dgm:constr type="w" for="ch" forName="d2" refType="w" fact="0.275"/>
              <dgm:constr type="h" for="ch" forName="d2" refType="h" fact="0.41215"/>
              <dgm:constr type="w" for="ch" forName="circle3" refType="w" fact="0.3334"/>
              <dgm:constr type="h" for="ch" forName="circle3" refType="w" refFor="ch" refForName="circle3"/>
              <dgm:constr type="ctrX" for="ch" forName="circle3" refType="ctrX" refFor="ch" refForName="circle1"/>
              <dgm:constr type="ctrY" for="ch" forName="circle3" refType="ctrY" refFor="ch" refForName="circle1"/>
              <dgm:constr type="w" for="ch" forName="text3" refType="w" fact="0.3"/>
              <dgm:constr type="h" for="ch" forName="text3" refType="h" fact="0.1324"/>
              <dgm:constr type="l" for="ch" forName="text3"/>
              <dgm:constr type="ctrY" for="ch" forName="text3" refType="h" fact="0.41"/>
              <dgm:constr type="l" for="ch" forName="line3" refType="r" refFor="ch" refForName="text3"/>
              <dgm:constr type="ctrY" for="ch" forName="line3" refType="ctrY" refFor="ch" refForName="text3"/>
              <dgm:constr type="r" for="ch" forName="line3" refType="w" fact="0.375"/>
              <dgm:constr type="h" for="ch" forName="line3"/>
              <dgm:constr type="r" for="ch" forName="d3" refType="w" fact="0.606"/>
              <dgm:constr type="b" for="ch" forName="d3" refType="h" fact="0.735"/>
              <dgm:constr type="w" for="ch" forName="d3" refType="w" fact="0.231"/>
              <dgm:constr type="h" for="ch" forName="d3" refType="h" fact="0.325"/>
              <dgm:constr type="w" for="ch" forName="circle4" refType="w" fact="0.4667"/>
              <dgm:constr type="h" for="ch" forName="circle4" refType="w" refFor="ch" refForName="circle4"/>
              <dgm:constr type="ctrX" for="ch" forName="circle4" refType="ctrX" refFor="ch" refForName="circle1"/>
              <dgm:constr type="ctrY" for="ch" forName="circle4" refType="ctrY" refFor="ch" refForName="circle1"/>
              <dgm:constr type="w" for="ch" forName="text4" refType="w" fact="0.3"/>
              <dgm:constr type="h" for="ch" forName="text4" refType="h" fact="0.1324"/>
              <dgm:constr type="l" for="ch" forName="text4"/>
              <dgm:constr type="ctrY" for="ch" forName="text4" refType="h" fact="0.547"/>
              <dgm:constr type="l" for="ch" forName="line4" refType="r" refFor="ch" refForName="text4"/>
              <dgm:constr type="ctrY" for="ch" forName="line4" refType="ctrY" refFor="ch" refForName="text4"/>
              <dgm:constr type="r" for="ch" forName="line4" refType="w" fact="0.375"/>
              <dgm:constr type="h" for="ch" forName="line4"/>
              <dgm:constr type="r" for="ch" forName="d4" refType="w" fact="0.554"/>
              <dgm:constr type="b" for="ch" forName="d4" refType="h" fact="0.795"/>
              <dgm:constr type="w" for="ch" forName="d4" refType="w" fact="0.179"/>
              <dgm:constr type="h" for="ch" forName="d4" refType="h" fact="0.248"/>
              <dgm:constr type="w" for="ch" forName="circle5" refType="w" fact="0.6"/>
              <dgm:constr type="h" for="ch" forName="circle5" refType="w" refFor="ch" refForName="circle5"/>
              <dgm:constr type="ctrX" for="ch" forName="circle5" refType="ctrX" refFor="ch" refForName="circle1"/>
              <dgm:constr type="ctrY" for="ch" forName="circle5" refType="ctrY" refFor="ch" refForName="circle1"/>
              <dgm:constr type="w" for="ch" forName="text5" refType="w" fact="0.3"/>
              <dgm:constr type="h" for="ch" forName="text5" refType="h" fact="0.1324"/>
              <dgm:constr type="l" for="ch" forName="text5"/>
              <dgm:constr type="ctrY" for="ch" forName="text5" refType="h" fact="0.68"/>
              <dgm:constr type="l" for="ch" forName="line5" refType="r" refFor="ch" refForName="text5"/>
              <dgm:constr type="ctrY" for="ch" forName="line5" refType="ctrY" refFor="ch" refForName="text5"/>
              <dgm:constr type="r" for="ch" forName="line5" refType="w" fact="0.375"/>
              <dgm:constr type="h" for="ch" forName="line5"/>
              <dgm:constr type="r" for="ch" forName="d5" refType="w" fact="0.505"/>
              <dgm:constr type="b" for="ch" forName="d5" refType="h" fact="0.855"/>
              <dgm:constr type="w" for="ch" forName="d5" refType="w" fact="0.13"/>
              <dgm:constr type="h" for="ch" forName="d5" refType="h" fact="0.175"/>
            </dgm:constrLst>
          </dgm:if>
          <dgm:else name="Name18"/>
        </dgm:choose>
      </dgm:else>
    </dgm:choose>
    <dgm:ruleLst/>
    <dgm:forEach name="Name19" axis="ch" ptType="node" cnt="1">
      <dgm:layoutNode name="circle1" styleLbl="lnNode1">
        <dgm:alg type="sp"/>
        <dgm:shape xmlns:r="http://schemas.openxmlformats.org/officeDocument/2006/relationships" type="ellipse" r:blip="">
          <dgm:adjLst/>
        </dgm:shape>
        <dgm:presOf/>
        <dgm:constrLst/>
        <dgm:ruleLst/>
      </dgm:layoutNode>
      <dgm:layoutNode name="text1" styleLbl="revTx">
        <dgm:varLst>
          <dgm:bulletEnabled val="1"/>
        </dgm:varLst>
        <dgm:choose name="Name20">
          <dgm:if name="Name21" func="var" arg="dir" op="equ" val="norm">
            <dgm:choose name="Name22">
              <dgm:if name="Name23" axis="root des" ptType="all node" func="maxDepth" op="gt" val="1">
                <dgm:alg type="tx">
                  <dgm:param type="parTxLTRAlign" val="l"/>
                  <dgm:param type="parTxRTLAlign" val="r"/>
                </dgm:alg>
              </dgm:if>
              <dgm:else name="Name24">
                <dgm:alg type="tx">
                  <dgm:param type="parTxLTRAlign" val="l"/>
                  <dgm:param type="parTxRTLAlign" val="l"/>
                </dgm:alg>
              </dgm:else>
            </dgm:choose>
          </dgm:if>
          <dgm:else name="Name25">
            <dgm:choose name="Name26">
              <dgm:if name="Name27" axis="root des" ptType="all node" func="maxDepth" op="gt" val="1">
                <dgm:alg type="tx">
                  <dgm:param type="parTxLTRAlign" val="l"/>
                  <dgm:param type="parTxRTLAlign" val="r"/>
                </dgm:alg>
              </dgm:if>
              <dgm:else name="Name28">
                <dgm:alg type="tx">
                  <dgm:param type="parTxLTRAlign" val="r"/>
                  <dgm:param type="parTxRTLAlign" val="r"/>
                </dgm:alg>
              </dgm:else>
            </dgm:choose>
          </dgm:else>
        </dgm:choose>
        <dgm:shape xmlns:r="http://schemas.openxmlformats.org/officeDocument/2006/relationships" type="rect" r:blip="">
          <dgm:adjLst/>
        </dgm:shape>
        <dgm:presOf axis="desOrSelf" ptType="node"/>
        <dgm:choose name="Name29">
          <dgm:if name="Name30" func="var" arg="dir" op="equ" val="norm">
            <dgm:constrLst>
              <dgm:constr type="tMarg" refType="primFontSz" fact="0.1"/>
              <dgm:constr type="bMarg" refType="primFontSz" fact="0.1"/>
              <dgm:constr type="rMarg" refType="primFontSz" fact="0.1"/>
            </dgm:constrLst>
          </dgm:if>
          <dgm:else name="Name31">
            <dgm:constrLst>
              <dgm:constr type="tMarg" refType="primFontSz" fact="0.1"/>
              <dgm:constr type="bMarg" refType="primFontSz" fact="0.1"/>
              <dgm:constr type="lMarg" refType="primFontSz" fact="0.1"/>
            </dgm:constrLst>
          </dgm:else>
        </dgm:choose>
        <dgm:ruleLst>
          <dgm:rule type="primFontSz" val="5" fact="NaN" max="NaN"/>
        </dgm:ruleLst>
      </dgm:layoutNode>
      <dgm:layoutNode name="line1" styleLbl="callout">
        <dgm:alg type="sp"/>
        <dgm:shape xmlns:r="http://schemas.openxmlformats.org/officeDocument/2006/relationships" type="line" r:blip="">
          <dgm:adjLst/>
        </dgm:shape>
        <dgm:presOf/>
        <dgm:constrLst/>
        <dgm:ruleLst/>
      </dgm:layoutNode>
      <dgm:layoutNode name="d1" styleLbl="callout">
        <dgm:alg type="sp"/>
        <dgm:choose name="Name32">
          <dgm:if name="Name33" func="var" arg="dir" op="equ" val="norm">
            <dgm:shape xmlns:r="http://schemas.openxmlformats.org/officeDocument/2006/relationships" rot="90" type="line" r:blip="">
              <dgm:adjLst/>
            </dgm:shape>
          </dgm:if>
          <dgm:else name="Name34">
            <dgm:shape xmlns:r="http://schemas.openxmlformats.org/officeDocument/2006/relationships" rot="180" type="line" r:blip="">
              <dgm:adjLst/>
            </dgm:shape>
          </dgm:else>
        </dgm:choose>
        <dgm:presOf/>
        <dgm:constrLst/>
        <dgm:ruleLst/>
      </dgm:layoutNode>
    </dgm:forEach>
    <dgm:forEach name="Name35" axis="ch" ptType="node" st="2" cnt="1">
      <dgm:layoutNode name="circle2" styleLbl="lnNode1">
        <dgm:alg type="sp"/>
        <dgm:shape xmlns:r="http://schemas.openxmlformats.org/officeDocument/2006/relationships" type="ellipse" r:blip="" zOrderOff="-5">
          <dgm:adjLst/>
        </dgm:shape>
        <dgm:presOf/>
        <dgm:constrLst/>
        <dgm:ruleLst/>
      </dgm:layoutNode>
      <dgm:layoutNode name="text2" styleLbl="revTx">
        <dgm:varLst>
          <dgm:bulletEnabled val="1"/>
        </dgm:varLst>
        <dgm:choose name="Name36">
          <dgm:if name="Name37" func="var" arg="dir" op="equ" val="norm">
            <dgm:choose name="Name38">
              <dgm:if name="Name39" axis="root des" ptType="all node" func="maxDepth" op="gt" val="1">
                <dgm:alg type="tx">
                  <dgm:param type="parTxLTRAlign" val="l"/>
                  <dgm:param type="parTxRTLAlign" val="r"/>
                </dgm:alg>
              </dgm:if>
              <dgm:else name="Name40">
                <dgm:alg type="tx">
                  <dgm:param type="parTxLTRAlign" val="l"/>
                  <dgm:param type="parTxRTLAlign" val="l"/>
                </dgm:alg>
              </dgm:else>
            </dgm:choose>
          </dgm:if>
          <dgm:else name="Name41">
            <dgm:choose name="Name42">
              <dgm:if name="Name43" axis="root des" ptType="all node" func="maxDepth" op="gt" val="1">
                <dgm:alg type="tx">
                  <dgm:param type="parTxLTRAlign" val="l"/>
                  <dgm:param type="parTxRTLAlign" val="r"/>
                </dgm:alg>
              </dgm:if>
              <dgm:else name="Name44">
                <dgm:alg type="tx">
                  <dgm:param type="parTxLTRAlign" val="r"/>
                  <dgm:param type="parTxRTLAlign" val="r"/>
                </dgm:alg>
              </dgm:else>
            </dgm:choose>
          </dgm:else>
        </dgm:choose>
        <dgm:shape xmlns:r="http://schemas.openxmlformats.org/officeDocument/2006/relationships" type="rect" r:blip="">
          <dgm:adjLst/>
        </dgm:shape>
        <dgm:presOf axis="desOrSelf" ptType="node"/>
        <dgm:choose name="Name45">
          <dgm:if name="Name46" func="var" arg="dir" op="equ" val="norm">
            <dgm:constrLst>
              <dgm:constr type="tMarg" refType="primFontSz" fact="0.1"/>
              <dgm:constr type="bMarg" refType="primFontSz" fact="0.1"/>
              <dgm:constr type="rMarg" refType="primFontSz" fact="0.1"/>
            </dgm:constrLst>
          </dgm:if>
          <dgm:else name="Name47">
            <dgm:constrLst>
              <dgm:constr type="tMarg" refType="primFontSz" fact="0.1"/>
              <dgm:constr type="bMarg" refType="primFontSz" fact="0.1"/>
              <dgm:constr type="lMarg" refType="primFontSz" fact="0.1"/>
            </dgm:constrLst>
          </dgm:else>
        </dgm:choose>
        <dgm:ruleLst>
          <dgm:rule type="primFontSz" val="5" fact="NaN" max="NaN"/>
        </dgm:ruleLst>
      </dgm:layoutNode>
      <dgm:layoutNode name="line2" styleLbl="callout">
        <dgm:alg type="sp"/>
        <dgm:shape xmlns:r="http://schemas.openxmlformats.org/officeDocument/2006/relationships" type="line" r:blip="">
          <dgm:adjLst/>
        </dgm:shape>
        <dgm:presOf/>
        <dgm:constrLst/>
        <dgm:ruleLst/>
      </dgm:layoutNode>
      <dgm:layoutNode name="d2" styleLbl="callout">
        <dgm:alg type="sp"/>
        <dgm:choose name="Name48">
          <dgm:if name="Name49" func="var" arg="dir" op="equ" val="norm">
            <dgm:shape xmlns:r="http://schemas.openxmlformats.org/officeDocument/2006/relationships" rot="90" type="line" r:blip="">
              <dgm:adjLst/>
            </dgm:shape>
          </dgm:if>
          <dgm:else name="Name50">
            <dgm:shape xmlns:r="http://schemas.openxmlformats.org/officeDocument/2006/relationships" rot="180" type="line" r:blip="">
              <dgm:adjLst/>
            </dgm:shape>
          </dgm:else>
        </dgm:choose>
        <dgm:presOf/>
        <dgm:constrLst/>
        <dgm:ruleLst/>
      </dgm:layoutNode>
    </dgm:forEach>
    <dgm:forEach name="Name51" axis="ch" ptType="node" st="3" cnt="1">
      <dgm:layoutNode name="circle3" styleLbl="lnNode1">
        <dgm:alg type="sp"/>
        <dgm:shape xmlns:r="http://schemas.openxmlformats.org/officeDocument/2006/relationships" type="ellipse" r:blip="" zOrderOff="-10">
          <dgm:adjLst/>
        </dgm:shape>
        <dgm:presOf/>
        <dgm:constrLst/>
        <dgm:ruleLst/>
      </dgm:layoutNode>
      <dgm:layoutNode name="text3" styleLbl="revTx">
        <dgm:varLst>
          <dgm:bulletEnabled val="1"/>
        </dgm:varLst>
        <dgm:choose name="Name52">
          <dgm:if name="Name53" func="var" arg="dir" op="equ" val="norm">
            <dgm:choose name="Name54">
              <dgm:if name="Name55" axis="root des" ptType="all node" func="maxDepth" op="gt" val="1">
                <dgm:alg type="tx">
                  <dgm:param type="parTxLTRAlign" val="l"/>
                  <dgm:param type="parTxRTLAlign" val="r"/>
                </dgm:alg>
              </dgm:if>
              <dgm:else name="Name56">
                <dgm:alg type="tx">
                  <dgm:param type="parTxLTRAlign" val="l"/>
                  <dgm:param type="parTxRTLAlign" val="l"/>
                </dgm:alg>
              </dgm:else>
            </dgm:choose>
          </dgm:if>
          <dgm:else name="Name57">
            <dgm:choose name="Name58">
              <dgm:if name="Name59" axis="root des" ptType="all node" func="maxDepth" op="gt" val="1">
                <dgm:alg type="tx">
                  <dgm:param type="parTxLTRAlign" val="l"/>
                  <dgm:param type="parTxRTLAlign" val="r"/>
                </dgm:alg>
              </dgm:if>
              <dgm:else name="Name60">
                <dgm:alg type="tx">
                  <dgm:param type="parTxLTRAlign" val="r"/>
                  <dgm:param type="parTxRTLAlign" val="r"/>
                </dgm:alg>
              </dgm:else>
            </dgm:choose>
          </dgm:else>
        </dgm:choose>
        <dgm:shape xmlns:r="http://schemas.openxmlformats.org/officeDocument/2006/relationships" type="rect" r:blip="">
          <dgm:adjLst/>
        </dgm:shape>
        <dgm:presOf axis="desOrSelf" ptType="node"/>
        <dgm:choose name="Name61">
          <dgm:if name="Name62" func="var" arg="dir" op="equ" val="norm">
            <dgm:constrLst>
              <dgm:constr type="tMarg" refType="primFontSz" fact="0.1"/>
              <dgm:constr type="bMarg" refType="primFontSz" fact="0.1"/>
              <dgm:constr type="rMarg" refType="primFontSz" fact="0.1"/>
            </dgm:constrLst>
          </dgm:if>
          <dgm:else name="Name63">
            <dgm:constrLst>
              <dgm:constr type="tMarg" refType="primFontSz" fact="0.1"/>
              <dgm:constr type="bMarg" refType="primFontSz" fact="0.1"/>
              <dgm:constr type="lMarg" refType="primFontSz" fact="0.1"/>
            </dgm:constrLst>
          </dgm:else>
        </dgm:choose>
        <dgm:ruleLst>
          <dgm:rule type="primFontSz" val="5" fact="NaN" max="NaN"/>
        </dgm:ruleLst>
      </dgm:layoutNode>
      <dgm:layoutNode name="line3" styleLbl="callout">
        <dgm:alg type="sp"/>
        <dgm:shape xmlns:r="http://schemas.openxmlformats.org/officeDocument/2006/relationships" type="line" r:blip="">
          <dgm:adjLst/>
        </dgm:shape>
        <dgm:presOf/>
        <dgm:constrLst/>
        <dgm:ruleLst/>
      </dgm:layoutNode>
      <dgm:layoutNode name="d3" styleLbl="callout">
        <dgm:alg type="sp"/>
        <dgm:choose name="Name64">
          <dgm:if name="Name65" func="var" arg="dir" op="equ" val="norm">
            <dgm:shape xmlns:r="http://schemas.openxmlformats.org/officeDocument/2006/relationships" rot="90" type="line" r:blip="">
              <dgm:adjLst/>
            </dgm:shape>
          </dgm:if>
          <dgm:else name="Name66">
            <dgm:shape xmlns:r="http://schemas.openxmlformats.org/officeDocument/2006/relationships" rot="180" type="line" r:blip="">
              <dgm:adjLst/>
            </dgm:shape>
          </dgm:else>
        </dgm:choose>
        <dgm:presOf/>
        <dgm:constrLst/>
        <dgm:ruleLst/>
      </dgm:layoutNode>
    </dgm:forEach>
    <dgm:forEach name="Name67" axis="ch" ptType="node" st="4" cnt="1">
      <dgm:layoutNode name="circle4" styleLbl="lnNode1">
        <dgm:alg type="sp"/>
        <dgm:shape xmlns:r="http://schemas.openxmlformats.org/officeDocument/2006/relationships" type="ellipse" r:blip="" zOrderOff="-15">
          <dgm:adjLst/>
        </dgm:shape>
        <dgm:presOf/>
        <dgm:constrLst/>
        <dgm:ruleLst/>
      </dgm:layoutNode>
      <dgm:layoutNode name="text4" styleLbl="revTx">
        <dgm:varLst>
          <dgm:bulletEnabled val="1"/>
        </dgm:varLst>
        <dgm:choose name="Name68">
          <dgm:if name="Name69" func="var" arg="dir" op="equ" val="norm">
            <dgm:choose name="Name70">
              <dgm:if name="Name71" axis="root des" ptType="all node" func="maxDepth" op="gt" val="1">
                <dgm:alg type="tx">
                  <dgm:param type="parTxLTRAlign" val="l"/>
                  <dgm:param type="parTxRTLAlign" val="r"/>
                </dgm:alg>
              </dgm:if>
              <dgm:else name="Name72">
                <dgm:alg type="tx">
                  <dgm:param type="parTxLTRAlign" val="l"/>
                  <dgm:param type="parTxRTLAlign" val="l"/>
                </dgm:alg>
              </dgm:else>
            </dgm:choose>
          </dgm:if>
          <dgm:else name="Name73">
            <dgm:choose name="Name74">
              <dgm:if name="Name75" axis="root des" ptType="all node" func="maxDepth" op="gt" val="1">
                <dgm:alg type="tx">
                  <dgm:param type="parTxLTRAlign" val="l"/>
                  <dgm:param type="parTxRTLAlign" val="r"/>
                </dgm:alg>
              </dgm:if>
              <dgm:else name="Name76">
                <dgm:alg type="tx">
                  <dgm:param type="parTxLTRAlign" val="r"/>
                  <dgm:param type="parTxRTLAlign" val="r"/>
                </dgm:alg>
              </dgm:else>
            </dgm:choose>
          </dgm:else>
        </dgm:choose>
        <dgm:shape xmlns:r="http://schemas.openxmlformats.org/officeDocument/2006/relationships" type="rect" r:blip="">
          <dgm:adjLst/>
        </dgm:shape>
        <dgm:presOf axis="desOrSelf" ptType="node"/>
        <dgm:choose name="Name77">
          <dgm:if name="Name78" func="var" arg="dir" op="equ" val="norm">
            <dgm:constrLst>
              <dgm:constr type="tMarg" refType="primFontSz" fact="0.1"/>
              <dgm:constr type="bMarg" refType="primFontSz" fact="0.1"/>
              <dgm:constr type="rMarg" refType="primFontSz" fact="0.1"/>
            </dgm:constrLst>
          </dgm:if>
          <dgm:else name="Name79">
            <dgm:constrLst>
              <dgm:constr type="tMarg" refType="primFontSz" fact="0.1"/>
              <dgm:constr type="bMarg" refType="primFontSz" fact="0.1"/>
              <dgm:constr type="lMarg" refType="primFontSz" fact="0.1"/>
            </dgm:constrLst>
          </dgm:else>
        </dgm:choose>
        <dgm:ruleLst>
          <dgm:rule type="primFontSz" val="5" fact="NaN" max="NaN"/>
        </dgm:ruleLst>
      </dgm:layoutNode>
      <dgm:layoutNode name="line4" styleLbl="callout">
        <dgm:alg type="sp"/>
        <dgm:shape xmlns:r="http://schemas.openxmlformats.org/officeDocument/2006/relationships" type="line" r:blip="">
          <dgm:adjLst/>
        </dgm:shape>
        <dgm:presOf/>
        <dgm:constrLst/>
        <dgm:ruleLst/>
      </dgm:layoutNode>
      <dgm:layoutNode name="d4" styleLbl="callout">
        <dgm:alg type="sp"/>
        <dgm:choose name="Name80">
          <dgm:if name="Name81" func="var" arg="dir" op="equ" val="norm">
            <dgm:shape xmlns:r="http://schemas.openxmlformats.org/officeDocument/2006/relationships" rot="90" type="line" r:blip="">
              <dgm:adjLst/>
            </dgm:shape>
          </dgm:if>
          <dgm:else name="Name82">
            <dgm:shape xmlns:r="http://schemas.openxmlformats.org/officeDocument/2006/relationships" rot="180" type="line" r:blip="">
              <dgm:adjLst/>
            </dgm:shape>
          </dgm:else>
        </dgm:choose>
        <dgm:presOf/>
        <dgm:constrLst/>
        <dgm:ruleLst/>
      </dgm:layoutNode>
    </dgm:forEach>
    <dgm:forEach name="Name83" axis="ch" ptType="node" st="5" cnt="1">
      <dgm:layoutNode name="circle5" styleLbl="lnNode1">
        <dgm:alg type="sp"/>
        <dgm:shape xmlns:r="http://schemas.openxmlformats.org/officeDocument/2006/relationships" type="ellipse" r:blip="" zOrderOff="-20">
          <dgm:adjLst/>
        </dgm:shape>
        <dgm:presOf/>
        <dgm:constrLst/>
        <dgm:ruleLst/>
      </dgm:layoutNode>
      <dgm:layoutNode name="text5" styleLbl="revTx">
        <dgm:varLst>
          <dgm:bulletEnabled val="1"/>
        </dgm:varLst>
        <dgm:choose name="Name84">
          <dgm:if name="Name85" func="var" arg="dir" op="equ" val="norm">
            <dgm:choose name="Name86">
              <dgm:if name="Name87" axis="root des" ptType="all node" func="maxDepth" op="gt" val="1">
                <dgm:alg type="tx">
                  <dgm:param type="parTxLTRAlign" val="l"/>
                  <dgm:param type="parTxRTLAlign" val="r"/>
                </dgm:alg>
              </dgm:if>
              <dgm:else name="Name88">
                <dgm:alg type="tx">
                  <dgm:param type="parTxLTRAlign" val="l"/>
                  <dgm:param type="parTxRTLAlign" val="l"/>
                </dgm:alg>
              </dgm:else>
            </dgm:choose>
          </dgm:if>
          <dgm:else name="Name89">
            <dgm:choose name="Name90">
              <dgm:if name="Name91" axis="root des" ptType="all node" func="maxDepth" op="gt" val="1">
                <dgm:alg type="tx">
                  <dgm:param type="parTxLTRAlign" val="l"/>
                  <dgm:param type="parTxRTLAlign" val="r"/>
                </dgm:alg>
              </dgm:if>
              <dgm:else name="Name92">
                <dgm:alg type="tx">
                  <dgm:param type="parTxLTRAlign" val="r"/>
                  <dgm:param type="parTxRTLAlign" val="r"/>
                </dgm:alg>
              </dgm:else>
            </dgm:choose>
          </dgm:else>
        </dgm:choose>
        <dgm:shape xmlns:r="http://schemas.openxmlformats.org/officeDocument/2006/relationships" type="rect" r:blip="">
          <dgm:adjLst/>
        </dgm:shape>
        <dgm:presOf axis="desOrSelf" ptType="node"/>
        <dgm:choose name="Name93">
          <dgm:if name="Name94" func="var" arg="dir" op="equ" val="norm">
            <dgm:constrLst>
              <dgm:constr type="tMarg" refType="primFontSz" fact="0.1"/>
              <dgm:constr type="bMarg" refType="primFontSz" fact="0.1"/>
              <dgm:constr type="rMarg" refType="primFontSz" fact="0.1"/>
            </dgm:constrLst>
          </dgm:if>
          <dgm:else name="Name95">
            <dgm:constrLst>
              <dgm:constr type="tMarg" refType="primFontSz" fact="0.1"/>
              <dgm:constr type="bMarg" refType="primFontSz" fact="0.1"/>
              <dgm:constr type="lMarg" refType="primFontSz" fact="0.1"/>
            </dgm:constrLst>
          </dgm:else>
        </dgm:choose>
        <dgm:ruleLst>
          <dgm:rule type="primFontSz" val="5" fact="NaN" max="NaN"/>
        </dgm:ruleLst>
      </dgm:layoutNode>
      <dgm:layoutNode name="line5" styleLbl="callout">
        <dgm:alg type="sp"/>
        <dgm:shape xmlns:r="http://schemas.openxmlformats.org/officeDocument/2006/relationships" type="line" r:blip="">
          <dgm:adjLst/>
        </dgm:shape>
        <dgm:presOf/>
        <dgm:constrLst/>
        <dgm:ruleLst/>
      </dgm:layoutNode>
      <dgm:layoutNode name="d5" styleLbl="callout">
        <dgm:alg type="sp"/>
        <dgm:choose name="Name96">
          <dgm:if name="Name97" func="var" arg="dir" op="equ" val="norm">
            <dgm:shape xmlns:r="http://schemas.openxmlformats.org/officeDocument/2006/relationships" rot="90" type="line" r:blip="">
              <dgm:adjLst/>
            </dgm:shape>
          </dgm:if>
          <dgm:else name="Name98">
            <dgm:shape xmlns:r="http://schemas.openxmlformats.org/officeDocument/2006/relationships" rot="180" type="line" r:blip="">
              <dgm:adjLst/>
            </dgm:shape>
          </dgm:else>
        </dgm:choose>
        <dgm:presOf/>
        <dgm:constrLst/>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0.52174</cdr:x>
      <cdr:y>0.22105</cdr:y>
    </cdr:from>
    <cdr:to>
      <cdr:x>0.67675</cdr:x>
      <cdr:y>0.28421</cdr:y>
    </cdr:to>
    <cdr:cxnSp macro="">
      <cdr:nvCxnSpPr>
        <cdr:cNvPr id="3" name="Straight Arrow Connector 2"/>
        <cdr:cNvCxnSpPr/>
      </cdr:nvCxnSpPr>
      <cdr:spPr>
        <a:xfrm xmlns:a="http://schemas.openxmlformats.org/drawingml/2006/main">
          <a:off x="2628900" y="400050"/>
          <a:ext cx="781050" cy="114300"/>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Stats SA 2">
    <a:dk1>
      <a:sysClr val="windowText" lastClr="000000"/>
    </a:dk1>
    <a:lt1>
      <a:sysClr val="window" lastClr="FFFFFF"/>
    </a:lt1>
    <a:dk2>
      <a:srgbClr val="0056A7"/>
    </a:dk2>
    <a:lt2>
      <a:srgbClr val="FFFFFF"/>
    </a:lt2>
    <a:accent1>
      <a:srgbClr val="2B72B5"/>
    </a:accent1>
    <a:accent2>
      <a:srgbClr val="9BBB58"/>
    </a:accent2>
    <a:accent3>
      <a:srgbClr val="C0504C"/>
    </a:accent3>
    <a:accent4>
      <a:srgbClr val="4AACC5"/>
    </a:accent4>
    <a:accent5>
      <a:srgbClr val="FDBE2D"/>
    </a:accent5>
    <a:accent6>
      <a:srgbClr val="8064A1"/>
    </a:accent6>
    <a:hlink>
      <a:srgbClr val="000000"/>
    </a:hlink>
    <a:folHlink>
      <a:srgbClr val="00000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EE0691-95C1-4C22-BCC4-2F7FF5AB85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75</Pages>
  <Words>78510</Words>
  <Characters>447512</Characters>
  <Application>Microsoft Office Word</Application>
  <DocSecurity>0</DocSecurity>
  <Lines>3729</Lines>
  <Paragraphs>1049</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524973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khumalo</dc:creator>
  <cp:keywords/>
  <dc:description/>
  <cp:lastModifiedBy>hlengiwe</cp:lastModifiedBy>
  <cp:revision>2</cp:revision>
  <cp:lastPrinted>2018-04-12T10:02:00Z</cp:lastPrinted>
  <dcterms:created xsi:type="dcterms:W3CDTF">2018-05-10T07:21:00Z</dcterms:created>
  <dcterms:modified xsi:type="dcterms:W3CDTF">2018-05-10T07:21:00Z</dcterms:modified>
</cp:coreProperties>
</file>